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9D497F" w14:textId="040822A9" w:rsidR="00830105" w:rsidRDefault="00830105" w:rsidP="00830105">
      <w:pPr>
        <w:pStyle w:val="Title"/>
        <w:pBdr>
          <w:bottom w:val="none" w:sz="0" w:space="0" w:color="auto"/>
        </w:pBdr>
        <w:rPr>
          <w:rFonts w:ascii="Verdana" w:hAnsi="Verdana"/>
          <w:sz w:val="44"/>
          <w:szCs w:val="44"/>
        </w:rPr>
      </w:pPr>
      <w:r>
        <w:rPr>
          <w:rFonts w:ascii="Verdana" w:hAnsi="Verdana"/>
          <w:sz w:val="44"/>
          <w:szCs w:val="44"/>
        </w:rPr>
        <w:t>Texas Workforce Commission</w:t>
      </w:r>
    </w:p>
    <w:p w14:paraId="0D0A8E07" w14:textId="77777777" w:rsidR="00830105" w:rsidRDefault="00830105" w:rsidP="00830105"/>
    <w:p w14:paraId="36729C9C" w14:textId="5A90A0A9" w:rsidR="005A6FED" w:rsidRDefault="005A6FED" w:rsidP="00830105">
      <w:pPr>
        <w:pStyle w:val="Title"/>
        <w:pBdr>
          <w:bottom w:val="none" w:sz="0" w:space="0" w:color="auto"/>
        </w:pBdr>
        <w:ind w:left="180"/>
        <w:rPr>
          <w:rFonts w:ascii="Verdana" w:hAnsi="Verdana"/>
          <w:sz w:val="44"/>
          <w:szCs w:val="44"/>
        </w:rPr>
      </w:pPr>
      <w:r>
        <w:rPr>
          <w:rFonts w:eastAsia="Times New Roman"/>
          <w:noProof/>
        </w:rPr>
        <w:drawing>
          <wp:inline distT="0" distB="0" distL="0" distR="0" wp14:anchorId="7EE58E16" wp14:editId="4788D203">
            <wp:extent cx="1343025" cy="1295400"/>
            <wp:effectExtent l="0" t="0" r="9525" b="0"/>
            <wp:docPr id="1" name="Picture 1" descr="https://NA3.docusign.net/Member/Image.aspx?i=logo&amp;l=19c6b8f4-cc80-46e5-bace-d1d766b1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3.docusign.net/Member/Image.aspx?i=logo&amp;l=19c6b8f4-cc80-46e5-bace-d1d766b138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3025" cy="1295400"/>
                    </a:xfrm>
                    <a:prstGeom prst="rect">
                      <a:avLst/>
                    </a:prstGeom>
                    <a:noFill/>
                    <a:ln>
                      <a:noFill/>
                    </a:ln>
                  </pic:spPr>
                </pic:pic>
              </a:graphicData>
            </a:graphic>
          </wp:inline>
        </w:drawing>
      </w:r>
    </w:p>
    <w:p w14:paraId="0F7C253C" w14:textId="77777777" w:rsidR="006C60A6" w:rsidRDefault="006C60A6" w:rsidP="005A6FED"/>
    <w:p w14:paraId="63E76068" w14:textId="7BB197E3" w:rsidR="006C60A6" w:rsidRDefault="006C60A6" w:rsidP="00DD7868">
      <w:pPr>
        <w:pStyle w:val="Title"/>
        <w:pBdr>
          <w:bottom w:val="none" w:sz="0" w:space="0" w:color="auto"/>
        </w:pBdr>
        <w:rPr>
          <w:rFonts w:ascii="Verdana" w:hAnsi="Verdana"/>
          <w:sz w:val="44"/>
          <w:szCs w:val="44"/>
        </w:rPr>
      </w:pPr>
      <w:r>
        <w:rPr>
          <w:rFonts w:ascii="Verdana" w:hAnsi="Verdana"/>
          <w:sz w:val="44"/>
          <w:szCs w:val="44"/>
        </w:rPr>
        <w:t>Request for Offer</w:t>
      </w:r>
      <w:r w:rsidR="004E6C4E">
        <w:rPr>
          <w:rFonts w:ascii="Verdana" w:hAnsi="Verdana"/>
          <w:sz w:val="44"/>
          <w:szCs w:val="44"/>
        </w:rPr>
        <w:t>s</w:t>
      </w:r>
    </w:p>
    <w:p w14:paraId="6347878D" w14:textId="7860831E" w:rsidR="006C60A6" w:rsidRDefault="006C60A6" w:rsidP="005A6FED"/>
    <w:p w14:paraId="4A281A38" w14:textId="759BA506" w:rsidR="006C60A6" w:rsidRDefault="0013140B" w:rsidP="00DD7868">
      <w:pPr>
        <w:pStyle w:val="Title"/>
        <w:pBdr>
          <w:bottom w:val="none" w:sz="0" w:space="0" w:color="auto"/>
        </w:pBdr>
        <w:jc w:val="left"/>
        <w:rPr>
          <w:rFonts w:ascii="Verdana" w:hAnsi="Verdana"/>
          <w:sz w:val="44"/>
          <w:szCs w:val="44"/>
        </w:rPr>
      </w:pPr>
      <w:r>
        <w:rPr>
          <w:rFonts w:ascii="Verdana" w:hAnsi="Verdana"/>
          <w:sz w:val="44"/>
          <w:szCs w:val="44"/>
        </w:rPr>
        <w:t>Unemployment Insurance</w:t>
      </w:r>
      <w:r w:rsidR="006C60A6">
        <w:rPr>
          <w:rFonts w:ascii="Verdana" w:hAnsi="Verdana"/>
          <w:sz w:val="44"/>
          <w:szCs w:val="44"/>
        </w:rPr>
        <w:t xml:space="preserve"> System Replacement</w:t>
      </w:r>
    </w:p>
    <w:p w14:paraId="45AA231E" w14:textId="10F36E3A" w:rsidR="006C60A6" w:rsidRPr="006C60A6" w:rsidRDefault="006C60A6" w:rsidP="00DD7868">
      <w:pPr>
        <w:jc w:val="right"/>
      </w:pPr>
    </w:p>
    <w:p w14:paraId="6A644A41" w14:textId="58125350" w:rsidR="006C60A6" w:rsidRPr="00DD7868" w:rsidRDefault="006C60A6" w:rsidP="0075043B">
      <w:pPr>
        <w:rPr>
          <w:sz w:val="28"/>
        </w:rPr>
      </w:pPr>
      <w:r w:rsidRPr="00DD7868">
        <w:rPr>
          <w:sz w:val="28"/>
        </w:rPr>
        <w:t>RFO Number: 320-1900001</w:t>
      </w:r>
    </w:p>
    <w:p w14:paraId="521307CB" w14:textId="27EA10D4" w:rsidR="006C60A6" w:rsidRPr="00EF3FB0" w:rsidRDefault="006C60A6" w:rsidP="0075043B">
      <w:pPr>
        <w:rPr>
          <w:sz w:val="28"/>
        </w:rPr>
      </w:pPr>
      <w:r w:rsidRPr="00DD7868">
        <w:rPr>
          <w:sz w:val="28"/>
        </w:rPr>
        <w:t>Date Issued</w:t>
      </w:r>
      <w:r w:rsidRPr="00EF3FB0">
        <w:rPr>
          <w:sz w:val="28"/>
        </w:rPr>
        <w:t xml:space="preserve">: </w:t>
      </w:r>
      <w:r w:rsidR="00B74D72">
        <w:rPr>
          <w:sz w:val="28"/>
        </w:rPr>
        <w:t xml:space="preserve">July </w:t>
      </w:r>
      <w:r w:rsidR="00263AE6">
        <w:rPr>
          <w:sz w:val="28"/>
        </w:rPr>
        <w:t>1</w:t>
      </w:r>
      <w:r w:rsidR="00B74D72">
        <w:rPr>
          <w:sz w:val="28"/>
        </w:rPr>
        <w:t>1</w:t>
      </w:r>
      <w:r w:rsidR="00EF3FB0">
        <w:rPr>
          <w:sz w:val="28"/>
        </w:rPr>
        <w:t>, 2019</w:t>
      </w:r>
    </w:p>
    <w:p w14:paraId="56B92E37" w14:textId="77777777" w:rsidR="001E6351" w:rsidRPr="00EF3FB0" w:rsidRDefault="001E6351" w:rsidP="00580279">
      <w:pPr>
        <w:pBdr>
          <w:bottom w:val="single" w:sz="4" w:space="1" w:color="auto"/>
        </w:pBdr>
      </w:pPr>
    </w:p>
    <w:p w14:paraId="1F1285D7" w14:textId="7188EE06" w:rsidR="00580279" w:rsidRPr="00EF3FB0" w:rsidRDefault="00580279" w:rsidP="00580279">
      <w:pPr>
        <w:jc w:val="center"/>
        <w:rPr>
          <w:u w:val="single"/>
        </w:rPr>
      </w:pPr>
      <w:r w:rsidRPr="00EF3FB0">
        <w:rPr>
          <w:u w:val="single"/>
        </w:rPr>
        <w:t>Anticipated Schedule of Events</w:t>
      </w:r>
    </w:p>
    <w:p w14:paraId="2D205FE8" w14:textId="44D3006C" w:rsidR="00580279" w:rsidRPr="00EF3FB0" w:rsidRDefault="00263AE6" w:rsidP="00595B74">
      <w:pPr>
        <w:ind w:left="2880" w:hanging="2160"/>
      </w:pPr>
      <w:r>
        <w:t>July 11</w:t>
      </w:r>
      <w:r w:rsidR="00580279" w:rsidRPr="00EF3FB0">
        <w:t>, 2019</w:t>
      </w:r>
      <w:r w:rsidR="009C25BE">
        <w:t>:</w:t>
      </w:r>
      <w:r w:rsidR="00580279" w:rsidRPr="00EF3FB0">
        <w:tab/>
      </w:r>
      <w:r w:rsidR="009C25BE">
        <w:t xml:space="preserve">   </w:t>
      </w:r>
      <w:r>
        <w:t xml:space="preserve">  </w:t>
      </w:r>
      <w:r w:rsidR="00580279" w:rsidRPr="00EF3FB0">
        <w:t>Issuance of RFO</w:t>
      </w:r>
    </w:p>
    <w:p w14:paraId="67E2284D" w14:textId="132F423B" w:rsidR="00580279" w:rsidRPr="00EF3FB0" w:rsidRDefault="00263AE6" w:rsidP="00595B74">
      <w:pPr>
        <w:ind w:left="2880" w:hanging="2160"/>
      </w:pPr>
      <w:r>
        <w:t>July 25</w:t>
      </w:r>
      <w:r w:rsidR="00580279" w:rsidRPr="00EF3FB0">
        <w:t>, 2019</w:t>
      </w:r>
      <w:r w:rsidR="009C25BE">
        <w:t>:</w:t>
      </w:r>
      <w:r w:rsidR="00580279" w:rsidRPr="00EF3FB0">
        <w:tab/>
      </w:r>
      <w:r w:rsidR="009C25BE">
        <w:t xml:space="preserve">   </w:t>
      </w:r>
      <w:r>
        <w:t xml:space="preserve">  </w:t>
      </w:r>
      <w:r w:rsidR="00580279" w:rsidRPr="00EF3FB0">
        <w:t>Deadline for Submission of Questions (</w:t>
      </w:r>
      <w:r w:rsidR="00EF3FB0">
        <w:t>2</w:t>
      </w:r>
      <w:r w:rsidR="00595B74" w:rsidRPr="00EF3FB0">
        <w:t>:00 p.m. CT)</w:t>
      </w:r>
    </w:p>
    <w:p w14:paraId="4F4EC87D" w14:textId="18766DB6" w:rsidR="00580279" w:rsidRPr="00EF3FB0" w:rsidRDefault="00263AE6" w:rsidP="00595B74">
      <w:pPr>
        <w:ind w:left="2880" w:hanging="2160"/>
      </w:pPr>
      <w:r>
        <w:t>August 14</w:t>
      </w:r>
      <w:r w:rsidR="00595B74" w:rsidRPr="00EF3FB0">
        <w:t>, 2019</w:t>
      </w:r>
      <w:r w:rsidR="009C25BE">
        <w:t>:</w:t>
      </w:r>
      <w:r w:rsidR="00595B74" w:rsidRPr="00EF3FB0">
        <w:tab/>
      </w:r>
      <w:r w:rsidR="009C25BE">
        <w:t xml:space="preserve">   </w:t>
      </w:r>
      <w:r>
        <w:t xml:space="preserve">  </w:t>
      </w:r>
      <w:r w:rsidR="00595B74" w:rsidRPr="00EF3FB0">
        <w:t>Release of Of</w:t>
      </w:r>
      <w:r w:rsidR="009C25BE">
        <w:t>ficial Responses to Questions (2:00 p.m. CT)</w:t>
      </w:r>
    </w:p>
    <w:p w14:paraId="6EEA1006" w14:textId="13C27968" w:rsidR="00595B74" w:rsidRDefault="00AC43B6" w:rsidP="00595B74">
      <w:pPr>
        <w:ind w:left="2880" w:hanging="2160"/>
      </w:pPr>
      <w:r w:rsidRPr="00EF3FB0">
        <w:t>September</w:t>
      </w:r>
      <w:r w:rsidR="00595B74" w:rsidRPr="00EF3FB0">
        <w:t xml:space="preserve"> </w:t>
      </w:r>
      <w:r w:rsidR="00263AE6">
        <w:t xml:space="preserve">12, </w:t>
      </w:r>
      <w:r w:rsidR="00580279" w:rsidRPr="00EF3FB0">
        <w:t>2019</w:t>
      </w:r>
      <w:r w:rsidR="009C25BE">
        <w:t>:</w:t>
      </w:r>
      <w:r w:rsidR="00595B74">
        <w:t>Deadl</w:t>
      </w:r>
      <w:r w:rsidR="009C25BE">
        <w:t>ine for Submission of Offers (2:00 p</w:t>
      </w:r>
      <w:r w:rsidR="00595B74">
        <w:t>.m. CT)</w:t>
      </w:r>
      <w:r w:rsidR="00595B74">
        <w:br/>
      </w:r>
      <w:r w:rsidR="009C25BE">
        <w:t xml:space="preserve">   </w:t>
      </w:r>
      <w:r w:rsidR="00263AE6">
        <w:t xml:space="preserve">  </w:t>
      </w:r>
      <w:r w:rsidR="009C25BE">
        <w:t>(</w:t>
      </w:r>
      <w:r w:rsidR="00595B74" w:rsidRPr="00595B74">
        <w:t>Late Offers will not be considered</w:t>
      </w:r>
      <w:r w:rsidR="009C25BE">
        <w:t>)</w:t>
      </w:r>
    </w:p>
    <w:p w14:paraId="437EBBD2" w14:textId="061F314E" w:rsidR="00580279" w:rsidRDefault="00EF3FB0" w:rsidP="00595B74">
      <w:pPr>
        <w:ind w:left="2880" w:hanging="2160"/>
      </w:pPr>
      <w:r>
        <w:t>February</w:t>
      </w:r>
      <w:r w:rsidR="009C25BE">
        <w:t xml:space="preserve"> </w:t>
      </w:r>
      <w:r>
        <w:t>2020</w:t>
      </w:r>
      <w:r w:rsidR="009C25BE">
        <w:t xml:space="preserve">:       </w:t>
      </w:r>
      <w:r w:rsidR="00263AE6">
        <w:t xml:space="preserve">  </w:t>
      </w:r>
      <w:r w:rsidR="009C25BE">
        <w:t>Tentative</w:t>
      </w:r>
      <w:r>
        <w:t xml:space="preserve"> Contract Award</w:t>
      </w:r>
      <w:r w:rsidR="00595B74">
        <w:br/>
      </w:r>
      <w:r>
        <w:t xml:space="preserve"> </w:t>
      </w:r>
    </w:p>
    <w:p w14:paraId="52C28E32" w14:textId="0CD5E910" w:rsidR="00837884" w:rsidRPr="00837884" w:rsidRDefault="00837884" w:rsidP="00595B74">
      <w:pPr>
        <w:ind w:left="2880" w:hanging="2160"/>
        <w:rPr>
          <w:sz w:val="20"/>
        </w:rPr>
      </w:pPr>
    </w:p>
    <w:p w14:paraId="055AB693" w14:textId="00382F15" w:rsidR="00837884" w:rsidRDefault="00EF3FB0" w:rsidP="00595B74">
      <w:pPr>
        <w:ind w:left="2880" w:hanging="2160"/>
      </w:pPr>
      <w:r>
        <w:t xml:space="preserve"> </w:t>
      </w:r>
    </w:p>
    <w:p w14:paraId="792F29A2" w14:textId="77777777" w:rsidR="00580279" w:rsidRPr="00837884" w:rsidRDefault="00580279" w:rsidP="00580279">
      <w:pPr>
        <w:pBdr>
          <w:top w:val="single" w:sz="4" w:space="1" w:color="auto"/>
        </w:pBdr>
        <w:rPr>
          <w:sz w:val="20"/>
        </w:rPr>
      </w:pPr>
    </w:p>
    <w:p w14:paraId="1A50AD44" w14:textId="2352BD33" w:rsidR="006C60A6" w:rsidRDefault="006C60A6">
      <w:pPr>
        <w:spacing w:after="160" w:line="259" w:lineRule="auto"/>
        <w:ind w:left="0"/>
      </w:pPr>
      <w:r>
        <w:br w:type="page"/>
      </w:r>
    </w:p>
    <w:bookmarkStart w:id="0" w:name="_Hlk522880351" w:displacedByCustomXml="next"/>
    <w:sdt>
      <w:sdtPr>
        <w:rPr>
          <w:rFonts w:ascii="Bookman Old Style" w:eastAsia="Times New Roman" w:hAnsi="Bookman Old Style" w:cs="Times New Roman"/>
          <w:b w:val="0"/>
          <w:bCs/>
          <w:color w:val="auto"/>
          <w:sz w:val="22"/>
          <w:szCs w:val="20"/>
        </w:rPr>
        <w:id w:val="628074113"/>
        <w:docPartObj>
          <w:docPartGallery w:val="Table of Contents"/>
          <w:docPartUnique/>
        </w:docPartObj>
      </w:sdtPr>
      <w:sdtEndPr>
        <w:rPr>
          <w:rFonts w:ascii="Verdana" w:eastAsiaTheme="minorHAnsi" w:hAnsi="Verdana" w:cstheme="minorBidi"/>
          <w:bCs w:val="0"/>
          <w:sz w:val="24"/>
          <w:szCs w:val="22"/>
        </w:rPr>
      </w:sdtEndPr>
      <w:sdtContent>
        <w:p w14:paraId="30E5EBFB" w14:textId="77777777" w:rsidR="004036A7" w:rsidRPr="00E21848" w:rsidRDefault="004036A7" w:rsidP="004036A7">
          <w:pPr>
            <w:pStyle w:val="TOCHeading"/>
            <w:numPr>
              <w:ilvl w:val="0"/>
              <w:numId w:val="0"/>
            </w:numPr>
          </w:pPr>
          <w:r w:rsidRPr="00D86328">
            <w:t>Table of Contents</w:t>
          </w:r>
        </w:p>
        <w:p w14:paraId="0A34750A" w14:textId="7B146B1A" w:rsidR="0046633B" w:rsidRDefault="004036A7">
          <w:pPr>
            <w:pStyle w:val="TOC2"/>
            <w:rPr>
              <w:rFonts w:asciiTheme="minorHAnsi" w:eastAsiaTheme="minorEastAsia" w:hAnsiTheme="minorHAnsi"/>
              <w:noProof/>
              <w:sz w:val="22"/>
            </w:rPr>
          </w:pPr>
          <w:r w:rsidRPr="00E21848">
            <w:fldChar w:fldCharType="begin"/>
          </w:r>
          <w:r w:rsidRPr="00E21848">
            <w:instrText xml:space="preserve"> TOC \o "1-3" \h \z \u </w:instrText>
          </w:r>
          <w:r w:rsidRPr="00E21848">
            <w:fldChar w:fldCharType="separate"/>
          </w:r>
          <w:hyperlink w:anchor="_Toc13567372" w:history="1">
            <w:r w:rsidR="0046633B" w:rsidRPr="005A308E">
              <w:rPr>
                <w:rStyle w:val="Hyperlink"/>
                <w:noProof/>
              </w:rPr>
              <w:t>Glossary of Acronyms and Terms</w:t>
            </w:r>
            <w:r w:rsidR="0046633B">
              <w:rPr>
                <w:noProof/>
                <w:webHidden/>
              </w:rPr>
              <w:tab/>
            </w:r>
            <w:r w:rsidR="0046633B">
              <w:rPr>
                <w:noProof/>
                <w:webHidden/>
              </w:rPr>
              <w:fldChar w:fldCharType="begin"/>
            </w:r>
            <w:r w:rsidR="0046633B">
              <w:rPr>
                <w:noProof/>
                <w:webHidden/>
              </w:rPr>
              <w:instrText xml:space="preserve"> PAGEREF _Toc13567372 \h </w:instrText>
            </w:r>
            <w:r w:rsidR="0046633B">
              <w:rPr>
                <w:noProof/>
                <w:webHidden/>
              </w:rPr>
            </w:r>
            <w:r w:rsidR="0046633B">
              <w:rPr>
                <w:noProof/>
                <w:webHidden/>
              </w:rPr>
              <w:fldChar w:fldCharType="separate"/>
            </w:r>
            <w:r w:rsidR="0046633B">
              <w:rPr>
                <w:noProof/>
                <w:webHidden/>
              </w:rPr>
              <w:t>8</w:t>
            </w:r>
            <w:r w:rsidR="0046633B">
              <w:rPr>
                <w:noProof/>
                <w:webHidden/>
              </w:rPr>
              <w:fldChar w:fldCharType="end"/>
            </w:r>
          </w:hyperlink>
        </w:p>
        <w:p w14:paraId="197ABB28" w14:textId="2F3734BF" w:rsidR="0046633B" w:rsidRDefault="006D43BC">
          <w:pPr>
            <w:pStyle w:val="TOC1"/>
            <w:rPr>
              <w:rFonts w:asciiTheme="minorHAnsi" w:eastAsiaTheme="minorEastAsia" w:hAnsiTheme="minorHAnsi"/>
              <w:noProof/>
              <w:sz w:val="22"/>
            </w:rPr>
          </w:pPr>
          <w:hyperlink w:anchor="_Toc13567373" w:history="1">
            <w:r w:rsidR="0046633B" w:rsidRPr="005A308E">
              <w:rPr>
                <w:rStyle w:val="Hyperlink"/>
                <w:noProof/>
              </w:rPr>
              <w:t>1.</w:t>
            </w:r>
            <w:r w:rsidR="0046633B">
              <w:rPr>
                <w:rFonts w:asciiTheme="minorHAnsi" w:eastAsiaTheme="minorEastAsia" w:hAnsiTheme="minorHAnsi"/>
                <w:noProof/>
                <w:sz w:val="22"/>
              </w:rPr>
              <w:tab/>
            </w:r>
            <w:r w:rsidR="0046633B" w:rsidRPr="005A308E">
              <w:rPr>
                <w:rStyle w:val="Hyperlink"/>
                <w:noProof/>
              </w:rPr>
              <w:t>Background</w:t>
            </w:r>
            <w:r w:rsidR="0046633B">
              <w:rPr>
                <w:noProof/>
                <w:webHidden/>
              </w:rPr>
              <w:tab/>
            </w:r>
            <w:r w:rsidR="0046633B">
              <w:rPr>
                <w:noProof/>
                <w:webHidden/>
              </w:rPr>
              <w:fldChar w:fldCharType="begin"/>
            </w:r>
            <w:r w:rsidR="0046633B">
              <w:rPr>
                <w:noProof/>
                <w:webHidden/>
              </w:rPr>
              <w:instrText xml:space="preserve"> PAGEREF _Toc13567373 \h </w:instrText>
            </w:r>
            <w:r w:rsidR="0046633B">
              <w:rPr>
                <w:noProof/>
                <w:webHidden/>
              </w:rPr>
            </w:r>
            <w:r w:rsidR="0046633B">
              <w:rPr>
                <w:noProof/>
                <w:webHidden/>
              </w:rPr>
              <w:fldChar w:fldCharType="separate"/>
            </w:r>
            <w:r w:rsidR="0046633B">
              <w:rPr>
                <w:noProof/>
                <w:webHidden/>
              </w:rPr>
              <w:t>21</w:t>
            </w:r>
            <w:r w:rsidR="0046633B">
              <w:rPr>
                <w:noProof/>
                <w:webHidden/>
              </w:rPr>
              <w:fldChar w:fldCharType="end"/>
            </w:r>
          </w:hyperlink>
        </w:p>
        <w:p w14:paraId="146A9BB1" w14:textId="0CD4A2E9" w:rsidR="0046633B" w:rsidRDefault="006D43BC">
          <w:pPr>
            <w:pStyle w:val="TOC2"/>
            <w:tabs>
              <w:tab w:val="left" w:pos="880"/>
            </w:tabs>
            <w:rPr>
              <w:rFonts w:asciiTheme="minorHAnsi" w:eastAsiaTheme="minorEastAsia" w:hAnsiTheme="minorHAnsi"/>
              <w:noProof/>
              <w:sz w:val="22"/>
            </w:rPr>
          </w:pPr>
          <w:hyperlink w:anchor="_Toc13567374" w:history="1">
            <w:r w:rsidR="0046633B" w:rsidRPr="005A308E">
              <w:rPr>
                <w:rStyle w:val="Hyperlink"/>
                <w:noProof/>
              </w:rPr>
              <w:t>1.1</w:t>
            </w:r>
            <w:r w:rsidR="0046633B">
              <w:rPr>
                <w:rFonts w:asciiTheme="minorHAnsi" w:eastAsiaTheme="minorEastAsia" w:hAnsiTheme="minorHAnsi"/>
                <w:noProof/>
                <w:sz w:val="22"/>
              </w:rPr>
              <w:tab/>
            </w:r>
            <w:r w:rsidR="0046633B" w:rsidRPr="005A308E">
              <w:rPr>
                <w:rStyle w:val="Hyperlink"/>
                <w:noProof/>
              </w:rPr>
              <w:t>Purpose of this RFO</w:t>
            </w:r>
            <w:r w:rsidR="0046633B">
              <w:rPr>
                <w:noProof/>
                <w:webHidden/>
              </w:rPr>
              <w:tab/>
            </w:r>
            <w:r w:rsidR="0046633B">
              <w:rPr>
                <w:noProof/>
                <w:webHidden/>
              </w:rPr>
              <w:fldChar w:fldCharType="begin"/>
            </w:r>
            <w:r w:rsidR="0046633B">
              <w:rPr>
                <w:noProof/>
                <w:webHidden/>
              </w:rPr>
              <w:instrText xml:space="preserve"> PAGEREF _Toc13567374 \h </w:instrText>
            </w:r>
            <w:r w:rsidR="0046633B">
              <w:rPr>
                <w:noProof/>
                <w:webHidden/>
              </w:rPr>
            </w:r>
            <w:r w:rsidR="0046633B">
              <w:rPr>
                <w:noProof/>
                <w:webHidden/>
              </w:rPr>
              <w:fldChar w:fldCharType="separate"/>
            </w:r>
            <w:r w:rsidR="0046633B">
              <w:rPr>
                <w:noProof/>
                <w:webHidden/>
              </w:rPr>
              <w:t>21</w:t>
            </w:r>
            <w:r w:rsidR="0046633B">
              <w:rPr>
                <w:noProof/>
                <w:webHidden/>
              </w:rPr>
              <w:fldChar w:fldCharType="end"/>
            </w:r>
          </w:hyperlink>
        </w:p>
        <w:p w14:paraId="58E38494" w14:textId="75BC6368" w:rsidR="0046633B" w:rsidRDefault="006D43BC">
          <w:pPr>
            <w:pStyle w:val="TOC2"/>
            <w:tabs>
              <w:tab w:val="left" w:pos="880"/>
            </w:tabs>
            <w:rPr>
              <w:rFonts w:asciiTheme="minorHAnsi" w:eastAsiaTheme="minorEastAsia" w:hAnsiTheme="minorHAnsi"/>
              <w:noProof/>
              <w:sz w:val="22"/>
            </w:rPr>
          </w:pPr>
          <w:hyperlink w:anchor="_Toc13567375" w:history="1">
            <w:r w:rsidR="0046633B" w:rsidRPr="005A308E">
              <w:rPr>
                <w:rStyle w:val="Hyperlink"/>
                <w:noProof/>
              </w:rPr>
              <w:t>1.2</w:t>
            </w:r>
            <w:r w:rsidR="0046633B">
              <w:rPr>
                <w:rFonts w:asciiTheme="minorHAnsi" w:eastAsiaTheme="minorEastAsia" w:hAnsiTheme="minorHAnsi"/>
                <w:noProof/>
                <w:sz w:val="22"/>
              </w:rPr>
              <w:tab/>
            </w:r>
            <w:r w:rsidR="0046633B" w:rsidRPr="005A308E">
              <w:rPr>
                <w:rStyle w:val="Hyperlink"/>
                <w:noProof/>
              </w:rPr>
              <w:t>The Federal/State UI Program</w:t>
            </w:r>
            <w:r w:rsidR="0046633B">
              <w:rPr>
                <w:noProof/>
                <w:webHidden/>
              </w:rPr>
              <w:tab/>
            </w:r>
            <w:r w:rsidR="0046633B">
              <w:rPr>
                <w:noProof/>
                <w:webHidden/>
              </w:rPr>
              <w:fldChar w:fldCharType="begin"/>
            </w:r>
            <w:r w:rsidR="0046633B">
              <w:rPr>
                <w:noProof/>
                <w:webHidden/>
              </w:rPr>
              <w:instrText xml:space="preserve"> PAGEREF _Toc13567375 \h </w:instrText>
            </w:r>
            <w:r w:rsidR="0046633B">
              <w:rPr>
                <w:noProof/>
                <w:webHidden/>
              </w:rPr>
            </w:r>
            <w:r w:rsidR="0046633B">
              <w:rPr>
                <w:noProof/>
                <w:webHidden/>
              </w:rPr>
              <w:fldChar w:fldCharType="separate"/>
            </w:r>
            <w:r w:rsidR="0046633B">
              <w:rPr>
                <w:noProof/>
                <w:webHidden/>
              </w:rPr>
              <w:t>21</w:t>
            </w:r>
            <w:r w:rsidR="0046633B">
              <w:rPr>
                <w:noProof/>
                <w:webHidden/>
              </w:rPr>
              <w:fldChar w:fldCharType="end"/>
            </w:r>
          </w:hyperlink>
        </w:p>
        <w:p w14:paraId="2B621335" w14:textId="7A1040C8" w:rsidR="0046633B" w:rsidRDefault="006D43BC">
          <w:pPr>
            <w:pStyle w:val="TOC2"/>
            <w:tabs>
              <w:tab w:val="left" w:pos="880"/>
            </w:tabs>
            <w:rPr>
              <w:rFonts w:asciiTheme="minorHAnsi" w:eastAsiaTheme="minorEastAsia" w:hAnsiTheme="minorHAnsi"/>
              <w:noProof/>
              <w:sz w:val="22"/>
            </w:rPr>
          </w:pPr>
          <w:hyperlink w:anchor="_Toc13567376" w:history="1">
            <w:r w:rsidR="0046633B" w:rsidRPr="005A308E">
              <w:rPr>
                <w:rStyle w:val="Hyperlink"/>
                <w:noProof/>
              </w:rPr>
              <w:t>1.3</w:t>
            </w:r>
            <w:r w:rsidR="0046633B">
              <w:rPr>
                <w:rFonts w:asciiTheme="minorHAnsi" w:eastAsiaTheme="minorEastAsia" w:hAnsiTheme="minorHAnsi"/>
                <w:noProof/>
                <w:sz w:val="22"/>
              </w:rPr>
              <w:tab/>
            </w:r>
            <w:r w:rsidR="0046633B" w:rsidRPr="005A308E">
              <w:rPr>
                <w:rStyle w:val="Hyperlink"/>
                <w:noProof/>
              </w:rPr>
              <w:t>TWC’s Current UI System</w:t>
            </w:r>
            <w:r w:rsidR="0046633B">
              <w:rPr>
                <w:noProof/>
                <w:webHidden/>
              </w:rPr>
              <w:tab/>
            </w:r>
            <w:r w:rsidR="0046633B">
              <w:rPr>
                <w:noProof/>
                <w:webHidden/>
              </w:rPr>
              <w:fldChar w:fldCharType="begin"/>
            </w:r>
            <w:r w:rsidR="0046633B">
              <w:rPr>
                <w:noProof/>
                <w:webHidden/>
              </w:rPr>
              <w:instrText xml:space="preserve"> PAGEREF _Toc13567376 \h </w:instrText>
            </w:r>
            <w:r w:rsidR="0046633B">
              <w:rPr>
                <w:noProof/>
                <w:webHidden/>
              </w:rPr>
            </w:r>
            <w:r w:rsidR="0046633B">
              <w:rPr>
                <w:noProof/>
                <w:webHidden/>
              </w:rPr>
              <w:fldChar w:fldCharType="separate"/>
            </w:r>
            <w:r w:rsidR="0046633B">
              <w:rPr>
                <w:noProof/>
                <w:webHidden/>
              </w:rPr>
              <w:t>22</w:t>
            </w:r>
            <w:r w:rsidR="0046633B">
              <w:rPr>
                <w:noProof/>
                <w:webHidden/>
              </w:rPr>
              <w:fldChar w:fldCharType="end"/>
            </w:r>
          </w:hyperlink>
        </w:p>
        <w:p w14:paraId="6C87B23E" w14:textId="4E277E32" w:rsidR="0046633B" w:rsidRDefault="006D43BC">
          <w:pPr>
            <w:pStyle w:val="TOC2"/>
            <w:tabs>
              <w:tab w:val="left" w:pos="880"/>
            </w:tabs>
            <w:rPr>
              <w:rFonts w:asciiTheme="minorHAnsi" w:eastAsiaTheme="minorEastAsia" w:hAnsiTheme="minorHAnsi"/>
              <w:noProof/>
              <w:sz w:val="22"/>
            </w:rPr>
          </w:pPr>
          <w:hyperlink w:anchor="_Toc13567377" w:history="1">
            <w:r w:rsidR="0046633B" w:rsidRPr="005A308E">
              <w:rPr>
                <w:rStyle w:val="Hyperlink"/>
                <w:noProof/>
              </w:rPr>
              <w:t>1.4</w:t>
            </w:r>
            <w:r w:rsidR="0046633B">
              <w:rPr>
                <w:rFonts w:asciiTheme="minorHAnsi" w:eastAsiaTheme="minorEastAsia" w:hAnsiTheme="minorHAnsi"/>
                <w:noProof/>
                <w:sz w:val="22"/>
              </w:rPr>
              <w:tab/>
            </w:r>
            <w:r w:rsidR="0046633B" w:rsidRPr="005A308E">
              <w:rPr>
                <w:rStyle w:val="Hyperlink"/>
                <w:noProof/>
              </w:rPr>
              <w:t>Summary of Requested Services</w:t>
            </w:r>
            <w:r w:rsidR="0046633B">
              <w:rPr>
                <w:noProof/>
                <w:webHidden/>
              </w:rPr>
              <w:tab/>
            </w:r>
            <w:r w:rsidR="0046633B">
              <w:rPr>
                <w:noProof/>
                <w:webHidden/>
              </w:rPr>
              <w:fldChar w:fldCharType="begin"/>
            </w:r>
            <w:r w:rsidR="0046633B">
              <w:rPr>
                <w:noProof/>
                <w:webHidden/>
              </w:rPr>
              <w:instrText xml:space="preserve"> PAGEREF _Toc13567377 \h </w:instrText>
            </w:r>
            <w:r w:rsidR="0046633B">
              <w:rPr>
                <w:noProof/>
                <w:webHidden/>
              </w:rPr>
            </w:r>
            <w:r w:rsidR="0046633B">
              <w:rPr>
                <w:noProof/>
                <w:webHidden/>
              </w:rPr>
              <w:fldChar w:fldCharType="separate"/>
            </w:r>
            <w:r w:rsidR="0046633B">
              <w:rPr>
                <w:noProof/>
                <w:webHidden/>
              </w:rPr>
              <w:t>23</w:t>
            </w:r>
            <w:r w:rsidR="0046633B">
              <w:rPr>
                <w:noProof/>
                <w:webHidden/>
              </w:rPr>
              <w:fldChar w:fldCharType="end"/>
            </w:r>
          </w:hyperlink>
        </w:p>
        <w:p w14:paraId="2CCDD422" w14:textId="2CE544CB" w:rsidR="0046633B" w:rsidRDefault="006D43BC">
          <w:pPr>
            <w:pStyle w:val="TOC3"/>
            <w:tabs>
              <w:tab w:val="left" w:pos="1540"/>
              <w:tab w:val="right" w:leader="dot" w:pos="10790"/>
            </w:tabs>
            <w:rPr>
              <w:rFonts w:asciiTheme="minorHAnsi" w:eastAsiaTheme="minorEastAsia" w:hAnsiTheme="minorHAnsi"/>
              <w:noProof/>
              <w:sz w:val="22"/>
            </w:rPr>
          </w:pPr>
          <w:hyperlink w:anchor="_Toc13567378" w:history="1">
            <w:r w:rsidR="0046633B" w:rsidRPr="005A308E">
              <w:rPr>
                <w:rStyle w:val="Hyperlink"/>
                <w:noProof/>
              </w:rPr>
              <w:t>1.4.1</w:t>
            </w:r>
            <w:r w:rsidR="0046633B">
              <w:rPr>
                <w:rFonts w:asciiTheme="minorHAnsi" w:eastAsiaTheme="minorEastAsia" w:hAnsiTheme="minorHAnsi"/>
                <w:noProof/>
                <w:sz w:val="22"/>
              </w:rPr>
              <w:tab/>
            </w:r>
            <w:r w:rsidR="0046633B" w:rsidRPr="005A308E">
              <w:rPr>
                <w:rStyle w:val="Hyperlink"/>
                <w:noProof/>
              </w:rPr>
              <w:t>Solution Key Functions</w:t>
            </w:r>
            <w:r w:rsidR="0046633B">
              <w:rPr>
                <w:noProof/>
                <w:webHidden/>
              </w:rPr>
              <w:tab/>
            </w:r>
            <w:r w:rsidR="0046633B">
              <w:rPr>
                <w:noProof/>
                <w:webHidden/>
              </w:rPr>
              <w:fldChar w:fldCharType="begin"/>
            </w:r>
            <w:r w:rsidR="0046633B">
              <w:rPr>
                <w:noProof/>
                <w:webHidden/>
              </w:rPr>
              <w:instrText xml:space="preserve"> PAGEREF _Toc13567378 \h </w:instrText>
            </w:r>
            <w:r w:rsidR="0046633B">
              <w:rPr>
                <w:noProof/>
                <w:webHidden/>
              </w:rPr>
            </w:r>
            <w:r w:rsidR="0046633B">
              <w:rPr>
                <w:noProof/>
                <w:webHidden/>
              </w:rPr>
              <w:fldChar w:fldCharType="separate"/>
            </w:r>
            <w:r w:rsidR="0046633B">
              <w:rPr>
                <w:noProof/>
                <w:webHidden/>
              </w:rPr>
              <w:t>24</w:t>
            </w:r>
            <w:r w:rsidR="0046633B">
              <w:rPr>
                <w:noProof/>
                <w:webHidden/>
              </w:rPr>
              <w:fldChar w:fldCharType="end"/>
            </w:r>
          </w:hyperlink>
        </w:p>
        <w:p w14:paraId="6F4FED7F" w14:textId="3C68DDC8" w:rsidR="0046633B" w:rsidRDefault="006D43BC">
          <w:pPr>
            <w:pStyle w:val="TOC3"/>
            <w:tabs>
              <w:tab w:val="left" w:pos="1540"/>
              <w:tab w:val="right" w:leader="dot" w:pos="10790"/>
            </w:tabs>
            <w:rPr>
              <w:rFonts w:asciiTheme="minorHAnsi" w:eastAsiaTheme="minorEastAsia" w:hAnsiTheme="minorHAnsi"/>
              <w:noProof/>
              <w:sz w:val="22"/>
            </w:rPr>
          </w:pPr>
          <w:hyperlink w:anchor="_Toc13567379" w:history="1">
            <w:r w:rsidR="0046633B" w:rsidRPr="005A308E">
              <w:rPr>
                <w:rStyle w:val="Hyperlink"/>
                <w:noProof/>
              </w:rPr>
              <w:t>1.4.2</w:t>
            </w:r>
            <w:r w:rsidR="0046633B">
              <w:rPr>
                <w:rFonts w:asciiTheme="minorHAnsi" w:eastAsiaTheme="minorEastAsia" w:hAnsiTheme="minorHAnsi"/>
                <w:noProof/>
                <w:sz w:val="22"/>
              </w:rPr>
              <w:tab/>
            </w:r>
            <w:r w:rsidR="0046633B" w:rsidRPr="005A308E">
              <w:rPr>
                <w:rStyle w:val="Hyperlink"/>
                <w:noProof/>
              </w:rPr>
              <w:t>Basic Tenets</w:t>
            </w:r>
            <w:r w:rsidR="0046633B">
              <w:rPr>
                <w:noProof/>
                <w:webHidden/>
              </w:rPr>
              <w:tab/>
            </w:r>
            <w:r w:rsidR="0046633B">
              <w:rPr>
                <w:noProof/>
                <w:webHidden/>
              </w:rPr>
              <w:fldChar w:fldCharType="begin"/>
            </w:r>
            <w:r w:rsidR="0046633B">
              <w:rPr>
                <w:noProof/>
                <w:webHidden/>
              </w:rPr>
              <w:instrText xml:space="preserve"> PAGEREF _Toc13567379 \h </w:instrText>
            </w:r>
            <w:r w:rsidR="0046633B">
              <w:rPr>
                <w:noProof/>
                <w:webHidden/>
              </w:rPr>
            </w:r>
            <w:r w:rsidR="0046633B">
              <w:rPr>
                <w:noProof/>
                <w:webHidden/>
              </w:rPr>
              <w:fldChar w:fldCharType="separate"/>
            </w:r>
            <w:r w:rsidR="0046633B">
              <w:rPr>
                <w:noProof/>
                <w:webHidden/>
              </w:rPr>
              <w:t>25</w:t>
            </w:r>
            <w:r w:rsidR="0046633B">
              <w:rPr>
                <w:noProof/>
                <w:webHidden/>
              </w:rPr>
              <w:fldChar w:fldCharType="end"/>
            </w:r>
          </w:hyperlink>
        </w:p>
        <w:p w14:paraId="68571679" w14:textId="466F43D3" w:rsidR="0046633B" w:rsidRDefault="006D43BC">
          <w:pPr>
            <w:pStyle w:val="TOC3"/>
            <w:tabs>
              <w:tab w:val="left" w:pos="1540"/>
              <w:tab w:val="right" w:leader="dot" w:pos="10790"/>
            </w:tabs>
            <w:rPr>
              <w:rFonts w:asciiTheme="minorHAnsi" w:eastAsiaTheme="minorEastAsia" w:hAnsiTheme="minorHAnsi"/>
              <w:noProof/>
              <w:sz w:val="22"/>
            </w:rPr>
          </w:pPr>
          <w:hyperlink w:anchor="_Toc13567380" w:history="1">
            <w:r w:rsidR="0046633B" w:rsidRPr="005A308E">
              <w:rPr>
                <w:rStyle w:val="Hyperlink"/>
                <w:noProof/>
              </w:rPr>
              <w:t>1.4.3</w:t>
            </w:r>
            <w:r w:rsidR="0046633B">
              <w:rPr>
                <w:rFonts w:asciiTheme="minorHAnsi" w:eastAsiaTheme="minorEastAsia" w:hAnsiTheme="minorHAnsi"/>
                <w:noProof/>
                <w:sz w:val="22"/>
              </w:rPr>
              <w:tab/>
            </w:r>
            <w:r w:rsidR="0046633B" w:rsidRPr="005A308E">
              <w:rPr>
                <w:rStyle w:val="Hyperlink"/>
                <w:noProof/>
              </w:rPr>
              <w:t>Data Privacy and Cyber Security</w:t>
            </w:r>
            <w:r w:rsidR="0046633B">
              <w:rPr>
                <w:noProof/>
                <w:webHidden/>
              </w:rPr>
              <w:tab/>
            </w:r>
            <w:r w:rsidR="0046633B">
              <w:rPr>
                <w:noProof/>
                <w:webHidden/>
              </w:rPr>
              <w:fldChar w:fldCharType="begin"/>
            </w:r>
            <w:r w:rsidR="0046633B">
              <w:rPr>
                <w:noProof/>
                <w:webHidden/>
              </w:rPr>
              <w:instrText xml:space="preserve"> PAGEREF _Toc13567380 \h </w:instrText>
            </w:r>
            <w:r w:rsidR="0046633B">
              <w:rPr>
                <w:noProof/>
                <w:webHidden/>
              </w:rPr>
            </w:r>
            <w:r w:rsidR="0046633B">
              <w:rPr>
                <w:noProof/>
                <w:webHidden/>
              </w:rPr>
              <w:fldChar w:fldCharType="separate"/>
            </w:r>
            <w:r w:rsidR="0046633B">
              <w:rPr>
                <w:noProof/>
                <w:webHidden/>
              </w:rPr>
              <w:t>26</w:t>
            </w:r>
            <w:r w:rsidR="0046633B">
              <w:rPr>
                <w:noProof/>
                <w:webHidden/>
              </w:rPr>
              <w:fldChar w:fldCharType="end"/>
            </w:r>
          </w:hyperlink>
        </w:p>
        <w:p w14:paraId="70060B2D" w14:textId="2CFFD47E" w:rsidR="0046633B" w:rsidRDefault="006D43BC">
          <w:pPr>
            <w:pStyle w:val="TOC3"/>
            <w:tabs>
              <w:tab w:val="left" w:pos="1540"/>
              <w:tab w:val="right" w:leader="dot" w:pos="10790"/>
            </w:tabs>
            <w:rPr>
              <w:rFonts w:asciiTheme="minorHAnsi" w:eastAsiaTheme="minorEastAsia" w:hAnsiTheme="minorHAnsi"/>
              <w:noProof/>
              <w:sz w:val="22"/>
            </w:rPr>
          </w:pPr>
          <w:hyperlink w:anchor="_Toc13567381" w:history="1">
            <w:r w:rsidR="0046633B" w:rsidRPr="005A308E">
              <w:rPr>
                <w:rStyle w:val="Hyperlink"/>
                <w:noProof/>
              </w:rPr>
              <w:t>1.4.4</w:t>
            </w:r>
            <w:r w:rsidR="0046633B">
              <w:rPr>
                <w:rFonts w:asciiTheme="minorHAnsi" w:eastAsiaTheme="minorEastAsia" w:hAnsiTheme="minorHAnsi"/>
                <w:noProof/>
                <w:sz w:val="22"/>
              </w:rPr>
              <w:tab/>
            </w:r>
            <w:r w:rsidR="0046633B" w:rsidRPr="005A308E">
              <w:rPr>
                <w:rStyle w:val="Hyperlink"/>
                <w:noProof/>
              </w:rPr>
              <w:t>Hosted Environment</w:t>
            </w:r>
            <w:r w:rsidR="0046633B">
              <w:rPr>
                <w:noProof/>
                <w:webHidden/>
              </w:rPr>
              <w:tab/>
            </w:r>
            <w:r w:rsidR="0046633B">
              <w:rPr>
                <w:noProof/>
                <w:webHidden/>
              </w:rPr>
              <w:fldChar w:fldCharType="begin"/>
            </w:r>
            <w:r w:rsidR="0046633B">
              <w:rPr>
                <w:noProof/>
                <w:webHidden/>
              </w:rPr>
              <w:instrText xml:space="preserve"> PAGEREF _Toc13567381 \h </w:instrText>
            </w:r>
            <w:r w:rsidR="0046633B">
              <w:rPr>
                <w:noProof/>
                <w:webHidden/>
              </w:rPr>
            </w:r>
            <w:r w:rsidR="0046633B">
              <w:rPr>
                <w:noProof/>
                <w:webHidden/>
              </w:rPr>
              <w:fldChar w:fldCharType="separate"/>
            </w:r>
            <w:r w:rsidR="0046633B">
              <w:rPr>
                <w:noProof/>
                <w:webHidden/>
              </w:rPr>
              <w:t>27</w:t>
            </w:r>
            <w:r w:rsidR="0046633B">
              <w:rPr>
                <w:noProof/>
                <w:webHidden/>
              </w:rPr>
              <w:fldChar w:fldCharType="end"/>
            </w:r>
          </w:hyperlink>
        </w:p>
        <w:p w14:paraId="32E7BAC7" w14:textId="3B2900C3" w:rsidR="0046633B" w:rsidRDefault="006D43BC">
          <w:pPr>
            <w:pStyle w:val="TOC2"/>
            <w:tabs>
              <w:tab w:val="left" w:pos="880"/>
            </w:tabs>
            <w:rPr>
              <w:rFonts w:asciiTheme="minorHAnsi" w:eastAsiaTheme="minorEastAsia" w:hAnsiTheme="minorHAnsi"/>
              <w:noProof/>
              <w:sz w:val="22"/>
            </w:rPr>
          </w:pPr>
          <w:hyperlink w:anchor="_Toc13567382" w:history="1">
            <w:r w:rsidR="0046633B" w:rsidRPr="005A308E">
              <w:rPr>
                <w:rStyle w:val="Hyperlink"/>
                <w:noProof/>
              </w:rPr>
              <w:t>1.5</w:t>
            </w:r>
            <w:r w:rsidR="0046633B">
              <w:rPr>
                <w:rFonts w:asciiTheme="minorHAnsi" w:eastAsiaTheme="minorEastAsia" w:hAnsiTheme="minorHAnsi"/>
                <w:noProof/>
                <w:sz w:val="22"/>
              </w:rPr>
              <w:tab/>
            </w:r>
            <w:r w:rsidR="0046633B" w:rsidRPr="005A308E">
              <w:rPr>
                <w:rStyle w:val="Hyperlink"/>
                <w:noProof/>
              </w:rPr>
              <w:t>Texas Data Center Services Program</w:t>
            </w:r>
            <w:r w:rsidR="0046633B">
              <w:rPr>
                <w:noProof/>
                <w:webHidden/>
              </w:rPr>
              <w:tab/>
            </w:r>
            <w:r w:rsidR="0046633B">
              <w:rPr>
                <w:noProof/>
                <w:webHidden/>
              </w:rPr>
              <w:fldChar w:fldCharType="begin"/>
            </w:r>
            <w:r w:rsidR="0046633B">
              <w:rPr>
                <w:noProof/>
                <w:webHidden/>
              </w:rPr>
              <w:instrText xml:space="preserve"> PAGEREF _Toc13567382 \h </w:instrText>
            </w:r>
            <w:r w:rsidR="0046633B">
              <w:rPr>
                <w:noProof/>
                <w:webHidden/>
              </w:rPr>
            </w:r>
            <w:r w:rsidR="0046633B">
              <w:rPr>
                <w:noProof/>
                <w:webHidden/>
              </w:rPr>
              <w:fldChar w:fldCharType="separate"/>
            </w:r>
            <w:r w:rsidR="0046633B">
              <w:rPr>
                <w:noProof/>
                <w:webHidden/>
              </w:rPr>
              <w:t>28</w:t>
            </w:r>
            <w:r w:rsidR="0046633B">
              <w:rPr>
                <w:noProof/>
                <w:webHidden/>
              </w:rPr>
              <w:fldChar w:fldCharType="end"/>
            </w:r>
          </w:hyperlink>
        </w:p>
        <w:p w14:paraId="7EF540D3" w14:textId="43322C19" w:rsidR="0046633B" w:rsidRDefault="006D43BC">
          <w:pPr>
            <w:pStyle w:val="TOC2"/>
            <w:tabs>
              <w:tab w:val="left" w:pos="880"/>
            </w:tabs>
            <w:rPr>
              <w:rFonts w:asciiTheme="minorHAnsi" w:eastAsiaTheme="minorEastAsia" w:hAnsiTheme="minorHAnsi"/>
              <w:noProof/>
              <w:sz w:val="22"/>
            </w:rPr>
          </w:pPr>
          <w:hyperlink w:anchor="_Toc13567383" w:history="1">
            <w:r w:rsidR="0046633B" w:rsidRPr="005A308E">
              <w:rPr>
                <w:rStyle w:val="Hyperlink"/>
                <w:noProof/>
              </w:rPr>
              <w:t>1.6</w:t>
            </w:r>
            <w:r w:rsidR="0046633B">
              <w:rPr>
                <w:rFonts w:asciiTheme="minorHAnsi" w:eastAsiaTheme="minorEastAsia" w:hAnsiTheme="minorHAnsi"/>
                <w:noProof/>
                <w:sz w:val="22"/>
              </w:rPr>
              <w:tab/>
            </w:r>
            <w:r w:rsidR="0046633B" w:rsidRPr="005A308E">
              <w:rPr>
                <w:rStyle w:val="Hyperlink"/>
                <w:noProof/>
              </w:rPr>
              <w:t>Accessibility Statement</w:t>
            </w:r>
            <w:r w:rsidR="0046633B">
              <w:rPr>
                <w:noProof/>
                <w:webHidden/>
              </w:rPr>
              <w:tab/>
            </w:r>
            <w:r w:rsidR="0046633B">
              <w:rPr>
                <w:noProof/>
                <w:webHidden/>
              </w:rPr>
              <w:fldChar w:fldCharType="begin"/>
            </w:r>
            <w:r w:rsidR="0046633B">
              <w:rPr>
                <w:noProof/>
                <w:webHidden/>
              </w:rPr>
              <w:instrText xml:space="preserve"> PAGEREF _Toc13567383 \h </w:instrText>
            </w:r>
            <w:r w:rsidR="0046633B">
              <w:rPr>
                <w:noProof/>
                <w:webHidden/>
              </w:rPr>
            </w:r>
            <w:r w:rsidR="0046633B">
              <w:rPr>
                <w:noProof/>
                <w:webHidden/>
              </w:rPr>
              <w:fldChar w:fldCharType="separate"/>
            </w:r>
            <w:r w:rsidR="0046633B">
              <w:rPr>
                <w:noProof/>
                <w:webHidden/>
              </w:rPr>
              <w:t>29</w:t>
            </w:r>
            <w:r w:rsidR="0046633B">
              <w:rPr>
                <w:noProof/>
                <w:webHidden/>
              </w:rPr>
              <w:fldChar w:fldCharType="end"/>
            </w:r>
          </w:hyperlink>
        </w:p>
        <w:p w14:paraId="21C4EB5F" w14:textId="6D583556" w:rsidR="0046633B" w:rsidRDefault="006D43BC">
          <w:pPr>
            <w:pStyle w:val="TOC2"/>
            <w:tabs>
              <w:tab w:val="left" w:pos="880"/>
            </w:tabs>
            <w:rPr>
              <w:rFonts w:asciiTheme="minorHAnsi" w:eastAsiaTheme="minorEastAsia" w:hAnsiTheme="minorHAnsi"/>
              <w:noProof/>
              <w:sz w:val="22"/>
            </w:rPr>
          </w:pPr>
          <w:hyperlink w:anchor="_Toc13567384" w:history="1">
            <w:r w:rsidR="0046633B" w:rsidRPr="005A308E">
              <w:rPr>
                <w:rStyle w:val="Hyperlink"/>
                <w:noProof/>
              </w:rPr>
              <w:t>1.7</w:t>
            </w:r>
            <w:r w:rsidR="0046633B">
              <w:rPr>
                <w:rFonts w:asciiTheme="minorHAnsi" w:eastAsiaTheme="minorEastAsia" w:hAnsiTheme="minorHAnsi"/>
                <w:noProof/>
                <w:sz w:val="22"/>
              </w:rPr>
              <w:tab/>
            </w:r>
            <w:r w:rsidR="0046633B" w:rsidRPr="005A308E">
              <w:rPr>
                <w:rStyle w:val="Hyperlink"/>
                <w:noProof/>
              </w:rPr>
              <w:t>Current Technical Environment</w:t>
            </w:r>
            <w:r w:rsidR="0046633B">
              <w:rPr>
                <w:noProof/>
                <w:webHidden/>
              </w:rPr>
              <w:tab/>
            </w:r>
            <w:r w:rsidR="0046633B">
              <w:rPr>
                <w:noProof/>
                <w:webHidden/>
              </w:rPr>
              <w:fldChar w:fldCharType="begin"/>
            </w:r>
            <w:r w:rsidR="0046633B">
              <w:rPr>
                <w:noProof/>
                <w:webHidden/>
              </w:rPr>
              <w:instrText xml:space="preserve"> PAGEREF _Toc13567384 \h </w:instrText>
            </w:r>
            <w:r w:rsidR="0046633B">
              <w:rPr>
                <w:noProof/>
                <w:webHidden/>
              </w:rPr>
            </w:r>
            <w:r w:rsidR="0046633B">
              <w:rPr>
                <w:noProof/>
                <w:webHidden/>
              </w:rPr>
              <w:fldChar w:fldCharType="separate"/>
            </w:r>
            <w:r w:rsidR="0046633B">
              <w:rPr>
                <w:noProof/>
                <w:webHidden/>
              </w:rPr>
              <w:t>29</w:t>
            </w:r>
            <w:r w:rsidR="0046633B">
              <w:rPr>
                <w:noProof/>
                <w:webHidden/>
              </w:rPr>
              <w:fldChar w:fldCharType="end"/>
            </w:r>
          </w:hyperlink>
        </w:p>
        <w:p w14:paraId="1A8653C9" w14:textId="02656BC2" w:rsidR="0046633B" w:rsidRDefault="006D43BC">
          <w:pPr>
            <w:pStyle w:val="TOC3"/>
            <w:tabs>
              <w:tab w:val="left" w:pos="1540"/>
              <w:tab w:val="right" w:leader="dot" w:pos="10790"/>
            </w:tabs>
            <w:rPr>
              <w:rFonts w:asciiTheme="minorHAnsi" w:eastAsiaTheme="minorEastAsia" w:hAnsiTheme="minorHAnsi"/>
              <w:noProof/>
              <w:sz w:val="22"/>
            </w:rPr>
          </w:pPr>
          <w:hyperlink w:anchor="_Toc13567385" w:history="1">
            <w:r w:rsidR="0046633B" w:rsidRPr="005A308E">
              <w:rPr>
                <w:rStyle w:val="Hyperlink"/>
                <w:noProof/>
              </w:rPr>
              <w:t>1.7.1</w:t>
            </w:r>
            <w:r w:rsidR="0046633B">
              <w:rPr>
                <w:rFonts w:asciiTheme="minorHAnsi" w:eastAsiaTheme="minorEastAsia" w:hAnsiTheme="minorHAnsi"/>
                <w:noProof/>
                <w:sz w:val="22"/>
              </w:rPr>
              <w:tab/>
            </w:r>
            <w:r w:rsidR="0046633B" w:rsidRPr="005A308E">
              <w:rPr>
                <w:rStyle w:val="Hyperlink"/>
                <w:noProof/>
              </w:rPr>
              <w:t>UI Applications</w:t>
            </w:r>
            <w:r w:rsidR="0046633B">
              <w:rPr>
                <w:noProof/>
                <w:webHidden/>
              </w:rPr>
              <w:tab/>
            </w:r>
            <w:r w:rsidR="0046633B">
              <w:rPr>
                <w:noProof/>
                <w:webHidden/>
              </w:rPr>
              <w:fldChar w:fldCharType="begin"/>
            </w:r>
            <w:r w:rsidR="0046633B">
              <w:rPr>
                <w:noProof/>
                <w:webHidden/>
              </w:rPr>
              <w:instrText xml:space="preserve"> PAGEREF _Toc13567385 \h </w:instrText>
            </w:r>
            <w:r w:rsidR="0046633B">
              <w:rPr>
                <w:noProof/>
                <w:webHidden/>
              </w:rPr>
            </w:r>
            <w:r w:rsidR="0046633B">
              <w:rPr>
                <w:noProof/>
                <w:webHidden/>
              </w:rPr>
              <w:fldChar w:fldCharType="separate"/>
            </w:r>
            <w:r w:rsidR="0046633B">
              <w:rPr>
                <w:noProof/>
                <w:webHidden/>
              </w:rPr>
              <w:t>29</w:t>
            </w:r>
            <w:r w:rsidR="0046633B">
              <w:rPr>
                <w:noProof/>
                <w:webHidden/>
              </w:rPr>
              <w:fldChar w:fldCharType="end"/>
            </w:r>
          </w:hyperlink>
        </w:p>
        <w:p w14:paraId="2E49094E" w14:textId="4FA33D28" w:rsidR="0046633B" w:rsidRDefault="006D43BC">
          <w:pPr>
            <w:pStyle w:val="TOC3"/>
            <w:tabs>
              <w:tab w:val="left" w:pos="1540"/>
              <w:tab w:val="right" w:leader="dot" w:pos="10790"/>
            </w:tabs>
            <w:rPr>
              <w:rFonts w:asciiTheme="minorHAnsi" w:eastAsiaTheme="minorEastAsia" w:hAnsiTheme="minorHAnsi"/>
              <w:noProof/>
              <w:sz w:val="22"/>
            </w:rPr>
          </w:pPr>
          <w:hyperlink w:anchor="_Toc13567386" w:history="1">
            <w:r w:rsidR="0046633B" w:rsidRPr="005A308E">
              <w:rPr>
                <w:rStyle w:val="Hyperlink"/>
                <w:noProof/>
              </w:rPr>
              <w:t>1.7.2</w:t>
            </w:r>
            <w:r w:rsidR="0046633B">
              <w:rPr>
                <w:rFonts w:asciiTheme="minorHAnsi" w:eastAsiaTheme="minorEastAsia" w:hAnsiTheme="minorHAnsi"/>
                <w:noProof/>
                <w:sz w:val="22"/>
              </w:rPr>
              <w:tab/>
            </w:r>
            <w:r w:rsidR="0046633B" w:rsidRPr="005A308E">
              <w:rPr>
                <w:rStyle w:val="Hyperlink"/>
                <w:noProof/>
              </w:rPr>
              <w:t>UI Mainframe</w:t>
            </w:r>
            <w:r w:rsidR="0046633B">
              <w:rPr>
                <w:noProof/>
                <w:webHidden/>
              </w:rPr>
              <w:tab/>
            </w:r>
            <w:r w:rsidR="0046633B">
              <w:rPr>
                <w:noProof/>
                <w:webHidden/>
              </w:rPr>
              <w:fldChar w:fldCharType="begin"/>
            </w:r>
            <w:r w:rsidR="0046633B">
              <w:rPr>
                <w:noProof/>
                <w:webHidden/>
              </w:rPr>
              <w:instrText xml:space="preserve"> PAGEREF _Toc13567386 \h </w:instrText>
            </w:r>
            <w:r w:rsidR="0046633B">
              <w:rPr>
                <w:noProof/>
                <w:webHidden/>
              </w:rPr>
            </w:r>
            <w:r w:rsidR="0046633B">
              <w:rPr>
                <w:noProof/>
                <w:webHidden/>
              </w:rPr>
              <w:fldChar w:fldCharType="separate"/>
            </w:r>
            <w:r w:rsidR="0046633B">
              <w:rPr>
                <w:noProof/>
                <w:webHidden/>
              </w:rPr>
              <w:t>33</w:t>
            </w:r>
            <w:r w:rsidR="0046633B">
              <w:rPr>
                <w:noProof/>
                <w:webHidden/>
              </w:rPr>
              <w:fldChar w:fldCharType="end"/>
            </w:r>
          </w:hyperlink>
        </w:p>
        <w:p w14:paraId="42F6D385" w14:textId="1FE665F1" w:rsidR="0046633B" w:rsidRDefault="006D43BC">
          <w:pPr>
            <w:pStyle w:val="TOC3"/>
            <w:tabs>
              <w:tab w:val="left" w:pos="1540"/>
              <w:tab w:val="right" w:leader="dot" w:pos="10790"/>
            </w:tabs>
            <w:rPr>
              <w:rFonts w:asciiTheme="minorHAnsi" w:eastAsiaTheme="minorEastAsia" w:hAnsiTheme="minorHAnsi"/>
              <w:noProof/>
              <w:sz w:val="22"/>
            </w:rPr>
          </w:pPr>
          <w:hyperlink w:anchor="_Toc13567387" w:history="1">
            <w:r w:rsidR="0046633B" w:rsidRPr="005A308E">
              <w:rPr>
                <w:rStyle w:val="Hyperlink"/>
                <w:noProof/>
              </w:rPr>
              <w:t>1.7.3</w:t>
            </w:r>
            <w:r w:rsidR="0046633B">
              <w:rPr>
                <w:rFonts w:asciiTheme="minorHAnsi" w:eastAsiaTheme="minorEastAsia" w:hAnsiTheme="minorHAnsi"/>
                <w:noProof/>
                <w:sz w:val="22"/>
              </w:rPr>
              <w:tab/>
            </w:r>
            <w:r w:rsidR="0046633B" w:rsidRPr="005A308E">
              <w:rPr>
                <w:rStyle w:val="Hyperlink"/>
                <w:noProof/>
              </w:rPr>
              <w:t>UI Servers</w:t>
            </w:r>
            <w:r w:rsidR="0046633B">
              <w:rPr>
                <w:noProof/>
                <w:webHidden/>
              </w:rPr>
              <w:tab/>
            </w:r>
            <w:r w:rsidR="0046633B">
              <w:rPr>
                <w:noProof/>
                <w:webHidden/>
              </w:rPr>
              <w:fldChar w:fldCharType="begin"/>
            </w:r>
            <w:r w:rsidR="0046633B">
              <w:rPr>
                <w:noProof/>
                <w:webHidden/>
              </w:rPr>
              <w:instrText xml:space="preserve"> PAGEREF _Toc13567387 \h </w:instrText>
            </w:r>
            <w:r w:rsidR="0046633B">
              <w:rPr>
                <w:noProof/>
                <w:webHidden/>
              </w:rPr>
            </w:r>
            <w:r w:rsidR="0046633B">
              <w:rPr>
                <w:noProof/>
                <w:webHidden/>
              </w:rPr>
              <w:fldChar w:fldCharType="separate"/>
            </w:r>
            <w:r w:rsidR="0046633B">
              <w:rPr>
                <w:noProof/>
                <w:webHidden/>
              </w:rPr>
              <w:t>34</w:t>
            </w:r>
            <w:r w:rsidR="0046633B">
              <w:rPr>
                <w:noProof/>
                <w:webHidden/>
              </w:rPr>
              <w:fldChar w:fldCharType="end"/>
            </w:r>
          </w:hyperlink>
        </w:p>
        <w:p w14:paraId="121D7B86" w14:textId="1B6F6C35" w:rsidR="0046633B" w:rsidRDefault="006D43BC">
          <w:pPr>
            <w:pStyle w:val="TOC3"/>
            <w:tabs>
              <w:tab w:val="left" w:pos="1540"/>
              <w:tab w:val="right" w:leader="dot" w:pos="10790"/>
            </w:tabs>
            <w:rPr>
              <w:rFonts w:asciiTheme="minorHAnsi" w:eastAsiaTheme="minorEastAsia" w:hAnsiTheme="minorHAnsi"/>
              <w:noProof/>
              <w:sz w:val="22"/>
            </w:rPr>
          </w:pPr>
          <w:hyperlink w:anchor="_Toc13567388" w:history="1">
            <w:r w:rsidR="0046633B" w:rsidRPr="005A308E">
              <w:rPr>
                <w:rStyle w:val="Hyperlink"/>
                <w:noProof/>
              </w:rPr>
              <w:t>1.7.4</w:t>
            </w:r>
            <w:r w:rsidR="0046633B">
              <w:rPr>
                <w:rFonts w:asciiTheme="minorHAnsi" w:eastAsiaTheme="minorEastAsia" w:hAnsiTheme="minorHAnsi"/>
                <w:noProof/>
                <w:sz w:val="22"/>
              </w:rPr>
              <w:tab/>
            </w:r>
            <w:r w:rsidR="0046633B" w:rsidRPr="005A308E">
              <w:rPr>
                <w:rStyle w:val="Hyperlink"/>
                <w:noProof/>
              </w:rPr>
              <w:t>UI Data Repositories</w:t>
            </w:r>
            <w:r w:rsidR="0046633B">
              <w:rPr>
                <w:noProof/>
                <w:webHidden/>
              </w:rPr>
              <w:tab/>
            </w:r>
            <w:r w:rsidR="0046633B">
              <w:rPr>
                <w:noProof/>
                <w:webHidden/>
              </w:rPr>
              <w:fldChar w:fldCharType="begin"/>
            </w:r>
            <w:r w:rsidR="0046633B">
              <w:rPr>
                <w:noProof/>
                <w:webHidden/>
              </w:rPr>
              <w:instrText xml:space="preserve"> PAGEREF _Toc13567388 \h </w:instrText>
            </w:r>
            <w:r w:rsidR="0046633B">
              <w:rPr>
                <w:noProof/>
                <w:webHidden/>
              </w:rPr>
            </w:r>
            <w:r w:rsidR="0046633B">
              <w:rPr>
                <w:noProof/>
                <w:webHidden/>
              </w:rPr>
              <w:fldChar w:fldCharType="separate"/>
            </w:r>
            <w:r w:rsidR="0046633B">
              <w:rPr>
                <w:noProof/>
                <w:webHidden/>
              </w:rPr>
              <w:t>34</w:t>
            </w:r>
            <w:r w:rsidR="0046633B">
              <w:rPr>
                <w:noProof/>
                <w:webHidden/>
              </w:rPr>
              <w:fldChar w:fldCharType="end"/>
            </w:r>
          </w:hyperlink>
        </w:p>
        <w:p w14:paraId="10186DDE" w14:textId="163CE078" w:rsidR="0046633B" w:rsidRDefault="006D43BC">
          <w:pPr>
            <w:pStyle w:val="TOC3"/>
            <w:tabs>
              <w:tab w:val="left" w:pos="1540"/>
              <w:tab w:val="right" w:leader="dot" w:pos="10790"/>
            </w:tabs>
            <w:rPr>
              <w:rFonts w:asciiTheme="minorHAnsi" w:eastAsiaTheme="minorEastAsia" w:hAnsiTheme="minorHAnsi"/>
              <w:noProof/>
              <w:sz w:val="22"/>
            </w:rPr>
          </w:pPr>
          <w:hyperlink w:anchor="_Toc13567389" w:history="1">
            <w:r w:rsidR="0046633B" w:rsidRPr="005A308E">
              <w:rPr>
                <w:rStyle w:val="Hyperlink"/>
                <w:noProof/>
              </w:rPr>
              <w:t>1.7.5</w:t>
            </w:r>
            <w:r w:rsidR="0046633B">
              <w:rPr>
                <w:rFonts w:asciiTheme="minorHAnsi" w:eastAsiaTheme="minorEastAsia" w:hAnsiTheme="minorHAnsi"/>
                <w:noProof/>
                <w:sz w:val="22"/>
              </w:rPr>
              <w:tab/>
            </w:r>
            <w:r w:rsidR="0046633B" w:rsidRPr="005A308E">
              <w:rPr>
                <w:rStyle w:val="Hyperlink"/>
                <w:noProof/>
              </w:rPr>
              <w:t>UI Interfaces</w:t>
            </w:r>
            <w:r w:rsidR="0046633B">
              <w:rPr>
                <w:noProof/>
                <w:webHidden/>
              </w:rPr>
              <w:tab/>
            </w:r>
            <w:r w:rsidR="0046633B">
              <w:rPr>
                <w:noProof/>
                <w:webHidden/>
              </w:rPr>
              <w:fldChar w:fldCharType="begin"/>
            </w:r>
            <w:r w:rsidR="0046633B">
              <w:rPr>
                <w:noProof/>
                <w:webHidden/>
              </w:rPr>
              <w:instrText xml:space="preserve"> PAGEREF _Toc13567389 \h </w:instrText>
            </w:r>
            <w:r w:rsidR="0046633B">
              <w:rPr>
                <w:noProof/>
                <w:webHidden/>
              </w:rPr>
            </w:r>
            <w:r w:rsidR="0046633B">
              <w:rPr>
                <w:noProof/>
                <w:webHidden/>
              </w:rPr>
              <w:fldChar w:fldCharType="separate"/>
            </w:r>
            <w:r w:rsidR="0046633B">
              <w:rPr>
                <w:noProof/>
                <w:webHidden/>
              </w:rPr>
              <w:t>38</w:t>
            </w:r>
            <w:r w:rsidR="0046633B">
              <w:rPr>
                <w:noProof/>
                <w:webHidden/>
              </w:rPr>
              <w:fldChar w:fldCharType="end"/>
            </w:r>
          </w:hyperlink>
        </w:p>
        <w:p w14:paraId="143B9B3E" w14:textId="11955C05" w:rsidR="0046633B" w:rsidRDefault="006D43BC">
          <w:pPr>
            <w:pStyle w:val="TOC2"/>
            <w:tabs>
              <w:tab w:val="left" w:pos="880"/>
            </w:tabs>
            <w:rPr>
              <w:rFonts w:asciiTheme="minorHAnsi" w:eastAsiaTheme="minorEastAsia" w:hAnsiTheme="minorHAnsi"/>
              <w:noProof/>
              <w:sz w:val="22"/>
            </w:rPr>
          </w:pPr>
          <w:hyperlink w:anchor="_Toc13567390" w:history="1">
            <w:r w:rsidR="0046633B" w:rsidRPr="005A308E">
              <w:rPr>
                <w:rStyle w:val="Hyperlink"/>
                <w:noProof/>
              </w:rPr>
              <w:t>1.8</w:t>
            </w:r>
            <w:r w:rsidR="0046633B">
              <w:rPr>
                <w:rFonts w:asciiTheme="minorHAnsi" w:eastAsiaTheme="minorEastAsia" w:hAnsiTheme="minorHAnsi"/>
                <w:noProof/>
                <w:sz w:val="22"/>
              </w:rPr>
              <w:tab/>
            </w:r>
            <w:r w:rsidR="0046633B" w:rsidRPr="005A308E">
              <w:rPr>
                <w:rStyle w:val="Hyperlink"/>
                <w:noProof/>
              </w:rPr>
              <w:t>Current Metrics</w:t>
            </w:r>
            <w:r w:rsidR="0046633B">
              <w:rPr>
                <w:noProof/>
                <w:webHidden/>
              </w:rPr>
              <w:tab/>
            </w:r>
            <w:r w:rsidR="0046633B">
              <w:rPr>
                <w:noProof/>
                <w:webHidden/>
              </w:rPr>
              <w:fldChar w:fldCharType="begin"/>
            </w:r>
            <w:r w:rsidR="0046633B">
              <w:rPr>
                <w:noProof/>
                <w:webHidden/>
              </w:rPr>
              <w:instrText xml:space="preserve"> PAGEREF _Toc13567390 \h </w:instrText>
            </w:r>
            <w:r w:rsidR="0046633B">
              <w:rPr>
                <w:noProof/>
                <w:webHidden/>
              </w:rPr>
            </w:r>
            <w:r w:rsidR="0046633B">
              <w:rPr>
                <w:noProof/>
                <w:webHidden/>
              </w:rPr>
              <w:fldChar w:fldCharType="separate"/>
            </w:r>
            <w:r w:rsidR="0046633B">
              <w:rPr>
                <w:noProof/>
                <w:webHidden/>
              </w:rPr>
              <w:t>40</w:t>
            </w:r>
            <w:r w:rsidR="0046633B">
              <w:rPr>
                <w:noProof/>
                <w:webHidden/>
              </w:rPr>
              <w:fldChar w:fldCharType="end"/>
            </w:r>
          </w:hyperlink>
        </w:p>
        <w:p w14:paraId="4DBF58D6" w14:textId="4F9F4F06" w:rsidR="0046633B" w:rsidRDefault="006D43BC">
          <w:pPr>
            <w:pStyle w:val="TOC1"/>
            <w:rPr>
              <w:rFonts w:asciiTheme="minorHAnsi" w:eastAsiaTheme="minorEastAsia" w:hAnsiTheme="minorHAnsi"/>
              <w:noProof/>
              <w:sz w:val="22"/>
            </w:rPr>
          </w:pPr>
          <w:hyperlink w:anchor="_Toc13567391" w:history="1">
            <w:r w:rsidR="0046633B" w:rsidRPr="005A308E">
              <w:rPr>
                <w:rStyle w:val="Hyperlink"/>
                <w:noProof/>
              </w:rPr>
              <w:t>2.</w:t>
            </w:r>
            <w:r w:rsidR="0046633B">
              <w:rPr>
                <w:rFonts w:asciiTheme="minorHAnsi" w:eastAsiaTheme="minorEastAsia" w:hAnsiTheme="minorHAnsi"/>
                <w:noProof/>
                <w:sz w:val="22"/>
              </w:rPr>
              <w:tab/>
            </w:r>
            <w:r w:rsidR="0046633B" w:rsidRPr="005A308E">
              <w:rPr>
                <w:rStyle w:val="Hyperlink"/>
                <w:noProof/>
              </w:rPr>
              <w:t>Project Scope</w:t>
            </w:r>
            <w:r w:rsidR="0046633B">
              <w:rPr>
                <w:noProof/>
                <w:webHidden/>
              </w:rPr>
              <w:tab/>
            </w:r>
            <w:r w:rsidR="0046633B">
              <w:rPr>
                <w:noProof/>
                <w:webHidden/>
              </w:rPr>
              <w:fldChar w:fldCharType="begin"/>
            </w:r>
            <w:r w:rsidR="0046633B">
              <w:rPr>
                <w:noProof/>
                <w:webHidden/>
              </w:rPr>
              <w:instrText xml:space="preserve"> PAGEREF _Toc13567391 \h </w:instrText>
            </w:r>
            <w:r w:rsidR="0046633B">
              <w:rPr>
                <w:noProof/>
                <w:webHidden/>
              </w:rPr>
            </w:r>
            <w:r w:rsidR="0046633B">
              <w:rPr>
                <w:noProof/>
                <w:webHidden/>
              </w:rPr>
              <w:fldChar w:fldCharType="separate"/>
            </w:r>
            <w:r w:rsidR="0046633B">
              <w:rPr>
                <w:noProof/>
                <w:webHidden/>
              </w:rPr>
              <w:t>46</w:t>
            </w:r>
            <w:r w:rsidR="0046633B">
              <w:rPr>
                <w:noProof/>
                <w:webHidden/>
              </w:rPr>
              <w:fldChar w:fldCharType="end"/>
            </w:r>
          </w:hyperlink>
        </w:p>
        <w:p w14:paraId="40BFF63D" w14:textId="54249187" w:rsidR="0046633B" w:rsidRDefault="006D43BC">
          <w:pPr>
            <w:pStyle w:val="TOC2"/>
            <w:tabs>
              <w:tab w:val="left" w:pos="880"/>
            </w:tabs>
            <w:rPr>
              <w:rFonts w:asciiTheme="minorHAnsi" w:eastAsiaTheme="minorEastAsia" w:hAnsiTheme="minorHAnsi"/>
              <w:noProof/>
              <w:sz w:val="22"/>
            </w:rPr>
          </w:pPr>
          <w:hyperlink w:anchor="_Toc13567392" w:history="1">
            <w:r w:rsidR="0046633B" w:rsidRPr="005A308E">
              <w:rPr>
                <w:rStyle w:val="Hyperlink"/>
                <w:noProof/>
              </w:rPr>
              <w:t>2.1</w:t>
            </w:r>
            <w:r w:rsidR="0046633B">
              <w:rPr>
                <w:rFonts w:asciiTheme="minorHAnsi" w:eastAsiaTheme="minorEastAsia" w:hAnsiTheme="minorHAnsi"/>
                <w:noProof/>
                <w:sz w:val="22"/>
              </w:rPr>
              <w:tab/>
            </w:r>
            <w:r w:rsidR="0046633B" w:rsidRPr="005A308E">
              <w:rPr>
                <w:rStyle w:val="Hyperlink"/>
                <w:noProof/>
              </w:rPr>
              <w:t>Scope of Work</w:t>
            </w:r>
            <w:r w:rsidR="0046633B">
              <w:rPr>
                <w:noProof/>
                <w:webHidden/>
              </w:rPr>
              <w:tab/>
            </w:r>
            <w:r w:rsidR="0046633B">
              <w:rPr>
                <w:noProof/>
                <w:webHidden/>
              </w:rPr>
              <w:fldChar w:fldCharType="begin"/>
            </w:r>
            <w:r w:rsidR="0046633B">
              <w:rPr>
                <w:noProof/>
                <w:webHidden/>
              </w:rPr>
              <w:instrText xml:space="preserve"> PAGEREF _Toc13567392 \h </w:instrText>
            </w:r>
            <w:r w:rsidR="0046633B">
              <w:rPr>
                <w:noProof/>
                <w:webHidden/>
              </w:rPr>
            </w:r>
            <w:r w:rsidR="0046633B">
              <w:rPr>
                <w:noProof/>
                <w:webHidden/>
              </w:rPr>
              <w:fldChar w:fldCharType="separate"/>
            </w:r>
            <w:r w:rsidR="0046633B">
              <w:rPr>
                <w:noProof/>
                <w:webHidden/>
              </w:rPr>
              <w:t>46</w:t>
            </w:r>
            <w:r w:rsidR="0046633B">
              <w:rPr>
                <w:noProof/>
                <w:webHidden/>
              </w:rPr>
              <w:fldChar w:fldCharType="end"/>
            </w:r>
          </w:hyperlink>
        </w:p>
        <w:p w14:paraId="1F565C9A" w14:textId="7D3DB691" w:rsidR="0046633B" w:rsidRDefault="006D43BC">
          <w:pPr>
            <w:pStyle w:val="TOC3"/>
            <w:tabs>
              <w:tab w:val="left" w:pos="1540"/>
              <w:tab w:val="right" w:leader="dot" w:pos="10790"/>
            </w:tabs>
            <w:rPr>
              <w:rFonts w:asciiTheme="minorHAnsi" w:eastAsiaTheme="minorEastAsia" w:hAnsiTheme="minorHAnsi"/>
              <w:noProof/>
              <w:sz w:val="22"/>
            </w:rPr>
          </w:pPr>
          <w:hyperlink w:anchor="_Toc13567393" w:history="1">
            <w:r w:rsidR="0046633B" w:rsidRPr="005A308E">
              <w:rPr>
                <w:rStyle w:val="Hyperlink"/>
                <w:noProof/>
              </w:rPr>
              <w:t>2.1.1</w:t>
            </w:r>
            <w:r w:rsidR="0046633B">
              <w:rPr>
                <w:rFonts w:asciiTheme="minorHAnsi" w:eastAsiaTheme="minorEastAsia" w:hAnsiTheme="minorHAnsi"/>
                <w:noProof/>
                <w:sz w:val="22"/>
              </w:rPr>
              <w:tab/>
            </w:r>
            <w:r w:rsidR="0046633B" w:rsidRPr="005A308E">
              <w:rPr>
                <w:rStyle w:val="Hyperlink"/>
                <w:noProof/>
              </w:rPr>
              <w:t>Scope Includes</w:t>
            </w:r>
            <w:r w:rsidR="0046633B">
              <w:rPr>
                <w:noProof/>
                <w:webHidden/>
              </w:rPr>
              <w:tab/>
            </w:r>
            <w:r w:rsidR="0046633B">
              <w:rPr>
                <w:noProof/>
                <w:webHidden/>
              </w:rPr>
              <w:fldChar w:fldCharType="begin"/>
            </w:r>
            <w:r w:rsidR="0046633B">
              <w:rPr>
                <w:noProof/>
                <w:webHidden/>
              </w:rPr>
              <w:instrText xml:space="preserve"> PAGEREF _Toc13567393 \h </w:instrText>
            </w:r>
            <w:r w:rsidR="0046633B">
              <w:rPr>
                <w:noProof/>
                <w:webHidden/>
              </w:rPr>
            </w:r>
            <w:r w:rsidR="0046633B">
              <w:rPr>
                <w:noProof/>
                <w:webHidden/>
              </w:rPr>
              <w:fldChar w:fldCharType="separate"/>
            </w:r>
            <w:r w:rsidR="0046633B">
              <w:rPr>
                <w:noProof/>
                <w:webHidden/>
              </w:rPr>
              <w:t>46</w:t>
            </w:r>
            <w:r w:rsidR="0046633B">
              <w:rPr>
                <w:noProof/>
                <w:webHidden/>
              </w:rPr>
              <w:fldChar w:fldCharType="end"/>
            </w:r>
          </w:hyperlink>
        </w:p>
        <w:p w14:paraId="4F2B3CA3" w14:textId="79F0B788" w:rsidR="0046633B" w:rsidRDefault="006D43BC">
          <w:pPr>
            <w:pStyle w:val="TOC3"/>
            <w:tabs>
              <w:tab w:val="left" w:pos="1540"/>
              <w:tab w:val="right" w:leader="dot" w:pos="10790"/>
            </w:tabs>
            <w:rPr>
              <w:rFonts w:asciiTheme="minorHAnsi" w:eastAsiaTheme="minorEastAsia" w:hAnsiTheme="minorHAnsi"/>
              <w:noProof/>
              <w:sz w:val="22"/>
            </w:rPr>
          </w:pPr>
          <w:hyperlink w:anchor="_Toc13567394" w:history="1">
            <w:r w:rsidR="0046633B" w:rsidRPr="005A308E">
              <w:rPr>
                <w:rStyle w:val="Hyperlink"/>
                <w:noProof/>
              </w:rPr>
              <w:t>2.1.2</w:t>
            </w:r>
            <w:r w:rsidR="0046633B">
              <w:rPr>
                <w:rFonts w:asciiTheme="minorHAnsi" w:eastAsiaTheme="minorEastAsia" w:hAnsiTheme="minorHAnsi"/>
                <w:noProof/>
                <w:sz w:val="22"/>
              </w:rPr>
              <w:tab/>
            </w:r>
            <w:r w:rsidR="0046633B" w:rsidRPr="005A308E">
              <w:rPr>
                <w:rStyle w:val="Hyperlink"/>
                <w:noProof/>
              </w:rPr>
              <w:t>Scope Excludes</w:t>
            </w:r>
            <w:r w:rsidR="0046633B">
              <w:rPr>
                <w:noProof/>
                <w:webHidden/>
              </w:rPr>
              <w:tab/>
            </w:r>
            <w:r w:rsidR="0046633B">
              <w:rPr>
                <w:noProof/>
                <w:webHidden/>
              </w:rPr>
              <w:fldChar w:fldCharType="begin"/>
            </w:r>
            <w:r w:rsidR="0046633B">
              <w:rPr>
                <w:noProof/>
                <w:webHidden/>
              </w:rPr>
              <w:instrText xml:space="preserve"> PAGEREF _Toc13567394 \h </w:instrText>
            </w:r>
            <w:r w:rsidR="0046633B">
              <w:rPr>
                <w:noProof/>
                <w:webHidden/>
              </w:rPr>
            </w:r>
            <w:r w:rsidR="0046633B">
              <w:rPr>
                <w:noProof/>
                <w:webHidden/>
              </w:rPr>
              <w:fldChar w:fldCharType="separate"/>
            </w:r>
            <w:r w:rsidR="0046633B">
              <w:rPr>
                <w:noProof/>
                <w:webHidden/>
              </w:rPr>
              <w:t>46</w:t>
            </w:r>
            <w:r w:rsidR="0046633B">
              <w:rPr>
                <w:noProof/>
                <w:webHidden/>
              </w:rPr>
              <w:fldChar w:fldCharType="end"/>
            </w:r>
          </w:hyperlink>
        </w:p>
        <w:p w14:paraId="48C21800" w14:textId="09898280" w:rsidR="0046633B" w:rsidRDefault="006D43BC">
          <w:pPr>
            <w:pStyle w:val="TOC2"/>
            <w:tabs>
              <w:tab w:val="left" w:pos="880"/>
            </w:tabs>
            <w:rPr>
              <w:rFonts w:asciiTheme="minorHAnsi" w:eastAsiaTheme="minorEastAsia" w:hAnsiTheme="minorHAnsi"/>
              <w:noProof/>
              <w:sz w:val="22"/>
            </w:rPr>
          </w:pPr>
          <w:hyperlink w:anchor="_Toc13567395" w:history="1">
            <w:r w:rsidR="0046633B" w:rsidRPr="005A308E">
              <w:rPr>
                <w:rStyle w:val="Hyperlink"/>
                <w:noProof/>
              </w:rPr>
              <w:t>2.2</w:t>
            </w:r>
            <w:r w:rsidR="0046633B">
              <w:rPr>
                <w:rFonts w:asciiTheme="minorHAnsi" w:eastAsiaTheme="minorEastAsia" w:hAnsiTheme="minorHAnsi"/>
                <w:noProof/>
                <w:sz w:val="22"/>
              </w:rPr>
              <w:tab/>
            </w:r>
            <w:r w:rsidR="0046633B" w:rsidRPr="005A308E">
              <w:rPr>
                <w:rStyle w:val="Hyperlink"/>
                <w:noProof/>
              </w:rPr>
              <w:t>Tasks and Required Project Deliverables</w:t>
            </w:r>
            <w:r w:rsidR="0046633B">
              <w:rPr>
                <w:noProof/>
                <w:webHidden/>
              </w:rPr>
              <w:tab/>
            </w:r>
            <w:r w:rsidR="0046633B">
              <w:rPr>
                <w:noProof/>
                <w:webHidden/>
              </w:rPr>
              <w:fldChar w:fldCharType="begin"/>
            </w:r>
            <w:r w:rsidR="0046633B">
              <w:rPr>
                <w:noProof/>
                <w:webHidden/>
              </w:rPr>
              <w:instrText xml:space="preserve"> PAGEREF _Toc13567395 \h </w:instrText>
            </w:r>
            <w:r w:rsidR="0046633B">
              <w:rPr>
                <w:noProof/>
                <w:webHidden/>
              </w:rPr>
            </w:r>
            <w:r w:rsidR="0046633B">
              <w:rPr>
                <w:noProof/>
                <w:webHidden/>
              </w:rPr>
              <w:fldChar w:fldCharType="separate"/>
            </w:r>
            <w:r w:rsidR="0046633B">
              <w:rPr>
                <w:noProof/>
                <w:webHidden/>
              </w:rPr>
              <w:t>46</w:t>
            </w:r>
            <w:r w:rsidR="0046633B">
              <w:rPr>
                <w:noProof/>
                <w:webHidden/>
              </w:rPr>
              <w:fldChar w:fldCharType="end"/>
            </w:r>
          </w:hyperlink>
        </w:p>
        <w:p w14:paraId="591F8939" w14:textId="2A348B7F" w:rsidR="0046633B" w:rsidRDefault="006D43BC">
          <w:pPr>
            <w:pStyle w:val="TOC3"/>
            <w:tabs>
              <w:tab w:val="left" w:pos="1540"/>
              <w:tab w:val="right" w:leader="dot" w:pos="10790"/>
            </w:tabs>
            <w:rPr>
              <w:rFonts w:asciiTheme="minorHAnsi" w:eastAsiaTheme="minorEastAsia" w:hAnsiTheme="minorHAnsi"/>
              <w:noProof/>
              <w:sz w:val="22"/>
            </w:rPr>
          </w:pPr>
          <w:hyperlink w:anchor="_Toc13567396" w:history="1">
            <w:r w:rsidR="0046633B" w:rsidRPr="005A308E">
              <w:rPr>
                <w:rStyle w:val="Hyperlink"/>
                <w:noProof/>
              </w:rPr>
              <w:t>2.2.1</w:t>
            </w:r>
            <w:r w:rsidR="0046633B">
              <w:rPr>
                <w:rFonts w:asciiTheme="minorHAnsi" w:eastAsiaTheme="minorEastAsia" w:hAnsiTheme="minorHAnsi"/>
                <w:noProof/>
                <w:sz w:val="22"/>
              </w:rPr>
              <w:tab/>
            </w:r>
            <w:r w:rsidR="0046633B" w:rsidRPr="005A308E">
              <w:rPr>
                <w:rStyle w:val="Hyperlink"/>
                <w:noProof/>
              </w:rPr>
              <w:t>Task 1: Plan and Setup Project</w:t>
            </w:r>
            <w:r w:rsidR="0046633B">
              <w:rPr>
                <w:noProof/>
                <w:webHidden/>
              </w:rPr>
              <w:tab/>
            </w:r>
            <w:r w:rsidR="0046633B">
              <w:rPr>
                <w:noProof/>
                <w:webHidden/>
              </w:rPr>
              <w:fldChar w:fldCharType="begin"/>
            </w:r>
            <w:r w:rsidR="0046633B">
              <w:rPr>
                <w:noProof/>
                <w:webHidden/>
              </w:rPr>
              <w:instrText xml:space="preserve"> PAGEREF _Toc13567396 \h </w:instrText>
            </w:r>
            <w:r w:rsidR="0046633B">
              <w:rPr>
                <w:noProof/>
                <w:webHidden/>
              </w:rPr>
            </w:r>
            <w:r w:rsidR="0046633B">
              <w:rPr>
                <w:noProof/>
                <w:webHidden/>
              </w:rPr>
              <w:fldChar w:fldCharType="separate"/>
            </w:r>
            <w:r w:rsidR="0046633B">
              <w:rPr>
                <w:noProof/>
                <w:webHidden/>
              </w:rPr>
              <w:t>48</w:t>
            </w:r>
            <w:r w:rsidR="0046633B">
              <w:rPr>
                <w:noProof/>
                <w:webHidden/>
              </w:rPr>
              <w:fldChar w:fldCharType="end"/>
            </w:r>
          </w:hyperlink>
        </w:p>
        <w:p w14:paraId="29E025A7" w14:textId="530B287C" w:rsidR="0046633B" w:rsidRDefault="006D43BC">
          <w:pPr>
            <w:pStyle w:val="TOC3"/>
            <w:tabs>
              <w:tab w:val="left" w:pos="1540"/>
              <w:tab w:val="right" w:leader="dot" w:pos="10790"/>
            </w:tabs>
            <w:rPr>
              <w:rFonts w:asciiTheme="minorHAnsi" w:eastAsiaTheme="minorEastAsia" w:hAnsiTheme="minorHAnsi"/>
              <w:noProof/>
              <w:sz w:val="22"/>
            </w:rPr>
          </w:pPr>
          <w:hyperlink w:anchor="_Toc13567397" w:history="1">
            <w:r w:rsidR="0046633B" w:rsidRPr="005A308E">
              <w:rPr>
                <w:rStyle w:val="Hyperlink"/>
                <w:noProof/>
              </w:rPr>
              <w:t>2.2.2</w:t>
            </w:r>
            <w:r w:rsidR="0046633B">
              <w:rPr>
                <w:rFonts w:asciiTheme="minorHAnsi" w:eastAsiaTheme="minorEastAsia" w:hAnsiTheme="minorHAnsi"/>
                <w:noProof/>
                <w:sz w:val="22"/>
              </w:rPr>
              <w:tab/>
            </w:r>
            <w:r w:rsidR="0046633B" w:rsidRPr="005A308E">
              <w:rPr>
                <w:rStyle w:val="Hyperlink"/>
                <w:noProof/>
              </w:rPr>
              <w:t>Task 2: Manage Requirements</w:t>
            </w:r>
            <w:r w:rsidR="0046633B">
              <w:rPr>
                <w:noProof/>
                <w:webHidden/>
              </w:rPr>
              <w:tab/>
            </w:r>
            <w:r w:rsidR="0046633B">
              <w:rPr>
                <w:noProof/>
                <w:webHidden/>
              </w:rPr>
              <w:fldChar w:fldCharType="begin"/>
            </w:r>
            <w:r w:rsidR="0046633B">
              <w:rPr>
                <w:noProof/>
                <w:webHidden/>
              </w:rPr>
              <w:instrText xml:space="preserve"> PAGEREF _Toc13567397 \h </w:instrText>
            </w:r>
            <w:r w:rsidR="0046633B">
              <w:rPr>
                <w:noProof/>
                <w:webHidden/>
              </w:rPr>
            </w:r>
            <w:r w:rsidR="0046633B">
              <w:rPr>
                <w:noProof/>
                <w:webHidden/>
              </w:rPr>
              <w:fldChar w:fldCharType="separate"/>
            </w:r>
            <w:r w:rsidR="0046633B">
              <w:rPr>
                <w:noProof/>
                <w:webHidden/>
              </w:rPr>
              <w:t>54</w:t>
            </w:r>
            <w:r w:rsidR="0046633B">
              <w:rPr>
                <w:noProof/>
                <w:webHidden/>
              </w:rPr>
              <w:fldChar w:fldCharType="end"/>
            </w:r>
          </w:hyperlink>
        </w:p>
        <w:p w14:paraId="17113842" w14:textId="0C7120FE" w:rsidR="0046633B" w:rsidRDefault="006D43BC">
          <w:pPr>
            <w:pStyle w:val="TOC3"/>
            <w:tabs>
              <w:tab w:val="left" w:pos="1540"/>
              <w:tab w:val="right" w:leader="dot" w:pos="10790"/>
            </w:tabs>
            <w:rPr>
              <w:rFonts w:asciiTheme="minorHAnsi" w:eastAsiaTheme="minorEastAsia" w:hAnsiTheme="minorHAnsi"/>
              <w:noProof/>
              <w:sz w:val="22"/>
            </w:rPr>
          </w:pPr>
          <w:hyperlink w:anchor="_Toc13567398" w:history="1">
            <w:r w:rsidR="0046633B" w:rsidRPr="005A308E">
              <w:rPr>
                <w:rStyle w:val="Hyperlink"/>
                <w:noProof/>
              </w:rPr>
              <w:t>2.2.3</w:t>
            </w:r>
            <w:r w:rsidR="0046633B">
              <w:rPr>
                <w:rFonts w:asciiTheme="minorHAnsi" w:eastAsiaTheme="minorEastAsia" w:hAnsiTheme="minorHAnsi"/>
                <w:noProof/>
                <w:sz w:val="22"/>
              </w:rPr>
              <w:tab/>
            </w:r>
            <w:r w:rsidR="0046633B" w:rsidRPr="005A308E">
              <w:rPr>
                <w:rStyle w:val="Hyperlink"/>
                <w:noProof/>
              </w:rPr>
              <w:t>Task 3: Design Holistic UI Replacement System</w:t>
            </w:r>
            <w:r w:rsidR="0046633B">
              <w:rPr>
                <w:noProof/>
                <w:webHidden/>
              </w:rPr>
              <w:tab/>
            </w:r>
            <w:r w:rsidR="0046633B">
              <w:rPr>
                <w:noProof/>
                <w:webHidden/>
              </w:rPr>
              <w:fldChar w:fldCharType="begin"/>
            </w:r>
            <w:r w:rsidR="0046633B">
              <w:rPr>
                <w:noProof/>
                <w:webHidden/>
              </w:rPr>
              <w:instrText xml:space="preserve"> PAGEREF _Toc13567398 \h </w:instrText>
            </w:r>
            <w:r w:rsidR="0046633B">
              <w:rPr>
                <w:noProof/>
                <w:webHidden/>
              </w:rPr>
            </w:r>
            <w:r w:rsidR="0046633B">
              <w:rPr>
                <w:noProof/>
                <w:webHidden/>
              </w:rPr>
              <w:fldChar w:fldCharType="separate"/>
            </w:r>
            <w:r w:rsidR="0046633B">
              <w:rPr>
                <w:noProof/>
                <w:webHidden/>
              </w:rPr>
              <w:t>58</w:t>
            </w:r>
            <w:r w:rsidR="0046633B">
              <w:rPr>
                <w:noProof/>
                <w:webHidden/>
              </w:rPr>
              <w:fldChar w:fldCharType="end"/>
            </w:r>
          </w:hyperlink>
        </w:p>
        <w:p w14:paraId="0AA8057C" w14:textId="6D640315" w:rsidR="0046633B" w:rsidRDefault="006D43BC">
          <w:pPr>
            <w:pStyle w:val="TOC3"/>
            <w:tabs>
              <w:tab w:val="left" w:pos="1540"/>
              <w:tab w:val="right" w:leader="dot" w:pos="10790"/>
            </w:tabs>
            <w:rPr>
              <w:rFonts w:asciiTheme="minorHAnsi" w:eastAsiaTheme="minorEastAsia" w:hAnsiTheme="minorHAnsi"/>
              <w:noProof/>
              <w:sz w:val="22"/>
            </w:rPr>
          </w:pPr>
          <w:hyperlink w:anchor="_Toc13567399" w:history="1">
            <w:r w:rsidR="0046633B" w:rsidRPr="005A308E">
              <w:rPr>
                <w:rStyle w:val="Hyperlink"/>
                <w:noProof/>
              </w:rPr>
              <w:t>2.2.4</w:t>
            </w:r>
            <w:r w:rsidR="0046633B">
              <w:rPr>
                <w:rFonts w:asciiTheme="minorHAnsi" w:eastAsiaTheme="minorEastAsia" w:hAnsiTheme="minorHAnsi"/>
                <w:noProof/>
                <w:sz w:val="22"/>
              </w:rPr>
              <w:tab/>
            </w:r>
            <w:r w:rsidR="0046633B" w:rsidRPr="005A308E">
              <w:rPr>
                <w:rStyle w:val="Hyperlink"/>
                <w:noProof/>
              </w:rPr>
              <w:t>Task 4: Assess Infrastructure</w:t>
            </w:r>
            <w:r w:rsidR="0046633B">
              <w:rPr>
                <w:noProof/>
                <w:webHidden/>
              </w:rPr>
              <w:tab/>
            </w:r>
            <w:r w:rsidR="0046633B">
              <w:rPr>
                <w:noProof/>
                <w:webHidden/>
              </w:rPr>
              <w:fldChar w:fldCharType="begin"/>
            </w:r>
            <w:r w:rsidR="0046633B">
              <w:rPr>
                <w:noProof/>
                <w:webHidden/>
              </w:rPr>
              <w:instrText xml:space="preserve"> PAGEREF _Toc13567399 \h </w:instrText>
            </w:r>
            <w:r w:rsidR="0046633B">
              <w:rPr>
                <w:noProof/>
                <w:webHidden/>
              </w:rPr>
            </w:r>
            <w:r w:rsidR="0046633B">
              <w:rPr>
                <w:noProof/>
                <w:webHidden/>
              </w:rPr>
              <w:fldChar w:fldCharType="separate"/>
            </w:r>
            <w:r w:rsidR="0046633B">
              <w:rPr>
                <w:noProof/>
                <w:webHidden/>
              </w:rPr>
              <w:t>60</w:t>
            </w:r>
            <w:r w:rsidR="0046633B">
              <w:rPr>
                <w:noProof/>
                <w:webHidden/>
              </w:rPr>
              <w:fldChar w:fldCharType="end"/>
            </w:r>
          </w:hyperlink>
        </w:p>
        <w:p w14:paraId="6AE720CA" w14:textId="01E28EB0" w:rsidR="0046633B" w:rsidRDefault="006D43BC">
          <w:pPr>
            <w:pStyle w:val="TOC3"/>
            <w:tabs>
              <w:tab w:val="left" w:pos="1540"/>
              <w:tab w:val="right" w:leader="dot" w:pos="10790"/>
            </w:tabs>
            <w:rPr>
              <w:rFonts w:asciiTheme="minorHAnsi" w:eastAsiaTheme="minorEastAsia" w:hAnsiTheme="minorHAnsi"/>
              <w:noProof/>
              <w:sz w:val="22"/>
            </w:rPr>
          </w:pPr>
          <w:hyperlink w:anchor="_Toc13567400" w:history="1">
            <w:r w:rsidR="0046633B" w:rsidRPr="005A308E">
              <w:rPr>
                <w:rStyle w:val="Hyperlink"/>
                <w:noProof/>
              </w:rPr>
              <w:t>2.2.5</w:t>
            </w:r>
            <w:r w:rsidR="0046633B">
              <w:rPr>
                <w:rFonts w:asciiTheme="minorHAnsi" w:eastAsiaTheme="minorEastAsia" w:hAnsiTheme="minorHAnsi"/>
                <w:noProof/>
                <w:sz w:val="22"/>
              </w:rPr>
              <w:tab/>
            </w:r>
            <w:r w:rsidR="0046633B" w:rsidRPr="005A308E">
              <w:rPr>
                <w:rStyle w:val="Hyperlink"/>
                <w:noProof/>
              </w:rPr>
              <w:t>Task 5: Configure/Develop System and Conduct Technical Acceptance Testing</w:t>
            </w:r>
            <w:r w:rsidR="0046633B">
              <w:rPr>
                <w:noProof/>
                <w:webHidden/>
              </w:rPr>
              <w:tab/>
            </w:r>
            <w:r w:rsidR="0046633B">
              <w:rPr>
                <w:noProof/>
                <w:webHidden/>
              </w:rPr>
              <w:fldChar w:fldCharType="begin"/>
            </w:r>
            <w:r w:rsidR="0046633B">
              <w:rPr>
                <w:noProof/>
                <w:webHidden/>
              </w:rPr>
              <w:instrText xml:space="preserve"> PAGEREF _Toc13567400 \h </w:instrText>
            </w:r>
            <w:r w:rsidR="0046633B">
              <w:rPr>
                <w:noProof/>
                <w:webHidden/>
              </w:rPr>
            </w:r>
            <w:r w:rsidR="0046633B">
              <w:rPr>
                <w:noProof/>
                <w:webHidden/>
              </w:rPr>
              <w:fldChar w:fldCharType="separate"/>
            </w:r>
            <w:r w:rsidR="0046633B">
              <w:rPr>
                <w:noProof/>
                <w:webHidden/>
              </w:rPr>
              <w:t>61</w:t>
            </w:r>
            <w:r w:rsidR="0046633B">
              <w:rPr>
                <w:noProof/>
                <w:webHidden/>
              </w:rPr>
              <w:fldChar w:fldCharType="end"/>
            </w:r>
          </w:hyperlink>
        </w:p>
        <w:p w14:paraId="3FE1CECF" w14:textId="7ECABA4C" w:rsidR="0046633B" w:rsidRDefault="006D43BC">
          <w:pPr>
            <w:pStyle w:val="TOC3"/>
            <w:tabs>
              <w:tab w:val="left" w:pos="1540"/>
              <w:tab w:val="right" w:leader="dot" w:pos="10790"/>
            </w:tabs>
            <w:rPr>
              <w:rFonts w:asciiTheme="minorHAnsi" w:eastAsiaTheme="minorEastAsia" w:hAnsiTheme="minorHAnsi"/>
              <w:noProof/>
              <w:sz w:val="22"/>
            </w:rPr>
          </w:pPr>
          <w:hyperlink w:anchor="_Toc13567401" w:history="1">
            <w:r w:rsidR="0046633B" w:rsidRPr="005A308E">
              <w:rPr>
                <w:rStyle w:val="Hyperlink"/>
                <w:noProof/>
              </w:rPr>
              <w:t>2.2.6</w:t>
            </w:r>
            <w:r w:rsidR="0046633B">
              <w:rPr>
                <w:rFonts w:asciiTheme="minorHAnsi" w:eastAsiaTheme="minorEastAsia" w:hAnsiTheme="minorHAnsi"/>
                <w:noProof/>
                <w:sz w:val="22"/>
              </w:rPr>
              <w:tab/>
            </w:r>
            <w:r w:rsidR="0046633B" w:rsidRPr="005A308E">
              <w:rPr>
                <w:rStyle w:val="Hyperlink"/>
                <w:noProof/>
              </w:rPr>
              <w:t>Task 6: Migrate Data</w:t>
            </w:r>
            <w:r w:rsidR="0046633B">
              <w:rPr>
                <w:noProof/>
                <w:webHidden/>
              </w:rPr>
              <w:tab/>
            </w:r>
            <w:r w:rsidR="0046633B">
              <w:rPr>
                <w:noProof/>
                <w:webHidden/>
              </w:rPr>
              <w:fldChar w:fldCharType="begin"/>
            </w:r>
            <w:r w:rsidR="0046633B">
              <w:rPr>
                <w:noProof/>
                <w:webHidden/>
              </w:rPr>
              <w:instrText xml:space="preserve"> PAGEREF _Toc13567401 \h </w:instrText>
            </w:r>
            <w:r w:rsidR="0046633B">
              <w:rPr>
                <w:noProof/>
                <w:webHidden/>
              </w:rPr>
            </w:r>
            <w:r w:rsidR="0046633B">
              <w:rPr>
                <w:noProof/>
                <w:webHidden/>
              </w:rPr>
              <w:fldChar w:fldCharType="separate"/>
            </w:r>
            <w:r w:rsidR="0046633B">
              <w:rPr>
                <w:noProof/>
                <w:webHidden/>
              </w:rPr>
              <w:t>65</w:t>
            </w:r>
            <w:r w:rsidR="0046633B">
              <w:rPr>
                <w:noProof/>
                <w:webHidden/>
              </w:rPr>
              <w:fldChar w:fldCharType="end"/>
            </w:r>
          </w:hyperlink>
        </w:p>
        <w:p w14:paraId="54C7A48E" w14:textId="22F8FDB7" w:rsidR="0046633B" w:rsidRDefault="006D43BC">
          <w:pPr>
            <w:pStyle w:val="TOC3"/>
            <w:tabs>
              <w:tab w:val="left" w:pos="1540"/>
              <w:tab w:val="right" w:leader="dot" w:pos="10790"/>
            </w:tabs>
            <w:rPr>
              <w:rFonts w:asciiTheme="minorHAnsi" w:eastAsiaTheme="minorEastAsia" w:hAnsiTheme="minorHAnsi"/>
              <w:noProof/>
              <w:sz w:val="22"/>
            </w:rPr>
          </w:pPr>
          <w:hyperlink w:anchor="_Toc13567402" w:history="1">
            <w:r w:rsidR="0046633B" w:rsidRPr="005A308E">
              <w:rPr>
                <w:rStyle w:val="Hyperlink"/>
                <w:noProof/>
              </w:rPr>
              <w:t>2.2.7</w:t>
            </w:r>
            <w:r w:rsidR="0046633B">
              <w:rPr>
                <w:rFonts w:asciiTheme="minorHAnsi" w:eastAsiaTheme="minorEastAsia" w:hAnsiTheme="minorHAnsi"/>
                <w:noProof/>
                <w:sz w:val="22"/>
              </w:rPr>
              <w:tab/>
            </w:r>
            <w:r w:rsidR="0046633B" w:rsidRPr="005A308E">
              <w:rPr>
                <w:rStyle w:val="Hyperlink"/>
                <w:noProof/>
              </w:rPr>
              <w:t>Task 7: Implement Interfaces</w:t>
            </w:r>
            <w:r w:rsidR="0046633B">
              <w:rPr>
                <w:noProof/>
                <w:webHidden/>
              </w:rPr>
              <w:tab/>
            </w:r>
            <w:r w:rsidR="0046633B">
              <w:rPr>
                <w:noProof/>
                <w:webHidden/>
              </w:rPr>
              <w:fldChar w:fldCharType="begin"/>
            </w:r>
            <w:r w:rsidR="0046633B">
              <w:rPr>
                <w:noProof/>
                <w:webHidden/>
              </w:rPr>
              <w:instrText xml:space="preserve"> PAGEREF _Toc13567402 \h </w:instrText>
            </w:r>
            <w:r w:rsidR="0046633B">
              <w:rPr>
                <w:noProof/>
                <w:webHidden/>
              </w:rPr>
            </w:r>
            <w:r w:rsidR="0046633B">
              <w:rPr>
                <w:noProof/>
                <w:webHidden/>
              </w:rPr>
              <w:fldChar w:fldCharType="separate"/>
            </w:r>
            <w:r w:rsidR="0046633B">
              <w:rPr>
                <w:noProof/>
                <w:webHidden/>
              </w:rPr>
              <w:t>68</w:t>
            </w:r>
            <w:r w:rsidR="0046633B">
              <w:rPr>
                <w:noProof/>
                <w:webHidden/>
              </w:rPr>
              <w:fldChar w:fldCharType="end"/>
            </w:r>
          </w:hyperlink>
        </w:p>
        <w:p w14:paraId="0A00AEC3" w14:textId="524EA0E8" w:rsidR="0046633B" w:rsidRDefault="006D43BC">
          <w:pPr>
            <w:pStyle w:val="TOC3"/>
            <w:tabs>
              <w:tab w:val="left" w:pos="1540"/>
              <w:tab w:val="right" w:leader="dot" w:pos="10790"/>
            </w:tabs>
            <w:rPr>
              <w:rFonts w:asciiTheme="minorHAnsi" w:eastAsiaTheme="minorEastAsia" w:hAnsiTheme="minorHAnsi"/>
              <w:noProof/>
              <w:sz w:val="22"/>
            </w:rPr>
          </w:pPr>
          <w:hyperlink w:anchor="_Toc13567403" w:history="1">
            <w:r w:rsidR="0046633B" w:rsidRPr="005A308E">
              <w:rPr>
                <w:rStyle w:val="Hyperlink"/>
                <w:noProof/>
              </w:rPr>
              <w:t>2.2.8</w:t>
            </w:r>
            <w:r w:rsidR="0046633B">
              <w:rPr>
                <w:rFonts w:asciiTheme="minorHAnsi" w:eastAsiaTheme="minorEastAsia" w:hAnsiTheme="minorHAnsi"/>
                <w:noProof/>
                <w:sz w:val="22"/>
              </w:rPr>
              <w:tab/>
            </w:r>
            <w:r w:rsidR="0046633B" w:rsidRPr="005A308E">
              <w:rPr>
                <w:rStyle w:val="Hyperlink"/>
                <w:noProof/>
              </w:rPr>
              <w:t>Task 8: Replace Reports</w:t>
            </w:r>
            <w:r w:rsidR="0046633B">
              <w:rPr>
                <w:noProof/>
                <w:webHidden/>
              </w:rPr>
              <w:tab/>
            </w:r>
            <w:r w:rsidR="0046633B">
              <w:rPr>
                <w:noProof/>
                <w:webHidden/>
              </w:rPr>
              <w:fldChar w:fldCharType="begin"/>
            </w:r>
            <w:r w:rsidR="0046633B">
              <w:rPr>
                <w:noProof/>
                <w:webHidden/>
              </w:rPr>
              <w:instrText xml:space="preserve"> PAGEREF _Toc13567403 \h </w:instrText>
            </w:r>
            <w:r w:rsidR="0046633B">
              <w:rPr>
                <w:noProof/>
                <w:webHidden/>
              </w:rPr>
            </w:r>
            <w:r w:rsidR="0046633B">
              <w:rPr>
                <w:noProof/>
                <w:webHidden/>
              </w:rPr>
              <w:fldChar w:fldCharType="separate"/>
            </w:r>
            <w:r w:rsidR="0046633B">
              <w:rPr>
                <w:noProof/>
                <w:webHidden/>
              </w:rPr>
              <w:t>69</w:t>
            </w:r>
            <w:r w:rsidR="0046633B">
              <w:rPr>
                <w:noProof/>
                <w:webHidden/>
              </w:rPr>
              <w:fldChar w:fldCharType="end"/>
            </w:r>
          </w:hyperlink>
        </w:p>
        <w:p w14:paraId="573D13C7" w14:textId="3CF5B881" w:rsidR="0046633B" w:rsidRDefault="006D43BC">
          <w:pPr>
            <w:pStyle w:val="TOC3"/>
            <w:tabs>
              <w:tab w:val="left" w:pos="1540"/>
              <w:tab w:val="right" w:leader="dot" w:pos="10790"/>
            </w:tabs>
            <w:rPr>
              <w:rFonts w:asciiTheme="minorHAnsi" w:eastAsiaTheme="minorEastAsia" w:hAnsiTheme="minorHAnsi"/>
              <w:noProof/>
              <w:sz w:val="22"/>
            </w:rPr>
          </w:pPr>
          <w:hyperlink w:anchor="_Toc13567404" w:history="1">
            <w:r w:rsidR="0046633B" w:rsidRPr="005A308E">
              <w:rPr>
                <w:rStyle w:val="Hyperlink"/>
                <w:noProof/>
              </w:rPr>
              <w:t>2.2.9</w:t>
            </w:r>
            <w:r w:rsidR="0046633B">
              <w:rPr>
                <w:rFonts w:asciiTheme="minorHAnsi" w:eastAsiaTheme="minorEastAsia" w:hAnsiTheme="minorHAnsi"/>
                <w:noProof/>
                <w:sz w:val="22"/>
              </w:rPr>
              <w:tab/>
            </w:r>
            <w:r w:rsidR="0046633B" w:rsidRPr="005A308E">
              <w:rPr>
                <w:rStyle w:val="Hyperlink"/>
                <w:noProof/>
              </w:rPr>
              <w:t>Task 9: Plan and Implement OCM</w:t>
            </w:r>
            <w:r w:rsidR="0046633B">
              <w:rPr>
                <w:noProof/>
                <w:webHidden/>
              </w:rPr>
              <w:tab/>
            </w:r>
            <w:r w:rsidR="0046633B">
              <w:rPr>
                <w:noProof/>
                <w:webHidden/>
              </w:rPr>
              <w:fldChar w:fldCharType="begin"/>
            </w:r>
            <w:r w:rsidR="0046633B">
              <w:rPr>
                <w:noProof/>
                <w:webHidden/>
              </w:rPr>
              <w:instrText xml:space="preserve"> PAGEREF _Toc13567404 \h </w:instrText>
            </w:r>
            <w:r w:rsidR="0046633B">
              <w:rPr>
                <w:noProof/>
                <w:webHidden/>
              </w:rPr>
            </w:r>
            <w:r w:rsidR="0046633B">
              <w:rPr>
                <w:noProof/>
                <w:webHidden/>
              </w:rPr>
              <w:fldChar w:fldCharType="separate"/>
            </w:r>
            <w:r w:rsidR="0046633B">
              <w:rPr>
                <w:noProof/>
                <w:webHidden/>
              </w:rPr>
              <w:t>70</w:t>
            </w:r>
            <w:r w:rsidR="0046633B">
              <w:rPr>
                <w:noProof/>
                <w:webHidden/>
              </w:rPr>
              <w:fldChar w:fldCharType="end"/>
            </w:r>
          </w:hyperlink>
        </w:p>
        <w:p w14:paraId="5D2CA82F" w14:textId="43736D4D" w:rsidR="0046633B" w:rsidRDefault="006D43BC">
          <w:pPr>
            <w:pStyle w:val="TOC3"/>
            <w:tabs>
              <w:tab w:val="left" w:pos="1540"/>
              <w:tab w:val="right" w:leader="dot" w:pos="10790"/>
            </w:tabs>
            <w:rPr>
              <w:rFonts w:asciiTheme="minorHAnsi" w:eastAsiaTheme="minorEastAsia" w:hAnsiTheme="minorHAnsi"/>
              <w:noProof/>
              <w:sz w:val="22"/>
            </w:rPr>
          </w:pPr>
          <w:hyperlink w:anchor="_Toc13567405" w:history="1">
            <w:r w:rsidR="0046633B" w:rsidRPr="005A308E">
              <w:rPr>
                <w:rStyle w:val="Hyperlink"/>
                <w:noProof/>
              </w:rPr>
              <w:t>2.2.10</w:t>
            </w:r>
            <w:r w:rsidR="0046633B">
              <w:rPr>
                <w:rFonts w:asciiTheme="minorHAnsi" w:eastAsiaTheme="minorEastAsia" w:hAnsiTheme="minorHAnsi"/>
                <w:noProof/>
                <w:sz w:val="22"/>
              </w:rPr>
              <w:tab/>
            </w:r>
            <w:r w:rsidR="0046633B" w:rsidRPr="005A308E">
              <w:rPr>
                <w:rStyle w:val="Hyperlink"/>
                <w:noProof/>
              </w:rPr>
              <w:t>Task 10: Implement Automated Testing Solution</w:t>
            </w:r>
            <w:r w:rsidR="0046633B">
              <w:rPr>
                <w:noProof/>
                <w:webHidden/>
              </w:rPr>
              <w:tab/>
            </w:r>
            <w:r w:rsidR="0046633B">
              <w:rPr>
                <w:noProof/>
                <w:webHidden/>
              </w:rPr>
              <w:fldChar w:fldCharType="begin"/>
            </w:r>
            <w:r w:rsidR="0046633B">
              <w:rPr>
                <w:noProof/>
                <w:webHidden/>
              </w:rPr>
              <w:instrText xml:space="preserve"> PAGEREF _Toc13567405 \h </w:instrText>
            </w:r>
            <w:r w:rsidR="0046633B">
              <w:rPr>
                <w:noProof/>
                <w:webHidden/>
              </w:rPr>
            </w:r>
            <w:r w:rsidR="0046633B">
              <w:rPr>
                <w:noProof/>
                <w:webHidden/>
              </w:rPr>
              <w:fldChar w:fldCharType="separate"/>
            </w:r>
            <w:r w:rsidR="0046633B">
              <w:rPr>
                <w:noProof/>
                <w:webHidden/>
              </w:rPr>
              <w:t>72</w:t>
            </w:r>
            <w:r w:rsidR="0046633B">
              <w:rPr>
                <w:noProof/>
                <w:webHidden/>
              </w:rPr>
              <w:fldChar w:fldCharType="end"/>
            </w:r>
          </w:hyperlink>
        </w:p>
        <w:p w14:paraId="153D0CB0" w14:textId="6F6384AB" w:rsidR="0046633B" w:rsidRDefault="006D43BC">
          <w:pPr>
            <w:pStyle w:val="TOC3"/>
            <w:tabs>
              <w:tab w:val="left" w:pos="1540"/>
              <w:tab w:val="right" w:leader="dot" w:pos="10790"/>
            </w:tabs>
            <w:rPr>
              <w:rFonts w:asciiTheme="minorHAnsi" w:eastAsiaTheme="minorEastAsia" w:hAnsiTheme="minorHAnsi"/>
              <w:noProof/>
              <w:sz w:val="22"/>
            </w:rPr>
          </w:pPr>
          <w:hyperlink w:anchor="_Toc13567406" w:history="1">
            <w:r w:rsidR="0046633B" w:rsidRPr="005A308E">
              <w:rPr>
                <w:rStyle w:val="Hyperlink"/>
                <w:noProof/>
              </w:rPr>
              <w:t>2.2.11</w:t>
            </w:r>
            <w:r w:rsidR="0046633B">
              <w:rPr>
                <w:rFonts w:asciiTheme="minorHAnsi" w:eastAsiaTheme="minorEastAsia" w:hAnsiTheme="minorHAnsi"/>
                <w:noProof/>
                <w:sz w:val="22"/>
              </w:rPr>
              <w:tab/>
            </w:r>
            <w:r w:rsidR="0046633B" w:rsidRPr="005A308E">
              <w:rPr>
                <w:rStyle w:val="Hyperlink"/>
                <w:noProof/>
              </w:rPr>
              <w:t>Task 11: Conduct System Testing</w:t>
            </w:r>
            <w:r w:rsidR="0046633B">
              <w:rPr>
                <w:noProof/>
                <w:webHidden/>
              </w:rPr>
              <w:tab/>
            </w:r>
            <w:r w:rsidR="0046633B">
              <w:rPr>
                <w:noProof/>
                <w:webHidden/>
              </w:rPr>
              <w:fldChar w:fldCharType="begin"/>
            </w:r>
            <w:r w:rsidR="0046633B">
              <w:rPr>
                <w:noProof/>
                <w:webHidden/>
              </w:rPr>
              <w:instrText xml:space="preserve"> PAGEREF _Toc13567406 \h </w:instrText>
            </w:r>
            <w:r w:rsidR="0046633B">
              <w:rPr>
                <w:noProof/>
                <w:webHidden/>
              </w:rPr>
            </w:r>
            <w:r w:rsidR="0046633B">
              <w:rPr>
                <w:noProof/>
                <w:webHidden/>
              </w:rPr>
              <w:fldChar w:fldCharType="separate"/>
            </w:r>
            <w:r w:rsidR="0046633B">
              <w:rPr>
                <w:noProof/>
                <w:webHidden/>
              </w:rPr>
              <w:t>74</w:t>
            </w:r>
            <w:r w:rsidR="0046633B">
              <w:rPr>
                <w:noProof/>
                <w:webHidden/>
              </w:rPr>
              <w:fldChar w:fldCharType="end"/>
            </w:r>
          </w:hyperlink>
        </w:p>
        <w:p w14:paraId="621C67D8" w14:textId="662D2EDE" w:rsidR="0046633B" w:rsidRDefault="006D43BC">
          <w:pPr>
            <w:pStyle w:val="TOC3"/>
            <w:tabs>
              <w:tab w:val="left" w:pos="1540"/>
              <w:tab w:val="right" w:leader="dot" w:pos="10790"/>
            </w:tabs>
            <w:rPr>
              <w:rFonts w:asciiTheme="minorHAnsi" w:eastAsiaTheme="minorEastAsia" w:hAnsiTheme="minorHAnsi"/>
              <w:noProof/>
              <w:sz w:val="22"/>
            </w:rPr>
          </w:pPr>
          <w:hyperlink w:anchor="_Toc13567407" w:history="1">
            <w:r w:rsidR="0046633B" w:rsidRPr="005A308E">
              <w:rPr>
                <w:rStyle w:val="Hyperlink"/>
                <w:noProof/>
              </w:rPr>
              <w:t>2.2.12</w:t>
            </w:r>
            <w:r w:rsidR="0046633B">
              <w:rPr>
                <w:rFonts w:asciiTheme="minorHAnsi" w:eastAsiaTheme="minorEastAsia" w:hAnsiTheme="minorHAnsi"/>
                <w:noProof/>
                <w:sz w:val="22"/>
              </w:rPr>
              <w:tab/>
            </w:r>
            <w:r w:rsidR="0046633B" w:rsidRPr="005A308E">
              <w:rPr>
                <w:rStyle w:val="Hyperlink"/>
                <w:noProof/>
              </w:rPr>
              <w:t>Task 12: Create and Conduct Training</w:t>
            </w:r>
            <w:r w:rsidR="0046633B">
              <w:rPr>
                <w:noProof/>
                <w:webHidden/>
              </w:rPr>
              <w:tab/>
            </w:r>
            <w:r w:rsidR="0046633B">
              <w:rPr>
                <w:noProof/>
                <w:webHidden/>
              </w:rPr>
              <w:fldChar w:fldCharType="begin"/>
            </w:r>
            <w:r w:rsidR="0046633B">
              <w:rPr>
                <w:noProof/>
                <w:webHidden/>
              </w:rPr>
              <w:instrText xml:space="preserve"> PAGEREF _Toc13567407 \h </w:instrText>
            </w:r>
            <w:r w:rsidR="0046633B">
              <w:rPr>
                <w:noProof/>
                <w:webHidden/>
              </w:rPr>
            </w:r>
            <w:r w:rsidR="0046633B">
              <w:rPr>
                <w:noProof/>
                <w:webHidden/>
              </w:rPr>
              <w:fldChar w:fldCharType="separate"/>
            </w:r>
            <w:r w:rsidR="0046633B">
              <w:rPr>
                <w:noProof/>
                <w:webHidden/>
              </w:rPr>
              <w:t>78</w:t>
            </w:r>
            <w:r w:rsidR="0046633B">
              <w:rPr>
                <w:noProof/>
                <w:webHidden/>
              </w:rPr>
              <w:fldChar w:fldCharType="end"/>
            </w:r>
          </w:hyperlink>
        </w:p>
        <w:p w14:paraId="76C8B43D" w14:textId="2F2CEBC4" w:rsidR="0046633B" w:rsidRDefault="006D43BC">
          <w:pPr>
            <w:pStyle w:val="TOC3"/>
            <w:tabs>
              <w:tab w:val="left" w:pos="1540"/>
              <w:tab w:val="right" w:leader="dot" w:pos="10790"/>
            </w:tabs>
            <w:rPr>
              <w:rFonts w:asciiTheme="minorHAnsi" w:eastAsiaTheme="minorEastAsia" w:hAnsiTheme="minorHAnsi"/>
              <w:noProof/>
              <w:sz w:val="22"/>
            </w:rPr>
          </w:pPr>
          <w:hyperlink w:anchor="_Toc13567408" w:history="1">
            <w:r w:rsidR="0046633B" w:rsidRPr="005A308E">
              <w:rPr>
                <w:rStyle w:val="Hyperlink"/>
                <w:noProof/>
              </w:rPr>
              <w:t>2.2.13</w:t>
            </w:r>
            <w:r w:rsidR="0046633B">
              <w:rPr>
                <w:rFonts w:asciiTheme="minorHAnsi" w:eastAsiaTheme="minorEastAsia" w:hAnsiTheme="minorHAnsi"/>
                <w:noProof/>
                <w:sz w:val="22"/>
              </w:rPr>
              <w:tab/>
            </w:r>
            <w:r w:rsidR="0046633B" w:rsidRPr="005A308E">
              <w:rPr>
                <w:rStyle w:val="Hyperlink"/>
                <w:noProof/>
              </w:rPr>
              <w:t>Task 13: Deployment Planning and Execution</w:t>
            </w:r>
            <w:r w:rsidR="0046633B">
              <w:rPr>
                <w:noProof/>
                <w:webHidden/>
              </w:rPr>
              <w:tab/>
            </w:r>
            <w:r w:rsidR="0046633B">
              <w:rPr>
                <w:noProof/>
                <w:webHidden/>
              </w:rPr>
              <w:fldChar w:fldCharType="begin"/>
            </w:r>
            <w:r w:rsidR="0046633B">
              <w:rPr>
                <w:noProof/>
                <w:webHidden/>
              </w:rPr>
              <w:instrText xml:space="preserve"> PAGEREF _Toc13567408 \h </w:instrText>
            </w:r>
            <w:r w:rsidR="0046633B">
              <w:rPr>
                <w:noProof/>
                <w:webHidden/>
              </w:rPr>
            </w:r>
            <w:r w:rsidR="0046633B">
              <w:rPr>
                <w:noProof/>
                <w:webHidden/>
              </w:rPr>
              <w:fldChar w:fldCharType="separate"/>
            </w:r>
            <w:r w:rsidR="0046633B">
              <w:rPr>
                <w:noProof/>
                <w:webHidden/>
              </w:rPr>
              <w:t>82</w:t>
            </w:r>
            <w:r w:rsidR="0046633B">
              <w:rPr>
                <w:noProof/>
                <w:webHidden/>
              </w:rPr>
              <w:fldChar w:fldCharType="end"/>
            </w:r>
          </w:hyperlink>
        </w:p>
        <w:p w14:paraId="0CB78226" w14:textId="32F4CC7A" w:rsidR="0046633B" w:rsidRDefault="006D43BC">
          <w:pPr>
            <w:pStyle w:val="TOC3"/>
            <w:tabs>
              <w:tab w:val="left" w:pos="1540"/>
              <w:tab w:val="right" w:leader="dot" w:pos="10790"/>
            </w:tabs>
            <w:rPr>
              <w:rFonts w:asciiTheme="minorHAnsi" w:eastAsiaTheme="minorEastAsia" w:hAnsiTheme="minorHAnsi"/>
              <w:noProof/>
              <w:sz w:val="22"/>
            </w:rPr>
          </w:pPr>
          <w:hyperlink w:anchor="_Toc13567409" w:history="1">
            <w:r w:rsidR="0046633B" w:rsidRPr="005A308E">
              <w:rPr>
                <w:rStyle w:val="Hyperlink"/>
                <w:noProof/>
              </w:rPr>
              <w:t>2.2.14</w:t>
            </w:r>
            <w:r w:rsidR="0046633B">
              <w:rPr>
                <w:rFonts w:asciiTheme="minorHAnsi" w:eastAsiaTheme="minorEastAsia" w:hAnsiTheme="minorHAnsi"/>
                <w:noProof/>
                <w:sz w:val="22"/>
              </w:rPr>
              <w:tab/>
            </w:r>
            <w:r w:rsidR="0046633B" w:rsidRPr="005A308E">
              <w:rPr>
                <w:rStyle w:val="Hyperlink"/>
                <w:noProof/>
              </w:rPr>
              <w:t>Task 14: Maintenance and Operations Plan</w:t>
            </w:r>
            <w:r w:rsidR="0046633B">
              <w:rPr>
                <w:noProof/>
                <w:webHidden/>
              </w:rPr>
              <w:tab/>
            </w:r>
            <w:r w:rsidR="0046633B">
              <w:rPr>
                <w:noProof/>
                <w:webHidden/>
              </w:rPr>
              <w:fldChar w:fldCharType="begin"/>
            </w:r>
            <w:r w:rsidR="0046633B">
              <w:rPr>
                <w:noProof/>
                <w:webHidden/>
              </w:rPr>
              <w:instrText xml:space="preserve"> PAGEREF _Toc13567409 \h </w:instrText>
            </w:r>
            <w:r w:rsidR="0046633B">
              <w:rPr>
                <w:noProof/>
                <w:webHidden/>
              </w:rPr>
            </w:r>
            <w:r w:rsidR="0046633B">
              <w:rPr>
                <w:noProof/>
                <w:webHidden/>
              </w:rPr>
              <w:fldChar w:fldCharType="separate"/>
            </w:r>
            <w:r w:rsidR="0046633B">
              <w:rPr>
                <w:noProof/>
                <w:webHidden/>
              </w:rPr>
              <w:t>84</w:t>
            </w:r>
            <w:r w:rsidR="0046633B">
              <w:rPr>
                <w:noProof/>
                <w:webHidden/>
              </w:rPr>
              <w:fldChar w:fldCharType="end"/>
            </w:r>
          </w:hyperlink>
        </w:p>
        <w:p w14:paraId="77089430" w14:textId="65876716" w:rsidR="0046633B" w:rsidRDefault="006D43BC">
          <w:pPr>
            <w:pStyle w:val="TOC3"/>
            <w:tabs>
              <w:tab w:val="left" w:pos="1540"/>
              <w:tab w:val="right" w:leader="dot" w:pos="10790"/>
            </w:tabs>
            <w:rPr>
              <w:rFonts w:asciiTheme="minorHAnsi" w:eastAsiaTheme="minorEastAsia" w:hAnsiTheme="minorHAnsi"/>
              <w:noProof/>
              <w:sz w:val="22"/>
            </w:rPr>
          </w:pPr>
          <w:hyperlink w:anchor="_Toc13567410" w:history="1">
            <w:r w:rsidR="0046633B" w:rsidRPr="005A308E">
              <w:rPr>
                <w:rStyle w:val="Hyperlink"/>
                <w:noProof/>
              </w:rPr>
              <w:t>2.2.15</w:t>
            </w:r>
            <w:r w:rsidR="0046633B">
              <w:rPr>
                <w:rFonts w:asciiTheme="minorHAnsi" w:eastAsiaTheme="minorEastAsia" w:hAnsiTheme="minorHAnsi"/>
                <w:noProof/>
                <w:sz w:val="22"/>
              </w:rPr>
              <w:tab/>
            </w:r>
            <w:r w:rsidR="0046633B" w:rsidRPr="005A308E">
              <w:rPr>
                <w:rStyle w:val="Hyperlink"/>
                <w:noProof/>
              </w:rPr>
              <w:t>Task 15: Additional Implementation Support</w:t>
            </w:r>
            <w:r w:rsidR="0046633B">
              <w:rPr>
                <w:noProof/>
                <w:webHidden/>
              </w:rPr>
              <w:tab/>
            </w:r>
            <w:r w:rsidR="0046633B">
              <w:rPr>
                <w:noProof/>
                <w:webHidden/>
              </w:rPr>
              <w:fldChar w:fldCharType="begin"/>
            </w:r>
            <w:r w:rsidR="0046633B">
              <w:rPr>
                <w:noProof/>
                <w:webHidden/>
              </w:rPr>
              <w:instrText xml:space="preserve"> PAGEREF _Toc13567410 \h </w:instrText>
            </w:r>
            <w:r w:rsidR="0046633B">
              <w:rPr>
                <w:noProof/>
                <w:webHidden/>
              </w:rPr>
            </w:r>
            <w:r w:rsidR="0046633B">
              <w:rPr>
                <w:noProof/>
                <w:webHidden/>
              </w:rPr>
              <w:fldChar w:fldCharType="separate"/>
            </w:r>
            <w:r w:rsidR="0046633B">
              <w:rPr>
                <w:noProof/>
                <w:webHidden/>
              </w:rPr>
              <w:t>87</w:t>
            </w:r>
            <w:r w:rsidR="0046633B">
              <w:rPr>
                <w:noProof/>
                <w:webHidden/>
              </w:rPr>
              <w:fldChar w:fldCharType="end"/>
            </w:r>
          </w:hyperlink>
        </w:p>
        <w:p w14:paraId="1F29F1F8" w14:textId="0E344C0E" w:rsidR="0046633B" w:rsidRDefault="006D43BC">
          <w:pPr>
            <w:pStyle w:val="TOC3"/>
            <w:tabs>
              <w:tab w:val="left" w:pos="1540"/>
              <w:tab w:val="right" w:leader="dot" w:pos="10790"/>
            </w:tabs>
            <w:rPr>
              <w:rFonts w:asciiTheme="minorHAnsi" w:eastAsiaTheme="minorEastAsia" w:hAnsiTheme="minorHAnsi"/>
              <w:noProof/>
              <w:sz w:val="22"/>
            </w:rPr>
          </w:pPr>
          <w:hyperlink w:anchor="_Toc13567411" w:history="1">
            <w:r w:rsidR="0046633B" w:rsidRPr="005A308E">
              <w:rPr>
                <w:rStyle w:val="Hyperlink"/>
                <w:noProof/>
              </w:rPr>
              <w:t>2.2.16</w:t>
            </w:r>
            <w:r w:rsidR="0046633B">
              <w:rPr>
                <w:rFonts w:asciiTheme="minorHAnsi" w:eastAsiaTheme="minorEastAsia" w:hAnsiTheme="minorHAnsi"/>
                <w:noProof/>
                <w:sz w:val="22"/>
              </w:rPr>
              <w:tab/>
            </w:r>
            <w:r w:rsidR="0046633B" w:rsidRPr="005A308E">
              <w:rPr>
                <w:rStyle w:val="Hyperlink"/>
                <w:noProof/>
              </w:rPr>
              <w:t>Task 16: Annual Software Maintenance and Support Subscription</w:t>
            </w:r>
            <w:r w:rsidR="0046633B">
              <w:rPr>
                <w:noProof/>
                <w:webHidden/>
              </w:rPr>
              <w:tab/>
            </w:r>
            <w:r w:rsidR="0046633B">
              <w:rPr>
                <w:noProof/>
                <w:webHidden/>
              </w:rPr>
              <w:fldChar w:fldCharType="begin"/>
            </w:r>
            <w:r w:rsidR="0046633B">
              <w:rPr>
                <w:noProof/>
                <w:webHidden/>
              </w:rPr>
              <w:instrText xml:space="preserve"> PAGEREF _Toc13567411 \h </w:instrText>
            </w:r>
            <w:r w:rsidR="0046633B">
              <w:rPr>
                <w:noProof/>
                <w:webHidden/>
              </w:rPr>
            </w:r>
            <w:r w:rsidR="0046633B">
              <w:rPr>
                <w:noProof/>
                <w:webHidden/>
              </w:rPr>
              <w:fldChar w:fldCharType="separate"/>
            </w:r>
            <w:r w:rsidR="0046633B">
              <w:rPr>
                <w:noProof/>
                <w:webHidden/>
              </w:rPr>
              <w:t>88</w:t>
            </w:r>
            <w:r w:rsidR="0046633B">
              <w:rPr>
                <w:noProof/>
                <w:webHidden/>
              </w:rPr>
              <w:fldChar w:fldCharType="end"/>
            </w:r>
          </w:hyperlink>
        </w:p>
        <w:p w14:paraId="27348CBD" w14:textId="65EAA17B" w:rsidR="0046633B" w:rsidRDefault="006D43BC">
          <w:pPr>
            <w:pStyle w:val="TOC3"/>
            <w:tabs>
              <w:tab w:val="left" w:pos="1540"/>
              <w:tab w:val="right" w:leader="dot" w:pos="10790"/>
            </w:tabs>
            <w:rPr>
              <w:rFonts w:asciiTheme="minorHAnsi" w:eastAsiaTheme="minorEastAsia" w:hAnsiTheme="minorHAnsi"/>
              <w:noProof/>
              <w:sz w:val="22"/>
            </w:rPr>
          </w:pPr>
          <w:hyperlink w:anchor="_Toc13567412" w:history="1">
            <w:r w:rsidR="0046633B" w:rsidRPr="005A308E">
              <w:rPr>
                <w:rStyle w:val="Hyperlink"/>
                <w:noProof/>
              </w:rPr>
              <w:t>2.2.17</w:t>
            </w:r>
            <w:r w:rsidR="0046633B">
              <w:rPr>
                <w:rFonts w:asciiTheme="minorHAnsi" w:eastAsiaTheme="minorEastAsia" w:hAnsiTheme="minorHAnsi"/>
                <w:noProof/>
                <w:sz w:val="22"/>
              </w:rPr>
              <w:tab/>
            </w:r>
            <w:r w:rsidR="0046633B" w:rsidRPr="005A308E">
              <w:rPr>
                <w:rStyle w:val="Hyperlink"/>
                <w:noProof/>
              </w:rPr>
              <w:t>Task 17: Maintain Effective Cyber Security</w:t>
            </w:r>
            <w:r w:rsidR="0046633B">
              <w:rPr>
                <w:noProof/>
                <w:webHidden/>
              </w:rPr>
              <w:tab/>
            </w:r>
            <w:r w:rsidR="0046633B">
              <w:rPr>
                <w:noProof/>
                <w:webHidden/>
              </w:rPr>
              <w:fldChar w:fldCharType="begin"/>
            </w:r>
            <w:r w:rsidR="0046633B">
              <w:rPr>
                <w:noProof/>
                <w:webHidden/>
              </w:rPr>
              <w:instrText xml:space="preserve"> PAGEREF _Toc13567412 \h </w:instrText>
            </w:r>
            <w:r w:rsidR="0046633B">
              <w:rPr>
                <w:noProof/>
                <w:webHidden/>
              </w:rPr>
            </w:r>
            <w:r w:rsidR="0046633B">
              <w:rPr>
                <w:noProof/>
                <w:webHidden/>
              </w:rPr>
              <w:fldChar w:fldCharType="separate"/>
            </w:r>
            <w:r w:rsidR="0046633B">
              <w:rPr>
                <w:noProof/>
                <w:webHidden/>
              </w:rPr>
              <w:t>90</w:t>
            </w:r>
            <w:r w:rsidR="0046633B">
              <w:rPr>
                <w:noProof/>
                <w:webHidden/>
              </w:rPr>
              <w:fldChar w:fldCharType="end"/>
            </w:r>
          </w:hyperlink>
        </w:p>
        <w:p w14:paraId="2607F9BD" w14:textId="70029978" w:rsidR="0046633B" w:rsidRDefault="006D43BC">
          <w:pPr>
            <w:pStyle w:val="TOC3"/>
            <w:tabs>
              <w:tab w:val="left" w:pos="1540"/>
              <w:tab w:val="right" w:leader="dot" w:pos="10790"/>
            </w:tabs>
            <w:rPr>
              <w:rFonts w:asciiTheme="minorHAnsi" w:eastAsiaTheme="minorEastAsia" w:hAnsiTheme="minorHAnsi"/>
              <w:noProof/>
              <w:sz w:val="22"/>
            </w:rPr>
          </w:pPr>
          <w:hyperlink w:anchor="_Toc13567413" w:history="1">
            <w:r w:rsidR="0046633B" w:rsidRPr="005A308E">
              <w:rPr>
                <w:rStyle w:val="Hyperlink"/>
                <w:noProof/>
              </w:rPr>
              <w:t>2.2.18</w:t>
            </w:r>
            <w:r w:rsidR="0046633B">
              <w:rPr>
                <w:rFonts w:asciiTheme="minorHAnsi" w:eastAsiaTheme="minorEastAsia" w:hAnsiTheme="minorHAnsi"/>
                <w:noProof/>
                <w:sz w:val="22"/>
              </w:rPr>
              <w:tab/>
            </w:r>
            <w:r w:rsidR="0046633B" w:rsidRPr="005A308E">
              <w:rPr>
                <w:rStyle w:val="Hyperlink"/>
                <w:noProof/>
              </w:rPr>
              <w:t>Task 18: End of Contract Services</w:t>
            </w:r>
            <w:r w:rsidR="0046633B">
              <w:rPr>
                <w:noProof/>
                <w:webHidden/>
              </w:rPr>
              <w:tab/>
            </w:r>
            <w:r w:rsidR="0046633B">
              <w:rPr>
                <w:noProof/>
                <w:webHidden/>
              </w:rPr>
              <w:fldChar w:fldCharType="begin"/>
            </w:r>
            <w:r w:rsidR="0046633B">
              <w:rPr>
                <w:noProof/>
                <w:webHidden/>
              </w:rPr>
              <w:instrText xml:space="preserve"> PAGEREF _Toc13567413 \h </w:instrText>
            </w:r>
            <w:r w:rsidR="0046633B">
              <w:rPr>
                <w:noProof/>
                <w:webHidden/>
              </w:rPr>
            </w:r>
            <w:r w:rsidR="0046633B">
              <w:rPr>
                <w:noProof/>
                <w:webHidden/>
              </w:rPr>
              <w:fldChar w:fldCharType="separate"/>
            </w:r>
            <w:r w:rsidR="0046633B">
              <w:rPr>
                <w:noProof/>
                <w:webHidden/>
              </w:rPr>
              <w:t>91</w:t>
            </w:r>
            <w:r w:rsidR="0046633B">
              <w:rPr>
                <w:noProof/>
                <w:webHidden/>
              </w:rPr>
              <w:fldChar w:fldCharType="end"/>
            </w:r>
          </w:hyperlink>
        </w:p>
        <w:p w14:paraId="1B04A1A7" w14:textId="29D6A7A6" w:rsidR="0046633B" w:rsidRDefault="006D43BC">
          <w:pPr>
            <w:pStyle w:val="TOC2"/>
            <w:tabs>
              <w:tab w:val="left" w:pos="880"/>
            </w:tabs>
            <w:rPr>
              <w:rFonts w:asciiTheme="minorHAnsi" w:eastAsiaTheme="minorEastAsia" w:hAnsiTheme="minorHAnsi"/>
              <w:noProof/>
              <w:sz w:val="22"/>
            </w:rPr>
          </w:pPr>
          <w:hyperlink w:anchor="_Toc13567414" w:history="1">
            <w:r w:rsidR="0046633B" w:rsidRPr="005A308E">
              <w:rPr>
                <w:rStyle w:val="Hyperlink"/>
                <w:noProof/>
              </w:rPr>
              <w:t>2.3</w:t>
            </w:r>
            <w:r w:rsidR="0046633B">
              <w:rPr>
                <w:rFonts w:asciiTheme="minorHAnsi" w:eastAsiaTheme="minorEastAsia" w:hAnsiTheme="minorHAnsi"/>
                <w:noProof/>
                <w:sz w:val="22"/>
              </w:rPr>
              <w:tab/>
            </w:r>
            <w:r w:rsidR="0046633B" w:rsidRPr="005A308E">
              <w:rPr>
                <w:rStyle w:val="Hyperlink"/>
                <w:noProof/>
              </w:rPr>
              <w:t>Optional Task and Project Deliverable</w:t>
            </w:r>
            <w:r w:rsidR="0046633B">
              <w:rPr>
                <w:noProof/>
                <w:webHidden/>
              </w:rPr>
              <w:tab/>
            </w:r>
            <w:r w:rsidR="0046633B">
              <w:rPr>
                <w:noProof/>
                <w:webHidden/>
              </w:rPr>
              <w:fldChar w:fldCharType="begin"/>
            </w:r>
            <w:r w:rsidR="0046633B">
              <w:rPr>
                <w:noProof/>
                <w:webHidden/>
              </w:rPr>
              <w:instrText xml:space="preserve"> PAGEREF _Toc13567414 \h </w:instrText>
            </w:r>
            <w:r w:rsidR="0046633B">
              <w:rPr>
                <w:noProof/>
                <w:webHidden/>
              </w:rPr>
            </w:r>
            <w:r w:rsidR="0046633B">
              <w:rPr>
                <w:noProof/>
                <w:webHidden/>
              </w:rPr>
              <w:fldChar w:fldCharType="separate"/>
            </w:r>
            <w:r w:rsidR="0046633B">
              <w:rPr>
                <w:noProof/>
                <w:webHidden/>
              </w:rPr>
              <w:t>94</w:t>
            </w:r>
            <w:r w:rsidR="0046633B">
              <w:rPr>
                <w:noProof/>
                <w:webHidden/>
              </w:rPr>
              <w:fldChar w:fldCharType="end"/>
            </w:r>
          </w:hyperlink>
        </w:p>
        <w:p w14:paraId="1BBA3CEA" w14:textId="3D782EDF" w:rsidR="0046633B" w:rsidRDefault="006D43BC">
          <w:pPr>
            <w:pStyle w:val="TOC3"/>
            <w:tabs>
              <w:tab w:val="left" w:pos="1540"/>
              <w:tab w:val="right" w:leader="dot" w:pos="10790"/>
            </w:tabs>
            <w:rPr>
              <w:rFonts w:asciiTheme="minorHAnsi" w:eastAsiaTheme="minorEastAsia" w:hAnsiTheme="minorHAnsi"/>
              <w:noProof/>
              <w:sz w:val="22"/>
            </w:rPr>
          </w:pPr>
          <w:hyperlink w:anchor="_Toc13567415" w:history="1">
            <w:r w:rsidR="0046633B" w:rsidRPr="005A308E">
              <w:rPr>
                <w:rStyle w:val="Hyperlink"/>
                <w:noProof/>
              </w:rPr>
              <w:t>2.3.1</w:t>
            </w:r>
            <w:r w:rsidR="0046633B">
              <w:rPr>
                <w:rFonts w:asciiTheme="minorHAnsi" w:eastAsiaTheme="minorEastAsia" w:hAnsiTheme="minorHAnsi"/>
                <w:noProof/>
                <w:sz w:val="22"/>
              </w:rPr>
              <w:tab/>
            </w:r>
            <w:r w:rsidR="0046633B" w:rsidRPr="005A308E">
              <w:rPr>
                <w:rStyle w:val="Hyperlink"/>
                <w:noProof/>
              </w:rPr>
              <w:t>Optional Task 1: Content Management System</w:t>
            </w:r>
            <w:r w:rsidR="0046633B">
              <w:rPr>
                <w:noProof/>
                <w:webHidden/>
              </w:rPr>
              <w:tab/>
            </w:r>
            <w:r w:rsidR="0046633B">
              <w:rPr>
                <w:noProof/>
                <w:webHidden/>
              </w:rPr>
              <w:fldChar w:fldCharType="begin"/>
            </w:r>
            <w:r w:rsidR="0046633B">
              <w:rPr>
                <w:noProof/>
                <w:webHidden/>
              </w:rPr>
              <w:instrText xml:space="preserve"> PAGEREF _Toc13567415 \h </w:instrText>
            </w:r>
            <w:r w:rsidR="0046633B">
              <w:rPr>
                <w:noProof/>
                <w:webHidden/>
              </w:rPr>
            </w:r>
            <w:r w:rsidR="0046633B">
              <w:rPr>
                <w:noProof/>
                <w:webHidden/>
              </w:rPr>
              <w:fldChar w:fldCharType="separate"/>
            </w:r>
            <w:r w:rsidR="0046633B">
              <w:rPr>
                <w:noProof/>
                <w:webHidden/>
              </w:rPr>
              <w:t>95</w:t>
            </w:r>
            <w:r w:rsidR="0046633B">
              <w:rPr>
                <w:noProof/>
                <w:webHidden/>
              </w:rPr>
              <w:fldChar w:fldCharType="end"/>
            </w:r>
          </w:hyperlink>
        </w:p>
        <w:p w14:paraId="52BFAE28" w14:textId="7D4EA849" w:rsidR="0046633B" w:rsidRDefault="006D43BC">
          <w:pPr>
            <w:pStyle w:val="TOC3"/>
            <w:tabs>
              <w:tab w:val="left" w:pos="1540"/>
              <w:tab w:val="right" w:leader="dot" w:pos="10790"/>
            </w:tabs>
            <w:rPr>
              <w:rFonts w:asciiTheme="minorHAnsi" w:eastAsiaTheme="minorEastAsia" w:hAnsiTheme="minorHAnsi"/>
              <w:noProof/>
              <w:sz w:val="22"/>
            </w:rPr>
          </w:pPr>
          <w:hyperlink w:anchor="_Toc13567416" w:history="1">
            <w:r w:rsidR="0046633B" w:rsidRPr="005A308E">
              <w:rPr>
                <w:rStyle w:val="Hyperlink"/>
                <w:noProof/>
              </w:rPr>
              <w:t>2.3.2</w:t>
            </w:r>
            <w:r w:rsidR="0046633B">
              <w:rPr>
                <w:rFonts w:asciiTheme="minorHAnsi" w:eastAsiaTheme="minorEastAsia" w:hAnsiTheme="minorHAnsi"/>
                <w:noProof/>
                <w:sz w:val="22"/>
              </w:rPr>
              <w:tab/>
            </w:r>
            <w:r w:rsidR="0046633B" w:rsidRPr="005A308E">
              <w:rPr>
                <w:rStyle w:val="Hyperlink"/>
                <w:noProof/>
              </w:rPr>
              <w:t>Optional Task 2: Workforce Connect</w:t>
            </w:r>
            <w:r w:rsidR="0046633B">
              <w:rPr>
                <w:noProof/>
                <w:webHidden/>
              </w:rPr>
              <w:tab/>
            </w:r>
            <w:r w:rsidR="0046633B">
              <w:rPr>
                <w:noProof/>
                <w:webHidden/>
              </w:rPr>
              <w:fldChar w:fldCharType="begin"/>
            </w:r>
            <w:r w:rsidR="0046633B">
              <w:rPr>
                <w:noProof/>
                <w:webHidden/>
              </w:rPr>
              <w:instrText xml:space="preserve"> PAGEREF _Toc13567416 \h </w:instrText>
            </w:r>
            <w:r w:rsidR="0046633B">
              <w:rPr>
                <w:noProof/>
                <w:webHidden/>
              </w:rPr>
            </w:r>
            <w:r w:rsidR="0046633B">
              <w:rPr>
                <w:noProof/>
                <w:webHidden/>
              </w:rPr>
              <w:fldChar w:fldCharType="separate"/>
            </w:r>
            <w:r w:rsidR="0046633B">
              <w:rPr>
                <w:noProof/>
                <w:webHidden/>
              </w:rPr>
              <w:t>96</w:t>
            </w:r>
            <w:r w:rsidR="0046633B">
              <w:rPr>
                <w:noProof/>
                <w:webHidden/>
              </w:rPr>
              <w:fldChar w:fldCharType="end"/>
            </w:r>
          </w:hyperlink>
        </w:p>
        <w:p w14:paraId="1E890382" w14:textId="26F5FFF4" w:rsidR="0046633B" w:rsidRDefault="006D43BC">
          <w:pPr>
            <w:pStyle w:val="TOC2"/>
            <w:tabs>
              <w:tab w:val="left" w:pos="880"/>
            </w:tabs>
            <w:rPr>
              <w:rFonts w:asciiTheme="minorHAnsi" w:eastAsiaTheme="minorEastAsia" w:hAnsiTheme="minorHAnsi"/>
              <w:noProof/>
              <w:sz w:val="22"/>
            </w:rPr>
          </w:pPr>
          <w:hyperlink w:anchor="_Toc13567417" w:history="1">
            <w:r w:rsidR="0046633B" w:rsidRPr="005A308E">
              <w:rPr>
                <w:rStyle w:val="Hyperlink"/>
                <w:noProof/>
              </w:rPr>
              <w:t>2.4</w:t>
            </w:r>
            <w:r w:rsidR="0046633B">
              <w:rPr>
                <w:rFonts w:asciiTheme="minorHAnsi" w:eastAsiaTheme="minorEastAsia" w:hAnsiTheme="minorHAnsi"/>
                <w:noProof/>
                <w:sz w:val="22"/>
              </w:rPr>
              <w:tab/>
            </w:r>
            <w:r w:rsidR="0046633B" w:rsidRPr="005A308E">
              <w:rPr>
                <w:rStyle w:val="Hyperlink"/>
                <w:noProof/>
              </w:rPr>
              <w:t>Deliverables Schedule</w:t>
            </w:r>
            <w:r w:rsidR="0046633B">
              <w:rPr>
                <w:noProof/>
                <w:webHidden/>
              </w:rPr>
              <w:tab/>
            </w:r>
            <w:r w:rsidR="0046633B">
              <w:rPr>
                <w:noProof/>
                <w:webHidden/>
              </w:rPr>
              <w:fldChar w:fldCharType="begin"/>
            </w:r>
            <w:r w:rsidR="0046633B">
              <w:rPr>
                <w:noProof/>
                <w:webHidden/>
              </w:rPr>
              <w:instrText xml:space="preserve"> PAGEREF _Toc13567417 \h </w:instrText>
            </w:r>
            <w:r w:rsidR="0046633B">
              <w:rPr>
                <w:noProof/>
                <w:webHidden/>
              </w:rPr>
            </w:r>
            <w:r w:rsidR="0046633B">
              <w:rPr>
                <w:noProof/>
                <w:webHidden/>
              </w:rPr>
              <w:fldChar w:fldCharType="separate"/>
            </w:r>
            <w:r w:rsidR="0046633B">
              <w:rPr>
                <w:noProof/>
                <w:webHidden/>
              </w:rPr>
              <w:t>97</w:t>
            </w:r>
            <w:r w:rsidR="0046633B">
              <w:rPr>
                <w:noProof/>
                <w:webHidden/>
              </w:rPr>
              <w:fldChar w:fldCharType="end"/>
            </w:r>
          </w:hyperlink>
        </w:p>
        <w:p w14:paraId="095856F1" w14:textId="1BCD3EC9" w:rsidR="0046633B" w:rsidRDefault="006D43BC">
          <w:pPr>
            <w:pStyle w:val="TOC3"/>
            <w:tabs>
              <w:tab w:val="left" w:pos="1540"/>
              <w:tab w:val="right" w:leader="dot" w:pos="10790"/>
            </w:tabs>
            <w:rPr>
              <w:rFonts w:asciiTheme="minorHAnsi" w:eastAsiaTheme="minorEastAsia" w:hAnsiTheme="minorHAnsi"/>
              <w:noProof/>
              <w:sz w:val="22"/>
            </w:rPr>
          </w:pPr>
          <w:hyperlink w:anchor="_Toc13567418" w:history="1">
            <w:r w:rsidR="0046633B" w:rsidRPr="005A308E">
              <w:rPr>
                <w:rStyle w:val="Hyperlink"/>
                <w:noProof/>
              </w:rPr>
              <w:t>2.4.1</w:t>
            </w:r>
            <w:r w:rsidR="0046633B">
              <w:rPr>
                <w:rFonts w:asciiTheme="minorHAnsi" w:eastAsiaTheme="minorEastAsia" w:hAnsiTheme="minorHAnsi"/>
                <w:noProof/>
                <w:sz w:val="22"/>
              </w:rPr>
              <w:tab/>
            </w:r>
            <w:r w:rsidR="0046633B" w:rsidRPr="005A308E">
              <w:rPr>
                <w:rStyle w:val="Hyperlink"/>
                <w:noProof/>
              </w:rPr>
              <w:t>Major Milestone Tables</w:t>
            </w:r>
            <w:r w:rsidR="0046633B">
              <w:rPr>
                <w:noProof/>
                <w:webHidden/>
              </w:rPr>
              <w:tab/>
            </w:r>
            <w:r w:rsidR="0046633B">
              <w:rPr>
                <w:noProof/>
                <w:webHidden/>
              </w:rPr>
              <w:fldChar w:fldCharType="begin"/>
            </w:r>
            <w:r w:rsidR="0046633B">
              <w:rPr>
                <w:noProof/>
                <w:webHidden/>
              </w:rPr>
              <w:instrText xml:space="preserve"> PAGEREF _Toc13567418 \h </w:instrText>
            </w:r>
            <w:r w:rsidR="0046633B">
              <w:rPr>
                <w:noProof/>
                <w:webHidden/>
              </w:rPr>
            </w:r>
            <w:r w:rsidR="0046633B">
              <w:rPr>
                <w:noProof/>
                <w:webHidden/>
              </w:rPr>
              <w:fldChar w:fldCharType="separate"/>
            </w:r>
            <w:r w:rsidR="0046633B">
              <w:rPr>
                <w:noProof/>
                <w:webHidden/>
              </w:rPr>
              <w:t>97</w:t>
            </w:r>
            <w:r w:rsidR="0046633B">
              <w:rPr>
                <w:noProof/>
                <w:webHidden/>
              </w:rPr>
              <w:fldChar w:fldCharType="end"/>
            </w:r>
          </w:hyperlink>
        </w:p>
        <w:p w14:paraId="1D0BFE52" w14:textId="16E9946D" w:rsidR="0046633B" w:rsidRDefault="006D43BC">
          <w:pPr>
            <w:pStyle w:val="TOC3"/>
            <w:tabs>
              <w:tab w:val="left" w:pos="1540"/>
              <w:tab w:val="right" w:leader="dot" w:pos="10790"/>
            </w:tabs>
            <w:rPr>
              <w:rFonts w:asciiTheme="minorHAnsi" w:eastAsiaTheme="minorEastAsia" w:hAnsiTheme="minorHAnsi"/>
              <w:noProof/>
              <w:sz w:val="22"/>
            </w:rPr>
          </w:pPr>
          <w:hyperlink w:anchor="_Toc13567419" w:history="1">
            <w:r w:rsidR="0046633B" w:rsidRPr="005A308E">
              <w:rPr>
                <w:rStyle w:val="Hyperlink"/>
                <w:noProof/>
              </w:rPr>
              <w:t>2.4.2</w:t>
            </w:r>
            <w:r w:rsidR="0046633B">
              <w:rPr>
                <w:rFonts w:asciiTheme="minorHAnsi" w:eastAsiaTheme="minorEastAsia" w:hAnsiTheme="minorHAnsi"/>
                <w:noProof/>
                <w:sz w:val="22"/>
              </w:rPr>
              <w:tab/>
            </w:r>
            <w:r w:rsidR="0046633B" w:rsidRPr="005A308E">
              <w:rPr>
                <w:rStyle w:val="Hyperlink"/>
                <w:noProof/>
              </w:rPr>
              <w:t>CMS (Optional)</w:t>
            </w:r>
            <w:r w:rsidR="0046633B">
              <w:rPr>
                <w:noProof/>
                <w:webHidden/>
              </w:rPr>
              <w:tab/>
            </w:r>
            <w:r w:rsidR="0046633B">
              <w:rPr>
                <w:noProof/>
                <w:webHidden/>
              </w:rPr>
              <w:fldChar w:fldCharType="begin"/>
            </w:r>
            <w:r w:rsidR="0046633B">
              <w:rPr>
                <w:noProof/>
                <w:webHidden/>
              </w:rPr>
              <w:instrText xml:space="preserve"> PAGEREF _Toc13567419 \h </w:instrText>
            </w:r>
            <w:r w:rsidR="0046633B">
              <w:rPr>
                <w:noProof/>
                <w:webHidden/>
              </w:rPr>
            </w:r>
            <w:r w:rsidR="0046633B">
              <w:rPr>
                <w:noProof/>
                <w:webHidden/>
              </w:rPr>
              <w:fldChar w:fldCharType="separate"/>
            </w:r>
            <w:r w:rsidR="0046633B">
              <w:rPr>
                <w:noProof/>
                <w:webHidden/>
              </w:rPr>
              <w:t>100</w:t>
            </w:r>
            <w:r w:rsidR="0046633B">
              <w:rPr>
                <w:noProof/>
                <w:webHidden/>
              </w:rPr>
              <w:fldChar w:fldCharType="end"/>
            </w:r>
          </w:hyperlink>
        </w:p>
        <w:p w14:paraId="70284E0D" w14:textId="34AE1BA8" w:rsidR="0046633B" w:rsidRDefault="006D43BC">
          <w:pPr>
            <w:pStyle w:val="TOC3"/>
            <w:tabs>
              <w:tab w:val="left" w:pos="1540"/>
              <w:tab w:val="right" w:leader="dot" w:pos="10790"/>
            </w:tabs>
            <w:rPr>
              <w:rFonts w:asciiTheme="minorHAnsi" w:eastAsiaTheme="minorEastAsia" w:hAnsiTheme="minorHAnsi"/>
              <w:noProof/>
              <w:sz w:val="22"/>
            </w:rPr>
          </w:pPr>
          <w:hyperlink w:anchor="_Toc13567420" w:history="1">
            <w:r w:rsidR="0046633B" w:rsidRPr="005A308E">
              <w:rPr>
                <w:rStyle w:val="Hyperlink"/>
                <w:noProof/>
              </w:rPr>
              <w:t>2.4.3</w:t>
            </w:r>
            <w:r w:rsidR="0046633B">
              <w:rPr>
                <w:rFonts w:asciiTheme="minorHAnsi" w:eastAsiaTheme="minorEastAsia" w:hAnsiTheme="minorHAnsi"/>
                <w:noProof/>
                <w:sz w:val="22"/>
              </w:rPr>
              <w:tab/>
            </w:r>
            <w:r w:rsidR="0046633B" w:rsidRPr="005A308E">
              <w:rPr>
                <w:rStyle w:val="Hyperlink"/>
                <w:noProof/>
              </w:rPr>
              <w:t>Workforce Connect (Optional)</w:t>
            </w:r>
            <w:r w:rsidR="0046633B">
              <w:rPr>
                <w:noProof/>
                <w:webHidden/>
              </w:rPr>
              <w:tab/>
            </w:r>
            <w:r w:rsidR="0046633B">
              <w:rPr>
                <w:noProof/>
                <w:webHidden/>
              </w:rPr>
              <w:fldChar w:fldCharType="begin"/>
            </w:r>
            <w:r w:rsidR="0046633B">
              <w:rPr>
                <w:noProof/>
                <w:webHidden/>
              </w:rPr>
              <w:instrText xml:space="preserve"> PAGEREF _Toc13567420 \h </w:instrText>
            </w:r>
            <w:r w:rsidR="0046633B">
              <w:rPr>
                <w:noProof/>
                <w:webHidden/>
              </w:rPr>
            </w:r>
            <w:r w:rsidR="0046633B">
              <w:rPr>
                <w:noProof/>
                <w:webHidden/>
              </w:rPr>
              <w:fldChar w:fldCharType="separate"/>
            </w:r>
            <w:r w:rsidR="0046633B">
              <w:rPr>
                <w:noProof/>
                <w:webHidden/>
              </w:rPr>
              <w:t>101</w:t>
            </w:r>
            <w:r w:rsidR="0046633B">
              <w:rPr>
                <w:noProof/>
                <w:webHidden/>
              </w:rPr>
              <w:fldChar w:fldCharType="end"/>
            </w:r>
          </w:hyperlink>
        </w:p>
        <w:p w14:paraId="554746C0" w14:textId="5816C6A8" w:rsidR="0046633B" w:rsidRDefault="006D43BC">
          <w:pPr>
            <w:pStyle w:val="TOC2"/>
            <w:tabs>
              <w:tab w:val="left" w:pos="880"/>
            </w:tabs>
            <w:rPr>
              <w:rFonts w:asciiTheme="minorHAnsi" w:eastAsiaTheme="minorEastAsia" w:hAnsiTheme="minorHAnsi"/>
              <w:noProof/>
              <w:sz w:val="22"/>
            </w:rPr>
          </w:pPr>
          <w:hyperlink w:anchor="_Toc13567421" w:history="1">
            <w:r w:rsidR="0046633B" w:rsidRPr="005A308E">
              <w:rPr>
                <w:rStyle w:val="Hyperlink"/>
                <w:noProof/>
              </w:rPr>
              <w:t>2.5</w:t>
            </w:r>
            <w:r w:rsidR="0046633B">
              <w:rPr>
                <w:rFonts w:asciiTheme="minorHAnsi" w:eastAsiaTheme="minorEastAsia" w:hAnsiTheme="minorHAnsi"/>
                <w:noProof/>
                <w:sz w:val="22"/>
              </w:rPr>
              <w:tab/>
            </w:r>
            <w:r w:rsidR="0046633B" w:rsidRPr="005A308E">
              <w:rPr>
                <w:rStyle w:val="Hyperlink"/>
                <w:noProof/>
              </w:rPr>
              <w:t>Overall Project Approach</w:t>
            </w:r>
            <w:r w:rsidR="0046633B">
              <w:rPr>
                <w:noProof/>
                <w:webHidden/>
              </w:rPr>
              <w:tab/>
            </w:r>
            <w:r w:rsidR="0046633B">
              <w:rPr>
                <w:noProof/>
                <w:webHidden/>
              </w:rPr>
              <w:fldChar w:fldCharType="begin"/>
            </w:r>
            <w:r w:rsidR="0046633B">
              <w:rPr>
                <w:noProof/>
                <w:webHidden/>
              </w:rPr>
              <w:instrText xml:space="preserve"> PAGEREF _Toc13567421 \h </w:instrText>
            </w:r>
            <w:r w:rsidR="0046633B">
              <w:rPr>
                <w:noProof/>
                <w:webHidden/>
              </w:rPr>
            </w:r>
            <w:r w:rsidR="0046633B">
              <w:rPr>
                <w:noProof/>
                <w:webHidden/>
              </w:rPr>
              <w:fldChar w:fldCharType="separate"/>
            </w:r>
            <w:r w:rsidR="0046633B">
              <w:rPr>
                <w:noProof/>
                <w:webHidden/>
              </w:rPr>
              <w:t>101</w:t>
            </w:r>
            <w:r w:rsidR="0046633B">
              <w:rPr>
                <w:noProof/>
                <w:webHidden/>
              </w:rPr>
              <w:fldChar w:fldCharType="end"/>
            </w:r>
          </w:hyperlink>
        </w:p>
        <w:p w14:paraId="2A7221AC" w14:textId="6D5E690C" w:rsidR="0046633B" w:rsidRDefault="006D43BC">
          <w:pPr>
            <w:pStyle w:val="TOC2"/>
            <w:tabs>
              <w:tab w:val="left" w:pos="880"/>
            </w:tabs>
            <w:rPr>
              <w:rFonts w:asciiTheme="minorHAnsi" w:eastAsiaTheme="minorEastAsia" w:hAnsiTheme="minorHAnsi"/>
              <w:noProof/>
              <w:sz w:val="22"/>
            </w:rPr>
          </w:pPr>
          <w:hyperlink w:anchor="_Toc13567422" w:history="1">
            <w:r w:rsidR="0046633B" w:rsidRPr="005A308E">
              <w:rPr>
                <w:rStyle w:val="Hyperlink"/>
                <w:noProof/>
              </w:rPr>
              <w:t>2.6</w:t>
            </w:r>
            <w:r w:rsidR="0046633B">
              <w:rPr>
                <w:rFonts w:asciiTheme="minorHAnsi" w:eastAsiaTheme="minorEastAsia" w:hAnsiTheme="minorHAnsi"/>
                <w:noProof/>
                <w:sz w:val="22"/>
              </w:rPr>
              <w:tab/>
            </w:r>
            <w:r w:rsidR="0046633B" w:rsidRPr="005A308E">
              <w:rPr>
                <w:rStyle w:val="Hyperlink"/>
                <w:noProof/>
              </w:rPr>
              <w:t>Project Assumptions</w:t>
            </w:r>
            <w:r w:rsidR="0046633B">
              <w:rPr>
                <w:noProof/>
                <w:webHidden/>
              </w:rPr>
              <w:tab/>
            </w:r>
            <w:r w:rsidR="0046633B">
              <w:rPr>
                <w:noProof/>
                <w:webHidden/>
              </w:rPr>
              <w:fldChar w:fldCharType="begin"/>
            </w:r>
            <w:r w:rsidR="0046633B">
              <w:rPr>
                <w:noProof/>
                <w:webHidden/>
              </w:rPr>
              <w:instrText xml:space="preserve"> PAGEREF _Toc13567422 \h </w:instrText>
            </w:r>
            <w:r w:rsidR="0046633B">
              <w:rPr>
                <w:noProof/>
                <w:webHidden/>
              </w:rPr>
            </w:r>
            <w:r w:rsidR="0046633B">
              <w:rPr>
                <w:noProof/>
                <w:webHidden/>
              </w:rPr>
              <w:fldChar w:fldCharType="separate"/>
            </w:r>
            <w:r w:rsidR="0046633B">
              <w:rPr>
                <w:noProof/>
                <w:webHidden/>
              </w:rPr>
              <w:t>101</w:t>
            </w:r>
            <w:r w:rsidR="0046633B">
              <w:rPr>
                <w:noProof/>
                <w:webHidden/>
              </w:rPr>
              <w:fldChar w:fldCharType="end"/>
            </w:r>
          </w:hyperlink>
        </w:p>
        <w:p w14:paraId="778288DD" w14:textId="3FEFBD50" w:rsidR="0046633B" w:rsidRDefault="006D43BC">
          <w:pPr>
            <w:pStyle w:val="TOC1"/>
            <w:rPr>
              <w:rFonts w:asciiTheme="minorHAnsi" w:eastAsiaTheme="minorEastAsia" w:hAnsiTheme="minorHAnsi"/>
              <w:noProof/>
              <w:sz w:val="22"/>
            </w:rPr>
          </w:pPr>
          <w:hyperlink w:anchor="_Toc13567423" w:history="1">
            <w:r w:rsidR="0046633B" w:rsidRPr="005A308E">
              <w:rPr>
                <w:rStyle w:val="Hyperlink"/>
                <w:noProof/>
              </w:rPr>
              <w:t>3.</w:t>
            </w:r>
            <w:r w:rsidR="0046633B">
              <w:rPr>
                <w:rFonts w:asciiTheme="minorHAnsi" w:eastAsiaTheme="minorEastAsia" w:hAnsiTheme="minorHAnsi"/>
                <w:noProof/>
                <w:sz w:val="22"/>
              </w:rPr>
              <w:tab/>
            </w:r>
            <w:r w:rsidR="0046633B" w:rsidRPr="005A308E">
              <w:rPr>
                <w:rStyle w:val="Hyperlink"/>
                <w:noProof/>
              </w:rPr>
              <w:t>Project Processes</w:t>
            </w:r>
            <w:r w:rsidR="0046633B">
              <w:rPr>
                <w:noProof/>
                <w:webHidden/>
              </w:rPr>
              <w:tab/>
            </w:r>
            <w:r w:rsidR="0046633B">
              <w:rPr>
                <w:noProof/>
                <w:webHidden/>
              </w:rPr>
              <w:fldChar w:fldCharType="begin"/>
            </w:r>
            <w:r w:rsidR="0046633B">
              <w:rPr>
                <w:noProof/>
                <w:webHidden/>
              </w:rPr>
              <w:instrText xml:space="preserve"> PAGEREF _Toc13567423 \h </w:instrText>
            </w:r>
            <w:r w:rsidR="0046633B">
              <w:rPr>
                <w:noProof/>
                <w:webHidden/>
              </w:rPr>
            </w:r>
            <w:r w:rsidR="0046633B">
              <w:rPr>
                <w:noProof/>
                <w:webHidden/>
              </w:rPr>
              <w:fldChar w:fldCharType="separate"/>
            </w:r>
            <w:r w:rsidR="0046633B">
              <w:rPr>
                <w:noProof/>
                <w:webHidden/>
              </w:rPr>
              <w:t>103</w:t>
            </w:r>
            <w:r w:rsidR="0046633B">
              <w:rPr>
                <w:noProof/>
                <w:webHidden/>
              </w:rPr>
              <w:fldChar w:fldCharType="end"/>
            </w:r>
          </w:hyperlink>
        </w:p>
        <w:p w14:paraId="65C98E21" w14:textId="0D62C322" w:rsidR="0046633B" w:rsidRDefault="006D43BC">
          <w:pPr>
            <w:pStyle w:val="TOC2"/>
            <w:tabs>
              <w:tab w:val="left" w:pos="880"/>
            </w:tabs>
            <w:rPr>
              <w:rFonts w:asciiTheme="minorHAnsi" w:eastAsiaTheme="minorEastAsia" w:hAnsiTheme="minorHAnsi"/>
              <w:noProof/>
              <w:sz w:val="22"/>
            </w:rPr>
          </w:pPr>
          <w:hyperlink w:anchor="_Toc13567424" w:history="1">
            <w:r w:rsidR="0046633B" w:rsidRPr="005A308E">
              <w:rPr>
                <w:rStyle w:val="Hyperlink"/>
                <w:noProof/>
              </w:rPr>
              <w:t>3.1</w:t>
            </w:r>
            <w:r w:rsidR="0046633B">
              <w:rPr>
                <w:rFonts w:asciiTheme="minorHAnsi" w:eastAsiaTheme="minorEastAsia" w:hAnsiTheme="minorHAnsi"/>
                <w:noProof/>
                <w:sz w:val="22"/>
              </w:rPr>
              <w:tab/>
            </w:r>
            <w:r w:rsidR="0046633B" w:rsidRPr="005A308E">
              <w:rPr>
                <w:rStyle w:val="Hyperlink"/>
                <w:noProof/>
              </w:rPr>
              <w:t>Roles and Responsibilities</w:t>
            </w:r>
            <w:r w:rsidR="0046633B">
              <w:rPr>
                <w:noProof/>
                <w:webHidden/>
              </w:rPr>
              <w:tab/>
            </w:r>
            <w:r w:rsidR="0046633B">
              <w:rPr>
                <w:noProof/>
                <w:webHidden/>
              </w:rPr>
              <w:fldChar w:fldCharType="begin"/>
            </w:r>
            <w:r w:rsidR="0046633B">
              <w:rPr>
                <w:noProof/>
                <w:webHidden/>
              </w:rPr>
              <w:instrText xml:space="preserve"> PAGEREF _Toc13567424 \h </w:instrText>
            </w:r>
            <w:r w:rsidR="0046633B">
              <w:rPr>
                <w:noProof/>
                <w:webHidden/>
              </w:rPr>
            </w:r>
            <w:r w:rsidR="0046633B">
              <w:rPr>
                <w:noProof/>
                <w:webHidden/>
              </w:rPr>
              <w:fldChar w:fldCharType="separate"/>
            </w:r>
            <w:r w:rsidR="0046633B">
              <w:rPr>
                <w:noProof/>
                <w:webHidden/>
              </w:rPr>
              <w:t>103</w:t>
            </w:r>
            <w:r w:rsidR="0046633B">
              <w:rPr>
                <w:noProof/>
                <w:webHidden/>
              </w:rPr>
              <w:fldChar w:fldCharType="end"/>
            </w:r>
          </w:hyperlink>
        </w:p>
        <w:p w14:paraId="005E6DF8" w14:textId="2DA4AC59" w:rsidR="0046633B" w:rsidRDefault="006D43BC">
          <w:pPr>
            <w:pStyle w:val="TOC2"/>
            <w:tabs>
              <w:tab w:val="left" w:pos="880"/>
            </w:tabs>
            <w:rPr>
              <w:rFonts w:asciiTheme="minorHAnsi" w:eastAsiaTheme="minorEastAsia" w:hAnsiTheme="minorHAnsi"/>
              <w:noProof/>
              <w:sz w:val="22"/>
            </w:rPr>
          </w:pPr>
          <w:hyperlink w:anchor="_Toc13567425" w:history="1">
            <w:r w:rsidR="0046633B" w:rsidRPr="005A308E">
              <w:rPr>
                <w:rStyle w:val="Hyperlink"/>
                <w:noProof/>
              </w:rPr>
              <w:t>3.2</w:t>
            </w:r>
            <w:r w:rsidR="0046633B">
              <w:rPr>
                <w:rFonts w:asciiTheme="minorHAnsi" w:eastAsiaTheme="minorEastAsia" w:hAnsiTheme="minorHAnsi"/>
                <w:noProof/>
                <w:sz w:val="22"/>
              </w:rPr>
              <w:tab/>
            </w:r>
            <w:r w:rsidR="0046633B" w:rsidRPr="005A308E">
              <w:rPr>
                <w:rStyle w:val="Hyperlink"/>
                <w:noProof/>
              </w:rPr>
              <w:t>Project Management Practices</w:t>
            </w:r>
            <w:r w:rsidR="0046633B">
              <w:rPr>
                <w:noProof/>
                <w:webHidden/>
              </w:rPr>
              <w:tab/>
            </w:r>
            <w:r w:rsidR="0046633B">
              <w:rPr>
                <w:noProof/>
                <w:webHidden/>
              </w:rPr>
              <w:fldChar w:fldCharType="begin"/>
            </w:r>
            <w:r w:rsidR="0046633B">
              <w:rPr>
                <w:noProof/>
                <w:webHidden/>
              </w:rPr>
              <w:instrText xml:space="preserve"> PAGEREF _Toc13567425 \h </w:instrText>
            </w:r>
            <w:r w:rsidR="0046633B">
              <w:rPr>
                <w:noProof/>
                <w:webHidden/>
              </w:rPr>
            </w:r>
            <w:r w:rsidR="0046633B">
              <w:rPr>
                <w:noProof/>
                <w:webHidden/>
              </w:rPr>
              <w:fldChar w:fldCharType="separate"/>
            </w:r>
            <w:r w:rsidR="0046633B">
              <w:rPr>
                <w:noProof/>
                <w:webHidden/>
              </w:rPr>
              <w:t>104</w:t>
            </w:r>
            <w:r w:rsidR="0046633B">
              <w:rPr>
                <w:noProof/>
                <w:webHidden/>
              </w:rPr>
              <w:fldChar w:fldCharType="end"/>
            </w:r>
          </w:hyperlink>
        </w:p>
        <w:p w14:paraId="41AD7EBD" w14:textId="470BADCE" w:rsidR="0046633B" w:rsidRDefault="006D43BC">
          <w:pPr>
            <w:pStyle w:val="TOC3"/>
            <w:tabs>
              <w:tab w:val="left" w:pos="1540"/>
              <w:tab w:val="right" w:leader="dot" w:pos="10790"/>
            </w:tabs>
            <w:rPr>
              <w:rFonts w:asciiTheme="minorHAnsi" w:eastAsiaTheme="minorEastAsia" w:hAnsiTheme="minorHAnsi"/>
              <w:noProof/>
              <w:sz w:val="22"/>
            </w:rPr>
          </w:pPr>
          <w:hyperlink w:anchor="_Toc13567426" w:history="1">
            <w:r w:rsidR="0046633B" w:rsidRPr="005A308E">
              <w:rPr>
                <w:rStyle w:val="Hyperlink"/>
                <w:noProof/>
              </w:rPr>
              <w:t>3.2.1</w:t>
            </w:r>
            <w:r w:rsidR="0046633B">
              <w:rPr>
                <w:rFonts w:asciiTheme="minorHAnsi" w:eastAsiaTheme="minorEastAsia" w:hAnsiTheme="minorHAnsi"/>
                <w:noProof/>
                <w:sz w:val="22"/>
              </w:rPr>
              <w:tab/>
            </w:r>
            <w:r w:rsidR="0046633B" w:rsidRPr="005A308E">
              <w:rPr>
                <w:rStyle w:val="Hyperlink"/>
                <w:noProof/>
              </w:rPr>
              <w:t>Project Planning and Tracking</w:t>
            </w:r>
            <w:r w:rsidR="0046633B">
              <w:rPr>
                <w:noProof/>
                <w:webHidden/>
              </w:rPr>
              <w:tab/>
            </w:r>
            <w:r w:rsidR="0046633B">
              <w:rPr>
                <w:noProof/>
                <w:webHidden/>
              </w:rPr>
              <w:fldChar w:fldCharType="begin"/>
            </w:r>
            <w:r w:rsidR="0046633B">
              <w:rPr>
                <w:noProof/>
                <w:webHidden/>
              </w:rPr>
              <w:instrText xml:space="preserve"> PAGEREF _Toc13567426 \h </w:instrText>
            </w:r>
            <w:r w:rsidR="0046633B">
              <w:rPr>
                <w:noProof/>
                <w:webHidden/>
              </w:rPr>
            </w:r>
            <w:r w:rsidR="0046633B">
              <w:rPr>
                <w:noProof/>
                <w:webHidden/>
              </w:rPr>
              <w:fldChar w:fldCharType="separate"/>
            </w:r>
            <w:r w:rsidR="0046633B">
              <w:rPr>
                <w:noProof/>
                <w:webHidden/>
              </w:rPr>
              <w:t>104</w:t>
            </w:r>
            <w:r w:rsidR="0046633B">
              <w:rPr>
                <w:noProof/>
                <w:webHidden/>
              </w:rPr>
              <w:fldChar w:fldCharType="end"/>
            </w:r>
          </w:hyperlink>
        </w:p>
        <w:p w14:paraId="37E3E29E" w14:textId="09610C52" w:rsidR="0046633B" w:rsidRDefault="006D43BC">
          <w:pPr>
            <w:pStyle w:val="TOC3"/>
            <w:tabs>
              <w:tab w:val="left" w:pos="1540"/>
              <w:tab w:val="right" w:leader="dot" w:pos="10790"/>
            </w:tabs>
            <w:rPr>
              <w:rFonts w:asciiTheme="minorHAnsi" w:eastAsiaTheme="minorEastAsia" w:hAnsiTheme="minorHAnsi"/>
              <w:noProof/>
              <w:sz w:val="22"/>
            </w:rPr>
          </w:pPr>
          <w:hyperlink w:anchor="_Toc13567427" w:history="1">
            <w:r w:rsidR="0046633B" w:rsidRPr="005A308E">
              <w:rPr>
                <w:rStyle w:val="Hyperlink"/>
                <w:noProof/>
              </w:rPr>
              <w:t>3.2.2</w:t>
            </w:r>
            <w:r w:rsidR="0046633B">
              <w:rPr>
                <w:rFonts w:asciiTheme="minorHAnsi" w:eastAsiaTheme="minorEastAsia" w:hAnsiTheme="minorHAnsi"/>
                <w:noProof/>
                <w:sz w:val="22"/>
              </w:rPr>
              <w:tab/>
            </w:r>
            <w:r w:rsidR="0046633B" w:rsidRPr="005A308E">
              <w:rPr>
                <w:rStyle w:val="Hyperlink"/>
                <w:noProof/>
              </w:rPr>
              <w:t>Project Meetings</w:t>
            </w:r>
            <w:r w:rsidR="0046633B">
              <w:rPr>
                <w:noProof/>
                <w:webHidden/>
              </w:rPr>
              <w:tab/>
            </w:r>
            <w:r w:rsidR="0046633B">
              <w:rPr>
                <w:noProof/>
                <w:webHidden/>
              </w:rPr>
              <w:fldChar w:fldCharType="begin"/>
            </w:r>
            <w:r w:rsidR="0046633B">
              <w:rPr>
                <w:noProof/>
                <w:webHidden/>
              </w:rPr>
              <w:instrText xml:space="preserve"> PAGEREF _Toc13567427 \h </w:instrText>
            </w:r>
            <w:r w:rsidR="0046633B">
              <w:rPr>
                <w:noProof/>
                <w:webHidden/>
              </w:rPr>
            </w:r>
            <w:r w:rsidR="0046633B">
              <w:rPr>
                <w:noProof/>
                <w:webHidden/>
              </w:rPr>
              <w:fldChar w:fldCharType="separate"/>
            </w:r>
            <w:r w:rsidR="0046633B">
              <w:rPr>
                <w:noProof/>
                <w:webHidden/>
              </w:rPr>
              <w:t>104</w:t>
            </w:r>
            <w:r w:rsidR="0046633B">
              <w:rPr>
                <w:noProof/>
                <w:webHidden/>
              </w:rPr>
              <w:fldChar w:fldCharType="end"/>
            </w:r>
          </w:hyperlink>
        </w:p>
        <w:p w14:paraId="3C7993FA" w14:textId="49E3B4FC" w:rsidR="0046633B" w:rsidRDefault="006D43BC">
          <w:pPr>
            <w:pStyle w:val="TOC3"/>
            <w:tabs>
              <w:tab w:val="left" w:pos="1540"/>
              <w:tab w:val="right" w:leader="dot" w:pos="10790"/>
            </w:tabs>
            <w:rPr>
              <w:rFonts w:asciiTheme="minorHAnsi" w:eastAsiaTheme="minorEastAsia" w:hAnsiTheme="minorHAnsi"/>
              <w:noProof/>
              <w:sz w:val="22"/>
            </w:rPr>
          </w:pPr>
          <w:hyperlink w:anchor="_Toc13567428" w:history="1">
            <w:r w:rsidR="0046633B" w:rsidRPr="005A308E">
              <w:rPr>
                <w:rStyle w:val="Hyperlink"/>
                <w:noProof/>
              </w:rPr>
              <w:t>3.2.3</w:t>
            </w:r>
            <w:r w:rsidR="0046633B">
              <w:rPr>
                <w:rFonts w:asciiTheme="minorHAnsi" w:eastAsiaTheme="minorEastAsia" w:hAnsiTheme="minorHAnsi"/>
                <w:noProof/>
                <w:sz w:val="22"/>
              </w:rPr>
              <w:tab/>
            </w:r>
            <w:r w:rsidR="0046633B" w:rsidRPr="005A308E">
              <w:rPr>
                <w:rStyle w:val="Hyperlink"/>
                <w:noProof/>
              </w:rPr>
              <w:t>Monitor and Change Control</w:t>
            </w:r>
            <w:r w:rsidR="0046633B">
              <w:rPr>
                <w:noProof/>
                <w:webHidden/>
              </w:rPr>
              <w:tab/>
            </w:r>
            <w:r w:rsidR="0046633B">
              <w:rPr>
                <w:noProof/>
                <w:webHidden/>
              </w:rPr>
              <w:fldChar w:fldCharType="begin"/>
            </w:r>
            <w:r w:rsidR="0046633B">
              <w:rPr>
                <w:noProof/>
                <w:webHidden/>
              </w:rPr>
              <w:instrText xml:space="preserve"> PAGEREF _Toc13567428 \h </w:instrText>
            </w:r>
            <w:r w:rsidR="0046633B">
              <w:rPr>
                <w:noProof/>
                <w:webHidden/>
              </w:rPr>
            </w:r>
            <w:r w:rsidR="0046633B">
              <w:rPr>
                <w:noProof/>
                <w:webHidden/>
              </w:rPr>
              <w:fldChar w:fldCharType="separate"/>
            </w:r>
            <w:r w:rsidR="0046633B">
              <w:rPr>
                <w:noProof/>
                <w:webHidden/>
              </w:rPr>
              <w:t>104</w:t>
            </w:r>
            <w:r w:rsidR="0046633B">
              <w:rPr>
                <w:noProof/>
                <w:webHidden/>
              </w:rPr>
              <w:fldChar w:fldCharType="end"/>
            </w:r>
          </w:hyperlink>
        </w:p>
        <w:p w14:paraId="1F2EA9BA" w14:textId="6E339455" w:rsidR="0046633B" w:rsidRDefault="006D43BC">
          <w:pPr>
            <w:pStyle w:val="TOC3"/>
            <w:tabs>
              <w:tab w:val="left" w:pos="1540"/>
              <w:tab w:val="right" w:leader="dot" w:pos="10790"/>
            </w:tabs>
            <w:rPr>
              <w:rFonts w:asciiTheme="minorHAnsi" w:eastAsiaTheme="minorEastAsia" w:hAnsiTheme="minorHAnsi"/>
              <w:noProof/>
              <w:sz w:val="22"/>
            </w:rPr>
          </w:pPr>
          <w:hyperlink w:anchor="_Toc13567429" w:history="1">
            <w:r w:rsidR="0046633B" w:rsidRPr="005A308E">
              <w:rPr>
                <w:rStyle w:val="Hyperlink"/>
                <w:noProof/>
              </w:rPr>
              <w:t>3.2.4</w:t>
            </w:r>
            <w:r w:rsidR="0046633B">
              <w:rPr>
                <w:rFonts w:asciiTheme="minorHAnsi" w:eastAsiaTheme="minorEastAsia" w:hAnsiTheme="minorHAnsi"/>
                <w:noProof/>
                <w:sz w:val="22"/>
              </w:rPr>
              <w:tab/>
            </w:r>
            <w:r w:rsidR="0046633B" w:rsidRPr="005A308E">
              <w:rPr>
                <w:rStyle w:val="Hyperlink"/>
                <w:noProof/>
              </w:rPr>
              <w:t>Issue Logging and Resolution</w:t>
            </w:r>
            <w:r w:rsidR="0046633B">
              <w:rPr>
                <w:noProof/>
                <w:webHidden/>
              </w:rPr>
              <w:tab/>
            </w:r>
            <w:r w:rsidR="0046633B">
              <w:rPr>
                <w:noProof/>
                <w:webHidden/>
              </w:rPr>
              <w:fldChar w:fldCharType="begin"/>
            </w:r>
            <w:r w:rsidR="0046633B">
              <w:rPr>
                <w:noProof/>
                <w:webHidden/>
              </w:rPr>
              <w:instrText xml:space="preserve"> PAGEREF _Toc13567429 \h </w:instrText>
            </w:r>
            <w:r w:rsidR="0046633B">
              <w:rPr>
                <w:noProof/>
                <w:webHidden/>
              </w:rPr>
            </w:r>
            <w:r w:rsidR="0046633B">
              <w:rPr>
                <w:noProof/>
                <w:webHidden/>
              </w:rPr>
              <w:fldChar w:fldCharType="separate"/>
            </w:r>
            <w:r w:rsidR="0046633B">
              <w:rPr>
                <w:noProof/>
                <w:webHidden/>
              </w:rPr>
              <w:t>105</w:t>
            </w:r>
            <w:r w:rsidR="0046633B">
              <w:rPr>
                <w:noProof/>
                <w:webHidden/>
              </w:rPr>
              <w:fldChar w:fldCharType="end"/>
            </w:r>
          </w:hyperlink>
        </w:p>
        <w:p w14:paraId="5C31F81F" w14:textId="7E07CBBC" w:rsidR="0046633B" w:rsidRDefault="006D43BC">
          <w:pPr>
            <w:pStyle w:val="TOC3"/>
            <w:tabs>
              <w:tab w:val="left" w:pos="1540"/>
              <w:tab w:val="right" w:leader="dot" w:pos="10790"/>
            </w:tabs>
            <w:rPr>
              <w:rFonts w:asciiTheme="minorHAnsi" w:eastAsiaTheme="minorEastAsia" w:hAnsiTheme="minorHAnsi"/>
              <w:noProof/>
              <w:sz w:val="22"/>
            </w:rPr>
          </w:pPr>
          <w:hyperlink w:anchor="_Toc13567430" w:history="1">
            <w:r w:rsidR="0046633B" w:rsidRPr="005A308E">
              <w:rPr>
                <w:rStyle w:val="Hyperlink"/>
                <w:noProof/>
              </w:rPr>
              <w:t>3.2.5</w:t>
            </w:r>
            <w:r w:rsidR="0046633B">
              <w:rPr>
                <w:rFonts w:asciiTheme="minorHAnsi" w:eastAsiaTheme="minorEastAsia" w:hAnsiTheme="minorHAnsi"/>
                <w:noProof/>
                <w:sz w:val="22"/>
              </w:rPr>
              <w:tab/>
            </w:r>
            <w:r w:rsidR="0046633B" w:rsidRPr="005A308E">
              <w:rPr>
                <w:rStyle w:val="Hyperlink"/>
                <w:noProof/>
              </w:rPr>
              <w:t>Risk Management</w:t>
            </w:r>
            <w:r w:rsidR="0046633B">
              <w:rPr>
                <w:noProof/>
                <w:webHidden/>
              </w:rPr>
              <w:tab/>
            </w:r>
            <w:r w:rsidR="0046633B">
              <w:rPr>
                <w:noProof/>
                <w:webHidden/>
              </w:rPr>
              <w:fldChar w:fldCharType="begin"/>
            </w:r>
            <w:r w:rsidR="0046633B">
              <w:rPr>
                <w:noProof/>
                <w:webHidden/>
              </w:rPr>
              <w:instrText xml:space="preserve"> PAGEREF _Toc13567430 \h </w:instrText>
            </w:r>
            <w:r w:rsidR="0046633B">
              <w:rPr>
                <w:noProof/>
                <w:webHidden/>
              </w:rPr>
            </w:r>
            <w:r w:rsidR="0046633B">
              <w:rPr>
                <w:noProof/>
                <w:webHidden/>
              </w:rPr>
              <w:fldChar w:fldCharType="separate"/>
            </w:r>
            <w:r w:rsidR="0046633B">
              <w:rPr>
                <w:noProof/>
                <w:webHidden/>
              </w:rPr>
              <w:t>105</w:t>
            </w:r>
            <w:r w:rsidR="0046633B">
              <w:rPr>
                <w:noProof/>
                <w:webHidden/>
              </w:rPr>
              <w:fldChar w:fldCharType="end"/>
            </w:r>
          </w:hyperlink>
        </w:p>
        <w:p w14:paraId="040895E8" w14:textId="534800C3" w:rsidR="0046633B" w:rsidRDefault="006D43BC">
          <w:pPr>
            <w:pStyle w:val="TOC3"/>
            <w:tabs>
              <w:tab w:val="left" w:pos="1540"/>
              <w:tab w:val="right" w:leader="dot" w:pos="10790"/>
            </w:tabs>
            <w:rPr>
              <w:rFonts w:asciiTheme="minorHAnsi" w:eastAsiaTheme="minorEastAsia" w:hAnsiTheme="minorHAnsi"/>
              <w:noProof/>
              <w:sz w:val="22"/>
            </w:rPr>
          </w:pPr>
          <w:hyperlink w:anchor="_Toc13567431" w:history="1">
            <w:r w:rsidR="0046633B" w:rsidRPr="005A308E">
              <w:rPr>
                <w:rStyle w:val="Hyperlink"/>
                <w:noProof/>
              </w:rPr>
              <w:t>3.2.6</w:t>
            </w:r>
            <w:r w:rsidR="0046633B">
              <w:rPr>
                <w:rFonts w:asciiTheme="minorHAnsi" w:eastAsiaTheme="minorEastAsia" w:hAnsiTheme="minorHAnsi"/>
                <w:noProof/>
                <w:sz w:val="22"/>
              </w:rPr>
              <w:tab/>
            </w:r>
            <w:r w:rsidR="0046633B" w:rsidRPr="005A308E">
              <w:rPr>
                <w:rStyle w:val="Hyperlink"/>
                <w:noProof/>
              </w:rPr>
              <w:t>Quality Management</w:t>
            </w:r>
            <w:r w:rsidR="0046633B">
              <w:rPr>
                <w:noProof/>
                <w:webHidden/>
              </w:rPr>
              <w:tab/>
            </w:r>
            <w:r w:rsidR="0046633B">
              <w:rPr>
                <w:noProof/>
                <w:webHidden/>
              </w:rPr>
              <w:fldChar w:fldCharType="begin"/>
            </w:r>
            <w:r w:rsidR="0046633B">
              <w:rPr>
                <w:noProof/>
                <w:webHidden/>
              </w:rPr>
              <w:instrText xml:space="preserve"> PAGEREF _Toc13567431 \h </w:instrText>
            </w:r>
            <w:r w:rsidR="0046633B">
              <w:rPr>
                <w:noProof/>
                <w:webHidden/>
              </w:rPr>
            </w:r>
            <w:r w:rsidR="0046633B">
              <w:rPr>
                <w:noProof/>
                <w:webHidden/>
              </w:rPr>
              <w:fldChar w:fldCharType="separate"/>
            </w:r>
            <w:r w:rsidR="0046633B">
              <w:rPr>
                <w:noProof/>
                <w:webHidden/>
              </w:rPr>
              <w:t>105</w:t>
            </w:r>
            <w:r w:rsidR="0046633B">
              <w:rPr>
                <w:noProof/>
                <w:webHidden/>
              </w:rPr>
              <w:fldChar w:fldCharType="end"/>
            </w:r>
          </w:hyperlink>
        </w:p>
        <w:p w14:paraId="586B942F" w14:textId="7A35FB6D" w:rsidR="0046633B" w:rsidRDefault="006D43BC">
          <w:pPr>
            <w:pStyle w:val="TOC3"/>
            <w:tabs>
              <w:tab w:val="left" w:pos="1540"/>
              <w:tab w:val="right" w:leader="dot" w:pos="10790"/>
            </w:tabs>
            <w:rPr>
              <w:rFonts w:asciiTheme="minorHAnsi" w:eastAsiaTheme="minorEastAsia" w:hAnsiTheme="minorHAnsi"/>
              <w:noProof/>
              <w:sz w:val="22"/>
            </w:rPr>
          </w:pPr>
          <w:hyperlink w:anchor="_Toc13567432" w:history="1">
            <w:r w:rsidR="0046633B" w:rsidRPr="005A308E">
              <w:rPr>
                <w:rStyle w:val="Hyperlink"/>
                <w:noProof/>
              </w:rPr>
              <w:t>3.2.7</w:t>
            </w:r>
            <w:r w:rsidR="0046633B">
              <w:rPr>
                <w:rFonts w:asciiTheme="minorHAnsi" w:eastAsiaTheme="minorEastAsia" w:hAnsiTheme="minorHAnsi"/>
                <w:noProof/>
                <w:sz w:val="22"/>
              </w:rPr>
              <w:tab/>
            </w:r>
            <w:r w:rsidR="0046633B" w:rsidRPr="005A308E">
              <w:rPr>
                <w:rStyle w:val="Hyperlink"/>
                <w:noProof/>
              </w:rPr>
              <w:t>Close Phase and Project</w:t>
            </w:r>
            <w:r w:rsidR="0046633B">
              <w:rPr>
                <w:noProof/>
                <w:webHidden/>
              </w:rPr>
              <w:tab/>
            </w:r>
            <w:r w:rsidR="0046633B">
              <w:rPr>
                <w:noProof/>
                <w:webHidden/>
              </w:rPr>
              <w:fldChar w:fldCharType="begin"/>
            </w:r>
            <w:r w:rsidR="0046633B">
              <w:rPr>
                <w:noProof/>
                <w:webHidden/>
              </w:rPr>
              <w:instrText xml:space="preserve"> PAGEREF _Toc13567432 \h </w:instrText>
            </w:r>
            <w:r w:rsidR="0046633B">
              <w:rPr>
                <w:noProof/>
                <w:webHidden/>
              </w:rPr>
            </w:r>
            <w:r w:rsidR="0046633B">
              <w:rPr>
                <w:noProof/>
                <w:webHidden/>
              </w:rPr>
              <w:fldChar w:fldCharType="separate"/>
            </w:r>
            <w:r w:rsidR="0046633B">
              <w:rPr>
                <w:noProof/>
                <w:webHidden/>
              </w:rPr>
              <w:t>105</w:t>
            </w:r>
            <w:r w:rsidR="0046633B">
              <w:rPr>
                <w:noProof/>
                <w:webHidden/>
              </w:rPr>
              <w:fldChar w:fldCharType="end"/>
            </w:r>
          </w:hyperlink>
        </w:p>
        <w:p w14:paraId="3220C40A" w14:textId="2E360832" w:rsidR="0046633B" w:rsidRDefault="006D43BC">
          <w:pPr>
            <w:pStyle w:val="TOC2"/>
            <w:tabs>
              <w:tab w:val="left" w:pos="880"/>
            </w:tabs>
            <w:rPr>
              <w:rFonts w:asciiTheme="minorHAnsi" w:eastAsiaTheme="minorEastAsia" w:hAnsiTheme="minorHAnsi"/>
              <w:noProof/>
              <w:sz w:val="22"/>
            </w:rPr>
          </w:pPr>
          <w:hyperlink w:anchor="_Toc13567433" w:history="1">
            <w:r w:rsidR="0046633B" w:rsidRPr="005A308E">
              <w:rPr>
                <w:rStyle w:val="Hyperlink"/>
                <w:noProof/>
              </w:rPr>
              <w:t>3.3</w:t>
            </w:r>
            <w:r w:rsidR="0046633B">
              <w:rPr>
                <w:rFonts w:asciiTheme="minorHAnsi" w:eastAsiaTheme="minorEastAsia" w:hAnsiTheme="minorHAnsi"/>
                <w:noProof/>
                <w:sz w:val="22"/>
              </w:rPr>
              <w:tab/>
            </w:r>
            <w:r w:rsidR="0046633B" w:rsidRPr="005A308E">
              <w:rPr>
                <w:rStyle w:val="Hyperlink"/>
                <w:noProof/>
              </w:rPr>
              <w:t>Project Risks, Assumptions and Constraints</w:t>
            </w:r>
            <w:r w:rsidR="0046633B">
              <w:rPr>
                <w:noProof/>
                <w:webHidden/>
              </w:rPr>
              <w:tab/>
            </w:r>
            <w:r w:rsidR="0046633B">
              <w:rPr>
                <w:noProof/>
                <w:webHidden/>
              </w:rPr>
              <w:fldChar w:fldCharType="begin"/>
            </w:r>
            <w:r w:rsidR="0046633B">
              <w:rPr>
                <w:noProof/>
                <w:webHidden/>
              </w:rPr>
              <w:instrText xml:space="preserve"> PAGEREF _Toc13567433 \h </w:instrText>
            </w:r>
            <w:r w:rsidR="0046633B">
              <w:rPr>
                <w:noProof/>
                <w:webHidden/>
              </w:rPr>
            </w:r>
            <w:r w:rsidR="0046633B">
              <w:rPr>
                <w:noProof/>
                <w:webHidden/>
              </w:rPr>
              <w:fldChar w:fldCharType="separate"/>
            </w:r>
            <w:r w:rsidR="0046633B">
              <w:rPr>
                <w:noProof/>
                <w:webHidden/>
              </w:rPr>
              <w:t>105</w:t>
            </w:r>
            <w:r w:rsidR="0046633B">
              <w:rPr>
                <w:noProof/>
                <w:webHidden/>
              </w:rPr>
              <w:fldChar w:fldCharType="end"/>
            </w:r>
          </w:hyperlink>
        </w:p>
        <w:p w14:paraId="2E0D7BDD" w14:textId="646B8C54" w:rsidR="0046633B" w:rsidRDefault="006D43BC">
          <w:pPr>
            <w:pStyle w:val="TOC3"/>
            <w:tabs>
              <w:tab w:val="left" w:pos="1540"/>
              <w:tab w:val="right" w:leader="dot" w:pos="10790"/>
            </w:tabs>
            <w:rPr>
              <w:rFonts w:asciiTheme="minorHAnsi" w:eastAsiaTheme="minorEastAsia" w:hAnsiTheme="minorHAnsi"/>
              <w:noProof/>
              <w:sz w:val="22"/>
            </w:rPr>
          </w:pPr>
          <w:hyperlink w:anchor="_Toc13567434" w:history="1">
            <w:r w:rsidR="0046633B" w:rsidRPr="005A308E">
              <w:rPr>
                <w:rStyle w:val="Hyperlink"/>
                <w:noProof/>
              </w:rPr>
              <w:t>3.3.1</w:t>
            </w:r>
            <w:r w:rsidR="0046633B">
              <w:rPr>
                <w:rFonts w:asciiTheme="minorHAnsi" w:eastAsiaTheme="minorEastAsia" w:hAnsiTheme="minorHAnsi"/>
                <w:noProof/>
                <w:sz w:val="22"/>
              </w:rPr>
              <w:tab/>
            </w:r>
            <w:r w:rsidR="0046633B" w:rsidRPr="005A308E">
              <w:rPr>
                <w:rStyle w:val="Hyperlink"/>
                <w:noProof/>
              </w:rPr>
              <w:t>Risks</w:t>
            </w:r>
            <w:r w:rsidR="0046633B">
              <w:rPr>
                <w:noProof/>
                <w:webHidden/>
              </w:rPr>
              <w:tab/>
            </w:r>
            <w:r w:rsidR="0046633B">
              <w:rPr>
                <w:noProof/>
                <w:webHidden/>
              </w:rPr>
              <w:fldChar w:fldCharType="begin"/>
            </w:r>
            <w:r w:rsidR="0046633B">
              <w:rPr>
                <w:noProof/>
                <w:webHidden/>
              </w:rPr>
              <w:instrText xml:space="preserve"> PAGEREF _Toc13567434 \h </w:instrText>
            </w:r>
            <w:r w:rsidR="0046633B">
              <w:rPr>
                <w:noProof/>
                <w:webHidden/>
              </w:rPr>
            </w:r>
            <w:r w:rsidR="0046633B">
              <w:rPr>
                <w:noProof/>
                <w:webHidden/>
              </w:rPr>
              <w:fldChar w:fldCharType="separate"/>
            </w:r>
            <w:r w:rsidR="0046633B">
              <w:rPr>
                <w:noProof/>
                <w:webHidden/>
              </w:rPr>
              <w:t>105</w:t>
            </w:r>
            <w:r w:rsidR="0046633B">
              <w:rPr>
                <w:noProof/>
                <w:webHidden/>
              </w:rPr>
              <w:fldChar w:fldCharType="end"/>
            </w:r>
          </w:hyperlink>
        </w:p>
        <w:p w14:paraId="5655AB05" w14:textId="6E158C81" w:rsidR="0046633B" w:rsidRDefault="006D43BC">
          <w:pPr>
            <w:pStyle w:val="TOC3"/>
            <w:tabs>
              <w:tab w:val="left" w:pos="1540"/>
              <w:tab w:val="right" w:leader="dot" w:pos="10790"/>
            </w:tabs>
            <w:rPr>
              <w:rFonts w:asciiTheme="minorHAnsi" w:eastAsiaTheme="minorEastAsia" w:hAnsiTheme="minorHAnsi"/>
              <w:noProof/>
              <w:sz w:val="22"/>
            </w:rPr>
          </w:pPr>
          <w:hyperlink w:anchor="_Toc13567435" w:history="1">
            <w:r w:rsidR="0046633B" w:rsidRPr="005A308E">
              <w:rPr>
                <w:rStyle w:val="Hyperlink"/>
                <w:noProof/>
              </w:rPr>
              <w:t>3.3.2</w:t>
            </w:r>
            <w:r w:rsidR="0046633B">
              <w:rPr>
                <w:rFonts w:asciiTheme="minorHAnsi" w:eastAsiaTheme="minorEastAsia" w:hAnsiTheme="minorHAnsi"/>
                <w:noProof/>
                <w:sz w:val="22"/>
              </w:rPr>
              <w:tab/>
            </w:r>
            <w:r w:rsidR="0046633B" w:rsidRPr="005A308E">
              <w:rPr>
                <w:rStyle w:val="Hyperlink"/>
                <w:noProof/>
              </w:rPr>
              <w:t>Assumptions</w:t>
            </w:r>
            <w:r w:rsidR="0046633B">
              <w:rPr>
                <w:noProof/>
                <w:webHidden/>
              </w:rPr>
              <w:tab/>
            </w:r>
            <w:r w:rsidR="0046633B">
              <w:rPr>
                <w:noProof/>
                <w:webHidden/>
              </w:rPr>
              <w:fldChar w:fldCharType="begin"/>
            </w:r>
            <w:r w:rsidR="0046633B">
              <w:rPr>
                <w:noProof/>
                <w:webHidden/>
              </w:rPr>
              <w:instrText xml:space="preserve"> PAGEREF _Toc13567435 \h </w:instrText>
            </w:r>
            <w:r w:rsidR="0046633B">
              <w:rPr>
                <w:noProof/>
                <w:webHidden/>
              </w:rPr>
            </w:r>
            <w:r w:rsidR="0046633B">
              <w:rPr>
                <w:noProof/>
                <w:webHidden/>
              </w:rPr>
              <w:fldChar w:fldCharType="separate"/>
            </w:r>
            <w:r w:rsidR="0046633B">
              <w:rPr>
                <w:noProof/>
                <w:webHidden/>
              </w:rPr>
              <w:t>105</w:t>
            </w:r>
            <w:r w:rsidR="0046633B">
              <w:rPr>
                <w:noProof/>
                <w:webHidden/>
              </w:rPr>
              <w:fldChar w:fldCharType="end"/>
            </w:r>
          </w:hyperlink>
        </w:p>
        <w:p w14:paraId="2F8EC193" w14:textId="7313502E" w:rsidR="0046633B" w:rsidRDefault="006D43BC">
          <w:pPr>
            <w:pStyle w:val="TOC3"/>
            <w:tabs>
              <w:tab w:val="left" w:pos="1540"/>
              <w:tab w:val="right" w:leader="dot" w:pos="10790"/>
            </w:tabs>
            <w:rPr>
              <w:rFonts w:asciiTheme="minorHAnsi" w:eastAsiaTheme="minorEastAsia" w:hAnsiTheme="minorHAnsi"/>
              <w:noProof/>
              <w:sz w:val="22"/>
            </w:rPr>
          </w:pPr>
          <w:hyperlink w:anchor="_Toc13567436" w:history="1">
            <w:r w:rsidR="0046633B" w:rsidRPr="005A308E">
              <w:rPr>
                <w:rStyle w:val="Hyperlink"/>
                <w:noProof/>
              </w:rPr>
              <w:t>3.3.3</w:t>
            </w:r>
            <w:r w:rsidR="0046633B">
              <w:rPr>
                <w:rFonts w:asciiTheme="minorHAnsi" w:eastAsiaTheme="minorEastAsia" w:hAnsiTheme="minorHAnsi"/>
                <w:noProof/>
                <w:sz w:val="22"/>
              </w:rPr>
              <w:tab/>
            </w:r>
            <w:r w:rsidR="0046633B" w:rsidRPr="005A308E">
              <w:rPr>
                <w:rStyle w:val="Hyperlink"/>
                <w:noProof/>
              </w:rPr>
              <w:t>Constraints</w:t>
            </w:r>
            <w:r w:rsidR="0046633B">
              <w:rPr>
                <w:noProof/>
                <w:webHidden/>
              </w:rPr>
              <w:tab/>
            </w:r>
            <w:r w:rsidR="0046633B">
              <w:rPr>
                <w:noProof/>
                <w:webHidden/>
              </w:rPr>
              <w:fldChar w:fldCharType="begin"/>
            </w:r>
            <w:r w:rsidR="0046633B">
              <w:rPr>
                <w:noProof/>
                <w:webHidden/>
              </w:rPr>
              <w:instrText xml:space="preserve"> PAGEREF _Toc13567436 \h </w:instrText>
            </w:r>
            <w:r w:rsidR="0046633B">
              <w:rPr>
                <w:noProof/>
                <w:webHidden/>
              </w:rPr>
            </w:r>
            <w:r w:rsidR="0046633B">
              <w:rPr>
                <w:noProof/>
                <w:webHidden/>
              </w:rPr>
              <w:fldChar w:fldCharType="separate"/>
            </w:r>
            <w:r w:rsidR="0046633B">
              <w:rPr>
                <w:noProof/>
                <w:webHidden/>
              </w:rPr>
              <w:t>105</w:t>
            </w:r>
            <w:r w:rsidR="0046633B">
              <w:rPr>
                <w:noProof/>
                <w:webHidden/>
              </w:rPr>
              <w:fldChar w:fldCharType="end"/>
            </w:r>
          </w:hyperlink>
        </w:p>
        <w:p w14:paraId="12A4E751" w14:textId="5314EB8D" w:rsidR="0046633B" w:rsidRDefault="006D43BC">
          <w:pPr>
            <w:pStyle w:val="TOC2"/>
            <w:tabs>
              <w:tab w:val="left" w:pos="880"/>
            </w:tabs>
            <w:rPr>
              <w:rFonts w:asciiTheme="minorHAnsi" w:eastAsiaTheme="minorEastAsia" w:hAnsiTheme="minorHAnsi"/>
              <w:noProof/>
              <w:sz w:val="22"/>
            </w:rPr>
          </w:pPr>
          <w:hyperlink w:anchor="_Toc13567437" w:history="1">
            <w:r w:rsidR="0046633B" w:rsidRPr="005A308E">
              <w:rPr>
                <w:rStyle w:val="Hyperlink"/>
                <w:noProof/>
              </w:rPr>
              <w:t>3.4</w:t>
            </w:r>
            <w:r w:rsidR="0046633B">
              <w:rPr>
                <w:rFonts w:asciiTheme="minorHAnsi" w:eastAsiaTheme="minorEastAsia" w:hAnsiTheme="minorHAnsi"/>
                <w:noProof/>
                <w:sz w:val="22"/>
              </w:rPr>
              <w:tab/>
            </w:r>
            <w:r w:rsidR="0046633B" w:rsidRPr="005A308E">
              <w:rPr>
                <w:rStyle w:val="Hyperlink"/>
                <w:noProof/>
              </w:rPr>
              <w:t>Deliverable Submission and Review</w:t>
            </w:r>
            <w:r w:rsidR="0046633B">
              <w:rPr>
                <w:noProof/>
                <w:webHidden/>
              </w:rPr>
              <w:tab/>
            </w:r>
            <w:r w:rsidR="0046633B">
              <w:rPr>
                <w:noProof/>
                <w:webHidden/>
              </w:rPr>
              <w:fldChar w:fldCharType="begin"/>
            </w:r>
            <w:r w:rsidR="0046633B">
              <w:rPr>
                <w:noProof/>
                <w:webHidden/>
              </w:rPr>
              <w:instrText xml:space="preserve"> PAGEREF _Toc13567437 \h </w:instrText>
            </w:r>
            <w:r w:rsidR="0046633B">
              <w:rPr>
                <w:noProof/>
                <w:webHidden/>
              </w:rPr>
            </w:r>
            <w:r w:rsidR="0046633B">
              <w:rPr>
                <w:noProof/>
                <w:webHidden/>
              </w:rPr>
              <w:fldChar w:fldCharType="separate"/>
            </w:r>
            <w:r w:rsidR="0046633B">
              <w:rPr>
                <w:noProof/>
                <w:webHidden/>
              </w:rPr>
              <w:t>106</w:t>
            </w:r>
            <w:r w:rsidR="0046633B">
              <w:rPr>
                <w:noProof/>
                <w:webHidden/>
              </w:rPr>
              <w:fldChar w:fldCharType="end"/>
            </w:r>
          </w:hyperlink>
        </w:p>
        <w:p w14:paraId="5B4AC9C5" w14:textId="0A5D255C" w:rsidR="0046633B" w:rsidRDefault="006D43BC">
          <w:pPr>
            <w:pStyle w:val="TOC2"/>
            <w:tabs>
              <w:tab w:val="left" w:pos="880"/>
            </w:tabs>
            <w:rPr>
              <w:rFonts w:asciiTheme="minorHAnsi" w:eastAsiaTheme="minorEastAsia" w:hAnsiTheme="minorHAnsi"/>
              <w:noProof/>
              <w:sz w:val="22"/>
            </w:rPr>
          </w:pPr>
          <w:hyperlink w:anchor="_Toc13567438" w:history="1">
            <w:r w:rsidR="0046633B" w:rsidRPr="005A308E">
              <w:rPr>
                <w:rStyle w:val="Hyperlink"/>
                <w:noProof/>
              </w:rPr>
              <w:t>3.5</w:t>
            </w:r>
            <w:r w:rsidR="0046633B">
              <w:rPr>
                <w:rFonts w:asciiTheme="minorHAnsi" w:eastAsiaTheme="minorEastAsia" w:hAnsiTheme="minorHAnsi"/>
                <w:noProof/>
                <w:sz w:val="22"/>
              </w:rPr>
              <w:tab/>
            </w:r>
            <w:r w:rsidR="0046633B" w:rsidRPr="005A308E">
              <w:rPr>
                <w:rStyle w:val="Hyperlink"/>
                <w:noProof/>
              </w:rPr>
              <w:t>Deliverable Acceptance</w:t>
            </w:r>
            <w:r w:rsidR="0046633B">
              <w:rPr>
                <w:noProof/>
                <w:webHidden/>
              </w:rPr>
              <w:tab/>
            </w:r>
            <w:r w:rsidR="0046633B">
              <w:rPr>
                <w:noProof/>
                <w:webHidden/>
              </w:rPr>
              <w:fldChar w:fldCharType="begin"/>
            </w:r>
            <w:r w:rsidR="0046633B">
              <w:rPr>
                <w:noProof/>
                <w:webHidden/>
              </w:rPr>
              <w:instrText xml:space="preserve"> PAGEREF _Toc13567438 \h </w:instrText>
            </w:r>
            <w:r w:rsidR="0046633B">
              <w:rPr>
                <w:noProof/>
                <w:webHidden/>
              </w:rPr>
            </w:r>
            <w:r w:rsidR="0046633B">
              <w:rPr>
                <w:noProof/>
                <w:webHidden/>
              </w:rPr>
              <w:fldChar w:fldCharType="separate"/>
            </w:r>
            <w:r w:rsidR="0046633B">
              <w:rPr>
                <w:noProof/>
                <w:webHidden/>
              </w:rPr>
              <w:t>107</w:t>
            </w:r>
            <w:r w:rsidR="0046633B">
              <w:rPr>
                <w:noProof/>
                <w:webHidden/>
              </w:rPr>
              <w:fldChar w:fldCharType="end"/>
            </w:r>
          </w:hyperlink>
        </w:p>
        <w:p w14:paraId="5F2B5F02" w14:textId="5B6F92D9" w:rsidR="0046633B" w:rsidRDefault="006D43BC">
          <w:pPr>
            <w:pStyle w:val="TOC2"/>
            <w:tabs>
              <w:tab w:val="left" w:pos="880"/>
            </w:tabs>
            <w:rPr>
              <w:rFonts w:asciiTheme="minorHAnsi" w:eastAsiaTheme="minorEastAsia" w:hAnsiTheme="minorHAnsi"/>
              <w:noProof/>
              <w:sz w:val="22"/>
            </w:rPr>
          </w:pPr>
          <w:hyperlink w:anchor="_Toc13567439" w:history="1">
            <w:r w:rsidR="0046633B" w:rsidRPr="005A308E">
              <w:rPr>
                <w:rStyle w:val="Hyperlink"/>
                <w:noProof/>
              </w:rPr>
              <w:t>3.6</w:t>
            </w:r>
            <w:r w:rsidR="0046633B">
              <w:rPr>
                <w:rFonts w:asciiTheme="minorHAnsi" w:eastAsiaTheme="minorEastAsia" w:hAnsiTheme="minorHAnsi"/>
                <w:noProof/>
                <w:sz w:val="22"/>
              </w:rPr>
              <w:tab/>
            </w:r>
            <w:r w:rsidR="0046633B" w:rsidRPr="005A308E">
              <w:rPr>
                <w:rStyle w:val="Hyperlink"/>
                <w:noProof/>
              </w:rPr>
              <w:t>Invoices</w:t>
            </w:r>
            <w:r w:rsidR="0046633B">
              <w:rPr>
                <w:noProof/>
                <w:webHidden/>
              </w:rPr>
              <w:tab/>
            </w:r>
            <w:r w:rsidR="0046633B">
              <w:rPr>
                <w:noProof/>
                <w:webHidden/>
              </w:rPr>
              <w:fldChar w:fldCharType="begin"/>
            </w:r>
            <w:r w:rsidR="0046633B">
              <w:rPr>
                <w:noProof/>
                <w:webHidden/>
              </w:rPr>
              <w:instrText xml:space="preserve"> PAGEREF _Toc13567439 \h </w:instrText>
            </w:r>
            <w:r w:rsidR="0046633B">
              <w:rPr>
                <w:noProof/>
                <w:webHidden/>
              </w:rPr>
            </w:r>
            <w:r w:rsidR="0046633B">
              <w:rPr>
                <w:noProof/>
                <w:webHidden/>
              </w:rPr>
              <w:fldChar w:fldCharType="separate"/>
            </w:r>
            <w:r w:rsidR="0046633B">
              <w:rPr>
                <w:noProof/>
                <w:webHidden/>
              </w:rPr>
              <w:t>108</w:t>
            </w:r>
            <w:r w:rsidR="0046633B">
              <w:rPr>
                <w:noProof/>
                <w:webHidden/>
              </w:rPr>
              <w:fldChar w:fldCharType="end"/>
            </w:r>
          </w:hyperlink>
        </w:p>
        <w:p w14:paraId="1DE8C4C4" w14:textId="2288AA97" w:rsidR="0046633B" w:rsidRDefault="006D43BC">
          <w:pPr>
            <w:pStyle w:val="TOC2"/>
            <w:tabs>
              <w:tab w:val="left" w:pos="880"/>
            </w:tabs>
            <w:rPr>
              <w:rFonts w:asciiTheme="minorHAnsi" w:eastAsiaTheme="minorEastAsia" w:hAnsiTheme="minorHAnsi"/>
              <w:noProof/>
              <w:sz w:val="22"/>
            </w:rPr>
          </w:pPr>
          <w:hyperlink w:anchor="_Toc13567440" w:history="1">
            <w:r w:rsidR="0046633B" w:rsidRPr="005A308E">
              <w:rPr>
                <w:rStyle w:val="Hyperlink"/>
                <w:noProof/>
              </w:rPr>
              <w:t>3.7</w:t>
            </w:r>
            <w:r w:rsidR="0046633B">
              <w:rPr>
                <w:rFonts w:asciiTheme="minorHAnsi" w:eastAsiaTheme="minorEastAsia" w:hAnsiTheme="minorHAnsi"/>
                <w:noProof/>
                <w:sz w:val="22"/>
              </w:rPr>
              <w:tab/>
            </w:r>
            <w:r w:rsidR="0046633B" w:rsidRPr="005A308E">
              <w:rPr>
                <w:rStyle w:val="Hyperlink"/>
                <w:noProof/>
              </w:rPr>
              <w:t>Reports and Meetings</w:t>
            </w:r>
            <w:r w:rsidR="0046633B">
              <w:rPr>
                <w:noProof/>
                <w:webHidden/>
              </w:rPr>
              <w:tab/>
            </w:r>
            <w:r w:rsidR="0046633B">
              <w:rPr>
                <w:noProof/>
                <w:webHidden/>
              </w:rPr>
              <w:fldChar w:fldCharType="begin"/>
            </w:r>
            <w:r w:rsidR="0046633B">
              <w:rPr>
                <w:noProof/>
                <w:webHidden/>
              </w:rPr>
              <w:instrText xml:space="preserve"> PAGEREF _Toc13567440 \h </w:instrText>
            </w:r>
            <w:r w:rsidR="0046633B">
              <w:rPr>
                <w:noProof/>
                <w:webHidden/>
              </w:rPr>
            </w:r>
            <w:r w:rsidR="0046633B">
              <w:rPr>
                <w:noProof/>
                <w:webHidden/>
              </w:rPr>
              <w:fldChar w:fldCharType="separate"/>
            </w:r>
            <w:r w:rsidR="0046633B">
              <w:rPr>
                <w:noProof/>
                <w:webHidden/>
              </w:rPr>
              <w:t>109</w:t>
            </w:r>
            <w:r w:rsidR="0046633B">
              <w:rPr>
                <w:noProof/>
                <w:webHidden/>
              </w:rPr>
              <w:fldChar w:fldCharType="end"/>
            </w:r>
          </w:hyperlink>
        </w:p>
        <w:p w14:paraId="05D16268" w14:textId="602C5C52" w:rsidR="0046633B" w:rsidRDefault="006D43BC">
          <w:pPr>
            <w:pStyle w:val="TOC2"/>
            <w:tabs>
              <w:tab w:val="left" w:pos="880"/>
            </w:tabs>
            <w:rPr>
              <w:rFonts w:asciiTheme="minorHAnsi" w:eastAsiaTheme="minorEastAsia" w:hAnsiTheme="minorHAnsi"/>
              <w:noProof/>
              <w:sz w:val="22"/>
            </w:rPr>
          </w:pPr>
          <w:hyperlink w:anchor="_Toc13567441" w:history="1">
            <w:r w:rsidR="0046633B" w:rsidRPr="005A308E">
              <w:rPr>
                <w:rStyle w:val="Hyperlink"/>
                <w:noProof/>
              </w:rPr>
              <w:t>3.8</w:t>
            </w:r>
            <w:r w:rsidR="0046633B">
              <w:rPr>
                <w:rFonts w:asciiTheme="minorHAnsi" w:eastAsiaTheme="minorEastAsia" w:hAnsiTheme="minorHAnsi"/>
                <w:noProof/>
                <w:sz w:val="22"/>
              </w:rPr>
              <w:tab/>
            </w:r>
            <w:r w:rsidR="0046633B" w:rsidRPr="005A308E">
              <w:rPr>
                <w:rStyle w:val="Hyperlink"/>
                <w:noProof/>
              </w:rPr>
              <w:t>Project Change Requests</w:t>
            </w:r>
            <w:r w:rsidR="0046633B">
              <w:rPr>
                <w:noProof/>
                <w:webHidden/>
              </w:rPr>
              <w:tab/>
            </w:r>
            <w:r w:rsidR="0046633B">
              <w:rPr>
                <w:noProof/>
                <w:webHidden/>
              </w:rPr>
              <w:fldChar w:fldCharType="begin"/>
            </w:r>
            <w:r w:rsidR="0046633B">
              <w:rPr>
                <w:noProof/>
                <w:webHidden/>
              </w:rPr>
              <w:instrText xml:space="preserve"> PAGEREF _Toc13567441 \h </w:instrText>
            </w:r>
            <w:r w:rsidR="0046633B">
              <w:rPr>
                <w:noProof/>
                <w:webHidden/>
              </w:rPr>
            </w:r>
            <w:r w:rsidR="0046633B">
              <w:rPr>
                <w:noProof/>
                <w:webHidden/>
              </w:rPr>
              <w:fldChar w:fldCharType="separate"/>
            </w:r>
            <w:r w:rsidR="0046633B">
              <w:rPr>
                <w:noProof/>
                <w:webHidden/>
              </w:rPr>
              <w:t>110</w:t>
            </w:r>
            <w:r w:rsidR="0046633B">
              <w:rPr>
                <w:noProof/>
                <w:webHidden/>
              </w:rPr>
              <w:fldChar w:fldCharType="end"/>
            </w:r>
          </w:hyperlink>
        </w:p>
        <w:p w14:paraId="4CB8E308" w14:textId="2CCD0362" w:rsidR="0046633B" w:rsidRDefault="006D43BC">
          <w:pPr>
            <w:pStyle w:val="TOC1"/>
            <w:rPr>
              <w:rFonts w:asciiTheme="minorHAnsi" w:eastAsiaTheme="minorEastAsia" w:hAnsiTheme="minorHAnsi"/>
              <w:noProof/>
              <w:sz w:val="22"/>
            </w:rPr>
          </w:pPr>
          <w:hyperlink w:anchor="_Toc13567442" w:history="1">
            <w:r w:rsidR="0046633B" w:rsidRPr="005A308E">
              <w:rPr>
                <w:rStyle w:val="Hyperlink"/>
                <w:noProof/>
              </w:rPr>
              <w:t>4.</w:t>
            </w:r>
            <w:r w:rsidR="0046633B">
              <w:rPr>
                <w:rFonts w:asciiTheme="minorHAnsi" w:eastAsiaTheme="minorEastAsia" w:hAnsiTheme="minorHAnsi"/>
                <w:noProof/>
                <w:sz w:val="22"/>
              </w:rPr>
              <w:tab/>
            </w:r>
            <w:r w:rsidR="0046633B" w:rsidRPr="005A308E">
              <w:rPr>
                <w:rStyle w:val="Hyperlink"/>
                <w:noProof/>
              </w:rPr>
              <w:t>Performance Management</w:t>
            </w:r>
            <w:r w:rsidR="0046633B">
              <w:rPr>
                <w:noProof/>
                <w:webHidden/>
              </w:rPr>
              <w:tab/>
            </w:r>
            <w:r w:rsidR="0046633B">
              <w:rPr>
                <w:noProof/>
                <w:webHidden/>
              </w:rPr>
              <w:fldChar w:fldCharType="begin"/>
            </w:r>
            <w:r w:rsidR="0046633B">
              <w:rPr>
                <w:noProof/>
                <w:webHidden/>
              </w:rPr>
              <w:instrText xml:space="preserve"> PAGEREF _Toc13567442 \h </w:instrText>
            </w:r>
            <w:r w:rsidR="0046633B">
              <w:rPr>
                <w:noProof/>
                <w:webHidden/>
              </w:rPr>
            </w:r>
            <w:r w:rsidR="0046633B">
              <w:rPr>
                <w:noProof/>
                <w:webHidden/>
              </w:rPr>
              <w:fldChar w:fldCharType="separate"/>
            </w:r>
            <w:r w:rsidR="0046633B">
              <w:rPr>
                <w:noProof/>
                <w:webHidden/>
              </w:rPr>
              <w:t>111</w:t>
            </w:r>
            <w:r w:rsidR="0046633B">
              <w:rPr>
                <w:noProof/>
                <w:webHidden/>
              </w:rPr>
              <w:fldChar w:fldCharType="end"/>
            </w:r>
          </w:hyperlink>
        </w:p>
        <w:p w14:paraId="6BEA8D09" w14:textId="34F37853" w:rsidR="0046633B" w:rsidRDefault="006D43BC">
          <w:pPr>
            <w:pStyle w:val="TOC2"/>
            <w:tabs>
              <w:tab w:val="left" w:pos="880"/>
            </w:tabs>
            <w:rPr>
              <w:rFonts w:asciiTheme="minorHAnsi" w:eastAsiaTheme="minorEastAsia" w:hAnsiTheme="minorHAnsi"/>
              <w:noProof/>
              <w:sz w:val="22"/>
            </w:rPr>
          </w:pPr>
          <w:hyperlink w:anchor="_Toc13567443" w:history="1">
            <w:r w:rsidR="0046633B" w:rsidRPr="005A308E">
              <w:rPr>
                <w:rStyle w:val="Hyperlink"/>
                <w:noProof/>
              </w:rPr>
              <w:t>4.1</w:t>
            </w:r>
            <w:r w:rsidR="0046633B">
              <w:rPr>
                <w:rFonts w:asciiTheme="minorHAnsi" w:eastAsiaTheme="minorEastAsia" w:hAnsiTheme="minorHAnsi"/>
                <w:noProof/>
                <w:sz w:val="22"/>
              </w:rPr>
              <w:tab/>
            </w:r>
            <w:r w:rsidR="0046633B" w:rsidRPr="005A308E">
              <w:rPr>
                <w:rStyle w:val="Hyperlink"/>
                <w:noProof/>
              </w:rPr>
              <w:t>Firm Fixed Price</w:t>
            </w:r>
            <w:r w:rsidR="0046633B">
              <w:rPr>
                <w:noProof/>
                <w:webHidden/>
              </w:rPr>
              <w:tab/>
            </w:r>
            <w:r w:rsidR="0046633B">
              <w:rPr>
                <w:noProof/>
                <w:webHidden/>
              </w:rPr>
              <w:fldChar w:fldCharType="begin"/>
            </w:r>
            <w:r w:rsidR="0046633B">
              <w:rPr>
                <w:noProof/>
                <w:webHidden/>
              </w:rPr>
              <w:instrText xml:space="preserve"> PAGEREF _Toc13567443 \h </w:instrText>
            </w:r>
            <w:r w:rsidR="0046633B">
              <w:rPr>
                <w:noProof/>
                <w:webHidden/>
              </w:rPr>
            </w:r>
            <w:r w:rsidR="0046633B">
              <w:rPr>
                <w:noProof/>
                <w:webHidden/>
              </w:rPr>
              <w:fldChar w:fldCharType="separate"/>
            </w:r>
            <w:r w:rsidR="0046633B">
              <w:rPr>
                <w:noProof/>
                <w:webHidden/>
              </w:rPr>
              <w:t>111</w:t>
            </w:r>
            <w:r w:rsidR="0046633B">
              <w:rPr>
                <w:noProof/>
                <w:webHidden/>
              </w:rPr>
              <w:fldChar w:fldCharType="end"/>
            </w:r>
          </w:hyperlink>
        </w:p>
        <w:p w14:paraId="20317806" w14:textId="79B14E89" w:rsidR="0046633B" w:rsidRDefault="006D43BC">
          <w:pPr>
            <w:pStyle w:val="TOC2"/>
            <w:tabs>
              <w:tab w:val="left" w:pos="880"/>
            </w:tabs>
            <w:rPr>
              <w:rFonts w:asciiTheme="minorHAnsi" w:eastAsiaTheme="minorEastAsia" w:hAnsiTheme="minorHAnsi"/>
              <w:noProof/>
              <w:sz w:val="22"/>
            </w:rPr>
          </w:pPr>
          <w:hyperlink w:anchor="_Toc13567444" w:history="1">
            <w:r w:rsidR="0046633B" w:rsidRPr="005A308E">
              <w:rPr>
                <w:rStyle w:val="Hyperlink"/>
                <w:noProof/>
              </w:rPr>
              <w:t>4.2</w:t>
            </w:r>
            <w:r w:rsidR="0046633B">
              <w:rPr>
                <w:rFonts w:asciiTheme="minorHAnsi" w:eastAsiaTheme="minorEastAsia" w:hAnsiTheme="minorHAnsi"/>
                <w:noProof/>
                <w:sz w:val="22"/>
              </w:rPr>
              <w:tab/>
            </w:r>
            <w:r w:rsidR="0046633B" w:rsidRPr="005A308E">
              <w:rPr>
                <w:rStyle w:val="Hyperlink"/>
                <w:noProof/>
              </w:rPr>
              <w:t>Escalation Path</w:t>
            </w:r>
            <w:r w:rsidR="0046633B">
              <w:rPr>
                <w:noProof/>
                <w:webHidden/>
              </w:rPr>
              <w:tab/>
            </w:r>
            <w:r w:rsidR="0046633B">
              <w:rPr>
                <w:noProof/>
                <w:webHidden/>
              </w:rPr>
              <w:fldChar w:fldCharType="begin"/>
            </w:r>
            <w:r w:rsidR="0046633B">
              <w:rPr>
                <w:noProof/>
                <w:webHidden/>
              </w:rPr>
              <w:instrText xml:space="preserve"> PAGEREF _Toc13567444 \h </w:instrText>
            </w:r>
            <w:r w:rsidR="0046633B">
              <w:rPr>
                <w:noProof/>
                <w:webHidden/>
              </w:rPr>
            </w:r>
            <w:r w:rsidR="0046633B">
              <w:rPr>
                <w:noProof/>
                <w:webHidden/>
              </w:rPr>
              <w:fldChar w:fldCharType="separate"/>
            </w:r>
            <w:r w:rsidR="0046633B">
              <w:rPr>
                <w:noProof/>
                <w:webHidden/>
              </w:rPr>
              <w:t>111</w:t>
            </w:r>
            <w:r w:rsidR="0046633B">
              <w:rPr>
                <w:noProof/>
                <w:webHidden/>
              </w:rPr>
              <w:fldChar w:fldCharType="end"/>
            </w:r>
          </w:hyperlink>
        </w:p>
        <w:p w14:paraId="24D64B6F" w14:textId="073F625C" w:rsidR="0046633B" w:rsidRDefault="006D43BC">
          <w:pPr>
            <w:pStyle w:val="TOC2"/>
            <w:tabs>
              <w:tab w:val="left" w:pos="880"/>
            </w:tabs>
            <w:rPr>
              <w:rFonts w:asciiTheme="minorHAnsi" w:eastAsiaTheme="minorEastAsia" w:hAnsiTheme="minorHAnsi"/>
              <w:noProof/>
              <w:sz w:val="22"/>
            </w:rPr>
          </w:pPr>
          <w:hyperlink w:anchor="_Toc13567445" w:history="1">
            <w:r w:rsidR="0046633B" w:rsidRPr="005A308E">
              <w:rPr>
                <w:rStyle w:val="Hyperlink"/>
                <w:noProof/>
              </w:rPr>
              <w:t>4.3</w:t>
            </w:r>
            <w:r w:rsidR="0046633B">
              <w:rPr>
                <w:rFonts w:asciiTheme="minorHAnsi" w:eastAsiaTheme="minorEastAsia" w:hAnsiTheme="minorHAnsi"/>
                <w:noProof/>
                <w:sz w:val="22"/>
              </w:rPr>
              <w:tab/>
            </w:r>
            <w:r w:rsidR="0046633B" w:rsidRPr="005A308E">
              <w:rPr>
                <w:rStyle w:val="Hyperlink"/>
                <w:noProof/>
              </w:rPr>
              <w:t>Corrective Action</w:t>
            </w:r>
            <w:r w:rsidR="0046633B">
              <w:rPr>
                <w:noProof/>
                <w:webHidden/>
              </w:rPr>
              <w:tab/>
            </w:r>
            <w:r w:rsidR="0046633B">
              <w:rPr>
                <w:noProof/>
                <w:webHidden/>
              </w:rPr>
              <w:fldChar w:fldCharType="begin"/>
            </w:r>
            <w:r w:rsidR="0046633B">
              <w:rPr>
                <w:noProof/>
                <w:webHidden/>
              </w:rPr>
              <w:instrText xml:space="preserve"> PAGEREF _Toc13567445 \h </w:instrText>
            </w:r>
            <w:r w:rsidR="0046633B">
              <w:rPr>
                <w:noProof/>
                <w:webHidden/>
              </w:rPr>
            </w:r>
            <w:r w:rsidR="0046633B">
              <w:rPr>
                <w:noProof/>
                <w:webHidden/>
              </w:rPr>
              <w:fldChar w:fldCharType="separate"/>
            </w:r>
            <w:r w:rsidR="0046633B">
              <w:rPr>
                <w:noProof/>
                <w:webHidden/>
              </w:rPr>
              <w:t>112</w:t>
            </w:r>
            <w:r w:rsidR="0046633B">
              <w:rPr>
                <w:noProof/>
                <w:webHidden/>
              </w:rPr>
              <w:fldChar w:fldCharType="end"/>
            </w:r>
          </w:hyperlink>
        </w:p>
        <w:p w14:paraId="4C189F37" w14:textId="553BB3A0" w:rsidR="0046633B" w:rsidRDefault="006D43BC">
          <w:pPr>
            <w:pStyle w:val="TOC1"/>
            <w:rPr>
              <w:rFonts w:asciiTheme="minorHAnsi" w:eastAsiaTheme="minorEastAsia" w:hAnsiTheme="minorHAnsi"/>
              <w:noProof/>
              <w:sz w:val="22"/>
            </w:rPr>
          </w:pPr>
          <w:hyperlink w:anchor="_Toc13567446" w:history="1">
            <w:r w:rsidR="0046633B" w:rsidRPr="005A308E">
              <w:rPr>
                <w:rStyle w:val="Hyperlink"/>
                <w:noProof/>
              </w:rPr>
              <w:t>5.</w:t>
            </w:r>
            <w:r w:rsidR="0046633B">
              <w:rPr>
                <w:rFonts w:asciiTheme="minorHAnsi" w:eastAsiaTheme="minorEastAsia" w:hAnsiTheme="minorHAnsi"/>
                <w:noProof/>
                <w:sz w:val="22"/>
              </w:rPr>
              <w:tab/>
            </w:r>
            <w:r w:rsidR="0046633B" w:rsidRPr="005A308E">
              <w:rPr>
                <w:rStyle w:val="Hyperlink"/>
                <w:noProof/>
              </w:rPr>
              <w:t>Customer/Vendor-Furnished Equipment and Work Space</w:t>
            </w:r>
            <w:r w:rsidR="0046633B">
              <w:rPr>
                <w:noProof/>
                <w:webHidden/>
              </w:rPr>
              <w:tab/>
            </w:r>
            <w:r w:rsidR="0046633B">
              <w:rPr>
                <w:noProof/>
                <w:webHidden/>
              </w:rPr>
              <w:fldChar w:fldCharType="begin"/>
            </w:r>
            <w:r w:rsidR="0046633B">
              <w:rPr>
                <w:noProof/>
                <w:webHidden/>
              </w:rPr>
              <w:instrText xml:space="preserve"> PAGEREF _Toc13567446 \h </w:instrText>
            </w:r>
            <w:r w:rsidR="0046633B">
              <w:rPr>
                <w:noProof/>
                <w:webHidden/>
              </w:rPr>
            </w:r>
            <w:r w:rsidR="0046633B">
              <w:rPr>
                <w:noProof/>
                <w:webHidden/>
              </w:rPr>
              <w:fldChar w:fldCharType="separate"/>
            </w:r>
            <w:r w:rsidR="0046633B">
              <w:rPr>
                <w:noProof/>
                <w:webHidden/>
              </w:rPr>
              <w:t>114</w:t>
            </w:r>
            <w:r w:rsidR="0046633B">
              <w:rPr>
                <w:noProof/>
                <w:webHidden/>
              </w:rPr>
              <w:fldChar w:fldCharType="end"/>
            </w:r>
          </w:hyperlink>
        </w:p>
        <w:p w14:paraId="67A0DC2B" w14:textId="1A2A47E8" w:rsidR="0046633B" w:rsidRDefault="006D43BC">
          <w:pPr>
            <w:pStyle w:val="TOC1"/>
            <w:rPr>
              <w:rFonts w:asciiTheme="minorHAnsi" w:eastAsiaTheme="minorEastAsia" w:hAnsiTheme="minorHAnsi"/>
              <w:noProof/>
              <w:sz w:val="22"/>
            </w:rPr>
          </w:pPr>
          <w:hyperlink w:anchor="_Toc13567447" w:history="1">
            <w:r w:rsidR="0046633B" w:rsidRPr="005A308E">
              <w:rPr>
                <w:rStyle w:val="Hyperlink"/>
                <w:noProof/>
              </w:rPr>
              <w:t>6.</w:t>
            </w:r>
            <w:r w:rsidR="0046633B">
              <w:rPr>
                <w:rFonts w:asciiTheme="minorHAnsi" w:eastAsiaTheme="minorEastAsia" w:hAnsiTheme="minorHAnsi"/>
                <w:noProof/>
                <w:sz w:val="22"/>
              </w:rPr>
              <w:tab/>
            </w:r>
            <w:r w:rsidR="0046633B" w:rsidRPr="005A308E">
              <w:rPr>
                <w:rStyle w:val="Hyperlink"/>
                <w:noProof/>
              </w:rPr>
              <w:t>Additional TWC Requirements</w:t>
            </w:r>
            <w:r w:rsidR="0046633B">
              <w:rPr>
                <w:noProof/>
                <w:webHidden/>
              </w:rPr>
              <w:tab/>
            </w:r>
            <w:r w:rsidR="0046633B">
              <w:rPr>
                <w:noProof/>
                <w:webHidden/>
              </w:rPr>
              <w:fldChar w:fldCharType="begin"/>
            </w:r>
            <w:r w:rsidR="0046633B">
              <w:rPr>
                <w:noProof/>
                <w:webHidden/>
              </w:rPr>
              <w:instrText xml:space="preserve"> PAGEREF _Toc13567447 \h </w:instrText>
            </w:r>
            <w:r w:rsidR="0046633B">
              <w:rPr>
                <w:noProof/>
                <w:webHidden/>
              </w:rPr>
            </w:r>
            <w:r w:rsidR="0046633B">
              <w:rPr>
                <w:noProof/>
                <w:webHidden/>
              </w:rPr>
              <w:fldChar w:fldCharType="separate"/>
            </w:r>
            <w:r w:rsidR="0046633B">
              <w:rPr>
                <w:noProof/>
                <w:webHidden/>
              </w:rPr>
              <w:t>115</w:t>
            </w:r>
            <w:r w:rsidR="0046633B">
              <w:rPr>
                <w:noProof/>
                <w:webHidden/>
              </w:rPr>
              <w:fldChar w:fldCharType="end"/>
            </w:r>
          </w:hyperlink>
        </w:p>
        <w:p w14:paraId="212B39A3" w14:textId="5C46E0D2" w:rsidR="0046633B" w:rsidRDefault="006D43BC">
          <w:pPr>
            <w:pStyle w:val="TOC2"/>
            <w:tabs>
              <w:tab w:val="left" w:pos="880"/>
            </w:tabs>
            <w:rPr>
              <w:rFonts w:asciiTheme="minorHAnsi" w:eastAsiaTheme="minorEastAsia" w:hAnsiTheme="minorHAnsi"/>
              <w:noProof/>
              <w:sz w:val="22"/>
            </w:rPr>
          </w:pPr>
          <w:hyperlink w:anchor="_Toc13567448" w:history="1">
            <w:r w:rsidR="0046633B" w:rsidRPr="005A308E">
              <w:rPr>
                <w:rStyle w:val="Hyperlink"/>
                <w:noProof/>
              </w:rPr>
              <w:t>6.1</w:t>
            </w:r>
            <w:r w:rsidR="0046633B">
              <w:rPr>
                <w:rFonts w:asciiTheme="minorHAnsi" w:eastAsiaTheme="minorEastAsia" w:hAnsiTheme="minorHAnsi"/>
                <w:noProof/>
                <w:sz w:val="22"/>
              </w:rPr>
              <w:tab/>
            </w:r>
            <w:r w:rsidR="0046633B" w:rsidRPr="005A308E">
              <w:rPr>
                <w:rStyle w:val="Hyperlink"/>
                <w:noProof/>
              </w:rPr>
              <w:t>Retainage</w:t>
            </w:r>
            <w:r w:rsidR="0046633B">
              <w:rPr>
                <w:noProof/>
                <w:webHidden/>
              </w:rPr>
              <w:tab/>
            </w:r>
            <w:r w:rsidR="0046633B">
              <w:rPr>
                <w:noProof/>
                <w:webHidden/>
              </w:rPr>
              <w:fldChar w:fldCharType="begin"/>
            </w:r>
            <w:r w:rsidR="0046633B">
              <w:rPr>
                <w:noProof/>
                <w:webHidden/>
              </w:rPr>
              <w:instrText xml:space="preserve"> PAGEREF _Toc13567448 \h </w:instrText>
            </w:r>
            <w:r w:rsidR="0046633B">
              <w:rPr>
                <w:noProof/>
                <w:webHidden/>
              </w:rPr>
            </w:r>
            <w:r w:rsidR="0046633B">
              <w:rPr>
                <w:noProof/>
                <w:webHidden/>
              </w:rPr>
              <w:fldChar w:fldCharType="separate"/>
            </w:r>
            <w:r w:rsidR="0046633B">
              <w:rPr>
                <w:noProof/>
                <w:webHidden/>
              </w:rPr>
              <w:t>115</w:t>
            </w:r>
            <w:r w:rsidR="0046633B">
              <w:rPr>
                <w:noProof/>
                <w:webHidden/>
              </w:rPr>
              <w:fldChar w:fldCharType="end"/>
            </w:r>
          </w:hyperlink>
        </w:p>
        <w:p w14:paraId="124ED7CB" w14:textId="5B3555A8" w:rsidR="0046633B" w:rsidRDefault="006D43BC">
          <w:pPr>
            <w:pStyle w:val="TOC2"/>
            <w:tabs>
              <w:tab w:val="left" w:pos="880"/>
            </w:tabs>
            <w:rPr>
              <w:rFonts w:asciiTheme="minorHAnsi" w:eastAsiaTheme="minorEastAsia" w:hAnsiTheme="minorHAnsi"/>
              <w:noProof/>
              <w:sz w:val="22"/>
            </w:rPr>
          </w:pPr>
          <w:hyperlink w:anchor="_Toc13567449" w:history="1">
            <w:r w:rsidR="0046633B" w:rsidRPr="005A308E">
              <w:rPr>
                <w:rStyle w:val="Hyperlink"/>
                <w:noProof/>
              </w:rPr>
              <w:t>6.2</w:t>
            </w:r>
            <w:r w:rsidR="0046633B">
              <w:rPr>
                <w:rFonts w:asciiTheme="minorHAnsi" w:eastAsiaTheme="minorEastAsia" w:hAnsiTheme="minorHAnsi"/>
                <w:noProof/>
                <w:sz w:val="22"/>
              </w:rPr>
              <w:tab/>
            </w:r>
            <w:r w:rsidR="0046633B" w:rsidRPr="005A308E">
              <w:rPr>
                <w:rStyle w:val="Hyperlink"/>
                <w:noProof/>
              </w:rPr>
              <w:t>Final System Acceptance</w:t>
            </w:r>
            <w:r w:rsidR="0046633B">
              <w:rPr>
                <w:noProof/>
                <w:webHidden/>
              </w:rPr>
              <w:tab/>
            </w:r>
            <w:r w:rsidR="0046633B">
              <w:rPr>
                <w:noProof/>
                <w:webHidden/>
              </w:rPr>
              <w:fldChar w:fldCharType="begin"/>
            </w:r>
            <w:r w:rsidR="0046633B">
              <w:rPr>
                <w:noProof/>
                <w:webHidden/>
              </w:rPr>
              <w:instrText xml:space="preserve"> PAGEREF _Toc13567449 \h </w:instrText>
            </w:r>
            <w:r w:rsidR="0046633B">
              <w:rPr>
                <w:noProof/>
                <w:webHidden/>
              </w:rPr>
            </w:r>
            <w:r w:rsidR="0046633B">
              <w:rPr>
                <w:noProof/>
                <w:webHidden/>
              </w:rPr>
              <w:fldChar w:fldCharType="separate"/>
            </w:r>
            <w:r w:rsidR="0046633B">
              <w:rPr>
                <w:noProof/>
                <w:webHidden/>
              </w:rPr>
              <w:t>115</w:t>
            </w:r>
            <w:r w:rsidR="0046633B">
              <w:rPr>
                <w:noProof/>
                <w:webHidden/>
              </w:rPr>
              <w:fldChar w:fldCharType="end"/>
            </w:r>
          </w:hyperlink>
        </w:p>
        <w:p w14:paraId="75B93559" w14:textId="5DF9357C" w:rsidR="0046633B" w:rsidRDefault="006D43BC">
          <w:pPr>
            <w:pStyle w:val="TOC2"/>
            <w:tabs>
              <w:tab w:val="left" w:pos="880"/>
            </w:tabs>
            <w:rPr>
              <w:rFonts w:asciiTheme="minorHAnsi" w:eastAsiaTheme="minorEastAsia" w:hAnsiTheme="minorHAnsi"/>
              <w:noProof/>
              <w:sz w:val="22"/>
            </w:rPr>
          </w:pPr>
          <w:hyperlink w:anchor="_Toc13567450" w:history="1">
            <w:r w:rsidR="0046633B" w:rsidRPr="005A308E">
              <w:rPr>
                <w:rStyle w:val="Hyperlink"/>
                <w:noProof/>
              </w:rPr>
              <w:t>6.3</w:t>
            </w:r>
            <w:r w:rsidR="0046633B">
              <w:rPr>
                <w:rFonts w:asciiTheme="minorHAnsi" w:eastAsiaTheme="minorEastAsia" w:hAnsiTheme="minorHAnsi"/>
                <w:noProof/>
                <w:sz w:val="22"/>
              </w:rPr>
              <w:tab/>
            </w:r>
            <w:r w:rsidR="0046633B" w:rsidRPr="005A308E">
              <w:rPr>
                <w:rStyle w:val="Hyperlink"/>
                <w:noProof/>
              </w:rPr>
              <w:t>Warranty</w:t>
            </w:r>
            <w:r w:rsidR="0046633B">
              <w:rPr>
                <w:noProof/>
                <w:webHidden/>
              </w:rPr>
              <w:tab/>
            </w:r>
            <w:r w:rsidR="0046633B">
              <w:rPr>
                <w:noProof/>
                <w:webHidden/>
              </w:rPr>
              <w:fldChar w:fldCharType="begin"/>
            </w:r>
            <w:r w:rsidR="0046633B">
              <w:rPr>
                <w:noProof/>
                <w:webHidden/>
              </w:rPr>
              <w:instrText xml:space="preserve"> PAGEREF _Toc13567450 \h </w:instrText>
            </w:r>
            <w:r w:rsidR="0046633B">
              <w:rPr>
                <w:noProof/>
                <w:webHidden/>
              </w:rPr>
            </w:r>
            <w:r w:rsidR="0046633B">
              <w:rPr>
                <w:noProof/>
                <w:webHidden/>
              </w:rPr>
              <w:fldChar w:fldCharType="separate"/>
            </w:r>
            <w:r w:rsidR="0046633B">
              <w:rPr>
                <w:noProof/>
                <w:webHidden/>
              </w:rPr>
              <w:t>115</w:t>
            </w:r>
            <w:r w:rsidR="0046633B">
              <w:rPr>
                <w:noProof/>
                <w:webHidden/>
              </w:rPr>
              <w:fldChar w:fldCharType="end"/>
            </w:r>
          </w:hyperlink>
        </w:p>
        <w:p w14:paraId="5D4096C9" w14:textId="1FA4868B" w:rsidR="0046633B" w:rsidRDefault="006D43BC">
          <w:pPr>
            <w:pStyle w:val="TOC2"/>
            <w:tabs>
              <w:tab w:val="left" w:pos="880"/>
            </w:tabs>
            <w:rPr>
              <w:rFonts w:asciiTheme="minorHAnsi" w:eastAsiaTheme="minorEastAsia" w:hAnsiTheme="minorHAnsi"/>
              <w:noProof/>
              <w:sz w:val="22"/>
            </w:rPr>
          </w:pPr>
          <w:hyperlink w:anchor="_Toc13567451" w:history="1">
            <w:r w:rsidR="0046633B" w:rsidRPr="005A308E">
              <w:rPr>
                <w:rStyle w:val="Hyperlink"/>
                <w:noProof/>
              </w:rPr>
              <w:t>6.4</w:t>
            </w:r>
            <w:r w:rsidR="0046633B">
              <w:rPr>
                <w:rFonts w:asciiTheme="minorHAnsi" w:eastAsiaTheme="minorEastAsia" w:hAnsiTheme="minorHAnsi"/>
                <w:noProof/>
                <w:sz w:val="22"/>
              </w:rPr>
              <w:tab/>
            </w:r>
            <w:r w:rsidR="0046633B" w:rsidRPr="005A308E">
              <w:rPr>
                <w:rStyle w:val="Hyperlink"/>
                <w:noProof/>
              </w:rPr>
              <w:t>Term of Contract</w:t>
            </w:r>
            <w:r w:rsidR="0046633B">
              <w:rPr>
                <w:noProof/>
                <w:webHidden/>
              </w:rPr>
              <w:tab/>
            </w:r>
            <w:r w:rsidR="0046633B">
              <w:rPr>
                <w:noProof/>
                <w:webHidden/>
              </w:rPr>
              <w:fldChar w:fldCharType="begin"/>
            </w:r>
            <w:r w:rsidR="0046633B">
              <w:rPr>
                <w:noProof/>
                <w:webHidden/>
              </w:rPr>
              <w:instrText xml:space="preserve"> PAGEREF _Toc13567451 \h </w:instrText>
            </w:r>
            <w:r w:rsidR="0046633B">
              <w:rPr>
                <w:noProof/>
                <w:webHidden/>
              </w:rPr>
            </w:r>
            <w:r w:rsidR="0046633B">
              <w:rPr>
                <w:noProof/>
                <w:webHidden/>
              </w:rPr>
              <w:fldChar w:fldCharType="separate"/>
            </w:r>
            <w:r w:rsidR="0046633B">
              <w:rPr>
                <w:noProof/>
                <w:webHidden/>
              </w:rPr>
              <w:t>116</w:t>
            </w:r>
            <w:r w:rsidR="0046633B">
              <w:rPr>
                <w:noProof/>
                <w:webHidden/>
              </w:rPr>
              <w:fldChar w:fldCharType="end"/>
            </w:r>
          </w:hyperlink>
        </w:p>
        <w:p w14:paraId="11E575D0" w14:textId="4A325962" w:rsidR="0046633B" w:rsidRDefault="006D43BC">
          <w:pPr>
            <w:pStyle w:val="TOC2"/>
            <w:tabs>
              <w:tab w:val="left" w:pos="880"/>
            </w:tabs>
            <w:rPr>
              <w:rFonts w:asciiTheme="minorHAnsi" w:eastAsiaTheme="minorEastAsia" w:hAnsiTheme="minorHAnsi"/>
              <w:noProof/>
              <w:sz w:val="22"/>
            </w:rPr>
          </w:pPr>
          <w:hyperlink w:anchor="_Toc13567452" w:history="1">
            <w:r w:rsidR="0046633B" w:rsidRPr="005A308E">
              <w:rPr>
                <w:rStyle w:val="Hyperlink"/>
                <w:noProof/>
              </w:rPr>
              <w:t>6.5</w:t>
            </w:r>
            <w:r w:rsidR="0046633B">
              <w:rPr>
                <w:rFonts w:asciiTheme="minorHAnsi" w:eastAsiaTheme="minorEastAsia" w:hAnsiTheme="minorHAnsi"/>
                <w:noProof/>
                <w:sz w:val="22"/>
              </w:rPr>
              <w:tab/>
            </w:r>
            <w:r w:rsidR="0046633B" w:rsidRPr="005A308E">
              <w:rPr>
                <w:rStyle w:val="Hyperlink"/>
                <w:noProof/>
              </w:rPr>
              <w:t>Software Escrow Agreement</w:t>
            </w:r>
            <w:r w:rsidR="0046633B">
              <w:rPr>
                <w:noProof/>
                <w:webHidden/>
              </w:rPr>
              <w:tab/>
            </w:r>
            <w:r w:rsidR="0046633B">
              <w:rPr>
                <w:noProof/>
                <w:webHidden/>
              </w:rPr>
              <w:fldChar w:fldCharType="begin"/>
            </w:r>
            <w:r w:rsidR="0046633B">
              <w:rPr>
                <w:noProof/>
                <w:webHidden/>
              </w:rPr>
              <w:instrText xml:space="preserve"> PAGEREF _Toc13567452 \h </w:instrText>
            </w:r>
            <w:r w:rsidR="0046633B">
              <w:rPr>
                <w:noProof/>
                <w:webHidden/>
              </w:rPr>
            </w:r>
            <w:r w:rsidR="0046633B">
              <w:rPr>
                <w:noProof/>
                <w:webHidden/>
              </w:rPr>
              <w:fldChar w:fldCharType="separate"/>
            </w:r>
            <w:r w:rsidR="0046633B">
              <w:rPr>
                <w:noProof/>
                <w:webHidden/>
              </w:rPr>
              <w:t>116</w:t>
            </w:r>
            <w:r w:rsidR="0046633B">
              <w:rPr>
                <w:noProof/>
                <w:webHidden/>
              </w:rPr>
              <w:fldChar w:fldCharType="end"/>
            </w:r>
          </w:hyperlink>
        </w:p>
        <w:p w14:paraId="2AE56968" w14:textId="6F25DAD4" w:rsidR="0046633B" w:rsidRDefault="006D43BC">
          <w:pPr>
            <w:pStyle w:val="TOC2"/>
            <w:tabs>
              <w:tab w:val="left" w:pos="880"/>
            </w:tabs>
            <w:rPr>
              <w:rFonts w:asciiTheme="minorHAnsi" w:eastAsiaTheme="minorEastAsia" w:hAnsiTheme="minorHAnsi"/>
              <w:noProof/>
              <w:sz w:val="22"/>
            </w:rPr>
          </w:pPr>
          <w:hyperlink w:anchor="_Toc13567453" w:history="1">
            <w:r w:rsidR="0046633B" w:rsidRPr="005A308E">
              <w:rPr>
                <w:rStyle w:val="Hyperlink"/>
                <w:noProof/>
              </w:rPr>
              <w:t>6.6</w:t>
            </w:r>
            <w:r w:rsidR="0046633B">
              <w:rPr>
                <w:rFonts w:asciiTheme="minorHAnsi" w:eastAsiaTheme="minorEastAsia" w:hAnsiTheme="minorHAnsi"/>
                <w:noProof/>
                <w:sz w:val="22"/>
              </w:rPr>
              <w:tab/>
            </w:r>
            <w:r w:rsidR="0046633B" w:rsidRPr="005A308E">
              <w:rPr>
                <w:rStyle w:val="Hyperlink"/>
                <w:noProof/>
              </w:rPr>
              <w:t>Responsibility of Awarded Vendor</w:t>
            </w:r>
            <w:r w:rsidR="0046633B">
              <w:rPr>
                <w:noProof/>
                <w:webHidden/>
              </w:rPr>
              <w:tab/>
            </w:r>
            <w:r w:rsidR="0046633B">
              <w:rPr>
                <w:noProof/>
                <w:webHidden/>
              </w:rPr>
              <w:fldChar w:fldCharType="begin"/>
            </w:r>
            <w:r w:rsidR="0046633B">
              <w:rPr>
                <w:noProof/>
                <w:webHidden/>
              </w:rPr>
              <w:instrText xml:space="preserve"> PAGEREF _Toc13567453 \h </w:instrText>
            </w:r>
            <w:r w:rsidR="0046633B">
              <w:rPr>
                <w:noProof/>
                <w:webHidden/>
              </w:rPr>
            </w:r>
            <w:r w:rsidR="0046633B">
              <w:rPr>
                <w:noProof/>
                <w:webHidden/>
              </w:rPr>
              <w:fldChar w:fldCharType="separate"/>
            </w:r>
            <w:r w:rsidR="0046633B">
              <w:rPr>
                <w:noProof/>
                <w:webHidden/>
              </w:rPr>
              <w:t>117</w:t>
            </w:r>
            <w:r w:rsidR="0046633B">
              <w:rPr>
                <w:noProof/>
                <w:webHidden/>
              </w:rPr>
              <w:fldChar w:fldCharType="end"/>
            </w:r>
          </w:hyperlink>
        </w:p>
        <w:p w14:paraId="3E098124" w14:textId="5F03FC3F" w:rsidR="0046633B" w:rsidRDefault="006D43BC">
          <w:pPr>
            <w:pStyle w:val="TOC2"/>
            <w:tabs>
              <w:tab w:val="left" w:pos="880"/>
            </w:tabs>
            <w:rPr>
              <w:rFonts w:asciiTheme="minorHAnsi" w:eastAsiaTheme="minorEastAsia" w:hAnsiTheme="minorHAnsi"/>
              <w:noProof/>
              <w:sz w:val="22"/>
            </w:rPr>
          </w:pPr>
          <w:hyperlink w:anchor="_Toc13567454" w:history="1">
            <w:r w:rsidR="0046633B" w:rsidRPr="005A308E">
              <w:rPr>
                <w:rStyle w:val="Hyperlink"/>
                <w:noProof/>
              </w:rPr>
              <w:t>6.7</w:t>
            </w:r>
            <w:r w:rsidR="0046633B">
              <w:rPr>
                <w:rFonts w:asciiTheme="minorHAnsi" w:eastAsiaTheme="minorEastAsia" w:hAnsiTheme="minorHAnsi"/>
                <w:noProof/>
                <w:sz w:val="22"/>
              </w:rPr>
              <w:tab/>
            </w:r>
            <w:r w:rsidR="0046633B" w:rsidRPr="005A308E">
              <w:rPr>
                <w:rStyle w:val="Hyperlink"/>
                <w:noProof/>
              </w:rPr>
              <w:t>Security Agreements and Background Checks</w:t>
            </w:r>
            <w:r w:rsidR="0046633B">
              <w:rPr>
                <w:noProof/>
                <w:webHidden/>
              </w:rPr>
              <w:tab/>
            </w:r>
            <w:r w:rsidR="0046633B">
              <w:rPr>
                <w:noProof/>
                <w:webHidden/>
              </w:rPr>
              <w:fldChar w:fldCharType="begin"/>
            </w:r>
            <w:r w:rsidR="0046633B">
              <w:rPr>
                <w:noProof/>
                <w:webHidden/>
              </w:rPr>
              <w:instrText xml:space="preserve"> PAGEREF _Toc13567454 \h </w:instrText>
            </w:r>
            <w:r w:rsidR="0046633B">
              <w:rPr>
                <w:noProof/>
                <w:webHidden/>
              </w:rPr>
            </w:r>
            <w:r w:rsidR="0046633B">
              <w:rPr>
                <w:noProof/>
                <w:webHidden/>
              </w:rPr>
              <w:fldChar w:fldCharType="separate"/>
            </w:r>
            <w:r w:rsidR="0046633B">
              <w:rPr>
                <w:noProof/>
                <w:webHidden/>
              </w:rPr>
              <w:t>118</w:t>
            </w:r>
            <w:r w:rsidR="0046633B">
              <w:rPr>
                <w:noProof/>
                <w:webHidden/>
              </w:rPr>
              <w:fldChar w:fldCharType="end"/>
            </w:r>
          </w:hyperlink>
        </w:p>
        <w:p w14:paraId="0DAC0B10" w14:textId="5ED35A55" w:rsidR="0046633B" w:rsidRDefault="006D43BC">
          <w:pPr>
            <w:pStyle w:val="TOC2"/>
            <w:tabs>
              <w:tab w:val="left" w:pos="880"/>
            </w:tabs>
            <w:rPr>
              <w:rFonts w:asciiTheme="minorHAnsi" w:eastAsiaTheme="minorEastAsia" w:hAnsiTheme="minorHAnsi"/>
              <w:noProof/>
              <w:sz w:val="22"/>
            </w:rPr>
          </w:pPr>
          <w:hyperlink w:anchor="_Toc13567455" w:history="1">
            <w:r w:rsidR="0046633B" w:rsidRPr="005A308E">
              <w:rPr>
                <w:rStyle w:val="Hyperlink"/>
                <w:noProof/>
              </w:rPr>
              <w:t>6.8</w:t>
            </w:r>
            <w:r w:rsidR="0046633B">
              <w:rPr>
                <w:rFonts w:asciiTheme="minorHAnsi" w:eastAsiaTheme="minorEastAsia" w:hAnsiTheme="minorHAnsi"/>
                <w:noProof/>
                <w:sz w:val="22"/>
              </w:rPr>
              <w:tab/>
            </w:r>
            <w:r w:rsidR="0046633B" w:rsidRPr="005A308E">
              <w:rPr>
                <w:rStyle w:val="Hyperlink"/>
                <w:noProof/>
              </w:rPr>
              <w:t>Mandatory Training</w:t>
            </w:r>
            <w:r w:rsidR="0046633B">
              <w:rPr>
                <w:noProof/>
                <w:webHidden/>
              </w:rPr>
              <w:tab/>
            </w:r>
            <w:r w:rsidR="0046633B">
              <w:rPr>
                <w:noProof/>
                <w:webHidden/>
              </w:rPr>
              <w:fldChar w:fldCharType="begin"/>
            </w:r>
            <w:r w:rsidR="0046633B">
              <w:rPr>
                <w:noProof/>
                <w:webHidden/>
              </w:rPr>
              <w:instrText xml:space="preserve"> PAGEREF _Toc13567455 \h </w:instrText>
            </w:r>
            <w:r w:rsidR="0046633B">
              <w:rPr>
                <w:noProof/>
                <w:webHidden/>
              </w:rPr>
            </w:r>
            <w:r w:rsidR="0046633B">
              <w:rPr>
                <w:noProof/>
                <w:webHidden/>
              </w:rPr>
              <w:fldChar w:fldCharType="separate"/>
            </w:r>
            <w:r w:rsidR="0046633B">
              <w:rPr>
                <w:noProof/>
                <w:webHidden/>
              </w:rPr>
              <w:t>118</w:t>
            </w:r>
            <w:r w:rsidR="0046633B">
              <w:rPr>
                <w:noProof/>
                <w:webHidden/>
              </w:rPr>
              <w:fldChar w:fldCharType="end"/>
            </w:r>
          </w:hyperlink>
        </w:p>
        <w:p w14:paraId="1C311525" w14:textId="7A65AE5F" w:rsidR="0046633B" w:rsidRDefault="006D43BC">
          <w:pPr>
            <w:pStyle w:val="TOC2"/>
            <w:tabs>
              <w:tab w:val="left" w:pos="880"/>
            </w:tabs>
            <w:rPr>
              <w:rFonts w:asciiTheme="minorHAnsi" w:eastAsiaTheme="minorEastAsia" w:hAnsiTheme="minorHAnsi"/>
              <w:noProof/>
              <w:sz w:val="22"/>
            </w:rPr>
          </w:pPr>
          <w:hyperlink w:anchor="_Toc13567456" w:history="1">
            <w:r w:rsidR="0046633B" w:rsidRPr="005A308E">
              <w:rPr>
                <w:rStyle w:val="Hyperlink"/>
                <w:noProof/>
              </w:rPr>
              <w:t>6.9</w:t>
            </w:r>
            <w:r w:rsidR="0046633B">
              <w:rPr>
                <w:rFonts w:asciiTheme="minorHAnsi" w:eastAsiaTheme="minorEastAsia" w:hAnsiTheme="minorHAnsi"/>
                <w:noProof/>
                <w:sz w:val="22"/>
              </w:rPr>
              <w:tab/>
            </w:r>
            <w:r w:rsidR="0046633B" w:rsidRPr="005A308E">
              <w:rPr>
                <w:rStyle w:val="Hyperlink"/>
                <w:noProof/>
              </w:rPr>
              <w:t>Electronic Information Resources Accessibility</w:t>
            </w:r>
            <w:r w:rsidR="0046633B">
              <w:rPr>
                <w:noProof/>
                <w:webHidden/>
              </w:rPr>
              <w:tab/>
            </w:r>
            <w:r w:rsidR="0046633B">
              <w:rPr>
                <w:noProof/>
                <w:webHidden/>
              </w:rPr>
              <w:fldChar w:fldCharType="begin"/>
            </w:r>
            <w:r w:rsidR="0046633B">
              <w:rPr>
                <w:noProof/>
                <w:webHidden/>
              </w:rPr>
              <w:instrText xml:space="preserve"> PAGEREF _Toc13567456 \h </w:instrText>
            </w:r>
            <w:r w:rsidR="0046633B">
              <w:rPr>
                <w:noProof/>
                <w:webHidden/>
              </w:rPr>
            </w:r>
            <w:r w:rsidR="0046633B">
              <w:rPr>
                <w:noProof/>
                <w:webHidden/>
              </w:rPr>
              <w:fldChar w:fldCharType="separate"/>
            </w:r>
            <w:r w:rsidR="0046633B">
              <w:rPr>
                <w:noProof/>
                <w:webHidden/>
              </w:rPr>
              <w:t>118</w:t>
            </w:r>
            <w:r w:rsidR="0046633B">
              <w:rPr>
                <w:noProof/>
                <w:webHidden/>
              </w:rPr>
              <w:fldChar w:fldCharType="end"/>
            </w:r>
          </w:hyperlink>
        </w:p>
        <w:p w14:paraId="2204E5FD" w14:textId="674D1AA7" w:rsidR="0046633B" w:rsidRDefault="006D43BC">
          <w:pPr>
            <w:pStyle w:val="TOC1"/>
            <w:rPr>
              <w:rFonts w:asciiTheme="minorHAnsi" w:eastAsiaTheme="minorEastAsia" w:hAnsiTheme="minorHAnsi"/>
              <w:noProof/>
              <w:sz w:val="22"/>
            </w:rPr>
          </w:pPr>
          <w:hyperlink w:anchor="_Toc13567457" w:history="1">
            <w:r w:rsidR="0046633B" w:rsidRPr="005A308E">
              <w:rPr>
                <w:rStyle w:val="Hyperlink"/>
                <w:noProof/>
              </w:rPr>
              <w:t>7.</w:t>
            </w:r>
            <w:r w:rsidR="0046633B">
              <w:rPr>
                <w:rFonts w:asciiTheme="minorHAnsi" w:eastAsiaTheme="minorEastAsia" w:hAnsiTheme="minorHAnsi"/>
                <w:noProof/>
                <w:sz w:val="22"/>
              </w:rPr>
              <w:tab/>
            </w:r>
            <w:r w:rsidR="0046633B" w:rsidRPr="005A308E">
              <w:rPr>
                <w:rStyle w:val="Hyperlink"/>
                <w:noProof/>
              </w:rPr>
              <w:t>Bonding and Insurance Requirements</w:t>
            </w:r>
            <w:r w:rsidR="0046633B">
              <w:rPr>
                <w:noProof/>
                <w:webHidden/>
              </w:rPr>
              <w:tab/>
            </w:r>
            <w:r w:rsidR="0046633B">
              <w:rPr>
                <w:noProof/>
                <w:webHidden/>
              </w:rPr>
              <w:fldChar w:fldCharType="begin"/>
            </w:r>
            <w:r w:rsidR="0046633B">
              <w:rPr>
                <w:noProof/>
                <w:webHidden/>
              </w:rPr>
              <w:instrText xml:space="preserve"> PAGEREF _Toc13567457 \h </w:instrText>
            </w:r>
            <w:r w:rsidR="0046633B">
              <w:rPr>
                <w:noProof/>
                <w:webHidden/>
              </w:rPr>
            </w:r>
            <w:r w:rsidR="0046633B">
              <w:rPr>
                <w:noProof/>
                <w:webHidden/>
              </w:rPr>
              <w:fldChar w:fldCharType="separate"/>
            </w:r>
            <w:r w:rsidR="0046633B">
              <w:rPr>
                <w:noProof/>
                <w:webHidden/>
              </w:rPr>
              <w:t>120</w:t>
            </w:r>
            <w:r w:rsidR="0046633B">
              <w:rPr>
                <w:noProof/>
                <w:webHidden/>
              </w:rPr>
              <w:fldChar w:fldCharType="end"/>
            </w:r>
          </w:hyperlink>
        </w:p>
        <w:p w14:paraId="30F7E192" w14:textId="0F5612BE" w:rsidR="0046633B" w:rsidRDefault="006D43BC">
          <w:pPr>
            <w:pStyle w:val="TOC2"/>
            <w:tabs>
              <w:tab w:val="left" w:pos="880"/>
            </w:tabs>
            <w:rPr>
              <w:rFonts w:asciiTheme="minorHAnsi" w:eastAsiaTheme="minorEastAsia" w:hAnsiTheme="minorHAnsi"/>
              <w:noProof/>
              <w:sz w:val="22"/>
            </w:rPr>
          </w:pPr>
          <w:hyperlink w:anchor="_Toc13567458" w:history="1">
            <w:r w:rsidR="0046633B" w:rsidRPr="005A308E">
              <w:rPr>
                <w:rStyle w:val="Hyperlink"/>
                <w:noProof/>
              </w:rPr>
              <w:t>7.1</w:t>
            </w:r>
            <w:r w:rsidR="0046633B">
              <w:rPr>
                <w:rFonts w:asciiTheme="minorHAnsi" w:eastAsiaTheme="minorEastAsia" w:hAnsiTheme="minorHAnsi"/>
                <w:noProof/>
                <w:sz w:val="22"/>
              </w:rPr>
              <w:tab/>
            </w:r>
            <w:r w:rsidR="0046633B" w:rsidRPr="005A308E">
              <w:rPr>
                <w:rStyle w:val="Hyperlink"/>
                <w:noProof/>
              </w:rPr>
              <w:t>Payment Bond</w:t>
            </w:r>
            <w:r w:rsidR="0046633B">
              <w:rPr>
                <w:noProof/>
                <w:webHidden/>
              </w:rPr>
              <w:tab/>
            </w:r>
            <w:r w:rsidR="0046633B">
              <w:rPr>
                <w:noProof/>
                <w:webHidden/>
              </w:rPr>
              <w:fldChar w:fldCharType="begin"/>
            </w:r>
            <w:r w:rsidR="0046633B">
              <w:rPr>
                <w:noProof/>
                <w:webHidden/>
              </w:rPr>
              <w:instrText xml:space="preserve"> PAGEREF _Toc13567458 \h </w:instrText>
            </w:r>
            <w:r w:rsidR="0046633B">
              <w:rPr>
                <w:noProof/>
                <w:webHidden/>
              </w:rPr>
            </w:r>
            <w:r w:rsidR="0046633B">
              <w:rPr>
                <w:noProof/>
                <w:webHidden/>
              </w:rPr>
              <w:fldChar w:fldCharType="separate"/>
            </w:r>
            <w:r w:rsidR="0046633B">
              <w:rPr>
                <w:noProof/>
                <w:webHidden/>
              </w:rPr>
              <w:t>120</w:t>
            </w:r>
            <w:r w:rsidR="0046633B">
              <w:rPr>
                <w:noProof/>
                <w:webHidden/>
              </w:rPr>
              <w:fldChar w:fldCharType="end"/>
            </w:r>
          </w:hyperlink>
        </w:p>
        <w:p w14:paraId="30955C88" w14:textId="736DB973" w:rsidR="0046633B" w:rsidRDefault="006D43BC">
          <w:pPr>
            <w:pStyle w:val="TOC2"/>
            <w:tabs>
              <w:tab w:val="left" w:pos="880"/>
            </w:tabs>
            <w:rPr>
              <w:rFonts w:asciiTheme="minorHAnsi" w:eastAsiaTheme="minorEastAsia" w:hAnsiTheme="minorHAnsi"/>
              <w:noProof/>
              <w:sz w:val="22"/>
            </w:rPr>
          </w:pPr>
          <w:hyperlink w:anchor="_Toc13567459" w:history="1">
            <w:r w:rsidR="0046633B" w:rsidRPr="005A308E">
              <w:rPr>
                <w:rStyle w:val="Hyperlink"/>
                <w:noProof/>
              </w:rPr>
              <w:t>7.2</w:t>
            </w:r>
            <w:r w:rsidR="0046633B">
              <w:rPr>
                <w:rFonts w:asciiTheme="minorHAnsi" w:eastAsiaTheme="minorEastAsia" w:hAnsiTheme="minorHAnsi"/>
                <w:noProof/>
                <w:sz w:val="22"/>
              </w:rPr>
              <w:tab/>
            </w:r>
            <w:r w:rsidR="0046633B" w:rsidRPr="005A308E">
              <w:rPr>
                <w:rStyle w:val="Hyperlink"/>
                <w:noProof/>
              </w:rPr>
              <w:t>Performance Bond</w:t>
            </w:r>
            <w:r w:rsidR="0046633B">
              <w:rPr>
                <w:noProof/>
                <w:webHidden/>
              </w:rPr>
              <w:tab/>
            </w:r>
            <w:r w:rsidR="0046633B">
              <w:rPr>
                <w:noProof/>
                <w:webHidden/>
              </w:rPr>
              <w:fldChar w:fldCharType="begin"/>
            </w:r>
            <w:r w:rsidR="0046633B">
              <w:rPr>
                <w:noProof/>
                <w:webHidden/>
              </w:rPr>
              <w:instrText xml:space="preserve"> PAGEREF _Toc13567459 \h </w:instrText>
            </w:r>
            <w:r w:rsidR="0046633B">
              <w:rPr>
                <w:noProof/>
                <w:webHidden/>
              </w:rPr>
            </w:r>
            <w:r w:rsidR="0046633B">
              <w:rPr>
                <w:noProof/>
                <w:webHidden/>
              </w:rPr>
              <w:fldChar w:fldCharType="separate"/>
            </w:r>
            <w:r w:rsidR="0046633B">
              <w:rPr>
                <w:noProof/>
                <w:webHidden/>
              </w:rPr>
              <w:t>120</w:t>
            </w:r>
            <w:r w:rsidR="0046633B">
              <w:rPr>
                <w:noProof/>
                <w:webHidden/>
              </w:rPr>
              <w:fldChar w:fldCharType="end"/>
            </w:r>
          </w:hyperlink>
        </w:p>
        <w:p w14:paraId="6D0B939D" w14:textId="0D930283" w:rsidR="0046633B" w:rsidRDefault="006D43BC">
          <w:pPr>
            <w:pStyle w:val="TOC2"/>
            <w:tabs>
              <w:tab w:val="left" w:pos="880"/>
            </w:tabs>
            <w:rPr>
              <w:rFonts w:asciiTheme="minorHAnsi" w:eastAsiaTheme="minorEastAsia" w:hAnsiTheme="minorHAnsi"/>
              <w:noProof/>
              <w:sz w:val="22"/>
            </w:rPr>
          </w:pPr>
          <w:hyperlink w:anchor="_Toc13567460" w:history="1">
            <w:r w:rsidR="0046633B" w:rsidRPr="005A308E">
              <w:rPr>
                <w:rStyle w:val="Hyperlink"/>
                <w:noProof/>
              </w:rPr>
              <w:t>7.3</w:t>
            </w:r>
            <w:r w:rsidR="0046633B">
              <w:rPr>
                <w:rFonts w:asciiTheme="minorHAnsi" w:eastAsiaTheme="minorEastAsia" w:hAnsiTheme="minorHAnsi"/>
                <w:noProof/>
                <w:sz w:val="22"/>
              </w:rPr>
              <w:tab/>
            </w:r>
            <w:r w:rsidR="0046633B" w:rsidRPr="005A308E">
              <w:rPr>
                <w:rStyle w:val="Hyperlink"/>
                <w:noProof/>
              </w:rPr>
              <w:t>Fidelity Bond</w:t>
            </w:r>
            <w:r w:rsidR="0046633B">
              <w:rPr>
                <w:noProof/>
                <w:webHidden/>
              </w:rPr>
              <w:tab/>
            </w:r>
            <w:r w:rsidR="0046633B">
              <w:rPr>
                <w:noProof/>
                <w:webHidden/>
              </w:rPr>
              <w:fldChar w:fldCharType="begin"/>
            </w:r>
            <w:r w:rsidR="0046633B">
              <w:rPr>
                <w:noProof/>
                <w:webHidden/>
              </w:rPr>
              <w:instrText xml:space="preserve"> PAGEREF _Toc13567460 \h </w:instrText>
            </w:r>
            <w:r w:rsidR="0046633B">
              <w:rPr>
                <w:noProof/>
                <w:webHidden/>
              </w:rPr>
            </w:r>
            <w:r w:rsidR="0046633B">
              <w:rPr>
                <w:noProof/>
                <w:webHidden/>
              </w:rPr>
              <w:fldChar w:fldCharType="separate"/>
            </w:r>
            <w:r w:rsidR="0046633B">
              <w:rPr>
                <w:noProof/>
                <w:webHidden/>
              </w:rPr>
              <w:t>120</w:t>
            </w:r>
            <w:r w:rsidR="0046633B">
              <w:rPr>
                <w:noProof/>
                <w:webHidden/>
              </w:rPr>
              <w:fldChar w:fldCharType="end"/>
            </w:r>
          </w:hyperlink>
        </w:p>
        <w:p w14:paraId="702ACF70" w14:textId="3D9301AE" w:rsidR="0046633B" w:rsidRDefault="006D43BC">
          <w:pPr>
            <w:pStyle w:val="TOC2"/>
            <w:tabs>
              <w:tab w:val="left" w:pos="880"/>
            </w:tabs>
            <w:rPr>
              <w:rFonts w:asciiTheme="minorHAnsi" w:eastAsiaTheme="minorEastAsia" w:hAnsiTheme="minorHAnsi"/>
              <w:noProof/>
              <w:sz w:val="22"/>
            </w:rPr>
          </w:pPr>
          <w:hyperlink w:anchor="_Toc13567461" w:history="1">
            <w:r w:rsidR="0046633B" w:rsidRPr="005A308E">
              <w:rPr>
                <w:rStyle w:val="Hyperlink"/>
                <w:noProof/>
              </w:rPr>
              <w:t>7.4</w:t>
            </w:r>
            <w:r w:rsidR="0046633B">
              <w:rPr>
                <w:rFonts w:asciiTheme="minorHAnsi" w:eastAsiaTheme="minorEastAsia" w:hAnsiTheme="minorHAnsi"/>
                <w:noProof/>
                <w:sz w:val="22"/>
              </w:rPr>
              <w:tab/>
            </w:r>
            <w:r w:rsidR="0046633B" w:rsidRPr="005A308E">
              <w:rPr>
                <w:rStyle w:val="Hyperlink"/>
                <w:noProof/>
              </w:rPr>
              <w:t>Cyber Liability Insurance</w:t>
            </w:r>
            <w:r w:rsidR="0046633B">
              <w:rPr>
                <w:noProof/>
                <w:webHidden/>
              </w:rPr>
              <w:tab/>
            </w:r>
            <w:r w:rsidR="0046633B">
              <w:rPr>
                <w:noProof/>
                <w:webHidden/>
              </w:rPr>
              <w:fldChar w:fldCharType="begin"/>
            </w:r>
            <w:r w:rsidR="0046633B">
              <w:rPr>
                <w:noProof/>
                <w:webHidden/>
              </w:rPr>
              <w:instrText xml:space="preserve"> PAGEREF _Toc13567461 \h </w:instrText>
            </w:r>
            <w:r w:rsidR="0046633B">
              <w:rPr>
                <w:noProof/>
                <w:webHidden/>
              </w:rPr>
            </w:r>
            <w:r w:rsidR="0046633B">
              <w:rPr>
                <w:noProof/>
                <w:webHidden/>
              </w:rPr>
              <w:fldChar w:fldCharType="separate"/>
            </w:r>
            <w:r w:rsidR="0046633B">
              <w:rPr>
                <w:noProof/>
                <w:webHidden/>
              </w:rPr>
              <w:t>121</w:t>
            </w:r>
            <w:r w:rsidR="0046633B">
              <w:rPr>
                <w:noProof/>
                <w:webHidden/>
              </w:rPr>
              <w:fldChar w:fldCharType="end"/>
            </w:r>
          </w:hyperlink>
        </w:p>
        <w:p w14:paraId="356500FC" w14:textId="1211C4FD" w:rsidR="0046633B" w:rsidRDefault="006D43BC">
          <w:pPr>
            <w:pStyle w:val="TOC1"/>
            <w:rPr>
              <w:rFonts w:asciiTheme="minorHAnsi" w:eastAsiaTheme="minorEastAsia" w:hAnsiTheme="minorHAnsi"/>
              <w:noProof/>
              <w:sz w:val="22"/>
            </w:rPr>
          </w:pPr>
          <w:hyperlink w:anchor="_Toc13567462" w:history="1">
            <w:r w:rsidR="0046633B" w:rsidRPr="005A308E">
              <w:rPr>
                <w:rStyle w:val="Hyperlink"/>
                <w:noProof/>
              </w:rPr>
              <w:t>8.</w:t>
            </w:r>
            <w:r w:rsidR="0046633B">
              <w:rPr>
                <w:rFonts w:asciiTheme="minorHAnsi" w:eastAsiaTheme="minorEastAsia" w:hAnsiTheme="minorHAnsi"/>
                <w:noProof/>
                <w:sz w:val="22"/>
              </w:rPr>
              <w:tab/>
            </w:r>
            <w:r w:rsidR="0046633B" w:rsidRPr="005A308E">
              <w:rPr>
                <w:rStyle w:val="Hyperlink"/>
                <w:noProof/>
              </w:rPr>
              <w:t>Liquidated Damages</w:t>
            </w:r>
            <w:r w:rsidR="0046633B">
              <w:rPr>
                <w:noProof/>
                <w:webHidden/>
              </w:rPr>
              <w:tab/>
            </w:r>
            <w:r w:rsidR="0046633B">
              <w:rPr>
                <w:noProof/>
                <w:webHidden/>
              </w:rPr>
              <w:fldChar w:fldCharType="begin"/>
            </w:r>
            <w:r w:rsidR="0046633B">
              <w:rPr>
                <w:noProof/>
                <w:webHidden/>
              </w:rPr>
              <w:instrText xml:space="preserve"> PAGEREF _Toc13567462 \h </w:instrText>
            </w:r>
            <w:r w:rsidR="0046633B">
              <w:rPr>
                <w:noProof/>
                <w:webHidden/>
              </w:rPr>
            </w:r>
            <w:r w:rsidR="0046633B">
              <w:rPr>
                <w:noProof/>
                <w:webHidden/>
              </w:rPr>
              <w:fldChar w:fldCharType="separate"/>
            </w:r>
            <w:r w:rsidR="0046633B">
              <w:rPr>
                <w:noProof/>
                <w:webHidden/>
              </w:rPr>
              <w:t>122</w:t>
            </w:r>
            <w:r w:rsidR="0046633B">
              <w:rPr>
                <w:noProof/>
                <w:webHidden/>
              </w:rPr>
              <w:fldChar w:fldCharType="end"/>
            </w:r>
          </w:hyperlink>
        </w:p>
        <w:p w14:paraId="7EE3A2C7" w14:textId="1E43BFDB" w:rsidR="0046633B" w:rsidRDefault="006D43BC">
          <w:pPr>
            <w:pStyle w:val="TOC2"/>
            <w:tabs>
              <w:tab w:val="left" w:pos="880"/>
            </w:tabs>
            <w:rPr>
              <w:rFonts w:asciiTheme="minorHAnsi" w:eastAsiaTheme="minorEastAsia" w:hAnsiTheme="minorHAnsi"/>
              <w:noProof/>
              <w:sz w:val="22"/>
            </w:rPr>
          </w:pPr>
          <w:hyperlink w:anchor="_Toc13567463" w:history="1">
            <w:r w:rsidR="0046633B" w:rsidRPr="005A308E">
              <w:rPr>
                <w:rStyle w:val="Hyperlink"/>
                <w:noProof/>
              </w:rPr>
              <w:t>8.1</w:t>
            </w:r>
            <w:r w:rsidR="0046633B">
              <w:rPr>
                <w:rFonts w:asciiTheme="minorHAnsi" w:eastAsiaTheme="minorEastAsia" w:hAnsiTheme="minorHAnsi"/>
                <w:noProof/>
                <w:sz w:val="22"/>
              </w:rPr>
              <w:tab/>
            </w:r>
            <w:r w:rsidR="0046633B" w:rsidRPr="005A308E">
              <w:rPr>
                <w:rStyle w:val="Hyperlink"/>
                <w:noProof/>
              </w:rPr>
              <w:t>TWC Expectations and Risk Management</w:t>
            </w:r>
            <w:r w:rsidR="0046633B">
              <w:rPr>
                <w:noProof/>
                <w:webHidden/>
              </w:rPr>
              <w:tab/>
            </w:r>
            <w:r w:rsidR="0046633B">
              <w:rPr>
                <w:noProof/>
                <w:webHidden/>
              </w:rPr>
              <w:fldChar w:fldCharType="begin"/>
            </w:r>
            <w:r w:rsidR="0046633B">
              <w:rPr>
                <w:noProof/>
                <w:webHidden/>
              </w:rPr>
              <w:instrText xml:space="preserve"> PAGEREF _Toc13567463 \h </w:instrText>
            </w:r>
            <w:r w:rsidR="0046633B">
              <w:rPr>
                <w:noProof/>
                <w:webHidden/>
              </w:rPr>
            </w:r>
            <w:r w:rsidR="0046633B">
              <w:rPr>
                <w:noProof/>
                <w:webHidden/>
              </w:rPr>
              <w:fldChar w:fldCharType="separate"/>
            </w:r>
            <w:r w:rsidR="0046633B">
              <w:rPr>
                <w:noProof/>
                <w:webHidden/>
              </w:rPr>
              <w:t>122</w:t>
            </w:r>
            <w:r w:rsidR="0046633B">
              <w:rPr>
                <w:noProof/>
                <w:webHidden/>
              </w:rPr>
              <w:fldChar w:fldCharType="end"/>
            </w:r>
          </w:hyperlink>
        </w:p>
        <w:p w14:paraId="7DE8A752" w14:textId="155DBF15" w:rsidR="0046633B" w:rsidRDefault="006D43BC">
          <w:pPr>
            <w:pStyle w:val="TOC3"/>
            <w:tabs>
              <w:tab w:val="left" w:pos="1540"/>
              <w:tab w:val="right" w:leader="dot" w:pos="10790"/>
            </w:tabs>
            <w:rPr>
              <w:rFonts w:asciiTheme="minorHAnsi" w:eastAsiaTheme="minorEastAsia" w:hAnsiTheme="minorHAnsi"/>
              <w:noProof/>
              <w:sz w:val="22"/>
            </w:rPr>
          </w:pPr>
          <w:hyperlink w:anchor="_Toc13567464" w:history="1">
            <w:r w:rsidR="0046633B" w:rsidRPr="005A308E">
              <w:rPr>
                <w:rStyle w:val="Hyperlink"/>
                <w:noProof/>
              </w:rPr>
              <w:t>8.1.1</w:t>
            </w:r>
            <w:r w:rsidR="0046633B">
              <w:rPr>
                <w:rFonts w:asciiTheme="minorHAnsi" w:eastAsiaTheme="minorEastAsia" w:hAnsiTheme="minorHAnsi"/>
                <w:noProof/>
                <w:sz w:val="22"/>
              </w:rPr>
              <w:tab/>
            </w:r>
            <w:r w:rsidR="0046633B" w:rsidRPr="005A308E">
              <w:rPr>
                <w:rStyle w:val="Hyperlink"/>
                <w:noProof/>
              </w:rPr>
              <w:t>Prior to UI Solution Go-Live for TWC</w:t>
            </w:r>
            <w:r w:rsidR="0046633B">
              <w:rPr>
                <w:noProof/>
                <w:webHidden/>
              </w:rPr>
              <w:tab/>
            </w:r>
            <w:r w:rsidR="0046633B">
              <w:rPr>
                <w:noProof/>
                <w:webHidden/>
              </w:rPr>
              <w:fldChar w:fldCharType="begin"/>
            </w:r>
            <w:r w:rsidR="0046633B">
              <w:rPr>
                <w:noProof/>
                <w:webHidden/>
              </w:rPr>
              <w:instrText xml:space="preserve"> PAGEREF _Toc13567464 \h </w:instrText>
            </w:r>
            <w:r w:rsidR="0046633B">
              <w:rPr>
                <w:noProof/>
                <w:webHidden/>
              </w:rPr>
            </w:r>
            <w:r w:rsidR="0046633B">
              <w:rPr>
                <w:noProof/>
                <w:webHidden/>
              </w:rPr>
              <w:fldChar w:fldCharType="separate"/>
            </w:r>
            <w:r w:rsidR="0046633B">
              <w:rPr>
                <w:noProof/>
                <w:webHidden/>
              </w:rPr>
              <w:t>123</w:t>
            </w:r>
            <w:r w:rsidR="0046633B">
              <w:rPr>
                <w:noProof/>
                <w:webHidden/>
              </w:rPr>
              <w:fldChar w:fldCharType="end"/>
            </w:r>
          </w:hyperlink>
        </w:p>
        <w:p w14:paraId="6167FEE1" w14:textId="6E42E4BF" w:rsidR="0046633B" w:rsidRDefault="006D43BC">
          <w:pPr>
            <w:pStyle w:val="TOC3"/>
            <w:tabs>
              <w:tab w:val="left" w:pos="1540"/>
              <w:tab w:val="right" w:leader="dot" w:pos="10790"/>
            </w:tabs>
            <w:rPr>
              <w:rFonts w:asciiTheme="minorHAnsi" w:eastAsiaTheme="minorEastAsia" w:hAnsiTheme="minorHAnsi"/>
              <w:noProof/>
              <w:sz w:val="22"/>
            </w:rPr>
          </w:pPr>
          <w:hyperlink w:anchor="_Toc13567465" w:history="1">
            <w:r w:rsidR="0046633B" w:rsidRPr="005A308E">
              <w:rPr>
                <w:rStyle w:val="Hyperlink"/>
                <w:noProof/>
              </w:rPr>
              <w:t>8.1.2</w:t>
            </w:r>
            <w:r w:rsidR="0046633B">
              <w:rPr>
                <w:rFonts w:asciiTheme="minorHAnsi" w:eastAsiaTheme="minorEastAsia" w:hAnsiTheme="minorHAnsi"/>
                <w:noProof/>
                <w:sz w:val="22"/>
              </w:rPr>
              <w:tab/>
            </w:r>
            <w:r w:rsidR="0046633B" w:rsidRPr="005A308E">
              <w:rPr>
                <w:rStyle w:val="Hyperlink"/>
                <w:noProof/>
              </w:rPr>
              <w:t>After UI Solution Go-Live for TWC</w:t>
            </w:r>
            <w:r w:rsidR="0046633B">
              <w:rPr>
                <w:noProof/>
                <w:webHidden/>
              </w:rPr>
              <w:tab/>
            </w:r>
            <w:r w:rsidR="0046633B">
              <w:rPr>
                <w:noProof/>
                <w:webHidden/>
              </w:rPr>
              <w:fldChar w:fldCharType="begin"/>
            </w:r>
            <w:r w:rsidR="0046633B">
              <w:rPr>
                <w:noProof/>
                <w:webHidden/>
              </w:rPr>
              <w:instrText xml:space="preserve"> PAGEREF _Toc13567465 \h </w:instrText>
            </w:r>
            <w:r w:rsidR="0046633B">
              <w:rPr>
                <w:noProof/>
                <w:webHidden/>
              </w:rPr>
            </w:r>
            <w:r w:rsidR="0046633B">
              <w:rPr>
                <w:noProof/>
                <w:webHidden/>
              </w:rPr>
              <w:fldChar w:fldCharType="separate"/>
            </w:r>
            <w:r w:rsidR="0046633B">
              <w:rPr>
                <w:noProof/>
                <w:webHidden/>
              </w:rPr>
              <w:t>127</w:t>
            </w:r>
            <w:r w:rsidR="0046633B">
              <w:rPr>
                <w:noProof/>
                <w:webHidden/>
              </w:rPr>
              <w:fldChar w:fldCharType="end"/>
            </w:r>
          </w:hyperlink>
        </w:p>
        <w:p w14:paraId="6DA9F4F2" w14:textId="11A84B1C" w:rsidR="0046633B" w:rsidRDefault="006D43BC">
          <w:pPr>
            <w:pStyle w:val="TOC1"/>
            <w:rPr>
              <w:rFonts w:asciiTheme="minorHAnsi" w:eastAsiaTheme="minorEastAsia" w:hAnsiTheme="minorHAnsi"/>
              <w:noProof/>
              <w:sz w:val="22"/>
            </w:rPr>
          </w:pPr>
          <w:hyperlink w:anchor="_Toc13567466" w:history="1">
            <w:r w:rsidR="0046633B" w:rsidRPr="005A308E">
              <w:rPr>
                <w:rStyle w:val="Hyperlink"/>
                <w:noProof/>
              </w:rPr>
              <w:t>9.</w:t>
            </w:r>
            <w:r w:rsidR="0046633B">
              <w:rPr>
                <w:rFonts w:asciiTheme="minorHAnsi" w:eastAsiaTheme="minorEastAsia" w:hAnsiTheme="minorHAnsi"/>
                <w:noProof/>
                <w:sz w:val="22"/>
              </w:rPr>
              <w:tab/>
            </w:r>
            <w:r w:rsidR="0046633B" w:rsidRPr="005A308E">
              <w:rPr>
                <w:rStyle w:val="Hyperlink"/>
                <w:noProof/>
              </w:rPr>
              <w:t>Offeror Capabilities</w:t>
            </w:r>
            <w:r w:rsidR="0046633B">
              <w:rPr>
                <w:noProof/>
                <w:webHidden/>
              </w:rPr>
              <w:tab/>
            </w:r>
            <w:r w:rsidR="0046633B">
              <w:rPr>
                <w:noProof/>
                <w:webHidden/>
              </w:rPr>
              <w:fldChar w:fldCharType="begin"/>
            </w:r>
            <w:r w:rsidR="0046633B">
              <w:rPr>
                <w:noProof/>
                <w:webHidden/>
              </w:rPr>
              <w:instrText xml:space="preserve"> PAGEREF _Toc13567466 \h </w:instrText>
            </w:r>
            <w:r w:rsidR="0046633B">
              <w:rPr>
                <w:noProof/>
                <w:webHidden/>
              </w:rPr>
            </w:r>
            <w:r w:rsidR="0046633B">
              <w:rPr>
                <w:noProof/>
                <w:webHidden/>
              </w:rPr>
              <w:fldChar w:fldCharType="separate"/>
            </w:r>
            <w:r w:rsidR="0046633B">
              <w:rPr>
                <w:noProof/>
                <w:webHidden/>
              </w:rPr>
              <w:t>128</w:t>
            </w:r>
            <w:r w:rsidR="0046633B">
              <w:rPr>
                <w:noProof/>
                <w:webHidden/>
              </w:rPr>
              <w:fldChar w:fldCharType="end"/>
            </w:r>
          </w:hyperlink>
        </w:p>
        <w:p w14:paraId="2C26E7BE" w14:textId="48347BDF" w:rsidR="0046633B" w:rsidRDefault="006D43BC">
          <w:pPr>
            <w:pStyle w:val="TOC2"/>
            <w:tabs>
              <w:tab w:val="left" w:pos="880"/>
            </w:tabs>
            <w:rPr>
              <w:rFonts w:asciiTheme="minorHAnsi" w:eastAsiaTheme="minorEastAsia" w:hAnsiTheme="minorHAnsi"/>
              <w:noProof/>
              <w:sz w:val="22"/>
            </w:rPr>
          </w:pPr>
          <w:hyperlink w:anchor="_Toc13567467" w:history="1">
            <w:r w:rsidR="0046633B" w:rsidRPr="005A308E">
              <w:rPr>
                <w:rStyle w:val="Hyperlink"/>
                <w:noProof/>
              </w:rPr>
              <w:t>9.1</w:t>
            </w:r>
            <w:r w:rsidR="0046633B">
              <w:rPr>
                <w:rFonts w:asciiTheme="minorHAnsi" w:eastAsiaTheme="minorEastAsia" w:hAnsiTheme="minorHAnsi"/>
                <w:noProof/>
                <w:sz w:val="22"/>
              </w:rPr>
              <w:tab/>
            </w:r>
            <w:r w:rsidR="0046633B" w:rsidRPr="005A308E">
              <w:rPr>
                <w:rStyle w:val="Hyperlink"/>
                <w:noProof/>
              </w:rPr>
              <w:t>Offeror Staff Capabilities</w:t>
            </w:r>
            <w:r w:rsidR="0046633B">
              <w:rPr>
                <w:noProof/>
                <w:webHidden/>
              </w:rPr>
              <w:tab/>
            </w:r>
            <w:r w:rsidR="0046633B">
              <w:rPr>
                <w:noProof/>
                <w:webHidden/>
              </w:rPr>
              <w:fldChar w:fldCharType="begin"/>
            </w:r>
            <w:r w:rsidR="0046633B">
              <w:rPr>
                <w:noProof/>
                <w:webHidden/>
              </w:rPr>
              <w:instrText xml:space="preserve"> PAGEREF _Toc13567467 \h </w:instrText>
            </w:r>
            <w:r w:rsidR="0046633B">
              <w:rPr>
                <w:noProof/>
                <w:webHidden/>
              </w:rPr>
            </w:r>
            <w:r w:rsidR="0046633B">
              <w:rPr>
                <w:noProof/>
                <w:webHidden/>
              </w:rPr>
              <w:fldChar w:fldCharType="separate"/>
            </w:r>
            <w:r w:rsidR="0046633B">
              <w:rPr>
                <w:noProof/>
                <w:webHidden/>
              </w:rPr>
              <w:t>128</w:t>
            </w:r>
            <w:r w:rsidR="0046633B">
              <w:rPr>
                <w:noProof/>
                <w:webHidden/>
              </w:rPr>
              <w:fldChar w:fldCharType="end"/>
            </w:r>
          </w:hyperlink>
        </w:p>
        <w:p w14:paraId="6B95395D" w14:textId="6678E910" w:rsidR="0046633B" w:rsidRDefault="006D43BC">
          <w:pPr>
            <w:pStyle w:val="TOC2"/>
            <w:tabs>
              <w:tab w:val="left" w:pos="880"/>
            </w:tabs>
            <w:rPr>
              <w:rFonts w:asciiTheme="minorHAnsi" w:eastAsiaTheme="minorEastAsia" w:hAnsiTheme="minorHAnsi"/>
              <w:noProof/>
              <w:sz w:val="22"/>
            </w:rPr>
          </w:pPr>
          <w:hyperlink w:anchor="_Toc13567468" w:history="1">
            <w:r w:rsidR="0046633B" w:rsidRPr="005A308E">
              <w:rPr>
                <w:rStyle w:val="Hyperlink"/>
                <w:noProof/>
              </w:rPr>
              <w:t>9.2</w:t>
            </w:r>
            <w:r w:rsidR="0046633B">
              <w:rPr>
                <w:rFonts w:asciiTheme="minorHAnsi" w:eastAsiaTheme="minorEastAsia" w:hAnsiTheme="minorHAnsi"/>
                <w:noProof/>
                <w:sz w:val="22"/>
              </w:rPr>
              <w:tab/>
            </w:r>
            <w:r w:rsidR="0046633B" w:rsidRPr="005A308E">
              <w:rPr>
                <w:rStyle w:val="Hyperlink"/>
                <w:noProof/>
              </w:rPr>
              <w:t>Key Personnel</w:t>
            </w:r>
            <w:r w:rsidR="0046633B">
              <w:rPr>
                <w:noProof/>
                <w:webHidden/>
              </w:rPr>
              <w:tab/>
            </w:r>
            <w:r w:rsidR="0046633B">
              <w:rPr>
                <w:noProof/>
                <w:webHidden/>
              </w:rPr>
              <w:fldChar w:fldCharType="begin"/>
            </w:r>
            <w:r w:rsidR="0046633B">
              <w:rPr>
                <w:noProof/>
                <w:webHidden/>
              </w:rPr>
              <w:instrText xml:space="preserve"> PAGEREF _Toc13567468 \h </w:instrText>
            </w:r>
            <w:r w:rsidR="0046633B">
              <w:rPr>
                <w:noProof/>
                <w:webHidden/>
              </w:rPr>
            </w:r>
            <w:r w:rsidR="0046633B">
              <w:rPr>
                <w:noProof/>
                <w:webHidden/>
              </w:rPr>
              <w:fldChar w:fldCharType="separate"/>
            </w:r>
            <w:r w:rsidR="0046633B">
              <w:rPr>
                <w:noProof/>
                <w:webHidden/>
              </w:rPr>
              <w:t>129</w:t>
            </w:r>
            <w:r w:rsidR="0046633B">
              <w:rPr>
                <w:noProof/>
                <w:webHidden/>
              </w:rPr>
              <w:fldChar w:fldCharType="end"/>
            </w:r>
          </w:hyperlink>
        </w:p>
        <w:p w14:paraId="56C6A0B7" w14:textId="097AAB67" w:rsidR="0046633B" w:rsidRDefault="006D43BC">
          <w:pPr>
            <w:pStyle w:val="TOC3"/>
            <w:tabs>
              <w:tab w:val="left" w:pos="1540"/>
              <w:tab w:val="right" w:leader="dot" w:pos="10790"/>
            </w:tabs>
            <w:rPr>
              <w:rFonts w:asciiTheme="minorHAnsi" w:eastAsiaTheme="minorEastAsia" w:hAnsiTheme="minorHAnsi"/>
              <w:noProof/>
              <w:sz w:val="22"/>
            </w:rPr>
          </w:pPr>
          <w:hyperlink w:anchor="_Toc13567469" w:history="1">
            <w:r w:rsidR="0046633B" w:rsidRPr="005A308E">
              <w:rPr>
                <w:rStyle w:val="Hyperlink"/>
                <w:noProof/>
              </w:rPr>
              <w:t>9.2.1</w:t>
            </w:r>
            <w:r w:rsidR="0046633B">
              <w:rPr>
                <w:rFonts w:asciiTheme="minorHAnsi" w:eastAsiaTheme="minorEastAsia" w:hAnsiTheme="minorHAnsi"/>
                <w:noProof/>
                <w:sz w:val="22"/>
              </w:rPr>
              <w:tab/>
            </w:r>
            <w:r w:rsidR="0046633B" w:rsidRPr="005A308E">
              <w:rPr>
                <w:rStyle w:val="Hyperlink"/>
                <w:noProof/>
              </w:rPr>
              <w:t>Key Personnel Minimum Qualifications</w:t>
            </w:r>
            <w:r w:rsidR="0046633B">
              <w:rPr>
                <w:noProof/>
                <w:webHidden/>
              </w:rPr>
              <w:tab/>
            </w:r>
            <w:r w:rsidR="0046633B">
              <w:rPr>
                <w:noProof/>
                <w:webHidden/>
              </w:rPr>
              <w:fldChar w:fldCharType="begin"/>
            </w:r>
            <w:r w:rsidR="0046633B">
              <w:rPr>
                <w:noProof/>
                <w:webHidden/>
              </w:rPr>
              <w:instrText xml:space="preserve"> PAGEREF _Toc13567469 \h </w:instrText>
            </w:r>
            <w:r w:rsidR="0046633B">
              <w:rPr>
                <w:noProof/>
                <w:webHidden/>
              </w:rPr>
            </w:r>
            <w:r w:rsidR="0046633B">
              <w:rPr>
                <w:noProof/>
                <w:webHidden/>
              </w:rPr>
              <w:fldChar w:fldCharType="separate"/>
            </w:r>
            <w:r w:rsidR="0046633B">
              <w:rPr>
                <w:noProof/>
                <w:webHidden/>
              </w:rPr>
              <w:t>129</w:t>
            </w:r>
            <w:r w:rsidR="0046633B">
              <w:rPr>
                <w:noProof/>
                <w:webHidden/>
              </w:rPr>
              <w:fldChar w:fldCharType="end"/>
            </w:r>
          </w:hyperlink>
        </w:p>
        <w:p w14:paraId="1D10771B" w14:textId="1D337B78" w:rsidR="0046633B" w:rsidRDefault="006D43BC">
          <w:pPr>
            <w:pStyle w:val="TOC3"/>
            <w:tabs>
              <w:tab w:val="left" w:pos="1540"/>
              <w:tab w:val="right" w:leader="dot" w:pos="10790"/>
            </w:tabs>
            <w:rPr>
              <w:rFonts w:asciiTheme="minorHAnsi" w:eastAsiaTheme="minorEastAsia" w:hAnsiTheme="minorHAnsi"/>
              <w:noProof/>
              <w:sz w:val="22"/>
            </w:rPr>
          </w:pPr>
          <w:hyperlink w:anchor="_Toc13567470" w:history="1">
            <w:r w:rsidR="0046633B" w:rsidRPr="005A308E">
              <w:rPr>
                <w:rStyle w:val="Hyperlink"/>
                <w:noProof/>
              </w:rPr>
              <w:t>9.2.2</w:t>
            </w:r>
            <w:r w:rsidR="0046633B">
              <w:rPr>
                <w:rFonts w:asciiTheme="minorHAnsi" w:eastAsiaTheme="minorEastAsia" w:hAnsiTheme="minorHAnsi"/>
                <w:noProof/>
                <w:sz w:val="22"/>
              </w:rPr>
              <w:tab/>
            </w:r>
            <w:r w:rsidR="0046633B" w:rsidRPr="005A308E">
              <w:rPr>
                <w:rStyle w:val="Hyperlink"/>
                <w:noProof/>
              </w:rPr>
              <w:t>Personnel Substitution</w:t>
            </w:r>
            <w:r w:rsidR="0046633B">
              <w:rPr>
                <w:noProof/>
                <w:webHidden/>
              </w:rPr>
              <w:tab/>
            </w:r>
            <w:r w:rsidR="0046633B">
              <w:rPr>
                <w:noProof/>
                <w:webHidden/>
              </w:rPr>
              <w:fldChar w:fldCharType="begin"/>
            </w:r>
            <w:r w:rsidR="0046633B">
              <w:rPr>
                <w:noProof/>
                <w:webHidden/>
              </w:rPr>
              <w:instrText xml:space="preserve"> PAGEREF _Toc13567470 \h </w:instrText>
            </w:r>
            <w:r w:rsidR="0046633B">
              <w:rPr>
                <w:noProof/>
                <w:webHidden/>
              </w:rPr>
            </w:r>
            <w:r w:rsidR="0046633B">
              <w:rPr>
                <w:noProof/>
                <w:webHidden/>
              </w:rPr>
              <w:fldChar w:fldCharType="separate"/>
            </w:r>
            <w:r w:rsidR="0046633B">
              <w:rPr>
                <w:noProof/>
                <w:webHidden/>
              </w:rPr>
              <w:t>135</w:t>
            </w:r>
            <w:r w:rsidR="0046633B">
              <w:rPr>
                <w:noProof/>
                <w:webHidden/>
              </w:rPr>
              <w:fldChar w:fldCharType="end"/>
            </w:r>
          </w:hyperlink>
        </w:p>
        <w:p w14:paraId="1BB60C7F" w14:textId="50D3659C" w:rsidR="0046633B" w:rsidRDefault="006D43BC">
          <w:pPr>
            <w:pStyle w:val="TOC2"/>
            <w:tabs>
              <w:tab w:val="left" w:pos="880"/>
            </w:tabs>
            <w:rPr>
              <w:rFonts w:asciiTheme="minorHAnsi" w:eastAsiaTheme="minorEastAsia" w:hAnsiTheme="minorHAnsi"/>
              <w:noProof/>
              <w:sz w:val="22"/>
            </w:rPr>
          </w:pPr>
          <w:hyperlink w:anchor="_Toc13567471" w:history="1">
            <w:r w:rsidR="0046633B" w:rsidRPr="005A308E">
              <w:rPr>
                <w:rStyle w:val="Hyperlink"/>
                <w:noProof/>
              </w:rPr>
              <w:t>9.3</w:t>
            </w:r>
            <w:r w:rsidR="0046633B">
              <w:rPr>
                <w:rFonts w:asciiTheme="minorHAnsi" w:eastAsiaTheme="minorEastAsia" w:hAnsiTheme="minorHAnsi"/>
                <w:noProof/>
                <w:sz w:val="22"/>
              </w:rPr>
              <w:tab/>
            </w:r>
            <w:r w:rsidR="0046633B" w:rsidRPr="005A308E">
              <w:rPr>
                <w:rStyle w:val="Hyperlink"/>
                <w:noProof/>
              </w:rPr>
              <w:t>Offeror Service Capabilities</w:t>
            </w:r>
            <w:r w:rsidR="0046633B">
              <w:rPr>
                <w:noProof/>
                <w:webHidden/>
              </w:rPr>
              <w:tab/>
            </w:r>
            <w:r w:rsidR="0046633B">
              <w:rPr>
                <w:noProof/>
                <w:webHidden/>
              </w:rPr>
              <w:fldChar w:fldCharType="begin"/>
            </w:r>
            <w:r w:rsidR="0046633B">
              <w:rPr>
                <w:noProof/>
                <w:webHidden/>
              </w:rPr>
              <w:instrText xml:space="preserve"> PAGEREF _Toc13567471 \h </w:instrText>
            </w:r>
            <w:r w:rsidR="0046633B">
              <w:rPr>
                <w:noProof/>
                <w:webHidden/>
              </w:rPr>
            </w:r>
            <w:r w:rsidR="0046633B">
              <w:rPr>
                <w:noProof/>
                <w:webHidden/>
              </w:rPr>
              <w:fldChar w:fldCharType="separate"/>
            </w:r>
            <w:r w:rsidR="0046633B">
              <w:rPr>
                <w:noProof/>
                <w:webHidden/>
              </w:rPr>
              <w:t>136</w:t>
            </w:r>
            <w:r w:rsidR="0046633B">
              <w:rPr>
                <w:noProof/>
                <w:webHidden/>
              </w:rPr>
              <w:fldChar w:fldCharType="end"/>
            </w:r>
          </w:hyperlink>
        </w:p>
        <w:p w14:paraId="320A14C4" w14:textId="33BA2483" w:rsidR="0046633B" w:rsidRDefault="006D43BC">
          <w:pPr>
            <w:pStyle w:val="TOC2"/>
            <w:tabs>
              <w:tab w:val="left" w:pos="880"/>
            </w:tabs>
            <w:rPr>
              <w:rFonts w:asciiTheme="minorHAnsi" w:eastAsiaTheme="minorEastAsia" w:hAnsiTheme="minorHAnsi"/>
              <w:noProof/>
              <w:sz w:val="22"/>
            </w:rPr>
          </w:pPr>
          <w:hyperlink w:anchor="_Toc13567472" w:history="1">
            <w:r w:rsidR="0046633B" w:rsidRPr="005A308E">
              <w:rPr>
                <w:rStyle w:val="Hyperlink"/>
                <w:noProof/>
              </w:rPr>
              <w:t>9.4</w:t>
            </w:r>
            <w:r w:rsidR="0046633B">
              <w:rPr>
                <w:rFonts w:asciiTheme="minorHAnsi" w:eastAsiaTheme="minorEastAsia" w:hAnsiTheme="minorHAnsi"/>
                <w:noProof/>
                <w:sz w:val="22"/>
              </w:rPr>
              <w:tab/>
            </w:r>
            <w:r w:rsidR="0046633B" w:rsidRPr="005A308E">
              <w:rPr>
                <w:rStyle w:val="Hyperlink"/>
                <w:noProof/>
              </w:rPr>
              <w:t>Offeror References</w:t>
            </w:r>
            <w:r w:rsidR="0046633B">
              <w:rPr>
                <w:noProof/>
                <w:webHidden/>
              </w:rPr>
              <w:tab/>
            </w:r>
            <w:r w:rsidR="0046633B">
              <w:rPr>
                <w:noProof/>
                <w:webHidden/>
              </w:rPr>
              <w:fldChar w:fldCharType="begin"/>
            </w:r>
            <w:r w:rsidR="0046633B">
              <w:rPr>
                <w:noProof/>
                <w:webHidden/>
              </w:rPr>
              <w:instrText xml:space="preserve"> PAGEREF _Toc13567472 \h </w:instrText>
            </w:r>
            <w:r w:rsidR="0046633B">
              <w:rPr>
                <w:noProof/>
                <w:webHidden/>
              </w:rPr>
            </w:r>
            <w:r w:rsidR="0046633B">
              <w:rPr>
                <w:noProof/>
                <w:webHidden/>
              </w:rPr>
              <w:fldChar w:fldCharType="separate"/>
            </w:r>
            <w:r w:rsidR="0046633B">
              <w:rPr>
                <w:noProof/>
                <w:webHidden/>
              </w:rPr>
              <w:t>136</w:t>
            </w:r>
            <w:r w:rsidR="0046633B">
              <w:rPr>
                <w:noProof/>
                <w:webHidden/>
              </w:rPr>
              <w:fldChar w:fldCharType="end"/>
            </w:r>
          </w:hyperlink>
        </w:p>
        <w:p w14:paraId="47CB789F" w14:textId="1E5E172F" w:rsidR="0046633B" w:rsidRDefault="006D43BC">
          <w:pPr>
            <w:pStyle w:val="TOC1"/>
            <w:tabs>
              <w:tab w:val="left" w:pos="660"/>
            </w:tabs>
            <w:rPr>
              <w:rFonts w:asciiTheme="minorHAnsi" w:eastAsiaTheme="minorEastAsia" w:hAnsiTheme="minorHAnsi"/>
              <w:noProof/>
              <w:sz w:val="22"/>
            </w:rPr>
          </w:pPr>
          <w:hyperlink w:anchor="_Toc13567473" w:history="1">
            <w:r w:rsidR="0046633B" w:rsidRPr="005A308E">
              <w:rPr>
                <w:rStyle w:val="Hyperlink"/>
                <w:noProof/>
              </w:rPr>
              <w:t>10.</w:t>
            </w:r>
            <w:r w:rsidR="0046633B">
              <w:rPr>
                <w:rFonts w:asciiTheme="minorHAnsi" w:eastAsiaTheme="minorEastAsia" w:hAnsiTheme="minorHAnsi"/>
                <w:noProof/>
                <w:sz w:val="22"/>
              </w:rPr>
              <w:tab/>
            </w:r>
            <w:r w:rsidR="0046633B" w:rsidRPr="005A308E">
              <w:rPr>
                <w:rStyle w:val="Hyperlink"/>
                <w:noProof/>
              </w:rPr>
              <w:t>Offer Submission Requirements</w:t>
            </w:r>
            <w:r w:rsidR="0046633B">
              <w:rPr>
                <w:noProof/>
                <w:webHidden/>
              </w:rPr>
              <w:tab/>
            </w:r>
            <w:r w:rsidR="0046633B">
              <w:rPr>
                <w:noProof/>
                <w:webHidden/>
              </w:rPr>
              <w:fldChar w:fldCharType="begin"/>
            </w:r>
            <w:r w:rsidR="0046633B">
              <w:rPr>
                <w:noProof/>
                <w:webHidden/>
              </w:rPr>
              <w:instrText xml:space="preserve"> PAGEREF _Toc13567473 \h </w:instrText>
            </w:r>
            <w:r w:rsidR="0046633B">
              <w:rPr>
                <w:noProof/>
                <w:webHidden/>
              </w:rPr>
            </w:r>
            <w:r w:rsidR="0046633B">
              <w:rPr>
                <w:noProof/>
                <w:webHidden/>
              </w:rPr>
              <w:fldChar w:fldCharType="separate"/>
            </w:r>
            <w:r w:rsidR="0046633B">
              <w:rPr>
                <w:noProof/>
                <w:webHidden/>
              </w:rPr>
              <w:t>138</w:t>
            </w:r>
            <w:r w:rsidR="0046633B">
              <w:rPr>
                <w:noProof/>
                <w:webHidden/>
              </w:rPr>
              <w:fldChar w:fldCharType="end"/>
            </w:r>
          </w:hyperlink>
        </w:p>
        <w:p w14:paraId="63DF484C" w14:textId="19487D1C" w:rsidR="0046633B" w:rsidRDefault="006D43BC">
          <w:pPr>
            <w:pStyle w:val="TOC2"/>
            <w:tabs>
              <w:tab w:val="left" w:pos="1100"/>
            </w:tabs>
            <w:rPr>
              <w:rFonts w:asciiTheme="minorHAnsi" w:eastAsiaTheme="minorEastAsia" w:hAnsiTheme="minorHAnsi"/>
              <w:noProof/>
              <w:sz w:val="22"/>
            </w:rPr>
          </w:pPr>
          <w:hyperlink w:anchor="_Toc13567474" w:history="1">
            <w:r w:rsidR="0046633B" w:rsidRPr="005A308E">
              <w:rPr>
                <w:rStyle w:val="Hyperlink"/>
                <w:noProof/>
              </w:rPr>
              <w:t>10.1</w:t>
            </w:r>
            <w:r w:rsidR="0046633B">
              <w:rPr>
                <w:rFonts w:asciiTheme="minorHAnsi" w:eastAsiaTheme="minorEastAsia" w:hAnsiTheme="minorHAnsi"/>
                <w:noProof/>
                <w:sz w:val="22"/>
              </w:rPr>
              <w:tab/>
            </w:r>
            <w:r w:rsidR="0046633B" w:rsidRPr="005A308E">
              <w:rPr>
                <w:rStyle w:val="Hyperlink"/>
                <w:noProof/>
              </w:rPr>
              <w:t>Offeror Instructions</w:t>
            </w:r>
            <w:r w:rsidR="0046633B">
              <w:rPr>
                <w:noProof/>
                <w:webHidden/>
              </w:rPr>
              <w:tab/>
            </w:r>
            <w:r w:rsidR="0046633B">
              <w:rPr>
                <w:noProof/>
                <w:webHidden/>
              </w:rPr>
              <w:fldChar w:fldCharType="begin"/>
            </w:r>
            <w:r w:rsidR="0046633B">
              <w:rPr>
                <w:noProof/>
                <w:webHidden/>
              </w:rPr>
              <w:instrText xml:space="preserve"> PAGEREF _Toc13567474 \h </w:instrText>
            </w:r>
            <w:r w:rsidR="0046633B">
              <w:rPr>
                <w:noProof/>
                <w:webHidden/>
              </w:rPr>
            </w:r>
            <w:r w:rsidR="0046633B">
              <w:rPr>
                <w:noProof/>
                <w:webHidden/>
              </w:rPr>
              <w:fldChar w:fldCharType="separate"/>
            </w:r>
            <w:r w:rsidR="0046633B">
              <w:rPr>
                <w:noProof/>
                <w:webHidden/>
              </w:rPr>
              <w:t>138</w:t>
            </w:r>
            <w:r w:rsidR="0046633B">
              <w:rPr>
                <w:noProof/>
                <w:webHidden/>
              </w:rPr>
              <w:fldChar w:fldCharType="end"/>
            </w:r>
          </w:hyperlink>
        </w:p>
        <w:p w14:paraId="07E571F7" w14:textId="70E8D1A5" w:rsidR="0046633B" w:rsidRDefault="006D43BC">
          <w:pPr>
            <w:pStyle w:val="TOC3"/>
            <w:tabs>
              <w:tab w:val="left" w:pos="1540"/>
              <w:tab w:val="right" w:leader="dot" w:pos="10790"/>
            </w:tabs>
            <w:rPr>
              <w:rFonts w:asciiTheme="minorHAnsi" w:eastAsiaTheme="minorEastAsia" w:hAnsiTheme="minorHAnsi"/>
              <w:noProof/>
              <w:sz w:val="22"/>
            </w:rPr>
          </w:pPr>
          <w:hyperlink w:anchor="_Toc13567475" w:history="1">
            <w:r w:rsidR="0046633B" w:rsidRPr="005A308E">
              <w:rPr>
                <w:rStyle w:val="Hyperlink"/>
                <w:noProof/>
              </w:rPr>
              <w:t>10.1.1</w:t>
            </w:r>
            <w:r w:rsidR="0046633B">
              <w:rPr>
                <w:rFonts w:asciiTheme="minorHAnsi" w:eastAsiaTheme="minorEastAsia" w:hAnsiTheme="minorHAnsi"/>
                <w:noProof/>
                <w:sz w:val="22"/>
              </w:rPr>
              <w:tab/>
            </w:r>
            <w:r w:rsidR="0046633B" w:rsidRPr="005A308E">
              <w:rPr>
                <w:rStyle w:val="Hyperlink"/>
                <w:noProof/>
              </w:rPr>
              <w:t>UI Proposal (Required)</w:t>
            </w:r>
            <w:r w:rsidR="0046633B">
              <w:rPr>
                <w:noProof/>
                <w:webHidden/>
              </w:rPr>
              <w:tab/>
            </w:r>
            <w:r w:rsidR="0046633B">
              <w:rPr>
                <w:noProof/>
                <w:webHidden/>
              </w:rPr>
              <w:fldChar w:fldCharType="begin"/>
            </w:r>
            <w:r w:rsidR="0046633B">
              <w:rPr>
                <w:noProof/>
                <w:webHidden/>
              </w:rPr>
              <w:instrText xml:space="preserve"> PAGEREF _Toc13567475 \h </w:instrText>
            </w:r>
            <w:r w:rsidR="0046633B">
              <w:rPr>
                <w:noProof/>
                <w:webHidden/>
              </w:rPr>
            </w:r>
            <w:r w:rsidR="0046633B">
              <w:rPr>
                <w:noProof/>
                <w:webHidden/>
              </w:rPr>
              <w:fldChar w:fldCharType="separate"/>
            </w:r>
            <w:r w:rsidR="0046633B">
              <w:rPr>
                <w:noProof/>
                <w:webHidden/>
              </w:rPr>
              <w:t>138</w:t>
            </w:r>
            <w:r w:rsidR="0046633B">
              <w:rPr>
                <w:noProof/>
                <w:webHidden/>
              </w:rPr>
              <w:fldChar w:fldCharType="end"/>
            </w:r>
          </w:hyperlink>
        </w:p>
        <w:p w14:paraId="0851C8DB" w14:textId="607BBAD9" w:rsidR="0046633B" w:rsidRDefault="006D43BC">
          <w:pPr>
            <w:pStyle w:val="TOC3"/>
            <w:tabs>
              <w:tab w:val="left" w:pos="1540"/>
              <w:tab w:val="right" w:leader="dot" w:pos="10790"/>
            </w:tabs>
            <w:rPr>
              <w:rFonts w:asciiTheme="minorHAnsi" w:eastAsiaTheme="minorEastAsia" w:hAnsiTheme="minorHAnsi"/>
              <w:noProof/>
              <w:sz w:val="22"/>
            </w:rPr>
          </w:pPr>
          <w:hyperlink w:anchor="_Toc13567476" w:history="1">
            <w:r w:rsidR="0046633B" w:rsidRPr="005A308E">
              <w:rPr>
                <w:rStyle w:val="Hyperlink"/>
                <w:noProof/>
              </w:rPr>
              <w:t>10.1.2</w:t>
            </w:r>
            <w:r w:rsidR="0046633B">
              <w:rPr>
                <w:rFonts w:asciiTheme="minorHAnsi" w:eastAsiaTheme="minorEastAsia" w:hAnsiTheme="minorHAnsi"/>
                <w:noProof/>
                <w:sz w:val="22"/>
              </w:rPr>
              <w:tab/>
            </w:r>
            <w:r w:rsidR="0046633B" w:rsidRPr="005A308E">
              <w:rPr>
                <w:rStyle w:val="Hyperlink"/>
                <w:noProof/>
              </w:rPr>
              <w:t>HUB Participation (Required)</w:t>
            </w:r>
            <w:r w:rsidR="0046633B">
              <w:rPr>
                <w:noProof/>
                <w:webHidden/>
              </w:rPr>
              <w:tab/>
            </w:r>
            <w:r w:rsidR="0046633B">
              <w:rPr>
                <w:noProof/>
                <w:webHidden/>
              </w:rPr>
              <w:fldChar w:fldCharType="begin"/>
            </w:r>
            <w:r w:rsidR="0046633B">
              <w:rPr>
                <w:noProof/>
                <w:webHidden/>
              </w:rPr>
              <w:instrText xml:space="preserve"> PAGEREF _Toc13567476 \h </w:instrText>
            </w:r>
            <w:r w:rsidR="0046633B">
              <w:rPr>
                <w:noProof/>
                <w:webHidden/>
              </w:rPr>
            </w:r>
            <w:r w:rsidR="0046633B">
              <w:rPr>
                <w:noProof/>
                <w:webHidden/>
              </w:rPr>
              <w:fldChar w:fldCharType="separate"/>
            </w:r>
            <w:r w:rsidR="0046633B">
              <w:rPr>
                <w:noProof/>
                <w:webHidden/>
              </w:rPr>
              <w:t>139</w:t>
            </w:r>
            <w:r w:rsidR="0046633B">
              <w:rPr>
                <w:noProof/>
                <w:webHidden/>
              </w:rPr>
              <w:fldChar w:fldCharType="end"/>
            </w:r>
          </w:hyperlink>
        </w:p>
        <w:p w14:paraId="44932EE8" w14:textId="45B70894" w:rsidR="0046633B" w:rsidRDefault="006D43BC">
          <w:pPr>
            <w:pStyle w:val="TOC2"/>
            <w:tabs>
              <w:tab w:val="left" w:pos="1100"/>
            </w:tabs>
            <w:rPr>
              <w:rFonts w:asciiTheme="minorHAnsi" w:eastAsiaTheme="minorEastAsia" w:hAnsiTheme="minorHAnsi"/>
              <w:noProof/>
              <w:sz w:val="22"/>
            </w:rPr>
          </w:pPr>
          <w:hyperlink w:anchor="_Toc13567477" w:history="1">
            <w:r w:rsidR="0046633B" w:rsidRPr="005A308E">
              <w:rPr>
                <w:rStyle w:val="Hyperlink"/>
                <w:noProof/>
              </w:rPr>
              <w:t>10.2</w:t>
            </w:r>
            <w:r w:rsidR="0046633B">
              <w:rPr>
                <w:rFonts w:asciiTheme="minorHAnsi" w:eastAsiaTheme="minorEastAsia" w:hAnsiTheme="minorHAnsi"/>
                <w:noProof/>
                <w:sz w:val="22"/>
              </w:rPr>
              <w:tab/>
            </w:r>
            <w:r w:rsidR="0046633B" w:rsidRPr="005A308E">
              <w:rPr>
                <w:rStyle w:val="Hyperlink"/>
                <w:noProof/>
              </w:rPr>
              <w:t>Submission Details</w:t>
            </w:r>
            <w:r w:rsidR="0046633B">
              <w:rPr>
                <w:noProof/>
                <w:webHidden/>
              </w:rPr>
              <w:tab/>
            </w:r>
            <w:r w:rsidR="0046633B">
              <w:rPr>
                <w:noProof/>
                <w:webHidden/>
              </w:rPr>
              <w:fldChar w:fldCharType="begin"/>
            </w:r>
            <w:r w:rsidR="0046633B">
              <w:rPr>
                <w:noProof/>
                <w:webHidden/>
              </w:rPr>
              <w:instrText xml:space="preserve"> PAGEREF _Toc13567477 \h </w:instrText>
            </w:r>
            <w:r w:rsidR="0046633B">
              <w:rPr>
                <w:noProof/>
                <w:webHidden/>
              </w:rPr>
            </w:r>
            <w:r w:rsidR="0046633B">
              <w:rPr>
                <w:noProof/>
                <w:webHidden/>
              </w:rPr>
              <w:fldChar w:fldCharType="separate"/>
            </w:r>
            <w:r w:rsidR="0046633B">
              <w:rPr>
                <w:noProof/>
                <w:webHidden/>
              </w:rPr>
              <w:t>139</w:t>
            </w:r>
            <w:r w:rsidR="0046633B">
              <w:rPr>
                <w:noProof/>
                <w:webHidden/>
              </w:rPr>
              <w:fldChar w:fldCharType="end"/>
            </w:r>
          </w:hyperlink>
        </w:p>
        <w:p w14:paraId="5D7B60B5" w14:textId="56188A4C" w:rsidR="0046633B" w:rsidRDefault="006D43BC">
          <w:pPr>
            <w:pStyle w:val="TOC2"/>
            <w:tabs>
              <w:tab w:val="left" w:pos="1100"/>
            </w:tabs>
            <w:rPr>
              <w:rFonts w:asciiTheme="minorHAnsi" w:eastAsiaTheme="minorEastAsia" w:hAnsiTheme="minorHAnsi"/>
              <w:noProof/>
              <w:sz w:val="22"/>
            </w:rPr>
          </w:pPr>
          <w:hyperlink w:anchor="_Toc13567478" w:history="1">
            <w:r w:rsidR="0046633B" w:rsidRPr="005A308E">
              <w:rPr>
                <w:rStyle w:val="Hyperlink"/>
                <w:noProof/>
              </w:rPr>
              <w:t>10.3</w:t>
            </w:r>
            <w:r w:rsidR="0046633B">
              <w:rPr>
                <w:rFonts w:asciiTheme="minorHAnsi" w:eastAsiaTheme="minorEastAsia" w:hAnsiTheme="minorHAnsi"/>
                <w:noProof/>
                <w:sz w:val="22"/>
              </w:rPr>
              <w:tab/>
            </w:r>
            <w:r w:rsidR="0046633B" w:rsidRPr="005A308E">
              <w:rPr>
                <w:rStyle w:val="Hyperlink"/>
                <w:noProof/>
              </w:rPr>
              <w:t>Financial Statement Content</w:t>
            </w:r>
            <w:r w:rsidR="0046633B">
              <w:rPr>
                <w:noProof/>
                <w:webHidden/>
              </w:rPr>
              <w:tab/>
            </w:r>
            <w:r w:rsidR="0046633B">
              <w:rPr>
                <w:noProof/>
                <w:webHidden/>
              </w:rPr>
              <w:fldChar w:fldCharType="begin"/>
            </w:r>
            <w:r w:rsidR="0046633B">
              <w:rPr>
                <w:noProof/>
                <w:webHidden/>
              </w:rPr>
              <w:instrText xml:space="preserve"> PAGEREF _Toc13567478 \h </w:instrText>
            </w:r>
            <w:r w:rsidR="0046633B">
              <w:rPr>
                <w:noProof/>
                <w:webHidden/>
              </w:rPr>
            </w:r>
            <w:r w:rsidR="0046633B">
              <w:rPr>
                <w:noProof/>
                <w:webHidden/>
              </w:rPr>
              <w:fldChar w:fldCharType="separate"/>
            </w:r>
            <w:r w:rsidR="0046633B">
              <w:rPr>
                <w:noProof/>
                <w:webHidden/>
              </w:rPr>
              <w:t>140</w:t>
            </w:r>
            <w:r w:rsidR="0046633B">
              <w:rPr>
                <w:noProof/>
                <w:webHidden/>
              </w:rPr>
              <w:fldChar w:fldCharType="end"/>
            </w:r>
          </w:hyperlink>
        </w:p>
        <w:p w14:paraId="6139E535" w14:textId="7203D353" w:rsidR="0046633B" w:rsidRDefault="006D43BC">
          <w:pPr>
            <w:pStyle w:val="TOC3"/>
            <w:tabs>
              <w:tab w:val="left" w:pos="1540"/>
              <w:tab w:val="right" w:leader="dot" w:pos="10790"/>
            </w:tabs>
            <w:rPr>
              <w:rFonts w:asciiTheme="minorHAnsi" w:eastAsiaTheme="minorEastAsia" w:hAnsiTheme="minorHAnsi"/>
              <w:noProof/>
              <w:sz w:val="22"/>
            </w:rPr>
          </w:pPr>
          <w:hyperlink w:anchor="_Toc13567479" w:history="1">
            <w:r w:rsidR="0046633B" w:rsidRPr="005A308E">
              <w:rPr>
                <w:rStyle w:val="Hyperlink"/>
                <w:noProof/>
              </w:rPr>
              <w:t>10.3.1</w:t>
            </w:r>
            <w:r w:rsidR="0046633B">
              <w:rPr>
                <w:rFonts w:asciiTheme="minorHAnsi" w:eastAsiaTheme="minorEastAsia" w:hAnsiTheme="minorHAnsi"/>
                <w:noProof/>
                <w:sz w:val="22"/>
              </w:rPr>
              <w:tab/>
            </w:r>
            <w:r w:rsidR="0046633B" w:rsidRPr="005A308E">
              <w:rPr>
                <w:rStyle w:val="Hyperlink"/>
                <w:noProof/>
              </w:rPr>
              <w:t>Financial Statement</w:t>
            </w:r>
            <w:r w:rsidR="0046633B">
              <w:rPr>
                <w:noProof/>
                <w:webHidden/>
              </w:rPr>
              <w:tab/>
            </w:r>
            <w:r w:rsidR="0046633B">
              <w:rPr>
                <w:noProof/>
                <w:webHidden/>
              </w:rPr>
              <w:fldChar w:fldCharType="begin"/>
            </w:r>
            <w:r w:rsidR="0046633B">
              <w:rPr>
                <w:noProof/>
                <w:webHidden/>
              </w:rPr>
              <w:instrText xml:space="preserve"> PAGEREF _Toc13567479 \h </w:instrText>
            </w:r>
            <w:r w:rsidR="0046633B">
              <w:rPr>
                <w:noProof/>
                <w:webHidden/>
              </w:rPr>
            </w:r>
            <w:r w:rsidR="0046633B">
              <w:rPr>
                <w:noProof/>
                <w:webHidden/>
              </w:rPr>
              <w:fldChar w:fldCharType="separate"/>
            </w:r>
            <w:r w:rsidR="0046633B">
              <w:rPr>
                <w:noProof/>
                <w:webHidden/>
              </w:rPr>
              <w:t>140</w:t>
            </w:r>
            <w:r w:rsidR="0046633B">
              <w:rPr>
                <w:noProof/>
                <w:webHidden/>
              </w:rPr>
              <w:fldChar w:fldCharType="end"/>
            </w:r>
          </w:hyperlink>
        </w:p>
        <w:p w14:paraId="051AF9D9" w14:textId="5F22EABA" w:rsidR="0046633B" w:rsidRDefault="006D43BC">
          <w:pPr>
            <w:pStyle w:val="TOC3"/>
            <w:tabs>
              <w:tab w:val="left" w:pos="1540"/>
              <w:tab w:val="right" w:leader="dot" w:pos="10790"/>
            </w:tabs>
            <w:rPr>
              <w:rFonts w:asciiTheme="minorHAnsi" w:eastAsiaTheme="minorEastAsia" w:hAnsiTheme="minorHAnsi"/>
              <w:noProof/>
              <w:sz w:val="22"/>
            </w:rPr>
          </w:pPr>
          <w:hyperlink w:anchor="_Toc13567480" w:history="1">
            <w:r w:rsidR="0046633B" w:rsidRPr="005A308E">
              <w:rPr>
                <w:rStyle w:val="Hyperlink"/>
                <w:noProof/>
                <w:lang w:eastAsia="en-AU"/>
              </w:rPr>
              <w:t>10.3.2</w:t>
            </w:r>
            <w:r w:rsidR="0046633B">
              <w:rPr>
                <w:rFonts w:asciiTheme="minorHAnsi" w:eastAsiaTheme="minorEastAsia" w:hAnsiTheme="minorHAnsi"/>
                <w:noProof/>
                <w:sz w:val="22"/>
              </w:rPr>
              <w:tab/>
            </w:r>
            <w:r w:rsidR="0046633B" w:rsidRPr="005A308E">
              <w:rPr>
                <w:rStyle w:val="Hyperlink"/>
                <w:noProof/>
                <w:lang w:eastAsia="en-AU"/>
              </w:rPr>
              <w:t>Frequency</w:t>
            </w:r>
            <w:r w:rsidR="0046633B">
              <w:rPr>
                <w:noProof/>
                <w:webHidden/>
              </w:rPr>
              <w:tab/>
            </w:r>
            <w:r w:rsidR="0046633B">
              <w:rPr>
                <w:noProof/>
                <w:webHidden/>
              </w:rPr>
              <w:fldChar w:fldCharType="begin"/>
            </w:r>
            <w:r w:rsidR="0046633B">
              <w:rPr>
                <w:noProof/>
                <w:webHidden/>
              </w:rPr>
              <w:instrText xml:space="preserve"> PAGEREF _Toc13567480 \h </w:instrText>
            </w:r>
            <w:r w:rsidR="0046633B">
              <w:rPr>
                <w:noProof/>
                <w:webHidden/>
              </w:rPr>
            </w:r>
            <w:r w:rsidR="0046633B">
              <w:rPr>
                <w:noProof/>
                <w:webHidden/>
              </w:rPr>
              <w:fldChar w:fldCharType="separate"/>
            </w:r>
            <w:r w:rsidR="0046633B">
              <w:rPr>
                <w:noProof/>
                <w:webHidden/>
              </w:rPr>
              <w:t>140</w:t>
            </w:r>
            <w:r w:rsidR="0046633B">
              <w:rPr>
                <w:noProof/>
                <w:webHidden/>
              </w:rPr>
              <w:fldChar w:fldCharType="end"/>
            </w:r>
          </w:hyperlink>
        </w:p>
        <w:p w14:paraId="76EFBA44" w14:textId="25EB777A" w:rsidR="0046633B" w:rsidRDefault="006D43BC">
          <w:pPr>
            <w:pStyle w:val="TOC3"/>
            <w:tabs>
              <w:tab w:val="left" w:pos="1540"/>
              <w:tab w:val="right" w:leader="dot" w:pos="10790"/>
            </w:tabs>
            <w:rPr>
              <w:rFonts w:asciiTheme="minorHAnsi" w:eastAsiaTheme="minorEastAsia" w:hAnsiTheme="minorHAnsi"/>
              <w:noProof/>
              <w:sz w:val="22"/>
            </w:rPr>
          </w:pPr>
          <w:hyperlink w:anchor="_Toc13567481" w:history="1">
            <w:r w:rsidR="0046633B" w:rsidRPr="005A308E">
              <w:rPr>
                <w:rStyle w:val="Hyperlink"/>
                <w:noProof/>
              </w:rPr>
              <w:t>10.3.3</w:t>
            </w:r>
            <w:r w:rsidR="0046633B">
              <w:rPr>
                <w:rFonts w:asciiTheme="minorHAnsi" w:eastAsiaTheme="minorEastAsia" w:hAnsiTheme="minorHAnsi"/>
                <w:noProof/>
                <w:sz w:val="22"/>
              </w:rPr>
              <w:tab/>
            </w:r>
            <w:r w:rsidR="0046633B" w:rsidRPr="005A308E">
              <w:rPr>
                <w:rStyle w:val="Hyperlink"/>
                <w:noProof/>
              </w:rPr>
              <w:t>Warranty of Financial Good Standing</w:t>
            </w:r>
            <w:r w:rsidR="0046633B">
              <w:rPr>
                <w:noProof/>
                <w:webHidden/>
              </w:rPr>
              <w:tab/>
            </w:r>
            <w:r w:rsidR="0046633B">
              <w:rPr>
                <w:noProof/>
                <w:webHidden/>
              </w:rPr>
              <w:fldChar w:fldCharType="begin"/>
            </w:r>
            <w:r w:rsidR="0046633B">
              <w:rPr>
                <w:noProof/>
                <w:webHidden/>
              </w:rPr>
              <w:instrText xml:space="preserve"> PAGEREF _Toc13567481 \h </w:instrText>
            </w:r>
            <w:r w:rsidR="0046633B">
              <w:rPr>
                <w:noProof/>
                <w:webHidden/>
              </w:rPr>
            </w:r>
            <w:r w:rsidR="0046633B">
              <w:rPr>
                <w:noProof/>
                <w:webHidden/>
              </w:rPr>
              <w:fldChar w:fldCharType="separate"/>
            </w:r>
            <w:r w:rsidR="0046633B">
              <w:rPr>
                <w:noProof/>
                <w:webHidden/>
              </w:rPr>
              <w:t>140</w:t>
            </w:r>
            <w:r w:rsidR="0046633B">
              <w:rPr>
                <w:noProof/>
                <w:webHidden/>
              </w:rPr>
              <w:fldChar w:fldCharType="end"/>
            </w:r>
          </w:hyperlink>
        </w:p>
        <w:p w14:paraId="65C9CAFF" w14:textId="640E44AF" w:rsidR="0046633B" w:rsidRDefault="006D43BC">
          <w:pPr>
            <w:pStyle w:val="TOC1"/>
            <w:tabs>
              <w:tab w:val="left" w:pos="660"/>
            </w:tabs>
            <w:rPr>
              <w:rFonts w:asciiTheme="minorHAnsi" w:eastAsiaTheme="minorEastAsia" w:hAnsiTheme="minorHAnsi"/>
              <w:noProof/>
              <w:sz w:val="22"/>
            </w:rPr>
          </w:pPr>
          <w:hyperlink w:anchor="_Toc13567482" w:history="1">
            <w:r w:rsidR="0046633B" w:rsidRPr="005A308E">
              <w:rPr>
                <w:rStyle w:val="Hyperlink"/>
                <w:noProof/>
              </w:rPr>
              <w:t>11.</w:t>
            </w:r>
            <w:r w:rsidR="0046633B">
              <w:rPr>
                <w:rFonts w:asciiTheme="minorHAnsi" w:eastAsiaTheme="minorEastAsia" w:hAnsiTheme="minorHAnsi"/>
                <w:noProof/>
                <w:sz w:val="22"/>
              </w:rPr>
              <w:tab/>
            </w:r>
            <w:r w:rsidR="0046633B" w:rsidRPr="005A308E">
              <w:rPr>
                <w:rStyle w:val="Hyperlink"/>
                <w:noProof/>
              </w:rPr>
              <w:t>Screening and Evaluation Criteria</w:t>
            </w:r>
            <w:r w:rsidR="0046633B">
              <w:rPr>
                <w:noProof/>
                <w:webHidden/>
              </w:rPr>
              <w:tab/>
            </w:r>
            <w:r w:rsidR="0046633B">
              <w:rPr>
                <w:noProof/>
                <w:webHidden/>
              </w:rPr>
              <w:fldChar w:fldCharType="begin"/>
            </w:r>
            <w:r w:rsidR="0046633B">
              <w:rPr>
                <w:noProof/>
                <w:webHidden/>
              </w:rPr>
              <w:instrText xml:space="preserve"> PAGEREF _Toc13567482 \h </w:instrText>
            </w:r>
            <w:r w:rsidR="0046633B">
              <w:rPr>
                <w:noProof/>
                <w:webHidden/>
              </w:rPr>
            </w:r>
            <w:r w:rsidR="0046633B">
              <w:rPr>
                <w:noProof/>
                <w:webHidden/>
              </w:rPr>
              <w:fldChar w:fldCharType="separate"/>
            </w:r>
            <w:r w:rsidR="0046633B">
              <w:rPr>
                <w:noProof/>
                <w:webHidden/>
              </w:rPr>
              <w:t>142</w:t>
            </w:r>
            <w:r w:rsidR="0046633B">
              <w:rPr>
                <w:noProof/>
                <w:webHidden/>
              </w:rPr>
              <w:fldChar w:fldCharType="end"/>
            </w:r>
          </w:hyperlink>
        </w:p>
        <w:p w14:paraId="097D8211" w14:textId="261CE062" w:rsidR="0046633B" w:rsidRDefault="006D43BC">
          <w:pPr>
            <w:pStyle w:val="TOC2"/>
            <w:tabs>
              <w:tab w:val="left" w:pos="1100"/>
            </w:tabs>
            <w:rPr>
              <w:rFonts w:asciiTheme="minorHAnsi" w:eastAsiaTheme="minorEastAsia" w:hAnsiTheme="minorHAnsi"/>
              <w:noProof/>
              <w:sz w:val="22"/>
            </w:rPr>
          </w:pPr>
          <w:hyperlink w:anchor="_Toc13567483" w:history="1">
            <w:r w:rsidR="0046633B" w:rsidRPr="005A308E">
              <w:rPr>
                <w:rStyle w:val="Hyperlink"/>
                <w:noProof/>
              </w:rPr>
              <w:t>11.1</w:t>
            </w:r>
            <w:r w:rsidR="0046633B">
              <w:rPr>
                <w:rFonts w:asciiTheme="minorHAnsi" w:eastAsiaTheme="minorEastAsia" w:hAnsiTheme="minorHAnsi"/>
                <w:noProof/>
                <w:sz w:val="22"/>
              </w:rPr>
              <w:tab/>
            </w:r>
            <w:r w:rsidR="0046633B" w:rsidRPr="005A308E">
              <w:rPr>
                <w:rStyle w:val="Hyperlink"/>
                <w:noProof/>
              </w:rPr>
              <w:t>Evaluation, Oral Presentations, and Site Visits</w:t>
            </w:r>
            <w:r w:rsidR="0046633B">
              <w:rPr>
                <w:noProof/>
                <w:webHidden/>
              </w:rPr>
              <w:tab/>
            </w:r>
            <w:r w:rsidR="0046633B">
              <w:rPr>
                <w:noProof/>
                <w:webHidden/>
              </w:rPr>
              <w:fldChar w:fldCharType="begin"/>
            </w:r>
            <w:r w:rsidR="0046633B">
              <w:rPr>
                <w:noProof/>
                <w:webHidden/>
              </w:rPr>
              <w:instrText xml:space="preserve"> PAGEREF _Toc13567483 \h </w:instrText>
            </w:r>
            <w:r w:rsidR="0046633B">
              <w:rPr>
                <w:noProof/>
                <w:webHidden/>
              </w:rPr>
            </w:r>
            <w:r w:rsidR="0046633B">
              <w:rPr>
                <w:noProof/>
                <w:webHidden/>
              </w:rPr>
              <w:fldChar w:fldCharType="separate"/>
            </w:r>
            <w:r w:rsidR="0046633B">
              <w:rPr>
                <w:noProof/>
                <w:webHidden/>
              </w:rPr>
              <w:t>143</w:t>
            </w:r>
            <w:r w:rsidR="0046633B">
              <w:rPr>
                <w:noProof/>
                <w:webHidden/>
              </w:rPr>
              <w:fldChar w:fldCharType="end"/>
            </w:r>
          </w:hyperlink>
        </w:p>
        <w:p w14:paraId="2EF36918" w14:textId="61CE49C3" w:rsidR="0046633B" w:rsidRDefault="006D43BC">
          <w:pPr>
            <w:pStyle w:val="TOC2"/>
            <w:tabs>
              <w:tab w:val="left" w:pos="1100"/>
            </w:tabs>
            <w:rPr>
              <w:rFonts w:asciiTheme="minorHAnsi" w:eastAsiaTheme="minorEastAsia" w:hAnsiTheme="minorHAnsi"/>
              <w:noProof/>
              <w:sz w:val="22"/>
            </w:rPr>
          </w:pPr>
          <w:hyperlink w:anchor="_Toc13567484" w:history="1">
            <w:r w:rsidR="0046633B" w:rsidRPr="005A308E">
              <w:rPr>
                <w:rStyle w:val="Hyperlink"/>
                <w:noProof/>
              </w:rPr>
              <w:t>11.2</w:t>
            </w:r>
            <w:r w:rsidR="0046633B">
              <w:rPr>
                <w:rFonts w:asciiTheme="minorHAnsi" w:eastAsiaTheme="minorEastAsia" w:hAnsiTheme="minorHAnsi"/>
                <w:noProof/>
                <w:sz w:val="22"/>
              </w:rPr>
              <w:tab/>
            </w:r>
            <w:r w:rsidR="0046633B" w:rsidRPr="005A308E">
              <w:rPr>
                <w:rStyle w:val="Hyperlink"/>
                <w:noProof/>
              </w:rPr>
              <w:t>BAFO</w:t>
            </w:r>
            <w:r w:rsidR="0046633B">
              <w:rPr>
                <w:noProof/>
                <w:webHidden/>
              </w:rPr>
              <w:tab/>
            </w:r>
            <w:r w:rsidR="0046633B">
              <w:rPr>
                <w:noProof/>
                <w:webHidden/>
              </w:rPr>
              <w:fldChar w:fldCharType="begin"/>
            </w:r>
            <w:r w:rsidR="0046633B">
              <w:rPr>
                <w:noProof/>
                <w:webHidden/>
              </w:rPr>
              <w:instrText xml:space="preserve"> PAGEREF _Toc13567484 \h </w:instrText>
            </w:r>
            <w:r w:rsidR="0046633B">
              <w:rPr>
                <w:noProof/>
                <w:webHidden/>
              </w:rPr>
            </w:r>
            <w:r w:rsidR="0046633B">
              <w:rPr>
                <w:noProof/>
                <w:webHidden/>
              </w:rPr>
              <w:fldChar w:fldCharType="separate"/>
            </w:r>
            <w:r w:rsidR="0046633B">
              <w:rPr>
                <w:noProof/>
                <w:webHidden/>
              </w:rPr>
              <w:t>144</w:t>
            </w:r>
            <w:r w:rsidR="0046633B">
              <w:rPr>
                <w:noProof/>
                <w:webHidden/>
              </w:rPr>
              <w:fldChar w:fldCharType="end"/>
            </w:r>
          </w:hyperlink>
        </w:p>
        <w:p w14:paraId="4B1389EC" w14:textId="7A0A833A" w:rsidR="0046633B" w:rsidRDefault="006D43BC">
          <w:pPr>
            <w:pStyle w:val="TOC1"/>
            <w:tabs>
              <w:tab w:val="left" w:pos="660"/>
            </w:tabs>
            <w:rPr>
              <w:rFonts w:asciiTheme="minorHAnsi" w:eastAsiaTheme="minorEastAsia" w:hAnsiTheme="minorHAnsi"/>
              <w:noProof/>
              <w:sz w:val="22"/>
            </w:rPr>
          </w:pPr>
          <w:hyperlink w:anchor="_Toc13567485" w:history="1">
            <w:r w:rsidR="0046633B" w:rsidRPr="005A308E">
              <w:rPr>
                <w:rStyle w:val="Hyperlink"/>
                <w:noProof/>
              </w:rPr>
              <w:t>12.</w:t>
            </w:r>
            <w:r w:rsidR="0046633B">
              <w:rPr>
                <w:rFonts w:asciiTheme="minorHAnsi" w:eastAsiaTheme="minorEastAsia" w:hAnsiTheme="minorHAnsi"/>
                <w:noProof/>
                <w:sz w:val="22"/>
              </w:rPr>
              <w:tab/>
            </w:r>
            <w:r w:rsidR="0046633B" w:rsidRPr="005A308E">
              <w:rPr>
                <w:rStyle w:val="Hyperlink"/>
                <w:noProof/>
              </w:rPr>
              <w:t>Attachments</w:t>
            </w:r>
            <w:r w:rsidR="0046633B">
              <w:rPr>
                <w:noProof/>
                <w:webHidden/>
              </w:rPr>
              <w:tab/>
            </w:r>
            <w:r w:rsidR="0046633B">
              <w:rPr>
                <w:noProof/>
                <w:webHidden/>
              </w:rPr>
              <w:fldChar w:fldCharType="begin"/>
            </w:r>
            <w:r w:rsidR="0046633B">
              <w:rPr>
                <w:noProof/>
                <w:webHidden/>
              </w:rPr>
              <w:instrText xml:space="preserve"> PAGEREF _Toc13567485 \h </w:instrText>
            </w:r>
            <w:r w:rsidR="0046633B">
              <w:rPr>
                <w:noProof/>
                <w:webHidden/>
              </w:rPr>
            </w:r>
            <w:r w:rsidR="0046633B">
              <w:rPr>
                <w:noProof/>
                <w:webHidden/>
              </w:rPr>
              <w:fldChar w:fldCharType="separate"/>
            </w:r>
            <w:r w:rsidR="0046633B">
              <w:rPr>
                <w:noProof/>
                <w:webHidden/>
              </w:rPr>
              <w:t>145</w:t>
            </w:r>
            <w:r w:rsidR="0046633B">
              <w:rPr>
                <w:noProof/>
                <w:webHidden/>
              </w:rPr>
              <w:fldChar w:fldCharType="end"/>
            </w:r>
          </w:hyperlink>
        </w:p>
        <w:p w14:paraId="479EF229" w14:textId="57D16E1D" w:rsidR="0046633B" w:rsidRDefault="006D43BC">
          <w:pPr>
            <w:pStyle w:val="TOC2"/>
            <w:rPr>
              <w:rFonts w:asciiTheme="minorHAnsi" w:eastAsiaTheme="minorEastAsia" w:hAnsiTheme="minorHAnsi"/>
              <w:noProof/>
              <w:sz w:val="22"/>
            </w:rPr>
          </w:pPr>
          <w:hyperlink w:anchor="_Toc13567486" w:history="1">
            <w:r w:rsidR="0046633B" w:rsidRPr="005A308E">
              <w:rPr>
                <w:rStyle w:val="Hyperlink"/>
                <w:noProof/>
                <w:lang w:eastAsia="en-AU"/>
              </w:rPr>
              <w:t>Attachment 1 – TWC - Terms &amp; Conditions (6/28/19)</w:t>
            </w:r>
            <w:r w:rsidR="0046633B">
              <w:rPr>
                <w:noProof/>
                <w:webHidden/>
              </w:rPr>
              <w:tab/>
            </w:r>
            <w:r w:rsidR="0046633B">
              <w:rPr>
                <w:noProof/>
                <w:webHidden/>
              </w:rPr>
              <w:fldChar w:fldCharType="begin"/>
            </w:r>
            <w:r w:rsidR="0046633B">
              <w:rPr>
                <w:noProof/>
                <w:webHidden/>
              </w:rPr>
              <w:instrText xml:space="preserve"> PAGEREF _Toc13567486 \h </w:instrText>
            </w:r>
            <w:r w:rsidR="0046633B">
              <w:rPr>
                <w:noProof/>
                <w:webHidden/>
              </w:rPr>
            </w:r>
            <w:r w:rsidR="0046633B">
              <w:rPr>
                <w:noProof/>
                <w:webHidden/>
              </w:rPr>
              <w:fldChar w:fldCharType="separate"/>
            </w:r>
            <w:r w:rsidR="0046633B">
              <w:rPr>
                <w:noProof/>
                <w:webHidden/>
              </w:rPr>
              <w:t>146</w:t>
            </w:r>
            <w:r w:rsidR="0046633B">
              <w:rPr>
                <w:noProof/>
                <w:webHidden/>
              </w:rPr>
              <w:fldChar w:fldCharType="end"/>
            </w:r>
          </w:hyperlink>
        </w:p>
        <w:p w14:paraId="37BCD70D" w14:textId="3354A007" w:rsidR="0046633B" w:rsidRDefault="006D43BC">
          <w:pPr>
            <w:pStyle w:val="TOC2"/>
            <w:rPr>
              <w:rFonts w:asciiTheme="minorHAnsi" w:eastAsiaTheme="minorEastAsia" w:hAnsiTheme="minorHAnsi"/>
              <w:noProof/>
              <w:sz w:val="22"/>
            </w:rPr>
          </w:pPr>
          <w:hyperlink w:anchor="_Toc13567487" w:history="1">
            <w:r w:rsidR="0046633B" w:rsidRPr="005A308E">
              <w:rPr>
                <w:rStyle w:val="Hyperlink"/>
                <w:noProof/>
                <w:lang w:eastAsia="en-AU"/>
              </w:rPr>
              <w:t>Attachment 2 – Offeror Agreement</w:t>
            </w:r>
            <w:r w:rsidR="0046633B">
              <w:rPr>
                <w:noProof/>
                <w:webHidden/>
              </w:rPr>
              <w:tab/>
            </w:r>
            <w:r w:rsidR="0046633B">
              <w:rPr>
                <w:noProof/>
                <w:webHidden/>
              </w:rPr>
              <w:fldChar w:fldCharType="begin"/>
            </w:r>
            <w:r w:rsidR="0046633B">
              <w:rPr>
                <w:noProof/>
                <w:webHidden/>
              </w:rPr>
              <w:instrText xml:space="preserve"> PAGEREF _Toc13567487 \h </w:instrText>
            </w:r>
            <w:r w:rsidR="0046633B">
              <w:rPr>
                <w:noProof/>
                <w:webHidden/>
              </w:rPr>
            </w:r>
            <w:r w:rsidR="0046633B">
              <w:rPr>
                <w:noProof/>
                <w:webHidden/>
              </w:rPr>
              <w:fldChar w:fldCharType="separate"/>
            </w:r>
            <w:r w:rsidR="0046633B">
              <w:rPr>
                <w:noProof/>
                <w:webHidden/>
              </w:rPr>
              <w:t>155</w:t>
            </w:r>
            <w:r w:rsidR="0046633B">
              <w:rPr>
                <w:noProof/>
                <w:webHidden/>
              </w:rPr>
              <w:fldChar w:fldCharType="end"/>
            </w:r>
          </w:hyperlink>
        </w:p>
        <w:p w14:paraId="6292E47D" w14:textId="2CBB6F6E" w:rsidR="0046633B" w:rsidRDefault="006D43BC">
          <w:pPr>
            <w:pStyle w:val="TOC2"/>
            <w:rPr>
              <w:rFonts w:asciiTheme="minorHAnsi" w:eastAsiaTheme="minorEastAsia" w:hAnsiTheme="minorHAnsi"/>
              <w:noProof/>
              <w:sz w:val="22"/>
            </w:rPr>
          </w:pPr>
          <w:hyperlink w:anchor="_Toc13567488" w:history="1">
            <w:r w:rsidR="0046633B" w:rsidRPr="005A308E">
              <w:rPr>
                <w:rStyle w:val="Hyperlink"/>
                <w:noProof/>
                <w:lang w:eastAsia="en-AU"/>
              </w:rPr>
              <w:t>Attachment 3 – Offeror Questions &amp; Answers Template</w:t>
            </w:r>
            <w:r w:rsidR="0046633B">
              <w:rPr>
                <w:noProof/>
                <w:webHidden/>
              </w:rPr>
              <w:tab/>
            </w:r>
            <w:r w:rsidR="0046633B">
              <w:rPr>
                <w:noProof/>
                <w:webHidden/>
              </w:rPr>
              <w:fldChar w:fldCharType="begin"/>
            </w:r>
            <w:r w:rsidR="0046633B">
              <w:rPr>
                <w:noProof/>
                <w:webHidden/>
              </w:rPr>
              <w:instrText xml:space="preserve"> PAGEREF _Toc13567488 \h </w:instrText>
            </w:r>
            <w:r w:rsidR="0046633B">
              <w:rPr>
                <w:noProof/>
                <w:webHidden/>
              </w:rPr>
            </w:r>
            <w:r w:rsidR="0046633B">
              <w:rPr>
                <w:noProof/>
                <w:webHidden/>
              </w:rPr>
              <w:fldChar w:fldCharType="separate"/>
            </w:r>
            <w:r w:rsidR="0046633B">
              <w:rPr>
                <w:noProof/>
                <w:webHidden/>
              </w:rPr>
              <w:t>157</w:t>
            </w:r>
            <w:r w:rsidR="0046633B">
              <w:rPr>
                <w:noProof/>
                <w:webHidden/>
              </w:rPr>
              <w:fldChar w:fldCharType="end"/>
            </w:r>
          </w:hyperlink>
        </w:p>
        <w:p w14:paraId="3854764A" w14:textId="1C0BB939" w:rsidR="0046633B" w:rsidRDefault="006D43BC">
          <w:pPr>
            <w:pStyle w:val="TOC2"/>
            <w:rPr>
              <w:rFonts w:asciiTheme="minorHAnsi" w:eastAsiaTheme="minorEastAsia" w:hAnsiTheme="minorHAnsi"/>
              <w:noProof/>
              <w:sz w:val="22"/>
            </w:rPr>
          </w:pPr>
          <w:hyperlink w:anchor="_Toc13567489" w:history="1">
            <w:r w:rsidR="0046633B" w:rsidRPr="005A308E">
              <w:rPr>
                <w:rStyle w:val="Hyperlink"/>
                <w:noProof/>
                <w:lang w:eastAsia="en-AU"/>
              </w:rPr>
              <w:t>Attachment 4 – Deliverables Expectations Document</w:t>
            </w:r>
            <w:r w:rsidR="0046633B">
              <w:rPr>
                <w:noProof/>
                <w:webHidden/>
              </w:rPr>
              <w:tab/>
            </w:r>
            <w:r w:rsidR="0046633B">
              <w:rPr>
                <w:noProof/>
                <w:webHidden/>
              </w:rPr>
              <w:fldChar w:fldCharType="begin"/>
            </w:r>
            <w:r w:rsidR="0046633B">
              <w:rPr>
                <w:noProof/>
                <w:webHidden/>
              </w:rPr>
              <w:instrText xml:space="preserve"> PAGEREF _Toc13567489 \h </w:instrText>
            </w:r>
            <w:r w:rsidR="0046633B">
              <w:rPr>
                <w:noProof/>
                <w:webHidden/>
              </w:rPr>
            </w:r>
            <w:r w:rsidR="0046633B">
              <w:rPr>
                <w:noProof/>
                <w:webHidden/>
              </w:rPr>
              <w:fldChar w:fldCharType="separate"/>
            </w:r>
            <w:r w:rsidR="0046633B">
              <w:rPr>
                <w:noProof/>
                <w:webHidden/>
              </w:rPr>
              <w:t>158</w:t>
            </w:r>
            <w:r w:rsidR="0046633B">
              <w:rPr>
                <w:noProof/>
                <w:webHidden/>
              </w:rPr>
              <w:fldChar w:fldCharType="end"/>
            </w:r>
          </w:hyperlink>
        </w:p>
        <w:p w14:paraId="1B4AB76C" w14:textId="38C56276" w:rsidR="0046633B" w:rsidRDefault="006D43BC">
          <w:pPr>
            <w:pStyle w:val="TOC2"/>
            <w:rPr>
              <w:rFonts w:asciiTheme="minorHAnsi" w:eastAsiaTheme="minorEastAsia" w:hAnsiTheme="minorHAnsi"/>
              <w:noProof/>
              <w:sz w:val="22"/>
            </w:rPr>
          </w:pPr>
          <w:hyperlink w:anchor="_Toc13567490" w:history="1">
            <w:r w:rsidR="0046633B" w:rsidRPr="005A308E">
              <w:rPr>
                <w:rStyle w:val="Hyperlink"/>
                <w:noProof/>
                <w:lang w:eastAsia="en-AU"/>
              </w:rPr>
              <w:t>Attachment 5 – UI Requirements and Response Sheet</w:t>
            </w:r>
            <w:r w:rsidR="0046633B">
              <w:rPr>
                <w:noProof/>
                <w:webHidden/>
              </w:rPr>
              <w:tab/>
            </w:r>
            <w:r w:rsidR="0046633B">
              <w:rPr>
                <w:noProof/>
                <w:webHidden/>
              </w:rPr>
              <w:fldChar w:fldCharType="begin"/>
            </w:r>
            <w:r w:rsidR="0046633B">
              <w:rPr>
                <w:noProof/>
                <w:webHidden/>
              </w:rPr>
              <w:instrText xml:space="preserve"> PAGEREF _Toc13567490 \h </w:instrText>
            </w:r>
            <w:r w:rsidR="0046633B">
              <w:rPr>
                <w:noProof/>
                <w:webHidden/>
              </w:rPr>
            </w:r>
            <w:r w:rsidR="0046633B">
              <w:rPr>
                <w:noProof/>
                <w:webHidden/>
              </w:rPr>
              <w:fldChar w:fldCharType="separate"/>
            </w:r>
            <w:r w:rsidR="0046633B">
              <w:rPr>
                <w:noProof/>
                <w:webHidden/>
              </w:rPr>
              <w:t>162</w:t>
            </w:r>
            <w:r w:rsidR="0046633B">
              <w:rPr>
                <w:noProof/>
                <w:webHidden/>
              </w:rPr>
              <w:fldChar w:fldCharType="end"/>
            </w:r>
          </w:hyperlink>
        </w:p>
        <w:p w14:paraId="1C6B691A" w14:textId="6C22FE11" w:rsidR="0046633B" w:rsidRDefault="006D43BC">
          <w:pPr>
            <w:pStyle w:val="TOC2"/>
            <w:rPr>
              <w:rFonts w:asciiTheme="minorHAnsi" w:eastAsiaTheme="minorEastAsia" w:hAnsiTheme="minorHAnsi"/>
              <w:noProof/>
              <w:sz w:val="22"/>
            </w:rPr>
          </w:pPr>
          <w:hyperlink w:anchor="_Toc13567491" w:history="1">
            <w:r w:rsidR="0046633B" w:rsidRPr="005A308E">
              <w:rPr>
                <w:rStyle w:val="Hyperlink"/>
                <w:noProof/>
                <w:lang w:eastAsia="en-AU"/>
              </w:rPr>
              <w:t>Attachment 6 – UI Process Descriptions</w:t>
            </w:r>
            <w:r w:rsidR="0046633B">
              <w:rPr>
                <w:noProof/>
                <w:webHidden/>
              </w:rPr>
              <w:tab/>
            </w:r>
            <w:r w:rsidR="0046633B">
              <w:rPr>
                <w:noProof/>
                <w:webHidden/>
              </w:rPr>
              <w:fldChar w:fldCharType="begin"/>
            </w:r>
            <w:r w:rsidR="0046633B">
              <w:rPr>
                <w:noProof/>
                <w:webHidden/>
              </w:rPr>
              <w:instrText xml:space="preserve"> PAGEREF _Toc13567491 \h </w:instrText>
            </w:r>
            <w:r w:rsidR="0046633B">
              <w:rPr>
                <w:noProof/>
                <w:webHidden/>
              </w:rPr>
            </w:r>
            <w:r w:rsidR="0046633B">
              <w:rPr>
                <w:noProof/>
                <w:webHidden/>
              </w:rPr>
              <w:fldChar w:fldCharType="separate"/>
            </w:r>
            <w:r w:rsidR="0046633B">
              <w:rPr>
                <w:noProof/>
                <w:webHidden/>
              </w:rPr>
              <w:t>192</w:t>
            </w:r>
            <w:r w:rsidR="0046633B">
              <w:rPr>
                <w:noProof/>
                <w:webHidden/>
              </w:rPr>
              <w:fldChar w:fldCharType="end"/>
            </w:r>
          </w:hyperlink>
        </w:p>
        <w:p w14:paraId="5FABCD21" w14:textId="2BC8D867" w:rsidR="0046633B" w:rsidRDefault="006D43BC">
          <w:pPr>
            <w:pStyle w:val="TOC3"/>
            <w:tabs>
              <w:tab w:val="left" w:pos="1320"/>
              <w:tab w:val="right" w:leader="dot" w:pos="10790"/>
            </w:tabs>
            <w:rPr>
              <w:rFonts w:asciiTheme="minorHAnsi" w:eastAsiaTheme="minorEastAsia" w:hAnsiTheme="minorHAnsi"/>
              <w:noProof/>
              <w:sz w:val="22"/>
            </w:rPr>
          </w:pPr>
          <w:hyperlink w:anchor="_Toc13567492" w:history="1">
            <w:r w:rsidR="0046633B" w:rsidRPr="005A308E">
              <w:rPr>
                <w:rStyle w:val="Hyperlink"/>
                <w:noProof/>
              </w:rPr>
              <w:t>A6.1</w:t>
            </w:r>
            <w:r w:rsidR="0046633B">
              <w:rPr>
                <w:rFonts w:asciiTheme="minorHAnsi" w:eastAsiaTheme="minorEastAsia" w:hAnsiTheme="minorHAnsi"/>
                <w:noProof/>
                <w:sz w:val="22"/>
              </w:rPr>
              <w:tab/>
            </w:r>
            <w:r w:rsidR="0046633B" w:rsidRPr="005A308E">
              <w:rPr>
                <w:rStyle w:val="Hyperlink"/>
                <w:noProof/>
              </w:rPr>
              <w:t>Benefits</w:t>
            </w:r>
            <w:r w:rsidR="0046633B">
              <w:rPr>
                <w:noProof/>
                <w:webHidden/>
              </w:rPr>
              <w:tab/>
            </w:r>
            <w:r w:rsidR="0046633B">
              <w:rPr>
                <w:noProof/>
                <w:webHidden/>
              </w:rPr>
              <w:fldChar w:fldCharType="begin"/>
            </w:r>
            <w:r w:rsidR="0046633B">
              <w:rPr>
                <w:noProof/>
                <w:webHidden/>
              </w:rPr>
              <w:instrText xml:space="preserve"> PAGEREF _Toc13567492 \h </w:instrText>
            </w:r>
            <w:r w:rsidR="0046633B">
              <w:rPr>
                <w:noProof/>
                <w:webHidden/>
              </w:rPr>
            </w:r>
            <w:r w:rsidR="0046633B">
              <w:rPr>
                <w:noProof/>
                <w:webHidden/>
              </w:rPr>
              <w:fldChar w:fldCharType="separate"/>
            </w:r>
            <w:r w:rsidR="0046633B">
              <w:rPr>
                <w:noProof/>
                <w:webHidden/>
              </w:rPr>
              <w:t>192</w:t>
            </w:r>
            <w:r w:rsidR="0046633B">
              <w:rPr>
                <w:noProof/>
                <w:webHidden/>
              </w:rPr>
              <w:fldChar w:fldCharType="end"/>
            </w:r>
          </w:hyperlink>
        </w:p>
        <w:p w14:paraId="5CE95E27" w14:textId="414E2137" w:rsidR="0046633B" w:rsidRDefault="006D43BC">
          <w:pPr>
            <w:pStyle w:val="TOC3"/>
            <w:tabs>
              <w:tab w:val="left" w:pos="1320"/>
              <w:tab w:val="right" w:leader="dot" w:pos="10790"/>
            </w:tabs>
            <w:rPr>
              <w:rFonts w:asciiTheme="minorHAnsi" w:eastAsiaTheme="minorEastAsia" w:hAnsiTheme="minorHAnsi"/>
              <w:noProof/>
              <w:sz w:val="22"/>
            </w:rPr>
          </w:pPr>
          <w:hyperlink w:anchor="_Toc13567493" w:history="1">
            <w:r w:rsidR="0046633B" w:rsidRPr="005A308E">
              <w:rPr>
                <w:rStyle w:val="Hyperlink"/>
                <w:noProof/>
              </w:rPr>
              <w:t>A6.2</w:t>
            </w:r>
            <w:r w:rsidR="0046633B">
              <w:rPr>
                <w:rFonts w:asciiTheme="minorHAnsi" w:eastAsiaTheme="minorEastAsia" w:hAnsiTheme="minorHAnsi"/>
                <w:noProof/>
                <w:sz w:val="22"/>
              </w:rPr>
              <w:tab/>
            </w:r>
            <w:r w:rsidR="0046633B" w:rsidRPr="005A308E">
              <w:rPr>
                <w:rStyle w:val="Hyperlink"/>
                <w:noProof/>
              </w:rPr>
              <w:t>Tax</w:t>
            </w:r>
            <w:r w:rsidR="0046633B">
              <w:rPr>
                <w:noProof/>
                <w:webHidden/>
              </w:rPr>
              <w:tab/>
            </w:r>
            <w:r w:rsidR="0046633B">
              <w:rPr>
                <w:noProof/>
                <w:webHidden/>
              </w:rPr>
              <w:fldChar w:fldCharType="begin"/>
            </w:r>
            <w:r w:rsidR="0046633B">
              <w:rPr>
                <w:noProof/>
                <w:webHidden/>
              </w:rPr>
              <w:instrText xml:space="preserve"> PAGEREF _Toc13567493 \h </w:instrText>
            </w:r>
            <w:r w:rsidR="0046633B">
              <w:rPr>
                <w:noProof/>
                <w:webHidden/>
              </w:rPr>
            </w:r>
            <w:r w:rsidR="0046633B">
              <w:rPr>
                <w:noProof/>
                <w:webHidden/>
              </w:rPr>
              <w:fldChar w:fldCharType="separate"/>
            </w:r>
            <w:r w:rsidR="0046633B">
              <w:rPr>
                <w:noProof/>
                <w:webHidden/>
              </w:rPr>
              <w:t>219</w:t>
            </w:r>
            <w:r w:rsidR="0046633B">
              <w:rPr>
                <w:noProof/>
                <w:webHidden/>
              </w:rPr>
              <w:fldChar w:fldCharType="end"/>
            </w:r>
          </w:hyperlink>
        </w:p>
        <w:p w14:paraId="7FCDDEF9" w14:textId="7230FD7D" w:rsidR="0046633B" w:rsidRDefault="006D43BC">
          <w:pPr>
            <w:pStyle w:val="TOC3"/>
            <w:tabs>
              <w:tab w:val="left" w:pos="1320"/>
              <w:tab w:val="right" w:leader="dot" w:pos="10790"/>
            </w:tabs>
            <w:rPr>
              <w:rFonts w:asciiTheme="minorHAnsi" w:eastAsiaTheme="minorEastAsia" w:hAnsiTheme="minorHAnsi"/>
              <w:noProof/>
              <w:sz w:val="22"/>
            </w:rPr>
          </w:pPr>
          <w:hyperlink w:anchor="_Toc13567494" w:history="1">
            <w:r w:rsidR="0046633B" w:rsidRPr="005A308E">
              <w:rPr>
                <w:rStyle w:val="Hyperlink"/>
                <w:noProof/>
              </w:rPr>
              <w:t>A6.3</w:t>
            </w:r>
            <w:r w:rsidR="0046633B">
              <w:rPr>
                <w:rFonts w:asciiTheme="minorHAnsi" w:eastAsiaTheme="minorEastAsia" w:hAnsiTheme="minorHAnsi"/>
                <w:noProof/>
                <w:sz w:val="22"/>
              </w:rPr>
              <w:tab/>
            </w:r>
            <w:r w:rsidR="0046633B" w:rsidRPr="005A308E">
              <w:rPr>
                <w:rStyle w:val="Hyperlink"/>
                <w:noProof/>
              </w:rPr>
              <w:t>Appeal Tribunal</w:t>
            </w:r>
            <w:r w:rsidR="0046633B">
              <w:rPr>
                <w:noProof/>
                <w:webHidden/>
              </w:rPr>
              <w:tab/>
            </w:r>
            <w:r w:rsidR="0046633B">
              <w:rPr>
                <w:noProof/>
                <w:webHidden/>
              </w:rPr>
              <w:fldChar w:fldCharType="begin"/>
            </w:r>
            <w:r w:rsidR="0046633B">
              <w:rPr>
                <w:noProof/>
                <w:webHidden/>
              </w:rPr>
              <w:instrText xml:space="preserve"> PAGEREF _Toc13567494 \h </w:instrText>
            </w:r>
            <w:r w:rsidR="0046633B">
              <w:rPr>
                <w:noProof/>
                <w:webHidden/>
              </w:rPr>
            </w:r>
            <w:r w:rsidR="0046633B">
              <w:rPr>
                <w:noProof/>
                <w:webHidden/>
              </w:rPr>
              <w:fldChar w:fldCharType="separate"/>
            </w:r>
            <w:r w:rsidR="0046633B">
              <w:rPr>
                <w:noProof/>
                <w:webHidden/>
              </w:rPr>
              <w:t>239</w:t>
            </w:r>
            <w:r w:rsidR="0046633B">
              <w:rPr>
                <w:noProof/>
                <w:webHidden/>
              </w:rPr>
              <w:fldChar w:fldCharType="end"/>
            </w:r>
          </w:hyperlink>
        </w:p>
        <w:p w14:paraId="17EFEA60" w14:textId="203DFE87" w:rsidR="0046633B" w:rsidRDefault="006D43BC">
          <w:pPr>
            <w:pStyle w:val="TOC3"/>
            <w:tabs>
              <w:tab w:val="left" w:pos="1320"/>
              <w:tab w:val="right" w:leader="dot" w:pos="10790"/>
            </w:tabs>
            <w:rPr>
              <w:rFonts w:asciiTheme="minorHAnsi" w:eastAsiaTheme="minorEastAsia" w:hAnsiTheme="minorHAnsi"/>
              <w:noProof/>
              <w:sz w:val="22"/>
            </w:rPr>
          </w:pPr>
          <w:hyperlink w:anchor="_Toc13567495" w:history="1">
            <w:r w:rsidR="0046633B" w:rsidRPr="005A308E">
              <w:rPr>
                <w:rStyle w:val="Hyperlink"/>
                <w:noProof/>
              </w:rPr>
              <w:t>A6.4</w:t>
            </w:r>
            <w:r w:rsidR="0046633B">
              <w:rPr>
                <w:rFonts w:asciiTheme="minorHAnsi" w:eastAsiaTheme="minorEastAsia" w:hAnsiTheme="minorHAnsi"/>
                <w:noProof/>
                <w:sz w:val="22"/>
              </w:rPr>
              <w:tab/>
            </w:r>
            <w:r w:rsidR="0046633B" w:rsidRPr="005A308E">
              <w:rPr>
                <w:rStyle w:val="Hyperlink"/>
                <w:noProof/>
              </w:rPr>
              <w:t>Commission Appeals</w:t>
            </w:r>
            <w:r w:rsidR="0046633B">
              <w:rPr>
                <w:noProof/>
                <w:webHidden/>
              </w:rPr>
              <w:tab/>
            </w:r>
            <w:r w:rsidR="0046633B">
              <w:rPr>
                <w:noProof/>
                <w:webHidden/>
              </w:rPr>
              <w:fldChar w:fldCharType="begin"/>
            </w:r>
            <w:r w:rsidR="0046633B">
              <w:rPr>
                <w:noProof/>
                <w:webHidden/>
              </w:rPr>
              <w:instrText xml:space="preserve"> PAGEREF _Toc13567495 \h </w:instrText>
            </w:r>
            <w:r w:rsidR="0046633B">
              <w:rPr>
                <w:noProof/>
                <w:webHidden/>
              </w:rPr>
            </w:r>
            <w:r w:rsidR="0046633B">
              <w:rPr>
                <w:noProof/>
                <w:webHidden/>
              </w:rPr>
              <w:fldChar w:fldCharType="separate"/>
            </w:r>
            <w:r w:rsidR="0046633B">
              <w:rPr>
                <w:noProof/>
                <w:webHidden/>
              </w:rPr>
              <w:t>254</w:t>
            </w:r>
            <w:r w:rsidR="0046633B">
              <w:rPr>
                <w:noProof/>
                <w:webHidden/>
              </w:rPr>
              <w:fldChar w:fldCharType="end"/>
            </w:r>
          </w:hyperlink>
        </w:p>
        <w:p w14:paraId="69FF1859" w14:textId="3B875ACC" w:rsidR="0046633B" w:rsidRDefault="006D43BC">
          <w:pPr>
            <w:pStyle w:val="TOC3"/>
            <w:tabs>
              <w:tab w:val="left" w:pos="1320"/>
              <w:tab w:val="right" w:leader="dot" w:pos="10790"/>
            </w:tabs>
            <w:rPr>
              <w:rFonts w:asciiTheme="minorHAnsi" w:eastAsiaTheme="minorEastAsia" w:hAnsiTheme="minorHAnsi"/>
              <w:noProof/>
              <w:sz w:val="22"/>
            </w:rPr>
          </w:pPr>
          <w:hyperlink w:anchor="_Toc13567496" w:history="1">
            <w:r w:rsidR="0046633B" w:rsidRPr="005A308E">
              <w:rPr>
                <w:rStyle w:val="Hyperlink"/>
                <w:noProof/>
              </w:rPr>
              <w:t>A6.5</w:t>
            </w:r>
            <w:r w:rsidR="0046633B">
              <w:rPr>
                <w:rFonts w:asciiTheme="minorHAnsi" w:eastAsiaTheme="minorEastAsia" w:hAnsiTheme="minorHAnsi"/>
                <w:noProof/>
                <w:sz w:val="22"/>
              </w:rPr>
              <w:tab/>
            </w:r>
            <w:r w:rsidR="0046633B" w:rsidRPr="005A308E">
              <w:rPr>
                <w:rStyle w:val="Hyperlink"/>
                <w:noProof/>
              </w:rPr>
              <w:t>Special Hearings</w:t>
            </w:r>
            <w:r w:rsidR="0046633B">
              <w:rPr>
                <w:noProof/>
                <w:webHidden/>
              </w:rPr>
              <w:tab/>
            </w:r>
            <w:r w:rsidR="0046633B">
              <w:rPr>
                <w:noProof/>
                <w:webHidden/>
              </w:rPr>
              <w:fldChar w:fldCharType="begin"/>
            </w:r>
            <w:r w:rsidR="0046633B">
              <w:rPr>
                <w:noProof/>
                <w:webHidden/>
              </w:rPr>
              <w:instrText xml:space="preserve"> PAGEREF _Toc13567496 \h </w:instrText>
            </w:r>
            <w:r w:rsidR="0046633B">
              <w:rPr>
                <w:noProof/>
                <w:webHidden/>
              </w:rPr>
            </w:r>
            <w:r w:rsidR="0046633B">
              <w:rPr>
                <w:noProof/>
                <w:webHidden/>
              </w:rPr>
              <w:fldChar w:fldCharType="separate"/>
            </w:r>
            <w:r w:rsidR="0046633B">
              <w:rPr>
                <w:noProof/>
                <w:webHidden/>
              </w:rPr>
              <w:t>273</w:t>
            </w:r>
            <w:r w:rsidR="0046633B">
              <w:rPr>
                <w:noProof/>
                <w:webHidden/>
              </w:rPr>
              <w:fldChar w:fldCharType="end"/>
            </w:r>
          </w:hyperlink>
        </w:p>
        <w:p w14:paraId="7A56065D" w14:textId="0075CC23" w:rsidR="0046633B" w:rsidRDefault="006D43BC">
          <w:pPr>
            <w:pStyle w:val="TOC3"/>
            <w:tabs>
              <w:tab w:val="left" w:pos="1320"/>
              <w:tab w:val="right" w:leader="dot" w:pos="10790"/>
            </w:tabs>
            <w:rPr>
              <w:rFonts w:asciiTheme="minorHAnsi" w:eastAsiaTheme="minorEastAsia" w:hAnsiTheme="minorHAnsi"/>
              <w:noProof/>
              <w:sz w:val="22"/>
            </w:rPr>
          </w:pPr>
          <w:hyperlink w:anchor="_Toc13567497" w:history="1">
            <w:r w:rsidR="0046633B" w:rsidRPr="005A308E">
              <w:rPr>
                <w:rStyle w:val="Hyperlink"/>
                <w:noProof/>
              </w:rPr>
              <w:t>A6.6</w:t>
            </w:r>
            <w:r w:rsidR="0046633B">
              <w:rPr>
                <w:rFonts w:asciiTheme="minorHAnsi" w:eastAsiaTheme="minorEastAsia" w:hAnsiTheme="minorHAnsi"/>
                <w:noProof/>
                <w:sz w:val="22"/>
              </w:rPr>
              <w:tab/>
            </w:r>
            <w:r w:rsidR="0046633B" w:rsidRPr="005A308E">
              <w:rPr>
                <w:rStyle w:val="Hyperlink"/>
                <w:noProof/>
              </w:rPr>
              <w:t>Regulatory Integrity Division</w:t>
            </w:r>
            <w:r w:rsidR="0046633B">
              <w:rPr>
                <w:noProof/>
                <w:webHidden/>
              </w:rPr>
              <w:tab/>
            </w:r>
            <w:r w:rsidR="0046633B">
              <w:rPr>
                <w:noProof/>
                <w:webHidden/>
              </w:rPr>
              <w:fldChar w:fldCharType="begin"/>
            </w:r>
            <w:r w:rsidR="0046633B">
              <w:rPr>
                <w:noProof/>
                <w:webHidden/>
              </w:rPr>
              <w:instrText xml:space="preserve"> PAGEREF _Toc13567497 \h </w:instrText>
            </w:r>
            <w:r w:rsidR="0046633B">
              <w:rPr>
                <w:noProof/>
                <w:webHidden/>
              </w:rPr>
            </w:r>
            <w:r w:rsidR="0046633B">
              <w:rPr>
                <w:noProof/>
                <w:webHidden/>
              </w:rPr>
              <w:fldChar w:fldCharType="separate"/>
            </w:r>
            <w:r w:rsidR="0046633B">
              <w:rPr>
                <w:noProof/>
                <w:webHidden/>
              </w:rPr>
              <w:t>288</w:t>
            </w:r>
            <w:r w:rsidR="0046633B">
              <w:rPr>
                <w:noProof/>
                <w:webHidden/>
              </w:rPr>
              <w:fldChar w:fldCharType="end"/>
            </w:r>
          </w:hyperlink>
        </w:p>
        <w:p w14:paraId="513F1D8A" w14:textId="0D4421CD" w:rsidR="0046633B" w:rsidRDefault="006D43BC">
          <w:pPr>
            <w:pStyle w:val="TOC3"/>
            <w:tabs>
              <w:tab w:val="left" w:pos="1320"/>
              <w:tab w:val="right" w:leader="dot" w:pos="10790"/>
            </w:tabs>
            <w:rPr>
              <w:rFonts w:asciiTheme="minorHAnsi" w:eastAsiaTheme="minorEastAsia" w:hAnsiTheme="minorHAnsi"/>
              <w:noProof/>
              <w:sz w:val="22"/>
            </w:rPr>
          </w:pPr>
          <w:hyperlink w:anchor="_Toc13567498" w:history="1">
            <w:r w:rsidR="0046633B" w:rsidRPr="005A308E">
              <w:rPr>
                <w:rStyle w:val="Hyperlink"/>
                <w:noProof/>
              </w:rPr>
              <w:t>A6.7</w:t>
            </w:r>
            <w:r w:rsidR="0046633B">
              <w:rPr>
                <w:rFonts w:asciiTheme="minorHAnsi" w:eastAsiaTheme="minorEastAsia" w:hAnsiTheme="minorHAnsi"/>
                <w:noProof/>
                <w:sz w:val="22"/>
              </w:rPr>
              <w:tab/>
            </w:r>
            <w:r w:rsidR="0046633B" w:rsidRPr="005A308E">
              <w:rPr>
                <w:rStyle w:val="Hyperlink"/>
                <w:noProof/>
              </w:rPr>
              <w:t>Revenue and Trust Management</w:t>
            </w:r>
            <w:r w:rsidR="0046633B">
              <w:rPr>
                <w:noProof/>
                <w:webHidden/>
              </w:rPr>
              <w:tab/>
            </w:r>
            <w:r w:rsidR="0046633B">
              <w:rPr>
                <w:noProof/>
                <w:webHidden/>
              </w:rPr>
              <w:fldChar w:fldCharType="begin"/>
            </w:r>
            <w:r w:rsidR="0046633B">
              <w:rPr>
                <w:noProof/>
                <w:webHidden/>
              </w:rPr>
              <w:instrText xml:space="preserve"> PAGEREF _Toc13567498 \h </w:instrText>
            </w:r>
            <w:r w:rsidR="0046633B">
              <w:rPr>
                <w:noProof/>
                <w:webHidden/>
              </w:rPr>
            </w:r>
            <w:r w:rsidR="0046633B">
              <w:rPr>
                <w:noProof/>
                <w:webHidden/>
              </w:rPr>
              <w:fldChar w:fldCharType="separate"/>
            </w:r>
            <w:r w:rsidR="0046633B">
              <w:rPr>
                <w:noProof/>
                <w:webHidden/>
              </w:rPr>
              <w:t>306</w:t>
            </w:r>
            <w:r w:rsidR="0046633B">
              <w:rPr>
                <w:noProof/>
                <w:webHidden/>
              </w:rPr>
              <w:fldChar w:fldCharType="end"/>
            </w:r>
          </w:hyperlink>
        </w:p>
        <w:p w14:paraId="7D5D056E" w14:textId="61875825" w:rsidR="0046633B" w:rsidRDefault="006D43BC">
          <w:pPr>
            <w:pStyle w:val="TOC3"/>
            <w:tabs>
              <w:tab w:val="left" w:pos="1320"/>
              <w:tab w:val="right" w:leader="dot" w:pos="10790"/>
            </w:tabs>
            <w:rPr>
              <w:rFonts w:asciiTheme="minorHAnsi" w:eastAsiaTheme="minorEastAsia" w:hAnsiTheme="minorHAnsi"/>
              <w:noProof/>
              <w:sz w:val="22"/>
            </w:rPr>
          </w:pPr>
          <w:hyperlink w:anchor="_Toc13567499" w:history="1">
            <w:r w:rsidR="0046633B" w:rsidRPr="005A308E">
              <w:rPr>
                <w:rStyle w:val="Hyperlink"/>
                <w:noProof/>
              </w:rPr>
              <w:t>A6.8</w:t>
            </w:r>
            <w:r w:rsidR="0046633B">
              <w:rPr>
                <w:rFonts w:asciiTheme="minorHAnsi" w:eastAsiaTheme="minorEastAsia" w:hAnsiTheme="minorHAnsi"/>
                <w:noProof/>
                <w:sz w:val="22"/>
              </w:rPr>
              <w:tab/>
            </w:r>
            <w:r w:rsidR="0046633B" w:rsidRPr="005A308E">
              <w:rPr>
                <w:rStyle w:val="Hyperlink"/>
                <w:noProof/>
              </w:rPr>
              <w:t>Performance Evaluations</w:t>
            </w:r>
            <w:r w:rsidR="0046633B">
              <w:rPr>
                <w:noProof/>
                <w:webHidden/>
              </w:rPr>
              <w:tab/>
            </w:r>
            <w:r w:rsidR="0046633B">
              <w:rPr>
                <w:noProof/>
                <w:webHidden/>
              </w:rPr>
              <w:fldChar w:fldCharType="begin"/>
            </w:r>
            <w:r w:rsidR="0046633B">
              <w:rPr>
                <w:noProof/>
                <w:webHidden/>
              </w:rPr>
              <w:instrText xml:space="preserve"> PAGEREF _Toc13567499 \h </w:instrText>
            </w:r>
            <w:r w:rsidR="0046633B">
              <w:rPr>
                <w:noProof/>
                <w:webHidden/>
              </w:rPr>
            </w:r>
            <w:r w:rsidR="0046633B">
              <w:rPr>
                <w:noProof/>
                <w:webHidden/>
              </w:rPr>
              <w:fldChar w:fldCharType="separate"/>
            </w:r>
            <w:r w:rsidR="0046633B">
              <w:rPr>
                <w:noProof/>
                <w:webHidden/>
              </w:rPr>
              <w:t>312</w:t>
            </w:r>
            <w:r w:rsidR="0046633B">
              <w:rPr>
                <w:noProof/>
                <w:webHidden/>
              </w:rPr>
              <w:fldChar w:fldCharType="end"/>
            </w:r>
          </w:hyperlink>
        </w:p>
        <w:p w14:paraId="74A6460B" w14:textId="69B28C9F" w:rsidR="0046633B" w:rsidRDefault="006D43BC">
          <w:pPr>
            <w:pStyle w:val="TOC3"/>
            <w:tabs>
              <w:tab w:val="left" w:pos="1320"/>
              <w:tab w:val="right" w:leader="dot" w:pos="10790"/>
            </w:tabs>
            <w:rPr>
              <w:rFonts w:asciiTheme="minorHAnsi" w:eastAsiaTheme="minorEastAsia" w:hAnsiTheme="minorHAnsi"/>
              <w:noProof/>
              <w:sz w:val="22"/>
            </w:rPr>
          </w:pPr>
          <w:hyperlink w:anchor="_Toc13567500" w:history="1">
            <w:r w:rsidR="0046633B" w:rsidRPr="005A308E">
              <w:rPr>
                <w:rStyle w:val="Hyperlink"/>
                <w:noProof/>
              </w:rPr>
              <w:t>A6.9</w:t>
            </w:r>
            <w:r w:rsidR="0046633B">
              <w:rPr>
                <w:rFonts w:asciiTheme="minorHAnsi" w:eastAsiaTheme="minorEastAsia" w:hAnsiTheme="minorHAnsi"/>
                <w:noProof/>
                <w:sz w:val="22"/>
              </w:rPr>
              <w:tab/>
            </w:r>
            <w:r w:rsidR="0046633B" w:rsidRPr="005A308E">
              <w:rPr>
                <w:rStyle w:val="Hyperlink"/>
                <w:noProof/>
              </w:rPr>
              <w:t>General</w:t>
            </w:r>
            <w:r w:rsidR="0046633B">
              <w:rPr>
                <w:noProof/>
                <w:webHidden/>
              </w:rPr>
              <w:tab/>
            </w:r>
            <w:r w:rsidR="0046633B">
              <w:rPr>
                <w:noProof/>
                <w:webHidden/>
              </w:rPr>
              <w:fldChar w:fldCharType="begin"/>
            </w:r>
            <w:r w:rsidR="0046633B">
              <w:rPr>
                <w:noProof/>
                <w:webHidden/>
              </w:rPr>
              <w:instrText xml:space="preserve"> PAGEREF _Toc13567500 \h </w:instrText>
            </w:r>
            <w:r w:rsidR="0046633B">
              <w:rPr>
                <w:noProof/>
                <w:webHidden/>
              </w:rPr>
            </w:r>
            <w:r w:rsidR="0046633B">
              <w:rPr>
                <w:noProof/>
                <w:webHidden/>
              </w:rPr>
              <w:fldChar w:fldCharType="separate"/>
            </w:r>
            <w:r w:rsidR="0046633B">
              <w:rPr>
                <w:noProof/>
                <w:webHidden/>
              </w:rPr>
              <w:t>320</w:t>
            </w:r>
            <w:r w:rsidR="0046633B">
              <w:rPr>
                <w:noProof/>
                <w:webHidden/>
              </w:rPr>
              <w:fldChar w:fldCharType="end"/>
            </w:r>
          </w:hyperlink>
        </w:p>
        <w:p w14:paraId="29DA0238" w14:textId="3172BF75" w:rsidR="0046633B" w:rsidRDefault="006D43BC">
          <w:pPr>
            <w:pStyle w:val="TOC2"/>
            <w:rPr>
              <w:rFonts w:asciiTheme="minorHAnsi" w:eastAsiaTheme="minorEastAsia" w:hAnsiTheme="minorHAnsi"/>
              <w:noProof/>
              <w:sz w:val="22"/>
            </w:rPr>
          </w:pPr>
          <w:hyperlink w:anchor="_Toc13567501" w:history="1">
            <w:r w:rsidR="0046633B" w:rsidRPr="005A308E">
              <w:rPr>
                <w:rStyle w:val="Hyperlink"/>
                <w:noProof/>
                <w:lang w:eastAsia="en-AU"/>
              </w:rPr>
              <w:t>Attachment 7 – UI Interface Summary</w:t>
            </w:r>
            <w:r w:rsidR="0046633B">
              <w:rPr>
                <w:noProof/>
                <w:webHidden/>
              </w:rPr>
              <w:tab/>
            </w:r>
            <w:r w:rsidR="0046633B">
              <w:rPr>
                <w:noProof/>
                <w:webHidden/>
              </w:rPr>
              <w:fldChar w:fldCharType="begin"/>
            </w:r>
            <w:r w:rsidR="0046633B">
              <w:rPr>
                <w:noProof/>
                <w:webHidden/>
              </w:rPr>
              <w:instrText xml:space="preserve"> PAGEREF _Toc13567501 \h </w:instrText>
            </w:r>
            <w:r w:rsidR="0046633B">
              <w:rPr>
                <w:noProof/>
                <w:webHidden/>
              </w:rPr>
            </w:r>
            <w:r w:rsidR="0046633B">
              <w:rPr>
                <w:noProof/>
                <w:webHidden/>
              </w:rPr>
              <w:fldChar w:fldCharType="separate"/>
            </w:r>
            <w:r w:rsidR="0046633B">
              <w:rPr>
                <w:noProof/>
                <w:webHidden/>
              </w:rPr>
              <w:t>337</w:t>
            </w:r>
            <w:r w:rsidR="0046633B">
              <w:rPr>
                <w:noProof/>
                <w:webHidden/>
              </w:rPr>
              <w:fldChar w:fldCharType="end"/>
            </w:r>
          </w:hyperlink>
        </w:p>
        <w:p w14:paraId="2B93D950" w14:textId="7C406072" w:rsidR="0046633B" w:rsidRDefault="006D43BC">
          <w:pPr>
            <w:pStyle w:val="TOC3"/>
            <w:tabs>
              <w:tab w:val="left" w:pos="1320"/>
              <w:tab w:val="right" w:leader="dot" w:pos="10790"/>
            </w:tabs>
            <w:rPr>
              <w:rFonts w:asciiTheme="minorHAnsi" w:eastAsiaTheme="minorEastAsia" w:hAnsiTheme="minorHAnsi"/>
              <w:noProof/>
              <w:sz w:val="22"/>
            </w:rPr>
          </w:pPr>
          <w:hyperlink w:anchor="_Toc13567502" w:history="1">
            <w:r w:rsidR="0046633B" w:rsidRPr="005A308E">
              <w:rPr>
                <w:rStyle w:val="Hyperlink"/>
                <w:noProof/>
              </w:rPr>
              <w:t>A7.1</w:t>
            </w:r>
            <w:r w:rsidR="0046633B">
              <w:rPr>
                <w:rFonts w:asciiTheme="minorHAnsi" w:eastAsiaTheme="minorEastAsia" w:hAnsiTheme="minorHAnsi"/>
                <w:noProof/>
                <w:sz w:val="22"/>
              </w:rPr>
              <w:tab/>
            </w:r>
            <w:r w:rsidR="0046633B" w:rsidRPr="005A308E">
              <w:rPr>
                <w:rStyle w:val="Hyperlink"/>
                <w:noProof/>
              </w:rPr>
              <w:t>Tax</w:t>
            </w:r>
            <w:r w:rsidR="0046633B">
              <w:rPr>
                <w:noProof/>
                <w:webHidden/>
              </w:rPr>
              <w:tab/>
            </w:r>
            <w:r w:rsidR="0046633B">
              <w:rPr>
                <w:noProof/>
                <w:webHidden/>
              </w:rPr>
              <w:fldChar w:fldCharType="begin"/>
            </w:r>
            <w:r w:rsidR="0046633B">
              <w:rPr>
                <w:noProof/>
                <w:webHidden/>
              </w:rPr>
              <w:instrText xml:space="preserve"> PAGEREF _Toc13567502 \h </w:instrText>
            </w:r>
            <w:r w:rsidR="0046633B">
              <w:rPr>
                <w:noProof/>
                <w:webHidden/>
              </w:rPr>
            </w:r>
            <w:r w:rsidR="0046633B">
              <w:rPr>
                <w:noProof/>
                <w:webHidden/>
              </w:rPr>
              <w:fldChar w:fldCharType="separate"/>
            </w:r>
            <w:r w:rsidR="0046633B">
              <w:rPr>
                <w:noProof/>
                <w:webHidden/>
              </w:rPr>
              <w:t>337</w:t>
            </w:r>
            <w:r w:rsidR="0046633B">
              <w:rPr>
                <w:noProof/>
                <w:webHidden/>
              </w:rPr>
              <w:fldChar w:fldCharType="end"/>
            </w:r>
          </w:hyperlink>
        </w:p>
        <w:p w14:paraId="6204AA07" w14:textId="392944BB" w:rsidR="0046633B" w:rsidRDefault="006D43BC">
          <w:pPr>
            <w:pStyle w:val="TOC3"/>
            <w:tabs>
              <w:tab w:val="left" w:pos="1320"/>
              <w:tab w:val="right" w:leader="dot" w:pos="10790"/>
            </w:tabs>
            <w:rPr>
              <w:rFonts w:asciiTheme="minorHAnsi" w:eastAsiaTheme="minorEastAsia" w:hAnsiTheme="minorHAnsi"/>
              <w:noProof/>
              <w:sz w:val="22"/>
            </w:rPr>
          </w:pPr>
          <w:hyperlink w:anchor="_Toc13567503" w:history="1">
            <w:r w:rsidR="0046633B" w:rsidRPr="005A308E">
              <w:rPr>
                <w:rStyle w:val="Hyperlink"/>
                <w:noProof/>
              </w:rPr>
              <w:t>A7.2</w:t>
            </w:r>
            <w:r w:rsidR="0046633B">
              <w:rPr>
                <w:rFonts w:asciiTheme="minorHAnsi" w:eastAsiaTheme="minorEastAsia" w:hAnsiTheme="minorHAnsi"/>
                <w:noProof/>
                <w:sz w:val="22"/>
              </w:rPr>
              <w:tab/>
            </w:r>
            <w:r w:rsidR="0046633B" w:rsidRPr="005A308E">
              <w:rPr>
                <w:rStyle w:val="Hyperlink"/>
                <w:noProof/>
              </w:rPr>
              <w:t>Benefits</w:t>
            </w:r>
            <w:r w:rsidR="0046633B">
              <w:rPr>
                <w:noProof/>
                <w:webHidden/>
              </w:rPr>
              <w:tab/>
            </w:r>
            <w:r w:rsidR="0046633B">
              <w:rPr>
                <w:noProof/>
                <w:webHidden/>
              </w:rPr>
              <w:fldChar w:fldCharType="begin"/>
            </w:r>
            <w:r w:rsidR="0046633B">
              <w:rPr>
                <w:noProof/>
                <w:webHidden/>
              </w:rPr>
              <w:instrText xml:space="preserve"> PAGEREF _Toc13567503 \h </w:instrText>
            </w:r>
            <w:r w:rsidR="0046633B">
              <w:rPr>
                <w:noProof/>
                <w:webHidden/>
              </w:rPr>
            </w:r>
            <w:r w:rsidR="0046633B">
              <w:rPr>
                <w:noProof/>
                <w:webHidden/>
              </w:rPr>
              <w:fldChar w:fldCharType="separate"/>
            </w:r>
            <w:r w:rsidR="0046633B">
              <w:rPr>
                <w:noProof/>
                <w:webHidden/>
              </w:rPr>
              <w:t>349</w:t>
            </w:r>
            <w:r w:rsidR="0046633B">
              <w:rPr>
                <w:noProof/>
                <w:webHidden/>
              </w:rPr>
              <w:fldChar w:fldCharType="end"/>
            </w:r>
          </w:hyperlink>
        </w:p>
        <w:p w14:paraId="67FBB1D2" w14:textId="0AAEB209" w:rsidR="0046633B" w:rsidRDefault="006D43BC">
          <w:pPr>
            <w:pStyle w:val="TOC3"/>
            <w:tabs>
              <w:tab w:val="left" w:pos="1320"/>
              <w:tab w:val="right" w:leader="dot" w:pos="10790"/>
            </w:tabs>
            <w:rPr>
              <w:rFonts w:asciiTheme="minorHAnsi" w:eastAsiaTheme="minorEastAsia" w:hAnsiTheme="minorHAnsi"/>
              <w:noProof/>
              <w:sz w:val="22"/>
            </w:rPr>
          </w:pPr>
          <w:hyperlink w:anchor="_Toc13567504" w:history="1">
            <w:r w:rsidR="0046633B" w:rsidRPr="005A308E">
              <w:rPr>
                <w:rStyle w:val="Hyperlink"/>
                <w:noProof/>
              </w:rPr>
              <w:t>A7.3</w:t>
            </w:r>
            <w:r w:rsidR="0046633B">
              <w:rPr>
                <w:rFonts w:asciiTheme="minorHAnsi" w:eastAsiaTheme="minorEastAsia" w:hAnsiTheme="minorHAnsi"/>
                <w:noProof/>
                <w:sz w:val="22"/>
              </w:rPr>
              <w:tab/>
            </w:r>
            <w:r w:rsidR="0046633B" w:rsidRPr="005A308E">
              <w:rPr>
                <w:rStyle w:val="Hyperlink"/>
                <w:noProof/>
              </w:rPr>
              <w:t>Appeals</w:t>
            </w:r>
            <w:r w:rsidR="0046633B">
              <w:rPr>
                <w:noProof/>
                <w:webHidden/>
              </w:rPr>
              <w:tab/>
            </w:r>
            <w:r w:rsidR="0046633B">
              <w:rPr>
                <w:noProof/>
                <w:webHidden/>
              </w:rPr>
              <w:fldChar w:fldCharType="begin"/>
            </w:r>
            <w:r w:rsidR="0046633B">
              <w:rPr>
                <w:noProof/>
                <w:webHidden/>
              </w:rPr>
              <w:instrText xml:space="preserve"> PAGEREF _Toc13567504 \h </w:instrText>
            </w:r>
            <w:r w:rsidR="0046633B">
              <w:rPr>
                <w:noProof/>
                <w:webHidden/>
              </w:rPr>
            </w:r>
            <w:r w:rsidR="0046633B">
              <w:rPr>
                <w:noProof/>
                <w:webHidden/>
              </w:rPr>
              <w:fldChar w:fldCharType="separate"/>
            </w:r>
            <w:r w:rsidR="0046633B">
              <w:rPr>
                <w:noProof/>
                <w:webHidden/>
              </w:rPr>
              <w:t>362</w:t>
            </w:r>
            <w:r w:rsidR="0046633B">
              <w:rPr>
                <w:noProof/>
                <w:webHidden/>
              </w:rPr>
              <w:fldChar w:fldCharType="end"/>
            </w:r>
          </w:hyperlink>
        </w:p>
        <w:p w14:paraId="3DE1B8FB" w14:textId="2030734F" w:rsidR="0046633B" w:rsidRDefault="006D43BC">
          <w:pPr>
            <w:pStyle w:val="TOC2"/>
            <w:rPr>
              <w:rFonts w:asciiTheme="minorHAnsi" w:eastAsiaTheme="minorEastAsia" w:hAnsiTheme="minorHAnsi"/>
              <w:noProof/>
              <w:sz w:val="22"/>
            </w:rPr>
          </w:pPr>
          <w:hyperlink w:anchor="_Toc13567505" w:history="1">
            <w:r w:rsidR="0046633B" w:rsidRPr="005A308E">
              <w:rPr>
                <w:rStyle w:val="Hyperlink"/>
                <w:noProof/>
                <w:lang w:eastAsia="en-AU"/>
              </w:rPr>
              <w:t>Attachment 8 – UI Report Summary</w:t>
            </w:r>
            <w:r w:rsidR="0046633B">
              <w:rPr>
                <w:noProof/>
                <w:webHidden/>
              </w:rPr>
              <w:tab/>
            </w:r>
            <w:r w:rsidR="0046633B">
              <w:rPr>
                <w:noProof/>
                <w:webHidden/>
              </w:rPr>
              <w:fldChar w:fldCharType="begin"/>
            </w:r>
            <w:r w:rsidR="0046633B">
              <w:rPr>
                <w:noProof/>
                <w:webHidden/>
              </w:rPr>
              <w:instrText xml:space="preserve"> PAGEREF _Toc13567505 \h </w:instrText>
            </w:r>
            <w:r w:rsidR="0046633B">
              <w:rPr>
                <w:noProof/>
                <w:webHidden/>
              </w:rPr>
            </w:r>
            <w:r w:rsidR="0046633B">
              <w:rPr>
                <w:noProof/>
                <w:webHidden/>
              </w:rPr>
              <w:fldChar w:fldCharType="separate"/>
            </w:r>
            <w:r w:rsidR="0046633B">
              <w:rPr>
                <w:noProof/>
                <w:webHidden/>
              </w:rPr>
              <w:t>363</w:t>
            </w:r>
            <w:r w:rsidR="0046633B">
              <w:rPr>
                <w:noProof/>
                <w:webHidden/>
              </w:rPr>
              <w:fldChar w:fldCharType="end"/>
            </w:r>
          </w:hyperlink>
        </w:p>
        <w:p w14:paraId="17823A0C" w14:textId="3581C993" w:rsidR="0046633B" w:rsidRDefault="006D43BC">
          <w:pPr>
            <w:pStyle w:val="TOC3"/>
            <w:tabs>
              <w:tab w:val="left" w:pos="1320"/>
              <w:tab w:val="right" w:leader="dot" w:pos="10790"/>
            </w:tabs>
            <w:rPr>
              <w:rFonts w:asciiTheme="minorHAnsi" w:eastAsiaTheme="minorEastAsia" w:hAnsiTheme="minorHAnsi"/>
              <w:noProof/>
              <w:sz w:val="22"/>
            </w:rPr>
          </w:pPr>
          <w:hyperlink w:anchor="_Toc13567506" w:history="1">
            <w:r w:rsidR="0046633B" w:rsidRPr="005A308E">
              <w:rPr>
                <w:rStyle w:val="Hyperlink"/>
                <w:noProof/>
              </w:rPr>
              <w:t>A8.1</w:t>
            </w:r>
            <w:r w:rsidR="0046633B">
              <w:rPr>
                <w:rFonts w:asciiTheme="minorHAnsi" w:eastAsiaTheme="minorEastAsia" w:hAnsiTheme="minorHAnsi"/>
                <w:noProof/>
                <w:sz w:val="22"/>
              </w:rPr>
              <w:tab/>
            </w:r>
            <w:r w:rsidR="0046633B" w:rsidRPr="005A308E">
              <w:rPr>
                <w:rStyle w:val="Hyperlink"/>
                <w:noProof/>
              </w:rPr>
              <w:t>Tax</w:t>
            </w:r>
            <w:r w:rsidR="0046633B">
              <w:rPr>
                <w:noProof/>
                <w:webHidden/>
              </w:rPr>
              <w:tab/>
            </w:r>
            <w:r w:rsidR="0046633B">
              <w:rPr>
                <w:noProof/>
                <w:webHidden/>
              </w:rPr>
              <w:fldChar w:fldCharType="begin"/>
            </w:r>
            <w:r w:rsidR="0046633B">
              <w:rPr>
                <w:noProof/>
                <w:webHidden/>
              </w:rPr>
              <w:instrText xml:space="preserve"> PAGEREF _Toc13567506 \h </w:instrText>
            </w:r>
            <w:r w:rsidR="0046633B">
              <w:rPr>
                <w:noProof/>
                <w:webHidden/>
              </w:rPr>
            </w:r>
            <w:r w:rsidR="0046633B">
              <w:rPr>
                <w:noProof/>
                <w:webHidden/>
              </w:rPr>
              <w:fldChar w:fldCharType="separate"/>
            </w:r>
            <w:r w:rsidR="0046633B">
              <w:rPr>
                <w:noProof/>
                <w:webHidden/>
              </w:rPr>
              <w:t>363</w:t>
            </w:r>
            <w:r w:rsidR="0046633B">
              <w:rPr>
                <w:noProof/>
                <w:webHidden/>
              </w:rPr>
              <w:fldChar w:fldCharType="end"/>
            </w:r>
          </w:hyperlink>
        </w:p>
        <w:p w14:paraId="79F98F0F" w14:textId="13DC6AF2" w:rsidR="0046633B" w:rsidRDefault="006D43BC">
          <w:pPr>
            <w:pStyle w:val="TOC3"/>
            <w:tabs>
              <w:tab w:val="left" w:pos="1320"/>
              <w:tab w:val="right" w:leader="dot" w:pos="10790"/>
            </w:tabs>
            <w:rPr>
              <w:rFonts w:asciiTheme="minorHAnsi" w:eastAsiaTheme="minorEastAsia" w:hAnsiTheme="minorHAnsi"/>
              <w:noProof/>
              <w:sz w:val="22"/>
            </w:rPr>
          </w:pPr>
          <w:hyperlink w:anchor="_Toc13567507" w:history="1">
            <w:r w:rsidR="0046633B" w:rsidRPr="005A308E">
              <w:rPr>
                <w:rStyle w:val="Hyperlink"/>
                <w:noProof/>
              </w:rPr>
              <w:t>A8.2</w:t>
            </w:r>
            <w:r w:rsidR="0046633B">
              <w:rPr>
                <w:rFonts w:asciiTheme="minorHAnsi" w:eastAsiaTheme="minorEastAsia" w:hAnsiTheme="minorHAnsi"/>
                <w:noProof/>
                <w:sz w:val="22"/>
              </w:rPr>
              <w:tab/>
            </w:r>
            <w:r w:rsidR="0046633B" w:rsidRPr="005A308E">
              <w:rPr>
                <w:rStyle w:val="Hyperlink"/>
                <w:noProof/>
              </w:rPr>
              <w:t>Benefits</w:t>
            </w:r>
            <w:r w:rsidR="0046633B">
              <w:rPr>
                <w:noProof/>
                <w:webHidden/>
              </w:rPr>
              <w:tab/>
            </w:r>
            <w:r w:rsidR="0046633B">
              <w:rPr>
                <w:noProof/>
                <w:webHidden/>
              </w:rPr>
              <w:fldChar w:fldCharType="begin"/>
            </w:r>
            <w:r w:rsidR="0046633B">
              <w:rPr>
                <w:noProof/>
                <w:webHidden/>
              </w:rPr>
              <w:instrText xml:space="preserve"> PAGEREF _Toc13567507 \h </w:instrText>
            </w:r>
            <w:r w:rsidR="0046633B">
              <w:rPr>
                <w:noProof/>
                <w:webHidden/>
              </w:rPr>
            </w:r>
            <w:r w:rsidR="0046633B">
              <w:rPr>
                <w:noProof/>
                <w:webHidden/>
              </w:rPr>
              <w:fldChar w:fldCharType="separate"/>
            </w:r>
            <w:r w:rsidR="0046633B">
              <w:rPr>
                <w:noProof/>
                <w:webHidden/>
              </w:rPr>
              <w:t>372</w:t>
            </w:r>
            <w:r w:rsidR="0046633B">
              <w:rPr>
                <w:noProof/>
                <w:webHidden/>
              </w:rPr>
              <w:fldChar w:fldCharType="end"/>
            </w:r>
          </w:hyperlink>
        </w:p>
        <w:p w14:paraId="75F23532" w14:textId="639F5C0E" w:rsidR="0046633B" w:rsidRDefault="006D43BC">
          <w:pPr>
            <w:pStyle w:val="TOC3"/>
            <w:tabs>
              <w:tab w:val="left" w:pos="1320"/>
              <w:tab w:val="right" w:leader="dot" w:pos="10790"/>
            </w:tabs>
            <w:rPr>
              <w:rFonts w:asciiTheme="minorHAnsi" w:eastAsiaTheme="minorEastAsia" w:hAnsiTheme="minorHAnsi"/>
              <w:noProof/>
              <w:sz w:val="22"/>
            </w:rPr>
          </w:pPr>
          <w:hyperlink w:anchor="_Toc13567508" w:history="1">
            <w:r w:rsidR="0046633B" w:rsidRPr="005A308E">
              <w:rPr>
                <w:rStyle w:val="Hyperlink"/>
                <w:noProof/>
              </w:rPr>
              <w:t>A8.3</w:t>
            </w:r>
            <w:r w:rsidR="0046633B">
              <w:rPr>
                <w:rFonts w:asciiTheme="minorHAnsi" w:eastAsiaTheme="minorEastAsia" w:hAnsiTheme="minorHAnsi"/>
                <w:noProof/>
                <w:sz w:val="22"/>
              </w:rPr>
              <w:tab/>
            </w:r>
            <w:r w:rsidR="0046633B" w:rsidRPr="005A308E">
              <w:rPr>
                <w:rStyle w:val="Hyperlink"/>
                <w:noProof/>
              </w:rPr>
              <w:t>Appeals</w:t>
            </w:r>
            <w:r w:rsidR="0046633B">
              <w:rPr>
                <w:noProof/>
                <w:webHidden/>
              </w:rPr>
              <w:tab/>
            </w:r>
            <w:r w:rsidR="0046633B">
              <w:rPr>
                <w:noProof/>
                <w:webHidden/>
              </w:rPr>
              <w:fldChar w:fldCharType="begin"/>
            </w:r>
            <w:r w:rsidR="0046633B">
              <w:rPr>
                <w:noProof/>
                <w:webHidden/>
              </w:rPr>
              <w:instrText xml:space="preserve"> PAGEREF _Toc13567508 \h </w:instrText>
            </w:r>
            <w:r w:rsidR="0046633B">
              <w:rPr>
                <w:noProof/>
                <w:webHidden/>
              </w:rPr>
            </w:r>
            <w:r w:rsidR="0046633B">
              <w:rPr>
                <w:noProof/>
                <w:webHidden/>
              </w:rPr>
              <w:fldChar w:fldCharType="separate"/>
            </w:r>
            <w:r w:rsidR="0046633B">
              <w:rPr>
                <w:noProof/>
                <w:webHidden/>
              </w:rPr>
              <w:t>382</w:t>
            </w:r>
            <w:r w:rsidR="0046633B">
              <w:rPr>
                <w:noProof/>
                <w:webHidden/>
              </w:rPr>
              <w:fldChar w:fldCharType="end"/>
            </w:r>
          </w:hyperlink>
        </w:p>
        <w:p w14:paraId="67EFBE04" w14:textId="2999A348" w:rsidR="0046633B" w:rsidRDefault="006D43BC">
          <w:pPr>
            <w:pStyle w:val="TOC3"/>
            <w:tabs>
              <w:tab w:val="left" w:pos="1320"/>
              <w:tab w:val="right" w:leader="dot" w:pos="10790"/>
            </w:tabs>
            <w:rPr>
              <w:rFonts w:asciiTheme="minorHAnsi" w:eastAsiaTheme="minorEastAsia" w:hAnsiTheme="minorHAnsi"/>
              <w:noProof/>
              <w:sz w:val="22"/>
            </w:rPr>
          </w:pPr>
          <w:hyperlink w:anchor="_Toc13567509" w:history="1">
            <w:r w:rsidR="0046633B" w:rsidRPr="005A308E">
              <w:rPr>
                <w:rStyle w:val="Hyperlink"/>
                <w:noProof/>
              </w:rPr>
              <w:t>A8.4</w:t>
            </w:r>
            <w:r w:rsidR="0046633B">
              <w:rPr>
                <w:rFonts w:asciiTheme="minorHAnsi" w:eastAsiaTheme="minorEastAsia" w:hAnsiTheme="minorHAnsi"/>
                <w:noProof/>
                <w:sz w:val="22"/>
              </w:rPr>
              <w:tab/>
            </w:r>
            <w:r w:rsidR="0046633B" w:rsidRPr="005A308E">
              <w:rPr>
                <w:rStyle w:val="Hyperlink"/>
                <w:noProof/>
              </w:rPr>
              <w:t>RID</w:t>
            </w:r>
            <w:r w:rsidR="0046633B">
              <w:rPr>
                <w:noProof/>
                <w:webHidden/>
              </w:rPr>
              <w:tab/>
            </w:r>
            <w:r w:rsidR="0046633B">
              <w:rPr>
                <w:noProof/>
                <w:webHidden/>
              </w:rPr>
              <w:fldChar w:fldCharType="begin"/>
            </w:r>
            <w:r w:rsidR="0046633B">
              <w:rPr>
                <w:noProof/>
                <w:webHidden/>
              </w:rPr>
              <w:instrText xml:space="preserve"> PAGEREF _Toc13567509 \h </w:instrText>
            </w:r>
            <w:r w:rsidR="0046633B">
              <w:rPr>
                <w:noProof/>
                <w:webHidden/>
              </w:rPr>
            </w:r>
            <w:r w:rsidR="0046633B">
              <w:rPr>
                <w:noProof/>
                <w:webHidden/>
              </w:rPr>
              <w:fldChar w:fldCharType="separate"/>
            </w:r>
            <w:r w:rsidR="0046633B">
              <w:rPr>
                <w:noProof/>
                <w:webHidden/>
              </w:rPr>
              <w:t>391</w:t>
            </w:r>
            <w:r w:rsidR="0046633B">
              <w:rPr>
                <w:noProof/>
                <w:webHidden/>
              </w:rPr>
              <w:fldChar w:fldCharType="end"/>
            </w:r>
          </w:hyperlink>
        </w:p>
        <w:p w14:paraId="73598D38" w14:textId="652DB124" w:rsidR="0046633B" w:rsidRDefault="006D43BC">
          <w:pPr>
            <w:pStyle w:val="TOC3"/>
            <w:tabs>
              <w:tab w:val="left" w:pos="1320"/>
              <w:tab w:val="right" w:leader="dot" w:pos="10790"/>
            </w:tabs>
            <w:rPr>
              <w:rFonts w:asciiTheme="minorHAnsi" w:eastAsiaTheme="minorEastAsia" w:hAnsiTheme="minorHAnsi"/>
              <w:noProof/>
              <w:sz w:val="22"/>
            </w:rPr>
          </w:pPr>
          <w:hyperlink w:anchor="_Toc13567510" w:history="1">
            <w:r w:rsidR="0046633B" w:rsidRPr="005A308E">
              <w:rPr>
                <w:rStyle w:val="Hyperlink"/>
                <w:noProof/>
              </w:rPr>
              <w:t>A8.5</w:t>
            </w:r>
            <w:r w:rsidR="0046633B">
              <w:rPr>
                <w:rFonts w:asciiTheme="minorHAnsi" w:eastAsiaTheme="minorEastAsia" w:hAnsiTheme="minorHAnsi"/>
                <w:noProof/>
                <w:sz w:val="22"/>
              </w:rPr>
              <w:tab/>
            </w:r>
            <w:r w:rsidR="0046633B" w:rsidRPr="005A308E">
              <w:rPr>
                <w:rStyle w:val="Hyperlink"/>
                <w:noProof/>
              </w:rPr>
              <w:t>RTM</w:t>
            </w:r>
            <w:r w:rsidR="0046633B">
              <w:rPr>
                <w:noProof/>
                <w:webHidden/>
              </w:rPr>
              <w:tab/>
            </w:r>
            <w:r w:rsidR="0046633B">
              <w:rPr>
                <w:noProof/>
                <w:webHidden/>
              </w:rPr>
              <w:fldChar w:fldCharType="begin"/>
            </w:r>
            <w:r w:rsidR="0046633B">
              <w:rPr>
                <w:noProof/>
                <w:webHidden/>
              </w:rPr>
              <w:instrText xml:space="preserve"> PAGEREF _Toc13567510 \h </w:instrText>
            </w:r>
            <w:r w:rsidR="0046633B">
              <w:rPr>
                <w:noProof/>
                <w:webHidden/>
              </w:rPr>
            </w:r>
            <w:r w:rsidR="0046633B">
              <w:rPr>
                <w:noProof/>
                <w:webHidden/>
              </w:rPr>
              <w:fldChar w:fldCharType="separate"/>
            </w:r>
            <w:r w:rsidR="0046633B">
              <w:rPr>
                <w:noProof/>
                <w:webHidden/>
              </w:rPr>
              <w:t>403</w:t>
            </w:r>
            <w:r w:rsidR="0046633B">
              <w:rPr>
                <w:noProof/>
                <w:webHidden/>
              </w:rPr>
              <w:fldChar w:fldCharType="end"/>
            </w:r>
          </w:hyperlink>
        </w:p>
        <w:p w14:paraId="4D8BA184" w14:textId="78B4B555" w:rsidR="0046633B" w:rsidRDefault="006D43BC">
          <w:pPr>
            <w:pStyle w:val="TOC2"/>
            <w:rPr>
              <w:rFonts w:asciiTheme="minorHAnsi" w:eastAsiaTheme="minorEastAsia" w:hAnsiTheme="minorHAnsi"/>
              <w:noProof/>
              <w:sz w:val="22"/>
            </w:rPr>
          </w:pPr>
          <w:hyperlink w:anchor="_Toc13567511" w:history="1">
            <w:r w:rsidR="0046633B" w:rsidRPr="005A308E">
              <w:rPr>
                <w:rStyle w:val="Hyperlink"/>
                <w:noProof/>
                <w:lang w:eastAsia="en-AU"/>
              </w:rPr>
              <w:t>Attachment 9 – Anonymized Sample</w:t>
            </w:r>
            <w:r w:rsidR="0046633B">
              <w:rPr>
                <w:noProof/>
                <w:webHidden/>
              </w:rPr>
              <w:tab/>
            </w:r>
            <w:r w:rsidR="0046633B">
              <w:rPr>
                <w:noProof/>
                <w:webHidden/>
              </w:rPr>
              <w:fldChar w:fldCharType="begin"/>
            </w:r>
            <w:r w:rsidR="0046633B">
              <w:rPr>
                <w:noProof/>
                <w:webHidden/>
              </w:rPr>
              <w:instrText xml:space="preserve"> PAGEREF _Toc13567511 \h </w:instrText>
            </w:r>
            <w:r w:rsidR="0046633B">
              <w:rPr>
                <w:noProof/>
                <w:webHidden/>
              </w:rPr>
            </w:r>
            <w:r w:rsidR="0046633B">
              <w:rPr>
                <w:noProof/>
                <w:webHidden/>
              </w:rPr>
              <w:fldChar w:fldCharType="separate"/>
            </w:r>
            <w:r w:rsidR="0046633B">
              <w:rPr>
                <w:noProof/>
                <w:webHidden/>
              </w:rPr>
              <w:t>407</w:t>
            </w:r>
            <w:r w:rsidR="0046633B">
              <w:rPr>
                <w:noProof/>
                <w:webHidden/>
              </w:rPr>
              <w:fldChar w:fldCharType="end"/>
            </w:r>
          </w:hyperlink>
        </w:p>
        <w:p w14:paraId="00C02EAE" w14:textId="567A3B3F" w:rsidR="0046633B" w:rsidRDefault="006D43BC">
          <w:pPr>
            <w:pStyle w:val="TOC3"/>
            <w:tabs>
              <w:tab w:val="right" w:leader="dot" w:pos="10790"/>
            </w:tabs>
            <w:rPr>
              <w:rFonts w:asciiTheme="minorHAnsi" w:eastAsiaTheme="minorEastAsia" w:hAnsiTheme="minorHAnsi"/>
              <w:noProof/>
              <w:sz w:val="22"/>
            </w:rPr>
          </w:pPr>
          <w:hyperlink w:anchor="_Toc13567512" w:history="1">
            <w:r w:rsidR="0046633B" w:rsidRPr="005A308E">
              <w:rPr>
                <w:rStyle w:val="Hyperlink"/>
                <w:noProof/>
              </w:rPr>
              <w:t>Cover Sheet (Anonymized)</w:t>
            </w:r>
            <w:r w:rsidR="0046633B">
              <w:rPr>
                <w:noProof/>
                <w:webHidden/>
              </w:rPr>
              <w:tab/>
            </w:r>
            <w:r w:rsidR="0046633B">
              <w:rPr>
                <w:noProof/>
                <w:webHidden/>
              </w:rPr>
              <w:fldChar w:fldCharType="begin"/>
            </w:r>
            <w:r w:rsidR="0046633B">
              <w:rPr>
                <w:noProof/>
                <w:webHidden/>
              </w:rPr>
              <w:instrText xml:space="preserve"> PAGEREF _Toc13567512 \h </w:instrText>
            </w:r>
            <w:r w:rsidR="0046633B">
              <w:rPr>
                <w:noProof/>
                <w:webHidden/>
              </w:rPr>
            </w:r>
            <w:r w:rsidR="0046633B">
              <w:rPr>
                <w:noProof/>
                <w:webHidden/>
              </w:rPr>
              <w:fldChar w:fldCharType="separate"/>
            </w:r>
            <w:r w:rsidR="0046633B">
              <w:rPr>
                <w:noProof/>
                <w:webHidden/>
              </w:rPr>
              <w:t>407</w:t>
            </w:r>
            <w:r w:rsidR="0046633B">
              <w:rPr>
                <w:noProof/>
                <w:webHidden/>
              </w:rPr>
              <w:fldChar w:fldCharType="end"/>
            </w:r>
          </w:hyperlink>
        </w:p>
        <w:p w14:paraId="67CB8800" w14:textId="7A79E9B2" w:rsidR="0046633B" w:rsidRDefault="006D43BC">
          <w:pPr>
            <w:pStyle w:val="TOC3"/>
            <w:tabs>
              <w:tab w:val="right" w:leader="dot" w:pos="10790"/>
            </w:tabs>
            <w:rPr>
              <w:rFonts w:asciiTheme="minorHAnsi" w:eastAsiaTheme="minorEastAsia" w:hAnsiTheme="minorHAnsi"/>
              <w:noProof/>
              <w:sz w:val="22"/>
            </w:rPr>
          </w:pPr>
          <w:hyperlink w:anchor="_Toc13567513" w:history="1">
            <w:r w:rsidR="0046633B" w:rsidRPr="005A308E">
              <w:rPr>
                <w:rStyle w:val="Hyperlink"/>
                <w:noProof/>
              </w:rPr>
              <w:t>Case Summary (Anonymized)</w:t>
            </w:r>
            <w:r w:rsidR="0046633B">
              <w:rPr>
                <w:noProof/>
                <w:webHidden/>
              </w:rPr>
              <w:tab/>
            </w:r>
            <w:r w:rsidR="0046633B">
              <w:rPr>
                <w:noProof/>
                <w:webHidden/>
              </w:rPr>
              <w:fldChar w:fldCharType="begin"/>
            </w:r>
            <w:r w:rsidR="0046633B">
              <w:rPr>
                <w:noProof/>
                <w:webHidden/>
              </w:rPr>
              <w:instrText xml:space="preserve"> PAGEREF _Toc13567513 \h </w:instrText>
            </w:r>
            <w:r w:rsidR="0046633B">
              <w:rPr>
                <w:noProof/>
                <w:webHidden/>
              </w:rPr>
            </w:r>
            <w:r w:rsidR="0046633B">
              <w:rPr>
                <w:noProof/>
                <w:webHidden/>
              </w:rPr>
              <w:fldChar w:fldCharType="separate"/>
            </w:r>
            <w:r w:rsidR="0046633B">
              <w:rPr>
                <w:noProof/>
                <w:webHidden/>
              </w:rPr>
              <w:t>408</w:t>
            </w:r>
            <w:r w:rsidR="0046633B">
              <w:rPr>
                <w:noProof/>
                <w:webHidden/>
              </w:rPr>
              <w:fldChar w:fldCharType="end"/>
            </w:r>
          </w:hyperlink>
        </w:p>
        <w:p w14:paraId="062D4A16" w14:textId="3BDED1A2" w:rsidR="0046633B" w:rsidRDefault="006D43BC">
          <w:pPr>
            <w:pStyle w:val="TOC3"/>
            <w:tabs>
              <w:tab w:val="right" w:leader="dot" w:pos="10790"/>
            </w:tabs>
            <w:rPr>
              <w:rFonts w:asciiTheme="minorHAnsi" w:eastAsiaTheme="minorEastAsia" w:hAnsiTheme="minorHAnsi"/>
              <w:noProof/>
              <w:sz w:val="22"/>
            </w:rPr>
          </w:pPr>
          <w:hyperlink w:anchor="_Toc13567514" w:history="1">
            <w:r w:rsidR="0046633B" w:rsidRPr="005A308E">
              <w:rPr>
                <w:rStyle w:val="Hyperlink"/>
                <w:noProof/>
              </w:rPr>
              <w:t>Decision Examples (Anonymized)</w:t>
            </w:r>
            <w:r w:rsidR="0046633B">
              <w:rPr>
                <w:noProof/>
                <w:webHidden/>
              </w:rPr>
              <w:tab/>
            </w:r>
            <w:r w:rsidR="0046633B">
              <w:rPr>
                <w:noProof/>
                <w:webHidden/>
              </w:rPr>
              <w:fldChar w:fldCharType="begin"/>
            </w:r>
            <w:r w:rsidR="0046633B">
              <w:rPr>
                <w:noProof/>
                <w:webHidden/>
              </w:rPr>
              <w:instrText xml:space="preserve"> PAGEREF _Toc13567514 \h </w:instrText>
            </w:r>
            <w:r w:rsidR="0046633B">
              <w:rPr>
                <w:noProof/>
                <w:webHidden/>
              </w:rPr>
            </w:r>
            <w:r w:rsidR="0046633B">
              <w:rPr>
                <w:noProof/>
                <w:webHidden/>
              </w:rPr>
              <w:fldChar w:fldCharType="separate"/>
            </w:r>
            <w:r w:rsidR="0046633B">
              <w:rPr>
                <w:noProof/>
                <w:webHidden/>
              </w:rPr>
              <w:t>409</w:t>
            </w:r>
            <w:r w:rsidR="0046633B">
              <w:rPr>
                <w:noProof/>
                <w:webHidden/>
              </w:rPr>
              <w:fldChar w:fldCharType="end"/>
            </w:r>
          </w:hyperlink>
        </w:p>
        <w:p w14:paraId="127FE405" w14:textId="72B351C4" w:rsidR="0046633B" w:rsidRDefault="006D43BC">
          <w:pPr>
            <w:pStyle w:val="TOC2"/>
            <w:rPr>
              <w:rFonts w:asciiTheme="minorHAnsi" w:eastAsiaTheme="minorEastAsia" w:hAnsiTheme="minorHAnsi"/>
              <w:noProof/>
              <w:sz w:val="22"/>
            </w:rPr>
          </w:pPr>
          <w:hyperlink w:anchor="_Toc13567515" w:history="1">
            <w:r w:rsidR="0046633B" w:rsidRPr="005A308E">
              <w:rPr>
                <w:rStyle w:val="Hyperlink"/>
                <w:noProof/>
                <w:lang w:eastAsia="en-AU"/>
              </w:rPr>
              <w:t>Attachment 10 – Service Level Agreements</w:t>
            </w:r>
            <w:r w:rsidR="0046633B">
              <w:rPr>
                <w:noProof/>
                <w:webHidden/>
              </w:rPr>
              <w:tab/>
            </w:r>
            <w:r w:rsidR="0046633B">
              <w:rPr>
                <w:noProof/>
                <w:webHidden/>
              </w:rPr>
              <w:fldChar w:fldCharType="begin"/>
            </w:r>
            <w:r w:rsidR="0046633B">
              <w:rPr>
                <w:noProof/>
                <w:webHidden/>
              </w:rPr>
              <w:instrText xml:space="preserve"> PAGEREF _Toc13567515 \h </w:instrText>
            </w:r>
            <w:r w:rsidR="0046633B">
              <w:rPr>
                <w:noProof/>
                <w:webHidden/>
              </w:rPr>
            </w:r>
            <w:r w:rsidR="0046633B">
              <w:rPr>
                <w:noProof/>
                <w:webHidden/>
              </w:rPr>
              <w:fldChar w:fldCharType="separate"/>
            </w:r>
            <w:r w:rsidR="0046633B">
              <w:rPr>
                <w:noProof/>
                <w:webHidden/>
              </w:rPr>
              <w:t>410</w:t>
            </w:r>
            <w:r w:rsidR="0046633B">
              <w:rPr>
                <w:noProof/>
                <w:webHidden/>
              </w:rPr>
              <w:fldChar w:fldCharType="end"/>
            </w:r>
          </w:hyperlink>
        </w:p>
        <w:p w14:paraId="4F5B45DE" w14:textId="17A21148" w:rsidR="0046633B" w:rsidRDefault="006D43BC">
          <w:pPr>
            <w:pStyle w:val="TOC3"/>
            <w:tabs>
              <w:tab w:val="left" w:pos="1540"/>
              <w:tab w:val="right" w:leader="dot" w:pos="10790"/>
            </w:tabs>
            <w:rPr>
              <w:rFonts w:asciiTheme="minorHAnsi" w:eastAsiaTheme="minorEastAsia" w:hAnsiTheme="minorHAnsi"/>
              <w:noProof/>
              <w:sz w:val="22"/>
            </w:rPr>
          </w:pPr>
          <w:hyperlink w:anchor="_Toc13567516" w:history="1">
            <w:r w:rsidR="0046633B" w:rsidRPr="005A308E">
              <w:rPr>
                <w:rStyle w:val="Hyperlink"/>
                <w:noProof/>
              </w:rPr>
              <w:t>A10.1</w:t>
            </w:r>
            <w:r w:rsidR="0046633B">
              <w:rPr>
                <w:rFonts w:asciiTheme="minorHAnsi" w:eastAsiaTheme="minorEastAsia" w:hAnsiTheme="minorHAnsi"/>
                <w:noProof/>
                <w:sz w:val="22"/>
              </w:rPr>
              <w:tab/>
            </w:r>
            <w:r w:rsidR="0046633B" w:rsidRPr="005A308E">
              <w:rPr>
                <w:rStyle w:val="Hyperlink"/>
                <w:noProof/>
              </w:rPr>
              <w:t>Availability</w:t>
            </w:r>
            <w:r w:rsidR="0046633B">
              <w:rPr>
                <w:noProof/>
                <w:webHidden/>
              </w:rPr>
              <w:tab/>
            </w:r>
            <w:r w:rsidR="0046633B">
              <w:rPr>
                <w:noProof/>
                <w:webHidden/>
              </w:rPr>
              <w:fldChar w:fldCharType="begin"/>
            </w:r>
            <w:r w:rsidR="0046633B">
              <w:rPr>
                <w:noProof/>
                <w:webHidden/>
              </w:rPr>
              <w:instrText xml:space="preserve"> PAGEREF _Toc13567516 \h </w:instrText>
            </w:r>
            <w:r w:rsidR="0046633B">
              <w:rPr>
                <w:noProof/>
                <w:webHidden/>
              </w:rPr>
            </w:r>
            <w:r w:rsidR="0046633B">
              <w:rPr>
                <w:noProof/>
                <w:webHidden/>
              </w:rPr>
              <w:fldChar w:fldCharType="separate"/>
            </w:r>
            <w:r w:rsidR="0046633B">
              <w:rPr>
                <w:noProof/>
                <w:webHidden/>
              </w:rPr>
              <w:t>410</w:t>
            </w:r>
            <w:r w:rsidR="0046633B">
              <w:rPr>
                <w:noProof/>
                <w:webHidden/>
              </w:rPr>
              <w:fldChar w:fldCharType="end"/>
            </w:r>
          </w:hyperlink>
        </w:p>
        <w:p w14:paraId="7B943C5F" w14:textId="080B415B" w:rsidR="0046633B" w:rsidRDefault="006D43BC">
          <w:pPr>
            <w:pStyle w:val="TOC3"/>
            <w:tabs>
              <w:tab w:val="left" w:pos="1540"/>
              <w:tab w:val="right" w:leader="dot" w:pos="10790"/>
            </w:tabs>
            <w:rPr>
              <w:rFonts w:asciiTheme="minorHAnsi" w:eastAsiaTheme="minorEastAsia" w:hAnsiTheme="minorHAnsi"/>
              <w:noProof/>
              <w:sz w:val="22"/>
            </w:rPr>
          </w:pPr>
          <w:hyperlink w:anchor="_Toc13567517" w:history="1">
            <w:r w:rsidR="0046633B" w:rsidRPr="005A308E">
              <w:rPr>
                <w:rStyle w:val="Hyperlink"/>
                <w:noProof/>
              </w:rPr>
              <w:t>A10.2</w:t>
            </w:r>
            <w:r w:rsidR="0046633B">
              <w:rPr>
                <w:rFonts w:asciiTheme="minorHAnsi" w:eastAsiaTheme="minorEastAsia" w:hAnsiTheme="minorHAnsi"/>
                <w:noProof/>
                <w:sz w:val="22"/>
              </w:rPr>
              <w:tab/>
            </w:r>
            <w:r w:rsidR="0046633B" w:rsidRPr="005A308E">
              <w:rPr>
                <w:rStyle w:val="Hyperlink"/>
                <w:noProof/>
              </w:rPr>
              <w:t>System Monitoring</w:t>
            </w:r>
            <w:r w:rsidR="0046633B">
              <w:rPr>
                <w:noProof/>
                <w:webHidden/>
              </w:rPr>
              <w:tab/>
            </w:r>
            <w:r w:rsidR="0046633B">
              <w:rPr>
                <w:noProof/>
                <w:webHidden/>
              </w:rPr>
              <w:fldChar w:fldCharType="begin"/>
            </w:r>
            <w:r w:rsidR="0046633B">
              <w:rPr>
                <w:noProof/>
                <w:webHidden/>
              </w:rPr>
              <w:instrText xml:space="preserve"> PAGEREF _Toc13567517 \h </w:instrText>
            </w:r>
            <w:r w:rsidR="0046633B">
              <w:rPr>
                <w:noProof/>
                <w:webHidden/>
              </w:rPr>
            </w:r>
            <w:r w:rsidR="0046633B">
              <w:rPr>
                <w:noProof/>
                <w:webHidden/>
              </w:rPr>
              <w:fldChar w:fldCharType="separate"/>
            </w:r>
            <w:r w:rsidR="0046633B">
              <w:rPr>
                <w:noProof/>
                <w:webHidden/>
              </w:rPr>
              <w:t>410</w:t>
            </w:r>
            <w:r w:rsidR="0046633B">
              <w:rPr>
                <w:noProof/>
                <w:webHidden/>
              </w:rPr>
              <w:fldChar w:fldCharType="end"/>
            </w:r>
          </w:hyperlink>
        </w:p>
        <w:p w14:paraId="00DD09D8" w14:textId="10320108" w:rsidR="0046633B" w:rsidRDefault="006D43BC">
          <w:pPr>
            <w:pStyle w:val="TOC3"/>
            <w:tabs>
              <w:tab w:val="left" w:pos="1540"/>
              <w:tab w:val="right" w:leader="dot" w:pos="10790"/>
            </w:tabs>
            <w:rPr>
              <w:rFonts w:asciiTheme="minorHAnsi" w:eastAsiaTheme="minorEastAsia" w:hAnsiTheme="minorHAnsi"/>
              <w:noProof/>
              <w:sz w:val="22"/>
            </w:rPr>
          </w:pPr>
          <w:hyperlink w:anchor="_Toc13567518" w:history="1">
            <w:r w:rsidR="0046633B" w:rsidRPr="005A308E">
              <w:rPr>
                <w:rStyle w:val="Hyperlink"/>
                <w:noProof/>
              </w:rPr>
              <w:t>A10.3</w:t>
            </w:r>
            <w:r w:rsidR="0046633B">
              <w:rPr>
                <w:rFonts w:asciiTheme="minorHAnsi" w:eastAsiaTheme="minorEastAsia" w:hAnsiTheme="minorHAnsi"/>
                <w:noProof/>
                <w:sz w:val="22"/>
              </w:rPr>
              <w:tab/>
            </w:r>
            <w:r w:rsidR="0046633B" w:rsidRPr="005A308E">
              <w:rPr>
                <w:rStyle w:val="Hyperlink"/>
                <w:noProof/>
              </w:rPr>
              <w:t>Systems Support</w:t>
            </w:r>
            <w:r w:rsidR="0046633B">
              <w:rPr>
                <w:noProof/>
                <w:webHidden/>
              </w:rPr>
              <w:tab/>
            </w:r>
            <w:r w:rsidR="0046633B">
              <w:rPr>
                <w:noProof/>
                <w:webHidden/>
              </w:rPr>
              <w:fldChar w:fldCharType="begin"/>
            </w:r>
            <w:r w:rsidR="0046633B">
              <w:rPr>
                <w:noProof/>
                <w:webHidden/>
              </w:rPr>
              <w:instrText xml:space="preserve"> PAGEREF _Toc13567518 \h </w:instrText>
            </w:r>
            <w:r w:rsidR="0046633B">
              <w:rPr>
                <w:noProof/>
                <w:webHidden/>
              </w:rPr>
            </w:r>
            <w:r w:rsidR="0046633B">
              <w:rPr>
                <w:noProof/>
                <w:webHidden/>
              </w:rPr>
              <w:fldChar w:fldCharType="separate"/>
            </w:r>
            <w:r w:rsidR="0046633B">
              <w:rPr>
                <w:noProof/>
                <w:webHidden/>
              </w:rPr>
              <w:t>410</w:t>
            </w:r>
            <w:r w:rsidR="0046633B">
              <w:rPr>
                <w:noProof/>
                <w:webHidden/>
              </w:rPr>
              <w:fldChar w:fldCharType="end"/>
            </w:r>
          </w:hyperlink>
        </w:p>
        <w:p w14:paraId="3ACF445D" w14:textId="2FBF0CBC" w:rsidR="0046633B" w:rsidRDefault="006D43BC">
          <w:pPr>
            <w:pStyle w:val="TOC3"/>
            <w:tabs>
              <w:tab w:val="left" w:pos="1540"/>
              <w:tab w:val="right" w:leader="dot" w:pos="10790"/>
            </w:tabs>
            <w:rPr>
              <w:rFonts w:asciiTheme="minorHAnsi" w:eastAsiaTheme="minorEastAsia" w:hAnsiTheme="minorHAnsi"/>
              <w:noProof/>
              <w:sz w:val="22"/>
            </w:rPr>
          </w:pPr>
          <w:hyperlink w:anchor="_Toc13567519" w:history="1">
            <w:r w:rsidR="0046633B" w:rsidRPr="005A308E">
              <w:rPr>
                <w:rStyle w:val="Hyperlink"/>
                <w:noProof/>
              </w:rPr>
              <w:t>A10.4</w:t>
            </w:r>
            <w:r w:rsidR="0046633B">
              <w:rPr>
                <w:rFonts w:asciiTheme="minorHAnsi" w:eastAsiaTheme="minorEastAsia" w:hAnsiTheme="minorHAnsi"/>
                <w:noProof/>
                <w:sz w:val="22"/>
              </w:rPr>
              <w:tab/>
            </w:r>
            <w:r w:rsidR="0046633B" w:rsidRPr="005A308E">
              <w:rPr>
                <w:rStyle w:val="Hyperlink"/>
                <w:noProof/>
              </w:rPr>
              <w:t>Service Level Requirements</w:t>
            </w:r>
            <w:r w:rsidR="0046633B">
              <w:rPr>
                <w:noProof/>
                <w:webHidden/>
              </w:rPr>
              <w:tab/>
            </w:r>
            <w:r w:rsidR="0046633B">
              <w:rPr>
                <w:noProof/>
                <w:webHidden/>
              </w:rPr>
              <w:fldChar w:fldCharType="begin"/>
            </w:r>
            <w:r w:rsidR="0046633B">
              <w:rPr>
                <w:noProof/>
                <w:webHidden/>
              </w:rPr>
              <w:instrText xml:space="preserve"> PAGEREF _Toc13567519 \h </w:instrText>
            </w:r>
            <w:r w:rsidR="0046633B">
              <w:rPr>
                <w:noProof/>
                <w:webHidden/>
              </w:rPr>
            </w:r>
            <w:r w:rsidR="0046633B">
              <w:rPr>
                <w:noProof/>
                <w:webHidden/>
              </w:rPr>
              <w:fldChar w:fldCharType="separate"/>
            </w:r>
            <w:r w:rsidR="0046633B">
              <w:rPr>
                <w:noProof/>
                <w:webHidden/>
              </w:rPr>
              <w:t>411</w:t>
            </w:r>
            <w:r w:rsidR="0046633B">
              <w:rPr>
                <w:noProof/>
                <w:webHidden/>
              </w:rPr>
              <w:fldChar w:fldCharType="end"/>
            </w:r>
          </w:hyperlink>
        </w:p>
        <w:p w14:paraId="3C7E73A9" w14:textId="685EADBB" w:rsidR="0046633B" w:rsidRDefault="006D43BC">
          <w:pPr>
            <w:pStyle w:val="TOC3"/>
            <w:tabs>
              <w:tab w:val="left" w:pos="1540"/>
              <w:tab w:val="right" w:leader="dot" w:pos="10790"/>
            </w:tabs>
            <w:rPr>
              <w:rFonts w:asciiTheme="minorHAnsi" w:eastAsiaTheme="minorEastAsia" w:hAnsiTheme="minorHAnsi"/>
              <w:noProof/>
              <w:sz w:val="22"/>
            </w:rPr>
          </w:pPr>
          <w:hyperlink w:anchor="_Toc13567520" w:history="1">
            <w:r w:rsidR="0046633B" w:rsidRPr="005A308E">
              <w:rPr>
                <w:rStyle w:val="Hyperlink"/>
                <w:noProof/>
              </w:rPr>
              <w:t>A10.5</w:t>
            </w:r>
            <w:r w:rsidR="0046633B">
              <w:rPr>
                <w:rFonts w:asciiTheme="minorHAnsi" w:eastAsiaTheme="minorEastAsia" w:hAnsiTheme="minorHAnsi"/>
                <w:noProof/>
                <w:sz w:val="22"/>
              </w:rPr>
              <w:tab/>
            </w:r>
            <w:r w:rsidR="0046633B" w:rsidRPr="005A308E">
              <w:rPr>
                <w:rStyle w:val="Hyperlink"/>
                <w:noProof/>
              </w:rPr>
              <w:t>Monthly Application Performance Standards</w:t>
            </w:r>
            <w:r w:rsidR="0046633B">
              <w:rPr>
                <w:noProof/>
                <w:webHidden/>
              </w:rPr>
              <w:tab/>
            </w:r>
            <w:r w:rsidR="0046633B">
              <w:rPr>
                <w:noProof/>
                <w:webHidden/>
              </w:rPr>
              <w:fldChar w:fldCharType="begin"/>
            </w:r>
            <w:r w:rsidR="0046633B">
              <w:rPr>
                <w:noProof/>
                <w:webHidden/>
              </w:rPr>
              <w:instrText xml:space="preserve"> PAGEREF _Toc13567520 \h </w:instrText>
            </w:r>
            <w:r w:rsidR="0046633B">
              <w:rPr>
                <w:noProof/>
                <w:webHidden/>
              </w:rPr>
            </w:r>
            <w:r w:rsidR="0046633B">
              <w:rPr>
                <w:noProof/>
                <w:webHidden/>
              </w:rPr>
              <w:fldChar w:fldCharType="separate"/>
            </w:r>
            <w:r w:rsidR="0046633B">
              <w:rPr>
                <w:noProof/>
                <w:webHidden/>
              </w:rPr>
              <w:t>414</w:t>
            </w:r>
            <w:r w:rsidR="0046633B">
              <w:rPr>
                <w:noProof/>
                <w:webHidden/>
              </w:rPr>
              <w:fldChar w:fldCharType="end"/>
            </w:r>
          </w:hyperlink>
        </w:p>
        <w:p w14:paraId="5A27F176" w14:textId="5F177726" w:rsidR="0046633B" w:rsidRDefault="006D43BC">
          <w:pPr>
            <w:pStyle w:val="TOC3"/>
            <w:tabs>
              <w:tab w:val="left" w:pos="1540"/>
              <w:tab w:val="right" w:leader="dot" w:pos="10790"/>
            </w:tabs>
            <w:rPr>
              <w:rFonts w:asciiTheme="minorHAnsi" w:eastAsiaTheme="minorEastAsia" w:hAnsiTheme="minorHAnsi"/>
              <w:noProof/>
              <w:sz w:val="22"/>
            </w:rPr>
          </w:pPr>
          <w:hyperlink w:anchor="_Toc13567521" w:history="1">
            <w:r w:rsidR="0046633B" w:rsidRPr="005A308E">
              <w:rPr>
                <w:rStyle w:val="Hyperlink"/>
                <w:noProof/>
              </w:rPr>
              <w:t>A10.6</w:t>
            </w:r>
            <w:r w:rsidR="0046633B">
              <w:rPr>
                <w:rFonts w:asciiTheme="minorHAnsi" w:eastAsiaTheme="minorEastAsia" w:hAnsiTheme="minorHAnsi"/>
                <w:noProof/>
                <w:sz w:val="22"/>
              </w:rPr>
              <w:tab/>
            </w:r>
            <w:r w:rsidR="0046633B" w:rsidRPr="005A308E">
              <w:rPr>
                <w:rStyle w:val="Hyperlink"/>
                <w:noProof/>
              </w:rPr>
              <w:t>Key Metrics for Cloud Security Models</w:t>
            </w:r>
            <w:r w:rsidR="0046633B">
              <w:rPr>
                <w:noProof/>
                <w:webHidden/>
              </w:rPr>
              <w:tab/>
            </w:r>
            <w:r w:rsidR="0046633B">
              <w:rPr>
                <w:noProof/>
                <w:webHidden/>
              </w:rPr>
              <w:fldChar w:fldCharType="begin"/>
            </w:r>
            <w:r w:rsidR="0046633B">
              <w:rPr>
                <w:noProof/>
                <w:webHidden/>
              </w:rPr>
              <w:instrText xml:space="preserve"> PAGEREF _Toc13567521 \h </w:instrText>
            </w:r>
            <w:r w:rsidR="0046633B">
              <w:rPr>
                <w:noProof/>
                <w:webHidden/>
              </w:rPr>
            </w:r>
            <w:r w:rsidR="0046633B">
              <w:rPr>
                <w:noProof/>
                <w:webHidden/>
              </w:rPr>
              <w:fldChar w:fldCharType="separate"/>
            </w:r>
            <w:r w:rsidR="0046633B">
              <w:rPr>
                <w:noProof/>
                <w:webHidden/>
              </w:rPr>
              <w:t>414</w:t>
            </w:r>
            <w:r w:rsidR="0046633B">
              <w:rPr>
                <w:noProof/>
                <w:webHidden/>
              </w:rPr>
              <w:fldChar w:fldCharType="end"/>
            </w:r>
          </w:hyperlink>
        </w:p>
        <w:p w14:paraId="49671841" w14:textId="06BA0092" w:rsidR="0046633B" w:rsidRDefault="006D43BC">
          <w:pPr>
            <w:pStyle w:val="TOC3"/>
            <w:tabs>
              <w:tab w:val="left" w:pos="1540"/>
              <w:tab w:val="right" w:leader="dot" w:pos="10790"/>
            </w:tabs>
            <w:rPr>
              <w:rFonts w:asciiTheme="minorHAnsi" w:eastAsiaTheme="minorEastAsia" w:hAnsiTheme="minorHAnsi"/>
              <w:noProof/>
              <w:sz w:val="22"/>
            </w:rPr>
          </w:pPr>
          <w:hyperlink w:anchor="_Toc13567522" w:history="1">
            <w:r w:rsidR="0046633B" w:rsidRPr="005A308E">
              <w:rPr>
                <w:rStyle w:val="Hyperlink"/>
                <w:noProof/>
              </w:rPr>
              <w:t>A10.7</w:t>
            </w:r>
            <w:r w:rsidR="0046633B">
              <w:rPr>
                <w:rFonts w:asciiTheme="minorHAnsi" w:eastAsiaTheme="minorEastAsia" w:hAnsiTheme="minorHAnsi"/>
                <w:noProof/>
                <w:sz w:val="22"/>
              </w:rPr>
              <w:tab/>
            </w:r>
            <w:r w:rsidR="0046633B" w:rsidRPr="005A308E">
              <w:rPr>
                <w:rStyle w:val="Hyperlink"/>
                <w:noProof/>
              </w:rPr>
              <w:t>Reports</w:t>
            </w:r>
            <w:r w:rsidR="0046633B">
              <w:rPr>
                <w:noProof/>
                <w:webHidden/>
              </w:rPr>
              <w:tab/>
            </w:r>
            <w:r w:rsidR="0046633B">
              <w:rPr>
                <w:noProof/>
                <w:webHidden/>
              </w:rPr>
              <w:fldChar w:fldCharType="begin"/>
            </w:r>
            <w:r w:rsidR="0046633B">
              <w:rPr>
                <w:noProof/>
                <w:webHidden/>
              </w:rPr>
              <w:instrText xml:space="preserve"> PAGEREF _Toc13567522 \h </w:instrText>
            </w:r>
            <w:r w:rsidR="0046633B">
              <w:rPr>
                <w:noProof/>
                <w:webHidden/>
              </w:rPr>
            </w:r>
            <w:r w:rsidR="0046633B">
              <w:rPr>
                <w:noProof/>
                <w:webHidden/>
              </w:rPr>
              <w:fldChar w:fldCharType="separate"/>
            </w:r>
            <w:r w:rsidR="0046633B">
              <w:rPr>
                <w:noProof/>
                <w:webHidden/>
              </w:rPr>
              <w:t>416</w:t>
            </w:r>
            <w:r w:rsidR="0046633B">
              <w:rPr>
                <w:noProof/>
                <w:webHidden/>
              </w:rPr>
              <w:fldChar w:fldCharType="end"/>
            </w:r>
          </w:hyperlink>
        </w:p>
        <w:p w14:paraId="131A4E08" w14:textId="757D6E61" w:rsidR="0046633B" w:rsidRDefault="006D43BC">
          <w:pPr>
            <w:pStyle w:val="TOC3"/>
            <w:tabs>
              <w:tab w:val="left" w:pos="1540"/>
              <w:tab w:val="right" w:leader="dot" w:pos="10790"/>
            </w:tabs>
            <w:rPr>
              <w:rFonts w:asciiTheme="minorHAnsi" w:eastAsiaTheme="minorEastAsia" w:hAnsiTheme="minorHAnsi"/>
              <w:noProof/>
              <w:sz w:val="22"/>
            </w:rPr>
          </w:pPr>
          <w:hyperlink w:anchor="_Toc13567523" w:history="1">
            <w:r w:rsidR="0046633B" w:rsidRPr="005A308E">
              <w:rPr>
                <w:rStyle w:val="Hyperlink"/>
                <w:noProof/>
              </w:rPr>
              <w:t>A10.8</w:t>
            </w:r>
            <w:r w:rsidR="0046633B">
              <w:rPr>
                <w:rFonts w:asciiTheme="minorHAnsi" w:eastAsiaTheme="minorEastAsia" w:hAnsiTheme="minorHAnsi"/>
                <w:noProof/>
                <w:sz w:val="22"/>
              </w:rPr>
              <w:tab/>
            </w:r>
            <w:r w:rsidR="0046633B" w:rsidRPr="005A308E">
              <w:rPr>
                <w:rStyle w:val="Hyperlink"/>
                <w:noProof/>
              </w:rPr>
              <w:t>Dashboard</w:t>
            </w:r>
            <w:r w:rsidR="0046633B">
              <w:rPr>
                <w:noProof/>
                <w:webHidden/>
              </w:rPr>
              <w:tab/>
            </w:r>
            <w:r w:rsidR="0046633B">
              <w:rPr>
                <w:noProof/>
                <w:webHidden/>
              </w:rPr>
              <w:fldChar w:fldCharType="begin"/>
            </w:r>
            <w:r w:rsidR="0046633B">
              <w:rPr>
                <w:noProof/>
                <w:webHidden/>
              </w:rPr>
              <w:instrText xml:space="preserve"> PAGEREF _Toc13567523 \h </w:instrText>
            </w:r>
            <w:r w:rsidR="0046633B">
              <w:rPr>
                <w:noProof/>
                <w:webHidden/>
              </w:rPr>
            </w:r>
            <w:r w:rsidR="0046633B">
              <w:rPr>
                <w:noProof/>
                <w:webHidden/>
              </w:rPr>
              <w:fldChar w:fldCharType="separate"/>
            </w:r>
            <w:r w:rsidR="0046633B">
              <w:rPr>
                <w:noProof/>
                <w:webHidden/>
              </w:rPr>
              <w:t>416</w:t>
            </w:r>
            <w:r w:rsidR="0046633B">
              <w:rPr>
                <w:noProof/>
                <w:webHidden/>
              </w:rPr>
              <w:fldChar w:fldCharType="end"/>
            </w:r>
          </w:hyperlink>
        </w:p>
        <w:p w14:paraId="73304944" w14:textId="07C64A6A" w:rsidR="0046633B" w:rsidRDefault="006D43BC">
          <w:pPr>
            <w:pStyle w:val="TOC2"/>
            <w:rPr>
              <w:rFonts w:asciiTheme="minorHAnsi" w:eastAsiaTheme="minorEastAsia" w:hAnsiTheme="minorHAnsi"/>
              <w:noProof/>
              <w:sz w:val="22"/>
            </w:rPr>
          </w:pPr>
          <w:hyperlink w:anchor="_Toc13567524" w:history="1">
            <w:r w:rsidR="0046633B" w:rsidRPr="005A308E">
              <w:rPr>
                <w:rStyle w:val="Hyperlink"/>
                <w:noProof/>
              </w:rPr>
              <w:t>Attachment 11 – HUB Subcontracting Plan</w:t>
            </w:r>
            <w:r w:rsidR="0046633B">
              <w:rPr>
                <w:noProof/>
                <w:webHidden/>
              </w:rPr>
              <w:tab/>
            </w:r>
            <w:r w:rsidR="0046633B">
              <w:rPr>
                <w:noProof/>
                <w:webHidden/>
              </w:rPr>
              <w:fldChar w:fldCharType="begin"/>
            </w:r>
            <w:r w:rsidR="0046633B">
              <w:rPr>
                <w:noProof/>
                <w:webHidden/>
              </w:rPr>
              <w:instrText xml:space="preserve"> PAGEREF _Toc13567524 \h </w:instrText>
            </w:r>
            <w:r w:rsidR="0046633B">
              <w:rPr>
                <w:noProof/>
                <w:webHidden/>
              </w:rPr>
            </w:r>
            <w:r w:rsidR="0046633B">
              <w:rPr>
                <w:noProof/>
                <w:webHidden/>
              </w:rPr>
              <w:fldChar w:fldCharType="separate"/>
            </w:r>
            <w:r w:rsidR="0046633B">
              <w:rPr>
                <w:noProof/>
                <w:webHidden/>
              </w:rPr>
              <w:t>417</w:t>
            </w:r>
            <w:r w:rsidR="0046633B">
              <w:rPr>
                <w:noProof/>
                <w:webHidden/>
              </w:rPr>
              <w:fldChar w:fldCharType="end"/>
            </w:r>
          </w:hyperlink>
        </w:p>
        <w:p w14:paraId="1E77B708" w14:textId="6F35F135" w:rsidR="0046633B" w:rsidRDefault="006D43BC">
          <w:pPr>
            <w:pStyle w:val="TOC2"/>
            <w:rPr>
              <w:rFonts w:asciiTheme="minorHAnsi" w:eastAsiaTheme="minorEastAsia" w:hAnsiTheme="minorHAnsi"/>
              <w:noProof/>
              <w:sz w:val="22"/>
            </w:rPr>
          </w:pPr>
          <w:hyperlink w:anchor="_Toc13567525" w:history="1">
            <w:r w:rsidR="0046633B" w:rsidRPr="005A308E">
              <w:rPr>
                <w:rStyle w:val="Hyperlink"/>
                <w:noProof/>
              </w:rPr>
              <w:t>Attachment 12 – Pricing</w:t>
            </w:r>
            <w:r w:rsidR="0046633B">
              <w:rPr>
                <w:noProof/>
                <w:webHidden/>
              </w:rPr>
              <w:tab/>
            </w:r>
            <w:r w:rsidR="0046633B">
              <w:rPr>
                <w:noProof/>
                <w:webHidden/>
              </w:rPr>
              <w:fldChar w:fldCharType="begin"/>
            </w:r>
            <w:r w:rsidR="0046633B">
              <w:rPr>
                <w:noProof/>
                <w:webHidden/>
              </w:rPr>
              <w:instrText xml:space="preserve"> PAGEREF _Toc13567525 \h </w:instrText>
            </w:r>
            <w:r w:rsidR="0046633B">
              <w:rPr>
                <w:noProof/>
                <w:webHidden/>
              </w:rPr>
            </w:r>
            <w:r w:rsidR="0046633B">
              <w:rPr>
                <w:noProof/>
                <w:webHidden/>
              </w:rPr>
              <w:fldChar w:fldCharType="separate"/>
            </w:r>
            <w:r w:rsidR="0046633B">
              <w:rPr>
                <w:noProof/>
                <w:webHidden/>
              </w:rPr>
              <w:t>418</w:t>
            </w:r>
            <w:r w:rsidR="0046633B">
              <w:rPr>
                <w:noProof/>
                <w:webHidden/>
              </w:rPr>
              <w:fldChar w:fldCharType="end"/>
            </w:r>
          </w:hyperlink>
        </w:p>
        <w:p w14:paraId="71B57529" w14:textId="78A4AF7A" w:rsidR="0046633B" w:rsidRDefault="006D43BC">
          <w:pPr>
            <w:pStyle w:val="TOC3"/>
            <w:tabs>
              <w:tab w:val="left" w:pos="1540"/>
              <w:tab w:val="right" w:leader="dot" w:pos="10790"/>
            </w:tabs>
            <w:rPr>
              <w:rFonts w:asciiTheme="minorHAnsi" w:eastAsiaTheme="minorEastAsia" w:hAnsiTheme="minorHAnsi"/>
              <w:noProof/>
              <w:sz w:val="22"/>
            </w:rPr>
          </w:pPr>
          <w:hyperlink w:anchor="_Toc13567526" w:history="1">
            <w:r w:rsidR="0046633B" w:rsidRPr="005A308E">
              <w:rPr>
                <w:rStyle w:val="Hyperlink"/>
                <w:noProof/>
              </w:rPr>
              <w:t>A12.1</w:t>
            </w:r>
            <w:r w:rsidR="0046633B">
              <w:rPr>
                <w:rFonts w:asciiTheme="minorHAnsi" w:eastAsiaTheme="minorEastAsia" w:hAnsiTheme="minorHAnsi"/>
                <w:noProof/>
                <w:sz w:val="22"/>
              </w:rPr>
              <w:tab/>
            </w:r>
            <w:r w:rsidR="0046633B" w:rsidRPr="005A308E">
              <w:rPr>
                <w:rStyle w:val="Hyperlink"/>
                <w:noProof/>
              </w:rPr>
              <w:t>Pricing for Deliverables – Phase</w:t>
            </w:r>
            <w:r w:rsidR="0046633B">
              <w:rPr>
                <w:noProof/>
                <w:webHidden/>
              </w:rPr>
              <w:tab/>
            </w:r>
            <w:r w:rsidR="0046633B">
              <w:rPr>
                <w:noProof/>
                <w:webHidden/>
              </w:rPr>
              <w:fldChar w:fldCharType="begin"/>
            </w:r>
            <w:r w:rsidR="0046633B">
              <w:rPr>
                <w:noProof/>
                <w:webHidden/>
              </w:rPr>
              <w:instrText xml:space="preserve"> PAGEREF _Toc13567526 \h </w:instrText>
            </w:r>
            <w:r w:rsidR="0046633B">
              <w:rPr>
                <w:noProof/>
                <w:webHidden/>
              </w:rPr>
            </w:r>
            <w:r w:rsidR="0046633B">
              <w:rPr>
                <w:noProof/>
                <w:webHidden/>
              </w:rPr>
              <w:fldChar w:fldCharType="separate"/>
            </w:r>
            <w:r w:rsidR="0046633B">
              <w:rPr>
                <w:noProof/>
                <w:webHidden/>
              </w:rPr>
              <w:t>419</w:t>
            </w:r>
            <w:r w:rsidR="0046633B">
              <w:rPr>
                <w:noProof/>
                <w:webHidden/>
              </w:rPr>
              <w:fldChar w:fldCharType="end"/>
            </w:r>
          </w:hyperlink>
        </w:p>
        <w:p w14:paraId="595C9C21" w14:textId="7CD7CD82" w:rsidR="0046633B" w:rsidRDefault="006D43BC">
          <w:pPr>
            <w:pStyle w:val="TOC3"/>
            <w:tabs>
              <w:tab w:val="left" w:pos="1540"/>
              <w:tab w:val="right" w:leader="dot" w:pos="10790"/>
            </w:tabs>
            <w:rPr>
              <w:rFonts w:asciiTheme="minorHAnsi" w:eastAsiaTheme="minorEastAsia" w:hAnsiTheme="minorHAnsi"/>
              <w:noProof/>
              <w:sz w:val="22"/>
            </w:rPr>
          </w:pPr>
          <w:hyperlink w:anchor="_Toc13567527" w:history="1">
            <w:r w:rsidR="0046633B" w:rsidRPr="005A308E">
              <w:rPr>
                <w:rStyle w:val="Hyperlink"/>
                <w:noProof/>
              </w:rPr>
              <w:t>A12.2</w:t>
            </w:r>
            <w:r w:rsidR="0046633B">
              <w:rPr>
                <w:rFonts w:asciiTheme="minorHAnsi" w:eastAsiaTheme="minorEastAsia" w:hAnsiTheme="minorHAnsi"/>
                <w:noProof/>
                <w:sz w:val="22"/>
              </w:rPr>
              <w:tab/>
            </w:r>
            <w:r w:rsidR="0046633B" w:rsidRPr="005A308E">
              <w:rPr>
                <w:rStyle w:val="Hyperlink"/>
                <w:noProof/>
              </w:rPr>
              <w:t>Pricing for Deliverables – Non-Phase Costs</w:t>
            </w:r>
            <w:r w:rsidR="0046633B">
              <w:rPr>
                <w:noProof/>
                <w:webHidden/>
              </w:rPr>
              <w:tab/>
            </w:r>
            <w:r w:rsidR="0046633B">
              <w:rPr>
                <w:noProof/>
                <w:webHidden/>
              </w:rPr>
              <w:fldChar w:fldCharType="begin"/>
            </w:r>
            <w:r w:rsidR="0046633B">
              <w:rPr>
                <w:noProof/>
                <w:webHidden/>
              </w:rPr>
              <w:instrText xml:space="preserve"> PAGEREF _Toc13567527 \h </w:instrText>
            </w:r>
            <w:r w:rsidR="0046633B">
              <w:rPr>
                <w:noProof/>
                <w:webHidden/>
              </w:rPr>
            </w:r>
            <w:r w:rsidR="0046633B">
              <w:rPr>
                <w:noProof/>
                <w:webHidden/>
              </w:rPr>
              <w:fldChar w:fldCharType="separate"/>
            </w:r>
            <w:r w:rsidR="0046633B">
              <w:rPr>
                <w:noProof/>
                <w:webHidden/>
              </w:rPr>
              <w:t>422</w:t>
            </w:r>
            <w:r w:rsidR="0046633B">
              <w:rPr>
                <w:noProof/>
                <w:webHidden/>
              </w:rPr>
              <w:fldChar w:fldCharType="end"/>
            </w:r>
          </w:hyperlink>
        </w:p>
        <w:p w14:paraId="50DE901A" w14:textId="7BB72E95" w:rsidR="0046633B" w:rsidRDefault="006D43BC">
          <w:pPr>
            <w:pStyle w:val="TOC3"/>
            <w:tabs>
              <w:tab w:val="left" w:pos="1540"/>
              <w:tab w:val="right" w:leader="dot" w:pos="10790"/>
            </w:tabs>
            <w:rPr>
              <w:rFonts w:asciiTheme="minorHAnsi" w:eastAsiaTheme="minorEastAsia" w:hAnsiTheme="minorHAnsi"/>
              <w:noProof/>
              <w:sz w:val="22"/>
            </w:rPr>
          </w:pPr>
          <w:hyperlink w:anchor="_Toc13567528" w:history="1">
            <w:r w:rsidR="0046633B" w:rsidRPr="005A308E">
              <w:rPr>
                <w:rStyle w:val="Hyperlink"/>
                <w:noProof/>
              </w:rPr>
              <w:t>A12.3</w:t>
            </w:r>
            <w:r w:rsidR="0046633B">
              <w:rPr>
                <w:rFonts w:asciiTheme="minorHAnsi" w:eastAsiaTheme="minorEastAsia" w:hAnsiTheme="minorHAnsi"/>
                <w:noProof/>
                <w:sz w:val="22"/>
              </w:rPr>
              <w:tab/>
            </w:r>
            <w:r w:rsidR="0046633B" w:rsidRPr="005A308E">
              <w:rPr>
                <w:rStyle w:val="Hyperlink"/>
                <w:noProof/>
              </w:rPr>
              <w:t>Pricing for Project</w:t>
            </w:r>
            <w:r w:rsidR="0046633B">
              <w:rPr>
                <w:noProof/>
                <w:webHidden/>
              </w:rPr>
              <w:tab/>
            </w:r>
            <w:r w:rsidR="0046633B">
              <w:rPr>
                <w:noProof/>
                <w:webHidden/>
              </w:rPr>
              <w:fldChar w:fldCharType="begin"/>
            </w:r>
            <w:r w:rsidR="0046633B">
              <w:rPr>
                <w:noProof/>
                <w:webHidden/>
              </w:rPr>
              <w:instrText xml:space="preserve"> PAGEREF _Toc13567528 \h </w:instrText>
            </w:r>
            <w:r w:rsidR="0046633B">
              <w:rPr>
                <w:noProof/>
                <w:webHidden/>
              </w:rPr>
            </w:r>
            <w:r w:rsidR="0046633B">
              <w:rPr>
                <w:noProof/>
                <w:webHidden/>
              </w:rPr>
              <w:fldChar w:fldCharType="separate"/>
            </w:r>
            <w:r w:rsidR="0046633B">
              <w:rPr>
                <w:noProof/>
                <w:webHidden/>
              </w:rPr>
              <w:t>423</w:t>
            </w:r>
            <w:r w:rsidR="0046633B">
              <w:rPr>
                <w:noProof/>
                <w:webHidden/>
              </w:rPr>
              <w:fldChar w:fldCharType="end"/>
            </w:r>
          </w:hyperlink>
        </w:p>
        <w:p w14:paraId="054B27CA" w14:textId="4442C0FA" w:rsidR="0046633B" w:rsidRDefault="006D43BC">
          <w:pPr>
            <w:pStyle w:val="TOC3"/>
            <w:tabs>
              <w:tab w:val="left" w:pos="1540"/>
              <w:tab w:val="right" w:leader="dot" w:pos="10790"/>
            </w:tabs>
            <w:rPr>
              <w:rFonts w:asciiTheme="minorHAnsi" w:eastAsiaTheme="minorEastAsia" w:hAnsiTheme="minorHAnsi"/>
              <w:noProof/>
              <w:sz w:val="22"/>
            </w:rPr>
          </w:pPr>
          <w:hyperlink w:anchor="_Toc13567529" w:history="1">
            <w:r w:rsidR="0046633B" w:rsidRPr="005A308E">
              <w:rPr>
                <w:rStyle w:val="Hyperlink"/>
                <w:noProof/>
              </w:rPr>
              <w:t>A12.4</w:t>
            </w:r>
            <w:r w:rsidR="0046633B">
              <w:rPr>
                <w:rFonts w:asciiTheme="minorHAnsi" w:eastAsiaTheme="minorEastAsia" w:hAnsiTheme="minorHAnsi"/>
                <w:noProof/>
                <w:sz w:val="22"/>
              </w:rPr>
              <w:tab/>
            </w:r>
            <w:r w:rsidR="0046633B" w:rsidRPr="005A308E">
              <w:rPr>
                <w:rStyle w:val="Hyperlink"/>
                <w:noProof/>
              </w:rPr>
              <w:t>Pricing for Option Years</w:t>
            </w:r>
            <w:r w:rsidR="0046633B">
              <w:rPr>
                <w:noProof/>
                <w:webHidden/>
              </w:rPr>
              <w:tab/>
            </w:r>
            <w:r w:rsidR="0046633B">
              <w:rPr>
                <w:noProof/>
                <w:webHidden/>
              </w:rPr>
              <w:fldChar w:fldCharType="begin"/>
            </w:r>
            <w:r w:rsidR="0046633B">
              <w:rPr>
                <w:noProof/>
                <w:webHidden/>
              </w:rPr>
              <w:instrText xml:space="preserve"> PAGEREF _Toc13567529 \h </w:instrText>
            </w:r>
            <w:r w:rsidR="0046633B">
              <w:rPr>
                <w:noProof/>
                <w:webHidden/>
              </w:rPr>
            </w:r>
            <w:r w:rsidR="0046633B">
              <w:rPr>
                <w:noProof/>
                <w:webHidden/>
              </w:rPr>
              <w:fldChar w:fldCharType="separate"/>
            </w:r>
            <w:r w:rsidR="0046633B">
              <w:rPr>
                <w:noProof/>
                <w:webHidden/>
              </w:rPr>
              <w:t>423</w:t>
            </w:r>
            <w:r w:rsidR="0046633B">
              <w:rPr>
                <w:noProof/>
                <w:webHidden/>
              </w:rPr>
              <w:fldChar w:fldCharType="end"/>
            </w:r>
          </w:hyperlink>
        </w:p>
        <w:p w14:paraId="2F422AE7" w14:textId="404EA29F" w:rsidR="0046633B" w:rsidRDefault="006D43BC">
          <w:pPr>
            <w:pStyle w:val="TOC3"/>
            <w:tabs>
              <w:tab w:val="left" w:pos="1540"/>
              <w:tab w:val="right" w:leader="dot" w:pos="10790"/>
            </w:tabs>
            <w:rPr>
              <w:rFonts w:asciiTheme="minorHAnsi" w:eastAsiaTheme="minorEastAsia" w:hAnsiTheme="minorHAnsi"/>
              <w:noProof/>
              <w:sz w:val="22"/>
            </w:rPr>
          </w:pPr>
          <w:hyperlink w:anchor="_Toc13567530" w:history="1">
            <w:r w:rsidR="0046633B" w:rsidRPr="005A308E">
              <w:rPr>
                <w:rStyle w:val="Hyperlink"/>
                <w:noProof/>
              </w:rPr>
              <w:t>A12.5</w:t>
            </w:r>
            <w:r w:rsidR="0046633B">
              <w:rPr>
                <w:rFonts w:asciiTheme="minorHAnsi" w:eastAsiaTheme="minorEastAsia" w:hAnsiTheme="minorHAnsi"/>
                <w:noProof/>
                <w:sz w:val="22"/>
              </w:rPr>
              <w:tab/>
            </w:r>
            <w:r w:rsidR="0046633B" w:rsidRPr="005A308E">
              <w:rPr>
                <w:rStyle w:val="Hyperlink"/>
                <w:noProof/>
              </w:rPr>
              <w:t>Pricing for Optional Deliverables</w:t>
            </w:r>
            <w:r w:rsidR="0046633B">
              <w:rPr>
                <w:noProof/>
                <w:webHidden/>
              </w:rPr>
              <w:tab/>
            </w:r>
            <w:r w:rsidR="0046633B">
              <w:rPr>
                <w:noProof/>
                <w:webHidden/>
              </w:rPr>
              <w:fldChar w:fldCharType="begin"/>
            </w:r>
            <w:r w:rsidR="0046633B">
              <w:rPr>
                <w:noProof/>
                <w:webHidden/>
              </w:rPr>
              <w:instrText xml:space="preserve"> PAGEREF _Toc13567530 \h </w:instrText>
            </w:r>
            <w:r w:rsidR="0046633B">
              <w:rPr>
                <w:noProof/>
                <w:webHidden/>
              </w:rPr>
            </w:r>
            <w:r w:rsidR="0046633B">
              <w:rPr>
                <w:noProof/>
                <w:webHidden/>
              </w:rPr>
              <w:fldChar w:fldCharType="separate"/>
            </w:r>
            <w:r w:rsidR="0046633B">
              <w:rPr>
                <w:noProof/>
                <w:webHidden/>
              </w:rPr>
              <w:t>423</w:t>
            </w:r>
            <w:r w:rsidR="0046633B">
              <w:rPr>
                <w:noProof/>
                <w:webHidden/>
              </w:rPr>
              <w:fldChar w:fldCharType="end"/>
            </w:r>
          </w:hyperlink>
        </w:p>
        <w:p w14:paraId="1874B471" w14:textId="671632FF" w:rsidR="0046633B" w:rsidRDefault="006D43BC">
          <w:pPr>
            <w:pStyle w:val="TOC3"/>
            <w:tabs>
              <w:tab w:val="left" w:pos="1540"/>
              <w:tab w:val="right" w:leader="dot" w:pos="10790"/>
            </w:tabs>
            <w:rPr>
              <w:rFonts w:asciiTheme="minorHAnsi" w:eastAsiaTheme="minorEastAsia" w:hAnsiTheme="minorHAnsi"/>
              <w:noProof/>
              <w:sz w:val="22"/>
            </w:rPr>
          </w:pPr>
          <w:hyperlink w:anchor="_Toc13567531" w:history="1">
            <w:r w:rsidR="0046633B" w:rsidRPr="005A308E">
              <w:rPr>
                <w:rStyle w:val="Hyperlink"/>
                <w:noProof/>
              </w:rPr>
              <w:t>A12.6</w:t>
            </w:r>
            <w:r w:rsidR="0046633B">
              <w:rPr>
                <w:rFonts w:asciiTheme="minorHAnsi" w:eastAsiaTheme="minorEastAsia" w:hAnsiTheme="minorHAnsi"/>
                <w:noProof/>
                <w:sz w:val="22"/>
              </w:rPr>
              <w:tab/>
            </w:r>
            <w:r w:rsidR="0046633B" w:rsidRPr="005A308E">
              <w:rPr>
                <w:rStyle w:val="Hyperlink"/>
                <w:noProof/>
              </w:rPr>
              <w:t>Pricing for Blended Hourly Rate</w:t>
            </w:r>
            <w:r w:rsidR="0046633B">
              <w:rPr>
                <w:noProof/>
                <w:webHidden/>
              </w:rPr>
              <w:tab/>
            </w:r>
            <w:r w:rsidR="0046633B">
              <w:rPr>
                <w:noProof/>
                <w:webHidden/>
              </w:rPr>
              <w:fldChar w:fldCharType="begin"/>
            </w:r>
            <w:r w:rsidR="0046633B">
              <w:rPr>
                <w:noProof/>
                <w:webHidden/>
              </w:rPr>
              <w:instrText xml:space="preserve"> PAGEREF _Toc13567531 \h </w:instrText>
            </w:r>
            <w:r w:rsidR="0046633B">
              <w:rPr>
                <w:noProof/>
                <w:webHidden/>
              </w:rPr>
            </w:r>
            <w:r w:rsidR="0046633B">
              <w:rPr>
                <w:noProof/>
                <w:webHidden/>
              </w:rPr>
              <w:fldChar w:fldCharType="separate"/>
            </w:r>
            <w:r w:rsidR="0046633B">
              <w:rPr>
                <w:noProof/>
                <w:webHidden/>
              </w:rPr>
              <w:t>424</w:t>
            </w:r>
            <w:r w:rsidR="0046633B">
              <w:rPr>
                <w:noProof/>
                <w:webHidden/>
              </w:rPr>
              <w:fldChar w:fldCharType="end"/>
            </w:r>
          </w:hyperlink>
        </w:p>
        <w:p w14:paraId="503B0254" w14:textId="6DC170CE" w:rsidR="0046633B" w:rsidRDefault="006D43BC">
          <w:pPr>
            <w:pStyle w:val="TOC3"/>
            <w:tabs>
              <w:tab w:val="left" w:pos="1540"/>
              <w:tab w:val="right" w:leader="dot" w:pos="10790"/>
            </w:tabs>
            <w:rPr>
              <w:rFonts w:asciiTheme="minorHAnsi" w:eastAsiaTheme="minorEastAsia" w:hAnsiTheme="minorHAnsi"/>
              <w:noProof/>
              <w:sz w:val="22"/>
            </w:rPr>
          </w:pPr>
          <w:hyperlink w:anchor="_Toc13567532" w:history="1">
            <w:r w:rsidR="0046633B" w:rsidRPr="005A308E">
              <w:rPr>
                <w:rStyle w:val="Hyperlink"/>
                <w:noProof/>
              </w:rPr>
              <w:t>A12.7</w:t>
            </w:r>
            <w:r w:rsidR="0046633B">
              <w:rPr>
                <w:rFonts w:asciiTheme="minorHAnsi" w:eastAsiaTheme="minorEastAsia" w:hAnsiTheme="minorHAnsi"/>
                <w:noProof/>
                <w:sz w:val="22"/>
              </w:rPr>
              <w:tab/>
            </w:r>
            <w:r w:rsidR="0046633B" w:rsidRPr="005A308E">
              <w:rPr>
                <w:rStyle w:val="Hyperlink"/>
                <w:noProof/>
              </w:rPr>
              <w:t>Pricing for Reports</w:t>
            </w:r>
            <w:r w:rsidR="0046633B">
              <w:rPr>
                <w:noProof/>
                <w:webHidden/>
              </w:rPr>
              <w:tab/>
            </w:r>
            <w:r w:rsidR="0046633B">
              <w:rPr>
                <w:noProof/>
                <w:webHidden/>
              </w:rPr>
              <w:fldChar w:fldCharType="begin"/>
            </w:r>
            <w:r w:rsidR="0046633B">
              <w:rPr>
                <w:noProof/>
                <w:webHidden/>
              </w:rPr>
              <w:instrText xml:space="preserve"> PAGEREF _Toc13567532 \h </w:instrText>
            </w:r>
            <w:r w:rsidR="0046633B">
              <w:rPr>
                <w:noProof/>
                <w:webHidden/>
              </w:rPr>
            </w:r>
            <w:r w:rsidR="0046633B">
              <w:rPr>
                <w:noProof/>
                <w:webHidden/>
              </w:rPr>
              <w:fldChar w:fldCharType="separate"/>
            </w:r>
            <w:r w:rsidR="0046633B">
              <w:rPr>
                <w:noProof/>
                <w:webHidden/>
              </w:rPr>
              <w:t>424</w:t>
            </w:r>
            <w:r w:rsidR="0046633B">
              <w:rPr>
                <w:noProof/>
                <w:webHidden/>
              </w:rPr>
              <w:fldChar w:fldCharType="end"/>
            </w:r>
          </w:hyperlink>
        </w:p>
        <w:p w14:paraId="02D541F6" w14:textId="13CA207E" w:rsidR="0046633B" w:rsidRDefault="006D43BC">
          <w:pPr>
            <w:pStyle w:val="TOC2"/>
            <w:rPr>
              <w:rFonts w:asciiTheme="minorHAnsi" w:eastAsiaTheme="minorEastAsia" w:hAnsiTheme="minorHAnsi"/>
              <w:noProof/>
              <w:sz w:val="22"/>
            </w:rPr>
          </w:pPr>
          <w:hyperlink w:anchor="_Toc13567533" w:history="1">
            <w:r w:rsidR="0046633B" w:rsidRPr="005A308E">
              <w:rPr>
                <w:rStyle w:val="Hyperlink"/>
                <w:noProof/>
                <w:lang w:eastAsia="en-AU"/>
              </w:rPr>
              <w:t>Attachment 13 – DCS Background Information</w:t>
            </w:r>
            <w:r w:rsidR="0046633B">
              <w:rPr>
                <w:noProof/>
                <w:webHidden/>
              </w:rPr>
              <w:tab/>
            </w:r>
            <w:r w:rsidR="0046633B">
              <w:rPr>
                <w:noProof/>
                <w:webHidden/>
              </w:rPr>
              <w:fldChar w:fldCharType="begin"/>
            </w:r>
            <w:r w:rsidR="0046633B">
              <w:rPr>
                <w:noProof/>
                <w:webHidden/>
              </w:rPr>
              <w:instrText xml:space="preserve"> PAGEREF _Toc13567533 \h </w:instrText>
            </w:r>
            <w:r w:rsidR="0046633B">
              <w:rPr>
                <w:noProof/>
                <w:webHidden/>
              </w:rPr>
            </w:r>
            <w:r w:rsidR="0046633B">
              <w:rPr>
                <w:noProof/>
                <w:webHidden/>
              </w:rPr>
              <w:fldChar w:fldCharType="separate"/>
            </w:r>
            <w:r w:rsidR="0046633B">
              <w:rPr>
                <w:noProof/>
                <w:webHidden/>
              </w:rPr>
              <w:t>425</w:t>
            </w:r>
            <w:r w:rsidR="0046633B">
              <w:rPr>
                <w:noProof/>
                <w:webHidden/>
              </w:rPr>
              <w:fldChar w:fldCharType="end"/>
            </w:r>
          </w:hyperlink>
        </w:p>
        <w:p w14:paraId="4A502DFE" w14:textId="05A1263D" w:rsidR="0046633B" w:rsidRDefault="006D43BC">
          <w:pPr>
            <w:pStyle w:val="TOC3"/>
            <w:tabs>
              <w:tab w:val="right" w:leader="dot" w:pos="10790"/>
            </w:tabs>
            <w:rPr>
              <w:rFonts w:asciiTheme="minorHAnsi" w:eastAsiaTheme="minorEastAsia" w:hAnsiTheme="minorHAnsi"/>
              <w:noProof/>
              <w:sz w:val="22"/>
            </w:rPr>
          </w:pPr>
          <w:hyperlink w:anchor="_Toc13567534" w:history="1">
            <w:r w:rsidR="0046633B" w:rsidRPr="005A308E">
              <w:rPr>
                <w:rStyle w:val="Hyperlink"/>
                <w:noProof/>
              </w:rPr>
              <w:t>DCS Service Provider Roles</w:t>
            </w:r>
            <w:r w:rsidR="0046633B">
              <w:rPr>
                <w:noProof/>
                <w:webHidden/>
              </w:rPr>
              <w:tab/>
            </w:r>
            <w:r w:rsidR="0046633B">
              <w:rPr>
                <w:noProof/>
                <w:webHidden/>
              </w:rPr>
              <w:fldChar w:fldCharType="begin"/>
            </w:r>
            <w:r w:rsidR="0046633B">
              <w:rPr>
                <w:noProof/>
                <w:webHidden/>
              </w:rPr>
              <w:instrText xml:space="preserve"> PAGEREF _Toc13567534 \h </w:instrText>
            </w:r>
            <w:r w:rsidR="0046633B">
              <w:rPr>
                <w:noProof/>
                <w:webHidden/>
              </w:rPr>
            </w:r>
            <w:r w:rsidR="0046633B">
              <w:rPr>
                <w:noProof/>
                <w:webHidden/>
              </w:rPr>
              <w:fldChar w:fldCharType="separate"/>
            </w:r>
            <w:r w:rsidR="0046633B">
              <w:rPr>
                <w:noProof/>
                <w:webHidden/>
              </w:rPr>
              <w:t>425</w:t>
            </w:r>
            <w:r w:rsidR="0046633B">
              <w:rPr>
                <w:noProof/>
                <w:webHidden/>
              </w:rPr>
              <w:fldChar w:fldCharType="end"/>
            </w:r>
          </w:hyperlink>
        </w:p>
        <w:p w14:paraId="010148E3" w14:textId="07F8FE1C" w:rsidR="0046633B" w:rsidRDefault="006D43BC">
          <w:pPr>
            <w:pStyle w:val="TOC3"/>
            <w:tabs>
              <w:tab w:val="right" w:leader="dot" w:pos="10790"/>
            </w:tabs>
            <w:rPr>
              <w:rFonts w:asciiTheme="minorHAnsi" w:eastAsiaTheme="minorEastAsia" w:hAnsiTheme="minorHAnsi"/>
              <w:noProof/>
              <w:sz w:val="22"/>
            </w:rPr>
          </w:pPr>
          <w:hyperlink w:anchor="_Toc13567535" w:history="1">
            <w:r w:rsidR="0046633B" w:rsidRPr="005A308E">
              <w:rPr>
                <w:rStyle w:val="Hyperlink"/>
                <w:noProof/>
              </w:rPr>
              <w:t>Infrastructure</w:t>
            </w:r>
            <w:r w:rsidR="0046633B">
              <w:rPr>
                <w:noProof/>
                <w:webHidden/>
              </w:rPr>
              <w:tab/>
            </w:r>
            <w:r w:rsidR="0046633B">
              <w:rPr>
                <w:noProof/>
                <w:webHidden/>
              </w:rPr>
              <w:fldChar w:fldCharType="begin"/>
            </w:r>
            <w:r w:rsidR="0046633B">
              <w:rPr>
                <w:noProof/>
                <w:webHidden/>
              </w:rPr>
              <w:instrText xml:space="preserve"> PAGEREF _Toc13567535 \h </w:instrText>
            </w:r>
            <w:r w:rsidR="0046633B">
              <w:rPr>
                <w:noProof/>
                <w:webHidden/>
              </w:rPr>
            </w:r>
            <w:r w:rsidR="0046633B">
              <w:rPr>
                <w:noProof/>
                <w:webHidden/>
              </w:rPr>
              <w:fldChar w:fldCharType="separate"/>
            </w:r>
            <w:r w:rsidR="0046633B">
              <w:rPr>
                <w:noProof/>
                <w:webHidden/>
              </w:rPr>
              <w:t>425</w:t>
            </w:r>
            <w:r w:rsidR="0046633B">
              <w:rPr>
                <w:noProof/>
                <w:webHidden/>
              </w:rPr>
              <w:fldChar w:fldCharType="end"/>
            </w:r>
          </w:hyperlink>
        </w:p>
        <w:p w14:paraId="2955EE41" w14:textId="1CD5B7A2" w:rsidR="0046633B" w:rsidRDefault="006D43BC">
          <w:pPr>
            <w:pStyle w:val="TOC3"/>
            <w:tabs>
              <w:tab w:val="right" w:leader="dot" w:pos="10790"/>
            </w:tabs>
            <w:rPr>
              <w:rFonts w:asciiTheme="minorHAnsi" w:eastAsiaTheme="minorEastAsia" w:hAnsiTheme="minorHAnsi"/>
              <w:noProof/>
              <w:sz w:val="22"/>
            </w:rPr>
          </w:pPr>
          <w:hyperlink w:anchor="_Toc13567536" w:history="1">
            <w:r w:rsidR="0046633B" w:rsidRPr="005A308E">
              <w:rPr>
                <w:rStyle w:val="Hyperlink"/>
                <w:noProof/>
              </w:rPr>
              <w:t>DCS Service Level Agreements</w:t>
            </w:r>
            <w:r w:rsidR="0046633B">
              <w:rPr>
                <w:noProof/>
                <w:webHidden/>
              </w:rPr>
              <w:tab/>
            </w:r>
            <w:r w:rsidR="0046633B">
              <w:rPr>
                <w:noProof/>
                <w:webHidden/>
              </w:rPr>
              <w:fldChar w:fldCharType="begin"/>
            </w:r>
            <w:r w:rsidR="0046633B">
              <w:rPr>
                <w:noProof/>
                <w:webHidden/>
              </w:rPr>
              <w:instrText xml:space="preserve"> PAGEREF _Toc13567536 \h </w:instrText>
            </w:r>
            <w:r w:rsidR="0046633B">
              <w:rPr>
                <w:noProof/>
                <w:webHidden/>
              </w:rPr>
            </w:r>
            <w:r w:rsidR="0046633B">
              <w:rPr>
                <w:noProof/>
                <w:webHidden/>
              </w:rPr>
              <w:fldChar w:fldCharType="separate"/>
            </w:r>
            <w:r w:rsidR="0046633B">
              <w:rPr>
                <w:noProof/>
                <w:webHidden/>
              </w:rPr>
              <w:t>426</w:t>
            </w:r>
            <w:r w:rsidR="0046633B">
              <w:rPr>
                <w:noProof/>
                <w:webHidden/>
              </w:rPr>
              <w:fldChar w:fldCharType="end"/>
            </w:r>
          </w:hyperlink>
        </w:p>
        <w:p w14:paraId="60A1F985" w14:textId="79C93986" w:rsidR="0046633B" w:rsidRDefault="006D43BC">
          <w:pPr>
            <w:pStyle w:val="TOC3"/>
            <w:tabs>
              <w:tab w:val="right" w:leader="dot" w:pos="10790"/>
            </w:tabs>
            <w:rPr>
              <w:rFonts w:asciiTheme="minorHAnsi" w:eastAsiaTheme="minorEastAsia" w:hAnsiTheme="minorHAnsi"/>
              <w:noProof/>
              <w:sz w:val="22"/>
            </w:rPr>
          </w:pPr>
          <w:hyperlink w:anchor="_Toc13567537" w:history="1">
            <w:r w:rsidR="0046633B" w:rsidRPr="005A308E">
              <w:rPr>
                <w:rStyle w:val="Hyperlink"/>
                <w:noProof/>
              </w:rPr>
              <w:t>DCS Disaster Recovery Overview</w:t>
            </w:r>
            <w:r w:rsidR="0046633B">
              <w:rPr>
                <w:noProof/>
                <w:webHidden/>
              </w:rPr>
              <w:tab/>
            </w:r>
            <w:r w:rsidR="0046633B">
              <w:rPr>
                <w:noProof/>
                <w:webHidden/>
              </w:rPr>
              <w:fldChar w:fldCharType="begin"/>
            </w:r>
            <w:r w:rsidR="0046633B">
              <w:rPr>
                <w:noProof/>
                <w:webHidden/>
              </w:rPr>
              <w:instrText xml:space="preserve"> PAGEREF _Toc13567537 \h </w:instrText>
            </w:r>
            <w:r w:rsidR="0046633B">
              <w:rPr>
                <w:noProof/>
                <w:webHidden/>
              </w:rPr>
            </w:r>
            <w:r w:rsidR="0046633B">
              <w:rPr>
                <w:noProof/>
                <w:webHidden/>
              </w:rPr>
              <w:fldChar w:fldCharType="separate"/>
            </w:r>
            <w:r w:rsidR="0046633B">
              <w:rPr>
                <w:noProof/>
                <w:webHidden/>
              </w:rPr>
              <w:t>427</w:t>
            </w:r>
            <w:r w:rsidR="0046633B">
              <w:rPr>
                <w:noProof/>
                <w:webHidden/>
              </w:rPr>
              <w:fldChar w:fldCharType="end"/>
            </w:r>
          </w:hyperlink>
        </w:p>
        <w:p w14:paraId="40EE5AB7" w14:textId="030C08EA" w:rsidR="0046633B" w:rsidRDefault="006D43BC">
          <w:pPr>
            <w:pStyle w:val="TOC3"/>
            <w:tabs>
              <w:tab w:val="right" w:leader="dot" w:pos="10790"/>
            </w:tabs>
            <w:rPr>
              <w:rFonts w:asciiTheme="minorHAnsi" w:eastAsiaTheme="minorEastAsia" w:hAnsiTheme="minorHAnsi"/>
              <w:noProof/>
              <w:sz w:val="22"/>
            </w:rPr>
          </w:pPr>
          <w:hyperlink w:anchor="_Toc13567538" w:history="1">
            <w:r w:rsidR="0046633B" w:rsidRPr="005A308E">
              <w:rPr>
                <w:rStyle w:val="Hyperlink"/>
                <w:noProof/>
              </w:rPr>
              <w:t>DCS Hardware and Software Acquisition</w:t>
            </w:r>
            <w:r w:rsidR="0046633B">
              <w:rPr>
                <w:noProof/>
                <w:webHidden/>
              </w:rPr>
              <w:tab/>
            </w:r>
            <w:r w:rsidR="0046633B">
              <w:rPr>
                <w:noProof/>
                <w:webHidden/>
              </w:rPr>
              <w:fldChar w:fldCharType="begin"/>
            </w:r>
            <w:r w:rsidR="0046633B">
              <w:rPr>
                <w:noProof/>
                <w:webHidden/>
              </w:rPr>
              <w:instrText xml:space="preserve"> PAGEREF _Toc13567538 \h </w:instrText>
            </w:r>
            <w:r w:rsidR="0046633B">
              <w:rPr>
                <w:noProof/>
                <w:webHidden/>
              </w:rPr>
            </w:r>
            <w:r w:rsidR="0046633B">
              <w:rPr>
                <w:noProof/>
                <w:webHidden/>
              </w:rPr>
              <w:fldChar w:fldCharType="separate"/>
            </w:r>
            <w:r w:rsidR="0046633B">
              <w:rPr>
                <w:noProof/>
                <w:webHidden/>
              </w:rPr>
              <w:t>428</w:t>
            </w:r>
            <w:r w:rsidR="0046633B">
              <w:rPr>
                <w:noProof/>
                <w:webHidden/>
              </w:rPr>
              <w:fldChar w:fldCharType="end"/>
            </w:r>
          </w:hyperlink>
        </w:p>
        <w:p w14:paraId="131AF626" w14:textId="2FCB86EC" w:rsidR="0046633B" w:rsidRDefault="006D43BC">
          <w:pPr>
            <w:pStyle w:val="TOC3"/>
            <w:tabs>
              <w:tab w:val="right" w:leader="dot" w:pos="10790"/>
            </w:tabs>
            <w:rPr>
              <w:rFonts w:asciiTheme="minorHAnsi" w:eastAsiaTheme="minorEastAsia" w:hAnsiTheme="minorHAnsi"/>
              <w:noProof/>
              <w:sz w:val="22"/>
            </w:rPr>
          </w:pPr>
          <w:hyperlink w:anchor="_Toc13567539" w:history="1">
            <w:r w:rsidR="0046633B" w:rsidRPr="005A308E">
              <w:rPr>
                <w:rStyle w:val="Hyperlink"/>
                <w:noProof/>
              </w:rPr>
              <w:t>DCS Intel Based Configurations</w:t>
            </w:r>
            <w:r w:rsidR="0046633B">
              <w:rPr>
                <w:noProof/>
                <w:webHidden/>
              </w:rPr>
              <w:tab/>
            </w:r>
            <w:r w:rsidR="0046633B">
              <w:rPr>
                <w:noProof/>
                <w:webHidden/>
              </w:rPr>
              <w:fldChar w:fldCharType="begin"/>
            </w:r>
            <w:r w:rsidR="0046633B">
              <w:rPr>
                <w:noProof/>
                <w:webHidden/>
              </w:rPr>
              <w:instrText xml:space="preserve"> PAGEREF _Toc13567539 \h </w:instrText>
            </w:r>
            <w:r w:rsidR="0046633B">
              <w:rPr>
                <w:noProof/>
                <w:webHidden/>
              </w:rPr>
            </w:r>
            <w:r w:rsidR="0046633B">
              <w:rPr>
                <w:noProof/>
                <w:webHidden/>
              </w:rPr>
              <w:fldChar w:fldCharType="separate"/>
            </w:r>
            <w:r w:rsidR="0046633B">
              <w:rPr>
                <w:noProof/>
                <w:webHidden/>
              </w:rPr>
              <w:t>428</w:t>
            </w:r>
            <w:r w:rsidR="0046633B">
              <w:rPr>
                <w:noProof/>
                <w:webHidden/>
              </w:rPr>
              <w:fldChar w:fldCharType="end"/>
            </w:r>
          </w:hyperlink>
        </w:p>
        <w:p w14:paraId="0C61D737" w14:textId="426B2269" w:rsidR="0046633B" w:rsidRDefault="006D43BC">
          <w:pPr>
            <w:pStyle w:val="TOC3"/>
            <w:tabs>
              <w:tab w:val="right" w:leader="dot" w:pos="10790"/>
            </w:tabs>
            <w:rPr>
              <w:rFonts w:asciiTheme="minorHAnsi" w:eastAsiaTheme="minorEastAsia" w:hAnsiTheme="minorHAnsi"/>
              <w:noProof/>
              <w:sz w:val="22"/>
            </w:rPr>
          </w:pPr>
          <w:hyperlink w:anchor="_Toc13567540" w:history="1">
            <w:r w:rsidR="0046633B" w:rsidRPr="005A308E">
              <w:rPr>
                <w:rStyle w:val="Hyperlink"/>
                <w:noProof/>
              </w:rPr>
              <w:t>Process Management</w:t>
            </w:r>
            <w:r w:rsidR="0046633B">
              <w:rPr>
                <w:noProof/>
                <w:webHidden/>
              </w:rPr>
              <w:tab/>
            </w:r>
            <w:r w:rsidR="0046633B">
              <w:rPr>
                <w:noProof/>
                <w:webHidden/>
              </w:rPr>
              <w:fldChar w:fldCharType="begin"/>
            </w:r>
            <w:r w:rsidR="0046633B">
              <w:rPr>
                <w:noProof/>
                <w:webHidden/>
              </w:rPr>
              <w:instrText xml:space="preserve"> PAGEREF _Toc13567540 \h </w:instrText>
            </w:r>
            <w:r w:rsidR="0046633B">
              <w:rPr>
                <w:noProof/>
                <w:webHidden/>
              </w:rPr>
            </w:r>
            <w:r w:rsidR="0046633B">
              <w:rPr>
                <w:noProof/>
                <w:webHidden/>
              </w:rPr>
              <w:fldChar w:fldCharType="separate"/>
            </w:r>
            <w:r w:rsidR="0046633B">
              <w:rPr>
                <w:noProof/>
                <w:webHidden/>
              </w:rPr>
              <w:t>428</w:t>
            </w:r>
            <w:r w:rsidR="0046633B">
              <w:rPr>
                <w:noProof/>
                <w:webHidden/>
              </w:rPr>
              <w:fldChar w:fldCharType="end"/>
            </w:r>
          </w:hyperlink>
        </w:p>
        <w:p w14:paraId="208A106E" w14:textId="7F8DC464" w:rsidR="0046633B" w:rsidRDefault="006D43BC">
          <w:pPr>
            <w:pStyle w:val="TOC3"/>
            <w:tabs>
              <w:tab w:val="right" w:leader="dot" w:pos="10790"/>
            </w:tabs>
            <w:rPr>
              <w:rFonts w:asciiTheme="minorHAnsi" w:eastAsiaTheme="minorEastAsia" w:hAnsiTheme="minorHAnsi"/>
              <w:noProof/>
              <w:sz w:val="22"/>
            </w:rPr>
          </w:pPr>
          <w:hyperlink w:anchor="_Toc13567541" w:history="1">
            <w:r w:rsidR="0046633B" w:rsidRPr="005A308E">
              <w:rPr>
                <w:rStyle w:val="Hyperlink"/>
                <w:noProof/>
              </w:rPr>
              <w:t>Database Administration</w:t>
            </w:r>
            <w:r w:rsidR="0046633B">
              <w:rPr>
                <w:noProof/>
                <w:webHidden/>
              </w:rPr>
              <w:tab/>
            </w:r>
            <w:r w:rsidR="0046633B">
              <w:rPr>
                <w:noProof/>
                <w:webHidden/>
              </w:rPr>
              <w:fldChar w:fldCharType="begin"/>
            </w:r>
            <w:r w:rsidR="0046633B">
              <w:rPr>
                <w:noProof/>
                <w:webHidden/>
              </w:rPr>
              <w:instrText xml:space="preserve"> PAGEREF _Toc13567541 \h </w:instrText>
            </w:r>
            <w:r w:rsidR="0046633B">
              <w:rPr>
                <w:noProof/>
                <w:webHidden/>
              </w:rPr>
            </w:r>
            <w:r w:rsidR="0046633B">
              <w:rPr>
                <w:noProof/>
                <w:webHidden/>
              </w:rPr>
              <w:fldChar w:fldCharType="separate"/>
            </w:r>
            <w:r w:rsidR="0046633B">
              <w:rPr>
                <w:noProof/>
                <w:webHidden/>
              </w:rPr>
              <w:t>428</w:t>
            </w:r>
            <w:r w:rsidR="0046633B">
              <w:rPr>
                <w:noProof/>
                <w:webHidden/>
              </w:rPr>
              <w:fldChar w:fldCharType="end"/>
            </w:r>
          </w:hyperlink>
        </w:p>
        <w:p w14:paraId="6BA50F52" w14:textId="1D64822E" w:rsidR="0046633B" w:rsidRDefault="006D43BC">
          <w:pPr>
            <w:pStyle w:val="TOC3"/>
            <w:tabs>
              <w:tab w:val="right" w:leader="dot" w:pos="10790"/>
            </w:tabs>
            <w:rPr>
              <w:rFonts w:asciiTheme="minorHAnsi" w:eastAsiaTheme="minorEastAsia" w:hAnsiTheme="minorHAnsi"/>
              <w:noProof/>
              <w:sz w:val="22"/>
            </w:rPr>
          </w:pPr>
          <w:hyperlink w:anchor="_Toc13567542" w:history="1">
            <w:r w:rsidR="0046633B" w:rsidRPr="005A308E">
              <w:rPr>
                <w:rStyle w:val="Hyperlink"/>
                <w:noProof/>
              </w:rPr>
              <w:t>Hardware and Software Currency</w:t>
            </w:r>
            <w:r w:rsidR="0046633B">
              <w:rPr>
                <w:noProof/>
                <w:webHidden/>
              </w:rPr>
              <w:tab/>
            </w:r>
            <w:r w:rsidR="0046633B">
              <w:rPr>
                <w:noProof/>
                <w:webHidden/>
              </w:rPr>
              <w:fldChar w:fldCharType="begin"/>
            </w:r>
            <w:r w:rsidR="0046633B">
              <w:rPr>
                <w:noProof/>
                <w:webHidden/>
              </w:rPr>
              <w:instrText xml:space="preserve"> PAGEREF _Toc13567542 \h </w:instrText>
            </w:r>
            <w:r w:rsidR="0046633B">
              <w:rPr>
                <w:noProof/>
                <w:webHidden/>
              </w:rPr>
            </w:r>
            <w:r w:rsidR="0046633B">
              <w:rPr>
                <w:noProof/>
                <w:webHidden/>
              </w:rPr>
              <w:fldChar w:fldCharType="separate"/>
            </w:r>
            <w:r w:rsidR="0046633B">
              <w:rPr>
                <w:noProof/>
                <w:webHidden/>
              </w:rPr>
              <w:t>429</w:t>
            </w:r>
            <w:r w:rsidR="0046633B">
              <w:rPr>
                <w:noProof/>
                <w:webHidden/>
              </w:rPr>
              <w:fldChar w:fldCharType="end"/>
            </w:r>
          </w:hyperlink>
        </w:p>
        <w:p w14:paraId="3649A1F1" w14:textId="427B69BA" w:rsidR="0046633B" w:rsidRDefault="006D43BC">
          <w:pPr>
            <w:pStyle w:val="TOC3"/>
            <w:tabs>
              <w:tab w:val="right" w:leader="dot" w:pos="10790"/>
            </w:tabs>
            <w:rPr>
              <w:rFonts w:asciiTheme="minorHAnsi" w:eastAsiaTheme="minorEastAsia" w:hAnsiTheme="minorHAnsi"/>
              <w:noProof/>
              <w:sz w:val="22"/>
            </w:rPr>
          </w:pPr>
          <w:hyperlink w:anchor="_Toc13567543" w:history="1">
            <w:r w:rsidR="0046633B" w:rsidRPr="005A308E">
              <w:rPr>
                <w:rStyle w:val="Hyperlink"/>
                <w:noProof/>
              </w:rPr>
              <w:t>Functions Retained by Agencies – Out of Scope for Data Center Services</w:t>
            </w:r>
            <w:r w:rsidR="0046633B">
              <w:rPr>
                <w:noProof/>
                <w:webHidden/>
              </w:rPr>
              <w:tab/>
            </w:r>
            <w:r w:rsidR="0046633B">
              <w:rPr>
                <w:noProof/>
                <w:webHidden/>
              </w:rPr>
              <w:fldChar w:fldCharType="begin"/>
            </w:r>
            <w:r w:rsidR="0046633B">
              <w:rPr>
                <w:noProof/>
                <w:webHidden/>
              </w:rPr>
              <w:instrText xml:space="preserve"> PAGEREF _Toc13567543 \h </w:instrText>
            </w:r>
            <w:r w:rsidR="0046633B">
              <w:rPr>
                <w:noProof/>
                <w:webHidden/>
              </w:rPr>
            </w:r>
            <w:r w:rsidR="0046633B">
              <w:rPr>
                <w:noProof/>
                <w:webHidden/>
              </w:rPr>
              <w:fldChar w:fldCharType="separate"/>
            </w:r>
            <w:r w:rsidR="0046633B">
              <w:rPr>
                <w:noProof/>
                <w:webHidden/>
              </w:rPr>
              <w:t>429</w:t>
            </w:r>
            <w:r w:rsidR="0046633B">
              <w:rPr>
                <w:noProof/>
                <w:webHidden/>
              </w:rPr>
              <w:fldChar w:fldCharType="end"/>
            </w:r>
          </w:hyperlink>
        </w:p>
        <w:p w14:paraId="41D67CC8" w14:textId="35B3E954" w:rsidR="0046633B" w:rsidRDefault="006D43BC">
          <w:pPr>
            <w:pStyle w:val="TOC3"/>
            <w:tabs>
              <w:tab w:val="right" w:leader="dot" w:pos="10790"/>
            </w:tabs>
            <w:rPr>
              <w:rFonts w:asciiTheme="minorHAnsi" w:eastAsiaTheme="minorEastAsia" w:hAnsiTheme="minorHAnsi"/>
              <w:noProof/>
              <w:sz w:val="22"/>
            </w:rPr>
          </w:pPr>
          <w:hyperlink w:anchor="_Toc13567544" w:history="1">
            <w:r w:rsidR="0046633B" w:rsidRPr="005A308E">
              <w:rPr>
                <w:rStyle w:val="Hyperlink"/>
                <w:noProof/>
              </w:rPr>
              <w:t>Level I Help Desk</w:t>
            </w:r>
            <w:r w:rsidR="0046633B">
              <w:rPr>
                <w:noProof/>
                <w:webHidden/>
              </w:rPr>
              <w:tab/>
            </w:r>
            <w:r w:rsidR="0046633B">
              <w:rPr>
                <w:noProof/>
                <w:webHidden/>
              </w:rPr>
              <w:fldChar w:fldCharType="begin"/>
            </w:r>
            <w:r w:rsidR="0046633B">
              <w:rPr>
                <w:noProof/>
                <w:webHidden/>
              </w:rPr>
              <w:instrText xml:space="preserve"> PAGEREF _Toc13567544 \h </w:instrText>
            </w:r>
            <w:r w:rsidR="0046633B">
              <w:rPr>
                <w:noProof/>
                <w:webHidden/>
              </w:rPr>
            </w:r>
            <w:r w:rsidR="0046633B">
              <w:rPr>
                <w:noProof/>
                <w:webHidden/>
              </w:rPr>
              <w:fldChar w:fldCharType="separate"/>
            </w:r>
            <w:r w:rsidR="0046633B">
              <w:rPr>
                <w:noProof/>
                <w:webHidden/>
              </w:rPr>
              <w:t>429</w:t>
            </w:r>
            <w:r w:rsidR="0046633B">
              <w:rPr>
                <w:noProof/>
                <w:webHidden/>
              </w:rPr>
              <w:fldChar w:fldCharType="end"/>
            </w:r>
          </w:hyperlink>
        </w:p>
        <w:p w14:paraId="6159B8B4" w14:textId="2E323C04" w:rsidR="004036A7" w:rsidRDefault="004036A7" w:rsidP="004036A7">
          <w:r w:rsidRPr="00E21848">
            <w:fldChar w:fldCharType="end"/>
          </w:r>
        </w:p>
      </w:sdtContent>
    </w:sdt>
    <w:bookmarkEnd w:id="0" w:displacedByCustomXml="prev"/>
    <w:p w14:paraId="634FC263" w14:textId="709ECE91" w:rsidR="004036A7" w:rsidRDefault="004036A7" w:rsidP="004036A7"/>
    <w:p w14:paraId="25C7D76E" w14:textId="77777777" w:rsidR="004036A7" w:rsidRDefault="004036A7">
      <w:pPr>
        <w:spacing w:after="160" w:line="259" w:lineRule="auto"/>
        <w:ind w:left="0"/>
        <w:rPr>
          <w:rFonts w:eastAsiaTheme="majorEastAsia" w:cstheme="majorBidi"/>
          <w:b/>
          <w:color w:val="1F3864" w:themeColor="accent5" w:themeShade="80"/>
          <w:sz w:val="26"/>
          <w:szCs w:val="26"/>
        </w:rPr>
      </w:pPr>
      <w:r>
        <w:br w:type="page"/>
      </w:r>
    </w:p>
    <w:p w14:paraId="46C04841" w14:textId="4EEAEE61" w:rsidR="00B554A2" w:rsidRDefault="004036A7" w:rsidP="004036A7">
      <w:pPr>
        <w:pStyle w:val="Heading2"/>
      </w:pPr>
      <w:bookmarkStart w:id="1" w:name="_Toc13567372"/>
      <w:r>
        <w:lastRenderedPageBreak/>
        <w:t>Glossary of Acronyms and Terms</w:t>
      </w:r>
      <w:bookmarkEnd w:id="1"/>
    </w:p>
    <w:tbl>
      <w:tblPr>
        <w:tblW w:w="10800" w:type="dxa"/>
        <w:tblInd w:w="30" w:type="dxa"/>
        <w:tblLayout w:type="fixed"/>
        <w:tblCellMar>
          <w:top w:w="72" w:type="dxa"/>
          <w:left w:w="72" w:type="dxa"/>
          <w:right w:w="72" w:type="dxa"/>
        </w:tblCellMar>
        <w:tblLook w:val="0000" w:firstRow="0" w:lastRow="0" w:firstColumn="0" w:lastColumn="0" w:noHBand="0" w:noVBand="0"/>
        <w:tblDescription w:val="Glossary of acronymns and terms table"/>
      </w:tblPr>
      <w:tblGrid>
        <w:gridCol w:w="1620"/>
        <w:gridCol w:w="9180"/>
      </w:tblGrid>
      <w:tr w:rsidR="001B4A2F" w:rsidRPr="008C2C58" w14:paraId="6125E944" w14:textId="77777777" w:rsidTr="00482456">
        <w:trPr>
          <w:trHeight w:val="226"/>
          <w:tblHeader/>
        </w:trPr>
        <w:tc>
          <w:tcPr>
            <w:tcW w:w="1620"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339CB3A8" w14:textId="77777777" w:rsidR="001B4A2F" w:rsidRPr="008C2C58" w:rsidRDefault="001B4A2F" w:rsidP="008C2C58">
            <w:pPr>
              <w:spacing w:after="0"/>
              <w:ind w:left="0"/>
              <w:jc w:val="center"/>
              <w:rPr>
                <w:rFonts w:cs="Arial"/>
                <w:b/>
                <w:color w:val="1F3864" w:themeColor="accent5" w:themeShade="80"/>
                <w:szCs w:val="20"/>
              </w:rPr>
            </w:pPr>
            <w:r w:rsidRPr="008C2C58">
              <w:rPr>
                <w:rFonts w:cs="Arial"/>
                <w:b/>
                <w:color w:val="1F3864" w:themeColor="accent5" w:themeShade="80"/>
                <w:szCs w:val="20"/>
              </w:rPr>
              <w:t>Acronym/ Term</w:t>
            </w:r>
          </w:p>
        </w:tc>
        <w:tc>
          <w:tcPr>
            <w:tcW w:w="9180"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1DA51511" w14:textId="77777777" w:rsidR="001B4A2F" w:rsidRPr="008C2C58" w:rsidRDefault="001B4A2F" w:rsidP="008C2C58">
            <w:pPr>
              <w:spacing w:after="0"/>
              <w:ind w:left="0"/>
              <w:jc w:val="center"/>
              <w:rPr>
                <w:rFonts w:cs="Arial"/>
                <w:b/>
                <w:color w:val="1F3864" w:themeColor="accent5" w:themeShade="80"/>
                <w:szCs w:val="20"/>
              </w:rPr>
            </w:pPr>
            <w:r w:rsidRPr="008C2C58">
              <w:rPr>
                <w:rFonts w:cs="Arial"/>
                <w:b/>
                <w:color w:val="1F3864" w:themeColor="accent5" w:themeShade="80"/>
                <w:szCs w:val="20"/>
              </w:rPr>
              <w:t>Description/Definition</w:t>
            </w:r>
          </w:p>
        </w:tc>
      </w:tr>
      <w:tr w:rsidR="001B4A2F" w:rsidRPr="008C2C58" w14:paraId="4C5A1E2E"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0672C979" w14:textId="77777777" w:rsidR="001B4A2F" w:rsidRPr="00AC2EB0" w:rsidRDefault="001B4A2F" w:rsidP="00031367">
            <w:pPr>
              <w:ind w:left="0"/>
              <w:rPr>
                <w:rFonts w:cs="Arial"/>
                <w:snapToGrid w:val="0"/>
                <w:color w:val="000000"/>
                <w:szCs w:val="24"/>
              </w:rPr>
            </w:pPr>
            <w:r w:rsidRPr="00F020E0">
              <w:t>24/7/365</w:t>
            </w:r>
          </w:p>
        </w:tc>
        <w:tc>
          <w:tcPr>
            <w:tcW w:w="9180" w:type="dxa"/>
            <w:tcBorders>
              <w:top w:val="single" w:sz="6" w:space="0" w:color="auto"/>
              <w:left w:val="single" w:sz="6" w:space="0" w:color="auto"/>
              <w:bottom w:val="single" w:sz="6" w:space="0" w:color="auto"/>
              <w:right w:val="single" w:sz="6" w:space="0" w:color="auto"/>
            </w:tcBorders>
          </w:tcPr>
          <w:p w14:paraId="7CA7CC6B" w14:textId="77777777" w:rsidR="001B4A2F" w:rsidRPr="008C2C58" w:rsidRDefault="001B4A2F" w:rsidP="00031367">
            <w:pPr>
              <w:ind w:left="0"/>
              <w:rPr>
                <w:rFonts w:cs="Arial"/>
                <w:snapToGrid w:val="0"/>
                <w:color w:val="000000"/>
                <w:szCs w:val="24"/>
              </w:rPr>
            </w:pPr>
            <w:r>
              <w:t>24 hours per day, 7 days per week, 365 days per year</w:t>
            </w:r>
          </w:p>
        </w:tc>
      </w:tr>
      <w:tr w:rsidR="001B4A2F" w:rsidRPr="008C2C58" w14:paraId="72696434"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3844A78C" w14:textId="77777777" w:rsidR="001B4A2F" w:rsidRPr="00AC2EB0" w:rsidRDefault="001B4A2F" w:rsidP="00031367">
            <w:pPr>
              <w:ind w:left="0"/>
              <w:rPr>
                <w:rFonts w:cs="Arial"/>
                <w:snapToGrid w:val="0"/>
                <w:color w:val="000000"/>
                <w:szCs w:val="24"/>
              </w:rPr>
            </w:pPr>
            <w:r>
              <w:rPr>
                <w:rFonts w:cs="Arial"/>
                <w:snapToGrid w:val="0"/>
                <w:color w:val="000000"/>
                <w:szCs w:val="24"/>
              </w:rPr>
              <w:t>3PAO</w:t>
            </w:r>
          </w:p>
        </w:tc>
        <w:tc>
          <w:tcPr>
            <w:tcW w:w="9180" w:type="dxa"/>
            <w:tcBorders>
              <w:top w:val="single" w:sz="6" w:space="0" w:color="auto"/>
              <w:left w:val="single" w:sz="6" w:space="0" w:color="auto"/>
              <w:bottom w:val="single" w:sz="6" w:space="0" w:color="auto"/>
              <w:right w:val="single" w:sz="6" w:space="0" w:color="auto"/>
            </w:tcBorders>
          </w:tcPr>
          <w:p w14:paraId="3CDC81B9" w14:textId="77777777" w:rsidR="001B4A2F" w:rsidRDefault="001B4A2F" w:rsidP="00031367">
            <w:pPr>
              <w:tabs>
                <w:tab w:val="left" w:pos="3270"/>
              </w:tabs>
              <w:ind w:left="0"/>
              <w:rPr>
                <w:szCs w:val="24"/>
              </w:rPr>
            </w:pPr>
            <w:r>
              <w:rPr>
                <w:szCs w:val="24"/>
              </w:rPr>
              <w:t>Third Party Assessment Organization (for FedRAMP)</w:t>
            </w:r>
          </w:p>
        </w:tc>
      </w:tr>
      <w:tr w:rsidR="001B4A2F" w:rsidRPr="008C2C58" w14:paraId="52904BCC"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50362277" w14:textId="77777777" w:rsidR="001B4A2F" w:rsidRPr="00AC2EB0" w:rsidRDefault="001B4A2F" w:rsidP="00892CA7">
            <w:pPr>
              <w:ind w:left="0"/>
              <w:rPr>
                <w:rFonts w:cs="Arial"/>
                <w:snapToGrid w:val="0"/>
                <w:color w:val="000000"/>
                <w:szCs w:val="24"/>
              </w:rPr>
            </w:pPr>
            <w:r>
              <w:rPr>
                <w:rFonts w:cs="Arial"/>
                <w:snapToGrid w:val="0"/>
                <w:color w:val="000000"/>
                <w:szCs w:val="24"/>
              </w:rPr>
              <w:t>ACH</w:t>
            </w:r>
          </w:p>
        </w:tc>
        <w:tc>
          <w:tcPr>
            <w:tcW w:w="9180" w:type="dxa"/>
            <w:tcBorders>
              <w:top w:val="single" w:sz="6" w:space="0" w:color="auto"/>
              <w:left w:val="single" w:sz="6" w:space="0" w:color="auto"/>
              <w:bottom w:val="single" w:sz="6" w:space="0" w:color="auto"/>
              <w:right w:val="single" w:sz="6" w:space="0" w:color="auto"/>
            </w:tcBorders>
          </w:tcPr>
          <w:p w14:paraId="47D50792" w14:textId="77777777" w:rsidR="001B4A2F" w:rsidRPr="00256223" w:rsidRDefault="001B4A2F" w:rsidP="00892CA7">
            <w:pPr>
              <w:ind w:left="0"/>
            </w:pPr>
            <w:r w:rsidRPr="00761E3C">
              <w:rPr>
                <w:szCs w:val="24"/>
              </w:rPr>
              <w:t>An automated clearing house (ACH) is an electronic funds-transfer system run by the National Automated Clearing House Association (NACHA). This payment system deals with payroll, direct deposit, tax refunds, consumer bills, tax payments and many more payment services.</w:t>
            </w:r>
          </w:p>
        </w:tc>
      </w:tr>
      <w:tr w:rsidR="001B4A2F" w:rsidRPr="008C2C58" w14:paraId="52962103"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04B8B033" w14:textId="77777777" w:rsidR="001B4A2F" w:rsidRPr="00AC2EB0" w:rsidRDefault="001B4A2F" w:rsidP="007E0A18">
            <w:pPr>
              <w:ind w:left="0"/>
              <w:rPr>
                <w:rFonts w:cs="Arial"/>
                <w:snapToGrid w:val="0"/>
                <w:color w:val="000000"/>
                <w:szCs w:val="24"/>
              </w:rPr>
            </w:pPr>
            <w:r w:rsidRPr="00AC2EB0">
              <w:rPr>
                <w:rFonts w:cs="Arial"/>
                <w:snapToGrid w:val="0"/>
                <w:color w:val="000000"/>
                <w:szCs w:val="24"/>
              </w:rPr>
              <w:t>Active2</w:t>
            </w:r>
          </w:p>
        </w:tc>
        <w:tc>
          <w:tcPr>
            <w:tcW w:w="9180" w:type="dxa"/>
            <w:tcBorders>
              <w:top w:val="single" w:sz="6" w:space="0" w:color="auto"/>
              <w:left w:val="single" w:sz="6" w:space="0" w:color="auto"/>
              <w:bottom w:val="single" w:sz="6" w:space="0" w:color="auto"/>
              <w:right w:val="single" w:sz="6" w:space="0" w:color="auto"/>
            </w:tcBorders>
          </w:tcPr>
          <w:p w14:paraId="3C4C34E6" w14:textId="77777777" w:rsidR="001B4A2F" w:rsidRPr="00256223" w:rsidRDefault="001B4A2F" w:rsidP="007E0A18">
            <w:pPr>
              <w:ind w:left="0"/>
            </w:pPr>
            <w:r w:rsidRPr="00256223">
              <w:t xml:space="preserve">DOL requirement for ETA 581 reporting purposes to show Employers that have gone </w:t>
            </w:r>
            <w:r>
              <w:t>two (</w:t>
            </w:r>
            <w:r w:rsidRPr="00256223">
              <w:t>2</w:t>
            </w:r>
            <w:r>
              <w:t>)</w:t>
            </w:r>
            <w:r w:rsidRPr="00256223">
              <w:t xml:space="preserve"> quarters since last paid wages but are still operating</w:t>
            </w:r>
            <w:r>
              <w:t>.</w:t>
            </w:r>
          </w:p>
        </w:tc>
      </w:tr>
      <w:tr w:rsidR="001B4A2F" w:rsidRPr="008C2C58" w14:paraId="09FCF76D" w14:textId="77777777" w:rsidTr="00482456">
        <w:tblPrEx>
          <w:tblLook w:val="04A0" w:firstRow="1" w:lastRow="0" w:firstColumn="1" w:lastColumn="0" w:noHBand="0" w:noVBand="1"/>
        </w:tblPrEx>
        <w:trPr>
          <w:trHeight w:val="226"/>
        </w:trPr>
        <w:tc>
          <w:tcPr>
            <w:tcW w:w="1620" w:type="dxa"/>
            <w:tcBorders>
              <w:top w:val="single" w:sz="6" w:space="0" w:color="auto"/>
              <w:left w:val="single" w:sz="6" w:space="0" w:color="auto"/>
              <w:bottom w:val="single" w:sz="6" w:space="0" w:color="auto"/>
              <w:right w:val="single" w:sz="6" w:space="0" w:color="auto"/>
            </w:tcBorders>
          </w:tcPr>
          <w:p w14:paraId="647D588A" w14:textId="77777777" w:rsidR="001B4A2F" w:rsidRPr="00AC2EB0" w:rsidRDefault="001B4A2F" w:rsidP="001A42F1">
            <w:pPr>
              <w:ind w:left="0"/>
              <w:rPr>
                <w:rFonts w:cs="Arial"/>
                <w:snapToGrid w:val="0"/>
                <w:color w:val="000000"/>
                <w:szCs w:val="24"/>
              </w:rPr>
            </w:pPr>
            <w:r>
              <w:rPr>
                <w:rFonts w:cs="Arial"/>
                <w:snapToGrid w:val="0"/>
                <w:color w:val="000000"/>
                <w:szCs w:val="24"/>
              </w:rPr>
              <w:t>AD&amp;M</w:t>
            </w:r>
          </w:p>
        </w:tc>
        <w:tc>
          <w:tcPr>
            <w:tcW w:w="9180" w:type="dxa"/>
            <w:tcBorders>
              <w:top w:val="single" w:sz="6" w:space="0" w:color="auto"/>
              <w:left w:val="single" w:sz="6" w:space="0" w:color="auto"/>
              <w:bottom w:val="single" w:sz="6" w:space="0" w:color="auto"/>
              <w:right w:val="single" w:sz="6" w:space="0" w:color="auto"/>
            </w:tcBorders>
          </w:tcPr>
          <w:p w14:paraId="37BA87EA" w14:textId="77777777" w:rsidR="001B4A2F" w:rsidRPr="008C2C58" w:rsidRDefault="001B4A2F" w:rsidP="001A42F1">
            <w:pPr>
              <w:ind w:left="0"/>
              <w:rPr>
                <w:rFonts w:cs="Arial"/>
                <w:snapToGrid w:val="0"/>
                <w:color w:val="000000"/>
                <w:szCs w:val="24"/>
              </w:rPr>
            </w:pPr>
            <w:r>
              <w:rPr>
                <w:rFonts w:cs="Arial"/>
                <w:snapToGrid w:val="0"/>
                <w:color w:val="000000"/>
                <w:szCs w:val="24"/>
              </w:rPr>
              <w:t>Application Development and Maintenance</w:t>
            </w:r>
            <w:r w:rsidRPr="008C2C58">
              <w:rPr>
                <w:rFonts w:cs="Arial"/>
                <w:snapToGrid w:val="0"/>
                <w:color w:val="000000"/>
                <w:szCs w:val="24"/>
              </w:rPr>
              <w:t xml:space="preserve"> (TWC IT)</w:t>
            </w:r>
          </w:p>
        </w:tc>
      </w:tr>
      <w:tr w:rsidR="001B4A2F" w:rsidRPr="008C2C58" w14:paraId="3B4D2519"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48ACB4CA"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ADA</w:t>
            </w:r>
          </w:p>
        </w:tc>
        <w:tc>
          <w:tcPr>
            <w:tcW w:w="9180" w:type="dxa"/>
            <w:tcBorders>
              <w:top w:val="single" w:sz="6" w:space="0" w:color="auto"/>
              <w:left w:val="single" w:sz="6" w:space="0" w:color="auto"/>
              <w:bottom w:val="single" w:sz="6" w:space="0" w:color="auto"/>
              <w:right w:val="single" w:sz="6" w:space="0" w:color="auto"/>
            </w:tcBorders>
          </w:tcPr>
          <w:p w14:paraId="24A078F5" w14:textId="77777777" w:rsidR="001B4A2F" w:rsidRPr="008C2C58" w:rsidRDefault="001B4A2F" w:rsidP="00031367">
            <w:pPr>
              <w:ind w:left="0"/>
              <w:rPr>
                <w:rFonts w:cs="Arial"/>
                <w:snapToGrid w:val="0"/>
                <w:color w:val="000000"/>
                <w:szCs w:val="24"/>
              </w:rPr>
            </w:pPr>
            <w:r w:rsidRPr="00BA5B02">
              <w:t>Appeals Data</w:t>
            </w:r>
            <w:r>
              <w:t>base</w:t>
            </w:r>
            <w:r w:rsidRPr="00BA5B02">
              <w:t xml:space="preserve"> Administration</w:t>
            </w:r>
          </w:p>
        </w:tc>
      </w:tr>
      <w:tr w:rsidR="001B4A2F" w:rsidRPr="008C2C58" w14:paraId="6BB81DAE"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1994FE9C"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ADC</w:t>
            </w:r>
          </w:p>
        </w:tc>
        <w:tc>
          <w:tcPr>
            <w:tcW w:w="9180" w:type="dxa"/>
            <w:tcBorders>
              <w:top w:val="single" w:sz="6" w:space="0" w:color="auto"/>
              <w:left w:val="single" w:sz="6" w:space="0" w:color="auto"/>
              <w:bottom w:val="single" w:sz="6" w:space="0" w:color="auto"/>
              <w:right w:val="single" w:sz="6" w:space="0" w:color="auto"/>
            </w:tcBorders>
          </w:tcPr>
          <w:p w14:paraId="03F867F0" w14:textId="77777777" w:rsidR="001B4A2F" w:rsidRDefault="001B4A2F" w:rsidP="00031367">
            <w:pPr>
              <w:tabs>
                <w:tab w:val="left" w:pos="3270"/>
              </w:tabs>
              <w:ind w:left="0"/>
              <w:rPr>
                <w:szCs w:val="24"/>
              </w:rPr>
            </w:pPr>
            <w:r>
              <w:rPr>
                <w:szCs w:val="24"/>
              </w:rPr>
              <w:t>Austin Data Center (serves as the State printing agency)</w:t>
            </w:r>
          </w:p>
        </w:tc>
      </w:tr>
      <w:tr w:rsidR="001B4A2F" w:rsidRPr="008C2C58" w14:paraId="75B8DD7C" w14:textId="77777777" w:rsidTr="00482456">
        <w:tblPrEx>
          <w:tblLook w:val="04A0" w:firstRow="1" w:lastRow="0" w:firstColumn="1" w:lastColumn="0" w:noHBand="0" w:noVBand="1"/>
        </w:tblPrEx>
        <w:trPr>
          <w:trHeight w:val="226"/>
        </w:trPr>
        <w:tc>
          <w:tcPr>
            <w:tcW w:w="1620" w:type="dxa"/>
            <w:tcBorders>
              <w:top w:val="single" w:sz="6" w:space="0" w:color="auto"/>
              <w:left w:val="single" w:sz="6" w:space="0" w:color="auto"/>
              <w:bottom w:val="single" w:sz="6" w:space="0" w:color="auto"/>
              <w:right w:val="single" w:sz="6" w:space="0" w:color="auto"/>
            </w:tcBorders>
            <w:hideMark/>
          </w:tcPr>
          <w:p w14:paraId="11577E98"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AES</w:t>
            </w:r>
          </w:p>
        </w:tc>
        <w:tc>
          <w:tcPr>
            <w:tcW w:w="9180" w:type="dxa"/>
            <w:tcBorders>
              <w:top w:val="single" w:sz="6" w:space="0" w:color="auto"/>
              <w:left w:val="single" w:sz="6" w:space="0" w:color="auto"/>
              <w:bottom w:val="single" w:sz="6" w:space="0" w:color="auto"/>
              <w:right w:val="single" w:sz="6" w:space="0" w:color="auto"/>
            </w:tcBorders>
            <w:hideMark/>
          </w:tcPr>
          <w:p w14:paraId="64A053B9"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Advanced Encryption Standard</w:t>
            </w:r>
          </w:p>
        </w:tc>
      </w:tr>
      <w:tr w:rsidR="001B4A2F" w:rsidRPr="008C2C58" w14:paraId="74094D9C" w14:textId="77777777" w:rsidTr="00482456">
        <w:tblPrEx>
          <w:tblLook w:val="04A0" w:firstRow="1" w:lastRow="0" w:firstColumn="1" w:lastColumn="0" w:noHBand="0" w:noVBand="1"/>
        </w:tblPrEx>
        <w:trPr>
          <w:trHeight w:val="226"/>
        </w:trPr>
        <w:tc>
          <w:tcPr>
            <w:tcW w:w="1620" w:type="dxa"/>
            <w:tcBorders>
              <w:top w:val="single" w:sz="6" w:space="0" w:color="auto"/>
              <w:left w:val="single" w:sz="6" w:space="0" w:color="auto"/>
              <w:bottom w:val="single" w:sz="6" w:space="0" w:color="auto"/>
              <w:right w:val="single" w:sz="6" w:space="0" w:color="auto"/>
            </w:tcBorders>
            <w:hideMark/>
          </w:tcPr>
          <w:p w14:paraId="5015D2DC"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ALM</w:t>
            </w:r>
          </w:p>
        </w:tc>
        <w:tc>
          <w:tcPr>
            <w:tcW w:w="9180" w:type="dxa"/>
            <w:tcBorders>
              <w:top w:val="single" w:sz="6" w:space="0" w:color="auto"/>
              <w:left w:val="single" w:sz="6" w:space="0" w:color="auto"/>
              <w:bottom w:val="single" w:sz="6" w:space="0" w:color="auto"/>
              <w:right w:val="single" w:sz="6" w:space="0" w:color="auto"/>
            </w:tcBorders>
            <w:hideMark/>
          </w:tcPr>
          <w:p w14:paraId="704722A7"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Application Lifecycle Management</w:t>
            </w:r>
          </w:p>
        </w:tc>
      </w:tr>
      <w:tr w:rsidR="001B4A2F" w:rsidRPr="008C2C58" w14:paraId="46CA877F" w14:textId="77777777" w:rsidTr="00482456">
        <w:tblPrEx>
          <w:tblLook w:val="04A0" w:firstRow="1" w:lastRow="0" w:firstColumn="1" w:lastColumn="0" w:noHBand="0" w:noVBand="1"/>
        </w:tblPrEx>
        <w:trPr>
          <w:trHeight w:val="226"/>
        </w:trPr>
        <w:tc>
          <w:tcPr>
            <w:tcW w:w="1620" w:type="dxa"/>
            <w:tcBorders>
              <w:top w:val="single" w:sz="6" w:space="0" w:color="auto"/>
              <w:left w:val="single" w:sz="6" w:space="0" w:color="auto"/>
              <w:bottom w:val="single" w:sz="6" w:space="0" w:color="auto"/>
              <w:right w:val="single" w:sz="6" w:space="0" w:color="auto"/>
            </w:tcBorders>
          </w:tcPr>
          <w:p w14:paraId="23F35E12" w14:textId="77777777" w:rsidR="001B4A2F" w:rsidRPr="00AC2EB0" w:rsidRDefault="001B4A2F" w:rsidP="00031367">
            <w:pPr>
              <w:ind w:left="0"/>
              <w:rPr>
                <w:rFonts w:cs="Arial"/>
                <w:snapToGrid w:val="0"/>
                <w:color w:val="000000"/>
                <w:szCs w:val="24"/>
              </w:rPr>
            </w:pPr>
            <w:r>
              <w:rPr>
                <w:rFonts w:cs="Arial"/>
                <w:snapToGrid w:val="0"/>
                <w:color w:val="000000"/>
                <w:szCs w:val="24"/>
              </w:rPr>
              <w:t>AoC</w:t>
            </w:r>
          </w:p>
        </w:tc>
        <w:tc>
          <w:tcPr>
            <w:tcW w:w="9180" w:type="dxa"/>
            <w:tcBorders>
              <w:top w:val="single" w:sz="6" w:space="0" w:color="auto"/>
              <w:left w:val="single" w:sz="6" w:space="0" w:color="auto"/>
              <w:bottom w:val="single" w:sz="6" w:space="0" w:color="auto"/>
              <w:right w:val="single" w:sz="6" w:space="0" w:color="auto"/>
            </w:tcBorders>
          </w:tcPr>
          <w:p w14:paraId="4A6CB0E1" w14:textId="77777777" w:rsidR="001B4A2F" w:rsidRPr="008C2C58" w:rsidRDefault="001B4A2F" w:rsidP="00031367">
            <w:pPr>
              <w:ind w:left="0"/>
              <w:rPr>
                <w:rFonts w:cs="Arial"/>
                <w:snapToGrid w:val="0"/>
                <w:color w:val="000000"/>
                <w:szCs w:val="24"/>
              </w:rPr>
            </w:pPr>
            <w:r>
              <w:rPr>
                <w:rFonts w:cs="Arial"/>
                <w:snapToGrid w:val="0"/>
                <w:color w:val="000000"/>
                <w:szCs w:val="24"/>
              </w:rPr>
              <w:t>Award of Contract</w:t>
            </w:r>
          </w:p>
        </w:tc>
      </w:tr>
      <w:tr w:rsidR="001B4A2F" w:rsidRPr="008C2C58" w14:paraId="2EE62383"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62BCF238" w14:textId="77777777" w:rsidR="001B4A2F" w:rsidRPr="00AC2EB0" w:rsidRDefault="001B4A2F" w:rsidP="00031367">
            <w:pPr>
              <w:ind w:left="0"/>
              <w:rPr>
                <w:rFonts w:cs="Arial"/>
                <w:snapToGrid w:val="0"/>
                <w:color w:val="000000"/>
                <w:szCs w:val="24"/>
              </w:rPr>
            </w:pPr>
            <w:r>
              <w:rPr>
                <w:rFonts w:cs="Arial"/>
                <w:snapToGrid w:val="0"/>
                <w:color w:val="000000"/>
                <w:szCs w:val="24"/>
              </w:rPr>
              <w:t>AP</w:t>
            </w:r>
          </w:p>
        </w:tc>
        <w:tc>
          <w:tcPr>
            <w:tcW w:w="9180" w:type="dxa"/>
            <w:tcBorders>
              <w:top w:val="single" w:sz="6" w:space="0" w:color="auto"/>
              <w:left w:val="single" w:sz="6" w:space="0" w:color="auto"/>
              <w:bottom w:val="single" w:sz="6" w:space="0" w:color="auto"/>
              <w:right w:val="single" w:sz="6" w:space="0" w:color="auto"/>
            </w:tcBorders>
          </w:tcPr>
          <w:p w14:paraId="05A53B71" w14:textId="77777777" w:rsidR="001B4A2F" w:rsidRPr="008C2C58" w:rsidRDefault="001B4A2F" w:rsidP="00031367">
            <w:pPr>
              <w:ind w:left="0"/>
              <w:rPr>
                <w:rFonts w:cs="Arial"/>
                <w:snapToGrid w:val="0"/>
                <w:color w:val="000000"/>
                <w:szCs w:val="24"/>
              </w:rPr>
            </w:pPr>
            <w:r>
              <w:rPr>
                <w:rFonts w:cs="Arial"/>
                <w:snapToGrid w:val="0"/>
                <w:color w:val="000000"/>
                <w:szCs w:val="24"/>
              </w:rPr>
              <w:t>Appeals Databases</w:t>
            </w:r>
          </w:p>
        </w:tc>
      </w:tr>
      <w:tr w:rsidR="001B4A2F" w:rsidRPr="008C2C58" w14:paraId="5C2D3BE6"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4DED1AAD" w14:textId="77777777" w:rsidR="001B4A2F" w:rsidRPr="00AC2EB0" w:rsidRDefault="001B4A2F" w:rsidP="00031367">
            <w:pPr>
              <w:ind w:left="0"/>
              <w:rPr>
                <w:rFonts w:cs="Arial"/>
                <w:snapToGrid w:val="0"/>
                <w:color w:val="000000"/>
                <w:szCs w:val="24"/>
              </w:rPr>
            </w:pPr>
            <w:r>
              <w:rPr>
                <w:rFonts w:cs="Arial"/>
                <w:snapToGrid w:val="0"/>
                <w:color w:val="000000"/>
                <w:szCs w:val="24"/>
              </w:rPr>
              <w:t>APAP</w:t>
            </w:r>
          </w:p>
        </w:tc>
        <w:tc>
          <w:tcPr>
            <w:tcW w:w="9180" w:type="dxa"/>
            <w:tcBorders>
              <w:top w:val="single" w:sz="6" w:space="0" w:color="auto"/>
              <w:left w:val="single" w:sz="6" w:space="0" w:color="auto"/>
              <w:bottom w:val="single" w:sz="6" w:space="0" w:color="auto"/>
              <w:right w:val="single" w:sz="6" w:space="0" w:color="auto"/>
            </w:tcBorders>
          </w:tcPr>
          <w:p w14:paraId="1C2540A2" w14:textId="77777777" w:rsidR="001B4A2F" w:rsidRPr="008C2C58" w:rsidRDefault="001B4A2F" w:rsidP="00031367">
            <w:pPr>
              <w:ind w:left="0"/>
              <w:rPr>
                <w:rFonts w:cs="Arial"/>
                <w:snapToGrid w:val="0"/>
                <w:color w:val="000000"/>
                <w:szCs w:val="24"/>
              </w:rPr>
            </w:pPr>
            <w:r>
              <w:rPr>
                <w:rFonts w:cs="Arial"/>
                <w:snapToGrid w:val="0"/>
                <w:color w:val="000000"/>
                <w:szCs w:val="24"/>
              </w:rPr>
              <w:t>Appeals views on non-appeals databases</w:t>
            </w:r>
          </w:p>
        </w:tc>
      </w:tr>
      <w:tr w:rsidR="001B4A2F" w:rsidRPr="008C2C58" w14:paraId="411F9380"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4E5FD779"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API</w:t>
            </w:r>
          </w:p>
        </w:tc>
        <w:tc>
          <w:tcPr>
            <w:tcW w:w="9180" w:type="dxa"/>
            <w:tcBorders>
              <w:top w:val="single" w:sz="6" w:space="0" w:color="auto"/>
              <w:left w:val="single" w:sz="6" w:space="0" w:color="auto"/>
              <w:bottom w:val="single" w:sz="6" w:space="0" w:color="auto"/>
              <w:right w:val="single" w:sz="6" w:space="0" w:color="auto"/>
            </w:tcBorders>
          </w:tcPr>
          <w:p w14:paraId="4DDA0C88"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Application Programming Interface is a set of commands, functions, protocols, and objects that programmers can use to create software or interact with an external system.</w:t>
            </w:r>
          </w:p>
        </w:tc>
      </w:tr>
      <w:tr w:rsidR="001B4A2F" w:rsidRPr="008C2C58" w14:paraId="41F9BDC4"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736A6406"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ARRA</w:t>
            </w:r>
          </w:p>
        </w:tc>
        <w:tc>
          <w:tcPr>
            <w:tcW w:w="9180" w:type="dxa"/>
            <w:tcBorders>
              <w:top w:val="single" w:sz="6" w:space="0" w:color="auto"/>
              <w:left w:val="single" w:sz="6" w:space="0" w:color="auto"/>
              <w:bottom w:val="single" w:sz="6" w:space="0" w:color="auto"/>
              <w:right w:val="single" w:sz="6" w:space="0" w:color="auto"/>
            </w:tcBorders>
          </w:tcPr>
          <w:p w14:paraId="538C21CE"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American Recovery and Reinvestment Act of 2009</w:t>
            </w:r>
          </w:p>
        </w:tc>
      </w:tr>
      <w:tr w:rsidR="001B4A2F" w:rsidRPr="008C2C58" w14:paraId="73C5C5E0"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24F1F18E"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AT</w:t>
            </w:r>
          </w:p>
        </w:tc>
        <w:tc>
          <w:tcPr>
            <w:tcW w:w="9180" w:type="dxa"/>
            <w:tcBorders>
              <w:top w:val="single" w:sz="6" w:space="0" w:color="auto"/>
              <w:left w:val="single" w:sz="6" w:space="0" w:color="auto"/>
              <w:bottom w:val="single" w:sz="6" w:space="0" w:color="auto"/>
              <w:right w:val="single" w:sz="6" w:space="0" w:color="auto"/>
            </w:tcBorders>
          </w:tcPr>
          <w:p w14:paraId="70CC96E5" w14:textId="77777777" w:rsidR="001B4A2F" w:rsidRDefault="001B4A2F" w:rsidP="00031367">
            <w:pPr>
              <w:ind w:left="0"/>
              <w:rPr>
                <w:szCs w:val="24"/>
              </w:rPr>
            </w:pPr>
            <w:r>
              <w:rPr>
                <w:szCs w:val="24"/>
              </w:rPr>
              <w:t>Appeals Tribunal</w:t>
            </w:r>
          </w:p>
        </w:tc>
      </w:tr>
      <w:tr w:rsidR="001B4A2F" w:rsidRPr="008C2C58" w14:paraId="2C7746B2"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054517CB" w14:textId="77777777" w:rsidR="001B4A2F" w:rsidRPr="00AC2EB0" w:rsidRDefault="001B4A2F" w:rsidP="00031367">
            <w:pPr>
              <w:ind w:left="0"/>
              <w:rPr>
                <w:rFonts w:cs="Arial"/>
                <w:snapToGrid w:val="0"/>
                <w:color w:val="000000"/>
                <w:szCs w:val="24"/>
              </w:rPr>
            </w:pPr>
            <w:r>
              <w:rPr>
                <w:rFonts w:cs="Arial"/>
                <w:snapToGrid w:val="0"/>
                <w:color w:val="000000"/>
                <w:szCs w:val="24"/>
              </w:rPr>
              <w:t>ATAA</w:t>
            </w:r>
          </w:p>
        </w:tc>
        <w:tc>
          <w:tcPr>
            <w:tcW w:w="9180" w:type="dxa"/>
            <w:tcBorders>
              <w:top w:val="single" w:sz="6" w:space="0" w:color="auto"/>
              <w:left w:val="single" w:sz="6" w:space="0" w:color="auto"/>
              <w:bottom w:val="single" w:sz="6" w:space="0" w:color="auto"/>
              <w:right w:val="single" w:sz="6" w:space="0" w:color="auto"/>
            </w:tcBorders>
          </w:tcPr>
          <w:p w14:paraId="46AE6C23" w14:textId="77777777" w:rsidR="001B4A2F" w:rsidRDefault="001B4A2F" w:rsidP="00031367">
            <w:pPr>
              <w:ind w:left="0"/>
              <w:rPr>
                <w:szCs w:val="24"/>
              </w:rPr>
            </w:pPr>
            <w:r>
              <w:rPr>
                <w:szCs w:val="24"/>
              </w:rPr>
              <w:t>Alternative Trade Adjustment Assistance</w:t>
            </w:r>
          </w:p>
        </w:tc>
      </w:tr>
      <w:tr w:rsidR="001B4A2F" w:rsidRPr="008C2C58" w14:paraId="6574DCDC" w14:textId="77777777" w:rsidTr="00482456">
        <w:tblPrEx>
          <w:tblLook w:val="04A0" w:firstRow="1" w:lastRow="0" w:firstColumn="1" w:lastColumn="0" w:noHBand="0" w:noVBand="1"/>
        </w:tblPrEx>
        <w:trPr>
          <w:trHeight w:val="226"/>
        </w:trPr>
        <w:tc>
          <w:tcPr>
            <w:tcW w:w="1620" w:type="dxa"/>
            <w:tcBorders>
              <w:top w:val="single" w:sz="6" w:space="0" w:color="auto"/>
              <w:left w:val="single" w:sz="6" w:space="0" w:color="auto"/>
              <w:bottom w:val="single" w:sz="6" w:space="0" w:color="auto"/>
              <w:right w:val="single" w:sz="6" w:space="0" w:color="auto"/>
            </w:tcBorders>
          </w:tcPr>
          <w:p w14:paraId="76DFD52E" w14:textId="77777777" w:rsidR="001B4A2F" w:rsidRDefault="001B4A2F" w:rsidP="00031367">
            <w:pPr>
              <w:ind w:left="0"/>
              <w:rPr>
                <w:rFonts w:cs="Arial"/>
                <w:snapToGrid w:val="0"/>
                <w:color w:val="000000"/>
                <w:szCs w:val="24"/>
              </w:rPr>
            </w:pPr>
            <w:r>
              <w:rPr>
                <w:rFonts w:cs="Arial"/>
                <w:snapToGrid w:val="0"/>
                <w:color w:val="000000"/>
                <w:szCs w:val="24"/>
              </w:rPr>
              <w:t>ATO</w:t>
            </w:r>
          </w:p>
        </w:tc>
        <w:tc>
          <w:tcPr>
            <w:tcW w:w="9180" w:type="dxa"/>
            <w:tcBorders>
              <w:top w:val="single" w:sz="6" w:space="0" w:color="auto"/>
              <w:left w:val="single" w:sz="6" w:space="0" w:color="auto"/>
              <w:bottom w:val="single" w:sz="6" w:space="0" w:color="auto"/>
              <w:right w:val="single" w:sz="6" w:space="0" w:color="auto"/>
            </w:tcBorders>
          </w:tcPr>
          <w:p w14:paraId="04024099" w14:textId="77777777" w:rsidR="001B4A2F" w:rsidRDefault="001B4A2F" w:rsidP="00031367">
            <w:pPr>
              <w:ind w:left="0"/>
              <w:rPr>
                <w:rFonts w:cs="Arial"/>
                <w:snapToGrid w:val="0"/>
                <w:color w:val="000000"/>
                <w:szCs w:val="24"/>
              </w:rPr>
            </w:pPr>
            <w:r w:rsidRPr="00C94D8E">
              <w:rPr>
                <w:szCs w:val="24"/>
              </w:rPr>
              <w:t>Authority to Operate</w:t>
            </w:r>
          </w:p>
        </w:tc>
      </w:tr>
      <w:tr w:rsidR="001B4A2F" w:rsidRPr="008C2C58" w14:paraId="1BF4CD8A" w14:textId="77777777" w:rsidTr="00482456">
        <w:tblPrEx>
          <w:tblLook w:val="04A0" w:firstRow="1" w:lastRow="0" w:firstColumn="1" w:lastColumn="0" w:noHBand="0" w:noVBand="1"/>
        </w:tblPrEx>
        <w:trPr>
          <w:trHeight w:val="226"/>
        </w:trPr>
        <w:tc>
          <w:tcPr>
            <w:tcW w:w="1620" w:type="dxa"/>
            <w:tcBorders>
              <w:top w:val="single" w:sz="6" w:space="0" w:color="auto"/>
              <w:left w:val="single" w:sz="6" w:space="0" w:color="auto"/>
              <w:bottom w:val="single" w:sz="6" w:space="0" w:color="auto"/>
              <w:right w:val="single" w:sz="6" w:space="0" w:color="auto"/>
            </w:tcBorders>
          </w:tcPr>
          <w:p w14:paraId="4F49D55D" w14:textId="77777777" w:rsidR="001B4A2F" w:rsidRPr="00AC2EB0" w:rsidRDefault="001B4A2F" w:rsidP="00031367">
            <w:pPr>
              <w:ind w:left="0"/>
              <w:rPr>
                <w:rFonts w:cs="Arial"/>
                <w:snapToGrid w:val="0"/>
                <w:color w:val="000000"/>
                <w:szCs w:val="24"/>
              </w:rPr>
            </w:pPr>
            <w:r>
              <w:rPr>
                <w:rFonts w:cs="Arial"/>
                <w:snapToGrid w:val="0"/>
                <w:color w:val="000000"/>
                <w:szCs w:val="24"/>
              </w:rPr>
              <w:t>BA</w:t>
            </w:r>
          </w:p>
        </w:tc>
        <w:tc>
          <w:tcPr>
            <w:tcW w:w="9180" w:type="dxa"/>
            <w:tcBorders>
              <w:top w:val="single" w:sz="6" w:space="0" w:color="auto"/>
              <w:left w:val="single" w:sz="6" w:space="0" w:color="auto"/>
              <w:bottom w:val="single" w:sz="6" w:space="0" w:color="auto"/>
              <w:right w:val="single" w:sz="6" w:space="0" w:color="auto"/>
            </w:tcBorders>
          </w:tcPr>
          <w:p w14:paraId="5E8B2AC6" w14:textId="77777777" w:rsidR="001B4A2F" w:rsidRPr="008C2C58" w:rsidRDefault="001B4A2F" w:rsidP="00031367">
            <w:pPr>
              <w:ind w:left="0"/>
              <w:rPr>
                <w:rFonts w:cs="Arial"/>
                <w:snapToGrid w:val="0"/>
                <w:color w:val="000000"/>
                <w:szCs w:val="24"/>
              </w:rPr>
            </w:pPr>
            <w:r>
              <w:rPr>
                <w:rFonts w:cs="Arial"/>
                <w:snapToGrid w:val="0"/>
                <w:color w:val="000000"/>
                <w:szCs w:val="24"/>
              </w:rPr>
              <w:t>Benefits Databases</w:t>
            </w:r>
          </w:p>
        </w:tc>
      </w:tr>
      <w:tr w:rsidR="001B4A2F" w:rsidRPr="008C2C58" w14:paraId="7F5A2A0F" w14:textId="77777777" w:rsidTr="00482456">
        <w:tblPrEx>
          <w:tblLook w:val="04A0" w:firstRow="1" w:lastRow="0" w:firstColumn="1" w:lastColumn="0" w:noHBand="0" w:noVBand="1"/>
        </w:tblPrEx>
        <w:trPr>
          <w:trHeight w:val="226"/>
        </w:trPr>
        <w:tc>
          <w:tcPr>
            <w:tcW w:w="1620" w:type="dxa"/>
            <w:tcBorders>
              <w:top w:val="single" w:sz="6" w:space="0" w:color="auto"/>
              <w:left w:val="single" w:sz="6" w:space="0" w:color="auto"/>
              <w:bottom w:val="single" w:sz="6" w:space="0" w:color="auto"/>
              <w:right w:val="single" w:sz="6" w:space="0" w:color="auto"/>
            </w:tcBorders>
          </w:tcPr>
          <w:p w14:paraId="197DF848" w14:textId="77777777" w:rsidR="001B4A2F" w:rsidRPr="00AC2EB0" w:rsidRDefault="001B4A2F" w:rsidP="00031367">
            <w:pPr>
              <w:ind w:left="0"/>
              <w:rPr>
                <w:rFonts w:cs="Arial"/>
                <w:snapToGrid w:val="0"/>
                <w:color w:val="000000"/>
                <w:szCs w:val="24"/>
              </w:rPr>
            </w:pPr>
            <w:r>
              <w:rPr>
                <w:rFonts w:cs="Arial"/>
                <w:snapToGrid w:val="0"/>
                <w:color w:val="000000"/>
                <w:szCs w:val="24"/>
              </w:rPr>
              <w:t>BABP</w:t>
            </w:r>
          </w:p>
        </w:tc>
        <w:tc>
          <w:tcPr>
            <w:tcW w:w="9180" w:type="dxa"/>
            <w:tcBorders>
              <w:top w:val="single" w:sz="6" w:space="0" w:color="auto"/>
              <w:left w:val="single" w:sz="6" w:space="0" w:color="auto"/>
              <w:bottom w:val="single" w:sz="6" w:space="0" w:color="auto"/>
              <w:right w:val="single" w:sz="6" w:space="0" w:color="auto"/>
            </w:tcBorders>
          </w:tcPr>
          <w:p w14:paraId="10AAB122" w14:textId="77777777" w:rsidR="001B4A2F" w:rsidRPr="008C2C58" w:rsidRDefault="001B4A2F" w:rsidP="00031367">
            <w:pPr>
              <w:ind w:left="0"/>
              <w:rPr>
                <w:rFonts w:cs="Arial"/>
                <w:snapToGrid w:val="0"/>
                <w:color w:val="000000"/>
                <w:szCs w:val="24"/>
              </w:rPr>
            </w:pPr>
            <w:r>
              <w:rPr>
                <w:rFonts w:cs="Arial"/>
                <w:snapToGrid w:val="0"/>
                <w:color w:val="000000"/>
                <w:szCs w:val="24"/>
              </w:rPr>
              <w:t>Benefits views on non-benefits databases</w:t>
            </w:r>
          </w:p>
        </w:tc>
      </w:tr>
      <w:tr w:rsidR="001B4A2F" w:rsidRPr="008C2C58" w14:paraId="13A16661" w14:textId="77777777" w:rsidTr="00482456">
        <w:tblPrEx>
          <w:tblLook w:val="04A0" w:firstRow="1" w:lastRow="0" w:firstColumn="1" w:lastColumn="0" w:noHBand="0" w:noVBand="1"/>
        </w:tblPrEx>
        <w:trPr>
          <w:trHeight w:val="226"/>
        </w:trPr>
        <w:tc>
          <w:tcPr>
            <w:tcW w:w="1620" w:type="dxa"/>
            <w:tcBorders>
              <w:top w:val="single" w:sz="6" w:space="0" w:color="auto"/>
              <w:left w:val="single" w:sz="6" w:space="0" w:color="auto"/>
              <w:bottom w:val="single" w:sz="6" w:space="0" w:color="auto"/>
              <w:right w:val="single" w:sz="6" w:space="0" w:color="auto"/>
            </w:tcBorders>
            <w:hideMark/>
          </w:tcPr>
          <w:p w14:paraId="410C70F1"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BAFO</w:t>
            </w:r>
          </w:p>
        </w:tc>
        <w:tc>
          <w:tcPr>
            <w:tcW w:w="9180" w:type="dxa"/>
            <w:tcBorders>
              <w:top w:val="single" w:sz="6" w:space="0" w:color="auto"/>
              <w:left w:val="single" w:sz="6" w:space="0" w:color="auto"/>
              <w:bottom w:val="single" w:sz="6" w:space="0" w:color="auto"/>
              <w:right w:val="single" w:sz="6" w:space="0" w:color="auto"/>
            </w:tcBorders>
            <w:hideMark/>
          </w:tcPr>
          <w:p w14:paraId="1555B22F"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Best and Final Offer</w:t>
            </w:r>
          </w:p>
        </w:tc>
      </w:tr>
      <w:tr w:rsidR="001B4A2F" w:rsidRPr="008C2C58" w14:paraId="3A945879"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31E15EA5"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lastRenderedPageBreak/>
              <w:t>BAM</w:t>
            </w:r>
          </w:p>
        </w:tc>
        <w:tc>
          <w:tcPr>
            <w:tcW w:w="9180" w:type="dxa"/>
            <w:tcBorders>
              <w:top w:val="single" w:sz="6" w:space="0" w:color="auto"/>
              <w:left w:val="single" w:sz="6" w:space="0" w:color="auto"/>
              <w:bottom w:val="single" w:sz="6" w:space="0" w:color="auto"/>
              <w:right w:val="single" w:sz="6" w:space="0" w:color="auto"/>
            </w:tcBorders>
          </w:tcPr>
          <w:p w14:paraId="2DF8BDC1" w14:textId="77777777" w:rsidR="001B4A2F" w:rsidRDefault="001B4A2F" w:rsidP="00031367">
            <w:pPr>
              <w:tabs>
                <w:tab w:val="left" w:pos="3270"/>
              </w:tabs>
              <w:ind w:left="0"/>
            </w:pPr>
            <w:r>
              <w:t>Benefits Accuracy Measurement</w:t>
            </w:r>
          </w:p>
        </w:tc>
      </w:tr>
      <w:tr w:rsidR="001B4A2F" w:rsidRPr="008C2C58" w14:paraId="77700988"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6812FF1C" w14:textId="77777777" w:rsidR="001B4A2F" w:rsidRPr="00AC2EB0" w:rsidRDefault="001B4A2F" w:rsidP="00031367">
            <w:pPr>
              <w:ind w:left="0"/>
              <w:rPr>
                <w:rFonts w:cs="Arial"/>
                <w:snapToGrid w:val="0"/>
                <w:color w:val="000000"/>
                <w:szCs w:val="24"/>
              </w:rPr>
            </w:pPr>
            <w:r>
              <w:rPr>
                <w:rFonts w:cs="Arial"/>
                <w:snapToGrid w:val="0"/>
                <w:color w:val="000000"/>
                <w:szCs w:val="24"/>
              </w:rPr>
              <w:t>Big Bang</w:t>
            </w:r>
          </w:p>
        </w:tc>
        <w:tc>
          <w:tcPr>
            <w:tcW w:w="9180" w:type="dxa"/>
            <w:tcBorders>
              <w:top w:val="single" w:sz="6" w:space="0" w:color="auto"/>
              <w:left w:val="single" w:sz="6" w:space="0" w:color="auto"/>
              <w:bottom w:val="single" w:sz="6" w:space="0" w:color="auto"/>
              <w:right w:val="single" w:sz="6" w:space="0" w:color="auto"/>
            </w:tcBorders>
          </w:tcPr>
          <w:p w14:paraId="3BD1B741" w14:textId="77777777" w:rsidR="001B4A2F" w:rsidRDefault="001B4A2F" w:rsidP="00031367">
            <w:pPr>
              <w:tabs>
                <w:tab w:val="left" w:pos="3270"/>
              </w:tabs>
              <w:ind w:left="0"/>
            </w:pPr>
            <w:r>
              <w:t>A Big Bang implementation occurs when all modules of a solution go live at the same time. The alternative approach is to adopt a phased approach where solution modules go live in a planned sequence, gradually replacing the legacy system.</w:t>
            </w:r>
          </w:p>
        </w:tc>
      </w:tr>
      <w:tr w:rsidR="001B4A2F" w:rsidRPr="008C2C58" w14:paraId="56EDCF9B"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202AAD34" w14:textId="77777777" w:rsidR="001B4A2F" w:rsidRDefault="001B4A2F" w:rsidP="00031367">
            <w:pPr>
              <w:ind w:left="0"/>
              <w:rPr>
                <w:rFonts w:cs="Arial"/>
                <w:snapToGrid w:val="0"/>
                <w:color w:val="000000"/>
                <w:szCs w:val="24"/>
              </w:rPr>
            </w:pPr>
            <w:r>
              <w:rPr>
                <w:rFonts w:cs="Arial"/>
                <w:snapToGrid w:val="0"/>
                <w:color w:val="000000"/>
                <w:szCs w:val="24"/>
              </w:rPr>
              <w:t>BLS</w:t>
            </w:r>
          </w:p>
        </w:tc>
        <w:tc>
          <w:tcPr>
            <w:tcW w:w="9180" w:type="dxa"/>
            <w:tcBorders>
              <w:top w:val="single" w:sz="6" w:space="0" w:color="auto"/>
              <w:left w:val="single" w:sz="6" w:space="0" w:color="auto"/>
              <w:bottom w:val="single" w:sz="6" w:space="0" w:color="auto"/>
              <w:right w:val="single" w:sz="6" w:space="0" w:color="auto"/>
            </w:tcBorders>
          </w:tcPr>
          <w:p w14:paraId="2043750A" w14:textId="77777777" w:rsidR="001B4A2F" w:rsidRDefault="001B4A2F" w:rsidP="00031367">
            <w:pPr>
              <w:tabs>
                <w:tab w:val="left" w:pos="3270"/>
              </w:tabs>
              <w:ind w:left="0"/>
            </w:pPr>
            <w:r>
              <w:t>Bureau of Labor Statistics</w:t>
            </w:r>
          </w:p>
        </w:tc>
      </w:tr>
      <w:tr w:rsidR="001B4A2F" w:rsidRPr="008C2C58" w14:paraId="3B029A90"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7C425861"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BPC</w:t>
            </w:r>
          </w:p>
        </w:tc>
        <w:tc>
          <w:tcPr>
            <w:tcW w:w="9180" w:type="dxa"/>
            <w:tcBorders>
              <w:top w:val="single" w:sz="6" w:space="0" w:color="auto"/>
              <w:left w:val="single" w:sz="6" w:space="0" w:color="auto"/>
              <w:bottom w:val="single" w:sz="6" w:space="0" w:color="auto"/>
              <w:right w:val="single" w:sz="6" w:space="0" w:color="auto"/>
            </w:tcBorders>
          </w:tcPr>
          <w:p w14:paraId="184570BC" w14:textId="77777777" w:rsidR="001B4A2F" w:rsidRDefault="001B4A2F" w:rsidP="00031367">
            <w:pPr>
              <w:ind w:left="0"/>
              <w:rPr>
                <w:szCs w:val="24"/>
              </w:rPr>
            </w:pPr>
            <w:r>
              <w:rPr>
                <w:szCs w:val="24"/>
              </w:rPr>
              <w:t>Benefit Payment Control</w:t>
            </w:r>
          </w:p>
        </w:tc>
      </w:tr>
      <w:tr w:rsidR="001B4A2F" w:rsidRPr="008C2C58" w14:paraId="20ABD7BE"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6DF05DFA"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Breach</w:t>
            </w:r>
          </w:p>
        </w:tc>
        <w:tc>
          <w:tcPr>
            <w:tcW w:w="9180" w:type="dxa"/>
            <w:tcBorders>
              <w:top w:val="single" w:sz="6" w:space="0" w:color="auto"/>
              <w:left w:val="single" w:sz="6" w:space="0" w:color="auto"/>
              <w:bottom w:val="single" w:sz="6" w:space="0" w:color="auto"/>
              <w:right w:val="single" w:sz="6" w:space="0" w:color="auto"/>
            </w:tcBorders>
          </w:tcPr>
          <w:p w14:paraId="39522D97"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The loss of control, compromise, unauthorized disclosure, unauthorized acquisition, unauthorized access, or any similar term referring to situations where individuals gain access or potential access to</w:t>
            </w:r>
            <w:r>
              <w:rPr>
                <w:rFonts w:cs="Arial"/>
                <w:snapToGrid w:val="0"/>
                <w:color w:val="000000"/>
                <w:szCs w:val="24"/>
              </w:rPr>
              <w:t xml:space="preserve"> personally identifiable information (</w:t>
            </w:r>
            <w:r w:rsidRPr="008C2C58">
              <w:rPr>
                <w:rFonts w:cs="Arial"/>
                <w:snapToGrid w:val="0"/>
                <w:color w:val="000000"/>
                <w:szCs w:val="24"/>
              </w:rPr>
              <w:t>PII</w:t>
            </w:r>
            <w:r>
              <w:rPr>
                <w:rFonts w:cs="Arial"/>
                <w:snapToGrid w:val="0"/>
                <w:color w:val="000000"/>
                <w:szCs w:val="24"/>
              </w:rPr>
              <w:t>)</w:t>
            </w:r>
            <w:r w:rsidRPr="008C2C58">
              <w:rPr>
                <w:rFonts w:cs="Arial"/>
                <w:snapToGrid w:val="0"/>
                <w:color w:val="000000"/>
                <w:szCs w:val="24"/>
              </w:rPr>
              <w:t>, whether physical or electronic for an unauthorized purpose.</w:t>
            </w:r>
          </w:p>
        </w:tc>
      </w:tr>
      <w:tr w:rsidR="001B4A2F" w:rsidRPr="008C2C58" w14:paraId="3CBA591A"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7B805E59"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BTQ</w:t>
            </w:r>
          </w:p>
        </w:tc>
        <w:tc>
          <w:tcPr>
            <w:tcW w:w="9180" w:type="dxa"/>
            <w:tcBorders>
              <w:top w:val="single" w:sz="6" w:space="0" w:color="auto"/>
              <w:left w:val="single" w:sz="6" w:space="0" w:color="auto"/>
              <w:bottom w:val="single" w:sz="6" w:space="0" w:color="auto"/>
              <w:right w:val="single" w:sz="6" w:space="0" w:color="auto"/>
            </w:tcBorders>
          </w:tcPr>
          <w:p w14:paraId="06B083BB" w14:textId="77777777" w:rsidR="001B4A2F" w:rsidRDefault="001B4A2F" w:rsidP="00031367">
            <w:pPr>
              <w:tabs>
                <w:tab w:val="left" w:pos="3270"/>
              </w:tabs>
              <w:ind w:left="0"/>
            </w:pPr>
            <w:r w:rsidRPr="001F01DD">
              <w:t>Benefits Timeliness and Quality</w:t>
            </w:r>
          </w:p>
        </w:tc>
      </w:tr>
      <w:tr w:rsidR="001B4A2F" w:rsidRPr="008C2C58" w14:paraId="45C22D2C"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53F90ED0"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CA</w:t>
            </w:r>
          </w:p>
        </w:tc>
        <w:tc>
          <w:tcPr>
            <w:tcW w:w="9180" w:type="dxa"/>
            <w:tcBorders>
              <w:top w:val="single" w:sz="6" w:space="0" w:color="auto"/>
              <w:left w:val="single" w:sz="6" w:space="0" w:color="auto"/>
              <w:bottom w:val="single" w:sz="6" w:space="0" w:color="auto"/>
              <w:right w:val="single" w:sz="6" w:space="0" w:color="auto"/>
            </w:tcBorders>
          </w:tcPr>
          <w:p w14:paraId="14BA2FA3" w14:textId="77777777" w:rsidR="001B4A2F" w:rsidRDefault="001B4A2F" w:rsidP="00031367">
            <w:pPr>
              <w:ind w:left="0"/>
              <w:rPr>
                <w:szCs w:val="24"/>
              </w:rPr>
            </w:pPr>
            <w:r>
              <w:rPr>
                <w:szCs w:val="24"/>
              </w:rPr>
              <w:t>Commission Appeals</w:t>
            </w:r>
          </w:p>
        </w:tc>
      </w:tr>
      <w:tr w:rsidR="001B4A2F" w:rsidRPr="008C2C58" w14:paraId="334E446B"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454BCA39"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CAPPS</w:t>
            </w:r>
          </w:p>
        </w:tc>
        <w:tc>
          <w:tcPr>
            <w:tcW w:w="9180" w:type="dxa"/>
            <w:tcBorders>
              <w:top w:val="single" w:sz="6" w:space="0" w:color="auto"/>
              <w:left w:val="single" w:sz="6" w:space="0" w:color="auto"/>
              <w:bottom w:val="single" w:sz="6" w:space="0" w:color="auto"/>
              <w:right w:val="single" w:sz="6" w:space="0" w:color="auto"/>
            </w:tcBorders>
          </w:tcPr>
          <w:p w14:paraId="0799D35D"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Centralized Accounting and Payroll/Personnel System</w:t>
            </w:r>
            <w:r>
              <w:rPr>
                <w:rFonts w:cs="Arial"/>
                <w:snapToGrid w:val="0"/>
                <w:color w:val="000000"/>
                <w:szCs w:val="24"/>
              </w:rPr>
              <w:t xml:space="preserve"> (CPA System)</w:t>
            </w:r>
          </w:p>
        </w:tc>
      </w:tr>
      <w:tr w:rsidR="001B4A2F" w:rsidRPr="00D01A3C" w14:paraId="58B19717" w14:textId="77777777" w:rsidTr="001F63A1">
        <w:trPr>
          <w:trHeight w:val="226"/>
        </w:trPr>
        <w:tc>
          <w:tcPr>
            <w:tcW w:w="1620" w:type="dxa"/>
            <w:tcBorders>
              <w:top w:val="single" w:sz="6" w:space="0" w:color="auto"/>
              <w:left w:val="single" w:sz="6" w:space="0" w:color="auto"/>
              <w:bottom w:val="single" w:sz="6" w:space="0" w:color="auto"/>
              <w:right w:val="single" w:sz="6" w:space="0" w:color="auto"/>
            </w:tcBorders>
          </w:tcPr>
          <w:p w14:paraId="5CA38819" w14:textId="77777777" w:rsidR="001B4A2F" w:rsidRDefault="001B4A2F" w:rsidP="001A42F1">
            <w:pPr>
              <w:ind w:left="0"/>
              <w:rPr>
                <w:rFonts w:cs="Arial"/>
                <w:snapToGrid w:val="0"/>
                <w:color w:val="000000"/>
                <w:szCs w:val="24"/>
              </w:rPr>
            </w:pPr>
            <w:r>
              <w:rPr>
                <w:rFonts w:cs="Arial"/>
                <w:snapToGrid w:val="0"/>
                <w:color w:val="000000"/>
                <w:szCs w:val="24"/>
              </w:rPr>
              <w:t>CAS</w:t>
            </w:r>
          </w:p>
        </w:tc>
        <w:tc>
          <w:tcPr>
            <w:tcW w:w="9180" w:type="dxa"/>
            <w:tcBorders>
              <w:top w:val="single" w:sz="6" w:space="0" w:color="auto"/>
              <w:left w:val="single" w:sz="6" w:space="0" w:color="auto"/>
              <w:bottom w:val="single" w:sz="6" w:space="0" w:color="auto"/>
              <w:right w:val="single" w:sz="6" w:space="0" w:color="auto"/>
            </w:tcBorders>
          </w:tcPr>
          <w:p w14:paraId="08A90F03" w14:textId="77777777" w:rsidR="001B4A2F" w:rsidRPr="00417BB4" w:rsidRDefault="001B4A2F" w:rsidP="001A42F1">
            <w:pPr>
              <w:ind w:left="0"/>
              <w:rPr>
                <w:rFonts w:eastAsia="Times New Roman" w:cstheme="minorHAnsi"/>
              </w:rPr>
            </w:pPr>
            <w:r w:rsidRPr="00356942">
              <w:rPr>
                <w:rFonts w:cs="Calibri"/>
                <w:szCs w:val="24"/>
              </w:rPr>
              <w:t>Computer Assisted Scheduler</w:t>
            </w:r>
          </w:p>
        </w:tc>
      </w:tr>
      <w:tr w:rsidR="001B4A2F" w:rsidRPr="00D01A3C" w14:paraId="434B2CBE" w14:textId="77777777" w:rsidTr="001F63A1">
        <w:trPr>
          <w:trHeight w:val="226"/>
        </w:trPr>
        <w:tc>
          <w:tcPr>
            <w:tcW w:w="1620" w:type="dxa"/>
            <w:tcBorders>
              <w:top w:val="single" w:sz="6" w:space="0" w:color="auto"/>
              <w:left w:val="single" w:sz="6" w:space="0" w:color="auto"/>
              <w:bottom w:val="single" w:sz="6" w:space="0" w:color="auto"/>
              <w:right w:val="single" w:sz="6" w:space="0" w:color="auto"/>
            </w:tcBorders>
          </w:tcPr>
          <w:p w14:paraId="2FFE459E" w14:textId="77777777" w:rsidR="001B4A2F" w:rsidRDefault="001B4A2F" w:rsidP="001A42F1">
            <w:pPr>
              <w:ind w:left="0"/>
              <w:rPr>
                <w:rFonts w:cs="Arial"/>
                <w:snapToGrid w:val="0"/>
                <w:color w:val="000000"/>
                <w:szCs w:val="24"/>
              </w:rPr>
            </w:pPr>
            <w:r>
              <w:rPr>
                <w:rFonts w:cs="Arial"/>
                <w:snapToGrid w:val="0"/>
                <w:color w:val="000000"/>
                <w:szCs w:val="24"/>
              </w:rPr>
              <w:t>CAST</w:t>
            </w:r>
          </w:p>
        </w:tc>
        <w:tc>
          <w:tcPr>
            <w:tcW w:w="9180" w:type="dxa"/>
            <w:tcBorders>
              <w:top w:val="single" w:sz="6" w:space="0" w:color="auto"/>
              <w:left w:val="single" w:sz="6" w:space="0" w:color="auto"/>
              <w:bottom w:val="single" w:sz="6" w:space="0" w:color="auto"/>
              <w:right w:val="single" w:sz="6" w:space="0" w:color="auto"/>
            </w:tcBorders>
          </w:tcPr>
          <w:p w14:paraId="48C18654" w14:textId="77777777" w:rsidR="001B4A2F" w:rsidRDefault="001B4A2F" w:rsidP="001A42F1">
            <w:pPr>
              <w:ind w:left="0"/>
              <w:rPr>
                <w:rFonts w:cs="Arial"/>
                <w:snapToGrid w:val="0"/>
                <w:color w:val="000000"/>
                <w:szCs w:val="24"/>
              </w:rPr>
            </w:pPr>
            <w:r w:rsidRPr="00417BB4">
              <w:rPr>
                <w:rFonts w:eastAsia="Times New Roman" w:cstheme="minorHAnsi"/>
              </w:rPr>
              <w:t xml:space="preserve">Tele-Center </w:t>
            </w:r>
            <w:r>
              <w:t>Collection of Applications for the State of Texas</w:t>
            </w:r>
          </w:p>
        </w:tc>
      </w:tr>
      <w:tr w:rsidR="001B4A2F" w:rsidRPr="00D01A3C" w14:paraId="18991250" w14:textId="77777777" w:rsidTr="001F63A1">
        <w:trPr>
          <w:trHeight w:val="226"/>
        </w:trPr>
        <w:tc>
          <w:tcPr>
            <w:tcW w:w="1620" w:type="dxa"/>
            <w:tcBorders>
              <w:top w:val="single" w:sz="6" w:space="0" w:color="auto"/>
              <w:left w:val="single" w:sz="6" w:space="0" w:color="auto"/>
              <w:bottom w:val="single" w:sz="6" w:space="0" w:color="auto"/>
              <w:right w:val="single" w:sz="6" w:space="0" w:color="auto"/>
            </w:tcBorders>
          </w:tcPr>
          <w:p w14:paraId="360041E7" w14:textId="77777777" w:rsidR="001B4A2F" w:rsidRDefault="001B4A2F" w:rsidP="001F63A1">
            <w:pPr>
              <w:ind w:left="0"/>
              <w:rPr>
                <w:rFonts w:cs="Arial"/>
                <w:snapToGrid w:val="0"/>
                <w:color w:val="000000"/>
                <w:szCs w:val="24"/>
              </w:rPr>
            </w:pPr>
            <w:r>
              <w:rPr>
                <w:rFonts w:cs="Arial"/>
                <w:snapToGrid w:val="0"/>
                <w:color w:val="000000"/>
                <w:szCs w:val="24"/>
              </w:rPr>
              <w:t>CC</w:t>
            </w:r>
          </w:p>
        </w:tc>
        <w:tc>
          <w:tcPr>
            <w:tcW w:w="9180" w:type="dxa"/>
            <w:tcBorders>
              <w:top w:val="single" w:sz="6" w:space="0" w:color="auto"/>
              <w:left w:val="single" w:sz="6" w:space="0" w:color="auto"/>
              <w:bottom w:val="single" w:sz="6" w:space="0" w:color="auto"/>
              <w:right w:val="single" w:sz="6" w:space="0" w:color="auto"/>
            </w:tcBorders>
          </w:tcPr>
          <w:p w14:paraId="42ECFC55" w14:textId="77777777" w:rsidR="001B4A2F" w:rsidRDefault="001B4A2F" w:rsidP="001F63A1">
            <w:pPr>
              <w:ind w:left="0"/>
              <w:rPr>
                <w:rFonts w:cs="Arial"/>
                <w:snapToGrid w:val="0"/>
                <w:color w:val="000000"/>
                <w:szCs w:val="24"/>
              </w:rPr>
            </w:pPr>
            <w:r>
              <w:rPr>
                <w:rFonts w:cs="Arial"/>
                <w:snapToGrid w:val="0"/>
                <w:color w:val="000000"/>
                <w:szCs w:val="24"/>
              </w:rPr>
              <w:t>Call Center</w:t>
            </w:r>
          </w:p>
        </w:tc>
      </w:tr>
      <w:tr w:rsidR="001B4A2F" w:rsidRPr="00D01A3C" w14:paraId="5FAA0CC9" w14:textId="77777777" w:rsidTr="001F63A1">
        <w:trPr>
          <w:trHeight w:val="226"/>
        </w:trPr>
        <w:tc>
          <w:tcPr>
            <w:tcW w:w="1620" w:type="dxa"/>
            <w:tcBorders>
              <w:top w:val="single" w:sz="6" w:space="0" w:color="auto"/>
              <w:left w:val="single" w:sz="6" w:space="0" w:color="auto"/>
              <w:bottom w:val="single" w:sz="6" w:space="0" w:color="auto"/>
              <w:right w:val="single" w:sz="6" w:space="0" w:color="auto"/>
            </w:tcBorders>
          </w:tcPr>
          <w:p w14:paraId="43603AD7" w14:textId="77777777" w:rsidR="001B4A2F" w:rsidRDefault="001B4A2F" w:rsidP="001F63A1">
            <w:pPr>
              <w:ind w:left="0"/>
              <w:rPr>
                <w:rFonts w:cs="Arial"/>
                <w:snapToGrid w:val="0"/>
                <w:color w:val="000000"/>
                <w:szCs w:val="24"/>
              </w:rPr>
            </w:pPr>
            <w:r>
              <w:rPr>
                <w:rFonts w:cs="Arial"/>
                <w:snapToGrid w:val="0"/>
                <w:color w:val="000000"/>
                <w:szCs w:val="24"/>
              </w:rPr>
              <w:t>CE</w:t>
            </w:r>
          </w:p>
        </w:tc>
        <w:tc>
          <w:tcPr>
            <w:tcW w:w="9180" w:type="dxa"/>
            <w:tcBorders>
              <w:top w:val="single" w:sz="6" w:space="0" w:color="auto"/>
              <w:left w:val="single" w:sz="6" w:space="0" w:color="auto"/>
              <w:bottom w:val="single" w:sz="6" w:space="0" w:color="auto"/>
              <w:right w:val="single" w:sz="6" w:space="0" w:color="auto"/>
            </w:tcBorders>
          </w:tcPr>
          <w:p w14:paraId="5DBE1149" w14:textId="77777777" w:rsidR="001B4A2F" w:rsidRPr="00D01A3C" w:rsidRDefault="001B4A2F" w:rsidP="001F63A1">
            <w:pPr>
              <w:ind w:left="0"/>
              <w:rPr>
                <w:rFonts w:cs="Arial"/>
                <w:snapToGrid w:val="0"/>
                <w:color w:val="000000"/>
                <w:szCs w:val="24"/>
              </w:rPr>
            </w:pPr>
            <w:r>
              <w:rPr>
                <w:rFonts w:cs="Arial"/>
                <w:snapToGrid w:val="0"/>
                <w:color w:val="000000"/>
                <w:szCs w:val="24"/>
              </w:rPr>
              <w:t>Claims Examiner</w:t>
            </w:r>
          </w:p>
        </w:tc>
      </w:tr>
      <w:tr w:rsidR="001B4A2F" w:rsidRPr="00D01A3C" w14:paraId="5DD48A63" w14:textId="77777777" w:rsidTr="001F63A1">
        <w:trPr>
          <w:trHeight w:val="226"/>
        </w:trPr>
        <w:tc>
          <w:tcPr>
            <w:tcW w:w="1620" w:type="dxa"/>
            <w:tcBorders>
              <w:top w:val="single" w:sz="6" w:space="0" w:color="auto"/>
              <w:left w:val="single" w:sz="6" w:space="0" w:color="auto"/>
              <w:bottom w:val="single" w:sz="6" w:space="0" w:color="auto"/>
              <w:right w:val="single" w:sz="6" w:space="0" w:color="auto"/>
            </w:tcBorders>
          </w:tcPr>
          <w:p w14:paraId="19B9711C" w14:textId="77777777" w:rsidR="001B4A2F" w:rsidRDefault="001B4A2F" w:rsidP="001F63A1">
            <w:pPr>
              <w:ind w:left="0"/>
              <w:rPr>
                <w:rFonts w:cs="Arial"/>
                <w:snapToGrid w:val="0"/>
                <w:color w:val="000000"/>
                <w:szCs w:val="24"/>
              </w:rPr>
            </w:pPr>
            <w:r>
              <w:rPr>
                <w:rFonts w:cs="Arial"/>
                <w:snapToGrid w:val="0"/>
                <w:color w:val="000000"/>
                <w:szCs w:val="24"/>
              </w:rPr>
              <w:t>CEC</w:t>
            </w:r>
          </w:p>
        </w:tc>
        <w:tc>
          <w:tcPr>
            <w:tcW w:w="9180" w:type="dxa"/>
            <w:tcBorders>
              <w:top w:val="single" w:sz="6" w:space="0" w:color="auto"/>
              <w:left w:val="single" w:sz="6" w:space="0" w:color="auto"/>
              <w:bottom w:val="single" w:sz="6" w:space="0" w:color="auto"/>
              <w:right w:val="single" w:sz="6" w:space="0" w:color="auto"/>
            </w:tcBorders>
          </w:tcPr>
          <w:p w14:paraId="7A34FCD6" w14:textId="77777777" w:rsidR="001B4A2F" w:rsidRDefault="001B4A2F" w:rsidP="001F63A1">
            <w:pPr>
              <w:ind w:left="0"/>
              <w:rPr>
                <w:rFonts w:cs="Arial"/>
                <w:snapToGrid w:val="0"/>
                <w:color w:val="000000"/>
                <w:szCs w:val="24"/>
              </w:rPr>
            </w:pPr>
            <w:r w:rsidRPr="00BC436B">
              <w:t>Central Electronics Comple</w:t>
            </w:r>
            <w:r>
              <w:t>xes</w:t>
            </w:r>
          </w:p>
        </w:tc>
      </w:tr>
      <w:tr w:rsidR="001B4A2F" w:rsidRPr="008C2C58" w14:paraId="4CEE702F" w14:textId="77777777" w:rsidTr="001F63A1">
        <w:trPr>
          <w:trHeight w:val="226"/>
        </w:trPr>
        <w:tc>
          <w:tcPr>
            <w:tcW w:w="1620" w:type="dxa"/>
            <w:tcBorders>
              <w:top w:val="single" w:sz="6" w:space="0" w:color="auto"/>
              <w:left w:val="single" w:sz="6" w:space="0" w:color="auto"/>
              <w:bottom w:val="single" w:sz="6" w:space="0" w:color="auto"/>
              <w:right w:val="single" w:sz="6" w:space="0" w:color="auto"/>
            </w:tcBorders>
          </w:tcPr>
          <w:p w14:paraId="3DCDE07E" w14:textId="77777777" w:rsidR="001B4A2F" w:rsidRPr="00AC2EB0" w:rsidRDefault="001B4A2F" w:rsidP="001F63A1">
            <w:pPr>
              <w:ind w:left="0"/>
              <w:rPr>
                <w:rFonts w:cs="Arial"/>
                <w:snapToGrid w:val="0"/>
                <w:color w:val="000000"/>
                <w:szCs w:val="24"/>
              </w:rPr>
            </w:pPr>
            <w:r>
              <w:rPr>
                <w:rFonts w:cs="Arial"/>
                <w:snapToGrid w:val="0"/>
                <w:color w:val="000000"/>
                <w:szCs w:val="24"/>
              </w:rPr>
              <w:t>CFR</w:t>
            </w:r>
          </w:p>
        </w:tc>
        <w:tc>
          <w:tcPr>
            <w:tcW w:w="9180" w:type="dxa"/>
            <w:tcBorders>
              <w:top w:val="single" w:sz="6" w:space="0" w:color="auto"/>
              <w:left w:val="single" w:sz="6" w:space="0" w:color="auto"/>
              <w:bottom w:val="single" w:sz="6" w:space="0" w:color="auto"/>
              <w:right w:val="single" w:sz="6" w:space="0" w:color="auto"/>
            </w:tcBorders>
          </w:tcPr>
          <w:p w14:paraId="1E2A042A" w14:textId="77777777" w:rsidR="001B4A2F" w:rsidRPr="008C2C58" w:rsidRDefault="001B4A2F" w:rsidP="001F63A1">
            <w:pPr>
              <w:ind w:left="0"/>
              <w:rPr>
                <w:rFonts w:cs="Arial"/>
                <w:snapToGrid w:val="0"/>
                <w:color w:val="000000"/>
                <w:szCs w:val="24"/>
              </w:rPr>
            </w:pPr>
            <w:r w:rsidRPr="00D01A3C">
              <w:rPr>
                <w:rFonts w:cs="Arial"/>
                <w:snapToGrid w:val="0"/>
                <w:color w:val="000000"/>
                <w:szCs w:val="24"/>
              </w:rPr>
              <w:t>Code of Federal Regulations</w:t>
            </w:r>
          </w:p>
        </w:tc>
      </w:tr>
      <w:tr w:rsidR="001B4A2F" w:rsidRPr="008C2C58" w14:paraId="1149B275"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7252AC5D"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Change Order</w:t>
            </w:r>
          </w:p>
        </w:tc>
        <w:tc>
          <w:tcPr>
            <w:tcW w:w="9180" w:type="dxa"/>
            <w:tcBorders>
              <w:top w:val="single" w:sz="6" w:space="0" w:color="auto"/>
              <w:left w:val="single" w:sz="6" w:space="0" w:color="auto"/>
              <w:bottom w:val="single" w:sz="6" w:space="0" w:color="auto"/>
              <w:right w:val="single" w:sz="6" w:space="0" w:color="auto"/>
            </w:tcBorders>
          </w:tcPr>
          <w:p w14:paraId="68AB5E33"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Document authorizing deliverables or work being added to or deleted from the original scope of work of a contract.</w:t>
            </w:r>
          </w:p>
        </w:tc>
      </w:tr>
      <w:tr w:rsidR="001B4A2F" w:rsidRPr="008C2C58" w14:paraId="028BC78F"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534FE382"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Change Request</w:t>
            </w:r>
          </w:p>
        </w:tc>
        <w:tc>
          <w:tcPr>
            <w:tcW w:w="9180" w:type="dxa"/>
            <w:tcBorders>
              <w:top w:val="single" w:sz="6" w:space="0" w:color="auto"/>
              <w:left w:val="single" w:sz="6" w:space="0" w:color="auto"/>
              <w:bottom w:val="single" w:sz="6" w:space="0" w:color="auto"/>
              <w:right w:val="single" w:sz="6" w:space="0" w:color="auto"/>
            </w:tcBorders>
          </w:tcPr>
          <w:p w14:paraId="3AD7C420"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 xml:space="preserve">A formal proposal to modify the project scope, cost and/or schedule. </w:t>
            </w:r>
          </w:p>
        </w:tc>
      </w:tr>
      <w:tr w:rsidR="001B4A2F" w:rsidRPr="008C2C58" w14:paraId="61A3A977"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47737AD0" w14:textId="77777777" w:rsidR="001B4A2F" w:rsidRPr="00AC2EB0" w:rsidRDefault="001B4A2F" w:rsidP="00031367">
            <w:pPr>
              <w:ind w:left="0"/>
              <w:rPr>
                <w:rFonts w:cs="Arial"/>
                <w:snapToGrid w:val="0"/>
                <w:color w:val="000000"/>
                <w:szCs w:val="24"/>
              </w:rPr>
            </w:pPr>
            <w:r>
              <w:rPr>
                <w:rFonts w:cs="Arial"/>
                <w:snapToGrid w:val="0"/>
                <w:color w:val="000000"/>
                <w:szCs w:val="24"/>
              </w:rPr>
              <w:t>CICS</w:t>
            </w:r>
          </w:p>
        </w:tc>
        <w:tc>
          <w:tcPr>
            <w:tcW w:w="9180" w:type="dxa"/>
            <w:tcBorders>
              <w:top w:val="single" w:sz="6" w:space="0" w:color="auto"/>
              <w:left w:val="single" w:sz="6" w:space="0" w:color="auto"/>
              <w:bottom w:val="single" w:sz="6" w:space="0" w:color="auto"/>
              <w:right w:val="single" w:sz="6" w:space="0" w:color="auto"/>
            </w:tcBorders>
          </w:tcPr>
          <w:p w14:paraId="343B4A71" w14:textId="77777777" w:rsidR="001B4A2F" w:rsidRPr="008C2C58" w:rsidRDefault="001B4A2F" w:rsidP="00031367">
            <w:pPr>
              <w:ind w:left="0"/>
              <w:rPr>
                <w:rFonts w:cs="Arial"/>
                <w:snapToGrid w:val="0"/>
                <w:color w:val="000000"/>
                <w:szCs w:val="24"/>
              </w:rPr>
            </w:pPr>
            <w:r w:rsidRPr="00DD32E5">
              <w:t>Customer Information Control System</w:t>
            </w:r>
          </w:p>
        </w:tc>
      </w:tr>
      <w:tr w:rsidR="001B4A2F" w:rsidRPr="008C2C58" w14:paraId="6723BE33"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5EA920F5"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CISO</w:t>
            </w:r>
          </w:p>
        </w:tc>
        <w:tc>
          <w:tcPr>
            <w:tcW w:w="9180" w:type="dxa"/>
            <w:tcBorders>
              <w:top w:val="single" w:sz="6" w:space="0" w:color="auto"/>
              <w:left w:val="single" w:sz="6" w:space="0" w:color="auto"/>
              <w:bottom w:val="single" w:sz="6" w:space="0" w:color="auto"/>
              <w:right w:val="single" w:sz="6" w:space="0" w:color="auto"/>
            </w:tcBorders>
          </w:tcPr>
          <w:p w14:paraId="196231F8"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Chief Information Security Officer</w:t>
            </w:r>
          </w:p>
        </w:tc>
      </w:tr>
      <w:tr w:rsidR="001B4A2F" w:rsidRPr="008C2C58" w14:paraId="0591B595"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614492D3"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CMS</w:t>
            </w:r>
          </w:p>
        </w:tc>
        <w:tc>
          <w:tcPr>
            <w:tcW w:w="9180" w:type="dxa"/>
            <w:tcBorders>
              <w:top w:val="single" w:sz="6" w:space="0" w:color="auto"/>
              <w:left w:val="single" w:sz="6" w:space="0" w:color="auto"/>
              <w:bottom w:val="single" w:sz="6" w:space="0" w:color="auto"/>
              <w:right w:val="single" w:sz="6" w:space="0" w:color="auto"/>
            </w:tcBorders>
          </w:tcPr>
          <w:p w14:paraId="1EC1A2DD" w14:textId="77777777" w:rsidR="001B4A2F" w:rsidRPr="008C2C58" w:rsidRDefault="001B4A2F" w:rsidP="00031367">
            <w:pPr>
              <w:ind w:left="0"/>
              <w:rPr>
                <w:szCs w:val="24"/>
              </w:rPr>
            </w:pPr>
            <w:r w:rsidRPr="008C2C58">
              <w:rPr>
                <w:szCs w:val="24"/>
              </w:rPr>
              <w:t>Content Management System</w:t>
            </w:r>
            <w:r>
              <w:rPr>
                <w:szCs w:val="24"/>
              </w:rPr>
              <w:t xml:space="preserve"> (currently FileNet)</w:t>
            </w:r>
          </w:p>
        </w:tc>
      </w:tr>
      <w:tr w:rsidR="001B4A2F" w:rsidRPr="008C2C58" w14:paraId="25FBF8F9"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41EFB892"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lastRenderedPageBreak/>
              <w:t>Code-1</w:t>
            </w:r>
          </w:p>
        </w:tc>
        <w:tc>
          <w:tcPr>
            <w:tcW w:w="9180" w:type="dxa"/>
            <w:tcBorders>
              <w:top w:val="single" w:sz="6" w:space="0" w:color="auto"/>
              <w:left w:val="single" w:sz="6" w:space="0" w:color="auto"/>
              <w:bottom w:val="single" w:sz="6" w:space="0" w:color="auto"/>
              <w:right w:val="single" w:sz="6" w:space="0" w:color="auto"/>
            </w:tcBorders>
          </w:tcPr>
          <w:p w14:paraId="24888FA8" w14:textId="77777777" w:rsidR="001B4A2F" w:rsidRPr="008C2C58" w:rsidRDefault="001B4A2F" w:rsidP="00031367">
            <w:pPr>
              <w:ind w:left="0"/>
              <w:rPr>
                <w:szCs w:val="24"/>
              </w:rPr>
            </w:pPr>
            <w:r>
              <w:rPr>
                <w:szCs w:val="24"/>
              </w:rPr>
              <w:t>Address validation software by Pitney Bowes</w:t>
            </w:r>
          </w:p>
        </w:tc>
      </w:tr>
      <w:tr w:rsidR="001B4A2F" w:rsidRPr="008C2C58" w14:paraId="2E889286"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4E8B333C"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CPA</w:t>
            </w:r>
          </w:p>
        </w:tc>
        <w:tc>
          <w:tcPr>
            <w:tcW w:w="9180" w:type="dxa"/>
            <w:tcBorders>
              <w:top w:val="single" w:sz="6" w:space="0" w:color="auto"/>
              <w:left w:val="single" w:sz="6" w:space="0" w:color="auto"/>
              <w:bottom w:val="single" w:sz="6" w:space="0" w:color="auto"/>
              <w:right w:val="single" w:sz="6" w:space="0" w:color="auto"/>
            </w:tcBorders>
          </w:tcPr>
          <w:p w14:paraId="4D396946"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Comptroller of Public Accounts (Texas)</w:t>
            </w:r>
          </w:p>
        </w:tc>
      </w:tr>
      <w:tr w:rsidR="001B4A2F" w:rsidRPr="008C2C58" w14:paraId="5C559D2B"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4869EE54" w14:textId="77777777" w:rsidR="001B4A2F" w:rsidRPr="00AC2EB0" w:rsidRDefault="001B4A2F" w:rsidP="00031367">
            <w:pPr>
              <w:ind w:left="0"/>
              <w:rPr>
                <w:rFonts w:cs="Arial"/>
                <w:snapToGrid w:val="0"/>
                <w:color w:val="000000"/>
                <w:szCs w:val="24"/>
              </w:rPr>
            </w:pPr>
            <w:r w:rsidRPr="00AC2EB0">
              <w:rPr>
                <w:szCs w:val="24"/>
                <w:lang w:eastAsia="en-AU"/>
              </w:rPr>
              <w:t>CPA firm</w:t>
            </w:r>
          </w:p>
        </w:tc>
        <w:tc>
          <w:tcPr>
            <w:tcW w:w="9180" w:type="dxa"/>
            <w:tcBorders>
              <w:top w:val="single" w:sz="6" w:space="0" w:color="auto"/>
              <w:left w:val="single" w:sz="6" w:space="0" w:color="auto"/>
              <w:bottom w:val="single" w:sz="6" w:space="0" w:color="auto"/>
              <w:right w:val="single" w:sz="6" w:space="0" w:color="auto"/>
            </w:tcBorders>
          </w:tcPr>
          <w:p w14:paraId="22E8E994" w14:textId="77777777" w:rsidR="001B4A2F" w:rsidRPr="008C2C58" w:rsidRDefault="001B4A2F" w:rsidP="00031367">
            <w:pPr>
              <w:ind w:left="0"/>
              <w:rPr>
                <w:rFonts w:cs="Arial"/>
                <w:snapToGrid w:val="0"/>
                <w:color w:val="000000"/>
                <w:szCs w:val="24"/>
              </w:rPr>
            </w:pPr>
            <w:r w:rsidRPr="008C2C58">
              <w:rPr>
                <w:szCs w:val="24"/>
                <w:lang w:eastAsia="en-AU"/>
              </w:rPr>
              <w:t>Certified Public Accounting firm</w:t>
            </w:r>
          </w:p>
        </w:tc>
      </w:tr>
      <w:tr w:rsidR="001B4A2F" w:rsidRPr="008C2C58" w14:paraId="730B28DB" w14:textId="77777777" w:rsidTr="00482456">
        <w:tblPrEx>
          <w:tblLook w:val="04A0" w:firstRow="1" w:lastRow="0" w:firstColumn="1" w:lastColumn="0" w:noHBand="0" w:noVBand="1"/>
        </w:tblPrEx>
        <w:trPr>
          <w:trHeight w:val="226"/>
        </w:trPr>
        <w:tc>
          <w:tcPr>
            <w:tcW w:w="1620" w:type="dxa"/>
            <w:tcBorders>
              <w:top w:val="single" w:sz="6" w:space="0" w:color="auto"/>
              <w:left w:val="single" w:sz="6" w:space="0" w:color="auto"/>
              <w:bottom w:val="single" w:sz="6" w:space="0" w:color="auto"/>
              <w:right w:val="single" w:sz="6" w:space="0" w:color="auto"/>
            </w:tcBorders>
          </w:tcPr>
          <w:p w14:paraId="5B7B629F" w14:textId="77777777" w:rsidR="001B4A2F" w:rsidRPr="00AC2EB0" w:rsidRDefault="001B4A2F" w:rsidP="00031367">
            <w:pPr>
              <w:ind w:left="0"/>
              <w:rPr>
                <w:rFonts w:cs="Arial"/>
                <w:snapToGrid w:val="0"/>
                <w:color w:val="000000"/>
                <w:szCs w:val="24"/>
              </w:rPr>
            </w:pPr>
            <w:r>
              <w:rPr>
                <w:rFonts w:cs="Arial"/>
                <w:snapToGrid w:val="0"/>
                <w:color w:val="000000"/>
                <w:szCs w:val="24"/>
              </w:rPr>
              <w:t>CPU</w:t>
            </w:r>
          </w:p>
        </w:tc>
        <w:tc>
          <w:tcPr>
            <w:tcW w:w="9180" w:type="dxa"/>
            <w:tcBorders>
              <w:top w:val="single" w:sz="6" w:space="0" w:color="auto"/>
              <w:left w:val="single" w:sz="6" w:space="0" w:color="auto"/>
              <w:bottom w:val="single" w:sz="6" w:space="0" w:color="auto"/>
              <w:right w:val="single" w:sz="6" w:space="0" w:color="auto"/>
            </w:tcBorders>
          </w:tcPr>
          <w:p w14:paraId="27834C19" w14:textId="77777777" w:rsidR="001B4A2F" w:rsidRPr="008C2C58" w:rsidRDefault="001B4A2F" w:rsidP="00031367">
            <w:pPr>
              <w:ind w:left="0"/>
              <w:rPr>
                <w:rFonts w:cs="Arial"/>
                <w:snapToGrid w:val="0"/>
                <w:color w:val="000000"/>
                <w:szCs w:val="24"/>
              </w:rPr>
            </w:pPr>
            <w:r>
              <w:t>Central Processing Unit</w:t>
            </w:r>
          </w:p>
        </w:tc>
      </w:tr>
      <w:tr w:rsidR="001B4A2F" w:rsidRPr="008C2C58" w14:paraId="7246136F" w14:textId="77777777" w:rsidTr="00482456">
        <w:tblPrEx>
          <w:tblLook w:val="04A0" w:firstRow="1" w:lastRow="0" w:firstColumn="1" w:lastColumn="0" w:noHBand="0" w:noVBand="1"/>
        </w:tblPrEx>
        <w:trPr>
          <w:trHeight w:val="226"/>
        </w:trPr>
        <w:tc>
          <w:tcPr>
            <w:tcW w:w="1620" w:type="dxa"/>
            <w:tcBorders>
              <w:top w:val="single" w:sz="6" w:space="0" w:color="auto"/>
              <w:left w:val="single" w:sz="6" w:space="0" w:color="auto"/>
              <w:bottom w:val="single" w:sz="6" w:space="0" w:color="auto"/>
              <w:right w:val="single" w:sz="6" w:space="0" w:color="auto"/>
            </w:tcBorders>
            <w:hideMark/>
          </w:tcPr>
          <w:p w14:paraId="0E2B483B"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Credential</w:t>
            </w:r>
          </w:p>
        </w:tc>
        <w:tc>
          <w:tcPr>
            <w:tcW w:w="9180" w:type="dxa"/>
            <w:tcBorders>
              <w:top w:val="single" w:sz="6" w:space="0" w:color="auto"/>
              <w:left w:val="single" w:sz="6" w:space="0" w:color="auto"/>
              <w:bottom w:val="single" w:sz="6" w:space="0" w:color="auto"/>
              <w:right w:val="single" w:sz="6" w:space="0" w:color="auto"/>
            </w:tcBorders>
            <w:hideMark/>
          </w:tcPr>
          <w:p w14:paraId="2D7EBDDA"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A credential is the all-encompassing term used to describe any type of traditional and non-traditional award within the context of education, training, workforce, and employment development. Credentials are awarded by third-party entities, who have relevant authority to issue such credentials, after individuals demonstrate proficiency or competency in a given occupation or field. Credential awards can be earned from a variety of sources, including, but not limited to, educational institutions, industry associations, or government agencies.</w:t>
            </w:r>
          </w:p>
        </w:tc>
      </w:tr>
      <w:tr w:rsidR="001B4A2F" w:rsidRPr="008C2C58" w14:paraId="301DD1AA"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05646EDB"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CSE</w:t>
            </w:r>
          </w:p>
        </w:tc>
        <w:tc>
          <w:tcPr>
            <w:tcW w:w="9180" w:type="dxa"/>
            <w:tcBorders>
              <w:top w:val="single" w:sz="6" w:space="0" w:color="auto"/>
              <w:left w:val="single" w:sz="6" w:space="0" w:color="auto"/>
              <w:bottom w:val="single" w:sz="6" w:space="0" w:color="auto"/>
              <w:right w:val="single" w:sz="6" w:space="0" w:color="auto"/>
            </w:tcBorders>
          </w:tcPr>
          <w:p w14:paraId="78FD7FD4" w14:textId="77777777" w:rsidR="001B4A2F" w:rsidRDefault="001B4A2F" w:rsidP="00031367">
            <w:pPr>
              <w:tabs>
                <w:tab w:val="left" w:pos="3270"/>
              </w:tabs>
              <w:ind w:left="0"/>
              <w:rPr>
                <w:szCs w:val="24"/>
              </w:rPr>
            </w:pPr>
            <w:r>
              <w:rPr>
                <w:szCs w:val="24"/>
              </w:rPr>
              <w:t>Child Support Enforcement (Texas)</w:t>
            </w:r>
          </w:p>
        </w:tc>
      </w:tr>
      <w:tr w:rsidR="001B4A2F" w:rsidRPr="008C2C58" w14:paraId="26290B72" w14:textId="77777777" w:rsidTr="001F63A1">
        <w:tblPrEx>
          <w:tblLook w:val="04A0" w:firstRow="1" w:lastRow="0" w:firstColumn="1" w:lastColumn="0" w:noHBand="0" w:noVBand="1"/>
        </w:tblPrEx>
        <w:trPr>
          <w:trHeight w:val="226"/>
        </w:trPr>
        <w:tc>
          <w:tcPr>
            <w:tcW w:w="1620" w:type="dxa"/>
            <w:tcBorders>
              <w:top w:val="single" w:sz="6" w:space="0" w:color="auto"/>
              <w:left w:val="single" w:sz="6" w:space="0" w:color="auto"/>
              <w:bottom w:val="single" w:sz="6" w:space="0" w:color="auto"/>
              <w:right w:val="single" w:sz="6" w:space="0" w:color="auto"/>
            </w:tcBorders>
          </w:tcPr>
          <w:p w14:paraId="03014519" w14:textId="77777777" w:rsidR="001B4A2F" w:rsidRPr="00AC2EB0" w:rsidRDefault="001B4A2F" w:rsidP="001F63A1">
            <w:pPr>
              <w:ind w:left="0"/>
              <w:rPr>
                <w:rFonts w:cs="Arial"/>
                <w:snapToGrid w:val="0"/>
                <w:color w:val="000000"/>
                <w:szCs w:val="24"/>
              </w:rPr>
            </w:pPr>
            <w:r>
              <w:rPr>
                <w:rFonts w:cs="Arial"/>
                <w:snapToGrid w:val="0"/>
                <w:color w:val="000000"/>
                <w:szCs w:val="24"/>
              </w:rPr>
              <w:t>CSR</w:t>
            </w:r>
          </w:p>
        </w:tc>
        <w:tc>
          <w:tcPr>
            <w:tcW w:w="9180" w:type="dxa"/>
            <w:tcBorders>
              <w:top w:val="single" w:sz="6" w:space="0" w:color="auto"/>
              <w:left w:val="single" w:sz="6" w:space="0" w:color="auto"/>
              <w:bottom w:val="single" w:sz="6" w:space="0" w:color="auto"/>
              <w:right w:val="single" w:sz="6" w:space="0" w:color="auto"/>
            </w:tcBorders>
          </w:tcPr>
          <w:p w14:paraId="62C4777E" w14:textId="77777777" w:rsidR="001B4A2F" w:rsidRPr="008C2C58" w:rsidRDefault="001B4A2F" w:rsidP="001F63A1">
            <w:pPr>
              <w:ind w:left="0"/>
              <w:rPr>
                <w:rFonts w:cs="Arial"/>
                <w:snapToGrid w:val="0"/>
                <w:color w:val="000000"/>
                <w:szCs w:val="24"/>
              </w:rPr>
            </w:pPr>
            <w:r>
              <w:rPr>
                <w:rFonts w:cs="Arial"/>
                <w:snapToGrid w:val="0"/>
                <w:color w:val="000000"/>
                <w:szCs w:val="24"/>
              </w:rPr>
              <w:t>Customer Service Representative</w:t>
            </w:r>
          </w:p>
        </w:tc>
      </w:tr>
      <w:tr w:rsidR="001B4A2F" w:rsidRPr="008C2C58" w14:paraId="085BC979" w14:textId="77777777" w:rsidTr="001F63A1">
        <w:tblPrEx>
          <w:tblLook w:val="04A0" w:firstRow="1" w:lastRow="0" w:firstColumn="1" w:lastColumn="0" w:noHBand="0" w:noVBand="1"/>
        </w:tblPrEx>
        <w:trPr>
          <w:trHeight w:val="226"/>
        </w:trPr>
        <w:tc>
          <w:tcPr>
            <w:tcW w:w="1620" w:type="dxa"/>
            <w:tcBorders>
              <w:top w:val="single" w:sz="6" w:space="0" w:color="auto"/>
              <w:left w:val="single" w:sz="6" w:space="0" w:color="auto"/>
              <w:bottom w:val="single" w:sz="6" w:space="0" w:color="auto"/>
              <w:right w:val="single" w:sz="6" w:space="0" w:color="auto"/>
            </w:tcBorders>
          </w:tcPr>
          <w:p w14:paraId="0FA8E9C3" w14:textId="77777777" w:rsidR="001B4A2F" w:rsidRDefault="001B4A2F" w:rsidP="001F63A1">
            <w:pPr>
              <w:ind w:left="0"/>
              <w:rPr>
                <w:rFonts w:cs="Arial"/>
                <w:snapToGrid w:val="0"/>
                <w:color w:val="000000"/>
                <w:szCs w:val="24"/>
              </w:rPr>
            </w:pPr>
            <w:r>
              <w:rPr>
                <w:rFonts w:cs="Arial"/>
                <w:snapToGrid w:val="0"/>
                <w:color w:val="000000"/>
                <w:szCs w:val="24"/>
              </w:rPr>
              <w:t>Customer</w:t>
            </w:r>
          </w:p>
        </w:tc>
        <w:tc>
          <w:tcPr>
            <w:tcW w:w="9180" w:type="dxa"/>
            <w:tcBorders>
              <w:top w:val="single" w:sz="6" w:space="0" w:color="auto"/>
              <w:left w:val="single" w:sz="6" w:space="0" w:color="auto"/>
              <w:bottom w:val="single" w:sz="6" w:space="0" w:color="auto"/>
              <w:right w:val="single" w:sz="6" w:space="0" w:color="auto"/>
            </w:tcBorders>
          </w:tcPr>
          <w:p w14:paraId="5E1C8D0B" w14:textId="77777777" w:rsidR="001B4A2F" w:rsidRDefault="001B4A2F" w:rsidP="001F63A1">
            <w:pPr>
              <w:ind w:left="0"/>
              <w:rPr>
                <w:rFonts w:cs="Arial"/>
                <w:snapToGrid w:val="0"/>
                <w:color w:val="000000"/>
                <w:szCs w:val="24"/>
              </w:rPr>
            </w:pPr>
            <w:r>
              <w:t xml:space="preserve">TWC UI Customers are those who interact with the TWC UI Program including Claimants, Employers, TPAs, Accountants, Attorneys/Representatives, </w:t>
            </w:r>
            <w:r w:rsidRPr="00C6449B">
              <w:t>Other Governmental Entities</w:t>
            </w:r>
            <w:r>
              <w:t>, Law Enforcement, and other external parties.</w:t>
            </w:r>
          </w:p>
        </w:tc>
      </w:tr>
      <w:tr w:rsidR="001B4A2F" w:rsidRPr="008C2C58" w14:paraId="64EE94CB"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444CDEB4"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CWC</w:t>
            </w:r>
          </w:p>
        </w:tc>
        <w:tc>
          <w:tcPr>
            <w:tcW w:w="9180" w:type="dxa"/>
            <w:tcBorders>
              <w:top w:val="single" w:sz="6" w:space="0" w:color="auto"/>
              <w:left w:val="single" w:sz="6" w:space="0" w:color="auto"/>
              <w:bottom w:val="single" w:sz="6" w:space="0" w:color="auto"/>
              <w:right w:val="single" w:sz="6" w:space="0" w:color="auto"/>
            </w:tcBorders>
          </w:tcPr>
          <w:p w14:paraId="54087EA0" w14:textId="77777777" w:rsidR="001B4A2F" w:rsidRDefault="001B4A2F" w:rsidP="00031367">
            <w:pPr>
              <w:tabs>
                <w:tab w:val="left" w:pos="3270"/>
              </w:tabs>
              <w:ind w:left="0"/>
            </w:pPr>
            <w:r>
              <w:t>Combined Wage Claim</w:t>
            </w:r>
          </w:p>
        </w:tc>
      </w:tr>
      <w:tr w:rsidR="001B4A2F" w:rsidRPr="008C2C58" w14:paraId="4E22976F"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2FCF1354" w14:textId="77777777" w:rsidR="001B4A2F" w:rsidRPr="00AC2EB0" w:rsidRDefault="001B4A2F" w:rsidP="00031367">
            <w:pPr>
              <w:ind w:left="0"/>
              <w:rPr>
                <w:rFonts w:cs="Arial"/>
                <w:snapToGrid w:val="0"/>
                <w:color w:val="000000"/>
                <w:szCs w:val="24"/>
              </w:rPr>
            </w:pPr>
            <w:r>
              <w:rPr>
                <w:rFonts w:cs="Arial"/>
                <w:snapToGrid w:val="0"/>
                <w:color w:val="000000"/>
                <w:szCs w:val="24"/>
              </w:rPr>
              <w:t>CY</w:t>
            </w:r>
          </w:p>
        </w:tc>
        <w:tc>
          <w:tcPr>
            <w:tcW w:w="9180" w:type="dxa"/>
            <w:tcBorders>
              <w:top w:val="single" w:sz="6" w:space="0" w:color="auto"/>
              <w:left w:val="single" w:sz="6" w:space="0" w:color="auto"/>
              <w:bottom w:val="single" w:sz="6" w:space="0" w:color="auto"/>
              <w:right w:val="single" w:sz="6" w:space="0" w:color="auto"/>
            </w:tcBorders>
          </w:tcPr>
          <w:p w14:paraId="3625405A" w14:textId="77777777" w:rsidR="001B4A2F" w:rsidRDefault="001B4A2F" w:rsidP="00031367">
            <w:pPr>
              <w:tabs>
                <w:tab w:val="left" w:pos="3270"/>
              </w:tabs>
              <w:ind w:left="0"/>
            </w:pPr>
            <w:r>
              <w:t>Calendar Year</w:t>
            </w:r>
          </w:p>
        </w:tc>
      </w:tr>
      <w:tr w:rsidR="001B4A2F" w:rsidRPr="008C2C58" w14:paraId="08F3F6B6" w14:textId="77777777" w:rsidTr="001F63A1">
        <w:trPr>
          <w:trHeight w:val="226"/>
        </w:trPr>
        <w:tc>
          <w:tcPr>
            <w:tcW w:w="1620" w:type="dxa"/>
            <w:tcBorders>
              <w:top w:val="single" w:sz="6" w:space="0" w:color="auto"/>
              <w:left w:val="single" w:sz="6" w:space="0" w:color="auto"/>
              <w:bottom w:val="single" w:sz="6" w:space="0" w:color="auto"/>
              <w:right w:val="single" w:sz="6" w:space="0" w:color="auto"/>
            </w:tcBorders>
          </w:tcPr>
          <w:p w14:paraId="201855E4" w14:textId="77777777" w:rsidR="001B4A2F" w:rsidRPr="00AC2EB0" w:rsidRDefault="001B4A2F" w:rsidP="001F63A1">
            <w:pPr>
              <w:ind w:left="0"/>
              <w:rPr>
                <w:rFonts w:cs="Arial"/>
                <w:snapToGrid w:val="0"/>
                <w:szCs w:val="24"/>
              </w:rPr>
            </w:pPr>
            <w:r>
              <w:rPr>
                <w:rFonts w:cs="Arial"/>
                <w:snapToGrid w:val="0"/>
                <w:szCs w:val="24"/>
              </w:rPr>
              <w:t>DCI</w:t>
            </w:r>
          </w:p>
        </w:tc>
        <w:tc>
          <w:tcPr>
            <w:tcW w:w="9180" w:type="dxa"/>
            <w:tcBorders>
              <w:top w:val="single" w:sz="6" w:space="0" w:color="auto"/>
              <w:left w:val="single" w:sz="6" w:space="0" w:color="auto"/>
              <w:bottom w:val="single" w:sz="6" w:space="0" w:color="auto"/>
              <w:right w:val="single" w:sz="6" w:space="0" w:color="auto"/>
            </w:tcBorders>
          </w:tcPr>
          <w:p w14:paraId="60A3DA20" w14:textId="77777777" w:rsidR="001B4A2F" w:rsidRDefault="001B4A2F" w:rsidP="001F63A1">
            <w:pPr>
              <w:ind w:left="0"/>
            </w:pPr>
            <w:r>
              <w:t>Data Collection I</w:t>
            </w:r>
            <w:r w:rsidRPr="00D01512">
              <w:t>nstrument</w:t>
            </w:r>
            <w:r>
              <w:t xml:space="preserve"> (DOL form)</w:t>
            </w:r>
          </w:p>
        </w:tc>
      </w:tr>
      <w:tr w:rsidR="001B4A2F" w:rsidRPr="008C2C58" w14:paraId="2976E8B9"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124C6BFA" w14:textId="77777777" w:rsidR="001B4A2F" w:rsidRPr="00AC2EB0" w:rsidRDefault="001B4A2F" w:rsidP="001A42F1">
            <w:pPr>
              <w:ind w:left="0"/>
              <w:rPr>
                <w:rFonts w:cs="Arial"/>
                <w:snapToGrid w:val="0"/>
                <w:szCs w:val="24"/>
              </w:rPr>
            </w:pPr>
            <w:r w:rsidRPr="00AC2EB0">
              <w:rPr>
                <w:rFonts w:cs="Arial"/>
                <w:snapToGrid w:val="0"/>
                <w:szCs w:val="24"/>
              </w:rPr>
              <w:t>DCS</w:t>
            </w:r>
          </w:p>
        </w:tc>
        <w:tc>
          <w:tcPr>
            <w:tcW w:w="9180" w:type="dxa"/>
            <w:tcBorders>
              <w:top w:val="single" w:sz="6" w:space="0" w:color="auto"/>
              <w:left w:val="single" w:sz="6" w:space="0" w:color="auto"/>
              <w:bottom w:val="single" w:sz="6" w:space="0" w:color="auto"/>
              <w:right w:val="single" w:sz="6" w:space="0" w:color="auto"/>
            </w:tcBorders>
          </w:tcPr>
          <w:p w14:paraId="18D710B7" w14:textId="77777777" w:rsidR="001B4A2F" w:rsidRDefault="001B4A2F" w:rsidP="001A42F1">
            <w:pPr>
              <w:ind w:left="0"/>
              <w:rPr>
                <w:color w:val="000000"/>
                <w:szCs w:val="24"/>
              </w:rPr>
            </w:pPr>
            <w:r w:rsidRPr="00D4523F">
              <w:rPr>
                <w:rFonts w:cs="Arial"/>
                <w:snapToGrid w:val="0"/>
                <w:szCs w:val="24"/>
              </w:rPr>
              <w:t>Data Center Service</w:t>
            </w:r>
            <w:r>
              <w:rPr>
                <w:rFonts w:cs="Arial"/>
                <w:snapToGrid w:val="0"/>
                <w:szCs w:val="24"/>
              </w:rPr>
              <w:t>s, a</w:t>
            </w:r>
            <w:r>
              <w:rPr>
                <w:rFonts w:cs="Arial"/>
                <w:snapToGrid w:val="0"/>
                <w:color w:val="000000"/>
                <w:szCs w:val="24"/>
              </w:rPr>
              <w:t xml:space="preserve">lso known as </w:t>
            </w:r>
            <w:r w:rsidRPr="00945A2D">
              <w:rPr>
                <w:rFonts w:cs="Arial"/>
                <w:snapToGrid w:val="0"/>
                <w:color w:val="000000"/>
                <w:szCs w:val="24"/>
              </w:rPr>
              <w:t>DIR Shared Technology Services</w:t>
            </w:r>
            <w:r>
              <w:rPr>
                <w:rFonts w:cs="Arial"/>
                <w:snapToGrid w:val="0"/>
                <w:color w:val="000000"/>
                <w:szCs w:val="24"/>
              </w:rPr>
              <w:t xml:space="preserve"> (STS), </w:t>
            </w:r>
            <w:r w:rsidRPr="008C2C58">
              <w:rPr>
                <w:rFonts w:cs="Arial"/>
                <w:snapToGrid w:val="0"/>
                <w:color w:val="000000"/>
                <w:szCs w:val="24"/>
              </w:rPr>
              <w:t xml:space="preserve">provided through the Texas </w:t>
            </w:r>
            <w:r w:rsidRPr="008C2C58">
              <w:rPr>
                <w:color w:val="000000"/>
                <w:szCs w:val="24"/>
              </w:rPr>
              <w:t>Department of Information Resources</w:t>
            </w:r>
            <w:r>
              <w:rPr>
                <w:color w:val="000000"/>
                <w:szCs w:val="24"/>
              </w:rPr>
              <w:t xml:space="preserve"> (see </w:t>
            </w:r>
            <w:hyperlink r:id="rId9" w:history="1">
              <w:r w:rsidRPr="00D4523F">
                <w:rPr>
                  <w:rStyle w:val="Hyperlink"/>
                  <w:szCs w:val="24"/>
                </w:rPr>
                <w:t>https://dir.texas.gov/View-About-DIR/Data-Center/Landing.aspx</w:t>
              </w:r>
            </w:hyperlink>
            <w:r>
              <w:rPr>
                <w:color w:val="000000"/>
                <w:szCs w:val="24"/>
              </w:rPr>
              <w:t>).</w:t>
            </w:r>
          </w:p>
          <w:p w14:paraId="0DA90D7B" w14:textId="77777777" w:rsidR="001B4A2F" w:rsidRPr="008C2C58" w:rsidRDefault="001B4A2F" w:rsidP="001A42F1">
            <w:pPr>
              <w:ind w:left="0"/>
              <w:rPr>
                <w:rFonts w:cs="Arial"/>
                <w:snapToGrid w:val="0"/>
                <w:color w:val="000000"/>
                <w:szCs w:val="24"/>
              </w:rPr>
            </w:pPr>
            <w:r w:rsidRPr="00050322">
              <w:rPr>
                <w:rFonts w:cs="Arial"/>
                <w:snapToGrid w:val="0"/>
                <w:szCs w:val="24"/>
              </w:rPr>
              <w:t>Texas’ DCS program provides all server management functions including system administration, operating system management and patching, base security services, dedicated local area network connectivity, storage services, backup services and disaster recovery services. DIR has multi-vendor contracts in place to provide data center consolidation services for 27 state agencies designated to participate in the program</w:t>
            </w:r>
            <w:r>
              <w:rPr>
                <w:rFonts w:cs="Arial"/>
                <w:snapToGrid w:val="0"/>
                <w:szCs w:val="24"/>
              </w:rPr>
              <w:t>.</w:t>
            </w:r>
          </w:p>
        </w:tc>
      </w:tr>
      <w:tr w:rsidR="001B4A2F" w:rsidRPr="008C2C58" w14:paraId="6477401A"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51CACE28" w14:textId="77777777" w:rsidR="001B4A2F" w:rsidRPr="00AC2EB0" w:rsidRDefault="001B4A2F" w:rsidP="00031367">
            <w:pPr>
              <w:ind w:left="0"/>
              <w:rPr>
                <w:rFonts w:cs="Arial"/>
                <w:snapToGrid w:val="0"/>
                <w:szCs w:val="24"/>
              </w:rPr>
            </w:pPr>
            <w:r w:rsidRPr="00AC2EB0">
              <w:rPr>
                <w:rFonts w:cs="Arial"/>
                <w:snapToGrid w:val="0"/>
                <w:szCs w:val="24"/>
              </w:rPr>
              <w:t>DD 214</w:t>
            </w:r>
          </w:p>
        </w:tc>
        <w:tc>
          <w:tcPr>
            <w:tcW w:w="9180" w:type="dxa"/>
            <w:tcBorders>
              <w:top w:val="single" w:sz="6" w:space="0" w:color="auto"/>
              <w:left w:val="single" w:sz="6" w:space="0" w:color="auto"/>
              <w:bottom w:val="single" w:sz="6" w:space="0" w:color="auto"/>
              <w:right w:val="single" w:sz="6" w:space="0" w:color="auto"/>
            </w:tcBorders>
          </w:tcPr>
          <w:p w14:paraId="6C53C346"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Certificate of Release or Discharge from Active Duty Form 214</w:t>
            </w:r>
          </w:p>
        </w:tc>
      </w:tr>
      <w:tr w:rsidR="001B4A2F" w:rsidRPr="008C2C58" w14:paraId="46BF0519"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4DE30008" w14:textId="77777777" w:rsidR="001B4A2F" w:rsidRPr="00AC2EB0" w:rsidRDefault="001B4A2F" w:rsidP="00031367">
            <w:pPr>
              <w:ind w:left="0"/>
              <w:rPr>
                <w:rFonts w:cs="Arial"/>
                <w:snapToGrid w:val="0"/>
                <w:szCs w:val="24"/>
              </w:rPr>
            </w:pPr>
            <w:r w:rsidRPr="00AC2EB0">
              <w:rPr>
                <w:rFonts w:cs="Arial"/>
                <w:snapToGrid w:val="0"/>
                <w:szCs w:val="24"/>
              </w:rPr>
              <w:lastRenderedPageBreak/>
              <w:t>DED</w:t>
            </w:r>
          </w:p>
        </w:tc>
        <w:tc>
          <w:tcPr>
            <w:tcW w:w="9180" w:type="dxa"/>
            <w:tcBorders>
              <w:top w:val="single" w:sz="6" w:space="0" w:color="auto"/>
              <w:left w:val="single" w:sz="6" w:space="0" w:color="auto"/>
              <w:bottom w:val="single" w:sz="6" w:space="0" w:color="auto"/>
              <w:right w:val="single" w:sz="6" w:space="0" w:color="auto"/>
            </w:tcBorders>
          </w:tcPr>
          <w:p w14:paraId="188523E7"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Deliverables Expectations Document</w:t>
            </w:r>
          </w:p>
        </w:tc>
      </w:tr>
      <w:tr w:rsidR="001B4A2F" w:rsidRPr="008C2C58" w14:paraId="0C9884A8"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2933620E" w14:textId="77777777" w:rsidR="001B4A2F" w:rsidRPr="00AC2EB0" w:rsidRDefault="001B4A2F" w:rsidP="00031367">
            <w:pPr>
              <w:ind w:left="0"/>
              <w:rPr>
                <w:rFonts w:cs="Arial"/>
                <w:snapToGrid w:val="0"/>
                <w:szCs w:val="24"/>
              </w:rPr>
            </w:pPr>
            <w:r w:rsidRPr="00AC2EB0">
              <w:rPr>
                <w:rFonts w:cs="Arial"/>
                <w:snapToGrid w:val="0"/>
                <w:szCs w:val="24"/>
              </w:rPr>
              <w:t>DIR</w:t>
            </w:r>
          </w:p>
        </w:tc>
        <w:tc>
          <w:tcPr>
            <w:tcW w:w="9180" w:type="dxa"/>
            <w:tcBorders>
              <w:top w:val="single" w:sz="6" w:space="0" w:color="auto"/>
              <w:left w:val="single" w:sz="6" w:space="0" w:color="auto"/>
              <w:bottom w:val="single" w:sz="6" w:space="0" w:color="auto"/>
              <w:right w:val="single" w:sz="6" w:space="0" w:color="auto"/>
            </w:tcBorders>
          </w:tcPr>
          <w:p w14:paraId="334581FD" w14:textId="77777777" w:rsidR="001B4A2F" w:rsidRPr="008C2C58" w:rsidRDefault="006D43BC" w:rsidP="00031367">
            <w:pPr>
              <w:ind w:left="0"/>
              <w:rPr>
                <w:rFonts w:cs="Arial"/>
                <w:snapToGrid w:val="0"/>
                <w:color w:val="000000"/>
                <w:szCs w:val="24"/>
              </w:rPr>
            </w:pPr>
            <w:hyperlink r:id="rId10" w:history="1">
              <w:r w:rsidR="001B4A2F" w:rsidRPr="008C2C58">
                <w:rPr>
                  <w:rStyle w:val="Hyperlink"/>
                  <w:szCs w:val="24"/>
                </w:rPr>
                <w:t>Department of Information Resources</w:t>
              </w:r>
            </w:hyperlink>
            <w:r w:rsidR="001B4A2F" w:rsidRPr="008C2C58">
              <w:rPr>
                <w:rFonts w:cs="Arial"/>
                <w:snapToGrid w:val="0"/>
                <w:color w:val="000000"/>
                <w:szCs w:val="24"/>
              </w:rPr>
              <w:t xml:space="preserve"> (Texas)</w:t>
            </w:r>
          </w:p>
        </w:tc>
      </w:tr>
      <w:tr w:rsidR="001B4A2F" w:rsidRPr="008C2C58" w14:paraId="7C34E34F"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5225C7EB"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DOL</w:t>
            </w:r>
          </w:p>
        </w:tc>
        <w:tc>
          <w:tcPr>
            <w:tcW w:w="9180" w:type="dxa"/>
            <w:tcBorders>
              <w:top w:val="single" w:sz="6" w:space="0" w:color="auto"/>
              <w:left w:val="single" w:sz="6" w:space="0" w:color="auto"/>
              <w:bottom w:val="single" w:sz="6" w:space="0" w:color="auto"/>
              <w:right w:val="single" w:sz="6" w:space="0" w:color="auto"/>
            </w:tcBorders>
          </w:tcPr>
          <w:p w14:paraId="0E7366A1"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 xml:space="preserve">Department of Labor </w:t>
            </w:r>
          </w:p>
        </w:tc>
      </w:tr>
      <w:tr w:rsidR="001B4A2F" w:rsidRPr="008C2C58" w14:paraId="21B14114" w14:textId="77777777" w:rsidTr="001F63A1">
        <w:tblPrEx>
          <w:tblLook w:val="04A0" w:firstRow="1" w:lastRow="0" w:firstColumn="1" w:lastColumn="0" w:noHBand="0" w:noVBand="1"/>
        </w:tblPrEx>
        <w:trPr>
          <w:trHeight w:val="226"/>
        </w:trPr>
        <w:tc>
          <w:tcPr>
            <w:tcW w:w="1620" w:type="dxa"/>
            <w:tcBorders>
              <w:top w:val="single" w:sz="6" w:space="0" w:color="auto"/>
              <w:left w:val="single" w:sz="6" w:space="0" w:color="auto"/>
              <w:bottom w:val="single" w:sz="6" w:space="0" w:color="auto"/>
              <w:right w:val="single" w:sz="6" w:space="0" w:color="auto"/>
            </w:tcBorders>
          </w:tcPr>
          <w:p w14:paraId="14015014" w14:textId="77777777" w:rsidR="001B4A2F" w:rsidRPr="00AC2EB0" w:rsidRDefault="001B4A2F" w:rsidP="001F63A1">
            <w:pPr>
              <w:ind w:left="0"/>
              <w:rPr>
                <w:rFonts w:cs="Arial"/>
                <w:snapToGrid w:val="0"/>
                <w:color w:val="000000"/>
                <w:szCs w:val="24"/>
              </w:rPr>
            </w:pPr>
            <w:r>
              <w:rPr>
                <w:rFonts w:cs="Arial"/>
                <w:snapToGrid w:val="0"/>
                <w:color w:val="000000"/>
                <w:szCs w:val="24"/>
              </w:rPr>
              <w:t>DPS</w:t>
            </w:r>
          </w:p>
        </w:tc>
        <w:tc>
          <w:tcPr>
            <w:tcW w:w="9180" w:type="dxa"/>
            <w:tcBorders>
              <w:top w:val="single" w:sz="6" w:space="0" w:color="auto"/>
              <w:left w:val="single" w:sz="6" w:space="0" w:color="auto"/>
              <w:bottom w:val="single" w:sz="6" w:space="0" w:color="auto"/>
              <w:right w:val="single" w:sz="6" w:space="0" w:color="auto"/>
            </w:tcBorders>
          </w:tcPr>
          <w:p w14:paraId="1169C4D8" w14:textId="77777777" w:rsidR="001B4A2F" w:rsidRPr="008C2C58" w:rsidRDefault="001B4A2F" w:rsidP="001F63A1">
            <w:pPr>
              <w:ind w:left="0"/>
              <w:rPr>
                <w:rFonts w:cs="Arial"/>
                <w:snapToGrid w:val="0"/>
                <w:color w:val="000000"/>
                <w:szCs w:val="24"/>
              </w:rPr>
            </w:pPr>
            <w:r>
              <w:rPr>
                <w:rFonts w:cs="Arial"/>
                <w:snapToGrid w:val="0"/>
                <w:color w:val="000000"/>
                <w:szCs w:val="24"/>
              </w:rPr>
              <w:t>Department of Public Safety (Texas)</w:t>
            </w:r>
          </w:p>
        </w:tc>
      </w:tr>
      <w:tr w:rsidR="001B4A2F" w:rsidRPr="008C2C58" w14:paraId="255E4C26" w14:textId="77777777" w:rsidTr="00482456">
        <w:tblPrEx>
          <w:tblLook w:val="04A0" w:firstRow="1" w:lastRow="0" w:firstColumn="1" w:lastColumn="0" w:noHBand="0" w:noVBand="1"/>
        </w:tblPrEx>
        <w:trPr>
          <w:trHeight w:val="226"/>
        </w:trPr>
        <w:tc>
          <w:tcPr>
            <w:tcW w:w="1620" w:type="dxa"/>
            <w:tcBorders>
              <w:top w:val="single" w:sz="6" w:space="0" w:color="auto"/>
              <w:left w:val="single" w:sz="6" w:space="0" w:color="auto"/>
              <w:bottom w:val="single" w:sz="6" w:space="0" w:color="auto"/>
              <w:right w:val="single" w:sz="6" w:space="0" w:color="auto"/>
            </w:tcBorders>
            <w:hideMark/>
          </w:tcPr>
          <w:p w14:paraId="281A4EFE"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DR</w:t>
            </w:r>
          </w:p>
        </w:tc>
        <w:tc>
          <w:tcPr>
            <w:tcW w:w="9180" w:type="dxa"/>
            <w:tcBorders>
              <w:top w:val="single" w:sz="6" w:space="0" w:color="auto"/>
              <w:left w:val="single" w:sz="6" w:space="0" w:color="auto"/>
              <w:bottom w:val="single" w:sz="6" w:space="0" w:color="auto"/>
              <w:right w:val="single" w:sz="6" w:space="0" w:color="auto"/>
            </w:tcBorders>
            <w:hideMark/>
          </w:tcPr>
          <w:p w14:paraId="14553EFE"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Disaster Recovery</w:t>
            </w:r>
          </w:p>
        </w:tc>
      </w:tr>
      <w:tr w:rsidR="001B4A2F" w:rsidRPr="008C2C58" w14:paraId="6D6CB2D6" w14:textId="77777777" w:rsidTr="00482456">
        <w:tblPrEx>
          <w:tblLook w:val="04A0" w:firstRow="1" w:lastRow="0" w:firstColumn="1" w:lastColumn="0" w:noHBand="0" w:noVBand="1"/>
        </w:tblPrEx>
        <w:trPr>
          <w:trHeight w:val="226"/>
        </w:trPr>
        <w:tc>
          <w:tcPr>
            <w:tcW w:w="1620" w:type="dxa"/>
            <w:tcBorders>
              <w:top w:val="single" w:sz="6" w:space="0" w:color="auto"/>
              <w:left w:val="single" w:sz="6" w:space="0" w:color="auto"/>
              <w:bottom w:val="single" w:sz="6" w:space="0" w:color="auto"/>
              <w:right w:val="single" w:sz="6" w:space="0" w:color="auto"/>
            </w:tcBorders>
            <w:hideMark/>
          </w:tcPr>
          <w:p w14:paraId="2D9C1849"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DRBCP</w:t>
            </w:r>
          </w:p>
        </w:tc>
        <w:tc>
          <w:tcPr>
            <w:tcW w:w="9180" w:type="dxa"/>
            <w:tcBorders>
              <w:top w:val="single" w:sz="6" w:space="0" w:color="auto"/>
              <w:left w:val="single" w:sz="6" w:space="0" w:color="auto"/>
              <w:bottom w:val="single" w:sz="6" w:space="0" w:color="auto"/>
              <w:right w:val="single" w:sz="6" w:space="0" w:color="auto"/>
            </w:tcBorders>
            <w:hideMark/>
          </w:tcPr>
          <w:p w14:paraId="585C7120"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Disaster Recovery and Business Continuity Plan</w:t>
            </w:r>
          </w:p>
        </w:tc>
      </w:tr>
      <w:tr w:rsidR="001B4A2F" w:rsidRPr="008C2C58" w14:paraId="214F20E3"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7E15B041"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DSHS</w:t>
            </w:r>
          </w:p>
        </w:tc>
        <w:tc>
          <w:tcPr>
            <w:tcW w:w="9180" w:type="dxa"/>
            <w:tcBorders>
              <w:top w:val="single" w:sz="6" w:space="0" w:color="auto"/>
              <w:left w:val="single" w:sz="6" w:space="0" w:color="auto"/>
              <w:bottom w:val="single" w:sz="6" w:space="0" w:color="auto"/>
              <w:right w:val="single" w:sz="6" w:space="0" w:color="auto"/>
            </w:tcBorders>
          </w:tcPr>
          <w:p w14:paraId="211798D6" w14:textId="77777777" w:rsidR="001B4A2F" w:rsidRDefault="001B4A2F" w:rsidP="00031367">
            <w:pPr>
              <w:tabs>
                <w:tab w:val="left" w:pos="3270"/>
              </w:tabs>
              <w:ind w:left="0"/>
              <w:rPr>
                <w:szCs w:val="24"/>
              </w:rPr>
            </w:pPr>
            <w:r>
              <w:rPr>
                <w:szCs w:val="24"/>
              </w:rPr>
              <w:t>Texas Department of State Health Services</w:t>
            </w:r>
          </w:p>
        </w:tc>
      </w:tr>
      <w:tr w:rsidR="001B4A2F" w:rsidRPr="008C2C58" w14:paraId="29990E4A" w14:textId="77777777" w:rsidTr="001F63A1">
        <w:tblPrEx>
          <w:tblLook w:val="04A0" w:firstRow="1" w:lastRow="0" w:firstColumn="1" w:lastColumn="0" w:noHBand="0" w:noVBand="1"/>
        </w:tblPrEx>
        <w:trPr>
          <w:trHeight w:val="226"/>
        </w:trPr>
        <w:tc>
          <w:tcPr>
            <w:tcW w:w="1620" w:type="dxa"/>
            <w:tcBorders>
              <w:top w:val="single" w:sz="6" w:space="0" w:color="auto"/>
              <w:left w:val="single" w:sz="6" w:space="0" w:color="auto"/>
              <w:bottom w:val="single" w:sz="6" w:space="0" w:color="auto"/>
              <w:right w:val="single" w:sz="6" w:space="0" w:color="auto"/>
            </w:tcBorders>
          </w:tcPr>
          <w:p w14:paraId="73AD6174" w14:textId="77777777" w:rsidR="001B4A2F" w:rsidRPr="00AC2EB0" w:rsidRDefault="001B4A2F" w:rsidP="001F63A1">
            <w:pPr>
              <w:ind w:left="0"/>
              <w:rPr>
                <w:rFonts w:cs="Arial"/>
                <w:snapToGrid w:val="0"/>
                <w:color w:val="000000"/>
                <w:szCs w:val="24"/>
              </w:rPr>
            </w:pPr>
            <w:r>
              <w:rPr>
                <w:rFonts w:cs="Arial"/>
                <w:snapToGrid w:val="0"/>
                <w:color w:val="000000"/>
                <w:szCs w:val="24"/>
              </w:rPr>
              <w:t>DUA</w:t>
            </w:r>
          </w:p>
        </w:tc>
        <w:tc>
          <w:tcPr>
            <w:tcW w:w="9180" w:type="dxa"/>
            <w:tcBorders>
              <w:top w:val="single" w:sz="6" w:space="0" w:color="auto"/>
              <w:left w:val="single" w:sz="6" w:space="0" w:color="auto"/>
              <w:bottom w:val="single" w:sz="6" w:space="0" w:color="auto"/>
              <w:right w:val="single" w:sz="6" w:space="0" w:color="auto"/>
            </w:tcBorders>
          </w:tcPr>
          <w:p w14:paraId="5D8099CC" w14:textId="77777777" w:rsidR="001B4A2F" w:rsidRPr="008C2C58" w:rsidRDefault="001B4A2F" w:rsidP="001F63A1">
            <w:pPr>
              <w:ind w:left="0"/>
              <w:rPr>
                <w:rFonts w:cs="Arial"/>
                <w:snapToGrid w:val="0"/>
                <w:color w:val="000000"/>
                <w:szCs w:val="24"/>
              </w:rPr>
            </w:pPr>
            <w:r>
              <w:rPr>
                <w:rFonts w:cs="Arial"/>
                <w:snapToGrid w:val="0"/>
                <w:color w:val="000000"/>
                <w:szCs w:val="24"/>
              </w:rPr>
              <w:t>Disaster Unemployment Assistance</w:t>
            </w:r>
          </w:p>
        </w:tc>
      </w:tr>
      <w:tr w:rsidR="001B4A2F" w:rsidRPr="008C2C58" w14:paraId="2640DC84" w14:textId="77777777" w:rsidTr="001F63A1">
        <w:tblPrEx>
          <w:tblLook w:val="04A0" w:firstRow="1" w:lastRow="0" w:firstColumn="1" w:lastColumn="0" w:noHBand="0" w:noVBand="1"/>
        </w:tblPrEx>
        <w:trPr>
          <w:trHeight w:val="226"/>
        </w:trPr>
        <w:tc>
          <w:tcPr>
            <w:tcW w:w="1620" w:type="dxa"/>
            <w:tcBorders>
              <w:top w:val="single" w:sz="6" w:space="0" w:color="auto"/>
              <w:left w:val="single" w:sz="6" w:space="0" w:color="auto"/>
              <w:bottom w:val="single" w:sz="6" w:space="0" w:color="auto"/>
              <w:right w:val="single" w:sz="6" w:space="0" w:color="auto"/>
            </w:tcBorders>
          </w:tcPr>
          <w:p w14:paraId="6FC5E4ED" w14:textId="77777777" w:rsidR="001B4A2F" w:rsidRDefault="001B4A2F" w:rsidP="001F63A1">
            <w:pPr>
              <w:ind w:left="0"/>
              <w:rPr>
                <w:rFonts w:cs="Arial"/>
                <w:snapToGrid w:val="0"/>
                <w:color w:val="000000"/>
                <w:szCs w:val="24"/>
              </w:rPr>
            </w:pPr>
            <w:r>
              <w:rPr>
                <w:rFonts w:cs="Arial"/>
                <w:snapToGrid w:val="0"/>
                <w:color w:val="000000"/>
                <w:szCs w:val="24"/>
              </w:rPr>
              <w:t>EAGLE</w:t>
            </w:r>
          </w:p>
        </w:tc>
        <w:tc>
          <w:tcPr>
            <w:tcW w:w="9180" w:type="dxa"/>
            <w:tcBorders>
              <w:top w:val="single" w:sz="6" w:space="0" w:color="auto"/>
              <w:left w:val="single" w:sz="6" w:space="0" w:color="auto"/>
              <w:bottom w:val="single" w:sz="6" w:space="0" w:color="auto"/>
              <w:right w:val="single" w:sz="6" w:space="0" w:color="auto"/>
            </w:tcBorders>
          </w:tcPr>
          <w:p w14:paraId="15EC5335" w14:textId="77777777" w:rsidR="001B4A2F" w:rsidRDefault="001B4A2F" w:rsidP="001F63A1">
            <w:pPr>
              <w:ind w:left="0"/>
              <w:rPr>
                <w:rFonts w:cs="Arial"/>
                <w:snapToGrid w:val="0"/>
                <w:color w:val="000000"/>
                <w:szCs w:val="24"/>
              </w:rPr>
            </w:pPr>
            <w:r w:rsidRPr="00E00F71">
              <w:rPr>
                <w:rFonts w:eastAsia="Times New Roman" w:cstheme="minorHAnsi"/>
              </w:rPr>
              <w:t>External Agency and Law Enforcement</w:t>
            </w:r>
            <w:r>
              <w:rPr>
                <w:rFonts w:eastAsia="Times New Roman" w:cstheme="minorHAnsi"/>
              </w:rPr>
              <w:t xml:space="preserve"> (system)</w:t>
            </w:r>
          </w:p>
        </w:tc>
      </w:tr>
      <w:tr w:rsidR="001B4A2F" w:rsidRPr="008C2C58" w14:paraId="46827BAC" w14:textId="77777777" w:rsidTr="001F63A1">
        <w:tblPrEx>
          <w:tblLook w:val="04A0" w:firstRow="1" w:lastRow="0" w:firstColumn="1" w:lastColumn="0" w:noHBand="0" w:noVBand="1"/>
        </w:tblPrEx>
        <w:trPr>
          <w:trHeight w:val="226"/>
        </w:trPr>
        <w:tc>
          <w:tcPr>
            <w:tcW w:w="1620" w:type="dxa"/>
            <w:tcBorders>
              <w:top w:val="single" w:sz="6" w:space="0" w:color="auto"/>
              <w:left w:val="single" w:sz="6" w:space="0" w:color="auto"/>
              <w:bottom w:val="single" w:sz="6" w:space="0" w:color="auto"/>
              <w:right w:val="single" w:sz="6" w:space="0" w:color="auto"/>
            </w:tcBorders>
          </w:tcPr>
          <w:p w14:paraId="215879A3" w14:textId="77777777" w:rsidR="001B4A2F" w:rsidRPr="00AC2EB0" w:rsidRDefault="001B4A2F" w:rsidP="001F63A1">
            <w:pPr>
              <w:ind w:left="0"/>
              <w:rPr>
                <w:rFonts w:cs="Arial"/>
                <w:snapToGrid w:val="0"/>
                <w:color w:val="000000"/>
                <w:szCs w:val="24"/>
              </w:rPr>
            </w:pPr>
            <w:r>
              <w:rPr>
                <w:rFonts w:cs="Arial"/>
                <w:snapToGrid w:val="0"/>
                <w:color w:val="000000"/>
                <w:szCs w:val="24"/>
              </w:rPr>
              <w:t>EB</w:t>
            </w:r>
          </w:p>
        </w:tc>
        <w:tc>
          <w:tcPr>
            <w:tcW w:w="9180" w:type="dxa"/>
            <w:tcBorders>
              <w:top w:val="single" w:sz="6" w:space="0" w:color="auto"/>
              <w:left w:val="single" w:sz="6" w:space="0" w:color="auto"/>
              <w:bottom w:val="single" w:sz="6" w:space="0" w:color="auto"/>
              <w:right w:val="single" w:sz="6" w:space="0" w:color="auto"/>
            </w:tcBorders>
          </w:tcPr>
          <w:p w14:paraId="5A3F3935" w14:textId="77777777" w:rsidR="001B4A2F" w:rsidRPr="008C2C58" w:rsidRDefault="001B4A2F" w:rsidP="001F63A1">
            <w:pPr>
              <w:ind w:left="0"/>
              <w:rPr>
                <w:rFonts w:cs="Arial"/>
                <w:snapToGrid w:val="0"/>
                <w:color w:val="000000"/>
                <w:szCs w:val="24"/>
              </w:rPr>
            </w:pPr>
            <w:r>
              <w:rPr>
                <w:rFonts w:cs="Arial"/>
                <w:snapToGrid w:val="0"/>
                <w:color w:val="000000"/>
                <w:szCs w:val="24"/>
              </w:rPr>
              <w:t>Extended Benefits</w:t>
            </w:r>
          </w:p>
        </w:tc>
      </w:tr>
      <w:tr w:rsidR="001B4A2F" w:rsidRPr="008C2C58" w14:paraId="1BFE001C" w14:textId="77777777" w:rsidTr="001F63A1">
        <w:tblPrEx>
          <w:tblLook w:val="04A0" w:firstRow="1" w:lastRow="0" w:firstColumn="1" w:lastColumn="0" w:noHBand="0" w:noVBand="1"/>
        </w:tblPrEx>
        <w:trPr>
          <w:trHeight w:val="226"/>
        </w:trPr>
        <w:tc>
          <w:tcPr>
            <w:tcW w:w="1620" w:type="dxa"/>
            <w:tcBorders>
              <w:top w:val="single" w:sz="6" w:space="0" w:color="auto"/>
              <w:left w:val="single" w:sz="6" w:space="0" w:color="auto"/>
              <w:bottom w:val="single" w:sz="6" w:space="0" w:color="auto"/>
              <w:right w:val="single" w:sz="6" w:space="0" w:color="auto"/>
            </w:tcBorders>
          </w:tcPr>
          <w:p w14:paraId="16CF5206" w14:textId="77777777" w:rsidR="001B4A2F" w:rsidRDefault="001B4A2F" w:rsidP="001F63A1">
            <w:pPr>
              <w:ind w:left="0"/>
              <w:rPr>
                <w:rFonts w:cs="Arial"/>
                <w:snapToGrid w:val="0"/>
                <w:color w:val="000000"/>
                <w:szCs w:val="24"/>
              </w:rPr>
            </w:pPr>
            <w:r>
              <w:rPr>
                <w:rFonts w:cs="Arial"/>
                <w:snapToGrid w:val="0"/>
                <w:color w:val="000000"/>
                <w:szCs w:val="24"/>
              </w:rPr>
              <w:t>EBN</w:t>
            </w:r>
          </w:p>
        </w:tc>
        <w:tc>
          <w:tcPr>
            <w:tcW w:w="9180" w:type="dxa"/>
            <w:tcBorders>
              <w:top w:val="single" w:sz="6" w:space="0" w:color="auto"/>
              <w:left w:val="single" w:sz="6" w:space="0" w:color="auto"/>
              <w:bottom w:val="single" w:sz="6" w:space="0" w:color="auto"/>
              <w:right w:val="single" w:sz="6" w:space="0" w:color="auto"/>
            </w:tcBorders>
          </w:tcPr>
          <w:p w14:paraId="2A8A702C" w14:textId="77777777" w:rsidR="001B4A2F" w:rsidRDefault="001B4A2F" w:rsidP="001F63A1">
            <w:pPr>
              <w:ind w:left="0"/>
              <w:rPr>
                <w:rFonts w:cs="Arial"/>
                <w:snapToGrid w:val="0"/>
                <w:color w:val="000000"/>
                <w:szCs w:val="24"/>
              </w:rPr>
            </w:pPr>
            <w:r w:rsidRPr="00F1713D">
              <w:rPr>
                <w:rFonts w:cs="Arial"/>
                <w:snapToGrid w:val="0"/>
                <w:color w:val="000000"/>
                <w:szCs w:val="24"/>
              </w:rPr>
              <w:t>Electronic Bankruptcy Notifying (system</w:t>
            </w:r>
            <w:r>
              <w:rPr>
                <w:rFonts w:cs="Arial"/>
                <w:snapToGrid w:val="0"/>
                <w:color w:val="000000"/>
                <w:szCs w:val="24"/>
              </w:rPr>
              <w:t>)</w:t>
            </w:r>
          </w:p>
        </w:tc>
      </w:tr>
      <w:tr w:rsidR="001B4A2F" w:rsidRPr="008C2C58" w14:paraId="6554C18D" w14:textId="77777777" w:rsidTr="001F63A1">
        <w:tblPrEx>
          <w:tblLook w:val="04A0" w:firstRow="1" w:lastRow="0" w:firstColumn="1" w:lastColumn="0" w:noHBand="0" w:noVBand="1"/>
        </w:tblPrEx>
        <w:trPr>
          <w:trHeight w:val="226"/>
        </w:trPr>
        <w:tc>
          <w:tcPr>
            <w:tcW w:w="1620" w:type="dxa"/>
            <w:tcBorders>
              <w:top w:val="single" w:sz="6" w:space="0" w:color="auto"/>
              <w:left w:val="single" w:sz="6" w:space="0" w:color="auto"/>
              <w:bottom w:val="single" w:sz="6" w:space="0" w:color="auto"/>
              <w:right w:val="single" w:sz="6" w:space="0" w:color="auto"/>
            </w:tcBorders>
          </w:tcPr>
          <w:p w14:paraId="7A56E785" w14:textId="77777777" w:rsidR="001B4A2F" w:rsidRPr="00AC2EB0" w:rsidRDefault="001B4A2F" w:rsidP="001F63A1">
            <w:pPr>
              <w:ind w:left="0"/>
              <w:rPr>
                <w:rFonts w:cs="Arial"/>
                <w:snapToGrid w:val="0"/>
                <w:color w:val="000000"/>
                <w:szCs w:val="24"/>
              </w:rPr>
            </w:pPr>
            <w:r>
              <w:rPr>
                <w:rFonts w:cs="Arial"/>
                <w:snapToGrid w:val="0"/>
                <w:color w:val="000000"/>
                <w:szCs w:val="24"/>
              </w:rPr>
              <w:t>EBS</w:t>
            </w:r>
          </w:p>
        </w:tc>
        <w:tc>
          <w:tcPr>
            <w:tcW w:w="9180" w:type="dxa"/>
            <w:tcBorders>
              <w:top w:val="single" w:sz="6" w:space="0" w:color="auto"/>
              <w:left w:val="single" w:sz="6" w:space="0" w:color="auto"/>
              <w:bottom w:val="single" w:sz="6" w:space="0" w:color="auto"/>
              <w:right w:val="single" w:sz="6" w:space="0" w:color="auto"/>
            </w:tcBorders>
          </w:tcPr>
          <w:p w14:paraId="72FCBFBE" w14:textId="77777777" w:rsidR="001B4A2F" w:rsidRPr="008C2C58" w:rsidRDefault="001B4A2F" w:rsidP="001F63A1">
            <w:pPr>
              <w:ind w:left="0"/>
              <w:rPr>
                <w:rFonts w:cs="Arial"/>
                <w:snapToGrid w:val="0"/>
                <w:color w:val="000000"/>
                <w:szCs w:val="24"/>
              </w:rPr>
            </w:pPr>
            <w:r>
              <w:rPr>
                <w:rFonts w:cs="Arial"/>
                <w:snapToGrid w:val="0"/>
                <w:color w:val="000000"/>
                <w:szCs w:val="24"/>
              </w:rPr>
              <w:t>Employer Benefits Services (TWC’s employer self-service portal)</w:t>
            </w:r>
          </w:p>
        </w:tc>
      </w:tr>
      <w:tr w:rsidR="001B4A2F" w:rsidRPr="008C2C58" w14:paraId="30D7BA97" w14:textId="77777777" w:rsidTr="001F63A1">
        <w:tblPrEx>
          <w:tblLook w:val="04A0" w:firstRow="1" w:lastRow="0" w:firstColumn="1" w:lastColumn="0" w:noHBand="0" w:noVBand="1"/>
        </w:tblPrEx>
        <w:trPr>
          <w:trHeight w:val="226"/>
        </w:trPr>
        <w:tc>
          <w:tcPr>
            <w:tcW w:w="1620" w:type="dxa"/>
            <w:tcBorders>
              <w:top w:val="single" w:sz="6" w:space="0" w:color="auto"/>
              <w:left w:val="single" w:sz="6" w:space="0" w:color="auto"/>
              <w:bottom w:val="single" w:sz="6" w:space="0" w:color="auto"/>
              <w:right w:val="single" w:sz="6" w:space="0" w:color="auto"/>
            </w:tcBorders>
          </w:tcPr>
          <w:p w14:paraId="7F921CDB" w14:textId="77777777" w:rsidR="001B4A2F" w:rsidRPr="00AC2EB0" w:rsidRDefault="001B4A2F" w:rsidP="001F63A1">
            <w:pPr>
              <w:ind w:left="0"/>
              <w:rPr>
                <w:rFonts w:cs="Arial"/>
                <w:snapToGrid w:val="0"/>
                <w:color w:val="000000"/>
                <w:szCs w:val="24"/>
              </w:rPr>
            </w:pPr>
            <w:r>
              <w:rPr>
                <w:rFonts w:cs="Arial"/>
                <w:snapToGrid w:val="0"/>
                <w:color w:val="000000"/>
                <w:szCs w:val="24"/>
              </w:rPr>
              <w:t>ECF</w:t>
            </w:r>
          </w:p>
        </w:tc>
        <w:tc>
          <w:tcPr>
            <w:tcW w:w="9180" w:type="dxa"/>
            <w:tcBorders>
              <w:top w:val="single" w:sz="6" w:space="0" w:color="auto"/>
              <w:left w:val="single" w:sz="6" w:space="0" w:color="auto"/>
              <w:bottom w:val="single" w:sz="6" w:space="0" w:color="auto"/>
              <w:right w:val="single" w:sz="6" w:space="0" w:color="auto"/>
            </w:tcBorders>
          </w:tcPr>
          <w:p w14:paraId="2369E736" w14:textId="77777777" w:rsidR="001B4A2F" w:rsidRPr="008C2C58" w:rsidRDefault="001B4A2F" w:rsidP="001F63A1">
            <w:pPr>
              <w:ind w:left="0"/>
              <w:rPr>
                <w:rFonts w:cs="Arial"/>
                <w:snapToGrid w:val="0"/>
                <w:color w:val="000000"/>
                <w:szCs w:val="24"/>
              </w:rPr>
            </w:pPr>
            <w:r>
              <w:rPr>
                <w:rFonts w:cs="Arial"/>
                <w:snapToGrid w:val="0"/>
                <w:color w:val="000000"/>
                <w:szCs w:val="24"/>
              </w:rPr>
              <w:t>Electronic Court Filing (system)</w:t>
            </w:r>
          </w:p>
        </w:tc>
      </w:tr>
      <w:tr w:rsidR="001B4A2F" w:rsidRPr="008C2C58" w14:paraId="4C51563C" w14:textId="77777777" w:rsidTr="00482456">
        <w:tblPrEx>
          <w:tblLook w:val="04A0" w:firstRow="1" w:lastRow="0" w:firstColumn="1" w:lastColumn="0" w:noHBand="0" w:noVBand="1"/>
        </w:tblPrEx>
        <w:trPr>
          <w:trHeight w:val="226"/>
        </w:trPr>
        <w:tc>
          <w:tcPr>
            <w:tcW w:w="1620" w:type="dxa"/>
            <w:tcBorders>
              <w:top w:val="single" w:sz="6" w:space="0" w:color="auto"/>
              <w:left w:val="single" w:sz="6" w:space="0" w:color="auto"/>
              <w:bottom w:val="single" w:sz="6" w:space="0" w:color="auto"/>
              <w:right w:val="single" w:sz="6" w:space="0" w:color="auto"/>
            </w:tcBorders>
          </w:tcPr>
          <w:p w14:paraId="5F1E00A1"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EFT</w:t>
            </w:r>
          </w:p>
        </w:tc>
        <w:tc>
          <w:tcPr>
            <w:tcW w:w="9180" w:type="dxa"/>
            <w:tcBorders>
              <w:top w:val="single" w:sz="6" w:space="0" w:color="auto"/>
              <w:left w:val="single" w:sz="6" w:space="0" w:color="auto"/>
              <w:bottom w:val="single" w:sz="6" w:space="0" w:color="auto"/>
              <w:right w:val="single" w:sz="6" w:space="0" w:color="auto"/>
            </w:tcBorders>
          </w:tcPr>
          <w:p w14:paraId="1D0B0F29"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Electronic Funds Transfer</w:t>
            </w:r>
          </w:p>
        </w:tc>
      </w:tr>
      <w:tr w:rsidR="001B4A2F" w:rsidRPr="008C2C58" w14:paraId="482C59DB" w14:textId="77777777" w:rsidTr="00482456">
        <w:tblPrEx>
          <w:tblLook w:val="04A0" w:firstRow="1" w:lastRow="0" w:firstColumn="1" w:lastColumn="0" w:noHBand="0" w:noVBand="1"/>
        </w:tblPrEx>
        <w:trPr>
          <w:trHeight w:val="226"/>
        </w:trPr>
        <w:tc>
          <w:tcPr>
            <w:tcW w:w="1620" w:type="dxa"/>
            <w:tcBorders>
              <w:top w:val="single" w:sz="6" w:space="0" w:color="auto"/>
              <w:left w:val="single" w:sz="6" w:space="0" w:color="auto"/>
              <w:bottom w:val="single" w:sz="6" w:space="0" w:color="auto"/>
              <w:right w:val="single" w:sz="6" w:space="0" w:color="auto"/>
            </w:tcBorders>
            <w:hideMark/>
          </w:tcPr>
          <w:p w14:paraId="67661A6E"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EIR</w:t>
            </w:r>
          </w:p>
        </w:tc>
        <w:tc>
          <w:tcPr>
            <w:tcW w:w="9180" w:type="dxa"/>
            <w:tcBorders>
              <w:top w:val="single" w:sz="6" w:space="0" w:color="auto"/>
              <w:left w:val="single" w:sz="6" w:space="0" w:color="auto"/>
              <w:bottom w:val="single" w:sz="6" w:space="0" w:color="auto"/>
              <w:right w:val="single" w:sz="6" w:space="0" w:color="auto"/>
            </w:tcBorders>
            <w:hideMark/>
          </w:tcPr>
          <w:p w14:paraId="5310D79C"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Electronic Information Resources</w:t>
            </w:r>
          </w:p>
        </w:tc>
      </w:tr>
      <w:tr w:rsidR="001B4A2F" w:rsidRPr="008C2C58" w14:paraId="401C6AEB" w14:textId="77777777" w:rsidTr="00482456">
        <w:tblPrEx>
          <w:tblLook w:val="04A0" w:firstRow="1" w:lastRow="0" w:firstColumn="1" w:lastColumn="0" w:noHBand="0" w:noVBand="1"/>
        </w:tblPrEx>
        <w:trPr>
          <w:trHeight w:val="226"/>
        </w:trPr>
        <w:tc>
          <w:tcPr>
            <w:tcW w:w="1620" w:type="dxa"/>
            <w:tcBorders>
              <w:top w:val="single" w:sz="6" w:space="0" w:color="auto"/>
              <w:left w:val="single" w:sz="6" w:space="0" w:color="auto"/>
              <w:bottom w:val="single" w:sz="6" w:space="0" w:color="auto"/>
              <w:right w:val="single" w:sz="6" w:space="0" w:color="auto"/>
            </w:tcBorders>
          </w:tcPr>
          <w:p w14:paraId="68800CC2" w14:textId="77777777" w:rsidR="001B4A2F" w:rsidRPr="00AC2EB0" w:rsidRDefault="001B4A2F" w:rsidP="00031367">
            <w:pPr>
              <w:ind w:left="0"/>
              <w:rPr>
                <w:rFonts w:cs="Arial"/>
                <w:snapToGrid w:val="0"/>
                <w:color w:val="000000"/>
                <w:szCs w:val="24"/>
              </w:rPr>
            </w:pPr>
            <w:r>
              <w:rPr>
                <w:rFonts w:cs="Arial"/>
                <w:snapToGrid w:val="0"/>
                <w:color w:val="000000"/>
                <w:szCs w:val="24"/>
              </w:rPr>
              <w:t>EMPRESP</w:t>
            </w:r>
          </w:p>
        </w:tc>
        <w:tc>
          <w:tcPr>
            <w:tcW w:w="9180" w:type="dxa"/>
            <w:tcBorders>
              <w:top w:val="single" w:sz="6" w:space="0" w:color="auto"/>
              <w:left w:val="single" w:sz="6" w:space="0" w:color="auto"/>
              <w:bottom w:val="single" w:sz="6" w:space="0" w:color="auto"/>
              <w:right w:val="single" w:sz="6" w:space="0" w:color="auto"/>
            </w:tcBorders>
          </w:tcPr>
          <w:p w14:paraId="13766564" w14:textId="77777777" w:rsidR="001B4A2F" w:rsidRPr="008C2C58" w:rsidRDefault="001B4A2F" w:rsidP="00031367">
            <w:pPr>
              <w:ind w:left="0"/>
              <w:rPr>
                <w:rFonts w:cs="Arial"/>
                <w:snapToGrid w:val="0"/>
                <w:color w:val="000000"/>
                <w:szCs w:val="24"/>
              </w:rPr>
            </w:pPr>
            <w:r w:rsidRPr="00293A8E">
              <w:rPr>
                <w:rFonts w:cs="Calibri"/>
              </w:rPr>
              <w:t>Employer Response</w:t>
            </w:r>
          </w:p>
        </w:tc>
      </w:tr>
      <w:tr w:rsidR="001B4A2F" w:rsidRPr="008C2C58" w14:paraId="71645AFF" w14:textId="77777777" w:rsidTr="001F63A1">
        <w:trPr>
          <w:trHeight w:val="226"/>
        </w:trPr>
        <w:tc>
          <w:tcPr>
            <w:tcW w:w="1620" w:type="dxa"/>
            <w:tcBorders>
              <w:top w:val="single" w:sz="6" w:space="0" w:color="auto"/>
              <w:left w:val="single" w:sz="6" w:space="0" w:color="auto"/>
              <w:bottom w:val="single" w:sz="6" w:space="0" w:color="auto"/>
              <w:right w:val="single" w:sz="6" w:space="0" w:color="auto"/>
            </w:tcBorders>
          </w:tcPr>
          <w:p w14:paraId="1D3E9F0D" w14:textId="77777777" w:rsidR="001B4A2F" w:rsidRPr="00AC2EB0" w:rsidRDefault="001B4A2F" w:rsidP="001F63A1">
            <w:pPr>
              <w:ind w:left="0"/>
              <w:rPr>
                <w:rFonts w:cs="Arial"/>
                <w:snapToGrid w:val="0"/>
                <w:color w:val="000000"/>
                <w:szCs w:val="24"/>
              </w:rPr>
            </w:pPr>
            <w:r>
              <w:rPr>
                <w:rFonts w:cs="Arial"/>
                <w:snapToGrid w:val="0"/>
                <w:color w:val="000000"/>
                <w:szCs w:val="24"/>
              </w:rPr>
              <w:t>ET</w:t>
            </w:r>
          </w:p>
        </w:tc>
        <w:tc>
          <w:tcPr>
            <w:tcW w:w="9180" w:type="dxa"/>
            <w:tcBorders>
              <w:top w:val="single" w:sz="6" w:space="0" w:color="auto"/>
              <w:left w:val="single" w:sz="6" w:space="0" w:color="auto"/>
              <w:bottom w:val="single" w:sz="6" w:space="0" w:color="auto"/>
              <w:right w:val="single" w:sz="6" w:space="0" w:color="auto"/>
            </w:tcBorders>
          </w:tcPr>
          <w:p w14:paraId="06687BDC" w14:textId="77777777" w:rsidR="001B4A2F" w:rsidRPr="008C2C58" w:rsidRDefault="001B4A2F" w:rsidP="001F63A1">
            <w:pPr>
              <w:ind w:left="0"/>
              <w:rPr>
                <w:rFonts w:cs="Arial"/>
                <w:snapToGrid w:val="0"/>
                <w:color w:val="000000"/>
                <w:szCs w:val="24"/>
              </w:rPr>
            </w:pPr>
            <w:r w:rsidRPr="00D00905">
              <w:rPr>
                <w:rFonts w:cs="Arial"/>
                <w:snapToGrid w:val="0"/>
                <w:color w:val="000000"/>
                <w:szCs w:val="24"/>
              </w:rPr>
              <w:t>Employment and Training</w:t>
            </w:r>
            <w:r>
              <w:rPr>
                <w:rFonts w:cs="Arial"/>
                <w:snapToGrid w:val="0"/>
                <w:color w:val="000000"/>
                <w:szCs w:val="24"/>
              </w:rPr>
              <w:t xml:space="preserve"> (DOL)</w:t>
            </w:r>
          </w:p>
        </w:tc>
      </w:tr>
      <w:tr w:rsidR="001B4A2F" w:rsidRPr="008C2C58" w14:paraId="583CF0F4"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3203CBB1"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ETA</w:t>
            </w:r>
          </w:p>
        </w:tc>
        <w:tc>
          <w:tcPr>
            <w:tcW w:w="9180" w:type="dxa"/>
            <w:tcBorders>
              <w:top w:val="single" w:sz="6" w:space="0" w:color="auto"/>
              <w:left w:val="single" w:sz="6" w:space="0" w:color="auto"/>
              <w:bottom w:val="single" w:sz="6" w:space="0" w:color="auto"/>
              <w:right w:val="single" w:sz="6" w:space="0" w:color="auto"/>
            </w:tcBorders>
          </w:tcPr>
          <w:p w14:paraId="56AA243C"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Employment &amp; Training Administration (DOL)</w:t>
            </w:r>
          </w:p>
        </w:tc>
      </w:tr>
      <w:tr w:rsidR="001B4A2F" w:rsidRPr="008C2C58" w14:paraId="6CF86C2D"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34F4B4B5"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ETL</w:t>
            </w:r>
          </w:p>
        </w:tc>
        <w:tc>
          <w:tcPr>
            <w:tcW w:w="9180" w:type="dxa"/>
            <w:tcBorders>
              <w:top w:val="single" w:sz="6" w:space="0" w:color="auto"/>
              <w:left w:val="single" w:sz="6" w:space="0" w:color="auto"/>
              <w:bottom w:val="single" w:sz="6" w:space="0" w:color="auto"/>
              <w:right w:val="single" w:sz="6" w:space="0" w:color="auto"/>
            </w:tcBorders>
          </w:tcPr>
          <w:p w14:paraId="2AC54518"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Extract, Transform, Load</w:t>
            </w:r>
          </w:p>
        </w:tc>
      </w:tr>
      <w:tr w:rsidR="001B4A2F" w:rsidRPr="008C2C58" w14:paraId="3BB085DF" w14:textId="77777777" w:rsidTr="001F63A1">
        <w:trPr>
          <w:trHeight w:val="226"/>
        </w:trPr>
        <w:tc>
          <w:tcPr>
            <w:tcW w:w="1620" w:type="dxa"/>
            <w:tcBorders>
              <w:top w:val="single" w:sz="6" w:space="0" w:color="auto"/>
              <w:left w:val="single" w:sz="6" w:space="0" w:color="auto"/>
              <w:bottom w:val="single" w:sz="6" w:space="0" w:color="auto"/>
              <w:right w:val="single" w:sz="6" w:space="0" w:color="auto"/>
            </w:tcBorders>
          </w:tcPr>
          <w:p w14:paraId="115AFEF9" w14:textId="77777777" w:rsidR="001B4A2F" w:rsidRPr="00AC2EB0" w:rsidRDefault="001B4A2F" w:rsidP="001F63A1">
            <w:pPr>
              <w:ind w:left="0"/>
              <w:rPr>
                <w:rFonts w:cs="Arial"/>
                <w:snapToGrid w:val="0"/>
                <w:color w:val="000000"/>
                <w:szCs w:val="24"/>
              </w:rPr>
            </w:pPr>
            <w:r>
              <w:rPr>
                <w:rFonts w:cs="Arial"/>
                <w:snapToGrid w:val="0"/>
                <w:color w:val="000000"/>
                <w:szCs w:val="24"/>
              </w:rPr>
              <w:t>EUC</w:t>
            </w:r>
          </w:p>
        </w:tc>
        <w:tc>
          <w:tcPr>
            <w:tcW w:w="9180" w:type="dxa"/>
            <w:tcBorders>
              <w:top w:val="single" w:sz="6" w:space="0" w:color="auto"/>
              <w:left w:val="single" w:sz="6" w:space="0" w:color="auto"/>
              <w:bottom w:val="single" w:sz="6" w:space="0" w:color="auto"/>
              <w:right w:val="single" w:sz="6" w:space="0" w:color="auto"/>
            </w:tcBorders>
          </w:tcPr>
          <w:p w14:paraId="6AF45D69" w14:textId="77777777" w:rsidR="001B4A2F" w:rsidRPr="008C2C58" w:rsidRDefault="001B4A2F" w:rsidP="001F63A1">
            <w:pPr>
              <w:ind w:left="0"/>
              <w:rPr>
                <w:snapToGrid w:val="0"/>
              </w:rPr>
            </w:pPr>
            <w:r>
              <w:rPr>
                <w:snapToGrid w:val="0"/>
              </w:rPr>
              <w:t>Emergency Unemployment Compensation</w:t>
            </w:r>
          </w:p>
        </w:tc>
      </w:tr>
      <w:tr w:rsidR="001B4A2F" w:rsidRPr="008C2C58" w14:paraId="70CB63B0"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7E0C983F"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Event</w:t>
            </w:r>
          </w:p>
        </w:tc>
        <w:tc>
          <w:tcPr>
            <w:tcW w:w="9180" w:type="dxa"/>
            <w:tcBorders>
              <w:top w:val="single" w:sz="6" w:space="0" w:color="auto"/>
              <w:left w:val="single" w:sz="6" w:space="0" w:color="auto"/>
              <w:bottom w:val="single" w:sz="6" w:space="0" w:color="auto"/>
              <w:right w:val="single" w:sz="6" w:space="0" w:color="auto"/>
            </w:tcBorders>
          </w:tcPr>
          <w:p w14:paraId="443999BB" w14:textId="77777777" w:rsidR="001B4A2F" w:rsidRPr="008C2C58" w:rsidRDefault="001B4A2F" w:rsidP="00031367">
            <w:pPr>
              <w:ind w:left="0"/>
              <w:rPr>
                <w:rFonts w:cs="Arial"/>
                <w:snapToGrid w:val="0"/>
                <w:color w:val="000000"/>
                <w:szCs w:val="24"/>
              </w:rPr>
            </w:pPr>
            <w:r w:rsidRPr="008C2C58">
              <w:rPr>
                <w:snapToGrid w:val="0"/>
              </w:rPr>
              <w:t>Means a suspected or attempted unauthorized access, use, disclosure, modification, loss or destruction of Confidential Information,</w:t>
            </w:r>
            <w:r>
              <w:rPr>
                <w:snapToGrid w:val="0"/>
              </w:rPr>
              <w:t xml:space="preserve"> including but not limited to Federal Tax Information (FTI), PII and Sensitive Personal Information (SPI), </w:t>
            </w:r>
            <w:r w:rsidRPr="008C2C58">
              <w:rPr>
                <w:snapToGrid w:val="0"/>
              </w:rPr>
              <w:t xml:space="preserve">which has the potential for jeopardizing the confidentiality, integrity or availability of the Confidential Information, but excludes completed, unsuccessful hacking events using common tools such as PING, netstat, telnet, tracert, etc. An Event becomes a Breach </w:t>
            </w:r>
            <w:r w:rsidRPr="008C2C58">
              <w:rPr>
                <w:snapToGrid w:val="0"/>
              </w:rPr>
              <w:lastRenderedPageBreak/>
              <w:t>when the event involves actual unauthorized access, use, disclosure, modification, loss or destruction of Confidential Information, which has the potential for jeopardizing the confidentiality, integrity or availability of the Confidential Information</w:t>
            </w:r>
          </w:p>
        </w:tc>
      </w:tr>
      <w:tr w:rsidR="001B4A2F" w:rsidRPr="008C2C58" w14:paraId="14A184FB" w14:textId="77777777" w:rsidTr="001F63A1">
        <w:trPr>
          <w:trHeight w:val="226"/>
        </w:trPr>
        <w:tc>
          <w:tcPr>
            <w:tcW w:w="1620" w:type="dxa"/>
            <w:tcBorders>
              <w:top w:val="single" w:sz="6" w:space="0" w:color="auto"/>
              <w:left w:val="single" w:sz="6" w:space="0" w:color="auto"/>
              <w:bottom w:val="single" w:sz="6" w:space="0" w:color="auto"/>
              <w:right w:val="single" w:sz="6" w:space="0" w:color="auto"/>
            </w:tcBorders>
          </w:tcPr>
          <w:p w14:paraId="45BC3F16" w14:textId="77777777" w:rsidR="001B4A2F" w:rsidRPr="00AC2EB0" w:rsidRDefault="001B4A2F" w:rsidP="001F63A1">
            <w:pPr>
              <w:ind w:left="0"/>
              <w:rPr>
                <w:rFonts w:cs="Arial"/>
                <w:snapToGrid w:val="0"/>
                <w:color w:val="000000"/>
                <w:szCs w:val="24"/>
              </w:rPr>
            </w:pPr>
            <w:r>
              <w:rPr>
                <w:rFonts w:cs="Arial"/>
                <w:snapToGrid w:val="0"/>
                <w:color w:val="000000"/>
                <w:szCs w:val="24"/>
              </w:rPr>
              <w:lastRenderedPageBreak/>
              <w:t>FCCC</w:t>
            </w:r>
          </w:p>
        </w:tc>
        <w:tc>
          <w:tcPr>
            <w:tcW w:w="9180" w:type="dxa"/>
            <w:tcBorders>
              <w:top w:val="single" w:sz="6" w:space="0" w:color="auto"/>
              <w:left w:val="single" w:sz="6" w:space="0" w:color="auto"/>
              <w:bottom w:val="single" w:sz="6" w:space="0" w:color="auto"/>
              <w:right w:val="single" w:sz="6" w:space="0" w:color="auto"/>
            </w:tcBorders>
          </w:tcPr>
          <w:p w14:paraId="61CD1B69" w14:textId="77777777" w:rsidR="001B4A2F" w:rsidRPr="008C2C58" w:rsidRDefault="001B4A2F" w:rsidP="001F63A1">
            <w:pPr>
              <w:ind w:left="0"/>
              <w:rPr>
                <w:rFonts w:cs="Arial"/>
                <w:snapToGrid w:val="0"/>
                <w:color w:val="000000"/>
                <w:szCs w:val="24"/>
              </w:rPr>
            </w:pPr>
            <w:r>
              <w:t>Federal Claims Control Center</w:t>
            </w:r>
          </w:p>
        </w:tc>
      </w:tr>
      <w:tr w:rsidR="001B4A2F" w:rsidRPr="008C2C58" w14:paraId="6036DB1A"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13775200"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FedRAMP</w:t>
            </w:r>
          </w:p>
        </w:tc>
        <w:tc>
          <w:tcPr>
            <w:tcW w:w="9180" w:type="dxa"/>
            <w:tcBorders>
              <w:top w:val="single" w:sz="6" w:space="0" w:color="auto"/>
              <w:left w:val="single" w:sz="6" w:space="0" w:color="auto"/>
              <w:bottom w:val="single" w:sz="6" w:space="0" w:color="auto"/>
              <w:right w:val="single" w:sz="6" w:space="0" w:color="auto"/>
            </w:tcBorders>
          </w:tcPr>
          <w:p w14:paraId="6391820B"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 xml:space="preserve">Federal Risk and Authorization Management Program </w:t>
            </w:r>
          </w:p>
        </w:tc>
      </w:tr>
      <w:tr w:rsidR="001B4A2F" w:rsidRPr="008C2C58" w14:paraId="642B26CE"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33805EFF"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FEIN</w:t>
            </w:r>
          </w:p>
        </w:tc>
        <w:tc>
          <w:tcPr>
            <w:tcW w:w="9180" w:type="dxa"/>
            <w:tcBorders>
              <w:top w:val="single" w:sz="6" w:space="0" w:color="auto"/>
              <w:left w:val="single" w:sz="6" w:space="0" w:color="auto"/>
              <w:bottom w:val="single" w:sz="6" w:space="0" w:color="auto"/>
              <w:right w:val="single" w:sz="6" w:space="0" w:color="auto"/>
            </w:tcBorders>
          </w:tcPr>
          <w:p w14:paraId="5EC91B5A"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Federal Employer Identification Number</w:t>
            </w:r>
          </w:p>
        </w:tc>
      </w:tr>
      <w:tr w:rsidR="001B4A2F" w:rsidRPr="008C2C58" w14:paraId="145452BA" w14:textId="77777777" w:rsidTr="00AA05AE">
        <w:tblPrEx>
          <w:tblLook w:val="04A0" w:firstRow="1" w:lastRow="0" w:firstColumn="1" w:lastColumn="0" w:noHBand="0" w:noVBand="1"/>
        </w:tblPrEx>
        <w:trPr>
          <w:trHeight w:val="226"/>
        </w:trPr>
        <w:tc>
          <w:tcPr>
            <w:tcW w:w="1620" w:type="dxa"/>
            <w:tcBorders>
              <w:top w:val="single" w:sz="6" w:space="0" w:color="auto"/>
              <w:left w:val="single" w:sz="6" w:space="0" w:color="auto"/>
              <w:bottom w:val="single" w:sz="6" w:space="0" w:color="auto"/>
              <w:right w:val="single" w:sz="6" w:space="0" w:color="auto"/>
            </w:tcBorders>
          </w:tcPr>
          <w:p w14:paraId="667CA83E" w14:textId="77777777" w:rsidR="001B4A2F" w:rsidRPr="00AC2EB0" w:rsidRDefault="001B4A2F" w:rsidP="00AA05AE">
            <w:pPr>
              <w:ind w:left="0"/>
              <w:rPr>
                <w:rFonts w:cs="Arial"/>
                <w:snapToGrid w:val="0"/>
                <w:color w:val="000000"/>
                <w:szCs w:val="24"/>
              </w:rPr>
            </w:pPr>
            <w:r>
              <w:rPr>
                <w:rFonts w:cs="Arial"/>
                <w:snapToGrid w:val="0"/>
                <w:color w:val="000000"/>
                <w:szCs w:val="24"/>
              </w:rPr>
              <w:t>FEMA</w:t>
            </w:r>
          </w:p>
        </w:tc>
        <w:tc>
          <w:tcPr>
            <w:tcW w:w="9180" w:type="dxa"/>
            <w:tcBorders>
              <w:top w:val="single" w:sz="6" w:space="0" w:color="auto"/>
              <w:left w:val="single" w:sz="6" w:space="0" w:color="auto"/>
              <w:bottom w:val="single" w:sz="6" w:space="0" w:color="auto"/>
              <w:right w:val="single" w:sz="6" w:space="0" w:color="auto"/>
            </w:tcBorders>
          </w:tcPr>
          <w:p w14:paraId="574F3295" w14:textId="77777777" w:rsidR="001B4A2F" w:rsidRPr="008C2C58" w:rsidRDefault="001B4A2F" w:rsidP="00AA05AE">
            <w:pPr>
              <w:ind w:left="0"/>
              <w:rPr>
                <w:rFonts w:cs="Arial"/>
                <w:snapToGrid w:val="0"/>
                <w:color w:val="000000"/>
                <w:szCs w:val="24"/>
              </w:rPr>
            </w:pPr>
            <w:r w:rsidRPr="00460F75">
              <w:rPr>
                <w:rFonts w:cs="Arial"/>
                <w:snapToGrid w:val="0"/>
                <w:color w:val="000000"/>
                <w:szCs w:val="24"/>
              </w:rPr>
              <w:t>Federal Emergency Management Agency</w:t>
            </w:r>
          </w:p>
        </w:tc>
      </w:tr>
      <w:tr w:rsidR="001B4A2F" w:rsidRPr="008C2C58" w14:paraId="5B16C540" w14:textId="77777777" w:rsidTr="00482456">
        <w:tblPrEx>
          <w:tblLook w:val="04A0" w:firstRow="1" w:lastRow="0" w:firstColumn="1" w:lastColumn="0" w:noHBand="0" w:noVBand="1"/>
        </w:tblPrEx>
        <w:trPr>
          <w:trHeight w:val="226"/>
        </w:trPr>
        <w:tc>
          <w:tcPr>
            <w:tcW w:w="1620" w:type="dxa"/>
            <w:tcBorders>
              <w:top w:val="single" w:sz="6" w:space="0" w:color="auto"/>
              <w:left w:val="single" w:sz="6" w:space="0" w:color="auto"/>
              <w:bottom w:val="single" w:sz="6" w:space="0" w:color="auto"/>
              <w:right w:val="single" w:sz="6" w:space="0" w:color="auto"/>
            </w:tcBorders>
            <w:hideMark/>
          </w:tcPr>
          <w:p w14:paraId="01F65FD3"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FIPS</w:t>
            </w:r>
          </w:p>
        </w:tc>
        <w:tc>
          <w:tcPr>
            <w:tcW w:w="9180" w:type="dxa"/>
            <w:tcBorders>
              <w:top w:val="single" w:sz="6" w:space="0" w:color="auto"/>
              <w:left w:val="single" w:sz="6" w:space="0" w:color="auto"/>
              <w:bottom w:val="single" w:sz="6" w:space="0" w:color="auto"/>
              <w:right w:val="single" w:sz="6" w:space="0" w:color="auto"/>
            </w:tcBorders>
            <w:hideMark/>
          </w:tcPr>
          <w:p w14:paraId="63C6C23F"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Federal Information Processing Standard</w:t>
            </w:r>
          </w:p>
        </w:tc>
      </w:tr>
      <w:tr w:rsidR="001B4A2F" w:rsidRPr="008C2C58" w14:paraId="1A259117" w14:textId="77777777" w:rsidTr="00482456">
        <w:tblPrEx>
          <w:tblLook w:val="04A0" w:firstRow="1" w:lastRow="0" w:firstColumn="1" w:lastColumn="0" w:noHBand="0" w:noVBand="1"/>
        </w:tblPrEx>
        <w:trPr>
          <w:trHeight w:val="226"/>
        </w:trPr>
        <w:tc>
          <w:tcPr>
            <w:tcW w:w="1620" w:type="dxa"/>
            <w:tcBorders>
              <w:top w:val="single" w:sz="6" w:space="0" w:color="auto"/>
              <w:left w:val="single" w:sz="6" w:space="0" w:color="auto"/>
              <w:bottom w:val="single" w:sz="6" w:space="0" w:color="auto"/>
              <w:right w:val="single" w:sz="6" w:space="0" w:color="auto"/>
            </w:tcBorders>
            <w:hideMark/>
          </w:tcPr>
          <w:p w14:paraId="139A1B58"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FTE</w:t>
            </w:r>
          </w:p>
        </w:tc>
        <w:tc>
          <w:tcPr>
            <w:tcW w:w="9180" w:type="dxa"/>
            <w:tcBorders>
              <w:top w:val="single" w:sz="6" w:space="0" w:color="auto"/>
              <w:left w:val="single" w:sz="6" w:space="0" w:color="auto"/>
              <w:bottom w:val="single" w:sz="6" w:space="0" w:color="auto"/>
              <w:right w:val="single" w:sz="6" w:space="0" w:color="auto"/>
            </w:tcBorders>
            <w:hideMark/>
          </w:tcPr>
          <w:p w14:paraId="1A17B272"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Full-time Equivalent</w:t>
            </w:r>
          </w:p>
        </w:tc>
      </w:tr>
      <w:tr w:rsidR="001B4A2F" w:rsidRPr="008C2C58" w14:paraId="2DB8DBC5" w14:textId="77777777" w:rsidTr="00482456">
        <w:tblPrEx>
          <w:tblLook w:val="04A0" w:firstRow="1" w:lastRow="0" w:firstColumn="1" w:lastColumn="0" w:noHBand="0" w:noVBand="1"/>
        </w:tblPrEx>
        <w:trPr>
          <w:trHeight w:val="226"/>
        </w:trPr>
        <w:tc>
          <w:tcPr>
            <w:tcW w:w="1620" w:type="dxa"/>
            <w:tcBorders>
              <w:top w:val="single" w:sz="6" w:space="0" w:color="auto"/>
              <w:left w:val="single" w:sz="6" w:space="0" w:color="auto"/>
              <w:bottom w:val="single" w:sz="6" w:space="0" w:color="auto"/>
              <w:right w:val="single" w:sz="6" w:space="0" w:color="auto"/>
            </w:tcBorders>
          </w:tcPr>
          <w:p w14:paraId="2E3BD262" w14:textId="77777777" w:rsidR="001B4A2F" w:rsidRPr="00AC2EB0" w:rsidRDefault="001B4A2F" w:rsidP="00031367">
            <w:pPr>
              <w:ind w:left="0"/>
              <w:rPr>
                <w:rFonts w:cs="Arial"/>
                <w:snapToGrid w:val="0"/>
                <w:color w:val="000000"/>
                <w:szCs w:val="24"/>
              </w:rPr>
            </w:pPr>
            <w:r>
              <w:rPr>
                <w:rFonts w:cs="Arial"/>
                <w:snapToGrid w:val="0"/>
                <w:color w:val="000000"/>
                <w:szCs w:val="24"/>
              </w:rPr>
              <w:t>FTI</w:t>
            </w:r>
          </w:p>
        </w:tc>
        <w:tc>
          <w:tcPr>
            <w:tcW w:w="9180" w:type="dxa"/>
            <w:tcBorders>
              <w:top w:val="single" w:sz="6" w:space="0" w:color="auto"/>
              <w:left w:val="single" w:sz="6" w:space="0" w:color="auto"/>
              <w:bottom w:val="single" w:sz="6" w:space="0" w:color="auto"/>
              <w:right w:val="single" w:sz="6" w:space="0" w:color="auto"/>
            </w:tcBorders>
          </w:tcPr>
          <w:p w14:paraId="4802C7D4" w14:textId="77777777" w:rsidR="001B4A2F" w:rsidRPr="008C2C58" w:rsidRDefault="001B4A2F" w:rsidP="00031367">
            <w:pPr>
              <w:ind w:left="0"/>
              <w:rPr>
                <w:rFonts w:cs="Arial"/>
                <w:snapToGrid w:val="0"/>
                <w:color w:val="000000"/>
                <w:szCs w:val="24"/>
              </w:rPr>
            </w:pPr>
            <w:r>
              <w:t>Federal Tax Information</w:t>
            </w:r>
          </w:p>
        </w:tc>
      </w:tr>
      <w:tr w:rsidR="001B4A2F" w:rsidRPr="008C2C58" w14:paraId="48F2FEC2" w14:textId="77777777" w:rsidTr="00482456">
        <w:tblPrEx>
          <w:tblLook w:val="04A0" w:firstRow="1" w:lastRow="0" w:firstColumn="1" w:lastColumn="0" w:noHBand="0" w:noVBand="1"/>
        </w:tblPrEx>
        <w:trPr>
          <w:trHeight w:val="226"/>
        </w:trPr>
        <w:tc>
          <w:tcPr>
            <w:tcW w:w="1620" w:type="dxa"/>
            <w:tcBorders>
              <w:top w:val="single" w:sz="6" w:space="0" w:color="auto"/>
              <w:left w:val="single" w:sz="6" w:space="0" w:color="auto"/>
              <w:bottom w:val="single" w:sz="6" w:space="0" w:color="auto"/>
              <w:right w:val="single" w:sz="6" w:space="0" w:color="auto"/>
            </w:tcBorders>
          </w:tcPr>
          <w:p w14:paraId="27D3E08C" w14:textId="77777777" w:rsidR="001B4A2F" w:rsidRDefault="001B4A2F" w:rsidP="00031367">
            <w:pPr>
              <w:ind w:left="0"/>
              <w:rPr>
                <w:rFonts w:cs="Arial"/>
                <w:snapToGrid w:val="0"/>
                <w:color w:val="000000"/>
                <w:szCs w:val="24"/>
              </w:rPr>
            </w:pPr>
            <w:r>
              <w:rPr>
                <w:rFonts w:cs="Arial"/>
                <w:snapToGrid w:val="0"/>
                <w:color w:val="000000"/>
                <w:szCs w:val="24"/>
              </w:rPr>
              <w:t>FTP</w:t>
            </w:r>
          </w:p>
        </w:tc>
        <w:tc>
          <w:tcPr>
            <w:tcW w:w="9180" w:type="dxa"/>
            <w:tcBorders>
              <w:top w:val="single" w:sz="6" w:space="0" w:color="auto"/>
              <w:left w:val="single" w:sz="6" w:space="0" w:color="auto"/>
              <w:bottom w:val="single" w:sz="6" w:space="0" w:color="auto"/>
              <w:right w:val="single" w:sz="6" w:space="0" w:color="auto"/>
            </w:tcBorders>
          </w:tcPr>
          <w:p w14:paraId="065A1562" w14:textId="77777777" w:rsidR="001B4A2F" w:rsidRDefault="001B4A2F" w:rsidP="00031367">
            <w:pPr>
              <w:ind w:left="0"/>
              <w:rPr>
                <w:rFonts w:cs="Arial"/>
                <w:snapToGrid w:val="0"/>
                <w:color w:val="000000"/>
                <w:szCs w:val="24"/>
              </w:rPr>
            </w:pPr>
            <w:r w:rsidRPr="008C2C58">
              <w:rPr>
                <w:rFonts w:cs="Arial"/>
                <w:snapToGrid w:val="0"/>
                <w:color w:val="000000"/>
                <w:szCs w:val="24"/>
              </w:rPr>
              <w:t>File Transfer Protocol</w:t>
            </w:r>
          </w:p>
        </w:tc>
      </w:tr>
      <w:tr w:rsidR="001B4A2F" w:rsidRPr="008C2C58" w14:paraId="006DB199" w14:textId="77777777" w:rsidTr="00482456">
        <w:tblPrEx>
          <w:tblLook w:val="04A0" w:firstRow="1" w:lastRow="0" w:firstColumn="1" w:lastColumn="0" w:noHBand="0" w:noVBand="1"/>
        </w:tblPrEx>
        <w:trPr>
          <w:trHeight w:val="226"/>
        </w:trPr>
        <w:tc>
          <w:tcPr>
            <w:tcW w:w="1620" w:type="dxa"/>
            <w:tcBorders>
              <w:top w:val="single" w:sz="6" w:space="0" w:color="auto"/>
              <w:left w:val="single" w:sz="6" w:space="0" w:color="auto"/>
              <w:bottom w:val="single" w:sz="6" w:space="0" w:color="auto"/>
              <w:right w:val="single" w:sz="6" w:space="0" w:color="auto"/>
            </w:tcBorders>
          </w:tcPr>
          <w:p w14:paraId="2D242E1F" w14:textId="77777777" w:rsidR="001B4A2F" w:rsidRPr="00AC2EB0" w:rsidRDefault="001B4A2F" w:rsidP="00031367">
            <w:pPr>
              <w:ind w:left="0"/>
              <w:rPr>
                <w:rFonts w:cs="Arial"/>
                <w:snapToGrid w:val="0"/>
                <w:color w:val="000000"/>
                <w:szCs w:val="24"/>
              </w:rPr>
            </w:pPr>
            <w:r>
              <w:rPr>
                <w:rFonts w:cs="Arial"/>
                <w:snapToGrid w:val="0"/>
                <w:color w:val="000000"/>
                <w:szCs w:val="24"/>
              </w:rPr>
              <w:t>FUTA</w:t>
            </w:r>
          </w:p>
        </w:tc>
        <w:tc>
          <w:tcPr>
            <w:tcW w:w="9180" w:type="dxa"/>
            <w:tcBorders>
              <w:top w:val="single" w:sz="6" w:space="0" w:color="auto"/>
              <w:left w:val="single" w:sz="6" w:space="0" w:color="auto"/>
              <w:bottom w:val="single" w:sz="6" w:space="0" w:color="auto"/>
              <w:right w:val="single" w:sz="6" w:space="0" w:color="auto"/>
            </w:tcBorders>
          </w:tcPr>
          <w:p w14:paraId="600A2657" w14:textId="77777777" w:rsidR="001B4A2F" w:rsidRDefault="001B4A2F" w:rsidP="00031367">
            <w:pPr>
              <w:ind w:left="0"/>
              <w:rPr>
                <w:rFonts w:cs="Arial"/>
                <w:snapToGrid w:val="0"/>
                <w:color w:val="000000"/>
                <w:szCs w:val="24"/>
              </w:rPr>
            </w:pPr>
            <w:r>
              <w:rPr>
                <w:rFonts w:cs="Arial"/>
                <w:snapToGrid w:val="0"/>
                <w:color w:val="000000"/>
                <w:szCs w:val="24"/>
              </w:rPr>
              <w:t>Federal Unemployment Tax Act</w:t>
            </w:r>
          </w:p>
        </w:tc>
      </w:tr>
      <w:tr w:rsidR="001B4A2F" w:rsidRPr="008C2C58" w14:paraId="2A816EBC" w14:textId="77777777" w:rsidTr="00482456">
        <w:tblPrEx>
          <w:tblLook w:val="04A0" w:firstRow="1" w:lastRow="0" w:firstColumn="1" w:lastColumn="0" w:noHBand="0" w:noVBand="1"/>
        </w:tblPrEx>
        <w:trPr>
          <w:trHeight w:val="226"/>
        </w:trPr>
        <w:tc>
          <w:tcPr>
            <w:tcW w:w="1620" w:type="dxa"/>
            <w:tcBorders>
              <w:top w:val="single" w:sz="6" w:space="0" w:color="auto"/>
              <w:left w:val="single" w:sz="6" w:space="0" w:color="auto"/>
              <w:bottom w:val="single" w:sz="6" w:space="0" w:color="auto"/>
              <w:right w:val="single" w:sz="6" w:space="0" w:color="auto"/>
            </w:tcBorders>
          </w:tcPr>
          <w:p w14:paraId="0B42F3D5"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FY</w:t>
            </w:r>
          </w:p>
        </w:tc>
        <w:tc>
          <w:tcPr>
            <w:tcW w:w="9180" w:type="dxa"/>
            <w:tcBorders>
              <w:top w:val="single" w:sz="6" w:space="0" w:color="auto"/>
              <w:left w:val="single" w:sz="6" w:space="0" w:color="auto"/>
              <w:bottom w:val="single" w:sz="6" w:space="0" w:color="auto"/>
              <w:right w:val="single" w:sz="6" w:space="0" w:color="auto"/>
            </w:tcBorders>
          </w:tcPr>
          <w:p w14:paraId="2290DD2B" w14:textId="77777777" w:rsidR="001B4A2F" w:rsidRPr="008C2C58" w:rsidRDefault="001B4A2F" w:rsidP="00031367">
            <w:pPr>
              <w:ind w:left="0"/>
              <w:rPr>
                <w:rFonts w:cs="Arial"/>
                <w:snapToGrid w:val="0"/>
                <w:color w:val="000000"/>
                <w:szCs w:val="24"/>
              </w:rPr>
            </w:pPr>
            <w:r>
              <w:rPr>
                <w:rFonts w:cs="Arial"/>
                <w:snapToGrid w:val="0"/>
                <w:color w:val="000000"/>
                <w:szCs w:val="24"/>
              </w:rPr>
              <w:t>State Fiscal Year</w:t>
            </w:r>
          </w:p>
        </w:tc>
      </w:tr>
      <w:tr w:rsidR="001B4A2F" w:rsidRPr="008C2C58" w14:paraId="0F5B93C7" w14:textId="77777777" w:rsidTr="00AA05AE">
        <w:trPr>
          <w:trHeight w:val="226"/>
        </w:trPr>
        <w:tc>
          <w:tcPr>
            <w:tcW w:w="1620" w:type="dxa"/>
            <w:tcBorders>
              <w:top w:val="single" w:sz="6" w:space="0" w:color="auto"/>
              <w:left w:val="single" w:sz="6" w:space="0" w:color="auto"/>
              <w:bottom w:val="single" w:sz="6" w:space="0" w:color="auto"/>
              <w:right w:val="single" w:sz="6" w:space="0" w:color="auto"/>
            </w:tcBorders>
          </w:tcPr>
          <w:p w14:paraId="4281F5A8" w14:textId="77777777" w:rsidR="001B4A2F" w:rsidRPr="00AC2EB0" w:rsidRDefault="001B4A2F" w:rsidP="00AA05AE">
            <w:pPr>
              <w:ind w:left="0"/>
              <w:rPr>
                <w:rFonts w:cs="Arial"/>
                <w:snapToGrid w:val="0"/>
                <w:color w:val="000000"/>
                <w:szCs w:val="24"/>
              </w:rPr>
            </w:pPr>
            <w:r>
              <w:rPr>
                <w:rFonts w:cs="Arial"/>
                <w:snapToGrid w:val="0"/>
                <w:color w:val="000000"/>
                <w:szCs w:val="24"/>
              </w:rPr>
              <w:t>HCTC</w:t>
            </w:r>
          </w:p>
        </w:tc>
        <w:tc>
          <w:tcPr>
            <w:tcW w:w="9180" w:type="dxa"/>
            <w:tcBorders>
              <w:top w:val="single" w:sz="6" w:space="0" w:color="auto"/>
              <w:left w:val="single" w:sz="6" w:space="0" w:color="auto"/>
              <w:bottom w:val="single" w:sz="6" w:space="0" w:color="auto"/>
              <w:right w:val="single" w:sz="6" w:space="0" w:color="auto"/>
            </w:tcBorders>
          </w:tcPr>
          <w:p w14:paraId="0EB9F794" w14:textId="77777777" w:rsidR="001B4A2F" w:rsidRDefault="001B4A2F" w:rsidP="00AA05AE">
            <w:pPr>
              <w:tabs>
                <w:tab w:val="left" w:pos="3270"/>
              </w:tabs>
              <w:ind w:left="0"/>
            </w:pPr>
            <w:r w:rsidRPr="00A933DD">
              <w:t>Health Care Tax Credit</w:t>
            </w:r>
          </w:p>
        </w:tc>
      </w:tr>
      <w:tr w:rsidR="001B4A2F" w:rsidRPr="008C2C58" w14:paraId="6F7251E5" w14:textId="77777777" w:rsidTr="00AA05AE">
        <w:trPr>
          <w:trHeight w:val="226"/>
        </w:trPr>
        <w:tc>
          <w:tcPr>
            <w:tcW w:w="1620" w:type="dxa"/>
            <w:tcBorders>
              <w:top w:val="single" w:sz="6" w:space="0" w:color="auto"/>
              <w:left w:val="single" w:sz="6" w:space="0" w:color="auto"/>
              <w:bottom w:val="single" w:sz="6" w:space="0" w:color="auto"/>
              <w:right w:val="single" w:sz="6" w:space="0" w:color="auto"/>
            </w:tcBorders>
          </w:tcPr>
          <w:p w14:paraId="4740F6CF" w14:textId="77777777" w:rsidR="001B4A2F" w:rsidRDefault="001B4A2F" w:rsidP="00AA05AE">
            <w:pPr>
              <w:ind w:left="0"/>
              <w:rPr>
                <w:rFonts w:cs="Arial"/>
                <w:snapToGrid w:val="0"/>
                <w:color w:val="000000"/>
                <w:szCs w:val="24"/>
              </w:rPr>
            </w:pPr>
            <w:r>
              <w:rPr>
                <w:rFonts w:cs="Arial"/>
                <w:snapToGrid w:val="0"/>
                <w:color w:val="000000"/>
                <w:szCs w:val="24"/>
              </w:rPr>
              <w:t>HHSC</w:t>
            </w:r>
          </w:p>
        </w:tc>
        <w:tc>
          <w:tcPr>
            <w:tcW w:w="9180" w:type="dxa"/>
            <w:tcBorders>
              <w:top w:val="single" w:sz="6" w:space="0" w:color="auto"/>
              <w:left w:val="single" w:sz="6" w:space="0" w:color="auto"/>
              <w:bottom w:val="single" w:sz="6" w:space="0" w:color="auto"/>
              <w:right w:val="single" w:sz="6" w:space="0" w:color="auto"/>
            </w:tcBorders>
          </w:tcPr>
          <w:p w14:paraId="224941E9" w14:textId="77777777" w:rsidR="001B4A2F" w:rsidRPr="00A933DD" w:rsidRDefault="001B4A2F" w:rsidP="00AA05AE">
            <w:pPr>
              <w:tabs>
                <w:tab w:val="left" w:pos="3270"/>
              </w:tabs>
              <w:ind w:left="0"/>
            </w:pPr>
            <w:r w:rsidRPr="0062572A">
              <w:rPr>
                <w:rFonts w:cs="Calibri"/>
                <w:color w:val="000000"/>
                <w:szCs w:val="24"/>
              </w:rPr>
              <w:t>Health &amp; Human Services Commission</w:t>
            </w:r>
            <w:r>
              <w:rPr>
                <w:rFonts w:cs="Calibri"/>
                <w:color w:val="000000"/>
                <w:szCs w:val="24"/>
              </w:rPr>
              <w:t xml:space="preserve"> (Texas)</w:t>
            </w:r>
          </w:p>
        </w:tc>
      </w:tr>
      <w:tr w:rsidR="001B4A2F" w:rsidRPr="008C2C58" w14:paraId="5ACA9896" w14:textId="77777777" w:rsidTr="00AA05AE">
        <w:trPr>
          <w:trHeight w:val="226"/>
        </w:trPr>
        <w:tc>
          <w:tcPr>
            <w:tcW w:w="1620" w:type="dxa"/>
            <w:tcBorders>
              <w:top w:val="single" w:sz="6" w:space="0" w:color="auto"/>
              <w:left w:val="single" w:sz="6" w:space="0" w:color="auto"/>
              <w:bottom w:val="single" w:sz="6" w:space="0" w:color="auto"/>
              <w:right w:val="single" w:sz="6" w:space="0" w:color="auto"/>
            </w:tcBorders>
          </w:tcPr>
          <w:p w14:paraId="0FBCBE9F" w14:textId="77777777" w:rsidR="001B4A2F" w:rsidRDefault="001B4A2F" w:rsidP="00AA05AE">
            <w:pPr>
              <w:ind w:left="0"/>
              <w:rPr>
                <w:rFonts w:cs="Arial"/>
                <w:snapToGrid w:val="0"/>
                <w:color w:val="000000"/>
                <w:szCs w:val="24"/>
              </w:rPr>
            </w:pPr>
            <w:r>
              <w:rPr>
                <w:rFonts w:cs="Arial"/>
                <w:snapToGrid w:val="0"/>
                <w:color w:val="000000"/>
                <w:szCs w:val="24"/>
              </w:rPr>
              <w:t>HOCM</w:t>
            </w:r>
          </w:p>
        </w:tc>
        <w:tc>
          <w:tcPr>
            <w:tcW w:w="9180" w:type="dxa"/>
            <w:tcBorders>
              <w:top w:val="single" w:sz="6" w:space="0" w:color="auto"/>
              <w:left w:val="single" w:sz="6" w:space="0" w:color="auto"/>
              <w:bottom w:val="single" w:sz="6" w:space="0" w:color="auto"/>
              <w:right w:val="single" w:sz="6" w:space="0" w:color="auto"/>
            </w:tcBorders>
          </w:tcPr>
          <w:p w14:paraId="56E99A20" w14:textId="77777777" w:rsidR="001B4A2F" w:rsidRPr="009512B5" w:rsidRDefault="001B4A2F" w:rsidP="00AA05AE">
            <w:pPr>
              <w:tabs>
                <w:tab w:val="left" w:pos="3270"/>
              </w:tabs>
              <w:ind w:left="0"/>
              <w:rPr>
                <w:rFonts w:cs="Calibri"/>
                <w:szCs w:val="24"/>
              </w:rPr>
            </w:pPr>
            <w:r w:rsidRPr="00356942">
              <w:rPr>
                <w:rFonts w:cs="Calibri"/>
                <w:szCs w:val="24"/>
              </w:rPr>
              <w:t>Hearing Officer Case Management</w:t>
            </w:r>
          </w:p>
        </w:tc>
      </w:tr>
      <w:tr w:rsidR="001B4A2F" w:rsidRPr="008C2C58" w14:paraId="7F04DBF6" w14:textId="77777777" w:rsidTr="00AA05AE">
        <w:trPr>
          <w:trHeight w:val="226"/>
        </w:trPr>
        <w:tc>
          <w:tcPr>
            <w:tcW w:w="1620" w:type="dxa"/>
            <w:tcBorders>
              <w:top w:val="single" w:sz="6" w:space="0" w:color="auto"/>
              <w:left w:val="single" w:sz="6" w:space="0" w:color="auto"/>
              <w:bottom w:val="single" w:sz="6" w:space="0" w:color="auto"/>
              <w:right w:val="single" w:sz="6" w:space="0" w:color="auto"/>
            </w:tcBorders>
          </w:tcPr>
          <w:p w14:paraId="294C9FF7" w14:textId="77777777" w:rsidR="001B4A2F" w:rsidRDefault="001B4A2F" w:rsidP="00AA05AE">
            <w:pPr>
              <w:ind w:left="0"/>
              <w:rPr>
                <w:rFonts w:cs="Arial"/>
                <w:snapToGrid w:val="0"/>
                <w:color w:val="000000"/>
                <w:szCs w:val="24"/>
              </w:rPr>
            </w:pPr>
            <w:r>
              <w:rPr>
                <w:rFonts w:cs="Arial"/>
                <w:snapToGrid w:val="0"/>
                <w:color w:val="000000"/>
                <w:szCs w:val="24"/>
              </w:rPr>
              <w:t>IaaS</w:t>
            </w:r>
          </w:p>
        </w:tc>
        <w:tc>
          <w:tcPr>
            <w:tcW w:w="9180" w:type="dxa"/>
            <w:tcBorders>
              <w:top w:val="single" w:sz="6" w:space="0" w:color="auto"/>
              <w:left w:val="single" w:sz="6" w:space="0" w:color="auto"/>
              <w:bottom w:val="single" w:sz="6" w:space="0" w:color="auto"/>
              <w:right w:val="single" w:sz="6" w:space="0" w:color="auto"/>
            </w:tcBorders>
          </w:tcPr>
          <w:p w14:paraId="7BA188AA" w14:textId="77777777" w:rsidR="001B4A2F" w:rsidRPr="00050322" w:rsidRDefault="001B4A2F" w:rsidP="00AA05AE">
            <w:pPr>
              <w:tabs>
                <w:tab w:val="left" w:pos="3270"/>
              </w:tabs>
              <w:ind w:left="0"/>
              <w:rPr>
                <w:rFonts w:cs="Calibri"/>
                <w:szCs w:val="24"/>
              </w:rPr>
            </w:pPr>
            <w:r w:rsidRPr="00050322">
              <w:rPr>
                <w:rFonts w:cs="Calibri"/>
                <w:szCs w:val="24"/>
              </w:rPr>
              <w:t>Infrastructure as a Service (</w:t>
            </w:r>
            <w:r w:rsidRPr="00050322">
              <w:rPr>
                <w:rFonts w:cs="Calibri"/>
                <w:bCs/>
                <w:szCs w:val="24"/>
              </w:rPr>
              <w:t>IaaS) is a service model that delivers computer infrastructure on an outsourced basis to support enterprise operations.</w:t>
            </w:r>
            <w:r w:rsidRPr="00050322">
              <w:rPr>
                <w:rFonts w:cs="Calibri"/>
                <w:szCs w:val="24"/>
              </w:rPr>
              <w:t xml:space="preserve"> Typically, IaaS provides hardware, storage, servers and data center space or network components; it may also include software.</w:t>
            </w:r>
          </w:p>
        </w:tc>
      </w:tr>
      <w:tr w:rsidR="001B4A2F" w:rsidRPr="008C2C58" w14:paraId="4E000F05" w14:textId="77777777" w:rsidTr="00AA05AE">
        <w:trPr>
          <w:trHeight w:val="226"/>
        </w:trPr>
        <w:tc>
          <w:tcPr>
            <w:tcW w:w="1620" w:type="dxa"/>
            <w:tcBorders>
              <w:top w:val="single" w:sz="6" w:space="0" w:color="auto"/>
              <w:left w:val="single" w:sz="6" w:space="0" w:color="auto"/>
              <w:bottom w:val="single" w:sz="6" w:space="0" w:color="auto"/>
              <w:right w:val="single" w:sz="6" w:space="0" w:color="auto"/>
            </w:tcBorders>
          </w:tcPr>
          <w:p w14:paraId="78777675" w14:textId="77777777" w:rsidR="001B4A2F" w:rsidRDefault="001B4A2F" w:rsidP="00AA05AE">
            <w:pPr>
              <w:ind w:left="0"/>
              <w:rPr>
                <w:rFonts w:cs="Arial"/>
                <w:snapToGrid w:val="0"/>
                <w:color w:val="000000"/>
                <w:szCs w:val="24"/>
              </w:rPr>
            </w:pPr>
            <w:r>
              <w:rPr>
                <w:rFonts w:cs="Arial"/>
                <w:snapToGrid w:val="0"/>
                <w:color w:val="000000"/>
                <w:szCs w:val="24"/>
              </w:rPr>
              <w:t>IBIQ</w:t>
            </w:r>
          </w:p>
        </w:tc>
        <w:tc>
          <w:tcPr>
            <w:tcW w:w="9180" w:type="dxa"/>
            <w:tcBorders>
              <w:top w:val="single" w:sz="6" w:space="0" w:color="auto"/>
              <w:left w:val="single" w:sz="6" w:space="0" w:color="auto"/>
              <w:bottom w:val="single" w:sz="6" w:space="0" w:color="auto"/>
              <w:right w:val="single" w:sz="6" w:space="0" w:color="auto"/>
            </w:tcBorders>
          </w:tcPr>
          <w:p w14:paraId="1A085DB8" w14:textId="77777777" w:rsidR="001B4A2F" w:rsidRPr="00356942" w:rsidRDefault="001B4A2F" w:rsidP="00AA05AE">
            <w:pPr>
              <w:tabs>
                <w:tab w:val="left" w:pos="3270"/>
              </w:tabs>
              <w:ind w:left="0"/>
              <w:rPr>
                <w:rFonts w:cs="Calibri"/>
                <w:szCs w:val="24"/>
              </w:rPr>
            </w:pPr>
            <w:r w:rsidRPr="009512B5">
              <w:rPr>
                <w:rFonts w:cs="Calibri"/>
                <w:szCs w:val="24"/>
              </w:rPr>
              <w:t>The Interstate Inquiry (IBIQ) application provides for real-time transmissions of requests for information and responses to the requests. It allows a State to send inquiries concerning wage and benefit information to other States and receive a response while interviewing the claimant. It does not provide direct access to another State's files.</w:t>
            </w:r>
          </w:p>
        </w:tc>
      </w:tr>
      <w:tr w:rsidR="001B4A2F" w:rsidRPr="008C2C58" w14:paraId="538A5777"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734D0EFA"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ICON</w:t>
            </w:r>
          </w:p>
        </w:tc>
        <w:tc>
          <w:tcPr>
            <w:tcW w:w="9180" w:type="dxa"/>
            <w:tcBorders>
              <w:top w:val="single" w:sz="6" w:space="0" w:color="auto"/>
              <w:left w:val="single" w:sz="6" w:space="0" w:color="auto"/>
              <w:bottom w:val="single" w:sz="6" w:space="0" w:color="auto"/>
              <w:right w:val="single" w:sz="6" w:space="0" w:color="auto"/>
            </w:tcBorders>
          </w:tcPr>
          <w:p w14:paraId="6E4476B1" w14:textId="77777777" w:rsidR="001B4A2F" w:rsidRDefault="001B4A2F" w:rsidP="00031367">
            <w:pPr>
              <w:tabs>
                <w:tab w:val="left" w:pos="3270"/>
              </w:tabs>
              <w:ind w:left="0"/>
            </w:pPr>
            <w:r>
              <w:t>UI Interstate Connection Network</w:t>
            </w:r>
          </w:p>
        </w:tc>
      </w:tr>
      <w:tr w:rsidR="001B4A2F" w:rsidRPr="008C2C58" w14:paraId="2920E0BB" w14:textId="77777777" w:rsidTr="00AA05AE">
        <w:trPr>
          <w:trHeight w:val="226"/>
        </w:trPr>
        <w:tc>
          <w:tcPr>
            <w:tcW w:w="1620" w:type="dxa"/>
            <w:tcBorders>
              <w:top w:val="single" w:sz="6" w:space="0" w:color="auto"/>
              <w:left w:val="single" w:sz="6" w:space="0" w:color="auto"/>
              <w:bottom w:val="single" w:sz="6" w:space="0" w:color="auto"/>
              <w:right w:val="single" w:sz="6" w:space="0" w:color="auto"/>
            </w:tcBorders>
          </w:tcPr>
          <w:p w14:paraId="7D4A511C" w14:textId="77777777" w:rsidR="001B4A2F" w:rsidRPr="00AC2EB0" w:rsidRDefault="001B4A2F" w:rsidP="00AA05AE">
            <w:pPr>
              <w:ind w:left="0"/>
              <w:rPr>
                <w:rFonts w:cs="Arial"/>
                <w:snapToGrid w:val="0"/>
                <w:color w:val="000000"/>
                <w:szCs w:val="24"/>
              </w:rPr>
            </w:pPr>
            <w:r>
              <w:rPr>
                <w:rFonts w:cs="Arial"/>
                <w:snapToGrid w:val="0"/>
                <w:color w:val="000000"/>
                <w:szCs w:val="24"/>
              </w:rPr>
              <w:t>ID</w:t>
            </w:r>
          </w:p>
        </w:tc>
        <w:tc>
          <w:tcPr>
            <w:tcW w:w="9180" w:type="dxa"/>
            <w:tcBorders>
              <w:top w:val="single" w:sz="6" w:space="0" w:color="auto"/>
              <w:left w:val="single" w:sz="6" w:space="0" w:color="auto"/>
              <w:bottom w:val="single" w:sz="6" w:space="0" w:color="auto"/>
              <w:right w:val="single" w:sz="6" w:space="0" w:color="auto"/>
            </w:tcBorders>
          </w:tcPr>
          <w:p w14:paraId="27169A0E" w14:textId="77777777" w:rsidR="001B4A2F" w:rsidRPr="00C95671" w:rsidRDefault="001B4A2F" w:rsidP="00AA05AE">
            <w:pPr>
              <w:tabs>
                <w:tab w:val="left" w:pos="3270"/>
              </w:tabs>
              <w:ind w:left="0"/>
              <w:rPr>
                <w:szCs w:val="24"/>
              </w:rPr>
            </w:pPr>
            <w:r>
              <w:rPr>
                <w:szCs w:val="24"/>
              </w:rPr>
              <w:t>Identification</w:t>
            </w:r>
          </w:p>
        </w:tc>
      </w:tr>
      <w:tr w:rsidR="001B4A2F" w:rsidRPr="008C2C58" w14:paraId="695050F2"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6D5A3102"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lastRenderedPageBreak/>
              <w:t>IDaaS</w:t>
            </w:r>
          </w:p>
        </w:tc>
        <w:tc>
          <w:tcPr>
            <w:tcW w:w="9180" w:type="dxa"/>
            <w:tcBorders>
              <w:top w:val="single" w:sz="6" w:space="0" w:color="auto"/>
              <w:left w:val="single" w:sz="6" w:space="0" w:color="auto"/>
              <w:bottom w:val="single" w:sz="6" w:space="0" w:color="auto"/>
              <w:right w:val="single" w:sz="6" w:space="0" w:color="auto"/>
            </w:tcBorders>
          </w:tcPr>
          <w:p w14:paraId="38171A14" w14:textId="77777777" w:rsidR="001B4A2F" w:rsidRPr="00C95671" w:rsidRDefault="001B4A2F" w:rsidP="00031367">
            <w:pPr>
              <w:tabs>
                <w:tab w:val="left" w:pos="3270"/>
              </w:tabs>
              <w:ind w:left="0"/>
              <w:rPr>
                <w:szCs w:val="24"/>
              </w:rPr>
            </w:pPr>
            <w:r w:rsidRPr="00C95671">
              <w:rPr>
                <w:szCs w:val="24"/>
              </w:rPr>
              <w:t>I</w:t>
            </w:r>
            <w:r>
              <w:rPr>
                <w:szCs w:val="24"/>
              </w:rPr>
              <w:t>d</w:t>
            </w:r>
            <w:r w:rsidRPr="00C95671">
              <w:rPr>
                <w:szCs w:val="24"/>
              </w:rPr>
              <w:t>entity as a Service</w:t>
            </w:r>
          </w:p>
        </w:tc>
      </w:tr>
      <w:tr w:rsidR="001B4A2F" w:rsidRPr="008C2C58" w14:paraId="4BED3AF1"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493E5265" w14:textId="77777777" w:rsidR="001B4A2F" w:rsidRPr="00AC2EB0" w:rsidRDefault="001B4A2F" w:rsidP="00031367">
            <w:pPr>
              <w:ind w:left="0"/>
              <w:rPr>
                <w:rFonts w:cs="Arial"/>
                <w:snapToGrid w:val="0"/>
                <w:color w:val="000000"/>
                <w:szCs w:val="24"/>
              </w:rPr>
            </w:pPr>
            <w:r>
              <w:rPr>
                <w:rFonts w:cs="Arial"/>
                <w:snapToGrid w:val="0"/>
                <w:color w:val="000000"/>
                <w:szCs w:val="24"/>
              </w:rPr>
              <w:t>IMS</w:t>
            </w:r>
          </w:p>
        </w:tc>
        <w:tc>
          <w:tcPr>
            <w:tcW w:w="9180" w:type="dxa"/>
            <w:tcBorders>
              <w:top w:val="single" w:sz="6" w:space="0" w:color="auto"/>
              <w:left w:val="single" w:sz="6" w:space="0" w:color="auto"/>
              <w:bottom w:val="single" w:sz="6" w:space="0" w:color="auto"/>
              <w:right w:val="single" w:sz="6" w:space="0" w:color="auto"/>
            </w:tcBorders>
          </w:tcPr>
          <w:p w14:paraId="76EBB78B" w14:textId="77777777" w:rsidR="001B4A2F" w:rsidRPr="00C95671" w:rsidRDefault="001B4A2F" w:rsidP="00031367">
            <w:pPr>
              <w:tabs>
                <w:tab w:val="left" w:pos="3270"/>
              </w:tabs>
              <w:ind w:left="0"/>
              <w:rPr>
                <w:szCs w:val="24"/>
              </w:rPr>
            </w:pPr>
            <w:r>
              <w:rPr>
                <w:szCs w:val="24"/>
              </w:rPr>
              <w:t>Integrated Master Schedule</w:t>
            </w:r>
          </w:p>
        </w:tc>
      </w:tr>
      <w:tr w:rsidR="001B4A2F" w:rsidRPr="008C2C58" w14:paraId="1796ADB7" w14:textId="77777777" w:rsidTr="00482456">
        <w:tblPrEx>
          <w:tblLook w:val="04A0" w:firstRow="1" w:lastRow="0" w:firstColumn="1" w:lastColumn="0" w:noHBand="0" w:noVBand="1"/>
        </w:tblPrEx>
        <w:trPr>
          <w:trHeight w:val="226"/>
        </w:trPr>
        <w:tc>
          <w:tcPr>
            <w:tcW w:w="1620" w:type="dxa"/>
            <w:tcBorders>
              <w:top w:val="single" w:sz="6" w:space="0" w:color="auto"/>
              <w:left w:val="single" w:sz="6" w:space="0" w:color="auto"/>
              <w:bottom w:val="single" w:sz="6" w:space="0" w:color="auto"/>
              <w:right w:val="single" w:sz="6" w:space="0" w:color="auto"/>
            </w:tcBorders>
            <w:hideMark/>
          </w:tcPr>
          <w:p w14:paraId="66FB1BAC"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Incident</w:t>
            </w:r>
          </w:p>
        </w:tc>
        <w:tc>
          <w:tcPr>
            <w:tcW w:w="9180" w:type="dxa"/>
            <w:tcBorders>
              <w:top w:val="single" w:sz="6" w:space="0" w:color="auto"/>
              <w:left w:val="single" w:sz="6" w:space="0" w:color="auto"/>
              <w:bottom w:val="single" w:sz="6" w:space="0" w:color="auto"/>
              <w:right w:val="single" w:sz="6" w:space="0" w:color="auto"/>
            </w:tcBorders>
            <w:hideMark/>
          </w:tcPr>
          <w:p w14:paraId="4A617372" w14:textId="77777777" w:rsidR="001B4A2F" w:rsidRPr="008C2C58" w:rsidRDefault="001B4A2F" w:rsidP="00031367">
            <w:pPr>
              <w:ind w:left="0"/>
              <w:rPr>
                <w:rFonts w:cs="Arial"/>
                <w:szCs w:val="24"/>
              </w:rPr>
            </w:pPr>
            <w:r w:rsidRPr="008C2C58">
              <w:rPr>
                <w:rFonts w:cs="Arial"/>
                <w:szCs w:val="24"/>
              </w:rPr>
              <w:t>An occurrence that actually or potentially jeopardizes the confidentiality, integrity, or availability of an information system or the information the system processes, stores, or transmits or that constitutes a violation or imminent threat of violation of security policies, security procedures, or acceptable use policies.</w:t>
            </w:r>
          </w:p>
        </w:tc>
      </w:tr>
      <w:tr w:rsidR="001B4A2F" w:rsidRPr="008C2C58" w14:paraId="5618DBC1"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0A92FC08"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Interface</w:t>
            </w:r>
          </w:p>
        </w:tc>
        <w:tc>
          <w:tcPr>
            <w:tcW w:w="9180" w:type="dxa"/>
            <w:tcBorders>
              <w:top w:val="single" w:sz="6" w:space="0" w:color="auto"/>
              <w:left w:val="single" w:sz="6" w:space="0" w:color="auto"/>
              <w:bottom w:val="single" w:sz="6" w:space="0" w:color="auto"/>
              <w:right w:val="single" w:sz="6" w:space="0" w:color="auto"/>
            </w:tcBorders>
          </w:tcPr>
          <w:p w14:paraId="43DB7B60"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A shared boundary across which two separate components of a computer system exchange information.</w:t>
            </w:r>
          </w:p>
        </w:tc>
      </w:tr>
      <w:tr w:rsidR="001B4A2F" w:rsidRPr="008C2C58" w14:paraId="1A2712FD" w14:textId="77777777" w:rsidTr="00AA05AE">
        <w:trPr>
          <w:trHeight w:val="226"/>
        </w:trPr>
        <w:tc>
          <w:tcPr>
            <w:tcW w:w="1620" w:type="dxa"/>
            <w:tcBorders>
              <w:top w:val="single" w:sz="6" w:space="0" w:color="auto"/>
              <w:left w:val="single" w:sz="6" w:space="0" w:color="auto"/>
              <w:bottom w:val="single" w:sz="6" w:space="0" w:color="auto"/>
              <w:right w:val="single" w:sz="6" w:space="0" w:color="auto"/>
            </w:tcBorders>
          </w:tcPr>
          <w:p w14:paraId="12B358B4" w14:textId="77777777" w:rsidR="001B4A2F" w:rsidRPr="00AC2EB0" w:rsidRDefault="001B4A2F" w:rsidP="00AA05AE">
            <w:pPr>
              <w:ind w:left="0"/>
              <w:rPr>
                <w:rFonts w:cs="Arial"/>
                <w:snapToGrid w:val="0"/>
                <w:color w:val="000000"/>
                <w:szCs w:val="24"/>
              </w:rPr>
            </w:pPr>
            <w:r>
              <w:rPr>
                <w:rFonts w:cs="Arial"/>
                <w:snapToGrid w:val="0"/>
                <w:color w:val="000000"/>
                <w:szCs w:val="24"/>
              </w:rPr>
              <w:t>IRORA</w:t>
            </w:r>
          </w:p>
        </w:tc>
        <w:tc>
          <w:tcPr>
            <w:tcW w:w="9180" w:type="dxa"/>
            <w:tcBorders>
              <w:top w:val="single" w:sz="6" w:space="0" w:color="auto"/>
              <w:left w:val="single" w:sz="6" w:space="0" w:color="auto"/>
              <w:bottom w:val="single" w:sz="6" w:space="0" w:color="auto"/>
              <w:right w:val="single" w:sz="6" w:space="0" w:color="auto"/>
            </w:tcBorders>
          </w:tcPr>
          <w:p w14:paraId="055E9FDA" w14:textId="77777777" w:rsidR="001B4A2F" w:rsidRPr="008C2C58" w:rsidRDefault="001B4A2F" w:rsidP="00AA05AE">
            <w:pPr>
              <w:ind w:left="0"/>
              <w:rPr>
                <w:rFonts w:cs="Arial"/>
                <w:snapToGrid w:val="0"/>
                <w:color w:val="000000"/>
                <w:szCs w:val="24"/>
              </w:rPr>
            </w:pPr>
            <w:r w:rsidRPr="001C7D23">
              <w:rPr>
                <w:rFonts w:cs="Arial"/>
                <w:snapToGrid w:val="0"/>
                <w:color w:val="000000"/>
                <w:szCs w:val="24"/>
              </w:rPr>
              <w:t>Interstate Reciprocal Overpayment Recovery A</w:t>
            </w:r>
            <w:r>
              <w:rPr>
                <w:rFonts w:cs="Arial"/>
                <w:snapToGrid w:val="0"/>
                <w:color w:val="000000"/>
                <w:szCs w:val="24"/>
              </w:rPr>
              <w:t>greement</w:t>
            </w:r>
          </w:p>
        </w:tc>
      </w:tr>
      <w:tr w:rsidR="001B4A2F" w:rsidRPr="008C2C58" w14:paraId="3595DC38"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68102E81" w14:textId="77777777" w:rsidR="001B4A2F" w:rsidRPr="00AC2EB0" w:rsidRDefault="001B4A2F" w:rsidP="00892CA7">
            <w:pPr>
              <w:ind w:left="0"/>
              <w:rPr>
                <w:rFonts w:cs="Arial"/>
                <w:snapToGrid w:val="0"/>
                <w:color w:val="000000"/>
                <w:szCs w:val="24"/>
              </w:rPr>
            </w:pPr>
            <w:r>
              <w:rPr>
                <w:rFonts w:cs="Arial"/>
                <w:snapToGrid w:val="0"/>
                <w:color w:val="000000"/>
                <w:szCs w:val="24"/>
              </w:rPr>
              <w:t>IRS</w:t>
            </w:r>
          </w:p>
        </w:tc>
        <w:tc>
          <w:tcPr>
            <w:tcW w:w="9180" w:type="dxa"/>
            <w:tcBorders>
              <w:top w:val="single" w:sz="6" w:space="0" w:color="auto"/>
              <w:left w:val="single" w:sz="6" w:space="0" w:color="auto"/>
              <w:bottom w:val="single" w:sz="6" w:space="0" w:color="auto"/>
              <w:right w:val="single" w:sz="6" w:space="0" w:color="auto"/>
            </w:tcBorders>
          </w:tcPr>
          <w:p w14:paraId="4FD4E65A" w14:textId="77777777" w:rsidR="001B4A2F" w:rsidRPr="008C2C58" w:rsidRDefault="001B4A2F" w:rsidP="00892CA7">
            <w:pPr>
              <w:ind w:left="0"/>
              <w:rPr>
                <w:rFonts w:cs="Arial"/>
                <w:snapToGrid w:val="0"/>
                <w:color w:val="000000"/>
                <w:szCs w:val="24"/>
              </w:rPr>
            </w:pPr>
            <w:r>
              <w:rPr>
                <w:rFonts w:cs="Arial"/>
                <w:snapToGrid w:val="0"/>
                <w:color w:val="000000"/>
                <w:szCs w:val="24"/>
              </w:rPr>
              <w:t>Internal Revenue Service</w:t>
            </w:r>
          </w:p>
        </w:tc>
      </w:tr>
      <w:tr w:rsidR="001B4A2F" w:rsidRPr="008C2C58" w14:paraId="5779F3C5"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512E1BCC"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IT</w:t>
            </w:r>
          </w:p>
        </w:tc>
        <w:tc>
          <w:tcPr>
            <w:tcW w:w="9180" w:type="dxa"/>
            <w:tcBorders>
              <w:top w:val="single" w:sz="6" w:space="0" w:color="auto"/>
              <w:left w:val="single" w:sz="6" w:space="0" w:color="auto"/>
              <w:bottom w:val="single" w:sz="6" w:space="0" w:color="auto"/>
              <w:right w:val="single" w:sz="6" w:space="0" w:color="auto"/>
            </w:tcBorders>
          </w:tcPr>
          <w:p w14:paraId="70ED3793"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Information Technology</w:t>
            </w:r>
          </w:p>
        </w:tc>
      </w:tr>
      <w:tr w:rsidR="001B4A2F" w:rsidRPr="008C2C58" w14:paraId="2899C25F"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7C899FA9"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IT IS</w:t>
            </w:r>
          </w:p>
        </w:tc>
        <w:tc>
          <w:tcPr>
            <w:tcW w:w="9180" w:type="dxa"/>
            <w:tcBorders>
              <w:top w:val="single" w:sz="6" w:space="0" w:color="auto"/>
              <w:left w:val="single" w:sz="6" w:space="0" w:color="auto"/>
              <w:bottom w:val="single" w:sz="6" w:space="0" w:color="auto"/>
              <w:right w:val="single" w:sz="6" w:space="0" w:color="auto"/>
            </w:tcBorders>
          </w:tcPr>
          <w:p w14:paraId="46BF0118"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Information Technology Infrastructure Services (TWC IT)</w:t>
            </w:r>
          </w:p>
        </w:tc>
      </w:tr>
      <w:tr w:rsidR="001B4A2F" w:rsidRPr="008C2C58" w14:paraId="4DBBDDB5" w14:textId="77777777" w:rsidTr="00482456">
        <w:tblPrEx>
          <w:tblLook w:val="04A0" w:firstRow="1" w:lastRow="0" w:firstColumn="1" w:lastColumn="0" w:noHBand="0" w:noVBand="1"/>
        </w:tblPrEx>
        <w:trPr>
          <w:trHeight w:val="226"/>
        </w:trPr>
        <w:tc>
          <w:tcPr>
            <w:tcW w:w="1620" w:type="dxa"/>
            <w:tcBorders>
              <w:top w:val="single" w:sz="6" w:space="0" w:color="auto"/>
              <w:left w:val="single" w:sz="6" w:space="0" w:color="auto"/>
              <w:bottom w:val="single" w:sz="6" w:space="0" w:color="auto"/>
              <w:right w:val="single" w:sz="6" w:space="0" w:color="auto"/>
            </w:tcBorders>
            <w:hideMark/>
          </w:tcPr>
          <w:p w14:paraId="2DC28962"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IV&amp;V</w:t>
            </w:r>
          </w:p>
        </w:tc>
        <w:tc>
          <w:tcPr>
            <w:tcW w:w="9180" w:type="dxa"/>
            <w:tcBorders>
              <w:top w:val="single" w:sz="6" w:space="0" w:color="auto"/>
              <w:left w:val="single" w:sz="6" w:space="0" w:color="auto"/>
              <w:bottom w:val="single" w:sz="6" w:space="0" w:color="auto"/>
              <w:right w:val="single" w:sz="6" w:space="0" w:color="auto"/>
            </w:tcBorders>
            <w:hideMark/>
          </w:tcPr>
          <w:p w14:paraId="1B1D4A66"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Independent Verification and Validation</w:t>
            </w:r>
          </w:p>
        </w:tc>
      </w:tr>
      <w:tr w:rsidR="001B4A2F" w:rsidRPr="008C2C58" w14:paraId="46836207"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3B353A80"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IVR</w:t>
            </w:r>
          </w:p>
        </w:tc>
        <w:tc>
          <w:tcPr>
            <w:tcW w:w="9180" w:type="dxa"/>
            <w:tcBorders>
              <w:top w:val="single" w:sz="6" w:space="0" w:color="auto"/>
              <w:left w:val="single" w:sz="6" w:space="0" w:color="auto"/>
              <w:bottom w:val="single" w:sz="6" w:space="0" w:color="auto"/>
              <w:right w:val="single" w:sz="6" w:space="0" w:color="auto"/>
            </w:tcBorders>
          </w:tcPr>
          <w:p w14:paraId="041220DD" w14:textId="77777777" w:rsidR="001B4A2F" w:rsidRDefault="001B4A2F" w:rsidP="00031367">
            <w:pPr>
              <w:tabs>
                <w:tab w:val="left" w:pos="3270"/>
              </w:tabs>
              <w:ind w:left="0"/>
              <w:rPr>
                <w:szCs w:val="24"/>
              </w:rPr>
            </w:pPr>
            <w:r>
              <w:rPr>
                <w:szCs w:val="24"/>
              </w:rPr>
              <w:t>Interactive Voice Response (system)</w:t>
            </w:r>
          </w:p>
        </w:tc>
      </w:tr>
      <w:tr w:rsidR="001B4A2F" w:rsidRPr="008C2C58" w14:paraId="1ABE01D5" w14:textId="77777777" w:rsidTr="00482456">
        <w:tblPrEx>
          <w:tblLook w:val="04A0" w:firstRow="1" w:lastRow="0" w:firstColumn="1" w:lastColumn="0" w:noHBand="0" w:noVBand="1"/>
        </w:tblPrEx>
        <w:trPr>
          <w:trHeight w:val="226"/>
        </w:trPr>
        <w:tc>
          <w:tcPr>
            <w:tcW w:w="1620" w:type="dxa"/>
            <w:tcBorders>
              <w:top w:val="single" w:sz="6" w:space="0" w:color="auto"/>
              <w:left w:val="single" w:sz="6" w:space="0" w:color="auto"/>
              <w:bottom w:val="single" w:sz="6" w:space="0" w:color="auto"/>
              <w:right w:val="single" w:sz="6" w:space="0" w:color="auto"/>
            </w:tcBorders>
            <w:hideMark/>
          </w:tcPr>
          <w:p w14:paraId="395472AC"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JAWS</w:t>
            </w:r>
          </w:p>
        </w:tc>
        <w:tc>
          <w:tcPr>
            <w:tcW w:w="9180" w:type="dxa"/>
            <w:tcBorders>
              <w:top w:val="single" w:sz="6" w:space="0" w:color="auto"/>
              <w:left w:val="single" w:sz="6" w:space="0" w:color="auto"/>
              <w:bottom w:val="single" w:sz="6" w:space="0" w:color="auto"/>
              <w:right w:val="single" w:sz="6" w:space="0" w:color="auto"/>
            </w:tcBorders>
            <w:hideMark/>
          </w:tcPr>
          <w:p w14:paraId="77BFF8F0"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Job Access With Speech</w:t>
            </w:r>
          </w:p>
        </w:tc>
      </w:tr>
      <w:tr w:rsidR="001B4A2F" w:rsidRPr="008C2C58" w14:paraId="3EEDC7A2" w14:textId="77777777" w:rsidTr="00482456">
        <w:tblPrEx>
          <w:tblLook w:val="04A0" w:firstRow="1" w:lastRow="0" w:firstColumn="1" w:lastColumn="0" w:noHBand="0" w:noVBand="1"/>
        </w:tblPrEx>
        <w:trPr>
          <w:trHeight w:val="226"/>
        </w:trPr>
        <w:tc>
          <w:tcPr>
            <w:tcW w:w="1620" w:type="dxa"/>
            <w:tcBorders>
              <w:top w:val="single" w:sz="6" w:space="0" w:color="auto"/>
              <w:left w:val="single" w:sz="6" w:space="0" w:color="auto"/>
              <w:bottom w:val="single" w:sz="6" w:space="0" w:color="auto"/>
              <w:right w:val="single" w:sz="6" w:space="0" w:color="auto"/>
            </w:tcBorders>
            <w:hideMark/>
          </w:tcPr>
          <w:p w14:paraId="0658F890"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JCL</w:t>
            </w:r>
          </w:p>
        </w:tc>
        <w:tc>
          <w:tcPr>
            <w:tcW w:w="9180" w:type="dxa"/>
            <w:tcBorders>
              <w:top w:val="single" w:sz="6" w:space="0" w:color="auto"/>
              <w:left w:val="single" w:sz="6" w:space="0" w:color="auto"/>
              <w:bottom w:val="single" w:sz="6" w:space="0" w:color="auto"/>
              <w:right w:val="single" w:sz="6" w:space="0" w:color="auto"/>
            </w:tcBorders>
            <w:hideMark/>
          </w:tcPr>
          <w:p w14:paraId="1E4457EC"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Job Control Language</w:t>
            </w:r>
          </w:p>
        </w:tc>
      </w:tr>
      <w:tr w:rsidR="001B4A2F" w:rsidRPr="008C2C58" w14:paraId="6EF872DD" w14:textId="77777777" w:rsidTr="00AA05AE">
        <w:trPr>
          <w:trHeight w:val="226"/>
        </w:trPr>
        <w:tc>
          <w:tcPr>
            <w:tcW w:w="1620" w:type="dxa"/>
            <w:tcBorders>
              <w:top w:val="single" w:sz="6" w:space="0" w:color="auto"/>
              <w:left w:val="single" w:sz="6" w:space="0" w:color="auto"/>
              <w:bottom w:val="single" w:sz="6" w:space="0" w:color="auto"/>
              <w:right w:val="single" w:sz="6" w:space="0" w:color="auto"/>
            </w:tcBorders>
          </w:tcPr>
          <w:p w14:paraId="431075F5" w14:textId="77777777" w:rsidR="001B4A2F" w:rsidRPr="00AC2EB0" w:rsidRDefault="001B4A2F" w:rsidP="00AA05AE">
            <w:pPr>
              <w:ind w:left="0"/>
              <w:rPr>
                <w:rFonts w:cs="Arial"/>
                <w:snapToGrid w:val="0"/>
                <w:color w:val="000000"/>
                <w:szCs w:val="24"/>
              </w:rPr>
            </w:pPr>
            <w:r>
              <w:rPr>
                <w:rFonts w:cs="Arial"/>
                <w:snapToGrid w:val="0"/>
                <w:color w:val="000000"/>
                <w:szCs w:val="24"/>
              </w:rPr>
              <w:t>KTP</w:t>
            </w:r>
          </w:p>
        </w:tc>
        <w:tc>
          <w:tcPr>
            <w:tcW w:w="9180" w:type="dxa"/>
            <w:tcBorders>
              <w:top w:val="single" w:sz="6" w:space="0" w:color="auto"/>
              <w:left w:val="single" w:sz="6" w:space="0" w:color="auto"/>
              <w:bottom w:val="single" w:sz="6" w:space="0" w:color="auto"/>
              <w:right w:val="single" w:sz="6" w:space="0" w:color="auto"/>
            </w:tcBorders>
          </w:tcPr>
          <w:p w14:paraId="698A0541" w14:textId="77777777" w:rsidR="001B4A2F" w:rsidRPr="008C2C58" w:rsidRDefault="001B4A2F" w:rsidP="00AA05AE">
            <w:pPr>
              <w:ind w:left="0"/>
              <w:rPr>
                <w:rFonts w:cs="Arial"/>
                <w:snapToGrid w:val="0"/>
                <w:color w:val="000000"/>
                <w:szCs w:val="24"/>
              </w:rPr>
            </w:pPr>
            <w:r>
              <w:rPr>
                <w:rFonts w:cs="Arial"/>
                <w:snapToGrid w:val="0"/>
                <w:color w:val="000000"/>
                <w:szCs w:val="24"/>
              </w:rPr>
              <w:t>Knowledge Transfer Plan</w:t>
            </w:r>
          </w:p>
        </w:tc>
      </w:tr>
      <w:tr w:rsidR="001B4A2F" w:rsidRPr="008C2C58" w14:paraId="64B051EB" w14:textId="77777777" w:rsidTr="00AA05AE">
        <w:trPr>
          <w:trHeight w:val="226"/>
        </w:trPr>
        <w:tc>
          <w:tcPr>
            <w:tcW w:w="1620" w:type="dxa"/>
            <w:tcBorders>
              <w:top w:val="single" w:sz="6" w:space="0" w:color="auto"/>
              <w:left w:val="single" w:sz="6" w:space="0" w:color="auto"/>
              <w:bottom w:val="single" w:sz="6" w:space="0" w:color="auto"/>
              <w:right w:val="single" w:sz="6" w:space="0" w:color="auto"/>
            </w:tcBorders>
          </w:tcPr>
          <w:p w14:paraId="4C5B89D6" w14:textId="77777777" w:rsidR="001B4A2F" w:rsidRPr="00AC2EB0" w:rsidRDefault="001B4A2F" w:rsidP="00AA05AE">
            <w:pPr>
              <w:ind w:left="0"/>
              <w:rPr>
                <w:rFonts w:cs="Arial"/>
                <w:snapToGrid w:val="0"/>
                <w:color w:val="000000"/>
                <w:szCs w:val="24"/>
              </w:rPr>
            </w:pPr>
            <w:r>
              <w:rPr>
                <w:rFonts w:cs="Arial"/>
                <w:snapToGrid w:val="0"/>
                <w:color w:val="000000"/>
                <w:szCs w:val="24"/>
              </w:rPr>
              <w:t>LADT</w:t>
            </w:r>
          </w:p>
        </w:tc>
        <w:tc>
          <w:tcPr>
            <w:tcW w:w="9180" w:type="dxa"/>
            <w:tcBorders>
              <w:top w:val="single" w:sz="6" w:space="0" w:color="auto"/>
              <w:left w:val="single" w:sz="6" w:space="0" w:color="auto"/>
              <w:bottom w:val="single" w:sz="6" w:space="0" w:color="auto"/>
              <w:right w:val="single" w:sz="6" w:space="0" w:color="auto"/>
            </w:tcBorders>
          </w:tcPr>
          <w:p w14:paraId="6EC3B2D4" w14:textId="77777777" w:rsidR="001B4A2F" w:rsidRPr="008C2C58" w:rsidRDefault="001B4A2F" w:rsidP="00AA05AE">
            <w:pPr>
              <w:ind w:left="0"/>
              <w:rPr>
                <w:rFonts w:cs="Arial"/>
                <w:snapToGrid w:val="0"/>
                <w:color w:val="000000"/>
                <w:szCs w:val="24"/>
              </w:rPr>
            </w:pPr>
            <w:r>
              <w:t>Liable Agent Data Transfer</w:t>
            </w:r>
          </w:p>
        </w:tc>
      </w:tr>
      <w:tr w:rsidR="001B4A2F" w:rsidRPr="008C2C58" w14:paraId="661CA869"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5B439B95"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LAN</w:t>
            </w:r>
          </w:p>
        </w:tc>
        <w:tc>
          <w:tcPr>
            <w:tcW w:w="9180" w:type="dxa"/>
            <w:tcBorders>
              <w:top w:val="single" w:sz="6" w:space="0" w:color="auto"/>
              <w:left w:val="single" w:sz="6" w:space="0" w:color="auto"/>
              <w:bottom w:val="single" w:sz="6" w:space="0" w:color="auto"/>
              <w:right w:val="single" w:sz="6" w:space="0" w:color="auto"/>
            </w:tcBorders>
          </w:tcPr>
          <w:p w14:paraId="4BB47C98"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Local Area Network</w:t>
            </w:r>
          </w:p>
        </w:tc>
      </w:tr>
      <w:tr w:rsidR="001B4A2F" w:rsidRPr="008C2C58" w14:paraId="46D1E865" w14:textId="77777777" w:rsidTr="00AA05AE">
        <w:trPr>
          <w:trHeight w:val="226"/>
        </w:trPr>
        <w:tc>
          <w:tcPr>
            <w:tcW w:w="1620" w:type="dxa"/>
            <w:tcBorders>
              <w:top w:val="single" w:sz="6" w:space="0" w:color="auto"/>
              <w:left w:val="single" w:sz="6" w:space="0" w:color="auto"/>
              <w:bottom w:val="single" w:sz="6" w:space="0" w:color="auto"/>
              <w:right w:val="single" w:sz="6" w:space="0" w:color="auto"/>
            </w:tcBorders>
          </w:tcPr>
          <w:p w14:paraId="7475B223" w14:textId="77777777" w:rsidR="001B4A2F" w:rsidRPr="00AC2EB0" w:rsidRDefault="001B4A2F" w:rsidP="00AA05AE">
            <w:pPr>
              <w:ind w:left="0"/>
              <w:rPr>
                <w:rFonts w:cs="Arial"/>
                <w:snapToGrid w:val="0"/>
                <w:color w:val="000000"/>
                <w:szCs w:val="24"/>
              </w:rPr>
            </w:pPr>
            <w:r>
              <w:rPr>
                <w:rFonts w:cs="Arial"/>
                <w:snapToGrid w:val="0"/>
                <w:color w:val="000000"/>
                <w:szCs w:val="24"/>
              </w:rPr>
              <w:t>LAUS</w:t>
            </w:r>
          </w:p>
        </w:tc>
        <w:tc>
          <w:tcPr>
            <w:tcW w:w="9180" w:type="dxa"/>
            <w:tcBorders>
              <w:top w:val="single" w:sz="6" w:space="0" w:color="auto"/>
              <w:left w:val="single" w:sz="6" w:space="0" w:color="auto"/>
              <w:bottom w:val="single" w:sz="6" w:space="0" w:color="auto"/>
              <w:right w:val="single" w:sz="6" w:space="0" w:color="auto"/>
            </w:tcBorders>
          </w:tcPr>
          <w:p w14:paraId="623FDB6E" w14:textId="77777777" w:rsidR="001B4A2F" w:rsidRPr="008C2C58" w:rsidRDefault="001B4A2F" w:rsidP="00AA05AE">
            <w:pPr>
              <w:ind w:left="0"/>
              <w:rPr>
                <w:rFonts w:cs="Arial"/>
                <w:snapToGrid w:val="0"/>
                <w:color w:val="000000"/>
                <w:szCs w:val="24"/>
              </w:rPr>
            </w:pPr>
            <w:r w:rsidRPr="006C6C54">
              <w:rPr>
                <w:rFonts w:cs="Arial"/>
                <w:snapToGrid w:val="0"/>
                <w:color w:val="000000"/>
                <w:szCs w:val="24"/>
              </w:rPr>
              <w:t>Local Area Unemployment Statistics</w:t>
            </w:r>
          </w:p>
        </w:tc>
      </w:tr>
      <w:tr w:rsidR="001B4A2F" w:rsidRPr="008C2C58" w14:paraId="024CE56A"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7DCD57EF"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LBB</w:t>
            </w:r>
          </w:p>
        </w:tc>
        <w:tc>
          <w:tcPr>
            <w:tcW w:w="9180" w:type="dxa"/>
            <w:tcBorders>
              <w:top w:val="single" w:sz="6" w:space="0" w:color="auto"/>
              <w:left w:val="single" w:sz="6" w:space="0" w:color="auto"/>
              <w:bottom w:val="single" w:sz="6" w:space="0" w:color="auto"/>
              <w:right w:val="single" w:sz="6" w:space="0" w:color="auto"/>
            </w:tcBorders>
          </w:tcPr>
          <w:p w14:paraId="49B36595"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Legislative Budget Board (Texas)</w:t>
            </w:r>
          </w:p>
        </w:tc>
      </w:tr>
      <w:tr w:rsidR="001B4A2F" w:rsidRPr="008C2C58" w14:paraId="71EA5EE2"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5B09D6A4" w14:textId="77777777" w:rsidR="001B4A2F" w:rsidRPr="00AC2EB0" w:rsidRDefault="001B4A2F" w:rsidP="00031367">
            <w:pPr>
              <w:ind w:left="0"/>
              <w:rPr>
                <w:rFonts w:cs="Arial"/>
                <w:snapToGrid w:val="0"/>
                <w:color w:val="000000"/>
                <w:szCs w:val="24"/>
              </w:rPr>
            </w:pPr>
            <w:r>
              <w:rPr>
                <w:rFonts w:cs="Arial"/>
                <w:snapToGrid w:val="0"/>
                <w:color w:val="000000"/>
                <w:szCs w:val="24"/>
              </w:rPr>
              <w:t>LEP</w:t>
            </w:r>
          </w:p>
        </w:tc>
        <w:tc>
          <w:tcPr>
            <w:tcW w:w="9180" w:type="dxa"/>
            <w:tcBorders>
              <w:top w:val="single" w:sz="6" w:space="0" w:color="auto"/>
              <w:left w:val="single" w:sz="6" w:space="0" w:color="auto"/>
              <w:bottom w:val="single" w:sz="6" w:space="0" w:color="auto"/>
              <w:right w:val="single" w:sz="6" w:space="0" w:color="auto"/>
            </w:tcBorders>
          </w:tcPr>
          <w:p w14:paraId="237C4832" w14:textId="77777777" w:rsidR="001B4A2F" w:rsidRPr="008C2C58" w:rsidRDefault="001B4A2F" w:rsidP="00031367">
            <w:pPr>
              <w:ind w:left="0"/>
              <w:rPr>
                <w:rFonts w:cs="Arial"/>
                <w:snapToGrid w:val="0"/>
                <w:color w:val="000000"/>
                <w:szCs w:val="24"/>
              </w:rPr>
            </w:pPr>
            <w:r>
              <w:rPr>
                <w:rFonts w:cs="Arial"/>
                <w:snapToGrid w:val="0"/>
                <w:color w:val="000000"/>
                <w:szCs w:val="24"/>
              </w:rPr>
              <w:t>Limited English Proficiency</w:t>
            </w:r>
          </w:p>
        </w:tc>
      </w:tr>
      <w:tr w:rsidR="001B4A2F" w:rsidRPr="008C2C58" w14:paraId="1ED30A00" w14:textId="77777777" w:rsidTr="00AA05AE">
        <w:trPr>
          <w:trHeight w:val="226"/>
        </w:trPr>
        <w:tc>
          <w:tcPr>
            <w:tcW w:w="1620" w:type="dxa"/>
            <w:tcBorders>
              <w:top w:val="single" w:sz="6" w:space="0" w:color="auto"/>
              <w:left w:val="single" w:sz="6" w:space="0" w:color="auto"/>
              <w:bottom w:val="single" w:sz="6" w:space="0" w:color="auto"/>
              <w:right w:val="single" w:sz="6" w:space="0" w:color="auto"/>
            </w:tcBorders>
          </w:tcPr>
          <w:p w14:paraId="4746F132" w14:textId="77777777" w:rsidR="001B4A2F" w:rsidRPr="00AC2EB0" w:rsidRDefault="001B4A2F" w:rsidP="00AA05AE">
            <w:pPr>
              <w:ind w:left="0"/>
              <w:rPr>
                <w:rFonts w:cs="Arial"/>
                <w:snapToGrid w:val="0"/>
                <w:color w:val="000000"/>
                <w:szCs w:val="24"/>
              </w:rPr>
            </w:pPr>
            <w:r>
              <w:rPr>
                <w:rFonts w:cs="Arial"/>
                <w:snapToGrid w:val="0"/>
                <w:color w:val="000000"/>
                <w:szCs w:val="24"/>
              </w:rPr>
              <w:t>LEU</w:t>
            </w:r>
          </w:p>
        </w:tc>
        <w:tc>
          <w:tcPr>
            <w:tcW w:w="9180" w:type="dxa"/>
            <w:tcBorders>
              <w:top w:val="single" w:sz="6" w:space="0" w:color="auto"/>
              <w:left w:val="single" w:sz="6" w:space="0" w:color="auto"/>
              <w:bottom w:val="single" w:sz="6" w:space="0" w:color="auto"/>
              <w:right w:val="single" w:sz="6" w:space="0" w:color="auto"/>
            </w:tcBorders>
          </w:tcPr>
          <w:p w14:paraId="079FF6FD" w14:textId="77777777" w:rsidR="001B4A2F" w:rsidRPr="004142AE" w:rsidRDefault="001B4A2F" w:rsidP="00AA05AE">
            <w:pPr>
              <w:ind w:left="0"/>
              <w:rPr>
                <w:rFonts w:cs="Arial"/>
                <w:snapToGrid w:val="0"/>
                <w:color w:val="000000"/>
                <w:szCs w:val="24"/>
              </w:rPr>
            </w:pPr>
            <w:r>
              <w:rPr>
                <w:rFonts w:cs="Arial"/>
                <w:snapToGrid w:val="0"/>
                <w:color w:val="000000"/>
                <w:szCs w:val="24"/>
              </w:rPr>
              <w:t>Last Employing Unit</w:t>
            </w:r>
          </w:p>
        </w:tc>
      </w:tr>
      <w:tr w:rsidR="001B4A2F" w:rsidRPr="008C2C58" w14:paraId="1E6B9413"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21335D6C" w14:textId="77777777" w:rsidR="001B4A2F" w:rsidRPr="00AC2EB0" w:rsidRDefault="001B4A2F" w:rsidP="00031367">
            <w:pPr>
              <w:ind w:left="0"/>
              <w:rPr>
                <w:rFonts w:cs="Arial"/>
                <w:snapToGrid w:val="0"/>
                <w:color w:val="000000"/>
                <w:szCs w:val="24"/>
              </w:rPr>
            </w:pPr>
            <w:r w:rsidRPr="00050322">
              <w:rPr>
                <w:rFonts w:cs="Arial"/>
                <w:snapToGrid w:val="0"/>
                <w:color w:val="000000"/>
                <w:szCs w:val="24"/>
              </w:rPr>
              <w:t>Leveraged DCS Non-</w:t>
            </w:r>
            <w:r w:rsidRPr="00050322">
              <w:rPr>
                <w:rFonts w:cs="Arial"/>
                <w:snapToGrid w:val="0"/>
                <w:color w:val="000000"/>
                <w:szCs w:val="24"/>
              </w:rPr>
              <w:lastRenderedPageBreak/>
              <w:t>SaaS solution</w:t>
            </w:r>
          </w:p>
        </w:tc>
        <w:tc>
          <w:tcPr>
            <w:tcW w:w="9180" w:type="dxa"/>
            <w:tcBorders>
              <w:top w:val="single" w:sz="6" w:space="0" w:color="auto"/>
              <w:left w:val="single" w:sz="6" w:space="0" w:color="auto"/>
              <w:bottom w:val="single" w:sz="6" w:space="0" w:color="auto"/>
              <w:right w:val="single" w:sz="6" w:space="0" w:color="auto"/>
            </w:tcBorders>
          </w:tcPr>
          <w:p w14:paraId="4A93AD49" w14:textId="77777777" w:rsidR="001B4A2F" w:rsidRDefault="001B4A2F" w:rsidP="00031367">
            <w:pPr>
              <w:tabs>
                <w:tab w:val="left" w:pos="3270"/>
              </w:tabs>
              <w:ind w:left="0"/>
            </w:pPr>
            <w:r w:rsidRPr="00050322">
              <w:lastRenderedPageBreak/>
              <w:t xml:space="preserve">A vendor leverages the DCS program to host the software in a public cloud outside the DCS and provide all server management functions to support the software including system administration, operating system </w:t>
            </w:r>
            <w:r w:rsidRPr="00050322">
              <w:lastRenderedPageBreak/>
              <w:t>management and patching, base security services, dedicated network connectivity, storage services, backup services and disaster recovery services. The vendor sells a license for this solution.</w:t>
            </w:r>
          </w:p>
        </w:tc>
      </w:tr>
      <w:tr w:rsidR="001B4A2F" w:rsidRPr="008C2C58" w14:paraId="59EB6308"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201C6C7A"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lastRenderedPageBreak/>
              <w:t>LM</w:t>
            </w:r>
            <w:r>
              <w:rPr>
                <w:rFonts w:cs="Arial"/>
                <w:snapToGrid w:val="0"/>
                <w:color w:val="000000"/>
                <w:szCs w:val="24"/>
              </w:rPr>
              <w:t>C</w:t>
            </w:r>
            <w:r w:rsidRPr="00AC2EB0">
              <w:rPr>
                <w:rFonts w:cs="Arial"/>
                <w:snapToGrid w:val="0"/>
                <w:color w:val="000000"/>
                <w:szCs w:val="24"/>
              </w:rPr>
              <w:t>I</w:t>
            </w:r>
          </w:p>
        </w:tc>
        <w:tc>
          <w:tcPr>
            <w:tcW w:w="9180" w:type="dxa"/>
            <w:tcBorders>
              <w:top w:val="single" w:sz="6" w:space="0" w:color="auto"/>
              <w:left w:val="single" w:sz="6" w:space="0" w:color="auto"/>
              <w:bottom w:val="single" w:sz="6" w:space="0" w:color="auto"/>
              <w:right w:val="single" w:sz="6" w:space="0" w:color="auto"/>
            </w:tcBorders>
          </w:tcPr>
          <w:p w14:paraId="7D7A5A69" w14:textId="77777777" w:rsidR="001B4A2F" w:rsidRPr="0087226A" w:rsidRDefault="001B4A2F" w:rsidP="00031367">
            <w:pPr>
              <w:ind w:left="0"/>
              <w:rPr>
                <w:rFonts w:cs="Arial"/>
                <w:snapToGrid w:val="0"/>
                <w:color w:val="000000"/>
                <w:szCs w:val="24"/>
                <w:highlight w:val="yellow"/>
              </w:rPr>
            </w:pPr>
            <w:r w:rsidRPr="004142AE">
              <w:rPr>
                <w:rFonts w:cs="Arial"/>
                <w:snapToGrid w:val="0"/>
                <w:color w:val="000000"/>
                <w:szCs w:val="24"/>
              </w:rPr>
              <w:t xml:space="preserve">Labor Market </w:t>
            </w:r>
            <w:r>
              <w:rPr>
                <w:rFonts w:cs="Arial"/>
                <w:snapToGrid w:val="0"/>
                <w:color w:val="000000"/>
                <w:szCs w:val="24"/>
              </w:rPr>
              <w:t xml:space="preserve">and Career </w:t>
            </w:r>
            <w:r w:rsidRPr="004142AE">
              <w:rPr>
                <w:rFonts w:cs="Arial"/>
                <w:snapToGrid w:val="0"/>
                <w:color w:val="000000"/>
                <w:szCs w:val="24"/>
              </w:rPr>
              <w:t>Information (</w:t>
            </w:r>
            <w:r>
              <w:rPr>
                <w:rFonts w:cs="Arial"/>
                <w:snapToGrid w:val="0"/>
                <w:color w:val="000000"/>
                <w:szCs w:val="24"/>
              </w:rPr>
              <w:t>TWC department</w:t>
            </w:r>
            <w:r w:rsidRPr="004142AE">
              <w:rPr>
                <w:rFonts w:cs="Arial"/>
                <w:snapToGrid w:val="0"/>
                <w:color w:val="000000"/>
                <w:szCs w:val="24"/>
              </w:rPr>
              <w:t>)</w:t>
            </w:r>
          </w:p>
        </w:tc>
      </w:tr>
      <w:tr w:rsidR="001B4A2F" w:rsidRPr="008C2C58" w14:paraId="33539CB9"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36431188" w14:textId="77777777" w:rsidR="001B4A2F" w:rsidRPr="00AC2EB0" w:rsidRDefault="001B4A2F" w:rsidP="00031367">
            <w:pPr>
              <w:ind w:left="0"/>
              <w:rPr>
                <w:rFonts w:cs="Arial"/>
                <w:snapToGrid w:val="0"/>
                <w:color w:val="000000"/>
                <w:szCs w:val="24"/>
              </w:rPr>
            </w:pPr>
            <w:r>
              <w:rPr>
                <w:rFonts w:cs="Arial"/>
                <w:snapToGrid w:val="0"/>
                <w:color w:val="000000"/>
                <w:szCs w:val="24"/>
              </w:rPr>
              <w:t>LORRM</w:t>
            </w:r>
          </w:p>
        </w:tc>
        <w:tc>
          <w:tcPr>
            <w:tcW w:w="9180" w:type="dxa"/>
            <w:tcBorders>
              <w:top w:val="single" w:sz="6" w:space="0" w:color="auto"/>
              <w:left w:val="single" w:sz="6" w:space="0" w:color="auto"/>
              <w:bottom w:val="single" w:sz="6" w:space="0" w:color="auto"/>
              <w:right w:val="single" w:sz="6" w:space="0" w:color="auto"/>
            </w:tcBorders>
          </w:tcPr>
          <w:p w14:paraId="46047043" w14:textId="77777777" w:rsidR="001B4A2F" w:rsidRPr="008C2C58" w:rsidRDefault="001B4A2F" w:rsidP="00031367">
            <w:pPr>
              <w:ind w:left="0"/>
              <w:rPr>
                <w:rFonts w:cs="Arial"/>
                <w:snapToGrid w:val="0"/>
                <w:color w:val="000000"/>
                <w:szCs w:val="24"/>
              </w:rPr>
            </w:pPr>
            <w:r w:rsidRPr="00356942">
              <w:rPr>
                <w:rFonts w:cs="Calibri"/>
                <w:szCs w:val="24"/>
              </w:rPr>
              <w:t>Local Office Record Request Management</w:t>
            </w:r>
          </w:p>
        </w:tc>
      </w:tr>
      <w:tr w:rsidR="001B4A2F" w:rsidRPr="008C2C58" w14:paraId="6478C79D"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29B02BA4" w14:textId="77777777" w:rsidR="001B4A2F" w:rsidRPr="00AC2EB0" w:rsidRDefault="001B4A2F" w:rsidP="00031367">
            <w:pPr>
              <w:ind w:left="0"/>
              <w:rPr>
                <w:rFonts w:cs="Arial"/>
                <w:snapToGrid w:val="0"/>
                <w:color w:val="000000"/>
                <w:szCs w:val="24"/>
              </w:rPr>
            </w:pPr>
            <w:r>
              <w:rPr>
                <w:rFonts w:cs="Arial"/>
                <w:snapToGrid w:val="0"/>
                <w:color w:val="000000"/>
                <w:szCs w:val="24"/>
              </w:rPr>
              <w:t>LPAR</w:t>
            </w:r>
          </w:p>
        </w:tc>
        <w:tc>
          <w:tcPr>
            <w:tcW w:w="9180" w:type="dxa"/>
            <w:tcBorders>
              <w:top w:val="single" w:sz="6" w:space="0" w:color="auto"/>
              <w:left w:val="single" w:sz="6" w:space="0" w:color="auto"/>
              <w:bottom w:val="single" w:sz="6" w:space="0" w:color="auto"/>
              <w:right w:val="single" w:sz="6" w:space="0" w:color="auto"/>
            </w:tcBorders>
          </w:tcPr>
          <w:p w14:paraId="66870286" w14:textId="77777777" w:rsidR="001B4A2F" w:rsidRPr="008C2C58" w:rsidRDefault="001B4A2F" w:rsidP="00031367">
            <w:pPr>
              <w:ind w:left="0"/>
              <w:rPr>
                <w:rFonts w:cs="Arial"/>
                <w:snapToGrid w:val="0"/>
                <w:color w:val="000000"/>
                <w:szCs w:val="24"/>
              </w:rPr>
            </w:pPr>
            <w:r>
              <w:rPr>
                <w:rFonts w:cs="Arial"/>
                <w:snapToGrid w:val="0"/>
                <w:color w:val="000000"/>
                <w:szCs w:val="24"/>
              </w:rPr>
              <w:t>Logical Partition</w:t>
            </w:r>
          </w:p>
        </w:tc>
      </w:tr>
      <w:tr w:rsidR="001B4A2F" w:rsidRPr="008C2C58" w14:paraId="0A857259"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088EB252"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LWDB</w:t>
            </w:r>
          </w:p>
        </w:tc>
        <w:tc>
          <w:tcPr>
            <w:tcW w:w="9180" w:type="dxa"/>
            <w:tcBorders>
              <w:top w:val="single" w:sz="6" w:space="0" w:color="auto"/>
              <w:left w:val="single" w:sz="6" w:space="0" w:color="auto"/>
              <w:bottom w:val="single" w:sz="6" w:space="0" w:color="auto"/>
              <w:right w:val="single" w:sz="6" w:space="0" w:color="auto"/>
            </w:tcBorders>
          </w:tcPr>
          <w:p w14:paraId="655BB6EC"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Local Workforce Development Board c</w:t>
            </w:r>
            <w:r w:rsidRPr="008C2C58">
              <w:rPr>
                <w:szCs w:val="24"/>
              </w:rPr>
              <w:t>reated pursuant to Texas Government Code § 2308.253 and certified by the Governor pursuant to Texas Government Code § 2308.261.</w:t>
            </w:r>
            <w:r>
              <w:rPr>
                <w:szCs w:val="24"/>
              </w:rPr>
              <w:t xml:space="preserve"> </w:t>
            </w:r>
            <w:r w:rsidRPr="008C2C58">
              <w:rPr>
                <w:szCs w:val="24"/>
              </w:rPr>
              <w:t>There are twenty-eight (28) Local Workforce Development Boards in Texas.</w:t>
            </w:r>
          </w:p>
        </w:tc>
      </w:tr>
      <w:tr w:rsidR="001B4A2F" w:rsidRPr="008C2C58" w14:paraId="14440D56"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3C80886A" w14:textId="77777777" w:rsidR="001B4A2F" w:rsidRPr="00AC2EB0" w:rsidRDefault="001B4A2F" w:rsidP="00031367">
            <w:pPr>
              <w:ind w:left="0"/>
              <w:rPr>
                <w:rFonts w:cs="Arial"/>
                <w:snapToGrid w:val="0"/>
                <w:color w:val="000000"/>
                <w:szCs w:val="24"/>
              </w:rPr>
            </w:pPr>
            <w:r>
              <w:rPr>
                <w:rFonts w:cs="Arial"/>
                <w:snapToGrid w:val="0"/>
                <w:color w:val="000000"/>
                <w:szCs w:val="24"/>
              </w:rPr>
              <w:t>M&amp;O</w:t>
            </w:r>
          </w:p>
        </w:tc>
        <w:tc>
          <w:tcPr>
            <w:tcW w:w="9180" w:type="dxa"/>
            <w:tcBorders>
              <w:top w:val="single" w:sz="6" w:space="0" w:color="auto"/>
              <w:left w:val="single" w:sz="6" w:space="0" w:color="auto"/>
              <w:bottom w:val="single" w:sz="6" w:space="0" w:color="auto"/>
              <w:right w:val="single" w:sz="6" w:space="0" w:color="auto"/>
            </w:tcBorders>
          </w:tcPr>
          <w:p w14:paraId="29FE1A4F" w14:textId="77777777" w:rsidR="001B4A2F" w:rsidRPr="008C2C58" w:rsidRDefault="001B4A2F" w:rsidP="00031367">
            <w:pPr>
              <w:ind w:left="0"/>
              <w:rPr>
                <w:rFonts w:cs="Arial"/>
                <w:snapToGrid w:val="0"/>
                <w:color w:val="000000"/>
                <w:szCs w:val="24"/>
              </w:rPr>
            </w:pPr>
            <w:r>
              <w:rPr>
                <w:rFonts w:cs="Arial"/>
                <w:snapToGrid w:val="0"/>
                <w:color w:val="000000"/>
                <w:szCs w:val="24"/>
              </w:rPr>
              <w:t>Maintenance and Operations</w:t>
            </w:r>
          </w:p>
        </w:tc>
      </w:tr>
      <w:tr w:rsidR="001B4A2F" w:rsidRPr="008C2C58" w14:paraId="40DF0EEA"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11C05E68"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Material System Defect</w:t>
            </w:r>
          </w:p>
        </w:tc>
        <w:tc>
          <w:tcPr>
            <w:tcW w:w="9180" w:type="dxa"/>
            <w:tcBorders>
              <w:top w:val="single" w:sz="6" w:space="0" w:color="auto"/>
              <w:left w:val="single" w:sz="6" w:space="0" w:color="auto"/>
              <w:bottom w:val="single" w:sz="6" w:space="0" w:color="auto"/>
              <w:right w:val="single" w:sz="6" w:space="0" w:color="auto"/>
            </w:tcBorders>
          </w:tcPr>
          <w:p w14:paraId="1BF27E2C"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Functionality that does not conform to the approved detailed design documentation or does not meet established TWC performance standards</w:t>
            </w:r>
          </w:p>
        </w:tc>
      </w:tr>
      <w:tr w:rsidR="001B4A2F" w:rsidRPr="008C2C58" w14:paraId="5C4C1C02"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484BF1F0"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MMP</w:t>
            </w:r>
          </w:p>
        </w:tc>
        <w:tc>
          <w:tcPr>
            <w:tcW w:w="9180" w:type="dxa"/>
            <w:tcBorders>
              <w:top w:val="single" w:sz="6" w:space="0" w:color="auto"/>
              <w:left w:val="single" w:sz="6" w:space="0" w:color="auto"/>
              <w:bottom w:val="single" w:sz="6" w:space="0" w:color="auto"/>
              <w:right w:val="single" w:sz="6" w:space="0" w:color="auto"/>
            </w:tcBorders>
          </w:tcPr>
          <w:p w14:paraId="248D503E" w14:textId="77777777" w:rsidR="001B4A2F" w:rsidRDefault="001B4A2F" w:rsidP="00031367">
            <w:pPr>
              <w:tabs>
                <w:tab w:val="left" w:pos="3270"/>
              </w:tabs>
              <w:ind w:left="0"/>
              <w:rPr>
                <w:szCs w:val="24"/>
              </w:rPr>
            </w:pPr>
            <w:r w:rsidRPr="00FD38B3">
              <w:t>Monthly minimum payment</w:t>
            </w:r>
          </w:p>
        </w:tc>
      </w:tr>
      <w:tr w:rsidR="001B4A2F" w:rsidRPr="008C2C58" w14:paraId="01581786"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6EDB6F7C"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MOTS</w:t>
            </w:r>
          </w:p>
        </w:tc>
        <w:tc>
          <w:tcPr>
            <w:tcW w:w="9180" w:type="dxa"/>
            <w:tcBorders>
              <w:top w:val="single" w:sz="6" w:space="0" w:color="auto"/>
              <w:left w:val="single" w:sz="6" w:space="0" w:color="auto"/>
              <w:bottom w:val="single" w:sz="6" w:space="0" w:color="auto"/>
              <w:right w:val="single" w:sz="6" w:space="0" w:color="auto"/>
            </w:tcBorders>
          </w:tcPr>
          <w:p w14:paraId="7350E46D" w14:textId="77777777" w:rsidR="001B4A2F" w:rsidRPr="00E21848" w:rsidRDefault="001B4A2F" w:rsidP="00031367">
            <w:pPr>
              <w:tabs>
                <w:tab w:val="left" w:pos="3270"/>
              </w:tabs>
              <w:ind w:left="0"/>
            </w:pPr>
            <w:r>
              <w:t xml:space="preserve">Modifiable Off-The-Shelf is a software solution that can be configured, modified, and customized after being purchased from the software vendor. </w:t>
            </w:r>
            <w:r w:rsidRPr="006D2A7F">
              <w:t xml:space="preserve">MOTS is a software delivery concept that enables </w:t>
            </w:r>
            <w:r>
              <w:t xml:space="preserve">simple or complex configuration as well as </w:t>
            </w:r>
            <w:r w:rsidRPr="006D2A7F">
              <w:t>source code or programmatic customization of a standard prepackaged, market-available software</w:t>
            </w:r>
            <w:r>
              <w:t xml:space="preserve"> solution </w:t>
            </w:r>
            <w:r w:rsidRPr="008F6D7E">
              <w:t>to meet business objectives.</w:t>
            </w:r>
          </w:p>
        </w:tc>
      </w:tr>
      <w:tr w:rsidR="001B4A2F" w:rsidRPr="008C2C58" w14:paraId="170F3886"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2B8B0EC7"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MR</w:t>
            </w:r>
          </w:p>
        </w:tc>
        <w:tc>
          <w:tcPr>
            <w:tcW w:w="9180" w:type="dxa"/>
            <w:tcBorders>
              <w:top w:val="single" w:sz="6" w:space="0" w:color="auto"/>
              <w:left w:val="single" w:sz="6" w:space="0" w:color="auto"/>
              <w:bottom w:val="single" w:sz="6" w:space="0" w:color="auto"/>
              <w:right w:val="single" w:sz="6" w:space="0" w:color="auto"/>
            </w:tcBorders>
          </w:tcPr>
          <w:p w14:paraId="10C2AA62" w14:textId="77777777" w:rsidR="001B4A2F" w:rsidRDefault="001B4A2F" w:rsidP="00031367">
            <w:pPr>
              <w:tabs>
                <w:tab w:val="left" w:pos="3270"/>
              </w:tabs>
              <w:ind w:left="0"/>
              <w:rPr>
                <w:szCs w:val="24"/>
              </w:rPr>
            </w:pPr>
            <w:r>
              <w:rPr>
                <w:szCs w:val="24"/>
              </w:rPr>
              <w:t>Motion for Rehearing</w:t>
            </w:r>
            <w:r>
              <w:rPr>
                <w:szCs w:val="24"/>
              </w:rPr>
              <w:tab/>
            </w:r>
          </w:p>
        </w:tc>
      </w:tr>
      <w:tr w:rsidR="001B4A2F" w:rsidRPr="008C2C58" w14:paraId="35C7E1A6"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3DF83061" w14:textId="77777777" w:rsidR="001B4A2F" w:rsidRPr="00AC2EB0" w:rsidRDefault="001B4A2F" w:rsidP="00031367">
            <w:pPr>
              <w:ind w:left="0"/>
              <w:rPr>
                <w:rFonts w:cs="Arial"/>
                <w:snapToGrid w:val="0"/>
                <w:color w:val="000000"/>
                <w:szCs w:val="24"/>
              </w:rPr>
            </w:pPr>
            <w:r>
              <w:rPr>
                <w:rFonts w:cs="Arial"/>
                <w:snapToGrid w:val="0"/>
                <w:color w:val="000000"/>
                <w:szCs w:val="24"/>
              </w:rPr>
              <w:t>MSDES</w:t>
            </w:r>
          </w:p>
        </w:tc>
        <w:tc>
          <w:tcPr>
            <w:tcW w:w="9180" w:type="dxa"/>
            <w:tcBorders>
              <w:top w:val="single" w:sz="6" w:space="0" w:color="auto"/>
              <w:left w:val="single" w:sz="6" w:space="0" w:color="auto"/>
              <w:bottom w:val="single" w:sz="6" w:space="0" w:color="auto"/>
              <w:right w:val="single" w:sz="6" w:space="0" w:color="auto"/>
            </w:tcBorders>
          </w:tcPr>
          <w:p w14:paraId="7564C433" w14:textId="77777777" w:rsidR="001B4A2F" w:rsidRPr="00FD38B3" w:rsidRDefault="001B4A2F" w:rsidP="00031367">
            <w:pPr>
              <w:tabs>
                <w:tab w:val="left" w:pos="3270"/>
              </w:tabs>
              <w:ind w:left="0"/>
            </w:pPr>
            <w:r w:rsidRPr="0062572A">
              <w:rPr>
                <w:rFonts w:cs="Calibri"/>
                <w:color w:val="000000"/>
                <w:szCs w:val="24"/>
              </w:rPr>
              <w:t>Military State Data Exchange System</w:t>
            </w:r>
          </w:p>
        </w:tc>
      </w:tr>
      <w:tr w:rsidR="001B4A2F" w:rsidRPr="008C2C58" w14:paraId="4F8DAB2A"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5028605D" w14:textId="77777777" w:rsidR="001B4A2F" w:rsidRPr="00AC2EB0" w:rsidRDefault="001B4A2F" w:rsidP="00031367">
            <w:pPr>
              <w:ind w:left="0"/>
              <w:rPr>
                <w:rFonts w:cs="Arial"/>
                <w:snapToGrid w:val="0"/>
                <w:color w:val="000000"/>
                <w:szCs w:val="24"/>
              </w:rPr>
            </w:pPr>
            <w:r>
              <w:rPr>
                <w:rFonts w:cs="Arial"/>
                <w:snapToGrid w:val="0"/>
                <w:color w:val="000000"/>
                <w:szCs w:val="24"/>
              </w:rPr>
              <w:t>MSU</w:t>
            </w:r>
          </w:p>
        </w:tc>
        <w:tc>
          <w:tcPr>
            <w:tcW w:w="9180" w:type="dxa"/>
            <w:tcBorders>
              <w:top w:val="single" w:sz="6" w:space="0" w:color="auto"/>
              <w:left w:val="single" w:sz="6" w:space="0" w:color="auto"/>
              <w:bottom w:val="single" w:sz="6" w:space="0" w:color="auto"/>
              <w:right w:val="single" w:sz="6" w:space="0" w:color="auto"/>
            </w:tcBorders>
          </w:tcPr>
          <w:p w14:paraId="3805BF6E" w14:textId="77777777" w:rsidR="001B4A2F" w:rsidRPr="008C2C58" w:rsidRDefault="001B4A2F" w:rsidP="00031367">
            <w:pPr>
              <w:ind w:left="0"/>
              <w:rPr>
                <w:rFonts w:cs="Arial"/>
                <w:snapToGrid w:val="0"/>
                <w:color w:val="000000"/>
                <w:szCs w:val="24"/>
              </w:rPr>
            </w:pPr>
            <w:r>
              <w:rPr>
                <w:rFonts w:cs="Arial"/>
                <w:snapToGrid w:val="0"/>
                <w:color w:val="000000"/>
                <w:szCs w:val="24"/>
              </w:rPr>
              <w:t>Million Service Unit</w:t>
            </w:r>
          </w:p>
        </w:tc>
      </w:tr>
      <w:tr w:rsidR="001B4A2F" w:rsidRPr="008C2C58" w14:paraId="3107FAB4"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08EC39AF" w14:textId="77777777" w:rsidR="001B4A2F" w:rsidRPr="00AC2EB0" w:rsidRDefault="001B4A2F" w:rsidP="00031367">
            <w:pPr>
              <w:ind w:left="0"/>
              <w:rPr>
                <w:rFonts w:cs="Arial"/>
                <w:snapToGrid w:val="0"/>
                <w:color w:val="000000"/>
                <w:szCs w:val="24"/>
              </w:rPr>
            </w:pPr>
            <w:r w:rsidRPr="00875170">
              <w:t>NACES</w:t>
            </w:r>
          </w:p>
        </w:tc>
        <w:tc>
          <w:tcPr>
            <w:tcW w:w="9180" w:type="dxa"/>
            <w:tcBorders>
              <w:top w:val="single" w:sz="6" w:space="0" w:color="auto"/>
              <w:left w:val="single" w:sz="6" w:space="0" w:color="auto"/>
              <w:bottom w:val="single" w:sz="6" w:space="0" w:color="auto"/>
              <w:right w:val="single" w:sz="6" w:space="0" w:color="auto"/>
            </w:tcBorders>
          </w:tcPr>
          <w:p w14:paraId="696DB6BA" w14:textId="77777777" w:rsidR="001B4A2F" w:rsidRPr="008C2C58" w:rsidRDefault="001B4A2F" w:rsidP="00031367">
            <w:pPr>
              <w:ind w:left="0"/>
              <w:rPr>
                <w:rFonts w:cs="Arial"/>
                <w:snapToGrid w:val="0"/>
                <w:color w:val="000000"/>
                <w:szCs w:val="24"/>
              </w:rPr>
            </w:pPr>
            <w:r w:rsidRPr="00875170">
              <w:t>National Association of Credential Evaluation Services</w:t>
            </w:r>
            <w:r>
              <w:t xml:space="preserve">, </w:t>
            </w:r>
            <w:r w:rsidRPr="00875170">
              <w:t xml:space="preserve"> </w:t>
            </w:r>
            <w:hyperlink r:id="rId11" w:history="1">
              <w:r w:rsidRPr="00497784">
                <w:rPr>
                  <w:rStyle w:val="Hyperlink"/>
                </w:rPr>
                <w:t>http://www.naces.org</w:t>
              </w:r>
            </w:hyperlink>
          </w:p>
        </w:tc>
      </w:tr>
      <w:tr w:rsidR="001B4A2F" w:rsidRPr="008C2C58" w14:paraId="74910827"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1A298BE8"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NAICS</w:t>
            </w:r>
          </w:p>
        </w:tc>
        <w:tc>
          <w:tcPr>
            <w:tcW w:w="9180" w:type="dxa"/>
            <w:tcBorders>
              <w:top w:val="single" w:sz="6" w:space="0" w:color="auto"/>
              <w:left w:val="single" w:sz="6" w:space="0" w:color="auto"/>
              <w:bottom w:val="single" w:sz="6" w:space="0" w:color="auto"/>
              <w:right w:val="single" w:sz="6" w:space="0" w:color="auto"/>
            </w:tcBorders>
          </w:tcPr>
          <w:p w14:paraId="46E905D1"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North American Industry Classification System</w:t>
            </w:r>
          </w:p>
        </w:tc>
      </w:tr>
      <w:tr w:rsidR="001B4A2F" w:rsidRPr="008C2C58" w14:paraId="5D5CAA10"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7AF2A937"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NDNH</w:t>
            </w:r>
          </w:p>
        </w:tc>
        <w:tc>
          <w:tcPr>
            <w:tcW w:w="9180" w:type="dxa"/>
            <w:tcBorders>
              <w:top w:val="single" w:sz="6" w:space="0" w:color="auto"/>
              <w:left w:val="single" w:sz="6" w:space="0" w:color="auto"/>
              <w:bottom w:val="single" w:sz="6" w:space="0" w:color="auto"/>
              <w:right w:val="single" w:sz="6" w:space="0" w:color="auto"/>
            </w:tcBorders>
          </w:tcPr>
          <w:p w14:paraId="4A52964B" w14:textId="77777777" w:rsidR="001B4A2F" w:rsidRDefault="001B4A2F" w:rsidP="00031367">
            <w:pPr>
              <w:tabs>
                <w:tab w:val="left" w:pos="3270"/>
              </w:tabs>
              <w:ind w:left="0"/>
              <w:rPr>
                <w:szCs w:val="24"/>
              </w:rPr>
            </w:pPr>
            <w:r>
              <w:rPr>
                <w:szCs w:val="24"/>
              </w:rPr>
              <w:t>National Directory of New Hires</w:t>
            </w:r>
          </w:p>
        </w:tc>
      </w:tr>
      <w:tr w:rsidR="001B4A2F" w:rsidRPr="008C2C58" w14:paraId="020F0DCF"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46F51A74"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NIST</w:t>
            </w:r>
          </w:p>
        </w:tc>
        <w:tc>
          <w:tcPr>
            <w:tcW w:w="9180" w:type="dxa"/>
            <w:tcBorders>
              <w:top w:val="single" w:sz="6" w:space="0" w:color="auto"/>
              <w:left w:val="single" w:sz="6" w:space="0" w:color="auto"/>
              <w:bottom w:val="single" w:sz="6" w:space="0" w:color="auto"/>
              <w:right w:val="single" w:sz="6" w:space="0" w:color="auto"/>
            </w:tcBorders>
          </w:tcPr>
          <w:p w14:paraId="4404AA88"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National Institute of Standards and Technology</w:t>
            </w:r>
          </w:p>
        </w:tc>
      </w:tr>
      <w:tr w:rsidR="001B4A2F" w:rsidRPr="008C2C58" w14:paraId="1E1FB9A6"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16916EFB" w14:textId="77777777" w:rsidR="001B4A2F" w:rsidRPr="00050322" w:rsidRDefault="001B4A2F" w:rsidP="00031367">
            <w:pPr>
              <w:ind w:left="0"/>
              <w:rPr>
                <w:rFonts w:cs="Arial"/>
                <w:snapToGrid w:val="0"/>
                <w:color w:val="000000"/>
                <w:szCs w:val="24"/>
              </w:rPr>
            </w:pPr>
            <w:r>
              <w:rPr>
                <w:rFonts w:cs="Arial"/>
                <w:snapToGrid w:val="0"/>
                <w:color w:val="000000"/>
                <w:szCs w:val="24"/>
              </w:rPr>
              <w:lastRenderedPageBreak/>
              <w:t>Non-SaaS Solution</w:t>
            </w:r>
          </w:p>
        </w:tc>
        <w:tc>
          <w:tcPr>
            <w:tcW w:w="9180" w:type="dxa"/>
            <w:tcBorders>
              <w:top w:val="single" w:sz="6" w:space="0" w:color="auto"/>
              <w:left w:val="single" w:sz="6" w:space="0" w:color="auto"/>
              <w:bottom w:val="single" w:sz="6" w:space="0" w:color="auto"/>
              <w:right w:val="single" w:sz="6" w:space="0" w:color="auto"/>
            </w:tcBorders>
          </w:tcPr>
          <w:p w14:paraId="645B502D" w14:textId="77777777" w:rsidR="001B4A2F" w:rsidRPr="00050322" w:rsidRDefault="001B4A2F" w:rsidP="00031367">
            <w:pPr>
              <w:tabs>
                <w:tab w:val="left" w:pos="3270"/>
              </w:tabs>
              <w:ind w:left="0"/>
            </w:pPr>
            <w:r w:rsidRPr="00050322">
              <w:t>A vendor offers to host the software and provide all server management functions to support the software including system administration, operating system management and patching, base security services, dedicated network connectivity, storage services, backup services and disaster recovery services. The vendor sells a license to the state agency for this solution.</w:t>
            </w:r>
          </w:p>
        </w:tc>
      </w:tr>
      <w:tr w:rsidR="001B4A2F" w:rsidRPr="008C2C58" w14:paraId="083603C9" w14:textId="77777777" w:rsidTr="00AA05AE">
        <w:trPr>
          <w:trHeight w:val="226"/>
        </w:trPr>
        <w:tc>
          <w:tcPr>
            <w:tcW w:w="1620" w:type="dxa"/>
            <w:tcBorders>
              <w:top w:val="single" w:sz="6" w:space="0" w:color="auto"/>
              <w:left w:val="single" w:sz="6" w:space="0" w:color="auto"/>
              <w:bottom w:val="single" w:sz="6" w:space="0" w:color="auto"/>
              <w:right w:val="single" w:sz="6" w:space="0" w:color="auto"/>
            </w:tcBorders>
          </w:tcPr>
          <w:p w14:paraId="4221CCFA" w14:textId="77777777" w:rsidR="001B4A2F" w:rsidRPr="00AC2EB0" w:rsidRDefault="001B4A2F" w:rsidP="00AA05AE">
            <w:pPr>
              <w:ind w:left="0"/>
              <w:rPr>
                <w:rFonts w:cs="Arial"/>
                <w:snapToGrid w:val="0"/>
                <w:color w:val="000000"/>
                <w:szCs w:val="24"/>
              </w:rPr>
            </w:pPr>
            <w:r>
              <w:rPr>
                <w:rFonts w:cs="Arial"/>
                <w:snapToGrid w:val="0"/>
                <w:color w:val="000000"/>
                <w:szCs w:val="24"/>
              </w:rPr>
              <w:t>NSF</w:t>
            </w:r>
          </w:p>
        </w:tc>
        <w:tc>
          <w:tcPr>
            <w:tcW w:w="9180" w:type="dxa"/>
            <w:tcBorders>
              <w:top w:val="single" w:sz="6" w:space="0" w:color="auto"/>
              <w:left w:val="single" w:sz="6" w:space="0" w:color="auto"/>
              <w:bottom w:val="single" w:sz="6" w:space="0" w:color="auto"/>
              <w:right w:val="single" w:sz="6" w:space="0" w:color="auto"/>
            </w:tcBorders>
          </w:tcPr>
          <w:p w14:paraId="25C16B16" w14:textId="77777777" w:rsidR="001B4A2F" w:rsidRPr="008C2C58" w:rsidRDefault="001B4A2F" w:rsidP="00AA05AE">
            <w:pPr>
              <w:ind w:left="0"/>
              <w:rPr>
                <w:rFonts w:cs="Arial"/>
                <w:snapToGrid w:val="0"/>
                <w:color w:val="000000"/>
                <w:szCs w:val="24"/>
              </w:rPr>
            </w:pPr>
            <w:r>
              <w:rPr>
                <w:rFonts w:cs="Arial"/>
                <w:snapToGrid w:val="0"/>
                <w:color w:val="000000"/>
                <w:szCs w:val="24"/>
              </w:rPr>
              <w:t>Nonsufficient F</w:t>
            </w:r>
            <w:r w:rsidRPr="00DF0CEA">
              <w:rPr>
                <w:rFonts w:cs="Arial"/>
                <w:snapToGrid w:val="0"/>
                <w:color w:val="000000"/>
                <w:szCs w:val="24"/>
              </w:rPr>
              <w:t>unds</w:t>
            </w:r>
          </w:p>
        </w:tc>
      </w:tr>
      <w:tr w:rsidR="001B4A2F" w:rsidRPr="008C2C58" w14:paraId="7C6458EB"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1B3BF2DD"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OAG</w:t>
            </w:r>
          </w:p>
        </w:tc>
        <w:tc>
          <w:tcPr>
            <w:tcW w:w="9180" w:type="dxa"/>
            <w:tcBorders>
              <w:top w:val="single" w:sz="6" w:space="0" w:color="auto"/>
              <w:left w:val="single" w:sz="6" w:space="0" w:color="auto"/>
              <w:bottom w:val="single" w:sz="6" w:space="0" w:color="auto"/>
              <w:right w:val="single" w:sz="6" w:space="0" w:color="auto"/>
            </w:tcBorders>
          </w:tcPr>
          <w:p w14:paraId="65E0CEA4"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Office of Attorney General</w:t>
            </w:r>
            <w:r>
              <w:rPr>
                <w:rFonts w:cs="Arial"/>
                <w:snapToGrid w:val="0"/>
                <w:color w:val="000000"/>
                <w:szCs w:val="24"/>
              </w:rPr>
              <w:t xml:space="preserve"> (Texas)</w:t>
            </w:r>
          </w:p>
        </w:tc>
      </w:tr>
      <w:tr w:rsidR="001B4A2F" w:rsidRPr="008C2C58" w14:paraId="608FEEC1"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30B42C6D" w14:textId="77777777" w:rsidR="001B4A2F" w:rsidRPr="00AC2EB0" w:rsidRDefault="001B4A2F" w:rsidP="00031367">
            <w:pPr>
              <w:ind w:left="0"/>
              <w:rPr>
                <w:rFonts w:cs="Arial"/>
                <w:snapToGrid w:val="0"/>
                <w:color w:val="000000"/>
                <w:szCs w:val="24"/>
              </w:rPr>
            </w:pPr>
            <w:r>
              <w:rPr>
                <w:rFonts w:cs="Arial"/>
                <w:snapToGrid w:val="0"/>
                <w:color w:val="000000"/>
                <w:szCs w:val="24"/>
              </w:rPr>
              <w:t>OCM</w:t>
            </w:r>
          </w:p>
        </w:tc>
        <w:tc>
          <w:tcPr>
            <w:tcW w:w="9180" w:type="dxa"/>
            <w:tcBorders>
              <w:top w:val="single" w:sz="6" w:space="0" w:color="auto"/>
              <w:left w:val="single" w:sz="6" w:space="0" w:color="auto"/>
              <w:bottom w:val="single" w:sz="6" w:space="0" w:color="auto"/>
              <w:right w:val="single" w:sz="6" w:space="0" w:color="auto"/>
            </w:tcBorders>
          </w:tcPr>
          <w:p w14:paraId="0B193196" w14:textId="77777777" w:rsidR="001B4A2F" w:rsidRPr="008C2C58" w:rsidRDefault="001B4A2F" w:rsidP="00031367">
            <w:pPr>
              <w:ind w:left="0"/>
              <w:rPr>
                <w:rFonts w:cs="Arial"/>
                <w:snapToGrid w:val="0"/>
                <w:color w:val="000000"/>
                <w:szCs w:val="24"/>
              </w:rPr>
            </w:pPr>
            <w:r>
              <w:rPr>
                <w:rFonts w:cs="Arial"/>
                <w:snapToGrid w:val="0"/>
                <w:color w:val="000000"/>
                <w:szCs w:val="24"/>
              </w:rPr>
              <w:t>Organizational Change Management</w:t>
            </w:r>
          </w:p>
        </w:tc>
      </w:tr>
      <w:tr w:rsidR="001B4A2F" w:rsidRPr="008C2C58" w14:paraId="15DFD165"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0CC742D9"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OCR</w:t>
            </w:r>
          </w:p>
        </w:tc>
        <w:tc>
          <w:tcPr>
            <w:tcW w:w="9180" w:type="dxa"/>
            <w:tcBorders>
              <w:top w:val="single" w:sz="6" w:space="0" w:color="auto"/>
              <w:left w:val="single" w:sz="6" w:space="0" w:color="auto"/>
              <w:bottom w:val="single" w:sz="6" w:space="0" w:color="auto"/>
              <w:right w:val="single" w:sz="6" w:space="0" w:color="auto"/>
            </w:tcBorders>
          </w:tcPr>
          <w:p w14:paraId="535C456A" w14:textId="77777777" w:rsidR="001B4A2F" w:rsidRDefault="001B4A2F" w:rsidP="00031367">
            <w:pPr>
              <w:tabs>
                <w:tab w:val="left" w:pos="3270"/>
              </w:tabs>
              <w:ind w:left="0"/>
              <w:rPr>
                <w:szCs w:val="24"/>
              </w:rPr>
            </w:pPr>
            <w:r>
              <w:rPr>
                <w:szCs w:val="24"/>
              </w:rPr>
              <w:t>Optical Character Recognition</w:t>
            </w:r>
          </w:p>
        </w:tc>
      </w:tr>
      <w:tr w:rsidR="001B4A2F" w:rsidRPr="008C2C58" w14:paraId="3A6DB14A"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4670DA05"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OCSE</w:t>
            </w:r>
          </w:p>
        </w:tc>
        <w:tc>
          <w:tcPr>
            <w:tcW w:w="9180" w:type="dxa"/>
            <w:tcBorders>
              <w:top w:val="single" w:sz="6" w:space="0" w:color="auto"/>
              <w:left w:val="single" w:sz="6" w:space="0" w:color="auto"/>
              <w:bottom w:val="single" w:sz="6" w:space="0" w:color="auto"/>
              <w:right w:val="single" w:sz="6" w:space="0" w:color="auto"/>
            </w:tcBorders>
          </w:tcPr>
          <w:p w14:paraId="7268D2D9" w14:textId="77777777" w:rsidR="001B4A2F" w:rsidRDefault="001B4A2F" w:rsidP="00031367">
            <w:pPr>
              <w:tabs>
                <w:tab w:val="left" w:pos="3270"/>
              </w:tabs>
              <w:ind w:left="0"/>
              <w:rPr>
                <w:szCs w:val="24"/>
              </w:rPr>
            </w:pPr>
            <w:r>
              <w:rPr>
                <w:szCs w:val="24"/>
              </w:rPr>
              <w:t>Office of Child Support Enforcement (Federal)</w:t>
            </w:r>
          </w:p>
        </w:tc>
      </w:tr>
      <w:tr w:rsidR="001B4A2F" w:rsidRPr="008C2C58" w14:paraId="13B0C210" w14:textId="77777777" w:rsidTr="00AA05AE">
        <w:trPr>
          <w:trHeight w:val="226"/>
        </w:trPr>
        <w:tc>
          <w:tcPr>
            <w:tcW w:w="1620" w:type="dxa"/>
            <w:tcBorders>
              <w:top w:val="single" w:sz="6" w:space="0" w:color="auto"/>
              <w:left w:val="single" w:sz="6" w:space="0" w:color="auto"/>
              <w:bottom w:val="single" w:sz="6" w:space="0" w:color="auto"/>
              <w:right w:val="single" w:sz="6" w:space="0" w:color="auto"/>
            </w:tcBorders>
          </w:tcPr>
          <w:p w14:paraId="1D373170" w14:textId="77777777" w:rsidR="001B4A2F" w:rsidRPr="00AC2EB0" w:rsidRDefault="001B4A2F" w:rsidP="00AA05AE">
            <w:pPr>
              <w:ind w:left="0"/>
              <w:rPr>
                <w:rFonts w:cs="Arial"/>
                <w:snapToGrid w:val="0"/>
                <w:color w:val="000000"/>
                <w:szCs w:val="24"/>
              </w:rPr>
            </w:pPr>
            <w:r>
              <w:rPr>
                <w:rFonts w:cs="Arial"/>
                <w:snapToGrid w:val="0"/>
                <w:color w:val="000000"/>
                <w:szCs w:val="24"/>
              </w:rPr>
              <w:t>ODBC</w:t>
            </w:r>
          </w:p>
        </w:tc>
        <w:tc>
          <w:tcPr>
            <w:tcW w:w="9180" w:type="dxa"/>
            <w:tcBorders>
              <w:top w:val="single" w:sz="6" w:space="0" w:color="auto"/>
              <w:left w:val="single" w:sz="6" w:space="0" w:color="auto"/>
              <w:bottom w:val="single" w:sz="6" w:space="0" w:color="auto"/>
              <w:right w:val="single" w:sz="6" w:space="0" w:color="auto"/>
            </w:tcBorders>
          </w:tcPr>
          <w:p w14:paraId="69704916" w14:textId="77777777" w:rsidR="001B4A2F" w:rsidRPr="008C2C58" w:rsidRDefault="001B4A2F" w:rsidP="00AA05AE">
            <w:pPr>
              <w:ind w:left="0"/>
              <w:rPr>
                <w:rFonts w:cs="Arial"/>
                <w:snapToGrid w:val="0"/>
                <w:color w:val="000000"/>
                <w:szCs w:val="24"/>
              </w:rPr>
            </w:pPr>
            <w:r w:rsidRPr="007F6BF8">
              <w:rPr>
                <w:rFonts w:cs="Arial"/>
                <w:snapToGrid w:val="0"/>
                <w:color w:val="000000"/>
                <w:szCs w:val="24"/>
              </w:rPr>
              <w:t>Open Database Connectivity</w:t>
            </w:r>
          </w:p>
        </w:tc>
      </w:tr>
      <w:tr w:rsidR="001B4A2F" w:rsidRPr="008C2C58" w14:paraId="060F18B2"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7F1196F5" w14:textId="77777777" w:rsidR="001B4A2F" w:rsidRDefault="001B4A2F" w:rsidP="00031367">
            <w:pPr>
              <w:ind w:left="0"/>
              <w:rPr>
                <w:rFonts w:cs="Arial"/>
                <w:snapToGrid w:val="0"/>
                <w:color w:val="000000"/>
                <w:szCs w:val="24"/>
              </w:rPr>
            </w:pPr>
            <w:r>
              <w:t>OGC</w:t>
            </w:r>
          </w:p>
        </w:tc>
        <w:tc>
          <w:tcPr>
            <w:tcW w:w="9180" w:type="dxa"/>
            <w:tcBorders>
              <w:top w:val="single" w:sz="6" w:space="0" w:color="auto"/>
              <w:left w:val="single" w:sz="6" w:space="0" w:color="auto"/>
              <w:bottom w:val="single" w:sz="6" w:space="0" w:color="auto"/>
              <w:right w:val="single" w:sz="6" w:space="0" w:color="auto"/>
            </w:tcBorders>
          </w:tcPr>
          <w:p w14:paraId="60D92937" w14:textId="77777777" w:rsidR="001B4A2F" w:rsidRDefault="001B4A2F" w:rsidP="00031367">
            <w:pPr>
              <w:tabs>
                <w:tab w:val="left" w:pos="3270"/>
              </w:tabs>
              <w:ind w:left="0"/>
              <w:rPr>
                <w:szCs w:val="24"/>
              </w:rPr>
            </w:pPr>
            <w:r>
              <w:t>Office of General Counsel</w:t>
            </w:r>
          </w:p>
        </w:tc>
      </w:tr>
      <w:tr w:rsidR="001B4A2F" w:rsidRPr="008C2C58" w14:paraId="2DF6C722" w14:textId="77777777" w:rsidTr="00AA05AE">
        <w:trPr>
          <w:trHeight w:val="226"/>
        </w:trPr>
        <w:tc>
          <w:tcPr>
            <w:tcW w:w="1620" w:type="dxa"/>
            <w:tcBorders>
              <w:top w:val="single" w:sz="6" w:space="0" w:color="auto"/>
              <w:left w:val="single" w:sz="6" w:space="0" w:color="auto"/>
              <w:bottom w:val="single" w:sz="6" w:space="0" w:color="auto"/>
              <w:right w:val="single" w:sz="6" w:space="0" w:color="auto"/>
            </w:tcBorders>
          </w:tcPr>
          <w:p w14:paraId="0C3325DB" w14:textId="77777777" w:rsidR="001B4A2F" w:rsidRDefault="001B4A2F" w:rsidP="00AA05AE">
            <w:pPr>
              <w:ind w:left="0"/>
              <w:rPr>
                <w:rFonts w:cs="Arial"/>
                <w:snapToGrid w:val="0"/>
                <w:color w:val="000000"/>
                <w:szCs w:val="24"/>
              </w:rPr>
            </w:pPr>
            <w:r>
              <w:rPr>
                <w:rFonts w:cs="Arial"/>
                <w:snapToGrid w:val="0"/>
                <w:color w:val="000000"/>
                <w:szCs w:val="24"/>
              </w:rPr>
              <w:t>OIG</w:t>
            </w:r>
          </w:p>
        </w:tc>
        <w:tc>
          <w:tcPr>
            <w:tcW w:w="9180" w:type="dxa"/>
            <w:tcBorders>
              <w:top w:val="single" w:sz="6" w:space="0" w:color="auto"/>
              <w:left w:val="single" w:sz="6" w:space="0" w:color="auto"/>
              <w:bottom w:val="single" w:sz="6" w:space="0" w:color="auto"/>
              <w:right w:val="single" w:sz="6" w:space="0" w:color="auto"/>
            </w:tcBorders>
          </w:tcPr>
          <w:p w14:paraId="213FF716" w14:textId="77777777" w:rsidR="001B4A2F" w:rsidRDefault="001B4A2F" w:rsidP="00AA05AE">
            <w:pPr>
              <w:ind w:left="0"/>
              <w:rPr>
                <w:rFonts w:cs="Arial"/>
                <w:snapToGrid w:val="0"/>
                <w:color w:val="000000"/>
                <w:szCs w:val="24"/>
              </w:rPr>
            </w:pPr>
            <w:r>
              <w:rPr>
                <w:rFonts w:cs="Arial"/>
                <w:snapToGrid w:val="0"/>
                <w:color w:val="000000"/>
                <w:szCs w:val="24"/>
              </w:rPr>
              <w:t>Office of Inspector General (DOL)</w:t>
            </w:r>
          </w:p>
        </w:tc>
      </w:tr>
      <w:tr w:rsidR="001B4A2F" w:rsidRPr="008C2C58" w14:paraId="7BF5925C"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6F422968" w14:textId="77777777" w:rsidR="001B4A2F" w:rsidRPr="00AC2EB0" w:rsidRDefault="001B4A2F" w:rsidP="00031367">
            <w:pPr>
              <w:ind w:left="0"/>
              <w:rPr>
                <w:rFonts w:cs="Arial"/>
                <w:snapToGrid w:val="0"/>
                <w:color w:val="000000"/>
                <w:szCs w:val="24"/>
              </w:rPr>
            </w:pPr>
            <w:r>
              <w:rPr>
                <w:rFonts w:cs="Arial"/>
                <w:snapToGrid w:val="0"/>
                <w:color w:val="000000"/>
                <w:szCs w:val="24"/>
              </w:rPr>
              <w:t>OP</w:t>
            </w:r>
          </w:p>
        </w:tc>
        <w:tc>
          <w:tcPr>
            <w:tcW w:w="9180" w:type="dxa"/>
            <w:tcBorders>
              <w:top w:val="single" w:sz="6" w:space="0" w:color="auto"/>
              <w:left w:val="single" w:sz="6" w:space="0" w:color="auto"/>
              <w:bottom w:val="single" w:sz="6" w:space="0" w:color="auto"/>
              <w:right w:val="single" w:sz="6" w:space="0" w:color="auto"/>
            </w:tcBorders>
          </w:tcPr>
          <w:p w14:paraId="583B749D" w14:textId="77777777" w:rsidR="001B4A2F" w:rsidRDefault="001B4A2F" w:rsidP="00031367">
            <w:pPr>
              <w:tabs>
                <w:tab w:val="left" w:pos="3270"/>
              </w:tabs>
              <w:ind w:left="0"/>
              <w:rPr>
                <w:szCs w:val="24"/>
              </w:rPr>
            </w:pPr>
            <w:r>
              <w:rPr>
                <w:szCs w:val="24"/>
              </w:rPr>
              <w:t>Overpayment</w:t>
            </w:r>
          </w:p>
        </w:tc>
      </w:tr>
      <w:tr w:rsidR="001B4A2F" w:rsidRPr="008C2C58" w14:paraId="6815F836"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16FCBFC5" w14:textId="77777777" w:rsidR="001B4A2F" w:rsidRDefault="001B4A2F" w:rsidP="00031367">
            <w:pPr>
              <w:ind w:left="0"/>
              <w:rPr>
                <w:rFonts w:cs="Arial"/>
                <w:snapToGrid w:val="0"/>
                <w:color w:val="000000"/>
                <w:szCs w:val="24"/>
              </w:rPr>
            </w:pPr>
            <w:r>
              <w:rPr>
                <w:rFonts w:cstheme="minorHAnsi"/>
              </w:rPr>
              <w:t>OPACS</w:t>
            </w:r>
          </w:p>
        </w:tc>
        <w:tc>
          <w:tcPr>
            <w:tcW w:w="9180" w:type="dxa"/>
            <w:tcBorders>
              <w:top w:val="single" w:sz="6" w:space="0" w:color="auto"/>
              <w:left w:val="single" w:sz="6" w:space="0" w:color="auto"/>
              <w:bottom w:val="single" w:sz="6" w:space="0" w:color="auto"/>
              <w:right w:val="single" w:sz="6" w:space="0" w:color="auto"/>
            </w:tcBorders>
          </w:tcPr>
          <w:p w14:paraId="7955B537" w14:textId="77777777" w:rsidR="001B4A2F" w:rsidRDefault="001B4A2F" w:rsidP="00031367">
            <w:pPr>
              <w:tabs>
                <w:tab w:val="left" w:pos="3270"/>
              </w:tabs>
              <w:ind w:left="0"/>
              <w:rPr>
                <w:szCs w:val="24"/>
              </w:rPr>
            </w:pPr>
            <w:r>
              <w:rPr>
                <w:rFonts w:cstheme="minorHAnsi"/>
              </w:rPr>
              <w:t xml:space="preserve">Overpayment Accounting System </w:t>
            </w:r>
          </w:p>
        </w:tc>
      </w:tr>
      <w:tr w:rsidR="001B4A2F" w:rsidRPr="008C2C58" w14:paraId="3F88A071" w14:textId="77777777" w:rsidTr="00AA05AE">
        <w:trPr>
          <w:trHeight w:val="226"/>
        </w:trPr>
        <w:tc>
          <w:tcPr>
            <w:tcW w:w="1620" w:type="dxa"/>
            <w:tcBorders>
              <w:top w:val="single" w:sz="6" w:space="0" w:color="auto"/>
              <w:left w:val="single" w:sz="6" w:space="0" w:color="auto"/>
              <w:bottom w:val="single" w:sz="6" w:space="0" w:color="auto"/>
              <w:right w:val="single" w:sz="6" w:space="0" w:color="auto"/>
            </w:tcBorders>
          </w:tcPr>
          <w:p w14:paraId="2DE02BED" w14:textId="77777777" w:rsidR="001B4A2F" w:rsidRDefault="001B4A2F" w:rsidP="00AA05AE">
            <w:pPr>
              <w:ind w:left="0"/>
              <w:rPr>
                <w:rFonts w:cs="Arial"/>
                <w:snapToGrid w:val="0"/>
                <w:color w:val="000000"/>
                <w:szCs w:val="24"/>
              </w:rPr>
            </w:pPr>
            <w:r>
              <w:rPr>
                <w:rFonts w:cs="Arial"/>
                <w:snapToGrid w:val="0"/>
                <w:color w:val="000000"/>
                <w:szCs w:val="24"/>
              </w:rPr>
              <w:t>PaaS</w:t>
            </w:r>
          </w:p>
        </w:tc>
        <w:tc>
          <w:tcPr>
            <w:tcW w:w="9180" w:type="dxa"/>
            <w:tcBorders>
              <w:top w:val="single" w:sz="6" w:space="0" w:color="auto"/>
              <w:left w:val="single" w:sz="6" w:space="0" w:color="auto"/>
              <w:bottom w:val="single" w:sz="6" w:space="0" w:color="auto"/>
              <w:right w:val="single" w:sz="6" w:space="0" w:color="auto"/>
            </w:tcBorders>
          </w:tcPr>
          <w:p w14:paraId="0C01E3B0" w14:textId="77777777" w:rsidR="001B4A2F" w:rsidRPr="00214C4D" w:rsidRDefault="001B4A2F" w:rsidP="003432AD">
            <w:pPr>
              <w:tabs>
                <w:tab w:val="left" w:pos="3270"/>
              </w:tabs>
              <w:ind w:left="0"/>
              <w:rPr>
                <w:rFonts w:cs="Arial"/>
                <w:snapToGrid w:val="0"/>
                <w:color w:val="000000"/>
                <w:szCs w:val="24"/>
              </w:rPr>
            </w:pPr>
            <w:r>
              <w:rPr>
                <w:rFonts w:cstheme="minorHAnsi"/>
              </w:rPr>
              <w:t>Platform as a Service (</w:t>
            </w:r>
            <w:r w:rsidRPr="003432AD">
              <w:rPr>
                <w:rFonts w:cstheme="minorHAnsi"/>
              </w:rPr>
              <w:t>PaaS</w:t>
            </w:r>
            <w:r>
              <w:rPr>
                <w:rFonts w:cstheme="minorHAnsi"/>
              </w:rPr>
              <w:t>)</w:t>
            </w:r>
            <w:r w:rsidRPr="003432AD">
              <w:rPr>
                <w:rFonts w:cstheme="minorHAnsi"/>
              </w:rPr>
              <w:t xml:space="preserve"> is a cloud compu</w:t>
            </w:r>
            <w:r>
              <w:rPr>
                <w:rFonts w:cstheme="minorHAnsi"/>
              </w:rPr>
              <w:t>ting service model, along with S</w:t>
            </w:r>
            <w:r w:rsidRPr="003432AD">
              <w:rPr>
                <w:rFonts w:cstheme="minorHAnsi"/>
              </w:rPr>
              <w:t xml:space="preserve">oftware as a </w:t>
            </w:r>
            <w:r>
              <w:rPr>
                <w:rFonts w:cstheme="minorHAnsi"/>
              </w:rPr>
              <w:t>Service (SaaS) and Infrastructure as a S</w:t>
            </w:r>
            <w:r w:rsidRPr="003432AD">
              <w:rPr>
                <w:rFonts w:cstheme="minorHAnsi"/>
              </w:rPr>
              <w:t>ervice (IaaS). It provides end users with the hardware, operating systems, storage or network capacity they need over the cloud to be able to run existing applications or develop new ones.</w:t>
            </w:r>
          </w:p>
        </w:tc>
      </w:tr>
      <w:tr w:rsidR="001B4A2F" w:rsidRPr="008C2C58" w14:paraId="16FCDB5D" w14:textId="77777777" w:rsidTr="00AA05AE">
        <w:trPr>
          <w:trHeight w:val="226"/>
        </w:trPr>
        <w:tc>
          <w:tcPr>
            <w:tcW w:w="1620" w:type="dxa"/>
            <w:tcBorders>
              <w:top w:val="single" w:sz="6" w:space="0" w:color="auto"/>
              <w:left w:val="single" w:sz="6" w:space="0" w:color="auto"/>
              <w:bottom w:val="single" w:sz="6" w:space="0" w:color="auto"/>
              <w:right w:val="single" w:sz="6" w:space="0" w:color="auto"/>
            </w:tcBorders>
          </w:tcPr>
          <w:p w14:paraId="777FF028" w14:textId="77777777" w:rsidR="001B4A2F" w:rsidRDefault="001B4A2F" w:rsidP="00AA05AE">
            <w:pPr>
              <w:ind w:left="0"/>
              <w:rPr>
                <w:rFonts w:cs="Arial"/>
                <w:snapToGrid w:val="0"/>
                <w:color w:val="000000"/>
                <w:szCs w:val="24"/>
              </w:rPr>
            </w:pPr>
            <w:r>
              <w:rPr>
                <w:rFonts w:cs="Arial"/>
                <w:snapToGrid w:val="0"/>
                <w:color w:val="000000"/>
                <w:szCs w:val="24"/>
              </w:rPr>
              <w:t>PACER</w:t>
            </w:r>
          </w:p>
        </w:tc>
        <w:tc>
          <w:tcPr>
            <w:tcW w:w="9180" w:type="dxa"/>
            <w:tcBorders>
              <w:top w:val="single" w:sz="6" w:space="0" w:color="auto"/>
              <w:left w:val="single" w:sz="6" w:space="0" w:color="auto"/>
              <w:bottom w:val="single" w:sz="6" w:space="0" w:color="auto"/>
              <w:right w:val="single" w:sz="6" w:space="0" w:color="auto"/>
            </w:tcBorders>
          </w:tcPr>
          <w:p w14:paraId="022D17F6" w14:textId="77777777" w:rsidR="001B4A2F" w:rsidRDefault="001B4A2F" w:rsidP="00AA05AE">
            <w:pPr>
              <w:ind w:left="0"/>
              <w:rPr>
                <w:rFonts w:cs="Arial"/>
                <w:snapToGrid w:val="0"/>
                <w:color w:val="000000"/>
                <w:szCs w:val="24"/>
              </w:rPr>
            </w:pPr>
            <w:r w:rsidRPr="00214C4D">
              <w:rPr>
                <w:rFonts w:cs="Arial"/>
                <w:snapToGrid w:val="0"/>
                <w:color w:val="000000"/>
                <w:szCs w:val="24"/>
              </w:rPr>
              <w:t>Public Access to Case Electronic Records</w:t>
            </w:r>
          </w:p>
        </w:tc>
      </w:tr>
      <w:tr w:rsidR="001B4A2F" w:rsidRPr="008C2C58" w14:paraId="12442283" w14:textId="77777777" w:rsidTr="00AA05AE">
        <w:trPr>
          <w:trHeight w:val="226"/>
        </w:trPr>
        <w:tc>
          <w:tcPr>
            <w:tcW w:w="1620" w:type="dxa"/>
            <w:tcBorders>
              <w:top w:val="single" w:sz="6" w:space="0" w:color="auto"/>
              <w:left w:val="single" w:sz="6" w:space="0" w:color="auto"/>
              <w:bottom w:val="single" w:sz="6" w:space="0" w:color="auto"/>
              <w:right w:val="single" w:sz="6" w:space="0" w:color="auto"/>
            </w:tcBorders>
          </w:tcPr>
          <w:p w14:paraId="7D782B97" w14:textId="77777777" w:rsidR="001B4A2F" w:rsidRPr="00AC2EB0" w:rsidRDefault="001B4A2F" w:rsidP="00AA05AE">
            <w:pPr>
              <w:ind w:left="0"/>
              <w:rPr>
                <w:rFonts w:cs="Arial"/>
                <w:snapToGrid w:val="0"/>
                <w:color w:val="000000"/>
                <w:szCs w:val="24"/>
              </w:rPr>
            </w:pPr>
            <w:r>
              <w:rPr>
                <w:rFonts w:cs="Arial"/>
                <w:snapToGrid w:val="0"/>
                <w:color w:val="000000"/>
                <w:szCs w:val="24"/>
              </w:rPr>
              <w:t>PEO</w:t>
            </w:r>
          </w:p>
        </w:tc>
        <w:tc>
          <w:tcPr>
            <w:tcW w:w="9180" w:type="dxa"/>
            <w:tcBorders>
              <w:top w:val="single" w:sz="6" w:space="0" w:color="auto"/>
              <w:left w:val="single" w:sz="6" w:space="0" w:color="auto"/>
              <w:bottom w:val="single" w:sz="6" w:space="0" w:color="auto"/>
              <w:right w:val="single" w:sz="6" w:space="0" w:color="auto"/>
            </w:tcBorders>
          </w:tcPr>
          <w:p w14:paraId="062D4887" w14:textId="77777777" w:rsidR="001B4A2F" w:rsidRPr="008C2C58" w:rsidRDefault="001B4A2F" w:rsidP="00AA05AE">
            <w:pPr>
              <w:ind w:left="0"/>
              <w:rPr>
                <w:rFonts w:cs="Arial"/>
                <w:snapToGrid w:val="0"/>
                <w:color w:val="000000"/>
                <w:szCs w:val="24"/>
              </w:rPr>
            </w:pPr>
            <w:r>
              <w:rPr>
                <w:rFonts w:cs="Arial"/>
                <w:snapToGrid w:val="0"/>
                <w:color w:val="000000"/>
                <w:szCs w:val="24"/>
              </w:rPr>
              <w:t>Professional Employer Organization</w:t>
            </w:r>
          </w:p>
        </w:tc>
      </w:tr>
      <w:tr w:rsidR="001B4A2F" w:rsidRPr="008C2C58" w14:paraId="3E6AB4A4"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5AECA94B"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PII</w:t>
            </w:r>
          </w:p>
        </w:tc>
        <w:tc>
          <w:tcPr>
            <w:tcW w:w="9180" w:type="dxa"/>
            <w:tcBorders>
              <w:top w:val="single" w:sz="6" w:space="0" w:color="auto"/>
              <w:left w:val="single" w:sz="6" w:space="0" w:color="auto"/>
              <w:bottom w:val="single" w:sz="6" w:space="0" w:color="auto"/>
              <w:right w:val="single" w:sz="6" w:space="0" w:color="auto"/>
            </w:tcBorders>
          </w:tcPr>
          <w:p w14:paraId="44279ACE"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Personally Identifiable Information</w:t>
            </w:r>
            <w:r>
              <w:rPr>
                <w:rFonts w:cs="Arial"/>
                <w:snapToGrid w:val="0"/>
                <w:color w:val="000000"/>
                <w:szCs w:val="24"/>
              </w:rPr>
              <w:t xml:space="preserve"> </w:t>
            </w:r>
            <w:r w:rsidRPr="00761E3C">
              <w:rPr>
                <w:rFonts w:cs="Arial"/>
                <w:snapToGrid w:val="0"/>
                <w:color w:val="000000"/>
                <w:szCs w:val="24"/>
              </w:rPr>
              <w:t>(PII) is any data that could potentially identify a specific individual. Any information that can be used to distinguish one person from another</w:t>
            </w:r>
            <w:r>
              <w:rPr>
                <w:rFonts w:cs="Arial"/>
                <w:snapToGrid w:val="0"/>
                <w:color w:val="000000"/>
                <w:szCs w:val="24"/>
              </w:rPr>
              <w:t>.</w:t>
            </w:r>
          </w:p>
        </w:tc>
      </w:tr>
      <w:tr w:rsidR="001B4A2F" w:rsidRPr="008C2C58" w14:paraId="62D663F2" w14:textId="77777777" w:rsidTr="00AA05AE">
        <w:trPr>
          <w:trHeight w:val="226"/>
        </w:trPr>
        <w:tc>
          <w:tcPr>
            <w:tcW w:w="1620" w:type="dxa"/>
            <w:tcBorders>
              <w:top w:val="single" w:sz="6" w:space="0" w:color="auto"/>
              <w:left w:val="single" w:sz="6" w:space="0" w:color="auto"/>
              <w:bottom w:val="single" w:sz="6" w:space="0" w:color="auto"/>
              <w:right w:val="single" w:sz="6" w:space="0" w:color="auto"/>
            </w:tcBorders>
          </w:tcPr>
          <w:p w14:paraId="1EA0CF52" w14:textId="77777777" w:rsidR="001B4A2F" w:rsidRPr="00AC2EB0" w:rsidRDefault="001B4A2F" w:rsidP="00AA05AE">
            <w:pPr>
              <w:ind w:left="0"/>
              <w:rPr>
                <w:rFonts w:cs="Arial"/>
                <w:snapToGrid w:val="0"/>
                <w:color w:val="000000"/>
                <w:szCs w:val="24"/>
              </w:rPr>
            </w:pPr>
            <w:r>
              <w:rPr>
                <w:rFonts w:cs="Arial"/>
                <w:snapToGrid w:val="0"/>
                <w:color w:val="000000"/>
                <w:szCs w:val="24"/>
              </w:rPr>
              <w:t>PIN</w:t>
            </w:r>
          </w:p>
        </w:tc>
        <w:tc>
          <w:tcPr>
            <w:tcW w:w="9180" w:type="dxa"/>
            <w:tcBorders>
              <w:top w:val="single" w:sz="6" w:space="0" w:color="auto"/>
              <w:left w:val="single" w:sz="6" w:space="0" w:color="auto"/>
              <w:bottom w:val="single" w:sz="6" w:space="0" w:color="auto"/>
              <w:right w:val="single" w:sz="6" w:space="0" w:color="auto"/>
            </w:tcBorders>
          </w:tcPr>
          <w:p w14:paraId="1A3E4B2B" w14:textId="77777777" w:rsidR="001B4A2F" w:rsidRPr="008C2C58" w:rsidRDefault="001B4A2F" w:rsidP="00AA05AE">
            <w:pPr>
              <w:ind w:left="0"/>
              <w:rPr>
                <w:rFonts w:cs="Arial"/>
                <w:snapToGrid w:val="0"/>
                <w:color w:val="000000"/>
                <w:szCs w:val="24"/>
              </w:rPr>
            </w:pPr>
            <w:r>
              <w:rPr>
                <w:rFonts w:cs="Arial"/>
                <w:snapToGrid w:val="0"/>
                <w:color w:val="000000"/>
                <w:szCs w:val="24"/>
              </w:rPr>
              <w:t>Personal Identification Number</w:t>
            </w:r>
          </w:p>
        </w:tc>
      </w:tr>
      <w:tr w:rsidR="001B4A2F" w:rsidRPr="008C2C58" w14:paraId="689317AE"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55C52503" w14:textId="77777777" w:rsidR="001B4A2F" w:rsidRPr="00AC2EB0" w:rsidRDefault="001B4A2F" w:rsidP="00031367">
            <w:pPr>
              <w:ind w:left="0"/>
              <w:rPr>
                <w:rFonts w:cs="Arial"/>
                <w:snapToGrid w:val="0"/>
                <w:color w:val="000000"/>
                <w:szCs w:val="24"/>
              </w:rPr>
            </w:pPr>
            <w:r>
              <w:rPr>
                <w:rFonts w:cs="Arial"/>
                <w:snapToGrid w:val="0"/>
                <w:color w:val="000000"/>
                <w:szCs w:val="24"/>
              </w:rPr>
              <w:t>PMI</w:t>
            </w:r>
          </w:p>
        </w:tc>
        <w:tc>
          <w:tcPr>
            <w:tcW w:w="9180" w:type="dxa"/>
            <w:tcBorders>
              <w:top w:val="single" w:sz="6" w:space="0" w:color="auto"/>
              <w:left w:val="single" w:sz="6" w:space="0" w:color="auto"/>
              <w:bottom w:val="single" w:sz="6" w:space="0" w:color="auto"/>
              <w:right w:val="single" w:sz="6" w:space="0" w:color="auto"/>
            </w:tcBorders>
          </w:tcPr>
          <w:p w14:paraId="0729C5BA" w14:textId="77777777" w:rsidR="001B4A2F" w:rsidRPr="008C2C58" w:rsidRDefault="001B4A2F" w:rsidP="00031367">
            <w:pPr>
              <w:ind w:left="0"/>
              <w:rPr>
                <w:rFonts w:cs="Arial"/>
                <w:snapToGrid w:val="0"/>
                <w:color w:val="000000"/>
                <w:szCs w:val="24"/>
              </w:rPr>
            </w:pPr>
            <w:r>
              <w:t>Project Management Institute</w:t>
            </w:r>
          </w:p>
        </w:tc>
      </w:tr>
      <w:tr w:rsidR="001B4A2F" w:rsidRPr="008C2C58" w14:paraId="7AEA9E60"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6E00675E"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lastRenderedPageBreak/>
              <w:t>PMO</w:t>
            </w:r>
          </w:p>
        </w:tc>
        <w:tc>
          <w:tcPr>
            <w:tcW w:w="9180" w:type="dxa"/>
            <w:tcBorders>
              <w:top w:val="single" w:sz="6" w:space="0" w:color="auto"/>
              <w:left w:val="single" w:sz="6" w:space="0" w:color="auto"/>
              <w:bottom w:val="single" w:sz="6" w:space="0" w:color="auto"/>
              <w:right w:val="single" w:sz="6" w:space="0" w:color="auto"/>
            </w:tcBorders>
          </w:tcPr>
          <w:p w14:paraId="208A7657"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Project Management Office (TWC)</w:t>
            </w:r>
          </w:p>
        </w:tc>
      </w:tr>
      <w:tr w:rsidR="001B4A2F" w14:paraId="655D33AC" w14:textId="77777777" w:rsidTr="00AA05AE">
        <w:trPr>
          <w:trHeight w:val="226"/>
        </w:trPr>
        <w:tc>
          <w:tcPr>
            <w:tcW w:w="1620" w:type="dxa"/>
            <w:tcBorders>
              <w:top w:val="single" w:sz="6" w:space="0" w:color="auto"/>
              <w:left w:val="single" w:sz="6" w:space="0" w:color="auto"/>
              <w:bottom w:val="single" w:sz="6" w:space="0" w:color="auto"/>
              <w:right w:val="single" w:sz="6" w:space="0" w:color="auto"/>
            </w:tcBorders>
          </w:tcPr>
          <w:p w14:paraId="15CAC09D" w14:textId="77777777" w:rsidR="001B4A2F" w:rsidRDefault="001B4A2F" w:rsidP="00AA05AE">
            <w:pPr>
              <w:ind w:left="0"/>
              <w:rPr>
                <w:rFonts w:cs="Arial"/>
                <w:snapToGrid w:val="0"/>
                <w:color w:val="000000"/>
                <w:szCs w:val="24"/>
              </w:rPr>
            </w:pPr>
            <w:r>
              <w:rPr>
                <w:rFonts w:cs="Arial"/>
                <w:snapToGrid w:val="0"/>
                <w:color w:val="000000"/>
                <w:szCs w:val="24"/>
              </w:rPr>
              <w:t>PMP</w:t>
            </w:r>
          </w:p>
        </w:tc>
        <w:tc>
          <w:tcPr>
            <w:tcW w:w="9180" w:type="dxa"/>
            <w:tcBorders>
              <w:top w:val="single" w:sz="6" w:space="0" w:color="auto"/>
              <w:left w:val="single" w:sz="6" w:space="0" w:color="auto"/>
              <w:bottom w:val="single" w:sz="6" w:space="0" w:color="auto"/>
              <w:right w:val="single" w:sz="6" w:space="0" w:color="auto"/>
            </w:tcBorders>
          </w:tcPr>
          <w:p w14:paraId="1E4C04B4" w14:textId="77777777" w:rsidR="001B4A2F" w:rsidRDefault="001B4A2F" w:rsidP="00AA05AE">
            <w:pPr>
              <w:tabs>
                <w:tab w:val="left" w:pos="3270"/>
              </w:tabs>
              <w:ind w:left="0"/>
              <w:rPr>
                <w:szCs w:val="24"/>
              </w:rPr>
            </w:pPr>
            <w:r>
              <w:t>Project Management Professional</w:t>
            </w:r>
          </w:p>
        </w:tc>
      </w:tr>
      <w:tr w:rsidR="001B4A2F" w:rsidRPr="008C2C58" w14:paraId="4D78F2D4"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439435DC"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PO</w:t>
            </w:r>
          </w:p>
        </w:tc>
        <w:tc>
          <w:tcPr>
            <w:tcW w:w="9180" w:type="dxa"/>
            <w:tcBorders>
              <w:top w:val="single" w:sz="6" w:space="0" w:color="auto"/>
              <w:left w:val="single" w:sz="6" w:space="0" w:color="auto"/>
              <w:bottom w:val="single" w:sz="6" w:space="0" w:color="auto"/>
              <w:right w:val="single" w:sz="6" w:space="0" w:color="auto"/>
            </w:tcBorders>
          </w:tcPr>
          <w:p w14:paraId="27E313BD"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Purchase Order</w:t>
            </w:r>
          </w:p>
        </w:tc>
      </w:tr>
      <w:tr w:rsidR="001B4A2F" w:rsidRPr="008C2C58" w14:paraId="654E04B1"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34089F8F" w14:textId="77777777" w:rsidR="001B4A2F" w:rsidRPr="00AC2EB0" w:rsidRDefault="001B4A2F" w:rsidP="00031367">
            <w:pPr>
              <w:ind w:left="0"/>
              <w:rPr>
                <w:rFonts w:cs="Arial"/>
                <w:snapToGrid w:val="0"/>
                <w:color w:val="000000"/>
                <w:szCs w:val="24"/>
              </w:rPr>
            </w:pPr>
            <w:r>
              <w:rPr>
                <w:rFonts w:cs="Arial"/>
                <w:snapToGrid w:val="0"/>
                <w:color w:val="000000"/>
                <w:szCs w:val="24"/>
              </w:rPr>
              <w:t>POA</w:t>
            </w:r>
          </w:p>
        </w:tc>
        <w:tc>
          <w:tcPr>
            <w:tcW w:w="9180" w:type="dxa"/>
            <w:tcBorders>
              <w:top w:val="single" w:sz="6" w:space="0" w:color="auto"/>
              <w:left w:val="single" w:sz="6" w:space="0" w:color="auto"/>
              <w:bottom w:val="single" w:sz="6" w:space="0" w:color="auto"/>
              <w:right w:val="single" w:sz="6" w:space="0" w:color="auto"/>
            </w:tcBorders>
          </w:tcPr>
          <w:p w14:paraId="49DE040B" w14:textId="77777777" w:rsidR="001B4A2F" w:rsidRPr="008C2C58" w:rsidRDefault="001B4A2F" w:rsidP="00031367">
            <w:pPr>
              <w:ind w:left="0"/>
              <w:rPr>
                <w:rFonts w:cs="Arial"/>
                <w:snapToGrid w:val="0"/>
                <w:color w:val="000000"/>
                <w:szCs w:val="24"/>
              </w:rPr>
            </w:pPr>
            <w:r>
              <w:rPr>
                <w:rFonts w:cs="Arial"/>
                <w:snapToGrid w:val="0"/>
                <w:color w:val="000000"/>
                <w:szCs w:val="24"/>
              </w:rPr>
              <w:t>Power of Attorney</w:t>
            </w:r>
          </w:p>
        </w:tc>
      </w:tr>
      <w:tr w:rsidR="001B4A2F" w14:paraId="1EA6AC8E" w14:textId="77777777" w:rsidTr="00AA05AE">
        <w:trPr>
          <w:trHeight w:val="226"/>
        </w:trPr>
        <w:tc>
          <w:tcPr>
            <w:tcW w:w="1620" w:type="dxa"/>
            <w:tcBorders>
              <w:top w:val="single" w:sz="6" w:space="0" w:color="auto"/>
              <w:left w:val="single" w:sz="6" w:space="0" w:color="auto"/>
              <w:bottom w:val="single" w:sz="6" w:space="0" w:color="auto"/>
              <w:right w:val="single" w:sz="6" w:space="0" w:color="auto"/>
            </w:tcBorders>
          </w:tcPr>
          <w:p w14:paraId="7D16ED50" w14:textId="77777777" w:rsidR="001B4A2F" w:rsidRPr="00AC2EB0" w:rsidRDefault="001B4A2F" w:rsidP="00AA05AE">
            <w:pPr>
              <w:ind w:left="0"/>
              <w:rPr>
                <w:rFonts w:cs="Arial"/>
                <w:snapToGrid w:val="0"/>
                <w:color w:val="000000"/>
                <w:szCs w:val="24"/>
              </w:rPr>
            </w:pPr>
            <w:r>
              <w:rPr>
                <w:rFonts w:cs="Arial"/>
                <w:snapToGrid w:val="0"/>
                <w:color w:val="000000"/>
                <w:szCs w:val="24"/>
              </w:rPr>
              <w:t>POC</w:t>
            </w:r>
          </w:p>
        </w:tc>
        <w:tc>
          <w:tcPr>
            <w:tcW w:w="9180" w:type="dxa"/>
            <w:tcBorders>
              <w:top w:val="single" w:sz="6" w:space="0" w:color="auto"/>
              <w:left w:val="single" w:sz="6" w:space="0" w:color="auto"/>
              <w:bottom w:val="single" w:sz="6" w:space="0" w:color="auto"/>
              <w:right w:val="single" w:sz="6" w:space="0" w:color="auto"/>
            </w:tcBorders>
          </w:tcPr>
          <w:p w14:paraId="739B0F4B" w14:textId="77777777" w:rsidR="001B4A2F" w:rsidRDefault="001B4A2F" w:rsidP="00AA05AE">
            <w:pPr>
              <w:tabs>
                <w:tab w:val="left" w:pos="3270"/>
              </w:tabs>
              <w:ind w:left="0"/>
              <w:rPr>
                <w:szCs w:val="24"/>
              </w:rPr>
            </w:pPr>
            <w:r>
              <w:rPr>
                <w:szCs w:val="24"/>
              </w:rPr>
              <w:t>Proof of Claim</w:t>
            </w:r>
          </w:p>
        </w:tc>
      </w:tr>
      <w:tr w:rsidR="001B4A2F" w14:paraId="3ED7A558" w14:textId="77777777" w:rsidTr="00AA05AE">
        <w:trPr>
          <w:trHeight w:val="226"/>
        </w:trPr>
        <w:tc>
          <w:tcPr>
            <w:tcW w:w="1620" w:type="dxa"/>
            <w:tcBorders>
              <w:top w:val="single" w:sz="6" w:space="0" w:color="auto"/>
              <w:left w:val="single" w:sz="6" w:space="0" w:color="auto"/>
              <w:bottom w:val="single" w:sz="6" w:space="0" w:color="auto"/>
              <w:right w:val="single" w:sz="6" w:space="0" w:color="auto"/>
            </w:tcBorders>
          </w:tcPr>
          <w:p w14:paraId="7B36843F" w14:textId="77777777" w:rsidR="001B4A2F" w:rsidRPr="00AC2EB0" w:rsidRDefault="001B4A2F" w:rsidP="00AA05AE">
            <w:pPr>
              <w:ind w:left="0"/>
              <w:rPr>
                <w:rFonts w:cs="Arial"/>
                <w:snapToGrid w:val="0"/>
                <w:color w:val="000000"/>
                <w:szCs w:val="24"/>
              </w:rPr>
            </w:pPr>
            <w:r>
              <w:rPr>
                <w:rFonts w:cs="Arial"/>
                <w:snapToGrid w:val="0"/>
                <w:color w:val="000000"/>
                <w:szCs w:val="24"/>
              </w:rPr>
              <w:t>QA</w:t>
            </w:r>
          </w:p>
        </w:tc>
        <w:tc>
          <w:tcPr>
            <w:tcW w:w="9180" w:type="dxa"/>
            <w:tcBorders>
              <w:top w:val="single" w:sz="6" w:space="0" w:color="auto"/>
              <w:left w:val="single" w:sz="6" w:space="0" w:color="auto"/>
              <w:bottom w:val="single" w:sz="6" w:space="0" w:color="auto"/>
              <w:right w:val="single" w:sz="6" w:space="0" w:color="auto"/>
            </w:tcBorders>
          </w:tcPr>
          <w:p w14:paraId="757C5BB8" w14:textId="77777777" w:rsidR="001B4A2F" w:rsidRDefault="001B4A2F" w:rsidP="00AA05AE">
            <w:pPr>
              <w:tabs>
                <w:tab w:val="left" w:pos="3270"/>
              </w:tabs>
              <w:ind w:left="0"/>
              <w:rPr>
                <w:szCs w:val="24"/>
              </w:rPr>
            </w:pPr>
            <w:r>
              <w:rPr>
                <w:szCs w:val="24"/>
              </w:rPr>
              <w:t>Quality Assurance</w:t>
            </w:r>
          </w:p>
        </w:tc>
      </w:tr>
      <w:tr w:rsidR="001B4A2F" w14:paraId="2644F8CC" w14:textId="77777777" w:rsidTr="00AA05AE">
        <w:trPr>
          <w:trHeight w:val="226"/>
        </w:trPr>
        <w:tc>
          <w:tcPr>
            <w:tcW w:w="1620" w:type="dxa"/>
            <w:tcBorders>
              <w:top w:val="single" w:sz="6" w:space="0" w:color="auto"/>
              <w:left w:val="single" w:sz="6" w:space="0" w:color="auto"/>
              <w:bottom w:val="single" w:sz="6" w:space="0" w:color="auto"/>
              <w:right w:val="single" w:sz="6" w:space="0" w:color="auto"/>
            </w:tcBorders>
          </w:tcPr>
          <w:p w14:paraId="71EEF26A" w14:textId="77777777" w:rsidR="001B4A2F" w:rsidRPr="00AC2EB0" w:rsidRDefault="001B4A2F" w:rsidP="00AA05AE">
            <w:pPr>
              <w:ind w:left="0"/>
              <w:rPr>
                <w:rFonts w:cs="Arial"/>
                <w:snapToGrid w:val="0"/>
                <w:color w:val="000000"/>
                <w:szCs w:val="24"/>
              </w:rPr>
            </w:pPr>
            <w:r>
              <w:rPr>
                <w:rFonts w:cs="Arial"/>
                <w:snapToGrid w:val="0"/>
                <w:color w:val="000000"/>
                <w:szCs w:val="24"/>
              </w:rPr>
              <w:t>QCEW</w:t>
            </w:r>
          </w:p>
        </w:tc>
        <w:tc>
          <w:tcPr>
            <w:tcW w:w="9180" w:type="dxa"/>
            <w:tcBorders>
              <w:top w:val="single" w:sz="6" w:space="0" w:color="auto"/>
              <w:left w:val="single" w:sz="6" w:space="0" w:color="auto"/>
              <w:bottom w:val="single" w:sz="6" w:space="0" w:color="auto"/>
              <w:right w:val="single" w:sz="6" w:space="0" w:color="auto"/>
            </w:tcBorders>
          </w:tcPr>
          <w:p w14:paraId="76D6B75A" w14:textId="77777777" w:rsidR="001B4A2F" w:rsidRDefault="001B4A2F" w:rsidP="00AA05AE">
            <w:pPr>
              <w:tabs>
                <w:tab w:val="left" w:pos="3270"/>
              </w:tabs>
              <w:ind w:left="0"/>
              <w:rPr>
                <w:szCs w:val="24"/>
              </w:rPr>
            </w:pPr>
            <w:r w:rsidRPr="008365BB">
              <w:rPr>
                <w:szCs w:val="24"/>
              </w:rPr>
              <w:t>Quarterly Census of Employment and Wages</w:t>
            </w:r>
          </w:p>
        </w:tc>
      </w:tr>
      <w:tr w:rsidR="001B4A2F" w:rsidRPr="008C2C58" w14:paraId="279DEF6B"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3F0982C0" w14:textId="77777777" w:rsidR="001B4A2F" w:rsidRPr="00AC2EB0" w:rsidRDefault="001B4A2F" w:rsidP="00031367">
            <w:pPr>
              <w:ind w:left="0"/>
              <w:rPr>
                <w:rFonts w:cs="Arial"/>
                <w:snapToGrid w:val="0"/>
                <w:color w:val="000000"/>
                <w:szCs w:val="24"/>
              </w:rPr>
            </w:pPr>
            <w:r>
              <w:rPr>
                <w:rFonts w:cs="Arial"/>
                <w:snapToGrid w:val="0"/>
                <w:color w:val="000000"/>
                <w:szCs w:val="24"/>
              </w:rPr>
              <w:t>QSAM</w:t>
            </w:r>
          </w:p>
        </w:tc>
        <w:tc>
          <w:tcPr>
            <w:tcW w:w="9180" w:type="dxa"/>
            <w:tcBorders>
              <w:top w:val="single" w:sz="6" w:space="0" w:color="auto"/>
              <w:left w:val="single" w:sz="6" w:space="0" w:color="auto"/>
              <w:bottom w:val="single" w:sz="6" w:space="0" w:color="auto"/>
              <w:right w:val="single" w:sz="6" w:space="0" w:color="auto"/>
            </w:tcBorders>
          </w:tcPr>
          <w:p w14:paraId="6AE9D504" w14:textId="77777777" w:rsidR="001B4A2F" w:rsidRDefault="001B4A2F" w:rsidP="00031367">
            <w:pPr>
              <w:tabs>
                <w:tab w:val="left" w:pos="3270"/>
              </w:tabs>
              <w:ind w:left="0"/>
              <w:rPr>
                <w:szCs w:val="24"/>
              </w:rPr>
            </w:pPr>
            <w:r>
              <w:rPr>
                <w:szCs w:val="24"/>
              </w:rPr>
              <w:t>Queued Sequential Access Method</w:t>
            </w:r>
          </w:p>
        </w:tc>
      </w:tr>
      <w:tr w:rsidR="001B4A2F" w:rsidRPr="008C2C58" w14:paraId="001DCC5C"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70F6A42D"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RA</w:t>
            </w:r>
          </w:p>
        </w:tc>
        <w:tc>
          <w:tcPr>
            <w:tcW w:w="9180" w:type="dxa"/>
            <w:tcBorders>
              <w:top w:val="single" w:sz="6" w:space="0" w:color="auto"/>
              <w:left w:val="single" w:sz="6" w:space="0" w:color="auto"/>
              <w:bottom w:val="single" w:sz="6" w:space="0" w:color="auto"/>
              <w:right w:val="single" w:sz="6" w:space="0" w:color="auto"/>
            </w:tcBorders>
          </w:tcPr>
          <w:p w14:paraId="4105370D" w14:textId="77777777" w:rsidR="001B4A2F" w:rsidRDefault="001B4A2F" w:rsidP="00031367">
            <w:pPr>
              <w:tabs>
                <w:tab w:val="left" w:pos="3270"/>
              </w:tabs>
              <w:ind w:left="0"/>
              <w:rPr>
                <w:szCs w:val="24"/>
              </w:rPr>
            </w:pPr>
            <w:r>
              <w:rPr>
                <w:szCs w:val="24"/>
              </w:rPr>
              <w:t>Reviewing Attorney</w:t>
            </w:r>
          </w:p>
        </w:tc>
      </w:tr>
      <w:tr w:rsidR="001B4A2F" w:rsidRPr="008C2C58" w14:paraId="296EBCC2"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1235A8B6" w14:textId="77777777" w:rsidR="001B4A2F" w:rsidRDefault="001B4A2F" w:rsidP="00031367">
            <w:pPr>
              <w:ind w:left="0"/>
              <w:rPr>
                <w:rFonts w:cs="Arial"/>
                <w:snapToGrid w:val="0"/>
                <w:color w:val="000000"/>
                <w:szCs w:val="24"/>
              </w:rPr>
            </w:pPr>
            <w:r>
              <w:rPr>
                <w:rFonts w:cs="Arial"/>
                <w:snapToGrid w:val="0"/>
                <w:color w:val="000000"/>
                <w:szCs w:val="24"/>
              </w:rPr>
              <w:t>RACM</w:t>
            </w:r>
          </w:p>
        </w:tc>
        <w:tc>
          <w:tcPr>
            <w:tcW w:w="9180" w:type="dxa"/>
            <w:tcBorders>
              <w:top w:val="single" w:sz="6" w:space="0" w:color="auto"/>
              <w:left w:val="single" w:sz="6" w:space="0" w:color="auto"/>
              <w:bottom w:val="single" w:sz="6" w:space="0" w:color="auto"/>
              <w:right w:val="single" w:sz="6" w:space="0" w:color="auto"/>
            </w:tcBorders>
          </w:tcPr>
          <w:p w14:paraId="2F9605F1" w14:textId="77777777" w:rsidR="001B4A2F" w:rsidRDefault="001B4A2F" w:rsidP="00031367">
            <w:pPr>
              <w:tabs>
                <w:tab w:val="left" w:pos="3270"/>
              </w:tabs>
              <w:ind w:left="0"/>
              <w:rPr>
                <w:szCs w:val="24"/>
              </w:rPr>
            </w:pPr>
            <w:r w:rsidRPr="00356942">
              <w:rPr>
                <w:rFonts w:cs="Calibri"/>
                <w:szCs w:val="24"/>
              </w:rPr>
              <w:t>Reviewing Attorney Case Management</w:t>
            </w:r>
          </w:p>
        </w:tc>
      </w:tr>
      <w:tr w:rsidR="001B4A2F" w:rsidRPr="008C2C58" w14:paraId="07DB3C8D"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184C3219" w14:textId="77777777" w:rsidR="001B4A2F" w:rsidRPr="00AC2EB0" w:rsidRDefault="001B4A2F" w:rsidP="00031367">
            <w:pPr>
              <w:ind w:left="0"/>
              <w:rPr>
                <w:rFonts w:cs="Arial"/>
                <w:snapToGrid w:val="0"/>
                <w:color w:val="000000"/>
                <w:szCs w:val="24"/>
              </w:rPr>
            </w:pPr>
            <w:r>
              <w:rPr>
                <w:rFonts w:cs="Arial"/>
                <w:snapToGrid w:val="0"/>
                <w:color w:val="000000"/>
                <w:szCs w:val="24"/>
              </w:rPr>
              <w:t>RAM</w:t>
            </w:r>
          </w:p>
        </w:tc>
        <w:tc>
          <w:tcPr>
            <w:tcW w:w="9180" w:type="dxa"/>
            <w:tcBorders>
              <w:top w:val="single" w:sz="6" w:space="0" w:color="auto"/>
              <w:left w:val="single" w:sz="6" w:space="0" w:color="auto"/>
              <w:bottom w:val="single" w:sz="6" w:space="0" w:color="auto"/>
              <w:right w:val="single" w:sz="6" w:space="0" w:color="auto"/>
            </w:tcBorders>
          </w:tcPr>
          <w:p w14:paraId="3E2AB7D5" w14:textId="77777777" w:rsidR="001B4A2F" w:rsidRPr="008C2C58" w:rsidRDefault="001B4A2F" w:rsidP="00031367">
            <w:pPr>
              <w:ind w:left="0"/>
              <w:rPr>
                <w:rFonts w:cs="Arial"/>
                <w:snapToGrid w:val="0"/>
                <w:color w:val="000000"/>
                <w:szCs w:val="24"/>
              </w:rPr>
            </w:pPr>
            <w:r>
              <w:rPr>
                <w:rFonts w:cs="Arial"/>
                <w:snapToGrid w:val="0"/>
                <w:color w:val="000000"/>
                <w:szCs w:val="24"/>
              </w:rPr>
              <w:t>Random Access Memory</w:t>
            </w:r>
          </w:p>
        </w:tc>
      </w:tr>
      <w:tr w:rsidR="001B4A2F" w:rsidRPr="008C2C58" w14:paraId="342DE2C3"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00AE9C5B" w14:textId="77777777" w:rsidR="001B4A2F" w:rsidRPr="00AC2EB0" w:rsidRDefault="001B4A2F" w:rsidP="00031367">
            <w:pPr>
              <w:ind w:left="0"/>
              <w:rPr>
                <w:rFonts w:cs="Arial"/>
                <w:snapToGrid w:val="0"/>
                <w:color w:val="000000"/>
                <w:szCs w:val="24"/>
              </w:rPr>
            </w:pPr>
            <w:r>
              <w:rPr>
                <w:rFonts w:cs="Arial"/>
                <w:snapToGrid w:val="0"/>
                <w:color w:val="000000"/>
                <w:szCs w:val="24"/>
              </w:rPr>
              <w:t>RAR</w:t>
            </w:r>
          </w:p>
        </w:tc>
        <w:tc>
          <w:tcPr>
            <w:tcW w:w="9180" w:type="dxa"/>
            <w:tcBorders>
              <w:top w:val="single" w:sz="6" w:space="0" w:color="auto"/>
              <w:left w:val="single" w:sz="6" w:space="0" w:color="auto"/>
              <w:bottom w:val="single" w:sz="6" w:space="0" w:color="auto"/>
              <w:right w:val="single" w:sz="6" w:space="0" w:color="auto"/>
            </w:tcBorders>
          </w:tcPr>
          <w:p w14:paraId="45B10C33" w14:textId="77777777" w:rsidR="001B4A2F" w:rsidRDefault="001B4A2F" w:rsidP="00031367">
            <w:pPr>
              <w:tabs>
                <w:tab w:val="left" w:pos="3270"/>
              </w:tabs>
              <w:ind w:left="0"/>
              <w:rPr>
                <w:szCs w:val="24"/>
              </w:rPr>
            </w:pPr>
            <w:r>
              <w:rPr>
                <w:szCs w:val="24"/>
              </w:rPr>
              <w:t>Readiness Assessment Report (for FedRAMP)</w:t>
            </w:r>
          </w:p>
        </w:tc>
      </w:tr>
      <w:tr w:rsidR="001B4A2F" w:rsidRPr="008C2C58" w14:paraId="6A9E4F6A"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5F6116CC"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RESEA</w:t>
            </w:r>
          </w:p>
        </w:tc>
        <w:tc>
          <w:tcPr>
            <w:tcW w:w="9180" w:type="dxa"/>
            <w:tcBorders>
              <w:top w:val="single" w:sz="6" w:space="0" w:color="auto"/>
              <w:left w:val="single" w:sz="6" w:space="0" w:color="auto"/>
              <w:bottom w:val="single" w:sz="6" w:space="0" w:color="auto"/>
              <w:right w:val="single" w:sz="6" w:space="0" w:color="auto"/>
            </w:tcBorders>
          </w:tcPr>
          <w:p w14:paraId="2AB486A6"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Reemployment Services and Eligibility Assessments (DOL program focusing on reemployment of UI Claimants)</w:t>
            </w:r>
          </w:p>
        </w:tc>
      </w:tr>
      <w:tr w:rsidR="001B4A2F" w:rsidRPr="008C2C58" w14:paraId="7EC1C968" w14:textId="77777777" w:rsidTr="00482456">
        <w:tblPrEx>
          <w:tblLook w:val="04A0" w:firstRow="1" w:lastRow="0" w:firstColumn="1" w:lastColumn="0" w:noHBand="0" w:noVBand="1"/>
        </w:tblPrEx>
        <w:trPr>
          <w:trHeight w:val="226"/>
        </w:trPr>
        <w:tc>
          <w:tcPr>
            <w:tcW w:w="1620" w:type="dxa"/>
            <w:tcBorders>
              <w:top w:val="single" w:sz="6" w:space="0" w:color="auto"/>
              <w:left w:val="single" w:sz="6" w:space="0" w:color="auto"/>
              <w:bottom w:val="single" w:sz="6" w:space="0" w:color="auto"/>
              <w:right w:val="single" w:sz="6" w:space="0" w:color="auto"/>
            </w:tcBorders>
            <w:hideMark/>
          </w:tcPr>
          <w:p w14:paraId="56598FCA"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REST</w:t>
            </w:r>
          </w:p>
        </w:tc>
        <w:tc>
          <w:tcPr>
            <w:tcW w:w="9180" w:type="dxa"/>
            <w:tcBorders>
              <w:top w:val="single" w:sz="6" w:space="0" w:color="auto"/>
              <w:left w:val="single" w:sz="6" w:space="0" w:color="auto"/>
              <w:bottom w:val="single" w:sz="6" w:space="0" w:color="auto"/>
              <w:right w:val="single" w:sz="6" w:space="0" w:color="auto"/>
            </w:tcBorders>
            <w:hideMark/>
          </w:tcPr>
          <w:p w14:paraId="44EE2301"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Representational State Transfer</w:t>
            </w:r>
          </w:p>
        </w:tc>
      </w:tr>
      <w:tr w:rsidR="001B4A2F" w:rsidRPr="008C2C58" w14:paraId="386570D6" w14:textId="77777777" w:rsidTr="00482456">
        <w:tblPrEx>
          <w:tblLook w:val="04A0" w:firstRow="1" w:lastRow="0" w:firstColumn="1" w:lastColumn="0" w:noHBand="0" w:noVBand="1"/>
        </w:tblPrEx>
        <w:trPr>
          <w:trHeight w:val="226"/>
        </w:trPr>
        <w:tc>
          <w:tcPr>
            <w:tcW w:w="1620" w:type="dxa"/>
            <w:tcBorders>
              <w:top w:val="single" w:sz="6" w:space="0" w:color="auto"/>
              <w:left w:val="single" w:sz="6" w:space="0" w:color="auto"/>
              <w:bottom w:val="single" w:sz="6" w:space="0" w:color="auto"/>
              <w:right w:val="single" w:sz="6" w:space="0" w:color="auto"/>
            </w:tcBorders>
          </w:tcPr>
          <w:p w14:paraId="6B589822"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RFO</w:t>
            </w:r>
          </w:p>
        </w:tc>
        <w:tc>
          <w:tcPr>
            <w:tcW w:w="9180" w:type="dxa"/>
            <w:tcBorders>
              <w:top w:val="single" w:sz="6" w:space="0" w:color="auto"/>
              <w:left w:val="single" w:sz="6" w:space="0" w:color="auto"/>
              <w:bottom w:val="single" w:sz="6" w:space="0" w:color="auto"/>
              <w:right w:val="single" w:sz="6" w:space="0" w:color="auto"/>
            </w:tcBorders>
          </w:tcPr>
          <w:p w14:paraId="40D14C35"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Request for Offers</w:t>
            </w:r>
          </w:p>
        </w:tc>
      </w:tr>
      <w:tr w:rsidR="001B4A2F" w14:paraId="6E3BB96D" w14:textId="77777777" w:rsidTr="00AA05AE">
        <w:tblPrEx>
          <w:tblLook w:val="04A0" w:firstRow="1" w:lastRow="0" w:firstColumn="1" w:lastColumn="0" w:noHBand="0" w:noVBand="1"/>
        </w:tblPrEx>
        <w:trPr>
          <w:trHeight w:val="226"/>
        </w:trPr>
        <w:tc>
          <w:tcPr>
            <w:tcW w:w="1620" w:type="dxa"/>
            <w:tcBorders>
              <w:top w:val="single" w:sz="6" w:space="0" w:color="auto"/>
              <w:left w:val="single" w:sz="6" w:space="0" w:color="auto"/>
              <w:bottom w:val="single" w:sz="6" w:space="0" w:color="auto"/>
              <w:right w:val="single" w:sz="6" w:space="0" w:color="auto"/>
            </w:tcBorders>
          </w:tcPr>
          <w:p w14:paraId="26A68495" w14:textId="77777777" w:rsidR="001B4A2F" w:rsidRDefault="001B4A2F" w:rsidP="00AA05AE">
            <w:pPr>
              <w:ind w:left="0"/>
              <w:rPr>
                <w:rFonts w:cs="Arial"/>
                <w:snapToGrid w:val="0"/>
                <w:color w:val="000000"/>
                <w:szCs w:val="24"/>
              </w:rPr>
            </w:pPr>
            <w:r>
              <w:rPr>
                <w:rFonts w:cs="Arial"/>
                <w:snapToGrid w:val="0"/>
                <w:color w:val="000000"/>
                <w:szCs w:val="24"/>
              </w:rPr>
              <w:t>RID</w:t>
            </w:r>
          </w:p>
        </w:tc>
        <w:tc>
          <w:tcPr>
            <w:tcW w:w="9180" w:type="dxa"/>
            <w:tcBorders>
              <w:top w:val="single" w:sz="6" w:space="0" w:color="auto"/>
              <w:left w:val="single" w:sz="6" w:space="0" w:color="auto"/>
              <w:bottom w:val="single" w:sz="6" w:space="0" w:color="auto"/>
              <w:right w:val="single" w:sz="6" w:space="0" w:color="auto"/>
            </w:tcBorders>
          </w:tcPr>
          <w:p w14:paraId="5D38FC81" w14:textId="77777777" w:rsidR="001B4A2F" w:rsidRDefault="001B4A2F" w:rsidP="00AA05AE">
            <w:pPr>
              <w:ind w:left="0"/>
            </w:pPr>
            <w:r>
              <w:t>Regulatory Integrity Division (TWC)</w:t>
            </w:r>
          </w:p>
        </w:tc>
      </w:tr>
      <w:tr w:rsidR="001B4A2F" w14:paraId="41820D8A" w14:textId="77777777" w:rsidTr="00AA05AE">
        <w:tblPrEx>
          <w:tblLook w:val="04A0" w:firstRow="1" w:lastRow="0" w:firstColumn="1" w:lastColumn="0" w:noHBand="0" w:noVBand="1"/>
        </w:tblPrEx>
        <w:trPr>
          <w:trHeight w:val="226"/>
        </w:trPr>
        <w:tc>
          <w:tcPr>
            <w:tcW w:w="1620" w:type="dxa"/>
            <w:tcBorders>
              <w:top w:val="single" w:sz="6" w:space="0" w:color="auto"/>
              <w:left w:val="single" w:sz="6" w:space="0" w:color="auto"/>
              <w:bottom w:val="single" w:sz="6" w:space="0" w:color="auto"/>
              <w:right w:val="single" w:sz="6" w:space="0" w:color="auto"/>
            </w:tcBorders>
          </w:tcPr>
          <w:p w14:paraId="04457F44" w14:textId="77777777" w:rsidR="001B4A2F" w:rsidRDefault="001B4A2F" w:rsidP="00AA05AE">
            <w:pPr>
              <w:ind w:left="0"/>
              <w:rPr>
                <w:rFonts w:cs="Arial"/>
                <w:snapToGrid w:val="0"/>
                <w:color w:val="000000"/>
                <w:szCs w:val="24"/>
              </w:rPr>
            </w:pPr>
            <w:r>
              <w:rPr>
                <w:rFonts w:cs="Arial"/>
                <w:snapToGrid w:val="0"/>
                <w:color w:val="000000"/>
                <w:szCs w:val="24"/>
              </w:rPr>
              <w:t>RMC</w:t>
            </w:r>
          </w:p>
        </w:tc>
        <w:tc>
          <w:tcPr>
            <w:tcW w:w="9180" w:type="dxa"/>
            <w:tcBorders>
              <w:top w:val="single" w:sz="6" w:space="0" w:color="auto"/>
              <w:left w:val="single" w:sz="6" w:space="0" w:color="auto"/>
              <w:bottom w:val="single" w:sz="6" w:space="0" w:color="auto"/>
              <w:right w:val="single" w:sz="6" w:space="0" w:color="auto"/>
            </w:tcBorders>
          </w:tcPr>
          <w:p w14:paraId="79300022" w14:textId="77777777" w:rsidR="001B4A2F" w:rsidRDefault="001B4A2F" w:rsidP="00AA05AE">
            <w:pPr>
              <w:ind w:left="0"/>
            </w:pPr>
            <w:r>
              <w:t>Records Management Center (TWC)</w:t>
            </w:r>
          </w:p>
        </w:tc>
      </w:tr>
      <w:tr w:rsidR="001B4A2F" w:rsidRPr="008C2C58" w14:paraId="411E9891" w14:textId="77777777" w:rsidTr="00482456">
        <w:tblPrEx>
          <w:tblLook w:val="04A0" w:firstRow="1" w:lastRow="0" w:firstColumn="1" w:lastColumn="0" w:noHBand="0" w:noVBand="1"/>
        </w:tblPrEx>
        <w:trPr>
          <w:trHeight w:val="226"/>
        </w:trPr>
        <w:tc>
          <w:tcPr>
            <w:tcW w:w="1620" w:type="dxa"/>
            <w:tcBorders>
              <w:top w:val="single" w:sz="6" w:space="0" w:color="auto"/>
              <w:left w:val="single" w:sz="6" w:space="0" w:color="auto"/>
              <w:bottom w:val="single" w:sz="6" w:space="0" w:color="auto"/>
              <w:right w:val="single" w:sz="6" w:space="0" w:color="auto"/>
            </w:tcBorders>
          </w:tcPr>
          <w:p w14:paraId="354E4445" w14:textId="77777777" w:rsidR="001B4A2F" w:rsidRPr="00AC2EB0" w:rsidRDefault="001B4A2F" w:rsidP="00031367">
            <w:pPr>
              <w:ind w:left="0"/>
              <w:rPr>
                <w:rFonts w:cs="Arial"/>
                <w:snapToGrid w:val="0"/>
                <w:color w:val="000000"/>
                <w:szCs w:val="24"/>
              </w:rPr>
            </w:pPr>
            <w:r>
              <w:rPr>
                <w:rFonts w:cs="Arial"/>
                <w:snapToGrid w:val="0"/>
                <w:color w:val="000000"/>
                <w:szCs w:val="24"/>
              </w:rPr>
              <w:t>RREM</w:t>
            </w:r>
          </w:p>
        </w:tc>
        <w:tc>
          <w:tcPr>
            <w:tcW w:w="9180" w:type="dxa"/>
            <w:tcBorders>
              <w:top w:val="single" w:sz="6" w:space="0" w:color="auto"/>
              <w:left w:val="single" w:sz="6" w:space="0" w:color="auto"/>
              <w:bottom w:val="single" w:sz="6" w:space="0" w:color="auto"/>
              <w:right w:val="single" w:sz="6" w:space="0" w:color="auto"/>
            </w:tcBorders>
          </w:tcPr>
          <w:p w14:paraId="169DDC71" w14:textId="77777777" w:rsidR="001B4A2F" w:rsidRPr="008C2C58" w:rsidRDefault="001B4A2F" w:rsidP="00031367">
            <w:pPr>
              <w:ind w:left="0"/>
              <w:rPr>
                <w:rFonts w:cs="Arial"/>
                <w:snapToGrid w:val="0"/>
                <w:color w:val="000000"/>
                <w:szCs w:val="24"/>
              </w:rPr>
            </w:pPr>
            <w:r>
              <w:t>Rapid Reemployment Model</w:t>
            </w:r>
          </w:p>
        </w:tc>
      </w:tr>
      <w:tr w:rsidR="001B4A2F" w:rsidRPr="008C2C58" w14:paraId="02567769" w14:textId="77777777" w:rsidTr="00AA05AE">
        <w:trPr>
          <w:trHeight w:val="226"/>
        </w:trPr>
        <w:tc>
          <w:tcPr>
            <w:tcW w:w="1620" w:type="dxa"/>
            <w:tcBorders>
              <w:top w:val="single" w:sz="6" w:space="0" w:color="auto"/>
              <w:left w:val="single" w:sz="6" w:space="0" w:color="auto"/>
              <w:bottom w:val="single" w:sz="6" w:space="0" w:color="auto"/>
              <w:right w:val="single" w:sz="6" w:space="0" w:color="auto"/>
            </w:tcBorders>
          </w:tcPr>
          <w:p w14:paraId="4DCFD162" w14:textId="77777777" w:rsidR="001B4A2F" w:rsidRPr="00AC2EB0" w:rsidRDefault="001B4A2F" w:rsidP="00AA05AE">
            <w:pPr>
              <w:ind w:left="0"/>
              <w:rPr>
                <w:rFonts w:cs="Arial"/>
                <w:snapToGrid w:val="0"/>
                <w:color w:val="000000"/>
                <w:szCs w:val="24"/>
              </w:rPr>
            </w:pPr>
            <w:r>
              <w:rPr>
                <w:rFonts w:cs="Arial"/>
                <w:snapToGrid w:val="0"/>
                <w:color w:val="000000"/>
                <w:szCs w:val="24"/>
              </w:rPr>
              <w:t>RTAA</w:t>
            </w:r>
          </w:p>
        </w:tc>
        <w:tc>
          <w:tcPr>
            <w:tcW w:w="9180" w:type="dxa"/>
            <w:tcBorders>
              <w:top w:val="single" w:sz="6" w:space="0" w:color="auto"/>
              <w:left w:val="single" w:sz="6" w:space="0" w:color="auto"/>
              <w:bottom w:val="single" w:sz="6" w:space="0" w:color="auto"/>
              <w:right w:val="single" w:sz="6" w:space="0" w:color="auto"/>
            </w:tcBorders>
          </w:tcPr>
          <w:p w14:paraId="38A08D38" w14:textId="77777777" w:rsidR="001B4A2F" w:rsidRDefault="001B4A2F" w:rsidP="00AA05AE">
            <w:pPr>
              <w:tabs>
                <w:tab w:val="left" w:pos="3270"/>
              </w:tabs>
              <w:ind w:left="0"/>
            </w:pPr>
            <w:r w:rsidRPr="00877BE0">
              <w:t>Reemployment Trade Adjustment Assistance</w:t>
            </w:r>
          </w:p>
        </w:tc>
      </w:tr>
      <w:tr w:rsidR="001B4A2F" w:rsidRPr="008C2C58" w14:paraId="689C4F21"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4A2FB75C"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RTM</w:t>
            </w:r>
          </w:p>
        </w:tc>
        <w:tc>
          <w:tcPr>
            <w:tcW w:w="9180" w:type="dxa"/>
            <w:tcBorders>
              <w:top w:val="single" w:sz="6" w:space="0" w:color="auto"/>
              <w:left w:val="single" w:sz="6" w:space="0" w:color="auto"/>
              <w:bottom w:val="single" w:sz="6" w:space="0" w:color="auto"/>
              <w:right w:val="single" w:sz="6" w:space="0" w:color="auto"/>
            </w:tcBorders>
          </w:tcPr>
          <w:p w14:paraId="239A1174" w14:textId="77777777" w:rsidR="001B4A2F" w:rsidRDefault="001B4A2F" w:rsidP="00031367">
            <w:pPr>
              <w:tabs>
                <w:tab w:val="left" w:pos="3270"/>
              </w:tabs>
              <w:ind w:left="0"/>
            </w:pPr>
            <w:r>
              <w:t>Revenue and Trust Management</w:t>
            </w:r>
          </w:p>
        </w:tc>
      </w:tr>
      <w:tr w:rsidR="001B4A2F" w:rsidRPr="008C2C58" w14:paraId="6C484A8C"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4F948379" w14:textId="77777777" w:rsidR="001B4A2F" w:rsidRPr="00AC2EB0" w:rsidRDefault="001B4A2F" w:rsidP="00031367">
            <w:pPr>
              <w:ind w:left="0"/>
              <w:rPr>
                <w:rFonts w:cs="Arial"/>
                <w:snapToGrid w:val="0"/>
                <w:color w:val="000000"/>
                <w:szCs w:val="24"/>
              </w:rPr>
            </w:pPr>
            <w:r>
              <w:rPr>
                <w:szCs w:val="24"/>
              </w:rPr>
              <w:t>S/S/H</w:t>
            </w:r>
          </w:p>
        </w:tc>
        <w:tc>
          <w:tcPr>
            <w:tcW w:w="9180" w:type="dxa"/>
            <w:tcBorders>
              <w:top w:val="single" w:sz="6" w:space="0" w:color="auto"/>
              <w:left w:val="single" w:sz="6" w:space="0" w:color="auto"/>
              <w:bottom w:val="single" w:sz="6" w:space="0" w:color="auto"/>
              <w:right w:val="single" w:sz="6" w:space="0" w:color="auto"/>
            </w:tcBorders>
          </w:tcPr>
          <w:p w14:paraId="0F8494AC" w14:textId="77777777" w:rsidR="001B4A2F" w:rsidRPr="008C2C58" w:rsidRDefault="001B4A2F" w:rsidP="00031367">
            <w:pPr>
              <w:ind w:left="0"/>
              <w:rPr>
                <w:rFonts w:cs="Arial"/>
                <w:snapToGrid w:val="0"/>
                <w:color w:val="000000"/>
                <w:szCs w:val="24"/>
              </w:rPr>
            </w:pPr>
            <w:r>
              <w:rPr>
                <w:szCs w:val="24"/>
              </w:rPr>
              <w:t>Saturdays/Sundays/Holidays when Agency is closed</w:t>
            </w:r>
          </w:p>
        </w:tc>
      </w:tr>
      <w:tr w:rsidR="001B4A2F" w:rsidRPr="008C2C58" w14:paraId="27DB0336" w14:textId="77777777" w:rsidTr="00AA05AE">
        <w:trPr>
          <w:trHeight w:val="226"/>
        </w:trPr>
        <w:tc>
          <w:tcPr>
            <w:tcW w:w="1620" w:type="dxa"/>
            <w:tcBorders>
              <w:top w:val="single" w:sz="6" w:space="0" w:color="auto"/>
              <w:left w:val="single" w:sz="6" w:space="0" w:color="auto"/>
              <w:bottom w:val="single" w:sz="6" w:space="0" w:color="auto"/>
              <w:right w:val="single" w:sz="6" w:space="0" w:color="auto"/>
            </w:tcBorders>
          </w:tcPr>
          <w:p w14:paraId="2C60C250" w14:textId="77777777" w:rsidR="001B4A2F" w:rsidRDefault="001B4A2F" w:rsidP="00AA05AE">
            <w:pPr>
              <w:ind w:left="0"/>
              <w:rPr>
                <w:rFonts w:cs="Arial"/>
                <w:snapToGrid w:val="0"/>
                <w:color w:val="000000"/>
                <w:szCs w:val="24"/>
              </w:rPr>
            </w:pPr>
            <w:r>
              <w:rPr>
                <w:rFonts w:cs="Arial"/>
                <w:snapToGrid w:val="0"/>
                <w:color w:val="000000"/>
                <w:szCs w:val="24"/>
              </w:rPr>
              <w:t>SaaS</w:t>
            </w:r>
          </w:p>
        </w:tc>
        <w:tc>
          <w:tcPr>
            <w:tcW w:w="9180" w:type="dxa"/>
            <w:tcBorders>
              <w:top w:val="single" w:sz="6" w:space="0" w:color="auto"/>
              <w:left w:val="single" w:sz="6" w:space="0" w:color="auto"/>
              <w:bottom w:val="single" w:sz="6" w:space="0" w:color="auto"/>
              <w:right w:val="single" w:sz="6" w:space="0" w:color="auto"/>
            </w:tcBorders>
          </w:tcPr>
          <w:p w14:paraId="170B4ECE" w14:textId="77777777" w:rsidR="001B4A2F" w:rsidRPr="00396CFE" w:rsidRDefault="001B4A2F" w:rsidP="00AA05AE">
            <w:pPr>
              <w:tabs>
                <w:tab w:val="left" w:pos="3270"/>
              </w:tabs>
              <w:ind w:left="0"/>
              <w:rPr>
                <w:szCs w:val="24"/>
              </w:rPr>
            </w:pPr>
            <w:r w:rsidRPr="003432AD">
              <w:t xml:space="preserve">Software as a Service (SaaS) is a software delivery model in which the state agency purchases use of the software solution by subscription rather than a license. The subscription cost covers installation, hosting, upgrades, growth, disaster recovery, and maintenance. The solution is </w:t>
            </w:r>
            <w:r w:rsidRPr="003432AD">
              <w:lastRenderedPageBreak/>
              <w:t>accessed by users using a thin client via a web browser, runs on infrastructure that may or may not be shared with other vendor customers, has no license or maintenance fee, and storage and compute is covered by the subscription or SaaS charge. The state agency does not manage, purchase, lease, or control the underlying cloud infrastructure including network, servers, operating systems, storage, or even individual application capabilities, except for limited user-specific application configuration settings.</w:t>
            </w:r>
          </w:p>
        </w:tc>
      </w:tr>
      <w:tr w:rsidR="001B4A2F" w:rsidRPr="008C2C58" w14:paraId="7CE6BDF4" w14:textId="77777777" w:rsidTr="00AA05AE">
        <w:trPr>
          <w:trHeight w:val="226"/>
        </w:trPr>
        <w:tc>
          <w:tcPr>
            <w:tcW w:w="1620" w:type="dxa"/>
            <w:tcBorders>
              <w:top w:val="single" w:sz="6" w:space="0" w:color="auto"/>
              <w:left w:val="single" w:sz="6" w:space="0" w:color="auto"/>
              <w:bottom w:val="single" w:sz="6" w:space="0" w:color="auto"/>
              <w:right w:val="single" w:sz="6" w:space="0" w:color="auto"/>
            </w:tcBorders>
          </w:tcPr>
          <w:p w14:paraId="1817084F" w14:textId="77777777" w:rsidR="001B4A2F" w:rsidRPr="00AC2EB0" w:rsidRDefault="001B4A2F" w:rsidP="00AA05AE">
            <w:pPr>
              <w:ind w:left="0"/>
              <w:rPr>
                <w:rFonts w:cs="Arial"/>
                <w:snapToGrid w:val="0"/>
                <w:color w:val="000000"/>
                <w:szCs w:val="24"/>
              </w:rPr>
            </w:pPr>
            <w:r>
              <w:rPr>
                <w:rFonts w:cs="Arial"/>
                <w:snapToGrid w:val="0"/>
                <w:color w:val="000000"/>
                <w:szCs w:val="24"/>
              </w:rPr>
              <w:lastRenderedPageBreak/>
              <w:t>SAVE</w:t>
            </w:r>
          </w:p>
        </w:tc>
        <w:tc>
          <w:tcPr>
            <w:tcW w:w="9180" w:type="dxa"/>
            <w:tcBorders>
              <w:top w:val="single" w:sz="6" w:space="0" w:color="auto"/>
              <w:left w:val="single" w:sz="6" w:space="0" w:color="auto"/>
              <w:bottom w:val="single" w:sz="6" w:space="0" w:color="auto"/>
              <w:right w:val="single" w:sz="6" w:space="0" w:color="auto"/>
            </w:tcBorders>
          </w:tcPr>
          <w:p w14:paraId="46A6826F" w14:textId="77777777" w:rsidR="001B4A2F" w:rsidRPr="00097662" w:rsidRDefault="001B4A2F" w:rsidP="00AA05AE">
            <w:pPr>
              <w:tabs>
                <w:tab w:val="left" w:pos="3270"/>
              </w:tabs>
              <w:ind w:left="0"/>
              <w:rPr>
                <w:szCs w:val="24"/>
              </w:rPr>
            </w:pPr>
            <w:r w:rsidRPr="00396CFE">
              <w:rPr>
                <w:szCs w:val="24"/>
              </w:rPr>
              <w:t>Systematic Alien Verification for Entitlements</w:t>
            </w:r>
            <w:r>
              <w:rPr>
                <w:szCs w:val="24"/>
              </w:rPr>
              <w:t xml:space="preserve"> Program administered by the U.S. </w:t>
            </w:r>
            <w:r>
              <w:rPr>
                <w:rFonts w:cs="Arial"/>
                <w:snapToGrid w:val="0"/>
                <w:color w:val="000000"/>
                <w:szCs w:val="24"/>
              </w:rPr>
              <w:t>Citizenship and Immigration Services, a component of the Department of Homeland Security</w:t>
            </w:r>
          </w:p>
        </w:tc>
      </w:tr>
      <w:tr w:rsidR="001B4A2F" w:rsidRPr="008C2C58" w14:paraId="78A3EF3F"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3B122D7B"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SCM</w:t>
            </w:r>
          </w:p>
        </w:tc>
        <w:tc>
          <w:tcPr>
            <w:tcW w:w="9180" w:type="dxa"/>
            <w:tcBorders>
              <w:top w:val="single" w:sz="6" w:space="0" w:color="auto"/>
              <w:left w:val="single" w:sz="6" w:space="0" w:color="auto"/>
              <w:bottom w:val="single" w:sz="6" w:space="0" w:color="auto"/>
              <w:right w:val="single" w:sz="6" w:space="0" w:color="auto"/>
            </w:tcBorders>
          </w:tcPr>
          <w:p w14:paraId="43679AA1" w14:textId="77777777" w:rsidR="001B4A2F" w:rsidRPr="00C95671" w:rsidRDefault="001B4A2F" w:rsidP="00031367">
            <w:pPr>
              <w:tabs>
                <w:tab w:val="left" w:pos="3270"/>
              </w:tabs>
              <w:ind w:left="0"/>
              <w:rPr>
                <w:szCs w:val="24"/>
              </w:rPr>
            </w:pPr>
            <w:r w:rsidRPr="00097662">
              <w:rPr>
                <w:szCs w:val="24"/>
              </w:rPr>
              <w:t>Software Configuration Management</w:t>
            </w:r>
          </w:p>
        </w:tc>
      </w:tr>
      <w:tr w:rsidR="001B4A2F" w:rsidRPr="008C2C58" w14:paraId="7BE19104" w14:textId="77777777" w:rsidTr="00AA05AE">
        <w:trPr>
          <w:trHeight w:val="226"/>
        </w:trPr>
        <w:tc>
          <w:tcPr>
            <w:tcW w:w="1620" w:type="dxa"/>
            <w:tcBorders>
              <w:top w:val="single" w:sz="6" w:space="0" w:color="auto"/>
              <w:left w:val="single" w:sz="6" w:space="0" w:color="auto"/>
              <w:bottom w:val="single" w:sz="6" w:space="0" w:color="auto"/>
              <w:right w:val="single" w:sz="6" w:space="0" w:color="auto"/>
            </w:tcBorders>
          </w:tcPr>
          <w:p w14:paraId="441E3F25" w14:textId="77777777" w:rsidR="001B4A2F" w:rsidRPr="00AC2EB0" w:rsidRDefault="001B4A2F" w:rsidP="00AA05AE">
            <w:pPr>
              <w:ind w:left="0"/>
              <w:rPr>
                <w:rFonts w:cs="Arial"/>
                <w:snapToGrid w:val="0"/>
                <w:color w:val="000000"/>
                <w:szCs w:val="24"/>
              </w:rPr>
            </w:pPr>
            <w:r>
              <w:rPr>
                <w:rFonts w:cs="Arial"/>
                <w:snapToGrid w:val="0"/>
                <w:color w:val="000000"/>
                <w:szCs w:val="24"/>
              </w:rPr>
              <w:t>SDDS</w:t>
            </w:r>
          </w:p>
        </w:tc>
        <w:tc>
          <w:tcPr>
            <w:tcW w:w="9180" w:type="dxa"/>
            <w:tcBorders>
              <w:top w:val="single" w:sz="6" w:space="0" w:color="auto"/>
              <w:left w:val="single" w:sz="6" w:space="0" w:color="auto"/>
              <w:bottom w:val="single" w:sz="6" w:space="0" w:color="auto"/>
              <w:right w:val="single" w:sz="6" w:space="0" w:color="auto"/>
            </w:tcBorders>
          </w:tcPr>
          <w:p w14:paraId="576940A3" w14:textId="77777777" w:rsidR="001B4A2F" w:rsidRDefault="001B4A2F" w:rsidP="00AA05AE">
            <w:pPr>
              <w:tabs>
                <w:tab w:val="left" w:pos="3270"/>
              </w:tabs>
              <w:ind w:left="0"/>
              <w:rPr>
                <w:szCs w:val="24"/>
              </w:rPr>
            </w:pPr>
            <w:r w:rsidRPr="002E552D">
              <w:rPr>
                <w:szCs w:val="24"/>
              </w:rPr>
              <w:t>S</w:t>
            </w:r>
            <w:r>
              <w:rPr>
                <w:szCs w:val="24"/>
              </w:rPr>
              <w:t xml:space="preserve">tate </w:t>
            </w:r>
            <w:r w:rsidRPr="002E552D">
              <w:rPr>
                <w:szCs w:val="24"/>
              </w:rPr>
              <w:t>U</w:t>
            </w:r>
            <w:r>
              <w:rPr>
                <w:szCs w:val="24"/>
              </w:rPr>
              <w:t xml:space="preserve">nemployment </w:t>
            </w:r>
            <w:r w:rsidRPr="002E552D">
              <w:rPr>
                <w:szCs w:val="24"/>
              </w:rPr>
              <w:t>T</w:t>
            </w:r>
            <w:r>
              <w:rPr>
                <w:szCs w:val="24"/>
              </w:rPr>
              <w:t xml:space="preserve">ax </w:t>
            </w:r>
            <w:r w:rsidRPr="002E552D">
              <w:rPr>
                <w:szCs w:val="24"/>
              </w:rPr>
              <w:t>A</w:t>
            </w:r>
            <w:r>
              <w:rPr>
                <w:szCs w:val="24"/>
              </w:rPr>
              <w:t>ct</w:t>
            </w:r>
            <w:r w:rsidRPr="002E552D">
              <w:rPr>
                <w:szCs w:val="24"/>
              </w:rPr>
              <w:t xml:space="preserve"> Dumping Detection Software</w:t>
            </w:r>
          </w:p>
        </w:tc>
      </w:tr>
      <w:tr w:rsidR="001B4A2F" w:rsidRPr="008C2C58" w14:paraId="224A59B7"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1785448F" w14:textId="77777777" w:rsidR="001B4A2F" w:rsidRPr="00AC2EB0" w:rsidRDefault="001B4A2F" w:rsidP="00031367">
            <w:pPr>
              <w:ind w:left="0"/>
              <w:rPr>
                <w:rFonts w:cs="Arial"/>
                <w:snapToGrid w:val="0"/>
                <w:color w:val="000000"/>
                <w:szCs w:val="24"/>
              </w:rPr>
            </w:pPr>
            <w:r>
              <w:rPr>
                <w:rFonts w:cs="Arial"/>
                <w:snapToGrid w:val="0"/>
                <w:color w:val="000000"/>
                <w:szCs w:val="24"/>
              </w:rPr>
              <w:t>SDLC</w:t>
            </w:r>
          </w:p>
        </w:tc>
        <w:tc>
          <w:tcPr>
            <w:tcW w:w="9180" w:type="dxa"/>
            <w:tcBorders>
              <w:top w:val="single" w:sz="6" w:space="0" w:color="auto"/>
              <w:left w:val="single" w:sz="6" w:space="0" w:color="auto"/>
              <w:bottom w:val="single" w:sz="6" w:space="0" w:color="auto"/>
              <w:right w:val="single" w:sz="6" w:space="0" w:color="auto"/>
            </w:tcBorders>
          </w:tcPr>
          <w:p w14:paraId="6EA3F066" w14:textId="77777777" w:rsidR="001B4A2F" w:rsidRDefault="001B4A2F" w:rsidP="00031367">
            <w:pPr>
              <w:tabs>
                <w:tab w:val="left" w:pos="3270"/>
              </w:tabs>
              <w:ind w:left="0"/>
              <w:rPr>
                <w:szCs w:val="24"/>
              </w:rPr>
            </w:pPr>
            <w:r>
              <w:rPr>
                <w:szCs w:val="24"/>
              </w:rPr>
              <w:t>System Development Life Cycle</w:t>
            </w:r>
          </w:p>
        </w:tc>
      </w:tr>
      <w:tr w:rsidR="001B4A2F" w:rsidRPr="008C2C58" w14:paraId="29D0184F"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1960813F"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SDNH</w:t>
            </w:r>
          </w:p>
        </w:tc>
        <w:tc>
          <w:tcPr>
            <w:tcW w:w="9180" w:type="dxa"/>
            <w:tcBorders>
              <w:top w:val="single" w:sz="6" w:space="0" w:color="auto"/>
              <w:left w:val="single" w:sz="6" w:space="0" w:color="auto"/>
              <w:bottom w:val="single" w:sz="6" w:space="0" w:color="auto"/>
              <w:right w:val="single" w:sz="6" w:space="0" w:color="auto"/>
            </w:tcBorders>
          </w:tcPr>
          <w:p w14:paraId="264B1778" w14:textId="77777777" w:rsidR="001B4A2F" w:rsidRDefault="001B4A2F" w:rsidP="00031367">
            <w:pPr>
              <w:tabs>
                <w:tab w:val="left" w:pos="3270"/>
              </w:tabs>
              <w:ind w:left="0"/>
              <w:rPr>
                <w:szCs w:val="24"/>
              </w:rPr>
            </w:pPr>
            <w:r>
              <w:rPr>
                <w:szCs w:val="24"/>
              </w:rPr>
              <w:t>State Directory of New Hires</w:t>
            </w:r>
          </w:p>
        </w:tc>
      </w:tr>
      <w:tr w:rsidR="001B4A2F" w:rsidRPr="008C2C58" w14:paraId="4695047A"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2F414DA4" w14:textId="77777777" w:rsidR="001B4A2F" w:rsidRDefault="001B4A2F" w:rsidP="00031367">
            <w:pPr>
              <w:ind w:left="0"/>
              <w:rPr>
                <w:rFonts w:cs="Arial"/>
                <w:snapToGrid w:val="0"/>
                <w:color w:val="000000"/>
                <w:szCs w:val="24"/>
              </w:rPr>
            </w:pPr>
            <w:r>
              <w:rPr>
                <w:rFonts w:cs="Arial"/>
                <w:snapToGrid w:val="0"/>
                <w:color w:val="000000"/>
                <w:szCs w:val="24"/>
              </w:rPr>
              <w:t>Service Delivery Solutions</w:t>
            </w:r>
          </w:p>
        </w:tc>
        <w:tc>
          <w:tcPr>
            <w:tcW w:w="9180" w:type="dxa"/>
            <w:tcBorders>
              <w:top w:val="single" w:sz="6" w:space="0" w:color="auto"/>
              <w:left w:val="single" w:sz="6" w:space="0" w:color="auto"/>
              <w:bottom w:val="single" w:sz="6" w:space="0" w:color="auto"/>
              <w:right w:val="single" w:sz="6" w:space="0" w:color="auto"/>
            </w:tcBorders>
          </w:tcPr>
          <w:p w14:paraId="774C563B" w14:textId="77777777" w:rsidR="001B4A2F" w:rsidRPr="00050322" w:rsidRDefault="001B4A2F" w:rsidP="00031367">
            <w:pPr>
              <w:tabs>
                <w:tab w:val="left" w:pos="3270"/>
              </w:tabs>
              <w:ind w:left="0"/>
            </w:pPr>
            <w:r w:rsidRPr="00050322">
              <w:t xml:space="preserve">For purposes of this RFO and ease of understanding, this term refers to </w:t>
            </w:r>
            <w:r>
              <w:t xml:space="preserve">any of these solution types: </w:t>
            </w:r>
            <w:r w:rsidRPr="00050322">
              <w:t>IaaS, PaaS, SaaS, non-SaaS, Leveraged DCS non-SaaS, and DCS offerings.</w:t>
            </w:r>
          </w:p>
        </w:tc>
      </w:tr>
      <w:tr w:rsidR="001B4A2F" w:rsidRPr="008C2C58" w14:paraId="12A01522" w14:textId="77777777" w:rsidTr="00482456">
        <w:tblPrEx>
          <w:tblLook w:val="04A0" w:firstRow="1" w:lastRow="0" w:firstColumn="1" w:lastColumn="0" w:noHBand="0" w:noVBand="1"/>
        </w:tblPrEx>
        <w:trPr>
          <w:trHeight w:val="226"/>
        </w:trPr>
        <w:tc>
          <w:tcPr>
            <w:tcW w:w="1620" w:type="dxa"/>
            <w:tcBorders>
              <w:top w:val="single" w:sz="6" w:space="0" w:color="auto"/>
              <w:left w:val="single" w:sz="6" w:space="0" w:color="auto"/>
              <w:bottom w:val="single" w:sz="6" w:space="0" w:color="auto"/>
              <w:right w:val="single" w:sz="6" w:space="0" w:color="auto"/>
            </w:tcBorders>
          </w:tcPr>
          <w:p w14:paraId="5DD99DA7"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SFTP</w:t>
            </w:r>
          </w:p>
        </w:tc>
        <w:tc>
          <w:tcPr>
            <w:tcW w:w="9180" w:type="dxa"/>
            <w:tcBorders>
              <w:top w:val="single" w:sz="6" w:space="0" w:color="auto"/>
              <w:left w:val="single" w:sz="6" w:space="0" w:color="auto"/>
              <w:bottom w:val="single" w:sz="6" w:space="0" w:color="auto"/>
              <w:right w:val="single" w:sz="6" w:space="0" w:color="auto"/>
            </w:tcBorders>
          </w:tcPr>
          <w:p w14:paraId="0081E7A3"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Secure File Transfer Protocol</w:t>
            </w:r>
          </w:p>
        </w:tc>
      </w:tr>
      <w:tr w:rsidR="001B4A2F" w:rsidRPr="008C2C58" w14:paraId="4C9B73C1"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225786AE"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SH</w:t>
            </w:r>
          </w:p>
        </w:tc>
        <w:tc>
          <w:tcPr>
            <w:tcW w:w="9180" w:type="dxa"/>
            <w:tcBorders>
              <w:top w:val="single" w:sz="6" w:space="0" w:color="auto"/>
              <w:left w:val="single" w:sz="6" w:space="0" w:color="auto"/>
              <w:bottom w:val="single" w:sz="6" w:space="0" w:color="auto"/>
              <w:right w:val="single" w:sz="6" w:space="0" w:color="auto"/>
            </w:tcBorders>
          </w:tcPr>
          <w:p w14:paraId="12D69193" w14:textId="77777777" w:rsidR="001B4A2F" w:rsidRDefault="001B4A2F" w:rsidP="00031367">
            <w:pPr>
              <w:ind w:left="0"/>
              <w:rPr>
                <w:szCs w:val="24"/>
              </w:rPr>
            </w:pPr>
            <w:r>
              <w:rPr>
                <w:szCs w:val="24"/>
              </w:rPr>
              <w:t>Special Hearings (TWC)</w:t>
            </w:r>
          </w:p>
        </w:tc>
      </w:tr>
      <w:tr w:rsidR="001B4A2F" w:rsidRPr="008C2C58" w14:paraId="33922312" w14:textId="77777777" w:rsidTr="00482456">
        <w:tblPrEx>
          <w:tblLook w:val="04A0" w:firstRow="1" w:lastRow="0" w:firstColumn="1" w:lastColumn="0" w:noHBand="0" w:noVBand="1"/>
        </w:tblPrEx>
        <w:trPr>
          <w:trHeight w:val="226"/>
        </w:trPr>
        <w:tc>
          <w:tcPr>
            <w:tcW w:w="1620" w:type="dxa"/>
            <w:tcBorders>
              <w:top w:val="single" w:sz="6" w:space="0" w:color="auto"/>
              <w:left w:val="single" w:sz="6" w:space="0" w:color="auto"/>
              <w:bottom w:val="single" w:sz="6" w:space="0" w:color="auto"/>
              <w:right w:val="single" w:sz="6" w:space="0" w:color="auto"/>
            </w:tcBorders>
            <w:hideMark/>
          </w:tcPr>
          <w:p w14:paraId="02B48FEB"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SHA</w:t>
            </w:r>
          </w:p>
        </w:tc>
        <w:tc>
          <w:tcPr>
            <w:tcW w:w="9180" w:type="dxa"/>
            <w:tcBorders>
              <w:top w:val="single" w:sz="6" w:space="0" w:color="auto"/>
              <w:left w:val="single" w:sz="6" w:space="0" w:color="auto"/>
              <w:bottom w:val="single" w:sz="6" w:space="0" w:color="auto"/>
              <w:right w:val="single" w:sz="6" w:space="0" w:color="auto"/>
            </w:tcBorders>
            <w:hideMark/>
          </w:tcPr>
          <w:p w14:paraId="6401C93D"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Secure Hash Algorithm</w:t>
            </w:r>
          </w:p>
        </w:tc>
      </w:tr>
      <w:tr w:rsidR="001B4A2F" w:rsidRPr="008C2C58" w14:paraId="25665DD2" w14:textId="77777777" w:rsidTr="00482456">
        <w:tblPrEx>
          <w:tblLook w:val="04A0" w:firstRow="1" w:lastRow="0" w:firstColumn="1" w:lastColumn="0" w:noHBand="0" w:noVBand="1"/>
        </w:tblPrEx>
        <w:trPr>
          <w:trHeight w:val="226"/>
        </w:trPr>
        <w:tc>
          <w:tcPr>
            <w:tcW w:w="1620" w:type="dxa"/>
            <w:tcBorders>
              <w:top w:val="single" w:sz="6" w:space="0" w:color="auto"/>
              <w:left w:val="single" w:sz="6" w:space="0" w:color="auto"/>
              <w:bottom w:val="single" w:sz="6" w:space="0" w:color="auto"/>
              <w:right w:val="single" w:sz="6" w:space="0" w:color="auto"/>
            </w:tcBorders>
          </w:tcPr>
          <w:p w14:paraId="08584854" w14:textId="77777777" w:rsidR="001B4A2F" w:rsidRDefault="001B4A2F" w:rsidP="00892CA7">
            <w:pPr>
              <w:ind w:left="0"/>
              <w:rPr>
                <w:rFonts w:cs="Arial"/>
                <w:snapToGrid w:val="0"/>
                <w:color w:val="000000"/>
                <w:szCs w:val="24"/>
              </w:rPr>
            </w:pPr>
            <w:r>
              <w:rPr>
                <w:rFonts w:cs="Arial"/>
                <w:snapToGrid w:val="0"/>
                <w:color w:val="000000"/>
                <w:szCs w:val="24"/>
              </w:rPr>
              <w:t>SID</w:t>
            </w:r>
          </w:p>
        </w:tc>
        <w:tc>
          <w:tcPr>
            <w:tcW w:w="9180" w:type="dxa"/>
            <w:tcBorders>
              <w:top w:val="single" w:sz="6" w:space="0" w:color="auto"/>
              <w:left w:val="single" w:sz="6" w:space="0" w:color="auto"/>
              <w:bottom w:val="single" w:sz="6" w:space="0" w:color="auto"/>
              <w:right w:val="single" w:sz="6" w:space="0" w:color="auto"/>
            </w:tcBorders>
          </w:tcPr>
          <w:p w14:paraId="3DDB6960" w14:textId="77777777" w:rsidR="001B4A2F" w:rsidRPr="00791308" w:rsidRDefault="001B4A2F" w:rsidP="00892CA7">
            <w:pPr>
              <w:ind w:left="0"/>
              <w:rPr>
                <w:rFonts w:cs="Arial"/>
                <w:snapToGrid w:val="0"/>
                <w:color w:val="000000"/>
                <w:szCs w:val="24"/>
              </w:rPr>
            </w:pPr>
            <w:r w:rsidRPr="00791308">
              <w:rPr>
                <w:rFonts w:cs="Arial"/>
                <w:snapToGrid w:val="0"/>
                <w:color w:val="000000"/>
                <w:szCs w:val="24"/>
              </w:rPr>
              <w:t>The State Identification (SID) inquiry provides for immediate identification of the state(s) with wage information on file for a specific SSN.</w:t>
            </w:r>
          </w:p>
        </w:tc>
      </w:tr>
      <w:tr w:rsidR="001B4A2F" w:rsidRPr="008C2C58" w14:paraId="7FD8D1A0" w14:textId="77777777" w:rsidTr="00482456">
        <w:tblPrEx>
          <w:tblLook w:val="04A0" w:firstRow="1" w:lastRow="0" w:firstColumn="1" w:lastColumn="0" w:noHBand="0" w:noVBand="1"/>
        </w:tblPrEx>
        <w:trPr>
          <w:trHeight w:val="226"/>
        </w:trPr>
        <w:tc>
          <w:tcPr>
            <w:tcW w:w="1620" w:type="dxa"/>
            <w:tcBorders>
              <w:top w:val="single" w:sz="6" w:space="0" w:color="auto"/>
              <w:left w:val="single" w:sz="6" w:space="0" w:color="auto"/>
              <w:bottom w:val="single" w:sz="6" w:space="0" w:color="auto"/>
              <w:right w:val="single" w:sz="6" w:space="0" w:color="auto"/>
            </w:tcBorders>
          </w:tcPr>
          <w:p w14:paraId="632A01E0" w14:textId="77777777" w:rsidR="001B4A2F" w:rsidRPr="00AC2EB0" w:rsidRDefault="001B4A2F" w:rsidP="00892CA7">
            <w:pPr>
              <w:ind w:left="0"/>
              <w:rPr>
                <w:rFonts w:cs="Arial"/>
                <w:snapToGrid w:val="0"/>
                <w:color w:val="000000"/>
                <w:szCs w:val="24"/>
              </w:rPr>
            </w:pPr>
            <w:r>
              <w:rPr>
                <w:rFonts w:cs="Arial"/>
                <w:snapToGrid w:val="0"/>
                <w:color w:val="000000"/>
                <w:szCs w:val="24"/>
              </w:rPr>
              <w:t>SIDES</w:t>
            </w:r>
          </w:p>
        </w:tc>
        <w:tc>
          <w:tcPr>
            <w:tcW w:w="9180" w:type="dxa"/>
            <w:tcBorders>
              <w:top w:val="single" w:sz="6" w:space="0" w:color="auto"/>
              <w:left w:val="single" w:sz="6" w:space="0" w:color="auto"/>
              <w:bottom w:val="single" w:sz="6" w:space="0" w:color="auto"/>
              <w:right w:val="single" w:sz="6" w:space="0" w:color="auto"/>
            </w:tcBorders>
          </w:tcPr>
          <w:p w14:paraId="5D96DE3E" w14:textId="77777777" w:rsidR="001B4A2F" w:rsidRPr="008C2C58" w:rsidRDefault="001B4A2F" w:rsidP="00892CA7">
            <w:pPr>
              <w:ind w:left="0"/>
              <w:rPr>
                <w:rFonts w:cs="Arial"/>
                <w:snapToGrid w:val="0"/>
                <w:color w:val="000000"/>
                <w:szCs w:val="24"/>
              </w:rPr>
            </w:pPr>
            <w:r>
              <w:t>State Information Data Exchange System. An electronic method of exchanging information and documentation. There is a similar method of data exchange called SIDES E-Response.</w:t>
            </w:r>
          </w:p>
        </w:tc>
      </w:tr>
      <w:tr w:rsidR="001B4A2F" w:rsidRPr="008C2C58" w14:paraId="1A161AF5"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3BEEF6EA"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SLA</w:t>
            </w:r>
          </w:p>
        </w:tc>
        <w:tc>
          <w:tcPr>
            <w:tcW w:w="9180" w:type="dxa"/>
            <w:tcBorders>
              <w:top w:val="single" w:sz="6" w:space="0" w:color="auto"/>
              <w:left w:val="single" w:sz="6" w:space="0" w:color="auto"/>
              <w:bottom w:val="single" w:sz="6" w:space="0" w:color="auto"/>
              <w:right w:val="single" w:sz="6" w:space="0" w:color="auto"/>
            </w:tcBorders>
          </w:tcPr>
          <w:p w14:paraId="5983385D" w14:textId="77777777" w:rsidR="001B4A2F" w:rsidRPr="00097662" w:rsidRDefault="001B4A2F" w:rsidP="00031367">
            <w:pPr>
              <w:tabs>
                <w:tab w:val="left" w:pos="3270"/>
              </w:tabs>
              <w:ind w:left="0"/>
              <w:rPr>
                <w:szCs w:val="24"/>
              </w:rPr>
            </w:pPr>
            <w:r>
              <w:t>Service Level Agreement</w:t>
            </w:r>
          </w:p>
        </w:tc>
      </w:tr>
      <w:tr w:rsidR="001B4A2F" w:rsidRPr="008C2C58" w14:paraId="343901AE"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5D14F44E"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SME</w:t>
            </w:r>
          </w:p>
        </w:tc>
        <w:tc>
          <w:tcPr>
            <w:tcW w:w="9180" w:type="dxa"/>
            <w:tcBorders>
              <w:top w:val="single" w:sz="6" w:space="0" w:color="auto"/>
              <w:left w:val="single" w:sz="6" w:space="0" w:color="auto"/>
              <w:bottom w:val="single" w:sz="6" w:space="0" w:color="auto"/>
              <w:right w:val="single" w:sz="6" w:space="0" w:color="auto"/>
            </w:tcBorders>
          </w:tcPr>
          <w:p w14:paraId="07ED433C"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Subject Matter Expert (Business and/or Technical)</w:t>
            </w:r>
          </w:p>
        </w:tc>
      </w:tr>
      <w:tr w:rsidR="001B4A2F" w:rsidRPr="008C2C58" w14:paraId="6137831F" w14:textId="77777777" w:rsidTr="00482456">
        <w:tblPrEx>
          <w:tblLook w:val="04A0" w:firstRow="1" w:lastRow="0" w:firstColumn="1" w:lastColumn="0" w:noHBand="0" w:noVBand="1"/>
        </w:tblPrEx>
        <w:trPr>
          <w:trHeight w:val="226"/>
        </w:trPr>
        <w:tc>
          <w:tcPr>
            <w:tcW w:w="1620" w:type="dxa"/>
            <w:tcBorders>
              <w:top w:val="single" w:sz="6" w:space="0" w:color="auto"/>
              <w:left w:val="single" w:sz="6" w:space="0" w:color="auto"/>
              <w:bottom w:val="single" w:sz="6" w:space="0" w:color="auto"/>
              <w:right w:val="single" w:sz="6" w:space="0" w:color="auto"/>
            </w:tcBorders>
            <w:hideMark/>
          </w:tcPr>
          <w:p w14:paraId="0A02427C"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SOAP</w:t>
            </w:r>
          </w:p>
        </w:tc>
        <w:tc>
          <w:tcPr>
            <w:tcW w:w="9180" w:type="dxa"/>
            <w:tcBorders>
              <w:top w:val="single" w:sz="6" w:space="0" w:color="auto"/>
              <w:left w:val="single" w:sz="6" w:space="0" w:color="auto"/>
              <w:bottom w:val="single" w:sz="6" w:space="0" w:color="auto"/>
              <w:right w:val="single" w:sz="6" w:space="0" w:color="auto"/>
            </w:tcBorders>
            <w:hideMark/>
          </w:tcPr>
          <w:p w14:paraId="13BD5376"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Standard Object Access Protocol</w:t>
            </w:r>
          </w:p>
        </w:tc>
      </w:tr>
      <w:tr w:rsidR="001B4A2F" w:rsidRPr="008C2C58" w14:paraId="6159A97D" w14:textId="77777777" w:rsidTr="00AA05AE">
        <w:trPr>
          <w:trHeight w:val="226"/>
        </w:trPr>
        <w:tc>
          <w:tcPr>
            <w:tcW w:w="1620" w:type="dxa"/>
            <w:tcBorders>
              <w:top w:val="single" w:sz="6" w:space="0" w:color="auto"/>
              <w:left w:val="single" w:sz="6" w:space="0" w:color="auto"/>
              <w:bottom w:val="single" w:sz="6" w:space="0" w:color="auto"/>
              <w:right w:val="single" w:sz="6" w:space="0" w:color="auto"/>
            </w:tcBorders>
          </w:tcPr>
          <w:p w14:paraId="29AE3160" w14:textId="77777777" w:rsidR="001B4A2F" w:rsidRDefault="001B4A2F" w:rsidP="00AA05AE">
            <w:pPr>
              <w:ind w:left="0"/>
              <w:rPr>
                <w:rFonts w:cs="Arial"/>
                <w:snapToGrid w:val="0"/>
                <w:color w:val="000000"/>
                <w:szCs w:val="24"/>
              </w:rPr>
            </w:pPr>
            <w:r>
              <w:rPr>
                <w:rFonts w:cs="Arial"/>
                <w:snapToGrid w:val="0"/>
                <w:color w:val="000000"/>
                <w:szCs w:val="24"/>
              </w:rPr>
              <w:t>SPI</w:t>
            </w:r>
          </w:p>
        </w:tc>
        <w:tc>
          <w:tcPr>
            <w:tcW w:w="9180" w:type="dxa"/>
            <w:tcBorders>
              <w:top w:val="single" w:sz="6" w:space="0" w:color="auto"/>
              <w:left w:val="single" w:sz="6" w:space="0" w:color="auto"/>
              <w:bottom w:val="single" w:sz="6" w:space="0" w:color="auto"/>
              <w:right w:val="single" w:sz="6" w:space="0" w:color="auto"/>
            </w:tcBorders>
          </w:tcPr>
          <w:p w14:paraId="1AA9060C" w14:textId="77777777" w:rsidR="001B4A2F" w:rsidRDefault="001B4A2F" w:rsidP="00AA05AE">
            <w:pPr>
              <w:ind w:left="0"/>
              <w:rPr>
                <w:rFonts w:cs="Arial"/>
                <w:snapToGrid w:val="0"/>
                <w:color w:val="000000"/>
                <w:szCs w:val="24"/>
              </w:rPr>
            </w:pPr>
            <w:r>
              <w:rPr>
                <w:rFonts w:cs="Arial"/>
                <w:snapToGrid w:val="0"/>
                <w:color w:val="000000"/>
                <w:szCs w:val="24"/>
              </w:rPr>
              <w:t>Sensitive Personal Information</w:t>
            </w:r>
          </w:p>
        </w:tc>
      </w:tr>
      <w:tr w:rsidR="001B4A2F" w:rsidRPr="008C2C58" w14:paraId="5CD4A505" w14:textId="77777777" w:rsidTr="00AA05AE">
        <w:trPr>
          <w:trHeight w:val="226"/>
        </w:trPr>
        <w:tc>
          <w:tcPr>
            <w:tcW w:w="1620" w:type="dxa"/>
            <w:tcBorders>
              <w:top w:val="single" w:sz="6" w:space="0" w:color="auto"/>
              <w:left w:val="single" w:sz="6" w:space="0" w:color="auto"/>
              <w:bottom w:val="single" w:sz="6" w:space="0" w:color="auto"/>
              <w:right w:val="single" w:sz="6" w:space="0" w:color="auto"/>
            </w:tcBorders>
          </w:tcPr>
          <w:p w14:paraId="47C803EA" w14:textId="77777777" w:rsidR="001B4A2F" w:rsidRDefault="001B4A2F" w:rsidP="00AA05AE">
            <w:pPr>
              <w:ind w:left="0"/>
              <w:rPr>
                <w:rFonts w:cs="Arial"/>
                <w:snapToGrid w:val="0"/>
                <w:color w:val="000000"/>
                <w:szCs w:val="24"/>
              </w:rPr>
            </w:pPr>
            <w:r>
              <w:rPr>
                <w:rFonts w:cs="Arial"/>
                <w:snapToGrid w:val="0"/>
                <w:color w:val="000000"/>
                <w:szCs w:val="24"/>
              </w:rPr>
              <w:lastRenderedPageBreak/>
              <w:t>SQL</w:t>
            </w:r>
          </w:p>
        </w:tc>
        <w:tc>
          <w:tcPr>
            <w:tcW w:w="9180" w:type="dxa"/>
            <w:tcBorders>
              <w:top w:val="single" w:sz="6" w:space="0" w:color="auto"/>
              <w:left w:val="single" w:sz="6" w:space="0" w:color="auto"/>
              <w:bottom w:val="single" w:sz="6" w:space="0" w:color="auto"/>
              <w:right w:val="single" w:sz="6" w:space="0" w:color="auto"/>
            </w:tcBorders>
          </w:tcPr>
          <w:p w14:paraId="5F4B0A3D" w14:textId="77777777" w:rsidR="001B4A2F" w:rsidRDefault="001B4A2F" w:rsidP="00AA05AE">
            <w:pPr>
              <w:ind w:left="0"/>
              <w:rPr>
                <w:rFonts w:cs="Arial"/>
                <w:snapToGrid w:val="0"/>
                <w:color w:val="000000"/>
                <w:szCs w:val="24"/>
              </w:rPr>
            </w:pPr>
            <w:r>
              <w:rPr>
                <w:rFonts w:cs="Arial"/>
                <w:snapToGrid w:val="0"/>
                <w:color w:val="000000"/>
                <w:szCs w:val="24"/>
              </w:rPr>
              <w:t>Structured Query Language</w:t>
            </w:r>
          </w:p>
        </w:tc>
      </w:tr>
      <w:tr w:rsidR="001B4A2F" w:rsidRPr="008C2C58" w14:paraId="004D5931" w14:textId="77777777" w:rsidTr="00482456">
        <w:tblPrEx>
          <w:tblLook w:val="04A0" w:firstRow="1" w:lastRow="0" w:firstColumn="1" w:lastColumn="0" w:noHBand="0" w:noVBand="1"/>
        </w:tblPrEx>
        <w:trPr>
          <w:trHeight w:val="226"/>
        </w:trPr>
        <w:tc>
          <w:tcPr>
            <w:tcW w:w="1620" w:type="dxa"/>
            <w:tcBorders>
              <w:top w:val="single" w:sz="6" w:space="0" w:color="auto"/>
              <w:left w:val="single" w:sz="6" w:space="0" w:color="auto"/>
              <w:bottom w:val="single" w:sz="6" w:space="0" w:color="auto"/>
              <w:right w:val="single" w:sz="6" w:space="0" w:color="auto"/>
            </w:tcBorders>
          </w:tcPr>
          <w:p w14:paraId="64CB8901" w14:textId="77777777" w:rsidR="001B4A2F" w:rsidRPr="00AC2EB0" w:rsidRDefault="001B4A2F" w:rsidP="00892CA7">
            <w:pPr>
              <w:ind w:left="0"/>
              <w:rPr>
                <w:rFonts w:cs="Arial"/>
                <w:snapToGrid w:val="0"/>
                <w:color w:val="000000"/>
                <w:szCs w:val="24"/>
              </w:rPr>
            </w:pPr>
            <w:r>
              <w:rPr>
                <w:rFonts w:cs="Arial"/>
                <w:snapToGrid w:val="0"/>
                <w:color w:val="000000"/>
                <w:szCs w:val="24"/>
              </w:rPr>
              <w:t>SSA</w:t>
            </w:r>
          </w:p>
        </w:tc>
        <w:tc>
          <w:tcPr>
            <w:tcW w:w="9180" w:type="dxa"/>
            <w:tcBorders>
              <w:top w:val="single" w:sz="6" w:space="0" w:color="auto"/>
              <w:left w:val="single" w:sz="6" w:space="0" w:color="auto"/>
              <w:bottom w:val="single" w:sz="6" w:space="0" w:color="auto"/>
              <w:right w:val="single" w:sz="6" w:space="0" w:color="auto"/>
            </w:tcBorders>
          </w:tcPr>
          <w:p w14:paraId="6F53E38C" w14:textId="77777777" w:rsidR="001B4A2F" w:rsidRPr="008C2C58" w:rsidRDefault="001B4A2F" w:rsidP="00892CA7">
            <w:pPr>
              <w:ind w:left="0"/>
              <w:rPr>
                <w:rFonts w:cs="Arial"/>
                <w:snapToGrid w:val="0"/>
                <w:color w:val="000000"/>
                <w:szCs w:val="24"/>
              </w:rPr>
            </w:pPr>
            <w:r>
              <w:rPr>
                <w:rFonts w:cs="Arial"/>
                <w:snapToGrid w:val="0"/>
                <w:color w:val="000000"/>
                <w:szCs w:val="24"/>
              </w:rPr>
              <w:t>Social Security Administration</w:t>
            </w:r>
          </w:p>
        </w:tc>
      </w:tr>
      <w:tr w:rsidR="001B4A2F" w:rsidRPr="008C2C58" w14:paraId="434B6ADF"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32634C7F"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SSN</w:t>
            </w:r>
          </w:p>
        </w:tc>
        <w:tc>
          <w:tcPr>
            <w:tcW w:w="9180" w:type="dxa"/>
            <w:tcBorders>
              <w:top w:val="single" w:sz="6" w:space="0" w:color="auto"/>
              <w:left w:val="single" w:sz="6" w:space="0" w:color="auto"/>
              <w:bottom w:val="single" w:sz="6" w:space="0" w:color="auto"/>
              <w:right w:val="single" w:sz="6" w:space="0" w:color="auto"/>
            </w:tcBorders>
          </w:tcPr>
          <w:p w14:paraId="267A779C"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Social Security Number</w:t>
            </w:r>
          </w:p>
        </w:tc>
      </w:tr>
      <w:tr w:rsidR="001B4A2F" w:rsidRPr="008C2C58" w14:paraId="4519625E"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3F4FC6A0"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SSO</w:t>
            </w:r>
          </w:p>
        </w:tc>
        <w:tc>
          <w:tcPr>
            <w:tcW w:w="9180" w:type="dxa"/>
            <w:tcBorders>
              <w:top w:val="single" w:sz="6" w:space="0" w:color="auto"/>
              <w:left w:val="single" w:sz="6" w:space="0" w:color="auto"/>
              <w:bottom w:val="single" w:sz="6" w:space="0" w:color="auto"/>
              <w:right w:val="single" w:sz="6" w:space="0" w:color="auto"/>
            </w:tcBorders>
          </w:tcPr>
          <w:p w14:paraId="7283CB41" w14:textId="77777777" w:rsidR="001B4A2F" w:rsidRPr="008C2C58" w:rsidRDefault="001B4A2F" w:rsidP="00031367">
            <w:pPr>
              <w:ind w:left="0"/>
              <w:rPr>
                <w:szCs w:val="24"/>
              </w:rPr>
            </w:pPr>
            <w:r w:rsidRPr="008C2C58">
              <w:rPr>
                <w:szCs w:val="24"/>
              </w:rPr>
              <w:t>Single Sign O</w:t>
            </w:r>
            <w:r>
              <w:rPr>
                <w:szCs w:val="24"/>
              </w:rPr>
              <w:t>n</w:t>
            </w:r>
          </w:p>
        </w:tc>
      </w:tr>
      <w:tr w:rsidR="001B4A2F" w:rsidRPr="008C2C58" w14:paraId="15C5300A"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79DF7D65" w14:textId="77777777" w:rsidR="001B4A2F" w:rsidRPr="00AC2EB0" w:rsidRDefault="001B4A2F" w:rsidP="00031367">
            <w:pPr>
              <w:ind w:left="0"/>
              <w:rPr>
                <w:rFonts w:cs="Arial"/>
                <w:snapToGrid w:val="0"/>
                <w:color w:val="000000"/>
                <w:szCs w:val="24"/>
              </w:rPr>
            </w:pPr>
            <w:r>
              <w:rPr>
                <w:rFonts w:cs="Arial"/>
                <w:snapToGrid w:val="0"/>
                <w:color w:val="000000"/>
                <w:szCs w:val="24"/>
              </w:rPr>
              <w:t>STC</w:t>
            </w:r>
          </w:p>
        </w:tc>
        <w:tc>
          <w:tcPr>
            <w:tcW w:w="9180" w:type="dxa"/>
            <w:tcBorders>
              <w:top w:val="single" w:sz="6" w:space="0" w:color="auto"/>
              <w:left w:val="single" w:sz="6" w:space="0" w:color="auto"/>
              <w:bottom w:val="single" w:sz="6" w:space="0" w:color="auto"/>
              <w:right w:val="single" w:sz="6" w:space="0" w:color="auto"/>
            </w:tcBorders>
          </w:tcPr>
          <w:p w14:paraId="0DDA9650" w14:textId="77777777" w:rsidR="001B4A2F" w:rsidRDefault="001B4A2F" w:rsidP="00031367">
            <w:pPr>
              <w:tabs>
                <w:tab w:val="left" w:pos="3270"/>
              </w:tabs>
              <w:ind w:left="0"/>
            </w:pPr>
            <w:r>
              <w:t>Short Term Compensation (also known as Shared Work)</w:t>
            </w:r>
          </w:p>
        </w:tc>
      </w:tr>
      <w:tr w:rsidR="001B4A2F" w:rsidRPr="008C2C58" w14:paraId="65173859"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48D0B338" w14:textId="77777777" w:rsidR="001B4A2F" w:rsidRPr="00AC2EB0" w:rsidRDefault="001B4A2F" w:rsidP="00031367">
            <w:pPr>
              <w:ind w:left="0"/>
              <w:rPr>
                <w:rFonts w:cs="Arial"/>
                <w:snapToGrid w:val="0"/>
                <w:szCs w:val="24"/>
              </w:rPr>
            </w:pPr>
            <w:r>
              <w:rPr>
                <w:rFonts w:cs="Arial"/>
                <w:snapToGrid w:val="0"/>
                <w:szCs w:val="24"/>
              </w:rPr>
              <w:t>STS</w:t>
            </w:r>
          </w:p>
        </w:tc>
        <w:tc>
          <w:tcPr>
            <w:tcW w:w="9180" w:type="dxa"/>
            <w:tcBorders>
              <w:top w:val="single" w:sz="6" w:space="0" w:color="auto"/>
              <w:left w:val="single" w:sz="6" w:space="0" w:color="auto"/>
              <w:bottom w:val="single" w:sz="6" w:space="0" w:color="auto"/>
              <w:right w:val="single" w:sz="6" w:space="0" w:color="auto"/>
            </w:tcBorders>
          </w:tcPr>
          <w:p w14:paraId="09783F0B" w14:textId="77777777" w:rsidR="001B4A2F" w:rsidRPr="008C2C58" w:rsidRDefault="001B4A2F" w:rsidP="00031367">
            <w:pPr>
              <w:ind w:left="0"/>
              <w:rPr>
                <w:rFonts w:cs="Arial"/>
                <w:snapToGrid w:val="0"/>
                <w:color w:val="000000"/>
                <w:szCs w:val="24"/>
              </w:rPr>
            </w:pPr>
            <w:r w:rsidRPr="00945A2D">
              <w:rPr>
                <w:rFonts w:cs="Arial"/>
                <w:snapToGrid w:val="0"/>
                <w:color w:val="000000"/>
                <w:szCs w:val="24"/>
              </w:rPr>
              <w:t>Shared Technology Services</w:t>
            </w:r>
            <w:r>
              <w:rPr>
                <w:rFonts w:cs="Arial"/>
                <w:snapToGrid w:val="0"/>
                <w:color w:val="000000"/>
                <w:szCs w:val="24"/>
              </w:rPr>
              <w:t xml:space="preserve">, </w:t>
            </w:r>
            <w:r w:rsidRPr="008C2C58">
              <w:rPr>
                <w:rFonts w:cs="Arial"/>
                <w:snapToGrid w:val="0"/>
                <w:color w:val="000000"/>
                <w:szCs w:val="24"/>
              </w:rPr>
              <w:t xml:space="preserve">provided through the Texas </w:t>
            </w:r>
            <w:r w:rsidRPr="008C2C58">
              <w:rPr>
                <w:color w:val="000000"/>
                <w:szCs w:val="24"/>
              </w:rPr>
              <w:t>Department of Information Resources</w:t>
            </w:r>
            <w:r>
              <w:rPr>
                <w:color w:val="000000"/>
                <w:szCs w:val="24"/>
              </w:rPr>
              <w:t xml:space="preserve"> (see </w:t>
            </w:r>
            <w:hyperlink r:id="rId12" w:history="1">
              <w:r w:rsidRPr="00FA28A1">
                <w:rPr>
                  <w:rStyle w:val="Hyperlink"/>
                  <w:szCs w:val="24"/>
                </w:rPr>
                <w:t>https://dirsharedservices.service-now.com/dir</w:t>
              </w:r>
            </w:hyperlink>
            <w:r>
              <w:rPr>
                <w:color w:val="000000"/>
                <w:szCs w:val="24"/>
              </w:rPr>
              <w:t>)</w:t>
            </w:r>
          </w:p>
        </w:tc>
      </w:tr>
      <w:tr w:rsidR="001B4A2F" w:rsidRPr="008C2C58" w14:paraId="4535B6D0" w14:textId="77777777" w:rsidTr="00AA05AE">
        <w:trPr>
          <w:trHeight w:val="226"/>
        </w:trPr>
        <w:tc>
          <w:tcPr>
            <w:tcW w:w="1620" w:type="dxa"/>
            <w:tcBorders>
              <w:top w:val="single" w:sz="6" w:space="0" w:color="auto"/>
              <w:left w:val="single" w:sz="6" w:space="0" w:color="auto"/>
              <w:bottom w:val="single" w:sz="6" w:space="0" w:color="auto"/>
              <w:right w:val="single" w:sz="6" w:space="0" w:color="auto"/>
            </w:tcBorders>
          </w:tcPr>
          <w:p w14:paraId="46D9A6BE" w14:textId="77777777" w:rsidR="001B4A2F" w:rsidRPr="00AC2EB0" w:rsidRDefault="001B4A2F" w:rsidP="00AA05AE">
            <w:pPr>
              <w:ind w:left="0"/>
              <w:rPr>
                <w:rFonts w:cs="Arial"/>
                <w:snapToGrid w:val="0"/>
                <w:color w:val="000000"/>
                <w:szCs w:val="24"/>
              </w:rPr>
            </w:pPr>
            <w:r>
              <w:rPr>
                <w:rFonts w:cs="Arial"/>
                <w:snapToGrid w:val="0"/>
                <w:color w:val="000000"/>
                <w:szCs w:val="24"/>
              </w:rPr>
              <w:t>SUTA</w:t>
            </w:r>
          </w:p>
        </w:tc>
        <w:tc>
          <w:tcPr>
            <w:tcW w:w="9180" w:type="dxa"/>
            <w:tcBorders>
              <w:top w:val="single" w:sz="6" w:space="0" w:color="auto"/>
              <w:left w:val="single" w:sz="6" w:space="0" w:color="auto"/>
              <w:bottom w:val="single" w:sz="6" w:space="0" w:color="auto"/>
              <w:right w:val="single" w:sz="6" w:space="0" w:color="auto"/>
            </w:tcBorders>
          </w:tcPr>
          <w:p w14:paraId="26DE9CE5" w14:textId="77777777" w:rsidR="001B4A2F" w:rsidRDefault="001B4A2F" w:rsidP="00AA05AE">
            <w:pPr>
              <w:tabs>
                <w:tab w:val="left" w:pos="3270"/>
              </w:tabs>
              <w:ind w:left="0"/>
              <w:rPr>
                <w:szCs w:val="24"/>
              </w:rPr>
            </w:pPr>
            <w:r>
              <w:rPr>
                <w:szCs w:val="24"/>
              </w:rPr>
              <w:t>State Unemployment T</w:t>
            </w:r>
            <w:r w:rsidRPr="00680F93">
              <w:rPr>
                <w:szCs w:val="24"/>
              </w:rPr>
              <w:t>ax</w:t>
            </w:r>
            <w:r>
              <w:rPr>
                <w:szCs w:val="24"/>
              </w:rPr>
              <w:t xml:space="preserve"> Act</w:t>
            </w:r>
          </w:p>
        </w:tc>
      </w:tr>
      <w:tr w:rsidR="001B4A2F" w:rsidRPr="008C2C58" w14:paraId="51A1F791"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38B31730" w14:textId="77777777" w:rsidR="001B4A2F" w:rsidRPr="00AC2EB0" w:rsidRDefault="001B4A2F" w:rsidP="00031367">
            <w:pPr>
              <w:ind w:left="0"/>
              <w:rPr>
                <w:rFonts w:cs="Arial"/>
                <w:snapToGrid w:val="0"/>
                <w:color w:val="000000"/>
                <w:szCs w:val="24"/>
              </w:rPr>
            </w:pPr>
            <w:r>
              <w:rPr>
                <w:rFonts w:cs="Arial"/>
                <w:snapToGrid w:val="0"/>
                <w:color w:val="000000"/>
                <w:szCs w:val="24"/>
              </w:rPr>
              <w:t>TATX</w:t>
            </w:r>
          </w:p>
        </w:tc>
        <w:tc>
          <w:tcPr>
            <w:tcW w:w="9180" w:type="dxa"/>
            <w:tcBorders>
              <w:top w:val="single" w:sz="6" w:space="0" w:color="auto"/>
              <w:left w:val="single" w:sz="6" w:space="0" w:color="auto"/>
              <w:bottom w:val="single" w:sz="6" w:space="0" w:color="auto"/>
              <w:right w:val="single" w:sz="6" w:space="0" w:color="auto"/>
            </w:tcBorders>
          </w:tcPr>
          <w:p w14:paraId="498D6D2B" w14:textId="77777777" w:rsidR="001B4A2F" w:rsidRDefault="001B4A2F" w:rsidP="00031367">
            <w:pPr>
              <w:tabs>
                <w:tab w:val="left" w:pos="3270"/>
              </w:tabs>
              <w:ind w:left="0"/>
              <w:rPr>
                <w:szCs w:val="24"/>
              </w:rPr>
            </w:pPr>
            <w:r>
              <w:rPr>
                <w:szCs w:val="24"/>
              </w:rPr>
              <w:t>Tax views on non-tax databases</w:t>
            </w:r>
          </w:p>
        </w:tc>
      </w:tr>
      <w:tr w:rsidR="001B4A2F" w:rsidRPr="008C2C58" w14:paraId="0718C59D"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4DA3538F"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TDCJ</w:t>
            </w:r>
          </w:p>
        </w:tc>
        <w:tc>
          <w:tcPr>
            <w:tcW w:w="9180" w:type="dxa"/>
            <w:tcBorders>
              <w:top w:val="single" w:sz="6" w:space="0" w:color="auto"/>
              <w:left w:val="single" w:sz="6" w:space="0" w:color="auto"/>
              <w:bottom w:val="single" w:sz="6" w:space="0" w:color="auto"/>
              <w:right w:val="single" w:sz="6" w:space="0" w:color="auto"/>
            </w:tcBorders>
          </w:tcPr>
          <w:p w14:paraId="0DC985A5" w14:textId="77777777" w:rsidR="001B4A2F" w:rsidRDefault="001B4A2F" w:rsidP="00031367">
            <w:pPr>
              <w:tabs>
                <w:tab w:val="left" w:pos="3270"/>
              </w:tabs>
              <w:ind w:left="0"/>
              <w:rPr>
                <w:szCs w:val="24"/>
              </w:rPr>
            </w:pPr>
            <w:r>
              <w:rPr>
                <w:szCs w:val="24"/>
              </w:rPr>
              <w:t>Texas Department of Criminal Justice</w:t>
            </w:r>
          </w:p>
        </w:tc>
      </w:tr>
      <w:tr w:rsidR="001B4A2F" w:rsidRPr="008C2C58" w14:paraId="013B9F29"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5C61D420"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TEGL</w:t>
            </w:r>
          </w:p>
        </w:tc>
        <w:tc>
          <w:tcPr>
            <w:tcW w:w="9180" w:type="dxa"/>
            <w:tcBorders>
              <w:top w:val="single" w:sz="6" w:space="0" w:color="auto"/>
              <w:left w:val="single" w:sz="6" w:space="0" w:color="auto"/>
              <w:bottom w:val="single" w:sz="6" w:space="0" w:color="auto"/>
              <w:right w:val="single" w:sz="6" w:space="0" w:color="auto"/>
            </w:tcBorders>
          </w:tcPr>
          <w:p w14:paraId="3013C364" w14:textId="77777777" w:rsidR="001B4A2F" w:rsidRDefault="001B4A2F" w:rsidP="00031367">
            <w:pPr>
              <w:tabs>
                <w:tab w:val="left" w:pos="3270"/>
              </w:tabs>
              <w:ind w:left="0"/>
            </w:pPr>
            <w:r>
              <w:t>Training and Employment Guidance Letter (DOL)</w:t>
            </w:r>
          </w:p>
        </w:tc>
      </w:tr>
      <w:tr w:rsidR="001B4A2F" w:rsidRPr="008C2C58" w14:paraId="5153AAFC" w14:textId="77777777" w:rsidTr="00AA05AE">
        <w:tblPrEx>
          <w:tblLook w:val="04A0" w:firstRow="1" w:lastRow="0" w:firstColumn="1" w:lastColumn="0" w:noHBand="0" w:noVBand="1"/>
        </w:tblPrEx>
        <w:trPr>
          <w:trHeight w:val="226"/>
        </w:trPr>
        <w:tc>
          <w:tcPr>
            <w:tcW w:w="1620" w:type="dxa"/>
            <w:tcBorders>
              <w:top w:val="single" w:sz="6" w:space="0" w:color="auto"/>
              <w:left w:val="single" w:sz="6" w:space="0" w:color="auto"/>
              <w:bottom w:val="single" w:sz="6" w:space="0" w:color="auto"/>
              <w:right w:val="single" w:sz="6" w:space="0" w:color="auto"/>
            </w:tcBorders>
          </w:tcPr>
          <w:p w14:paraId="6755947A" w14:textId="77777777" w:rsidR="001B4A2F" w:rsidRPr="00AC2EB0" w:rsidRDefault="001B4A2F" w:rsidP="00AA05AE">
            <w:pPr>
              <w:ind w:left="0"/>
              <w:rPr>
                <w:rFonts w:cs="Arial"/>
                <w:snapToGrid w:val="0"/>
                <w:color w:val="000000"/>
                <w:szCs w:val="24"/>
              </w:rPr>
            </w:pPr>
            <w:r>
              <w:rPr>
                <w:rFonts w:cs="Arial"/>
                <w:snapToGrid w:val="0"/>
                <w:color w:val="000000"/>
                <w:szCs w:val="24"/>
              </w:rPr>
              <w:t>TIN</w:t>
            </w:r>
          </w:p>
        </w:tc>
        <w:tc>
          <w:tcPr>
            <w:tcW w:w="9180" w:type="dxa"/>
            <w:tcBorders>
              <w:top w:val="single" w:sz="6" w:space="0" w:color="auto"/>
              <w:left w:val="single" w:sz="6" w:space="0" w:color="auto"/>
              <w:bottom w:val="single" w:sz="6" w:space="0" w:color="auto"/>
              <w:right w:val="single" w:sz="6" w:space="0" w:color="auto"/>
            </w:tcBorders>
          </w:tcPr>
          <w:p w14:paraId="592DE915" w14:textId="77777777" w:rsidR="001B4A2F" w:rsidRPr="008C2C58" w:rsidRDefault="001B4A2F" w:rsidP="00AA05AE">
            <w:pPr>
              <w:ind w:left="0"/>
              <w:rPr>
                <w:rFonts w:cs="Arial"/>
                <w:snapToGrid w:val="0"/>
                <w:color w:val="000000"/>
                <w:szCs w:val="24"/>
              </w:rPr>
            </w:pPr>
            <w:r w:rsidRPr="001F413F">
              <w:rPr>
                <w:rFonts w:cs="Arial"/>
                <w:snapToGrid w:val="0"/>
                <w:color w:val="000000"/>
                <w:szCs w:val="24"/>
              </w:rPr>
              <w:t>Taxpayer Identification Numbers</w:t>
            </w:r>
          </w:p>
        </w:tc>
      </w:tr>
      <w:tr w:rsidR="001B4A2F" w:rsidRPr="008C2C58" w14:paraId="13247396" w14:textId="77777777" w:rsidTr="00482456">
        <w:tblPrEx>
          <w:tblLook w:val="04A0" w:firstRow="1" w:lastRow="0" w:firstColumn="1" w:lastColumn="0" w:noHBand="0" w:noVBand="1"/>
        </w:tblPrEx>
        <w:trPr>
          <w:trHeight w:val="226"/>
        </w:trPr>
        <w:tc>
          <w:tcPr>
            <w:tcW w:w="1620" w:type="dxa"/>
            <w:tcBorders>
              <w:top w:val="single" w:sz="6" w:space="0" w:color="auto"/>
              <w:left w:val="single" w:sz="6" w:space="0" w:color="auto"/>
              <w:bottom w:val="single" w:sz="6" w:space="0" w:color="auto"/>
              <w:right w:val="single" w:sz="6" w:space="0" w:color="auto"/>
            </w:tcBorders>
            <w:hideMark/>
          </w:tcPr>
          <w:p w14:paraId="11D37604"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TLS</w:t>
            </w:r>
          </w:p>
        </w:tc>
        <w:tc>
          <w:tcPr>
            <w:tcW w:w="9180" w:type="dxa"/>
            <w:tcBorders>
              <w:top w:val="single" w:sz="6" w:space="0" w:color="auto"/>
              <w:left w:val="single" w:sz="6" w:space="0" w:color="auto"/>
              <w:bottom w:val="single" w:sz="6" w:space="0" w:color="auto"/>
              <w:right w:val="single" w:sz="6" w:space="0" w:color="auto"/>
            </w:tcBorders>
            <w:hideMark/>
          </w:tcPr>
          <w:p w14:paraId="78634394"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Transport Layer Security</w:t>
            </w:r>
          </w:p>
        </w:tc>
      </w:tr>
      <w:tr w:rsidR="001B4A2F" w:rsidRPr="008C2C58" w14:paraId="674B4F71"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78730DD7"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TOP</w:t>
            </w:r>
          </w:p>
        </w:tc>
        <w:tc>
          <w:tcPr>
            <w:tcW w:w="9180" w:type="dxa"/>
            <w:tcBorders>
              <w:top w:val="single" w:sz="6" w:space="0" w:color="auto"/>
              <w:left w:val="single" w:sz="6" w:space="0" w:color="auto"/>
              <w:bottom w:val="single" w:sz="6" w:space="0" w:color="auto"/>
              <w:right w:val="single" w:sz="6" w:space="0" w:color="auto"/>
            </w:tcBorders>
          </w:tcPr>
          <w:p w14:paraId="70E6F4D4" w14:textId="77777777" w:rsidR="001B4A2F" w:rsidRPr="00FD38B3" w:rsidRDefault="001B4A2F" w:rsidP="00031367">
            <w:pPr>
              <w:tabs>
                <w:tab w:val="left" w:pos="3270"/>
              </w:tabs>
              <w:ind w:left="0"/>
            </w:pPr>
            <w:r>
              <w:t>Treasury Offset Program</w:t>
            </w:r>
          </w:p>
        </w:tc>
      </w:tr>
      <w:tr w:rsidR="001B4A2F" w:rsidRPr="008C2C58" w14:paraId="1DBCADD6"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4F338794"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TPA</w:t>
            </w:r>
          </w:p>
        </w:tc>
        <w:tc>
          <w:tcPr>
            <w:tcW w:w="9180" w:type="dxa"/>
            <w:tcBorders>
              <w:top w:val="single" w:sz="6" w:space="0" w:color="auto"/>
              <w:left w:val="single" w:sz="6" w:space="0" w:color="auto"/>
              <w:bottom w:val="single" w:sz="6" w:space="0" w:color="auto"/>
              <w:right w:val="single" w:sz="6" w:space="0" w:color="auto"/>
            </w:tcBorders>
          </w:tcPr>
          <w:p w14:paraId="06E51754" w14:textId="77777777" w:rsidR="001B4A2F" w:rsidRDefault="001B4A2F" w:rsidP="00031367">
            <w:pPr>
              <w:tabs>
                <w:tab w:val="left" w:pos="3270"/>
              </w:tabs>
              <w:ind w:left="0"/>
            </w:pPr>
            <w:r>
              <w:t>Third Party Administrator</w:t>
            </w:r>
          </w:p>
        </w:tc>
      </w:tr>
      <w:tr w:rsidR="001B4A2F" w:rsidRPr="008C2C58" w14:paraId="3649DC7D"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6A65A6AF"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TPDF</w:t>
            </w:r>
          </w:p>
        </w:tc>
        <w:tc>
          <w:tcPr>
            <w:tcW w:w="9180" w:type="dxa"/>
            <w:tcBorders>
              <w:top w:val="single" w:sz="6" w:space="0" w:color="auto"/>
              <w:left w:val="single" w:sz="6" w:space="0" w:color="auto"/>
              <w:bottom w:val="single" w:sz="6" w:space="0" w:color="auto"/>
              <w:right w:val="single" w:sz="6" w:space="0" w:color="auto"/>
            </w:tcBorders>
          </w:tcPr>
          <w:p w14:paraId="58B86D67"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Texas Project Delivery Framework</w:t>
            </w:r>
          </w:p>
        </w:tc>
      </w:tr>
      <w:tr w:rsidR="001B4A2F" w:rsidRPr="008C2C58" w14:paraId="34D41747" w14:textId="77777777" w:rsidTr="00AA05AE">
        <w:trPr>
          <w:trHeight w:val="226"/>
        </w:trPr>
        <w:tc>
          <w:tcPr>
            <w:tcW w:w="1620" w:type="dxa"/>
            <w:tcBorders>
              <w:top w:val="single" w:sz="6" w:space="0" w:color="auto"/>
              <w:left w:val="single" w:sz="6" w:space="0" w:color="auto"/>
              <w:bottom w:val="single" w:sz="6" w:space="0" w:color="auto"/>
              <w:right w:val="single" w:sz="6" w:space="0" w:color="auto"/>
            </w:tcBorders>
          </w:tcPr>
          <w:p w14:paraId="4A9C799B" w14:textId="77777777" w:rsidR="001B4A2F" w:rsidRDefault="001B4A2F" w:rsidP="00AA05AE">
            <w:pPr>
              <w:ind w:left="0"/>
              <w:rPr>
                <w:rFonts w:cs="Arial"/>
                <w:snapToGrid w:val="0"/>
                <w:color w:val="000000"/>
                <w:szCs w:val="24"/>
              </w:rPr>
            </w:pPr>
            <w:r>
              <w:rPr>
                <w:rFonts w:cs="Arial"/>
                <w:snapToGrid w:val="0"/>
                <w:color w:val="000000"/>
                <w:szCs w:val="24"/>
              </w:rPr>
              <w:t>TPS</w:t>
            </w:r>
          </w:p>
        </w:tc>
        <w:tc>
          <w:tcPr>
            <w:tcW w:w="9180" w:type="dxa"/>
            <w:tcBorders>
              <w:top w:val="single" w:sz="6" w:space="0" w:color="auto"/>
              <w:left w:val="single" w:sz="6" w:space="0" w:color="auto"/>
              <w:bottom w:val="single" w:sz="6" w:space="0" w:color="auto"/>
              <w:right w:val="single" w:sz="6" w:space="0" w:color="auto"/>
            </w:tcBorders>
          </w:tcPr>
          <w:p w14:paraId="6FF2131C" w14:textId="77777777" w:rsidR="001B4A2F" w:rsidRPr="008C2C58" w:rsidRDefault="001B4A2F" w:rsidP="00AA05AE">
            <w:pPr>
              <w:ind w:left="0"/>
              <w:rPr>
                <w:rFonts w:cs="Arial"/>
                <w:snapToGrid w:val="0"/>
                <w:color w:val="000000"/>
                <w:szCs w:val="24"/>
              </w:rPr>
            </w:pPr>
            <w:r w:rsidRPr="00E23881">
              <w:rPr>
                <w:rFonts w:cs="Arial"/>
                <w:snapToGrid w:val="0"/>
                <w:color w:val="000000"/>
                <w:szCs w:val="24"/>
              </w:rPr>
              <w:t>Tax Performance System Program</w:t>
            </w:r>
          </w:p>
        </w:tc>
      </w:tr>
      <w:tr w:rsidR="001B4A2F" w:rsidRPr="008C2C58" w14:paraId="0E325EB1" w14:textId="77777777" w:rsidTr="00AA05AE">
        <w:trPr>
          <w:trHeight w:val="226"/>
        </w:trPr>
        <w:tc>
          <w:tcPr>
            <w:tcW w:w="1620" w:type="dxa"/>
            <w:tcBorders>
              <w:top w:val="single" w:sz="6" w:space="0" w:color="auto"/>
              <w:left w:val="single" w:sz="6" w:space="0" w:color="auto"/>
              <w:bottom w:val="single" w:sz="6" w:space="0" w:color="auto"/>
              <w:right w:val="single" w:sz="6" w:space="0" w:color="auto"/>
            </w:tcBorders>
          </w:tcPr>
          <w:p w14:paraId="478DCD3E" w14:textId="77777777" w:rsidR="001B4A2F" w:rsidRPr="00AC2EB0" w:rsidRDefault="001B4A2F" w:rsidP="00AA05AE">
            <w:pPr>
              <w:ind w:left="0"/>
              <w:rPr>
                <w:rFonts w:cs="Arial"/>
                <w:snapToGrid w:val="0"/>
                <w:color w:val="000000"/>
                <w:szCs w:val="24"/>
              </w:rPr>
            </w:pPr>
            <w:r>
              <w:rPr>
                <w:rFonts w:cs="Arial"/>
                <w:snapToGrid w:val="0"/>
                <w:color w:val="000000"/>
                <w:szCs w:val="24"/>
              </w:rPr>
              <w:t>TRA</w:t>
            </w:r>
          </w:p>
        </w:tc>
        <w:tc>
          <w:tcPr>
            <w:tcW w:w="9180" w:type="dxa"/>
            <w:tcBorders>
              <w:top w:val="single" w:sz="6" w:space="0" w:color="auto"/>
              <w:left w:val="single" w:sz="6" w:space="0" w:color="auto"/>
              <w:bottom w:val="single" w:sz="6" w:space="0" w:color="auto"/>
              <w:right w:val="single" w:sz="6" w:space="0" w:color="auto"/>
            </w:tcBorders>
          </w:tcPr>
          <w:p w14:paraId="2607A42F" w14:textId="77777777" w:rsidR="001B4A2F" w:rsidRPr="008C2C58" w:rsidRDefault="001B4A2F" w:rsidP="00AA05AE">
            <w:pPr>
              <w:ind w:left="0"/>
              <w:rPr>
                <w:rFonts w:cs="Arial"/>
                <w:snapToGrid w:val="0"/>
                <w:color w:val="000000"/>
                <w:szCs w:val="24"/>
              </w:rPr>
            </w:pPr>
            <w:r w:rsidRPr="007D2895">
              <w:rPr>
                <w:rFonts w:cs="Arial"/>
                <w:snapToGrid w:val="0"/>
                <w:color w:val="000000"/>
                <w:szCs w:val="24"/>
              </w:rPr>
              <w:t>Trade Readjustment Allowance</w:t>
            </w:r>
          </w:p>
        </w:tc>
      </w:tr>
      <w:tr w:rsidR="001B4A2F" w:rsidRPr="008C2C58" w14:paraId="2A28C134" w14:textId="77777777" w:rsidTr="00AA05AE">
        <w:trPr>
          <w:trHeight w:val="226"/>
        </w:trPr>
        <w:tc>
          <w:tcPr>
            <w:tcW w:w="1620" w:type="dxa"/>
            <w:tcBorders>
              <w:top w:val="single" w:sz="6" w:space="0" w:color="auto"/>
              <w:left w:val="single" w:sz="6" w:space="0" w:color="auto"/>
              <w:bottom w:val="single" w:sz="6" w:space="0" w:color="auto"/>
              <w:right w:val="single" w:sz="6" w:space="0" w:color="auto"/>
            </w:tcBorders>
          </w:tcPr>
          <w:p w14:paraId="3D6767F2" w14:textId="77777777" w:rsidR="001B4A2F" w:rsidRPr="00AC2EB0" w:rsidRDefault="001B4A2F" w:rsidP="00AA05AE">
            <w:pPr>
              <w:ind w:left="0"/>
              <w:rPr>
                <w:rFonts w:cs="Arial"/>
                <w:snapToGrid w:val="0"/>
                <w:color w:val="000000"/>
                <w:szCs w:val="24"/>
              </w:rPr>
            </w:pPr>
            <w:r>
              <w:rPr>
                <w:rFonts w:cs="Arial"/>
                <w:snapToGrid w:val="0"/>
                <w:color w:val="000000"/>
                <w:szCs w:val="24"/>
              </w:rPr>
              <w:t>TRX</w:t>
            </w:r>
          </w:p>
        </w:tc>
        <w:tc>
          <w:tcPr>
            <w:tcW w:w="9180" w:type="dxa"/>
            <w:tcBorders>
              <w:top w:val="single" w:sz="6" w:space="0" w:color="auto"/>
              <w:left w:val="single" w:sz="6" w:space="0" w:color="auto"/>
              <w:bottom w:val="single" w:sz="6" w:space="0" w:color="auto"/>
              <w:right w:val="single" w:sz="6" w:space="0" w:color="auto"/>
            </w:tcBorders>
          </w:tcPr>
          <w:p w14:paraId="430B78DE" w14:textId="77777777" w:rsidR="001B4A2F" w:rsidRPr="008C2C58" w:rsidRDefault="001B4A2F" w:rsidP="00AA05AE">
            <w:pPr>
              <w:ind w:left="0"/>
              <w:rPr>
                <w:rFonts w:cs="Arial"/>
                <w:snapToGrid w:val="0"/>
                <w:color w:val="000000"/>
                <w:szCs w:val="24"/>
              </w:rPr>
            </w:pPr>
            <w:r w:rsidRPr="00394204">
              <w:rPr>
                <w:rFonts w:cs="Arial"/>
                <w:snapToGrid w:val="0"/>
                <w:color w:val="000000"/>
                <w:szCs w:val="24"/>
              </w:rPr>
              <w:t>Extended Trade Readjustment Allowance</w:t>
            </w:r>
          </w:p>
        </w:tc>
      </w:tr>
      <w:tr w:rsidR="001B4A2F" w:rsidRPr="008C2C58" w14:paraId="1432410A"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7888B896" w14:textId="77777777" w:rsidR="001B4A2F" w:rsidRPr="00AC2EB0" w:rsidRDefault="001B4A2F" w:rsidP="00031367">
            <w:pPr>
              <w:ind w:left="0"/>
              <w:rPr>
                <w:rFonts w:cs="Arial"/>
                <w:snapToGrid w:val="0"/>
                <w:color w:val="000000"/>
                <w:szCs w:val="24"/>
              </w:rPr>
            </w:pPr>
            <w:r>
              <w:rPr>
                <w:rFonts w:cs="Arial"/>
                <w:snapToGrid w:val="0"/>
                <w:color w:val="000000"/>
                <w:szCs w:val="24"/>
              </w:rPr>
              <w:t>TUCA</w:t>
            </w:r>
          </w:p>
        </w:tc>
        <w:tc>
          <w:tcPr>
            <w:tcW w:w="9180" w:type="dxa"/>
            <w:tcBorders>
              <w:top w:val="single" w:sz="6" w:space="0" w:color="auto"/>
              <w:left w:val="single" w:sz="6" w:space="0" w:color="auto"/>
              <w:bottom w:val="single" w:sz="6" w:space="0" w:color="auto"/>
              <w:right w:val="single" w:sz="6" w:space="0" w:color="auto"/>
            </w:tcBorders>
          </w:tcPr>
          <w:p w14:paraId="301E4462" w14:textId="77777777" w:rsidR="001B4A2F" w:rsidRPr="008C2C58" w:rsidRDefault="001B4A2F" w:rsidP="00031367">
            <w:pPr>
              <w:ind w:left="0"/>
              <w:rPr>
                <w:rFonts w:cs="Arial"/>
                <w:snapToGrid w:val="0"/>
                <w:color w:val="000000"/>
                <w:szCs w:val="24"/>
              </w:rPr>
            </w:pPr>
            <w:r>
              <w:t>Texas Unemployment Compensation Act (</w:t>
            </w:r>
            <w:hyperlink r:id="rId13" w:anchor="tuca)" w:history="1">
              <w:r w:rsidRPr="00700FCD">
                <w:rPr>
                  <w:rStyle w:val="Hyperlink"/>
                </w:rPr>
                <w:t>https://twc.texas.gov/agency/twc-primary-enabling-state-statutes#tuca)</w:t>
              </w:r>
            </w:hyperlink>
          </w:p>
        </w:tc>
      </w:tr>
      <w:tr w:rsidR="001B4A2F" w:rsidRPr="008C2C58" w14:paraId="099AC08B"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66F5E383"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TWC</w:t>
            </w:r>
          </w:p>
        </w:tc>
        <w:tc>
          <w:tcPr>
            <w:tcW w:w="9180" w:type="dxa"/>
            <w:tcBorders>
              <w:top w:val="single" w:sz="6" w:space="0" w:color="auto"/>
              <w:left w:val="single" w:sz="6" w:space="0" w:color="auto"/>
              <w:bottom w:val="single" w:sz="6" w:space="0" w:color="auto"/>
              <w:right w:val="single" w:sz="6" w:space="0" w:color="auto"/>
            </w:tcBorders>
          </w:tcPr>
          <w:p w14:paraId="0226125A"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Texas Workforce Commission</w:t>
            </w:r>
          </w:p>
        </w:tc>
      </w:tr>
      <w:tr w:rsidR="001B4A2F" w:rsidRPr="008C2C58" w14:paraId="05B1FC05" w14:textId="77777777" w:rsidTr="00482456">
        <w:tblPrEx>
          <w:tblLook w:val="04A0" w:firstRow="1" w:lastRow="0" w:firstColumn="1" w:lastColumn="0" w:noHBand="0" w:noVBand="1"/>
        </w:tblPrEx>
        <w:trPr>
          <w:trHeight w:val="226"/>
        </w:trPr>
        <w:tc>
          <w:tcPr>
            <w:tcW w:w="1620" w:type="dxa"/>
            <w:tcBorders>
              <w:top w:val="single" w:sz="6" w:space="0" w:color="auto"/>
              <w:left w:val="single" w:sz="6" w:space="0" w:color="auto"/>
              <w:bottom w:val="single" w:sz="6" w:space="0" w:color="auto"/>
              <w:right w:val="single" w:sz="6" w:space="0" w:color="auto"/>
            </w:tcBorders>
            <w:hideMark/>
          </w:tcPr>
          <w:p w14:paraId="10D950AB"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TWC Data</w:t>
            </w:r>
          </w:p>
        </w:tc>
        <w:tc>
          <w:tcPr>
            <w:tcW w:w="9180" w:type="dxa"/>
            <w:tcBorders>
              <w:top w:val="single" w:sz="6" w:space="0" w:color="auto"/>
              <w:left w:val="single" w:sz="6" w:space="0" w:color="auto"/>
              <w:bottom w:val="single" w:sz="6" w:space="0" w:color="auto"/>
              <w:right w:val="single" w:sz="6" w:space="0" w:color="auto"/>
            </w:tcBorders>
            <w:hideMark/>
          </w:tcPr>
          <w:p w14:paraId="7BF8751E"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 xml:space="preserve">All data entered in to the Awarded Vendor-supplied solution, </w:t>
            </w:r>
            <w:r w:rsidRPr="00364874">
              <w:t xml:space="preserve">either by Texas </w:t>
            </w:r>
            <w:r>
              <w:t>Claimants</w:t>
            </w:r>
            <w:r w:rsidRPr="00364874">
              <w:t xml:space="preserve">, </w:t>
            </w:r>
            <w:r>
              <w:t xml:space="preserve">Employers, TPAs, TWC Staff, </w:t>
            </w:r>
            <w:r w:rsidRPr="00364874">
              <w:t>local users, or other State of Texas staff is the property of the T</w:t>
            </w:r>
            <w:r>
              <w:t xml:space="preserve">exas </w:t>
            </w:r>
            <w:r w:rsidRPr="00364874">
              <w:t>W</w:t>
            </w:r>
            <w:r>
              <w:t xml:space="preserve">orkforce </w:t>
            </w:r>
            <w:r w:rsidRPr="00364874">
              <w:t>C</w:t>
            </w:r>
            <w:r>
              <w:t>ommission</w:t>
            </w:r>
            <w:r w:rsidRPr="008C2C58">
              <w:rPr>
                <w:rFonts w:cs="Arial"/>
                <w:snapToGrid w:val="0"/>
                <w:color w:val="000000"/>
                <w:szCs w:val="24"/>
              </w:rPr>
              <w:t xml:space="preserve">. </w:t>
            </w:r>
          </w:p>
        </w:tc>
      </w:tr>
      <w:tr w:rsidR="001B4A2F" w:rsidRPr="008C2C58" w14:paraId="01D417E6"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181E0E48"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lastRenderedPageBreak/>
              <w:t>TWIST</w:t>
            </w:r>
          </w:p>
        </w:tc>
        <w:tc>
          <w:tcPr>
            <w:tcW w:w="9180" w:type="dxa"/>
            <w:tcBorders>
              <w:top w:val="single" w:sz="6" w:space="0" w:color="auto"/>
              <w:left w:val="single" w:sz="6" w:space="0" w:color="auto"/>
              <w:bottom w:val="single" w:sz="6" w:space="0" w:color="auto"/>
              <w:right w:val="single" w:sz="6" w:space="0" w:color="auto"/>
            </w:tcBorders>
          </w:tcPr>
          <w:p w14:paraId="5416980D"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The Workforce Information System of Texas</w:t>
            </w:r>
            <w:r>
              <w:rPr>
                <w:rFonts w:cs="Arial"/>
                <w:snapToGrid w:val="0"/>
                <w:color w:val="000000"/>
                <w:szCs w:val="24"/>
              </w:rPr>
              <w:t>. The current legacy system is scheduled to be modernized within the next 6 years from the posting date of this RFO.</w:t>
            </w:r>
          </w:p>
        </w:tc>
      </w:tr>
      <w:tr w:rsidR="001B4A2F" w:rsidRPr="008C2C58" w14:paraId="587ABDBA"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40A5789E"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U.S.C.</w:t>
            </w:r>
          </w:p>
        </w:tc>
        <w:tc>
          <w:tcPr>
            <w:tcW w:w="9180" w:type="dxa"/>
            <w:tcBorders>
              <w:top w:val="single" w:sz="6" w:space="0" w:color="auto"/>
              <w:left w:val="single" w:sz="6" w:space="0" w:color="auto"/>
              <w:bottom w:val="single" w:sz="6" w:space="0" w:color="auto"/>
              <w:right w:val="single" w:sz="6" w:space="0" w:color="auto"/>
            </w:tcBorders>
          </w:tcPr>
          <w:p w14:paraId="271129BB"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United States Code (also USC)</w:t>
            </w:r>
          </w:p>
        </w:tc>
      </w:tr>
      <w:tr w:rsidR="001B4A2F" w:rsidRPr="008C2C58" w14:paraId="3B7A507C" w14:textId="77777777" w:rsidTr="00482456">
        <w:tblPrEx>
          <w:tblLook w:val="04A0" w:firstRow="1" w:lastRow="0" w:firstColumn="1" w:lastColumn="0" w:noHBand="0" w:noVBand="1"/>
        </w:tblPrEx>
        <w:trPr>
          <w:trHeight w:val="226"/>
        </w:trPr>
        <w:tc>
          <w:tcPr>
            <w:tcW w:w="1620" w:type="dxa"/>
            <w:tcBorders>
              <w:top w:val="single" w:sz="6" w:space="0" w:color="auto"/>
              <w:left w:val="single" w:sz="6" w:space="0" w:color="auto"/>
              <w:bottom w:val="single" w:sz="6" w:space="0" w:color="auto"/>
              <w:right w:val="single" w:sz="6" w:space="0" w:color="auto"/>
            </w:tcBorders>
            <w:hideMark/>
          </w:tcPr>
          <w:p w14:paraId="77CD7DC1"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UAT</w:t>
            </w:r>
          </w:p>
        </w:tc>
        <w:tc>
          <w:tcPr>
            <w:tcW w:w="9180" w:type="dxa"/>
            <w:tcBorders>
              <w:top w:val="single" w:sz="6" w:space="0" w:color="auto"/>
              <w:left w:val="single" w:sz="6" w:space="0" w:color="auto"/>
              <w:bottom w:val="single" w:sz="6" w:space="0" w:color="auto"/>
              <w:right w:val="single" w:sz="6" w:space="0" w:color="auto"/>
            </w:tcBorders>
            <w:hideMark/>
          </w:tcPr>
          <w:p w14:paraId="215E589D"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User Acceptance Testing</w:t>
            </w:r>
          </w:p>
        </w:tc>
      </w:tr>
      <w:tr w:rsidR="001B4A2F" w:rsidRPr="008C2C58" w14:paraId="643CE143" w14:textId="77777777" w:rsidTr="00AA05AE">
        <w:trPr>
          <w:trHeight w:val="226"/>
        </w:trPr>
        <w:tc>
          <w:tcPr>
            <w:tcW w:w="1620" w:type="dxa"/>
            <w:tcBorders>
              <w:top w:val="single" w:sz="6" w:space="0" w:color="auto"/>
              <w:left w:val="single" w:sz="6" w:space="0" w:color="auto"/>
              <w:bottom w:val="single" w:sz="6" w:space="0" w:color="auto"/>
              <w:right w:val="single" w:sz="6" w:space="0" w:color="auto"/>
            </w:tcBorders>
          </w:tcPr>
          <w:p w14:paraId="5E6E6988" w14:textId="77777777" w:rsidR="001B4A2F" w:rsidRPr="00AC2EB0" w:rsidRDefault="001B4A2F" w:rsidP="00AA05AE">
            <w:pPr>
              <w:ind w:left="0"/>
              <w:rPr>
                <w:rFonts w:cs="Arial"/>
                <w:snapToGrid w:val="0"/>
                <w:color w:val="000000"/>
                <w:szCs w:val="24"/>
              </w:rPr>
            </w:pPr>
            <w:r>
              <w:rPr>
                <w:rFonts w:cs="Arial"/>
                <w:snapToGrid w:val="0"/>
                <w:color w:val="000000"/>
                <w:szCs w:val="24"/>
              </w:rPr>
              <w:t>UBS</w:t>
            </w:r>
          </w:p>
        </w:tc>
        <w:tc>
          <w:tcPr>
            <w:tcW w:w="9180" w:type="dxa"/>
            <w:tcBorders>
              <w:top w:val="single" w:sz="6" w:space="0" w:color="auto"/>
              <w:left w:val="single" w:sz="6" w:space="0" w:color="auto"/>
              <w:bottom w:val="single" w:sz="6" w:space="0" w:color="auto"/>
              <w:right w:val="single" w:sz="6" w:space="0" w:color="auto"/>
            </w:tcBorders>
          </w:tcPr>
          <w:p w14:paraId="4CD360FE" w14:textId="77777777" w:rsidR="001B4A2F" w:rsidRPr="008C2C58" w:rsidRDefault="001B4A2F" w:rsidP="00AA05AE">
            <w:pPr>
              <w:ind w:left="0"/>
              <w:rPr>
                <w:rFonts w:cs="Arial"/>
                <w:snapToGrid w:val="0"/>
                <w:color w:val="000000"/>
                <w:szCs w:val="24"/>
              </w:rPr>
            </w:pPr>
            <w:r>
              <w:rPr>
                <w:rFonts w:cs="Arial"/>
                <w:snapToGrid w:val="0"/>
                <w:color w:val="000000"/>
                <w:szCs w:val="24"/>
              </w:rPr>
              <w:t>Unemployment Benefits Services (TWC’s claimant self-service portal)</w:t>
            </w:r>
          </w:p>
        </w:tc>
      </w:tr>
      <w:tr w:rsidR="001B4A2F" w:rsidRPr="008C2C58" w14:paraId="3647A4D3"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0E9AC440"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UC</w:t>
            </w:r>
          </w:p>
        </w:tc>
        <w:tc>
          <w:tcPr>
            <w:tcW w:w="9180" w:type="dxa"/>
            <w:tcBorders>
              <w:top w:val="single" w:sz="6" w:space="0" w:color="auto"/>
              <w:left w:val="single" w:sz="6" w:space="0" w:color="auto"/>
              <w:bottom w:val="single" w:sz="6" w:space="0" w:color="auto"/>
              <w:right w:val="single" w:sz="6" w:space="0" w:color="auto"/>
            </w:tcBorders>
          </w:tcPr>
          <w:p w14:paraId="626776DB"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Unemployment Compensation</w:t>
            </w:r>
          </w:p>
        </w:tc>
      </w:tr>
      <w:tr w:rsidR="001B4A2F" w:rsidRPr="008C2C58" w14:paraId="071744E2" w14:textId="77777777" w:rsidTr="00AA05AE">
        <w:trPr>
          <w:trHeight w:val="226"/>
        </w:trPr>
        <w:tc>
          <w:tcPr>
            <w:tcW w:w="1620" w:type="dxa"/>
            <w:tcBorders>
              <w:top w:val="single" w:sz="6" w:space="0" w:color="auto"/>
              <w:left w:val="single" w:sz="6" w:space="0" w:color="auto"/>
              <w:bottom w:val="single" w:sz="6" w:space="0" w:color="auto"/>
              <w:right w:val="single" w:sz="6" w:space="0" w:color="auto"/>
            </w:tcBorders>
          </w:tcPr>
          <w:p w14:paraId="758AF064" w14:textId="77777777" w:rsidR="001B4A2F" w:rsidRPr="00AC2EB0" w:rsidRDefault="001B4A2F" w:rsidP="00AA05AE">
            <w:pPr>
              <w:ind w:left="0"/>
              <w:rPr>
                <w:rFonts w:cs="Arial"/>
                <w:snapToGrid w:val="0"/>
                <w:color w:val="000000"/>
                <w:szCs w:val="24"/>
              </w:rPr>
            </w:pPr>
            <w:bookmarkStart w:id="2" w:name="_Hlk524709834"/>
            <w:r>
              <w:rPr>
                <w:rFonts w:cs="Arial"/>
                <w:snapToGrid w:val="0"/>
                <w:color w:val="000000"/>
                <w:szCs w:val="24"/>
              </w:rPr>
              <w:t>UCFE</w:t>
            </w:r>
          </w:p>
        </w:tc>
        <w:tc>
          <w:tcPr>
            <w:tcW w:w="9180" w:type="dxa"/>
            <w:tcBorders>
              <w:top w:val="single" w:sz="6" w:space="0" w:color="auto"/>
              <w:left w:val="single" w:sz="6" w:space="0" w:color="auto"/>
              <w:bottom w:val="single" w:sz="6" w:space="0" w:color="auto"/>
              <w:right w:val="single" w:sz="6" w:space="0" w:color="auto"/>
            </w:tcBorders>
          </w:tcPr>
          <w:p w14:paraId="6E351FF1" w14:textId="77777777" w:rsidR="001B4A2F" w:rsidRPr="008C2C58" w:rsidRDefault="001B4A2F" w:rsidP="00AA05AE">
            <w:pPr>
              <w:ind w:left="0"/>
              <w:rPr>
                <w:rFonts w:cs="Arial"/>
                <w:snapToGrid w:val="0"/>
                <w:color w:val="000000"/>
                <w:szCs w:val="24"/>
              </w:rPr>
            </w:pPr>
            <w:r w:rsidRPr="004F0FEB">
              <w:rPr>
                <w:rFonts w:cs="Arial"/>
                <w:snapToGrid w:val="0"/>
                <w:color w:val="000000"/>
                <w:szCs w:val="24"/>
              </w:rPr>
              <w:t>Unemployment Compensation for Federal Employees</w:t>
            </w:r>
          </w:p>
        </w:tc>
      </w:tr>
      <w:tr w:rsidR="001B4A2F" w:rsidRPr="008C2C58" w14:paraId="2BADC5D5" w14:textId="77777777" w:rsidTr="00AA05AE">
        <w:trPr>
          <w:trHeight w:val="226"/>
        </w:trPr>
        <w:tc>
          <w:tcPr>
            <w:tcW w:w="1620" w:type="dxa"/>
            <w:tcBorders>
              <w:top w:val="single" w:sz="6" w:space="0" w:color="auto"/>
              <w:left w:val="single" w:sz="6" w:space="0" w:color="auto"/>
              <w:bottom w:val="single" w:sz="6" w:space="0" w:color="auto"/>
              <w:right w:val="single" w:sz="6" w:space="0" w:color="auto"/>
            </w:tcBorders>
          </w:tcPr>
          <w:p w14:paraId="22BA4DF9" w14:textId="77777777" w:rsidR="001B4A2F" w:rsidRPr="00AC2EB0" w:rsidRDefault="001B4A2F" w:rsidP="00AA05AE">
            <w:pPr>
              <w:ind w:left="0"/>
              <w:rPr>
                <w:rFonts w:cs="Arial"/>
                <w:snapToGrid w:val="0"/>
                <w:color w:val="000000"/>
                <w:szCs w:val="24"/>
              </w:rPr>
            </w:pPr>
            <w:r>
              <w:rPr>
                <w:rFonts w:cs="Arial"/>
                <w:snapToGrid w:val="0"/>
                <w:color w:val="000000"/>
                <w:szCs w:val="24"/>
              </w:rPr>
              <w:t>UCX</w:t>
            </w:r>
          </w:p>
        </w:tc>
        <w:tc>
          <w:tcPr>
            <w:tcW w:w="9180" w:type="dxa"/>
            <w:tcBorders>
              <w:top w:val="single" w:sz="6" w:space="0" w:color="auto"/>
              <w:left w:val="single" w:sz="6" w:space="0" w:color="auto"/>
              <w:bottom w:val="single" w:sz="6" w:space="0" w:color="auto"/>
              <w:right w:val="single" w:sz="6" w:space="0" w:color="auto"/>
            </w:tcBorders>
          </w:tcPr>
          <w:p w14:paraId="604E01F4" w14:textId="77777777" w:rsidR="001B4A2F" w:rsidRPr="008C2C58" w:rsidRDefault="001B4A2F" w:rsidP="00AA05AE">
            <w:pPr>
              <w:ind w:left="0"/>
              <w:rPr>
                <w:rFonts w:cs="Arial"/>
                <w:snapToGrid w:val="0"/>
                <w:color w:val="000000"/>
                <w:szCs w:val="24"/>
              </w:rPr>
            </w:pPr>
            <w:r w:rsidRPr="004F0FEB">
              <w:rPr>
                <w:rFonts w:cs="Arial"/>
                <w:snapToGrid w:val="0"/>
                <w:color w:val="000000"/>
                <w:szCs w:val="24"/>
              </w:rPr>
              <w:t>Unemployment Compensation for Ex-Service Members</w:t>
            </w:r>
          </w:p>
        </w:tc>
      </w:tr>
      <w:tr w:rsidR="001B4A2F" w:rsidRPr="008C2C58" w14:paraId="5A3C548A"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448B4E33"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UI</w:t>
            </w:r>
          </w:p>
        </w:tc>
        <w:tc>
          <w:tcPr>
            <w:tcW w:w="9180" w:type="dxa"/>
            <w:tcBorders>
              <w:top w:val="single" w:sz="6" w:space="0" w:color="auto"/>
              <w:left w:val="single" w:sz="6" w:space="0" w:color="auto"/>
              <w:bottom w:val="single" w:sz="6" w:space="0" w:color="auto"/>
              <w:right w:val="single" w:sz="6" w:space="0" w:color="auto"/>
            </w:tcBorders>
          </w:tcPr>
          <w:p w14:paraId="2F43E1DB"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Unemployment Insurance</w:t>
            </w:r>
          </w:p>
        </w:tc>
      </w:tr>
      <w:tr w:rsidR="001B4A2F" w:rsidRPr="008C2C58" w14:paraId="34FDEFDC"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578424FF"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UI Auto-Registration</w:t>
            </w:r>
          </w:p>
        </w:tc>
        <w:tc>
          <w:tcPr>
            <w:tcW w:w="9180" w:type="dxa"/>
            <w:tcBorders>
              <w:top w:val="single" w:sz="6" w:space="0" w:color="auto"/>
              <w:left w:val="single" w:sz="6" w:space="0" w:color="auto"/>
              <w:bottom w:val="single" w:sz="6" w:space="0" w:color="auto"/>
              <w:right w:val="single" w:sz="6" w:space="0" w:color="auto"/>
            </w:tcBorders>
          </w:tcPr>
          <w:p w14:paraId="038C35F0"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 xml:space="preserve">If a UI </w:t>
            </w:r>
            <w:r>
              <w:rPr>
                <w:rFonts w:cs="Arial"/>
                <w:snapToGrid w:val="0"/>
                <w:color w:val="000000"/>
                <w:szCs w:val="24"/>
              </w:rPr>
              <w:t xml:space="preserve">Claimant </w:t>
            </w:r>
            <w:r w:rsidRPr="008C2C58">
              <w:rPr>
                <w:rFonts w:cs="Arial"/>
                <w:snapToGrid w:val="0"/>
                <w:color w:val="000000"/>
                <w:szCs w:val="24"/>
              </w:rPr>
              <w:t xml:space="preserve">fails to register in the Labor Exchange system within seven (7) calendar days of filing an Initial Claim, TWC systems automatically register </w:t>
            </w:r>
            <w:r>
              <w:rPr>
                <w:rFonts w:cs="Arial"/>
                <w:snapToGrid w:val="0"/>
                <w:color w:val="000000"/>
                <w:szCs w:val="24"/>
              </w:rPr>
              <w:t xml:space="preserve">Claimant </w:t>
            </w:r>
            <w:r w:rsidRPr="008C2C58">
              <w:rPr>
                <w:rFonts w:cs="Arial"/>
                <w:snapToGrid w:val="0"/>
                <w:color w:val="000000"/>
                <w:szCs w:val="24"/>
              </w:rPr>
              <w:t>in the Labor Exchange system from the information provided during the UI Benefits Initial Claim filing process</w:t>
            </w:r>
          </w:p>
        </w:tc>
      </w:tr>
      <w:tr w:rsidR="001B4A2F" w:rsidRPr="008C2C58" w14:paraId="2D0F3147"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0CE7A331" w14:textId="77777777" w:rsidR="001B4A2F" w:rsidRPr="00AC2EB0" w:rsidRDefault="001B4A2F" w:rsidP="00031367">
            <w:pPr>
              <w:ind w:left="0"/>
              <w:rPr>
                <w:rFonts w:cs="Arial"/>
                <w:snapToGrid w:val="0"/>
                <w:color w:val="000000"/>
                <w:szCs w:val="24"/>
              </w:rPr>
            </w:pPr>
            <w:r>
              <w:rPr>
                <w:rFonts w:cs="Arial"/>
                <w:snapToGrid w:val="0"/>
                <w:color w:val="000000"/>
                <w:szCs w:val="24"/>
              </w:rPr>
              <w:t>UIEV</w:t>
            </w:r>
          </w:p>
        </w:tc>
        <w:tc>
          <w:tcPr>
            <w:tcW w:w="9180" w:type="dxa"/>
            <w:tcBorders>
              <w:top w:val="single" w:sz="6" w:space="0" w:color="auto"/>
              <w:left w:val="single" w:sz="6" w:space="0" w:color="auto"/>
              <w:bottom w:val="single" w:sz="6" w:space="0" w:color="auto"/>
              <w:right w:val="single" w:sz="6" w:space="0" w:color="auto"/>
            </w:tcBorders>
          </w:tcPr>
          <w:p w14:paraId="2D6C413B" w14:textId="77777777" w:rsidR="001B4A2F" w:rsidRDefault="001B4A2F" w:rsidP="00031367">
            <w:pPr>
              <w:tabs>
                <w:tab w:val="left" w:pos="3270"/>
              </w:tabs>
              <w:ind w:left="0"/>
            </w:pPr>
            <w:r w:rsidRPr="00293A8E">
              <w:rPr>
                <w:rFonts w:cs="Calibri"/>
              </w:rPr>
              <w:t>Unemployment Insurance Employment Verification</w:t>
            </w:r>
          </w:p>
        </w:tc>
      </w:tr>
      <w:tr w:rsidR="001B4A2F" w:rsidRPr="008C2C58" w14:paraId="7BF5347E"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3AE23727"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UIO&amp;CS</w:t>
            </w:r>
          </w:p>
        </w:tc>
        <w:tc>
          <w:tcPr>
            <w:tcW w:w="9180" w:type="dxa"/>
            <w:tcBorders>
              <w:top w:val="single" w:sz="6" w:space="0" w:color="auto"/>
              <w:left w:val="single" w:sz="6" w:space="0" w:color="auto"/>
              <w:bottom w:val="single" w:sz="6" w:space="0" w:color="auto"/>
              <w:right w:val="single" w:sz="6" w:space="0" w:color="auto"/>
            </w:tcBorders>
          </w:tcPr>
          <w:p w14:paraId="136A9C27" w14:textId="77777777" w:rsidR="001B4A2F" w:rsidRPr="001F01DD" w:rsidRDefault="001B4A2F" w:rsidP="00031367">
            <w:pPr>
              <w:tabs>
                <w:tab w:val="left" w:pos="3270"/>
              </w:tabs>
              <w:ind w:left="0"/>
            </w:pPr>
            <w:r>
              <w:t>UI Operations and Customer Service</w:t>
            </w:r>
          </w:p>
        </w:tc>
      </w:tr>
      <w:tr w:rsidR="001B4A2F" w:rsidRPr="008C2C58" w14:paraId="63EA114E"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08EBCC0C"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UIPL</w:t>
            </w:r>
          </w:p>
        </w:tc>
        <w:tc>
          <w:tcPr>
            <w:tcW w:w="9180" w:type="dxa"/>
            <w:tcBorders>
              <w:top w:val="single" w:sz="6" w:space="0" w:color="auto"/>
              <w:left w:val="single" w:sz="6" w:space="0" w:color="auto"/>
              <w:bottom w:val="single" w:sz="6" w:space="0" w:color="auto"/>
              <w:right w:val="single" w:sz="6" w:space="0" w:color="auto"/>
            </w:tcBorders>
          </w:tcPr>
          <w:p w14:paraId="58FFAF04" w14:textId="77777777" w:rsidR="001B4A2F" w:rsidRDefault="001B4A2F" w:rsidP="00031367">
            <w:pPr>
              <w:tabs>
                <w:tab w:val="left" w:pos="3270"/>
              </w:tabs>
              <w:ind w:left="0"/>
            </w:pPr>
            <w:r>
              <w:t>Unemployment Insurance Program Letter (DOL)</w:t>
            </w:r>
          </w:p>
        </w:tc>
      </w:tr>
      <w:tr w:rsidR="001B4A2F" w:rsidRPr="008C2C58" w14:paraId="374D00DF"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25A6C9E9" w14:textId="77777777" w:rsidR="001B4A2F" w:rsidRPr="00791308" w:rsidRDefault="001B4A2F" w:rsidP="00031367">
            <w:pPr>
              <w:ind w:left="0"/>
            </w:pPr>
            <w:r w:rsidRPr="00791308">
              <w:t>UIQ</w:t>
            </w:r>
          </w:p>
        </w:tc>
        <w:tc>
          <w:tcPr>
            <w:tcW w:w="9180" w:type="dxa"/>
            <w:tcBorders>
              <w:top w:val="single" w:sz="6" w:space="0" w:color="auto"/>
              <w:left w:val="single" w:sz="6" w:space="0" w:color="auto"/>
              <w:bottom w:val="single" w:sz="6" w:space="0" w:color="auto"/>
              <w:right w:val="single" w:sz="6" w:space="0" w:color="auto"/>
            </w:tcBorders>
          </w:tcPr>
          <w:p w14:paraId="0A9CAAB1" w14:textId="77777777" w:rsidR="001B4A2F" w:rsidRPr="00791308" w:rsidRDefault="001B4A2F" w:rsidP="00031367">
            <w:pPr>
              <w:ind w:left="0"/>
            </w:pPr>
            <w:r w:rsidRPr="00791308">
              <w:t>The Unemployment Insurance Query (UIQ) provides State Unemployment Insurance agencies real-time online access to SSA data. This includes SSN verification and Title II benefit payment data via the Department of Labor (DOL) ICON Hub.</w:t>
            </w:r>
          </w:p>
        </w:tc>
      </w:tr>
      <w:tr w:rsidR="001B4A2F" w:rsidRPr="008C2C58" w14:paraId="48ABEC46"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20274A2C" w14:textId="77777777" w:rsidR="001B4A2F" w:rsidRPr="00791308" w:rsidRDefault="001B4A2F" w:rsidP="00031367">
            <w:pPr>
              <w:ind w:left="0"/>
            </w:pPr>
            <w:r w:rsidRPr="00791308">
              <w:t>URL</w:t>
            </w:r>
          </w:p>
        </w:tc>
        <w:tc>
          <w:tcPr>
            <w:tcW w:w="9180" w:type="dxa"/>
            <w:tcBorders>
              <w:top w:val="single" w:sz="6" w:space="0" w:color="auto"/>
              <w:left w:val="single" w:sz="6" w:space="0" w:color="auto"/>
              <w:bottom w:val="single" w:sz="6" w:space="0" w:color="auto"/>
              <w:right w:val="single" w:sz="6" w:space="0" w:color="auto"/>
            </w:tcBorders>
          </w:tcPr>
          <w:p w14:paraId="1E5547B0" w14:textId="77777777" w:rsidR="001B4A2F" w:rsidRPr="00791308" w:rsidRDefault="001B4A2F" w:rsidP="00031367">
            <w:pPr>
              <w:ind w:left="0"/>
            </w:pPr>
            <w:r w:rsidRPr="00791308">
              <w:t>Universal Resource Locator</w:t>
            </w:r>
          </w:p>
        </w:tc>
      </w:tr>
      <w:tr w:rsidR="001B4A2F" w:rsidRPr="008C2C58" w14:paraId="32CF592F"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06942242"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USAS</w:t>
            </w:r>
          </w:p>
        </w:tc>
        <w:tc>
          <w:tcPr>
            <w:tcW w:w="9180" w:type="dxa"/>
            <w:tcBorders>
              <w:top w:val="single" w:sz="6" w:space="0" w:color="auto"/>
              <w:left w:val="single" w:sz="6" w:space="0" w:color="auto"/>
              <w:bottom w:val="single" w:sz="6" w:space="0" w:color="auto"/>
              <w:right w:val="single" w:sz="6" w:space="0" w:color="auto"/>
            </w:tcBorders>
          </w:tcPr>
          <w:p w14:paraId="7BF2F5DF" w14:textId="77777777" w:rsidR="001B4A2F" w:rsidRPr="00FD38B3" w:rsidRDefault="001B4A2F" w:rsidP="00031367">
            <w:pPr>
              <w:tabs>
                <w:tab w:val="left" w:pos="3270"/>
              </w:tabs>
              <w:ind w:left="0"/>
            </w:pPr>
            <w:r w:rsidRPr="006C443C">
              <w:t>Uniform Statewide Accounting System</w:t>
            </w:r>
          </w:p>
        </w:tc>
      </w:tr>
      <w:tr w:rsidR="001B4A2F" w:rsidRPr="008C2C58" w14:paraId="4EA92710"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579D2C93"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Use Case</w:t>
            </w:r>
          </w:p>
        </w:tc>
        <w:tc>
          <w:tcPr>
            <w:tcW w:w="9180" w:type="dxa"/>
            <w:tcBorders>
              <w:top w:val="single" w:sz="6" w:space="0" w:color="auto"/>
              <w:left w:val="single" w:sz="6" w:space="0" w:color="auto"/>
              <w:bottom w:val="single" w:sz="6" w:space="0" w:color="auto"/>
              <w:right w:val="single" w:sz="6" w:space="0" w:color="auto"/>
            </w:tcBorders>
          </w:tcPr>
          <w:p w14:paraId="43C3EEB3"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A</w:t>
            </w:r>
            <w:r w:rsidRPr="008C2C58">
              <w:rPr>
                <w:snapToGrid w:val="0"/>
                <w:color w:val="000000"/>
                <w:szCs w:val="24"/>
              </w:rPr>
              <w:t> </w:t>
            </w:r>
            <w:r>
              <w:rPr>
                <w:rFonts w:cs="Arial"/>
                <w:snapToGrid w:val="0"/>
                <w:color w:val="000000"/>
                <w:szCs w:val="24"/>
              </w:rPr>
              <w:t>U</w:t>
            </w:r>
            <w:r w:rsidRPr="008C2C58">
              <w:rPr>
                <w:rFonts w:cs="Arial"/>
                <w:snapToGrid w:val="0"/>
                <w:color w:val="000000"/>
                <w:szCs w:val="24"/>
              </w:rPr>
              <w:t xml:space="preserve">se </w:t>
            </w:r>
            <w:r>
              <w:rPr>
                <w:rFonts w:cs="Arial"/>
                <w:snapToGrid w:val="0"/>
                <w:color w:val="000000"/>
                <w:szCs w:val="24"/>
              </w:rPr>
              <w:t>C</w:t>
            </w:r>
            <w:r w:rsidRPr="008C2C58">
              <w:rPr>
                <w:rFonts w:cs="Arial"/>
                <w:snapToGrid w:val="0"/>
                <w:color w:val="000000"/>
                <w:szCs w:val="24"/>
              </w:rPr>
              <w:t>ase</w:t>
            </w:r>
            <w:r w:rsidRPr="008C2C58">
              <w:rPr>
                <w:snapToGrid w:val="0"/>
                <w:color w:val="000000"/>
                <w:szCs w:val="24"/>
              </w:rPr>
              <w:t> </w:t>
            </w:r>
            <w:r w:rsidRPr="008C2C58">
              <w:rPr>
                <w:rFonts w:cs="Arial"/>
                <w:snapToGrid w:val="0"/>
                <w:color w:val="000000"/>
                <w:szCs w:val="24"/>
              </w:rPr>
              <w:t>is a list of actions or event steps, typically defining the interactions between a role (known in the Unified Modeling Language as an actor) and a system, to achieve a goal. The actor can be a human or other external system.</w:t>
            </w:r>
          </w:p>
        </w:tc>
      </w:tr>
      <w:tr w:rsidR="001B4A2F" w:rsidRPr="008C2C58" w14:paraId="6063E54A"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4A4C6914"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USPS</w:t>
            </w:r>
          </w:p>
        </w:tc>
        <w:tc>
          <w:tcPr>
            <w:tcW w:w="9180" w:type="dxa"/>
            <w:tcBorders>
              <w:top w:val="single" w:sz="6" w:space="0" w:color="auto"/>
              <w:left w:val="single" w:sz="6" w:space="0" w:color="auto"/>
              <w:bottom w:val="single" w:sz="6" w:space="0" w:color="auto"/>
              <w:right w:val="single" w:sz="6" w:space="0" w:color="auto"/>
            </w:tcBorders>
          </w:tcPr>
          <w:p w14:paraId="7067FD0E" w14:textId="77777777" w:rsidR="001B4A2F" w:rsidRPr="008C2C58" w:rsidRDefault="001B4A2F" w:rsidP="00031367">
            <w:pPr>
              <w:ind w:left="0"/>
              <w:rPr>
                <w:rFonts w:cs="Arial"/>
                <w:snapToGrid w:val="0"/>
                <w:color w:val="000000"/>
                <w:szCs w:val="24"/>
              </w:rPr>
            </w:pPr>
            <w:r w:rsidRPr="008C2C58">
              <w:rPr>
                <w:snapToGrid w:val="0"/>
                <w:color w:val="000000"/>
                <w:szCs w:val="24"/>
              </w:rPr>
              <w:t>United States Postal Service</w:t>
            </w:r>
          </w:p>
        </w:tc>
      </w:tr>
      <w:tr w:rsidR="001B4A2F" w:rsidRPr="008C2C58" w14:paraId="388BD8BA"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7360349A" w14:textId="77777777" w:rsidR="001B4A2F" w:rsidRPr="00AC2EB0" w:rsidRDefault="001B4A2F" w:rsidP="00031367">
            <w:pPr>
              <w:ind w:left="0"/>
              <w:rPr>
                <w:rFonts w:cs="Arial"/>
                <w:snapToGrid w:val="0"/>
                <w:color w:val="000000"/>
                <w:szCs w:val="24"/>
              </w:rPr>
            </w:pPr>
            <w:r>
              <w:rPr>
                <w:rFonts w:cs="Arial"/>
                <w:snapToGrid w:val="0"/>
                <w:color w:val="000000"/>
                <w:szCs w:val="24"/>
              </w:rPr>
              <w:lastRenderedPageBreak/>
              <w:t>UTR</w:t>
            </w:r>
          </w:p>
        </w:tc>
        <w:tc>
          <w:tcPr>
            <w:tcW w:w="9180" w:type="dxa"/>
            <w:tcBorders>
              <w:top w:val="single" w:sz="6" w:space="0" w:color="auto"/>
              <w:left w:val="single" w:sz="6" w:space="0" w:color="auto"/>
              <w:bottom w:val="single" w:sz="6" w:space="0" w:color="auto"/>
              <w:right w:val="single" w:sz="6" w:space="0" w:color="auto"/>
            </w:tcBorders>
          </w:tcPr>
          <w:p w14:paraId="4CCEE74A" w14:textId="77777777" w:rsidR="001B4A2F" w:rsidRPr="00E21848" w:rsidRDefault="001B4A2F" w:rsidP="00031367">
            <w:pPr>
              <w:tabs>
                <w:tab w:val="left" w:pos="3270"/>
              </w:tabs>
              <w:ind w:left="0"/>
            </w:pPr>
            <w:r>
              <w:t>Unemployment Tax Registration (online system)</w:t>
            </w:r>
          </w:p>
        </w:tc>
      </w:tr>
      <w:tr w:rsidR="001B4A2F" w:rsidRPr="008C2C58" w14:paraId="761F861A"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68061F0D" w14:textId="77777777" w:rsidR="001B4A2F" w:rsidRDefault="001B4A2F" w:rsidP="00031367">
            <w:pPr>
              <w:ind w:left="0"/>
              <w:rPr>
                <w:rFonts w:cs="Arial"/>
                <w:snapToGrid w:val="0"/>
                <w:color w:val="000000"/>
                <w:szCs w:val="24"/>
              </w:rPr>
            </w:pPr>
            <w:r>
              <w:rPr>
                <w:rFonts w:cs="Arial"/>
                <w:snapToGrid w:val="0"/>
                <w:color w:val="000000"/>
                <w:szCs w:val="24"/>
              </w:rPr>
              <w:t>UTS</w:t>
            </w:r>
          </w:p>
        </w:tc>
        <w:tc>
          <w:tcPr>
            <w:tcW w:w="9180" w:type="dxa"/>
            <w:tcBorders>
              <w:top w:val="single" w:sz="6" w:space="0" w:color="auto"/>
              <w:left w:val="single" w:sz="6" w:space="0" w:color="auto"/>
              <w:bottom w:val="single" w:sz="6" w:space="0" w:color="auto"/>
              <w:right w:val="single" w:sz="6" w:space="0" w:color="auto"/>
            </w:tcBorders>
          </w:tcPr>
          <w:p w14:paraId="4DE21A80" w14:textId="77777777" w:rsidR="001B4A2F" w:rsidRDefault="001B4A2F" w:rsidP="00031367">
            <w:pPr>
              <w:tabs>
                <w:tab w:val="left" w:pos="3270"/>
              </w:tabs>
              <w:ind w:left="0"/>
            </w:pPr>
            <w:r>
              <w:t>Unemployment Tax Services</w:t>
            </w:r>
          </w:p>
        </w:tc>
      </w:tr>
      <w:tr w:rsidR="001B4A2F" w:rsidRPr="008C2C58" w14:paraId="2BE3A702"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326878F9" w14:textId="77777777" w:rsidR="001B4A2F" w:rsidRPr="00AC2EB0" w:rsidRDefault="001B4A2F" w:rsidP="00031367">
            <w:pPr>
              <w:ind w:left="0"/>
              <w:rPr>
                <w:rFonts w:cs="Arial"/>
                <w:snapToGrid w:val="0"/>
                <w:color w:val="000000"/>
                <w:szCs w:val="24"/>
              </w:rPr>
            </w:pPr>
            <w:r>
              <w:rPr>
                <w:rFonts w:cs="Arial"/>
                <w:snapToGrid w:val="0"/>
                <w:color w:val="000000"/>
                <w:szCs w:val="24"/>
              </w:rPr>
              <w:t>VoIP</w:t>
            </w:r>
          </w:p>
        </w:tc>
        <w:tc>
          <w:tcPr>
            <w:tcW w:w="9180" w:type="dxa"/>
            <w:tcBorders>
              <w:top w:val="single" w:sz="6" w:space="0" w:color="auto"/>
              <w:left w:val="single" w:sz="6" w:space="0" w:color="auto"/>
              <w:bottom w:val="single" w:sz="6" w:space="0" w:color="auto"/>
              <w:right w:val="single" w:sz="6" w:space="0" w:color="auto"/>
            </w:tcBorders>
          </w:tcPr>
          <w:p w14:paraId="6CF5C717" w14:textId="77777777" w:rsidR="001B4A2F" w:rsidRPr="00E21848" w:rsidRDefault="001B4A2F" w:rsidP="00031367">
            <w:pPr>
              <w:tabs>
                <w:tab w:val="left" w:pos="3270"/>
              </w:tabs>
              <w:ind w:left="0"/>
            </w:pPr>
            <w:r>
              <w:t>Voice over Internet Protocol</w:t>
            </w:r>
          </w:p>
        </w:tc>
      </w:tr>
      <w:tr w:rsidR="001B4A2F" w:rsidRPr="008C2C58" w14:paraId="0A672E25"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578AAFB2"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VPAT</w:t>
            </w:r>
          </w:p>
        </w:tc>
        <w:tc>
          <w:tcPr>
            <w:tcW w:w="9180" w:type="dxa"/>
            <w:tcBorders>
              <w:top w:val="single" w:sz="6" w:space="0" w:color="auto"/>
              <w:left w:val="single" w:sz="6" w:space="0" w:color="auto"/>
              <w:bottom w:val="single" w:sz="6" w:space="0" w:color="auto"/>
              <w:right w:val="single" w:sz="6" w:space="0" w:color="auto"/>
            </w:tcBorders>
          </w:tcPr>
          <w:p w14:paraId="7E8333CD" w14:textId="77777777" w:rsidR="001B4A2F" w:rsidRDefault="001B4A2F" w:rsidP="00031367">
            <w:pPr>
              <w:tabs>
                <w:tab w:val="left" w:pos="3270"/>
              </w:tabs>
              <w:ind w:left="0"/>
            </w:pPr>
            <w:r w:rsidRPr="00E21848">
              <w:t>Voluntary Product Accessibility Template</w:t>
            </w:r>
          </w:p>
        </w:tc>
      </w:tr>
      <w:tr w:rsidR="001B4A2F" w:rsidRPr="008C2C58" w14:paraId="360CBC6C"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3361FFDC" w14:textId="77777777" w:rsidR="001B4A2F" w:rsidRPr="00AC2EB0" w:rsidRDefault="001B4A2F" w:rsidP="00031367">
            <w:pPr>
              <w:ind w:left="0"/>
              <w:rPr>
                <w:rFonts w:cs="Arial"/>
                <w:snapToGrid w:val="0"/>
                <w:color w:val="000000"/>
                <w:szCs w:val="24"/>
              </w:rPr>
            </w:pPr>
            <w:r>
              <w:rPr>
                <w:rFonts w:cs="Arial"/>
                <w:snapToGrid w:val="0"/>
                <w:color w:val="000000"/>
                <w:szCs w:val="24"/>
              </w:rPr>
              <w:t>VSAM</w:t>
            </w:r>
          </w:p>
        </w:tc>
        <w:tc>
          <w:tcPr>
            <w:tcW w:w="9180" w:type="dxa"/>
            <w:tcBorders>
              <w:top w:val="single" w:sz="6" w:space="0" w:color="auto"/>
              <w:left w:val="single" w:sz="6" w:space="0" w:color="auto"/>
              <w:bottom w:val="single" w:sz="6" w:space="0" w:color="auto"/>
              <w:right w:val="single" w:sz="6" w:space="0" w:color="auto"/>
            </w:tcBorders>
          </w:tcPr>
          <w:p w14:paraId="51A15A29" w14:textId="77777777" w:rsidR="001B4A2F" w:rsidRPr="008C2C58" w:rsidRDefault="001B4A2F" w:rsidP="00031367">
            <w:pPr>
              <w:ind w:left="0"/>
              <w:rPr>
                <w:rFonts w:cs="Arial"/>
                <w:snapToGrid w:val="0"/>
                <w:color w:val="000000"/>
                <w:szCs w:val="24"/>
              </w:rPr>
            </w:pPr>
            <w:r>
              <w:rPr>
                <w:rFonts w:cs="Arial"/>
                <w:snapToGrid w:val="0"/>
                <w:color w:val="000000"/>
                <w:szCs w:val="24"/>
              </w:rPr>
              <w:t>Virtual Storage Access Method</w:t>
            </w:r>
          </w:p>
        </w:tc>
      </w:tr>
      <w:tr w:rsidR="001B4A2F" w:rsidRPr="008C2C58" w14:paraId="4BF46EE7"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21A559CC"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WBS</w:t>
            </w:r>
          </w:p>
        </w:tc>
        <w:tc>
          <w:tcPr>
            <w:tcW w:w="9180" w:type="dxa"/>
            <w:tcBorders>
              <w:top w:val="single" w:sz="6" w:space="0" w:color="auto"/>
              <w:left w:val="single" w:sz="6" w:space="0" w:color="auto"/>
              <w:bottom w:val="single" w:sz="6" w:space="0" w:color="auto"/>
              <w:right w:val="single" w:sz="6" w:space="0" w:color="auto"/>
            </w:tcBorders>
          </w:tcPr>
          <w:p w14:paraId="5F72A36D"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Work Breakdown Structure</w:t>
            </w:r>
          </w:p>
        </w:tc>
      </w:tr>
      <w:tr w:rsidR="001B4A2F" w:rsidRPr="008C2C58" w14:paraId="64FA22D9"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7B4F79BE"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WCAG</w:t>
            </w:r>
          </w:p>
        </w:tc>
        <w:tc>
          <w:tcPr>
            <w:tcW w:w="9180" w:type="dxa"/>
            <w:tcBorders>
              <w:top w:val="single" w:sz="6" w:space="0" w:color="auto"/>
              <w:left w:val="single" w:sz="6" w:space="0" w:color="auto"/>
              <w:bottom w:val="single" w:sz="6" w:space="0" w:color="auto"/>
              <w:right w:val="single" w:sz="6" w:space="0" w:color="auto"/>
            </w:tcBorders>
          </w:tcPr>
          <w:p w14:paraId="32FE6875" w14:textId="77777777" w:rsidR="001B4A2F" w:rsidRPr="008C2C58" w:rsidRDefault="001B4A2F" w:rsidP="00031367">
            <w:pPr>
              <w:ind w:left="0"/>
              <w:rPr>
                <w:rFonts w:cs="Arial"/>
                <w:snapToGrid w:val="0"/>
                <w:color w:val="000000"/>
                <w:szCs w:val="24"/>
              </w:rPr>
            </w:pPr>
            <w:r w:rsidRPr="008C2C58">
              <w:rPr>
                <w:rFonts w:cs="Arial"/>
                <w:snapToGrid w:val="0"/>
                <w:color w:val="000000"/>
                <w:szCs w:val="24"/>
              </w:rPr>
              <w:t>Web Content Accessibility Guidelines</w:t>
            </w:r>
          </w:p>
        </w:tc>
      </w:tr>
      <w:tr w:rsidR="001B4A2F" w:rsidRPr="008C2C58" w14:paraId="7CDD7B1D" w14:textId="77777777" w:rsidTr="00AA05AE">
        <w:trPr>
          <w:trHeight w:val="226"/>
        </w:trPr>
        <w:tc>
          <w:tcPr>
            <w:tcW w:w="1620" w:type="dxa"/>
            <w:tcBorders>
              <w:top w:val="single" w:sz="6" w:space="0" w:color="auto"/>
              <w:left w:val="single" w:sz="6" w:space="0" w:color="auto"/>
              <w:bottom w:val="single" w:sz="6" w:space="0" w:color="auto"/>
              <w:right w:val="single" w:sz="6" w:space="0" w:color="auto"/>
            </w:tcBorders>
          </w:tcPr>
          <w:p w14:paraId="6B17D092" w14:textId="77777777" w:rsidR="001B4A2F" w:rsidRPr="00AC2EB0" w:rsidRDefault="001B4A2F" w:rsidP="00AA05AE">
            <w:pPr>
              <w:ind w:left="0"/>
              <w:rPr>
                <w:rFonts w:cs="Arial"/>
                <w:snapToGrid w:val="0"/>
                <w:color w:val="000000"/>
                <w:szCs w:val="24"/>
              </w:rPr>
            </w:pPr>
            <w:r>
              <w:rPr>
                <w:rFonts w:cs="Arial"/>
                <w:snapToGrid w:val="0"/>
                <w:color w:val="000000"/>
                <w:szCs w:val="24"/>
              </w:rPr>
              <w:t>WIC</w:t>
            </w:r>
          </w:p>
        </w:tc>
        <w:tc>
          <w:tcPr>
            <w:tcW w:w="9180" w:type="dxa"/>
            <w:tcBorders>
              <w:top w:val="single" w:sz="6" w:space="0" w:color="auto"/>
              <w:left w:val="single" w:sz="6" w:space="0" w:color="auto"/>
              <w:bottom w:val="single" w:sz="6" w:space="0" w:color="auto"/>
              <w:right w:val="single" w:sz="6" w:space="0" w:color="auto"/>
            </w:tcBorders>
          </w:tcPr>
          <w:p w14:paraId="0BA966E8" w14:textId="77777777" w:rsidR="001B4A2F" w:rsidRDefault="001B4A2F" w:rsidP="00AA05AE">
            <w:pPr>
              <w:ind w:left="0"/>
            </w:pPr>
            <w:r>
              <w:t>Withdrawal Initial Claim</w:t>
            </w:r>
          </w:p>
        </w:tc>
      </w:tr>
      <w:tr w:rsidR="001B4A2F" w:rsidRPr="008C2C58" w14:paraId="5991EB98"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57C90783"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WIT</w:t>
            </w:r>
          </w:p>
        </w:tc>
        <w:tc>
          <w:tcPr>
            <w:tcW w:w="9180" w:type="dxa"/>
            <w:tcBorders>
              <w:top w:val="single" w:sz="6" w:space="0" w:color="auto"/>
              <w:left w:val="single" w:sz="6" w:space="0" w:color="auto"/>
              <w:bottom w:val="single" w:sz="6" w:space="0" w:color="auto"/>
              <w:right w:val="single" w:sz="6" w:space="0" w:color="auto"/>
            </w:tcBorders>
          </w:tcPr>
          <w:p w14:paraId="56320FB8" w14:textId="77777777" w:rsidR="001B4A2F" w:rsidRPr="008C2C58" w:rsidRDefault="006D43BC" w:rsidP="00031367">
            <w:pPr>
              <w:ind w:left="0"/>
              <w:rPr>
                <w:rFonts w:cs="Arial"/>
                <w:snapToGrid w:val="0"/>
                <w:color w:val="000000"/>
                <w:szCs w:val="24"/>
              </w:rPr>
            </w:pPr>
            <w:hyperlink r:id="rId14" w:history="1">
              <w:r w:rsidR="001B4A2F" w:rsidRPr="008C2C58">
                <w:rPr>
                  <w:rStyle w:val="Hyperlink"/>
                  <w:rFonts w:cs="Arial"/>
                  <w:snapToGrid w:val="0"/>
                  <w:szCs w:val="24"/>
                </w:rPr>
                <w:t>WorkInTexas.com</w:t>
              </w:r>
            </w:hyperlink>
            <w:r w:rsidR="001B4A2F" w:rsidRPr="008C2C58">
              <w:rPr>
                <w:rFonts w:cs="Arial"/>
                <w:snapToGrid w:val="0"/>
                <w:color w:val="000000"/>
                <w:szCs w:val="24"/>
              </w:rPr>
              <w:t xml:space="preserve"> (Internet self-service job matching system)</w:t>
            </w:r>
            <w:r w:rsidR="001B4A2F">
              <w:rPr>
                <w:rFonts w:cs="Arial"/>
                <w:snapToGrid w:val="0"/>
                <w:color w:val="000000"/>
                <w:szCs w:val="24"/>
              </w:rPr>
              <w:t>. The current system is being replaced by Geographic Solutions Virtual OneStop</w:t>
            </w:r>
            <w:r w:rsidR="001B4A2F" w:rsidRPr="00C97770">
              <w:rPr>
                <w:rFonts w:cs="Arial"/>
                <w:snapToGrid w:val="0"/>
                <w:color w:val="000000"/>
                <w:szCs w:val="24"/>
                <w:vertAlign w:val="superscript"/>
              </w:rPr>
              <w:t>®</w:t>
            </w:r>
            <w:r w:rsidR="001B4A2F">
              <w:rPr>
                <w:rFonts w:cs="Arial"/>
                <w:snapToGrid w:val="0"/>
                <w:color w:val="000000"/>
                <w:szCs w:val="24"/>
              </w:rPr>
              <w:t xml:space="preserve"> (VOS) system which should be live by July 2019.</w:t>
            </w:r>
          </w:p>
        </w:tc>
      </w:tr>
      <w:tr w:rsidR="001B4A2F" w:rsidRPr="008C2C58" w14:paraId="2A6A2242"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4E0819AF" w14:textId="77777777" w:rsidR="001B4A2F" w:rsidRPr="00AC2EB0" w:rsidRDefault="001B4A2F" w:rsidP="00031367">
            <w:pPr>
              <w:ind w:left="0"/>
              <w:rPr>
                <w:rFonts w:cs="Arial"/>
                <w:snapToGrid w:val="0"/>
                <w:color w:val="000000"/>
                <w:szCs w:val="24"/>
              </w:rPr>
            </w:pPr>
            <w:r>
              <w:rPr>
                <w:rFonts w:cs="Arial"/>
                <w:snapToGrid w:val="0"/>
                <w:color w:val="000000"/>
                <w:szCs w:val="24"/>
              </w:rPr>
              <w:t>WOTC</w:t>
            </w:r>
          </w:p>
        </w:tc>
        <w:tc>
          <w:tcPr>
            <w:tcW w:w="9180" w:type="dxa"/>
            <w:tcBorders>
              <w:top w:val="single" w:sz="6" w:space="0" w:color="auto"/>
              <w:left w:val="single" w:sz="6" w:space="0" w:color="auto"/>
              <w:bottom w:val="single" w:sz="6" w:space="0" w:color="auto"/>
              <w:right w:val="single" w:sz="6" w:space="0" w:color="auto"/>
            </w:tcBorders>
          </w:tcPr>
          <w:p w14:paraId="27CE24E5" w14:textId="77777777" w:rsidR="001B4A2F" w:rsidRDefault="001B4A2F" w:rsidP="00031367">
            <w:pPr>
              <w:tabs>
                <w:tab w:val="left" w:pos="3270"/>
              </w:tabs>
              <w:ind w:left="0"/>
            </w:pPr>
            <w:r w:rsidRPr="006316FE">
              <w:rPr>
                <w:rFonts w:cs="Calibri"/>
                <w:color w:val="000000"/>
                <w:szCs w:val="24"/>
              </w:rPr>
              <w:t>Work Opportunity Tax Credit</w:t>
            </w:r>
          </w:p>
        </w:tc>
      </w:tr>
      <w:tr w:rsidR="001B4A2F" w:rsidRPr="008C2C58" w14:paraId="0C9E68E6" w14:textId="77777777" w:rsidTr="00482456">
        <w:trPr>
          <w:trHeight w:val="226"/>
        </w:trPr>
        <w:tc>
          <w:tcPr>
            <w:tcW w:w="1620" w:type="dxa"/>
            <w:tcBorders>
              <w:top w:val="single" w:sz="6" w:space="0" w:color="auto"/>
              <w:left w:val="single" w:sz="6" w:space="0" w:color="auto"/>
              <w:bottom w:val="single" w:sz="6" w:space="0" w:color="auto"/>
              <w:right w:val="single" w:sz="6" w:space="0" w:color="auto"/>
            </w:tcBorders>
          </w:tcPr>
          <w:p w14:paraId="44B1193D" w14:textId="77777777" w:rsidR="001B4A2F" w:rsidRPr="00AC2EB0" w:rsidRDefault="001B4A2F" w:rsidP="00031367">
            <w:pPr>
              <w:ind w:left="0"/>
              <w:rPr>
                <w:rFonts w:cs="Arial"/>
                <w:snapToGrid w:val="0"/>
                <w:color w:val="000000"/>
                <w:szCs w:val="24"/>
              </w:rPr>
            </w:pPr>
            <w:r w:rsidRPr="00AC2EB0">
              <w:rPr>
                <w:rFonts w:cs="Arial"/>
                <w:snapToGrid w:val="0"/>
                <w:color w:val="000000"/>
                <w:szCs w:val="24"/>
              </w:rPr>
              <w:t>WRAPS</w:t>
            </w:r>
          </w:p>
        </w:tc>
        <w:tc>
          <w:tcPr>
            <w:tcW w:w="9180" w:type="dxa"/>
            <w:tcBorders>
              <w:top w:val="single" w:sz="6" w:space="0" w:color="auto"/>
              <w:left w:val="single" w:sz="6" w:space="0" w:color="auto"/>
              <w:bottom w:val="single" w:sz="6" w:space="0" w:color="auto"/>
              <w:right w:val="single" w:sz="6" w:space="0" w:color="auto"/>
            </w:tcBorders>
          </w:tcPr>
          <w:p w14:paraId="59221C24" w14:textId="77777777" w:rsidR="001B4A2F" w:rsidRDefault="001B4A2F" w:rsidP="00031367">
            <w:pPr>
              <w:tabs>
                <w:tab w:val="left" w:pos="3270"/>
              </w:tabs>
              <w:ind w:left="0"/>
            </w:pPr>
            <w:r>
              <w:t>Workforce, Reporting, Accounting, and Purchasing System, is TWC’s accounting system</w:t>
            </w:r>
          </w:p>
        </w:tc>
      </w:tr>
      <w:bookmarkEnd w:id="2"/>
    </w:tbl>
    <w:p w14:paraId="5A3094A8" w14:textId="77777777" w:rsidR="00C04333" w:rsidRDefault="00C04333">
      <w:pPr>
        <w:spacing w:after="160" w:line="259" w:lineRule="auto"/>
        <w:ind w:left="0"/>
      </w:pPr>
    </w:p>
    <w:p w14:paraId="2209A3CB" w14:textId="56D7F102" w:rsidR="007E0A18" w:rsidRDefault="004036A7">
      <w:pPr>
        <w:spacing w:after="160" w:line="259" w:lineRule="auto"/>
        <w:ind w:left="0"/>
      </w:pPr>
      <w:r>
        <w:br w:type="page"/>
      </w:r>
    </w:p>
    <w:p w14:paraId="11F080FC" w14:textId="77777777" w:rsidR="00FB4A19" w:rsidRPr="003F5200" w:rsidRDefault="00FB4A19" w:rsidP="00FB4A19">
      <w:pPr>
        <w:pStyle w:val="Heading1"/>
      </w:pPr>
      <w:bookmarkStart w:id="3" w:name="_Toc529342855"/>
      <w:bookmarkStart w:id="4" w:name="_Toc13567373"/>
      <w:bookmarkStart w:id="5" w:name="_Hlk523382257"/>
      <w:r w:rsidRPr="003F5200">
        <w:lastRenderedPageBreak/>
        <w:t>Background</w:t>
      </w:r>
      <w:bookmarkEnd w:id="3"/>
      <w:bookmarkEnd w:id="4"/>
    </w:p>
    <w:p w14:paraId="5290FBBF" w14:textId="77777777" w:rsidR="00FB4A19" w:rsidRPr="003F5200" w:rsidRDefault="00FB4A19" w:rsidP="00FB4A19">
      <w:pPr>
        <w:pStyle w:val="Heading2"/>
      </w:pPr>
      <w:bookmarkStart w:id="6" w:name="_Toc13567374"/>
      <w:r w:rsidRPr="003F5200">
        <w:t>1.</w:t>
      </w:r>
      <w:r>
        <w:t>1</w:t>
      </w:r>
      <w:r w:rsidRPr="003F5200">
        <w:tab/>
      </w:r>
      <w:r>
        <w:t>Purpose of this RFO</w:t>
      </w:r>
      <w:bookmarkEnd w:id="6"/>
    </w:p>
    <w:p w14:paraId="1F16A1B6" w14:textId="6A2CA586" w:rsidR="00FB4A19" w:rsidRDefault="00FB4A19" w:rsidP="00FB4A19">
      <w:bookmarkStart w:id="7" w:name="_Hlk1718804"/>
      <w:r>
        <w:t>The Texas Workforce Commission (TWC) seeks to acquire a Modifiable Off-The-Shelf (MOTS)</w:t>
      </w:r>
      <w:r w:rsidRPr="00BA03A3">
        <w:t xml:space="preserve"> </w:t>
      </w:r>
      <w:r w:rsidRPr="009153B2">
        <w:t>technology solution</w:t>
      </w:r>
      <w:r>
        <w:t xml:space="preserve"> to replace its existing Unemployment Insurance (UI) System including Benefits, Appeals, and Tax applications</w:t>
      </w:r>
      <w:r w:rsidR="009B019F">
        <w:t>,</w:t>
      </w:r>
      <w:r w:rsidR="00A90114">
        <w:t xml:space="preserve"> to include </w:t>
      </w:r>
      <w:r>
        <w:t>services to implement the MOTS, make essential modifications required for Texas, migrate relevant data, and provide a shared maintenance and operations (M&amp;O) solution after the MOTS is put into production.</w:t>
      </w:r>
      <w:bookmarkEnd w:id="7"/>
      <w:r w:rsidR="00EE5622">
        <w:t xml:space="preserve"> </w:t>
      </w:r>
      <w:r>
        <w:t xml:space="preserve">Shared M&amp;O means the </w:t>
      </w:r>
      <w:r w:rsidR="00146653">
        <w:t xml:space="preserve">Awarded Vendor </w:t>
      </w:r>
      <w:r>
        <w:t xml:space="preserve">will provide an M&amp;O Plan listing all roles and responsibilities required for M&amp;O, including the </w:t>
      </w:r>
      <w:r w:rsidR="000370BA">
        <w:t>forty-eight (</w:t>
      </w:r>
      <w:r>
        <w:t>48</w:t>
      </w:r>
      <w:r w:rsidR="000370BA">
        <w:t>)</w:t>
      </w:r>
      <w:r>
        <w:t xml:space="preserve"> full-time equivalent (FTE) positions now in TWC Information Technology (IT) division who support the current UI system, plus additional technical staff provided by the </w:t>
      </w:r>
      <w:r w:rsidR="00146653">
        <w:t xml:space="preserve">Awarded Vendor </w:t>
      </w:r>
      <w:r>
        <w:t>to augment the</w:t>
      </w:r>
      <w:r w:rsidR="00915738">
        <w:t xml:space="preserve"> existing staff</w:t>
      </w:r>
      <w:r>
        <w:t xml:space="preserve"> to adequately maintain and operate the MOTS, its environments, and data once placed into production</w:t>
      </w:r>
      <w:r w:rsidRPr="009153B2">
        <w:t>.</w:t>
      </w:r>
    </w:p>
    <w:p w14:paraId="424675FE" w14:textId="77777777" w:rsidR="00FB4A19" w:rsidRPr="003F5200" w:rsidRDefault="00FB4A19" w:rsidP="00FB4A19">
      <w:pPr>
        <w:pStyle w:val="Heading2"/>
      </w:pPr>
      <w:bookmarkStart w:id="8" w:name="_Toc13567375"/>
      <w:r w:rsidRPr="003F5200">
        <w:t>1.</w:t>
      </w:r>
      <w:r>
        <w:t>2</w:t>
      </w:r>
      <w:r w:rsidRPr="003F5200">
        <w:tab/>
      </w:r>
      <w:r>
        <w:t>The Federal/State UI Program</w:t>
      </w:r>
      <w:bookmarkEnd w:id="8"/>
    </w:p>
    <w:p w14:paraId="242977ED" w14:textId="77777777" w:rsidR="00FB4A19" w:rsidRPr="00730D35" w:rsidRDefault="00FB4A19" w:rsidP="00FB4A19">
      <w:r w:rsidRPr="00730D35">
        <w:t>The mission of TWC is to promote and support a workforce system that creates value and offers employers, individuals, and communities the opportunity to achieve and sustain economic prosperity.</w:t>
      </w:r>
    </w:p>
    <w:p w14:paraId="65EA9317" w14:textId="2D798FBC" w:rsidR="00FB4A19" w:rsidRDefault="00FB4A19" w:rsidP="00FB4A19">
      <w:pPr>
        <w:rPr>
          <w:lang w:val="en"/>
        </w:rPr>
      </w:pPr>
      <w:r w:rsidRPr="004410B8">
        <w:rPr>
          <w:lang w:val="en"/>
        </w:rPr>
        <w:t xml:space="preserve">The major functions of TWC include developing the workforce, providing support services including child care for targeted populations participating in workforce training and adult education and literacy services, providing services for people with disabilities to obtain training and employment, and administering the unemployment </w:t>
      </w:r>
      <w:r w:rsidR="006E1B59">
        <w:rPr>
          <w:lang w:val="en"/>
        </w:rPr>
        <w:t xml:space="preserve">compensation </w:t>
      </w:r>
      <w:r w:rsidRPr="004410B8">
        <w:rPr>
          <w:lang w:val="en"/>
        </w:rPr>
        <w:t>programs</w:t>
      </w:r>
      <w:r>
        <w:rPr>
          <w:lang w:val="en"/>
        </w:rPr>
        <w:t>.</w:t>
      </w:r>
    </w:p>
    <w:p w14:paraId="7319CAF2" w14:textId="77777777" w:rsidR="00FB4A19" w:rsidRDefault="00FB4A19" w:rsidP="00FB4A19">
      <w:r>
        <w:t>America’s unemployment compensation program originated in 1935 as part of the Social Security Act. Its objectives are to help unemployed workers get through temporary, involuntary unemployment and to support the business community in anticipation of economic downturn. In Texas, TWC strengthens the state economy by providing the workforce development component of the Governor’s economic development strategy.</w:t>
      </w:r>
    </w:p>
    <w:p w14:paraId="3F8B8DD7" w14:textId="4283A29E" w:rsidR="00FB4A19" w:rsidRDefault="00FB4A19" w:rsidP="00FB4A19">
      <w:r>
        <w:t xml:space="preserve">Federal and State governments have a shared responsibility for administering the program in all </w:t>
      </w:r>
      <w:r w:rsidR="00783E90">
        <w:t>fifty (</w:t>
      </w:r>
      <w:r>
        <w:t>50</w:t>
      </w:r>
      <w:r w:rsidR="00783E90">
        <w:t>)</w:t>
      </w:r>
      <w:r>
        <w:t xml:space="preserve"> states, District of Columbia, Puerto Rico, and Virgin Islands. Each state legislates its own tax structure, qualifying requirements, benefit levels and disqualification provisions.</w:t>
      </w:r>
      <w:r w:rsidR="00EE5622">
        <w:t xml:space="preserve"> </w:t>
      </w:r>
      <w:r>
        <w:t>However, State law must conform to federal requirements. The U</w:t>
      </w:r>
      <w:r w:rsidR="001F4E9B">
        <w:t>.</w:t>
      </w:r>
      <w:r>
        <w:t>S</w:t>
      </w:r>
      <w:r w:rsidR="001F4E9B">
        <w:t>.</w:t>
      </w:r>
      <w:r>
        <w:t xml:space="preserve"> Department of Labor</w:t>
      </w:r>
      <w:r w:rsidR="001F4E9B">
        <w:t xml:space="preserve"> (DOL)</w:t>
      </w:r>
      <w:r>
        <w:t xml:space="preserve"> ensures that state laws meet all requirements for approval.</w:t>
      </w:r>
      <w:r w:rsidR="00EE5622">
        <w:t xml:space="preserve"> </w:t>
      </w:r>
    </w:p>
    <w:p w14:paraId="67CD488B" w14:textId="77777777" w:rsidR="00FB4A19" w:rsidRDefault="00FB4A19" w:rsidP="00FB4A19">
      <w:r>
        <w:t>Therefore, any MOTS selected by TWC must meet Federal requirements and allow modifications specific to Texas</w:t>
      </w:r>
      <w:r w:rsidRPr="009153B2">
        <w:t>.</w:t>
      </w:r>
    </w:p>
    <w:p w14:paraId="4964FBB9" w14:textId="77777777" w:rsidR="00FB4A19" w:rsidRPr="003F5200" w:rsidRDefault="00FB4A19" w:rsidP="00FB4A19">
      <w:pPr>
        <w:pStyle w:val="Heading2"/>
      </w:pPr>
      <w:bookmarkStart w:id="9" w:name="_Toc13567376"/>
      <w:r w:rsidRPr="003F5200">
        <w:lastRenderedPageBreak/>
        <w:t>1.</w:t>
      </w:r>
      <w:r>
        <w:t>3</w:t>
      </w:r>
      <w:r w:rsidRPr="003F5200">
        <w:tab/>
      </w:r>
      <w:r>
        <w:t>TWC’s Current UI System</w:t>
      </w:r>
      <w:bookmarkEnd w:id="9"/>
    </w:p>
    <w:p w14:paraId="4219D261" w14:textId="718C0355" w:rsidR="00FB4A19" w:rsidRDefault="00FB4A19" w:rsidP="00FB4A19">
      <w:r w:rsidRPr="009153B2">
        <w:t>TWC originally built the UI tax, benefits</w:t>
      </w:r>
      <w:r>
        <w:t>,</w:t>
      </w:r>
      <w:r w:rsidRPr="009153B2">
        <w:t xml:space="preserve"> and appeals systems in the 1980s/1990s and ha</w:t>
      </w:r>
      <w:r w:rsidR="003812DF">
        <w:t>s</w:t>
      </w:r>
      <w:r w:rsidRPr="009153B2">
        <w:t xml:space="preserve"> been adding functionality for over </w:t>
      </w:r>
      <w:r w:rsidR="00A27AC6">
        <w:t>thirty-five (</w:t>
      </w:r>
      <w:r w:rsidRPr="009153B2">
        <w:t>35</w:t>
      </w:r>
      <w:r w:rsidR="00A27AC6">
        <w:t>)</w:t>
      </w:r>
      <w:r w:rsidRPr="009153B2">
        <w:t xml:space="preserve"> years. These systems are built on outdated and obsolete technology that has grown organically over several decades, but no longer possess the necessary performance or agility to adapt and evolve to the fast-paced changes required to support a modern workforce of over </w:t>
      </w:r>
      <w:r w:rsidR="00A27AC6">
        <w:t>thirteen (</w:t>
      </w:r>
      <w:r w:rsidRPr="009153B2">
        <w:t>13</w:t>
      </w:r>
      <w:r w:rsidR="00A27AC6">
        <w:t>)</w:t>
      </w:r>
      <w:r w:rsidRPr="009153B2">
        <w:t xml:space="preserve"> million. As a result, TWC’s systems cover today’s basic needs; but workarounds, including manual databases, spreadsheets, tickler lists, and desk procedures, have been put in place to keep up with changes. After years of postponing essential modernization due to tight budgets and competing priorities, imminent upgrades are needed to support the agency’s mission.</w:t>
      </w:r>
    </w:p>
    <w:p w14:paraId="73A8BBD6" w14:textId="056F9988" w:rsidR="00FB4A19" w:rsidRPr="009153B2" w:rsidRDefault="00FB4A19" w:rsidP="00FB4A19">
      <w:r w:rsidRPr="009153B2">
        <w:t xml:space="preserve">The following are examples of </w:t>
      </w:r>
      <w:r w:rsidR="006F7D74">
        <w:t>challenges</w:t>
      </w:r>
      <w:r w:rsidRPr="009153B2">
        <w:t xml:space="preserve"> with the current legacy system</w:t>
      </w:r>
      <w:r>
        <w:t>s</w:t>
      </w:r>
      <w:r w:rsidRPr="009153B2">
        <w:t>:</w:t>
      </w:r>
    </w:p>
    <w:p w14:paraId="2B3AF076" w14:textId="77777777" w:rsidR="00FB4A19" w:rsidRPr="00DD32E5" w:rsidRDefault="00FB4A19" w:rsidP="000C62E8">
      <w:pPr>
        <w:pStyle w:val="NB1"/>
        <w:spacing w:after="180"/>
        <w:ind w:left="1260" w:hanging="540"/>
      </w:pPr>
      <w:r w:rsidRPr="00DD32E5">
        <w:t>Problematic to enhance or modify</w:t>
      </w:r>
      <w:r>
        <w:t xml:space="preserve"> the existing system</w:t>
      </w:r>
      <w:r w:rsidRPr="00DD32E5">
        <w:t>, and system maintenance requires extensive programming to incorporate changes and requires multiple days to update and refresh data;</w:t>
      </w:r>
    </w:p>
    <w:p w14:paraId="0F27B21E" w14:textId="77777777" w:rsidR="00FB4A19" w:rsidRPr="00DD32E5" w:rsidRDefault="00FB4A19" w:rsidP="000C62E8">
      <w:pPr>
        <w:pStyle w:val="NB1"/>
        <w:spacing w:after="180"/>
        <w:ind w:left="1260" w:hanging="540"/>
      </w:pPr>
      <w:r w:rsidRPr="00DD32E5">
        <w:t>Significant part</w:t>
      </w:r>
      <w:r>
        <w:t>s</w:t>
      </w:r>
      <w:r w:rsidRPr="00DD32E5">
        <w:t xml:space="preserve"> of the system’s processing are performed in batch mode overnight, lessening responsiveness and timeliness to customers;</w:t>
      </w:r>
    </w:p>
    <w:p w14:paraId="00E8D4D0" w14:textId="77777777" w:rsidR="00FB4A19" w:rsidRPr="00DD32E5" w:rsidRDefault="00FB4A19" w:rsidP="000C62E8">
      <w:pPr>
        <w:pStyle w:val="NB1"/>
        <w:spacing w:after="180"/>
        <w:ind w:left="1260" w:hanging="540"/>
      </w:pPr>
      <w:r w:rsidRPr="00DD32E5">
        <w:t>Offers minimum self-service functionality;</w:t>
      </w:r>
    </w:p>
    <w:p w14:paraId="7F38CD9B" w14:textId="77777777" w:rsidR="00FB4A19" w:rsidRPr="00DD32E5" w:rsidRDefault="00FB4A19" w:rsidP="000C62E8">
      <w:pPr>
        <w:pStyle w:val="NB1"/>
        <w:spacing w:after="180"/>
        <w:ind w:left="1260" w:hanging="540"/>
      </w:pPr>
      <w:r w:rsidRPr="00DD32E5">
        <w:t>Not customer-centric;</w:t>
      </w:r>
    </w:p>
    <w:p w14:paraId="4134AD4B" w14:textId="5B1294C9" w:rsidR="00FB4A19" w:rsidRPr="00DD32E5" w:rsidRDefault="006468A3" w:rsidP="000C62E8">
      <w:pPr>
        <w:pStyle w:val="NB1"/>
        <w:spacing w:after="180"/>
        <w:ind w:left="1260" w:hanging="540"/>
      </w:pPr>
      <w:r>
        <w:t>Has issues with meeting all</w:t>
      </w:r>
      <w:r w:rsidR="00FB4A19" w:rsidRPr="00DD32E5">
        <w:t xml:space="preserve"> the accessibility requirements;</w:t>
      </w:r>
    </w:p>
    <w:p w14:paraId="1CE8F08A" w14:textId="77777777" w:rsidR="00FB4A19" w:rsidRPr="00DD32E5" w:rsidRDefault="00FB4A19" w:rsidP="000C62E8">
      <w:pPr>
        <w:pStyle w:val="NB1"/>
        <w:spacing w:after="180"/>
        <w:ind w:left="1260" w:hanging="540"/>
      </w:pPr>
      <w:r w:rsidRPr="00DD32E5">
        <w:t>Does not allow agency to use cross-matching systems such as the Systematic Alien Verification for Entitlements (SAVE) and Social Security Administration (SSA) in real-time, a requirement that is becoming mandatory;</w:t>
      </w:r>
    </w:p>
    <w:p w14:paraId="2F608CE4" w14:textId="77777777" w:rsidR="00FB4A19" w:rsidRPr="00DD32E5" w:rsidRDefault="00FB4A19" w:rsidP="000C62E8">
      <w:pPr>
        <w:pStyle w:val="NB1"/>
        <w:spacing w:after="180"/>
        <w:ind w:left="1260" w:hanging="540"/>
      </w:pPr>
      <w:r w:rsidRPr="00DD32E5">
        <w:t>Does not embrace business intelligence (e.g., flow of screens based on previous answers, making determinations, etc.);</w:t>
      </w:r>
    </w:p>
    <w:p w14:paraId="2609C77E" w14:textId="759E2019" w:rsidR="00FB4A19" w:rsidRPr="00DD32E5" w:rsidRDefault="00FB4A19" w:rsidP="000C62E8">
      <w:pPr>
        <w:pStyle w:val="NB1"/>
        <w:spacing w:after="180"/>
        <w:ind w:left="1260" w:hanging="540"/>
      </w:pPr>
      <w:r w:rsidRPr="00DD32E5">
        <w:t>Availability of and access to data for reporting and historical purposes is limited;</w:t>
      </w:r>
    </w:p>
    <w:p w14:paraId="6036FD3F" w14:textId="60534CB8" w:rsidR="00FB4A19" w:rsidRPr="00730D35" w:rsidRDefault="00FB4A19" w:rsidP="000C62E8">
      <w:pPr>
        <w:pStyle w:val="NB1"/>
        <w:spacing w:after="180"/>
        <w:ind w:left="1260" w:hanging="540"/>
      </w:pPr>
      <w:r w:rsidRPr="00730D35">
        <w:t>Applications have been continually updated because of mandated legislative and DOL changes, which has made the system difficult to maintain from a programming perspective;</w:t>
      </w:r>
    </w:p>
    <w:p w14:paraId="389E36E0" w14:textId="6F024E94" w:rsidR="00FB4A19" w:rsidRPr="00DD32E5" w:rsidRDefault="00FB4A19" w:rsidP="000C62E8">
      <w:pPr>
        <w:pStyle w:val="NB1"/>
        <w:spacing w:after="180"/>
        <w:ind w:left="1260" w:hanging="540"/>
      </w:pPr>
      <w:r w:rsidRPr="00DD32E5">
        <w:t xml:space="preserve">Applications require a significant amount of specialized knowledge to use, which increases the time it takes to train new </w:t>
      </w:r>
      <w:r>
        <w:t>employees</w:t>
      </w:r>
      <w:r w:rsidRPr="00DD32E5">
        <w:t xml:space="preserve"> and attain proficiency (e.g., extensive codes, batch types, Customer Information Control System (CICS) “green screens,</w:t>
      </w:r>
      <w:r w:rsidR="003D00E4">
        <w:t>”</w:t>
      </w:r>
      <w:r w:rsidRPr="00DD32E5">
        <w:t xml:space="preserve"> number of screens required to perform a transaction, etc.);</w:t>
      </w:r>
    </w:p>
    <w:p w14:paraId="28ABF2D0" w14:textId="77777777" w:rsidR="00FB4A19" w:rsidRPr="00DD32E5" w:rsidRDefault="00FB4A19" w:rsidP="000C62E8">
      <w:pPr>
        <w:pStyle w:val="NB1"/>
        <w:spacing w:after="180"/>
        <w:ind w:left="1260" w:hanging="540"/>
      </w:pPr>
      <w:r w:rsidRPr="00DD32E5">
        <w:t>Cost of maintaining the applications is extremely high due to the complexity of the data structures and code constructs;</w:t>
      </w:r>
    </w:p>
    <w:p w14:paraId="678EDB52" w14:textId="77777777" w:rsidR="00FB4A19" w:rsidRPr="00DD32E5" w:rsidRDefault="00FB4A19" w:rsidP="000C62E8">
      <w:pPr>
        <w:pStyle w:val="NB1"/>
        <w:spacing w:after="180"/>
        <w:ind w:left="1260" w:hanging="540"/>
      </w:pPr>
      <w:r w:rsidRPr="00DD32E5">
        <w:t>Paper-intensive;</w:t>
      </w:r>
    </w:p>
    <w:p w14:paraId="6E80B6BF" w14:textId="77777777" w:rsidR="00FB4A19" w:rsidRPr="00DD32E5" w:rsidRDefault="00FB4A19" w:rsidP="000C62E8">
      <w:pPr>
        <w:pStyle w:val="NB1"/>
        <w:spacing w:after="180"/>
        <w:ind w:left="1260" w:hanging="540"/>
      </w:pPr>
      <w:r w:rsidRPr="00DD32E5">
        <w:t>Minimal automated workflow; and</w:t>
      </w:r>
    </w:p>
    <w:p w14:paraId="5AEFB50C" w14:textId="77777777" w:rsidR="00FB4A19" w:rsidRPr="00D16EEC" w:rsidRDefault="00FB4A19" w:rsidP="000C62E8">
      <w:pPr>
        <w:pStyle w:val="NB1"/>
        <w:spacing w:after="180"/>
        <w:ind w:left="1260" w:hanging="540"/>
      </w:pPr>
      <w:r w:rsidRPr="00DD32E5">
        <w:t>Redundant process</w:t>
      </w:r>
      <w:r w:rsidRPr="00D16EEC">
        <w:t>es and data entry.</w:t>
      </w:r>
    </w:p>
    <w:p w14:paraId="39016A59" w14:textId="0A3C76E8" w:rsidR="00FB4A19" w:rsidRDefault="00FB4A19" w:rsidP="00FB4A19">
      <w:r w:rsidRPr="009153B2">
        <w:t xml:space="preserve">Declining federal funds for the administration of the UI program presents a challenge to the State of Texas to do more with less and creates the opportunity </w:t>
      </w:r>
      <w:r w:rsidRPr="009153B2">
        <w:lastRenderedPageBreak/>
        <w:t xml:space="preserve">to maximize services and technology to address operational inefficiencies. </w:t>
      </w:r>
      <w:r>
        <w:t xml:space="preserve">Therefore, </w:t>
      </w:r>
      <w:r w:rsidRPr="009153B2">
        <w:t xml:space="preserve">TWC </w:t>
      </w:r>
      <w:r w:rsidRPr="00BA03A3">
        <w:t xml:space="preserve">is seeking a fixed-price </w:t>
      </w:r>
      <w:r>
        <w:t>MOTS</w:t>
      </w:r>
      <w:r w:rsidRPr="00BA03A3">
        <w:t xml:space="preserve"> </w:t>
      </w:r>
      <w:r w:rsidR="00B8454A">
        <w:t>hosted</w:t>
      </w:r>
      <w:r w:rsidR="00B8454A" w:rsidRPr="009153B2">
        <w:t xml:space="preserve"> </w:t>
      </w:r>
      <w:r w:rsidRPr="009153B2">
        <w:t>solution that solves the business and technical problems described herein and that satisfies the system and business requirements of the agency. A modern UI system is vital to the agency’s future success and represents a critical step in delivering UI services to customers</w:t>
      </w:r>
      <w:r>
        <w:t xml:space="preserve"> with an overarching </w:t>
      </w:r>
      <w:r w:rsidRPr="00257E17">
        <w:t>objective of getting Texans back to work as quickly and efficiently as possible</w:t>
      </w:r>
      <w:r w:rsidRPr="009153B2">
        <w:t>.</w:t>
      </w:r>
      <w:r>
        <w:t xml:space="preserve"> </w:t>
      </w:r>
    </w:p>
    <w:p w14:paraId="06599BC5" w14:textId="77777777" w:rsidR="00FB4A19" w:rsidRDefault="00FB4A19" w:rsidP="00FB4A19">
      <w:r>
        <w:t>The goals of the UI System Replacement Project (“the Project”) include the ability to:</w:t>
      </w:r>
    </w:p>
    <w:p w14:paraId="36B99A53" w14:textId="77777777" w:rsidR="00FB4A19" w:rsidRPr="00C57EF9" w:rsidRDefault="00FB4A19" w:rsidP="00E16D2D">
      <w:pPr>
        <w:pStyle w:val="LB1"/>
      </w:pPr>
      <w:r w:rsidRPr="00C57EF9">
        <w:t>Improve customer service and quality;</w:t>
      </w:r>
    </w:p>
    <w:p w14:paraId="0962401E" w14:textId="77777777" w:rsidR="00FB4A19" w:rsidRDefault="00FB4A19" w:rsidP="00F82166">
      <w:pPr>
        <w:pStyle w:val="LB1"/>
      </w:pPr>
      <w:r w:rsidRPr="00C57EF9">
        <w:t>Reduce</w:t>
      </w:r>
      <w:r>
        <w:t xml:space="preserve"> costs;</w:t>
      </w:r>
    </w:p>
    <w:p w14:paraId="194269D6" w14:textId="57736A2B" w:rsidR="00FB4A19" w:rsidRDefault="00FB4A19" w:rsidP="00F82166">
      <w:pPr>
        <w:pStyle w:val="LB1"/>
      </w:pPr>
      <w:r>
        <w:t xml:space="preserve">Eliminate manual, </w:t>
      </w:r>
      <w:r w:rsidR="00227DAB">
        <w:t xml:space="preserve">error-prone, </w:t>
      </w:r>
      <w:r>
        <w:t>labor-intensive processes;</w:t>
      </w:r>
    </w:p>
    <w:p w14:paraId="23E2ED4B" w14:textId="77777777" w:rsidR="00FB4A19" w:rsidRDefault="00FB4A19">
      <w:pPr>
        <w:pStyle w:val="LB1"/>
      </w:pPr>
      <w:r>
        <w:t>Increase data accuracy;</w:t>
      </w:r>
    </w:p>
    <w:p w14:paraId="53B612B6" w14:textId="77777777" w:rsidR="00FB4A19" w:rsidRDefault="00FB4A19">
      <w:pPr>
        <w:pStyle w:val="LB1"/>
      </w:pPr>
      <w:r>
        <w:t>Improve security and privacy;</w:t>
      </w:r>
    </w:p>
    <w:p w14:paraId="0AF8C05D" w14:textId="186ECA4D" w:rsidR="00FB4A19" w:rsidRDefault="00FB4A19">
      <w:pPr>
        <w:pStyle w:val="LB1"/>
      </w:pPr>
      <w:r>
        <w:t xml:space="preserve">Enhance </w:t>
      </w:r>
      <w:r w:rsidR="00227DAB">
        <w:t xml:space="preserve">system </w:t>
      </w:r>
      <w:r>
        <w:t>usability</w:t>
      </w:r>
      <w:r w:rsidR="001B4348">
        <w:t xml:space="preserve"> including accessibility</w:t>
      </w:r>
      <w:r>
        <w:t>;</w:t>
      </w:r>
    </w:p>
    <w:p w14:paraId="147B83A5" w14:textId="104CAB11" w:rsidR="004858E8" w:rsidRDefault="00DC2B24">
      <w:pPr>
        <w:pStyle w:val="LB1"/>
      </w:pPr>
      <w:r>
        <w:t>Seamlessly integrate with other internal/external IT assets</w:t>
      </w:r>
      <w:r w:rsidR="004858E8">
        <w:t>;</w:t>
      </w:r>
    </w:p>
    <w:p w14:paraId="03F86703" w14:textId="4C41D454" w:rsidR="00FB4A19" w:rsidRDefault="00FB4A19">
      <w:pPr>
        <w:pStyle w:val="LB1"/>
      </w:pPr>
      <w:r>
        <w:t xml:space="preserve">Easily </w:t>
      </w:r>
      <w:r w:rsidR="00227DAB">
        <w:t xml:space="preserve">and securely </w:t>
      </w:r>
      <w:r>
        <w:t>share data;</w:t>
      </w:r>
    </w:p>
    <w:p w14:paraId="6B948C8B" w14:textId="12DAFB81" w:rsidR="00FB4A19" w:rsidRDefault="00FB4A19">
      <w:pPr>
        <w:pStyle w:val="LB1"/>
      </w:pPr>
      <w:r>
        <w:t>Improve access to historical data and generate report</w:t>
      </w:r>
      <w:r w:rsidR="00E64A01">
        <w:t>s</w:t>
      </w:r>
      <w:r>
        <w:t>;</w:t>
      </w:r>
    </w:p>
    <w:p w14:paraId="3CE0A203" w14:textId="77777777" w:rsidR="00FB4A19" w:rsidRDefault="00FB4A19">
      <w:pPr>
        <w:pStyle w:val="LB1"/>
      </w:pPr>
      <w:r>
        <w:t>Reduce maintenance and support time and costs; and</w:t>
      </w:r>
    </w:p>
    <w:p w14:paraId="10B42E20" w14:textId="4B96E1CF" w:rsidR="00FB4A19" w:rsidRPr="008C43B0" w:rsidRDefault="00FB4A19">
      <w:pPr>
        <w:pStyle w:val="LB1"/>
      </w:pPr>
      <w:r>
        <w:t>Incorporate technical standards</w:t>
      </w:r>
      <w:r w:rsidR="000B51CE">
        <w:t xml:space="preserve"> </w:t>
      </w:r>
      <w:r w:rsidR="0090246A">
        <w:t xml:space="preserve">(e.g., software development standards, database standards, and user interface standards) </w:t>
      </w:r>
      <w:r>
        <w:t>and modern technologies.</w:t>
      </w:r>
    </w:p>
    <w:p w14:paraId="6B5A3DB7" w14:textId="77777777" w:rsidR="00FB4A19" w:rsidRPr="003F5200" w:rsidRDefault="00FB4A19" w:rsidP="00FB4A19">
      <w:pPr>
        <w:pStyle w:val="Heading2"/>
      </w:pPr>
      <w:bookmarkStart w:id="10" w:name="_Toc529342856"/>
      <w:bookmarkStart w:id="11" w:name="_Toc13567377"/>
      <w:r w:rsidRPr="003F5200">
        <w:t>1.</w:t>
      </w:r>
      <w:r>
        <w:t>4</w:t>
      </w:r>
      <w:r w:rsidRPr="003F5200">
        <w:tab/>
      </w:r>
      <w:r>
        <w:t>Summary of Requested Services</w:t>
      </w:r>
      <w:bookmarkEnd w:id="10"/>
      <w:bookmarkEnd w:id="11"/>
    </w:p>
    <w:p w14:paraId="7FFE893E" w14:textId="26C1699A" w:rsidR="00FB4A19" w:rsidRDefault="00FB4A19" w:rsidP="00FB4A19">
      <w:r w:rsidRPr="00C65A26">
        <w:t xml:space="preserve">TWC desires to procure a fixed-price </w:t>
      </w:r>
      <w:r>
        <w:t>MOTS</w:t>
      </w:r>
      <w:r w:rsidR="00B8454A">
        <w:t xml:space="preserve"> hosted</w:t>
      </w:r>
      <w:r w:rsidRPr="00C65A26">
        <w:t xml:space="preserve"> solution that is customizable to meet the needs of Texans. This solution will replace the non-integrated systems currently supporting the UI program with a single, modern, integrated, web-based solution. </w:t>
      </w:r>
      <w:r w:rsidRPr="00E21848">
        <w:t xml:space="preserve">The solution </w:t>
      </w:r>
      <w:r>
        <w:t>selected to</w:t>
      </w:r>
      <w:r w:rsidRPr="00E21848">
        <w:t xml:space="preserve"> replace </w:t>
      </w:r>
      <w:r>
        <w:t>the UI legacy systems</w:t>
      </w:r>
      <w:r w:rsidRPr="00E21848">
        <w:t xml:space="preserve"> </w:t>
      </w:r>
      <w:r>
        <w:t xml:space="preserve">will be implemented during </w:t>
      </w:r>
      <w:r w:rsidR="00E64DC3">
        <w:t>State Fiscal Years (FY) 2020 through FY 2024</w:t>
      </w:r>
      <w:r w:rsidRPr="008D5A7D">
        <w:t>.</w:t>
      </w:r>
      <w:r w:rsidR="00EE5622">
        <w:t xml:space="preserve"> </w:t>
      </w:r>
    </w:p>
    <w:p w14:paraId="62E401CA" w14:textId="510978BC" w:rsidR="00FB4A19" w:rsidRDefault="009055EA" w:rsidP="00FB4A19">
      <w:bookmarkStart w:id="12" w:name="_Hlk1727173"/>
      <w:r>
        <w:t xml:space="preserve">TWC seeks a qualified </w:t>
      </w:r>
      <w:r w:rsidR="00A27AC6">
        <w:t>Offeror</w:t>
      </w:r>
      <w:r>
        <w:t xml:space="preserve"> with verifiable, successful experience implementing at least </w:t>
      </w:r>
      <w:r w:rsidR="00194DC7">
        <w:t>one</w:t>
      </w:r>
      <w:r>
        <w:t xml:space="preserve"> (</w:t>
      </w:r>
      <w:r w:rsidR="00194DC7">
        <w:t>1</w:t>
      </w:r>
      <w:r>
        <w:t xml:space="preserve">) UI replacement system that </w:t>
      </w:r>
      <w:r w:rsidR="002A29F6">
        <w:t xml:space="preserve">replaces </w:t>
      </w:r>
      <w:r>
        <w:t>mainframe and web applications</w:t>
      </w:r>
      <w:bookmarkEnd w:id="12"/>
      <w:r w:rsidR="00FB4A19" w:rsidRPr="00D53DEC">
        <w:t xml:space="preserve">. </w:t>
      </w:r>
    </w:p>
    <w:p w14:paraId="60257C5F" w14:textId="57CBE262" w:rsidR="00FB4A19" w:rsidRDefault="00FB4A19" w:rsidP="00FB4A19">
      <w:r>
        <w:t xml:space="preserve">The scope of work includes implementation of MOTS application(s) to replace mainframe and web-based </w:t>
      </w:r>
      <w:r w:rsidR="00EC30DC">
        <w:t xml:space="preserve">UI </w:t>
      </w:r>
      <w:r>
        <w:t xml:space="preserve">applications </w:t>
      </w:r>
      <w:r w:rsidR="001B4348">
        <w:t xml:space="preserve">while </w:t>
      </w:r>
      <w:r>
        <w:t>continu</w:t>
      </w:r>
      <w:r w:rsidR="006F7D74">
        <w:t>ing</w:t>
      </w:r>
      <w:r>
        <w:t xml:space="preserve"> to provide all functionality currently available in the TWC UI system</w:t>
      </w:r>
      <w:r w:rsidR="001A42F1">
        <w:t>s</w:t>
      </w:r>
      <w:r>
        <w:t xml:space="preserve">; replacement of the mainframe with a cloud-based or </w:t>
      </w:r>
      <w:r w:rsidR="00A5386A">
        <w:t>on-premise</w:t>
      </w:r>
      <w:r>
        <w:t xml:space="preserve"> solution; mapping and migration of existing data including active and archived; replacement of all existing reports; replacement of all interfaces; shared responsibility with TWC for organizational change management (OCM); </w:t>
      </w:r>
      <w:r w:rsidR="006F7D74">
        <w:t xml:space="preserve">ability for TWC to use cross-matching systems such as the Systematic Alien Verification for Entitlements (SAVE) and SSA in real time; </w:t>
      </w:r>
      <w:r>
        <w:t>and a</w:t>
      </w:r>
      <w:r w:rsidR="00244790">
        <w:t>n</w:t>
      </w:r>
      <w:r>
        <w:t xml:space="preserve"> M&amp;O plan of shared responsibility between the Awarded Vendor and TWC IT UI Systems ongoing support of the replacement UI system and transitional support of the legacy system. </w:t>
      </w:r>
      <w:bookmarkStart w:id="13" w:name="_Hlk1637546"/>
      <w:r>
        <w:t xml:space="preserve">The Awarded Vendor will be responsible for </w:t>
      </w:r>
      <w:r>
        <w:lastRenderedPageBreak/>
        <w:t>delivering an M&amp;O Plan</w:t>
      </w:r>
      <w:r w:rsidR="00AD7B75">
        <w:t xml:space="preserve">, see </w:t>
      </w:r>
      <w:hyperlink w:anchor="_2.2.14_Required_DeliverableTask" w:history="1">
        <w:r w:rsidR="0049276C">
          <w:rPr>
            <w:rStyle w:val="Hyperlink"/>
          </w:rPr>
          <w:t>Task 14</w:t>
        </w:r>
      </w:hyperlink>
      <w:r w:rsidR="00AD7B75">
        <w:t>,</w:t>
      </w:r>
      <w:r>
        <w:t xml:space="preserve"> complete with a full listing of tasks, roles, responsibilities, skills, and number of staff required to sustain the adopted system, including:</w:t>
      </w:r>
    </w:p>
    <w:p w14:paraId="1921281F" w14:textId="77777777" w:rsidR="00FB4A19" w:rsidRDefault="00FB4A19" w:rsidP="00E16D2D">
      <w:pPr>
        <w:pStyle w:val="LB1"/>
      </w:pPr>
      <w:r>
        <w:t>Intake of modification requests from business areas;</w:t>
      </w:r>
    </w:p>
    <w:p w14:paraId="280CFE69" w14:textId="77777777" w:rsidR="00FB4A19" w:rsidRDefault="00FB4A19" w:rsidP="00F82166">
      <w:pPr>
        <w:pStyle w:val="LB1"/>
      </w:pPr>
      <w:r>
        <w:t>Analysis and estimation of modification requests;</w:t>
      </w:r>
    </w:p>
    <w:p w14:paraId="1588D11F" w14:textId="77777777" w:rsidR="00FB4A19" w:rsidRDefault="00FB4A19" w:rsidP="00F82166">
      <w:pPr>
        <w:pStyle w:val="LB1"/>
      </w:pPr>
      <w:r>
        <w:t>Creation/maintenance of development, test, and production environments;</w:t>
      </w:r>
    </w:p>
    <w:p w14:paraId="3B219DC8" w14:textId="477B3038" w:rsidR="00C80121" w:rsidRDefault="00C80121">
      <w:pPr>
        <w:pStyle w:val="LB1"/>
      </w:pPr>
      <w:r>
        <w:t>Build management;</w:t>
      </w:r>
    </w:p>
    <w:p w14:paraId="3CCB56F9" w14:textId="0385B29B" w:rsidR="00FB4A19" w:rsidRDefault="00FB4A19">
      <w:pPr>
        <w:pStyle w:val="LB1"/>
      </w:pPr>
      <w:r>
        <w:t>Delivery of regularly scheduled releases;</w:t>
      </w:r>
    </w:p>
    <w:p w14:paraId="5FD45796" w14:textId="77777777" w:rsidR="00FB4A19" w:rsidRDefault="00FB4A19">
      <w:pPr>
        <w:pStyle w:val="LB1"/>
      </w:pPr>
      <w:r>
        <w:t>Configuration management;</w:t>
      </w:r>
    </w:p>
    <w:p w14:paraId="7030FA1E" w14:textId="77777777" w:rsidR="00FB4A19" w:rsidRDefault="00FB4A19">
      <w:pPr>
        <w:pStyle w:val="LB1"/>
      </w:pPr>
      <w:r>
        <w:t>A full array of systems engineering including business requirements, design, development of modifications, systems testing, user acceptance testing, load and stress testing, deployment readiness, deployment; and</w:t>
      </w:r>
    </w:p>
    <w:p w14:paraId="21F84EEE" w14:textId="42BD9253" w:rsidR="00FB4A19" w:rsidRDefault="00FB4A19">
      <w:pPr>
        <w:pStyle w:val="LB1"/>
      </w:pPr>
      <w:r>
        <w:t>Post-deployment support.</w:t>
      </w:r>
      <w:bookmarkEnd w:id="13"/>
    </w:p>
    <w:p w14:paraId="7DA34E25" w14:textId="77777777" w:rsidR="00BB58E0" w:rsidRDefault="00BB58E0" w:rsidP="00BB58E0"/>
    <w:p w14:paraId="4DF8C804" w14:textId="59D0A533" w:rsidR="00FB4A19" w:rsidRDefault="00FB4A19" w:rsidP="00FB4A19">
      <w:r>
        <w:t xml:space="preserve">“Shared” responsibility means the Awarded Vendor’s M&amp;O Plan must include the </w:t>
      </w:r>
      <w:r w:rsidR="000370BA">
        <w:t xml:space="preserve">forty-eight (48) </w:t>
      </w:r>
      <w:r>
        <w:t xml:space="preserve">FTE positions now in TWC IT division who support the current UI system, plus additional technical staff provided by the </w:t>
      </w:r>
      <w:r w:rsidR="00146653">
        <w:t xml:space="preserve">Awarded Vendor </w:t>
      </w:r>
      <w:r>
        <w:t xml:space="preserve">to augment the </w:t>
      </w:r>
      <w:r w:rsidR="000370BA">
        <w:t xml:space="preserve">forty-eight (48) </w:t>
      </w:r>
      <w:r>
        <w:t>FTEs to adequately maintain and operate the MOTS as described in the preceding bullets.</w:t>
      </w:r>
    </w:p>
    <w:p w14:paraId="5C1E2D33" w14:textId="77777777" w:rsidR="00FB4A19" w:rsidRDefault="00FB4A19" w:rsidP="00FB4A19">
      <w:bookmarkStart w:id="14" w:name="_Hlk1635939"/>
      <w:r>
        <w:t>Migration of non-UI system applications is outside the scope of this effort, but planning must be aligned with TWC’s other migrations off the mainframes.</w:t>
      </w:r>
      <w:bookmarkEnd w:id="14"/>
    </w:p>
    <w:p w14:paraId="0CB8DF03" w14:textId="77777777" w:rsidR="00FB4A19" w:rsidRPr="000F1277" w:rsidRDefault="00FB4A19" w:rsidP="00FB4A19">
      <w:pPr>
        <w:pStyle w:val="Heading3"/>
      </w:pPr>
      <w:bookmarkStart w:id="15" w:name="_Toc529342857"/>
      <w:bookmarkStart w:id="16" w:name="_Toc13567378"/>
      <w:r>
        <w:t>1.4</w:t>
      </w:r>
      <w:r w:rsidRPr="000F1277">
        <w:t>.1</w:t>
      </w:r>
      <w:r w:rsidRPr="000F1277">
        <w:tab/>
      </w:r>
      <w:r>
        <w:t>Solution Key Functions</w:t>
      </w:r>
      <w:bookmarkEnd w:id="15"/>
      <w:bookmarkEnd w:id="16"/>
    </w:p>
    <w:p w14:paraId="002AD6E5" w14:textId="77777777" w:rsidR="009951E3" w:rsidRDefault="009951E3" w:rsidP="009951E3">
      <w:pPr>
        <w:rPr>
          <w:rFonts w:ascii="Times New Roman" w:hAnsi="Times New Roman" w:cs="Times New Roman"/>
          <w:szCs w:val="24"/>
        </w:rPr>
      </w:pPr>
      <w:bookmarkStart w:id="17" w:name="_Hlk528581734"/>
      <w:r>
        <w:t>The Awarded Vendor will implement a UI System Replacement solution that must provide the following key functions for TWC:</w:t>
      </w:r>
      <w:r>
        <w:rPr>
          <w:rFonts w:ascii="Times New Roman" w:hAnsi="Times New Roman" w:cs="Times New Roman"/>
          <w:szCs w:val="24"/>
        </w:rPr>
        <w:t xml:space="preserve"> </w:t>
      </w:r>
    </w:p>
    <w:p w14:paraId="0682CF7C" w14:textId="77777777" w:rsidR="009951E3" w:rsidRDefault="009951E3" w:rsidP="009951E3">
      <w:pPr>
        <w:pStyle w:val="NB1"/>
        <w:numPr>
          <w:ilvl w:val="0"/>
          <w:numId w:val="35"/>
        </w:numPr>
        <w:spacing w:after="180"/>
        <w:ind w:left="1260" w:hanging="540"/>
      </w:pPr>
      <w:r>
        <w:rPr>
          <w:szCs w:val="24"/>
        </w:rPr>
        <w:t>Extensive self-service options for customers;</w:t>
      </w:r>
    </w:p>
    <w:p w14:paraId="635E75AE" w14:textId="77777777" w:rsidR="009951E3" w:rsidRDefault="009951E3" w:rsidP="009951E3">
      <w:pPr>
        <w:pStyle w:val="NB1"/>
        <w:numPr>
          <w:ilvl w:val="0"/>
          <w:numId w:val="35"/>
        </w:numPr>
        <w:spacing w:after="180"/>
        <w:ind w:left="1260" w:hanging="540"/>
      </w:pPr>
      <w:r>
        <w:t>Basic and enhanced customer support, such as the use of text messages and a secure customer portal;</w:t>
      </w:r>
    </w:p>
    <w:p w14:paraId="39D56DD0" w14:textId="77777777" w:rsidR="009951E3" w:rsidRDefault="009951E3" w:rsidP="009951E3">
      <w:pPr>
        <w:pStyle w:val="NB1"/>
        <w:numPr>
          <w:ilvl w:val="0"/>
          <w:numId w:val="35"/>
        </w:numPr>
        <w:ind w:left="1260" w:hanging="540"/>
      </w:pPr>
      <w:r>
        <w:t>Automate manual, paper-based processes to increase workflow efficiencies, reduce operational costs, and enhance data integrity;</w:t>
      </w:r>
    </w:p>
    <w:p w14:paraId="4BE290D7" w14:textId="77777777" w:rsidR="009951E3" w:rsidRDefault="009951E3" w:rsidP="009951E3">
      <w:pPr>
        <w:pStyle w:val="NB1"/>
        <w:numPr>
          <w:ilvl w:val="0"/>
          <w:numId w:val="35"/>
        </w:numPr>
        <w:ind w:left="1260" w:hanging="540"/>
      </w:pPr>
      <w:r>
        <w:t>Enhance TWC’s UI program integrity with capabilities to improve prevention, detection and recovery of UI improper payments;</w:t>
      </w:r>
    </w:p>
    <w:p w14:paraId="4DDB5E7F" w14:textId="77777777" w:rsidR="009951E3" w:rsidRDefault="009951E3" w:rsidP="009951E3">
      <w:pPr>
        <w:pStyle w:val="NB1"/>
        <w:numPr>
          <w:ilvl w:val="0"/>
          <w:numId w:val="35"/>
        </w:numPr>
        <w:ind w:left="1260" w:hanging="540"/>
      </w:pPr>
      <w:r>
        <w:t xml:space="preserve">Enhance Data Privacy and Cyber Security, further defined in </w:t>
      </w:r>
      <w:hyperlink r:id="rId15" w:anchor="_1.1.3_Data_Privacy" w:history="1">
        <w:r>
          <w:rPr>
            <w:rStyle w:val="Hyperlink"/>
          </w:rPr>
          <w:t>Section 1.4.3</w:t>
        </w:r>
      </w:hyperlink>
      <w:r>
        <w:t xml:space="preserve"> and Attachment 5; </w:t>
      </w:r>
    </w:p>
    <w:p w14:paraId="73C51888" w14:textId="77777777" w:rsidR="009951E3" w:rsidRDefault="009951E3" w:rsidP="009951E3">
      <w:pPr>
        <w:pStyle w:val="NB1"/>
        <w:numPr>
          <w:ilvl w:val="0"/>
          <w:numId w:val="35"/>
        </w:numPr>
        <w:ind w:left="1260" w:hanging="540"/>
      </w:pPr>
      <w:r>
        <w:t>Integrated workflow for assigning, managing, monitoring, and approving work;</w:t>
      </w:r>
    </w:p>
    <w:p w14:paraId="6B4B16E9" w14:textId="77777777" w:rsidR="009951E3" w:rsidRDefault="009951E3" w:rsidP="009951E3">
      <w:pPr>
        <w:pStyle w:val="NB1"/>
        <w:numPr>
          <w:ilvl w:val="0"/>
          <w:numId w:val="35"/>
        </w:numPr>
        <w:ind w:left="1260" w:hanging="540"/>
      </w:pPr>
      <w:r>
        <w:t>Integration with other systems (e.g., WorkInTexas (WIT), SSA, Internal Revenue Service (IRS), National Directory of New Hires (NDNH), State Information Data Exchange System (SIDES), etc.) and the TWC data warehouse;</w:t>
      </w:r>
    </w:p>
    <w:p w14:paraId="3ABACC13" w14:textId="77777777" w:rsidR="009951E3" w:rsidRDefault="009951E3" w:rsidP="009951E3">
      <w:pPr>
        <w:pStyle w:val="NB1"/>
        <w:numPr>
          <w:ilvl w:val="0"/>
          <w:numId w:val="35"/>
        </w:numPr>
        <w:ind w:left="1260" w:hanging="540"/>
      </w:pPr>
      <w:r>
        <w:t>Automated data population, cascade data between input screens, and drop-down menus to improve productivity and reduce data entry errors;</w:t>
      </w:r>
    </w:p>
    <w:p w14:paraId="2B33D03E" w14:textId="77777777" w:rsidR="009951E3" w:rsidRDefault="009951E3" w:rsidP="009951E3">
      <w:pPr>
        <w:pStyle w:val="NB1"/>
        <w:numPr>
          <w:ilvl w:val="0"/>
          <w:numId w:val="35"/>
        </w:numPr>
        <w:ind w:left="1260" w:hanging="540"/>
      </w:pPr>
      <w:r>
        <w:lastRenderedPageBreak/>
        <w:t>Improved secure electronic communication within TWC as well as among TWC’s customers and approved third-parties;</w:t>
      </w:r>
    </w:p>
    <w:p w14:paraId="7DC89E1B" w14:textId="77777777" w:rsidR="009951E3" w:rsidRDefault="009951E3" w:rsidP="009951E3">
      <w:pPr>
        <w:pStyle w:val="NB1"/>
        <w:numPr>
          <w:ilvl w:val="0"/>
          <w:numId w:val="35"/>
        </w:numPr>
        <w:ind w:left="1260" w:hanging="540"/>
      </w:pPr>
      <w:r>
        <w:t>Timely access to information necessary for performance measurement and quality management;</w:t>
      </w:r>
    </w:p>
    <w:p w14:paraId="14666BDF" w14:textId="77777777" w:rsidR="009951E3" w:rsidRDefault="009951E3" w:rsidP="009951E3">
      <w:pPr>
        <w:pStyle w:val="NB1"/>
        <w:numPr>
          <w:ilvl w:val="0"/>
          <w:numId w:val="35"/>
        </w:numPr>
        <w:ind w:left="1260" w:hanging="540"/>
      </w:pPr>
      <w:r>
        <w:t>Immediate access to data and customizable dashboards to support decision-making;</w:t>
      </w:r>
    </w:p>
    <w:p w14:paraId="3844F971" w14:textId="77777777" w:rsidR="009951E3" w:rsidRDefault="009951E3" w:rsidP="009951E3">
      <w:pPr>
        <w:pStyle w:val="NB1"/>
        <w:numPr>
          <w:ilvl w:val="0"/>
          <w:numId w:val="35"/>
        </w:numPr>
        <w:ind w:left="1260" w:hanging="540"/>
      </w:pPr>
      <w:r>
        <w:t>A unified case management system, with workflow that interfaces with or is integrated with UI data, to store claims, determinations, claimant and employer data, benefit overpayment information, and appeals information;</w:t>
      </w:r>
    </w:p>
    <w:p w14:paraId="49223D11" w14:textId="77777777" w:rsidR="009951E3" w:rsidRDefault="009951E3" w:rsidP="009951E3">
      <w:pPr>
        <w:pStyle w:val="NB1"/>
        <w:numPr>
          <w:ilvl w:val="0"/>
          <w:numId w:val="35"/>
        </w:numPr>
        <w:ind w:left="1260" w:hanging="540"/>
      </w:pPr>
      <w:r>
        <w:t>A scalable platform with a flexible architecture based on common technical standards to support process improvements and system integration requirements;</w:t>
      </w:r>
    </w:p>
    <w:p w14:paraId="418D86EC" w14:textId="77777777" w:rsidR="009951E3" w:rsidRDefault="009951E3" w:rsidP="009951E3">
      <w:pPr>
        <w:pStyle w:val="NB1"/>
        <w:numPr>
          <w:ilvl w:val="0"/>
          <w:numId w:val="35"/>
        </w:numPr>
        <w:spacing w:after="180"/>
        <w:ind w:left="1260" w:hanging="540"/>
      </w:pPr>
      <w:r>
        <w:t>Meets Texas state and federal requirements (such as the Texas Unemployment Compensation Act (TUCA) (</w:t>
      </w:r>
      <w:hyperlink r:id="rId16" w:anchor="tuca)" w:history="1">
        <w:r>
          <w:rPr>
            <w:rStyle w:val="Hyperlink"/>
          </w:rPr>
          <w:t>https://twc.texas.gov/agency/twc-primary-enabling-state-statutes#tuca)</w:t>
        </w:r>
      </w:hyperlink>
      <w:r>
        <w:t>) and can easily adapt to future changes;</w:t>
      </w:r>
    </w:p>
    <w:p w14:paraId="6D7DEC17" w14:textId="77777777" w:rsidR="009951E3" w:rsidRDefault="009951E3" w:rsidP="009951E3">
      <w:pPr>
        <w:pStyle w:val="NB1"/>
        <w:numPr>
          <w:ilvl w:val="0"/>
          <w:numId w:val="35"/>
        </w:numPr>
        <w:spacing w:after="180"/>
        <w:ind w:left="1260" w:hanging="540"/>
      </w:pPr>
      <w:r>
        <w:t>Internal and external communications with modern features (e.g., personalized broadcasts and mass mailings);</w:t>
      </w:r>
    </w:p>
    <w:p w14:paraId="12D71ED3" w14:textId="77777777" w:rsidR="009951E3" w:rsidRDefault="009951E3" w:rsidP="009951E3">
      <w:pPr>
        <w:pStyle w:val="NB1"/>
        <w:numPr>
          <w:ilvl w:val="0"/>
          <w:numId w:val="35"/>
        </w:numPr>
        <w:spacing w:after="180"/>
        <w:ind w:left="1260" w:hanging="540"/>
      </w:pPr>
      <w:r>
        <w:t xml:space="preserve">Accessible system, must meet Electronic Information Resources (EIR) accessibility requirements as defined in </w:t>
      </w:r>
      <w:hyperlink r:id="rId17" w:anchor="_6.9_Electronic_Information" w:history="1">
        <w:r>
          <w:rPr>
            <w:rStyle w:val="Hyperlink"/>
          </w:rPr>
          <w:t>Section 6.9</w:t>
        </w:r>
      </w:hyperlink>
      <w:r>
        <w:t>, that provides a user experience with intuitive and easy to use features;</w:t>
      </w:r>
    </w:p>
    <w:p w14:paraId="61C650DA" w14:textId="77777777" w:rsidR="009951E3" w:rsidRDefault="009951E3" w:rsidP="009951E3">
      <w:pPr>
        <w:pStyle w:val="NB1"/>
        <w:numPr>
          <w:ilvl w:val="0"/>
          <w:numId w:val="35"/>
        </w:numPr>
        <w:spacing w:after="180"/>
        <w:ind w:left="1260" w:hanging="540"/>
      </w:pPr>
      <w:r>
        <w:t>Optimized for mobile devices (either through responsive design or mobile applications);</w:t>
      </w:r>
    </w:p>
    <w:p w14:paraId="1018B0FC" w14:textId="77777777" w:rsidR="009951E3" w:rsidRDefault="009951E3" w:rsidP="009951E3">
      <w:pPr>
        <w:pStyle w:val="NB1"/>
        <w:numPr>
          <w:ilvl w:val="0"/>
          <w:numId w:val="35"/>
        </w:numPr>
        <w:spacing w:after="180"/>
        <w:ind w:left="1260" w:hanging="540"/>
      </w:pPr>
      <w:r>
        <w:t>Can be maintained and enhanced easily by the state or any third-party vendor; and</w:t>
      </w:r>
    </w:p>
    <w:p w14:paraId="1E4A7BB5" w14:textId="77777777" w:rsidR="009951E3" w:rsidRDefault="009951E3" w:rsidP="009951E3">
      <w:pPr>
        <w:pStyle w:val="NB1"/>
        <w:numPr>
          <w:ilvl w:val="0"/>
          <w:numId w:val="35"/>
        </w:numPr>
        <w:spacing w:after="180"/>
        <w:ind w:left="1260" w:hanging="540"/>
      </w:pPr>
      <w:r>
        <w:t>Reporting capabilities to produce reports for DOL, TWC, Employers, Claimants, and Staff.</w:t>
      </w:r>
    </w:p>
    <w:p w14:paraId="60F5E272" w14:textId="1D7CD2DE" w:rsidR="00FB4A19" w:rsidRPr="00EB6319" w:rsidRDefault="00FB4A19" w:rsidP="00FB4A19">
      <w:pPr>
        <w:pStyle w:val="Heading3"/>
      </w:pPr>
      <w:bookmarkStart w:id="18" w:name="_Toc529342858"/>
      <w:bookmarkStart w:id="19" w:name="_Toc13567379"/>
      <w:bookmarkEnd w:id="17"/>
      <w:r>
        <w:t>1.4.2</w:t>
      </w:r>
      <w:r w:rsidR="00016541">
        <w:tab/>
      </w:r>
      <w:r>
        <w:t>Basic Tenets</w:t>
      </w:r>
      <w:bookmarkEnd w:id="18"/>
      <w:bookmarkEnd w:id="19"/>
    </w:p>
    <w:p w14:paraId="53FD2C2B" w14:textId="77777777" w:rsidR="00FB4A19" w:rsidRDefault="00FB4A19" w:rsidP="00FB4A19">
      <w:r>
        <w:t>T</w:t>
      </w:r>
      <w:r w:rsidRPr="00741202">
        <w:t xml:space="preserve">he </w:t>
      </w:r>
      <w:r>
        <w:t xml:space="preserve">Awarded Vendor will </w:t>
      </w:r>
      <w:r w:rsidRPr="00741202">
        <w:t>implement</w:t>
      </w:r>
      <w:r>
        <w:t xml:space="preserve"> their solution in a manner that conforms with the </w:t>
      </w:r>
      <w:r w:rsidRPr="00741202">
        <w:t xml:space="preserve">following </w:t>
      </w:r>
      <w:r>
        <w:t>tenets</w:t>
      </w:r>
      <w:r w:rsidRPr="00C65A26">
        <w:t>:</w:t>
      </w:r>
    </w:p>
    <w:p w14:paraId="2377ED36" w14:textId="5DF59AAB" w:rsidR="00CB7817" w:rsidRDefault="00CB7817" w:rsidP="000C62E8">
      <w:pPr>
        <w:pStyle w:val="NB1"/>
        <w:numPr>
          <w:ilvl w:val="0"/>
          <w:numId w:val="9"/>
        </w:numPr>
        <w:spacing w:after="180"/>
        <w:ind w:left="1260" w:hanging="540"/>
      </w:pPr>
      <w:r>
        <w:t xml:space="preserve">Build a </w:t>
      </w:r>
      <w:r w:rsidRPr="00CB7817">
        <w:rPr>
          <w:rStyle w:val="NB1Char"/>
        </w:rPr>
        <w:t>solution that minimizes vendor dependency and promotes</w:t>
      </w:r>
      <w:r w:rsidRPr="00DC0737">
        <w:rPr>
          <w:rStyle w:val="NB1Char"/>
        </w:rPr>
        <w:t xml:space="preserve"> Texas independence</w:t>
      </w:r>
      <w:r w:rsidR="00DA25F6">
        <w:rPr>
          <w:rStyle w:val="NB1Char"/>
        </w:rPr>
        <w:t xml:space="preserve"> in using, maintaining and enhancing the system</w:t>
      </w:r>
      <w:r>
        <w:rPr>
          <w:rStyle w:val="NB1Char"/>
        </w:rPr>
        <w:t>;</w:t>
      </w:r>
    </w:p>
    <w:p w14:paraId="00018EF6" w14:textId="3B866573" w:rsidR="00FB4A19" w:rsidRDefault="00FB4A19" w:rsidP="000C62E8">
      <w:pPr>
        <w:pStyle w:val="NB1"/>
        <w:numPr>
          <w:ilvl w:val="0"/>
          <w:numId w:val="9"/>
        </w:numPr>
        <w:spacing w:after="180"/>
        <w:ind w:left="1260" w:hanging="540"/>
      </w:pPr>
      <w:r>
        <w:t>Leverage Exportable Code</w:t>
      </w:r>
      <w:r w:rsidR="001A42F1">
        <w:rPr>
          <w:rStyle w:val="FootnoteReference"/>
        </w:rPr>
        <w:footnoteReference w:id="1"/>
      </w:r>
      <w:r>
        <w:t xml:space="preserve"> products and methods where appropriate to reduce risk and lower both short- and long-term costs;</w:t>
      </w:r>
    </w:p>
    <w:p w14:paraId="56D6305C" w14:textId="4CC7D5D9" w:rsidR="00FB4A19" w:rsidRDefault="008015EC" w:rsidP="000C62E8">
      <w:pPr>
        <w:pStyle w:val="NB1"/>
        <w:numPr>
          <w:ilvl w:val="0"/>
          <w:numId w:val="9"/>
        </w:numPr>
        <w:spacing w:after="180"/>
        <w:ind w:left="1260" w:hanging="540"/>
      </w:pPr>
      <w:r>
        <w:lastRenderedPageBreak/>
        <w:t>Configure</w:t>
      </w:r>
      <w:r w:rsidR="003058F4">
        <w:t xml:space="preserve"> and d</w:t>
      </w:r>
      <w:r>
        <w:t xml:space="preserve">evelop </w:t>
      </w:r>
      <w:r w:rsidR="00FB4A19">
        <w:t>a core solution that can be easily extended to additional states;</w:t>
      </w:r>
    </w:p>
    <w:p w14:paraId="720A0DB7" w14:textId="47A16FF2" w:rsidR="00FB4A19" w:rsidRDefault="00FB4A19" w:rsidP="000C62E8">
      <w:pPr>
        <w:pStyle w:val="NB1"/>
        <w:numPr>
          <w:ilvl w:val="0"/>
          <w:numId w:val="9"/>
        </w:numPr>
        <w:spacing w:after="180"/>
        <w:ind w:left="1260" w:hanging="540"/>
      </w:pPr>
      <w:r>
        <w:t xml:space="preserve">Build a solution that allows </w:t>
      </w:r>
      <w:r w:rsidR="00791E13">
        <w:t>S</w:t>
      </w:r>
      <w:r>
        <w:t xml:space="preserve">taff to make changes through configuration – from the parameter to component level – with minimal </w:t>
      </w:r>
      <w:r w:rsidRPr="00FB5462">
        <w:t>IT</w:t>
      </w:r>
      <w:r>
        <w:t xml:space="preserve"> or vendor assistance;</w:t>
      </w:r>
    </w:p>
    <w:p w14:paraId="06BD1A73" w14:textId="22245F78" w:rsidR="00FB4A19" w:rsidRDefault="00FB4A19" w:rsidP="000C62E8">
      <w:pPr>
        <w:pStyle w:val="NB1"/>
        <w:numPr>
          <w:ilvl w:val="0"/>
          <w:numId w:val="9"/>
        </w:numPr>
        <w:spacing w:after="180"/>
        <w:ind w:left="1260" w:hanging="540"/>
      </w:pPr>
      <w:r>
        <w:t xml:space="preserve">Create a sustainable and extensible platform that promotes reusability, product innovation, and scalability by using innovative concepts provided in a manner that is </w:t>
      </w:r>
      <w:r w:rsidR="00402ADE">
        <w:t>Training and Employment Guidance Letter (</w:t>
      </w:r>
      <w:r>
        <w:t>TEGL</w:t>
      </w:r>
      <w:r w:rsidR="00402ADE">
        <w:t>)</w:t>
      </w:r>
      <w:r>
        <w:t xml:space="preserve"> 31-04 (</w:t>
      </w:r>
      <w:hyperlink r:id="rId18" w:history="1">
        <w:r w:rsidRPr="002205ED">
          <w:rPr>
            <w:rStyle w:val="Hyperlink"/>
          </w:rPr>
          <w:t>https://wdr.doleta.gov/directives/attach/TEGL31-04.pdf</w:t>
        </w:r>
      </w:hyperlink>
      <w:r>
        <w:t>) compliant and suitable to a government setting with funding constraints;</w:t>
      </w:r>
      <w:r w:rsidR="000C62E8">
        <w:t xml:space="preserve"> and</w:t>
      </w:r>
    </w:p>
    <w:p w14:paraId="1FAC4FB9" w14:textId="764E09DC" w:rsidR="00FB4A19" w:rsidRDefault="00FB4A19" w:rsidP="000C62E8">
      <w:pPr>
        <w:pStyle w:val="NB1"/>
        <w:numPr>
          <w:ilvl w:val="0"/>
          <w:numId w:val="9"/>
        </w:numPr>
        <w:spacing w:after="180"/>
        <w:ind w:left="1260" w:hanging="540"/>
      </w:pPr>
      <w:r>
        <w:t>Follow an industry accepted software engineering methodology</w:t>
      </w:r>
      <w:r w:rsidR="00CB210A">
        <w:t>,</w:t>
      </w:r>
      <w:r>
        <w:t xml:space="preserve"> or </w:t>
      </w:r>
      <w:r w:rsidR="001C77E6">
        <w:t xml:space="preserve">a </w:t>
      </w:r>
      <w:r>
        <w:t>hybrid</w:t>
      </w:r>
      <w:r w:rsidR="001C77E6">
        <w:t xml:space="preserve"> methodology based on industry accepted methodologies and proven best practices,</w:t>
      </w:r>
      <w:r>
        <w:t xml:space="preserve"> from requirements gathering through deployment to production and during warranty period</w:t>
      </w:r>
      <w:r w:rsidR="000C62E8">
        <w:t>.</w:t>
      </w:r>
    </w:p>
    <w:p w14:paraId="51579A6C" w14:textId="1DBFB144" w:rsidR="00FB4A19" w:rsidRDefault="00FB4A19" w:rsidP="00FB4A19">
      <w:pPr>
        <w:pStyle w:val="Heading3"/>
      </w:pPr>
      <w:bookmarkStart w:id="20" w:name="_1.1.3_Data_Privacy"/>
      <w:bookmarkStart w:id="21" w:name="_1.4.3_Data_Privacy"/>
      <w:bookmarkStart w:id="22" w:name="_Toc529342859"/>
      <w:bookmarkStart w:id="23" w:name="_Toc13567380"/>
      <w:bookmarkStart w:id="24" w:name="_Hlk4071406"/>
      <w:bookmarkEnd w:id="20"/>
      <w:bookmarkEnd w:id="21"/>
      <w:r>
        <w:t>1.4.3</w:t>
      </w:r>
      <w:r>
        <w:tab/>
        <w:t>Data Privacy and Cyber Security</w:t>
      </w:r>
      <w:bookmarkEnd w:id="22"/>
      <w:bookmarkEnd w:id="23"/>
    </w:p>
    <w:p w14:paraId="3AC1D8F3" w14:textId="77777777" w:rsidR="00C6345E" w:rsidRDefault="00C6345E" w:rsidP="00C6345E">
      <w:r>
        <w:t xml:space="preserve">The proposed solution must comply with TWC’s requirement that all data remain in the United States and meet stringent </w:t>
      </w:r>
      <w:r>
        <w:rPr>
          <w:b/>
        </w:rPr>
        <w:t>Data Privacy and Cyber Security</w:t>
      </w:r>
      <w:r>
        <w:t xml:space="preserve"> requirements. These include, but are not limited to:</w:t>
      </w:r>
    </w:p>
    <w:p w14:paraId="39ACC209" w14:textId="59A5216A" w:rsidR="00C6345E" w:rsidRDefault="00BB3B22" w:rsidP="00C6345E">
      <w:pPr>
        <w:pStyle w:val="NB1"/>
        <w:numPr>
          <w:ilvl w:val="0"/>
          <w:numId w:val="44"/>
        </w:numPr>
        <w:spacing w:after="180"/>
        <w:ind w:left="1260" w:hanging="540"/>
      </w:pPr>
      <w:r>
        <w:t xml:space="preserve">Ensuring solutions that include in whole or in part cloud-based services are hosted by a Cloud Service Provider that has attained </w:t>
      </w:r>
      <w:r w:rsidRPr="00345607">
        <w:t>Federal Risk and Authorization Management Program (</w:t>
      </w:r>
      <w:hyperlink r:id="rId19" w:history="1">
        <w:r w:rsidRPr="00EF26CA">
          <w:rPr>
            <w:rStyle w:val="Hyperlink"/>
          </w:rPr>
          <w:t>FedRAMP</w:t>
        </w:r>
      </w:hyperlink>
      <w:r>
        <w:t>) (Moderate) Authority to Operate (ATO) or will have attained FedRAMP (Moderate) ATO prior to Award Date</w:t>
      </w:r>
      <w:r w:rsidR="00C6345E">
        <w:rPr>
          <w:rStyle w:val="NB1Char"/>
        </w:rPr>
        <w:t>;</w:t>
      </w:r>
    </w:p>
    <w:p w14:paraId="339CB25B" w14:textId="70774F78" w:rsidR="00C6345E" w:rsidRPr="00BB3B22" w:rsidRDefault="00BB3B22" w:rsidP="00C6345E">
      <w:pPr>
        <w:pStyle w:val="NB1"/>
        <w:numPr>
          <w:ilvl w:val="0"/>
          <w:numId w:val="44"/>
        </w:numPr>
        <w:spacing w:after="180"/>
        <w:ind w:left="1260" w:hanging="540"/>
      </w:pPr>
      <w:r>
        <w:t>Ensuring cloud-based solutions are located within the United States and all access and support of the solution is performed from the United States;</w:t>
      </w:r>
    </w:p>
    <w:p w14:paraId="048C54F9" w14:textId="77777777" w:rsidR="00BB3B22" w:rsidRPr="00BB3B22" w:rsidRDefault="00BB3B22" w:rsidP="00BB3B22">
      <w:pPr>
        <w:pStyle w:val="NB1"/>
        <w:numPr>
          <w:ilvl w:val="0"/>
          <w:numId w:val="44"/>
        </w:numPr>
        <w:spacing w:after="180"/>
        <w:ind w:left="1260" w:hanging="540"/>
      </w:pPr>
      <w:r>
        <w:t>Ensuring software, data and services are isolated within the cloud environment so that other cloud customers sharing physical or virtual space cannot access other customer data or applications;</w:t>
      </w:r>
    </w:p>
    <w:p w14:paraId="16A475E1" w14:textId="77777777" w:rsidR="00BB3B22" w:rsidRPr="00BB3B22" w:rsidRDefault="00BB3B22" w:rsidP="00BB3B22">
      <w:pPr>
        <w:pStyle w:val="NB1"/>
        <w:numPr>
          <w:ilvl w:val="0"/>
          <w:numId w:val="44"/>
        </w:numPr>
        <w:spacing w:after="180"/>
        <w:ind w:left="1260" w:hanging="540"/>
      </w:pPr>
      <w:r w:rsidRPr="00BB3B22">
        <w:t>Providing a complete listing of all data centers within the cloud environment where this solution will operate;</w:t>
      </w:r>
    </w:p>
    <w:p w14:paraId="3E4AECAA" w14:textId="1E0A788A" w:rsidR="00BB3B22" w:rsidRPr="00BB3B22" w:rsidRDefault="00BB3B22" w:rsidP="00BB3B22">
      <w:pPr>
        <w:pStyle w:val="NB1"/>
        <w:numPr>
          <w:ilvl w:val="0"/>
          <w:numId w:val="44"/>
        </w:numPr>
        <w:spacing w:after="180"/>
        <w:ind w:left="1260" w:hanging="540"/>
      </w:pPr>
      <w:r w:rsidRPr="00BB3B22">
        <w:t xml:space="preserve">Ensuring data in transit and at rest is encrypted </w:t>
      </w:r>
      <w:r w:rsidR="00F6129C">
        <w:t xml:space="preserve">using </w:t>
      </w:r>
      <w:r w:rsidRPr="00BB3B22">
        <w:t>FIPS 140-2 compliant algorithms and modules;</w:t>
      </w:r>
    </w:p>
    <w:p w14:paraId="5B660AE0" w14:textId="77777777" w:rsidR="00BB3B22" w:rsidRPr="00BB3B22" w:rsidRDefault="00BB3B22" w:rsidP="00BB3B22">
      <w:pPr>
        <w:pStyle w:val="NB1"/>
        <w:numPr>
          <w:ilvl w:val="0"/>
          <w:numId w:val="44"/>
        </w:numPr>
        <w:spacing w:after="180"/>
        <w:ind w:left="1260" w:hanging="540"/>
      </w:pPr>
      <w:r>
        <w:t xml:space="preserve">Ensuring any storage devices used in the solution are securely sanitized and/or destroyed prior to disposal using methods acceptable by </w:t>
      </w:r>
      <w:hyperlink r:id="rId20" w:history="1">
        <w:r w:rsidRPr="00BB3B22">
          <w:t>NSA/CSS</w:t>
        </w:r>
      </w:hyperlink>
      <w:r>
        <w:t>;</w:t>
      </w:r>
    </w:p>
    <w:p w14:paraId="74BC1A66" w14:textId="77777777" w:rsidR="00BB3B22" w:rsidRPr="00BB3B22" w:rsidRDefault="00BB3B22" w:rsidP="00BB3B22">
      <w:pPr>
        <w:pStyle w:val="NB1"/>
        <w:numPr>
          <w:ilvl w:val="0"/>
          <w:numId w:val="44"/>
        </w:numPr>
        <w:spacing w:after="180"/>
        <w:ind w:left="1260" w:hanging="540"/>
      </w:pPr>
      <w:r w:rsidRPr="00BB3B22">
        <w:t xml:space="preserve">Conducting an annual assessment of the security controls in place on all information systems used in the solution; </w:t>
      </w:r>
    </w:p>
    <w:p w14:paraId="21FCA6E6" w14:textId="6F4DB1E3" w:rsidR="00BB3B22" w:rsidRPr="00BB3B22" w:rsidRDefault="00BB3B22" w:rsidP="00BB3B22">
      <w:pPr>
        <w:pStyle w:val="NB1"/>
        <w:numPr>
          <w:ilvl w:val="0"/>
          <w:numId w:val="44"/>
        </w:numPr>
        <w:spacing w:after="180"/>
        <w:ind w:left="1260" w:hanging="540"/>
      </w:pPr>
      <w:r w:rsidRPr="00BB3B22">
        <w:t>Incorporating multi-factor authentication for access to the cloud solution from the internet;</w:t>
      </w:r>
    </w:p>
    <w:p w14:paraId="1D7313CB" w14:textId="77777777" w:rsidR="00C6345E" w:rsidRDefault="00C6345E" w:rsidP="00C6345E">
      <w:pPr>
        <w:pStyle w:val="NB1"/>
        <w:numPr>
          <w:ilvl w:val="0"/>
          <w:numId w:val="44"/>
        </w:numPr>
        <w:spacing w:after="180"/>
        <w:ind w:left="1260" w:hanging="540"/>
        <w:rPr>
          <w:color w:val="000000" w:themeColor="text1"/>
        </w:rPr>
      </w:pPr>
      <w:r>
        <w:t>Ensuring, if using Network Edge Managed Services, that the National Institute of Standards and Technology (NIST)/ISO/IEC 27018:2014 certification has been achieved for the specific services being added to the portfolio;</w:t>
      </w:r>
    </w:p>
    <w:p w14:paraId="62CB1834" w14:textId="77777777" w:rsidR="00C6345E" w:rsidRDefault="00C6345E" w:rsidP="00C6345E">
      <w:pPr>
        <w:pStyle w:val="NB1"/>
        <w:numPr>
          <w:ilvl w:val="0"/>
          <w:numId w:val="44"/>
        </w:numPr>
        <w:spacing w:after="180"/>
        <w:ind w:left="1260" w:hanging="540"/>
        <w:rPr>
          <w:color w:val="000000" w:themeColor="text1"/>
        </w:rPr>
      </w:pPr>
      <w:r>
        <w:lastRenderedPageBreak/>
        <w:t>Ensuring the protection of TWC confidential information, including PII and SPI from unauthorized disclosure, unauthorized access, and misuse, at a minimum in accordance with the NIST Special Publication 800-122, Guide to Protecting the Confidentiality of PII (</w:t>
      </w:r>
      <w:hyperlink r:id="rId21" w:history="1">
        <w:r>
          <w:rPr>
            <w:rStyle w:val="Hyperlink"/>
          </w:rPr>
          <w:t>https://nvlpubs.nist.gov/nistpubs/legacy/sp/nistspecialpublication800-122.pdf</w:t>
        </w:r>
      </w:hyperlink>
      <w:r>
        <w:t>) through the implementation of controls such as role-based access controls, encryption at rest and in transit, etc.;</w:t>
      </w:r>
    </w:p>
    <w:p w14:paraId="69FF3ACA" w14:textId="77777777" w:rsidR="00C6345E" w:rsidRDefault="00C6345E" w:rsidP="00C6345E">
      <w:pPr>
        <w:pStyle w:val="NB1"/>
        <w:numPr>
          <w:ilvl w:val="0"/>
          <w:numId w:val="44"/>
        </w:numPr>
        <w:spacing w:after="180"/>
        <w:ind w:left="1260" w:hanging="540"/>
        <w:rPr>
          <w:color w:val="000000" w:themeColor="text1"/>
        </w:rPr>
      </w:pPr>
      <w:r>
        <w:t>Providing for Security Vulnerability Assessments and Controlled Penetration testing by TWC and/or its agent as agreed to for the duration of services of the Awarded Vendor;</w:t>
      </w:r>
    </w:p>
    <w:p w14:paraId="51C618E2" w14:textId="02F45F9E" w:rsidR="00C6345E" w:rsidRDefault="00C6345E" w:rsidP="00C6345E">
      <w:pPr>
        <w:pStyle w:val="NB1"/>
        <w:numPr>
          <w:ilvl w:val="0"/>
          <w:numId w:val="44"/>
        </w:numPr>
        <w:spacing w:after="180"/>
        <w:ind w:left="1260" w:hanging="540"/>
        <w:rPr>
          <w:color w:val="000000" w:themeColor="text1"/>
        </w:rPr>
      </w:pPr>
      <w:r>
        <w:t>Fully cooperating with the TWC Chief Information Security Officer (CISO) and security team in the detection and remediation of any security vulnerability of the hosting infrastructure and/or the application;</w:t>
      </w:r>
      <w:r w:rsidR="0019395B">
        <w:t xml:space="preserve"> and</w:t>
      </w:r>
    </w:p>
    <w:p w14:paraId="44E5159F" w14:textId="2D746A4A" w:rsidR="00C6345E" w:rsidRPr="00F6129C" w:rsidRDefault="00C6345E" w:rsidP="00E51DC5">
      <w:pPr>
        <w:pStyle w:val="NB1"/>
        <w:numPr>
          <w:ilvl w:val="0"/>
          <w:numId w:val="44"/>
        </w:numPr>
        <w:spacing w:after="180"/>
        <w:ind w:left="1260" w:hanging="540"/>
        <w:rPr>
          <w:color w:val="000000" w:themeColor="text1"/>
        </w:rPr>
      </w:pPr>
      <w:r w:rsidRPr="00F6129C">
        <w:rPr>
          <w:color w:val="000000" w:themeColor="text1"/>
        </w:rPr>
        <w:t>Providing a dedicated Hardware Security Module (HSM) appliance for encryption key management</w:t>
      </w:r>
      <w:r w:rsidR="0019395B" w:rsidRPr="00F6129C">
        <w:rPr>
          <w:color w:val="000000" w:themeColor="text1"/>
        </w:rPr>
        <w:t>.</w:t>
      </w:r>
    </w:p>
    <w:p w14:paraId="6F54E1B5" w14:textId="265982EC" w:rsidR="00FB4A19" w:rsidRDefault="00FB4A19" w:rsidP="00FB4A19">
      <w:pPr>
        <w:pStyle w:val="Heading3"/>
      </w:pPr>
      <w:bookmarkStart w:id="25" w:name="_Toc529342860"/>
      <w:bookmarkStart w:id="26" w:name="_Toc13567381"/>
      <w:bookmarkEnd w:id="24"/>
      <w:r>
        <w:t>1.4.4</w:t>
      </w:r>
      <w:r>
        <w:tab/>
        <w:t>Hosted Environment</w:t>
      </w:r>
      <w:bookmarkEnd w:id="25"/>
      <w:bookmarkEnd w:id="26"/>
    </w:p>
    <w:p w14:paraId="2663D444" w14:textId="6482006F" w:rsidR="00FB4A19" w:rsidRDefault="00AA7E52" w:rsidP="00FB4A19">
      <w:r w:rsidRPr="006B2127">
        <w:t>In the hosted environment, the Awarded Vendor will be responsible for all aspects of the system, excluding State-maintained network access.</w:t>
      </w:r>
      <w:r>
        <w:t xml:space="preserve"> </w:t>
      </w:r>
      <w:r w:rsidR="00FB4A19" w:rsidRPr="006B2127">
        <w:t xml:space="preserve">The Awarded Vendor will host the solution including data store(s), software and services, screens, reports and all other programs necessary to meet TWC’s requirements. </w:t>
      </w:r>
    </w:p>
    <w:p w14:paraId="5ED303C0" w14:textId="77777777" w:rsidR="00FB4A19" w:rsidRDefault="00FB4A19" w:rsidP="00FB4A19"/>
    <w:p w14:paraId="6043CECA" w14:textId="5E8AC4F4" w:rsidR="00FB4A19" w:rsidRDefault="00FB4A19" w:rsidP="00FB4A19">
      <w:r w:rsidRPr="006B2127">
        <w:t xml:space="preserve">While </w:t>
      </w:r>
      <w:r w:rsidR="00B8454A">
        <w:t>hosting a solution</w:t>
      </w:r>
      <w:r w:rsidRPr="006B2127">
        <w:t xml:space="preserve">, the Awarded Vendor </w:t>
      </w:r>
      <w:r>
        <w:t xml:space="preserve">must </w:t>
      </w:r>
      <w:r w:rsidRPr="006B2127">
        <w:t xml:space="preserve">be responsible for data migration, network availability, </w:t>
      </w:r>
      <w:r>
        <w:t xml:space="preserve">security, </w:t>
      </w:r>
      <w:r w:rsidRPr="006B2127">
        <w:t xml:space="preserve">operations, </w:t>
      </w:r>
      <w:r>
        <w:t>disaster recovery</w:t>
      </w:r>
      <w:r w:rsidR="006468A3">
        <w:t xml:space="preserve"> (DR)</w:t>
      </w:r>
      <w:r>
        <w:t xml:space="preserve">, </w:t>
      </w:r>
      <w:r w:rsidRPr="006B2127">
        <w:t xml:space="preserve">and support, and for providing network access and adequate bandwidth for file transfers, user access and data </w:t>
      </w:r>
      <w:r w:rsidRPr="00681022">
        <w:t xml:space="preserve">entry. The Awarded Vendor will have the option, but is not required, to leverage Texas Department of Information Resources (DIR) Data Center Services (DCS) cloud offerings. Should the Awarded Vendor provide hosting outside of </w:t>
      </w:r>
      <w:r>
        <w:t>DCS</w:t>
      </w:r>
      <w:r w:rsidRPr="00681022">
        <w:t xml:space="preserve">, award of the contract will be contingent upon DIR approval of a </w:t>
      </w:r>
      <w:r>
        <w:t>DCS</w:t>
      </w:r>
      <w:r w:rsidRPr="00681022">
        <w:t xml:space="preserve"> Hosting Exemption request.</w:t>
      </w:r>
      <w:r w:rsidR="000D0D24">
        <w:t xml:space="preserve"> TWC will have final approval of cloud hosting vendor.</w:t>
      </w:r>
    </w:p>
    <w:p w14:paraId="246106C2" w14:textId="77777777" w:rsidR="00FB4A19" w:rsidRPr="00E44BEC" w:rsidRDefault="00FB4A19" w:rsidP="00FB4A19"/>
    <w:p w14:paraId="2A3F2A67" w14:textId="77777777" w:rsidR="00C6345E" w:rsidRDefault="00C6345E" w:rsidP="00C6345E">
      <w:r>
        <w:t>The host environment must comply with the following:</w:t>
      </w:r>
    </w:p>
    <w:p w14:paraId="544A6E42" w14:textId="77777777" w:rsidR="00C6345E" w:rsidRDefault="00C6345E" w:rsidP="00C6345E">
      <w:pPr>
        <w:pStyle w:val="NB1"/>
        <w:numPr>
          <w:ilvl w:val="0"/>
          <w:numId w:val="45"/>
        </w:numPr>
        <w:spacing w:after="180"/>
        <w:ind w:left="1260" w:hanging="540"/>
      </w:pPr>
      <w:r>
        <w:t>Complete compliance with all Federal and Texas laws, statutes, regulations, policies, standards, and industry best practices;</w:t>
      </w:r>
    </w:p>
    <w:p w14:paraId="4674C6B3" w14:textId="77777777" w:rsidR="00C6345E" w:rsidRDefault="00C6345E" w:rsidP="00C6345E">
      <w:pPr>
        <w:pStyle w:val="NB1"/>
        <w:numPr>
          <w:ilvl w:val="0"/>
          <w:numId w:val="45"/>
        </w:numPr>
        <w:spacing w:after="180"/>
        <w:ind w:left="1260" w:hanging="540"/>
      </w:pPr>
      <w:r>
        <w:t xml:space="preserve">All data entered in to the </w:t>
      </w:r>
      <w:r>
        <w:rPr>
          <w:color w:val="000000" w:themeColor="text1"/>
        </w:rPr>
        <w:t>Awarded Vendor</w:t>
      </w:r>
      <w:r>
        <w:t xml:space="preserve">-supplied solution, either by Texas Claimants, Employers, Third Party Administrator (TPAs), Staff, local users, or other State of Texas Staff is the property of the Texas Workforce Commission (“TWC Data”). TWC Data may not be released to other parties, including in aggregate form, without the express written permission of TWC. At the time of termination of this Contract for any purposes, all TWC Data must be </w:t>
      </w:r>
      <w:r>
        <w:lastRenderedPageBreak/>
        <w:t xml:space="preserve">provided to TWC in an acceptable electronic form (extracted in a structured format easily importable into another data store to include all relevant models, scripts, etc.) and none of the TWC Data may remain on the </w:t>
      </w:r>
      <w:r>
        <w:rPr>
          <w:color w:val="000000" w:themeColor="text1"/>
        </w:rPr>
        <w:t>Awarded Vendor</w:t>
      </w:r>
      <w:r>
        <w:t>’s system, after such event;</w:t>
      </w:r>
    </w:p>
    <w:p w14:paraId="08F78A03" w14:textId="77777777" w:rsidR="00C6345E" w:rsidRDefault="00C6345E" w:rsidP="00C6345E">
      <w:pPr>
        <w:pStyle w:val="NB1"/>
        <w:numPr>
          <w:ilvl w:val="0"/>
          <w:numId w:val="45"/>
        </w:numPr>
        <w:spacing w:after="180"/>
        <w:ind w:left="1260" w:hanging="540"/>
      </w:pPr>
      <w:r>
        <w:t>Data in Awarded Vendor’s custody will never be used, under any circumstances, for any purposes other than those agreed to in the contract;</w:t>
      </w:r>
    </w:p>
    <w:p w14:paraId="1B76456C" w14:textId="77777777" w:rsidR="00C6345E" w:rsidRDefault="00C6345E" w:rsidP="00C6345E">
      <w:pPr>
        <w:pStyle w:val="NB1"/>
        <w:numPr>
          <w:ilvl w:val="0"/>
          <w:numId w:val="45"/>
        </w:numPr>
        <w:spacing w:after="180"/>
        <w:ind w:left="1260" w:hanging="540"/>
      </w:pPr>
      <w:r>
        <w:t>At a minimum, 99.95% scheduled uptime, excluding planned downtime for maintenance;</w:t>
      </w:r>
    </w:p>
    <w:p w14:paraId="2351F9C8" w14:textId="77777777" w:rsidR="00C6345E" w:rsidRDefault="00C6345E" w:rsidP="00C6345E">
      <w:pPr>
        <w:pStyle w:val="NB1"/>
        <w:numPr>
          <w:ilvl w:val="0"/>
          <w:numId w:val="45"/>
        </w:numPr>
        <w:spacing w:after="180"/>
        <w:ind w:left="1260" w:hanging="540"/>
      </w:pPr>
      <w:r>
        <w:t>Adequate capacity to ensure prompt response to both data inquiry/lookup and data modification transactions at all times;</w:t>
      </w:r>
    </w:p>
    <w:p w14:paraId="1AE83451" w14:textId="40E8363B" w:rsidR="00C6345E" w:rsidRDefault="00C6345E" w:rsidP="00C6345E">
      <w:pPr>
        <w:pStyle w:val="NB1"/>
        <w:numPr>
          <w:ilvl w:val="0"/>
          <w:numId w:val="45"/>
        </w:numPr>
        <w:spacing w:after="180"/>
        <w:ind w:left="1260" w:hanging="540"/>
      </w:pPr>
      <w:r>
        <w:t xml:space="preserve">The Awarded Vendor must provide sufficient, secure data storage to operate and support the hosted cloud solution; </w:t>
      </w:r>
    </w:p>
    <w:p w14:paraId="27754C94" w14:textId="23384FFE" w:rsidR="00050322" w:rsidRDefault="00050322" w:rsidP="00C6345E">
      <w:pPr>
        <w:pStyle w:val="NB1"/>
        <w:numPr>
          <w:ilvl w:val="0"/>
          <w:numId w:val="45"/>
        </w:numPr>
        <w:spacing w:after="180"/>
        <w:ind w:left="1260" w:hanging="540"/>
      </w:pPr>
      <w:r>
        <w:t>Offered cloud solutions must provide for dynamic scaling to minimize ongoing costs through provisioning of minimal platform/infrastructure resources necessary to maintain operations during average traffic periods and have utilization triggers that will allow for automatic provisioning of additional resources during peak traffic periods and then return to the minimal resource configuration once peak</w:t>
      </w:r>
      <w:r w:rsidR="00B324EE">
        <w:t xml:space="preserve"> traffic triggers have subsided;</w:t>
      </w:r>
    </w:p>
    <w:p w14:paraId="592BC5EA" w14:textId="77777777" w:rsidR="00C6345E" w:rsidRDefault="00C6345E" w:rsidP="00C6345E">
      <w:pPr>
        <w:pStyle w:val="NB1"/>
        <w:numPr>
          <w:ilvl w:val="0"/>
          <w:numId w:val="45"/>
        </w:numPr>
        <w:spacing w:after="180"/>
        <w:ind w:left="1260" w:hanging="540"/>
      </w:pPr>
      <w:r>
        <w:t>All hardware and software components of the hosting infrastructure must be fully supported by their respective manufacturers at all times; and</w:t>
      </w:r>
    </w:p>
    <w:p w14:paraId="7F548E93" w14:textId="4CE8CB6E" w:rsidR="00C6345E" w:rsidRDefault="00C6345E" w:rsidP="00C6345E">
      <w:pPr>
        <w:pStyle w:val="NB1"/>
        <w:numPr>
          <w:ilvl w:val="0"/>
          <w:numId w:val="45"/>
        </w:numPr>
        <w:spacing w:after="180"/>
        <w:ind w:left="1260" w:hanging="540"/>
      </w:pPr>
      <w:r>
        <w:t xml:space="preserve">Any scaling to handle traffic and computing surges, including cloud bursting, must continue to meet FedRAMP </w:t>
      </w:r>
      <w:r w:rsidR="0019395B">
        <w:t>(Moderate) ATO</w:t>
      </w:r>
      <w:r>
        <w:t>.</w:t>
      </w:r>
    </w:p>
    <w:p w14:paraId="23A2A349" w14:textId="536D67A7" w:rsidR="005E3261" w:rsidRDefault="005E3261" w:rsidP="005E3261">
      <w:pPr>
        <w:pStyle w:val="Heading2"/>
      </w:pPr>
      <w:bookmarkStart w:id="27" w:name="_Toc13567382"/>
      <w:bookmarkStart w:id="28" w:name="_Toc529342861"/>
      <w:r>
        <w:t>1.5</w:t>
      </w:r>
      <w:r>
        <w:tab/>
        <w:t>Texas Data Center Services Program</w:t>
      </w:r>
      <w:bookmarkEnd w:id="27"/>
    </w:p>
    <w:p w14:paraId="45278DC1" w14:textId="07772167" w:rsidR="005E3261" w:rsidRPr="005E3261" w:rsidRDefault="00675188" w:rsidP="005E3261">
      <w:pPr>
        <w:rPr>
          <w:rFonts w:ascii="Arial" w:hAnsi="Arial"/>
        </w:rPr>
      </w:pPr>
      <w:r>
        <w:t>In 2005, t</w:t>
      </w:r>
      <w:r w:rsidR="005E3261" w:rsidRPr="005E3261">
        <w:t xml:space="preserve">he Texas Legislature, by action of House Bill 1516, 79th Legislature (Regular Session), established the foundation of a shared technology infrastructure and directed the Texas Department of Information Resources (DIR) to coordinate a statewide program to consolidate infrastructure services. </w:t>
      </w:r>
      <w:r>
        <w:t xml:space="preserve">Texas Government Code, </w:t>
      </w:r>
      <w:r w:rsidR="005E3261" w:rsidRPr="005E3261">
        <w:t xml:space="preserve">Section 2054.391 </w:t>
      </w:r>
      <w:r w:rsidR="005E3261" w:rsidRPr="001870A5">
        <w:t xml:space="preserve">requires </w:t>
      </w:r>
      <w:r w:rsidR="005E3261" w:rsidRPr="005E3261">
        <w:t>state agencies included in the Data Center Services (DCS) program to use such services, unless otherwise approved by the DIR Executive Director through a D</w:t>
      </w:r>
      <w:r w:rsidR="00DF5556">
        <w:t xml:space="preserve">ata Center Services Exemption. </w:t>
      </w:r>
    </w:p>
    <w:p w14:paraId="1975FB22" w14:textId="77777777" w:rsidR="005E3261" w:rsidRPr="005E3261" w:rsidRDefault="005E3261" w:rsidP="005E3261">
      <w:r w:rsidRPr="005E3261">
        <w:t>DIR, in its capacity as manager of the DCS program, works with agencies to promote the use of the services, and where applicable, to determine if an exemption to any component of the program is warranted.</w:t>
      </w:r>
    </w:p>
    <w:p w14:paraId="6F91DC06" w14:textId="349E5C8E" w:rsidR="005E3261" w:rsidRPr="00DF5556" w:rsidRDefault="005E3261" w:rsidP="005E3261">
      <w:r w:rsidRPr="00DF5556">
        <w:t>DIR has determined that the use of SaaS as a managed service is consistent with the state strategic plan and the DCS framework. Therefore, TWC seeks vendor(s) to offer a service delivery solution that is financially viable, protects data, and is in the best interest of the State of Texas.</w:t>
      </w:r>
    </w:p>
    <w:p w14:paraId="49B2B828" w14:textId="6E7FB2F6" w:rsidR="005E3261" w:rsidRPr="00DF5556" w:rsidRDefault="005E3261" w:rsidP="005E3261">
      <w:r w:rsidRPr="00DF5556">
        <w:t>Offerors are invited to offer one or more of the following service delivery solutions as defined in the Glossary of this RFO:</w:t>
      </w:r>
    </w:p>
    <w:p w14:paraId="684FB89C" w14:textId="77777777" w:rsidR="005E3261" w:rsidRPr="00F44918" w:rsidRDefault="005E3261" w:rsidP="00F44918">
      <w:pPr>
        <w:pStyle w:val="LB1"/>
        <w:rPr>
          <w:sz w:val="22"/>
        </w:rPr>
      </w:pPr>
      <w:r w:rsidRPr="00F44918">
        <w:t>Software as a Service (SaaS)</w:t>
      </w:r>
    </w:p>
    <w:p w14:paraId="556A2FF5" w14:textId="77777777" w:rsidR="005E3261" w:rsidRPr="00F44918" w:rsidRDefault="005E3261" w:rsidP="00F44918">
      <w:pPr>
        <w:pStyle w:val="LB1"/>
      </w:pPr>
      <w:r w:rsidRPr="00F44918">
        <w:t>Infrastructure as a Service (IaaS)</w:t>
      </w:r>
    </w:p>
    <w:p w14:paraId="65BEAA6F" w14:textId="77777777" w:rsidR="005E3261" w:rsidRPr="00F44918" w:rsidRDefault="005E3261" w:rsidP="00F44918">
      <w:pPr>
        <w:pStyle w:val="LB1"/>
      </w:pPr>
      <w:r w:rsidRPr="00F44918">
        <w:lastRenderedPageBreak/>
        <w:t>Platform as a Service (PaaS)</w:t>
      </w:r>
    </w:p>
    <w:p w14:paraId="5E9D5BC2" w14:textId="77777777" w:rsidR="005E3261" w:rsidRPr="00F44918" w:rsidRDefault="005E3261" w:rsidP="00F44918">
      <w:pPr>
        <w:pStyle w:val="LB1"/>
      </w:pPr>
      <w:r w:rsidRPr="00F44918">
        <w:t>Vendor-Hosted Non-SaaS Solution</w:t>
      </w:r>
    </w:p>
    <w:p w14:paraId="55D60FD8" w14:textId="77777777" w:rsidR="005E3261" w:rsidRPr="00F44918" w:rsidRDefault="005E3261" w:rsidP="00F44918">
      <w:pPr>
        <w:pStyle w:val="LB1"/>
      </w:pPr>
      <w:bookmarkStart w:id="29" w:name="_Hlk10721125"/>
      <w:r w:rsidRPr="00F44918">
        <w:t>Leveraged DCS Non-SaaS Solution</w:t>
      </w:r>
      <w:bookmarkEnd w:id="29"/>
    </w:p>
    <w:p w14:paraId="0B66C2BC" w14:textId="77777777" w:rsidR="00F44918" w:rsidRDefault="00F44918" w:rsidP="00DF5556">
      <w:pPr>
        <w:rPr>
          <w:highlight w:val="yellow"/>
        </w:rPr>
      </w:pPr>
    </w:p>
    <w:p w14:paraId="102AC0AA" w14:textId="59E398B8" w:rsidR="005E3261" w:rsidRPr="00F44918" w:rsidRDefault="005E3261" w:rsidP="00DF5556">
      <w:pPr>
        <w:rPr>
          <w:rFonts w:ascii="Arial" w:hAnsi="Arial" w:cs="Arial"/>
        </w:rPr>
      </w:pPr>
      <w:r w:rsidRPr="00F44918">
        <w:t xml:space="preserve">For </w:t>
      </w:r>
      <w:r w:rsidR="00DF5556" w:rsidRPr="00F44918">
        <w:t>Offerors</w:t>
      </w:r>
      <w:r w:rsidRPr="00F44918">
        <w:t xml:space="preserve"> offering one of the above Solutions, the following are required:</w:t>
      </w:r>
    </w:p>
    <w:p w14:paraId="532E0283" w14:textId="77777777" w:rsidR="005E3261" w:rsidRPr="00F44918" w:rsidRDefault="005E3261" w:rsidP="00F44918">
      <w:pPr>
        <w:pStyle w:val="LB1"/>
        <w:rPr>
          <w:sz w:val="22"/>
        </w:rPr>
      </w:pPr>
      <w:r w:rsidRPr="00F44918">
        <w:t>Provide a Third-Party Assessment Organization (3PAO) Readiness Assessment Report* attesting to Fed-Ramp Ready (Moderate) status;</w:t>
      </w:r>
    </w:p>
    <w:p w14:paraId="272343BE" w14:textId="41B82AB0" w:rsidR="005E3261" w:rsidRPr="00F44918" w:rsidRDefault="005E3261" w:rsidP="00F44918">
      <w:pPr>
        <w:pStyle w:val="LB1"/>
      </w:pPr>
      <w:r w:rsidRPr="00F44918">
        <w:t>Deliver services in accordance with service level agreements outlined in this RFO</w:t>
      </w:r>
      <w:r w:rsidR="005A05B6">
        <w:t>;</w:t>
      </w:r>
    </w:p>
    <w:p w14:paraId="0EEA95EF" w14:textId="57B84F77" w:rsidR="005E3261" w:rsidRPr="00F44918" w:rsidRDefault="005E3261" w:rsidP="00F44918">
      <w:pPr>
        <w:pStyle w:val="LB1"/>
      </w:pPr>
      <w:r w:rsidRPr="00F44918">
        <w:t>Provide server management functions aligned with the DCS functions in Exhibit 4</w:t>
      </w:r>
      <w:r w:rsidR="006E46E4">
        <w:t xml:space="preserve"> of</w:t>
      </w:r>
      <w:r w:rsidRPr="00F44918">
        <w:t xml:space="preserve"> the DCS agreement; and</w:t>
      </w:r>
    </w:p>
    <w:p w14:paraId="5886B75B" w14:textId="77777777" w:rsidR="005E3261" w:rsidRPr="00F44918" w:rsidRDefault="005E3261" w:rsidP="00F44918">
      <w:pPr>
        <w:pStyle w:val="LB1"/>
      </w:pPr>
      <w:r w:rsidRPr="00F44918">
        <w:t xml:space="preserve">A justification </w:t>
      </w:r>
      <w:r w:rsidRPr="00F44918">
        <w:rPr>
          <w:color w:val="000000"/>
        </w:rPr>
        <w:t>for using a vendor hosted solution with identified advantages and/or challenges for using TWC/State of Texas hosted solution.</w:t>
      </w:r>
    </w:p>
    <w:p w14:paraId="6552DEFB" w14:textId="77777777" w:rsidR="005E3261" w:rsidRPr="00F44918" w:rsidRDefault="005E3261" w:rsidP="00F44918">
      <w:r w:rsidRPr="00F44918">
        <w:t>*FedRAMP (Moderate) Provisional Authority to Operate (P-ATO) through the Joint Authorization Board (JAB) or Authority to Operate (ATO) through a Federal Agency will also fulfill this requirement</w:t>
      </w:r>
    </w:p>
    <w:p w14:paraId="37411EF9" w14:textId="287BB165" w:rsidR="005E3261" w:rsidRPr="00F44918" w:rsidRDefault="00DF5556" w:rsidP="00F44918">
      <w:pPr>
        <w:rPr>
          <w:szCs w:val="24"/>
        </w:rPr>
      </w:pPr>
      <w:r w:rsidRPr="00F44918">
        <w:rPr>
          <w:szCs w:val="24"/>
        </w:rPr>
        <w:t>Offerors</w:t>
      </w:r>
      <w:r w:rsidR="005E3261" w:rsidRPr="00F44918">
        <w:rPr>
          <w:szCs w:val="24"/>
        </w:rPr>
        <w:t xml:space="preserve"> may include an offer to host the application or solution in the State Consolidated Data Center (locations in Austin or San Angelo), operating on DCS infrastructure.</w:t>
      </w:r>
    </w:p>
    <w:p w14:paraId="4F404A31" w14:textId="110B10EE" w:rsidR="005E3261" w:rsidRPr="00F44918" w:rsidRDefault="005E3261" w:rsidP="00F44918">
      <w:pPr>
        <w:rPr>
          <w:szCs w:val="24"/>
        </w:rPr>
      </w:pPr>
      <w:r w:rsidRPr="00F44918">
        <w:rPr>
          <w:szCs w:val="24"/>
        </w:rPr>
        <w:t xml:space="preserve">More details about the DCS Vendor Contracts, MSAs and SOWs may be found at: </w:t>
      </w:r>
      <w:hyperlink r:id="rId22" w:history="1">
        <w:r w:rsidRPr="00F44918">
          <w:rPr>
            <w:rStyle w:val="Hyperlink"/>
            <w:szCs w:val="24"/>
          </w:rPr>
          <w:t>https://dir.texas.gov/View-Contracts-And-Services/Pages/Content.aspx?id=45</w:t>
        </w:r>
      </w:hyperlink>
    </w:p>
    <w:p w14:paraId="315EE137" w14:textId="6678F1CB" w:rsidR="005E3261" w:rsidRPr="00F44918" w:rsidRDefault="005E3261" w:rsidP="00F44918">
      <w:pPr>
        <w:rPr>
          <w:szCs w:val="24"/>
        </w:rPr>
      </w:pPr>
      <w:r w:rsidRPr="00050322">
        <w:rPr>
          <w:szCs w:val="24"/>
        </w:rPr>
        <w:t xml:space="preserve">Alternatively, copies of the DCS Master Services Agreements can be obtained by contacting DIR’s Public Information Office at </w:t>
      </w:r>
      <w:hyperlink r:id="rId23" w:tgtFrame="_blank" w:history="1">
        <w:r w:rsidRPr="00050322">
          <w:rPr>
            <w:rStyle w:val="Hyperlink"/>
            <w:szCs w:val="24"/>
            <w:lang w:val="en"/>
          </w:rPr>
          <w:t>PIO@dir.texas.gov</w:t>
        </w:r>
      </w:hyperlink>
      <w:r w:rsidRPr="00F44918">
        <w:rPr>
          <w:szCs w:val="24"/>
        </w:rPr>
        <w:t>.</w:t>
      </w:r>
    </w:p>
    <w:p w14:paraId="021337D6" w14:textId="4DE95B9E" w:rsidR="00FB4A19" w:rsidRDefault="00FB4A19" w:rsidP="00FE5277">
      <w:pPr>
        <w:pStyle w:val="Heading2"/>
      </w:pPr>
      <w:bookmarkStart w:id="30" w:name="_Toc13567383"/>
      <w:r>
        <w:t>1.</w:t>
      </w:r>
      <w:r w:rsidR="005E3261">
        <w:t>6</w:t>
      </w:r>
      <w:r>
        <w:tab/>
        <w:t>Accessibility Statement</w:t>
      </w:r>
      <w:bookmarkEnd w:id="28"/>
      <w:bookmarkEnd w:id="30"/>
    </w:p>
    <w:p w14:paraId="3651BEDF" w14:textId="6003BA18" w:rsidR="00FB4A19" w:rsidRDefault="00FB4A19" w:rsidP="00FB4A19">
      <w:r>
        <w:t>TWC is</w:t>
      </w:r>
      <w:r w:rsidRPr="00FB5462">
        <w:t xml:space="preserve"> committed to making our IT systems, documents, and other </w:t>
      </w:r>
      <w:r w:rsidR="0018438D">
        <w:t>EIR</w:t>
      </w:r>
      <w:r w:rsidRPr="00FB5462">
        <w:t xml:space="preserve"> accessible to everyone, including people with disabilities. Every element of each IT system delivered to TWC must be fully accessible as described in </w:t>
      </w:r>
      <w:hyperlink w:anchor="_6.9_Electronic_Information" w:history="1">
        <w:r w:rsidRPr="00B13084">
          <w:rPr>
            <w:rStyle w:val="Hyperlink"/>
          </w:rPr>
          <w:t>Section 6.9</w:t>
        </w:r>
      </w:hyperlink>
      <w:r w:rsidRPr="00FB5462">
        <w:t xml:space="preserve"> of this document. In addition, all </w:t>
      </w:r>
      <w:r>
        <w:t>Project</w:t>
      </w:r>
      <w:r w:rsidRPr="00FB5462">
        <w:t xml:space="preserve"> communication, notes, presentations, documentation, and other supporting materials must be fully accessible as described in Section 6.9.</w:t>
      </w:r>
    </w:p>
    <w:p w14:paraId="79143858" w14:textId="7C79A0AD" w:rsidR="00FB4A19" w:rsidRDefault="00FB4A19" w:rsidP="00FB4A19">
      <w:pPr>
        <w:pStyle w:val="Heading2"/>
      </w:pPr>
      <w:bookmarkStart w:id="31" w:name="_Toc529342862"/>
      <w:bookmarkStart w:id="32" w:name="_Toc13567384"/>
      <w:r>
        <w:t>1.</w:t>
      </w:r>
      <w:r w:rsidR="005E3261">
        <w:t>7</w:t>
      </w:r>
      <w:r>
        <w:tab/>
        <w:t>Current Technical Environment</w:t>
      </w:r>
      <w:bookmarkEnd w:id="31"/>
      <w:bookmarkEnd w:id="32"/>
    </w:p>
    <w:p w14:paraId="17C275D1" w14:textId="77777777" w:rsidR="00FB4A19" w:rsidRDefault="00FB4A19" w:rsidP="00FB4A19">
      <w:r>
        <w:t>The current technical environment for the legacy systems are summarized below.</w:t>
      </w:r>
    </w:p>
    <w:p w14:paraId="1A2E917E" w14:textId="751E9455" w:rsidR="00FB4A19" w:rsidRPr="00EB6319" w:rsidRDefault="00FB4A19" w:rsidP="00FB4A19">
      <w:pPr>
        <w:pStyle w:val="Heading3"/>
      </w:pPr>
      <w:bookmarkStart w:id="33" w:name="_Toc529342863"/>
      <w:bookmarkStart w:id="34" w:name="_Toc13567385"/>
      <w:r>
        <w:t>1.</w:t>
      </w:r>
      <w:r w:rsidR="005E3261">
        <w:t>7</w:t>
      </w:r>
      <w:r>
        <w:t>.1</w:t>
      </w:r>
      <w:r w:rsidR="00016541">
        <w:tab/>
      </w:r>
      <w:r>
        <w:t>UI Applications</w:t>
      </w:r>
      <w:bookmarkEnd w:id="33"/>
      <w:bookmarkEnd w:id="34"/>
    </w:p>
    <w:p w14:paraId="7D8D7871" w14:textId="40977063" w:rsidR="0061579C" w:rsidRDefault="0061579C" w:rsidP="0061579C">
      <w:bookmarkStart w:id="35" w:name="_Toc529342864"/>
      <w:r>
        <w:t>The UI system is comprised of three</w:t>
      </w:r>
      <w:r w:rsidR="00A27AC6">
        <w:t xml:space="preserve"> (3)</w:t>
      </w:r>
      <w:r>
        <w:t xml:space="preserve"> primary functions: Tax, Benefits, and Appeals. About </w:t>
      </w:r>
      <w:r w:rsidR="00A27AC6">
        <w:t>thirty (</w:t>
      </w:r>
      <w:r>
        <w:t>30</w:t>
      </w:r>
      <w:r w:rsidR="00A27AC6">
        <w:t>)</w:t>
      </w:r>
      <w:r>
        <w:t xml:space="preserve"> applications run on the mainframes and servers to accomplish these functions.</w:t>
      </w:r>
    </w:p>
    <w:p w14:paraId="375271D3" w14:textId="77777777" w:rsidR="0061579C" w:rsidRDefault="0061579C" w:rsidP="0061579C"/>
    <w:tbl>
      <w:tblPr>
        <w:tblStyle w:val="TableGrid"/>
        <w:tblW w:w="10080" w:type="dxa"/>
        <w:tblInd w:w="828" w:type="dxa"/>
        <w:tblLayout w:type="fixed"/>
        <w:tblLook w:val="04A0" w:firstRow="1" w:lastRow="0" w:firstColumn="1" w:lastColumn="0" w:noHBand="0" w:noVBand="1"/>
        <w:tblDescription w:val="UI Applications table"/>
      </w:tblPr>
      <w:tblGrid>
        <w:gridCol w:w="3600"/>
        <w:gridCol w:w="2160"/>
        <w:gridCol w:w="2160"/>
        <w:gridCol w:w="2160"/>
      </w:tblGrid>
      <w:tr w:rsidR="0061579C" w:rsidRPr="00873442" w14:paraId="43A7004F" w14:textId="77777777" w:rsidTr="00E2406B">
        <w:trPr>
          <w:tblHeader/>
        </w:trPr>
        <w:tc>
          <w:tcPr>
            <w:tcW w:w="3600" w:type="dxa"/>
            <w:shd w:val="clear" w:color="auto" w:fill="DEEAF6" w:themeFill="accent1" w:themeFillTint="33"/>
            <w:vAlign w:val="center"/>
          </w:tcPr>
          <w:p w14:paraId="70E57F58" w14:textId="77777777" w:rsidR="0061579C" w:rsidRPr="00E47978" w:rsidRDefault="0061579C" w:rsidP="00E2406B">
            <w:pPr>
              <w:spacing w:after="0"/>
              <w:ind w:left="0"/>
              <w:jc w:val="center"/>
              <w:rPr>
                <w:rFonts w:cs="Arial"/>
                <w:b/>
                <w:color w:val="1F3864" w:themeColor="accent5" w:themeShade="80"/>
              </w:rPr>
            </w:pPr>
            <w:bookmarkStart w:id="36" w:name="_Hlk8208351"/>
            <w:r>
              <w:rPr>
                <w:rFonts w:cs="Arial"/>
                <w:b/>
                <w:color w:val="1F3864" w:themeColor="accent5" w:themeShade="80"/>
              </w:rPr>
              <w:lastRenderedPageBreak/>
              <w:t>Applications</w:t>
            </w:r>
          </w:p>
        </w:tc>
        <w:tc>
          <w:tcPr>
            <w:tcW w:w="2160" w:type="dxa"/>
            <w:shd w:val="clear" w:color="auto" w:fill="DEEAF6" w:themeFill="accent1" w:themeFillTint="33"/>
            <w:vAlign w:val="center"/>
          </w:tcPr>
          <w:p w14:paraId="2F534F0D" w14:textId="77777777" w:rsidR="0061579C" w:rsidRDefault="0061579C" w:rsidP="00E2406B">
            <w:pPr>
              <w:spacing w:after="0"/>
              <w:ind w:left="0"/>
              <w:rPr>
                <w:rFonts w:cs="Arial"/>
                <w:b/>
                <w:color w:val="1F3864" w:themeColor="accent5" w:themeShade="80"/>
              </w:rPr>
            </w:pPr>
            <w:r>
              <w:rPr>
                <w:rFonts w:cs="Arial"/>
                <w:b/>
                <w:color w:val="1F3864" w:themeColor="accent5" w:themeShade="80"/>
              </w:rPr>
              <w:t>Where Application Runs</w:t>
            </w:r>
            <w:r>
              <w:rPr>
                <w:rFonts w:cs="Arial"/>
                <w:b/>
                <w:color w:val="1F3864" w:themeColor="accent5" w:themeShade="80"/>
              </w:rPr>
              <w:br/>
            </w:r>
            <w:r w:rsidRPr="000E79E5">
              <w:rPr>
                <w:rFonts w:cs="Arial"/>
                <w:color w:val="1F3864" w:themeColor="accent5" w:themeShade="80"/>
              </w:rPr>
              <w:t>D=Desktop</w:t>
            </w:r>
            <w:r w:rsidRPr="000E79E5">
              <w:rPr>
                <w:rFonts w:cs="Arial"/>
                <w:color w:val="1F3864" w:themeColor="accent5" w:themeShade="80"/>
              </w:rPr>
              <w:br/>
              <w:t>M=Mainframe</w:t>
            </w:r>
            <w:r w:rsidRPr="000E79E5">
              <w:rPr>
                <w:rFonts w:cs="Arial"/>
                <w:color w:val="1F3864" w:themeColor="accent5" w:themeShade="80"/>
              </w:rPr>
              <w:br/>
              <w:t>S=Server</w:t>
            </w:r>
          </w:p>
        </w:tc>
        <w:tc>
          <w:tcPr>
            <w:tcW w:w="2160" w:type="dxa"/>
            <w:shd w:val="clear" w:color="auto" w:fill="DEEAF6" w:themeFill="accent1" w:themeFillTint="33"/>
            <w:vAlign w:val="center"/>
          </w:tcPr>
          <w:p w14:paraId="2A0C77C5" w14:textId="77777777" w:rsidR="0061579C" w:rsidRDefault="0061579C" w:rsidP="00E2406B">
            <w:pPr>
              <w:spacing w:after="0"/>
              <w:ind w:left="0"/>
              <w:jc w:val="center"/>
              <w:rPr>
                <w:rFonts w:cs="Arial"/>
                <w:b/>
                <w:color w:val="1F3864" w:themeColor="accent5" w:themeShade="80"/>
              </w:rPr>
            </w:pPr>
            <w:r>
              <w:rPr>
                <w:rFonts w:cs="Arial"/>
                <w:b/>
                <w:color w:val="1F3864" w:themeColor="accent5" w:themeShade="80"/>
              </w:rPr>
              <w:t>Where Data Resides</w:t>
            </w:r>
          </w:p>
        </w:tc>
        <w:tc>
          <w:tcPr>
            <w:tcW w:w="2160" w:type="dxa"/>
            <w:shd w:val="clear" w:color="auto" w:fill="DEEAF6" w:themeFill="accent1" w:themeFillTint="33"/>
            <w:vAlign w:val="center"/>
          </w:tcPr>
          <w:p w14:paraId="3B5B966F" w14:textId="77777777" w:rsidR="0061579C" w:rsidRPr="00E47978" w:rsidRDefault="0061579C" w:rsidP="00E2406B">
            <w:pPr>
              <w:spacing w:after="0"/>
              <w:ind w:left="0"/>
              <w:rPr>
                <w:rFonts w:cs="Arial"/>
                <w:b/>
                <w:color w:val="1F3864" w:themeColor="accent5" w:themeShade="80"/>
              </w:rPr>
            </w:pPr>
            <w:r>
              <w:rPr>
                <w:rFonts w:cs="Arial"/>
                <w:b/>
                <w:color w:val="1F3864" w:themeColor="accent5" w:themeShade="80"/>
              </w:rPr>
              <w:t>Primary Interface</w:t>
            </w:r>
            <w:r>
              <w:rPr>
                <w:rFonts w:cs="Arial"/>
                <w:b/>
                <w:color w:val="1F3864" w:themeColor="accent5" w:themeShade="80"/>
              </w:rPr>
              <w:br/>
            </w:r>
            <w:r w:rsidRPr="000E79E5">
              <w:rPr>
                <w:rFonts w:cs="Arial"/>
                <w:color w:val="1F3864" w:themeColor="accent5" w:themeShade="80"/>
              </w:rPr>
              <w:t>E=External (Outside TWC)</w:t>
            </w:r>
            <w:r w:rsidRPr="000E79E5">
              <w:rPr>
                <w:rFonts w:cs="Arial"/>
                <w:color w:val="1F3864" w:themeColor="accent5" w:themeShade="80"/>
              </w:rPr>
              <w:br/>
              <w:t>I=Internal (Inside TWC)</w:t>
            </w:r>
          </w:p>
        </w:tc>
      </w:tr>
      <w:tr w:rsidR="0061579C" w:rsidRPr="00873442" w14:paraId="0483E4E4" w14:textId="77777777" w:rsidTr="00E2406B">
        <w:tc>
          <w:tcPr>
            <w:tcW w:w="10080" w:type="dxa"/>
            <w:gridSpan w:val="4"/>
            <w:shd w:val="clear" w:color="auto" w:fill="D9D9D9" w:themeFill="background1" w:themeFillShade="D9"/>
            <w:vAlign w:val="center"/>
          </w:tcPr>
          <w:p w14:paraId="78C3A452" w14:textId="77777777" w:rsidR="0061579C" w:rsidRPr="00B75AFD" w:rsidRDefault="0061579C" w:rsidP="00E2406B">
            <w:pPr>
              <w:ind w:left="0"/>
              <w:rPr>
                <w:b/>
              </w:rPr>
            </w:pPr>
            <w:r w:rsidRPr="00B75AFD">
              <w:rPr>
                <w:b/>
              </w:rPr>
              <w:t>Tax</w:t>
            </w:r>
          </w:p>
        </w:tc>
      </w:tr>
      <w:tr w:rsidR="0061579C" w:rsidRPr="00873442" w14:paraId="4E7EC3DC" w14:textId="77777777" w:rsidTr="00E2406B">
        <w:tc>
          <w:tcPr>
            <w:tcW w:w="3600" w:type="dxa"/>
            <w:vAlign w:val="center"/>
          </w:tcPr>
          <w:p w14:paraId="52F09F1F" w14:textId="77777777" w:rsidR="0061579C" w:rsidRDefault="0061579C" w:rsidP="00E2406B">
            <w:pPr>
              <w:ind w:left="0"/>
            </w:pPr>
            <w:r>
              <w:t>Tax</w:t>
            </w:r>
          </w:p>
        </w:tc>
        <w:tc>
          <w:tcPr>
            <w:tcW w:w="2160" w:type="dxa"/>
            <w:vAlign w:val="center"/>
          </w:tcPr>
          <w:p w14:paraId="74154D1D" w14:textId="77777777" w:rsidR="0061579C" w:rsidRDefault="0061579C" w:rsidP="00E2406B">
            <w:pPr>
              <w:ind w:left="0"/>
              <w:jc w:val="center"/>
            </w:pPr>
            <w:r>
              <w:t>M (CICS and batch)</w:t>
            </w:r>
          </w:p>
        </w:tc>
        <w:tc>
          <w:tcPr>
            <w:tcW w:w="2160" w:type="dxa"/>
            <w:vAlign w:val="center"/>
          </w:tcPr>
          <w:p w14:paraId="703C3E1B" w14:textId="63C509D0" w:rsidR="0061579C" w:rsidRDefault="0061579C" w:rsidP="00E2406B">
            <w:pPr>
              <w:ind w:left="0"/>
              <w:jc w:val="center"/>
            </w:pPr>
            <w:r>
              <w:t xml:space="preserve">DB2, </w:t>
            </w:r>
            <w:r w:rsidR="00AA4721">
              <w:rPr>
                <w:rFonts w:cs="Arial"/>
                <w:snapToGrid w:val="0"/>
                <w:color w:val="000000"/>
                <w:szCs w:val="24"/>
              </w:rPr>
              <w:t>Virtual Storage Access Method</w:t>
            </w:r>
            <w:r w:rsidR="00AA4721">
              <w:t xml:space="preserve"> (</w:t>
            </w:r>
            <w:r>
              <w:t>VSAM</w:t>
            </w:r>
            <w:r w:rsidR="00AA4721">
              <w:t>)</w:t>
            </w:r>
            <w:r>
              <w:t xml:space="preserve">, </w:t>
            </w:r>
            <w:r w:rsidR="00AA4721">
              <w:rPr>
                <w:szCs w:val="24"/>
              </w:rPr>
              <w:t>Queued Sequential Access Method</w:t>
            </w:r>
            <w:r w:rsidR="00AA4721">
              <w:t xml:space="preserve"> (</w:t>
            </w:r>
            <w:r>
              <w:t>QSAM</w:t>
            </w:r>
            <w:r w:rsidR="00AA4721">
              <w:t>)</w:t>
            </w:r>
          </w:p>
        </w:tc>
        <w:tc>
          <w:tcPr>
            <w:tcW w:w="2160" w:type="dxa"/>
            <w:vAlign w:val="center"/>
          </w:tcPr>
          <w:p w14:paraId="5227734A" w14:textId="77777777" w:rsidR="0061579C" w:rsidRDefault="0061579C" w:rsidP="00E2406B">
            <w:pPr>
              <w:ind w:left="0"/>
              <w:jc w:val="center"/>
            </w:pPr>
            <w:r>
              <w:t>I</w:t>
            </w:r>
          </w:p>
        </w:tc>
      </w:tr>
      <w:tr w:rsidR="0061579C" w:rsidRPr="00873442" w14:paraId="2F5587E1" w14:textId="77777777" w:rsidTr="00E2406B">
        <w:tc>
          <w:tcPr>
            <w:tcW w:w="3600" w:type="dxa"/>
            <w:vAlign w:val="center"/>
          </w:tcPr>
          <w:p w14:paraId="702CB0ED" w14:textId="77777777" w:rsidR="0061579C" w:rsidRDefault="0061579C" w:rsidP="00E2406B">
            <w:pPr>
              <w:ind w:left="0"/>
            </w:pPr>
            <w:r>
              <w:t>Unemployment Tax Services (UTS)</w:t>
            </w:r>
          </w:p>
        </w:tc>
        <w:tc>
          <w:tcPr>
            <w:tcW w:w="2160" w:type="dxa"/>
            <w:vAlign w:val="center"/>
          </w:tcPr>
          <w:p w14:paraId="7D8C6469" w14:textId="77777777" w:rsidR="0061579C" w:rsidRDefault="0061579C" w:rsidP="00E2406B">
            <w:pPr>
              <w:ind w:left="0"/>
              <w:jc w:val="center"/>
            </w:pPr>
            <w:r>
              <w:t>S</w:t>
            </w:r>
          </w:p>
        </w:tc>
        <w:tc>
          <w:tcPr>
            <w:tcW w:w="2160" w:type="dxa"/>
            <w:vAlign w:val="center"/>
          </w:tcPr>
          <w:p w14:paraId="0DF51B24" w14:textId="77777777" w:rsidR="0061579C" w:rsidRDefault="0061579C" w:rsidP="00E2406B">
            <w:pPr>
              <w:ind w:left="0"/>
              <w:jc w:val="center"/>
            </w:pPr>
            <w:r>
              <w:t>DB2, VSAM</w:t>
            </w:r>
          </w:p>
        </w:tc>
        <w:tc>
          <w:tcPr>
            <w:tcW w:w="2160" w:type="dxa"/>
            <w:vAlign w:val="center"/>
          </w:tcPr>
          <w:p w14:paraId="0F1EE576" w14:textId="77777777" w:rsidR="0061579C" w:rsidRDefault="0061579C" w:rsidP="00E2406B">
            <w:pPr>
              <w:ind w:left="0"/>
              <w:jc w:val="center"/>
            </w:pPr>
            <w:r>
              <w:t>E</w:t>
            </w:r>
          </w:p>
        </w:tc>
      </w:tr>
      <w:tr w:rsidR="0061579C" w:rsidRPr="00873442" w14:paraId="407EE0A9" w14:textId="77777777" w:rsidTr="00E2406B">
        <w:tc>
          <w:tcPr>
            <w:tcW w:w="3600" w:type="dxa"/>
            <w:vAlign w:val="center"/>
          </w:tcPr>
          <w:p w14:paraId="7F4A9C6D" w14:textId="77777777" w:rsidR="0061579C" w:rsidRPr="006252D8" w:rsidRDefault="0061579C" w:rsidP="00E2406B">
            <w:pPr>
              <w:ind w:left="0"/>
            </w:pPr>
            <w:r>
              <w:t>Unemployment Tax Registration (UTR)</w:t>
            </w:r>
          </w:p>
        </w:tc>
        <w:tc>
          <w:tcPr>
            <w:tcW w:w="2160" w:type="dxa"/>
            <w:vAlign w:val="center"/>
          </w:tcPr>
          <w:p w14:paraId="6C5FEBB2" w14:textId="77777777" w:rsidR="0061579C" w:rsidRPr="006252D8" w:rsidRDefault="0061579C" w:rsidP="00E2406B">
            <w:pPr>
              <w:ind w:left="0"/>
              <w:jc w:val="center"/>
            </w:pPr>
            <w:r>
              <w:t>S</w:t>
            </w:r>
          </w:p>
        </w:tc>
        <w:tc>
          <w:tcPr>
            <w:tcW w:w="2160" w:type="dxa"/>
            <w:vAlign w:val="center"/>
          </w:tcPr>
          <w:p w14:paraId="36E1ED4C" w14:textId="77777777" w:rsidR="0061579C" w:rsidRPr="006252D8" w:rsidRDefault="0061579C" w:rsidP="00E2406B">
            <w:pPr>
              <w:ind w:left="0"/>
              <w:jc w:val="center"/>
            </w:pPr>
            <w:r>
              <w:t>DB2, VSAM</w:t>
            </w:r>
          </w:p>
        </w:tc>
        <w:tc>
          <w:tcPr>
            <w:tcW w:w="2160" w:type="dxa"/>
            <w:vAlign w:val="center"/>
          </w:tcPr>
          <w:p w14:paraId="14594A2A" w14:textId="77777777" w:rsidR="0061579C" w:rsidRPr="006252D8" w:rsidRDefault="0061579C" w:rsidP="00E2406B">
            <w:pPr>
              <w:ind w:left="0"/>
              <w:jc w:val="center"/>
            </w:pPr>
            <w:r>
              <w:t>E</w:t>
            </w:r>
          </w:p>
        </w:tc>
      </w:tr>
      <w:tr w:rsidR="0061579C" w:rsidRPr="00873442" w14:paraId="733DD024" w14:textId="77777777" w:rsidTr="00E2406B">
        <w:tc>
          <w:tcPr>
            <w:tcW w:w="3600" w:type="dxa"/>
            <w:vAlign w:val="center"/>
          </w:tcPr>
          <w:p w14:paraId="5E7D7E19" w14:textId="77777777" w:rsidR="0061579C" w:rsidRDefault="0061579C" w:rsidP="00E2406B">
            <w:pPr>
              <w:ind w:left="0"/>
            </w:pPr>
            <w:r>
              <w:t>QuickFile/TaxWEB</w:t>
            </w:r>
          </w:p>
        </w:tc>
        <w:tc>
          <w:tcPr>
            <w:tcW w:w="2160" w:type="dxa"/>
            <w:vAlign w:val="center"/>
          </w:tcPr>
          <w:p w14:paraId="0F5B6299" w14:textId="77777777" w:rsidR="0061579C" w:rsidRDefault="0061579C" w:rsidP="00E2406B">
            <w:pPr>
              <w:ind w:left="0"/>
              <w:jc w:val="center"/>
            </w:pPr>
            <w:r>
              <w:t>M (WebSphere) and S</w:t>
            </w:r>
          </w:p>
        </w:tc>
        <w:tc>
          <w:tcPr>
            <w:tcW w:w="2160" w:type="dxa"/>
            <w:vAlign w:val="center"/>
          </w:tcPr>
          <w:p w14:paraId="3FE22F12" w14:textId="77777777" w:rsidR="0061579C" w:rsidRPr="006252D8" w:rsidRDefault="0061579C" w:rsidP="00E2406B">
            <w:pPr>
              <w:ind w:left="0"/>
              <w:jc w:val="center"/>
            </w:pPr>
            <w:r>
              <w:t>DB2, Client</w:t>
            </w:r>
          </w:p>
        </w:tc>
        <w:tc>
          <w:tcPr>
            <w:tcW w:w="2160" w:type="dxa"/>
            <w:vAlign w:val="center"/>
          </w:tcPr>
          <w:p w14:paraId="633494D0" w14:textId="77777777" w:rsidR="0061579C" w:rsidRPr="006252D8" w:rsidRDefault="0061579C" w:rsidP="00E2406B">
            <w:pPr>
              <w:ind w:left="0"/>
              <w:jc w:val="center"/>
            </w:pPr>
            <w:r>
              <w:t>E</w:t>
            </w:r>
          </w:p>
        </w:tc>
      </w:tr>
      <w:tr w:rsidR="0061579C" w:rsidRPr="00873442" w14:paraId="7AA2F3E7" w14:textId="77777777" w:rsidTr="00E2406B">
        <w:tc>
          <w:tcPr>
            <w:tcW w:w="10080" w:type="dxa"/>
            <w:gridSpan w:val="4"/>
            <w:shd w:val="clear" w:color="auto" w:fill="D9D9D9" w:themeFill="background1" w:themeFillShade="D9"/>
            <w:vAlign w:val="center"/>
          </w:tcPr>
          <w:p w14:paraId="2566FA74" w14:textId="77777777" w:rsidR="0061579C" w:rsidRPr="00B75AFD" w:rsidRDefault="0061579C" w:rsidP="00E2406B">
            <w:pPr>
              <w:ind w:left="0"/>
              <w:rPr>
                <w:b/>
              </w:rPr>
            </w:pPr>
            <w:r w:rsidRPr="00B75AFD">
              <w:rPr>
                <w:b/>
              </w:rPr>
              <w:t>Benefits</w:t>
            </w:r>
          </w:p>
        </w:tc>
      </w:tr>
      <w:tr w:rsidR="0061579C" w:rsidRPr="00873442" w14:paraId="7BC9A727" w14:textId="77777777" w:rsidTr="00E2406B">
        <w:tc>
          <w:tcPr>
            <w:tcW w:w="3600" w:type="dxa"/>
            <w:vAlign w:val="center"/>
          </w:tcPr>
          <w:p w14:paraId="5873D4DC" w14:textId="2537E02F" w:rsidR="0061579C" w:rsidRPr="00293A8E" w:rsidRDefault="0018438D" w:rsidP="00E2406B">
            <w:pPr>
              <w:ind w:left="0"/>
            </w:pPr>
            <w:r>
              <w:rPr>
                <w:rFonts w:cs="Calibri"/>
                <w:szCs w:val="22"/>
              </w:rPr>
              <w:t>UI</w:t>
            </w:r>
            <w:r w:rsidR="0061579C" w:rsidRPr="00293A8E">
              <w:rPr>
                <w:rFonts w:cs="Calibri"/>
                <w:szCs w:val="22"/>
              </w:rPr>
              <w:t xml:space="preserve"> Mainframe</w:t>
            </w:r>
          </w:p>
        </w:tc>
        <w:tc>
          <w:tcPr>
            <w:tcW w:w="2160" w:type="dxa"/>
            <w:vAlign w:val="center"/>
          </w:tcPr>
          <w:p w14:paraId="6EB9E425" w14:textId="77777777" w:rsidR="0061579C" w:rsidRPr="00293A8E" w:rsidRDefault="0061579C" w:rsidP="00E2406B">
            <w:pPr>
              <w:ind w:left="0"/>
              <w:jc w:val="center"/>
            </w:pPr>
            <w:r w:rsidRPr="00293A8E">
              <w:rPr>
                <w:rFonts w:cs="Calibri"/>
                <w:color w:val="000000"/>
                <w:szCs w:val="22"/>
              </w:rPr>
              <w:t>M</w:t>
            </w:r>
          </w:p>
        </w:tc>
        <w:tc>
          <w:tcPr>
            <w:tcW w:w="2160" w:type="dxa"/>
            <w:vAlign w:val="center"/>
          </w:tcPr>
          <w:p w14:paraId="6C7252AE" w14:textId="77777777" w:rsidR="0061579C" w:rsidRPr="00293A8E" w:rsidRDefault="0061579C" w:rsidP="00E2406B">
            <w:pPr>
              <w:ind w:left="0"/>
              <w:jc w:val="center"/>
            </w:pPr>
            <w:r w:rsidRPr="00293A8E">
              <w:rPr>
                <w:rFonts w:cs="Calibri"/>
                <w:bCs/>
                <w:color w:val="000000"/>
                <w:szCs w:val="22"/>
              </w:rPr>
              <w:t>DB2</w:t>
            </w:r>
          </w:p>
        </w:tc>
        <w:tc>
          <w:tcPr>
            <w:tcW w:w="2160" w:type="dxa"/>
            <w:vAlign w:val="center"/>
          </w:tcPr>
          <w:p w14:paraId="78DAC522" w14:textId="77777777" w:rsidR="0061579C" w:rsidRPr="00293A8E" w:rsidRDefault="0061579C" w:rsidP="00E2406B">
            <w:pPr>
              <w:ind w:left="0"/>
              <w:jc w:val="center"/>
            </w:pPr>
            <w:r w:rsidRPr="00293A8E">
              <w:rPr>
                <w:rFonts w:cs="Calibri"/>
                <w:color w:val="000000"/>
                <w:szCs w:val="22"/>
              </w:rPr>
              <w:t>I</w:t>
            </w:r>
          </w:p>
        </w:tc>
      </w:tr>
      <w:tr w:rsidR="0061579C" w:rsidRPr="00873442" w14:paraId="5CAD7854" w14:textId="77777777" w:rsidTr="00E2406B">
        <w:tc>
          <w:tcPr>
            <w:tcW w:w="3600" w:type="dxa"/>
            <w:vAlign w:val="center"/>
          </w:tcPr>
          <w:p w14:paraId="021E827A" w14:textId="62E8A7CB" w:rsidR="0061579C" w:rsidRPr="00293A8E" w:rsidRDefault="0061579C" w:rsidP="00E2406B">
            <w:pPr>
              <w:ind w:left="0"/>
              <w:rPr>
                <w:highlight w:val="yellow"/>
              </w:rPr>
            </w:pPr>
            <w:r w:rsidRPr="00293A8E">
              <w:rPr>
                <w:rFonts w:cs="Calibri"/>
                <w:szCs w:val="22"/>
              </w:rPr>
              <w:t xml:space="preserve">Unemployment Benefits </w:t>
            </w:r>
            <w:r w:rsidR="00CC7356">
              <w:rPr>
                <w:rFonts w:cs="Calibri"/>
                <w:szCs w:val="22"/>
              </w:rPr>
              <w:t>Services</w:t>
            </w:r>
            <w:r w:rsidR="00CC7356" w:rsidRPr="00293A8E">
              <w:rPr>
                <w:rFonts w:cs="Calibri"/>
                <w:szCs w:val="22"/>
              </w:rPr>
              <w:t xml:space="preserve"> </w:t>
            </w:r>
            <w:r w:rsidRPr="00293A8E">
              <w:rPr>
                <w:rFonts w:cs="Calibri"/>
                <w:szCs w:val="22"/>
              </w:rPr>
              <w:t>(UBS)</w:t>
            </w:r>
          </w:p>
        </w:tc>
        <w:tc>
          <w:tcPr>
            <w:tcW w:w="2160" w:type="dxa"/>
            <w:vAlign w:val="center"/>
          </w:tcPr>
          <w:p w14:paraId="678026CF" w14:textId="77777777" w:rsidR="0061579C" w:rsidRPr="00293A8E" w:rsidRDefault="0061579C" w:rsidP="00E2406B">
            <w:pPr>
              <w:ind w:left="0"/>
              <w:jc w:val="center"/>
            </w:pPr>
            <w:r w:rsidRPr="00293A8E">
              <w:rPr>
                <w:rFonts w:cs="Calibri"/>
                <w:color w:val="000000"/>
                <w:szCs w:val="22"/>
              </w:rPr>
              <w:t>S (JBOSS)</w:t>
            </w:r>
          </w:p>
        </w:tc>
        <w:tc>
          <w:tcPr>
            <w:tcW w:w="2160" w:type="dxa"/>
            <w:vAlign w:val="center"/>
          </w:tcPr>
          <w:p w14:paraId="3A5DBEA6" w14:textId="77777777" w:rsidR="0061579C" w:rsidRPr="00293A8E" w:rsidRDefault="0061579C" w:rsidP="00E2406B">
            <w:pPr>
              <w:ind w:left="0"/>
              <w:jc w:val="center"/>
            </w:pPr>
            <w:r w:rsidRPr="00293A8E">
              <w:rPr>
                <w:rFonts w:cs="Calibri"/>
                <w:bCs/>
                <w:color w:val="000000"/>
                <w:szCs w:val="22"/>
              </w:rPr>
              <w:t>DB2</w:t>
            </w:r>
          </w:p>
        </w:tc>
        <w:tc>
          <w:tcPr>
            <w:tcW w:w="2160" w:type="dxa"/>
            <w:vAlign w:val="center"/>
          </w:tcPr>
          <w:p w14:paraId="3967C2EB" w14:textId="77777777" w:rsidR="0061579C" w:rsidRPr="00293A8E" w:rsidRDefault="0061579C" w:rsidP="00E2406B">
            <w:pPr>
              <w:ind w:left="0"/>
              <w:jc w:val="center"/>
            </w:pPr>
            <w:r w:rsidRPr="00293A8E">
              <w:rPr>
                <w:rFonts w:cs="Calibri"/>
                <w:color w:val="000000"/>
                <w:szCs w:val="22"/>
              </w:rPr>
              <w:t>E</w:t>
            </w:r>
          </w:p>
        </w:tc>
      </w:tr>
      <w:tr w:rsidR="0061579C" w:rsidRPr="00873442" w14:paraId="2C4BA193" w14:textId="77777777" w:rsidTr="00E2406B">
        <w:tc>
          <w:tcPr>
            <w:tcW w:w="3600" w:type="dxa"/>
            <w:vAlign w:val="center"/>
          </w:tcPr>
          <w:p w14:paraId="05EE08E2" w14:textId="72D79C50" w:rsidR="0061579C" w:rsidRPr="00293A8E" w:rsidRDefault="0061579C" w:rsidP="00E2406B">
            <w:pPr>
              <w:ind w:left="0"/>
              <w:rPr>
                <w:highlight w:val="yellow"/>
              </w:rPr>
            </w:pPr>
            <w:r w:rsidRPr="00293A8E">
              <w:rPr>
                <w:rFonts w:cs="Calibri"/>
                <w:szCs w:val="22"/>
              </w:rPr>
              <w:t xml:space="preserve">Employer Benefits </w:t>
            </w:r>
            <w:r w:rsidR="00CC7356">
              <w:rPr>
                <w:rFonts w:cs="Calibri"/>
                <w:szCs w:val="22"/>
              </w:rPr>
              <w:t>Services</w:t>
            </w:r>
            <w:r w:rsidR="00CC7356" w:rsidRPr="00293A8E">
              <w:rPr>
                <w:rFonts w:cs="Calibri"/>
                <w:szCs w:val="22"/>
              </w:rPr>
              <w:t xml:space="preserve"> </w:t>
            </w:r>
            <w:r w:rsidRPr="00293A8E">
              <w:rPr>
                <w:rFonts w:cs="Calibri"/>
                <w:szCs w:val="22"/>
              </w:rPr>
              <w:t>(EBS)</w:t>
            </w:r>
          </w:p>
        </w:tc>
        <w:tc>
          <w:tcPr>
            <w:tcW w:w="2160" w:type="dxa"/>
            <w:vAlign w:val="center"/>
          </w:tcPr>
          <w:p w14:paraId="17D77BD4" w14:textId="77777777" w:rsidR="0061579C" w:rsidRPr="00293A8E" w:rsidRDefault="0061579C" w:rsidP="00E2406B">
            <w:pPr>
              <w:ind w:left="0"/>
              <w:jc w:val="center"/>
            </w:pPr>
            <w:r w:rsidRPr="00293A8E">
              <w:rPr>
                <w:rFonts w:cs="Calibri"/>
                <w:color w:val="000000"/>
                <w:szCs w:val="22"/>
              </w:rPr>
              <w:t>S (JBOSS)</w:t>
            </w:r>
          </w:p>
        </w:tc>
        <w:tc>
          <w:tcPr>
            <w:tcW w:w="2160" w:type="dxa"/>
            <w:vAlign w:val="center"/>
          </w:tcPr>
          <w:p w14:paraId="40B6308F" w14:textId="77777777" w:rsidR="0061579C" w:rsidRPr="00293A8E" w:rsidRDefault="0061579C" w:rsidP="00E2406B">
            <w:pPr>
              <w:ind w:left="0"/>
              <w:jc w:val="center"/>
            </w:pPr>
            <w:r w:rsidRPr="00293A8E">
              <w:rPr>
                <w:rFonts w:cs="Calibri"/>
                <w:bCs/>
                <w:color w:val="000000"/>
                <w:szCs w:val="22"/>
              </w:rPr>
              <w:t>DB2</w:t>
            </w:r>
          </w:p>
        </w:tc>
        <w:tc>
          <w:tcPr>
            <w:tcW w:w="2160" w:type="dxa"/>
            <w:vAlign w:val="center"/>
          </w:tcPr>
          <w:p w14:paraId="2871AECC" w14:textId="77777777" w:rsidR="0061579C" w:rsidRPr="00293A8E" w:rsidRDefault="0061579C" w:rsidP="00E2406B">
            <w:pPr>
              <w:ind w:left="0"/>
              <w:jc w:val="center"/>
            </w:pPr>
            <w:r w:rsidRPr="00293A8E">
              <w:rPr>
                <w:rFonts w:cs="Calibri"/>
                <w:color w:val="000000"/>
                <w:szCs w:val="22"/>
              </w:rPr>
              <w:t>E</w:t>
            </w:r>
          </w:p>
        </w:tc>
      </w:tr>
      <w:tr w:rsidR="0061579C" w:rsidRPr="00873442" w14:paraId="467A0870" w14:textId="77777777" w:rsidTr="00E2406B">
        <w:tc>
          <w:tcPr>
            <w:tcW w:w="3600" w:type="dxa"/>
            <w:vAlign w:val="center"/>
          </w:tcPr>
          <w:p w14:paraId="6C825998" w14:textId="4592FDDE" w:rsidR="0061579C" w:rsidRPr="00293A8E" w:rsidRDefault="0061579C" w:rsidP="00E2406B">
            <w:pPr>
              <w:ind w:left="0"/>
              <w:rPr>
                <w:highlight w:val="yellow"/>
              </w:rPr>
            </w:pPr>
            <w:r w:rsidRPr="00293A8E">
              <w:rPr>
                <w:rFonts w:cs="Calibri"/>
                <w:szCs w:val="22"/>
              </w:rPr>
              <w:t>SAVE</w:t>
            </w:r>
            <w:r w:rsidR="0042073A" w:rsidRPr="00293A8E">
              <w:rPr>
                <w:rFonts w:cs="Calibri"/>
                <w:szCs w:val="22"/>
              </w:rPr>
              <w:t xml:space="preserve"> Programs</w:t>
            </w:r>
          </w:p>
        </w:tc>
        <w:tc>
          <w:tcPr>
            <w:tcW w:w="2160" w:type="dxa"/>
            <w:vAlign w:val="center"/>
          </w:tcPr>
          <w:p w14:paraId="5FB40A36" w14:textId="77777777" w:rsidR="0061579C" w:rsidRPr="00293A8E" w:rsidRDefault="0061579C" w:rsidP="00E2406B">
            <w:pPr>
              <w:ind w:left="0"/>
              <w:jc w:val="center"/>
            </w:pPr>
            <w:r w:rsidRPr="00293A8E">
              <w:rPr>
                <w:rFonts w:cs="Calibri"/>
                <w:color w:val="000000"/>
                <w:szCs w:val="22"/>
              </w:rPr>
              <w:t>S</w:t>
            </w:r>
          </w:p>
        </w:tc>
        <w:tc>
          <w:tcPr>
            <w:tcW w:w="2160" w:type="dxa"/>
            <w:vAlign w:val="center"/>
          </w:tcPr>
          <w:p w14:paraId="18F8AC56" w14:textId="77777777" w:rsidR="0061579C" w:rsidRPr="00293A8E" w:rsidRDefault="0061579C" w:rsidP="00E2406B">
            <w:pPr>
              <w:ind w:left="0"/>
              <w:jc w:val="center"/>
            </w:pPr>
            <w:r w:rsidRPr="00293A8E">
              <w:rPr>
                <w:rFonts w:cs="Calibri"/>
                <w:bCs/>
                <w:color w:val="000000"/>
                <w:szCs w:val="22"/>
              </w:rPr>
              <w:t>DB2</w:t>
            </w:r>
          </w:p>
        </w:tc>
        <w:tc>
          <w:tcPr>
            <w:tcW w:w="2160" w:type="dxa"/>
            <w:vAlign w:val="center"/>
          </w:tcPr>
          <w:p w14:paraId="16F8163E" w14:textId="77777777" w:rsidR="0061579C" w:rsidRPr="00293A8E" w:rsidRDefault="0061579C" w:rsidP="00E2406B">
            <w:pPr>
              <w:ind w:left="0"/>
              <w:jc w:val="center"/>
            </w:pPr>
            <w:r w:rsidRPr="00293A8E">
              <w:rPr>
                <w:rFonts w:cs="Calibri"/>
                <w:color w:val="000000"/>
                <w:szCs w:val="22"/>
              </w:rPr>
              <w:t>I</w:t>
            </w:r>
          </w:p>
        </w:tc>
      </w:tr>
      <w:tr w:rsidR="0061579C" w:rsidRPr="00873442" w14:paraId="6BA9A379" w14:textId="77777777" w:rsidTr="00E2406B">
        <w:tc>
          <w:tcPr>
            <w:tcW w:w="3600" w:type="dxa"/>
            <w:vAlign w:val="center"/>
          </w:tcPr>
          <w:p w14:paraId="52A28834" w14:textId="77777777" w:rsidR="0061579C" w:rsidRPr="00293A8E" w:rsidRDefault="0061579C" w:rsidP="00E2406B">
            <w:pPr>
              <w:ind w:left="0"/>
              <w:rPr>
                <w:highlight w:val="yellow"/>
              </w:rPr>
            </w:pPr>
            <w:r w:rsidRPr="00293A8E">
              <w:rPr>
                <w:rFonts w:cs="Calibri"/>
                <w:szCs w:val="22"/>
              </w:rPr>
              <w:t>Unemployment Insurance – Employment Verification (UIEV)</w:t>
            </w:r>
          </w:p>
        </w:tc>
        <w:tc>
          <w:tcPr>
            <w:tcW w:w="2160" w:type="dxa"/>
            <w:vAlign w:val="center"/>
          </w:tcPr>
          <w:p w14:paraId="405012B9" w14:textId="77777777" w:rsidR="0061579C" w:rsidRPr="00293A8E" w:rsidRDefault="0061579C" w:rsidP="00E2406B">
            <w:pPr>
              <w:ind w:left="0"/>
              <w:jc w:val="center"/>
            </w:pPr>
            <w:r w:rsidRPr="00293A8E">
              <w:rPr>
                <w:rFonts w:cs="Calibri"/>
                <w:color w:val="000000"/>
                <w:szCs w:val="22"/>
              </w:rPr>
              <w:t>S</w:t>
            </w:r>
          </w:p>
        </w:tc>
        <w:tc>
          <w:tcPr>
            <w:tcW w:w="2160" w:type="dxa"/>
            <w:vAlign w:val="center"/>
          </w:tcPr>
          <w:p w14:paraId="5AEB2942" w14:textId="77777777" w:rsidR="0061579C" w:rsidRPr="00293A8E" w:rsidRDefault="0061579C" w:rsidP="00E2406B">
            <w:pPr>
              <w:ind w:left="0"/>
              <w:jc w:val="center"/>
            </w:pPr>
            <w:r w:rsidRPr="00293A8E">
              <w:rPr>
                <w:rFonts w:cs="Calibri"/>
                <w:bCs/>
                <w:color w:val="000000"/>
                <w:szCs w:val="22"/>
              </w:rPr>
              <w:t>DB2</w:t>
            </w:r>
          </w:p>
        </w:tc>
        <w:tc>
          <w:tcPr>
            <w:tcW w:w="2160" w:type="dxa"/>
            <w:vAlign w:val="center"/>
          </w:tcPr>
          <w:p w14:paraId="0A9AB1F4" w14:textId="77777777" w:rsidR="0061579C" w:rsidRPr="00293A8E" w:rsidRDefault="0061579C" w:rsidP="00E2406B">
            <w:pPr>
              <w:ind w:left="0"/>
              <w:jc w:val="center"/>
            </w:pPr>
            <w:r w:rsidRPr="00293A8E">
              <w:rPr>
                <w:rFonts w:cs="Calibri"/>
                <w:color w:val="000000"/>
                <w:szCs w:val="22"/>
              </w:rPr>
              <w:t>I</w:t>
            </w:r>
          </w:p>
        </w:tc>
      </w:tr>
      <w:tr w:rsidR="0061579C" w:rsidRPr="00873442" w14:paraId="1D7D6DCD" w14:textId="77777777" w:rsidTr="00E2406B">
        <w:tc>
          <w:tcPr>
            <w:tcW w:w="3600" w:type="dxa"/>
            <w:vAlign w:val="center"/>
          </w:tcPr>
          <w:p w14:paraId="65F13DE2" w14:textId="77777777" w:rsidR="0061579C" w:rsidRPr="00293A8E" w:rsidRDefault="0061579C" w:rsidP="00E2406B">
            <w:pPr>
              <w:ind w:left="0"/>
              <w:rPr>
                <w:highlight w:val="yellow"/>
              </w:rPr>
            </w:pPr>
            <w:r w:rsidRPr="00293A8E">
              <w:rPr>
                <w:rFonts w:cs="Calibri"/>
                <w:szCs w:val="22"/>
              </w:rPr>
              <w:t>Employer Response (EMPRESP)</w:t>
            </w:r>
          </w:p>
        </w:tc>
        <w:tc>
          <w:tcPr>
            <w:tcW w:w="2160" w:type="dxa"/>
            <w:vAlign w:val="center"/>
          </w:tcPr>
          <w:p w14:paraId="72DFFAB7" w14:textId="77777777" w:rsidR="0061579C" w:rsidRPr="00293A8E" w:rsidRDefault="0061579C" w:rsidP="00E2406B">
            <w:pPr>
              <w:ind w:left="0"/>
              <w:jc w:val="center"/>
            </w:pPr>
            <w:r w:rsidRPr="00293A8E">
              <w:rPr>
                <w:rFonts w:cs="Calibri"/>
                <w:color w:val="000000"/>
                <w:szCs w:val="22"/>
              </w:rPr>
              <w:t>S</w:t>
            </w:r>
          </w:p>
        </w:tc>
        <w:tc>
          <w:tcPr>
            <w:tcW w:w="2160" w:type="dxa"/>
            <w:vAlign w:val="center"/>
          </w:tcPr>
          <w:p w14:paraId="15A222BD" w14:textId="77777777" w:rsidR="0061579C" w:rsidRPr="00293A8E" w:rsidRDefault="0061579C" w:rsidP="00E2406B">
            <w:pPr>
              <w:ind w:left="0"/>
              <w:jc w:val="center"/>
            </w:pPr>
            <w:r w:rsidRPr="00293A8E">
              <w:rPr>
                <w:rFonts w:cs="Calibri"/>
                <w:bCs/>
                <w:color w:val="000000"/>
                <w:szCs w:val="22"/>
              </w:rPr>
              <w:t>DB2</w:t>
            </w:r>
          </w:p>
        </w:tc>
        <w:tc>
          <w:tcPr>
            <w:tcW w:w="2160" w:type="dxa"/>
            <w:vAlign w:val="center"/>
          </w:tcPr>
          <w:p w14:paraId="081B61A3" w14:textId="77777777" w:rsidR="0061579C" w:rsidRPr="00293A8E" w:rsidRDefault="0061579C" w:rsidP="00E2406B">
            <w:pPr>
              <w:ind w:left="0"/>
              <w:jc w:val="center"/>
            </w:pPr>
            <w:r w:rsidRPr="00293A8E">
              <w:rPr>
                <w:rFonts w:cs="Calibri"/>
                <w:color w:val="000000"/>
                <w:szCs w:val="22"/>
              </w:rPr>
              <w:t>E</w:t>
            </w:r>
          </w:p>
        </w:tc>
      </w:tr>
      <w:tr w:rsidR="0061579C" w:rsidRPr="00873442" w14:paraId="2869DEC1" w14:textId="77777777" w:rsidTr="00E2406B">
        <w:tc>
          <w:tcPr>
            <w:tcW w:w="3600" w:type="dxa"/>
            <w:vAlign w:val="center"/>
          </w:tcPr>
          <w:p w14:paraId="6FEA252A" w14:textId="071F1676" w:rsidR="0061579C" w:rsidRPr="00293A8E" w:rsidRDefault="0061579C" w:rsidP="00E2406B">
            <w:pPr>
              <w:ind w:left="0"/>
              <w:rPr>
                <w:highlight w:val="yellow"/>
              </w:rPr>
            </w:pPr>
            <w:r w:rsidRPr="00293A8E">
              <w:rPr>
                <w:rFonts w:cs="Calibri"/>
                <w:szCs w:val="22"/>
              </w:rPr>
              <w:t>SIDES</w:t>
            </w:r>
          </w:p>
        </w:tc>
        <w:tc>
          <w:tcPr>
            <w:tcW w:w="2160" w:type="dxa"/>
            <w:vAlign w:val="center"/>
          </w:tcPr>
          <w:p w14:paraId="04A0B858" w14:textId="77777777" w:rsidR="0061579C" w:rsidRPr="00293A8E" w:rsidRDefault="0061579C" w:rsidP="00E2406B">
            <w:pPr>
              <w:ind w:left="0"/>
              <w:jc w:val="center"/>
            </w:pPr>
            <w:r w:rsidRPr="00293A8E">
              <w:rPr>
                <w:rFonts w:cs="Calibri"/>
                <w:color w:val="000000"/>
                <w:szCs w:val="22"/>
              </w:rPr>
              <w:t>S</w:t>
            </w:r>
          </w:p>
        </w:tc>
        <w:tc>
          <w:tcPr>
            <w:tcW w:w="2160" w:type="dxa"/>
            <w:vAlign w:val="center"/>
          </w:tcPr>
          <w:p w14:paraId="24CCB3A7" w14:textId="77777777" w:rsidR="0061579C" w:rsidRPr="00293A8E" w:rsidRDefault="0061579C" w:rsidP="00E2406B">
            <w:pPr>
              <w:ind w:left="0"/>
              <w:jc w:val="center"/>
            </w:pPr>
            <w:r w:rsidRPr="00293A8E">
              <w:rPr>
                <w:rFonts w:cs="Calibri"/>
                <w:bCs/>
                <w:color w:val="000000"/>
                <w:szCs w:val="22"/>
              </w:rPr>
              <w:t>DB2</w:t>
            </w:r>
          </w:p>
        </w:tc>
        <w:tc>
          <w:tcPr>
            <w:tcW w:w="2160" w:type="dxa"/>
            <w:vAlign w:val="center"/>
          </w:tcPr>
          <w:p w14:paraId="5C14E389" w14:textId="77777777" w:rsidR="0061579C" w:rsidRPr="00293A8E" w:rsidRDefault="0061579C" w:rsidP="00E2406B">
            <w:pPr>
              <w:ind w:left="0"/>
              <w:jc w:val="center"/>
            </w:pPr>
            <w:r w:rsidRPr="00293A8E">
              <w:rPr>
                <w:rFonts w:cs="Calibri"/>
                <w:color w:val="000000"/>
                <w:szCs w:val="22"/>
              </w:rPr>
              <w:t>I</w:t>
            </w:r>
          </w:p>
        </w:tc>
      </w:tr>
      <w:tr w:rsidR="0061579C" w:rsidRPr="00873442" w14:paraId="0AEEB7F2" w14:textId="77777777" w:rsidTr="00E2406B">
        <w:tc>
          <w:tcPr>
            <w:tcW w:w="3600" w:type="dxa"/>
            <w:vAlign w:val="center"/>
          </w:tcPr>
          <w:p w14:paraId="00935FBE" w14:textId="42109F24" w:rsidR="0061579C" w:rsidRPr="00293A8E" w:rsidRDefault="00865F8B" w:rsidP="00E2406B">
            <w:pPr>
              <w:ind w:left="0"/>
              <w:rPr>
                <w:highlight w:val="yellow"/>
              </w:rPr>
            </w:pPr>
            <w:r>
              <w:rPr>
                <w:rFonts w:cs="Calibri"/>
                <w:szCs w:val="22"/>
              </w:rPr>
              <w:t>UI</w:t>
            </w:r>
            <w:r w:rsidR="0061579C" w:rsidRPr="00293A8E">
              <w:rPr>
                <w:rFonts w:cs="Calibri"/>
                <w:szCs w:val="22"/>
              </w:rPr>
              <w:t xml:space="preserve"> Interstate Connection Network (ICON)</w:t>
            </w:r>
          </w:p>
        </w:tc>
        <w:tc>
          <w:tcPr>
            <w:tcW w:w="2160" w:type="dxa"/>
            <w:vAlign w:val="center"/>
          </w:tcPr>
          <w:p w14:paraId="30CCB665" w14:textId="77777777" w:rsidR="0061579C" w:rsidRPr="00293A8E" w:rsidRDefault="0061579C" w:rsidP="00E2406B">
            <w:pPr>
              <w:ind w:left="0"/>
              <w:jc w:val="center"/>
            </w:pPr>
            <w:r w:rsidRPr="00293A8E">
              <w:rPr>
                <w:rFonts w:cs="Calibri"/>
                <w:color w:val="000000"/>
                <w:szCs w:val="22"/>
              </w:rPr>
              <w:t>M</w:t>
            </w:r>
          </w:p>
        </w:tc>
        <w:tc>
          <w:tcPr>
            <w:tcW w:w="2160" w:type="dxa"/>
            <w:vAlign w:val="center"/>
          </w:tcPr>
          <w:p w14:paraId="387E0747" w14:textId="77777777" w:rsidR="0061579C" w:rsidRPr="00293A8E" w:rsidRDefault="0061579C" w:rsidP="00E2406B">
            <w:pPr>
              <w:ind w:left="0"/>
              <w:jc w:val="center"/>
            </w:pPr>
            <w:r w:rsidRPr="00293A8E">
              <w:rPr>
                <w:rFonts w:cs="Calibri"/>
                <w:bCs/>
                <w:color w:val="000000"/>
                <w:szCs w:val="22"/>
              </w:rPr>
              <w:t>DB2</w:t>
            </w:r>
          </w:p>
        </w:tc>
        <w:tc>
          <w:tcPr>
            <w:tcW w:w="2160" w:type="dxa"/>
            <w:vAlign w:val="center"/>
          </w:tcPr>
          <w:p w14:paraId="55E9F1D1" w14:textId="77777777" w:rsidR="0061579C" w:rsidRPr="00293A8E" w:rsidRDefault="0061579C" w:rsidP="00E2406B">
            <w:pPr>
              <w:ind w:left="0"/>
              <w:jc w:val="center"/>
            </w:pPr>
            <w:r w:rsidRPr="00293A8E">
              <w:rPr>
                <w:rFonts w:cs="Calibri"/>
                <w:color w:val="000000"/>
                <w:szCs w:val="22"/>
              </w:rPr>
              <w:t>I</w:t>
            </w:r>
          </w:p>
        </w:tc>
      </w:tr>
      <w:tr w:rsidR="0061579C" w:rsidRPr="00873442" w14:paraId="0C528ACA" w14:textId="77777777" w:rsidTr="00E2406B">
        <w:tc>
          <w:tcPr>
            <w:tcW w:w="3600" w:type="dxa"/>
            <w:vAlign w:val="center"/>
          </w:tcPr>
          <w:p w14:paraId="03136A4D" w14:textId="6F91971B" w:rsidR="0061579C" w:rsidRPr="00293A8E" w:rsidRDefault="0052357B" w:rsidP="00E2406B">
            <w:pPr>
              <w:ind w:left="0"/>
              <w:rPr>
                <w:highlight w:val="yellow"/>
              </w:rPr>
            </w:pPr>
            <w:r w:rsidRPr="00E00F71">
              <w:rPr>
                <w:rFonts w:cstheme="minorHAnsi"/>
              </w:rPr>
              <w:lastRenderedPageBreak/>
              <w:t>External Agency and Law Enforcement</w:t>
            </w:r>
            <w:r>
              <w:rPr>
                <w:rFonts w:cstheme="minorHAnsi"/>
              </w:rPr>
              <w:t xml:space="preserve"> (</w:t>
            </w:r>
            <w:r w:rsidR="0061579C" w:rsidRPr="00293A8E">
              <w:rPr>
                <w:rFonts w:cs="Calibri"/>
                <w:szCs w:val="22"/>
              </w:rPr>
              <w:t>EAGLE</w:t>
            </w:r>
            <w:r>
              <w:rPr>
                <w:rFonts w:cs="Calibri"/>
                <w:szCs w:val="22"/>
              </w:rPr>
              <w:t>)</w:t>
            </w:r>
            <w:r w:rsidR="0061579C" w:rsidRPr="00293A8E">
              <w:rPr>
                <w:rFonts w:cs="Calibri"/>
                <w:szCs w:val="22"/>
              </w:rPr>
              <w:t xml:space="preserve"> portal</w:t>
            </w:r>
          </w:p>
        </w:tc>
        <w:tc>
          <w:tcPr>
            <w:tcW w:w="2160" w:type="dxa"/>
            <w:vAlign w:val="center"/>
          </w:tcPr>
          <w:p w14:paraId="1AE1C5F8" w14:textId="77777777" w:rsidR="0061579C" w:rsidRPr="00293A8E" w:rsidRDefault="0061579C" w:rsidP="00E2406B">
            <w:pPr>
              <w:ind w:left="0"/>
              <w:jc w:val="center"/>
            </w:pPr>
            <w:r w:rsidRPr="00293A8E">
              <w:rPr>
                <w:rFonts w:cs="Calibri"/>
                <w:color w:val="000000"/>
                <w:szCs w:val="22"/>
              </w:rPr>
              <w:t>S</w:t>
            </w:r>
          </w:p>
        </w:tc>
        <w:tc>
          <w:tcPr>
            <w:tcW w:w="2160" w:type="dxa"/>
            <w:vAlign w:val="center"/>
          </w:tcPr>
          <w:p w14:paraId="62748533" w14:textId="77777777" w:rsidR="0061579C" w:rsidRPr="00293A8E" w:rsidRDefault="0061579C" w:rsidP="00E2406B">
            <w:pPr>
              <w:ind w:left="0"/>
              <w:jc w:val="center"/>
            </w:pPr>
            <w:r w:rsidRPr="00293A8E">
              <w:rPr>
                <w:rFonts w:cs="Calibri"/>
                <w:bCs/>
                <w:color w:val="000000"/>
                <w:szCs w:val="22"/>
              </w:rPr>
              <w:t>DB2</w:t>
            </w:r>
          </w:p>
        </w:tc>
        <w:tc>
          <w:tcPr>
            <w:tcW w:w="2160" w:type="dxa"/>
            <w:vAlign w:val="center"/>
          </w:tcPr>
          <w:p w14:paraId="2B26D8A9" w14:textId="77777777" w:rsidR="0061579C" w:rsidRPr="00293A8E" w:rsidRDefault="0061579C" w:rsidP="00E2406B">
            <w:pPr>
              <w:ind w:left="0"/>
              <w:jc w:val="center"/>
            </w:pPr>
            <w:r w:rsidRPr="00293A8E">
              <w:rPr>
                <w:rFonts w:cs="Calibri"/>
                <w:color w:val="000000"/>
                <w:szCs w:val="22"/>
              </w:rPr>
              <w:t>E (only authorized LEOs)</w:t>
            </w:r>
          </w:p>
        </w:tc>
      </w:tr>
      <w:tr w:rsidR="00B64A95" w:rsidRPr="00873442" w14:paraId="3FACCEB8" w14:textId="77777777" w:rsidTr="00E2406B">
        <w:tc>
          <w:tcPr>
            <w:tcW w:w="3600" w:type="dxa"/>
            <w:vAlign w:val="center"/>
          </w:tcPr>
          <w:p w14:paraId="29C5F786" w14:textId="2F9F63F9" w:rsidR="00B64A95" w:rsidRPr="00E00F71" w:rsidRDefault="00B64A95" w:rsidP="00E2406B">
            <w:pPr>
              <w:ind w:left="0"/>
              <w:rPr>
                <w:rFonts w:cstheme="minorHAnsi"/>
              </w:rPr>
            </w:pPr>
            <w:r>
              <w:rPr>
                <w:rFonts w:cstheme="minorHAnsi"/>
              </w:rPr>
              <w:t>Overpayment A</w:t>
            </w:r>
            <w:r w:rsidR="00C74E54">
              <w:rPr>
                <w:rFonts w:cstheme="minorHAnsi"/>
              </w:rPr>
              <w:t xml:space="preserve">ccounting </w:t>
            </w:r>
            <w:r>
              <w:rPr>
                <w:rFonts w:cstheme="minorHAnsi"/>
              </w:rPr>
              <w:t>System (OPACS)</w:t>
            </w:r>
          </w:p>
        </w:tc>
        <w:tc>
          <w:tcPr>
            <w:tcW w:w="2160" w:type="dxa"/>
            <w:vAlign w:val="center"/>
          </w:tcPr>
          <w:p w14:paraId="2AB5A1F4" w14:textId="33764203" w:rsidR="00B64A95" w:rsidRPr="00293A8E" w:rsidRDefault="00B64A95" w:rsidP="00E2406B">
            <w:pPr>
              <w:ind w:left="0"/>
              <w:jc w:val="center"/>
              <w:rPr>
                <w:rFonts w:cs="Calibri"/>
                <w:color w:val="000000"/>
              </w:rPr>
            </w:pPr>
            <w:r>
              <w:rPr>
                <w:rFonts w:cs="Calibri"/>
                <w:color w:val="000000"/>
              </w:rPr>
              <w:t>M</w:t>
            </w:r>
          </w:p>
        </w:tc>
        <w:tc>
          <w:tcPr>
            <w:tcW w:w="2160" w:type="dxa"/>
            <w:vAlign w:val="center"/>
          </w:tcPr>
          <w:p w14:paraId="1512D20E" w14:textId="69AED3B9" w:rsidR="00B64A95" w:rsidRPr="00293A8E" w:rsidRDefault="00B64A95" w:rsidP="00E2406B">
            <w:pPr>
              <w:ind w:left="0"/>
              <w:jc w:val="center"/>
              <w:rPr>
                <w:rFonts w:cs="Calibri"/>
                <w:bCs/>
                <w:color w:val="000000"/>
              </w:rPr>
            </w:pPr>
            <w:r>
              <w:t>DB2, VSAM</w:t>
            </w:r>
          </w:p>
        </w:tc>
        <w:tc>
          <w:tcPr>
            <w:tcW w:w="2160" w:type="dxa"/>
            <w:vAlign w:val="center"/>
          </w:tcPr>
          <w:p w14:paraId="0E111059" w14:textId="51DB6777" w:rsidR="00B64A95" w:rsidRPr="00293A8E" w:rsidRDefault="00B64A95" w:rsidP="00E2406B">
            <w:pPr>
              <w:ind w:left="0"/>
              <w:jc w:val="center"/>
              <w:rPr>
                <w:rFonts w:cs="Calibri"/>
                <w:color w:val="000000"/>
              </w:rPr>
            </w:pPr>
            <w:r>
              <w:rPr>
                <w:rFonts w:cs="Calibri"/>
                <w:color w:val="000000"/>
              </w:rPr>
              <w:t>I</w:t>
            </w:r>
          </w:p>
        </w:tc>
      </w:tr>
      <w:tr w:rsidR="0061579C" w:rsidRPr="00873442" w14:paraId="2CFF9B73" w14:textId="77777777" w:rsidTr="00E2406B">
        <w:tc>
          <w:tcPr>
            <w:tcW w:w="3600" w:type="dxa"/>
            <w:vAlign w:val="center"/>
          </w:tcPr>
          <w:p w14:paraId="55A30E1F" w14:textId="77777777" w:rsidR="0061579C" w:rsidRPr="00293A8E" w:rsidRDefault="0061579C" w:rsidP="00E2406B">
            <w:pPr>
              <w:ind w:left="0"/>
              <w:rPr>
                <w:highlight w:val="yellow"/>
              </w:rPr>
            </w:pPr>
            <w:r w:rsidRPr="00293A8E">
              <w:rPr>
                <w:rFonts w:cs="Calibri"/>
                <w:szCs w:val="22"/>
              </w:rPr>
              <w:t>Claimant Emailer (batch java)</w:t>
            </w:r>
          </w:p>
        </w:tc>
        <w:tc>
          <w:tcPr>
            <w:tcW w:w="2160" w:type="dxa"/>
            <w:vAlign w:val="center"/>
          </w:tcPr>
          <w:p w14:paraId="6B619194" w14:textId="77777777" w:rsidR="0061579C" w:rsidRPr="00293A8E" w:rsidRDefault="0061579C" w:rsidP="00E2406B">
            <w:pPr>
              <w:ind w:left="0"/>
              <w:jc w:val="center"/>
            </w:pPr>
            <w:r w:rsidRPr="00293A8E">
              <w:rPr>
                <w:rFonts w:cs="Calibri"/>
                <w:color w:val="000000"/>
                <w:szCs w:val="22"/>
              </w:rPr>
              <w:t>S</w:t>
            </w:r>
          </w:p>
        </w:tc>
        <w:tc>
          <w:tcPr>
            <w:tcW w:w="2160" w:type="dxa"/>
            <w:vAlign w:val="center"/>
          </w:tcPr>
          <w:p w14:paraId="191ABE33" w14:textId="77777777" w:rsidR="0061579C" w:rsidRPr="00293A8E" w:rsidRDefault="0061579C" w:rsidP="00E2406B">
            <w:pPr>
              <w:ind w:left="0"/>
              <w:jc w:val="center"/>
            </w:pPr>
            <w:r w:rsidRPr="00293A8E">
              <w:rPr>
                <w:rFonts w:cs="Calibri"/>
                <w:bCs/>
                <w:color w:val="000000"/>
                <w:szCs w:val="22"/>
              </w:rPr>
              <w:t>DB2</w:t>
            </w:r>
          </w:p>
        </w:tc>
        <w:tc>
          <w:tcPr>
            <w:tcW w:w="2160" w:type="dxa"/>
            <w:vAlign w:val="center"/>
          </w:tcPr>
          <w:p w14:paraId="31FF5F81" w14:textId="77777777" w:rsidR="0061579C" w:rsidRPr="00293A8E" w:rsidRDefault="0061579C" w:rsidP="00E2406B">
            <w:pPr>
              <w:ind w:left="0"/>
              <w:jc w:val="center"/>
            </w:pPr>
            <w:r w:rsidRPr="00293A8E">
              <w:rPr>
                <w:rFonts w:cs="Calibri"/>
                <w:color w:val="000000"/>
                <w:szCs w:val="22"/>
              </w:rPr>
              <w:t>I</w:t>
            </w:r>
          </w:p>
        </w:tc>
      </w:tr>
      <w:tr w:rsidR="0061579C" w:rsidRPr="00873442" w14:paraId="4A48096F" w14:textId="77777777" w:rsidTr="00E2406B">
        <w:tc>
          <w:tcPr>
            <w:tcW w:w="3600" w:type="dxa"/>
            <w:vAlign w:val="center"/>
          </w:tcPr>
          <w:p w14:paraId="64FB5E78" w14:textId="77777777" w:rsidR="0061579C" w:rsidRPr="00293A8E" w:rsidRDefault="0061579C" w:rsidP="00E2406B">
            <w:pPr>
              <w:ind w:left="0"/>
            </w:pPr>
            <w:r w:rsidRPr="00293A8E">
              <w:rPr>
                <w:rFonts w:cs="Calibri"/>
                <w:szCs w:val="22"/>
              </w:rPr>
              <w:t>Employer Emailer (batch java)</w:t>
            </w:r>
          </w:p>
        </w:tc>
        <w:tc>
          <w:tcPr>
            <w:tcW w:w="2160" w:type="dxa"/>
            <w:vAlign w:val="center"/>
          </w:tcPr>
          <w:p w14:paraId="1A641DAD" w14:textId="77777777" w:rsidR="0061579C" w:rsidRPr="00293A8E" w:rsidRDefault="0061579C" w:rsidP="00E2406B">
            <w:pPr>
              <w:ind w:left="0"/>
              <w:jc w:val="center"/>
            </w:pPr>
            <w:r w:rsidRPr="00293A8E">
              <w:rPr>
                <w:rFonts w:cs="Calibri"/>
                <w:color w:val="000000"/>
                <w:szCs w:val="22"/>
              </w:rPr>
              <w:t>S</w:t>
            </w:r>
          </w:p>
        </w:tc>
        <w:tc>
          <w:tcPr>
            <w:tcW w:w="2160" w:type="dxa"/>
            <w:vAlign w:val="center"/>
          </w:tcPr>
          <w:p w14:paraId="0DD347E6" w14:textId="77777777" w:rsidR="0061579C" w:rsidRPr="00293A8E" w:rsidRDefault="0061579C" w:rsidP="00E2406B">
            <w:pPr>
              <w:ind w:left="0"/>
              <w:jc w:val="center"/>
            </w:pPr>
            <w:r w:rsidRPr="00293A8E">
              <w:rPr>
                <w:rFonts w:cs="Calibri"/>
                <w:bCs/>
                <w:color w:val="000000"/>
                <w:szCs w:val="22"/>
              </w:rPr>
              <w:t>DB2</w:t>
            </w:r>
          </w:p>
        </w:tc>
        <w:tc>
          <w:tcPr>
            <w:tcW w:w="2160" w:type="dxa"/>
            <w:vAlign w:val="center"/>
          </w:tcPr>
          <w:p w14:paraId="7D79F20E" w14:textId="77777777" w:rsidR="0061579C" w:rsidRPr="00293A8E" w:rsidRDefault="0061579C" w:rsidP="00E2406B">
            <w:pPr>
              <w:ind w:left="0"/>
              <w:jc w:val="center"/>
            </w:pPr>
            <w:r w:rsidRPr="00293A8E">
              <w:rPr>
                <w:rFonts w:cs="Calibri"/>
                <w:color w:val="000000"/>
                <w:szCs w:val="22"/>
              </w:rPr>
              <w:t>I</w:t>
            </w:r>
          </w:p>
        </w:tc>
      </w:tr>
      <w:tr w:rsidR="0061579C" w:rsidRPr="00873442" w14:paraId="0B938EE2" w14:textId="77777777" w:rsidTr="00E2406B">
        <w:tc>
          <w:tcPr>
            <w:tcW w:w="10080" w:type="dxa"/>
            <w:gridSpan w:val="4"/>
            <w:shd w:val="clear" w:color="auto" w:fill="D9D9D9" w:themeFill="background1" w:themeFillShade="D9"/>
            <w:vAlign w:val="center"/>
          </w:tcPr>
          <w:p w14:paraId="489EB506" w14:textId="77777777" w:rsidR="0061579C" w:rsidRPr="00356942" w:rsidRDefault="0061579C" w:rsidP="00E2406B">
            <w:pPr>
              <w:ind w:left="0"/>
              <w:rPr>
                <w:rFonts w:cs="Calibri"/>
                <w:b/>
                <w:color w:val="000000"/>
              </w:rPr>
            </w:pPr>
            <w:r w:rsidRPr="00356942">
              <w:rPr>
                <w:rFonts w:cs="Calibri"/>
                <w:b/>
              </w:rPr>
              <w:t>Appeals</w:t>
            </w:r>
          </w:p>
        </w:tc>
      </w:tr>
      <w:tr w:rsidR="0061579C" w:rsidRPr="00873442" w14:paraId="2FF66C54" w14:textId="77777777" w:rsidTr="00E2406B">
        <w:tc>
          <w:tcPr>
            <w:tcW w:w="3600" w:type="dxa"/>
            <w:vAlign w:val="center"/>
          </w:tcPr>
          <w:p w14:paraId="36DD3690" w14:textId="5FB02DC0" w:rsidR="0061579C" w:rsidRPr="00356942" w:rsidRDefault="0061579C" w:rsidP="00E2406B">
            <w:pPr>
              <w:ind w:left="0"/>
              <w:rPr>
                <w:rFonts w:cs="Calibri"/>
                <w:szCs w:val="24"/>
              </w:rPr>
            </w:pPr>
            <w:r w:rsidRPr="00356942">
              <w:rPr>
                <w:rFonts w:cs="Calibri"/>
                <w:szCs w:val="24"/>
              </w:rPr>
              <w:t xml:space="preserve">Appeals Tribunal </w:t>
            </w:r>
            <w:r w:rsidR="004047DD" w:rsidRPr="00356942">
              <w:rPr>
                <w:rFonts w:cs="Calibri"/>
                <w:szCs w:val="24"/>
              </w:rPr>
              <w:t>(AT)</w:t>
            </w:r>
            <w:r w:rsidR="004047DD">
              <w:rPr>
                <w:rFonts w:cs="Calibri"/>
                <w:szCs w:val="24"/>
              </w:rPr>
              <w:t xml:space="preserve"> </w:t>
            </w:r>
            <w:r w:rsidRPr="00356942">
              <w:rPr>
                <w:rFonts w:cs="Calibri"/>
                <w:szCs w:val="24"/>
              </w:rPr>
              <w:t xml:space="preserve">Case Processor </w:t>
            </w:r>
          </w:p>
        </w:tc>
        <w:tc>
          <w:tcPr>
            <w:tcW w:w="2160" w:type="dxa"/>
            <w:vAlign w:val="center"/>
          </w:tcPr>
          <w:p w14:paraId="5F831092" w14:textId="77777777" w:rsidR="0061579C" w:rsidRPr="00356942" w:rsidRDefault="0061579C" w:rsidP="00E2406B">
            <w:pPr>
              <w:ind w:left="0"/>
              <w:jc w:val="center"/>
              <w:rPr>
                <w:rFonts w:cs="Calibri"/>
                <w:color w:val="000000"/>
                <w:szCs w:val="24"/>
              </w:rPr>
            </w:pPr>
            <w:r w:rsidRPr="00356942">
              <w:rPr>
                <w:rFonts w:cs="Calibri"/>
                <w:bCs/>
                <w:color w:val="000000"/>
                <w:szCs w:val="24"/>
              </w:rPr>
              <w:t>D</w:t>
            </w:r>
          </w:p>
        </w:tc>
        <w:tc>
          <w:tcPr>
            <w:tcW w:w="2160" w:type="dxa"/>
            <w:vAlign w:val="center"/>
          </w:tcPr>
          <w:p w14:paraId="421F9E36" w14:textId="449507F0" w:rsidR="0061579C" w:rsidRPr="00356942" w:rsidRDefault="0061579C" w:rsidP="00E2406B">
            <w:pPr>
              <w:ind w:left="0"/>
              <w:jc w:val="center"/>
              <w:rPr>
                <w:rFonts w:cs="Calibri"/>
                <w:bCs/>
                <w:color w:val="000000"/>
                <w:szCs w:val="24"/>
              </w:rPr>
            </w:pPr>
            <w:r w:rsidRPr="00356942">
              <w:rPr>
                <w:rFonts w:cs="Calibri"/>
                <w:bCs/>
                <w:color w:val="000000"/>
                <w:szCs w:val="24"/>
              </w:rPr>
              <w:t>DB2</w:t>
            </w:r>
            <w:r w:rsidR="00E64A01">
              <w:rPr>
                <w:rFonts w:cs="Calibri"/>
                <w:bCs/>
                <w:color w:val="000000"/>
                <w:szCs w:val="24"/>
              </w:rPr>
              <w:t>, FileNet</w:t>
            </w:r>
          </w:p>
        </w:tc>
        <w:tc>
          <w:tcPr>
            <w:tcW w:w="2160" w:type="dxa"/>
            <w:vAlign w:val="center"/>
          </w:tcPr>
          <w:p w14:paraId="52054A0B" w14:textId="77777777" w:rsidR="0061579C" w:rsidRPr="00356942" w:rsidRDefault="0061579C" w:rsidP="00E2406B">
            <w:pPr>
              <w:ind w:left="0"/>
              <w:jc w:val="center"/>
              <w:rPr>
                <w:rFonts w:cs="Calibri"/>
                <w:color w:val="000000"/>
                <w:szCs w:val="24"/>
              </w:rPr>
            </w:pPr>
            <w:r w:rsidRPr="00356942">
              <w:rPr>
                <w:rFonts w:cs="Calibri"/>
                <w:color w:val="000000"/>
                <w:szCs w:val="24"/>
              </w:rPr>
              <w:t>I</w:t>
            </w:r>
          </w:p>
        </w:tc>
      </w:tr>
      <w:tr w:rsidR="0061579C" w:rsidRPr="00873442" w14:paraId="21AE4707" w14:textId="77777777" w:rsidTr="00E2406B">
        <w:tc>
          <w:tcPr>
            <w:tcW w:w="3600" w:type="dxa"/>
            <w:vAlign w:val="center"/>
          </w:tcPr>
          <w:p w14:paraId="1BA68E50" w14:textId="77777777" w:rsidR="0061579C" w:rsidRPr="00356942" w:rsidRDefault="0061579C" w:rsidP="00E2406B">
            <w:pPr>
              <w:ind w:left="0"/>
              <w:rPr>
                <w:rFonts w:cs="Calibri"/>
                <w:szCs w:val="24"/>
              </w:rPr>
            </w:pPr>
            <w:r w:rsidRPr="00356942">
              <w:rPr>
                <w:rFonts w:cs="Calibri"/>
                <w:szCs w:val="24"/>
              </w:rPr>
              <w:t>Image Filer</w:t>
            </w:r>
          </w:p>
        </w:tc>
        <w:tc>
          <w:tcPr>
            <w:tcW w:w="2160" w:type="dxa"/>
            <w:vAlign w:val="center"/>
          </w:tcPr>
          <w:p w14:paraId="5FAE4497" w14:textId="77777777" w:rsidR="0061579C" w:rsidRPr="00356942" w:rsidRDefault="0061579C" w:rsidP="00E2406B">
            <w:pPr>
              <w:ind w:left="0"/>
              <w:jc w:val="center"/>
              <w:rPr>
                <w:rFonts w:cs="Calibri"/>
                <w:color w:val="000000"/>
                <w:szCs w:val="24"/>
              </w:rPr>
            </w:pPr>
            <w:r w:rsidRPr="00356942">
              <w:rPr>
                <w:rFonts w:cs="Calibri"/>
                <w:bCs/>
                <w:color w:val="000000"/>
                <w:szCs w:val="24"/>
              </w:rPr>
              <w:t>D</w:t>
            </w:r>
          </w:p>
        </w:tc>
        <w:tc>
          <w:tcPr>
            <w:tcW w:w="2160" w:type="dxa"/>
            <w:vAlign w:val="center"/>
          </w:tcPr>
          <w:p w14:paraId="3B8A312B" w14:textId="078C07A6" w:rsidR="0061579C" w:rsidRPr="00356942" w:rsidRDefault="0061579C" w:rsidP="00E2406B">
            <w:pPr>
              <w:ind w:left="0"/>
              <w:jc w:val="center"/>
              <w:rPr>
                <w:rFonts w:cs="Calibri"/>
                <w:bCs/>
                <w:color w:val="000000"/>
                <w:szCs w:val="24"/>
              </w:rPr>
            </w:pPr>
            <w:r w:rsidRPr="00356942">
              <w:rPr>
                <w:rFonts w:cs="Calibri"/>
                <w:bCs/>
                <w:color w:val="000000"/>
                <w:szCs w:val="24"/>
              </w:rPr>
              <w:t>DB2</w:t>
            </w:r>
            <w:r w:rsidR="00E64A01">
              <w:rPr>
                <w:rFonts w:cs="Calibri"/>
                <w:bCs/>
                <w:color w:val="000000"/>
                <w:szCs w:val="24"/>
              </w:rPr>
              <w:t>, FileNet</w:t>
            </w:r>
          </w:p>
        </w:tc>
        <w:tc>
          <w:tcPr>
            <w:tcW w:w="2160" w:type="dxa"/>
            <w:vAlign w:val="center"/>
          </w:tcPr>
          <w:p w14:paraId="3F8D1012" w14:textId="77777777" w:rsidR="0061579C" w:rsidRPr="00356942" w:rsidRDefault="0061579C" w:rsidP="00E2406B">
            <w:pPr>
              <w:ind w:left="0"/>
              <w:jc w:val="center"/>
              <w:rPr>
                <w:rFonts w:cs="Calibri"/>
                <w:color w:val="000000"/>
                <w:szCs w:val="24"/>
              </w:rPr>
            </w:pPr>
            <w:r w:rsidRPr="00356942">
              <w:rPr>
                <w:rFonts w:cs="Calibri"/>
                <w:color w:val="000000"/>
                <w:szCs w:val="24"/>
              </w:rPr>
              <w:t>I</w:t>
            </w:r>
          </w:p>
        </w:tc>
      </w:tr>
      <w:tr w:rsidR="0061579C" w:rsidRPr="00873442" w14:paraId="68B43A78" w14:textId="77777777" w:rsidTr="00E2406B">
        <w:tc>
          <w:tcPr>
            <w:tcW w:w="3600" w:type="dxa"/>
            <w:vAlign w:val="center"/>
          </w:tcPr>
          <w:p w14:paraId="35E78BC5" w14:textId="77777777" w:rsidR="0061579C" w:rsidRPr="00356942" w:rsidRDefault="0061579C" w:rsidP="00E2406B">
            <w:pPr>
              <w:ind w:left="0"/>
              <w:rPr>
                <w:rFonts w:cs="Calibri"/>
                <w:szCs w:val="24"/>
              </w:rPr>
            </w:pPr>
            <w:r w:rsidRPr="00356942">
              <w:rPr>
                <w:rFonts w:cs="Calibri"/>
                <w:szCs w:val="24"/>
              </w:rPr>
              <w:t>Call Center List (CC)</w:t>
            </w:r>
          </w:p>
        </w:tc>
        <w:tc>
          <w:tcPr>
            <w:tcW w:w="2160" w:type="dxa"/>
            <w:vAlign w:val="center"/>
          </w:tcPr>
          <w:p w14:paraId="0EE9CF33" w14:textId="77777777" w:rsidR="0061579C" w:rsidRPr="00356942" w:rsidRDefault="0061579C" w:rsidP="00E2406B">
            <w:pPr>
              <w:ind w:left="0"/>
              <w:jc w:val="center"/>
              <w:rPr>
                <w:rFonts w:cs="Calibri"/>
                <w:color w:val="000000"/>
                <w:szCs w:val="24"/>
              </w:rPr>
            </w:pPr>
            <w:r w:rsidRPr="00356942">
              <w:rPr>
                <w:rFonts w:cs="Calibri"/>
                <w:bCs/>
                <w:color w:val="000000"/>
                <w:szCs w:val="24"/>
              </w:rPr>
              <w:t>D</w:t>
            </w:r>
          </w:p>
        </w:tc>
        <w:tc>
          <w:tcPr>
            <w:tcW w:w="2160" w:type="dxa"/>
            <w:vAlign w:val="center"/>
          </w:tcPr>
          <w:p w14:paraId="3ABE87B5" w14:textId="77777777" w:rsidR="0061579C" w:rsidRPr="00356942" w:rsidRDefault="0061579C" w:rsidP="00E2406B">
            <w:pPr>
              <w:ind w:left="0"/>
              <w:jc w:val="center"/>
              <w:rPr>
                <w:rFonts w:cs="Calibri"/>
                <w:bCs/>
                <w:color w:val="000000"/>
                <w:szCs w:val="24"/>
              </w:rPr>
            </w:pPr>
            <w:r w:rsidRPr="00356942">
              <w:rPr>
                <w:rFonts w:cs="Calibri"/>
                <w:bCs/>
                <w:color w:val="000000"/>
                <w:szCs w:val="24"/>
              </w:rPr>
              <w:t>DB2</w:t>
            </w:r>
          </w:p>
        </w:tc>
        <w:tc>
          <w:tcPr>
            <w:tcW w:w="2160" w:type="dxa"/>
            <w:vAlign w:val="center"/>
          </w:tcPr>
          <w:p w14:paraId="3A68FCBA" w14:textId="77777777" w:rsidR="0061579C" w:rsidRPr="00356942" w:rsidRDefault="0061579C" w:rsidP="00E2406B">
            <w:pPr>
              <w:ind w:left="0"/>
              <w:jc w:val="center"/>
              <w:rPr>
                <w:rFonts w:cs="Calibri"/>
                <w:color w:val="000000"/>
                <w:szCs w:val="24"/>
              </w:rPr>
            </w:pPr>
            <w:r w:rsidRPr="00356942">
              <w:rPr>
                <w:rFonts w:cs="Calibri"/>
                <w:color w:val="000000"/>
                <w:szCs w:val="24"/>
              </w:rPr>
              <w:t>I</w:t>
            </w:r>
          </w:p>
        </w:tc>
      </w:tr>
      <w:tr w:rsidR="0061579C" w:rsidRPr="00873442" w14:paraId="3B452AF2" w14:textId="77777777" w:rsidTr="00E2406B">
        <w:tc>
          <w:tcPr>
            <w:tcW w:w="3600" w:type="dxa"/>
            <w:vAlign w:val="center"/>
          </w:tcPr>
          <w:p w14:paraId="6533F1B2" w14:textId="77777777" w:rsidR="0061579C" w:rsidRPr="00356942" w:rsidRDefault="0061579C" w:rsidP="00E2406B">
            <w:pPr>
              <w:ind w:left="0"/>
              <w:rPr>
                <w:rFonts w:cs="Calibri"/>
                <w:szCs w:val="24"/>
              </w:rPr>
            </w:pPr>
            <w:r w:rsidRPr="00356942">
              <w:rPr>
                <w:rFonts w:cs="Calibri"/>
                <w:szCs w:val="24"/>
              </w:rPr>
              <w:t>Local Office Record Request Management Filer (LORRM) (server)</w:t>
            </w:r>
          </w:p>
        </w:tc>
        <w:tc>
          <w:tcPr>
            <w:tcW w:w="2160" w:type="dxa"/>
            <w:vAlign w:val="center"/>
          </w:tcPr>
          <w:p w14:paraId="14CC2D48" w14:textId="77777777" w:rsidR="0061579C" w:rsidRPr="00356942" w:rsidRDefault="0061579C" w:rsidP="00E2406B">
            <w:pPr>
              <w:ind w:left="0"/>
              <w:jc w:val="center"/>
              <w:rPr>
                <w:rFonts w:cs="Calibri"/>
                <w:color w:val="000000"/>
                <w:szCs w:val="24"/>
              </w:rPr>
            </w:pPr>
            <w:r w:rsidRPr="00356942">
              <w:rPr>
                <w:rFonts w:cs="Calibri"/>
                <w:bCs/>
                <w:color w:val="000000"/>
                <w:szCs w:val="24"/>
              </w:rPr>
              <w:t>D</w:t>
            </w:r>
          </w:p>
        </w:tc>
        <w:tc>
          <w:tcPr>
            <w:tcW w:w="2160" w:type="dxa"/>
            <w:vAlign w:val="center"/>
          </w:tcPr>
          <w:p w14:paraId="77F1E10B" w14:textId="3B2CEB16" w:rsidR="0061579C" w:rsidRPr="00356942" w:rsidRDefault="0061579C" w:rsidP="00E2406B">
            <w:pPr>
              <w:ind w:left="0"/>
              <w:jc w:val="center"/>
              <w:rPr>
                <w:rFonts w:cs="Calibri"/>
                <w:bCs/>
                <w:color w:val="000000"/>
                <w:szCs w:val="24"/>
              </w:rPr>
            </w:pPr>
            <w:r w:rsidRPr="00356942">
              <w:rPr>
                <w:rFonts w:cs="Calibri"/>
                <w:bCs/>
                <w:color w:val="000000"/>
                <w:szCs w:val="24"/>
              </w:rPr>
              <w:t>DB2</w:t>
            </w:r>
            <w:r w:rsidR="00E64A01">
              <w:rPr>
                <w:rFonts w:cs="Calibri"/>
                <w:bCs/>
                <w:color w:val="000000"/>
                <w:szCs w:val="24"/>
              </w:rPr>
              <w:t>, FileNet</w:t>
            </w:r>
          </w:p>
        </w:tc>
        <w:tc>
          <w:tcPr>
            <w:tcW w:w="2160" w:type="dxa"/>
            <w:vAlign w:val="center"/>
          </w:tcPr>
          <w:p w14:paraId="1553648D" w14:textId="77777777" w:rsidR="0061579C" w:rsidRPr="00356942" w:rsidRDefault="0061579C" w:rsidP="00E2406B">
            <w:pPr>
              <w:ind w:left="0"/>
              <w:jc w:val="center"/>
              <w:rPr>
                <w:rFonts w:cs="Calibri"/>
                <w:color w:val="000000"/>
                <w:szCs w:val="24"/>
              </w:rPr>
            </w:pPr>
            <w:r w:rsidRPr="00356942">
              <w:rPr>
                <w:rFonts w:cs="Calibri"/>
                <w:color w:val="000000"/>
                <w:szCs w:val="24"/>
              </w:rPr>
              <w:t>I</w:t>
            </w:r>
          </w:p>
        </w:tc>
      </w:tr>
      <w:tr w:rsidR="0061579C" w:rsidRPr="00873442" w14:paraId="1EEBEDEA" w14:textId="77777777" w:rsidTr="00E2406B">
        <w:tc>
          <w:tcPr>
            <w:tcW w:w="3600" w:type="dxa"/>
            <w:vAlign w:val="center"/>
          </w:tcPr>
          <w:p w14:paraId="678D68D1" w14:textId="77777777" w:rsidR="0061579C" w:rsidRPr="00356942" w:rsidRDefault="0061579C" w:rsidP="00E2406B">
            <w:pPr>
              <w:ind w:left="0"/>
              <w:rPr>
                <w:rFonts w:cs="Calibri"/>
                <w:szCs w:val="24"/>
              </w:rPr>
            </w:pPr>
            <w:r w:rsidRPr="00356942">
              <w:rPr>
                <w:rFonts w:cs="Calibri"/>
                <w:szCs w:val="24"/>
              </w:rPr>
              <w:t>Fact Finding (server)</w:t>
            </w:r>
          </w:p>
        </w:tc>
        <w:tc>
          <w:tcPr>
            <w:tcW w:w="2160" w:type="dxa"/>
            <w:vAlign w:val="center"/>
          </w:tcPr>
          <w:p w14:paraId="36FB1123" w14:textId="77777777" w:rsidR="0061579C" w:rsidRPr="00356942" w:rsidRDefault="0061579C" w:rsidP="00E2406B">
            <w:pPr>
              <w:ind w:left="0"/>
              <w:jc w:val="center"/>
              <w:rPr>
                <w:rFonts w:cs="Calibri"/>
                <w:color w:val="000000"/>
                <w:szCs w:val="24"/>
              </w:rPr>
            </w:pPr>
            <w:r w:rsidRPr="00356942">
              <w:rPr>
                <w:rFonts w:cs="Calibri"/>
                <w:bCs/>
                <w:color w:val="000000"/>
                <w:szCs w:val="24"/>
              </w:rPr>
              <w:t>D</w:t>
            </w:r>
          </w:p>
        </w:tc>
        <w:tc>
          <w:tcPr>
            <w:tcW w:w="2160" w:type="dxa"/>
            <w:vAlign w:val="center"/>
          </w:tcPr>
          <w:p w14:paraId="58CD452E" w14:textId="7A43EB7C" w:rsidR="0061579C" w:rsidRPr="00356942" w:rsidRDefault="0061579C" w:rsidP="00E2406B">
            <w:pPr>
              <w:ind w:left="0"/>
              <w:jc w:val="center"/>
              <w:rPr>
                <w:rFonts w:cs="Calibri"/>
                <w:bCs/>
                <w:color w:val="000000"/>
                <w:szCs w:val="24"/>
              </w:rPr>
            </w:pPr>
            <w:r w:rsidRPr="00356942">
              <w:rPr>
                <w:rFonts w:cs="Calibri"/>
                <w:bCs/>
                <w:color w:val="000000"/>
                <w:szCs w:val="24"/>
              </w:rPr>
              <w:t>DB2</w:t>
            </w:r>
            <w:r w:rsidR="00E64A01">
              <w:rPr>
                <w:rFonts w:cs="Calibri"/>
                <w:bCs/>
                <w:color w:val="000000"/>
                <w:szCs w:val="24"/>
              </w:rPr>
              <w:t>, FileNet</w:t>
            </w:r>
          </w:p>
        </w:tc>
        <w:tc>
          <w:tcPr>
            <w:tcW w:w="2160" w:type="dxa"/>
            <w:vAlign w:val="center"/>
          </w:tcPr>
          <w:p w14:paraId="55E3CAE7" w14:textId="77777777" w:rsidR="0061579C" w:rsidRPr="00356942" w:rsidRDefault="0061579C" w:rsidP="00E2406B">
            <w:pPr>
              <w:ind w:left="0"/>
              <w:jc w:val="center"/>
              <w:rPr>
                <w:rFonts w:cs="Calibri"/>
                <w:color w:val="000000"/>
                <w:szCs w:val="24"/>
              </w:rPr>
            </w:pPr>
            <w:r w:rsidRPr="00356942">
              <w:rPr>
                <w:rFonts w:cs="Calibri"/>
                <w:color w:val="000000"/>
                <w:szCs w:val="24"/>
              </w:rPr>
              <w:t>I</w:t>
            </w:r>
          </w:p>
        </w:tc>
      </w:tr>
      <w:tr w:rsidR="0061579C" w:rsidRPr="00873442" w14:paraId="08EF5371" w14:textId="77777777" w:rsidTr="00E2406B">
        <w:tc>
          <w:tcPr>
            <w:tcW w:w="3600" w:type="dxa"/>
            <w:vAlign w:val="center"/>
          </w:tcPr>
          <w:p w14:paraId="5C12F65C" w14:textId="77777777" w:rsidR="0061579C" w:rsidRPr="00356942" w:rsidRDefault="0061579C" w:rsidP="00E2406B">
            <w:pPr>
              <w:ind w:left="0"/>
              <w:rPr>
                <w:rFonts w:cs="Calibri"/>
                <w:szCs w:val="24"/>
              </w:rPr>
            </w:pPr>
            <w:r w:rsidRPr="00356942">
              <w:rPr>
                <w:rFonts w:cs="Calibri"/>
                <w:szCs w:val="24"/>
              </w:rPr>
              <w:t>Computer Assisted Scheduler (CAS)</w:t>
            </w:r>
          </w:p>
        </w:tc>
        <w:tc>
          <w:tcPr>
            <w:tcW w:w="2160" w:type="dxa"/>
            <w:vAlign w:val="center"/>
          </w:tcPr>
          <w:p w14:paraId="5E8204C8" w14:textId="77777777" w:rsidR="0061579C" w:rsidRPr="00356942" w:rsidRDefault="0061579C" w:rsidP="00E2406B">
            <w:pPr>
              <w:ind w:left="0"/>
              <w:jc w:val="center"/>
              <w:rPr>
                <w:rFonts w:cs="Calibri"/>
                <w:color w:val="000000"/>
                <w:szCs w:val="24"/>
              </w:rPr>
            </w:pPr>
            <w:r w:rsidRPr="00356942">
              <w:rPr>
                <w:rFonts w:cs="Calibri"/>
                <w:bCs/>
                <w:color w:val="000000"/>
                <w:szCs w:val="24"/>
              </w:rPr>
              <w:t>D</w:t>
            </w:r>
          </w:p>
        </w:tc>
        <w:tc>
          <w:tcPr>
            <w:tcW w:w="2160" w:type="dxa"/>
            <w:vAlign w:val="center"/>
          </w:tcPr>
          <w:p w14:paraId="3CFE52EF" w14:textId="77777777" w:rsidR="0061579C" w:rsidRPr="00356942" w:rsidRDefault="0061579C" w:rsidP="00E2406B">
            <w:pPr>
              <w:ind w:left="0"/>
              <w:jc w:val="center"/>
              <w:rPr>
                <w:rFonts w:cs="Calibri"/>
                <w:bCs/>
                <w:color w:val="000000"/>
                <w:szCs w:val="24"/>
              </w:rPr>
            </w:pPr>
            <w:r w:rsidRPr="00356942">
              <w:rPr>
                <w:rFonts w:cs="Calibri"/>
                <w:bCs/>
                <w:color w:val="000000"/>
                <w:szCs w:val="24"/>
              </w:rPr>
              <w:t>DB2</w:t>
            </w:r>
          </w:p>
        </w:tc>
        <w:tc>
          <w:tcPr>
            <w:tcW w:w="2160" w:type="dxa"/>
            <w:vAlign w:val="center"/>
          </w:tcPr>
          <w:p w14:paraId="03C07258" w14:textId="77777777" w:rsidR="0061579C" w:rsidRPr="00356942" w:rsidRDefault="0061579C" w:rsidP="00E2406B">
            <w:pPr>
              <w:ind w:left="0"/>
              <w:jc w:val="center"/>
              <w:rPr>
                <w:rFonts w:cs="Calibri"/>
                <w:color w:val="000000"/>
                <w:szCs w:val="24"/>
              </w:rPr>
            </w:pPr>
            <w:r w:rsidRPr="00356942">
              <w:rPr>
                <w:rFonts w:cs="Calibri"/>
                <w:color w:val="000000"/>
                <w:szCs w:val="24"/>
              </w:rPr>
              <w:t>I</w:t>
            </w:r>
          </w:p>
        </w:tc>
      </w:tr>
      <w:tr w:rsidR="0061579C" w:rsidRPr="00873442" w14:paraId="15374810" w14:textId="77777777" w:rsidTr="00E2406B">
        <w:tc>
          <w:tcPr>
            <w:tcW w:w="3600" w:type="dxa"/>
            <w:vAlign w:val="center"/>
          </w:tcPr>
          <w:p w14:paraId="6060D5BD" w14:textId="77777777" w:rsidR="0061579C" w:rsidRPr="00356942" w:rsidRDefault="0061579C" w:rsidP="00E2406B">
            <w:pPr>
              <w:ind w:left="0"/>
              <w:rPr>
                <w:rFonts w:cs="Calibri"/>
                <w:szCs w:val="24"/>
              </w:rPr>
            </w:pPr>
            <w:r w:rsidRPr="00356942">
              <w:rPr>
                <w:rFonts w:cs="Calibri"/>
                <w:szCs w:val="24"/>
              </w:rPr>
              <w:t>Case Check</w:t>
            </w:r>
          </w:p>
        </w:tc>
        <w:tc>
          <w:tcPr>
            <w:tcW w:w="2160" w:type="dxa"/>
            <w:vAlign w:val="center"/>
          </w:tcPr>
          <w:p w14:paraId="7DF49CA2" w14:textId="77777777" w:rsidR="0061579C" w:rsidRPr="00356942" w:rsidRDefault="0061579C" w:rsidP="00E2406B">
            <w:pPr>
              <w:ind w:left="0"/>
              <w:jc w:val="center"/>
              <w:rPr>
                <w:rFonts w:cs="Calibri"/>
                <w:color w:val="000000"/>
                <w:szCs w:val="24"/>
              </w:rPr>
            </w:pPr>
            <w:r w:rsidRPr="00356942">
              <w:rPr>
                <w:rFonts w:cs="Calibri"/>
                <w:bCs/>
                <w:color w:val="000000"/>
                <w:szCs w:val="24"/>
              </w:rPr>
              <w:t>D</w:t>
            </w:r>
          </w:p>
        </w:tc>
        <w:tc>
          <w:tcPr>
            <w:tcW w:w="2160" w:type="dxa"/>
            <w:vAlign w:val="center"/>
          </w:tcPr>
          <w:p w14:paraId="2C29DF0D" w14:textId="10C97047" w:rsidR="0061579C" w:rsidRPr="00356942" w:rsidRDefault="0061579C" w:rsidP="00E2406B">
            <w:pPr>
              <w:ind w:left="0"/>
              <w:jc w:val="center"/>
              <w:rPr>
                <w:rFonts w:cs="Calibri"/>
                <w:bCs/>
                <w:color w:val="000000"/>
                <w:szCs w:val="24"/>
              </w:rPr>
            </w:pPr>
            <w:r w:rsidRPr="00356942">
              <w:rPr>
                <w:rFonts w:cs="Calibri"/>
                <w:bCs/>
                <w:color w:val="000000"/>
                <w:szCs w:val="24"/>
              </w:rPr>
              <w:t>DB2</w:t>
            </w:r>
            <w:r w:rsidR="00E64A01">
              <w:rPr>
                <w:rFonts w:cs="Calibri"/>
                <w:bCs/>
                <w:color w:val="000000"/>
                <w:szCs w:val="24"/>
              </w:rPr>
              <w:t>, FileNet</w:t>
            </w:r>
          </w:p>
        </w:tc>
        <w:tc>
          <w:tcPr>
            <w:tcW w:w="2160" w:type="dxa"/>
            <w:vAlign w:val="center"/>
          </w:tcPr>
          <w:p w14:paraId="5D5EB449" w14:textId="77777777" w:rsidR="0061579C" w:rsidRPr="00356942" w:rsidRDefault="0061579C" w:rsidP="00E2406B">
            <w:pPr>
              <w:ind w:left="0"/>
              <w:jc w:val="center"/>
              <w:rPr>
                <w:rFonts w:cs="Calibri"/>
                <w:color w:val="000000"/>
                <w:szCs w:val="24"/>
              </w:rPr>
            </w:pPr>
            <w:r w:rsidRPr="00356942">
              <w:rPr>
                <w:rFonts w:cs="Calibri"/>
                <w:color w:val="000000"/>
                <w:szCs w:val="24"/>
              </w:rPr>
              <w:t>I</w:t>
            </w:r>
          </w:p>
        </w:tc>
      </w:tr>
      <w:tr w:rsidR="0061579C" w:rsidRPr="00873442" w14:paraId="67091515" w14:textId="77777777" w:rsidTr="00E2406B">
        <w:tc>
          <w:tcPr>
            <w:tcW w:w="3600" w:type="dxa"/>
            <w:vAlign w:val="center"/>
          </w:tcPr>
          <w:p w14:paraId="04D444BD" w14:textId="77777777" w:rsidR="0061579C" w:rsidRPr="00356942" w:rsidRDefault="0061579C" w:rsidP="00E2406B">
            <w:pPr>
              <w:ind w:left="0"/>
              <w:rPr>
                <w:rFonts w:cs="Calibri"/>
                <w:szCs w:val="24"/>
              </w:rPr>
            </w:pPr>
            <w:r w:rsidRPr="00356942">
              <w:rPr>
                <w:rFonts w:cs="Calibri"/>
                <w:szCs w:val="24"/>
              </w:rPr>
              <w:t>Case Print (server)</w:t>
            </w:r>
          </w:p>
        </w:tc>
        <w:tc>
          <w:tcPr>
            <w:tcW w:w="2160" w:type="dxa"/>
            <w:vAlign w:val="center"/>
          </w:tcPr>
          <w:p w14:paraId="5E5DBF9B" w14:textId="77777777" w:rsidR="0061579C" w:rsidRPr="00356942" w:rsidRDefault="0061579C" w:rsidP="00E2406B">
            <w:pPr>
              <w:ind w:left="0"/>
              <w:jc w:val="center"/>
              <w:rPr>
                <w:rFonts w:cs="Calibri"/>
                <w:color w:val="000000"/>
                <w:szCs w:val="24"/>
              </w:rPr>
            </w:pPr>
            <w:r w:rsidRPr="00356942">
              <w:rPr>
                <w:rFonts w:cs="Calibri"/>
                <w:bCs/>
                <w:color w:val="000000"/>
                <w:szCs w:val="24"/>
              </w:rPr>
              <w:t>S</w:t>
            </w:r>
          </w:p>
        </w:tc>
        <w:tc>
          <w:tcPr>
            <w:tcW w:w="2160" w:type="dxa"/>
            <w:vAlign w:val="center"/>
          </w:tcPr>
          <w:p w14:paraId="4D8C78F2" w14:textId="618D1635" w:rsidR="0061579C" w:rsidRPr="00356942" w:rsidRDefault="0061579C" w:rsidP="00E2406B">
            <w:pPr>
              <w:ind w:left="0"/>
              <w:jc w:val="center"/>
              <w:rPr>
                <w:rFonts w:cs="Calibri"/>
                <w:bCs/>
                <w:color w:val="000000"/>
                <w:szCs w:val="24"/>
              </w:rPr>
            </w:pPr>
            <w:r w:rsidRPr="00356942">
              <w:rPr>
                <w:rFonts w:cs="Calibri"/>
                <w:bCs/>
                <w:color w:val="000000"/>
                <w:szCs w:val="24"/>
              </w:rPr>
              <w:t>DB2</w:t>
            </w:r>
            <w:r w:rsidR="00E64A01">
              <w:rPr>
                <w:rFonts w:cs="Calibri"/>
                <w:bCs/>
                <w:color w:val="000000"/>
                <w:szCs w:val="24"/>
              </w:rPr>
              <w:t>, FileNet</w:t>
            </w:r>
          </w:p>
        </w:tc>
        <w:tc>
          <w:tcPr>
            <w:tcW w:w="2160" w:type="dxa"/>
            <w:vAlign w:val="center"/>
          </w:tcPr>
          <w:p w14:paraId="2108BB60" w14:textId="77777777" w:rsidR="0061579C" w:rsidRPr="00356942" w:rsidRDefault="0061579C" w:rsidP="00E2406B">
            <w:pPr>
              <w:ind w:left="0"/>
              <w:jc w:val="center"/>
              <w:rPr>
                <w:rFonts w:cs="Calibri"/>
                <w:color w:val="000000"/>
                <w:szCs w:val="24"/>
              </w:rPr>
            </w:pPr>
            <w:r w:rsidRPr="00356942">
              <w:rPr>
                <w:rFonts w:cs="Calibri"/>
                <w:color w:val="000000"/>
                <w:szCs w:val="24"/>
              </w:rPr>
              <w:t>I</w:t>
            </w:r>
          </w:p>
        </w:tc>
      </w:tr>
      <w:tr w:rsidR="0061579C" w:rsidRPr="00873442" w14:paraId="41B2E3AD" w14:textId="77777777" w:rsidTr="00E2406B">
        <w:tc>
          <w:tcPr>
            <w:tcW w:w="3600" w:type="dxa"/>
            <w:vAlign w:val="center"/>
          </w:tcPr>
          <w:p w14:paraId="627AC435" w14:textId="77777777" w:rsidR="0061579C" w:rsidRPr="00356942" w:rsidRDefault="0061579C" w:rsidP="00E2406B">
            <w:pPr>
              <w:ind w:left="0"/>
              <w:rPr>
                <w:rFonts w:cs="Calibri"/>
                <w:szCs w:val="24"/>
              </w:rPr>
            </w:pPr>
            <w:r w:rsidRPr="00356942">
              <w:rPr>
                <w:rFonts w:cs="Calibri"/>
                <w:szCs w:val="24"/>
              </w:rPr>
              <w:t>Appeals Database Administration (ADA)</w:t>
            </w:r>
          </w:p>
        </w:tc>
        <w:tc>
          <w:tcPr>
            <w:tcW w:w="2160" w:type="dxa"/>
            <w:vAlign w:val="center"/>
          </w:tcPr>
          <w:p w14:paraId="1AC60F94" w14:textId="77777777" w:rsidR="0061579C" w:rsidRPr="00356942" w:rsidRDefault="0061579C" w:rsidP="00E2406B">
            <w:pPr>
              <w:ind w:left="0"/>
              <w:jc w:val="center"/>
              <w:rPr>
                <w:rFonts w:cs="Calibri"/>
                <w:color w:val="000000"/>
                <w:szCs w:val="24"/>
              </w:rPr>
            </w:pPr>
            <w:r w:rsidRPr="00356942">
              <w:rPr>
                <w:rFonts w:cs="Calibri"/>
                <w:bCs/>
                <w:color w:val="000000"/>
                <w:szCs w:val="24"/>
              </w:rPr>
              <w:t>D</w:t>
            </w:r>
          </w:p>
        </w:tc>
        <w:tc>
          <w:tcPr>
            <w:tcW w:w="2160" w:type="dxa"/>
            <w:vAlign w:val="center"/>
          </w:tcPr>
          <w:p w14:paraId="3B5070F1" w14:textId="02A7E254" w:rsidR="0061579C" w:rsidRPr="00356942" w:rsidRDefault="0061579C" w:rsidP="00E2406B">
            <w:pPr>
              <w:ind w:left="0"/>
              <w:jc w:val="center"/>
              <w:rPr>
                <w:rFonts w:cs="Calibri"/>
                <w:bCs/>
                <w:color w:val="000000"/>
                <w:szCs w:val="24"/>
              </w:rPr>
            </w:pPr>
            <w:r w:rsidRPr="00356942">
              <w:rPr>
                <w:rFonts w:cs="Calibri"/>
                <w:bCs/>
                <w:color w:val="000000"/>
                <w:szCs w:val="24"/>
              </w:rPr>
              <w:t>DB2</w:t>
            </w:r>
            <w:r w:rsidR="00E64A01">
              <w:rPr>
                <w:rFonts w:cs="Calibri"/>
                <w:bCs/>
                <w:color w:val="000000"/>
                <w:szCs w:val="24"/>
              </w:rPr>
              <w:t>, FileNet</w:t>
            </w:r>
          </w:p>
        </w:tc>
        <w:tc>
          <w:tcPr>
            <w:tcW w:w="2160" w:type="dxa"/>
            <w:vAlign w:val="center"/>
          </w:tcPr>
          <w:p w14:paraId="18098EAB" w14:textId="77777777" w:rsidR="0061579C" w:rsidRPr="00356942" w:rsidRDefault="0061579C" w:rsidP="00E2406B">
            <w:pPr>
              <w:ind w:left="0"/>
              <w:jc w:val="center"/>
              <w:rPr>
                <w:rFonts w:cs="Calibri"/>
                <w:color w:val="000000"/>
                <w:szCs w:val="24"/>
              </w:rPr>
            </w:pPr>
            <w:r w:rsidRPr="00356942">
              <w:rPr>
                <w:rFonts w:cs="Calibri"/>
                <w:color w:val="000000"/>
                <w:szCs w:val="24"/>
              </w:rPr>
              <w:t>I</w:t>
            </w:r>
          </w:p>
        </w:tc>
      </w:tr>
      <w:tr w:rsidR="0061579C" w:rsidRPr="00873442" w14:paraId="5AF9EE0A" w14:textId="77777777" w:rsidTr="00E2406B">
        <w:tc>
          <w:tcPr>
            <w:tcW w:w="3600" w:type="dxa"/>
            <w:vAlign w:val="center"/>
          </w:tcPr>
          <w:p w14:paraId="06D54E79" w14:textId="77777777" w:rsidR="0061579C" w:rsidRPr="00356942" w:rsidRDefault="0061579C" w:rsidP="00E2406B">
            <w:pPr>
              <w:ind w:left="0"/>
              <w:rPr>
                <w:rFonts w:cs="Calibri"/>
                <w:szCs w:val="24"/>
              </w:rPr>
            </w:pPr>
            <w:r w:rsidRPr="00356942">
              <w:rPr>
                <w:rFonts w:cs="Calibri"/>
                <w:szCs w:val="24"/>
              </w:rPr>
              <w:t>Hearing Officer Case Management (HOCM)</w:t>
            </w:r>
          </w:p>
        </w:tc>
        <w:tc>
          <w:tcPr>
            <w:tcW w:w="2160" w:type="dxa"/>
            <w:vAlign w:val="center"/>
          </w:tcPr>
          <w:p w14:paraId="40303DA4" w14:textId="77777777" w:rsidR="0061579C" w:rsidRPr="00356942" w:rsidRDefault="0061579C" w:rsidP="00E2406B">
            <w:pPr>
              <w:ind w:left="0"/>
              <w:jc w:val="center"/>
              <w:rPr>
                <w:rFonts w:cs="Calibri"/>
                <w:color w:val="000000"/>
                <w:szCs w:val="24"/>
              </w:rPr>
            </w:pPr>
            <w:r w:rsidRPr="00356942">
              <w:rPr>
                <w:rFonts w:cs="Calibri"/>
                <w:bCs/>
                <w:color w:val="000000"/>
                <w:szCs w:val="24"/>
              </w:rPr>
              <w:t>D</w:t>
            </w:r>
          </w:p>
        </w:tc>
        <w:tc>
          <w:tcPr>
            <w:tcW w:w="2160" w:type="dxa"/>
            <w:vAlign w:val="center"/>
          </w:tcPr>
          <w:p w14:paraId="15B99393" w14:textId="77777777" w:rsidR="0061579C" w:rsidRPr="00356942" w:rsidRDefault="0061579C" w:rsidP="00E2406B">
            <w:pPr>
              <w:ind w:left="0"/>
              <w:jc w:val="center"/>
              <w:rPr>
                <w:rFonts w:cs="Calibri"/>
                <w:bCs/>
                <w:color w:val="000000"/>
                <w:szCs w:val="24"/>
              </w:rPr>
            </w:pPr>
            <w:r w:rsidRPr="00356942">
              <w:rPr>
                <w:rFonts w:cs="Calibri"/>
                <w:bCs/>
                <w:color w:val="000000"/>
                <w:szCs w:val="24"/>
              </w:rPr>
              <w:t>DB2</w:t>
            </w:r>
          </w:p>
        </w:tc>
        <w:tc>
          <w:tcPr>
            <w:tcW w:w="2160" w:type="dxa"/>
            <w:vAlign w:val="center"/>
          </w:tcPr>
          <w:p w14:paraId="0B5F1D76" w14:textId="77777777" w:rsidR="0061579C" w:rsidRPr="00356942" w:rsidRDefault="0061579C" w:rsidP="00E2406B">
            <w:pPr>
              <w:ind w:left="0"/>
              <w:jc w:val="center"/>
              <w:rPr>
                <w:rFonts w:cs="Calibri"/>
                <w:color w:val="000000"/>
                <w:szCs w:val="24"/>
              </w:rPr>
            </w:pPr>
            <w:r w:rsidRPr="00356942">
              <w:rPr>
                <w:rFonts w:cs="Calibri"/>
                <w:color w:val="000000"/>
                <w:szCs w:val="24"/>
              </w:rPr>
              <w:t>I</w:t>
            </w:r>
          </w:p>
        </w:tc>
      </w:tr>
      <w:tr w:rsidR="0061579C" w:rsidRPr="00873442" w14:paraId="1BC0DE2F" w14:textId="77777777" w:rsidTr="00E2406B">
        <w:tc>
          <w:tcPr>
            <w:tcW w:w="3600" w:type="dxa"/>
            <w:vAlign w:val="center"/>
          </w:tcPr>
          <w:p w14:paraId="412DDBFC" w14:textId="6806EEE2" w:rsidR="0061579C" w:rsidRPr="00356942" w:rsidRDefault="0061579C" w:rsidP="00E2406B">
            <w:pPr>
              <w:ind w:left="0"/>
              <w:rPr>
                <w:rFonts w:cs="Calibri"/>
                <w:szCs w:val="24"/>
              </w:rPr>
            </w:pPr>
            <w:r>
              <w:rPr>
                <w:rFonts w:cs="Calibri"/>
                <w:szCs w:val="24"/>
              </w:rPr>
              <w:t>Decision Print (a</w:t>
            </w:r>
            <w:r w:rsidR="003C545A">
              <w:rPr>
                <w:rFonts w:cs="Calibri"/>
                <w:szCs w:val="24"/>
              </w:rPr>
              <w:t>.</w:t>
            </w:r>
            <w:r>
              <w:rPr>
                <w:rFonts w:cs="Calibri"/>
                <w:szCs w:val="24"/>
              </w:rPr>
              <w:t>k</w:t>
            </w:r>
            <w:r w:rsidR="003C545A">
              <w:rPr>
                <w:rFonts w:cs="Calibri"/>
                <w:szCs w:val="24"/>
              </w:rPr>
              <w:t>.</w:t>
            </w:r>
            <w:r>
              <w:rPr>
                <w:rFonts w:cs="Calibri"/>
                <w:szCs w:val="24"/>
              </w:rPr>
              <w:t>a</w:t>
            </w:r>
            <w:r w:rsidR="003C545A">
              <w:rPr>
                <w:rFonts w:cs="Calibri"/>
                <w:szCs w:val="24"/>
              </w:rPr>
              <w:t>.</w:t>
            </w:r>
            <w:r w:rsidRPr="00356942">
              <w:rPr>
                <w:rFonts w:cs="Calibri"/>
                <w:szCs w:val="24"/>
              </w:rPr>
              <w:t xml:space="preserve"> Hearing Of</w:t>
            </w:r>
            <w:r w:rsidR="003C545A">
              <w:rPr>
                <w:rFonts w:cs="Calibri"/>
                <w:szCs w:val="24"/>
              </w:rPr>
              <w:t>ficer Decision</w:t>
            </w:r>
            <w:r w:rsidRPr="00356942">
              <w:rPr>
                <w:rFonts w:cs="Calibri"/>
                <w:szCs w:val="24"/>
              </w:rPr>
              <w:t>)</w:t>
            </w:r>
          </w:p>
        </w:tc>
        <w:tc>
          <w:tcPr>
            <w:tcW w:w="2160" w:type="dxa"/>
            <w:vAlign w:val="center"/>
          </w:tcPr>
          <w:p w14:paraId="175D3109" w14:textId="77777777" w:rsidR="0061579C" w:rsidRPr="00356942" w:rsidRDefault="0061579C" w:rsidP="00E2406B">
            <w:pPr>
              <w:ind w:left="0"/>
              <w:jc w:val="center"/>
              <w:rPr>
                <w:rFonts w:cs="Calibri"/>
                <w:color w:val="000000"/>
                <w:szCs w:val="24"/>
              </w:rPr>
            </w:pPr>
            <w:r w:rsidRPr="00356942">
              <w:rPr>
                <w:rFonts w:cs="Calibri"/>
                <w:bCs/>
                <w:color w:val="000000"/>
                <w:szCs w:val="24"/>
              </w:rPr>
              <w:t>D</w:t>
            </w:r>
          </w:p>
        </w:tc>
        <w:tc>
          <w:tcPr>
            <w:tcW w:w="2160" w:type="dxa"/>
            <w:vAlign w:val="center"/>
          </w:tcPr>
          <w:p w14:paraId="6D2EDB9E" w14:textId="77777777" w:rsidR="0061579C" w:rsidRPr="00356942" w:rsidRDefault="0061579C" w:rsidP="00E2406B">
            <w:pPr>
              <w:ind w:left="0"/>
              <w:jc w:val="center"/>
              <w:rPr>
                <w:rFonts w:cs="Calibri"/>
                <w:bCs/>
                <w:color w:val="000000"/>
                <w:szCs w:val="24"/>
              </w:rPr>
            </w:pPr>
            <w:r w:rsidRPr="00356942">
              <w:rPr>
                <w:rFonts w:cs="Calibri"/>
                <w:bCs/>
                <w:color w:val="000000"/>
                <w:szCs w:val="24"/>
              </w:rPr>
              <w:t>DB2</w:t>
            </w:r>
          </w:p>
        </w:tc>
        <w:tc>
          <w:tcPr>
            <w:tcW w:w="2160" w:type="dxa"/>
            <w:vAlign w:val="center"/>
          </w:tcPr>
          <w:p w14:paraId="39AC22D3" w14:textId="77777777" w:rsidR="0061579C" w:rsidRPr="00356942" w:rsidRDefault="0061579C" w:rsidP="00E2406B">
            <w:pPr>
              <w:ind w:left="0"/>
              <w:jc w:val="center"/>
              <w:rPr>
                <w:rFonts w:cs="Calibri"/>
                <w:color w:val="000000"/>
                <w:szCs w:val="24"/>
              </w:rPr>
            </w:pPr>
            <w:r w:rsidRPr="00356942">
              <w:rPr>
                <w:rFonts w:cs="Calibri"/>
                <w:color w:val="000000"/>
                <w:szCs w:val="24"/>
              </w:rPr>
              <w:t>I</w:t>
            </w:r>
          </w:p>
        </w:tc>
      </w:tr>
      <w:tr w:rsidR="0061579C" w:rsidRPr="00873442" w14:paraId="57682122" w14:textId="77777777" w:rsidTr="00E2406B">
        <w:tc>
          <w:tcPr>
            <w:tcW w:w="3600" w:type="dxa"/>
            <w:vAlign w:val="center"/>
          </w:tcPr>
          <w:p w14:paraId="51186945" w14:textId="77777777" w:rsidR="0061579C" w:rsidRPr="00356942" w:rsidRDefault="0061579C" w:rsidP="00E2406B">
            <w:pPr>
              <w:ind w:left="0"/>
              <w:rPr>
                <w:rFonts w:cs="Calibri"/>
                <w:szCs w:val="24"/>
              </w:rPr>
            </w:pPr>
            <w:r w:rsidRPr="00356942">
              <w:rPr>
                <w:rFonts w:cs="Calibri"/>
                <w:szCs w:val="24"/>
              </w:rPr>
              <w:t>Appeal Status</w:t>
            </w:r>
          </w:p>
        </w:tc>
        <w:tc>
          <w:tcPr>
            <w:tcW w:w="2160" w:type="dxa"/>
            <w:vAlign w:val="center"/>
          </w:tcPr>
          <w:p w14:paraId="308B5EC0" w14:textId="77777777" w:rsidR="0061579C" w:rsidRPr="00356942" w:rsidRDefault="0061579C" w:rsidP="00E2406B">
            <w:pPr>
              <w:ind w:left="0"/>
              <w:jc w:val="center"/>
              <w:rPr>
                <w:rFonts w:cs="Calibri"/>
                <w:color w:val="000000"/>
                <w:szCs w:val="24"/>
              </w:rPr>
            </w:pPr>
            <w:r w:rsidRPr="00356942">
              <w:rPr>
                <w:rFonts w:cs="Calibri"/>
                <w:bCs/>
                <w:color w:val="000000"/>
                <w:szCs w:val="24"/>
              </w:rPr>
              <w:t>D</w:t>
            </w:r>
          </w:p>
        </w:tc>
        <w:tc>
          <w:tcPr>
            <w:tcW w:w="2160" w:type="dxa"/>
            <w:vAlign w:val="center"/>
          </w:tcPr>
          <w:p w14:paraId="6DBEA7B1" w14:textId="77777777" w:rsidR="0061579C" w:rsidRPr="00356942" w:rsidRDefault="0061579C" w:rsidP="00E2406B">
            <w:pPr>
              <w:ind w:left="0"/>
              <w:jc w:val="center"/>
              <w:rPr>
                <w:rFonts w:cs="Calibri"/>
                <w:bCs/>
                <w:color w:val="000000"/>
                <w:szCs w:val="24"/>
              </w:rPr>
            </w:pPr>
            <w:r w:rsidRPr="00356942">
              <w:rPr>
                <w:rFonts w:cs="Calibri"/>
                <w:bCs/>
                <w:color w:val="000000"/>
                <w:szCs w:val="24"/>
              </w:rPr>
              <w:t>DB2</w:t>
            </w:r>
          </w:p>
        </w:tc>
        <w:tc>
          <w:tcPr>
            <w:tcW w:w="2160" w:type="dxa"/>
            <w:vAlign w:val="center"/>
          </w:tcPr>
          <w:p w14:paraId="46341721" w14:textId="77777777" w:rsidR="0061579C" w:rsidRPr="00356942" w:rsidRDefault="0061579C" w:rsidP="00E2406B">
            <w:pPr>
              <w:ind w:left="0"/>
              <w:jc w:val="center"/>
              <w:rPr>
                <w:rFonts w:cs="Calibri"/>
                <w:color w:val="000000"/>
                <w:szCs w:val="24"/>
              </w:rPr>
            </w:pPr>
            <w:r w:rsidRPr="00356942">
              <w:rPr>
                <w:rFonts w:cs="Calibri"/>
                <w:color w:val="000000"/>
                <w:szCs w:val="24"/>
              </w:rPr>
              <w:t>I</w:t>
            </w:r>
          </w:p>
        </w:tc>
      </w:tr>
      <w:tr w:rsidR="0061579C" w:rsidRPr="00873442" w14:paraId="7F07BA61" w14:textId="77777777" w:rsidTr="00E2406B">
        <w:tc>
          <w:tcPr>
            <w:tcW w:w="3600" w:type="dxa"/>
            <w:vAlign w:val="center"/>
          </w:tcPr>
          <w:p w14:paraId="50CBEE84" w14:textId="77777777" w:rsidR="0061579C" w:rsidRPr="00356942" w:rsidRDefault="0061579C" w:rsidP="00E2406B">
            <w:pPr>
              <w:ind w:left="0"/>
              <w:rPr>
                <w:rFonts w:cs="Calibri"/>
                <w:szCs w:val="24"/>
              </w:rPr>
            </w:pPr>
            <w:r w:rsidRPr="00356942">
              <w:rPr>
                <w:rFonts w:cs="Calibri"/>
                <w:szCs w:val="24"/>
              </w:rPr>
              <w:lastRenderedPageBreak/>
              <w:t>Benefits Inquiry</w:t>
            </w:r>
          </w:p>
        </w:tc>
        <w:tc>
          <w:tcPr>
            <w:tcW w:w="2160" w:type="dxa"/>
            <w:vAlign w:val="center"/>
          </w:tcPr>
          <w:p w14:paraId="3A8A1DA3" w14:textId="77777777" w:rsidR="0061579C" w:rsidRPr="00356942" w:rsidRDefault="0061579C" w:rsidP="00E2406B">
            <w:pPr>
              <w:ind w:left="0"/>
              <w:jc w:val="center"/>
              <w:rPr>
                <w:rFonts w:cs="Calibri"/>
                <w:color w:val="000000"/>
                <w:szCs w:val="24"/>
              </w:rPr>
            </w:pPr>
            <w:r w:rsidRPr="00356942">
              <w:rPr>
                <w:rFonts w:cs="Calibri"/>
                <w:bCs/>
                <w:color w:val="000000"/>
                <w:szCs w:val="24"/>
              </w:rPr>
              <w:t>D</w:t>
            </w:r>
          </w:p>
        </w:tc>
        <w:tc>
          <w:tcPr>
            <w:tcW w:w="2160" w:type="dxa"/>
            <w:vAlign w:val="center"/>
          </w:tcPr>
          <w:p w14:paraId="5F9FCE54" w14:textId="77777777" w:rsidR="0061579C" w:rsidRPr="00356942" w:rsidRDefault="0061579C" w:rsidP="00E2406B">
            <w:pPr>
              <w:ind w:left="0"/>
              <w:jc w:val="center"/>
              <w:rPr>
                <w:rFonts w:cs="Calibri"/>
                <w:bCs/>
                <w:color w:val="000000"/>
                <w:szCs w:val="24"/>
              </w:rPr>
            </w:pPr>
            <w:r w:rsidRPr="00356942">
              <w:rPr>
                <w:rFonts w:cs="Calibri"/>
                <w:bCs/>
                <w:color w:val="000000"/>
                <w:szCs w:val="24"/>
              </w:rPr>
              <w:t>DB2</w:t>
            </w:r>
          </w:p>
        </w:tc>
        <w:tc>
          <w:tcPr>
            <w:tcW w:w="2160" w:type="dxa"/>
            <w:vAlign w:val="center"/>
          </w:tcPr>
          <w:p w14:paraId="10BB5DBC" w14:textId="77777777" w:rsidR="0061579C" w:rsidRPr="00356942" w:rsidRDefault="0061579C" w:rsidP="00E2406B">
            <w:pPr>
              <w:ind w:left="0"/>
              <w:jc w:val="center"/>
              <w:rPr>
                <w:rFonts w:cs="Calibri"/>
                <w:color w:val="000000"/>
                <w:szCs w:val="24"/>
              </w:rPr>
            </w:pPr>
            <w:r w:rsidRPr="00356942">
              <w:rPr>
                <w:rFonts w:cs="Calibri"/>
                <w:color w:val="000000"/>
                <w:szCs w:val="24"/>
              </w:rPr>
              <w:t>I</w:t>
            </w:r>
          </w:p>
        </w:tc>
      </w:tr>
      <w:tr w:rsidR="00A95802" w:rsidRPr="00873442" w14:paraId="0D245787" w14:textId="77777777" w:rsidTr="00E2406B">
        <w:tc>
          <w:tcPr>
            <w:tcW w:w="3600" w:type="dxa"/>
            <w:vAlign w:val="center"/>
          </w:tcPr>
          <w:p w14:paraId="66860735" w14:textId="77777777" w:rsidR="00A95802" w:rsidRPr="00356942" w:rsidRDefault="00A95802" w:rsidP="00A95802">
            <w:pPr>
              <w:ind w:left="0"/>
              <w:rPr>
                <w:rFonts w:cs="Calibri"/>
                <w:szCs w:val="24"/>
              </w:rPr>
            </w:pPr>
            <w:bookmarkStart w:id="37" w:name="_Hlk531088457"/>
            <w:r w:rsidRPr="00356942">
              <w:rPr>
                <w:rFonts w:cs="Calibri"/>
                <w:szCs w:val="24"/>
              </w:rPr>
              <w:t>Appeals Data Conversion (batch job)</w:t>
            </w:r>
          </w:p>
        </w:tc>
        <w:tc>
          <w:tcPr>
            <w:tcW w:w="2160" w:type="dxa"/>
            <w:vAlign w:val="center"/>
          </w:tcPr>
          <w:p w14:paraId="3ECF72B7" w14:textId="5B3F2C08" w:rsidR="00A95802" w:rsidRPr="00356942" w:rsidRDefault="00A95802" w:rsidP="00A95802">
            <w:pPr>
              <w:ind w:left="0"/>
              <w:jc w:val="center"/>
              <w:rPr>
                <w:rFonts w:cs="Calibri"/>
                <w:color w:val="000000"/>
                <w:szCs w:val="24"/>
              </w:rPr>
            </w:pPr>
            <w:r>
              <w:rPr>
                <w:rFonts w:cs="Calibri"/>
                <w:bCs/>
                <w:color w:val="000000"/>
                <w:szCs w:val="24"/>
              </w:rPr>
              <w:t>M</w:t>
            </w:r>
          </w:p>
        </w:tc>
        <w:tc>
          <w:tcPr>
            <w:tcW w:w="2160" w:type="dxa"/>
            <w:vAlign w:val="center"/>
          </w:tcPr>
          <w:p w14:paraId="3770B6FD" w14:textId="276110FE" w:rsidR="00A95802" w:rsidRPr="00356942" w:rsidRDefault="00485A62" w:rsidP="00A95802">
            <w:pPr>
              <w:ind w:left="0"/>
              <w:jc w:val="center"/>
              <w:rPr>
                <w:rFonts w:cs="Calibri"/>
                <w:bCs/>
                <w:color w:val="000000"/>
                <w:szCs w:val="24"/>
              </w:rPr>
            </w:pPr>
            <w:r>
              <w:t>DB2, VSAM</w:t>
            </w:r>
          </w:p>
        </w:tc>
        <w:tc>
          <w:tcPr>
            <w:tcW w:w="2160" w:type="dxa"/>
            <w:vAlign w:val="center"/>
          </w:tcPr>
          <w:p w14:paraId="7A28DFF3" w14:textId="77777777" w:rsidR="00A95802" w:rsidRPr="00356942" w:rsidRDefault="00A95802" w:rsidP="00A95802">
            <w:pPr>
              <w:ind w:left="0"/>
              <w:jc w:val="center"/>
              <w:rPr>
                <w:rFonts w:cs="Calibri"/>
                <w:color w:val="000000"/>
                <w:szCs w:val="24"/>
              </w:rPr>
            </w:pPr>
            <w:r w:rsidRPr="00356942">
              <w:rPr>
                <w:rFonts w:cs="Calibri"/>
                <w:color w:val="000000"/>
                <w:szCs w:val="24"/>
              </w:rPr>
              <w:t>I</w:t>
            </w:r>
          </w:p>
        </w:tc>
      </w:tr>
      <w:bookmarkEnd w:id="37"/>
      <w:tr w:rsidR="0061579C" w:rsidRPr="00873442" w14:paraId="1D4F9EE6" w14:textId="77777777" w:rsidTr="00E2406B">
        <w:tc>
          <w:tcPr>
            <w:tcW w:w="3600" w:type="dxa"/>
            <w:vAlign w:val="center"/>
          </w:tcPr>
          <w:p w14:paraId="463E9F66" w14:textId="77777777" w:rsidR="0061579C" w:rsidRPr="00356942" w:rsidRDefault="0061579C" w:rsidP="00E2406B">
            <w:pPr>
              <w:ind w:left="0"/>
              <w:rPr>
                <w:rFonts w:cs="Calibri"/>
                <w:szCs w:val="24"/>
              </w:rPr>
            </w:pPr>
            <w:r w:rsidRPr="00356942">
              <w:rPr>
                <w:rFonts w:cs="Calibri"/>
                <w:szCs w:val="24"/>
              </w:rPr>
              <w:t>Telephone Log</w:t>
            </w:r>
          </w:p>
        </w:tc>
        <w:tc>
          <w:tcPr>
            <w:tcW w:w="2160" w:type="dxa"/>
            <w:vAlign w:val="center"/>
          </w:tcPr>
          <w:p w14:paraId="6B75DF39" w14:textId="77777777" w:rsidR="0061579C" w:rsidRPr="00356942" w:rsidRDefault="0061579C" w:rsidP="00E2406B">
            <w:pPr>
              <w:ind w:left="0"/>
              <w:jc w:val="center"/>
              <w:rPr>
                <w:rFonts w:cs="Calibri"/>
                <w:color w:val="000000"/>
                <w:szCs w:val="24"/>
              </w:rPr>
            </w:pPr>
            <w:r w:rsidRPr="00356942">
              <w:rPr>
                <w:rFonts w:cs="Calibri"/>
                <w:bCs/>
                <w:color w:val="000000"/>
                <w:szCs w:val="24"/>
              </w:rPr>
              <w:t>D</w:t>
            </w:r>
          </w:p>
        </w:tc>
        <w:tc>
          <w:tcPr>
            <w:tcW w:w="2160" w:type="dxa"/>
            <w:vAlign w:val="center"/>
          </w:tcPr>
          <w:p w14:paraId="24017F60" w14:textId="77777777" w:rsidR="0061579C" w:rsidRPr="00356942" w:rsidRDefault="0061579C" w:rsidP="00E2406B">
            <w:pPr>
              <w:ind w:left="0"/>
              <w:jc w:val="center"/>
              <w:rPr>
                <w:rFonts w:cs="Calibri"/>
                <w:bCs/>
                <w:color w:val="000000"/>
                <w:szCs w:val="24"/>
              </w:rPr>
            </w:pPr>
            <w:r w:rsidRPr="00356942">
              <w:rPr>
                <w:rFonts w:cs="Calibri"/>
                <w:bCs/>
                <w:color w:val="000000"/>
                <w:szCs w:val="24"/>
              </w:rPr>
              <w:t>DB2</w:t>
            </w:r>
          </w:p>
        </w:tc>
        <w:tc>
          <w:tcPr>
            <w:tcW w:w="2160" w:type="dxa"/>
            <w:vAlign w:val="center"/>
          </w:tcPr>
          <w:p w14:paraId="68804E7A" w14:textId="77777777" w:rsidR="0061579C" w:rsidRPr="00356942" w:rsidRDefault="0061579C" w:rsidP="00E2406B">
            <w:pPr>
              <w:ind w:left="0"/>
              <w:jc w:val="center"/>
              <w:rPr>
                <w:rFonts w:cs="Calibri"/>
                <w:color w:val="000000"/>
                <w:szCs w:val="24"/>
              </w:rPr>
            </w:pPr>
            <w:r w:rsidRPr="00356942">
              <w:rPr>
                <w:rFonts w:cs="Calibri"/>
                <w:color w:val="000000"/>
                <w:szCs w:val="24"/>
              </w:rPr>
              <w:t>I</w:t>
            </w:r>
          </w:p>
        </w:tc>
      </w:tr>
      <w:tr w:rsidR="0061579C" w:rsidRPr="00873442" w14:paraId="278F6D98" w14:textId="77777777" w:rsidTr="00E2406B">
        <w:tc>
          <w:tcPr>
            <w:tcW w:w="3600" w:type="dxa"/>
            <w:vAlign w:val="center"/>
          </w:tcPr>
          <w:p w14:paraId="128FABB5" w14:textId="77777777" w:rsidR="0061579C" w:rsidRPr="00356942" w:rsidRDefault="0061579C" w:rsidP="00E2406B">
            <w:pPr>
              <w:ind w:left="0"/>
              <w:rPr>
                <w:rFonts w:cs="Calibri"/>
                <w:szCs w:val="24"/>
              </w:rPr>
            </w:pPr>
            <w:r w:rsidRPr="00356942">
              <w:rPr>
                <w:rFonts w:cs="Calibri"/>
                <w:szCs w:val="24"/>
              </w:rPr>
              <w:t>Batch Print (server)</w:t>
            </w:r>
          </w:p>
        </w:tc>
        <w:tc>
          <w:tcPr>
            <w:tcW w:w="2160" w:type="dxa"/>
            <w:vAlign w:val="center"/>
          </w:tcPr>
          <w:p w14:paraId="2CBB038A" w14:textId="77777777" w:rsidR="0061579C" w:rsidRPr="00356942" w:rsidRDefault="0061579C" w:rsidP="00E2406B">
            <w:pPr>
              <w:ind w:left="0"/>
              <w:jc w:val="center"/>
              <w:rPr>
                <w:rFonts w:cs="Calibri"/>
                <w:color w:val="000000"/>
                <w:szCs w:val="24"/>
              </w:rPr>
            </w:pPr>
            <w:r w:rsidRPr="00356942">
              <w:rPr>
                <w:rFonts w:cs="Calibri"/>
                <w:bCs/>
                <w:color w:val="000000"/>
                <w:szCs w:val="24"/>
              </w:rPr>
              <w:t>S</w:t>
            </w:r>
          </w:p>
        </w:tc>
        <w:tc>
          <w:tcPr>
            <w:tcW w:w="2160" w:type="dxa"/>
            <w:vAlign w:val="center"/>
          </w:tcPr>
          <w:p w14:paraId="1D83953C" w14:textId="3E3B435F" w:rsidR="0061579C" w:rsidRPr="00356942" w:rsidRDefault="0061579C" w:rsidP="00E2406B">
            <w:pPr>
              <w:ind w:left="0"/>
              <w:jc w:val="center"/>
              <w:rPr>
                <w:rFonts w:cs="Calibri"/>
                <w:bCs/>
                <w:color w:val="000000"/>
                <w:szCs w:val="24"/>
              </w:rPr>
            </w:pPr>
            <w:r w:rsidRPr="00356942">
              <w:rPr>
                <w:rFonts w:cs="Calibri"/>
                <w:bCs/>
                <w:color w:val="000000"/>
                <w:szCs w:val="24"/>
              </w:rPr>
              <w:t>DB2</w:t>
            </w:r>
            <w:r w:rsidR="00E64A01">
              <w:rPr>
                <w:rFonts w:cs="Calibri"/>
                <w:bCs/>
                <w:color w:val="000000"/>
                <w:szCs w:val="24"/>
              </w:rPr>
              <w:t>, FileNet</w:t>
            </w:r>
          </w:p>
        </w:tc>
        <w:tc>
          <w:tcPr>
            <w:tcW w:w="2160" w:type="dxa"/>
            <w:vAlign w:val="center"/>
          </w:tcPr>
          <w:p w14:paraId="5C00D8F1" w14:textId="77777777" w:rsidR="0061579C" w:rsidRPr="00356942" w:rsidRDefault="0061579C" w:rsidP="00E2406B">
            <w:pPr>
              <w:ind w:left="0"/>
              <w:jc w:val="center"/>
              <w:rPr>
                <w:rFonts w:cs="Calibri"/>
                <w:color w:val="000000"/>
                <w:szCs w:val="24"/>
              </w:rPr>
            </w:pPr>
            <w:r w:rsidRPr="00356942">
              <w:rPr>
                <w:rFonts w:cs="Calibri"/>
                <w:color w:val="000000"/>
                <w:szCs w:val="24"/>
              </w:rPr>
              <w:t>I</w:t>
            </w:r>
          </w:p>
        </w:tc>
      </w:tr>
      <w:tr w:rsidR="0061579C" w:rsidRPr="00873442" w14:paraId="23553ED5" w14:textId="77777777" w:rsidTr="00E2406B">
        <w:tc>
          <w:tcPr>
            <w:tcW w:w="3600" w:type="dxa"/>
            <w:vAlign w:val="center"/>
          </w:tcPr>
          <w:p w14:paraId="446C241B" w14:textId="77777777" w:rsidR="0061579C" w:rsidRPr="00356942" w:rsidRDefault="0061579C" w:rsidP="00E2406B">
            <w:pPr>
              <w:ind w:left="0"/>
              <w:rPr>
                <w:rFonts w:cs="Calibri"/>
                <w:szCs w:val="24"/>
              </w:rPr>
            </w:pPr>
            <w:r w:rsidRPr="00356942">
              <w:rPr>
                <w:rFonts w:cs="Calibri"/>
                <w:szCs w:val="24"/>
              </w:rPr>
              <w:t>Image Creation</w:t>
            </w:r>
          </w:p>
        </w:tc>
        <w:tc>
          <w:tcPr>
            <w:tcW w:w="2160" w:type="dxa"/>
            <w:vAlign w:val="center"/>
          </w:tcPr>
          <w:p w14:paraId="03B1E904" w14:textId="77777777" w:rsidR="0061579C" w:rsidRPr="00356942" w:rsidRDefault="0061579C" w:rsidP="00E2406B">
            <w:pPr>
              <w:ind w:left="0"/>
              <w:jc w:val="center"/>
              <w:rPr>
                <w:rFonts w:cs="Calibri"/>
                <w:color w:val="000000"/>
                <w:szCs w:val="24"/>
              </w:rPr>
            </w:pPr>
            <w:r w:rsidRPr="00356942">
              <w:rPr>
                <w:rFonts w:cs="Calibri"/>
                <w:bCs/>
                <w:color w:val="000000"/>
                <w:szCs w:val="24"/>
              </w:rPr>
              <w:t>D</w:t>
            </w:r>
          </w:p>
        </w:tc>
        <w:tc>
          <w:tcPr>
            <w:tcW w:w="2160" w:type="dxa"/>
            <w:vAlign w:val="center"/>
          </w:tcPr>
          <w:p w14:paraId="5B4503AF" w14:textId="77777777" w:rsidR="0061579C" w:rsidRPr="00356942" w:rsidRDefault="0061579C" w:rsidP="00E2406B">
            <w:pPr>
              <w:ind w:left="0"/>
              <w:jc w:val="center"/>
              <w:rPr>
                <w:rFonts w:cs="Calibri"/>
                <w:bCs/>
                <w:color w:val="000000"/>
                <w:szCs w:val="24"/>
              </w:rPr>
            </w:pPr>
            <w:r w:rsidRPr="00356942">
              <w:rPr>
                <w:rFonts w:cs="Calibri"/>
                <w:bCs/>
                <w:color w:val="000000"/>
                <w:szCs w:val="24"/>
              </w:rPr>
              <w:t>DB2</w:t>
            </w:r>
          </w:p>
        </w:tc>
        <w:tc>
          <w:tcPr>
            <w:tcW w:w="2160" w:type="dxa"/>
            <w:vAlign w:val="center"/>
          </w:tcPr>
          <w:p w14:paraId="01AB4A7D" w14:textId="77777777" w:rsidR="0061579C" w:rsidRPr="00356942" w:rsidRDefault="0061579C" w:rsidP="00E2406B">
            <w:pPr>
              <w:ind w:left="0"/>
              <w:jc w:val="center"/>
              <w:rPr>
                <w:rFonts w:cs="Calibri"/>
                <w:color w:val="000000"/>
                <w:szCs w:val="24"/>
              </w:rPr>
            </w:pPr>
            <w:r w:rsidRPr="00356942">
              <w:rPr>
                <w:rFonts w:cs="Calibri"/>
                <w:color w:val="000000"/>
                <w:szCs w:val="24"/>
              </w:rPr>
              <w:t>I</w:t>
            </w:r>
          </w:p>
        </w:tc>
      </w:tr>
      <w:tr w:rsidR="0061579C" w:rsidRPr="00873442" w14:paraId="2447BCF5" w14:textId="77777777" w:rsidTr="00E2406B">
        <w:tc>
          <w:tcPr>
            <w:tcW w:w="3600" w:type="dxa"/>
            <w:vAlign w:val="center"/>
          </w:tcPr>
          <w:p w14:paraId="1858254F" w14:textId="0E1F834C" w:rsidR="0061579C" w:rsidRPr="00356942" w:rsidRDefault="0061579C" w:rsidP="00E2406B">
            <w:pPr>
              <w:ind w:left="0"/>
              <w:rPr>
                <w:rFonts w:cs="Calibri"/>
                <w:szCs w:val="24"/>
              </w:rPr>
            </w:pPr>
            <w:r w:rsidRPr="00356942">
              <w:rPr>
                <w:rFonts w:cs="Calibri"/>
                <w:szCs w:val="24"/>
              </w:rPr>
              <w:t xml:space="preserve">Commission Appeals </w:t>
            </w:r>
            <w:r w:rsidR="00533DFA" w:rsidRPr="00356942">
              <w:rPr>
                <w:rFonts w:cs="Calibri"/>
                <w:szCs w:val="24"/>
              </w:rPr>
              <w:t>(CA)</w:t>
            </w:r>
            <w:r w:rsidR="00533DFA">
              <w:rPr>
                <w:rFonts w:cs="Calibri"/>
                <w:szCs w:val="24"/>
              </w:rPr>
              <w:t xml:space="preserve"> </w:t>
            </w:r>
            <w:r w:rsidRPr="00356942">
              <w:rPr>
                <w:rFonts w:cs="Calibri"/>
                <w:szCs w:val="24"/>
              </w:rPr>
              <w:t xml:space="preserve">Case Processor </w:t>
            </w:r>
          </w:p>
        </w:tc>
        <w:tc>
          <w:tcPr>
            <w:tcW w:w="2160" w:type="dxa"/>
            <w:vAlign w:val="center"/>
          </w:tcPr>
          <w:p w14:paraId="089C0D76" w14:textId="77777777" w:rsidR="0061579C" w:rsidRPr="00356942" w:rsidRDefault="0061579C" w:rsidP="00E2406B">
            <w:pPr>
              <w:ind w:left="0"/>
              <w:jc w:val="center"/>
              <w:rPr>
                <w:rFonts w:cs="Calibri"/>
                <w:color w:val="000000"/>
                <w:szCs w:val="24"/>
              </w:rPr>
            </w:pPr>
            <w:r w:rsidRPr="00356942">
              <w:rPr>
                <w:rFonts w:cs="Calibri"/>
                <w:bCs/>
                <w:color w:val="000000"/>
                <w:szCs w:val="24"/>
              </w:rPr>
              <w:t>D</w:t>
            </w:r>
          </w:p>
        </w:tc>
        <w:tc>
          <w:tcPr>
            <w:tcW w:w="2160" w:type="dxa"/>
            <w:vAlign w:val="center"/>
          </w:tcPr>
          <w:p w14:paraId="65BD1F76" w14:textId="660BDB01" w:rsidR="0061579C" w:rsidRPr="00356942" w:rsidRDefault="0061579C" w:rsidP="00E2406B">
            <w:pPr>
              <w:ind w:left="0"/>
              <w:jc w:val="center"/>
              <w:rPr>
                <w:rFonts w:cs="Calibri"/>
                <w:bCs/>
                <w:color w:val="000000"/>
                <w:szCs w:val="24"/>
              </w:rPr>
            </w:pPr>
            <w:r w:rsidRPr="00356942">
              <w:rPr>
                <w:rFonts w:cs="Calibri"/>
                <w:bCs/>
                <w:color w:val="000000"/>
                <w:szCs w:val="24"/>
              </w:rPr>
              <w:t>DB2</w:t>
            </w:r>
            <w:r w:rsidR="00E64A01">
              <w:rPr>
                <w:rFonts w:cs="Calibri"/>
                <w:bCs/>
                <w:color w:val="000000"/>
                <w:szCs w:val="24"/>
              </w:rPr>
              <w:t>, FileNet</w:t>
            </w:r>
          </w:p>
        </w:tc>
        <w:tc>
          <w:tcPr>
            <w:tcW w:w="2160" w:type="dxa"/>
            <w:vAlign w:val="center"/>
          </w:tcPr>
          <w:p w14:paraId="236CE988" w14:textId="77777777" w:rsidR="0061579C" w:rsidRPr="00356942" w:rsidRDefault="0061579C" w:rsidP="00E2406B">
            <w:pPr>
              <w:ind w:left="0"/>
              <w:jc w:val="center"/>
              <w:rPr>
                <w:rFonts w:cs="Calibri"/>
                <w:color w:val="000000"/>
                <w:szCs w:val="24"/>
              </w:rPr>
            </w:pPr>
            <w:r w:rsidRPr="00356942">
              <w:rPr>
                <w:rFonts w:cs="Calibri"/>
                <w:color w:val="000000"/>
                <w:szCs w:val="24"/>
              </w:rPr>
              <w:t>I</w:t>
            </w:r>
          </w:p>
        </w:tc>
      </w:tr>
      <w:tr w:rsidR="0061579C" w:rsidRPr="00873442" w14:paraId="4ECE8E2D" w14:textId="77777777" w:rsidTr="00E2406B">
        <w:tc>
          <w:tcPr>
            <w:tcW w:w="3600" w:type="dxa"/>
            <w:vAlign w:val="center"/>
          </w:tcPr>
          <w:p w14:paraId="6F28BF78" w14:textId="77777777" w:rsidR="0061579C" w:rsidRPr="00356942" w:rsidRDefault="0061579C" w:rsidP="00E2406B">
            <w:pPr>
              <w:ind w:left="0"/>
              <w:rPr>
                <w:rFonts w:cs="Calibri"/>
                <w:szCs w:val="24"/>
              </w:rPr>
            </w:pPr>
            <w:r w:rsidRPr="00356942">
              <w:rPr>
                <w:rFonts w:cs="Calibri"/>
                <w:szCs w:val="24"/>
              </w:rPr>
              <w:t>Remote Server</w:t>
            </w:r>
          </w:p>
        </w:tc>
        <w:tc>
          <w:tcPr>
            <w:tcW w:w="2160" w:type="dxa"/>
            <w:vAlign w:val="center"/>
          </w:tcPr>
          <w:p w14:paraId="09464ED7" w14:textId="77777777" w:rsidR="0061579C" w:rsidRPr="00356942" w:rsidRDefault="0061579C" w:rsidP="00E2406B">
            <w:pPr>
              <w:ind w:left="0"/>
              <w:jc w:val="center"/>
              <w:rPr>
                <w:rFonts w:cs="Calibri"/>
                <w:color w:val="000000"/>
                <w:szCs w:val="24"/>
              </w:rPr>
            </w:pPr>
            <w:r w:rsidRPr="00356942">
              <w:rPr>
                <w:rFonts w:cs="Calibri"/>
                <w:bCs/>
                <w:color w:val="000000"/>
                <w:szCs w:val="24"/>
              </w:rPr>
              <w:t>D</w:t>
            </w:r>
          </w:p>
        </w:tc>
        <w:tc>
          <w:tcPr>
            <w:tcW w:w="2160" w:type="dxa"/>
            <w:vAlign w:val="center"/>
          </w:tcPr>
          <w:p w14:paraId="694B457A" w14:textId="77777777" w:rsidR="0061579C" w:rsidRPr="00356942" w:rsidRDefault="0061579C" w:rsidP="00E2406B">
            <w:pPr>
              <w:ind w:left="0"/>
              <w:jc w:val="center"/>
              <w:rPr>
                <w:rFonts w:cs="Calibri"/>
                <w:bCs/>
                <w:color w:val="000000"/>
                <w:szCs w:val="24"/>
              </w:rPr>
            </w:pPr>
            <w:r w:rsidRPr="00356942">
              <w:rPr>
                <w:rFonts w:cs="Calibri"/>
                <w:bCs/>
                <w:color w:val="000000"/>
                <w:szCs w:val="24"/>
              </w:rPr>
              <w:t>DB2</w:t>
            </w:r>
          </w:p>
        </w:tc>
        <w:tc>
          <w:tcPr>
            <w:tcW w:w="2160" w:type="dxa"/>
            <w:vAlign w:val="center"/>
          </w:tcPr>
          <w:p w14:paraId="07B53C14" w14:textId="77777777" w:rsidR="0061579C" w:rsidRPr="00356942" w:rsidRDefault="0061579C" w:rsidP="00E2406B">
            <w:pPr>
              <w:ind w:left="0"/>
              <w:jc w:val="center"/>
              <w:rPr>
                <w:rFonts w:cs="Calibri"/>
                <w:color w:val="000000"/>
                <w:szCs w:val="24"/>
              </w:rPr>
            </w:pPr>
            <w:r w:rsidRPr="00356942">
              <w:rPr>
                <w:rFonts w:cs="Calibri"/>
                <w:color w:val="000000"/>
                <w:szCs w:val="24"/>
              </w:rPr>
              <w:t>I</w:t>
            </w:r>
          </w:p>
        </w:tc>
      </w:tr>
      <w:tr w:rsidR="0061579C" w:rsidRPr="00873442" w14:paraId="1D08A9A2" w14:textId="77777777" w:rsidTr="00E2406B">
        <w:tc>
          <w:tcPr>
            <w:tcW w:w="3600" w:type="dxa"/>
            <w:vAlign w:val="center"/>
          </w:tcPr>
          <w:p w14:paraId="6531360D" w14:textId="6A98612B" w:rsidR="0061579C" w:rsidRPr="00356942" w:rsidRDefault="0061579C" w:rsidP="00E2406B">
            <w:pPr>
              <w:ind w:left="0"/>
              <w:rPr>
                <w:rFonts w:cs="Calibri"/>
                <w:szCs w:val="24"/>
              </w:rPr>
            </w:pPr>
            <w:r w:rsidRPr="00356942">
              <w:rPr>
                <w:rFonts w:cs="Calibri"/>
                <w:szCs w:val="24"/>
              </w:rPr>
              <w:t>CA</w:t>
            </w:r>
            <w:r w:rsidR="008107B1">
              <w:rPr>
                <w:rFonts w:cs="Calibri"/>
                <w:szCs w:val="24"/>
              </w:rPr>
              <w:t xml:space="preserve"> Assigner</w:t>
            </w:r>
          </w:p>
        </w:tc>
        <w:tc>
          <w:tcPr>
            <w:tcW w:w="2160" w:type="dxa"/>
            <w:vAlign w:val="center"/>
          </w:tcPr>
          <w:p w14:paraId="2BF38B88" w14:textId="77777777" w:rsidR="0061579C" w:rsidRPr="00356942" w:rsidRDefault="0061579C" w:rsidP="00E2406B">
            <w:pPr>
              <w:ind w:left="0"/>
              <w:jc w:val="center"/>
              <w:rPr>
                <w:rFonts w:cs="Calibri"/>
                <w:color w:val="000000"/>
                <w:szCs w:val="24"/>
              </w:rPr>
            </w:pPr>
            <w:r w:rsidRPr="00356942">
              <w:rPr>
                <w:rFonts w:cs="Calibri"/>
                <w:bCs/>
                <w:color w:val="000000"/>
                <w:szCs w:val="24"/>
              </w:rPr>
              <w:t>D</w:t>
            </w:r>
          </w:p>
        </w:tc>
        <w:tc>
          <w:tcPr>
            <w:tcW w:w="2160" w:type="dxa"/>
            <w:vAlign w:val="center"/>
          </w:tcPr>
          <w:p w14:paraId="393CAF15" w14:textId="77777777" w:rsidR="0061579C" w:rsidRPr="00356942" w:rsidRDefault="0061579C" w:rsidP="00E2406B">
            <w:pPr>
              <w:ind w:left="0"/>
              <w:jc w:val="center"/>
              <w:rPr>
                <w:rFonts w:cs="Calibri"/>
                <w:bCs/>
                <w:color w:val="000000"/>
                <w:szCs w:val="24"/>
              </w:rPr>
            </w:pPr>
            <w:r w:rsidRPr="00356942">
              <w:rPr>
                <w:rFonts w:cs="Calibri"/>
                <w:bCs/>
                <w:color w:val="000000"/>
                <w:szCs w:val="24"/>
              </w:rPr>
              <w:t>DB2</w:t>
            </w:r>
          </w:p>
        </w:tc>
        <w:tc>
          <w:tcPr>
            <w:tcW w:w="2160" w:type="dxa"/>
            <w:vAlign w:val="center"/>
          </w:tcPr>
          <w:p w14:paraId="681587D3" w14:textId="77777777" w:rsidR="0061579C" w:rsidRPr="00356942" w:rsidRDefault="0061579C" w:rsidP="00E2406B">
            <w:pPr>
              <w:ind w:left="0"/>
              <w:jc w:val="center"/>
              <w:rPr>
                <w:rFonts w:cs="Calibri"/>
                <w:color w:val="000000"/>
                <w:szCs w:val="24"/>
              </w:rPr>
            </w:pPr>
            <w:r w:rsidRPr="00356942">
              <w:rPr>
                <w:rFonts w:cs="Calibri"/>
                <w:color w:val="000000"/>
                <w:szCs w:val="24"/>
              </w:rPr>
              <w:t>I</w:t>
            </w:r>
          </w:p>
        </w:tc>
      </w:tr>
      <w:tr w:rsidR="0061579C" w:rsidRPr="00873442" w14:paraId="2C5213D0" w14:textId="77777777" w:rsidTr="00E2406B">
        <w:tc>
          <w:tcPr>
            <w:tcW w:w="3600" w:type="dxa"/>
            <w:vAlign w:val="center"/>
          </w:tcPr>
          <w:p w14:paraId="7060689E" w14:textId="77777777" w:rsidR="0061579C" w:rsidRPr="00356942" w:rsidRDefault="0061579C" w:rsidP="00E2406B">
            <w:pPr>
              <w:ind w:left="0"/>
              <w:rPr>
                <w:rFonts w:cs="Calibri"/>
                <w:szCs w:val="24"/>
              </w:rPr>
            </w:pPr>
            <w:r w:rsidRPr="00356942">
              <w:rPr>
                <w:rFonts w:cs="Calibri"/>
                <w:szCs w:val="24"/>
              </w:rPr>
              <w:t>Reviewing Attorney Case Management (RACM)</w:t>
            </w:r>
          </w:p>
        </w:tc>
        <w:tc>
          <w:tcPr>
            <w:tcW w:w="2160" w:type="dxa"/>
            <w:vAlign w:val="center"/>
          </w:tcPr>
          <w:p w14:paraId="3D9A5B27" w14:textId="77777777" w:rsidR="0061579C" w:rsidRPr="00356942" w:rsidRDefault="0061579C" w:rsidP="00E2406B">
            <w:pPr>
              <w:ind w:left="0"/>
              <w:jc w:val="center"/>
              <w:rPr>
                <w:rFonts w:cs="Calibri"/>
                <w:color w:val="000000"/>
                <w:szCs w:val="24"/>
              </w:rPr>
            </w:pPr>
            <w:r w:rsidRPr="00356942">
              <w:rPr>
                <w:rFonts w:cs="Calibri"/>
                <w:bCs/>
                <w:color w:val="000000"/>
                <w:szCs w:val="24"/>
              </w:rPr>
              <w:t>D</w:t>
            </w:r>
          </w:p>
        </w:tc>
        <w:tc>
          <w:tcPr>
            <w:tcW w:w="2160" w:type="dxa"/>
            <w:vAlign w:val="center"/>
          </w:tcPr>
          <w:p w14:paraId="65A7B46B" w14:textId="77777777" w:rsidR="0061579C" w:rsidRPr="00356942" w:rsidRDefault="0061579C" w:rsidP="00E2406B">
            <w:pPr>
              <w:ind w:left="0"/>
              <w:jc w:val="center"/>
              <w:rPr>
                <w:rFonts w:cs="Calibri"/>
                <w:bCs/>
                <w:color w:val="000000"/>
                <w:szCs w:val="24"/>
              </w:rPr>
            </w:pPr>
            <w:r w:rsidRPr="00356942">
              <w:rPr>
                <w:rFonts w:cs="Calibri"/>
                <w:bCs/>
                <w:color w:val="000000"/>
                <w:szCs w:val="24"/>
              </w:rPr>
              <w:t>DB2</w:t>
            </w:r>
          </w:p>
        </w:tc>
        <w:tc>
          <w:tcPr>
            <w:tcW w:w="2160" w:type="dxa"/>
            <w:vAlign w:val="center"/>
          </w:tcPr>
          <w:p w14:paraId="6DC1511F" w14:textId="77777777" w:rsidR="0061579C" w:rsidRPr="00356942" w:rsidRDefault="0061579C" w:rsidP="00E2406B">
            <w:pPr>
              <w:ind w:left="0"/>
              <w:jc w:val="center"/>
              <w:rPr>
                <w:rFonts w:cs="Calibri"/>
                <w:color w:val="000000"/>
                <w:szCs w:val="24"/>
              </w:rPr>
            </w:pPr>
            <w:r w:rsidRPr="00356942">
              <w:rPr>
                <w:rFonts w:cs="Calibri"/>
                <w:color w:val="000000"/>
                <w:szCs w:val="24"/>
              </w:rPr>
              <w:t>I</w:t>
            </w:r>
          </w:p>
        </w:tc>
      </w:tr>
      <w:tr w:rsidR="0061579C" w:rsidRPr="00873442" w14:paraId="0C99FCDC" w14:textId="77777777" w:rsidTr="00E2406B">
        <w:tc>
          <w:tcPr>
            <w:tcW w:w="3600" w:type="dxa"/>
            <w:vAlign w:val="center"/>
          </w:tcPr>
          <w:p w14:paraId="63CEEEA6" w14:textId="77777777" w:rsidR="0061579C" w:rsidRPr="00356942" w:rsidRDefault="0061579C" w:rsidP="00E2406B">
            <w:pPr>
              <w:ind w:left="0"/>
              <w:rPr>
                <w:rFonts w:cs="Calibri"/>
                <w:szCs w:val="24"/>
              </w:rPr>
            </w:pPr>
            <w:r w:rsidRPr="00356942">
              <w:rPr>
                <w:rFonts w:cs="Calibri"/>
                <w:color w:val="000000"/>
                <w:szCs w:val="24"/>
              </w:rPr>
              <w:t>Archive/Conversion complete job - APDB910A</w:t>
            </w:r>
          </w:p>
        </w:tc>
        <w:tc>
          <w:tcPr>
            <w:tcW w:w="2160" w:type="dxa"/>
            <w:vAlign w:val="center"/>
          </w:tcPr>
          <w:p w14:paraId="14A63937" w14:textId="77777777" w:rsidR="0061579C" w:rsidRPr="00356942" w:rsidRDefault="0061579C" w:rsidP="00E2406B">
            <w:pPr>
              <w:ind w:left="0"/>
              <w:jc w:val="center"/>
              <w:rPr>
                <w:rFonts w:cs="Calibri"/>
                <w:color w:val="000000"/>
                <w:szCs w:val="24"/>
              </w:rPr>
            </w:pPr>
            <w:r w:rsidRPr="00356942">
              <w:rPr>
                <w:rFonts w:cs="Calibri"/>
                <w:bCs/>
                <w:color w:val="000000"/>
                <w:szCs w:val="24"/>
              </w:rPr>
              <w:t>M</w:t>
            </w:r>
          </w:p>
        </w:tc>
        <w:tc>
          <w:tcPr>
            <w:tcW w:w="2160" w:type="dxa"/>
            <w:vAlign w:val="center"/>
          </w:tcPr>
          <w:p w14:paraId="47ED9D77" w14:textId="77777777" w:rsidR="0061579C" w:rsidRPr="00356942" w:rsidRDefault="0061579C" w:rsidP="00E2406B">
            <w:pPr>
              <w:ind w:left="0"/>
              <w:jc w:val="center"/>
              <w:rPr>
                <w:rFonts w:cs="Calibri"/>
                <w:bCs/>
                <w:color w:val="000000"/>
                <w:szCs w:val="24"/>
              </w:rPr>
            </w:pPr>
            <w:r w:rsidRPr="00356942">
              <w:rPr>
                <w:rFonts w:cs="Calibri"/>
                <w:bCs/>
                <w:color w:val="000000"/>
                <w:szCs w:val="24"/>
              </w:rPr>
              <w:t>DB2</w:t>
            </w:r>
          </w:p>
        </w:tc>
        <w:tc>
          <w:tcPr>
            <w:tcW w:w="2160" w:type="dxa"/>
            <w:vAlign w:val="center"/>
          </w:tcPr>
          <w:p w14:paraId="01BEB7B3" w14:textId="77777777" w:rsidR="0061579C" w:rsidRPr="00356942" w:rsidRDefault="0061579C" w:rsidP="00E2406B">
            <w:pPr>
              <w:ind w:left="0"/>
              <w:jc w:val="center"/>
              <w:rPr>
                <w:rFonts w:cs="Calibri"/>
                <w:color w:val="000000"/>
                <w:szCs w:val="24"/>
              </w:rPr>
            </w:pPr>
            <w:r w:rsidRPr="00356942">
              <w:rPr>
                <w:rFonts w:cs="Calibri"/>
                <w:color w:val="000000"/>
                <w:szCs w:val="24"/>
              </w:rPr>
              <w:t>I</w:t>
            </w:r>
          </w:p>
        </w:tc>
      </w:tr>
      <w:bookmarkEnd w:id="36"/>
      <w:tr w:rsidR="0061579C" w:rsidRPr="00873442" w14:paraId="5D0D69EE" w14:textId="77777777" w:rsidTr="00E2406B">
        <w:tc>
          <w:tcPr>
            <w:tcW w:w="10080" w:type="dxa"/>
            <w:gridSpan w:val="4"/>
            <w:shd w:val="clear" w:color="auto" w:fill="D9D9D9" w:themeFill="background1" w:themeFillShade="D9"/>
            <w:vAlign w:val="center"/>
          </w:tcPr>
          <w:p w14:paraId="0A864B8F" w14:textId="6029425A" w:rsidR="0061579C" w:rsidRPr="00356942" w:rsidRDefault="004479DF" w:rsidP="00E2406B">
            <w:pPr>
              <w:ind w:left="0"/>
              <w:rPr>
                <w:rFonts w:cs="Calibri"/>
                <w:b/>
                <w:color w:val="000000"/>
              </w:rPr>
            </w:pPr>
            <w:r w:rsidRPr="00356942">
              <w:rPr>
                <w:rFonts w:cs="Calibri"/>
                <w:b/>
              </w:rPr>
              <w:t>No</w:t>
            </w:r>
            <w:r w:rsidR="00B73AC5">
              <w:rPr>
                <w:rFonts w:cs="Calibri"/>
                <w:b/>
              </w:rPr>
              <w:t>n-</w:t>
            </w:r>
            <w:r w:rsidRPr="00356942">
              <w:rPr>
                <w:rFonts w:cs="Calibri"/>
                <w:b/>
              </w:rPr>
              <w:t>UI</w:t>
            </w:r>
            <w:r w:rsidR="00B73AC5">
              <w:rPr>
                <w:rFonts w:cs="Calibri"/>
                <w:b/>
              </w:rPr>
              <w:t xml:space="preserve"> systems that</w:t>
            </w:r>
            <w:r w:rsidR="0061579C" w:rsidRPr="00356942">
              <w:rPr>
                <w:rFonts w:cs="Calibri"/>
                <w:b/>
              </w:rPr>
              <w:t xml:space="preserve"> use Benefits data</w:t>
            </w:r>
          </w:p>
        </w:tc>
      </w:tr>
      <w:tr w:rsidR="0061579C" w:rsidRPr="00873442" w14:paraId="1EC1F871" w14:textId="77777777" w:rsidTr="00E2406B">
        <w:tc>
          <w:tcPr>
            <w:tcW w:w="3600" w:type="dxa"/>
            <w:vAlign w:val="center"/>
          </w:tcPr>
          <w:p w14:paraId="66A5BADC" w14:textId="640C91BB" w:rsidR="0061579C" w:rsidRPr="00356942" w:rsidRDefault="001A42F1" w:rsidP="00E2406B">
            <w:pPr>
              <w:ind w:left="0"/>
              <w:rPr>
                <w:rFonts w:cs="Calibri"/>
                <w:szCs w:val="24"/>
              </w:rPr>
            </w:pPr>
            <w:r w:rsidRPr="00417BB4">
              <w:rPr>
                <w:rFonts w:cstheme="minorHAnsi"/>
              </w:rPr>
              <w:t xml:space="preserve">Tele-Center </w:t>
            </w:r>
            <w:r>
              <w:t>Collection of Applications for the State of Texas (</w:t>
            </w:r>
            <w:r>
              <w:rPr>
                <w:rFonts w:cstheme="minorHAnsi"/>
              </w:rPr>
              <w:t>CAST)</w:t>
            </w:r>
          </w:p>
        </w:tc>
        <w:tc>
          <w:tcPr>
            <w:tcW w:w="2160" w:type="dxa"/>
            <w:vAlign w:val="center"/>
          </w:tcPr>
          <w:p w14:paraId="7EFE7657" w14:textId="29E35A47" w:rsidR="0061579C" w:rsidRPr="00356942" w:rsidRDefault="00CC7356" w:rsidP="00E2406B">
            <w:pPr>
              <w:ind w:left="0"/>
              <w:jc w:val="center"/>
              <w:rPr>
                <w:rFonts w:cs="Calibri"/>
                <w:color w:val="000000"/>
                <w:szCs w:val="24"/>
              </w:rPr>
            </w:pPr>
            <w:r>
              <w:rPr>
                <w:rFonts w:cs="Calibri"/>
                <w:bCs/>
                <w:color w:val="000000"/>
                <w:szCs w:val="24"/>
              </w:rPr>
              <w:t>S</w:t>
            </w:r>
          </w:p>
        </w:tc>
        <w:tc>
          <w:tcPr>
            <w:tcW w:w="2160" w:type="dxa"/>
            <w:vAlign w:val="center"/>
          </w:tcPr>
          <w:p w14:paraId="030EE171" w14:textId="5231FEF2" w:rsidR="0061579C" w:rsidRPr="00356942" w:rsidRDefault="0061579C" w:rsidP="00E2406B">
            <w:pPr>
              <w:ind w:left="0"/>
              <w:jc w:val="center"/>
              <w:rPr>
                <w:rFonts w:cs="Calibri"/>
                <w:bCs/>
                <w:color w:val="000000"/>
                <w:szCs w:val="24"/>
              </w:rPr>
            </w:pPr>
            <w:r w:rsidRPr="00356942">
              <w:rPr>
                <w:rFonts w:cs="Calibri"/>
                <w:bCs/>
                <w:color w:val="000000"/>
                <w:szCs w:val="24"/>
              </w:rPr>
              <w:t>DB2</w:t>
            </w:r>
            <w:r w:rsidR="00CC7356">
              <w:rPr>
                <w:rFonts w:cs="Calibri"/>
                <w:bCs/>
                <w:color w:val="000000"/>
                <w:szCs w:val="24"/>
              </w:rPr>
              <w:t>, SQL Server</w:t>
            </w:r>
          </w:p>
        </w:tc>
        <w:tc>
          <w:tcPr>
            <w:tcW w:w="2160" w:type="dxa"/>
            <w:vAlign w:val="center"/>
          </w:tcPr>
          <w:p w14:paraId="6CEB6D03" w14:textId="77777777" w:rsidR="0061579C" w:rsidRPr="00356942" w:rsidRDefault="0061579C" w:rsidP="00E2406B">
            <w:pPr>
              <w:ind w:left="0"/>
              <w:jc w:val="center"/>
              <w:rPr>
                <w:rFonts w:cs="Calibri"/>
                <w:color w:val="000000"/>
                <w:szCs w:val="24"/>
              </w:rPr>
            </w:pPr>
            <w:r w:rsidRPr="00356942">
              <w:rPr>
                <w:rFonts w:cs="Calibri"/>
                <w:color w:val="000000"/>
                <w:szCs w:val="24"/>
              </w:rPr>
              <w:t>I</w:t>
            </w:r>
          </w:p>
        </w:tc>
      </w:tr>
      <w:tr w:rsidR="0061579C" w:rsidRPr="00873442" w14:paraId="45AA4608" w14:textId="77777777" w:rsidTr="00E2406B">
        <w:tc>
          <w:tcPr>
            <w:tcW w:w="3600" w:type="dxa"/>
            <w:vAlign w:val="center"/>
          </w:tcPr>
          <w:p w14:paraId="1264C445" w14:textId="2B06832B" w:rsidR="0061579C" w:rsidRPr="00356942" w:rsidRDefault="0069308D" w:rsidP="00E2406B">
            <w:pPr>
              <w:ind w:left="0"/>
              <w:rPr>
                <w:rFonts w:cs="Calibri"/>
                <w:szCs w:val="24"/>
              </w:rPr>
            </w:pPr>
            <w:r>
              <w:rPr>
                <w:szCs w:val="24"/>
              </w:rPr>
              <w:t>Interactive Voice Response (</w:t>
            </w:r>
            <w:r w:rsidR="0061579C" w:rsidRPr="00356942">
              <w:rPr>
                <w:rFonts w:cs="Calibri"/>
                <w:color w:val="000000"/>
                <w:szCs w:val="24"/>
              </w:rPr>
              <w:t>IVR</w:t>
            </w:r>
            <w:r>
              <w:rPr>
                <w:rFonts w:cs="Calibri"/>
                <w:color w:val="000000"/>
                <w:szCs w:val="24"/>
              </w:rPr>
              <w:t>)</w:t>
            </w:r>
          </w:p>
        </w:tc>
        <w:tc>
          <w:tcPr>
            <w:tcW w:w="2160" w:type="dxa"/>
            <w:vAlign w:val="center"/>
          </w:tcPr>
          <w:p w14:paraId="3ECA4DE7" w14:textId="77777777" w:rsidR="0061579C" w:rsidRPr="00356942" w:rsidRDefault="0061579C" w:rsidP="00E2406B">
            <w:pPr>
              <w:ind w:left="0"/>
              <w:jc w:val="center"/>
              <w:rPr>
                <w:rFonts w:cs="Calibri"/>
                <w:color w:val="000000"/>
                <w:szCs w:val="24"/>
              </w:rPr>
            </w:pPr>
            <w:r w:rsidRPr="00356942">
              <w:rPr>
                <w:rFonts w:cs="Calibri"/>
                <w:bCs/>
                <w:color w:val="000000"/>
                <w:szCs w:val="24"/>
              </w:rPr>
              <w:t>M</w:t>
            </w:r>
          </w:p>
        </w:tc>
        <w:tc>
          <w:tcPr>
            <w:tcW w:w="2160" w:type="dxa"/>
            <w:vAlign w:val="center"/>
          </w:tcPr>
          <w:p w14:paraId="721B71A7" w14:textId="77777777" w:rsidR="0061579C" w:rsidRPr="00356942" w:rsidRDefault="0061579C" w:rsidP="00E2406B">
            <w:pPr>
              <w:ind w:left="0"/>
              <w:jc w:val="center"/>
              <w:rPr>
                <w:rFonts w:cs="Calibri"/>
                <w:bCs/>
                <w:color w:val="000000"/>
                <w:szCs w:val="24"/>
              </w:rPr>
            </w:pPr>
            <w:r w:rsidRPr="00356942">
              <w:rPr>
                <w:rFonts w:cs="Calibri"/>
                <w:bCs/>
                <w:color w:val="000000"/>
                <w:szCs w:val="24"/>
              </w:rPr>
              <w:t>DB2</w:t>
            </w:r>
          </w:p>
        </w:tc>
        <w:tc>
          <w:tcPr>
            <w:tcW w:w="2160" w:type="dxa"/>
            <w:vAlign w:val="center"/>
          </w:tcPr>
          <w:p w14:paraId="21E41299" w14:textId="177A787D" w:rsidR="0061579C" w:rsidRPr="00356942" w:rsidRDefault="00CC7356" w:rsidP="00E2406B">
            <w:pPr>
              <w:ind w:left="0"/>
              <w:jc w:val="center"/>
              <w:rPr>
                <w:rFonts w:cs="Calibri"/>
                <w:color w:val="000000"/>
                <w:szCs w:val="24"/>
              </w:rPr>
            </w:pPr>
            <w:r>
              <w:rPr>
                <w:rFonts w:cs="Calibri"/>
                <w:color w:val="000000"/>
                <w:szCs w:val="24"/>
              </w:rPr>
              <w:t>I/</w:t>
            </w:r>
            <w:r w:rsidR="0061579C" w:rsidRPr="00356942">
              <w:rPr>
                <w:rFonts w:cs="Calibri"/>
                <w:color w:val="000000"/>
                <w:szCs w:val="24"/>
              </w:rPr>
              <w:t>E</w:t>
            </w:r>
          </w:p>
        </w:tc>
      </w:tr>
      <w:tr w:rsidR="002F40E1" w:rsidRPr="00356942" w14:paraId="01D9DA60" w14:textId="77777777" w:rsidTr="00485A62">
        <w:tc>
          <w:tcPr>
            <w:tcW w:w="3600" w:type="dxa"/>
            <w:vAlign w:val="center"/>
          </w:tcPr>
          <w:p w14:paraId="04C7C5E0" w14:textId="77777777" w:rsidR="002F40E1" w:rsidRPr="00356942" w:rsidRDefault="002F40E1" w:rsidP="00485A62">
            <w:pPr>
              <w:ind w:left="0"/>
              <w:rPr>
                <w:rFonts w:cs="Calibri"/>
                <w:color w:val="000000"/>
                <w:szCs w:val="24"/>
              </w:rPr>
            </w:pPr>
            <w:r w:rsidRPr="006316FE">
              <w:rPr>
                <w:rFonts w:cs="Calibri"/>
                <w:color w:val="000000"/>
                <w:szCs w:val="24"/>
              </w:rPr>
              <w:t>EAGLE</w:t>
            </w:r>
          </w:p>
        </w:tc>
        <w:tc>
          <w:tcPr>
            <w:tcW w:w="2160" w:type="dxa"/>
            <w:vAlign w:val="center"/>
          </w:tcPr>
          <w:p w14:paraId="7EFEDC5E" w14:textId="77777777" w:rsidR="002F40E1" w:rsidRPr="00356942" w:rsidRDefault="002F40E1" w:rsidP="00485A62">
            <w:pPr>
              <w:ind w:left="0"/>
              <w:jc w:val="center"/>
              <w:rPr>
                <w:rFonts w:cs="Calibri"/>
                <w:bCs/>
                <w:color w:val="000000"/>
                <w:szCs w:val="24"/>
              </w:rPr>
            </w:pPr>
            <w:r w:rsidRPr="006316FE">
              <w:rPr>
                <w:rFonts w:cs="Calibri"/>
                <w:bCs/>
                <w:color w:val="000000"/>
                <w:szCs w:val="24"/>
              </w:rPr>
              <w:t>M (data only)</w:t>
            </w:r>
          </w:p>
        </w:tc>
        <w:tc>
          <w:tcPr>
            <w:tcW w:w="2160" w:type="dxa"/>
            <w:vAlign w:val="center"/>
          </w:tcPr>
          <w:p w14:paraId="1258F29E" w14:textId="77777777" w:rsidR="002F40E1" w:rsidRPr="00356942" w:rsidRDefault="002F40E1" w:rsidP="00485A62">
            <w:pPr>
              <w:ind w:left="0"/>
              <w:jc w:val="center"/>
              <w:rPr>
                <w:rFonts w:cs="Calibri"/>
                <w:bCs/>
                <w:color w:val="000000"/>
                <w:szCs w:val="24"/>
              </w:rPr>
            </w:pPr>
            <w:r w:rsidRPr="006316FE">
              <w:rPr>
                <w:rFonts w:cs="Calibri"/>
                <w:bCs/>
                <w:color w:val="000000"/>
                <w:szCs w:val="24"/>
              </w:rPr>
              <w:t>DB2</w:t>
            </w:r>
          </w:p>
        </w:tc>
        <w:tc>
          <w:tcPr>
            <w:tcW w:w="2160" w:type="dxa"/>
            <w:vAlign w:val="center"/>
          </w:tcPr>
          <w:p w14:paraId="79606399" w14:textId="77777777" w:rsidR="002F40E1" w:rsidRPr="00356942" w:rsidRDefault="002F40E1" w:rsidP="00485A62">
            <w:pPr>
              <w:ind w:left="0"/>
              <w:jc w:val="center"/>
              <w:rPr>
                <w:rFonts w:cs="Calibri"/>
                <w:color w:val="000000"/>
                <w:szCs w:val="24"/>
              </w:rPr>
            </w:pPr>
            <w:r>
              <w:rPr>
                <w:rFonts w:cs="Calibri"/>
                <w:color w:val="000000"/>
                <w:szCs w:val="24"/>
              </w:rPr>
              <w:t>E</w:t>
            </w:r>
          </w:p>
        </w:tc>
      </w:tr>
      <w:tr w:rsidR="0061579C" w:rsidRPr="00873442" w14:paraId="3684EC49" w14:textId="77777777" w:rsidTr="00E2406B">
        <w:tc>
          <w:tcPr>
            <w:tcW w:w="3600" w:type="dxa"/>
            <w:vAlign w:val="center"/>
          </w:tcPr>
          <w:p w14:paraId="304D8191" w14:textId="12BDA57E" w:rsidR="0061579C" w:rsidRPr="00356942" w:rsidRDefault="0061579C" w:rsidP="00E2406B">
            <w:pPr>
              <w:ind w:left="0"/>
              <w:rPr>
                <w:rFonts w:cs="Calibri"/>
                <w:szCs w:val="24"/>
              </w:rPr>
            </w:pPr>
            <w:bookmarkStart w:id="38" w:name="_Hlk531076783"/>
            <w:r w:rsidRPr="00356942">
              <w:rPr>
                <w:rFonts w:cs="Calibri"/>
                <w:color w:val="000000"/>
                <w:szCs w:val="24"/>
              </w:rPr>
              <w:t xml:space="preserve">Clear2There </w:t>
            </w:r>
            <w:r w:rsidR="003C545A" w:rsidRPr="008C2C58">
              <w:rPr>
                <w:rFonts w:cs="Arial"/>
                <w:snapToGrid w:val="0"/>
                <w:color w:val="000000"/>
                <w:szCs w:val="24"/>
              </w:rPr>
              <w:t>File Transfer Protocol</w:t>
            </w:r>
            <w:r w:rsidR="003C545A" w:rsidRPr="00356942">
              <w:rPr>
                <w:rFonts w:cs="Calibri"/>
                <w:color w:val="000000"/>
                <w:szCs w:val="24"/>
              </w:rPr>
              <w:t xml:space="preserve"> </w:t>
            </w:r>
            <w:r w:rsidR="003C545A">
              <w:rPr>
                <w:rFonts w:cs="Calibri"/>
                <w:color w:val="000000"/>
                <w:szCs w:val="24"/>
              </w:rPr>
              <w:t>(</w:t>
            </w:r>
            <w:r w:rsidRPr="00356942">
              <w:rPr>
                <w:rFonts w:cs="Calibri"/>
                <w:color w:val="000000"/>
                <w:szCs w:val="24"/>
              </w:rPr>
              <w:t>FTP</w:t>
            </w:r>
            <w:r w:rsidR="003C545A">
              <w:rPr>
                <w:rFonts w:cs="Calibri"/>
                <w:color w:val="000000"/>
                <w:szCs w:val="24"/>
              </w:rPr>
              <w:t>)</w:t>
            </w:r>
            <w:r w:rsidRPr="00356942">
              <w:rPr>
                <w:rFonts w:cs="Calibri"/>
                <w:color w:val="000000"/>
                <w:szCs w:val="24"/>
              </w:rPr>
              <w:t xml:space="preserve"> Jobs</w:t>
            </w:r>
          </w:p>
        </w:tc>
        <w:tc>
          <w:tcPr>
            <w:tcW w:w="2160" w:type="dxa"/>
            <w:vAlign w:val="center"/>
          </w:tcPr>
          <w:p w14:paraId="2870574B" w14:textId="348B7AD8" w:rsidR="0061579C" w:rsidRPr="00356942" w:rsidRDefault="00485A62" w:rsidP="00E2406B">
            <w:pPr>
              <w:ind w:left="0"/>
              <w:jc w:val="center"/>
              <w:rPr>
                <w:rFonts w:cs="Calibri"/>
                <w:color w:val="000000"/>
                <w:szCs w:val="24"/>
              </w:rPr>
            </w:pPr>
            <w:r>
              <w:rPr>
                <w:rFonts w:cs="Calibri"/>
                <w:bCs/>
                <w:color w:val="000000"/>
                <w:szCs w:val="24"/>
              </w:rPr>
              <w:t>M</w:t>
            </w:r>
          </w:p>
        </w:tc>
        <w:tc>
          <w:tcPr>
            <w:tcW w:w="2160" w:type="dxa"/>
            <w:vAlign w:val="center"/>
          </w:tcPr>
          <w:p w14:paraId="78D193E3" w14:textId="77777777" w:rsidR="0061579C" w:rsidRPr="00356942" w:rsidRDefault="0061579C" w:rsidP="00E2406B">
            <w:pPr>
              <w:ind w:left="0"/>
              <w:jc w:val="center"/>
              <w:rPr>
                <w:rFonts w:cs="Calibri"/>
                <w:bCs/>
                <w:color w:val="000000"/>
                <w:szCs w:val="24"/>
              </w:rPr>
            </w:pPr>
            <w:r w:rsidRPr="00356942">
              <w:rPr>
                <w:rFonts w:cs="Calibri"/>
                <w:bCs/>
                <w:color w:val="000000"/>
                <w:szCs w:val="24"/>
              </w:rPr>
              <w:t>DB2</w:t>
            </w:r>
          </w:p>
        </w:tc>
        <w:tc>
          <w:tcPr>
            <w:tcW w:w="2160" w:type="dxa"/>
            <w:vAlign w:val="center"/>
          </w:tcPr>
          <w:p w14:paraId="1B235BC9" w14:textId="5B8C7E4D" w:rsidR="0061579C" w:rsidRPr="00356942" w:rsidRDefault="00AA7E52" w:rsidP="00E2406B">
            <w:pPr>
              <w:ind w:left="0"/>
              <w:jc w:val="center"/>
              <w:rPr>
                <w:rFonts w:cs="Calibri"/>
                <w:color w:val="000000"/>
                <w:szCs w:val="24"/>
              </w:rPr>
            </w:pPr>
            <w:r>
              <w:rPr>
                <w:rFonts w:cs="Calibri"/>
                <w:color w:val="000000"/>
                <w:szCs w:val="24"/>
              </w:rPr>
              <w:t>E</w:t>
            </w:r>
          </w:p>
        </w:tc>
      </w:tr>
      <w:bookmarkEnd w:id="38"/>
      <w:tr w:rsidR="0061579C" w:rsidRPr="00873442" w14:paraId="7F00ECD7" w14:textId="77777777" w:rsidTr="00E2406B">
        <w:tc>
          <w:tcPr>
            <w:tcW w:w="10080" w:type="dxa"/>
            <w:gridSpan w:val="4"/>
            <w:shd w:val="clear" w:color="auto" w:fill="D9D9D9" w:themeFill="background1" w:themeFillShade="D9"/>
            <w:vAlign w:val="center"/>
          </w:tcPr>
          <w:p w14:paraId="24698430" w14:textId="539D8B84" w:rsidR="0061579C" w:rsidRPr="00356942" w:rsidRDefault="00B73AC5" w:rsidP="00E2406B">
            <w:pPr>
              <w:ind w:left="0"/>
              <w:rPr>
                <w:rFonts w:cs="Calibri"/>
                <w:color w:val="000000"/>
                <w:szCs w:val="24"/>
              </w:rPr>
            </w:pPr>
            <w:r w:rsidRPr="00356942">
              <w:rPr>
                <w:rFonts w:cs="Calibri"/>
                <w:b/>
              </w:rPr>
              <w:t>No</w:t>
            </w:r>
            <w:r>
              <w:rPr>
                <w:rFonts w:cs="Calibri"/>
                <w:b/>
              </w:rPr>
              <w:t>n-</w:t>
            </w:r>
            <w:r w:rsidRPr="00356942">
              <w:rPr>
                <w:rFonts w:cs="Calibri"/>
                <w:b/>
              </w:rPr>
              <w:t>UI</w:t>
            </w:r>
            <w:r>
              <w:rPr>
                <w:rFonts w:cs="Calibri"/>
                <w:b/>
              </w:rPr>
              <w:t xml:space="preserve"> systems that</w:t>
            </w:r>
            <w:r w:rsidRPr="00356942">
              <w:rPr>
                <w:rFonts w:cs="Calibri"/>
                <w:b/>
              </w:rPr>
              <w:t xml:space="preserve"> use </w:t>
            </w:r>
            <w:r w:rsidR="0061579C">
              <w:rPr>
                <w:rFonts w:cs="Calibri"/>
                <w:b/>
              </w:rPr>
              <w:t>Tax</w:t>
            </w:r>
            <w:r w:rsidR="0061579C" w:rsidRPr="00356942">
              <w:rPr>
                <w:rFonts w:cs="Calibri"/>
                <w:b/>
              </w:rPr>
              <w:t xml:space="preserve"> data</w:t>
            </w:r>
          </w:p>
        </w:tc>
      </w:tr>
      <w:tr w:rsidR="0061579C" w:rsidRPr="00873442" w14:paraId="23BE22C1" w14:textId="77777777" w:rsidTr="00E2406B">
        <w:tc>
          <w:tcPr>
            <w:tcW w:w="3600" w:type="dxa"/>
            <w:vAlign w:val="center"/>
          </w:tcPr>
          <w:p w14:paraId="618AF847" w14:textId="77777777" w:rsidR="0061579C" w:rsidRPr="006316FE" w:rsidRDefault="0061579C" w:rsidP="00E2406B">
            <w:pPr>
              <w:ind w:left="0"/>
              <w:rPr>
                <w:rFonts w:cs="Calibri"/>
                <w:color w:val="000000"/>
                <w:szCs w:val="24"/>
              </w:rPr>
            </w:pPr>
            <w:r w:rsidRPr="006316FE">
              <w:rPr>
                <w:rFonts w:cs="Calibri"/>
                <w:color w:val="000000"/>
                <w:szCs w:val="24"/>
              </w:rPr>
              <w:t>Open Records</w:t>
            </w:r>
          </w:p>
        </w:tc>
        <w:tc>
          <w:tcPr>
            <w:tcW w:w="2160" w:type="dxa"/>
            <w:vAlign w:val="center"/>
          </w:tcPr>
          <w:p w14:paraId="2B63A585" w14:textId="77777777" w:rsidR="0061579C" w:rsidRPr="006316FE" w:rsidRDefault="0061579C" w:rsidP="00E2406B">
            <w:pPr>
              <w:ind w:left="0"/>
              <w:jc w:val="center"/>
              <w:rPr>
                <w:rFonts w:cs="Calibri"/>
                <w:bCs/>
                <w:color w:val="000000"/>
                <w:szCs w:val="24"/>
              </w:rPr>
            </w:pPr>
            <w:r w:rsidRPr="006316FE">
              <w:rPr>
                <w:rFonts w:cs="Calibri"/>
                <w:bCs/>
                <w:color w:val="000000"/>
                <w:szCs w:val="24"/>
              </w:rPr>
              <w:t>M (batch)</w:t>
            </w:r>
          </w:p>
        </w:tc>
        <w:tc>
          <w:tcPr>
            <w:tcW w:w="2160" w:type="dxa"/>
            <w:vAlign w:val="center"/>
          </w:tcPr>
          <w:p w14:paraId="28D19E1C" w14:textId="77777777" w:rsidR="0061579C" w:rsidRPr="006316FE" w:rsidRDefault="0061579C" w:rsidP="00E2406B">
            <w:pPr>
              <w:ind w:left="0"/>
              <w:jc w:val="center"/>
              <w:rPr>
                <w:rFonts w:cs="Calibri"/>
                <w:bCs/>
                <w:color w:val="000000"/>
                <w:szCs w:val="24"/>
              </w:rPr>
            </w:pPr>
            <w:r w:rsidRPr="006316FE">
              <w:rPr>
                <w:rFonts w:cs="Calibri"/>
                <w:bCs/>
                <w:color w:val="000000"/>
                <w:szCs w:val="24"/>
              </w:rPr>
              <w:t>DB2, VSAM, QSAM</w:t>
            </w:r>
          </w:p>
        </w:tc>
        <w:tc>
          <w:tcPr>
            <w:tcW w:w="2160" w:type="dxa"/>
            <w:vAlign w:val="center"/>
          </w:tcPr>
          <w:p w14:paraId="0CAB53E5" w14:textId="77777777" w:rsidR="0061579C" w:rsidRPr="006316FE" w:rsidRDefault="0061579C" w:rsidP="00E2406B">
            <w:pPr>
              <w:ind w:left="0"/>
              <w:jc w:val="center"/>
              <w:rPr>
                <w:rFonts w:cs="Calibri"/>
                <w:color w:val="000000"/>
                <w:szCs w:val="24"/>
              </w:rPr>
            </w:pPr>
            <w:r w:rsidRPr="006316FE">
              <w:rPr>
                <w:rFonts w:cs="Calibri"/>
                <w:color w:val="000000"/>
                <w:szCs w:val="24"/>
              </w:rPr>
              <w:t> </w:t>
            </w:r>
            <w:r>
              <w:rPr>
                <w:rFonts w:cs="Calibri"/>
                <w:color w:val="000000"/>
                <w:szCs w:val="24"/>
              </w:rPr>
              <w:t>E</w:t>
            </w:r>
          </w:p>
        </w:tc>
      </w:tr>
      <w:tr w:rsidR="0061579C" w:rsidRPr="00873442" w14:paraId="0E2FBC52" w14:textId="77777777" w:rsidTr="00E2406B">
        <w:tc>
          <w:tcPr>
            <w:tcW w:w="3600" w:type="dxa"/>
            <w:vAlign w:val="center"/>
          </w:tcPr>
          <w:p w14:paraId="5048002F" w14:textId="77777777" w:rsidR="0061579C" w:rsidRPr="006316FE" w:rsidRDefault="0061579C" w:rsidP="00E2406B">
            <w:pPr>
              <w:ind w:left="0"/>
              <w:rPr>
                <w:rFonts w:cs="Calibri"/>
                <w:color w:val="000000"/>
                <w:szCs w:val="24"/>
              </w:rPr>
            </w:pPr>
            <w:r w:rsidRPr="006316FE">
              <w:rPr>
                <w:rFonts w:cs="Calibri"/>
                <w:color w:val="000000"/>
                <w:szCs w:val="24"/>
              </w:rPr>
              <w:t>Magnetic Media</w:t>
            </w:r>
          </w:p>
        </w:tc>
        <w:tc>
          <w:tcPr>
            <w:tcW w:w="2160" w:type="dxa"/>
            <w:vAlign w:val="center"/>
          </w:tcPr>
          <w:p w14:paraId="753BDC25" w14:textId="77777777" w:rsidR="0061579C" w:rsidRPr="006316FE" w:rsidRDefault="0061579C" w:rsidP="00E2406B">
            <w:pPr>
              <w:ind w:left="0"/>
              <w:jc w:val="center"/>
              <w:rPr>
                <w:rFonts w:cs="Calibri"/>
                <w:bCs/>
                <w:color w:val="000000"/>
                <w:szCs w:val="24"/>
              </w:rPr>
            </w:pPr>
            <w:r w:rsidRPr="006316FE">
              <w:rPr>
                <w:rFonts w:cs="Calibri"/>
                <w:bCs/>
                <w:color w:val="000000"/>
                <w:szCs w:val="24"/>
              </w:rPr>
              <w:t>M (CICS and batch)</w:t>
            </w:r>
          </w:p>
        </w:tc>
        <w:tc>
          <w:tcPr>
            <w:tcW w:w="2160" w:type="dxa"/>
            <w:vAlign w:val="center"/>
          </w:tcPr>
          <w:p w14:paraId="147965D0" w14:textId="77777777" w:rsidR="0061579C" w:rsidRPr="006316FE" w:rsidRDefault="0061579C" w:rsidP="00E2406B">
            <w:pPr>
              <w:ind w:left="0"/>
              <w:jc w:val="center"/>
              <w:rPr>
                <w:rFonts w:cs="Calibri"/>
                <w:bCs/>
                <w:color w:val="000000"/>
                <w:szCs w:val="24"/>
              </w:rPr>
            </w:pPr>
            <w:r w:rsidRPr="006316FE">
              <w:rPr>
                <w:rFonts w:cs="Calibri"/>
                <w:bCs/>
                <w:color w:val="000000"/>
                <w:szCs w:val="24"/>
              </w:rPr>
              <w:t>QSAM</w:t>
            </w:r>
          </w:p>
        </w:tc>
        <w:tc>
          <w:tcPr>
            <w:tcW w:w="2160" w:type="dxa"/>
            <w:vAlign w:val="center"/>
          </w:tcPr>
          <w:p w14:paraId="1043A579" w14:textId="77777777" w:rsidR="0061579C" w:rsidRPr="006316FE" w:rsidRDefault="0061579C" w:rsidP="00E2406B">
            <w:pPr>
              <w:ind w:left="0"/>
              <w:jc w:val="center"/>
              <w:rPr>
                <w:rFonts w:cs="Calibri"/>
                <w:color w:val="000000"/>
                <w:szCs w:val="24"/>
              </w:rPr>
            </w:pPr>
            <w:r w:rsidRPr="006316FE">
              <w:rPr>
                <w:rFonts w:cs="Calibri"/>
                <w:color w:val="000000"/>
                <w:szCs w:val="24"/>
              </w:rPr>
              <w:t> </w:t>
            </w:r>
            <w:r>
              <w:rPr>
                <w:rFonts w:cs="Calibri"/>
                <w:color w:val="000000"/>
                <w:szCs w:val="24"/>
              </w:rPr>
              <w:t>I</w:t>
            </w:r>
          </w:p>
        </w:tc>
      </w:tr>
      <w:tr w:rsidR="0061579C" w:rsidRPr="00873442" w14:paraId="75D4E565" w14:textId="77777777" w:rsidTr="00E2406B">
        <w:tc>
          <w:tcPr>
            <w:tcW w:w="3600" w:type="dxa"/>
            <w:vAlign w:val="center"/>
          </w:tcPr>
          <w:p w14:paraId="58585374" w14:textId="77777777" w:rsidR="0061579C" w:rsidRPr="006316FE" w:rsidRDefault="0061579C" w:rsidP="00E2406B">
            <w:pPr>
              <w:ind w:left="0"/>
              <w:rPr>
                <w:rFonts w:cs="Calibri"/>
                <w:color w:val="000000"/>
                <w:szCs w:val="24"/>
              </w:rPr>
            </w:pPr>
            <w:r w:rsidRPr="006316FE">
              <w:rPr>
                <w:rFonts w:cs="Calibri"/>
                <w:color w:val="000000"/>
                <w:szCs w:val="24"/>
              </w:rPr>
              <w:lastRenderedPageBreak/>
              <w:t>Electronic Correspondence</w:t>
            </w:r>
          </w:p>
        </w:tc>
        <w:tc>
          <w:tcPr>
            <w:tcW w:w="2160" w:type="dxa"/>
            <w:vAlign w:val="center"/>
          </w:tcPr>
          <w:p w14:paraId="4F8675C9" w14:textId="77777777" w:rsidR="0061579C" w:rsidRPr="006316FE" w:rsidRDefault="0061579C" w:rsidP="00E2406B">
            <w:pPr>
              <w:ind w:left="0"/>
              <w:jc w:val="center"/>
              <w:rPr>
                <w:rFonts w:cs="Calibri"/>
                <w:bCs/>
                <w:color w:val="000000"/>
                <w:szCs w:val="24"/>
              </w:rPr>
            </w:pPr>
            <w:r w:rsidRPr="006316FE">
              <w:rPr>
                <w:rFonts w:cs="Calibri"/>
                <w:bCs/>
                <w:color w:val="000000"/>
                <w:szCs w:val="24"/>
              </w:rPr>
              <w:t>S (part of UITAXSERV)</w:t>
            </w:r>
          </w:p>
        </w:tc>
        <w:tc>
          <w:tcPr>
            <w:tcW w:w="2160" w:type="dxa"/>
            <w:vAlign w:val="center"/>
          </w:tcPr>
          <w:p w14:paraId="74618864" w14:textId="680A0A5A" w:rsidR="0061579C" w:rsidRPr="006316FE" w:rsidRDefault="006C027A" w:rsidP="00E2406B">
            <w:pPr>
              <w:ind w:left="0"/>
              <w:jc w:val="center"/>
              <w:rPr>
                <w:rFonts w:cs="Calibri"/>
                <w:bCs/>
                <w:color w:val="000000"/>
                <w:szCs w:val="24"/>
              </w:rPr>
            </w:pPr>
            <w:r>
              <w:rPr>
                <w:rFonts w:cs="Calibri"/>
                <w:bCs/>
                <w:color w:val="000000"/>
                <w:szCs w:val="24"/>
              </w:rPr>
              <w:t>IBM FileNet</w:t>
            </w:r>
            <w:r w:rsidR="0061579C" w:rsidRPr="006316FE">
              <w:rPr>
                <w:rFonts w:cs="Calibri"/>
                <w:bCs/>
                <w:color w:val="000000"/>
                <w:szCs w:val="24"/>
              </w:rPr>
              <w:t>, DB2</w:t>
            </w:r>
          </w:p>
        </w:tc>
        <w:tc>
          <w:tcPr>
            <w:tcW w:w="2160" w:type="dxa"/>
            <w:vAlign w:val="center"/>
          </w:tcPr>
          <w:p w14:paraId="5CBA6581" w14:textId="77777777" w:rsidR="0061579C" w:rsidRPr="006316FE" w:rsidRDefault="0061579C" w:rsidP="00E2406B">
            <w:pPr>
              <w:ind w:left="0"/>
              <w:jc w:val="center"/>
              <w:rPr>
                <w:rFonts w:cs="Calibri"/>
                <w:color w:val="000000"/>
                <w:szCs w:val="24"/>
              </w:rPr>
            </w:pPr>
            <w:r w:rsidRPr="006316FE">
              <w:rPr>
                <w:rFonts w:cs="Calibri"/>
                <w:color w:val="000000"/>
                <w:szCs w:val="24"/>
              </w:rPr>
              <w:t> </w:t>
            </w:r>
            <w:r>
              <w:rPr>
                <w:rFonts w:cs="Calibri"/>
                <w:color w:val="000000"/>
                <w:szCs w:val="24"/>
              </w:rPr>
              <w:t>E</w:t>
            </w:r>
          </w:p>
        </w:tc>
      </w:tr>
      <w:tr w:rsidR="0061579C" w:rsidRPr="00873442" w14:paraId="0D03BBF2" w14:textId="77777777" w:rsidTr="00E2406B">
        <w:tc>
          <w:tcPr>
            <w:tcW w:w="3600" w:type="dxa"/>
            <w:vAlign w:val="center"/>
          </w:tcPr>
          <w:p w14:paraId="0371443D" w14:textId="77777777" w:rsidR="0061579C" w:rsidRPr="006316FE" w:rsidRDefault="0061579C" w:rsidP="00E2406B">
            <w:pPr>
              <w:ind w:left="0"/>
              <w:rPr>
                <w:rFonts w:cs="Calibri"/>
                <w:color w:val="000000"/>
                <w:szCs w:val="24"/>
              </w:rPr>
            </w:pPr>
            <w:r w:rsidRPr="006316FE">
              <w:rPr>
                <w:rFonts w:cs="Calibri"/>
                <w:color w:val="000000"/>
                <w:szCs w:val="24"/>
              </w:rPr>
              <w:t>Secure FTP project</w:t>
            </w:r>
          </w:p>
        </w:tc>
        <w:tc>
          <w:tcPr>
            <w:tcW w:w="2160" w:type="dxa"/>
            <w:vAlign w:val="center"/>
          </w:tcPr>
          <w:p w14:paraId="2B53850B" w14:textId="77777777" w:rsidR="0061579C" w:rsidRPr="006316FE" w:rsidRDefault="0061579C" w:rsidP="00E2406B">
            <w:pPr>
              <w:ind w:left="0"/>
              <w:jc w:val="center"/>
              <w:rPr>
                <w:rFonts w:cs="Calibri"/>
                <w:bCs/>
                <w:color w:val="000000"/>
                <w:szCs w:val="24"/>
              </w:rPr>
            </w:pPr>
            <w:r w:rsidRPr="006316FE">
              <w:rPr>
                <w:rFonts w:cs="Calibri"/>
                <w:bCs/>
                <w:color w:val="000000"/>
                <w:szCs w:val="24"/>
              </w:rPr>
              <w:t>M (batch), S</w:t>
            </w:r>
          </w:p>
        </w:tc>
        <w:tc>
          <w:tcPr>
            <w:tcW w:w="2160" w:type="dxa"/>
            <w:vAlign w:val="center"/>
          </w:tcPr>
          <w:p w14:paraId="3E23C945" w14:textId="77777777" w:rsidR="0061579C" w:rsidRPr="006316FE" w:rsidRDefault="0061579C" w:rsidP="00E2406B">
            <w:pPr>
              <w:ind w:left="0"/>
              <w:jc w:val="center"/>
              <w:rPr>
                <w:rFonts w:cs="Calibri"/>
                <w:bCs/>
                <w:color w:val="000000"/>
                <w:szCs w:val="24"/>
              </w:rPr>
            </w:pPr>
            <w:r w:rsidRPr="006316FE">
              <w:rPr>
                <w:rFonts w:cs="Calibri"/>
                <w:bCs/>
                <w:color w:val="000000"/>
                <w:szCs w:val="24"/>
              </w:rPr>
              <w:t>QSAM</w:t>
            </w:r>
          </w:p>
        </w:tc>
        <w:tc>
          <w:tcPr>
            <w:tcW w:w="2160" w:type="dxa"/>
            <w:vAlign w:val="center"/>
          </w:tcPr>
          <w:p w14:paraId="7DED2079" w14:textId="77777777" w:rsidR="0061579C" w:rsidRPr="006316FE" w:rsidRDefault="0061579C" w:rsidP="00E2406B">
            <w:pPr>
              <w:ind w:left="0"/>
              <w:jc w:val="center"/>
              <w:rPr>
                <w:rFonts w:cs="Calibri"/>
                <w:color w:val="000000"/>
                <w:szCs w:val="24"/>
              </w:rPr>
            </w:pPr>
            <w:r w:rsidRPr="006316FE">
              <w:rPr>
                <w:rFonts w:cs="Calibri"/>
                <w:color w:val="000000"/>
                <w:szCs w:val="24"/>
              </w:rPr>
              <w:t> </w:t>
            </w:r>
            <w:r>
              <w:rPr>
                <w:rFonts w:cs="Calibri"/>
                <w:color w:val="000000"/>
                <w:szCs w:val="24"/>
              </w:rPr>
              <w:t>E</w:t>
            </w:r>
          </w:p>
        </w:tc>
      </w:tr>
      <w:tr w:rsidR="0061579C" w:rsidRPr="00873442" w14:paraId="14231FBB" w14:textId="77777777" w:rsidTr="00E2406B">
        <w:tc>
          <w:tcPr>
            <w:tcW w:w="3600" w:type="dxa"/>
            <w:vAlign w:val="center"/>
          </w:tcPr>
          <w:p w14:paraId="634DDB4C" w14:textId="77777777" w:rsidR="0061579C" w:rsidRPr="006316FE" w:rsidRDefault="0061579C" w:rsidP="00E2406B">
            <w:pPr>
              <w:ind w:left="0"/>
              <w:rPr>
                <w:rFonts w:cs="Calibri"/>
                <w:color w:val="000000"/>
                <w:szCs w:val="24"/>
              </w:rPr>
            </w:pPr>
            <w:r w:rsidRPr="006316FE">
              <w:rPr>
                <w:rFonts w:cs="Calibri"/>
                <w:color w:val="000000"/>
                <w:szCs w:val="24"/>
              </w:rPr>
              <w:t>EAGLE</w:t>
            </w:r>
          </w:p>
        </w:tc>
        <w:tc>
          <w:tcPr>
            <w:tcW w:w="2160" w:type="dxa"/>
            <w:vAlign w:val="center"/>
          </w:tcPr>
          <w:p w14:paraId="3CE2EF24" w14:textId="77777777" w:rsidR="0061579C" w:rsidRPr="006316FE" w:rsidRDefault="0061579C" w:rsidP="00E2406B">
            <w:pPr>
              <w:ind w:left="0"/>
              <w:jc w:val="center"/>
              <w:rPr>
                <w:rFonts w:cs="Calibri"/>
                <w:bCs/>
                <w:color w:val="000000"/>
                <w:szCs w:val="24"/>
              </w:rPr>
            </w:pPr>
            <w:r w:rsidRPr="006316FE">
              <w:rPr>
                <w:rFonts w:cs="Calibri"/>
                <w:bCs/>
                <w:color w:val="000000"/>
                <w:szCs w:val="24"/>
              </w:rPr>
              <w:t>M (data only)</w:t>
            </w:r>
          </w:p>
        </w:tc>
        <w:tc>
          <w:tcPr>
            <w:tcW w:w="2160" w:type="dxa"/>
            <w:vAlign w:val="center"/>
          </w:tcPr>
          <w:p w14:paraId="68FD0D92" w14:textId="77777777" w:rsidR="0061579C" w:rsidRPr="006316FE" w:rsidRDefault="0061579C" w:rsidP="00E2406B">
            <w:pPr>
              <w:ind w:left="0"/>
              <w:jc w:val="center"/>
              <w:rPr>
                <w:rFonts w:cs="Calibri"/>
                <w:bCs/>
                <w:color w:val="000000"/>
                <w:szCs w:val="24"/>
              </w:rPr>
            </w:pPr>
            <w:r w:rsidRPr="006316FE">
              <w:rPr>
                <w:rFonts w:cs="Calibri"/>
                <w:bCs/>
                <w:color w:val="000000"/>
                <w:szCs w:val="24"/>
              </w:rPr>
              <w:t>DB2</w:t>
            </w:r>
          </w:p>
        </w:tc>
        <w:tc>
          <w:tcPr>
            <w:tcW w:w="2160" w:type="dxa"/>
            <w:vAlign w:val="center"/>
          </w:tcPr>
          <w:p w14:paraId="4EFE7D8B" w14:textId="77777777" w:rsidR="0061579C" w:rsidRPr="006316FE" w:rsidRDefault="0061579C" w:rsidP="00E2406B">
            <w:pPr>
              <w:ind w:left="0"/>
              <w:jc w:val="center"/>
              <w:rPr>
                <w:rFonts w:cs="Calibri"/>
                <w:color w:val="000000"/>
                <w:szCs w:val="24"/>
              </w:rPr>
            </w:pPr>
            <w:r w:rsidRPr="006316FE">
              <w:rPr>
                <w:rFonts w:cs="Calibri"/>
                <w:color w:val="000000"/>
                <w:szCs w:val="24"/>
              </w:rPr>
              <w:t> </w:t>
            </w:r>
            <w:r>
              <w:rPr>
                <w:rFonts w:cs="Calibri"/>
                <w:color w:val="000000"/>
                <w:szCs w:val="24"/>
              </w:rPr>
              <w:t>E</w:t>
            </w:r>
          </w:p>
        </w:tc>
      </w:tr>
      <w:tr w:rsidR="0061579C" w:rsidRPr="00873442" w14:paraId="262CFD25" w14:textId="77777777" w:rsidTr="00E2406B">
        <w:tc>
          <w:tcPr>
            <w:tcW w:w="3600" w:type="dxa"/>
            <w:vAlign w:val="center"/>
          </w:tcPr>
          <w:p w14:paraId="2285016F" w14:textId="77777777" w:rsidR="0061579C" w:rsidRPr="006316FE" w:rsidRDefault="0061579C" w:rsidP="00E2406B">
            <w:pPr>
              <w:ind w:left="0"/>
              <w:rPr>
                <w:rFonts w:cs="Calibri"/>
                <w:color w:val="000000"/>
                <w:szCs w:val="24"/>
              </w:rPr>
            </w:pPr>
            <w:r w:rsidRPr="006316FE">
              <w:rPr>
                <w:rFonts w:cs="Calibri"/>
                <w:color w:val="000000"/>
                <w:szCs w:val="24"/>
              </w:rPr>
              <w:t>External Partner Usage Reports</w:t>
            </w:r>
          </w:p>
        </w:tc>
        <w:tc>
          <w:tcPr>
            <w:tcW w:w="2160" w:type="dxa"/>
            <w:vAlign w:val="center"/>
          </w:tcPr>
          <w:p w14:paraId="6394B126" w14:textId="77777777" w:rsidR="0061579C" w:rsidRPr="006316FE" w:rsidRDefault="0061579C" w:rsidP="00E2406B">
            <w:pPr>
              <w:ind w:left="0"/>
              <w:jc w:val="center"/>
              <w:rPr>
                <w:rFonts w:cs="Calibri"/>
                <w:bCs/>
                <w:color w:val="000000"/>
                <w:szCs w:val="24"/>
              </w:rPr>
            </w:pPr>
            <w:r w:rsidRPr="006316FE">
              <w:rPr>
                <w:rFonts w:cs="Calibri"/>
                <w:bCs/>
                <w:color w:val="000000"/>
                <w:szCs w:val="24"/>
              </w:rPr>
              <w:t xml:space="preserve">M (batch) </w:t>
            </w:r>
          </w:p>
        </w:tc>
        <w:tc>
          <w:tcPr>
            <w:tcW w:w="2160" w:type="dxa"/>
            <w:vAlign w:val="center"/>
          </w:tcPr>
          <w:p w14:paraId="5A5CF6FD" w14:textId="77777777" w:rsidR="0061579C" w:rsidRPr="006316FE" w:rsidRDefault="0061579C" w:rsidP="00E2406B">
            <w:pPr>
              <w:ind w:left="0"/>
              <w:jc w:val="center"/>
              <w:rPr>
                <w:rFonts w:cs="Calibri"/>
                <w:bCs/>
                <w:color w:val="000000"/>
                <w:szCs w:val="24"/>
              </w:rPr>
            </w:pPr>
            <w:r w:rsidRPr="006316FE">
              <w:rPr>
                <w:rFonts w:cs="Calibri"/>
                <w:bCs/>
                <w:color w:val="000000"/>
                <w:szCs w:val="24"/>
              </w:rPr>
              <w:t>DB2, VSAM, QSAM</w:t>
            </w:r>
          </w:p>
        </w:tc>
        <w:tc>
          <w:tcPr>
            <w:tcW w:w="2160" w:type="dxa"/>
            <w:vAlign w:val="center"/>
          </w:tcPr>
          <w:p w14:paraId="3B7C2F3D" w14:textId="77777777" w:rsidR="0061579C" w:rsidRPr="006316FE" w:rsidRDefault="0061579C" w:rsidP="00E2406B">
            <w:pPr>
              <w:ind w:left="0"/>
              <w:jc w:val="center"/>
              <w:rPr>
                <w:rFonts w:cs="Calibri"/>
                <w:color w:val="000000"/>
                <w:szCs w:val="24"/>
              </w:rPr>
            </w:pPr>
            <w:r w:rsidRPr="006316FE">
              <w:rPr>
                <w:rFonts w:cs="Calibri"/>
                <w:color w:val="000000"/>
                <w:szCs w:val="24"/>
              </w:rPr>
              <w:t> </w:t>
            </w:r>
            <w:r>
              <w:rPr>
                <w:rFonts w:cs="Calibri"/>
                <w:color w:val="000000"/>
                <w:szCs w:val="24"/>
              </w:rPr>
              <w:t>E</w:t>
            </w:r>
          </w:p>
        </w:tc>
      </w:tr>
      <w:tr w:rsidR="0061579C" w:rsidRPr="00873442" w14:paraId="69B56FCC" w14:textId="77777777" w:rsidTr="00E2406B">
        <w:tc>
          <w:tcPr>
            <w:tcW w:w="3600" w:type="dxa"/>
            <w:vAlign w:val="center"/>
          </w:tcPr>
          <w:p w14:paraId="26F840F2" w14:textId="117D4AE9" w:rsidR="0061579C" w:rsidRPr="006316FE" w:rsidRDefault="003C545A" w:rsidP="00E2406B">
            <w:pPr>
              <w:ind w:left="0"/>
              <w:rPr>
                <w:rFonts w:cs="Calibri"/>
                <w:color w:val="000000"/>
                <w:szCs w:val="24"/>
              </w:rPr>
            </w:pPr>
            <w:r w:rsidRPr="006316FE">
              <w:rPr>
                <w:rFonts w:cs="Calibri"/>
                <w:color w:val="000000"/>
                <w:szCs w:val="24"/>
              </w:rPr>
              <w:t xml:space="preserve">Work Opportunity Tax Credit </w:t>
            </w:r>
            <w:r w:rsidR="0061579C" w:rsidRPr="006316FE">
              <w:rPr>
                <w:rFonts w:cs="Calibri"/>
                <w:color w:val="000000"/>
                <w:szCs w:val="24"/>
              </w:rPr>
              <w:t>(</w:t>
            </w:r>
            <w:r w:rsidRPr="006316FE">
              <w:rPr>
                <w:rFonts w:cs="Calibri"/>
                <w:color w:val="000000"/>
                <w:szCs w:val="24"/>
              </w:rPr>
              <w:t>WOTC</w:t>
            </w:r>
            <w:r w:rsidR="0061579C" w:rsidRPr="006316FE">
              <w:rPr>
                <w:rFonts w:cs="Calibri"/>
                <w:color w:val="000000"/>
                <w:szCs w:val="24"/>
              </w:rPr>
              <w:t>)</w:t>
            </w:r>
          </w:p>
        </w:tc>
        <w:tc>
          <w:tcPr>
            <w:tcW w:w="2160" w:type="dxa"/>
            <w:vAlign w:val="center"/>
          </w:tcPr>
          <w:p w14:paraId="1CE048DA" w14:textId="77777777" w:rsidR="0061579C" w:rsidRPr="006316FE" w:rsidRDefault="0061579C" w:rsidP="00E2406B">
            <w:pPr>
              <w:ind w:left="0"/>
              <w:jc w:val="center"/>
              <w:rPr>
                <w:rFonts w:cs="Calibri"/>
                <w:bCs/>
                <w:color w:val="000000"/>
                <w:szCs w:val="24"/>
              </w:rPr>
            </w:pPr>
            <w:r w:rsidRPr="006316FE">
              <w:rPr>
                <w:rFonts w:cs="Calibri"/>
                <w:bCs/>
                <w:color w:val="000000"/>
                <w:szCs w:val="24"/>
              </w:rPr>
              <w:t>M (CICS and batch)</w:t>
            </w:r>
          </w:p>
        </w:tc>
        <w:tc>
          <w:tcPr>
            <w:tcW w:w="2160" w:type="dxa"/>
            <w:vAlign w:val="center"/>
          </w:tcPr>
          <w:p w14:paraId="63578ADD" w14:textId="77777777" w:rsidR="0061579C" w:rsidRPr="006316FE" w:rsidRDefault="0061579C" w:rsidP="00E2406B">
            <w:pPr>
              <w:ind w:left="0"/>
              <w:jc w:val="center"/>
              <w:rPr>
                <w:rFonts w:cs="Calibri"/>
                <w:bCs/>
                <w:color w:val="000000"/>
                <w:szCs w:val="24"/>
              </w:rPr>
            </w:pPr>
            <w:r w:rsidRPr="006316FE">
              <w:rPr>
                <w:rFonts w:cs="Calibri"/>
                <w:bCs/>
                <w:color w:val="000000"/>
                <w:szCs w:val="24"/>
              </w:rPr>
              <w:t>VSAM, QSAM</w:t>
            </w:r>
          </w:p>
        </w:tc>
        <w:tc>
          <w:tcPr>
            <w:tcW w:w="2160" w:type="dxa"/>
            <w:vAlign w:val="center"/>
          </w:tcPr>
          <w:p w14:paraId="30773EEA" w14:textId="77777777" w:rsidR="0061579C" w:rsidRPr="006316FE" w:rsidRDefault="0061579C" w:rsidP="00E2406B">
            <w:pPr>
              <w:ind w:left="0"/>
              <w:jc w:val="center"/>
              <w:rPr>
                <w:rFonts w:cs="Calibri"/>
                <w:color w:val="000000"/>
                <w:szCs w:val="24"/>
              </w:rPr>
            </w:pPr>
            <w:r w:rsidRPr="006316FE">
              <w:rPr>
                <w:rFonts w:cs="Calibri"/>
                <w:color w:val="000000"/>
                <w:szCs w:val="24"/>
              </w:rPr>
              <w:t> </w:t>
            </w:r>
            <w:r>
              <w:rPr>
                <w:rFonts w:cs="Calibri"/>
                <w:color w:val="000000"/>
                <w:szCs w:val="24"/>
              </w:rPr>
              <w:t>E</w:t>
            </w:r>
          </w:p>
        </w:tc>
      </w:tr>
      <w:tr w:rsidR="0061579C" w:rsidRPr="00873442" w14:paraId="30A791C9" w14:textId="77777777" w:rsidTr="00E2406B">
        <w:tc>
          <w:tcPr>
            <w:tcW w:w="10080" w:type="dxa"/>
            <w:gridSpan w:val="4"/>
            <w:shd w:val="clear" w:color="auto" w:fill="D9D9D9" w:themeFill="background1" w:themeFillShade="D9"/>
            <w:vAlign w:val="center"/>
          </w:tcPr>
          <w:p w14:paraId="708EC850" w14:textId="5DFE19AC" w:rsidR="0061579C" w:rsidRPr="006316FE" w:rsidRDefault="00B73AC5" w:rsidP="00E2406B">
            <w:pPr>
              <w:ind w:left="0"/>
              <w:rPr>
                <w:rFonts w:cs="Calibri"/>
                <w:b/>
              </w:rPr>
            </w:pPr>
            <w:r w:rsidRPr="00356942">
              <w:rPr>
                <w:rFonts w:cs="Calibri"/>
                <w:b/>
              </w:rPr>
              <w:t>No</w:t>
            </w:r>
            <w:r>
              <w:rPr>
                <w:rFonts w:cs="Calibri"/>
                <w:b/>
              </w:rPr>
              <w:t>n-</w:t>
            </w:r>
            <w:r w:rsidRPr="00356942">
              <w:rPr>
                <w:rFonts w:cs="Calibri"/>
                <w:b/>
              </w:rPr>
              <w:t>UI</w:t>
            </w:r>
            <w:r>
              <w:rPr>
                <w:rFonts w:cs="Calibri"/>
                <w:b/>
              </w:rPr>
              <w:t xml:space="preserve"> systems </w:t>
            </w:r>
          </w:p>
        </w:tc>
      </w:tr>
      <w:tr w:rsidR="0061579C" w:rsidRPr="00873442" w14:paraId="1CEDA886" w14:textId="77777777" w:rsidTr="00E2406B">
        <w:tc>
          <w:tcPr>
            <w:tcW w:w="3600" w:type="dxa"/>
            <w:vAlign w:val="center"/>
          </w:tcPr>
          <w:p w14:paraId="27909514" w14:textId="77777777" w:rsidR="0061579C" w:rsidRPr="006316FE" w:rsidRDefault="0061579C" w:rsidP="00E2406B">
            <w:pPr>
              <w:ind w:left="0"/>
              <w:rPr>
                <w:rFonts w:cs="Calibri"/>
                <w:color w:val="000000"/>
                <w:szCs w:val="24"/>
              </w:rPr>
            </w:pPr>
            <w:r w:rsidRPr="006316FE">
              <w:rPr>
                <w:rFonts w:cs="Calibri"/>
                <w:color w:val="000000"/>
                <w:szCs w:val="24"/>
              </w:rPr>
              <w:t>Labor Law (Payday)</w:t>
            </w:r>
          </w:p>
        </w:tc>
        <w:tc>
          <w:tcPr>
            <w:tcW w:w="2160" w:type="dxa"/>
            <w:vAlign w:val="center"/>
          </w:tcPr>
          <w:p w14:paraId="70B3D78F" w14:textId="77777777" w:rsidR="0061579C" w:rsidRPr="006316FE" w:rsidRDefault="0061579C" w:rsidP="00E2406B">
            <w:pPr>
              <w:ind w:left="0"/>
              <w:jc w:val="center"/>
              <w:rPr>
                <w:rFonts w:cs="Calibri"/>
                <w:bCs/>
                <w:color w:val="000000"/>
                <w:szCs w:val="24"/>
              </w:rPr>
            </w:pPr>
            <w:r w:rsidRPr="006316FE">
              <w:rPr>
                <w:rFonts w:cs="Calibri"/>
                <w:bCs/>
                <w:color w:val="000000"/>
                <w:szCs w:val="24"/>
              </w:rPr>
              <w:t>M (batch, WebSphere) and S</w:t>
            </w:r>
          </w:p>
        </w:tc>
        <w:tc>
          <w:tcPr>
            <w:tcW w:w="2160" w:type="dxa"/>
            <w:vAlign w:val="center"/>
          </w:tcPr>
          <w:p w14:paraId="3E618B1A" w14:textId="77777777" w:rsidR="0061579C" w:rsidRPr="006316FE" w:rsidRDefault="0061579C" w:rsidP="00E2406B">
            <w:pPr>
              <w:ind w:left="0"/>
              <w:jc w:val="center"/>
              <w:rPr>
                <w:rFonts w:cs="Calibri"/>
                <w:bCs/>
                <w:color w:val="000000"/>
                <w:szCs w:val="24"/>
              </w:rPr>
            </w:pPr>
            <w:r w:rsidRPr="006316FE">
              <w:rPr>
                <w:rFonts w:cs="Calibri"/>
                <w:bCs/>
                <w:color w:val="000000"/>
                <w:szCs w:val="24"/>
              </w:rPr>
              <w:t>DB2, QSAM</w:t>
            </w:r>
          </w:p>
        </w:tc>
        <w:tc>
          <w:tcPr>
            <w:tcW w:w="2160" w:type="dxa"/>
            <w:vAlign w:val="center"/>
          </w:tcPr>
          <w:p w14:paraId="3F222B8D" w14:textId="77777777" w:rsidR="0061579C" w:rsidRPr="006316FE" w:rsidRDefault="0061579C" w:rsidP="00E2406B">
            <w:pPr>
              <w:ind w:left="0"/>
              <w:jc w:val="center"/>
              <w:rPr>
                <w:rFonts w:cs="Calibri"/>
                <w:color w:val="000000"/>
                <w:szCs w:val="24"/>
              </w:rPr>
            </w:pPr>
            <w:r w:rsidRPr="006316FE">
              <w:rPr>
                <w:rFonts w:cs="Calibri"/>
                <w:color w:val="000000"/>
                <w:szCs w:val="24"/>
              </w:rPr>
              <w:t> </w:t>
            </w:r>
            <w:r>
              <w:rPr>
                <w:rFonts w:cs="Calibri"/>
                <w:color w:val="000000"/>
                <w:szCs w:val="24"/>
              </w:rPr>
              <w:t>I</w:t>
            </w:r>
          </w:p>
        </w:tc>
      </w:tr>
      <w:tr w:rsidR="0061579C" w:rsidRPr="00873442" w14:paraId="7E6FC6C2" w14:textId="77777777" w:rsidTr="00E2406B">
        <w:tc>
          <w:tcPr>
            <w:tcW w:w="3600" w:type="dxa"/>
            <w:vAlign w:val="center"/>
          </w:tcPr>
          <w:p w14:paraId="6466F086" w14:textId="47A2B0DB" w:rsidR="0061579C" w:rsidRPr="006316FE" w:rsidRDefault="00E22127" w:rsidP="00E2406B">
            <w:pPr>
              <w:ind w:left="0"/>
              <w:rPr>
                <w:rFonts w:cs="Calibri"/>
                <w:color w:val="000000"/>
                <w:szCs w:val="24"/>
              </w:rPr>
            </w:pPr>
            <w:r>
              <w:rPr>
                <w:rFonts w:cs="Calibri"/>
                <w:color w:val="000000"/>
                <w:szCs w:val="24"/>
              </w:rPr>
              <w:t>Online Wage Claim</w:t>
            </w:r>
          </w:p>
        </w:tc>
        <w:tc>
          <w:tcPr>
            <w:tcW w:w="2160" w:type="dxa"/>
            <w:vAlign w:val="center"/>
          </w:tcPr>
          <w:p w14:paraId="5C262855" w14:textId="31AAB35A" w:rsidR="0061579C" w:rsidRPr="006316FE" w:rsidRDefault="0061579C" w:rsidP="00E2406B">
            <w:pPr>
              <w:ind w:left="0"/>
              <w:jc w:val="center"/>
              <w:rPr>
                <w:rFonts w:cs="Calibri"/>
                <w:bCs/>
                <w:color w:val="000000"/>
                <w:szCs w:val="24"/>
              </w:rPr>
            </w:pPr>
            <w:r w:rsidRPr="006316FE">
              <w:rPr>
                <w:rFonts w:cs="Calibri"/>
                <w:bCs/>
                <w:color w:val="000000"/>
                <w:szCs w:val="24"/>
              </w:rPr>
              <w:t>S</w:t>
            </w:r>
            <w:r w:rsidR="00EE5622">
              <w:rPr>
                <w:rFonts w:cs="Calibri"/>
                <w:bCs/>
                <w:color w:val="000000"/>
                <w:szCs w:val="24"/>
              </w:rPr>
              <w:t xml:space="preserve"> </w:t>
            </w:r>
          </w:p>
        </w:tc>
        <w:tc>
          <w:tcPr>
            <w:tcW w:w="2160" w:type="dxa"/>
            <w:vAlign w:val="center"/>
          </w:tcPr>
          <w:p w14:paraId="3EE6350C" w14:textId="77777777" w:rsidR="0061579C" w:rsidRPr="006316FE" w:rsidRDefault="0061579C" w:rsidP="00E2406B">
            <w:pPr>
              <w:ind w:left="0"/>
              <w:jc w:val="center"/>
              <w:rPr>
                <w:rFonts w:cs="Calibri"/>
                <w:bCs/>
                <w:color w:val="000000"/>
                <w:szCs w:val="24"/>
              </w:rPr>
            </w:pPr>
            <w:r w:rsidRPr="006316FE">
              <w:rPr>
                <w:rFonts w:cs="Calibri"/>
                <w:bCs/>
                <w:color w:val="000000"/>
                <w:szCs w:val="24"/>
              </w:rPr>
              <w:t>DB2</w:t>
            </w:r>
          </w:p>
        </w:tc>
        <w:tc>
          <w:tcPr>
            <w:tcW w:w="2160" w:type="dxa"/>
            <w:vAlign w:val="center"/>
          </w:tcPr>
          <w:p w14:paraId="208DE3FB" w14:textId="77777777" w:rsidR="0061579C" w:rsidRPr="006316FE" w:rsidRDefault="0061579C" w:rsidP="00E2406B">
            <w:pPr>
              <w:ind w:left="0"/>
              <w:jc w:val="center"/>
              <w:rPr>
                <w:rFonts w:cs="Calibri"/>
                <w:color w:val="000000"/>
                <w:szCs w:val="24"/>
              </w:rPr>
            </w:pPr>
            <w:r w:rsidRPr="006316FE">
              <w:rPr>
                <w:rFonts w:cs="Calibri"/>
                <w:color w:val="000000"/>
                <w:szCs w:val="24"/>
              </w:rPr>
              <w:t> </w:t>
            </w:r>
            <w:r>
              <w:rPr>
                <w:rFonts w:cs="Calibri"/>
                <w:color w:val="000000"/>
                <w:szCs w:val="24"/>
              </w:rPr>
              <w:t>E</w:t>
            </w:r>
          </w:p>
        </w:tc>
      </w:tr>
      <w:tr w:rsidR="0061579C" w:rsidRPr="00873442" w14:paraId="41236611" w14:textId="77777777" w:rsidTr="00E2406B">
        <w:tc>
          <w:tcPr>
            <w:tcW w:w="3600" w:type="dxa"/>
            <w:vAlign w:val="center"/>
          </w:tcPr>
          <w:p w14:paraId="2128F19F" w14:textId="77777777" w:rsidR="0061579C" w:rsidRPr="006316FE" w:rsidRDefault="0061579C" w:rsidP="00E2406B">
            <w:pPr>
              <w:ind w:left="0"/>
              <w:rPr>
                <w:rFonts w:cs="Calibri"/>
                <w:color w:val="000000"/>
                <w:szCs w:val="24"/>
              </w:rPr>
            </w:pPr>
            <w:r w:rsidRPr="006316FE">
              <w:rPr>
                <w:rFonts w:cs="Calibri"/>
                <w:color w:val="000000"/>
                <w:szCs w:val="24"/>
              </w:rPr>
              <w:t>Foreign Labor Certification</w:t>
            </w:r>
          </w:p>
        </w:tc>
        <w:tc>
          <w:tcPr>
            <w:tcW w:w="2160" w:type="dxa"/>
            <w:vAlign w:val="center"/>
          </w:tcPr>
          <w:p w14:paraId="3ACA1F07" w14:textId="77777777" w:rsidR="0061579C" w:rsidRPr="006316FE" w:rsidRDefault="0061579C" w:rsidP="00E2406B">
            <w:pPr>
              <w:ind w:left="0"/>
              <w:jc w:val="center"/>
              <w:rPr>
                <w:rFonts w:cs="Calibri"/>
                <w:bCs/>
                <w:color w:val="000000"/>
                <w:szCs w:val="24"/>
              </w:rPr>
            </w:pPr>
            <w:r w:rsidRPr="006316FE">
              <w:rPr>
                <w:rFonts w:cs="Calibri"/>
                <w:bCs/>
                <w:color w:val="000000"/>
                <w:szCs w:val="24"/>
              </w:rPr>
              <w:t>M (CICS and batch)</w:t>
            </w:r>
          </w:p>
        </w:tc>
        <w:tc>
          <w:tcPr>
            <w:tcW w:w="2160" w:type="dxa"/>
            <w:vAlign w:val="center"/>
          </w:tcPr>
          <w:p w14:paraId="77152735" w14:textId="77777777" w:rsidR="0061579C" w:rsidRPr="006316FE" w:rsidRDefault="0061579C" w:rsidP="00E2406B">
            <w:pPr>
              <w:ind w:left="0"/>
              <w:jc w:val="center"/>
              <w:rPr>
                <w:rFonts w:cs="Calibri"/>
                <w:bCs/>
                <w:color w:val="000000"/>
                <w:szCs w:val="24"/>
              </w:rPr>
            </w:pPr>
            <w:r w:rsidRPr="006316FE">
              <w:rPr>
                <w:rFonts w:cs="Calibri"/>
                <w:bCs/>
                <w:color w:val="000000"/>
                <w:szCs w:val="24"/>
              </w:rPr>
              <w:t>VSAM, QSAM</w:t>
            </w:r>
          </w:p>
        </w:tc>
        <w:tc>
          <w:tcPr>
            <w:tcW w:w="2160" w:type="dxa"/>
            <w:vAlign w:val="center"/>
          </w:tcPr>
          <w:p w14:paraId="018E0A07" w14:textId="77777777" w:rsidR="0061579C" w:rsidRPr="006316FE" w:rsidRDefault="0061579C" w:rsidP="00E2406B">
            <w:pPr>
              <w:ind w:left="0"/>
              <w:jc w:val="center"/>
              <w:rPr>
                <w:rFonts w:cs="Calibri"/>
                <w:color w:val="000000"/>
                <w:szCs w:val="24"/>
              </w:rPr>
            </w:pPr>
            <w:r w:rsidRPr="006316FE">
              <w:rPr>
                <w:rFonts w:cs="Calibri"/>
                <w:color w:val="000000"/>
                <w:szCs w:val="24"/>
              </w:rPr>
              <w:t> </w:t>
            </w:r>
            <w:r>
              <w:rPr>
                <w:rFonts w:cs="Calibri"/>
                <w:color w:val="000000"/>
                <w:szCs w:val="24"/>
              </w:rPr>
              <w:t>I</w:t>
            </w:r>
          </w:p>
        </w:tc>
      </w:tr>
      <w:tr w:rsidR="0061579C" w:rsidRPr="00873442" w14:paraId="49AD6BC1" w14:textId="77777777" w:rsidTr="00E2406B">
        <w:tc>
          <w:tcPr>
            <w:tcW w:w="3600" w:type="dxa"/>
            <w:vAlign w:val="center"/>
          </w:tcPr>
          <w:p w14:paraId="060F6482" w14:textId="77777777" w:rsidR="0061579C" w:rsidRPr="006316FE" w:rsidRDefault="0061579C" w:rsidP="00E2406B">
            <w:pPr>
              <w:ind w:left="0"/>
              <w:rPr>
                <w:rFonts w:cs="Calibri"/>
                <w:color w:val="000000"/>
                <w:szCs w:val="24"/>
              </w:rPr>
            </w:pPr>
            <w:r w:rsidRPr="006316FE">
              <w:rPr>
                <w:rFonts w:cs="Calibri"/>
                <w:color w:val="000000"/>
                <w:szCs w:val="24"/>
              </w:rPr>
              <w:t>Print Services Forms Control</w:t>
            </w:r>
          </w:p>
        </w:tc>
        <w:tc>
          <w:tcPr>
            <w:tcW w:w="2160" w:type="dxa"/>
            <w:vAlign w:val="center"/>
          </w:tcPr>
          <w:p w14:paraId="178F955D" w14:textId="77777777" w:rsidR="0061579C" w:rsidRPr="006316FE" w:rsidRDefault="0061579C" w:rsidP="00E2406B">
            <w:pPr>
              <w:ind w:left="0"/>
              <w:jc w:val="center"/>
              <w:rPr>
                <w:rFonts w:cs="Calibri"/>
                <w:bCs/>
                <w:color w:val="000000"/>
                <w:szCs w:val="24"/>
              </w:rPr>
            </w:pPr>
            <w:r w:rsidRPr="006316FE">
              <w:rPr>
                <w:rFonts w:cs="Calibri"/>
                <w:bCs/>
                <w:color w:val="000000"/>
                <w:szCs w:val="24"/>
              </w:rPr>
              <w:t>M (CICS and batch)</w:t>
            </w:r>
          </w:p>
        </w:tc>
        <w:tc>
          <w:tcPr>
            <w:tcW w:w="2160" w:type="dxa"/>
            <w:vAlign w:val="center"/>
          </w:tcPr>
          <w:p w14:paraId="7A61C4DB" w14:textId="77777777" w:rsidR="0061579C" w:rsidRPr="006316FE" w:rsidRDefault="0061579C" w:rsidP="00E2406B">
            <w:pPr>
              <w:ind w:left="0"/>
              <w:jc w:val="center"/>
              <w:rPr>
                <w:rFonts w:cs="Calibri"/>
                <w:bCs/>
                <w:color w:val="000000"/>
                <w:szCs w:val="24"/>
              </w:rPr>
            </w:pPr>
            <w:r w:rsidRPr="006316FE">
              <w:rPr>
                <w:rFonts w:cs="Calibri"/>
                <w:bCs/>
                <w:color w:val="000000"/>
                <w:szCs w:val="24"/>
              </w:rPr>
              <w:t>VSAM, QSAM</w:t>
            </w:r>
          </w:p>
        </w:tc>
        <w:tc>
          <w:tcPr>
            <w:tcW w:w="2160" w:type="dxa"/>
            <w:vAlign w:val="center"/>
          </w:tcPr>
          <w:p w14:paraId="13CA0EFB" w14:textId="77777777" w:rsidR="0061579C" w:rsidRPr="006316FE" w:rsidRDefault="0061579C" w:rsidP="00E2406B">
            <w:pPr>
              <w:ind w:left="0"/>
              <w:jc w:val="center"/>
              <w:rPr>
                <w:rFonts w:cs="Calibri"/>
                <w:color w:val="000000"/>
                <w:szCs w:val="24"/>
              </w:rPr>
            </w:pPr>
            <w:r w:rsidRPr="006316FE">
              <w:rPr>
                <w:rFonts w:cs="Calibri"/>
                <w:color w:val="000000"/>
                <w:szCs w:val="24"/>
              </w:rPr>
              <w:t> </w:t>
            </w:r>
            <w:r>
              <w:rPr>
                <w:rFonts w:cs="Calibri"/>
                <w:color w:val="000000"/>
                <w:szCs w:val="24"/>
              </w:rPr>
              <w:t>I</w:t>
            </w:r>
          </w:p>
        </w:tc>
      </w:tr>
      <w:tr w:rsidR="0061579C" w:rsidRPr="00873442" w14:paraId="554FE119" w14:textId="77777777" w:rsidTr="00E2406B">
        <w:tc>
          <w:tcPr>
            <w:tcW w:w="3600" w:type="dxa"/>
            <w:vAlign w:val="center"/>
          </w:tcPr>
          <w:p w14:paraId="1D0BAA46" w14:textId="77777777" w:rsidR="0061579C" w:rsidRPr="006316FE" w:rsidRDefault="0061579C" w:rsidP="00E2406B">
            <w:pPr>
              <w:ind w:left="0"/>
              <w:rPr>
                <w:rFonts w:cs="Calibri"/>
                <w:color w:val="000000"/>
                <w:szCs w:val="24"/>
              </w:rPr>
            </w:pPr>
            <w:r w:rsidRPr="006316FE">
              <w:rPr>
                <w:rFonts w:cs="Calibri"/>
                <w:color w:val="000000"/>
                <w:szCs w:val="24"/>
              </w:rPr>
              <w:t>Texas Business Conference</w:t>
            </w:r>
          </w:p>
        </w:tc>
        <w:tc>
          <w:tcPr>
            <w:tcW w:w="2160" w:type="dxa"/>
            <w:vAlign w:val="center"/>
          </w:tcPr>
          <w:p w14:paraId="63900D21" w14:textId="77777777" w:rsidR="0061579C" w:rsidRPr="006316FE" w:rsidRDefault="0061579C" w:rsidP="00E2406B">
            <w:pPr>
              <w:ind w:left="0"/>
              <w:jc w:val="center"/>
              <w:rPr>
                <w:rFonts w:cs="Calibri"/>
                <w:bCs/>
                <w:color w:val="000000"/>
                <w:szCs w:val="24"/>
              </w:rPr>
            </w:pPr>
            <w:r w:rsidRPr="006316FE">
              <w:rPr>
                <w:rFonts w:cs="Calibri"/>
                <w:bCs/>
                <w:color w:val="000000"/>
                <w:szCs w:val="24"/>
              </w:rPr>
              <w:t>M (batch)</w:t>
            </w:r>
          </w:p>
        </w:tc>
        <w:tc>
          <w:tcPr>
            <w:tcW w:w="2160" w:type="dxa"/>
            <w:vAlign w:val="center"/>
          </w:tcPr>
          <w:p w14:paraId="285492B1" w14:textId="77777777" w:rsidR="0061579C" w:rsidRPr="006316FE" w:rsidRDefault="0061579C" w:rsidP="00E2406B">
            <w:pPr>
              <w:ind w:left="0"/>
              <w:jc w:val="center"/>
              <w:rPr>
                <w:rFonts w:cs="Calibri"/>
                <w:bCs/>
                <w:color w:val="000000"/>
                <w:szCs w:val="24"/>
              </w:rPr>
            </w:pPr>
            <w:r w:rsidRPr="006316FE">
              <w:rPr>
                <w:rFonts w:cs="Calibri"/>
                <w:bCs/>
                <w:color w:val="000000"/>
                <w:szCs w:val="24"/>
              </w:rPr>
              <w:t>QSAM</w:t>
            </w:r>
          </w:p>
        </w:tc>
        <w:tc>
          <w:tcPr>
            <w:tcW w:w="2160" w:type="dxa"/>
            <w:vAlign w:val="center"/>
          </w:tcPr>
          <w:p w14:paraId="4F8C52C3" w14:textId="77777777" w:rsidR="0061579C" w:rsidRPr="006316FE" w:rsidRDefault="0061579C" w:rsidP="00E2406B">
            <w:pPr>
              <w:ind w:left="0"/>
              <w:jc w:val="center"/>
              <w:rPr>
                <w:rFonts w:cs="Calibri"/>
                <w:color w:val="000000"/>
                <w:szCs w:val="24"/>
              </w:rPr>
            </w:pPr>
            <w:r w:rsidRPr="006316FE">
              <w:rPr>
                <w:rFonts w:cs="Calibri"/>
                <w:color w:val="000000"/>
                <w:szCs w:val="24"/>
              </w:rPr>
              <w:t> </w:t>
            </w:r>
            <w:r>
              <w:rPr>
                <w:rFonts w:cs="Calibri"/>
                <w:color w:val="000000"/>
                <w:szCs w:val="24"/>
              </w:rPr>
              <w:t>E</w:t>
            </w:r>
          </w:p>
        </w:tc>
      </w:tr>
      <w:tr w:rsidR="0061579C" w:rsidRPr="00873442" w14:paraId="5A307592" w14:textId="77777777" w:rsidTr="00E2406B">
        <w:tc>
          <w:tcPr>
            <w:tcW w:w="3600" w:type="dxa"/>
            <w:vAlign w:val="center"/>
          </w:tcPr>
          <w:p w14:paraId="747B6940" w14:textId="29D6876C" w:rsidR="0061579C" w:rsidRPr="006316FE" w:rsidRDefault="00E22127" w:rsidP="00E2406B">
            <w:pPr>
              <w:ind w:left="0"/>
              <w:rPr>
                <w:rFonts w:cs="Calibri"/>
                <w:color w:val="000000"/>
                <w:szCs w:val="24"/>
              </w:rPr>
            </w:pPr>
            <w:r>
              <w:rPr>
                <w:rFonts w:cs="Calibri"/>
                <w:color w:val="000000"/>
                <w:szCs w:val="24"/>
              </w:rPr>
              <w:t>Cash Draw Expenditure Reporting</w:t>
            </w:r>
          </w:p>
        </w:tc>
        <w:tc>
          <w:tcPr>
            <w:tcW w:w="2160" w:type="dxa"/>
            <w:vAlign w:val="center"/>
          </w:tcPr>
          <w:p w14:paraId="3D81AF0A" w14:textId="77777777" w:rsidR="0061579C" w:rsidRPr="006316FE" w:rsidRDefault="0061579C" w:rsidP="00E2406B">
            <w:pPr>
              <w:ind w:left="0"/>
              <w:jc w:val="center"/>
              <w:rPr>
                <w:rFonts w:cs="Calibri"/>
                <w:bCs/>
                <w:color w:val="000000"/>
                <w:szCs w:val="24"/>
              </w:rPr>
            </w:pPr>
            <w:r w:rsidRPr="006316FE">
              <w:rPr>
                <w:rFonts w:cs="Calibri"/>
                <w:bCs/>
                <w:color w:val="000000"/>
                <w:szCs w:val="24"/>
              </w:rPr>
              <w:t>S, M(batch)</w:t>
            </w:r>
          </w:p>
        </w:tc>
        <w:tc>
          <w:tcPr>
            <w:tcW w:w="2160" w:type="dxa"/>
            <w:vAlign w:val="center"/>
          </w:tcPr>
          <w:p w14:paraId="3324F6F7" w14:textId="77777777" w:rsidR="0061579C" w:rsidRPr="006316FE" w:rsidRDefault="0061579C" w:rsidP="00E2406B">
            <w:pPr>
              <w:ind w:left="0"/>
              <w:jc w:val="center"/>
              <w:rPr>
                <w:rFonts w:cs="Calibri"/>
                <w:bCs/>
                <w:color w:val="000000"/>
                <w:szCs w:val="24"/>
              </w:rPr>
            </w:pPr>
            <w:r w:rsidRPr="006316FE">
              <w:rPr>
                <w:rFonts w:cs="Calibri"/>
                <w:bCs/>
                <w:color w:val="000000"/>
                <w:szCs w:val="24"/>
              </w:rPr>
              <w:t>DB2</w:t>
            </w:r>
          </w:p>
        </w:tc>
        <w:tc>
          <w:tcPr>
            <w:tcW w:w="2160" w:type="dxa"/>
            <w:vAlign w:val="center"/>
          </w:tcPr>
          <w:p w14:paraId="2C231D86" w14:textId="77777777" w:rsidR="0061579C" w:rsidRPr="006316FE" w:rsidRDefault="0061579C" w:rsidP="00E2406B">
            <w:pPr>
              <w:ind w:left="0"/>
              <w:jc w:val="center"/>
              <w:rPr>
                <w:rFonts w:cs="Calibri"/>
                <w:color w:val="000000"/>
                <w:szCs w:val="24"/>
              </w:rPr>
            </w:pPr>
            <w:r w:rsidRPr="006316FE">
              <w:rPr>
                <w:rFonts w:cs="Calibri"/>
                <w:color w:val="000000"/>
                <w:szCs w:val="24"/>
              </w:rPr>
              <w:t> </w:t>
            </w:r>
            <w:r>
              <w:rPr>
                <w:rFonts w:cs="Calibri"/>
                <w:color w:val="000000"/>
                <w:szCs w:val="24"/>
              </w:rPr>
              <w:t>E</w:t>
            </w:r>
          </w:p>
        </w:tc>
      </w:tr>
      <w:tr w:rsidR="0061579C" w:rsidRPr="00873442" w14:paraId="1B0389F4" w14:textId="77777777" w:rsidTr="00E2406B">
        <w:tc>
          <w:tcPr>
            <w:tcW w:w="3600" w:type="dxa"/>
            <w:vAlign w:val="center"/>
          </w:tcPr>
          <w:p w14:paraId="101B3E5B" w14:textId="77777777" w:rsidR="0061579C" w:rsidRPr="006316FE" w:rsidRDefault="0061579C" w:rsidP="00E2406B">
            <w:pPr>
              <w:ind w:left="0"/>
              <w:rPr>
                <w:szCs w:val="24"/>
              </w:rPr>
            </w:pPr>
            <w:r w:rsidRPr="006316FE">
              <w:rPr>
                <w:rFonts w:cs="Calibri"/>
                <w:color w:val="000000"/>
                <w:szCs w:val="24"/>
              </w:rPr>
              <w:t>Office Directory (mainframe CICS)</w:t>
            </w:r>
          </w:p>
        </w:tc>
        <w:tc>
          <w:tcPr>
            <w:tcW w:w="2160" w:type="dxa"/>
            <w:vAlign w:val="center"/>
          </w:tcPr>
          <w:p w14:paraId="0033D426" w14:textId="77777777" w:rsidR="0061579C" w:rsidRPr="006316FE" w:rsidRDefault="0061579C" w:rsidP="00E2406B">
            <w:pPr>
              <w:ind w:left="0"/>
              <w:jc w:val="center"/>
              <w:rPr>
                <w:szCs w:val="24"/>
              </w:rPr>
            </w:pPr>
            <w:r w:rsidRPr="006316FE">
              <w:rPr>
                <w:rFonts w:cs="Calibri"/>
                <w:bCs/>
                <w:color w:val="000000"/>
                <w:szCs w:val="24"/>
              </w:rPr>
              <w:t>M (CICS and batch)</w:t>
            </w:r>
          </w:p>
        </w:tc>
        <w:tc>
          <w:tcPr>
            <w:tcW w:w="2160" w:type="dxa"/>
            <w:vAlign w:val="center"/>
          </w:tcPr>
          <w:p w14:paraId="5F5E53ED" w14:textId="77777777" w:rsidR="0061579C" w:rsidRPr="006316FE" w:rsidRDefault="0061579C" w:rsidP="00E2406B">
            <w:pPr>
              <w:ind w:left="0"/>
              <w:jc w:val="center"/>
              <w:rPr>
                <w:szCs w:val="24"/>
              </w:rPr>
            </w:pPr>
            <w:r w:rsidRPr="006316FE">
              <w:rPr>
                <w:rFonts w:cs="Calibri"/>
                <w:bCs/>
                <w:color w:val="000000"/>
                <w:szCs w:val="24"/>
              </w:rPr>
              <w:t>VSAM, QSAM</w:t>
            </w:r>
          </w:p>
        </w:tc>
        <w:tc>
          <w:tcPr>
            <w:tcW w:w="2160" w:type="dxa"/>
            <w:vAlign w:val="center"/>
          </w:tcPr>
          <w:p w14:paraId="40C685B0" w14:textId="77777777" w:rsidR="0061579C" w:rsidRPr="006316FE" w:rsidRDefault="0061579C" w:rsidP="00E2406B">
            <w:pPr>
              <w:ind w:left="0"/>
              <w:jc w:val="center"/>
              <w:rPr>
                <w:szCs w:val="24"/>
              </w:rPr>
            </w:pPr>
            <w:r w:rsidRPr="006316FE">
              <w:rPr>
                <w:rFonts w:cs="Calibri"/>
                <w:color w:val="000000"/>
                <w:szCs w:val="24"/>
              </w:rPr>
              <w:t> </w:t>
            </w:r>
            <w:r>
              <w:rPr>
                <w:rFonts w:cs="Calibri"/>
                <w:color w:val="000000"/>
                <w:szCs w:val="24"/>
              </w:rPr>
              <w:t>I</w:t>
            </w:r>
          </w:p>
        </w:tc>
      </w:tr>
    </w:tbl>
    <w:p w14:paraId="71D02762" w14:textId="77777777" w:rsidR="0061579C" w:rsidRDefault="0061579C" w:rsidP="0061579C"/>
    <w:p w14:paraId="7CA4460F" w14:textId="2ED37257" w:rsidR="00FB4A19" w:rsidRDefault="00FB4A19" w:rsidP="00FB4A19">
      <w:pPr>
        <w:pStyle w:val="Heading3"/>
      </w:pPr>
      <w:bookmarkStart w:id="39" w:name="_Toc13567386"/>
      <w:r>
        <w:t>1.</w:t>
      </w:r>
      <w:r w:rsidR="005E3261">
        <w:t>7</w:t>
      </w:r>
      <w:r>
        <w:t>.2</w:t>
      </w:r>
      <w:r>
        <w:tab/>
        <w:t>UI Mainframe</w:t>
      </w:r>
      <w:bookmarkEnd w:id="35"/>
      <w:bookmarkEnd w:id="39"/>
    </w:p>
    <w:p w14:paraId="4520997F" w14:textId="77777777" w:rsidR="00FB4A19" w:rsidRPr="00BC436B" w:rsidRDefault="00FB4A19" w:rsidP="00FB4A19">
      <w:r>
        <w:t>The mainframe environment includes t</w:t>
      </w:r>
      <w:r w:rsidRPr="00BC436B">
        <w:t>wo (2) IBM 2817 Central Electronics Comple</w:t>
      </w:r>
      <w:r>
        <w:t>xes (CECs) running in a Sysplex:</w:t>
      </w:r>
    </w:p>
    <w:p w14:paraId="0EAD7448" w14:textId="3389FC68" w:rsidR="00FB4A19" w:rsidRPr="00BC436B" w:rsidRDefault="00FB4A19" w:rsidP="00E16D2D">
      <w:pPr>
        <w:pStyle w:val="LB1"/>
      </w:pPr>
      <w:r>
        <w:t>2965 Model J02 (57 million service units (MSUs)) with multiple logical partitions (LPAR</w:t>
      </w:r>
      <w:r w:rsidR="00634516">
        <w:t>s</w:t>
      </w:r>
      <w:r>
        <w:t>)</w:t>
      </w:r>
      <w:r w:rsidR="001F521B">
        <w:t>.</w:t>
      </w:r>
    </w:p>
    <w:p w14:paraId="2F52AB26" w14:textId="410F0CF4" w:rsidR="00FB4A19" w:rsidRDefault="00FB4A19" w:rsidP="00F82166">
      <w:pPr>
        <w:pStyle w:val="LB1"/>
      </w:pPr>
      <w:r>
        <w:t>2965 Model R02 (140 MSUs) with multiple LPARs</w:t>
      </w:r>
      <w:r w:rsidR="001F521B">
        <w:t>.</w:t>
      </w:r>
    </w:p>
    <w:p w14:paraId="117CA51A" w14:textId="77777777" w:rsidR="00FB4A19" w:rsidRDefault="00FB4A19" w:rsidP="00FB4A19"/>
    <w:p w14:paraId="75D6972E" w14:textId="2FE534CE" w:rsidR="00FB4A19" w:rsidRDefault="00FB4A19" w:rsidP="00FB4A19">
      <w:pPr>
        <w:pStyle w:val="Heading3"/>
      </w:pPr>
      <w:bookmarkStart w:id="40" w:name="_Toc529342865"/>
      <w:bookmarkStart w:id="41" w:name="_Toc13567387"/>
      <w:r>
        <w:lastRenderedPageBreak/>
        <w:t>1.</w:t>
      </w:r>
      <w:r w:rsidR="005E3261">
        <w:t>7</w:t>
      </w:r>
      <w:r>
        <w:t>.3</w:t>
      </w:r>
      <w:r>
        <w:tab/>
        <w:t>UI Servers</w:t>
      </w:r>
      <w:bookmarkEnd w:id="40"/>
      <w:bookmarkEnd w:id="41"/>
    </w:p>
    <w:p w14:paraId="4472BD84" w14:textId="77777777" w:rsidR="00FB4A19" w:rsidRPr="00BC436B" w:rsidRDefault="00FB4A19" w:rsidP="00FB4A19">
      <w:r>
        <w:t>The server environment includes:</w:t>
      </w:r>
    </w:p>
    <w:p w14:paraId="00DD49E6" w14:textId="044F781C" w:rsidR="00FB4A19" w:rsidRPr="00E16D2D" w:rsidRDefault="00FB4A19" w:rsidP="00E16D2D">
      <w:pPr>
        <w:pStyle w:val="LB1"/>
      </w:pPr>
      <w:r w:rsidRPr="00E16D2D">
        <w:t>A clustered environment of three (3</w:t>
      </w:r>
      <w:r w:rsidRPr="00F82166">
        <w:t>) servers. Each server consists of six (6) central processing units (CPUs) (Intel® Xeon® CPU E5-4617 0 @ 2.90GHz x86_64) and 32 GB RAM</w:t>
      </w:r>
      <w:r w:rsidR="001F521B" w:rsidRPr="00E16D2D">
        <w:t>.</w:t>
      </w:r>
    </w:p>
    <w:p w14:paraId="4468A0F8" w14:textId="5DD0823F" w:rsidR="00FB4A19" w:rsidRDefault="00FB4A19" w:rsidP="00F82166">
      <w:pPr>
        <w:pStyle w:val="LB1"/>
      </w:pPr>
      <w:r>
        <w:t>Servers run Red Hat Enterprise Linux Server release 6.10 (</w:t>
      </w:r>
      <w:r w:rsidR="00D34BFF">
        <w:t>Santiago</w:t>
      </w:r>
      <w:r>
        <w:t>)</w:t>
      </w:r>
      <w:r w:rsidR="001F521B">
        <w:t>.</w:t>
      </w:r>
    </w:p>
    <w:p w14:paraId="7CF42E92" w14:textId="77777777" w:rsidR="00FB4A19" w:rsidRDefault="00FB4A19" w:rsidP="00FB4A19"/>
    <w:p w14:paraId="3EAB9299" w14:textId="026D1335" w:rsidR="00FB4A19" w:rsidRDefault="00FB4A19" w:rsidP="00FB4A19">
      <w:r>
        <w:t>The appeals system uses scanners: Xerox DocuMate 4799</w:t>
      </w:r>
      <w:r w:rsidR="001F521B">
        <w:t>.</w:t>
      </w:r>
    </w:p>
    <w:p w14:paraId="135CE1A5" w14:textId="77777777" w:rsidR="00FB4A19" w:rsidRPr="00BC436B" w:rsidRDefault="00FB4A19" w:rsidP="00FB4A19"/>
    <w:p w14:paraId="6D492492" w14:textId="64EE9076" w:rsidR="00FB4A19" w:rsidRDefault="00FB4A19" w:rsidP="00FB4A19">
      <w:pPr>
        <w:pStyle w:val="Heading3"/>
      </w:pPr>
      <w:bookmarkStart w:id="42" w:name="_Toc529342866"/>
      <w:bookmarkStart w:id="43" w:name="_Toc13567388"/>
      <w:r>
        <w:t>1.</w:t>
      </w:r>
      <w:r w:rsidR="005E3261">
        <w:t>7</w:t>
      </w:r>
      <w:r>
        <w:t>.4</w:t>
      </w:r>
      <w:r>
        <w:tab/>
        <w:t>UI Data Repositories</w:t>
      </w:r>
      <w:bookmarkEnd w:id="42"/>
      <w:bookmarkEnd w:id="43"/>
    </w:p>
    <w:p w14:paraId="2A0CE6A2" w14:textId="2B81329B" w:rsidR="00FB4A19" w:rsidRDefault="00FB4A19" w:rsidP="00FB4A19">
      <w:pPr>
        <w:rPr>
          <w:color w:val="000000" w:themeColor="text1"/>
        </w:rPr>
      </w:pPr>
      <w:r>
        <w:t>The UI System depends upon two (2) primary data repositories (DB2 and VSAM), both on the mainframe. Outside of the existing explicit interfaces/data exchanges, TWC applications share data via DB2. Thus, the applications are tightly coupled through this mechanism of data sharing. For exam</w:t>
      </w:r>
      <w:r w:rsidR="001A016B">
        <w:t>ple, wage records from Tax are shared</w:t>
      </w:r>
      <w:r>
        <w:t xml:space="preserve"> with Benefits through a view of the Tax wage table. This is a key factor in planning a phased implementation of the replacement system.</w:t>
      </w:r>
      <w:r w:rsidR="003E2CA4">
        <w:t xml:space="preserve"> </w:t>
      </w:r>
      <w:r w:rsidR="00DF3140">
        <w:rPr>
          <w:color w:val="000000" w:themeColor="text1"/>
        </w:rPr>
        <w:t>S</w:t>
      </w:r>
      <w:r w:rsidR="003E2CA4" w:rsidRPr="00730D35">
        <w:rPr>
          <w:color w:val="000000" w:themeColor="text1"/>
        </w:rPr>
        <w:t xml:space="preserve">ee </w:t>
      </w:r>
      <w:hyperlink w:anchor="_2.2.6_Required_Deliverable" w:history="1">
        <w:r w:rsidR="003E2CA4" w:rsidRPr="00DF3140">
          <w:rPr>
            <w:rStyle w:val="Hyperlink"/>
          </w:rPr>
          <w:t xml:space="preserve">Section </w:t>
        </w:r>
        <w:r w:rsidR="00DF3140" w:rsidRPr="00DF3140">
          <w:rPr>
            <w:rStyle w:val="Hyperlink"/>
          </w:rPr>
          <w:t>2.2.6</w:t>
        </w:r>
      </w:hyperlink>
      <w:r w:rsidR="00DF3140">
        <w:rPr>
          <w:color w:val="000000" w:themeColor="text1"/>
        </w:rPr>
        <w:t xml:space="preserve"> for specific data migration requirements.</w:t>
      </w:r>
    </w:p>
    <w:p w14:paraId="167F2187" w14:textId="77777777" w:rsidR="00D4523F" w:rsidRDefault="00D4523F" w:rsidP="00FB4A19"/>
    <w:p w14:paraId="530E39D1" w14:textId="14FB339E" w:rsidR="00D4523F" w:rsidRPr="00BC436B" w:rsidRDefault="00D4523F" w:rsidP="00D4523F">
      <w:r>
        <w:t>The information below summarizes TWC’s data repositories:</w:t>
      </w:r>
    </w:p>
    <w:p w14:paraId="1AAF37E0" w14:textId="7290D7EB" w:rsidR="00FB4A19" w:rsidRDefault="00FB4A19" w:rsidP="00E16D2D">
      <w:pPr>
        <w:pStyle w:val="LB1"/>
      </w:pPr>
      <w:r>
        <w:t xml:space="preserve">Appeals uses </w:t>
      </w:r>
      <w:r w:rsidR="00A95802">
        <w:t>DB2</w:t>
      </w:r>
      <w:r w:rsidR="001F521B">
        <w:t>;</w:t>
      </w:r>
    </w:p>
    <w:p w14:paraId="4EFF5E45" w14:textId="7FFA33F2" w:rsidR="00FB4A19" w:rsidRDefault="00FB4A19" w:rsidP="00F82166">
      <w:pPr>
        <w:pStyle w:val="LB1"/>
      </w:pPr>
      <w:r>
        <w:t>Benefits uses DB2</w:t>
      </w:r>
      <w:r w:rsidR="001F521B">
        <w:t>;</w:t>
      </w:r>
    </w:p>
    <w:p w14:paraId="35D06B5D" w14:textId="2FCC8879" w:rsidR="00FB4A19" w:rsidRDefault="00FB4A19" w:rsidP="00F82166">
      <w:pPr>
        <w:pStyle w:val="LB1"/>
      </w:pPr>
      <w:r>
        <w:t>Tax uses VSAM and DB2</w:t>
      </w:r>
      <w:r w:rsidR="001F521B">
        <w:t>;</w:t>
      </w:r>
    </w:p>
    <w:p w14:paraId="17B390A6" w14:textId="43CBD66E" w:rsidR="00FB4A19" w:rsidRDefault="00FB4A19">
      <w:pPr>
        <w:pStyle w:val="LB1"/>
      </w:pPr>
      <w:r>
        <w:t>ICON model code uses VSAM</w:t>
      </w:r>
      <w:r w:rsidR="001F521B">
        <w:t>;</w:t>
      </w:r>
    </w:p>
    <w:p w14:paraId="5EC0FD2E" w14:textId="1487794D" w:rsidR="00FB4A19" w:rsidRDefault="00FB4A19">
      <w:pPr>
        <w:pStyle w:val="LB1"/>
      </w:pPr>
      <w:r>
        <w:t>TWC uses 854 views to share data between the applications, including 68 views for Appeals, 483 views for Benefits, and 3</w:t>
      </w:r>
      <w:r w:rsidR="001F521B">
        <w:t>03 views for Tax, details below; and</w:t>
      </w:r>
    </w:p>
    <w:p w14:paraId="2CBDB57D" w14:textId="5204E5FD" w:rsidR="00FB4A19" w:rsidRDefault="00FB4A19">
      <w:pPr>
        <w:pStyle w:val="LB1"/>
      </w:pPr>
      <w:r>
        <w:t>The current UI Benefits System has approximately 4.7 million claims in DB2.</w:t>
      </w:r>
      <w:r w:rsidR="00EE5622">
        <w:t xml:space="preserve"> </w:t>
      </w:r>
      <w:r>
        <w:t>These claims are primarily from the last 4 years. There are approximately 250,000 new claims added each quarter and 250,000 old claims archived each quarter. </w:t>
      </w:r>
    </w:p>
    <w:p w14:paraId="04E845D8" w14:textId="77777777" w:rsidR="00FB4A19" w:rsidRDefault="00FB4A19" w:rsidP="00FB4A19"/>
    <w:p w14:paraId="5DCC233E" w14:textId="77777777" w:rsidR="00FB4A19" w:rsidRDefault="00FB4A19" w:rsidP="00FB4A19">
      <w:pPr>
        <w:spacing w:line="256" w:lineRule="auto"/>
        <w:rPr>
          <w:rFonts w:eastAsia="Verdana,Times New Roman" w:cs="Verdana,Times New Roman"/>
          <w:b/>
          <w:bCs/>
          <w:u w:val="single"/>
        </w:rPr>
      </w:pPr>
      <w:r>
        <w:rPr>
          <w:rFonts w:eastAsia="Verdana,Times New Roman" w:cs="Verdana,Times New Roman"/>
          <w:b/>
          <w:bCs/>
          <w:u w:val="single"/>
        </w:rPr>
        <w:t>DB2 Database Size (Uncompressed), Table Counts, Record Counts</w:t>
      </w:r>
    </w:p>
    <w:tbl>
      <w:tblPr>
        <w:tblStyle w:val="TableGrid"/>
        <w:tblW w:w="9607" w:type="dxa"/>
        <w:tblInd w:w="828" w:type="dxa"/>
        <w:tblLayout w:type="fixed"/>
        <w:tblLook w:val="04A0" w:firstRow="1" w:lastRow="0" w:firstColumn="1" w:lastColumn="0" w:noHBand="0" w:noVBand="1"/>
        <w:tblDescription w:val="Table of DB2 database size, table counts, and record counts by business area"/>
      </w:tblPr>
      <w:tblGrid>
        <w:gridCol w:w="2384"/>
        <w:gridCol w:w="2405"/>
        <w:gridCol w:w="2409"/>
        <w:gridCol w:w="2409"/>
      </w:tblGrid>
      <w:tr w:rsidR="00FB4A19" w:rsidRPr="00873442" w14:paraId="5F5D7C8F" w14:textId="77777777" w:rsidTr="00C23021">
        <w:trPr>
          <w:cantSplit/>
          <w:tblHeader/>
        </w:trPr>
        <w:tc>
          <w:tcPr>
            <w:tcW w:w="2227" w:type="dxa"/>
            <w:shd w:val="clear" w:color="auto" w:fill="DEEAF6" w:themeFill="accent1" w:themeFillTint="33"/>
            <w:vAlign w:val="center"/>
          </w:tcPr>
          <w:p w14:paraId="7B70EF11" w14:textId="77777777" w:rsidR="00FB4A19" w:rsidRPr="00E47978" w:rsidRDefault="00FB4A19" w:rsidP="00C23021">
            <w:pPr>
              <w:spacing w:after="0"/>
              <w:ind w:left="0"/>
              <w:jc w:val="center"/>
              <w:rPr>
                <w:rFonts w:cs="Arial"/>
                <w:b/>
                <w:color w:val="1F3864" w:themeColor="accent5" w:themeShade="80"/>
              </w:rPr>
            </w:pPr>
            <w:r>
              <w:rPr>
                <w:rFonts w:cs="Arial"/>
                <w:b/>
                <w:color w:val="1F3864" w:themeColor="accent5" w:themeShade="80"/>
              </w:rPr>
              <w:t>Business Area</w:t>
            </w:r>
          </w:p>
        </w:tc>
        <w:tc>
          <w:tcPr>
            <w:tcW w:w="2246" w:type="dxa"/>
            <w:shd w:val="clear" w:color="auto" w:fill="DEEAF6" w:themeFill="accent1" w:themeFillTint="33"/>
            <w:vAlign w:val="center"/>
          </w:tcPr>
          <w:p w14:paraId="36904E72" w14:textId="77777777" w:rsidR="00FB4A19" w:rsidRDefault="00FB4A19" w:rsidP="00C23021">
            <w:pPr>
              <w:spacing w:after="0"/>
              <w:ind w:left="0"/>
              <w:jc w:val="center"/>
              <w:rPr>
                <w:rFonts w:cs="Arial"/>
                <w:b/>
                <w:color w:val="1F3864" w:themeColor="accent5" w:themeShade="80"/>
              </w:rPr>
            </w:pPr>
            <w:r>
              <w:rPr>
                <w:rFonts w:cs="Arial"/>
                <w:b/>
                <w:color w:val="1F3864" w:themeColor="accent5" w:themeShade="80"/>
              </w:rPr>
              <w:t>Database Size (MB)</w:t>
            </w:r>
          </w:p>
        </w:tc>
        <w:tc>
          <w:tcPr>
            <w:tcW w:w="2250" w:type="dxa"/>
            <w:shd w:val="clear" w:color="auto" w:fill="DEEAF6" w:themeFill="accent1" w:themeFillTint="33"/>
            <w:vAlign w:val="center"/>
          </w:tcPr>
          <w:p w14:paraId="591E3B36" w14:textId="77777777" w:rsidR="00FB4A19" w:rsidRPr="00E47978" w:rsidRDefault="00FB4A19" w:rsidP="00C23021">
            <w:pPr>
              <w:spacing w:after="0"/>
              <w:ind w:left="0"/>
              <w:jc w:val="center"/>
              <w:rPr>
                <w:rFonts w:cs="Arial"/>
                <w:b/>
                <w:color w:val="1F3864" w:themeColor="accent5" w:themeShade="80"/>
              </w:rPr>
            </w:pPr>
            <w:r>
              <w:rPr>
                <w:rFonts w:cs="Arial"/>
                <w:b/>
                <w:color w:val="1F3864" w:themeColor="accent5" w:themeShade="80"/>
              </w:rPr>
              <w:t>Table Count</w:t>
            </w:r>
          </w:p>
        </w:tc>
        <w:tc>
          <w:tcPr>
            <w:tcW w:w="2250" w:type="dxa"/>
            <w:shd w:val="clear" w:color="auto" w:fill="DEEAF6" w:themeFill="accent1" w:themeFillTint="33"/>
            <w:vAlign w:val="center"/>
          </w:tcPr>
          <w:p w14:paraId="77D2719D" w14:textId="77777777" w:rsidR="00FB4A19" w:rsidRDefault="00FB4A19" w:rsidP="00C23021">
            <w:pPr>
              <w:spacing w:after="0"/>
              <w:ind w:left="0"/>
              <w:jc w:val="center"/>
              <w:rPr>
                <w:rFonts w:cs="Arial"/>
                <w:b/>
                <w:color w:val="1F3864" w:themeColor="accent5" w:themeShade="80"/>
              </w:rPr>
            </w:pPr>
            <w:r>
              <w:rPr>
                <w:rFonts w:cs="Arial"/>
                <w:b/>
                <w:color w:val="1F3864" w:themeColor="accent5" w:themeShade="80"/>
              </w:rPr>
              <w:t>Record Count</w:t>
            </w:r>
          </w:p>
        </w:tc>
      </w:tr>
      <w:tr w:rsidR="00FB4A19" w:rsidRPr="00873442" w14:paraId="46BA1E48" w14:textId="77777777" w:rsidTr="00C23021">
        <w:trPr>
          <w:cantSplit/>
          <w:trHeight w:hRule="exact" w:val="432"/>
        </w:trPr>
        <w:tc>
          <w:tcPr>
            <w:tcW w:w="2227" w:type="dxa"/>
            <w:tcMar>
              <w:top w:w="115" w:type="dxa"/>
              <w:left w:w="115" w:type="dxa"/>
              <w:bottom w:w="115" w:type="dxa"/>
              <w:right w:w="115" w:type="dxa"/>
            </w:tcMar>
            <w:vAlign w:val="center"/>
          </w:tcPr>
          <w:p w14:paraId="208062C7" w14:textId="77777777" w:rsidR="00FB4A19" w:rsidRDefault="00FB4A19" w:rsidP="00C23021">
            <w:pPr>
              <w:ind w:left="0"/>
            </w:pPr>
            <w:r>
              <w:t>Appeals</w:t>
            </w:r>
          </w:p>
        </w:tc>
        <w:tc>
          <w:tcPr>
            <w:tcW w:w="2246" w:type="dxa"/>
            <w:tcMar>
              <w:top w:w="115" w:type="dxa"/>
              <w:left w:w="115" w:type="dxa"/>
              <w:bottom w:w="115" w:type="dxa"/>
              <w:right w:w="115" w:type="dxa"/>
            </w:tcMar>
            <w:vAlign w:val="center"/>
          </w:tcPr>
          <w:p w14:paraId="785A2430" w14:textId="77777777" w:rsidR="00FB4A19" w:rsidRDefault="00FB4A19" w:rsidP="00C23021">
            <w:pPr>
              <w:ind w:left="0"/>
              <w:jc w:val="center"/>
            </w:pPr>
            <w:r>
              <w:t>18,174</w:t>
            </w:r>
          </w:p>
        </w:tc>
        <w:tc>
          <w:tcPr>
            <w:tcW w:w="2250" w:type="dxa"/>
            <w:tcMar>
              <w:top w:w="115" w:type="dxa"/>
              <w:left w:w="115" w:type="dxa"/>
              <w:bottom w:w="115" w:type="dxa"/>
              <w:right w:w="115" w:type="dxa"/>
            </w:tcMar>
            <w:vAlign w:val="center"/>
          </w:tcPr>
          <w:p w14:paraId="352B329C" w14:textId="77777777" w:rsidR="00FB4A19" w:rsidRDefault="00FB4A19" w:rsidP="00C23021">
            <w:pPr>
              <w:ind w:left="0"/>
              <w:jc w:val="center"/>
            </w:pPr>
            <w:r>
              <w:t>59</w:t>
            </w:r>
          </w:p>
        </w:tc>
        <w:tc>
          <w:tcPr>
            <w:tcW w:w="2250" w:type="dxa"/>
            <w:tcMar>
              <w:left w:w="115" w:type="dxa"/>
              <w:right w:w="115" w:type="dxa"/>
            </w:tcMar>
          </w:tcPr>
          <w:p w14:paraId="5541572C" w14:textId="77777777" w:rsidR="00FB4A19" w:rsidRDefault="00FB4A19" w:rsidP="00C23021">
            <w:pPr>
              <w:ind w:left="0"/>
              <w:jc w:val="center"/>
            </w:pPr>
            <w:r>
              <w:t>129,792,500</w:t>
            </w:r>
          </w:p>
        </w:tc>
      </w:tr>
      <w:tr w:rsidR="00FB4A19" w:rsidRPr="00873442" w14:paraId="050E8155" w14:textId="77777777" w:rsidTr="00C23021">
        <w:trPr>
          <w:cantSplit/>
          <w:trHeight w:hRule="exact" w:val="432"/>
        </w:trPr>
        <w:tc>
          <w:tcPr>
            <w:tcW w:w="2227" w:type="dxa"/>
            <w:tcMar>
              <w:top w:w="115" w:type="dxa"/>
              <w:left w:w="115" w:type="dxa"/>
              <w:bottom w:w="115" w:type="dxa"/>
              <w:right w:w="115" w:type="dxa"/>
            </w:tcMar>
            <w:vAlign w:val="center"/>
          </w:tcPr>
          <w:p w14:paraId="6D288E30" w14:textId="77777777" w:rsidR="00FB4A19" w:rsidRPr="006252D8" w:rsidRDefault="00FB4A19" w:rsidP="00C23021">
            <w:pPr>
              <w:ind w:left="0"/>
            </w:pPr>
            <w:r>
              <w:t>Benefits</w:t>
            </w:r>
          </w:p>
        </w:tc>
        <w:tc>
          <w:tcPr>
            <w:tcW w:w="2246" w:type="dxa"/>
            <w:tcMar>
              <w:top w:w="115" w:type="dxa"/>
              <w:left w:w="115" w:type="dxa"/>
              <w:bottom w:w="115" w:type="dxa"/>
              <w:right w:w="115" w:type="dxa"/>
            </w:tcMar>
            <w:vAlign w:val="center"/>
          </w:tcPr>
          <w:p w14:paraId="47E3C611" w14:textId="77777777" w:rsidR="00FB4A19" w:rsidRPr="006252D8" w:rsidRDefault="00FB4A19" w:rsidP="00C23021">
            <w:pPr>
              <w:ind w:left="0"/>
              <w:jc w:val="center"/>
            </w:pPr>
            <w:r>
              <w:t>265,512</w:t>
            </w:r>
          </w:p>
        </w:tc>
        <w:tc>
          <w:tcPr>
            <w:tcW w:w="2250" w:type="dxa"/>
            <w:tcMar>
              <w:top w:w="115" w:type="dxa"/>
              <w:left w:w="115" w:type="dxa"/>
              <w:bottom w:w="115" w:type="dxa"/>
              <w:right w:w="115" w:type="dxa"/>
            </w:tcMar>
            <w:vAlign w:val="center"/>
          </w:tcPr>
          <w:p w14:paraId="0832531F" w14:textId="77777777" w:rsidR="00FB4A19" w:rsidRPr="006252D8" w:rsidRDefault="00FB4A19" w:rsidP="00C23021">
            <w:pPr>
              <w:ind w:left="0"/>
              <w:jc w:val="center"/>
            </w:pPr>
            <w:r>
              <w:t>321</w:t>
            </w:r>
          </w:p>
        </w:tc>
        <w:tc>
          <w:tcPr>
            <w:tcW w:w="2250" w:type="dxa"/>
            <w:tcMar>
              <w:left w:w="115" w:type="dxa"/>
              <w:right w:w="115" w:type="dxa"/>
            </w:tcMar>
          </w:tcPr>
          <w:p w14:paraId="0DAB70AE" w14:textId="77777777" w:rsidR="00FB4A19" w:rsidRPr="006252D8" w:rsidRDefault="00FB4A19" w:rsidP="00C23021">
            <w:pPr>
              <w:ind w:left="0"/>
              <w:jc w:val="center"/>
            </w:pPr>
            <w:r>
              <w:t>1,091,476,685</w:t>
            </w:r>
          </w:p>
        </w:tc>
      </w:tr>
      <w:tr w:rsidR="00FB4A19" w:rsidRPr="00873442" w14:paraId="2F4232A8" w14:textId="77777777" w:rsidTr="00C23021">
        <w:trPr>
          <w:cantSplit/>
          <w:trHeight w:hRule="exact" w:val="432"/>
        </w:trPr>
        <w:tc>
          <w:tcPr>
            <w:tcW w:w="2227" w:type="dxa"/>
            <w:tcMar>
              <w:top w:w="115" w:type="dxa"/>
              <w:left w:w="115" w:type="dxa"/>
              <w:bottom w:w="115" w:type="dxa"/>
              <w:right w:w="115" w:type="dxa"/>
            </w:tcMar>
            <w:vAlign w:val="center"/>
          </w:tcPr>
          <w:p w14:paraId="18843D3F" w14:textId="77777777" w:rsidR="00FB4A19" w:rsidRPr="008531BC" w:rsidRDefault="00FB4A19" w:rsidP="00C23021">
            <w:pPr>
              <w:ind w:left="0"/>
            </w:pPr>
            <w:r>
              <w:t>Global</w:t>
            </w:r>
          </w:p>
        </w:tc>
        <w:tc>
          <w:tcPr>
            <w:tcW w:w="2246" w:type="dxa"/>
            <w:tcMar>
              <w:top w:w="115" w:type="dxa"/>
              <w:left w:w="115" w:type="dxa"/>
              <w:bottom w:w="115" w:type="dxa"/>
              <w:right w:w="115" w:type="dxa"/>
            </w:tcMar>
            <w:vAlign w:val="center"/>
          </w:tcPr>
          <w:p w14:paraId="242E698A" w14:textId="77777777" w:rsidR="00FB4A19" w:rsidRPr="006252D8" w:rsidRDefault="00FB4A19" w:rsidP="00C23021">
            <w:pPr>
              <w:ind w:left="0"/>
              <w:jc w:val="center"/>
            </w:pPr>
            <w:r>
              <w:t>264,568</w:t>
            </w:r>
          </w:p>
        </w:tc>
        <w:tc>
          <w:tcPr>
            <w:tcW w:w="2250" w:type="dxa"/>
            <w:tcMar>
              <w:top w:w="115" w:type="dxa"/>
              <w:left w:w="115" w:type="dxa"/>
              <w:bottom w:w="115" w:type="dxa"/>
              <w:right w:w="115" w:type="dxa"/>
            </w:tcMar>
            <w:vAlign w:val="center"/>
          </w:tcPr>
          <w:p w14:paraId="239389D5" w14:textId="77777777" w:rsidR="00FB4A19" w:rsidRDefault="00FB4A19" w:rsidP="00C23021">
            <w:pPr>
              <w:ind w:left="0"/>
              <w:jc w:val="center"/>
            </w:pPr>
            <w:r>
              <w:t>153</w:t>
            </w:r>
          </w:p>
        </w:tc>
        <w:tc>
          <w:tcPr>
            <w:tcW w:w="2250" w:type="dxa"/>
            <w:tcMar>
              <w:left w:w="115" w:type="dxa"/>
              <w:right w:w="115" w:type="dxa"/>
            </w:tcMar>
          </w:tcPr>
          <w:p w14:paraId="6E1B7AC8" w14:textId="77777777" w:rsidR="00FB4A19" w:rsidRDefault="00FB4A19" w:rsidP="00C23021">
            <w:pPr>
              <w:ind w:left="0"/>
              <w:jc w:val="center"/>
            </w:pPr>
            <w:r>
              <w:t>1,318,978,760</w:t>
            </w:r>
          </w:p>
        </w:tc>
      </w:tr>
      <w:tr w:rsidR="00FB4A19" w:rsidRPr="00873442" w14:paraId="313667E6" w14:textId="77777777" w:rsidTr="00C23021">
        <w:trPr>
          <w:cantSplit/>
          <w:trHeight w:hRule="exact" w:val="432"/>
        </w:trPr>
        <w:tc>
          <w:tcPr>
            <w:tcW w:w="2227" w:type="dxa"/>
            <w:tcMar>
              <w:top w:w="115" w:type="dxa"/>
              <w:left w:w="115" w:type="dxa"/>
              <w:bottom w:w="115" w:type="dxa"/>
              <w:right w:w="115" w:type="dxa"/>
            </w:tcMar>
            <w:vAlign w:val="center"/>
          </w:tcPr>
          <w:p w14:paraId="199E355E" w14:textId="77777777" w:rsidR="00FB4A19" w:rsidRDefault="00FB4A19" w:rsidP="00C23021">
            <w:pPr>
              <w:ind w:left="0"/>
            </w:pPr>
            <w:r>
              <w:lastRenderedPageBreak/>
              <w:t>Tax</w:t>
            </w:r>
          </w:p>
        </w:tc>
        <w:tc>
          <w:tcPr>
            <w:tcW w:w="2246" w:type="dxa"/>
            <w:tcMar>
              <w:top w:w="115" w:type="dxa"/>
              <w:left w:w="115" w:type="dxa"/>
              <w:bottom w:w="115" w:type="dxa"/>
              <w:right w:w="115" w:type="dxa"/>
            </w:tcMar>
            <w:vAlign w:val="center"/>
          </w:tcPr>
          <w:p w14:paraId="657224EC" w14:textId="77777777" w:rsidR="00FB4A19" w:rsidRDefault="00FB4A19" w:rsidP="00C23021">
            <w:pPr>
              <w:ind w:left="0"/>
              <w:jc w:val="center"/>
            </w:pPr>
            <w:r>
              <w:t>152,092</w:t>
            </w:r>
          </w:p>
        </w:tc>
        <w:tc>
          <w:tcPr>
            <w:tcW w:w="2250" w:type="dxa"/>
            <w:tcMar>
              <w:top w:w="115" w:type="dxa"/>
              <w:left w:w="115" w:type="dxa"/>
              <w:bottom w:w="115" w:type="dxa"/>
              <w:right w:w="115" w:type="dxa"/>
            </w:tcMar>
            <w:vAlign w:val="center"/>
          </w:tcPr>
          <w:p w14:paraId="66FF6067" w14:textId="77777777" w:rsidR="00FB4A19" w:rsidRDefault="00FB4A19" w:rsidP="00C23021">
            <w:pPr>
              <w:ind w:left="0"/>
              <w:jc w:val="center"/>
            </w:pPr>
            <w:r>
              <w:t>185</w:t>
            </w:r>
          </w:p>
        </w:tc>
        <w:tc>
          <w:tcPr>
            <w:tcW w:w="2250" w:type="dxa"/>
            <w:tcMar>
              <w:left w:w="115" w:type="dxa"/>
              <w:right w:w="115" w:type="dxa"/>
            </w:tcMar>
          </w:tcPr>
          <w:p w14:paraId="6E22341E" w14:textId="77777777" w:rsidR="00FB4A19" w:rsidRDefault="00FB4A19" w:rsidP="00C23021">
            <w:pPr>
              <w:ind w:left="0"/>
              <w:jc w:val="center"/>
            </w:pPr>
            <w:r>
              <w:t>1,095,613,144</w:t>
            </w:r>
          </w:p>
        </w:tc>
      </w:tr>
    </w:tbl>
    <w:p w14:paraId="0F3CA5EB" w14:textId="77777777" w:rsidR="00FB4A19" w:rsidRDefault="00FB4A19" w:rsidP="00FB4A19"/>
    <w:p w14:paraId="24B5E72A" w14:textId="77777777" w:rsidR="00FB4A19" w:rsidRDefault="00FB4A19" w:rsidP="00FB4A19">
      <w:pPr>
        <w:keepNext/>
        <w:spacing w:line="256" w:lineRule="auto"/>
        <w:rPr>
          <w:rFonts w:eastAsia="Verdana,Times New Roman" w:cs="Verdana,Times New Roman"/>
          <w:b/>
          <w:bCs/>
          <w:u w:val="single"/>
        </w:rPr>
      </w:pPr>
      <w:bookmarkStart w:id="44" w:name="_Hlk529277765"/>
      <w:r>
        <w:rPr>
          <w:rFonts w:eastAsia="Verdana,Times New Roman" w:cs="Verdana,Times New Roman"/>
          <w:b/>
          <w:bCs/>
          <w:u w:val="single"/>
        </w:rPr>
        <w:t>VSAM Database Size (Uncompressed)</w:t>
      </w:r>
    </w:p>
    <w:tbl>
      <w:tblPr>
        <w:tblStyle w:val="TableGrid"/>
        <w:tblW w:w="5532" w:type="dxa"/>
        <w:tblInd w:w="828" w:type="dxa"/>
        <w:tblLayout w:type="fixed"/>
        <w:tblLook w:val="04A0" w:firstRow="1" w:lastRow="0" w:firstColumn="1" w:lastColumn="0" w:noHBand="0" w:noVBand="1"/>
        <w:tblDescription w:val="Table of VSAM database size for Tax"/>
      </w:tblPr>
      <w:tblGrid>
        <w:gridCol w:w="3127"/>
        <w:gridCol w:w="2405"/>
      </w:tblGrid>
      <w:tr w:rsidR="00FB4A19" w:rsidRPr="00873442" w14:paraId="735A5D74" w14:textId="77777777" w:rsidTr="00C23021">
        <w:trPr>
          <w:cantSplit/>
          <w:tblHeader/>
        </w:trPr>
        <w:tc>
          <w:tcPr>
            <w:tcW w:w="3127" w:type="dxa"/>
            <w:shd w:val="clear" w:color="auto" w:fill="DEEAF6" w:themeFill="accent1" w:themeFillTint="33"/>
            <w:vAlign w:val="center"/>
          </w:tcPr>
          <w:p w14:paraId="7171F1F9" w14:textId="77777777" w:rsidR="00FB4A19" w:rsidRPr="00E47978" w:rsidRDefault="00FB4A19" w:rsidP="00C23021">
            <w:pPr>
              <w:keepNext/>
              <w:spacing w:after="0"/>
              <w:ind w:left="0"/>
              <w:jc w:val="center"/>
              <w:rPr>
                <w:rFonts w:cs="Arial"/>
                <w:b/>
                <w:color w:val="1F3864" w:themeColor="accent5" w:themeShade="80"/>
              </w:rPr>
            </w:pPr>
            <w:r>
              <w:rPr>
                <w:rFonts w:cs="Arial"/>
                <w:b/>
                <w:color w:val="1F3864" w:themeColor="accent5" w:themeShade="80"/>
              </w:rPr>
              <w:t>Business Area</w:t>
            </w:r>
          </w:p>
        </w:tc>
        <w:tc>
          <w:tcPr>
            <w:tcW w:w="2405" w:type="dxa"/>
            <w:shd w:val="clear" w:color="auto" w:fill="DEEAF6" w:themeFill="accent1" w:themeFillTint="33"/>
            <w:vAlign w:val="center"/>
          </w:tcPr>
          <w:p w14:paraId="3B5CD4BE" w14:textId="77777777" w:rsidR="00FB4A19" w:rsidRDefault="00FB4A19" w:rsidP="00C23021">
            <w:pPr>
              <w:keepNext/>
              <w:spacing w:after="0"/>
              <w:ind w:left="0"/>
              <w:jc w:val="center"/>
              <w:rPr>
                <w:rFonts w:cs="Arial"/>
                <w:b/>
                <w:color w:val="1F3864" w:themeColor="accent5" w:themeShade="80"/>
              </w:rPr>
            </w:pPr>
            <w:r>
              <w:rPr>
                <w:rFonts w:cs="Arial"/>
                <w:b/>
                <w:color w:val="1F3864" w:themeColor="accent5" w:themeShade="80"/>
              </w:rPr>
              <w:t>Database Size (MB)</w:t>
            </w:r>
          </w:p>
        </w:tc>
      </w:tr>
      <w:tr w:rsidR="00FB4A19" w:rsidRPr="00873442" w14:paraId="4135E794" w14:textId="77777777" w:rsidTr="00C23021">
        <w:trPr>
          <w:cantSplit/>
          <w:trHeight w:hRule="exact" w:val="432"/>
        </w:trPr>
        <w:tc>
          <w:tcPr>
            <w:tcW w:w="3127" w:type="dxa"/>
            <w:tcMar>
              <w:top w:w="115" w:type="dxa"/>
              <w:left w:w="115" w:type="dxa"/>
              <w:bottom w:w="115" w:type="dxa"/>
              <w:right w:w="115" w:type="dxa"/>
            </w:tcMar>
            <w:vAlign w:val="center"/>
          </w:tcPr>
          <w:p w14:paraId="6CC02293" w14:textId="77777777" w:rsidR="00FB4A19" w:rsidRDefault="00FB4A19" w:rsidP="00C23021">
            <w:pPr>
              <w:ind w:left="0"/>
            </w:pPr>
            <w:r>
              <w:t>Tax – Active Storage</w:t>
            </w:r>
          </w:p>
        </w:tc>
        <w:tc>
          <w:tcPr>
            <w:tcW w:w="2405" w:type="dxa"/>
            <w:tcMar>
              <w:top w:w="115" w:type="dxa"/>
              <w:left w:w="115" w:type="dxa"/>
              <w:bottom w:w="115" w:type="dxa"/>
              <w:right w:w="115" w:type="dxa"/>
            </w:tcMar>
            <w:vAlign w:val="center"/>
          </w:tcPr>
          <w:p w14:paraId="21FB4FEC" w14:textId="77777777" w:rsidR="00FB4A19" w:rsidRDefault="00FB4A19" w:rsidP="00C23021">
            <w:pPr>
              <w:ind w:left="0"/>
              <w:jc w:val="center"/>
            </w:pPr>
            <w:r>
              <w:t>21,840</w:t>
            </w:r>
          </w:p>
        </w:tc>
      </w:tr>
      <w:tr w:rsidR="00FB4A19" w:rsidRPr="00873442" w14:paraId="72BA205C" w14:textId="77777777" w:rsidTr="00C23021">
        <w:trPr>
          <w:cantSplit/>
          <w:trHeight w:hRule="exact" w:val="432"/>
        </w:trPr>
        <w:tc>
          <w:tcPr>
            <w:tcW w:w="3127" w:type="dxa"/>
            <w:tcMar>
              <w:top w:w="115" w:type="dxa"/>
              <w:left w:w="115" w:type="dxa"/>
              <w:bottom w:w="115" w:type="dxa"/>
              <w:right w:w="115" w:type="dxa"/>
            </w:tcMar>
            <w:vAlign w:val="center"/>
          </w:tcPr>
          <w:p w14:paraId="4C01E03F" w14:textId="77777777" w:rsidR="00FB4A19" w:rsidRPr="006252D8" w:rsidRDefault="00FB4A19" w:rsidP="00C23021">
            <w:pPr>
              <w:ind w:left="0"/>
            </w:pPr>
            <w:r>
              <w:t>Tax – Inactive Storage</w:t>
            </w:r>
          </w:p>
        </w:tc>
        <w:tc>
          <w:tcPr>
            <w:tcW w:w="2405" w:type="dxa"/>
            <w:tcMar>
              <w:top w:w="115" w:type="dxa"/>
              <w:left w:w="115" w:type="dxa"/>
              <w:bottom w:w="115" w:type="dxa"/>
              <w:right w:w="115" w:type="dxa"/>
            </w:tcMar>
            <w:vAlign w:val="center"/>
          </w:tcPr>
          <w:p w14:paraId="7F04B5A9" w14:textId="77777777" w:rsidR="00FB4A19" w:rsidRPr="006252D8" w:rsidRDefault="00FB4A19" w:rsidP="00C23021">
            <w:pPr>
              <w:ind w:left="0"/>
              <w:jc w:val="center"/>
            </w:pPr>
            <w:r>
              <w:t>14,929</w:t>
            </w:r>
          </w:p>
        </w:tc>
      </w:tr>
      <w:bookmarkEnd w:id="44"/>
    </w:tbl>
    <w:p w14:paraId="69784EF3" w14:textId="77777777" w:rsidR="00FB4A19" w:rsidRDefault="00FB4A19" w:rsidP="00FB4A19"/>
    <w:p w14:paraId="47799EE9" w14:textId="77777777" w:rsidR="00FB4A19" w:rsidRDefault="00FB4A19" w:rsidP="00FB4A19">
      <w:pPr>
        <w:keepNext/>
        <w:spacing w:line="256" w:lineRule="auto"/>
        <w:rPr>
          <w:rFonts w:eastAsia="Verdana,Times New Roman" w:cs="Verdana,Times New Roman"/>
          <w:b/>
          <w:bCs/>
          <w:u w:val="single"/>
        </w:rPr>
      </w:pPr>
      <w:r>
        <w:rPr>
          <w:rFonts w:eastAsia="Verdana,Times New Roman" w:cs="Verdana,Times New Roman"/>
          <w:b/>
          <w:bCs/>
          <w:u w:val="single"/>
        </w:rPr>
        <w:t>Appeals Views (APAP) on Non-Appeals Databases</w:t>
      </w:r>
    </w:p>
    <w:tbl>
      <w:tblPr>
        <w:tblStyle w:val="TableGrid"/>
        <w:tblW w:w="5303" w:type="dxa"/>
        <w:tblInd w:w="828" w:type="dxa"/>
        <w:tblLayout w:type="fixed"/>
        <w:tblLook w:val="04A0" w:firstRow="1" w:lastRow="0" w:firstColumn="1" w:lastColumn="0" w:noHBand="0" w:noVBand="1"/>
        <w:tblDescription w:val="Table of appeals views on non-appeals databases"/>
      </w:tblPr>
      <w:tblGrid>
        <w:gridCol w:w="3487"/>
        <w:gridCol w:w="1816"/>
      </w:tblGrid>
      <w:tr w:rsidR="00FB4A19" w:rsidRPr="00873442" w14:paraId="7DC2BB29" w14:textId="77777777" w:rsidTr="00C23021">
        <w:trPr>
          <w:cantSplit/>
          <w:tblHeader/>
        </w:trPr>
        <w:tc>
          <w:tcPr>
            <w:tcW w:w="3487" w:type="dxa"/>
            <w:shd w:val="clear" w:color="auto" w:fill="DEEAF6" w:themeFill="accent1" w:themeFillTint="33"/>
            <w:vAlign w:val="center"/>
          </w:tcPr>
          <w:p w14:paraId="1FD23A4C" w14:textId="77777777" w:rsidR="00FB4A19" w:rsidRPr="00E47978" w:rsidRDefault="00FB4A19" w:rsidP="00C23021">
            <w:pPr>
              <w:keepNext/>
              <w:spacing w:after="0"/>
              <w:ind w:left="0"/>
              <w:jc w:val="center"/>
              <w:rPr>
                <w:rFonts w:cs="Arial"/>
                <w:b/>
                <w:color w:val="1F3864" w:themeColor="accent5" w:themeShade="80"/>
              </w:rPr>
            </w:pPr>
            <w:r>
              <w:rPr>
                <w:rFonts w:cs="Arial"/>
                <w:b/>
                <w:color w:val="1F3864" w:themeColor="accent5" w:themeShade="80"/>
              </w:rPr>
              <w:t>Business Area</w:t>
            </w:r>
          </w:p>
        </w:tc>
        <w:tc>
          <w:tcPr>
            <w:tcW w:w="1816" w:type="dxa"/>
            <w:shd w:val="clear" w:color="auto" w:fill="DEEAF6" w:themeFill="accent1" w:themeFillTint="33"/>
            <w:vAlign w:val="center"/>
          </w:tcPr>
          <w:p w14:paraId="5F132D6E" w14:textId="77777777" w:rsidR="00FB4A19" w:rsidRDefault="00FB4A19" w:rsidP="00C23021">
            <w:pPr>
              <w:keepNext/>
              <w:spacing w:after="0"/>
              <w:ind w:left="0"/>
              <w:jc w:val="center"/>
              <w:rPr>
                <w:rFonts w:cs="Arial"/>
                <w:b/>
                <w:color w:val="1F3864" w:themeColor="accent5" w:themeShade="80"/>
              </w:rPr>
            </w:pPr>
            <w:r>
              <w:rPr>
                <w:rFonts w:cs="Arial"/>
                <w:b/>
                <w:color w:val="1F3864" w:themeColor="accent5" w:themeShade="80"/>
              </w:rPr>
              <w:t>View Count</w:t>
            </w:r>
          </w:p>
        </w:tc>
      </w:tr>
      <w:tr w:rsidR="00FB4A19" w:rsidRPr="00873442" w14:paraId="32B45EEF" w14:textId="77777777" w:rsidTr="00C23021">
        <w:trPr>
          <w:cantSplit/>
          <w:trHeight w:hRule="exact" w:val="432"/>
        </w:trPr>
        <w:tc>
          <w:tcPr>
            <w:tcW w:w="3487" w:type="dxa"/>
            <w:tcMar>
              <w:top w:w="115" w:type="dxa"/>
              <w:left w:w="115" w:type="dxa"/>
              <w:bottom w:w="115" w:type="dxa"/>
              <w:right w:w="115" w:type="dxa"/>
            </w:tcMar>
            <w:vAlign w:val="center"/>
          </w:tcPr>
          <w:p w14:paraId="32930ACF" w14:textId="77777777" w:rsidR="00FB4A19" w:rsidRDefault="00FB4A19" w:rsidP="00C23021">
            <w:pPr>
              <w:ind w:left="0"/>
            </w:pPr>
            <w:r>
              <w:t>Benefits Administration</w:t>
            </w:r>
          </w:p>
        </w:tc>
        <w:tc>
          <w:tcPr>
            <w:tcW w:w="1816" w:type="dxa"/>
            <w:tcMar>
              <w:top w:w="115" w:type="dxa"/>
              <w:left w:w="115" w:type="dxa"/>
              <w:bottom w:w="115" w:type="dxa"/>
              <w:right w:w="115" w:type="dxa"/>
            </w:tcMar>
            <w:vAlign w:val="center"/>
          </w:tcPr>
          <w:p w14:paraId="4E1264DD" w14:textId="77777777" w:rsidR="00FB4A19" w:rsidRDefault="00FB4A19" w:rsidP="00C23021">
            <w:pPr>
              <w:ind w:left="0"/>
              <w:jc w:val="center"/>
            </w:pPr>
            <w:r>
              <w:t>62</w:t>
            </w:r>
          </w:p>
        </w:tc>
      </w:tr>
      <w:tr w:rsidR="00FB4A19" w:rsidRPr="00873442" w14:paraId="295E5B1F" w14:textId="77777777" w:rsidTr="00C23021">
        <w:trPr>
          <w:cantSplit/>
          <w:trHeight w:hRule="exact" w:val="432"/>
        </w:trPr>
        <w:tc>
          <w:tcPr>
            <w:tcW w:w="3487" w:type="dxa"/>
            <w:tcMar>
              <w:top w:w="115" w:type="dxa"/>
              <w:left w:w="115" w:type="dxa"/>
              <w:bottom w:w="115" w:type="dxa"/>
              <w:right w:w="115" w:type="dxa"/>
            </w:tcMar>
            <w:vAlign w:val="center"/>
          </w:tcPr>
          <w:p w14:paraId="4CAAB8D6" w14:textId="77777777" w:rsidR="00FB4A19" w:rsidRPr="006252D8" w:rsidRDefault="00FB4A19" w:rsidP="00C23021">
            <w:pPr>
              <w:ind w:left="0"/>
            </w:pPr>
            <w:r>
              <w:t>Employment</w:t>
            </w:r>
          </w:p>
        </w:tc>
        <w:tc>
          <w:tcPr>
            <w:tcW w:w="1816" w:type="dxa"/>
            <w:tcMar>
              <w:top w:w="115" w:type="dxa"/>
              <w:left w:w="115" w:type="dxa"/>
              <w:bottom w:w="115" w:type="dxa"/>
              <w:right w:w="115" w:type="dxa"/>
            </w:tcMar>
            <w:vAlign w:val="center"/>
          </w:tcPr>
          <w:p w14:paraId="4C81C48E" w14:textId="77777777" w:rsidR="00FB4A19" w:rsidRPr="006252D8" w:rsidRDefault="00FB4A19" w:rsidP="00C23021">
            <w:pPr>
              <w:ind w:left="0"/>
              <w:jc w:val="center"/>
            </w:pPr>
            <w:r>
              <w:t>2</w:t>
            </w:r>
          </w:p>
        </w:tc>
      </w:tr>
      <w:tr w:rsidR="00FB4A19" w:rsidRPr="00873442" w14:paraId="5740DE23" w14:textId="77777777" w:rsidTr="00C23021">
        <w:trPr>
          <w:cantSplit/>
          <w:trHeight w:hRule="exact" w:val="432"/>
        </w:trPr>
        <w:tc>
          <w:tcPr>
            <w:tcW w:w="3487" w:type="dxa"/>
            <w:tcMar>
              <w:top w:w="115" w:type="dxa"/>
              <w:left w:w="115" w:type="dxa"/>
              <w:bottom w:w="115" w:type="dxa"/>
              <w:right w:w="115" w:type="dxa"/>
            </w:tcMar>
            <w:vAlign w:val="center"/>
          </w:tcPr>
          <w:p w14:paraId="23DA7E71" w14:textId="77777777" w:rsidR="00FB4A19" w:rsidRPr="008531BC" w:rsidRDefault="00FB4A19" w:rsidP="00C23021">
            <w:pPr>
              <w:ind w:left="0"/>
            </w:pPr>
            <w:r>
              <w:t>Global Data Management</w:t>
            </w:r>
          </w:p>
        </w:tc>
        <w:tc>
          <w:tcPr>
            <w:tcW w:w="1816" w:type="dxa"/>
            <w:tcMar>
              <w:top w:w="115" w:type="dxa"/>
              <w:left w:w="115" w:type="dxa"/>
              <w:bottom w:w="115" w:type="dxa"/>
              <w:right w:w="115" w:type="dxa"/>
            </w:tcMar>
            <w:vAlign w:val="center"/>
          </w:tcPr>
          <w:p w14:paraId="10318826" w14:textId="77777777" w:rsidR="00FB4A19" w:rsidRPr="006252D8" w:rsidRDefault="00FB4A19" w:rsidP="00C23021">
            <w:pPr>
              <w:ind w:left="0"/>
              <w:jc w:val="center"/>
            </w:pPr>
            <w:r>
              <w:t>28</w:t>
            </w:r>
          </w:p>
        </w:tc>
      </w:tr>
      <w:tr w:rsidR="00FB4A19" w:rsidRPr="00873442" w14:paraId="233BFBC8" w14:textId="77777777" w:rsidTr="00C23021">
        <w:trPr>
          <w:cantSplit/>
          <w:trHeight w:hRule="exact" w:val="432"/>
        </w:trPr>
        <w:tc>
          <w:tcPr>
            <w:tcW w:w="3487" w:type="dxa"/>
            <w:tcMar>
              <w:top w:w="115" w:type="dxa"/>
              <w:left w:w="115" w:type="dxa"/>
              <w:bottom w:w="115" w:type="dxa"/>
              <w:right w:w="115" w:type="dxa"/>
            </w:tcMar>
            <w:vAlign w:val="center"/>
          </w:tcPr>
          <w:p w14:paraId="6E96D7BA" w14:textId="77777777" w:rsidR="00FB4A19" w:rsidRDefault="00FB4A19" w:rsidP="00C23021">
            <w:pPr>
              <w:ind w:left="0"/>
            </w:pPr>
            <w:r>
              <w:t>Human Resources</w:t>
            </w:r>
          </w:p>
        </w:tc>
        <w:tc>
          <w:tcPr>
            <w:tcW w:w="1816" w:type="dxa"/>
            <w:tcMar>
              <w:top w:w="115" w:type="dxa"/>
              <w:left w:w="115" w:type="dxa"/>
              <w:bottom w:w="115" w:type="dxa"/>
              <w:right w:w="115" w:type="dxa"/>
            </w:tcMar>
            <w:vAlign w:val="center"/>
          </w:tcPr>
          <w:p w14:paraId="2BDEF3CE" w14:textId="77777777" w:rsidR="00FB4A19" w:rsidRDefault="00FB4A19" w:rsidP="00C23021">
            <w:pPr>
              <w:ind w:left="0"/>
              <w:jc w:val="center"/>
            </w:pPr>
            <w:r>
              <w:t>1</w:t>
            </w:r>
          </w:p>
        </w:tc>
      </w:tr>
      <w:tr w:rsidR="00FB4A19" w:rsidRPr="00873442" w14:paraId="122F1770" w14:textId="77777777" w:rsidTr="00C23021">
        <w:trPr>
          <w:cantSplit/>
          <w:trHeight w:hRule="exact" w:val="432"/>
        </w:trPr>
        <w:tc>
          <w:tcPr>
            <w:tcW w:w="3487" w:type="dxa"/>
            <w:tcMar>
              <w:top w:w="115" w:type="dxa"/>
              <w:left w:w="115" w:type="dxa"/>
              <w:bottom w:w="115" w:type="dxa"/>
              <w:right w:w="115" w:type="dxa"/>
            </w:tcMar>
            <w:vAlign w:val="center"/>
          </w:tcPr>
          <w:p w14:paraId="4F36E83E" w14:textId="77777777" w:rsidR="00FB4A19" w:rsidRDefault="00FB4A19" w:rsidP="00C23021">
            <w:pPr>
              <w:ind w:left="0"/>
            </w:pPr>
            <w:r>
              <w:t>Planning</w:t>
            </w:r>
          </w:p>
        </w:tc>
        <w:tc>
          <w:tcPr>
            <w:tcW w:w="1816" w:type="dxa"/>
            <w:tcMar>
              <w:top w:w="115" w:type="dxa"/>
              <w:left w:w="115" w:type="dxa"/>
              <w:bottom w:w="115" w:type="dxa"/>
              <w:right w:w="115" w:type="dxa"/>
            </w:tcMar>
            <w:vAlign w:val="center"/>
          </w:tcPr>
          <w:p w14:paraId="08788265" w14:textId="77777777" w:rsidR="00FB4A19" w:rsidRDefault="00FB4A19" w:rsidP="00C23021">
            <w:pPr>
              <w:ind w:left="0"/>
              <w:jc w:val="center"/>
            </w:pPr>
            <w:r>
              <w:t>1</w:t>
            </w:r>
          </w:p>
        </w:tc>
      </w:tr>
      <w:tr w:rsidR="00FB4A19" w:rsidRPr="00873442" w14:paraId="0D15881D" w14:textId="77777777" w:rsidTr="00C23021">
        <w:trPr>
          <w:cantSplit/>
          <w:trHeight w:hRule="exact" w:val="432"/>
        </w:trPr>
        <w:tc>
          <w:tcPr>
            <w:tcW w:w="3487" w:type="dxa"/>
            <w:tcMar>
              <w:top w:w="115" w:type="dxa"/>
              <w:left w:w="115" w:type="dxa"/>
              <w:bottom w:w="115" w:type="dxa"/>
              <w:right w:w="115" w:type="dxa"/>
            </w:tcMar>
            <w:vAlign w:val="center"/>
          </w:tcPr>
          <w:p w14:paraId="33A2E6C0" w14:textId="77777777" w:rsidR="00FB4A19" w:rsidRDefault="00FB4A19" w:rsidP="00C23021">
            <w:pPr>
              <w:ind w:left="0"/>
            </w:pPr>
            <w:r>
              <w:t>Tax Administration</w:t>
            </w:r>
          </w:p>
        </w:tc>
        <w:tc>
          <w:tcPr>
            <w:tcW w:w="1816" w:type="dxa"/>
            <w:tcMar>
              <w:top w:w="115" w:type="dxa"/>
              <w:left w:w="115" w:type="dxa"/>
              <w:bottom w:w="115" w:type="dxa"/>
              <w:right w:w="115" w:type="dxa"/>
            </w:tcMar>
            <w:vAlign w:val="center"/>
          </w:tcPr>
          <w:p w14:paraId="0B7B1D09" w14:textId="77777777" w:rsidR="00FB4A19" w:rsidRDefault="00FB4A19" w:rsidP="00C23021">
            <w:pPr>
              <w:ind w:left="0"/>
              <w:jc w:val="center"/>
            </w:pPr>
            <w:r>
              <w:t>3</w:t>
            </w:r>
          </w:p>
        </w:tc>
      </w:tr>
    </w:tbl>
    <w:p w14:paraId="0E136999" w14:textId="77777777" w:rsidR="00FB4A19" w:rsidRDefault="00FB4A19" w:rsidP="00FB4A19"/>
    <w:p w14:paraId="19C6DABE" w14:textId="77777777" w:rsidR="00FB4A19" w:rsidRDefault="00FB4A19" w:rsidP="00FB4A19">
      <w:pPr>
        <w:spacing w:line="256" w:lineRule="auto"/>
        <w:rPr>
          <w:rFonts w:eastAsia="Verdana,Times New Roman" w:cs="Verdana,Times New Roman"/>
          <w:b/>
          <w:bCs/>
          <w:u w:val="single"/>
        </w:rPr>
      </w:pPr>
      <w:r>
        <w:rPr>
          <w:rFonts w:eastAsia="Verdana,Times New Roman" w:cs="Verdana,Times New Roman"/>
          <w:b/>
          <w:bCs/>
          <w:u w:val="single"/>
        </w:rPr>
        <w:t>Benefits Views (BABP) on Non-Benefits Databases</w:t>
      </w:r>
    </w:p>
    <w:tbl>
      <w:tblPr>
        <w:tblStyle w:val="TableGrid"/>
        <w:tblW w:w="5303" w:type="dxa"/>
        <w:tblInd w:w="828" w:type="dxa"/>
        <w:tblLayout w:type="fixed"/>
        <w:tblLook w:val="04A0" w:firstRow="1" w:lastRow="0" w:firstColumn="1" w:lastColumn="0" w:noHBand="0" w:noVBand="1"/>
        <w:tblDescription w:val="Table of benefits views on non-benefits databases"/>
      </w:tblPr>
      <w:tblGrid>
        <w:gridCol w:w="3487"/>
        <w:gridCol w:w="1816"/>
      </w:tblGrid>
      <w:tr w:rsidR="00FB4A19" w:rsidRPr="00873442" w14:paraId="226E49EF" w14:textId="77777777" w:rsidTr="00C23021">
        <w:trPr>
          <w:cantSplit/>
          <w:tblHeader/>
        </w:trPr>
        <w:tc>
          <w:tcPr>
            <w:tcW w:w="3487" w:type="dxa"/>
            <w:shd w:val="clear" w:color="auto" w:fill="DEEAF6" w:themeFill="accent1" w:themeFillTint="33"/>
            <w:vAlign w:val="center"/>
          </w:tcPr>
          <w:p w14:paraId="7CC25B6C" w14:textId="77777777" w:rsidR="00FB4A19" w:rsidRPr="00E47978" w:rsidRDefault="00FB4A19" w:rsidP="00C23021">
            <w:pPr>
              <w:spacing w:after="0"/>
              <w:ind w:left="0"/>
              <w:jc w:val="center"/>
              <w:rPr>
                <w:rFonts w:cs="Arial"/>
                <w:b/>
                <w:color w:val="1F3864" w:themeColor="accent5" w:themeShade="80"/>
              </w:rPr>
            </w:pPr>
            <w:r>
              <w:rPr>
                <w:rFonts w:cs="Arial"/>
                <w:b/>
                <w:color w:val="1F3864" w:themeColor="accent5" w:themeShade="80"/>
              </w:rPr>
              <w:t>Business Area</w:t>
            </w:r>
          </w:p>
        </w:tc>
        <w:tc>
          <w:tcPr>
            <w:tcW w:w="1816" w:type="dxa"/>
            <w:shd w:val="clear" w:color="auto" w:fill="DEEAF6" w:themeFill="accent1" w:themeFillTint="33"/>
            <w:vAlign w:val="center"/>
          </w:tcPr>
          <w:p w14:paraId="473A4B79" w14:textId="77777777" w:rsidR="00FB4A19" w:rsidRDefault="00FB4A19" w:rsidP="00C23021">
            <w:pPr>
              <w:spacing w:after="0"/>
              <w:ind w:left="0"/>
              <w:jc w:val="center"/>
              <w:rPr>
                <w:rFonts w:cs="Arial"/>
                <w:b/>
                <w:color w:val="1F3864" w:themeColor="accent5" w:themeShade="80"/>
              </w:rPr>
            </w:pPr>
            <w:r>
              <w:rPr>
                <w:rFonts w:cs="Arial"/>
                <w:b/>
                <w:color w:val="1F3864" w:themeColor="accent5" w:themeShade="80"/>
              </w:rPr>
              <w:t>View Count</w:t>
            </w:r>
          </w:p>
        </w:tc>
      </w:tr>
      <w:tr w:rsidR="00FB4A19" w:rsidRPr="00873442" w14:paraId="409F0A9E" w14:textId="77777777" w:rsidTr="00C23021">
        <w:trPr>
          <w:cantSplit/>
          <w:trHeight w:hRule="exact" w:val="432"/>
        </w:trPr>
        <w:tc>
          <w:tcPr>
            <w:tcW w:w="3487" w:type="dxa"/>
            <w:tcMar>
              <w:top w:w="115" w:type="dxa"/>
              <w:left w:w="115" w:type="dxa"/>
              <w:bottom w:w="115" w:type="dxa"/>
              <w:right w:w="115" w:type="dxa"/>
            </w:tcMar>
            <w:vAlign w:val="center"/>
          </w:tcPr>
          <w:p w14:paraId="7C171BA7" w14:textId="77777777" w:rsidR="00FB4A19" w:rsidRDefault="00FB4A19" w:rsidP="00C23021">
            <w:pPr>
              <w:ind w:left="0"/>
            </w:pPr>
            <w:r>
              <w:t>Appeals</w:t>
            </w:r>
          </w:p>
        </w:tc>
        <w:tc>
          <w:tcPr>
            <w:tcW w:w="1816" w:type="dxa"/>
            <w:tcMar>
              <w:top w:w="115" w:type="dxa"/>
              <w:left w:w="115" w:type="dxa"/>
              <w:bottom w:w="115" w:type="dxa"/>
              <w:right w:w="115" w:type="dxa"/>
            </w:tcMar>
            <w:vAlign w:val="center"/>
          </w:tcPr>
          <w:p w14:paraId="1D8CE0F6" w14:textId="77777777" w:rsidR="00FB4A19" w:rsidRDefault="00FB4A19" w:rsidP="00C23021">
            <w:pPr>
              <w:ind w:left="0"/>
              <w:jc w:val="center"/>
            </w:pPr>
            <w:r>
              <w:t>24</w:t>
            </w:r>
          </w:p>
        </w:tc>
      </w:tr>
      <w:tr w:rsidR="00FB4A19" w:rsidRPr="00873442" w14:paraId="56047592" w14:textId="77777777" w:rsidTr="00C23021">
        <w:trPr>
          <w:cantSplit/>
          <w:trHeight w:hRule="exact" w:val="432"/>
        </w:trPr>
        <w:tc>
          <w:tcPr>
            <w:tcW w:w="3487" w:type="dxa"/>
            <w:tcMar>
              <w:top w:w="115" w:type="dxa"/>
              <w:left w:w="115" w:type="dxa"/>
              <w:bottom w:w="115" w:type="dxa"/>
              <w:right w:w="115" w:type="dxa"/>
            </w:tcMar>
            <w:vAlign w:val="center"/>
          </w:tcPr>
          <w:p w14:paraId="306733A7" w14:textId="77777777" w:rsidR="00FB4A19" w:rsidRDefault="00FB4A19" w:rsidP="00C23021">
            <w:pPr>
              <w:ind w:left="0"/>
            </w:pPr>
            <w:r>
              <w:t>Complaint Management</w:t>
            </w:r>
          </w:p>
        </w:tc>
        <w:tc>
          <w:tcPr>
            <w:tcW w:w="1816" w:type="dxa"/>
            <w:tcMar>
              <w:top w:w="115" w:type="dxa"/>
              <w:left w:w="115" w:type="dxa"/>
              <w:bottom w:w="115" w:type="dxa"/>
              <w:right w:w="115" w:type="dxa"/>
            </w:tcMar>
            <w:vAlign w:val="center"/>
          </w:tcPr>
          <w:p w14:paraId="023568DC" w14:textId="77777777" w:rsidR="00FB4A19" w:rsidRDefault="00FB4A19" w:rsidP="00C23021">
            <w:pPr>
              <w:ind w:left="0"/>
              <w:jc w:val="center"/>
            </w:pPr>
            <w:r>
              <w:t>3</w:t>
            </w:r>
          </w:p>
        </w:tc>
      </w:tr>
      <w:tr w:rsidR="00FB4A19" w:rsidRPr="00873442" w14:paraId="4694BAC5" w14:textId="77777777" w:rsidTr="00C23021">
        <w:trPr>
          <w:cantSplit/>
          <w:trHeight w:hRule="exact" w:val="432"/>
        </w:trPr>
        <w:tc>
          <w:tcPr>
            <w:tcW w:w="3487" w:type="dxa"/>
            <w:tcMar>
              <w:top w:w="115" w:type="dxa"/>
              <w:left w:w="115" w:type="dxa"/>
              <w:bottom w:w="115" w:type="dxa"/>
              <w:right w:w="115" w:type="dxa"/>
            </w:tcMar>
            <w:vAlign w:val="center"/>
          </w:tcPr>
          <w:p w14:paraId="041F3DFB" w14:textId="77777777" w:rsidR="00FB4A19" w:rsidRPr="006252D8" w:rsidRDefault="00FB4A19" w:rsidP="00C23021">
            <w:pPr>
              <w:ind w:left="0"/>
            </w:pPr>
            <w:r>
              <w:t>Employment</w:t>
            </w:r>
          </w:p>
        </w:tc>
        <w:tc>
          <w:tcPr>
            <w:tcW w:w="1816" w:type="dxa"/>
            <w:tcMar>
              <w:top w:w="115" w:type="dxa"/>
              <w:left w:w="115" w:type="dxa"/>
              <w:bottom w:w="115" w:type="dxa"/>
              <w:right w:w="115" w:type="dxa"/>
            </w:tcMar>
            <w:vAlign w:val="center"/>
          </w:tcPr>
          <w:p w14:paraId="3D998BCB" w14:textId="77777777" w:rsidR="00FB4A19" w:rsidRPr="006252D8" w:rsidRDefault="00FB4A19" w:rsidP="00C23021">
            <w:pPr>
              <w:ind w:left="0"/>
              <w:jc w:val="center"/>
            </w:pPr>
            <w:r>
              <w:t>12</w:t>
            </w:r>
          </w:p>
        </w:tc>
      </w:tr>
      <w:tr w:rsidR="00FB4A19" w:rsidRPr="00873442" w14:paraId="503F37F7" w14:textId="77777777" w:rsidTr="00C23021">
        <w:trPr>
          <w:cantSplit/>
          <w:trHeight w:hRule="exact" w:val="432"/>
        </w:trPr>
        <w:tc>
          <w:tcPr>
            <w:tcW w:w="3487" w:type="dxa"/>
            <w:tcMar>
              <w:top w:w="115" w:type="dxa"/>
              <w:left w:w="115" w:type="dxa"/>
              <w:bottom w:w="115" w:type="dxa"/>
              <w:right w:w="115" w:type="dxa"/>
            </w:tcMar>
            <w:vAlign w:val="center"/>
          </w:tcPr>
          <w:p w14:paraId="52CDF11B" w14:textId="77777777" w:rsidR="00FB4A19" w:rsidRPr="008531BC" w:rsidRDefault="00FB4A19" w:rsidP="00C23021">
            <w:pPr>
              <w:ind w:left="0"/>
            </w:pPr>
            <w:r>
              <w:t>Global Data Management</w:t>
            </w:r>
          </w:p>
        </w:tc>
        <w:tc>
          <w:tcPr>
            <w:tcW w:w="1816" w:type="dxa"/>
            <w:tcMar>
              <w:top w:w="115" w:type="dxa"/>
              <w:left w:w="115" w:type="dxa"/>
              <w:bottom w:w="115" w:type="dxa"/>
              <w:right w:w="115" w:type="dxa"/>
            </w:tcMar>
            <w:vAlign w:val="center"/>
          </w:tcPr>
          <w:p w14:paraId="41A774F8" w14:textId="77777777" w:rsidR="00FB4A19" w:rsidRPr="006252D8" w:rsidRDefault="00FB4A19" w:rsidP="00C23021">
            <w:pPr>
              <w:ind w:left="0"/>
              <w:jc w:val="center"/>
            </w:pPr>
            <w:r>
              <w:t>72</w:t>
            </w:r>
          </w:p>
        </w:tc>
      </w:tr>
      <w:tr w:rsidR="00FB4A19" w:rsidRPr="00873442" w14:paraId="1E63C6AA" w14:textId="77777777" w:rsidTr="00C23021">
        <w:trPr>
          <w:cantSplit/>
          <w:trHeight w:hRule="exact" w:val="432"/>
        </w:trPr>
        <w:tc>
          <w:tcPr>
            <w:tcW w:w="3487" w:type="dxa"/>
            <w:tcMar>
              <w:top w:w="115" w:type="dxa"/>
              <w:left w:w="115" w:type="dxa"/>
              <w:bottom w:w="115" w:type="dxa"/>
              <w:right w:w="115" w:type="dxa"/>
            </w:tcMar>
            <w:vAlign w:val="center"/>
          </w:tcPr>
          <w:p w14:paraId="2452F1D3" w14:textId="77777777" w:rsidR="00FB4A19" w:rsidRDefault="00FB4A19" w:rsidP="00C23021">
            <w:pPr>
              <w:ind w:left="0"/>
            </w:pPr>
            <w:r>
              <w:t>Human Resources</w:t>
            </w:r>
          </w:p>
        </w:tc>
        <w:tc>
          <w:tcPr>
            <w:tcW w:w="1816" w:type="dxa"/>
            <w:tcMar>
              <w:top w:w="115" w:type="dxa"/>
              <w:left w:w="115" w:type="dxa"/>
              <w:bottom w:w="115" w:type="dxa"/>
              <w:right w:w="115" w:type="dxa"/>
            </w:tcMar>
            <w:vAlign w:val="center"/>
          </w:tcPr>
          <w:p w14:paraId="1D13DF21" w14:textId="77777777" w:rsidR="00FB4A19" w:rsidRDefault="00FB4A19" w:rsidP="00C23021">
            <w:pPr>
              <w:ind w:left="0"/>
              <w:jc w:val="center"/>
            </w:pPr>
            <w:r>
              <w:t>5</w:t>
            </w:r>
          </w:p>
        </w:tc>
      </w:tr>
      <w:tr w:rsidR="00FB4A19" w:rsidRPr="00873442" w14:paraId="68F3BFA3" w14:textId="77777777" w:rsidTr="00C23021">
        <w:trPr>
          <w:cantSplit/>
          <w:trHeight w:hRule="exact" w:val="432"/>
        </w:trPr>
        <w:tc>
          <w:tcPr>
            <w:tcW w:w="3487" w:type="dxa"/>
            <w:tcMar>
              <w:top w:w="115" w:type="dxa"/>
              <w:left w:w="115" w:type="dxa"/>
              <w:bottom w:w="115" w:type="dxa"/>
              <w:right w:w="115" w:type="dxa"/>
            </w:tcMar>
            <w:vAlign w:val="center"/>
          </w:tcPr>
          <w:p w14:paraId="74C91AC8" w14:textId="77777777" w:rsidR="00FB4A19" w:rsidRDefault="00FB4A19" w:rsidP="00C23021">
            <w:pPr>
              <w:ind w:left="0"/>
            </w:pPr>
            <w:r>
              <w:t>Information Management</w:t>
            </w:r>
          </w:p>
        </w:tc>
        <w:tc>
          <w:tcPr>
            <w:tcW w:w="1816" w:type="dxa"/>
            <w:tcMar>
              <w:top w:w="115" w:type="dxa"/>
              <w:left w:w="115" w:type="dxa"/>
              <w:bottom w:w="115" w:type="dxa"/>
              <w:right w:w="115" w:type="dxa"/>
            </w:tcMar>
            <w:vAlign w:val="center"/>
          </w:tcPr>
          <w:p w14:paraId="62155F3E" w14:textId="77777777" w:rsidR="00FB4A19" w:rsidRDefault="00FB4A19" w:rsidP="00C23021">
            <w:pPr>
              <w:ind w:left="0"/>
              <w:jc w:val="center"/>
            </w:pPr>
            <w:r>
              <w:t>4</w:t>
            </w:r>
          </w:p>
        </w:tc>
      </w:tr>
      <w:tr w:rsidR="00FB4A19" w:rsidRPr="00873442" w14:paraId="37ECAA1D" w14:textId="77777777" w:rsidTr="00C23021">
        <w:trPr>
          <w:cantSplit/>
          <w:trHeight w:hRule="exact" w:val="432"/>
        </w:trPr>
        <w:tc>
          <w:tcPr>
            <w:tcW w:w="3487" w:type="dxa"/>
            <w:tcMar>
              <w:top w:w="115" w:type="dxa"/>
              <w:left w:w="115" w:type="dxa"/>
              <w:bottom w:w="115" w:type="dxa"/>
              <w:right w:w="115" w:type="dxa"/>
            </w:tcMar>
            <w:vAlign w:val="center"/>
          </w:tcPr>
          <w:p w14:paraId="6A0BC28E" w14:textId="77777777" w:rsidR="00FB4A19" w:rsidRDefault="00FB4A19" w:rsidP="00C23021">
            <w:pPr>
              <w:ind w:left="0"/>
            </w:pPr>
            <w:r>
              <w:lastRenderedPageBreak/>
              <w:t>Individual Registration</w:t>
            </w:r>
          </w:p>
        </w:tc>
        <w:tc>
          <w:tcPr>
            <w:tcW w:w="1816" w:type="dxa"/>
            <w:tcMar>
              <w:top w:w="115" w:type="dxa"/>
              <w:left w:w="115" w:type="dxa"/>
              <w:bottom w:w="115" w:type="dxa"/>
              <w:right w:w="115" w:type="dxa"/>
            </w:tcMar>
            <w:vAlign w:val="center"/>
          </w:tcPr>
          <w:p w14:paraId="6033A277" w14:textId="77777777" w:rsidR="00FB4A19" w:rsidRDefault="00FB4A19" w:rsidP="00C23021">
            <w:pPr>
              <w:ind w:left="0"/>
              <w:jc w:val="center"/>
            </w:pPr>
            <w:r>
              <w:t>1</w:t>
            </w:r>
          </w:p>
        </w:tc>
      </w:tr>
      <w:tr w:rsidR="00FB4A19" w:rsidRPr="00873442" w14:paraId="392E225F" w14:textId="77777777" w:rsidTr="00C23021">
        <w:trPr>
          <w:cantSplit/>
          <w:trHeight w:hRule="exact" w:val="432"/>
        </w:trPr>
        <w:tc>
          <w:tcPr>
            <w:tcW w:w="3487" w:type="dxa"/>
            <w:tcMar>
              <w:top w:w="115" w:type="dxa"/>
              <w:left w:w="115" w:type="dxa"/>
              <w:bottom w:w="115" w:type="dxa"/>
              <w:right w:w="115" w:type="dxa"/>
            </w:tcMar>
            <w:vAlign w:val="center"/>
          </w:tcPr>
          <w:p w14:paraId="0D46F02E" w14:textId="77777777" w:rsidR="00FB4A19" w:rsidRDefault="00FB4A19" w:rsidP="00C23021">
            <w:pPr>
              <w:ind w:left="0"/>
            </w:pPr>
            <w:r>
              <w:t>Policy Administration</w:t>
            </w:r>
          </w:p>
        </w:tc>
        <w:tc>
          <w:tcPr>
            <w:tcW w:w="1816" w:type="dxa"/>
            <w:tcMar>
              <w:top w:w="115" w:type="dxa"/>
              <w:left w:w="115" w:type="dxa"/>
              <w:bottom w:w="115" w:type="dxa"/>
              <w:right w:w="115" w:type="dxa"/>
            </w:tcMar>
            <w:vAlign w:val="center"/>
          </w:tcPr>
          <w:p w14:paraId="7578DFC9" w14:textId="77777777" w:rsidR="00FB4A19" w:rsidRDefault="00FB4A19" w:rsidP="00C23021">
            <w:pPr>
              <w:ind w:left="0"/>
              <w:jc w:val="center"/>
            </w:pPr>
            <w:r>
              <w:t>1</w:t>
            </w:r>
          </w:p>
        </w:tc>
      </w:tr>
      <w:tr w:rsidR="00FB4A19" w:rsidRPr="00873442" w14:paraId="54AA7902" w14:textId="77777777" w:rsidTr="00C23021">
        <w:trPr>
          <w:cantSplit/>
          <w:trHeight w:hRule="exact" w:val="432"/>
        </w:trPr>
        <w:tc>
          <w:tcPr>
            <w:tcW w:w="3487" w:type="dxa"/>
            <w:tcMar>
              <w:top w:w="115" w:type="dxa"/>
              <w:left w:w="115" w:type="dxa"/>
              <w:bottom w:w="115" w:type="dxa"/>
              <w:right w:w="115" w:type="dxa"/>
            </w:tcMar>
            <w:vAlign w:val="center"/>
          </w:tcPr>
          <w:p w14:paraId="39E97632" w14:textId="77777777" w:rsidR="00FB4A19" w:rsidRDefault="00FB4A19" w:rsidP="00C23021">
            <w:pPr>
              <w:ind w:left="0"/>
            </w:pPr>
            <w:r>
              <w:t>Planning</w:t>
            </w:r>
          </w:p>
        </w:tc>
        <w:tc>
          <w:tcPr>
            <w:tcW w:w="1816" w:type="dxa"/>
            <w:tcMar>
              <w:top w:w="115" w:type="dxa"/>
              <w:left w:w="115" w:type="dxa"/>
              <w:bottom w:w="115" w:type="dxa"/>
              <w:right w:w="115" w:type="dxa"/>
            </w:tcMar>
            <w:vAlign w:val="center"/>
          </w:tcPr>
          <w:p w14:paraId="4C683448" w14:textId="77777777" w:rsidR="00FB4A19" w:rsidRDefault="00FB4A19" w:rsidP="00C23021">
            <w:pPr>
              <w:ind w:left="0"/>
              <w:jc w:val="center"/>
            </w:pPr>
            <w:r>
              <w:t>1</w:t>
            </w:r>
          </w:p>
        </w:tc>
      </w:tr>
      <w:tr w:rsidR="00FB4A19" w:rsidRPr="00873442" w14:paraId="2F4F7307" w14:textId="77777777" w:rsidTr="00C23021">
        <w:trPr>
          <w:cantSplit/>
          <w:trHeight w:hRule="exact" w:val="432"/>
        </w:trPr>
        <w:tc>
          <w:tcPr>
            <w:tcW w:w="3487" w:type="dxa"/>
            <w:tcMar>
              <w:top w:w="115" w:type="dxa"/>
              <w:left w:w="115" w:type="dxa"/>
              <w:bottom w:w="115" w:type="dxa"/>
              <w:right w:w="115" w:type="dxa"/>
            </w:tcMar>
            <w:vAlign w:val="center"/>
          </w:tcPr>
          <w:p w14:paraId="2AF12D2D" w14:textId="77777777" w:rsidR="00FB4A19" w:rsidRDefault="00FB4A19" w:rsidP="00C23021">
            <w:pPr>
              <w:ind w:left="0"/>
            </w:pPr>
            <w:r>
              <w:t>Tax Administration</w:t>
            </w:r>
          </w:p>
        </w:tc>
        <w:tc>
          <w:tcPr>
            <w:tcW w:w="1816" w:type="dxa"/>
            <w:tcMar>
              <w:top w:w="115" w:type="dxa"/>
              <w:left w:w="115" w:type="dxa"/>
              <w:bottom w:w="115" w:type="dxa"/>
              <w:right w:w="115" w:type="dxa"/>
            </w:tcMar>
            <w:vAlign w:val="center"/>
          </w:tcPr>
          <w:p w14:paraId="015EDCF6" w14:textId="77777777" w:rsidR="00FB4A19" w:rsidRDefault="00FB4A19" w:rsidP="00C23021">
            <w:pPr>
              <w:ind w:left="0"/>
              <w:jc w:val="center"/>
            </w:pPr>
            <w:r>
              <w:t>22</w:t>
            </w:r>
          </w:p>
        </w:tc>
      </w:tr>
    </w:tbl>
    <w:p w14:paraId="15FCAD16" w14:textId="77777777" w:rsidR="00FB4A19" w:rsidRDefault="00FB4A19" w:rsidP="00FB4A19"/>
    <w:p w14:paraId="1988E64B" w14:textId="77777777" w:rsidR="00FB4A19" w:rsidRDefault="00FB4A19" w:rsidP="00FB4A19">
      <w:pPr>
        <w:spacing w:line="256" w:lineRule="auto"/>
        <w:rPr>
          <w:rFonts w:eastAsia="Verdana,Times New Roman" w:cs="Verdana,Times New Roman"/>
          <w:b/>
          <w:bCs/>
          <w:u w:val="single"/>
        </w:rPr>
      </w:pPr>
      <w:r>
        <w:rPr>
          <w:rFonts w:eastAsia="Verdana,Times New Roman" w:cs="Verdana,Times New Roman"/>
          <w:b/>
          <w:bCs/>
          <w:u w:val="single"/>
        </w:rPr>
        <w:t>Tax Views (TATX) on Non-Tax Databases</w:t>
      </w:r>
    </w:p>
    <w:tbl>
      <w:tblPr>
        <w:tblStyle w:val="TableGrid"/>
        <w:tblW w:w="5377" w:type="dxa"/>
        <w:tblInd w:w="828" w:type="dxa"/>
        <w:tblLayout w:type="fixed"/>
        <w:tblLook w:val="04A0" w:firstRow="1" w:lastRow="0" w:firstColumn="1" w:lastColumn="0" w:noHBand="0" w:noVBand="1"/>
        <w:tblDescription w:val="Table of tax views on non-tax databases"/>
      </w:tblPr>
      <w:tblGrid>
        <w:gridCol w:w="3501"/>
        <w:gridCol w:w="1876"/>
      </w:tblGrid>
      <w:tr w:rsidR="00FB4A19" w:rsidRPr="00873442" w14:paraId="6A5F035A" w14:textId="77777777" w:rsidTr="00C23021">
        <w:trPr>
          <w:cantSplit/>
          <w:tblHeader/>
        </w:trPr>
        <w:tc>
          <w:tcPr>
            <w:tcW w:w="3528" w:type="dxa"/>
            <w:shd w:val="clear" w:color="auto" w:fill="DEEAF6" w:themeFill="accent1" w:themeFillTint="33"/>
            <w:vAlign w:val="center"/>
          </w:tcPr>
          <w:p w14:paraId="33F79D68" w14:textId="77777777" w:rsidR="00FB4A19" w:rsidRPr="00E47978" w:rsidRDefault="00FB4A19" w:rsidP="00C23021">
            <w:pPr>
              <w:spacing w:after="0"/>
              <w:ind w:left="0"/>
              <w:jc w:val="center"/>
              <w:rPr>
                <w:rFonts w:cs="Arial"/>
                <w:b/>
                <w:color w:val="1F3864" w:themeColor="accent5" w:themeShade="80"/>
              </w:rPr>
            </w:pPr>
            <w:r>
              <w:rPr>
                <w:rFonts w:cs="Arial"/>
                <w:b/>
                <w:color w:val="1F3864" w:themeColor="accent5" w:themeShade="80"/>
              </w:rPr>
              <w:t>Business Area</w:t>
            </w:r>
          </w:p>
        </w:tc>
        <w:tc>
          <w:tcPr>
            <w:tcW w:w="1890" w:type="dxa"/>
            <w:shd w:val="clear" w:color="auto" w:fill="DEEAF6" w:themeFill="accent1" w:themeFillTint="33"/>
            <w:vAlign w:val="center"/>
          </w:tcPr>
          <w:p w14:paraId="3D5E6BEC" w14:textId="77777777" w:rsidR="00FB4A19" w:rsidRDefault="00FB4A19" w:rsidP="00C23021">
            <w:pPr>
              <w:spacing w:after="0"/>
              <w:ind w:left="0"/>
              <w:jc w:val="center"/>
              <w:rPr>
                <w:rFonts w:cs="Arial"/>
                <w:b/>
                <w:color w:val="1F3864" w:themeColor="accent5" w:themeShade="80"/>
              </w:rPr>
            </w:pPr>
            <w:r>
              <w:rPr>
                <w:rFonts w:cs="Arial"/>
                <w:b/>
                <w:color w:val="1F3864" w:themeColor="accent5" w:themeShade="80"/>
              </w:rPr>
              <w:t>View Count</w:t>
            </w:r>
          </w:p>
        </w:tc>
      </w:tr>
      <w:tr w:rsidR="00FB4A19" w:rsidRPr="00873442" w14:paraId="5C015D68" w14:textId="77777777" w:rsidTr="00C23021">
        <w:trPr>
          <w:cantSplit/>
          <w:trHeight w:hRule="exact" w:val="432"/>
        </w:trPr>
        <w:tc>
          <w:tcPr>
            <w:tcW w:w="3528" w:type="dxa"/>
            <w:tcMar>
              <w:top w:w="115" w:type="dxa"/>
              <w:left w:w="115" w:type="dxa"/>
              <w:bottom w:w="115" w:type="dxa"/>
              <w:right w:w="115" w:type="dxa"/>
            </w:tcMar>
            <w:vAlign w:val="center"/>
          </w:tcPr>
          <w:p w14:paraId="5A108848" w14:textId="77777777" w:rsidR="00FB4A19" w:rsidRDefault="00FB4A19" w:rsidP="00C23021">
            <w:pPr>
              <w:ind w:left="0"/>
            </w:pPr>
            <w:r>
              <w:t>Benefits Administration</w:t>
            </w:r>
          </w:p>
        </w:tc>
        <w:tc>
          <w:tcPr>
            <w:tcW w:w="1890" w:type="dxa"/>
            <w:tcMar>
              <w:top w:w="115" w:type="dxa"/>
              <w:left w:w="115" w:type="dxa"/>
              <w:bottom w:w="115" w:type="dxa"/>
              <w:right w:w="115" w:type="dxa"/>
            </w:tcMar>
            <w:vAlign w:val="center"/>
          </w:tcPr>
          <w:p w14:paraId="47492446" w14:textId="77777777" w:rsidR="00FB4A19" w:rsidRDefault="00FB4A19" w:rsidP="00C23021">
            <w:pPr>
              <w:ind w:left="0"/>
              <w:jc w:val="center"/>
            </w:pPr>
            <w:r>
              <w:t>23</w:t>
            </w:r>
          </w:p>
        </w:tc>
      </w:tr>
      <w:tr w:rsidR="00FB4A19" w:rsidRPr="00873442" w14:paraId="01BB4671" w14:textId="77777777" w:rsidTr="00C23021">
        <w:trPr>
          <w:cantSplit/>
          <w:trHeight w:hRule="exact" w:val="432"/>
        </w:trPr>
        <w:tc>
          <w:tcPr>
            <w:tcW w:w="3528" w:type="dxa"/>
            <w:tcMar>
              <w:top w:w="115" w:type="dxa"/>
              <w:left w:w="115" w:type="dxa"/>
              <w:bottom w:w="115" w:type="dxa"/>
              <w:right w:w="115" w:type="dxa"/>
            </w:tcMar>
            <w:vAlign w:val="center"/>
          </w:tcPr>
          <w:p w14:paraId="3B693FAA" w14:textId="77777777" w:rsidR="00FB4A19" w:rsidRPr="006252D8" w:rsidRDefault="00FB4A19" w:rsidP="00C23021">
            <w:pPr>
              <w:ind w:left="0"/>
            </w:pPr>
            <w:r>
              <w:t>Employment</w:t>
            </w:r>
          </w:p>
        </w:tc>
        <w:tc>
          <w:tcPr>
            <w:tcW w:w="1890" w:type="dxa"/>
            <w:tcMar>
              <w:top w:w="115" w:type="dxa"/>
              <w:left w:w="115" w:type="dxa"/>
              <w:bottom w:w="115" w:type="dxa"/>
              <w:right w:w="115" w:type="dxa"/>
            </w:tcMar>
            <w:vAlign w:val="center"/>
          </w:tcPr>
          <w:p w14:paraId="4FBC3147" w14:textId="77777777" w:rsidR="00FB4A19" w:rsidRPr="006252D8" w:rsidRDefault="00FB4A19" w:rsidP="00C23021">
            <w:pPr>
              <w:ind w:left="0"/>
              <w:jc w:val="center"/>
            </w:pPr>
            <w:r>
              <w:t>1</w:t>
            </w:r>
          </w:p>
        </w:tc>
      </w:tr>
      <w:tr w:rsidR="00FB4A19" w:rsidRPr="00873442" w14:paraId="13F8CC68" w14:textId="77777777" w:rsidTr="00C23021">
        <w:trPr>
          <w:cantSplit/>
          <w:trHeight w:hRule="exact" w:val="432"/>
        </w:trPr>
        <w:tc>
          <w:tcPr>
            <w:tcW w:w="3528" w:type="dxa"/>
            <w:tcMar>
              <w:top w:w="115" w:type="dxa"/>
              <w:left w:w="115" w:type="dxa"/>
              <w:bottom w:w="115" w:type="dxa"/>
              <w:right w:w="115" w:type="dxa"/>
            </w:tcMar>
            <w:vAlign w:val="center"/>
          </w:tcPr>
          <w:p w14:paraId="088A01C5" w14:textId="77777777" w:rsidR="00FB4A19" w:rsidRPr="008531BC" w:rsidRDefault="00FB4A19" w:rsidP="00C23021">
            <w:pPr>
              <w:ind w:left="0"/>
            </w:pPr>
            <w:r>
              <w:t>Global Data Management</w:t>
            </w:r>
          </w:p>
        </w:tc>
        <w:tc>
          <w:tcPr>
            <w:tcW w:w="1890" w:type="dxa"/>
            <w:tcMar>
              <w:top w:w="115" w:type="dxa"/>
              <w:left w:w="115" w:type="dxa"/>
              <w:bottom w:w="115" w:type="dxa"/>
              <w:right w:w="115" w:type="dxa"/>
            </w:tcMar>
            <w:vAlign w:val="center"/>
          </w:tcPr>
          <w:p w14:paraId="31729632" w14:textId="77777777" w:rsidR="00FB4A19" w:rsidRPr="006252D8" w:rsidRDefault="00FB4A19" w:rsidP="00C23021">
            <w:pPr>
              <w:ind w:left="0"/>
              <w:jc w:val="center"/>
            </w:pPr>
            <w:r>
              <w:t>57</w:t>
            </w:r>
          </w:p>
        </w:tc>
      </w:tr>
      <w:tr w:rsidR="00FB4A19" w:rsidRPr="00873442" w14:paraId="27445AD7" w14:textId="77777777" w:rsidTr="00C23021">
        <w:trPr>
          <w:cantSplit/>
          <w:trHeight w:hRule="exact" w:val="432"/>
        </w:trPr>
        <w:tc>
          <w:tcPr>
            <w:tcW w:w="3528" w:type="dxa"/>
            <w:tcMar>
              <w:top w:w="115" w:type="dxa"/>
              <w:left w:w="115" w:type="dxa"/>
              <w:bottom w:w="115" w:type="dxa"/>
              <w:right w:w="115" w:type="dxa"/>
            </w:tcMar>
            <w:vAlign w:val="center"/>
          </w:tcPr>
          <w:p w14:paraId="4AC66A9D" w14:textId="77777777" w:rsidR="00FB4A19" w:rsidRDefault="00FB4A19" w:rsidP="00C23021">
            <w:pPr>
              <w:ind w:left="0"/>
            </w:pPr>
            <w:r>
              <w:t>Human Resources</w:t>
            </w:r>
          </w:p>
        </w:tc>
        <w:tc>
          <w:tcPr>
            <w:tcW w:w="1890" w:type="dxa"/>
            <w:tcMar>
              <w:top w:w="115" w:type="dxa"/>
              <w:left w:w="115" w:type="dxa"/>
              <w:bottom w:w="115" w:type="dxa"/>
              <w:right w:w="115" w:type="dxa"/>
            </w:tcMar>
            <w:vAlign w:val="center"/>
          </w:tcPr>
          <w:p w14:paraId="38F4ED67" w14:textId="77777777" w:rsidR="00FB4A19" w:rsidRDefault="00FB4A19" w:rsidP="00C23021">
            <w:pPr>
              <w:ind w:left="0"/>
              <w:jc w:val="center"/>
            </w:pPr>
            <w:r>
              <w:t>8</w:t>
            </w:r>
          </w:p>
        </w:tc>
      </w:tr>
      <w:tr w:rsidR="00FB4A19" w:rsidRPr="00873442" w14:paraId="5529B2D0" w14:textId="77777777" w:rsidTr="00C23021">
        <w:trPr>
          <w:cantSplit/>
          <w:trHeight w:hRule="exact" w:val="432"/>
        </w:trPr>
        <w:tc>
          <w:tcPr>
            <w:tcW w:w="3528" w:type="dxa"/>
            <w:tcMar>
              <w:top w:w="115" w:type="dxa"/>
              <w:left w:w="115" w:type="dxa"/>
              <w:bottom w:w="115" w:type="dxa"/>
              <w:right w:w="115" w:type="dxa"/>
            </w:tcMar>
            <w:vAlign w:val="center"/>
          </w:tcPr>
          <w:p w14:paraId="045DBC75" w14:textId="77777777" w:rsidR="00FB4A19" w:rsidRDefault="00FB4A19" w:rsidP="00C23021">
            <w:pPr>
              <w:ind w:left="0"/>
            </w:pPr>
            <w:r>
              <w:t>Information Management</w:t>
            </w:r>
          </w:p>
        </w:tc>
        <w:tc>
          <w:tcPr>
            <w:tcW w:w="1890" w:type="dxa"/>
            <w:tcMar>
              <w:top w:w="115" w:type="dxa"/>
              <w:left w:w="115" w:type="dxa"/>
              <w:bottom w:w="115" w:type="dxa"/>
              <w:right w:w="115" w:type="dxa"/>
            </w:tcMar>
            <w:vAlign w:val="center"/>
          </w:tcPr>
          <w:p w14:paraId="1B137985" w14:textId="77777777" w:rsidR="00FB4A19" w:rsidRDefault="00FB4A19" w:rsidP="00C23021">
            <w:pPr>
              <w:ind w:left="0"/>
              <w:jc w:val="center"/>
            </w:pPr>
            <w:r>
              <w:t>4</w:t>
            </w:r>
          </w:p>
        </w:tc>
      </w:tr>
      <w:tr w:rsidR="00FB4A19" w:rsidRPr="00873442" w14:paraId="1C99F167" w14:textId="77777777" w:rsidTr="00C23021">
        <w:trPr>
          <w:cantSplit/>
          <w:trHeight w:hRule="exact" w:val="432"/>
        </w:trPr>
        <w:tc>
          <w:tcPr>
            <w:tcW w:w="3528" w:type="dxa"/>
            <w:tcMar>
              <w:top w:w="115" w:type="dxa"/>
              <w:left w:w="115" w:type="dxa"/>
              <w:bottom w:w="115" w:type="dxa"/>
              <w:right w:w="115" w:type="dxa"/>
            </w:tcMar>
            <w:vAlign w:val="center"/>
          </w:tcPr>
          <w:p w14:paraId="3BBDCB0D" w14:textId="77777777" w:rsidR="00FB4A19" w:rsidRDefault="00FB4A19" w:rsidP="00C23021">
            <w:pPr>
              <w:ind w:left="0"/>
            </w:pPr>
            <w:r>
              <w:t>Management Support</w:t>
            </w:r>
          </w:p>
        </w:tc>
        <w:tc>
          <w:tcPr>
            <w:tcW w:w="1890" w:type="dxa"/>
            <w:tcMar>
              <w:top w:w="115" w:type="dxa"/>
              <w:left w:w="115" w:type="dxa"/>
              <w:bottom w:w="115" w:type="dxa"/>
              <w:right w:w="115" w:type="dxa"/>
            </w:tcMar>
            <w:vAlign w:val="center"/>
          </w:tcPr>
          <w:p w14:paraId="7B23845E" w14:textId="77777777" w:rsidR="00FB4A19" w:rsidRDefault="00FB4A19" w:rsidP="00C23021">
            <w:pPr>
              <w:ind w:left="0"/>
              <w:jc w:val="center"/>
            </w:pPr>
            <w:r>
              <w:t>3</w:t>
            </w:r>
          </w:p>
        </w:tc>
      </w:tr>
      <w:tr w:rsidR="00FB4A19" w:rsidRPr="00873442" w14:paraId="0FBC3F9F" w14:textId="77777777" w:rsidTr="00C23021">
        <w:trPr>
          <w:cantSplit/>
          <w:trHeight w:hRule="exact" w:val="432"/>
        </w:trPr>
        <w:tc>
          <w:tcPr>
            <w:tcW w:w="3528" w:type="dxa"/>
            <w:tcMar>
              <w:top w:w="115" w:type="dxa"/>
              <w:left w:w="115" w:type="dxa"/>
              <w:bottom w:w="115" w:type="dxa"/>
              <w:right w:w="115" w:type="dxa"/>
            </w:tcMar>
            <w:vAlign w:val="center"/>
          </w:tcPr>
          <w:p w14:paraId="58CEBB95" w14:textId="77777777" w:rsidR="00FB4A19" w:rsidRDefault="00FB4A19" w:rsidP="00C23021">
            <w:pPr>
              <w:ind w:left="0"/>
            </w:pPr>
            <w:r>
              <w:t>Policy Administration</w:t>
            </w:r>
          </w:p>
        </w:tc>
        <w:tc>
          <w:tcPr>
            <w:tcW w:w="1890" w:type="dxa"/>
            <w:tcMar>
              <w:top w:w="115" w:type="dxa"/>
              <w:left w:w="115" w:type="dxa"/>
              <w:bottom w:w="115" w:type="dxa"/>
              <w:right w:w="115" w:type="dxa"/>
            </w:tcMar>
            <w:vAlign w:val="center"/>
          </w:tcPr>
          <w:p w14:paraId="0DFF21B1" w14:textId="77777777" w:rsidR="00FB4A19" w:rsidRDefault="00FB4A19" w:rsidP="00C23021">
            <w:pPr>
              <w:ind w:left="0"/>
              <w:jc w:val="center"/>
            </w:pPr>
            <w:r>
              <w:t>2</w:t>
            </w:r>
          </w:p>
        </w:tc>
      </w:tr>
      <w:tr w:rsidR="00FB4A19" w:rsidRPr="00873442" w14:paraId="2ED7BD6A" w14:textId="77777777" w:rsidTr="00C23021">
        <w:trPr>
          <w:cantSplit/>
          <w:trHeight w:hRule="exact" w:val="432"/>
        </w:trPr>
        <w:tc>
          <w:tcPr>
            <w:tcW w:w="3528" w:type="dxa"/>
            <w:tcMar>
              <w:top w:w="115" w:type="dxa"/>
              <w:left w:w="115" w:type="dxa"/>
              <w:bottom w:w="115" w:type="dxa"/>
              <w:right w:w="115" w:type="dxa"/>
            </w:tcMar>
            <w:vAlign w:val="center"/>
          </w:tcPr>
          <w:p w14:paraId="43E172B4" w14:textId="77777777" w:rsidR="00FB4A19" w:rsidRDefault="00FB4A19" w:rsidP="00C23021">
            <w:pPr>
              <w:ind w:left="0"/>
            </w:pPr>
            <w:r>
              <w:t>Planning</w:t>
            </w:r>
          </w:p>
        </w:tc>
        <w:tc>
          <w:tcPr>
            <w:tcW w:w="1890" w:type="dxa"/>
            <w:tcMar>
              <w:top w:w="115" w:type="dxa"/>
              <w:left w:w="115" w:type="dxa"/>
              <w:bottom w:w="115" w:type="dxa"/>
              <w:right w:w="115" w:type="dxa"/>
            </w:tcMar>
            <w:vAlign w:val="center"/>
          </w:tcPr>
          <w:p w14:paraId="3AFA4938" w14:textId="77777777" w:rsidR="00FB4A19" w:rsidRDefault="00FB4A19" w:rsidP="00C23021">
            <w:pPr>
              <w:ind w:left="0"/>
              <w:jc w:val="center"/>
            </w:pPr>
            <w:r>
              <w:t>1</w:t>
            </w:r>
          </w:p>
        </w:tc>
      </w:tr>
      <w:tr w:rsidR="00FB4A19" w:rsidRPr="00873442" w14:paraId="66A9A3E7" w14:textId="77777777" w:rsidTr="00C23021">
        <w:trPr>
          <w:cantSplit/>
          <w:trHeight w:hRule="exact" w:val="432"/>
        </w:trPr>
        <w:tc>
          <w:tcPr>
            <w:tcW w:w="3528" w:type="dxa"/>
            <w:tcMar>
              <w:top w:w="115" w:type="dxa"/>
              <w:left w:w="115" w:type="dxa"/>
              <w:bottom w:w="115" w:type="dxa"/>
              <w:right w:w="115" w:type="dxa"/>
            </w:tcMar>
            <w:vAlign w:val="center"/>
          </w:tcPr>
          <w:p w14:paraId="258A5DB5" w14:textId="77777777" w:rsidR="00FB4A19" w:rsidRDefault="00FB4A19" w:rsidP="00C23021">
            <w:pPr>
              <w:ind w:left="0"/>
            </w:pPr>
            <w:r>
              <w:t>Procurement Management</w:t>
            </w:r>
          </w:p>
        </w:tc>
        <w:tc>
          <w:tcPr>
            <w:tcW w:w="1890" w:type="dxa"/>
            <w:tcMar>
              <w:top w:w="115" w:type="dxa"/>
              <w:left w:w="115" w:type="dxa"/>
              <w:bottom w:w="115" w:type="dxa"/>
              <w:right w:w="115" w:type="dxa"/>
            </w:tcMar>
            <w:vAlign w:val="center"/>
          </w:tcPr>
          <w:p w14:paraId="4839A632" w14:textId="77777777" w:rsidR="00FB4A19" w:rsidRDefault="00FB4A19" w:rsidP="00C23021">
            <w:pPr>
              <w:ind w:left="0"/>
              <w:jc w:val="center"/>
            </w:pPr>
            <w:r>
              <w:t>1</w:t>
            </w:r>
          </w:p>
        </w:tc>
      </w:tr>
    </w:tbl>
    <w:p w14:paraId="1501C9A9" w14:textId="77777777" w:rsidR="00FB4A19" w:rsidRDefault="00FB4A19" w:rsidP="00FB4A19"/>
    <w:p w14:paraId="00A20BB9" w14:textId="349B7BE1" w:rsidR="00FB4A19" w:rsidRDefault="00FB4A19" w:rsidP="00FB4A19">
      <w:pPr>
        <w:spacing w:line="256" w:lineRule="auto"/>
        <w:rPr>
          <w:rFonts w:eastAsia="Verdana,Times New Roman" w:cs="Verdana,Times New Roman"/>
          <w:b/>
          <w:bCs/>
          <w:u w:val="single"/>
        </w:rPr>
      </w:pPr>
      <w:r>
        <w:rPr>
          <w:rFonts w:eastAsia="Verdana,Times New Roman" w:cs="Verdana,Times New Roman"/>
          <w:b/>
          <w:bCs/>
          <w:u w:val="single"/>
        </w:rPr>
        <w:t>View Owners on Appeal</w:t>
      </w:r>
      <w:r w:rsidR="00912C49">
        <w:rPr>
          <w:rFonts w:eastAsia="Verdana,Times New Roman" w:cs="Verdana,Times New Roman"/>
          <w:b/>
          <w:bCs/>
          <w:u w:val="single"/>
        </w:rPr>
        <w:t>s</w:t>
      </w:r>
      <w:r>
        <w:rPr>
          <w:rFonts w:eastAsia="Verdana,Times New Roman" w:cs="Verdana,Times New Roman"/>
          <w:b/>
          <w:bCs/>
          <w:u w:val="single"/>
        </w:rPr>
        <w:t xml:space="preserve"> Databases (AP) </w:t>
      </w:r>
    </w:p>
    <w:tbl>
      <w:tblPr>
        <w:tblStyle w:val="TableGrid"/>
        <w:tblW w:w="5303" w:type="dxa"/>
        <w:tblInd w:w="828" w:type="dxa"/>
        <w:tblLayout w:type="fixed"/>
        <w:tblLook w:val="04A0" w:firstRow="1" w:lastRow="0" w:firstColumn="1" w:lastColumn="0" w:noHBand="0" w:noVBand="1"/>
        <w:tblDescription w:val="Table of view owners on appeals databases"/>
      </w:tblPr>
      <w:tblGrid>
        <w:gridCol w:w="3487"/>
        <w:gridCol w:w="1816"/>
      </w:tblGrid>
      <w:tr w:rsidR="00FB4A19" w:rsidRPr="00873442" w14:paraId="28D21A04" w14:textId="77777777" w:rsidTr="00C23021">
        <w:trPr>
          <w:cantSplit/>
          <w:tblHeader/>
        </w:trPr>
        <w:tc>
          <w:tcPr>
            <w:tcW w:w="3487" w:type="dxa"/>
            <w:shd w:val="clear" w:color="auto" w:fill="DEEAF6" w:themeFill="accent1" w:themeFillTint="33"/>
            <w:vAlign w:val="center"/>
          </w:tcPr>
          <w:p w14:paraId="63A87BF1" w14:textId="77777777" w:rsidR="00FB4A19" w:rsidRPr="00E47978" w:rsidRDefault="00FB4A19" w:rsidP="00C23021">
            <w:pPr>
              <w:keepNext/>
              <w:spacing w:after="0"/>
              <w:ind w:left="0"/>
              <w:jc w:val="center"/>
              <w:rPr>
                <w:rFonts w:cs="Arial"/>
                <w:b/>
                <w:color w:val="1F3864" w:themeColor="accent5" w:themeShade="80"/>
              </w:rPr>
            </w:pPr>
            <w:r>
              <w:rPr>
                <w:rFonts w:cs="Arial"/>
                <w:b/>
                <w:color w:val="1F3864" w:themeColor="accent5" w:themeShade="80"/>
              </w:rPr>
              <w:t>View Owner</w:t>
            </w:r>
          </w:p>
        </w:tc>
        <w:tc>
          <w:tcPr>
            <w:tcW w:w="1816" w:type="dxa"/>
            <w:shd w:val="clear" w:color="auto" w:fill="DEEAF6" w:themeFill="accent1" w:themeFillTint="33"/>
            <w:vAlign w:val="center"/>
          </w:tcPr>
          <w:p w14:paraId="51A7AE2F" w14:textId="77777777" w:rsidR="00FB4A19" w:rsidRDefault="00FB4A19" w:rsidP="00C23021">
            <w:pPr>
              <w:keepNext/>
              <w:spacing w:after="0"/>
              <w:ind w:left="0"/>
              <w:jc w:val="center"/>
              <w:rPr>
                <w:rFonts w:cs="Arial"/>
                <w:b/>
                <w:color w:val="1F3864" w:themeColor="accent5" w:themeShade="80"/>
              </w:rPr>
            </w:pPr>
            <w:r>
              <w:rPr>
                <w:rFonts w:cs="Arial"/>
                <w:b/>
                <w:color w:val="1F3864" w:themeColor="accent5" w:themeShade="80"/>
              </w:rPr>
              <w:t>View Count</w:t>
            </w:r>
          </w:p>
        </w:tc>
      </w:tr>
      <w:tr w:rsidR="00FB4A19" w:rsidRPr="00873442" w14:paraId="4698CFBD" w14:textId="77777777" w:rsidTr="00C23021">
        <w:trPr>
          <w:cantSplit/>
          <w:trHeight w:hRule="exact" w:val="432"/>
        </w:trPr>
        <w:tc>
          <w:tcPr>
            <w:tcW w:w="3487" w:type="dxa"/>
            <w:tcMar>
              <w:top w:w="115" w:type="dxa"/>
              <w:left w:w="115" w:type="dxa"/>
              <w:bottom w:w="115" w:type="dxa"/>
              <w:right w:w="115" w:type="dxa"/>
            </w:tcMar>
            <w:vAlign w:val="center"/>
          </w:tcPr>
          <w:p w14:paraId="1F3CD63C" w14:textId="77777777" w:rsidR="00FB4A19" w:rsidRDefault="00FB4A19" w:rsidP="00C23021">
            <w:pPr>
              <w:ind w:left="0"/>
            </w:pPr>
            <w:r>
              <w:t>Benefits</w:t>
            </w:r>
          </w:p>
        </w:tc>
        <w:tc>
          <w:tcPr>
            <w:tcW w:w="1816" w:type="dxa"/>
            <w:tcMar>
              <w:top w:w="115" w:type="dxa"/>
              <w:left w:w="115" w:type="dxa"/>
              <w:bottom w:w="115" w:type="dxa"/>
              <w:right w:w="115" w:type="dxa"/>
            </w:tcMar>
            <w:vAlign w:val="center"/>
          </w:tcPr>
          <w:p w14:paraId="7BF379E9" w14:textId="77777777" w:rsidR="00FB4A19" w:rsidRDefault="00FB4A19" w:rsidP="00C23021">
            <w:pPr>
              <w:ind w:left="0"/>
              <w:jc w:val="center"/>
            </w:pPr>
            <w:r>
              <w:t>24</w:t>
            </w:r>
          </w:p>
        </w:tc>
      </w:tr>
      <w:tr w:rsidR="00FB4A19" w:rsidRPr="00873442" w14:paraId="0CCEC766" w14:textId="77777777" w:rsidTr="00C23021">
        <w:trPr>
          <w:cantSplit/>
          <w:trHeight w:hRule="exact" w:val="432"/>
        </w:trPr>
        <w:tc>
          <w:tcPr>
            <w:tcW w:w="3487" w:type="dxa"/>
            <w:tcMar>
              <w:top w:w="115" w:type="dxa"/>
              <w:left w:w="115" w:type="dxa"/>
              <w:bottom w:w="115" w:type="dxa"/>
              <w:right w:w="115" w:type="dxa"/>
            </w:tcMar>
            <w:vAlign w:val="center"/>
          </w:tcPr>
          <w:p w14:paraId="6F66554E" w14:textId="77777777" w:rsidR="00FB4A19" w:rsidRPr="006252D8" w:rsidRDefault="00FB4A19" w:rsidP="00C23021">
            <w:pPr>
              <w:ind w:left="0"/>
            </w:pPr>
            <w:r>
              <w:t>Appeals</w:t>
            </w:r>
          </w:p>
        </w:tc>
        <w:tc>
          <w:tcPr>
            <w:tcW w:w="1816" w:type="dxa"/>
            <w:tcMar>
              <w:top w:w="115" w:type="dxa"/>
              <w:left w:w="115" w:type="dxa"/>
              <w:bottom w:w="115" w:type="dxa"/>
              <w:right w:w="115" w:type="dxa"/>
            </w:tcMar>
            <w:vAlign w:val="center"/>
          </w:tcPr>
          <w:p w14:paraId="43E394C3" w14:textId="77777777" w:rsidR="00FB4A19" w:rsidRPr="006252D8" w:rsidRDefault="00FB4A19" w:rsidP="00C23021">
            <w:pPr>
              <w:ind w:left="0"/>
              <w:jc w:val="center"/>
            </w:pPr>
            <w:r>
              <w:t>61</w:t>
            </w:r>
          </w:p>
        </w:tc>
      </w:tr>
    </w:tbl>
    <w:p w14:paraId="73C43D43" w14:textId="77777777" w:rsidR="00FB4A19" w:rsidRDefault="00FB4A19" w:rsidP="00FB4A19"/>
    <w:p w14:paraId="4A6F2FCC" w14:textId="77777777" w:rsidR="00FB4A19" w:rsidRDefault="00FB4A19" w:rsidP="00FB4A19">
      <w:pPr>
        <w:keepNext/>
        <w:spacing w:line="256" w:lineRule="auto"/>
        <w:rPr>
          <w:rFonts w:eastAsia="Verdana,Times New Roman" w:cs="Verdana,Times New Roman"/>
          <w:b/>
          <w:bCs/>
          <w:u w:val="single"/>
        </w:rPr>
      </w:pPr>
      <w:r>
        <w:rPr>
          <w:rFonts w:eastAsia="Verdana,Times New Roman" w:cs="Verdana,Times New Roman"/>
          <w:b/>
          <w:bCs/>
          <w:u w:val="single"/>
        </w:rPr>
        <w:lastRenderedPageBreak/>
        <w:t>View Owners on Benefits Databases (BA)</w:t>
      </w:r>
    </w:p>
    <w:tbl>
      <w:tblPr>
        <w:tblStyle w:val="TableGrid"/>
        <w:tblW w:w="5303" w:type="dxa"/>
        <w:tblInd w:w="828" w:type="dxa"/>
        <w:tblLayout w:type="fixed"/>
        <w:tblLook w:val="04A0" w:firstRow="1" w:lastRow="0" w:firstColumn="1" w:lastColumn="0" w:noHBand="0" w:noVBand="1"/>
        <w:tblDescription w:val="Table of view owners on benefits databases"/>
      </w:tblPr>
      <w:tblGrid>
        <w:gridCol w:w="3487"/>
        <w:gridCol w:w="1816"/>
      </w:tblGrid>
      <w:tr w:rsidR="00FB4A19" w:rsidRPr="00873442" w14:paraId="738D9511" w14:textId="77777777" w:rsidTr="00C23021">
        <w:trPr>
          <w:cantSplit/>
          <w:tblHeader/>
        </w:trPr>
        <w:tc>
          <w:tcPr>
            <w:tcW w:w="3487" w:type="dxa"/>
            <w:shd w:val="clear" w:color="auto" w:fill="DEEAF6" w:themeFill="accent1" w:themeFillTint="33"/>
            <w:vAlign w:val="center"/>
          </w:tcPr>
          <w:p w14:paraId="268973B6" w14:textId="77777777" w:rsidR="00FB4A19" w:rsidRPr="00E47978" w:rsidRDefault="00FB4A19" w:rsidP="00C23021">
            <w:pPr>
              <w:keepNext/>
              <w:spacing w:after="0"/>
              <w:ind w:left="0"/>
              <w:jc w:val="center"/>
              <w:rPr>
                <w:rFonts w:cs="Arial"/>
                <w:b/>
                <w:color w:val="1F3864" w:themeColor="accent5" w:themeShade="80"/>
              </w:rPr>
            </w:pPr>
            <w:r>
              <w:rPr>
                <w:rFonts w:cs="Arial"/>
                <w:b/>
                <w:color w:val="1F3864" w:themeColor="accent5" w:themeShade="80"/>
              </w:rPr>
              <w:t>View Owner</w:t>
            </w:r>
          </w:p>
        </w:tc>
        <w:tc>
          <w:tcPr>
            <w:tcW w:w="1816" w:type="dxa"/>
            <w:shd w:val="clear" w:color="auto" w:fill="DEEAF6" w:themeFill="accent1" w:themeFillTint="33"/>
            <w:vAlign w:val="center"/>
          </w:tcPr>
          <w:p w14:paraId="0228D55A" w14:textId="77777777" w:rsidR="00FB4A19" w:rsidRDefault="00FB4A19" w:rsidP="00C23021">
            <w:pPr>
              <w:keepNext/>
              <w:spacing w:after="0"/>
              <w:ind w:left="0"/>
              <w:jc w:val="center"/>
              <w:rPr>
                <w:rFonts w:cs="Arial"/>
                <w:b/>
                <w:color w:val="1F3864" w:themeColor="accent5" w:themeShade="80"/>
              </w:rPr>
            </w:pPr>
            <w:r>
              <w:rPr>
                <w:rFonts w:cs="Arial"/>
                <w:b/>
                <w:color w:val="1F3864" w:themeColor="accent5" w:themeShade="80"/>
              </w:rPr>
              <w:t>View Count</w:t>
            </w:r>
          </w:p>
        </w:tc>
      </w:tr>
      <w:tr w:rsidR="00FB4A19" w:rsidRPr="00873442" w14:paraId="1795142C" w14:textId="77777777" w:rsidTr="00C23021">
        <w:trPr>
          <w:cantSplit/>
          <w:trHeight w:hRule="exact" w:val="432"/>
        </w:trPr>
        <w:tc>
          <w:tcPr>
            <w:tcW w:w="3487" w:type="dxa"/>
            <w:tcMar>
              <w:top w:w="115" w:type="dxa"/>
              <w:left w:w="115" w:type="dxa"/>
              <w:bottom w:w="115" w:type="dxa"/>
              <w:right w:w="115" w:type="dxa"/>
            </w:tcMar>
            <w:vAlign w:val="center"/>
          </w:tcPr>
          <w:p w14:paraId="199C8FF0" w14:textId="77777777" w:rsidR="00FB4A19" w:rsidRDefault="00FB4A19" w:rsidP="00C23021">
            <w:pPr>
              <w:keepNext/>
              <w:ind w:left="0"/>
            </w:pPr>
            <w:r>
              <w:t>Appeals</w:t>
            </w:r>
          </w:p>
        </w:tc>
        <w:tc>
          <w:tcPr>
            <w:tcW w:w="1816" w:type="dxa"/>
            <w:tcMar>
              <w:top w:w="115" w:type="dxa"/>
              <w:left w:w="115" w:type="dxa"/>
              <w:bottom w:w="115" w:type="dxa"/>
              <w:right w:w="115" w:type="dxa"/>
            </w:tcMar>
            <w:vAlign w:val="center"/>
          </w:tcPr>
          <w:p w14:paraId="264A9DD1" w14:textId="77777777" w:rsidR="00FB4A19" w:rsidRDefault="00FB4A19" w:rsidP="00C23021">
            <w:pPr>
              <w:keepNext/>
              <w:ind w:left="0"/>
              <w:jc w:val="center"/>
            </w:pPr>
            <w:r>
              <w:t>62</w:t>
            </w:r>
          </w:p>
        </w:tc>
      </w:tr>
      <w:tr w:rsidR="00FB4A19" w:rsidRPr="00873442" w14:paraId="70301B39" w14:textId="77777777" w:rsidTr="00C23021">
        <w:trPr>
          <w:cantSplit/>
          <w:trHeight w:hRule="exact" w:val="432"/>
        </w:trPr>
        <w:tc>
          <w:tcPr>
            <w:tcW w:w="3487" w:type="dxa"/>
            <w:tcMar>
              <w:top w:w="115" w:type="dxa"/>
              <w:left w:w="115" w:type="dxa"/>
              <w:bottom w:w="115" w:type="dxa"/>
              <w:right w:w="115" w:type="dxa"/>
            </w:tcMar>
            <w:vAlign w:val="center"/>
          </w:tcPr>
          <w:p w14:paraId="4D33AD22" w14:textId="77777777" w:rsidR="00FB4A19" w:rsidRPr="006252D8" w:rsidRDefault="00FB4A19" w:rsidP="00C23021">
            <w:pPr>
              <w:ind w:left="0"/>
            </w:pPr>
            <w:r>
              <w:t>Payday/Labor Law</w:t>
            </w:r>
          </w:p>
        </w:tc>
        <w:tc>
          <w:tcPr>
            <w:tcW w:w="1816" w:type="dxa"/>
            <w:tcMar>
              <w:top w:w="115" w:type="dxa"/>
              <w:left w:w="115" w:type="dxa"/>
              <w:bottom w:w="115" w:type="dxa"/>
              <w:right w:w="115" w:type="dxa"/>
            </w:tcMar>
            <w:vAlign w:val="center"/>
          </w:tcPr>
          <w:p w14:paraId="5285C053" w14:textId="77777777" w:rsidR="00FB4A19" w:rsidRPr="006252D8" w:rsidRDefault="00FB4A19" w:rsidP="00C23021">
            <w:pPr>
              <w:ind w:left="0"/>
              <w:jc w:val="center"/>
            </w:pPr>
            <w:r>
              <w:t>2</w:t>
            </w:r>
          </w:p>
        </w:tc>
      </w:tr>
      <w:tr w:rsidR="00FB4A19" w:rsidRPr="00873442" w14:paraId="29D5EC33" w14:textId="77777777" w:rsidTr="00C23021">
        <w:trPr>
          <w:cantSplit/>
          <w:trHeight w:hRule="exact" w:val="432"/>
        </w:trPr>
        <w:tc>
          <w:tcPr>
            <w:tcW w:w="3487" w:type="dxa"/>
            <w:tcMar>
              <w:top w:w="115" w:type="dxa"/>
              <w:left w:w="115" w:type="dxa"/>
              <w:bottom w:w="115" w:type="dxa"/>
              <w:right w:w="115" w:type="dxa"/>
            </w:tcMar>
            <w:vAlign w:val="center"/>
          </w:tcPr>
          <w:p w14:paraId="00914934" w14:textId="59CEC5EF" w:rsidR="00FB4A19" w:rsidRDefault="00912C49" w:rsidP="00C23021">
            <w:pPr>
              <w:ind w:left="0"/>
            </w:pPr>
            <w:r>
              <w:t>WIT</w:t>
            </w:r>
          </w:p>
        </w:tc>
        <w:tc>
          <w:tcPr>
            <w:tcW w:w="1816" w:type="dxa"/>
            <w:tcMar>
              <w:top w:w="115" w:type="dxa"/>
              <w:left w:w="115" w:type="dxa"/>
              <w:bottom w:w="115" w:type="dxa"/>
              <w:right w:w="115" w:type="dxa"/>
            </w:tcMar>
            <w:vAlign w:val="center"/>
          </w:tcPr>
          <w:p w14:paraId="60B20E28" w14:textId="77777777" w:rsidR="00FB4A19" w:rsidRDefault="00FB4A19" w:rsidP="00C23021">
            <w:pPr>
              <w:ind w:left="0"/>
              <w:jc w:val="center"/>
            </w:pPr>
            <w:r>
              <w:t>31</w:t>
            </w:r>
          </w:p>
        </w:tc>
      </w:tr>
      <w:tr w:rsidR="00FB4A19" w:rsidRPr="00873442" w14:paraId="3E524ED9" w14:textId="77777777" w:rsidTr="00C23021">
        <w:trPr>
          <w:cantSplit/>
          <w:trHeight w:hRule="exact" w:val="432"/>
        </w:trPr>
        <w:tc>
          <w:tcPr>
            <w:tcW w:w="3487" w:type="dxa"/>
            <w:tcMar>
              <w:top w:w="115" w:type="dxa"/>
              <w:left w:w="115" w:type="dxa"/>
              <w:bottom w:w="115" w:type="dxa"/>
              <w:right w:w="115" w:type="dxa"/>
            </w:tcMar>
            <w:vAlign w:val="center"/>
          </w:tcPr>
          <w:p w14:paraId="0ED33367" w14:textId="77777777" w:rsidR="00FB4A19" w:rsidRDefault="00FB4A19" w:rsidP="00C23021">
            <w:pPr>
              <w:ind w:left="0"/>
            </w:pPr>
            <w:r>
              <w:t>Workforce UI Web Portal</w:t>
            </w:r>
          </w:p>
        </w:tc>
        <w:tc>
          <w:tcPr>
            <w:tcW w:w="1816" w:type="dxa"/>
            <w:tcMar>
              <w:top w:w="115" w:type="dxa"/>
              <w:left w:w="115" w:type="dxa"/>
              <w:bottom w:w="115" w:type="dxa"/>
              <w:right w:w="115" w:type="dxa"/>
            </w:tcMar>
            <w:vAlign w:val="center"/>
          </w:tcPr>
          <w:p w14:paraId="5767A5D9" w14:textId="77777777" w:rsidR="00FB4A19" w:rsidRDefault="00FB4A19" w:rsidP="00C23021">
            <w:pPr>
              <w:ind w:left="0"/>
              <w:jc w:val="center"/>
            </w:pPr>
            <w:r>
              <w:t>8</w:t>
            </w:r>
          </w:p>
        </w:tc>
      </w:tr>
      <w:tr w:rsidR="00FB4A19" w:rsidRPr="00873442" w14:paraId="42320CCD" w14:textId="77777777" w:rsidTr="00C23021">
        <w:trPr>
          <w:cantSplit/>
          <w:trHeight w:hRule="exact" w:val="710"/>
        </w:trPr>
        <w:tc>
          <w:tcPr>
            <w:tcW w:w="3487" w:type="dxa"/>
            <w:tcMar>
              <w:top w:w="115" w:type="dxa"/>
              <w:left w:w="115" w:type="dxa"/>
              <w:bottom w:w="115" w:type="dxa"/>
              <w:right w:w="115" w:type="dxa"/>
            </w:tcMar>
            <w:vAlign w:val="center"/>
          </w:tcPr>
          <w:p w14:paraId="76A7AC93" w14:textId="77777777" w:rsidR="00FB4A19" w:rsidRDefault="00FB4A19" w:rsidP="00C23021">
            <w:pPr>
              <w:ind w:left="0"/>
            </w:pPr>
            <w:r>
              <w:t>Job Training Partnership Act (Obsolete)</w:t>
            </w:r>
          </w:p>
          <w:p w14:paraId="19948A20" w14:textId="77777777" w:rsidR="00FB4A19" w:rsidRDefault="00FB4A19" w:rsidP="00C23021">
            <w:pPr>
              <w:ind w:left="0"/>
            </w:pPr>
          </w:p>
        </w:tc>
        <w:tc>
          <w:tcPr>
            <w:tcW w:w="1816" w:type="dxa"/>
            <w:tcMar>
              <w:top w:w="115" w:type="dxa"/>
              <w:left w:w="115" w:type="dxa"/>
              <w:bottom w:w="115" w:type="dxa"/>
              <w:right w:w="115" w:type="dxa"/>
            </w:tcMar>
            <w:vAlign w:val="center"/>
          </w:tcPr>
          <w:p w14:paraId="7283B7E0" w14:textId="77777777" w:rsidR="00FB4A19" w:rsidRDefault="00FB4A19" w:rsidP="00C23021">
            <w:pPr>
              <w:ind w:left="0"/>
              <w:jc w:val="center"/>
            </w:pPr>
            <w:r>
              <w:t>1</w:t>
            </w:r>
          </w:p>
        </w:tc>
      </w:tr>
      <w:tr w:rsidR="00FB4A19" w:rsidRPr="00873442" w14:paraId="6F68DEE1" w14:textId="77777777" w:rsidTr="00C23021">
        <w:trPr>
          <w:cantSplit/>
          <w:trHeight w:hRule="exact" w:val="692"/>
        </w:trPr>
        <w:tc>
          <w:tcPr>
            <w:tcW w:w="3487" w:type="dxa"/>
            <w:tcMar>
              <w:top w:w="115" w:type="dxa"/>
              <w:left w:w="115" w:type="dxa"/>
              <w:bottom w:w="115" w:type="dxa"/>
              <w:right w:w="115" w:type="dxa"/>
            </w:tcMar>
            <w:vAlign w:val="center"/>
          </w:tcPr>
          <w:p w14:paraId="1521FB34" w14:textId="77777777" w:rsidR="00FB4A19" w:rsidRDefault="00FB4A19" w:rsidP="00C23021">
            <w:pPr>
              <w:ind w:left="0"/>
            </w:pPr>
            <w:r>
              <w:t>Tax Management Information</w:t>
            </w:r>
          </w:p>
        </w:tc>
        <w:tc>
          <w:tcPr>
            <w:tcW w:w="1816" w:type="dxa"/>
            <w:tcMar>
              <w:top w:w="115" w:type="dxa"/>
              <w:left w:w="115" w:type="dxa"/>
              <w:bottom w:w="115" w:type="dxa"/>
              <w:right w:w="115" w:type="dxa"/>
            </w:tcMar>
            <w:vAlign w:val="center"/>
          </w:tcPr>
          <w:p w14:paraId="53AEAE7D" w14:textId="77777777" w:rsidR="00FB4A19" w:rsidRDefault="00FB4A19" w:rsidP="00C23021">
            <w:pPr>
              <w:ind w:left="0"/>
              <w:jc w:val="center"/>
            </w:pPr>
            <w:r>
              <w:t>1</w:t>
            </w:r>
          </w:p>
        </w:tc>
      </w:tr>
      <w:tr w:rsidR="00FB4A19" w:rsidRPr="00873442" w14:paraId="47DD48FA" w14:textId="77777777" w:rsidTr="00C23021">
        <w:trPr>
          <w:cantSplit/>
          <w:trHeight w:hRule="exact" w:val="432"/>
        </w:trPr>
        <w:tc>
          <w:tcPr>
            <w:tcW w:w="3487" w:type="dxa"/>
            <w:tcMar>
              <w:top w:w="115" w:type="dxa"/>
              <w:left w:w="115" w:type="dxa"/>
              <w:bottom w:w="115" w:type="dxa"/>
              <w:right w:w="115" w:type="dxa"/>
            </w:tcMar>
            <w:vAlign w:val="center"/>
          </w:tcPr>
          <w:p w14:paraId="253B460A" w14:textId="77777777" w:rsidR="00FB4A19" w:rsidRDefault="00FB4A19" w:rsidP="00C23021">
            <w:pPr>
              <w:ind w:left="0"/>
            </w:pPr>
            <w:r>
              <w:t>Tax</w:t>
            </w:r>
          </w:p>
        </w:tc>
        <w:tc>
          <w:tcPr>
            <w:tcW w:w="1816" w:type="dxa"/>
            <w:tcMar>
              <w:top w:w="115" w:type="dxa"/>
              <w:left w:w="115" w:type="dxa"/>
              <w:bottom w:w="115" w:type="dxa"/>
              <w:right w:w="115" w:type="dxa"/>
            </w:tcMar>
            <w:vAlign w:val="center"/>
          </w:tcPr>
          <w:p w14:paraId="6DFAC17A" w14:textId="77777777" w:rsidR="00FB4A19" w:rsidRDefault="00FB4A19" w:rsidP="00C23021">
            <w:pPr>
              <w:ind w:left="0"/>
              <w:jc w:val="center"/>
            </w:pPr>
            <w:r>
              <w:t>23</w:t>
            </w:r>
          </w:p>
        </w:tc>
      </w:tr>
      <w:tr w:rsidR="00FB4A19" w:rsidRPr="00873442" w14:paraId="1E3C5DBF" w14:textId="77777777" w:rsidTr="00263CEA">
        <w:trPr>
          <w:cantSplit/>
          <w:trHeight w:hRule="exact" w:val="998"/>
        </w:trPr>
        <w:tc>
          <w:tcPr>
            <w:tcW w:w="3487" w:type="dxa"/>
            <w:tcMar>
              <w:top w:w="115" w:type="dxa"/>
              <w:left w:w="115" w:type="dxa"/>
              <w:bottom w:w="115" w:type="dxa"/>
              <w:right w:w="115" w:type="dxa"/>
            </w:tcMar>
            <w:vAlign w:val="center"/>
          </w:tcPr>
          <w:p w14:paraId="0F4568C7" w14:textId="26801278" w:rsidR="00FB4A19" w:rsidRDefault="00263CEA" w:rsidP="00C23021">
            <w:pPr>
              <w:ind w:left="0"/>
            </w:pPr>
            <w:r w:rsidRPr="008C2C58">
              <w:rPr>
                <w:rFonts w:cs="Arial"/>
                <w:snapToGrid w:val="0"/>
                <w:color w:val="000000"/>
                <w:szCs w:val="24"/>
              </w:rPr>
              <w:t>The Workforce Information System of Texas</w:t>
            </w:r>
            <w:r>
              <w:t xml:space="preserve"> (</w:t>
            </w:r>
            <w:r w:rsidR="00FB4A19">
              <w:t>TWIST</w:t>
            </w:r>
            <w:r>
              <w:t>)</w:t>
            </w:r>
            <w:r w:rsidR="00FB4A19">
              <w:t>/One-Stop</w:t>
            </w:r>
          </w:p>
        </w:tc>
        <w:tc>
          <w:tcPr>
            <w:tcW w:w="1816" w:type="dxa"/>
            <w:tcMar>
              <w:top w:w="115" w:type="dxa"/>
              <w:left w:w="115" w:type="dxa"/>
              <w:bottom w:w="115" w:type="dxa"/>
              <w:right w:w="115" w:type="dxa"/>
            </w:tcMar>
            <w:vAlign w:val="center"/>
          </w:tcPr>
          <w:p w14:paraId="74D1587B" w14:textId="77777777" w:rsidR="00FB4A19" w:rsidRDefault="00FB4A19" w:rsidP="00C23021">
            <w:pPr>
              <w:ind w:left="0"/>
              <w:jc w:val="center"/>
            </w:pPr>
            <w:r>
              <w:t>4</w:t>
            </w:r>
          </w:p>
        </w:tc>
      </w:tr>
      <w:tr w:rsidR="00FB4A19" w:rsidRPr="00873442" w14:paraId="6ABDC72F" w14:textId="77777777" w:rsidTr="00C23021">
        <w:trPr>
          <w:cantSplit/>
          <w:trHeight w:hRule="exact" w:val="432"/>
        </w:trPr>
        <w:tc>
          <w:tcPr>
            <w:tcW w:w="3487" w:type="dxa"/>
            <w:tcMar>
              <w:top w:w="115" w:type="dxa"/>
              <w:left w:w="115" w:type="dxa"/>
              <w:bottom w:w="115" w:type="dxa"/>
              <w:right w:w="115" w:type="dxa"/>
            </w:tcMar>
            <w:vAlign w:val="center"/>
          </w:tcPr>
          <w:p w14:paraId="0CE533FE" w14:textId="77777777" w:rsidR="00FB4A19" w:rsidRDefault="00FB4A19" w:rsidP="00C23021">
            <w:pPr>
              <w:ind w:left="0"/>
            </w:pPr>
            <w:r>
              <w:t>Youth Services (Obsolete)</w:t>
            </w:r>
          </w:p>
        </w:tc>
        <w:tc>
          <w:tcPr>
            <w:tcW w:w="1816" w:type="dxa"/>
            <w:tcMar>
              <w:top w:w="115" w:type="dxa"/>
              <w:left w:w="115" w:type="dxa"/>
              <w:bottom w:w="115" w:type="dxa"/>
              <w:right w:w="115" w:type="dxa"/>
            </w:tcMar>
            <w:vAlign w:val="center"/>
          </w:tcPr>
          <w:p w14:paraId="50085550" w14:textId="77777777" w:rsidR="00FB4A19" w:rsidRDefault="00FB4A19" w:rsidP="00C23021">
            <w:pPr>
              <w:ind w:left="0"/>
              <w:jc w:val="center"/>
            </w:pPr>
            <w:r>
              <w:t>1</w:t>
            </w:r>
          </w:p>
        </w:tc>
      </w:tr>
      <w:tr w:rsidR="00FB4A19" w:rsidRPr="00873442" w14:paraId="2BC3347A" w14:textId="77777777" w:rsidTr="00C23021">
        <w:trPr>
          <w:cantSplit/>
          <w:trHeight w:hRule="exact" w:val="432"/>
        </w:trPr>
        <w:tc>
          <w:tcPr>
            <w:tcW w:w="3487" w:type="dxa"/>
            <w:tcMar>
              <w:top w:w="115" w:type="dxa"/>
              <w:left w:w="115" w:type="dxa"/>
              <w:bottom w:w="115" w:type="dxa"/>
              <w:right w:w="115" w:type="dxa"/>
            </w:tcMar>
            <w:vAlign w:val="center"/>
          </w:tcPr>
          <w:p w14:paraId="0D8F5036" w14:textId="77777777" w:rsidR="00FB4A19" w:rsidRDefault="00FB4A19" w:rsidP="00C23021">
            <w:pPr>
              <w:ind w:left="0"/>
            </w:pPr>
            <w:r>
              <w:t>Benefits</w:t>
            </w:r>
          </w:p>
        </w:tc>
        <w:tc>
          <w:tcPr>
            <w:tcW w:w="1816" w:type="dxa"/>
            <w:tcMar>
              <w:top w:w="115" w:type="dxa"/>
              <w:left w:w="115" w:type="dxa"/>
              <w:bottom w:w="115" w:type="dxa"/>
              <w:right w:w="115" w:type="dxa"/>
            </w:tcMar>
            <w:vAlign w:val="center"/>
          </w:tcPr>
          <w:p w14:paraId="4E04DDF1" w14:textId="77777777" w:rsidR="00FB4A19" w:rsidRDefault="00FB4A19" w:rsidP="00C23021">
            <w:pPr>
              <w:ind w:left="0"/>
              <w:jc w:val="center"/>
            </w:pPr>
            <w:r>
              <w:t>334</w:t>
            </w:r>
          </w:p>
        </w:tc>
      </w:tr>
    </w:tbl>
    <w:p w14:paraId="7AC1028F" w14:textId="77777777" w:rsidR="00FB4A19" w:rsidRDefault="00FB4A19" w:rsidP="00FB4A19"/>
    <w:p w14:paraId="598C2AC6" w14:textId="77777777" w:rsidR="00FB4A19" w:rsidRDefault="00FB4A19" w:rsidP="00FB4A19">
      <w:pPr>
        <w:spacing w:line="256" w:lineRule="auto"/>
        <w:rPr>
          <w:rFonts w:eastAsia="Verdana,Times New Roman" w:cs="Verdana,Times New Roman"/>
          <w:b/>
          <w:bCs/>
          <w:u w:val="single"/>
        </w:rPr>
      </w:pPr>
      <w:r>
        <w:rPr>
          <w:rFonts w:eastAsia="Verdana,Times New Roman" w:cs="Verdana,Times New Roman"/>
          <w:b/>
          <w:bCs/>
          <w:u w:val="single"/>
        </w:rPr>
        <w:t>View Owners on Tax Databases (TA)</w:t>
      </w:r>
    </w:p>
    <w:tbl>
      <w:tblPr>
        <w:tblStyle w:val="TableGrid"/>
        <w:tblW w:w="5303" w:type="dxa"/>
        <w:tblInd w:w="828" w:type="dxa"/>
        <w:tblCellMar>
          <w:left w:w="115" w:type="dxa"/>
          <w:right w:w="115" w:type="dxa"/>
        </w:tblCellMar>
        <w:tblLook w:val="04A0" w:firstRow="1" w:lastRow="0" w:firstColumn="1" w:lastColumn="0" w:noHBand="0" w:noVBand="1"/>
        <w:tblDescription w:val="Table of view owners on tax databases"/>
      </w:tblPr>
      <w:tblGrid>
        <w:gridCol w:w="3487"/>
        <w:gridCol w:w="1816"/>
      </w:tblGrid>
      <w:tr w:rsidR="00FB4A19" w:rsidRPr="00873442" w14:paraId="51694764" w14:textId="77777777" w:rsidTr="00AC7CD4">
        <w:trPr>
          <w:cantSplit/>
          <w:tblHeader/>
        </w:trPr>
        <w:tc>
          <w:tcPr>
            <w:tcW w:w="3487" w:type="dxa"/>
            <w:shd w:val="clear" w:color="auto" w:fill="DEEAF6" w:themeFill="accent1" w:themeFillTint="33"/>
            <w:vAlign w:val="center"/>
          </w:tcPr>
          <w:p w14:paraId="7151CD76" w14:textId="77777777" w:rsidR="00FB4A19" w:rsidRPr="00E47978" w:rsidRDefault="00FB4A19" w:rsidP="00C23021">
            <w:pPr>
              <w:keepNext/>
              <w:spacing w:after="0"/>
              <w:ind w:left="0"/>
              <w:jc w:val="center"/>
              <w:rPr>
                <w:rFonts w:cs="Arial"/>
                <w:b/>
                <w:color w:val="1F3864" w:themeColor="accent5" w:themeShade="80"/>
              </w:rPr>
            </w:pPr>
            <w:r>
              <w:rPr>
                <w:rFonts w:cs="Arial"/>
                <w:b/>
                <w:color w:val="1F3864" w:themeColor="accent5" w:themeShade="80"/>
              </w:rPr>
              <w:t>View Owner</w:t>
            </w:r>
          </w:p>
        </w:tc>
        <w:tc>
          <w:tcPr>
            <w:tcW w:w="1816" w:type="dxa"/>
            <w:shd w:val="clear" w:color="auto" w:fill="DEEAF6" w:themeFill="accent1" w:themeFillTint="33"/>
            <w:vAlign w:val="center"/>
          </w:tcPr>
          <w:p w14:paraId="6A441868" w14:textId="77777777" w:rsidR="00FB4A19" w:rsidRDefault="00FB4A19" w:rsidP="00C23021">
            <w:pPr>
              <w:keepNext/>
              <w:spacing w:after="0"/>
              <w:ind w:left="0"/>
              <w:jc w:val="center"/>
              <w:rPr>
                <w:rFonts w:cs="Arial"/>
                <w:b/>
                <w:color w:val="1F3864" w:themeColor="accent5" w:themeShade="80"/>
              </w:rPr>
            </w:pPr>
            <w:r>
              <w:rPr>
                <w:rFonts w:cs="Arial"/>
                <w:b/>
                <w:color w:val="1F3864" w:themeColor="accent5" w:themeShade="80"/>
              </w:rPr>
              <w:t>View Count</w:t>
            </w:r>
          </w:p>
        </w:tc>
      </w:tr>
      <w:tr w:rsidR="00FB4A19" w:rsidRPr="00873442" w14:paraId="26A10FAE" w14:textId="77777777" w:rsidTr="00AC7CD4">
        <w:trPr>
          <w:cantSplit/>
          <w:trHeight w:hRule="exact" w:val="432"/>
        </w:trPr>
        <w:tc>
          <w:tcPr>
            <w:tcW w:w="3487" w:type="dxa"/>
            <w:tcMar>
              <w:top w:w="115" w:type="dxa"/>
              <w:left w:w="115" w:type="dxa"/>
              <w:bottom w:w="115" w:type="dxa"/>
              <w:right w:w="115" w:type="dxa"/>
            </w:tcMar>
            <w:vAlign w:val="center"/>
          </w:tcPr>
          <w:p w14:paraId="4EE49999" w14:textId="77777777" w:rsidR="00FB4A19" w:rsidRDefault="00FB4A19" w:rsidP="00C23021">
            <w:pPr>
              <w:ind w:left="0"/>
            </w:pPr>
            <w:r>
              <w:t>Appeals</w:t>
            </w:r>
          </w:p>
        </w:tc>
        <w:tc>
          <w:tcPr>
            <w:tcW w:w="1816" w:type="dxa"/>
            <w:tcMar>
              <w:top w:w="115" w:type="dxa"/>
              <w:left w:w="115" w:type="dxa"/>
              <w:bottom w:w="115" w:type="dxa"/>
              <w:right w:w="115" w:type="dxa"/>
            </w:tcMar>
            <w:vAlign w:val="center"/>
          </w:tcPr>
          <w:p w14:paraId="32E56D5B" w14:textId="77777777" w:rsidR="00FB4A19" w:rsidRDefault="00FB4A19" w:rsidP="00C23021">
            <w:pPr>
              <w:ind w:left="0"/>
              <w:jc w:val="center"/>
            </w:pPr>
            <w:r>
              <w:t>3</w:t>
            </w:r>
          </w:p>
        </w:tc>
      </w:tr>
      <w:tr w:rsidR="00FB4A19" w:rsidRPr="00873442" w14:paraId="33425844" w14:textId="77777777" w:rsidTr="00AC7CD4">
        <w:trPr>
          <w:cantSplit/>
          <w:trHeight w:hRule="exact" w:val="432"/>
        </w:trPr>
        <w:tc>
          <w:tcPr>
            <w:tcW w:w="3487" w:type="dxa"/>
            <w:tcMar>
              <w:top w:w="115" w:type="dxa"/>
              <w:left w:w="115" w:type="dxa"/>
              <w:bottom w:w="115" w:type="dxa"/>
              <w:right w:w="115" w:type="dxa"/>
            </w:tcMar>
            <w:vAlign w:val="center"/>
          </w:tcPr>
          <w:p w14:paraId="0BE354F7" w14:textId="77777777" w:rsidR="00FB4A19" w:rsidRPr="006252D8" w:rsidRDefault="00FB4A19" w:rsidP="00C23021">
            <w:pPr>
              <w:ind w:left="0"/>
            </w:pPr>
            <w:r>
              <w:t>Benefits</w:t>
            </w:r>
          </w:p>
        </w:tc>
        <w:tc>
          <w:tcPr>
            <w:tcW w:w="1816" w:type="dxa"/>
            <w:tcMar>
              <w:top w:w="115" w:type="dxa"/>
              <w:left w:w="115" w:type="dxa"/>
              <w:bottom w:w="115" w:type="dxa"/>
              <w:right w:w="115" w:type="dxa"/>
            </w:tcMar>
            <w:vAlign w:val="center"/>
          </w:tcPr>
          <w:p w14:paraId="2B3F3789" w14:textId="77777777" w:rsidR="00FB4A19" w:rsidRPr="006252D8" w:rsidRDefault="00FB4A19" w:rsidP="00C23021">
            <w:pPr>
              <w:ind w:left="0"/>
              <w:jc w:val="center"/>
            </w:pPr>
            <w:r>
              <w:t>22</w:t>
            </w:r>
          </w:p>
        </w:tc>
      </w:tr>
      <w:tr w:rsidR="00FB4A19" w:rsidRPr="00873442" w14:paraId="141CBEE4" w14:textId="77777777" w:rsidTr="00AC7CD4">
        <w:trPr>
          <w:cantSplit/>
          <w:trHeight w:hRule="exact" w:val="432"/>
        </w:trPr>
        <w:tc>
          <w:tcPr>
            <w:tcW w:w="3487" w:type="dxa"/>
            <w:tcMar>
              <w:top w:w="115" w:type="dxa"/>
              <w:left w:w="115" w:type="dxa"/>
              <w:bottom w:w="115" w:type="dxa"/>
              <w:right w:w="115" w:type="dxa"/>
            </w:tcMar>
            <w:vAlign w:val="center"/>
          </w:tcPr>
          <w:p w14:paraId="1340E5D9" w14:textId="77777777" w:rsidR="00FB4A19" w:rsidRDefault="00FB4A19" w:rsidP="00C23021">
            <w:pPr>
              <w:ind w:left="0"/>
            </w:pPr>
            <w:r>
              <w:t>Payday/Labor Law</w:t>
            </w:r>
          </w:p>
        </w:tc>
        <w:tc>
          <w:tcPr>
            <w:tcW w:w="1816" w:type="dxa"/>
            <w:tcMar>
              <w:top w:w="115" w:type="dxa"/>
              <w:left w:w="115" w:type="dxa"/>
              <w:bottom w:w="115" w:type="dxa"/>
              <w:right w:w="115" w:type="dxa"/>
            </w:tcMar>
            <w:vAlign w:val="center"/>
          </w:tcPr>
          <w:p w14:paraId="3BBE71B3" w14:textId="77777777" w:rsidR="00FB4A19" w:rsidRDefault="00FB4A19" w:rsidP="00C23021">
            <w:pPr>
              <w:ind w:left="0"/>
              <w:jc w:val="center"/>
            </w:pPr>
            <w:r>
              <w:t>1</w:t>
            </w:r>
          </w:p>
        </w:tc>
      </w:tr>
      <w:tr w:rsidR="00FB4A19" w:rsidRPr="00873442" w14:paraId="22E54A86" w14:textId="77777777" w:rsidTr="00AC7CD4">
        <w:trPr>
          <w:cantSplit/>
          <w:trHeight w:hRule="exact" w:val="432"/>
        </w:trPr>
        <w:tc>
          <w:tcPr>
            <w:tcW w:w="3487" w:type="dxa"/>
            <w:tcMar>
              <w:top w:w="115" w:type="dxa"/>
              <w:left w:w="115" w:type="dxa"/>
              <w:bottom w:w="115" w:type="dxa"/>
              <w:right w:w="115" w:type="dxa"/>
            </w:tcMar>
            <w:vAlign w:val="center"/>
          </w:tcPr>
          <w:p w14:paraId="2DD3E2A8" w14:textId="1BCC9DDB" w:rsidR="00FB4A19" w:rsidRDefault="00912C49" w:rsidP="00C23021">
            <w:pPr>
              <w:ind w:left="0"/>
            </w:pPr>
            <w:r>
              <w:t>WIT</w:t>
            </w:r>
          </w:p>
        </w:tc>
        <w:tc>
          <w:tcPr>
            <w:tcW w:w="1816" w:type="dxa"/>
            <w:tcMar>
              <w:top w:w="115" w:type="dxa"/>
              <w:left w:w="115" w:type="dxa"/>
              <w:bottom w:w="115" w:type="dxa"/>
              <w:right w:w="115" w:type="dxa"/>
            </w:tcMar>
            <w:vAlign w:val="center"/>
          </w:tcPr>
          <w:p w14:paraId="34AB18DB" w14:textId="77777777" w:rsidR="00FB4A19" w:rsidRDefault="00FB4A19" w:rsidP="00C23021">
            <w:pPr>
              <w:ind w:left="0"/>
              <w:jc w:val="center"/>
            </w:pPr>
            <w:r>
              <w:t>7</w:t>
            </w:r>
          </w:p>
        </w:tc>
      </w:tr>
      <w:tr w:rsidR="00FB4A19" w:rsidRPr="00873442" w14:paraId="2869D947" w14:textId="77777777" w:rsidTr="00AC7CD4">
        <w:trPr>
          <w:cantSplit/>
          <w:trHeight w:hRule="exact" w:val="432"/>
        </w:trPr>
        <w:tc>
          <w:tcPr>
            <w:tcW w:w="3487" w:type="dxa"/>
            <w:tcMar>
              <w:top w:w="115" w:type="dxa"/>
              <w:left w:w="115" w:type="dxa"/>
              <w:bottom w:w="115" w:type="dxa"/>
              <w:right w:w="115" w:type="dxa"/>
            </w:tcMar>
            <w:vAlign w:val="center"/>
          </w:tcPr>
          <w:p w14:paraId="5168BCA9" w14:textId="77777777" w:rsidR="00FB4A19" w:rsidRDefault="00FB4A19" w:rsidP="00C23021">
            <w:pPr>
              <w:ind w:left="0"/>
            </w:pPr>
            <w:r>
              <w:t>Labor Statistics</w:t>
            </w:r>
          </w:p>
        </w:tc>
        <w:tc>
          <w:tcPr>
            <w:tcW w:w="1816" w:type="dxa"/>
            <w:tcMar>
              <w:top w:w="115" w:type="dxa"/>
              <w:left w:w="115" w:type="dxa"/>
              <w:bottom w:w="115" w:type="dxa"/>
              <w:right w:w="115" w:type="dxa"/>
            </w:tcMar>
            <w:vAlign w:val="center"/>
          </w:tcPr>
          <w:p w14:paraId="3A1A9243" w14:textId="77777777" w:rsidR="00FB4A19" w:rsidRDefault="00FB4A19" w:rsidP="00C23021">
            <w:pPr>
              <w:ind w:left="0"/>
              <w:jc w:val="center"/>
            </w:pPr>
            <w:r>
              <w:t>1</w:t>
            </w:r>
          </w:p>
        </w:tc>
      </w:tr>
      <w:tr w:rsidR="00FB4A19" w:rsidRPr="00873442" w14:paraId="42116A14" w14:textId="77777777" w:rsidTr="00AC7CD4">
        <w:trPr>
          <w:cantSplit/>
          <w:trHeight w:hRule="exact" w:val="432"/>
        </w:trPr>
        <w:tc>
          <w:tcPr>
            <w:tcW w:w="3487" w:type="dxa"/>
            <w:tcMar>
              <w:top w:w="115" w:type="dxa"/>
              <w:left w:w="115" w:type="dxa"/>
              <w:bottom w:w="115" w:type="dxa"/>
              <w:right w:w="115" w:type="dxa"/>
            </w:tcMar>
            <w:vAlign w:val="center"/>
          </w:tcPr>
          <w:p w14:paraId="7FC13076" w14:textId="77777777" w:rsidR="00FB4A19" w:rsidRDefault="00FB4A19" w:rsidP="00C23021">
            <w:pPr>
              <w:ind w:left="0"/>
            </w:pPr>
            <w:r>
              <w:t>Access/Security</w:t>
            </w:r>
          </w:p>
        </w:tc>
        <w:tc>
          <w:tcPr>
            <w:tcW w:w="1816" w:type="dxa"/>
            <w:tcMar>
              <w:top w:w="115" w:type="dxa"/>
              <w:left w:w="115" w:type="dxa"/>
              <w:bottom w:w="115" w:type="dxa"/>
              <w:right w:w="115" w:type="dxa"/>
            </w:tcMar>
            <w:vAlign w:val="center"/>
          </w:tcPr>
          <w:p w14:paraId="316D1D7F" w14:textId="77777777" w:rsidR="00FB4A19" w:rsidRDefault="00FB4A19" w:rsidP="00C23021">
            <w:pPr>
              <w:ind w:left="0"/>
              <w:jc w:val="center"/>
            </w:pPr>
            <w:r>
              <w:t>1</w:t>
            </w:r>
          </w:p>
        </w:tc>
      </w:tr>
      <w:tr w:rsidR="00FB4A19" w:rsidRPr="00873442" w14:paraId="7891E00C" w14:textId="77777777" w:rsidTr="004047DD">
        <w:trPr>
          <w:cantSplit/>
          <w:trHeight w:hRule="exact" w:val="1007"/>
        </w:trPr>
        <w:tc>
          <w:tcPr>
            <w:tcW w:w="3487" w:type="dxa"/>
            <w:tcMar>
              <w:top w:w="115" w:type="dxa"/>
              <w:left w:w="115" w:type="dxa"/>
              <w:bottom w:w="115" w:type="dxa"/>
              <w:right w:w="115" w:type="dxa"/>
            </w:tcMar>
            <w:vAlign w:val="center"/>
          </w:tcPr>
          <w:p w14:paraId="311F4C0C" w14:textId="1085D7F7" w:rsidR="00FB4A19" w:rsidRDefault="00FB4A19" w:rsidP="00C23021">
            <w:pPr>
              <w:ind w:left="0"/>
            </w:pPr>
            <w:r>
              <w:lastRenderedPageBreak/>
              <w:t>Tax Clearinghouse (</w:t>
            </w:r>
            <w:r w:rsidR="004047DD">
              <w:t>Automated Clearing House (ACH)</w:t>
            </w:r>
            <w:r>
              <w:t>)</w:t>
            </w:r>
          </w:p>
        </w:tc>
        <w:tc>
          <w:tcPr>
            <w:tcW w:w="1816" w:type="dxa"/>
            <w:tcMar>
              <w:top w:w="115" w:type="dxa"/>
              <w:left w:w="115" w:type="dxa"/>
              <w:bottom w:w="115" w:type="dxa"/>
              <w:right w:w="115" w:type="dxa"/>
            </w:tcMar>
            <w:vAlign w:val="center"/>
          </w:tcPr>
          <w:p w14:paraId="18B5267A" w14:textId="77777777" w:rsidR="00FB4A19" w:rsidRDefault="00FB4A19" w:rsidP="00C23021">
            <w:pPr>
              <w:ind w:left="0"/>
              <w:jc w:val="center"/>
            </w:pPr>
            <w:r>
              <w:t>8</w:t>
            </w:r>
          </w:p>
        </w:tc>
      </w:tr>
      <w:tr w:rsidR="00FB4A19" w:rsidRPr="00873442" w14:paraId="4D5D78AD" w14:textId="77777777" w:rsidTr="00AC7CD4">
        <w:trPr>
          <w:cantSplit/>
          <w:trHeight w:hRule="exact" w:val="432"/>
        </w:trPr>
        <w:tc>
          <w:tcPr>
            <w:tcW w:w="3487" w:type="dxa"/>
            <w:tcMar>
              <w:top w:w="115" w:type="dxa"/>
              <w:left w:w="115" w:type="dxa"/>
              <w:bottom w:w="115" w:type="dxa"/>
              <w:right w:w="115" w:type="dxa"/>
            </w:tcMar>
            <w:vAlign w:val="center"/>
          </w:tcPr>
          <w:p w14:paraId="0F4D2260" w14:textId="77777777" w:rsidR="00FB4A19" w:rsidRDefault="00FB4A19" w:rsidP="00C23021">
            <w:pPr>
              <w:ind w:left="0"/>
            </w:pPr>
            <w:r>
              <w:t>EAGLE (External Agency)</w:t>
            </w:r>
          </w:p>
        </w:tc>
        <w:tc>
          <w:tcPr>
            <w:tcW w:w="1816" w:type="dxa"/>
            <w:tcMar>
              <w:top w:w="115" w:type="dxa"/>
              <w:left w:w="115" w:type="dxa"/>
              <w:bottom w:w="115" w:type="dxa"/>
              <w:right w:w="115" w:type="dxa"/>
            </w:tcMar>
            <w:vAlign w:val="center"/>
          </w:tcPr>
          <w:p w14:paraId="1D2C73A6" w14:textId="77777777" w:rsidR="00FB4A19" w:rsidRDefault="00FB4A19" w:rsidP="00C23021">
            <w:pPr>
              <w:ind w:left="0"/>
              <w:jc w:val="center"/>
            </w:pPr>
            <w:r>
              <w:t>7</w:t>
            </w:r>
          </w:p>
        </w:tc>
      </w:tr>
      <w:tr w:rsidR="00FB4A19" w:rsidRPr="00873442" w14:paraId="1EB5426A" w14:textId="77777777" w:rsidTr="00AC7CD4">
        <w:trPr>
          <w:cantSplit/>
          <w:trHeight w:hRule="exact" w:val="710"/>
        </w:trPr>
        <w:tc>
          <w:tcPr>
            <w:tcW w:w="3487" w:type="dxa"/>
            <w:tcMar>
              <w:top w:w="115" w:type="dxa"/>
              <w:left w:w="115" w:type="dxa"/>
              <w:bottom w:w="115" w:type="dxa"/>
              <w:right w:w="115" w:type="dxa"/>
            </w:tcMar>
            <w:vAlign w:val="center"/>
          </w:tcPr>
          <w:p w14:paraId="15EB68BB" w14:textId="77777777" w:rsidR="00FB4A19" w:rsidRDefault="00FB4A19" w:rsidP="00C23021">
            <w:pPr>
              <w:ind w:left="0"/>
            </w:pPr>
            <w:r>
              <w:t>Job Training Partnership Act (Obsolete)</w:t>
            </w:r>
          </w:p>
        </w:tc>
        <w:tc>
          <w:tcPr>
            <w:tcW w:w="1816" w:type="dxa"/>
            <w:tcMar>
              <w:top w:w="115" w:type="dxa"/>
              <w:left w:w="115" w:type="dxa"/>
              <w:bottom w:w="115" w:type="dxa"/>
              <w:right w:w="115" w:type="dxa"/>
            </w:tcMar>
            <w:vAlign w:val="center"/>
          </w:tcPr>
          <w:p w14:paraId="031D8649" w14:textId="77777777" w:rsidR="00FB4A19" w:rsidRDefault="00FB4A19" w:rsidP="00C23021">
            <w:pPr>
              <w:ind w:left="0"/>
              <w:jc w:val="center"/>
            </w:pPr>
            <w:r>
              <w:t>1</w:t>
            </w:r>
          </w:p>
        </w:tc>
      </w:tr>
      <w:tr w:rsidR="00FB4A19" w:rsidRPr="00873442" w14:paraId="76655BB3" w14:textId="77777777" w:rsidTr="00AC7CD4">
        <w:trPr>
          <w:cantSplit/>
          <w:trHeight w:hRule="exact" w:val="782"/>
        </w:trPr>
        <w:tc>
          <w:tcPr>
            <w:tcW w:w="3487" w:type="dxa"/>
            <w:tcMar>
              <w:top w:w="115" w:type="dxa"/>
              <w:left w:w="115" w:type="dxa"/>
              <w:bottom w:w="115" w:type="dxa"/>
              <w:right w:w="115" w:type="dxa"/>
            </w:tcMar>
            <w:vAlign w:val="center"/>
          </w:tcPr>
          <w:p w14:paraId="2AC19036" w14:textId="77777777" w:rsidR="00FB4A19" w:rsidRDefault="00FB4A19" w:rsidP="00C23021">
            <w:pPr>
              <w:ind w:left="0"/>
            </w:pPr>
            <w:r>
              <w:t>Tax Management Information</w:t>
            </w:r>
          </w:p>
        </w:tc>
        <w:tc>
          <w:tcPr>
            <w:tcW w:w="1816" w:type="dxa"/>
            <w:tcMar>
              <w:top w:w="115" w:type="dxa"/>
              <w:left w:w="115" w:type="dxa"/>
              <w:bottom w:w="115" w:type="dxa"/>
              <w:right w:w="115" w:type="dxa"/>
            </w:tcMar>
            <w:vAlign w:val="center"/>
          </w:tcPr>
          <w:p w14:paraId="5EC63ED5" w14:textId="77777777" w:rsidR="00FB4A19" w:rsidRDefault="00FB4A19" w:rsidP="00C23021">
            <w:pPr>
              <w:ind w:left="0"/>
              <w:jc w:val="center"/>
            </w:pPr>
            <w:r>
              <w:t>6</w:t>
            </w:r>
          </w:p>
        </w:tc>
      </w:tr>
      <w:tr w:rsidR="00FB4A19" w:rsidRPr="00873442" w14:paraId="3DAE200B" w14:textId="77777777" w:rsidTr="00AC7CD4">
        <w:trPr>
          <w:cantSplit/>
          <w:trHeight w:hRule="exact" w:val="432"/>
        </w:trPr>
        <w:tc>
          <w:tcPr>
            <w:tcW w:w="3487" w:type="dxa"/>
            <w:tcMar>
              <w:top w:w="115" w:type="dxa"/>
              <w:left w:w="115" w:type="dxa"/>
              <w:bottom w:w="115" w:type="dxa"/>
              <w:right w:w="115" w:type="dxa"/>
            </w:tcMar>
            <w:vAlign w:val="center"/>
          </w:tcPr>
          <w:p w14:paraId="297BD891" w14:textId="77777777" w:rsidR="00FB4A19" w:rsidRDefault="00FB4A19" w:rsidP="00C23021">
            <w:pPr>
              <w:ind w:left="0"/>
            </w:pPr>
            <w:r>
              <w:t>Learner Outcome</w:t>
            </w:r>
          </w:p>
        </w:tc>
        <w:tc>
          <w:tcPr>
            <w:tcW w:w="1816" w:type="dxa"/>
            <w:tcMar>
              <w:top w:w="115" w:type="dxa"/>
              <w:left w:w="115" w:type="dxa"/>
              <w:bottom w:w="115" w:type="dxa"/>
              <w:right w:w="115" w:type="dxa"/>
            </w:tcMar>
            <w:vAlign w:val="center"/>
          </w:tcPr>
          <w:p w14:paraId="0F2FF3F1" w14:textId="77777777" w:rsidR="00FB4A19" w:rsidRDefault="00FB4A19" w:rsidP="00C23021">
            <w:pPr>
              <w:ind w:left="0"/>
              <w:jc w:val="center"/>
            </w:pPr>
            <w:r>
              <w:t>4</w:t>
            </w:r>
          </w:p>
        </w:tc>
      </w:tr>
      <w:tr w:rsidR="00FB4A19" w:rsidRPr="00873442" w14:paraId="1003B170" w14:textId="77777777" w:rsidTr="00AC7CD4">
        <w:trPr>
          <w:cantSplit/>
          <w:trHeight w:hRule="exact" w:val="432"/>
        </w:trPr>
        <w:tc>
          <w:tcPr>
            <w:tcW w:w="3487" w:type="dxa"/>
            <w:tcMar>
              <w:top w:w="115" w:type="dxa"/>
              <w:left w:w="115" w:type="dxa"/>
              <w:bottom w:w="115" w:type="dxa"/>
              <w:right w:w="115" w:type="dxa"/>
            </w:tcMar>
            <w:vAlign w:val="center"/>
          </w:tcPr>
          <w:p w14:paraId="5C102860" w14:textId="77777777" w:rsidR="00FB4A19" w:rsidRDefault="00FB4A19" w:rsidP="00C23021">
            <w:pPr>
              <w:ind w:left="0"/>
            </w:pPr>
            <w:r>
              <w:t>TWIST/One-Stop</w:t>
            </w:r>
          </w:p>
        </w:tc>
        <w:tc>
          <w:tcPr>
            <w:tcW w:w="1816" w:type="dxa"/>
            <w:tcMar>
              <w:top w:w="115" w:type="dxa"/>
              <w:left w:w="115" w:type="dxa"/>
              <w:bottom w:w="115" w:type="dxa"/>
              <w:right w:w="115" w:type="dxa"/>
            </w:tcMar>
            <w:vAlign w:val="center"/>
          </w:tcPr>
          <w:p w14:paraId="72E9D7AB" w14:textId="77777777" w:rsidR="00FB4A19" w:rsidRDefault="00FB4A19" w:rsidP="00C23021">
            <w:pPr>
              <w:ind w:left="0"/>
              <w:jc w:val="center"/>
            </w:pPr>
            <w:r>
              <w:t>3</w:t>
            </w:r>
          </w:p>
        </w:tc>
      </w:tr>
      <w:tr w:rsidR="00FB4A19" w:rsidRPr="00873442" w14:paraId="14EECB80" w14:textId="77777777" w:rsidTr="00AC7CD4">
        <w:trPr>
          <w:cantSplit/>
          <w:trHeight w:hRule="exact" w:val="432"/>
        </w:trPr>
        <w:tc>
          <w:tcPr>
            <w:tcW w:w="3487" w:type="dxa"/>
            <w:tcMar>
              <w:top w:w="115" w:type="dxa"/>
              <w:left w:w="115" w:type="dxa"/>
              <w:bottom w:w="115" w:type="dxa"/>
              <w:right w:w="115" w:type="dxa"/>
            </w:tcMar>
            <w:vAlign w:val="center"/>
          </w:tcPr>
          <w:p w14:paraId="78BAC1F8" w14:textId="77777777" w:rsidR="00FB4A19" w:rsidRDefault="00FB4A19" w:rsidP="00C23021">
            <w:pPr>
              <w:ind w:left="0"/>
            </w:pPr>
            <w:r>
              <w:t>Tax</w:t>
            </w:r>
          </w:p>
        </w:tc>
        <w:tc>
          <w:tcPr>
            <w:tcW w:w="1816" w:type="dxa"/>
            <w:tcMar>
              <w:top w:w="115" w:type="dxa"/>
              <w:left w:w="115" w:type="dxa"/>
              <w:bottom w:w="115" w:type="dxa"/>
              <w:right w:w="115" w:type="dxa"/>
            </w:tcMar>
            <w:vAlign w:val="center"/>
          </w:tcPr>
          <w:p w14:paraId="2FB02E59" w14:textId="77777777" w:rsidR="00FB4A19" w:rsidRDefault="00FB4A19" w:rsidP="00C23021">
            <w:pPr>
              <w:ind w:left="0"/>
              <w:jc w:val="center"/>
            </w:pPr>
            <w:r>
              <w:t>199</w:t>
            </w:r>
          </w:p>
        </w:tc>
      </w:tr>
    </w:tbl>
    <w:p w14:paraId="2801A5B3" w14:textId="77777777" w:rsidR="00FB4A19" w:rsidRDefault="00FB4A19" w:rsidP="00FB4A19"/>
    <w:p w14:paraId="623E8058" w14:textId="2BF556E4" w:rsidR="00FB4A19" w:rsidRDefault="00C66F0E" w:rsidP="00FB4A19">
      <w:pPr>
        <w:keepNext/>
        <w:spacing w:line="256" w:lineRule="auto"/>
        <w:rPr>
          <w:rFonts w:eastAsia="Verdana,Times New Roman" w:cs="Verdana,Times New Roman"/>
          <w:b/>
          <w:bCs/>
          <w:u w:val="single"/>
        </w:rPr>
      </w:pPr>
      <w:bookmarkStart w:id="45" w:name="_Hlk531076954"/>
      <w:bookmarkStart w:id="46" w:name="_Hlk531103172"/>
      <w:r>
        <w:rPr>
          <w:rFonts w:eastAsia="Verdana,Times New Roman" w:cs="Verdana,Times New Roman"/>
          <w:b/>
          <w:bCs/>
          <w:u w:val="single"/>
        </w:rPr>
        <w:t xml:space="preserve">Benefit Claim </w:t>
      </w:r>
      <w:r w:rsidR="00FB4A19">
        <w:rPr>
          <w:rFonts w:eastAsia="Verdana,Times New Roman" w:cs="Verdana,Times New Roman"/>
          <w:b/>
          <w:bCs/>
          <w:u w:val="single"/>
        </w:rPr>
        <w:t>Archive</w:t>
      </w:r>
    </w:p>
    <w:tbl>
      <w:tblPr>
        <w:tblStyle w:val="TableGrid"/>
        <w:tblW w:w="0" w:type="auto"/>
        <w:tblInd w:w="828" w:type="dxa"/>
        <w:tblLayout w:type="fixed"/>
        <w:tblLook w:val="04A0" w:firstRow="1" w:lastRow="0" w:firstColumn="1" w:lastColumn="0" w:noHBand="0" w:noVBand="1"/>
        <w:tblDescription w:val="Table of archived records, archived claims, and archived database size"/>
      </w:tblPr>
      <w:tblGrid>
        <w:gridCol w:w="3038"/>
        <w:gridCol w:w="3038"/>
        <w:gridCol w:w="3038"/>
      </w:tblGrid>
      <w:tr w:rsidR="00FB4A19" w:rsidRPr="00873442" w14:paraId="4E2C0B8E" w14:textId="77777777" w:rsidTr="00C23021">
        <w:trPr>
          <w:cantSplit/>
          <w:tblHeader/>
        </w:trPr>
        <w:tc>
          <w:tcPr>
            <w:tcW w:w="3038" w:type="dxa"/>
            <w:shd w:val="clear" w:color="auto" w:fill="DEEAF6" w:themeFill="accent1" w:themeFillTint="33"/>
            <w:vAlign w:val="center"/>
          </w:tcPr>
          <w:p w14:paraId="12CE9247" w14:textId="77777777" w:rsidR="00FB4A19" w:rsidRDefault="00FB4A19" w:rsidP="00C23021">
            <w:pPr>
              <w:keepNext/>
              <w:spacing w:after="0"/>
              <w:ind w:left="0"/>
              <w:jc w:val="center"/>
              <w:rPr>
                <w:rFonts w:cs="Arial"/>
                <w:b/>
                <w:color w:val="1F3864" w:themeColor="accent5" w:themeShade="80"/>
              </w:rPr>
            </w:pPr>
            <w:r>
              <w:rPr>
                <w:rFonts w:cs="Arial"/>
                <w:b/>
                <w:color w:val="1F3864" w:themeColor="accent5" w:themeShade="80"/>
              </w:rPr>
              <w:t>Archived Records</w:t>
            </w:r>
          </w:p>
        </w:tc>
        <w:tc>
          <w:tcPr>
            <w:tcW w:w="3038" w:type="dxa"/>
            <w:shd w:val="clear" w:color="auto" w:fill="DEEAF6" w:themeFill="accent1" w:themeFillTint="33"/>
            <w:vAlign w:val="center"/>
          </w:tcPr>
          <w:p w14:paraId="19CE6D43" w14:textId="77777777" w:rsidR="00FB4A19" w:rsidRPr="00E47978" w:rsidRDefault="00FB4A19" w:rsidP="00C23021">
            <w:pPr>
              <w:keepNext/>
              <w:spacing w:after="0"/>
              <w:ind w:left="0"/>
              <w:jc w:val="center"/>
              <w:rPr>
                <w:rFonts w:cs="Arial"/>
                <w:b/>
                <w:color w:val="1F3864" w:themeColor="accent5" w:themeShade="80"/>
              </w:rPr>
            </w:pPr>
            <w:r>
              <w:rPr>
                <w:rFonts w:cs="Arial"/>
                <w:b/>
                <w:color w:val="1F3864" w:themeColor="accent5" w:themeShade="80"/>
              </w:rPr>
              <w:t>Archived Claims</w:t>
            </w:r>
          </w:p>
        </w:tc>
        <w:tc>
          <w:tcPr>
            <w:tcW w:w="3038" w:type="dxa"/>
            <w:shd w:val="clear" w:color="auto" w:fill="DEEAF6" w:themeFill="accent1" w:themeFillTint="33"/>
            <w:vAlign w:val="center"/>
          </w:tcPr>
          <w:p w14:paraId="1F42510C" w14:textId="77777777" w:rsidR="00FB4A19" w:rsidRDefault="00FB4A19" w:rsidP="00C23021">
            <w:pPr>
              <w:keepNext/>
              <w:spacing w:after="0"/>
              <w:ind w:left="0"/>
              <w:jc w:val="center"/>
              <w:rPr>
                <w:rFonts w:cs="Arial"/>
                <w:b/>
                <w:color w:val="1F3864" w:themeColor="accent5" w:themeShade="80"/>
              </w:rPr>
            </w:pPr>
            <w:r>
              <w:rPr>
                <w:rFonts w:cs="Arial"/>
                <w:b/>
                <w:color w:val="1F3864" w:themeColor="accent5" w:themeShade="80"/>
              </w:rPr>
              <w:t>Database Size (MB)</w:t>
            </w:r>
          </w:p>
        </w:tc>
      </w:tr>
      <w:tr w:rsidR="00FB4A19" w:rsidRPr="00873442" w14:paraId="51D3B0B2" w14:textId="77777777" w:rsidTr="00C23021">
        <w:trPr>
          <w:cantSplit/>
          <w:trHeight w:hRule="exact" w:val="432"/>
        </w:trPr>
        <w:tc>
          <w:tcPr>
            <w:tcW w:w="3038" w:type="dxa"/>
            <w:tcMar>
              <w:top w:w="115" w:type="dxa"/>
              <w:left w:w="115" w:type="dxa"/>
              <w:bottom w:w="115" w:type="dxa"/>
              <w:right w:w="115" w:type="dxa"/>
            </w:tcMar>
            <w:vAlign w:val="center"/>
          </w:tcPr>
          <w:p w14:paraId="0AC42A65" w14:textId="77777777" w:rsidR="00FB4A19" w:rsidRDefault="00FB4A19" w:rsidP="00C23021">
            <w:pPr>
              <w:ind w:left="0"/>
              <w:jc w:val="center"/>
            </w:pPr>
            <w:r>
              <w:t>1,328,464,255</w:t>
            </w:r>
          </w:p>
        </w:tc>
        <w:tc>
          <w:tcPr>
            <w:tcW w:w="3038" w:type="dxa"/>
            <w:tcMar>
              <w:top w:w="115" w:type="dxa"/>
              <w:left w:w="115" w:type="dxa"/>
              <w:bottom w:w="115" w:type="dxa"/>
              <w:right w:w="115" w:type="dxa"/>
            </w:tcMar>
            <w:vAlign w:val="center"/>
          </w:tcPr>
          <w:p w14:paraId="229B1612" w14:textId="77777777" w:rsidR="00FB4A19" w:rsidRDefault="00FB4A19" w:rsidP="00C23021">
            <w:pPr>
              <w:ind w:left="0"/>
              <w:jc w:val="center"/>
            </w:pPr>
            <w:r>
              <w:t>6,848,681</w:t>
            </w:r>
          </w:p>
        </w:tc>
        <w:tc>
          <w:tcPr>
            <w:tcW w:w="3038" w:type="dxa"/>
            <w:tcMar>
              <w:left w:w="115" w:type="dxa"/>
              <w:right w:w="115" w:type="dxa"/>
            </w:tcMar>
          </w:tcPr>
          <w:p w14:paraId="32AA7EEA" w14:textId="77777777" w:rsidR="00FB4A19" w:rsidRDefault="00FB4A19" w:rsidP="00C23021">
            <w:pPr>
              <w:ind w:left="0"/>
              <w:jc w:val="center"/>
            </w:pPr>
            <w:r>
              <w:t>478,474</w:t>
            </w:r>
          </w:p>
        </w:tc>
      </w:tr>
    </w:tbl>
    <w:p w14:paraId="412E86C3" w14:textId="77777777" w:rsidR="00FB4A19" w:rsidRDefault="00FB4A19" w:rsidP="00FB4A19"/>
    <w:p w14:paraId="3B294365" w14:textId="4B313B2C" w:rsidR="00A6095F" w:rsidRDefault="00A6095F" w:rsidP="00A6095F">
      <w:pPr>
        <w:keepNext/>
        <w:spacing w:line="256" w:lineRule="auto"/>
        <w:rPr>
          <w:rFonts w:eastAsia="Verdana,Times New Roman" w:cs="Verdana,Times New Roman"/>
          <w:b/>
          <w:bCs/>
          <w:u w:val="single"/>
        </w:rPr>
      </w:pPr>
      <w:bookmarkStart w:id="47" w:name="_Hlk529429475"/>
      <w:bookmarkEnd w:id="45"/>
      <w:r>
        <w:rPr>
          <w:rFonts w:eastAsia="Verdana,Times New Roman" w:cs="Verdana,Times New Roman"/>
          <w:b/>
          <w:bCs/>
          <w:u w:val="single"/>
        </w:rPr>
        <w:t>Tax Archive</w:t>
      </w:r>
    </w:p>
    <w:tbl>
      <w:tblPr>
        <w:tblStyle w:val="TableGrid"/>
        <w:tblW w:w="0" w:type="auto"/>
        <w:tblInd w:w="828" w:type="dxa"/>
        <w:tblLayout w:type="fixed"/>
        <w:tblLook w:val="04A0" w:firstRow="1" w:lastRow="0" w:firstColumn="1" w:lastColumn="0" w:noHBand="0" w:noVBand="1"/>
        <w:tblDescription w:val="Table of archived records, archived claims, and archived database size"/>
      </w:tblPr>
      <w:tblGrid>
        <w:gridCol w:w="3038"/>
        <w:gridCol w:w="3038"/>
      </w:tblGrid>
      <w:tr w:rsidR="00A6095F" w:rsidRPr="00873442" w14:paraId="3738D04D" w14:textId="77777777" w:rsidTr="00207347">
        <w:trPr>
          <w:cantSplit/>
          <w:tblHeader/>
        </w:trPr>
        <w:tc>
          <w:tcPr>
            <w:tcW w:w="3038" w:type="dxa"/>
            <w:shd w:val="clear" w:color="auto" w:fill="DEEAF6" w:themeFill="accent1" w:themeFillTint="33"/>
            <w:vAlign w:val="center"/>
          </w:tcPr>
          <w:p w14:paraId="390B54A8" w14:textId="77777777" w:rsidR="00A6095F" w:rsidRDefault="00A6095F" w:rsidP="00207347">
            <w:pPr>
              <w:keepNext/>
              <w:spacing w:after="0"/>
              <w:ind w:left="0"/>
              <w:jc w:val="center"/>
              <w:rPr>
                <w:rFonts w:cs="Arial"/>
                <w:b/>
                <w:color w:val="1F3864" w:themeColor="accent5" w:themeShade="80"/>
              </w:rPr>
            </w:pPr>
            <w:r>
              <w:rPr>
                <w:rFonts w:cs="Arial"/>
                <w:b/>
                <w:color w:val="1F3864" w:themeColor="accent5" w:themeShade="80"/>
              </w:rPr>
              <w:t>Archived Records</w:t>
            </w:r>
          </w:p>
        </w:tc>
        <w:tc>
          <w:tcPr>
            <w:tcW w:w="3038" w:type="dxa"/>
            <w:shd w:val="clear" w:color="auto" w:fill="DEEAF6" w:themeFill="accent1" w:themeFillTint="33"/>
            <w:vAlign w:val="center"/>
          </w:tcPr>
          <w:p w14:paraId="6CFCBF03" w14:textId="77777777" w:rsidR="00A6095F" w:rsidRDefault="00A6095F" w:rsidP="00207347">
            <w:pPr>
              <w:keepNext/>
              <w:spacing w:after="0"/>
              <w:ind w:left="0"/>
              <w:jc w:val="center"/>
              <w:rPr>
                <w:rFonts w:cs="Arial"/>
                <w:b/>
                <w:color w:val="1F3864" w:themeColor="accent5" w:themeShade="80"/>
              </w:rPr>
            </w:pPr>
            <w:r>
              <w:rPr>
                <w:rFonts w:cs="Arial"/>
                <w:b/>
                <w:color w:val="1F3864" w:themeColor="accent5" w:themeShade="80"/>
              </w:rPr>
              <w:t>Database Size (MB)</w:t>
            </w:r>
          </w:p>
        </w:tc>
      </w:tr>
      <w:tr w:rsidR="00A6095F" w:rsidRPr="00873442" w14:paraId="6D144FA8" w14:textId="77777777" w:rsidTr="00207347">
        <w:trPr>
          <w:cantSplit/>
          <w:trHeight w:hRule="exact" w:val="432"/>
        </w:trPr>
        <w:tc>
          <w:tcPr>
            <w:tcW w:w="3038" w:type="dxa"/>
            <w:tcMar>
              <w:top w:w="115" w:type="dxa"/>
              <w:left w:w="115" w:type="dxa"/>
              <w:bottom w:w="115" w:type="dxa"/>
              <w:right w:w="115" w:type="dxa"/>
            </w:tcMar>
            <w:vAlign w:val="center"/>
          </w:tcPr>
          <w:p w14:paraId="199BEE45" w14:textId="2398FFCA" w:rsidR="00A6095F" w:rsidRDefault="00A6095F" w:rsidP="00207347">
            <w:pPr>
              <w:ind w:left="0"/>
              <w:jc w:val="center"/>
            </w:pPr>
            <w:r>
              <w:t>98,111,238</w:t>
            </w:r>
          </w:p>
        </w:tc>
        <w:tc>
          <w:tcPr>
            <w:tcW w:w="3038" w:type="dxa"/>
            <w:tcMar>
              <w:left w:w="115" w:type="dxa"/>
              <w:right w:w="115" w:type="dxa"/>
            </w:tcMar>
          </w:tcPr>
          <w:p w14:paraId="2C1CEF47" w14:textId="5982AA27" w:rsidR="00A6095F" w:rsidRDefault="00A6095F" w:rsidP="00207347">
            <w:pPr>
              <w:ind w:left="0"/>
              <w:jc w:val="center"/>
            </w:pPr>
            <w:r>
              <w:t>498,601</w:t>
            </w:r>
          </w:p>
        </w:tc>
      </w:tr>
    </w:tbl>
    <w:p w14:paraId="3F40CA34" w14:textId="77777777" w:rsidR="00A6095F" w:rsidRDefault="00A6095F" w:rsidP="00A6095F"/>
    <w:p w14:paraId="07482DDD" w14:textId="7469F7D8" w:rsidR="00A6095F" w:rsidRDefault="00A6095F" w:rsidP="00A6095F">
      <w:pPr>
        <w:keepNext/>
        <w:spacing w:line="256" w:lineRule="auto"/>
        <w:rPr>
          <w:rFonts w:eastAsia="Verdana,Times New Roman" w:cs="Verdana,Times New Roman"/>
          <w:b/>
          <w:bCs/>
          <w:u w:val="single"/>
        </w:rPr>
      </w:pPr>
      <w:r>
        <w:rPr>
          <w:rFonts w:eastAsia="Verdana,Times New Roman" w:cs="Verdana,Times New Roman"/>
          <w:b/>
          <w:bCs/>
          <w:u w:val="single"/>
        </w:rPr>
        <w:t>Wage Record Archive</w:t>
      </w:r>
    </w:p>
    <w:tbl>
      <w:tblPr>
        <w:tblStyle w:val="TableGrid"/>
        <w:tblW w:w="0" w:type="auto"/>
        <w:tblInd w:w="828" w:type="dxa"/>
        <w:tblLayout w:type="fixed"/>
        <w:tblLook w:val="04A0" w:firstRow="1" w:lastRow="0" w:firstColumn="1" w:lastColumn="0" w:noHBand="0" w:noVBand="1"/>
        <w:tblDescription w:val="Table of archived records, archived claims, and archived database size"/>
      </w:tblPr>
      <w:tblGrid>
        <w:gridCol w:w="3038"/>
        <w:gridCol w:w="3038"/>
      </w:tblGrid>
      <w:tr w:rsidR="00A6095F" w:rsidRPr="00873442" w14:paraId="660CEA83" w14:textId="77777777" w:rsidTr="00207347">
        <w:trPr>
          <w:cantSplit/>
          <w:tblHeader/>
        </w:trPr>
        <w:tc>
          <w:tcPr>
            <w:tcW w:w="3038" w:type="dxa"/>
            <w:shd w:val="clear" w:color="auto" w:fill="DEEAF6" w:themeFill="accent1" w:themeFillTint="33"/>
            <w:vAlign w:val="center"/>
          </w:tcPr>
          <w:p w14:paraId="77143120" w14:textId="77777777" w:rsidR="00A6095F" w:rsidRDefault="00A6095F" w:rsidP="00207347">
            <w:pPr>
              <w:keepNext/>
              <w:spacing w:after="0"/>
              <w:ind w:left="0"/>
              <w:jc w:val="center"/>
              <w:rPr>
                <w:rFonts w:cs="Arial"/>
                <w:b/>
                <w:color w:val="1F3864" w:themeColor="accent5" w:themeShade="80"/>
              </w:rPr>
            </w:pPr>
            <w:r>
              <w:rPr>
                <w:rFonts w:cs="Arial"/>
                <w:b/>
                <w:color w:val="1F3864" w:themeColor="accent5" w:themeShade="80"/>
              </w:rPr>
              <w:t>Archived Records</w:t>
            </w:r>
          </w:p>
        </w:tc>
        <w:tc>
          <w:tcPr>
            <w:tcW w:w="3038" w:type="dxa"/>
            <w:shd w:val="clear" w:color="auto" w:fill="DEEAF6" w:themeFill="accent1" w:themeFillTint="33"/>
            <w:vAlign w:val="center"/>
          </w:tcPr>
          <w:p w14:paraId="0C1A3FC4" w14:textId="77777777" w:rsidR="00A6095F" w:rsidRDefault="00A6095F" w:rsidP="00207347">
            <w:pPr>
              <w:keepNext/>
              <w:spacing w:after="0"/>
              <w:ind w:left="0"/>
              <w:jc w:val="center"/>
              <w:rPr>
                <w:rFonts w:cs="Arial"/>
                <w:b/>
                <w:color w:val="1F3864" w:themeColor="accent5" w:themeShade="80"/>
              </w:rPr>
            </w:pPr>
            <w:r>
              <w:rPr>
                <w:rFonts w:cs="Arial"/>
                <w:b/>
                <w:color w:val="1F3864" w:themeColor="accent5" w:themeShade="80"/>
              </w:rPr>
              <w:t>Database Size (MB)</w:t>
            </w:r>
          </w:p>
        </w:tc>
      </w:tr>
      <w:tr w:rsidR="00A6095F" w:rsidRPr="00873442" w14:paraId="28E489C6" w14:textId="77777777" w:rsidTr="00207347">
        <w:trPr>
          <w:cantSplit/>
          <w:trHeight w:hRule="exact" w:val="432"/>
        </w:trPr>
        <w:tc>
          <w:tcPr>
            <w:tcW w:w="3038" w:type="dxa"/>
            <w:tcMar>
              <w:top w:w="115" w:type="dxa"/>
              <w:left w:w="115" w:type="dxa"/>
              <w:bottom w:w="115" w:type="dxa"/>
              <w:right w:w="115" w:type="dxa"/>
            </w:tcMar>
            <w:vAlign w:val="center"/>
          </w:tcPr>
          <w:p w14:paraId="188D9928" w14:textId="6AEF0486" w:rsidR="00A6095F" w:rsidRDefault="00A6095F" w:rsidP="00207347">
            <w:pPr>
              <w:ind w:left="0"/>
              <w:jc w:val="center"/>
            </w:pPr>
            <w:r>
              <w:t>195,654,547</w:t>
            </w:r>
          </w:p>
        </w:tc>
        <w:tc>
          <w:tcPr>
            <w:tcW w:w="3038" w:type="dxa"/>
            <w:tcMar>
              <w:left w:w="115" w:type="dxa"/>
              <w:right w:w="115" w:type="dxa"/>
            </w:tcMar>
          </w:tcPr>
          <w:p w14:paraId="2F5D49CA" w14:textId="26CD0D21" w:rsidR="00A6095F" w:rsidRDefault="00A6095F" w:rsidP="00207347">
            <w:pPr>
              <w:ind w:left="0"/>
              <w:jc w:val="center"/>
            </w:pPr>
            <w:r>
              <w:t>17,805</w:t>
            </w:r>
          </w:p>
        </w:tc>
      </w:tr>
    </w:tbl>
    <w:p w14:paraId="62863E07" w14:textId="77777777" w:rsidR="00A6095F" w:rsidRDefault="00A6095F" w:rsidP="00A6095F"/>
    <w:p w14:paraId="30F4C879" w14:textId="7B11B12F" w:rsidR="00FB4A19" w:rsidRDefault="00FB4A19" w:rsidP="00FB4A19">
      <w:bookmarkStart w:id="48" w:name="_Hlk4072492"/>
      <w:bookmarkEnd w:id="46"/>
      <w:r>
        <w:t xml:space="preserve">The Offeror </w:t>
      </w:r>
      <w:r w:rsidR="008D3CEA">
        <w:t>should include a fifteen percent (15</w:t>
      </w:r>
      <w:r>
        <w:t>%) per year growth factor when sizing storage</w:t>
      </w:r>
      <w:bookmarkEnd w:id="47"/>
      <w:r>
        <w:t>.</w:t>
      </w:r>
      <w:bookmarkEnd w:id="48"/>
      <w:r>
        <w:t xml:space="preserve"> </w:t>
      </w:r>
    </w:p>
    <w:p w14:paraId="39BB976F" w14:textId="5F9DC331" w:rsidR="00FB4A19" w:rsidRDefault="00FB4A19" w:rsidP="00FB4A19">
      <w:pPr>
        <w:pStyle w:val="Heading3"/>
      </w:pPr>
      <w:bookmarkStart w:id="49" w:name="_Toc529342867"/>
      <w:bookmarkStart w:id="50" w:name="_Toc13567389"/>
      <w:r>
        <w:t>1.</w:t>
      </w:r>
      <w:r w:rsidR="005E3261">
        <w:t>7</w:t>
      </w:r>
      <w:r>
        <w:t>.5</w:t>
      </w:r>
      <w:r>
        <w:tab/>
        <w:t>UI Interfaces</w:t>
      </w:r>
      <w:bookmarkEnd w:id="49"/>
      <w:bookmarkEnd w:id="50"/>
    </w:p>
    <w:p w14:paraId="6CAD501E" w14:textId="77777777" w:rsidR="00FB4A19" w:rsidRPr="00BC436B" w:rsidRDefault="00FB4A19" w:rsidP="00FB4A19">
      <w:r>
        <w:t>The UI System currently includes ~224 interfaces of varying frequency and the number may increase by the start of this Project:</w:t>
      </w:r>
    </w:p>
    <w:p w14:paraId="4FE78416" w14:textId="73E4B92A" w:rsidR="00FB4A19" w:rsidRDefault="00FB4A19" w:rsidP="00E16D2D">
      <w:pPr>
        <w:pStyle w:val="LB1"/>
      </w:pPr>
      <w:r>
        <w:lastRenderedPageBreak/>
        <w:t>Tax application: ~126 interfaces</w:t>
      </w:r>
      <w:r w:rsidR="001F521B">
        <w:t>.</w:t>
      </w:r>
    </w:p>
    <w:p w14:paraId="7FC31D20" w14:textId="1B14926B" w:rsidR="00FB4A19" w:rsidRDefault="00FB4A19" w:rsidP="00F82166">
      <w:pPr>
        <w:pStyle w:val="LB1"/>
      </w:pPr>
      <w:r>
        <w:t>Benefits application: ~95 interfaces</w:t>
      </w:r>
      <w:r w:rsidR="001F521B">
        <w:t>.</w:t>
      </w:r>
    </w:p>
    <w:p w14:paraId="7B414C5B" w14:textId="4506ECE0" w:rsidR="00FB4A19" w:rsidRDefault="00FB4A19" w:rsidP="00F82166">
      <w:pPr>
        <w:pStyle w:val="LB1"/>
      </w:pPr>
      <w:r>
        <w:t>Appeals application: 3 interfaces</w:t>
      </w:r>
      <w:r w:rsidR="001F521B">
        <w:t>.</w:t>
      </w:r>
    </w:p>
    <w:p w14:paraId="131B4974" w14:textId="77777777" w:rsidR="00FB4A19" w:rsidRDefault="00FB4A19" w:rsidP="00FB4A19"/>
    <w:p w14:paraId="18DDAD80" w14:textId="77777777" w:rsidR="00FB4A19" w:rsidRDefault="00FB4A19" w:rsidP="00FB4A19">
      <w:r>
        <w:t xml:space="preserve">See </w:t>
      </w:r>
      <w:hyperlink w:anchor="_Attachment_7_–" w:history="1">
        <w:r w:rsidRPr="00CE0A1F">
          <w:rPr>
            <w:rStyle w:val="Hyperlink"/>
          </w:rPr>
          <w:t>Attachment 7</w:t>
        </w:r>
      </w:hyperlink>
      <w:r>
        <w:t xml:space="preserve"> – UI Interface Summary for more details</w:t>
      </w:r>
      <w:r w:rsidRPr="00402F43">
        <w:t>.</w:t>
      </w:r>
    </w:p>
    <w:p w14:paraId="2C2CF920" w14:textId="77777777" w:rsidR="002D39B6" w:rsidRDefault="002D39B6" w:rsidP="0057516C"/>
    <w:p w14:paraId="5FAEAC0C" w14:textId="13C8BF91" w:rsidR="006E6A5B" w:rsidRDefault="006E6A5B" w:rsidP="006E6A5B"/>
    <w:p w14:paraId="56F72ADB" w14:textId="77777777" w:rsidR="00585988" w:rsidRDefault="00585988" w:rsidP="00585988">
      <w:pPr>
        <w:pStyle w:val="Heading2"/>
        <w:sectPr w:rsidR="00585988" w:rsidSect="00C6186B">
          <w:headerReference w:type="even" r:id="rId24"/>
          <w:headerReference w:type="default" r:id="rId25"/>
          <w:footerReference w:type="default" r:id="rId26"/>
          <w:headerReference w:type="first" r:id="rId27"/>
          <w:footerReference w:type="first" r:id="rId28"/>
          <w:pgSz w:w="12240" w:h="15840" w:code="1"/>
          <w:pgMar w:top="720" w:right="720" w:bottom="720" w:left="720" w:header="720" w:footer="432" w:gutter="0"/>
          <w:pgNumType w:start="1"/>
          <w:cols w:space="720"/>
          <w:titlePg/>
          <w:docGrid w:linePitch="360"/>
        </w:sectPr>
      </w:pPr>
    </w:p>
    <w:p w14:paraId="31D2F827" w14:textId="329AC609" w:rsidR="00585988" w:rsidRDefault="00585988" w:rsidP="00585988">
      <w:pPr>
        <w:pStyle w:val="Heading2"/>
      </w:pPr>
      <w:bookmarkStart w:id="51" w:name="_Toc13567390"/>
      <w:bookmarkEnd w:id="5"/>
      <w:r>
        <w:lastRenderedPageBreak/>
        <w:t>1.</w:t>
      </w:r>
      <w:r w:rsidR="005A05B6">
        <w:t>8</w:t>
      </w:r>
      <w:r>
        <w:tab/>
      </w:r>
      <w:r w:rsidR="000F36C6">
        <w:t>Current Metrics</w:t>
      </w:r>
      <w:bookmarkEnd w:id="51"/>
    </w:p>
    <w:p w14:paraId="0586C12B" w14:textId="74932325" w:rsidR="00585988" w:rsidRDefault="000770E6" w:rsidP="00585988">
      <w:r>
        <w:t xml:space="preserve">The following tables contain UI </w:t>
      </w:r>
      <w:r w:rsidR="00912C49">
        <w:t xml:space="preserve">and </w:t>
      </w:r>
      <w:r>
        <w:t>RID</w:t>
      </w:r>
      <w:r w:rsidR="00801599">
        <w:t xml:space="preserve"> </w:t>
      </w:r>
      <w:r>
        <w:t xml:space="preserve">operational </w:t>
      </w:r>
      <w:r w:rsidR="002D39B6">
        <w:t>metrics</w:t>
      </w:r>
      <w:r>
        <w:t xml:space="preserve"> for </w:t>
      </w:r>
      <w:r w:rsidR="0009257E">
        <w:t xml:space="preserve">CY </w:t>
      </w:r>
      <w:r>
        <w:t>2014 – 201</w:t>
      </w:r>
      <w:r w:rsidR="00D2405D">
        <w:t>7</w:t>
      </w:r>
      <w:r>
        <w:t xml:space="preserve">. These volumes fluctuate depending on unemployment claim rates, recessions, disasters, new business registrations and other UI demands. To estimate peak levels for when such events will happen, </w:t>
      </w:r>
      <w:r w:rsidR="00DF5556">
        <w:t xml:space="preserve">Offerors </w:t>
      </w:r>
      <w:r w:rsidRPr="008D3CEA">
        <w:t>should factor</w:t>
      </w:r>
      <w:r w:rsidR="00417BB4" w:rsidRPr="008D3CEA">
        <w:t xml:space="preserve"> in a 5</w:t>
      </w:r>
      <w:r w:rsidRPr="008D3CEA">
        <w:t>00%</w:t>
      </w:r>
      <w:r w:rsidRPr="00367A6F">
        <w:t xml:space="preserve"> </w:t>
      </w:r>
      <w:r>
        <w:t>increase above current annual levels.</w:t>
      </w:r>
    </w:p>
    <w:p w14:paraId="11DB1DF9" w14:textId="28B6CC95" w:rsidR="000770E6" w:rsidRDefault="000770E6" w:rsidP="00585988"/>
    <w:p w14:paraId="5F35B615" w14:textId="77777777" w:rsidR="000770E6" w:rsidRPr="007D10FE" w:rsidRDefault="000770E6" w:rsidP="007D10FE">
      <w:pPr>
        <w:keepNext/>
        <w:rPr>
          <w:rFonts w:cs="Arial"/>
          <w:b/>
          <w:color w:val="1F3864" w:themeColor="accent5" w:themeShade="80"/>
        </w:rPr>
      </w:pPr>
      <w:r w:rsidRPr="007D10FE">
        <w:rPr>
          <w:rFonts w:cs="Arial"/>
          <w:b/>
          <w:color w:val="1F3864" w:themeColor="accent5" w:themeShade="80"/>
        </w:rPr>
        <w:t>UI Summary</w:t>
      </w:r>
    </w:p>
    <w:tbl>
      <w:tblPr>
        <w:tblpPr w:leftFromText="180" w:rightFromText="180" w:vertAnchor="text" w:tblpX="821" w:tblpY="1"/>
        <w:tblOverlap w:val="never"/>
        <w:tblW w:w="13495" w:type="dxa"/>
        <w:tblLayout w:type="fixed"/>
        <w:tblCellMar>
          <w:left w:w="0" w:type="dxa"/>
          <w:right w:w="0" w:type="dxa"/>
        </w:tblCellMar>
        <w:tblLook w:val="04A0" w:firstRow="1" w:lastRow="0" w:firstColumn="1" w:lastColumn="0" w:noHBand="0" w:noVBand="1"/>
        <w:tblDescription w:val="table of ui summary metrics"/>
      </w:tblPr>
      <w:tblGrid>
        <w:gridCol w:w="985"/>
        <w:gridCol w:w="1260"/>
        <w:gridCol w:w="1530"/>
        <w:gridCol w:w="2070"/>
        <w:gridCol w:w="1530"/>
        <w:gridCol w:w="2340"/>
        <w:gridCol w:w="1800"/>
        <w:gridCol w:w="1980"/>
      </w:tblGrid>
      <w:tr w:rsidR="00162CE5" w:rsidRPr="00162CE5" w14:paraId="08C1AD72" w14:textId="77777777" w:rsidTr="00805EBD">
        <w:trPr>
          <w:trHeight w:val="1164"/>
        </w:trPr>
        <w:tc>
          <w:tcPr>
            <w:tcW w:w="98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hideMark/>
          </w:tcPr>
          <w:p w14:paraId="2A972629" w14:textId="77777777" w:rsidR="000770E6" w:rsidRPr="00FF7F54" w:rsidRDefault="000770E6" w:rsidP="00162CE5">
            <w:pPr>
              <w:keepNext/>
              <w:ind w:left="0"/>
              <w:jc w:val="center"/>
              <w:rPr>
                <w:rFonts w:cs="Arial"/>
                <w:b/>
                <w:color w:val="1F3864" w:themeColor="accent5" w:themeShade="80"/>
                <w:szCs w:val="24"/>
              </w:rPr>
            </w:pPr>
            <w:r w:rsidRPr="00FF7F54">
              <w:rPr>
                <w:rFonts w:cs="Arial"/>
                <w:b/>
                <w:color w:val="1F3864" w:themeColor="accent5" w:themeShade="80"/>
                <w:szCs w:val="24"/>
              </w:rPr>
              <w:t>Year</w:t>
            </w:r>
          </w:p>
        </w:tc>
        <w:tc>
          <w:tcPr>
            <w:tcW w:w="126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hideMark/>
          </w:tcPr>
          <w:p w14:paraId="039FC745" w14:textId="77777777" w:rsidR="000770E6" w:rsidRPr="00FF7F54" w:rsidRDefault="000770E6" w:rsidP="00162CE5">
            <w:pPr>
              <w:keepNext/>
              <w:ind w:left="0"/>
              <w:jc w:val="center"/>
              <w:rPr>
                <w:rFonts w:cs="Arial"/>
                <w:b/>
                <w:color w:val="1F3864" w:themeColor="accent5" w:themeShade="80"/>
                <w:szCs w:val="24"/>
              </w:rPr>
            </w:pPr>
            <w:r w:rsidRPr="00FF7F54">
              <w:rPr>
                <w:rFonts w:cs="Arial"/>
                <w:b/>
                <w:color w:val="1F3864" w:themeColor="accent5" w:themeShade="80"/>
                <w:szCs w:val="24"/>
              </w:rPr>
              <w:t>Claims Filed</w:t>
            </w:r>
          </w:p>
        </w:tc>
        <w:tc>
          <w:tcPr>
            <w:tcW w:w="153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hideMark/>
          </w:tcPr>
          <w:p w14:paraId="23AC4369" w14:textId="77777777" w:rsidR="000770E6" w:rsidRPr="00FF7F54" w:rsidRDefault="000770E6" w:rsidP="00162CE5">
            <w:pPr>
              <w:keepNext/>
              <w:ind w:left="0"/>
              <w:jc w:val="center"/>
              <w:rPr>
                <w:rFonts w:cs="Arial"/>
                <w:b/>
                <w:color w:val="1F3864" w:themeColor="accent5" w:themeShade="80"/>
                <w:szCs w:val="24"/>
              </w:rPr>
            </w:pPr>
            <w:r w:rsidRPr="00FF7F54">
              <w:rPr>
                <w:rFonts w:cs="Arial"/>
                <w:b/>
                <w:color w:val="1F3864" w:themeColor="accent5" w:themeShade="80"/>
                <w:szCs w:val="24"/>
              </w:rPr>
              <w:t>Payment Requests</w:t>
            </w:r>
          </w:p>
        </w:tc>
        <w:tc>
          <w:tcPr>
            <w:tcW w:w="207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hideMark/>
          </w:tcPr>
          <w:p w14:paraId="22A2E678" w14:textId="77777777" w:rsidR="000770E6" w:rsidRPr="00FF7F54" w:rsidRDefault="000770E6" w:rsidP="00162CE5">
            <w:pPr>
              <w:keepNext/>
              <w:ind w:left="0"/>
              <w:jc w:val="center"/>
              <w:rPr>
                <w:rFonts w:cs="Arial"/>
                <w:b/>
                <w:color w:val="1F3864" w:themeColor="accent5" w:themeShade="80"/>
                <w:szCs w:val="24"/>
              </w:rPr>
            </w:pPr>
            <w:r w:rsidRPr="00FF7F54">
              <w:rPr>
                <w:rFonts w:cs="Arial"/>
                <w:b/>
                <w:color w:val="1F3864" w:themeColor="accent5" w:themeShade="80"/>
                <w:szCs w:val="24"/>
              </w:rPr>
              <w:t>Weeks Compensated</w:t>
            </w:r>
          </w:p>
        </w:tc>
        <w:tc>
          <w:tcPr>
            <w:tcW w:w="153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E703C78" w14:textId="77777777" w:rsidR="000770E6" w:rsidRPr="00FF7F54" w:rsidRDefault="000770E6" w:rsidP="00162CE5">
            <w:pPr>
              <w:keepNext/>
              <w:ind w:left="0"/>
              <w:jc w:val="center"/>
              <w:rPr>
                <w:rFonts w:cs="Arial"/>
                <w:b/>
                <w:color w:val="1F3864" w:themeColor="accent5" w:themeShade="80"/>
                <w:szCs w:val="24"/>
              </w:rPr>
            </w:pPr>
            <w:r w:rsidRPr="00FF7F54">
              <w:rPr>
                <w:rFonts w:cs="Arial"/>
                <w:b/>
                <w:color w:val="1F3864" w:themeColor="accent5" w:themeShade="80"/>
                <w:szCs w:val="24"/>
              </w:rPr>
              <w:t>Tele-Center Calls</w:t>
            </w:r>
          </w:p>
        </w:tc>
        <w:tc>
          <w:tcPr>
            <w:tcW w:w="234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hideMark/>
          </w:tcPr>
          <w:p w14:paraId="12CCAE40" w14:textId="77777777" w:rsidR="000770E6" w:rsidRPr="00FF7F54" w:rsidRDefault="000770E6" w:rsidP="00162CE5">
            <w:pPr>
              <w:keepNext/>
              <w:ind w:left="0"/>
              <w:jc w:val="center"/>
              <w:rPr>
                <w:rFonts w:cs="Arial"/>
                <w:b/>
                <w:color w:val="1F3864" w:themeColor="accent5" w:themeShade="80"/>
                <w:szCs w:val="24"/>
              </w:rPr>
            </w:pPr>
            <w:r w:rsidRPr="00FF7F54">
              <w:rPr>
                <w:rFonts w:cs="Arial"/>
                <w:b/>
                <w:color w:val="1F3864" w:themeColor="accent5" w:themeShade="80"/>
                <w:szCs w:val="24"/>
              </w:rPr>
              <w:t># of Determinations Issued</w:t>
            </w:r>
          </w:p>
        </w:tc>
        <w:tc>
          <w:tcPr>
            <w:tcW w:w="180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hideMark/>
          </w:tcPr>
          <w:p w14:paraId="51457AE1" w14:textId="4CC0ECEF" w:rsidR="000770E6" w:rsidRPr="00FF7F54" w:rsidRDefault="000770E6" w:rsidP="00162CE5">
            <w:pPr>
              <w:keepNext/>
              <w:ind w:left="0"/>
              <w:jc w:val="center"/>
              <w:rPr>
                <w:rFonts w:cs="Arial"/>
                <w:b/>
                <w:color w:val="1F3864" w:themeColor="accent5" w:themeShade="80"/>
                <w:szCs w:val="24"/>
              </w:rPr>
            </w:pPr>
            <w:r w:rsidRPr="00FF7F54">
              <w:rPr>
                <w:rFonts w:cs="Arial"/>
                <w:b/>
                <w:color w:val="1F3864" w:themeColor="accent5" w:themeShade="80"/>
                <w:szCs w:val="24"/>
              </w:rPr>
              <w:t># of AT Level Appeals</w:t>
            </w:r>
          </w:p>
        </w:tc>
        <w:tc>
          <w:tcPr>
            <w:tcW w:w="198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hideMark/>
          </w:tcPr>
          <w:p w14:paraId="7187FB54" w14:textId="44A50815" w:rsidR="000770E6" w:rsidRPr="00FF7F54" w:rsidRDefault="000770E6" w:rsidP="00162CE5">
            <w:pPr>
              <w:keepNext/>
              <w:ind w:left="0"/>
              <w:jc w:val="center"/>
              <w:rPr>
                <w:rFonts w:cs="Arial"/>
                <w:b/>
                <w:color w:val="1F3864" w:themeColor="accent5" w:themeShade="80"/>
                <w:szCs w:val="24"/>
              </w:rPr>
            </w:pPr>
            <w:r w:rsidRPr="00FF7F54">
              <w:rPr>
                <w:rFonts w:cs="Arial"/>
                <w:b/>
                <w:color w:val="1F3864" w:themeColor="accent5" w:themeShade="80"/>
                <w:szCs w:val="24"/>
              </w:rPr>
              <w:t># of CA Level Appeals</w:t>
            </w:r>
          </w:p>
        </w:tc>
      </w:tr>
      <w:tr w:rsidR="00B02E3B" w:rsidRPr="00162CE5" w14:paraId="79373B48" w14:textId="77777777" w:rsidTr="00360E77">
        <w:trPr>
          <w:trHeight w:val="300"/>
        </w:trPr>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279F7F" w14:textId="48B3FF92" w:rsidR="00B02E3B" w:rsidRPr="00162CE5" w:rsidRDefault="00B02E3B" w:rsidP="00B02E3B">
            <w:pPr>
              <w:spacing w:before="60" w:after="60"/>
              <w:ind w:left="0"/>
              <w:jc w:val="center"/>
              <w:rPr>
                <w:rFonts w:ascii="Calibri" w:hAnsi="Calibri"/>
                <w:color w:val="000000"/>
                <w:szCs w:val="24"/>
              </w:rPr>
            </w:pPr>
            <w:r w:rsidRPr="00162CE5">
              <w:rPr>
                <w:color w:val="000000"/>
                <w:szCs w:val="24"/>
              </w:rPr>
              <w:t>201</w:t>
            </w:r>
            <w:r>
              <w:rPr>
                <w:color w:val="000000"/>
                <w:szCs w:val="24"/>
              </w:rPr>
              <w:t>7</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1E7DA3" w14:textId="2869C8F9" w:rsidR="00B02E3B" w:rsidRPr="00162CE5" w:rsidRDefault="00B02E3B" w:rsidP="00B02E3B">
            <w:pPr>
              <w:spacing w:before="60" w:after="60"/>
              <w:ind w:left="0"/>
              <w:jc w:val="center"/>
              <w:rPr>
                <w:rFonts w:ascii="Calibri" w:hAnsi="Calibri"/>
                <w:color w:val="000000"/>
                <w:szCs w:val="24"/>
              </w:rPr>
            </w:pPr>
            <w:r>
              <w:rPr>
                <w:color w:val="000000"/>
                <w:szCs w:val="24"/>
              </w:rPr>
              <w:t>934,683</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C6C064" w14:textId="1F7B223F" w:rsidR="00B02E3B" w:rsidRPr="00162CE5" w:rsidRDefault="00B02E3B" w:rsidP="00B02E3B">
            <w:pPr>
              <w:spacing w:before="60" w:after="60"/>
              <w:ind w:left="0"/>
              <w:jc w:val="center"/>
              <w:rPr>
                <w:rFonts w:ascii="Calibri" w:hAnsi="Calibri"/>
                <w:color w:val="000000"/>
                <w:szCs w:val="24"/>
              </w:rPr>
            </w:pPr>
            <w:r>
              <w:rPr>
                <w:color w:val="000000"/>
                <w:szCs w:val="24"/>
              </w:rPr>
              <w:t>8,020,130</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CF7E91" w14:textId="4B350AD0" w:rsidR="00B02E3B" w:rsidRPr="00162CE5" w:rsidRDefault="00B02E3B" w:rsidP="00B02E3B">
            <w:pPr>
              <w:spacing w:before="60" w:after="60"/>
              <w:ind w:left="0"/>
              <w:jc w:val="center"/>
              <w:rPr>
                <w:rFonts w:ascii="Calibri" w:hAnsi="Calibri"/>
                <w:color w:val="000000"/>
                <w:szCs w:val="24"/>
              </w:rPr>
            </w:pPr>
            <w:r>
              <w:rPr>
                <w:color w:val="000000"/>
                <w:szCs w:val="24"/>
              </w:rPr>
              <w:t>6,552,732</w:t>
            </w:r>
          </w:p>
        </w:tc>
        <w:tc>
          <w:tcPr>
            <w:tcW w:w="1530" w:type="dxa"/>
            <w:tcBorders>
              <w:top w:val="single" w:sz="4" w:space="0" w:color="000000"/>
              <w:left w:val="single" w:sz="4" w:space="0" w:color="000000"/>
              <w:bottom w:val="single" w:sz="4" w:space="0" w:color="000000"/>
              <w:right w:val="single" w:sz="4" w:space="0" w:color="000000"/>
            </w:tcBorders>
            <w:vAlign w:val="center"/>
          </w:tcPr>
          <w:p w14:paraId="46374A08" w14:textId="081E0579" w:rsidR="00B02E3B" w:rsidRPr="00162CE5" w:rsidRDefault="00B02E3B" w:rsidP="00B02E3B">
            <w:pPr>
              <w:spacing w:before="60" w:after="60"/>
              <w:ind w:left="0"/>
              <w:jc w:val="center"/>
              <w:rPr>
                <w:color w:val="000000"/>
                <w:szCs w:val="24"/>
              </w:rPr>
            </w:pPr>
            <w:r>
              <w:rPr>
                <w:color w:val="000000"/>
                <w:szCs w:val="24"/>
              </w:rPr>
              <w:t>2,222,716</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1FE813" w14:textId="61BC59B0" w:rsidR="00B02E3B" w:rsidRPr="007D10FE" w:rsidRDefault="007D10FE" w:rsidP="00B02E3B">
            <w:pPr>
              <w:spacing w:before="60" w:after="60"/>
              <w:ind w:left="0"/>
              <w:jc w:val="center"/>
              <w:rPr>
                <w:color w:val="000000"/>
                <w:szCs w:val="24"/>
              </w:rPr>
            </w:pPr>
            <w:r w:rsidRPr="007D10FE">
              <w:rPr>
                <w:color w:val="000000"/>
                <w:szCs w:val="24"/>
              </w:rPr>
              <w:t>1,860,807</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171292" w14:textId="16EFB3F1" w:rsidR="00B02E3B" w:rsidRPr="009E44B8" w:rsidRDefault="00B02E3B" w:rsidP="00B02E3B">
            <w:pPr>
              <w:spacing w:before="60" w:after="60"/>
              <w:ind w:left="0"/>
              <w:jc w:val="center"/>
              <w:rPr>
                <w:rFonts w:ascii="Calibri" w:hAnsi="Calibri"/>
                <w:color w:val="000000"/>
                <w:szCs w:val="24"/>
                <w:highlight w:val="yellow"/>
              </w:rPr>
            </w:pPr>
            <w:r>
              <w:rPr>
                <w:color w:val="000000"/>
              </w:rPr>
              <w:t>127,078</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303391" w14:textId="68E65276" w:rsidR="00B02E3B" w:rsidRPr="009E44B8" w:rsidRDefault="00B02E3B" w:rsidP="00B02E3B">
            <w:pPr>
              <w:spacing w:before="60" w:after="60"/>
              <w:ind w:left="0"/>
              <w:jc w:val="center"/>
              <w:rPr>
                <w:rFonts w:ascii="Calibri" w:hAnsi="Calibri"/>
                <w:color w:val="000000"/>
                <w:szCs w:val="24"/>
                <w:highlight w:val="yellow"/>
              </w:rPr>
            </w:pPr>
            <w:r>
              <w:rPr>
                <w:color w:val="000000"/>
              </w:rPr>
              <w:t>14,799</w:t>
            </w:r>
          </w:p>
        </w:tc>
      </w:tr>
      <w:tr w:rsidR="00385930" w:rsidRPr="00162CE5" w14:paraId="5B9BB12C" w14:textId="77777777" w:rsidTr="00360E77">
        <w:trPr>
          <w:trHeight w:val="300"/>
        </w:trPr>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1EC159" w14:textId="7DEF2CE8" w:rsidR="00385930" w:rsidRPr="00162CE5" w:rsidRDefault="00385930" w:rsidP="00385930">
            <w:pPr>
              <w:spacing w:before="60" w:after="60"/>
              <w:ind w:left="0"/>
              <w:jc w:val="center"/>
              <w:rPr>
                <w:color w:val="000000"/>
                <w:szCs w:val="24"/>
              </w:rPr>
            </w:pPr>
            <w:r w:rsidRPr="00162CE5">
              <w:rPr>
                <w:color w:val="000000"/>
                <w:szCs w:val="24"/>
              </w:rPr>
              <w:t>2016</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EC5DA8" w14:textId="5B9AAB6D" w:rsidR="00385930" w:rsidRPr="00162CE5" w:rsidRDefault="00385930" w:rsidP="00385930">
            <w:pPr>
              <w:spacing w:before="60" w:after="60"/>
              <w:ind w:left="0"/>
              <w:jc w:val="center"/>
              <w:rPr>
                <w:color w:val="000000"/>
                <w:szCs w:val="24"/>
              </w:rPr>
            </w:pPr>
            <w:r w:rsidRPr="00162CE5">
              <w:rPr>
                <w:color w:val="000000"/>
                <w:szCs w:val="24"/>
              </w:rPr>
              <w:t>941,277</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D1C634" w14:textId="57AF6B35" w:rsidR="00385930" w:rsidRPr="00162CE5" w:rsidRDefault="00385930" w:rsidP="00385930">
            <w:pPr>
              <w:spacing w:before="60" w:after="60"/>
              <w:ind w:left="0"/>
              <w:jc w:val="center"/>
              <w:rPr>
                <w:color w:val="000000"/>
                <w:szCs w:val="24"/>
              </w:rPr>
            </w:pPr>
            <w:r w:rsidRPr="00162CE5">
              <w:rPr>
                <w:color w:val="000000"/>
                <w:szCs w:val="24"/>
              </w:rPr>
              <w:t>9,562,448</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ADA05E" w14:textId="7FB0BEB2" w:rsidR="00385930" w:rsidRPr="00162CE5" w:rsidRDefault="00385930" w:rsidP="00385930">
            <w:pPr>
              <w:spacing w:before="60" w:after="60"/>
              <w:ind w:left="0"/>
              <w:jc w:val="center"/>
              <w:rPr>
                <w:color w:val="000000"/>
                <w:szCs w:val="24"/>
              </w:rPr>
            </w:pPr>
            <w:r w:rsidRPr="00162CE5">
              <w:rPr>
                <w:color w:val="000000"/>
                <w:szCs w:val="24"/>
              </w:rPr>
              <w:t>7,847,514</w:t>
            </w:r>
          </w:p>
        </w:tc>
        <w:tc>
          <w:tcPr>
            <w:tcW w:w="1530" w:type="dxa"/>
            <w:tcBorders>
              <w:top w:val="single" w:sz="4" w:space="0" w:color="000000"/>
              <w:left w:val="single" w:sz="4" w:space="0" w:color="000000"/>
              <w:bottom w:val="single" w:sz="4" w:space="0" w:color="000000"/>
              <w:right w:val="single" w:sz="4" w:space="0" w:color="000000"/>
            </w:tcBorders>
            <w:vAlign w:val="center"/>
          </w:tcPr>
          <w:p w14:paraId="26EE0A12" w14:textId="3A90A8D4" w:rsidR="00385930" w:rsidRPr="00162CE5" w:rsidRDefault="00385930" w:rsidP="00385930">
            <w:pPr>
              <w:spacing w:before="60" w:after="60"/>
              <w:ind w:left="0"/>
              <w:jc w:val="center"/>
              <w:rPr>
                <w:color w:val="000000"/>
                <w:szCs w:val="24"/>
              </w:rPr>
            </w:pPr>
            <w:r w:rsidRPr="00162CE5">
              <w:rPr>
                <w:color w:val="000000"/>
                <w:szCs w:val="24"/>
              </w:rPr>
              <w:t>2,427,508</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0518CD" w14:textId="5AA991B9" w:rsidR="00385930" w:rsidRPr="00162CE5" w:rsidRDefault="00385930" w:rsidP="00385930">
            <w:pPr>
              <w:spacing w:before="60" w:after="60"/>
              <w:ind w:left="0"/>
              <w:jc w:val="center"/>
              <w:rPr>
                <w:color w:val="000000"/>
                <w:szCs w:val="24"/>
              </w:rPr>
            </w:pPr>
            <w:r w:rsidRPr="00162CE5">
              <w:rPr>
                <w:color w:val="000000"/>
                <w:szCs w:val="24"/>
              </w:rPr>
              <w:t>1,960,529</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953627" w14:textId="364855B4" w:rsidR="00385930" w:rsidRPr="00162CE5" w:rsidRDefault="00385930" w:rsidP="00385930">
            <w:pPr>
              <w:spacing w:before="60" w:after="60"/>
              <w:ind w:left="0"/>
              <w:jc w:val="center"/>
              <w:rPr>
                <w:color w:val="000000"/>
                <w:szCs w:val="24"/>
              </w:rPr>
            </w:pPr>
            <w:r w:rsidRPr="00162CE5">
              <w:rPr>
                <w:color w:val="000000"/>
                <w:szCs w:val="24"/>
              </w:rPr>
              <w:t>110,950</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4B7387" w14:textId="100C98A9" w:rsidR="00385930" w:rsidRPr="00162CE5" w:rsidRDefault="00385930" w:rsidP="00385930">
            <w:pPr>
              <w:spacing w:before="60" w:after="60"/>
              <w:ind w:left="0"/>
              <w:jc w:val="center"/>
              <w:rPr>
                <w:color w:val="000000"/>
                <w:szCs w:val="24"/>
              </w:rPr>
            </w:pPr>
            <w:r w:rsidRPr="00162CE5">
              <w:rPr>
                <w:color w:val="000000"/>
                <w:szCs w:val="24"/>
              </w:rPr>
              <w:t>15,823</w:t>
            </w:r>
          </w:p>
        </w:tc>
      </w:tr>
      <w:tr w:rsidR="00385930" w:rsidRPr="00162CE5" w14:paraId="56FFAD5C" w14:textId="77777777" w:rsidTr="00360E77">
        <w:trPr>
          <w:trHeight w:val="300"/>
        </w:trPr>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EA31CA" w14:textId="77777777" w:rsidR="00385930" w:rsidRPr="00162CE5" w:rsidRDefault="00385930" w:rsidP="00385930">
            <w:pPr>
              <w:spacing w:before="60" w:after="60"/>
              <w:ind w:left="0"/>
              <w:jc w:val="center"/>
              <w:rPr>
                <w:rFonts w:ascii="Calibri" w:hAnsi="Calibri"/>
                <w:color w:val="000000"/>
                <w:szCs w:val="24"/>
              </w:rPr>
            </w:pPr>
            <w:r w:rsidRPr="00162CE5">
              <w:rPr>
                <w:color w:val="000000"/>
                <w:szCs w:val="24"/>
              </w:rPr>
              <w:t>2015</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84FD4E" w14:textId="77777777" w:rsidR="00385930" w:rsidRPr="00162CE5" w:rsidRDefault="00385930" w:rsidP="00385930">
            <w:pPr>
              <w:spacing w:before="60" w:after="60"/>
              <w:ind w:left="0"/>
              <w:jc w:val="center"/>
              <w:rPr>
                <w:rFonts w:ascii="Calibri" w:hAnsi="Calibri"/>
                <w:color w:val="000000"/>
                <w:szCs w:val="24"/>
              </w:rPr>
            </w:pPr>
            <w:r w:rsidRPr="00162CE5">
              <w:rPr>
                <w:color w:val="000000"/>
                <w:szCs w:val="24"/>
              </w:rPr>
              <w:t>979,726</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F67AE5" w14:textId="77777777" w:rsidR="00385930" w:rsidRPr="00162CE5" w:rsidRDefault="00385930" w:rsidP="00385930">
            <w:pPr>
              <w:spacing w:before="60" w:after="60"/>
              <w:ind w:left="0"/>
              <w:jc w:val="center"/>
              <w:rPr>
                <w:rFonts w:ascii="Calibri" w:hAnsi="Calibri"/>
                <w:color w:val="000000"/>
                <w:szCs w:val="24"/>
              </w:rPr>
            </w:pPr>
            <w:r w:rsidRPr="00162CE5">
              <w:rPr>
                <w:color w:val="000000"/>
                <w:szCs w:val="24"/>
              </w:rPr>
              <w:t>8,807,504</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D569DA" w14:textId="77777777" w:rsidR="00385930" w:rsidRPr="00162CE5" w:rsidRDefault="00385930" w:rsidP="00385930">
            <w:pPr>
              <w:spacing w:before="60" w:after="60"/>
              <w:ind w:left="0"/>
              <w:jc w:val="center"/>
              <w:rPr>
                <w:rFonts w:ascii="Calibri" w:hAnsi="Calibri"/>
                <w:color w:val="000000"/>
                <w:szCs w:val="24"/>
              </w:rPr>
            </w:pPr>
            <w:r w:rsidRPr="00162CE5">
              <w:rPr>
                <w:color w:val="000000"/>
                <w:szCs w:val="24"/>
              </w:rPr>
              <w:t>7,433,680</w:t>
            </w:r>
          </w:p>
        </w:tc>
        <w:tc>
          <w:tcPr>
            <w:tcW w:w="1530" w:type="dxa"/>
            <w:tcBorders>
              <w:top w:val="single" w:sz="4" w:space="0" w:color="000000"/>
              <w:left w:val="single" w:sz="4" w:space="0" w:color="000000"/>
              <w:bottom w:val="single" w:sz="4" w:space="0" w:color="000000"/>
              <w:right w:val="single" w:sz="4" w:space="0" w:color="000000"/>
            </w:tcBorders>
            <w:vAlign w:val="center"/>
          </w:tcPr>
          <w:p w14:paraId="354A8EB0" w14:textId="77777777" w:rsidR="00385930" w:rsidRPr="00162CE5" w:rsidRDefault="00385930" w:rsidP="00385930">
            <w:pPr>
              <w:spacing w:before="60" w:after="60"/>
              <w:ind w:left="0"/>
              <w:jc w:val="center"/>
              <w:rPr>
                <w:color w:val="000000"/>
                <w:szCs w:val="24"/>
              </w:rPr>
            </w:pPr>
            <w:r w:rsidRPr="00162CE5">
              <w:rPr>
                <w:color w:val="000000"/>
                <w:szCs w:val="24"/>
              </w:rPr>
              <w:t>2,389,917</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50BC26" w14:textId="77777777" w:rsidR="00385930" w:rsidRPr="00162CE5" w:rsidRDefault="00385930" w:rsidP="00385930">
            <w:pPr>
              <w:spacing w:before="60" w:after="60"/>
              <w:ind w:left="0"/>
              <w:jc w:val="center"/>
              <w:rPr>
                <w:rFonts w:ascii="Calibri" w:hAnsi="Calibri"/>
                <w:color w:val="000000"/>
                <w:szCs w:val="24"/>
              </w:rPr>
            </w:pPr>
            <w:r w:rsidRPr="00162CE5">
              <w:rPr>
                <w:color w:val="000000"/>
                <w:szCs w:val="24"/>
              </w:rPr>
              <w:t>1,913,690</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4EB8DA" w14:textId="21EBB494" w:rsidR="00385930" w:rsidRPr="00162CE5" w:rsidRDefault="00385930" w:rsidP="00385930">
            <w:pPr>
              <w:spacing w:before="60" w:after="60"/>
              <w:ind w:left="0"/>
              <w:jc w:val="center"/>
              <w:rPr>
                <w:rFonts w:ascii="Calibri" w:hAnsi="Calibri"/>
                <w:color w:val="000000"/>
                <w:szCs w:val="24"/>
              </w:rPr>
            </w:pPr>
            <w:r w:rsidRPr="00162CE5">
              <w:rPr>
                <w:color w:val="000000"/>
                <w:szCs w:val="24"/>
              </w:rPr>
              <w:t>108,776</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163BC5" w14:textId="77777777" w:rsidR="00385930" w:rsidRPr="00162CE5" w:rsidRDefault="00385930" w:rsidP="00385930">
            <w:pPr>
              <w:spacing w:before="60" w:after="60"/>
              <w:ind w:left="0"/>
              <w:jc w:val="center"/>
              <w:rPr>
                <w:rFonts w:ascii="Calibri" w:hAnsi="Calibri"/>
                <w:color w:val="000000"/>
                <w:szCs w:val="24"/>
              </w:rPr>
            </w:pPr>
            <w:r w:rsidRPr="00162CE5">
              <w:rPr>
                <w:color w:val="000000"/>
                <w:szCs w:val="24"/>
              </w:rPr>
              <w:t>16,183</w:t>
            </w:r>
          </w:p>
        </w:tc>
      </w:tr>
      <w:tr w:rsidR="00385930" w:rsidRPr="00162CE5" w14:paraId="1A689FF4" w14:textId="77777777" w:rsidTr="00360E77">
        <w:trPr>
          <w:trHeight w:val="300"/>
        </w:trPr>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AA967D" w14:textId="77777777" w:rsidR="00385930" w:rsidRPr="00162CE5" w:rsidRDefault="00385930" w:rsidP="00385930">
            <w:pPr>
              <w:spacing w:before="60" w:after="60"/>
              <w:ind w:left="0"/>
              <w:jc w:val="center"/>
              <w:rPr>
                <w:rFonts w:ascii="Calibri" w:hAnsi="Calibri"/>
                <w:color w:val="000000"/>
                <w:szCs w:val="24"/>
              </w:rPr>
            </w:pPr>
            <w:r w:rsidRPr="00162CE5">
              <w:rPr>
                <w:color w:val="000000"/>
                <w:szCs w:val="24"/>
              </w:rPr>
              <w:t>2014</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5BFAC0" w14:textId="77777777" w:rsidR="00385930" w:rsidRPr="00162CE5" w:rsidRDefault="00385930" w:rsidP="00385930">
            <w:pPr>
              <w:spacing w:before="60" w:after="60"/>
              <w:ind w:left="0"/>
              <w:jc w:val="center"/>
              <w:rPr>
                <w:rFonts w:ascii="Calibri" w:hAnsi="Calibri"/>
                <w:color w:val="000000"/>
                <w:szCs w:val="24"/>
              </w:rPr>
            </w:pPr>
            <w:r w:rsidRPr="00162CE5">
              <w:rPr>
                <w:color w:val="000000"/>
                <w:szCs w:val="24"/>
              </w:rPr>
              <w:t>894,527</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AF5A36" w14:textId="77777777" w:rsidR="00385930" w:rsidRPr="00162CE5" w:rsidRDefault="00385930" w:rsidP="00385930">
            <w:pPr>
              <w:spacing w:before="60" w:after="60"/>
              <w:ind w:left="0"/>
              <w:jc w:val="center"/>
              <w:rPr>
                <w:rFonts w:ascii="Calibri" w:hAnsi="Calibri"/>
                <w:color w:val="000000"/>
                <w:szCs w:val="24"/>
              </w:rPr>
            </w:pPr>
            <w:r w:rsidRPr="00162CE5">
              <w:rPr>
                <w:color w:val="000000"/>
                <w:szCs w:val="24"/>
              </w:rPr>
              <w:t>7,843,669</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24A7E0" w14:textId="77777777" w:rsidR="00385930" w:rsidRPr="00162CE5" w:rsidRDefault="00385930" w:rsidP="00385930">
            <w:pPr>
              <w:spacing w:before="60" w:after="60"/>
              <w:ind w:left="0"/>
              <w:jc w:val="center"/>
              <w:rPr>
                <w:rFonts w:ascii="Calibri" w:hAnsi="Calibri"/>
                <w:color w:val="000000"/>
                <w:szCs w:val="24"/>
              </w:rPr>
            </w:pPr>
            <w:r w:rsidRPr="00162CE5">
              <w:rPr>
                <w:color w:val="000000"/>
                <w:szCs w:val="24"/>
              </w:rPr>
              <w:t>6,503,535</w:t>
            </w:r>
          </w:p>
        </w:tc>
        <w:tc>
          <w:tcPr>
            <w:tcW w:w="1530" w:type="dxa"/>
            <w:tcBorders>
              <w:top w:val="single" w:sz="4" w:space="0" w:color="000000"/>
              <w:left w:val="single" w:sz="4" w:space="0" w:color="000000"/>
              <w:bottom w:val="single" w:sz="4" w:space="0" w:color="000000"/>
              <w:right w:val="single" w:sz="4" w:space="0" w:color="000000"/>
            </w:tcBorders>
            <w:vAlign w:val="center"/>
          </w:tcPr>
          <w:p w14:paraId="3E49298C" w14:textId="77777777" w:rsidR="00385930" w:rsidRPr="00162CE5" w:rsidRDefault="00385930" w:rsidP="00385930">
            <w:pPr>
              <w:spacing w:before="60" w:after="60"/>
              <w:ind w:left="0"/>
              <w:jc w:val="center"/>
              <w:rPr>
                <w:color w:val="000000"/>
                <w:szCs w:val="24"/>
              </w:rPr>
            </w:pPr>
            <w:r w:rsidRPr="00162CE5">
              <w:rPr>
                <w:color w:val="000000"/>
                <w:szCs w:val="24"/>
              </w:rPr>
              <w:t>2,693,390</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CBAC4A" w14:textId="77777777" w:rsidR="00385930" w:rsidRPr="00162CE5" w:rsidRDefault="00385930" w:rsidP="00385930">
            <w:pPr>
              <w:spacing w:before="60" w:after="60"/>
              <w:ind w:left="0"/>
              <w:jc w:val="center"/>
              <w:rPr>
                <w:rFonts w:ascii="Calibri" w:hAnsi="Calibri"/>
                <w:color w:val="000000"/>
                <w:szCs w:val="24"/>
              </w:rPr>
            </w:pPr>
            <w:r w:rsidRPr="00162CE5">
              <w:rPr>
                <w:color w:val="000000"/>
                <w:szCs w:val="24"/>
              </w:rPr>
              <w:t>1,810,764</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9D50D8" w14:textId="1037336B" w:rsidR="00385930" w:rsidRPr="00162CE5" w:rsidRDefault="00385930" w:rsidP="00385930">
            <w:pPr>
              <w:spacing w:before="60" w:after="60"/>
              <w:ind w:left="0"/>
              <w:jc w:val="center"/>
              <w:rPr>
                <w:rFonts w:ascii="Calibri" w:hAnsi="Calibri"/>
                <w:color w:val="000000"/>
                <w:szCs w:val="24"/>
              </w:rPr>
            </w:pPr>
            <w:r w:rsidRPr="00162CE5">
              <w:rPr>
                <w:color w:val="000000"/>
                <w:szCs w:val="24"/>
              </w:rPr>
              <w:t>112,982</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3376FD" w14:textId="77777777" w:rsidR="00385930" w:rsidRPr="00162CE5" w:rsidRDefault="00385930" w:rsidP="00385930">
            <w:pPr>
              <w:spacing w:before="60" w:after="60"/>
              <w:ind w:left="0"/>
              <w:jc w:val="center"/>
              <w:rPr>
                <w:rFonts w:ascii="Calibri" w:hAnsi="Calibri"/>
                <w:color w:val="000000"/>
                <w:szCs w:val="24"/>
              </w:rPr>
            </w:pPr>
            <w:r w:rsidRPr="00162CE5">
              <w:rPr>
                <w:color w:val="000000"/>
                <w:szCs w:val="24"/>
              </w:rPr>
              <w:t>17,182</w:t>
            </w:r>
          </w:p>
        </w:tc>
      </w:tr>
    </w:tbl>
    <w:p w14:paraId="3ACD1787" w14:textId="707318D2" w:rsidR="000770E6" w:rsidRPr="008639F8" w:rsidRDefault="000770E6" w:rsidP="000770E6">
      <w:pPr>
        <w:spacing w:after="0"/>
      </w:pPr>
      <w:r>
        <w:br w:type="textWrapping" w:clear="all"/>
      </w:r>
    </w:p>
    <w:p w14:paraId="690C5F3F" w14:textId="77777777" w:rsidR="000770E6" w:rsidRPr="000770E6" w:rsidRDefault="000770E6" w:rsidP="000770E6">
      <w:pPr>
        <w:keepNext/>
        <w:rPr>
          <w:rFonts w:cs="Arial"/>
          <w:b/>
          <w:color w:val="1F3864" w:themeColor="accent5" w:themeShade="80"/>
        </w:rPr>
      </w:pPr>
      <w:bookmarkStart w:id="52" w:name="_Hlk522711508"/>
      <w:r w:rsidRPr="000770E6">
        <w:rPr>
          <w:rFonts w:cs="Arial"/>
          <w:b/>
          <w:color w:val="1F3864" w:themeColor="accent5" w:themeShade="80"/>
        </w:rPr>
        <w:t>UI Accounts</w:t>
      </w:r>
    </w:p>
    <w:tbl>
      <w:tblPr>
        <w:tblStyle w:val="TableGrid"/>
        <w:tblW w:w="0" w:type="auto"/>
        <w:tblInd w:w="805" w:type="dxa"/>
        <w:tblLayout w:type="fixed"/>
        <w:tblLook w:val="04A0" w:firstRow="1" w:lastRow="0" w:firstColumn="1" w:lastColumn="0" w:noHBand="0" w:noVBand="1"/>
        <w:tblDescription w:val="Table of UI Account statistics"/>
      </w:tblPr>
      <w:tblGrid>
        <w:gridCol w:w="2970"/>
        <w:gridCol w:w="2070"/>
        <w:gridCol w:w="2340"/>
      </w:tblGrid>
      <w:tr w:rsidR="000770E6" w:rsidRPr="00E21848" w14:paraId="4244D04A" w14:textId="77777777" w:rsidTr="00D4112D">
        <w:tc>
          <w:tcPr>
            <w:tcW w:w="2970" w:type="dxa"/>
            <w:shd w:val="clear" w:color="auto" w:fill="DEEAF6" w:themeFill="accent1" w:themeFillTint="33"/>
            <w:vAlign w:val="center"/>
          </w:tcPr>
          <w:p w14:paraId="1AAEDF7D" w14:textId="77777777" w:rsidR="000770E6" w:rsidRPr="00D4112D" w:rsidRDefault="000770E6" w:rsidP="00D4112D">
            <w:pPr>
              <w:keepNext/>
              <w:spacing w:after="0"/>
              <w:ind w:left="0"/>
              <w:jc w:val="center"/>
              <w:rPr>
                <w:rFonts w:cs="Arial"/>
                <w:b/>
                <w:color w:val="1F3864" w:themeColor="accent5" w:themeShade="80"/>
              </w:rPr>
            </w:pPr>
          </w:p>
        </w:tc>
        <w:tc>
          <w:tcPr>
            <w:tcW w:w="2070" w:type="dxa"/>
            <w:shd w:val="clear" w:color="auto" w:fill="DEEAF6" w:themeFill="accent1" w:themeFillTint="33"/>
            <w:vAlign w:val="center"/>
          </w:tcPr>
          <w:p w14:paraId="41C06B98" w14:textId="77777777" w:rsidR="000770E6" w:rsidRPr="00D4112D" w:rsidRDefault="000770E6" w:rsidP="00D4112D">
            <w:pPr>
              <w:keepNext/>
              <w:spacing w:before="60" w:after="60"/>
              <w:ind w:left="0"/>
              <w:jc w:val="center"/>
              <w:rPr>
                <w:rFonts w:cs="Arial"/>
                <w:b/>
                <w:color w:val="1F3864" w:themeColor="accent5" w:themeShade="80"/>
              </w:rPr>
            </w:pPr>
            <w:r w:rsidRPr="00D4112D">
              <w:rPr>
                <w:rFonts w:cs="Arial"/>
                <w:b/>
                <w:color w:val="1F3864" w:themeColor="accent5" w:themeShade="80"/>
              </w:rPr>
              <w:t>Total Active Employer Accounts</w:t>
            </w:r>
          </w:p>
        </w:tc>
        <w:tc>
          <w:tcPr>
            <w:tcW w:w="2340" w:type="dxa"/>
            <w:shd w:val="clear" w:color="auto" w:fill="DEEAF6" w:themeFill="accent1" w:themeFillTint="33"/>
            <w:vAlign w:val="center"/>
          </w:tcPr>
          <w:p w14:paraId="0DEC6E01" w14:textId="77777777" w:rsidR="000770E6" w:rsidRPr="00D4112D" w:rsidRDefault="000770E6" w:rsidP="00D4112D">
            <w:pPr>
              <w:keepNext/>
              <w:spacing w:before="60" w:after="60"/>
              <w:ind w:left="0"/>
              <w:jc w:val="center"/>
              <w:rPr>
                <w:rFonts w:cs="Arial"/>
                <w:b/>
                <w:color w:val="1F3864" w:themeColor="accent5" w:themeShade="80"/>
              </w:rPr>
            </w:pPr>
            <w:r w:rsidRPr="00D4112D">
              <w:rPr>
                <w:rFonts w:cs="Arial"/>
                <w:b/>
                <w:color w:val="1F3864" w:themeColor="accent5" w:themeShade="80"/>
              </w:rPr>
              <w:t>Total Inactive</w:t>
            </w:r>
            <w:r w:rsidRPr="00D4112D">
              <w:rPr>
                <w:rFonts w:cs="Arial"/>
                <w:b/>
                <w:color w:val="1F3864" w:themeColor="accent5" w:themeShade="80"/>
              </w:rPr>
              <w:br/>
              <w:t>Employer Accounts</w:t>
            </w:r>
          </w:p>
        </w:tc>
      </w:tr>
      <w:tr w:rsidR="00C44EE0" w:rsidRPr="00873442" w14:paraId="20468A71" w14:textId="77777777" w:rsidTr="00D4112D">
        <w:tc>
          <w:tcPr>
            <w:tcW w:w="2970" w:type="dxa"/>
            <w:vAlign w:val="center"/>
          </w:tcPr>
          <w:p w14:paraId="64F77C00" w14:textId="69101354" w:rsidR="00C44EE0" w:rsidRPr="00BF5D94" w:rsidRDefault="00C44EE0" w:rsidP="00C44EE0">
            <w:pPr>
              <w:spacing w:before="60" w:after="60"/>
              <w:ind w:left="0"/>
              <w:jc w:val="center"/>
            </w:pPr>
            <w:r>
              <w:t>As of July 31, 2018</w:t>
            </w:r>
          </w:p>
        </w:tc>
        <w:tc>
          <w:tcPr>
            <w:tcW w:w="2070" w:type="dxa"/>
            <w:vAlign w:val="center"/>
          </w:tcPr>
          <w:p w14:paraId="055CF308" w14:textId="17C2ADCD" w:rsidR="00C44EE0" w:rsidRPr="00BF5D94" w:rsidRDefault="00C44EE0" w:rsidP="00C44EE0">
            <w:pPr>
              <w:spacing w:before="60" w:after="60"/>
              <w:ind w:left="0"/>
              <w:jc w:val="center"/>
            </w:pPr>
            <w:r>
              <w:t>540,926</w:t>
            </w:r>
          </w:p>
        </w:tc>
        <w:tc>
          <w:tcPr>
            <w:tcW w:w="2340" w:type="dxa"/>
            <w:vAlign w:val="center"/>
          </w:tcPr>
          <w:p w14:paraId="59E42404" w14:textId="15BE305D" w:rsidR="00C44EE0" w:rsidRPr="00BF5D94" w:rsidRDefault="00C44EE0" w:rsidP="00C44EE0">
            <w:pPr>
              <w:spacing w:before="60" w:after="60"/>
              <w:ind w:left="0"/>
              <w:jc w:val="center"/>
            </w:pPr>
            <w:r>
              <w:t>381,631</w:t>
            </w:r>
          </w:p>
        </w:tc>
      </w:tr>
      <w:bookmarkEnd w:id="52"/>
    </w:tbl>
    <w:p w14:paraId="4D39D47C" w14:textId="77777777" w:rsidR="000770E6" w:rsidRDefault="000770E6" w:rsidP="000770E6"/>
    <w:p w14:paraId="3E99852B" w14:textId="77777777" w:rsidR="000770E6" w:rsidRPr="001A0DEC" w:rsidRDefault="000770E6" w:rsidP="000770E6">
      <w:pPr>
        <w:keepNext/>
        <w:rPr>
          <w:rFonts w:cs="Arial"/>
          <w:b/>
          <w:color w:val="1F3864" w:themeColor="accent5" w:themeShade="80"/>
        </w:rPr>
      </w:pPr>
      <w:r w:rsidRPr="00D46FAE">
        <w:rPr>
          <w:rFonts w:cs="Arial"/>
          <w:b/>
          <w:color w:val="1F3864" w:themeColor="accent5" w:themeShade="80"/>
        </w:rPr>
        <w:lastRenderedPageBreak/>
        <w:t>UI Correspondence</w:t>
      </w:r>
      <w:r w:rsidRPr="001A0DEC">
        <w:rPr>
          <w:rFonts w:cs="Arial"/>
          <w:b/>
          <w:color w:val="1F3864" w:themeColor="accent5" w:themeShade="80"/>
        </w:rPr>
        <w:t xml:space="preserve"> </w:t>
      </w:r>
    </w:p>
    <w:tbl>
      <w:tblPr>
        <w:tblStyle w:val="TableGrid"/>
        <w:tblW w:w="0" w:type="auto"/>
        <w:tblInd w:w="805" w:type="dxa"/>
        <w:tblLayout w:type="fixed"/>
        <w:tblLook w:val="04A0" w:firstRow="1" w:lastRow="0" w:firstColumn="1" w:lastColumn="0" w:noHBand="0" w:noVBand="1"/>
        <w:tblCaption w:val="Correspondence Table"/>
        <w:tblDescription w:val="Table of correspondence statistics"/>
      </w:tblPr>
      <w:tblGrid>
        <w:gridCol w:w="1080"/>
        <w:gridCol w:w="3330"/>
        <w:gridCol w:w="2700"/>
        <w:gridCol w:w="2700"/>
      </w:tblGrid>
      <w:tr w:rsidR="00D46FAE" w:rsidRPr="00D46FAE" w14:paraId="6001B50E" w14:textId="4C017CF2" w:rsidTr="00805EBD">
        <w:tc>
          <w:tcPr>
            <w:tcW w:w="1080" w:type="dxa"/>
            <w:shd w:val="clear" w:color="auto" w:fill="DEEAF6" w:themeFill="accent1" w:themeFillTint="33"/>
            <w:vAlign w:val="center"/>
          </w:tcPr>
          <w:p w14:paraId="2296A095" w14:textId="77777777" w:rsidR="00D46FAE" w:rsidRPr="00D46FAE" w:rsidRDefault="00D46FAE" w:rsidP="00D46FAE">
            <w:pPr>
              <w:keepNext/>
              <w:spacing w:after="0"/>
              <w:ind w:left="0"/>
              <w:jc w:val="center"/>
              <w:rPr>
                <w:rFonts w:cs="Arial"/>
                <w:b/>
                <w:color w:val="1F3864" w:themeColor="accent5" w:themeShade="80"/>
                <w:szCs w:val="24"/>
              </w:rPr>
            </w:pPr>
            <w:r w:rsidRPr="00D46FAE">
              <w:rPr>
                <w:rFonts w:cs="Arial"/>
                <w:b/>
                <w:color w:val="1F3864" w:themeColor="accent5" w:themeShade="80"/>
                <w:szCs w:val="24"/>
              </w:rPr>
              <w:t>Year</w:t>
            </w:r>
          </w:p>
        </w:tc>
        <w:tc>
          <w:tcPr>
            <w:tcW w:w="3330" w:type="dxa"/>
            <w:shd w:val="clear" w:color="auto" w:fill="DEEAF6" w:themeFill="accent1" w:themeFillTint="33"/>
            <w:vAlign w:val="center"/>
          </w:tcPr>
          <w:p w14:paraId="079B456E" w14:textId="0CB9BD82" w:rsidR="00D46FAE" w:rsidRPr="00D46FAE" w:rsidRDefault="00D46FAE" w:rsidP="00D46FAE">
            <w:pPr>
              <w:keepNext/>
              <w:spacing w:before="60" w:after="60"/>
              <w:ind w:left="0"/>
              <w:jc w:val="center"/>
              <w:rPr>
                <w:rFonts w:cs="Arial"/>
                <w:b/>
                <w:color w:val="1F3864" w:themeColor="accent5" w:themeShade="80"/>
                <w:szCs w:val="24"/>
              </w:rPr>
            </w:pPr>
            <w:r w:rsidRPr="00D46FAE">
              <w:rPr>
                <w:rFonts w:cs="Arial"/>
                <w:b/>
                <w:color w:val="1F3864" w:themeColor="accent5" w:themeShade="80"/>
                <w:szCs w:val="24"/>
              </w:rPr>
              <w:t>Electronic Correspondence</w:t>
            </w:r>
          </w:p>
        </w:tc>
        <w:tc>
          <w:tcPr>
            <w:tcW w:w="2700" w:type="dxa"/>
            <w:shd w:val="clear" w:color="auto" w:fill="DEEAF6" w:themeFill="accent1" w:themeFillTint="33"/>
            <w:vAlign w:val="center"/>
          </w:tcPr>
          <w:p w14:paraId="6AC34382" w14:textId="5074999F" w:rsidR="00D46FAE" w:rsidRPr="00D46FAE" w:rsidRDefault="00D46FAE" w:rsidP="00D46FAE">
            <w:pPr>
              <w:keepNext/>
              <w:spacing w:before="60" w:after="60"/>
              <w:ind w:left="0"/>
              <w:jc w:val="center"/>
              <w:rPr>
                <w:rFonts w:cs="Arial"/>
                <w:b/>
                <w:color w:val="1F3864" w:themeColor="accent5" w:themeShade="80"/>
                <w:szCs w:val="24"/>
              </w:rPr>
            </w:pPr>
            <w:r w:rsidRPr="00D46FAE">
              <w:rPr>
                <w:rFonts w:cs="Arial"/>
                <w:b/>
                <w:color w:val="1F3864" w:themeColor="accent5" w:themeShade="80"/>
                <w:szCs w:val="24"/>
              </w:rPr>
              <w:t>Paper Correspondence</w:t>
            </w:r>
          </w:p>
        </w:tc>
        <w:tc>
          <w:tcPr>
            <w:tcW w:w="2700" w:type="dxa"/>
            <w:shd w:val="clear" w:color="auto" w:fill="DEEAF6" w:themeFill="accent1" w:themeFillTint="33"/>
            <w:vAlign w:val="center"/>
          </w:tcPr>
          <w:p w14:paraId="70231DB0" w14:textId="3A9B44EE" w:rsidR="00D46FAE" w:rsidRPr="00D46FAE" w:rsidRDefault="00D46FAE" w:rsidP="00D46FAE">
            <w:pPr>
              <w:keepNext/>
              <w:spacing w:before="60" w:after="60"/>
              <w:ind w:left="0"/>
              <w:jc w:val="center"/>
              <w:rPr>
                <w:rFonts w:cs="Arial"/>
                <w:b/>
                <w:color w:val="1F3864" w:themeColor="accent5" w:themeShade="80"/>
                <w:szCs w:val="24"/>
              </w:rPr>
            </w:pPr>
            <w:r w:rsidRPr="00D46FAE">
              <w:rPr>
                <w:rFonts w:cs="Arial"/>
                <w:b/>
                <w:color w:val="1F3864" w:themeColor="accent5" w:themeShade="80"/>
                <w:szCs w:val="24"/>
              </w:rPr>
              <w:t>SIDES</w:t>
            </w:r>
          </w:p>
        </w:tc>
      </w:tr>
      <w:tr w:rsidR="00D46FAE" w:rsidRPr="00D46FAE" w14:paraId="6BF193DB" w14:textId="0E36EE9D" w:rsidTr="00F34F69">
        <w:tc>
          <w:tcPr>
            <w:tcW w:w="1080" w:type="dxa"/>
            <w:vAlign w:val="center"/>
          </w:tcPr>
          <w:p w14:paraId="3C8BCA54" w14:textId="79EEFAF3" w:rsidR="00D46FAE" w:rsidRPr="00D46FAE" w:rsidRDefault="00D46FAE" w:rsidP="00D46FAE">
            <w:pPr>
              <w:keepNext/>
              <w:spacing w:before="60" w:after="60"/>
              <w:ind w:left="0"/>
              <w:jc w:val="center"/>
              <w:rPr>
                <w:szCs w:val="24"/>
              </w:rPr>
            </w:pPr>
            <w:r w:rsidRPr="00D46FAE">
              <w:rPr>
                <w:szCs w:val="24"/>
              </w:rPr>
              <w:t>2017</w:t>
            </w:r>
          </w:p>
        </w:tc>
        <w:tc>
          <w:tcPr>
            <w:tcW w:w="3330" w:type="dxa"/>
            <w:vAlign w:val="center"/>
          </w:tcPr>
          <w:p w14:paraId="59DDD61A" w14:textId="0619F248" w:rsidR="00D46FAE" w:rsidRPr="00D46FAE" w:rsidRDefault="00D46FAE" w:rsidP="00D46FAE">
            <w:pPr>
              <w:keepNext/>
              <w:spacing w:before="60" w:after="60"/>
              <w:ind w:left="0"/>
              <w:jc w:val="center"/>
              <w:rPr>
                <w:szCs w:val="24"/>
              </w:rPr>
            </w:pPr>
            <w:r w:rsidRPr="00D46FAE">
              <w:rPr>
                <w:color w:val="000000"/>
                <w:szCs w:val="24"/>
              </w:rPr>
              <w:t>5,087,946</w:t>
            </w:r>
          </w:p>
        </w:tc>
        <w:tc>
          <w:tcPr>
            <w:tcW w:w="2700" w:type="dxa"/>
            <w:vAlign w:val="center"/>
          </w:tcPr>
          <w:p w14:paraId="2E6B7844" w14:textId="6E0571E0" w:rsidR="00D46FAE" w:rsidRPr="00D46FAE" w:rsidRDefault="00D46FAE" w:rsidP="00D46FAE">
            <w:pPr>
              <w:keepNext/>
              <w:spacing w:before="60" w:after="60"/>
              <w:ind w:left="0"/>
              <w:jc w:val="center"/>
              <w:rPr>
                <w:szCs w:val="24"/>
              </w:rPr>
            </w:pPr>
            <w:r w:rsidRPr="00D46FAE">
              <w:rPr>
                <w:color w:val="000000"/>
                <w:szCs w:val="24"/>
              </w:rPr>
              <w:t>10,387,009</w:t>
            </w:r>
          </w:p>
        </w:tc>
        <w:tc>
          <w:tcPr>
            <w:tcW w:w="2700" w:type="dxa"/>
            <w:vAlign w:val="center"/>
          </w:tcPr>
          <w:p w14:paraId="6C6CB24F" w14:textId="61EE9B34" w:rsidR="00D46FAE" w:rsidRPr="00D46FAE" w:rsidRDefault="00D46FAE" w:rsidP="00D46FAE">
            <w:pPr>
              <w:keepNext/>
              <w:spacing w:before="60" w:after="60"/>
              <w:ind w:left="0"/>
              <w:jc w:val="center"/>
              <w:rPr>
                <w:szCs w:val="24"/>
              </w:rPr>
            </w:pPr>
            <w:r w:rsidRPr="00D46FAE">
              <w:rPr>
                <w:color w:val="000000"/>
                <w:szCs w:val="24"/>
              </w:rPr>
              <w:t>582,346</w:t>
            </w:r>
          </w:p>
        </w:tc>
      </w:tr>
      <w:tr w:rsidR="00D46FAE" w:rsidRPr="00D46FAE" w14:paraId="77E9C89E" w14:textId="21016029" w:rsidTr="00F34F69">
        <w:tc>
          <w:tcPr>
            <w:tcW w:w="1080" w:type="dxa"/>
            <w:vAlign w:val="center"/>
          </w:tcPr>
          <w:p w14:paraId="06A4FBB3" w14:textId="32344BA7" w:rsidR="00D46FAE" w:rsidRPr="00D46FAE" w:rsidRDefault="00D46FAE" w:rsidP="00D46FAE">
            <w:pPr>
              <w:keepNext/>
              <w:spacing w:before="60" w:after="60"/>
              <w:ind w:left="0"/>
              <w:jc w:val="center"/>
              <w:rPr>
                <w:szCs w:val="24"/>
              </w:rPr>
            </w:pPr>
            <w:r w:rsidRPr="00D46FAE">
              <w:rPr>
                <w:szCs w:val="24"/>
              </w:rPr>
              <w:t>2016</w:t>
            </w:r>
          </w:p>
        </w:tc>
        <w:tc>
          <w:tcPr>
            <w:tcW w:w="3330" w:type="dxa"/>
            <w:vAlign w:val="center"/>
          </w:tcPr>
          <w:p w14:paraId="0258C445" w14:textId="19C50B69" w:rsidR="00D46FAE" w:rsidRPr="00D46FAE" w:rsidRDefault="00D46FAE" w:rsidP="00D46FAE">
            <w:pPr>
              <w:keepNext/>
              <w:spacing w:before="60" w:after="60"/>
              <w:ind w:left="0"/>
              <w:jc w:val="center"/>
              <w:rPr>
                <w:szCs w:val="24"/>
              </w:rPr>
            </w:pPr>
            <w:r w:rsidRPr="00D46FAE">
              <w:rPr>
                <w:color w:val="000000"/>
                <w:szCs w:val="24"/>
              </w:rPr>
              <w:t>4,137,355</w:t>
            </w:r>
          </w:p>
        </w:tc>
        <w:tc>
          <w:tcPr>
            <w:tcW w:w="2700" w:type="dxa"/>
            <w:vAlign w:val="center"/>
          </w:tcPr>
          <w:p w14:paraId="226E2E0F" w14:textId="375375BD" w:rsidR="00D46FAE" w:rsidRPr="00D46FAE" w:rsidRDefault="00D46FAE" w:rsidP="00D46FAE">
            <w:pPr>
              <w:keepNext/>
              <w:spacing w:before="60" w:after="60"/>
              <w:ind w:left="0"/>
              <w:jc w:val="center"/>
              <w:rPr>
                <w:szCs w:val="24"/>
              </w:rPr>
            </w:pPr>
            <w:r w:rsidRPr="00D46FAE">
              <w:rPr>
                <w:color w:val="000000"/>
                <w:szCs w:val="24"/>
              </w:rPr>
              <w:t>11,746,223</w:t>
            </w:r>
          </w:p>
        </w:tc>
        <w:tc>
          <w:tcPr>
            <w:tcW w:w="2700" w:type="dxa"/>
            <w:vAlign w:val="center"/>
          </w:tcPr>
          <w:p w14:paraId="4CD2C841" w14:textId="17D8AF26" w:rsidR="00D46FAE" w:rsidRPr="00D46FAE" w:rsidRDefault="00D46FAE" w:rsidP="00D46FAE">
            <w:pPr>
              <w:keepNext/>
              <w:spacing w:before="60" w:after="60"/>
              <w:ind w:left="0"/>
              <w:jc w:val="center"/>
              <w:rPr>
                <w:szCs w:val="24"/>
              </w:rPr>
            </w:pPr>
            <w:r w:rsidRPr="00D46FAE">
              <w:rPr>
                <w:color w:val="000000"/>
                <w:szCs w:val="24"/>
              </w:rPr>
              <w:t>246,540</w:t>
            </w:r>
          </w:p>
        </w:tc>
      </w:tr>
    </w:tbl>
    <w:p w14:paraId="2DC21984" w14:textId="77777777" w:rsidR="000770E6" w:rsidRDefault="000770E6" w:rsidP="000770E6"/>
    <w:p w14:paraId="0A59B898" w14:textId="77777777" w:rsidR="000770E6" w:rsidRPr="00647929" w:rsidRDefault="000770E6" w:rsidP="000770E6">
      <w:pPr>
        <w:keepNext/>
        <w:rPr>
          <w:rFonts w:cs="Arial"/>
          <w:b/>
          <w:color w:val="1F3864" w:themeColor="accent5" w:themeShade="80"/>
        </w:rPr>
      </w:pPr>
      <w:r w:rsidRPr="00647929">
        <w:rPr>
          <w:rFonts w:cs="Arial"/>
          <w:b/>
          <w:color w:val="1F3864" w:themeColor="accent5" w:themeShade="80"/>
        </w:rPr>
        <w:t>UI Initial and Additional Claims Filed</w:t>
      </w:r>
    </w:p>
    <w:tbl>
      <w:tblPr>
        <w:tblW w:w="13124" w:type="dxa"/>
        <w:tblInd w:w="821" w:type="dxa"/>
        <w:tblCellMar>
          <w:left w:w="0" w:type="dxa"/>
          <w:right w:w="0" w:type="dxa"/>
        </w:tblCellMar>
        <w:tblLook w:val="04A0" w:firstRow="1" w:lastRow="0" w:firstColumn="1" w:lastColumn="0" w:noHBand="0" w:noVBand="1"/>
        <w:tblDescription w:val="UI Initial and additional claims filed table"/>
      </w:tblPr>
      <w:tblGrid>
        <w:gridCol w:w="1152"/>
        <w:gridCol w:w="1607"/>
        <w:gridCol w:w="1779"/>
        <w:gridCol w:w="1746"/>
        <w:gridCol w:w="1890"/>
        <w:gridCol w:w="1690"/>
        <w:gridCol w:w="1640"/>
        <w:gridCol w:w="1620"/>
      </w:tblGrid>
      <w:tr w:rsidR="00647929" w:rsidRPr="00647929" w14:paraId="03094936" w14:textId="77777777" w:rsidTr="00805EBD">
        <w:trPr>
          <w:trHeight w:val="1164"/>
        </w:trPr>
        <w:tc>
          <w:tcPr>
            <w:tcW w:w="115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hideMark/>
          </w:tcPr>
          <w:p w14:paraId="2F0B5851" w14:textId="77777777" w:rsidR="000770E6" w:rsidRPr="00647929" w:rsidRDefault="000770E6" w:rsidP="00647929">
            <w:pPr>
              <w:keepNext/>
              <w:spacing w:after="0"/>
              <w:ind w:left="0"/>
              <w:jc w:val="center"/>
              <w:rPr>
                <w:rFonts w:cs="Arial"/>
                <w:b/>
                <w:color w:val="1F3864" w:themeColor="accent5" w:themeShade="80"/>
              </w:rPr>
            </w:pPr>
            <w:r w:rsidRPr="00647929">
              <w:rPr>
                <w:rFonts w:cs="Arial"/>
                <w:b/>
                <w:color w:val="1F3864" w:themeColor="accent5" w:themeShade="80"/>
              </w:rPr>
              <w:t>Year</w:t>
            </w:r>
          </w:p>
        </w:tc>
        <w:tc>
          <w:tcPr>
            <w:tcW w:w="16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hideMark/>
          </w:tcPr>
          <w:p w14:paraId="6147DEA2" w14:textId="77777777" w:rsidR="000770E6" w:rsidRPr="00647929" w:rsidRDefault="000770E6" w:rsidP="00647929">
            <w:pPr>
              <w:keepNext/>
              <w:spacing w:after="0"/>
              <w:ind w:left="0"/>
              <w:jc w:val="center"/>
              <w:rPr>
                <w:rFonts w:cs="Arial"/>
                <w:b/>
                <w:color w:val="1F3864" w:themeColor="accent5" w:themeShade="80"/>
              </w:rPr>
            </w:pPr>
            <w:r w:rsidRPr="00647929">
              <w:rPr>
                <w:rFonts w:cs="Arial"/>
                <w:b/>
                <w:color w:val="1F3864" w:themeColor="accent5" w:themeShade="80"/>
              </w:rPr>
              <w:t>New Intrastate</w:t>
            </w:r>
          </w:p>
        </w:tc>
        <w:tc>
          <w:tcPr>
            <w:tcW w:w="17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hideMark/>
          </w:tcPr>
          <w:p w14:paraId="1D34EA6F" w14:textId="77777777" w:rsidR="000770E6" w:rsidRPr="00647929" w:rsidRDefault="000770E6" w:rsidP="00647929">
            <w:pPr>
              <w:keepNext/>
              <w:spacing w:after="0"/>
              <w:ind w:left="0"/>
              <w:jc w:val="center"/>
              <w:rPr>
                <w:rFonts w:cs="Arial"/>
                <w:b/>
                <w:color w:val="1F3864" w:themeColor="accent5" w:themeShade="80"/>
              </w:rPr>
            </w:pPr>
            <w:r w:rsidRPr="00647929">
              <w:rPr>
                <w:rFonts w:cs="Arial"/>
                <w:b/>
                <w:color w:val="1F3864" w:themeColor="accent5" w:themeShade="80"/>
              </w:rPr>
              <w:t>Workshare</w:t>
            </w:r>
          </w:p>
        </w:tc>
        <w:tc>
          <w:tcPr>
            <w:tcW w:w="174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hideMark/>
          </w:tcPr>
          <w:p w14:paraId="1212684A" w14:textId="77777777" w:rsidR="000770E6" w:rsidRPr="00647929" w:rsidRDefault="000770E6" w:rsidP="00647929">
            <w:pPr>
              <w:keepNext/>
              <w:spacing w:after="0"/>
              <w:ind w:left="0"/>
              <w:jc w:val="center"/>
              <w:rPr>
                <w:rFonts w:cs="Arial"/>
                <w:b/>
                <w:color w:val="1F3864" w:themeColor="accent5" w:themeShade="80"/>
              </w:rPr>
            </w:pPr>
            <w:r w:rsidRPr="00647929">
              <w:rPr>
                <w:rFonts w:cs="Arial"/>
                <w:b/>
                <w:color w:val="1F3864" w:themeColor="accent5" w:themeShade="80"/>
              </w:rPr>
              <w:t>Additional</w:t>
            </w:r>
          </w:p>
        </w:tc>
        <w:tc>
          <w:tcPr>
            <w:tcW w:w="189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73788B1" w14:textId="77777777" w:rsidR="000770E6" w:rsidRPr="00647929" w:rsidRDefault="000770E6" w:rsidP="00647929">
            <w:pPr>
              <w:keepNext/>
              <w:spacing w:after="0"/>
              <w:ind w:left="0"/>
              <w:jc w:val="center"/>
              <w:rPr>
                <w:rFonts w:cs="Arial"/>
                <w:b/>
                <w:color w:val="1F3864" w:themeColor="accent5" w:themeShade="80"/>
              </w:rPr>
            </w:pPr>
            <w:r w:rsidRPr="00647929">
              <w:rPr>
                <w:rFonts w:cs="Arial"/>
                <w:b/>
                <w:color w:val="1F3864" w:themeColor="accent5" w:themeShade="80"/>
              </w:rPr>
              <w:t>Transitional</w:t>
            </w:r>
          </w:p>
        </w:tc>
        <w:tc>
          <w:tcPr>
            <w:tcW w:w="169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hideMark/>
          </w:tcPr>
          <w:p w14:paraId="5883D5C7" w14:textId="77777777" w:rsidR="000770E6" w:rsidRPr="00647929" w:rsidRDefault="000770E6" w:rsidP="00647929">
            <w:pPr>
              <w:keepNext/>
              <w:spacing w:after="0"/>
              <w:ind w:left="0"/>
              <w:jc w:val="center"/>
              <w:rPr>
                <w:rFonts w:cs="Arial"/>
                <w:b/>
                <w:color w:val="1F3864" w:themeColor="accent5" w:themeShade="80"/>
              </w:rPr>
            </w:pPr>
            <w:r w:rsidRPr="00647929">
              <w:rPr>
                <w:rFonts w:cs="Arial"/>
                <w:b/>
                <w:color w:val="1F3864" w:themeColor="accent5" w:themeShade="80"/>
              </w:rPr>
              <w:t>Interstate Agent</w:t>
            </w:r>
          </w:p>
        </w:tc>
        <w:tc>
          <w:tcPr>
            <w:tcW w:w="164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hideMark/>
          </w:tcPr>
          <w:p w14:paraId="54AD0736" w14:textId="77777777" w:rsidR="000770E6" w:rsidRPr="00647929" w:rsidRDefault="000770E6" w:rsidP="00647929">
            <w:pPr>
              <w:keepNext/>
              <w:spacing w:after="0"/>
              <w:ind w:left="0"/>
              <w:jc w:val="center"/>
              <w:rPr>
                <w:rFonts w:cs="Arial"/>
                <w:b/>
                <w:color w:val="1F3864" w:themeColor="accent5" w:themeShade="80"/>
              </w:rPr>
            </w:pPr>
            <w:r w:rsidRPr="00647929">
              <w:rPr>
                <w:rFonts w:cs="Arial"/>
                <w:b/>
                <w:color w:val="1F3864" w:themeColor="accent5" w:themeShade="80"/>
              </w:rPr>
              <w:t>Interstate Liable</w:t>
            </w:r>
          </w:p>
        </w:tc>
        <w:tc>
          <w:tcPr>
            <w:tcW w:w="162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hideMark/>
          </w:tcPr>
          <w:p w14:paraId="0CFA8D3E" w14:textId="77777777" w:rsidR="000770E6" w:rsidRPr="00647929" w:rsidRDefault="000770E6" w:rsidP="00647929">
            <w:pPr>
              <w:keepNext/>
              <w:spacing w:after="0"/>
              <w:ind w:left="0"/>
              <w:jc w:val="center"/>
              <w:rPr>
                <w:rFonts w:cs="Arial"/>
                <w:b/>
                <w:color w:val="1F3864" w:themeColor="accent5" w:themeShade="80"/>
              </w:rPr>
            </w:pPr>
            <w:r w:rsidRPr="00647929">
              <w:rPr>
                <w:rFonts w:cs="Arial"/>
                <w:b/>
                <w:color w:val="1F3864" w:themeColor="accent5" w:themeShade="80"/>
              </w:rPr>
              <w:t>State Totals</w:t>
            </w:r>
          </w:p>
        </w:tc>
      </w:tr>
      <w:tr w:rsidR="00647929" w14:paraId="62CBB69E" w14:textId="77777777" w:rsidTr="00647929">
        <w:trPr>
          <w:trHeight w:val="300"/>
        </w:trPr>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4A4D40" w14:textId="5C5EBB95" w:rsidR="000770E6" w:rsidRPr="00695618" w:rsidRDefault="000770E6" w:rsidP="00647929">
            <w:pPr>
              <w:keepNext/>
              <w:spacing w:before="60" w:after="60"/>
              <w:ind w:left="0"/>
              <w:jc w:val="center"/>
              <w:rPr>
                <w:rFonts w:ascii="Calibri" w:hAnsi="Calibri"/>
                <w:color w:val="000000"/>
              </w:rPr>
            </w:pPr>
            <w:r>
              <w:rPr>
                <w:color w:val="000000"/>
              </w:rPr>
              <w:t>201</w:t>
            </w:r>
            <w:r w:rsidR="005B105C">
              <w:rPr>
                <w:color w:val="000000"/>
              </w:rPr>
              <w:t>7</w:t>
            </w:r>
          </w:p>
        </w:tc>
        <w:tc>
          <w:tcPr>
            <w:tcW w:w="1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823F4F" w14:textId="42DC2B41" w:rsidR="000770E6" w:rsidRPr="00695618" w:rsidRDefault="005B105C" w:rsidP="00647929">
            <w:pPr>
              <w:keepNext/>
              <w:spacing w:before="60" w:after="60"/>
              <w:ind w:left="0"/>
              <w:jc w:val="center"/>
              <w:rPr>
                <w:rFonts w:ascii="Calibri" w:hAnsi="Calibri"/>
                <w:color w:val="000000"/>
              </w:rPr>
            </w:pPr>
            <w:r>
              <w:rPr>
                <w:color w:val="000000"/>
              </w:rPr>
              <w:t>678,641</w:t>
            </w:r>
          </w:p>
        </w:tc>
        <w:tc>
          <w:tcPr>
            <w:tcW w:w="1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C386E1" w14:textId="1627EBAC" w:rsidR="000770E6" w:rsidRPr="00695618" w:rsidRDefault="005B105C" w:rsidP="00647929">
            <w:pPr>
              <w:keepNext/>
              <w:spacing w:before="60" w:after="60"/>
              <w:ind w:left="0"/>
              <w:jc w:val="center"/>
              <w:rPr>
                <w:rFonts w:ascii="Calibri" w:hAnsi="Calibri"/>
                <w:color w:val="000000"/>
              </w:rPr>
            </w:pPr>
            <w:r>
              <w:rPr>
                <w:color w:val="000000"/>
              </w:rPr>
              <w:t>5,320</w:t>
            </w:r>
          </w:p>
        </w:tc>
        <w:tc>
          <w:tcPr>
            <w:tcW w:w="1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1A1CA8" w14:textId="56A23DCC" w:rsidR="000770E6" w:rsidRPr="00695618" w:rsidRDefault="005B105C" w:rsidP="00647929">
            <w:pPr>
              <w:keepNext/>
              <w:spacing w:before="60" w:after="60"/>
              <w:ind w:left="0"/>
              <w:jc w:val="center"/>
              <w:rPr>
                <w:rFonts w:ascii="Calibri" w:hAnsi="Calibri"/>
                <w:color w:val="000000"/>
              </w:rPr>
            </w:pPr>
            <w:r>
              <w:rPr>
                <w:color w:val="000000"/>
              </w:rPr>
              <w:t>155,393</w:t>
            </w:r>
          </w:p>
        </w:tc>
        <w:tc>
          <w:tcPr>
            <w:tcW w:w="1890" w:type="dxa"/>
            <w:tcBorders>
              <w:top w:val="single" w:sz="4" w:space="0" w:color="000000"/>
              <w:left w:val="single" w:sz="4" w:space="0" w:color="000000"/>
              <w:bottom w:val="single" w:sz="4" w:space="0" w:color="000000"/>
              <w:right w:val="single" w:sz="4" w:space="0" w:color="000000"/>
            </w:tcBorders>
            <w:vAlign w:val="center"/>
          </w:tcPr>
          <w:p w14:paraId="4ACA5EB4" w14:textId="2C922733" w:rsidR="000770E6" w:rsidRDefault="005B105C" w:rsidP="00647929">
            <w:pPr>
              <w:keepNext/>
              <w:spacing w:before="60" w:after="60"/>
              <w:ind w:left="0"/>
              <w:jc w:val="center"/>
              <w:rPr>
                <w:color w:val="000000"/>
              </w:rPr>
            </w:pPr>
            <w:r>
              <w:rPr>
                <w:color w:val="000000"/>
              </w:rPr>
              <w:t>41,351</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9FFB07" w14:textId="6BC6FEB3" w:rsidR="000770E6" w:rsidRPr="00695618" w:rsidRDefault="005B105C" w:rsidP="00647929">
            <w:pPr>
              <w:keepNext/>
              <w:spacing w:before="60" w:after="60"/>
              <w:ind w:left="0"/>
              <w:jc w:val="center"/>
              <w:rPr>
                <w:rFonts w:ascii="Calibri" w:hAnsi="Calibri"/>
                <w:color w:val="000000"/>
              </w:rPr>
            </w:pPr>
            <w:r>
              <w:rPr>
                <w:color w:val="000000"/>
              </w:rPr>
              <w:t>25,701</w:t>
            </w:r>
          </w:p>
        </w:tc>
        <w:tc>
          <w:tcPr>
            <w:tcW w:w="1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6E1B01" w14:textId="4641D109" w:rsidR="000770E6" w:rsidRPr="00695618" w:rsidRDefault="005B105C" w:rsidP="00647929">
            <w:pPr>
              <w:keepNext/>
              <w:spacing w:before="60" w:after="60"/>
              <w:ind w:left="0"/>
              <w:jc w:val="center"/>
              <w:rPr>
                <w:rFonts w:ascii="Calibri" w:hAnsi="Calibri"/>
                <w:color w:val="000000"/>
              </w:rPr>
            </w:pPr>
            <w:r>
              <w:rPr>
                <w:color w:val="000000"/>
              </w:rPr>
              <w:t>28,277</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0EB893" w14:textId="756CB964" w:rsidR="000770E6" w:rsidRPr="00695618" w:rsidRDefault="005B105C" w:rsidP="00647929">
            <w:pPr>
              <w:keepNext/>
              <w:spacing w:before="60" w:after="60"/>
              <w:ind w:left="0"/>
              <w:jc w:val="center"/>
              <w:rPr>
                <w:rFonts w:ascii="Calibri" w:hAnsi="Calibri"/>
                <w:color w:val="000000"/>
              </w:rPr>
            </w:pPr>
            <w:r>
              <w:rPr>
                <w:color w:val="000000"/>
              </w:rPr>
              <w:t>934,683</w:t>
            </w:r>
          </w:p>
        </w:tc>
      </w:tr>
      <w:tr w:rsidR="005B105C" w14:paraId="4C3A773D" w14:textId="77777777" w:rsidTr="00647929">
        <w:trPr>
          <w:trHeight w:val="300"/>
        </w:trPr>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20FFBE" w14:textId="2DAB40FC" w:rsidR="005B105C" w:rsidRDefault="005B105C" w:rsidP="005B105C">
            <w:pPr>
              <w:keepNext/>
              <w:spacing w:before="60" w:after="60"/>
              <w:ind w:left="0"/>
              <w:jc w:val="center"/>
              <w:rPr>
                <w:color w:val="000000"/>
              </w:rPr>
            </w:pPr>
            <w:r>
              <w:rPr>
                <w:color w:val="000000"/>
              </w:rPr>
              <w:t>2016</w:t>
            </w:r>
          </w:p>
        </w:tc>
        <w:tc>
          <w:tcPr>
            <w:tcW w:w="1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00145C" w14:textId="1DE8BC6B" w:rsidR="005B105C" w:rsidRDefault="005B105C" w:rsidP="005B105C">
            <w:pPr>
              <w:keepNext/>
              <w:spacing w:before="60" w:after="60"/>
              <w:ind w:left="0"/>
              <w:jc w:val="center"/>
              <w:rPr>
                <w:color w:val="000000"/>
              </w:rPr>
            </w:pPr>
            <w:r>
              <w:rPr>
                <w:color w:val="000000"/>
              </w:rPr>
              <w:t>661,678</w:t>
            </w:r>
          </w:p>
        </w:tc>
        <w:tc>
          <w:tcPr>
            <w:tcW w:w="1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19DC52" w14:textId="0491298B" w:rsidR="005B105C" w:rsidRDefault="005B105C" w:rsidP="005B105C">
            <w:pPr>
              <w:keepNext/>
              <w:spacing w:before="60" w:after="60"/>
              <w:ind w:left="0"/>
              <w:jc w:val="center"/>
              <w:rPr>
                <w:color w:val="000000"/>
              </w:rPr>
            </w:pPr>
            <w:r>
              <w:rPr>
                <w:color w:val="000000"/>
              </w:rPr>
              <w:t>10,843</w:t>
            </w:r>
          </w:p>
        </w:tc>
        <w:tc>
          <w:tcPr>
            <w:tcW w:w="1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2619E4" w14:textId="4FF376B6" w:rsidR="005B105C" w:rsidRDefault="005B105C" w:rsidP="005B105C">
            <w:pPr>
              <w:keepNext/>
              <w:spacing w:before="60" w:after="60"/>
              <w:ind w:left="0"/>
              <w:jc w:val="center"/>
              <w:rPr>
                <w:color w:val="000000"/>
              </w:rPr>
            </w:pPr>
            <w:r>
              <w:rPr>
                <w:color w:val="000000"/>
              </w:rPr>
              <w:t>157,231</w:t>
            </w:r>
          </w:p>
        </w:tc>
        <w:tc>
          <w:tcPr>
            <w:tcW w:w="1890" w:type="dxa"/>
            <w:tcBorders>
              <w:top w:val="single" w:sz="4" w:space="0" w:color="000000"/>
              <w:left w:val="single" w:sz="4" w:space="0" w:color="000000"/>
              <w:bottom w:val="single" w:sz="4" w:space="0" w:color="000000"/>
              <w:right w:val="single" w:sz="4" w:space="0" w:color="000000"/>
            </w:tcBorders>
            <w:vAlign w:val="center"/>
          </w:tcPr>
          <w:p w14:paraId="19BC3372" w14:textId="4A1E0D51" w:rsidR="005B105C" w:rsidRDefault="005B105C" w:rsidP="005B105C">
            <w:pPr>
              <w:keepNext/>
              <w:spacing w:before="60" w:after="60"/>
              <w:ind w:left="0"/>
              <w:jc w:val="center"/>
              <w:rPr>
                <w:color w:val="000000"/>
              </w:rPr>
            </w:pPr>
            <w:r>
              <w:rPr>
                <w:color w:val="000000"/>
              </w:rPr>
              <w:t>47,309</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0E5A4E" w14:textId="7DF1B729" w:rsidR="005B105C" w:rsidRDefault="005B105C" w:rsidP="005B105C">
            <w:pPr>
              <w:keepNext/>
              <w:spacing w:before="60" w:after="60"/>
              <w:ind w:left="0"/>
              <w:jc w:val="center"/>
              <w:rPr>
                <w:color w:val="000000"/>
              </w:rPr>
            </w:pPr>
            <w:r>
              <w:rPr>
                <w:color w:val="000000"/>
              </w:rPr>
              <w:t>27,722</w:t>
            </w:r>
          </w:p>
        </w:tc>
        <w:tc>
          <w:tcPr>
            <w:tcW w:w="1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AB3D87" w14:textId="3D0C9ED3" w:rsidR="005B105C" w:rsidRDefault="005B105C" w:rsidP="005B105C">
            <w:pPr>
              <w:keepNext/>
              <w:spacing w:before="60" w:after="60"/>
              <w:ind w:left="0"/>
              <w:jc w:val="center"/>
              <w:rPr>
                <w:color w:val="000000"/>
              </w:rPr>
            </w:pPr>
            <w:r>
              <w:rPr>
                <w:color w:val="000000"/>
              </w:rPr>
              <w:t>36,494</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6419B1" w14:textId="2835D31B" w:rsidR="005B105C" w:rsidRDefault="005B105C" w:rsidP="005B105C">
            <w:pPr>
              <w:keepNext/>
              <w:spacing w:before="60" w:after="60"/>
              <w:ind w:left="0"/>
              <w:jc w:val="center"/>
              <w:rPr>
                <w:color w:val="000000"/>
              </w:rPr>
            </w:pPr>
            <w:r>
              <w:rPr>
                <w:color w:val="000000"/>
              </w:rPr>
              <w:t>941,277</w:t>
            </w:r>
          </w:p>
        </w:tc>
      </w:tr>
      <w:tr w:rsidR="005B105C" w14:paraId="2FFDF384" w14:textId="77777777" w:rsidTr="00647929">
        <w:trPr>
          <w:trHeight w:val="300"/>
        </w:trPr>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29B5B9" w14:textId="77777777" w:rsidR="005B105C" w:rsidRPr="00695618" w:rsidRDefault="005B105C" w:rsidP="005B105C">
            <w:pPr>
              <w:spacing w:before="60" w:after="60"/>
              <w:ind w:left="0"/>
              <w:jc w:val="center"/>
              <w:rPr>
                <w:rFonts w:ascii="Calibri" w:hAnsi="Calibri"/>
                <w:color w:val="000000"/>
              </w:rPr>
            </w:pPr>
            <w:r>
              <w:rPr>
                <w:color w:val="000000"/>
              </w:rPr>
              <w:t>2015</w:t>
            </w:r>
          </w:p>
        </w:tc>
        <w:tc>
          <w:tcPr>
            <w:tcW w:w="1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2D4A62" w14:textId="77777777" w:rsidR="005B105C" w:rsidRPr="00695618" w:rsidRDefault="005B105C" w:rsidP="005B105C">
            <w:pPr>
              <w:spacing w:before="60" w:after="60"/>
              <w:ind w:left="0"/>
              <w:jc w:val="center"/>
              <w:rPr>
                <w:rFonts w:ascii="Calibri" w:hAnsi="Calibri"/>
                <w:color w:val="000000"/>
              </w:rPr>
            </w:pPr>
            <w:r>
              <w:rPr>
                <w:color w:val="000000"/>
              </w:rPr>
              <w:t>703,092</w:t>
            </w:r>
          </w:p>
        </w:tc>
        <w:tc>
          <w:tcPr>
            <w:tcW w:w="1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8B52B8" w14:textId="77777777" w:rsidR="005B105C" w:rsidRPr="00695618" w:rsidRDefault="005B105C" w:rsidP="005B105C">
            <w:pPr>
              <w:spacing w:before="60" w:after="60"/>
              <w:ind w:left="0"/>
              <w:jc w:val="center"/>
              <w:rPr>
                <w:rFonts w:ascii="Calibri" w:hAnsi="Calibri"/>
                <w:color w:val="000000"/>
              </w:rPr>
            </w:pPr>
            <w:r>
              <w:rPr>
                <w:color w:val="000000"/>
              </w:rPr>
              <w:t>10,967</w:t>
            </w:r>
          </w:p>
        </w:tc>
        <w:tc>
          <w:tcPr>
            <w:tcW w:w="1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F10A66" w14:textId="77777777" w:rsidR="005B105C" w:rsidRPr="00695618" w:rsidRDefault="005B105C" w:rsidP="005B105C">
            <w:pPr>
              <w:spacing w:before="60" w:after="60"/>
              <w:ind w:left="0"/>
              <w:jc w:val="center"/>
              <w:rPr>
                <w:rFonts w:ascii="Calibri" w:hAnsi="Calibri"/>
                <w:color w:val="000000"/>
              </w:rPr>
            </w:pPr>
            <w:r>
              <w:rPr>
                <w:color w:val="000000"/>
              </w:rPr>
              <w:t>155,426</w:t>
            </w:r>
          </w:p>
        </w:tc>
        <w:tc>
          <w:tcPr>
            <w:tcW w:w="1890" w:type="dxa"/>
            <w:tcBorders>
              <w:top w:val="single" w:sz="4" w:space="0" w:color="000000"/>
              <w:left w:val="single" w:sz="4" w:space="0" w:color="000000"/>
              <w:bottom w:val="single" w:sz="4" w:space="0" w:color="000000"/>
              <w:right w:val="single" w:sz="4" w:space="0" w:color="000000"/>
            </w:tcBorders>
            <w:vAlign w:val="center"/>
          </w:tcPr>
          <w:p w14:paraId="3028D5AE" w14:textId="77777777" w:rsidR="005B105C" w:rsidRDefault="005B105C" w:rsidP="005B105C">
            <w:pPr>
              <w:spacing w:before="60" w:after="60"/>
              <w:ind w:left="0"/>
              <w:jc w:val="center"/>
              <w:rPr>
                <w:color w:val="000000"/>
              </w:rPr>
            </w:pPr>
            <w:r>
              <w:rPr>
                <w:color w:val="000000"/>
              </w:rPr>
              <w:t>42,372</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9A39F9" w14:textId="77777777" w:rsidR="005B105C" w:rsidRPr="00695618" w:rsidRDefault="005B105C" w:rsidP="005B105C">
            <w:pPr>
              <w:spacing w:before="60" w:after="60"/>
              <w:ind w:left="0"/>
              <w:jc w:val="center"/>
              <w:rPr>
                <w:rFonts w:ascii="Calibri" w:hAnsi="Calibri"/>
                <w:color w:val="000000"/>
              </w:rPr>
            </w:pPr>
            <w:r>
              <w:rPr>
                <w:color w:val="000000"/>
              </w:rPr>
              <w:t>30,185</w:t>
            </w:r>
          </w:p>
        </w:tc>
        <w:tc>
          <w:tcPr>
            <w:tcW w:w="1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AEBD0E" w14:textId="77777777" w:rsidR="005B105C" w:rsidRPr="00695618" w:rsidRDefault="005B105C" w:rsidP="005B105C">
            <w:pPr>
              <w:spacing w:before="60" w:after="60"/>
              <w:ind w:left="0"/>
              <w:jc w:val="center"/>
              <w:rPr>
                <w:rFonts w:ascii="Calibri" w:hAnsi="Calibri"/>
                <w:color w:val="000000"/>
              </w:rPr>
            </w:pPr>
            <w:r>
              <w:rPr>
                <w:color w:val="000000"/>
              </w:rPr>
              <w:t>37,684</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979361" w14:textId="77777777" w:rsidR="005B105C" w:rsidRPr="00695618" w:rsidRDefault="005B105C" w:rsidP="005B105C">
            <w:pPr>
              <w:spacing w:before="60" w:after="60"/>
              <w:ind w:left="0"/>
              <w:jc w:val="center"/>
              <w:rPr>
                <w:rFonts w:ascii="Calibri" w:hAnsi="Calibri"/>
                <w:color w:val="000000"/>
              </w:rPr>
            </w:pPr>
            <w:r>
              <w:rPr>
                <w:color w:val="000000"/>
              </w:rPr>
              <w:t>979,726</w:t>
            </w:r>
          </w:p>
        </w:tc>
      </w:tr>
      <w:tr w:rsidR="005B105C" w14:paraId="513B6746" w14:textId="77777777" w:rsidTr="00647929">
        <w:trPr>
          <w:trHeight w:val="300"/>
        </w:trPr>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73CB6C" w14:textId="77777777" w:rsidR="005B105C" w:rsidRPr="00695618" w:rsidRDefault="005B105C" w:rsidP="005B105C">
            <w:pPr>
              <w:spacing w:before="60" w:after="60"/>
              <w:ind w:left="0"/>
              <w:jc w:val="center"/>
              <w:rPr>
                <w:rFonts w:ascii="Calibri" w:hAnsi="Calibri"/>
                <w:color w:val="000000"/>
              </w:rPr>
            </w:pPr>
            <w:r>
              <w:rPr>
                <w:color w:val="000000"/>
              </w:rPr>
              <w:t>2014</w:t>
            </w:r>
          </w:p>
        </w:tc>
        <w:tc>
          <w:tcPr>
            <w:tcW w:w="1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4FB81D" w14:textId="77777777" w:rsidR="005B105C" w:rsidRPr="00695618" w:rsidRDefault="005B105C" w:rsidP="005B105C">
            <w:pPr>
              <w:spacing w:before="60" w:after="60"/>
              <w:ind w:left="0"/>
              <w:jc w:val="center"/>
              <w:rPr>
                <w:rFonts w:ascii="Calibri" w:hAnsi="Calibri"/>
                <w:color w:val="000000"/>
              </w:rPr>
            </w:pPr>
            <w:r>
              <w:rPr>
                <w:color w:val="000000"/>
              </w:rPr>
              <w:t>629,866</w:t>
            </w:r>
          </w:p>
        </w:tc>
        <w:tc>
          <w:tcPr>
            <w:tcW w:w="1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570E1F" w14:textId="77777777" w:rsidR="005B105C" w:rsidRPr="00270435" w:rsidRDefault="005B105C" w:rsidP="005B105C">
            <w:pPr>
              <w:spacing w:before="60" w:after="60"/>
              <w:ind w:left="0"/>
              <w:jc w:val="center"/>
              <w:rPr>
                <w:rFonts w:ascii="Calibri" w:hAnsi="Calibri"/>
                <w:color w:val="000000"/>
              </w:rPr>
            </w:pPr>
            <w:r>
              <w:rPr>
                <w:color w:val="000000"/>
              </w:rPr>
              <w:t>5,813</w:t>
            </w:r>
          </w:p>
        </w:tc>
        <w:tc>
          <w:tcPr>
            <w:tcW w:w="1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C59014" w14:textId="77777777" w:rsidR="005B105C" w:rsidRPr="00695618" w:rsidRDefault="005B105C" w:rsidP="005B105C">
            <w:pPr>
              <w:spacing w:before="60" w:after="60"/>
              <w:ind w:left="0"/>
              <w:jc w:val="center"/>
              <w:rPr>
                <w:rFonts w:ascii="Calibri" w:hAnsi="Calibri"/>
                <w:color w:val="000000"/>
              </w:rPr>
            </w:pPr>
            <w:r>
              <w:rPr>
                <w:color w:val="000000"/>
              </w:rPr>
              <w:t>143,173</w:t>
            </w:r>
          </w:p>
        </w:tc>
        <w:tc>
          <w:tcPr>
            <w:tcW w:w="1890" w:type="dxa"/>
            <w:tcBorders>
              <w:top w:val="single" w:sz="4" w:space="0" w:color="000000"/>
              <w:left w:val="single" w:sz="4" w:space="0" w:color="000000"/>
              <w:bottom w:val="single" w:sz="4" w:space="0" w:color="000000"/>
              <w:right w:val="single" w:sz="4" w:space="0" w:color="000000"/>
            </w:tcBorders>
            <w:vAlign w:val="center"/>
          </w:tcPr>
          <w:p w14:paraId="7E3540C7" w14:textId="77777777" w:rsidR="005B105C" w:rsidRDefault="005B105C" w:rsidP="005B105C">
            <w:pPr>
              <w:spacing w:before="60" w:after="60"/>
              <w:ind w:left="0"/>
              <w:jc w:val="center"/>
              <w:rPr>
                <w:color w:val="000000"/>
              </w:rPr>
            </w:pPr>
            <w:r>
              <w:rPr>
                <w:color w:val="000000"/>
              </w:rPr>
              <w:t>49,924</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03199D" w14:textId="77777777" w:rsidR="005B105C" w:rsidRPr="00695618" w:rsidRDefault="005B105C" w:rsidP="005B105C">
            <w:pPr>
              <w:spacing w:before="60" w:after="60"/>
              <w:ind w:left="0"/>
              <w:jc w:val="center"/>
              <w:rPr>
                <w:rFonts w:ascii="Calibri" w:hAnsi="Calibri"/>
                <w:color w:val="000000"/>
              </w:rPr>
            </w:pPr>
            <w:r>
              <w:rPr>
                <w:color w:val="000000"/>
              </w:rPr>
              <w:t>32,494</w:t>
            </w:r>
          </w:p>
        </w:tc>
        <w:tc>
          <w:tcPr>
            <w:tcW w:w="1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FA77AB" w14:textId="77777777" w:rsidR="005B105C" w:rsidRPr="00695618" w:rsidRDefault="005B105C" w:rsidP="005B105C">
            <w:pPr>
              <w:spacing w:before="60" w:after="60"/>
              <w:ind w:left="0"/>
              <w:jc w:val="center"/>
              <w:rPr>
                <w:rFonts w:ascii="Calibri" w:hAnsi="Calibri"/>
                <w:color w:val="000000"/>
              </w:rPr>
            </w:pPr>
            <w:r>
              <w:rPr>
                <w:color w:val="000000"/>
              </w:rPr>
              <w:t>33,257</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CDE0F2" w14:textId="77777777" w:rsidR="005B105C" w:rsidRPr="00695618" w:rsidRDefault="005B105C" w:rsidP="005B105C">
            <w:pPr>
              <w:spacing w:before="60" w:after="60"/>
              <w:ind w:left="0"/>
              <w:jc w:val="center"/>
              <w:rPr>
                <w:rFonts w:ascii="Calibri" w:hAnsi="Calibri"/>
                <w:color w:val="000000"/>
              </w:rPr>
            </w:pPr>
            <w:r>
              <w:rPr>
                <w:color w:val="000000"/>
              </w:rPr>
              <w:t>894,527</w:t>
            </w:r>
          </w:p>
        </w:tc>
      </w:tr>
    </w:tbl>
    <w:p w14:paraId="6EF5CD95" w14:textId="33B6FF82" w:rsidR="000770E6" w:rsidRDefault="00805EBD" w:rsidP="00647929">
      <w:r w:rsidRPr="00CE2AD1">
        <w:t xml:space="preserve">Note: </w:t>
      </w:r>
      <w:r>
        <w:t>In 2016, 52% of claims were filed through the Web interface, 48% on the phone, and a small percentage through other methods (e.g. mass claims)</w:t>
      </w:r>
    </w:p>
    <w:p w14:paraId="66DCAF35" w14:textId="77777777" w:rsidR="000770E6" w:rsidRDefault="000770E6" w:rsidP="000770E6"/>
    <w:p w14:paraId="3B3A7B9E" w14:textId="77777777" w:rsidR="000770E6" w:rsidRPr="00F905C7" w:rsidRDefault="000770E6" w:rsidP="000770E6">
      <w:pPr>
        <w:rPr>
          <w:rFonts w:cs="Arial"/>
          <w:b/>
          <w:color w:val="1F3864" w:themeColor="accent5" w:themeShade="80"/>
        </w:rPr>
      </w:pPr>
      <w:r w:rsidRPr="00F905C7">
        <w:rPr>
          <w:rFonts w:cs="Arial"/>
          <w:b/>
          <w:color w:val="1F3864" w:themeColor="accent5" w:themeShade="80"/>
        </w:rPr>
        <w:t>UI Payment Requests</w:t>
      </w:r>
    </w:p>
    <w:tbl>
      <w:tblPr>
        <w:tblW w:w="7634" w:type="dxa"/>
        <w:tblInd w:w="821" w:type="dxa"/>
        <w:tblLayout w:type="fixed"/>
        <w:tblCellMar>
          <w:left w:w="0" w:type="dxa"/>
          <w:right w:w="0" w:type="dxa"/>
        </w:tblCellMar>
        <w:tblLook w:val="04A0" w:firstRow="1" w:lastRow="0" w:firstColumn="1" w:lastColumn="0" w:noHBand="0" w:noVBand="1"/>
        <w:tblDescription w:val="UI payment requests table"/>
      </w:tblPr>
      <w:tblGrid>
        <w:gridCol w:w="1154"/>
        <w:gridCol w:w="1620"/>
        <w:gridCol w:w="1710"/>
        <w:gridCol w:w="1620"/>
        <w:gridCol w:w="1530"/>
      </w:tblGrid>
      <w:tr w:rsidR="00F905C7" w:rsidRPr="00F905C7" w14:paraId="51617572" w14:textId="77777777" w:rsidTr="00805EBD">
        <w:trPr>
          <w:trHeight w:val="845"/>
        </w:trPr>
        <w:tc>
          <w:tcPr>
            <w:tcW w:w="115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hideMark/>
          </w:tcPr>
          <w:p w14:paraId="4DA51D70" w14:textId="77777777" w:rsidR="000770E6" w:rsidRPr="00F905C7" w:rsidRDefault="000770E6" w:rsidP="00F905C7">
            <w:pPr>
              <w:keepNext/>
              <w:spacing w:after="0"/>
              <w:ind w:left="0"/>
              <w:jc w:val="center"/>
              <w:rPr>
                <w:rFonts w:cs="Arial"/>
                <w:b/>
                <w:color w:val="1F3864" w:themeColor="accent5" w:themeShade="80"/>
              </w:rPr>
            </w:pPr>
            <w:r w:rsidRPr="00F905C7">
              <w:rPr>
                <w:rFonts w:cs="Arial"/>
                <w:b/>
                <w:color w:val="1F3864" w:themeColor="accent5" w:themeShade="80"/>
              </w:rPr>
              <w:t>Year</w:t>
            </w:r>
          </w:p>
        </w:tc>
        <w:tc>
          <w:tcPr>
            <w:tcW w:w="162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hideMark/>
          </w:tcPr>
          <w:p w14:paraId="52671EA3" w14:textId="77777777" w:rsidR="000770E6" w:rsidRPr="00F905C7" w:rsidRDefault="000770E6" w:rsidP="00F905C7">
            <w:pPr>
              <w:keepNext/>
              <w:spacing w:after="0"/>
              <w:ind w:left="0"/>
              <w:jc w:val="center"/>
              <w:rPr>
                <w:rFonts w:cs="Arial"/>
                <w:b/>
                <w:color w:val="1F3864" w:themeColor="accent5" w:themeShade="80"/>
              </w:rPr>
            </w:pPr>
            <w:r w:rsidRPr="00F905C7">
              <w:rPr>
                <w:rFonts w:cs="Arial"/>
                <w:b/>
                <w:color w:val="1F3864" w:themeColor="accent5" w:themeShade="80"/>
              </w:rPr>
              <w:t>Intrastate</w:t>
            </w:r>
          </w:p>
        </w:tc>
        <w:tc>
          <w:tcPr>
            <w:tcW w:w="171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hideMark/>
          </w:tcPr>
          <w:p w14:paraId="590F41F5" w14:textId="77777777" w:rsidR="000770E6" w:rsidRPr="00F905C7" w:rsidRDefault="000770E6" w:rsidP="00F905C7">
            <w:pPr>
              <w:keepNext/>
              <w:spacing w:after="0"/>
              <w:ind w:left="0"/>
              <w:jc w:val="center"/>
              <w:rPr>
                <w:rFonts w:cs="Arial"/>
                <w:b/>
                <w:color w:val="1F3864" w:themeColor="accent5" w:themeShade="80"/>
              </w:rPr>
            </w:pPr>
            <w:r w:rsidRPr="00F905C7">
              <w:rPr>
                <w:rFonts w:cs="Arial"/>
                <w:b/>
                <w:color w:val="1F3864" w:themeColor="accent5" w:themeShade="80"/>
              </w:rPr>
              <w:t>Workshare</w:t>
            </w:r>
          </w:p>
        </w:tc>
        <w:tc>
          <w:tcPr>
            <w:tcW w:w="162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hideMark/>
          </w:tcPr>
          <w:p w14:paraId="39623FAD" w14:textId="77777777" w:rsidR="000770E6" w:rsidRPr="00F905C7" w:rsidRDefault="000770E6" w:rsidP="00F905C7">
            <w:pPr>
              <w:keepNext/>
              <w:spacing w:after="0"/>
              <w:ind w:left="0"/>
              <w:jc w:val="center"/>
              <w:rPr>
                <w:rFonts w:cs="Arial"/>
                <w:b/>
                <w:color w:val="1F3864" w:themeColor="accent5" w:themeShade="80"/>
              </w:rPr>
            </w:pPr>
            <w:r w:rsidRPr="00F905C7">
              <w:rPr>
                <w:rFonts w:cs="Arial"/>
                <w:b/>
                <w:color w:val="1F3864" w:themeColor="accent5" w:themeShade="80"/>
              </w:rPr>
              <w:t>Interstate Liable</w:t>
            </w:r>
          </w:p>
        </w:tc>
        <w:tc>
          <w:tcPr>
            <w:tcW w:w="153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hideMark/>
          </w:tcPr>
          <w:p w14:paraId="0931AA5D" w14:textId="77777777" w:rsidR="000770E6" w:rsidRPr="00F905C7" w:rsidRDefault="000770E6" w:rsidP="00F905C7">
            <w:pPr>
              <w:keepNext/>
              <w:spacing w:after="0"/>
              <w:ind w:left="0"/>
              <w:jc w:val="center"/>
              <w:rPr>
                <w:rFonts w:cs="Arial"/>
                <w:b/>
                <w:color w:val="1F3864" w:themeColor="accent5" w:themeShade="80"/>
              </w:rPr>
            </w:pPr>
            <w:r w:rsidRPr="00F905C7">
              <w:rPr>
                <w:rFonts w:cs="Arial"/>
                <w:b/>
                <w:color w:val="1F3864" w:themeColor="accent5" w:themeShade="80"/>
              </w:rPr>
              <w:t>State Totals</w:t>
            </w:r>
          </w:p>
        </w:tc>
      </w:tr>
      <w:tr w:rsidR="000770E6" w14:paraId="19ED7D27" w14:textId="77777777" w:rsidTr="00F905C7">
        <w:trPr>
          <w:trHeight w:val="300"/>
        </w:trPr>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E37114" w14:textId="594D80F5" w:rsidR="000770E6" w:rsidRPr="00695618" w:rsidRDefault="000770E6" w:rsidP="00F905C7">
            <w:pPr>
              <w:spacing w:before="60" w:after="60"/>
              <w:ind w:left="0"/>
              <w:jc w:val="center"/>
              <w:rPr>
                <w:rFonts w:ascii="Calibri" w:hAnsi="Calibri"/>
                <w:color w:val="000000"/>
              </w:rPr>
            </w:pPr>
            <w:r>
              <w:rPr>
                <w:color w:val="000000"/>
              </w:rPr>
              <w:t>201</w:t>
            </w:r>
            <w:r w:rsidR="005B105C">
              <w:rPr>
                <w:color w:val="000000"/>
              </w:rPr>
              <w:t>7</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75DDDE" w14:textId="0FD1114C" w:rsidR="000770E6" w:rsidRPr="00695618" w:rsidRDefault="005B105C" w:rsidP="00F905C7">
            <w:pPr>
              <w:spacing w:before="60" w:after="60"/>
              <w:ind w:left="0"/>
              <w:jc w:val="center"/>
              <w:rPr>
                <w:rFonts w:ascii="Calibri" w:hAnsi="Calibri"/>
                <w:color w:val="000000"/>
              </w:rPr>
            </w:pPr>
            <w:r>
              <w:rPr>
                <w:color w:val="000000"/>
              </w:rPr>
              <w:t>7,289,371</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CD39B4" w14:textId="2ADCE9A6" w:rsidR="000770E6" w:rsidRPr="00695618" w:rsidRDefault="005B105C" w:rsidP="00F905C7">
            <w:pPr>
              <w:spacing w:before="60" w:after="60"/>
              <w:ind w:left="0"/>
              <w:jc w:val="center"/>
              <w:rPr>
                <w:rFonts w:ascii="Calibri" w:hAnsi="Calibri"/>
                <w:color w:val="000000"/>
              </w:rPr>
            </w:pPr>
            <w:r>
              <w:rPr>
                <w:color w:val="000000"/>
              </w:rPr>
              <w:t>52,299</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2BA719" w14:textId="5DAA1697" w:rsidR="000770E6" w:rsidRPr="00695618" w:rsidRDefault="005B105C" w:rsidP="00F905C7">
            <w:pPr>
              <w:spacing w:before="60" w:after="60"/>
              <w:ind w:left="0"/>
              <w:jc w:val="center"/>
              <w:rPr>
                <w:rFonts w:ascii="Calibri" w:hAnsi="Calibri"/>
                <w:color w:val="000000"/>
              </w:rPr>
            </w:pPr>
            <w:r>
              <w:rPr>
                <w:color w:val="000000"/>
              </w:rPr>
              <w:t>333,399</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B65BD3" w14:textId="1A225E3B" w:rsidR="000770E6" w:rsidRPr="00695618" w:rsidRDefault="005B105C" w:rsidP="00F905C7">
            <w:pPr>
              <w:spacing w:before="60" w:after="60"/>
              <w:ind w:left="0"/>
              <w:jc w:val="center"/>
              <w:rPr>
                <w:rFonts w:ascii="Calibri" w:hAnsi="Calibri"/>
                <w:color w:val="000000"/>
              </w:rPr>
            </w:pPr>
            <w:r>
              <w:rPr>
                <w:color w:val="000000"/>
              </w:rPr>
              <w:t>8,020,130</w:t>
            </w:r>
          </w:p>
        </w:tc>
      </w:tr>
      <w:tr w:rsidR="005B105C" w14:paraId="4F9EEA85" w14:textId="77777777" w:rsidTr="00F905C7">
        <w:trPr>
          <w:trHeight w:val="300"/>
        </w:trPr>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E510C8" w14:textId="01CF8BDA" w:rsidR="005B105C" w:rsidRDefault="005B105C" w:rsidP="005B105C">
            <w:pPr>
              <w:spacing w:before="60" w:after="60"/>
              <w:ind w:left="0"/>
              <w:jc w:val="center"/>
              <w:rPr>
                <w:color w:val="000000"/>
              </w:rPr>
            </w:pPr>
            <w:r>
              <w:rPr>
                <w:color w:val="000000"/>
              </w:rPr>
              <w:t>2016</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C176AA" w14:textId="1234D62E" w:rsidR="005B105C" w:rsidRDefault="005B105C" w:rsidP="005B105C">
            <w:pPr>
              <w:spacing w:before="60" w:after="60"/>
              <w:ind w:left="0"/>
              <w:jc w:val="center"/>
              <w:rPr>
                <w:color w:val="000000"/>
              </w:rPr>
            </w:pPr>
            <w:r>
              <w:rPr>
                <w:color w:val="000000"/>
              </w:rPr>
              <w:t>8,601,924</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F21F77" w14:textId="10096E18" w:rsidR="005B105C" w:rsidRDefault="005B105C" w:rsidP="005B105C">
            <w:pPr>
              <w:spacing w:before="60" w:after="60"/>
              <w:ind w:left="0"/>
              <w:jc w:val="center"/>
              <w:rPr>
                <w:color w:val="000000"/>
              </w:rPr>
            </w:pPr>
            <w:r>
              <w:rPr>
                <w:color w:val="000000"/>
              </w:rPr>
              <w:t>111,539</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ADEB8D" w14:textId="54D14EDB" w:rsidR="005B105C" w:rsidRDefault="005B105C" w:rsidP="005B105C">
            <w:pPr>
              <w:spacing w:before="60" w:after="60"/>
              <w:ind w:left="0"/>
              <w:jc w:val="center"/>
              <w:rPr>
                <w:color w:val="000000"/>
              </w:rPr>
            </w:pPr>
            <w:r>
              <w:rPr>
                <w:color w:val="000000"/>
              </w:rPr>
              <w:t>466,323</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325976" w14:textId="7CCB13FA" w:rsidR="005B105C" w:rsidRDefault="005B105C" w:rsidP="005B105C">
            <w:pPr>
              <w:spacing w:before="60" w:after="60"/>
              <w:ind w:left="0"/>
              <w:jc w:val="center"/>
              <w:rPr>
                <w:color w:val="000000"/>
              </w:rPr>
            </w:pPr>
            <w:r>
              <w:rPr>
                <w:color w:val="000000"/>
              </w:rPr>
              <w:t>9,179,786</w:t>
            </w:r>
          </w:p>
        </w:tc>
      </w:tr>
      <w:tr w:rsidR="005B105C" w14:paraId="25620E3D" w14:textId="77777777" w:rsidTr="00F905C7">
        <w:trPr>
          <w:trHeight w:val="300"/>
        </w:trPr>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E7104B" w14:textId="77777777" w:rsidR="005B105C" w:rsidRPr="001B60F6" w:rsidRDefault="005B105C" w:rsidP="005B105C">
            <w:pPr>
              <w:spacing w:before="60" w:after="60"/>
              <w:ind w:left="0"/>
              <w:jc w:val="center"/>
              <w:rPr>
                <w:color w:val="000000"/>
              </w:rPr>
            </w:pPr>
            <w:r>
              <w:rPr>
                <w:color w:val="000000"/>
              </w:rPr>
              <w:lastRenderedPageBreak/>
              <w:t>2015</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68DFE5" w14:textId="77777777" w:rsidR="005B105C" w:rsidRPr="001B60F6" w:rsidRDefault="005B105C" w:rsidP="005B105C">
            <w:pPr>
              <w:spacing w:before="60" w:after="60"/>
              <w:ind w:left="0"/>
              <w:jc w:val="center"/>
              <w:rPr>
                <w:color w:val="000000"/>
              </w:rPr>
            </w:pPr>
            <w:r>
              <w:rPr>
                <w:color w:val="000000"/>
              </w:rPr>
              <w:t>8,091,324</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621515" w14:textId="77777777" w:rsidR="005B105C" w:rsidRPr="001B60F6" w:rsidRDefault="005B105C" w:rsidP="005B105C">
            <w:pPr>
              <w:spacing w:before="60" w:after="60"/>
              <w:ind w:left="0"/>
              <w:jc w:val="center"/>
              <w:rPr>
                <w:color w:val="000000"/>
              </w:rPr>
            </w:pPr>
            <w:r>
              <w:rPr>
                <w:color w:val="000000"/>
              </w:rPr>
              <w:t>87,489</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CF85A5" w14:textId="77777777" w:rsidR="005B105C" w:rsidRPr="001B60F6" w:rsidRDefault="005B105C" w:rsidP="005B105C">
            <w:pPr>
              <w:spacing w:before="60" w:after="60"/>
              <w:ind w:left="0"/>
              <w:jc w:val="center"/>
              <w:rPr>
                <w:color w:val="000000"/>
              </w:rPr>
            </w:pPr>
            <w:r>
              <w:rPr>
                <w:color w:val="000000"/>
              </w:rPr>
              <w:t>454,998</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46DB90" w14:textId="77777777" w:rsidR="005B105C" w:rsidRPr="001B60F6" w:rsidRDefault="005B105C" w:rsidP="005B105C">
            <w:pPr>
              <w:spacing w:before="60" w:after="60"/>
              <w:ind w:left="0"/>
              <w:jc w:val="center"/>
              <w:rPr>
                <w:color w:val="000000"/>
              </w:rPr>
            </w:pPr>
            <w:r>
              <w:rPr>
                <w:color w:val="000000"/>
              </w:rPr>
              <w:t>8,633,811</w:t>
            </w:r>
          </w:p>
        </w:tc>
      </w:tr>
      <w:tr w:rsidR="005B105C" w14:paraId="27D29446" w14:textId="77777777" w:rsidTr="00F905C7">
        <w:trPr>
          <w:trHeight w:val="300"/>
        </w:trPr>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C8F55B" w14:textId="77777777" w:rsidR="005B105C" w:rsidRPr="001B60F6" w:rsidRDefault="005B105C" w:rsidP="005B105C">
            <w:pPr>
              <w:spacing w:before="60" w:after="60"/>
              <w:ind w:left="0"/>
              <w:jc w:val="center"/>
              <w:rPr>
                <w:color w:val="000000"/>
              </w:rPr>
            </w:pPr>
            <w:r>
              <w:rPr>
                <w:color w:val="000000"/>
              </w:rPr>
              <w:t>2014</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796A90" w14:textId="77777777" w:rsidR="005B105C" w:rsidRPr="001B60F6" w:rsidRDefault="005B105C" w:rsidP="005B105C">
            <w:pPr>
              <w:spacing w:before="60" w:after="60"/>
              <w:ind w:left="0"/>
              <w:jc w:val="center"/>
              <w:rPr>
                <w:color w:val="000000"/>
              </w:rPr>
            </w:pPr>
            <w:r>
              <w:rPr>
                <w:color w:val="000000"/>
              </w:rPr>
              <w:t>7,231,337</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FA1399" w14:textId="77777777" w:rsidR="005B105C" w:rsidRPr="001B60F6" w:rsidRDefault="005B105C" w:rsidP="005B105C">
            <w:pPr>
              <w:spacing w:before="60" w:after="60"/>
              <w:ind w:left="0"/>
              <w:jc w:val="center"/>
              <w:rPr>
                <w:color w:val="000000"/>
              </w:rPr>
            </w:pPr>
            <w:r>
              <w:rPr>
                <w:color w:val="000000"/>
              </w:rPr>
              <w:t>47,894</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CE7CAB" w14:textId="77777777" w:rsidR="005B105C" w:rsidRPr="001B60F6" w:rsidRDefault="005B105C" w:rsidP="005B105C">
            <w:pPr>
              <w:spacing w:before="60" w:after="60"/>
              <w:ind w:left="0"/>
              <w:jc w:val="center"/>
              <w:rPr>
                <w:color w:val="000000"/>
              </w:rPr>
            </w:pPr>
            <w:r>
              <w:rPr>
                <w:color w:val="000000"/>
              </w:rPr>
              <w:t>383,777</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918CC7" w14:textId="77777777" w:rsidR="005B105C" w:rsidRPr="001B60F6" w:rsidRDefault="005B105C" w:rsidP="005B105C">
            <w:pPr>
              <w:spacing w:before="60" w:after="60"/>
              <w:ind w:left="0"/>
              <w:jc w:val="center"/>
              <w:rPr>
                <w:color w:val="000000"/>
              </w:rPr>
            </w:pPr>
            <w:r>
              <w:rPr>
                <w:color w:val="000000"/>
              </w:rPr>
              <w:t>7,663,008</w:t>
            </w:r>
          </w:p>
        </w:tc>
      </w:tr>
    </w:tbl>
    <w:p w14:paraId="548EFD12" w14:textId="7F5B5822" w:rsidR="000770E6" w:rsidRDefault="000770E6" w:rsidP="00F905C7">
      <w:r w:rsidRPr="00CE2AD1">
        <w:t xml:space="preserve">Note: </w:t>
      </w:r>
      <w:r>
        <w:t xml:space="preserve">In 2016, 64% of payment requests were received through the Web interface, 35% through the </w:t>
      </w:r>
      <w:r>
        <w:br/>
        <w:t>IVR system, and 1% on paper.</w:t>
      </w:r>
    </w:p>
    <w:p w14:paraId="0C8F8BDC" w14:textId="77777777" w:rsidR="000770E6" w:rsidRDefault="000770E6" w:rsidP="000770E6"/>
    <w:p w14:paraId="79F5351C" w14:textId="77777777" w:rsidR="000770E6" w:rsidRPr="006E422C" w:rsidRDefault="000770E6" w:rsidP="000770E6">
      <w:pPr>
        <w:keepNext/>
        <w:rPr>
          <w:rFonts w:cs="Arial"/>
          <w:b/>
          <w:color w:val="1F3864" w:themeColor="accent5" w:themeShade="80"/>
        </w:rPr>
      </w:pPr>
      <w:r w:rsidRPr="006E422C">
        <w:rPr>
          <w:rFonts w:cs="Arial"/>
          <w:b/>
          <w:color w:val="1F3864" w:themeColor="accent5" w:themeShade="80"/>
        </w:rPr>
        <w:t>UI Payments</w:t>
      </w:r>
    </w:p>
    <w:tbl>
      <w:tblPr>
        <w:tblW w:w="13304" w:type="dxa"/>
        <w:tblInd w:w="821" w:type="dxa"/>
        <w:tblLayout w:type="fixed"/>
        <w:tblCellMar>
          <w:left w:w="0" w:type="dxa"/>
          <w:right w:w="0" w:type="dxa"/>
        </w:tblCellMar>
        <w:tblLook w:val="04A0" w:firstRow="1" w:lastRow="0" w:firstColumn="1" w:lastColumn="0" w:noHBand="0" w:noVBand="1"/>
        <w:tblDescription w:val="UI payments table"/>
      </w:tblPr>
      <w:tblGrid>
        <w:gridCol w:w="1154"/>
        <w:gridCol w:w="2160"/>
        <w:gridCol w:w="2430"/>
        <w:gridCol w:w="1980"/>
        <w:gridCol w:w="1710"/>
        <w:gridCol w:w="1890"/>
        <w:gridCol w:w="1980"/>
      </w:tblGrid>
      <w:tr w:rsidR="006E422C" w:rsidRPr="006E422C" w14:paraId="2B727BB0" w14:textId="77777777" w:rsidTr="00805EBD">
        <w:trPr>
          <w:trHeight w:val="1164"/>
          <w:tblHeader/>
        </w:trPr>
        <w:tc>
          <w:tcPr>
            <w:tcW w:w="115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hideMark/>
          </w:tcPr>
          <w:p w14:paraId="4F036A3B" w14:textId="77777777" w:rsidR="000770E6" w:rsidRPr="006E422C" w:rsidRDefault="000770E6" w:rsidP="006E422C">
            <w:pPr>
              <w:keepNext/>
              <w:spacing w:after="0"/>
              <w:ind w:left="0"/>
              <w:jc w:val="center"/>
              <w:rPr>
                <w:rFonts w:cs="Arial"/>
                <w:b/>
                <w:color w:val="1F3864" w:themeColor="accent5" w:themeShade="80"/>
              </w:rPr>
            </w:pPr>
            <w:r w:rsidRPr="006E422C">
              <w:rPr>
                <w:rFonts w:cs="Arial"/>
                <w:b/>
                <w:color w:val="1F3864" w:themeColor="accent5" w:themeShade="80"/>
              </w:rPr>
              <w:t>Year</w:t>
            </w:r>
          </w:p>
        </w:tc>
        <w:tc>
          <w:tcPr>
            <w:tcW w:w="216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hideMark/>
          </w:tcPr>
          <w:p w14:paraId="510F4B66" w14:textId="77777777" w:rsidR="000770E6" w:rsidRPr="006E422C" w:rsidRDefault="000770E6" w:rsidP="006E422C">
            <w:pPr>
              <w:keepNext/>
              <w:spacing w:after="0"/>
              <w:ind w:left="0"/>
              <w:jc w:val="center"/>
              <w:rPr>
                <w:rFonts w:cs="Arial"/>
                <w:b/>
                <w:color w:val="1F3864" w:themeColor="accent5" w:themeShade="80"/>
              </w:rPr>
            </w:pPr>
            <w:r w:rsidRPr="006E422C">
              <w:rPr>
                <w:rFonts w:cs="Arial"/>
                <w:b/>
                <w:color w:val="1F3864" w:themeColor="accent5" w:themeShade="80"/>
              </w:rPr>
              <w:t>Weeks Compensated</w:t>
            </w:r>
          </w:p>
        </w:tc>
        <w:tc>
          <w:tcPr>
            <w:tcW w:w="243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hideMark/>
          </w:tcPr>
          <w:p w14:paraId="52CC6C75" w14:textId="77777777" w:rsidR="000770E6" w:rsidRPr="006E422C" w:rsidRDefault="000770E6" w:rsidP="006E422C">
            <w:pPr>
              <w:keepNext/>
              <w:spacing w:after="0"/>
              <w:ind w:left="0"/>
              <w:jc w:val="center"/>
              <w:rPr>
                <w:rFonts w:cs="Arial"/>
                <w:b/>
                <w:color w:val="1F3864" w:themeColor="accent5" w:themeShade="80"/>
              </w:rPr>
            </w:pPr>
            <w:r w:rsidRPr="006E422C">
              <w:rPr>
                <w:rFonts w:cs="Arial"/>
                <w:b/>
                <w:color w:val="1F3864" w:themeColor="accent5" w:themeShade="80"/>
              </w:rPr>
              <w:t>State UI Payments</w:t>
            </w:r>
          </w:p>
        </w:tc>
        <w:tc>
          <w:tcPr>
            <w:tcW w:w="198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hideMark/>
          </w:tcPr>
          <w:p w14:paraId="0769ADA2" w14:textId="77777777" w:rsidR="000770E6" w:rsidRPr="006E422C" w:rsidRDefault="000770E6" w:rsidP="006E422C">
            <w:pPr>
              <w:keepNext/>
              <w:spacing w:after="0"/>
              <w:ind w:left="0"/>
              <w:jc w:val="center"/>
              <w:rPr>
                <w:rFonts w:cs="Arial"/>
                <w:b/>
                <w:color w:val="1F3864" w:themeColor="accent5" w:themeShade="80"/>
              </w:rPr>
            </w:pPr>
            <w:r w:rsidRPr="006E422C">
              <w:rPr>
                <w:rFonts w:cs="Arial"/>
                <w:b/>
                <w:color w:val="1F3864" w:themeColor="accent5" w:themeShade="80"/>
              </w:rPr>
              <w:t>First Payments</w:t>
            </w:r>
          </w:p>
        </w:tc>
        <w:tc>
          <w:tcPr>
            <w:tcW w:w="171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C36CD41" w14:textId="77777777" w:rsidR="000770E6" w:rsidRPr="006E422C" w:rsidRDefault="000770E6" w:rsidP="006E422C">
            <w:pPr>
              <w:keepNext/>
              <w:spacing w:after="0"/>
              <w:ind w:left="0"/>
              <w:jc w:val="center"/>
              <w:rPr>
                <w:rFonts w:cs="Arial"/>
                <w:b/>
                <w:color w:val="1F3864" w:themeColor="accent5" w:themeShade="80"/>
              </w:rPr>
            </w:pPr>
            <w:r w:rsidRPr="006E422C">
              <w:rPr>
                <w:rFonts w:cs="Arial"/>
                <w:b/>
                <w:color w:val="1F3864" w:themeColor="accent5" w:themeShade="80"/>
              </w:rPr>
              <w:t>Final Payments</w:t>
            </w:r>
          </w:p>
        </w:tc>
        <w:tc>
          <w:tcPr>
            <w:tcW w:w="189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hideMark/>
          </w:tcPr>
          <w:p w14:paraId="5D6D39A9" w14:textId="77777777" w:rsidR="000770E6" w:rsidRPr="006E422C" w:rsidRDefault="000770E6" w:rsidP="006E422C">
            <w:pPr>
              <w:keepNext/>
              <w:spacing w:after="0"/>
              <w:ind w:left="0"/>
              <w:jc w:val="center"/>
              <w:rPr>
                <w:rFonts w:cs="Arial"/>
                <w:b/>
                <w:color w:val="1F3864" w:themeColor="accent5" w:themeShade="80"/>
              </w:rPr>
            </w:pPr>
            <w:r w:rsidRPr="006E422C">
              <w:rPr>
                <w:rFonts w:cs="Arial"/>
                <w:b/>
                <w:color w:val="1F3864" w:themeColor="accent5" w:themeShade="80"/>
              </w:rPr>
              <w:t>Average Weekly Payment</w:t>
            </w:r>
          </w:p>
        </w:tc>
        <w:tc>
          <w:tcPr>
            <w:tcW w:w="198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hideMark/>
          </w:tcPr>
          <w:p w14:paraId="4249FCC2" w14:textId="77777777" w:rsidR="000770E6" w:rsidRPr="006E422C" w:rsidRDefault="000770E6" w:rsidP="006E422C">
            <w:pPr>
              <w:keepNext/>
              <w:spacing w:after="0"/>
              <w:ind w:left="0"/>
              <w:jc w:val="center"/>
              <w:rPr>
                <w:rFonts w:cs="Arial"/>
                <w:b/>
                <w:color w:val="1F3864" w:themeColor="accent5" w:themeShade="80"/>
              </w:rPr>
            </w:pPr>
            <w:r w:rsidRPr="006E422C">
              <w:rPr>
                <w:rFonts w:cs="Arial"/>
                <w:b/>
                <w:color w:val="1F3864" w:themeColor="accent5" w:themeShade="80"/>
              </w:rPr>
              <w:t>Average Actual Duration (Weeks)</w:t>
            </w:r>
          </w:p>
        </w:tc>
      </w:tr>
      <w:tr w:rsidR="000770E6" w14:paraId="420A2C45" w14:textId="77777777" w:rsidTr="0014786D">
        <w:trPr>
          <w:trHeight w:val="300"/>
        </w:trPr>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FFE747" w14:textId="1350FF58" w:rsidR="000770E6" w:rsidRPr="00695618" w:rsidRDefault="000770E6" w:rsidP="006E422C">
            <w:pPr>
              <w:keepNext/>
              <w:spacing w:before="60" w:after="60"/>
              <w:ind w:left="0"/>
              <w:jc w:val="center"/>
              <w:rPr>
                <w:rFonts w:ascii="Calibri" w:hAnsi="Calibri"/>
                <w:color w:val="000000"/>
              </w:rPr>
            </w:pPr>
            <w:r>
              <w:rPr>
                <w:color w:val="000000"/>
              </w:rPr>
              <w:t>201</w:t>
            </w:r>
            <w:r w:rsidR="005B105C">
              <w:rPr>
                <w:color w:val="000000"/>
              </w:rPr>
              <w:t>7</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586E8D" w14:textId="38C645AC" w:rsidR="000770E6" w:rsidRPr="00695618" w:rsidRDefault="005B105C" w:rsidP="006E422C">
            <w:pPr>
              <w:keepNext/>
              <w:spacing w:before="60" w:after="60"/>
              <w:ind w:left="0"/>
              <w:jc w:val="center"/>
              <w:rPr>
                <w:rFonts w:ascii="Calibri" w:hAnsi="Calibri"/>
                <w:color w:val="000000"/>
              </w:rPr>
            </w:pPr>
            <w:r>
              <w:rPr>
                <w:color w:val="000000"/>
              </w:rPr>
              <w:t>6,552,732</w:t>
            </w: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95F64F" w14:textId="2AD34A66" w:rsidR="000770E6" w:rsidRPr="00695618" w:rsidRDefault="000770E6" w:rsidP="006E422C">
            <w:pPr>
              <w:keepNext/>
              <w:spacing w:before="60" w:after="60"/>
              <w:ind w:left="0"/>
              <w:jc w:val="center"/>
              <w:rPr>
                <w:rFonts w:ascii="Calibri" w:hAnsi="Calibri"/>
                <w:color w:val="000000"/>
              </w:rPr>
            </w:pPr>
            <w:r>
              <w:rPr>
                <w:color w:val="000000"/>
              </w:rPr>
              <w:t>$</w:t>
            </w:r>
            <w:r w:rsidR="005B105C">
              <w:rPr>
                <w:color w:val="000000"/>
              </w:rPr>
              <w:t>2</w:t>
            </w:r>
            <w:r>
              <w:rPr>
                <w:color w:val="000000"/>
              </w:rPr>
              <w:t>,</w:t>
            </w:r>
            <w:r w:rsidR="005B105C">
              <w:rPr>
                <w:color w:val="000000"/>
              </w:rPr>
              <w:t>513</w:t>
            </w:r>
            <w:r>
              <w:rPr>
                <w:color w:val="000000"/>
              </w:rPr>
              <w:t>,</w:t>
            </w:r>
            <w:r w:rsidR="005B105C">
              <w:rPr>
                <w:color w:val="000000"/>
              </w:rPr>
              <w:t>878</w:t>
            </w:r>
            <w:r>
              <w:rPr>
                <w:color w:val="000000"/>
              </w:rPr>
              <w:t>,</w:t>
            </w:r>
            <w:r w:rsidR="005B105C">
              <w:rPr>
                <w:color w:val="000000"/>
              </w:rPr>
              <w:t>63</w:t>
            </w:r>
            <w:r>
              <w:rPr>
                <w:color w:val="000000"/>
              </w:rPr>
              <w:t>7</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16FB6F" w14:textId="5553C1EA" w:rsidR="000770E6" w:rsidRPr="00695618" w:rsidRDefault="005B105C" w:rsidP="006E422C">
            <w:pPr>
              <w:keepNext/>
              <w:spacing w:before="60" w:after="60"/>
              <w:ind w:left="0"/>
              <w:jc w:val="center"/>
              <w:rPr>
                <w:rFonts w:ascii="Calibri" w:hAnsi="Calibri"/>
                <w:color w:val="000000"/>
              </w:rPr>
            </w:pPr>
            <w:r>
              <w:rPr>
                <w:color w:val="000000"/>
              </w:rPr>
              <w:t>431,975</w:t>
            </w:r>
          </w:p>
        </w:tc>
        <w:tc>
          <w:tcPr>
            <w:tcW w:w="1710" w:type="dxa"/>
            <w:tcBorders>
              <w:top w:val="single" w:sz="4" w:space="0" w:color="000000"/>
              <w:left w:val="single" w:sz="4" w:space="0" w:color="000000"/>
              <w:bottom w:val="single" w:sz="4" w:space="0" w:color="000000"/>
              <w:right w:val="single" w:sz="4" w:space="0" w:color="000000"/>
            </w:tcBorders>
            <w:vAlign w:val="center"/>
          </w:tcPr>
          <w:p w14:paraId="38B896C9" w14:textId="0BECF83D" w:rsidR="000770E6" w:rsidRDefault="005B105C" w:rsidP="006E422C">
            <w:pPr>
              <w:keepNext/>
              <w:spacing w:before="60" w:after="60"/>
              <w:ind w:left="0"/>
              <w:jc w:val="center"/>
              <w:rPr>
                <w:color w:val="000000"/>
              </w:rPr>
            </w:pPr>
            <w:r>
              <w:rPr>
                <w:color w:val="000000"/>
              </w:rPr>
              <w:t>186,660</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7D5F1C" w14:textId="3D6DF03D" w:rsidR="000770E6" w:rsidRPr="00695618" w:rsidRDefault="000770E6" w:rsidP="006E422C">
            <w:pPr>
              <w:keepNext/>
              <w:spacing w:before="60" w:after="60"/>
              <w:ind w:left="0"/>
              <w:jc w:val="center"/>
              <w:rPr>
                <w:rFonts w:ascii="Calibri" w:hAnsi="Calibri"/>
                <w:color w:val="000000"/>
              </w:rPr>
            </w:pPr>
            <w:r>
              <w:rPr>
                <w:color w:val="000000"/>
              </w:rPr>
              <w:t>$38</w:t>
            </w:r>
            <w:r w:rsidR="005B105C">
              <w:rPr>
                <w:color w:val="000000"/>
              </w:rPr>
              <w:t>3</w:t>
            </w:r>
            <w:r>
              <w:rPr>
                <w:color w:val="000000"/>
              </w:rPr>
              <w:t>.</w:t>
            </w:r>
            <w:r w:rsidR="005B105C">
              <w:rPr>
                <w:color w:val="000000"/>
              </w:rPr>
              <w:t>6</w:t>
            </w:r>
            <w:r>
              <w:rPr>
                <w:color w:val="000000"/>
              </w:rPr>
              <w:t>4</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B67098" w14:textId="31110DAC" w:rsidR="000770E6" w:rsidRPr="00695618" w:rsidRDefault="000770E6" w:rsidP="006E422C">
            <w:pPr>
              <w:keepNext/>
              <w:spacing w:before="60" w:after="60"/>
              <w:ind w:left="0"/>
              <w:jc w:val="center"/>
              <w:rPr>
                <w:rFonts w:ascii="Calibri" w:hAnsi="Calibri"/>
                <w:color w:val="000000"/>
              </w:rPr>
            </w:pPr>
            <w:r>
              <w:rPr>
                <w:color w:val="000000"/>
              </w:rPr>
              <w:t>1</w:t>
            </w:r>
            <w:r w:rsidR="005B105C">
              <w:rPr>
                <w:color w:val="000000"/>
              </w:rPr>
              <w:t>5</w:t>
            </w:r>
            <w:r>
              <w:rPr>
                <w:color w:val="000000"/>
              </w:rPr>
              <w:t>.</w:t>
            </w:r>
            <w:r w:rsidR="005B105C">
              <w:rPr>
                <w:color w:val="000000"/>
              </w:rPr>
              <w:t>17</w:t>
            </w:r>
          </w:p>
        </w:tc>
      </w:tr>
      <w:tr w:rsidR="005B105C" w14:paraId="09130EFE" w14:textId="77777777" w:rsidTr="0014786D">
        <w:trPr>
          <w:trHeight w:val="300"/>
        </w:trPr>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A2E545" w14:textId="7FC3F566" w:rsidR="005B105C" w:rsidRDefault="005B105C" w:rsidP="005B105C">
            <w:pPr>
              <w:keepNext/>
              <w:spacing w:before="60" w:after="60"/>
              <w:ind w:left="0"/>
              <w:jc w:val="center"/>
              <w:rPr>
                <w:color w:val="000000"/>
              </w:rPr>
            </w:pPr>
            <w:r>
              <w:rPr>
                <w:color w:val="000000"/>
              </w:rPr>
              <w:t>2016</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42523E" w14:textId="1BAA34FB" w:rsidR="005B105C" w:rsidRDefault="005B105C" w:rsidP="005B105C">
            <w:pPr>
              <w:keepNext/>
              <w:spacing w:before="60" w:after="60"/>
              <w:ind w:left="0"/>
              <w:jc w:val="center"/>
              <w:rPr>
                <w:color w:val="000000"/>
              </w:rPr>
            </w:pPr>
            <w:r>
              <w:rPr>
                <w:color w:val="000000"/>
              </w:rPr>
              <w:t>7,847,514</w:t>
            </w: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5A0DFB" w14:textId="6BBF3C73" w:rsidR="005B105C" w:rsidRDefault="005B105C" w:rsidP="005B105C">
            <w:pPr>
              <w:keepNext/>
              <w:spacing w:before="60" w:after="60"/>
              <w:ind w:left="0"/>
              <w:jc w:val="center"/>
              <w:rPr>
                <w:color w:val="000000"/>
              </w:rPr>
            </w:pPr>
            <w:r>
              <w:rPr>
                <w:color w:val="000000"/>
              </w:rPr>
              <w:t>$3,056,483,117</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D740F6" w14:textId="227EFB9E" w:rsidR="005B105C" w:rsidRDefault="005B105C" w:rsidP="005B105C">
            <w:pPr>
              <w:keepNext/>
              <w:spacing w:before="60" w:after="60"/>
              <w:ind w:left="0"/>
              <w:jc w:val="center"/>
              <w:rPr>
                <w:color w:val="000000"/>
              </w:rPr>
            </w:pPr>
            <w:r>
              <w:rPr>
                <w:color w:val="000000"/>
              </w:rPr>
              <w:t>470,065</w:t>
            </w:r>
          </w:p>
        </w:tc>
        <w:tc>
          <w:tcPr>
            <w:tcW w:w="1710" w:type="dxa"/>
            <w:tcBorders>
              <w:top w:val="single" w:sz="4" w:space="0" w:color="000000"/>
              <w:left w:val="single" w:sz="4" w:space="0" w:color="000000"/>
              <w:bottom w:val="single" w:sz="4" w:space="0" w:color="000000"/>
              <w:right w:val="single" w:sz="4" w:space="0" w:color="000000"/>
            </w:tcBorders>
            <w:vAlign w:val="center"/>
          </w:tcPr>
          <w:p w14:paraId="67E3CA9F" w14:textId="7C87AF57" w:rsidR="005B105C" w:rsidRDefault="005B105C" w:rsidP="005B105C">
            <w:pPr>
              <w:keepNext/>
              <w:spacing w:before="60" w:after="60"/>
              <w:ind w:left="0"/>
              <w:jc w:val="center"/>
              <w:rPr>
                <w:color w:val="000000"/>
              </w:rPr>
            </w:pPr>
            <w:r>
              <w:rPr>
                <w:color w:val="000000"/>
              </w:rPr>
              <w:t>227,137</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E12AE0" w14:textId="7C5E9FBA" w:rsidR="005B105C" w:rsidRDefault="005B105C" w:rsidP="005B105C">
            <w:pPr>
              <w:keepNext/>
              <w:spacing w:before="60" w:after="60"/>
              <w:ind w:left="0"/>
              <w:jc w:val="center"/>
              <w:rPr>
                <w:color w:val="000000"/>
              </w:rPr>
            </w:pPr>
            <w:r>
              <w:rPr>
                <w:color w:val="000000"/>
              </w:rPr>
              <w:t>$389.48</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36A98A" w14:textId="55229DFA" w:rsidR="005B105C" w:rsidRDefault="005B105C" w:rsidP="005B105C">
            <w:pPr>
              <w:keepNext/>
              <w:spacing w:before="60" w:after="60"/>
              <w:ind w:left="0"/>
              <w:jc w:val="center"/>
              <w:rPr>
                <w:color w:val="000000"/>
              </w:rPr>
            </w:pPr>
            <w:r>
              <w:rPr>
                <w:color w:val="000000"/>
              </w:rPr>
              <w:t>16.69</w:t>
            </w:r>
          </w:p>
        </w:tc>
      </w:tr>
      <w:tr w:rsidR="005B105C" w14:paraId="6FF6A81F" w14:textId="77777777" w:rsidTr="0014786D">
        <w:trPr>
          <w:trHeight w:val="300"/>
        </w:trPr>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511D9F" w14:textId="77777777" w:rsidR="005B105C" w:rsidRPr="00695618" w:rsidRDefault="005B105C" w:rsidP="005B105C">
            <w:pPr>
              <w:spacing w:before="60" w:after="60"/>
              <w:ind w:left="0"/>
              <w:jc w:val="center"/>
              <w:rPr>
                <w:rFonts w:ascii="Calibri" w:hAnsi="Calibri"/>
                <w:color w:val="000000"/>
              </w:rPr>
            </w:pPr>
            <w:r>
              <w:rPr>
                <w:color w:val="000000"/>
              </w:rPr>
              <w:t>2015</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EA2C57" w14:textId="77777777" w:rsidR="005B105C" w:rsidRPr="00695618" w:rsidRDefault="005B105C" w:rsidP="005B105C">
            <w:pPr>
              <w:spacing w:before="60" w:after="60"/>
              <w:ind w:left="0"/>
              <w:jc w:val="center"/>
              <w:rPr>
                <w:rFonts w:ascii="Calibri" w:hAnsi="Calibri"/>
                <w:color w:val="000000"/>
              </w:rPr>
            </w:pPr>
            <w:r>
              <w:rPr>
                <w:color w:val="000000"/>
              </w:rPr>
              <w:t>7,433,680</w:t>
            </w: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B3B555" w14:textId="1C48B2C3" w:rsidR="005B105C" w:rsidRPr="00695618" w:rsidRDefault="005B105C" w:rsidP="005B105C">
            <w:pPr>
              <w:spacing w:before="60" w:after="60"/>
              <w:ind w:left="0"/>
              <w:jc w:val="center"/>
              <w:rPr>
                <w:rFonts w:ascii="Calibri" w:hAnsi="Calibri"/>
                <w:color w:val="000000"/>
              </w:rPr>
            </w:pPr>
            <w:r>
              <w:rPr>
                <w:color w:val="000000"/>
              </w:rPr>
              <w:t>$2,758,702,683</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4072C5" w14:textId="77777777" w:rsidR="005B105C" w:rsidRPr="00695618" w:rsidRDefault="005B105C" w:rsidP="005B105C">
            <w:pPr>
              <w:spacing w:before="60" w:after="60"/>
              <w:ind w:left="0"/>
              <w:jc w:val="center"/>
              <w:rPr>
                <w:rFonts w:ascii="Calibri" w:hAnsi="Calibri"/>
                <w:color w:val="000000"/>
              </w:rPr>
            </w:pPr>
            <w:r>
              <w:rPr>
                <w:color w:val="000000"/>
              </w:rPr>
              <w:t>482,925</w:t>
            </w:r>
          </w:p>
        </w:tc>
        <w:tc>
          <w:tcPr>
            <w:tcW w:w="1710" w:type="dxa"/>
            <w:tcBorders>
              <w:top w:val="single" w:sz="4" w:space="0" w:color="000000"/>
              <w:left w:val="single" w:sz="4" w:space="0" w:color="000000"/>
              <w:bottom w:val="single" w:sz="4" w:space="0" w:color="000000"/>
              <w:right w:val="single" w:sz="4" w:space="0" w:color="000000"/>
            </w:tcBorders>
            <w:vAlign w:val="center"/>
          </w:tcPr>
          <w:p w14:paraId="1F7FB0D5" w14:textId="77777777" w:rsidR="005B105C" w:rsidRDefault="005B105C" w:rsidP="005B105C">
            <w:pPr>
              <w:spacing w:before="60" w:after="60"/>
              <w:ind w:left="0"/>
              <w:jc w:val="center"/>
              <w:rPr>
                <w:color w:val="000000"/>
              </w:rPr>
            </w:pPr>
            <w:r>
              <w:rPr>
                <w:color w:val="000000"/>
              </w:rPr>
              <w:t>200,362</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AF96E0" w14:textId="2BFEB15E" w:rsidR="005B105C" w:rsidRPr="00695618" w:rsidRDefault="005B105C" w:rsidP="005B105C">
            <w:pPr>
              <w:spacing w:before="60" w:after="60"/>
              <w:ind w:left="0"/>
              <w:jc w:val="center"/>
              <w:rPr>
                <w:rFonts w:ascii="Calibri" w:hAnsi="Calibri"/>
                <w:color w:val="000000"/>
              </w:rPr>
            </w:pPr>
            <w:r>
              <w:rPr>
                <w:color w:val="000000"/>
              </w:rPr>
              <w:t>$371.11</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3BCB64" w14:textId="77777777" w:rsidR="005B105C" w:rsidRPr="00695618" w:rsidRDefault="005B105C" w:rsidP="005B105C">
            <w:pPr>
              <w:spacing w:before="60" w:after="60"/>
              <w:ind w:left="0"/>
              <w:jc w:val="center"/>
              <w:rPr>
                <w:rFonts w:ascii="Calibri" w:hAnsi="Calibri"/>
                <w:color w:val="000000"/>
              </w:rPr>
            </w:pPr>
            <w:r>
              <w:rPr>
                <w:color w:val="000000"/>
              </w:rPr>
              <w:t>15.39</w:t>
            </w:r>
          </w:p>
        </w:tc>
      </w:tr>
      <w:tr w:rsidR="005B105C" w14:paraId="09CF715C" w14:textId="77777777" w:rsidTr="0014786D">
        <w:trPr>
          <w:trHeight w:val="300"/>
        </w:trPr>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9CAF1C" w14:textId="77777777" w:rsidR="005B105C" w:rsidRPr="00695618" w:rsidRDefault="005B105C" w:rsidP="005B105C">
            <w:pPr>
              <w:spacing w:before="60" w:after="60"/>
              <w:ind w:left="0"/>
              <w:jc w:val="center"/>
              <w:rPr>
                <w:rFonts w:ascii="Calibri" w:hAnsi="Calibri"/>
                <w:color w:val="000000"/>
              </w:rPr>
            </w:pPr>
            <w:r>
              <w:rPr>
                <w:color w:val="000000"/>
              </w:rPr>
              <w:t>2014</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F6BD21" w14:textId="77777777" w:rsidR="005B105C" w:rsidRPr="00695618" w:rsidRDefault="005B105C" w:rsidP="005B105C">
            <w:pPr>
              <w:spacing w:before="60" w:after="60"/>
              <w:ind w:left="0"/>
              <w:jc w:val="center"/>
              <w:rPr>
                <w:rFonts w:ascii="Calibri" w:hAnsi="Calibri"/>
                <w:color w:val="000000"/>
              </w:rPr>
            </w:pPr>
            <w:r>
              <w:rPr>
                <w:color w:val="000000"/>
              </w:rPr>
              <w:t>6,503,535</w:t>
            </w: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C293C6" w14:textId="64E72469" w:rsidR="005B105C" w:rsidRPr="00270435" w:rsidRDefault="005B105C" w:rsidP="005B105C">
            <w:pPr>
              <w:spacing w:before="60" w:after="60"/>
              <w:ind w:left="0"/>
              <w:jc w:val="center"/>
              <w:rPr>
                <w:rFonts w:ascii="Calibri" w:hAnsi="Calibri"/>
                <w:color w:val="000000"/>
              </w:rPr>
            </w:pPr>
            <w:r>
              <w:rPr>
                <w:color w:val="000000"/>
              </w:rPr>
              <w:t>$2,211,879,391</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ABE546" w14:textId="77777777" w:rsidR="005B105C" w:rsidRPr="00695618" w:rsidRDefault="005B105C" w:rsidP="005B105C">
            <w:pPr>
              <w:spacing w:before="60" w:after="60"/>
              <w:ind w:left="0"/>
              <w:jc w:val="center"/>
              <w:rPr>
                <w:rFonts w:ascii="Calibri" w:hAnsi="Calibri"/>
                <w:color w:val="000000"/>
              </w:rPr>
            </w:pPr>
            <w:r>
              <w:rPr>
                <w:color w:val="000000"/>
              </w:rPr>
              <w:t>408,789</w:t>
            </w:r>
          </w:p>
        </w:tc>
        <w:tc>
          <w:tcPr>
            <w:tcW w:w="1710" w:type="dxa"/>
            <w:tcBorders>
              <w:top w:val="single" w:sz="4" w:space="0" w:color="000000"/>
              <w:left w:val="single" w:sz="4" w:space="0" w:color="000000"/>
              <w:bottom w:val="single" w:sz="4" w:space="0" w:color="000000"/>
              <w:right w:val="single" w:sz="4" w:space="0" w:color="000000"/>
            </w:tcBorders>
            <w:vAlign w:val="center"/>
          </w:tcPr>
          <w:p w14:paraId="7587A02B" w14:textId="77777777" w:rsidR="005B105C" w:rsidRDefault="005B105C" w:rsidP="005B105C">
            <w:pPr>
              <w:spacing w:before="60" w:after="60"/>
              <w:ind w:left="0"/>
              <w:jc w:val="center"/>
              <w:rPr>
                <w:color w:val="000000"/>
              </w:rPr>
            </w:pPr>
            <w:r>
              <w:rPr>
                <w:color w:val="000000"/>
              </w:rPr>
              <w:t>194,815</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1887A1" w14:textId="126CB201" w:rsidR="005B105C" w:rsidRPr="00695618" w:rsidRDefault="005B105C" w:rsidP="005B105C">
            <w:pPr>
              <w:spacing w:before="60" w:after="60"/>
              <w:ind w:left="0"/>
              <w:jc w:val="center"/>
              <w:rPr>
                <w:rFonts w:ascii="Calibri" w:hAnsi="Calibri"/>
                <w:color w:val="000000"/>
              </w:rPr>
            </w:pPr>
            <w:r>
              <w:rPr>
                <w:color w:val="000000"/>
              </w:rPr>
              <w:t>$340.10</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182EFD" w14:textId="77777777" w:rsidR="005B105C" w:rsidRPr="00695618" w:rsidRDefault="005B105C" w:rsidP="005B105C">
            <w:pPr>
              <w:spacing w:before="60" w:after="60"/>
              <w:ind w:left="0"/>
              <w:jc w:val="center"/>
              <w:rPr>
                <w:rFonts w:ascii="Calibri" w:hAnsi="Calibri"/>
                <w:color w:val="000000"/>
              </w:rPr>
            </w:pPr>
            <w:r>
              <w:rPr>
                <w:color w:val="000000"/>
              </w:rPr>
              <w:t>15.91</w:t>
            </w:r>
          </w:p>
        </w:tc>
      </w:tr>
    </w:tbl>
    <w:p w14:paraId="763C9AE7" w14:textId="77777777" w:rsidR="000770E6" w:rsidRDefault="000770E6" w:rsidP="000770E6"/>
    <w:p w14:paraId="0E0F90DF" w14:textId="3D79F262" w:rsidR="000770E6" w:rsidRPr="0014786D" w:rsidRDefault="000770E6" w:rsidP="000770E6">
      <w:pPr>
        <w:rPr>
          <w:rFonts w:cs="Arial"/>
          <w:b/>
          <w:color w:val="1F3864" w:themeColor="accent5" w:themeShade="80"/>
        </w:rPr>
      </w:pPr>
      <w:r w:rsidRPr="0014786D">
        <w:rPr>
          <w:rFonts w:cs="Arial"/>
          <w:b/>
          <w:color w:val="1F3864" w:themeColor="accent5" w:themeShade="80"/>
        </w:rPr>
        <w:t>UI Call Center</w:t>
      </w:r>
      <w:r w:rsidR="00912C49">
        <w:rPr>
          <w:rFonts w:cs="Arial"/>
          <w:b/>
          <w:color w:val="1F3864" w:themeColor="accent5" w:themeShade="80"/>
        </w:rPr>
        <w:t xml:space="preserve"> (CC)</w:t>
      </w:r>
    </w:p>
    <w:tbl>
      <w:tblPr>
        <w:tblStyle w:val="TableGrid"/>
        <w:tblW w:w="0" w:type="auto"/>
        <w:tblInd w:w="805" w:type="dxa"/>
        <w:tblLook w:val="04A0" w:firstRow="1" w:lastRow="0" w:firstColumn="1" w:lastColumn="0" w:noHBand="0" w:noVBand="1"/>
        <w:tblDescription w:val="Table of ui call center metrics"/>
      </w:tblPr>
      <w:tblGrid>
        <w:gridCol w:w="1170"/>
        <w:gridCol w:w="3780"/>
        <w:gridCol w:w="3690"/>
      </w:tblGrid>
      <w:tr w:rsidR="0014786D" w:rsidRPr="0014786D" w14:paraId="1EFA2AE7" w14:textId="77777777" w:rsidTr="00805EBD">
        <w:trPr>
          <w:trHeight w:val="638"/>
        </w:trPr>
        <w:tc>
          <w:tcPr>
            <w:tcW w:w="1170" w:type="dxa"/>
            <w:shd w:val="clear" w:color="auto" w:fill="DEEAF6" w:themeFill="accent1" w:themeFillTint="33"/>
            <w:vAlign w:val="center"/>
          </w:tcPr>
          <w:p w14:paraId="063585B8" w14:textId="77777777" w:rsidR="000770E6" w:rsidRPr="0014786D" w:rsidRDefault="000770E6" w:rsidP="0014786D">
            <w:pPr>
              <w:keepNext/>
              <w:spacing w:before="60" w:after="60"/>
              <w:ind w:left="0"/>
              <w:jc w:val="center"/>
              <w:rPr>
                <w:rFonts w:cs="Arial"/>
                <w:b/>
                <w:color w:val="1F3864" w:themeColor="accent5" w:themeShade="80"/>
              </w:rPr>
            </w:pPr>
            <w:r w:rsidRPr="0014786D">
              <w:rPr>
                <w:rFonts w:cs="Arial"/>
                <w:b/>
                <w:color w:val="1F3864" w:themeColor="accent5" w:themeShade="80"/>
              </w:rPr>
              <w:t>Year</w:t>
            </w:r>
          </w:p>
        </w:tc>
        <w:tc>
          <w:tcPr>
            <w:tcW w:w="3780" w:type="dxa"/>
            <w:shd w:val="clear" w:color="auto" w:fill="DEEAF6" w:themeFill="accent1" w:themeFillTint="33"/>
            <w:vAlign w:val="center"/>
          </w:tcPr>
          <w:p w14:paraId="4E579AFE" w14:textId="77777777" w:rsidR="000770E6" w:rsidRPr="0014786D" w:rsidRDefault="000770E6" w:rsidP="0014786D">
            <w:pPr>
              <w:keepNext/>
              <w:spacing w:after="0"/>
              <w:ind w:left="0"/>
              <w:jc w:val="center"/>
              <w:rPr>
                <w:rFonts w:cs="Arial"/>
                <w:b/>
                <w:color w:val="1F3864" w:themeColor="accent5" w:themeShade="80"/>
              </w:rPr>
            </w:pPr>
            <w:r w:rsidRPr="0014786D">
              <w:rPr>
                <w:rFonts w:cs="Arial"/>
                <w:b/>
                <w:color w:val="1F3864" w:themeColor="accent5" w:themeShade="80"/>
              </w:rPr>
              <w:t>Claims Call</w:t>
            </w:r>
            <w:r w:rsidRPr="0014786D">
              <w:rPr>
                <w:rFonts w:cs="Arial"/>
                <w:b/>
                <w:color w:val="1F3864" w:themeColor="accent5" w:themeShade="80"/>
              </w:rPr>
              <w:br/>
              <w:t>(Average Time in mm:ss)</w:t>
            </w:r>
          </w:p>
        </w:tc>
        <w:tc>
          <w:tcPr>
            <w:tcW w:w="3690" w:type="dxa"/>
            <w:shd w:val="clear" w:color="auto" w:fill="DEEAF6" w:themeFill="accent1" w:themeFillTint="33"/>
            <w:vAlign w:val="center"/>
          </w:tcPr>
          <w:p w14:paraId="11E1D021" w14:textId="77777777" w:rsidR="000770E6" w:rsidRPr="0014786D" w:rsidRDefault="000770E6" w:rsidP="0014786D">
            <w:pPr>
              <w:keepNext/>
              <w:spacing w:after="0"/>
              <w:ind w:left="0"/>
              <w:jc w:val="center"/>
              <w:rPr>
                <w:rFonts w:cs="Arial"/>
                <w:b/>
                <w:color w:val="1F3864" w:themeColor="accent5" w:themeShade="80"/>
              </w:rPr>
            </w:pPr>
            <w:r w:rsidRPr="0014786D">
              <w:rPr>
                <w:rFonts w:cs="Arial"/>
                <w:b/>
                <w:color w:val="1F3864" w:themeColor="accent5" w:themeShade="80"/>
              </w:rPr>
              <w:t xml:space="preserve">Inquiry Call </w:t>
            </w:r>
            <w:r w:rsidRPr="0014786D">
              <w:rPr>
                <w:rFonts w:cs="Arial"/>
                <w:b/>
                <w:color w:val="1F3864" w:themeColor="accent5" w:themeShade="80"/>
              </w:rPr>
              <w:br/>
              <w:t>(Average Time in mm:ss)</w:t>
            </w:r>
          </w:p>
        </w:tc>
      </w:tr>
      <w:tr w:rsidR="000770E6" w:rsidRPr="00873442" w14:paraId="01E636D3" w14:textId="77777777" w:rsidTr="0014786D">
        <w:tc>
          <w:tcPr>
            <w:tcW w:w="1170" w:type="dxa"/>
            <w:vAlign w:val="center"/>
          </w:tcPr>
          <w:p w14:paraId="7E4C9A22" w14:textId="08985D3D" w:rsidR="000770E6" w:rsidRPr="00BF5D94" w:rsidRDefault="000770E6" w:rsidP="0014786D">
            <w:pPr>
              <w:keepNext/>
              <w:spacing w:before="60" w:after="60"/>
              <w:ind w:left="0"/>
              <w:jc w:val="center"/>
            </w:pPr>
            <w:r>
              <w:t>201</w:t>
            </w:r>
            <w:r w:rsidR="005B105C">
              <w:t>7</w:t>
            </w:r>
          </w:p>
        </w:tc>
        <w:tc>
          <w:tcPr>
            <w:tcW w:w="3780" w:type="dxa"/>
            <w:vAlign w:val="center"/>
          </w:tcPr>
          <w:p w14:paraId="5BC20FB9" w14:textId="509EAD6D" w:rsidR="000770E6" w:rsidRPr="00BF5D94" w:rsidRDefault="000770E6" w:rsidP="0014786D">
            <w:pPr>
              <w:keepNext/>
              <w:spacing w:before="60" w:after="60"/>
              <w:ind w:left="0"/>
              <w:jc w:val="center"/>
            </w:pPr>
            <w:r>
              <w:t>14:</w:t>
            </w:r>
            <w:r w:rsidR="005B105C">
              <w:t>41</w:t>
            </w:r>
          </w:p>
        </w:tc>
        <w:tc>
          <w:tcPr>
            <w:tcW w:w="3690" w:type="dxa"/>
            <w:vAlign w:val="center"/>
          </w:tcPr>
          <w:p w14:paraId="3EE21256" w14:textId="2942C0E9" w:rsidR="000770E6" w:rsidRPr="00BF5D94" w:rsidRDefault="005B105C" w:rsidP="0014786D">
            <w:pPr>
              <w:keepNext/>
              <w:spacing w:before="60" w:after="60"/>
              <w:ind w:left="0"/>
              <w:jc w:val="center"/>
            </w:pPr>
            <w:r>
              <w:t>9</w:t>
            </w:r>
            <w:r w:rsidR="000770E6">
              <w:t>:</w:t>
            </w:r>
            <w:r>
              <w:t>2</w:t>
            </w:r>
            <w:r w:rsidR="000770E6">
              <w:t>7</w:t>
            </w:r>
          </w:p>
        </w:tc>
      </w:tr>
      <w:tr w:rsidR="005B105C" w:rsidRPr="00873442" w14:paraId="2E6FDF2B" w14:textId="77777777" w:rsidTr="0014786D">
        <w:tc>
          <w:tcPr>
            <w:tcW w:w="1170" w:type="dxa"/>
            <w:vAlign w:val="center"/>
          </w:tcPr>
          <w:p w14:paraId="7A46C272" w14:textId="2695BD85" w:rsidR="005B105C" w:rsidRDefault="005B105C" w:rsidP="005B105C">
            <w:pPr>
              <w:keepNext/>
              <w:spacing w:before="60" w:after="60"/>
              <w:ind w:left="0"/>
              <w:jc w:val="center"/>
            </w:pPr>
            <w:r>
              <w:t>2016</w:t>
            </w:r>
          </w:p>
        </w:tc>
        <w:tc>
          <w:tcPr>
            <w:tcW w:w="3780" w:type="dxa"/>
            <w:vAlign w:val="center"/>
          </w:tcPr>
          <w:p w14:paraId="079E7E3D" w14:textId="599468B0" w:rsidR="005B105C" w:rsidRDefault="005B105C" w:rsidP="005B105C">
            <w:pPr>
              <w:keepNext/>
              <w:spacing w:before="60" w:after="60"/>
              <w:ind w:left="0"/>
              <w:jc w:val="center"/>
            </w:pPr>
            <w:r>
              <w:t>14:08</w:t>
            </w:r>
          </w:p>
        </w:tc>
        <w:tc>
          <w:tcPr>
            <w:tcW w:w="3690" w:type="dxa"/>
            <w:vAlign w:val="center"/>
          </w:tcPr>
          <w:p w14:paraId="665D9026" w14:textId="2D810BD2" w:rsidR="005B105C" w:rsidRDefault="005B105C" w:rsidP="005B105C">
            <w:pPr>
              <w:keepNext/>
              <w:spacing w:before="60" w:after="60"/>
              <w:ind w:left="0"/>
              <w:jc w:val="center"/>
            </w:pPr>
            <w:r>
              <w:t>8:57</w:t>
            </w:r>
          </w:p>
        </w:tc>
      </w:tr>
    </w:tbl>
    <w:p w14:paraId="77D1FE5D" w14:textId="77777777" w:rsidR="000770E6" w:rsidRDefault="000770E6" w:rsidP="000770E6"/>
    <w:p w14:paraId="4E181B17" w14:textId="5D69F83E" w:rsidR="000770E6" w:rsidRPr="003E4CBE" w:rsidRDefault="000770E6" w:rsidP="00805EBD">
      <w:pPr>
        <w:keepNext/>
        <w:rPr>
          <w:rFonts w:cs="Arial"/>
          <w:b/>
          <w:color w:val="1F3864" w:themeColor="accent5" w:themeShade="80"/>
        </w:rPr>
      </w:pPr>
      <w:r w:rsidRPr="00B02E3B">
        <w:rPr>
          <w:rFonts w:cs="Arial"/>
          <w:b/>
          <w:color w:val="1F3864" w:themeColor="accent5" w:themeShade="80"/>
        </w:rPr>
        <w:lastRenderedPageBreak/>
        <w:t>Appeals and Commission Appeals</w:t>
      </w:r>
      <w:r w:rsidR="00912C49">
        <w:rPr>
          <w:rFonts w:cs="Arial"/>
          <w:b/>
          <w:color w:val="1F3864" w:themeColor="accent5" w:themeShade="80"/>
        </w:rPr>
        <w:t xml:space="preserve"> (CA)</w:t>
      </w:r>
    </w:p>
    <w:tbl>
      <w:tblPr>
        <w:tblW w:w="0" w:type="auto"/>
        <w:tblInd w:w="821" w:type="dxa"/>
        <w:tblCellMar>
          <w:left w:w="0" w:type="dxa"/>
          <w:right w:w="0" w:type="dxa"/>
        </w:tblCellMar>
        <w:tblLook w:val="04A0" w:firstRow="1" w:lastRow="0" w:firstColumn="1" w:lastColumn="0" w:noHBand="0" w:noVBand="1"/>
        <w:tblDescription w:val="table of appeals and commission appeals metrics"/>
      </w:tblPr>
      <w:tblGrid>
        <w:gridCol w:w="1154"/>
        <w:gridCol w:w="1710"/>
        <w:gridCol w:w="1620"/>
        <w:gridCol w:w="1620"/>
        <w:gridCol w:w="1620"/>
        <w:gridCol w:w="1620"/>
        <w:gridCol w:w="1710"/>
      </w:tblGrid>
      <w:tr w:rsidR="003E4CBE" w:rsidRPr="003E4CBE" w14:paraId="055CFB70" w14:textId="77777777" w:rsidTr="00805EBD">
        <w:trPr>
          <w:trHeight w:val="503"/>
          <w:tblHeader/>
        </w:trPr>
        <w:tc>
          <w:tcPr>
            <w:tcW w:w="115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hideMark/>
          </w:tcPr>
          <w:p w14:paraId="0DD42217" w14:textId="77777777" w:rsidR="000770E6" w:rsidRPr="003E4CBE" w:rsidRDefault="000770E6" w:rsidP="00805EBD">
            <w:pPr>
              <w:keepNext/>
              <w:spacing w:before="60" w:after="60"/>
              <w:ind w:left="0"/>
              <w:jc w:val="center"/>
              <w:rPr>
                <w:rFonts w:cs="Arial"/>
                <w:b/>
                <w:color w:val="1F3864" w:themeColor="accent5" w:themeShade="80"/>
              </w:rPr>
            </w:pPr>
            <w:r w:rsidRPr="003E4CBE">
              <w:rPr>
                <w:rFonts w:cs="Arial"/>
                <w:b/>
                <w:color w:val="1F3864" w:themeColor="accent5" w:themeShade="80"/>
              </w:rPr>
              <w:t>Year</w:t>
            </w:r>
          </w:p>
        </w:tc>
        <w:tc>
          <w:tcPr>
            <w:tcW w:w="171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hideMark/>
          </w:tcPr>
          <w:p w14:paraId="1E2C92F1" w14:textId="77777777" w:rsidR="000770E6" w:rsidRPr="003E4CBE" w:rsidRDefault="000770E6" w:rsidP="00805EBD">
            <w:pPr>
              <w:keepNext/>
              <w:spacing w:before="60" w:after="60"/>
              <w:ind w:left="0"/>
              <w:jc w:val="center"/>
              <w:rPr>
                <w:rFonts w:cs="Arial"/>
                <w:b/>
                <w:color w:val="1F3864" w:themeColor="accent5" w:themeShade="80"/>
              </w:rPr>
            </w:pPr>
            <w:r w:rsidRPr="003E4CBE">
              <w:rPr>
                <w:rFonts w:cs="Arial"/>
                <w:b/>
                <w:color w:val="1F3864" w:themeColor="accent5" w:themeShade="80"/>
              </w:rPr>
              <w:t>AT Appeals Filed</w:t>
            </w:r>
          </w:p>
        </w:tc>
        <w:tc>
          <w:tcPr>
            <w:tcW w:w="162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hideMark/>
          </w:tcPr>
          <w:p w14:paraId="2F0DDF13" w14:textId="77777777" w:rsidR="000770E6" w:rsidRPr="003E4CBE" w:rsidRDefault="000770E6" w:rsidP="00805EBD">
            <w:pPr>
              <w:keepNext/>
              <w:spacing w:before="60" w:after="60"/>
              <w:ind w:left="0"/>
              <w:jc w:val="center"/>
              <w:rPr>
                <w:rFonts w:cs="Arial"/>
                <w:b/>
                <w:color w:val="1F3864" w:themeColor="accent5" w:themeShade="80"/>
              </w:rPr>
            </w:pPr>
            <w:r w:rsidRPr="003E4CBE">
              <w:rPr>
                <w:rFonts w:cs="Arial"/>
                <w:b/>
                <w:color w:val="1F3864" w:themeColor="accent5" w:themeShade="80"/>
              </w:rPr>
              <w:t>CA Appeals Filed</w:t>
            </w:r>
          </w:p>
        </w:tc>
        <w:tc>
          <w:tcPr>
            <w:tcW w:w="162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hideMark/>
          </w:tcPr>
          <w:p w14:paraId="4233A63B" w14:textId="77777777" w:rsidR="000770E6" w:rsidRPr="003E4CBE" w:rsidRDefault="000770E6" w:rsidP="00805EBD">
            <w:pPr>
              <w:keepNext/>
              <w:spacing w:before="60" w:after="60"/>
              <w:ind w:left="0"/>
              <w:jc w:val="center"/>
              <w:rPr>
                <w:rFonts w:cs="Arial"/>
                <w:b/>
                <w:color w:val="1F3864" w:themeColor="accent5" w:themeShade="80"/>
              </w:rPr>
            </w:pPr>
            <w:r w:rsidRPr="003E4CBE">
              <w:rPr>
                <w:rFonts w:cs="Arial"/>
                <w:b/>
                <w:color w:val="1F3864" w:themeColor="accent5" w:themeShade="80"/>
              </w:rPr>
              <w:t>AT Hearings Held</w:t>
            </w:r>
          </w:p>
        </w:tc>
        <w:tc>
          <w:tcPr>
            <w:tcW w:w="162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27D0677" w14:textId="77777777" w:rsidR="000770E6" w:rsidRPr="003E4CBE" w:rsidRDefault="000770E6" w:rsidP="00805EBD">
            <w:pPr>
              <w:keepNext/>
              <w:spacing w:before="60" w:after="60"/>
              <w:ind w:left="0"/>
              <w:jc w:val="center"/>
              <w:rPr>
                <w:rFonts w:cs="Arial"/>
                <w:b/>
                <w:color w:val="1F3864" w:themeColor="accent5" w:themeShade="80"/>
              </w:rPr>
            </w:pPr>
            <w:r w:rsidRPr="003E4CBE">
              <w:rPr>
                <w:rFonts w:cs="Arial"/>
                <w:b/>
                <w:color w:val="1F3864" w:themeColor="accent5" w:themeShade="80"/>
              </w:rPr>
              <w:t>CA Hearings Held</w:t>
            </w:r>
          </w:p>
        </w:tc>
        <w:tc>
          <w:tcPr>
            <w:tcW w:w="162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hideMark/>
          </w:tcPr>
          <w:p w14:paraId="216DE5B0" w14:textId="77777777" w:rsidR="000770E6" w:rsidRPr="003E4CBE" w:rsidRDefault="000770E6" w:rsidP="00805EBD">
            <w:pPr>
              <w:keepNext/>
              <w:spacing w:before="60" w:after="60"/>
              <w:ind w:left="0"/>
              <w:jc w:val="center"/>
              <w:rPr>
                <w:rFonts w:cs="Arial"/>
                <w:b/>
                <w:color w:val="1F3864" w:themeColor="accent5" w:themeShade="80"/>
              </w:rPr>
            </w:pPr>
            <w:r w:rsidRPr="003E4CBE">
              <w:rPr>
                <w:rFonts w:cs="Arial"/>
                <w:b/>
                <w:color w:val="1F3864" w:themeColor="accent5" w:themeShade="80"/>
              </w:rPr>
              <w:t>AT Decisions</w:t>
            </w:r>
          </w:p>
        </w:tc>
        <w:tc>
          <w:tcPr>
            <w:tcW w:w="171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hideMark/>
          </w:tcPr>
          <w:p w14:paraId="10115E57" w14:textId="77777777" w:rsidR="000770E6" w:rsidRPr="003E4CBE" w:rsidRDefault="000770E6" w:rsidP="00805EBD">
            <w:pPr>
              <w:keepNext/>
              <w:spacing w:before="60" w:after="60"/>
              <w:ind w:left="0"/>
              <w:jc w:val="center"/>
              <w:rPr>
                <w:rFonts w:cs="Arial"/>
                <w:b/>
                <w:color w:val="1F3864" w:themeColor="accent5" w:themeShade="80"/>
              </w:rPr>
            </w:pPr>
            <w:r w:rsidRPr="003E4CBE">
              <w:rPr>
                <w:rFonts w:cs="Arial"/>
                <w:b/>
                <w:color w:val="1F3864" w:themeColor="accent5" w:themeShade="80"/>
              </w:rPr>
              <w:t>CA Decisions</w:t>
            </w:r>
          </w:p>
        </w:tc>
      </w:tr>
      <w:tr w:rsidR="000770E6" w14:paraId="1EECE04C" w14:textId="77777777" w:rsidTr="00C24E82">
        <w:trPr>
          <w:trHeight w:val="300"/>
        </w:trPr>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26A445" w14:textId="6ED54CA4" w:rsidR="000770E6" w:rsidRPr="001F0DBF" w:rsidRDefault="000770E6" w:rsidP="003E4CBE">
            <w:pPr>
              <w:spacing w:before="60" w:after="60"/>
              <w:ind w:left="0"/>
              <w:jc w:val="center"/>
              <w:rPr>
                <w:rFonts w:ascii="Calibri" w:hAnsi="Calibri"/>
                <w:color w:val="000000"/>
              </w:rPr>
            </w:pPr>
            <w:r w:rsidRPr="001F0DBF">
              <w:rPr>
                <w:color w:val="000000"/>
              </w:rPr>
              <w:t>201</w:t>
            </w:r>
            <w:r w:rsidR="00B02E3B">
              <w:rPr>
                <w:color w:val="000000"/>
              </w:rPr>
              <w:t>7</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78C7D3" w14:textId="6888B27F" w:rsidR="000770E6" w:rsidRPr="001F0DBF" w:rsidRDefault="00B02E3B" w:rsidP="003E4CBE">
            <w:pPr>
              <w:spacing w:before="60" w:after="60"/>
              <w:ind w:left="0"/>
              <w:jc w:val="center"/>
              <w:rPr>
                <w:color w:val="000000"/>
              </w:rPr>
            </w:pPr>
            <w:r>
              <w:rPr>
                <w:color w:val="000000"/>
              </w:rPr>
              <w:t>127,078</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96E4E9" w14:textId="611E47A9" w:rsidR="000770E6" w:rsidRPr="001F0DBF" w:rsidRDefault="00B02E3B" w:rsidP="003E4CBE">
            <w:pPr>
              <w:spacing w:before="60" w:after="60"/>
              <w:ind w:left="0"/>
              <w:jc w:val="center"/>
              <w:rPr>
                <w:color w:val="000000"/>
              </w:rPr>
            </w:pPr>
            <w:r>
              <w:rPr>
                <w:color w:val="000000"/>
              </w:rPr>
              <w:t>14,799</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D890D8" w14:textId="4A5D86B1" w:rsidR="000770E6" w:rsidRPr="001F0DBF" w:rsidRDefault="00B02E3B" w:rsidP="003E4CBE">
            <w:pPr>
              <w:spacing w:before="60" w:after="60"/>
              <w:ind w:left="0"/>
              <w:jc w:val="center"/>
              <w:rPr>
                <w:color w:val="000000"/>
              </w:rPr>
            </w:pPr>
            <w:r>
              <w:rPr>
                <w:color w:val="000000"/>
              </w:rPr>
              <w:t>124,150</w:t>
            </w:r>
          </w:p>
        </w:tc>
        <w:tc>
          <w:tcPr>
            <w:tcW w:w="1620" w:type="dxa"/>
            <w:tcBorders>
              <w:top w:val="single" w:sz="4" w:space="0" w:color="000000"/>
              <w:left w:val="single" w:sz="4" w:space="0" w:color="000000"/>
              <w:bottom w:val="single" w:sz="4" w:space="0" w:color="000000"/>
              <w:right w:val="single" w:sz="4" w:space="0" w:color="000000"/>
            </w:tcBorders>
            <w:vAlign w:val="center"/>
          </w:tcPr>
          <w:p w14:paraId="22396BE9" w14:textId="07B8044D" w:rsidR="000770E6" w:rsidRPr="001F0DBF" w:rsidRDefault="00B02E3B" w:rsidP="003E4CBE">
            <w:pPr>
              <w:spacing w:before="60" w:after="60"/>
              <w:ind w:left="0"/>
              <w:jc w:val="center"/>
              <w:rPr>
                <w:color w:val="000000"/>
              </w:rPr>
            </w:pPr>
            <w:r>
              <w:rPr>
                <w:color w:val="000000"/>
              </w:rPr>
              <w:t>553</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EDA164" w14:textId="3A3834FF" w:rsidR="000770E6" w:rsidRPr="001F0DBF" w:rsidRDefault="00B02E3B" w:rsidP="003E4CBE">
            <w:pPr>
              <w:spacing w:before="60" w:after="60"/>
              <w:ind w:left="0"/>
              <w:jc w:val="center"/>
              <w:rPr>
                <w:color w:val="000000"/>
              </w:rPr>
            </w:pPr>
            <w:r>
              <w:rPr>
                <w:color w:val="000000"/>
              </w:rPr>
              <w:t>113,453</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552157" w14:textId="6E5108C1" w:rsidR="000770E6" w:rsidRPr="001F0DBF" w:rsidRDefault="00B02E3B" w:rsidP="003E4CBE">
            <w:pPr>
              <w:spacing w:before="60" w:after="60"/>
              <w:ind w:left="0"/>
              <w:jc w:val="center"/>
              <w:rPr>
                <w:color w:val="000000"/>
              </w:rPr>
            </w:pPr>
            <w:r>
              <w:rPr>
                <w:color w:val="000000"/>
              </w:rPr>
              <w:t>14,604</w:t>
            </w:r>
          </w:p>
        </w:tc>
      </w:tr>
      <w:tr w:rsidR="00B02E3B" w14:paraId="1231C27E" w14:textId="77777777" w:rsidTr="00C24E82">
        <w:trPr>
          <w:trHeight w:val="300"/>
        </w:trPr>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CB3E55" w14:textId="7FF0377A" w:rsidR="00B02E3B" w:rsidRPr="001F0DBF" w:rsidRDefault="00B02E3B" w:rsidP="00B02E3B">
            <w:pPr>
              <w:spacing w:before="60" w:after="60"/>
              <w:ind w:left="0"/>
              <w:jc w:val="center"/>
              <w:rPr>
                <w:color w:val="000000"/>
              </w:rPr>
            </w:pPr>
            <w:r w:rsidRPr="001F0DBF">
              <w:rPr>
                <w:color w:val="000000"/>
              </w:rPr>
              <w:t>2016</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2307CF" w14:textId="3D8D4DDD" w:rsidR="00B02E3B" w:rsidRPr="001F0DBF" w:rsidRDefault="00B02E3B" w:rsidP="00B02E3B">
            <w:pPr>
              <w:spacing w:before="60" w:after="60"/>
              <w:ind w:left="0"/>
              <w:jc w:val="center"/>
              <w:rPr>
                <w:color w:val="000000"/>
              </w:rPr>
            </w:pPr>
            <w:r w:rsidRPr="001F0DBF">
              <w:rPr>
                <w:color w:val="000000"/>
              </w:rPr>
              <w:t>110,950</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EF9499" w14:textId="70F0EB94" w:rsidR="00B02E3B" w:rsidRPr="001F0DBF" w:rsidRDefault="00B02E3B" w:rsidP="00B02E3B">
            <w:pPr>
              <w:spacing w:before="60" w:after="60"/>
              <w:ind w:left="0"/>
              <w:jc w:val="center"/>
              <w:rPr>
                <w:color w:val="000000"/>
              </w:rPr>
            </w:pPr>
            <w:r w:rsidRPr="001F0DBF">
              <w:rPr>
                <w:color w:val="000000"/>
              </w:rPr>
              <w:t>15,823</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2489ED" w14:textId="658A73DD" w:rsidR="00B02E3B" w:rsidRPr="001F0DBF" w:rsidRDefault="00B02E3B" w:rsidP="00B02E3B">
            <w:pPr>
              <w:spacing w:before="60" w:after="60"/>
              <w:ind w:left="0"/>
              <w:jc w:val="center"/>
              <w:rPr>
                <w:color w:val="000000"/>
              </w:rPr>
            </w:pPr>
            <w:r w:rsidRPr="001F0DBF">
              <w:rPr>
                <w:color w:val="000000"/>
              </w:rPr>
              <w:t>119,192</w:t>
            </w:r>
          </w:p>
        </w:tc>
        <w:tc>
          <w:tcPr>
            <w:tcW w:w="1620" w:type="dxa"/>
            <w:tcBorders>
              <w:top w:val="single" w:sz="4" w:space="0" w:color="000000"/>
              <w:left w:val="single" w:sz="4" w:space="0" w:color="000000"/>
              <w:bottom w:val="single" w:sz="4" w:space="0" w:color="000000"/>
              <w:right w:val="single" w:sz="4" w:space="0" w:color="000000"/>
            </w:tcBorders>
            <w:vAlign w:val="center"/>
          </w:tcPr>
          <w:p w14:paraId="41CC027E" w14:textId="0B8BE318" w:rsidR="00B02E3B" w:rsidRPr="001F0DBF" w:rsidRDefault="00B02E3B" w:rsidP="00B02E3B">
            <w:pPr>
              <w:spacing w:before="60" w:after="60"/>
              <w:ind w:left="0"/>
              <w:jc w:val="center"/>
              <w:rPr>
                <w:color w:val="000000"/>
              </w:rPr>
            </w:pPr>
            <w:r w:rsidRPr="001F0DBF">
              <w:rPr>
                <w:color w:val="000000"/>
              </w:rPr>
              <w:t>535</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887ADB" w14:textId="1093C239" w:rsidR="00B02E3B" w:rsidRPr="001F0DBF" w:rsidRDefault="00B02E3B" w:rsidP="00B02E3B">
            <w:pPr>
              <w:spacing w:before="60" w:after="60"/>
              <w:ind w:left="0"/>
              <w:jc w:val="center"/>
              <w:rPr>
                <w:color w:val="000000"/>
              </w:rPr>
            </w:pPr>
            <w:r w:rsidRPr="001F0DBF">
              <w:rPr>
                <w:color w:val="000000"/>
              </w:rPr>
              <w:t>107,975</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DE10A7" w14:textId="0F8EC885" w:rsidR="00B02E3B" w:rsidRPr="001F0DBF" w:rsidRDefault="00B02E3B" w:rsidP="00B02E3B">
            <w:pPr>
              <w:spacing w:before="60" w:after="60"/>
              <w:ind w:left="0"/>
              <w:jc w:val="center"/>
              <w:rPr>
                <w:color w:val="000000"/>
              </w:rPr>
            </w:pPr>
            <w:r w:rsidRPr="001F0DBF">
              <w:rPr>
                <w:color w:val="000000"/>
              </w:rPr>
              <w:t>15,816</w:t>
            </w:r>
          </w:p>
        </w:tc>
      </w:tr>
      <w:tr w:rsidR="00B02E3B" w14:paraId="5BEDD75F" w14:textId="77777777" w:rsidTr="00C24E82">
        <w:trPr>
          <w:trHeight w:val="300"/>
        </w:trPr>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658759" w14:textId="77777777" w:rsidR="00B02E3B" w:rsidRPr="001F0DBF" w:rsidRDefault="00B02E3B" w:rsidP="00B02E3B">
            <w:pPr>
              <w:spacing w:before="60" w:after="60"/>
              <w:ind w:left="0"/>
              <w:jc w:val="center"/>
              <w:rPr>
                <w:rFonts w:ascii="Calibri" w:hAnsi="Calibri"/>
                <w:color w:val="000000"/>
              </w:rPr>
            </w:pPr>
            <w:r w:rsidRPr="001F0DBF">
              <w:rPr>
                <w:color w:val="000000"/>
              </w:rPr>
              <w:t>2015</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061C99" w14:textId="77777777" w:rsidR="00B02E3B" w:rsidRPr="001F0DBF" w:rsidRDefault="00B02E3B" w:rsidP="00B02E3B">
            <w:pPr>
              <w:spacing w:before="60" w:after="60"/>
              <w:ind w:left="0"/>
              <w:jc w:val="center"/>
              <w:rPr>
                <w:color w:val="000000"/>
              </w:rPr>
            </w:pPr>
            <w:r w:rsidRPr="001F0DBF">
              <w:rPr>
                <w:color w:val="000000"/>
              </w:rPr>
              <w:t>108,776</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840D6C" w14:textId="77777777" w:rsidR="00B02E3B" w:rsidRPr="001F0DBF" w:rsidRDefault="00B02E3B" w:rsidP="00B02E3B">
            <w:pPr>
              <w:spacing w:before="60" w:after="60"/>
              <w:ind w:left="0"/>
              <w:jc w:val="center"/>
              <w:rPr>
                <w:color w:val="000000"/>
              </w:rPr>
            </w:pPr>
            <w:r w:rsidRPr="001F0DBF">
              <w:rPr>
                <w:color w:val="000000"/>
              </w:rPr>
              <w:t>16,183</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03C96B" w14:textId="77777777" w:rsidR="00B02E3B" w:rsidRPr="001F0DBF" w:rsidRDefault="00B02E3B" w:rsidP="00B02E3B">
            <w:pPr>
              <w:spacing w:before="60" w:after="60"/>
              <w:ind w:left="0"/>
              <w:jc w:val="center"/>
              <w:rPr>
                <w:color w:val="000000"/>
              </w:rPr>
            </w:pPr>
            <w:r w:rsidRPr="001F0DBF">
              <w:rPr>
                <w:color w:val="000000"/>
              </w:rPr>
              <w:t>116,598</w:t>
            </w:r>
          </w:p>
        </w:tc>
        <w:tc>
          <w:tcPr>
            <w:tcW w:w="1620" w:type="dxa"/>
            <w:tcBorders>
              <w:top w:val="single" w:sz="4" w:space="0" w:color="000000"/>
              <w:left w:val="single" w:sz="4" w:space="0" w:color="000000"/>
              <w:bottom w:val="single" w:sz="4" w:space="0" w:color="000000"/>
              <w:right w:val="single" w:sz="4" w:space="0" w:color="000000"/>
            </w:tcBorders>
            <w:vAlign w:val="center"/>
          </w:tcPr>
          <w:p w14:paraId="6452D7E6" w14:textId="77777777" w:rsidR="00B02E3B" w:rsidRPr="001F0DBF" w:rsidRDefault="00B02E3B" w:rsidP="00B02E3B">
            <w:pPr>
              <w:spacing w:before="60" w:after="60"/>
              <w:ind w:left="0"/>
              <w:jc w:val="center"/>
              <w:rPr>
                <w:color w:val="000000"/>
              </w:rPr>
            </w:pPr>
            <w:r w:rsidRPr="001F0DBF">
              <w:rPr>
                <w:color w:val="000000"/>
              </w:rPr>
              <w:t>559</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317E13" w14:textId="77777777" w:rsidR="00B02E3B" w:rsidRPr="001F0DBF" w:rsidRDefault="00B02E3B" w:rsidP="00B02E3B">
            <w:pPr>
              <w:spacing w:before="60" w:after="60"/>
              <w:ind w:left="0"/>
              <w:jc w:val="center"/>
              <w:rPr>
                <w:color w:val="000000"/>
              </w:rPr>
            </w:pPr>
            <w:r w:rsidRPr="001F0DBF">
              <w:rPr>
                <w:color w:val="000000"/>
              </w:rPr>
              <w:t>103,897</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BE91D7" w14:textId="77777777" w:rsidR="00B02E3B" w:rsidRPr="001F0DBF" w:rsidRDefault="00B02E3B" w:rsidP="00B02E3B">
            <w:pPr>
              <w:spacing w:before="60" w:after="60"/>
              <w:ind w:left="0"/>
              <w:jc w:val="center"/>
              <w:rPr>
                <w:color w:val="000000"/>
              </w:rPr>
            </w:pPr>
            <w:r w:rsidRPr="001F0DBF">
              <w:rPr>
                <w:color w:val="000000"/>
              </w:rPr>
              <w:t>16,551</w:t>
            </w:r>
          </w:p>
        </w:tc>
      </w:tr>
      <w:tr w:rsidR="00B02E3B" w14:paraId="0E1D8C96" w14:textId="77777777" w:rsidTr="00C24E82">
        <w:trPr>
          <w:trHeight w:val="300"/>
        </w:trPr>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6C316D" w14:textId="77777777" w:rsidR="00B02E3B" w:rsidRPr="001F0DBF" w:rsidRDefault="00B02E3B" w:rsidP="00B02E3B">
            <w:pPr>
              <w:spacing w:before="60" w:after="60"/>
              <w:ind w:left="0"/>
              <w:jc w:val="center"/>
              <w:rPr>
                <w:rFonts w:ascii="Calibri" w:hAnsi="Calibri"/>
                <w:color w:val="000000"/>
              </w:rPr>
            </w:pPr>
            <w:r w:rsidRPr="001F0DBF">
              <w:rPr>
                <w:color w:val="000000"/>
              </w:rPr>
              <w:t>2014</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B0FB3D" w14:textId="77777777" w:rsidR="00B02E3B" w:rsidRPr="001F0DBF" w:rsidRDefault="00B02E3B" w:rsidP="00B02E3B">
            <w:pPr>
              <w:spacing w:before="60" w:after="60"/>
              <w:ind w:left="0"/>
              <w:jc w:val="center"/>
              <w:rPr>
                <w:color w:val="000000"/>
              </w:rPr>
            </w:pPr>
            <w:r w:rsidRPr="001F0DBF">
              <w:rPr>
                <w:color w:val="000000"/>
              </w:rPr>
              <w:t>112,982</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A3286E" w14:textId="77777777" w:rsidR="00B02E3B" w:rsidRPr="001F0DBF" w:rsidRDefault="00B02E3B" w:rsidP="00B02E3B">
            <w:pPr>
              <w:spacing w:before="60" w:after="60"/>
              <w:ind w:left="0"/>
              <w:jc w:val="center"/>
              <w:rPr>
                <w:color w:val="000000"/>
              </w:rPr>
            </w:pPr>
            <w:r w:rsidRPr="001F0DBF">
              <w:rPr>
                <w:color w:val="000000"/>
              </w:rPr>
              <w:t>17,182</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52D28F" w14:textId="77777777" w:rsidR="00B02E3B" w:rsidRPr="001F0DBF" w:rsidRDefault="00B02E3B" w:rsidP="00B02E3B">
            <w:pPr>
              <w:spacing w:before="60" w:after="60"/>
              <w:ind w:left="0"/>
              <w:jc w:val="center"/>
              <w:rPr>
                <w:color w:val="000000"/>
              </w:rPr>
            </w:pPr>
            <w:r w:rsidRPr="001F0DBF">
              <w:rPr>
                <w:color w:val="000000"/>
              </w:rPr>
              <w:t>127,488</w:t>
            </w:r>
          </w:p>
        </w:tc>
        <w:tc>
          <w:tcPr>
            <w:tcW w:w="1620" w:type="dxa"/>
            <w:tcBorders>
              <w:top w:val="single" w:sz="4" w:space="0" w:color="000000"/>
              <w:left w:val="single" w:sz="4" w:space="0" w:color="000000"/>
              <w:bottom w:val="single" w:sz="4" w:space="0" w:color="000000"/>
              <w:right w:val="single" w:sz="4" w:space="0" w:color="000000"/>
            </w:tcBorders>
            <w:vAlign w:val="center"/>
          </w:tcPr>
          <w:p w14:paraId="7D64A68A" w14:textId="77777777" w:rsidR="00B02E3B" w:rsidRPr="001F0DBF" w:rsidRDefault="00B02E3B" w:rsidP="00B02E3B">
            <w:pPr>
              <w:spacing w:before="60" w:after="60"/>
              <w:ind w:left="0"/>
              <w:jc w:val="center"/>
              <w:rPr>
                <w:color w:val="000000"/>
              </w:rPr>
            </w:pPr>
            <w:r w:rsidRPr="001F0DBF">
              <w:rPr>
                <w:color w:val="000000"/>
              </w:rPr>
              <w:t>689</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56003C" w14:textId="77777777" w:rsidR="00B02E3B" w:rsidRPr="001F0DBF" w:rsidRDefault="00B02E3B" w:rsidP="00B02E3B">
            <w:pPr>
              <w:spacing w:before="60" w:after="60"/>
              <w:ind w:left="0"/>
              <w:jc w:val="center"/>
              <w:rPr>
                <w:color w:val="000000"/>
              </w:rPr>
            </w:pPr>
            <w:r w:rsidRPr="001F0DBF">
              <w:rPr>
                <w:color w:val="000000"/>
              </w:rPr>
              <w:t>112,385</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53BA44" w14:textId="77777777" w:rsidR="00B02E3B" w:rsidRPr="001F0DBF" w:rsidRDefault="00B02E3B" w:rsidP="00B02E3B">
            <w:pPr>
              <w:spacing w:before="60" w:after="60"/>
              <w:ind w:left="0"/>
              <w:jc w:val="center"/>
              <w:rPr>
                <w:color w:val="000000"/>
              </w:rPr>
            </w:pPr>
            <w:r w:rsidRPr="001F0DBF">
              <w:rPr>
                <w:color w:val="000000"/>
              </w:rPr>
              <w:t>17,753</w:t>
            </w:r>
          </w:p>
        </w:tc>
      </w:tr>
    </w:tbl>
    <w:p w14:paraId="1EA70DB7" w14:textId="77777777" w:rsidR="000770E6" w:rsidRDefault="000770E6" w:rsidP="000770E6">
      <w:pPr>
        <w:rPr>
          <w:rFonts w:eastAsia="Verdana,Times New Roman" w:cs="Verdana,Times New Roman"/>
          <w:b/>
          <w:bCs/>
          <w:u w:val="single"/>
        </w:rPr>
      </w:pPr>
    </w:p>
    <w:p w14:paraId="0B202721" w14:textId="77777777" w:rsidR="000770E6" w:rsidRPr="004B09A5" w:rsidRDefault="000770E6" w:rsidP="000770E6">
      <w:pPr>
        <w:keepNext/>
        <w:rPr>
          <w:rFonts w:cs="Arial"/>
          <w:b/>
          <w:color w:val="1F3864" w:themeColor="accent5" w:themeShade="80"/>
        </w:rPr>
      </w:pPr>
      <w:bookmarkStart w:id="53" w:name="_Toc471813807"/>
      <w:bookmarkStart w:id="54" w:name="_Toc471813808"/>
      <w:bookmarkStart w:id="55" w:name="_Toc471813809"/>
      <w:bookmarkStart w:id="56" w:name="_Toc471813810"/>
      <w:bookmarkStart w:id="57" w:name="_Toc471813811"/>
      <w:bookmarkStart w:id="58" w:name="_Toc471813812"/>
      <w:bookmarkStart w:id="59" w:name="_Toc471813814"/>
      <w:bookmarkStart w:id="60" w:name="_Toc471813817"/>
      <w:bookmarkStart w:id="61" w:name="_Toc471813818"/>
      <w:bookmarkStart w:id="62" w:name="_Toc471813820"/>
      <w:bookmarkStart w:id="63" w:name="_Toc471813821"/>
      <w:bookmarkStart w:id="64" w:name="_Toc471813822"/>
      <w:bookmarkStart w:id="65" w:name="_Toc471813824"/>
      <w:bookmarkStart w:id="66" w:name="_Toc471813826"/>
      <w:bookmarkStart w:id="67" w:name="_Toc471813830"/>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4B09A5">
        <w:rPr>
          <w:rFonts w:cs="Arial"/>
          <w:b/>
          <w:color w:val="1F3864" w:themeColor="accent5" w:themeShade="80"/>
        </w:rPr>
        <w:t>Benefit Payment Control (BPC) Investigations</w:t>
      </w:r>
    </w:p>
    <w:p w14:paraId="6B89D794" w14:textId="77777777" w:rsidR="000770E6" w:rsidRPr="00A67C83" w:rsidRDefault="000770E6" w:rsidP="000770E6">
      <w:pPr>
        <w:keepNext/>
        <w:rPr>
          <w:rFonts w:eastAsia="Verdana,Times New Roman" w:cs="Verdana,Times New Roman"/>
          <w:b/>
          <w:bCs/>
          <w:u w:val="single"/>
        </w:rPr>
      </w:pPr>
      <w:r>
        <w:rPr>
          <w:rFonts w:eastAsia="Verdana,Times New Roman" w:cs="Verdana,Times New Roman"/>
          <w:b/>
          <w:bCs/>
          <w:u w:val="single"/>
        </w:rPr>
        <w:t>Correspondence</w:t>
      </w:r>
    </w:p>
    <w:tbl>
      <w:tblPr>
        <w:tblW w:w="7690" w:type="dxa"/>
        <w:tblInd w:w="821" w:type="dxa"/>
        <w:tblCellMar>
          <w:left w:w="0" w:type="dxa"/>
          <w:right w:w="0" w:type="dxa"/>
        </w:tblCellMar>
        <w:tblLook w:val="04A0" w:firstRow="1" w:lastRow="0" w:firstColumn="1" w:lastColumn="0" w:noHBand="0" w:noVBand="1"/>
        <w:tblDescription w:val="table of BPC correspondence metrics"/>
      </w:tblPr>
      <w:tblGrid>
        <w:gridCol w:w="1154"/>
        <w:gridCol w:w="2520"/>
        <w:gridCol w:w="1856"/>
        <w:gridCol w:w="2160"/>
      </w:tblGrid>
      <w:tr w:rsidR="000770E6" w14:paraId="350DB6CC" w14:textId="77777777" w:rsidTr="008D0FB3">
        <w:trPr>
          <w:trHeight w:val="782"/>
        </w:trPr>
        <w:tc>
          <w:tcPr>
            <w:tcW w:w="1154" w:type="dxa"/>
            <w:vMerge w:val="restart"/>
            <w:tcBorders>
              <w:top w:val="single" w:sz="4" w:space="0" w:color="000000"/>
              <w:left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hideMark/>
          </w:tcPr>
          <w:p w14:paraId="22204A9E" w14:textId="77777777" w:rsidR="000770E6" w:rsidRPr="008D0FB3" w:rsidRDefault="000770E6" w:rsidP="008D0FB3">
            <w:pPr>
              <w:keepNext/>
              <w:spacing w:after="0"/>
              <w:ind w:left="0"/>
              <w:jc w:val="center"/>
              <w:rPr>
                <w:rFonts w:cs="Arial"/>
                <w:b/>
                <w:color w:val="1F3864" w:themeColor="accent5" w:themeShade="80"/>
              </w:rPr>
            </w:pPr>
            <w:r w:rsidRPr="008D0FB3">
              <w:rPr>
                <w:rFonts w:cs="Arial"/>
                <w:b/>
                <w:color w:val="1F3864" w:themeColor="accent5" w:themeShade="80"/>
              </w:rPr>
              <w:t>Year</w:t>
            </w:r>
          </w:p>
        </w:tc>
        <w:tc>
          <w:tcPr>
            <w:tcW w:w="2520" w:type="dxa"/>
            <w:vMerge w:val="restart"/>
            <w:tcBorders>
              <w:top w:val="single" w:sz="4" w:space="0" w:color="000000"/>
              <w:left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hideMark/>
          </w:tcPr>
          <w:p w14:paraId="4BDB60FF" w14:textId="77777777" w:rsidR="000770E6" w:rsidRPr="008D0FB3" w:rsidRDefault="000770E6" w:rsidP="008D0FB3">
            <w:pPr>
              <w:keepNext/>
              <w:spacing w:after="0"/>
              <w:ind w:left="0"/>
              <w:jc w:val="center"/>
              <w:rPr>
                <w:rFonts w:cs="Arial"/>
                <w:b/>
                <w:color w:val="1F3864" w:themeColor="accent5" w:themeShade="80"/>
              </w:rPr>
            </w:pPr>
            <w:r w:rsidRPr="008D0FB3">
              <w:rPr>
                <w:rFonts w:cs="Arial"/>
                <w:b/>
                <w:color w:val="1F3864" w:themeColor="accent5" w:themeShade="80"/>
              </w:rPr>
              <w:t>Claimant Contact Request Letters (CCR)</w:t>
            </w:r>
          </w:p>
        </w:tc>
        <w:tc>
          <w:tcPr>
            <w:tcW w:w="4016"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hideMark/>
          </w:tcPr>
          <w:p w14:paraId="3A24E90F" w14:textId="77777777" w:rsidR="000770E6" w:rsidRPr="008D0FB3" w:rsidRDefault="000770E6" w:rsidP="008D0FB3">
            <w:pPr>
              <w:keepNext/>
              <w:spacing w:after="0"/>
              <w:ind w:left="0"/>
              <w:jc w:val="center"/>
              <w:rPr>
                <w:rFonts w:cs="Arial"/>
                <w:b/>
                <w:color w:val="1F3864" w:themeColor="accent5" w:themeShade="80"/>
              </w:rPr>
            </w:pPr>
            <w:r w:rsidRPr="008D0FB3">
              <w:rPr>
                <w:rFonts w:cs="Arial"/>
                <w:b/>
                <w:color w:val="1F3864" w:themeColor="accent5" w:themeShade="80"/>
              </w:rPr>
              <w:t>Employer Earnings Verification (EV) Forms/Letters</w:t>
            </w:r>
          </w:p>
        </w:tc>
      </w:tr>
      <w:tr w:rsidR="000770E6" w14:paraId="6B2D54DE" w14:textId="77777777" w:rsidTr="008D0FB3">
        <w:trPr>
          <w:trHeight w:val="300"/>
        </w:trPr>
        <w:tc>
          <w:tcPr>
            <w:tcW w:w="115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2A7B7C" w14:textId="77777777" w:rsidR="000770E6" w:rsidRPr="008D0FB3" w:rsidRDefault="000770E6" w:rsidP="008D0FB3">
            <w:pPr>
              <w:keepNext/>
              <w:spacing w:after="0"/>
              <w:jc w:val="center"/>
              <w:rPr>
                <w:rFonts w:cs="Arial"/>
                <w:b/>
                <w:color w:val="1F3864" w:themeColor="accent5" w:themeShade="80"/>
              </w:rPr>
            </w:pPr>
          </w:p>
        </w:tc>
        <w:tc>
          <w:tcPr>
            <w:tcW w:w="2520"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AD039E8" w14:textId="77777777" w:rsidR="000770E6" w:rsidRPr="008D0FB3" w:rsidRDefault="000770E6" w:rsidP="008D0FB3">
            <w:pPr>
              <w:keepNext/>
              <w:spacing w:after="0"/>
              <w:jc w:val="center"/>
              <w:rPr>
                <w:rFonts w:cs="Arial"/>
                <w:b/>
                <w:color w:val="1F3864" w:themeColor="accent5" w:themeShade="80"/>
              </w:rPr>
            </w:pPr>
          </w:p>
        </w:tc>
        <w:tc>
          <w:tcPr>
            <w:tcW w:w="185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14:paraId="214A6EC5" w14:textId="77777777" w:rsidR="000770E6" w:rsidRPr="008D0FB3" w:rsidRDefault="000770E6" w:rsidP="008D0FB3">
            <w:pPr>
              <w:keepNext/>
              <w:spacing w:after="0"/>
              <w:ind w:left="0"/>
              <w:jc w:val="center"/>
              <w:rPr>
                <w:rFonts w:cs="Arial"/>
                <w:b/>
                <w:color w:val="1F3864" w:themeColor="accent5" w:themeShade="80"/>
              </w:rPr>
            </w:pPr>
            <w:r w:rsidRPr="008D0FB3">
              <w:rPr>
                <w:rFonts w:cs="Arial"/>
                <w:b/>
                <w:color w:val="1F3864" w:themeColor="accent5" w:themeShade="80"/>
              </w:rPr>
              <w:t>Sent</w:t>
            </w:r>
          </w:p>
        </w:tc>
        <w:tc>
          <w:tcPr>
            <w:tcW w:w="216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F884E36" w14:textId="77777777" w:rsidR="000770E6" w:rsidRPr="008D0FB3" w:rsidRDefault="000770E6" w:rsidP="008D0FB3">
            <w:pPr>
              <w:keepNext/>
              <w:spacing w:after="0"/>
              <w:ind w:left="0"/>
              <w:jc w:val="center"/>
              <w:rPr>
                <w:rFonts w:cs="Arial"/>
                <w:b/>
                <w:color w:val="1F3864" w:themeColor="accent5" w:themeShade="80"/>
              </w:rPr>
            </w:pPr>
            <w:r w:rsidRPr="008D0FB3">
              <w:rPr>
                <w:rFonts w:cs="Arial"/>
                <w:b/>
                <w:color w:val="1F3864" w:themeColor="accent5" w:themeShade="80"/>
              </w:rPr>
              <w:t>Returned</w:t>
            </w:r>
          </w:p>
        </w:tc>
      </w:tr>
      <w:tr w:rsidR="00297242" w14:paraId="373DD666" w14:textId="77777777" w:rsidTr="008D0FB3">
        <w:trPr>
          <w:trHeight w:val="300"/>
        </w:trPr>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2CDD7F8" w14:textId="4190B80F" w:rsidR="00297242" w:rsidRDefault="00297242" w:rsidP="008D0FB3">
            <w:pPr>
              <w:keepNext/>
              <w:spacing w:before="60" w:after="60"/>
              <w:ind w:left="0"/>
              <w:jc w:val="center"/>
              <w:rPr>
                <w:color w:val="000000"/>
              </w:rPr>
            </w:pPr>
            <w:r>
              <w:rPr>
                <w:color w:val="000000"/>
              </w:rPr>
              <w:t>2017</w:t>
            </w: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DE327DA" w14:textId="1FA59E36" w:rsidR="00297242" w:rsidRDefault="00297242" w:rsidP="008D0FB3">
            <w:pPr>
              <w:keepNext/>
              <w:spacing w:before="60" w:after="60"/>
              <w:ind w:left="0"/>
              <w:jc w:val="center"/>
              <w:rPr>
                <w:color w:val="000000"/>
              </w:rPr>
            </w:pPr>
            <w:r>
              <w:rPr>
                <w:color w:val="000000"/>
              </w:rPr>
              <w:t>34,323</w:t>
            </w:r>
          </w:p>
        </w:tc>
        <w:tc>
          <w:tcPr>
            <w:tcW w:w="18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E7C991B" w14:textId="2BFCFC95" w:rsidR="00297242" w:rsidRDefault="00297242" w:rsidP="008D0FB3">
            <w:pPr>
              <w:keepNext/>
              <w:spacing w:before="60" w:after="60"/>
              <w:ind w:left="0"/>
              <w:jc w:val="center"/>
              <w:rPr>
                <w:color w:val="000000"/>
              </w:rPr>
            </w:pPr>
            <w:r>
              <w:rPr>
                <w:color w:val="000000"/>
              </w:rPr>
              <w:t>327,315</w:t>
            </w:r>
          </w:p>
        </w:tc>
        <w:tc>
          <w:tcPr>
            <w:tcW w:w="2160" w:type="dxa"/>
            <w:tcBorders>
              <w:top w:val="single" w:sz="4" w:space="0" w:color="000000"/>
              <w:left w:val="single" w:sz="4" w:space="0" w:color="000000"/>
              <w:bottom w:val="single" w:sz="4" w:space="0" w:color="000000"/>
              <w:right w:val="single" w:sz="4" w:space="0" w:color="000000"/>
            </w:tcBorders>
            <w:vAlign w:val="bottom"/>
          </w:tcPr>
          <w:p w14:paraId="1D0A8284" w14:textId="0BAAF077" w:rsidR="00297242" w:rsidRDefault="00297242" w:rsidP="008D0FB3">
            <w:pPr>
              <w:keepNext/>
              <w:spacing w:before="60" w:after="60"/>
              <w:ind w:left="0"/>
              <w:jc w:val="center"/>
              <w:rPr>
                <w:color w:val="000000"/>
              </w:rPr>
            </w:pPr>
            <w:r>
              <w:rPr>
                <w:color w:val="000000"/>
              </w:rPr>
              <w:t>136,050</w:t>
            </w:r>
          </w:p>
        </w:tc>
      </w:tr>
      <w:tr w:rsidR="000770E6" w14:paraId="401420DA" w14:textId="77777777" w:rsidTr="008D0FB3">
        <w:trPr>
          <w:trHeight w:val="300"/>
        </w:trPr>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51DAE07" w14:textId="77777777" w:rsidR="000770E6" w:rsidRPr="00695618" w:rsidRDefault="000770E6" w:rsidP="008D0FB3">
            <w:pPr>
              <w:keepNext/>
              <w:spacing w:before="60" w:after="60"/>
              <w:ind w:left="0"/>
              <w:jc w:val="center"/>
              <w:rPr>
                <w:rFonts w:ascii="Calibri" w:hAnsi="Calibri"/>
                <w:color w:val="000000"/>
              </w:rPr>
            </w:pPr>
            <w:r>
              <w:rPr>
                <w:color w:val="000000"/>
              </w:rPr>
              <w:t>2016</w:t>
            </w: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EAA133E" w14:textId="77777777" w:rsidR="000770E6" w:rsidRPr="00695618" w:rsidRDefault="000770E6" w:rsidP="008D0FB3">
            <w:pPr>
              <w:keepNext/>
              <w:spacing w:before="60" w:after="60"/>
              <w:ind w:left="0"/>
              <w:jc w:val="center"/>
              <w:rPr>
                <w:rFonts w:ascii="Calibri" w:hAnsi="Calibri"/>
                <w:color w:val="000000"/>
              </w:rPr>
            </w:pPr>
            <w:r>
              <w:rPr>
                <w:color w:val="000000"/>
              </w:rPr>
              <w:t>42,039</w:t>
            </w:r>
          </w:p>
        </w:tc>
        <w:tc>
          <w:tcPr>
            <w:tcW w:w="18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DB0FD0C" w14:textId="77777777" w:rsidR="000770E6" w:rsidRPr="00695618" w:rsidRDefault="000770E6" w:rsidP="008D0FB3">
            <w:pPr>
              <w:keepNext/>
              <w:spacing w:before="60" w:after="60"/>
              <w:ind w:left="0"/>
              <w:jc w:val="center"/>
              <w:rPr>
                <w:rFonts w:ascii="Calibri" w:hAnsi="Calibri"/>
                <w:color w:val="000000"/>
              </w:rPr>
            </w:pPr>
            <w:r>
              <w:rPr>
                <w:color w:val="000000"/>
              </w:rPr>
              <w:t>319,390</w:t>
            </w:r>
          </w:p>
        </w:tc>
        <w:tc>
          <w:tcPr>
            <w:tcW w:w="2160" w:type="dxa"/>
            <w:tcBorders>
              <w:top w:val="single" w:sz="4" w:space="0" w:color="000000"/>
              <w:left w:val="single" w:sz="4" w:space="0" w:color="000000"/>
              <w:bottom w:val="single" w:sz="4" w:space="0" w:color="000000"/>
              <w:right w:val="single" w:sz="4" w:space="0" w:color="000000"/>
            </w:tcBorders>
            <w:vAlign w:val="bottom"/>
          </w:tcPr>
          <w:p w14:paraId="09E8B929" w14:textId="77777777" w:rsidR="000770E6" w:rsidRDefault="000770E6" w:rsidP="008D0FB3">
            <w:pPr>
              <w:keepNext/>
              <w:spacing w:before="60" w:after="60"/>
              <w:ind w:left="0"/>
              <w:jc w:val="center"/>
              <w:rPr>
                <w:color w:val="000000"/>
              </w:rPr>
            </w:pPr>
            <w:r>
              <w:rPr>
                <w:color w:val="000000"/>
              </w:rPr>
              <w:t>148,057</w:t>
            </w:r>
          </w:p>
        </w:tc>
      </w:tr>
      <w:tr w:rsidR="000770E6" w14:paraId="272C0DA1" w14:textId="77777777" w:rsidTr="008D0FB3">
        <w:trPr>
          <w:trHeight w:val="300"/>
        </w:trPr>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F3D258F" w14:textId="77777777" w:rsidR="000770E6" w:rsidRPr="00695618" w:rsidRDefault="000770E6" w:rsidP="008D0FB3">
            <w:pPr>
              <w:spacing w:before="60" w:after="60"/>
              <w:ind w:left="0"/>
              <w:jc w:val="center"/>
              <w:rPr>
                <w:rFonts w:ascii="Calibri" w:hAnsi="Calibri"/>
                <w:color w:val="000000"/>
              </w:rPr>
            </w:pPr>
            <w:r>
              <w:rPr>
                <w:color w:val="000000"/>
              </w:rPr>
              <w:t>2015</w:t>
            </w: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7D6BB09" w14:textId="77777777" w:rsidR="000770E6" w:rsidRPr="00695618" w:rsidRDefault="000770E6" w:rsidP="008D0FB3">
            <w:pPr>
              <w:spacing w:before="60" w:after="60"/>
              <w:ind w:left="0"/>
              <w:jc w:val="center"/>
              <w:rPr>
                <w:rFonts w:ascii="Calibri" w:hAnsi="Calibri"/>
                <w:color w:val="000000"/>
              </w:rPr>
            </w:pPr>
            <w:r>
              <w:rPr>
                <w:color w:val="000000"/>
              </w:rPr>
              <w:t>49,494</w:t>
            </w:r>
          </w:p>
        </w:tc>
        <w:tc>
          <w:tcPr>
            <w:tcW w:w="18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3D22B2E" w14:textId="77777777" w:rsidR="000770E6" w:rsidRPr="00695618" w:rsidRDefault="000770E6" w:rsidP="008D0FB3">
            <w:pPr>
              <w:spacing w:before="60" w:after="60"/>
              <w:ind w:left="0"/>
              <w:jc w:val="center"/>
              <w:rPr>
                <w:rFonts w:ascii="Calibri" w:hAnsi="Calibri"/>
                <w:color w:val="000000"/>
              </w:rPr>
            </w:pPr>
            <w:r>
              <w:rPr>
                <w:color w:val="000000"/>
              </w:rPr>
              <w:t>304,312</w:t>
            </w:r>
          </w:p>
        </w:tc>
        <w:tc>
          <w:tcPr>
            <w:tcW w:w="2160" w:type="dxa"/>
            <w:tcBorders>
              <w:top w:val="single" w:sz="4" w:space="0" w:color="000000"/>
              <w:left w:val="single" w:sz="4" w:space="0" w:color="000000"/>
              <w:bottom w:val="single" w:sz="4" w:space="0" w:color="000000"/>
              <w:right w:val="single" w:sz="4" w:space="0" w:color="000000"/>
            </w:tcBorders>
            <w:vAlign w:val="bottom"/>
          </w:tcPr>
          <w:p w14:paraId="00CF2E33" w14:textId="77777777" w:rsidR="000770E6" w:rsidRDefault="000770E6" w:rsidP="008D0FB3">
            <w:pPr>
              <w:spacing w:before="60" w:after="60"/>
              <w:ind w:left="0"/>
              <w:jc w:val="center"/>
              <w:rPr>
                <w:color w:val="000000"/>
              </w:rPr>
            </w:pPr>
            <w:r>
              <w:rPr>
                <w:color w:val="000000"/>
              </w:rPr>
              <w:t>148,172</w:t>
            </w:r>
          </w:p>
        </w:tc>
      </w:tr>
      <w:tr w:rsidR="000770E6" w14:paraId="5A40FB51" w14:textId="77777777" w:rsidTr="008D0FB3">
        <w:trPr>
          <w:trHeight w:val="300"/>
        </w:trPr>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013AEAE" w14:textId="77777777" w:rsidR="000770E6" w:rsidRDefault="000770E6" w:rsidP="008D0FB3">
            <w:pPr>
              <w:spacing w:before="60" w:after="60"/>
              <w:ind w:left="0"/>
              <w:jc w:val="center"/>
              <w:rPr>
                <w:color w:val="000000"/>
              </w:rPr>
            </w:pPr>
            <w:r>
              <w:rPr>
                <w:color w:val="000000"/>
              </w:rPr>
              <w:t>2014</w:t>
            </w: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E2142B4" w14:textId="77777777" w:rsidR="000770E6" w:rsidRDefault="000770E6" w:rsidP="008D0FB3">
            <w:pPr>
              <w:spacing w:before="60" w:after="60"/>
              <w:ind w:left="0"/>
              <w:jc w:val="center"/>
              <w:rPr>
                <w:color w:val="000000"/>
              </w:rPr>
            </w:pPr>
            <w:r>
              <w:rPr>
                <w:color w:val="000000"/>
              </w:rPr>
              <w:t>73,221</w:t>
            </w:r>
          </w:p>
        </w:tc>
        <w:tc>
          <w:tcPr>
            <w:tcW w:w="18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D08F4B8" w14:textId="77777777" w:rsidR="000770E6" w:rsidRDefault="000770E6" w:rsidP="008D0FB3">
            <w:pPr>
              <w:spacing w:before="60" w:after="60"/>
              <w:ind w:left="0"/>
              <w:jc w:val="center"/>
              <w:rPr>
                <w:color w:val="000000"/>
              </w:rPr>
            </w:pPr>
            <w:r>
              <w:rPr>
                <w:color w:val="000000"/>
              </w:rPr>
              <w:t>121,840</w:t>
            </w:r>
          </w:p>
        </w:tc>
        <w:tc>
          <w:tcPr>
            <w:tcW w:w="2160" w:type="dxa"/>
            <w:tcBorders>
              <w:top w:val="single" w:sz="4" w:space="0" w:color="000000"/>
              <w:left w:val="single" w:sz="4" w:space="0" w:color="000000"/>
              <w:bottom w:val="single" w:sz="4" w:space="0" w:color="000000"/>
              <w:right w:val="single" w:sz="4" w:space="0" w:color="000000"/>
            </w:tcBorders>
            <w:vAlign w:val="bottom"/>
          </w:tcPr>
          <w:p w14:paraId="2BA0FE1A" w14:textId="77777777" w:rsidR="000770E6" w:rsidRDefault="000770E6" w:rsidP="008D0FB3">
            <w:pPr>
              <w:spacing w:before="60" w:after="60"/>
              <w:ind w:left="0"/>
              <w:jc w:val="center"/>
              <w:rPr>
                <w:color w:val="000000"/>
              </w:rPr>
            </w:pPr>
            <w:r>
              <w:rPr>
                <w:color w:val="000000"/>
              </w:rPr>
              <w:t>84,547</w:t>
            </w:r>
          </w:p>
        </w:tc>
      </w:tr>
    </w:tbl>
    <w:p w14:paraId="09F64465" w14:textId="77777777" w:rsidR="000770E6" w:rsidRDefault="000770E6" w:rsidP="008D0FB3">
      <w:r w:rsidRPr="00CE2AD1">
        <w:t xml:space="preserve">Note: </w:t>
      </w:r>
      <w:r>
        <w:t>T</w:t>
      </w:r>
      <w:r w:rsidRPr="00CE2AD1">
        <w:t>hese Correspondence volumes are included in the UI Correspondence table above.</w:t>
      </w:r>
    </w:p>
    <w:p w14:paraId="47AA94BB" w14:textId="77777777" w:rsidR="000770E6" w:rsidRPr="00CE2AD1" w:rsidRDefault="000770E6" w:rsidP="000770E6">
      <w:pPr>
        <w:rPr>
          <w:sz w:val="20"/>
        </w:rPr>
      </w:pPr>
    </w:p>
    <w:p w14:paraId="7618B30E" w14:textId="77777777" w:rsidR="000770E6" w:rsidRPr="00A67C83" w:rsidRDefault="000770E6" w:rsidP="00805EBD">
      <w:pPr>
        <w:keepNext/>
        <w:rPr>
          <w:rFonts w:eastAsia="Verdana,Times New Roman" w:cs="Verdana,Times New Roman"/>
          <w:b/>
          <w:bCs/>
          <w:u w:val="single"/>
        </w:rPr>
      </w:pPr>
      <w:r>
        <w:rPr>
          <w:rFonts w:eastAsia="Verdana,Times New Roman" w:cs="Verdana,Times New Roman"/>
          <w:b/>
          <w:bCs/>
          <w:u w:val="single"/>
        </w:rPr>
        <w:lastRenderedPageBreak/>
        <w:t>Cross-Match Hits</w:t>
      </w:r>
    </w:p>
    <w:tbl>
      <w:tblPr>
        <w:tblW w:w="7454" w:type="dxa"/>
        <w:tblInd w:w="821" w:type="dxa"/>
        <w:tblCellMar>
          <w:left w:w="0" w:type="dxa"/>
          <w:right w:w="0" w:type="dxa"/>
        </w:tblCellMar>
        <w:tblLook w:val="04A0" w:firstRow="1" w:lastRow="0" w:firstColumn="1" w:lastColumn="0" w:noHBand="0" w:noVBand="1"/>
        <w:tblDescription w:val="table of BPC cross-match metrics"/>
      </w:tblPr>
      <w:tblGrid>
        <w:gridCol w:w="1154"/>
        <w:gridCol w:w="1800"/>
        <w:gridCol w:w="2160"/>
        <w:gridCol w:w="2340"/>
      </w:tblGrid>
      <w:tr w:rsidR="000770E6" w14:paraId="191AECA2" w14:textId="77777777" w:rsidTr="00805EBD">
        <w:trPr>
          <w:trHeight w:val="530"/>
        </w:trPr>
        <w:tc>
          <w:tcPr>
            <w:tcW w:w="115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hideMark/>
          </w:tcPr>
          <w:p w14:paraId="2C9A1A38" w14:textId="77777777" w:rsidR="000770E6" w:rsidRPr="00DF6552" w:rsidRDefault="000770E6" w:rsidP="00805EBD">
            <w:pPr>
              <w:keepNext/>
              <w:spacing w:after="0"/>
              <w:ind w:left="0"/>
              <w:jc w:val="center"/>
              <w:rPr>
                <w:rFonts w:cs="Arial"/>
                <w:b/>
                <w:color w:val="1F3864" w:themeColor="accent5" w:themeShade="80"/>
              </w:rPr>
            </w:pPr>
            <w:r w:rsidRPr="00DF6552">
              <w:rPr>
                <w:rFonts w:cs="Arial"/>
                <w:b/>
                <w:color w:val="1F3864" w:themeColor="accent5" w:themeShade="80"/>
              </w:rPr>
              <w:t>Year</w:t>
            </w:r>
          </w:p>
        </w:tc>
        <w:tc>
          <w:tcPr>
            <w:tcW w:w="180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hideMark/>
          </w:tcPr>
          <w:p w14:paraId="2EECB32E" w14:textId="77777777" w:rsidR="000770E6" w:rsidRPr="00DF6552" w:rsidRDefault="000770E6" w:rsidP="00805EBD">
            <w:pPr>
              <w:keepNext/>
              <w:spacing w:after="0"/>
              <w:ind w:left="0"/>
              <w:jc w:val="center"/>
              <w:rPr>
                <w:rFonts w:cs="Arial"/>
                <w:b/>
                <w:color w:val="1F3864" w:themeColor="accent5" w:themeShade="80"/>
              </w:rPr>
            </w:pPr>
            <w:r w:rsidRPr="00DF6552">
              <w:rPr>
                <w:rFonts w:cs="Arial"/>
                <w:b/>
                <w:color w:val="1F3864" w:themeColor="accent5" w:themeShade="80"/>
              </w:rPr>
              <w:t>New Hire</w:t>
            </w:r>
          </w:p>
        </w:tc>
        <w:tc>
          <w:tcPr>
            <w:tcW w:w="216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hideMark/>
          </w:tcPr>
          <w:p w14:paraId="49A2C793" w14:textId="77777777" w:rsidR="000770E6" w:rsidRPr="00DF6552" w:rsidRDefault="000770E6" w:rsidP="00805EBD">
            <w:pPr>
              <w:keepNext/>
              <w:spacing w:after="0"/>
              <w:ind w:left="0"/>
              <w:jc w:val="center"/>
              <w:rPr>
                <w:rFonts w:cs="Arial"/>
                <w:b/>
                <w:color w:val="1F3864" w:themeColor="accent5" w:themeShade="80"/>
              </w:rPr>
            </w:pPr>
            <w:r w:rsidRPr="00DF6552">
              <w:rPr>
                <w:rFonts w:cs="Arial"/>
                <w:b/>
                <w:color w:val="1F3864" w:themeColor="accent5" w:themeShade="80"/>
              </w:rPr>
              <w:t>Wage Benefit</w:t>
            </w:r>
          </w:p>
        </w:tc>
        <w:tc>
          <w:tcPr>
            <w:tcW w:w="234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hideMark/>
          </w:tcPr>
          <w:p w14:paraId="04CF2068" w14:textId="77777777" w:rsidR="000770E6" w:rsidRPr="00DF6552" w:rsidRDefault="000770E6" w:rsidP="00805EBD">
            <w:pPr>
              <w:keepNext/>
              <w:spacing w:after="0"/>
              <w:ind w:left="0"/>
              <w:jc w:val="center"/>
              <w:rPr>
                <w:rFonts w:cs="Arial"/>
                <w:b/>
                <w:color w:val="1F3864" w:themeColor="accent5" w:themeShade="80"/>
              </w:rPr>
            </w:pPr>
            <w:r w:rsidRPr="00DF6552">
              <w:rPr>
                <w:rFonts w:cs="Arial"/>
                <w:b/>
                <w:color w:val="1F3864" w:themeColor="accent5" w:themeShade="80"/>
              </w:rPr>
              <w:t>Incarceration</w:t>
            </w:r>
          </w:p>
        </w:tc>
      </w:tr>
      <w:tr w:rsidR="000770E6" w14:paraId="656821E5" w14:textId="77777777" w:rsidTr="00DF6552">
        <w:trPr>
          <w:trHeight w:val="300"/>
        </w:trPr>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F4B4D4" w14:textId="29BF39E4" w:rsidR="000770E6" w:rsidRPr="00695618" w:rsidRDefault="000770E6" w:rsidP="00DF6552">
            <w:pPr>
              <w:spacing w:before="60" w:after="60"/>
              <w:ind w:left="0"/>
              <w:jc w:val="center"/>
              <w:rPr>
                <w:rFonts w:ascii="Calibri" w:hAnsi="Calibri"/>
                <w:color w:val="000000"/>
              </w:rPr>
            </w:pPr>
            <w:r>
              <w:rPr>
                <w:color w:val="000000"/>
              </w:rPr>
              <w:t>201</w:t>
            </w:r>
            <w:r w:rsidR="00297242">
              <w:rPr>
                <w:color w:val="000000"/>
              </w:rPr>
              <w:t>7</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CA08C7" w14:textId="47C84DBE" w:rsidR="000770E6" w:rsidRPr="00695618" w:rsidRDefault="00297242" w:rsidP="00DF6552">
            <w:pPr>
              <w:spacing w:before="60" w:after="60"/>
              <w:ind w:left="0"/>
              <w:jc w:val="center"/>
              <w:rPr>
                <w:rFonts w:ascii="Calibri" w:hAnsi="Calibri"/>
                <w:color w:val="000000"/>
              </w:rPr>
            </w:pPr>
            <w:r>
              <w:rPr>
                <w:color w:val="000000"/>
              </w:rPr>
              <w:t>85,712</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BF7303" w14:textId="0CA4F5F9" w:rsidR="000770E6" w:rsidRPr="00695618" w:rsidRDefault="00297242" w:rsidP="00DF6552">
            <w:pPr>
              <w:spacing w:before="60" w:after="60"/>
              <w:ind w:left="0"/>
              <w:jc w:val="center"/>
              <w:rPr>
                <w:rFonts w:ascii="Calibri" w:hAnsi="Calibri"/>
                <w:color w:val="000000"/>
              </w:rPr>
            </w:pPr>
            <w:r>
              <w:rPr>
                <w:color w:val="000000"/>
              </w:rPr>
              <w:t>531,098</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AC2730" w14:textId="65990E32" w:rsidR="000770E6" w:rsidRPr="00695618" w:rsidRDefault="00297242" w:rsidP="00DF6552">
            <w:pPr>
              <w:spacing w:before="60" w:after="60"/>
              <w:ind w:left="0"/>
              <w:jc w:val="center"/>
              <w:rPr>
                <w:rFonts w:ascii="Calibri" w:hAnsi="Calibri"/>
                <w:color w:val="000000"/>
              </w:rPr>
            </w:pPr>
            <w:r>
              <w:rPr>
                <w:color w:val="000000"/>
              </w:rPr>
              <w:t>10,249</w:t>
            </w:r>
          </w:p>
        </w:tc>
      </w:tr>
      <w:tr w:rsidR="00297242" w14:paraId="5835AC9E" w14:textId="77777777" w:rsidTr="00DF6552">
        <w:trPr>
          <w:trHeight w:val="300"/>
        </w:trPr>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67CF6E" w14:textId="3BE04CBC" w:rsidR="00297242" w:rsidRDefault="00297242" w:rsidP="00297242">
            <w:pPr>
              <w:spacing w:before="60" w:after="60"/>
              <w:ind w:left="0"/>
              <w:jc w:val="center"/>
              <w:rPr>
                <w:color w:val="000000"/>
              </w:rPr>
            </w:pPr>
            <w:r>
              <w:rPr>
                <w:color w:val="000000"/>
              </w:rPr>
              <w:t>2016</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8D5865" w14:textId="26EC982C" w:rsidR="00297242" w:rsidRDefault="00297242" w:rsidP="00297242">
            <w:pPr>
              <w:spacing w:before="60" w:after="60"/>
              <w:ind w:left="0"/>
              <w:jc w:val="center"/>
              <w:rPr>
                <w:color w:val="000000"/>
              </w:rPr>
            </w:pPr>
            <w:r>
              <w:rPr>
                <w:color w:val="000000"/>
              </w:rPr>
              <w:t>94,947</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8505B1" w14:textId="5D969B96" w:rsidR="00297242" w:rsidRDefault="00297242" w:rsidP="00297242">
            <w:pPr>
              <w:spacing w:before="60" w:after="60"/>
              <w:ind w:left="0"/>
              <w:jc w:val="center"/>
              <w:rPr>
                <w:color w:val="000000"/>
              </w:rPr>
            </w:pPr>
            <w:r>
              <w:rPr>
                <w:color w:val="000000"/>
              </w:rPr>
              <w:t>599,671</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381976" w14:textId="75DBADE5" w:rsidR="00297242" w:rsidRDefault="00297242" w:rsidP="00297242">
            <w:pPr>
              <w:spacing w:before="60" w:after="60"/>
              <w:ind w:left="0"/>
              <w:jc w:val="center"/>
              <w:rPr>
                <w:color w:val="000000"/>
              </w:rPr>
            </w:pPr>
            <w:r>
              <w:rPr>
                <w:color w:val="000000"/>
              </w:rPr>
              <w:t>8,898</w:t>
            </w:r>
          </w:p>
        </w:tc>
      </w:tr>
      <w:tr w:rsidR="00297242" w14:paraId="454D422F" w14:textId="77777777" w:rsidTr="00DF6552">
        <w:trPr>
          <w:trHeight w:val="300"/>
        </w:trPr>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E936A4" w14:textId="77777777" w:rsidR="00297242" w:rsidRPr="00695618" w:rsidRDefault="00297242" w:rsidP="00297242">
            <w:pPr>
              <w:spacing w:before="60" w:after="60"/>
              <w:ind w:left="0"/>
              <w:jc w:val="center"/>
              <w:rPr>
                <w:rFonts w:ascii="Calibri" w:hAnsi="Calibri"/>
                <w:color w:val="000000"/>
              </w:rPr>
            </w:pPr>
            <w:r>
              <w:rPr>
                <w:color w:val="000000"/>
              </w:rPr>
              <w:t>2015</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E2135D" w14:textId="77777777" w:rsidR="00297242" w:rsidRPr="00695618" w:rsidRDefault="00297242" w:rsidP="00297242">
            <w:pPr>
              <w:spacing w:before="60" w:after="60"/>
              <w:ind w:left="0"/>
              <w:jc w:val="center"/>
              <w:rPr>
                <w:rFonts w:ascii="Calibri" w:hAnsi="Calibri"/>
                <w:color w:val="000000"/>
              </w:rPr>
            </w:pPr>
            <w:r>
              <w:rPr>
                <w:color w:val="000000"/>
              </w:rPr>
              <w:t>89,206</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0D8BD6" w14:textId="77777777" w:rsidR="00297242" w:rsidRPr="00695618" w:rsidRDefault="00297242" w:rsidP="00297242">
            <w:pPr>
              <w:spacing w:before="60" w:after="60"/>
              <w:ind w:left="0"/>
              <w:jc w:val="center"/>
              <w:rPr>
                <w:rFonts w:ascii="Calibri" w:hAnsi="Calibri"/>
                <w:color w:val="000000"/>
              </w:rPr>
            </w:pPr>
            <w:r>
              <w:rPr>
                <w:color w:val="000000"/>
              </w:rPr>
              <w:t>598,710</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BA5B4B" w14:textId="77777777" w:rsidR="00297242" w:rsidRPr="00695618" w:rsidRDefault="00297242" w:rsidP="00297242">
            <w:pPr>
              <w:spacing w:before="60" w:after="60"/>
              <w:ind w:left="0"/>
              <w:jc w:val="center"/>
              <w:rPr>
                <w:rFonts w:ascii="Calibri" w:hAnsi="Calibri"/>
                <w:color w:val="000000"/>
              </w:rPr>
            </w:pPr>
            <w:r>
              <w:rPr>
                <w:color w:val="000000"/>
              </w:rPr>
              <w:t>6,212</w:t>
            </w:r>
          </w:p>
        </w:tc>
      </w:tr>
      <w:tr w:rsidR="00297242" w14:paraId="3480614A" w14:textId="77777777" w:rsidTr="00DF6552">
        <w:trPr>
          <w:trHeight w:val="300"/>
        </w:trPr>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F0DB2B" w14:textId="77777777" w:rsidR="00297242" w:rsidRPr="00695618" w:rsidRDefault="00297242" w:rsidP="00297242">
            <w:pPr>
              <w:spacing w:before="60" w:after="60"/>
              <w:ind w:left="0"/>
              <w:jc w:val="center"/>
              <w:rPr>
                <w:rFonts w:ascii="Calibri" w:hAnsi="Calibri"/>
                <w:color w:val="000000"/>
              </w:rPr>
            </w:pPr>
            <w:r>
              <w:rPr>
                <w:color w:val="000000"/>
              </w:rPr>
              <w:t>2014</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14CF26" w14:textId="77777777" w:rsidR="00297242" w:rsidRPr="00695618" w:rsidRDefault="00297242" w:rsidP="00297242">
            <w:pPr>
              <w:spacing w:before="60" w:after="60"/>
              <w:ind w:left="0"/>
              <w:jc w:val="center"/>
              <w:rPr>
                <w:rFonts w:ascii="Calibri" w:hAnsi="Calibri"/>
                <w:color w:val="000000"/>
              </w:rPr>
            </w:pPr>
            <w:r>
              <w:t>96,712</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5BA611" w14:textId="77777777" w:rsidR="00297242" w:rsidRPr="00270435" w:rsidRDefault="00297242" w:rsidP="00297242">
            <w:pPr>
              <w:spacing w:before="60" w:after="60"/>
              <w:ind w:left="0"/>
              <w:jc w:val="center"/>
              <w:rPr>
                <w:rFonts w:ascii="Calibri" w:hAnsi="Calibri"/>
                <w:color w:val="000000"/>
              </w:rPr>
            </w:pPr>
            <w:r>
              <w:t>106,448</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FEBC08" w14:textId="77777777" w:rsidR="00297242" w:rsidRPr="00695618" w:rsidRDefault="00297242" w:rsidP="00297242">
            <w:pPr>
              <w:spacing w:before="60" w:after="60"/>
              <w:ind w:left="0"/>
              <w:jc w:val="center"/>
              <w:rPr>
                <w:rFonts w:ascii="Calibri" w:hAnsi="Calibri"/>
                <w:color w:val="000000"/>
              </w:rPr>
            </w:pPr>
            <w:r>
              <w:t>3,249</w:t>
            </w:r>
          </w:p>
        </w:tc>
      </w:tr>
    </w:tbl>
    <w:p w14:paraId="3C211A51" w14:textId="77777777" w:rsidR="000770E6" w:rsidRDefault="000770E6" w:rsidP="000770E6">
      <w:pPr>
        <w:rPr>
          <w:sz w:val="20"/>
        </w:rPr>
      </w:pPr>
    </w:p>
    <w:p w14:paraId="5CFB655F" w14:textId="3CB390BC" w:rsidR="000770E6" w:rsidRPr="00A67C83" w:rsidRDefault="000770E6" w:rsidP="000770E6">
      <w:pPr>
        <w:rPr>
          <w:rFonts w:eastAsia="Verdana,Times New Roman" w:cs="Verdana,Times New Roman"/>
          <w:b/>
          <w:bCs/>
          <w:u w:val="single"/>
        </w:rPr>
      </w:pPr>
      <w:r>
        <w:rPr>
          <w:rFonts w:eastAsia="Verdana,Times New Roman" w:cs="Verdana,Times New Roman"/>
          <w:b/>
          <w:bCs/>
          <w:u w:val="single"/>
        </w:rPr>
        <w:t>Investigations Completed (</w:t>
      </w:r>
      <w:r w:rsidR="004142AE" w:rsidRPr="004142AE">
        <w:rPr>
          <w:rFonts w:eastAsia="Verdana,Times New Roman" w:cs="Verdana,Times New Roman"/>
          <w:b/>
          <w:bCs/>
          <w:u w:val="single"/>
        </w:rPr>
        <w:t>Employment &amp; Training Administration (</w:t>
      </w:r>
      <w:r>
        <w:rPr>
          <w:rFonts w:eastAsia="Verdana,Times New Roman" w:cs="Verdana,Times New Roman"/>
          <w:b/>
          <w:bCs/>
          <w:u w:val="single"/>
        </w:rPr>
        <w:t>ETA</w:t>
      </w:r>
      <w:r w:rsidR="004142AE">
        <w:rPr>
          <w:rFonts w:eastAsia="Verdana,Times New Roman" w:cs="Verdana,Times New Roman"/>
          <w:b/>
          <w:bCs/>
          <w:u w:val="single"/>
        </w:rPr>
        <w:t>)</w:t>
      </w:r>
      <w:r>
        <w:rPr>
          <w:rFonts w:eastAsia="Verdana,Times New Roman" w:cs="Verdana,Times New Roman"/>
          <w:b/>
          <w:bCs/>
          <w:u w:val="single"/>
        </w:rPr>
        <w:t xml:space="preserve"> 227 Report)</w:t>
      </w:r>
    </w:p>
    <w:tbl>
      <w:tblPr>
        <w:tblW w:w="4507" w:type="dxa"/>
        <w:tblInd w:w="821" w:type="dxa"/>
        <w:tblCellMar>
          <w:left w:w="0" w:type="dxa"/>
          <w:right w:w="0" w:type="dxa"/>
        </w:tblCellMar>
        <w:tblLook w:val="04A0" w:firstRow="1" w:lastRow="0" w:firstColumn="1" w:lastColumn="0" w:noHBand="0" w:noVBand="1"/>
        <w:tblDescription w:val="table of BPC investigations metrics"/>
      </w:tblPr>
      <w:tblGrid>
        <w:gridCol w:w="1154"/>
        <w:gridCol w:w="3353"/>
      </w:tblGrid>
      <w:tr w:rsidR="000770E6" w14:paraId="47B62D2A" w14:textId="77777777" w:rsidTr="00805EBD">
        <w:trPr>
          <w:trHeight w:val="638"/>
        </w:trPr>
        <w:tc>
          <w:tcPr>
            <w:tcW w:w="115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hideMark/>
          </w:tcPr>
          <w:p w14:paraId="336CE672" w14:textId="77777777" w:rsidR="000770E6" w:rsidRPr="00D330F6" w:rsidRDefault="000770E6" w:rsidP="00D330F6">
            <w:pPr>
              <w:keepNext/>
              <w:spacing w:after="0"/>
              <w:ind w:left="0"/>
              <w:jc w:val="center"/>
              <w:rPr>
                <w:rFonts w:cs="Arial"/>
                <w:b/>
                <w:color w:val="1F3864" w:themeColor="accent5" w:themeShade="80"/>
              </w:rPr>
            </w:pPr>
            <w:r w:rsidRPr="00D330F6">
              <w:rPr>
                <w:rFonts w:cs="Arial"/>
                <w:b/>
                <w:color w:val="1F3864" w:themeColor="accent5" w:themeShade="80"/>
              </w:rPr>
              <w:t>Year</w:t>
            </w:r>
          </w:p>
        </w:tc>
        <w:tc>
          <w:tcPr>
            <w:tcW w:w="335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hideMark/>
          </w:tcPr>
          <w:p w14:paraId="73D183B2" w14:textId="77777777" w:rsidR="000770E6" w:rsidRPr="00D330F6" w:rsidRDefault="000770E6" w:rsidP="00D330F6">
            <w:pPr>
              <w:keepNext/>
              <w:spacing w:after="0"/>
              <w:ind w:left="0"/>
              <w:jc w:val="center"/>
              <w:rPr>
                <w:rFonts w:cs="Arial"/>
                <w:b/>
                <w:color w:val="1F3864" w:themeColor="accent5" w:themeShade="80"/>
              </w:rPr>
            </w:pPr>
            <w:r w:rsidRPr="00D330F6">
              <w:rPr>
                <w:rFonts w:cs="Arial"/>
                <w:b/>
                <w:color w:val="1F3864" w:themeColor="accent5" w:themeShade="80"/>
              </w:rPr>
              <w:t xml:space="preserve">Cases </w:t>
            </w:r>
            <w:r w:rsidRPr="00D330F6">
              <w:rPr>
                <w:rFonts w:cs="Arial"/>
                <w:b/>
                <w:color w:val="1F3864" w:themeColor="accent5" w:themeShade="80"/>
              </w:rPr>
              <w:br/>
              <w:t>(Fraud &amp; Non-Fraud)</w:t>
            </w:r>
          </w:p>
        </w:tc>
      </w:tr>
      <w:tr w:rsidR="00297242" w14:paraId="36165DDF" w14:textId="77777777" w:rsidTr="00D330F6">
        <w:trPr>
          <w:trHeight w:val="300"/>
        </w:trPr>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0FC5C0" w14:textId="597A349D" w:rsidR="00297242" w:rsidRDefault="00297242" w:rsidP="00D330F6">
            <w:pPr>
              <w:spacing w:before="60" w:after="60"/>
              <w:ind w:left="0"/>
              <w:jc w:val="center"/>
              <w:rPr>
                <w:color w:val="000000"/>
              </w:rPr>
            </w:pPr>
            <w:r>
              <w:rPr>
                <w:color w:val="000000"/>
              </w:rPr>
              <w:t>2017</w:t>
            </w:r>
          </w:p>
        </w:tc>
        <w:tc>
          <w:tcPr>
            <w:tcW w:w="3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22334A" w14:textId="4CD7F481" w:rsidR="00297242" w:rsidRDefault="00297242" w:rsidP="00D330F6">
            <w:pPr>
              <w:spacing w:before="60" w:after="60"/>
              <w:ind w:left="0"/>
              <w:jc w:val="center"/>
              <w:rPr>
                <w:color w:val="000000"/>
              </w:rPr>
            </w:pPr>
            <w:r>
              <w:rPr>
                <w:color w:val="000000"/>
              </w:rPr>
              <w:t>117,875</w:t>
            </w:r>
          </w:p>
        </w:tc>
      </w:tr>
      <w:tr w:rsidR="000770E6" w14:paraId="12691180" w14:textId="77777777" w:rsidTr="00D330F6">
        <w:trPr>
          <w:trHeight w:val="300"/>
        </w:trPr>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EF7482" w14:textId="77777777" w:rsidR="000770E6" w:rsidRPr="00695618" w:rsidRDefault="000770E6" w:rsidP="00D330F6">
            <w:pPr>
              <w:spacing w:before="60" w:after="60"/>
              <w:ind w:left="0"/>
              <w:jc w:val="center"/>
              <w:rPr>
                <w:rFonts w:ascii="Calibri" w:hAnsi="Calibri"/>
                <w:color w:val="000000"/>
              </w:rPr>
            </w:pPr>
            <w:r>
              <w:rPr>
                <w:color w:val="000000"/>
              </w:rPr>
              <w:t>2016</w:t>
            </w:r>
          </w:p>
        </w:tc>
        <w:tc>
          <w:tcPr>
            <w:tcW w:w="3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55674F" w14:textId="77777777" w:rsidR="000770E6" w:rsidRPr="00695618" w:rsidRDefault="000770E6" w:rsidP="00D330F6">
            <w:pPr>
              <w:spacing w:before="60" w:after="60"/>
              <w:ind w:left="0"/>
              <w:jc w:val="center"/>
              <w:rPr>
                <w:rFonts w:ascii="Calibri" w:hAnsi="Calibri"/>
                <w:color w:val="000000"/>
              </w:rPr>
            </w:pPr>
            <w:r>
              <w:rPr>
                <w:color w:val="000000"/>
              </w:rPr>
              <w:t>134,576</w:t>
            </w:r>
          </w:p>
        </w:tc>
      </w:tr>
      <w:tr w:rsidR="000770E6" w14:paraId="408A9A20" w14:textId="77777777" w:rsidTr="00D330F6">
        <w:trPr>
          <w:trHeight w:val="300"/>
        </w:trPr>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D12022" w14:textId="77777777" w:rsidR="000770E6" w:rsidRPr="00695618" w:rsidRDefault="000770E6" w:rsidP="00D330F6">
            <w:pPr>
              <w:spacing w:before="60" w:after="60"/>
              <w:ind w:left="0"/>
              <w:jc w:val="center"/>
              <w:rPr>
                <w:rFonts w:ascii="Calibri" w:hAnsi="Calibri"/>
                <w:color w:val="000000"/>
              </w:rPr>
            </w:pPr>
            <w:r>
              <w:rPr>
                <w:color w:val="000000"/>
              </w:rPr>
              <w:t>2015</w:t>
            </w:r>
          </w:p>
        </w:tc>
        <w:tc>
          <w:tcPr>
            <w:tcW w:w="3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CAA0E0" w14:textId="77777777" w:rsidR="000770E6" w:rsidRPr="00695618" w:rsidRDefault="000770E6" w:rsidP="00D330F6">
            <w:pPr>
              <w:spacing w:before="60" w:after="60"/>
              <w:ind w:left="0"/>
              <w:jc w:val="center"/>
              <w:rPr>
                <w:rFonts w:ascii="Calibri" w:hAnsi="Calibri"/>
                <w:color w:val="000000"/>
              </w:rPr>
            </w:pPr>
            <w:r>
              <w:rPr>
                <w:color w:val="000000"/>
              </w:rPr>
              <w:t>128,039</w:t>
            </w:r>
          </w:p>
        </w:tc>
      </w:tr>
      <w:tr w:rsidR="000770E6" w14:paraId="384C4407" w14:textId="77777777" w:rsidTr="00D330F6">
        <w:trPr>
          <w:trHeight w:val="300"/>
        </w:trPr>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4794EB" w14:textId="77777777" w:rsidR="000770E6" w:rsidRPr="00695618" w:rsidRDefault="000770E6" w:rsidP="00D330F6">
            <w:pPr>
              <w:spacing w:before="60" w:after="60"/>
              <w:ind w:left="0"/>
              <w:jc w:val="center"/>
              <w:rPr>
                <w:rFonts w:ascii="Calibri" w:hAnsi="Calibri"/>
                <w:color w:val="000000"/>
              </w:rPr>
            </w:pPr>
            <w:r>
              <w:rPr>
                <w:color w:val="000000"/>
              </w:rPr>
              <w:t>2014</w:t>
            </w:r>
          </w:p>
        </w:tc>
        <w:tc>
          <w:tcPr>
            <w:tcW w:w="3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28C64C" w14:textId="77777777" w:rsidR="000770E6" w:rsidRPr="00270435" w:rsidRDefault="000770E6" w:rsidP="00D330F6">
            <w:pPr>
              <w:spacing w:before="60" w:after="60"/>
              <w:ind w:left="0"/>
              <w:jc w:val="center"/>
              <w:rPr>
                <w:rFonts w:ascii="Calibri" w:hAnsi="Calibri"/>
                <w:color w:val="000000"/>
              </w:rPr>
            </w:pPr>
            <w:r>
              <w:rPr>
                <w:color w:val="000000"/>
              </w:rPr>
              <w:t>147,370</w:t>
            </w:r>
          </w:p>
        </w:tc>
      </w:tr>
    </w:tbl>
    <w:p w14:paraId="60DA821B" w14:textId="77777777" w:rsidR="000770E6" w:rsidRDefault="000770E6" w:rsidP="000770E6">
      <w:pPr>
        <w:rPr>
          <w:sz w:val="20"/>
        </w:rPr>
      </w:pPr>
    </w:p>
    <w:p w14:paraId="39BE1D2D" w14:textId="77777777" w:rsidR="000770E6" w:rsidRPr="00812364" w:rsidRDefault="000770E6" w:rsidP="000770E6">
      <w:pPr>
        <w:keepNext/>
        <w:rPr>
          <w:rFonts w:cs="Arial"/>
          <w:b/>
          <w:color w:val="1F3864" w:themeColor="accent5" w:themeShade="80"/>
        </w:rPr>
      </w:pPr>
      <w:r w:rsidRPr="006D5EF9">
        <w:rPr>
          <w:rFonts w:cs="Arial"/>
          <w:b/>
          <w:color w:val="1F3864" w:themeColor="accent5" w:themeShade="80"/>
        </w:rPr>
        <w:t>BPC Collections</w:t>
      </w:r>
    </w:p>
    <w:tbl>
      <w:tblPr>
        <w:tblW w:w="0" w:type="auto"/>
        <w:tblInd w:w="821" w:type="dxa"/>
        <w:tblCellMar>
          <w:left w:w="0" w:type="dxa"/>
          <w:right w:w="0" w:type="dxa"/>
        </w:tblCellMar>
        <w:tblLook w:val="04A0" w:firstRow="1" w:lastRow="0" w:firstColumn="1" w:lastColumn="0" w:noHBand="0" w:noVBand="1"/>
        <w:tblDescription w:val="table of BPC collections metrics"/>
      </w:tblPr>
      <w:tblGrid>
        <w:gridCol w:w="1154"/>
        <w:gridCol w:w="2272"/>
        <w:gridCol w:w="2376"/>
        <w:gridCol w:w="3542"/>
        <w:gridCol w:w="2430"/>
      </w:tblGrid>
      <w:tr w:rsidR="00812364" w:rsidRPr="00812364" w14:paraId="24B1FA1A" w14:textId="77777777" w:rsidTr="00805EBD">
        <w:trPr>
          <w:trHeight w:val="1164"/>
        </w:trPr>
        <w:tc>
          <w:tcPr>
            <w:tcW w:w="11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Mar>
              <w:top w:w="0" w:type="dxa"/>
              <w:left w:w="108" w:type="dxa"/>
              <w:bottom w:w="0" w:type="dxa"/>
              <w:right w:w="108" w:type="dxa"/>
            </w:tcMar>
            <w:vAlign w:val="center"/>
            <w:hideMark/>
          </w:tcPr>
          <w:p w14:paraId="4D72193E" w14:textId="77777777" w:rsidR="000770E6" w:rsidRPr="00812364" w:rsidRDefault="000770E6" w:rsidP="00812364">
            <w:pPr>
              <w:keepNext/>
              <w:spacing w:before="60" w:after="60"/>
              <w:ind w:left="0"/>
              <w:jc w:val="center"/>
              <w:rPr>
                <w:rFonts w:eastAsia="Arial" w:cs="Arial"/>
                <w:b/>
                <w:bCs/>
                <w:color w:val="1F3864" w:themeColor="accent5" w:themeShade="80"/>
              </w:rPr>
            </w:pPr>
            <w:r w:rsidRPr="00812364">
              <w:rPr>
                <w:rFonts w:eastAsia="Arial" w:cs="Arial"/>
                <w:b/>
                <w:bCs/>
                <w:color w:val="1F3864" w:themeColor="accent5" w:themeShade="80"/>
              </w:rPr>
              <w:t>Year</w:t>
            </w:r>
          </w:p>
        </w:tc>
        <w:tc>
          <w:tcPr>
            <w:tcW w:w="22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Mar>
              <w:top w:w="0" w:type="dxa"/>
              <w:left w:w="108" w:type="dxa"/>
              <w:bottom w:w="0" w:type="dxa"/>
              <w:right w:w="108" w:type="dxa"/>
            </w:tcMar>
            <w:vAlign w:val="center"/>
            <w:hideMark/>
          </w:tcPr>
          <w:p w14:paraId="2D3F4DD2" w14:textId="77777777" w:rsidR="000770E6" w:rsidRPr="00812364" w:rsidRDefault="000770E6" w:rsidP="00812364">
            <w:pPr>
              <w:keepNext/>
              <w:spacing w:before="60" w:after="60"/>
              <w:ind w:left="0"/>
              <w:jc w:val="center"/>
              <w:rPr>
                <w:rFonts w:eastAsia="Arial" w:cs="Arial"/>
                <w:b/>
                <w:bCs/>
                <w:color w:val="1F3864" w:themeColor="accent5" w:themeShade="80"/>
              </w:rPr>
            </w:pPr>
            <w:r w:rsidRPr="00812364">
              <w:rPr>
                <w:rFonts w:eastAsia="Arial" w:cs="Arial"/>
                <w:b/>
                <w:bCs/>
                <w:color w:val="1F3864" w:themeColor="accent5" w:themeShade="80"/>
              </w:rPr>
              <w:t>Collectable Accounts</w:t>
            </w:r>
          </w:p>
        </w:tc>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Mar>
              <w:top w:w="0" w:type="dxa"/>
              <w:left w:w="108" w:type="dxa"/>
              <w:bottom w:w="0" w:type="dxa"/>
              <w:right w:w="108" w:type="dxa"/>
            </w:tcMar>
            <w:vAlign w:val="center"/>
            <w:hideMark/>
          </w:tcPr>
          <w:p w14:paraId="70993326" w14:textId="77777777" w:rsidR="000770E6" w:rsidRPr="00812364" w:rsidRDefault="000770E6" w:rsidP="00812364">
            <w:pPr>
              <w:keepNext/>
              <w:spacing w:before="60" w:after="60"/>
              <w:ind w:left="0"/>
              <w:jc w:val="center"/>
              <w:rPr>
                <w:rFonts w:eastAsia="Arial" w:cs="Arial"/>
                <w:b/>
                <w:bCs/>
                <w:color w:val="1F3864" w:themeColor="accent5" w:themeShade="80"/>
              </w:rPr>
            </w:pPr>
            <w:r w:rsidRPr="00812364">
              <w:rPr>
                <w:rFonts w:eastAsia="Arial" w:cs="Arial"/>
                <w:b/>
                <w:bCs/>
                <w:color w:val="1F3864" w:themeColor="accent5" w:themeShade="80"/>
              </w:rPr>
              <w:t>Overpayment Installment Agreement Notices Issued</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Mar>
              <w:top w:w="0" w:type="dxa"/>
              <w:left w:w="108" w:type="dxa"/>
              <w:bottom w:w="0" w:type="dxa"/>
              <w:right w:w="108" w:type="dxa"/>
            </w:tcMar>
            <w:vAlign w:val="center"/>
            <w:hideMark/>
          </w:tcPr>
          <w:p w14:paraId="404C2C0B" w14:textId="77777777" w:rsidR="000770E6" w:rsidRPr="00812364" w:rsidRDefault="000770E6" w:rsidP="00812364">
            <w:pPr>
              <w:keepNext/>
              <w:spacing w:before="60" w:after="60"/>
              <w:ind w:left="0"/>
              <w:jc w:val="center"/>
              <w:rPr>
                <w:rFonts w:eastAsia="Arial" w:cs="Arial"/>
                <w:b/>
                <w:bCs/>
                <w:color w:val="1F3864" w:themeColor="accent5" w:themeShade="80"/>
              </w:rPr>
            </w:pPr>
            <w:r w:rsidRPr="00812364">
              <w:rPr>
                <w:rFonts w:eastAsia="Arial" w:cs="Arial"/>
                <w:b/>
                <w:bCs/>
                <w:color w:val="1F3864" w:themeColor="accent5" w:themeShade="80"/>
              </w:rPr>
              <w:t>Statement of Overpaid Unemployment Benefit Account Notices Issued</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vAlign w:val="center"/>
          </w:tcPr>
          <w:p w14:paraId="454289EC" w14:textId="77777777" w:rsidR="000770E6" w:rsidRPr="00812364" w:rsidRDefault="000770E6" w:rsidP="00812364">
            <w:pPr>
              <w:keepNext/>
              <w:spacing w:before="60" w:after="60"/>
              <w:ind w:left="0"/>
              <w:jc w:val="center"/>
              <w:rPr>
                <w:rFonts w:eastAsia="Arial" w:cs="Arial"/>
                <w:b/>
                <w:bCs/>
                <w:color w:val="1F3864" w:themeColor="accent5" w:themeShade="80"/>
              </w:rPr>
            </w:pPr>
            <w:r w:rsidRPr="00812364">
              <w:rPr>
                <w:rFonts w:eastAsia="Arial" w:cs="Arial"/>
                <w:b/>
                <w:bCs/>
                <w:color w:val="1F3864" w:themeColor="accent5" w:themeShade="80"/>
              </w:rPr>
              <w:t>Treasury Offset Notices Issued</w:t>
            </w:r>
          </w:p>
        </w:tc>
      </w:tr>
      <w:tr w:rsidR="000770E6" w14:paraId="5D1E5D94" w14:textId="77777777" w:rsidTr="00812364">
        <w:trPr>
          <w:trHeight w:val="300"/>
        </w:trPr>
        <w:tc>
          <w:tcPr>
            <w:tcW w:w="11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5AD48957" w14:textId="4C5B8145" w:rsidR="000770E6" w:rsidRPr="00695618" w:rsidRDefault="000770E6" w:rsidP="00812364">
            <w:pPr>
              <w:keepNext/>
              <w:spacing w:before="60" w:after="60"/>
              <w:ind w:left="0"/>
              <w:jc w:val="center"/>
              <w:rPr>
                <w:rFonts w:ascii="Calibri" w:hAnsi="Calibri"/>
                <w:color w:val="000000"/>
              </w:rPr>
            </w:pPr>
            <w:r>
              <w:rPr>
                <w:color w:val="000000"/>
              </w:rPr>
              <w:t>201</w:t>
            </w:r>
            <w:r w:rsidR="00895AC8">
              <w:rPr>
                <w:color w:val="000000"/>
              </w:rPr>
              <w:t>7</w:t>
            </w:r>
          </w:p>
        </w:tc>
        <w:tc>
          <w:tcPr>
            <w:tcW w:w="2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bottom"/>
          </w:tcPr>
          <w:p w14:paraId="26A5BCE7" w14:textId="639E4A59" w:rsidR="000770E6" w:rsidRPr="009C69B8" w:rsidRDefault="006D5EF9" w:rsidP="00812364">
            <w:pPr>
              <w:keepNext/>
              <w:spacing w:before="60" w:after="60"/>
              <w:ind w:left="0"/>
              <w:jc w:val="center"/>
              <w:rPr>
                <w:color w:val="000000"/>
              </w:rPr>
            </w:pPr>
            <w:r>
              <w:rPr>
                <w:color w:val="000000"/>
              </w:rPr>
              <w:t>547,179</w:t>
            </w:r>
          </w:p>
        </w:tc>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bottom"/>
          </w:tcPr>
          <w:p w14:paraId="3F4CABC8" w14:textId="2B64DD34" w:rsidR="000770E6" w:rsidRPr="009C69B8" w:rsidRDefault="006D5EF9" w:rsidP="00812364">
            <w:pPr>
              <w:keepNext/>
              <w:spacing w:before="60" w:after="60"/>
              <w:ind w:left="0"/>
              <w:jc w:val="center"/>
              <w:rPr>
                <w:color w:val="000000"/>
              </w:rPr>
            </w:pPr>
            <w:r>
              <w:rPr>
                <w:color w:val="000000"/>
              </w:rPr>
              <w:t>61,470</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bottom"/>
          </w:tcPr>
          <w:p w14:paraId="7B66E488" w14:textId="7A71B976" w:rsidR="000770E6" w:rsidRPr="009C69B8" w:rsidRDefault="006D5EF9" w:rsidP="00812364">
            <w:pPr>
              <w:keepNext/>
              <w:spacing w:before="60" w:after="60"/>
              <w:ind w:left="0"/>
              <w:jc w:val="center"/>
              <w:rPr>
                <w:color w:val="000000"/>
              </w:rPr>
            </w:pPr>
            <w:r>
              <w:rPr>
                <w:color w:val="000000"/>
              </w:rPr>
              <w:t>211,331</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55A1D2F" w14:textId="5F5DBE88" w:rsidR="000770E6" w:rsidRPr="002C7EDC" w:rsidRDefault="006D5EF9" w:rsidP="00812364">
            <w:pPr>
              <w:keepNext/>
              <w:spacing w:before="60" w:after="60"/>
              <w:ind w:left="0"/>
              <w:jc w:val="center"/>
              <w:rPr>
                <w:color w:val="000000"/>
              </w:rPr>
            </w:pPr>
            <w:r>
              <w:rPr>
                <w:color w:val="000000"/>
              </w:rPr>
              <w:t>16,217</w:t>
            </w:r>
          </w:p>
        </w:tc>
      </w:tr>
      <w:tr w:rsidR="00895AC8" w14:paraId="1E75C184" w14:textId="77777777" w:rsidTr="00812364">
        <w:trPr>
          <w:trHeight w:val="300"/>
        </w:trPr>
        <w:tc>
          <w:tcPr>
            <w:tcW w:w="11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91BCAC7" w14:textId="21878467" w:rsidR="00895AC8" w:rsidRDefault="00895AC8" w:rsidP="00895AC8">
            <w:pPr>
              <w:keepNext/>
              <w:spacing w:before="60" w:after="60"/>
              <w:ind w:left="0"/>
              <w:jc w:val="center"/>
              <w:rPr>
                <w:color w:val="000000"/>
              </w:rPr>
            </w:pPr>
            <w:r>
              <w:rPr>
                <w:color w:val="000000"/>
              </w:rPr>
              <w:t>2016</w:t>
            </w:r>
          </w:p>
        </w:tc>
        <w:tc>
          <w:tcPr>
            <w:tcW w:w="2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bottom"/>
          </w:tcPr>
          <w:p w14:paraId="0A3EE5E7" w14:textId="66EF1BE9" w:rsidR="00895AC8" w:rsidRPr="009C69B8" w:rsidRDefault="00895AC8" w:rsidP="00895AC8">
            <w:pPr>
              <w:keepNext/>
              <w:spacing w:before="60" w:after="60"/>
              <w:ind w:left="0"/>
              <w:jc w:val="center"/>
              <w:rPr>
                <w:color w:val="000000"/>
              </w:rPr>
            </w:pPr>
            <w:r w:rsidRPr="009C69B8">
              <w:rPr>
                <w:color w:val="000000"/>
              </w:rPr>
              <w:t>538,903</w:t>
            </w:r>
          </w:p>
        </w:tc>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bottom"/>
          </w:tcPr>
          <w:p w14:paraId="2A067C77" w14:textId="7E0EB832" w:rsidR="00895AC8" w:rsidRPr="009C69B8" w:rsidRDefault="00895AC8" w:rsidP="00895AC8">
            <w:pPr>
              <w:keepNext/>
              <w:spacing w:before="60" w:after="60"/>
              <w:ind w:left="0"/>
              <w:jc w:val="center"/>
              <w:rPr>
                <w:color w:val="000000"/>
              </w:rPr>
            </w:pPr>
            <w:r w:rsidRPr="009C69B8">
              <w:rPr>
                <w:color w:val="000000"/>
              </w:rPr>
              <w:t>62,003</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bottom"/>
          </w:tcPr>
          <w:p w14:paraId="55E1BC98" w14:textId="15BD4E5A" w:rsidR="00895AC8" w:rsidRPr="009C69B8" w:rsidRDefault="00895AC8" w:rsidP="00895AC8">
            <w:pPr>
              <w:keepNext/>
              <w:spacing w:before="60" w:after="60"/>
              <w:ind w:left="0"/>
              <w:jc w:val="center"/>
              <w:rPr>
                <w:color w:val="000000"/>
              </w:rPr>
            </w:pPr>
            <w:r w:rsidRPr="009C69B8">
              <w:rPr>
                <w:color w:val="000000"/>
              </w:rPr>
              <w:t>209,975</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00D0496" w14:textId="1A7393A9" w:rsidR="00895AC8" w:rsidRPr="009C69B8" w:rsidRDefault="00895AC8" w:rsidP="00895AC8">
            <w:pPr>
              <w:keepNext/>
              <w:spacing w:before="60" w:after="60"/>
              <w:ind w:left="0"/>
              <w:jc w:val="center"/>
              <w:rPr>
                <w:color w:val="000000"/>
              </w:rPr>
            </w:pPr>
            <w:r w:rsidRPr="009C69B8">
              <w:rPr>
                <w:color w:val="000000"/>
              </w:rPr>
              <w:t>100,175</w:t>
            </w:r>
          </w:p>
        </w:tc>
      </w:tr>
      <w:tr w:rsidR="00895AC8" w14:paraId="434C92A1" w14:textId="77777777" w:rsidTr="00812364">
        <w:trPr>
          <w:trHeight w:val="300"/>
        </w:trPr>
        <w:tc>
          <w:tcPr>
            <w:tcW w:w="11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70F8D7DF" w14:textId="77777777" w:rsidR="00895AC8" w:rsidRPr="00695618" w:rsidRDefault="00895AC8" w:rsidP="00895AC8">
            <w:pPr>
              <w:spacing w:before="60" w:after="60"/>
              <w:ind w:left="0"/>
              <w:jc w:val="center"/>
              <w:rPr>
                <w:rFonts w:ascii="Calibri" w:hAnsi="Calibri"/>
                <w:color w:val="000000"/>
              </w:rPr>
            </w:pPr>
            <w:r>
              <w:rPr>
                <w:color w:val="000000"/>
              </w:rPr>
              <w:t>2015</w:t>
            </w:r>
          </w:p>
        </w:tc>
        <w:tc>
          <w:tcPr>
            <w:tcW w:w="2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bottom"/>
          </w:tcPr>
          <w:p w14:paraId="157E6F70" w14:textId="77777777" w:rsidR="00895AC8" w:rsidRPr="009C69B8" w:rsidRDefault="00895AC8" w:rsidP="00895AC8">
            <w:pPr>
              <w:spacing w:before="60" w:after="60"/>
              <w:ind w:left="0"/>
              <w:jc w:val="center"/>
              <w:rPr>
                <w:color w:val="000000"/>
              </w:rPr>
            </w:pPr>
            <w:r w:rsidRPr="009C69B8">
              <w:rPr>
                <w:color w:val="000000"/>
              </w:rPr>
              <w:t>558,704</w:t>
            </w:r>
          </w:p>
        </w:tc>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bottom"/>
          </w:tcPr>
          <w:p w14:paraId="2E85E50B" w14:textId="77777777" w:rsidR="00895AC8" w:rsidRPr="009C69B8" w:rsidRDefault="00895AC8" w:rsidP="00895AC8">
            <w:pPr>
              <w:spacing w:before="60" w:after="60"/>
              <w:ind w:left="0"/>
              <w:jc w:val="center"/>
              <w:rPr>
                <w:color w:val="000000"/>
              </w:rPr>
            </w:pPr>
            <w:r w:rsidRPr="009C69B8">
              <w:rPr>
                <w:color w:val="000000"/>
              </w:rPr>
              <w:t>67,566</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bottom"/>
          </w:tcPr>
          <w:p w14:paraId="61B0AA2A" w14:textId="77777777" w:rsidR="00895AC8" w:rsidRPr="009C69B8" w:rsidRDefault="00895AC8" w:rsidP="00895AC8">
            <w:pPr>
              <w:spacing w:before="60" w:after="60"/>
              <w:ind w:left="0"/>
              <w:jc w:val="center"/>
              <w:rPr>
                <w:color w:val="000000"/>
              </w:rPr>
            </w:pPr>
            <w:r w:rsidRPr="009C69B8">
              <w:rPr>
                <w:color w:val="000000"/>
              </w:rPr>
              <w:t>242,360</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17CFEEC" w14:textId="77777777" w:rsidR="00895AC8" w:rsidRPr="002C7EDC" w:rsidRDefault="00895AC8" w:rsidP="00895AC8">
            <w:pPr>
              <w:spacing w:before="60" w:after="60"/>
              <w:ind w:left="0"/>
              <w:jc w:val="center"/>
              <w:rPr>
                <w:color w:val="000000"/>
              </w:rPr>
            </w:pPr>
            <w:r w:rsidRPr="005E72C1">
              <w:rPr>
                <w:color w:val="000000"/>
              </w:rPr>
              <w:t>N/A</w:t>
            </w:r>
          </w:p>
        </w:tc>
      </w:tr>
      <w:tr w:rsidR="00895AC8" w14:paraId="66170726" w14:textId="77777777" w:rsidTr="00812364">
        <w:trPr>
          <w:trHeight w:val="300"/>
        </w:trPr>
        <w:tc>
          <w:tcPr>
            <w:tcW w:w="11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6BA1FDBB" w14:textId="77777777" w:rsidR="00895AC8" w:rsidRPr="00695618" w:rsidRDefault="00895AC8" w:rsidP="00895AC8">
            <w:pPr>
              <w:spacing w:before="60" w:after="60"/>
              <w:ind w:left="0"/>
              <w:jc w:val="center"/>
              <w:rPr>
                <w:rFonts w:ascii="Calibri" w:hAnsi="Calibri"/>
                <w:color w:val="000000"/>
              </w:rPr>
            </w:pPr>
            <w:r>
              <w:rPr>
                <w:color w:val="000000"/>
              </w:rPr>
              <w:lastRenderedPageBreak/>
              <w:t>2014</w:t>
            </w:r>
          </w:p>
        </w:tc>
        <w:tc>
          <w:tcPr>
            <w:tcW w:w="2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bottom"/>
          </w:tcPr>
          <w:p w14:paraId="408FE792" w14:textId="77777777" w:rsidR="00895AC8" w:rsidRPr="009C69B8" w:rsidRDefault="00895AC8" w:rsidP="00895AC8">
            <w:pPr>
              <w:spacing w:before="60" w:after="60"/>
              <w:ind w:left="0"/>
              <w:jc w:val="center"/>
              <w:rPr>
                <w:color w:val="000000"/>
              </w:rPr>
            </w:pPr>
            <w:r w:rsidRPr="009C69B8">
              <w:rPr>
                <w:color w:val="000000"/>
              </w:rPr>
              <w:t>559,133</w:t>
            </w:r>
          </w:p>
        </w:tc>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bottom"/>
          </w:tcPr>
          <w:p w14:paraId="6BB39099" w14:textId="77777777" w:rsidR="00895AC8" w:rsidRPr="009C69B8" w:rsidRDefault="00895AC8" w:rsidP="00895AC8">
            <w:pPr>
              <w:spacing w:before="60" w:after="60"/>
              <w:ind w:left="0"/>
              <w:jc w:val="center"/>
              <w:rPr>
                <w:color w:val="000000"/>
              </w:rPr>
            </w:pPr>
            <w:r w:rsidRPr="009C69B8">
              <w:rPr>
                <w:color w:val="000000"/>
              </w:rPr>
              <w:t>79,847</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bottom"/>
          </w:tcPr>
          <w:p w14:paraId="62BF1F23" w14:textId="77777777" w:rsidR="00895AC8" w:rsidRPr="009C69B8" w:rsidRDefault="00895AC8" w:rsidP="00895AC8">
            <w:pPr>
              <w:spacing w:before="60" w:after="60"/>
              <w:ind w:left="0"/>
              <w:jc w:val="center"/>
              <w:rPr>
                <w:color w:val="000000"/>
              </w:rPr>
            </w:pPr>
            <w:r w:rsidRPr="009C69B8">
              <w:rPr>
                <w:color w:val="000000"/>
              </w:rPr>
              <w:t>263,281</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91A6EBC" w14:textId="77777777" w:rsidR="00895AC8" w:rsidRPr="002C7EDC" w:rsidRDefault="00895AC8" w:rsidP="00895AC8">
            <w:pPr>
              <w:spacing w:before="60" w:after="60"/>
              <w:ind w:left="0"/>
              <w:jc w:val="center"/>
              <w:rPr>
                <w:color w:val="000000"/>
              </w:rPr>
            </w:pPr>
            <w:r w:rsidRPr="005E72C1">
              <w:rPr>
                <w:color w:val="000000"/>
              </w:rPr>
              <w:t>N/A</w:t>
            </w:r>
          </w:p>
        </w:tc>
      </w:tr>
    </w:tbl>
    <w:p w14:paraId="1C7A2961" w14:textId="77777777" w:rsidR="000770E6" w:rsidRDefault="000770E6" w:rsidP="000770E6"/>
    <w:p w14:paraId="15922949" w14:textId="77777777" w:rsidR="000770E6" w:rsidRPr="0082776C" w:rsidRDefault="000770E6" w:rsidP="000770E6">
      <w:pPr>
        <w:rPr>
          <w:rFonts w:cs="Arial"/>
          <w:b/>
          <w:color w:val="1F3864" w:themeColor="accent5" w:themeShade="80"/>
        </w:rPr>
      </w:pPr>
      <w:r w:rsidRPr="00602E30">
        <w:rPr>
          <w:rFonts w:cs="Arial"/>
          <w:b/>
          <w:color w:val="1F3864" w:themeColor="accent5" w:themeShade="80"/>
        </w:rPr>
        <w:t>System Users</w:t>
      </w:r>
    </w:p>
    <w:tbl>
      <w:tblPr>
        <w:tblW w:w="10874" w:type="dxa"/>
        <w:tblInd w:w="821" w:type="dxa"/>
        <w:tblCellMar>
          <w:left w:w="0" w:type="dxa"/>
          <w:right w:w="0" w:type="dxa"/>
        </w:tblCellMar>
        <w:tblLook w:val="04A0" w:firstRow="1" w:lastRow="0" w:firstColumn="1" w:lastColumn="0" w:noHBand="0" w:noVBand="1"/>
        <w:tblDescription w:val="table of ui system user metrics"/>
      </w:tblPr>
      <w:tblGrid>
        <w:gridCol w:w="4484"/>
        <w:gridCol w:w="2070"/>
        <w:gridCol w:w="2070"/>
        <w:gridCol w:w="2250"/>
      </w:tblGrid>
      <w:tr w:rsidR="0082776C" w:rsidRPr="0082776C" w14:paraId="1821F4FA" w14:textId="77777777" w:rsidTr="0082776C">
        <w:trPr>
          <w:trHeight w:val="1070"/>
        </w:trPr>
        <w:tc>
          <w:tcPr>
            <w:tcW w:w="448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bottom"/>
            <w:hideMark/>
          </w:tcPr>
          <w:p w14:paraId="23468E18" w14:textId="77777777" w:rsidR="000770E6" w:rsidRPr="0082776C" w:rsidRDefault="000770E6" w:rsidP="0082776C">
            <w:pPr>
              <w:keepNext/>
              <w:spacing w:after="0"/>
              <w:ind w:left="0"/>
              <w:jc w:val="center"/>
              <w:rPr>
                <w:rFonts w:cs="Arial"/>
                <w:b/>
                <w:color w:val="1F3864" w:themeColor="accent5" w:themeShade="80"/>
              </w:rPr>
            </w:pPr>
            <w:bookmarkStart w:id="68" w:name="_Hlk523381213"/>
            <w:r w:rsidRPr="0082776C">
              <w:rPr>
                <w:rFonts w:cs="Arial"/>
                <w:b/>
                <w:color w:val="1F3864" w:themeColor="accent5" w:themeShade="80"/>
              </w:rPr>
              <w:t>System</w:t>
            </w:r>
          </w:p>
        </w:tc>
        <w:tc>
          <w:tcPr>
            <w:tcW w:w="207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bottom"/>
            <w:hideMark/>
          </w:tcPr>
          <w:p w14:paraId="64C5E783" w14:textId="77777777" w:rsidR="000770E6" w:rsidRPr="0082776C" w:rsidRDefault="000770E6" w:rsidP="0082776C">
            <w:pPr>
              <w:keepNext/>
              <w:spacing w:after="0"/>
              <w:ind w:left="0"/>
              <w:jc w:val="center"/>
              <w:rPr>
                <w:rFonts w:cs="Arial"/>
                <w:b/>
                <w:color w:val="1F3864" w:themeColor="accent5" w:themeShade="80"/>
              </w:rPr>
            </w:pPr>
            <w:r w:rsidRPr="0082776C">
              <w:rPr>
                <w:rFonts w:cs="Arial"/>
                <w:b/>
                <w:color w:val="1F3864" w:themeColor="accent5" w:themeShade="80"/>
              </w:rPr>
              <w:t>Average Concurrent Users</w:t>
            </w:r>
          </w:p>
        </w:tc>
        <w:tc>
          <w:tcPr>
            <w:tcW w:w="207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bottom"/>
            <w:hideMark/>
          </w:tcPr>
          <w:p w14:paraId="174F80A8" w14:textId="77777777" w:rsidR="000770E6" w:rsidRPr="0082776C" w:rsidRDefault="000770E6" w:rsidP="0082776C">
            <w:pPr>
              <w:keepNext/>
              <w:spacing w:after="0"/>
              <w:ind w:left="0"/>
              <w:jc w:val="center"/>
              <w:rPr>
                <w:rFonts w:cs="Arial"/>
                <w:b/>
                <w:color w:val="1F3864" w:themeColor="accent5" w:themeShade="80"/>
              </w:rPr>
            </w:pPr>
            <w:r w:rsidRPr="0082776C">
              <w:rPr>
                <w:rFonts w:cs="Arial"/>
                <w:b/>
                <w:color w:val="1F3864" w:themeColor="accent5" w:themeShade="80"/>
              </w:rPr>
              <w:t>Hourly Peak Users</w:t>
            </w:r>
          </w:p>
        </w:tc>
        <w:tc>
          <w:tcPr>
            <w:tcW w:w="225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bottom"/>
            <w:hideMark/>
          </w:tcPr>
          <w:p w14:paraId="60076E5E" w14:textId="77777777" w:rsidR="000770E6" w:rsidRPr="0082776C" w:rsidRDefault="000770E6" w:rsidP="0082776C">
            <w:pPr>
              <w:keepNext/>
              <w:spacing w:after="0"/>
              <w:ind w:left="0"/>
              <w:jc w:val="center"/>
              <w:rPr>
                <w:rFonts w:cs="Arial"/>
                <w:b/>
                <w:color w:val="1F3864" w:themeColor="accent5" w:themeShade="80"/>
              </w:rPr>
            </w:pPr>
            <w:r w:rsidRPr="0082776C">
              <w:rPr>
                <w:rFonts w:cs="Arial"/>
                <w:b/>
                <w:color w:val="1F3864" w:themeColor="accent5" w:themeShade="80"/>
              </w:rPr>
              <w:t>Maximum Concurrent Users</w:t>
            </w:r>
          </w:p>
        </w:tc>
      </w:tr>
      <w:tr w:rsidR="000770E6" w14:paraId="387DF184" w14:textId="77777777" w:rsidTr="0082776C">
        <w:trPr>
          <w:trHeight w:val="300"/>
        </w:trPr>
        <w:tc>
          <w:tcPr>
            <w:tcW w:w="4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BFD2B7" w14:textId="77777777" w:rsidR="000770E6" w:rsidRPr="00367A6F" w:rsidRDefault="000770E6" w:rsidP="0082776C">
            <w:pPr>
              <w:spacing w:before="60" w:after="60"/>
              <w:ind w:left="0"/>
              <w:rPr>
                <w:color w:val="000000"/>
              </w:rPr>
            </w:pPr>
            <w:r w:rsidRPr="00B64DA2">
              <w:rPr>
                <w:color w:val="000000"/>
              </w:rPr>
              <w:t>Mainframe</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03A3A6" w14:textId="77777777" w:rsidR="000770E6" w:rsidRPr="00367A6F" w:rsidRDefault="000770E6" w:rsidP="0082776C">
            <w:pPr>
              <w:spacing w:before="60" w:after="60"/>
              <w:ind w:left="0"/>
              <w:jc w:val="center"/>
              <w:rPr>
                <w:color w:val="000000"/>
              </w:rPr>
            </w:pPr>
            <w:r w:rsidRPr="00B64DA2">
              <w:rPr>
                <w:color w:val="000000"/>
              </w:rPr>
              <w:t>1,000</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AA0A18" w14:textId="77777777" w:rsidR="000770E6" w:rsidRPr="00367A6F" w:rsidRDefault="000770E6" w:rsidP="0082776C">
            <w:pPr>
              <w:spacing w:before="60" w:after="60"/>
              <w:ind w:left="0"/>
              <w:jc w:val="center"/>
              <w:rPr>
                <w:color w:val="000000"/>
              </w:rPr>
            </w:pPr>
            <w:r>
              <w:rPr>
                <w:color w:val="000000"/>
              </w:rPr>
              <w:t>1,300</w:t>
            </w: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521F0D" w14:textId="77777777" w:rsidR="000770E6" w:rsidRPr="00367A6F" w:rsidRDefault="000770E6" w:rsidP="0082776C">
            <w:pPr>
              <w:spacing w:before="60" w:after="60"/>
              <w:ind w:left="0"/>
              <w:jc w:val="center"/>
              <w:rPr>
                <w:color w:val="000000"/>
              </w:rPr>
            </w:pPr>
            <w:r w:rsidRPr="00367A6F">
              <w:rPr>
                <w:color w:val="000000"/>
              </w:rPr>
              <w:t>1,300</w:t>
            </w:r>
          </w:p>
        </w:tc>
      </w:tr>
      <w:tr w:rsidR="000770E6" w14:paraId="79322FB4" w14:textId="77777777" w:rsidTr="0082776C">
        <w:trPr>
          <w:trHeight w:val="300"/>
        </w:trPr>
        <w:tc>
          <w:tcPr>
            <w:tcW w:w="4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A72CD8" w14:textId="7AECE0B6" w:rsidR="000770E6" w:rsidRPr="00367A6F" w:rsidRDefault="000770E6" w:rsidP="0082776C">
            <w:pPr>
              <w:spacing w:before="60" w:after="60"/>
              <w:ind w:left="0"/>
              <w:rPr>
                <w:color w:val="000000"/>
              </w:rPr>
            </w:pPr>
            <w:r w:rsidRPr="00B64DA2">
              <w:rPr>
                <w:color w:val="000000"/>
              </w:rPr>
              <w:t>Web Application – UBS</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7036C7" w14:textId="77777777" w:rsidR="000770E6" w:rsidRPr="00367A6F" w:rsidRDefault="000770E6" w:rsidP="0082776C">
            <w:pPr>
              <w:spacing w:before="60" w:after="60"/>
              <w:ind w:left="0"/>
              <w:jc w:val="center"/>
              <w:rPr>
                <w:color w:val="000000"/>
              </w:rPr>
            </w:pPr>
            <w:r>
              <w:rPr>
                <w:color w:val="000000"/>
              </w:rPr>
              <w:t>677</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F2681A" w14:textId="77777777" w:rsidR="000770E6" w:rsidRPr="00367A6F" w:rsidRDefault="000770E6" w:rsidP="0082776C">
            <w:pPr>
              <w:spacing w:before="60" w:after="60"/>
              <w:ind w:left="0"/>
              <w:jc w:val="center"/>
              <w:rPr>
                <w:color w:val="000000"/>
              </w:rPr>
            </w:pPr>
            <w:r>
              <w:rPr>
                <w:color w:val="000000"/>
              </w:rPr>
              <w:t>17,095</w:t>
            </w: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90985E" w14:textId="77777777" w:rsidR="000770E6" w:rsidRPr="00367A6F" w:rsidRDefault="000770E6" w:rsidP="0082776C">
            <w:pPr>
              <w:spacing w:before="60" w:after="60"/>
              <w:ind w:left="0"/>
              <w:jc w:val="center"/>
              <w:rPr>
                <w:color w:val="000000"/>
              </w:rPr>
            </w:pPr>
            <w:r>
              <w:rPr>
                <w:color w:val="000000"/>
              </w:rPr>
              <w:t>1,035</w:t>
            </w:r>
          </w:p>
        </w:tc>
      </w:tr>
      <w:tr w:rsidR="000770E6" w14:paraId="759001CA" w14:textId="77777777" w:rsidTr="0082776C">
        <w:trPr>
          <w:trHeight w:val="300"/>
        </w:trPr>
        <w:tc>
          <w:tcPr>
            <w:tcW w:w="4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5CF944" w14:textId="64461F36" w:rsidR="000770E6" w:rsidRPr="00367A6F" w:rsidRDefault="000770E6" w:rsidP="0082776C">
            <w:pPr>
              <w:spacing w:before="60" w:after="60"/>
              <w:ind w:left="0"/>
              <w:rPr>
                <w:color w:val="000000"/>
              </w:rPr>
            </w:pPr>
            <w:r w:rsidRPr="00B64DA2">
              <w:rPr>
                <w:color w:val="000000"/>
              </w:rPr>
              <w:t>Web Application –</w:t>
            </w:r>
            <w:r w:rsidR="005C3857">
              <w:rPr>
                <w:color w:val="000000"/>
              </w:rPr>
              <w:t xml:space="preserve"> </w:t>
            </w:r>
            <w:r w:rsidR="005C3857" w:rsidRPr="00B64DA2">
              <w:rPr>
                <w:color w:val="000000"/>
              </w:rPr>
              <w:t>UTS</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D35655" w14:textId="77777777" w:rsidR="000770E6" w:rsidRPr="00367A6F" w:rsidRDefault="000770E6" w:rsidP="0082776C">
            <w:pPr>
              <w:spacing w:before="60" w:after="60"/>
              <w:ind w:left="0"/>
              <w:jc w:val="center"/>
              <w:rPr>
                <w:color w:val="000000"/>
              </w:rPr>
            </w:pPr>
            <w:r>
              <w:rPr>
                <w:color w:val="000000"/>
              </w:rPr>
              <w:t>439</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A3D04D" w14:textId="77777777" w:rsidR="000770E6" w:rsidRPr="00367A6F" w:rsidRDefault="000770E6" w:rsidP="0082776C">
            <w:pPr>
              <w:spacing w:before="60" w:after="60"/>
              <w:ind w:left="0"/>
              <w:jc w:val="center"/>
              <w:rPr>
                <w:color w:val="000000"/>
              </w:rPr>
            </w:pPr>
            <w:r>
              <w:rPr>
                <w:color w:val="000000"/>
              </w:rPr>
              <w:t>5,301</w:t>
            </w: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7AD026" w14:textId="77777777" w:rsidR="000770E6" w:rsidRPr="00367A6F" w:rsidRDefault="000770E6" w:rsidP="0082776C">
            <w:pPr>
              <w:spacing w:before="60" w:after="60"/>
              <w:ind w:left="0"/>
              <w:jc w:val="center"/>
              <w:rPr>
                <w:color w:val="000000"/>
              </w:rPr>
            </w:pPr>
            <w:r>
              <w:rPr>
                <w:color w:val="000000"/>
              </w:rPr>
              <w:t>750</w:t>
            </w:r>
          </w:p>
        </w:tc>
      </w:tr>
      <w:tr w:rsidR="004F56AF" w14:paraId="44D9EF7F" w14:textId="77777777" w:rsidTr="0082776C">
        <w:trPr>
          <w:trHeight w:val="300"/>
        </w:trPr>
        <w:tc>
          <w:tcPr>
            <w:tcW w:w="4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192758" w14:textId="33AC45F6" w:rsidR="004F56AF" w:rsidRPr="00B64DA2" w:rsidRDefault="004F56AF" w:rsidP="0082776C">
            <w:pPr>
              <w:spacing w:before="60" w:after="60"/>
              <w:ind w:left="0"/>
              <w:rPr>
                <w:color w:val="000000"/>
              </w:rPr>
            </w:pPr>
            <w:r>
              <w:rPr>
                <w:color w:val="000000"/>
              </w:rPr>
              <w:t>EBS</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07363B" w14:textId="7F30320B" w:rsidR="004F56AF" w:rsidRDefault="004F56AF" w:rsidP="0082776C">
            <w:pPr>
              <w:spacing w:before="60" w:after="60"/>
              <w:ind w:left="0"/>
              <w:jc w:val="center"/>
              <w:rPr>
                <w:color w:val="000000"/>
              </w:rPr>
            </w:pPr>
            <w:r>
              <w:rPr>
                <w:color w:val="000000"/>
              </w:rPr>
              <w:t>25</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B85869" w14:textId="534EAE8B" w:rsidR="004F56AF" w:rsidRDefault="004F56AF" w:rsidP="0082776C">
            <w:pPr>
              <w:spacing w:before="60" w:after="60"/>
              <w:ind w:left="0"/>
              <w:jc w:val="center"/>
              <w:rPr>
                <w:color w:val="000000"/>
              </w:rPr>
            </w:pPr>
            <w:r>
              <w:rPr>
                <w:color w:val="000000"/>
              </w:rPr>
              <w:t>370</w:t>
            </w: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24B253" w14:textId="7DAD0751" w:rsidR="004F56AF" w:rsidRDefault="004F56AF" w:rsidP="0082776C">
            <w:pPr>
              <w:spacing w:before="60" w:after="60"/>
              <w:ind w:left="0"/>
              <w:jc w:val="center"/>
              <w:rPr>
                <w:color w:val="000000"/>
              </w:rPr>
            </w:pPr>
            <w:r>
              <w:rPr>
                <w:color w:val="000000"/>
              </w:rPr>
              <w:t>100</w:t>
            </w:r>
          </w:p>
        </w:tc>
      </w:tr>
      <w:bookmarkEnd w:id="68"/>
    </w:tbl>
    <w:p w14:paraId="07D32615" w14:textId="77777777" w:rsidR="000770E6" w:rsidRDefault="000770E6" w:rsidP="00585988"/>
    <w:p w14:paraId="1769DEDE" w14:textId="77777777" w:rsidR="00585988" w:rsidRPr="001D15B7" w:rsidRDefault="00585988" w:rsidP="006E6A5B"/>
    <w:p w14:paraId="549E36D7" w14:textId="77777777" w:rsidR="00585988" w:rsidRDefault="00585988" w:rsidP="00716001">
      <w:pPr>
        <w:pStyle w:val="Heading4"/>
        <w:sectPr w:rsidR="00585988" w:rsidSect="00C6186B">
          <w:headerReference w:type="default" r:id="rId29"/>
          <w:footerReference w:type="default" r:id="rId30"/>
          <w:headerReference w:type="first" r:id="rId31"/>
          <w:footerReference w:type="first" r:id="rId32"/>
          <w:pgSz w:w="15840" w:h="12240" w:orient="landscape" w:code="1"/>
          <w:pgMar w:top="720" w:right="720" w:bottom="720" w:left="720" w:header="720" w:footer="432" w:gutter="0"/>
          <w:cols w:space="720"/>
          <w:docGrid w:linePitch="360"/>
        </w:sectPr>
      </w:pPr>
    </w:p>
    <w:p w14:paraId="131C61A5" w14:textId="64D70691" w:rsidR="00E57851" w:rsidRDefault="00E57851" w:rsidP="00E57851">
      <w:pPr>
        <w:pStyle w:val="Heading1"/>
      </w:pPr>
      <w:bookmarkStart w:id="69" w:name="_Toc13567391"/>
      <w:r>
        <w:lastRenderedPageBreak/>
        <w:t>Project Scope</w:t>
      </w:r>
      <w:bookmarkEnd w:id="69"/>
    </w:p>
    <w:p w14:paraId="2823E489" w14:textId="2C74412D" w:rsidR="00E57851" w:rsidRDefault="00293F26" w:rsidP="00E57851">
      <w:pPr>
        <w:pStyle w:val="Heading2"/>
      </w:pPr>
      <w:bookmarkStart w:id="70" w:name="_Toc13567392"/>
      <w:r>
        <w:t>2.1</w:t>
      </w:r>
      <w:r>
        <w:tab/>
      </w:r>
      <w:r w:rsidR="00E57851">
        <w:t>Scope of Work</w:t>
      </w:r>
      <w:bookmarkEnd w:id="70"/>
    </w:p>
    <w:p w14:paraId="6C25E43E" w14:textId="62AE3F4E" w:rsidR="00341428" w:rsidRPr="0056115A" w:rsidRDefault="00341428" w:rsidP="00341428">
      <w:r w:rsidRPr="0056115A">
        <w:t xml:space="preserve">The </w:t>
      </w:r>
      <w:r>
        <w:t xml:space="preserve">UI System Replacement Procurement and </w:t>
      </w:r>
      <w:r w:rsidRPr="0056115A">
        <w:t>Project Scope include</w:t>
      </w:r>
      <w:r>
        <w:t>s</w:t>
      </w:r>
      <w:r w:rsidRPr="0056115A">
        <w:t xml:space="preserve"> all requirements in this </w:t>
      </w:r>
      <w:r w:rsidR="004E6C4E">
        <w:t>RFO</w:t>
      </w:r>
      <w:r>
        <w:t xml:space="preserve"> that are not identified as Optional</w:t>
      </w:r>
      <w:r w:rsidRPr="0056115A">
        <w:t>.</w:t>
      </w:r>
      <w:r>
        <w:t xml:space="preserve"> </w:t>
      </w:r>
      <w:r w:rsidRPr="0056115A">
        <w:t>The following Sections 2.1.1, Scope Includes, and 2.1.2, Scope Excludes, provide highlights of functionality and/or systems specifically included or excluded from the Project Scope.</w:t>
      </w:r>
      <w:r>
        <w:t xml:space="preserve"> </w:t>
      </w:r>
      <w:r w:rsidRPr="0056115A">
        <w:t xml:space="preserve">The in-scope Project </w:t>
      </w:r>
      <w:r>
        <w:t>D</w:t>
      </w:r>
      <w:r w:rsidRPr="0056115A">
        <w:t>eliverables are described separately.</w:t>
      </w:r>
      <w:r>
        <w:t xml:space="preserve"> </w:t>
      </w:r>
    </w:p>
    <w:p w14:paraId="09C67381" w14:textId="41A6CF36" w:rsidR="00E57851" w:rsidRDefault="00293F26" w:rsidP="00CB0C74">
      <w:pPr>
        <w:pStyle w:val="Heading3"/>
      </w:pPr>
      <w:bookmarkStart w:id="71" w:name="_Toc13567393"/>
      <w:r>
        <w:t>2.1.1</w:t>
      </w:r>
      <w:r>
        <w:tab/>
      </w:r>
      <w:r w:rsidR="00E57851">
        <w:t>Scope Includes</w:t>
      </w:r>
      <w:bookmarkEnd w:id="71"/>
    </w:p>
    <w:p w14:paraId="3D702FC5" w14:textId="6CCEB547" w:rsidR="00865ADF" w:rsidRPr="00741202" w:rsidRDefault="00865ADF" w:rsidP="00865ADF">
      <w:pPr>
        <w:rPr>
          <w:color w:val="FF0000"/>
        </w:rPr>
      </w:pPr>
      <w:r>
        <w:t>The Scope i</w:t>
      </w:r>
      <w:r w:rsidRPr="0056115A">
        <w:t xml:space="preserve">ncludes all functionality from the existing system and/or processes, unless TWC intentionally eliminates specific functionality </w:t>
      </w:r>
      <w:r w:rsidR="00A909F1">
        <w:t>during</w:t>
      </w:r>
      <w:r w:rsidR="00A909F1" w:rsidRPr="0056115A">
        <w:t xml:space="preserve"> </w:t>
      </w:r>
      <w:r w:rsidRPr="0056115A">
        <w:t xml:space="preserve">the Design </w:t>
      </w:r>
      <w:r w:rsidR="00A909F1">
        <w:t>phase</w:t>
      </w:r>
      <w:r w:rsidRPr="0056115A">
        <w:t>.</w:t>
      </w:r>
      <w:r>
        <w:t xml:space="preserve"> Specifically, the Scope includes the following:</w:t>
      </w:r>
    </w:p>
    <w:p w14:paraId="22467D54" w14:textId="04C6DF9E" w:rsidR="00BA4B88" w:rsidRDefault="00EB501B" w:rsidP="00E16D2D">
      <w:pPr>
        <w:pStyle w:val="LB1"/>
      </w:pPr>
      <w:r>
        <w:t xml:space="preserve">Customization and/or </w:t>
      </w:r>
      <w:r w:rsidR="00BA4B88">
        <w:t xml:space="preserve">Configuration, Testing, Training, Implementation, and Support for the new UI system that replaces the existing </w:t>
      </w:r>
      <w:r w:rsidR="003861CC">
        <w:t xml:space="preserve">UI </w:t>
      </w:r>
      <w:r w:rsidR="00BA4B88">
        <w:t>systems</w:t>
      </w:r>
      <w:r w:rsidR="003861CC">
        <w:t xml:space="preserve"> </w:t>
      </w:r>
      <w:r w:rsidR="005E40B3">
        <w:t xml:space="preserve">and interfaces </w:t>
      </w:r>
      <w:r w:rsidR="003861CC">
        <w:t>providing Tax, Benefits, Appeals, RID, RTM</w:t>
      </w:r>
      <w:r w:rsidR="00033755">
        <w:t xml:space="preserve">, </w:t>
      </w:r>
      <w:r w:rsidR="004C5059">
        <w:t xml:space="preserve">Statistical Sampling, </w:t>
      </w:r>
      <w:r w:rsidR="00033755">
        <w:t xml:space="preserve">and </w:t>
      </w:r>
      <w:r w:rsidR="00115D8C">
        <w:t>performance evaluation</w:t>
      </w:r>
      <w:r w:rsidR="003861CC">
        <w:t xml:space="preserve"> functionality</w:t>
      </w:r>
      <w:r w:rsidR="00A23AED">
        <w:t>;</w:t>
      </w:r>
    </w:p>
    <w:p w14:paraId="0588518C" w14:textId="002B7141" w:rsidR="00BA4B88" w:rsidRDefault="00BA4B88" w:rsidP="00F82166">
      <w:pPr>
        <w:pStyle w:val="LB1"/>
      </w:pPr>
      <w:r>
        <w:t>O</w:t>
      </w:r>
      <w:r w:rsidR="006542DC">
        <w:t xml:space="preserve">rganizational </w:t>
      </w:r>
      <w:r>
        <w:t>C</w:t>
      </w:r>
      <w:r w:rsidR="006542DC">
        <w:t xml:space="preserve">hange </w:t>
      </w:r>
      <w:r>
        <w:t>M</w:t>
      </w:r>
      <w:r w:rsidR="006542DC">
        <w:t xml:space="preserve">anagement (OCM) activities </w:t>
      </w:r>
      <w:r w:rsidR="00F654E6">
        <w:t>relating to</w:t>
      </w:r>
      <w:r w:rsidR="006542DC">
        <w:t xml:space="preserve"> the Project</w:t>
      </w:r>
      <w:r w:rsidR="00F654E6">
        <w:t xml:space="preserve"> necessary to prepare for the change, </w:t>
      </w:r>
      <w:r w:rsidR="0066608D">
        <w:t xml:space="preserve">implement and </w:t>
      </w:r>
      <w:r w:rsidR="00F654E6">
        <w:t>manage the change, and reinforce the change</w:t>
      </w:r>
      <w:r w:rsidR="00A23AED">
        <w:t>;</w:t>
      </w:r>
    </w:p>
    <w:p w14:paraId="57C6DB5E" w14:textId="276BD9D1" w:rsidR="00BA4B88" w:rsidRDefault="00BA4B88" w:rsidP="00F82166">
      <w:pPr>
        <w:pStyle w:val="LB1"/>
      </w:pPr>
      <w:r>
        <w:t>Design, development, testing</w:t>
      </w:r>
      <w:r w:rsidR="00805EBD">
        <w:t>,</w:t>
      </w:r>
      <w:r>
        <w:t xml:space="preserve"> and execution of data conversion/migration from the legacy sy</w:t>
      </w:r>
      <w:r w:rsidR="00A23AED">
        <w:t>stem(s) to the hosted solution;</w:t>
      </w:r>
    </w:p>
    <w:p w14:paraId="10F41225" w14:textId="727E474D" w:rsidR="00BA4B88" w:rsidRDefault="00BA4B88">
      <w:pPr>
        <w:pStyle w:val="LB1"/>
      </w:pPr>
      <w:r>
        <w:t xml:space="preserve">Design, development, testing and implementation of updated interfaces with </w:t>
      </w:r>
      <w:r w:rsidR="00F654E6">
        <w:t>WIT</w:t>
      </w:r>
      <w:r>
        <w:t xml:space="preserve">, </w:t>
      </w:r>
      <w:r w:rsidR="002257E2">
        <w:t xml:space="preserve">SSA, IRS, NDNH, SIDES, </w:t>
      </w:r>
      <w:r w:rsidR="00991444">
        <w:t xml:space="preserve">ICON, </w:t>
      </w:r>
      <w:r>
        <w:t xml:space="preserve">and all other systems exchanging data with </w:t>
      </w:r>
      <w:r w:rsidR="00F654E6">
        <w:t>UI</w:t>
      </w:r>
      <w:r w:rsidR="00A23AED">
        <w:t>;</w:t>
      </w:r>
    </w:p>
    <w:p w14:paraId="0542CD12" w14:textId="4F420A6C" w:rsidR="00BA4B88" w:rsidRDefault="00BA4B88">
      <w:pPr>
        <w:pStyle w:val="LB1"/>
      </w:pPr>
      <w:r>
        <w:t>E</w:t>
      </w:r>
      <w:r w:rsidRPr="00787635">
        <w:t>xternally-facing user interfaces</w:t>
      </w:r>
      <w:r w:rsidR="00D0080B">
        <w:t xml:space="preserve"> and correspondence</w:t>
      </w:r>
      <w:r w:rsidRPr="00787635">
        <w:t xml:space="preserve"> </w:t>
      </w:r>
      <w:r>
        <w:t xml:space="preserve">that </w:t>
      </w:r>
      <w:r w:rsidRPr="00787635">
        <w:t xml:space="preserve">comply with </w:t>
      </w:r>
      <w:hyperlink r:id="rId33" w:history="1">
        <w:r w:rsidRPr="00443C53">
          <w:rPr>
            <w:rStyle w:val="Hyperlink"/>
          </w:rPr>
          <w:t>Texas Labor Code §</w:t>
        </w:r>
        <w:r>
          <w:rPr>
            <w:rStyle w:val="Hyperlink"/>
          </w:rPr>
          <w:t xml:space="preserve"> </w:t>
        </w:r>
        <w:r w:rsidRPr="00443C53">
          <w:rPr>
            <w:rStyle w:val="Hyperlink"/>
          </w:rPr>
          <w:t>301.064</w:t>
        </w:r>
      </w:hyperlink>
      <w:r w:rsidRPr="00787635">
        <w:t xml:space="preserve"> support</w:t>
      </w:r>
      <w:r w:rsidR="001954C6">
        <w:t>ing</w:t>
      </w:r>
      <w:r w:rsidRPr="00787635">
        <w:t xml:space="preserve"> multiple languages</w:t>
      </w:r>
      <w:r w:rsidR="00A23AED">
        <w:t>;</w:t>
      </w:r>
    </w:p>
    <w:p w14:paraId="6EC1DEF0" w14:textId="054A6CC1" w:rsidR="00BA4B88" w:rsidRDefault="00BA4B88">
      <w:pPr>
        <w:pStyle w:val="LB1"/>
      </w:pPr>
      <w:r>
        <w:t>Documentation including, but not limited to:</w:t>
      </w:r>
      <w:r w:rsidR="00EE5622">
        <w:t xml:space="preserve"> </w:t>
      </w:r>
      <w:r>
        <w:t xml:space="preserve">Requirements; Design; Configuration; Data Repositories and Migration; Testing; Training; Implementation Plan; </w:t>
      </w:r>
      <w:r w:rsidR="00F654E6">
        <w:t xml:space="preserve">OCM; </w:t>
      </w:r>
      <w:r>
        <w:t>and Post-</w:t>
      </w:r>
      <w:r w:rsidR="002F6ED1">
        <w:t>Go-Live</w:t>
      </w:r>
      <w:r w:rsidR="00A23AED">
        <w:t xml:space="preserve"> Support;</w:t>
      </w:r>
    </w:p>
    <w:p w14:paraId="388076A5" w14:textId="04EEE90A" w:rsidR="00CA3A9B" w:rsidRDefault="00FF40A5">
      <w:pPr>
        <w:pStyle w:val="LB1"/>
      </w:pPr>
      <w:r>
        <w:t xml:space="preserve">Replacement, maintenance and support of any functions that exist only in UI (e.g., </w:t>
      </w:r>
      <w:r w:rsidR="001A42F1">
        <w:rPr>
          <w:rFonts w:eastAsia="Times New Roman" w:cstheme="minorHAnsi"/>
        </w:rPr>
        <w:t>CAST</w:t>
      </w:r>
      <w:r w:rsidR="00A23AED">
        <w:t>); and</w:t>
      </w:r>
    </w:p>
    <w:p w14:paraId="52EB9815" w14:textId="202D774B" w:rsidR="00BA4B88" w:rsidRDefault="0033782E">
      <w:pPr>
        <w:pStyle w:val="LB1"/>
      </w:pPr>
      <w:r>
        <w:t>DOL reports, m</w:t>
      </w:r>
      <w:r w:rsidR="00FF40A5">
        <w:t>anagement reports</w:t>
      </w:r>
      <w:r>
        <w:t>,</w:t>
      </w:r>
      <w:r w:rsidR="00FF40A5">
        <w:t xml:space="preserve"> and ad hoc </w:t>
      </w:r>
      <w:r w:rsidR="000935D5">
        <w:t>reporting</w:t>
      </w:r>
      <w:r w:rsidR="00BA4B88">
        <w:t>.</w:t>
      </w:r>
    </w:p>
    <w:p w14:paraId="4318CA78" w14:textId="07D15DCB" w:rsidR="00E57851" w:rsidRDefault="00293F26" w:rsidP="00CB0C74">
      <w:pPr>
        <w:pStyle w:val="Heading3"/>
      </w:pPr>
      <w:bookmarkStart w:id="72" w:name="_Toc13567394"/>
      <w:r>
        <w:t>2.1.2</w:t>
      </w:r>
      <w:r>
        <w:tab/>
      </w:r>
      <w:r w:rsidR="00E57851">
        <w:t>Scope Excludes</w:t>
      </w:r>
      <w:bookmarkEnd w:id="72"/>
    </w:p>
    <w:p w14:paraId="6E0C4D05" w14:textId="5483F7E2" w:rsidR="00E57851" w:rsidRDefault="00865ADF" w:rsidP="00E57851">
      <w:r>
        <w:t>The Scope does not include:</w:t>
      </w:r>
    </w:p>
    <w:p w14:paraId="67A43C27" w14:textId="35F0614F" w:rsidR="001808C2" w:rsidRDefault="001808C2" w:rsidP="00E16D2D">
      <w:pPr>
        <w:pStyle w:val="LB1"/>
      </w:pPr>
      <w:r>
        <w:t xml:space="preserve">Replacement or modification of </w:t>
      </w:r>
      <w:r w:rsidR="00A23AED">
        <w:t>TWC’s current Workforce systems; and</w:t>
      </w:r>
    </w:p>
    <w:p w14:paraId="65C9866C" w14:textId="0949171D" w:rsidR="00865ADF" w:rsidRPr="00E57851" w:rsidRDefault="00FF40A5" w:rsidP="00F82166">
      <w:pPr>
        <w:pStyle w:val="LB1"/>
      </w:pPr>
      <w:r>
        <w:t xml:space="preserve">Modifying other </w:t>
      </w:r>
      <w:r w:rsidR="00A27AC6">
        <w:t>legacy systems</w:t>
      </w:r>
      <w:r>
        <w:t>.</w:t>
      </w:r>
    </w:p>
    <w:p w14:paraId="26C1AF9A" w14:textId="24721786" w:rsidR="00E57851" w:rsidRDefault="001808C2" w:rsidP="001808C2">
      <w:pPr>
        <w:pStyle w:val="Heading2"/>
      </w:pPr>
      <w:bookmarkStart w:id="73" w:name="_2.2_Required_Project"/>
      <w:bookmarkStart w:id="74" w:name="_Toc13567395"/>
      <w:bookmarkEnd w:id="73"/>
      <w:r>
        <w:t>2.2</w:t>
      </w:r>
      <w:r>
        <w:tab/>
      </w:r>
      <w:r w:rsidR="00AD6D9A">
        <w:t xml:space="preserve">Tasks and </w:t>
      </w:r>
      <w:r>
        <w:t>Required Project Deliverables</w:t>
      </w:r>
      <w:bookmarkEnd w:id="74"/>
    </w:p>
    <w:p w14:paraId="102E0A77" w14:textId="3C79A163" w:rsidR="001808C2" w:rsidRDefault="001808C2" w:rsidP="001808C2">
      <w:r w:rsidRPr="0056115A">
        <w:t xml:space="preserve">The following </w:t>
      </w:r>
      <w:r w:rsidR="00AD6D9A">
        <w:t xml:space="preserve">tasks and </w:t>
      </w:r>
      <w:r w:rsidRPr="0056115A">
        <w:t>deliverables are required for the Project.</w:t>
      </w:r>
      <w:r>
        <w:t xml:space="preserve"> </w:t>
      </w:r>
      <w:r w:rsidRPr="0056115A">
        <w:t>These deliverables are also the invoice points.</w:t>
      </w:r>
      <w:r>
        <w:t xml:space="preserve"> </w:t>
      </w:r>
      <w:r w:rsidRPr="0056115A">
        <w:t xml:space="preserve">If the Offeror desires more frequent </w:t>
      </w:r>
      <w:r w:rsidRPr="0056115A">
        <w:lastRenderedPageBreak/>
        <w:t>invoice opportunities than the formal deliverables, Offeror must identify and negotiate sub-deliverables before the contract is final.</w:t>
      </w:r>
      <w:r>
        <w:t xml:space="preserve"> </w:t>
      </w:r>
      <w:r w:rsidRPr="0056115A">
        <w:t>TWC will not negotiate sub-deliverables after the contract has been signed.</w:t>
      </w:r>
    </w:p>
    <w:p w14:paraId="5154232D" w14:textId="77777777" w:rsidR="001808C2" w:rsidRPr="0056115A" w:rsidRDefault="001808C2" w:rsidP="001808C2">
      <w:r w:rsidRPr="0056115A">
        <w:t>Following each deliverable below, provide a response in which you:</w:t>
      </w:r>
    </w:p>
    <w:p w14:paraId="23D6506D" w14:textId="77777777" w:rsidR="001808C2" w:rsidRPr="00C57EF9" w:rsidRDefault="001808C2" w:rsidP="00E16D2D">
      <w:pPr>
        <w:pStyle w:val="LB1"/>
      </w:pPr>
      <w:r w:rsidRPr="00C57EF9">
        <w:t>Either state that you accept all activities and work products or describe any changes you propose. If you propose changes, map your proposed changes to the deliverables, activities and work products in the RFO.</w:t>
      </w:r>
    </w:p>
    <w:p w14:paraId="6FD823EF" w14:textId="77777777" w:rsidR="001808C2" w:rsidRPr="00C57EF9" w:rsidRDefault="001808C2" w:rsidP="00F82166">
      <w:pPr>
        <w:pStyle w:val="LB1"/>
      </w:pPr>
      <w:r w:rsidRPr="00C57EF9">
        <w:t xml:space="preserve">Describe the approach you propose to use to develop the deliverable, including your understanding of the deliverable and how you plan to achieve success. </w:t>
      </w:r>
    </w:p>
    <w:p w14:paraId="51E78CD2" w14:textId="77777777" w:rsidR="001808C2" w:rsidRPr="001808C2" w:rsidRDefault="001808C2" w:rsidP="00F82166">
      <w:pPr>
        <w:pStyle w:val="LB1"/>
      </w:pPr>
      <w:r w:rsidRPr="00C57EF9">
        <w:t>Do not repeat</w:t>
      </w:r>
      <w:r w:rsidRPr="001808C2">
        <w:t xml:space="preserve"> the information provided in the RFO. </w:t>
      </w:r>
    </w:p>
    <w:p w14:paraId="3B123E03" w14:textId="77777777" w:rsidR="001808C2" w:rsidRPr="00364874" w:rsidRDefault="001808C2" w:rsidP="001808C2">
      <w:pPr>
        <w:spacing w:before="240"/>
        <w:rPr>
          <w:b/>
        </w:rPr>
      </w:pPr>
      <w:r w:rsidRPr="00364874">
        <w:rPr>
          <w:b/>
        </w:rPr>
        <w:t>Failure to follow these instructions may cause response to be deemed nonresponsive and disqualified.</w:t>
      </w:r>
    </w:p>
    <w:p w14:paraId="45E1DE3E" w14:textId="77777777" w:rsidR="001808C2" w:rsidRDefault="001808C2" w:rsidP="00C57EF9">
      <w:r>
        <w:t>Offerors must:</w:t>
      </w:r>
    </w:p>
    <w:p w14:paraId="0517D29C" w14:textId="77777777" w:rsidR="001808C2" w:rsidRDefault="001808C2" w:rsidP="00E16D2D">
      <w:pPr>
        <w:pStyle w:val="LB1"/>
      </w:pPr>
      <w:r>
        <w:t>Identify any User Groups and/or other mechanisms through which customers provide product feedback and input regarding functions that will be included in any future releases.</w:t>
      </w:r>
    </w:p>
    <w:p w14:paraId="7DF7553A" w14:textId="1623CDCE" w:rsidR="001808C2" w:rsidRDefault="001808C2" w:rsidP="00F82166">
      <w:pPr>
        <w:pStyle w:val="LB1"/>
      </w:pPr>
      <w:r>
        <w:t xml:space="preserve">Identify any </w:t>
      </w:r>
      <w:r w:rsidRPr="00FA660B">
        <w:t xml:space="preserve">additional modules </w:t>
      </w:r>
      <w:r>
        <w:t xml:space="preserve">and/or functions that are </w:t>
      </w:r>
      <w:r w:rsidRPr="00FA660B">
        <w:t xml:space="preserve">available with </w:t>
      </w:r>
      <w:r>
        <w:t>the</w:t>
      </w:r>
      <w:r w:rsidRPr="00FA660B">
        <w:t xml:space="preserve"> </w:t>
      </w:r>
      <w:r>
        <w:t>current product offerings.</w:t>
      </w:r>
    </w:p>
    <w:p w14:paraId="148D98DF" w14:textId="77777777" w:rsidR="001808C2" w:rsidRPr="00576325" w:rsidRDefault="001808C2" w:rsidP="00F82166">
      <w:pPr>
        <w:pStyle w:val="LB1"/>
      </w:pPr>
      <w:r>
        <w:t>Describe any value-added benefits, services, and/or deliverables that are not required by this RFO that the Offeror proposes to provide within the Offeror’s fixed price proposal and, thus, at no additional cost to th</w:t>
      </w:r>
      <w:r w:rsidRPr="00576325">
        <w:t xml:space="preserve">e State. </w:t>
      </w:r>
    </w:p>
    <w:p w14:paraId="172E4DCC" w14:textId="64FF3ABF" w:rsidR="001808C2" w:rsidRDefault="00576325" w:rsidP="001808C2">
      <w:pPr>
        <w:spacing w:before="240"/>
      </w:pPr>
      <w:r w:rsidRPr="00576325">
        <w:t xml:space="preserve">All Awarded Vendor deliverables are subject to State and Federal review and approval prior to final approval, acceptance, and payment. </w:t>
      </w:r>
      <w:hyperlink w:anchor="_Attachment_4_–" w:history="1">
        <w:r w:rsidR="001808C2" w:rsidRPr="00A855DF">
          <w:rPr>
            <w:rStyle w:val="Hyperlink"/>
          </w:rPr>
          <w:t xml:space="preserve">Attachment </w:t>
        </w:r>
        <w:r w:rsidR="005D0E9A" w:rsidRPr="00A855DF">
          <w:rPr>
            <w:rStyle w:val="Hyperlink"/>
          </w:rPr>
          <w:t>4</w:t>
        </w:r>
      </w:hyperlink>
      <w:r w:rsidR="001808C2" w:rsidRPr="00364874">
        <w:t xml:space="preserve"> contains the Project’s Deliverable</w:t>
      </w:r>
      <w:r w:rsidR="001808C2">
        <w:t>s</w:t>
      </w:r>
      <w:r w:rsidR="001808C2" w:rsidRPr="00364874">
        <w:t xml:space="preserve"> Expectations Document (DED) template. </w:t>
      </w:r>
      <w:bookmarkStart w:id="75" w:name="_Hlk527729662"/>
      <w:r w:rsidR="001808C2" w:rsidRPr="00364874">
        <w:t>During the project, a DED for each deliverable will be prepared by the TWC IT Project Manager based upon inputs from the Awarded Vendor and appropriate TWC program and IT stakeholders. Once approved by TWC, the DED</w:t>
      </w:r>
      <w:r w:rsidR="001808C2">
        <w:t xml:space="preserve"> will be</w:t>
      </w:r>
      <w:r w:rsidR="001808C2" w:rsidRPr="00CB57AE">
        <w:t xml:space="preserve"> incorporated herein for all pu</w:t>
      </w:r>
      <w:r w:rsidR="001808C2">
        <w:t>rposes</w:t>
      </w:r>
      <w:r w:rsidR="001808C2" w:rsidRPr="00364874">
        <w:t xml:space="preserve"> </w:t>
      </w:r>
      <w:r w:rsidR="001808C2">
        <w:t xml:space="preserve">and </w:t>
      </w:r>
      <w:r w:rsidR="001808C2" w:rsidRPr="00364874">
        <w:t>will be the tool used to monitor the Awarded Vendor’s work on the deliverable and for the d</w:t>
      </w:r>
      <w:r w:rsidR="00E20241">
        <w:t>eliverable acceptance criteria</w:t>
      </w:r>
      <w:bookmarkEnd w:id="75"/>
      <w:r w:rsidR="00E20241">
        <w:t>.</w:t>
      </w:r>
    </w:p>
    <w:p w14:paraId="666B5A15" w14:textId="77777777" w:rsidR="001808C2" w:rsidRPr="00364874" w:rsidRDefault="001808C2" w:rsidP="00E16D2D">
      <w:pPr>
        <w:pStyle w:val="LB1"/>
      </w:pPr>
      <w:r w:rsidRPr="00364874">
        <w:t>No work is to be performed on any deliverable associated with a payment milestone until the DED has been approved in writing by the TWC IT Contract Manager</w:t>
      </w:r>
      <w:r>
        <w:t xml:space="preserve"> and the Awarded Vendor</w:t>
      </w:r>
      <w:r w:rsidRPr="00364874">
        <w:t xml:space="preserve">. </w:t>
      </w:r>
    </w:p>
    <w:p w14:paraId="3F6BC2B4" w14:textId="00B6DB04" w:rsidR="001808C2" w:rsidRPr="00364874" w:rsidRDefault="001808C2" w:rsidP="00F82166">
      <w:pPr>
        <w:pStyle w:val="LB1"/>
      </w:pPr>
      <w:r w:rsidRPr="00364874">
        <w:t>Should the Awarded Vendor perform work on any contract deliverable prior to DED approval, TWC will not be responsible for, nor pay any associated costs the Awarded Vendor may incur.</w:t>
      </w:r>
      <w:r w:rsidR="00EE5622">
        <w:t xml:space="preserve"> </w:t>
      </w:r>
    </w:p>
    <w:p w14:paraId="24193C86" w14:textId="77777777" w:rsidR="001808C2" w:rsidRPr="00CC7356" w:rsidRDefault="001808C2" w:rsidP="00F82166">
      <w:pPr>
        <w:pStyle w:val="LB1"/>
      </w:pPr>
      <w:r w:rsidRPr="00364874">
        <w:t xml:space="preserve">The Awarded </w:t>
      </w:r>
      <w:r w:rsidRPr="00CC7356">
        <w:t>Vendor must specify and gain prior approval in writing for any software used for the Deliverable.</w:t>
      </w:r>
    </w:p>
    <w:p w14:paraId="6F4317CE" w14:textId="77777777" w:rsidR="00242637" w:rsidRDefault="001808C2">
      <w:pPr>
        <w:pStyle w:val="LB1"/>
      </w:pPr>
      <w:r w:rsidRPr="00CC7356">
        <w:t>As each Project deliverable is submitted, the Awarded Vendor must include a copy of the DED as</w:t>
      </w:r>
      <w:r w:rsidRPr="00364874">
        <w:t xml:space="preserve"> the cover sheet.</w:t>
      </w:r>
    </w:p>
    <w:p w14:paraId="6A36D5AA" w14:textId="4DD97679" w:rsidR="00576325" w:rsidRDefault="00576325">
      <w:pPr>
        <w:pStyle w:val="LB1"/>
      </w:pPr>
      <w:r>
        <w:lastRenderedPageBreak/>
        <w:t xml:space="preserve">Deliverables </w:t>
      </w:r>
      <w:r w:rsidRPr="00242637">
        <w:t>must</w:t>
      </w:r>
      <w:r>
        <w:t xml:space="preserve"> be tracked in a tracking sheet approved by TWC.</w:t>
      </w:r>
    </w:p>
    <w:p w14:paraId="2AA2D288" w14:textId="347CDD2B" w:rsidR="00242637" w:rsidRDefault="00242637">
      <w:pPr>
        <w:pStyle w:val="LB1"/>
      </w:pPr>
      <w:r>
        <w:t xml:space="preserve">All deliverables must be </w:t>
      </w:r>
      <w:r w:rsidR="00806B7D">
        <w:t>completed within the original contract amount.</w:t>
      </w:r>
    </w:p>
    <w:p w14:paraId="353D7896" w14:textId="0B6A9B43" w:rsidR="00B51058" w:rsidRDefault="00B51058" w:rsidP="000E1B68">
      <w:pPr>
        <w:pStyle w:val="LB1"/>
        <w:numPr>
          <w:ilvl w:val="0"/>
          <w:numId w:val="0"/>
        </w:numPr>
        <w:ind w:left="1080"/>
      </w:pPr>
    </w:p>
    <w:p w14:paraId="18CD112C" w14:textId="28C23903" w:rsidR="00B51058" w:rsidRDefault="00B51058" w:rsidP="00B51058">
      <w:bookmarkStart w:id="76" w:name="_Hlk4072708"/>
      <w:r>
        <w:t>Each deliverable must meet the following minimum acceptance criteria:</w:t>
      </w:r>
    </w:p>
    <w:p w14:paraId="3F6A86B5" w14:textId="75CFADC5" w:rsidR="00B51058" w:rsidRPr="00A21C20" w:rsidRDefault="00B51058" w:rsidP="00E16D2D">
      <w:pPr>
        <w:pStyle w:val="LB1"/>
      </w:pPr>
      <w:r w:rsidRPr="00A21C20">
        <w:t>Be presented in a format appropriate for the subject matter and depth of discussion</w:t>
      </w:r>
      <w:r w:rsidR="00A23AED">
        <w:t>;</w:t>
      </w:r>
    </w:p>
    <w:p w14:paraId="74BE93BC" w14:textId="52290869" w:rsidR="00B51058" w:rsidRPr="00A21C20" w:rsidRDefault="00B51058" w:rsidP="00F82166">
      <w:pPr>
        <w:pStyle w:val="LB1"/>
      </w:pPr>
      <w:r w:rsidRPr="00A21C20">
        <w:t>Be organized in a manner that presents a logical fl</w:t>
      </w:r>
      <w:r w:rsidR="00A23AED">
        <w:t>ow of the deliverable’s content;</w:t>
      </w:r>
    </w:p>
    <w:p w14:paraId="4E368629" w14:textId="26EC7D36" w:rsidR="00B51058" w:rsidRPr="00A21C20" w:rsidRDefault="006334B8" w:rsidP="00F82166">
      <w:pPr>
        <w:pStyle w:val="LB1"/>
      </w:pPr>
      <w:r w:rsidRPr="00A21C20">
        <w:t>Represent factual information reasonably expected to have been</w:t>
      </w:r>
      <w:r>
        <w:t xml:space="preserve"> known</w:t>
      </w:r>
      <w:r w:rsidR="00766CBA">
        <w:t>, based on industry standards,</w:t>
      </w:r>
      <w:r>
        <w:t xml:space="preserve"> at the time of submittal</w:t>
      </w:r>
      <w:r w:rsidR="00A23AED">
        <w:t>;</w:t>
      </w:r>
    </w:p>
    <w:p w14:paraId="1CC5BE45" w14:textId="5A369242" w:rsidR="00B51058" w:rsidRPr="00A21C20" w:rsidRDefault="00B51058">
      <w:pPr>
        <w:pStyle w:val="LB1"/>
      </w:pPr>
      <w:r w:rsidRPr="00A21C20">
        <w:t xml:space="preserve">In each section of the deliverable, include only information relevant to </w:t>
      </w:r>
      <w:r w:rsidR="00A23AED">
        <w:t>that section of the deliverable;</w:t>
      </w:r>
    </w:p>
    <w:p w14:paraId="69211BB4" w14:textId="00AB38BA" w:rsidR="00B51058" w:rsidRPr="00A21C20" w:rsidRDefault="00B51058">
      <w:pPr>
        <w:pStyle w:val="LB1"/>
      </w:pPr>
      <w:r w:rsidRPr="00A21C20">
        <w:t>Contain content and presentation consistent with industry best practices in terms of deliverable completeness, cl</w:t>
      </w:r>
      <w:r w:rsidR="00A23AED">
        <w:t>arity, and quality;</w:t>
      </w:r>
    </w:p>
    <w:p w14:paraId="3630C2E6" w14:textId="533F2FE8" w:rsidR="00B51058" w:rsidRPr="00A21C20" w:rsidRDefault="00B51058">
      <w:pPr>
        <w:pStyle w:val="LB1"/>
      </w:pPr>
      <w:r w:rsidRPr="00A21C20">
        <w:t>Meet the acceptance criteria applicable to that deliverable, including any State policies, functional or non-functional requ</w:t>
      </w:r>
      <w:r w:rsidR="00A23AED">
        <w:t>irements, or industry standards; and</w:t>
      </w:r>
    </w:p>
    <w:p w14:paraId="07B1CAB9" w14:textId="2C4C58E5" w:rsidR="00B51058" w:rsidRPr="00A21C20" w:rsidRDefault="00B51058">
      <w:pPr>
        <w:pStyle w:val="LB1"/>
      </w:pPr>
      <w:r w:rsidRPr="00A21C20">
        <w:t>Contain no structural errors such as poor grammar, misspellings or incorrect punctuation.</w:t>
      </w:r>
    </w:p>
    <w:p w14:paraId="6E112F1A" w14:textId="77777777" w:rsidR="00B51058" w:rsidRDefault="00B51058" w:rsidP="00B51058"/>
    <w:bookmarkEnd w:id="76"/>
    <w:p w14:paraId="0E187684" w14:textId="1CA54091" w:rsidR="00B51058" w:rsidRDefault="00B51058" w:rsidP="00B51058">
      <w:r w:rsidRPr="00A21C20">
        <w:t xml:space="preserve">A draft written deliverable may contain limited structural errors such as incorrect </w:t>
      </w:r>
      <w:r w:rsidR="004832F9" w:rsidRPr="00A21C20">
        <w:t>punctuation and</w:t>
      </w:r>
      <w:r w:rsidRPr="00A21C20">
        <w:t xml:space="preserve"> shall represent a significant level of completeness toward the associated final written deliverable. The draft written deliverable shall otherwise comply with minimum deliverable quality criteria above</w:t>
      </w:r>
      <w:r>
        <w:t>.</w:t>
      </w:r>
    </w:p>
    <w:p w14:paraId="798F232E" w14:textId="65FD4FAF" w:rsidR="009A4C39" w:rsidRPr="00364874" w:rsidRDefault="005F68CB" w:rsidP="00B51058">
      <w:r>
        <w:t xml:space="preserve">The Deliverable Acceptance is defined in </w:t>
      </w:r>
      <w:hyperlink w:anchor="_3.5_Deliverable_Acceptance" w:history="1">
        <w:r w:rsidRPr="005F68CB">
          <w:rPr>
            <w:rStyle w:val="Hyperlink"/>
          </w:rPr>
          <w:t>Section 3.5</w:t>
        </w:r>
      </w:hyperlink>
      <w:r>
        <w:t>.</w:t>
      </w:r>
    </w:p>
    <w:p w14:paraId="09075140" w14:textId="6C0555B3" w:rsidR="001808C2" w:rsidRDefault="000E77A6" w:rsidP="00CB0C74">
      <w:pPr>
        <w:pStyle w:val="Heading3"/>
      </w:pPr>
      <w:bookmarkStart w:id="77" w:name="_2.2.1_Required_Deliverable"/>
      <w:bookmarkStart w:id="78" w:name="_2.2.1_Required_DeliverableTask"/>
      <w:bookmarkStart w:id="79" w:name="_Toc13567396"/>
      <w:bookmarkStart w:id="80" w:name="_Hlk523232577"/>
      <w:bookmarkEnd w:id="77"/>
      <w:bookmarkEnd w:id="78"/>
      <w:r>
        <w:t>2.2.1</w:t>
      </w:r>
      <w:r>
        <w:tab/>
      </w:r>
      <w:r w:rsidR="00555CD5">
        <w:t>Task</w:t>
      </w:r>
      <w:r>
        <w:t xml:space="preserve"> 1: Plan and Setup</w:t>
      </w:r>
      <w:r w:rsidR="00CD1DFA" w:rsidRPr="00CD1DFA">
        <w:t xml:space="preserve"> </w:t>
      </w:r>
      <w:r w:rsidR="00CD1DFA">
        <w:t>Project</w:t>
      </w:r>
      <w:bookmarkEnd w:id="79"/>
    </w:p>
    <w:p w14:paraId="189E25E2" w14:textId="61C759F4" w:rsidR="000C3630" w:rsidRPr="00E21848" w:rsidRDefault="005F5B73" w:rsidP="000C3630">
      <w:r w:rsidRPr="00BE56F2">
        <w:t xml:space="preserve">The </w:t>
      </w:r>
      <w:r>
        <w:t xml:space="preserve">Awarded Vendor </w:t>
      </w:r>
      <w:r w:rsidRPr="00BE56F2">
        <w:t xml:space="preserve">will </w:t>
      </w:r>
      <w:r>
        <w:t xml:space="preserve">be responsible for the </w:t>
      </w:r>
      <w:r w:rsidR="000C3630" w:rsidRPr="00E21848">
        <w:t xml:space="preserve">Project Planning and Setup </w:t>
      </w:r>
      <w:r>
        <w:t>activities and work products</w:t>
      </w:r>
      <w:r w:rsidR="000C3630" w:rsidRPr="00E21848">
        <w:t xml:space="preserve"> </w:t>
      </w:r>
      <w:r>
        <w:t xml:space="preserve">necessary to </w:t>
      </w:r>
      <w:r w:rsidR="000C3630" w:rsidRPr="00E21848">
        <w:t>complete</w:t>
      </w:r>
      <w:r>
        <w:t xml:space="preserve"> the</w:t>
      </w:r>
      <w:r w:rsidR="000C3630" w:rsidRPr="00E21848">
        <w:t xml:space="preserve"> initial planning and setup tasks for the Project.</w:t>
      </w:r>
    </w:p>
    <w:p w14:paraId="190399BE" w14:textId="77777777" w:rsidR="000C3630" w:rsidRPr="00E21848" w:rsidRDefault="000C3630" w:rsidP="000C3630">
      <w:r>
        <w:t>A</w:t>
      </w:r>
      <w:r w:rsidRPr="00E21848">
        <w:t>ctivities</w:t>
      </w:r>
      <w:r>
        <w:t xml:space="preserve"> </w:t>
      </w:r>
      <w:r w:rsidRPr="00E21848">
        <w:t>include:</w:t>
      </w:r>
    </w:p>
    <w:p w14:paraId="55ABCD11" w14:textId="6D43244B" w:rsidR="000E77A6" w:rsidRPr="00135009" w:rsidRDefault="000C3630" w:rsidP="00E16D2D">
      <w:pPr>
        <w:pStyle w:val="LB1"/>
      </w:pPr>
      <w:r w:rsidRPr="00135009">
        <w:t>Plan and conduct a Project kick-off meeting</w:t>
      </w:r>
    </w:p>
    <w:p w14:paraId="5BB72FD8" w14:textId="1D0F8820" w:rsidR="00F15752" w:rsidRDefault="005F5B73" w:rsidP="00F82166">
      <w:pPr>
        <w:pStyle w:val="OB1"/>
      </w:pPr>
      <w:r w:rsidRPr="00367445">
        <w:t>C</w:t>
      </w:r>
      <w:r w:rsidR="00F15752" w:rsidRPr="00367445">
        <w:t>onduct</w:t>
      </w:r>
      <w:r w:rsidR="00F15752">
        <w:t xml:space="preserve"> a kick-off meeting at location and time selected by TWC to introduce Awarded Vendor and TWC Staff and provide a common understanding of the Project scope and</w:t>
      </w:r>
      <w:r w:rsidR="00E556C2">
        <w:t xml:space="preserve"> approach with TWC stakeholders;</w:t>
      </w:r>
    </w:p>
    <w:p w14:paraId="1DB35174" w14:textId="3BE95C2F" w:rsidR="00F15752" w:rsidRDefault="005F5B73" w:rsidP="00F82166">
      <w:pPr>
        <w:pStyle w:val="OB1"/>
      </w:pPr>
      <w:r>
        <w:t>C</w:t>
      </w:r>
      <w:r w:rsidR="00F15752">
        <w:t xml:space="preserve">reate the agenda and presentation materials. </w:t>
      </w:r>
      <w:r w:rsidR="00F15752" w:rsidRPr="00135009">
        <w:t xml:space="preserve">Awarded Vendor will provide draft materials to the </w:t>
      </w:r>
      <w:r w:rsidR="00F15752">
        <w:t xml:space="preserve">IT Project Manager and Program Project Manager </w:t>
      </w:r>
      <w:r w:rsidR="00F15752" w:rsidRPr="00135009">
        <w:t>for approval a minimum of five (5) business days prior to the meeting.</w:t>
      </w:r>
      <w:r w:rsidR="00F15752">
        <w:t xml:space="preserve"> The IT Project Manager and Program Project Manager will approve agenda and presentatio</w:t>
      </w:r>
      <w:r w:rsidR="00E556C2">
        <w:t>n materials before the meeting; and</w:t>
      </w:r>
    </w:p>
    <w:p w14:paraId="03489CC5" w14:textId="597C45CF" w:rsidR="00F15752" w:rsidRDefault="005F5B73" w:rsidP="00F82166">
      <w:pPr>
        <w:pStyle w:val="OB1"/>
      </w:pPr>
      <w:r>
        <w:lastRenderedPageBreak/>
        <w:t>C</w:t>
      </w:r>
      <w:r w:rsidR="00F15752">
        <w:t>reate meeting minutes to document the meeting. The IT Project Manager and Program Project Manager will approve the meeting minutes and the Awarded Vendor will distribute meeting minutes to all TWC stakeholders.</w:t>
      </w:r>
    </w:p>
    <w:p w14:paraId="500D6998" w14:textId="45EE4137" w:rsidR="00F15752" w:rsidRDefault="0049084B">
      <w:pPr>
        <w:pStyle w:val="LB1"/>
      </w:pPr>
      <w:r>
        <w:t xml:space="preserve">Develop a detailed phased </w:t>
      </w:r>
      <w:r w:rsidR="00F15752">
        <w:t>Implementation Strategy</w:t>
      </w:r>
    </w:p>
    <w:p w14:paraId="47863E23" w14:textId="77777777" w:rsidR="00CA00D9" w:rsidRDefault="00CA00D9">
      <w:pPr>
        <w:pStyle w:val="OB1"/>
      </w:pPr>
      <w:r>
        <w:t>A</w:t>
      </w:r>
      <w:r w:rsidR="00F15752">
        <w:t>ssess the current UI legacy systems and develop a detailed phased implementation strategy which allows TWC to sustain continuous business and system operations for the duration of the Project to include solutions for maintaining data integrity and reports throughout the project</w:t>
      </w:r>
      <w:r>
        <w:t>;</w:t>
      </w:r>
    </w:p>
    <w:p w14:paraId="07A8215F" w14:textId="77777777" w:rsidR="004E11F9" w:rsidRDefault="00D57FC7" w:rsidP="004E11F9">
      <w:pPr>
        <w:pStyle w:val="SB1"/>
      </w:pPr>
      <w:r>
        <w:t xml:space="preserve">Recommend </w:t>
      </w:r>
      <w:r w:rsidR="00571CCF">
        <w:t xml:space="preserve">a single </w:t>
      </w:r>
      <w:r>
        <w:t>implementation approach or multiple implementation approaches, e.g., phased, “Big Bang,” etc., for the entire scope of the Project to include rationale, benefits, risks, and costs for each approach</w:t>
      </w:r>
      <w:r w:rsidR="004E11F9">
        <w:t>;</w:t>
      </w:r>
    </w:p>
    <w:p w14:paraId="6C82BFED" w14:textId="77777777" w:rsidR="004E11F9" w:rsidRDefault="004E11F9" w:rsidP="004E11F9">
      <w:pPr>
        <w:pStyle w:val="SB1"/>
      </w:pPr>
      <w:r>
        <w:t>A</w:t>
      </w:r>
      <w:r w:rsidRPr="00C62AD5">
        <w:t xml:space="preserve">n example of a phased approach could be implementing Tax, then Benefits, and then Appeals </w:t>
      </w:r>
      <w:r>
        <w:t xml:space="preserve">each </w:t>
      </w:r>
      <w:r w:rsidRPr="00C62AD5">
        <w:t xml:space="preserve">in </w:t>
      </w:r>
      <w:r>
        <w:t>eighteen (</w:t>
      </w:r>
      <w:r w:rsidRPr="00C62AD5">
        <w:t>18</w:t>
      </w:r>
      <w:r>
        <w:t>)</w:t>
      </w:r>
      <w:r w:rsidRPr="00C62AD5">
        <w:t xml:space="preserve"> month cycles</w:t>
      </w:r>
      <w:r>
        <w:t>;</w:t>
      </w:r>
    </w:p>
    <w:p w14:paraId="49387824" w14:textId="77777777" w:rsidR="004E11F9" w:rsidRDefault="00185D57" w:rsidP="004E11F9">
      <w:pPr>
        <w:pStyle w:val="SB1"/>
      </w:pPr>
      <w:r>
        <w:t xml:space="preserve">TWC is open to various implementation approaches; however, TWC prefers </w:t>
      </w:r>
      <w:r w:rsidRPr="00C62AD5">
        <w:t xml:space="preserve">a phased </w:t>
      </w:r>
      <w:r>
        <w:t>approach with demonstrations of in</w:t>
      </w:r>
      <w:r w:rsidR="004E11F9">
        <w:t>terim progress to Stakeholders;</w:t>
      </w:r>
    </w:p>
    <w:p w14:paraId="5C9015B3" w14:textId="54419A54" w:rsidR="00745E81" w:rsidRDefault="00CA00D9">
      <w:pPr>
        <w:pStyle w:val="OB1"/>
      </w:pPr>
      <w:r>
        <w:t>I</w:t>
      </w:r>
      <w:r w:rsidR="0016656E">
        <w:t xml:space="preserve">nclude the </w:t>
      </w:r>
      <w:r w:rsidR="0090051C">
        <w:t>delivery methodology</w:t>
      </w:r>
      <w:r w:rsidR="0016656E">
        <w:t xml:space="preserve"> describing the tactical implementation details</w:t>
      </w:r>
      <w:r w:rsidR="00E556C2">
        <w:t>;</w:t>
      </w:r>
    </w:p>
    <w:p w14:paraId="0A26C118" w14:textId="59ED79ED" w:rsidR="004E06C1" w:rsidRPr="004E06C1" w:rsidRDefault="00CA00D9">
      <w:pPr>
        <w:pStyle w:val="OB1"/>
      </w:pPr>
      <w:bookmarkStart w:id="81" w:name="_Hlk7611519"/>
      <w:r>
        <w:t>F</w:t>
      </w:r>
      <w:r w:rsidR="0049084B">
        <w:t xml:space="preserve">actor in </w:t>
      </w:r>
      <w:r w:rsidR="00F15752">
        <w:t xml:space="preserve">TWC’s “tight coupling” </w:t>
      </w:r>
      <w:r w:rsidR="00552E66">
        <w:t xml:space="preserve">of data </w:t>
      </w:r>
      <w:r w:rsidR="00F15752">
        <w:t xml:space="preserve">via DB2 </w:t>
      </w:r>
      <w:r w:rsidR="0049084B">
        <w:t>when</w:t>
      </w:r>
      <w:r w:rsidR="00F15752">
        <w:t xml:space="preserve"> develop</w:t>
      </w:r>
      <w:r w:rsidR="0049084B">
        <w:t>ing</w:t>
      </w:r>
      <w:r w:rsidR="00F15752">
        <w:t xml:space="preserve"> legitimate </w:t>
      </w:r>
      <w:r w:rsidR="0049084B">
        <w:t xml:space="preserve">phased implementation </w:t>
      </w:r>
      <w:r w:rsidR="00E556C2">
        <w:t>paths</w:t>
      </w:r>
      <w:r w:rsidR="004E06C1">
        <w:t xml:space="preserve"> where</w:t>
      </w:r>
      <w:r w:rsidR="00B32795">
        <w:t xml:space="preserve"> </w:t>
      </w:r>
      <w:r w:rsidR="004E06C1">
        <w:rPr>
          <w:szCs w:val="24"/>
        </w:rPr>
        <w:t>“tight coupling” refers to:</w:t>
      </w:r>
    </w:p>
    <w:p w14:paraId="4FE4C479" w14:textId="492AC911" w:rsidR="004E06C1" w:rsidRDefault="004E06C1" w:rsidP="004E06C1">
      <w:pPr>
        <w:pStyle w:val="SB1"/>
      </w:pPr>
      <w:r>
        <w:t xml:space="preserve">Mutual </w:t>
      </w:r>
      <w:r>
        <w:rPr>
          <w:szCs w:val="24"/>
        </w:rPr>
        <w:t>dependency between Tax, Benefits, and Appeals on the same data that will impact phased implementation paths;</w:t>
      </w:r>
    </w:p>
    <w:p w14:paraId="0ED9AF8D" w14:textId="65362FBF" w:rsidR="004E06C1" w:rsidRDefault="004E06C1" w:rsidP="004E06C1">
      <w:pPr>
        <w:pStyle w:val="SB1"/>
      </w:pPr>
      <w:r>
        <w:t xml:space="preserve">Dependency </w:t>
      </w:r>
      <w:r>
        <w:rPr>
          <w:szCs w:val="24"/>
        </w:rPr>
        <w:t>by other non-UI systems on the same UI data;</w:t>
      </w:r>
    </w:p>
    <w:p w14:paraId="2D98DC50" w14:textId="7324377B" w:rsidR="00F15752" w:rsidRDefault="004E06C1" w:rsidP="004E06C1">
      <w:pPr>
        <w:pStyle w:val="SB1"/>
      </w:pPr>
      <w:r>
        <w:t xml:space="preserve">Current </w:t>
      </w:r>
      <w:r>
        <w:rPr>
          <w:szCs w:val="24"/>
        </w:rPr>
        <w:t>dual structure, i.e. some DB2 and some VSAM, of UI data.  Offerors must address this and implement a consistent structure</w:t>
      </w:r>
      <w:r w:rsidR="00E556C2">
        <w:t>;</w:t>
      </w:r>
      <w:r w:rsidR="003757AD">
        <w:t xml:space="preserve"> </w:t>
      </w:r>
    </w:p>
    <w:bookmarkEnd w:id="81"/>
    <w:p w14:paraId="3C6D38A6" w14:textId="09B753BE" w:rsidR="00610107" w:rsidRDefault="00610107" w:rsidP="00E16D2D">
      <w:pPr>
        <w:pStyle w:val="OB1"/>
      </w:pPr>
      <w:r>
        <w:t>Identify implementation time windows</w:t>
      </w:r>
      <w:r w:rsidR="00CA00D9">
        <w:t xml:space="preserve">. </w:t>
      </w:r>
      <w:r>
        <w:t>Based on fluctuations in UI workload during the year, the best implementation time windows are:</w:t>
      </w:r>
    </w:p>
    <w:p w14:paraId="452319DD" w14:textId="77777777" w:rsidR="00610107" w:rsidRDefault="00610107" w:rsidP="00CA00D9">
      <w:pPr>
        <w:pStyle w:val="SB1"/>
      </w:pPr>
      <w:r>
        <w:t>Last two (2) weeks in February through the first two (2) weeks in March;</w:t>
      </w:r>
    </w:p>
    <w:p w14:paraId="6EA3F9CA" w14:textId="77777777" w:rsidR="00610107" w:rsidRDefault="00610107" w:rsidP="00CA00D9">
      <w:pPr>
        <w:pStyle w:val="SB1"/>
      </w:pPr>
      <w:r>
        <w:t>Last two (2) weeks in May through the first two (2) weeks in June;</w:t>
      </w:r>
    </w:p>
    <w:p w14:paraId="23B2B7AA" w14:textId="77777777" w:rsidR="00610107" w:rsidRDefault="00610107" w:rsidP="00CA00D9">
      <w:pPr>
        <w:pStyle w:val="SB1"/>
      </w:pPr>
      <w:r>
        <w:t>Last two (2) weeks in August through the first two (2) weeks in September; and</w:t>
      </w:r>
    </w:p>
    <w:p w14:paraId="1A3CC336" w14:textId="7720D1FB" w:rsidR="00610107" w:rsidRDefault="00610107" w:rsidP="00CA00D9">
      <w:pPr>
        <w:pStyle w:val="SB1"/>
      </w:pPr>
      <w:r>
        <w:t xml:space="preserve">Last two (2) weeks in November through the </w:t>
      </w:r>
      <w:r w:rsidR="003757AD">
        <w:t>first two (2) weeks in December</w:t>
      </w:r>
      <w:r w:rsidR="00CA00D9">
        <w:t>.</w:t>
      </w:r>
    </w:p>
    <w:p w14:paraId="77CCC8E2" w14:textId="609C285D" w:rsidR="00610107" w:rsidRDefault="00CA00D9" w:rsidP="00E16D2D">
      <w:pPr>
        <w:pStyle w:val="OB1"/>
      </w:pPr>
      <w:r>
        <w:t>S</w:t>
      </w:r>
      <w:r w:rsidR="00610107">
        <w:t xml:space="preserve">chedule system implementations to fall within one of these </w:t>
      </w:r>
      <w:r w:rsidR="007D680F">
        <w:t xml:space="preserve">implementation </w:t>
      </w:r>
      <w:r w:rsidR="00610107">
        <w:t>windows. If a scheduled implementation is delayed and will fall outside of one of these implementation windows, Awarded Vendor will reschedule implementation for the next implementation window.</w:t>
      </w:r>
    </w:p>
    <w:p w14:paraId="4104B3A3" w14:textId="61815C1F" w:rsidR="0090051C" w:rsidRDefault="000F0705" w:rsidP="00F82166">
      <w:pPr>
        <w:pStyle w:val="LB1"/>
      </w:pPr>
      <w:r>
        <w:t xml:space="preserve">Project </w:t>
      </w:r>
      <w:r w:rsidR="00B81B78">
        <w:t xml:space="preserve">Management </w:t>
      </w:r>
      <w:r>
        <w:t>Plan</w:t>
      </w:r>
    </w:p>
    <w:p w14:paraId="6C6C4296" w14:textId="7C8CF6F6" w:rsidR="0090051C" w:rsidRPr="00FC333B" w:rsidRDefault="00FC7AC7" w:rsidP="00F82166">
      <w:pPr>
        <w:pStyle w:val="OB1"/>
        <w:rPr>
          <w:rStyle w:val="Hyperlink"/>
          <w:color w:val="auto"/>
          <w:u w:val="none"/>
        </w:rPr>
      </w:pPr>
      <w:r>
        <w:lastRenderedPageBreak/>
        <w:t>T</w:t>
      </w:r>
      <w:r w:rsidR="0090051C" w:rsidRPr="009E2836">
        <w:t xml:space="preserve">he Awarded Vendor will </w:t>
      </w:r>
      <w:r w:rsidR="00B81B78">
        <w:t xml:space="preserve">submit a detailed Project Management Plan. The </w:t>
      </w:r>
      <w:r w:rsidR="00B81B78" w:rsidRPr="009E2836">
        <w:t xml:space="preserve">Awarded Vendor will </w:t>
      </w:r>
      <w:r w:rsidR="00B81B78">
        <w:t xml:space="preserve">review the Plan completed by TWC that is based on the Texas Project Delivery Framework (TPDF) Project Plan template and make necessary updates to reflect all project management </w:t>
      </w:r>
      <w:r w:rsidR="00FD5B42">
        <w:t>processes and controls for the P</w:t>
      </w:r>
      <w:r w:rsidR="00B81B78">
        <w:t>roject.</w:t>
      </w:r>
      <w:r w:rsidR="0090051C">
        <w:t xml:space="preserve"> </w:t>
      </w:r>
      <w:r w:rsidR="0090051C" w:rsidRPr="009E2836">
        <w:t>This Framework Project Plan describes the Project and how it will be managed; it does not include an estimated timeline. The plan includes five (5) appendices (Qual</w:t>
      </w:r>
      <w:r w:rsidR="0090051C">
        <w:t>ity Register, Communication Register</w:t>
      </w:r>
      <w:r w:rsidR="0090051C" w:rsidRPr="009E2836">
        <w:t xml:space="preserve">, Configuration </w:t>
      </w:r>
      <w:r w:rsidR="0090051C">
        <w:t xml:space="preserve">Items </w:t>
      </w:r>
      <w:r w:rsidR="0090051C" w:rsidRPr="009E2836">
        <w:t xml:space="preserve">Register, Performance Register and Risk </w:t>
      </w:r>
      <w:r w:rsidR="0090051C">
        <w:t>Register</w:t>
      </w:r>
      <w:r w:rsidR="0090051C" w:rsidRPr="009E2836">
        <w:t>) and a Project Glossary.</w:t>
      </w:r>
      <w:r w:rsidR="0090051C">
        <w:t xml:space="preserve"> </w:t>
      </w:r>
      <w:r w:rsidR="0090051C" w:rsidRPr="009E2836">
        <w:t xml:space="preserve">Detailed information about the </w:t>
      </w:r>
      <w:r w:rsidR="0090051C">
        <w:t xml:space="preserve">TPDF </w:t>
      </w:r>
      <w:r w:rsidR="0090051C" w:rsidRPr="009E2836">
        <w:t xml:space="preserve">is located on the DIR website </w:t>
      </w:r>
      <w:r w:rsidR="0090051C">
        <w:t>(</w:t>
      </w:r>
      <w:hyperlink r:id="rId34" w:history="1">
        <w:r w:rsidR="005F68CB" w:rsidRPr="003F1081">
          <w:rPr>
            <w:rStyle w:val="Hyperlink"/>
          </w:rPr>
          <w:t>https://dir.texas.gov/View-Resources/Pages/Content.aspx?id=16</w:t>
        </w:r>
      </w:hyperlink>
      <w:r w:rsidR="0090051C">
        <w:rPr>
          <w:rStyle w:val="Hyperlink"/>
        </w:rPr>
        <w:t>).</w:t>
      </w:r>
    </w:p>
    <w:p w14:paraId="349FC372" w14:textId="5FDF26A9" w:rsidR="000F0705" w:rsidRDefault="0080343D">
      <w:pPr>
        <w:pStyle w:val="LB1"/>
      </w:pPr>
      <w:r>
        <w:t xml:space="preserve">Create </w:t>
      </w:r>
      <w:r w:rsidR="00432C4C">
        <w:t xml:space="preserve">a detailed </w:t>
      </w:r>
      <w:r>
        <w:t>Work Breakdown Structure (WBS) and</w:t>
      </w:r>
      <w:r w:rsidR="000F0705" w:rsidRPr="005363D2">
        <w:t xml:space="preserve"> Project </w:t>
      </w:r>
      <w:r w:rsidR="00960B3B">
        <w:t xml:space="preserve">Integrated Master </w:t>
      </w:r>
      <w:r w:rsidR="000F0705" w:rsidRPr="005363D2">
        <w:t>Schedule</w:t>
      </w:r>
      <w:r w:rsidR="00960B3B">
        <w:t xml:space="preserve"> (IMS)</w:t>
      </w:r>
    </w:p>
    <w:p w14:paraId="1043748C" w14:textId="4CC54875" w:rsidR="0090051C" w:rsidRDefault="00172CEC">
      <w:pPr>
        <w:pStyle w:val="OB1"/>
      </w:pPr>
      <w:r>
        <w:t>C</w:t>
      </w:r>
      <w:r w:rsidR="0080343D">
        <w:t>reate</w:t>
      </w:r>
      <w:r w:rsidR="0090051C">
        <w:t xml:space="preserve"> the</w:t>
      </w:r>
      <w:r w:rsidR="0090051C" w:rsidRPr="009E2836">
        <w:t xml:space="preserve"> </w:t>
      </w:r>
      <w:r w:rsidR="0080343D">
        <w:t xml:space="preserve">WBS and </w:t>
      </w:r>
      <w:r w:rsidR="002A57F8">
        <w:t>IMS</w:t>
      </w:r>
      <w:r w:rsidR="0090051C" w:rsidRPr="009E2836">
        <w:t xml:space="preserve"> in collaboration with TWC, </w:t>
      </w:r>
      <w:r w:rsidR="0080343D">
        <w:t>aligning it with the phased Implementation Strategy accepted by TWC</w:t>
      </w:r>
      <w:r>
        <w:t>;</w:t>
      </w:r>
      <w:r w:rsidR="0090051C">
        <w:t xml:space="preserve"> </w:t>
      </w:r>
    </w:p>
    <w:p w14:paraId="1636A2B9" w14:textId="135F528D" w:rsidR="0090051C" w:rsidRDefault="00172CEC">
      <w:pPr>
        <w:pStyle w:val="OB1"/>
      </w:pPr>
      <w:r>
        <w:t>Ensure t</w:t>
      </w:r>
      <w:r w:rsidR="0090051C">
        <w:t xml:space="preserve">he </w:t>
      </w:r>
      <w:r w:rsidR="002A57F8">
        <w:t>IMS</w:t>
      </w:r>
      <w:r w:rsidR="0090051C" w:rsidRPr="009E2836">
        <w:t xml:space="preserve"> include</w:t>
      </w:r>
      <w:r>
        <w:t>s</w:t>
      </w:r>
      <w:r w:rsidR="0090051C" w:rsidRPr="009E2836">
        <w:t xml:space="preserve"> all tasks, deliverables, </w:t>
      </w:r>
      <w:r w:rsidR="003617D4">
        <w:t xml:space="preserve">milestones, </w:t>
      </w:r>
      <w:r w:rsidR="0090051C" w:rsidRPr="009E2836">
        <w:t>dependencies</w:t>
      </w:r>
      <w:r w:rsidR="00B81B78">
        <w:t>,</w:t>
      </w:r>
      <w:r w:rsidR="0090051C" w:rsidRPr="009E2836">
        <w:t xml:space="preserve"> and resource</w:t>
      </w:r>
      <w:r w:rsidR="003617D4">
        <w:t>s</w:t>
      </w:r>
      <w:r w:rsidR="0090051C" w:rsidRPr="009E2836">
        <w:t xml:space="preserve"> (</w:t>
      </w:r>
      <w:r w:rsidR="003617D4">
        <w:t xml:space="preserve">e.g., Awarded Vendor, TWC </w:t>
      </w:r>
      <w:r w:rsidR="0090051C" w:rsidRPr="009E2836">
        <w:t xml:space="preserve">IT, </w:t>
      </w:r>
      <w:r w:rsidR="003617D4">
        <w:t>TWC Program, external partners,</w:t>
      </w:r>
      <w:r w:rsidR="0090051C" w:rsidRPr="009E2836">
        <w:t xml:space="preserve"> and </w:t>
      </w:r>
      <w:r w:rsidR="0090051C">
        <w:t>DCS</w:t>
      </w:r>
      <w:r w:rsidR="00D4523F">
        <w:t>/STS</w:t>
      </w:r>
      <w:r w:rsidR="0090051C" w:rsidRPr="009E2836">
        <w:t xml:space="preserve">) </w:t>
      </w:r>
      <w:r w:rsidR="003617D4">
        <w:t xml:space="preserve">necessary </w:t>
      </w:r>
      <w:r w:rsidR="0090051C" w:rsidRPr="009E2836">
        <w:t>to complete the Project</w:t>
      </w:r>
      <w:r>
        <w:t>;</w:t>
      </w:r>
    </w:p>
    <w:p w14:paraId="5E906A01" w14:textId="53D39717" w:rsidR="00B81B78" w:rsidRDefault="00B81B78">
      <w:pPr>
        <w:pStyle w:val="OB1"/>
      </w:pPr>
      <w:r>
        <w:t xml:space="preserve">The </w:t>
      </w:r>
      <w:r w:rsidR="002A57F8">
        <w:t>IMS</w:t>
      </w:r>
      <w:r>
        <w:t xml:space="preserve"> must clearly detail the project’s critical path and critical path tasks for tracking and reporting purposes;</w:t>
      </w:r>
    </w:p>
    <w:p w14:paraId="040945A1" w14:textId="788F3DBF" w:rsidR="00172CEC" w:rsidRDefault="00172CEC">
      <w:pPr>
        <w:pStyle w:val="OB1"/>
      </w:pPr>
      <w:bookmarkStart w:id="82" w:name="_Hlk528830049"/>
      <w:r>
        <w:t>M</w:t>
      </w:r>
      <w:r w:rsidR="0090051C" w:rsidRPr="009E2836">
        <w:t xml:space="preserve">aintain the </w:t>
      </w:r>
      <w:r w:rsidR="002A57F8">
        <w:t>IMS</w:t>
      </w:r>
      <w:r w:rsidR="00D57E3F">
        <w:t>,</w:t>
      </w:r>
      <w:r w:rsidR="0090051C" w:rsidRPr="009E2836">
        <w:t xml:space="preserve"> in Microsoft Project </w:t>
      </w:r>
      <w:r w:rsidR="00D57E3F">
        <w:t>or another software t</w:t>
      </w:r>
      <w:r>
        <w:t>ool and version approved by TWC;</w:t>
      </w:r>
      <w:r w:rsidR="00D57E3F">
        <w:t xml:space="preserve"> </w:t>
      </w:r>
      <w:r w:rsidR="0090051C" w:rsidRPr="009E2836">
        <w:t xml:space="preserve">and </w:t>
      </w:r>
    </w:p>
    <w:p w14:paraId="490D5C90" w14:textId="53A3BD4C" w:rsidR="0090051C" w:rsidRDefault="00172CEC">
      <w:pPr>
        <w:pStyle w:val="OB1"/>
      </w:pPr>
      <w:r>
        <w:t>P</w:t>
      </w:r>
      <w:r w:rsidR="0090051C" w:rsidRPr="009E2836">
        <w:t>ublish the schedule in PDF format at intervals agreed upon by the Project Team.</w:t>
      </w:r>
      <w:r w:rsidR="0090051C">
        <w:t xml:space="preserve"> </w:t>
      </w:r>
      <w:bookmarkEnd w:id="82"/>
    </w:p>
    <w:p w14:paraId="496524B2" w14:textId="4A937617" w:rsidR="000F0705" w:rsidRDefault="00CE2741">
      <w:pPr>
        <w:pStyle w:val="LB1"/>
      </w:pPr>
      <w:r>
        <w:t xml:space="preserve">Create </w:t>
      </w:r>
      <w:r w:rsidR="000F0705" w:rsidRPr="005363D2">
        <w:t>Staffing Plan</w:t>
      </w:r>
    </w:p>
    <w:p w14:paraId="522CCBF5" w14:textId="6393232C" w:rsidR="00CE2741" w:rsidRDefault="00627BF4">
      <w:pPr>
        <w:pStyle w:val="OB1"/>
      </w:pPr>
      <w:r>
        <w:t>C</w:t>
      </w:r>
      <w:r w:rsidR="00CE2741">
        <w:t>reate a</w:t>
      </w:r>
      <w:r w:rsidR="00CE2741" w:rsidRPr="009E2836">
        <w:t xml:space="preserve"> </w:t>
      </w:r>
      <w:r w:rsidR="00CE2741" w:rsidRPr="005363D2">
        <w:t>Staffing Plan</w:t>
      </w:r>
      <w:r w:rsidR="00CE2741" w:rsidRPr="009E2836">
        <w:t xml:space="preserve"> in collaboration with TWC</w:t>
      </w:r>
      <w:r>
        <w:t xml:space="preserve"> and a</w:t>
      </w:r>
      <w:r w:rsidR="00CE2741">
        <w:t>lign it with the phased Implementation Strategy accepted by TWC</w:t>
      </w:r>
    </w:p>
    <w:p w14:paraId="063F44F8" w14:textId="6E9D0A47" w:rsidR="00CE2741" w:rsidRDefault="00845E71" w:rsidP="00CE2741">
      <w:pPr>
        <w:pStyle w:val="SB1"/>
      </w:pPr>
      <w:r>
        <w:t>I</w:t>
      </w:r>
      <w:r w:rsidR="00CE2741">
        <w:t>nclude both Awarded Vendor and TWC resources</w:t>
      </w:r>
      <w:r w:rsidR="00E556C2">
        <w:t>;</w:t>
      </w:r>
    </w:p>
    <w:p w14:paraId="7CB1ADD8" w14:textId="3195B518" w:rsidR="00CE2741" w:rsidRDefault="00845E71" w:rsidP="00CE2741">
      <w:pPr>
        <w:pStyle w:val="SB1"/>
      </w:pPr>
      <w:r>
        <w:t>Identify</w:t>
      </w:r>
      <w:r w:rsidR="00CE2741">
        <w:t xml:space="preserve"> all roles, responsibilities, knowledge, skills, abilities</w:t>
      </w:r>
      <w:r w:rsidR="00E556C2">
        <w:t>;</w:t>
      </w:r>
      <w:r w:rsidRPr="00845E71">
        <w:t xml:space="preserve"> </w:t>
      </w:r>
      <w:r>
        <w:t>and</w:t>
      </w:r>
    </w:p>
    <w:p w14:paraId="637FCF08" w14:textId="29C15456" w:rsidR="003414CC" w:rsidRDefault="00845E71" w:rsidP="00153CA0">
      <w:pPr>
        <w:pStyle w:val="SB1"/>
      </w:pPr>
      <w:r>
        <w:t>D</w:t>
      </w:r>
      <w:r w:rsidR="00CE2741">
        <w:t>etail the percent of time and dur</w:t>
      </w:r>
      <w:r w:rsidR="003414CC">
        <w:t>ation for each TWC staff person</w:t>
      </w:r>
      <w:r>
        <w:t xml:space="preserve">. </w:t>
      </w:r>
      <w:r w:rsidR="003414CC">
        <w:t>Note: TWC IT Staff will not be 100% available during the project at all times so that they can sustain</w:t>
      </w:r>
      <w:r>
        <w:t xml:space="preserve"> the current</w:t>
      </w:r>
      <w:r w:rsidR="003414CC">
        <w:t xml:space="preserve"> legacy systems.</w:t>
      </w:r>
    </w:p>
    <w:p w14:paraId="314FC4A0" w14:textId="5C3B0A30" w:rsidR="0090051C" w:rsidRDefault="00627BF4" w:rsidP="00E16D2D">
      <w:pPr>
        <w:pStyle w:val="OB1"/>
      </w:pPr>
      <w:r>
        <w:t>M</w:t>
      </w:r>
      <w:r w:rsidR="00CE2741" w:rsidRPr="009E2836">
        <w:t xml:space="preserve">aintain the </w:t>
      </w:r>
      <w:r w:rsidR="00CE2741" w:rsidRPr="005363D2">
        <w:t xml:space="preserve">Staffing </w:t>
      </w:r>
      <w:r w:rsidR="00CE2741">
        <w:t xml:space="preserve">Plan </w:t>
      </w:r>
      <w:r w:rsidR="00CE2741" w:rsidRPr="009E2836">
        <w:t xml:space="preserve">and publish </w:t>
      </w:r>
      <w:r w:rsidR="00365B2D">
        <w:t>updates</w:t>
      </w:r>
      <w:r w:rsidR="00CE2741" w:rsidRPr="009E2836">
        <w:t xml:space="preserve"> at intervals agreed upon by the Project Team.</w:t>
      </w:r>
    </w:p>
    <w:p w14:paraId="1163923E" w14:textId="4C3BC088" w:rsidR="00BF27C1" w:rsidRDefault="00C3761E" w:rsidP="00F82166">
      <w:pPr>
        <w:pStyle w:val="LB1"/>
      </w:pPr>
      <w:bookmarkStart w:id="83" w:name="_Hlk531184001"/>
      <w:r>
        <w:t xml:space="preserve">Develop </w:t>
      </w:r>
      <w:r w:rsidR="00BF27C1">
        <w:t>Test</w:t>
      </w:r>
      <w:r w:rsidR="00BF27C1" w:rsidRPr="005363D2">
        <w:t xml:space="preserve"> Plan</w:t>
      </w:r>
    </w:p>
    <w:p w14:paraId="1D5FADC6" w14:textId="4D858988" w:rsidR="00C3761E" w:rsidRDefault="00C3761E" w:rsidP="00F82166">
      <w:pPr>
        <w:pStyle w:val="OB1"/>
      </w:pPr>
      <w:r>
        <w:t>In collaboration with TWC, the Awarded Vendor will define and develop a Test Plan. The test plan must detail the overall test strategy, approach, methods, entrance and exit criteria, and roles and responsibilities for each testing phase of the system</w:t>
      </w:r>
      <w:r w:rsidR="00E556C2">
        <w:t xml:space="preserve">; </w:t>
      </w:r>
    </w:p>
    <w:p w14:paraId="3981E91F" w14:textId="1AAE5866" w:rsidR="00C3761E" w:rsidRDefault="00C3761E" w:rsidP="00F82166">
      <w:pPr>
        <w:pStyle w:val="OB1"/>
      </w:pPr>
      <w:r>
        <w:t>TWC anticipates the following forms of testing will be conducted to ensure the solution performs and functions as required by the approved requirements specification:</w:t>
      </w:r>
    </w:p>
    <w:p w14:paraId="2D820850" w14:textId="39642863" w:rsidR="00C3761E" w:rsidRDefault="00C3761E" w:rsidP="00C3761E">
      <w:pPr>
        <w:pStyle w:val="SB1"/>
      </w:pPr>
      <w:r>
        <w:lastRenderedPageBreak/>
        <w:t>Unit testing;</w:t>
      </w:r>
    </w:p>
    <w:p w14:paraId="526E2200" w14:textId="2E84D049" w:rsidR="00C3761E" w:rsidRDefault="00C3761E" w:rsidP="00C3761E">
      <w:pPr>
        <w:pStyle w:val="SB1"/>
      </w:pPr>
      <w:r>
        <w:t>System testing;</w:t>
      </w:r>
    </w:p>
    <w:p w14:paraId="38375231" w14:textId="4BF91422" w:rsidR="00C3761E" w:rsidRDefault="00C3761E" w:rsidP="00C3761E">
      <w:pPr>
        <w:pStyle w:val="SB1"/>
      </w:pPr>
      <w:r>
        <w:t>Integration testing;</w:t>
      </w:r>
    </w:p>
    <w:p w14:paraId="2D86494C" w14:textId="0936490C" w:rsidR="00C3761E" w:rsidRDefault="00C3761E" w:rsidP="00C3761E">
      <w:pPr>
        <w:pStyle w:val="SB1"/>
      </w:pPr>
      <w:r>
        <w:t>User acceptance testing;</w:t>
      </w:r>
    </w:p>
    <w:p w14:paraId="76B5DE6E" w14:textId="7B72FBB9" w:rsidR="00C3761E" w:rsidRDefault="00C3761E" w:rsidP="00C3761E">
      <w:pPr>
        <w:pStyle w:val="SB1"/>
      </w:pPr>
      <w:r>
        <w:t>Security testing;</w:t>
      </w:r>
    </w:p>
    <w:p w14:paraId="052FD0A9" w14:textId="04D50F3D" w:rsidR="00C3761E" w:rsidRDefault="00C3761E" w:rsidP="00C3761E">
      <w:pPr>
        <w:pStyle w:val="SB1"/>
      </w:pPr>
      <w:r>
        <w:t>EIR accessibility testing;</w:t>
      </w:r>
    </w:p>
    <w:p w14:paraId="7CB64E27" w14:textId="712B43F7" w:rsidR="00C3761E" w:rsidRDefault="00C3761E" w:rsidP="00C3761E">
      <w:pPr>
        <w:pStyle w:val="SB1"/>
      </w:pPr>
      <w:r>
        <w:t xml:space="preserve">Load testing; and </w:t>
      </w:r>
    </w:p>
    <w:p w14:paraId="23DB50F8" w14:textId="7BCFD9B7" w:rsidR="00C3761E" w:rsidRDefault="00C3761E" w:rsidP="00C3761E">
      <w:pPr>
        <w:pStyle w:val="SB1"/>
      </w:pPr>
      <w:r>
        <w:t>Stress testing;</w:t>
      </w:r>
    </w:p>
    <w:p w14:paraId="69E3DBB5" w14:textId="6D8ECF29" w:rsidR="00BF27C1" w:rsidRDefault="00C3761E" w:rsidP="00F82166">
      <w:pPr>
        <w:pStyle w:val="OB1"/>
      </w:pPr>
      <w:r>
        <w:t xml:space="preserve">The Test Plan must include a plan to manage multiple simultaneous test environments in order to accommodate various concurrent testing activities; </w:t>
      </w:r>
      <w:r w:rsidR="00E556C2">
        <w:t>and</w:t>
      </w:r>
    </w:p>
    <w:p w14:paraId="5F7180EF" w14:textId="6829CCE0" w:rsidR="000459F8" w:rsidRDefault="00C3761E">
      <w:pPr>
        <w:pStyle w:val="OB1"/>
      </w:pPr>
      <w:r>
        <w:t xml:space="preserve">The Awarded Vendor must define a strategy enabling TWC to validate time-based scenarios and features and enable test data to be aged. Offerors should describe their approach to aging test data. </w:t>
      </w:r>
      <w:r w:rsidR="00B63F62">
        <w:t>This process</w:t>
      </w:r>
      <w:r>
        <w:t xml:space="preserve"> should provide maximum flexibility and must not require burdensome planning and controls on test teams</w:t>
      </w:r>
      <w:r w:rsidR="00F2184C">
        <w:t>.</w:t>
      </w:r>
    </w:p>
    <w:bookmarkEnd w:id="83"/>
    <w:p w14:paraId="3DBF4F5B" w14:textId="6E951F6F" w:rsidR="00E21004" w:rsidRDefault="00E21004">
      <w:pPr>
        <w:pStyle w:val="LB1"/>
      </w:pPr>
      <w:r>
        <w:t>Create Lessons Learned Collection Process</w:t>
      </w:r>
    </w:p>
    <w:p w14:paraId="4739021B" w14:textId="28EC84E6" w:rsidR="000C3630" w:rsidRDefault="00845E71">
      <w:pPr>
        <w:pStyle w:val="OB1"/>
      </w:pPr>
      <w:r>
        <w:t>R</w:t>
      </w:r>
      <w:r w:rsidR="000C3630" w:rsidRPr="00135009">
        <w:t xml:space="preserve">eview existing TWC lessons learned and set up the process for collecting lessons learned </w:t>
      </w:r>
      <w:r w:rsidR="00E21004">
        <w:t>throughout the project</w:t>
      </w:r>
      <w:r w:rsidR="000C3630" w:rsidRPr="00135009">
        <w:t>.</w:t>
      </w:r>
    </w:p>
    <w:p w14:paraId="605A4F8E" w14:textId="52E91272" w:rsidR="000C3630" w:rsidRDefault="000C3630" w:rsidP="000C3630"/>
    <w:bookmarkEnd w:id="80"/>
    <w:p w14:paraId="4FEAEB21" w14:textId="1D73DFD4" w:rsidR="00383640" w:rsidRDefault="00272A05" w:rsidP="00383640">
      <w:r>
        <w:t xml:space="preserve">The Awarded Vendor will complete the following </w:t>
      </w:r>
      <w:r w:rsidR="00B81B78">
        <w:t>deliverables during this Task</w:t>
      </w:r>
      <w:r w:rsidR="00383640">
        <w:t>:</w:t>
      </w:r>
    </w:p>
    <w:tbl>
      <w:tblPr>
        <w:tblStyle w:val="TableGrid"/>
        <w:tblW w:w="10800" w:type="dxa"/>
        <w:tblInd w:w="175" w:type="dxa"/>
        <w:tblLayout w:type="fixed"/>
        <w:tblLook w:val="04A0" w:firstRow="1" w:lastRow="0" w:firstColumn="1" w:lastColumn="0" w:noHBand="0" w:noVBand="1"/>
        <w:tblDescription w:val="Project Planning and Setup deliverables schedule table"/>
      </w:tblPr>
      <w:tblGrid>
        <w:gridCol w:w="936"/>
        <w:gridCol w:w="2214"/>
        <w:gridCol w:w="5706"/>
        <w:gridCol w:w="1944"/>
      </w:tblGrid>
      <w:tr w:rsidR="0065558C" w:rsidRPr="00873442" w14:paraId="2438E189" w14:textId="77777777" w:rsidTr="004B78B5">
        <w:trPr>
          <w:tblHeader/>
        </w:trPr>
        <w:tc>
          <w:tcPr>
            <w:tcW w:w="936" w:type="dxa"/>
            <w:shd w:val="clear" w:color="auto" w:fill="DEEAF6" w:themeFill="accent1" w:themeFillTint="33"/>
            <w:vAlign w:val="bottom"/>
          </w:tcPr>
          <w:p w14:paraId="3E2CADEB" w14:textId="77777777" w:rsidR="0065558C" w:rsidRPr="004F202B" w:rsidRDefault="0065558C" w:rsidP="004B78B5">
            <w:pPr>
              <w:spacing w:after="0"/>
              <w:ind w:left="0"/>
              <w:jc w:val="center"/>
              <w:rPr>
                <w:rFonts w:cs="Arial"/>
                <w:b/>
                <w:color w:val="1F3864" w:themeColor="accent5" w:themeShade="80"/>
              </w:rPr>
            </w:pPr>
            <w:r w:rsidRPr="004F202B">
              <w:rPr>
                <w:rFonts w:cs="Arial"/>
                <w:b/>
                <w:color w:val="1F3864" w:themeColor="accent5" w:themeShade="80"/>
              </w:rPr>
              <w:t>No.</w:t>
            </w:r>
          </w:p>
        </w:tc>
        <w:tc>
          <w:tcPr>
            <w:tcW w:w="2214" w:type="dxa"/>
            <w:shd w:val="clear" w:color="auto" w:fill="DEEAF6" w:themeFill="accent1" w:themeFillTint="33"/>
          </w:tcPr>
          <w:p w14:paraId="5318DF6B" w14:textId="77777777" w:rsidR="0065558C" w:rsidRPr="001B5E0B" w:rsidRDefault="0065558C" w:rsidP="004B78B5">
            <w:pPr>
              <w:spacing w:after="0"/>
              <w:ind w:left="0"/>
              <w:rPr>
                <w:rFonts w:cs="Arial"/>
                <w:b/>
                <w:color w:val="1F3864" w:themeColor="accent5" w:themeShade="80"/>
              </w:rPr>
            </w:pPr>
            <w:r>
              <w:rPr>
                <w:rFonts w:cs="Arial"/>
                <w:b/>
                <w:color w:val="1F3864" w:themeColor="accent5" w:themeShade="80"/>
              </w:rPr>
              <w:t>Deliverable</w:t>
            </w:r>
          </w:p>
        </w:tc>
        <w:tc>
          <w:tcPr>
            <w:tcW w:w="5706" w:type="dxa"/>
            <w:shd w:val="clear" w:color="auto" w:fill="DEEAF6" w:themeFill="accent1" w:themeFillTint="33"/>
          </w:tcPr>
          <w:p w14:paraId="7C3FFDE9" w14:textId="77777777" w:rsidR="0065558C" w:rsidRPr="001B5E0B" w:rsidRDefault="0065558C" w:rsidP="004B78B5">
            <w:pPr>
              <w:spacing w:after="0"/>
              <w:ind w:left="0"/>
              <w:rPr>
                <w:rFonts w:cs="Arial"/>
                <w:b/>
                <w:color w:val="1F3864" w:themeColor="accent5" w:themeShade="80"/>
              </w:rPr>
            </w:pPr>
            <w:r>
              <w:rPr>
                <w:rFonts w:cs="Arial"/>
                <w:b/>
                <w:color w:val="1F3864" w:themeColor="accent5" w:themeShade="80"/>
              </w:rPr>
              <w:t>Acceptance Criteria</w:t>
            </w:r>
          </w:p>
        </w:tc>
        <w:tc>
          <w:tcPr>
            <w:tcW w:w="1944" w:type="dxa"/>
            <w:shd w:val="clear" w:color="auto" w:fill="DEEAF6" w:themeFill="accent1" w:themeFillTint="33"/>
            <w:vAlign w:val="bottom"/>
          </w:tcPr>
          <w:p w14:paraId="3DFCBF04" w14:textId="77777777" w:rsidR="0065558C" w:rsidRPr="004F202B" w:rsidRDefault="0065558C" w:rsidP="004B78B5">
            <w:pPr>
              <w:spacing w:after="0"/>
              <w:ind w:left="0"/>
              <w:rPr>
                <w:rFonts w:cs="Arial"/>
                <w:b/>
                <w:color w:val="1F3864" w:themeColor="accent5" w:themeShade="80"/>
              </w:rPr>
            </w:pPr>
            <w:r>
              <w:rPr>
                <w:rFonts w:cs="Arial"/>
                <w:b/>
                <w:color w:val="1F3864" w:themeColor="accent5" w:themeShade="80"/>
              </w:rPr>
              <w:t>Due Date</w:t>
            </w:r>
          </w:p>
        </w:tc>
      </w:tr>
      <w:tr w:rsidR="0065558C" w:rsidRPr="00873442" w14:paraId="21E9F626" w14:textId="77777777" w:rsidTr="004B78B5">
        <w:tc>
          <w:tcPr>
            <w:tcW w:w="936" w:type="dxa"/>
          </w:tcPr>
          <w:p w14:paraId="3530F985" w14:textId="566336E8" w:rsidR="0065558C" w:rsidRDefault="004B78B5" w:rsidP="004B78B5">
            <w:pPr>
              <w:ind w:left="0"/>
              <w:jc w:val="center"/>
            </w:pPr>
            <w:r>
              <w:t>1</w:t>
            </w:r>
            <w:r w:rsidR="0065558C">
              <w:t>A</w:t>
            </w:r>
          </w:p>
        </w:tc>
        <w:tc>
          <w:tcPr>
            <w:tcW w:w="2214" w:type="dxa"/>
          </w:tcPr>
          <w:p w14:paraId="32E1385C" w14:textId="62F91B55" w:rsidR="0065558C" w:rsidRDefault="006C5E36" w:rsidP="004B78B5">
            <w:pPr>
              <w:ind w:left="0"/>
            </w:pPr>
            <w:r>
              <w:t>Kick-off Meeting Agenda, Presentation, and Minutes</w:t>
            </w:r>
          </w:p>
        </w:tc>
        <w:tc>
          <w:tcPr>
            <w:tcW w:w="5706" w:type="dxa"/>
          </w:tcPr>
          <w:p w14:paraId="4BC83999" w14:textId="4F0404E8" w:rsidR="0065558C" w:rsidRDefault="00E556C2" w:rsidP="00F17DDC">
            <w:pPr>
              <w:ind w:left="0"/>
            </w:pPr>
            <w:r>
              <w:t>At a minimum, the</w:t>
            </w:r>
            <w:r w:rsidR="00F17DDC">
              <w:t xml:space="preserve"> </w:t>
            </w:r>
            <w:r w:rsidR="002167C7">
              <w:t>Agenda</w:t>
            </w:r>
            <w:r w:rsidR="00C95B42">
              <w:t>,</w:t>
            </w:r>
            <w:r w:rsidR="002167C7">
              <w:t xml:space="preserve"> presentation materials</w:t>
            </w:r>
            <w:r w:rsidR="00C95B42">
              <w:t>, and meeting minutes</w:t>
            </w:r>
            <w:r w:rsidR="002167C7">
              <w:t xml:space="preserve"> </w:t>
            </w:r>
            <w:r w:rsidR="00EC5609">
              <w:t xml:space="preserve">must be </w:t>
            </w:r>
            <w:r w:rsidR="002167C7">
              <w:t>approved by IT Project Manager and Program Project Manager</w:t>
            </w:r>
            <w:r w:rsidR="00C95B42">
              <w:t>.</w:t>
            </w:r>
            <w:r w:rsidR="00C95B42" w:rsidDel="00C95B42">
              <w:t xml:space="preserve"> </w:t>
            </w:r>
          </w:p>
        </w:tc>
        <w:tc>
          <w:tcPr>
            <w:tcW w:w="1944" w:type="dxa"/>
          </w:tcPr>
          <w:p w14:paraId="5B56899B" w14:textId="08C337E6" w:rsidR="0065558C" w:rsidRDefault="004047DD" w:rsidP="004B78B5">
            <w:pPr>
              <w:ind w:left="0"/>
            </w:pPr>
            <w:r>
              <w:t>Award of Contract (</w:t>
            </w:r>
            <w:r w:rsidR="0065558C">
              <w:t>AoC</w:t>
            </w:r>
            <w:r>
              <w:t>)</w:t>
            </w:r>
            <w:r w:rsidR="0065558C">
              <w:t xml:space="preserve"> + 14 calendar days</w:t>
            </w:r>
          </w:p>
        </w:tc>
      </w:tr>
      <w:tr w:rsidR="002167C7" w:rsidRPr="00873442" w14:paraId="461ACBF5" w14:textId="77777777" w:rsidTr="0093697D">
        <w:tc>
          <w:tcPr>
            <w:tcW w:w="936" w:type="dxa"/>
          </w:tcPr>
          <w:p w14:paraId="6899BECE" w14:textId="5FAD0A92" w:rsidR="002167C7" w:rsidRDefault="0025231B" w:rsidP="0093697D">
            <w:pPr>
              <w:ind w:left="0"/>
              <w:jc w:val="center"/>
            </w:pPr>
            <w:r>
              <w:t>1</w:t>
            </w:r>
            <w:r w:rsidR="002167C7">
              <w:t>B</w:t>
            </w:r>
          </w:p>
        </w:tc>
        <w:tc>
          <w:tcPr>
            <w:tcW w:w="2214" w:type="dxa"/>
          </w:tcPr>
          <w:p w14:paraId="6D39E410" w14:textId="2145F4AC" w:rsidR="002167C7" w:rsidRDefault="002167C7" w:rsidP="0093697D">
            <w:pPr>
              <w:ind w:left="0"/>
            </w:pPr>
            <w:r>
              <w:t>Implementation Strategy</w:t>
            </w:r>
          </w:p>
        </w:tc>
        <w:tc>
          <w:tcPr>
            <w:tcW w:w="5706" w:type="dxa"/>
          </w:tcPr>
          <w:p w14:paraId="60EF23FC" w14:textId="77777777" w:rsidR="002167C7" w:rsidRDefault="002167C7" w:rsidP="0093697D">
            <w:pPr>
              <w:ind w:left="0"/>
            </w:pPr>
            <w:r>
              <w:t>At a minimum, the Strategy must:</w:t>
            </w:r>
          </w:p>
          <w:p w14:paraId="0FF6B901" w14:textId="3FA4983B" w:rsidR="00185D57" w:rsidRDefault="00185D57" w:rsidP="00E16D2D">
            <w:pPr>
              <w:pStyle w:val="LB1-Table"/>
            </w:pPr>
            <w:r>
              <w:t>Include rationale, benefits, risks, and costs for each approach;</w:t>
            </w:r>
          </w:p>
          <w:p w14:paraId="2F06BF1E" w14:textId="739E036F" w:rsidR="0025231B" w:rsidRDefault="00634BFF" w:rsidP="00F82166">
            <w:pPr>
              <w:pStyle w:val="LB1-Table"/>
            </w:pPr>
            <w:r>
              <w:t>Include a recommended implementation approach that factors in TWC’s “tight coupling”</w:t>
            </w:r>
            <w:r w:rsidR="00552E66">
              <w:t xml:space="preserve"> of data</w:t>
            </w:r>
            <w:r>
              <w:t xml:space="preserve"> via DB2; </w:t>
            </w:r>
          </w:p>
          <w:p w14:paraId="7721C537" w14:textId="1703961E" w:rsidR="0025231B" w:rsidRDefault="0025231B" w:rsidP="00F82166">
            <w:pPr>
              <w:pStyle w:val="LB1-Table"/>
            </w:pPr>
            <w:r>
              <w:t>Include a strategy and schedule for replacing all in scope applications and for sustaining dependencies between legacy applications and replacement applications until t</w:t>
            </w:r>
            <w:r w:rsidR="00EC5609">
              <w:t>he UI system is fully replaced;</w:t>
            </w:r>
          </w:p>
          <w:p w14:paraId="6597C7EA" w14:textId="0D2EEE5A" w:rsidR="0025231B" w:rsidRDefault="0025231B">
            <w:pPr>
              <w:pStyle w:val="LB1-Table"/>
            </w:pPr>
            <w:r>
              <w:t xml:space="preserve">Include a strategy and schedule for keeping data in sync throughout project between replacement applications and </w:t>
            </w:r>
            <w:r>
              <w:lastRenderedPageBreak/>
              <w:t xml:space="preserve">legacy applications; and preserving data integrity for all reports and queries until the UI replacement system </w:t>
            </w:r>
            <w:r w:rsidR="00EC5609">
              <w:t>is fully implemented;</w:t>
            </w:r>
          </w:p>
          <w:p w14:paraId="5BFF29D4" w14:textId="49F1F160" w:rsidR="00634BFF" w:rsidRDefault="0025231B">
            <w:pPr>
              <w:pStyle w:val="LB1-Table"/>
            </w:pPr>
            <w:r>
              <w:t xml:space="preserve">Be closely aligned with TWC’s other migrations off of the mainframes; </w:t>
            </w:r>
            <w:r w:rsidR="00634BFF">
              <w:t>and</w:t>
            </w:r>
          </w:p>
          <w:p w14:paraId="51446339" w14:textId="0CF20300" w:rsidR="002167C7" w:rsidRDefault="00506559">
            <w:pPr>
              <w:pStyle w:val="LB1-Table"/>
            </w:pPr>
            <w:r>
              <w:t xml:space="preserve">Describe how the recommended implementation </w:t>
            </w:r>
            <w:r w:rsidR="0025231B">
              <w:t>strategy</w:t>
            </w:r>
            <w:r>
              <w:t xml:space="preserve"> </w:t>
            </w:r>
            <w:r w:rsidR="00634BFF">
              <w:t>minimizes organizational risk, including rationale that supports the recommendation</w:t>
            </w:r>
            <w:r w:rsidR="002167C7">
              <w:t>.</w:t>
            </w:r>
          </w:p>
        </w:tc>
        <w:tc>
          <w:tcPr>
            <w:tcW w:w="1944" w:type="dxa"/>
          </w:tcPr>
          <w:p w14:paraId="479F5208" w14:textId="3D05DBE1" w:rsidR="002167C7" w:rsidRPr="00F57DB3" w:rsidRDefault="0025231B" w:rsidP="0093697D">
            <w:pPr>
              <w:ind w:left="0"/>
            </w:pPr>
            <w:r>
              <w:lastRenderedPageBreak/>
              <w:t>AoC + 30 calendar days</w:t>
            </w:r>
          </w:p>
        </w:tc>
      </w:tr>
      <w:tr w:rsidR="0065558C" w:rsidRPr="00873442" w14:paraId="253A587A" w14:textId="77777777" w:rsidTr="004B78B5">
        <w:tc>
          <w:tcPr>
            <w:tcW w:w="936" w:type="dxa"/>
          </w:tcPr>
          <w:p w14:paraId="2794C66E" w14:textId="6F850DFD" w:rsidR="0065558C" w:rsidRDefault="0025231B" w:rsidP="004B78B5">
            <w:pPr>
              <w:ind w:left="0"/>
              <w:jc w:val="center"/>
            </w:pPr>
            <w:r>
              <w:t>1</w:t>
            </w:r>
            <w:r w:rsidR="002167C7">
              <w:t>C</w:t>
            </w:r>
          </w:p>
        </w:tc>
        <w:tc>
          <w:tcPr>
            <w:tcW w:w="2214" w:type="dxa"/>
          </w:tcPr>
          <w:p w14:paraId="118D2D66" w14:textId="0BBD13AD" w:rsidR="0065558C" w:rsidRDefault="004F32FF" w:rsidP="004B78B5">
            <w:pPr>
              <w:ind w:left="0"/>
            </w:pPr>
            <w:r>
              <w:t>Project Management Plan</w:t>
            </w:r>
          </w:p>
        </w:tc>
        <w:tc>
          <w:tcPr>
            <w:tcW w:w="5706" w:type="dxa"/>
          </w:tcPr>
          <w:p w14:paraId="701367CF" w14:textId="5C86BE78" w:rsidR="0065558C" w:rsidRDefault="002167C7" w:rsidP="004B78B5">
            <w:pPr>
              <w:ind w:left="0"/>
            </w:pPr>
            <w:r>
              <w:t>A</w:t>
            </w:r>
            <w:r w:rsidR="0065558C">
              <w:t>t a minimum</w:t>
            </w:r>
            <w:r>
              <w:t xml:space="preserve">, the </w:t>
            </w:r>
            <w:r w:rsidR="00846DCD">
              <w:t xml:space="preserve">Project </w:t>
            </w:r>
            <w:r w:rsidR="00C95B42">
              <w:t xml:space="preserve">Management </w:t>
            </w:r>
            <w:r w:rsidR="00846DCD">
              <w:t>Plan</w:t>
            </w:r>
            <w:r>
              <w:t xml:space="preserve"> must</w:t>
            </w:r>
            <w:r w:rsidR="0065558C">
              <w:t>:</w:t>
            </w:r>
          </w:p>
          <w:p w14:paraId="134E2F71" w14:textId="77777777" w:rsidR="00F56639" w:rsidRDefault="003617D4" w:rsidP="00E16D2D">
            <w:pPr>
              <w:pStyle w:val="LB1-Table"/>
            </w:pPr>
            <w:r>
              <w:t xml:space="preserve">Use the </w:t>
            </w:r>
            <w:r w:rsidRPr="009E2836">
              <w:t>existing</w:t>
            </w:r>
            <w:r>
              <w:t xml:space="preserve"> TPDF</w:t>
            </w:r>
            <w:r w:rsidRPr="009E2836">
              <w:t xml:space="preserve"> Project Plan</w:t>
            </w:r>
            <w:r>
              <w:t xml:space="preserve">; </w:t>
            </w:r>
          </w:p>
          <w:p w14:paraId="4A4A7A8D" w14:textId="3389AD1C" w:rsidR="00612C35" w:rsidRDefault="00612C35" w:rsidP="00F82166">
            <w:pPr>
              <w:pStyle w:val="LB1-Table"/>
            </w:pPr>
            <w:r>
              <w:t>Describe technique for measuring project performance and progress in an objective manner;</w:t>
            </w:r>
          </w:p>
          <w:p w14:paraId="43C2D188" w14:textId="771A27EC" w:rsidR="004F32FF" w:rsidRDefault="004F32FF" w:rsidP="00F82166">
            <w:pPr>
              <w:pStyle w:val="LB1-Table"/>
            </w:pPr>
            <w:r>
              <w:t>Detail all management processes, procedures, and controls for project management processes (Quality Management, Communication Management, Configuration Management, Performance Management, Risk Management);</w:t>
            </w:r>
          </w:p>
          <w:p w14:paraId="3333185E" w14:textId="14E5ADD5" w:rsidR="0065558C" w:rsidRDefault="00F56639" w:rsidP="00F82166">
            <w:pPr>
              <w:pStyle w:val="LB1-Table"/>
            </w:pPr>
            <w:r w:rsidRPr="00F56639">
              <w:t xml:space="preserve">Include a realistic strategy for incorporating </w:t>
            </w:r>
            <w:r>
              <w:t xml:space="preserve">TWC </w:t>
            </w:r>
            <w:r w:rsidRPr="00F56639">
              <w:t>personnel in day</w:t>
            </w:r>
            <w:r>
              <w:t>-</w:t>
            </w:r>
            <w:r w:rsidRPr="00F56639">
              <w:t>to</w:t>
            </w:r>
            <w:r>
              <w:t>-</w:t>
            </w:r>
            <w:r w:rsidRPr="00F56639">
              <w:t xml:space="preserve">day activities for the duration of the project; </w:t>
            </w:r>
            <w:r w:rsidR="003617D4" w:rsidRPr="00F56639">
              <w:t>an</w:t>
            </w:r>
            <w:r w:rsidR="003617D4">
              <w:t>d</w:t>
            </w:r>
          </w:p>
          <w:p w14:paraId="33827486" w14:textId="7C767A66" w:rsidR="003617D4" w:rsidRDefault="003617D4" w:rsidP="00F82166">
            <w:pPr>
              <w:pStyle w:val="LB1-Table"/>
            </w:pPr>
            <w:r>
              <w:t>Align with the phased Implementation Strategy accepted by TWC.</w:t>
            </w:r>
          </w:p>
        </w:tc>
        <w:tc>
          <w:tcPr>
            <w:tcW w:w="1944" w:type="dxa"/>
          </w:tcPr>
          <w:p w14:paraId="2EBD0A21" w14:textId="3E127594" w:rsidR="0065558C" w:rsidRPr="00F57DB3" w:rsidRDefault="003617D4" w:rsidP="004B78B5">
            <w:pPr>
              <w:ind w:left="0"/>
            </w:pPr>
            <w:r>
              <w:t>AoC + 45 calendar days</w:t>
            </w:r>
          </w:p>
        </w:tc>
      </w:tr>
      <w:tr w:rsidR="0065558C" w:rsidRPr="00873442" w14:paraId="40D3D5AC" w14:textId="77777777" w:rsidTr="004B78B5">
        <w:tc>
          <w:tcPr>
            <w:tcW w:w="936" w:type="dxa"/>
          </w:tcPr>
          <w:p w14:paraId="4A60F48C" w14:textId="46AFB3EE" w:rsidR="0065558C" w:rsidRDefault="0025231B" w:rsidP="004B78B5">
            <w:pPr>
              <w:ind w:left="0"/>
              <w:jc w:val="center"/>
            </w:pPr>
            <w:r>
              <w:t>1D</w:t>
            </w:r>
          </w:p>
        </w:tc>
        <w:tc>
          <w:tcPr>
            <w:tcW w:w="2214" w:type="dxa"/>
          </w:tcPr>
          <w:p w14:paraId="0492697E" w14:textId="5A9C4D79" w:rsidR="0065558C" w:rsidRDefault="004F32FF" w:rsidP="004B78B5">
            <w:pPr>
              <w:ind w:left="0"/>
            </w:pPr>
            <w:r>
              <w:t xml:space="preserve">Detailed </w:t>
            </w:r>
            <w:r w:rsidR="0080343D">
              <w:t>WBS and</w:t>
            </w:r>
            <w:r w:rsidR="00880B1D" w:rsidRPr="005363D2">
              <w:t xml:space="preserve"> </w:t>
            </w:r>
            <w:r w:rsidR="0082399C">
              <w:t>IMS</w:t>
            </w:r>
            <w:r w:rsidR="00880B1D" w:rsidRPr="005363D2">
              <w:t xml:space="preserve"> </w:t>
            </w:r>
          </w:p>
        </w:tc>
        <w:tc>
          <w:tcPr>
            <w:tcW w:w="5706" w:type="dxa"/>
          </w:tcPr>
          <w:p w14:paraId="6D3F6FE7" w14:textId="0355A6A1" w:rsidR="003617D4" w:rsidRDefault="003617D4" w:rsidP="003617D4">
            <w:pPr>
              <w:ind w:left="0"/>
            </w:pPr>
            <w:r>
              <w:t xml:space="preserve">At a minimum, the </w:t>
            </w:r>
            <w:r w:rsidR="00C95B42">
              <w:t>Detailed WBS and</w:t>
            </w:r>
            <w:r w:rsidR="00C95B42" w:rsidRPr="005363D2">
              <w:t xml:space="preserve"> </w:t>
            </w:r>
            <w:r w:rsidR="00C95B42">
              <w:t>IMS</w:t>
            </w:r>
            <w:r w:rsidR="00C95B42" w:rsidRPr="005363D2">
              <w:t xml:space="preserve"> </w:t>
            </w:r>
            <w:r>
              <w:t>must:</w:t>
            </w:r>
          </w:p>
          <w:p w14:paraId="6D5C55A8" w14:textId="77777777" w:rsidR="0080343D" w:rsidRDefault="0080343D" w:rsidP="00E16D2D">
            <w:pPr>
              <w:pStyle w:val="LB1-Table"/>
            </w:pPr>
            <w:r>
              <w:t>Align with the phased Implementation Strategy accepted by TWC</w:t>
            </w:r>
            <w:r w:rsidR="003617D4">
              <w:t xml:space="preserve">; </w:t>
            </w:r>
          </w:p>
          <w:p w14:paraId="1B803DF5" w14:textId="26D6DC4A" w:rsidR="005046A4" w:rsidRDefault="0080343D" w:rsidP="00F82166">
            <w:pPr>
              <w:pStyle w:val="LB1-Table"/>
            </w:pPr>
            <w:r>
              <w:t xml:space="preserve">Include </w:t>
            </w:r>
            <w:r w:rsidRPr="009E2836">
              <w:t xml:space="preserve">all tasks, deliverables, </w:t>
            </w:r>
            <w:r w:rsidR="00003A39" w:rsidRPr="00E21848">
              <w:t>Project Status Reports</w:t>
            </w:r>
            <w:r w:rsidR="00003A39">
              <w:t xml:space="preserve">, </w:t>
            </w:r>
            <w:r>
              <w:t xml:space="preserve">milestones, </w:t>
            </w:r>
            <w:r w:rsidRPr="009E2836">
              <w:t>dependencies and resource</w:t>
            </w:r>
            <w:r>
              <w:t>s;</w:t>
            </w:r>
            <w:r w:rsidRPr="009E2836">
              <w:t xml:space="preserve"> </w:t>
            </w:r>
          </w:p>
          <w:p w14:paraId="3415164D" w14:textId="57610B65" w:rsidR="003A64FB" w:rsidRDefault="003A64FB" w:rsidP="00F82166">
            <w:pPr>
              <w:pStyle w:val="LB1-Table"/>
            </w:pPr>
            <w:r>
              <w:t>Identify the project’s critical path;</w:t>
            </w:r>
          </w:p>
          <w:p w14:paraId="4C6EFF43" w14:textId="1F77B67E" w:rsidR="00B86A0F" w:rsidRDefault="00B86A0F">
            <w:pPr>
              <w:pStyle w:val="LB1-Table"/>
            </w:pPr>
            <w:r>
              <w:t>Describe technique for conducting what-if analyses as the project progresses;</w:t>
            </w:r>
          </w:p>
          <w:p w14:paraId="38E31DF6" w14:textId="7000093B" w:rsidR="00F56639" w:rsidRDefault="00F56639">
            <w:pPr>
              <w:pStyle w:val="LB1-Table"/>
            </w:pPr>
            <w:r w:rsidRPr="00F56639">
              <w:t xml:space="preserve">Include a realistic strategy for incorporating </w:t>
            </w:r>
            <w:r>
              <w:t xml:space="preserve">TWC </w:t>
            </w:r>
            <w:r w:rsidRPr="00F56639">
              <w:t>personnel in day</w:t>
            </w:r>
            <w:r>
              <w:t>-</w:t>
            </w:r>
            <w:r w:rsidRPr="00F56639">
              <w:t>to</w:t>
            </w:r>
            <w:r>
              <w:t>-</w:t>
            </w:r>
            <w:r w:rsidRPr="00F56639">
              <w:lastRenderedPageBreak/>
              <w:t xml:space="preserve">day activities for the duration of the project; </w:t>
            </w:r>
          </w:p>
          <w:p w14:paraId="76DF4D17" w14:textId="38607004" w:rsidR="00D523D1" w:rsidRDefault="00D523D1" w:rsidP="00D523D1">
            <w:pPr>
              <w:pStyle w:val="LB1-Table"/>
            </w:pPr>
            <w:r>
              <w:t>C</w:t>
            </w:r>
            <w:r w:rsidRPr="00D523D1">
              <w:t>onsider the proper sequencing of the work required to result in a successful project that can be completed within the contract time</w:t>
            </w:r>
            <w:r>
              <w:t>;</w:t>
            </w:r>
          </w:p>
          <w:p w14:paraId="35B4ED3A" w14:textId="65318C60" w:rsidR="003617D4" w:rsidRDefault="005046A4">
            <w:pPr>
              <w:pStyle w:val="LB1-Table"/>
            </w:pPr>
            <w:r>
              <w:t xml:space="preserve">Be maintained in </w:t>
            </w:r>
            <w:r w:rsidR="00D57E3F" w:rsidRPr="009E2836">
              <w:t xml:space="preserve">Microsoft Project </w:t>
            </w:r>
            <w:r w:rsidR="00D57E3F">
              <w:t xml:space="preserve">or another software tool and version approved by </w:t>
            </w:r>
            <w:r w:rsidR="00FB7ED6">
              <w:t>TWC</w:t>
            </w:r>
            <w:r w:rsidR="00FB7ED6" w:rsidDel="00D57E3F">
              <w:t>;</w:t>
            </w:r>
            <w:r>
              <w:t xml:space="preserve"> </w:t>
            </w:r>
            <w:r w:rsidR="003617D4">
              <w:t>and</w:t>
            </w:r>
          </w:p>
          <w:p w14:paraId="2AA8809D" w14:textId="186DD478" w:rsidR="0065558C" w:rsidRDefault="005046A4">
            <w:pPr>
              <w:pStyle w:val="LB1-Table"/>
            </w:pPr>
            <w:r>
              <w:t>Be updated at least every two (2) weeks throughout the Project</w:t>
            </w:r>
            <w:r w:rsidR="003617D4">
              <w:t>.</w:t>
            </w:r>
          </w:p>
        </w:tc>
        <w:tc>
          <w:tcPr>
            <w:tcW w:w="1944" w:type="dxa"/>
          </w:tcPr>
          <w:p w14:paraId="1D5AD616" w14:textId="02C4DD23" w:rsidR="0065558C" w:rsidRPr="00F57DB3" w:rsidRDefault="003617D4" w:rsidP="004B78B5">
            <w:pPr>
              <w:ind w:left="0"/>
            </w:pPr>
            <w:r>
              <w:lastRenderedPageBreak/>
              <w:t>AoC + 45 calendar days</w:t>
            </w:r>
            <w:r w:rsidR="005046A4">
              <w:t>; then every two (2) weeks</w:t>
            </w:r>
          </w:p>
        </w:tc>
      </w:tr>
      <w:tr w:rsidR="0025231B" w:rsidRPr="00873442" w14:paraId="2FA35DE5" w14:textId="77777777" w:rsidTr="004B78B5">
        <w:tc>
          <w:tcPr>
            <w:tcW w:w="936" w:type="dxa"/>
          </w:tcPr>
          <w:p w14:paraId="641D8534" w14:textId="629E77C0" w:rsidR="0025231B" w:rsidRDefault="0025231B" w:rsidP="004B78B5">
            <w:pPr>
              <w:ind w:left="0"/>
              <w:jc w:val="center"/>
            </w:pPr>
            <w:r>
              <w:t>1E</w:t>
            </w:r>
          </w:p>
        </w:tc>
        <w:tc>
          <w:tcPr>
            <w:tcW w:w="2214" w:type="dxa"/>
          </w:tcPr>
          <w:p w14:paraId="5B8C0C82" w14:textId="640A91C5" w:rsidR="0025231B" w:rsidRPr="00D674DE" w:rsidRDefault="00880B1D" w:rsidP="004B78B5">
            <w:pPr>
              <w:ind w:left="0"/>
            </w:pPr>
            <w:r w:rsidRPr="005363D2">
              <w:t>Staffing Plan</w:t>
            </w:r>
          </w:p>
        </w:tc>
        <w:tc>
          <w:tcPr>
            <w:tcW w:w="5706" w:type="dxa"/>
          </w:tcPr>
          <w:p w14:paraId="479772E9" w14:textId="29003038" w:rsidR="003617D4" w:rsidRDefault="003617D4" w:rsidP="003617D4">
            <w:pPr>
              <w:ind w:left="0"/>
            </w:pPr>
            <w:r>
              <w:t xml:space="preserve">At a minimum, the </w:t>
            </w:r>
            <w:r w:rsidRPr="005363D2">
              <w:t xml:space="preserve">Staffing </w:t>
            </w:r>
            <w:r>
              <w:t>Plan must:</w:t>
            </w:r>
          </w:p>
          <w:p w14:paraId="44EE391A" w14:textId="77777777" w:rsidR="00CE2741" w:rsidRDefault="00CE2741" w:rsidP="00E16D2D">
            <w:pPr>
              <w:pStyle w:val="LB1-Table"/>
            </w:pPr>
            <w:r>
              <w:t xml:space="preserve">Align with the phased Implementation Strategy accepted by TWC; </w:t>
            </w:r>
          </w:p>
          <w:p w14:paraId="19845801" w14:textId="77777777" w:rsidR="00CE2741" w:rsidRDefault="00CE2741" w:rsidP="00F82166">
            <w:pPr>
              <w:pStyle w:val="LB1-Table"/>
            </w:pPr>
            <w:r>
              <w:t xml:space="preserve">Include both Awarded Vendor and TWC resources; </w:t>
            </w:r>
          </w:p>
          <w:p w14:paraId="19529596" w14:textId="77777777" w:rsidR="00CE2741" w:rsidRDefault="00CE2741" w:rsidP="00F82166">
            <w:pPr>
              <w:pStyle w:val="LB1-Table"/>
            </w:pPr>
            <w:r>
              <w:t xml:space="preserve">List all roles, responsibilities, knowledge, skills, abilities; </w:t>
            </w:r>
          </w:p>
          <w:p w14:paraId="2654D5F5" w14:textId="77777777" w:rsidR="00DA2D16" w:rsidRDefault="00CE2741">
            <w:pPr>
              <w:pStyle w:val="LB1-Table"/>
            </w:pPr>
            <w:r>
              <w:t>Detail the percent of time and duration for each TWC staff person</w:t>
            </w:r>
            <w:r w:rsidR="00DA2D16">
              <w:t>; and</w:t>
            </w:r>
          </w:p>
          <w:p w14:paraId="26C8B14B" w14:textId="63B19A08" w:rsidR="0025231B" w:rsidRDefault="00DA2D16">
            <w:pPr>
              <w:pStyle w:val="LB1-Table"/>
            </w:pPr>
            <w:r>
              <w:t>Be updated periodically as agreed</w:t>
            </w:r>
            <w:r w:rsidR="003617D4">
              <w:t>.</w:t>
            </w:r>
          </w:p>
        </w:tc>
        <w:tc>
          <w:tcPr>
            <w:tcW w:w="1944" w:type="dxa"/>
          </w:tcPr>
          <w:p w14:paraId="7C464A75" w14:textId="45BFC745" w:rsidR="0025231B" w:rsidRPr="00F57DB3" w:rsidRDefault="003617D4" w:rsidP="004B78B5">
            <w:pPr>
              <w:ind w:left="0"/>
            </w:pPr>
            <w:r>
              <w:t>AoC + 45 calendar days</w:t>
            </w:r>
            <w:r w:rsidR="00DA2D16">
              <w:t>; then periodically as agreed</w:t>
            </w:r>
          </w:p>
        </w:tc>
      </w:tr>
      <w:tr w:rsidR="00BF27C1" w:rsidRPr="00873442" w14:paraId="4CC68A82" w14:textId="77777777" w:rsidTr="004B78B5">
        <w:tc>
          <w:tcPr>
            <w:tcW w:w="936" w:type="dxa"/>
          </w:tcPr>
          <w:p w14:paraId="7EF07F0B" w14:textId="3656AA63" w:rsidR="00BF27C1" w:rsidRDefault="00BF27C1" w:rsidP="004B78B5">
            <w:pPr>
              <w:ind w:left="0"/>
              <w:jc w:val="center"/>
            </w:pPr>
            <w:bookmarkStart w:id="84" w:name="_Hlk9352944"/>
            <w:r>
              <w:t>1F</w:t>
            </w:r>
          </w:p>
        </w:tc>
        <w:tc>
          <w:tcPr>
            <w:tcW w:w="2214" w:type="dxa"/>
          </w:tcPr>
          <w:p w14:paraId="6B46BD0F" w14:textId="1D3C9680" w:rsidR="00BF27C1" w:rsidRPr="005363D2" w:rsidRDefault="00BF27C1" w:rsidP="004B78B5">
            <w:pPr>
              <w:ind w:left="0"/>
            </w:pPr>
            <w:r>
              <w:t>Test Plan</w:t>
            </w:r>
          </w:p>
        </w:tc>
        <w:tc>
          <w:tcPr>
            <w:tcW w:w="5706" w:type="dxa"/>
          </w:tcPr>
          <w:p w14:paraId="7E3F20A7" w14:textId="2437B18D" w:rsidR="00BF27C1" w:rsidRDefault="00BF27C1" w:rsidP="00BF27C1">
            <w:pPr>
              <w:ind w:left="0"/>
            </w:pPr>
            <w:r>
              <w:t xml:space="preserve">At a minimum, the </w:t>
            </w:r>
            <w:r w:rsidR="008969D2">
              <w:t>Test</w:t>
            </w:r>
            <w:r w:rsidRPr="005363D2">
              <w:t xml:space="preserve"> </w:t>
            </w:r>
            <w:r>
              <w:t>Plan must:</w:t>
            </w:r>
          </w:p>
          <w:p w14:paraId="7EC2C712" w14:textId="0685DFC7" w:rsidR="00BF27C1" w:rsidRDefault="008969D2" w:rsidP="00E16D2D">
            <w:pPr>
              <w:pStyle w:val="LB1-Table"/>
            </w:pPr>
            <w:r>
              <w:t>Be stored in the TWC SharePoint site</w:t>
            </w:r>
            <w:r w:rsidR="00BF27C1">
              <w:t xml:space="preserve">; </w:t>
            </w:r>
          </w:p>
          <w:p w14:paraId="4B52C91E" w14:textId="77777777" w:rsidR="00B12E46" w:rsidRDefault="00B12E46" w:rsidP="00F82166">
            <w:pPr>
              <w:pStyle w:val="LB1-Table"/>
            </w:pPr>
            <w:r>
              <w:t xml:space="preserve">Align with the phased Implementation Strategy accepted by TWC; </w:t>
            </w:r>
          </w:p>
          <w:p w14:paraId="03F429E4" w14:textId="3A7F93B8" w:rsidR="005D0D2A" w:rsidRDefault="005D0D2A" w:rsidP="00F82166">
            <w:pPr>
              <w:pStyle w:val="LB1-Table"/>
            </w:pPr>
            <w:r>
              <w:t>Include the development of test cases;</w:t>
            </w:r>
          </w:p>
          <w:p w14:paraId="60ECA414" w14:textId="06CDE9A6" w:rsidR="005D0D2A" w:rsidRDefault="005D0D2A">
            <w:pPr>
              <w:pStyle w:val="LB1-Table"/>
            </w:pPr>
            <w:r>
              <w:t xml:space="preserve">Describe approach for </w:t>
            </w:r>
            <w:r w:rsidR="00CC5948">
              <w:t xml:space="preserve">unit test, </w:t>
            </w:r>
            <w:r>
              <w:t xml:space="preserve">system test, integration test, user acceptance test, </w:t>
            </w:r>
            <w:r w:rsidR="00CC5948">
              <w:t xml:space="preserve">security test, EIR accessibility test, </w:t>
            </w:r>
            <w:r>
              <w:t xml:space="preserve">load test, and stress test; </w:t>
            </w:r>
          </w:p>
          <w:p w14:paraId="2E2ED62F" w14:textId="1AA66C7A" w:rsidR="00573066" w:rsidRDefault="00573066">
            <w:pPr>
              <w:pStyle w:val="LB1-Table"/>
            </w:pPr>
            <w:r>
              <w:t>Include software testing metrics and reporting;</w:t>
            </w:r>
          </w:p>
          <w:p w14:paraId="58329E35" w14:textId="77BCDC99" w:rsidR="00D47137" w:rsidRDefault="00D221A8">
            <w:pPr>
              <w:pStyle w:val="LB1-Table"/>
            </w:pPr>
            <w:r>
              <w:t>Incorporate</w:t>
            </w:r>
            <w:r w:rsidR="000F4818">
              <w:t xml:space="preserve"> a test and evaluation strategy that </w:t>
            </w:r>
            <w:r w:rsidR="00D47137">
              <w:t xml:space="preserve">leverages </w:t>
            </w:r>
            <w:r>
              <w:t xml:space="preserve">local and remote </w:t>
            </w:r>
            <w:r w:rsidR="00B33653">
              <w:t>TWC Staff</w:t>
            </w:r>
            <w:r w:rsidR="00D47137">
              <w:t xml:space="preserve"> </w:t>
            </w:r>
            <w:r>
              <w:t>as well as customers to experience, test, and train o</w:t>
            </w:r>
            <w:r w:rsidR="00D47137">
              <w:t xml:space="preserve">n </w:t>
            </w:r>
            <w:r>
              <w:t>the system</w:t>
            </w:r>
            <w:r w:rsidR="00D47137">
              <w:t>;</w:t>
            </w:r>
          </w:p>
          <w:p w14:paraId="6F7C0871" w14:textId="6CCA7B45" w:rsidR="00650A1C" w:rsidRDefault="00650A1C">
            <w:pPr>
              <w:pStyle w:val="LB1-Table"/>
            </w:pPr>
            <w:r w:rsidRPr="00650A1C">
              <w:t xml:space="preserve">Include an early access sandbox plan that that includes local and remote users and allows them </w:t>
            </w:r>
            <w:r w:rsidR="002A16E7" w:rsidRPr="00650A1C">
              <w:t>to familiarize</w:t>
            </w:r>
            <w:r w:rsidRPr="00650A1C">
              <w:t xml:space="preserve"> themselves and provide feedback;</w:t>
            </w:r>
          </w:p>
          <w:p w14:paraId="5116DC09" w14:textId="68F90DBE" w:rsidR="005D0D2A" w:rsidRDefault="005D0D2A">
            <w:pPr>
              <w:pStyle w:val="LB1-Table"/>
            </w:pPr>
            <w:r>
              <w:lastRenderedPageBreak/>
              <w:t xml:space="preserve">Describe end-to-end tests to assess total, holistic system performance including network transmissions; </w:t>
            </w:r>
          </w:p>
          <w:p w14:paraId="35911A40" w14:textId="20EF67F2" w:rsidR="00895732" w:rsidRDefault="00895732">
            <w:pPr>
              <w:pStyle w:val="LB1-Table"/>
            </w:pPr>
            <w:r>
              <w:t>Describe</w:t>
            </w:r>
            <w:r w:rsidR="00BE33B9">
              <w:t>,</w:t>
            </w:r>
            <w:r>
              <w:t xml:space="preserve"> in detail</w:t>
            </w:r>
            <w:r w:rsidR="00BE33B9">
              <w:t>,</w:t>
            </w:r>
            <w:r>
              <w:t xml:space="preserve"> how testing activities integrate with requirements management functions and support tracking </w:t>
            </w:r>
            <w:r w:rsidR="00D4068D">
              <w:t>requirements validation and verify that tests validate all TWC requirements</w:t>
            </w:r>
            <w:r>
              <w:t>;</w:t>
            </w:r>
          </w:p>
          <w:p w14:paraId="6CB3775F" w14:textId="4C7F0A3D" w:rsidR="005D0D2A" w:rsidRDefault="005D0D2A">
            <w:pPr>
              <w:pStyle w:val="LB1-Table"/>
            </w:pPr>
            <w:r>
              <w:t>Include both Awarded Vendor and TWC resources; and</w:t>
            </w:r>
          </w:p>
          <w:p w14:paraId="13CFD03A" w14:textId="676D61A3" w:rsidR="005D0D2A" w:rsidRDefault="005D0D2A">
            <w:pPr>
              <w:pStyle w:val="LB1-Table"/>
            </w:pPr>
            <w:r>
              <w:t>Include schedules and durations for each test type.</w:t>
            </w:r>
          </w:p>
        </w:tc>
        <w:tc>
          <w:tcPr>
            <w:tcW w:w="1944" w:type="dxa"/>
          </w:tcPr>
          <w:p w14:paraId="26740A94" w14:textId="05876985" w:rsidR="00BF27C1" w:rsidRDefault="00BF27C1" w:rsidP="004B78B5">
            <w:pPr>
              <w:ind w:left="0"/>
            </w:pPr>
            <w:r>
              <w:lastRenderedPageBreak/>
              <w:t>AoC + 45 calendar days</w:t>
            </w:r>
          </w:p>
        </w:tc>
      </w:tr>
      <w:bookmarkEnd w:id="84"/>
      <w:tr w:rsidR="00880B1D" w:rsidRPr="00873442" w14:paraId="63C07EF0" w14:textId="77777777" w:rsidTr="004B78B5">
        <w:tc>
          <w:tcPr>
            <w:tcW w:w="936" w:type="dxa"/>
          </w:tcPr>
          <w:p w14:paraId="212E4AF1" w14:textId="26287250" w:rsidR="00880B1D" w:rsidRDefault="00BF27C1" w:rsidP="004B78B5">
            <w:pPr>
              <w:ind w:left="0"/>
              <w:jc w:val="center"/>
            </w:pPr>
            <w:r>
              <w:t>1G</w:t>
            </w:r>
          </w:p>
        </w:tc>
        <w:tc>
          <w:tcPr>
            <w:tcW w:w="2214" w:type="dxa"/>
          </w:tcPr>
          <w:p w14:paraId="07FDC35D" w14:textId="0D38027C" w:rsidR="00880B1D" w:rsidRPr="005363D2" w:rsidRDefault="00E21004" w:rsidP="004B78B5">
            <w:pPr>
              <w:ind w:left="0"/>
            </w:pPr>
            <w:r>
              <w:t>Lessons Learned Collection Process</w:t>
            </w:r>
          </w:p>
        </w:tc>
        <w:tc>
          <w:tcPr>
            <w:tcW w:w="5706" w:type="dxa"/>
          </w:tcPr>
          <w:p w14:paraId="49C7E690" w14:textId="1B4CCCB7" w:rsidR="00E21004" w:rsidRDefault="00E21004" w:rsidP="00E21004">
            <w:pPr>
              <w:ind w:left="0"/>
            </w:pPr>
            <w:r>
              <w:t>At a minimum, the Process must:</w:t>
            </w:r>
          </w:p>
          <w:p w14:paraId="2C8A72BD" w14:textId="44FCB1CB" w:rsidR="00895732" w:rsidRDefault="00895732" w:rsidP="00E16D2D">
            <w:pPr>
              <w:pStyle w:val="LB1-Table"/>
            </w:pPr>
            <w:r>
              <w:t>Describe how the lessons learned approach supports continuous improvement throughout the project;</w:t>
            </w:r>
          </w:p>
          <w:p w14:paraId="4520F255" w14:textId="245002DC" w:rsidR="00895732" w:rsidRDefault="00E21004" w:rsidP="00E16D2D">
            <w:pPr>
              <w:pStyle w:val="LB1-Table"/>
            </w:pPr>
            <w:r>
              <w:t>Describe how lessons learned will be captured and documented</w:t>
            </w:r>
            <w:r w:rsidR="00895732">
              <w:t>;</w:t>
            </w:r>
          </w:p>
          <w:p w14:paraId="2D3C8906" w14:textId="4F23710F" w:rsidR="00880B1D" w:rsidRDefault="00895732" w:rsidP="00E16D2D">
            <w:pPr>
              <w:pStyle w:val="LB1-Table"/>
            </w:pPr>
            <w:r>
              <w:t>Describe at what points in the project lessons learned will be evaluated</w:t>
            </w:r>
            <w:r w:rsidR="00E21004">
              <w:t>.</w:t>
            </w:r>
          </w:p>
        </w:tc>
        <w:tc>
          <w:tcPr>
            <w:tcW w:w="1944" w:type="dxa"/>
          </w:tcPr>
          <w:p w14:paraId="0661748A" w14:textId="6DCF2F3B" w:rsidR="00880B1D" w:rsidRPr="00F57DB3" w:rsidRDefault="00E21004" w:rsidP="004B78B5">
            <w:pPr>
              <w:ind w:left="0"/>
            </w:pPr>
            <w:r>
              <w:t>AoC + 45 calendar days</w:t>
            </w:r>
          </w:p>
        </w:tc>
      </w:tr>
    </w:tbl>
    <w:p w14:paraId="53029133" w14:textId="77777777" w:rsidR="008D6940" w:rsidRDefault="008D6940" w:rsidP="000C3630"/>
    <w:p w14:paraId="1F8F550C" w14:textId="0C7BAD95" w:rsidR="000C3630" w:rsidRDefault="008D6940" w:rsidP="000C3630">
      <w:r w:rsidRPr="00BE56F2">
        <w:t xml:space="preserve">The </w:t>
      </w:r>
      <w:r w:rsidR="00213495">
        <w:t>Offeror</w:t>
      </w:r>
      <w:r>
        <w:t xml:space="preserve"> must include a draft version of deliverables 1B, 1C, 1D, 1E, 1F, and 1G with their proposal. </w:t>
      </w:r>
    </w:p>
    <w:p w14:paraId="05DB968D" w14:textId="27EB4509" w:rsidR="00960B3B" w:rsidRPr="00CB0C74" w:rsidRDefault="00960B3B" w:rsidP="00960B3B">
      <w:pPr>
        <w:pStyle w:val="Heading3"/>
      </w:pPr>
      <w:bookmarkStart w:id="85" w:name="_2.2.2_Required_Deliverable"/>
      <w:bookmarkStart w:id="86" w:name="_2.2.2_Required_DeliverableTask"/>
      <w:bookmarkStart w:id="87" w:name="_Toc13567397"/>
      <w:bookmarkEnd w:id="85"/>
      <w:bookmarkEnd w:id="86"/>
      <w:r w:rsidRPr="00CB0C74">
        <w:t>2.2.2</w:t>
      </w:r>
      <w:r w:rsidRPr="00CB0C74">
        <w:tab/>
      </w:r>
      <w:r w:rsidR="009B7E37">
        <w:t>Task</w:t>
      </w:r>
      <w:r w:rsidRPr="00CB0C74">
        <w:t xml:space="preserve"> 2: </w:t>
      </w:r>
      <w:r w:rsidR="00E45D76">
        <w:t xml:space="preserve">Manage </w:t>
      </w:r>
      <w:r w:rsidRPr="00CB0C74">
        <w:t>Requirements</w:t>
      </w:r>
      <w:bookmarkEnd w:id="87"/>
      <w:r w:rsidRPr="00CB0C74">
        <w:t xml:space="preserve"> </w:t>
      </w:r>
    </w:p>
    <w:p w14:paraId="50CD6228" w14:textId="26D8B830" w:rsidR="00435B51" w:rsidRDefault="00435B51" w:rsidP="00960B3B">
      <w:r w:rsidRPr="00BE56F2">
        <w:t xml:space="preserve">The </w:t>
      </w:r>
      <w:r>
        <w:t xml:space="preserve">Awarded Vendor </w:t>
      </w:r>
      <w:r w:rsidRPr="00BE56F2">
        <w:t xml:space="preserve">will </w:t>
      </w:r>
      <w:r>
        <w:t xml:space="preserve">be responsible for </w:t>
      </w:r>
      <w:r w:rsidR="00740849">
        <w:t>implementing a requirements management process that</w:t>
      </w:r>
      <w:r>
        <w:t xml:space="preserve"> specif</w:t>
      </w:r>
      <w:r w:rsidR="00740849">
        <w:t>ies,</w:t>
      </w:r>
      <w:r>
        <w:t xml:space="preserve"> document</w:t>
      </w:r>
      <w:r w:rsidR="00740849">
        <w:t>s, and maintains</w:t>
      </w:r>
      <w:r>
        <w:t xml:space="preserve"> all requirements necessary to configure, customize, host, and operate the solution for TWC.</w:t>
      </w:r>
      <w:r w:rsidRPr="0054649A">
        <w:t xml:space="preserve"> </w:t>
      </w:r>
      <w:r w:rsidR="00F0713E" w:rsidRPr="00681116">
        <w:t xml:space="preserve">Recent experience suggests that progressive elaboration </w:t>
      </w:r>
      <w:r w:rsidR="0024707E">
        <w:t>is required.</w:t>
      </w:r>
      <w:r w:rsidR="00F0713E" w:rsidRPr="00681116">
        <w:t xml:space="preserve"> </w:t>
      </w:r>
      <w:r w:rsidR="000421B5">
        <w:t>UI</w:t>
      </w:r>
      <w:r w:rsidR="007D6085">
        <w:t xml:space="preserve"> requirements and UI Process descriptions (</w:t>
      </w:r>
      <w:hyperlink w:anchor="_Attachment_5_–" w:history="1">
        <w:r w:rsidR="007D6085" w:rsidRPr="002F601E">
          <w:rPr>
            <w:rStyle w:val="Hyperlink"/>
          </w:rPr>
          <w:t>Attachment 5</w:t>
        </w:r>
      </w:hyperlink>
      <w:r w:rsidR="007D6085">
        <w:t xml:space="preserve"> and </w:t>
      </w:r>
      <w:hyperlink w:anchor="_Attachment_6_–" w:history="1">
        <w:r w:rsidR="002F601E" w:rsidRPr="002F601E">
          <w:rPr>
            <w:rStyle w:val="Hyperlink"/>
          </w:rPr>
          <w:t xml:space="preserve">Attachment </w:t>
        </w:r>
        <w:r w:rsidR="007D6085" w:rsidRPr="002F601E">
          <w:rPr>
            <w:rStyle w:val="Hyperlink"/>
          </w:rPr>
          <w:t>6</w:t>
        </w:r>
      </w:hyperlink>
      <w:r w:rsidR="007D6085">
        <w:t xml:space="preserve">, respectively) may require further elaboration and decomposition by the Awarded Vendor. Through the requirements elaboration processes, the Awarded Vendor and TWC will establish the final UI system requirements baseline. Effort to support thorough requirements elaboration </w:t>
      </w:r>
      <w:r w:rsidR="00F0713E">
        <w:t>must</w:t>
      </w:r>
      <w:r w:rsidR="00F0713E" w:rsidRPr="00681116">
        <w:t xml:space="preserve"> be included in the base cost and built into the proposed </w:t>
      </w:r>
      <w:r w:rsidR="002A57F8">
        <w:t>IMS</w:t>
      </w:r>
      <w:r w:rsidR="00F0713E" w:rsidRPr="00681116">
        <w:t xml:space="preserve">. </w:t>
      </w:r>
      <w:r w:rsidR="00C265E8">
        <w:t>TWC</w:t>
      </w:r>
      <w:r w:rsidR="00C265E8" w:rsidRPr="00681116">
        <w:t xml:space="preserve"> has final approval over all requirements </w:t>
      </w:r>
      <w:r w:rsidR="00C265E8" w:rsidRPr="00B63F62">
        <w:t xml:space="preserve">and under no circumstances will the </w:t>
      </w:r>
      <w:r w:rsidR="00C265E8">
        <w:t xml:space="preserve">Awarded Vendor’s </w:t>
      </w:r>
      <w:r w:rsidR="00C265E8" w:rsidRPr="00B63F62">
        <w:t xml:space="preserve">base code set, framework, MOTS product(s), or any technical base proposed by the </w:t>
      </w:r>
      <w:r w:rsidR="00C265E8">
        <w:t xml:space="preserve">Awarded Vendor </w:t>
      </w:r>
      <w:r w:rsidR="00C265E8" w:rsidRPr="00B63F62">
        <w:t xml:space="preserve">be used to determine finalized requirements unless </w:t>
      </w:r>
      <w:r w:rsidR="00C265E8">
        <w:t>TWC</w:t>
      </w:r>
      <w:r w:rsidR="00C265E8" w:rsidRPr="00681116">
        <w:t xml:space="preserve"> </w:t>
      </w:r>
      <w:r w:rsidR="00C265E8" w:rsidRPr="00B63F62">
        <w:t>approves.</w:t>
      </w:r>
    </w:p>
    <w:p w14:paraId="51C9A069" w14:textId="77777777" w:rsidR="00960B3B" w:rsidRPr="00E21848" w:rsidRDefault="00960B3B" w:rsidP="00960B3B">
      <w:r>
        <w:t>A</w:t>
      </w:r>
      <w:r w:rsidRPr="00E21848">
        <w:t>ctivities</w:t>
      </w:r>
      <w:r>
        <w:t xml:space="preserve"> </w:t>
      </w:r>
      <w:r w:rsidRPr="00E21848">
        <w:t>include:</w:t>
      </w:r>
    </w:p>
    <w:p w14:paraId="6F4F5799" w14:textId="114DD8C2" w:rsidR="00D930F7" w:rsidRDefault="00D930F7" w:rsidP="00E16D2D">
      <w:pPr>
        <w:pStyle w:val="LB1"/>
      </w:pPr>
      <w:r>
        <w:t xml:space="preserve">Develop a </w:t>
      </w:r>
      <w:r w:rsidR="00213495">
        <w:t>Requirements</w:t>
      </w:r>
      <w:r w:rsidR="000B7C73">
        <w:t xml:space="preserve"> Management Plan</w:t>
      </w:r>
      <w:r>
        <w:t xml:space="preserve"> </w:t>
      </w:r>
    </w:p>
    <w:p w14:paraId="6B1F631B" w14:textId="77777777" w:rsidR="007D6085" w:rsidRDefault="007D6085" w:rsidP="00F82166">
      <w:pPr>
        <w:pStyle w:val="OB1"/>
      </w:pPr>
      <w:r>
        <w:lastRenderedPageBreak/>
        <w:t>The Requirements Management Plan must provide detailed definition of processes, approaches, and artifacts proposed to:</w:t>
      </w:r>
    </w:p>
    <w:p w14:paraId="68B01FDA" w14:textId="0A048546" w:rsidR="007D6085" w:rsidRDefault="007D6085" w:rsidP="007D6085">
      <w:pPr>
        <w:pStyle w:val="SB1"/>
      </w:pPr>
      <w:r>
        <w:t>Elicit final TWC functional/non-functional requirements ensuring the awarded vendor fully understands TWC business requirements and functional needs;</w:t>
      </w:r>
    </w:p>
    <w:p w14:paraId="47C2D991" w14:textId="2E208997" w:rsidR="007D6085" w:rsidRDefault="007D6085" w:rsidP="007D6085">
      <w:pPr>
        <w:pStyle w:val="SB1"/>
      </w:pPr>
      <w:r>
        <w:t>Decompose TWC requirements in a manner that supports clear requirements traceability and requirements verification;</w:t>
      </w:r>
    </w:p>
    <w:p w14:paraId="192174AF" w14:textId="57582240" w:rsidR="007D6085" w:rsidRDefault="00D4068D" w:rsidP="007D6085">
      <w:pPr>
        <w:pStyle w:val="SB1"/>
      </w:pPr>
      <w:r>
        <w:t>Document requirements enabling full understanding of integrated workflow requirements</w:t>
      </w:r>
      <w:r w:rsidR="007D6085">
        <w:t>;</w:t>
      </w:r>
    </w:p>
    <w:p w14:paraId="51E06EEF" w14:textId="33860B5B" w:rsidR="00D930F7" w:rsidRDefault="007D6085" w:rsidP="007D6085">
      <w:pPr>
        <w:pStyle w:val="SB1"/>
      </w:pPr>
      <w:r>
        <w:t>Support changes to requirements as they are identified</w:t>
      </w:r>
      <w:r w:rsidR="00D930F7">
        <w:t>;</w:t>
      </w:r>
    </w:p>
    <w:p w14:paraId="2A0CA576" w14:textId="092E972A" w:rsidR="00D930F7" w:rsidRDefault="00D930F7" w:rsidP="00F82166">
      <w:pPr>
        <w:pStyle w:val="OB1"/>
      </w:pPr>
      <w:r>
        <w:t>Ensure</w:t>
      </w:r>
      <w:r w:rsidRPr="007A5102">
        <w:t xml:space="preserve"> </w:t>
      </w:r>
      <w:r w:rsidR="000B7C73" w:rsidRPr="000B7C73">
        <w:t>that the Requirements Management Plan is implemented at project start and adhered to and incorporated throughout the full lifecycle of the project</w:t>
      </w:r>
      <w:r>
        <w:t>;</w:t>
      </w:r>
    </w:p>
    <w:p w14:paraId="42346327" w14:textId="71E89B13" w:rsidR="00D930F7" w:rsidRDefault="00D930F7">
      <w:pPr>
        <w:pStyle w:val="OB1"/>
      </w:pPr>
      <w:r>
        <w:t>Ensure</w:t>
      </w:r>
      <w:r w:rsidRPr="007A5102">
        <w:t xml:space="preserve"> </w:t>
      </w:r>
      <w:r w:rsidR="000B7C73" w:rsidRPr="000B7C73">
        <w:t>customers, stakeholders, managers, developers, and users are all involved in the requirements management process</w:t>
      </w:r>
      <w:r>
        <w:t>; and</w:t>
      </w:r>
    </w:p>
    <w:p w14:paraId="6ECCAD5A" w14:textId="0B6B83E6" w:rsidR="00D930F7" w:rsidRDefault="00D930F7">
      <w:pPr>
        <w:pStyle w:val="OB1"/>
      </w:pPr>
      <w:r>
        <w:t>Ensure</w:t>
      </w:r>
      <w:r w:rsidRPr="007A5102">
        <w:t xml:space="preserve"> </w:t>
      </w:r>
      <w:r w:rsidR="000B7C73" w:rsidRPr="000B7C73">
        <w:t>that a requirements configuration management process is implemented and that no changes are made to baselined requirements without performing a risk analysis, re-estimating impacts to cost and schedule, and validation amongst the stakeholders</w:t>
      </w:r>
      <w:r>
        <w:t>.</w:t>
      </w:r>
    </w:p>
    <w:p w14:paraId="1A90F5BE" w14:textId="5CE36583" w:rsidR="00704C4A" w:rsidRDefault="00704C4A">
      <w:pPr>
        <w:pStyle w:val="LB1"/>
      </w:pPr>
      <w:r>
        <w:t>Host Requirements Workshops</w:t>
      </w:r>
    </w:p>
    <w:p w14:paraId="4D087248" w14:textId="5FFD3D35" w:rsidR="00704C4A" w:rsidRPr="00E47978" w:rsidRDefault="00704C4A">
      <w:pPr>
        <w:pStyle w:val="OB1"/>
      </w:pPr>
      <w:r w:rsidRPr="00E47978">
        <w:t xml:space="preserve">Identify and schedule </w:t>
      </w:r>
      <w:r>
        <w:t xml:space="preserve">requirements </w:t>
      </w:r>
      <w:r w:rsidRPr="00E47978">
        <w:t>workshops</w:t>
      </w:r>
      <w:r>
        <w:t xml:space="preserve"> to confirm and clarify </w:t>
      </w:r>
      <w:r w:rsidR="00435B51">
        <w:t>all B</w:t>
      </w:r>
      <w:r w:rsidR="00435B51" w:rsidRPr="0054649A">
        <w:t>usiness</w:t>
      </w:r>
      <w:r w:rsidR="00435B51">
        <w:t>/Functional and T</w:t>
      </w:r>
      <w:r w:rsidR="00435B51" w:rsidRPr="0054649A">
        <w:t>echnical</w:t>
      </w:r>
      <w:r w:rsidR="00435B51">
        <w:t xml:space="preserve">/System </w:t>
      </w:r>
      <w:r>
        <w:t>requirements</w:t>
      </w:r>
      <w:r w:rsidR="00435B51">
        <w:t xml:space="preserve">, see </w:t>
      </w:r>
      <w:hyperlink w:anchor="_Attachment_5_–" w:history="1">
        <w:r w:rsidR="00435B51" w:rsidRPr="00435B51">
          <w:rPr>
            <w:rStyle w:val="Hyperlink"/>
          </w:rPr>
          <w:t>Attachment 5</w:t>
        </w:r>
      </w:hyperlink>
      <w:r w:rsidR="00435B51">
        <w:t xml:space="preserve">, and process descriptions, see </w:t>
      </w:r>
      <w:hyperlink w:anchor="_Attachment_6_–" w:history="1">
        <w:r w:rsidR="00435B51" w:rsidRPr="00435B51">
          <w:rPr>
            <w:rStyle w:val="Hyperlink"/>
          </w:rPr>
          <w:t>Attachment 6</w:t>
        </w:r>
      </w:hyperlink>
      <w:r w:rsidR="00EC5609">
        <w:t>;</w:t>
      </w:r>
    </w:p>
    <w:p w14:paraId="5815145D" w14:textId="4656CFEC" w:rsidR="00704C4A" w:rsidRPr="00E47978" w:rsidRDefault="00704C4A">
      <w:pPr>
        <w:pStyle w:val="OB1"/>
      </w:pPr>
      <w:r w:rsidRPr="00E47978">
        <w:t>Develop workshop agendas</w:t>
      </w:r>
      <w:r w:rsidR="0057093D">
        <w:t xml:space="preserve"> and </w:t>
      </w:r>
      <w:r w:rsidR="005D1545">
        <w:t xml:space="preserve">subject-specific </w:t>
      </w:r>
      <w:r w:rsidR="0057093D">
        <w:t>handouts</w:t>
      </w:r>
      <w:r w:rsidR="002D59F6">
        <w:t xml:space="preserve"> to be provided to workshop participants at least 24 hours prior to </w:t>
      </w:r>
      <w:r w:rsidR="009170C5">
        <w:t>start of workshop</w:t>
      </w:r>
      <w:r w:rsidR="00EC5609">
        <w:t>;</w:t>
      </w:r>
    </w:p>
    <w:p w14:paraId="010B6958" w14:textId="2A27EC8D" w:rsidR="0057093D" w:rsidRDefault="00704C4A">
      <w:pPr>
        <w:pStyle w:val="OB1"/>
      </w:pPr>
      <w:r w:rsidRPr="00E47978">
        <w:t xml:space="preserve">Facilitate workshops </w:t>
      </w:r>
      <w:r w:rsidR="00EC5609">
        <w:t>with users and document results; and</w:t>
      </w:r>
    </w:p>
    <w:p w14:paraId="46704B2F" w14:textId="77777777" w:rsidR="0057093D" w:rsidRDefault="0057093D">
      <w:pPr>
        <w:pStyle w:val="OB1"/>
      </w:pPr>
      <w:r>
        <w:t>Follow up on any open action items.</w:t>
      </w:r>
    </w:p>
    <w:p w14:paraId="2806F4DB" w14:textId="60DAEF62" w:rsidR="00960B3B" w:rsidRDefault="00B05135">
      <w:pPr>
        <w:pStyle w:val="LB1"/>
      </w:pPr>
      <w:bookmarkStart w:id="88" w:name="_Hlk531595824"/>
      <w:r>
        <w:rPr>
          <w:rStyle w:val="normaltextrun"/>
          <w:color w:val="000000"/>
          <w:szCs w:val="24"/>
        </w:rPr>
        <w:t xml:space="preserve">Create requirements baseline and maintain solution requirements for the duration of the project in TWC’s application lifecycle tool/software (e.g. today, TWC is using the Hewlett Packard (HP) Application Lifecycle </w:t>
      </w:r>
      <w:r w:rsidRPr="00B63F62">
        <w:rPr>
          <w:rStyle w:val="normaltextrun"/>
          <w:color w:val="000000"/>
          <w:szCs w:val="24"/>
        </w:rPr>
        <w:t>Management (</w:t>
      </w:r>
      <w:r w:rsidRPr="00B63F62">
        <w:rPr>
          <w:rStyle w:val="normaltextrun"/>
        </w:rPr>
        <w:t>ALM</w:t>
      </w:r>
      <w:r w:rsidRPr="00B63F62">
        <w:rPr>
          <w:rStyle w:val="normaltextrun"/>
          <w:color w:val="000000"/>
          <w:szCs w:val="24"/>
        </w:rPr>
        <w:t>)</w:t>
      </w:r>
      <w:r>
        <w:rPr>
          <w:rStyle w:val="normaltextrun"/>
          <w:color w:val="000000"/>
          <w:szCs w:val="24"/>
        </w:rPr>
        <w:t xml:space="preserve"> toolset). Awarded Vendor and TWC will use TWC’s lifecycle tool. The application lifecycle tool will remain under TWC’s control (IT environment) and the contents will become the property of the State of Texas</w:t>
      </w:r>
      <w:bookmarkEnd w:id="88"/>
      <w:r w:rsidR="005C5C2D">
        <w:t>;</w:t>
      </w:r>
    </w:p>
    <w:p w14:paraId="356361A2" w14:textId="2DFF5169" w:rsidR="00E14FF0" w:rsidRDefault="00E14FF0">
      <w:pPr>
        <w:pStyle w:val="LB1"/>
      </w:pPr>
      <w:r w:rsidRPr="00DF3140">
        <w:t>Ensure requirements specifications are developed for all hardware and</w:t>
      </w:r>
      <w:r w:rsidRPr="00E14FF0">
        <w:t xml:space="preserve"> software subsystems in a sufficient level of detail to ensure </w:t>
      </w:r>
      <w:r>
        <w:t xml:space="preserve">a </w:t>
      </w:r>
      <w:r w:rsidRPr="00E14FF0">
        <w:t>successful implementation</w:t>
      </w:r>
      <w:r w:rsidR="00EC5609">
        <w:t>;</w:t>
      </w:r>
    </w:p>
    <w:p w14:paraId="4ECF7456" w14:textId="4700F35B" w:rsidR="00E14FF0" w:rsidRDefault="00E14FF0">
      <w:pPr>
        <w:pStyle w:val="LB1"/>
      </w:pPr>
      <w:r w:rsidRPr="00E14FF0">
        <w:t>Ensure requirements are well-def</w:t>
      </w:r>
      <w:r w:rsidR="00EC5609">
        <w:t>ined, understood</w:t>
      </w:r>
      <w:r w:rsidR="002F601E">
        <w:t>,</w:t>
      </w:r>
      <w:r w:rsidR="00EC5609">
        <w:t xml:space="preserve"> and </w:t>
      </w:r>
      <w:r w:rsidR="002F601E">
        <w:t xml:space="preserve">that all </w:t>
      </w:r>
      <w:r w:rsidR="00EC5609">
        <w:t>documented</w:t>
      </w:r>
      <w:r w:rsidR="002F601E" w:rsidRPr="002F601E">
        <w:t xml:space="preserve"> </w:t>
      </w:r>
      <w:r w:rsidR="002F601E">
        <w:t>are correct, unambiguous, consistent, and verifiable (testable)</w:t>
      </w:r>
      <w:r w:rsidR="00EC5609">
        <w:t>;</w:t>
      </w:r>
    </w:p>
    <w:p w14:paraId="57AFC359" w14:textId="1FF83699" w:rsidR="0057093D" w:rsidRDefault="0057093D">
      <w:pPr>
        <w:pStyle w:val="LB1"/>
      </w:pPr>
      <w:r>
        <w:t>Distribute completed documentation to appropriate stakeholders</w:t>
      </w:r>
      <w:r w:rsidR="00E14940">
        <w:t xml:space="preserve"> for validation</w:t>
      </w:r>
      <w:r w:rsidR="00EC5609">
        <w:t>;</w:t>
      </w:r>
    </w:p>
    <w:p w14:paraId="0CE62020" w14:textId="2C6DE3C3" w:rsidR="0057093D" w:rsidRPr="00E47978" w:rsidRDefault="0057093D">
      <w:pPr>
        <w:pStyle w:val="LB1"/>
      </w:pPr>
      <w:r>
        <w:t xml:space="preserve">Schedule final </w:t>
      </w:r>
      <w:r w:rsidR="005C5C2D">
        <w:t xml:space="preserve">requirements </w:t>
      </w:r>
      <w:r>
        <w:t>wa</w:t>
      </w:r>
      <w:r w:rsidR="00EC5609">
        <w:t>lkthrough and gain TWC approval;</w:t>
      </w:r>
    </w:p>
    <w:p w14:paraId="4F886459" w14:textId="39D95517" w:rsidR="005C5C2D" w:rsidRDefault="00740849">
      <w:pPr>
        <w:pStyle w:val="LB1"/>
      </w:pPr>
      <w:r>
        <w:t>Create</w:t>
      </w:r>
      <w:r w:rsidRPr="0054649A">
        <w:t xml:space="preserve"> requirements</w:t>
      </w:r>
      <w:r w:rsidRPr="00135009">
        <w:t xml:space="preserve"> </w:t>
      </w:r>
      <w:r>
        <w:t>traceability matrix</w:t>
      </w:r>
      <w:r w:rsidR="005C5C2D">
        <w:t xml:space="preserve"> and e</w:t>
      </w:r>
      <w:r w:rsidR="00057A6B">
        <w:t xml:space="preserve">nsure </w:t>
      </w:r>
      <w:r w:rsidR="00057A6B" w:rsidRPr="00057A6B">
        <w:t xml:space="preserve">requirements can be traced </w:t>
      </w:r>
      <w:r w:rsidR="001430D5">
        <w:t xml:space="preserve">bi-directionally </w:t>
      </w:r>
      <w:r w:rsidR="00057A6B" w:rsidRPr="00057A6B">
        <w:t xml:space="preserve">through design, code and test phases to verify that the system </w:t>
      </w:r>
      <w:r w:rsidR="00057A6B" w:rsidRPr="00057A6B">
        <w:lastRenderedPageBreak/>
        <w:t>performs as intended</w:t>
      </w:r>
      <w:r w:rsidR="00F12159">
        <w:t>,</w:t>
      </w:r>
      <w:r w:rsidR="00057A6B" w:rsidRPr="00057A6B">
        <w:t xml:space="preserve"> contains no unnecessary software elements</w:t>
      </w:r>
      <w:r w:rsidR="00F12159">
        <w:t xml:space="preserve">, and supports </w:t>
      </w:r>
      <w:r w:rsidR="00F80076">
        <w:t xml:space="preserve">comprehensive and </w:t>
      </w:r>
      <w:r w:rsidR="00F12159">
        <w:t>accurate impact analysis</w:t>
      </w:r>
      <w:r w:rsidR="00EC5609">
        <w:t xml:space="preserve">; </w:t>
      </w:r>
    </w:p>
    <w:p w14:paraId="67EC1127" w14:textId="698C05CF" w:rsidR="00740849" w:rsidRDefault="00DF3140">
      <w:pPr>
        <w:pStyle w:val="LB1"/>
      </w:pPr>
      <w:r>
        <w:t>C</w:t>
      </w:r>
      <w:r w:rsidR="00740849">
        <w:t xml:space="preserve">reate and maintain the requirements traceability matrix </w:t>
      </w:r>
      <w:r w:rsidR="005C5C2D">
        <w:t xml:space="preserve">in TWC’s ALM </w:t>
      </w:r>
      <w:r w:rsidR="00740849">
        <w:t>for the duration of the project</w:t>
      </w:r>
      <w:r w:rsidR="005C5C2D">
        <w:t>;</w:t>
      </w:r>
      <w:r w:rsidR="00D65F12">
        <w:t xml:space="preserve"> and</w:t>
      </w:r>
    </w:p>
    <w:p w14:paraId="714E5B29" w14:textId="61CEA044" w:rsidR="00DF3140" w:rsidRPr="00135009" w:rsidRDefault="00DF3140">
      <w:pPr>
        <w:pStyle w:val="LB1"/>
      </w:pPr>
      <w:r>
        <w:t>Involve TWC IT Staff in use of ALM and transfer knowledge of best practices to TWC Staff.</w:t>
      </w:r>
    </w:p>
    <w:p w14:paraId="3C752D74" w14:textId="77777777" w:rsidR="00960B3B" w:rsidRDefault="00960B3B" w:rsidP="00960B3B"/>
    <w:p w14:paraId="000CBB9D" w14:textId="370C724D" w:rsidR="00960B3B" w:rsidRDefault="00272A05" w:rsidP="00960B3B">
      <w:r>
        <w:t xml:space="preserve">The Awarded Vendor will complete the following </w:t>
      </w:r>
      <w:r w:rsidR="00B81B78">
        <w:t>deliverables during this Task</w:t>
      </w:r>
      <w:r w:rsidR="00960B3B">
        <w:t>:</w:t>
      </w:r>
    </w:p>
    <w:tbl>
      <w:tblPr>
        <w:tblStyle w:val="TableGrid"/>
        <w:tblW w:w="10800" w:type="dxa"/>
        <w:tblInd w:w="175" w:type="dxa"/>
        <w:tblLayout w:type="fixed"/>
        <w:tblLook w:val="04A0" w:firstRow="1" w:lastRow="0" w:firstColumn="1" w:lastColumn="0" w:noHBand="0" w:noVBand="1"/>
        <w:tblDescription w:val="Manage requirements deliverables schedule table"/>
      </w:tblPr>
      <w:tblGrid>
        <w:gridCol w:w="936"/>
        <w:gridCol w:w="2214"/>
        <w:gridCol w:w="5706"/>
        <w:gridCol w:w="1944"/>
      </w:tblGrid>
      <w:tr w:rsidR="00960B3B" w:rsidRPr="00873442" w14:paraId="5B01ECDF" w14:textId="77777777" w:rsidTr="006E0363">
        <w:trPr>
          <w:tblHeader/>
        </w:trPr>
        <w:tc>
          <w:tcPr>
            <w:tcW w:w="936" w:type="dxa"/>
            <w:shd w:val="clear" w:color="auto" w:fill="DEEAF6" w:themeFill="accent1" w:themeFillTint="33"/>
            <w:vAlign w:val="bottom"/>
          </w:tcPr>
          <w:p w14:paraId="03861A01" w14:textId="77777777" w:rsidR="00960B3B" w:rsidRPr="004F202B" w:rsidRDefault="00960B3B" w:rsidP="006E0363">
            <w:pPr>
              <w:spacing w:after="0"/>
              <w:ind w:left="0"/>
              <w:jc w:val="center"/>
              <w:rPr>
                <w:rFonts w:cs="Arial"/>
                <w:b/>
                <w:color w:val="1F3864" w:themeColor="accent5" w:themeShade="80"/>
              </w:rPr>
            </w:pPr>
            <w:r w:rsidRPr="004F202B">
              <w:rPr>
                <w:rFonts w:cs="Arial"/>
                <w:b/>
                <w:color w:val="1F3864" w:themeColor="accent5" w:themeShade="80"/>
              </w:rPr>
              <w:t>No.</w:t>
            </w:r>
          </w:p>
        </w:tc>
        <w:tc>
          <w:tcPr>
            <w:tcW w:w="2214" w:type="dxa"/>
            <w:shd w:val="clear" w:color="auto" w:fill="DEEAF6" w:themeFill="accent1" w:themeFillTint="33"/>
          </w:tcPr>
          <w:p w14:paraId="4AA05309" w14:textId="77777777" w:rsidR="00960B3B" w:rsidRPr="001B5E0B" w:rsidRDefault="00960B3B" w:rsidP="006E0363">
            <w:pPr>
              <w:spacing w:after="0"/>
              <w:ind w:left="0"/>
              <w:rPr>
                <w:rFonts w:cs="Arial"/>
                <w:b/>
                <w:color w:val="1F3864" w:themeColor="accent5" w:themeShade="80"/>
              </w:rPr>
            </w:pPr>
            <w:r>
              <w:rPr>
                <w:rFonts w:cs="Arial"/>
                <w:b/>
                <w:color w:val="1F3864" w:themeColor="accent5" w:themeShade="80"/>
              </w:rPr>
              <w:t>Deliverable</w:t>
            </w:r>
          </w:p>
        </w:tc>
        <w:tc>
          <w:tcPr>
            <w:tcW w:w="5706" w:type="dxa"/>
            <w:shd w:val="clear" w:color="auto" w:fill="DEEAF6" w:themeFill="accent1" w:themeFillTint="33"/>
          </w:tcPr>
          <w:p w14:paraId="039E4A06" w14:textId="77777777" w:rsidR="00960B3B" w:rsidRPr="001B5E0B" w:rsidRDefault="00960B3B" w:rsidP="006E0363">
            <w:pPr>
              <w:spacing w:after="0"/>
              <w:ind w:left="0"/>
              <w:rPr>
                <w:rFonts w:cs="Arial"/>
                <w:b/>
                <w:color w:val="1F3864" w:themeColor="accent5" w:themeShade="80"/>
              </w:rPr>
            </w:pPr>
            <w:r>
              <w:rPr>
                <w:rFonts w:cs="Arial"/>
                <w:b/>
                <w:color w:val="1F3864" w:themeColor="accent5" w:themeShade="80"/>
              </w:rPr>
              <w:t>Acceptance Criteria</w:t>
            </w:r>
          </w:p>
        </w:tc>
        <w:tc>
          <w:tcPr>
            <w:tcW w:w="1944" w:type="dxa"/>
            <w:shd w:val="clear" w:color="auto" w:fill="DEEAF6" w:themeFill="accent1" w:themeFillTint="33"/>
            <w:vAlign w:val="bottom"/>
          </w:tcPr>
          <w:p w14:paraId="6A8A6998" w14:textId="77777777" w:rsidR="00960B3B" w:rsidRPr="004F202B" w:rsidRDefault="00960B3B" w:rsidP="006E0363">
            <w:pPr>
              <w:spacing w:after="0"/>
              <w:ind w:left="0"/>
              <w:rPr>
                <w:rFonts w:cs="Arial"/>
                <w:b/>
                <w:color w:val="1F3864" w:themeColor="accent5" w:themeShade="80"/>
              </w:rPr>
            </w:pPr>
            <w:r>
              <w:rPr>
                <w:rFonts w:cs="Arial"/>
                <w:b/>
                <w:color w:val="1F3864" w:themeColor="accent5" w:themeShade="80"/>
              </w:rPr>
              <w:t>Due Date</w:t>
            </w:r>
          </w:p>
        </w:tc>
      </w:tr>
      <w:tr w:rsidR="000B7C73" w:rsidRPr="00873442" w14:paraId="77F22F8C" w14:textId="77777777" w:rsidTr="006E0363">
        <w:tc>
          <w:tcPr>
            <w:tcW w:w="936" w:type="dxa"/>
          </w:tcPr>
          <w:p w14:paraId="7DA3B297" w14:textId="09C8CCEA" w:rsidR="000B7C73" w:rsidRDefault="000B7C73" w:rsidP="00796402">
            <w:pPr>
              <w:ind w:left="0"/>
              <w:jc w:val="center"/>
            </w:pPr>
            <w:r>
              <w:t>2A</w:t>
            </w:r>
          </w:p>
        </w:tc>
        <w:tc>
          <w:tcPr>
            <w:tcW w:w="2214" w:type="dxa"/>
          </w:tcPr>
          <w:p w14:paraId="0C0754F4" w14:textId="64037980" w:rsidR="000B7C73" w:rsidRDefault="000B7C73" w:rsidP="00796402">
            <w:pPr>
              <w:ind w:left="0"/>
            </w:pPr>
            <w:r>
              <w:t>Requirements Management Plan</w:t>
            </w:r>
          </w:p>
        </w:tc>
        <w:tc>
          <w:tcPr>
            <w:tcW w:w="5706" w:type="dxa"/>
          </w:tcPr>
          <w:p w14:paraId="53B86AE8" w14:textId="06210874" w:rsidR="000B7C73" w:rsidRDefault="000B7C73" w:rsidP="000B7C73">
            <w:pPr>
              <w:ind w:left="0"/>
            </w:pPr>
            <w:r>
              <w:t>At a minimum, the Plan must:</w:t>
            </w:r>
          </w:p>
          <w:p w14:paraId="5EF29FEF" w14:textId="77777777" w:rsidR="00FF783F" w:rsidRDefault="00FF783F" w:rsidP="00E16D2D">
            <w:pPr>
              <w:pStyle w:val="LB1-Table"/>
            </w:pPr>
            <w:r>
              <w:t xml:space="preserve">Be stored in the TWC SharePoint site; </w:t>
            </w:r>
          </w:p>
          <w:p w14:paraId="658FDD96" w14:textId="77777777" w:rsidR="007D6085" w:rsidRDefault="007D6085" w:rsidP="00F82166">
            <w:pPr>
              <w:pStyle w:val="LB1-Table"/>
            </w:pPr>
            <w:r>
              <w:t>Provide detailed definition of processes, approaches, and artifacts employed supporting requirements:</w:t>
            </w:r>
          </w:p>
          <w:p w14:paraId="309C787C" w14:textId="77777777" w:rsidR="007D6085" w:rsidRDefault="007D6085" w:rsidP="007D6085">
            <w:pPr>
              <w:pStyle w:val="OB1-Table"/>
            </w:pPr>
            <w:r>
              <w:t>Elicitation;</w:t>
            </w:r>
          </w:p>
          <w:p w14:paraId="4A1CC5F4" w14:textId="77777777" w:rsidR="007D6085" w:rsidRDefault="007D6085" w:rsidP="007D6085">
            <w:pPr>
              <w:pStyle w:val="OB1-Table"/>
            </w:pPr>
            <w:r>
              <w:t>Decomposition;</w:t>
            </w:r>
          </w:p>
          <w:p w14:paraId="0206931A" w14:textId="5986A446" w:rsidR="007D6085" w:rsidRDefault="007D6085" w:rsidP="007D6085">
            <w:pPr>
              <w:pStyle w:val="OB1-Table"/>
            </w:pPr>
            <w:r>
              <w:t>Documentation; and</w:t>
            </w:r>
          </w:p>
          <w:p w14:paraId="7DF86C92" w14:textId="42220BA7" w:rsidR="000B7C73" w:rsidRDefault="007D6085" w:rsidP="007D6085">
            <w:pPr>
              <w:pStyle w:val="OB1-Table"/>
            </w:pPr>
            <w:r>
              <w:t>Change management</w:t>
            </w:r>
            <w:r w:rsidR="000B7C73">
              <w:t>;</w:t>
            </w:r>
          </w:p>
          <w:p w14:paraId="3E6A0856" w14:textId="77777777" w:rsidR="000B7C73" w:rsidRDefault="000B7C73" w:rsidP="00F82166">
            <w:pPr>
              <w:pStyle w:val="LB1-Table"/>
            </w:pPr>
            <w:r>
              <w:t>Ensure</w:t>
            </w:r>
            <w:r w:rsidRPr="007A5102">
              <w:t xml:space="preserve"> </w:t>
            </w:r>
            <w:r w:rsidRPr="000B7C73">
              <w:t>that the Requirements Management Plan is implemented at project start and adhered to and incorporated throughout the full lifecycle of the project</w:t>
            </w:r>
            <w:r>
              <w:t>;</w:t>
            </w:r>
          </w:p>
          <w:p w14:paraId="04CEA948" w14:textId="77777777" w:rsidR="000B7C73" w:rsidRDefault="000B7C73">
            <w:pPr>
              <w:pStyle w:val="LB1-Table"/>
            </w:pPr>
            <w:r>
              <w:t>Ensure</w:t>
            </w:r>
            <w:r w:rsidRPr="007A5102">
              <w:t xml:space="preserve"> </w:t>
            </w:r>
            <w:r w:rsidRPr="000B7C73">
              <w:t>customers, stakeholders, managers, developers, and users are all involved in the requirements management process</w:t>
            </w:r>
            <w:r>
              <w:t>; and</w:t>
            </w:r>
          </w:p>
          <w:p w14:paraId="1052BF21" w14:textId="0740E110" w:rsidR="000B7C73" w:rsidRDefault="000B7C73">
            <w:pPr>
              <w:pStyle w:val="LB1-Table"/>
            </w:pPr>
            <w:r>
              <w:t>Ensure</w:t>
            </w:r>
            <w:r w:rsidRPr="007A5102">
              <w:t xml:space="preserve"> </w:t>
            </w:r>
            <w:r w:rsidRPr="000B7C73">
              <w:t>that a requirements configuration management process is implemented and that no changes are made to baselined requirements without performing a risk analysis, re-estimating impacts to cost and schedule, and validation amongst the stakeholders</w:t>
            </w:r>
            <w:r>
              <w:t>.</w:t>
            </w:r>
          </w:p>
        </w:tc>
        <w:tc>
          <w:tcPr>
            <w:tcW w:w="1944" w:type="dxa"/>
          </w:tcPr>
          <w:p w14:paraId="517B0817" w14:textId="168565BD" w:rsidR="000B7C73" w:rsidRPr="00F57DB3" w:rsidRDefault="000B7C73" w:rsidP="00796402">
            <w:pPr>
              <w:ind w:left="0"/>
            </w:pPr>
            <w:r w:rsidRPr="00F57DB3">
              <w:t>TBD in accordance with the IMS</w:t>
            </w:r>
          </w:p>
        </w:tc>
      </w:tr>
      <w:tr w:rsidR="00796402" w:rsidRPr="00873442" w14:paraId="095A4A90" w14:textId="77777777" w:rsidTr="006E0363">
        <w:tc>
          <w:tcPr>
            <w:tcW w:w="936" w:type="dxa"/>
          </w:tcPr>
          <w:p w14:paraId="10488744" w14:textId="37A7D4F9" w:rsidR="00796402" w:rsidRDefault="00796402" w:rsidP="00796402">
            <w:pPr>
              <w:ind w:left="0"/>
              <w:jc w:val="center"/>
            </w:pPr>
            <w:r>
              <w:t>2</w:t>
            </w:r>
            <w:r w:rsidR="000B7C73">
              <w:t>B</w:t>
            </w:r>
          </w:p>
        </w:tc>
        <w:tc>
          <w:tcPr>
            <w:tcW w:w="2214" w:type="dxa"/>
          </w:tcPr>
          <w:p w14:paraId="4979F639" w14:textId="2C71ECA7" w:rsidR="00796402" w:rsidRDefault="00796402" w:rsidP="00796402">
            <w:pPr>
              <w:ind w:left="0"/>
            </w:pPr>
            <w:r>
              <w:t>Requirements Workshops</w:t>
            </w:r>
          </w:p>
        </w:tc>
        <w:tc>
          <w:tcPr>
            <w:tcW w:w="5706" w:type="dxa"/>
          </w:tcPr>
          <w:p w14:paraId="32E98533" w14:textId="0C7532A6" w:rsidR="00796402" w:rsidRDefault="00796402" w:rsidP="00796402">
            <w:pPr>
              <w:ind w:left="0"/>
            </w:pPr>
            <w:r>
              <w:t>At a minimum, the Requirements Workshops must:</w:t>
            </w:r>
          </w:p>
          <w:p w14:paraId="1090D0B0" w14:textId="76CAB399" w:rsidR="00F058DF" w:rsidRDefault="00F058DF" w:rsidP="00E16D2D">
            <w:pPr>
              <w:pStyle w:val="LB1-Table"/>
            </w:pPr>
            <w:r>
              <w:t xml:space="preserve">Be scheduled in a manner that ensures </w:t>
            </w:r>
            <w:r w:rsidR="00BF29D8">
              <w:t>S</w:t>
            </w:r>
            <w:r>
              <w:t xml:space="preserve">ubject </w:t>
            </w:r>
            <w:r w:rsidR="00BF29D8">
              <w:t>M</w:t>
            </w:r>
            <w:r>
              <w:t xml:space="preserve">atter </w:t>
            </w:r>
            <w:r w:rsidR="00BF29D8">
              <w:t xml:space="preserve">Expert (SME) </w:t>
            </w:r>
            <w:r w:rsidR="00597F64">
              <w:t>attendance</w:t>
            </w:r>
            <w:r>
              <w:t xml:space="preserve">; </w:t>
            </w:r>
          </w:p>
          <w:p w14:paraId="23EFE15C" w14:textId="189FD2AC" w:rsidR="007D6085" w:rsidRDefault="007D6085" w:rsidP="00F82166">
            <w:pPr>
              <w:pStyle w:val="LB1-Table"/>
            </w:pPr>
            <w:r>
              <w:t>Be well organized and address business functions that invited SMEs can evaluate and define;</w:t>
            </w:r>
          </w:p>
          <w:p w14:paraId="4661D305" w14:textId="46E52B2B" w:rsidR="00E608E1" w:rsidRDefault="009B3C2B" w:rsidP="00F82166">
            <w:pPr>
              <w:pStyle w:val="LB1-Table"/>
            </w:pPr>
            <w:r>
              <w:lastRenderedPageBreak/>
              <w:t xml:space="preserve">Ensure agendas and </w:t>
            </w:r>
            <w:r w:rsidR="00E608E1">
              <w:t>supporting materials that are distributed prior to the workshop to ensure participants are well prepared;</w:t>
            </w:r>
          </w:p>
          <w:p w14:paraId="67ABB2CD" w14:textId="55C5E505" w:rsidR="0057093D" w:rsidRDefault="0057093D" w:rsidP="00F82166">
            <w:pPr>
              <w:pStyle w:val="LB1-Table"/>
            </w:pPr>
            <w:r>
              <w:t xml:space="preserve">Be led by a seasoned facilitator; </w:t>
            </w:r>
          </w:p>
          <w:p w14:paraId="0520BA1D" w14:textId="1DE9FF30" w:rsidR="0057093D" w:rsidRDefault="0057093D" w:rsidP="00F82166">
            <w:pPr>
              <w:pStyle w:val="LB1-Table"/>
            </w:pPr>
            <w:r>
              <w:t xml:space="preserve">Include </w:t>
            </w:r>
            <w:r w:rsidR="005D1545" w:rsidRPr="00E47978">
              <w:t>agendas</w:t>
            </w:r>
            <w:r w:rsidR="005D1545">
              <w:t xml:space="preserve"> </w:t>
            </w:r>
            <w:r w:rsidR="009B3C2B">
              <w:t xml:space="preserve">and </w:t>
            </w:r>
            <w:r w:rsidR="00E608E1">
              <w:t>all supporting materials needed to support effective requirement decisions (solution demonstrations, design/workflow artifacts, etc.)</w:t>
            </w:r>
            <w:r>
              <w:t>;</w:t>
            </w:r>
            <w:r w:rsidR="00562945">
              <w:t xml:space="preserve"> and</w:t>
            </w:r>
          </w:p>
          <w:p w14:paraId="66E7BD39" w14:textId="3E618F1F" w:rsidR="00796402" w:rsidRDefault="00F058DF">
            <w:pPr>
              <w:pStyle w:val="LB1-Table"/>
            </w:pPr>
            <w:r>
              <w:t>Confirm</w:t>
            </w:r>
            <w:r w:rsidR="0057093D">
              <w:t>,</w:t>
            </w:r>
            <w:r>
              <w:t xml:space="preserve"> clarify</w:t>
            </w:r>
            <w:r w:rsidR="0057093D">
              <w:t>, and document</w:t>
            </w:r>
            <w:r>
              <w:t xml:space="preserve"> all </w:t>
            </w:r>
            <w:r w:rsidR="0057093D">
              <w:t>requirements</w:t>
            </w:r>
            <w:r w:rsidR="00796402">
              <w:t>.</w:t>
            </w:r>
          </w:p>
        </w:tc>
        <w:tc>
          <w:tcPr>
            <w:tcW w:w="1944" w:type="dxa"/>
          </w:tcPr>
          <w:p w14:paraId="63532FB6" w14:textId="09C0549C" w:rsidR="00796402" w:rsidRPr="00F57DB3" w:rsidRDefault="00796402" w:rsidP="00796402">
            <w:pPr>
              <w:ind w:left="0"/>
            </w:pPr>
            <w:r w:rsidRPr="00F57DB3">
              <w:lastRenderedPageBreak/>
              <w:t>TBD in accordance with the IMS</w:t>
            </w:r>
          </w:p>
        </w:tc>
      </w:tr>
      <w:tr w:rsidR="00960B3B" w:rsidRPr="00873442" w14:paraId="68FFAFEB" w14:textId="77777777" w:rsidTr="006E0363">
        <w:tc>
          <w:tcPr>
            <w:tcW w:w="936" w:type="dxa"/>
          </w:tcPr>
          <w:p w14:paraId="73E8FC21" w14:textId="2086E131" w:rsidR="00960B3B" w:rsidRDefault="00960B3B" w:rsidP="006E0363">
            <w:pPr>
              <w:ind w:left="0"/>
              <w:jc w:val="center"/>
            </w:pPr>
            <w:r>
              <w:t>2</w:t>
            </w:r>
            <w:r w:rsidR="000B7C73">
              <w:t>C</w:t>
            </w:r>
          </w:p>
        </w:tc>
        <w:tc>
          <w:tcPr>
            <w:tcW w:w="2214" w:type="dxa"/>
          </w:tcPr>
          <w:p w14:paraId="4C1D6504" w14:textId="0E92E28A" w:rsidR="00960B3B" w:rsidRDefault="00960B3B" w:rsidP="006E0363">
            <w:pPr>
              <w:ind w:left="0"/>
            </w:pPr>
            <w:r>
              <w:t xml:space="preserve">Requirements </w:t>
            </w:r>
            <w:r w:rsidR="00796402">
              <w:t>Baseline</w:t>
            </w:r>
          </w:p>
        </w:tc>
        <w:tc>
          <w:tcPr>
            <w:tcW w:w="5706" w:type="dxa"/>
          </w:tcPr>
          <w:p w14:paraId="2DF37581" w14:textId="11C40773" w:rsidR="00960B3B" w:rsidRDefault="00960B3B" w:rsidP="00960B3B">
            <w:pPr>
              <w:ind w:left="0"/>
            </w:pPr>
            <w:r>
              <w:t xml:space="preserve">At a minimum, the </w:t>
            </w:r>
            <w:r w:rsidR="00796402">
              <w:t xml:space="preserve">Requirements Baseline </w:t>
            </w:r>
            <w:r>
              <w:t>must:</w:t>
            </w:r>
          </w:p>
          <w:p w14:paraId="68DFF0F8" w14:textId="77777777" w:rsidR="00740849" w:rsidRDefault="00740849" w:rsidP="00E16D2D">
            <w:pPr>
              <w:pStyle w:val="LB1-Table"/>
            </w:pPr>
            <w:r>
              <w:t>Include “as-is” and “to-be” requirements;</w:t>
            </w:r>
          </w:p>
          <w:p w14:paraId="671531BC" w14:textId="7978F3A9" w:rsidR="00740849" w:rsidRDefault="00740849" w:rsidP="00F82166">
            <w:pPr>
              <w:pStyle w:val="LB1-Table"/>
            </w:pPr>
            <w:r>
              <w:t>Be organized by release, iteration, or phase;</w:t>
            </w:r>
          </w:p>
          <w:p w14:paraId="202C8C1F" w14:textId="5235F0EF" w:rsidR="00740849" w:rsidRDefault="00414889" w:rsidP="00F82166">
            <w:pPr>
              <w:pStyle w:val="LB1-Table"/>
            </w:pPr>
            <w:r>
              <w:t>Be documented in TWC’s ALM</w:t>
            </w:r>
            <w:r w:rsidR="00740849">
              <w:t>;</w:t>
            </w:r>
            <w:r w:rsidR="00B57B93">
              <w:t xml:space="preserve"> and</w:t>
            </w:r>
          </w:p>
          <w:p w14:paraId="3E4DB2F4" w14:textId="6770970C" w:rsidR="00960B3B" w:rsidRDefault="00740849">
            <w:pPr>
              <w:pStyle w:val="LB1-Table"/>
            </w:pPr>
            <w:r>
              <w:t>Be formally reviewed and approved by the TWC’s IT Project Manager and Program Project Manager</w:t>
            </w:r>
            <w:r w:rsidR="00960B3B">
              <w:t>.</w:t>
            </w:r>
          </w:p>
        </w:tc>
        <w:tc>
          <w:tcPr>
            <w:tcW w:w="1944" w:type="dxa"/>
          </w:tcPr>
          <w:p w14:paraId="45D72051" w14:textId="68B31756" w:rsidR="00960B3B" w:rsidRDefault="00960B3B" w:rsidP="006E0363">
            <w:pPr>
              <w:ind w:left="0"/>
            </w:pPr>
            <w:r w:rsidRPr="00F57DB3">
              <w:t>TBD in accordance with the IMS</w:t>
            </w:r>
          </w:p>
        </w:tc>
      </w:tr>
      <w:tr w:rsidR="00796402" w:rsidRPr="00873442" w14:paraId="746387FE" w14:textId="77777777" w:rsidTr="006E0363">
        <w:tc>
          <w:tcPr>
            <w:tcW w:w="936" w:type="dxa"/>
          </w:tcPr>
          <w:p w14:paraId="6CF5B1D5" w14:textId="617EF4AC" w:rsidR="00796402" w:rsidRDefault="00F058DF" w:rsidP="00796402">
            <w:pPr>
              <w:ind w:left="0"/>
              <w:jc w:val="center"/>
            </w:pPr>
            <w:r>
              <w:t>2</w:t>
            </w:r>
            <w:r w:rsidR="000B7C73">
              <w:t>D</w:t>
            </w:r>
          </w:p>
        </w:tc>
        <w:tc>
          <w:tcPr>
            <w:tcW w:w="2214" w:type="dxa"/>
          </w:tcPr>
          <w:p w14:paraId="28B4386F" w14:textId="25AA7296" w:rsidR="00796402" w:rsidRDefault="00796402" w:rsidP="00796402">
            <w:pPr>
              <w:ind w:left="0"/>
            </w:pPr>
            <w:r>
              <w:t>Requirements Traceability Matrix</w:t>
            </w:r>
          </w:p>
        </w:tc>
        <w:tc>
          <w:tcPr>
            <w:tcW w:w="5706" w:type="dxa"/>
          </w:tcPr>
          <w:p w14:paraId="146291B1" w14:textId="7F78DA5F" w:rsidR="00796402" w:rsidRDefault="00796402" w:rsidP="00796402">
            <w:pPr>
              <w:ind w:left="0"/>
            </w:pPr>
            <w:r>
              <w:t>At a minimum, the Requirements Traceability Matrix must:</w:t>
            </w:r>
          </w:p>
          <w:p w14:paraId="5322BDD3" w14:textId="28F9D724" w:rsidR="006D77A6" w:rsidRDefault="006D77A6" w:rsidP="00E16D2D">
            <w:pPr>
              <w:pStyle w:val="LB1-Table"/>
            </w:pPr>
            <w:r>
              <w:t xml:space="preserve">Map requirements </w:t>
            </w:r>
            <w:r w:rsidR="005C5C2D">
              <w:t>to</w:t>
            </w:r>
            <w:r>
              <w:t xml:space="preserve"> </w:t>
            </w:r>
            <w:r w:rsidR="00597F64">
              <w:t xml:space="preserve">System Detailed Design, test plans, </w:t>
            </w:r>
            <w:r>
              <w:t>test cases</w:t>
            </w:r>
            <w:r w:rsidR="00C3761E">
              <w:t>, and implementation/code artifacts</w:t>
            </w:r>
            <w:r>
              <w:t>;</w:t>
            </w:r>
          </w:p>
          <w:p w14:paraId="7D8EAB2F" w14:textId="7E0269F7" w:rsidR="00C3761E" w:rsidRDefault="00C3761E" w:rsidP="00E16D2D">
            <w:pPr>
              <w:pStyle w:val="LB1-Table"/>
            </w:pPr>
            <w:r>
              <w:t>Support valuation at each project phase that all requirements are defined and validated and that all design, test, and code artifacts support TWC needs;</w:t>
            </w:r>
          </w:p>
          <w:p w14:paraId="76D939C4" w14:textId="77777777" w:rsidR="006D77A6" w:rsidRDefault="006D77A6" w:rsidP="00F82166">
            <w:pPr>
              <w:pStyle w:val="LB1-Table"/>
            </w:pPr>
            <w:r>
              <w:t>Be organized by release, iteration, or phase;</w:t>
            </w:r>
          </w:p>
          <w:p w14:paraId="217C2D6C" w14:textId="7D3B2F3E" w:rsidR="006D77A6" w:rsidRDefault="006D77A6" w:rsidP="00F82166">
            <w:pPr>
              <w:pStyle w:val="LB1-Table"/>
            </w:pPr>
            <w:r>
              <w:t>Be documented in TWC’s ALM;</w:t>
            </w:r>
            <w:r w:rsidR="00B57B93">
              <w:t xml:space="preserve"> and</w:t>
            </w:r>
          </w:p>
          <w:p w14:paraId="24E5BE23" w14:textId="250A917D" w:rsidR="00796402" w:rsidRDefault="006D77A6">
            <w:pPr>
              <w:pStyle w:val="LB1-Table"/>
            </w:pPr>
            <w:r>
              <w:t>Be formally reviewed and approved by the TWC’s IT Project Manager and Program Project Manager.</w:t>
            </w:r>
          </w:p>
        </w:tc>
        <w:tc>
          <w:tcPr>
            <w:tcW w:w="1944" w:type="dxa"/>
          </w:tcPr>
          <w:p w14:paraId="1CBC06F4" w14:textId="32E22247" w:rsidR="00796402" w:rsidRPr="00F57DB3" w:rsidRDefault="00796402" w:rsidP="00796402">
            <w:pPr>
              <w:ind w:left="0"/>
            </w:pPr>
            <w:r w:rsidRPr="00F57DB3">
              <w:t>TBD in accordance with the IMS</w:t>
            </w:r>
          </w:p>
        </w:tc>
      </w:tr>
    </w:tbl>
    <w:p w14:paraId="20DE5E03" w14:textId="137BAF0A" w:rsidR="00C86788" w:rsidRDefault="00C86788" w:rsidP="00C86788"/>
    <w:p w14:paraId="0AF6D5C6" w14:textId="1BBEDA85" w:rsidR="00213495" w:rsidRDefault="00213495" w:rsidP="00C86788">
      <w:r>
        <w:t>The Offeror must describe their current requirements management tool and describe how they will incorporate TWC’s ALM.</w:t>
      </w:r>
    </w:p>
    <w:p w14:paraId="0DC95E8D" w14:textId="76898C70" w:rsidR="00C86788" w:rsidRDefault="00C86788" w:rsidP="00C86788">
      <w:bookmarkStart w:id="89" w:name="_Hlk7680019"/>
      <w:r w:rsidRPr="000B7C73">
        <w:t xml:space="preserve">The </w:t>
      </w:r>
      <w:r w:rsidR="00213495" w:rsidRPr="000B7C73">
        <w:t>Offeror</w:t>
      </w:r>
      <w:r w:rsidRPr="000B7C73">
        <w:t xml:space="preserve"> must include a</w:t>
      </w:r>
      <w:r w:rsidR="00213495" w:rsidRPr="000B7C73">
        <w:t xml:space="preserve"> draft version of deliverable</w:t>
      </w:r>
      <w:r w:rsidR="00C3761E">
        <w:t>s</w:t>
      </w:r>
      <w:r w:rsidR="00213495" w:rsidRPr="000B7C73">
        <w:t xml:space="preserve"> 2</w:t>
      </w:r>
      <w:r w:rsidRPr="000B7C73">
        <w:t>A</w:t>
      </w:r>
      <w:r w:rsidR="00C3761E">
        <w:t>, 2C,</w:t>
      </w:r>
      <w:r w:rsidRPr="000B7C73">
        <w:t xml:space="preserve"> </w:t>
      </w:r>
      <w:r w:rsidR="00F50D02">
        <w:t xml:space="preserve">and a </w:t>
      </w:r>
      <w:r w:rsidR="00F50D02" w:rsidRPr="000B7C73">
        <w:t xml:space="preserve">draft </w:t>
      </w:r>
      <w:r w:rsidR="00F50D02">
        <w:t>requirement</w:t>
      </w:r>
      <w:r w:rsidR="00436A84">
        <w:t>s</w:t>
      </w:r>
      <w:r w:rsidR="00F50D02">
        <w:t xml:space="preserve"> template </w:t>
      </w:r>
      <w:r w:rsidRPr="000B7C73">
        <w:t>with their proposal</w:t>
      </w:r>
      <w:r>
        <w:t xml:space="preserve">. </w:t>
      </w:r>
    </w:p>
    <w:bookmarkEnd w:id="89"/>
    <w:p w14:paraId="76A91AF0" w14:textId="77777777" w:rsidR="00960B3B" w:rsidRDefault="00960B3B" w:rsidP="000C3630"/>
    <w:p w14:paraId="7D6D3C25" w14:textId="3CC7BE53" w:rsidR="00FF40A5" w:rsidRDefault="00FF40A5" w:rsidP="00FF40A5">
      <w:pPr>
        <w:pStyle w:val="Heading3"/>
      </w:pPr>
      <w:bookmarkStart w:id="90" w:name="_2.2.3_Required_Deliverable"/>
      <w:bookmarkStart w:id="91" w:name="_2.2.3_Required_DeliverableTask"/>
      <w:bookmarkStart w:id="92" w:name="_Toc13567398"/>
      <w:bookmarkEnd w:id="90"/>
      <w:bookmarkEnd w:id="91"/>
      <w:r>
        <w:t>2.2.3</w:t>
      </w:r>
      <w:r>
        <w:tab/>
      </w:r>
      <w:r w:rsidR="009B7E37">
        <w:t>Task</w:t>
      </w:r>
      <w:r>
        <w:t xml:space="preserve"> 3: Design</w:t>
      </w:r>
      <w:r w:rsidR="00352125">
        <w:t xml:space="preserve"> Holistic UI </w:t>
      </w:r>
      <w:r w:rsidR="00B54348">
        <w:t>Replacement System</w:t>
      </w:r>
      <w:bookmarkEnd w:id="92"/>
    </w:p>
    <w:p w14:paraId="12F664E6" w14:textId="76458280" w:rsidR="00FF40A5" w:rsidRDefault="00B54348" w:rsidP="00FF40A5">
      <w:r w:rsidRPr="00BE56F2">
        <w:t xml:space="preserve">The </w:t>
      </w:r>
      <w:r>
        <w:t xml:space="preserve">Awarded Vendor </w:t>
      </w:r>
      <w:r w:rsidRPr="00BE56F2">
        <w:t xml:space="preserve">will </w:t>
      </w:r>
      <w:r>
        <w:t xml:space="preserve">be responsible for </w:t>
      </w:r>
      <w:r w:rsidR="0004139C">
        <w:t xml:space="preserve">definition and documentation of functional and technical </w:t>
      </w:r>
      <w:r w:rsidR="003A0B4C">
        <w:t>design specifications</w:t>
      </w:r>
      <w:r w:rsidR="002B0AD4">
        <w:t xml:space="preserve"> </w:t>
      </w:r>
      <w:r w:rsidR="0004139C">
        <w:t>providing a holistic view of the UI system. Solution designs must provide TWC business and technical staff to understand system behaviors, workflows, and integration architectures and must address all system components including but not limited to software, hardware, operating environment, and infrastructure</w:t>
      </w:r>
      <w:r>
        <w:t>.</w:t>
      </w:r>
    </w:p>
    <w:p w14:paraId="6C1B90D7" w14:textId="277B2412" w:rsidR="00DE0970" w:rsidRDefault="00B54348" w:rsidP="00DE0970">
      <w:r>
        <w:t>A</w:t>
      </w:r>
      <w:r w:rsidRPr="00E21848">
        <w:t>ctivities</w:t>
      </w:r>
      <w:r>
        <w:t xml:space="preserve"> </w:t>
      </w:r>
      <w:r w:rsidRPr="00E21848">
        <w:t>include</w:t>
      </w:r>
      <w:r w:rsidR="00DE0970">
        <w:t>:</w:t>
      </w:r>
    </w:p>
    <w:p w14:paraId="41B61ACD" w14:textId="06C8971F" w:rsidR="00267EF9" w:rsidRDefault="00267EF9" w:rsidP="00E16D2D">
      <w:pPr>
        <w:pStyle w:val="LB1"/>
      </w:pPr>
      <w:r>
        <w:t>Create a holistic UI replacement system design document.</w:t>
      </w:r>
    </w:p>
    <w:p w14:paraId="34DE34D8" w14:textId="6631E193" w:rsidR="00147D54" w:rsidRDefault="00147D54" w:rsidP="00147D54">
      <w:pPr>
        <w:pStyle w:val="OB1"/>
        <w:rPr>
          <w:rFonts w:ascii="Times New Roman" w:hAnsi="Times New Roman" w:cs="Times New Roman"/>
          <w:szCs w:val="24"/>
        </w:rPr>
      </w:pPr>
      <w:r>
        <w:t>Map Requirements Baseline to new UI solution, specifying if each requirement is a core system capability, a simple configurable option, a complex configurable option, or requires custom development</w:t>
      </w:r>
      <w:r w:rsidR="009B3C2B">
        <w:t>. The Awarded Vendor must substantiate core system support of TWC requirements mapped to core system capabilities. Substantiation must be provided through supporting base product specifications or functioning prototypes</w:t>
      </w:r>
      <w:r>
        <w:t>;</w:t>
      </w:r>
      <w:r>
        <w:rPr>
          <w:rFonts w:ascii="Times New Roman" w:hAnsi="Times New Roman" w:cs="Times New Roman"/>
          <w:szCs w:val="24"/>
        </w:rPr>
        <w:t xml:space="preserve"> </w:t>
      </w:r>
    </w:p>
    <w:p w14:paraId="04A42E3A" w14:textId="7C0C6338" w:rsidR="00F15BB4" w:rsidRDefault="00F15BB4" w:rsidP="00F82166">
      <w:pPr>
        <w:pStyle w:val="OB1"/>
      </w:pPr>
      <w:r>
        <w:t>D</w:t>
      </w:r>
      <w:r w:rsidRPr="0054649A">
        <w:t xml:space="preserve">etail the </w:t>
      </w:r>
      <w:r>
        <w:t>MOTS</w:t>
      </w:r>
      <w:r w:rsidR="00FD21C0">
        <w:t xml:space="preserve"> hosted solution to be supplied</w:t>
      </w:r>
      <w:r w:rsidR="00964ACE">
        <w:t xml:space="preserve"> including all configurable items</w:t>
      </w:r>
      <w:r w:rsidR="00FD21C0">
        <w:t>;</w:t>
      </w:r>
    </w:p>
    <w:p w14:paraId="46BEC7CB" w14:textId="21AF4A1A" w:rsidR="00F15BB4" w:rsidRDefault="00F15BB4">
      <w:pPr>
        <w:pStyle w:val="OB1"/>
      </w:pPr>
      <w:r>
        <w:t xml:space="preserve">Include the Use Cases that address requirements </w:t>
      </w:r>
      <w:r w:rsidRPr="0054649A">
        <w:t xml:space="preserve">described in </w:t>
      </w:r>
      <w:hyperlink w:anchor="_Attachment_5_–" w:history="1">
        <w:r w:rsidRPr="008259A9">
          <w:rPr>
            <w:rStyle w:val="Hyperlink"/>
          </w:rPr>
          <w:t xml:space="preserve">Attachment </w:t>
        </w:r>
        <w:r>
          <w:rPr>
            <w:rStyle w:val="Hyperlink"/>
          </w:rPr>
          <w:t>5</w:t>
        </w:r>
      </w:hyperlink>
      <w:r w:rsidR="00FD21C0">
        <w:t>;</w:t>
      </w:r>
    </w:p>
    <w:p w14:paraId="0E942128" w14:textId="1BA189DD" w:rsidR="00270CCC" w:rsidRDefault="0042165D">
      <w:pPr>
        <w:pStyle w:val="OB1"/>
      </w:pPr>
      <w:r>
        <w:t>Design and specify all software and hardware</w:t>
      </w:r>
      <w:r w:rsidR="00F15BB4" w:rsidRPr="00F15BB4">
        <w:t xml:space="preserve"> </w:t>
      </w:r>
      <w:r w:rsidR="00F15BB4" w:rsidRPr="0054649A">
        <w:t>required to support the solution</w:t>
      </w:r>
      <w:r w:rsidR="00F15BB4">
        <w:t xml:space="preserve"> i</w:t>
      </w:r>
      <w:r w:rsidR="00270CCC" w:rsidRPr="0054649A">
        <w:t>nclud</w:t>
      </w:r>
      <w:r w:rsidR="00F15BB4">
        <w:t>ing</w:t>
      </w:r>
      <w:r w:rsidR="00270CCC" w:rsidRPr="0054649A">
        <w:t xml:space="preserve"> any hardware or software that would need to be supplied directl</w:t>
      </w:r>
      <w:r w:rsidR="00FD21C0">
        <w:t xml:space="preserve">y to TWC by the Awarded Vendor; </w:t>
      </w:r>
    </w:p>
    <w:p w14:paraId="09827B3F" w14:textId="5C9F641F" w:rsidR="004101A7" w:rsidRDefault="004101A7">
      <w:pPr>
        <w:pStyle w:val="OB1"/>
      </w:pPr>
      <w:r>
        <w:t xml:space="preserve">Design and specify </w:t>
      </w:r>
      <w:r w:rsidR="004D444B">
        <w:t xml:space="preserve">the future cloud-based or server-based </w:t>
      </w:r>
      <w:r>
        <w:t>operating environment</w:t>
      </w:r>
      <w:r w:rsidR="00F15BB4" w:rsidRPr="00F15BB4">
        <w:t xml:space="preserve"> </w:t>
      </w:r>
      <w:r w:rsidR="00F15BB4" w:rsidRPr="0054649A">
        <w:t>required to support the solution</w:t>
      </w:r>
      <w:r w:rsidR="009B3C2B">
        <w:t>; and</w:t>
      </w:r>
    </w:p>
    <w:p w14:paraId="186AC8C7" w14:textId="1A4C0C09" w:rsidR="009B3C2B" w:rsidRDefault="009B3C2B">
      <w:pPr>
        <w:pStyle w:val="OB1"/>
      </w:pPr>
      <w:r>
        <w:t>Solution design artifacts must provide functional details of the complete system enabling TWC business and technical teams to understand base solution capabilities and define/approve recommended configurations and/or customizations. Thus, base product functional and technical design specifications must define all component level behavior as well support full understanding of integrated user and data workflows.</w:t>
      </w:r>
    </w:p>
    <w:p w14:paraId="3F0808D3" w14:textId="4F29FC42" w:rsidR="00F15BB4" w:rsidRDefault="004101A7">
      <w:pPr>
        <w:pStyle w:val="LB1"/>
      </w:pPr>
      <w:r>
        <w:t xml:space="preserve">Develop a Software </w:t>
      </w:r>
      <w:r w:rsidR="00F15BB4">
        <w:t>Purchase and Licensing Plan</w:t>
      </w:r>
    </w:p>
    <w:p w14:paraId="2C30F34E" w14:textId="355012F8" w:rsidR="00F15BB4" w:rsidRDefault="00DE0970">
      <w:pPr>
        <w:pStyle w:val="OB1"/>
      </w:pPr>
      <w:r w:rsidRPr="009E2836">
        <w:t>The Awarded Vendor</w:t>
      </w:r>
      <w:r>
        <w:t xml:space="preserve"> will develop the </w:t>
      </w:r>
      <w:r w:rsidR="00A23A8E">
        <w:t xml:space="preserve">Software Purchase and </w:t>
      </w:r>
      <w:r>
        <w:t>Licensing Plan</w:t>
      </w:r>
      <w:r w:rsidDel="006C6934">
        <w:t xml:space="preserve"> </w:t>
      </w:r>
      <w:r>
        <w:t xml:space="preserve">with </w:t>
      </w:r>
      <w:r w:rsidR="00C22F29">
        <w:t xml:space="preserve">input from </w:t>
      </w:r>
      <w:r>
        <w:t>TWC’s IT Infrastructure Services (IT IS</w:t>
      </w:r>
      <w:r w:rsidR="00FA28A1">
        <w:t>) and Application Development and Maintenance (AD&amp;M) departments</w:t>
      </w:r>
      <w:r w:rsidR="00DF57F2" w:rsidRPr="00DF57F2">
        <w:t xml:space="preserve"> </w:t>
      </w:r>
      <w:r w:rsidR="00DF57F2">
        <w:t>to i</w:t>
      </w:r>
      <w:r w:rsidR="00DF57F2" w:rsidRPr="00966558">
        <w:t>nclude the complete list and quantity of licenses needed</w:t>
      </w:r>
      <w:r w:rsidR="00DF57F2">
        <w:t xml:space="preserve"> to operate Awarded Vendor’s solution in any environment (development, test, production, etc.)</w:t>
      </w:r>
      <w:r w:rsidR="00DF57F2" w:rsidRPr="00966558">
        <w:t xml:space="preserve"> i</w:t>
      </w:r>
      <w:r w:rsidR="00DF57F2">
        <w:t>ncluding third-party software and hardware.</w:t>
      </w:r>
      <w:r w:rsidR="00FD21C0">
        <w:t>;</w:t>
      </w:r>
    </w:p>
    <w:p w14:paraId="0C73AD14" w14:textId="7D7C7A14" w:rsidR="00F15BB4" w:rsidRDefault="00F15BB4">
      <w:pPr>
        <w:pStyle w:val="OB1"/>
      </w:pPr>
      <w:r w:rsidRPr="0054649A">
        <w:t xml:space="preserve">Itemize the costs of such hardware or software. Awarded </w:t>
      </w:r>
      <w:r w:rsidRPr="00E02C69">
        <w:t xml:space="preserve">Vendor agrees that in the event that additional licenses or software products not included in </w:t>
      </w:r>
      <w:r>
        <w:t xml:space="preserve">the </w:t>
      </w:r>
      <w:r w:rsidRPr="00E02C69">
        <w:t>signed contract and are required to satisfy such requirements</w:t>
      </w:r>
      <w:r>
        <w:t>,</w:t>
      </w:r>
      <w:r w:rsidRPr="00E02C69">
        <w:t xml:space="preserve"> </w:t>
      </w:r>
      <w:r w:rsidRPr="0054649A">
        <w:t>Awarded Vendor</w:t>
      </w:r>
      <w:r w:rsidRPr="00E02C69">
        <w:t xml:space="preserve"> </w:t>
      </w:r>
      <w:r>
        <w:t>must</w:t>
      </w:r>
      <w:r w:rsidRPr="00E02C69">
        <w:t xml:space="preserve"> be responsible for the costs of any and all such additional </w:t>
      </w:r>
      <w:r w:rsidRPr="00E02C69">
        <w:lastRenderedPageBreak/>
        <w:t>software licenses</w:t>
      </w:r>
      <w:r>
        <w:t>. However, TWC will retain the right to ownership of any such licenses</w:t>
      </w:r>
      <w:r w:rsidR="00FD21C0">
        <w:t>;</w:t>
      </w:r>
    </w:p>
    <w:p w14:paraId="38DFC27F" w14:textId="30A4BAB8" w:rsidR="00F15BB4" w:rsidRPr="00F15BB4" w:rsidRDefault="006D7C3B">
      <w:pPr>
        <w:pStyle w:val="OB1"/>
        <w:rPr>
          <w:rStyle w:val="OB1Char"/>
        </w:rPr>
      </w:pPr>
      <w:r>
        <w:t>D</w:t>
      </w:r>
      <w:r w:rsidR="00F15BB4" w:rsidRPr="00F15BB4">
        <w:rPr>
          <w:rStyle w:val="OB1Char"/>
        </w:rPr>
        <w:t>etail the provisions of the initial software purchase or subscription, including the user licensing model(s) being offered, such as: concurrent users, named users, unlimited users, or a hybrid model. This initial software purchase or subscription is to cover the period from Go-Live through the end of the War</w:t>
      </w:r>
      <w:r w:rsidR="00FD21C0">
        <w:rPr>
          <w:rStyle w:val="OB1Char"/>
        </w:rPr>
        <w:t xml:space="preserve">ranty Period; </w:t>
      </w:r>
    </w:p>
    <w:p w14:paraId="56B5EFB1" w14:textId="77777777" w:rsidR="00DF57F2" w:rsidRDefault="006D7C3B">
      <w:pPr>
        <w:pStyle w:val="OB1"/>
        <w:rPr>
          <w:rStyle w:val="OB1Char"/>
        </w:rPr>
      </w:pPr>
      <w:r>
        <w:t>D</w:t>
      </w:r>
      <w:r w:rsidRPr="00F15BB4">
        <w:rPr>
          <w:rStyle w:val="OB1Char"/>
        </w:rPr>
        <w:t xml:space="preserve">etail </w:t>
      </w:r>
      <w:r w:rsidR="00F15BB4" w:rsidRPr="0054649A">
        <w:t>the</w:t>
      </w:r>
      <w:r w:rsidR="00F15BB4">
        <w:t xml:space="preserve"> cost of the solution’s base configuration that meets TWC’s requirements as well as any additional functionality or customizations for TWC to consider adding to the base configuration at the sole discretion of TWC. If the Offeror recommends a phased implementation approach, Offeror will </w:t>
      </w:r>
      <w:r w:rsidR="00F15BB4" w:rsidRPr="0054649A">
        <w:t>detail the</w:t>
      </w:r>
      <w:r w:rsidR="00F15BB4">
        <w:t xml:space="preserve"> cost of their solution by phase</w:t>
      </w:r>
      <w:r w:rsidR="00DF57F2">
        <w:rPr>
          <w:rStyle w:val="OB1Char"/>
        </w:rPr>
        <w:t>; and</w:t>
      </w:r>
    </w:p>
    <w:p w14:paraId="7052FFE7" w14:textId="47A91585" w:rsidR="00F15BB4" w:rsidRDefault="005A77F2">
      <w:pPr>
        <w:pStyle w:val="OB1"/>
      </w:pPr>
      <w:r>
        <w:rPr>
          <w:rStyle w:val="OB1Char"/>
        </w:rPr>
        <w:t>Describe the approach to keeping hardware and software up-to-date. Awarded Vendor must maintain an N to N-</w:t>
      </w:r>
      <w:r w:rsidR="00E51DC5">
        <w:rPr>
          <w:rStyle w:val="OB1Char"/>
        </w:rPr>
        <w:t>1</w:t>
      </w:r>
      <w:r>
        <w:rPr>
          <w:rStyle w:val="OB1Char"/>
        </w:rPr>
        <w:t xml:space="preserve"> software and hardware update strategy policy</w:t>
      </w:r>
      <w:r w:rsidR="003318D8">
        <w:rPr>
          <w:rStyle w:val="OB1Char"/>
        </w:rPr>
        <w:t xml:space="preserve"> at all times during the project</w:t>
      </w:r>
      <w:r>
        <w:rPr>
          <w:rStyle w:val="OB1Char"/>
        </w:rPr>
        <w:t>, where “N” in this case is the latest service pack, patch, major update, maintenance release, driver, firmware version, etc. and “</w:t>
      </w:r>
      <w:r w:rsidR="003318D8">
        <w:rPr>
          <w:rStyle w:val="OB1Char"/>
        </w:rPr>
        <w:t>N-</w:t>
      </w:r>
      <w:r w:rsidR="00E51DC5">
        <w:rPr>
          <w:rStyle w:val="OB1Char"/>
        </w:rPr>
        <w:t>1</w:t>
      </w:r>
      <w:r>
        <w:rPr>
          <w:rStyle w:val="OB1Char"/>
        </w:rPr>
        <w:t xml:space="preserve">” is </w:t>
      </w:r>
      <w:r w:rsidR="003318D8">
        <w:rPr>
          <w:rStyle w:val="OB1Char"/>
        </w:rPr>
        <w:t>two</w:t>
      </w:r>
      <w:r>
        <w:rPr>
          <w:rStyle w:val="OB1Char"/>
        </w:rPr>
        <w:t xml:space="preserve"> release</w:t>
      </w:r>
      <w:r w:rsidR="003318D8">
        <w:rPr>
          <w:rStyle w:val="OB1Char"/>
        </w:rPr>
        <w:t>s</w:t>
      </w:r>
      <w:r>
        <w:rPr>
          <w:rStyle w:val="OB1Char"/>
        </w:rPr>
        <w:t xml:space="preserve"> older than the latest “N” release. Offeror must describe </w:t>
      </w:r>
      <w:r w:rsidR="003318D8">
        <w:rPr>
          <w:rStyle w:val="OB1Char"/>
        </w:rPr>
        <w:t xml:space="preserve">their </w:t>
      </w:r>
      <w:r>
        <w:rPr>
          <w:rStyle w:val="OB1Char"/>
        </w:rPr>
        <w:t>approach to replacing older versions with newer ones</w:t>
      </w:r>
      <w:r w:rsidR="00F15BB4">
        <w:t>.</w:t>
      </w:r>
    </w:p>
    <w:p w14:paraId="11898DA5" w14:textId="4B36EBE9" w:rsidR="00FF40A5" w:rsidRDefault="00FF40A5" w:rsidP="00FF40A5"/>
    <w:p w14:paraId="48D60634" w14:textId="1EBF4A41" w:rsidR="00DE0970" w:rsidRDefault="00272A05" w:rsidP="00DE0970">
      <w:r>
        <w:t xml:space="preserve">The Awarded Vendor will complete the following </w:t>
      </w:r>
      <w:r w:rsidR="00B81B78">
        <w:t>deliverables during this Task</w:t>
      </w:r>
      <w:r w:rsidR="00DE0970">
        <w:t>:</w:t>
      </w:r>
    </w:p>
    <w:tbl>
      <w:tblPr>
        <w:tblStyle w:val="TableGrid"/>
        <w:tblW w:w="10800" w:type="dxa"/>
        <w:tblInd w:w="175" w:type="dxa"/>
        <w:tblLayout w:type="fixed"/>
        <w:tblLook w:val="04A0" w:firstRow="1" w:lastRow="0" w:firstColumn="1" w:lastColumn="0" w:noHBand="0" w:noVBand="1"/>
        <w:tblDescription w:val="Design holistic UI replacement system deliverables schedule table"/>
      </w:tblPr>
      <w:tblGrid>
        <w:gridCol w:w="936"/>
        <w:gridCol w:w="2214"/>
        <w:gridCol w:w="5706"/>
        <w:gridCol w:w="1944"/>
      </w:tblGrid>
      <w:tr w:rsidR="00DE0970" w:rsidRPr="00873442" w14:paraId="63FAA391" w14:textId="77777777" w:rsidTr="006E0363">
        <w:trPr>
          <w:tblHeader/>
        </w:trPr>
        <w:tc>
          <w:tcPr>
            <w:tcW w:w="936" w:type="dxa"/>
            <w:shd w:val="clear" w:color="auto" w:fill="DEEAF6" w:themeFill="accent1" w:themeFillTint="33"/>
            <w:vAlign w:val="bottom"/>
          </w:tcPr>
          <w:p w14:paraId="55B8E60F" w14:textId="77777777" w:rsidR="00DE0970" w:rsidRPr="004F202B" w:rsidRDefault="00DE0970" w:rsidP="006E0363">
            <w:pPr>
              <w:spacing w:after="0"/>
              <w:ind w:left="0"/>
              <w:jc w:val="center"/>
              <w:rPr>
                <w:rFonts w:cs="Arial"/>
                <w:b/>
                <w:color w:val="1F3864" w:themeColor="accent5" w:themeShade="80"/>
              </w:rPr>
            </w:pPr>
            <w:r w:rsidRPr="004F202B">
              <w:rPr>
                <w:rFonts w:cs="Arial"/>
                <w:b/>
                <w:color w:val="1F3864" w:themeColor="accent5" w:themeShade="80"/>
              </w:rPr>
              <w:t>No.</w:t>
            </w:r>
          </w:p>
        </w:tc>
        <w:tc>
          <w:tcPr>
            <w:tcW w:w="2214" w:type="dxa"/>
            <w:shd w:val="clear" w:color="auto" w:fill="DEEAF6" w:themeFill="accent1" w:themeFillTint="33"/>
          </w:tcPr>
          <w:p w14:paraId="315EC03E" w14:textId="77777777" w:rsidR="00DE0970" w:rsidRPr="001B5E0B" w:rsidRDefault="00DE0970" w:rsidP="006E0363">
            <w:pPr>
              <w:spacing w:after="0"/>
              <w:ind w:left="0"/>
              <w:rPr>
                <w:rFonts w:cs="Arial"/>
                <w:b/>
                <w:color w:val="1F3864" w:themeColor="accent5" w:themeShade="80"/>
              </w:rPr>
            </w:pPr>
            <w:r>
              <w:rPr>
                <w:rFonts w:cs="Arial"/>
                <w:b/>
                <w:color w:val="1F3864" w:themeColor="accent5" w:themeShade="80"/>
              </w:rPr>
              <w:t>Deliverable</w:t>
            </w:r>
          </w:p>
        </w:tc>
        <w:tc>
          <w:tcPr>
            <w:tcW w:w="5706" w:type="dxa"/>
            <w:shd w:val="clear" w:color="auto" w:fill="DEEAF6" w:themeFill="accent1" w:themeFillTint="33"/>
          </w:tcPr>
          <w:p w14:paraId="1B01C87E" w14:textId="77777777" w:rsidR="00DE0970" w:rsidRPr="001B5E0B" w:rsidRDefault="00DE0970" w:rsidP="006E0363">
            <w:pPr>
              <w:spacing w:after="0"/>
              <w:ind w:left="0"/>
              <w:rPr>
                <w:rFonts w:cs="Arial"/>
                <w:b/>
                <w:color w:val="1F3864" w:themeColor="accent5" w:themeShade="80"/>
              </w:rPr>
            </w:pPr>
            <w:r>
              <w:rPr>
                <w:rFonts w:cs="Arial"/>
                <w:b/>
                <w:color w:val="1F3864" w:themeColor="accent5" w:themeShade="80"/>
              </w:rPr>
              <w:t>Acceptance Criteria</w:t>
            </w:r>
          </w:p>
        </w:tc>
        <w:tc>
          <w:tcPr>
            <w:tcW w:w="1944" w:type="dxa"/>
            <w:shd w:val="clear" w:color="auto" w:fill="DEEAF6" w:themeFill="accent1" w:themeFillTint="33"/>
            <w:vAlign w:val="bottom"/>
          </w:tcPr>
          <w:p w14:paraId="2E754591" w14:textId="77777777" w:rsidR="00DE0970" w:rsidRPr="004F202B" w:rsidRDefault="00DE0970" w:rsidP="006E0363">
            <w:pPr>
              <w:spacing w:after="0"/>
              <w:ind w:left="0"/>
              <w:rPr>
                <w:rFonts w:cs="Arial"/>
                <w:b/>
                <w:color w:val="1F3864" w:themeColor="accent5" w:themeShade="80"/>
              </w:rPr>
            </w:pPr>
            <w:r>
              <w:rPr>
                <w:rFonts w:cs="Arial"/>
                <w:b/>
                <w:color w:val="1F3864" w:themeColor="accent5" w:themeShade="80"/>
              </w:rPr>
              <w:t>Due Date</w:t>
            </w:r>
          </w:p>
        </w:tc>
      </w:tr>
      <w:tr w:rsidR="00DE0970" w:rsidRPr="00873442" w14:paraId="4340EE1F" w14:textId="77777777" w:rsidTr="006E0363">
        <w:tc>
          <w:tcPr>
            <w:tcW w:w="936" w:type="dxa"/>
          </w:tcPr>
          <w:p w14:paraId="2161CDFD" w14:textId="727EEE61" w:rsidR="00DE0970" w:rsidRDefault="00B54348" w:rsidP="006E0363">
            <w:pPr>
              <w:ind w:left="0"/>
              <w:jc w:val="center"/>
            </w:pPr>
            <w:r>
              <w:t>3</w:t>
            </w:r>
            <w:r w:rsidR="00DE0970">
              <w:t>A</w:t>
            </w:r>
          </w:p>
        </w:tc>
        <w:tc>
          <w:tcPr>
            <w:tcW w:w="2214" w:type="dxa"/>
          </w:tcPr>
          <w:p w14:paraId="4028345C" w14:textId="5C4DED7B" w:rsidR="00DE0970" w:rsidRDefault="00267EF9" w:rsidP="006E0363">
            <w:pPr>
              <w:ind w:left="0"/>
            </w:pPr>
            <w:r>
              <w:t>System Design Document</w:t>
            </w:r>
          </w:p>
        </w:tc>
        <w:tc>
          <w:tcPr>
            <w:tcW w:w="5706" w:type="dxa"/>
          </w:tcPr>
          <w:p w14:paraId="2C3115DB" w14:textId="5FFDA5AA" w:rsidR="00267EF9" w:rsidRDefault="00267EF9" w:rsidP="00267EF9">
            <w:pPr>
              <w:ind w:left="0"/>
            </w:pPr>
            <w:r>
              <w:t>At a minimum, the Document must:</w:t>
            </w:r>
          </w:p>
          <w:p w14:paraId="7220374D" w14:textId="2F49FAB3" w:rsidR="00267EF9" w:rsidRDefault="004101A7" w:rsidP="00E16D2D">
            <w:pPr>
              <w:pStyle w:val="LB1-Table"/>
            </w:pPr>
            <w:r>
              <w:t>C</w:t>
            </w:r>
            <w:r w:rsidR="007B7F79">
              <w:t xml:space="preserve">learly specify how the current </w:t>
            </w:r>
            <w:r w:rsidR="00267EF9">
              <w:t xml:space="preserve">mainframe and web-based applications </w:t>
            </w:r>
            <w:r w:rsidR="007B7F79">
              <w:t>will be replaced with</w:t>
            </w:r>
            <w:r>
              <w:t xml:space="preserve"> a new system that provides existing functionality plus new requirements</w:t>
            </w:r>
            <w:r w:rsidR="00267EF9">
              <w:t>;</w:t>
            </w:r>
          </w:p>
          <w:p w14:paraId="5F54C92F" w14:textId="77777777" w:rsidR="002F601E" w:rsidRDefault="002F601E" w:rsidP="00F82166">
            <w:pPr>
              <w:pStyle w:val="LB1-Table"/>
            </w:pPr>
            <w:r>
              <w:t xml:space="preserve">Logical, technical-level architecture documentation; </w:t>
            </w:r>
          </w:p>
          <w:p w14:paraId="643D4F9D" w14:textId="307A4FD1" w:rsidR="004101A7" w:rsidRDefault="004101A7" w:rsidP="00F82166">
            <w:pPr>
              <w:pStyle w:val="LB1-Table"/>
            </w:pPr>
            <w:r>
              <w:t>Include a mapping of requirements;</w:t>
            </w:r>
          </w:p>
          <w:p w14:paraId="21AF2126" w14:textId="77777777" w:rsidR="0094533A" w:rsidRDefault="0094533A" w:rsidP="00F82166">
            <w:pPr>
              <w:pStyle w:val="LB1-Table"/>
            </w:pPr>
            <w:r>
              <w:t>Document high-level architecture;</w:t>
            </w:r>
          </w:p>
          <w:p w14:paraId="58F68B21" w14:textId="27F9DE65" w:rsidR="00267EF9" w:rsidRDefault="004D444B">
            <w:pPr>
              <w:pStyle w:val="LB1-Table"/>
            </w:pPr>
            <w:r>
              <w:t>Specify all software and hardware</w:t>
            </w:r>
            <w:r w:rsidR="004E0E75">
              <w:t xml:space="preserve"> to include versions, specifications, and interoperability with other software and hardware products</w:t>
            </w:r>
            <w:r w:rsidR="00267EF9">
              <w:t>;</w:t>
            </w:r>
            <w:r>
              <w:t xml:space="preserve"> and</w:t>
            </w:r>
          </w:p>
          <w:p w14:paraId="3EB7ABDF" w14:textId="167F8E5C" w:rsidR="00DE0970" w:rsidRDefault="004D444B">
            <w:pPr>
              <w:pStyle w:val="LB1-Table"/>
            </w:pPr>
            <w:r>
              <w:t xml:space="preserve">Specify the future </w:t>
            </w:r>
            <w:r w:rsidR="00286E88">
              <w:t>cloud-based or server-based operating environment</w:t>
            </w:r>
            <w:r w:rsidR="00286E88" w:rsidRPr="00F15BB4">
              <w:t xml:space="preserve"> </w:t>
            </w:r>
            <w:r w:rsidR="00286E88" w:rsidRPr="0054649A">
              <w:t>required to support the solution</w:t>
            </w:r>
            <w:r>
              <w:t>.</w:t>
            </w:r>
          </w:p>
        </w:tc>
        <w:tc>
          <w:tcPr>
            <w:tcW w:w="1944" w:type="dxa"/>
          </w:tcPr>
          <w:p w14:paraId="274954A4" w14:textId="02A49DC7" w:rsidR="00DE0970" w:rsidRDefault="0042165D" w:rsidP="006E0363">
            <w:pPr>
              <w:ind w:left="0"/>
            </w:pPr>
            <w:r w:rsidRPr="00F57DB3">
              <w:t>TBD in accordance with the IMS</w:t>
            </w:r>
          </w:p>
        </w:tc>
      </w:tr>
      <w:tr w:rsidR="004D444B" w:rsidRPr="00873442" w14:paraId="747FC489" w14:textId="77777777" w:rsidTr="006E0363">
        <w:tc>
          <w:tcPr>
            <w:tcW w:w="936" w:type="dxa"/>
          </w:tcPr>
          <w:p w14:paraId="0BB00382" w14:textId="1AFEA033" w:rsidR="004D444B" w:rsidRDefault="004D444B" w:rsidP="004D444B">
            <w:pPr>
              <w:ind w:left="0"/>
              <w:jc w:val="center"/>
            </w:pPr>
            <w:r>
              <w:t>3B</w:t>
            </w:r>
          </w:p>
        </w:tc>
        <w:tc>
          <w:tcPr>
            <w:tcW w:w="2214" w:type="dxa"/>
          </w:tcPr>
          <w:p w14:paraId="7A83446D" w14:textId="6CEEA1CA" w:rsidR="004D444B" w:rsidRDefault="004D444B" w:rsidP="004D444B">
            <w:pPr>
              <w:ind w:left="0"/>
            </w:pPr>
            <w:r>
              <w:t xml:space="preserve">Software </w:t>
            </w:r>
            <w:r w:rsidR="00F15BB4">
              <w:t xml:space="preserve">Purchase and </w:t>
            </w:r>
            <w:r>
              <w:t>Licensing Plan</w:t>
            </w:r>
          </w:p>
        </w:tc>
        <w:tc>
          <w:tcPr>
            <w:tcW w:w="5706" w:type="dxa"/>
          </w:tcPr>
          <w:p w14:paraId="50484786" w14:textId="12A15DC8" w:rsidR="004D444B" w:rsidRDefault="004D444B" w:rsidP="004D444B">
            <w:pPr>
              <w:ind w:left="0"/>
            </w:pPr>
            <w:r>
              <w:t>At a minimum, the Plan must:</w:t>
            </w:r>
          </w:p>
          <w:p w14:paraId="2F0F60EC" w14:textId="17FDD08B" w:rsidR="004D444B" w:rsidRDefault="004D444B" w:rsidP="00E16D2D">
            <w:pPr>
              <w:pStyle w:val="LB1-Table"/>
            </w:pPr>
            <w:r>
              <w:lastRenderedPageBreak/>
              <w:t>Specify all types of software licenses required to operate the replacement UI system;</w:t>
            </w:r>
          </w:p>
          <w:p w14:paraId="7C060DE8" w14:textId="6E9BD8FB" w:rsidR="004D444B" w:rsidRDefault="004D444B" w:rsidP="00F82166">
            <w:pPr>
              <w:pStyle w:val="LB1-Table"/>
            </w:pPr>
            <w:r>
              <w:t>Identify the purpose of each software;</w:t>
            </w:r>
          </w:p>
          <w:p w14:paraId="0F5064C3" w14:textId="2ED6AFFD" w:rsidR="004D444B" w:rsidRDefault="004D444B" w:rsidP="00F82166">
            <w:pPr>
              <w:pStyle w:val="LB1-Table"/>
            </w:pPr>
            <w:r>
              <w:t>Include the quantity of licenses required to fully operate the replacement UI system;</w:t>
            </w:r>
          </w:p>
          <w:p w14:paraId="1A363A79" w14:textId="28AD6CA2" w:rsidR="004D444B" w:rsidRDefault="004D444B">
            <w:pPr>
              <w:pStyle w:val="LB1-Table"/>
            </w:pPr>
            <w:r>
              <w:t>Include the licenses cost, both initial and on-going</w:t>
            </w:r>
            <w:r w:rsidR="00F85AAA">
              <w:t>, and describe what is included (e.g., permitted use, updates, upgrades, maintenance of software and hosting environment, etc.)</w:t>
            </w:r>
            <w:r>
              <w:t xml:space="preserve">; </w:t>
            </w:r>
            <w:r w:rsidR="000935D5">
              <w:t>and</w:t>
            </w:r>
          </w:p>
          <w:p w14:paraId="18E4FE44" w14:textId="1C4B5C83" w:rsidR="004D444B" w:rsidRDefault="004D444B">
            <w:pPr>
              <w:pStyle w:val="LB1-Table"/>
            </w:pPr>
            <w:r>
              <w:t xml:space="preserve">Align acquisition schedule with </w:t>
            </w:r>
            <w:r w:rsidR="002A57F8">
              <w:t>the IMS</w:t>
            </w:r>
            <w:r>
              <w:t>.</w:t>
            </w:r>
          </w:p>
        </w:tc>
        <w:tc>
          <w:tcPr>
            <w:tcW w:w="1944" w:type="dxa"/>
          </w:tcPr>
          <w:p w14:paraId="23FB2323" w14:textId="66C7178E" w:rsidR="004D444B" w:rsidRPr="00F57DB3" w:rsidRDefault="004D444B" w:rsidP="004D444B">
            <w:pPr>
              <w:ind w:left="0"/>
            </w:pPr>
            <w:r w:rsidRPr="00F57DB3">
              <w:lastRenderedPageBreak/>
              <w:t>TBD in accordance with the IMS</w:t>
            </w:r>
          </w:p>
        </w:tc>
      </w:tr>
    </w:tbl>
    <w:p w14:paraId="15051A7F" w14:textId="4F56B51C" w:rsidR="00DE0970" w:rsidRDefault="00DE0970" w:rsidP="00FF40A5"/>
    <w:p w14:paraId="5AEB697A" w14:textId="25A3AAC8" w:rsidR="00A050D5" w:rsidRDefault="00436A84" w:rsidP="00A050D5">
      <w:r w:rsidRPr="000B7C73">
        <w:t xml:space="preserve">The Offeror must include </w:t>
      </w:r>
      <w:r w:rsidR="00F81FA2" w:rsidRPr="000B7C73">
        <w:t xml:space="preserve">a draft version of deliverable </w:t>
      </w:r>
      <w:r w:rsidR="00F81FA2">
        <w:t>3</w:t>
      </w:r>
      <w:r w:rsidR="00F81FA2" w:rsidRPr="000B7C73">
        <w:t>A</w:t>
      </w:r>
      <w:r w:rsidR="00CB419A">
        <w:t>;</w:t>
      </w:r>
      <w:r w:rsidR="00F81FA2" w:rsidRPr="000B7C73">
        <w:t xml:space="preserve"> </w:t>
      </w:r>
      <w:r>
        <w:t>their solution’s logical, technical-level architecture</w:t>
      </w:r>
      <w:r w:rsidR="00CB419A">
        <w:t>;</w:t>
      </w:r>
      <w:r>
        <w:t xml:space="preserve"> and an inventory of all third-party software and hardware products including version number </w:t>
      </w:r>
      <w:r w:rsidRPr="000B7C73">
        <w:t>with their proposal</w:t>
      </w:r>
      <w:r>
        <w:t xml:space="preserve">. </w:t>
      </w:r>
      <w:r w:rsidR="00FC7AC7">
        <w:t>Cost information identified in this Section</w:t>
      </w:r>
      <w:r w:rsidR="00A050D5">
        <w:t xml:space="preserve"> are to be submitted separately as defined in </w:t>
      </w:r>
      <w:hyperlink w:anchor="_10.2_Submission_Details" w:history="1">
        <w:r w:rsidR="00A050D5" w:rsidRPr="009E4A24">
          <w:rPr>
            <w:rStyle w:val="Hyperlink"/>
          </w:rPr>
          <w:t>Section 10.2</w:t>
        </w:r>
      </w:hyperlink>
      <w:r w:rsidR="00A050D5">
        <w:t>, Submission Details.</w:t>
      </w:r>
    </w:p>
    <w:p w14:paraId="0E8D1250" w14:textId="7AF754FD" w:rsidR="00FC0772" w:rsidRDefault="00FC0772" w:rsidP="00FC0772">
      <w:pPr>
        <w:pStyle w:val="Heading3"/>
      </w:pPr>
      <w:bookmarkStart w:id="93" w:name="_Toc13567399"/>
      <w:r>
        <w:t>2.2.4</w:t>
      </w:r>
      <w:r>
        <w:tab/>
      </w:r>
      <w:r w:rsidR="009B7E37">
        <w:t>Task</w:t>
      </w:r>
      <w:r>
        <w:t xml:space="preserve"> 4: Assess Infrastructure</w:t>
      </w:r>
      <w:bookmarkEnd w:id="93"/>
    </w:p>
    <w:p w14:paraId="55043FA2" w14:textId="200CDFBC" w:rsidR="00FC0772" w:rsidRDefault="00FC0772" w:rsidP="00FC0772">
      <w:r w:rsidRPr="00BE56F2">
        <w:t xml:space="preserve">The </w:t>
      </w:r>
      <w:r>
        <w:t xml:space="preserve">Awarded Vendor </w:t>
      </w:r>
      <w:r w:rsidRPr="00BE56F2">
        <w:t xml:space="preserve">will </w:t>
      </w:r>
      <w:r>
        <w:t xml:space="preserve">conduct an infrastructure assessment to ensure the network infrastructure is reliable, secure, and scalable to meet or exceed the expected demands associated with the Awarded Vendor’s solution. </w:t>
      </w:r>
      <w:r w:rsidR="00691C53">
        <w:t xml:space="preserve">The Awarded Vendor will provide all tools necessary to complete the assessment. </w:t>
      </w:r>
      <w:r>
        <w:t>The goal is to identify infrastructure shortcomings early, so that they can be remediated prior to Go-Live.</w:t>
      </w:r>
    </w:p>
    <w:p w14:paraId="5F0885CA" w14:textId="77777777" w:rsidR="00FC0772" w:rsidRPr="00E21848" w:rsidRDefault="00FC0772" w:rsidP="00FC0772">
      <w:r>
        <w:t>A</w:t>
      </w:r>
      <w:r w:rsidRPr="00E21848">
        <w:t>ctivities</w:t>
      </w:r>
      <w:r>
        <w:t xml:space="preserve"> </w:t>
      </w:r>
      <w:r w:rsidRPr="00E21848">
        <w:t>include:</w:t>
      </w:r>
    </w:p>
    <w:p w14:paraId="65017E15" w14:textId="77777777" w:rsidR="00FC0772" w:rsidRDefault="00FC0772" w:rsidP="00E16D2D">
      <w:pPr>
        <w:pStyle w:val="LB1"/>
      </w:pPr>
      <w:r>
        <w:t>Conduct infrastructure assessment to ensure Awarded Vendor’s solution can handle traffic from the following users:</w:t>
      </w:r>
    </w:p>
    <w:p w14:paraId="054ED475" w14:textId="77777777" w:rsidR="00FC0772" w:rsidRDefault="00FC0772" w:rsidP="00F82166">
      <w:pPr>
        <w:pStyle w:val="OB1"/>
      </w:pPr>
      <w:r>
        <w:t>TWC UI Claimants, Employers, TPAs, and</w:t>
      </w:r>
    </w:p>
    <w:p w14:paraId="3C394467" w14:textId="77777777" w:rsidR="00FC0772" w:rsidRDefault="00FC0772" w:rsidP="00F82166">
      <w:pPr>
        <w:pStyle w:val="OB1"/>
      </w:pPr>
      <w:r>
        <w:t>TWC Staff located at:</w:t>
      </w:r>
    </w:p>
    <w:p w14:paraId="7C01EA39" w14:textId="055E0BD1" w:rsidR="00FC0772" w:rsidRDefault="00FC0772" w:rsidP="00691D9F">
      <w:pPr>
        <w:pStyle w:val="SB1"/>
      </w:pPr>
      <w:r>
        <w:t xml:space="preserve">TWC </w:t>
      </w:r>
      <w:r w:rsidR="006C3D52">
        <w:t>Tele-Centers</w:t>
      </w:r>
      <w:r>
        <w:t>,</w:t>
      </w:r>
    </w:p>
    <w:p w14:paraId="0BCBAA14" w14:textId="0A17E2D1" w:rsidR="001063F8" w:rsidRDefault="001063F8" w:rsidP="00691D9F">
      <w:pPr>
        <w:pStyle w:val="SB1"/>
      </w:pPr>
      <w:r>
        <w:t>TWC Workforce Solutions facilities,</w:t>
      </w:r>
    </w:p>
    <w:p w14:paraId="516514D6" w14:textId="570E3C5E" w:rsidR="007C4DCA" w:rsidRDefault="007C4DCA" w:rsidP="00691D9F">
      <w:pPr>
        <w:pStyle w:val="SB1"/>
      </w:pPr>
      <w:r>
        <w:t>TWC Tax Field Offices,</w:t>
      </w:r>
    </w:p>
    <w:p w14:paraId="34A8EB56" w14:textId="2C14F52D" w:rsidR="00A95802" w:rsidRDefault="006C3D52" w:rsidP="00691D9F">
      <w:pPr>
        <w:pStyle w:val="SB1"/>
      </w:pPr>
      <w:r>
        <w:t>Remote users (telecommuting staff, partner agencies, etc.)</w:t>
      </w:r>
      <w:r w:rsidR="00A95802">
        <w:t>,</w:t>
      </w:r>
    </w:p>
    <w:p w14:paraId="70837F7F" w14:textId="77777777" w:rsidR="00FC0772" w:rsidRDefault="00FC0772" w:rsidP="00691D9F">
      <w:pPr>
        <w:pStyle w:val="SB1"/>
      </w:pPr>
      <w:r>
        <w:t>TWC UI Admin Building, Austin, TX, and</w:t>
      </w:r>
    </w:p>
    <w:p w14:paraId="7FBF0F76" w14:textId="77777777" w:rsidR="00FC0772" w:rsidRDefault="00FC0772" w:rsidP="00691D9F">
      <w:pPr>
        <w:pStyle w:val="SB1"/>
      </w:pPr>
      <w:r>
        <w:t>TWC Main Building, Austin, TX.</w:t>
      </w:r>
    </w:p>
    <w:p w14:paraId="5FC12A76" w14:textId="73679282" w:rsidR="00FC0772" w:rsidRDefault="00FC0772" w:rsidP="00E16D2D">
      <w:pPr>
        <w:pStyle w:val="LB1"/>
      </w:pPr>
      <w:r>
        <w:lastRenderedPageBreak/>
        <w:t>Prepare</w:t>
      </w:r>
      <w:r w:rsidRPr="00AA3907">
        <w:t xml:space="preserve"> a</w:t>
      </w:r>
      <w:r>
        <w:t>n</w:t>
      </w:r>
      <w:r w:rsidRPr="00AA3907">
        <w:t xml:space="preserve"> </w:t>
      </w:r>
      <w:r>
        <w:t>Infrastructure Report</w:t>
      </w:r>
      <w:r w:rsidR="00DE73CC">
        <w:t xml:space="preserve"> that documents current performance, identifies an</w:t>
      </w:r>
      <w:r w:rsidR="00D538E1">
        <w:t>y</w:t>
      </w:r>
      <w:r w:rsidR="00DE73CC">
        <w:t xml:space="preserve"> current </w:t>
      </w:r>
      <w:r w:rsidR="006763C9">
        <w:t>or known future issues, and contains actionable recommendations to optimize infrastructure for Awarded Vendor’s solution.</w:t>
      </w:r>
    </w:p>
    <w:p w14:paraId="3E3167B4" w14:textId="0CB75854" w:rsidR="00691D9F" w:rsidRDefault="00691D9F" w:rsidP="00F82166">
      <w:pPr>
        <w:pStyle w:val="OB1"/>
      </w:pPr>
      <w:r>
        <w:t>Specify new hardware required including product type, model, quantity, unit cost, and total cost</w:t>
      </w:r>
      <w:r w:rsidR="0034033C">
        <w:t>; and</w:t>
      </w:r>
    </w:p>
    <w:p w14:paraId="5CF911E8" w14:textId="5BA30342" w:rsidR="00691D9F" w:rsidRDefault="00691D9F" w:rsidP="00F82166">
      <w:pPr>
        <w:pStyle w:val="OB1"/>
      </w:pPr>
      <w:r>
        <w:t>Specify new software required including product, quantity, unit cost, and total cost</w:t>
      </w:r>
      <w:r w:rsidR="0034033C">
        <w:t>.</w:t>
      </w:r>
    </w:p>
    <w:p w14:paraId="1086CFCE" w14:textId="77777777" w:rsidR="00FC0772" w:rsidRDefault="00FC0772" w:rsidP="00FC0772"/>
    <w:p w14:paraId="1A9445D2" w14:textId="3803908C" w:rsidR="006763C9" w:rsidRDefault="00272A05" w:rsidP="006763C9">
      <w:r>
        <w:t xml:space="preserve">The Awarded Vendor will complete the following </w:t>
      </w:r>
      <w:r w:rsidR="00B81B78">
        <w:t>deliverable during this Task</w:t>
      </w:r>
      <w:r w:rsidR="006763C9">
        <w:t>:</w:t>
      </w:r>
    </w:p>
    <w:tbl>
      <w:tblPr>
        <w:tblStyle w:val="TableGrid"/>
        <w:tblW w:w="10764" w:type="dxa"/>
        <w:tblInd w:w="175" w:type="dxa"/>
        <w:tblLayout w:type="fixed"/>
        <w:tblLook w:val="04A0" w:firstRow="1" w:lastRow="0" w:firstColumn="1" w:lastColumn="0" w:noHBand="0" w:noVBand="1"/>
        <w:tblCaption w:val="Deliverable Schedule table"/>
        <w:tblDescription w:val="Assess infrastructure Deliverables Schedule table"/>
      </w:tblPr>
      <w:tblGrid>
        <w:gridCol w:w="936"/>
        <w:gridCol w:w="2214"/>
        <w:gridCol w:w="5670"/>
        <w:gridCol w:w="1944"/>
      </w:tblGrid>
      <w:tr w:rsidR="00FC0772" w:rsidRPr="00873442" w14:paraId="6A730282" w14:textId="77777777" w:rsidTr="00F73DD4">
        <w:trPr>
          <w:cantSplit/>
          <w:tblHeader/>
        </w:trPr>
        <w:tc>
          <w:tcPr>
            <w:tcW w:w="936" w:type="dxa"/>
            <w:shd w:val="clear" w:color="auto" w:fill="DEEAF6" w:themeFill="accent1" w:themeFillTint="33"/>
            <w:vAlign w:val="bottom"/>
          </w:tcPr>
          <w:p w14:paraId="45C7D48F" w14:textId="77777777" w:rsidR="00FC0772" w:rsidRPr="004F202B" w:rsidRDefault="00FC0772" w:rsidP="005303D2">
            <w:pPr>
              <w:keepNext/>
              <w:spacing w:after="0"/>
              <w:ind w:left="0"/>
              <w:jc w:val="center"/>
              <w:rPr>
                <w:rFonts w:cs="Arial"/>
                <w:b/>
                <w:color w:val="1F3864" w:themeColor="accent5" w:themeShade="80"/>
              </w:rPr>
            </w:pPr>
            <w:r w:rsidRPr="004F202B">
              <w:rPr>
                <w:rFonts w:cs="Arial"/>
                <w:b/>
                <w:color w:val="1F3864" w:themeColor="accent5" w:themeShade="80"/>
              </w:rPr>
              <w:t>No.</w:t>
            </w:r>
          </w:p>
        </w:tc>
        <w:tc>
          <w:tcPr>
            <w:tcW w:w="2214" w:type="dxa"/>
            <w:shd w:val="clear" w:color="auto" w:fill="DEEAF6" w:themeFill="accent1" w:themeFillTint="33"/>
          </w:tcPr>
          <w:p w14:paraId="1E325036" w14:textId="77777777" w:rsidR="00FC0772" w:rsidRPr="001B5E0B" w:rsidRDefault="00FC0772" w:rsidP="005303D2">
            <w:pPr>
              <w:keepNext/>
              <w:spacing w:after="0"/>
              <w:ind w:left="0"/>
              <w:rPr>
                <w:rFonts w:cs="Arial"/>
                <w:b/>
                <w:color w:val="1F3864" w:themeColor="accent5" w:themeShade="80"/>
              </w:rPr>
            </w:pPr>
            <w:r>
              <w:rPr>
                <w:rFonts w:cs="Arial"/>
                <w:b/>
                <w:color w:val="1F3864" w:themeColor="accent5" w:themeShade="80"/>
              </w:rPr>
              <w:t>Deliverable</w:t>
            </w:r>
          </w:p>
        </w:tc>
        <w:tc>
          <w:tcPr>
            <w:tcW w:w="5670" w:type="dxa"/>
            <w:shd w:val="clear" w:color="auto" w:fill="DEEAF6" w:themeFill="accent1" w:themeFillTint="33"/>
          </w:tcPr>
          <w:p w14:paraId="0B3BEE6E" w14:textId="77777777" w:rsidR="00FC0772" w:rsidRPr="001B5E0B" w:rsidRDefault="00FC0772" w:rsidP="005303D2">
            <w:pPr>
              <w:keepNext/>
              <w:spacing w:after="0"/>
              <w:ind w:left="0"/>
              <w:rPr>
                <w:rFonts w:cs="Arial"/>
                <w:b/>
                <w:color w:val="1F3864" w:themeColor="accent5" w:themeShade="80"/>
              </w:rPr>
            </w:pPr>
            <w:r>
              <w:rPr>
                <w:rFonts w:cs="Arial"/>
                <w:b/>
                <w:color w:val="1F3864" w:themeColor="accent5" w:themeShade="80"/>
              </w:rPr>
              <w:t>Acceptance Criteria</w:t>
            </w:r>
          </w:p>
        </w:tc>
        <w:tc>
          <w:tcPr>
            <w:tcW w:w="1944" w:type="dxa"/>
            <w:shd w:val="clear" w:color="auto" w:fill="DEEAF6" w:themeFill="accent1" w:themeFillTint="33"/>
            <w:vAlign w:val="bottom"/>
          </w:tcPr>
          <w:p w14:paraId="15369807" w14:textId="77777777" w:rsidR="00FC0772" w:rsidRPr="004F202B" w:rsidRDefault="00FC0772" w:rsidP="005303D2">
            <w:pPr>
              <w:keepNext/>
              <w:spacing w:after="0"/>
              <w:ind w:left="0"/>
              <w:rPr>
                <w:rFonts w:cs="Arial"/>
                <w:b/>
                <w:color w:val="1F3864" w:themeColor="accent5" w:themeShade="80"/>
              </w:rPr>
            </w:pPr>
            <w:r>
              <w:rPr>
                <w:rFonts w:cs="Arial"/>
                <w:b/>
                <w:color w:val="1F3864" w:themeColor="accent5" w:themeShade="80"/>
              </w:rPr>
              <w:t>Due Date</w:t>
            </w:r>
          </w:p>
        </w:tc>
      </w:tr>
      <w:tr w:rsidR="00FC0772" w:rsidRPr="00873442" w14:paraId="63EC9D61" w14:textId="77777777" w:rsidTr="00F73DD4">
        <w:tc>
          <w:tcPr>
            <w:tcW w:w="936" w:type="dxa"/>
          </w:tcPr>
          <w:p w14:paraId="59341762" w14:textId="219BEF27" w:rsidR="00FC0772" w:rsidRDefault="007B4C04" w:rsidP="005303D2">
            <w:pPr>
              <w:ind w:left="0"/>
              <w:jc w:val="center"/>
            </w:pPr>
            <w:r>
              <w:t>4</w:t>
            </w:r>
            <w:r w:rsidR="00FC0772">
              <w:t>A</w:t>
            </w:r>
          </w:p>
        </w:tc>
        <w:tc>
          <w:tcPr>
            <w:tcW w:w="2214" w:type="dxa"/>
          </w:tcPr>
          <w:p w14:paraId="3E71E27E" w14:textId="77777777" w:rsidR="00FC0772" w:rsidRDefault="00FC0772" w:rsidP="005303D2">
            <w:pPr>
              <w:ind w:left="0"/>
            </w:pPr>
            <w:r>
              <w:t>Infrastructure Report</w:t>
            </w:r>
          </w:p>
        </w:tc>
        <w:tc>
          <w:tcPr>
            <w:tcW w:w="5670" w:type="dxa"/>
          </w:tcPr>
          <w:p w14:paraId="320AD816" w14:textId="77777777" w:rsidR="00FC0772" w:rsidRDefault="00FC0772" w:rsidP="005303D2">
            <w:pPr>
              <w:ind w:left="0"/>
            </w:pPr>
            <w:r>
              <w:t>At a minimum, the Report must:</w:t>
            </w:r>
          </w:p>
          <w:p w14:paraId="65109570" w14:textId="39317423" w:rsidR="00FC0772" w:rsidRDefault="00FC0772" w:rsidP="00E16D2D">
            <w:pPr>
              <w:pStyle w:val="LB1-Table"/>
            </w:pPr>
            <w:r>
              <w:t xml:space="preserve">Support the system design created in </w:t>
            </w:r>
            <w:hyperlink w:anchor="_2.2.3_Required_Deliverable" w:history="1">
              <w:r w:rsidR="009B7E37">
                <w:rPr>
                  <w:rStyle w:val="Hyperlink"/>
                </w:rPr>
                <w:t>Task 3</w:t>
              </w:r>
            </w:hyperlink>
            <w:r>
              <w:t>;</w:t>
            </w:r>
          </w:p>
          <w:p w14:paraId="4841D489" w14:textId="77777777" w:rsidR="00FC0772" w:rsidRDefault="00FC0772" w:rsidP="00F82166">
            <w:pPr>
              <w:pStyle w:val="LB1-Table"/>
            </w:pPr>
            <w:r>
              <w:t>Include network device hardware and software discovery and inventory;</w:t>
            </w:r>
          </w:p>
          <w:p w14:paraId="2083665C" w14:textId="77777777" w:rsidR="00FC0772" w:rsidRDefault="00FC0772" w:rsidP="00F82166">
            <w:pPr>
              <w:pStyle w:val="LB1-Table"/>
            </w:pPr>
            <w:r>
              <w:t>Include network topology;</w:t>
            </w:r>
          </w:p>
          <w:p w14:paraId="6BFAA20C" w14:textId="77777777" w:rsidR="00FC0772" w:rsidRDefault="00FC0772">
            <w:pPr>
              <w:pStyle w:val="LB1-Table"/>
            </w:pPr>
            <w:r>
              <w:t>Report on current performance (utilization, errors, etc.) of network devices and ports;</w:t>
            </w:r>
          </w:p>
          <w:p w14:paraId="0927A345" w14:textId="28A9AEB8" w:rsidR="00FC0772" w:rsidRDefault="00FC0772">
            <w:pPr>
              <w:pStyle w:val="LB1-Table"/>
            </w:pPr>
            <w:r>
              <w:t xml:space="preserve">Identify any issues; </w:t>
            </w:r>
          </w:p>
          <w:p w14:paraId="49895C81" w14:textId="77777777" w:rsidR="00235033" w:rsidRDefault="00FC0772">
            <w:pPr>
              <w:pStyle w:val="LB1-Table"/>
            </w:pPr>
            <w:r>
              <w:t>Contain actionable recommendations to optimize infrastructure for Awarded Vendor’s solution</w:t>
            </w:r>
            <w:r w:rsidR="00235033">
              <w:t>; and</w:t>
            </w:r>
          </w:p>
          <w:p w14:paraId="50AF39C0" w14:textId="5310C1C3" w:rsidR="00FC0772" w:rsidRDefault="00235033">
            <w:pPr>
              <w:pStyle w:val="LB1-Table"/>
            </w:pPr>
            <w:r>
              <w:t xml:space="preserve">Align </w:t>
            </w:r>
            <w:r w:rsidR="00C64149">
              <w:t>network update</w:t>
            </w:r>
            <w:r>
              <w:t xml:space="preserve"> schedule with </w:t>
            </w:r>
            <w:r w:rsidR="002A57F8">
              <w:t>the IMS</w:t>
            </w:r>
            <w:r w:rsidR="00FC0772">
              <w:t>.</w:t>
            </w:r>
          </w:p>
        </w:tc>
        <w:tc>
          <w:tcPr>
            <w:tcW w:w="1944" w:type="dxa"/>
          </w:tcPr>
          <w:p w14:paraId="6D47509E" w14:textId="69A5CA9E" w:rsidR="00FC0772" w:rsidRDefault="007B4C04" w:rsidP="005303D2">
            <w:pPr>
              <w:ind w:left="0"/>
            </w:pPr>
            <w:r w:rsidRPr="00F57DB3">
              <w:t>TBD in accordance with the IMS</w:t>
            </w:r>
          </w:p>
        </w:tc>
      </w:tr>
    </w:tbl>
    <w:p w14:paraId="7A72FF88" w14:textId="77777777" w:rsidR="00077717" w:rsidRDefault="00077717" w:rsidP="00077717"/>
    <w:p w14:paraId="075E864E" w14:textId="1AB144F4" w:rsidR="00FC0772" w:rsidRDefault="00077717" w:rsidP="00077717">
      <w:r w:rsidRPr="000B7C73">
        <w:t xml:space="preserve">The Offeror must include </w:t>
      </w:r>
      <w:r>
        <w:t xml:space="preserve">their solution’s </w:t>
      </w:r>
      <w:r w:rsidR="006004F7">
        <w:t xml:space="preserve">infrastructure </w:t>
      </w:r>
      <w:r>
        <w:t xml:space="preserve">architecture </w:t>
      </w:r>
      <w:r w:rsidR="004564AC">
        <w:t>and a list of all tools necessary to complete the infrastructure assessment</w:t>
      </w:r>
      <w:r w:rsidR="004564AC" w:rsidRPr="000B7C73">
        <w:t xml:space="preserve"> </w:t>
      </w:r>
      <w:r w:rsidRPr="000B7C73">
        <w:t>with their proposal</w:t>
      </w:r>
      <w:r>
        <w:t>.</w:t>
      </w:r>
    </w:p>
    <w:p w14:paraId="6A6782F4" w14:textId="2A6A7213" w:rsidR="00187C7C" w:rsidRDefault="00187C7C" w:rsidP="00187C7C">
      <w:pPr>
        <w:pStyle w:val="Heading3"/>
      </w:pPr>
      <w:bookmarkStart w:id="94" w:name="_2.2.4_Required_Deliverable"/>
      <w:bookmarkStart w:id="95" w:name="_2.2.5_Required_DeliverableTask"/>
      <w:bookmarkStart w:id="96" w:name="_Toc13567400"/>
      <w:bookmarkStart w:id="97" w:name="_Hlk532484434"/>
      <w:bookmarkStart w:id="98" w:name="_Hlk5961756"/>
      <w:bookmarkEnd w:id="94"/>
      <w:bookmarkEnd w:id="95"/>
      <w:r>
        <w:t>2.2.</w:t>
      </w:r>
      <w:r w:rsidR="00CF574C">
        <w:t>5</w:t>
      </w:r>
      <w:r>
        <w:tab/>
      </w:r>
      <w:r w:rsidR="009B7E37">
        <w:t>Task</w:t>
      </w:r>
      <w:r>
        <w:t xml:space="preserve"> </w:t>
      </w:r>
      <w:r w:rsidR="00CF574C">
        <w:t>5</w:t>
      </w:r>
      <w:r>
        <w:t>: Configure/Develop System and Conduct Technical Acceptance Testing</w:t>
      </w:r>
      <w:bookmarkEnd w:id="96"/>
    </w:p>
    <w:p w14:paraId="2017BD0F" w14:textId="4173D5BB" w:rsidR="00187C7C" w:rsidRDefault="005A6C01" w:rsidP="00187C7C">
      <w:r>
        <w:t xml:space="preserve">During this activity, the Awarded Vendor will complete all required configuration and customization activities for all approved UI features and requirements and based on the approved implementation approach and plans. During the configuration/development phase of the Project, the Awarded Vendor will execute relevant test defined for this phase in the approved Test Plan. The </w:t>
      </w:r>
      <w:r w:rsidR="00DE7257">
        <w:t xml:space="preserve">Awarded Vendor </w:t>
      </w:r>
      <w:r>
        <w:t xml:space="preserve">must demonstrate </w:t>
      </w:r>
      <w:r w:rsidR="00C60682">
        <w:t xml:space="preserve">that </w:t>
      </w:r>
      <w:r>
        <w:t xml:space="preserve">phase Exit Criteria are satisfied in order to deploy software to begin </w:t>
      </w:r>
      <w:r w:rsidR="000B652C">
        <w:t>user acceptance testing (</w:t>
      </w:r>
      <w:r>
        <w:t>UAT</w:t>
      </w:r>
      <w:r w:rsidR="000B652C">
        <w:t>)</w:t>
      </w:r>
      <w:r w:rsidR="00187C7C">
        <w:t>.</w:t>
      </w:r>
    </w:p>
    <w:p w14:paraId="49BCA9F0" w14:textId="77777777" w:rsidR="00187C7C" w:rsidRPr="00E21848" w:rsidRDefault="00187C7C" w:rsidP="00187C7C">
      <w:bookmarkStart w:id="99" w:name="_Hlk532484448"/>
      <w:bookmarkEnd w:id="97"/>
      <w:r>
        <w:t>A</w:t>
      </w:r>
      <w:r w:rsidRPr="00E21848">
        <w:t>ctivities</w:t>
      </w:r>
      <w:r>
        <w:t xml:space="preserve"> </w:t>
      </w:r>
      <w:r w:rsidRPr="00E21848">
        <w:t>include:</w:t>
      </w:r>
    </w:p>
    <w:p w14:paraId="5CB5C3A0" w14:textId="027ECDF1" w:rsidR="00630F14" w:rsidRDefault="00630F14" w:rsidP="00E16D2D">
      <w:pPr>
        <w:pStyle w:val="LB1"/>
      </w:pPr>
      <w:bookmarkStart w:id="100" w:name="_Hlk7682594"/>
      <w:r>
        <w:t>Create a Software Development Plan detailing the software configuration and development methodology and processes.</w:t>
      </w:r>
    </w:p>
    <w:bookmarkEnd w:id="100"/>
    <w:p w14:paraId="43A0A104" w14:textId="052E4FBD" w:rsidR="007A5102" w:rsidRDefault="007A5102" w:rsidP="00F82166">
      <w:pPr>
        <w:pStyle w:val="LB1"/>
      </w:pPr>
      <w:r>
        <w:lastRenderedPageBreak/>
        <w:t xml:space="preserve">Develop a Configuration Management Plan associated with the development process: </w:t>
      </w:r>
    </w:p>
    <w:p w14:paraId="30267A51" w14:textId="45F3215D" w:rsidR="007A5102" w:rsidRDefault="007A5102" w:rsidP="00F82166">
      <w:pPr>
        <w:pStyle w:val="OB1"/>
      </w:pPr>
      <w:r>
        <w:t>Ensure</w:t>
      </w:r>
      <w:r w:rsidRPr="007A5102">
        <w:t xml:space="preserve"> all</w:t>
      </w:r>
      <w:r w:rsidR="00445CBA">
        <w:t xml:space="preserve"> critical development documents;</w:t>
      </w:r>
      <w:r w:rsidRPr="007A5102">
        <w:t xml:space="preserve"> including but not limite</w:t>
      </w:r>
      <w:r w:rsidR="00445CBA">
        <w:t>d to requirements, design, and code;</w:t>
      </w:r>
      <w:r w:rsidRPr="007A5102">
        <w:t xml:space="preserve"> are maintained under a</w:t>
      </w:r>
      <w:r w:rsidR="006746D4">
        <w:t>n appropriate level of control;</w:t>
      </w:r>
    </w:p>
    <w:p w14:paraId="5EC90644" w14:textId="41E91C14" w:rsidR="007A5102" w:rsidRDefault="007A5102">
      <w:pPr>
        <w:pStyle w:val="OB1"/>
      </w:pPr>
      <w:r>
        <w:t>Ensure</w:t>
      </w:r>
      <w:r w:rsidRPr="007A5102">
        <w:t xml:space="preserve"> processes and tools are in place to identify code versions and to rebuild system c</w:t>
      </w:r>
      <w:r w:rsidR="006746D4">
        <w:t>onfigurations from source code;</w:t>
      </w:r>
    </w:p>
    <w:p w14:paraId="69116AF9" w14:textId="1B0AB165" w:rsidR="007A5102" w:rsidRDefault="007A5102">
      <w:pPr>
        <w:pStyle w:val="OB1"/>
      </w:pPr>
      <w:r>
        <w:t>Ensure</w:t>
      </w:r>
      <w:r w:rsidRPr="007A5102">
        <w:t xml:space="preserve"> processes and tools are in place to manage system changes, including formal logging of change requests and the review, prioritization and timely sche</w:t>
      </w:r>
      <w:r w:rsidR="006746D4">
        <w:t>duling of maintenance actions; and</w:t>
      </w:r>
    </w:p>
    <w:p w14:paraId="4A6B8BF7" w14:textId="1B65FEEE" w:rsidR="007A5102" w:rsidRDefault="007A5102">
      <w:pPr>
        <w:pStyle w:val="OB1"/>
      </w:pPr>
      <w:r>
        <w:t>Ensure</w:t>
      </w:r>
      <w:r w:rsidRPr="007A5102">
        <w:t xml:space="preserve"> that mechanisms are in place to prevent unauthorized changes being made to the system and to prevent authorized changes from being made to the wrong version</w:t>
      </w:r>
      <w:r>
        <w:t>.</w:t>
      </w:r>
    </w:p>
    <w:p w14:paraId="65D02C95" w14:textId="32E2D666" w:rsidR="00187C7C" w:rsidRDefault="00187C7C">
      <w:pPr>
        <w:pStyle w:val="LB1"/>
      </w:pPr>
      <w:r>
        <w:t>Complete all activities necessary to implement the software core system capabilities, simple and complex configurations, and custom developed software necessary to create a UI solutio</w:t>
      </w:r>
      <w:r w:rsidR="006746D4">
        <w:t>n that meets TWC’s requirements;</w:t>
      </w:r>
    </w:p>
    <w:p w14:paraId="7E4B4C82" w14:textId="7092EA7F" w:rsidR="00187C7C" w:rsidRDefault="00010435">
      <w:pPr>
        <w:pStyle w:val="LB1"/>
      </w:pPr>
      <w:r>
        <w:t>Demonstrate</w:t>
      </w:r>
      <w:r w:rsidR="00187C7C">
        <w:t xml:space="preserve"> prototype(s) with Staff and stakeholder</w:t>
      </w:r>
      <w:r w:rsidR="00187C7C" w:rsidRPr="006C2708">
        <w:t xml:space="preserve"> </w:t>
      </w:r>
      <w:r w:rsidR="00187C7C">
        <w:t>representatives (both central office and remote) as appropriate</w:t>
      </w:r>
      <w:r>
        <w:t xml:space="preserve"> </w:t>
      </w:r>
      <w:r w:rsidR="009D3DB4">
        <w:t xml:space="preserve">to </w:t>
      </w:r>
      <w:r w:rsidR="009D3DB4">
        <w:rPr>
          <w:lang w:val="en"/>
        </w:rPr>
        <w:t xml:space="preserve">get valuable feedback on potential additions or changes early in the project </w:t>
      </w:r>
      <w:r>
        <w:t xml:space="preserve">and incorporate </w:t>
      </w:r>
      <w:r w:rsidR="009D3DB4">
        <w:t xml:space="preserve">the </w:t>
      </w:r>
      <w:r>
        <w:t>feedback</w:t>
      </w:r>
      <w:r w:rsidR="006746D4">
        <w:t>;</w:t>
      </w:r>
    </w:p>
    <w:p w14:paraId="29C30526" w14:textId="5FA31B7D" w:rsidR="00187C7C" w:rsidRDefault="00187C7C">
      <w:pPr>
        <w:pStyle w:val="LB1"/>
      </w:pPr>
      <w:r w:rsidRPr="009E5DE1">
        <w:t xml:space="preserve">Document a </w:t>
      </w:r>
      <w:r w:rsidRPr="00A25F8C">
        <w:t xml:space="preserve">Technical Test Plan that addresses </w:t>
      </w:r>
      <w:r w:rsidR="00694076">
        <w:t xml:space="preserve">all functional, non-functional, and technical requirements; </w:t>
      </w:r>
      <w:r w:rsidRPr="00FE33CC">
        <w:t>solution configuration</w:t>
      </w:r>
      <w:r w:rsidR="00694076">
        <w:t>;</w:t>
      </w:r>
      <w:r w:rsidRPr="00FE33CC">
        <w:t xml:space="preserve"> data conversion and migration; interfaces and data exchange; reporting; accessibility; regression and system integration testing; prototyping; performance testing</w:t>
      </w:r>
      <w:r>
        <w:t>; load testing</w:t>
      </w:r>
      <w:r w:rsidRPr="00FE33CC">
        <w:t>; and security scans. The Technical Test Plan will include a Technical Acceptance Testing Checklist containing all necessary activities to perform Technical Acceptance Testing on the solution</w:t>
      </w:r>
      <w:r w:rsidR="006746D4">
        <w:t>; and</w:t>
      </w:r>
    </w:p>
    <w:p w14:paraId="39A94844" w14:textId="38A636DC" w:rsidR="00187C7C" w:rsidRDefault="00DE7257">
      <w:pPr>
        <w:pStyle w:val="LB1"/>
      </w:pPr>
      <w:r>
        <w:t>Execute Test Plan for Conduct System Configuration/ Customization testing activities:</w:t>
      </w:r>
    </w:p>
    <w:p w14:paraId="78EB53F0" w14:textId="6EBF5D9B" w:rsidR="00DE7257" w:rsidRDefault="00DE7257" w:rsidP="00DE7257">
      <w:pPr>
        <w:pStyle w:val="OB1"/>
      </w:pPr>
      <w:r>
        <w:t xml:space="preserve">The Awarded Vendor must develop relevant test cases and test scripts required to fully validate all phase requirements are validated; </w:t>
      </w:r>
    </w:p>
    <w:p w14:paraId="7700286D" w14:textId="4C13E800" w:rsidR="00DE7257" w:rsidRDefault="00DE7257" w:rsidP="00DE7257">
      <w:pPr>
        <w:pStyle w:val="OB1"/>
      </w:pPr>
      <w:r>
        <w:t>The Awarded Vendor must maintain requirements traceability to validate testing suites achieve required requirements coverage;</w:t>
      </w:r>
    </w:p>
    <w:p w14:paraId="3EE2A7B1" w14:textId="2AB77FB4" w:rsidR="00DE7257" w:rsidRDefault="00DE7257" w:rsidP="00DE7257">
      <w:pPr>
        <w:pStyle w:val="OB1"/>
      </w:pPr>
      <w:r>
        <w:t>The Awarded Vendor must demonstrate completion of all Conduct System Configuration/Customization Test Checklist items based on checklists in the approved Test Plan; and</w:t>
      </w:r>
    </w:p>
    <w:p w14:paraId="41BEE1B4" w14:textId="381F4DC1" w:rsidR="00DE7257" w:rsidRDefault="00DE7257" w:rsidP="00DE7257">
      <w:pPr>
        <w:pStyle w:val="OB1"/>
      </w:pPr>
      <w:r>
        <w:t xml:space="preserve">Demonstrate Conduct System Configuration/Customization </w:t>
      </w:r>
      <w:r w:rsidR="00C60682">
        <w:t xml:space="preserve">that </w:t>
      </w:r>
      <w:r>
        <w:t>test Exit Criteria are satisfied.</w:t>
      </w:r>
    </w:p>
    <w:p w14:paraId="2E461ACB" w14:textId="77777777" w:rsidR="00187C7C" w:rsidRDefault="00187C7C" w:rsidP="00187C7C"/>
    <w:p w14:paraId="0E6AB7C2" w14:textId="653F3E98" w:rsidR="00CF574C" w:rsidRDefault="00272A05" w:rsidP="00CF574C">
      <w:r>
        <w:t xml:space="preserve">The Awarded Vendor will complete the following </w:t>
      </w:r>
      <w:r w:rsidR="00B81B78">
        <w:t>deliverables during this Task</w:t>
      </w:r>
      <w:r w:rsidR="00CF574C">
        <w:t>:</w:t>
      </w:r>
    </w:p>
    <w:tbl>
      <w:tblPr>
        <w:tblStyle w:val="TableGrid"/>
        <w:tblW w:w="10764" w:type="dxa"/>
        <w:tblInd w:w="175" w:type="dxa"/>
        <w:tblLayout w:type="fixed"/>
        <w:tblLook w:val="04A0" w:firstRow="1" w:lastRow="0" w:firstColumn="1" w:lastColumn="0" w:noHBand="0" w:noVBand="1"/>
        <w:tblCaption w:val="Deliverable Schedule table"/>
        <w:tblDescription w:val="Configure/Develop System and Conduct Technical Acceptance Testing Deliverables Schedule table"/>
      </w:tblPr>
      <w:tblGrid>
        <w:gridCol w:w="936"/>
        <w:gridCol w:w="2214"/>
        <w:gridCol w:w="5670"/>
        <w:gridCol w:w="1944"/>
      </w:tblGrid>
      <w:tr w:rsidR="00187C7C" w:rsidRPr="00873442" w14:paraId="147457D8" w14:textId="77777777" w:rsidTr="00115A51">
        <w:trPr>
          <w:cantSplit/>
          <w:tblHeader/>
        </w:trPr>
        <w:tc>
          <w:tcPr>
            <w:tcW w:w="936" w:type="dxa"/>
            <w:shd w:val="clear" w:color="auto" w:fill="DEEAF6" w:themeFill="accent1" w:themeFillTint="33"/>
            <w:vAlign w:val="bottom"/>
          </w:tcPr>
          <w:p w14:paraId="404FFA59" w14:textId="77777777" w:rsidR="00187C7C" w:rsidRPr="004F202B" w:rsidRDefault="00187C7C" w:rsidP="005303D2">
            <w:pPr>
              <w:keepNext/>
              <w:spacing w:after="0"/>
              <w:ind w:left="0"/>
              <w:jc w:val="center"/>
              <w:rPr>
                <w:rFonts w:cs="Arial"/>
                <w:b/>
                <w:color w:val="1F3864" w:themeColor="accent5" w:themeShade="80"/>
              </w:rPr>
            </w:pPr>
            <w:bookmarkStart w:id="101" w:name="_Hlk532484462"/>
            <w:bookmarkEnd w:id="99"/>
            <w:r w:rsidRPr="004F202B">
              <w:rPr>
                <w:rFonts w:cs="Arial"/>
                <w:b/>
                <w:color w:val="1F3864" w:themeColor="accent5" w:themeShade="80"/>
              </w:rPr>
              <w:lastRenderedPageBreak/>
              <w:t>No.</w:t>
            </w:r>
          </w:p>
        </w:tc>
        <w:tc>
          <w:tcPr>
            <w:tcW w:w="2214" w:type="dxa"/>
            <w:shd w:val="clear" w:color="auto" w:fill="DEEAF6" w:themeFill="accent1" w:themeFillTint="33"/>
          </w:tcPr>
          <w:p w14:paraId="5743F6DB" w14:textId="77777777" w:rsidR="00187C7C" w:rsidRPr="001B5E0B" w:rsidRDefault="00187C7C" w:rsidP="005303D2">
            <w:pPr>
              <w:keepNext/>
              <w:spacing w:after="0"/>
              <w:ind w:left="0"/>
              <w:rPr>
                <w:rFonts w:cs="Arial"/>
                <w:b/>
                <w:color w:val="1F3864" w:themeColor="accent5" w:themeShade="80"/>
              </w:rPr>
            </w:pPr>
            <w:r>
              <w:rPr>
                <w:rFonts w:cs="Arial"/>
                <w:b/>
                <w:color w:val="1F3864" w:themeColor="accent5" w:themeShade="80"/>
              </w:rPr>
              <w:t>Deliverable</w:t>
            </w:r>
          </w:p>
        </w:tc>
        <w:tc>
          <w:tcPr>
            <w:tcW w:w="5670" w:type="dxa"/>
            <w:shd w:val="clear" w:color="auto" w:fill="DEEAF6" w:themeFill="accent1" w:themeFillTint="33"/>
          </w:tcPr>
          <w:p w14:paraId="6562172F" w14:textId="77777777" w:rsidR="00187C7C" w:rsidRPr="001B5E0B" w:rsidRDefault="00187C7C" w:rsidP="005303D2">
            <w:pPr>
              <w:keepNext/>
              <w:spacing w:after="0"/>
              <w:ind w:left="0"/>
              <w:rPr>
                <w:rFonts w:cs="Arial"/>
                <w:b/>
                <w:color w:val="1F3864" w:themeColor="accent5" w:themeShade="80"/>
              </w:rPr>
            </w:pPr>
            <w:r>
              <w:rPr>
                <w:rFonts w:cs="Arial"/>
                <w:b/>
                <w:color w:val="1F3864" w:themeColor="accent5" w:themeShade="80"/>
              </w:rPr>
              <w:t>Acceptance Criteria</w:t>
            </w:r>
          </w:p>
        </w:tc>
        <w:tc>
          <w:tcPr>
            <w:tcW w:w="1944" w:type="dxa"/>
            <w:shd w:val="clear" w:color="auto" w:fill="DEEAF6" w:themeFill="accent1" w:themeFillTint="33"/>
            <w:vAlign w:val="bottom"/>
          </w:tcPr>
          <w:p w14:paraId="7F2047ED" w14:textId="77777777" w:rsidR="00187C7C" w:rsidRPr="004F202B" w:rsidRDefault="00187C7C" w:rsidP="005303D2">
            <w:pPr>
              <w:keepNext/>
              <w:spacing w:after="0"/>
              <w:ind w:left="0"/>
              <w:rPr>
                <w:rFonts w:cs="Arial"/>
                <w:b/>
                <w:color w:val="1F3864" w:themeColor="accent5" w:themeShade="80"/>
              </w:rPr>
            </w:pPr>
            <w:r>
              <w:rPr>
                <w:rFonts w:cs="Arial"/>
                <w:b/>
                <w:color w:val="1F3864" w:themeColor="accent5" w:themeShade="80"/>
              </w:rPr>
              <w:t>Due Date</w:t>
            </w:r>
          </w:p>
        </w:tc>
      </w:tr>
      <w:tr w:rsidR="00034D06" w:rsidRPr="00873442" w14:paraId="507740BB" w14:textId="77777777" w:rsidTr="00E84C4E">
        <w:tc>
          <w:tcPr>
            <w:tcW w:w="936" w:type="dxa"/>
          </w:tcPr>
          <w:p w14:paraId="2BE64212" w14:textId="3C9B46E5" w:rsidR="00034D06" w:rsidRDefault="00034D06" w:rsidP="00E84C4E">
            <w:pPr>
              <w:ind w:left="0"/>
              <w:jc w:val="center"/>
            </w:pPr>
            <w:r>
              <w:t>5A</w:t>
            </w:r>
          </w:p>
        </w:tc>
        <w:tc>
          <w:tcPr>
            <w:tcW w:w="2214" w:type="dxa"/>
          </w:tcPr>
          <w:p w14:paraId="3B818554" w14:textId="6B02DDEB" w:rsidR="00034D06" w:rsidRDefault="00034D06" w:rsidP="00E84C4E">
            <w:pPr>
              <w:ind w:left="0"/>
            </w:pPr>
            <w:r>
              <w:t>Software Development Plan</w:t>
            </w:r>
          </w:p>
        </w:tc>
        <w:tc>
          <w:tcPr>
            <w:tcW w:w="5670" w:type="dxa"/>
          </w:tcPr>
          <w:p w14:paraId="782D3595" w14:textId="77777777" w:rsidR="00FF783F" w:rsidRDefault="00034D06" w:rsidP="00D66854">
            <w:pPr>
              <w:ind w:left="0"/>
            </w:pPr>
            <w:r>
              <w:t>At a minimum, the Plan must</w:t>
            </w:r>
            <w:r w:rsidR="00FF783F">
              <w:t>:</w:t>
            </w:r>
          </w:p>
          <w:p w14:paraId="330F2F54" w14:textId="77777777" w:rsidR="00FF783F" w:rsidRDefault="00FF783F" w:rsidP="00E16D2D">
            <w:pPr>
              <w:pStyle w:val="LB1-Table"/>
              <w:rPr>
                <w:rStyle w:val="LB1-TableChar"/>
              </w:rPr>
            </w:pPr>
            <w:r>
              <w:t xml:space="preserve">Be stored </w:t>
            </w:r>
            <w:r w:rsidRPr="00FF783F">
              <w:rPr>
                <w:rStyle w:val="LB1-TableChar"/>
              </w:rPr>
              <w:t>in the TWC SharePoint site; and</w:t>
            </w:r>
            <w:r w:rsidR="00034D06" w:rsidRPr="00FF783F">
              <w:rPr>
                <w:rStyle w:val="LB1-TableChar"/>
              </w:rPr>
              <w:t xml:space="preserve"> </w:t>
            </w:r>
          </w:p>
          <w:p w14:paraId="72E4CAB8" w14:textId="6CF5F6EF" w:rsidR="00034D06" w:rsidRDefault="00FF783F" w:rsidP="00F82166">
            <w:pPr>
              <w:pStyle w:val="LB1-Table"/>
            </w:pPr>
            <w:r w:rsidRPr="00FF783F">
              <w:rPr>
                <w:rStyle w:val="LB1-TableChar"/>
              </w:rPr>
              <w:t>I</w:t>
            </w:r>
            <w:r w:rsidR="00D66854" w:rsidRPr="00FF783F">
              <w:rPr>
                <w:rStyle w:val="LB1-TableChar"/>
              </w:rPr>
              <w:t>nclude software configuration and development methodology</w:t>
            </w:r>
            <w:r w:rsidR="00D66854">
              <w:t xml:space="preserve"> and processes.</w:t>
            </w:r>
          </w:p>
        </w:tc>
        <w:tc>
          <w:tcPr>
            <w:tcW w:w="1944" w:type="dxa"/>
          </w:tcPr>
          <w:p w14:paraId="4E41E190" w14:textId="28BC3A39" w:rsidR="00034D06" w:rsidRPr="00F57DB3" w:rsidRDefault="004564AC" w:rsidP="00E84C4E">
            <w:pPr>
              <w:ind w:left="0"/>
            </w:pPr>
            <w:r w:rsidRPr="00F57DB3">
              <w:t>TBD in accordance with the IMS</w:t>
            </w:r>
          </w:p>
        </w:tc>
      </w:tr>
      <w:tr w:rsidR="00E84C4E" w:rsidRPr="00873442" w14:paraId="061DE4C7" w14:textId="77777777" w:rsidTr="00E84C4E">
        <w:tc>
          <w:tcPr>
            <w:tcW w:w="936" w:type="dxa"/>
          </w:tcPr>
          <w:p w14:paraId="3E7B553E" w14:textId="26059006" w:rsidR="00E84C4E" w:rsidRDefault="00E84C4E" w:rsidP="00E84C4E">
            <w:pPr>
              <w:ind w:left="0"/>
              <w:jc w:val="center"/>
            </w:pPr>
            <w:r>
              <w:t>5</w:t>
            </w:r>
            <w:r w:rsidR="008948B3">
              <w:t>B</w:t>
            </w:r>
          </w:p>
        </w:tc>
        <w:tc>
          <w:tcPr>
            <w:tcW w:w="2214" w:type="dxa"/>
          </w:tcPr>
          <w:p w14:paraId="1C820F41" w14:textId="77777777" w:rsidR="00E84C4E" w:rsidRDefault="00E84C4E" w:rsidP="00E84C4E">
            <w:pPr>
              <w:ind w:left="0"/>
            </w:pPr>
            <w:r>
              <w:t>Configuration Management Plan</w:t>
            </w:r>
          </w:p>
        </w:tc>
        <w:tc>
          <w:tcPr>
            <w:tcW w:w="5670" w:type="dxa"/>
          </w:tcPr>
          <w:p w14:paraId="44900163" w14:textId="77777777" w:rsidR="00E84C4E" w:rsidRDefault="00E84C4E" w:rsidP="00E84C4E">
            <w:pPr>
              <w:ind w:left="0"/>
            </w:pPr>
            <w:r>
              <w:t>At a minimum, the Plan must ensure:</w:t>
            </w:r>
          </w:p>
          <w:p w14:paraId="63920576" w14:textId="77777777" w:rsidR="00E84C4E" w:rsidRDefault="00E84C4E" w:rsidP="00E16D2D">
            <w:pPr>
              <w:pStyle w:val="LB1-Table"/>
            </w:pPr>
            <w:r>
              <w:t>A</w:t>
            </w:r>
            <w:r w:rsidRPr="007A5102">
              <w:t>ll</w:t>
            </w:r>
            <w:r>
              <w:t xml:space="preserve"> critical development documents;</w:t>
            </w:r>
            <w:r w:rsidRPr="007A5102">
              <w:t xml:space="preserve"> including but not limited to requirements, design, </w:t>
            </w:r>
            <w:r>
              <w:t xml:space="preserve">and </w:t>
            </w:r>
            <w:r w:rsidRPr="007A5102">
              <w:t>code</w:t>
            </w:r>
            <w:r>
              <w:t>;</w:t>
            </w:r>
            <w:r w:rsidRPr="007A5102">
              <w:t xml:space="preserve"> are maintained under a</w:t>
            </w:r>
            <w:r>
              <w:t>n appropriate level of control;</w:t>
            </w:r>
          </w:p>
          <w:p w14:paraId="73E8592E" w14:textId="77777777" w:rsidR="00E84C4E" w:rsidRDefault="00E84C4E" w:rsidP="00F82166">
            <w:pPr>
              <w:pStyle w:val="LB1-Table"/>
            </w:pPr>
            <w:r>
              <w:t>P</w:t>
            </w:r>
            <w:r w:rsidRPr="007A5102">
              <w:t>rocesses and tools are in place to identify code versions and to rebuild system c</w:t>
            </w:r>
            <w:r>
              <w:t>onfigurations from source code;</w:t>
            </w:r>
          </w:p>
          <w:p w14:paraId="33B22755" w14:textId="77777777" w:rsidR="00E84C4E" w:rsidRDefault="00E84C4E" w:rsidP="00F82166">
            <w:pPr>
              <w:pStyle w:val="LB1-Table"/>
            </w:pPr>
            <w:r>
              <w:t>P</w:t>
            </w:r>
            <w:r w:rsidRPr="007A5102">
              <w:t>rocesses and tools are in place to manage system changes, including formal logging of change requests and the review, prioritization and timely sche</w:t>
            </w:r>
            <w:r>
              <w:t>duling of maintenance actions; and</w:t>
            </w:r>
          </w:p>
          <w:p w14:paraId="549BB7D4" w14:textId="77777777" w:rsidR="00E84C4E" w:rsidRDefault="00E84C4E">
            <w:pPr>
              <w:pStyle w:val="LB1-Table"/>
            </w:pPr>
            <w:r>
              <w:t>M</w:t>
            </w:r>
            <w:r w:rsidRPr="007A5102">
              <w:t>echanisms are in place to prevent unauthorized changes being made to the system and to prevent authorized changes from being made to the wrong version</w:t>
            </w:r>
            <w:r>
              <w:t>.</w:t>
            </w:r>
          </w:p>
        </w:tc>
        <w:tc>
          <w:tcPr>
            <w:tcW w:w="1944" w:type="dxa"/>
          </w:tcPr>
          <w:p w14:paraId="74E81295" w14:textId="77777777" w:rsidR="00E84C4E" w:rsidRPr="00F57DB3" w:rsidRDefault="00E84C4E" w:rsidP="00E84C4E">
            <w:pPr>
              <w:ind w:left="0"/>
            </w:pPr>
            <w:r w:rsidRPr="00F57DB3">
              <w:t>TBD in accordance with the IMS</w:t>
            </w:r>
          </w:p>
        </w:tc>
      </w:tr>
      <w:tr w:rsidR="00445CBA" w:rsidRPr="00873442" w14:paraId="6B7EFAFE" w14:textId="77777777" w:rsidTr="00115A51">
        <w:tc>
          <w:tcPr>
            <w:tcW w:w="936" w:type="dxa"/>
          </w:tcPr>
          <w:p w14:paraId="71166E89" w14:textId="79175208" w:rsidR="00445CBA" w:rsidRDefault="00445CBA" w:rsidP="00445CBA">
            <w:pPr>
              <w:ind w:left="0"/>
              <w:jc w:val="center"/>
            </w:pPr>
            <w:r>
              <w:t>5</w:t>
            </w:r>
            <w:r w:rsidR="008948B3">
              <w:t>C</w:t>
            </w:r>
          </w:p>
        </w:tc>
        <w:tc>
          <w:tcPr>
            <w:tcW w:w="2214" w:type="dxa"/>
          </w:tcPr>
          <w:p w14:paraId="049B60FB" w14:textId="248C70E4" w:rsidR="00445CBA" w:rsidRDefault="00445CBA" w:rsidP="00445CBA">
            <w:pPr>
              <w:ind w:left="0"/>
            </w:pPr>
            <w:r>
              <w:t>Configured Tax System</w:t>
            </w:r>
          </w:p>
        </w:tc>
        <w:tc>
          <w:tcPr>
            <w:tcW w:w="5670" w:type="dxa"/>
          </w:tcPr>
          <w:p w14:paraId="57E41D2D" w14:textId="4852BA36" w:rsidR="00445CBA" w:rsidRDefault="00445CBA" w:rsidP="00445CBA">
            <w:pPr>
              <w:ind w:left="0"/>
            </w:pPr>
            <w:r>
              <w:t xml:space="preserve">The Tax functionality meets requirements identified in </w:t>
            </w:r>
            <w:hyperlink w:anchor="_2.2.2_Required_DeliverableTask" w:history="1">
              <w:r w:rsidR="009B7E37">
                <w:rPr>
                  <w:rStyle w:val="Hyperlink"/>
                </w:rPr>
                <w:t>Task 2</w:t>
              </w:r>
            </w:hyperlink>
            <w:r>
              <w:t>.</w:t>
            </w:r>
          </w:p>
        </w:tc>
        <w:tc>
          <w:tcPr>
            <w:tcW w:w="1944" w:type="dxa"/>
          </w:tcPr>
          <w:p w14:paraId="654036B0" w14:textId="6445D2A1" w:rsidR="00445CBA" w:rsidRPr="00F57DB3" w:rsidRDefault="00445CBA" w:rsidP="00445CBA">
            <w:pPr>
              <w:ind w:left="0"/>
            </w:pPr>
            <w:r w:rsidRPr="00F57DB3">
              <w:t>TBD in accordance with the IMS</w:t>
            </w:r>
          </w:p>
        </w:tc>
      </w:tr>
      <w:tr w:rsidR="00445CBA" w:rsidRPr="00873442" w14:paraId="08B0AAA2" w14:textId="77777777" w:rsidTr="00115A51">
        <w:tc>
          <w:tcPr>
            <w:tcW w:w="936" w:type="dxa"/>
          </w:tcPr>
          <w:p w14:paraId="4EB871E0" w14:textId="6279E0AB" w:rsidR="00445CBA" w:rsidRDefault="00445CBA" w:rsidP="00445CBA">
            <w:pPr>
              <w:ind w:left="0"/>
              <w:jc w:val="center"/>
            </w:pPr>
            <w:r>
              <w:t>5</w:t>
            </w:r>
            <w:r w:rsidR="008948B3">
              <w:t>D</w:t>
            </w:r>
          </w:p>
        </w:tc>
        <w:tc>
          <w:tcPr>
            <w:tcW w:w="2214" w:type="dxa"/>
          </w:tcPr>
          <w:p w14:paraId="14F5718C" w14:textId="1B51553A" w:rsidR="00445CBA" w:rsidRDefault="00445CBA" w:rsidP="00445CBA">
            <w:pPr>
              <w:ind w:left="0"/>
            </w:pPr>
            <w:r>
              <w:t>Configured Benefits System</w:t>
            </w:r>
          </w:p>
        </w:tc>
        <w:tc>
          <w:tcPr>
            <w:tcW w:w="5670" w:type="dxa"/>
          </w:tcPr>
          <w:p w14:paraId="2711D32A" w14:textId="4642359D" w:rsidR="00445CBA" w:rsidRDefault="00445CBA" w:rsidP="00445CBA">
            <w:pPr>
              <w:ind w:left="0"/>
            </w:pPr>
            <w:r>
              <w:t xml:space="preserve">The Benefits functionality meets requirements identified in </w:t>
            </w:r>
            <w:hyperlink w:anchor="_2.2.2_Required_DeliverableTask" w:history="1">
              <w:r w:rsidR="009B7E37">
                <w:rPr>
                  <w:rStyle w:val="Hyperlink"/>
                </w:rPr>
                <w:t>Task 2</w:t>
              </w:r>
            </w:hyperlink>
            <w:r>
              <w:t>.</w:t>
            </w:r>
          </w:p>
        </w:tc>
        <w:tc>
          <w:tcPr>
            <w:tcW w:w="1944" w:type="dxa"/>
          </w:tcPr>
          <w:p w14:paraId="71DEBAC9" w14:textId="15B17CF1" w:rsidR="00445CBA" w:rsidRPr="00F57DB3" w:rsidRDefault="00445CBA" w:rsidP="00445CBA">
            <w:pPr>
              <w:ind w:left="0"/>
            </w:pPr>
            <w:r w:rsidRPr="00F57DB3">
              <w:t>TBD in accordance with the IMS</w:t>
            </w:r>
          </w:p>
        </w:tc>
      </w:tr>
      <w:tr w:rsidR="00445CBA" w:rsidRPr="00873442" w14:paraId="01201DE0" w14:textId="77777777" w:rsidTr="00115A51">
        <w:tc>
          <w:tcPr>
            <w:tcW w:w="936" w:type="dxa"/>
          </w:tcPr>
          <w:p w14:paraId="09493DC5" w14:textId="12B5C508" w:rsidR="00445CBA" w:rsidRDefault="008948B3" w:rsidP="00445CBA">
            <w:pPr>
              <w:ind w:left="0"/>
              <w:jc w:val="center"/>
            </w:pPr>
            <w:r>
              <w:t>5E</w:t>
            </w:r>
          </w:p>
        </w:tc>
        <w:tc>
          <w:tcPr>
            <w:tcW w:w="2214" w:type="dxa"/>
          </w:tcPr>
          <w:p w14:paraId="59D35215" w14:textId="54BA0719" w:rsidR="00445CBA" w:rsidRDefault="00445CBA" w:rsidP="00445CBA">
            <w:pPr>
              <w:ind w:left="0"/>
            </w:pPr>
            <w:r>
              <w:t>Configured Appeals System</w:t>
            </w:r>
          </w:p>
        </w:tc>
        <w:tc>
          <w:tcPr>
            <w:tcW w:w="5670" w:type="dxa"/>
          </w:tcPr>
          <w:p w14:paraId="1B00E436" w14:textId="1F88FD43" w:rsidR="00445CBA" w:rsidRDefault="00445CBA" w:rsidP="00445CBA">
            <w:pPr>
              <w:ind w:left="0"/>
            </w:pPr>
            <w:r>
              <w:t xml:space="preserve">The Appeals functionality meets requirements identified in </w:t>
            </w:r>
            <w:hyperlink w:anchor="_2.2.2_Required_DeliverableTask" w:history="1">
              <w:r w:rsidR="009B7E37">
                <w:rPr>
                  <w:rStyle w:val="Hyperlink"/>
                </w:rPr>
                <w:t>Task 2</w:t>
              </w:r>
            </w:hyperlink>
            <w:r>
              <w:t>.</w:t>
            </w:r>
          </w:p>
        </w:tc>
        <w:tc>
          <w:tcPr>
            <w:tcW w:w="1944" w:type="dxa"/>
          </w:tcPr>
          <w:p w14:paraId="0C3FA816" w14:textId="0244386A" w:rsidR="00445CBA" w:rsidRPr="00F57DB3" w:rsidRDefault="00445CBA" w:rsidP="00445CBA">
            <w:pPr>
              <w:ind w:left="0"/>
            </w:pPr>
            <w:r w:rsidRPr="00F57DB3">
              <w:t>TBD in accordance with the IMS</w:t>
            </w:r>
          </w:p>
        </w:tc>
      </w:tr>
      <w:tr w:rsidR="00445CBA" w:rsidRPr="00873442" w14:paraId="21EBCA31" w14:textId="77777777" w:rsidTr="00115A51">
        <w:tc>
          <w:tcPr>
            <w:tcW w:w="936" w:type="dxa"/>
          </w:tcPr>
          <w:p w14:paraId="46DF2870" w14:textId="4A35EFCD" w:rsidR="00445CBA" w:rsidRDefault="008948B3" w:rsidP="00445CBA">
            <w:pPr>
              <w:ind w:left="0"/>
              <w:jc w:val="center"/>
            </w:pPr>
            <w:r>
              <w:t>5F</w:t>
            </w:r>
          </w:p>
        </w:tc>
        <w:tc>
          <w:tcPr>
            <w:tcW w:w="2214" w:type="dxa"/>
          </w:tcPr>
          <w:p w14:paraId="7A1F3D08" w14:textId="5686907F" w:rsidR="00445CBA" w:rsidRDefault="00445CBA" w:rsidP="00445CBA">
            <w:pPr>
              <w:ind w:left="0"/>
            </w:pPr>
            <w:r>
              <w:t>Configured RID System</w:t>
            </w:r>
          </w:p>
        </w:tc>
        <w:tc>
          <w:tcPr>
            <w:tcW w:w="5670" w:type="dxa"/>
          </w:tcPr>
          <w:p w14:paraId="1B754EC6" w14:textId="54F9A8BE" w:rsidR="00445CBA" w:rsidRDefault="00445CBA" w:rsidP="00445CBA">
            <w:pPr>
              <w:ind w:left="0"/>
            </w:pPr>
            <w:r>
              <w:t xml:space="preserve">The RID functionality meets requirements identified in </w:t>
            </w:r>
            <w:hyperlink w:anchor="_2.2.2_Required_DeliverableTask" w:history="1">
              <w:r w:rsidR="009B7E37">
                <w:rPr>
                  <w:rStyle w:val="Hyperlink"/>
                </w:rPr>
                <w:t>Task 2</w:t>
              </w:r>
            </w:hyperlink>
            <w:r>
              <w:t>.</w:t>
            </w:r>
          </w:p>
        </w:tc>
        <w:tc>
          <w:tcPr>
            <w:tcW w:w="1944" w:type="dxa"/>
          </w:tcPr>
          <w:p w14:paraId="7E5BC6EF" w14:textId="4780FF3B" w:rsidR="00445CBA" w:rsidRPr="00F57DB3" w:rsidRDefault="00445CBA" w:rsidP="00445CBA">
            <w:pPr>
              <w:ind w:left="0"/>
            </w:pPr>
            <w:r w:rsidRPr="00F57DB3">
              <w:t>TBD in accordance with the IMS</w:t>
            </w:r>
          </w:p>
        </w:tc>
      </w:tr>
      <w:tr w:rsidR="00445CBA" w:rsidRPr="00873442" w14:paraId="1537FCCA" w14:textId="77777777" w:rsidTr="00115A51">
        <w:tc>
          <w:tcPr>
            <w:tcW w:w="936" w:type="dxa"/>
          </w:tcPr>
          <w:p w14:paraId="09B7C2A9" w14:textId="770DB3BA" w:rsidR="00445CBA" w:rsidRDefault="008948B3" w:rsidP="00445CBA">
            <w:pPr>
              <w:ind w:left="0"/>
              <w:jc w:val="center"/>
            </w:pPr>
            <w:r>
              <w:t>5G</w:t>
            </w:r>
          </w:p>
        </w:tc>
        <w:tc>
          <w:tcPr>
            <w:tcW w:w="2214" w:type="dxa"/>
          </w:tcPr>
          <w:p w14:paraId="69B376D4" w14:textId="077C17E7" w:rsidR="00445CBA" w:rsidRDefault="00445CBA" w:rsidP="00445CBA">
            <w:pPr>
              <w:ind w:left="0"/>
            </w:pPr>
            <w:r>
              <w:t>Configured RTM System</w:t>
            </w:r>
          </w:p>
        </w:tc>
        <w:tc>
          <w:tcPr>
            <w:tcW w:w="5670" w:type="dxa"/>
          </w:tcPr>
          <w:p w14:paraId="24E28E04" w14:textId="25F64911" w:rsidR="00445CBA" w:rsidRDefault="00445CBA" w:rsidP="00445CBA">
            <w:pPr>
              <w:ind w:left="0"/>
            </w:pPr>
            <w:r>
              <w:t xml:space="preserve">The RTM functionality meets requirements identified in </w:t>
            </w:r>
            <w:hyperlink w:anchor="_2.2.2_Required_DeliverableTask" w:history="1">
              <w:r w:rsidR="009B7E37">
                <w:rPr>
                  <w:rStyle w:val="Hyperlink"/>
                </w:rPr>
                <w:t>Task 2</w:t>
              </w:r>
            </w:hyperlink>
            <w:r>
              <w:t>.</w:t>
            </w:r>
          </w:p>
        </w:tc>
        <w:tc>
          <w:tcPr>
            <w:tcW w:w="1944" w:type="dxa"/>
          </w:tcPr>
          <w:p w14:paraId="226EF19E" w14:textId="3E0AF41F" w:rsidR="00445CBA" w:rsidRPr="00F57DB3" w:rsidRDefault="00445CBA" w:rsidP="00445CBA">
            <w:pPr>
              <w:ind w:left="0"/>
            </w:pPr>
            <w:r w:rsidRPr="00F57DB3">
              <w:t>TBD in accordance with the IMS</w:t>
            </w:r>
          </w:p>
        </w:tc>
      </w:tr>
      <w:tr w:rsidR="00445CBA" w:rsidRPr="00873442" w14:paraId="519324CB" w14:textId="77777777" w:rsidTr="00115A51">
        <w:tc>
          <w:tcPr>
            <w:tcW w:w="936" w:type="dxa"/>
          </w:tcPr>
          <w:p w14:paraId="4E5ABFFA" w14:textId="4B7DBEF8" w:rsidR="00445CBA" w:rsidRDefault="008948B3" w:rsidP="00445CBA">
            <w:pPr>
              <w:ind w:left="0"/>
              <w:jc w:val="center"/>
            </w:pPr>
            <w:r>
              <w:lastRenderedPageBreak/>
              <w:t>5H</w:t>
            </w:r>
          </w:p>
        </w:tc>
        <w:tc>
          <w:tcPr>
            <w:tcW w:w="2214" w:type="dxa"/>
          </w:tcPr>
          <w:p w14:paraId="0A83B0BE" w14:textId="40B98D25" w:rsidR="00445CBA" w:rsidRDefault="00DE7257" w:rsidP="00445CBA">
            <w:pPr>
              <w:ind w:left="0"/>
            </w:pPr>
            <w:r>
              <w:t xml:space="preserve">Updated </w:t>
            </w:r>
            <w:r w:rsidR="00445CBA">
              <w:t>Test Plan</w:t>
            </w:r>
          </w:p>
        </w:tc>
        <w:tc>
          <w:tcPr>
            <w:tcW w:w="5670" w:type="dxa"/>
          </w:tcPr>
          <w:p w14:paraId="7920111B" w14:textId="70DC0303" w:rsidR="00445CBA" w:rsidRDefault="00445CBA" w:rsidP="00445CBA">
            <w:pPr>
              <w:ind w:left="0"/>
            </w:pPr>
            <w:r>
              <w:t xml:space="preserve">At a minimum, the </w:t>
            </w:r>
            <w:r w:rsidR="00DE7257">
              <w:t xml:space="preserve">updated </w:t>
            </w:r>
            <w:r>
              <w:t>Plan must:</w:t>
            </w:r>
          </w:p>
          <w:p w14:paraId="5E3D3FD4" w14:textId="3533F33C" w:rsidR="00445CBA" w:rsidRDefault="00445CBA" w:rsidP="00E16D2D">
            <w:pPr>
              <w:pStyle w:val="LB1-Table"/>
            </w:pPr>
            <w:r>
              <w:t>Be stored in the TWC SharePoint site;</w:t>
            </w:r>
          </w:p>
          <w:p w14:paraId="1D748127" w14:textId="77777777" w:rsidR="00445CBA" w:rsidRDefault="00445CBA" w:rsidP="00F82166">
            <w:pPr>
              <w:pStyle w:val="LB1-Table"/>
            </w:pPr>
            <w:r>
              <w:t>Include:</w:t>
            </w:r>
          </w:p>
          <w:p w14:paraId="71A446E2" w14:textId="24C65DAB" w:rsidR="00445CBA" w:rsidRDefault="00DE7257" w:rsidP="00F82166">
            <w:pPr>
              <w:pStyle w:val="OB1-Table"/>
            </w:pPr>
            <w:r>
              <w:t>Any Test Plan updates to plans for the current or subsequent test process that have been agreed to by the TWC IT Project Manager and the Awarded Vendor Project Manager</w:t>
            </w:r>
            <w:r w:rsidR="00445CBA">
              <w:t>;</w:t>
            </w:r>
          </w:p>
          <w:p w14:paraId="279313AC" w14:textId="762B22D7" w:rsidR="00445CBA" w:rsidRDefault="00DE7257">
            <w:pPr>
              <w:pStyle w:val="OB1-Table"/>
            </w:pPr>
            <w:r>
              <w:t>Unit Tests results, including the volume of unique scripts and pass rate</w:t>
            </w:r>
            <w:r w:rsidR="00445CBA">
              <w:t>;</w:t>
            </w:r>
          </w:p>
          <w:p w14:paraId="62DAA73A" w14:textId="0A64EA2F" w:rsidR="00445CBA" w:rsidRDefault="00DE7257">
            <w:pPr>
              <w:pStyle w:val="OB1-Table"/>
            </w:pPr>
            <w:r>
              <w:t>Systems Integration Test results (SIT), including the volume of unique scripts and pass rate</w:t>
            </w:r>
            <w:r w:rsidR="00445CBA">
              <w:t>;</w:t>
            </w:r>
          </w:p>
          <w:p w14:paraId="24823FAD" w14:textId="411A8C67" w:rsidR="00DE7257" w:rsidRDefault="00DE7257">
            <w:pPr>
              <w:pStyle w:val="OB1-Table"/>
            </w:pPr>
            <w:r>
              <w:t>Accessibility Test results, including the volume of unique scripts and pass rate;</w:t>
            </w:r>
          </w:p>
          <w:p w14:paraId="32892DCD" w14:textId="6AAD2538" w:rsidR="00DE7257" w:rsidRDefault="00DE7257">
            <w:pPr>
              <w:pStyle w:val="OB1-Table"/>
            </w:pPr>
            <w:r>
              <w:t xml:space="preserve">Updated </w:t>
            </w:r>
            <w:r w:rsidR="00ED2EEB">
              <w:t>requirements traceability matrix</w:t>
            </w:r>
            <w:r>
              <w:t xml:space="preserve"> tracing all test cases to the relevant TWC requirement that is validated;</w:t>
            </w:r>
          </w:p>
          <w:p w14:paraId="0DE5A541" w14:textId="58B51BF2" w:rsidR="00DE7257" w:rsidRDefault="00DE7257">
            <w:pPr>
              <w:pStyle w:val="OB1-Table"/>
            </w:pPr>
            <w:r>
              <w:t>Substantiation that Conduct System Configuration/ Customization phase testing Exit Criteria are achieved;</w:t>
            </w:r>
          </w:p>
          <w:p w14:paraId="36FDE988" w14:textId="3CFF6DAC" w:rsidR="00DE7257" w:rsidRDefault="00DE7257">
            <w:pPr>
              <w:pStyle w:val="OB1-Table"/>
            </w:pPr>
            <w:r>
              <w:t xml:space="preserve">A detailed definition outstanding issues, </w:t>
            </w:r>
            <w:r w:rsidR="00DF1261">
              <w:t>if</w:t>
            </w:r>
            <w:r>
              <w:t xml:space="preserve"> deviations from approved SIT Exit Criteria are approved by the TWC IT Project Manager</w:t>
            </w:r>
            <w:r w:rsidR="00DF1261">
              <w:t>;</w:t>
            </w:r>
          </w:p>
          <w:p w14:paraId="45942A7B" w14:textId="20D6EEB5" w:rsidR="00D756AF" w:rsidRDefault="00D756AF">
            <w:pPr>
              <w:pStyle w:val="OB1-Table"/>
            </w:pPr>
            <w:r>
              <w:t>List of all tools required;</w:t>
            </w:r>
          </w:p>
          <w:p w14:paraId="67161CEB" w14:textId="2152B04F" w:rsidR="00445CBA" w:rsidRDefault="00445CBA">
            <w:pPr>
              <w:pStyle w:val="OB1-Table"/>
            </w:pPr>
            <w:r>
              <w:t>S</w:t>
            </w:r>
            <w:r w:rsidRPr="00966558">
              <w:t xml:space="preserve">etting up reusable test data </w:t>
            </w:r>
            <w:r w:rsidR="003A0B4C">
              <w:t>with a</w:t>
            </w:r>
            <w:r>
              <w:t xml:space="preserve"> </w:t>
            </w:r>
            <w:r w:rsidR="003A0B4C">
              <w:t xml:space="preserve">strong </w:t>
            </w:r>
            <w:r>
              <w:t xml:space="preserve">preference to test on TWC </w:t>
            </w:r>
            <w:r w:rsidR="00F77202">
              <w:t xml:space="preserve">migrated </w:t>
            </w:r>
            <w:r>
              <w:t>data as early as possible;</w:t>
            </w:r>
            <w:r w:rsidR="003A0B4C">
              <w:t xml:space="preserve"> </w:t>
            </w:r>
          </w:p>
          <w:p w14:paraId="2B864764" w14:textId="220F9976" w:rsidR="00445CBA" w:rsidRDefault="00445CBA">
            <w:pPr>
              <w:pStyle w:val="OB1-Table"/>
            </w:pPr>
            <w:r>
              <w:t xml:space="preserve">End-to-end tests to assess total, holistic system performance including network transmissions; </w:t>
            </w:r>
          </w:p>
          <w:p w14:paraId="7593EAA1" w14:textId="4B7F0834" w:rsidR="00445CBA" w:rsidRDefault="00445CBA">
            <w:pPr>
              <w:pStyle w:val="OB1-Table"/>
            </w:pPr>
            <w:r>
              <w:t xml:space="preserve">TWC Test Staff FTE requirements; </w:t>
            </w:r>
          </w:p>
          <w:p w14:paraId="3C7EF5D8" w14:textId="636A7F8A" w:rsidR="00445CBA" w:rsidRDefault="00445CBA">
            <w:pPr>
              <w:pStyle w:val="OB1-Table"/>
            </w:pPr>
            <w:r>
              <w:t xml:space="preserve">Schedules/durations for each test type; </w:t>
            </w:r>
          </w:p>
          <w:p w14:paraId="420335CF" w14:textId="647F4DF0" w:rsidR="00445CBA" w:rsidRDefault="00445CBA">
            <w:pPr>
              <w:pStyle w:val="OB1-Table"/>
            </w:pPr>
            <w:r>
              <w:t>The Technical Acceptance Testing Checklist; and</w:t>
            </w:r>
          </w:p>
          <w:p w14:paraId="10C6E8C3" w14:textId="02DDEF92" w:rsidR="00445CBA" w:rsidRDefault="00445CBA">
            <w:pPr>
              <w:pStyle w:val="OB1-Table"/>
            </w:pPr>
            <w:r>
              <w:t>The procedure for tracking and correcting defects.</w:t>
            </w:r>
          </w:p>
        </w:tc>
        <w:tc>
          <w:tcPr>
            <w:tcW w:w="1944" w:type="dxa"/>
          </w:tcPr>
          <w:p w14:paraId="39DC4014" w14:textId="77777777" w:rsidR="00445CBA" w:rsidRDefault="00445CBA" w:rsidP="00445CBA">
            <w:pPr>
              <w:ind w:left="0"/>
            </w:pPr>
            <w:r w:rsidRPr="00F57DB3">
              <w:t>TBD in accordance with the IMS</w:t>
            </w:r>
          </w:p>
        </w:tc>
      </w:tr>
      <w:tr w:rsidR="00445CBA" w:rsidRPr="00873442" w14:paraId="0D79A2EB" w14:textId="77777777" w:rsidTr="00115A51">
        <w:tc>
          <w:tcPr>
            <w:tcW w:w="936" w:type="dxa"/>
          </w:tcPr>
          <w:p w14:paraId="14F75E4F" w14:textId="2EB9E4A0" w:rsidR="00445CBA" w:rsidRDefault="00445CBA" w:rsidP="00445CBA">
            <w:pPr>
              <w:ind w:left="0"/>
              <w:jc w:val="center"/>
            </w:pPr>
            <w:r>
              <w:lastRenderedPageBreak/>
              <w:t>5</w:t>
            </w:r>
            <w:r w:rsidR="008948B3">
              <w:t>I</w:t>
            </w:r>
          </w:p>
        </w:tc>
        <w:tc>
          <w:tcPr>
            <w:tcW w:w="2214" w:type="dxa"/>
          </w:tcPr>
          <w:p w14:paraId="70E9B904" w14:textId="77777777" w:rsidR="00445CBA" w:rsidRDefault="00445CBA" w:rsidP="00445CBA">
            <w:pPr>
              <w:ind w:left="0"/>
            </w:pPr>
            <w:r>
              <w:t>Completed Technical Acceptance T</w:t>
            </w:r>
            <w:r w:rsidRPr="00090536">
              <w:t>est</w:t>
            </w:r>
            <w:r w:rsidRPr="002908A9">
              <w:t>ing</w:t>
            </w:r>
            <w:r>
              <w:t xml:space="preserve"> Checklist</w:t>
            </w:r>
          </w:p>
        </w:tc>
        <w:tc>
          <w:tcPr>
            <w:tcW w:w="5670" w:type="dxa"/>
          </w:tcPr>
          <w:p w14:paraId="516BB0C2" w14:textId="58DED8B2" w:rsidR="00445CBA" w:rsidRDefault="00445CBA" w:rsidP="00445CBA">
            <w:pPr>
              <w:ind w:left="0"/>
            </w:pPr>
            <w:r>
              <w:t>At a minimum, the Checklist must:</w:t>
            </w:r>
          </w:p>
          <w:p w14:paraId="2B68E84E" w14:textId="01AD9FDD" w:rsidR="00445CBA" w:rsidRDefault="00445CBA" w:rsidP="00E16D2D">
            <w:pPr>
              <w:pStyle w:val="LB1-Table"/>
            </w:pPr>
            <w:r>
              <w:t>Document s</w:t>
            </w:r>
            <w:r w:rsidRPr="00966558">
              <w:t xml:space="preserve">uccessful </w:t>
            </w:r>
            <w:r>
              <w:t>completion of all activities necessary to implement the software core system capabilities, simple and complex configurations, and custom developed software necessary to create a UI solution that meets TWC’s requirements;</w:t>
            </w:r>
          </w:p>
          <w:p w14:paraId="374283FA" w14:textId="05B653AF" w:rsidR="00445CBA" w:rsidRDefault="00445CBA" w:rsidP="00F82166">
            <w:pPr>
              <w:pStyle w:val="LB1-Table"/>
            </w:pPr>
            <w:r>
              <w:t xml:space="preserve">Report </w:t>
            </w:r>
            <w:r w:rsidRPr="00966558">
              <w:t>results</w:t>
            </w:r>
            <w:r>
              <w:t xml:space="preserve"> from all technical testing and </w:t>
            </w:r>
            <w:r w:rsidRPr="00966558">
              <w:t>prototype(s)</w:t>
            </w:r>
            <w:r>
              <w:t xml:space="preserve"> that are a prerequisite to UAT; and</w:t>
            </w:r>
          </w:p>
          <w:p w14:paraId="0DCDF1B4" w14:textId="02D7C688" w:rsidR="00445CBA" w:rsidRDefault="00445CBA" w:rsidP="00F82166">
            <w:pPr>
              <w:pStyle w:val="LB1-Table"/>
            </w:pPr>
            <w:r>
              <w:t>Demonstrate s</w:t>
            </w:r>
            <w:r w:rsidRPr="00966558">
              <w:t>uccessful complet</w:t>
            </w:r>
            <w:r>
              <w:t>ion</w:t>
            </w:r>
            <w:r w:rsidRPr="00966558">
              <w:t xml:space="preserve"> of all </w:t>
            </w:r>
            <w:r>
              <w:t xml:space="preserve">Technical </w:t>
            </w:r>
            <w:r w:rsidRPr="00090536">
              <w:t xml:space="preserve">Acceptance </w:t>
            </w:r>
            <w:r w:rsidRPr="00966558">
              <w:t xml:space="preserve">activities and </w:t>
            </w:r>
            <w:r>
              <w:t>Technical Acceptance T</w:t>
            </w:r>
            <w:r w:rsidRPr="00090536">
              <w:t>est</w:t>
            </w:r>
            <w:r w:rsidRPr="002908A9">
              <w:t>ing</w:t>
            </w:r>
            <w:r>
              <w:t xml:space="preserve"> Checklist</w:t>
            </w:r>
            <w:r w:rsidRPr="00966558">
              <w:t xml:space="preserve"> items</w:t>
            </w:r>
            <w:r>
              <w:t>.</w:t>
            </w:r>
          </w:p>
        </w:tc>
        <w:tc>
          <w:tcPr>
            <w:tcW w:w="1944" w:type="dxa"/>
          </w:tcPr>
          <w:p w14:paraId="30BE3EBD" w14:textId="77777777" w:rsidR="00445CBA" w:rsidRPr="00F57DB3" w:rsidRDefault="00445CBA" w:rsidP="00445CBA">
            <w:pPr>
              <w:ind w:left="0"/>
            </w:pPr>
            <w:r w:rsidRPr="00F57DB3">
              <w:t>TBD in accordance with the IMS</w:t>
            </w:r>
          </w:p>
        </w:tc>
      </w:tr>
      <w:bookmarkEnd w:id="101"/>
    </w:tbl>
    <w:p w14:paraId="0E6BC513" w14:textId="08BA49ED" w:rsidR="00187C7C" w:rsidRDefault="00187C7C" w:rsidP="00187C7C"/>
    <w:p w14:paraId="6DB2B6A7" w14:textId="1146B2BB" w:rsidR="00DF52C3" w:rsidRDefault="00DF52C3" w:rsidP="00187C7C">
      <w:r w:rsidRPr="00BE56F2">
        <w:t xml:space="preserve">The </w:t>
      </w:r>
      <w:r>
        <w:t>Offeror must include a draft version of deliverables 5A</w:t>
      </w:r>
      <w:r w:rsidR="00034D06">
        <w:t>, 5B,</w:t>
      </w:r>
      <w:r>
        <w:t xml:space="preserve"> and 5</w:t>
      </w:r>
      <w:r w:rsidR="008948B3">
        <w:t>H</w:t>
      </w:r>
      <w:r>
        <w:t xml:space="preserve"> with their proposal. </w:t>
      </w:r>
    </w:p>
    <w:p w14:paraId="1B55B793" w14:textId="5C583EFC" w:rsidR="000E77A6" w:rsidRDefault="00CB0C74" w:rsidP="00CB0C74">
      <w:pPr>
        <w:pStyle w:val="Heading3"/>
      </w:pPr>
      <w:bookmarkStart w:id="102" w:name="_2.2.6_Required_Deliverable"/>
      <w:bookmarkStart w:id="103" w:name="_2.2.6_Required_DeliverableTask"/>
      <w:bookmarkStart w:id="104" w:name="_Toc13567401"/>
      <w:bookmarkEnd w:id="98"/>
      <w:bookmarkEnd w:id="102"/>
      <w:bookmarkEnd w:id="103"/>
      <w:r>
        <w:t>2.2.</w:t>
      </w:r>
      <w:r w:rsidR="0005462D">
        <w:t>6</w:t>
      </w:r>
      <w:r>
        <w:tab/>
      </w:r>
      <w:r w:rsidR="009B7E37">
        <w:t>Task</w:t>
      </w:r>
      <w:r w:rsidR="000E77A6">
        <w:t xml:space="preserve"> </w:t>
      </w:r>
      <w:r w:rsidR="0005462D">
        <w:t>6</w:t>
      </w:r>
      <w:r w:rsidR="000E77A6">
        <w:t xml:space="preserve">: </w:t>
      </w:r>
      <w:r w:rsidR="0005462D">
        <w:t xml:space="preserve">Migrate </w:t>
      </w:r>
      <w:r>
        <w:t>Data</w:t>
      </w:r>
      <w:bookmarkEnd w:id="104"/>
      <w:r>
        <w:t xml:space="preserve"> </w:t>
      </w:r>
    </w:p>
    <w:p w14:paraId="76FC7AE2" w14:textId="6E4BBBB4" w:rsidR="0005462D" w:rsidRDefault="0005462D" w:rsidP="008128D5">
      <w:r w:rsidRPr="00BE56F2">
        <w:t xml:space="preserve">The </w:t>
      </w:r>
      <w:r>
        <w:t>Awarded Vendor will complete all activities necessary to migrate all data and sustain data integrity throughout all project phases.</w:t>
      </w:r>
    </w:p>
    <w:p w14:paraId="1E2D8583" w14:textId="77777777" w:rsidR="0005462D" w:rsidRPr="00E21848" w:rsidRDefault="0005462D" w:rsidP="008128D5">
      <w:r>
        <w:t>A</w:t>
      </w:r>
      <w:r w:rsidRPr="00E21848">
        <w:t>ctivities</w:t>
      </w:r>
      <w:r>
        <w:t xml:space="preserve"> </w:t>
      </w:r>
      <w:r w:rsidRPr="00E21848">
        <w:t>include:</w:t>
      </w:r>
    </w:p>
    <w:p w14:paraId="1E1D70D9" w14:textId="08F794D1" w:rsidR="004C5A3A" w:rsidRDefault="00115A51" w:rsidP="00E16D2D">
      <w:pPr>
        <w:pStyle w:val="LB1"/>
      </w:pPr>
      <w:bookmarkStart w:id="105" w:name="_Hlk525215071"/>
      <w:r>
        <w:t xml:space="preserve">Collaborate with TWC SMEs to gather inputs for and </w:t>
      </w:r>
      <w:r w:rsidR="002B1CE9">
        <w:t>create</w:t>
      </w:r>
      <w:r>
        <w:t xml:space="preserve"> a </w:t>
      </w:r>
      <w:r w:rsidR="004C5A3A">
        <w:t>Data Migration Strategy and Plan</w:t>
      </w:r>
      <w:r w:rsidR="00F9110E">
        <w:t>;</w:t>
      </w:r>
    </w:p>
    <w:p w14:paraId="0432FFC6" w14:textId="0735FFA7" w:rsidR="004C5A3A" w:rsidRDefault="004C5A3A" w:rsidP="00F82166">
      <w:pPr>
        <w:pStyle w:val="LB1"/>
      </w:pPr>
      <w:r>
        <w:t>If the Offeror proposes a phased implementation, the data migration strategy must include TWC’s existing database</w:t>
      </w:r>
      <w:r w:rsidR="00422593">
        <w:t>s</w:t>
      </w:r>
      <w:r>
        <w:t xml:space="preserve"> and </w:t>
      </w:r>
      <w:r w:rsidR="00422593">
        <w:t xml:space="preserve">describe </w:t>
      </w:r>
      <w:r>
        <w:t>how data will be shared between the new and existing databases whi</w:t>
      </w:r>
      <w:r w:rsidR="00F9110E">
        <w:t>le both systems are operational; and</w:t>
      </w:r>
    </w:p>
    <w:p w14:paraId="387CC050" w14:textId="7C18DC32" w:rsidR="00D65E76" w:rsidRDefault="0068036E" w:rsidP="00F82166">
      <w:pPr>
        <w:pStyle w:val="LB1"/>
      </w:pPr>
      <w:r>
        <w:t>Migrate data</w:t>
      </w:r>
    </w:p>
    <w:bookmarkEnd w:id="105"/>
    <w:p w14:paraId="0AAF6A67" w14:textId="36B08D26" w:rsidR="007F2B04" w:rsidRDefault="007F2B04" w:rsidP="00F82166">
      <w:pPr>
        <w:pStyle w:val="OB1"/>
      </w:pPr>
      <w:r>
        <w:t xml:space="preserve">Conduct </w:t>
      </w:r>
      <w:r w:rsidR="00BE1C34">
        <w:t>data migration</w:t>
      </w:r>
      <w:r w:rsidR="00F9110E">
        <w:t xml:space="preserve"> and testing activities;</w:t>
      </w:r>
    </w:p>
    <w:p w14:paraId="0691BA7A" w14:textId="68F072E1" w:rsidR="007F2B04" w:rsidRDefault="00F9110E">
      <w:pPr>
        <w:pStyle w:val="OB1"/>
      </w:pPr>
      <w:r>
        <w:t>Track and correct defects;</w:t>
      </w:r>
    </w:p>
    <w:p w14:paraId="6B740DDC" w14:textId="6FC6774B" w:rsidR="00962CF3" w:rsidRDefault="00962CF3">
      <w:pPr>
        <w:pStyle w:val="OB1"/>
      </w:pPr>
      <w:r>
        <w:t>Provide validation scenarios for TWC approval including record count verification;</w:t>
      </w:r>
    </w:p>
    <w:p w14:paraId="6CE4E46D" w14:textId="77777777" w:rsidR="00086969" w:rsidRDefault="007F2B04">
      <w:pPr>
        <w:pStyle w:val="OB1"/>
      </w:pPr>
      <w:r>
        <w:t xml:space="preserve">Verify and validate </w:t>
      </w:r>
      <w:r w:rsidR="00BE1C34">
        <w:t>mock migrations</w:t>
      </w:r>
      <w:r w:rsidR="00F9110E">
        <w:t xml:space="preserve">; </w:t>
      </w:r>
    </w:p>
    <w:p w14:paraId="1FAB919F" w14:textId="45FDC335" w:rsidR="007F2B04" w:rsidRDefault="00086969">
      <w:pPr>
        <w:pStyle w:val="OB1"/>
      </w:pPr>
      <w:r>
        <w:t xml:space="preserve">Propose a data migration schedule that provides converted data during functional testing activities; </w:t>
      </w:r>
      <w:r w:rsidR="00F9110E">
        <w:t>and</w:t>
      </w:r>
    </w:p>
    <w:p w14:paraId="13FE3630" w14:textId="304C49AC" w:rsidR="007F2B04" w:rsidRPr="00253E01" w:rsidRDefault="007F2B04">
      <w:pPr>
        <w:pStyle w:val="OB1"/>
      </w:pPr>
      <w:r>
        <w:t xml:space="preserve">Coordinate with </w:t>
      </w:r>
      <w:r w:rsidR="00297629" w:rsidRPr="00F67B96">
        <w:t xml:space="preserve">internal and external TWC </w:t>
      </w:r>
      <w:r w:rsidR="00297629">
        <w:t xml:space="preserve">UI </w:t>
      </w:r>
      <w:r w:rsidRPr="00F67B96">
        <w:t>stakeholders</w:t>
      </w:r>
      <w:r>
        <w:t>.</w:t>
      </w:r>
    </w:p>
    <w:p w14:paraId="15A7F107" w14:textId="77777777" w:rsidR="009A2BEA" w:rsidRDefault="009A2BEA" w:rsidP="000C3630"/>
    <w:p w14:paraId="5DC8A58B" w14:textId="50CF0F9B" w:rsidR="0005462D" w:rsidRDefault="00272A05" w:rsidP="0005462D">
      <w:r>
        <w:t xml:space="preserve">The Awarded Vendor will complete the following </w:t>
      </w:r>
      <w:r w:rsidR="00B81B78">
        <w:t>deliverables during this Task</w:t>
      </w:r>
      <w:r w:rsidR="0005462D">
        <w:t>:</w:t>
      </w:r>
    </w:p>
    <w:tbl>
      <w:tblPr>
        <w:tblStyle w:val="TableGrid"/>
        <w:tblW w:w="10800" w:type="dxa"/>
        <w:tblInd w:w="175" w:type="dxa"/>
        <w:tblLayout w:type="fixed"/>
        <w:tblLook w:val="04A0" w:firstRow="1" w:lastRow="0" w:firstColumn="1" w:lastColumn="0" w:noHBand="0" w:noVBand="1"/>
        <w:tblDescription w:val="Migrate data Deliverables Schedule table"/>
      </w:tblPr>
      <w:tblGrid>
        <w:gridCol w:w="936"/>
        <w:gridCol w:w="1764"/>
        <w:gridCol w:w="6156"/>
        <w:gridCol w:w="1944"/>
      </w:tblGrid>
      <w:tr w:rsidR="0005462D" w:rsidRPr="00873442" w14:paraId="481D6129" w14:textId="77777777" w:rsidTr="005303D2">
        <w:trPr>
          <w:cantSplit/>
          <w:tblHeader/>
        </w:trPr>
        <w:tc>
          <w:tcPr>
            <w:tcW w:w="936" w:type="dxa"/>
            <w:shd w:val="clear" w:color="auto" w:fill="DEEAF6" w:themeFill="accent1" w:themeFillTint="33"/>
            <w:vAlign w:val="bottom"/>
          </w:tcPr>
          <w:p w14:paraId="7583B450" w14:textId="77777777" w:rsidR="0005462D" w:rsidRPr="004F202B" w:rsidRDefault="0005462D" w:rsidP="005303D2">
            <w:pPr>
              <w:keepNext/>
              <w:spacing w:after="0"/>
              <w:ind w:left="0"/>
              <w:jc w:val="center"/>
              <w:rPr>
                <w:rFonts w:cs="Arial"/>
                <w:b/>
                <w:color w:val="1F3864" w:themeColor="accent5" w:themeShade="80"/>
              </w:rPr>
            </w:pPr>
            <w:r w:rsidRPr="004F202B">
              <w:rPr>
                <w:rFonts w:cs="Arial"/>
                <w:b/>
                <w:color w:val="1F3864" w:themeColor="accent5" w:themeShade="80"/>
              </w:rPr>
              <w:lastRenderedPageBreak/>
              <w:t>No.</w:t>
            </w:r>
          </w:p>
        </w:tc>
        <w:tc>
          <w:tcPr>
            <w:tcW w:w="1764" w:type="dxa"/>
            <w:shd w:val="clear" w:color="auto" w:fill="DEEAF6" w:themeFill="accent1" w:themeFillTint="33"/>
          </w:tcPr>
          <w:p w14:paraId="58A953B4" w14:textId="77777777" w:rsidR="0005462D" w:rsidRPr="001B5E0B" w:rsidRDefault="0005462D" w:rsidP="005303D2">
            <w:pPr>
              <w:keepNext/>
              <w:spacing w:after="0"/>
              <w:ind w:left="0"/>
              <w:rPr>
                <w:rFonts w:cs="Arial"/>
                <w:b/>
                <w:color w:val="1F3864" w:themeColor="accent5" w:themeShade="80"/>
              </w:rPr>
            </w:pPr>
            <w:r>
              <w:rPr>
                <w:rFonts w:cs="Arial"/>
                <w:b/>
                <w:color w:val="1F3864" w:themeColor="accent5" w:themeShade="80"/>
              </w:rPr>
              <w:t>Deliverable</w:t>
            </w:r>
          </w:p>
        </w:tc>
        <w:tc>
          <w:tcPr>
            <w:tcW w:w="6156" w:type="dxa"/>
            <w:shd w:val="clear" w:color="auto" w:fill="DEEAF6" w:themeFill="accent1" w:themeFillTint="33"/>
          </w:tcPr>
          <w:p w14:paraId="72FCF6EE" w14:textId="77777777" w:rsidR="0005462D" w:rsidRPr="001B5E0B" w:rsidRDefault="0005462D" w:rsidP="005303D2">
            <w:pPr>
              <w:keepNext/>
              <w:spacing w:after="0"/>
              <w:ind w:left="0"/>
              <w:rPr>
                <w:rFonts w:cs="Arial"/>
                <w:b/>
                <w:color w:val="1F3864" w:themeColor="accent5" w:themeShade="80"/>
              </w:rPr>
            </w:pPr>
            <w:r>
              <w:rPr>
                <w:rFonts w:cs="Arial"/>
                <w:b/>
                <w:color w:val="1F3864" w:themeColor="accent5" w:themeShade="80"/>
              </w:rPr>
              <w:t>Acceptance Criteria</w:t>
            </w:r>
          </w:p>
        </w:tc>
        <w:tc>
          <w:tcPr>
            <w:tcW w:w="1944" w:type="dxa"/>
            <w:shd w:val="clear" w:color="auto" w:fill="DEEAF6" w:themeFill="accent1" w:themeFillTint="33"/>
            <w:vAlign w:val="bottom"/>
          </w:tcPr>
          <w:p w14:paraId="6D9A00CB" w14:textId="77777777" w:rsidR="0005462D" w:rsidRPr="004F202B" w:rsidRDefault="0005462D" w:rsidP="005303D2">
            <w:pPr>
              <w:keepNext/>
              <w:spacing w:after="0"/>
              <w:ind w:left="0"/>
              <w:rPr>
                <w:rFonts w:cs="Arial"/>
                <w:b/>
                <w:color w:val="1F3864" w:themeColor="accent5" w:themeShade="80"/>
              </w:rPr>
            </w:pPr>
            <w:r>
              <w:rPr>
                <w:rFonts w:cs="Arial"/>
                <w:b/>
                <w:color w:val="1F3864" w:themeColor="accent5" w:themeShade="80"/>
              </w:rPr>
              <w:t>Due Date</w:t>
            </w:r>
          </w:p>
        </w:tc>
      </w:tr>
      <w:tr w:rsidR="008128D5" w:rsidRPr="00873442" w14:paraId="1B276DAF" w14:textId="77777777" w:rsidTr="005303D2">
        <w:tc>
          <w:tcPr>
            <w:tcW w:w="936" w:type="dxa"/>
          </w:tcPr>
          <w:p w14:paraId="2A252DA6" w14:textId="66C3FB23" w:rsidR="008128D5" w:rsidRDefault="008128D5" w:rsidP="008128D5">
            <w:pPr>
              <w:ind w:left="0"/>
              <w:jc w:val="center"/>
            </w:pPr>
            <w:r>
              <w:t>6A</w:t>
            </w:r>
          </w:p>
        </w:tc>
        <w:tc>
          <w:tcPr>
            <w:tcW w:w="1764" w:type="dxa"/>
          </w:tcPr>
          <w:p w14:paraId="6F550548" w14:textId="44841132" w:rsidR="008128D5" w:rsidRDefault="008128D5" w:rsidP="008128D5">
            <w:pPr>
              <w:ind w:left="0"/>
            </w:pPr>
            <w:r>
              <w:t>Data Migration Strategy and Plan</w:t>
            </w:r>
          </w:p>
        </w:tc>
        <w:tc>
          <w:tcPr>
            <w:tcW w:w="6156" w:type="dxa"/>
          </w:tcPr>
          <w:p w14:paraId="229E8352" w14:textId="77659C46" w:rsidR="008128D5" w:rsidRDefault="00CA4981" w:rsidP="008128D5">
            <w:pPr>
              <w:ind w:left="0"/>
            </w:pPr>
            <w:r>
              <w:t>At a minimum, the Strategy and Plan must:</w:t>
            </w:r>
          </w:p>
          <w:p w14:paraId="66ECD1C2" w14:textId="77777777" w:rsidR="00657260" w:rsidRDefault="00657260" w:rsidP="00E16D2D">
            <w:pPr>
              <w:pStyle w:val="LB1-Table"/>
            </w:pPr>
            <w:r>
              <w:t xml:space="preserve">Include: </w:t>
            </w:r>
          </w:p>
          <w:p w14:paraId="2637F651" w14:textId="5D139B24" w:rsidR="00657260" w:rsidRDefault="00657260" w:rsidP="00F82166">
            <w:pPr>
              <w:pStyle w:val="OB1-Table"/>
            </w:pPr>
            <w:r w:rsidRPr="00657260">
              <w:t>Initial assumptions for migration</w:t>
            </w:r>
            <w:r>
              <w:t>;</w:t>
            </w:r>
          </w:p>
          <w:p w14:paraId="5433A585" w14:textId="318733F3" w:rsidR="00657260" w:rsidRPr="00657260" w:rsidRDefault="00657260" w:rsidP="00F82166">
            <w:pPr>
              <w:pStyle w:val="OB1-Table"/>
            </w:pPr>
            <w:r w:rsidRPr="00657260">
              <w:t xml:space="preserve">Business rules/transformations logic involved in the migration (Texas specific rules); </w:t>
            </w:r>
          </w:p>
          <w:p w14:paraId="2AE0ACB2" w14:textId="44F0209D" w:rsidR="00657260" w:rsidRPr="00657260" w:rsidRDefault="00657260">
            <w:pPr>
              <w:pStyle w:val="OB1-Table"/>
            </w:pPr>
            <w:r w:rsidRPr="00657260">
              <w:t>Dependencies on other systems and data points;</w:t>
            </w:r>
          </w:p>
          <w:p w14:paraId="059BBA26" w14:textId="27184125" w:rsidR="00657260" w:rsidRPr="00657260" w:rsidRDefault="00657260">
            <w:pPr>
              <w:pStyle w:val="OB1-Table"/>
            </w:pPr>
            <w:r w:rsidRPr="00657260">
              <w:t>Impact to existing legacy systems during down-steam data extract;</w:t>
            </w:r>
          </w:p>
          <w:p w14:paraId="56834887" w14:textId="1D3ED7B7" w:rsidR="00657260" w:rsidRPr="00657260" w:rsidRDefault="00657260">
            <w:pPr>
              <w:pStyle w:val="OB1-Table"/>
            </w:pPr>
            <w:r w:rsidRPr="00657260">
              <w:t>Validation/reconciliation requirements;</w:t>
            </w:r>
          </w:p>
          <w:p w14:paraId="66A06687" w14:textId="618561D8" w:rsidR="00657260" w:rsidRPr="00657260" w:rsidRDefault="00657260">
            <w:pPr>
              <w:pStyle w:val="OB1-Table"/>
            </w:pPr>
            <w:r w:rsidRPr="00657260">
              <w:t>Error handling;</w:t>
            </w:r>
          </w:p>
          <w:p w14:paraId="0A69385C" w14:textId="6A2F4604" w:rsidR="00657260" w:rsidRPr="00657260" w:rsidRDefault="00657260">
            <w:pPr>
              <w:pStyle w:val="OB1-Table"/>
            </w:pPr>
            <w:r w:rsidRPr="00657260">
              <w:t>Test conditions;</w:t>
            </w:r>
          </w:p>
          <w:p w14:paraId="040EE35B" w14:textId="738DACF6" w:rsidR="00657260" w:rsidRPr="00657260" w:rsidRDefault="00657260">
            <w:pPr>
              <w:pStyle w:val="OB1-Table"/>
            </w:pPr>
            <w:r w:rsidRPr="00657260">
              <w:t>Risks/issues log;</w:t>
            </w:r>
          </w:p>
          <w:p w14:paraId="10CB8B30" w14:textId="3A818717" w:rsidR="00657260" w:rsidRPr="00657260" w:rsidRDefault="00657260">
            <w:pPr>
              <w:pStyle w:val="OB1-Table"/>
            </w:pPr>
            <w:r w:rsidRPr="00657260">
              <w:t>Rollback condition;</w:t>
            </w:r>
          </w:p>
          <w:p w14:paraId="6D03656F" w14:textId="5A0373DF" w:rsidR="00657260" w:rsidRPr="00657260" w:rsidRDefault="00657260">
            <w:pPr>
              <w:pStyle w:val="OB1-Table"/>
            </w:pPr>
            <w:r w:rsidRPr="00657260">
              <w:t>Data file handling; and</w:t>
            </w:r>
          </w:p>
          <w:p w14:paraId="160A792B" w14:textId="6D2209EC" w:rsidR="00657260" w:rsidRDefault="00657260">
            <w:pPr>
              <w:pStyle w:val="OB1-Table"/>
            </w:pPr>
            <w:r w:rsidRPr="00657260">
              <w:t>Detailed Cutover Pla</w:t>
            </w:r>
            <w:r>
              <w:t>n.</w:t>
            </w:r>
          </w:p>
          <w:p w14:paraId="083B1442" w14:textId="328DF314" w:rsidR="00C26EB7" w:rsidRDefault="00C26EB7">
            <w:pPr>
              <w:pStyle w:val="LB1-Table"/>
            </w:pPr>
            <w:r>
              <w:t xml:space="preserve">Start data </w:t>
            </w:r>
            <w:r w:rsidR="001F3C2A">
              <w:t xml:space="preserve">migration activities </w:t>
            </w:r>
            <w:r>
              <w:t>as early as possible;</w:t>
            </w:r>
          </w:p>
          <w:p w14:paraId="2A758C75" w14:textId="5E5BF10B" w:rsidR="008128D5" w:rsidRDefault="008128D5">
            <w:pPr>
              <w:pStyle w:val="LB1-Table"/>
            </w:pPr>
            <w:r>
              <w:t>Include all legacy data sources, data</w:t>
            </w:r>
            <w:r w:rsidRPr="009C5AA8">
              <w:t xml:space="preserve"> </w:t>
            </w:r>
            <w:r>
              <w:t>analysis, data mapping</w:t>
            </w:r>
            <w:r w:rsidR="00FA28A1">
              <w:t xml:space="preserve"> of all data fields from our current systems to the new system</w:t>
            </w:r>
            <w:r>
              <w:t xml:space="preserve">, and conversion methods; </w:t>
            </w:r>
          </w:p>
          <w:p w14:paraId="38DD3A8A" w14:textId="0AE69488" w:rsidR="004F2A76" w:rsidRDefault="004F2A76">
            <w:pPr>
              <w:pStyle w:val="LB1-Table"/>
            </w:pPr>
            <w:r>
              <w:t xml:space="preserve">Clearly identify </w:t>
            </w:r>
            <w:r w:rsidR="007760EB">
              <w:t>any</w:t>
            </w:r>
            <w:r>
              <w:t xml:space="preserve"> data that will not be migrated</w:t>
            </w:r>
            <w:r w:rsidR="00D72897">
              <w:t>, including an access strategy for non-migrated data</w:t>
            </w:r>
            <w:r>
              <w:t>;</w:t>
            </w:r>
          </w:p>
          <w:p w14:paraId="7FD7E8FB" w14:textId="1FC0024F" w:rsidR="00030542" w:rsidRDefault="00030542">
            <w:pPr>
              <w:pStyle w:val="LB1-Table"/>
            </w:pPr>
            <w:r>
              <w:t xml:space="preserve">Factor in TWC’s “tight coupling” </w:t>
            </w:r>
            <w:r w:rsidR="00552E66">
              <w:t xml:space="preserve">of data </w:t>
            </w:r>
            <w:r>
              <w:t>via DB2;</w:t>
            </w:r>
          </w:p>
          <w:p w14:paraId="2F8E1E8F" w14:textId="77777777" w:rsidR="00030542" w:rsidRDefault="00030542">
            <w:pPr>
              <w:pStyle w:val="LB1-Table"/>
            </w:pPr>
            <w:r>
              <w:t>Be closely aligned with TWC’s other migrations off of the mainframes;</w:t>
            </w:r>
          </w:p>
          <w:p w14:paraId="19E2A4EE" w14:textId="77777777" w:rsidR="00E41941" w:rsidRDefault="00EA2D3F">
            <w:pPr>
              <w:pStyle w:val="LB1-Table"/>
            </w:pPr>
            <w:r>
              <w:t>Include extract, transform, and load (ETL) rules</w:t>
            </w:r>
            <w:r w:rsidR="00E41941">
              <w:t>;</w:t>
            </w:r>
          </w:p>
          <w:p w14:paraId="02BD966C" w14:textId="3B03DA62" w:rsidR="002B1CE9" w:rsidRDefault="00E41941">
            <w:pPr>
              <w:pStyle w:val="LB1-Table"/>
            </w:pPr>
            <w:r>
              <w:t xml:space="preserve">Include </w:t>
            </w:r>
            <w:r w:rsidR="00EA2D3F">
              <w:t xml:space="preserve">a </w:t>
            </w:r>
            <w:r w:rsidR="002B1CE9">
              <w:t>data dictionary;</w:t>
            </w:r>
          </w:p>
          <w:p w14:paraId="5375C0ED" w14:textId="16E9B266" w:rsidR="00B51D57" w:rsidRDefault="00B51D57">
            <w:pPr>
              <w:pStyle w:val="LB1-Table"/>
            </w:pPr>
            <w:r>
              <w:t>Specify ETL tool</w:t>
            </w:r>
            <w:r w:rsidR="00B7128B">
              <w:t xml:space="preserve"> and version</w:t>
            </w:r>
            <w:r>
              <w:t>;</w:t>
            </w:r>
          </w:p>
          <w:p w14:paraId="088C22A7" w14:textId="6EAAC5E8" w:rsidR="00EA2D3F" w:rsidRDefault="00EA2D3F">
            <w:pPr>
              <w:pStyle w:val="LB1-Table"/>
            </w:pPr>
            <w:r>
              <w:t>Define default data values;</w:t>
            </w:r>
          </w:p>
          <w:p w14:paraId="7A9A2A55" w14:textId="4CC400FF" w:rsidR="008128D5" w:rsidRDefault="008128D5">
            <w:pPr>
              <w:pStyle w:val="LB1-Table"/>
            </w:pPr>
            <w:r>
              <w:t>Specify methods for data cleansing and removing duplicates;</w:t>
            </w:r>
          </w:p>
          <w:p w14:paraId="07570A2D" w14:textId="43AC482E" w:rsidR="008128D5" w:rsidRDefault="008128D5">
            <w:pPr>
              <w:pStyle w:val="LB1-Table"/>
            </w:pPr>
            <w:r>
              <w:t>Include a design, configure, and test conversion and migration process with dry runs;</w:t>
            </w:r>
          </w:p>
          <w:p w14:paraId="312E073D" w14:textId="33F96745" w:rsidR="008128D5" w:rsidRDefault="008128D5">
            <w:pPr>
              <w:pStyle w:val="LB1-Table"/>
            </w:pPr>
            <w:r>
              <w:t xml:space="preserve">Verify and validate </w:t>
            </w:r>
            <w:r w:rsidR="00C26EB7">
              <w:t xml:space="preserve">multiple </w:t>
            </w:r>
            <w:r>
              <w:t xml:space="preserve">mock </w:t>
            </w:r>
            <w:r w:rsidR="00CE1B03">
              <w:t xml:space="preserve">end-to-end </w:t>
            </w:r>
            <w:r>
              <w:t xml:space="preserve">migrations; </w:t>
            </w:r>
          </w:p>
          <w:p w14:paraId="0A002024" w14:textId="359826C6" w:rsidR="00CA4981" w:rsidRDefault="00CA4981">
            <w:pPr>
              <w:pStyle w:val="LB1-Table"/>
            </w:pPr>
            <w:r>
              <w:lastRenderedPageBreak/>
              <w:t xml:space="preserve">Include </w:t>
            </w:r>
            <w:r w:rsidR="00B45C29">
              <w:t>regular reports</w:t>
            </w:r>
            <w:r>
              <w:t xml:space="preserve"> of progress and issues</w:t>
            </w:r>
            <w:r w:rsidR="00B45C29">
              <w:t xml:space="preserve"> to TWC</w:t>
            </w:r>
            <w:r>
              <w:t>;</w:t>
            </w:r>
          </w:p>
          <w:p w14:paraId="3C63A927" w14:textId="46B75150" w:rsidR="008128D5" w:rsidRDefault="008128D5">
            <w:pPr>
              <w:pStyle w:val="LB1-Table"/>
            </w:pPr>
            <w:r>
              <w:t xml:space="preserve">Include testing and reporting; </w:t>
            </w:r>
          </w:p>
          <w:p w14:paraId="60BB5AAA" w14:textId="7383E45A" w:rsidR="007D69F0" w:rsidRDefault="00C26EB7">
            <w:pPr>
              <w:pStyle w:val="LB1-Table"/>
            </w:pPr>
            <w:r>
              <w:t xml:space="preserve">Describe how and when converted data will be run through all key processes, analyzed for errors and inconsistencies, and tracked until resolved; </w:t>
            </w:r>
          </w:p>
          <w:p w14:paraId="58536223" w14:textId="51A95F2D" w:rsidR="00C26EB7" w:rsidRDefault="001F3C2A">
            <w:pPr>
              <w:pStyle w:val="LB1-Table"/>
            </w:pPr>
            <w:r>
              <w:t xml:space="preserve">Identify Awarded Vendor </w:t>
            </w:r>
            <w:r w:rsidRPr="00F67B96">
              <w:t>and TWC roles and responsibilities</w:t>
            </w:r>
            <w:r w:rsidR="00C26EB7">
              <w:t>;</w:t>
            </w:r>
          </w:p>
          <w:p w14:paraId="42D7F4F7" w14:textId="34DBE1FA" w:rsidR="000E1EEB" w:rsidRDefault="008128D5">
            <w:pPr>
              <w:pStyle w:val="LB1-Table"/>
            </w:pPr>
            <w:r>
              <w:t xml:space="preserve">Align data migration with </w:t>
            </w:r>
            <w:r w:rsidR="002A57F8">
              <w:t>the IMS</w:t>
            </w:r>
            <w:r w:rsidR="000E1EEB">
              <w:t>; and</w:t>
            </w:r>
          </w:p>
          <w:p w14:paraId="2BB87C0A" w14:textId="7B3C3830" w:rsidR="008128D5" w:rsidRDefault="000E1EEB">
            <w:pPr>
              <w:pStyle w:val="LB1-Table"/>
            </w:pPr>
            <w:r>
              <w:t>Specify data migration tools</w:t>
            </w:r>
            <w:r w:rsidR="008128D5">
              <w:t>.</w:t>
            </w:r>
          </w:p>
        </w:tc>
        <w:tc>
          <w:tcPr>
            <w:tcW w:w="1944" w:type="dxa"/>
          </w:tcPr>
          <w:p w14:paraId="5F7B603A" w14:textId="42C2C7D3" w:rsidR="008128D5" w:rsidRPr="00F57DB3" w:rsidRDefault="008128D5" w:rsidP="008128D5">
            <w:pPr>
              <w:ind w:left="0"/>
            </w:pPr>
            <w:r w:rsidRPr="00F57DB3">
              <w:lastRenderedPageBreak/>
              <w:t>TBD in accordance with the IMS</w:t>
            </w:r>
          </w:p>
        </w:tc>
      </w:tr>
      <w:tr w:rsidR="008128D5" w:rsidRPr="00873442" w14:paraId="451DFF81" w14:textId="77777777" w:rsidTr="005303D2">
        <w:tc>
          <w:tcPr>
            <w:tcW w:w="936" w:type="dxa"/>
          </w:tcPr>
          <w:p w14:paraId="6F124382" w14:textId="1B15C088" w:rsidR="008128D5" w:rsidRDefault="008128D5" w:rsidP="008128D5">
            <w:pPr>
              <w:ind w:left="0"/>
              <w:jc w:val="center"/>
            </w:pPr>
            <w:r>
              <w:t>6B</w:t>
            </w:r>
          </w:p>
        </w:tc>
        <w:tc>
          <w:tcPr>
            <w:tcW w:w="1764" w:type="dxa"/>
          </w:tcPr>
          <w:p w14:paraId="2AB4BFD9" w14:textId="13326B54" w:rsidR="008128D5" w:rsidRDefault="008128D5" w:rsidP="008128D5">
            <w:pPr>
              <w:ind w:left="0"/>
            </w:pPr>
            <w:r>
              <w:t>Migrate Data</w:t>
            </w:r>
          </w:p>
        </w:tc>
        <w:tc>
          <w:tcPr>
            <w:tcW w:w="6156" w:type="dxa"/>
          </w:tcPr>
          <w:p w14:paraId="6C2A63F1" w14:textId="54EF6A04" w:rsidR="008128D5" w:rsidRDefault="008128D5" w:rsidP="008128D5">
            <w:pPr>
              <w:ind w:left="0"/>
            </w:pPr>
            <w:r>
              <w:t>At a minimum, the migrated data must:</w:t>
            </w:r>
          </w:p>
          <w:p w14:paraId="105618E6" w14:textId="20C7B3DA" w:rsidR="007C4DCA" w:rsidRDefault="003159A3" w:rsidP="00E16D2D">
            <w:pPr>
              <w:pStyle w:val="LB1-Table"/>
            </w:pPr>
            <w:r>
              <w:t>Include a</w:t>
            </w:r>
            <w:r w:rsidR="007C4DCA">
              <w:t>ll existing legacy system data</w:t>
            </w:r>
          </w:p>
          <w:p w14:paraId="3C92B396" w14:textId="44F2E18E" w:rsidR="007C4DCA" w:rsidRDefault="007C4DCA" w:rsidP="00F82166">
            <w:pPr>
              <w:pStyle w:val="LB1-Table"/>
            </w:pPr>
            <w:bookmarkStart w:id="106" w:name="_Hlk534815807"/>
            <w:r>
              <w:t>Meet all Texas retention requirements</w:t>
            </w:r>
            <w:r w:rsidR="00EA48B4">
              <w:t>:</w:t>
            </w:r>
          </w:p>
          <w:p w14:paraId="7142F790" w14:textId="77777777" w:rsidR="006368CE" w:rsidRDefault="006368CE" w:rsidP="00F82166">
            <w:pPr>
              <w:pStyle w:val="OB1-Table"/>
            </w:pPr>
            <w:r>
              <w:t>Benefits</w:t>
            </w:r>
          </w:p>
          <w:p w14:paraId="727C3504" w14:textId="4967A4F7" w:rsidR="000F2950" w:rsidRDefault="000F2950" w:rsidP="006368CE">
            <w:pPr>
              <w:pStyle w:val="SB1-Table"/>
            </w:pPr>
            <w:r w:rsidRPr="006368CE">
              <w:t>Ten</w:t>
            </w:r>
            <w:r>
              <w:t xml:space="preserve"> (10) calendar </w:t>
            </w:r>
            <w:r w:rsidR="006368CE">
              <w:t>years plus the current year</w:t>
            </w:r>
            <w:r w:rsidR="003159A3">
              <w:t>;</w:t>
            </w:r>
          </w:p>
          <w:p w14:paraId="5DE8EC0A" w14:textId="77777777" w:rsidR="006368CE" w:rsidRDefault="006368CE" w:rsidP="00E16D2D">
            <w:pPr>
              <w:pStyle w:val="OB1-Table"/>
            </w:pPr>
            <w:r>
              <w:t xml:space="preserve">Tax </w:t>
            </w:r>
          </w:p>
          <w:p w14:paraId="38FC77B1" w14:textId="439AF30B" w:rsidR="006368CE" w:rsidRPr="006368CE" w:rsidRDefault="006368CE" w:rsidP="006368CE">
            <w:pPr>
              <w:pStyle w:val="SB1-Table"/>
            </w:pPr>
            <w:r w:rsidRPr="006368CE">
              <w:t xml:space="preserve">All </w:t>
            </w:r>
            <w:r w:rsidRPr="006368CE">
              <w:rPr>
                <w:u w:val="single"/>
              </w:rPr>
              <w:t>active</w:t>
            </w:r>
            <w:r w:rsidRPr="006368CE">
              <w:t xml:space="preserve"> accounts no matter how old (Status records plus </w:t>
            </w:r>
            <w:r>
              <w:t>t</w:t>
            </w:r>
            <w:r w:rsidRPr="006368CE">
              <w:t>en</w:t>
            </w:r>
            <w:r>
              <w:t xml:space="preserve"> (10) </w:t>
            </w:r>
            <w:r w:rsidRPr="006368CE">
              <w:t>years of other records);</w:t>
            </w:r>
            <w:r w:rsidR="003159A3" w:rsidRPr="006368CE">
              <w:t xml:space="preserve"> and</w:t>
            </w:r>
          </w:p>
          <w:p w14:paraId="485D797F" w14:textId="01FE67BE" w:rsidR="006368CE" w:rsidRPr="006368CE" w:rsidRDefault="006368CE" w:rsidP="006368CE">
            <w:pPr>
              <w:pStyle w:val="SB1-Table"/>
            </w:pPr>
            <w:r>
              <w:t>A</w:t>
            </w:r>
            <w:r w:rsidRPr="006368CE">
              <w:t xml:space="preserve">t least </w:t>
            </w:r>
            <w:r>
              <w:t>t</w:t>
            </w:r>
            <w:r w:rsidRPr="006368CE">
              <w:t>en</w:t>
            </w:r>
            <w:r>
              <w:t xml:space="preserve"> (10) </w:t>
            </w:r>
            <w:r w:rsidRPr="006368CE">
              <w:t>years plus the current year for all accounts (per retention schedule</w:t>
            </w:r>
            <w:r w:rsidR="003159A3">
              <w:t>);</w:t>
            </w:r>
            <w:r w:rsidRPr="006368CE">
              <w:t xml:space="preserve"> </w:t>
            </w:r>
          </w:p>
          <w:p w14:paraId="55DF2D77" w14:textId="05D75BF1" w:rsidR="006368CE" w:rsidRDefault="006368CE" w:rsidP="00E16D2D">
            <w:pPr>
              <w:pStyle w:val="OB1-Table"/>
            </w:pPr>
            <w:r w:rsidRPr="00B06D65">
              <w:t>Appeals</w:t>
            </w:r>
          </w:p>
          <w:p w14:paraId="56753EA9" w14:textId="2D74C583" w:rsidR="006368CE" w:rsidRDefault="003159A3" w:rsidP="006368CE">
            <w:pPr>
              <w:pStyle w:val="SB1-Table"/>
            </w:pPr>
            <w:r>
              <w:t>All Claims;</w:t>
            </w:r>
          </w:p>
          <w:p w14:paraId="729196E6" w14:textId="48261627" w:rsidR="006368CE" w:rsidRDefault="006368CE" w:rsidP="00E16D2D">
            <w:pPr>
              <w:pStyle w:val="OB1-Table"/>
            </w:pPr>
            <w:r>
              <w:t>Collections</w:t>
            </w:r>
          </w:p>
          <w:p w14:paraId="782CA3A4" w14:textId="670FF2D5" w:rsidR="006368CE" w:rsidRDefault="006368CE" w:rsidP="006368CE">
            <w:pPr>
              <w:pStyle w:val="SB1-Table"/>
            </w:pPr>
            <w:r>
              <w:t>All Tax accounts with active liens, assessments, or judgements</w:t>
            </w:r>
            <w:r w:rsidR="003159A3">
              <w:t xml:space="preserve">; </w:t>
            </w:r>
          </w:p>
          <w:p w14:paraId="56602240" w14:textId="6CA798A2" w:rsidR="002B1CE9" w:rsidRPr="00B06D65" w:rsidRDefault="003159A3" w:rsidP="00E16D2D">
            <w:pPr>
              <w:pStyle w:val="OB1-Table"/>
            </w:pPr>
            <w:r>
              <w:t>All locked C</w:t>
            </w:r>
            <w:r w:rsidR="002B1CE9">
              <w:t xml:space="preserve">laims; </w:t>
            </w:r>
            <w:r w:rsidR="006368CE">
              <w:t>and</w:t>
            </w:r>
          </w:p>
          <w:p w14:paraId="18982334" w14:textId="3D9B3FB5" w:rsidR="002B1CE9" w:rsidRDefault="002B1CE9" w:rsidP="00F82166">
            <w:pPr>
              <w:pStyle w:val="OB1-Table"/>
            </w:pPr>
            <w:r>
              <w:t>All Claims with</w:t>
            </w:r>
            <w:r w:rsidRPr="00B06D65">
              <w:t xml:space="preserve"> Overpayments</w:t>
            </w:r>
            <w:r>
              <w:t>.</w:t>
            </w:r>
            <w:r w:rsidRPr="00B06D65">
              <w:t xml:space="preserve"> </w:t>
            </w:r>
          </w:p>
          <w:bookmarkEnd w:id="106"/>
          <w:p w14:paraId="722B437F" w14:textId="201A3B14" w:rsidR="00962CF3" w:rsidRDefault="00962CF3" w:rsidP="00F82166">
            <w:pPr>
              <w:pStyle w:val="LB1-Table"/>
            </w:pPr>
            <w:r>
              <w:t xml:space="preserve">Successfully pass all verification and validation scenarios; </w:t>
            </w:r>
          </w:p>
          <w:p w14:paraId="617BF5FB" w14:textId="77777777" w:rsidR="002B1CE9" w:rsidRDefault="008128D5">
            <w:pPr>
              <w:pStyle w:val="LB1-Table"/>
            </w:pPr>
            <w:r>
              <w:t>Include testing and reporting; and</w:t>
            </w:r>
          </w:p>
          <w:p w14:paraId="4DD8730B" w14:textId="25834387" w:rsidR="008128D5" w:rsidRDefault="008128D5">
            <w:pPr>
              <w:pStyle w:val="LB1-Table"/>
            </w:pPr>
            <w:r>
              <w:t xml:space="preserve">Align with </w:t>
            </w:r>
            <w:r w:rsidR="002A57F8">
              <w:t>the IMS</w:t>
            </w:r>
            <w:r w:rsidR="00086969">
              <w:t xml:space="preserve"> in general and provides migrated data for validation during testing phases</w:t>
            </w:r>
            <w:r>
              <w:t>.</w:t>
            </w:r>
          </w:p>
          <w:p w14:paraId="5259356D" w14:textId="77777777" w:rsidR="00BE1C34" w:rsidRDefault="00BE1C34" w:rsidP="007D69F0">
            <w:pPr>
              <w:pStyle w:val="LB1-Table"/>
              <w:numPr>
                <w:ilvl w:val="0"/>
                <w:numId w:val="0"/>
              </w:numPr>
              <w:ind w:left="360"/>
            </w:pPr>
          </w:p>
          <w:p w14:paraId="786B51DF" w14:textId="77777777" w:rsidR="00BE1C34" w:rsidRDefault="00BE1C34" w:rsidP="00BE1C34">
            <w:pPr>
              <w:ind w:left="0"/>
            </w:pPr>
            <w:r>
              <w:lastRenderedPageBreak/>
              <w:t>At a minimum, Awarded Vendor must demonstrate that they successfully:</w:t>
            </w:r>
          </w:p>
          <w:p w14:paraId="4830CED9" w14:textId="03D54D19" w:rsidR="00BE1C34" w:rsidRDefault="00BE1C34" w:rsidP="00E16D2D">
            <w:pPr>
              <w:pStyle w:val="LB1-Table"/>
            </w:pPr>
            <w:r>
              <w:t>Conducted all data migration and testing activities;</w:t>
            </w:r>
          </w:p>
          <w:p w14:paraId="137C37F9" w14:textId="25E2B4C5" w:rsidR="00BE1C34" w:rsidRDefault="00BE1C34" w:rsidP="00F82166">
            <w:pPr>
              <w:pStyle w:val="LB1-Table"/>
            </w:pPr>
            <w:r>
              <w:t>Tracked and corrected all defects; and</w:t>
            </w:r>
          </w:p>
          <w:p w14:paraId="7330B7C7" w14:textId="586D6FC8" w:rsidR="00BE1C34" w:rsidRDefault="00BE1C34" w:rsidP="00F82166">
            <w:pPr>
              <w:pStyle w:val="LB1-Table"/>
            </w:pPr>
            <w:r>
              <w:t>Verified and validated mock migrations.</w:t>
            </w:r>
          </w:p>
        </w:tc>
        <w:tc>
          <w:tcPr>
            <w:tcW w:w="1944" w:type="dxa"/>
          </w:tcPr>
          <w:p w14:paraId="2F07463B" w14:textId="41C479FC" w:rsidR="008128D5" w:rsidRPr="00F57DB3" w:rsidRDefault="008128D5" w:rsidP="008128D5">
            <w:pPr>
              <w:ind w:left="0"/>
            </w:pPr>
            <w:r w:rsidRPr="00F57DB3">
              <w:lastRenderedPageBreak/>
              <w:t>TBD in accordance with the IMS</w:t>
            </w:r>
          </w:p>
        </w:tc>
      </w:tr>
    </w:tbl>
    <w:p w14:paraId="782A9695" w14:textId="77777777" w:rsidR="00E448DB" w:rsidRDefault="00E448DB" w:rsidP="00E448DB"/>
    <w:p w14:paraId="75832B73" w14:textId="30B1DCCB" w:rsidR="00422A02" w:rsidRDefault="00E448DB" w:rsidP="00E448DB">
      <w:r w:rsidRPr="00BE56F2">
        <w:t xml:space="preserve">The </w:t>
      </w:r>
      <w:r>
        <w:t>Offeror must include a draft version of deliverable 6A with their proposal.</w:t>
      </w:r>
    </w:p>
    <w:p w14:paraId="644CA580" w14:textId="37FAC9B0" w:rsidR="000E77A6" w:rsidRDefault="00F05A0C" w:rsidP="00F05A0C">
      <w:pPr>
        <w:pStyle w:val="Heading3"/>
      </w:pPr>
      <w:bookmarkStart w:id="107" w:name="_Toc13567402"/>
      <w:r>
        <w:t>2.2.</w:t>
      </w:r>
      <w:r w:rsidR="00D01A0B">
        <w:t>7</w:t>
      </w:r>
      <w:r>
        <w:tab/>
      </w:r>
      <w:r w:rsidR="009B7E37">
        <w:t>Task</w:t>
      </w:r>
      <w:r w:rsidR="00D01A0B">
        <w:t xml:space="preserve"> 7</w:t>
      </w:r>
      <w:r w:rsidR="000E77A6">
        <w:t xml:space="preserve">: </w:t>
      </w:r>
      <w:r w:rsidR="00D01A0B">
        <w:t xml:space="preserve">Implement </w:t>
      </w:r>
      <w:r w:rsidR="00CB0C74">
        <w:t>Interface</w:t>
      </w:r>
      <w:r w:rsidR="00D01A0B">
        <w:t>s</w:t>
      </w:r>
      <w:bookmarkEnd w:id="107"/>
    </w:p>
    <w:p w14:paraId="08812C36" w14:textId="3C272EEF" w:rsidR="00B660EC" w:rsidRDefault="00294483" w:rsidP="00775603">
      <w:r w:rsidRPr="00BE56F2">
        <w:t xml:space="preserve">The </w:t>
      </w:r>
      <w:r>
        <w:t>Awarded Vendor will complete all activities necessary to</w:t>
      </w:r>
      <w:r w:rsidRPr="00F11001">
        <w:t xml:space="preserve"> </w:t>
      </w:r>
      <w:r w:rsidR="00A56603">
        <w:t>implement all new and replacement interfaces to their system</w:t>
      </w:r>
      <w:r w:rsidR="00775603" w:rsidRPr="00402F43">
        <w:t>.</w:t>
      </w:r>
    </w:p>
    <w:p w14:paraId="5F584AE4" w14:textId="77777777" w:rsidR="000C3630" w:rsidRDefault="000C3630" w:rsidP="00B660EC"/>
    <w:p w14:paraId="593DFE45" w14:textId="77777777" w:rsidR="000C3630" w:rsidRPr="00E21848" w:rsidRDefault="000C3630" w:rsidP="00265A40">
      <w:pPr>
        <w:keepNext/>
      </w:pPr>
      <w:r>
        <w:t>A</w:t>
      </w:r>
      <w:r w:rsidRPr="00E21848">
        <w:t>ctivities</w:t>
      </w:r>
      <w:r>
        <w:t xml:space="preserve"> </w:t>
      </w:r>
      <w:r w:rsidRPr="00E21848">
        <w:t>include:</w:t>
      </w:r>
    </w:p>
    <w:p w14:paraId="05899772" w14:textId="35A328BB" w:rsidR="0038375D" w:rsidRDefault="0038375D" w:rsidP="007D69F0">
      <w:pPr>
        <w:pStyle w:val="LB1"/>
      </w:pPr>
      <w:r>
        <w:t>Develop a detailed phased Interface Implementation Strategy and Plan</w:t>
      </w:r>
    </w:p>
    <w:p w14:paraId="0A839116" w14:textId="7100C1F3" w:rsidR="0038375D" w:rsidRDefault="004F637A" w:rsidP="00E16D2D">
      <w:pPr>
        <w:pStyle w:val="OB1"/>
      </w:pPr>
      <w:r>
        <w:t>Re</w:t>
      </w:r>
      <w:r w:rsidR="004E6501">
        <w:t>view</w:t>
      </w:r>
      <w:r w:rsidR="00227DAB">
        <w:t xml:space="preserve"> and confirm</w:t>
      </w:r>
      <w:r w:rsidR="0038375D">
        <w:t xml:space="preserve"> the </w:t>
      </w:r>
      <w:r w:rsidR="0004406F">
        <w:t xml:space="preserve">interfaces identified in </w:t>
      </w:r>
      <w:hyperlink w:anchor="_Attachment_7_–" w:history="1">
        <w:r w:rsidR="0004406F" w:rsidRPr="0004406F">
          <w:rPr>
            <w:rStyle w:val="Hyperlink"/>
          </w:rPr>
          <w:t>Attachment 7</w:t>
        </w:r>
      </w:hyperlink>
      <w:r w:rsidR="0004406F">
        <w:t xml:space="preserve">, UI Interface Summary, </w:t>
      </w:r>
      <w:r w:rsidR="0038375D">
        <w:t xml:space="preserve">and develop a detailed implementation strategy </w:t>
      </w:r>
      <w:r w:rsidR="004E6501">
        <w:t xml:space="preserve">and plan </w:t>
      </w:r>
      <w:r w:rsidR="0038375D">
        <w:t xml:space="preserve">which allows TWC to sustain continuous business and system operations </w:t>
      </w:r>
      <w:r w:rsidR="00D50E06">
        <w:t>for the duration of the Project</w:t>
      </w:r>
      <w:r w:rsidR="004D10D7">
        <w:t>. The interface approach must align with the solution implementation strategy proposed in Section 2.2.1</w:t>
      </w:r>
      <w:r w:rsidR="00D50E06">
        <w:t>;</w:t>
      </w:r>
    </w:p>
    <w:p w14:paraId="6B181289" w14:textId="0590F1A3" w:rsidR="00010F40" w:rsidRDefault="00010F40" w:rsidP="00F82166">
      <w:pPr>
        <w:pStyle w:val="OB1"/>
      </w:pPr>
      <w:r>
        <w:t xml:space="preserve">Ensure </w:t>
      </w:r>
      <w:r w:rsidRPr="00010F40">
        <w:t>all system interfaces are exactly described, by medium and by function, including inputs/outputs, data format, and frequency</w:t>
      </w:r>
      <w:r w:rsidR="00D50E06">
        <w:t>;</w:t>
      </w:r>
    </w:p>
    <w:p w14:paraId="751A3D6E" w14:textId="732EAD96" w:rsidR="00227DAB" w:rsidRDefault="00227DAB" w:rsidP="00F82166">
      <w:pPr>
        <w:pStyle w:val="OB1"/>
      </w:pPr>
      <w:r>
        <w:t xml:space="preserve">Interfaces that are no longer needed or will be replaced by System functionality may be excluded from the inventory with the approval of </w:t>
      </w:r>
      <w:r w:rsidR="00D50E06">
        <w:t>the TWC IT Project Manager; and</w:t>
      </w:r>
    </w:p>
    <w:p w14:paraId="35F5B702" w14:textId="79B2FF59" w:rsidR="0038375D" w:rsidRDefault="0038375D">
      <w:pPr>
        <w:pStyle w:val="OB1"/>
      </w:pPr>
      <w:r>
        <w:t xml:space="preserve">Collaborate with TWC SMEs to gather inputs for and create the </w:t>
      </w:r>
      <w:r w:rsidR="004D10D7">
        <w:t xml:space="preserve">Interface </w:t>
      </w:r>
      <w:r w:rsidR="004F637A">
        <w:t xml:space="preserve">Implementation </w:t>
      </w:r>
      <w:r>
        <w:t>Strategy and Plan</w:t>
      </w:r>
      <w:r w:rsidR="00A56603">
        <w:t>.</w:t>
      </w:r>
    </w:p>
    <w:p w14:paraId="27A1EE83" w14:textId="2BCFE2F3" w:rsidR="0038375D" w:rsidRDefault="00296001">
      <w:pPr>
        <w:pStyle w:val="LB1"/>
      </w:pPr>
      <w:r>
        <w:t>Implement the interfaces</w:t>
      </w:r>
    </w:p>
    <w:p w14:paraId="04C97D5A" w14:textId="74DD5382" w:rsidR="0038375D" w:rsidRDefault="00296001">
      <w:pPr>
        <w:pStyle w:val="OB1"/>
      </w:pPr>
      <w:r>
        <w:t>Conduct implementation and testing activities</w:t>
      </w:r>
      <w:r w:rsidR="00D50E06">
        <w:t>;</w:t>
      </w:r>
    </w:p>
    <w:p w14:paraId="5B2FFD3F" w14:textId="5C483947" w:rsidR="0038375D" w:rsidRDefault="00D50E06">
      <w:pPr>
        <w:pStyle w:val="OB1"/>
      </w:pPr>
      <w:r>
        <w:t>Track and correct defects;</w:t>
      </w:r>
    </w:p>
    <w:p w14:paraId="6A7E8EC2" w14:textId="70434043" w:rsidR="00253E01" w:rsidRDefault="00296001">
      <w:pPr>
        <w:pStyle w:val="OB1"/>
      </w:pPr>
      <w:r>
        <w:t xml:space="preserve">Verify and validate </w:t>
      </w:r>
      <w:r w:rsidR="007A6B6F">
        <w:t>interfaces</w:t>
      </w:r>
      <w:r w:rsidR="00D50E06">
        <w:t>; and</w:t>
      </w:r>
    </w:p>
    <w:p w14:paraId="00B44642" w14:textId="7630061E" w:rsidR="00296001" w:rsidRPr="00253E01" w:rsidRDefault="00296001">
      <w:pPr>
        <w:pStyle w:val="OB1"/>
      </w:pPr>
      <w:r>
        <w:t xml:space="preserve">Coordinate with </w:t>
      </w:r>
      <w:r w:rsidRPr="00F67B96">
        <w:t>stakeholders internal and external to TWC</w:t>
      </w:r>
      <w:r>
        <w:t>.</w:t>
      </w:r>
    </w:p>
    <w:p w14:paraId="3BF433B2" w14:textId="77777777" w:rsidR="000C3630" w:rsidRDefault="000C3630" w:rsidP="000C3630"/>
    <w:p w14:paraId="4DD8EA0B" w14:textId="419660D5" w:rsidR="00D01A0B" w:rsidRDefault="00272A05" w:rsidP="00D01A0B">
      <w:r>
        <w:t xml:space="preserve">The Awarded Vendor will complete the following </w:t>
      </w:r>
      <w:r w:rsidR="00B81B78">
        <w:t>deliverables during this Task</w:t>
      </w:r>
      <w:r w:rsidR="00D01A0B">
        <w:t>:</w:t>
      </w:r>
    </w:p>
    <w:tbl>
      <w:tblPr>
        <w:tblStyle w:val="TableGrid"/>
        <w:tblW w:w="10710" w:type="dxa"/>
        <w:tblInd w:w="175" w:type="dxa"/>
        <w:tblLayout w:type="fixed"/>
        <w:tblLook w:val="04A0" w:firstRow="1" w:lastRow="0" w:firstColumn="1" w:lastColumn="0" w:noHBand="0" w:noVBand="1"/>
        <w:tblDescription w:val="Implement Interfaces deliverables schedule table"/>
      </w:tblPr>
      <w:tblGrid>
        <w:gridCol w:w="936"/>
        <w:gridCol w:w="2214"/>
        <w:gridCol w:w="5670"/>
        <w:gridCol w:w="1890"/>
      </w:tblGrid>
      <w:tr w:rsidR="00D01A0B" w:rsidRPr="00873442" w14:paraId="7CAC3D14" w14:textId="77777777" w:rsidTr="00296001">
        <w:trPr>
          <w:tblHeader/>
        </w:trPr>
        <w:tc>
          <w:tcPr>
            <w:tcW w:w="936" w:type="dxa"/>
            <w:shd w:val="clear" w:color="auto" w:fill="DEEAF6" w:themeFill="accent1" w:themeFillTint="33"/>
            <w:vAlign w:val="bottom"/>
          </w:tcPr>
          <w:p w14:paraId="15978D9A" w14:textId="77777777" w:rsidR="00D01A0B" w:rsidRPr="004F202B" w:rsidRDefault="00D01A0B" w:rsidP="00553A63">
            <w:pPr>
              <w:keepNext/>
              <w:spacing w:after="0"/>
              <w:ind w:left="0"/>
              <w:jc w:val="center"/>
              <w:rPr>
                <w:rFonts w:cs="Arial"/>
                <w:b/>
                <w:color w:val="1F3864" w:themeColor="accent5" w:themeShade="80"/>
              </w:rPr>
            </w:pPr>
            <w:r w:rsidRPr="004F202B">
              <w:rPr>
                <w:rFonts w:cs="Arial"/>
                <w:b/>
                <w:color w:val="1F3864" w:themeColor="accent5" w:themeShade="80"/>
              </w:rPr>
              <w:t>No.</w:t>
            </w:r>
          </w:p>
        </w:tc>
        <w:tc>
          <w:tcPr>
            <w:tcW w:w="2214" w:type="dxa"/>
            <w:shd w:val="clear" w:color="auto" w:fill="DEEAF6" w:themeFill="accent1" w:themeFillTint="33"/>
          </w:tcPr>
          <w:p w14:paraId="72200C1B" w14:textId="77777777" w:rsidR="00D01A0B" w:rsidRPr="001B5E0B" w:rsidRDefault="00D01A0B" w:rsidP="00553A63">
            <w:pPr>
              <w:keepNext/>
              <w:spacing w:after="0"/>
              <w:ind w:left="0"/>
              <w:rPr>
                <w:rFonts w:cs="Arial"/>
                <w:b/>
                <w:color w:val="1F3864" w:themeColor="accent5" w:themeShade="80"/>
              </w:rPr>
            </w:pPr>
            <w:r>
              <w:rPr>
                <w:rFonts w:cs="Arial"/>
                <w:b/>
                <w:color w:val="1F3864" w:themeColor="accent5" w:themeShade="80"/>
              </w:rPr>
              <w:t>Deliverable</w:t>
            </w:r>
          </w:p>
        </w:tc>
        <w:tc>
          <w:tcPr>
            <w:tcW w:w="5670" w:type="dxa"/>
            <w:shd w:val="clear" w:color="auto" w:fill="DEEAF6" w:themeFill="accent1" w:themeFillTint="33"/>
          </w:tcPr>
          <w:p w14:paraId="527D6CBB" w14:textId="77777777" w:rsidR="00D01A0B" w:rsidRPr="001B5E0B" w:rsidRDefault="00D01A0B" w:rsidP="00553A63">
            <w:pPr>
              <w:keepNext/>
              <w:spacing w:after="0"/>
              <w:ind w:left="0"/>
              <w:rPr>
                <w:rFonts w:cs="Arial"/>
                <w:b/>
                <w:color w:val="1F3864" w:themeColor="accent5" w:themeShade="80"/>
              </w:rPr>
            </w:pPr>
            <w:r>
              <w:rPr>
                <w:rFonts w:cs="Arial"/>
                <w:b/>
                <w:color w:val="1F3864" w:themeColor="accent5" w:themeShade="80"/>
              </w:rPr>
              <w:t>Acceptance Criteria</w:t>
            </w:r>
          </w:p>
        </w:tc>
        <w:tc>
          <w:tcPr>
            <w:tcW w:w="1890" w:type="dxa"/>
            <w:shd w:val="clear" w:color="auto" w:fill="DEEAF6" w:themeFill="accent1" w:themeFillTint="33"/>
            <w:vAlign w:val="bottom"/>
          </w:tcPr>
          <w:p w14:paraId="30C124C4" w14:textId="77777777" w:rsidR="00D01A0B" w:rsidRPr="004F202B" w:rsidRDefault="00D01A0B" w:rsidP="00553A63">
            <w:pPr>
              <w:keepNext/>
              <w:spacing w:after="0"/>
              <w:ind w:left="0"/>
              <w:rPr>
                <w:rFonts w:cs="Arial"/>
                <w:b/>
                <w:color w:val="1F3864" w:themeColor="accent5" w:themeShade="80"/>
              </w:rPr>
            </w:pPr>
            <w:r>
              <w:rPr>
                <w:rFonts w:cs="Arial"/>
                <w:b/>
                <w:color w:val="1F3864" w:themeColor="accent5" w:themeShade="80"/>
              </w:rPr>
              <w:t>Due Date</w:t>
            </w:r>
          </w:p>
        </w:tc>
      </w:tr>
      <w:tr w:rsidR="00D01A0B" w:rsidRPr="00873442" w14:paraId="73E91B28" w14:textId="77777777" w:rsidTr="00296001">
        <w:tc>
          <w:tcPr>
            <w:tcW w:w="936" w:type="dxa"/>
          </w:tcPr>
          <w:p w14:paraId="76B02C36" w14:textId="69FDBE89" w:rsidR="00D01A0B" w:rsidRDefault="00D01A0B" w:rsidP="00553A63">
            <w:pPr>
              <w:ind w:left="0"/>
              <w:jc w:val="center"/>
            </w:pPr>
            <w:r>
              <w:t>7A</w:t>
            </w:r>
          </w:p>
        </w:tc>
        <w:tc>
          <w:tcPr>
            <w:tcW w:w="2214" w:type="dxa"/>
          </w:tcPr>
          <w:p w14:paraId="5F9D0EDF" w14:textId="7FE3E602" w:rsidR="00D01A0B" w:rsidRDefault="0038375D" w:rsidP="00553A63">
            <w:pPr>
              <w:ind w:left="0"/>
            </w:pPr>
            <w:r>
              <w:t>Interface Implementation</w:t>
            </w:r>
            <w:r w:rsidR="00D01A0B">
              <w:t xml:space="preserve"> </w:t>
            </w:r>
            <w:r w:rsidR="00D01A0B">
              <w:lastRenderedPageBreak/>
              <w:t>Strategy and Plan</w:t>
            </w:r>
          </w:p>
        </w:tc>
        <w:tc>
          <w:tcPr>
            <w:tcW w:w="5670" w:type="dxa"/>
          </w:tcPr>
          <w:p w14:paraId="27507993" w14:textId="2BC0EAF6" w:rsidR="00D01A0B" w:rsidRDefault="00D01A0B" w:rsidP="00553A63">
            <w:pPr>
              <w:ind w:left="0"/>
            </w:pPr>
            <w:r>
              <w:lastRenderedPageBreak/>
              <w:t>At a minimum, the Strategy and Plan must:</w:t>
            </w:r>
          </w:p>
          <w:p w14:paraId="278AD0A4" w14:textId="78B0C986" w:rsidR="001F3C2A" w:rsidRDefault="001F3C2A" w:rsidP="001F3C2A">
            <w:pPr>
              <w:pStyle w:val="LB1-Table"/>
            </w:pPr>
            <w:r>
              <w:t>Start interface activities as early as possible;</w:t>
            </w:r>
          </w:p>
          <w:p w14:paraId="07DF2520" w14:textId="1DB9E1F7" w:rsidR="00D01A0B" w:rsidRDefault="004637A8" w:rsidP="00E16D2D">
            <w:pPr>
              <w:pStyle w:val="LB1-Table"/>
            </w:pPr>
            <w:r>
              <w:lastRenderedPageBreak/>
              <w:t>Identify interfaces Awarded Vendor already developed for other states;</w:t>
            </w:r>
          </w:p>
          <w:p w14:paraId="7F1E76D3" w14:textId="52F9F943" w:rsidR="004637A8" w:rsidRDefault="004637A8" w:rsidP="00F82166">
            <w:pPr>
              <w:pStyle w:val="LB1-Table"/>
            </w:pPr>
            <w:r>
              <w:t>Define the interface architecture and technical specifications;</w:t>
            </w:r>
          </w:p>
          <w:p w14:paraId="5ADC5C1A" w14:textId="038F0B74" w:rsidR="004637A8" w:rsidRDefault="007F2B04" w:rsidP="00F82166">
            <w:pPr>
              <w:pStyle w:val="LB1-Table"/>
            </w:pPr>
            <w:r>
              <w:t xml:space="preserve">Describe </w:t>
            </w:r>
            <w:r w:rsidRPr="00F67B96">
              <w:t>the approach for coordinating with stakeholders internal and external to TWC</w:t>
            </w:r>
            <w:r>
              <w:t xml:space="preserve"> to ensure they can meet Project deadlines</w:t>
            </w:r>
            <w:r w:rsidR="004637A8">
              <w:t>;</w:t>
            </w:r>
          </w:p>
          <w:p w14:paraId="536B5077" w14:textId="01F668A6" w:rsidR="00D01A0B" w:rsidRDefault="004637A8">
            <w:pPr>
              <w:pStyle w:val="LB1-Table"/>
            </w:pPr>
            <w:r>
              <w:t xml:space="preserve">Identify Awarded Vendor </w:t>
            </w:r>
            <w:r w:rsidRPr="00F67B96">
              <w:t>and TWC roles and responsibilities</w:t>
            </w:r>
            <w:r w:rsidR="00D01A0B">
              <w:t>;</w:t>
            </w:r>
          </w:p>
          <w:p w14:paraId="42328E3F" w14:textId="77777777" w:rsidR="00281B60" w:rsidRDefault="004637A8">
            <w:pPr>
              <w:pStyle w:val="LB1-Table"/>
            </w:pPr>
            <w:r>
              <w:t xml:space="preserve">Describe the </w:t>
            </w:r>
            <w:r w:rsidRPr="00F67B96">
              <w:t xml:space="preserve">implementing and testing </w:t>
            </w:r>
            <w:r>
              <w:t>processes in detail</w:t>
            </w:r>
            <w:r w:rsidR="00281B60">
              <w:t>;</w:t>
            </w:r>
          </w:p>
          <w:p w14:paraId="5101B16A" w14:textId="77777777" w:rsidR="004D10D7" w:rsidRDefault="00281B60">
            <w:pPr>
              <w:pStyle w:val="LB1-Table"/>
            </w:pPr>
            <w:r>
              <w:t>Emphasize testing as early in development as possible, including using mock data and files</w:t>
            </w:r>
            <w:r w:rsidR="004637A8">
              <w:t xml:space="preserve">; </w:t>
            </w:r>
          </w:p>
          <w:p w14:paraId="65196C43" w14:textId="15921786" w:rsidR="004637A8" w:rsidRDefault="004D10D7">
            <w:pPr>
              <w:pStyle w:val="LB1-Table"/>
            </w:pPr>
            <w:r>
              <w:t xml:space="preserve">Validate system interface processes using migrated data defined and planned in Section 2.2.6; </w:t>
            </w:r>
            <w:r w:rsidR="004637A8">
              <w:t>and</w:t>
            </w:r>
          </w:p>
          <w:p w14:paraId="5284E8B7" w14:textId="66A345EF" w:rsidR="00D01A0B" w:rsidRDefault="00D01A0B">
            <w:pPr>
              <w:pStyle w:val="LB1-Table"/>
            </w:pPr>
            <w:r>
              <w:t xml:space="preserve">Align with </w:t>
            </w:r>
            <w:r w:rsidR="004637A8">
              <w:t xml:space="preserve">the </w:t>
            </w:r>
            <w:r w:rsidR="002A57F8">
              <w:t>IMS</w:t>
            </w:r>
            <w:r>
              <w:t>.</w:t>
            </w:r>
          </w:p>
        </w:tc>
        <w:tc>
          <w:tcPr>
            <w:tcW w:w="1890" w:type="dxa"/>
          </w:tcPr>
          <w:p w14:paraId="4FE088B3" w14:textId="77777777" w:rsidR="00D01A0B" w:rsidRPr="00F57DB3" w:rsidRDefault="00D01A0B" w:rsidP="00553A63">
            <w:pPr>
              <w:ind w:left="0"/>
            </w:pPr>
            <w:r w:rsidRPr="00F57DB3">
              <w:lastRenderedPageBreak/>
              <w:t>TBD in accordance with the IMS</w:t>
            </w:r>
          </w:p>
        </w:tc>
      </w:tr>
      <w:tr w:rsidR="00D01A0B" w:rsidRPr="00873442" w14:paraId="2E8D6029" w14:textId="77777777" w:rsidTr="00296001">
        <w:tc>
          <w:tcPr>
            <w:tcW w:w="936" w:type="dxa"/>
          </w:tcPr>
          <w:p w14:paraId="0DF4BB5A" w14:textId="2482C35B" w:rsidR="00D01A0B" w:rsidRDefault="00D01A0B" w:rsidP="00553A63">
            <w:pPr>
              <w:ind w:left="0"/>
              <w:jc w:val="center"/>
            </w:pPr>
            <w:r>
              <w:t>7B</w:t>
            </w:r>
          </w:p>
        </w:tc>
        <w:tc>
          <w:tcPr>
            <w:tcW w:w="2214" w:type="dxa"/>
          </w:tcPr>
          <w:p w14:paraId="00C429F7" w14:textId="68B967A9" w:rsidR="00D01A0B" w:rsidRDefault="00D01A0B" w:rsidP="00553A63">
            <w:pPr>
              <w:ind w:left="0"/>
            </w:pPr>
            <w:r>
              <w:t>Implemented Interfaces</w:t>
            </w:r>
          </w:p>
        </w:tc>
        <w:tc>
          <w:tcPr>
            <w:tcW w:w="5670" w:type="dxa"/>
          </w:tcPr>
          <w:p w14:paraId="098E14B5" w14:textId="4F882BF3" w:rsidR="007A6B6F" w:rsidRDefault="007A6B6F" w:rsidP="007A6B6F">
            <w:pPr>
              <w:ind w:left="0"/>
            </w:pPr>
            <w:r>
              <w:t>At a minimum, Awarded Vendor must demonstrate that they successfully:</w:t>
            </w:r>
          </w:p>
          <w:p w14:paraId="2ABD0FF7" w14:textId="1CDB3E94" w:rsidR="007A6B6F" w:rsidRDefault="007A6B6F" w:rsidP="00E16D2D">
            <w:pPr>
              <w:pStyle w:val="LB1-Table"/>
            </w:pPr>
            <w:r>
              <w:t>Conducted all implementation and testing activities;</w:t>
            </w:r>
          </w:p>
          <w:p w14:paraId="321A30A7" w14:textId="20F1A906" w:rsidR="007A6B6F" w:rsidRDefault="007A6B6F" w:rsidP="00F82166">
            <w:pPr>
              <w:pStyle w:val="LB1-Table"/>
            </w:pPr>
            <w:r>
              <w:t>Tracked and corrected all defects;</w:t>
            </w:r>
          </w:p>
          <w:p w14:paraId="0FBB6416" w14:textId="4C1625BE" w:rsidR="007A6B6F" w:rsidRDefault="007A6B6F" w:rsidP="00F82166">
            <w:pPr>
              <w:pStyle w:val="LB1-Table"/>
            </w:pPr>
            <w:r>
              <w:t>Verified and validated interfaces; and</w:t>
            </w:r>
          </w:p>
          <w:p w14:paraId="008A9A0A" w14:textId="48D653D9" w:rsidR="00D01A0B" w:rsidRDefault="007A6B6F">
            <w:pPr>
              <w:pStyle w:val="LB1-Table"/>
            </w:pPr>
            <w:r>
              <w:t xml:space="preserve">Coordinated with </w:t>
            </w:r>
            <w:r w:rsidRPr="00F67B96">
              <w:t>stakeholders internal and external to TWC</w:t>
            </w:r>
            <w:r>
              <w:t>.</w:t>
            </w:r>
          </w:p>
        </w:tc>
        <w:tc>
          <w:tcPr>
            <w:tcW w:w="1890" w:type="dxa"/>
          </w:tcPr>
          <w:p w14:paraId="604412AD" w14:textId="1042DD9F" w:rsidR="00D01A0B" w:rsidRPr="00F57DB3" w:rsidRDefault="007A6B6F" w:rsidP="00553A63">
            <w:pPr>
              <w:ind w:left="0"/>
            </w:pPr>
            <w:r w:rsidRPr="00F57DB3">
              <w:t>TBD in accordance with the IMS</w:t>
            </w:r>
          </w:p>
        </w:tc>
      </w:tr>
    </w:tbl>
    <w:p w14:paraId="1C531489" w14:textId="77777777" w:rsidR="00E448DB" w:rsidRDefault="00E448DB" w:rsidP="00E448DB"/>
    <w:p w14:paraId="562FE93A" w14:textId="351E1271" w:rsidR="00D01A0B" w:rsidRDefault="00E448DB" w:rsidP="00E448DB">
      <w:r w:rsidRPr="00BE56F2">
        <w:t xml:space="preserve">The </w:t>
      </w:r>
      <w:r>
        <w:t>Offeror must include a draft version of deliverable 7A with their proposal.</w:t>
      </w:r>
    </w:p>
    <w:p w14:paraId="540C1640" w14:textId="36E0A15E" w:rsidR="00784846" w:rsidRDefault="00784846" w:rsidP="00784846">
      <w:pPr>
        <w:pStyle w:val="Heading3"/>
      </w:pPr>
      <w:bookmarkStart w:id="108" w:name="_Toc13567403"/>
      <w:bookmarkStart w:id="109" w:name="_Hlk529432481"/>
      <w:r>
        <w:t>2.2.8</w:t>
      </w:r>
      <w:r>
        <w:tab/>
      </w:r>
      <w:r w:rsidR="009B7E37">
        <w:t>Task</w:t>
      </w:r>
      <w:r>
        <w:t xml:space="preserve"> 8: Replace Reports</w:t>
      </w:r>
      <w:bookmarkEnd w:id="108"/>
    </w:p>
    <w:p w14:paraId="6EBE7202" w14:textId="42707D22" w:rsidR="00784846" w:rsidRDefault="004D10D7" w:rsidP="00784846">
      <w:r>
        <w:t xml:space="preserve">The Awarded Vendor will perform activities necessary to provide a comprehensive reporting capability and to support all Federal, Legislative, and internal planning data analysis reporting needs. Reporting scope is based on TWC’s existing reports, documented in </w:t>
      </w:r>
      <w:hyperlink w:anchor="_Attachment_8_–" w:history="1">
        <w:r>
          <w:rPr>
            <w:rStyle w:val="Hyperlink"/>
          </w:rPr>
          <w:t>Attachment 8</w:t>
        </w:r>
      </w:hyperlink>
      <w:r>
        <w:rPr>
          <w:rStyle w:val="Hyperlink"/>
        </w:rPr>
        <w:t>.</w:t>
      </w:r>
    </w:p>
    <w:p w14:paraId="1B28B1FC" w14:textId="77777777" w:rsidR="00784846" w:rsidRDefault="00784846" w:rsidP="00784846">
      <w:r>
        <w:t>A</w:t>
      </w:r>
      <w:r w:rsidRPr="00E21848">
        <w:t>ctivities</w:t>
      </w:r>
      <w:r>
        <w:t xml:space="preserve"> </w:t>
      </w:r>
      <w:r w:rsidRPr="00E21848">
        <w:t>include:</w:t>
      </w:r>
    </w:p>
    <w:p w14:paraId="0340E2BF" w14:textId="29D12953" w:rsidR="00784846" w:rsidRDefault="00784846" w:rsidP="00E16D2D">
      <w:pPr>
        <w:pStyle w:val="LB1"/>
      </w:pPr>
      <w:r>
        <w:t xml:space="preserve">Confirm the current </w:t>
      </w:r>
      <w:r w:rsidR="003F4E46">
        <w:t xml:space="preserve">report and </w:t>
      </w:r>
      <w:r w:rsidR="003C345A">
        <w:t xml:space="preserve">ad hoc query </w:t>
      </w:r>
      <w:r>
        <w:t xml:space="preserve">inventory with the appropriate </w:t>
      </w:r>
      <w:r w:rsidR="0057737F" w:rsidRPr="00E21848">
        <w:t>program/</w:t>
      </w:r>
      <w:r w:rsidR="00B34B90" w:rsidRPr="00E21848">
        <w:t>business area</w:t>
      </w:r>
      <w:r w:rsidR="003A7E24">
        <w:t>(s)</w:t>
      </w:r>
      <w:r>
        <w:t xml:space="preserve">. </w:t>
      </w:r>
      <w:r w:rsidR="003F4E46">
        <w:t xml:space="preserve">Reports and queries </w:t>
      </w:r>
      <w:r>
        <w:t>that are no longer needed or will be replaced by System functionality through dashboards, screens, etc. may be excluded from the inventory with the approval of the TWC IT Project Manager</w:t>
      </w:r>
      <w:r w:rsidR="00085EB3" w:rsidRPr="00085EB3">
        <w:t xml:space="preserve"> </w:t>
      </w:r>
      <w:r w:rsidR="00085EB3">
        <w:t>and Program Project Manager</w:t>
      </w:r>
      <w:r w:rsidR="00D50E06">
        <w:t>;</w:t>
      </w:r>
    </w:p>
    <w:p w14:paraId="7A02C12B" w14:textId="44195A2A" w:rsidR="00341A7A" w:rsidRDefault="00341A7A" w:rsidP="00F82166">
      <w:pPr>
        <w:pStyle w:val="LB1"/>
      </w:pPr>
      <w:r>
        <w:lastRenderedPageBreak/>
        <w:t xml:space="preserve">Confirm and document requirements for future state reports and queries; </w:t>
      </w:r>
    </w:p>
    <w:p w14:paraId="7A9327A1" w14:textId="1C869B25" w:rsidR="00341A7A" w:rsidRDefault="00341A7A" w:rsidP="00F82166">
      <w:pPr>
        <w:pStyle w:val="LB1"/>
      </w:pPr>
      <w:r>
        <w:t>Design and document the reporting environment so that it is responsive and will not negatively impact the Production environment;</w:t>
      </w:r>
      <w:r w:rsidRPr="00341A7A">
        <w:t xml:space="preserve"> </w:t>
      </w:r>
      <w:r>
        <w:t>and</w:t>
      </w:r>
    </w:p>
    <w:p w14:paraId="20C049DB" w14:textId="77777777" w:rsidR="00784846" w:rsidRDefault="00784846">
      <w:pPr>
        <w:pStyle w:val="LB1"/>
      </w:pPr>
      <w:r>
        <w:t>Implement the replacement reports and queries.</w:t>
      </w:r>
    </w:p>
    <w:bookmarkEnd w:id="109"/>
    <w:p w14:paraId="0BDE272F" w14:textId="77777777" w:rsidR="00784846" w:rsidRDefault="00784846" w:rsidP="00784846"/>
    <w:p w14:paraId="5C918A3B" w14:textId="270CA2BE" w:rsidR="00784846" w:rsidRDefault="00272A05" w:rsidP="00784846">
      <w:r>
        <w:t xml:space="preserve">The Awarded Vendor will complete the following </w:t>
      </w:r>
      <w:r w:rsidR="00B81B78">
        <w:t>deliverables during this Task</w:t>
      </w:r>
      <w:r w:rsidR="00784846">
        <w:t>:</w:t>
      </w:r>
    </w:p>
    <w:tbl>
      <w:tblPr>
        <w:tblStyle w:val="TableGrid"/>
        <w:tblW w:w="10764" w:type="dxa"/>
        <w:tblInd w:w="175" w:type="dxa"/>
        <w:tblLayout w:type="fixed"/>
        <w:tblLook w:val="04A0" w:firstRow="1" w:lastRow="0" w:firstColumn="1" w:lastColumn="0" w:noHBand="0" w:noVBand="1"/>
        <w:tblDescription w:val="Replace reports deliverables schedule table"/>
      </w:tblPr>
      <w:tblGrid>
        <w:gridCol w:w="936"/>
        <w:gridCol w:w="2124"/>
        <w:gridCol w:w="5850"/>
        <w:gridCol w:w="1854"/>
      </w:tblGrid>
      <w:tr w:rsidR="00784846" w:rsidRPr="00873442" w14:paraId="05ADA825" w14:textId="77777777" w:rsidTr="00421E44">
        <w:trPr>
          <w:cantSplit/>
          <w:tblHeader/>
        </w:trPr>
        <w:tc>
          <w:tcPr>
            <w:tcW w:w="936" w:type="dxa"/>
            <w:shd w:val="clear" w:color="auto" w:fill="DEEAF6" w:themeFill="accent1" w:themeFillTint="33"/>
            <w:vAlign w:val="bottom"/>
          </w:tcPr>
          <w:p w14:paraId="5670DB70" w14:textId="77777777" w:rsidR="00784846" w:rsidRPr="004F202B" w:rsidRDefault="00784846" w:rsidP="00553A63">
            <w:pPr>
              <w:keepNext/>
              <w:spacing w:after="0"/>
              <w:ind w:left="0"/>
              <w:jc w:val="center"/>
              <w:rPr>
                <w:rFonts w:cs="Arial"/>
                <w:b/>
                <w:color w:val="1F3864" w:themeColor="accent5" w:themeShade="80"/>
              </w:rPr>
            </w:pPr>
            <w:r w:rsidRPr="004F202B">
              <w:rPr>
                <w:rFonts w:cs="Arial"/>
                <w:b/>
                <w:color w:val="1F3864" w:themeColor="accent5" w:themeShade="80"/>
              </w:rPr>
              <w:t>No.</w:t>
            </w:r>
          </w:p>
        </w:tc>
        <w:tc>
          <w:tcPr>
            <w:tcW w:w="2124" w:type="dxa"/>
            <w:shd w:val="clear" w:color="auto" w:fill="DEEAF6" w:themeFill="accent1" w:themeFillTint="33"/>
          </w:tcPr>
          <w:p w14:paraId="429F4801" w14:textId="77777777" w:rsidR="00784846" w:rsidRPr="001B5E0B" w:rsidRDefault="00784846" w:rsidP="00553A63">
            <w:pPr>
              <w:keepNext/>
              <w:spacing w:after="0"/>
              <w:ind w:left="0"/>
              <w:rPr>
                <w:rFonts w:cs="Arial"/>
                <w:b/>
                <w:color w:val="1F3864" w:themeColor="accent5" w:themeShade="80"/>
              </w:rPr>
            </w:pPr>
            <w:r>
              <w:rPr>
                <w:rFonts w:cs="Arial"/>
                <w:b/>
                <w:color w:val="1F3864" w:themeColor="accent5" w:themeShade="80"/>
              </w:rPr>
              <w:t>Deliverable</w:t>
            </w:r>
          </w:p>
        </w:tc>
        <w:tc>
          <w:tcPr>
            <w:tcW w:w="5850" w:type="dxa"/>
            <w:shd w:val="clear" w:color="auto" w:fill="DEEAF6" w:themeFill="accent1" w:themeFillTint="33"/>
          </w:tcPr>
          <w:p w14:paraId="739A32EA" w14:textId="77777777" w:rsidR="00784846" w:rsidRPr="001B5E0B" w:rsidRDefault="00784846" w:rsidP="00553A63">
            <w:pPr>
              <w:keepNext/>
              <w:spacing w:after="0"/>
              <w:ind w:left="0"/>
              <w:rPr>
                <w:rFonts w:cs="Arial"/>
                <w:b/>
                <w:color w:val="1F3864" w:themeColor="accent5" w:themeShade="80"/>
              </w:rPr>
            </w:pPr>
            <w:r>
              <w:rPr>
                <w:rFonts w:cs="Arial"/>
                <w:b/>
                <w:color w:val="1F3864" w:themeColor="accent5" w:themeShade="80"/>
              </w:rPr>
              <w:t>Acceptance Criteria</w:t>
            </w:r>
          </w:p>
        </w:tc>
        <w:tc>
          <w:tcPr>
            <w:tcW w:w="1854" w:type="dxa"/>
            <w:shd w:val="clear" w:color="auto" w:fill="DEEAF6" w:themeFill="accent1" w:themeFillTint="33"/>
            <w:vAlign w:val="bottom"/>
          </w:tcPr>
          <w:p w14:paraId="7DA03211" w14:textId="77777777" w:rsidR="00784846" w:rsidRPr="004F202B" w:rsidRDefault="00784846" w:rsidP="00553A63">
            <w:pPr>
              <w:keepNext/>
              <w:spacing w:after="0"/>
              <w:ind w:left="0"/>
              <w:rPr>
                <w:rFonts w:cs="Arial"/>
                <w:b/>
                <w:color w:val="1F3864" w:themeColor="accent5" w:themeShade="80"/>
              </w:rPr>
            </w:pPr>
            <w:r>
              <w:rPr>
                <w:rFonts w:cs="Arial"/>
                <w:b/>
                <w:color w:val="1F3864" w:themeColor="accent5" w:themeShade="80"/>
              </w:rPr>
              <w:t>Due Date</w:t>
            </w:r>
          </w:p>
        </w:tc>
      </w:tr>
      <w:tr w:rsidR="00784846" w:rsidRPr="00873442" w14:paraId="595D6448" w14:textId="77777777" w:rsidTr="00421E44">
        <w:trPr>
          <w:cantSplit/>
        </w:trPr>
        <w:tc>
          <w:tcPr>
            <w:tcW w:w="936" w:type="dxa"/>
          </w:tcPr>
          <w:p w14:paraId="7218518E" w14:textId="6C8D7492" w:rsidR="00784846" w:rsidRDefault="008A70C8" w:rsidP="00553A63">
            <w:pPr>
              <w:ind w:left="0"/>
              <w:jc w:val="center"/>
            </w:pPr>
            <w:r>
              <w:t>8</w:t>
            </w:r>
            <w:r w:rsidR="00784846">
              <w:t>A</w:t>
            </w:r>
          </w:p>
        </w:tc>
        <w:tc>
          <w:tcPr>
            <w:tcW w:w="2124" w:type="dxa"/>
          </w:tcPr>
          <w:p w14:paraId="29FDA4AE" w14:textId="013F1DEF" w:rsidR="00784846" w:rsidRDefault="00784846" w:rsidP="00553A63">
            <w:pPr>
              <w:ind w:left="0"/>
            </w:pPr>
            <w:r>
              <w:t xml:space="preserve">Inventory of all Required </w:t>
            </w:r>
            <w:r w:rsidR="003F4E46">
              <w:t xml:space="preserve">Reports and Ad Hoc Queries </w:t>
            </w:r>
            <w:r>
              <w:t xml:space="preserve">(See </w:t>
            </w:r>
            <w:hyperlink w:anchor="_Attachment_8_–" w:history="1">
              <w:r w:rsidRPr="008A70C8">
                <w:rPr>
                  <w:rStyle w:val="Hyperlink"/>
                </w:rPr>
                <w:t>Attachment 8</w:t>
              </w:r>
            </w:hyperlink>
            <w:r>
              <w:t>)</w:t>
            </w:r>
          </w:p>
        </w:tc>
        <w:tc>
          <w:tcPr>
            <w:tcW w:w="5850" w:type="dxa"/>
          </w:tcPr>
          <w:p w14:paraId="02A376DD" w14:textId="09641FFD" w:rsidR="00784846" w:rsidRDefault="003A7E24" w:rsidP="00553A63">
            <w:pPr>
              <w:ind w:left="0"/>
            </w:pPr>
            <w:r>
              <w:t>At a minimum, the Inventory must:</w:t>
            </w:r>
          </w:p>
          <w:p w14:paraId="76C2A457" w14:textId="4CBE17FE" w:rsidR="003F4E46" w:rsidRDefault="003F4E46" w:rsidP="00E16D2D">
            <w:pPr>
              <w:pStyle w:val="LB1-Table"/>
            </w:pPr>
            <w:r>
              <w:t>Plan and schedule report replacement in WBS to align with</w:t>
            </w:r>
            <w:r w:rsidR="00D50E06">
              <w:t xml:space="preserve"> phased implementation schedule; and</w:t>
            </w:r>
          </w:p>
          <w:p w14:paraId="5413B2FB" w14:textId="2F57B4B8" w:rsidR="00784846" w:rsidRDefault="003F4E46" w:rsidP="00F82166">
            <w:pPr>
              <w:pStyle w:val="LB1-Table"/>
            </w:pPr>
            <w:r>
              <w:t>Include queries which end users may run themselves.</w:t>
            </w:r>
          </w:p>
        </w:tc>
        <w:tc>
          <w:tcPr>
            <w:tcW w:w="1854" w:type="dxa"/>
          </w:tcPr>
          <w:p w14:paraId="12C637F5" w14:textId="77777777" w:rsidR="00784846" w:rsidRDefault="00784846" w:rsidP="00553A63">
            <w:pPr>
              <w:ind w:left="0"/>
            </w:pPr>
            <w:r w:rsidRPr="00F57DB3">
              <w:t>TBD in accordance with the IMS</w:t>
            </w:r>
          </w:p>
        </w:tc>
      </w:tr>
      <w:tr w:rsidR="00784846" w:rsidRPr="00873442" w14:paraId="22CE74F5" w14:textId="77777777" w:rsidTr="00421E44">
        <w:trPr>
          <w:cantSplit/>
        </w:trPr>
        <w:tc>
          <w:tcPr>
            <w:tcW w:w="936" w:type="dxa"/>
          </w:tcPr>
          <w:p w14:paraId="47107E18" w14:textId="47F26B1A" w:rsidR="00784846" w:rsidRDefault="008A70C8" w:rsidP="00553A63">
            <w:pPr>
              <w:ind w:left="0"/>
              <w:jc w:val="center"/>
            </w:pPr>
            <w:r>
              <w:t>8</w:t>
            </w:r>
            <w:r w:rsidR="003F4E46">
              <w:t>B</w:t>
            </w:r>
          </w:p>
        </w:tc>
        <w:tc>
          <w:tcPr>
            <w:tcW w:w="2124" w:type="dxa"/>
          </w:tcPr>
          <w:p w14:paraId="5EC244EB" w14:textId="77777777" w:rsidR="00784846" w:rsidRDefault="00784846" w:rsidP="00553A63">
            <w:pPr>
              <w:ind w:left="0"/>
            </w:pPr>
            <w:r>
              <w:t>Confirm and Document Requirements for Reports and Ad Hoc Queries</w:t>
            </w:r>
          </w:p>
        </w:tc>
        <w:tc>
          <w:tcPr>
            <w:tcW w:w="5850" w:type="dxa"/>
          </w:tcPr>
          <w:p w14:paraId="5DDAE248" w14:textId="0AC63FA4" w:rsidR="00784846" w:rsidRDefault="00421E44" w:rsidP="00553A63">
            <w:pPr>
              <w:ind w:left="0"/>
            </w:pPr>
            <w:r>
              <w:t>At a minimum, the Requirements must</w:t>
            </w:r>
            <w:r w:rsidR="00784846">
              <w:t>:</w:t>
            </w:r>
          </w:p>
          <w:p w14:paraId="60C8D3DE" w14:textId="77777777" w:rsidR="00341A7A" w:rsidRDefault="00784846" w:rsidP="00E16D2D">
            <w:pPr>
              <w:pStyle w:val="LB1-Table"/>
            </w:pPr>
            <w:r>
              <w:t xml:space="preserve">Be documented in TWC’s ALM; </w:t>
            </w:r>
          </w:p>
          <w:p w14:paraId="1B763F79" w14:textId="77777777" w:rsidR="00341A7A" w:rsidRDefault="00421E44" w:rsidP="00F82166">
            <w:pPr>
              <w:pStyle w:val="LB1-Table"/>
            </w:pPr>
            <w:r>
              <w:t>Include all required reports and queries required by TWC in approved inventory</w:t>
            </w:r>
            <w:r w:rsidR="00341A7A">
              <w:t>; and</w:t>
            </w:r>
          </w:p>
          <w:p w14:paraId="5E34BFD9" w14:textId="795BB2DD" w:rsidR="00784846" w:rsidRDefault="00341A7A" w:rsidP="00F82166">
            <w:pPr>
              <w:pStyle w:val="LB1-Table"/>
            </w:pPr>
            <w:r>
              <w:t xml:space="preserve">Specify the </w:t>
            </w:r>
            <w:r w:rsidR="00396A7D">
              <w:t xml:space="preserve">environment for </w:t>
            </w:r>
            <w:r>
              <w:t>report</w:t>
            </w:r>
            <w:r w:rsidR="00396A7D">
              <w:t>s and queries</w:t>
            </w:r>
            <w:r w:rsidR="00784846">
              <w:t>.</w:t>
            </w:r>
          </w:p>
        </w:tc>
        <w:tc>
          <w:tcPr>
            <w:tcW w:w="1854" w:type="dxa"/>
          </w:tcPr>
          <w:p w14:paraId="28B0D454" w14:textId="77777777" w:rsidR="00784846" w:rsidRPr="00F57DB3" w:rsidRDefault="00784846" w:rsidP="00553A63">
            <w:pPr>
              <w:ind w:left="0"/>
            </w:pPr>
            <w:r w:rsidRPr="00F57DB3">
              <w:t>TBD in accordance with the IMS</w:t>
            </w:r>
          </w:p>
        </w:tc>
      </w:tr>
      <w:tr w:rsidR="00784846" w:rsidRPr="00873442" w14:paraId="03C53542" w14:textId="77777777" w:rsidTr="00421E44">
        <w:trPr>
          <w:cantSplit/>
        </w:trPr>
        <w:tc>
          <w:tcPr>
            <w:tcW w:w="936" w:type="dxa"/>
          </w:tcPr>
          <w:p w14:paraId="656997B2" w14:textId="7DE5A922" w:rsidR="00784846" w:rsidRDefault="008A70C8" w:rsidP="00553A63">
            <w:pPr>
              <w:ind w:left="0"/>
              <w:jc w:val="center"/>
            </w:pPr>
            <w:r>
              <w:t>8</w:t>
            </w:r>
            <w:r w:rsidR="003F4E46">
              <w:t>C</w:t>
            </w:r>
          </w:p>
        </w:tc>
        <w:tc>
          <w:tcPr>
            <w:tcW w:w="2124" w:type="dxa"/>
          </w:tcPr>
          <w:p w14:paraId="1EED6673" w14:textId="77777777" w:rsidR="00784846" w:rsidRDefault="00784846" w:rsidP="00553A63">
            <w:pPr>
              <w:ind w:left="0"/>
            </w:pPr>
            <w:r>
              <w:t>Implement Replacement Reports and Queries</w:t>
            </w:r>
          </w:p>
        </w:tc>
        <w:tc>
          <w:tcPr>
            <w:tcW w:w="5850" w:type="dxa"/>
          </w:tcPr>
          <w:p w14:paraId="14801B01" w14:textId="6D615284" w:rsidR="00784846" w:rsidRDefault="003A7E24" w:rsidP="00553A63">
            <w:pPr>
              <w:ind w:left="0"/>
            </w:pPr>
            <w:r>
              <w:t>At a minimum, Awarded Vendor must demonstrate that they successfully</w:t>
            </w:r>
            <w:r w:rsidR="00784846">
              <w:t>:</w:t>
            </w:r>
          </w:p>
          <w:p w14:paraId="496267B3" w14:textId="34289958" w:rsidR="003A7E24" w:rsidRDefault="003A7E24" w:rsidP="00E16D2D">
            <w:pPr>
              <w:pStyle w:val="LB1-Table"/>
            </w:pPr>
            <w:r>
              <w:t>Conducted all report implementation and testing activities;</w:t>
            </w:r>
          </w:p>
          <w:p w14:paraId="5F3115EB" w14:textId="1C479EDB" w:rsidR="003A7E24" w:rsidRDefault="003A7E24" w:rsidP="00F82166">
            <w:pPr>
              <w:pStyle w:val="LB1-Table"/>
            </w:pPr>
            <w:r>
              <w:t>Tracked and corrected all defects;</w:t>
            </w:r>
            <w:r w:rsidR="009149E9">
              <w:t xml:space="preserve"> and</w:t>
            </w:r>
          </w:p>
          <w:p w14:paraId="27FC9881" w14:textId="3A5F1AC7" w:rsidR="00784846" w:rsidRDefault="003A7E24" w:rsidP="00F82166">
            <w:pPr>
              <w:pStyle w:val="LB1-Table"/>
            </w:pPr>
            <w:r>
              <w:t xml:space="preserve">Verified and validated </w:t>
            </w:r>
            <w:r w:rsidR="00421E44">
              <w:t>data and results</w:t>
            </w:r>
            <w:r w:rsidR="009149E9">
              <w:t>.</w:t>
            </w:r>
          </w:p>
        </w:tc>
        <w:tc>
          <w:tcPr>
            <w:tcW w:w="1854" w:type="dxa"/>
          </w:tcPr>
          <w:p w14:paraId="2073565F" w14:textId="77777777" w:rsidR="00784846" w:rsidRPr="00F57DB3" w:rsidRDefault="00784846" w:rsidP="00553A63">
            <w:pPr>
              <w:ind w:left="0"/>
            </w:pPr>
            <w:r w:rsidRPr="00F57DB3">
              <w:t>TBD in accordance with the IMS</w:t>
            </w:r>
          </w:p>
        </w:tc>
      </w:tr>
    </w:tbl>
    <w:p w14:paraId="3F98E80A" w14:textId="77777777" w:rsidR="00784846" w:rsidRPr="00E21848" w:rsidRDefault="00784846" w:rsidP="00784846"/>
    <w:p w14:paraId="780ADAEF" w14:textId="495FE85C" w:rsidR="000E77A6" w:rsidRDefault="00F05A0C" w:rsidP="00F05A0C">
      <w:pPr>
        <w:pStyle w:val="Heading3"/>
      </w:pPr>
      <w:bookmarkStart w:id="110" w:name="_Toc13567404"/>
      <w:r>
        <w:t>2.2.</w:t>
      </w:r>
      <w:r w:rsidR="00145AA4">
        <w:t>9</w:t>
      </w:r>
      <w:r>
        <w:tab/>
      </w:r>
      <w:r w:rsidR="009B7E37">
        <w:t>Task</w:t>
      </w:r>
      <w:r w:rsidR="000E77A6">
        <w:t xml:space="preserve"> </w:t>
      </w:r>
      <w:r w:rsidR="00145AA4">
        <w:t>9</w:t>
      </w:r>
      <w:r w:rsidR="000E77A6">
        <w:t xml:space="preserve">: </w:t>
      </w:r>
      <w:r w:rsidR="00145AA4">
        <w:t>Plan and Implement</w:t>
      </w:r>
      <w:r w:rsidR="00F51632">
        <w:t xml:space="preserve"> OCM</w:t>
      </w:r>
      <w:bookmarkEnd w:id="110"/>
    </w:p>
    <w:p w14:paraId="3FED3C72" w14:textId="7417EE6D" w:rsidR="00983FE3" w:rsidRPr="00C6449B" w:rsidRDefault="00B7491A" w:rsidP="00983FE3">
      <w:r>
        <w:t xml:space="preserve">The Awarded Vendor will perform activities necessary to </w:t>
      </w:r>
      <w:r w:rsidR="00DB018C">
        <w:t xml:space="preserve">migrate </w:t>
      </w:r>
      <w:r w:rsidR="00FC29A3">
        <w:t xml:space="preserve">TWC </w:t>
      </w:r>
      <w:r w:rsidR="00983FE3">
        <w:t xml:space="preserve">UI </w:t>
      </w:r>
      <w:r w:rsidR="00DB018C">
        <w:t xml:space="preserve">Staff </w:t>
      </w:r>
      <w:r w:rsidR="00E0433B">
        <w:t xml:space="preserve">and Customers </w:t>
      </w:r>
      <w:r w:rsidR="00FC29A3">
        <w:t xml:space="preserve">at all levels </w:t>
      </w:r>
      <w:r w:rsidR="00DB018C">
        <w:t xml:space="preserve">from </w:t>
      </w:r>
      <w:r w:rsidR="00FC29A3">
        <w:t xml:space="preserve">the </w:t>
      </w:r>
      <w:r w:rsidR="00DB018C">
        <w:t>existing (“as-is”) business environment to the future (“to</w:t>
      </w:r>
      <w:r w:rsidR="00FC29A3">
        <w:t>-</w:t>
      </w:r>
      <w:r w:rsidR="00DB018C">
        <w:t>be”) business environment.</w:t>
      </w:r>
      <w:r w:rsidR="00C71B5D">
        <w:t xml:space="preserve"> The goal of these services is to e</w:t>
      </w:r>
      <w:r w:rsidR="00C71B5D" w:rsidRPr="00C71B5D">
        <w:t xml:space="preserve">quip and support </w:t>
      </w:r>
      <w:r w:rsidR="00C71B5D">
        <w:t xml:space="preserve">Staff </w:t>
      </w:r>
      <w:r w:rsidR="00E0433B">
        <w:t xml:space="preserve">and Customers </w:t>
      </w:r>
      <w:r w:rsidR="00C71B5D" w:rsidRPr="00C71B5D">
        <w:t>to successfully adopt change</w:t>
      </w:r>
      <w:r w:rsidR="00C71B5D">
        <w:t>.</w:t>
      </w:r>
      <w:r w:rsidR="00983FE3" w:rsidRPr="00983FE3">
        <w:t xml:space="preserve"> </w:t>
      </w:r>
      <w:r w:rsidR="000D5F96">
        <w:t xml:space="preserve">TWC UI Customers are those who interact with the TWC UI Program including Claimants, Employers, TPAs, Accountants, </w:t>
      </w:r>
      <w:r w:rsidR="00C6449B">
        <w:t xml:space="preserve">Attorneys/Representatives, </w:t>
      </w:r>
      <w:r w:rsidR="00C6449B" w:rsidRPr="00C6449B">
        <w:t>Other Governmental Entities</w:t>
      </w:r>
      <w:r w:rsidR="00C6449B">
        <w:t>, Law Enforcement, and other external parties</w:t>
      </w:r>
      <w:r w:rsidR="00983FE3">
        <w:t>.</w:t>
      </w:r>
    </w:p>
    <w:p w14:paraId="2DCA3E11" w14:textId="5A30F8D8" w:rsidR="00DB018C" w:rsidRDefault="00DB018C" w:rsidP="00E91B50"/>
    <w:p w14:paraId="0F15806D" w14:textId="782C7425" w:rsidR="00DB018C" w:rsidRDefault="00FC29A3" w:rsidP="00E91B50">
      <w:r>
        <w:t>Activities include:</w:t>
      </w:r>
    </w:p>
    <w:p w14:paraId="1A40CDFD" w14:textId="12E80249" w:rsidR="00317609" w:rsidRDefault="00317609" w:rsidP="00E16D2D">
      <w:pPr>
        <w:pStyle w:val="LB1"/>
      </w:pPr>
      <w:r>
        <w:t>Develop a detailed OCM Plan</w:t>
      </w:r>
    </w:p>
    <w:p w14:paraId="432B114A" w14:textId="62635369" w:rsidR="00317609" w:rsidRPr="00F51632" w:rsidRDefault="004D0BD2" w:rsidP="00F82166">
      <w:pPr>
        <w:pStyle w:val="OB1"/>
      </w:pPr>
      <w:r>
        <w:t>C</w:t>
      </w:r>
      <w:r w:rsidR="003D7979" w:rsidRPr="00F51632">
        <w:t>ollaborate with TWC stakeholders</w:t>
      </w:r>
      <w:r w:rsidR="00332EE1">
        <w:t xml:space="preserve"> to gather inputs for the Plan;</w:t>
      </w:r>
    </w:p>
    <w:p w14:paraId="07B58460" w14:textId="326290C3" w:rsidR="00BF3AD7" w:rsidRPr="00F51632" w:rsidRDefault="00BF3AD7" w:rsidP="00F82166">
      <w:pPr>
        <w:pStyle w:val="OB1"/>
      </w:pPr>
      <w:r w:rsidRPr="00F51632">
        <w:lastRenderedPageBreak/>
        <w:t>Prepare an Organizational Readiness Assessment detailing TWC’s aptitude and capacity for change and recommendations to guide the change progr</w:t>
      </w:r>
      <w:r w:rsidR="00332EE1">
        <w:t>am to realize expected outcomes;</w:t>
      </w:r>
    </w:p>
    <w:p w14:paraId="225CCE20" w14:textId="4B03F019" w:rsidR="00A450B7" w:rsidRPr="00F51632" w:rsidRDefault="00A450B7">
      <w:pPr>
        <w:pStyle w:val="OB1"/>
      </w:pPr>
      <w:r w:rsidRPr="00F51632">
        <w:t>Conduct Change Impact Assessment to identify impacted Staff and Customers; then outline the context of the change as well as it</w:t>
      </w:r>
      <w:r w:rsidR="00332EE1">
        <w:t>s impact on Staff and Customers;</w:t>
      </w:r>
    </w:p>
    <w:p w14:paraId="5D5C6655" w14:textId="4AC9D1EC" w:rsidR="00A450B7" w:rsidRPr="00F51632" w:rsidRDefault="00A450B7">
      <w:pPr>
        <w:pStyle w:val="OB1"/>
      </w:pPr>
      <w:r w:rsidRPr="00F51632">
        <w:t>Perform Gap Analysis to identify the gaps in skills, jobs, and personnel between the as-is and to-be bu</w:t>
      </w:r>
      <w:r w:rsidR="00332EE1">
        <w:t>siness environments;</w:t>
      </w:r>
    </w:p>
    <w:p w14:paraId="3997B990" w14:textId="37C186BB" w:rsidR="00A450B7" w:rsidRPr="00F51632" w:rsidRDefault="00A450B7">
      <w:pPr>
        <w:pStyle w:val="OB1"/>
      </w:pPr>
      <w:r w:rsidRPr="00F51632">
        <w:t>Develop Communication Plan</w:t>
      </w:r>
      <w:r w:rsidR="00CD7CAB" w:rsidRPr="00F51632">
        <w:t>, including a Public Media Campaign and an Internal Communications Plan,</w:t>
      </w:r>
      <w:r w:rsidRPr="00F51632">
        <w:t xml:space="preserve"> to notify Staff and Customers of the changes and to provide them with discussion and feedback forums. It also includes the development o</w:t>
      </w:r>
      <w:r w:rsidR="00332EE1">
        <w:t>f a recruitment plan if needed; and</w:t>
      </w:r>
    </w:p>
    <w:p w14:paraId="330A19A2" w14:textId="77777777" w:rsidR="00BF25D1" w:rsidRDefault="00A450B7">
      <w:pPr>
        <w:pStyle w:val="OB1"/>
      </w:pPr>
      <w:r w:rsidRPr="00F51632">
        <w:t>Create Readiness Checklist and Readiness Kit for each Project phase. The Readiness Checklist contains a detailed list of OCM activities that must be completed prior to Go-Live. The Readiness Kit will prepare TWC leadership, line management, and Staff for all aspects of the change and provide recommendations for reinforcing desired behaviors</w:t>
      </w:r>
      <w:r w:rsidR="00BF25D1">
        <w:t>; and</w:t>
      </w:r>
    </w:p>
    <w:p w14:paraId="0CB69239" w14:textId="19D158F8" w:rsidR="00A450B7" w:rsidRPr="00F51632" w:rsidRDefault="00BF25D1">
      <w:pPr>
        <w:pStyle w:val="OB1"/>
      </w:pPr>
      <w:r>
        <w:t xml:space="preserve">Include a responsibility </w:t>
      </w:r>
      <w:r w:rsidR="009F49CF">
        <w:t>assignment</w:t>
      </w:r>
      <w:r>
        <w:t xml:space="preserve"> matrix</w:t>
      </w:r>
      <w:r w:rsidR="009F49CF">
        <w:t xml:space="preserve"> describing the participation by various roles in completing OCM Plan tasks and deliverables</w:t>
      </w:r>
      <w:r w:rsidR="00A450B7" w:rsidRPr="00F51632">
        <w:t>.</w:t>
      </w:r>
    </w:p>
    <w:p w14:paraId="63D2ACF9" w14:textId="376B3DAC" w:rsidR="00BF3AD7" w:rsidRDefault="00A450B7">
      <w:pPr>
        <w:pStyle w:val="LB1"/>
      </w:pPr>
      <w:bookmarkStart w:id="111" w:name="_Hlk530477075"/>
      <w:r>
        <w:t xml:space="preserve">Store all technical </w:t>
      </w:r>
      <w:r w:rsidR="00BF3AD7">
        <w:t>documentation</w:t>
      </w:r>
      <w:bookmarkEnd w:id="111"/>
      <w:r w:rsidR="00294D12">
        <w:t xml:space="preserve"> </w:t>
      </w:r>
      <w:r w:rsidR="00E33C69" w:rsidRPr="00E33C69">
        <w:t>on the TWC SharePoint site, TWC</w:t>
      </w:r>
      <w:r w:rsidR="009F36DA">
        <w:t>’s</w:t>
      </w:r>
      <w:r w:rsidR="00E33C69" w:rsidRPr="00E33C69">
        <w:t xml:space="preserve"> HP ALM, or TWC</w:t>
      </w:r>
      <w:r w:rsidR="004E128C">
        <w:t>’s</w:t>
      </w:r>
      <w:r w:rsidR="00E33C69" w:rsidRPr="00E33C69">
        <w:t xml:space="preserve"> Local Area Network (LAN) as directe</w:t>
      </w:r>
      <w:r w:rsidR="00332EE1">
        <w:t>d by the TWC IT Project Manager</w:t>
      </w:r>
      <w:r w:rsidR="00294D12">
        <w:t xml:space="preserve">. </w:t>
      </w:r>
      <w:r w:rsidR="00BF3AD7">
        <w:t>All documentation created during the Project becomes the Property of TWC</w:t>
      </w:r>
      <w:r>
        <w:t>.</w:t>
      </w:r>
    </w:p>
    <w:p w14:paraId="5BEAA6B4" w14:textId="07A7FDFD" w:rsidR="00CD7CAB" w:rsidRDefault="00CD7CAB">
      <w:pPr>
        <w:pStyle w:val="LB1"/>
      </w:pPr>
      <w:r>
        <w:t xml:space="preserve">Implement OCM </w:t>
      </w:r>
      <w:r w:rsidR="00294D12">
        <w:t>Plan and c</w:t>
      </w:r>
      <w:r>
        <w:t>omplete all items on the Readiness Checklist.</w:t>
      </w:r>
    </w:p>
    <w:p w14:paraId="4C372CF8" w14:textId="77777777" w:rsidR="0024697B" w:rsidRDefault="0024697B" w:rsidP="00E91B50"/>
    <w:p w14:paraId="0A94A655" w14:textId="534C093D" w:rsidR="00BA7C34" w:rsidRDefault="00272A05" w:rsidP="00F1192D">
      <w:r>
        <w:t xml:space="preserve">The Awarded Vendor will complete the following </w:t>
      </w:r>
      <w:r w:rsidR="00B81B78">
        <w:t>deliverables during this Task</w:t>
      </w:r>
      <w:r w:rsidR="002D480C">
        <w:t>:</w:t>
      </w:r>
    </w:p>
    <w:tbl>
      <w:tblPr>
        <w:tblStyle w:val="TableGrid"/>
        <w:tblW w:w="10800" w:type="dxa"/>
        <w:tblInd w:w="175" w:type="dxa"/>
        <w:tblLayout w:type="fixed"/>
        <w:tblLook w:val="04A0" w:firstRow="1" w:lastRow="0" w:firstColumn="1" w:lastColumn="0" w:noHBand="0" w:noVBand="1"/>
        <w:tblDescription w:val="Plan and implement OCM deliverables schedule table"/>
      </w:tblPr>
      <w:tblGrid>
        <w:gridCol w:w="936"/>
        <w:gridCol w:w="2214"/>
        <w:gridCol w:w="5706"/>
        <w:gridCol w:w="1944"/>
      </w:tblGrid>
      <w:tr w:rsidR="0025231B" w:rsidRPr="004F202B" w14:paraId="1D9841A4" w14:textId="77777777" w:rsidTr="006E0363">
        <w:trPr>
          <w:tblHeader/>
        </w:trPr>
        <w:tc>
          <w:tcPr>
            <w:tcW w:w="936" w:type="dxa"/>
            <w:shd w:val="clear" w:color="auto" w:fill="DEEAF6" w:themeFill="accent1" w:themeFillTint="33"/>
            <w:vAlign w:val="bottom"/>
          </w:tcPr>
          <w:p w14:paraId="265D7936" w14:textId="77777777" w:rsidR="0025231B" w:rsidRPr="004F202B" w:rsidRDefault="0025231B" w:rsidP="006E0363">
            <w:pPr>
              <w:spacing w:after="0"/>
              <w:ind w:left="0"/>
              <w:jc w:val="center"/>
              <w:rPr>
                <w:rFonts w:cs="Arial"/>
                <w:b/>
                <w:color w:val="1F3864" w:themeColor="accent5" w:themeShade="80"/>
              </w:rPr>
            </w:pPr>
            <w:r w:rsidRPr="004F202B">
              <w:rPr>
                <w:rFonts w:cs="Arial"/>
                <w:b/>
                <w:color w:val="1F3864" w:themeColor="accent5" w:themeShade="80"/>
              </w:rPr>
              <w:t>No.</w:t>
            </w:r>
          </w:p>
        </w:tc>
        <w:tc>
          <w:tcPr>
            <w:tcW w:w="2214" w:type="dxa"/>
            <w:shd w:val="clear" w:color="auto" w:fill="DEEAF6" w:themeFill="accent1" w:themeFillTint="33"/>
          </w:tcPr>
          <w:p w14:paraId="6AFFD9DE" w14:textId="77777777" w:rsidR="0025231B" w:rsidRPr="001B5E0B" w:rsidRDefault="0025231B" w:rsidP="006E0363">
            <w:pPr>
              <w:spacing w:after="0"/>
              <w:ind w:left="0"/>
              <w:rPr>
                <w:rFonts w:cs="Arial"/>
                <w:b/>
                <w:color w:val="1F3864" w:themeColor="accent5" w:themeShade="80"/>
              </w:rPr>
            </w:pPr>
            <w:r>
              <w:rPr>
                <w:rFonts w:cs="Arial"/>
                <w:b/>
                <w:color w:val="1F3864" w:themeColor="accent5" w:themeShade="80"/>
              </w:rPr>
              <w:t>Deliverable</w:t>
            </w:r>
          </w:p>
        </w:tc>
        <w:tc>
          <w:tcPr>
            <w:tcW w:w="5706" w:type="dxa"/>
            <w:shd w:val="clear" w:color="auto" w:fill="DEEAF6" w:themeFill="accent1" w:themeFillTint="33"/>
          </w:tcPr>
          <w:p w14:paraId="7455FDE6" w14:textId="77777777" w:rsidR="0025231B" w:rsidRPr="001B5E0B" w:rsidRDefault="0025231B" w:rsidP="006E0363">
            <w:pPr>
              <w:spacing w:after="0"/>
              <w:ind w:left="0"/>
              <w:rPr>
                <w:rFonts w:cs="Arial"/>
                <w:b/>
                <w:color w:val="1F3864" w:themeColor="accent5" w:themeShade="80"/>
              </w:rPr>
            </w:pPr>
            <w:r>
              <w:rPr>
                <w:rFonts w:cs="Arial"/>
                <w:b/>
                <w:color w:val="1F3864" w:themeColor="accent5" w:themeShade="80"/>
              </w:rPr>
              <w:t>Acceptance Criteria</w:t>
            </w:r>
          </w:p>
        </w:tc>
        <w:tc>
          <w:tcPr>
            <w:tcW w:w="1944" w:type="dxa"/>
            <w:shd w:val="clear" w:color="auto" w:fill="DEEAF6" w:themeFill="accent1" w:themeFillTint="33"/>
            <w:vAlign w:val="bottom"/>
          </w:tcPr>
          <w:p w14:paraId="21FA6242" w14:textId="77777777" w:rsidR="0025231B" w:rsidRPr="004F202B" w:rsidRDefault="0025231B" w:rsidP="006E0363">
            <w:pPr>
              <w:spacing w:after="0"/>
              <w:ind w:left="0"/>
              <w:rPr>
                <w:rFonts w:cs="Arial"/>
                <w:b/>
                <w:color w:val="1F3864" w:themeColor="accent5" w:themeShade="80"/>
              </w:rPr>
            </w:pPr>
            <w:r>
              <w:rPr>
                <w:rFonts w:cs="Arial"/>
                <w:b/>
                <w:color w:val="1F3864" w:themeColor="accent5" w:themeShade="80"/>
              </w:rPr>
              <w:t>Due Date</w:t>
            </w:r>
          </w:p>
        </w:tc>
      </w:tr>
      <w:tr w:rsidR="001502BC" w14:paraId="35F08E24" w14:textId="77777777" w:rsidTr="006E0363">
        <w:tc>
          <w:tcPr>
            <w:tcW w:w="936" w:type="dxa"/>
          </w:tcPr>
          <w:p w14:paraId="751AE4E0" w14:textId="1D016177" w:rsidR="001502BC" w:rsidRDefault="00CD7CAB" w:rsidP="001502BC">
            <w:pPr>
              <w:ind w:left="0"/>
              <w:jc w:val="center"/>
            </w:pPr>
            <w:r>
              <w:t>9</w:t>
            </w:r>
            <w:r w:rsidR="001502BC">
              <w:t>A</w:t>
            </w:r>
          </w:p>
        </w:tc>
        <w:tc>
          <w:tcPr>
            <w:tcW w:w="2214" w:type="dxa"/>
          </w:tcPr>
          <w:p w14:paraId="23CB5D56" w14:textId="0E1CE1CA" w:rsidR="001502BC" w:rsidRDefault="001502BC" w:rsidP="001502BC">
            <w:pPr>
              <w:ind w:left="0"/>
            </w:pPr>
            <w:r>
              <w:t>OCM Plan</w:t>
            </w:r>
          </w:p>
        </w:tc>
        <w:tc>
          <w:tcPr>
            <w:tcW w:w="5706" w:type="dxa"/>
          </w:tcPr>
          <w:p w14:paraId="671F8361" w14:textId="0C3FBB9F" w:rsidR="001502BC" w:rsidRDefault="001502BC" w:rsidP="001502BC">
            <w:pPr>
              <w:ind w:left="0"/>
            </w:pPr>
            <w:r>
              <w:t>At a minimum, the Plan must:</w:t>
            </w:r>
          </w:p>
          <w:p w14:paraId="6457B3A1" w14:textId="255A75D3" w:rsidR="009F17A5" w:rsidRDefault="009F17A5" w:rsidP="00E16D2D">
            <w:pPr>
              <w:pStyle w:val="LB1-Table"/>
            </w:pPr>
            <w:r>
              <w:t>Address the change management needs of both the UI Program and IT areas;</w:t>
            </w:r>
          </w:p>
          <w:p w14:paraId="2389F74F" w14:textId="09156A44" w:rsidR="003D7979" w:rsidRDefault="001502BC" w:rsidP="00F82166">
            <w:pPr>
              <w:pStyle w:val="LB1-Table"/>
            </w:pPr>
            <w:r>
              <w:t xml:space="preserve">Include </w:t>
            </w:r>
            <w:r w:rsidR="003D7979">
              <w:t>an Organizational Readiness Assessment</w:t>
            </w:r>
            <w:r w:rsidR="00CD7CAB">
              <w:t>, a Change Impact Assessment, and a Gap Analysis</w:t>
            </w:r>
            <w:r w:rsidR="009F17A5">
              <w:t>;</w:t>
            </w:r>
          </w:p>
          <w:p w14:paraId="79784991" w14:textId="17E78063" w:rsidR="009F17A5" w:rsidRDefault="009F17A5" w:rsidP="00F82166">
            <w:pPr>
              <w:pStyle w:val="LB1-Table"/>
            </w:pPr>
            <w:r>
              <w:t xml:space="preserve">Include </w:t>
            </w:r>
            <w:r w:rsidR="0017082A">
              <w:t xml:space="preserve">an </w:t>
            </w:r>
            <w:r w:rsidR="0017082A" w:rsidRPr="00F51632">
              <w:t>Communication Plan</w:t>
            </w:r>
            <w:r>
              <w:t>;</w:t>
            </w:r>
          </w:p>
          <w:p w14:paraId="254B8323" w14:textId="43FA62D4" w:rsidR="001502BC" w:rsidRDefault="009F17A5">
            <w:pPr>
              <w:pStyle w:val="LB1-Table"/>
            </w:pPr>
            <w:r>
              <w:t xml:space="preserve">Describe the transition </w:t>
            </w:r>
            <w:r w:rsidR="00CD7CAB">
              <w:t xml:space="preserve">to maintenance </w:t>
            </w:r>
            <w:r>
              <w:t>plan</w:t>
            </w:r>
            <w:r w:rsidR="00CD7CAB">
              <w:t xml:space="preserve">; </w:t>
            </w:r>
          </w:p>
          <w:p w14:paraId="20B90537" w14:textId="77777777" w:rsidR="001502BC" w:rsidRDefault="001502BC">
            <w:pPr>
              <w:pStyle w:val="LB1-Table"/>
            </w:pPr>
            <w:r>
              <w:t xml:space="preserve">Include </w:t>
            </w:r>
            <w:r w:rsidR="009F17A5">
              <w:t>release notes</w:t>
            </w:r>
            <w:r w:rsidR="00CD7CAB">
              <w:t>; and</w:t>
            </w:r>
          </w:p>
          <w:p w14:paraId="65B2F1F9" w14:textId="79F9CEC7" w:rsidR="00CD7CAB" w:rsidRDefault="00CD7CAB">
            <w:pPr>
              <w:pStyle w:val="LB1-Table"/>
            </w:pPr>
            <w:r>
              <w:t>Include Readiness Checklist and Readiness Kit.</w:t>
            </w:r>
          </w:p>
        </w:tc>
        <w:tc>
          <w:tcPr>
            <w:tcW w:w="1944" w:type="dxa"/>
          </w:tcPr>
          <w:p w14:paraId="1CF9CB14" w14:textId="3A080EF2" w:rsidR="001502BC" w:rsidRDefault="00A450B7" w:rsidP="001502BC">
            <w:pPr>
              <w:ind w:left="0"/>
            </w:pPr>
            <w:r w:rsidRPr="00F57DB3">
              <w:t>TBD in accordance with the IMS</w:t>
            </w:r>
          </w:p>
        </w:tc>
      </w:tr>
      <w:tr w:rsidR="001502BC" w14:paraId="1FC51BE6" w14:textId="77777777" w:rsidTr="006E0363">
        <w:tc>
          <w:tcPr>
            <w:tcW w:w="936" w:type="dxa"/>
          </w:tcPr>
          <w:p w14:paraId="4FEFB0DE" w14:textId="0AB7F8D8" w:rsidR="001502BC" w:rsidRDefault="00CD7CAB" w:rsidP="001502BC">
            <w:pPr>
              <w:ind w:left="0"/>
              <w:jc w:val="center"/>
            </w:pPr>
            <w:r>
              <w:t>9</w:t>
            </w:r>
            <w:r w:rsidR="001502BC">
              <w:t>B</w:t>
            </w:r>
          </w:p>
        </w:tc>
        <w:tc>
          <w:tcPr>
            <w:tcW w:w="2214" w:type="dxa"/>
          </w:tcPr>
          <w:p w14:paraId="3961202C" w14:textId="25FE91F5" w:rsidR="001502BC" w:rsidRDefault="00E33C69" w:rsidP="001502BC">
            <w:pPr>
              <w:ind w:left="0"/>
            </w:pPr>
            <w:r>
              <w:t>Technical Documentation Stored</w:t>
            </w:r>
          </w:p>
        </w:tc>
        <w:tc>
          <w:tcPr>
            <w:tcW w:w="5706" w:type="dxa"/>
          </w:tcPr>
          <w:p w14:paraId="031B811E" w14:textId="77777777" w:rsidR="00ED00F6" w:rsidRDefault="00ED00F6" w:rsidP="00ED00F6">
            <w:pPr>
              <w:ind w:left="0"/>
            </w:pPr>
            <w:r>
              <w:t>At a minimum, Awarded Vendor must demonstrate that they successfully:</w:t>
            </w:r>
          </w:p>
          <w:p w14:paraId="5E1C048F" w14:textId="3A0A9860" w:rsidR="001502BC" w:rsidRDefault="00ED00F6" w:rsidP="00E16D2D">
            <w:pPr>
              <w:pStyle w:val="LB1-Table"/>
            </w:pPr>
            <w:r>
              <w:t xml:space="preserve">Stored all technical documentation </w:t>
            </w:r>
            <w:r w:rsidR="00E33C69" w:rsidRPr="00E33C69">
              <w:t>as directed by the TWC IT Project Manager</w:t>
            </w:r>
            <w:r>
              <w:t>.</w:t>
            </w:r>
          </w:p>
        </w:tc>
        <w:tc>
          <w:tcPr>
            <w:tcW w:w="1944" w:type="dxa"/>
          </w:tcPr>
          <w:p w14:paraId="73E7D436" w14:textId="7FBD3BAE" w:rsidR="001502BC" w:rsidRDefault="001502BC" w:rsidP="001502BC">
            <w:pPr>
              <w:ind w:left="0"/>
            </w:pPr>
            <w:r w:rsidRPr="00F57DB3">
              <w:t>TBD in accordance with the IMS</w:t>
            </w:r>
          </w:p>
        </w:tc>
      </w:tr>
      <w:tr w:rsidR="00CD7CAB" w14:paraId="02DA3BB5" w14:textId="77777777" w:rsidTr="006E0363">
        <w:tc>
          <w:tcPr>
            <w:tcW w:w="936" w:type="dxa"/>
          </w:tcPr>
          <w:p w14:paraId="022DCDB2" w14:textId="3E53A400" w:rsidR="00CD7CAB" w:rsidRDefault="00CD7CAB" w:rsidP="00CD7CAB">
            <w:pPr>
              <w:ind w:left="0"/>
              <w:jc w:val="center"/>
            </w:pPr>
            <w:r>
              <w:lastRenderedPageBreak/>
              <w:t>9C</w:t>
            </w:r>
          </w:p>
        </w:tc>
        <w:tc>
          <w:tcPr>
            <w:tcW w:w="2214" w:type="dxa"/>
          </w:tcPr>
          <w:p w14:paraId="3238D10C" w14:textId="599968FA" w:rsidR="00CD7CAB" w:rsidRDefault="00CD7CAB" w:rsidP="00CD7CAB">
            <w:pPr>
              <w:ind w:left="0"/>
            </w:pPr>
            <w:r>
              <w:t xml:space="preserve">Implemented </w:t>
            </w:r>
            <w:r w:rsidR="00F51632">
              <w:t>OCM Plan</w:t>
            </w:r>
          </w:p>
        </w:tc>
        <w:tc>
          <w:tcPr>
            <w:tcW w:w="5706" w:type="dxa"/>
          </w:tcPr>
          <w:p w14:paraId="30791000" w14:textId="77777777" w:rsidR="00CD7CAB" w:rsidRDefault="00CD7CAB" w:rsidP="00CD7CAB">
            <w:pPr>
              <w:ind w:left="0"/>
            </w:pPr>
            <w:r>
              <w:t>At a minimum, Awarded Vendor must demonstrate that they successfully:</w:t>
            </w:r>
          </w:p>
          <w:p w14:paraId="12A9DC18" w14:textId="6CB61E0C" w:rsidR="00FC6B30" w:rsidRDefault="00FC6B30" w:rsidP="00E16D2D">
            <w:pPr>
              <w:pStyle w:val="LB1-Table"/>
            </w:pPr>
            <w:r>
              <w:t xml:space="preserve">Reviewed </w:t>
            </w:r>
            <w:r w:rsidRPr="00F51632">
              <w:t xml:space="preserve">Readiness Kit </w:t>
            </w:r>
            <w:r>
              <w:t xml:space="preserve">with </w:t>
            </w:r>
            <w:r w:rsidRPr="00F51632">
              <w:t>TWC leadership</w:t>
            </w:r>
            <w:r w:rsidR="0017082A">
              <w:t xml:space="preserve"> and implemented requested changes</w:t>
            </w:r>
            <w:r w:rsidR="006100D1">
              <w:t>; and</w:t>
            </w:r>
          </w:p>
          <w:p w14:paraId="48B899B8" w14:textId="2087BEA7" w:rsidR="00CD7CAB" w:rsidRDefault="00CD7CAB" w:rsidP="00F82166">
            <w:pPr>
              <w:pStyle w:val="LB1-Table"/>
            </w:pPr>
            <w:r>
              <w:t>Completed all items on the Readiness Checklist.</w:t>
            </w:r>
          </w:p>
        </w:tc>
        <w:tc>
          <w:tcPr>
            <w:tcW w:w="1944" w:type="dxa"/>
          </w:tcPr>
          <w:p w14:paraId="6CEE08F3" w14:textId="0A0D6EC5" w:rsidR="00CD7CAB" w:rsidRPr="00F57DB3" w:rsidRDefault="00CD7CAB" w:rsidP="00CD7CAB">
            <w:pPr>
              <w:ind w:left="0"/>
            </w:pPr>
            <w:r w:rsidRPr="00F57DB3">
              <w:t>TBD in accordance with the IMS</w:t>
            </w:r>
          </w:p>
        </w:tc>
      </w:tr>
    </w:tbl>
    <w:p w14:paraId="70636521" w14:textId="77777777" w:rsidR="00E448DB" w:rsidRDefault="00E448DB" w:rsidP="00E448DB"/>
    <w:p w14:paraId="74DF8B1E" w14:textId="26721D8D" w:rsidR="00BA7C34" w:rsidRDefault="00E448DB" w:rsidP="00E16D2D">
      <w:pPr>
        <w:pStyle w:val="LB1"/>
        <w:numPr>
          <w:ilvl w:val="0"/>
          <w:numId w:val="0"/>
        </w:numPr>
        <w:ind w:left="1080"/>
      </w:pPr>
      <w:r w:rsidRPr="00BE56F2">
        <w:t xml:space="preserve">The </w:t>
      </w:r>
      <w:r>
        <w:t>Offeror must include a draft version of deliverable 9A with their proposal.</w:t>
      </w:r>
    </w:p>
    <w:p w14:paraId="24092F4C" w14:textId="621F6439" w:rsidR="009C0D10" w:rsidRDefault="009E4634" w:rsidP="009C0D10">
      <w:pPr>
        <w:pStyle w:val="Heading3"/>
      </w:pPr>
      <w:bookmarkStart w:id="112" w:name="_Toc13567405"/>
      <w:bookmarkStart w:id="113" w:name="_Hlk532484777"/>
      <w:bookmarkStart w:id="114" w:name="_Hlk532484811"/>
      <w:bookmarkStart w:id="115" w:name="_Hlk525292135"/>
      <w:r>
        <w:t>2.2.10</w:t>
      </w:r>
      <w:r>
        <w:tab/>
      </w:r>
      <w:r w:rsidR="009B7E37">
        <w:t>Task</w:t>
      </w:r>
      <w:r>
        <w:t xml:space="preserve"> 10</w:t>
      </w:r>
      <w:r w:rsidR="009C0D10">
        <w:t xml:space="preserve">: </w:t>
      </w:r>
      <w:r w:rsidR="00335647">
        <w:t xml:space="preserve">Implement </w:t>
      </w:r>
      <w:r w:rsidR="009C0D10">
        <w:t>Automated Testing Solution</w:t>
      </w:r>
      <w:bookmarkEnd w:id="112"/>
    </w:p>
    <w:p w14:paraId="65A273BE" w14:textId="77777777" w:rsidR="00755CC9" w:rsidRDefault="009C0D10" w:rsidP="009C0D10">
      <w:r w:rsidRPr="00741202">
        <w:t xml:space="preserve">The </w:t>
      </w:r>
      <w:r>
        <w:t xml:space="preserve">Awarded Vendor </w:t>
      </w:r>
      <w:r w:rsidRPr="00741202">
        <w:t xml:space="preserve">will </w:t>
      </w:r>
      <w:r w:rsidR="00A360CE">
        <w:t>implement</w:t>
      </w:r>
      <w:r w:rsidRPr="00741202">
        <w:t xml:space="preserve"> an Automated Testing </w:t>
      </w:r>
      <w:r w:rsidR="00A360CE">
        <w:t>Solution</w:t>
      </w:r>
      <w:r w:rsidRPr="00741202">
        <w:t xml:space="preserve"> for executing </w:t>
      </w:r>
      <w:r w:rsidR="002E175B">
        <w:t xml:space="preserve">Functional and </w:t>
      </w:r>
      <w:r w:rsidR="007449ED">
        <w:t xml:space="preserve">automated </w:t>
      </w:r>
      <w:r w:rsidRPr="00741202">
        <w:t>Regression Test</w:t>
      </w:r>
      <w:r>
        <w:t>s</w:t>
      </w:r>
      <w:r w:rsidRPr="00741202">
        <w:t>, Accessibility Test</w:t>
      </w:r>
      <w:r>
        <w:t>s</w:t>
      </w:r>
      <w:r w:rsidRPr="00741202">
        <w:t>, and Performance Test</w:t>
      </w:r>
      <w:r>
        <w:t>s on all solution components</w:t>
      </w:r>
      <w:r w:rsidRPr="00741202">
        <w:t xml:space="preserve">. The </w:t>
      </w:r>
      <w:r>
        <w:t xml:space="preserve">Awarded Vendor </w:t>
      </w:r>
      <w:r w:rsidRPr="00741202">
        <w:t xml:space="preserve">will document instructions and conduct knowledge transfer sessions with TWC </w:t>
      </w:r>
      <w:r>
        <w:t xml:space="preserve">Staff </w:t>
      </w:r>
      <w:r w:rsidRPr="00741202">
        <w:t xml:space="preserve">that will use the system to perform testing. </w:t>
      </w:r>
    </w:p>
    <w:p w14:paraId="1CA86E9E" w14:textId="5E3BD585" w:rsidR="004F6CC1" w:rsidRDefault="00EC4C70" w:rsidP="004F6CC1">
      <w:bookmarkStart w:id="116" w:name="_Hlk8285016"/>
      <w:r>
        <w:t>Although there is a preference for 100% code coverage with unit tests, there is an understanding that constraints</w:t>
      </w:r>
      <w:r w:rsidR="007D4132">
        <w:t xml:space="preserve"> may be</w:t>
      </w:r>
      <w:r>
        <w:t xml:space="preserve"> associated with meeting those standards. TWC will require the Awarded Vendor to design and implement automated unit tests with a minimum of 8</w:t>
      </w:r>
      <w:r w:rsidR="00925A6A">
        <w:t>5</w:t>
      </w:r>
      <w:r>
        <w:t>% code coverage</w:t>
      </w:r>
      <w:r w:rsidRPr="00EC4C70">
        <w:t xml:space="preserve"> </w:t>
      </w:r>
      <w:r w:rsidR="00925A6A" w:rsidRPr="00925A6A">
        <w:t xml:space="preserve">each for Appeals, Benefits, and Tax modules, </w:t>
      </w:r>
      <w:r w:rsidR="00925A6A">
        <w:t>using a r</w:t>
      </w:r>
      <w:r w:rsidR="00925A6A" w:rsidRPr="00925A6A">
        <w:t>isk-based approach to determine which tests should be automated and in which order</w:t>
      </w:r>
      <w:r>
        <w:t>. Modules that will not meet these standards must request an approval exception by the TWC Project Manager.</w:t>
      </w:r>
      <w:r w:rsidR="004F6CC1" w:rsidRPr="004F6CC1">
        <w:t xml:space="preserve"> </w:t>
      </w:r>
      <w:bookmarkEnd w:id="116"/>
    </w:p>
    <w:p w14:paraId="2F8441B8" w14:textId="77777777" w:rsidR="009C0D10" w:rsidRDefault="009C0D10" w:rsidP="009C0D10">
      <w:r>
        <w:t>Activities include:</w:t>
      </w:r>
    </w:p>
    <w:p w14:paraId="6965BD9C" w14:textId="6CBE148E" w:rsidR="005D6B5D" w:rsidRDefault="005D6B5D" w:rsidP="00E16D2D">
      <w:pPr>
        <w:pStyle w:val="LB1"/>
      </w:pPr>
      <w:r>
        <w:t xml:space="preserve">Create </w:t>
      </w:r>
      <w:r w:rsidR="00701356" w:rsidRPr="00741202">
        <w:t xml:space="preserve">an Automated Testing </w:t>
      </w:r>
      <w:r w:rsidR="00701356">
        <w:t>Solution</w:t>
      </w:r>
      <w:r w:rsidR="00701356" w:rsidRPr="00741202">
        <w:t xml:space="preserve"> </w:t>
      </w:r>
      <w:r>
        <w:t>Test</w:t>
      </w:r>
      <w:r w:rsidRPr="005363D2">
        <w:t xml:space="preserve"> Plan</w:t>
      </w:r>
    </w:p>
    <w:p w14:paraId="1BA32ED2" w14:textId="77777777" w:rsidR="00701356" w:rsidRDefault="00701356" w:rsidP="00F82166">
      <w:pPr>
        <w:pStyle w:val="OB1"/>
      </w:pPr>
      <w:r>
        <w:t>Describe the automated testing process;</w:t>
      </w:r>
    </w:p>
    <w:p w14:paraId="14E5DF2E" w14:textId="7BA9D701" w:rsidR="00701356" w:rsidRDefault="00701356" w:rsidP="00F82166">
      <w:pPr>
        <w:pStyle w:val="OB1"/>
      </w:pPr>
      <w:r>
        <w:t>Include recommended tool(s), version number(s), and where Offeror has implemented previously;</w:t>
      </w:r>
    </w:p>
    <w:p w14:paraId="1CC79F07" w14:textId="52F95CF5" w:rsidR="00701356" w:rsidRDefault="00701356">
      <w:pPr>
        <w:pStyle w:val="OB1"/>
      </w:pPr>
      <w:r>
        <w:t>Define the scope of automation</w:t>
      </w:r>
      <w:r w:rsidR="00267236">
        <w:t xml:space="preserve"> and software testing metrics</w:t>
      </w:r>
      <w:r>
        <w:t>;</w:t>
      </w:r>
    </w:p>
    <w:p w14:paraId="5508604B" w14:textId="241D69C0" w:rsidR="00701356" w:rsidRDefault="00701356">
      <w:pPr>
        <w:pStyle w:val="OB1"/>
      </w:pPr>
      <w:r>
        <w:t>Include automation testbed preparation activities; and</w:t>
      </w:r>
    </w:p>
    <w:p w14:paraId="23B6FE9D" w14:textId="30102F5F" w:rsidR="005D6B5D" w:rsidRDefault="00741444">
      <w:pPr>
        <w:pStyle w:val="OB1"/>
      </w:pPr>
      <w:r>
        <w:t>Describe the s</w:t>
      </w:r>
      <w:r w:rsidR="00701356">
        <w:t>chedule and timeline of scripting and script execution</w:t>
      </w:r>
      <w:r w:rsidR="00236164">
        <w:t xml:space="preserve"> including how it ties to the delivery methodology</w:t>
      </w:r>
      <w:r w:rsidR="00701356">
        <w:t>.</w:t>
      </w:r>
    </w:p>
    <w:p w14:paraId="70FA501C" w14:textId="20319CA6" w:rsidR="002E175B" w:rsidRDefault="009C0D10">
      <w:pPr>
        <w:pStyle w:val="LB1"/>
      </w:pPr>
      <w:r w:rsidRPr="002C6A45">
        <w:t xml:space="preserve">Establish an Automated Testing </w:t>
      </w:r>
      <w:r w:rsidR="00AE5477">
        <w:t xml:space="preserve">environment including test data. </w:t>
      </w:r>
      <w:r w:rsidR="00FC073E">
        <w:t>Awarded vendor must use TWC’s automated test tool (e.g. today, TWC is using MicroFocus Unified Functional Testing for automated functional and regression testing)</w:t>
      </w:r>
      <w:r w:rsidR="007D5AC3" w:rsidRPr="007D5AC3">
        <w:t>. </w:t>
      </w:r>
      <w:r w:rsidR="003109AC">
        <w:t>Awarded vendor must use TWC’s load and performance test tool (e.g. today</w:t>
      </w:r>
      <w:r w:rsidR="00C131DA">
        <w:t>,</w:t>
      </w:r>
      <w:r w:rsidR="003109AC">
        <w:t xml:space="preserve"> TWC is using JMeter for load and performance testing)</w:t>
      </w:r>
      <w:r w:rsidR="00295E13">
        <w:t>. The Awarded Vendor will initially populate the testing environment with test data</w:t>
      </w:r>
      <w:r w:rsidR="00B01903">
        <w:t>;</w:t>
      </w:r>
    </w:p>
    <w:p w14:paraId="64765853" w14:textId="6EB6D2FC" w:rsidR="009C0D10" w:rsidRDefault="00B01903">
      <w:pPr>
        <w:pStyle w:val="LB1"/>
      </w:pPr>
      <w:r>
        <w:t>Provide training for TWC Staff;</w:t>
      </w:r>
    </w:p>
    <w:p w14:paraId="62007E7B" w14:textId="1006DE57" w:rsidR="009C0D10" w:rsidRDefault="009C0D10">
      <w:pPr>
        <w:pStyle w:val="LB1"/>
      </w:pPr>
      <w:r w:rsidRPr="006A7C58">
        <w:lastRenderedPageBreak/>
        <w:t xml:space="preserve">Jointly develop </w:t>
      </w:r>
      <w:r>
        <w:t xml:space="preserve">and execute </w:t>
      </w:r>
      <w:r w:rsidRPr="006A7C58">
        <w:t>automated tests with TWC.</w:t>
      </w:r>
      <w:r>
        <w:t xml:space="preserve"> </w:t>
      </w:r>
      <w:r w:rsidRPr="006A7C58">
        <w:t>The Awarded Vendo</w:t>
      </w:r>
      <w:r w:rsidR="00B01903">
        <w:t>r will manage the entire effort;</w:t>
      </w:r>
    </w:p>
    <w:p w14:paraId="4801236D" w14:textId="4D3DE01F" w:rsidR="009C0D10" w:rsidRDefault="009C0D10">
      <w:pPr>
        <w:pStyle w:val="LB1"/>
      </w:pPr>
      <w:r>
        <w:t xml:space="preserve">Provide documentation for </w:t>
      </w:r>
      <w:r w:rsidRPr="002C6A45">
        <w:t xml:space="preserve">Automated Testing </w:t>
      </w:r>
      <w:r>
        <w:t>solution including usage of the Test system and its environment(s); creating and maintaining test scenarios and scripts; logging, comparing, and exporting test results; and coordinating testing wi</w:t>
      </w:r>
      <w:r w:rsidR="00B01903">
        <w:t>th Awarded Vendor support staff; and</w:t>
      </w:r>
    </w:p>
    <w:p w14:paraId="6EB8F844" w14:textId="63D6A03B" w:rsidR="009C0D10" w:rsidRDefault="009C0D10">
      <w:pPr>
        <w:pStyle w:val="LB1"/>
      </w:pPr>
      <w:r>
        <w:t>C</w:t>
      </w:r>
      <w:r w:rsidRPr="00741202">
        <w:t>onduct knowle</w:t>
      </w:r>
      <w:r>
        <w:t>dge transfer sessions with TWC S</w:t>
      </w:r>
      <w:r w:rsidRPr="00741202">
        <w:t>taff</w:t>
      </w:r>
      <w:r>
        <w:t>.</w:t>
      </w:r>
    </w:p>
    <w:bookmarkEnd w:id="113"/>
    <w:p w14:paraId="49194994" w14:textId="77777777" w:rsidR="009C0D10" w:rsidRDefault="009C0D10" w:rsidP="009C0D10"/>
    <w:p w14:paraId="2B5C74EC" w14:textId="72797C80" w:rsidR="005303D2" w:rsidRDefault="00272A05" w:rsidP="005303D2">
      <w:bookmarkStart w:id="117" w:name="_Hlk532484819"/>
      <w:bookmarkEnd w:id="114"/>
      <w:r>
        <w:t xml:space="preserve">The Awarded Vendor will complete the following </w:t>
      </w:r>
      <w:r w:rsidR="00B81B78">
        <w:t>deliverables during this Task</w:t>
      </w:r>
      <w:r w:rsidR="005303D2">
        <w:t>:</w:t>
      </w:r>
    </w:p>
    <w:tbl>
      <w:tblPr>
        <w:tblStyle w:val="TableGrid"/>
        <w:tblW w:w="10800" w:type="dxa"/>
        <w:tblInd w:w="175" w:type="dxa"/>
        <w:tblLayout w:type="fixed"/>
        <w:tblLook w:val="04A0" w:firstRow="1" w:lastRow="0" w:firstColumn="1" w:lastColumn="0" w:noHBand="0" w:noVBand="1"/>
        <w:tblDescription w:val="implement automated testing solution deliverables schedule table"/>
      </w:tblPr>
      <w:tblGrid>
        <w:gridCol w:w="936"/>
        <w:gridCol w:w="2214"/>
        <w:gridCol w:w="5706"/>
        <w:gridCol w:w="1944"/>
      </w:tblGrid>
      <w:tr w:rsidR="00A360CE" w:rsidRPr="004F202B" w14:paraId="36D12156" w14:textId="77777777" w:rsidTr="00553A63">
        <w:trPr>
          <w:tblHeader/>
        </w:trPr>
        <w:tc>
          <w:tcPr>
            <w:tcW w:w="936" w:type="dxa"/>
            <w:shd w:val="clear" w:color="auto" w:fill="DEEAF6" w:themeFill="accent1" w:themeFillTint="33"/>
            <w:vAlign w:val="bottom"/>
          </w:tcPr>
          <w:p w14:paraId="087C020E" w14:textId="77777777" w:rsidR="00A360CE" w:rsidRPr="004F202B" w:rsidRDefault="00A360CE" w:rsidP="00553A63">
            <w:pPr>
              <w:spacing w:after="0"/>
              <w:ind w:left="0"/>
              <w:jc w:val="center"/>
              <w:rPr>
                <w:rFonts w:cs="Arial"/>
                <w:b/>
                <w:color w:val="1F3864" w:themeColor="accent5" w:themeShade="80"/>
              </w:rPr>
            </w:pPr>
            <w:bookmarkStart w:id="118" w:name="_Hlk532484832"/>
            <w:bookmarkEnd w:id="117"/>
            <w:r w:rsidRPr="004F202B">
              <w:rPr>
                <w:rFonts w:cs="Arial"/>
                <w:b/>
                <w:color w:val="1F3864" w:themeColor="accent5" w:themeShade="80"/>
              </w:rPr>
              <w:t>No.</w:t>
            </w:r>
          </w:p>
        </w:tc>
        <w:tc>
          <w:tcPr>
            <w:tcW w:w="2214" w:type="dxa"/>
            <w:shd w:val="clear" w:color="auto" w:fill="DEEAF6" w:themeFill="accent1" w:themeFillTint="33"/>
          </w:tcPr>
          <w:p w14:paraId="18679A1F" w14:textId="77777777" w:rsidR="00A360CE" w:rsidRPr="001B5E0B" w:rsidRDefault="00A360CE" w:rsidP="00553A63">
            <w:pPr>
              <w:spacing w:after="0"/>
              <w:ind w:left="0"/>
              <w:rPr>
                <w:rFonts w:cs="Arial"/>
                <w:b/>
                <w:color w:val="1F3864" w:themeColor="accent5" w:themeShade="80"/>
              </w:rPr>
            </w:pPr>
            <w:r>
              <w:rPr>
                <w:rFonts w:cs="Arial"/>
                <w:b/>
                <w:color w:val="1F3864" w:themeColor="accent5" w:themeShade="80"/>
              </w:rPr>
              <w:t>Deliverable</w:t>
            </w:r>
          </w:p>
        </w:tc>
        <w:tc>
          <w:tcPr>
            <w:tcW w:w="5706" w:type="dxa"/>
            <w:shd w:val="clear" w:color="auto" w:fill="DEEAF6" w:themeFill="accent1" w:themeFillTint="33"/>
          </w:tcPr>
          <w:p w14:paraId="5990523B" w14:textId="77777777" w:rsidR="00A360CE" w:rsidRPr="001B5E0B" w:rsidRDefault="00A360CE" w:rsidP="00553A63">
            <w:pPr>
              <w:spacing w:after="0"/>
              <w:ind w:left="0"/>
              <w:rPr>
                <w:rFonts w:cs="Arial"/>
                <w:b/>
                <w:color w:val="1F3864" w:themeColor="accent5" w:themeShade="80"/>
              </w:rPr>
            </w:pPr>
            <w:r>
              <w:rPr>
                <w:rFonts w:cs="Arial"/>
                <w:b/>
                <w:color w:val="1F3864" w:themeColor="accent5" w:themeShade="80"/>
              </w:rPr>
              <w:t>Acceptance Criteria</w:t>
            </w:r>
          </w:p>
        </w:tc>
        <w:tc>
          <w:tcPr>
            <w:tcW w:w="1944" w:type="dxa"/>
            <w:shd w:val="clear" w:color="auto" w:fill="DEEAF6" w:themeFill="accent1" w:themeFillTint="33"/>
            <w:vAlign w:val="bottom"/>
          </w:tcPr>
          <w:p w14:paraId="10AF7967" w14:textId="77777777" w:rsidR="00A360CE" w:rsidRPr="004F202B" w:rsidRDefault="00A360CE" w:rsidP="00553A63">
            <w:pPr>
              <w:spacing w:after="0"/>
              <w:ind w:left="0"/>
              <w:rPr>
                <w:rFonts w:cs="Arial"/>
                <w:b/>
                <w:color w:val="1F3864" w:themeColor="accent5" w:themeShade="80"/>
              </w:rPr>
            </w:pPr>
            <w:r>
              <w:rPr>
                <w:rFonts w:cs="Arial"/>
                <w:b/>
                <w:color w:val="1F3864" w:themeColor="accent5" w:themeShade="80"/>
              </w:rPr>
              <w:t>Due Date</w:t>
            </w:r>
          </w:p>
        </w:tc>
      </w:tr>
      <w:tr w:rsidR="00741444" w14:paraId="64C2879B" w14:textId="77777777" w:rsidTr="00553A63">
        <w:tc>
          <w:tcPr>
            <w:tcW w:w="936" w:type="dxa"/>
          </w:tcPr>
          <w:p w14:paraId="4EE7201E" w14:textId="03229DAC" w:rsidR="00741444" w:rsidRDefault="00741444" w:rsidP="00553A63">
            <w:pPr>
              <w:ind w:left="0"/>
              <w:jc w:val="center"/>
            </w:pPr>
            <w:r>
              <w:t>10A</w:t>
            </w:r>
          </w:p>
        </w:tc>
        <w:tc>
          <w:tcPr>
            <w:tcW w:w="2214" w:type="dxa"/>
          </w:tcPr>
          <w:p w14:paraId="13C80D7F" w14:textId="5C4B6B08" w:rsidR="00741444" w:rsidRDefault="00741444" w:rsidP="00553A63">
            <w:pPr>
              <w:ind w:left="0"/>
            </w:pPr>
            <w:r w:rsidRPr="00741202">
              <w:t xml:space="preserve">Automated Testing </w:t>
            </w:r>
            <w:r>
              <w:t>Solution</w:t>
            </w:r>
            <w:r w:rsidRPr="00741202">
              <w:t xml:space="preserve"> </w:t>
            </w:r>
            <w:r>
              <w:t>Test</w:t>
            </w:r>
            <w:r w:rsidRPr="005363D2">
              <w:t xml:space="preserve"> Plan</w:t>
            </w:r>
          </w:p>
        </w:tc>
        <w:tc>
          <w:tcPr>
            <w:tcW w:w="5706" w:type="dxa"/>
          </w:tcPr>
          <w:p w14:paraId="0E3EAFA4" w14:textId="5F211391" w:rsidR="00741444" w:rsidRDefault="00741444" w:rsidP="00553A63">
            <w:pPr>
              <w:ind w:left="0"/>
            </w:pPr>
            <w:r>
              <w:t>At a minimum, the Plan must:</w:t>
            </w:r>
          </w:p>
          <w:p w14:paraId="1A7E8270" w14:textId="77777777" w:rsidR="00FF783F" w:rsidRDefault="00FF783F" w:rsidP="00E16D2D">
            <w:pPr>
              <w:pStyle w:val="LB1-Table"/>
            </w:pPr>
            <w:r>
              <w:t xml:space="preserve">Be stored in the TWC SharePoint site; </w:t>
            </w:r>
          </w:p>
          <w:p w14:paraId="2F94DA78" w14:textId="77777777" w:rsidR="00FF783F" w:rsidRDefault="00FF783F" w:rsidP="00F82166">
            <w:pPr>
              <w:pStyle w:val="LB1-Table"/>
            </w:pPr>
            <w:r>
              <w:t>Align with the phased Implementation Strategy accepted by TWC;</w:t>
            </w:r>
          </w:p>
          <w:p w14:paraId="027119C8" w14:textId="4F7AA83C" w:rsidR="00741444" w:rsidRDefault="00741444" w:rsidP="00F82166">
            <w:pPr>
              <w:pStyle w:val="LB1-Table"/>
            </w:pPr>
            <w:r>
              <w:t>Describe the automated testing process;</w:t>
            </w:r>
          </w:p>
          <w:p w14:paraId="47F6B9CB" w14:textId="77777777" w:rsidR="00741444" w:rsidRDefault="00741444">
            <w:pPr>
              <w:pStyle w:val="LB1-Table"/>
            </w:pPr>
            <w:r>
              <w:t>Include recommended tool(s), version number(s), and where Offeror has implemented previously;</w:t>
            </w:r>
          </w:p>
          <w:p w14:paraId="5F426AB2" w14:textId="77777777" w:rsidR="00741444" w:rsidRDefault="00741444">
            <w:pPr>
              <w:pStyle w:val="LB1-Table"/>
            </w:pPr>
            <w:r>
              <w:t>Define the scope of automation;</w:t>
            </w:r>
          </w:p>
          <w:p w14:paraId="12040B94" w14:textId="77777777" w:rsidR="00741444" w:rsidRDefault="00741444">
            <w:pPr>
              <w:pStyle w:val="LB1-Table"/>
            </w:pPr>
            <w:r>
              <w:t>Include automation testbed preparation activities; and</w:t>
            </w:r>
          </w:p>
          <w:p w14:paraId="7CBA7881" w14:textId="1A8A0EF3" w:rsidR="00741444" w:rsidRDefault="00741444">
            <w:pPr>
              <w:pStyle w:val="LB1-Table"/>
            </w:pPr>
            <w:r>
              <w:t>Describe the schedule and timeline of scripting and script execution.</w:t>
            </w:r>
          </w:p>
        </w:tc>
        <w:tc>
          <w:tcPr>
            <w:tcW w:w="1944" w:type="dxa"/>
          </w:tcPr>
          <w:p w14:paraId="18ADF5FC" w14:textId="77777777" w:rsidR="00741444" w:rsidRPr="00F57DB3" w:rsidRDefault="00741444" w:rsidP="00553A63">
            <w:pPr>
              <w:ind w:left="0"/>
            </w:pPr>
          </w:p>
        </w:tc>
      </w:tr>
      <w:tr w:rsidR="00A360CE" w14:paraId="42AACACA" w14:textId="77777777" w:rsidTr="00553A63">
        <w:tc>
          <w:tcPr>
            <w:tcW w:w="936" w:type="dxa"/>
          </w:tcPr>
          <w:p w14:paraId="0FF8AD92" w14:textId="6C865758" w:rsidR="00A360CE" w:rsidRDefault="00A360CE" w:rsidP="00553A63">
            <w:pPr>
              <w:ind w:left="0"/>
              <w:jc w:val="center"/>
            </w:pPr>
            <w:r>
              <w:t>10</w:t>
            </w:r>
            <w:r w:rsidR="00741444">
              <w:t>B</w:t>
            </w:r>
          </w:p>
        </w:tc>
        <w:tc>
          <w:tcPr>
            <w:tcW w:w="2214" w:type="dxa"/>
          </w:tcPr>
          <w:p w14:paraId="52277EE6" w14:textId="02292A73" w:rsidR="00A360CE" w:rsidRDefault="00A360CE" w:rsidP="00553A63">
            <w:pPr>
              <w:ind w:left="0"/>
            </w:pPr>
            <w:r>
              <w:t>Automated Testing Solution Documentation</w:t>
            </w:r>
          </w:p>
        </w:tc>
        <w:tc>
          <w:tcPr>
            <w:tcW w:w="5706" w:type="dxa"/>
          </w:tcPr>
          <w:p w14:paraId="503C149F" w14:textId="39CA01D7" w:rsidR="00A360CE" w:rsidRDefault="00A360CE" w:rsidP="00553A63">
            <w:pPr>
              <w:ind w:left="0"/>
            </w:pPr>
            <w:r>
              <w:t>At a minimum, the Documentation must:</w:t>
            </w:r>
          </w:p>
          <w:p w14:paraId="5D88E650" w14:textId="0BF6065F" w:rsidR="00A360CE" w:rsidRDefault="00A360CE" w:rsidP="00E16D2D">
            <w:pPr>
              <w:pStyle w:val="LB1-Table"/>
            </w:pPr>
            <w:r>
              <w:t xml:space="preserve">Include </w:t>
            </w:r>
            <w:r w:rsidRPr="00966558">
              <w:t>developing and executing automated test</w:t>
            </w:r>
            <w:r>
              <w:t>ing</w:t>
            </w:r>
            <w:r w:rsidRPr="00966558">
              <w:t xml:space="preserve"> f</w:t>
            </w:r>
            <w:r>
              <w:t>or</w:t>
            </w:r>
            <w:r w:rsidRPr="00966558">
              <w:t xml:space="preserve"> the </w:t>
            </w:r>
            <w:r>
              <w:t>UI</w:t>
            </w:r>
            <w:r w:rsidRPr="00966558">
              <w:t xml:space="preserve"> solution; training plan for TWC </w:t>
            </w:r>
            <w:r>
              <w:t xml:space="preserve">Staff </w:t>
            </w:r>
            <w:r w:rsidRPr="00966558">
              <w:t>on automated test suite; and documentation on running, maintaining and creating new automated tests</w:t>
            </w:r>
            <w:r>
              <w:t>.</w:t>
            </w:r>
          </w:p>
        </w:tc>
        <w:tc>
          <w:tcPr>
            <w:tcW w:w="1944" w:type="dxa"/>
          </w:tcPr>
          <w:p w14:paraId="67F87B9B" w14:textId="77777777" w:rsidR="00A360CE" w:rsidRDefault="00A360CE" w:rsidP="00553A63">
            <w:pPr>
              <w:ind w:left="0"/>
            </w:pPr>
            <w:r w:rsidRPr="00F57DB3">
              <w:t>TBD in accordance with the IMS</w:t>
            </w:r>
          </w:p>
        </w:tc>
      </w:tr>
      <w:tr w:rsidR="00A360CE" w14:paraId="5C69FCBF" w14:textId="77777777" w:rsidTr="00553A63">
        <w:tc>
          <w:tcPr>
            <w:tcW w:w="936" w:type="dxa"/>
          </w:tcPr>
          <w:p w14:paraId="03B31972" w14:textId="6E2E2E32" w:rsidR="00A360CE" w:rsidRDefault="00A360CE" w:rsidP="00553A63">
            <w:pPr>
              <w:ind w:left="0"/>
              <w:jc w:val="center"/>
            </w:pPr>
            <w:r>
              <w:t>10</w:t>
            </w:r>
            <w:r w:rsidR="00741444">
              <w:t>C</w:t>
            </w:r>
          </w:p>
        </w:tc>
        <w:tc>
          <w:tcPr>
            <w:tcW w:w="2214" w:type="dxa"/>
          </w:tcPr>
          <w:p w14:paraId="08E3D8CC" w14:textId="4B72BC33" w:rsidR="00A360CE" w:rsidRDefault="00A360CE" w:rsidP="00553A63">
            <w:pPr>
              <w:ind w:left="0"/>
            </w:pPr>
            <w:r>
              <w:t>Implemented Automated Testing Solution</w:t>
            </w:r>
          </w:p>
        </w:tc>
        <w:tc>
          <w:tcPr>
            <w:tcW w:w="5706" w:type="dxa"/>
          </w:tcPr>
          <w:p w14:paraId="2800CE4C" w14:textId="77777777" w:rsidR="00A360CE" w:rsidRDefault="00A360CE" w:rsidP="00553A63">
            <w:pPr>
              <w:ind w:left="0"/>
            </w:pPr>
            <w:r>
              <w:t>At a minimum, Awarded Vendor must demonstrate that they successfully:</w:t>
            </w:r>
          </w:p>
          <w:p w14:paraId="2AD92C43" w14:textId="77777777" w:rsidR="00A360CE" w:rsidRDefault="00A360CE" w:rsidP="00E16D2D">
            <w:pPr>
              <w:pStyle w:val="LB1-Table"/>
            </w:pPr>
            <w:r>
              <w:t>Implemented the Automated Testing Solution; and</w:t>
            </w:r>
          </w:p>
          <w:p w14:paraId="41F6F853" w14:textId="4A4E2A2C" w:rsidR="00A360CE" w:rsidRDefault="00A360CE" w:rsidP="00F82166">
            <w:pPr>
              <w:pStyle w:val="LB1-Table"/>
            </w:pPr>
            <w:r>
              <w:t>C</w:t>
            </w:r>
            <w:r w:rsidRPr="00741202">
              <w:t>onduct</w:t>
            </w:r>
            <w:r>
              <w:t>ed</w:t>
            </w:r>
            <w:r w:rsidRPr="00741202">
              <w:t xml:space="preserve"> knowle</w:t>
            </w:r>
            <w:r>
              <w:t>dge transfer sessions with TWC S</w:t>
            </w:r>
            <w:r w:rsidRPr="00741202">
              <w:t>taff</w:t>
            </w:r>
            <w:r>
              <w:t>.</w:t>
            </w:r>
          </w:p>
        </w:tc>
        <w:tc>
          <w:tcPr>
            <w:tcW w:w="1944" w:type="dxa"/>
          </w:tcPr>
          <w:p w14:paraId="3AA16344" w14:textId="77777777" w:rsidR="00A360CE" w:rsidRPr="00F57DB3" w:rsidRDefault="00A360CE" w:rsidP="00553A63">
            <w:pPr>
              <w:ind w:left="0"/>
            </w:pPr>
            <w:r w:rsidRPr="00F57DB3">
              <w:t>TBD in accordance with the IMS</w:t>
            </w:r>
          </w:p>
        </w:tc>
      </w:tr>
      <w:bookmarkEnd w:id="118"/>
    </w:tbl>
    <w:p w14:paraId="2146B45D" w14:textId="77777777" w:rsidR="00741444" w:rsidRDefault="00741444" w:rsidP="00741444"/>
    <w:p w14:paraId="490AF4F0" w14:textId="183D523A" w:rsidR="009C0D10" w:rsidRDefault="00741444" w:rsidP="00295E13">
      <w:r w:rsidRPr="00BE56F2">
        <w:t xml:space="preserve">The </w:t>
      </w:r>
      <w:r>
        <w:t>Offeror must include a draft version of deliverable 10A with their proposal.</w:t>
      </w:r>
    </w:p>
    <w:p w14:paraId="3126EFAC" w14:textId="2445B2A8" w:rsidR="00653476" w:rsidRDefault="00653476" w:rsidP="00653476">
      <w:pPr>
        <w:pStyle w:val="Heading3"/>
      </w:pPr>
      <w:bookmarkStart w:id="119" w:name="_Toc13567406"/>
      <w:r>
        <w:lastRenderedPageBreak/>
        <w:t>2.2.</w:t>
      </w:r>
      <w:r w:rsidR="00236FAA">
        <w:t>11</w:t>
      </w:r>
      <w:r w:rsidR="00236FAA">
        <w:tab/>
      </w:r>
      <w:r w:rsidR="009B7E37">
        <w:t>Task</w:t>
      </w:r>
      <w:r w:rsidR="00236FAA">
        <w:t xml:space="preserve"> 11</w:t>
      </w:r>
      <w:r>
        <w:t xml:space="preserve">: </w:t>
      </w:r>
      <w:r w:rsidR="00EF51DB">
        <w:t xml:space="preserve">Conduct </w:t>
      </w:r>
      <w:r w:rsidR="00EF51DB" w:rsidRPr="000262F8">
        <w:t xml:space="preserve">System </w:t>
      </w:r>
      <w:r w:rsidRPr="000262F8">
        <w:t>Testing</w:t>
      </w:r>
      <w:bookmarkEnd w:id="119"/>
    </w:p>
    <w:p w14:paraId="613FAFE7" w14:textId="0DFD039B" w:rsidR="000374E5" w:rsidRDefault="007763B5" w:rsidP="000374E5">
      <w:r>
        <w:t xml:space="preserve">During this phase, the Awarded Vendor will execute test activities defined in the approved Test Plan for each testing phase (Unit, System, Integration, User Acceptance, Security, Accessibility, Load, Stress, and Performance Testing). At the completion of each testing phase, the Awarded Vendor will update the Test Plan, </w:t>
      </w:r>
      <w:r w:rsidR="000B652C">
        <w:t>requirements traceability matrix</w:t>
      </w:r>
      <w:r>
        <w:t>, and demonstrate satisfaction of test phase Exit Criteria. During all testing activities, the Awarded Vendor will collaborate with TWC to resolve identified defects according the Test Plan and defect resolution processes. Offeror responses must describe testing methods, artifacts, and support of TWC UAT execution. Offerors must provide the estimated level of effort TWC is expected to contribute to vendor conducted testing</w:t>
      </w:r>
      <w:r w:rsidR="000B652C">
        <w:t>.</w:t>
      </w:r>
    </w:p>
    <w:p w14:paraId="2DC4DF71" w14:textId="47DC15EC" w:rsidR="000B652C" w:rsidRDefault="000B652C" w:rsidP="000B652C">
      <w:r>
        <w:rPr>
          <w:b/>
        </w:rPr>
        <w:t>User Acceptance Testing</w:t>
      </w:r>
      <w:r>
        <w:t xml:space="preserve"> </w:t>
      </w:r>
    </w:p>
    <w:p w14:paraId="74BCAEF7" w14:textId="6602BEC4" w:rsidR="000B652C" w:rsidRDefault="000B652C" w:rsidP="000B652C">
      <w:r>
        <w:t xml:space="preserve">In addition to execution of vendor testing activities, the Awarded Vendor must support TWC’s UAT planning and execution. UAT will be performed by TWC users in the test environment using test data to confirm that the application meets the agreed upon requirements.  UAT will be physically conducted in Austin, TX. As part of the Test Plan, the Awarded Vendor will develop the UAT plan that includes the methods for documenting and communicating test results and responses to Awarded Vendor teams, TWC, and other stakeholders. The Awarded Vendor will work with TWC define specifications and capabilities of UAT environments and support TWC development of test cases, test scripts, test data setup, test cycles and necessary UI configuration, as needed. TWC will perform acceptance testing with the support of the Awarded Vendor team. UAT activities will not be completed until TWC is confirms that all approved requirements are satisfied. </w:t>
      </w:r>
    </w:p>
    <w:p w14:paraId="05912D6C" w14:textId="77777777" w:rsidR="000B652C" w:rsidRDefault="000B652C" w:rsidP="000B652C">
      <w:pPr>
        <w:pStyle w:val="LB1"/>
        <w:numPr>
          <w:ilvl w:val="0"/>
          <w:numId w:val="0"/>
        </w:numPr>
        <w:ind w:left="720"/>
      </w:pPr>
      <w:r>
        <w:t>The Awarded Vendor will support the UAT phase by:</w:t>
      </w:r>
    </w:p>
    <w:p w14:paraId="2D884D18" w14:textId="125D4F3B" w:rsidR="000B652C" w:rsidRPr="00C6345E" w:rsidRDefault="000B652C" w:rsidP="00C6345E">
      <w:pPr>
        <w:pStyle w:val="LB1"/>
      </w:pPr>
      <w:r w:rsidRPr="00C6345E">
        <w:t>Checking that the environment is up and running and ensure smooth testing with the proper data set and necessary/privileged access provided to business users;</w:t>
      </w:r>
    </w:p>
    <w:p w14:paraId="610268C9" w14:textId="20B53EBC" w:rsidR="000B652C" w:rsidRPr="00C6345E" w:rsidRDefault="000B652C" w:rsidP="00C6345E">
      <w:pPr>
        <w:pStyle w:val="LB1"/>
      </w:pPr>
      <w:r w:rsidRPr="00C6345E">
        <w:t>Helping users so that they can execute tests and review results;</w:t>
      </w:r>
    </w:p>
    <w:p w14:paraId="347AC368" w14:textId="643483E4" w:rsidR="000B652C" w:rsidRPr="00C6345E" w:rsidRDefault="000B652C" w:rsidP="00C6345E">
      <w:pPr>
        <w:pStyle w:val="LB1"/>
      </w:pPr>
      <w:r w:rsidRPr="00C6345E">
        <w:t>Assisting the functional stream coordinators and business users to monitor the defect data;</w:t>
      </w:r>
    </w:p>
    <w:p w14:paraId="64A74532" w14:textId="4DB4BA9D" w:rsidR="000B652C" w:rsidRPr="00C6345E" w:rsidRDefault="000B652C" w:rsidP="00C6345E">
      <w:pPr>
        <w:pStyle w:val="LB1"/>
      </w:pPr>
      <w:r w:rsidRPr="00C6345E">
        <w:t>Assisting the logging of defects in the test management tool;</w:t>
      </w:r>
    </w:p>
    <w:p w14:paraId="001675E5" w14:textId="2967EB62" w:rsidR="000B652C" w:rsidRPr="00C6345E" w:rsidRDefault="000B652C" w:rsidP="00C6345E">
      <w:pPr>
        <w:pStyle w:val="LB1"/>
      </w:pPr>
      <w:r w:rsidRPr="00C6345E">
        <w:t>Aiding in establishing the traceability on the requirements spanning across various business units;</w:t>
      </w:r>
    </w:p>
    <w:p w14:paraId="78B586CA" w14:textId="12BDD9FC" w:rsidR="000B652C" w:rsidRPr="00C6345E" w:rsidRDefault="000B652C" w:rsidP="00C6345E">
      <w:pPr>
        <w:pStyle w:val="LB1"/>
      </w:pPr>
      <w:r w:rsidRPr="00C6345E">
        <w:t>Validating the test data inline to test cases, in coordination with the development team;</w:t>
      </w:r>
    </w:p>
    <w:p w14:paraId="6700E0DA" w14:textId="186041AF" w:rsidR="000B652C" w:rsidRPr="00C6345E" w:rsidRDefault="000B652C" w:rsidP="00C6345E">
      <w:pPr>
        <w:pStyle w:val="LB1"/>
      </w:pPr>
      <w:r w:rsidRPr="00C6345E">
        <w:t>Providing regular updates to the business team on progress, defect management support and reporting;</w:t>
      </w:r>
    </w:p>
    <w:p w14:paraId="27BF0136" w14:textId="3FC4A5B3" w:rsidR="000B652C" w:rsidRPr="00C6345E" w:rsidRDefault="000B652C" w:rsidP="00C6345E">
      <w:pPr>
        <w:pStyle w:val="LB1"/>
      </w:pPr>
      <w:r w:rsidRPr="00C6345E">
        <w:t>Establishing UAT test user accounts to follow the resemblance of the actual users;</w:t>
      </w:r>
    </w:p>
    <w:p w14:paraId="659E2B50" w14:textId="1D594FD0" w:rsidR="000B652C" w:rsidRPr="00C6345E" w:rsidRDefault="000B652C" w:rsidP="00C6345E">
      <w:pPr>
        <w:pStyle w:val="LB1"/>
      </w:pPr>
      <w:r w:rsidRPr="00C6345E">
        <w:t>Providing collaboration with the user community (all the business areas impacted/affected with the proposed change/new system); and</w:t>
      </w:r>
    </w:p>
    <w:p w14:paraId="7FF08CD3" w14:textId="77777777" w:rsidR="000B652C" w:rsidRDefault="000B652C" w:rsidP="00C6345E">
      <w:pPr>
        <w:pStyle w:val="LB1"/>
      </w:pPr>
      <w:r w:rsidRPr="00C6345E">
        <w:lastRenderedPageBreak/>
        <w:t>Resolving UAT defects and other reported issues in a timely manner.</w:t>
      </w:r>
      <w:r>
        <w:t xml:space="preserve"> </w:t>
      </w:r>
    </w:p>
    <w:p w14:paraId="4A578904" w14:textId="77777777" w:rsidR="000B652C" w:rsidRDefault="000B652C" w:rsidP="000B652C"/>
    <w:p w14:paraId="5A678E83" w14:textId="6E832064" w:rsidR="00653476" w:rsidRDefault="00653476" w:rsidP="000B652C">
      <w:r>
        <w:t>A</w:t>
      </w:r>
      <w:r w:rsidRPr="00E21848">
        <w:t>ctivities</w:t>
      </w:r>
      <w:r>
        <w:t xml:space="preserve"> </w:t>
      </w:r>
      <w:r w:rsidRPr="00E21848">
        <w:t>include:</w:t>
      </w:r>
    </w:p>
    <w:p w14:paraId="6C902632" w14:textId="47BFA7BB" w:rsidR="00B01903" w:rsidRDefault="00425056" w:rsidP="00E16D2D">
      <w:pPr>
        <w:pStyle w:val="LB1"/>
      </w:pPr>
      <w:r>
        <w:t xml:space="preserve">Implement the Test Plan identified in </w:t>
      </w:r>
      <w:hyperlink w:anchor="_2.2.1_Required_DeliverableTask" w:history="1">
        <w:r w:rsidR="009B7E37">
          <w:rPr>
            <w:rStyle w:val="Hyperlink"/>
          </w:rPr>
          <w:t>Task 1</w:t>
        </w:r>
      </w:hyperlink>
      <w:r w:rsidR="00B01903" w:rsidRPr="00B01903">
        <w:t>;</w:t>
      </w:r>
    </w:p>
    <w:p w14:paraId="06099D96" w14:textId="26585E25" w:rsidR="00C614CE" w:rsidRDefault="00C614CE" w:rsidP="00E16D2D">
      <w:pPr>
        <w:pStyle w:val="LB1"/>
      </w:pPr>
      <w:bookmarkStart w:id="120" w:name="_Hlk4140294"/>
      <w:bookmarkStart w:id="121" w:name="_Hlk4143550"/>
      <w:r>
        <w:t xml:space="preserve">Ensure system clock can be changed </w:t>
      </w:r>
      <w:r w:rsidR="00CD0F43">
        <w:t xml:space="preserve">to conduct </w:t>
      </w:r>
      <w:r>
        <w:t>date and time</w:t>
      </w:r>
      <w:r w:rsidR="00CD0F43">
        <w:t xml:space="preserve"> simulation tests</w:t>
      </w:r>
      <w:r>
        <w:t xml:space="preserve"> </w:t>
      </w:r>
      <w:r w:rsidR="00CD0F43">
        <w:t xml:space="preserve">for date and time sensitive functionality and code </w:t>
      </w:r>
      <w:r>
        <w:t xml:space="preserve">in the </w:t>
      </w:r>
      <w:r w:rsidR="00984BB1">
        <w:t xml:space="preserve">development and </w:t>
      </w:r>
      <w:r>
        <w:t>test environment</w:t>
      </w:r>
      <w:bookmarkEnd w:id="120"/>
      <w:r w:rsidR="00DF037E">
        <w:t>s</w:t>
      </w:r>
      <w:r>
        <w:t>;</w:t>
      </w:r>
    </w:p>
    <w:p w14:paraId="27207DB8" w14:textId="00BAC453" w:rsidR="00760373" w:rsidRDefault="00760373" w:rsidP="00F82166">
      <w:pPr>
        <w:pStyle w:val="LB1"/>
      </w:pPr>
      <w:r>
        <w:t>Test d</w:t>
      </w:r>
      <w:r w:rsidRPr="0082214B">
        <w:t>ata must be able to be aged</w:t>
      </w:r>
      <w:r w:rsidR="002205E7">
        <w:t>;</w:t>
      </w:r>
    </w:p>
    <w:p w14:paraId="180A54EF" w14:textId="05BDDDF3" w:rsidR="00295E13" w:rsidRDefault="00295E13" w:rsidP="00F82166">
      <w:pPr>
        <w:pStyle w:val="LB1"/>
      </w:pPr>
      <w:r>
        <w:t>Conduct tests using migrated data as early as possible in the test cycle;</w:t>
      </w:r>
    </w:p>
    <w:bookmarkEnd w:id="121"/>
    <w:p w14:paraId="6F769414" w14:textId="68BAC2A4" w:rsidR="001B5AE3" w:rsidRDefault="001B5AE3">
      <w:pPr>
        <w:pStyle w:val="LB1"/>
      </w:pPr>
      <w:r>
        <w:t xml:space="preserve">Define automated process to move </w:t>
      </w:r>
      <w:r w:rsidR="00F709EF">
        <w:t xml:space="preserve">a copy of </w:t>
      </w:r>
      <w:r>
        <w:t>production data, including associated content management data, into the development and test environments</w:t>
      </w:r>
      <w:r w:rsidR="006B580D">
        <w:t xml:space="preserve">. Offeror must provide </w:t>
      </w:r>
      <w:r>
        <w:t>the option to de-identify data;</w:t>
      </w:r>
    </w:p>
    <w:p w14:paraId="3B5E9811" w14:textId="430755EB" w:rsidR="001B5AE3" w:rsidRDefault="001B5AE3">
      <w:pPr>
        <w:pStyle w:val="LB1"/>
      </w:pPr>
      <w:r>
        <w:t xml:space="preserve">Describe breakpoint restore and purge </w:t>
      </w:r>
      <w:r w:rsidR="00012881">
        <w:t xml:space="preserve">testing </w:t>
      </w:r>
      <w:r>
        <w:t xml:space="preserve">process for the above </w:t>
      </w:r>
      <w:r w:rsidR="00012881">
        <w:t xml:space="preserve">referenced test </w:t>
      </w:r>
      <w:r>
        <w:t>data;</w:t>
      </w:r>
    </w:p>
    <w:p w14:paraId="28F22EB1" w14:textId="2169B5F7" w:rsidR="00236FAA" w:rsidRDefault="00B26442">
      <w:pPr>
        <w:pStyle w:val="LB1"/>
      </w:pPr>
      <w:r>
        <w:t>Define Prod</w:t>
      </w:r>
      <w:r w:rsidR="00CD4819">
        <w:t>uct Quality Metrics for Testing</w:t>
      </w:r>
      <w:r w:rsidR="00466284">
        <w:t>,</w:t>
      </w:r>
      <w:r w:rsidR="00CD4819">
        <w:t xml:space="preserve"> to be n</w:t>
      </w:r>
      <w:r>
        <w:t>egotia</w:t>
      </w:r>
      <w:r w:rsidR="00FC7AC7">
        <w:t>ted and accepted by TWC before t</w:t>
      </w:r>
      <w:r>
        <w:t>esting begins</w:t>
      </w:r>
      <w:r w:rsidR="00CD4819">
        <w:t>;</w:t>
      </w:r>
    </w:p>
    <w:p w14:paraId="3C94950C" w14:textId="6FC9BE98" w:rsidR="00546F5A" w:rsidRDefault="006B0969">
      <w:pPr>
        <w:pStyle w:val="LB1"/>
      </w:pPr>
      <w:r>
        <w:t xml:space="preserve">Develop </w:t>
      </w:r>
      <w:r w:rsidR="002E5FD9">
        <w:t>T</w:t>
      </w:r>
      <w:r>
        <w:t xml:space="preserve">est </w:t>
      </w:r>
      <w:r w:rsidR="002E5FD9">
        <w:t>C</w:t>
      </w:r>
      <w:r>
        <w:t xml:space="preserve">ases and </w:t>
      </w:r>
      <w:r w:rsidR="002E5FD9">
        <w:t>S</w:t>
      </w:r>
      <w:r>
        <w:t>cripts</w:t>
      </w:r>
      <w:r w:rsidR="005C5C2D">
        <w:t xml:space="preserve"> ensuring 100% coverage</w:t>
      </w:r>
      <w:r w:rsidR="008237BF">
        <w:t xml:space="preserve"> of functional requirements with traceability to TWC’s HP ALM</w:t>
      </w:r>
      <w:r w:rsidR="00B01903">
        <w:t>;</w:t>
      </w:r>
    </w:p>
    <w:p w14:paraId="0EC6A735" w14:textId="50203D59" w:rsidR="005C5C2D" w:rsidRPr="005C5C2D" w:rsidRDefault="005C5C2D">
      <w:pPr>
        <w:pStyle w:val="LB1"/>
      </w:pPr>
      <w:r w:rsidRPr="005C5C2D">
        <w:t xml:space="preserve">Ensure </w:t>
      </w:r>
      <w:r w:rsidR="00FC7AC7">
        <w:t xml:space="preserve">Test Cases </w:t>
      </w:r>
      <w:r w:rsidRPr="005C5C2D">
        <w:t xml:space="preserve">are developed and stored in TWC’s automated testing tool; </w:t>
      </w:r>
    </w:p>
    <w:p w14:paraId="144205BA" w14:textId="4ED24D75" w:rsidR="00067E72" w:rsidRDefault="00067E72">
      <w:pPr>
        <w:pStyle w:val="LB1"/>
      </w:pPr>
      <w:r>
        <w:t xml:space="preserve">Ensure </w:t>
      </w:r>
      <w:r w:rsidR="00FC7AC7">
        <w:t xml:space="preserve">Test Scripts </w:t>
      </w:r>
      <w:r w:rsidRPr="00067E72">
        <w:t>are complete, with step-by-step procedures, required pre-existing events or triggers, and expected results</w:t>
      </w:r>
      <w:r w:rsidR="00B01903">
        <w:t>;</w:t>
      </w:r>
    </w:p>
    <w:p w14:paraId="5E8FF6F6" w14:textId="03E38A40" w:rsidR="006B0969" w:rsidRDefault="007C0B6A">
      <w:pPr>
        <w:pStyle w:val="LB1"/>
      </w:pPr>
      <w:r>
        <w:t xml:space="preserve">Test UI System to meet agreed-upon quality </w:t>
      </w:r>
      <w:r w:rsidR="00EB0C5C">
        <w:t>m</w:t>
      </w:r>
      <w:r>
        <w:t>etrics</w:t>
      </w:r>
      <w:r w:rsidR="00682CD8">
        <w:t xml:space="preserve"> including </w:t>
      </w:r>
      <w:r w:rsidR="00FB6A9C">
        <w:t xml:space="preserve">code </w:t>
      </w:r>
      <w:r w:rsidR="006E0AC7">
        <w:t>quality, pass</w:t>
      </w:r>
      <w:r w:rsidR="00FB6A9C">
        <w:t>/fail rates, and reopen rates</w:t>
      </w:r>
      <w:r w:rsidR="00B01903">
        <w:t>;</w:t>
      </w:r>
    </w:p>
    <w:p w14:paraId="458395D4" w14:textId="77777777" w:rsidR="00A27E70" w:rsidRDefault="00510D72">
      <w:pPr>
        <w:pStyle w:val="LB1"/>
      </w:pPr>
      <w:r>
        <w:t>Ensure test results are verified and document test results</w:t>
      </w:r>
      <w:r w:rsidR="00067E72">
        <w:t>, including formal logging of errors found in testing</w:t>
      </w:r>
      <w:r w:rsidR="00B01903">
        <w:t xml:space="preserve">; </w:t>
      </w:r>
    </w:p>
    <w:p w14:paraId="280A8BA5" w14:textId="77777777" w:rsidR="00A27E70" w:rsidRDefault="00A27E70">
      <w:pPr>
        <w:pStyle w:val="LB1"/>
      </w:pPr>
      <w:r>
        <w:t>Resolve system defects timely as defined in the approved Test Plan;</w:t>
      </w:r>
    </w:p>
    <w:p w14:paraId="6A77ACDB" w14:textId="77777777" w:rsidR="00A27E70" w:rsidRDefault="00A27E70">
      <w:pPr>
        <w:pStyle w:val="LB1"/>
      </w:pPr>
      <w:r>
        <w:t>Update the requirements traceability matrix to reflect test cases scripts executed to verify requirement implementation;</w:t>
      </w:r>
    </w:p>
    <w:p w14:paraId="0226346F" w14:textId="7B457D72" w:rsidR="00510D72" w:rsidRDefault="00A27E70">
      <w:pPr>
        <w:pStyle w:val="LB1"/>
      </w:pPr>
      <w:r>
        <w:t xml:space="preserve">Support UAT executed by TWC; </w:t>
      </w:r>
      <w:r w:rsidR="00B01903">
        <w:t>and</w:t>
      </w:r>
    </w:p>
    <w:p w14:paraId="30C82F55" w14:textId="2DD71872" w:rsidR="007C0B6A" w:rsidRDefault="00A27E70">
      <w:pPr>
        <w:pStyle w:val="LB1"/>
      </w:pPr>
      <w:r>
        <w:t>Demonstrate approved Exit Criteria are satisfied to proceed through review gates at the conclusion of each test activity</w:t>
      </w:r>
      <w:r w:rsidR="00B01903">
        <w:t>.</w:t>
      </w:r>
    </w:p>
    <w:p w14:paraId="7B8E8215" w14:textId="664E412B" w:rsidR="009543CF" w:rsidRDefault="009543CF" w:rsidP="00653476"/>
    <w:p w14:paraId="1EAC81EE" w14:textId="0675252B" w:rsidR="005D4831" w:rsidRDefault="00272A05" w:rsidP="005D4831">
      <w:r>
        <w:t xml:space="preserve">The Awarded Vendor will complete the following </w:t>
      </w:r>
      <w:r w:rsidR="00B81B78">
        <w:t>deliverables during this Task</w:t>
      </w:r>
      <w:r w:rsidR="005D4831">
        <w:t>:</w:t>
      </w:r>
    </w:p>
    <w:tbl>
      <w:tblPr>
        <w:tblStyle w:val="TableGrid"/>
        <w:tblW w:w="10800" w:type="dxa"/>
        <w:tblInd w:w="175" w:type="dxa"/>
        <w:tblLayout w:type="fixed"/>
        <w:tblLook w:val="04A0" w:firstRow="1" w:lastRow="0" w:firstColumn="1" w:lastColumn="0" w:noHBand="0" w:noVBand="1"/>
        <w:tblDescription w:val="Conduct system Testing deliverables schedule table"/>
      </w:tblPr>
      <w:tblGrid>
        <w:gridCol w:w="936"/>
        <w:gridCol w:w="2214"/>
        <w:gridCol w:w="5850"/>
        <w:gridCol w:w="1800"/>
      </w:tblGrid>
      <w:tr w:rsidR="00173A86" w:rsidRPr="00873442" w14:paraId="2CE94E85" w14:textId="77777777" w:rsidTr="0068135C">
        <w:trPr>
          <w:tblHeader/>
        </w:trPr>
        <w:tc>
          <w:tcPr>
            <w:tcW w:w="936" w:type="dxa"/>
            <w:shd w:val="clear" w:color="auto" w:fill="DEEAF6" w:themeFill="accent1" w:themeFillTint="33"/>
            <w:vAlign w:val="bottom"/>
          </w:tcPr>
          <w:p w14:paraId="3ECBFF0C" w14:textId="77777777" w:rsidR="00173A86" w:rsidRPr="004F202B" w:rsidRDefault="00173A86" w:rsidP="004B78B5">
            <w:pPr>
              <w:spacing w:after="0"/>
              <w:ind w:left="0"/>
              <w:jc w:val="center"/>
              <w:rPr>
                <w:rFonts w:cs="Arial"/>
                <w:b/>
                <w:color w:val="1F3864" w:themeColor="accent5" w:themeShade="80"/>
              </w:rPr>
            </w:pPr>
            <w:r w:rsidRPr="004F202B">
              <w:rPr>
                <w:rFonts w:cs="Arial"/>
                <w:b/>
                <w:color w:val="1F3864" w:themeColor="accent5" w:themeShade="80"/>
              </w:rPr>
              <w:t>No.</w:t>
            </w:r>
          </w:p>
        </w:tc>
        <w:tc>
          <w:tcPr>
            <w:tcW w:w="2214" w:type="dxa"/>
            <w:shd w:val="clear" w:color="auto" w:fill="DEEAF6" w:themeFill="accent1" w:themeFillTint="33"/>
          </w:tcPr>
          <w:p w14:paraId="33043C3D" w14:textId="77777777" w:rsidR="00173A86" w:rsidRPr="001B5E0B" w:rsidRDefault="00173A86" w:rsidP="004B78B5">
            <w:pPr>
              <w:spacing w:after="0"/>
              <w:ind w:left="0"/>
              <w:rPr>
                <w:rFonts w:cs="Arial"/>
                <w:b/>
                <w:color w:val="1F3864" w:themeColor="accent5" w:themeShade="80"/>
              </w:rPr>
            </w:pPr>
            <w:r>
              <w:rPr>
                <w:rFonts w:cs="Arial"/>
                <w:b/>
                <w:color w:val="1F3864" w:themeColor="accent5" w:themeShade="80"/>
              </w:rPr>
              <w:t>Deliverable</w:t>
            </w:r>
          </w:p>
        </w:tc>
        <w:tc>
          <w:tcPr>
            <w:tcW w:w="5850" w:type="dxa"/>
            <w:shd w:val="clear" w:color="auto" w:fill="DEEAF6" w:themeFill="accent1" w:themeFillTint="33"/>
          </w:tcPr>
          <w:p w14:paraId="4487B193" w14:textId="77777777" w:rsidR="00173A86" w:rsidRPr="001B5E0B" w:rsidRDefault="00173A86" w:rsidP="004B78B5">
            <w:pPr>
              <w:spacing w:after="0"/>
              <w:ind w:left="0"/>
              <w:rPr>
                <w:rFonts w:cs="Arial"/>
                <w:b/>
                <w:color w:val="1F3864" w:themeColor="accent5" w:themeShade="80"/>
              </w:rPr>
            </w:pPr>
            <w:r>
              <w:rPr>
                <w:rFonts w:cs="Arial"/>
                <w:b/>
                <w:color w:val="1F3864" w:themeColor="accent5" w:themeShade="80"/>
              </w:rPr>
              <w:t>Acceptance Criteria</w:t>
            </w:r>
          </w:p>
        </w:tc>
        <w:tc>
          <w:tcPr>
            <w:tcW w:w="1800" w:type="dxa"/>
            <w:shd w:val="clear" w:color="auto" w:fill="DEEAF6" w:themeFill="accent1" w:themeFillTint="33"/>
            <w:vAlign w:val="bottom"/>
          </w:tcPr>
          <w:p w14:paraId="24B41DD6" w14:textId="77777777" w:rsidR="00173A86" w:rsidRPr="004F202B" w:rsidRDefault="00173A86" w:rsidP="004B78B5">
            <w:pPr>
              <w:spacing w:after="0"/>
              <w:ind w:left="0"/>
              <w:rPr>
                <w:rFonts w:cs="Arial"/>
                <w:b/>
                <w:color w:val="1F3864" w:themeColor="accent5" w:themeShade="80"/>
              </w:rPr>
            </w:pPr>
            <w:r>
              <w:rPr>
                <w:rFonts w:cs="Arial"/>
                <w:b/>
                <w:color w:val="1F3864" w:themeColor="accent5" w:themeShade="80"/>
              </w:rPr>
              <w:t>Due Date</w:t>
            </w:r>
          </w:p>
        </w:tc>
      </w:tr>
      <w:tr w:rsidR="00236FAA" w:rsidRPr="00873442" w14:paraId="76FBCE50" w14:textId="77777777" w:rsidTr="0068135C">
        <w:tc>
          <w:tcPr>
            <w:tcW w:w="936" w:type="dxa"/>
          </w:tcPr>
          <w:p w14:paraId="0D760B80" w14:textId="3176AB14" w:rsidR="00236FAA" w:rsidRDefault="00236FAA" w:rsidP="00236FAA">
            <w:pPr>
              <w:ind w:left="0"/>
              <w:jc w:val="center"/>
            </w:pPr>
            <w:r>
              <w:t>11A</w:t>
            </w:r>
          </w:p>
        </w:tc>
        <w:tc>
          <w:tcPr>
            <w:tcW w:w="2214" w:type="dxa"/>
          </w:tcPr>
          <w:p w14:paraId="04A3F669" w14:textId="24B23D41" w:rsidR="00236FAA" w:rsidRDefault="00A27E70" w:rsidP="00236FAA">
            <w:pPr>
              <w:ind w:left="0"/>
            </w:pPr>
            <w:r>
              <w:t xml:space="preserve">Updated </w:t>
            </w:r>
            <w:r w:rsidR="0068135C">
              <w:t>Test Plan</w:t>
            </w:r>
          </w:p>
        </w:tc>
        <w:tc>
          <w:tcPr>
            <w:tcW w:w="5850" w:type="dxa"/>
          </w:tcPr>
          <w:p w14:paraId="3D159EAE" w14:textId="77777777" w:rsidR="00A27E70" w:rsidRDefault="00A27E70" w:rsidP="00A27E70">
            <w:pPr>
              <w:ind w:left="0"/>
            </w:pPr>
            <w:r>
              <w:t>At a minimum, the Plan must:</w:t>
            </w:r>
          </w:p>
          <w:p w14:paraId="017551A1" w14:textId="77777777" w:rsidR="00A27E70" w:rsidRDefault="00A27E70" w:rsidP="00C6345E">
            <w:pPr>
              <w:pStyle w:val="LB1-Table"/>
              <w:numPr>
                <w:ilvl w:val="0"/>
                <w:numId w:val="38"/>
              </w:numPr>
              <w:ind w:left="360"/>
            </w:pPr>
            <w:r>
              <w:t>Be stored in the TWC SharePoint site;</w:t>
            </w:r>
          </w:p>
          <w:p w14:paraId="0CC94DDB" w14:textId="77777777" w:rsidR="00A27E70" w:rsidRDefault="00A27E70" w:rsidP="00C6345E">
            <w:pPr>
              <w:pStyle w:val="LB1-Table"/>
              <w:numPr>
                <w:ilvl w:val="0"/>
                <w:numId w:val="38"/>
              </w:numPr>
              <w:ind w:left="360"/>
            </w:pPr>
            <w:r>
              <w:t>Updates must include:</w:t>
            </w:r>
          </w:p>
          <w:p w14:paraId="21BC7F29" w14:textId="77777777" w:rsidR="00A27E70" w:rsidRDefault="00A27E70" w:rsidP="00C6345E">
            <w:pPr>
              <w:pStyle w:val="OB1-Table"/>
              <w:numPr>
                <w:ilvl w:val="1"/>
                <w:numId w:val="38"/>
              </w:numPr>
              <w:tabs>
                <w:tab w:val="left" w:pos="720"/>
              </w:tabs>
              <w:ind w:left="720"/>
            </w:pPr>
            <w:r>
              <w:t xml:space="preserve">Any Test Plan updates to plans for the current or subsequent test process that have been agreed to by the TWC IT </w:t>
            </w:r>
            <w:r>
              <w:lastRenderedPageBreak/>
              <w:t xml:space="preserve">Project Manager and the Awarded Vendor Project Manager; </w:t>
            </w:r>
          </w:p>
          <w:p w14:paraId="57671A80" w14:textId="342E43EB" w:rsidR="00A27E70" w:rsidRDefault="00A27E70" w:rsidP="00C6345E">
            <w:pPr>
              <w:pStyle w:val="OB1-Table"/>
              <w:numPr>
                <w:ilvl w:val="1"/>
                <w:numId w:val="38"/>
              </w:numPr>
              <w:tabs>
                <w:tab w:val="left" w:pos="720"/>
              </w:tabs>
              <w:ind w:left="720"/>
            </w:pPr>
            <w:r>
              <w:t>Updated results of tests of test results reported in with the previous Updated Test Plan (</w:t>
            </w:r>
            <w:r w:rsidR="00FB15C0">
              <w:t xml:space="preserve">See </w:t>
            </w:r>
            <w:hyperlink w:anchor="_2.2.5_Required_DeliverableTask" w:history="1">
              <w:r w:rsidRPr="00FB15C0">
                <w:rPr>
                  <w:rStyle w:val="Hyperlink"/>
                </w:rPr>
                <w:t>Deliverable 5H</w:t>
              </w:r>
            </w:hyperlink>
            <w:r>
              <w:t>)</w:t>
            </w:r>
            <w:r w:rsidR="00FB15C0">
              <w:t>;</w:t>
            </w:r>
          </w:p>
          <w:p w14:paraId="29709773" w14:textId="77777777" w:rsidR="00A27E70" w:rsidRDefault="00A27E70" w:rsidP="00C6345E">
            <w:pPr>
              <w:pStyle w:val="OB1-Table"/>
              <w:numPr>
                <w:ilvl w:val="1"/>
                <w:numId w:val="38"/>
              </w:numPr>
              <w:tabs>
                <w:tab w:val="left" w:pos="720"/>
              </w:tabs>
              <w:ind w:left="720"/>
            </w:pPr>
            <w:r>
              <w:t xml:space="preserve">Load Test results, including the parameters used to validate system performance;  </w:t>
            </w:r>
          </w:p>
          <w:p w14:paraId="5F6EEAFF" w14:textId="77777777" w:rsidR="00A27E70" w:rsidRDefault="00A27E70" w:rsidP="00C6345E">
            <w:pPr>
              <w:pStyle w:val="OB1-Table"/>
              <w:numPr>
                <w:ilvl w:val="1"/>
                <w:numId w:val="38"/>
              </w:numPr>
              <w:tabs>
                <w:tab w:val="left" w:pos="720"/>
              </w:tabs>
              <w:ind w:left="720"/>
            </w:pPr>
            <w:r>
              <w:t xml:space="preserve">Performance Test results, including the parameters used to validate system performance; </w:t>
            </w:r>
          </w:p>
          <w:p w14:paraId="3D3A18C5" w14:textId="308526B9" w:rsidR="00A27E70" w:rsidRDefault="00A27E70" w:rsidP="00C6345E">
            <w:pPr>
              <w:pStyle w:val="OB1-Table"/>
              <w:numPr>
                <w:ilvl w:val="1"/>
                <w:numId w:val="38"/>
              </w:numPr>
              <w:tabs>
                <w:tab w:val="left" w:pos="720"/>
              </w:tabs>
              <w:ind w:left="720"/>
            </w:pPr>
            <w:r>
              <w:t xml:space="preserve">Accessibility Test results, including the volume </w:t>
            </w:r>
            <w:r w:rsidR="00FB15C0">
              <w:t>of unique scripts and pass rate;</w:t>
            </w:r>
          </w:p>
          <w:p w14:paraId="78D51920" w14:textId="5BAE474C" w:rsidR="00A27E70" w:rsidRDefault="00A27E70" w:rsidP="00C6345E">
            <w:pPr>
              <w:pStyle w:val="OB1-Table"/>
              <w:numPr>
                <w:ilvl w:val="1"/>
                <w:numId w:val="38"/>
              </w:numPr>
              <w:tabs>
                <w:tab w:val="left" w:pos="720"/>
              </w:tabs>
              <w:ind w:left="720"/>
            </w:pPr>
            <w:r>
              <w:t xml:space="preserve">Updated </w:t>
            </w:r>
            <w:r w:rsidR="00ED2EEB">
              <w:t xml:space="preserve">requirements traceability matrix </w:t>
            </w:r>
            <w:r>
              <w:t xml:space="preserve">tracing all test cases and processes to the relevant TWC functional </w:t>
            </w:r>
            <w:r w:rsidR="00FB15C0">
              <w:t>and non-functional requirements;</w:t>
            </w:r>
            <w:r>
              <w:t xml:space="preserve"> </w:t>
            </w:r>
          </w:p>
          <w:p w14:paraId="25FC0BA1" w14:textId="77777777" w:rsidR="00A27E70" w:rsidRPr="00A27E70" w:rsidRDefault="00A27E70" w:rsidP="00A27E70">
            <w:pPr>
              <w:pStyle w:val="OB1-Table"/>
            </w:pPr>
            <w:r>
              <w:t xml:space="preserve">Substantiation </w:t>
            </w:r>
            <w:r w:rsidRPr="00A27E70">
              <w:t>that Conduct System Configuration/ Customization phase testing Exit Criteria are achieved; and</w:t>
            </w:r>
          </w:p>
          <w:p w14:paraId="0E073722" w14:textId="096D7970" w:rsidR="00236FAA" w:rsidRDefault="00A27E70" w:rsidP="00DE4474">
            <w:pPr>
              <w:pStyle w:val="OB1-Table"/>
            </w:pPr>
            <w:r w:rsidRPr="00A27E70">
              <w:t xml:space="preserve">A detailed definition outstanding issues, </w:t>
            </w:r>
            <w:r>
              <w:t>i</w:t>
            </w:r>
            <w:r w:rsidRPr="00A27E70">
              <w:t>f deviations from approved SIT Exit Criteria are approved by the TWC</w:t>
            </w:r>
            <w:r>
              <w:t xml:space="preserve"> IT Project Manager.</w:t>
            </w:r>
          </w:p>
        </w:tc>
        <w:tc>
          <w:tcPr>
            <w:tcW w:w="1800" w:type="dxa"/>
          </w:tcPr>
          <w:p w14:paraId="45DAD3CA" w14:textId="77777777" w:rsidR="00236FAA" w:rsidRDefault="00236FAA" w:rsidP="00236FAA">
            <w:pPr>
              <w:ind w:left="0"/>
            </w:pPr>
            <w:r w:rsidRPr="00F57DB3">
              <w:lastRenderedPageBreak/>
              <w:t>TBD in accordance with the IMS</w:t>
            </w:r>
          </w:p>
        </w:tc>
      </w:tr>
      <w:tr w:rsidR="00B26442" w:rsidRPr="00873442" w14:paraId="3D17733B" w14:textId="77777777" w:rsidTr="0068135C">
        <w:tc>
          <w:tcPr>
            <w:tcW w:w="936" w:type="dxa"/>
          </w:tcPr>
          <w:p w14:paraId="3526BC6A" w14:textId="327FA0B4" w:rsidR="00B26442" w:rsidRDefault="00B26442" w:rsidP="00B26442">
            <w:pPr>
              <w:ind w:left="0"/>
              <w:jc w:val="center"/>
            </w:pPr>
            <w:r>
              <w:t>11B</w:t>
            </w:r>
          </w:p>
        </w:tc>
        <w:tc>
          <w:tcPr>
            <w:tcW w:w="2214" w:type="dxa"/>
          </w:tcPr>
          <w:p w14:paraId="2A16F0F9" w14:textId="6EA901A1" w:rsidR="00B26442" w:rsidRDefault="00B26442" w:rsidP="00B26442">
            <w:pPr>
              <w:ind w:left="0"/>
            </w:pPr>
            <w:r>
              <w:t>Product Quality Metrics for Testing</w:t>
            </w:r>
          </w:p>
        </w:tc>
        <w:tc>
          <w:tcPr>
            <w:tcW w:w="5850" w:type="dxa"/>
          </w:tcPr>
          <w:p w14:paraId="6B10AF83" w14:textId="01718445" w:rsidR="00B26442" w:rsidRDefault="00B26442" w:rsidP="00B26442">
            <w:pPr>
              <w:ind w:left="0"/>
            </w:pPr>
            <w:r>
              <w:t>At a minimum, the Product Quality Metrics must:</w:t>
            </w:r>
          </w:p>
          <w:p w14:paraId="14867029" w14:textId="77777777" w:rsidR="00B26442" w:rsidRPr="00B26442" w:rsidRDefault="00B26442" w:rsidP="00E16D2D">
            <w:pPr>
              <w:pStyle w:val="LB1-Table"/>
            </w:pPr>
            <w:r>
              <w:t xml:space="preserve">Include MOTS configurations, data migration, and </w:t>
            </w:r>
            <w:r w:rsidRPr="00B26442">
              <w:t>interfaces;</w:t>
            </w:r>
          </w:p>
          <w:p w14:paraId="536FEB83" w14:textId="77777777" w:rsidR="00B26442" w:rsidRDefault="00B26442" w:rsidP="00F82166">
            <w:pPr>
              <w:pStyle w:val="LB1-Table"/>
            </w:pPr>
            <w:r>
              <w:t>C</w:t>
            </w:r>
            <w:r w:rsidRPr="00B26442">
              <w:t>lassify defect severity according to TWC</w:t>
            </w:r>
            <w:r>
              <w:t>;</w:t>
            </w:r>
            <w:r w:rsidRPr="00B26442">
              <w:t xml:space="preserve"> </w:t>
            </w:r>
          </w:p>
          <w:p w14:paraId="7AA0091D" w14:textId="034EF020" w:rsidR="00B26442" w:rsidRPr="00B26442" w:rsidRDefault="00B26442" w:rsidP="00F82166">
            <w:pPr>
              <w:pStyle w:val="LB1-Table"/>
            </w:pPr>
            <w:r>
              <w:t>E</w:t>
            </w:r>
            <w:r w:rsidRPr="00B26442">
              <w:t>stablish the number of defects allowed in each class to exit each test review gate</w:t>
            </w:r>
            <w:r>
              <w:t xml:space="preserve"> and enter the next test phase; and</w:t>
            </w:r>
          </w:p>
          <w:p w14:paraId="74A9C1DD" w14:textId="6B4301B4" w:rsidR="00B26442" w:rsidRDefault="00EB0C5C">
            <w:pPr>
              <w:pStyle w:val="LB1-Table"/>
            </w:pPr>
            <w:r>
              <w:t>M</w:t>
            </w:r>
            <w:r w:rsidR="00B26442" w:rsidRPr="00B26442">
              <w:t>e</w:t>
            </w:r>
            <w:r>
              <w:t>e</w:t>
            </w:r>
            <w:r w:rsidR="00B26442" w:rsidRPr="00B26442">
              <w:t xml:space="preserve">t </w:t>
            </w:r>
            <w:r>
              <w:t xml:space="preserve">agreed-upon quality metrics </w:t>
            </w:r>
            <w:r w:rsidR="00B26442" w:rsidRPr="00B26442">
              <w:t>before deployment</w:t>
            </w:r>
            <w:r w:rsidR="00B26442">
              <w:t xml:space="preserve"> to Production.</w:t>
            </w:r>
          </w:p>
        </w:tc>
        <w:tc>
          <w:tcPr>
            <w:tcW w:w="1800" w:type="dxa"/>
          </w:tcPr>
          <w:p w14:paraId="2F7F2E14" w14:textId="77777777" w:rsidR="00B26442" w:rsidRPr="00F57DB3" w:rsidRDefault="00B26442" w:rsidP="00B26442">
            <w:pPr>
              <w:ind w:left="0"/>
            </w:pPr>
            <w:r w:rsidRPr="00F57DB3">
              <w:t>TBD in accordance with the IMS</w:t>
            </w:r>
          </w:p>
        </w:tc>
      </w:tr>
      <w:tr w:rsidR="00B26442" w:rsidRPr="00873442" w14:paraId="4A45B86D" w14:textId="77777777" w:rsidTr="0068135C">
        <w:tc>
          <w:tcPr>
            <w:tcW w:w="936" w:type="dxa"/>
          </w:tcPr>
          <w:p w14:paraId="47AC8097" w14:textId="0AECD6FF" w:rsidR="00B26442" w:rsidRDefault="00B26442" w:rsidP="00B26442">
            <w:pPr>
              <w:ind w:left="0"/>
              <w:jc w:val="center"/>
            </w:pPr>
            <w:r>
              <w:t>11C</w:t>
            </w:r>
          </w:p>
        </w:tc>
        <w:tc>
          <w:tcPr>
            <w:tcW w:w="2214" w:type="dxa"/>
          </w:tcPr>
          <w:p w14:paraId="3FCDF8BF" w14:textId="5D3AB862" w:rsidR="00B26442" w:rsidRDefault="002E5FD9" w:rsidP="00B26442">
            <w:pPr>
              <w:ind w:left="0"/>
            </w:pPr>
            <w:r>
              <w:t>Test Cases and Scripts</w:t>
            </w:r>
          </w:p>
        </w:tc>
        <w:tc>
          <w:tcPr>
            <w:tcW w:w="5850" w:type="dxa"/>
          </w:tcPr>
          <w:p w14:paraId="232A3AD6" w14:textId="701BC94C" w:rsidR="0019522E" w:rsidRDefault="0019522E" w:rsidP="0019522E">
            <w:pPr>
              <w:ind w:left="0"/>
            </w:pPr>
            <w:r>
              <w:t xml:space="preserve">At a minimum, the </w:t>
            </w:r>
            <w:r w:rsidR="002E5FD9">
              <w:t>Test Cases and Scripts</w:t>
            </w:r>
            <w:r>
              <w:t xml:space="preserve"> must:</w:t>
            </w:r>
          </w:p>
          <w:p w14:paraId="48F9889D" w14:textId="1BEB1BD1" w:rsidR="0019522E" w:rsidRDefault="0019522E" w:rsidP="00E16D2D">
            <w:pPr>
              <w:pStyle w:val="LB1-Table"/>
            </w:pPr>
            <w:r>
              <w:t xml:space="preserve">Be stored in </w:t>
            </w:r>
            <w:r w:rsidR="00772E90">
              <w:t xml:space="preserve">TWC’s </w:t>
            </w:r>
            <w:r>
              <w:t>HP ALM;</w:t>
            </w:r>
          </w:p>
          <w:p w14:paraId="0C9111D6" w14:textId="77777777" w:rsidR="0019522E" w:rsidRDefault="0019522E" w:rsidP="00F82166">
            <w:pPr>
              <w:pStyle w:val="LB1-Table"/>
            </w:pPr>
            <w:r>
              <w:t xml:space="preserve">Cover </w:t>
            </w:r>
          </w:p>
          <w:p w14:paraId="63C01870" w14:textId="47CFE214" w:rsidR="0019522E" w:rsidRDefault="0019522E" w:rsidP="00F82166">
            <w:pPr>
              <w:pStyle w:val="OB1-Table"/>
            </w:pPr>
            <w:r>
              <w:t>Accessibility;</w:t>
            </w:r>
          </w:p>
          <w:p w14:paraId="0D210624" w14:textId="1C7F884E" w:rsidR="0019522E" w:rsidRDefault="0019522E">
            <w:pPr>
              <w:pStyle w:val="OB1-Table"/>
            </w:pPr>
            <w:r>
              <w:t>MOTS;</w:t>
            </w:r>
          </w:p>
          <w:p w14:paraId="639CE656" w14:textId="4E808525" w:rsidR="0019522E" w:rsidRDefault="0019522E">
            <w:pPr>
              <w:pStyle w:val="OB1-Table"/>
            </w:pPr>
            <w:r>
              <w:lastRenderedPageBreak/>
              <w:t>TWC-specific configurations;</w:t>
            </w:r>
          </w:p>
          <w:p w14:paraId="3380A99E" w14:textId="305C9455" w:rsidR="0019522E" w:rsidRDefault="0019522E">
            <w:pPr>
              <w:pStyle w:val="OB1-Table"/>
            </w:pPr>
            <w:r>
              <w:t>Data migration/mapping/cleansing;</w:t>
            </w:r>
          </w:p>
          <w:p w14:paraId="0212A802" w14:textId="0EAF258D" w:rsidR="0019522E" w:rsidRDefault="0019522E">
            <w:pPr>
              <w:pStyle w:val="OB1-Table"/>
            </w:pPr>
            <w:r>
              <w:t>Interfaces;</w:t>
            </w:r>
          </w:p>
          <w:p w14:paraId="22DA457F" w14:textId="6A178EA2" w:rsidR="0019522E" w:rsidRDefault="0019522E">
            <w:pPr>
              <w:pStyle w:val="OB1-Table"/>
            </w:pPr>
            <w:r>
              <w:t>System performance; and</w:t>
            </w:r>
          </w:p>
          <w:p w14:paraId="5B813B6F" w14:textId="115044DD" w:rsidR="00B26442" w:rsidRDefault="001538BA">
            <w:pPr>
              <w:pStyle w:val="OB1-Table"/>
            </w:pPr>
            <w:r>
              <w:t>System security</w:t>
            </w:r>
            <w:r w:rsidR="008569E2">
              <w:t>.</w:t>
            </w:r>
          </w:p>
          <w:p w14:paraId="524B0B79" w14:textId="63BA136A" w:rsidR="00CA6733" w:rsidRDefault="00CA6733">
            <w:pPr>
              <w:pStyle w:val="LB1-Table"/>
            </w:pPr>
            <w:r>
              <w:t xml:space="preserve">Be </w:t>
            </w:r>
            <w:r w:rsidRPr="00067E72">
              <w:t>complete, with step-by-step procedures, required pre-existing events or triggers, and expected results</w:t>
            </w:r>
            <w:r>
              <w:t>.</w:t>
            </w:r>
          </w:p>
        </w:tc>
        <w:tc>
          <w:tcPr>
            <w:tcW w:w="1800" w:type="dxa"/>
          </w:tcPr>
          <w:p w14:paraId="24040BCF" w14:textId="77777777" w:rsidR="00B26442" w:rsidRPr="00F57DB3" w:rsidRDefault="00B26442" w:rsidP="00B26442">
            <w:pPr>
              <w:ind w:left="0"/>
            </w:pPr>
            <w:r w:rsidRPr="00F57DB3">
              <w:lastRenderedPageBreak/>
              <w:t>TBD in accordance with the IMS</w:t>
            </w:r>
          </w:p>
        </w:tc>
      </w:tr>
      <w:tr w:rsidR="00B26442" w:rsidRPr="00873442" w14:paraId="235C60D3" w14:textId="77777777" w:rsidTr="0068135C">
        <w:tc>
          <w:tcPr>
            <w:tcW w:w="936" w:type="dxa"/>
          </w:tcPr>
          <w:p w14:paraId="4B49113C" w14:textId="10F3A0DF" w:rsidR="00B26442" w:rsidRDefault="006B0969" w:rsidP="00B26442">
            <w:pPr>
              <w:ind w:left="0"/>
              <w:jc w:val="center"/>
            </w:pPr>
            <w:r>
              <w:t>11D</w:t>
            </w:r>
          </w:p>
        </w:tc>
        <w:tc>
          <w:tcPr>
            <w:tcW w:w="2214" w:type="dxa"/>
          </w:tcPr>
          <w:p w14:paraId="4D270829" w14:textId="28542BA4" w:rsidR="00B26442" w:rsidRPr="00D674DE" w:rsidRDefault="00B26442" w:rsidP="00B26442">
            <w:pPr>
              <w:ind w:left="0"/>
            </w:pPr>
            <w:r>
              <w:t>UI System is Tested to Meet Agreed-Upon Quality Metrics</w:t>
            </w:r>
          </w:p>
        </w:tc>
        <w:tc>
          <w:tcPr>
            <w:tcW w:w="5850" w:type="dxa"/>
          </w:tcPr>
          <w:p w14:paraId="7CD6719F" w14:textId="448D57F9" w:rsidR="00553A63" w:rsidRDefault="00553A63" w:rsidP="00B26442">
            <w:pPr>
              <w:ind w:left="0"/>
            </w:pPr>
            <w:r>
              <w:t>At a minimum, Awarded Vendor must demonstrate that they successfully:</w:t>
            </w:r>
          </w:p>
          <w:p w14:paraId="401AFA49" w14:textId="5FC1E15D" w:rsidR="00B26442" w:rsidRDefault="00553A63" w:rsidP="00E16D2D">
            <w:pPr>
              <w:pStyle w:val="LB1-Table"/>
            </w:pPr>
            <w:r>
              <w:t>Met a</w:t>
            </w:r>
            <w:r w:rsidR="00B26442">
              <w:t xml:space="preserve">greed-upon quality metrics </w:t>
            </w:r>
            <w:r w:rsidR="00312605">
              <w:t>before deployment to P</w:t>
            </w:r>
            <w:r>
              <w:t>roduction;</w:t>
            </w:r>
            <w:r w:rsidR="00EB0C5C">
              <w:t xml:space="preserve"> </w:t>
            </w:r>
          </w:p>
          <w:p w14:paraId="260AF4A4" w14:textId="2A6AFB71" w:rsidR="00312605" w:rsidRDefault="00312605" w:rsidP="00F82166">
            <w:pPr>
              <w:pStyle w:val="LB1-Table"/>
            </w:pPr>
            <w:r>
              <w:t>Ensure</w:t>
            </w:r>
            <w:r w:rsidR="00CA6733">
              <w:t>d</w:t>
            </w:r>
            <w:r>
              <w:t xml:space="preserve"> test results are verified and document</w:t>
            </w:r>
            <w:r w:rsidR="00CA6733">
              <w:t>ed</w:t>
            </w:r>
            <w:r>
              <w:t>, including formal logging of errors found in testing</w:t>
            </w:r>
            <w:r w:rsidR="003B14BF">
              <w:t>; and</w:t>
            </w:r>
          </w:p>
          <w:p w14:paraId="6D70E3CF" w14:textId="183748E0" w:rsidR="00B26442" w:rsidRDefault="00553A63" w:rsidP="00F82166">
            <w:pPr>
              <w:pStyle w:val="LB1-Table"/>
            </w:pPr>
            <w:r>
              <w:t>Established separate environments for production, development, and test with production data, not test data</w:t>
            </w:r>
            <w:r w:rsidR="00B26442">
              <w:t>.</w:t>
            </w:r>
          </w:p>
        </w:tc>
        <w:tc>
          <w:tcPr>
            <w:tcW w:w="1800" w:type="dxa"/>
          </w:tcPr>
          <w:p w14:paraId="1EE07104" w14:textId="38203681" w:rsidR="00B26442" w:rsidRPr="00F57DB3" w:rsidRDefault="00875D7E" w:rsidP="00B26442">
            <w:pPr>
              <w:ind w:left="0"/>
            </w:pPr>
            <w:r w:rsidRPr="00F57DB3">
              <w:t>TBD in accordance with the IMS</w:t>
            </w:r>
          </w:p>
        </w:tc>
      </w:tr>
      <w:tr w:rsidR="00147A9C" w:rsidRPr="00873442" w14:paraId="64DB1286" w14:textId="77777777" w:rsidTr="0068135C">
        <w:tc>
          <w:tcPr>
            <w:tcW w:w="936" w:type="dxa"/>
          </w:tcPr>
          <w:p w14:paraId="61F2BDBA" w14:textId="5C887A54" w:rsidR="00147A9C" w:rsidRDefault="00147A9C" w:rsidP="00B26442">
            <w:pPr>
              <w:ind w:left="0"/>
              <w:jc w:val="center"/>
            </w:pPr>
            <w:r>
              <w:t>11E</w:t>
            </w:r>
          </w:p>
        </w:tc>
        <w:tc>
          <w:tcPr>
            <w:tcW w:w="2214" w:type="dxa"/>
          </w:tcPr>
          <w:p w14:paraId="38656F4C" w14:textId="039E9B95" w:rsidR="00147A9C" w:rsidRDefault="00147A9C" w:rsidP="00B26442">
            <w:pPr>
              <w:ind w:left="0"/>
            </w:pPr>
            <w:r>
              <w:t>UI System is Tested to proceed through review gates</w:t>
            </w:r>
          </w:p>
        </w:tc>
        <w:tc>
          <w:tcPr>
            <w:tcW w:w="5850" w:type="dxa"/>
          </w:tcPr>
          <w:p w14:paraId="73F59B9D" w14:textId="77777777" w:rsidR="00147A9C" w:rsidRDefault="00147A9C" w:rsidP="00147A9C">
            <w:pPr>
              <w:ind w:left="0"/>
            </w:pPr>
            <w:r>
              <w:t>At a minimum, Awarded Vendor must demonstrate that they successfully:</w:t>
            </w:r>
          </w:p>
          <w:p w14:paraId="305FCFF2" w14:textId="7412710E" w:rsidR="00147A9C" w:rsidRDefault="00147A9C" w:rsidP="00E16D2D">
            <w:pPr>
              <w:pStyle w:val="LB1-Table"/>
            </w:pPr>
            <w:r>
              <w:t>Achieved agreed-upon quality metrics to exit one type of testing and enter the next type of testing. Testing types include:</w:t>
            </w:r>
          </w:p>
          <w:p w14:paraId="27F7565D" w14:textId="1B530ADD" w:rsidR="00147A9C" w:rsidRDefault="00147A9C" w:rsidP="00F82166">
            <w:pPr>
              <w:pStyle w:val="OB1-Table"/>
            </w:pPr>
            <w:r>
              <w:t>System Test;</w:t>
            </w:r>
          </w:p>
          <w:p w14:paraId="56B8E6A8" w14:textId="1BAD215F" w:rsidR="00147A9C" w:rsidRDefault="00147A9C" w:rsidP="00F82166">
            <w:pPr>
              <w:pStyle w:val="OB1-Table"/>
            </w:pPr>
            <w:r>
              <w:t>Integration Test;</w:t>
            </w:r>
          </w:p>
          <w:p w14:paraId="0E758FB4" w14:textId="3B1BC1A3" w:rsidR="00147A9C" w:rsidRDefault="00147A9C">
            <w:pPr>
              <w:pStyle w:val="OB1-Table"/>
            </w:pPr>
            <w:r>
              <w:t>User Acceptance Test;</w:t>
            </w:r>
          </w:p>
          <w:p w14:paraId="4F16A99B" w14:textId="10303FDE" w:rsidR="00147A9C" w:rsidRDefault="00147A9C">
            <w:pPr>
              <w:pStyle w:val="OB1-Table"/>
            </w:pPr>
            <w:r>
              <w:t>Data Validation Test;</w:t>
            </w:r>
          </w:p>
          <w:p w14:paraId="33758882" w14:textId="49884D7B" w:rsidR="00147A9C" w:rsidRDefault="00147A9C">
            <w:pPr>
              <w:pStyle w:val="OB1-Table"/>
            </w:pPr>
            <w:r>
              <w:t>Load Test;</w:t>
            </w:r>
          </w:p>
          <w:p w14:paraId="2CAB9BDE" w14:textId="77777777" w:rsidR="003F5B11" w:rsidRDefault="00147A9C">
            <w:pPr>
              <w:pStyle w:val="OB1-Table"/>
            </w:pPr>
            <w:r>
              <w:t xml:space="preserve">Stress Test; </w:t>
            </w:r>
          </w:p>
          <w:p w14:paraId="0D1139BC" w14:textId="509C5500" w:rsidR="00147A9C" w:rsidRDefault="003F5B11">
            <w:pPr>
              <w:pStyle w:val="OB1-Table"/>
            </w:pPr>
            <w:r>
              <w:t xml:space="preserve">Vulnerability &amp; Penetration Tests; </w:t>
            </w:r>
            <w:r w:rsidR="00147A9C">
              <w:t>and</w:t>
            </w:r>
          </w:p>
          <w:p w14:paraId="3F02BDF7" w14:textId="043E2F41" w:rsidR="00147A9C" w:rsidRDefault="00147A9C">
            <w:pPr>
              <w:pStyle w:val="OB1-Table"/>
            </w:pPr>
            <w:r>
              <w:t xml:space="preserve">End-to-end test to assess total, holistic functionality and system performance </w:t>
            </w:r>
            <w:r w:rsidR="00CB0468">
              <w:t>including network transmissions</w:t>
            </w:r>
            <w:r w:rsidR="008569E2">
              <w:t>.</w:t>
            </w:r>
          </w:p>
          <w:p w14:paraId="266B9193" w14:textId="20EA40CD" w:rsidR="00147A9C" w:rsidRDefault="00147A9C">
            <w:pPr>
              <w:pStyle w:val="LB1-Table"/>
            </w:pPr>
            <w:r>
              <w:t>Obtained a go-no go decision from TWC to exit one test phase and enter the next, including to deploy to production.</w:t>
            </w:r>
          </w:p>
        </w:tc>
        <w:tc>
          <w:tcPr>
            <w:tcW w:w="1800" w:type="dxa"/>
          </w:tcPr>
          <w:p w14:paraId="07BC7B83" w14:textId="3357131C" w:rsidR="00147A9C" w:rsidRPr="00F57DB3" w:rsidRDefault="00875D7E" w:rsidP="00B26442">
            <w:pPr>
              <w:ind w:left="0"/>
            </w:pPr>
            <w:r w:rsidRPr="00F57DB3">
              <w:t>TBD in accordance with the IMS</w:t>
            </w:r>
          </w:p>
        </w:tc>
      </w:tr>
    </w:tbl>
    <w:p w14:paraId="1D677D2B" w14:textId="77777777" w:rsidR="00B34B90" w:rsidRDefault="00B34B90" w:rsidP="00B34B90">
      <w:bookmarkStart w:id="122" w:name="_Hlk8285254"/>
    </w:p>
    <w:p w14:paraId="2639A34E" w14:textId="070D1A47" w:rsidR="00B34B90" w:rsidRDefault="00B34B90" w:rsidP="00B34B90">
      <w:r w:rsidRPr="00BE56F2">
        <w:t xml:space="preserve">The </w:t>
      </w:r>
      <w:r>
        <w:t xml:space="preserve">Offeror must include </w:t>
      </w:r>
      <w:r w:rsidR="00A13128">
        <w:t>six (6) sample test cases and scripts, two (2) each for Appeals, Benefits, and Tax with their proposal</w:t>
      </w:r>
      <w:r>
        <w:t>.</w:t>
      </w:r>
    </w:p>
    <w:bookmarkEnd w:id="122"/>
    <w:p w14:paraId="4F377D48" w14:textId="77777777" w:rsidR="009543CF" w:rsidRPr="00E21848" w:rsidRDefault="009543CF" w:rsidP="00653476"/>
    <w:p w14:paraId="7233CCF9" w14:textId="037279EF" w:rsidR="000E77A6" w:rsidRDefault="000262F8" w:rsidP="00F05A0C">
      <w:pPr>
        <w:pStyle w:val="Heading3"/>
      </w:pPr>
      <w:bookmarkStart w:id="123" w:name="_2.2.12_Required_Deliverable"/>
      <w:bookmarkStart w:id="124" w:name="_2.2.12_Required_DeliverableTask"/>
      <w:bookmarkStart w:id="125" w:name="_Toc13567407"/>
      <w:bookmarkEnd w:id="123"/>
      <w:bookmarkEnd w:id="124"/>
      <w:r>
        <w:lastRenderedPageBreak/>
        <w:t>2.2.12</w:t>
      </w:r>
      <w:r w:rsidR="00F05A0C">
        <w:tab/>
      </w:r>
      <w:r w:rsidR="009B7E37">
        <w:t>Task</w:t>
      </w:r>
      <w:r w:rsidR="000E77A6">
        <w:t xml:space="preserve"> </w:t>
      </w:r>
      <w:r>
        <w:t>12</w:t>
      </w:r>
      <w:r w:rsidR="000E77A6">
        <w:t xml:space="preserve">: </w:t>
      </w:r>
      <w:r w:rsidR="00EF51DB">
        <w:t>C</w:t>
      </w:r>
      <w:r w:rsidR="00CF3AFE">
        <w:t>reate and C</w:t>
      </w:r>
      <w:r w:rsidR="00EF51DB">
        <w:t xml:space="preserve">onduct </w:t>
      </w:r>
      <w:r w:rsidR="00CC581A">
        <w:t>Training</w:t>
      </w:r>
      <w:bookmarkEnd w:id="125"/>
    </w:p>
    <w:p w14:paraId="15286155" w14:textId="30D2CCAE" w:rsidR="00C12015" w:rsidRDefault="00C12015" w:rsidP="00C12015">
      <w:r w:rsidRPr="00BE56F2">
        <w:t xml:space="preserve">The </w:t>
      </w:r>
      <w:r>
        <w:t xml:space="preserve">Awarded Vendor </w:t>
      </w:r>
      <w:r w:rsidRPr="00BE56F2">
        <w:t xml:space="preserve">will </w:t>
      </w:r>
      <w:r>
        <w:t xml:space="preserve">perform activities necessary for knowledge transfer so that TWC is self-sufficient in order to operate and maintain the solution. </w:t>
      </w:r>
      <w:r w:rsidR="003952DD">
        <w:t xml:space="preserve">Training must cover </w:t>
      </w:r>
      <w:r w:rsidR="000E62AF" w:rsidRPr="00554F82">
        <w:rPr>
          <w:u w:val="single"/>
        </w:rPr>
        <w:t>anyone</w:t>
      </w:r>
      <w:r w:rsidR="000E62AF">
        <w:t xml:space="preserve"> affected by the system, including but not limited to </w:t>
      </w:r>
      <w:r w:rsidR="003861CC">
        <w:t xml:space="preserve">Program and IT </w:t>
      </w:r>
      <w:r w:rsidR="003952DD">
        <w:t>Staff, new hires,</w:t>
      </w:r>
      <w:r w:rsidR="00085EB3">
        <w:t xml:space="preserve"> external users,</w:t>
      </w:r>
      <w:r w:rsidR="003952DD">
        <w:t xml:space="preserve"> and</w:t>
      </w:r>
      <w:r w:rsidR="005C228E">
        <w:t xml:space="preserve"> providing guides to</w:t>
      </w:r>
      <w:r w:rsidR="003952DD">
        <w:t xml:space="preserve"> </w:t>
      </w:r>
      <w:r w:rsidR="00FC7AC7">
        <w:t>TWC’</w:t>
      </w:r>
      <w:r w:rsidR="006D26DD">
        <w:t>s UI C</w:t>
      </w:r>
      <w:r w:rsidR="00D07759">
        <w:t>ustomers</w:t>
      </w:r>
      <w:r w:rsidR="00FC7AC7">
        <w:t xml:space="preserve"> and partners</w:t>
      </w:r>
      <w:r w:rsidR="00D07759">
        <w:t>.</w:t>
      </w:r>
    </w:p>
    <w:p w14:paraId="07D04069" w14:textId="77777777" w:rsidR="000C3630" w:rsidRPr="00E21848" w:rsidRDefault="000C3630" w:rsidP="000C3630">
      <w:r>
        <w:t>A</w:t>
      </w:r>
      <w:r w:rsidRPr="00E21848">
        <w:t>ctivities</w:t>
      </w:r>
      <w:r>
        <w:t xml:space="preserve"> </w:t>
      </w:r>
      <w:r w:rsidRPr="00E21848">
        <w:t>include:</w:t>
      </w:r>
    </w:p>
    <w:p w14:paraId="5B43C400" w14:textId="3A1DED18" w:rsidR="000C3630" w:rsidRDefault="00C12015" w:rsidP="00E16D2D">
      <w:pPr>
        <w:pStyle w:val="LB1"/>
      </w:pPr>
      <w:r>
        <w:t xml:space="preserve">Implement a Training </w:t>
      </w:r>
      <w:r w:rsidRPr="00CB7CAF">
        <w:t xml:space="preserve">environment </w:t>
      </w:r>
      <w:r>
        <w:t xml:space="preserve">that </w:t>
      </w:r>
      <w:r w:rsidRPr="00CB7CAF">
        <w:t>host</w:t>
      </w:r>
      <w:r>
        <w:t>s</w:t>
      </w:r>
      <w:r w:rsidRPr="00CB7CAF">
        <w:t xml:space="preserve"> the version of the solution that will be implemented </w:t>
      </w:r>
      <w:r>
        <w:t xml:space="preserve">in production </w:t>
      </w:r>
      <w:r w:rsidR="00CB0B18">
        <w:t>for TWC;</w:t>
      </w:r>
    </w:p>
    <w:p w14:paraId="13F7B8A2" w14:textId="2F5B7C53" w:rsidR="00340D0F" w:rsidRDefault="00664881" w:rsidP="00F82166">
      <w:pPr>
        <w:pStyle w:val="LB1"/>
      </w:pPr>
      <w:r>
        <w:t xml:space="preserve">Develop </w:t>
      </w:r>
      <w:r w:rsidR="008A7562">
        <w:t xml:space="preserve">and implement </w:t>
      </w:r>
      <w:r>
        <w:t xml:space="preserve">a repeatable process for </w:t>
      </w:r>
      <w:r w:rsidR="00BF29D8">
        <w:t>synchronizing</w:t>
      </w:r>
      <w:r>
        <w:t xml:space="preserve"> the training environment</w:t>
      </w:r>
      <w:r w:rsidR="00BF29D8">
        <w:t xml:space="preserve"> with </w:t>
      </w:r>
      <w:r w:rsidR="003A47CC">
        <w:t xml:space="preserve">de-identified </w:t>
      </w:r>
      <w:r w:rsidR="00BF29D8">
        <w:t>production</w:t>
      </w:r>
      <w:r w:rsidR="00E22B9D">
        <w:t xml:space="preserve"> data</w:t>
      </w:r>
      <w:r w:rsidR="00340D0F">
        <w:t>;</w:t>
      </w:r>
      <w:r w:rsidR="003A47CC">
        <w:t xml:space="preserve"> </w:t>
      </w:r>
    </w:p>
    <w:p w14:paraId="63486DC4" w14:textId="257BA864" w:rsidR="00664881" w:rsidRDefault="003A47CC" w:rsidP="00F82166">
      <w:pPr>
        <w:pStyle w:val="OB1"/>
      </w:pPr>
      <w:r w:rsidRPr="0082214B">
        <w:t>Data must be able to be aged</w:t>
      </w:r>
      <w:r w:rsidR="00CB0B18">
        <w:t>;</w:t>
      </w:r>
    </w:p>
    <w:p w14:paraId="5E3E8A02" w14:textId="01E4DAAF" w:rsidR="00340D0F" w:rsidRDefault="00340D0F">
      <w:pPr>
        <w:pStyle w:val="OB1"/>
      </w:pPr>
      <w:r>
        <w:t>Data must support all training needs and scenarios;</w:t>
      </w:r>
    </w:p>
    <w:p w14:paraId="2DC1C478" w14:textId="0FFC5466" w:rsidR="009B7870" w:rsidRDefault="008E01DB">
      <w:pPr>
        <w:pStyle w:val="LB1"/>
      </w:pPr>
      <w:r>
        <w:t xml:space="preserve">Create </w:t>
      </w:r>
      <w:r w:rsidR="004D423D">
        <w:t>Training Plan</w:t>
      </w:r>
      <w:r>
        <w:t>s for each IT and Program area</w:t>
      </w:r>
      <w:r w:rsidR="00CB0B18">
        <w:t>;</w:t>
      </w:r>
    </w:p>
    <w:p w14:paraId="756F159A" w14:textId="30287FF2" w:rsidR="00B134FF" w:rsidRDefault="00B134FF">
      <w:pPr>
        <w:pStyle w:val="LB1"/>
      </w:pPr>
      <w:r>
        <w:t xml:space="preserve">Create </w:t>
      </w:r>
      <w:r w:rsidR="002E5FD9">
        <w:t>Training Materials</w:t>
      </w:r>
      <w:r w:rsidR="00FA28A1" w:rsidRPr="00FA28A1">
        <w:t xml:space="preserve"> </w:t>
      </w:r>
      <w:r w:rsidR="00FA28A1">
        <w:t>that includes any Texas-specific modifications</w:t>
      </w:r>
      <w:r w:rsidR="00CB0B18">
        <w:t>;</w:t>
      </w:r>
    </w:p>
    <w:p w14:paraId="4A22C9F6" w14:textId="48130FE5" w:rsidR="00B134FF" w:rsidRDefault="00B134FF">
      <w:pPr>
        <w:pStyle w:val="LB1"/>
      </w:pPr>
      <w:r>
        <w:t xml:space="preserve">Design and document </w:t>
      </w:r>
      <w:r w:rsidRPr="002B518D">
        <w:t xml:space="preserve">Training </w:t>
      </w:r>
      <w:r>
        <w:t>C</w:t>
      </w:r>
      <w:r w:rsidRPr="002B518D">
        <w:t>ourses</w:t>
      </w:r>
      <w:r w:rsidR="00CB0B18">
        <w:t>;</w:t>
      </w:r>
    </w:p>
    <w:p w14:paraId="2D4DE656" w14:textId="3E60AB43" w:rsidR="00BD1606" w:rsidRDefault="00CB0B18">
      <w:pPr>
        <w:pStyle w:val="LB1"/>
      </w:pPr>
      <w:r>
        <w:t xml:space="preserve">Create </w:t>
      </w:r>
      <w:r w:rsidR="00CE1B03">
        <w:t xml:space="preserve">User Manuals, </w:t>
      </w:r>
      <w:r>
        <w:t>Guides</w:t>
      </w:r>
      <w:r w:rsidR="00CE1B03">
        <w:t>,</w:t>
      </w:r>
      <w:r>
        <w:t xml:space="preserve"> and Desk Aids;</w:t>
      </w:r>
    </w:p>
    <w:p w14:paraId="1DF68E89" w14:textId="6AAF9C44" w:rsidR="00542C74" w:rsidRDefault="0083506D">
      <w:pPr>
        <w:pStyle w:val="LB1"/>
      </w:pPr>
      <w:r w:rsidRPr="0083506D">
        <w:t xml:space="preserve">Create </w:t>
      </w:r>
      <w:r w:rsidR="00542C74" w:rsidRPr="0083506D">
        <w:t>End User</w:t>
      </w:r>
      <w:r w:rsidR="00542C74">
        <w:t xml:space="preserve"> Webinars and video training</w:t>
      </w:r>
      <w:r w:rsidR="00CB0B18">
        <w:t>;</w:t>
      </w:r>
    </w:p>
    <w:p w14:paraId="24CF2132" w14:textId="1A753D34" w:rsidR="00CF3AFE" w:rsidRDefault="00CB0B18">
      <w:pPr>
        <w:pStyle w:val="LB1"/>
      </w:pPr>
      <w:r>
        <w:t>Conduct training;</w:t>
      </w:r>
    </w:p>
    <w:p w14:paraId="74A0B4C8" w14:textId="1C729893" w:rsidR="007A5102" w:rsidRDefault="007A5102">
      <w:pPr>
        <w:pStyle w:val="LB1"/>
      </w:pPr>
      <w:r>
        <w:t>Evaluate and monitor all training for effectiveness, and conduc</w:t>
      </w:r>
      <w:r w:rsidR="00CB0B18">
        <w:t>t additional training as needed;</w:t>
      </w:r>
    </w:p>
    <w:p w14:paraId="051259FA" w14:textId="08867EB9" w:rsidR="001C4C2D" w:rsidRDefault="001C4C2D">
      <w:pPr>
        <w:pStyle w:val="LB1"/>
      </w:pPr>
      <w:r>
        <w:t>Create a Knowledge Transfer Plan</w:t>
      </w:r>
      <w:r w:rsidR="00CF3AFE">
        <w:t xml:space="preserve"> (KTP)</w:t>
      </w:r>
      <w:r w:rsidR="00DC42CF">
        <w:t xml:space="preserve"> to allow TWC Program and Technical staff to </w:t>
      </w:r>
      <w:r w:rsidR="00141887" w:rsidRPr="00EA7771">
        <w:t xml:space="preserve">operate, maintain, configure and modify </w:t>
      </w:r>
      <w:r w:rsidR="00DC42CF">
        <w:t xml:space="preserve">the </w:t>
      </w:r>
      <w:r w:rsidR="00141887">
        <w:t>solution with little or no involvement from the Awarded Vendor</w:t>
      </w:r>
      <w:r w:rsidR="00CB0B18">
        <w:t>;</w:t>
      </w:r>
    </w:p>
    <w:p w14:paraId="75F926B4" w14:textId="26626157" w:rsidR="00A21288" w:rsidRPr="00F51632" w:rsidRDefault="00A21288">
      <w:pPr>
        <w:pStyle w:val="OB1"/>
      </w:pPr>
      <w:r>
        <w:t>T</w:t>
      </w:r>
      <w:r w:rsidRPr="00EA7771">
        <w:t xml:space="preserve">echnical knowledge transfer </w:t>
      </w:r>
      <w:r w:rsidR="006A6570">
        <w:t xml:space="preserve">must </w:t>
      </w:r>
      <w:r w:rsidRPr="00EA7771">
        <w:t>include system support and operational aspects such as hardware and software support, design, development and test tool sets, patch and upgrade application, network and database support, batch processing, system technical operation, back-up and recovery steps, system table maintenance, system administration, security administration, interface operation and monitoring, system maintenance, implementation and other system specific operations including the use of all system/data-related</w:t>
      </w:r>
      <w:r>
        <w:t xml:space="preserve"> tools required to support the S</w:t>
      </w:r>
      <w:r w:rsidRPr="00EA7771">
        <w:t>ystem</w:t>
      </w:r>
      <w:r>
        <w:t>;</w:t>
      </w:r>
    </w:p>
    <w:p w14:paraId="44C3AAB2" w14:textId="59EAD286" w:rsidR="00FA28A1" w:rsidRDefault="00FA28A1">
      <w:pPr>
        <w:pStyle w:val="LB1"/>
      </w:pPr>
      <w:r>
        <w:t>Execute</w:t>
      </w:r>
      <w:r w:rsidR="00CB0B18">
        <w:t xml:space="preserve"> the KTP and transfer knowledge; and</w:t>
      </w:r>
    </w:p>
    <w:p w14:paraId="2C128E0F" w14:textId="379865F1" w:rsidR="001C4C2D" w:rsidRDefault="00FA28A1">
      <w:pPr>
        <w:pStyle w:val="LB1"/>
      </w:pPr>
      <w:r>
        <w:t>Demo</w:t>
      </w:r>
      <w:r w:rsidR="00CB0B18">
        <w:t>nstrations</w:t>
      </w:r>
      <w:r>
        <w:t>, as requested, for TWC executives, stakeholders, and staff.</w:t>
      </w:r>
    </w:p>
    <w:p w14:paraId="7EE3242C" w14:textId="77777777" w:rsidR="007D395B" w:rsidRDefault="007D395B" w:rsidP="000C3630"/>
    <w:p w14:paraId="51C31542" w14:textId="5ECFF1B2" w:rsidR="000C3630" w:rsidRDefault="007D395B" w:rsidP="000C3630">
      <w:r w:rsidRPr="00A6367A">
        <w:t>TWC retains the right to edit and/or customize the training materials</w:t>
      </w:r>
      <w:r>
        <w:t>, guides, desk aids, webinars, and videos for use by TWC and its stakeholders.</w:t>
      </w:r>
    </w:p>
    <w:p w14:paraId="14847CE0" w14:textId="45B4A7F7" w:rsidR="000C3630" w:rsidRDefault="000C3630" w:rsidP="000C3630"/>
    <w:p w14:paraId="216702A4" w14:textId="382DC588" w:rsidR="005D4831" w:rsidRDefault="00272A05" w:rsidP="005D4831">
      <w:r>
        <w:t xml:space="preserve">The Awarded Vendor will complete the following </w:t>
      </w:r>
      <w:r w:rsidR="00B81B78">
        <w:t>deliverables during this Task</w:t>
      </w:r>
      <w:r w:rsidR="005D4831">
        <w:t>:</w:t>
      </w:r>
    </w:p>
    <w:tbl>
      <w:tblPr>
        <w:tblStyle w:val="TableGrid"/>
        <w:tblW w:w="10890" w:type="dxa"/>
        <w:tblInd w:w="175" w:type="dxa"/>
        <w:tblLayout w:type="fixed"/>
        <w:tblLook w:val="04A0" w:firstRow="1" w:lastRow="0" w:firstColumn="1" w:lastColumn="0" w:noHBand="0" w:noVBand="1"/>
        <w:tblDescription w:val="Create and conduct training deliverables table"/>
      </w:tblPr>
      <w:tblGrid>
        <w:gridCol w:w="936"/>
        <w:gridCol w:w="1854"/>
        <w:gridCol w:w="6300"/>
        <w:gridCol w:w="1800"/>
      </w:tblGrid>
      <w:tr w:rsidR="007E3D34" w:rsidRPr="004F202B" w14:paraId="27B068D3" w14:textId="77777777" w:rsidTr="00565353">
        <w:trPr>
          <w:tblHeader/>
        </w:trPr>
        <w:tc>
          <w:tcPr>
            <w:tcW w:w="936" w:type="dxa"/>
            <w:shd w:val="clear" w:color="auto" w:fill="DEEAF6" w:themeFill="accent1" w:themeFillTint="33"/>
            <w:vAlign w:val="bottom"/>
          </w:tcPr>
          <w:p w14:paraId="013AF1A2" w14:textId="77777777" w:rsidR="007E3D34" w:rsidRPr="004F202B" w:rsidRDefault="007E3D34" w:rsidP="00553A63">
            <w:pPr>
              <w:spacing w:after="0"/>
              <w:ind w:left="0"/>
              <w:jc w:val="center"/>
              <w:rPr>
                <w:rFonts w:cs="Arial"/>
                <w:b/>
                <w:color w:val="1F3864" w:themeColor="accent5" w:themeShade="80"/>
              </w:rPr>
            </w:pPr>
            <w:r w:rsidRPr="004F202B">
              <w:rPr>
                <w:rFonts w:cs="Arial"/>
                <w:b/>
                <w:color w:val="1F3864" w:themeColor="accent5" w:themeShade="80"/>
              </w:rPr>
              <w:lastRenderedPageBreak/>
              <w:t>No.</w:t>
            </w:r>
          </w:p>
        </w:tc>
        <w:tc>
          <w:tcPr>
            <w:tcW w:w="1854" w:type="dxa"/>
            <w:shd w:val="clear" w:color="auto" w:fill="DEEAF6" w:themeFill="accent1" w:themeFillTint="33"/>
          </w:tcPr>
          <w:p w14:paraId="4D548BE6" w14:textId="77777777" w:rsidR="007E3D34" w:rsidRPr="001B5E0B" w:rsidRDefault="007E3D34" w:rsidP="00553A63">
            <w:pPr>
              <w:spacing w:after="0"/>
              <w:ind w:left="0"/>
              <w:rPr>
                <w:rFonts w:cs="Arial"/>
                <w:b/>
                <w:color w:val="1F3864" w:themeColor="accent5" w:themeShade="80"/>
              </w:rPr>
            </w:pPr>
            <w:r>
              <w:rPr>
                <w:rFonts w:cs="Arial"/>
                <w:b/>
                <w:color w:val="1F3864" w:themeColor="accent5" w:themeShade="80"/>
              </w:rPr>
              <w:t>Deliverable</w:t>
            </w:r>
          </w:p>
        </w:tc>
        <w:tc>
          <w:tcPr>
            <w:tcW w:w="6300" w:type="dxa"/>
            <w:shd w:val="clear" w:color="auto" w:fill="DEEAF6" w:themeFill="accent1" w:themeFillTint="33"/>
          </w:tcPr>
          <w:p w14:paraId="3F87CB4D" w14:textId="77777777" w:rsidR="007E3D34" w:rsidRPr="001B5E0B" w:rsidRDefault="007E3D34" w:rsidP="00553A63">
            <w:pPr>
              <w:spacing w:after="0"/>
              <w:ind w:left="0"/>
              <w:rPr>
                <w:rFonts w:cs="Arial"/>
                <w:b/>
                <w:color w:val="1F3864" w:themeColor="accent5" w:themeShade="80"/>
              </w:rPr>
            </w:pPr>
            <w:r>
              <w:rPr>
                <w:rFonts w:cs="Arial"/>
                <w:b/>
                <w:color w:val="1F3864" w:themeColor="accent5" w:themeShade="80"/>
              </w:rPr>
              <w:t>Acceptance Criteria</w:t>
            </w:r>
          </w:p>
        </w:tc>
        <w:tc>
          <w:tcPr>
            <w:tcW w:w="1800" w:type="dxa"/>
            <w:shd w:val="clear" w:color="auto" w:fill="DEEAF6" w:themeFill="accent1" w:themeFillTint="33"/>
            <w:vAlign w:val="bottom"/>
          </w:tcPr>
          <w:p w14:paraId="578F189F" w14:textId="77777777" w:rsidR="007E3D34" w:rsidRPr="004F202B" w:rsidRDefault="007E3D34" w:rsidP="00553A63">
            <w:pPr>
              <w:spacing w:after="0"/>
              <w:ind w:left="0"/>
              <w:rPr>
                <w:rFonts w:cs="Arial"/>
                <w:b/>
                <w:color w:val="1F3864" w:themeColor="accent5" w:themeShade="80"/>
              </w:rPr>
            </w:pPr>
            <w:r>
              <w:rPr>
                <w:rFonts w:cs="Arial"/>
                <w:b/>
                <w:color w:val="1F3864" w:themeColor="accent5" w:themeShade="80"/>
              </w:rPr>
              <w:t>Due Date</w:t>
            </w:r>
          </w:p>
        </w:tc>
      </w:tr>
      <w:tr w:rsidR="001C4C2D" w14:paraId="5BF3258E" w14:textId="77777777" w:rsidTr="00565353">
        <w:tc>
          <w:tcPr>
            <w:tcW w:w="936" w:type="dxa"/>
          </w:tcPr>
          <w:p w14:paraId="34F03C35" w14:textId="5FDC8AF4" w:rsidR="001C4C2D" w:rsidRDefault="001C4C2D" w:rsidP="00A82A12">
            <w:pPr>
              <w:ind w:left="0"/>
              <w:jc w:val="center"/>
            </w:pPr>
            <w:r>
              <w:t>12A</w:t>
            </w:r>
          </w:p>
        </w:tc>
        <w:tc>
          <w:tcPr>
            <w:tcW w:w="1854" w:type="dxa"/>
          </w:tcPr>
          <w:p w14:paraId="7F4281E2" w14:textId="3939070C" w:rsidR="001C4C2D" w:rsidRDefault="001C4C2D" w:rsidP="00A82A12">
            <w:pPr>
              <w:ind w:left="0"/>
            </w:pPr>
            <w:r>
              <w:t>Training Environment</w:t>
            </w:r>
          </w:p>
        </w:tc>
        <w:tc>
          <w:tcPr>
            <w:tcW w:w="6300" w:type="dxa"/>
          </w:tcPr>
          <w:p w14:paraId="099BA095" w14:textId="0BD37340" w:rsidR="001C4C2D" w:rsidRDefault="001C4C2D" w:rsidP="001C4C2D">
            <w:pPr>
              <w:ind w:left="0"/>
            </w:pPr>
            <w:r>
              <w:t>At a minimum, the Environment must:</w:t>
            </w:r>
          </w:p>
          <w:p w14:paraId="6CBB11F9" w14:textId="6E0C6E69" w:rsidR="001C4C2D" w:rsidRDefault="001C4C2D" w:rsidP="00E16D2D">
            <w:pPr>
              <w:pStyle w:val="LB1-Table"/>
            </w:pPr>
            <w:r>
              <w:t xml:space="preserve">Be available statewide and allow for a </w:t>
            </w:r>
            <w:r w:rsidRPr="005C228E">
              <w:t xml:space="preserve">maximum of </w:t>
            </w:r>
            <w:r>
              <w:t>eight</w:t>
            </w:r>
            <w:r w:rsidRPr="005C228E">
              <w:t xml:space="preserve"> hundred (</w:t>
            </w:r>
            <w:r>
              <w:t>80</w:t>
            </w:r>
            <w:r w:rsidRPr="005C228E">
              <w:t>0) concurrent users</w:t>
            </w:r>
            <w:r>
              <w:t>;</w:t>
            </w:r>
          </w:p>
          <w:p w14:paraId="0F94024E" w14:textId="77777777" w:rsidR="001C4C2D" w:rsidRDefault="001C4C2D" w:rsidP="00F82166">
            <w:pPr>
              <w:pStyle w:val="LB1-Table"/>
            </w:pPr>
            <w:r>
              <w:t>Be customizable for each IT and Program area to have their own training data, records and administration;</w:t>
            </w:r>
          </w:p>
          <w:p w14:paraId="3C292395" w14:textId="77777777" w:rsidR="001C4C2D" w:rsidRDefault="001C4C2D" w:rsidP="00F82166">
            <w:pPr>
              <w:pStyle w:val="LB1-Table"/>
            </w:pPr>
            <w:r>
              <w:t>Provide for unique training data, records and administration for instructors (both IT and TWC training staff);</w:t>
            </w:r>
          </w:p>
          <w:p w14:paraId="1146DC48" w14:textId="559BDA5C" w:rsidR="001C4C2D" w:rsidRDefault="001C4C2D">
            <w:pPr>
              <w:pStyle w:val="LB1-Table"/>
            </w:pPr>
            <w:r>
              <w:t>Enable instructors to create historical or backdated cases for training scenarios</w:t>
            </w:r>
            <w:r w:rsidR="00C20D82">
              <w:t xml:space="preserve"> with de-identified data</w:t>
            </w:r>
            <w:r>
              <w:t>;</w:t>
            </w:r>
          </w:p>
          <w:p w14:paraId="667D5EC4" w14:textId="224A99B3" w:rsidR="001C4C2D" w:rsidRDefault="00CA4981">
            <w:pPr>
              <w:pStyle w:val="LB1-Table"/>
            </w:pPr>
            <w:r>
              <w:t>Provide an automatic refresh for selected records (as specified by TWC training staff)</w:t>
            </w:r>
            <w:r w:rsidR="008C5076">
              <w:t>, de-identified,</w:t>
            </w:r>
            <w:r>
              <w:t xml:space="preserve"> on a scheduled (e.g., weekly) basis and on demand</w:t>
            </w:r>
            <w:r w:rsidR="001C4C2D">
              <w:t>;</w:t>
            </w:r>
          </w:p>
          <w:p w14:paraId="37577550" w14:textId="7F83E701" w:rsidR="0082214B" w:rsidRDefault="0082214B">
            <w:pPr>
              <w:pStyle w:val="LB1-Table"/>
            </w:pPr>
            <w:r>
              <w:t xml:space="preserve">Specify an obfuscation tool or method to protect PII and </w:t>
            </w:r>
            <w:r w:rsidR="00865F8B">
              <w:t>Federal Tax Information (</w:t>
            </w:r>
            <w:r>
              <w:t>FTI</w:t>
            </w:r>
            <w:r w:rsidR="00865F8B">
              <w:t>)</w:t>
            </w:r>
            <w:r>
              <w:t xml:space="preserve"> production data used in testing;</w:t>
            </w:r>
          </w:p>
          <w:p w14:paraId="72A97046" w14:textId="507BC593" w:rsidR="001C4C2D" w:rsidRDefault="001C4C2D">
            <w:pPr>
              <w:pStyle w:val="LB1-Table"/>
            </w:pPr>
            <w:r>
              <w:t>Provide instructors the capability to troubleshoot and reset customer records, scenarios, and data in real-time; and</w:t>
            </w:r>
          </w:p>
          <w:p w14:paraId="357DC9FE" w14:textId="61B014B9" w:rsidR="001C4C2D" w:rsidRDefault="001C4C2D">
            <w:pPr>
              <w:pStyle w:val="LB1-Table"/>
            </w:pPr>
            <w:r>
              <w:t>Include real-time support for training environments (</w:t>
            </w:r>
            <w:r w:rsidRPr="005C228E">
              <w:t>Sunday through Saturday from 7 AM to 7 PM Central</w:t>
            </w:r>
            <w:r>
              <w:t>).</w:t>
            </w:r>
          </w:p>
        </w:tc>
        <w:tc>
          <w:tcPr>
            <w:tcW w:w="1800" w:type="dxa"/>
          </w:tcPr>
          <w:p w14:paraId="35BAD7BC" w14:textId="240A72B0" w:rsidR="001C4C2D" w:rsidRPr="00F57DB3" w:rsidRDefault="003E6F39" w:rsidP="00A82A12">
            <w:pPr>
              <w:ind w:left="0"/>
            </w:pPr>
            <w:r w:rsidRPr="00F57DB3">
              <w:t>TBD in accordance with the IMS</w:t>
            </w:r>
          </w:p>
        </w:tc>
      </w:tr>
      <w:tr w:rsidR="009B7870" w14:paraId="03C96FB5" w14:textId="77777777" w:rsidTr="00565353">
        <w:tc>
          <w:tcPr>
            <w:tcW w:w="936" w:type="dxa"/>
          </w:tcPr>
          <w:p w14:paraId="6727B154" w14:textId="09297846" w:rsidR="009B7870" w:rsidRDefault="009B7870" w:rsidP="00A82A12">
            <w:pPr>
              <w:ind w:left="0"/>
              <w:jc w:val="center"/>
            </w:pPr>
            <w:r>
              <w:t>12B</w:t>
            </w:r>
          </w:p>
        </w:tc>
        <w:tc>
          <w:tcPr>
            <w:tcW w:w="1854" w:type="dxa"/>
          </w:tcPr>
          <w:p w14:paraId="78CAC0CC" w14:textId="17339373" w:rsidR="009B7870" w:rsidRDefault="009B7870" w:rsidP="00A82A12">
            <w:pPr>
              <w:ind w:left="0"/>
            </w:pPr>
            <w:r>
              <w:t>Training</w:t>
            </w:r>
            <w:r w:rsidR="005E777A">
              <w:t xml:space="preserve"> Plans for each IT and Program A</w:t>
            </w:r>
            <w:r>
              <w:t>rea</w:t>
            </w:r>
          </w:p>
        </w:tc>
        <w:tc>
          <w:tcPr>
            <w:tcW w:w="6300" w:type="dxa"/>
          </w:tcPr>
          <w:p w14:paraId="19D32B73" w14:textId="349BC340" w:rsidR="009B7870" w:rsidRDefault="009B7870" w:rsidP="009B7870">
            <w:pPr>
              <w:ind w:left="0"/>
            </w:pPr>
            <w:r>
              <w:t>At a minimum, the Plans must:</w:t>
            </w:r>
          </w:p>
          <w:p w14:paraId="771E4489" w14:textId="664FF623" w:rsidR="003E6F39" w:rsidRDefault="003E6F39" w:rsidP="00E16D2D">
            <w:pPr>
              <w:pStyle w:val="LB1-Table"/>
            </w:pPr>
            <w:r>
              <w:t>I</w:t>
            </w:r>
            <w:r w:rsidRPr="00966558">
              <w:t>nclude approach; schedule with all tasks, deliverables, dependencies and resource requirements; identified risks, issues and mitigation strategies</w:t>
            </w:r>
            <w:r>
              <w:t>;</w:t>
            </w:r>
          </w:p>
          <w:p w14:paraId="24A28851" w14:textId="4147E29C" w:rsidR="009C1320" w:rsidRDefault="009C1320" w:rsidP="00F82166">
            <w:pPr>
              <w:pStyle w:val="LB1-Table"/>
            </w:pPr>
            <w:r>
              <w:t>Include a System Configuration Training Plan;</w:t>
            </w:r>
          </w:p>
          <w:p w14:paraId="7DCD5B1A" w14:textId="0C2EB610" w:rsidR="009C1320" w:rsidRDefault="00053527" w:rsidP="00F82166">
            <w:pPr>
              <w:pStyle w:val="LB1-Table"/>
            </w:pPr>
            <w:r>
              <w:t>Include a Technical Support Training Plan;</w:t>
            </w:r>
          </w:p>
          <w:p w14:paraId="09365CC9" w14:textId="7D105874" w:rsidR="005257A0" w:rsidRDefault="009B7870">
            <w:pPr>
              <w:pStyle w:val="LB1-Table"/>
            </w:pPr>
            <w:r>
              <w:t>Describe the training materials, resource plan, and timeline in support of the State-wide rollout of the solution to TWC staff</w:t>
            </w:r>
            <w:r w:rsidR="005257A0">
              <w:t>;</w:t>
            </w:r>
          </w:p>
          <w:p w14:paraId="2FFABFE9" w14:textId="77777777" w:rsidR="005257A0" w:rsidRDefault="005257A0">
            <w:pPr>
              <w:pStyle w:val="LB1-Table"/>
            </w:pPr>
            <w:r>
              <w:t>I</w:t>
            </w:r>
            <w:r w:rsidR="009B7870">
              <w:t xml:space="preserve">nclude a Train-the-Trainer approach that leverages the </w:t>
            </w:r>
            <w:r w:rsidR="009B7870" w:rsidRPr="005C228E">
              <w:t>existing TWC Training Staff</w:t>
            </w:r>
            <w:r w:rsidR="009B7870">
              <w:t xml:space="preserve"> for the solution’s implementation</w:t>
            </w:r>
            <w:r>
              <w:t>; and</w:t>
            </w:r>
          </w:p>
          <w:p w14:paraId="155357C9" w14:textId="3D1CF8ED" w:rsidR="009B7870" w:rsidRDefault="005257A0">
            <w:pPr>
              <w:pStyle w:val="LB1-Table"/>
            </w:pPr>
            <w:r>
              <w:t>I</w:t>
            </w:r>
            <w:r w:rsidR="009B7870">
              <w:t>dentify any Awarded Vendor staffing resources that would be needed to supplement the TWC Training staff.</w:t>
            </w:r>
          </w:p>
        </w:tc>
        <w:tc>
          <w:tcPr>
            <w:tcW w:w="1800" w:type="dxa"/>
          </w:tcPr>
          <w:p w14:paraId="395B6F4B" w14:textId="0476EF56" w:rsidR="009B7870" w:rsidRPr="00F57DB3" w:rsidRDefault="003E6F39" w:rsidP="00A82A12">
            <w:pPr>
              <w:ind w:left="0"/>
            </w:pPr>
            <w:r w:rsidRPr="00F57DB3">
              <w:t>TBD in accordance with the IMS</w:t>
            </w:r>
          </w:p>
        </w:tc>
      </w:tr>
      <w:tr w:rsidR="003E6F39" w14:paraId="7CA57991" w14:textId="77777777" w:rsidTr="00565353">
        <w:tc>
          <w:tcPr>
            <w:tcW w:w="936" w:type="dxa"/>
          </w:tcPr>
          <w:p w14:paraId="18ADA5D5" w14:textId="28FACCE9" w:rsidR="003E6F39" w:rsidRDefault="00542C74" w:rsidP="00A82A12">
            <w:pPr>
              <w:ind w:left="0"/>
              <w:jc w:val="center"/>
            </w:pPr>
            <w:r>
              <w:lastRenderedPageBreak/>
              <w:t>12C</w:t>
            </w:r>
          </w:p>
        </w:tc>
        <w:tc>
          <w:tcPr>
            <w:tcW w:w="1854" w:type="dxa"/>
          </w:tcPr>
          <w:p w14:paraId="58BF9253" w14:textId="46893C00" w:rsidR="003E6F39" w:rsidRDefault="002E5FD9" w:rsidP="00A82A12">
            <w:pPr>
              <w:ind w:left="0"/>
            </w:pPr>
            <w:r>
              <w:t>Training Materials</w:t>
            </w:r>
          </w:p>
        </w:tc>
        <w:tc>
          <w:tcPr>
            <w:tcW w:w="6300" w:type="dxa"/>
          </w:tcPr>
          <w:p w14:paraId="7CE8BDCA" w14:textId="7E88361D" w:rsidR="00542C74" w:rsidRDefault="00542C74" w:rsidP="00542C74">
            <w:pPr>
              <w:ind w:left="0"/>
            </w:pPr>
            <w:r>
              <w:t xml:space="preserve">At a minimum, the </w:t>
            </w:r>
            <w:r w:rsidR="002E5FD9">
              <w:t>Training Materials</w:t>
            </w:r>
            <w:r>
              <w:t xml:space="preserve"> must:</w:t>
            </w:r>
          </w:p>
          <w:p w14:paraId="5ABF0CC8" w14:textId="77777777" w:rsidR="00542C74" w:rsidRDefault="00542C74" w:rsidP="00E16D2D">
            <w:pPr>
              <w:pStyle w:val="LB1-Table"/>
            </w:pPr>
            <w:r>
              <w:t xml:space="preserve">Include </w:t>
            </w:r>
            <w:r w:rsidRPr="00966558">
              <w:t xml:space="preserve">documentation and knowledge transfer necessary for instructors, </w:t>
            </w:r>
            <w:r>
              <w:t>UI/RID</w:t>
            </w:r>
            <w:r w:rsidRPr="00966558">
              <w:t xml:space="preserve"> solution users, and </w:t>
            </w:r>
            <w:r>
              <w:t xml:space="preserve">Staff </w:t>
            </w:r>
            <w:r w:rsidRPr="00966558">
              <w:t>to be self-sufficient</w:t>
            </w:r>
            <w:r>
              <w:t>;</w:t>
            </w:r>
          </w:p>
          <w:p w14:paraId="12E8D976" w14:textId="12884B17" w:rsidR="00542C74" w:rsidRDefault="00542C74" w:rsidP="00F82166">
            <w:pPr>
              <w:pStyle w:val="LB1-Table"/>
            </w:pPr>
            <w:r>
              <w:t>Include Instructor Guides</w:t>
            </w:r>
            <w:r w:rsidR="00FA28A1">
              <w:t>;</w:t>
            </w:r>
          </w:p>
          <w:p w14:paraId="7BE51C80" w14:textId="464A1D0E" w:rsidR="00542C74" w:rsidRDefault="00542C74" w:rsidP="00F82166">
            <w:pPr>
              <w:pStyle w:val="LB1-Table"/>
            </w:pPr>
            <w:r>
              <w:t>Include Participant materials (student manual and exercise workbook)</w:t>
            </w:r>
            <w:r w:rsidR="00FA28A1">
              <w:t>;</w:t>
            </w:r>
          </w:p>
          <w:p w14:paraId="7B26E845" w14:textId="77777777" w:rsidR="00FA28A1" w:rsidRDefault="00542C74">
            <w:pPr>
              <w:pStyle w:val="LB1-Table"/>
            </w:pPr>
            <w:r>
              <w:t>B</w:t>
            </w:r>
            <w:r w:rsidRPr="00A6367A">
              <w:t xml:space="preserve">e compliant with </w:t>
            </w:r>
            <w:r w:rsidRPr="007225B0">
              <w:t>federal and State Accessibility requirements</w:t>
            </w:r>
            <w:r w:rsidRPr="0057229C">
              <w:t xml:space="preserve">, as defined in </w:t>
            </w:r>
            <w:hyperlink w:anchor="_6.9_Electronic_Information" w:history="1">
              <w:r w:rsidRPr="0057229C">
                <w:rPr>
                  <w:rStyle w:val="Hyperlink"/>
                </w:rPr>
                <w:t>Section 6.9</w:t>
              </w:r>
            </w:hyperlink>
            <w:r w:rsidRPr="0057229C">
              <w:t>,</w:t>
            </w:r>
            <w:r>
              <w:t xml:space="preserve"> and utilize </w:t>
            </w:r>
            <w:r w:rsidRPr="00A6367A">
              <w:t xml:space="preserve">print </w:t>
            </w:r>
            <w:r>
              <w:t xml:space="preserve">and digital </w:t>
            </w:r>
            <w:r w:rsidR="00FA28A1" w:rsidRPr="00A6367A">
              <w:t>formats</w:t>
            </w:r>
            <w:r w:rsidR="00FA28A1">
              <w:t xml:space="preserve">; </w:t>
            </w:r>
          </w:p>
          <w:p w14:paraId="1EA9A5DD" w14:textId="6F267BDF" w:rsidR="00FA28A1" w:rsidRDefault="00FA28A1">
            <w:pPr>
              <w:pStyle w:val="LB1-Table"/>
            </w:pPr>
            <w:r>
              <w:t xml:space="preserve">Be delivered </w:t>
            </w:r>
            <w:r w:rsidRPr="00327D9F">
              <w:t xml:space="preserve">in </w:t>
            </w:r>
            <w:r>
              <w:t xml:space="preserve">a TWC approved </w:t>
            </w:r>
            <w:r w:rsidRPr="00327D9F">
              <w:t>electronic format</w:t>
            </w:r>
            <w:r>
              <w:t>,</w:t>
            </w:r>
            <w:r w:rsidRPr="00327D9F">
              <w:t xml:space="preserve"> MS Word is preferred</w:t>
            </w:r>
            <w:r>
              <w:t>; and</w:t>
            </w:r>
          </w:p>
          <w:p w14:paraId="485D71F6" w14:textId="705EF4E8" w:rsidR="00542C74" w:rsidRDefault="00FA28A1">
            <w:pPr>
              <w:pStyle w:val="LB1-Table"/>
            </w:pPr>
            <w:r>
              <w:t xml:space="preserve">Include </w:t>
            </w:r>
            <w:r w:rsidR="00983FE3">
              <w:t>all</w:t>
            </w:r>
            <w:r>
              <w:t xml:space="preserve"> Texas-specific modifications</w:t>
            </w:r>
            <w:r w:rsidR="00983FE3">
              <w:t xml:space="preserve"> made to the base MOTS solution</w:t>
            </w:r>
            <w:r w:rsidR="00542C74" w:rsidRPr="00A6367A">
              <w:t>.</w:t>
            </w:r>
          </w:p>
        </w:tc>
        <w:tc>
          <w:tcPr>
            <w:tcW w:w="1800" w:type="dxa"/>
          </w:tcPr>
          <w:p w14:paraId="43E9D537" w14:textId="7135AD8F" w:rsidR="003E6F39" w:rsidRPr="00F57DB3" w:rsidRDefault="00542C74" w:rsidP="00A82A12">
            <w:pPr>
              <w:ind w:left="0"/>
            </w:pPr>
            <w:r w:rsidRPr="00F57DB3">
              <w:t>TBD in accordance with the IMS</w:t>
            </w:r>
          </w:p>
        </w:tc>
      </w:tr>
      <w:tr w:rsidR="00542C74" w14:paraId="00C8717C" w14:textId="77777777" w:rsidTr="00565353">
        <w:tc>
          <w:tcPr>
            <w:tcW w:w="936" w:type="dxa"/>
          </w:tcPr>
          <w:p w14:paraId="7FF0B886" w14:textId="40D34DAC" w:rsidR="00542C74" w:rsidRDefault="00542C74" w:rsidP="00A82A12">
            <w:pPr>
              <w:ind w:left="0"/>
              <w:jc w:val="center"/>
            </w:pPr>
            <w:r>
              <w:t>12D</w:t>
            </w:r>
          </w:p>
        </w:tc>
        <w:tc>
          <w:tcPr>
            <w:tcW w:w="1854" w:type="dxa"/>
          </w:tcPr>
          <w:p w14:paraId="50E3F712" w14:textId="7106860D" w:rsidR="00542C74" w:rsidRDefault="00542C74" w:rsidP="00A82A12">
            <w:pPr>
              <w:ind w:left="0"/>
            </w:pPr>
            <w:r>
              <w:t>Training C</w:t>
            </w:r>
            <w:r w:rsidRPr="002B518D">
              <w:t>ourses</w:t>
            </w:r>
          </w:p>
        </w:tc>
        <w:tc>
          <w:tcPr>
            <w:tcW w:w="6300" w:type="dxa"/>
          </w:tcPr>
          <w:p w14:paraId="4BA5B5B8" w14:textId="695C0644" w:rsidR="00542C74" w:rsidRDefault="00542C74" w:rsidP="00542C74">
            <w:pPr>
              <w:ind w:left="0"/>
            </w:pPr>
            <w:r>
              <w:t>At a minimum, the Training C</w:t>
            </w:r>
            <w:r w:rsidRPr="002B518D">
              <w:t>ourses</w:t>
            </w:r>
            <w:r>
              <w:t xml:space="preserve"> must:</w:t>
            </w:r>
          </w:p>
          <w:p w14:paraId="25F22B9C" w14:textId="206B9711" w:rsidR="00542C74" w:rsidRDefault="00F01454" w:rsidP="00E16D2D">
            <w:pPr>
              <w:pStyle w:val="LB1-Table"/>
            </w:pPr>
            <w:r>
              <w:t>Include training</w:t>
            </w:r>
            <w:r w:rsidRPr="00966558">
              <w:t xml:space="preserve"> necessary for </w:t>
            </w:r>
            <w:r w:rsidR="006E72DA">
              <w:t xml:space="preserve">TWC </w:t>
            </w:r>
            <w:r w:rsidRPr="00966558">
              <w:t xml:space="preserve">instructors, </w:t>
            </w:r>
            <w:r w:rsidR="00085EB3">
              <w:t>Program and IT Staff, new hires, and external users</w:t>
            </w:r>
            <w:r w:rsidR="00085EB3" w:rsidDel="00085EB3">
              <w:t xml:space="preserve"> </w:t>
            </w:r>
            <w:r w:rsidRPr="00966558">
              <w:t>to be self-sufficient</w:t>
            </w:r>
            <w:r>
              <w:t>; and</w:t>
            </w:r>
          </w:p>
          <w:p w14:paraId="548A5A42" w14:textId="4A40BF08" w:rsidR="00F01454" w:rsidRDefault="00F01454" w:rsidP="00F82166">
            <w:pPr>
              <w:pStyle w:val="LB1-Table"/>
            </w:pPr>
            <w:r>
              <w:t>I</w:t>
            </w:r>
            <w:r w:rsidRPr="002B518D">
              <w:t>nclude hands-on exercises conducted in the Training Environment</w:t>
            </w:r>
            <w:r>
              <w:t>.</w:t>
            </w:r>
          </w:p>
        </w:tc>
        <w:tc>
          <w:tcPr>
            <w:tcW w:w="1800" w:type="dxa"/>
          </w:tcPr>
          <w:p w14:paraId="5AB58552" w14:textId="08756EE3" w:rsidR="00542C74" w:rsidRPr="00F57DB3" w:rsidRDefault="00F01454" w:rsidP="00A82A12">
            <w:pPr>
              <w:ind w:left="0"/>
            </w:pPr>
            <w:r w:rsidRPr="00F57DB3">
              <w:t>TBD in accordance with the IMS</w:t>
            </w:r>
          </w:p>
        </w:tc>
      </w:tr>
      <w:tr w:rsidR="00053527" w14:paraId="167BA216" w14:textId="77777777" w:rsidTr="00565353">
        <w:tc>
          <w:tcPr>
            <w:tcW w:w="936" w:type="dxa"/>
          </w:tcPr>
          <w:p w14:paraId="16E79A03" w14:textId="0C3AAF33" w:rsidR="00053527" w:rsidRDefault="0083506D" w:rsidP="00053527">
            <w:pPr>
              <w:ind w:left="0"/>
              <w:jc w:val="center"/>
            </w:pPr>
            <w:r>
              <w:t>12E</w:t>
            </w:r>
          </w:p>
        </w:tc>
        <w:tc>
          <w:tcPr>
            <w:tcW w:w="1854" w:type="dxa"/>
          </w:tcPr>
          <w:p w14:paraId="4E0C19EA" w14:textId="0678FB29" w:rsidR="00053527" w:rsidRDefault="00053527" w:rsidP="00053527">
            <w:pPr>
              <w:ind w:left="0"/>
            </w:pPr>
            <w:r>
              <w:t>Completed Training</w:t>
            </w:r>
          </w:p>
        </w:tc>
        <w:tc>
          <w:tcPr>
            <w:tcW w:w="6300" w:type="dxa"/>
          </w:tcPr>
          <w:p w14:paraId="708EA6EB" w14:textId="77777777" w:rsidR="00053527" w:rsidRDefault="00053527" w:rsidP="00053527">
            <w:pPr>
              <w:ind w:left="0"/>
            </w:pPr>
            <w:r>
              <w:t>At a minimum, Awarded Vendor must demonstrate that they successfully:</w:t>
            </w:r>
          </w:p>
          <w:p w14:paraId="414B0205" w14:textId="074B04C4" w:rsidR="00053527" w:rsidRDefault="00686F44" w:rsidP="00E16D2D">
            <w:pPr>
              <w:pStyle w:val="LB1-Table"/>
            </w:pPr>
            <w:r>
              <w:t>Conducted all Train-the-Trainer training; System Configuration training; and Technical Support</w:t>
            </w:r>
            <w:r w:rsidRPr="009B482C">
              <w:t xml:space="preserve"> </w:t>
            </w:r>
            <w:r>
              <w:t>training</w:t>
            </w:r>
            <w:r w:rsidR="00053527">
              <w:t>.</w:t>
            </w:r>
          </w:p>
        </w:tc>
        <w:tc>
          <w:tcPr>
            <w:tcW w:w="1800" w:type="dxa"/>
          </w:tcPr>
          <w:p w14:paraId="759955C0" w14:textId="0F29057E" w:rsidR="00053527" w:rsidRPr="00F57DB3" w:rsidRDefault="00686F44" w:rsidP="00053527">
            <w:pPr>
              <w:ind w:left="0"/>
            </w:pPr>
            <w:r w:rsidRPr="00F57DB3">
              <w:t>TBD in accordance with the IMS</w:t>
            </w:r>
          </w:p>
        </w:tc>
      </w:tr>
      <w:tr w:rsidR="00053527" w14:paraId="4E024A70" w14:textId="77777777" w:rsidTr="00565353">
        <w:tc>
          <w:tcPr>
            <w:tcW w:w="936" w:type="dxa"/>
          </w:tcPr>
          <w:p w14:paraId="6203C20B" w14:textId="34C518FB" w:rsidR="00053527" w:rsidRDefault="00CF3AFE" w:rsidP="00053527">
            <w:pPr>
              <w:ind w:left="0"/>
              <w:jc w:val="center"/>
            </w:pPr>
            <w:r>
              <w:t>12F</w:t>
            </w:r>
          </w:p>
        </w:tc>
        <w:tc>
          <w:tcPr>
            <w:tcW w:w="1854" w:type="dxa"/>
          </w:tcPr>
          <w:p w14:paraId="45381688" w14:textId="610C7A30" w:rsidR="00053527" w:rsidRDefault="007D395B" w:rsidP="00053527">
            <w:pPr>
              <w:ind w:left="0"/>
            </w:pPr>
            <w:r>
              <w:t>Guides</w:t>
            </w:r>
            <w:r w:rsidR="00BB68A1">
              <w:t xml:space="preserve"> and Desk Aids</w:t>
            </w:r>
          </w:p>
        </w:tc>
        <w:tc>
          <w:tcPr>
            <w:tcW w:w="6300" w:type="dxa"/>
          </w:tcPr>
          <w:p w14:paraId="02DA03BD" w14:textId="52373B1B" w:rsidR="007D395B" w:rsidRDefault="007D395B" w:rsidP="007D395B">
            <w:pPr>
              <w:ind w:left="0"/>
            </w:pPr>
            <w:r>
              <w:t xml:space="preserve">At a minimum, the </w:t>
            </w:r>
            <w:r w:rsidR="0083506D">
              <w:t xml:space="preserve">Guides and Desk Aids </w:t>
            </w:r>
            <w:r>
              <w:t>must:</w:t>
            </w:r>
          </w:p>
          <w:p w14:paraId="1331E2C2" w14:textId="7E652DA7" w:rsidR="00BB68A1" w:rsidRDefault="00BB68A1" w:rsidP="00E16D2D">
            <w:pPr>
              <w:pStyle w:val="LB1-Table"/>
            </w:pPr>
            <w:r>
              <w:t>I</w:t>
            </w:r>
            <w:r w:rsidRPr="00966558">
              <w:t xml:space="preserve">nclude documentation and </w:t>
            </w:r>
            <w:r>
              <w:t>reference materials</w:t>
            </w:r>
            <w:r w:rsidRPr="00966558">
              <w:t xml:space="preserve"> necessary for</w:t>
            </w:r>
            <w:r>
              <w:t xml:space="preserve"> TWC Staff and Customers to be self-sufficient;</w:t>
            </w:r>
          </w:p>
          <w:p w14:paraId="7B553B03" w14:textId="16BAAB89" w:rsidR="007D395B" w:rsidRDefault="00BB68A1" w:rsidP="00F82166">
            <w:pPr>
              <w:pStyle w:val="LB1-Table"/>
            </w:pPr>
            <w:r>
              <w:t>Include</w:t>
            </w:r>
          </w:p>
          <w:p w14:paraId="47215778" w14:textId="5CC210E6" w:rsidR="00BB68A1" w:rsidRDefault="00BB68A1" w:rsidP="00F90A03">
            <w:pPr>
              <w:pStyle w:val="OB1"/>
            </w:pPr>
            <w:r>
              <w:t>UI</w:t>
            </w:r>
            <w:r w:rsidRPr="00A6367A">
              <w:t xml:space="preserve"> </w:t>
            </w:r>
            <w:r>
              <w:t>User Gu</w:t>
            </w:r>
            <w:r w:rsidRPr="00A6367A">
              <w:t>ide</w:t>
            </w:r>
            <w:r>
              <w:t>s</w:t>
            </w:r>
            <w:r w:rsidRPr="00A6367A">
              <w:t xml:space="preserve"> for </w:t>
            </w:r>
            <w:r>
              <w:t>the Public;</w:t>
            </w:r>
          </w:p>
          <w:p w14:paraId="652569EA" w14:textId="1A1BEAB8" w:rsidR="00BB68A1" w:rsidRDefault="00BB68A1" w:rsidP="00F90A03">
            <w:pPr>
              <w:pStyle w:val="OB1"/>
            </w:pPr>
            <w:r>
              <w:t>UI</w:t>
            </w:r>
            <w:r w:rsidRPr="00A6367A">
              <w:t xml:space="preserve"> </w:t>
            </w:r>
            <w:r>
              <w:t>User Gu</w:t>
            </w:r>
            <w:r w:rsidRPr="00A6367A">
              <w:t>ide</w:t>
            </w:r>
            <w:r>
              <w:t>s</w:t>
            </w:r>
            <w:r w:rsidRPr="00A6367A">
              <w:t xml:space="preserve"> for</w:t>
            </w:r>
            <w:r>
              <w:t xml:space="preserve"> Employers;</w:t>
            </w:r>
          </w:p>
          <w:p w14:paraId="675D2640" w14:textId="72F4EF2F" w:rsidR="00BB68A1" w:rsidRDefault="00BB68A1" w:rsidP="00F90A03">
            <w:pPr>
              <w:pStyle w:val="OB1"/>
            </w:pPr>
            <w:r>
              <w:t>Solution User Guides for Staff working at TWC;</w:t>
            </w:r>
          </w:p>
          <w:p w14:paraId="7B9142D5" w14:textId="28B0B08D" w:rsidR="00BB68A1" w:rsidRDefault="00BB68A1" w:rsidP="00F90A03">
            <w:pPr>
              <w:pStyle w:val="OB1"/>
            </w:pPr>
            <w:r>
              <w:t>Quick Reference Guides; and</w:t>
            </w:r>
          </w:p>
          <w:p w14:paraId="32C0EF78" w14:textId="3A706106" w:rsidR="007D395B" w:rsidRDefault="00BB68A1" w:rsidP="00F90A03">
            <w:pPr>
              <w:pStyle w:val="OB1"/>
            </w:pPr>
            <w:r>
              <w:t>Desk Aids for each defined user role</w:t>
            </w:r>
            <w:r w:rsidR="008569E2">
              <w:t>.</w:t>
            </w:r>
          </w:p>
          <w:p w14:paraId="10ECD35F" w14:textId="77777777" w:rsidR="007D395B" w:rsidRDefault="007D395B" w:rsidP="00E16D2D">
            <w:pPr>
              <w:pStyle w:val="LB1-Table"/>
            </w:pPr>
            <w:r>
              <w:t>B</w:t>
            </w:r>
            <w:r w:rsidRPr="00A6367A">
              <w:t xml:space="preserve">e compliant with </w:t>
            </w:r>
            <w:r w:rsidRPr="007225B0">
              <w:t>federal and State Accessibility requirements</w:t>
            </w:r>
            <w:r w:rsidRPr="0057229C">
              <w:t xml:space="preserve">, as defined in </w:t>
            </w:r>
            <w:hyperlink w:anchor="_6.9_Electronic_Information" w:history="1">
              <w:r w:rsidRPr="0057229C">
                <w:rPr>
                  <w:rStyle w:val="Hyperlink"/>
                </w:rPr>
                <w:t>Section 6.9</w:t>
              </w:r>
            </w:hyperlink>
            <w:r w:rsidRPr="0057229C">
              <w:t>,</w:t>
            </w:r>
            <w:r>
              <w:t xml:space="preserve"> and utilize </w:t>
            </w:r>
            <w:r w:rsidRPr="00A6367A">
              <w:t xml:space="preserve">print </w:t>
            </w:r>
            <w:r>
              <w:t xml:space="preserve">and digital </w:t>
            </w:r>
            <w:r w:rsidRPr="00A6367A">
              <w:t>formats</w:t>
            </w:r>
            <w:r>
              <w:t>; and</w:t>
            </w:r>
          </w:p>
          <w:p w14:paraId="13C546E3" w14:textId="1B11B22B" w:rsidR="00053527" w:rsidRDefault="007D395B" w:rsidP="00F82166">
            <w:pPr>
              <w:pStyle w:val="LB1-Table"/>
            </w:pPr>
            <w:r>
              <w:t xml:space="preserve">Be delivered </w:t>
            </w:r>
            <w:r w:rsidRPr="00327D9F">
              <w:t>in electronic format</w:t>
            </w:r>
            <w:r>
              <w:t>,</w:t>
            </w:r>
            <w:r w:rsidRPr="00327D9F">
              <w:t xml:space="preserve"> MS Word is preferred</w:t>
            </w:r>
            <w:r w:rsidRPr="00A6367A">
              <w:t>.</w:t>
            </w:r>
          </w:p>
        </w:tc>
        <w:tc>
          <w:tcPr>
            <w:tcW w:w="1800" w:type="dxa"/>
          </w:tcPr>
          <w:p w14:paraId="123D2006" w14:textId="65F97F47" w:rsidR="00053527" w:rsidRPr="00F57DB3" w:rsidRDefault="00BB68A1" w:rsidP="00053527">
            <w:pPr>
              <w:ind w:left="0"/>
            </w:pPr>
            <w:r w:rsidRPr="00F57DB3">
              <w:lastRenderedPageBreak/>
              <w:t>TBD in accordance with the IMS</w:t>
            </w:r>
          </w:p>
        </w:tc>
      </w:tr>
      <w:tr w:rsidR="00053527" w14:paraId="657F3350" w14:textId="77777777" w:rsidTr="00565353">
        <w:tc>
          <w:tcPr>
            <w:tcW w:w="936" w:type="dxa"/>
          </w:tcPr>
          <w:p w14:paraId="0DB43FC9" w14:textId="263DC47F" w:rsidR="00053527" w:rsidRDefault="0083506D" w:rsidP="00053527">
            <w:pPr>
              <w:ind w:left="0"/>
              <w:jc w:val="center"/>
            </w:pPr>
            <w:r>
              <w:t>12G</w:t>
            </w:r>
          </w:p>
        </w:tc>
        <w:tc>
          <w:tcPr>
            <w:tcW w:w="1854" w:type="dxa"/>
          </w:tcPr>
          <w:p w14:paraId="56FFBB57" w14:textId="50850FB0" w:rsidR="00053527" w:rsidRDefault="00053527" w:rsidP="00053527">
            <w:pPr>
              <w:ind w:left="0"/>
            </w:pPr>
            <w:r>
              <w:t xml:space="preserve">End User Webinars </w:t>
            </w:r>
            <w:r w:rsidR="0083506D">
              <w:t>and Video Training</w:t>
            </w:r>
          </w:p>
        </w:tc>
        <w:tc>
          <w:tcPr>
            <w:tcW w:w="6300" w:type="dxa"/>
          </w:tcPr>
          <w:p w14:paraId="4598B517" w14:textId="37687748" w:rsidR="0083506D" w:rsidRDefault="0083506D" w:rsidP="0083506D">
            <w:pPr>
              <w:ind w:left="0"/>
            </w:pPr>
            <w:r>
              <w:t>At a minimum, the End User Webinars and Video Training must:</w:t>
            </w:r>
          </w:p>
          <w:p w14:paraId="0E68093A" w14:textId="2BED8CA8" w:rsidR="0083506D" w:rsidRDefault="0083506D" w:rsidP="00E16D2D">
            <w:pPr>
              <w:pStyle w:val="LB1-Table"/>
            </w:pPr>
            <w:r>
              <w:t>Be designed, developed, recorded, and published on TWC external web site;</w:t>
            </w:r>
            <w:r w:rsidR="00CB0B18">
              <w:t xml:space="preserve"> and</w:t>
            </w:r>
          </w:p>
          <w:p w14:paraId="6BCE140F" w14:textId="547F2E79" w:rsidR="00053527" w:rsidRDefault="0083506D" w:rsidP="00F82166">
            <w:pPr>
              <w:pStyle w:val="LB1-Table"/>
            </w:pPr>
            <w:r>
              <w:t>B</w:t>
            </w:r>
            <w:r w:rsidRPr="00A6367A">
              <w:t xml:space="preserve">e compliant with </w:t>
            </w:r>
            <w:r w:rsidRPr="007225B0">
              <w:t>federal and State Accessibility requirements</w:t>
            </w:r>
            <w:r w:rsidRPr="0057229C">
              <w:t xml:space="preserve">, as defined in </w:t>
            </w:r>
            <w:hyperlink w:anchor="_6.9_Electronic_Information" w:history="1">
              <w:r w:rsidRPr="0057229C">
                <w:rPr>
                  <w:rStyle w:val="Hyperlink"/>
                </w:rPr>
                <w:t>Section 6.9</w:t>
              </w:r>
            </w:hyperlink>
            <w:r w:rsidRPr="0057229C">
              <w:t>,</w:t>
            </w:r>
            <w:r>
              <w:t xml:space="preserve"> and utilize </w:t>
            </w:r>
            <w:r w:rsidRPr="00A6367A">
              <w:t xml:space="preserve">print </w:t>
            </w:r>
            <w:r>
              <w:t xml:space="preserve">and digital </w:t>
            </w:r>
            <w:r w:rsidRPr="00A6367A">
              <w:t>formats</w:t>
            </w:r>
            <w:r w:rsidR="00CB0B18">
              <w:t>.</w:t>
            </w:r>
          </w:p>
        </w:tc>
        <w:tc>
          <w:tcPr>
            <w:tcW w:w="1800" w:type="dxa"/>
          </w:tcPr>
          <w:p w14:paraId="5BE46EE5" w14:textId="77777777" w:rsidR="00053527" w:rsidRDefault="00053527" w:rsidP="00053527">
            <w:pPr>
              <w:ind w:left="0"/>
            </w:pPr>
            <w:r w:rsidRPr="00F57DB3">
              <w:t>TBD in accordance with the IMS</w:t>
            </w:r>
          </w:p>
        </w:tc>
      </w:tr>
      <w:tr w:rsidR="00053527" w14:paraId="72E6B1C7" w14:textId="77777777" w:rsidTr="00565353">
        <w:tc>
          <w:tcPr>
            <w:tcW w:w="936" w:type="dxa"/>
          </w:tcPr>
          <w:p w14:paraId="35826614" w14:textId="5EFA11EA" w:rsidR="00053527" w:rsidRDefault="00053527" w:rsidP="00053527">
            <w:pPr>
              <w:ind w:left="0"/>
              <w:jc w:val="center"/>
            </w:pPr>
            <w:bookmarkStart w:id="126" w:name="_Hlk9243818"/>
            <w:r>
              <w:t>12</w:t>
            </w:r>
            <w:r w:rsidR="00CF3AFE">
              <w:t>H</w:t>
            </w:r>
          </w:p>
        </w:tc>
        <w:tc>
          <w:tcPr>
            <w:tcW w:w="1854" w:type="dxa"/>
          </w:tcPr>
          <w:p w14:paraId="6692CD7A" w14:textId="3A93FD75" w:rsidR="00053527" w:rsidRDefault="00053527" w:rsidP="00053527">
            <w:pPr>
              <w:ind w:left="0"/>
            </w:pPr>
            <w:r>
              <w:t>Knowledge Transfer Plan</w:t>
            </w:r>
          </w:p>
        </w:tc>
        <w:tc>
          <w:tcPr>
            <w:tcW w:w="6300" w:type="dxa"/>
          </w:tcPr>
          <w:p w14:paraId="06C72F42" w14:textId="49963F66" w:rsidR="00053527" w:rsidRDefault="00053527" w:rsidP="00053527">
            <w:pPr>
              <w:ind w:left="0"/>
            </w:pPr>
            <w:r>
              <w:t>At a minimum, the Plan must:</w:t>
            </w:r>
          </w:p>
          <w:p w14:paraId="2F49CCE9" w14:textId="4D0F780B" w:rsidR="00141887" w:rsidRDefault="00053527" w:rsidP="00E16D2D">
            <w:pPr>
              <w:pStyle w:val="LB1-Table"/>
            </w:pPr>
            <w:r>
              <w:t xml:space="preserve">Capture knowledge </w:t>
            </w:r>
            <w:r w:rsidR="00141887">
              <w:t xml:space="preserve">from Awarded Vendor to allow TWC Program and Technical staff to </w:t>
            </w:r>
            <w:r w:rsidR="00141887" w:rsidRPr="00EA7771">
              <w:t xml:space="preserve">operate, maintain, configure and modify </w:t>
            </w:r>
            <w:r w:rsidR="00141887">
              <w:t xml:space="preserve">the </w:t>
            </w:r>
            <w:r w:rsidR="00D66A10">
              <w:t>System</w:t>
            </w:r>
            <w:r w:rsidR="00141887">
              <w:t xml:space="preserve"> with little or no involvement from the Awarded Vendor</w:t>
            </w:r>
            <w:r>
              <w:t>;</w:t>
            </w:r>
          </w:p>
          <w:p w14:paraId="6874FF96" w14:textId="77777777" w:rsidR="00F439FB" w:rsidRDefault="00726A85" w:rsidP="00E16D2D">
            <w:pPr>
              <w:pStyle w:val="LB1-Table"/>
            </w:pPr>
            <w:r>
              <w:t xml:space="preserve">Clearly define the </w:t>
            </w:r>
            <w:r w:rsidR="00E11F5B">
              <w:t>responsibilities and assumptions</w:t>
            </w:r>
            <w:r>
              <w:t xml:space="preserve"> for </w:t>
            </w:r>
            <w:r w:rsidR="00E11F5B">
              <w:t xml:space="preserve">Awarded Vendor and </w:t>
            </w:r>
            <w:r>
              <w:t>TWC provided training</w:t>
            </w:r>
            <w:r w:rsidR="007D74FE">
              <w:t xml:space="preserve"> (e.g., TWC will provide object-</w:t>
            </w:r>
            <w:r>
              <w:t xml:space="preserve">oriented </w:t>
            </w:r>
            <w:r w:rsidR="007D74FE">
              <w:t xml:space="preserve">developer </w:t>
            </w:r>
            <w:r>
              <w:t xml:space="preserve">training for </w:t>
            </w:r>
            <w:r w:rsidR="00E11F5B">
              <w:t xml:space="preserve">TWC </w:t>
            </w:r>
            <w:r>
              <w:t>technical staff</w:t>
            </w:r>
            <w:r w:rsidR="00E11F5B">
              <w:t>, Awarded Vendor will provide solution configuration training for Awarded Vendor’s solution, etc.</w:t>
            </w:r>
            <w:r>
              <w:t>)</w:t>
            </w:r>
            <w:r w:rsidR="00F439FB">
              <w:t>;</w:t>
            </w:r>
            <w:r w:rsidR="00F439FB" w:rsidRPr="00EA7771">
              <w:t xml:space="preserve"> </w:t>
            </w:r>
          </w:p>
          <w:p w14:paraId="7087AED1" w14:textId="1861B434" w:rsidR="00726A85" w:rsidRDefault="00F439FB" w:rsidP="00E16D2D">
            <w:pPr>
              <w:pStyle w:val="LB1-Table"/>
            </w:pPr>
            <w:r>
              <w:t xml:space="preserve">Specify </w:t>
            </w:r>
            <w:r w:rsidR="001C19B9">
              <w:t xml:space="preserve">methods and </w:t>
            </w:r>
            <w:r>
              <w:t>m</w:t>
            </w:r>
            <w:r w:rsidRPr="00EA7771">
              <w:t>etrics for tracking progress in achieving training and knowledge transfer objectives</w:t>
            </w:r>
            <w:r w:rsidR="001C19B9">
              <w:t>;</w:t>
            </w:r>
          </w:p>
          <w:p w14:paraId="145B59D0" w14:textId="27921D8E" w:rsidR="00053527" w:rsidRDefault="00141887" w:rsidP="00F82166">
            <w:pPr>
              <w:pStyle w:val="LB1-Table"/>
            </w:pPr>
            <w:r>
              <w:t>I</w:t>
            </w:r>
            <w:r w:rsidRPr="00EA7771">
              <w:t xml:space="preserve">nclude sufficient instruction, training, time and resources to accomplish a transfer of knowledge to assure that </w:t>
            </w:r>
            <w:r>
              <w:t>TWC</w:t>
            </w:r>
            <w:r w:rsidRPr="00EA7771">
              <w:t xml:space="preserve"> is able to properly, effectively and independently </w:t>
            </w:r>
            <w:r w:rsidR="00D66A10" w:rsidRPr="00EA7771">
              <w:t xml:space="preserve">operate, maintain, </w:t>
            </w:r>
            <w:r w:rsidR="00D37D45">
              <w:t xml:space="preserve">enhance, </w:t>
            </w:r>
            <w:r w:rsidR="00D66A10" w:rsidRPr="00EA7771">
              <w:t>configure</w:t>
            </w:r>
            <w:r w:rsidR="00D37D45">
              <w:t>,</w:t>
            </w:r>
            <w:r w:rsidR="00D66A10" w:rsidRPr="00EA7771">
              <w:t xml:space="preserve"> and modify </w:t>
            </w:r>
            <w:r w:rsidR="00D66A10">
              <w:t>the S</w:t>
            </w:r>
            <w:r w:rsidRPr="00EA7771">
              <w:t>ystem</w:t>
            </w:r>
            <w:r w:rsidR="00F56639">
              <w:t>;</w:t>
            </w:r>
            <w:r w:rsidR="00053527">
              <w:t xml:space="preserve"> and</w:t>
            </w:r>
          </w:p>
          <w:p w14:paraId="28E1B4B6" w14:textId="20728DC2" w:rsidR="00053527" w:rsidRDefault="00053527" w:rsidP="00F82166">
            <w:pPr>
              <w:pStyle w:val="LB1-Table"/>
            </w:pPr>
            <w:r>
              <w:t>Include a plan of action to transfer that knowledge to TWC Staff.</w:t>
            </w:r>
          </w:p>
        </w:tc>
        <w:tc>
          <w:tcPr>
            <w:tcW w:w="1800" w:type="dxa"/>
          </w:tcPr>
          <w:p w14:paraId="75DE7977" w14:textId="21DE95AE" w:rsidR="00053527" w:rsidRPr="00F57DB3" w:rsidRDefault="00CF3AFE" w:rsidP="00053527">
            <w:pPr>
              <w:ind w:left="0"/>
            </w:pPr>
            <w:r w:rsidRPr="00F57DB3">
              <w:t>TBD in accordance with the IMS</w:t>
            </w:r>
          </w:p>
        </w:tc>
      </w:tr>
      <w:bookmarkEnd w:id="126"/>
      <w:tr w:rsidR="00CF3AFE" w14:paraId="1B9E9734" w14:textId="77777777" w:rsidTr="00565353">
        <w:tc>
          <w:tcPr>
            <w:tcW w:w="936" w:type="dxa"/>
          </w:tcPr>
          <w:p w14:paraId="2AF809F6" w14:textId="1E2BE4D8" w:rsidR="00CF3AFE" w:rsidRDefault="00CF3AFE" w:rsidP="00CF3AFE">
            <w:pPr>
              <w:ind w:left="0"/>
              <w:jc w:val="center"/>
            </w:pPr>
            <w:r>
              <w:t>12I</w:t>
            </w:r>
          </w:p>
        </w:tc>
        <w:tc>
          <w:tcPr>
            <w:tcW w:w="1854" w:type="dxa"/>
          </w:tcPr>
          <w:p w14:paraId="08A2FE9C" w14:textId="43A6C2AF" w:rsidR="00CF3AFE" w:rsidRDefault="00CF3AFE" w:rsidP="00CF3AFE">
            <w:pPr>
              <w:ind w:left="0"/>
            </w:pPr>
            <w:r>
              <w:t>Completed Knowledge Transfer</w:t>
            </w:r>
          </w:p>
        </w:tc>
        <w:tc>
          <w:tcPr>
            <w:tcW w:w="6300" w:type="dxa"/>
          </w:tcPr>
          <w:p w14:paraId="6B0461FA" w14:textId="77777777" w:rsidR="00CF3AFE" w:rsidRDefault="00CF3AFE" w:rsidP="00CF3AFE">
            <w:pPr>
              <w:ind w:left="0"/>
            </w:pPr>
            <w:r>
              <w:t>At a minimum, Awarded Vendor must demonstrate that they successfully:</w:t>
            </w:r>
          </w:p>
          <w:p w14:paraId="2038C2AC" w14:textId="77777777" w:rsidR="00B34B90" w:rsidRDefault="00CF3AFE" w:rsidP="00E16D2D">
            <w:pPr>
              <w:pStyle w:val="LB1-Table"/>
            </w:pPr>
            <w:r>
              <w:t>Conducted all knowledge transfer activities</w:t>
            </w:r>
            <w:r w:rsidR="00024F97">
              <w:t xml:space="preserve"> included in the Knowledge Transfer Plan</w:t>
            </w:r>
            <w:r w:rsidR="004D77D2">
              <w:t xml:space="preserve"> </w:t>
            </w:r>
          </w:p>
          <w:p w14:paraId="1E83724F" w14:textId="7EEE4CEB" w:rsidR="00CF3AFE" w:rsidRDefault="002A5344" w:rsidP="00F82166">
            <w:pPr>
              <w:pStyle w:val="LB1-Table"/>
            </w:pPr>
            <w:r>
              <w:lastRenderedPageBreak/>
              <w:t>Confirmed</w:t>
            </w:r>
            <w:r w:rsidR="00726A85">
              <w:t xml:space="preserve"> that</w:t>
            </w:r>
            <w:r w:rsidR="004D77D2">
              <w:t xml:space="preserve"> TWC Program and Technical staff </w:t>
            </w:r>
            <w:r w:rsidR="00B34B90">
              <w:t xml:space="preserve">can </w:t>
            </w:r>
            <w:r w:rsidR="004D77D2" w:rsidRPr="00EA7771">
              <w:t xml:space="preserve">operate, maintain, configure and modify </w:t>
            </w:r>
            <w:r w:rsidR="004D77D2">
              <w:t>the System with little or no involvement from the Awarded Vendor</w:t>
            </w:r>
            <w:r w:rsidR="00CF3AFE">
              <w:t>;</w:t>
            </w:r>
          </w:p>
          <w:p w14:paraId="0EFF60A0" w14:textId="136847AA" w:rsidR="00FB6B02" w:rsidRDefault="00FB6B02" w:rsidP="00F82166">
            <w:pPr>
              <w:pStyle w:val="LB1-Table"/>
            </w:pPr>
            <w:r>
              <w:t xml:space="preserve">Scored </w:t>
            </w:r>
            <w:r w:rsidR="00BB2CF0">
              <w:t xml:space="preserve">an average of </w:t>
            </w:r>
            <w:r>
              <w:t>75% or higher on knowledge transfer completion surveys from all trainees for all areas;</w:t>
            </w:r>
          </w:p>
          <w:p w14:paraId="35C93CA2" w14:textId="735495AF" w:rsidR="00CF3AFE" w:rsidRDefault="00CF3AFE" w:rsidP="00F82166">
            <w:pPr>
              <w:pStyle w:val="LB1-Table"/>
            </w:pPr>
            <w:r>
              <w:t>Shared responsibility, between TWC and Awarded Vendor, for technical work throughout the project</w:t>
            </w:r>
            <w:r w:rsidR="00CB0B18">
              <w:t>;</w:t>
            </w:r>
          </w:p>
          <w:p w14:paraId="0332AF55" w14:textId="3E974163" w:rsidR="00CF3AFE" w:rsidRDefault="00533EE7">
            <w:pPr>
              <w:pStyle w:val="LB1-Table"/>
            </w:pPr>
            <w:r>
              <w:t>Completed</w:t>
            </w:r>
            <w:r w:rsidR="00CF3AFE">
              <w:t xml:space="preserve"> classroom and on-the-job training;</w:t>
            </w:r>
            <w:r w:rsidR="00CB0B18">
              <w:t xml:space="preserve"> and</w:t>
            </w:r>
          </w:p>
          <w:p w14:paraId="700E4AC9" w14:textId="1534ADC0" w:rsidR="00CF3AFE" w:rsidRDefault="00533EE7">
            <w:pPr>
              <w:pStyle w:val="LB1-Table"/>
            </w:pPr>
            <w:r>
              <w:t>Conducted instructor- and self-assessments of IT staff readiness</w:t>
            </w:r>
            <w:r w:rsidR="00CF3AFE">
              <w:t>.</w:t>
            </w:r>
          </w:p>
        </w:tc>
        <w:tc>
          <w:tcPr>
            <w:tcW w:w="1800" w:type="dxa"/>
          </w:tcPr>
          <w:p w14:paraId="6F57EFFC" w14:textId="74A427CB" w:rsidR="00CF3AFE" w:rsidRPr="00F57DB3" w:rsidRDefault="00CF3AFE" w:rsidP="00CF3AFE">
            <w:pPr>
              <w:ind w:left="0"/>
            </w:pPr>
            <w:r w:rsidRPr="00F57DB3">
              <w:lastRenderedPageBreak/>
              <w:t>TBD in accordance with the IMS</w:t>
            </w:r>
          </w:p>
        </w:tc>
      </w:tr>
    </w:tbl>
    <w:p w14:paraId="52811383" w14:textId="77777777" w:rsidR="007D318A" w:rsidRDefault="007D318A" w:rsidP="007D318A"/>
    <w:p w14:paraId="064EC399" w14:textId="69B1F4AA" w:rsidR="007E3D34" w:rsidRDefault="007D318A" w:rsidP="000C3630">
      <w:r w:rsidRPr="00BE56F2">
        <w:t xml:space="preserve">The </w:t>
      </w:r>
      <w:r>
        <w:t>Offeror must include a draft version of deliverables 12B (just one (1) draft training plan) and 12H with their proposal.</w:t>
      </w:r>
    </w:p>
    <w:p w14:paraId="730F1931" w14:textId="0180888D" w:rsidR="000E77A6" w:rsidRDefault="00F05A0C" w:rsidP="00F05A0C">
      <w:pPr>
        <w:pStyle w:val="Heading3"/>
      </w:pPr>
      <w:bookmarkStart w:id="127" w:name="_2.2.10_Required_Deliverable"/>
      <w:bookmarkStart w:id="128" w:name="_2.2.13_Required_DeliverableTask"/>
      <w:bookmarkStart w:id="129" w:name="_Toc13567408"/>
      <w:bookmarkEnd w:id="115"/>
      <w:bookmarkEnd w:id="127"/>
      <w:bookmarkEnd w:id="128"/>
      <w:r>
        <w:t>2.2.1</w:t>
      </w:r>
      <w:r w:rsidR="004C1773">
        <w:t>3</w:t>
      </w:r>
      <w:r>
        <w:tab/>
      </w:r>
      <w:r w:rsidR="009B7E37">
        <w:t>Task</w:t>
      </w:r>
      <w:r w:rsidR="000E77A6">
        <w:t xml:space="preserve"> 1</w:t>
      </w:r>
      <w:r w:rsidR="004C1773">
        <w:t>3</w:t>
      </w:r>
      <w:r w:rsidR="000E77A6">
        <w:t xml:space="preserve">: </w:t>
      </w:r>
      <w:r w:rsidR="005C2A88">
        <w:t>Deployment Planning and Execution</w:t>
      </w:r>
      <w:bookmarkEnd w:id="129"/>
    </w:p>
    <w:p w14:paraId="28B8E2BC" w14:textId="7CF5EF72" w:rsidR="000C3630" w:rsidRDefault="004C1773" w:rsidP="000C3630">
      <w:r>
        <w:t>The Awarded Vendor will perform activities necessary to</w:t>
      </w:r>
      <w:r w:rsidR="00332461" w:rsidRPr="00684798">
        <w:t xml:space="preserve"> </w:t>
      </w:r>
      <w:r w:rsidR="00332461">
        <w:t>fully implement the sol</w:t>
      </w:r>
      <w:r>
        <w:t>ution including</w:t>
      </w:r>
      <w:r w:rsidR="00332461">
        <w:t xml:space="preserve"> system configurations, customizations, data conversion and migration, interfaces, </w:t>
      </w:r>
      <w:r>
        <w:t>reports, organizational change management, t</w:t>
      </w:r>
      <w:r w:rsidR="00332461">
        <w:t>est</w:t>
      </w:r>
      <w:r>
        <w:t>ing</w:t>
      </w:r>
      <w:r w:rsidR="00332461">
        <w:t xml:space="preserve">, </w:t>
      </w:r>
      <w:r>
        <w:t>and t</w:t>
      </w:r>
      <w:r w:rsidR="00332461">
        <w:t>raining.</w:t>
      </w:r>
    </w:p>
    <w:p w14:paraId="57DF0516" w14:textId="77777777" w:rsidR="000C3630" w:rsidRPr="00E21848" w:rsidRDefault="000C3630" w:rsidP="000C3630">
      <w:r>
        <w:t>A</w:t>
      </w:r>
      <w:r w:rsidRPr="00E21848">
        <w:t>ctivities</w:t>
      </w:r>
      <w:r>
        <w:t xml:space="preserve"> </w:t>
      </w:r>
      <w:r w:rsidRPr="00E21848">
        <w:t>include:</w:t>
      </w:r>
    </w:p>
    <w:p w14:paraId="06EC22FB" w14:textId="452AB75C" w:rsidR="00621506" w:rsidRDefault="00FC3E47" w:rsidP="00E16D2D">
      <w:pPr>
        <w:pStyle w:val="LB1"/>
      </w:pPr>
      <w:r>
        <w:t xml:space="preserve">Verify that necessary system functions are available and/or that alternative solutions are developed to help avoid major disruption of services to UI </w:t>
      </w:r>
      <w:r w:rsidR="008C068F">
        <w:t xml:space="preserve">customers and to prevent delays in paying UI benefits when due as </w:t>
      </w:r>
      <w:r w:rsidR="00621506">
        <w:t>identified in the ETA 9177 Report – Pre-implementation Planning Checklist Report for State Unemployment Insurance (UI) Information Technology (IT) Modernization Projects (</w:t>
      </w:r>
      <w:hyperlink r:id="rId35" w:history="1">
        <w:r w:rsidR="00621506" w:rsidRPr="002210FF">
          <w:rPr>
            <w:rStyle w:val="Hyperlink"/>
          </w:rPr>
          <w:t>https://wdr.doleta.gov/directives/attach/UIPL/UIPL_11-18.pdf</w:t>
        </w:r>
      </w:hyperlink>
      <w:r w:rsidR="00621506">
        <w:t>)</w:t>
      </w:r>
      <w:r w:rsidR="005B78A3">
        <w:t xml:space="preserve"> in the current version at the time of implementation</w:t>
      </w:r>
    </w:p>
    <w:p w14:paraId="3659B4B4" w14:textId="2A4A4C80" w:rsidR="003F23A9" w:rsidRDefault="003F23A9" w:rsidP="00F82166">
      <w:pPr>
        <w:pStyle w:val="OB1"/>
      </w:pPr>
      <w:r>
        <w:t>Develop detailed narrative report</w:t>
      </w:r>
      <w:r w:rsidR="00CB0B18">
        <w:t>;</w:t>
      </w:r>
    </w:p>
    <w:p w14:paraId="5895F362" w14:textId="71AB2B00" w:rsidR="00621506" w:rsidRDefault="00621506" w:rsidP="00F82166">
      <w:pPr>
        <w:pStyle w:val="OB1"/>
      </w:pPr>
      <w:r>
        <w:t xml:space="preserve">Report must be </w:t>
      </w:r>
      <w:r w:rsidR="003F23A9">
        <w:t xml:space="preserve">certified by TWC and submitted </w:t>
      </w:r>
      <w:r>
        <w:t xml:space="preserve">to the U.S. </w:t>
      </w:r>
      <w:r w:rsidR="001F4E9B">
        <w:t>DOL</w:t>
      </w:r>
      <w:r>
        <w:t xml:space="preserve"> ETA approximately 180 </w:t>
      </w:r>
      <w:r w:rsidR="006C3D52">
        <w:t xml:space="preserve">calendar </w:t>
      </w:r>
      <w:r>
        <w:t>days (6 months) prior to the projected implementation “</w:t>
      </w:r>
      <w:r w:rsidR="00F633C3">
        <w:t>Go-Live</w:t>
      </w:r>
      <w:r>
        <w:t>” date</w:t>
      </w:r>
      <w:r w:rsidRPr="00B3353D">
        <w:t>; and</w:t>
      </w:r>
    </w:p>
    <w:p w14:paraId="404B40BA" w14:textId="520F5C06" w:rsidR="00621506" w:rsidRDefault="00621506">
      <w:pPr>
        <w:pStyle w:val="OB1"/>
      </w:pPr>
      <w:r>
        <w:t>Support includes any clarifications or follow-up requested by ETA.</w:t>
      </w:r>
    </w:p>
    <w:p w14:paraId="7160B42F" w14:textId="01A30376" w:rsidR="009F63C2" w:rsidRPr="00B51CC8" w:rsidRDefault="009F63C2">
      <w:pPr>
        <w:pStyle w:val="LB1"/>
      </w:pPr>
      <w:r w:rsidRPr="00B51CC8">
        <w:t>Create and execute Deployment Readiness Plan</w:t>
      </w:r>
      <w:r w:rsidR="00B51CC8">
        <w:t xml:space="preserve"> for each deployment</w:t>
      </w:r>
    </w:p>
    <w:p w14:paraId="65E03278" w14:textId="56C52A90" w:rsidR="009F63C2" w:rsidRPr="00B51CC8" w:rsidRDefault="00CB0B18">
      <w:pPr>
        <w:pStyle w:val="OB1"/>
      </w:pPr>
      <w:r>
        <w:t>Create Readiness Checklist;</w:t>
      </w:r>
    </w:p>
    <w:p w14:paraId="4A3B23E7" w14:textId="2273BBCF" w:rsidR="009F63C2" w:rsidRPr="00B51CC8" w:rsidRDefault="009F63C2">
      <w:pPr>
        <w:pStyle w:val="OB1"/>
      </w:pPr>
      <w:r w:rsidRPr="00B51CC8">
        <w:t>Identify day of deployment action items, pr</w:t>
      </w:r>
      <w:r w:rsidR="00CB0B18">
        <w:t>imary and secondary task owners;</w:t>
      </w:r>
    </w:p>
    <w:p w14:paraId="50044C3A" w14:textId="5F79B246" w:rsidR="009F63C2" w:rsidRPr="00B51CC8" w:rsidRDefault="00B51CC8">
      <w:pPr>
        <w:pStyle w:val="OB1"/>
      </w:pPr>
      <w:r w:rsidRPr="00B51CC8">
        <w:t>Define dress rehearsal acti</w:t>
      </w:r>
      <w:r w:rsidR="00CB0B18">
        <w:t>vities and execute successfully;</w:t>
      </w:r>
    </w:p>
    <w:p w14:paraId="040B13C0" w14:textId="7D70D39E" w:rsidR="00B51CC8" w:rsidRPr="00B51CC8" w:rsidRDefault="00B51CC8">
      <w:pPr>
        <w:pStyle w:val="OB1"/>
      </w:pPr>
      <w:r w:rsidRPr="00B51CC8">
        <w:lastRenderedPageBreak/>
        <w:t>Report on UAT results</w:t>
      </w:r>
      <w:r w:rsidR="00F8384F">
        <w:t xml:space="preserve">, all </w:t>
      </w:r>
      <w:r w:rsidR="00675759">
        <w:t>Severity 1</w:t>
      </w:r>
      <w:r w:rsidR="00F8384F">
        <w:t xml:space="preserve"> and </w:t>
      </w:r>
      <w:r w:rsidR="00675759">
        <w:t>S</w:t>
      </w:r>
      <w:r w:rsidR="00F8384F" w:rsidRPr="00966558">
        <w:t>everity</w:t>
      </w:r>
      <w:r w:rsidR="00675759">
        <w:t xml:space="preserve"> 2</w:t>
      </w:r>
      <w:r w:rsidR="00F8384F" w:rsidRPr="00966558">
        <w:t xml:space="preserve"> defects</w:t>
      </w:r>
      <w:r w:rsidR="00675759">
        <w:t xml:space="preserve">, defined in </w:t>
      </w:r>
      <w:hyperlink w:anchor="_A10.4_Service_Level" w:history="1">
        <w:r w:rsidR="00675759" w:rsidRPr="00675759">
          <w:rPr>
            <w:rStyle w:val="Hyperlink"/>
          </w:rPr>
          <w:t>Attachment A10.4</w:t>
        </w:r>
      </w:hyperlink>
      <w:r w:rsidR="00675759">
        <w:t>,</w:t>
      </w:r>
      <w:r w:rsidR="00F8384F">
        <w:t xml:space="preserve"> must be resolved prior to go-live</w:t>
      </w:r>
      <w:r w:rsidR="00CB0B18">
        <w:t>; and</w:t>
      </w:r>
    </w:p>
    <w:p w14:paraId="1DEF1E8E" w14:textId="23F63C70" w:rsidR="00B51CC8" w:rsidRPr="00B51CC8" w:rsidRDefault="00B51CC8">
      <w:pPr>
        <w:pStyle w:val="OB1"/>
      </w:pPr>
      <w:r w:rsidRPr="00B51CC8">
        <w:t>Receive Go/No-Go Executive Decision.</w:t>
      </w:r>
    </w:p>
    <w:p w14:paraId="317BA536" w14:textId="37E818D5" w:rsidR="00433EA6" w:rsidRDefault="00433EA6">
      <w:pPr>
        <w:pStyle w:val="LB1"/>
      </w:pPr>
      <w:r w:rsidRPr="00B51CC8">
        <w:t xml:space="preserve">Create and execute </w:t>
      </w:r>
      <w:r>
        <w:t>Day of Deployment Plan for each deployment</w:t>
      </w:r>
    </w:p>
    <w:p w14:paraId="5E0D6637" w14:textId="5531A8A6" w:rsidR="00433EA6" w:rsidRDefault="00433EA6">
      <w:pPr>
        <w:pStyle w:val="OB1"/>
      </w:pPr>
      <w:r>
        <w:t>Identify Comm</w:t>
      </w:r>
      <w:r w:rsidR="00D01332">
        <w:t>un</w:t>
      </w:r>
      <w:r>
        <w:t xml:space="preserve">ications Officer and </w:t>
      </w:r>
      <w:r w:rsidR="00D01332">
        <w:t xml:space="preserve">define Communications </w:t>
      </w:r>
      <w:r w:rsidR="00CB0B18">
        <w:t>Plan;</w:t>
      </w:r>
    </w:p>
    <w:p w14:paraId="62D50047" w14:textId="26AEBD85" w:rsidR="00433EA6" w:rsidRDefault="00433EA6">
      <w:pPr>
        <w:pStyle w:val="OB1"/>
      </w:pPr>
      <w:r>
        <w:t xml:space="preserve">Define Command Center / Bridge Line </w:t>
      </w:r>
      <w:r w:rsidR="00D01332">
        <w:t>d</w:t>
      </w:r>
      <w:r w:rsidR="00CB0B18">
        <w:t>uring each deployment;</w:t>
      </w:r>
    </w:p>
    <w:p w14:paraId="74447D2E" w14:textId="796CAA4B" w:rsidR="00433EA6" w:rsidRDefault="00D01332">
      <w:pPr>
        <w:pStyle w:val="OB1"/>
      </w:pPr>
      <w:r w:rsidRPr="00B51CC8">
        <w:t>Identify day of deployment action items</w:t>
      </w:r>
      <w:r>
        <w:t xml:space="preserve"> </w:t>
      </w:r>
      <w:r w:rsidRPr="00B51CC8">
        <w:t xml:space="preserve">and </w:t>
      </w:r>
      <w:r>
        <w:t>status updates throughout the day</w:t>
      </w:r>
      <w:r w:rsidR="00CB0B18">
        <w:t>;</w:t>
      </w:r>
    </w:p>
    <w:p w14:paraId="757CB33C" w14:textId="45DE9A39" w:rsidR="00D01332" w:rsidRDefault="00C5365C">
      <w:pPr>
        <w:pStyle w:val="OB1"/>
      </w:pPr>
      <w:r>
        <w:t>Enlist</w:t>
      </w:r>
      <w:r w:rsidR="00CB0B18">
        <w:t xml:space="preserve"> support by TWC IT team;</w:t>
      </w:r>
    </w:p>
    <w:p w14:paraId="0AB5FBA2" w14:textId="2F904C10" w:rsidR="00D01332" w:rsidRDefault="00C5365C">
      <w:pPr>
        <w:pStyle w:val="OB1"/>
      </w:pPr>
      <w:r>
        <w:t>Provide</w:t>
      </w:r>
      <w:r w:rsidR="00CB0B18">
        <w:t xml:space="preserve"> end user support;</w:t>
      </w:r>
    </w:p>
    <w:p w14:paraId="08700A1E" w14:textId="615F1B38" w:rsidR="00D01332" w:rsidRDefault="00D01332">
      <w:pPr>
        <w:pStyle w:val="OB1"/>
      </w:pPr>
      <w:r>
        <w:t>Create and implement Help Ticket Management Process</w:t>
      </w:r>
      <w:r w:rsidR="00CB0B18">
        <w:t>; and</w:t>
      </w:r>
    </w:p>
    <w:p w14:paraId="1F2D7475" w14:textId="643668E5" w:rsidR="00D01332" w:rsidRPr="00B51CC8" w:rsidRDefault="00D01332">
      <w:pPr>
        <w:pStyle w:val="OB1"/>
      </w:pPr>
      <w:r>
        <w:t>Define Roll Back Plan.</w:t>
      </w:r>
    </w:p>
    <w:p w14:paraId="6F139324" w14:textId="047ED21E" w:rsidR="008C2ECC" w:rsidRDefault="008C2ECC">
      <w:pPr>
        <w:pStyle w:val="LB1"/>
      </w:pPr>
      <w:r>
        <w:t>D</w:t>
      </w:r>
      <w:r w:rsidRPr="00966558">
        <w:t>emonstrate</w:t>
      </w:r>
      <w:r>
        <w:t xml:space="preserve"> that the UI</w:t>
      </w:r>
      <w:r w:rsidRPr="00966558">
        <w:t xml:space="preserve"> solution </w:t>
      </w:r>
      <w:r>
        <w:t xml:space="preserve">is fully </w:t>
      </w:r>
      <w:r w:rsidRPr="00966558">
        <w:t xml:space="preserve">operational for </w:t>
      </w:r>
      <w:r w:rsidR="00975176">
        <w:t xml:space="preserve">ninety (90) </w:t>
      </w:r>
      <w:r w:rsidR="002D3456">
        <w:t>calendar</w:t>
      </w:r>
      <w:r w:rsidR="00975176">
        <w:t xml:space="preserve"> days</w:t>
      </w:r>
      <w:r w:rsidRPr="00966558">
        <w:t xml:space="preserve"> with no </w:t>
      </w:r>
      <w:r w:rsidR="00675759">
        <w:t>S</w:t>
      </w:r>
      <w:r w:rsidR="00675759" w:rsidRPr="00966558">
        <w:t xml:space="preserve">everity </w:t>
      </w:r>
      <w:r w:rsidR="00675759">
        <w:t xml:space="preserve">1 </w:t>
      </w:r>
      <w:r w:rsidRPr="00966558">
        <w:t>defects</w:t>
      </w:r>
      <w:r>
        <w:t>.</w:t>
      </w:r>
    </w:p>
    <w:p w14:paraId="36904CD3" w14:textId="77777777" w:rsidR="000C3630" w:rsidRDefault="000C3630" w:rsidP="000C3630"/>
    <w:p w14:paraId="43B8B91D" w14:textId="4F9281C4" w:rsidR="005D4831" w:rsidRDefault="00272A05" w:rsidP="005D4831">
      <w:r>
        <w:t xml:space="preserve">The Awarded Vendor will complete the following </w:t>
      </w:r>
      <w:r w:rsidR="00B81B78">
        <w:t>deliverables during this Task</w:t>
      </w:r>
      <w:r w:rsidR="005D4831">
        <w:t>:</w:t>
      </w:r>
    </w:p>
    <w:tbl>
      <w:tblPr>
        <w:tblStyle w:val="TableGrid"/>
        <w:tblW w:w="10800" w:type="dxa"/>
        <w:tblInd w:w="175" w:type="dxa"/>
        <w:tblLayout w:type="fixed"/>
        <w:tblLook w:val="04A0" w:firstRow="1" w:lastRow="0" w:firstColumn="1" w:lastColumn="0" w:noHBand="0" w:noVBand="1"/>
        <w:tblDescription w:val="Plan and Execute Phased Implementation deliverable schedule table"/>
      </w:tblPr>
      <w:tblGrid>
        <w:gridCol w:w="936"/>
        <w:gridCol w:w="1764"/>
        <w:gridCol w:w="6156"/>
        <w:gridCol w:w="1944"/>
      </w:tblGrid>
      <w:tr w:rsidR="00B5465E" w:rsidRPr="00873442" w14:paraId="7B4E9EDE" w14:textId="77777777" w:rsidTr="0018340F">
        <w:trPr>
          <w:cantSplit/>
          <w:tblHeader/>
        </w:trPr>
        <w:tc>
          <w:tcPr>
            <w:tcW w:w="936" w:type="dxa"/>
            <w:shd w:val="clear" w:color="auto" w:fill="DEEAF6" w:themeFill="accent1" w:themeFillTint="33"/>
            <w:vAlign w:val="bottom"/>
          </w:tcPr>
          <w:p w14:paraId="2DAC0136" w14:textId="77777777" w:rsidR="00B5465E" w:rsidRPr="004F202B" w:rsidRDefault="00B5465E" w:rsidP="00AA3FE5">
            <w:pPr>
              <w:keepNext/>
              <w:spacing w:after="0"/>
              <w:ind w:left="0"/>
              <w:jc w:val="center"/>
              <w:rPr>
                <w:rFonts w:cs="Arial"/>
                <w:b/>
                <w:color w:val="1F3864" w:themeColor="accent5" w:themeShade="80"/>
              </w:rPr>
            </w:pPr>
            <w:r w:rsidRPr="004F202B">
              <w:rPr>
                <w:rFonts w:cs="Arial"/>
                <w:b/>
                <w:color w:val="1F3864" w:themeColor="accent5" w:themeShade="80"/>
              </w:rPr>
              <w:t>No.</w:t>
            </w:r>
          </w:p>
        </w:tc>
        <w:tc>
          <w:tcPr>
            <w:tcW w:w="1764" w:type="dxa"/>
            <w:shd w:val="clear" w:color="auto" w:fill="DEEAF6" w:themeFill="accent1" w:themeFillTint="33"/>
          </w:tcPr>
          <w:p w14:paraId="3AB73DD3" w14:textId="77777777" w:rsidR="00B5465E" w:rsidRPr="001B5E0B" w:rsidRDefault="00B5465E" w:rsidP="00AA3FE5">
            <w:pPr>
              <w:keepNext/>
              <w:spacing w:after="0"/>
              <w:ind w:left="0"/>
              <w:rPr>
                <w:rFonts w:cs="Arial"/>
                <w:b/>
                <w:color w:val="1F3864" w:themeColor="accent5" w:themeShade="80"/>
              </w:rPr>
            </w:pPr>
            <w:r>
              <w:rPr>
                <w:rFonts w:cs="Arial"/>
                <w:b/>
                <w:color w:val="1F3864" w:themeColor="accent5" w:themeShade="80"/>
              </w:rPr>
              <w:t>Deliverable</w:t>
            </w:r>
          </w:p>
        </w:tc>
        <w:tc>
          <w:tcPr>
            <w:tcW w:w="6156" w:type="dxa"/>
            <w:shd w:val="clear" w:color="auto" w:fill="DEEAF6" w:themeFill="accent1" w:themeFillTint="33"/>
          </w:tcPr>
          <w:p w14:paraId="22CB8CE3" w14:textId="77777777" w:rsidR="00B5465E" w:rsidRPr="001B5E0B" w:rsidRDefault="00B5465E" w:rsidP="00AA3FE5">
            <w:pPr>
              <w:keepNext/>
              <w:spacing w:after="0"/>
              <w:ind w:left="0"/>
              <w:rPr>
                <w:rFonts w:cs="Arial"/>
                <w:b/>
                <w:color w:val="1F3864" w:themeColor="accent5" w:themeShade="80"/>
              </w:rPr>
            </w:pPr>
            <w:r>
              <w:rPr>
                <w:rFonts w:cs="Arial"/>
                <w:b/>
                <w:color w:val="1F3864" w:themeColor="accent5" w:themeShade="80"/>
              </w:rPr>
              <w:t>Acceptance Criteria</w:t>
            </w:r>
          </w:p>
        </w:tc>
        <w:tc>
          <w:tcPr>
            <w:tcW w:w="1944" w:type="dxa"/>
            <w:shd w:val="clear" w:color="auto" w:fill="DEEAF6" w:themeFill="accent1" w:themeFillTint="33"/>
            <w:vAlign w:val="bottom"/>
          </w:tcPr>
          <w:p w14:paraId="75E8B402" w14:textId="77777777" w:rsidR="00B5465E" w:rsidRPr="004F202B" w:rsidRDefault="00B5465E" w:rsidP="00AA3FE5">
            <w:pPr>
              <w:keepNext/>
              <w:spacing w:after="0"/>
              <w:ind w:left="0"/>
              <w:rPr>
                <w:rFonts w:cs="Arial"/>
                <w:b/>
                <w:color w:val="1F3864" w:themeColor="accent5" w:themeShade="80"/>
              </w:rPr>
            </w:pPr>
            <w:r>
              <w:rPr>
                <w:rFonts w:cs="Arial"/>
                <w:b/>
                <w:color w:val="1F3864" w:themeColor="accent5" w:themeShade="80"/>
              </w:rPr>
              <w:t>Due Date</w:t>
            </w:r>
          </w:p>
        </w:tc>
      </w:tr>
      <w:tr w:rsidR="00C75D78" w:rsidRPr="00873442" w14:paraId="562F51D7" w14:textId="77777777" w:rsidTr="0018340F">
        <w:tc>
          <w:tcPr>
            <w:tcW w:w="936" w:type="dxa"/>
          </w:tcPr>
          <w:p w14:paraId="052788ED" w14:textId="435B8B7D" w:rsidR="00C75D78" w:rsidRDefault="0018340F" w:rsidP="00AA3FE5">
            <w:pPr>
              <w:ind w:left="0"/>
              <w:jc w:val="center"/>
            </w:pPr>
            <w:r>
              <w:t>13A</w:t>
            </w:r>
          </w:p>
        </w:tc>
        <w:tc>
          <w:tcPr>
            <w:tcW w:w="1764" w:type="dxa"/>
          </w:tcPr>
          <w:p w14:paraId="58BC93E2" w14:textId="239FF5AE" w:rsidR="00C75D78" w:rsidRDefault="0018340F" w:rsidP="00AA3FE5">
            <w:pPr>
              <w:ind w:left="0"/>
            </w:pPr>
            <w:r>
              <w:t>Completed ETA 9177 Report</w:t>
            </w:r>
          </w:p>
        </w:tc>
        <w:tc>
          <w:tcPr>
            <w:tcW w:w="6156" w:type="dxa"/>
          </w:tcPr>
          <w:p w14:paraId="7FDAE887" w14:textId="77777777" w:rsidR="0018340F" w:rsidRDefault="0018340F" w:rsidP="0018340F">
            <w:pPr>
              <w:ind w:left="0"/>
            </w:pPr>
            <w:r>
              <w:t>At a minimum, Awarded Vendor must demonstrate that they successfully:</w:t>
            </w:r>
          </w:p>
          <w:p w14:paraId="6024E93B" w14:textId="77777777" w:rsidR="00C75D78" w:rsidRDefault="0018340F" w:rsidP="00E16D2D">
            <w:pPr>
              <w:pStyle w:val="LB1-Table"/>
            </w:pPr>
            <w:r>
              <w:t>Verified that necessary system functions are available and/or that alternative solutions are developed to help avoid major disruption of services to UI customers and to prevent delays in paying UI benefits when due as identified in the ETA 9177 Report; and</w:t>
            </w:r>
          </w:p>
          <w:p w14:paraId="5582303F" w14:textId="7DB65A07" w:rsidR="0018340F" w:rsidRDefault="0018340F" w:rsidP="00F82166">
            <w:pPr>
              <w:pStyle w:val="LB1-Table"/>
            </w:pPr>
            <w:r>
              <w:t xml:space="preserve">Obtained certification by TWC and submitted the Report to the U.S. </w:t>
            </w:r>
            <w:r w:rsidR="001F4E9B">
              <w:t xml:space="preserve">DOL </w:t>
            </w:r>
            <w:r>
              <w:t xml:space="preserve">ETA approximately </w:t>
            </w:r>
            <w:r w:rsidR="006D26DD">
              <w:t xml:space="preserve">180 </w:t>
            </w:r>
            <w:r w:rsidR="006C3D52">
              <w:t xml:space="preserve">calendar </w:t>
            </w:r>
            <w:r>
              <w:t>days (six (6) months) prior to the projected implementation “Go-Live” date.</w:t>
            </w:r>
          </w:p>
        </w:tc>
        <w:tc>
          <w:tcPr>
            <w:tcW w:w="1944" w:type="dxa"/>
          </w:tcPr>
          <w:p w14:paraId="7E81D758" w14:textId="10D3D475" w:rsidR="00C75D78" w:rsidRPr="00F57DB3" w:rsidRDefault="0018340F" w:rsidP="00AA3FE5">
            <w:pPr>
              <w:ind w:left="0"/>
            </w:pPr>
            <w:r w:rsidRPr="00F57DB3">
              <w:t>TBD in accordance with the IMS</w:t>
            </w:r>
          </w:p>
        </w:tc>
      </w:tr>
      <w:tr w:rsidR="008C2ECC" w:rsidRPr="00873442" w14:paraId="065048AE" w14:textId="77777777" w:rsidTr="0018340F">
        <w:tc>
          <w:tcPr>
            <w:tcW w:w="936" w:type="dxa"/>
          </w:tcPr>
          <w:p w14:paraId="1231AB74" w14:textId="734B2C51" w:rsidR="008C2ECC" w:rsidRDefault="008C2ECC" w:rsidP="008C2ECC">
            <w:pPr>
              <w:ind w:left="0"/>
              <w:jc w:val="center"/>
            </w:pPr>
            <w:r>
              <w:t>13B</w:t>
            </w:r>
          </w:p>
        </w:tc>
        <w:tc>
          <w:tcPr>
            <w:tcW w:w="1764" w:type="dxa"/>
          </w:tcPr>
          <w:p w14:paraId="168B3DE9" w14:textId="73C78276" w:rsidR="008C2ECC" w:rsidRDefault="008C2ECC" w:rsidP="008C2ECC">
            <w:pPr>
              <w:ind w:left="0"/>
            </w:pPr>
            <w:r>
              <w:t>Deployment Readiness Plan and Execution</w:t>
            </w:r>
          </w:p>
        </w:tc>
        <w:tc>
          <w:tcPr>
            <w:tcW w:w="6156" w:type="dxa"/>
          </w:tcPr>
          <w:p w14:paraId="6AAFA3DB" w14:textId="3202EFED" w:rsidR="00B51CC8" w:rsidRDefault="00B51CC8" w:rsidP="00B51CC8">
            <w:pPr>
              <w:ind w:left="0"/>
            </w:pPr>
            <w:r>
              <w:t>At a minimum, Awarded Vendor must demonstrate that for each deployment they successfully:</w:t>
            </w:r>
          </w:p>
          <w:p w14:paraId="3D26C60C" w14:textId="77777777" w:rsidR="00B51CC8" w:rsidRDefault="00B51CC8" w:rsidP="00E16D2D">
            <w:pPr>
              <w:pStyle w:val="LB1-Table"/>
            </w:pPr>
            <w:r>
              <w:t>Completed all items on the Readiness Checklist;</w:t>
            </w:r>
          </w:p>
          <w:p w14:paraId="5DA4B12C" w14:textId="77777777" w:rsidR="00B51CC8" w:rsidRDefault="00B51CC8" w:rsidP="00F82166">
            <w:pPr>
              <w:pStyle w:val="LB1-Table"/>
            </w:pPr>
            <w:r>
              <w:t>Completed all Day of Deployment Action Items;</w:t>
            </w:r>
          </w:p>
          <w:p w14:paraId="39322A14" w14:textId="77777777" w:rsidR="00B51CC8" w:rsidRDefault="00B51CC8" w:rsidP="00F82166">
            <w:pPr>
              <w:pStyle w:val="LB1-Table"/>
            </w:pPr>
            <w:r>
              <w:t>Conducted dress rehearsal;</w:t>
            </w:r>
          </w:p>
          <w:p w14:paraId="6F2E0709" w14:textId="18D83269" w:rsidR="00B51CC8" w:rsidRDefault="00B51CC8">
            <w:pPr>
              <w:pStyle w:val="LB1-Table"/>
            </w:pPr>
            <w:r>
              <w:t>Published UAT results; and</w:t>
            </w:r>
          </w:p>
          <w:p w14:paraId="08E02A3F" w14:textId="244C8B07" w:rsidR="008C2ECC" w:rsidRDefault="006E72DA">
            <w:pPr>
              <w:pStyle w:val="LB1-Table"/>
            </w:pPr>
            <w:r>
              <w:t>Acted on</w:t>
            </w:r>
            <w:r w:rsidRPr="00B51CC8">
              <w:t xml:space="preserve"> </w:t>
            </w:r>
            <w:r w:rsidR="00B51CC8" w:rsidRPr="00B51CC8">
              <w:t>Go/No-Go Executive Decision</w:t>
            </w:r>
            <w:r w:rsidR="00B51CC8">
              <w:t>.</w:t>
            </w:r>
          </w:p>
        </w:tc>
        <w:tc>
          <w:tcPr>
            <w:tcW w:w="1944" w:type="dxa"/>
          </w:tcPr>
          <w:p w14:paraId="1AC157C1" w14:textId="77777777" w:rsidR="008C2ECC" w:rsidRDefault="008C2ECC" w:rsidP="008C2ECC">
            <w:pPr>
              <w:ind w:left="0"/>
            </w:pPr>
            <w:r w:rsidRPr="00F57DB3">
              <w:t>TBD in accordance with the IMS</w:t>
            </w:r>
          </w:p>
        </w:tc>
      </w:tr>
      <w:tr w:rsidR="008C2ECC" w:rsidRPr="00873442" w14:paraId="33696CEF" w14:textId="77777777" w:rsidTr="0018340F">
        <w:tc>
          <w:tcPr>
            <w:tcW w:w="936" w:type="dxa"/>
          </w:tcPr>
          <w:p w14:paraId="5100EC37" w14:textId="20B3CC17" w:rsidR="008C2ECC" w:rsidRDefault="008C2ECC" w:rsidP="008C2ECC">
            <w:pPr>
              <w:ind w:left="0"/>
              <w:jc w:val="center"/>
            </w:pPr>
            <w:r>
              <w:lastRenderedPageBreak/>
              <w:t>13C</w:t>
            </w:r>
          </w:p>
        </w:tc>
        <w:tc>
          <w:tcPr>
            <w:tcW w:w="1764" w:type="dxa"/>
          </w:tcPr>
          <w:p w14:paraId="2B72CBE1" w14:textId="31220811" w:rsidR="008C2ECC" w:rsidRDefault="008C2ECC" w:rsidP="008C2ECC">
            <w:pPr>
              <w:ind w:left="0"/>
            </w:pPr>
            <w:r>
              <w:t>Day of Deployment Plan and Execution</w:t>
            </w:r>
          </w:p>
        </w:tc>
        <w:tc>
          <w:tcPr>
            <w:tcW w:w="6156" w:type="dxa"/>
          </w:tcPr>
          <w:p w14:paraId="1E3A6B69" w14:textId="77777777" w:rsidR="00D01332" w:rsidRDefault="00D01332" w:rsidP="00D01332">
            <w:pPr>
              <w:ind w:left="0"/>
            </w:pPr>
            <w:r>
              <w:t>At a minimum, Awarded Vendor must demonstrate that for each deployment they successfully:</w:t>
            </w:r>
          </w:p>
          <w:p w14:paraId="295AF825" w14:textId="7432B75B" w:rsidR="008C2ECC" w:rsidRDefault="00D01332" w:rsidP="00E16D2D">
            <w:pPr>
              <w:pStyle w:val="LB1-Table"/>
            </w:pPr>
            <w:r>
              <w:t>Identified Communications Officer and defined Communications Plan;</w:t>
            </w:r>
          </w:p>
          <w:p w14:paraId="00FE0366" w14:textId="15081684" w:rsidR="00D01332" w:rsidRDefault="00D01332" w:rsidP="00F82166">
            <w:pPr>
              <w:pStyle w:val="LB1-Table"/>
            </w:pPr>
            <w:r>
              <w:t>Defined Command Center / Bridge Line during each deployment;</w:t>
            </w:r>
          </w:p>
          <w:p w14:paraId="2BD5091E" w14:textId="02CB476C" w:rsidR="00D01332" w:rsidRDefault="00D01332" w:rsidP="00F82166">
            <w:pPr>
              <w:pStyle w:val="LB1-Table"/>
            </w:pPr>
            <w:r w:rsidRPr="00B51CC8">
              <w:t>Identif</w:t>
            </w:r>
            <w:r>
              <w:t>ied</w:t>
            </w:r>
            <w:r w:rsidRPr="00B51CC8">
              <w:t xml:space="preserve"> day of deployment action items</w:t>
            </w:r>
            <w:r>
              <w:t xml:space="preserve"> </w:t>
            </w:r>
            <w:r w:rsidRPr="00B51CC8">
              <w:t xml:space="preserve">and </w:t>
            </w:r>
            <w:r>
              <w:t>reported status updates throughout the day;</w:t>
            </w:r>
          </w:p>
          <w:p w14:paraId="26CB8C0F" w14:textId="18F6906B" w:rsidR="00D01332" w:rsidRDefault="00C5365C">
            <w:pPr>
              <w:pStyle w:val="LB1-Table"/>
            </w:pPr>
            <w:r>
              <w:t xml:space="preserve">Enlisted </w:t>
            </w:r>
            <w:r w:rsidR="00D01332">
              <w:t xml:space="preserve">support by TWC IT </w:t>
            </w:r>
            <w:r>
              <w:t>team;</w:t>
            </w:r>
          </w:p>
          <w:p w14:paraId="69C8D75A" w14:textId="18DB66B1" w:rsidR="00D01332" w:rsidRDefault="00C5365C">
            <w:pPr>
              <w:pStyle w:val="LB1-Table"/>
            </w:pPr>
            <w:r>
              <w:t>Provided end user support;</w:t>
            </w:r>
          </w:p>
          <w:p w14:paraId="58FA8D38" w14:textId="34AE76AC" w:rsidR="00D01332" w:rsidRDefault="00D01332">
            <w:pPr>
              <w:pStyle w:val="LB1-Table"/>
            </w:pPr>
            <w:r>
              <w:t>Create</w:t>
            </w:r>
            <w:r w:rsidR="00C5365C">
              <w:t>d</w:t>
            </w:r>
            <w:r>
              <w:t xml:space="preserve"> and implement</w:t>
            </w:r>
            <w:r w:rsidR="00C5365C">
              <w:t>ed</w:t>
            </w:r>
            <w:r>
              <w:t xml:space="preserve"> Help Ticket Management Process</w:t>
            </w:r>
            <w:r w:rsidR="00C5365C">
              <w:t>;</w:t>
            </w:r>
            <w:r w:rsidR="00CB0B18">
              <w:t xml:space="preserve"> and</w:t>
            </w:r>
          </w:p>
          <w:p w14:paraId="28E2FC61" w14:textId="7D32CDD7" w:rsidR="00D01332" w:rsidRDefault="00D01332">
            <w:pPr>
              <w:pStyle w:val="LB1-Table"/>
            </w:pPr>
            <w:r>
              <w:t>Define</w:t>
            </w:r>
            <w:r w:rsidR="00C5365C">
              <w:t>d</w:t>
            </w:r>
            <w:r>
              <w:t xml:space="preserve"> Roll Back Plan</w:t>
            </w:r>
            <w:r w:rsidR="00C5365C">
              <w:t>.</w:t>
            </w:r>
          </w:p>
        </w:tc>
        <w:tc>
          <w:tcPr>
            <w:tcW w:w="1944" w:type="dxa"/>
          </w:tcPr>
          <w:p w14:paraId="26F8D754" w14:textId="77777777" w:rsidR="008C2ECC" w:rsidRPr="00F57DB3" w:rsidRDefault="008C2ECC" w:rsidP="008C2ECC">
            <w:pPr>
              <w:ind w:left="0"/>
            </w:pPr>
            <w:r w:rsidRPr="00F57DB3">
              <w:t>TBD in accordance with the IMS</w:t>
            </w:r>
          </w:p>
        </w:tc>
      </w:tr>
      <w:tr w:rsidR="008C2ECC" w:rsidRPr="00873442" w14:paraId="24F53FC1" w14:textId="77777777" w:rsidTr="0018340F">
        <w:tc>
          <w:tcPr>
            <w:tcW w:w="936" w:type="dxa"/>
          </w:tcPr>
          <w:p w14:paraId="4A9BA28E" w14:textId="6E9738E4" w:rsidR="008C2ECC" w:rsidRDefault="008C2ECC" w:rsidP="008C2ECC">
            <w:pPr>
              <w:ind w:left="0"/>
              <w:jc w:val="center"/>
            </w:pPr>
            <w:r>
              <w:t>13D</w:t>
            </w:r>
          </w:p>
        </w:tc>
        <w:tc>
          <w:tcPr>
            <w:tcW w:w="1764" w:type="dxa"/>
          </w:tcPr>
          <w:p w14:paraId="4FB7F6A1" w14:textId="1526EC85" w:rsidR="008C2ECC" w:rsidRDefault="008C2ECC" w:rsidP="008C2ECC">
            <w:pPr>
              <w:ind w:left="0"/>
            </w:pPr>
            <w:r>
              <w:t>Post Deployment and Execution</w:t>
            </w:r>
          </w:p>
        </w:tc>
        <w:tc>
          <w:tcPr>
            <w:tcW w:w="6156" w:type="dxa"/>
          </w:tcPr>
          <w:p w14:paraId="7FE604BF" w14:textId="366F7056" w:rsidR="008C2ECC" w:rsidRDefault="008C2ECC" w:rsidP="008C2ECC">
            <w:pPr>
              <w:ind w:left="0"/>
            </w:pPr>
            <w:r>
              <w:t>At a minimum, Awarded Vendor must demonstrate that:</w:t>
            </w:r>
          </w:p>
          <w:p w14:paraId="5F7D5E8B" w14:textId="6BC3DCF9" w:rsidR="008C2ECC" w:rsidRDefault="008C2ECC" w:rsidP="00E16D2D">
            <w:pPr>
              <w:pStyle w:val="LB1-Table"/>
            </w:pPr>
            <w:r>
              <w:t>The UI</w:t>
            </w:r>
            <w:r w:rsidRPr="00966558">
              <w:t xml:space="preserve"> solution </w:t>
            </w:r>
            <w:r>
              <w:t xml:space="preserve">is fully </w:t>
            </w:r>
            <w:r w:rsidRPr="00966558">
              <w:t xml:space="preserve">operational for </w:t>
            </w:r>
            <w:r w:rsidR="002D3456">
              <w:t>ninety (90) calendar days</w:t>
            </w:r>
            <w:r w:rsidR="002D3456" w:rsidRPr="00966558">
              <w:t xml:space="preserve"> </w:t>
            </w:r>
            <w:r w:rsidRPr="00966558">
              <w:t xml:space="preserve">with no </w:t>
            </w:r>
            <w:r w:rsidR="00675759">
              <w:t>S</w:t>
            </w:r>
            <w:r w:rsidR="00675759" w:rsidRPr="00966558">
              <w:t xml:space="preserve">everity </w:t>
            </w:r>
            <w:r w:rsidR="00675759">
              <w:t xml:space="preserve">1 </w:t>
            </w:r>
            <w:r w:rsidRPr="00966558">
              <w:t>defects</w:t>
            </w:r>
            <w:r>
              <w:t>.</w:t>
            </w:r>
          </w:p>
        </w:tc>
        <w:tc>
          <w:tcPr>
            <w:tcW w:w="1944" w:type="dxa"/>
          </w:tcPr>
          <w:p w14:paraId="67A0F574" w14:textId="77777777" w:rsidR="008C2ECC" w:rsidRPr="00F57DB3" w:rsidRDefault="008C2ECC" w:rsidP="008C2ECC">
            <w:pPr>
              <w:ind w:left="0"/>
            </w:pPr>
          </w:p>
        </w:tc>
      </w:tr>
    </w:tbl>
    <w:p w14:paraId="6EA9E90B" w14:textId="3D5DD685" w:rsidR="00B5465E" w:rsidRDefault="00B5465E" w:rsidP="000C3630"/>
    <w:p w14:paraId="53FB7CCA" w14:textId="0F82DB31" w:rsidR="00D0664F" w:rsidRDefault="00D0664F" w:rsidP="00D0664F">
      <w:r w:rsidRPr="00BE56F2">
        <w:t xml:space="preserve">The </w:t>
      </w:r>
      <w:r>
        <w:t xml:space="preserve">Offeror must include a draft version of </w:t>
      </w:r>
      <w:r w:rsidRPr="00B51CC8">
        <w:t>Deployment Readiness Plan</w:t>
      </w:r>
      <w:r>
        <w:t xml:space="preserve"> and Day of Deployment Plan with their proposal.</w:t>
      </w:r>
    </w:p>
    <w:p w14:paraId="7B197243" w14:textId="58A61860" w:rsidR="00AA7205" w:rsidRDefault="00AA7205" w:rsidP="00AA7205">
      <w:pPr>
        <w:pStyle w:val="Heading3"/>
      </w:pPr>
      <w:bookmarkStart w:id="130" w:name="_2.2.14_Required_Deliverable"/>
      <w:bookmarkStart w:id="131" w:name="_2.2.14_Required_DeliverableTask"/>
      <w:bookmarkStart w:id="132" w:name="_Toc13567409"/>
      <w:bookmarkEnd w:id="130"/>
      <w:bookmarkEnd w:id="131"/>
      <w:r>
        <w:t>2.2.14</w:t>
      </w:r>
      <w:r>
        <w:tab/>
      </w:r>
      <w:r w:rsidR="009B7E37">
        <w:t>Task</w:t>
      </w:r>
      <w:r>
        <w:t xml:space="preserve"> 14: Maintenance and Operations Plan</w:t>
      </w:r>
      <w:bookmarkEnd w:id="132"/>
    </w:p>
    <w:p w14:paraId="1A4179DD" w14:textId="059DF399" w:rsidR="00AA7205" w:rsidRPr="00E21848" w:rsidRDefault="00AA7205" w:rsidP="00AA7205">
      <w:r w:rsidRPr="009C768C">
        <w:t xml:space="preserve">The </w:t>
      </w:r>
      <w:r w:rsidR="00833136">
        <w:t xml:space="preserve">Awarded Vendor </w:t>
      </w:r>
      <w:r>
        <w:t>will include a</w:t>
      </w:r>
      <w:r w:rsidR="00244790">
        <w:t>n</w:t>
      </w:r>
      <w:r>
        <w:t xml:space="preserve"> M&amp;O</w:t>
      </w:r>
      <w:r w:rsidRPr="009C768C">
        <w:t xml:space="preserve"> </w:t>
      </w:r>
      <w:r>
        <w:t>Plan for post Go-Live support throughout the term of the Contract, during the implementation period and post Go-Live. The M&amp;O Plan must</w:t>
      </w:r>
      <w:r w:rsidRPr="00E21848">
        <w:t>:</w:t>
      </w:r>
    </w:p>
    <w:p w14:paraId="5CECE122" w14:textId="5DF9D065" w:rsidR="00AA7205" w:rsidRDefault="00AA7205" w:rsidP="00E16D2D">
      <w:pPr>
        <w:pStyle w:val="LB1"/>
      </w:pPr>
      <w:r>
        <w:t>Consider the current workload, throughput targets, and demand for UI System Services</w:t>
      </w:r>
      <w:r w:rsidR="0082214B">
        <w:t>; review</w:t>
      </w:r>
      <w:r w:rsidR="001C4AC6">
        <w:t xml:space="preserve"> service level agreements</w:t>
      </w:r>
      <w:r w:rsidR="0082214B">
        <w:t xml:space="preserve"> </w:t>
      </w:r>
      <w:r w:rsidR="001C4AC6">
        <w:t>(</w:t>
      </w:r>
      <w:r w:rsidR="0082214B">
        <w:t>SLAs</w:t>
      </w:r>
      <w:r w:rsidR="001C4AC6">
        <w:t>)</w:t>
      </w:r>
      <w:r w:rsidR="0082214B">
        <w:t xml:space="preserve"> in </w:t>
      </w:r>
      <w:hyperlink w:anchor="_Attachment_10_–" w:history="1">
        <w:r w:rsidR="00D23BA6">
          <w:rPr>
            <w:rStyle w:val="Hyperlink"/>
          </w:rPr>
          <w:t>Attachment 10</w:t>
        </w:r>
      </w:hyperlink>
      <w:r w:rsidR="0082214B">
        <w:t xml:space="preserve"> and </w:t>
      </w:r>
      <w:r>
        <w:t xml:space="preserve">recommend </w:t>
      </w:r>
      <w:r w:rsidR="0082214B">
        <w:t xml:space="preserve">additional Program area </w:t>
      </w:r>
      <w:r>
        <w:t>SLA</w:t>
      </w:r>
      <w:r w:rsidR="0082214B">
        <w:t>s;</w:t>
      </w:r>
      <w:r>
        <w:t xml:space="preserve"> and determine the total</w:t>
      </w:r>
      <w:r w:rsidR="005E1B11">
        <w:t xml:space="preserve"> capacity required to meet SLAs;</w:t>
      </w:r>
    </w:p>
    <w:p w14:paraId="0685CAFE" w14:textId="04CEEF09" w:rsidR="00AA7205" w:rsidRDefault="00AA7205" w:rsidP="00F82166">
      <w:pPr>
        <w:pStyle w:val="LB1"/>
      </w:pPr>
      <w:r>
        <w:t xml:space="preserve">Include all </w:t>
      </w:r>
      <w:r w:rsidR="000370BA">
        <w:t xml:space="preserve">forty-eight (48) </w:t>
      </w:r>
      <w:r>
        <w:t>current FTE positions in the UI Systems Management unit, see table below, including currently filled positions and vacancies filled throughout the life of the project and contract as part of the M&amp;O Plan. TWC values their institutional knowledge, relationship with business customers, and commitment and plans to retain and train existing staff to su</w:t>
      </w:r>
      <w:r w:rsidR="005E1B11">
        <w:t>pport the replacement UI system</w:t>
      </w:r>
      <w:r w:rsidR="00E02BFC">
        <w:t>; therefore, current skills should not influence or limit Offeror’s proposed solution in any way</w:t>
      </w:r>
      <w:r w:rsidR="005E1B11">
        <w:t>;</w:t>
      </w:r>
    </w:p>
    <w:p w14:paraId="55C92C7E" w14:textId="77777777" w:rsidR="00AA7205" w:rsidRDefault="00AA7205" w:rsidP="00AA7205"/>
    <w:tbl>
      <w:tblPr>
        <w:tblStyle w:val="TableGrid"/>
        <w:tblW w:w="6833" w:type="dxa"/>
        <w:tblInd w:w="828" w:type="dxa"/>
        <w:tblLayout w:type="fixed"/>
        <w:tblLook w:val="04A0" w:firstRow="1" w:lastRow="0" w:firstColumn="1" w:lastColumn="0" w:noHBand="0" w:noVBand="1"/>
        <w:tblDescription w:val="Table of UI Systems roles with head count"/>
      </w:tblPr>
      <w:tblGrid>
        <w:gridCol w:w="5017"/>
        <w:gridCol w:w="1816"/>
      </w:tblGrid>
      <w:tr w:rsidR="00AA7205" w:rsidRPr="00873442" w14:paraId="6EAD2A99" w14:textId="77777777" w:rsidTr="00553A63">
        <w:trPr>
          <w:cantSplit/>
          <w:tblHeader/>
        </w:trPr>
        <w:tc>
          <w:tcPr>
            <w:tcW w:w="5017" w:type="dxa"/>
            <w:shd w:val="clear" w:color="auto" w:fill="DEEAF6" w:themeFill="accent1" w:themeFillTint="33"/>
            <w:vAlign w:val="center"/>
          </w:tcPr>
          <w:p w14:paraId="21BCBCC9" w14:textId="77777777" w:rsidR="00AA7205" w:rsidRPr="00E47978" w:rsidRDefault="00AA7205" w:rsidP="00553A63">
            <w:pPr>
              <w:keepNext/>
              <w:spacing w:after="0"/>
              <w:ind w:left="0"/>
              <w:jc w:val="center"/>
              <w:rPr>
                <w:rFonts w:cs="Arial"/>
                <w:b/>
                <w:color w:val="1F3864" w:themeColor="accent5" w:themeShade="80"/>
              </w:rPr>
            </w:pPr>
            <w:r>
              <w:rPr>
                <w:rFonts w:cs="Arial"/>
                <w:b/>
                <w:color w:val="1F3864" w:themeColor="accent5" w:themeShade="80"/>
              </w:rPr>
              <w:lastRenderedPageBreak/>
              <w:t>UI Systems Role</w:t>
            </w:r>
          </w:p>
        </w:tc>
        <w:tc>
          <w:tcPr>
            <w:tcW w:w="1816" w:type="dxa"/>
            <w:shd w:val="clear" w:color="auto" w:fill="DEEAF6" w:themeFill="accent1" w:themeFillTint="33"/>
            <w:vAlign w:val="center"/>
          </w:tcPr>
          <w:p w14:paraId="60A32AC8" w14:textId="77777777" w:rsidR="00AA7205" w:rsidRDefault="00AA7205" w:rsidP="00553A63">
            <w:pPr>
              <w:keepNext/>
              <w:spacing w:after="0"/>
              <w:ind w:left="0"/>
              <w:jc w:val="center"/>
              <w:rPr>
                <w:rFonts w:cs="Arial"/>
                <w:b/>
                <w:color w:val="1F3864" w:themeColor="accent5" w:themeShade="80"/>
              </w:rPr>
            </w:pPr>
            <w:r>
              <w:rPr>
                <w:rFonts w:cs="Arial"/>
                <w:b/>
                <w:color w:val="1F3864" w:themeColor="accent5" w:themeShade="80"/>
              </w:rPr>
              <w:t>Head Count</w:t>
            </w:r>
          </w:p>
        </w:tc>
      </w:tr>
      <w:tr w:rsidR="0082214B" w:rsidRPr="00873442" w14:paraId="5D3225C4" w14:textId="77777777" w:rsidTr="00553A63">
        <w:trPr>
          <w:cantSplit/>
          <w:trHeight w:hRule="exact" w:val="432"/>
        </w:trPr>
        <w:tc>
          <w:tcPr>
            <w:tcW w:w="5017" w:type="dxa"/>
            <w:tcMar>
              <w:top w:w="115" w:type="dxa"/>
              <w:left w:w="115" w:type="dxa"/>
              <w:bottom w:w="115" w:type="dxa"/>
              <w:right w:w="115" w:type="dxa"/>
            </w:tcMar>
            <w:vAlign w:val="center"/>
          </w:tcPr>
          <w:p w14:paraId="044817A9" w14:textId="0FF84560" w:rsidR="0082214B" w:rsidRDefault="0082214B" w:rsidP="0082214B">
            <w:pPr>
              <w:ind w:left="0"/>
            </w:pPr>
            <w:r>
              <w:t>UI Systems Manager</w:t>
            </w:r>
          </w:p>
        </w:tc>
        <w:tc>
          <w:tcPr>
            <w:tcW w:w="1816" w:type="dxa"/>
            <w:tcMar>
              <w:top w:w="115" w:type="dxa"/>
              <w:left w:w="115" w:type="dxa"/>
              <w:bottom w:w="115" w:type="dxa"/>
              <w:right w:w="115" w:type="dxa"/>
            </w:tcMar>
            <w:vAlign w:val="center"/>
          </w:tcPr>
          <w:p w14:paraId="5CC06D68" w14:textId="4AE064AD" w:rsidR="0082214B" w:rsidRDefault="0082214B" w:rsidP="0082214B">
            <w:pPr>
              <w:ind w:left="0"/>
              <w:jc w:val="center"/>
            </w:pPr>
            <w:r>
              <w:t>1</w:t>
            </w:r>
          </w:p>
        </w:tc>
      </w:tr>
      <w:tr w:rsidR="0082214B" w:rsidRPr="00873442" w14:paraId="50E67D95" w14:textId="77777777" w:rsidTr="00553A63">
        <w:trPr>
          <w:cantSplit/>
          <w:trHeight w:hRule="exact" w:val="432"/>
        </w:trPr>
        <w:tc>
          <w:tcPr>
            <w:tcW w:w="5017" w:type="dxa"/>
            <w:tcMar>
              <w:top w:w="115" w:type="dxa"/>
              <w:left w:w="115" w:type="dxa"/>
              <w:bottom w:w="115" w:type="dxa"/>
              <w:right w:w="115" w:type="dxa"/>
            </w:tcMar>
          </w:tcPr>
          <w:p w14:paraId="67DFBB20" w14:textId="763C107F" w:rsidR="0082214B" w:rsidRPr="006252D8" w:rsidRDefault="0082214B" w:rsidP="0082214B">
            <w:pPr>
              <w:ind w:left="0"/>
            </w:pPr>
            <w:r>
              <w:t>Quality Assurance</w:t>
            </w:r>
            <w:r w:rsidR="00A03BDF">
              <w:t xml:space="preserve"> (QA)</w:t>
            </w:r>
            <w:r>
              <w:t xml:space="preserve"> Senior Lead</w:t>
            </w:r>
          </w:p>
        </w:tc>
        <w:tc>
          <w:tcPr>
            <w:tcW w:w="1816" w:type="dxa"/>
            <w:tcMar>
              <w:top w:w="115" w:type="dxa"/>
              <w:left w:w="115" w:type="dxa"/>
              <w:bottom w:w="115" w:type="dxa"/>
              <w:right w:w="115" w:type="dxa"/>
            </w:tcMar>
            <w:vAlign w:val="center"/>
          </w:tcPr>
          <w:p w14:paraId="0D1A9C2F" w14:textId="453E4C5B" w:rsidR="0082214B" w:rsidRPr="006252D8" w:rsidRDefault="0082214B" w:rsidP="0082214B">
            <w:pPr>
              <w:ind w:left="0"/>
              <w:jc w:val="center"/>
            </w:pPr>
            <w:r>
              <w:t>1</w:t>
            </w:r>
          </w:p>
        </w:tc>
      </w:tr>
      <w:tr w:rsidR="0082214B" w:rsidRPr="00873442" w14:paraId="21DA0BDC" w14:textId="77777777" w:rsidTr="00553A63">
        <w:trPr>
          <w:cantSplit/>
          <w:trHeight w:hRule="exact" w:val="432"/>
        </w:trPr>
        <w:tc>
          <w:tcPr>
            <w:tcW w:w="5017" w:type="dxa"/>
            <w:tcMar>
              <w:top w:w="115" w:type="dxa"/>
              <w:left w:w="115" w:type="dxa"/>
              <w:bottom w:w="115" w:type="dxa"/>
              <w:right w:w="115" w:type="dxa"/>
            </w:tcMar>
          </w:tcPr>
          <w:p w14:paraId="356C940C" w14:textId="7236417C" w:rsidR="0082214B" w:rsidRPr="008531BC" w:rsidRDefault="0082214B" w:rsidP="0082214B">
            <w:pPr>
              <w:ind w:left="0"/>
            </w:pPr>
            <w:r>
              <w:t>Systems Engineering Senior Lead</w:t>
            </w:r>
          </w:p>
        </w:tc>
        <w:tc>
          <w:tcPr>
            <w:tcW w:w="1816" w:type="dxa"/>
            <w:tcMar>
              <w:top w:w="115" w:type="dxa"/>
              <w:left w:w="115" w:type="dxa"/>
              <w:bottom w:w="115" w:type="dxa"/>
              <w:right w:w="115" w:type="dxa"/>
            </w:tcMar>
            <w:vAlign w:val="center"/>
          </w:tcPr>
          <w:p w14:paraId="21785ED0" w14:textId="5AAEDEB0" w:rsidR="0082214B" w:rsidRPr="006252D8" w:rsidRDefault="0082214B" w:rsidP="0082214B">
            <w:pPr>
              <w:ind w:left="0"/>
              <w:jc w:val="center"/>
            </w:pPr>
            <w:r>
              <w:t>1</w:t>
            </w:r>
          </w:p>
        </w:tc>
      </w:tr>
      <w:tr w:rsidR="0082214B" w:rsidRPr="00873442" w14:paraId="1EBDA740" w14:textId="77777777" w:rsidTr="00553A63">
        <w:trPr>
          <w:cantSplit/>
          <w:trHeight w:hRule="exact" w:val="432"/>
        </w:trPr>
        <w:tc>
          <w:tcPr>
            <w:tcW w:w="5017" w:type="dxa"/>
            <w:tcMar>
              <w:top w:w="115" w:type="dxa"/>
              <w:left w:w="115" w:type="dxa"/>
              <w:bottom w:w="115" w:type="dxa"/>
              <w:right w:w="115" w:type="dxa"/>
            </w:tcMar>
          </w:tcPr>
          <w:p w14:paraId="4505B689" w14:textId="3D68608E" w:rsidR="0082214B" w:rsidRDefault="0082214B" w:rsidP="0082214B">
            <w:pPr>
              <w:ind w:left="0"/>
            </w:pPr>
            <w:r>
              <w:t>Analyst Team Lead</w:t>
            </w:r>
          </w:p>
        </w:tc>
        <w:tc>
          <w:tcPr>
            <w:tcW w:w="1816" w:type="dxa"/>
            <w:tcMar>
              <w:top w:w="115" w:type="dxa"/>
              <w:left w:w="115" w:type="dxa"/>
              <w:bottom w:w="115" w:type="dxa"/>
              <w:right w:w="115" w:type="dxa"/>
            </w:tcMar>
            <w:vAlign w:val="center"/>
          </w:tcPr>
          <w:p w14:paraId="073887C8" w14:textId="6DB82A2C" w:rsidR="0082214B" w:rsidRDefault="0082214B" w:rsidP="0082214B">
            <w:pPr>
              <w:ind w:left="0"/>
              <w:jc w:val="center"/>
            </w:pPr>
            <w:r>
              <w:t>1</w:t>
            </w:r>
          </w:p>
        </w:tc>
      </w:tr>
      <w:tr w:rsidR="0082214B" w:rsidRPr="00873442" w14:paraId="74C7F45A" w14:textId="77777777" w:rsidTr="00553A63">
        <w:trPr>
          <w:cantSplit/>
          <w:trHeight w:hRule="exact" w:val="432"/>
        </w:trPr>
        <w:tc>
          <w:tcPr>
            <w:tcW w:w="5017" w:type="dxa"/>
            <w:tcMar>
              <w:top w:w="115" w:type="dxa"/>
              <w:left w:w="115" w:type="dxa"/>
              <w:bottom w:w="115" w:type="dxa"/>
              <w:right w:w="115" w:type="dxa"/>
            </w:tcMar>
          </w:tcPr>
          <w:p w14:paraId="6CC60070" w14:textId="47892CCB" w:rsidR="0082214B" w:rsidRDefault="0082214B" w:rsidP="0082214B">
            <w:pPr>
              <w:ind w:left="0"/>
            </w:pPr>
            <w:r>
              <w:t>Developer Team Leads (Mainframe)</w:t>
            </w:r>
          </w:p>
        </w:tc>
        <w:tc>
          <w:tcPr>
            <w:tcW w:w="1816" w:type="dxa"/>
            <w:tcMar>
              <w:top w:w="115" w:type="dxa"/>
              <w:left w:w="115" w:type="dxa"/>
              <w:bottom w:w="115" w:type="dxa"/>
              <w:right w:w="115" w:type="dxa"/>
            </w:tcMar>
            <w:vAlign w:val="center"/>
          </w:tcPr>
          <w:p w14:paraId="030BBFC1" w14:textId="2C5CB13E" w:rsidR="0082214B" w:rsidRDefault="0082214B" w:rsidP="0082214B">
            <w:pPr>
              <w:ind w:left="0"/>
              <w:jc w:val="center"/>
            </w:pPr>
            <w:r>
              <w:t>2</w:t>
            </w:r>
          </w:p>
        </w:tc>
      </w:tr>
      <w:tr w:rsidR="0082214B" w:rsidRPr="00873442" w14:paraId="27621231" w14:textId="77777777" w:rsidTr="00553A63">
        <w:trPr>
          <w:cantSplit/>
          <w:trHeight w:hRule="exact" w:val="432"/>
        </w:trPr>
        <w:tc>
          <w:tcPr>
            <w:tcW w:w="5017" w:type="dxa"/>
            <w:tcMar>
              <w:top w:w="115" w:type="dxa"/>
              <w:left w:w="115" w:type="dxa"/>
              <w:bottom w:w="115" w:type="dxa"/>
              <w:right w:w="115" w:type="dxa"/>
            </w:tcMar>
          </w:tcPr>
          <w:p w14:paraId="35F6051A" w14:textId="08DE88EA" w:rsidR="0082214B" w:rsidRDefault="0082214B" w:rsidP="0082214B">
            <w:pPr>
              <w:ind w:left="0"/>
            </w:pPr>
            <w:r>
              <w:t>Web Team Lead (Client Server)</w:t>
            </w:r>
          </w:p>
        </w:tc>
        <w:tc>
          <w:tcPr>
            <w:tcW w:w="1816" w:type="dxa"/>
            <w:tcMar>
              <w:top w:w="115" w:type="dxa"/>
              <w:left w:w="115" w:type="dxa"/>
              <w:bottom w:w="115" w:type="dxa"/>
              <w:right w:w="115" w:type="dxa"/>
            </w:tcMar>
            <w:vAlign w:val="center"/>
          </w:tcPr>
          <w:p w14:paraId="3A2E9049" w14:textId="4ED73E82" w:rsidR="0082214B" w:rsidRDefault="0082214B" w:rsidP="0082214B">
            <w:pPr>
              <w:ind w:left="0"/>
              <w:jc w:val="center"/>
            </w:pPr>
            <w:r>
              <w:t>1</w:t>
            </w:r>
          </w:p>
        </w:tc>
      </w:tr>
      <w:tr w:rsidR="0082214B" w:rsidRPr="00873442" w14:paraId="4709C3C7" w14:textId="77777777" w:rsidTr="00553A63">
        <w:trPr>
          <w:cantSplit/>
          <w:trHeight w:hRule="exact" w:val="432"/>
        </w:trPr>
        <w:tc>
          <w:tcPr>
            <w:tcW w:w="5017" w:type="dxa"/>
            <w:tcMar>
              <w:top w:w="115" w:type="dxa"/>
              <w:left w:w="115" w:type="dxa"/>
              <w:bottom w:w="115" w:type="dxa"/>
              <w:right w:w="115" w:type="dxa"/>
            </w:tcMar>
          </w:tcPr>
          <w:p w14:paraId="4F721A55" w14:textId="6188A61B" w:rsidR="0082214B" w:rsidRDefault="0082214B" w:rsidP="0082214B">
            <w:pPr>
              <w:ind w:left="0"/>
            </w:pPr>
            <w:r>
              <w:t>Analysts</w:t>
            </w:r>
          </w:p>
        </w:tc>
        <w:tc>
          <w:tcPr>
            <w:tcW w:w="1816" w:type="dxa"/>
            <w:tcMar>
              <w:top w:w="115" w:type="dxa"/>
              <w:left w:w="115" w:type="dxa"/>
              <w:bottom w:w="115" w:type="dxa"/>
              <w:right w:w="115" w:type="dxa"/>
            </w:tcMar>
            <w:vAlign w:val="center"/>
          </w:tcPr>
          <w:p w14:paraId="67692051" w14:textId="46669337" w:rsidR="0082214B" w:rsidRDefault="0082214B" w:rsidP="0082214B">
            <w:pPr>
              <w:ind w:left="0"/>
              <w:jc w:val="center"/>
            </w:pPr>
            <w:r>
              <w:t>11</w:t>
            </w:r>
          </w:p>
        </w:tc>
      </w:tr>
      <w:tr w:rsidR="0082214B" w:rsidRPr="00873442" w14:paraId="2A7F7627" w14:textId="77777777" w:rsidTr="00553A63">
        <w:trPr>
          <w:cantSplit/>
          <w:trHeight w:hRule="exact" w:val="432"/>
        </w:trPr>
        <w:tc>
          <w:tcPr>
            <w:tcW w:w="5017" w:type="dxa"/>
            <w:tcMar>
              <w:top w:w="115" w:type="dxa"/>
              <w:left w:w="115" w:type="dxa"/>
              <w:bottom w:w="115" w:type="dxa"/>
              <w:right w:w="115" w:type="dxa"/>
            </w:tcMar>
          </w:tcPr>
          <w:p w14:paraId="5CA888E6" w14:textId="3F22690D" w:rsidR="0082214B" w:rsidRDefault="0082214B" w:rsidP="0082214B">
            <w:pPr>
              <w:ind w:left="0"/>
            </w:pPr>
            <w:r>
              <w:t>Mainframe Developers</w:t>
            </w:r>
          </w:p>
        </w:tc>
        <w:tc>
          <w:tcPr>
            <w:tcW w:w="1816" w:type="dxa"/>
            <w:tcMar>
              <w:top w:w="115" w:type="dxa"/>
              <w:left w:w="115" w:type="dxa"/>
              <w:bottom w:w="115" w:type="dxa"/>
              <w:right w:w="115" w:type="dxa"/>
            </w:tcMar>
            <w:vAlign w:val="center"/>
          </w:tcPr>
          <w:p w14:paraId="4898D711" w14:textId="7156FE5D" w:rsidR="0082214B" w:rsidRDefault="0082214B" w:rsidP="0082214B">
            <w:pPr>
              <w:ind w:left="0"/>
              <w:jc w:val="center"/>
            </w:pPr>
            <w:r>
              <w:t>18</w:t>
            </w:r>
          </w:p>
        </w:tc>
      </w:tr>
      <w:tr w:rsidR="0082214B" w:rsidRPr="00873442" w14:paraId="6F887346" w14:textId="77777777" w:rsidTr="00024F97">
        <w:trPr>
          <w:cantSplit/>
          <w:trHeight w:hRule="exact" w:val="746"/>
        </w:trPr>
        <w:tc>
          <w:tcPr>
            <w:tcW w:w="5017" w:type="dxa"/>
            <w:tcMar>
              <w:top w:w="115" w:type="dxa"/>
              <w:left w:w="115" w:type="dxa"/>
              <w:bottom w:w="115" w:type="dxa"/>
              <w:right w:w="115" w:type="dxa"/>
            </w:tcMar>
          </w:tcPr>
          <w:p w14:paraId="76E47AE0" w14:textId="7012016A" w:rsidR="0082214B" w:rsidRDefault="00024F97" w:rsidP="0082214B">
            <w:pPr>
              <w:ind w:left="0"/>
            </w:pPr>
            <w:r>
              <w:t xml:space="preserve">Object Oriented </w:t>
            </w:r>
            <w:r w:rsidR="0082214B">
              <w:t>Developers</w:t>
            </w:r>
            <w:r>
              <w:t xml:space="preserve"> (currently Java)</w:t>
            </w:r>
          </w:p>
        </w:tc>
        <w:tc>
          <w:tcPr>
            <w:tcW w:w="1816" w:type="dxa"/>
            <w:tcMar>
              <w:top w:w="115" w:type="dxa"/>
              <w:left w:w="115" w:type="dxa"/>
              <w:bottom w:w="115" w:type="dxa"/>
              <w:right w:w="115" w:type="dxa"/>
            </w:tcMar>
            <w:vAlign w:val="center"/>
          </w:tcPr>
          <w:p w14:paraId="364AD2DF" w14:textId="19F4C172" w:rsidR="0082214B" w:rsidRDefault="0082214B" w:rsidP="0082214B">
            <w:pPr>
              <w:ind w:left="0"/>
              <w:jc w:val="center"/>
            </w:pPr>
            <w:r>
              <w:t>12</w:t>
            </w:r>
          </w:p>
        </w:tc>
      </w:tr>
      <w:tr w:rsidR="00AA7205" w:rsidRPr="00873442" w14:paraId="055A8D81" w14:textId="77777777" w:rsidTr="00553A63">
        <w:trPr>
          <w:cantSplit/>
          <w:trHeight w:hRule="exact" w:val="432"/>
        </w:trPr>
        <w:tc>
          <w:tcPr>
            <w:tcW w:w="5017" w:type="dxa"/>
            <w:tcMar>
              <w:top w:w="115" w:type="dxa"/>
              <w:left w:w="115" w:type="dxa"/>
              <w:bottom w:w="115" w:type="dxa"/>
              <w:right w:w="115" w:type="dxa"/>
            </w:tcMar>
          </w:tcPr>
          <w:p w14:paraId="01FEEC7F" w14:textId="77777777" w:rsidR="00AA7205" w:rsidRDefault="00AA7205" w:rsidP="00553A63">
            <w:pPr>
              <w:ind w:left="0"/>
              <w:jc w:val="right"/>
            </w:pPr>
            <w:r w:rsidRPr="00FC75EF">
              <w:rPr>
                <w:b/>
              </w:rPr>
              <w:t>Total</w:t>
            </w:r>
          </w:p>
        </w:tc>
        <w:tc>
          <w:tcPr>
            <w:tcW w:w="1816" w:type="dxa"/>
            <w:tcMar>
              <w:top w:w="115" w:type="dxa"/>
              <w:left w:w="115" w:type="dxa"/>
              <w:bottom w:w="115" w:type="dxa"/>
              <w:right w:w="115" w:type="dxa"/>
            </w:tcMar>
            <w:vAlign w:val="center"/>
          </w:tcPr>
          <w:p w14:paraId="2BC37B36" w14:textId="77777777" w:rsidR="00AA7205" w:rsidRPr="003779AF" w:rsidRDefault="00AA7205" w:rsidP="00553A63">
            <w:pPr>
              <w:ind w:left="0"/>
              <w:jc w:val="center"/>
              <w:rPr>
                <w:b/>
              </w:rPr>
            </w:pPr>
            <w:r w:rsidRPr="003779AF">
              <w:rPr>
                <w:b/>
              </w:rPr>
              <w:t>48</w:t>
            </w:r>
          </w:p>
        </w:tc>
      </w:tr>
    </w:tbl>
    <w:p w14:paraId="7DF351E5" w14:textId="77777777" w:rsidR="00AA7205" w:rsidRDefault="00AA7205" w:rsidP="00AA7205"/>
    <w:p w14:paraId="7A99BBB1" w14:textId="430355B7" w:rsidR="00AA7205" w:rsidRDefault="00AA7205" w:rsidP="00E16D2D">
      <w:pPr>
        <w:pStyle w:val="LB1"/>
      </w:pPr>
      <w:r>
        <w:t xml:space="preserve">Specify all roles, including but not limited to </w:t>
      </w:r>
      <w:r w:rsidR="00E22EF1">
        <w:t xml:space="preserve">maintenance and </w:t>
      </w:r>
      <w:r>
        <w:t>support for applications, builds, data, environments, infrastructure</w:t>
      </w:r>
      <w:r w:rsidR="00D37D45">
        <w:t>, and</w:t>
      </w:r>
      <w:r w:rsidR="00D37D45" w:rsidRPr="00D37D45">
        <w:t xml:space="preserve"> </w:t>
      </w:r>
      <w:r w:rsidR="00D37D45">
        <w:t xml:space="preserve">administration of </w:t>
      </w:r>
      <w:r w:rsidR="00DF57F2">
        <w:t>third-</w:t>
      </w:r>
      <w:r w:rsidR="00D37D45">
        <w:t>party tools</w:t>
      </w:r>
      <w:r>
        <w:t xml:space="preserve">; staffed by TWC or Awarded Vendor; responsibilities; duties; skills; performance standards; </w:t>
      </w:r>
      <w:r w:rsidR="00727F2F">
        <w:t xml:space="preserve">organizational chart; </w:t>
      </w:r>
      <w:r>
        <w:t>and the number of staff needed in each role to establish and manage a support team to meet M&amp;O</w:t>
      </w:r>
      <w:r w:rsidR="005E1B11">
        <w:t xml:space="preserve"> demand and SLAs;</w:t>
      </w:r>
    </w:p>
    <w:p w14:paraId="4B890D6A" w14:textId="3585898B" w:rsidR="00DE3908" w:rsidRDefault="00DE3908" w:rsidP="00F82166">
      <w:pPr>
        <w:pStyle w:val="LB1"/>
      </w:pPr>
      <w:r>
        <w:t>Develop a checklist of knowledge transfer topics;</w:t>
      </w:r>
    </w:p>
    <w:p w14:paraId="022F8515" w14:textId="06632915" w:rsidR="00DE3908" w:rsidRDefault="00DE3908" w:rsidP="00F82166">
      <w:pPr>
        <w:pStyle w:val="LB1"/>
      </w:pPr>
      <w:r>
        <w:t>I</w:t>
      </w:r>
      <w:r w:rsidRPr="00DE3908">
        <w:t xml:space="preserve">nclude documents from both the vendor and each TWC UI IT staff person indicating completion </w:t>
      </w:r>
      <w:r>
        <w:t>for each</w:t>
      </w:r>
      <w:r w:rsidRPr="00DE3908">
        <w:t xml:space="preserve"> </w:t>
      </w:r>
      <w:r>
        <w:t xml:space="preserve">knowledge transfer item </w:t>
      </w:r>
      <w:r w:rsidRPr="00DE3908">
        <w:t>and rea</w:t>
      </w:r>
      <w:r>
        <w:t>diness to accept responsibility;</w:t>
      </w:r>
    </w:p>
    <w:p w14:paraId="76C27F17" w14:textId="1D9898ED" w:rsidR="00AA7205" w:rsidRDefault="00AA7205">
      <w:pPr>
        <w:pStyle w:val="LB1"/>
      </w:pPr>
      <w:r>
        <w:t>Identify anticipated workload volumes and st</w:t>
      </w:r>
      <w:r w:rsidR="005E1B11">
        <w:t>affing required to meet volumes;</w:t>
      </w:r>
    </w:p>
    <w:p w14:paraId="1E92970F" w14:textId="636A31FE" w:rsidR="00AA7205" w:rsidRDefault="00AA7205">
      <w:pPr>
        <w:pStyle w:val="LB1"/>
      </w:pPr>
      <w:r>
        <w:t>Specify how the Offeror will provide knowledge transfer and skills training to TWC’</w:t>
      </w:r>
      <w:r w:rsidR="005E1B11">
        <w:t xml:space="preserve">s </w:t>
      </w:r>
      <w:r w:rsidR="000370BA">
        <w:t>forty-eight (48)</w:t>
      </w:r>
      <w:r w:rsidR="005E1B11">
        <w:t xml:space="preserve"> FTEs to fill the M&amp;O roles</w:t>
      </w:r>
      <w:r w:rsidR="00062277">
        <w:t xml:space="preserve"> (to be included in the Knowledge Transfer Plan defined in </w:t>
      </w:r>
      <w:hyperlink w:anchor="_2.2.12_Required_DeliverableTask" w:history="1">
        <w:r w:rsidR="009B7E37" w:rsidRPr="009B7E37">
          <w:rPr>
            <w:rStyle w:val="Hyperlink"/>
          </w:rPr>
          <w:t>Task 12</w:t>
        </w:r>
      </w:hyperlink>
      <w:r w:rsidR="004567FA">
        <w:t>)</w:t>
      </w:r>
      <w:r w:rsidR="005E1B11">
        <w:t>;</w:t>
      </w:r>
    </w:p>
    <w:p w14:paraId="78B9DE1B" w14:textId="09E8FC76" w:rsidR="00AA7205" w:rsidRDefault="00AA7205">
      <w:pPr>
        <w:pStyle w:val="LB1"/>
      </w:pPr>
      <w:r>
        <w:t xml:space="preserve">Specify how the Offeror will augment the </w:t>
      </w:r>
      <w:r w:rsidR="000370BA">
        <w:t>forty-eight (48)</w:t>
      </w:r>
      <w:r>
        <w:t xml:space="preserve"> FTEs with additional Offeror or subcontractor staff to fill all required roles and</w:t>
      </w:r>
      <w:r w:rsidR="005E1B11">
        <w:t xml:space="preserve"> responsibilities, if necessary;</w:t>
      </w:r>
    </w:p>
    <w:p w14:paraId="0D8AB2D7" w14:textId="72CCA58C" w:rsidR="00AA7205" w:rsidRDefault="00AA7205">
      <w:pPr>
        <w:pStyle w:val="LB1"/>
      </w:pPr>
      <w:r>
        <w:t xml:space="preserve">Specify the scope of M&amp;O support including how the Offeror will phase in M&amp;O production support in a phased rollout considering TWC IT UI Systems’ responsibilities for continuing </w:t>
      </w:r>
      <w:r w:rsidR="003414CC">
        <w:t>support</w:t>
      </w:r>
      <w:r>
        <w:t xml:space="preserve"> of legacy syste</w:t>
      </w:r>
      <w:r w:rsidR="005E1B11">
        <w:t xml:space="preserve">ms through the final deployment; </w:t>
      </w:r>
    </w:p>
    <w:p w14:paraId="02243F5D" w14:textId="77777777" w:rsidR="005C2A88" w:rsidRDefault="00AA7205">
      <w:pPr>
        <w:pStyle w:val="LB1"/>
      </w:pPr>
      <w:r>
        <w:lastRenderedPageBreak/>
        <w:t>Include an organizational chart for IT Support Staff in TWC UI Systems</w:t>
      </w:r>
      <w:r w:rsidR="005C2A88">
        <w:t>; and</w:t>
      </w:r>
    </w:p>
    <w:p w14:paraId="1CFB8D7E" w14:textId="5CC78C11" w:rsidR="00AA7205" w:rsidRDefault="005C2A88">
      <w:pPr>
        <w:pStyle w:val="LB1"/>
      </w:pPr>
      <w:r>
        <w:t xml:space="preserve">The Awarded Vendor </w:t>
      </w:r>
      <w:r w:rsidRPr="007512FA">
        <w:t xml:space="preserve">will submit a </w:t>
      </w:r>
      <w:r>
        <w:t xml:space="preserve">Monthly </w:t>
      </w:r>
      <w:r w:rsidRPr="007512FA">
        <w:t>Operations</w:t>
      </w:r>
      <w:r>
        <w:t xml:space="preserve"> </w:t>
      </w:r>
      <w:r w:rsidRPr="007512FA">
        <w:t>S</w:t>
      </w:r>
      <w:r>
        <w:t xml:space="preserve">tatus </w:t>
      </w:r>
      <w:r w:rsidRPr="007512FA">
        <w:t>R</w:t>
      </w:r>
      <w:r>
        <w:t>eport due no later than the fifth (5</w:t>
      </w:r>
      <w:r w:rsidRPr="007512FA">
        <w:t>th</w:t>
      </w:r>
      <w:r>
        <w:t xml:space="preserve">) calendar day after the end of the month to include a summary of </w:t>
      </w:r>
      <w:r w:rsidRPr="007512FA">
        <w:t xml:space="preserve">uptime and unplanned outage </w:t>
      </w:r>
      <w:r>
        <w:t>activities, accomplishments, planned d</w:t>
      </w:r>
      <w:r w:rsidRPr="007512FA">
        <w:t xml:space="preserve">owntime and </w:t>
      </w:r>
      <w:r>
        <w:t>future activities, and issues</w:t>
      </w:r>
      <w:r w:rsidR="00AA7205">
        <w:t>.</w:t>
      </w:r>
    </w:p>
    <w:p w14:paraId="796FD4C4" w14:textId="77777777" w:rsidR="00AA7205" w:rsidRDefault="00AA7205" w:rsidP="00AA7205"/>
    <w:p w14:paraId="524253AB" w14:textId="75738A13" w:rsidR="00AA7205" w:rsidRDefault="00272A05" w:rsidP="00AA7205">
      <w:r>
        <w:t xml:space="preserve">The Awarded Vendor will complete the following </w:t>
      </w:r>
      <w:r w:rsidR="00B81B78">
        <w:t>deliverables during this Task</w:t>
      </w:r>
      <w:r w:rsidR="00AA7205">
        <w:t>:</w:t>
      </w:r>
    </w:p>
    <w:tbl>
      <w:tblPr>
        <w:tblStyle w:val="TableGrid"/>
        <w:tblW w:w="10674" w:type="dxa"/>
        <w:tblInd w:w="175" w:type="dxa"/>
        <w:tblLayout w:type="fixed"/>
        <w:tblLook w:val="04A0" w:firstRow="1" w:lastRow="0" w:firstColumn="1" w:lastColumn="0" w:noHBand="0" w:noVBand="1"/>
        <w:tblDescription w:val="Maintenance and Operations Plan deliverable schedule table"/>
      </w:tblPr>
      <w:tblGrid>
        <w:gridCol w:w="936"/>
        <w:gridCol w:w="2034"/>
        <w:gridCol w:w="5760"/>
        <w:gridCol w:w="1944"/>
      </w:tblGrid>
      <w:tr w:rsidR="00AA7205" w:rsidRPr="00873442" w14:paraId="6140514D" w14:textId="77777777" w:rsidTr="00690889">
        <w:trPr>
          <w:cantSplit/>
          <w:tblHeader/>
        </w:trPr>
        <w:tc>
          <w:tcPr>
            <w:tcW w:w="936" w:type="dxa"/>
            <w:shd w:val="clear" w:color="auto" w:fill="DEEAF6" w:themeFill="accent1" w:themeFillTint="33"/>
            <w:vAlign w:val="bottom"/>
          </w:tcPr>
          <w:p w14:paraId="5590B9AF" w14:textId="77777777" w:rsidR="00AA7205" w:rsidRPr="004F202B" w:rsidRDefault="00AA7205" w:rsidP="00553A63">
            <w:pPr>
              <w:keepNext/>
              <w:spacing w:after="0"/>
              <w:ind w:left="0"/>
              <w:jc w:val="center"/>
              <w:rPr>
                <w:rFonts w:cs="Arial"/>
                <w:b/>
                <w:color w:val="1F3864" w:themeColor="accent5" w:themeShade="80"/>
              </w:rPr>
            </w:pPr>
            <w:r w:rsidRPr="004F202B">
              <w:rPr>
                <w:rFonts w:cs="Arial"/>
                <w:b/>
                <w:color w:val="1F3864" w:themeColor="accent5" w:themeShade="80"/>
              </w:rPr>
              <w:t>No.</w:t>
            </w:r>
          </w:p>
        </w:tc>
        <w:tc>
          <w:tcPr>
            <w:tcW w:w="2034" w:type="dxa"/>
            <w:shd w:val="clear" w:color="auto" w:fill="DEEAF6" w:themeFill="accent1" w:themeFillTint="33"/>
          </w:tcPr>
          <w:p w14:paraId="2C30645D" w14:textId="77777777" w:rsidR="00AA7205" w:rsidRPr="001B5E0B" w:rsidRDefault="00AA7205" w:rsidP="00553A63">
            <w:pPr>
              <w:keepNext/>
              <w:spacing w:after="0"/>
              <w:ind w:left="0"/>
              <w:rPr>
                <w:rFonts w:cs="Arial"/>
                <w:b/>
                <w:color w:val="1F3864" w:themeColor="accent5" w:themeShade="80"/>
              </w:rPr>
            </w:pPr>
            <w:r>
              <w:rPr>
                <w:rFonts w:cs="Arial"/>
                <w:b/>
                <w:color w:val="1F3864" w:themeColor="accent5" w:themeShade="80"/>
              </w:rPr>
              <w:t>Deliverable</w:t>
            </w:r>
          </w:p>
        </w:tc>
        <w:tc>
          <w:tcPr>
            <w:tcW w:w="5760" w:type="dxa"/>
            <w:shd w:val="clear" w:color="auto" w:fill="DEEAF6" w:themeFill="accent1" w:themeFillTint="33"/>
          </w:tcPr>
          <w:p w14:paraId="57870BF1" w14:textId="77777777" w:rsidR="00AA7205" w:rsidRPr="001B5E0B" w:rsidRDefault="00AA7205" w:rsidP="00553A63">
            <w:pPr>
              <w:keepNext/>
              <w:spacing w:after="0"/>
              <w:ind w:left="0"/>
              <w:rPr>
                <w:rFonts w:cs="Arial"/>
                <w:b/>
                <w:color w:val="1F3864" w:themeColor="accent5" w:themeShade="80"/>
              </w:rPr>
            </w:pPr>
            <w:r>
              <w:rPr>
                <w:rFonts w:cs="Arial"/>
                <w:b/>
                <w:color w:val="1F3864" w:themeColor="accent5" w:themeShade="80"/>
              </w:rPr>
              <w:t>Acceptance Criteria</w:t>
            </w:r>
          </w:p>
        </w:tc>
        <w:tc>
          <w:tcPr>
            <w:tcW w:w="1944" w:type="dxa"/>
            <w:shd w:val="clear" w:color="auto" w:fill="DEEAF6" w:themeFill="accent1" w:themeFillTint="33"/>
            <w:vAlign w:val="bottom"/>
          </w:tcPr>
          <w:p w14:paraId="72E1F351" w14:textId="77777777" w:rsidR="00AA7205" w:rsidRPr="004F202B" w:rsidRDefault="00AA7205" w:rsidP="00553A63">
            <w:pPr>
              <w:keepNext/>
              <w:spacing w:after="0"/>
              <w:ind w:left="0"/>
              <w:rPr>
                <w:rFonts w:cs="Arial"/>
                <w:b/>
                <w:color w:val="1F3864" w:themeColor="accent5" w:themeShade="80"/>
              </w:rPr>
            </w:pPr>
            <w:r>
              <w:rPr>
                <w:rFonts w:cs="Arial"/>
                <w:b/>
                <w:color w:val="1F3864" w:themeColor="accent5" w:themeShade="80"/>
              </w:rPr>
              <w:t>Due Date</w:t>
            </w:r>
          </w:p>
        </w:tc>
      </w:tr>
      <w:tr w:rsidR="00AA7205" w:rsidRPr="00873442" w14:paraId="0BF40D43" w14:textId="77777777" w:rsidTr="00690889">
        <w:tc>
          <w:tcPr>
            <w:tcW w:w="936" w:type="dxa"/>
          </w:tcPr>
          <w:p w14:paraId="7B7BDFF2" w14:textId="77777777" w:rsidR="00AA7205" w:rsidRDefault="00AA7205" w:rsidP="00553A63">
            <w:pPr>
              <w:ind w:left="0"/>
              <w:jc w:val="center"/>
            </w:pPr>
            <w:bookmarkStart w:id="133" w:name="_Hlk1648091"/>
            <w:r>
              <w:t>14A</w:t>
            </w:r>
          </w:p>
        </w:tc>
        <w:tc>
          <w:tcPr>
            <w:tcW w:w="2034" w:type="dxa"/>
          </w:tcPr>
          <w:p w14:paraId="5A4B331C" w14:textId="77777777" w:rsidR="00AA7205" w:rsidRDefault="00AA7205" w:rsidP="00553A63">
            <w:pPr>
              <w:ind w:left="0"/>
            </w:pPr>
            <w:r>
              <w:t>M&amp;O Plan</w:t>
            </w:r>
          </w:p>
        </w:tc>
        <w:tc>
          <w:tcPr>
            <w:tcW w:w="5760" w:type="dxa"/>
          </w:tcPr>
          <w:p w14:paraId="11F49E1A" w14:textId="77777777" w:rsidR="00AA7205" w:rsidRPr="00E80D00" w:rsidRDefault="00AA7205" w:rsidP="00553A63">
            <w:pPr>
              <w:ind w:left="0"/>
            </w:pPr>
            <w:bookmarkStart w:id="134" w:name="_Hlk1637605"/>
            <w:r>
              <w:t>At a minimum, t</w:t>
            </w:r>
            <w:r w:rsidRPr="00E80D00">
              <w:t>he Plan must:</w:t>
            </w:r>
          </w:p>
          <w:p w14:paraId="7E57690B" w14:textId="3D35360A" w:rsidR="00AA7205" w:rsidRPr="00E80D00" w:rsidRDefault="00AA7205" w:rsidP="00E16D2D">
            <w:pPr>
              <w:pStyle w:val="LB1-Table"/>
            </w:pPr>
            <w:r w:rsidRPr="00E80D00">
              <w:t xml:space="preserve">Specify all </w:t>
            </w:r>
            <w:r w:rsidR="00215476">
              <w:t xml:space="preserve">tasks; </w:t>
            </w:r>
            <w:r w:rsidRPr="00E80D00">
              <w:t>roles; responsibilities; skills; the number of staff needed</w:t>
            </w:r>
            <w:r>
              <w:t xml:space="preserve"> by role</w:t>
            </w:r>
            <w:r w:rsidRPr="00E80D00">
              <w:t>;</w:t>
            </w:r>
            <w:r w:rsidR="00215476" w:rsidRPr="00E80D00">
              <w:t xml:space="preserve"> and performance standards; </w:t>
            </w:r>
          </w:p>
          <w:p w14:paraId="7A65D0BD" w14:textId="77777777" w:rsidR="00AA7205" w:rsidRDefault="00AA7205" w:rsidP="00F82166">
            <w:pPr>
              <w:pStyle w:val="LB1-Table"/>
            </w:pPr>
            <w:r>
              <w:t xml:space="preserve">Identify anticipated workload volumes and staffing; </w:t>
            </w:r>
          </w:p>
          <w:p w14:paraId="43908890" w14:textId="504A5F13" w:rsidR="00BD71D3" w:rsidRDefault="00BD71D3" w:rsidP="00F82166">
            <w:pPr>
              <w:pStyle w:val="LB1-Table"/>
            </w:pPr>
            <w:r>
              <w:t>Contain</w:t>
            </w:r>
            <w:r w:rsidR="00654DD9">
              <w:t xml:space="preserve"> </w:t>
            </w:r>
            <w:r w:rsidR="00105DC0">
              <w:t xml:space="preserve">a </w:t>
            </w:r>
            <w:r>
              <w:t>governance process for the M&amp;O of the new solution including, but not limited to:</w:t>
            </w:r>
          </w:p>
          <w:p w14:paraId="2F2669B4" w14:textId="77777777" w:rsidR="00573990" w:rsidRPr="00573990" w:rsidRDefault="00BD71D3">
            <w:pPr>
              <w:pStyle w:val="OB1-Table"/>
            </w:pPr>
            <w:r>
              <w:t xml:space="preserve">A </w:t>
            </w:r>
            <w:r w:rsidR="00105DC0" w:rsidRPr="00573990">
              <w:t>process to intake, analyze, and estimate the effort to implement modification requests;</w:t>
            </w:r>
          </w:p>
          <w:p w14:paraId="67ECCFCF" w14:textId="1A399369" w:rsidR="00105DC0" w:rsidRPr="00573990" w:rsidRDefault="00573990">
            <w:pPr>
              <w:pStyle w:val="OB1-Table"/>
            </w:pPr>
            <w:r w:rsidRPr="00573990">
              <w:t>T</w:t>
            </w:r>
            <w:r w:rsidR="00105DC0" w:rsidRPr="00573990">
              <w:t>he creation and maintenance of development, test, and production environments;</w:t>
            </w:r>
          </w:p>
          <w:p w14:paraId="2DD8F1D2" w14:textId="21D9128B" w:rsidR="00573990" w:rsidRPr="00573990" w:rsidRDefault="00573990">
            <w:pPr>
              <w:pStyle w:val="OB1-Table"/>
            </w:pPr>
            <w:r w:rsidRPr="00573990">
              <w:t>The delivery of regularly scheduled releases;</w:t>
            </w:r>
          </w:p>
          <w:p w14:paraId="1FA9180B" w14:textId="2810E867" w:rsidR="00573990" w:rsidRDefault="00573990">
            <w:pPr>
              <w:pStyle w:val="OB1-Table"/>
            </w:pPr>
            <w:r>
              <w:t>A recommended approach for c</w:t>
            </w:r>
            <w:r w:rsidRPr="00573990">
              <w:t>onfiguration management;</w:t>
            </w:r>
          </w:p>
          <w:p w14:paraId="2BB07144" w14:textId="18562334" w:rsidR="00D643EA" w:rsidRPr="00573990" w:rsidRDefault="00D643EA">
            <w:pPr>
              <w:pStyle w:val="OB1-Table"/>
            </w:pPr>
            <w:r>
              <w:t>A recommended approach for leveraging other states’ functionality and features who share the common vendor;</w:t>
            </w:r>
          </w:p>
          <w:p w14:paraId="273245EE" w14:textId="1EF8B6EA" w:rsidR="00573990" w:rsidRDefault="00573990">
            <w:pPr>
              <w:pStyle w:val="OB1-Table"/>
            </w:pPr>
            <w:r w:rsidRPr="00573990">
              <w:t xml:space="preserve">A full array of systems engineering including business requirements, design, development of modifications, systems testing, </w:t>
            </w:r>
            <w:r w:rsidR="00A03BDF">
              <w:t>UAT</w:t>
            </w:r>
            <w:r w:rsidRPr="00573990">
              <w:t>, load and stress testing, deployment readiness, deployment; and</w:t>
            </w:r>
          </w:p>
          <w:p w14:paraId="74FD1DE1" w14:textId="156CA2B0" w:rsidR="00573990" w:rsidRPr="00573990" w:rsidRDefault="00573990">
            <w:pPr>
              <w:pStyle w:val="OB1-Table"/>
            </w:pPr>
            <w:r>
              <w:t>Post-deployment support.</w:t>
            </w:r>
          </w:p>
          <w:p w14:paraId="5246AFE5" w14:textId="77777777" w:rsidR="00654DD9" w:rsidRPr="00E80D00" w:rsidRDefault="00654DD9">
            <w:pPr>
              <w:pStyle w:val="LB1-Table"/>
            </w:pPr>
            <w:r w:rsidRPr="00E80D00">
              <w:t xml:space="preserve">Include all </w:t>
            </w:r>
            <w:r>
              <w:t>forty-eight (48)</w:t>
            </w:r>
            <w:r w:rsidRPr="00E80D00">
              <w:t xml:space="preserve"> current FTEs;</w:t>
            </w:r>
          </w:p>
          <w:p w14:paraId="7CD6CB37" w14:textId="77777777" w:rsidR="00654DD9" w:rsidRPr="00E80D00" w:rsidRDefault="00654DD9">
            <w:pPr>
              <w:pStyle w:val="LB1-Table"/>
            </w:pPr>
            <w:r w:rsidRPr="00E80D00">
              <w:t xml:space="preserve">Specify staff augmentation plan; </w:t>
            </w:r>
          </w:p>
          <w:p w14:paraId="143B26AC" w14:textId="62251B7E" w:rsidR="00654DD9" w:rsidRDefault="00654DD9">
            <w:pPr>
              <w:pStyle w:val="LB1-Table"/>
            </w:pPr>
            <w:r w:rsidRPr="00E80D00">
              <w:t>Specify knowledge transfer and skills training;</w:t>
            </w:r>
          </w:p>
          <w:p w14:paraId="449C8E95" w14:textId="3E44998F" w:rsidR="004832F9" w:rsidRPr="00E80D00" w:rsidRDefault="004832F9">
            <w:pPr>
              <w:pStyle w:val="LB1-Table"/>
            </w:pPr>
            <w:r>
              <w:lastRenderedPageBreak/>
              <w:t>Include checklist of knowledge transfer topics;</w:t>
            </w:r>
          </w:p>
          <w:p w14:paraId="637AE17A" w14:textId="77777777" w:rsidR="00654DD9" w:rsidRDefault="00654DD9">
            <w:pPr>
              <w:pStyle w:val="LB1-Table"/>
            </w:pPr>
            <w:r w:rsidRPr="00E80D00">
              <w:t>Specify scope and phased approach to support operations throughout the term of the Contract</w:t>
            </w:r>
            <w:r>
              <w:t xml:space="preserve">; </w:t>
            </w:r>
          </w:p>
          <w:p w14:paraId="2621B3BC" w14:textId="2194C5F4" w:rsidR="00AA7205" w:rsidRDefault="00AA7205">
            <w:pPr>
              <w:pStyle w:val="LB1-Table"/>
            </w:pPr>
            <w:r>
              <w:t>Include updated organizational chart; and</w:t>
            </w:r>
          </w:p>
          <w:p w14:paraId="75F905DE" w14:textId="77777777" w:rsidR="00AA7205" w:rsidRDefault="00AA7205">
            <w:pPr>
              <w:pStyle w:val="LB1-Table"/>
            </w:pPr>
            <w:r>
              <w:t>Include shared M&amp;O in the technical knowledge transfer plan</w:t>
            </w:r>
            <w:r w:rsidRPr="00E80D00">
              <w:t>.</w:t>
            </w:r>
            <w:bookmarkEnd w:id="134"/>
          </w:p>
        </w:tc>
        <w:tc>
          <w:tcPr>
            <w:tcW w:w="1944" w:type="dxa"/>
          </w:tcPr>
          <w:p w14:paraId="6D630CEF" w14:textId="77777777" w:rsidR="00AA7205" w:rsidRDefault="00AA7205" w:rsidP="00553A63">
            <w:pPr>
              <w:ind w:left="0"/>
            </w:pPr>
            <w:r>
              <w:lastRenderedPageBreak/>
              <w:t>AoC + 90 calendar days</w:t>
            </w:r>
          </w:p>
        </w:tc>
      </w:tr>
      <w:tr w:rsidR="005C2A88" w:rsidRPr="00873442" w14:paraId="08ED6752" w14:textId="77777777" w:rsidTr="00690889">
        <w:tc>
          <w:tcPr>
            <w:tcW w:w="936" w:type="dxa"/>
          </w:tcPr>
          <w:p w14:paraId="7C3FFDCA" w14:textId="63371374" w:rsidR="005C2A88" w:rsidRDefault="005C2A88" w:rsidP="005C2A88">
            <w:pPr>
              <w:ind w:left="0"/>
              <w:jc w:val="center"/>
            </w:pPr>
            <w:r>
              <w:t>14B</w:t>
            </w:r>
          </w:p>
        </w:tc>
        <w:tc>
          <w:tcPr>
            <w:tcW w:w="2034" w:type="dxa"/>
          </w:tcPr>
          <w:p w14:paraId="3DF82F8F" w14:textId="226692BB" w:rsidR="005C2A88" w:rsidRDefault="00ED2EEB" w:rsidP="005C2A88">
            <w:pPr>
              <w:ind w:left="0"/>
            </w:pPr>
            <w:r>
              <w:t>Monthly Operations Status Reports</w:t>
            </w:r>
          </w:p>
        </w:tc>
        <w:tc>
          <w:tcPr>
            <w:tcW w:w="5760" w:type="dxa"/>
          </w:tcPr>
          <w:p w14:paraId="7545607B" w14:textId="3FC07FF9" w:rsidR="005C2A88" w:rsidRDefault="005C2A88" w:rsidP="00ED2EEB">
            <w:pPr>
              <w:ind w:left="0"/>
            </w:pPr>
            <w:r>
              <w:t>At a minimum, Awarded Vendor must</w:t>
            </w:r>
            <w:r w:rsidR="00ED2EEB">
              <w:t xml:space="preserve"> submit Monthly Operations Status Reports.</w:t>
            </w:r>
          </w:p>
        </w:tc>
        <w:tc>
          <w:tcPr>
            <w:tcW w:w="1944" w:type="dxa"/>
          </w:tcPr>
          <w:p w14:paraId="01933F3B" w14:textId="1C60AB12" w:rsidR="005C2A88" w:rsidRDefault="005C2A88" w:rsidP="005C2A88">
            <w:pPr>
              <w:ind w:left="0"/>
            </w:pPr>
            <w:r w:rsidRPr="00F57DB3">
              <w:t>TBD in accordance with the IMS</w:t>
            </w:r>
          </w:p>
        </w:tc>
      </w:tr>
      <w:bookmarkEnd w:id="133"/>
    </w:tbl>
    <w:p w14:paraId="5AB80B0B" w14:textId="77777777" w:rsidR="00DE3908" w:rsidRDefault="00DE3908" w:rsidP="00DE3908"/>
    <w:p w14:paraId="2CAD6E20" w14:textId="67733D96" w:rsidR="00AA7205" w:rsidRDefault="00DE3908" w:rsidP="00DE3908">
      <w:r w:rsidRPr="00BE56F2">
        <w:t xml:space="preserve">The </w:t>
      </w:r>
      <w:r>
        <w:t>Offeror must include a draft version of the checklist of knowledge transfer topics with their proposal.</w:t>
      </w:r>
    </w:p>
    <w:p w14:paraId="5B349EDF" w14:textId="0211CFE6" w:rsidR="000E77A6" w:rsidRDefault="00F05A0C" w:rsidP="00F05A0C">
      <w:pPr>
        <w:pStyle w:val="Heading3"/>
      </w:pPr>
      <w:bookmarkStart w:id="135" w:name="_Toc13567410"/>
      <w:r>
        <w:t>2.2.1</w:t>
      </w:r>
      <w:r w:rsidR="0021572C">
        <w:t>5</w:t>
      </w:r>
      <w:r>
        <w:tab/>
      </w:r>
      <w:r w:rsidR="009B7E37">
        <w:t>Task</w:t>
      </w:r>
      <w:r w:rsidR="000E77A6">
        <w:t xml:space="preserve"> 1</w:t>
      </w:r>
      <w:r w:rsidR="00690889">
        <w:t>5</w:t>
      </w:r>
      <w:r w:rsidR="000E77A6">
        <w:t xml:space="preserve">: </w:t>
      </w:r>
      <w:r w:rsidR="00CC581A">
        <w:t>Additional Implementation Support</w:t>
      </w:r>
      <w:bookmarkEnd w:id="135"/>
    </w:p>
    <w:p w14:paraId="51174B22" w14:textId="77777777" w:rsidR="000E5A77" w:rsidRDefault="000E5A77" w:rsidP="000E5A77">
      <w:r w:rsidRPr="009C768C">
        <w:t xml:space="preserve">The Additional </w:t>
      </w:r>
      <w:r>
        <w:t xml:space="preserve">Implementation </w:t>
      </w:r>
      <w:r w:rsidRPr="009C768C">
        <w:t xml:space="preserve">Support </w:t>
      </w:r>
      <w:r>
        <w:t>delivera</w:t>
      </w:r>
      <w:r w:rsidRPr="009C768C">
        <w:t>ble provides discretionary funding for additional Project activities</w:t>
      </w:r>
      <w:r>
        <w:t xml:space="preserve"> </w:t>
      </w:r>
      <w:r w:rsidRPr="0054649A">
        <w:t>or revisions necess</w:t>
      </w:r>
      <w:r>
        <w:t>itated</w:t>
      </w:r>
      <w:r w:rsidRPr="0054649A">
        <w:t xml:space="preserve"> due to unanticipated mandates and/or other changes essential </w:t>
      </w:r>
      <w:r w:rsidRPr="008B18A9">
        <w:t xml:space="preserve">to solution delivery. </w:t>
      </w:r>
      <w:r>
        <w:t xml:space="preserve">These Implementation </w:t>
      </w:r>
      <w:r w:rsidRPr="009C768C">
        <w:t xml:space="preserve">Support hours </w:t>
      </w:r>
      <w:r>
        <w:t xml:space="preserve">will be available for </w:t>
      </w:r>
      <w:r w:rsidRPr="009C768C">
        <w:t>use at TWC’s discretion for additional work related to the contracted deliverables.</w:t>
      </w:r>
      <w:r>
        <w:t xml:space="preserve"> </w:t>
      </w:r>
      <w:r w:rsidRPr="009C768C">
        <w:t>The Additional</w:t>
      </w:r>
      <w:r w:rsidRPr="00824172">
        <w:t xml:space="preserve"> </w:t>
      </w:r>
      <w:r>
        <w:t>Implementation</w:t>
      </w:r>
      <w:r w:rsidRPr="009C768C">
        <w:t xml:space="preserve"> </w:t>
      </w:r>
      <w:r w:rsidRPr="008E42FB">
        <w:t xml:space="preserve">Support </w:t>
      </w:r>
      <w:r>
        <w:t>delivera</w:t>
      </w:r>
      <w:r w:rsidRPr="008E42FB">
        <w:t>ble price will be set for two thousand (2,000) hou</w:t>
      </w:r>
      <w:r w:rsidRPr="009C768C">
        <w:t>rs.</w:t>
      </w:r>
      <w:r>
        <w:t xml:space="preserve"> </w:t>
      </w:r>
    </w:p>
    <w:p w14:paraId="05AA31B8" w14:textId="11B6F3B8" w:rsidR="000E5A77" w:rsidRPr="00E62404" w:rsidRDefault="000E5A77" w:rsidP="000E5A77">
      <w:r w:rsidRPr="008B18A9">
        <w:t xml:space="preserve">Expenditure of these funds will be managed through the </w:t>
      </w:r>
      <w:r w:rsidRPr="00741202">
        <w:t xml:space="preserve">TWC IT </w:t>
      </w:r>
      <w:r>
        <w:t>Project Management Office (</w:t>
      </w:r>
      <w:r w:rsidRPr="00741202">
        <w:t>PMO</w:t>
      </w:r>
      <w:r>
        <w:t>)</w:t>
      </w:r>
      <w:r w:rsidRPr="00741202">
        <w:t xml:space="preserve"> Change Control process </w:t>
      </w:r>
      <w:r w:rsidRPr="008B18A9">
        <w:t>which requires Change Request(s) to be approved by the Project Steering Committee and Sponsors.</w:t>
      </w:r>
      <w:r>
        <w:t xml:space="preserve"> </w:t>
      </w:r>
    </w:p>
    <w:p w14:paraId="00E4C87C" w14:textId="34F834AB" w:rsidR="00286E88" w:rsidRDefault="00286E88" w:rsidP="00286E88">
      <w:pPr>
        <w:pStyle w:val="CommentText"/>
      </w:pPr>
      <w:r>
        <w:t>To support the Ch</w:t>
      </w:r>
      <w:r w:rsidR="00B32B64">
        <w:t>ange Management processes, the A</w:t>
      </w:r>
      <w:r>
        <w:t xml:space="preserve">warded </w:t>
      </w:r>
      <w:r w:rsidR="00B32B64">
        <w:t>V</w:t>
      </w:r>
      <w:r>
        <w:t xml:space="preserve">endor must: </w:t>
      </w:r>
    </w:p>
    <w:p w14:paraId="63EC0068" w14:textId="77777777" w:rsidR="00286E88" w:rsidRDefault="00286E88" w:rsidP="00A91053">
      <w:pPr>
        <w:pStyle w:val="LB1"/>
        <w:numPr>
          <w:ilvl w:val="0"/>
          <w:numId w:val="39"/>
        </w:numPr>
        <w:ind w:left="1080"/>
      </w:pPr>
      <w:r>
        <w:t xml:space="preserve">Participate on the Project Change Control Board; </w:t>
      </w:r>
    </w:p>
    <w:p w14:paraId="6FD87AEF" w14:textId="77777777" w:rsidR="00286E88" w:rsidRDefault="00286E88" w:rsidP="00A91053">
      <w:pPr>
        <w:pStyle w:val="LB1"/>
        <w:numPr>
          <w:ilvl w:val="0"/>
          <w:numId w:val="39"/>
        </w:numPr>
        <w:ind w:left="1080"/>
      </w:pPr>
      <w:r>
        <w:t xml:space="preserve">Establish processes to provide timely, accurate impact analysis and cost assessment of requested changes to support CCB evaluation and prioritization of requested changes; </w:t>
      </w:r>
    </w:p>
    <w:p w14:paraId="5EF1105E" w14:textId="77777777" w:rsidR="00286E88" w:rsidRDefault="00286E88" w:rsidP="00A91053">
      <w:pPr>
        <w:pStyle w:val="LB1"/>
        <w:numPr>
          <w:ilvl w:val="0"/>
          <w:numId w:val="39"/>
        </w:numPr>
        <w:ind w:left="1080"/>
      </w:pPr>
      <w:r>
        <w:t>Establishing a process for tying in the requirements elaboration process as appropriate to the change request process; and</w:t>
      </w:r>
    </w:p>
    <w:p w14:paraId="610DD591" w14:textId="77777777" w:rsidR="00286E88" w:rsidRDefault="00286E88" w:rsidP="00A91053">
      <w:pPr>
        <w:pStyle w:val="LB1"/>
        <w:numPr>
          <w:ilvl w:val="0"/>
          <w:numId w:val="39"/>
        </w:numPr>
        <w:ind w:left="1080"/>
      </w:pPr>
      <w:r>
        <w:t>Establish a process for implementation of approved changed in the delivery cycle.</w:t>
      </w:r>
    </w:p>
    <w:p w14:paraId="73A2EC2C" w14:textId="77777777" w:rsidR="00286E88" w:rsidRDefault="00286E88" w:rsidP="000E5A77"/>
    <w:p w14:paraId="331108E9" w14:textId="3636E95A" w:rsidR="00286E88" w:rsidRDefault="00286E88" w:rsidP="000E5A77">
      <w:r>
        <w:t>The Project Steering Committee will consist of top TWC management and executives, specific membership will be decided by TWC after contract award.</w:t>
      </w:r>
    </w:p>
    <w:p w14:paraId="50B1FFC4" w14:textId="17DA76EC" w:rsidR="000C3630" w:rsidRPr="00E21848" w:rsidRDefault="000C3630" w:rsidP="000E5A77">
      <w:r>
        <w:t>A</w:t>
      </w:r>
      <w:r w:rsidRPr="00E21848">
        <w:t>ctivities</w:t>
      </w:r>
      <w:r>
        <w:t xml:space="preserve"> </w:t>
      </w:r>
      <w:r w:rsidRPr="00E21848">
        <w:t>include:</w:t>
      </w:r>
    </w:p>
    <w:p w14:paraId="13246A4E" w14:textId="06B94762" w:rsidR="001F7C10" w:rsidRDefault="000E5A77" w:rsidP="00E16D2D">
      <w:pPr>
        <w:pStyle w:val="LB1"/>
      </w:pPr>
      <w:r w:rsidRPr="00B07932">
        <w:lastRenderedPageBreak/>
        <w:t>Additional work as defined by approved Change Requests</w:t>
      </w:r>
      <w:r>
        <w:t xml:space="preserve"> and</w:t>
      </w:r>
      <w:r w:rsidR="006264F3">
        <w:t xml:space="preserve"> their associated Change Orders; and</w:t>
      </w:r>
    </w:p>
    <w:p w14:paraId="57ADE03D" w14:textId="3D531849" w:rsidR="000C3630" w:rsidRDefault="001F7C10" w:rsidP="00F82166">
      <w:pPr>
        <w:pStyle w:val="LB1"/>
      </w:pPr>
      <w:r>
        <w:t>W</w:t>
      </w:r>
      <w:r w:rsidRPr="00D339E8">
        <w:t>ork products and tasks as assigned by the TWC IT Project Manager; and review and approval of the work products by the TWC IT Contract Manager</w:t>
      </w:r>
      <w:r>
        <w:t>.</w:t>
      </w:r>
    </w:p>
    <w:p w14:paraId="44805C6D" w14:textId="77777777" w:rsidR="000C3630" w:rsidRDefault="000C3630" w:rsidP="000C3630"/>
    <w:p w14:paraId="60A72B66" w14:textId="3368E134" w:rsidR="005D4831" w:rsidRDefault="00272A05" w:rsidP="000C3630">
      <w:r>
        <w:t xml:space="preserve">The Awarded Vendor will complete the following </w:t>
      </w:r>
      <w:r w:rsidR="00B81B78">
        <w:t>deliverable during this Task</w:t>
      </w:r>
      <w:r w:rsidR="005D4831">
        <w:t>:</w:t>
      </w:r>
    </w:p>
    <w:tbl>
      <w:tblPr>
        <w:tblStyle w:val="TableGrid"/>
        <w:tblW w:w="10674" w:type="dxa"/>
        <w:tblInd w:w="175" w:type="dxa"/>
        <w:tblLayout w:type="fixed"/>
        <w:tblLook w:val="04A0" w:firstRow="1" w:lastRow="0" w:firstColumn="1" w:lastColumn="0" w:noHBand="0" w:noVBand="1"/>
        <w:tblDescription w:val="Additional implmentation support deliverable schedule table"/>
      </w:tblPr>
      <w:tblGrid>
        <w:gridCol w:w="936"/>
        <w:gridCol w:w="2214"/>
        <w:gridCol w:w="5580"/>
        <w:gridCol w:w="1944"/>
      </w:tblGrid>
      <w:tr w:rsidR="00690889" w:rsidRPr="00873442" w14:paraId="5F93FEEE" w14:textId="77777777" w:rsidTr="001F7C10">
        <w:trPr>
          <w:tblHeader/>
        </w:trPr>
        <w:tc>
          <w:tcPr>
            <w:tcW w:w="936" w:type="dxa"/>
            <w:shd w:val="clear" w:color="auto" w:fill="DEEAF6" w:themeFill="accent1" w:themeFillTint="33"/>
            <w:vAlign w:val="bottom"/>
          </w:tcPr>
          <w:p w14:paraId="2376F4A4" w14:textId="77777777" w:rsidR="00690889" w:rsidRPr="004F202B" w:rsidRDefault="00690889" w:rsidP="00BA44A8">
            <w:pPr>
              <w:keepNext/>
              <w:spacing w:after="0"/>
              <w:ind w:left="0"/>
              <w:jc w:val="center"/>
              <w:rPr>
                <w:rFonts w:cs="Arial"/>
                <w:b/>
                <w:color w:val="1F3864" w:themeColor="accent5" w:themeShade="80"/>
              </w:rPr>
            </w:pPr>
            <w:r w:rsidRPr="004F202B">
              <w:rPr>
                <w:rFonts w:cs="Arial"/>
                <w:b/>
                <w:color w:val="1F3864" w:themeColor="accent5" w:themeShade="80"/>
              </w:rPr>
              <w:t>No.</w:t>
            </w:r>
          </w:p>
        </w:tc>
        <w:tc>
          <w:tcPr>
            <w:tcW w:w="2214" w:type="dxa"/>
            <w:shd w:val="clear" w:color="auto" w:fill="DEEAF6" w:themeFill="accent1" w:themeFillTint="33"/>
          </w:tcPr>
          <w:p w14:paraId="25940D13" w14:textId="77777777" w:rsidR="00690889" w:rsidRPr="001B5E0B" w:rsidRDefault="00690889" w:rsidP="00BA44A8">
            <w:pPr>
              <w:keepNext/>
              <w:spacing w:after="0"/>
              <w:ind w:left="0"/>
              <w:rPr>
                <w:rFonts w:cs="Arial"/>
                <w:b/>
                <w:color w:val="1F3864" w:themeColor="accent5" w:themeShade="80"/>
              </w:rPr>
            </w:pPr>
            <w:r>
              <w:rPr>
                <w:rFonts w:cs="Arial"/>
                <w:b/>
                <w:color w:val="1F3864" w:themeColor="accent5" w:themeShade="80"/>
              </w:rPr>
              <w:t>Deliverable</w:t>
            </w:r>
          </w:p>
        </w:tc>
        <w:tc>
          <w:tcPr>
            <w:tcW w:w="5580" w:type="dxa"/>
            <w:shd w:val="clear" w:color="auto" w:fill="DEEAF6" w:themeFill="accent1" w:themeFillTint="33"/>
          </w:tcPr>
          <w:p w14:paraId="3BC64F0B" w14:textId="77777777" w:rsidR="00690889" w:rsidRPr="001B5E0B" w:rsidRDefault="00690889" w:rsidP="00BA44A8">
            <w:pPr>
              <w:keepNext/>
              <w:spacing w:after="0"/>
              <w:ind w:left="0"/>
              <w:rPr>
                <w:rFonts w:cs="Arial"/>
                <w:b/>
                <w:color w:val="1F3864" w:themeColor="accent5" w:themeShade="80"/>
              </w:rPr>
            </w:pPr>
            <w:r>
              <w:rPr>
                <w:rFonts w:cs="Arial"/>
                <w:b/>
                <w:color w:val="1F3864" w:themeColor="accent5" w:themeShade="80"/>
              </w:rPr>
              <w:t>Acceptance Criteria</w:t>
            </w:r>
          </w:p>
        </w:tc>
        <w:tc>
          <w:tcPr>
            <w:tcW w:w="1944" w:type="dxa"/>
            <w:shd w:val="clear" w:color="auto" w:fill="DEEAF6" w:themeFill="accent1" w:themeFillTint="33"/>
            <w:vAlign w:val="bottom"/>
          </w:tcPr>
          <w:p w14:paraId="41D33B3A" w14:textId="77777777" w:rsidR="00690889" w:rsidRPr="004F202B" w:rsidRDefault="00690889" w:rsidP="00BA44A8">
            <w:pPr>
              <w:keepNext/>
              <w:spacing w:after="0"/>
              <w:ind w:left="0"/>
              <w:rPr>
                <w:rFonts w:cs="Arial"/>
                <w:b/>
                <w:color w:val="1F3864" w:themeColor="accent5" w:themeShade="80"/>
              </w:rPr>
            </w:pPr>
            <w:r>
              <w:rPr>
                <w:rFonts w:cs="Arial"/>
                <w:b/>
                <w:color w:val="1F3864" w:themeColor="accent5" w:themeShade="80"/>
              </w:rPr>
              <w:t>Due Date</w:t>
            </w:r>
          </w:p>
        </w:tc>
      </w:tr>
      <w:tr w:rsidR="00690889" w:rsidRPr="00873442" w14:paraId="4A0D3DAB" w14:textId="77777777" w:rsidTr="001F7C10">
        <w:tc>
          <w:tcPr>
            <w:tcW w:w="936" w:type="dxa"/>
          </w:tcPr>
          <w:p w14:paraId="4BA7C8A7" w14:textId="2F06F459" w:rsidR="00690889" w:rsidRDefault="00690889" w:rsidP="00BA44A8">
            <w:pPr>
              <w:ind w:left="0"/>
              <w:jc w:val="center"/>
            </w:pPr>
            <w:r>
              <w:t>15A</w:t>
            </w:r>
          </w:p>
        </w:tc>
        <w:tc>
          <w:tcPr>
            <w:tcW w:w="2214" w:type="dxa"/>
          </w:tcPr>
          <w:p w14:paraId="7EC9807C" w14:textId="126FE370" w:rsidR="00690889" w:rsidRDefault="00885C92" w:rsidP="00BA44A8">
            <w:pPr>
              <w:ind w:left="0"/>
            </w:pPr>
            <w:r w:rsidRPr="009C768C">
              <w:t xml:space="preserve">Additional </w:t>
            </w:r>
            <w:r>
              <w:t xml:space="preserve">Implementation </w:t>
            </w:r>
            <w:r w:rsidRPr="009C768C">
              <w:t>Support</w:t>
            </w:r>
          </w:p>
        </w:tc>
        <w:tc>
          <w:tcPr>
            <w:tcW w:w="5580" w:type="dxa"/>
          </w:tcPr>
          <w:p w14:paraId="5647BF63" w14:textId="7A90C886" w:rsidR="00690889" w:rsidRDefault="001F7C10" w:rsidP="001F7C10">
            <w:pPr>
              <w:ind w:left="0"/>
            </w:pPr>
            <w:r>
              <w:t>Acceptance Criteria will be</w:t>
            </w:r>
            <w:r w:rsidRPr="00B07932">
              <w:t xml:space="preserve"> defined </w:t>
            </w:r>
            <w:r>
              <w:t>in</w:t>
            </w:r>
            <w:r w:rsidRPr="00B07932">
              <w:t xml:space="preserve"> approved Change Requests</w:t>
            </w:r>
            <w:r>
              <w:t xml:space="preserve"> and their associated Change Orders.</w:t>
            </w:r>
          </w:p>
        </w:tc>
        <w:tc>
          <w:tcPr>
            <w:tcW w:w="1944" w:type="dxa"/>
          </w:tcPr>
          <w:p w14:paraId="19862384" w14:textId="2FE36BEC" w:rsidR="00690889" w:rsidRDefault="001F7C10" w:rsidP="00BA44A8">
            <w:pPr>
              <w:ind w:left="0"/>
            </w:pPr>
            <w:r w:rsidRPr="00F57DB3">
              <w:t>TBD in accordance with the IMS</w:t>
            </w:r>
          </w:p>
        </w:tc>
      </w:tr>
    </w:tbl>
    <w:p w14:paraId="084171E7" w14:textId="77777777" w:rsidR="00690889" w:rsidRDefault="00690889" w:rsidP="000C3630"/>
    <w:p w14:paraId="26FC1CE6" w14:textId="04813D96" w:rsidR="00CC581A" w:rsidRDefault="00F05A0C" w:rsidP="00F05A0C">
      <w:pPr>
        <w:pStyle w:val="Heading3"/>
      </w:pPr>
      <w:bookmarkStart w:id="136" w:name="_Toc13567411"/>
      <w:r>
        <w:t>2.2.1</w:t>
      </w:r>
      <w:r w:rsidR="0021572C">
        <w:t>6</w:t>
      </w:r>
      <w:r>
        <w:tab/>
      </w:r>
      <w:r w:rsidR="009B7E37">
        <w:t>Task</w:t>
      </w:r>
      <w:r w:rsidR="00CC581A">
        <w:t xml:space="preserve"> 1</w:t>
      </w:r>
      <w:r w:rsidR="009F64FB">
        <w:t>6</w:t>
      </w:r>
      <w:r w:rsidR="00CC581A">
        <w:t>: Annual Software Maintenance and Support Subscription</w:t>
      </w:r>
      <w:bookmarkEnd w:id="136"/>
    </w:p>
    <w:p w14:paraId="6B9907E5" w14:textId="7BC79726" w:rsidR="00554626" w:rsidRDefault="00554626" w:rsidP="00554626">
      <w:r w:rsidRPr="00BE594A">
        <w:t xml:space="preserve">The Offeror will define the services included in annual software licensing and support and any additional annual cost outside the initial purchase or subscription model defined in </w:t>
      </w:r>
      <w:hyperlink w:anchor="_2.2.3_Required_DeliverableTask" w:history="1">
        <w:r w:rsidR="009B7E37">
          <w:rPr>
            <w:rStyle w:val="Hyperlink"/>
          </w:rPr>
          <w:t>Task 3</w:t>
        </w:r>
      </w:hyperlink>
      <w:r w:rsidRPr="00382ECC">
        <w:t xml:space="preserve">: </w:t>
      </w:r>
      <w:r w:rsidR="009F64FB">
        <w:t>Design Holistic UI Replacement System</w:t>
      </w:r>
      <w:r w:rsidRPr="00382ECC">
        <w:t>. Any costs</w:t>
      </w:r>
      <w:r w:rsidRPr="00BE594A">
        <w:t xml:space="preserve"> for recurring annual support and/or software licensing must be </w:t>
      </w:r>
      <w:r w:rsidR="00454C77">
        <w:t>fixed from the date of Go-</w:t>
      </w:r>
      <w:r>
        <w:t xml:space="preserve">Live and </w:t>
      </w:r>
      <w:r w:rsidRPr="00BE594A">
        <w:t xml:space="preserve">guaranteed not to increase </w:t>
      </w:r>
      <w:r w:rsidR="005D3671" w:rsidRPr="00BE594A">
        <w:t xml:space="preserve">for the first </w:t>
      </w:r>
      <w:r w:rsidR="005D3671">
        <w:t xml:space="preserve">four </w:t>
      </w:r>
      <w:r w:rsidR="005D3671" w:rsidRPr="00BE594A">
        <w:t>(</w:t>
      </w:r>
      <w:r w:rsidR="005D3671">
        <w:t>4</w:t>
      </w:r>
      <w:r w:rsidR="005D3671" w:rsidRPr="00BE594A">
        <w:t xml:space="preserve">) years </w:t>
      </w:r>
      <w:r w:rsidR="001A0DB2">
        <w:t>after go-live</w:t>
      </w:r>
      <w:r w:rsidR="005D3671" w:rsidRPr="00BE594A">
        <w:t xml:space="preserve">, and the annual price will be listed in </w:t>
      </w:r>
      <w:hyperlink w:anchor="_Attachment_12_–" w:history="1">
        <w:r w:rsidR="00965F21">
          <w:rPr>
            <w:rStyle w:val="Hyperlink"/>
          </w:rPr>
          <w:t>Attachment 12</w:t>
        </w:r>
      </w:hyperlink>
      <w:r>
        <w:t xml:space="preserve">, </w:t>
      </w:r>
      <w:r w:rsidRPr="00BE594A">
        <w:t>Pricing.</w:t>
      </w:r>
      <w:r>
        <w:t xml:space="preserve"> </w:t>
      </w:r>
    </w:p>
    <w:p w14:paraId="68D0BBCC" w14:textId="77777777" w:rsidR="00554626" w:rsidRDefault="00554626" w:rsidP="00554626">
      <w:r>
        <w:t xml:space="preserve">Post-Project support and services will include: </w:t>
      </w:r>
    </w:p>
    <w:p w14:paraId="4F32DE30" w14:textId="1B72D798" w:rsidR="00554626" w:rsidRDefault="00554626" w:rsidP="00E16D2D">
      <w:pPr>
        <w:pStyle w:val="LB1"/>
      </w:pPr>
      <w:r w:rsidRPr="00E446A9">
        <w:t>The Awarded Vendor’s hosting</w:t>
      </w:r>
      <w:r w:rsidR="00F8078A">
        <w:t>,</w:t>
      </w:r>
      <w:r w:rsidRPr="00E446A9">
        <w:t xml:space="preserve"> </w:t>
      </w:r>
      <w:r>
        <w:t>DR</w:t>
      </w:r>
      <w:r w:rsidRPr="00E446A9">
        <w:t xml:space="preserve"> facilities</w:t>
      </w:r>
      <w:r w:rsidR="00F8078A">
        <w:t>, and all Texas data</w:t>
      </w:r>
      <w:r w:rsidRPr="00E446A9">
        <w:t xml:space="preserve"> must remain located in the United States</w:t>
      </w:r>
      <w:r w:rsidRPr="007553AC">
        <w:t xml:space="preserve"> </w:t>
      </w:r>
      <w:r>
        <w:t>thro</w:t>
      </w:r>
      <w:r w:rsidR="006264F3">
        <w:t>ughout the term of the Contract;</w:t>
      </w:r>
    </w:p>
    <w:p w14:paraId="69CD0001" w14:textId="0CC7BA3B" w:rsidR="00554626" w:rsidRDefault="00554626" w:rsidP="00E16D2D">
      <w:pPr>
        <w:pStyle w:val="LB1"/>
      </w:pPr>
      <w:r>
        <w:t>Annual subscription, maintenance and support for all environments (</w:t>
      </w:r>
      <w:r w:rsidR="00557863">
        <w:t xml:space="preserve">Development; </w:t>
      </w:r>
      <w:r>
        <w:t>Test; Training; and Production) including discount for payin</w:t>
      </w:r>
      <w:r w:rsidR="006264F3">
        <w:t>g annual maintenance in advance;</w:t>
      </w:r>
    </w:p>
    <w:p w14:paraId="23F3FE2D" w14:textId="44895D04" w:rsidR="00554626" w:rsidRDefault="006264F3" w:rsidP="00F82166">
      <w:pPr>
        <w:pStyle w:val="LB1"/>
      </w:pPr>
      <w:r>
        <w:t>Upgrades, releases and patches</w:t>
      </w:r>
      <w:r w:rsidR="00D508D5">
        <w:t xml:space="preserve"> </w:t>
      </w:r>
      <w:r w:rsidR="0096512D">
        <w:t>if applicable</w:t>
      </w:r>
      <w:r>
        <w:t>;</w:t>
      </w:r>
    </w:p>
    <w:p w14:paraId="191476B2" w14:textId="6B418610" w:rsidR="00554626" w:rsidRDefault="00554626" w:rsidP="00F82166">
      <w:pPr>
        <w:pStyle w:val="LB1"/>
      </w:pPr>
      <w:r>
        <w:t>Change Management activities:</w:t>
      </w:r>
    </w:p>
    <w:p w14:paraId="2755493A" w14:textId="4C9100EB" w:rsidR="00554626" w:rsidRDefault="00554626">
      <w:pPr>
        <w:pStyle w:val="OB1"/>
      </w:pPr>
      <w:r>
        <w:t xml:space="preserve">Release packaging and coordination (calendar; frequency; content prioritization; functional, regression, performance and release testing; </w:t>
      </w:r>
      <w:r w:rsidR="00F8078A">
        <w:t xml:space="preserve">and </w:t>
      </w:r>
      <w:r>
        <w:t>communications);</w:t>
      </w:r>
    </w:p>
    <w:p w14:paraId="51082B2F" w14:textId="78309058" w:rsidR="00554626" w:rsidRDefault="00554626">
      <w:pPr>
        <w:pStyle w:val="OB1"/>
      </w:pPr>
      <w:r>
        <w:t>Release Process and Procedures;</w:t>
      </w:r>
    </w:p>
    <w:p w14:paraId="7A1E6C16" w14:textId="287149D3" w:rsidR="00554626" w:rsidRDefault="00554626">
      <w:pPr>
        <w:pStyle w:val="OB1"/>
      </w:pPr>
      <w:r>
        <w:t>Minimum / Maximum number and types of releases; and</w:t>
      </w:r>
    </w:p>
    <w:p w14:paraId="0A52D55C" w14:textId="44ED382A" w:rsidR="00554626" w:rsidRDefault="00554626">
      <w:pPr>
        <w:pStyle w:val="OB1"/>
      </w:pPr>
      <w:r>
        <w:t>Release coordination, communications and Release Notes.</w:t>
      </w:r>
    </w:p>
    <w:p w14:paraId="5B906BA3" w14:textId="4EEDC948" w:rsidR="00554626" w:rsidRDefault="00554626">
      <w:pPr>
        <w:pStyle w:val="LB1"/>
      </w:pPr>
      <w:r w:rsidRPr="00625834">
        <w:t>Updates to all System (requirements, detailed design, security, operations, etc.) documentation to reflect any changes that have occurred during the Warranty and/or Annual Software Maintenance and Support period(s)</w:t>
      </w:r>
      <w:r w:rsidR="006264F3">
        <w:t>;</w:t>
      </w:r>
    </w:p>
    <w:p w14:paraId="08475092" w14:textId="4C62FCD5" w:rsidR="00554626" w:rsidRDefault="00554626">
      <w:pPr>
        <w:pStyle w:val="LB1"/>
      </w:pPr>
      <w:r>
        <w:t xml:space="preserve">Updates to </w:t>
      </w:r>
      <w:r w:rsidR="002E5FD9">
        <w:t>Training Materials</w:t>
      </w:r>
      <w:r w:rsidR="006264F3">
        <w:t xml:space="preserve"> prior to each major release;</w:t>
      </w:r>
    </w:p>
    <w:p w14:paraId="65E029EE" w14:textId="56A7104F" w:rsidR="00BA403A" w:rsidRDefault="00BA403A">
      <w:pPr>
        <w:pStyle w:val="LB1"/>
      </w:pPr>
      <w:r>
        <w:t xml:space="preserve">Training environment capabilities required for post-Project remain the same as specified above </w:t>
      </w:r>
      <w:r w:rsidRPr="00557863">
        <w:t xml:space="preserve">for </w:t>
      </w:r>
      <w:hyperlink w:anchor="_2.2.12_Required_Deliverable" w:history="1">
        <w:r w:rsidR="009B7E37">
          <w:rPr>
            <w:rStyle w:val="Hyperlink"/>
          </w:rPr>
          <w:t>Task 12:</w:t>
        </w:r>
      </w:hyperlink>
      <w:r w:rsidRPr="00557863">
        <w:t xml:space="preserve"> </w:t>
      </w:r>
      <w:r w:rsidR="009F64FB">
        <w:t xml:space="preserve">Create and Conduct </w:t>
      </w:r>
      <w:r w:rsidRPr="00557863">
        <w:t>Training with</w:t>
      </w:r>
      <w:r>
        <w:t xml:space="preserve"> the exception that the maximum number of concurrent users </w:t>
      </w:r>
      <w:r w:rsidRPr="00557863">
        <w:t xml:space="preserve">will be </w:t>
      </w:r>
      <w:r w:rsidR="00557863">
        <w:t>three</w:t>
      </w:r>
      <w:r w:rsidRPr="00557863">
        <w:t xml:space="preserve"> hundred </w:t>
      </w:r>
      <w:r w:rsidR="00557863">
        <w:t xml:space="preserve">fifty </w:t>
      </w:r>
      <w:r w:rsidRPr="00557863">
        <w:t>(</w:t>
      </w:r>
      <w:r w:rsidR="00557863">
        <w:t>35</w:t>
      </w:r>
      <w:r w:rsidR="006264F3">
        <w:t>0);</w:t>
      </w:r>
    </w:p>
    <w:p w14:paraId="33148C6B" w14:textId="7C4DD11D" w:rsidR="00BA403A" w:rsidRDefault="00BA403A">
      <w:pPr>
        <w:pStyle w:val="LB1"/>
      </w:pPr>
      <w:r w:rsidRPr="00741202">
        <w:lastRenderedPageBreak/>
        <w:t xml:space="preserve">The </w:t>
      </w:r>
      <w:r>
        <w:t xml:space="preserve">Awarded Vendor </w:t>
      </w:r>
      <w:r w:rsidRPr="00741202">
        <w:t>will provide at least one</w:t>
      </w:r>
      <w:r>
        <w:t xml:space="preserve"> (1)</w:t>
      </w:r>
      <w:r w:rsidRPr="00741202">
        <w:t xml:space="preserve"> </w:t>
      </w:r>
      <w:r w:rsidR="006E72DA">
        <w:t>FTE</w:t>
      </w:r>
      <w:r w:rsidRPr="00741202">
        <w:t xml:space="preserve"> </w:t>
      </w:r>
      <w:r w:rsidR="009521D7">
        <w:t xml:space="preserve">Staff </w:t>
      </w:r>
      <w:r w:rsidRPr="00741202">
        <w:t>member</w:t>
      </w:r>
      <w:r>
        <w:t>,</w:t>
      </w:r>
      <w:r w:rsidRPr="00741202">
        <w:t xml:space="preserve"> onsite </w:t>
      </w:r>
      <w:r>
        <w:t xml:space="preserve">required, </w:t>
      </w:r>
      <w:r w:rsidRPr="00741202">
        <w:t>to function as a Product Analyst</w:t>
      </w:r>
      <w:r w:rsidR="00F8078A">
        <w:t xml:space="preserve"> for the duration of this </w:t>
      </w:r>
      <w:r w:rsidR="00B3119B">
        <w:t>Task</w:t>
      </w:r>
      <w:r>
        <w:t xml:space="preserve">. </w:t>
      </w:r>
      <w:r w:rsidRPr="00741202">
        <w:t xml:space="preserve">Responsibilities will </w:t>
      </w:r>
      <w:r w:rsidRPr="00032412">
        <w:t>include</w:t>
      </w:r>
      <w:r w:rsidRPr="00741202">
        <w:t xml:space="preserve"> functioning as a </w:t>
      </w:r>
      <w:r>
        <w:t xml:space="preserve">SME </w:t>
      </w:r>
      <w:r w:rsidRPr="00032412">
        <w:t xml:space="preserve">for TWC </w:t>
      </w:r>
      <w:r w:rsidR="009521D7">
        <w:t xml:space="preserve">Staff </w:t>
      </w:r>
      <w:r w:rsidRPr="00032412">
        <w:t>and serving as a Liaison between the</w:t>
      </w:r>
      <w:r>
        <w:t xml:space="preserve"> Awarded Vendor </w:t>
      </w:r>
      <w:r w:rsidRPr="00032412">
        <w:t>and TWC.</w:t>
      </w:r>
      <w:r>
        <w:t xml:space="preserve"> Activities include:</w:t>
      </w:r>
    </w:p>
    <w:p w14:paraId="0E79142C" w14:textId="7330C7A1" w:rsidR="00BA403A" w:rsidRDefault="00BA403A">
      <w:pPr>
        <w:pStyle w:val="OB1"/>
      </w:pPr>
      <w:r>
        <w:t>Facilitate requirements documentation for future solution enhancements;</w:t>
      </w:r>
    </w:p>
    <w:p w14:paraId="31676972" w14:textId="6F0DB918" w:rsidR="00BA403A" w:rsidRDefault="00BA403A">
      <w:pPr>
        <w:pStyle w:val="OB1"/>
      </w:pPr>
      <w:r>
        <w:t xml:space="preserve">Explain and clarify future </w:t>
      </w:r>
      <w:r w:rsidRPr="007512FA">
        <w:t xml:space="preserve">Awarded Vendor </w:t>
      </w:r>
      <w:r>
        <w:t>releases;</w:t>
      </w:r>
    </w:p>
    <w:p w14:paraId="7C82CF0B" w14:textId="1B1A743C" w:rsidR="00BA403A" w:rsidRDefault="00BA403A">
      <w:pPr>
        <w:pStyle w:val="OB1"/>
      </w:pPr>
      <w:r>
        <w:t>Assist with issue and/or defect reporting and resolution as appropriate; and</w:t>
      </w:r>
    </w:p>
    <w:p w14:paraId="20B0605B" w14:textId="254EB4C3" w:rsidR="00BA403A" w:rsidRDefault="00BA403A">
      <w:pPr>
        <w:pStyle w:val="OB1"/>
      </w:pPr>
      <w:r>
        <w:t>Other solution related activities as directed by the TWC IT Project Manager.</w:t>
      </w:r>
    </w:p>
    <w:p w14:paraId="57797554" w14:textId="2CF28C1C" w:rsidR="00BA403A" w:rsidRDefault="00BA403A">
      <w:pPr>
        <w:pStyle w:val="LB1"/>
      </w:pPr>
      <w:r w:rsidRPr="007512FA">
        <w:t xml:space="preserve">The Awarded Vendor will submit a </w:t>
      </w:r>
      <w:r>
        <w:t xml:space="preserve">Monthly </w:t>
      </w:r>
      <w:r w:rsidRPr="007512FA">
        <w:t>Operations</w:t>
      </w:r>
      <w:r>
        <w:t xml:space="preserve"> </w:t>
      </w:r>
      <w:r w:rsidRPr="007512FA">
        <w:t>S</w:t>
      </w:r>
      <w:r>
        <w:t xml:space="preserve">tatus </w:t>
      </w:r>
      <w:r w:rsidRPr="007512FA">
        <w:t>R</w:t>
      </w:r>
      <w:r>
        <w:t>eport due no later than the fifth (5</w:t>
      </w:r>
      <w:r w:rsidRPr="007512FA">
        <w:t>th</w:t>
      </w:r>
      <w:r>
        <w:t xml:space="preserve">) calendar day after the end of the month to include a summary of </w:t>
      </w:r>
      <w:r w:rsidRPr="007512FA">
        <w:t xml:space="preserve">uptime and unplanned outage </w:t>
      </w:r>
      <w:r>
        <w:t>activities, accomplishments, planned d</w:t>
      </w:r>
      <w:r w:rsidRPr="007512FA">
        <w:t xml:space="preserve">owntime and </w:t>
      </w:r>
      <w:r>
        <w:t>future activities, and issues</w:t>
      </w:r>
      <w:r w:rsidRPr="00E21848">
        <w:t>.</w:t>
      </w:r>
    </w:p>
    <w:p w14:paraId="55769B8B" w14:textId="367D89DE" w:rsidR="000C3630" w:rsidRDefault="000C3630" w:rsidP="00BA403A">
      <w:pPr>
        <w:ind w:left="0"/>
      </w:pPr>
    </w:p>
    <w:p w14:paraId="66068249" w14:textId="77777777" w:rsidR="00C168BD" w:rsidRPr="00C168BD" w:rsidRDefault="00C168BD" w:rsidP="00C168BD">
      <w:pPr>
        <w:rPr>
          <w:b/>
        </w:rPr>
      </w:pPr>
      <w:r w:rsidRPr="00C168BD">
        <w:rPr>
          <w:b/>
        </w:rPr>
        <w:t>Service Delivery Solutions (SaaS, IaaS, PaaS, non-SaaS Vendor-Hosted)</w:t>
      </w:r>
    </w:p>
    <w:p w14:paraId="22C12075" w14:textId="3B43304F" w:rsidR="00C168BD" w:rsidRPr="00C168BD" w:rsidRDefault="00C168BD" w:rsidP="00C168BD">
      <w:r>
        <w:t>Offeror</w:t>
      </w:r>
      <w:r w:rsidRPr="00C168BD">
        <w:t xml:space="preserve"> must comprehensively list the server management functions they will provide in their offering and </w:t>
      </w:r>
      <w:r>
        <w:t xml:space="preserve">include </w:t>
      </w:r>
      <w:r w:rsidRPr="00C168BD">
        <w:t>the costs</w:t>
      </w:r>
      <w:r>
        <w:t xml:space="preserve"> in Attachment 12 - Pricing</w:t>
      </w:r>
      <w:r w:rsidRPr="00C168BD">
        <w:t>.</w:t>
      </w:r>
    </w:p>
    <w:p w14:paraId="6606FE98" w14:textId="77777777" w:rsidR="00C168BD" w:rsidRPr="00C168BD" w:rsidRDefault="00C168BD" w:rsidP="00C168BD">
      <w:pPr>
        <w:rPr>
          <w:b/>
        </w:rPr>
      </w:pPr>
      <w:r w:rsidRPr="00C168BD">
        <w:rPr>
          <w:b/>
        </w:rPr>
        <w:t>DCS Related Expenses (DCS or DCS-Leveraged non-SaaS Vendor-Hosted)</w:t>
      </w:r>
    </w:p>
    <w:p w14:paraId="3562021C" w14:textId="77777777" w:rsidR="00C168BD" w:rsidRPr="00C168BD" w:rsidRDefault="00C168BD" w:rsidP="00C168BD">
      <w:r w:rsidRPr="00C168BD">
        <w:t xml:space="preserve">Programs that receive services through the DCS program are billed according to resources consumed. The DCS Resource Units are measured and billed on a monthly basis. Hardware Services Charges (HSC) and Software Services Charges (SSC) are charged based on hardware and software acquired to support application servers. Application servers are classified as Platinum, Gold, Silver, and Bronze, depending on the architecture and support requirements. The DCS Agreement, Exhibit 4 describes the pricing structure. </w:t>
      </w:r>
    </w:p>
    <w:p w14:paraId="0BF7AD70" w14:textId="44E042D0" w:rsidR="00C168BD" w:rsidRPr="00C168BD" w:rsidRDefault="00C168BD" w:rsidP="00C168BD">
      <w:r w:rsidRPr="00C168BD">
        <w:t xml:space="preserve">If proposing a DCS solution, </w:t>
      </w:r>
      <w:r>
        <w:t>Offeror</w:t>
      </w:r>
      <w:r w:rsidRPr="00C168BD">
        <w:t xml:space="preserve"> should comprehensively list their infrastructure requirements for DCS infrastructure within a State Data Center for financial review by TWC and DIR. </w:t>
      </w:r>
      <w:r>
        <w:t>Offeror</w:t>
      </w:r>
      <w:r w:rsidRPr="00C168BD">
        <w:t xml:space="preserve"> </w:t>
      </w:r>
      <w:r>
        <w:t>should leave DCS costs blank.</w:t>
      </w:r>
      <w:r w:rsidRPr="00C168BD">
        <w:t xml:space="preserve"> TWC Purchasing Division will coordinate with DIR to ascertain DCS costs.</w:t>
      </w:r>
    </w:p>
    <w:p w14:paraId="6A360C2A" w14:textId="77777777" w:rsidR="000260B6" w:rsidRDefault="000260B6" w:rsidP="00BA403A">
      <w:pPr>
        <w:ind w:left="0"/>
      </w:pPr>
    </w:p>
    <w:p w14:paraId="7480BF3E" w14:textId="400F6E21" w:rsidR="005D4831" w:rsidRDefault="00272A05" w:rsidP="005D4831">
      <w:r>
        <w:t xml:space="preserve">The Awarded Vendor will complete the following </w:t>
      </w:r>
      <w:r w:rsidR="00B81B78">
        <w:t>deliverable during this Task</w:t>
      </w:r>
      <w:r w:rsidR="005D4831">
        <w:t>:</w:t>
      </w:r>
    </w:p>
    <w:tbl>
      <w:tblPr>
        <w:tblStyle w:val="TableGrid"/>
        <w:tblW w:w="10674" w:type="dxa"/>
        <w:tblInd w:w="175" w:type="dxa"/>
        <w:tblLayout w:type="fixed"/>
        <w:tblLook w:val="04A0" w:firstRow="1" w:lastRow="0" w:firstColumn="1" w:lastColumn="0" w:noHBand="0" w:noVBand="1"/>
        <w:tblDescription w:val="Annual software Maintenance support and subscription deliverable schedule table"/>
      </w:tblPr>
      <w:tblGrid>
        <w:gridCol w:w="936"/>
        <w:gridCol w:w="2034"/>
        <w:gridCol w:w="5760"/>
        <w:gridCol w:w="1944"/>
      </w:tblGrid>
      <w:tr w:rsidR="001F7C10" w:rsidRPr="00873442" w14:paraId="6C1CC690" w14:textId="77777777" w:rsidTr="00E801A9">
        <w:trPr>
          <w:tblHeader/>
        </w:trPr>
        <w:tc>
          <w:tcPr>
            <w:tcW w:w="936" w:type="dxa"/>
            <w:shd w:val="clear" w:color="auto" w:fill="DEEAF6" w:themeFill="accent1" w:themeFillTint="33"/>
            <w:vAlign w:val="bottom"/>
          </w:tcPr>
          <w:p w14:paraId="76105902" w14:textId="77777777" w:rsidR="001F7C10" w:rsidRPr="004F202B" w:rsidRDefault="001F7C10" w:rsidP="00BA44A8">
            <w:pPr>
              <w:keepNext/>
              <w:spacing w:after="0"/>
              <w:ind w:left="0"/>
              <w:jc w:val="center"/>
              <w:rPr>
                <w:rFonts w:cs="Arial"/>
                <w:b/>
                <w:color w:val="1F3864" w:themeColor="accent5" w:themeShade="80"/>
              </w:rPr>
            </w:pPr>
            <w:r w:rsidRPr="004F202B">
              <w:rPr>
                <w:rFonts w:cs="Arial"/>
                <w:b/>
                <w:color w:val="1F3864" w:themeColor="accent5" w:themeShade="80"/>
              </w:rPr>
              <w:t>No.</w:t>
            </w:r>
          </w:p>
        </w:tc>
        <w:tc>
          <w:tcPr>
            <w:tcW w:w="2034" w:type="dxa"/>
            <w:shd w:val="clear" w:color="auto" w:fill="DEEAF6" w:themeFill="accent1" w:themeFillTint="33"/>
          </w:tcPr>
          <w:p w14:paraId="6C33920B" w14:textId="77777777" w:rsidR="001F7C10" w:rsidRPr="001B5E0B" w:rsidRDefault="001F7C10" w:rsidP="00BA44A8">
            <w:pPr>
              <w:keepNext/>
              <w:spacing w:after="0"/>
              <w:ind w:left="0"/>
              <w:rPr>
                <w:rFonts w:cs="Arial"/>
                <w:b/>
                <w:color w:val="1F3864" w:themeColor="accent5" w:themeShade="80"/>
              </w:rPr>
            </w:pPr>
            <w:r>
              <w:rPr>
                <w:rFonts w:cs="Arial"/>
                <w:b/>
                <w:color w:val="1F3864" w:themeColor="accent5" w:themeShade="80"/>
              </w:rPr>
              <w:t>Deliverable</w:t>
            </w:r>
          </w:p>
        </w:tc>
        <w:tc>
          <w:tcPr>
            <w:tcW w:w="5760" w:type="dxa"/>
            <w:shd w:val="clear" w:color="auto" w:fill="DEEAF6" w:themeFill="accent1" w:themeFillTint="33"/>
          </w:tcPr>
          <w:p w14:paraId="1176AB8E" w14:textId="77777777" w:rsidR="001F7C10" w:rsidRPr="001B5E0B" w:rsidRDefault="001F7C10" w:rsidP="00BA44A8">
            <w:pPr>
              <w:keepNext/>
              <w:spacing w:after="0"/>
              <w:ind w:left="0"/>
              <w:rPr>
                <w:rFonts w:cs="Arial"/>
                <w:b/>
                <w:color w:val="1F3864" w:themeColor="accent5" w:themeShade="80"/>
              </w:rPr>
            </w:pPr>
            <w:r>
              <w:rPr>
                <w:rFonts w:cs="Arial"/>
                <w:b/>
                <w:color w:val="1F3864" w:themeColor="accent5" w:themeShade="80"/>
              </w:rPr>
              <w:t>Acceptance Criteria</w:t>
            </w:r>
          </w:p>
        </w:tc>
        <w:tc>
          <w:tcPr>
            <w:tcW w:w="1944" w:type="dxa"/>
            <w:shd w:val="clear" w:color="auto" w:fill="DEEAF6" w:themeFill="accent1" w:themeFillTint="33"/>
            <w:vAlign w:val="bottom"/>
          </w:tcPr>
          <w:p w14:paraId="10A02E4C" w14:textId="77777777" w:rsidR="001F7C10" w:rsidRPr="004F202B" w:rsidRDefault="001F7C10" w:rsidP="00BA44A8">
            <w:pPr>
              <w:keepNext/>
              <w:spacing w:after="0"/>
              <w:ind w:left="0"/>
              <w:rPr>
                <w:rFonts w:cs="Arial"/>
                <w:b/>
                <w:color w:val="1F3864" w:themeColor="accent5" w:themeShade="80"/>
              </w:rPr>
            </w:pPr>
            <w:r>
              <w:rPr>
                <w:rFonts w:cs="Arial"/>
                <w:b/>
                <w:color w:val="1F3864" w:themeColor="accent5" w:themeShade="80"/>
              </w:rPr>
              <w:t>Due Date</w:t>
            </w:r>
          </w:p>
        </w:tc>
      </w:tr>
      <w:tr w:rsidR="001F7C10" w:rsidRPr="00873442" w14:paraId="7E274D74" w14:textId="77777777" w:rsidTr="00E801A9">
        <w:tc>
          <w:tcPr>
            <w:tcW w:w="936" w:type="dxa"/>
          </w:tcPr>
          <w:p w14:paraId="26FA81EB" w14:textId="3486996B" w:rsidR="001F7C10" w:rsidRDefault="001F7C10" w:rsidP="00BA44A8">
            <w:pPr>
              <w:ind w:left="0"/>
              <w:jc w:val="center"/>
            </w:pPr>
            <w:r>
              <w:t>1</w:t>
            </w:r>
            <w:r w:rsidR="009F64FB">
              <w:t>6</w:t>
            </w:r>
            <w:r>
              <w:t>A</w:t>
            </w:r>
          </w:p>
        </w:tc>
        <w:tc>
          <w:tcPr>
            <w:tcW w:w="2034" w:type="dxa"/>
          </w:tcPr>
          <w:p w14:paraId="7356D4BB" w14:textId="47708D0A" w:rsidR="001F7C10" w:rsidRDefault="009F64FB" w:rsidP="00BA44A8">
            <w:pPr>
              <w:ind w:left="0"/>
            </w:pPr>
            <w:r>
              <w:t>Annual Software Maintenance Support and Subscription</w:t>
            </w:r>
          </w:p>
        </w:tc>
        <w:tc>
          <w:tcPr>
            <w:tcW w:w="5760" w:type="dxa"/>
          </w:tcPr>
          <w:p w14:paraId="22A6B64F" w14:textId="7CE46657" w:rsidR="00667AC2" w:rsidRDefault="00667AC2" w:rsidP="00667AC2">
            <w:pPr>
              <w:ind w:left="0"/>
            </w:pPr>
            <w:r>
              <w:t>At a minimum, Awarded Vendor must demonstrate that they successfully:</w:t>
            </w:r>
          </w:p>
          <w:p w14:paraId="2F9B45E5" w14:textId="0947DC10" w:rsidR="00667AC2" w:rsidRDefault="00F8078A" w:rsidP="00E16D2D">
            <w:pPr>
              <w:pStyle w:val="LB1-Table"/>
            </w:pPr>
            <w:r>
              <w:t xml:space="preserve">Kept </w:t>
            </w:r>
            <w:r w:rsidRPr="00E446A9">
              <w:t>hosting</w:t>
            </w:r>
            <w:r>
              <w:t>,</w:t>
            </w:r>
            <w:r w:rsidRPr="00E446A9">
              <w:t xml:space="preserve"> </w:t>
            </w:r>
            <w:r>
              <w:t>DR</w:t>
            </w:r>
            <w:r w:rsidRPr="00E446A9">
              <w:t xml:space="preserve"> facilities</w:t>
            </w:r>
            <w:r>
              <w:t>, and all Texas data</w:t>
            </w:r>
            <w:r w:rsidRPr="00E446A9">
              <w:t xml:space="preserve"> located in the United States</w:t>
            </w:r>
            <w:r w:rsidR="00667AC2">
              <w:t>;</w:t>
            </w:r>
          </w:p>
          <w:p w14:paraId="579AC517" w14:textId="3779FE1C" w:rsidR="00667AC2" w:rsidRDefault="00667AC2" w:rsidP="00F82166">
            <w:pPr>
              <w:pStyle w:val="LB1-Table"/>
            </w:pPr>
            <w:r>
              <w:t>Provided annual subscription, maintenance and support for all environments;</w:t>
            </w:r>
          </w:p>
          <w:p w14:paraId="588C0111" w14:textId="77777777" w:rsidR="00667AC2" w:rsidRDefault="00667AC2" w:rsidP="00F82166">
            <w:pPr>
              <w:pStyle w:val="LB1-Table"/>
            </w:pPr>
            <w:r>
              <w:t>Provided upgrades, releases and patches;</w:t>
            </w:r>
          </w:p>
          <w:p w14:paraId="024C6505" w14:textId="77777777" w:rsidR="00667AC2" w:rsidRDefault="00667AC2">
            <w:pPr>
              <w:pStyle w:val="LB1-Table"/>
            </w:pPr>
            <w:r>
              <w:lastRenderedPageBreak/>
              <w:t>Conducted Change Management activities;</w:t>
            </w:r>
          </w:p>
          <w:p w14:paraId="57AF57B6" w14:textId="77777777" w:rsidR="005C3FB4" w:rsidRDefault="00667AC2">
            <w:pPr>
              <w:pStyle w:val="LB1-Table"/>
            </w:pPr>
            <w:r>
              <w:t>Provided u</w:t>
            </w:r>
            <w:r w:rsidRPr="00625834">
              <w:t>pdates to all System documentation</w:t>
            </w:r>
            <w:r w:rsidR="005C3FB4">
              <w:t>;</w:t>
            </w:r>
          </w:p>
          <w:p w14:paraId="682DA409" w14:textId="4AAEE1EE" w:rsidR="005C3FB4" w:rsidRDefault="005C3FB4">
            <w:pPr>
              <w:pStyle w:val="LB1-Table"/>
            </w:pPr>
            <w:r>
              <w:t>Provided u</w:t>
            </w:r>
            <w:r w:rsidRPr="00625834">
              <w:t>pdates to</w:t>
            </w:r>
            <w:r>
              <w:t xml:space="preserve"> </w:t>
            </w:r>
            <w:r w:rsidR="002E5FD9">
              <w:t>Training Materials</w:t>
            </w:r>
            <w:r>
              <w:t>;</w:t>
            </w:r>
          </w:p>
          <w:p w14:paraId="5E031446" w14:textId="747B17F7" w:rsidR="005C3FB4" w:rsidRDefault="005C3FB4">
            <w:pPr>
              <w:pStyle w:val="LB1-Table"/>
            </w:pPr>
            <w:r>
              <w:t>Maintained Training environment capabilities;</w:t>
            </w:r>
          </w:p>
          <w:p w14:paraId="060F6017" w14:textId="77777777" w:rsidR="005C3FB4" w:rsidRDefault="005C3FB4">
            <w:pPr>
              <w:pStyle w:val="LB1-Table"/>
            </w:pPr>
            <w:r>
              <w:t>P</w:t>
            </w:r>
            <w:r w:rsidRPr="00741202">
              <w:t>rovide</w:t>
            </w:r>
            <w:r>
              <w:t>d</w:t>
            </w:r>
            <w:r w:rsidRPr="00741202">
              <w:t xml:space="preserve"> at least one</w:t>
            </w:r>
            <w:r>
              <w:t xml:space="preserve"> (1)</w:t>
            </w:r>
            <w:r w:rsidRPr="00741202">
              <w:t xml:space="preserve"> full-time </w:t>
            </w:r>
            <w:r>
              <w:t xml:space="preserve">Staff </w:t>
            </w:r>
            <w:r w:rsidRPr="00741202">
              <w:t>member</w:t>
            </w:r>
            <w:r>
              <w:t>,</w:t>
            </w:r>
            <w:r w:rsidRPr="00741202">
              <w:t xml:space="preserve"> onsite </w:t>
            </w:r>
            <w:r>
              <w:t xml:space="preserve">required, </w:t>
            </w:r>
            <w:r w:rsidRPr="00741202">
              <w:t>to function as a Product Analyst</w:t>
            </w:r>
            <w:r>
              <w:t>; and</w:t>
            </w:r>
          </w:p>
          <w:p w14:paraId="652C0B42" w14:textId="3D0E9CB6" w:rsidR="001F7C10" w:rsidRDefault="005C3FB4">
            <w:pPr>
              <w:pStyle w:val="LB1-Table"/>
            </w:pPr>
            <w:r>
              <w:t>S</w:t>
            </w:r>
            <w:r w:rsidRPr="007512FA">
              <w:t>ubmit</w:t>
            </w:r>
            <w:r>
              <w:t>ted</w:t>
            </w:r>
            <w:r w:rsidRPr="007512FA">
              <w:t xml:space="preserve"> </w:t>
            </w:r>
            <w:r>
              <w:t xml:space="preserve">Monthly </w:t>
            </w:r>
            <w:r w:rsidRPr="007512FA">
              <w:t>Operations</w:t>
            </w:r>
            <w:r>
              <w:t xml:space="preserve"> </w:t>
            </w:r>
            <w:r w:rsidRPr="007512FA">
              <w:t>S</w:t>
            </w:r>
            <w:r>
              <w:t xml:space="preserve">tatus </w:t>
            </w:r>
            <w:r w:rsidRPr="007512FA">
              <w:t>R</w:t>
            </w:r>
            <w:r>
              <w:t>eports</w:t>
            </w:r>
            <w:r w:rsidR="001F7C10">
              <w:t>.</w:t>
            </w:r>
          </w:p>
        </w:tc>
        <w:tc>
          <w:tcPr>
            <w:tcW w:w="1944" w:type="dxa"/>
          </w:tcPr>
          <w:p w14:paraId="65B8D098" w14:textId="77777777" w:rsidR="001F7C10" w:rsidRDefault="001F7C10" w:rsidP="00BA44A8">
            <w:pPr>
              <w:ind w:left="0"/>
            </w:pPr>
            <w:r w:rsidRPr="00F57DB3">
              <w:lastRenderedPageBreak/>
              <w:t>TBD in accordance with the IMS</w:t>
            </w:r>
          </w:p>
        </w:tc>
      </w:tr>
    </w:tbl>
    <w:p w14:paraId="2E6B31D2" w14:textId="2C121164" w:rsidR="001F7C10" w:rsidRDefault="001F7C10" w:rsidP="00CC581A"/>
    <w:p w14:paraId="3055D980" w14:textId="0A54A4F4" w:rsidR="001D2F51" w:rsidRDefault="001D2F51" w:rsidP="001D2F51">
      <w:pPr>
        <w:pStyle w:val="Heading3"/>
      </w:pPr>
      <w:bookmarkStart w:id="137" w:name="_Toc13567412"/>
      <w:bookmarkStart w:id="138" w:name="_Hlk11394029"/>
      <w:r>
        <w:t>2.2.17</w:t>
      </w:r>
      <w:r>
        <w:tab/>
        <w:t xml:space="preserve">Task 17: </w:t>
      </w:r>
      <w:r w:rsidR="00E63C4A">
        <w:t xml:space="preserve">Maintain Effective </w:t>
      </w:r>
      <w:r>
        <w:t>Cyber Security</w:t>
      </w:r>
      <w:bookmarkEnd w:id="137"/>
    </w:p>
    <w:p w14:paraId="6885D672" w14:textId="0FEF6859" w:rsidR="001D2F51" w:rsidRDefault="001D2F51" w:rsidP="001D2F51">
      <w:pPr>
        <w:pStyle w:val="ListParagraph"/>
      </w:pPr>
      <w:r>
        <w:t>T</w:t>
      </w:r>
      <w:r w:rsidRPr="00F0402D">
        <w:t xml:space="preserve">he Awarded Vendor </w:t>
      </w:r>
      <w:r>
        <w:t>will provide cyber security artifacts to demonstrate</w:t>
      </w:r>
      <w:r w:rsidRPr="001D2F51">
        <w:t xml:space="preserve"> </w:t>
      </w:r>
      <w:r>
        <w:t xml:space="preserve">compliance with the controls necessary to maintain the confidentiality, integrity, and accessibility of the UI System. These control requirements are listed in </w:t>
      </w:r>
      <w:hyperlink w:anchor="_1.1.3_Data_Privacy" w:history="1">
        <w:r w:rsidRPr="001D2F51">
          <w:rPr>
            <w:rStyle w:val="Hyperlink"/>
          </w:rPr>
          <w:t>Section 1.4.3</w:t>
        </w:r>
      </w:hyperlink>
      <w:r>
        <w:t xml:space="preserve"> and Technical/System requirements in </w:t>
      </w:r>
      <w:hyperlink w:anchor="_Attachment_5_–" w:history="1">
        <w:r w:rsidRPr="001D2F51">
          <w:rPr>
            <w:rStyle w:val="Hyperlink"/>
          </w:rPr>
          <w:t>Attachment 5</w:t>
        </w:r>
      </w:hyperlink>
      <w:r>
        <w:t>.</w:t>
      </w:r>
    </w:p>
    <w:p w14:paraId="7180B02C" w14:textId="18EE3780" w:rsidR="001D2F51" w:rsidRDefault="001D2F51" w:rsidP="001D2F51">
      <w:pPr>
        <w:pStyle w:val="ListParagraph"/>
      </w:pPr>
    </w:p>
    <w:tbl>
      <w:tblPr>
        <w:tblStyle w:val="TableGrid"/>
        <w:tblW w:w="10800" w:type="dxa"/>
        <w:tblInd w:w="175" w:type="dxa"/>
        <w:tblLayout w:type="fixed"/>
        <w:tblLook w:val="04A0" w:firstRow="1" w:lastRow="0" w:firstColumn="1" w:lastColumn="0" w:noHBand="0" w:noVBand="1"/>
        <w:tblDescription w:val="Plan and Execute Phased Implementation deliverable schedule table"/>
      </w:tblPr>
      <w:tblGrid>
        <w:gridCol w:w="936"/>
        <w:gridCol w:w="2034"/>
        <w:gridCol w:w="5886"/>
        <w:gridCol w:w="1944"/>
      </w:tblGrid>
      <w:tr w:rsidR="00C94D8E" w:rsidRPr="00873442" w14:paraId="4085832D" w14:textId="77777777" w:rsidTr="002E634E">
        <w:trPr>
          <w:cantSplit/>
          <w:tblHeader/>
        </w:trPr>
        <w:tc>
          <w:tcPr>
            <w:tcW w:w="936" w:type="dxa"/>
            <w:shd w:val="clear" w:color="auto" w:fill="DEEAF6" w:themeFill="accent1" w:themeFillTint="33"/>
            <w:vAlign w:val="bottom"/>
          </w:tcPr>
          <w:p w14:paraId="27794D41" w14:textId="77777777" w:rsidR="00C94D8E" w:rsidRPr="004F202B" w:rsidRDefault="00C94D8E" w:rsidP="007B10C4">
            <w:pPr>
              <w:keepNext/>
              <w:spacing w:after="0"/>
              <w:ind w:left="0"/>
              <w:jc w:val="center"/>
              <w:rPr>
                <w:rFonts w:cs="Arial"/>
                <w:b/>
                <w:color w:val="1F3864" w:themeColor="accent5" w:themeShade="80"/>
              </w:rPr>
            </w:pPr>
            <w:r w:rsidRPr="004F202B">
              <w:rPr>
                <w:rFonts w:cs="Arial"/>
                <w:b/>
                <w:color w:val="1F3864" w:themeColor="accent5" w:themeShade="80"/>
              </w:rPr>
              <w:t>No.</w:t>
            </w:r>
          </w:p>
        </w:tc>
        <w:tc>
          <w:tcPr>
            <w:tcW w:w="2034" w:type="dxa"/>
            <w:shd w:val="clear" w:color="auto" w:fill="DEEAF6" w:themeFill="accent1" w:themeFillTint="33"/>
          </w:tcPr>
          <w:p w14:paraId="739586A2" w14:textId="77777777" w:rsidR="00C94D8E" w:rsidRPr="001B5E0B" w:rsidRDefault="00C94D8E" w:rsidP="007B10C4">
            <w:pPr>
              <w:keepNext/>
              <w:spacing w:after="0"/>
              <w:ind w:left="0"/>
              <w:rPr>
                <w:rFonts w:cs="Arial"/>
                <w:b/>
                <w:color w:val="1F3864" w:themeColor="accent5" w:themeShade="80"/>
              </w:rPr>
            </w:pPr>
            <w:r>
              <w:rPr>
                <w:rFonts w:cs="Arial"/>
                <w:b/>
                <w:color w:val="1F3864" w:themeColor="accent5" w:themeShade="80"/>
              </w:rPr>
              <w:t>Deliverable</w:t>
            </w:r>
          </w:p>
        </w:tc>
        <w:tc>
          <w:tcPr>
            <w:tcW w:w="5886" w:type="dxa"/>
            <w:shd w:val="clear" w:color="auto" w:fill="DEEAF6" w:themeFill="accent1" w:themeFillTint="33"/>
          </w:tcPr>
          <w:p w14:paraId="4A5AF4C1" w14:textId="77777777" w:rsidR="00C94D8E" w:rsidRPr="001B5E0B" w:rsidRDefault="00C94D8E" w:rsidP="007B10C4">
            <w:pPr>
              <w:keepNext/>
              <w:spacing w:after="0"/>
              <w:ind w:left="0"/>
              <w:rPr>
                <w:rFonts w:cs="Arial"/>
                <w:b/>
                <w:color w:val="1F3864" w:themeColor="accent5" w:themeShade="80"/>
              </w:rPr>
            </w:pPr>
            <w:r>
              <w:rPr>
                <w:rFonts w:cs="Arial"/>
                <w:b/>
                <w:color w:val="1F3864" w:themeColor="accent5" w:themeShade="80"/>
              </w:rPr>
              <w:t>Acceptance Criteria</w:t>
            </w:r>
          </w:p>
        </w:tc>
        <w:tc>
          <w:tcPr>
            <w:tcW w:w="1944" w:type="dxa"/>
            <w:shd w:val="clear" w:color="auto" w:fill="DEEAF6" w:themeFill="accent1" w:themeFillTint="33"/>
            <w:vAlign w:val="bottom"/>
          </w:tcPr>
          <w:p w14:paraId="1E6C6C5A" w14:textId="77777777" w:rsidR="00C94D8E" w:rsidRPr="004F202B" w:rsidRDefault="00C94D8E" w:rsidP="007B10C4">
            <w:pPr>
              <w:keepNext/>
              <w:spacing w:after="0"/>
              <w:ind w:left="0"/>
              <w:rPr>
                <w:rFonts w:cs="Arial"/>
                <w:b/>
                <w:color w:val="1F3864" w:themeColor="accent5" w:themeShade="80"/>
              </w:rPr>
            </w:pPr>
            <w:r>
              <w:rPr>
                <w:rFonts w:cs="Arial"/>
                <w:b/>
                <w:color w:val="1F3864" w:themeColor="accent5" w:themeShade="80"/>
              </w:rPr>
              <w:t>Due Date</w:t>
            </w:r>
          </w:p>
        </w:tc>
      </w:tr>
      <w:tr w:rsidR="00C94D8E" w:rsidRPr="00873442" w14:paraId="7A8278B4" w14:textId="77777777" w:rsidTr="002E634E">
        <w:tc>
          <w:tcPr>
            <w:tcW w:w="936" w:type="dxa"/>
          </w:tcPr>
          <w:p w14:paraId="5D061DF4" w14:textId="10B11329" w:rsidR="00C94D8E" w:rsidRDefault="00C94D8E" w:rsidP="007B10C4">
            <w:pPr>
              <w:ind w:left="0"/>
              <w:jc w:val="center"/>
            </w:pPr>
            <w:r>
              <w:t>17A</w:t>
            </w:r>
          </w:p>
        </w:tc>
        <w:tc>
          <w:tcPr>
            <w:tcW w:w="2034" w:type="dxa"/>
          </w:tcPr>
          <w:p w14:paraId="4EB7F3DB" w14:textId="2D842936" w:rsidR="00C94D8E" w:rsidRDefault="00C94D8E" w:rsidP="007B10C4">
            <w:pPr>
              <w:ind w:left="0"/>
            </w:pPr>
            <w:r>
              <w:t>FedRAMP ATO</w:t>
            </w:r>
          </w:p>
        </w:tc>
        <w:tc>
          <w:tcPr>
            <w:tcW w:w="5886" w:type="dxa"/>
          </w:tcPr>
          <w:p w14:paraId="18DBA605" w14:textId="22C01F74" w:rsidR="00C94D8E" w:rsidRDefault="00C94D8E" w:rsidP="00C94D8E">
            <w:pPr>
              <w:ind w:left="0"/>
            </w:pPr>
            <w:r>
              <w:t>Awarded Vendor must provide certification from a Federal Agency Sponsor that their cloud hosting solution has FedRAMP ATO for systems with a Moderate risk level.</w:t>
            </w:r>
          </w:p>
        </w:tc>
        <w:tc>
          <w:tcPr>
            <w:tcW w:w="1944" w:type="dxa"/>
          </w:tcPr>
          <w:p w14:paraId="3D7CDEF7" w14:textId="570D39F9" w:rsidR="00C94D8E" w:rsidRPr="00F57DB3" w:rsidRDefault="00C94D8E" w:rsidP="007B10C4">
            <w:pPr>
              <w:ind w:left="0"/>
            </w:pPr>
            <w:r>
              <w:t>AoC</w:t>
            </w:r>
          </w:p>
        </w:tc>
      </w:tr>
      <w:tr w:rsidR="00384721" w:rsidRPr="00873442" w14:paraId="262AC0B5" w14:textId="77777777" w:rsidTr="002E634E">
        <w:tc>
          <w:tcPr>
            <w:tcW w:w="936" w:type="dxa"/>
          </w:tcPr>
          <w:p w14:paraId="7A5D7C76" w14:textId="61C49EF4" w:rsidR="00384721" w:rsidRDefault="00384721" w:rsidP="00384721">
            <w:pPr>
              <w:ind w:left="0"/>
              <w:jc w:val="center"/>
            </w:pPr>
            <w:r>
              <w:t>17B</w:t>
            </w:r>
          </w:p>
        </w:tc>
        <w:tc>
          <w:tcPr>
            <w:tcW w:w="2034" w:type="dxa"/>
          </w:tcPr>
          <w:p w14:paraId="6F7CAA6F" w14:textId="4280DDD7" w:rsidR="00384721" w:rsidRDefault="00384721" w:rsidP="00384721">
            <w:pPr>
              <w:ind w:left="0"/>
            </w:pPr>
            <w:r>
              <w:t>Security Assessment Plan</w:t>
            </w:r>
          </w:p>
        </w:tc>
        <w:tc>
          <w:tcPr>
            <w:tcW w:w="5886" w:type="dxa"/>
          </w:tcPr>
          <w:p w14:paraId="4A286A26" w14:textId="77777777" w:rsidR="007B10C4" w:rsidRDefault="007B10C4" w:rsidP="00384721">
            <w:pPr>
              <w:ind w:left="0"/>
            </w:pPr>
            <w:r>
              <w:t xml:space="preserve">Awarded Vendor must provide a plan to assess the information security controls implemented to determine whether they are operating as intended and the extent to which they are producing the desired results.  </w:t>
            </w:r>
          </w:p>
          <w:p w14:paraId="1CA35000" w14:textId="207C4FB4" w:rsidR="00384721" w:rsidRDefault="007B10C4" w:rsidP="00384721">
            <w:pPr>
              <w:ind w:left="0"/>
            </w:pPr>
            <w:r>
              <w:t>This plan must include the</w:t>
            </w:r>
            <w:r w:rsidR="00384721">
              <w:t>:</w:t>
            </w:r>
          </w:p>
          <w:p w14:paraId="4040C43A" w14:textId="61CED5A4" w:rsidR="00384721" w:rsidRDefault="007B10C4" w:rsidP="00384721">
            <w:pPr>
              <w:pStyle w:val="LB1-Table"/>
            </w:pPr>
            <w:r>
              <w:t>Security monitoring methods</w:t>
            </w:r>
            <w:r w:rsidR="00384721">
              <w:t>;</w:t>
            </w:r>
          </w:p>
          <w:p w14:paraId="0FB4AFB4" w14:textId="03A99891" w:rsidR="00384721" w:rsidRDefault="007B10C4" w:rsidP="00384721">
            <w:pPr>
              <w:pStyle w:val="LB1-Table"/>
            </w:pPr>
            <w:r>
              <w:t>Control measurement methodology</w:t>
            </w:r>
            <w:r w:rsidR="00384721">
              <w:t>;</w:t>
            </w:r>
          </w:p>
          <w:p w14:paraId="26B17F03" w14:textId="5EF679E3" w:rsidR="00384721" w:rsidRDefault="007B10C4" w:rsidP="00384721">
            <w:pPr>
              <w:pStyle w:val="LB1-Table"/>
            </w:pPr>
            <w:r>
              <w:t>Data analysis/benchmarking</w:t>
            </w:r>
            <w:r w:rsidR="00384721">
              <w:t>; and</w:t>
            </w:r>
          </w:p>
          <w:p w14:paraId="026264FE" w14:textId="43C5EDBB" w:rsidR="00384721" w:rsidRDefault="007B10C4" w:rsidP="00384721">
            <w:pPr>
              <w:pStyle w:val="LB1-Table"/>
            </w:pPr>
            <w:r>
              <w:t>Continuous improvement cycle</w:t>
            </w:r>
            <w:r w:rsidR="00384721">
              <w:t>.</w:t>
            </w:r>
          </w:p>
        </w:tc>
        <w:tc>
          <w:tcPr>
            <w:tcW w:w="1944" w:type="dxa"/>
          </w:tcPr>
          <w:p w14:paraId="13C92204" w14:textId="451D96F8" w:rsidR="00384721" w:rsidRDefault="00384721" w:rsidP="00384721">
            <w:pPr>
              <w:ind w:left="0"/>
            </w:pPr>
            <w:r>
              <w:t>Acceptance of System Design Document (Deliverable 3A) + 120 days</w:t>
            </w:r>
          </w:p>
        </w:tc>
      </w:tr>
      <w:tr w:rsidR="00384721" w:rsidRPr="00873442" w14:paraId="4CC26B43" w14:textId="77777777" w:rsidTr="002E634E">
        <w:tc>
          <w:tcPr>
            <w:tcW w:w="936" w:type="dxa"/>
          </w:tcPr>
          <w:p w14:paraId="512FB4A6" w14:textId="76FA5A58" w:rsidR="00384721" w:rsidRDefault="00384721" w:rsidP="00384721">
            <w:pPr>
              <w:ind w:left="0"/>
              <w:jc w:val="center"/>
            </w:pPr>
            <w:r>
              <w:t>17C</w:t>
            </w:r>
          </w:p>
        </w:tc>
        <w:tc>
          <w:tcPr>
            <w:tcW w:w="2034" w:type="dxa"/>
          </w:tcPr>
          <w:p w14:paraId="2E32166D" w14:textId="698C3AA7" w:rsidR="00384721" w:rsidRDefault="00384721" w:rsidP="00384721">
            <w:pPr>
              <w:ind w:left="0"/>
            </w:pPr>
            <w:r>
              <w:t>Incident Response Plan</w:t>
            </w:r>
          </w:p>
        </w:tc>
        <w:tc>
          <w:tcPr>
            <w:tcW w:w="5886" w:type="dxa"/>
          </w:tcPr>
          <w:p w14:paraId="5293306F" w14:textId="06B06428" w:rsidR="00384721" w:rsidRDefault="00E63C4A" w:rsidP="00384721">
            <w:pPr>
              <w:ind w:left="0"/>
            </w:pPr>
            <w:r>
              <w:t>Awarded Vendor must provide a plan that defines the steps that will be taken to detect, respond to, and recover from information security incidents including, but not limited to</w:t>
            </w:r>
            <w:r w:rsidR="00384721">
              <w:t>:</w:t>
            </w:r>
          </w:p>
          <w:p w14:paraId="73B5EE2F" w14:textId="20140B6A" w:rsidR="00384721" w:rsidRDefault="00E63C4A" w:rsidP="00384721">
            <w:pPr>
              <w:pStyle w:val="LB1-Table"/>
            </w:pPr>
            <w:r>
              <w:t>Cybercrime</w:t>
            </w:r>
            <w:r w:rsidR="00384721">
              <w:t>;</w:t>
            </w:r>
          </w:p>
          <w:p w14:paraId="257F7571" w14:textId="1DBD04DB" w:rsidR="00384721" w:rsidRDefault="00E63C4A" w:rsidP="00384721">
            <w:pPr>
              <w:pStyle w:val="LB1-Table"/>
            </w:pPr>
            <w:r>
              <w:t>Data loss</w:t>
            </w:r>
            <w:r w:rsidR="00384721">
              <w:t>;</w:t>
            </w:r>
          </w:p>
          <w:p w14:paraId="6AD7CE90" w14:textId="2FE2BB9D" w:rsidR="00384721" w:rsidRDefault="00E63C4A" w:rsidP="001758DD">
            <w:pPr>
              <w:pStyle w:val="LB1-Table"/>
            </w:pPr>
            <w:r>
              <w:lastRenderedPageBreak/>
              <w:t>Privacy violations</w:t>
            </w:r>
            <w:r w:rsidR="00384721">
              <w:t>;</w:t>
            </w:r>
            <w:r>
              <w:t xml:space="preserve"> </w:t>
            </w:r>
            <w:r w:rsidR="00384721">
              <w:t>and</w:t>
            </w:r>
          </w:p>
          <w:p w14:paraId="741C5409" w14:textId="4188BCFA" w:rsidR="00384721" w:rsidRDefault="00E63C4A" w:rsidP="00384721">
            <w:pPr>
              <w:pStyle w:val="LB1-Table"/>
            </w:pPr>
            <w:r>
              <w:t>Malware intrusions</w:t>
            </w:r>
            <w:r w:rsidR="00384721">
              <w:t>.</w:t>
            </w:r>
          </w:p>
        </w:tc>
        <w:tc>
          <w:tcPr>
            <w:tcW w:w="1944" w:type="dxa"/>
          </w:tcPr>
          <w:p w14:paraId="7DD0C27F" w14:textId="69689952" w:rsidR="00384721" w:rsidRPr="00F57DB3" w:rsidRDefault="00384721" w:rsidP="00384721">
            <w:pPr>
              <w:ind w:left="0"/>
            </w:pPr>
            <w:r>
              <w:lastRenderedPageBreak/>
              <w:t xml:space="preserve">Acceptance of System Design Document (Deliverable </w:t>
            </w:r>
            <w:r>
              <w:lastRenderedPageBreak/>
              <w:t>3A) + 120 days</w:t>
            </w:r>
          </w:p>
        </w:tc>
      </w:tr>
      <w:tr w:rsidR="00384721" w:rsidRPr="00873442" w14:paraId="61A0EFF7" w14:textId="77777777" w:rsidTr="002E634E">
        <w:tc>
          <w:tcPr>
            <w:tcW w:w="936" w:type="dxa"/>
          </w:tcPr>
          <w:p w14:paraId="5999BD2F" w14:textId="002755C8" w:rsidR="00384721" w:rsidRDefault="00384721" w:rsidP="00384721">
            <w:pPr>
              <w:ind w:left="0"/>
              <w:jc w:val="center"/>
            </w:pPr>
            <w:r>
              <w:lastRenderedPageBreak/>
              <w:t>17D</w:t>
            </w:r>
          </w:p>
        </w:tc>
        <w:tc>
          <w:tcPr>
            <w:tcW w:w="2034" w:type="dxa"/>
          </w:tcPr>
          <w:p w14:paraId="79FB97BA" w14:textId="4478669A" w:rsidR="00384721" w:rsidRDefault="00384721" w:rsidP="00384721">
            <w:pPr>
              <w:ind w:left="0"/>
            </w:pPr>
            <w:r>
              <w:t>System Security Plan</w:t>
            </w:r>
          </w:p>
        </w:tc>
        <w:tc>
          <w:tcPr>
            <w:tcW w:w="5886" w:type="dxa"/>
          </w:tcPr>
          <w:p w14:paraId="35BAEB5A" w14:textId="625E5A57" w:rsidR="00384721" w:rsidRDefault="004100F5" w:rsidP="004100F5">
            <w:pPr>
              <w:ind w:left="0"/>
            </w:pPr>
            <w:r>
              <w:t>Awarded Vendor must provide a system security plan that outlines the preventative, detective, and corrective controls using a NIST 800-53 format in compliance with IRS Publication 1075.</w:t>
            </w:r>
          </w:p>
        </w:tc>
        <w:tc>
          <w:tcPr>
            <w:tcW w:w="1944" w:type="dxa"/>
          </w:tcPr>
          <w:p w14:paraId="5EE3BB9A" w14:textId="0920F295" w:rsidR="00384721" w:rsidRPr="00F57DB3" w:rsidRDefault="00384721" w:rsidP="00384721">
            <w:pPr>
              <w:ind w:left="0"/>
            </w:pPr>
            <w:bookmarkStart w:id="139" w:name="_Hlk11240559"/>
            <w:r>
              <w:t xml:space="preserve">Acceptance of System Design Document (Deliverable 3A) </w:t>
            </w:r>
            <w:bookmarkEnd w:id="139"/>
            <w:r>
              <w:t>+ 180 days</w:t>
            </w:r>
          </w:p>
        </w:tc>
      </w:tr>
      <w:tr w:rsidR="002E634E" w:rsidRPr="00873442" w14:paraId="384BE066" w14:textId="77777777" w:rsidTr="002E634E">
        <w:tc>
          <w:tcPr>
            <w:tcW w:w="936" w:type="dxa"/>
          </w:tcPr>
          <w:p w14:paraId="215FFA13" w14:textId="004600A3" w:rsidR="002E634E" w:rsidRDefault="002E634E" w:rsidP="002E634E">
            <w:pPr>
              <w:ind w:left="0"/>
              <w:jc w:val="center"/>
            </w:pPr>
            <w:r>
              <w:t>17E</w:t>
            </w:r>
          </w:p>
        </w:tc>
        <w:tc>
          <w:tcPr>
            <w:tcW w:w="2034" w:type="dxa"/>
          </w:tcPr>
          <w:p w14:paraId="7A096C03" w14:textId="07D464E8" w:rsidR="002E634E" w:rsidRDefault="002E634E" w:rsidP="002E634E">
            <w:pPr>
              <w:ind w:left="0"/>
            </w:pPr>
            <w:r>
              <w:t>Implemented Security Plans</w:t>
            </w:r>
          </w:p>
        </w:tc>
        <w:tc>
          <w:tcPr>
            <w:tcW w:w="5886" w:type="dxa"/>
          </w:tcPr>
          <w:p w14:paraId="05018E6F" w14:textId="63B1D1AD" w:rsidR="002E634E" w:rsidRDefault="002E634E" w:rsidP="002E634E">
            <w:pPr>
              <w:ind w:left="0"/>
            </w:pPr>
            <w:r>
              <w:t>At a minimum, Awarded Vendor must demonstrate that they successfully</w:t>
            </w:r>
            <w:r w:rsidR="00A30428">
              <w:t xml:space="preserve"> implemented all tasks outlined in the following plans</w:t>
            </w:r>
            <w:r>
              <w:t>:</w:t>
            </w:r>
          </w:p>
          <w:p w14:paraId="56E1793D" w14:textId="5115C549" w:rsidR="002E634E" w:rsidRDefault="00A30428" w:rsidP="002E634E">
            <w:pPr>
              <w:pStyle w:val="LB1-Table"/>
            </w:pPr>
            <w:r>
              <w:t>Security Assessment Plan</w:t>
            </w:r>
            <w:r w:rsidR="002E634E">
              <w:t>;</w:t>
            </w:r>
          </w:p>
          <w:p w14:paraId="40A4DDC4" w14:textId="617E817A" w:rsidR="002E634E" w:rsidRDefault="00A30428" w:rsidP="002E634E">
            <w:pPr>
              <w:pStyle w:val="LB1-Table"/>
            </w:pPr>
            <w:r>
              <w:t>Incident Response Plan</w:t>
            </w:r>
            <w:r w:rsidR="002E634E">
              <w:t>; and</w:t>
            </w:r>
          </w:p>
          <w:p w14:paraId="5681A95F" w14:textId="1297CE8D" w:rsidR="002E634E" w:rsidRDefault="00A30428" w:rsidP="002E634E">
            <w:pPr>
              <w:pStyle w:val="LB1-Table"/>
            </w:pPr>
            <w:r>
              <w:t>System Security Plan</w:t>
            </w:r>
            <w:r w:rsidR="002E634E">
              <w:t>.</w:t>
            </w:r>
          </w:p>
        </w:tc>
        <w:tc>
          <w:tcPr>
            <w:tcW w:w="1944" w:type="dxa"/>
          </w:tcPr>
          <w:p w14:paraId="474B8C22" w14:textId="62ECC672" w:rsidR="002E634E" w:rsidRDefault="002E634E" w:rsidP="002E634E">
            <w:pPr>
              <w:ind w:left="0"/>
            </w:pPr>
            <w:r w:rsidRPr="00F57DB3">
              <w:t>TBD in accordance with the IMS</w:t>
            </w:r>
          </w:p>
        </w:tc>
      </w:tr>
      <w:bookmarkEnd w:id="138"/>
    </w:tbl>
    <w:p w14:paraId="05D3E572" w14:textId="77777777" w:rsidR="00C94D8E" w:rsidRDefault="00C94D8E" w:rsidP="001D2F51">
      <w:pPr>
        <w:pStyle w:val="ListParagraph"/>
      </w:pPr>
    </w:p>
    <w:p w14:paraId="30F9109C" w14:textId="618100EA" w:rsidR="003C0E7A" w:rsidRDefault="003C0E7A" w:rsidP="003C0E7A">
      <w:pPr>
        <w:pStyle w:val="Heading3"/>
      </w:pPr>
      <w:bookmarkStart w:id="140" w:name="_Toc13567413"/>
      <w:r>
        <w:t>2.2.1</w:t>
      </w:r>
      <w:r w:rsidR="001D2F51">
        <w:t>8</w:t>
      </w:r>
      <w:r>
        <w:tab/>
        <w:t>Task 1</w:t>
      </w:r>
      <w:r w:rsidR="001D2F51">
        <w:t>8</w:t>
      </w:r>
      <w:r>
        <w:t>: End of Contract Services</w:t>
      </w:r>
      <w:bookmarkEnd w:id="140"/>
    </w:p>
    <w:p w14:paraId="66D49119" w14:textId="30D96FEA" w:rsidR="003C0E7A" w:rsidRDefault="003C0E7A" w:rsidP="003C0E7A">
      <w:pPr>
        <w:pStyle w:val="ListParagraph"/>
      </w:pPr>
      <w:r w:rsidRPr="00F0402D">
        <w:t xml:space="preserve">Both TWC and the Awarded Vendor agree that upon any termination of this Contract, a </w:t>
      </w:r>
      <w:r>
        <w:t xml:space="preserve">seamless and transparent </w:t>
      </w:r>
      <w:r w:rsidRPr="00F0402D">
        <w:t xml:space="preserve">transfer is in the best interest of </w:t>
      </w:r>
      <w:r>
        <w:t>TWC stakeholders</w:t>
      </w:r>
      <w:r w:rsidRPr="00F0402D">
        <w:t>. TWC and the Awarded Vendor therefore agree to develop and implement a reasonable transition plan (the “Transition Plan”) designed to achieve an efficient transfer of responsibility to another entity, in a timely manner, and to cooperate fully throughout the post-termination period until such transition is complete. </w:t>
      </w:r>
      <w:r>
        <w:t>TWC requires that the Awarded Vendor work in conjunction with TWC and any subsequent contractor to ensure a smooth transition at the end of any contract resulting from this solicitation.</w:t>
      </w:r>
    </w:p>
    <w:p w14:paraId="03CF59DB" w14:textId="77777777" w:rsidR="003C0E7A" w:rsidRDefault="003C0E7A" w:rsidP="003C0E7A">
      <w:pPr>
        <w:pStyle w:val="ListParagraph"/>
      </w:pPr>
    </w:p>
    <w:p w14:paraId="44B6DE01" w14:textId="77777777" w:rsidR="003C0E7A" w:rsidRPr="007512FA" w:rsidRDefault="003C0E7A" w:rsidP="003C0E7A">
      <w:pPr>
        <w:pStyle w:val="ListParagraph"/>
        <w:rPr>
          <w:sz w:val="20"/>
        </w:rPr>
      </w:pPr>
      <w:r>
        <w:t>At the end of this contract t</w:t>
      </w:r>
      <w:r w:rsidRPr="007512FA">
        <w:t>he Awarded Vendor must:</w:t>
      </w:r>
    </w:p>
    <w:p w14:paraId="366FB617" w14:textId="77777777" w:rsidR="003C0E7A" w:rsidRDefault="003C0E7A" w:rsidP="003C0E7A">
      <w:pPr>
        <w:pStyle w:val="LB1"/>
      </w:pPr>
      <w:r>
        <w:t>Fully cooperate with any subsequent vendor;</w:t>
      </w:r>
    </w:p>
    <w:p w14:paraId="76A94F24" w14:textId="77777777" w:rsidR="003C0E7A" w:rsidRDefault="003C0E7A" w:rsidP="003C0E7A">
      <w:pPr>
        <w:pStyle w:val="LB1"/>
      </w:pPr>
      <w:r>
        <w:t>Provide a written plan that details disposition of TWC Data and hand-off of services;</w:t>
      </w:r>
    </w:p>
    <w:p w14:paraId="584E2085" w14:textId="77777777" w:rsidR="003C0E7A" w:rsidRDefault="003C0E7A" w:rsidP="003C0E7A">
      <w:pPr>
        <w:pStyle w:val="LB1"/>
      </w:pPr>
      <w:r w:rsidRPr="007512FA">
        <w:t xml:space="preserve">Agree to transfer the data in its custody to </w:t>
      </w:r>
      <w:r>
        <w:t>any subsequent v</w:t>
      </w:r>
      <w:r w:rsidRPr="007512FA">
        <w:t>endor</w:t>
      </w:r>
      <w:r>
        <w:t>, via secured means;</w:t>
      </w:r>
    </w:p>
    <w:p w14:paraId="484285AD" w14:textId="270D587C" w:rsidR="003C0E7A" w:rsidRPr="007512FA" w:rsidRDefault="003C0E7A" w:rsidP="003C0E7A">
      <w:pPr>
        <w:pStyle w:val="LB1"/>
      </w:pPr>
      <w:r w:rsidRPr="007512FA">
        <w:t>Comply with audit verification that all data has been transferred that is necessary for record retention, access logging and investigation, confirming that no data is retained once the transfer is complete</w:t>
      </w:r>
      <w:r w:rsidR="008F077B">
        <w:t>, received,</w:t>
      </w:r>
      <w:r w:rsidRPr="007512FA">
        <w:t xml:space="preserve"> an</w:t>
      </w:r>
      <w:r w:rsidR="008F077B">
        <w:t>d usability has</w:t>
      </w:r>
      <w:r>
        <w:t xml:space="preserve"> been confirmed;</w:t>
      </w:r>
    </w:p>
    <w:p w14:paraId="3B0F2540" w14:textId="6B30E218" w:rsidR="003C0E7A" w:rsidRDefault="003C0E7A" w:rsidP="003C0E7A">
      <w:pPr>
        <w:pStyle w:val="LB1"/>
      </w:pPr>
      <w:r>
        <w:t xml:space="preserve">Certify </w:t>
      </w:r>
      <w:r w:rsidR="00913ED3">
        <w:t xml:space="preserve">that </w:t>
      </w:r>
      <w:r>
        <w:t>TWC Data has been removed and sanitized from Awarded Vendor’s hosted solution; and</w:t>
      </w:r>
    </w:p>
    <w:p w14:paraId="4F14D533" w14:textId="77777777" w:rsidR="003C0E7A" w:rsidRPr="00C9466F" w:rsidRDefault="003C0E7A" w:rsidP="003C0E7A">
      <w:pPr>
        <w:pStyle w:val="LB1"/>
      </w:pPr>
      <w:r w:rsidRPr="007512FA">
        <w:lastRenderedPageBreak/>
        <w:t xml:space="preserve">The </w:t>
      </w:r>
      <w:r>
        <w:t>Awarded Vendor</w:t>
      </w:r>
      <w:r w:rsidRPr="007512FA">
        <w:t xml:space="preserve"> must identify any TWC proprietary documentation and return it to the </w:t>
      </w:r>
      <w:r>
        <w:t>TWC IT Contract Manager</w:t>
      </w:r>
      <w:r w:rsidRPr="007512FA">
        <w:t xml:space="preserve">. Any electronic copies of TWC proprietary information stored on </w:t>
      </w:r>
      <w:r>
        <w:t xml:space="preserve">Awarded </w:t>
      </w:r>
      <w:r w:rsidRPr="007512FA">
        <w:t xml:space="preserve">Vendor equipment must </w:t>
      </w:r>
      <w:r>
        <w:t xml:space="preserve">be </w:t>
      </w:r>
      <w:r w:rsidRPr="007512FA">
        <w:t>transferred back to TWC before being deleted.</w:t>
      </w:r>
      <w:r w:rsidRPr="004F086E">
        <w:t xml:space="preserve"> </w:t>
      </w:r>
      <w:r w:rsidRPr="007512FA">
        <w:t>The format and the medium of transfer will be at the discretion of TWC.</w:t>
      </w:r>
    </w:p>
    <w:p w14:paraId="6D43F445" w14:textId="77777777" w:rsidR="003C0E7A" w:rsidRDefault="003C0E7A" w:rsidP="003C0E7A"/>
    <w:p w14:paraId="62FEE6BD" w14:textId="74660C9D" w:rsidR="003C0E7A" w:rsidRDefault="003C0E7A" w:rsidP="003C0E7A">
      <w:r w:rsidRPr="00F0402D">
        <w:t xml:space="preserve">TWC and the Awarded Vendor </w:t>
      </w:r>
      <w:r>
        <w:t>must</w:t>
      </w:r>
      <w:r w:rsidRPr="00F0402D">
        <w:t xml:space="preserve"> develop a Transition Plan for the orderly, effective transition of data</w:t>
      </w:r>
      <w:r>
        <w:t xml:space="preserve"> </w:t>
      </w:r>
      <w:r w:rsidRPr="00F0402D">
        <w:t xml:space="preserve">and operations at the termination of this Contract. The Transition Plan </w:t>
      </w:r>
      <w:r>
        <w:t>will</w:t>
      </w:r>
      <w:r w:rsidRPr="00F0402D">
        <w:t xml:space="preserve"> specify the tasks to be performed by the parties, the schedule for the performance of such tasks, and the respective responsibilities of the parties associated with the tasks. The Transition Plan </w:t>
      </w:r>
      <w:r>
        <w:t>will</w:t>
      </w:r>
      <w:r w:rsidRPr="00F0402D">
        <w:t xml:space="preserve"> be completed at a date agreed upon by TWC and the Awarded Vendor, but not later than six (6) months from the award of the Contract.</w:t>
      </w:r>
    </w:p>
    <w:p w14:paraId="67E6BB3F" w14:textId="77777777" w:rsidR="003C0E7A" w:rsidRDefault="003C0E7A" w:rsidP="003C0E7A">
      <w:r w:rsidRPr="007006D1">
        <w:t>The written Transition Plan must include, at a minimum, the procedures and schedule under which:</w:t>
      </w:r>
    </w:p>
    <w:p w14:paraId="19AA50E2" w14:textId="77777777" w:rsidR="003C0E7A" w:rsidRPr="007006D1" w:rsidRDefault="003C0E7A" w:rsidP="003C0E7A">
      <w:pPr>
        <w:pStyle w:val="LB1"/>
      </w:pPr>
      <w:r w:rsidRPr="007006D1">
        <w:t xml:space="preserve">The Awarded Vendor’s and the TWC’s transition managers </w:t>
      </w:r>
      <w:r>
        <w:t>will</w:t>
      </w:r>
      <w:r w:rsidRPr="007006D1">
        <w:t xml:space="preserve"> meet to review the status of Transition Plan activ</w:t>
      </w:r>
      <w:r>
        <w:t>ities and to resolve any issues;</w:t>
      </w:r>
    </w:p>
    <w:p w14:paraId="35ED9E48" w14:textId="77777777" w:rsidR="003C0E7A" w:rsidRPr="007006D1" w:rsidRDefault="003C0E7A" w:rsidP="003C0E7A">
      <w:pPr>
        <w:pStyle w:val="LB1"/>
      </w:pPr>
      <w:r w:rsidRPr="007006D1">
        <w:t xml:space="preserve">Outside vendors </w:t>
      </w:r>
      <w:r>
        <w:t>will</w:t>
      </w:r>
      <w:r w:rsidRPr="007006D1">
        <w:t xml:space="preserve"> be notified of procedures to be followed during t</w:t>
      </w:r>
      <w:r>
        <w:t>he transition;</w:t>
      </w:r>
    </w:p>
    <w:p w14:paraId="77DE0220" w14:textId="77777777" w:rsidR="003C0E7A" w:rsidRPr="007006D1" w:rsidRDefault="003C0E7A" w:rsidP="003C0E7A">
      <w:pPr>
        <w:pStyle w:val="LB1"/>
      </w:pPr>
      <w:r w:rsidRPr="007006D1">
        <w:t>All TWC Data and information, documents, mail, instruments, and other relevant inf</w:t>
      </w:r>
      <w:r>
        <w:t>ormation are transferred to TWC,</w:t>
      </w:r>
      <w:r w:rsidRPr="00384380">
        <w:t xml:space="preserve"> </w:t>
      </w:r>
      <w:r>
        <w:t>via secured means;</w:t>
      </w:r>
    </w:p>
    <w:p w14:paraId="1B047AE4" w14:textId="77777777" w:rsidR="003C0E7A" w:rsidRPr="007006D1" w:rsidRDefault="003C0E7A" w:rsidP="003C0E7A">
      <w:pPr>
        <w:pStyle w:val="LB1"/>
      </w:pPr>
      <w:r w:rsidRPr="007006D1">
        <w:t>Financ</w:t>
      </w:r>
      <w:r>
        <w:t>ial reconciliation of all funds;</w:t>
      </w:r>
    </w:p>
    <w:p w14:paraId="15EB3AA6" w14:textId="77777777" w:rsidR="003C0E7A" w:rsidRPr="007006D1" w:rsidRDefault="003C0E7A" w:rsidP="003C0E7A">
      <w:pPr>
        <w:pStyle w:val="LB1"/>
      </w:pPr>
      <w:r w:rsidRPr="007006D1">
        <w:t>Any interim measures deemed necessary to ensure compliance with federal and state law and regulations are taken</w:t>
      </w:r>
      <w:r>
        <w:t>; and</w:t>
      </w:r>
    </w:p>
    <w:p w14:paraId="7C35A028" w14:textId="00F1B41D" w:rsidR="003C0E7A" w:rsidRPr="007006D1" w:rsidRDefault="003C0E7A" w:rsidP="003C0E7A">
      <w:pPr>
        <w:pStyle w:val="LB1"/>
      </w:pPr>
      <w:r w:rsidRPr="007006D1">
        <w:t xml:space="preserve">Final approval of the Transition Plan resides with TWC. The Awarded Vendor and TWC </w:t>
      </w:r>
      <w:r>
        <w:t>will</w:t>
      </w:r>
      <w:r w:rsidRPr="007006D1">
        <w:t xml:space="preserve"> revisit the plan during January of each year of the Contract. The termination of services under this Contract, occurring for any reason, </w:t>
      </w:r>
      <w:r>
        <w:t>will</w:t>
      </w:r>
      <w:r w:rsidRPr="007006D1">
        <w:t xml:space="preserve"> be governed by and follow the approved Transition Plan.</w:t>
      </w:r>
    </w:p>
    <w:p w14:paraId="304E2507" w14:textId="77777777" w:rsidR="003C0E7A" w:rsidRPr="00F0402D" w:rsidRDefault="003C0E7A" w:rsidP="003C0E7A">
      <w:pPr>
        <w:pStyle w:val="ListParagraph"/>
      </w:pPr>
    </w:p>
    <w:p w14:paraId="40EF592E" w14:textId="096F0B1D" w:rsidR="003C0E7A" w:rsidRPr="00A41399" w:rsidRDefault="003C0E7A" w:rsidP="003C0E7A">
      <w:pPr>
        <w:pStyle w:val="ListParagraph"/>
      </w:pPr>
      <w:r w:rsidRPr="00A41399">
        <w:t xml:space="preserve">The Awarded Vendor </w:t>
      </w:r>
      <w:r>
        <w:t>must</w:t>
      </w:r>
      <w:r w:rsidRPr="00A41399">
        <w:t xml:space="preserve"> cooperate with TWC to assist with the orderly transfer of the services, functions</w:t>
      </w:r>
      <w:r>
        <w:t>,</w:t>
      </w:r>
      <w:r w:rsidRPr="00A41399">
        <w:t xml:space="preserve"> and operation provided by the Awarded Vendor hereunder to another service provider. Awarded Vendor personnel critical to the transfer efforts </w:t>
      </w:r>
      <w:r>
        <w:t>will</w:t>
      </w:r>
      <w:r w:rsidRPr="007006D1">
        <w:t xml:space="preserve"> </w:t>
      </w:r>
      <w:r w:rsidRPr="00A41399">
        <w:t xml:space="preserve">be identified by the parties. The Awarded Vendor </w:t>
      </w:r>
      <w:r>
        <w:t>will</w:t>
      </w:r>
      <w:r w:rsidRPr="007006D1">
        <w:t xml:space="preserve"> </w:t>
      </w:r>
      <w:r w:rsidRPr="00A41399">
        <w:t xml:space="preserve">ensure the cooperation of its key employees during the transfer process. The Awarded Vendor </w:t>
      </w:r>
      <w:r>
        <w:t>will</w:t>
      </w:r>
      <w:r w:rsidRPr="007006D1">
        <w:t xml:space="preserve"> </w:t>
      </w:r>
      <w:r w:rsidRPr="00A41399">
        <w:t xml:space="preserve">provide full disclosure to TWC of </w:t>
      </w:r>
      <w:r>
        <w:t>all</w:t>
      </w:r>
      <w:r w:rsidRPr="00A41399">
        <w:t xml:space="preserve"> services required to perform services previously performed by the Awarded Vendor within thirty (30) calendar days of any TWC request for same. The Awarded Vendor </w:t>
      </w:r>
      <w:r>
        <w:t>will</w:t>
      </w:r>
      <w:r w:rsidRPr="007006D1">
        <w:t xml:space="preserve"> </w:t>
      </w:r>
      <w:r w:rsidRPr="00A41399">
        <w:t>exercise reasonable efforts to affect a transfer of license or assignment of agreement(s) for any Software or third-party services utilized by the Awarded Vendor to pro</w:t>
      </w:r>
      <w:r>
        <w:t>vide services to TWC. </w:t>
      </w:r>
      <w:r w:rsidRPr="00A41399">
        <w:t xml:space="preserve">The Awarded Vendor </w:t>
      </w:r>
      <w:r>
        <w:t>will</w:t>
      </w:r>
      <w:r w:rsidRPr="007006D1">
        <w:t xml:space="preserve"> </w:t>
      </w:r>
      <w:r w:rsidRPr="00A41399">
        <w:t xml:space="preserve">ensure that TWC obtains appropriate access to third-party services, </w:t>
      </w:r>
      <w:r>
        <w:t>h</w:t>
      </w:r>
      <w:r w:rsidRPr="00A41399">
        <w:t xml:space="preserve">ardware, </w:t>
      </w:r>
      <w:r>
        <w:t>s</w:t>
      </w:r>
      <w:r w:rsidRPr="00A41399">
        <w:t>oftware, personnel, and facilities required to perform an orderly transition.</w:t>
      </w:r>
    </w:p>
    <w:p w14:paraId="393D192C" w14:textId="77777777" w:rsidR="003C0E7A" w:rsidRDefault="003C0E7A" w:rsidP="003C0E7A">
      <w:pPr>
        <w:pStyle w:val="ListParagraph"/>
      </w:pPr>
    </w:p>
    <w:p w14:paraId="4C31E3B2" w14:textId="242D8652" w:rsidR="003C0E7A" w:rsidRDefault="003C0E7A" w:rsidP="003C0E7A">
      <w:r w:rsidRPr="001100E1">
        <w:t>In the event, any Contract resulting from this RFO expires or is terminated for any reason before the end of the Contract period, the Awarded Vendor must extend the services</w:t>
      </w:r>
      <w:r>
        <w:t xml:space="preserve"> </w:t>
      </w:r>
      <w:r w:rsidRPr="00A41399">
        <w:t xml:space="preserve">hereunder </w:t>
      </w:r>
      <w:r w:rsidRPr="001100E1">
        <w:t xml:space="preserve">for a period up to one hundred eighty (180) </w:t>
      </w:r>
      <w:r>
        <w:t xml:space="preserve">calendar </w:t>
      </w:r>
      <w:r w:rsidRPr="001100E1">
        <w:t xml:space="preserve">days (time period is at sole discretion of TWC), or until such time as services of a new Contract is in effect and implemented, as determined by and at the sole discretion of TWC. Following this Termination Assistance period, the Awarded Vendor </w:t>
      </w:r>
      <w:r>
        <w:t>will</w:t>
      </w:r>
      <w:r w:rsidRPr="007006D1">
        <w:t xml:space="preserve"> </w:t>
      </w:r>
      <w:r w:rsidRPr="001100E1">
        <w:t>answer questions fro</w:t>
      </w:r>
      <w:r>
        <w:t>m TWC on an “as needed” basis. </w:t>
      </w:r>
      <w:r w:rsidRPr="001100E1">
        <w:t xml:space="preserve">The Awarded Vendor </w:t>
      </w:r>
      <w:r>
        <w:t>will</w:t>
      </w:r>
      <w:r w:rsidRPr="007006D1">
        <w:t xml:space="preserve"> </w:t>
      </w:r>
      <w:r w:rsidRPr="001100E1">
        <w:t>work with TWC and any other organization(s) designated by TWC to facilitate an orderly transition of services at the end of the Contract term.</w:t>
      </w:r>
    </w:p>
    <w:p w14:paraId="0186B084" w14:textId="7BEAC4A5" w:rsidR="003C0E7A" w:rsidRDefault="003C0E7A" w:rsidP="003C0E7A"/>
    <w:p w14:paraId="7886FB1B" w14:textId="39999C84" w:rsidR="003C0E7A" w:rsidRDefault="00272A05" w:rsidP="00272A05">
      <w:r>
        <w:t>T</w:t>
      </w:r>
      <w:r w:rsidR="003C0E7A">
        <w:t xml:space="preserve">he Awarded Vendor will </w:t>
      </w:r>
      <w:r>
        <w:t>complete</w:t>
      </w:r>
      <w:r w:rsidR="003C0E7A">
        <w:t xml:space="preserve"> the following deliverables during this Task:</w:t>
      </w:r>
    </w:p>
    <w:tbl>
      <w:tblPr>
        <w:tblStyle w:val="TableGrid"/>
        <w:tblW w:w="10764" w:type="dxa"/>
        <w:tblInd w:w="175" w:type="dxa"/>
        <w:tblLayout w:type="fixed"/>
        <w:tblLook w:val="04A0" w:firstRow="1" w:lastRow="0" w:firstColumn="1" w:lastColumn="0" w:noHBand="0" w:noVBand="1"/>
        <w:tblCaption w:val="End of contract services table"/>
      </w:tblPr>
      <w:tblGrid>
        <w:gridCol w:w="936"/>
        <w:gridCol w:w="2214"/>
        <w:gridCol w:w="5670"/>
        <w:gridCol w:w="1944"/>
      </w:tblGrid>
      <w:tr w:rsidR="003C0E7A" w:rsidRPr="00873442" w14:paraId="4CEA79A4" w14:textId="77777777" w:rsidTr="00BD2258">
        <w:trPr>
          <w:tblHeader/>
        </w:trPr>
        <w:tc>
          <w:tcPr>
            <w:tcW w:w="936" w:type="dxa"/>
            <w:shd w:val="clear" w:color="auto" w:fill="DEEAF6" w:themeFill="accent1" w:themeFillTint="33"/>
            <w:vAlign w:val="bottom"/>
          </w:tcPr>
          <w:p w14:paraId="5385AD9F" w14:textId="77777777" w:rsidR="003C0E7A" w:rsidRPr="004F202B" w:rsidRDefault="003C0E7A" w:rsidP="0033782E">
            <w:pPr>
              <w:keepNext/>
              <w:spacing w:after="0"/>
              <w:ind w:left="0"/>
              <w:jc w:val="center"/>
              <w:rPr>
                <w:rFonts w:cs="Arial"/>
                <w:b/>
                <w:color w:val="1F3864" w:themeColor="accent5" w:themeShade="80"/>
              </w:rPr>
            </w:pPr>
            <w:r w:rsidRPr="004F202B">
              <w:rPr>
                <w:rFonts w:cs="Arial"/>
                <w:b/>
                <w:color w:val="1F3864" w:themeColor="accent5" w:themeShade="80"/>
              </w:rPr>
              <w:t>No.</w:t>
            </w:r>
          </w:p>
        </w:tc>
        <w:tc>
          <w:tcPr>
            <w:tcW w:w="2214" w:type="dxa"/>
            <w:shd w:val="clear" w:color="auto" w:fill="DEEAF6" w:themeFill="accent1" w:themeFillTint="33"/>
          </w:tcPr>
          <w:p w14:paraId="4A629D27" w14:textId="77777777" w:rsidR="003C0E7A" w:rsidRPr="001B5E0B" w:rsidRDefault="003C0E7A" w:rsidP="0033782E">
            <w:pPr>
              <w:keepNext/>
              <w:spacing w:after="0"/>
              <w:ind w:left="0"/>
              <w:rPr>
                <w:rFonts w:cs="Arial"/>
                <w:b/>
                <w:color w:val="1F3864" w:themeColor="accent5" w:themeShade="80"/>
              </w:rPr>
            </w:pPr>
            <w:r>
              <w:rPr>
                <w:rFonts w:cs="Arial"/>
                <w:b/>
                <w:color w:val="1F3864" w:themeColor="accent5" w:themeShade="80"/>
              </w:rPr>
              <w:t>Deliverable</w:t>
            </w:r>
          </w:p>
        </w:tc>
        <w:tc>
          <w:tcPr>
            <w:tcW w:w="5670" w:type="dxa"/>
            <w:shd w:val="clear" w:color="auto" w:fill="DEEAF6" w:themeFill="accent1" w:themeFillTint="33"/>
          </w:tcPr>
          <w:p w14:paraId="4433CCB1" w14:textId="77777777" w:rsidR="003C0E7A" w:rsidRPr="001B5E0B" w:rsidRDefault="003C0E7A" w:rsidP="0033782E">
            <w:pPr>
              <w:keepNext/>
              <w:spacing w:after="0"/>
              <w:ind w:left="0"/>
              <w:rPr>
                <w:rFonts w:cs="Arial"/>
                <w:b/>
                <w:color w:val="1F3864" w:themeColor="accent5" w:themeShade="80"/>
              </w:rPr>
            </w:pPr>
            <w:r>
              <w:rPr>
                <w:rFonts w:cs="Arial"/>
                <w:b/>
                <w:color w:val="1F3864" w:themeColor="accent5" w:themeShade="80"/>
              </w:rPr>
              <w:t>Acceptance Criteria</w:t>
            </w:r>
          </w:p>
        </w:tc>
        <w:tc>
          <w:tcPr>
            <w:tcW w:w="1944" w:type="dxa"/>
            <w:shd w:val="clear" w:color="auto" w:fill="DEEAF6" w:themeFill="accent1" w:themeFillTint="33"/>
            <w:vAlign w:val="bottom"/>
          </w:tcPr>
          <w:p w14:paraId="12406EE1" w14:textId="77777777" w:rsidR="003C0E7A" w:rsidRPr="004F202B" w:rsidRDefault="003C0E7A" w:rsidP="0033782E">
            <w:pPr>
              <w:keepNext/>
              <w:spacing w:after="0"/>
              <w:ind w:left="0"/>
              <w:rPr>
                <w:rFonts w:cs="Arial"/>
                <w:b/>
                <w:color w:val="1F3864" w:themeColor="accent5" w:themeShade="80"/>
              </w:rPr>
            </w:pPr>
            <w:r>
              <w:rPr>
                <w:rFonts w:cs="Arial"/>
                <w:b/>
                <w:color w:val="1F3864" w:themeColor="accent5" w:themeShade="80"/>
              </w:rPr>
              <w:t>Due Date</w:t>
            </w:r>
          </w:p>
        </w:tc>
      </w:tr>
      <w:tr w:rsidR="003C0E7A" w:rsidRPr="00873442" w14:paraId="7DA054EC" w14:textId="77777777" w:rsidTr="00BD2258">
        <w:tc>
          <w:tcPr>
            <w:tcW w:w="936" w:type="dxa"/>
          </w:tcPr>
          <w:p w14:paraId="5A49627E" w14:textId="7E201707" w:rsidR="003C0E7A" w:rsidRDefault="003C0E7A" w:rsidP="0033782E">
            <w:pPr>
              <w:ind w:left="0"/>
              <w:jc w:val="center"/>
            </w:pPr>
            <w:r>
              <w:t>1</w:t>
            </w:r>
            <w:r w:rsidR="00E63C4A">
              <w:t>8</w:t>
            </w:r>
            <w:r>
              <w:t>A</w:t>
            </w:r>
          </w:p>
        </w:tc>
        <w:tc>
          <w:tcPr>
            <w:tcW w:w="2214" w:type="dxa"/>
          </w:tcPr>
          <w:p w14:paraId="4C54546A" w14:textId="0EEC0101" w:rsidR="003C0E7A" w:rsidRDefault="003C0E7A" w:rsidP="0033782E">
            <w:pPr>
              <w:ind w:left="0"/>
            </w:pPr>
            <w:r>
              <w:t>Transition Plan</w:t>
            </w:r>
          </w:p>
        </w:tc>
        <w:tc>
          <w:tcPr>
            <w:tcW w:w="5670" w:type="dxa"/>
          </w:tcPr>
          <w:p w14:paraId="5A373BC6" w14:textId="292EAA10" w:rsidR="003C0E7A" w:rsidRDefault="003C0E7A" w:rsidP="0033782E">
            <w:pPr>
              <w:ind w:left="0"/>
            </w:pPr>
            <w:r>
              <w:t>At a minimum, the Plan must</w:t>
            </w:r>
            <w:r w:rsidR="00BD2258" w:rsidRPr="007006D1">
              <w:t xml:space="preserve"> </w:t>
            </w:r>
            <w:r w:rsidR="00BD2258">
              <w:t>include</w:t>
            </w:r>
            <w:r w:rsidR="00BD2258" w:rsidRPr="007006D1">
              <w:t xml:space="preserve"> the procedures and schedule under which</w:t>
            </w:r>
            <w:r>
              <w:t>:</w:t>
            </w:r>
          </w:p>
          <w:p w14:paraId="638098EB" w14:textId="19E71971" w:rsidR="00BD2258" w:rsidRDefault="00BD2258" w:rsidP="00BD2258">
            <w:pPr>
              <w:pStyle w:val="LB1-Table"/>
            </w:pPr>
            <w:r>
              <w:t xml:space="preserve">A seamless and transparent </w:t>
            </w:r>
            <w:r w:rsidRPr="00F0402D">
              <w:t>transition of data</w:t>
            </w:r>
            <w:r>
              <w:t xml:space="preserve"> </w:t>
            </w:r>
            <w:r w:rsidRPr="00F0402D">
              <w:t xml:space="preserve">and operations </w:t>
            </w:r>
            <w:r>
              <w:t>will occur to a subsequent contractor;</w:t>
            </w:r>
          </w:p>
          <w:p w14:paraId="6028A49C" w14:textId="77777777" w:rsidR="00BD2258" w:rsidRPr="007006D1" w:rsidRDefault="00BD2258" w:rsidP="00BD2258">
            <w:pPr>
              <w:pStyle w:val="LB1-Table"/>
            </w:pPr>
            <w:r w:rsidRPr="007006D1">
              <w:t xml:space="preserve">The Awarded Vendor’s and the TWC’s transition managers </w:t>
            </w:r>
            <w:r>
              <w:t>will</w:t>
            </w:r>
            <w:r w:rsidRPr="007006D1">
              <w:t xml:space="preserve"> meet to review the status of Transition Plan activ</w:t>
            </w:r>
            <w:r>
              <w:t>ities and to resolve any issues;</w:t>
            </w:r>
          </w:p>
          <w:p w14:paraId="123FD40F" w14:textId="77777777" w:rsidR="00BD2258" w:rsidRPr="007006D1" w:rsidRDefault="00BD2258" w:rsidP="00BD2258">
            <w:pPr>
              <w:pStyle w:val="LB1-Table"/>
            </w:pPr>
            <w:r w:rsidRPr="007006D1">
              <w:t xml:space="preserve">Outside vendors </w:t>
            </w:r>
            <w:r>
              <w:t>will</w:t>
            </w:r>
            <w:r w:rsidRPr="007006D1">
              <w:t xml:space="preserve"> be notified of procedures to be followed during t</w:t>
            </w:r>
            <w:r>
              <w:t>he transition;</w:t>
            </w:r>
          </w:p>
          <w:p w14:paraId="35B6FFB1" w14:textId="77777777" w:rsidR="00BD2258" w:rsidRPr="007006D1" w:rsidRDefault="00BD2258" w:rsidP="00BD2258">
            <w:pPr>
              <w:pStyle w:val="LB1-Table"/>
            </w:pPr>
            <w:r w:rsidRPr="007006D1">
              <w:t>All TWC Data and information, documents, mail, instruments, and other relevant inf</w:t>
            </w:r>
            <w:r>
              <w:t>ormation are transferred to TWC,</w:t>
            </w:r>
            <w:r w:rsidRPr="00384380">
              <w:t xml:space="preserve"> </w:t>
            </w:r>
            <w:r>
              <w:t>via secured means;</w:t>
            </w:r>
          </w:p>
          <w:p w14:paraId="487C04A3" w14:textId="77777777" w:rsidR="00BD2258" w:rsidRPr="007006D1" w:rsidRDefault="00BD2258" w:rsidP="00BD2258">
            <w:pPr>
              <w:pStyle w:val="LB1-Table"/>
            </w:pPr>
            <w:r w:rsidRPr="007006D1">
              <w:t>Financ</w:t>
            </w:r>
            <w:r>
              <w:t>ial reconciliation of all funds;</w:t>
            </w:r>
          </w:p>
          <w:p w14:paraId="58CACB2A" w14:textId="77777777" w:rsidR="00BD2258" w:rsidRPr="007006D1" w:rsidRDefault="00BD2258" w:rsidP="00BD2258">
            <w:pPr>
              <w:pStyle w:val="LB1-Table"/>
            </w:pPr>
            <w:r w:rsidRPr="007006D1">
              <w:t>Any interim measures deemed necessary to ensure compliance with federal and state law and regulations are taken</w:t>
            </w:r>
            <w:r>
              <w:t>; and</w:t>
            </w:r>
          </w:p>
          <w:p w14:paraId="6E578C6B" w14:textId="22A37146" w:rsidR="003C0E7A" w:rsidRDefault="00BD2258" w:rsidP="00BD2258">
            <w:pPr>
              <w:pStyle w:val="LB1-Table"/>
            </w:pPr>
            <w:r w:rsidRPr="007006D1">
              <w:t xml:space="preserve">The Awarded Vendor and TWC </w:t>
            </w:r>
            <w:r>
              <w:t>will</w:t>
            </w:r>
            <w:r w:rsidRPr="007006D1">
              <w:t xml:space="preserve"> revisit the plan during Januar</w:t>
            </w:r>
            <w:r w:rsidR="005309BF">
              <w:t>y of each year of the Contract</w:t>
            </w:r>
            <w:r w:rsidR="003C0E7A">
              <w:t>.</w:t>
            </w:r>
          </w:p>
        </w:tc>
        <w:tc>
          <w:tcPr>
            <w:tcW w:w="1944" w:type="dxa"/>
          </w:tcPr>
          <w:p w14:paraId="2FB2E8F9" w14:textId="3B61D10B" w:rsidR="003C0E7A" w:rsidRPr="00F57DB3" w:rsidRDefault="003C0E7A" w:rsidP="0033782E">
            <w:pPr>
              <w:ind w:left="0"/>
            </w:pPr>
            <w:r>
              <w:t>No later than AoC + six (6) months</w:t>
            </w:r>
          </w:p>
        </w:tc>
      </w:tr>
      <w:tr w:rsidR="00272A05" w:rsidRPr="00873442" w14:paraId="3CAB2986" w14:textId="77777777" w:rsidTr="00BD2258">
        <w:tc>
          <w:tcPr>
            <w:tcW w:w="936" w:type="dxa"/>
          </w:tcPr>
          <w:p w14:paraId="6FE46352" w14:textId="64223430" w:rsidR="00272A05" w:rsidRDefault="00272A05" w:rsidP="00272A05">
            <w:pPr>
              <w:ind w:left="0"/>
              <w:jc w:val="center"/>
            </w:pPr>
            <w:r>
              <w:t>1</w:t>
            </w:r>
            <w:r w:rsidR="00E63C4A">
              <w:t>8</w:t>
            </w:r>
            <w:r>
              <w:t>B</w:t>
            </w:r>
          </w:p>
        </w:tc>
        <w:tc>
          <w:tcPr>
            <w:tcW w:w="2214" w:type="dxa"/>
          </w:tcPr>
          <w:p w14:paraId="27C32558" w14:textId="2C5A0B6F" w:rsidR="00272A05" w:rsidRDefault="00272A05" w:rsidP="00272A05">
            <w:pPr>
              <w:ind w:left="0"/>
            </w:pPr>
            <w:r>
              <w:t>Completed Transition Plan</w:t>
            </w:r>
          </w:p>
        </w:tc>
        <w:tc>
          <w:tcPr>
            <w:tcW w:w="5670" w:type="dxa"/>
          </w:tcPr>
          <w:p w14:paraId="63750179" w14:textId="77777777" w:rsidR="00272A05" w:rsidRDefault="00272A05" w:rsidP="00272A05">
            <w:pPr>
              <w:ind w:left="0"/>
            </w:pPr>
            <w:r>
              <w:t>At a minimum, Awarded Vendor must demonstrate that they successfully:</w:t>
            </w:r>
          </w:p>
          <w:p w14:paraId="62E1F51E" w14:textId="324E4901" w:rsidR="008F077B" w:rsidRDefault="008F077B" w:rsidP="008F077B">
            <w:pPr>
              <w:pStyle w:val="LB1-Table"/>
            </w:pPr>
            <w:r>
              <w:t>Fully cooperated with any subsequent vendor;</w:t>
            </w:r>
          </w:p>
          <w:p w14:paraId="11856355" w14:textId="00536F7A" w:rsidR="008F077B" w:rsidRDefault="008F077B" w:rsidP="008F077B">
            <w:pPr>
              <w:pStyle w:val="LB1-Table"/>
            </w:pPr>
            <w:r>
              <w:lastRenderedPageBreak/>
              <w:t>Provided a written plan that details disposition of TWC Data and hand-off of services;</w:t>
            </w:r>
          </w:p>
          <w:p w14:paraId="454068C7" w14:textId="455BE0EB" w:rsidR="008F077B" w:rsidRDefault="008F077B" w:rsidP="008F077B">
            <w:pPr>
              <w:pStyle w:val="LB1-Table"/>
            </w:pPr>
            <w:r>
              <w:t>T</w:t>
            </w:r>
            <w:r w:rsidRPr="007512FA">
              <w:t>ransfer</w:t>
            </w:r>
            <w:r>
              <w:t>red</w:t>
            </w:r>
            <w:r w:rsidRPr="007512FA">
              <w:t xml:space="preserve"> the data in its custody to </w:t>
            </w:r>
            <w:r>
              <w:t>any subsequent v</w:t>
            </w:r>
            <w:r w:rsidRPr="007512FA">
              <w:t>endor</w:t>
            </w:r>
            <w:r>
              <w:t>, via secured means;</w:t>
            </w:r>
          </w:p>
          <w:p w14:paraId="53007D46" w14:textId="1079603D" w:rsidR="008F077B" w:rsidRPr="007512FA" w:rsidRDefault="008F077B" w:rsidP="008F077B">
            <w:pPr>
              <w:pStyle w:val="LB1-Table"/>
            </w:pPr>
            <w:r>
              <w:t>Complied</w:t>
            </w:r>
            <w:r w:rsidRPr="007512FA">
              <w:t xml:space="preserve"> with audit verification that all data has been transferred that is necessary for record retention, access logging and investigation, confirming that no data is retained once the transfer is complete</w:t>
            </w:r>
            <w:r>
              <w:t>, received,</w:t>
            </w:r>
            <w:r w:rsidRPr="007512FA">
              <w:t xml:space="preserve"> an</w:t>
            </w:r>
            <w:r>
              <w:t>d usability has been confirmed;</w:t>
            </w:r>
          </w:p>
          <w:p w14:paraId="54D2BE3F" w14:textId="3FEB4353" w:rsidR="008F077B" w:rsidRDefault="008F077B" w:rsidP="008F077B">
            <w:pPr>
              <w:pStyle w:val="LB1-Table"/>
            </w:pPr>
            <w:r>
              <w:t xml:space="preserve">Certified TWC Data has been removed and sanitized from Awarded Vendor’s hosted solution; </w:t>
            </w:r>
          </w:p>
          <w:p w14:paraId="19566BDD" w14:textId="259E2B2E" w:rsidR="008F077B" w:rsidRDefault="008F077B" w:rsidP="008F077B">
            <w:pPr>
              <w:pStyle w:val="LB1-Table"/>
            </w:pPr>
            <w:r>
              <w:t>Returned a</w:t>
            </w:r>
            <w:r w:rsidRPr="007512FA">
              <w:t xml:space="preserve">ny TWC proprietary documentation to the </w:t>
            </w:r>
            <w:r>
              <w:t>TWC IT Contract Manager</w:t>
            </w:r>
            <w:r w:rsidR="00CF669B">
              <w:t>; and</w:t>
            </w:r>
          </w:p>
          <w:p w14:paraId="047C71D2" w14:textId="0E2C44AD" w:rsidR="00272A05" w:rsidRDefault="008F077B" w:rsidP="008F077B">
            <w:pPr>
              <w:pStyle w:val="LB1-Table"/>
            </w:pPr>
            <w:r>
              <w:t>Confirmed that a</w:t>
            </w:r>
            <w:r w:rsidRPr="007512FA">
              <w:t xml:space="preserve">ny electronic copies of TWC proprietary information stored on </w:t>
            </w:r>
            <w:r>
              <w:t xml:space="preserve">Awarded </w:t>
            </w:r>
            <w:r w:rsidRPr="007512FA">
              <w:t xml:space="preserve">Vendor equipment </w:t>
            </w:r>
            <w:r>
              <w:t xml:space="preserve">was </w:t>
            </w:r>
            <w:r w:rsidRPr="007512FA">
              <w:t xml:space="preserve">transferred back </w:t>
            </w:r>
            <w:r>
              <w:t>to TWC before being deleted</w:t>
            </w:r>
            <w:r w:rsidRPr="007512FA">
              <w:t>.</w:t>
            </w:r>
          </w:p>
        </w:tc>
        <w:tc>
          <w:tcPr>
            <w:tcW w:w="1944" w:type="dxa"/>
          </w:tcPr>
          <w:p w14:paraId="35273864" w14:textId="699D2801" w:rsidR="00272A05" w:rsidRDefault="00272A05" w:rsidP="00272A05">
            <w:pPr>
              <w:ind w:left="0"/>
            </w:pPr>
            <w:r w:rsidRPr="00F57DB3">
              <w:lastRenderedPageBreak/>
              <w:t xml:space="preserve">TBD </w:t>
            </w:r>
            <w:r>
              <w:t>as requested by TWC</w:t>
            </w:r>
          </w:p>
        </w:tc>
      </w:tr>
    </w:tbl>
    <w:p w14:paraId="5C37448F" w14:textId="77777777" w:rsidR="003C0E7A" w:rsidRDefault="003C0E7A" w:rsidP="003C0E7A"/>
    <w:p w14:paraId="7A000066" w14:textId="2DF69163" w:rsidR="005970BB" w:rsidRDefault="005970BB" w:rsidP="005970BB">
      <w:pPr>
        <w:pStyle w:val="Heading2"/>
      </w:pPr>
      <w:bookmarkStart w:id="141" w:name="_2.3_Deliverables_Schedule"/>
      <w:bookmarkStart w:id="142" w:name="_2.3_Optional_Project"/>
      <w:bookmarkStart w:id="143" w:name="_Toc13567414"/>
      <w:bookmarkEnd w:id="141"/>
      <w:bookmarkEnd w:id="142"/>
      <w:r w:rsidRPr="009F51CE">
        <w:t>2.3</w:t>
      </w:r>
      <w:r w:rsidRPr="009F51CE">
        <w:tab/>
      </w:r>
      <w:r>
        <w:t xml:space="preserve">Optional </w:t>
      </w:r>
      <w:r w:rsidR="004832F9">
        <w:t xml:space="preserve">Task and </w:t>
      </w:r>
      <w:r>
        <w:t>Project Deliverable</w:t>
      </w:r>
      <w:bookmarkEnd w:id="143"/>
    </w:p>
    <w:p w14:paraId="02E2A766" w14:textId="0C693F7E" w:rsidR="005970BB" w:rsidRPr="00873442" w:rsidRDefault="005970BB" w:rsidP="005970BB">
      <w:pPr>
        <w:spacing w:after="0"/>
        <w:rPr>
          <w:highlight w:val="yellow"/>
        </w:rPr>
      </w:pPr>
      <w:r w:rsidRPr="00E21848">
        <w:t xml:space="preserve">Offerors may, if desired, submit an offer for the Optional </w:t>
      </w:r>
      <w:r w:rsidR="004832F9">
        <w:t xml:space="preserve">Task and </w:t>
      </w:r>
      <w:r w:rsidRPr="00E21848">
        <w:t>Project Deliverable described in this section.</w:t>
      </w:r>
      <w:r>
        <w:t xml:space="preserve"> </w:t>
      </w:r>
      <w:r w:rsidRPr="00E21848">
        <w:t xml:space="preserve">TWC will conduct the evaluation of all responses based </w:t>
      </w:r>
      <w:r w:rsidR="00B74D72">
        <w:t xml:space="preserve">solely </w:t>
      </w:r>
      <w:r w:rsidRPr="00E21848">
        <w:t xml:space="preserve">on the </w:t>
      </w:r>
      <w:r w:rsidR="004832F9">
        <w:t xml:space="preserve">Tasks and </w:t>
      </w:r>
      <w:r w:rsidR="00B74D72">
        <w:t xml:space="preserve">Required Project </w:t>
      </w:r>
      <w:r w:rsidRPr="00E21848">
        <w:t xml:space="preserve">Deliverables </w:t>
      </w:r>
      <w:r w:rsidR="00B74D72">
        <w:t>in Section 2.2, not including any optional deliverables</w:t>
      </w:r>
      <w:r w:rsidRPr="00E21848">
        <w:t xml:space="preserve">. Offerors </w:t>
      </w:r>
      <w:r w:rsidRPr="00B940A2">
        <w:t>will not</w:t>
      </w:r>
      <w:r w:rsidRPr="00E21848">
        <w:t xml:space="preserve"> be penalized for </w:t>
      </w:r>
      <w:r>
        <w:t>not</w:t>
      </w:r>
      <w:r w:rsidRPr="00E21848">
        <w:t xml:space="preserve"> submit</w:t>
      </w:r>
      <w:r>
        <w:t>ting</w:t>
      </w:r>
      <w:r w:rsidRPr="00E21848">
        <w:t xml:space="preserve"> an offer for the Optional </w:t>
      </w:r>
      <w:r w:rsidR="004832F9">
        <w:t xml:space="preserve">Task and Project </w:t>
      </w:r>
      <w:r w:rsidRPr="00E21848">
        <w:t>Deliverable.</w:t>
      </w:r>
      <w:r>
        <w:t xml:space="preserve"> </w:t>
      </w:r>
      <w:r w:rsidRPr="00E21848">
        <w:t xml:space="preserve">Once TWC selects one (1) Offeror with whom to enter negotiations, TWC will determine whether to award the Optional </w:t>
      </w:r>
      <w:r w:rsidR="004832F9">
        <w:t xml:space="preserve">Task and Project </w:t>
      </w:r>
      <w:r w:rsidRPr="00E21848">
        <w:t xml:space="preserve">Deliverable (if Offeror </w:t>
      </w:r>
      <w:r>
        <w:t>included</w:t>
      </w:r>
      <w:r w:rsidRPr="00E21848">
        <w:t xml:space="preserve"> </w:t>
      </w:r>
      <w:r>
        <w:t xml:space="preserve">a </w:t>
      </w:r>
      <w:r w:rsidRPr="00E21848">
        <w:t>proposal for th</w:t>
      </w:r>
      <w:r>
        <w:t>at</w:t>
      </w:r>
      <w:r w:rsidRPr="00E21848">
        <w:t xml:space="preserve"> item) based on the total price of the offer, proposed price for </w:t>
      </w:r>
      <w:r>
        <w:t>that</w:t>
      </w:r>
      <w:r w:rsidRPr="00E21848">
        <w:t xml:space="preserve"> deliverable, Offeror’s qualifications related to </w:t>
      </w:r>
      <w:r>
        <w:t>that</w:t>
      </w:r>
      <w:r w:rsidRPr="00E21848">
        <w:t xml:space="preserve"> deliverable, and TWC’s available funding.</w:t>
      </w:r>
      <w:r w:rsidR="00D31645">
        <w:t xml:space="preserve">  If TWC de</w:t>
      </w:r>
      <w:r w:rsidR="006218D1">
        <w:t xml:space="preserve">termines that the Optional Task and Project Deliverable is too costly or exceeds the proposed budget, TWC </w:t>
      </w:r>
      <w:r w:rsidR="001D71F8">
        <w:t xml:space="preserve">may </w:t>
      </w:r>
      <w:r w:rsidR="006218D1">
        <w:t xml:space="preserve">consider a separate procurement at a later date.   </w:t>
      </w:r>
    </w:p>
    <w:p w14:paraId="4C3C93E6" w14:textId="77777777" w:rsidR="005970BB" w:rsidRDefault="005970BB" w:rsidP="005970BB">
      <w:pPr>
        <w:rPr>
          <w:highlight w:val="yellow"/>
        </w:rPr>
      </w:pPr>
    </w:p>
    <w:p w14:paraId="79DEB00E" w14:textId="77777777" w:rsidR="00DE2873" w:rsidRPr="0056115A" w:rsidRDefault="00DE2873" w:rsidP="00DE2873">
      <w:r w:rsidRPr="0056115A">
        <w:t>Following each deliverable below, provide a response in which you:</w:t>
      </w:r>
    </w:p>
    <w:p w14:paraId="6F14F4AE" w14:textId="77777777" w:rsidR="00DE2873" w:rsidRPr="00C57EF9" w:rsidRDefault="00DE2873" w:rsidP="00E16D2D">
      <w:pPr>
        <w:pStyle w:val="LB1"/>
      </w:pPr>
      <w:r w:rsidRPr="00C57EF9">
        <w:lastRenderedPageBreak/>
        <w:t>Either state that you accept all activities and work products or describe any changes you propose. If you propose changes, map your proposed changes to the deliverables, activities and work products in the RFO.</w:t>
      </w:r>
    </w:p>
    <w:p w14:paraId="11FBB11F" w14:textId="77777777" w:rsidR="00DE2873" w:rsidRPr="00C57EF9" w:rsidRDefault="00DE2873" w:rsidP="00F82166">
      <w:pPr>
        <w:pStyle w:val="LB1"/>
      </w:pPr>
      <w:r w:rsidRPr="00C57EF9">
        <w:t xml:space="preserve">Describe the approach you propose to use to develop the deliverable, including your understanding of the deliverable and how you plan to achieve success. </w:t>
      </w:r>
    </w:p>
    <w:p w14:paraId="7FC6BA1D" w14:textId="77777777" w:rsidR="00DE2873" w:rsidRPr="001808C2" w:rsidRDefault="00DE2873" w:rsidP="00F82166">
      <w:pPr>
        <w:pStyle w:val="LB1"/>
      </w:pPr>
      <w:r w:rsidRPr="00C57EF9">
        <w:t>Do not repeat</w:t>
      </w:r>
      <w:r w:rsidRPr="001808C2">
        <w:t xml:space="preserve"> the information provided in the RFO. </w:t>
      </w:r>
    </w:p>
    <w:p w14:paraId="6DF4802C" w14:textId="77777777" w:rsidR="005970BB" w:rsidRDefault="005970BB" w:rsidP="005970BB"/>
    <w:p w14:paraId="2EED149C" w14:textId="0B935304" w:rsidR="00426797" w:rsidRDefault="00426797" w:rsidP="00426797">
      <w:pPr>
        <w:pStyle w:val="Heading3"/>
      </w:pPr>
      <w:bookmarkStart w:id="144" w:name="_Toc13567415"/>
      <w:bookmarkStart w:id="145" w:name="_Hlk536788303"/>
      <w:r>
        <w:t>2.</w:t>
      </w:r>
      <w:r w:rsidR="005970BB">
        <w:t>3</w:t>
      </w:r>
      <w:r>
        <w:t>.1</w:t>
      </w:r>
      <w:r>
        <w:tab/>
      </w:r>
      <w:r w:rsidR="005970BB">
        <w:t xml:space="preserve">Optional </w:t>
      </w:r>
      <w:r w:rsidR="007E441C">
        <w:t xml:space="preserve">Task </w:t>
      </w:r>
      <w:r>
        <w:t xml:space="preserve">1: </w:t>
      </w:r>
      <w:r w:rsidR="00D72229">
        <w:t>Content Management System</w:t>
      </w:r>
      <w:bookmarkEnd w:id="144"/>
    </w:p>
    <w:p w14:paraId="583C5E97" w14:textId="1FE56CAC" w:rsidR="00426797" w:rsidRDefault="00426797" w:rsidP="00426797">
      <w:r w:rsidRPr="00BE594A">
        <w:t xml:space="preserve">The </w:t>
      </w:r>
      <w:r w:rsidR="00984CEC">
        <w:t>Awarded Vendor</w:t>
      </w:r>
      <w:r w:rsidRPr="00BE594A">
        <w:t xml:space="preserve"> will </w:t>
      </w:r>
      <w:r w:rsidR="005B6896">
        <w:t>provide</w:t>
      </w:r>
      <w:r w:rsidR="00984CEC">
        <w:t xml:space="preserve"> </w:t>
      </w:r>
      <w:r w:rsidR="00477C9C">
        <w:t xml:space="preserve">a replacement </w:t>
      </w:r>
      <w:r w:rsidR="00984CEC">
        <w:t>for</w:t>
      </w:r>
      <w:r w:rsidR="00477C9C">
        <w:t xml:space="preserve"> TWC’s existing content management system</w:t>
      </w:r>
      <w:r w:rsidR="009450CD">
        <w:t xml:space="preserve"> (CMS)</w:t>
      </w:r>
      <w:r w:rsidR="00477C9C">
        <w:t xml:space="preserve">, </w:t>
      </w:r>
      <w:r w:rsidR="002A55B3">
        <w:t xml:space="preserve">IBM </w:t>
      </w:r>
      <w:r w:rsidR="00477C9C">
        <w:t>FileNet</w:t>
      </w:r>
      <w:r w:rsidR="00313A02">
        <w:t>; and integrate</w:t>
      </w:r>
      <w:r w:rsidR="00984CEC">
        <w:t xml:space="preserve"> it with the Awarded Vendor’s UI Replacement System</w:t>
      </w:r>
      <w:r w:rsidR="00477C9C">
        <w:t xml:space="preserve">. </w:t>
      </w:r>
      <w:r w:rsidR="001C0A4D">
        <w:t>FileNet Content Manager is a document management engine that combines enterprise content (e.g., documents, correspondence, and related materials used in UI operations), security and storage features with ready-to-use workflow and process management capabilities</w:t>
      </w:r>
      <w:r w:rsidR="00C81337">
        <w:t>.</w:t>
      </w:r>
      <w:r w:rsidR="00C81337" w:rsidRPr="00741202">
        <w:t xml:space="preserve"> </w:t>
      </w:r>
      <w:r w:rsidR="00984CEC" w:rsidRPr="00741202">
        <w:t xml:space="preserve">The </w:t>
      </w:r>
      <w:r w:rsidR="00984CEC">
        <w:t xml:space="preserve">Awarded Vendor </w:t>
      </w:r>
      <w:r w:rsidR="00984CEC" w:rsidRPr="00741202">
        <w:t xml:space="preserve">will </w:t>
      </w:r>
      <w:r w:rsidR="00313A02" w:rsidRPr="00741202">
        <w:t xml:space="preserve">conduct </w:t>
      </w:r>
      <w:r w:rsidR="00313A02">
        <w:t xml:space="preserve">training, </w:t>
      </w:r>
      <w:r w:rsidR="00984CEC" w:rsidRPr="00741202">
        <w:t>provide documented instructions</w:t>
      </w:r>
      <w:r w:rsidR="00313A02">
        <w:t>,</w:t>
      </w:r>
      <w:r w:rsidR="00984CEC" w:rsidRPr="00741202">
        <w:t xml:space="preserve"> </w:t>
      </w:r>
      <w:r w:rsidR="00984CEC">
        <w:t xml:space="preserve">and </w:t>
      </w:r>
      <w:r w:rsidR="00313A02">
        <w:t xml:space="preserve">conduct </w:t>
      </w:r>
      <w:r w:rsidR="00984CEC" w:rsidRPr="00741202">
        <w:t>knowledge transfer sessions with TWC staff</w:t>
      </w:r>
      <w:r w:rsidR="00984CEC">
        <w:t>.</w:t>
      </w:r>
      <w:r w:rsidR="006F601D">
        <w:t xml:space="preserve"> </w:t>
      </w:r>
      <w:r w:rsidRPr="00382ECC">
        <w:t>Any costs</w:t>
      </w:r>
      <w:r w:rsidRPr="00BE594A">
        <w:t xml:space="preserve"> for recurring annual support and/or software licensing must be </w:t>
      </w:r>
      <w:r>
        <w:t>fixed from the date of Go-Live</w:t>
      </w:r>
      <w:r w:rsidRPr="00BE594A">
        <w:t xml:space="preserve">, and the annual price will be listed in </w:t>
      </w:r>
      <w:hyperlink w:anchor="_A12.4_Pricing_for" w:history="1">
        <w:r w:rsidR="004832F9">
          <w:rPr>
            <w:rStyle w:val="Hyperlink"/>
          </w:rPr>
          <w:t>Attachment</w:t>
        </w:r>
        <w:r w:rsidR="009F2A60">
          <w:rPr>
            <w:rStyle w:val="Hyperlink"/>
          </w:rPr>
          <w:t xml:space="preserve"> A12.</w:t>
        </w:r>
      </w:hyperlink>
      <w:r w:rsidR="00DC6AA9">
        <w:rPr>
          <w:rStyle w:val="Hyperlink"/>
        </w:rPr>
        <w:t>5</w:t>
      </w:r>
      <w:r>
        <w:t xml:space="preserve">, </w:t>
      </w:r>
      <w:r w:rsidRPr="00BE594A">
        <w:t xml:space="preserve">Pricing for </w:t>
      </w:r>
      <w:r w:rsidR="00313A02">
        <w:t>Optional</w:t>
      </w:r>
      <w:r w:rsidRPr="00BE594A">
        <w:t xml:space="preserve"> Deliverables.</w:t>
      </w:r>
      <w:r>
        <w:t xml:space="preserve"> </w:t>
      </w:r>
    </w:p>
    <w:p w14:paraId="37CA6F8D" w14:textId="7C8927D2" w:rsidR="00072FF9" w:rsidRPr="00E21848" w:rsidRDefault="00072FF9" w:rsidP="00072FF9">
      <w:r>
        <w:t>A</w:t>
      </w:r>
      <w:r w:rsidRPr="00E21848">
        <w:t>ctivities</w:t>
      </w:r>
      <w:r>
        <w:t xml:space="preserve"> </w:t>
      </w:r>
      <w:r w:rsidRPr="00E21848">
        <w:t>include:</w:t>
      </w:r>
    </w:p>
    <w:p w14:paraId="0935D7B1" w14:textId="37FB70A3" w:rsidR="00692FE7" w:rsidRDefault="00692FE7" w:rsidP="00E16D2D">
      <w:pPr>
        <w:pStyle w:val="LB1"/>
      </w:pPr>
      <w:r>
        <w:t>Confirm the current FileNet functionality and requirements</w:t>
      </w:r>
      <w:r w:rsidR="001B189B">
        <w:t>;</w:t>
      </w:r>
    </w:p>
    <w:p w14:paraId="4A9014D0" w14:textId="441CF362" w:rsidR="00692FE7" w:rsidRDefault="00692FE7" w:rsidP="00F82166">
      <w:pPr>
        <w:pStyle w:val="LB1"/>
      </w:pPr>
      <w:r>
        <w:t>Describe the</w:t>
      </w:r>
      <w:r w:rsidR="00242950">
        <w:t xml:space="preserve"> </w:t>
      </w:r>
      <w:r w:rsidR="002E5376">
        <w:t>CMS</w:t>
      </w:r>
      <w:r w:rsidR="00242950">
        <w:t xml:space="preserve"> </w:t>
      </w:r>
      <w:r>
        <w:t>to replace FileNet</w:t>
      </w:r>
      <w:r w:rsidR="001B189B">
        <w:t>;</w:t>
      </w:r>
    </w:p>
    <w:p w14:paraId="30BAA14D" w14:textId="5715CC37" w:rsidR="00242950" w:rsidRDefault="00242950" w:rsidP="00F82166">
      <w:pPr>
        <w:pStyle w:val="LB1"/>
      </w:pPr>
      <w:r>
        <w:t>Develop a Software Purchase and Licensing Plan</w:t>
      </w:r>
    </w:p>
    <w:p w14:paraId="02CAE23D" w14:textId="215F6646" w:rsidR="00242950" w:rsidRDefault="00242950">
      <w:pPr>
        <w:pStyle w:val="OB1"/>
      </w:pPr>
      <w:r>
        <w:t>I</w:t>
      </w:r>
      <w:r w:rsidRPr="00966558">
        <w:t>nclude the complete list and quantity of licenses needed</w:t>
      </w:r>
      <w:r>
        <w:t xml:space="preserve"> to operate </w:t>
      </w:r>
      <w:r w:rsidR="00802121">
        <w:t>CMS</w:t>
      </w:r>
      <w:r>
        <w:t xml:space="preserve"> solution in any environment (development, test, production, etc.)</w:t>
      </w:r>
      <w:r w:rsidRPr="00966558">
        <w:t xml:space="preserve"> i</w:t>
      </w:r>
      <w:r>
        <w:t xml:space="preserve">ncluding third-party software and hardware. </w:t>
      </w:r>
      <w:r w:rsidRPr="009E2836">
        <w:t>The Awarded Vendor</w:t>
      </w:r>
      <w:r>
        <w:t xml:space="preserve"> will develop the Licensing Plan</w:t>
      </w:r>
      <w:r w:rsidDel="006C6934">
        <w:t xml:space="preserve"> </w:t>
      </w:r>
      <w:r>
        <w:t>with input from TWC’s IT IS and AD&amp;M departments</w:t>
      </w:r>
      <w:r w:rsidR="006264F3">
        <w:t>;</w:t>
      </w:r>
    </w:p>
    <w:p w14:paraId="3C55FAC7" w14:textId="050EEF44" w:rsidR="00242950" w:rsidRDefault="00242950">
      <w:pPr>
        <w:pStyle w:val="OB1"/>
      </w:pPr>
      <w:r w:rsidRPr="0054649A">
        <w:t xml:space="preserve">Itemize the costs of such hardware or software. Awarded </w:t>
      </w:r>
      <w:r w:rsidRPr="00E02C69">
        <w:t xml:space="preserve">Vendor agrees that in the event that additional licenses or software products not included in </w:t>
      </w:r>
      <w:r>
        <w:t xml:space="preserve">the </w:t>
      </w:r>
      <w:r w:rsidRPr="00E02C69">
        <w:t>signed contract and are required to satisfy such requirements</w:t>
      </w:r>
      <w:r>
        <w:t>,</w:t>
      </w:r>
      <w:r w:rsidRPr="00E02C69">
        <w:t xml:space="preserve"> </w:t>
      </w:r>
      <w:r w:rsidRPr="0054649A">
        <w:t>Awarded Vendor</w:t>
      </w:r>
      <w:r w:rsidRPr="00E02C69">
        <w:t xml:space="preserve"> </w:t>
      </w:r>
      <w:r>
        <w:t>must</w:t>
      </w:r>
      <w:r w:rsidRPr="00E02C69">
        <w:t xml:space="preserve"> be responsible for the costs of any and all such additional software licenses</w:t>
      </w:r>
      <w:r>
        <w:t>. However, TWC will retain the right to ownership of any such licenses</w:t>
      </w:r>
      <w:r w:rsidR="006264F3">
        <w:t>;</w:t>
      </w:r>
    </w:p>
    <w:p w14:paraId="49827C1C" w14:textId="12122667" w:rsidR="00242950" w:rsidRPr="00F15BB4" w:rsidRDefault="00242950">
      <w:pPr>
        <w:pStyle w:val="OB1"/>
        <w:rPr>
          <w:rStyle w:val="OB1Char"/>
        </w:rPr>
      </w:pPr>
      <w:r w:rsidRPr="0054649A">
        <w:t xml:space="preserve">The </w:t>
      </w:r>
      <w:r w:rsidRPr="00F15BB4">
        <w:rPr>
          <w:rStyle w:val="OB1Char"/>
        </w:rPr>
        <w:t>Offeror will detail the provisions of the initial software purchase or subscription, including the user licensing model(s) being offered, such as: concurrent users, named users, unlimited users, or a hybrid model. This initial software purchase or subscription is to cover the period from Go-Live through the end of the War</w:t>
      </w:r>
      <w:r w:rsidR="006264F3">
        <w:rPr>
          <w:rStyle w:val="OB1Char"/>
        </w:rPr>
        <w:t>ranty Period; and</w:t>
      </w:r>
    </w:p>
    <w:p w14:paraId="2DE02A85" w14:textId="572CDC6E" w:rsidR="00242950" w:rsidRDefault="00242950">
      <w:pPr>
        <w:pStyle w:val="OB1"/>
      </w:pPr>
      <w:r w:rsidRPr="0054649A">
        <w:t>The Offeror will detail the</w:t>
      </w:r>
      <w:r>
        <w:t xml:space="preserve"> cost </w:t>
      </w:r>
      <w:r w:rsidR="00802121">
        <w:t>to configure the CMS solution</w:t>
      </w:r>
      <w:r>
        <w:t xml:space="preserve"> t</w:t>
      </w:r>
      <w:r w:rsidR="00802121">
        <w:t xml:space="preserve">o </w:t>
      </w:r>
      <w:r>
        <w:t xml:space="preserve">meet TWC’s requirements as well as any additional functionality or customizations for TWC to consider adding to the base configuration at the sole discretion of </w:t>
      </w:r>
      <w:r>
        <w:lastRenderedPageBreak/>
        <w:t xml:space="preserve">TWC. If the Offeror recommends a phased implementation approach, Offeror will </w:t>
      </w:r>
      <w:r w:rsidRPr="0054649A">
        <w:t>detail the</w:t>
      </w:r>
      <w:r>
        <w:t xml:space="preserve"> cost of their solution by phase.</w:t>
      </w:r>
    </w:p>
    <w:p w14:paraId="6F5DAD10" w14:textId="10D2893B" w:rsidR="00063CEE" w:rsidRDefault="00063CEE">
      <w:pPr>
        <w:pStyle w:val="LB1"/>
      </w:pPr>
      <w:r>
        <w:t>Migrate data</w:t>
      </w:r>
      <w:r w:rsidR="002E5376">
        <w:t xml:space="preserve"> from FileNet to the CMS solution</w:t>
      </w:r>
      <w:r w:rsidR="006264F3">
        <w:t>;</w:t>
      </w:r>
    </w:p>
    <w:p w14:paraId="6F269CA8" w14:textId="2F29CB14" w:rsidR="002178B4" w:rsidRDefault="002178B4">
      <w:pPr>
        <w:pStyle w:val="LB1"/>
      </w:pPr>
      <w:r>
        <w:t>Implement the interfaces</w:t>
      </w:r>
    </w:p>
    <w:p w14:paraId="3754CA40" w14:textId="631C768F" w:rsidR="002178B4" w:rsidRDefault="002178B4">
      <w:pPr>
        <w:pStyle w:val="OB1"/>
      </w:pPr>
      <w:r>
        <w:t>Conduct implementation and testing activities</w:t>
      </w:r>
      <w:r w:rsidR="006264F3">
        <w:t>;</w:t>
      </w:r>
    </w:p>
    <w:p w14:paraId="4ADFBE69" w14:textId="4BD41753" w:rsidR="002178B4" w:rsidRDefault="006264F3">
      <w:pPr>
        <w:pStyle w:val="OB1"/>
      </w:pPr>
      <w:r>
        <w:t>Track and correct defects;</w:t>
      </w:r>
    </w:p>
    <w:p w14:paraId="04988EBA" w14:textId="6FEE9D0B" w:rsidR="002178B4" w:rsidRDefault="002178B4">
      <w:pPr>
        <w:pStyle w:val="OB1"/>
      </w:pPr>
      <w:r>
        <w:t>Verify and validate interfaces</w:t>
      </w:r>
      <w:r w:rsidR="006264F3">
        <w:t>; and</w:t>
      </w:r>
    </w:p>
    <w:p w14:paraId="6BA81B1B" w14:textId="77777777" w:rsidR="002178B4" w:rsidRPr="00253E01" w:rsidRDefault="002178B4">
      <w:pPr>
        <w:pStyle w:val="OB1"/>
      </w:pPr>
      <w:r>
        <w:t xml:space="preserve">Coordinate with </w:t>
      </w:r>
      <w:r w:rsidRPr="00F67B96">
        <w:t>stakeholders internal and external to TWC</w:t>
      </w:r>
      <w:r>
        <w:t>.</w:t>
      </w:r>
    </w:p>
    <w:p w14:paraId="3D3B8CAB" w14:textId="4C6C47C1" w:rsidR="00063CEE" w:rsidRDefault="006264F3">
      <w:pPr>
        <w:pStyle w:val="LB1"/>
      </w:pPr>
      <w:r>
        <w:t>Conduct System Testing;</w:t>
      </w:r>
    </w:p>
    <w:p w14:paraId="5C40BDAF" w14:textId="59FC66BF" w:rsidR="00984CEC" w:rsidRDefault="00063CEE">
      <w:pPr>
        <w:pStyle w:val="LB1"/>
      </w:pPr>
      <w:r>
        <w:t>Create and Conduct Traini</w:t>
      </w:r>
      <w:r w:rsidR="006264F3">
        <w:t>ng;</w:t>
      </w:r>
    </w:p>
    <w:p w14:paraId="63D55AA4" w14:textId="7F201597" w:rsidR="00063CEE" w:rsidRDefault="00063CEE">
      <w:pPr>
        <w:pStyle w:val="LB1"/>
      </w:pPr>
      <w:r>
        <w:t>Integrate with Awarded Vendor’s UI Replacement System</w:t>
      </w:r>
      <w:r w:rsidR="006264F3">
        <w:t>; and</w:t>
      </w:r>
    </w:p>
    <w:p w14:paraId="07621FB8" w14:textId="5A8032BF" w:rsidR="00984CEC" w:rsidRDefault="00063CEE">
      <w:pPr>
        <w:pStyle w:val="LB1"/>
      </w:pPr>
      <w:r>
        <w:t>Provide documentation for CMS</w:t>
      </w:r>
      <w:r w:rsidRPr="002C6A45">
        <w:t xml:space="preserve"> </w:t>
      </w:r>
      <w:r>
        <w:t>solution.</w:t>
      </w:r>
    </w:p>
    <w:p w14:paraId="2F2C2546" w14:textId="77777777" w:rsidR="00072FF9" w:rsidRDefault="00072FF9" w:rsidP="00072FF9"/>
    <w:p w14:paraId="4B9EB71C" w14:textId="634D7FD2" w:rsidR="00072FF9" w:rsidRDefault="00272A05" w:rsidP="00072FF9">
      <w:r>
        <w:t xml:space="preserve">The Awarded Vendor will complete the following </w:t>
      </w:r>
      <w:r w:rsidR="004F32FF">
        <w:t>deliverable during this Task</w:t>
      </w:r>
      <w:r w:rsidR="00072FF9">
        <w:t>:</w:t>
      </w:r>
    </w:p>
    <w:tbl>
      <w:tblPr>
        <w:tblStyle w:val="TableGrid"/>
        <w:tblW w:w="10674" w:type="dxa"/>
        <w:tblInd w:w="175" w:type="dxa"/>
        <w:tblLayout w:type="fixed"/>
        <w:tblLook w:val="04A0" w:firstRow="1" w:lastRow="0" w:firstColumn="1" w:lastColumn="0" w:noHBand="0" w:noVBand="1"/>
        <w:tblDescription w:val="Additional implmentation support deliverable schedule table"/>
      </w:tblPr>
      <w:tblGrid>
        <w:gridCol w:w="936"/>
        <w:gridCol w:w="2214"/>
        <w:gridCol w:w="5580"/>
        <w:gridCol w:w="1944"/>
      </w:tblGrid>
      <w:tr w:rsidR="00072FF9" w:rsidRPr="00873442" w14:paraId="5ADA2F4F" w14:textId="77777777" w:rsidTr="00EA11FD">
        <w:trPr>
          <w:tblHeader/>
        </w:trPr>
        <w:tc>
          <w:tcPr>
            <w:tcW w:w="936" w:type="dxa"/>
            <w:shd w:val="clear" w:color="auto" w:fill="DEEAF6" w:themeFill="accent1" w:themeFillTint="33"/>
            <w:vAlign w:val="bottom"/>
          </w:tcPr>
          <w:p w14:paraId="22E38E5B" w14:textId="77777777" w:rsidR="00072FF9" w:rsidRPr="004F202B" w:rsidRDefault="00072FF9" w:rsidP="00EA11FD">
            <w:pPr>
              <w:keepNext/>
              <w:spacing w:after="0"/>
              <w:ind w:left="0"/>
              <w:jc w:val="center"/>
              <w:rPr>
                <w:rFonts w:cs="Arial"/>
                <w:b/>
                <w:color w:val="1F3864" w:themeColor="accent5" w:themeShade="80"/>
              </w:rPr>
            </w:pPr>
            <w:r w:rsidRPr="004F202B">
              <w:rPr>
                <w:rFonts w:cs="Arial"/>
                <w:b/>
                <w:color w:val="1F3864" w:themeColor="accent5" w:themeShade="80"/>
              </w:rPr>
              <w:t>No.</w:t>
            </w:r>
          </w:p>
        </w:tc>
        <w:tc>
          <w:tcPr>
            <w:tcW w:w="2214" w:type="dxa"/>
            <w:shd w:val="clear" w:color="auto" w:fill="DEEAF6" w:themeFill="accent1" w:themeFillTint="33"/>
          </w:tcPr>
          <w:p w14:paraId="0ED90317" w14:textId="77777777" w:rsidR="00072FF9" w:rsidRPr="001B5E0B" w:rsidRDefault="00072FF9" w:rsidP="00EA11FD">
            <w:pPr>
              <w:keepNext/>
              <w:spacing w:after="0"/>
              <w:ind w:left="0"/>
              <w:rPr>
                <w:rFonts w:cs="Arial"/>
                <w:b/>
                <w:color w:val="1F3864" w:themeColor="accent5" w:themeShade="80"/>
              </w:rPr>
            </w:pPr>
            <w:r>
              <w:rPr>
                <w:rFonts w:cs="Arial"/>
                <w:b/>
                <w:color w:val="1F3864" w:themeColor="accent5" w:themeShade="80"/>
              </w:rPr>
              <w:t>Deliverable</w:t>
            </w:r>
          </w:p>
        </w:tc>
        <w:tc>
          <w:tcPr>
            <w:tcW w:w="5580" w:type="dxa"/>
            <w:shd w:val="clear" w:color="auto" w:fill="DEEAF6" w:themeFill="accent1" w:themeFillTint="33"/>
          </w:tcPr>
          <w:p w14:paraId="36584E84" w14:textId="77777777" w:rsidR="00072FF9" w:rsidRPr="001B5E0B" w:rsidRDefault="00072FF9" w:rsidP="00EA11FD">
            <w:pPr>
              <w:keepNext/>
              <w:spacing w:after="0"/>
              <w:ind w:left="0"/>
              <w:rPr>
                <w:rFonts w:cs="Arial"/>
                <w:b/>
                <w:color w:val="1F3864" w:themeColor="accent5" w:themeShade="80"/>
              </w:rPr>
            </w:pPr>
            <w:r>
              <w:rPr>
                <w:rFonts w:cs="Arial"/>
                <w:b/>
                <w:color w:val="1F3864" w:themeColor="accent5" w:themeShade="80"/>
              </w:rPr>
              <w:t>Acceptance Criteria</w:t>
            </w:r>
          </w:p>
        </w:tc>
        <w:tc>
          <w:tcPr>
            <w:tcW w:w="1944" w:type="dxa"/>
            <w:shd w:val="clear" w:color="auto" w:fill="DEEAF6" w:themeFill="accent1" w:themeFillTint="33"/>
            <w:vAlign w:val="bottom"/>
          </w:tcPr>
          <w:p w14:paraId="74C8EA87" w14:textId="77777777" w:rsidR="00072FF9" w:rsidRPr="004F202B" w:rsidRDefault="00072FF9" w:rsidP="00EA11FD">
            <w:pPr>
              <w:keepNext/>
              <w:spacing w:after="0"/>
              <w:ind w:left="0"/>
              <w:rPr>
                <w:rFonts w:cs="Arial"/>
                <w:b/>
                <w:color w:val="1F3864" w:themeColor="accent5" w:themeShade="80"/>
              </w:rPr>
            </w:pPr>
            <w:r>
              <w:rPr>
                <w:rFonts w:cs="Arial"/>
                <w:b/>
                <w:color w:val="1F3864" w:themeColor="accent5" w:themeShade="80"/>
              </w:rPr>
              <w:t>Due Date</w:t>
            </w:r>
          </w:p>
        </w:tc>
      </w:tr>
      <w:tr w:rsidR="00072FF9" w:rsidRPr="00873442" w14:paraId="4A872719" w14:textId="77777777" w:rsidTr="00EA11FD">
        <w:tc>
          <w:tcPr>
            <w:tcW w:w="936" w:type="dxa"/>
          </w:tcPr>
          <w:p w14:paraId="7F55C3AF" w14:textId="62014CC1" w:rsidR="00072FF9" w:rsidRDefault="00072FF9" w:rsidP="00EA11FD">
            <w:pPr>
              <w:ind w:left="0"/>
              <w:jc w:val="center"/>
            </w:pPr>
            <w:r>
              <w:t>OD1A</w:t>
            </w:r>
          </w:p>
        </w:tc>
        <w:tc>
          <w:tcPr>
            <w:tcW w:w="2214" w:type="dxa"/>
          </w:tcPr>
          <w:p w14:paraId="1841168C" w14:textId="54FB3CD6" w:rsidR="00072FF9" w:rsidRDefault="00E07DF9" w:rsidP="00EA11FD">
            <w:pPr>
              <w:ind w:left="0"/>
            </w:pPr>
            <w:r>
              <w:t>Provide an integrated, tested CMS solution</w:t>
            </w:r>
          </w:p>
        </w:tc>
        <w:tc>
          <w:tcPr>
            <w:tcW w:w="5580" w:type="dxa"/>
          </w:tcPr>
          <w:p w14:paraId="343FDACF" w14:textId="77777777" w:rsidR="00FD0861" w:rsidRDefault="00FD0861" w:rsidP="00FD0861">
            <w:pPr>
              <w:ind w:left="0"/>
            </w:pPr>
            <w:r>
              <w:t>At a minimum, Awarded Vendor must demonstrate that they successfully:</w:t>
            </w:r>
          </w:p>
          <w:p w14:paraId="10BA05A7" w14:textId="593EB604" w:rsidR="00FD0861" w:rsidRDefault="00FD0861" w:rsidP="00E16D2D">
            <w:pPr>
              <w:pStyle w:val="LB1-Table"/>
            </w:pPr>
            <w:r>
              <w:t>Created a CMS design document;</w:t>
            </w:r>
          </w:p>
          <w:p w14:paraId="4B7791F6" w14:textId="12C838AB" w:rsidR="00FD0861" w:rsidRDefault="00FD0861" w:rsidP="00F82166">
            <w:pPr>
              <w:pStyle w:val="LB1-Table"/>
            </w:pPr>
            <w:r>
              <w:t>Developed a Software Purchase and Licensing Plan;</w:t>
            </w:r>
          </w:p>
          <w:p w14:paraId="45277058" w14:textId="318A9566" w:rsidR="00FD0861" w:rsidRDefault="00FD0861" w:rsidP="00F82166">
            <w:pPr>
              <w:pStyle w:val="LB1-Table"/>
            </w:pPr>
            <w:r>
              <w:t>Migrated data from FileNet to the CMS solution;</w:t>
            </w:r>
          </w:p>
          <w:p w14:paraId="150DC1FA" w14:textId="1264DD9F" w:rsidR="00FD0861" w:rsidRDefault="00FD0861">
            <w:pPr>
              <w:pStyle w:val="LB1-Table"/>
            </w:pPr>
            <w:r>
              <w:t>Implemented the interfaces;</w:t>
            </w:r>
          </w:p>
          <w:p w14:paraId="4BD75DC6" w14:textId="67341FF5" w:rsidR="00FD0861" w:rsidRDefault="00A31D2A">
            <w:pPr>
              <w:pStyle w:val="LB1-Table"/>
            </w:pPr>
            <w:r>
              <w:t>Conducted System Testing</w:t>
            </w:r>
            <w:r w:rsidR="00FD0861">
              <w:t>;</w:t>
            </w:r>
          </w:p>
          <w:p w14:paraId="2035597C" w14:textId="49EABA3F" w:rsidR="00FD0861" w:rsidRDefault="00A31D2A">
            <w:pPr>
              <w:pStyle w:val="LB1-Table"/>
            </w:pPr>
            <w:r>
              <w:t>Created and Conducted Training</w:t>
            </w:r>
            <w:r w:rsidR="00FD0861">
              <w:t>;</w:t>
            </w:r>
          </w:p>
          <w:p w14:paraId="72F8D36E" w14:textId="074E742F" w:rsidR="00A31D2A" w:rsidRDefault="00A31D2A">
            <w:pPr>
              <w:pStyle w:val="LB1-Table"/>
            </w:pPr>
            <w:r>
              <w:t>Integrated with Awarded Vendor’s UI Replacement System</w:t>
            </w:r>
            <w:r w:rsidR="00FD0861">
              <w:t>; and</w:t>
            </w:r>
          </w:p>
          <w:p w14:paraId="140ACA02" w14:textId="7A0585A0" w:rsidR="00072FF9" w:rsidRDefault="00A31D2A">
            <w:pPr>
              <w:pStyle w:val="LB1-Table"/>
            </w:pPr>
            <w:r>
              <w:t>Provided documentation for CMS</w:t>
            </w:r>
            <w:r w:rsidRPr="002C6A45">
              <w:t xml:space="preserve"> </w:t>
            </w:r>
            <w:r>
              <w:t>solution</w:t>
            </w:r>
            <w:r w:rsidR="00FD0861">
              <w:t>.</w:t>
            </w:r>
          </w:p>
        </w:tc>
        <w:tc>
          <w:tcPr>
            <w:tcW w:w="1944" w:type="dxa"/>
          </w:tcPr>
          <w:p w14:paraId="7CF47DB3" w14:textId="77777777" w:rsidR="00072FF9" w:rsidRDefault="00072FF9" w:rsidP="00EA11FD">
            <w:pPr>
              <w:ind w:left="0"/>
            </w:pPr>
            <w:r w:rsidRPr="00F57DB3">
              <w:t>TBD in accordance with the IMS</w:t>
            </w:r>
          </w:p>
        </w:tc>
      </w:tr>
    </w:tbl>
    <w:p w14:paraId="1D37C45F" w14:textId="77777777" w:rsidR="005970BB" w:rsidRDefault="005970BB" w:rsidP="00426797"/>
    <w:p w14:paraId="3B021E17" w14:textId="662A2D63" w:rsidR="006A1E36" w:rsidRDefault="006A1E36" w:rsidP="006A1E36">
      <w:pPr>
        <w:pStyle w:val="Heading3"/>
      </w:pPr>
      <w:bookmarkStart w:id="146" w:name="_2.4_Deliverables_Schedule"/>
      <w:bookmarkStart w:id="147" w:name="_Toc13567416"/>
      <w:bookmarkStart w:id="148" w:name="_Hlk536787418"/>
      <w:bookmarkEnd w:id="145"/>
      <w:bookmarkEnd w:id="146"/>
      <w:r>
        <w:t>2.3.2</w:t>
      </w:r>
      <w:r>
        <w:tab/>
        <w:t>Optional Task 2: Workforce Connect</w:t>
      </w:r>
      <w:bookmarkEnd w:id="147"/>
    </w:p>
    <w:p w14:paraId="675974C0" w14:textId="0D7C2F13" w:rsidR="006A1E36" w:rsidRDefault="006A1E36" w:rsidP="00F17DDC">
      <w:r w:rsidRPr="00BE594A">
        <w:t xml:space="preserve">The </w:t>
      </w:r>
      <w:r>
        <w:t>Awarded Vendor</w:t>
      </w:r>
      <w:r w:rsidRPr="00BE594A">
        <w:t xml:space="preserve"> </w:t>
      </w:r>
      <w:r w:rsidR="00535C5F">
        <w:t>must implement</w:t>
      </w:r>
      <w:r w:rsidRPr="00BE594A">
        <w:t xml:space="preserve"> </w:t>
      </w:r>
      <w:r w:rsidR="00535C5F">
        <w:t xml:space="preserve">all </w:t>
      </w:r>
      <w:r w:rsidR="0095449A" w:rsidRPr="0095449A">
        <w:t xml:space="preserve">available NASWA/ITSC Workforce Connect modules or substantially similar functionality to integrate and exchange data across disparate IT systems, including commercial off-the-shelf solutions other than one(s) being offered. The Offeror must describe how their System will interface, including data exchanged and </w:t>
      </w:r>
      <w:r w:rsidR="0095449A">
        <w:rPr>
          <w:szCs w:val="24"/>
        </w:rPr>
        <w:t>Single Sign On (SSO)</w:t>
      </w:r>
      <w:r w:rsidR="0095449A" w:rsidRPr="00C95671">
        <w:rPr>
          <w:szCs w:val="24"/>
        </w:rPr>
        <w:t xml:space="preserve"> </w:t>
      </w:r>
      <w:r w:rsidR="0095449A" w:rsidRPr="0095449A">
        <w:t>integration, with Workforce Connect or similar functionality and any costs associated with the interface. The Offeror must state whether or not they have successfully interfaced with Workforce Connect previously, with which state, and the approximate implementation date</w:t>
      </w:r>
      <w:r w:rsidR="00535C5F">
        <w:t>.</w:t>
      </w:r>
    </w:p>
    <w:tbl>
      <w:tblPr>
        <w:tblStyle w:val="TableGrid"/>
        <w:tblW w:w="10674" w:type="dxa"/>
        <w:tblInd w:w="175" w:type="dxa"/>
        <w:tblLayout w:type="fixed"/>
        <w:tblLook w:val="04A0" w:firstRow="1" w:lastRow="0" w:firstColumn="1" w:lastColumn="0" w:noHBand="0" w:noVBand="1"/>
        <w:tblDescription w:val="Additional implmentation support deliverable schedule table"/>
      </w:tblPr>
      <w:tblGrid>
        <w:gridCol w:w="936"/>
        <w:gridCol w:w="2214"/>
        <w:gridCol w:w="5580"/>
        <w:gridCol w:w="1944"/>
      </w:tblGrid>
      <w:tr w:rsidR="0076426A" w:rsidRPr="00873442" w14:paraId="5641EA76" w14:textId="77777777" w:rsidTr="002E634E">
        <w:trPr>
          <w:tblHeader/>
        </w:trPr>
        <w:tc>
          <w:tcPr>
            <w:tcW w:w="936" w:type="dxa"/>
            <w:shd w:val="clear" w:color="auto" w:fill="DEEAF6" w:themeFill="accent1" w:themeFillTint="33"/>
            <w:vAlign w:val="bottom"/>
          </w:tcPr>
          <w:p w14:paraId="08332500" w14:textId="77777777" w:rsidR="0076426A" w:rsidRPr="004F202B" w:rsidRDefault="0076426A" w:rsidP="002E634E">
            <w:pPr>
              <w:keepNext/>
              <w:spacing w:after="0"/>
              <w:ind w:left="0"/>
              <w:jc w:val="center"/>
              <w:rPr>
                <w:rFonts w:cs="Arial"/>
                <w:b/>
                <w:color w:val="1F3864" w:themeColor="accent5" w:themeShade="80"/>
              </w:rPr>
            </w:pPr>
            <w:r w:rsidRPr="004F202B">
              <w:rPr>
                <w:rFonts w:cs="Arial"/>
                <w:b/>
                <w:color w:val="1F3864" w:themeColor="accent5" w:themeShade="80"/>
              </w:rPr>
              <w:lastRenderedPageBreak/>
              <w:t>No.</w:t>
            </w:r>
          </w:p>
        </w:tc>
        <w:tc>
          <w:tcPr>
            <w:tcW w:w="2214" w:type="dxa"/>
            <w:shd w:val="clear" w:color="auto" w:fill="DEEAF6" w:themeFill="accent1" w:themeFillTint="33"/>
          </w:tcPr>
          <w:p w14:paraId="2D1F1BC9" w14:textId="77777777" w:rsidR="0076426A" w:rsidRPr="001B5E0B" w:rsidRDefault="0076426A" w:rsidP="002E634E">
            <w:pPr>
              <w:keepNext/>
              <w:spacing w:after="0"/>
              <w:ind w:left="0"/>
              <w:rPr>
                <w:rFonts w:cs="Arial"/>
                <w:b/>
                <w:color w:val="1F3864" w:themeColor="accent5" w:themeShade="80"/>
              </w:rPr>
            </w:pPr>
            <w:r>
              <w:rPr>
                <w:rFonts w:cs="Arial"/>
                <w:b/>
                <w:color w:val="1F3864" w:themeColor="accent5" w:themeShade="80"/>
              </w:rPr>
              <w:t>Deliverable</w:t>
            </w:r>
          </w:p>
        </w:tc>
        <w:tc>
          <w:tcPr>
            <w:tcW w:w="5580" w:type="dxa"/>
            <w:shd w:val="clear" w:color="auto" w:fill="DEEAF6" w:themeFill="accent1" w:themeFillTint="33"/>
          </w:tcPr>
          <w:p w14:paraId="1D79BCFF" w14:textId="77777777" w:rsidR="0076426A" w:rsidRPr="001B5E0B" w:rsidRDefault="0076426A" w:rsidP="002E634E">
            <w:pPr>
              <w:keepNext/>
              <w:spacing w:after="0"/>
              <w:ind w:left="0"/>
              <w:rPr>
                <w:rFonts w:cs="Arial"/>
                <w:b/>
                <w:color w:val="1F3864" w:themeColor="accent5" w:themeShade="80"/>
              </w:rPr>
            </w:pPr>
            <w:r>
              <w:rPr>
                <w:rFonts w:cs="Arial"/>
                <w:b/>
                <w:color w:val="1F3864" w:themeColor="accent5" w:themeShade="80"/>
              </w:rPr>
              <w:t>Acceptance Criteria</w:t>
            </w:r>
          </w:p>
        </w:tc>
        <w:tc>
          <w:tcPr>
            <w:tcW w:w="1944" w:type="dxa"/>
            <w:shd w:val="clear" w:color="auto" w:fill="DEEAF6" w:themeFill="accent1" w:themeFillTint="33"/>
            <w:vAlign w:val="bottom"/>
          </w:tcPr>
          <w:p w14:paraId="62544758" w14:textId="77777777" w:rsidR="0076426A" w:rsidRPr="004F202B" w:rsidRDefault="0076426A" w:rsidP="002E634E">
            <w:pPr>
              <w:keepNext/>
              <w:spacing w:after="0"/>
              <w:ind w:left="0"/>
              <w:rPr>
                <w:rFonts w:cs="Arial"/>
                <w:b/>
                <w:color w:val="1F3864" w:themeColor="accent5" w:themeShade="80"/>
              </w:rPr>
            </w:pPr>
            <w:r>
              <w:rPr>
                <w:rFonts w:cs="Arial"/>
                <w:b/>
                <w:color w:val="1F3864" w:themeColor="accent5" w:themeShade="80"/>
              </w:rPr>
              <w:t>Due Date</w:t>
            </w:r>
          </w:p>
        </w:tc>
      </w:tr>
      <w:tr w:rsidR="0076426A" w:rsidRPr="00873442" w14:paraId="1AABF2B6" w14:textId="77777777" w:rsidTr="002E634E">
        <w:tc>
          <w:tcPr>
            <w:tcW w:w="936" w:type="dxa"/>
          </w:tcPr>
          <w:p w14:paraId="39CC957F" w14:textId="5C3262E2" w:rsidR="0076426A" w:rsidRDefault="0076426A" w:rsidP="002E634E">
            <w:pPr>
              <w:ind w:left="0"/>
              <w:jc w:val="center"/>
            </w:pPr>
            <w:r>
              <w:t>OD2A</w:t>
            </w:r>
          </w:p>
        </w:tc>
        <w:tc>
          <w:tcPr>
            <w:tcW w:w="2214" w:type="dxa"/>
          </w:tcPr>
          <w:p w14:paraId="789000CD" w14:textId="0C8C88AA" w:rsidR="0076426A" w:rsidRDefault="0076426A" w:rsidP="002E634E">
            <w:pPr>
              <w:ind w:left="0"/>
            </w:pPr>
            <w:r>
              <w:t>Implement</w:t>
            </w:r>
            <w:r w:rsidRPr="00BE594A">
              <w:t xml:space="preserve"> </w:t>
            </w:r>
            <w:r>
              <w:t>all available Workforce Connect modules</w:t>
            </w:r>
          </w:p>
        </w:tc>
        <w:tc>
          <w:tcPr>
            <w:tcW w:w="5580" w:type="dxa"/>
          </w:tcPr>
          <w:p w14:paraId="477BA63E" w14:textId="77777777" w:rsidR="0076426A" w:rsidRDefault="0076426A" w:rsidP="002E634E">
            <w:pPr>
              <w:ind w:left="0"/>
            </w:pPr>
            <w:r>
              <w:t>At a minimum, Awarded Vendor must demonstrate that they successfully:</w:t>
            </w:r>
          </w:p>
          <w:p w14:paraId="0C810A72" w14:textId="295F7BAA" w:rsidR="0076426A" w:rsidRDefault="0076426A" w:rsidP="002E634E">
            <w:pPr>
              <w:pStyle w:val="LB1-Table"/>
            </w:pPr>
            <w:r>
              <w:t>Implemented all modules;</w:t>
            </w:r>
          </w:p>
          <w:p w14:paraId="4D7A657F" w14:textId="77777777" w:rsidR="0076426A" w:rsidRDefault="0076426A" w:rsidP="002E634E">
            <w:pPr>
              <w:pStyle w:val="LB1-Table"/>
            </w:pPr>
            <w:r>
              <w:t>Conducted System Testing;</w:t>
            </w:r>
          </w:p>
          <w:p w14:paraId="6B9487CF" w14:textId="77777777" w:rsidR="0076426A" w:rsidRDefault="0076426A" w:rsidP="002E634E">
            <w:pPr>
              <w:pStyle w:val="LB1-Table"/>
            </w:pPr>
            <w:r>
              <w:t>Created and Conducted Training;</w:t>
            </w:r>
          </w:p>
          <w:p w14:paraId="3C2B05C3" w14:textId="77777777" w:rsidR="0076426A" w:rsidRDefault="0076426A" w:rsidP="002E634E">
            <w:pPr>
              <w:pStyle w:val="LB1-Table"/>
            </w:pPr>
            <w:r>
              <w:t>Integrated with Awarded Vendor’s UI Replacement System; and</w:t>
            </w:r>
          </w:p>
          <w:p w14:paraId="5988E387" w14:textId="34FB8075" w:rsidR="0076426A" w:rsidRDefault="0076426A" w:rsidP="002E634E">
            <w:pPr>
              <w:pStyle w:val="LB1-Table"/>
            </w:pPr>
            <w:r>
              <w:t>Provided documentation.</w:t>
            </w:r>
          </w:p>
        </w:tc>
        <w:tc>
          <w:tcPr>
            <w:tcW w:w="1944" w:type="dxa"/>
          </w:tcPr>
          <w:p w14:paraId="738D9C23" w14:textId="77777777" w:rsidR="0076426A" w:rsidRDefault="0076426A" w:rsidP="002E634E">
            <w:pPr>
              <w:ind w:left="0"/>
            </w:pPr>
            <w:r w:rsidRPr="00F57DB3">
              <w:t>TBD in accordance with the IMS</w:t>
            </w:r>
          </w:p>
        </w:tc>
      </w:tr>
    </w:tbl>
    <w:p w14:paraId="715FEDCF" w14:textId="77777777" w:rsidR="0076426A" w:rsidRDefault="0076426A" w:rsidP="00F17DDC"/>
    <w:p w14:paraId="56AA3ED6" w14:textId="1930271E" w:rsidR="00CC581A" w:rsidRDefault="00CC581A" w:rsidP="006A1E36">
      <w:pPr>
        <w:pStyle w:val="Heading2"/>
      </w:pPr>
      <w:bookmarkStart w:id="149" w:name="_Toc13567417"/>
      <w:r w:rsidRPr="009F51CE">
        <w:t>2.</w:t>
      </w:r>
      <w:r w:rsidR="005970BB">
        <w:t>4</w:t>
      </w:r>
      <w:r w:rsidRPr="009F51CE">
        <w:tab/>
        <w:t>Deliverables Schedule</w:t>
      </w:r>
      <w:bookmarkEnd w:id="149"/>
    </w:p>
    <w:p w14:paraId="33D6F07F" w14:textId="4EEB255C" w:rsidR="00C03407" w:rsidRDefault="00D45F05" w:rsidP="00CC581A">
      <w:bookmarkStart w:id="150" w:name="_Hlk1034429"/>
      <w:bookmarkEnd w:id="148"/>
      <w:r>
        <w:t xml:space="preserve">The UI System Replacement project is expected to be conducted and completed during FY 2020 through FY 2024. </w:t>
      </w:r>
      <w:r w:rsidR="002843B4">
        <w:t>TWC is open to various implementation approaches</w:t>
      </w:r>
      <w:r w:rsidR="00C03407">
        <w:t xml:space="preserve"> as described in </w:t>
      </w:r>
      <w:r w:rsidR="009B7E37" w:rsidRPr="009B7E37">
        <w:t>Deliverable 1B</w:t>
      </w:r>
      <w:r w:rsidR="00C03407">
        <w:t>, Implementation Strategy.</w:t>
      </w:r>
    </w:p>
    <w:p w14:paraId="099E2472" w14:textId="46D57695" w:rsidR="002E6947" w:rsidRDefault="000610BC" w:rsidP="002E6947">
      <w:r>
        <w:t xml:space="preserve">Offeror must submit a Major Milestones table, see Section 2.4.1, for each phase defined in Deliverable 1B, including estimated completion dates. </w:t>
      </w:r>
      <w:r w:rsidR="002E6947">
        <w:t>In addition, e</w:t>
      </w:r>
      <w:r>
        <w:t xml:space="preserve">ach phase must have a corresponding pricing table, see </w:t>
      </w:r>
      <w:hyperlink w:anchor="_Attachment_12_–" w:history="1">
        <w:r w:rsidR="006A0AC2" w:rsidRPr="006A0AC2">
          <w:rPr>
            <w:rStyle w:val="Hyperlink"/>
          </w:rPr>
          <w:t>Attachment 12</w:t>
        </w:r>
      </w:hyperlink>
      <w:r w:rsidR="006A0AC2">
        <w:t xml:space="preserve"> – Pricing.</w:t>
      </w:r>
      <w:r w:rsidR="002E6947" w:rsidRPr="002E6947">
        <w:t xml:space="preserve"> </w:t>
      </w:r>
    </w:p>
    <w:p w14:paraId="4E8161AB" w14:textId="54387382" w:rsidR="00433271" w:rsidRDefault="00433271" w:rsidP="00433271">
      <w:pPr>
        <w:pStyle w:val="Heading3"/>
      </w:pPr>
      <w:bookmarkStart w:id="151" w:name="_Toc13567418"/>
      <w:bookmarkEnd w:id="150"/>
      <w:r>
        <w:t>2.</w:t>
      </w:r>
      <w:r w:rsidR="005970BB">
        <w:t>4</w:t>
      </w:r>
      <w:r>
        <w:t>.1</w:t>
      </w:r>
      <w:r>
        <w:tab/>
      </w:r>
      <w:r w:rsidR="000610BC">
        <w:t>Major Milestone Table</w:t>
      </w:r>
      <w:r w:rsidR="002E6947">
        <w:t>s</w:t>
      </w:r>
      <w:bookmarkEnd w:id="151"/>
    </w:p>
    <w:p w14:paraId="34739721" w14:textId="5A87872A" w:rsidR="00433271" w:rsidRDefault="00433271" w:rsidP="00433271">
      <w:r w:rsidRPr="00E21848">
        <w:t xml:space="preserve">Offeror must provide estimated </w:t>
      </w:r>
      <w:r w:rsidR="006A1E36">
        <w:t xml:space="preserve">completion </w:t>
      </w:r>
      <w:r w:rsidRPr="00E21848">
        <w:t xml:space="preserve">dates </w:t>
      </w:r>
      <w:r>
        <w:t xml:space="preserve">for Deliverables </w:t>
      </w:r>
      <w:r w:rsidRPr="00E21848">
        <w:t xml:space="preserve">in the </w:t>
      </w:r>
      <w:r w:rsidR="00046F87">
        <w:t xml:space="preserve">Major Milestones </w:t>
      </w:r>
      <w:r w:rsidRPr="00E21848">
        <w:t xml:space="preserve">table below </w:t>
      </w:r>
      <w:r>
        <w:t xml:space="preserve">in addition to </w:t>
      </w:r>
      <w:r w:rsidRPr="00E21848">
        <w:t xml:space="preserve">the proposed </w:t>
      </w:r>
      <w:r>
        <w:t>WBS and/</w:t>
      </w:r>
      <w:r w:rsidRPr="00E21848">
        <w:t xml:space="preserve">or detailed </w:t>
      </w:r>
      <w:r w:rsidR="002A57F8">
        <w:t>IMS</w:t>
      </w:r>
      <w:r w:rsidRPr="00E21848">
        <w:t>.</w:t>
      </w:r>
      <w:r w:rsidR="002E6947">
        <w:t xml:space="preserve"> Offeror must label Major Milestone Table</w:t>
      </w:r>
      <w:r w:rsidR="00D91CA4">
        <w:t>s</w:t>
      </w:r>
      <w:r w:rsidR="002E6947">
        <w:t xml:space="preserve"> for each phase defined in Deliverable 1B</w:t>
      </w:r>
      <w:r w:rsidR="00FF7ADE">
        <w:t xml:space="preserve"> and use the same label</w:t>
      </w:r>
      <w:r w:rsidR="00D91CA4">
        <w:t>s</w:t>
      </w:r>
      <w:r w:rsidR="00FF7ADE">
        <w:t xml:space="preserve"> for the corresponding </w:t>
      </w:r>
      <w:r w:rsidR="005C391C">
        <w:t xml:space="preserve">phase </w:t>
      </w:r>
      <w:r w:rsidR="00FF7ADE">
        <w:t>pricing table</w:t>
      </w:r>
      <w:r w:rsidR="00D91CA4">
        <w:t>s</w:t>
      </w:r>
      <w:r w:rsidR="00FF7ADE">
        <w:t xml:space="preserve"> in Attachment 12</w:t>
      </w:r>
      <w:r w:rsidR="002E6947">
        <w:t>.</w:t>
      </w:r>
    </w:p>
    <w:tbl>
      <w:tblPr>
        <w:tblStyle w:val="TableGrid"/>
        <w:tblW w:w="0" w:type="auto"/>
        <w:tblInd w:w="108" w:type="dxa"/>
        <w:tblLook w:val="04A0" w:firstRow="1" w:lastRow="0" w:firstColumn="1" w:lastColumn="0" w:noHBand="0" w:noVBand="1"/>
        <w:tblCaption w:val="Deliverable Schedule table"/>
        <w:tblDescription w:val="Deliverable Schedule table for Tax"/>
      </w:tblPr>
      <w:tblGrid>
        <w:gridCol w:w="1743"/>
        <w:gridCol w:w="6658"/>
        <w:gridCol w:w="2281"/>
      </w:tblGrid>
      <w:tr w:rsidR="00433271" w:rsidRPr="00873442" w14:paraId="57B43A38" w14:textId="77777777" w:rsidTr="00557863">
        <w:trPr>
          <w:cantSplit/>
          <w:tblHeader/>
        </w:trPr>
        <w:tc>
          <w:tcPr>
            <w:tcW w:w="1743" w:type="dxa"/>
            <w:shd w:val="clear" w:color="auto" w:fill="DEEAF6" w:themeFill="accent1" w:themeFillTint="33"/>
            <w:vAlign w:val="center"/>
          </w:tcPr>
          <w:p w14:paraId="51798E8D" w14:textId="77777777" w:rsidR="00433271" w:rsidRPr="00804B2D" w:rsidRDefault="00433271" w:rsidP="00EF2B3F">
            <w:pPr>
              <w:spacing w:after="0"/>
              <w:ind w:left="0"/>
              <w:jc w:val="center"/>
              <w:rPr>
                <w:rFonts w:cs="Arial"/>
                <w:b/>
                <w:color w:val="1F3864" w:themeColor="accent5" w:themeShade="80"/>
              </w:rPr>
            </w:pPr>
            <w:r w:rsidRPr="00804B2D">
              <w:rPr>
                <w:rFonts w:cs="Arial"/>
                <w:b/>
                <w:color w:val="1F3864" w:themeColor="accent5" w:themeShade="80"/>
              </w:rPr>
              <w:t>Deliverable Number</w:t>
            </w:r>
          </w:p>
        </w:tc>
        <w:tc>
          <w:tcPr>
            <w:tcW w:w="6658" w:type="dxa"/>
            <w:shd w:val="clear" w:color="auto" w:fill="DEEAF6" w:themeFill="accent1" w:themeFillTint="33"/>
            <w:vAlign w:val="center"/>
          </w:tcPr>
          <w:p w14:paraId="3F5E8E97" w14:textId="77777777" w:rsidR="00433271" w:rsidRDefault="00433271" w:rsidP="00EF2B3F">
            <w:pPr>
              <w:spacing w:after="0"/>
              <w:ind w:left="0"/>
              <w:jc w:val="center"/>
              <w:rPr>
                <w:rFonts w:cs="Arial"/>
                <w:b/>
                <w:color w:val="1F3864" w:themeColor="accent5" w:themeShade="80"/>
              </w:rPr>
            </w:pPr>
            <w:r>
              <w:rPr>
                <w:rFonts w:cs="Arial"/>
                <w:b/>
                <w:color w:val="1F3864" w:themeColor="accent5" w:themeShade="80"/>
              </w:rPr>
              <w:t>Deliverable</w:t>
            </w:r>
          </w:p>
          <w:p w14:paraId="299108C1" w14:textId="77777777" w:rsidR="00433271" w:rsidRPr="00804B2D" w:rsidRDefault="00433271" w:rsidP="00EF2B3F">
            <w:pPr>
              <w:spacing w:after="0"/>
              <w:ind w:left="0"/>
              <w:jc w:val="center"/>
              <w:rPr>
                <w:rFonts w:cs="Arial"/>
                <w:b/>
                <w:color w:val="1F3864" w:themeColor="accent5" w:themeShade="80"/>
              </w:rPr>
            </w:pPr>
            <w:r w:rsidRPr="00804B2D">
              <w:rPr>
                <w:rFonts w:cs="Arial"/>
                <w:b/>
                <w:color w:val="1F3864" w:themeColor="accent5" w:themeShade="80"/>
              </w:rPr>
              <w:t>Name</w:t>
            </w:r>
          </w:p>
        </w:tc>
        <w:tc>
          <w:tcPr>
            <w:tcW w:w="2281" w:type="dxa"/>
            <w:shd w:val="clear" w:color="auto" w:fill="DEEAF6" w:themeFill="accent1" w:themeFillTint="33"/>
            <w:vAlign w:val="center"/>
          </w:tcPr>
          <w:p w14:paraId="3C099C0C" w14:textId="77777777" w:rsidR="00433271" w:rsidRPr="00804B2D" w:rsidRDefault="00433271" w:rsidP="00EF2B3F">
            <w:pPr>
              <w:spacing w:after="0"/>
              <w:ind w:left="0"/>
              <w:jc w:val="center"/>
              <w:rPr>
                <w:rFonts w:cs="Arial"/>
                <w:b/>
                <w:color w:val="1F3864" w:themeColor="accent5" w:themeShade="80"/>
              </w:rPr>
            </w:pPr>
            <w:r w:rsidRPr="00804B2D">
              <w:rPr>
                <w:rFonts w:cs="Arial"/>
                <w:b/>
                <w:color w:val="1F3864" w:themeColor="accent5" w:themeShade="80"/>
              </w:rPr>
              <w:t>Estimated Completion Date</w:t>
            </w:r>
          </w:p>
        </w:tc>
      </w:tr>
      <w:tr w:rsidR="00433271" w:rsidRPr="00873442" w14:paraId="2670B942" w14:textId="77777777" w:rsidTr="00EF2B3F">
        <w:trPr>
          <w:cantSplit/>
        </w:trPr>
        <w:tc>
          <w:tcPr>
            <w:tcW w:w="1743" w:type="dxa"/>
          </w:tcPr>
          <w:p w14:paraId="382A6996" w14:textId="77777777" w:rsidR="00433271" w:rsidRPr="00873442" w:rsidRDefault="00433271" w:rsidP="00EF2B3F">
            <w:pPr>
              <w:ind w:left="0"/>
              <w:rPr>
                <w:highlight w:val="yellow"/>
              </w:rPr>
            </w:pPr>
            <w:r w:rsidRPr="00355C5B">
              <w:t>1</w:t>
            </w:r>
          </w:p>
        </w:tc>
        <w:tc>
          <w:tcPr>
            <w:tcW w:w="6658" w:type="dxa"/>
          </w:tcPr>
          <w:p w14:paraId="4E2160E7" w14:textId="28A63002" w:rsidR="00433271" w:rsidRPr="00873442" w:rsidRDefault="00433271" w:rsidP="00EF2B3F">
            <w:pPr>
              <w:ind w:left="0"/>
              <w:rPr>
                <w:highlight w:val="yellow"/>
              </w:rPr>
            </w:pPr>
            <w:r w:rsidRPr="00355C5B">
              <w:t>Plan and Setup</w:t>
            </w:r>
            <w:r w:rsidR="00A77766">
              <w:t xml:space="preserve"> Project</w:t>
            </w:r>
          </w:p>
        </w:tc>
        <w:tc>
          <w:tcPr>
            <w:tcW w:w="2281" w:type="dxa"/>
          </w:tcPr>
          <w:p w14:paraId="718F6DB5" w14:textId="77777777" w:rsidR="00433271" w:rsidRPr="00873442" w:rsidRDefault="00433271" w:rsidP="00EF2B3F">
            <w:pPr>
              <w:ind w:left="0"/>
              <w:rPr>
                <w:highlight w:val="yellow"/>
              </w:rPr>
            </w:pPr>
          </w:p>
        </w:tc>
      </w:tr>
      <w:tr w:rsidR="00433271" w:rsidRPr="00873442" w14:paraId="0BB58F66" w14:textId="77777777" w:rsidTr="00EF2B3F">
        <w:trPr>
          <w:cantSplit/>
        </w:trPr>
        <w:tc>
          <w:tcPr>
            <w:tcW w:w="1743" w:type="dxa"/>
          </w:tcPr>
          <w:p w14:paraId="4D7FE03C" w14:textId="77777777" w:rsidR="00433271" w:rsidRPr="00873442" w:rsidRDefault="00433271" w:rsidP="00EF2B3F">
            <w:pPr>
              <w:ind w:left="0"/>
              <w:rPr>
                <w:highlight w:val="yellow"/>
              </w:rPr>
            </w:pPr>
            <w:r>
              <w:t xml:space="preserve">   1A</w:t>
            </w:r>
          </w:p>
        </w:tc>
        <w:tc>
          <w:tcPr>
            <w:tcW w:w="6658" w:type="dxa"/>
          </w:tcPr>
          <w:p w14:paraId="3DCA2DAC" w14:textId="0E4CD2C4" w:rsidR="00433271" w:rsidRPr="00364874" w:rsidRDefault="00A77766" w:rsidP="00EF2B3F">
            <w:pPr>
              <w:ind w:left="256"/>
            </w:pPr>
            <w:r>
              <w:t>Kick-off Meeting Agenda, Presentation, and Minutes</w:t>
            </w:r>
          </w:p>
        </w:tc>
        <w:tc>
          <w:tcPr>
            <w:tcW w:w="2281" w:type="dxa"/>
          </w:tcPr>
          <w:p w14:paraId="1046EB17" w14:textId="77777777" w:rsidR="00433271" w:rsidRPr="00873442" w:rsidRDefault="00433271" w:rsidP="00EF2B3F">
            <w:pPr>
              <w:ind w:left="0"/>
              <w:rPr>
                <w:highlight w:val="yellow"/>
              </w:rPr>
            </w:pPr>
          </w:p>
        </w:tc>
      </w:tr>
      <w:tr w:rsidR="00433271" w:rsidRPr="00873442" w14:paraId="5BAE129F" w14:textId="77777777" w:rsidTr="00EF2B3F">
        <w:trPr>
          <w:cantSplit/>
        </w:trPr>
        <w:tc>
          <w:tcPr>
            <w:tcW w:w="1743" w:type="dxa"/>
          </w:tcPr>
          <w:p w14:paraId="4F4AFED1" w14:textId="77777777" w:rsidR="00433271" w:rsidRPr="00873442" w:rsidRDefault="00433271" w:rsidP="00EF2B3F">
            <w:pPr>
              <w:ind w:left="0"/>
              <w:rPr>
                <w:highlight w:val="yellow"/>
              </w:rPr>
            </w:pPr>
            <w:r>
              <w:t xml:space="preserve">   1B</w:t>
            </w:r>
          </w:p>
        </w:tc>
        <w:tc>
          <w:tcPr>
            <w:tcW w:w="6658" w:type="dxa"/>
          </w:tcPr>
          <w:p w14:paraId="0B1E6BB3" w14:textId="22DC8CF4" w:rsidR="00433271" w:rsidRPr="00364874" w:rsidRDefault="00A77766" w:rsidP="00EF2B3F">
            <w:pPr>
              <w:ind w:left="256"/>
            </w:pPr>
            <w:r>
              <w:t>Implementation Strategy</w:t>
            </w:r>
          </w:p>
        </w:tc>
        <w:tc>
          <w:tcPr>
            <w:tcW w:w="2281" w:type="dxa"/>
          </w:tcPr>
          <w:p w14:paraId="2916685A" w14:textId="77777777" w:rsidR="00433271" w:rsidRPr="00873442" w:rsidRDefault="00433271" w:rsidP="00EF2B3F">
            <w:pPr>
              <w:ind w:left="0"/>
              <w:rPr>
                <w:highlight w:val="yellow"/>
              </w:rPr>
            </w:pPr>
          </w:p>
        </w:tc>
      </w:tr>
      <w:tr w:rsidR="00433271" w:rsidRPr="00873442" w14:paraId="577E97E0" w14:textId="77777777" w:rsidTr="00EF2B3F">
        <w:trPr>
          <w:cantSplit/>
        </w:trPr>
        <w:tc>
          <w:tcPr>
            <w:tcW w:w="1743" w:type="dxa"/>
          </w:tcPr>
          <w:p w14:paraId="400D3401" w14:textId="77777777" w:rsidR="00433271" w:rsidRPr="00873442" w:rsidRDefault="00433271" w:rsidP="00EF2B3F">
            <w:pPr>
              <w:ind w:left="0"/>
              <w:rPr>
                <w:highlight w:val="yellow"/>
              </w:rPr>
            </w:pPr>
            <w:r>
              <w:t xml:space="preserve">   1C</w:t>
            </w:r>
          </w:p>
        </w:tc>
        <w:tc>
          <w:tcPr>
            <w:tcW w:w="6658" w:type="dxa"/>
          </w:tcPr>
          <w:p w14:paraId="5590E6D3" w14:textId="7E76B031" w:rsidR="00433271" w:rsidRPr="00364874" w:rsidRDefault="001B455F" w:rsidP="00EF2B3F">
            <w:pPr>
              <w:ind w:left="256"/>
            </w:pPr>
            <w:r>
              <w:t>Project Management Plan</w:t>
            </w:r>
          </w:p>
        </w:tc>
        <w:tc>
          <w:tcPr>
            <w:tcW w:w="2281" w:type="dxa"/>
          </w:tcPr>
          <w:p w14:paraId="32F40C0A" w14:textId="77777777" w:rsidR="00433271" w:rsidRPr="00873442" w:rsidRDefault="00433271" w:rsidP="00EF2B3F">
            <w:pPr>
              <w:ind w:left="0"/>
              <w:rPr>
                <w:highlight w:val="yellow"/>
              </w:rPr>
            </w:pPr>
          </w:p>
        </w:tc>
      </w:tr>
      <w:tr w:rsidR="00433271" w:rsidRPr="00873442" w14:paraId="133DD6BC" w14:textId="77777777" w:rsidTr="00EF2B3F">
        <w:trPr>
          <w:cantSplit/>
        </w:trPr>
        <w:tc>
          <w:tcPr>
            <w:tcW w:w="1743" w:type="dxa"/>
          </w:tcPr>
          <w:p w14:paraId="2E9547B7" w14:textId="77777777" w:rsidR="00433271" w:rsidRPr="00873442" w:rsidRDefault="00433271" w:rsidP="00EF2B3F">
            <w:pPr>
              <w:ind w:left="0"/>
              <w:rPr>
                <w:highlight w:val="yellow"/>
              </w:rPr>
            </w:pPr>
            <w:r>
              <w:t xml:space="preserve">   1D</w:t>
            </w:r>
          </w:p>
        </w:tc>
        <w:tc>
          <w:tcPr>
            <w:tcW w:w="6658" w:type="dxa"/>
          </w:tcPr>
          <w:p w14:paraId="2FECFB11" w14:textId="78245FCD" w:rsidR="00433271" w:rsidRPr="00364874" w:rsidRDefault="001B455F" w:rsidP="00EF2B3F">
            <w:pPr>
              <w:ind w:left="256"/>
            </w:pPr>
            <w:r>
              <w:t xml:space="preserve">Detailed </w:t>
            </w:r>
            <w:r w:rsidR="00A77766">
              <w:t>WBS and</w:t>
            </w:r>
            <w:r w:rsidR="00A77766" w:rsidRPr="005363D2">
              <w:t xml:space="preserve"> </w:t>
            </w:r>
            <w:r w:rsidR="002A57F8">
              <w:t>IMS</w:t>
            </w:r>
          </w:p>
        </w:tc>
        <w:tc>
          <w:tcPr>
            <w:tcW w:w="2281" w:type="dxa"/>
          </w:tcPr>
          <w:p w14:paraId="31688EDF" w14:textId="77777777" w:rsidR="00433271" w:rsidRPr="00873442" w:rsidRDefault="00433271" w:rsidP="00EF2B3F">
            <w:pPr>
              <w:ind w:left="0"/>
              <w:rPr>
                <w:highlight w:val="yellow"/>
              </w:rPr>
            </w:pPr>
          </w:p>
        </w:tc>
      </w:tr>
      <w:tr w:rsidR="00A77766" w:rsidRPr="00873442" w14:paraId="57DC3E10" w14:textId="77777777" w:rsidTr="00EF2B3F">
        <w:trPr>
          <w:cantSplit/>
        </w:trPr>
        <w:tc>
          <w:tcPr>
            <w:tcW w:w="1743" w:type="dxa"/>
          </w:tcPr>
          <w:p w14:paraId="25CAA3B2" w14:textId="42E6E853" w:rsidR="00A77766" w:rsidRDefault="00A77766" w:rsidP="00EF2B3F">
            <w:pPr>
              <w:ind w:left="0"/>
            </w:pPr>
            <w:r>
              <w:t xml:space="preserve">   1E</w:t>
            </w:r>
          </w:p>
        </w:tc>
        <w:tc>
          <w:tcPr>
            <w:tcW w:w="6658" w:type="dxa"/>
          </w:tcPr>
          <w:p w14:paraId="69F6B974" w14:textId="172C7A1E" w:rsidR="00A77766" w:rsidRDefault="00A77766" w:rsidP="00EF2B3F">
            <w:pPr>
              <w:ind w:left="256"/>
            </w:pPr>
            <w:r w:rsidRPr="005363D2">
              <w:t>Staffing Plan</w:t>
            </w:r>
          </w:p>
        </w:tc>
        <w:tc>
          <w:tcPr>
            <w:tcW w:w="2281" w:type="dxa"/>
          </w:tcPr>
          <w:p w14:paraId="39359685" w14:textId="77777777" w:rsidR="00A77766" w:rsidRPr="00873442" w:rsidRDefault="00A77766" w:rsidP="00EF2B3F">
            <w:pPr>
              <w:ind w:left="0"/>
              <w:rPr>
                <w:highlight w:val="yellow"/>
              </w:rPr>
            </w:pPr>
          </w:p>
        </w:tc>
      </w:tr>
      <w:tr w:rsidR="00A77766" w:rsidRPr="00873442" w14:paraId="5B78BD81" w14:textId="77777777" w:rsidTr="00EF2B3F">
        <w:trPr>
          <w:cantSplit/>
        </w:trPr>
        <w:tc>
          <w:tcPr>
            <w:tcW w:w="1743" w:type="dxa"/>
          </w:tcPr>
          <w:p w14:paraId="4E405B72" w14:textId="2B46370D" w:rsidR="00A77766" w:rsidRDefault="00A77766" w:rsidP="00EF2B3F">
            <w:pPr>
              <w:ind w:left="0"/>
            </w:pPr>
            <w:r>
              <w:t xml:space="preserve">   1F</w:t>
            </w:r>
          </w:p>
        </w:tc>
        <w:tc>
          <w:tcPr>
            <w:tcW w:w="6658" w:type="dxa"/>
          </w:tcPr>
          <w:p w14:paraId="160104B3" w14:textId="0FB4215E" w:rsidR="00A77766" w:rsidRDefault="00A77766" w:rsidP="00EF2B3F">
            <w:pPr>
              <w:ind w:left="256"/>
            </w:pPr>
            <w:r>
              <w:t>Test Plan</w:t>
            </w:r>
          </w:p>
        </w:tc>
        <w:tc>
          <w:tcPr>
            <w:tcW w:w="2281" w:type="dxa"/>
          </w:tcPr>
          <w:p w14:paraId="401E0A2A" w14:textId="77777777" w:rsidR="00A77766" w:rsidRPr="00873442" w:rsidRDefault="00A77766" w:rsidP="00EF2B3F">
            <w:pPr>
              <w:ind w:left="0"/>
              <w:rPr>
                <w:highlight w:val="yellow"/>
              </w:rPr>
            </w:pPr>
          </w:p>
        </w:tc>
      </w:tr>
      <w:tr w:rsidR="00A77766" w:rsidRPr="00873442" w14:paraId="5C7CB6F7" w14:textId="77777777" w:rsidTr="00EF2B3F">
        <w:trPr>
          <w:cantSplit/>
        </w:trPr>
        <w:tc>
          <w:tcPr>
            <w:tcW w:w="1743" w:type="dxa"/>
          </w:tcPr>
          <w:p w14:paraId="75D0AD2B" w14:textId="625549D3" w:rsidR="00A77766" w:rsidRDefault="00A77766" w:rsidP="00EF2B3F">
            <w:pPr>
              <w:ind w:left="0"/>
            </w:pPr>
            <w:r>
              <w:t xml:space="preserve">   1G</w:t>
            </w:r>
          </w:p>
        </w:tc>
        <w:tc>
          <w:tcPr>
            <w:tcW w:w="6658" w:type="dxa"/>
          </w:tcPr>
          <w:p w14:paraId="619037F1" w14:textId="5A47554E" w:rsidR="00A77766" w:rsidRDefault="00A77766" w:rsidP="00EF2B3F">
            <w:pPr>
              <w:ind w:left="256"/>
            </w:pPr>
            <w:r>
              <w:t>Lessons Learned Collection Process</w:t>
            </w:r>
          </w:p>
        </w:tc>
        <w:tc>
          <w:tcPr>
            <w:tcW w:w="2281" w:type="dxa"/>
          </w:tcPr>
          <w:p w14:paraId="74BEF2FD" w14:textId="77777777" w:rsidR="00A77766" w:rsidRPr="00873442" w:rsidRDefault="00A77766" w:rsidP="00EF2B3F">
            <w:pPr>
              <w:ind w:left="0"/>
              <w:rPr>
                <w:highlight w:val="yellow"/>
              </w:rPr>
            </w:pPr>
          </w:p>
        </w:tc>
      </w:tr>
      <w:tr w:rsidR="00433271" w:rsidRPr="00873442" w14:paraId="04936B75" w14:textId="77777777" w:rsidTr="00EF2B3F">
        <w:trPr>
          <w:cantSplit/>
        </w:trPr>
        <w:tc>
          <w:tcPr>
            <w:tcW w:w="1743" w:type="dxa"/>
          </w:tcPr>
          <w:p w14:paraId="466395FB" w14:textId="77777777" w:rsidR="00433271" w:rsidRPr="00D843BF" w:rsidRDefault="00433271" w:rsidP="00EF2B3F">
            <w:pPr>
              <w:ind w:left="0"/>
            </w:pPr>
            <w:r>
              <w:t>2</w:t>
            </w:r>
          </w:p>
        </w:tc>
        <w:tc>
          <w:tcPr>
            <w:tcW w:w="6658" w:type="dxa"/>
          </w:tcPr>
          <w:p w14:paraId="757D940C" w14:textId="3DA3F8A7" w:rsidR="00433271" w:rsidRPr="00D843BF" w:rsidRDefault="005468DB" w:rsidP="00EF2B3F">
            <w:pPr>
              <w:ind w:left="0"/>
            </w:pPr>
            <w:r>
              <w:t>Manage Requirements</w:t>
            </w:r>
          </w:p>
        </w:tc>
        <w:tc>
          <w:tcPr>
            <w:tcW w:w="2281" w:type="dxa"/>
          </w:tcPr>
          <w:p w14:paraId="6DA596B4" w14:textId="77777777" w:rsidR="00433271" w:rsidRPr="00873442" w:rsidRDefault="00433271" w:rsidP="00EF2B3F">
            <w:pPr>
              <w:ind w:left="0"/>
              <w:rPr>
                <w:highlight w:val="yellow"/>
              </w:rPr>
            </w:pPr>
          </w:p>
        </w:tc>
      </w:tr>
      <w:tr w:rsidR="000B7C73" w:rsidRPr="00873442" w14:paraId="25934634" w14:textId="77777777" w:rsidTr="00EF2B3F">
        <w:trPr>
          <w:cantSplit/>
        </w:trPr>
        <w:tc>
          <w:tcPr>
            <w:tcW w:w="1743" w:type="dxa"/>
          </w:tcPr>
          <w:p w14:paraId="4C553379" w14:textId="1F01D65F" w:rsidR="000B7C73" w:rsidRDefault="000B7C73" w:rsidP="000B7C73">
            <w:pPr>
              <w:ind w:left="0"/>
            </w:pPr>
            <w:r>
              <w:lastRenderedPageBreak/>
              <w:t xml:space="preserve">   2A</w:t>
            </w:r>
          </w:p>
        </w:tc>
        <w:tc>
          <w:tcPr>
            <w:tcW w:w="6658" w:type="dxa"/>
          </w:tcPr>
          <w:p w14:paraId="7BA4912E" w14:textId="0EE9F322" w:rsidR="000B7C73" w:rsidRDefault="000B7C73" w:rsidP="000B7C73">
            <w:pPr>
              <w:ind w:left="256"/>
            </w:pPr>
            <w:r>
              <w:t>Requirements Management Plan</w:t>
            </w:r>
          </w:p>
        </w:tc>
        <w:tc>
          <w:tcPr>
            <w:tcW w:w="2281" w:type="dxa"/>
          </w:tcPr>
          <w:p w14:paraId="736284F3" w14:textId="77777777" w:rsidR="000B7C73" w:rsidRPr="00873442" w:rsidRDefault="000B7C73" w:rsidP="000B7C73">
            <w:pPr>
              <w:ind w:left="0"/>
              <w:rPr>
                <w:highlight w:val="yellow"/>
              </w:rPr>
            </w:pPr>
          </w:p>
        </w:tc>
      </w:tr>
      <w:tr w:rsidR="000B7C73" w:rsidRPr="00873442" w14:paraId="3106AB22" w14:textId="77777777" w:rsidTr="00EF2B3F">
        <w:trPr>
          <w:cantSplit/>
        </w:trPr>
        <w:tc>
          <w:tcPr>
            <w:tcW w:w="1743" w:type="dxa"/>
          </w:tcPr>
          <w:p w14:paraId="657CE4E5" w14:textId="4C433F52" w:rsidR="000B7C73" w:rsidRDefault="000B7C73" w:rsidP="000B7C73">
            <w:pPr>
              <w:ind w:left="0"/>
            </w:pPr>
            <w:r>
              <w:t xml:space="preserve">   2B</w:t>
            </w:r>
          </w:p>
        </w:tc>
        <w:tc>
          <w:tcPr>
            <w:tcW w:w="6658" w:type="dxa"/>
          </w:tcPr>
          <w:p w14:paraId="03660C12" w14:textId="6973DD1D" w:rsidR="000B7C73" w:rsidRDefault="000B7C73" w:rsidP="000B7C73">
            <w:pPr>
              <w:ind w:left="256"/>
            </w:pPr>
            <w:r>
              <w:t>Requirements Workshops</w:t>
            </w:r>
          </w:p>
        </w:tc>
        <w:tc>
          <w:tcPr>
            <w:tcW w:w="2281" w:type="dxa"/>
          </w:tcPr>
          <w:p w14:paraId="7CE9D112" w14:textId="77777777" w:rsidR="000B7C73" w:rsidRPr="00873442" w:rsidRDefault="000B7C73" w:rsidP="000B7C73">
            <w:pPr>
              <w:ind w:left="0"/>
              <w:rPr>
                <w:highlight w:val="yellow"/>
              </w:rPr>
            </w:pPr>
          </w:p>
        </w:tc>
      </w:tr>
      <w:tr w:rsidR="000B7C73" w:rsidRPr="00873442" w14:paraId="702DB8C6" w14:textId="77777777" w:rsidTr="00EF2B3F">
        <w:trPr>
          <w:cantSplit/>
        </w:trPr>
        <w:tc>
          <w:tcPr>
            <w:tcW w:w="1743" w:type="dxa"/>
          </w:tcPr>
          <w:p w14:paraId="35CCDD2F" w14:textId="2632D2F0" w:rsidR="000B7C73" w:rsidRDefault="000B7C73" w:rsidP="000B7C73">
            <w:pPr>
              <w:ind w:left="0"/>
            </w:pPr>
            <w:r>
              <w:t xml:space="preserve">   2C</w:t>
            </w:r>
          </w:p>
        </w:tc>
        <w:tc>
          <w:tcPr>
            <w:tcW w:w="6658" w:type="dxa"/>
          </w:tcPr>
          <w:p w14:paraId="0F4E1471" w14:textId="69F296F7" w:rsidR="000B7C73" w:rsidRDefault="000B7C73" w:rsidP="000B7C73">
            <w:pPr>
              <w:ind w:left="256"/>
            </w:pPr>
            <w:r>
              <w:t>Requirements Baseline</w:t>
            </w:r>
          </w:p>
        </w:tc>
        <w:tc>
          <w:tcPr>
            <w:tcW w:w="2281" w:type="dxa"/>
          </w:tcPr>
          <w:p w14:paraId="4172E7A7" w14:textId="77777777" w:rsidR="000B7C73" w:rsidRPr="00873442" w:rsidRDefault="000B7C73" w:rsidP="000B7C73">
            <w:pPr>
              <w:ind w:left="0"/>
              <w:rPr>
                <w:highlight w:val="yellow"/>
              </w:rPr>
            </w:pPr>
          </w:p>
        </w:tc>
      </w:tr>
      <w:tr w:rsidR="000B7C73" w:rsidRPr="00873442" w14:paraId="06D52702" w14:textId="77777777" w:rsidTr="00EF2B3F">
        <w:trPr>
          <w:cantSplit/>
        </w:trPr>
        <w:tc>
          <w:tcPr>
            <w:tcW w:w="1743" w:type="dxa"/>
          </w:tcPr>
          <w:p w14:paraId="560EFAD3" w14:textId="00E9FE50" w:rsidR="000B7C73" w:rsidRDefault="000B7C73" w:rsidP="000B7C73">
            <w:pPr>
              <w:ind w:left="0"/>
            </w:pPr>
            <w:r>
              <w:t xml:space="preserve">   2D</w:t>
            </w:r>
          </w:p>
        </w:tc>
        <w:tc>
          <w:tcPr>
            <w:tcW w:w="6658" w:type="dxa"/>
          </w:tcPr>
          <w:p w14:paraId="17B960F9" w14:textId="015AE051" w:rsidR="000B7C73" w:rsidRDefault="000B7C73" w:rsidP="000B7C73">
            <w:pPr>
              <w:ind w:left="256"/>
            </w:pPr>
            <w:r>
              <w:t>Requirements Traceability Matrix</w:t>
            </w:r>
          </w:p>
        </w:tc>
        <w:tc>
          <w:tcPr>
            <w:tcW w:w="2281" w:type="dxa"/>
          </w:tcPr>
          <w:p w14:paraId="3DC9EEA6" w14:textId="77777777" w:rsidR="000B7C73" w:rsidRPr="00873442" w:rsidRDefault="000B7C73" w:rsidP="000B7C73">
            <w:pPr>
              <w:ind w:left="0"/>
              <w:rPr>
                <w:highlight w:val="yellow"/>
              </w:rPr>
            </w:pPr>
          </w:p>
        </w:tc>
      </w:tr>
      <w:tr w:rsidR="000B7C73" w:rsidRPr="00873442" w14:paraId="025B2039" w14:textId="77777777" w:rsidTr="00EF2B3F">
        <w:trPr>
          <w:cantSplit/>
        </w:trPr>
        <w:tc>
          <w:tcPr>
            <w:tcW w:w="1743" w:type="dxa"/>
          </w:tcPr>
          <w:p w14:paraId="268E28EB" w14:textId="77777777" w:rsidR="000B7C73" w:rsidRPr="00873442" w:rsidRDefault="000B7C73" w:rsidP="000B7C73">
            <w:pPr>
              <w:ind w:left="0"/>
              <w:rPr>
                <w:highlight w:val="yellow"/>
              </w:rPr>
            </w:pPr>
            <w:r w:rsidRPr="00D843BF">
              <w:t>3</w:t>
            </w:r>
          </w:p>
        </w:tc>
        <w:tc>
          <w:tcPr>
            <w:tcW w:w="6658" w:type="dxa"/>
          </w:tcPr>
          <w:p w14:paraId="36C488CD" w14:textId="4B752BC1" w:rsidR="000B7C73" w:rsidRPr="00873442" w:rsidRDefault="000B7C73" w:rsidP="000B7C73">
            <w:pPr>
              <w:ind w:left="0"/>
              <w:rPr>
                <w:highlight w:val="yellow"/>
              </w:rPr>
            </w:pPr>
            <w:r>
              <w:t>Design Holistic UI Replacement System</w:t>
            </w:r>
          </w:p>
        </w:tc>
        <w:tc>
          <w:tcPr>
            <w:tcW w:w="2281" w:type="dxa"/>
          </w:tcPr>
          <w:p w14:paraId="2CC0FA9D" w14:textId="77777777" w:rsidR="000B7C73" w:rsidRPr="00873442" w:rsidRDefault="000B7C73" w:rsidP="000B7C73">
            <w:pPr>
              <w:ind w:left="0"/>
              <w:rPr>
                <w:highlight w:val="yellow"/>
              </w:rPr>
            </w:pPr>
          </w:p>
        </w:tc>
      </w:tr>
      <w:tr w:rsidR="000B7C73" w:rsidRPr="00873442" w14:paraId="1B44D4DD" w14:textId="77777777" w:rsidTr="00EF2B3F">
        <w:trPr>
          <w:cantSplit/>
        </w:trPr>
        <w:tc>
          <w:tcPr>
            <w:tcW w:w="1743" w:type="dxa"/>
          </w:tcPr>
          <w:p w14:paraId="7CEFCD3F" w14:textId="77777777" w:rsidR="000B7C73" w:rsidRPr="00873442" w:rsidRDefault="000B7C73" w:rsidP="000B7C73">
            <w:pPr>
              <w:ind w:left="0"/>
              <w:rPr>
                <w:highlight w:val="yellow"/>
              </w:rPr>
            </w:pPr>
            <w:r w:rsidRPr="00D843BF">
              <w:t xml:space="preserve">   3A</w:t>
            </w:r>
          </w:p>
        </w:tc>
        <w:tc>
          <w:tcPr>
            <w:tcW w:w="6658" w:type="dxa"/>
          </w:tcPr>
          <w:p w14:paraId="16A1DFFB" w14:textId="2D3F4633" w:rsidR="000B7C73" w:rsidRPr="00364874" w:rsidRDefault="000B7C73" w:rsidP="000B7C73">
            <w:pPr>
              <w:ind w:left="256"/>
            </w:pPr>
            <w:r>
              <w:t>System Design Document</w:t>
            </w:r>
          </w:p>
        </w:tc>
        <w:tc>
          <w:tcPr>
            <w:tcW w:w="2281" w:type="dxa"/>
          </w:tcPr>
          <w:p w14:paraId="5B1A4E90" w14:textId="77777777" w:rsidR="000B7C73" w:rsidRPr="00873442" w:rsidRDefault="000B7C73" w:rsidP="000B7C73">
            <w:pPr>
              <w:ind w:left="0"/>
              <w:rPr>
                <w:highlight w:val="yellow"/>
              </w:rPr>
            </w:pPr>
          </w:p>
        </w:tc>
      </w:tr>
      <w:tr w:rsidR="000B7C73" w:rsidRPr="00873442" w14:paraId="14DFBED4" w14:textId="77777777" w:rsidTr="00EF2B3F">
        <w:trPr>
          <w:cantSplit/>
        </w:trPr>
        <w:tc>
          <w:tcPr>
            <w:tcW w:w="1743" w:type="dxa"/>
          </w:tcPr>
          <w:p w14:paraId="3AA6E100" w14:textId="77777777" w:rsidR="000B7C73" w:rsidRPr="00873442" w:rsidRDefault="000B7C73" w:rsidP="000B7C73">
            <w:pPr>
              <w:ind w:left="0"/>
              <w:rPr>
                <w:highlight w:val="yellow"/>
              </w:rPr>
            </w:pPr>
            <w:r w:rsidRPr="00D843BF">
              <w:t xml:space="preserve">   3B</w:t>
            </w:r>
          </w:p>
        </w:tc>
        <w:tc>
          <w:tcPr>
            <w:tcW w:w="6658" w:type="dxa"/>
          </w:tcPr>
          <w:p w14:paraId="2F12981D" w14:textId="775C4FBA" w:rsidR="000B7C73" w:rsidRPr="00364874" w:rsidRDefault="000B7C73" w:rsidP="000B7C73">
            <w:pPr>
              <w:ind w:left="256"/>
            </w:pPr>
            <w:r>
              <w:t>Software Purchase and Licensing Plan</w:t>
            </w:r>
          </w:p>
        </w:tc>
        <w:tc>
          <w:tcPr>
            <w:tcW w:w="2281" w:type="dxa"/>
          </w:tcPr>
          <w:p w14:paraId="77626593" w14:textId="77777777" w:rsidR="000B7C73" w:rsidRPr="00873442" w:rsidRDefault="000B7C73" w:rsidP="000B7C73">
            <w:pPr>
              <w:ind w:left="0"/>
              <w:rPr>
                <w:highlight w:val="yellow"/>
              </w:rPr>
            </w:pPr>
          </w:p>
        </w:tc>
      </w:tr>
      <w:tr w:rsidR="000B7C73" w:rsidRPr="00873442" w14:paraId="43DED646" w14:textId="77777777" w:rsidTr="00EF2B3F">
        <w:trPr>
          <w:cantSplit/>
        </w:trPr>
        <w:tc>
          <w:tcPr>
            <w:tcW w:w="1743" w:type="dxa"/>
          </w:tcPr>
          <w:p w14:paraId="66A87965" w14:textId="77777777" w:rsidR="000B7C73" w:rsidRPr="00873442" w:rsidRDefault="000B7C73" w:rsidP="000B7C73">
            <w:pPr>
              <w:ind w:left="0"/>
              <w:rPr>
                <w:highlight w:val="yellow"/>
              </w:rPr>
            </w:pPr>
            <w:r w:rsidRPr="00D843BF">
              <w:t>4</w:t>
            </w:r>
          </w:p>
        </w:tc>
        <w:tc>
          <w:tcPr>
            <w:tcW w:w="6658" w:type="dxa"/>
          </w:tcPr>
          <w:p w14:paraId="6846023D" w14:textId="5F0AA86C" w:rsidR="000B7C73" w:rsidRPr="00873442" w:rsidRDefault="000B7C73" w:rsidP="000B7C73">
            <w:pPr>
              <w:ind w:left="0"/>
              <w:rPr>
                <w:highlight w:val="yellow"/>
              </w:rPr>
            </w:pPr>
            <w:r>
              <w:t>Assess Infrastructure</w:t>
            </w:r>
          </w:p>
        </w:tc>
        <w:tc>
          <w:tcPr>
            <w:tcW w:w="2281" w:type="dxa"/>
          </w:tcPr>
          <w:p w14:paraId="60D0C33D" w14:textId="77777777" w:rsidR="000B7C73" w:rsidRPr="00873442" w:rsidRDefault="000B7C73" w:rsidP="000B7C73">
            <w:pPr>
              <w:ind w:left="0"/>
              <w:rPr>
                <w:highlight w:val="yellow"/>
              </w:rPr>
            </w:pPr>
          </w:p>
        </w:tc>
      </w:tr>
      <w:tr w:rsidR="000B7C73" w:rsidRPr="00873442" w14:paraId="41A180F9" w14:textId="77777777" w:rsidTr="00EF2B3F">
        <w:trPr>
          <w:cantSplit/>
        </w:trPr>
        <w:tc>
          <w:tcPr>
            <w:tcW w:w="1743" w:type="dxa"/>
          </w:tcPr>
          <w:p w14:paraId="56CF1079" w14:textId="77777777" w:rsidR="000B7C73" w:rsidRPr="00873442" w:rsidRDefault="000B7C73" w:rsidP="000B7C73">
            <w:pPr>
              <w:ind w:left="0"/>
              <w:rPr>
                <w:highlight w:val="yellow"/>
              </w:rPr>
            </w:pPr>
            <w:r w:rsidRPr="00D843BF">
              <w:t xml:space="preserve">   4A</w:t>
            </w:r>
          </w:p>
        </w:tc>
        <w:tc>
          <w:tcPr>
            <w:tcW w:w="6658" w:type="dxa"/>
          </w:tcPr>
          <w:p w14:paraId="60B7D203" w14:textId="448E17E1" w:rsidR="000B7C73" w:rsidRPr="00364874" w:rsidRDefault="000B7C73" w:rsidP="000B7C73">
            <w:pPr>
              <w:ind w:left="256"/>
            </w:pPr>
            <w:r>
              <w:t>Infrastructure Report</w:t>
            </w:r>
          </w:p>
        </w:tc>
        <w:tc>
          <w:tcPr>
            <w:tcW w:w="2281" w:type="dxa"/>
          </w:tcPr>
          <w:p w14:paraId="0700B80D" w14:textId="77777777" w:rsidR="000B7C73" w:rsidRPr="00873442" w:rsidRDefault="000B7C73" w:rsidP="000B7C73">
            <w:pPr>
              <w:ind w:left="0"/>
              <w:rPr>
                <w:highlight w:val="yellow"/>
              </w:rPr>
            </w:pPr>
          </w:p>
        </w:tc>
      </w:tr>
      <w:tr w:rsidR="000B7C73" w:rsidRPr="00873442" w14:paraId="3DF7E156" w14:textId="77777777" w:rsidTr="00EF2B3F">
        <w:trPr>
          <w:cantSplit/>
        </w:trPr>
        <w:tc>
          <w:tcPr>
            <w:tcW w:w="1743" w:type="dxa"/>
          </w:tcPr>
          <w:p w14:paraId="2F46497B" w14:textId="77777777" w:rsidR="000B7C73" w:rsidRPr="00873442" w:rsidRDefault="000B7C73" w:rsidP="000B7C73">
            <w:pPr>
              <w:ind w:left="0"/>
              <w:rPr>
                <w:highlight w:val="yellow"/>
              </w:rPr>
            </w:pPr>
            <w:r w:rsidRPr="00D843BF">
              <w:t>5</w:t>
            </w:r>
          </w:p>
        </w:tc>
        <w:tc>
          <w:tcPr>
            <w:tcW w:w="6658" w:type="dxa"/>
          </w:tcPr>
          <w:p w14:paraId="367DADD4" w14:textId="09F881BA" w:rsidR="000B7C73" w:rsidRPr="00873442" w:rsidRDefault="000B7C73" w:rsidP="000B7C73">
            <w:pPr>
              <w:ind w:left="0"/>
              <w:rPr>
                <w:highlight w:val="yellow"/>
              </w:rPr>
            </w:pPr>
            <w:r>
              <w:t>Configure/Develop System and Conduct Technical Acceptance Testing</w:t>
            </w:r>
          </w:p>
        </w:tc>
        <w:tc>
          <w:tcPr>
            <w:tcW w:w="2281" w:type="dxa"/>
          </w:tcPr>
          <w:p w14:paraId="0E82760F" w14:textId="77777777" w:rsidR="000B7C73" w:rsidRPr="00873442" w:rsidRDefault="000B7C73" w:rsidP="000B7C73">
            <w:pPr>
              <w:ind w:left="0"/>
              <w:rPr>
                <w:highlight w:val="yellow"/>
              </w:rPr>
            </w:pPr>
          </w:p>
        </w:tc>
      </w:tr>
      <w:tr w:rsidR="00CA36CA" w:rsidRPr="00873442" w14:paraId="0950CE23" w14:textId="77777777" w:rsidTr="00EF2B3F">
        <w:trPr>
          <w:cantSplit/>
        </w:trPr>
        <w:tc>
          <w:tcPr>
            <w:tcW w:w="1743" w:type="dxa"/>
          </w:tcPr>
          <w:p w14:paraId="3AF0DEF0" w14:textId="443AC5DD" w:rsidR="00CA36CA" w:rsidRPr="00D843BF" w:rsidRDefault="00CA36CA" w:rsidP="00CA36CA">
            <w:pPr>
              <w:ind w:left="0"/>
            </w:pPr>
            <w:r w:rsidRPr="00D843BF">
              <w:t xml:space="preserve">   5A</w:t>
            </w:r>
          </w:p>
        </w:tc>
        <w:tc>
          <w:tcPr>
            <w:tcW w:w="6658" w:type="dxa"/>
          </w:tcPr>
          <w:p w14:paraId="45A571B5" w14:textId="2E750B07" w:rsidR="00CA36CA" w:rsidRDefault="00CA36CA" w:rsidP="00BC06C5">
            <w:pPr>
              <w:ind w:left="256"/>
            </w:pPr>
            <w:r>
              <w:t>Software Development Plan</w:t>
            </w:r>
          </w:p>
        </w:tc>
        <w:tc>
          <w:tcPr>
            <w:tcW w:w="2281" w:type="dxa"/>
          </w:tcPr>
          <w:p w14:paraId="77080265" w14:textId="77777777" w:rsidR="00CA36CA" w:rsidRPr="00873442" w:rsidRDefault="00CA36CA" w:rsidP="00CA36CA">
            <w:pPr>
              <w:ind w:left="0"/>
              <w:rPr>
                <w:highlight w:val="yellow"/>
              </w:rPr>
            </w:pPr>
          </w:p>
        </w:tc>
      </w:tr>
      <w:tr w:rsidR="000B7C73" w:rsidRPr="00873442" w14:paraId="013ECCB6" w14:textId="77777777" w:rsidTr="0074076E">
        <w:trPr>
          <w:cantSplit/>
        </w:trPr>
        <w:tc>
          <w:tcPr>
            <w:tcW w:w="1743" w:type="dxa"/>
          </w:tcPr>
          <w:p w14:paraId="12B3293E" w14:textId="509692D0" w:rsidR="000B7C73" w:rsidRPr="00873442" w:rsidRDefault="00CA36CA" w:rsidP="000B7C73">
            <w:pPr>
              <w:ind w:left="0"/>
              <w:rPr>
                <w:highlight w:val="yellow"/>
              </w:rPr>
            </w:pPr>
            <w:r>
              <w:t xml:space="preserve">   5B</w:t>
            </w:r>
          </w:p>
        </w:tc>
        <w:tc>
          <w:tcPr>
            <w:tcW w:w="6658" w:type="dxa"/>
          </w:tcPr>
          <w:p w14:paraId="7E41DA4E" w14:textId="77777777" w:rsidR="000B7C73" w:rsidRPr="00364874" w:rsidRDefault="000B7C73" w:rsidP="000B7C73">
            <w:pPr>
              <w:ind w:left="256"/>
            </w:pPr>
            <w:r>
              <w:t>Configuration Management Plan</w:t>
            </w:r>
          </w:p>
        </w:tc>
        <w:tc>
          <w:tcPr>
            <w:tcW w:w="2281" w:type="dxa"/>
          </w:tcPr>
          <w:p w14:paraId="3F60D7AD" w14:textId="77777777" w:rsidR="000B7C73" w:rsidRPr="00873442" w:rsidRDefault="000B7C73" w:rsidP="000B7C73">
            <w:pPr>
              <w:ind w:left="0"/>
              <w:rPr>
                <w:highlight w:val="yellow"/>
              </w:rPr>
            </w:pPr>
          </w:p>
        </w:tc>
      </w:tr>
      <w:tr w:rsidR="000B7C73" w:rsidRPr="00873442" w14:paraId="646D78FF" w14:textId="77777777" w:rsidTr="00EF2B3F">
        <w:trPr>
          <w:cantSplit/>
        </w:trPr>
        <w:tc>
          <w:tcPr>
            <w:tcW w:w="1743" w:type="dxa"/>
          </w:tcPr>
          <w:p w14:paraId="698C6972" w14:textId="4C2997F6" w:rsidR="000B7C73" w:rsidRPr="00873442" w:rsidRDefault="000B7C73" w:rsidP="000B7C73">
            <w:pPr>
              <w:ind w:left="0"/>
              <w:rPr>
                <w:highlight w:val="yellow"/>
              </w:rPr>
            </w:pPr>
            <w:r w:rsidRPr="00D843BF">
              <w:t xml:space="preserve">   5</w:t>
            </w:r>
            <w:r w:rsidR="00CA36CA">
              <w:t>C</w:t>
            </w:r>
          </w:p>
        </w:tc>
        <w:tc>
          <w:tcPr>
            <w:tcW w:w="6658" w:type="dxa"/>
          </w:tcPr>
          <w:p w14:paraId="4AB62603" w14:textId="24AA7DA4" w:rsidR="000B7C73" w:rsidRPr="00364874" w:rsidRDefault="000B7C73" w:rsidP="000B7C73">
            <w:pPr>
              <w:ind w:left="256"/>
            </w:pPr>
            <w:r>
              <w:t>Configured Tax System</w:t>
            </w:r>
          </w:p>
        </w:tc>
        <w:tc>
          <w:tcPr>
            <w:tcW w:w="2281" w:type="dxa"/>
          </w:tcPr>
          <w:p w14:paraId="48DD14A2" w14:textId="77777777" w:rsidR="000B7C73" w:rsidRPr="00873442" w:rsidRDefault="000B7C73" w:rsidP="000B7C73">
            <w:pPr>
              <w:ind w:left="0"/>
              <w:rPr>
                <w:highlight w:val="yellow"/>
              </w:rPr>
            </w:pPr>
          </w:p>
        </w:tc>
      </w:tr>
      <w:tr w:rsidR="000B7C73" w:rsidRPr="00873442" w14:paraId="2C0AB733" w14:textId="77777777" w:rsidTr="00EF2B3F">
        <w:trPr>
          <w:cantSplit/>
        </w:trPr>
        <w:tc>
          <w:tcPr>
            <w:tcW w:w="1743" w:type="dxa"/>
          </w:tcPr>
          <w:p w14:paraId="56C7A8ED" w14:textId="73DF18FB" w:rsidR="000B7C73" w:rsidRPr="00873442" w:rsidRDefault="000B7C73" w:rsidP="000B7C73">
            <w:pPr>
              <w:ind w:left="0"/>
              <w:rPr>
                <w:highlight w:val="yellow"/>
              </w:rPr>
            </w:pPr>
            <w:r w:rsidRPr="00D843BF">
              <w:t xml:space="preserve">   5</w:t>
            </w:r>
            <w:r w:rsidR="00CA36CA">
              <w:t>D</w:t>
            </w:r>
          </w:p>
        </w:tc>
        <w:tc>
          <w:tcPr>
            <w:tcW w:w="6658" w:type="dxa"/>
          </w:tcPr>
          <w:p w14:paraId="44A86137" w14:textId="09918C54" w:rsidR="000B7C73" w:rsidRPr="00364874" w:rsidRDefault="000B7C73" w:rsidP="000B7C73">
            <w:pPr>
              <w:ind w:left="256"/>
            </w:pPr>
            <w:r>
              <w:t>Configured Benefits System</w:t>
            </w:r>
          </w:p>
        </w:tc>
        <w:tc>
          <w:tcPr>
            <w:tcW w:w="2281" w:type="dxa"/>
          </w:tcPr>
          <w:p w14:paraId="0AA66203" w14:textId="77777777" w:rsidR="000B7C73" w:rsidRPr="00873442" w:rsidRDefault="000B7C73" w:rsidP="000B7C73">
            <w:pPr>
              <w:ind w:left="0"/>
              <w:rPr>
                <w:highlight w:val="yellow"/>
              </w:rPr>
            </w:pPr>
          </w:p>
        </w:tc>
      </w:tr>
      <w:tr w:rsidR="000B7C73" w:rsidRPr="00873442" w14:paraId="1EACB2F5" w14:textId="77777777" w:rsidTr="00EF2B3F">
        <w:trPr>
          <w:cantSplit/>
        </w:trPr>
        <w:tc>
          <w:tcPr>
            <w:tcW w:w="1743" w:type="dxa"/>
          </w:tcPr>
          <w:p w14:paraId="3222FC84" w14:textId="0BCE267E" w:rsidR="000B7C73" w:rsidRPr="00873442" w:rsidRDefault="000B7C73" w:rsidP="000B7C73">
            <w:pPr>
              <w:ind w:left="0"/>
              <w:rPr>
                <w:highlight w:val="yellow"/>
              </w:rPr>
            </w:pPr>
            <w:r>
              <w:t xml:space="preserve">   5</w:t>
            </w:r>
            <w:r w:rsidR="00CA36CA">
              <w:t>E</w:t>
            </w:r>
          </w:p>
        </w:tc>
        <w:tc>
          <w:tcPr>
            <w:tcW w:w="6658" w:type="dxa"/>
          </w:tcPr>
          <w:p w14:paraId="033E1765" w14:textId="1BDE3426" w:rsidR="000B7C73" w:rsidRPr="00364874" w:rsidRDefault="000B7C73" w:rsidP="000B7C73">
            <w:pPr>
              <w:ind w:left="256"/>
            </w:pPr>
            <w:r>
              <w:t>Configured Appeals System</w:t>
            </w:r>
          </w:p>
        </w:tc>
        <w:tc>
          <w:tcPr>
            <w:tcW w:w="2281" w:type="dxa"/>
          </w:tcPr>
          <w:p w14:paraId="00141D17" w14:textId="77777777" w:rsidR="000B7C73" w:rsidRPr="00873442" w:rsidRDefault="000B7C73" w:rsidP="000B7C73">
            <w:pPr>
              <w:ind w:left="0"/>
              <w:rPr>
                <w:highlight w:val="yellow"/>
              </w:rPr>
            </w:pPr>
          </w:p>
        </w:tc>
      </w:tr>
      <w:tr w:rsidR="000B7C73" w:rsidRPr="00873442" w14:paraId="21B25DEC" w14:textId="77777777" w:rsidTr="00EF2B3F">
        <w:trPr>
          <w:cantSplit/>
        </w:trPr>
        <w:tc>
          <w:tcPr>
            <w:tcW w:w="1743" w:type="dxa"/>
          </w:tcPr>
          <w:p w14:paraId="44CCDA71" w14:textId="74A48489" w:rsidR="000B7C73" w:rsidRPr="00D843BF" w:rsidRDefault="000B7C73" w:rsidP="000B7C73">
            <w:pPr>
              <w:ind w:left="0"/>
            </w:pPr>
            <w:r>
              <w:t xml:space="preserve">   5</w:t>
            </w:r>
            <w:r w:rsidR="00CA36CA">
              <w:t>F</w:t>
            </w:r>
          </w:p>
        </w:tc>
        <w:tc>
          <w:tcPr>
            <w:tcW w:w="6658" w:type="dxa"/>
          </w:tcPr>
          <w:p w14:paraId="01E4F2A7" w14:textId="3500009F" w:rsidR="000B7C73" w:rsidRPr="00CF6E0F" w:rsidRDefault="000B7C73" w:rsidP="000B7C73">
            <w:pPr>
              <w:ind w:left="256"/>
            </w:pPr>
            <w:r>
              <w:t>Configured RID System</w:t>
            </w:r>
          </w:p>
        </w:tc>
        <w:tc>
          <w:tcPr>
            <w:tcW w:w="2281" w:type="dxa"/>
          </w:tcPr>
          <w:p w14:paraId="473D9CBA" w14:textId="77777777" w:rsidR="000B7C73" w:rsidRPr="00873442" w:rsidRDefault="000B7C73" w:rsidP="000B7C73">
            <w:pPr>
              <w:ind w:left="0"/>
              <w:rPr>
                <w:highlight w:val="yellow"/>
              </w:rPr>
            </w:pPr>
          </w:p>
        </w:tc>
      </w:tr>
      <w:tr w:rsidR="000B7C73" w:rsidRPr="00873442" w14:paraId="3BA44257" w14:textId="77777777" w:rsidTr="00EF2B3F">
        <w:trPr>
          <w:cantSplit/>
        </w:trPr>
        <w:tc>
          <w:tcPr>
            <w:tcW w:w="1743" w:type="dxa"/>
          </w:tcPr>
          <w:p w14:paraId="0C119EFB" w14:textId="5C78491F" w:rsidR="000B7C73" w:rsidRPr="00D843BF" w:rsidRDefault="000B7C73" w:rsidP="000B7C73">
            <w:pPr>
              <w:ind w:left="0"/>
            </w:pPr>
            <w:r>
              <w:t xml:space="preserve">   5</w:t>
            </w:r>
            <w:r w:rsidR="00CA36CA">
              <w:t>G</w:t>
            </w:r>
          </w:p>
        </w:tc>
        <w:tc>
          <w:tcPr>
            <w:tcW w:w="6658" w:type="dxa"/>
          </w:tcPr>
          <w:p w14:paraId="1B0CC486" w14:textId="6CA161C6" w:rsidR="000B7C73" w:rsidRPr="00CF6E0F" w:rsidRDefault="000B7C73" w:rsidP="000B7C73">
            <w:pPr>
              <w:ind w:left="256"/>
            </w:pPr>
            <w:r>
              <w:t>Configured RTM System</w:t>
            </w:r>
          </w:p>
        </w:tc>
        <w:tc>
          <w:tcPr>
            <w:tcW w:w="2281" w:type="dxa"/>
          </w:tcPr>
          <w:p w14:paraId="53DC0B24" w14:textId="77777777" w:rsidR="000B7C73" w:rsidRPr="00873442" w:rsidRDefault="000B7C73" w:rsidP="000B7C73">
            <w:pPr>
              <w:ind w:left="0"/>
              <w:rPr>
                <w:highlight w:val="yellow"/>
              </w:rPr>
            </w:pPr>
          </w:p>
        </w:tc>
      </w:tr>
      <w:tr w:rsidR="000B7C73" w:rsidRPr="00873442" w14:paraId="34D9D5C8" w14:textId="77777777" w:rsidTr="00EF2B3F">
        <w:trPr>
          <w:cantSplit/>
        </w:trPr>
        <w:tc>
          <w:tcPr>
            <w:tcW w:w="1743" w:type="dxa"/>
          </w:tcPr>
          <w:p w14:paraId="41E6FDF6" w14:textId="6976071E" w:rsidR="000B7C73" w:rsidRPr="00D843BF" w:rsidRDefault="000B7C73" w:rsidP="000B7C73">
            <w:pPr>
              <w:ind w:left="0"/>
            </w:pPr>
            <w:r>
              <w:t xml:space="preserve">   5</w:t>
            </w:r>
            <w:r w:rsidR="00CA36CA">
              <w:t>H</w:t>
            </w:r>
          </w:p>
        </w:tc>
        <w:tc>
          <w:tcPr>
            <w:tcW w:w="6658" w:type="dxa"/>
          </w:tcPr>
          <w:p w14:paraId="55A9950A" w14:textId="445A3EA6" w:rsidR="000B7C73" w:rsidRPr="00CF6E0F" w:rsidRDefault="00ED2EEB" w:rsidP="000B7C73">
            <w:pPr>
              <w:ind w:left="256"/>
            </w:pPr>
            <w:r>
              <w:t xml:space="preserve">Update </w:t>
            </w:r>
            <w:r w:rsidR="000B7C73">
              <w:t>Test Plan</w:t>
            </w:r>
          </w:p>
        </w:tc>
        <w:tc>
          <w:tcPr>
            <w:tcW w:w="2281" w:type="dxa"/>
          </w:tcPr>
          <w:p w14:paraId="65C79631" w14:textId="77777777" w:rsidR="000B7C73" w:rsidRPr="00873442" w:rsidRDefault="000B7C73" w:rsidP="000B7C73">
            <w:pPr>
              <w:ind w:left="0"/>
              <w:rPr>
                <w:highlight w:val="yellow"/>
              </w:rPr>
            </w:pPr>
          </w:p>
        </w:tc>
      </w:tr>
      <w:tr w:rsidR="000B7C73" w:rsidRPr="00873442" w14:paraId="18D75C3C" w14:textId="77777777" w:rsidTr="00EF2B3F">
        <w:trPr>
          <w:cantSplit/>
        </w:trPr>
        <w:tc>
          <w:tcPr>
            <w:tcW w:w="1743" w:type="dxa"/>
          </w:tcPr>
          <w:p w14:paraId="75190744" w14:textId="40C67F81" w:rsidR="000B7C73" w:rsidRPr="00D843BF" w:rsidRDefault="000B7C73" w:rsidP="000B7C73">
            <w:pPr>
              <w:ind w:left="0"/>
            </w:pPr>
            <w:r>
              <w:t xml:space="preserve">   5</w:t>
            </w:r>
            <w:r w:rsidR="00CA36CA">
              <w:t>I</w:t>
            </w:r>
          </w:p>
        </w:tc>
        <w:tc>
          <w:tcPr>
            <w:tcW w:w="6658" w:type="dxa"/>
          </w:tcPr>
          <w:p w14:paraId="5C38A460" w14:textId="0DAB526E" w:rsidR="000B7C73" w:rsidRPr="00CF6E0F" w:rsidRDefault="000B7C73" w:rsidP="000B7C73">
            <w:pPr>
              <w:ind w:left="256"/>
            </w:pPr>
            <w:r>
              <w:t>Completed Technical Acceptance T</w:t>
            </w:r>
            <w:r w:rsidRPr="00090536">
              <w:t>est</w:t>
            </w:r>
            <w:r w:rsidRPr="002908A9">
              <w:t>ing</w:t>
            </w:r>
            <w:r>
              <w:t xml:space="preserve"> Checklist</w:t>
            </w:r>
          </w:p>
        </w:tc>
        <w:tc>
          <w:tcPr>
            <w:tcW w:w="2281" w:type="dxa"/>
          </w:tcPr>
          <w:p w14:paraId="0406EDA4" w14:textId="77777777" w:rsidR="000B7C73" w:rsidRPr="00873442" w:rsidRDefault="000B7C73" w:rsidP="000B7C73">
            <w:pPr>
              <w:ind w:left="0"/>
              <w:rPr>
                <w:highlight w:val="yellow"/>
              </w:rPr>
            </w:pPr>
          </w:p>
        </w:tc>
      </w:tr>
      <w:tr w:rsidR="000B7C73" w:rsidRPr="00873442" w14:paraId="25BA28D2" w14:textId="77777777" w:rsidTr="00EF2B3F">
        <w:trPr>
          <w:cantSplit/>
        </w:trPr>
        <w:tc>
          <w:tcPr>
            <w:tcW w:w="1743" w:type="dxa"/>
          </w:tcPr>
          <w:p w14:paraId="625A22EF" w14:textId="77777777" w:rsidR="000B7C73" w:rsidRPr="00873442" w:rsidRDefault="000B7C73" w:rsidP="000B7C73">
            <w:pPr>
              <w:ind w:left="0"/>
              <w:rPr>
                <w:highlight w:val="yellow"/>
              </w:rPr>
            </w:pPr>
            <w:r w:rsidRPr="00355C5B">
              <w:t>6</w:t>
            </w:r>
          </w:p>
        </w:tc>
        <w:tc>
          <w:tcPr>
            <w:tcW w:w="6658" w:type="dxa"/>
          </w:tcPr>
          <w:p w14:paraId="36FB1410" w14:textId="77AFA20F" w:rsidR="000B7C73" w:rsidRPr="00873442" w:rsidRDefault="000B7C73" w:rsidP="000B7C73">
            <w:pPr>
              <w:ind w:left="0"/>
              <w:rPr>
                <w:highlight w:val="yellow"/>
              </w:rPr>
            </w:pPr>
            <w:r>
              <w:t>Migrate Data</w:t>
            </w:r>
          </w:p>
        </w:tc>
        <w:tc>
          <w:tcPr>
            <w:tcW w:w="2281" w:type="dxa"/>
          </w:tcPr>
          <w:p w14:paraId="593D74E4" w14:textId="77777777" w:rsidR="000B7C73" w:rsidRPr="00873442" w:rsidRDefault="000B7C73" w:rsidP="000B7C73">
            <w:pPr>
              <w:ind w:left="0"/>
              <w:rPr>
                <w:highlight w:val="yellow"/>
              </w:rPr>
            </w:pPr>
          </w:p>
        </w:tc>
      </w:tr>
      <w:tr w:rsidR="000B7C73" w:rsidRPr="00873442" w14:paraId="53D0DDFC" w14:textId="77777777" w:rsidTr="00EF2B3F">
        <w:trPr>
          <w:cantSplit/>
        </w:trPr>
        <w:tc>
          <w:tcPr>
            <w:tcW w:w="1743" w:type="dxa"/>
          </w:tcPr>
          <w:p w14:paraId="71BCB988" w14:textId="77777777" w:rsidR="000B7C73" w:rsidRPr="00873442" w:rsidRDefault="000B7C73" w:rsidP="000B7C73">
            <w:pPr>
              <w:ind w:left="0"/>
              <w:rPr>
                <w:highlight w:val="yellow"/>
              </w:rPr>
            </w:pPr>
            <w:r>
              <w:t xml:space="preserve">   6A</w:t>
            </w:r>
          </w:p>
        </w:tc>
        <w:tc>
          <w:tcPr>
            <w:tcW w:w="6658" w:type="dxa"/>
          </w:tcPr>
          <w:p w14:paraId="70268DEA" w14:textId="04DF8406" w:rsidR="000B7C73" w:rsidRPr="00364874" w:rsidRDefault="000B7C73" w:rsidP="000B7C73">
            <w:pPr>
              <w:ind w:left="256"/>
            </w:pPr>
            <w:r>
              <w:t>Data Migration Strategy and Plan</w:t>
            </w:r>
          </w:p>
        </w:tc>
        <w:tc>
          <w:tcPr>
            <w:tcW w:w="2281" w:type="dxa"/>
          </w:tcPr>
          <w:p w14:paraId="121F3F6C" w14:textId="77777777" w:rsidR="000B7C73" w:rsidRPr="00873442" w:rsidRDefault="000B7C73" w:rsidP="000B7C73">
            <w:pPr>
              <w:ind w:left="0"/>
              <w:rPr>
                <w:highlight w:val="yellow"/>
              </w:rPr>
            </w:pPr>
          </w:p>
        </w:tc>
      </w:tr>
      <w:tr w:rsidR="000B7C73" w:rsidRPr="00873442" w14:paraId="12A285D7" w14:textId="77777777" w:rsidTr="00EF2B3F">
        <w:trPr>
          <w:cantSplit/>
        </w:trPr>
        <w:tc>
          <w:tcPr>
            <w:tcW w:w="1743" w:type="dxa"/>
          </w:tcPr>
          <w:p w14:paraId="0EE0FEE4" w14:textId="77777777" w:rsidR="000B7C73" w:rsidRPr="00873442" w:rsidRDefault="000B7C73" w:rsidP="000B7C73">
            <w:pPr>
              <w:ind w:left="0"/>
              <w:rPr>
                <w:highlight w:val="yellow"/>
              </w:rPr>
            </w:pPr>
            <w:r>
              <w:t xml:space="preserve">   6B</w:t>
            </w:r>
          </w:p>
        </w:tc>
        <w:tc>
          <w:tcPr>
            <w:tcW w:w="6658" w:type="dxa"/>
          </w:tcPr>
          <w:p w14:paraId="689F2B58" w14:textId="3119E2D1" w:rsidR="000B7C73" w:rsidRPr="00364874" w:rsidRDefault="000B7C73" w:rsidP="000B7C73">
            <w:pPr>
              <w:ind w:left="256"/>
            </w:pPr>
            <w:r>
              <w:t>Migrate Data</w:t>
            </w:r>
          </w:p>
        </w:tc>
        <w:tc>
          <w:tcPr>
            <w:tcW w:w="2281" w:type="dxa"/>
          </w:tcPr>
          <w:p w14:paraId="3D4EC9DA" w14:textId="77777777" w:rsidR="000B7C73" w:rsidRPr="00873442" w:rsidRDefault="000B7C73" w:rsidP="000B7C73">
            <w:pPr>
              <w:ind w:left="0"/>
              <w:rPr>
                <w:highlight w:val="yellow"/>
              </w:rPr>
            </w:pPr>
          </w:p>
        </w:tc>
      </w:tr>
      <w:tr w:rsidR="000B7C73" w:rsidRPr="00873442" w14:paraId="47745890" w14:textId="77777777" w:rsidTr="00EF2B3F">
        <w:trPr>
          <w:cantSplit/>
        </w:trPr>
        <w:tc>
          <w:tcPr>
            <w:tcW w:w="1743" w:type="dxa"/>
          </w:tcPr>
          <w:p w14:paraId="2E3A3979" w14:textId="77777777" w:rsidR="000B7C73" w:rsidRDefault="000B7C73" w:rsidP="000B7C73">
            <w:pPr>
              <w:ind w:left="0"/>
            </w:pPr>
            <w:r w:rsidRPr="00355C5B">
              <w:t>7</w:t>
            </w:r>
          </w:p>
        </w:tc>
        <w:tc>
          <w:tcPr>
            <w:tcW w:w="6658" w:type="dxa"/>
          </w:tcPr>
          <w:p w14:paraId="0ABB92FA" w14:textId="4CFC5321" w:rsidR="000B7C73" w:rsidRPr="00D674DE" w:rsidRDefault="000B7C73" w:rsidP="000B7C73">
            <w:pPr>
              <w:ind w:left="0"/>
            </w:pPr>
            <w:r>
              <w:t>Implement Interfaces</w:t>
            </w:r>
          </w:p>
        </w:tc>
        <w:tc>
          <w:tcPr>
            <w:tcW w:w="2281" w:type="dxa"/>
          </w:tcPr>
          <w:p w14:paraId="59024740" w14:textId="77777777" w:rsidR="000B7C73" w:rsidRPr="00873442" w:rsidRDefault="000B7C73" w:rsidP="000B7C73">
            <w:pPr>
              <w:ind w:left="0"/>
              <w:rPr>
                <w:highlight w:val="yellow"/>
              </w:rPr>
            </w:pPr>
          </w:p>
        </w:tc>
      </w:tr>
      <w:tr w:rsidR="000B7C73" w:rsidRPr="00873442" w14:paraId="47864EB2" w14:textId="77777777" w:rsidTr="00EF2B3F">
        <w:trPr>
          <w:cantSplit/>
        </w:trPr>
        <w:tc>
          <w:tcPr>
            <w:tcW w:w="1743" w:type="dxa"/>
          </w:tcPr>
          <w:p w14:paraId="55765EE2" w14:textId="77777777" w:rsidR="000B7C73" w:rsidRDefault="000B7C73" w:rsidP="000B7C73">
            <w:pPr>
              <w:ind w:left="0"/>
            </w:pPr>
            <w:r>
              <w:t xml:space="preserve">   7A</w:t>
            </w:r>
          </w:p>
        </w:tc>
        <w:tc>
          <w:tcPr>
            <w:tcW w:w="6658" w:type="dxa"/>
          </w:tcPr>
          <w:p w14:paraId="3922E463" w14:textId="32491E38" w:rsidR="000B7C73" w:rsidRPr="00D674DE" w:rsidRDefault="000B7C73" w:rsidP="000B7C73">
            <w:pPr>
              <w:ind w:left="256"/>
            </w:pPr>
            <w:r>
              <w:t>Interface Implementation Strategy and Plan</w:t>
            </w:r>
          </w:p>
        </w:tc>
        <w:tc>
          <w:tcPr>
            <w:tcW w:w="2281" w:type="dxa"/>
          </w:tcPr>
          <w:p w14:paraId="0AA06D1B" w14:textId="77777777" w:rsidR="000B7C73" w:rsidRPr="00873442" w:rsidRDefault="000B7C73" w:rsidP="000B7C73">
            <w:pPr>
              <w:ind w:left="0"/>
              <w:rPr>
                <w:highlight w:val="yellow"/>
              </w:rPr>
            </w:pPr>
          </w:p>
        </w:tc>
      </w:tr>
      <w:tr w:rsidR="000B7C73" w:rsidRPr="00873442" w14:paraId="47BC1210" w14:textId="77777777" w:rsidTr="00EF2B3F">
        <w:trPr>
          <w:cantSplit/>
        </w:trPr>
        <w:tc>
          <w:tcPr>
            <w:tcW w:w="1743" w:type="dxa"/>
          </w:tcPr>
          <w:p w14:paraId="0685CAC0" w14:textId="77777777" w:rsidR="000B7C73" w:rsidRDefault="000B7C73" w:rsidP="000B7C73">
            <w:pPr>
              <w:ind w:left="0"/>
            </w:pPr>
            <w:r>
              <w:t xml:space="preserve">   7B</w:t>
            </w:r>
          </w:p>
        </w:tc>
        <w:tc>
          <w:tcPr>
            <w:tcW w:w="6658" w:type="dxa"/>
          </w:tcPr>
          <w:p w14:paraId="55BFD12F" w14:textId="6563E27E" w:rsidR="000B7C73" w:rsidRPr="00D674DE" w:rsidRDefault="000B7C73" w:rsidP="000B7C73">
            <w:pPr>
              <w:ind w:left="256"/>
            </w:pPr>
            <w:r>
              <w:t>Implemented Interfaces</w:t>
            </w:r>
          </w:p>
        </w:tc>
        <w:tc>
          <w:tcPr>
            <w:tcW w:w="2281" w:type="dxa"/>
          </w:tcPr>
          <w:p w14:paraId="3AC8E313" w14:textId="77777777" w:rsidR="000B7C73" w:rsidRPr="00873442" w:rsidRDefault="000B7C73" w:rsidP="000B7C73">
            <w:pPr>
              <w:ind w:left="0"/>
              <w:rPr>
                <w:highlight w:val="yellow"/>
              </w:rPr>
            </w:pPr>
          </w:p>
        </w:tc>
      </w:tr>
      <w:tr w:rsidR="000B7C73" w:rsidRPr="00873442" w14:paraId="60D427FF" w14:textId="77777777" w:rsidTr="00EF2B3F">
        <w:trPr>
          <w:cantSplit/>
        </w:trPr>
        <w:tc>
          <w:tcPr>
            <w:tcW w:w="1743" w:type="dxa"/>
          </w:tcPr>
          <w:p w14:paraId="2FAAE0F4" w14:textId="77777777" w:rsidR="000B7C73" w:rsidRDefault="000B7C73" w:rsidP="000B7C73">
            <w:pPr>
              <w:ind w:left="0"/>
            </w:pPr>
            <w:r>
              <w:t>8</w:t>
            </w:r>
          </w:p>
        </w:tc>
        <w:tc>
          <w:tcPr>
            <w:tcW w:w="6658" w:type="dxa"/>
          </w:tcPr>
          <w:p w14:paraId="4984AE02" w14:textId="00A5F283" w:rsidR="000B7C73" w:rsidRDefault="000B7C73" w:rsidP="000B7C73">
            <w:pPr>
              <w:ind w:left="0"/>
            </w:pPr>
            <w:r>
              <w:t>Replace Reports</w:t>
            </w:r>
          </w:p>
        </w:tc>
        <w:tc>
          <w:tcPr>
            <w:tcW w:w="2281" w:type="dxa"/>
          </w:tcPr>
          <w:p w14:paraId="02145381" w14:textId="77777777" w:rsidR="000B7C73" w:rsidRPr="00873442" w:rsidRDefault="000B7C73" w:rsidP="000B7C73">
            <w:pPr>
              <w:ind w:left="0"/>
              <w:rPr>
                <w:highlight w:val="yellow"/>
              </w:rPr>
            </w:pPr>
          </w:p>
        </w:tc>
      </w:tr>
      <w:tr w:rsidR="000B7C73" w:rsidRPr="00873442" w14:paraId="7FD97FFE" w14:textId="77777777" w:rsidTr="00EF2B3F">
        <w:trPr>
          <w:cantSplit/>
        </w:trPr>
        <w:tc>
          <w:tcPr>
            <w:tcW w:w="1743" w:type="dxa"/>
          </w:tcPr>
          <w:p w14:paraId="460F3AF4" w14:textId="77777777" w:rsidR="000B7C73" w:rsidRPr="00355C5B" w:rsidRDefault="000B7C73" w:rsidP="000B7C73">
            <w:pPr>
              <w:ind w:left="0"/>
            </w:pPr>
            <w:r>
              <w:t xml:space="preserve">   8A</w:t>
            </w:r>
          </w:p>
        </w:tc>
        <w:tc>
          <w:tcPr>
            <w:tcW w:w="6658" w:type="dxa"/>
          </w:tcPr>
          <w:p w14:paraId="515580E6" w14:textId="023BC93E" w:rsidR="000B7C73" w:rsidRPr="00355C5B" w:rsidRDefault="000B7C73" w:rsidP="000B7C73">
            <w:pPr>
              <w:ind w:left="256"/>
            </w:pPr>
            <w:r>
              <w:t>Inventory of all Required Reports and Ad Hoc Queries</w:t>
            </w:r>
          </w:p>
        </w:tc>
        <w:tc>
          <w:tcPr>
            <w:tcW w:w="2281" w:type="dxa"/>
          </w:tcPr>
          <w:p w14:paraId="583EE4B9" w14:textId="77777777" w:rsidR="000B7C73" w:rsidRPr="00873442" w:rsidRDefault="000B7C73" w:rsidP="000B7C73">
            <w:pPr>
              <w:ind w:left="0"/>
              <w:rPr>
                <w:highlight w:val="yellow"/>
              </w:rPr>
            </w:pPr>
          </w:p>
        </w:tc>
      </w:tr>
      <w:tr w:rsidR="000B7C73" w:rsidRPr="00873442" w14:paraId="0E45D344" w14:textId="77777777" w:rsidTr="00EF2B3F">
        <w:trPr>
          <w:cantSplit/>
        </w:trPr>
        <w:tc>
          <w:tcPr>
            <w:tcW w:w="1743" w:type="dxa"/>
          </w:tcPr>
          <w:p w14:paraId="56103DF7" w14:textId="77777777" w:rsidR="000B7C73" w:rsidRDefault="000B7C73" w:rsidP="000B7C73">
            <w:pPr>
              <w:ind w:left="0"/>
            </w:pPr>
            <w:r>
              <w:lastRenderedPageBreak/>
              <w:t xml:space="preserve">   8B</w:t>
            </w:r>
          </w:p>
        </w:tc>
        <w:tc>
          <w:tcPr>
            <w:tcW w:w="6658" w:type="dxa"/>
          </w:tcPr>
          <w:p w14:paraId="48260EF6" w14:textId="15B394F3" w:rsidR="000B7C73" w:rsidRDefault="000B7C73" w:rsidP="000B7C73">
            <w:pPr>
              <w:ind w:left="256"/>
            </w:pPr>
            <w:r>
              <w:t>Confirm and Document Requirements for Reports and Ad Hoc Queries</w:t>
            </w:r>
          </w:p>
        </w:tc>
        <w:tc>
          <w:tcPr>
            <w:tcW w:w="2281" w:type="dxa"/>
          </w:tcPr>
          <w:p w14:paraId="7718D239" w14:textId="77777777" w:rsidR="000B7C73" w:rsidRPr="00873442" w:rsidRDefault="000B7C73" w:rsidP="000B7C73">
            <w:pPr>
              <w:ind w:left="0"/>
              <w:rPr>
                <w:highlight w:val="yellow"/>
              </w:rPr>
            </w:pPr>
          </w:p>
        </w:tc>
      </w:tr>
      <w:tr w:rsidR="000B7C73" w:rsidRPr="00873442" w14:paraId="2005C8F4" w14:textId="77777777" w:rsidTr="00EF2B3F">
        <w:trPr>
          <w:cantSplit/>
        </w:trPr>
        <w:tc>
          <w:tcPr>
            <w:tcW w:w="1743" w:type="dxa"/>
          </w:tcPr>
          <w:p w14:paraId="37366AEA" w14:textId="52342C18" w:rsidR="000B7C73" w:rsidRDefault="000B7C73" w:rsidP="000B7C73">
            <w:pPr>
              <w:ind w:left="0"/>
            </w:pPr>
            <w:r>
              <w:t xml:space="preserve">   8C</w:t>
            </w:r>
          </w:p>
        </w:tc>
        <w:tc>
          <w:tcPr>
            <w:tcW w:w="6658" w:type="dxa"/>
          </w:tcPr>
          <w:p w14:paraId="3DB06C01" w14:textId="699B4F5B" w:rsidR="000B7C73" w:rsidRDefault="000B7C73" w:rsidP="000B7C73">
            <w:pPr>
              <w:ind w:left="256"/>
            </w:pPr>
            <w:r>
              <w:t>Implement Replacement Reports and Queries</w:t>
            </w:r>
          </w:p>
        </w:tc>
        <w:tc>
          <w:tcPr>
            <w:tcW w:w="2281" w:type="dxa"/>
          </w:tcPr>
          <w:p w14:paraId="342C3BFB" w14:textId="77777777" w:rsidR="000B7C73" w:rsidRPr="00873442" w:rsidRDefault="000B7C73" w:rsidP="000B7C73">
            <w:pPr>
              <w:ind w:left="0"/>
              <w:rPr>
                <w:highlight w:val="yellow"/>
              </w:rPr>
            </w:pPr>
          </w:p>
        </w:tc>
      </w:tr>
      <w:tr w:rsidR="000B7C73" w:rsidRPr="00873442" w14:paraId="3B1AAE02" w14:textId="77777777" w:rsidTr="00EF2B3F">
        <w:trPr>
          <w:cantSplit/>
        </w:trPr>
        <w:tc>
          <w:tcPr>
            <w:tcW w:w="1743" w:type="dxa"/>
          </w:tcPr>
          <w:p w14:paraId="27C6833D" w14:textId="77777777" w:rsidR="000B7C73" w:rsidRDefault="000B7C73" w:rsidP="000B7C73">
            <w:pPr>
              <w:ind w:left="0"/>
            </w:pPr>
            <w:r>
              <w:t>9</w:t>
            </w:r>
          </w:p>
        </w:tc>
        <w:tc>
          <w:tcPr>
            <w:tcW w:w="6658" w:type="dxa"/>
          </w:tcPr>
          <w:p w14:paraId="05A58318" w14:textId="4D2A6638" w:rsidR="000B7C73" w:rsidRDefault="000B7C73" w:rsidP="000B7C73">
            <w:pPr>
              <w:ind w:left="0"/>
            </w:pPr>
            <w:r>
              <w:t>Plan and Implement OCM</w:t>
            </w:r>
          </w:p>
        </w:tc>
        <w:tc>
          <w:tcPr>
            <w:tcW w:w="2281" w:type="dxa"/>
          </w:tcPr>
          <w:p w14:paraId="39A2F195" w14:textId="77777777" w:rsidR="000B7C73" w:rsidRPr="00873442" w:rsidRDefault="000B7C73" w:rsidP="000B7C73">
            <w:pPr>
              <w:ind w:left="0"/>
              <w:rPr>
                <w:highlight w:val="yellow"/>
              </w:rPr>
            </w:pPr>
          </w:p>
        </w:tc>
      </w:tr>
      <w:tr w:rsidR="000B7C73" w:rsidRPr="00873442" w14:paraId="42AF3055" w14:textId="77777777" w:rsidTr="00EF2B3F">
        <w:trPr>
          <w:cantSplit/>
        </w:trPr>
        <w:tc>
          <w:tcPr>
            <w:tcW w:w="1743" w:type="dxa"/>
          </w:tcPr>
          <w:p w14:paraId="09924425" w14:textId="77777777" w:rsidR="000B7C73" w:rsidRPr="00355C5B" w:rsidRDefault="000B7C73" w:rsidP="000B7C73">
            <w:pPr>
              <w:ind w:left="0"/>
            </w:pPr>
            <w:r>
              <w:t xml:space="preserve">   9A</w:t>
            </w:r>
          </w:p>
        </w:tc>
        <w:tc>
          <w:tcPr>
            <w:tcW w:w="6658" w:type="dxa"/>
          </w:tcPr>
          <w:p w14:paraId="4B4CE282" w14:textId="0C87166D" w:rsidR="000B7C73" w:rsidRPr="00355C5B" w:rsidRDefault="000B7C73" w:rsidP="000B7C73">
            <w:pPr>
              <w:ind w:left="256"/>
            </w:pPr>
            <w:r>
              <w:t>OCM Plan</w:t>
            </w:r>
          </w:p>
        </w:tc>
        <w:tc>
          <w:tcPr>
            <w:tcW w:w="2281" w:type="dxa"/>
          </w:tcPr>
          <w:p w14:paraId="5F9A6F5D" w14:textId="77777777" w:rsidR="000B7C73" w:rsidRPr="00873442" w:rsidRDefault="000B7C73" w:rsidP="000B7C73">
            <w:pPr>
              <w:ind w:left="0"/>
              <w:rPr>
                <w:highlight w:val="yellow"/>
              </w:rPr>
            </w:pPr>
          </w:p>
        </w:tc>
      </w:tr>
      <w:tr w:rsidR="000B7C73" w:rsidRPr="00873442" w14:paraId="390C4F5F" w14:textId="77777777" w:rsidTr="00EF2B3F">
        <w:trPr>
          <w:cantSplit/>
        </w:trPr>
        <w:tc>
          <w:tcPr>
            <w:tcW w:w="1743" w:type="dxa"/>
          </w:tcPr>
          <w:p w14:paraId="55DDF5C8" w14:textId="77777777" w:rsidR="000B7C73" w:rsidRDefault="000B7C73" w:rsidP="000B7C73">
            <w:pPr>
              <w:ind w:left="0"/>
            </w:pPr>
            <w:r>
              <w:t xml:space="preserve">   9B</w:t>
            </w:r>
          </w:p>
        </w:tc>
        <w:tc>
          <w:tcPr>
            <w:tcW w:w="6658" w:type="dxa"/>
          </w:tcPr>
          <w:p w14:paraId="3F2AEFBE" w14:textId="7112D915" w:rsidR="000B7C73" w:rsidRDefault="000B7C73" w:rsidP="000B7C73">
            <w:pPr>
              <w:ind w:left="256"/>
            </w:pPr>
            <w:r>
              <w:t>Technical Documentation Stored</w:t>
            </w:r>
          </w:p>
        </w:tc>
        <w:tc>
          <w:tcPr>
            <w:tcW w:w="2281" w:type="dxa"/>
          </w:tcPr>
          <w:p w14:paraId="6D3C300D" w14:textId="77777777" w:rsidR="000B7C73" w:rsidRPr="00873442" w:rsidRDefault="000B7C73" w:rsidP="000B7C73">
            <w:pPr>
              <w:ind w:left="0"/>
              <w:rPr>
                <w:highlight w:val="yellow"/>
              </w:rPr>
            </w:pPr>
          </w:p>
        </w:tc>
      </w:tr>
      <w:tr w:rsidR="000B7C73" w:rsidRPr="00873442" w14:paraId="7FFB7A48" w14:textId="77777777" w:rsidTr="00EF2B3F">
        <w:trPr>
          <w:cantSplit/>
        </w:trPr>
        <w:tc>
          <w:tcPr>
            <w:tcW w:w="1743" w:type="dxa"/>
          </w:tcPr>
          <w:p w14:paraId="284DB1AD" w14:textId="77777777" w:rsidR="000B7C73" w:rsidRDefault="000B7C73" w:rsidP="000B7C73">
            <w:pPr>
              <w:ind w:left="0"/>
            </w:pPr>
            <w:r>
              <w:t xml:space="preserve">   9C</w:t>
            </w:r>
          </w:p>
        </w:tc>
        <w:tc>
          <w:tcPr>
            <w:tcW w:w="6658" w:type="dxa"/>
          </w:tcPr>
          <w:p w14:paraId="47A5FC3C" w14:textId="6AC01311" w:rsidR="000B7C73" w:rsidRDefault="000B7C73" w:rsidP="000B7C73">
            <w:pPr>
              <w:ind w:left="256"/>
            </w:pPr>
            <w:r>
              <w:t>Implemented OCM Plan</w:t>
            </w:r>
          </w:p>
        </w:tc>
        <w:tc>
          <w:tcPr>
            <w:tcW w:w="2281" w:type="dxa"/>
          </w:tcPr>
          <w:p w14:paraId="45CA6117" w14:textId="77777777" w:rsidR="000B7C73" w:rsidRPr="00873442" w:rsidRDefault="000B7C73" w:rsidP="000B7C73">
            <w:pPr>
              <w:ind w:left="0"/>
              <w:rPr>
                <w:highlight w:val="yellow"/>
              </w:rPr>
            </w:pPr>
          </w:p>
        </w:tc>
      </w:tr>
      <w:tr w:rsidR="000B7C73" w:rsidRPr="00873442" w14:paraId="49B1C345" w14:textId="77777777" w:rsidTr="00EF2B3F">
        <w:trPr>
          <w:cantSplit/>
        </w:trPr>
        <w:tc>
          <w:tcPr>
            <w:tcW w:w="1743" w:type="dxa"/>
          </w:tcPr>
          <w:p w14:paraId="030DB787" w14:textId="77777777" w:rsidR="000B7C73" w:rsidRDefault="000B7C73" w:rsidP="000B7C73">
            <w:pPr>
              <w:ind w:left="0"/>
            </w:pPr>
            <w:r>
              <w:t>10</w:t>
            </w:r>
          </w:p>
        </w:tc>
        <w:tc>
          <w:tcPr>
            <w:tcW w:w="6658" w:type="dxa"/>
          </w:tcPr>
          <w:p w14:paraId="40466360" w14:textId="2FB186DE" w:rsidR="000B7C73" w:rsidRDefault="000B7C73" w:rsidP="000B7C73">
            <w:pPr>
              <w:ind w:left="0"/>
            </w:pPr>
            <w:r>
              <w:t>Implement Automated Testing Solution</w:t>
            </w:r>
          </w:p>
        </w:tc>
        <w:tc>
          <w:tcPr>
            <w:tcW w:w="2281" w:type="dxa"/>
          </w:tcPr>
          <w:p w14:paraId="675F2F98" w14:textId="77777777" w:rsidR="000B7C73" w:rsidRPr="00873442" w:rsidRDefault="000B7C73" w:rsidP="000B7C73">
            <w:pPr>
              <w:ind w:left="0"/>
              <w:rPr>
                <w:highlight w:val="yellow"/>
              </w:rPr>
            </w:pPr>
          </w:p>
        </w:tc>
      </w:tr>
      <w:tr w:rsidR="00741444" w:rsidRPr="00873442" w14:paraId="2D82D1B5" w14:textId="77777777" w:rsidTr="00EF2B3F">
        <w:trPr>
          <w:cantSplit/>
        </w:trPr>
        <w:tc>
          <w:tcPr>
            <w:tcW w:w="1743" w:type="dxa"/>
          </w:tcPr>
          <w:p w14:paraId="1FFD506D" w14:textId="494CA809" w:rsidR="00741444" w:rsidRDefault="00741444" w:rsidP="00741444">
            <w:pPr>
              <w:ind w:left="0"/>
            </w:pPr>
            <w:r>
              <w:t xml:space="preserve">   10A</w:t>
            </w:r>
          </w:p>
        </w:tc>
        <w:tc>
          <w:tcPr>
            <w:tcW w:w="6658" w:type="dxa"/>
          </w:tcPr>
          <w:p w14:paraId="54032835" w14:textId="172DBFC5" w:rsidR="00741444" w:rsidRDefault="00741444" w:rsidP="00741444">
            <w:pPr>
              <w:ind w:left="256"/>
            </w:pPr>
            <w:r>
              <w:t>Automated Testing Solution Test Plan</w:t>
            </w:r>
          </w:p>
        </w:tc>
        <w:tc>
          <w:tcPr>
            <w:tcW w:w="2281" w:type="dxa"/>
          </w:tcPr>
          <w:p w14:paraId="182A6574" w14:textId="77777777" w:rsidR="00741444" w:rsidRPr="00873442" w:rsidRDefault="00741444" w:rsidP="00741444">
            <w:pPr>
              <w:ind w:left="0"/>
              <w:rPr>
                <w:highlight w:val="yellow"/>
              </w:rPr>
            </w:pPr>
          </w:p>
        </w:tc>
      </w:tr>
      <w:tr w:rsidR="000B7C73" w:rsidRPr="00873442" w14:paraId="7CC51FEC" w14:textId="77777777" w:rsidTr="00EF2B3F">
        <w:trPr>
          <w:cantSplit/>
        </w:trPr>
        <w:tc>
          <w:tcPr>
            <w:tcW w:w="1743" w:type="dxa"/>
          </w:tcPr>
          <w:p w14:paraId="439CFADE" w14:textId="7E2F6F66" w:rsidR="000B7C73" w:rsidRPr="0053560A" w:rsidRDefault="000B7C73" w:rsidP="000B7C73">
            <w:pPr>
              <w:ind w:left="0"/>
            </w:pPr>
            <w:r>
              <w:t xml:space="preserve">   10</w:t>
            </w:r>
            <w:r w:rsidR="00741444">
              <w:t>B</w:t>
            </w:r>
          </w:p>
        </w:tc>
        <w:tc>
          <w:tcPr>
            <w:tcW w:w="6658" w:type="dxa"/>
          </w:tcPr>
          <w:p w14:paraId="7850F774" w14:textId="18A976CB" w:rsidR="000B7C73" w:rsidRPr="00355C5B" w:rsidRDefault="000B7C73" w:rsidP="000B7C73">
            <w:pPr>
              <w:ind w:left="256"/>
            </w:pPr>
            <w:r>
              <w:t>Automated Testing Solution Documentation</w:t>
            </w:r>
          </w:p>
        </w:tc>
        <w:tc>
          <w:tcPr>
            <w:tcW w:w="2281" w:type="dxa"/>
          </w:tcPr>
          <w:p w14:paraId="5532110E" w14:textId="77777777" w:rsidR="000B7C73" w:rsidRPr="00873442" w:rsidRDefault="000B7C73" w:rsidP="000B7C73">
            <w:pPr>
              <w:ind w:left="0"/>
              <w:rPr>
                <w:highlight w:val="yellow"/>
              </w:rPr>
            </w:pPr>
          </w:p>
        </w:tc>
      </w:tr>
      <w:tr w:rsidR="000B7C73" w:rsidRPr="00873442" w14:paraId="55C88DF7" w14:textId="77777777" w:rsidTr="00EF2B3F">
        <w:trPr>
          <w:cantSplit/>
        </w:trPr>
        <w:tc>
          <w:tcPr>
            <w:tcW w:w="1743" w:type="dxa"/>
          </w:tcPr>
          <w:p w14:paraId="316698C5" w14:textId="08C7AE74" w:rsidR="000B7C73" w:rsidRDefault="000B7C73" w:rsidP="000B7C73">
            <w:pPr>
              <w:ind w:left="0"/>
            </w:pPr>
            <w:r>
              <w:t xml:space="preserve">   10</w:t>
            </w:r>
            <w:r w:rsidR="00741444">
              <w:t>C</w:t>
            </w:r>
          </w:p>
        </w:tc>
        <w:tc>
          <w:tcPr>
            <w:tcW w:w="6658" w:type="dxa"/>
          </w:tcPr>
          <w:p w14:paraId="47FF971B" w14:textId="6E01CF30" w:rsidR="000B7C73" w:rsidRPr="00FA73F0" w:rsidRDefault="000B7C73" w:rsidP="000B7C73">
            <w:pPr>
              <w:ind w:left="256"/>
            </w:pPr>
            <w:r>
              <w:t>Implemented Automated Testing Solution</w:t>
            </w:r>
          </w:p>
        </w:tc>
        <w:tc>
          <w:tcPr>
            <w:tcW w:w="2281" w:type="dxa"/>
          </w:tcPr>
          <w:p w14:paraId="3354C2F9" w14:textId="77777777" w:rsidR="000B7C73" w:rsidRPr="00873442" w:rsidRDefault="000B7C73" w:rsidP="000B7C73">
            <w:pPr>
              <w:ind w:left="0"/>
              <w:rPr>
                <w:highlight w:val="yellow"/>
              </w:rPr>
            </w:pPr>
          </w:p>
        </w:tc>
      </w:tr>
      <w:tr w:rsidR="000B7C73" w:rsidRPr="00873442" w14:paraId="0ABC6664" w14:textId="77777777" w:rsidTr="00EF2B3F">
        <w:trPr>
          <w:cantSplit/>
        </w:trPr>
        <w:tc>
          <w:tcPr>
            <w:tcW w:w="1743" w:type="dxa"/>
          </w:tcPr>
          <w:p w14:paraId="13918355" w14:textId="77777777" w:rsidR="000B7C73" w:rsidRDefault="000B7C73" w:rsidP="000B7C73">
            <w:pPr>
              <w:ind w:left="0"/>
            </w:pPr>
            <w:r w:rsidRPr="00355C5B">
              <w:t>1</w:t>
            </w:r>
            <w:r>
              <w:t>1</w:t>
            </w:r>
          </w:p>
        </w:tc>
        <w:tc>
          <w:tcPr>
            <w:tcW w:w="6658" w:type="dxa"/>
          </w:tcPr>
          <w:p w14:paraId="50680A0D" w14:textId="06AC092D" w:rsidR="000B7C73" w:rsidRDefault="000B7C73" w:rsidP="000B7C73">
            <w:pPr>
              <w:ind w:left="0"/>
            </w:pPr>
            <w:r>
              <w:t>Conduct System Testing</w:t>
            </w:r>
          </w:p>
        </w:tc>
        <w:tc>
          <w:tcPr>
            <w:tcW w:w="2281" w:type="dxa"/>
          </w:tcPr>
          <w:p w14:paraId="42567B13" w14:textId="77777777" w:rsidR="000B7C73" w:rsidRPr="00873442" w:rsidRDefault="000B7C73" w:rsidP="000B7C73">
            <w:pPr>
              <w:ind w:left="0"/>
              <w:rPr>
                <w:highlight w:val="yellow"/>
              </w:rPr>
            </w:pPr>
          </w:p>
        </w:tc>
      </w:tr>
      <w:tr w:rsidR="000B7C73" w:rsidRPr="00873442" w14:paraId="312A9591" w14:textId="77777777" w:rsidTr="00EF2B3F">
        <w:trPr>
          <w:cantSplit/>
        </w:trPr>
        <w:tc>
          <w:tcPr>
            <w:tcW w:w="1743" w:type="dxa"/>
          </w:tcPr>
          <w:p w14:paraId="78B0BFAD" w14:textId="77777777" w:rsidR="000B7C73" w:rsidRPr="00355C5B" w:rsidRDefault="000B7C73" w:rsidP="000B7C73">
            <w:pPr>
              <w:ind w:left="0"/>
            </w:pPr>
            <w:r>
              <w:t xml:space="preserve">   11A</w:t>
            </w:r>
          </w:p>
        </w:tc>
        <w:tc>
          <w:tcPr>
            <w:tcW w:w="6658" w:type="dxa"/>
          </w:tcPr>
          <w:p w14:paraId="2FB63647" w14:textId="09CC6BA4" w:rsidR="000B7C73" w:rsidRPr="00355C5B" w:rsidRDefault="00ED2EEB" w:rsidP="000B7C73">
            <w:pPr>
              <w:ind w:left="256"/>
            </w:pPr>
            <w:r>
              <w:t xml:space="preserve">Updated </w:t>
            </w:r>
            <w:r w:rsidR="000B7C73">
              <w:t>Test Plan</w:t>
            </w:r>
          </w:p>
        </w:tc>
        <w:tc>
          <w:tcPr>
            <w:tcW w:w="2281" w:type="dxa"/>
          </w:tcPr>
          <w:p w14:paraId="7C4D00F4" w14:textId="77777777" w:rsidR="000B7C73" w:rsidRPr="00873442" w:rsidRDefault="000B7C73" w:rsidP="000B7C73">
            <w:pPr>
              <w:ind w:left="0"/>
              <w:rPr>
                <w:highlight w:val="yellow"/>
              </w:rPr>
            </w:pPr>
          </w:p>
        </w:tc>
      </w:tr>
      <w:tr w:rsidR="000B7C73" w:rsidRPr="00873442" w14:paraId="54EEDE79" w14:textId="77777777" w:rsidTr="00EF2B3F">
        <w:trPr>
          <w:cantSplit/>
        </w:trPr>
        <w:tc>
          <w:tcPr>
            <w:tcW w:w="1743" w:type="dxa"/>
          </w:tcPr>
          <w:p w14:paraId="69C696E2" w14:textId="65B48147" w:rsidR="000B7C73" w:rsidRDefault="000B7C73" w:rsidP="000B7C73">
            <w:pPr>
              <w:ind w:left="0"/>
            </w:pPr>
            <w:r>
              <w:t xml:space="preserve">   11B</w:t>
            </w:r>
          </w:p>
        </w:tc>
        <w:tc>
          <w:tcPr>
            <w:tcW w:w="6658" w:type="dxa"/>
          </w:tcPr>
          <w:p w14:paraId="029753D7" w14:textId="2DDB0847" w:rsidR="000B7C73" w:rsidRDefault="000B7C73" w:rsidP="000B7C73">
            <w:pPr>
              <w:ind w:left="256"/>
            </w:pPr>
            <w:r>
              <w:t>Product Quality Metrics for Testing</w:t>
            </w:r>
          </w:p>
        </w:tc>
        <w:tc>
          <w:tcPr>
            <w:tcW w:w="2281" w:type="dxa"/>
          </w:tcPr>
          <w:p w14:paraId="02781CA0" w14:textId="77777777" w:rsidR="000B7C73" w:rsidRPr="00873442" w:rsidRDefault="000B7C73" w:rsidP="000B7C73">
            <w:pPr>
              <w:ind w:left="0"/>
              <w:rPr>
                <w:highlight w:val="yellow"/>
              </w:rPr>
            </w:pPr>
          </w:p>
        </w:tc>
      </w:tr>
      <w:tr w:rsidR="000B7C73" w:rsidRPr="00873442" w14:paraId="3CAB0E1F" w14:textId="77777777" w:rsidTr="00EF2B3F">
        <w:trPr>
          <w:cantSplit/>
        </w:trPr>
        <w:tc>
          <w:tcPr>
            <w:tcW w:w="1743" w:type="dxa"/>
          </w:tcPr>
          <w:p w14:paraId="183B3331" w14:textId="68E16702" w:rsidR="000B7C73" w:rsidRDefault="000B7C73" w:rsidP="000B7C73">
            <w:pPr>
              <w:ind w:left="0"/>
            </w:pPr>
            <w:r>
              <w:t xml:space="preserve">   11C</w:t>
            </w:r>
          </w:p>
        </w:tc>
        <w:tc>
          <w:tcPr>
            <w:tcW w:w="6658" w:type="dxa"/>
          </w:tcPr>
          <w:p w14:paraId="322794AD" w14:textId="79E5E0EB" w:rsidR="000B7C73" w:rsidRDefault="000B7C73" w:rsidP="000B7C73">
            <w:pPr>
              <w:ind w:left="256"/>
            </w:pPr>
            <w:r>
              <w:t>Test Cases and Scripts</w:t>
            </w:r>
          </w:p>
        </w:tc>
        <w:tc>
          <w:tcPr>
            <w:tcW w:w="2281" w:type="dxa"/>
          </w:tcPr>
          <w:p w14:paraId="337F7B54" w14:textId="77777777" w:rsidR="000B7C73" w:rsidRPr="00873442" w:rsidRDefault="000B7C73" w:rsidP="000B7C73">
            <w:pPr>
              <w:ind w:left="0"/>
              <w:rPr>
                <w:highlight w:val="yellow"/>
              </w:rPr>
            </w:pPr>
          </w:p>
        </w:tc>
      </w:tr>
      <w:tr w:rsidR="000B7C73" w:rsidRPr="00873442" w14:paraId="58AED14F" w14:textId="77777777" w:rsidTr="00EF2B3F">
        <w:trPr>
          <w:cantSplit/>
        </w:trPr>
        <w:tc>
          <w:tcPr>
            <w:tcW w:w="1743" w:type="dxa"/>
          </w:tcPr>
          <w:p w14:paraId="2E479F7D" w14:textId="0F7CCC9D" w:rsidR="000B7C73" w:rsidRDefault="000B7C73" w:rsidP="000B7C73">
            <w:pPr>
              <w:ind w:left="0"/>
            </w:pPr>
            <w:r>
              <w:t xml:space="preserve">   11D</w:t>
            </w:r>
          </w:p>
        </w:tc>
        <w:tc>
          <w:tcPr>
            <w:tcW w:w="6658" w:type="dxa"/>
          </w:tcPr>
          <w:p w14:paraId="0CBE56C1" w14:textId="78DECD46" w:rsidR="000B7C73" w:rsidRDefault="000B7C73" w:rsidP="000B7C73">
            <w:pPr>
              <w:ind w:left="256"/>
            </w:pPr>
            <w:r>
              <w:t>UI System is Tested to Meet Agreed-Upon Quality Metrics</w:t>
            </w:r>
          </w:p>
        </w:tc>
        <w:tc>
          <w:tcPr>
            <w:tcW w:w="2281" w:type="dxa"/>
          </w:tcPr>
          <w:p w14:paraId="7D12E381" w14:textId="77777777" w:rsidR="000B7C73" w:rsidRPr="00873442" w:rsidRDefault="000B7C73" w:rsidP="000B7C73">
            <w:pPr>
              <w:ind w:left="0"/>
              <w:rPr>
                <w:highlight w:val="yellow"/>
              </w:rPr>
            </w:pPr>
          </w:p>
        </w:tc>
      </w:tr>
      <w:tr w:rsidR="000B7C73" w:rsidRPr="00873442" w14:paraId="46946D4D" w14:textId="77777777" w:rsidTr="00EF2B3F">
        <w:trPr>
          <w:cantSplit/>
        </w:trPr>
        <w:tc>
          <w:tcPr>
            <w:tcW w:w="1743" w:type="dxa"/>
          </w:tcPr>
          <w:p w14:paraId="0D5E3B09" w14:textId="0E88E1E6" w:rsidR="000B7C73" w:rsidRDefault="000B7C73" w:rsidP="000B7C73">
            <w:pPr>
              <w:ind w:left="0"/>
            </w:pPr>
            <w:r>
              <w:t xml:space="preserve">   11E</w:t>
            </w:r>
          </w:p>
        </w:tc>
        <w:tc>
          <w:tcPr>
            <w:tcW w:w="6658" w:type="dxa"/>
          </w:tcPr>
          <w:p w14:paraId="730B74A0" w14:textId="3393B0A2" w:rsidR="000B7C73" w:rsidRDefault="000B7C73" w:rsidP="000B7C73">
            <w:pPr>
              <w:ind w:left="256"/>
            </w:pPr>
            <w:r>
              <w:t>UI System is Tested to proceed through review gates</w:t>
            </w:r>
          </w:p>
        </w:tc>
        <w:tc>
          <w:tcPr>
            <w:tcW w:w="2281" w:type="dxa"/>
          </w:tcPr>
          <w:p w14:paraId="19860C59" w14:textId="77777777" w:rsidR="000B7C73" w:rsidRPr="00873442" w:rsidRDefault="000B7C73" w:rsidP="000B7C73">
            <w:pPr>
              <w:ind w:left="0"/>
              <w:rPr>
                <w:highlight w:val="yellow"/>
              </w:rPr>
            </w:pPr>
          </w:p>
        </w:tc>
      </w:tr>
      <w:tr w:rsidR="000B7C73" w:rsidRPr="00873442" w14:paraId="538917B1" w14:textId="77777777" w:rsidTr="00EF2B3F">
        <w:trPr>
          <w:cantSplit/>
        </w:trPr>
        <w:tc>
          <w:tcPr>
            <w:tcW w:w="1743" w:type="dxa"/>
          </w:tcPr>
          <w:p w14:paraId="49B89825" w14:textId="77777777" w:rsidR="000B7C73" w:rsidRDefault="000B7C73" w:rsidP="000B7C73">
            <w:pPr>
              <w:ind w:left="0"/>
            </w:pPr>
            <w:r>
              <w:t>12</w:t>
            </w:r>
          </w:p>
        </w:tc>
        <w:tc>
          <w:tcPr>
            <w:tcW w:w="6658" w:type="dxa"/>
          </w:tcPr>
          <w:p w14:paraId="49B18D52" w14:textId="5EC378D4" w:rsidR="000B7C73" w:rsidRDefault="000B7C73" w:rsidP="000B7C73">
            <w:pPr>
              <w:ind w:left="0"/>
            </w:pPr>
            <w:r>
              <w:t>Create and Conduct Training</w:t>
            </w:r>
          </w:p>
        </w:tc>
        <w:tc>
          <w:tcPr>
            <w:tcW w:w="2281" w:type="dxa"/>
          </w:tcPr>
          <w:p w14:paraId="3B876060" w14:textId="77777777" w:rsidR="000B7C73" w:rsidRPr="00873442" w:rsidRDefault="000B7C73" w:rsidP="000B7C73">
            <w:pPr>
              <w:ind w:left="0"/>
              <w:rPr>
                <w:highlight w:val="yellow"/>
              </w:rPr>
            </w:pPr>
          </w:p>
        </w:tc>
      </w:tr>
      <w:tr w:rsidR="000B7C73" w:rsidRPr="00873442" w14:paraId="5C1A0360" w14:textId="77777777" w:rsidTr="00EF2B3F">
        <w:trPr>
          <w:cantSplit/>
        </w:trPr>
        <w:tc>
          <w:tcPr>
            <w:tcW w:w="1743" w:type="dxa"/>
          </w:tcPr>
          <w:p w14:paraId="4D5ED2D1" w14:textId="77777777" w:rsidR="000B7C73" w:rsidRDefault="000B7C73" w:rsidP="000B7C73">
            <w:pPr>
              <w:ind w:left="0"/>
            </w:pPr>
            <w:r>
              <w:t xml:space="preserve">   12A</w:t>
            </w:r>
          </w:p>
        </w:tc>
        <w:tc>
          <w:tcPr>
            <w:tcW w:w="6658" w:type="dxa"/>
          </w:tcPr>
          <w:p w14:paraId="49CA7CE2" w14:textId="3C9AEC72" w:rsidR="000B7C73" w:rsidRPr="00355C5B" w:rsidRDefault="000B7C73" w:rsidP="000B7C73">
            <w:pPr>
              <w:ind w:left="256"/>
            </w:pPr>
            <w:r>
              <w:t>Training Environment</w:t>
            </w:r>
          </w:p>
        </w:tc>
        <w:tc>
          <w:tcPr>
            <w:tcW w:w="2281" w:type="dxa"/>
          </w:tcPr>
          <w:p w14:paraId="7825C596" w14:textId="77777777" w:rsidR="000B7C73" w:rsidRPr="00873442" w:rsidRDefault="000B7C73" w:rsidP="000B7C73">
            <w:pPr>
              <w:ind w:left="0"/>
              <w:rPr>
                <w:highlight w:val="yellow"/>
              </w:rPr>
            </w:pPr>
          </w:p>
        </w:tc>
      </w:tr>
      <w:tr w:rsidR="000B7C73" w:rsidRPr="00873442" w14:paraId="58FA2441" w14:textId="77777777" w:rsidTr="00EF2B3F">
        <w:trPr>
          <w:cantSplit/>
        </w:trPr>
        <w:tc>
          <w:tcPr>
            <w:tcW w:w="1743" w:type="dxa"/>
          </w:tcPr>
          <w:p w14:paraId="54050E9F" w14:textId="4C42D6FA" w:rsidR="000B7C73" w:rsidRDefault="000B7C73" w:rsidP="000B7C73">
            <w:pPr>
              <w:ind w:left="0"/>
            </w:pPr>
            <w:r>
              <w:t xml:space="preserve">   12B</w:t>
            </w:r>
          </w:p>
        </w:tc>
        <w:tc>
          <w:tcPr>
            <w:tcW w:w="6658" w:type="dxa"/>
          </w:tcPr>
          <w:p w14:paraId="610EBFDA" w14:textId="60903885" w:rsidR="000B7C73" w:rsidRPr="00355C5B" w:rsidRDefault="000B7C73" w:rsidP="000B7C73">
            <w:pPr>
              <w:ind w:left="256"/>
            </w:pPr>
            <w:r>
              <w:t>Training Plans for each IT and Program Area</w:t>
            </w:r>
          </w:p>
        </w:tc>
        <w:tc>
          <w:tcPr>
            <w:tcW w:w="2281" w:type="dxa"/>
          </w:tcPr>
          <w:p w14:paraId="0DE30316" w14:textId="77777777" w:rsidR="000B7C73" w:rsidRPr="00873442" w:rsidRDefault="000B7C73" w:rsidP="000B7C73">
            <w:pPr>
              <w:ind w:left="0"/>
              <w:rPr>
                <w:highlight w:val="yellow"/>
              </w:rPr>
            </w:pPr>
          </w:p>
        </w:tc>
      </w:tr>
      <w:tr w:rsidR="000B7C73" w:rsidRPr="00873442" w14:paraId="1895AC61" w14:textId="77777777" w:rsidTr="00EF2B3F">
        <w:trPr>
          <w:cantSplit/>
        </w:trPr>
        <w:tc>
          <w:tcPr>
            <w:tcW w:w="1743" w:type="dxa"/>
          </w:tcPr>
          <w:p w14:paraId="3A2D137F" w14:textId="163BF9C5" w:rsidR="000B7C73" w:rsidRDefault="000B7C73" w:rsidP="000B7C73">
            <w:pPr>
              <w:ind w:left="0"/>
            </w:pPr>
            <w:r>
              <w:t xml:space="preserve">   12C</w:t>
            </w:r>
          </w:p>
        </w:tc>
        <w:tc>
          <w:tcPr>
            <w:tcW w:w="6658" w:type="dxa"/>
          </w:tcPr>
          <w:p w14:paraId="6E51BA70" w14:textId="0931DB4C" w:rsidR="000B7C73" w:rsidRPr="00355C5B" w:rsidRDefault="000B7C73" w:rsidP="000B7C73">
            <w:pPr>
              <w:ind w:left="256"/>
            </w:pPr>
            <w:r>
              <w:t>Training Materials</w:t>
            </w:r>
          </w:p>
        </w:tc>
        <w:tc>
          <w:tcPr>
            <w:tcW w:w="2281" w:type="dxa"/>
          </w:tcPr>
          <w:p w14:paraId="506A4995" w14:textId="77777777" w:rsidR="000B7C73" w:rsidRPr="00873442" w:rsidRDefault="000B7C73" w:rsidP="000B7C73">
            <w:pPr>
              <w:ind w:left="0"/>
              <w:rPr>
                <w:highlight w:val="yellow"/>
              </w:rPr>
            </w:pPr>
          </w:p>
        </w:tc>
      </w:tr>
      <w:tr w:rsidR="000B7C73" w:rsidRPr="00873442" w14:paraId="0E052E8E" w14:textId="77777777" w:rsidTr="00EF2B3F">
        <w:trPr>
          <w:cantSplit/>
        </w:trPr>
        <w:tc>
          <w:tcPr>
            <w:tcW w:w="1743" w:type="dxa"/>
          </w:tcPr>
          <w:p w14:paraId="2E626B25" w14:textId="20B9C7CD" w:rsidR="000B7C73" w:rsidRDefault="000B7C73" w:rsidP="000B7C73">
            <w:pPr>
              <w:ind w:left="0"/>
            </w:pPr>
            <w:r>
              <w:t xml:space="preserve">   12D</w:t>
            </w:r>
          </w:p>
        </w:tc>
        <w:tc>
          <w:tcPr>
            <w:tcW w:w="6658" w:type="dxa"/>
          </w:tcPr>
          <w:p w14:paraId="10B5330D" w14:textId="3E9A6204" w:rsidR="000B7C73" w:rsidRPr="00355C5B" w:rsidRDefault="000B7C73" w:rsidP="000B7C73">
            <w:pPr>
              <w:ind w:left="256"/>
            </w:pPr>
            <w:r>
              <w:t>Training C</w:t>
            </w:r>
            <w:r w:rsidRPr="002B518D">
              <w:t>ourses</w:t>
            </w:r>
          </w:p>
        </w:tc>
        <w:tc>
          <w:tcPr>
            <w:tcW w:w="2281" w:type="dxa"/>
          </w:tcPr>
          <w:p w14:paraId="12742D93" w14:textId="77777777" w:rsidR="000B7C73" w:rsidRPr="00873442" w:rsidRDefault="000B7C73" w:rsidP="000B7C73">
            <w:pPr>
              <w:ind w:left="0"/>
              <w:rPr>
                <w:highlight w:val="yellow"/>
              </w:rPr>
            </w:pPr>
          </w:p>
        </w:tc>
      </w:tr>
      <w:tr w:rsidR="000B7C73" w:rsidRPr="00873442" w14:paraId="494FB30E" w14:textId="77777777" w:rsidTr="00EF2B3F">
        <w:trPr>
          <w:cantSplit/>
        </w:trPr>
        <w:tc>
          <w:tcPr>
            <w:tcW w:w="1743" w:type="dxa"/>
          </w:tcPr>
          <w:p w14:paraId="6ED0C965" w14:textId="27CF05FB" w:rsidR="000B7C73" w:rsidRDefault="000B7C73" w:rsidP="000B7C73">
            <w:pPr>
              <w:ind w:left="0"/>
            </w:pPr>
            <w:r>
              <w:t xml:space="preserve">   12E</w:t>
            </w:r>
          </w:p>
        </w:tc>
        <w:tc>
          <w:tcPr>
            <w:tcW w:w="6658" w:type="dxa"/>
          </w:tcPr>
          <w:p w14:paraId="5ACB172F" w14:textId="2553F89D" w:rsidR="000B7C73" w:rsidRPr="00355C5B" w:rsidRDefault="000B7C73" w:rsidP="000B7C73">
            <w:pPr>
              <w:ind w:left="256"/>
            </w:pPr>
            <w:r>
              <w:t>Completed Training</w:t>
            </w:r>
          </w:p>
        </w:tc>
        <w:tc>
          <w:tcPr>
            <w:tcW w:w="2281" w:type="dxa"/>
          </w:tcPr>
          <w:p w14:paraId="3C454AB4" w14:textId="77777777" w:rsidR="000B7C73" w:rsidRPr="00873442" w:rsidRDefault="000B7C73" w:rsidP="000B7C73">
            <w:pPr>
              <w:ind w:left="0"/>
              <w:rPr>
                <w:highlight w:val="yellow"/>
              </w:rPr>
            </w:pPr>
          </w:p>
        </w:tc>
      </w:tr>
      <w:tr w:rsidR="000B7C73" w:rsidRPr="00873442" w14:paraId="5918ECD1" w14:textId="77777777" w:rsidTr="00EF2B3F">
        <w:trPr>
          <w:cantSplit/>
        </w:trPr>
        <w:tc>
          <w:tcPr>
            <w:tcW w:w="1743" w:type="dxa"/>
          </w:tcPr>
          <w:p w14:paraId="4078BC99" w14:textId="71797625" w:rsidR="000B7C73" w:rsidRDefault="000B7C73" w:rsidP="000B7C73">
            <w:pPr>
              <w:ind w:left="0"/>
            </w:pPr>
            <w:r>
              <w:t xml:space="preserve">   12F</w:t>
            </w:r>
          </w:p>
        </w:tc>
        <w:tc>
          <w:tcPr>
            <w:tcW w:w="6658" w:type="dxa"/>
          </w:tcPr>
          <w:p w14:paraId="72E7FD64" w14:textId="1FFE6B50" w:rsidR="000B7C73" w:rsidRPr="00355C5B" w:rsidRDefault="000B7C73" w:rsidP="000B7C73">
            <w:pPr>
              <w:ind w:left="256"/>
            </w:pPr>
            <w:r>
              <w:t>Guides and Desk Aids</w:t>
            </w:r>
          </w:p>
        </w:tc>
        <w:tc>
          <w:tcPr>
            <w:tcW w:w="2281" w:type="dxa"/>
          </w:tcPr>
          <w:p w14:paraId="48F0CDEE" w14:textId="77777777" w:rsidR="000B7C73" w:rsidRPr="00873442" w:rsidRDefault="000B7C73" w:rsidP="000B7C73">
            <w:pPr>
              <w:ind w:left="0"/>
              <w:rPr>
                <w:highlight w:val="yellow"/>
              </w:rPr>
            </w:pPr>
          </w:p>
        </w:tc>
      </w:tr>
      <w:tr w:rsidR="000B7C73" w:rsidRPr="00873442" w14:paraId="13968346" w14:textId="77777777" w:rsidTr="00EF2B3F">
        <w:trPr>
          <w:cantSplit/>
        </w:trPr>
        <w:tc>
          <w:tcPr>
            <w:tcW w:w="1743" w:type="dxa"/>
          </w:tcPr>
          <w:p w14:paraId="092C9B45" w14:textId="6C656516" w:rsidR="000B7C73" w:rsidRDefault="000B7C73" w:rsidP="000B7C73">
            <w:pPr>
              <w:ind w:left="0"/>
            </w:pPr>
            <w:r>
              <w:t xml:space="preserve">   12G</w:t>
            </w:r>
          </w:p>
        </w:tc>
        <w:tc>
          <w:tcPr>
            <w:tcW w:w="6658" w:type="dxa"/>
          </w:tcPr>
          <w:p w14:paraId="0F4D6921" w14:textId="635032C0" w:rsidR="000B7C73" w:rsidRPr="00355C5B" w:rsidRDefault="000B7C73" w:rsidP="000B7C73">
            <w:pPr>
              <w:ind w:left="256"/>
            </w:pPr>
            <w:r>
              <w:t>End User Webinars and Video Training</w:t>
            </w:r>
          </w:p>
        </w:tc>
        <w:tc>
          <w:tcPr>
            <w:tcW w:w="2281" w:type="dxa"/>
          </w:tcPr>
          <w:p w14:paraId="27C6E045" w14:textId="77777777" w:rsidR="000B7C73" w:rsidRPr="00873442" w:rsidRDefault="000B7C73" w:rsidP="000B7C73">
            <w:pPr>
              <w:ind w:left="0"/>
              <w:rPr>
                <w:highlight w:val="yellow"/>
              </w:rPr>
            </w:pPr>
          </w:p>
        </w:tc>
      </w:tr>
      <w:tr w:rsidR="000B7C73" w:rsidRPr="00873442" w14:paraId="4771841A" w14:textId="77777777" w:rsidTr="00EF2B3F">
        <w:trPr>
          <w:cantSplit/>
        </w:trPr>
        <w:tc>
          <w:tcPr>
            <w:tcW w:w="1743" w:type="dxa"/>
          </w:tcPr>
          <w:p w14:paraId="68417E00" w14:textId="35DA8839" w:rsidR="000B7C73" w:rsidRDefault="000B7C73" w:rsidP="000B7C73">
            <w:pPr>
              <w:ind w:left="0"/>
            </w:pPr>
            <w:r>
              <w:t xml:space="preserve">   12H</w:t>
            </w:r>
          </w:p>
        </w:tc>
        <w:tc>
          <w:tcPr>
            <w:tcW w:w="6658" w:type="dxa"/>
          </w:tcPr>
          <w:p w14:paraId="338BBAF7" w14:textId="721A43F0" w:rsidR="000B7C73" w:rsidRPr="00355C5B" w:rsidRDefault="000B7C73" w:rsidP="000B7C73">
            <w:pPr>
              <w:ind w:left="256"/>
            </w:pPr>
            <w:r>
              <w:t>Knowledge Transfer Plan</w:t>
            </w:r>
          </w:p>
        </w:tc>
        <w:tc>
          <w:tcPr>
            <w:tcW w:w="2281" w:type="dxa"/>
          </w:tcPr>
          <w:p w14:paraId="12905DF7" w14:textId="77777777" w:rsidR="000B7C73" w:rsidRPr="00873442" w:rsidRDefault="000B7C73" w:rsidP="000B7C73">
            <w:pPr>
              <w:ind w:left="0"/>
              <w:rPr>
                <w:highlight w:val="yellow"/>
              </w:rPr>
            </w:pPr>
          </w:p>
        </w:tc>
      </w:tr>
      <w:tr w:rsidR="000B7C73" w:rsidRPr="00873442" w14:paraId="43D79C5C" w14:textId="77777777" w:rsidTr="00EF2B3F">
        <w:trPr>
          <w:cantSplit/>
        </w:trPr>
        <w:tc>
          <w:tcPr>
            <w:tcW w:w="1743" w:type="dxa"/>
          </w:tcPr>
          <w:p w14:paraId="75D2CC13" w14:textId="7F2EBC68" w:rsidR="000B7C73" w:rsidRDefault="000B7C73" w:rsidP="000B7C73">
            <w:pPr>
              <w:ind w:left="0"/>
            </w:pPr>
            <w:r>
              <w:t xml:space="preserve">   12I</w:t>
            </w:r>
          </w:p>
        </w:tc>
        <w:tc>
          <w:tcPr>
            <w:tcW w:w="6658" w:type="dxa"/>
          </w:tcPr>
          <w:p w14:paraId="32EBF4BB" w14:textId="2B10715E" w:rsidR="000B7C73" w:rsidRPr="00355C5B" w:rsidRDefault="000B7C73" w:rsidP="000B7C73">
            <w:pPr>
              <w:ind w:left="256"/>
            </w:pPr>
            <w:r>
              <w:t>Completed Knowledge Transfer</w:t>
            </w:r>
          </w:p>
        </w:tc>
        <w:tc>
          <w:tcPr>
            <w:tcW w:w="2281" w:type="dxa"/>
          </w:tcPr>
          <w:p w14:paraId="21187F47" w14:textId="77777777" w:rsidR="000B7C73" w:rsidRPr="00873442" w:rsidRDefault="000B7C73" w:rsidP="000B7C73">
            <w:pPr>
              <w:ind w:left="0"/>
              <w:rPr>
                <w:highlight w:val="yellow"/>
              </w:rPr>
            </w:pPr>
          </w:p>
        </w:tc>
      </w:tr>
      <w:tr w:rsidR="000B7C73" w:rsidRPr="00873442" w14:paraId="4462943E" w14:textId="77777777" w:rsidTr="00EF2B3F">
        <w:trPr>
          <w:cantSplit/>
        </w:trPr>
        <w:tc>
          <w:tcPr>
            <w:tcW w:w="1743" w:type="dxa"/>
          </w:tcPr>
          <w:p w14:paraId="1E983951" w14:textId="6098B950" w:rsidR="000B7C73" w:rsidRDefault="000B7C73" w:rsidP="000B7C73">
            <w:pPr>
              <w:ind w:left="0"/>
            </w:pPr>
            <w:r>
              <w:lastRenderedPageBreak/>
              <w:t>13</w:t>
            </w:r>
          </w:p>
        </w:tc>
        <w:tc>
          <w:tcPr>
            <w:tcW w:w="6658" w:type="dxa"/>
          </w:tcPr>
          <w:p w14:paraId="50DBA334" w14:textId="71019922" w:rsidR="000B7C73" w:rsidRDefault="00DE6955" w:rsidP="000B7C73">
            <w:pPr>
              <w:ind w:left="0"/>
            </w:pPr>
            <w:r>
              <w:t>Deployment Planning and Execution</w:t>
            </w:r>
          </w:p>
        </w:tc>
        <w:tc>
          <w:tcPr>
            <w:tcW w:w="2281" w:type="dxa"/>
          </w:tcPr>
          <w:p w14:paraId="1510E65F" w14:textId="77777777" w:rsidR="000B7C73" w:rsidRPr="00873442" w:rsidRDefault="000B7C73" w:rsidP="000B7C73">
            <w:pPr>
              <w:ind w:left="0"/>
              <w:rPr>
                <w:highlight w:val="yellow"/>
              </w:rPr>
            </w:pPr>
          </w:p>
        </w:tc>
      </w:tr>
      <w:tr w:rsidR="000B7C73" w:rsidRPr="00873442" w14:paraId="51EA39CF" w14:textId="77777777" w:rsidTr="00EF2B3F">
        <w:trPr>
          <w:cantSplit/>
        </w:trPr>
        <w:tc>
          <w:tcPr>
            <w:tcW w:w="1743" w:type="dxa"/>
          </w:tcPr>
          <w:p w14:paraId="41CEC2FB" w14:textId="1E6A4808" w:rsidR="000B7C73" w:rsidRDefault="000B7C73" w:rsidP="000B7C73">
            <w:pPr>
              <w:ind w:left="0"/>
            </w:pPr>
            <w:r>
              <w:t xml:space="preserve">   13A</w:t>
            </w:r>
          </w:p>
        </w:tc>
        <w:tc>
          <w:tcPr>
            <w:tcW w:w="6658" w:type="dxa"/>
          </w:tcPr>
          <w:p w14:paraId="341ADE5E" w14:textId="1013DEC2" w:rsidR="000B7C73" w:rsidRDefault="000B7C73" w:rsidP="000B7C73">
            <w:pPr>
              <w:ind w:left="256"/>
            </w:pPr>
            <w:r>
              <w:t>Completed ETA 9177 Report</w:t>
            </w:r>
          </w:p>
        </w:tc>
        <w:tc>
          <w:tcPr>
            <w:tcW w:w="2281" w:type="dxa"/>
          </w:tcPr>
          <w:p w14:paraId="05D1850F" w14:textId="77777777" w:rsidR="000B7C73" w:rsidRPr="00873442" w:rsidRDefault="000B7C73" w:rsidP="000B7C73">
            <w:pPr>
              <w:ind w:left="0"/>
              <w:rPr>
                <w:highlight w:val="yellow"/>
              </w:rPr>
            </w:pPr>
          </w:p>
        </w:tc>
      </w:tr>
      <w:tr w:rsidR="000B7C73" w:rsidRPr="00873442" w14:paraId="2BB6D6E9" w14:textId="77777777" w:rsidTr="00EF2B3F">
        <w:trPr>
          <w:cantSplit/>
        </w:trPr>
        <w:tc>
          <w:tcPr>
            <w:tcW w:w="1743" w:type="dxa"/>
          </w:tcPr>
          <w:p w14:paraId="5058AB3A" w14:textId="3F856EA2" w:rsidR="000B7C73" w:rsidRDefault="000B7C73" w:rsidP="000B7C73">
            <w:pPr>
              <w:ind w:left="0"/>
            </w:pPr>
            <w:r>
              <w:t xml:space="preserve">   13B</w:t>
            </w:r>
          </w:p>
        </w:tc>
        <w:tc>
          <w:tcPr>
            <w:tcW w:w="6658" w:type="dxa"/>
          </w:tcPr>
          <w:p w14:paraId="74ADA928" w14:textId="538D5353" w:rsidR="000B7C73" w:rsidRDefault="000B7C73" w:rsidP="000B7C73">
            <w:pPr>
              <w:ind w:left="256"/>
            </w:pPr>
            <w:r>
              <w:t>Deployment Readiness Plan and Execution</w:t>
            </w:r>
          </w:p>
        </w:tc>
        <w:tc>
          <w:tcPr>
            <w:tcW w:w="2281" w:type="dxa"/>
          </w:tcPr>
          <w:p w14:paraId="453F629C" w14:textId="77777777" w:rsidR="000B7C73" w:rsidRPr="00873442" w:rsidRDefault="000B7C73" w:rsidP="000B7C73">
            <w:pPr>
              <w:ind w:left="0"/>
              <w:rPr>
                <w:highlight w:val="yellow"/>
              </w:rPr>
            </w:pPr>
          </w:p>
        </w:tc>
      </w:tr>
      <w:tr w:rsidR="000B7C73" w:rsidRPr="00873442" w14:paraId="5C149B06" w14:textId="77777777" w:rsidTr="00EF2B3F">
        <w:trPr>
          <w:cantSplit/>
        </w:trPr>
        <w:tc>
          <w:tcPr>
            <w:tcW w:w="1743" w:type="dxa"/>
          </w:tcPr>
          <w:p w14:paraId="544BCDAE" w14:textId="1C20F759" w:rsidR="000B7C73" w:rsidRDefault="000B7C73" w:rsidP="000B7C73">
            <w:pPr>
              <w:ind w:left="0"/>
            </w:pPr>
            <w:r>
              <w:t xml:space="preserve">   13C</w:t>
            </w:r>
          </w:p>
        </w:tc>
        <w:tc>
          <w:tcPr>
            <w:tcW w:w="6658" w:type="dxa"/>
          </w:tcPr>
          <w:p w14:paraId="7B1E7CC0" w14:textId="4E03972C" w:rsidR="000B7C73" w:rsidRDefault="000B7C73" w:rsidP="000B7C73">
            <w:pPr>
              <w:ind w:left="256"/>
            </w:pPr>
            <w:r>
              <w:t>Day of Deployment Plan and Execution</w:t>
            </w:r>
          </w:p>
        </w:tc>
        <w:tc>
          <w:tcPr>
            <w:tcW w:w="2281" w:type="dxa"/>
          </w:tcPr>
          <w:p w14:paraId="5BA4CB35" w14:textId="77777777" w:rsidR="000B7C73" w:rsidRPr="00873442" w:rsidRDefault="000B7C73" w:rsidP="000B7C73">
            <w:pPr>
              <w:ind w:left="0"/>
              <w:rPr>
                <w:highlight w:val="yellow"/>
              </w:rPr>
            </w:pPr>
          </w:p>
        </w:tc>
      </w:tr>
      <w:tr w:rsidR="000B7C73" w:rsidRPr="00873442" w14:paraId="09A8F738" w14:textId="77777777" w:rsidTr="00EF2B3F">
        <w:trPr>
          <w:cantSplit/>
        </w:trPr>
        <w:tc>
          <w:tcPr>
            <w:tcW w:w="1743" w:type="dxa"/>
          </w:tcPr>
          <w:p w14:paraId="173748C4" w14:textId="70B69989" w:rsidR="000B7C73" w:rsidRDefault="000B7C73" w:rsidP="000B7C73">
            <w:pPr>
              <w:ind w:left="0"/>
            </w:pPr>
            <w:r>
              <w:t xml:space="preserve">   13D</w:t>
            </w:r>
          </w:p>
        </w:tc>
        <w:tc>
          <w:tcPr>
            <w:tcW w:w="6658" w:type="dxa"/>
          </w:tcPr>
          <w:p w14:paraId="3EEF41B9" w14:textId="6BD302A2" w:rsidR="000B7C73" w:rsidRDefault="000B7C73" w:rsidP="000B7C73">
            <w:pPr>
              <w:ind w:left="256"/>
            </w:pPr>
            <w:r>
              <w:t>Post Deployment and Execution</w:t>
            </w:r>
          </w:p>
        </w:tc>
        <w:tc>
          <w:tcPr>
            <w:tcW w:w="2281" w:type="dxa"/>
          </w:tcPr>
          <w:p w14:paraId="7BB92AB9" w14:textId="77777777" w:rsidR="000B7C73" w:rsidRPr="00873442" w:rsidRDefault="000B7C73" w:rsidP="000B7C73">
            <w:pPr>
              <w:ind w:left="0"/>
              <w:rPr>
                <w:highlight w:val="yellow"/>
              </w:rPr>
            </w:pPr>
          </w:p>
        </w:tc>
      </w:tr>
      <w:tr w:rsidR="000B7C73" w:rsidRPr="00873442" w14:paraId="46AC7CC7" w14:textId="77777777" w:rsidTr="00EF2B3F">
        <w:trPr>
          <w:cantSplit/>
        </w:trPr>
        <w:tc>
          <w:tcPr>
            <w:tcW w:w="1743" w:type="dxa"/>
          </w:tcPr>
          <w:p w14:paraId="3EBA356C" w14:textId="156EC522" w:rsidR="000B7C73" w:rsidRDefault="000B7C73" w:rsidP="000B7C73">
            <w:pPr>
              <w:ind w:left="0"/>
            </w:pPr>
            <w:r>
              <w:t>14</w:t>
            </w:r>
          </w:p>
        </w:tc>
        <w:tc>
          <w:tcPr>
            <w:tcW w:w="6658" w:type="dxa"/>
          </w:tcPr>
          <w:p w14:paraId="08A04E33" w14:textId="22D6A7BC" w:rsidR="000B7C73" w:rsidRDefault="000B7C73" w:rsidP="000B7C73">
            <w:pPr>
              <w:ind w:left="0"/>
            </w:pPr>
            <w:r>
              <w:t>Maintenance and Operations Plan</w:t>
            </w:r>
          </w:p>
        </w:tc>
        <w:tc>
          <w:tcPr>
            <w:tcW w:w="2281" w:type="dxa"/>
          </w:tcPr>
          <w:p w14:paraId="08E4A577" w14:textId="77777777" w:rsidR="000B7C73" w:rsidRPr="00873442" w:rsidRDefault="000B7C73" w:rsidP="000B7C73">
            <w:pPr>
              <w:ind w:left="0"/>
              <w:rPr>
                <w:highlight w:val="yellow"/>
              </w:rPr>
            </w:pPr>
          </w:p>
        </w:tc>
      </w:tr>
      <w:tr w:rsidR="000B7C73" w:rsidRPr="00873442" w14:paraId="793AAEE1" w14:textId="77777777" w:rsidTr="00EF2B3F">
        <w:trPr>
          <w:cantSplit/>
        </w:trPr>
        <w:tc>
          <w:tcPr>
            <w:tcW w:w="1743" w:type="dxa"/>
          </w:tcPr>
          <w:p w14:paraId="57851A0F" w14:textId="4D57D0C9" w:rsidR="000B7C73" w:rsidRDefault="000B7C73" w:rsidP="000B7C73">
            <w:pPr>
              <w:ind w:left="0"/>
            </w:pPr>
            <w:r>
              <w:t xml:space="preserve">   14A</w:t>
            </w:r>
          </w:p>
        </w:tc>
        <w:tc>
          <w:tcPr>
            <w:tcW w:w="6658" w:type="dxa"/>
          </w:tcPr>
          <w:p w14:paraId="28458C0A" w14:textId="709E5AA3" w:rsidR="000B7C73" w:rsidRDefault="000B7C73" w:rsidP="000B7C73">
            <w:pPr>
              <w:ind w:left="256"/>
            </w:pPr>
            <w:r>
              <w:t>M&amp;O Plan</w:t>
            </w:r>
          </w:p>
        </w:tc>
        <w:tc>
          <w:tcPr>
            <w:tcW w:w="2281" w:type="dxa"/>
          </w:tcPr>
          <w:p w14:paraId="0F1A2644" w14:textId="77777777" w:rsidR="000B7C73" w:rsidRPr="00873442" w:rsidRDefault="000B7C73" w:rsidP="000B7C73">
            <w:pPr>
              <w:ind w:left="0"/>
              <w:rPr>
                <w:highlight w:val="yellow"/>
              </w:rPr>
            </w:pPr>
          </w:p>
        </w:tc>
      </w:tr>
      <w:tr w:rsidR="007E441C" w:rsidRPr="00873442" w14:paraId="7D1D2C40" w14:textId="77777777" w:rsidTr="00EF2B3F">
        <w:trPr>
          <w:cantSplit/>
        </w:trPr>
        <w:tc>
          <w:tcPr>
            <w:tcW w:w="1743" w:type="dxa"/>
          </w:tcPr>
          <w:p w14:paraId="0ACFE425" w14:textId="62AAB4C9" w:rsidR="007E441C" w:rsidRDefault="004832F9" w:rsidP="000B7C73">
            <w:pPr>
              <w:ind w:left="0"/>
            </w:pPr>
            <w:r>
              <w:t xml:space="preserve">   14B</w:t>
            </w:r>
          </w:p>
        </w:tc>
        <w:tc>
          <w:tcPr>
            <w:tcW w:w="6658" w:type="dxa"/>
          </w:tcPr>
          <w:p w14:paraId="647003EE" w14:textId="633789A3" w:rsidR="007E441C" w:rsidRDefault="007E441C" w:rsidP="000B7C73">
            <w:pPr>
              <w:ind w:left="256"/>
            </w:pPr>
            <w:r>
              <w:t>Monthly Operations Status Reports</w:t>
            </w:r>
          </w:p>
        </w:tc>
        <w:tc>
          <w:tcPr>
            <w:tcW w:w="2281" w:type="dxa"/>
          </w:tcPr>
          <w:p w14:paraId="3853ACE9" w14:textId="77777777" w:rsidR="007E441C" w:rsidRPr="00873442" w:rsidRDefault="007E441C" w:rsidP="000B7C73">
            <w:pPr>
              <w:ind w:left="0"/>
              <w:rPr>
                <w:highlight w:val="yellow"/>
              </w:rPr>
            </w:pPr>
          </w:p>
        </w:tc>
      </w:tr>
      <w:tr w:rsidR="000B7C73" w:rsidRPr="00873442" w14:paraId="6F6A75FF" w14:textId="77777777" w:rsidTr="00EF2B3F">
        <w:trPr>
          <w:cantSplit/>
        </w:trPr>
        <w:tc>
          <w:tcPr>
            <w:tcW w:w="1743" w:type="dxa"/>
          </w:tcPr>
          <w:p w14:paraId="1D3AF4C6" w14:textId="176C615C" w:rsidR="000B7C73" w:rsidRDefault="000B7C73" w:rsidP="000B7C73">
            <w:pPr>
              <w:ind w:left="0"/>
            </w:pPr>
            <w:r>
              <w:t>15</w:t>
            </w:r>
          </w:p>
        </w:tc>
        <w:tc>
          <w:tcPr>
            <w:tcW w:w="6658" w:type="dxa"/>
          </w:tcPr>
          <w:p w14:paraId="79CD10E4" w14:textId="141C40F7" w:rsidR="000B7C73" w:rsidRDefault="000B7C73" w:rsidP="000B7C73">
            <w:pPr>
              <w:ind w:left="0"/>
            </w:pPr>
            <w:r>
              <w:t>Additional Implementation Support</w:t>
            </w:r>
          </w:p>
        </w:tc>
        <w:tc>
          <w:tcPr>
            <w:tcW w:w="2281" w:type="dxa"/>
          </w:tcPr>
          <w:p w14:paraId="4B0DE72D" w14:textId="77777777" w:rsidR="000B7C73" w:rsidRPr="00873442" w:rsidRDefault="000B7C73" w:rsidP="000B7C73">
            <w:pPr>
              <w:ind w:left="0"/>
              <w:rPr>
                <w:highlight w:val="yellow"/>
              </w:rPr>
            </w:pPr>
          </w:p>
        </w:tc>
      </w:tr>
      <w:tr w:rsidR="000B7C73" w:rsidRPr="00873442" w14:paraId="7302DF25" w14:textId="77777777" w:rsidTr="00EF2B3F">
        <w:trPr>
          <w:cantSplit/>
        </w:trPr>
        <w:tc>
          <w:tcPr>
            <w:tcW w:w="1743" w:type="dxa"/>
          </w:tcPr>
          <w:p w14:paraId="29A66233" w14:textId="686DAFE0" w:rsidR="000B7C73" w:rsidRDefault="000B7C73" w:rsidP="000B7C73">
            <w:pPr>
              <w:ind w:left="0"/>
            </w:pPr>
            <w:r>
              <w:t xml:space="preserve">   15A</w:t>
            </w:r>
          </w:p>
        </w:tc>
        <w:tc>
          <w:tcPr>
            <w:tcW w:w="6658" w:type="dxa"/>
          </w:tcPr>
          <w:p w14:paraId="6F12196A" w14:textId="0F663974" w:rsidR="000B7C73" w:rsidRDefault="000B7C73" w:rsidP="000B7C73">
            <w:pPr>
              <w:ind w:left="256"/>
            </w:pPr>
            <w:r w:rsidRPr="009C768C">
              <w:t xml:space="preserve">Additional </w:t>
            </w:r>
            <w:r>
              <w:t xml:space="preserve">Implementation </w:t>
            </w:r>
            <w:r w:rsidRPr="009C768C">
              <w:t>Support</w:t>
            </w:r>
          </w:p>
        </w:tc>
        <w:tc>
          <w:tcPr>
            <w:tcW w:w="2281" w:type="dxa"/>
          </w:tcPr>
          <w:p w14:paraId="2465DE03" w14:textId="77777777" w:rsidR="000B7C73" w:rsidRPr="00873442" w:rsidRDefault="000B7C73" w:rsidP="000B7C73">
            <w:pPr>
              <w:ind w:left="0"/>
              <w:rPr>
                <w:highlight w:val="yellow"/>
              </w:rPr>
            </w:pPr>
          </w:p>
        </w:tc>
      </w:tr>
      <w:tr w:rsidR="000B7C73" w:rsidRPr="00873442" w14:paraId="5C0F20D0" w14:textId="77777777" w:rsidTr="00EF2B3F">
        <w:trPr>
          <w:cantSplit/>
        </w:trPr>
        <w:tc>
          <w:tcPr>
            <w:tcW w:w="1743" w:type="dxa"/>
          </w:tcPr>
          <w:p w14:paraId="76E072A8" w14:textId="2836361B" w:rsidR="000B7C73" w:rsidRDefault="000B7C73" w:rsidP="000B7C73">
            <w:pPr>
              <w:ind w:left="0"/>
            </w:pPr>
            <w:r>
              <w:t>16</w:t>
            </w:r>
          </w:p>
        </w:tc>
        <w:tc>
          <w:tcPr>
            <w:tcW w:w="6658" w:type="dxa"/>
          </w:tcPr>
          <w:p w14:paraId="1B9B82B5" w14:textId="3FC211BC" w:rsidR="000B7C73" w:rsidRDefault="000B7C73" w:rsidP="000B7C73">
            <w:pPr>
              <w:ind w:left="0"/>
            </w:pPr>
            <w:r>
              <w:t>Annual Software Maintenance and Support Subscription</w:t>
            </w:r>
          </w:p>
        </w:tc>
        <w:tc>
          <w:tcPr>
            <w:tcW w:w="2281" w:type="dxa"/>
          </w:tcPr>
          <w:p w14:paraId="37F20DFB" w14:textId="77777777" w:rsidR="000B7C73" w:rsidRPr="00873442" w:rsidRDefault="000B7C73" w:rsidP="000B7C73">
            <w:pPr>
              <w:ind w:left="0"/>
              <w:rPr>
                <w:highlight w:val="yellow"/>
              </w:rPr>
            </w:pPr>
          </w:p>
        </w:tc>
      </w:tr>
      <w:tr w:rsidR="000B7C73" w:rsidRPr="00873442" w14:paraId="479DBDB2" w14:textId="77777777" w:rsidTr="00EF2B3F">
        <w:trPr>
          <w:cantSplit/>
        </w:trPr>
        <w:tc>
          <w:tcPr>
            <w:tcW w:w="1743" w:type="dxa"/>
          </w:tcPr>
          <w:p w14:paraId="439475E6" w14:textId="3A261840" w:rsidR="000B7C73" w:rsidRDefault="000B7C73" w:rsidP="000B7C73">
            <w:pPr>
              <w:ind w:left="0"/>
            </w:pPr>
            <w:r>
              <w:t xml:space="preserve">   16A</w:t>
            </w:r>
          </w:p>
        </w:tc>
        <w:tc>
          <w:tcPr>
            <w:tcW w:w="6658" w:type="dxa"/>
          </w:tcPr>
          <w:p w14:paraId="317BDA43" w14:textId="76E820B1" w:rsidR="000B7C73" w:rsidRPr="00355C5B" w:rsidRDefault="000B7C73" w:rsidP="000B7C73">
            <w:pPr>
              <w:ind w:left="256"/>
            </w:pPr>
            <w:r>
              <w:t>Annual Software Maintenance Support and Subscription</w:t>
            </w:r>
          </w:p>
        </w:tc>
        <w:tc>
          <w:tcPr>
            <w:tcW w:w="2281" w:type="dxa"/>
          </w:tcPr>
          <w:p w14:paraId="777110C8" w14:textId="77777777" w:rsidR="000B7C73" w:rsidRPr="00873442" w:rsidRDefault="000B7C73" w:rsidP="000B7C73">
            <w:pPr>
              <w:ind w:left="0"/>
              <w:rPr>
                <w:highlight w:val="yellow"/>
              </w:rPr>
            </w:pPr>
          </w:p>
        </w:tc>
      </w:tr>
      <w:tr w:rsidR="00E63C4A" w:rsidRPr="00873442" w14:paraId="7836DBD7" w14:textId="77777777" w:rsidTr="001758DD">
        <w:trPr>
          <w:cantSplit/>
        </w:trPr>
        <w:tc>
          <w:tcPr>
            <w:tcW w:w="1743" w:type="dxa"/>
          </w:tcPr>
          <w:p w14:paraId="5F982F30" w14:textId="05E528B1" w:rsidR="00E63C4A" w:rsidRDefault="00E63C4A" w:rsidP="001758DD">
            <w:pPr>
              <w:ind w:left="0"/>
            </w:pPr>
            <w:r>
              <w:t>17</w:t>
            </w:r>
          </w:p>
        </w:tc>
        <w:tc>
          <w:tcPr>
            <w:tcW w:w="6658" w:type="dxa"/>
          </w:tcPr>
          <w:p w14:paraId="6C5727B7" w14:textId="6F6DB356" w:rsidR="00E63C4A" w:rsidRDefault="00A861E3" w:rsidP="001758DD">
            <w:pPr>
              <w:ind w:left="0"/>
            </w:pPr>
            <w:r>
              <w:t xml:space="preserve">Maintain Effective </w:t>
            </w:r>
            <w:r w:rsidR="00E63C4A">
              <w:t>Cyber Security</w:t>
            </w:r>
          </w:p>
        </w:tc>
        <w:tc>
          <w:tcPr>
            <w:tcW w:w="2281" w:type="dxa"/>
          </w:tcPr>
          <w:p w14:paraId="669B8B2B" w14:textId="77777777" w:rsidR="00E63C4A" w:rsidRPr="00873442" w:rsidRDefault="00E63C4A" w:rsidP="001758DD">
            <w:pPr>
              <w:ind w:left="0"/>
              <w:rPr>
                <w:highlight w:val="yellow"/>
              </w:rPr>
            </w:pPr>
          </w:p>
        </w:tc>
      </w:tr>
      <w:tr w:rsidR="00E63C4A" w:rsidRPr="00873442" w14:paraId="5AF50BA7" w14:textId="77777777" w:rsidTr="001758DD">
        <w:trPr>
          <w:cantSplit/>
        </w:trPr>
        <w:tc>
          <w:tcPr>
            <w:tcW w:w="1743" w:type="dxa"/>
          </w:tcPr>
          <w:p w14:paraId="5BDF2BA5" w14:textId="71AE0877" w:rsidR="00E63C4A" w:rsidRDefault="00E63C4A" w:rsidP="001758DD">
            <w:pPr>
              <w:ind w:left="0"/>
            </w:pPr>
            <w:r>
              <w:t xml:space="preserve">   17A</w:t>
            </w:r>
          </w:p>
        </w:tc>
        <w:tc>
          <w:tcPr>
            <w:tcW w:w="6658" w:type="dxa"/>
          </w:tcPr>
          <w:p w14:paraId="1B9A527A" w14:textId="6B29E284" w:rsidR="00E63C4A" w:rsidRDefault="00A861E3" w:rsidP="001758DD">
            <w:pPr>
              <w:ind w:left="256"/>
            </w:pPr>
            <w:r>
              <w:t>FedRAMP ATO</w:t>
            </w:r>
          </w:p>
        </w:tc>
        <w:tc>
          <w:tcPr>
            <w:tcW w:w="2281" w:type="dxa"/>
          </w:tcPr>
          <w:p w14:paraId="0A5ADDA0" w14:textId="77777777" w:rsidR="00E63C4A" w:rsidRPr="00873442" w:rsidRDefault="00E63C4A" w:rsidP="001758DD">
            <w:pPr>
              <w:ind w:left="0"/>
              <w:rPr>
                <w:highlight w:val="yellow"/>
              </w:rPr>
            </w:pPr>
          </w:p>
        </w:tc>
      </w:tr>
      <w:tr w:rsidR="00E63C4A" w:rsidRPr="00873442" w14:paraId="4855FF1D" w14:textId="77777777" w:rsidTr="001758DD">
        <w:trPr>
          <w:cantSplit/>
        </w:trPr>
        <w:tc>
          <w:tcPr>
            <w:tcW w:w="1743" w:type="dxa"/>
          </w:tcPr>
          <w:p w14:paraId="05CCFF48" w14:textId="39FD50CD" w:rsidR="00E63C4A" w:rsidRDefault="00E63C4A" w:rsidP="001758DD">
            <w:pPr>
              <w:ind w:left="0"/>
            </w:pPr>
            <w:r>
              <w:t xml:space="preserve">   17B</w:t>
            </w:r>
          </w:p>
        </w:tc>
        <w:tc>
          <w:tcPr>
            <w:tcW w:w="6658" w:type="dxa"/>
          </w:tcPr>
          <w:p w14:paraId="246A1911" w14:textId="2C10DD1D" w:rsidR="00E63C4A" w:rsidRDefault="00A861E3" w:rsidP="001758DD">
            <w:pPr>
              <w:ind w:left="256"/>
            </w:pPr>
            <w:r>
              <w:t>Security Assessment Plan</w:t>
            </w:r>
          </w:p>
        </w:tc>
        <w:tc>
          <w:tcPr>
            <w:tcW w:w="2281" w:type="dxa"/>
          </w:tcPr>
          <w:p w14:paraId="15506597" w14:textId="77777777" w:rsidR="00E63C4A" w:rsidRPr="00873442" w:rsidRDefault="00E63C4A" w:rsidP="001758DD">
            <w:pPr>
              <w:ind w:left="0"/>
              <w:rPr>
                <w:highlight w:val="yellow"/>
              </w:rPr>
            </w:pPr>
          </w:p>
        </w:tc>
      </w:tr>
      <w:tr w:rsidR="00E63C4A" w:rsidRPr="00873442" w14:paraId="4897F45E" w14:textId="77777777" w:rsidTr="001758DD">
        <w:trPr>
          <w:cantSplit/>
        </w:trPr>
        <w:tc>
          <w:tcPr>
            <w:tcW w:w="1743" w:type="dxa"/>
          </w:tcPr>
          <w:p w14:paraId="6B9CC488" w14:textId="659E8793" w:rsidR="00E63C4A" w:rsidRDefault="00E63C4A" w:rsidP="001758DD">
            <w:pPr>
              <w:ind w:left="0"/>
            </w:pPr>
            <w:r>
              <w:t xml:space="preserve">   17C</w:t>
            </w:r>
          </w:p>
        </w:tc>
        <w:tc>
          <w:tcPr>
            <w:tcW w:w="6658" w:type="dxa"/>
          </w:tcPr>
          <w:p w14:paraId="782C984E" w14:textId="7474E2DF" w:rsidR="00E63C4A" w:rsidRDefault="00A861E3" w:rsidP="001758DD">
            <w:pPr>
              <w:ind w:left="256"/>
            </w:pPr>
            <w:r>
              <w:t>Incident Response</w:t>
            </w:r>
            <w:r w:rsidR="00E63C4A">
              <w:t xml:space="preserve"> Plan</w:t>
            </w:r>
          </w:p>
        </w:tc>
        <w:tc>
          <w:tcPr>
            <w:tcW w:w="2281" w:type="dxa"/>
          </w:tcPr>
          <w:p w14:paraId="61DBCEC3" w14:textId="77777777" w:rsidR="00E63C4A" w:rsidRPr="00873442" w:rsidRDefault="00E63C4A" w:rsidP="001758DD">
            <w:pPr>
              <w:ind w:left="0"/>
              <w:rPr>
                <w:highlight w:val="yellow"/>
              </w:rPr>
            </w:pPr>
          </w:p>
        </w:tc>
      </w:tr>
      <w:tr w:rsidR="00E63C4A" w:rsidRPr="00873442" w14:paraId="49BA8451" w14:textId="77777777" w:rsidTr="001758DD">
        <w:trPr>
          <w:cantSplit/>
        </w:trPr>
        <w:tc>
          <w:tcPr>
            <w:tcW w:w="1743" w:type="dxa"/>
          </w:tcPr>
          <w:p w14:paraId="088698B6" w14:textId="305EF74B" w:rsidR="00E63C4A" w:rsidRDefault="00E63C4A" w:rsidP="001758DD">
            <w:pPr>
              <w:ind w:left="0"/>
            </w:pPr>
            <w:r>
              <w:t xml:space="preserve">   17D</w:t>
            </w:r>
          </w:p>
        </w:tc>
        <w:tc>
          <w:tcPr>
            <w:tcW w:w="6658" w:type="dxa"/>
          </w:tcPr>
          <w:p w14:paraId="2E9D3A70" w14:textId="0A61D1BE" w:rsidR="00E63C4A" w:rsidRDefault="00A861E3" w:rsidP="001758DD">
            <w:pPr>
              <w:ind w:left="256"/>
            </w:pPr>
            <w:r>
              <w:t>System Security</w:t>
            </w:r>
            <w:r w:rsidR="00E63C4A">
              <w:t xml:space="preserve"> Plan</w:t>
            </w:r>
          </w:p>
        </w:tc>
        <w:tc>
          <w:tcPr>
            <w:tcW w:w="2281" w:type="dxa"/>
          </w:tcPr>
          <w:p w14:paraId="60D796A1" w14:textId="77777777" w:rsidR="00E63C4A" w:rsidRPr="00873442" w:rsidRDefault="00E63C4A" w:rsidP="001758DD">
            <w:pPr>
              <w:ind w:left="0"/>
              <w:rPr>
                <w:highlight w:val="yellow"/>
              </w:rPr>
            </w:pPr>
          </w:p>
        </w:tc>
      </w:tr>
      <w:tr w:rsidR="00C16982" w:rsidRPr="00873442" w14:paraId="19AA6053" w14:textId="77777777" w:rsidTr="00EF2B3F">
        <w:trPr>
          <w:cantSplit/>
        </w:trPr>
        <w:tc>
          <w:tcPr>
            <w:tcW w:w="1743" w:type="dxa"/>
          </w:tcPr>
          <w:p w14:paraId="14F7794E" w14:textId="3903E0F5" w:rsidR="00C16982" w:rsidRDefault="00C16982" w:rsidP="00C16982">
            <w:pPr>
              <w:ind w:left="0"/>
            </w:pPr>
            <w:r>
              <w:t xml:space="preserve">   17E</w:t>
            </w:r>
          </w:p>
        </w:tc>
        <w:tc>
          <w:tcPr>
            <w:tcW w:w="6658" w:type="dxa"/>
          </w:tcPr>
          <w:p w14:paraId="74F572CF" w14:textId="5025F048" w:rsidR="00C16982" w:rsidRDefault="00C16982" w:rsidP="00C16982">
            <w:pPr>
              <w:ind w:left="256"/>
            </w:pPr>
            <w:r>
              <w:t>Implemented Security Plans</w:t>
            </w:r>
          </w:p>
        </w:tc>
        <w:tc>
          <w:tcPr>
            <w:tcW w:w="2281" w:type="dxa"/>
          </w:tcPr>
          <w:p w14:paraId="0742685D" w14:textId="77777777" w:rsidR="00C16982" w:rsidRPr="00873442" w:rsidRDefault="00C16982" w:rsidP="00C16982">
            <w:pPr>
              <w:ind w:left="0"/>
              <w:rPr>
                <w:highlight w:val="yellow"/>
              </w:rPr>
            </w:pPr>
          </w:p>
        </w:tc>
      </w:tr>
      <w:tr w:rsidR="00C16982" w:rsidRPr="00873442" w14:paraId="2B8D09E5" w14:textId="77777777" w:rsidTr="00EF2B3F">
        <w:trPr>
          <w:cantSplit/>
        </w:trPr>
        <w:tc>
          <w:tcPr>
            <w:tcW w:w="1743" w:type="dxa"/>
          </w:tcPr>
          <w:p w14:paraId="1FA97F45" w14:textId="171D9E82" w:rsidR="00C16982" w:rsidRDefault="00C16982" w:rsidP="00C16982">
            <w:pPr>
              <w:ind w:left="0"/>
            </w:pPr>
            <w:r>
              <w:t>18</w:t>
            </w:r>
          </w:p>
        </w:tc>
        <w:tc>
          <w:tcPr>
            <w:tcW w:w="6658" w:type="dxa"/>
          </w:tcPr>
          <w:p w14:paraId="44843B54" w14:textId="76D3ECF6" w:rsidR="00C16982" w:rsidRDefault="00C16982" w:rsidP="00C16982">
            <w:pPr>
              <w:ind w:left="0"/>
            </w:pPr>
            <w:r>
              <w:t>End of Contract Services</w:t>
            </w:r>
          </w:p>
        </w:tc>
        <w:tc>
          <w:tcPr>
            <w:tcW w:w="2281" w:type="dxa"/>
          </w:tcPr>
          <w:p w14:paraId="1FE4E760" w14:textId="106D3564" w:rsidR="00C16982" w:rsidRPr="00873442" w:rsidRDefault="00C16982" w:rsidP="00C16982">
            <w:pPr>
              <w:ind w:left="0"/>
              <w:rPr>
                <w:highlight w:val="yellow"/>
              </w:rPr>
            </w:pPr>
          </w:p>
        </w:tc>
      </w:tr>
      <w:tr w:rsidR="00C16982" w:rsidRPr="00873442" w14:paraId="4C955971" w14:textId="77777777" w:rsidTr="00EF2B3F">
        <w:trPr>
          <w:cantSplit/>
        </w:trPr>
        <w:tc>
          <w:tcPr>
            <w:tcW w:w="1743" w:type="dxa"/>
          </w:tcPr>
          <w:p w14:paraId="29FED82A" w14:textId="26B27F9A" w:rsidR="00C16982" w:rsidRDefault="00C16982" w:rsidP="00C16982">
            <w:pPr>
              <w:ind w:left="0"/>
            </w:pPr>
            <w:r>
              <w:t xml:space="preserve">   18A</w:t>
            </w:r>
          </w:p>
        </w:tc>
        <w:tc>
          <w:tcPr>
            <w:tcW w:w="6658" w:type="dxa"/>
          </w:tcPr>
          <w:p w14:paraId="30B77E4D" w14:textId="675FF01B" w:rsidR="00C16982" w:rsidRDefault="00C16982" w:rsidP="00C16982">
            <w:pPr>
              <w:ind w:left="256"/>
            </w:pPr>
            <w:r>
              <w:t>Transition Plan</w:t>
            </w:r>
          </w:p>
        </w:tc>
        <w:tc>
          <w:tcPr>
            <w:tcW w:w="2281" w:type="dxa"/>
          </w:tcPr>
          <w:p w14:paraId="0A752EE9" w14:textId="48A602F0" w:rsidR="00C16982" w:rsidRPr="00873442" w:rsidRDefault="00C16982" w:rsidP="00C16982">
            <w:pPr>
              <w:ind w:left="0"/>
              <w:rPr>
                <w:highlight w:val="yellow"/>
              </w:rPr>
            </w:pPr>
          </w:p>
        </w:tc>
      </w:tr>
      <w:tr w:rsidR="00C16982" w:rsidRPr="00873442" w14:paraId="0EFE9A7E" w14:textId="77777777" w:rsidTr="00EF2B3F">
        <w:trPr>
          <w:cantSplit/>
        </w:trPr>
        <w:tc>
          <w:tcPr>
            <w:tcW w:w="1743" w:type="dxa"/>
          </w:tcPr>
          <w:p w14:paraId="0D123035" w14:textId="53ECE212" w:rsidR="00C16982" w:rsidRDefault="00C16982" w:rsidP="00C16982">
            <w:pPr>
              <w:ind w:left="0"/>
            </w:pPr>
            <w:r>
              <w:t xml:space="preserve">   18B</w:t>
            </w:r>
          </w:p>
        </w:tc>
        <w:tc>
          <w:tcPr>
            <w:tcW w:w="6658" w:type="dxa"/>
          </w:tcPr>
          <w:p w14:paraId="0DD02811" w14:textId="3A4681B7" w:rsidR="00C16982" w:rsidRDefault="00C16982" w:rsidP="00C16982">
            <w:pPr>
              <w:ind w:left="256"/>
            </w:pPr>
            <w:r>
              <w:t>Completed Transition Plan</w:t>
            </w:r>
          </w:p>
        </w:tc>
        <w:tc>
          <w:tcPr>
            <w:tcW w:w="2281" w:type="dxa"/>
          </w:tcPr>
          <w:p w14:paraId="059DBA3E" w14:textId="23CB8137" w:rsidR="00C16982" w:rsidRPr="00873442" w:rsidRDefault="00C16982" w:rsidP="00C16982">
            <w:pPr>
              <w:ind w:left="0"/>
              <w:rPr>
                <w:highlight w:val="yellow"/>
              </w:rPr>
            </w:pPr>
          </w:p>
        </w:tc>
      </w:tr>
    </w:tbl>
    <w:p w14:paraId="6D006BB0" w14:textId="77777777" w:rsidR="00433271" w:rsidRDefault="00433271" w:rsidP="00433271"/>
    <w:p w14:paraId="3F2ADAFC" w14:textId="77777777" w:rsidR="001E5848" w:rsidRDefault="001E5848" w:rsidP="001E5848">
      <w:pPr>
        <w:pStyle w:val="Heading3"/>
      </w:pPr>
      <w:bookmarkStart w:id="152" w:name="_Toc13567419"/>
      <w:r>
        <w:t>2.4.2</w:t>
      </w:r>
      <w:r>
        <w:tab/>
        <w:t>CMS (Optional)</w:t>
      </w:r>
      <w:bookmarkEnd w:id="152"/>
    </w:p>
    <w:p w14:paraId="6A1FBF33" w14:textId="70900EC9" w:rsidR="001E5848" w:rsidRPr="0045479C" w:rsidRDefault="001E5848" w:rsidP="001E5848">
      <w:pPr>
        <w:rPr>
          <w:lang w:eastAsia="en-AU"/>
        </w:rPr>
      </w:pPr>
      <w:r>
        <w:rPr>
          <w:lang w:eastAsia="en-AU"/>
        </w:rPr>
        <w:t xml:space="preserve">Offerors may, if desired, provide estimated milestone dates for </w:t>
      </w:r>
      <w:r w:rsidR="00D91CA4">
        <w:rPr>
          <w:lang w:eastAsia="en-AU"/>
        </w:rPr>
        <w:t xml:space="preserve">the </w:t>
      </w:r>
      <w:r>
        <w:rPr>
          <w:lang w:eastAsia="en-AU"/>
        </w:rPr>
        <w:t xml:space="preserve">Optional Deliverable in the table below. </w:t>
      </w:r>
    </w:p>
    <w:tbl>
      <w:tblPr>
        <w:tblStyle w:val="TableGrid"/>
        <w:tblW w:w="0" w:type="auto"/>
        <w:tblInd w:w="108" w:type="dxa"/>
        <w:tblLook w:val="04A0" w:firstRow="1" w:lastRow="0" w:firstColumn="1" w:lastColumn="0" w:noHBand="0" w:noVBand="1"/>
        <w:tblCaption w:val="Deliverable Schedule table"/>
        <w:tblDescription w:val="Pricing for required Deliverables table"/>
      </w:tblPr>
      <w:tblGrid>
        <w:gridCol w:w="1743"/>
        <w:gridCol w:w="6658"/>
        <w:gridCol w:w="2281"/>
      </w:tblGrid>
      <w:tr w:rsidR="001E5848" w:rsidRPr="00873442" w14:paraId="7B1D33DD" w14:textId="77777777" w:rsidTr="000A6B63">
        <w:trPr>
          <w:cantSplit/>
          <w:tblHeader/>
        </w:trPr>
        <w:tc>
          <w:tcPr>
            <w:tcW w:w="1743" w:type="dxa"/>
            <w:shd w:val="clear" w:color="auto" w:fill="DEEAF6" w:themeFill="accent1" w:themeFillTint="33"/>
            <w:vAlign w:val="center"/>
          </w:tcPr>
          <w:p w14:paraId="5EF6F692" w14:textId="77777777" w:rsidR="001E5848" w:rsidRPr="00804B2D" w:rsidRDefault="001E5848" w:rsidP="000A6B63">
            <w:pPr>
              <w:spacing w:after="0"/>
              <w:ind w:left="0"/>
              <w:jc w:val="center"/>
              <w:rPr>
                <w:rFonts w:cs="Arial"/>
                <w:b/>
                <w:color w:val="1F3864" w:themeColor="accent5" w:themeShade="80"/>
              </w:rPr>
            </w:pPr>
            <w:r w:rsidRPr="00804B2D">
              <w:rPr>
                <w:rFonts w:cs="Arial"/>
                <w:b/>
                <w:color w:val="1F3864" w:themeColor="accent5" w:themeShade="80"/>
              </w:rPr>
              <w:lastRenderedPageBreak/>
              <w:t>Deliverable Number</w:t>
            </w:r>
          </w:p>
        </w:tc>
        <w:tc>
          <w:tcPr>
            <w:tcW w:w="6658" w:type="dxa"/>
            <w:shd w:val="clear" w:color="auto" w:fill="DEEAF6" w:themeFill="accent1" w:themeFillTint="33"/>
            <w:vAlign w:val="center"/>
          </w:tcPr>
          <w:p w14:paraId="435E2039" w14:textId="77777777" w:rsidR="001E5848" w:rsidRDefault="001E5848" w:rsidP="000A6B63">
            <w:pPr>
              <w:spacing w:after="0"/>
              <w:ind w:left="0"/>
              <w:jc w:val="center"/>
              <w:rPr>
                <w:rFonts w:cs="Arial"/>
                <w:b/>
                <w:color w:val="1F3864" w:themeColor="accent5" w:themeShade="80"/>
              </w:rPr>
            </w:pPr>
            <w:r>
              <w:rPr>
                <w:rFonts w:cs="Arial"/>
                <w:b/>
                <w:color w:val="1F3864" w:themeColor="accent5" w:themeShade="80"/>
              </w:rPr>
              <w:t>Deliverable</w:t>
            </w:r>
          </w:p>
          <w:p w14:paraId="0D06F4BD" w14:textId="77777777" w:rsidR="001E5848" w:rsidRPr="00804B2D" w:rsidRDefault="001E5848" w:rsidP="000A6B63">
            <w:pPr>
              <w:spacing w:after="0"/>
              <w:ind w:left="0"/>
              <w:jc w:val="center"/>
              <w:rPr>
                <w:rFonts w:cs="Arial"/>
                <w:b/>
                <w:color w:val="1F3864" w:themeColor="accent5" w:themeShade="80"/>
              </w:rPr>
            </w:pPr>
            <w:r w:rsidRPr="00804B2D">
              <w:rPr>
                <w:rFonts w:cs="Arial"/>
                <w:b/>
                <w:color w:val="1F3864" w:themeColor="accent5" w:themeShade="80"/>
              </w:rPr>
              <w:t>Name</w:t>
            </w:r>
          </w:p>
        </w:tc>
        <w:tc>
          <w:tcPr>
            <w:tcW w:w="2281" w:type="dxa"/>
            <w:shd w:val="clear" w:color="auto" w:fill="DEEAF6" w:themeFill="accent1" w:themeFillTint="33"/>
            <w:vAlign w:val="center"/>
          </w:tcPr>
          <w:p w14:paraId="5EE7BBD1" w14:textId="77777777" w:rsidR="001E5848" w:rsidRPr="00804B2D" w:rsidRDefault="001E5848" w:rsidP="000A6B63">
            <w:pPr>
              <w:spacing w:after="0"/>
              <w:ind w:left="0"/>
              <w:jc w:val="center"/>
              <w:rPr>
                <w:rFonts w:cs="Arial"/>
                <w:b/>
                <w:color w:val="1F3864" w:themeColor="accent5" w:themeShade="80"/>
              </w:rPr>
            </w:pPr>
            <w:r w:rsidRPr="00804B2D">
              <w:rPr>
                <w:rFonts w:cs="Arial"/>
                <w:b/>
                <w:color w:val="1F3864" w:themeColor="accent5" w:themeShade="80"/>
              </w:rPr>
              <w:t>Estimated Completion Date</w:t>
            </w:r>
          </w:p>
        </w:tc>
      </w:tr>
      <w:tr w:rsidR="001E5848" w:rsidRPr="00873442" w14:paraId="0E1C4339" w14:textId="77777777" w:rsidTr="000A6B63">
        <w:tc>
          <w:tcPr>
            <w:tcW w:w="1743" w:type="dxa"/>
          </w:tcPr>
          <w:p w14:paraId="2A5B978D" w14:textId="77777777" w:rsidR="001E5848" w:rsidRPr="00873442" w:rsidRDefault="001E5848" w:rsidP="000A6B63">
            <w:pPr>
              <w:ind w:left="0"/>
              <w:rPr>
                <w:highlight w:val="yellow"/>
              </w:rPr>
            </w:pPr>
            <w:r>
              <w:t>OD</w:t>
            </w:r>
            <w:r w:rsidRPr="00355C5B">
              <w:t>1</w:t>
            </w:r>
          </w:p>
        </w:tc>
        <w:tc>
          <w:tcPr>
            <w:tcW w:w="6658" w:type="dxa"/>
          </w:tcPr>
          <w:p w14:paraId="16D1D637" w14:textId="77777777" w:rsidR="001E5848" w:rsidRPr="00873442" w:rsidRDefault="001E5848" w:rsidP="000A6B63">
            <w:pPr>
              <w:ind w:left="0"/>
              <w:rPr>
                <w:highlight w:val="yellow"/>
              </w:rPr>
            </w:pPr>
            <w:r>
              <w:t>CMS (Optional)</w:t>
            </w:r>
          </w:p>
        </w:tc>
        <w:tc>
          <w:tcPr>
            <w:tcW w:w="2281" w:type="dxa"/>
          </w:tcPr>
          <w:p w14:paraId="0B13B53B" w14:textId="77777777" w:rsidR="001E5848" w:rsidRPr="00873442" w:rsidRDefault="001E5848" w:rsidP="000A6B63">
            <w:pPr>
              <w:ind w:left="0"/>
              <w:rPr>
                <w:highlight w:val="yellow"/>
              </w:rPr>
            </w:pPr>
          </w:p>
        </w:tc>
      </w:tr>
      <w:tr w:rsidR="001E5848" w:rsidRPr="00873442" w14:paraId="50BA4FFD" w14:textId="77777777" w:rsidTr="000A6B63">
        <w:tc>
          <w:tcPr>
            <w:tcW w:w="1743" w:type="dxa"/>
          </w:tcPr>
          <w:p w14:paraId="6D4B8A51" w14:textId="77777777" w:rsidR="001E5848" w:rsidRPr="00873442" w:rsidRDefault="001E5848" w:rsidP="000A6B63">
            <w:pPr>
              <w:ind w:left="0"/>
              <w:rPr>
                <w:highlight w:val="yellow"/>
              </w:rPr>
            </w:pPr>
            <w:r>
              <w:t xml:space="preserve">   OD1A</w:t>
            </w:r>
          </w:p>
        </w:tc>
        <w:tc>
          <w:tcPr>
            <w:tcW w:w="6658" w:type="dxa"/>
          </w:tcPr>
          <w:p w14:paraId="06063081" w14:textId="77777777" w:rsidR="001E5848" w:rsidRPr="00364874" w:rsidRDefault="001E5848" w:rsidP="000A6B63">
            <w:pPr>
              <w:ind w:left="256"/>
            </w:pPr>
            <w:r>
              <w:t>Provide an integrated, tested CMS solution (Optional)</w:t>
            </w:r>
          </w:p>
        </w:tc>
        <w:tc>
          <w:tcPr>
            <w:tcW w:w="2281" w:type="dxa"/>
          </w:tcPr>
          <w:p w14:paraId="367F67B5" w14:textId="77777777" w:rsidR="001E5848" w:rsidRPr="00873442" w:rsidRDefault="001E5848" w:rsidP="000A6B63">
            <w:pPr>
              <w:ind w:left="0"/>
              <w:rPr>
                <w:highlight w:val="yellow"/>
              </w:rPr>
            </w:pPr>
          </w:p>
        </w:tc>
      </w:tr>
    </w:tbl>
    <w:p w14:paraId="169B7075" w14:textId="77777777" w:rsidR="001E5848" w:rsidRDefault="001E5848" w:rsidP="001E5848">
      <w:pPr>
        <w:ind w:left="0"/>
      </w:pPr>
    </w:p>
    <w:p w14:paraId="6DBDA72B" w14:textId="7E107DE8" w:rsidR="005F2213" w:rsidRDefault="005F2213" w:rsidP="005F2213">
      <w:pPr>
        <w:pStyle w:val="Heading3"/>
      </w:pPr>
      <w:bookmarkStart w:id="153" w:name="_Toc13567420"/>
      <w:r>
        <w:t>2.4.3</w:t>
      </w:r>
      <w:r>
        <w:tab/>
      </w:r>
      <w:r w:rsidR="001E5848">
        <w:t xml:space="preserve">Workforce Connect </w:t>
      </w:r>
      <w:r w:rsidR="006F601D">
        <w:t>(Optional)</w:t>
      </w:r>
      <w:bookmarkEnd w:id="153"/>
    </w:p>
    <w:p w14:paraId="6B14C5E0" w14:textId="68AB266B" w:rsidR="005F2213" w:rsidRPr="0045479C" w:rsidRDefault="006F601D" w:rsidP="005F2213">
      <w:pPr>
        <w:rPr>
          <w:lang w:eastAsia="en-AU"/>
        </w:rPr>
      </w:pPr>
      <w:r>
        <w:rPr>
          <w:lang w:eastAsia="en-AU"/>
        </w:rPr>
        <w:t>Offerors</w:t>
      </w:r>
      <w:r w:rsidR="005F2213">
        <w:rPr>
          <w:lang w:eastAsia="en-AU"/>
        </w:rPr>
        <w:t xml:space="preserve"> may</w:t>
      </w:r>
      <w:r>
        <w:rPr>
          <w:lang w:eastAsia="en-AU"/>
        </w:rPr>
        <w:t xml:space="preserve">, if desired, provide estimated milestone dates for </w:t>
      </w:r>
      <w:r w:rsidR="00D91CA4">
        <w:rPr>
          <w:lang w:eastAsia="en-AU"/>
        </w:rPr>
        <w:t xml:space="preserve">the </w:t>
      </w:r>
      <w:r>
        <w:rPr>
          <w:lang w:eastAsia="en-AU"/>
        </w:rPr>
        <w:t>Optional Deliverable in the table below</w:t>
      </w:r>
      <w:r w:rsidR="005F2213">
        <w:rPr>
          <w:lang w:eastAsia="en-AU"/>
        </w:rPr>
        <w:t xml:space="preserve">. </w:t>
      </w:r>
    </w:p>
    <w:tbl>
      <w:tblPr>
        <w:tblStyle w:val="TableGrid"/>
        <w:tblW w:w="0" w:type="auto"/>
        <w:tblInd w:w="108" w:type="dxa"/>
        <w:tblLook w:val="04A0" w:firstRow="1" w:lastRow="0" w:firstColumn="1" w:lastColumn="0" w:noHBand="0" w:noVBand="1"/>
        <w:tblCaption w:val="Deliverable Schedule table"/>
        <w:tblDescription w:val="Pricing for required Deliverables table"/>
      </w:tblPr>
      <w:tblGrid>
        <w:gridCol w:w="1743"/>
        <w:gridCol w:w="6658"/>
        <w:gridCol w:w="2281"/>
      </w:tblGrid>
      <w:tr w:rsidR="006F601D" w:rsidRPr="00873442" w14:paraId="1637D2BF" w14:textId="77777777" w:rsidTr="00EA11FD">
        <w:trPr>
          <w:cantSplit/>
          <w:tblHeader/>
        </w:trPr>
        <w:tc>
          <w:tcPr>
            <w:tcW w:w="1743" w:type="dxa"/>
            <w:shd w:val="clear" w:color="auto" w:fill="DEEAF6" w:themeFill="accent1" w:themeFillTint="33"/>
            <w:vAlign w:val="center"/>
          </w:tcPr>
          <w:p w14:paraId="16F813BF" w14:textId="77777777" w:rsidR="006F601D" w:rsidRPr="00804B2D" w:rsidRDefault="006F601D" w:rsidP="006F601D">
            <w:pPr>
              <w:spacing w:after="0"/>
              <w:ind w:left="0"/>
              <w:jc w:val="center"/>
              <w:rPr>
                <w:rFonts w:cs="Arial"/>
                <w:b/>
                <w:color w:val="1F3864" w:themeColor="accent5" w:themeShade="80"/>
              </w:rPr>
            </w:pPr>
            <w:r w:rsidRPr="00804B2D">
              <w:rPr>
                <w:rFonts w:cs="Arial"/>
                <w:b/>
                <w:color w:val="1F3864" w:themeColor="accent5" w:themeShade="80"/>
              </w:rPr>
              <w:t>Deliverable Number</w:t>
            </w:r>
          </w:p>
        </w:tc>
        <w:tc>
          <w:tcPr>
            <w:tcW w:w="6658" w:type="dxa"/>
            <w:shd w:val="clear" w:color="auto" w:fill="DEEAF6" w:themeFill="accent1" w:themeFillTint="33"/>
            <w:vAlign w:val="center"/>
          </w:tcPr>
          <w:p w14:paraId="461A331E" w14:textId="77777777" w:rsidR="006F601D" w:rsidRDefault="006F601D" w:rsidP="006F601D">
            <w:pPr>
              <w:spacing w:after="0"/>
              <w:ind w:left="0"/>
              <w:jc w:val="center"/>
              <w:rPr>
                <w:rFonts w:cs="Arial"/>
                <w:b/>
                <w:color w:val="1F3864" w:themeColor="accent5" w:themeShade="80"/>
              </w:rPr>
            </w:pPr>
            <w:r>
              <w:rPr>
                <w:rFonts w:cs="Arial"/>
                <w:b/>
                <w:color w:val="1F3864" w:themeColor="accent5" w:themeShade="80"/>
              </w:rPr>
              <w:t>Deliverable</w:t>
            </w:r>
          </w:p>
          <w:p w14:paraId="7627F098" w14:textId="77777777" w:rsidR="006F601D" w:rsidRPr="00804B2D" w:rsidRDefault="006F601D" w:rsidP="006F601D">
            <w:pPr>
              <w:spacing w:after="0"/>
              <w:ind w:left="0"/>
              <w:jc w:val="center"/>
              <w:rPr>
                <w:rFonts w:cs="Arial"/>
                <w:b/>
                <w:color w:val="1F3864" w:themeColor="accent5" w:themeShade="80"/>
              </w:rPr>
            </w:pPr>
            <w:r w:rsidRPr="00804B2D">
              <w:rPr>
                <w:rFonts w:cs="Arial"/>
                <w:b/>
                <w:color w:val="1F3864" w:themeColor="accent5" w:themeShade="80"/>
              </w:rPr>
              <w:t>Name</w:t>
            </w:r>
          </w:p>
        </w:tc>
        <w:tc>
          <w:tcPr>
            <w:tcW w:w="2281" w:type="dxa"/>
            <w:shd w:val="clear" w:color="auto" w:fill="DEEAF6" w:themeFill="accent1" w:themeFillTint="33"/>
            <w:vAlign w:val="center"/>
          </w:tcPr>
          <w:p w14:paraId="7545EA3B" w14:textId="55614359" w:rsidR="006F601D" w:rsidRPr="00804B2D" w:rsidRDefault="006F601D" w:rsidP="006F601D">
            <w:pPr>
              <w:spacing w:after="0"/>
              <w:ind w:left="0"/>
              <w:jc w:val="center"/>
              <w:rPr>
                <w:rFonts w:cs="Arial"/>
                <w:b/>
                <w:color w:val="1F3864" w:themeColor="accent5" w:themeShade="80"/>
              </w:rPr>
            </w:pPr>
            <w:r w:rsidRPr="00804B2D">
              <w:rPr>
                <w:rFonts w:cs="Arial"/>
                <w:b/>
                <w:color w:val="1F3864" w:themeColor="accent5" w:themeShade="80"/>
              </w:rPr>
              <w:t>Estimated Completion Date</w:t>
            </w:r>
          </w:p>
        </w:tc>
      </w:tr>
      <w:tr w:rsidR="005F2213" w:rsidRPr="00873442" w14:paraId="2BE23BD8" w14:textId="77777777" w:rsidTr="00EA11FD">
        <w:tc>
          <w:tcPr>
            <w:tcW w:w="1743" w:type="dxa"/>
          </w:tcPr>
          <w:p w14:paraId="769C9FDB" w14:textId="189DB96D" w:rsidR="005F2213" w:rsidRPr="00873442" w:rsidRDefault="005F2213" w:rsidP="00EA11FD">
            <w:pPr>
              <w:ind w:left="0"/>
              <w:rPr>
                <w:highlight w:val="yellow"/>
              </w:rPr>
            </w:pPr>
            <w:r>
              <w:t>OD</w:t>
            </w:r>
            <w:r w:rsidR="001E5848">
              <w:t>2</w:t>
            </w:r>
          </w:p>
        </w:tc>
        <w:tc>
          <w:tcPr>
            <w:tcW w:w="6658" w:type="dxa"/>
          </w:tcPr>
          <w:p w14:paraId="71AD96C8" w14:textId="71DB1E6F" w:rsidR="005F2213" w:rsidRPr="00873442" w:rsidRDefault="001E5848" w:rsidP="00EA11FD">
            <w:pPr>
              <w:ind w:left="0"/>
              <w:rPr>
                <w:highlight w:val="yellow"/>
              </w:rPr>
            </w:pPr>
            <w:r>
              <w:t xml:space="preserve">Workforce Connect </w:t>
            </w:r>
            <w:r w:rsidR="005F2213">
              <w:t>(Optional)</w:t>
            </w:r>
          </w:p>
        </w:tc>
        <w:tc>
          <w:tcPr>
            <w:tcW w:w="2281" w:type="dxa"/>
          </w:tcPr>
          <w:p w14:paraId="2B7E6B2C" w14:textId="77777777" w:rsidR="005F2213" w:rsidRPr="00873442" w:rsidRDefault="005F2213" w:rsidP="00EA11FD">
            <w:pPr>
              <w:ind w:left="0"/>
              <w:rPr>
                <w:highlight w:val="yellow"/>
              </w:rPr>
            </w:pPr>
          </w:p>
        </w:tc>
      </w:tr>
      <w:tr w:rsidR="005F2213" w:rsidRPr="00873442" w14:paraId="0E91A0A5" w14:textId="77777777" w:rsidTr="00EA11FD">
        <w:tc>
          <w:tcPr>
            <w:tcW w:w="1743" w:type="dxa"/>
          </w:tcPr>
          <w:p w14:paraId="211EA48A" w14:textId="6C7FFDD9" w:rsidR="005F2213" w:rsidRPr="00873442" w:rsidRDefault="005F2213" w:rsidP="00EA11FD">
            <w:pPr>
              <w:ind w:left="0"/>
              <w:rPr>
                <w:highlight w:val="yellow"/>
              </w:rPr>
            </w:pPr>
            <w:r>
              <w:t xml:space="preserve">   </w:t>
            </w:r>
            <w:r w:rsidR="001E5848">
              <w:t>OD2A</w:t>
            </w:r>
          </w:p>
        </w:tc>
        <w:tc>
          <w:tcPr>
            <w:tcW w:w="6658" w:type="dxa"/>
          </w:tcPr>
          <w:p w14:paraId="2F9AF828" w14:textId="275B222C" w:rsidR="005F2213" w:rsidRPr="00364874" w:rsidRDefault="001E5848" w:rsidP="00EA11FD">
            <w:pPr>
              <w:ind w:left="256"/>
            </w:pPr>
            <w:r>
              <w:t>Implement</w:t>
            </w:r>
            <w:r w:rsidRPr="00BE594A">
              <w:t xml:space="preserve"> </w:t>
            </w:r>
            <w:r>
              <w:t>all available Workforce Connect modules</w:t>
            </w:r>
            <w:r w:rsidR="00803847">
              <w:t xml:space="preserve"> </w:t>
            </w:r>
            <w:r w:rsidR="005F2213">
              <w:t>(Optional)</w:t>
            </w:r>
          </w:p>
        </w:tc>
        <w:tc>
          <w:tcPr>
            <w:tcW w:w="2281" w:type="dxa"/>
          </w:tcPr>
          <w:p w14:paraId="672EEEF2" w14:textId="77777777" w:rsidR="005F2213" w:rsidRPr="00873442" w:rsidRDefault="005F2213" w:rsidP="00EA11FD">
            <w:pPr>
              <w:ind w:left="0"/>
              <w:rPr>
                <w:highlight w:val="yellow"/>
              </w:rPr>
            </w:pPr>
          </w:p>
        </w:tc>
      </w:tr>
    </w:tbl>
    <w:p w14:paraId="32850BF1" w14:textId="77777777" w:rsidR="005F2213" w:rsidRDefault="005F2213" w:rsidP="00BE07F2">
      <w:pPr>
        <w:ind w:left="0"/>
      </w:pPr>
    </w:p>
    <w:p w14:paraId="3A684301" w14:textId="36D8CEA0" w:rsidR="00CC581A" w:rsidRDefault="00CC581A" w:rsidP="00CC581A">
      <w:pPr>
        <w:pStyle w:val="Heading2"/>
      </w:pPr>
      <w:bookmarkStart w:id="154" w:name="_2.5_Overall_Project"/>
      <w:bookmarkStart w:id="155" w:name="_Toc13567421"/>
      <w:bookmarkStart w:id="156" w:name="_Hlk9932333"/>
      <w:bookmarkEnd w:id="154"/>
      <w:r>
        <w:t>2.</w:t>
      </w:r>
      <w:r w:rsidR="005970BB">
        <w:t>5</w:t>
      </w:r>
      <w:r>
        <w:tab/>
        <w:t>Overall Project Approach</w:t>
      </w:r>
      <w:bookmarkEnd w:id="155"/>
    </w:p>
    <w:p w14:paraId="17C2C793" w14:textId="77777777" w:rsidR="005D7896" w:rsidRPr="00E21848" w:rsidRDefault="005D7896" w:rsidP="005D7896">
      <w:r w:rsidRPr="00E21848">
        <w:t>The Offeror must describe the overall process (i.e., used throughout the Project or for more than one (1) deliverable) proposed to satisfy th</w:t>
      </w:r>
      <w:r>
        <w:t>e Project goals and objectives.</w:t>
      </w:r>
    </w:p>
    <w:p w14:paraId="0CBFCA8D" w14:textId="4355BD32" w:rsidR="000E77A6" w:rsidRDefault="005D7896" w:rsidP="005D7896">
      <w:r w:rsidRPr="00E21848">
        <w:t>Do not repeat deliverable-specific approaches or project management practices described in other sections.</w:t>
      </w:r>
    </w:p>
    <w:p w14:paraId="1A5C2E39" w14:textId="56FF4842" w:rsidR="000E77A6" w:rsidRDefault="009C0D10" w:rsidP="00CC581A">
      <w:pPr>
        <w:pStyle w:val="Heading2"/>
      </w:pPr>
      <w:bookmarkStart w:id="157" w:name="_Toc13567422"/>
      <w:bookmarkStart w:id="158" w:name="_Hlk4074818"/>
      <w:bookmarkEnd w:id="156"/>
      <w:r>
        <w:t>2.</w:t>
      </w:r>
      <w:r w:rsidR="005970BB">
        <w:t>6</w:t>
      </w:r>
      <w:r w:rsidR="00132797">
        <w:tab/>
      </w:r>
      <w:r w:rsidR="00CC581A">
        <w:t>Project Assumptions</w:t>
      </w:r>
      <w:bookmarkEnd w:id="157"/>
    </w:p>
    <w:p w14:paraId="0F87FCB8" w14:textId="77777777" w:rsidR="009C168E" w:rsidRDefault="009C168E" w:rsidP="009C168E">
      <w:r w:rsidRPr="00E21848">
        <w:t xml:space="preserve">The Offeror must describe </w:t>
      </w:r>
      <w:r>
        <w:t>any business, economic, legal, programmatic, or practical assumptions that underlie the Offeror’s response to this RFO. The example assumption provided in the table below is for illustrative purposes only and should not be included in Offeror’s response. TWC reserves the right to accept or reject any assumptions. Offeror may add more rows as needed.</w:t>
      </w:r>
    </w:p>
    <w:p w14:paraId="5D6610BB" w14:textId="1B98677C" w:rsidR="000E77A6" w:rsidRDefault="00FE6B3A" w:rsidP="00FE6B3A">
      <w:pPr>
        <w:rPr>
          <w:b/>
        </w:rPr>
      </w:pPr>
      <w:r w:rsidRPr="00364874">
        <w:rPr>
          <w:b/>
        </w:rPr>
        <w:t>All assumptions not expressly identified and incorporated into the contract resulting from this RFO will be deemed rejected by TWC.</w:t>
      </w:r>
    </w:p>
    <w:p w14:paraId="40C6BC84" w14:textId="77777777" w:rsidR="00FE6B3A" w:rsidRPr="00FE6B3A" w:rsidRDefault="00FE6B3A" w:rsidP="00FE6B3A"/>
    <w:tbl>
      <w:tblPr>
        <w:tblStyle w:val="TableGrid"/>
        <w:tblW w:w="0" w:type="auto"/>
        <w:tblInd w:w="648" w:type="dxa"/>
        <w:tblLook w:val="04A0" w:firstRow="1" w:lastRow="0" w:firstColumn="1" w:lastColumn="0" w:noHBand="0" w:noVBand="1"/>
        <w:tblCaption w:val="Deliverable Schedule table"/>
        <w:tblDescription w:val="Project assumptions table"/>
      </w:tblPr>
      <w:tblGrid>
        <w:gridCol w:w="1246"/>
        <w:gridCol w:w="1893"/>
        <w:gridCol w:w="4578"/>
        <w:gridCol w:w="2425"/>
      </w:tblGrid>
      <w:tr w:rsidR="00FE6B3A" w:rsidRPr="00873442" w14:paraId="08CFD217" w14:textId="77777777" w:rsidTr="00E329D9">
        <w:trPr>
          <w:cantSplit/>
          <w:tblHeader/>
        </w:trPr>
        <w:tc>
          <w:tcPr>
            <w:tcW w:w="1246" w:type="dxa"/>
            <w:shd w:val="clear" w:color="auto" w:fill="DEEAF6" w:themeFill="accent1" w:themeFillTint="33"/>
            <w:vAlign w:val="bottom"/>
          </w:tcPr>
          <w:p w14:paraId="25A45A84" w14:textId="77777777" w:rsidR="00FE6B3A" w:rsidRPr="00FE6B3A" w:rsidRDefault="00FE6B3A" w:rsidP="00FE6B3A">
            <w:pPr>
              <w:spacing w:after="0"/>
              <w:ind w:left="0"/>
              <w:jc w:val="center"/>
              <w:rPr>
                <w:rFonts w:cs="Arial"/>
                <w:b/>
                <w:color w:val="1F3864" w:themeColor="accent5" w:themeShade="80"/>
              </w:rPr>
            </w:pPr>
            <w:r w:rsidRPr="00FE6B3A">
              <w:rPr>
                <w:rFonts w:cs="Arial"/>
                <w:b/>
                <w:color w:val="1F3864" w:themeColor="accent5" w:themeShade="80"/>
              </w:rPr>
              <w:lastRenderedPageBreak/>
              <w:t>Item #</w:t>
            </w:r>
          </w:p>
        </w:tc>
        <w:tc>
          <w:tcPr>
            <w:tcW w:w="1893" w:type="dxa"/>
            <w:shd w:val="clear" w:color="auto" w:fill="DEEAF6" w:themeFill="accent1" w:themeFillTint="33"/>
            <w:vAlign w:val="bottom"/>
          </w:tcPr>
          <w:p w14:paraId="2D314C3A" w14:textId="77777777" w:rsidR="00FE6B3A" w:rsidRPr="00FE6B3A" w:rsidRDefault="00FE6B3A" w:rsidP="00FE6B3A">
            <w:pPr>
              <w:spacing w:after="0"/>
              <w:ind w:left="0"/>
              <w:jc w:val="center"/>
              <w:rPr>
                <w:rFonts w:cs="Arial"/>
                <w:b/>
                <w:color w:val="1F3864" w:themeColor="accent5" w:themeShade="80"/>
              </w:rPr>
            </w:pPr>
            <w:r w:rsidRPr="00FE6B3A">
              <w:rPr>
                <w:rFonts w:cs="Arial"/>
                <w:b/>
                <w:color w:val="1F3864" w:themeColor="accent5" w:themeShade="80"/>
              </w:rPr>
              <w:t>Reference</w:t>
            </w:r>
            <w:r w:rsidRPr="00FE6B3A">
              <w:rPr>
                <w:rFonts w:cs="Arial"/>
                <w:b/>
                <w:color w:val="1F3864" w:themeColor="accent5" w:themeShade="80"/>
              </w:rPr>
              <w:br/>
              <w:t>(Section, Page, Paragraph)</w:t>
            </w:r>
          </w:p>
        </w:tc>
        <w:tc>
          <w:tcPr>
            <w:tcW w:w="4578" w:type="dxa"/>
            <w:shd w:val="clear" w:color="auto" w:fill="DEEAF6" w:themeFill="accent1" w:themeFillTint="33"/>
            <w:vAlign w:val="bottom"/>
          </w:tcPr>
          <w:p w14:paraId="5746117B" w14:textId="77777777" w:rsidR="00FE6B3A" w:rsidRPr="00FE6B3A" w:rsidRDefault="00FE6B3A" w:rsidP="00FE6B3A">
            <w:pPr>
              <w:spacing w:after="0"/>
              <w:ind w:left="0"/>
              <w:jc w:val="center"/>
              <w:rPr>
                <w:rFonts w:cs="Arial"/>
                <w:b/>
                <w:color w:val="1F3864" w:themeColor="accent5" w:themeShade="80"/>
              </w:rPr>
            </w:pPr>
            <w:r w:rsidRPr="00FE6B3A">
              <w:rPr>
                <w:rFonts w:cs="Arial"/>
                <w:b/>
                <w:color w:val="1F3864" w:themeColor="accent5" w:themeShade="80"/>
              </w:rPr>
              <w:t>Description</w:t>
            </w:r>
          </w:p>
        </w:tc>
        <w:tc>
          <w:tcPr>
            <w:tcW w:w="2425" w:type="dxa"/>
            <w:shd w:val="clear" w:color="auto" w:fill="DEEAF6" w:themeFill="accent1" w:themeFillTint="33"/>
            <w:vAlign w:val="bottom"/>
          </w:tcPr>
          <w:p w14:paraId="36196F4E" w14:textId="77777777" w:rsidR="00FE6B3A" w:rsidRPr="00FE6B3A" w:rsidRDefault="00FE6B3A" w:rsidP="00FE6B3A">
            <w:pPr>
              <w:spacing w:after="0"/>
              <w:ind w:left="0"/>
              <w:jc w:val="center"/>
              <w:rPr>
                <w:rFonts w:cs="Arial"/>
                <w:b/>
                <w:color w:val="1F3864" w:themeColor="accent5" w:themeShade="80"/>
              </w:rPr>
            </w:pPr>
            <w:r w:rsidRPr="00FE6B3A">
              <w:rPr>
                <w:rFonts w:cs="Arial"/>
                <w:b/>
                <w:color w:val="1F3864" w:themeColor="accent5" w:themeShade="80"/>
              </w:rPr>
              <w:t>Rationale</w:t>
            </w:r>
          </w:p>
        </w:tc>
      </w:tr>
      <w:tr w:rsidR="00FE6B3A" w:rsidRPr="00873442" w14:paraId="12B01584" w14:textId="77777777" w:rsidTr="00E329D9">
        <w:trPr>
          <w:cantSplit/>
        </w:trPr>
        <w:tc>
          <w:tcPr>
            <w:tcW w:w="1246" w:type="dxa"/>
          </w:tcPr>
          <w:p w14:paraId="27BB6C29" w14:textId="77777777" w:rsidR="00FE6B3A" w:rsidRPr="006252D8" w:rsidRDefault="00FE6B3A" w:rsidP="00FE6B3A">
            <w:pPr>
              <w:ind w:left="0"/>
              <w:jc w:val="center"/>
            </w:pPr>
            <w:r>
              <w:t>Example</w:t>
            </w:r>
          </w:p>
        </w:tc>
        <w:tc>
          <w:tcPr>
            <w:tcW w:w="1893" w:type="dxa"/>
          </w:tcPr>
          <w:p w14:paraId="5C313663" w14:textId="261E8F06" w:rsidR="00FE6B3A" w:rsidRPr="006252D8" w:rsidRDefault="003479F7" w:rsidP="00FE6B3A">
            <w:pPr>
              <w:ind w:left="0"/>
            </w:pPr>
            <w:r>
              <w:t>2.2.1</w:t>
            </w:r>
            <w:r w:rsidR="00861808">
              <w:t>3</w:t>
            </w:r>
          </w:p>
        </w:tc>
        <w:tc>
          <w:tcPr>
            <w:tcW w:w="4578" w:type="dxa"/>
          </w:tcPr>
          <w:p w14:paraId="67005778" w14:textId="77777777" w:rsidR="00FE6B3A" w:rsidRPr="006252D8" w:rsidRDefault="00FE6B3A" w:rsidP="00FE6B3A">
            <w:pPr>
              <w:ind w:left="0"/>
            </w:pPr>
            <w:r>
              <w:t>Offeror assumes that implementation will not require site-specific implementation plans.</w:t>
            </w:r>
          </w:p>
        </w:tc>
        <w:tc>
          <w:tcPr>
            <w:tcW w:w="2425" w:type="dxa"/>
          </w:tcPr>
          <w:p w14:paraId="132878D4" w14:textId="77777777" w:rsidR="00FE6B3A" w:rsidRPr="006252D8" w:rsidRDefault="00FE6B3A" w:rsidP="00FE6B3A">
            <w:pPr>
              <w:ind w:left="0"/>
            </w:pPr>
            <w:r>
              <w:t>The solution is completely browser based.</w:t>
            </w:r>
          </w:p>
        </w:tc>
      </w:tr>
      <w:tr w:rsidR="00FE6B3A" w:rsidRPr="00873442" w14:paraId="1CDF4463" w14:textId="77777777" w:rsidTr="00E329D9">
        <w:trPr>
          <w:cantSplit/>
        </w:trPr>
        <w:tc>
          <w:tcPr>
            <w:tcW w:w="1246" w:type="dxa"/>
          </w:tcPr>
          <w:p w14:paraId="08361AC9" w14:textId="77777777" w:rsidR="00FE6B3A" w:rsidRPr="006252D8" w:rsidRDefault="00FE6B3A" w:rsidP="00FE6B3A">
            <w:pPr>
              <w:ind w:left="0"/>
              <w:jc w:val="center"/>
            </w:pPr>
            <w:r>
              <w:t>1</w:t>
            </w:r>
          </w:p>
        </w:tc>
        <w:tc>
          <w:tcPr>
            <w:tcW w:w="1893" w:type="dxa"/>
          </w:tcPr>
          <w:p w14:paraId="1EAE3C7B" w14:textId="77777777" w:rsidR="00FE6B3A" w:rsidRPr="006252D8" w:rsidRDefault="00FE6B3A" w:rsidP="00FC3E47"/>
        </w:tc>
        <w:tc>
          <w:tcPr>
            <w:tcW w:w="4578" w:type="dxa"/>
          </w:tcPr>
          <w:p w14:paraId="1D52FBA6" w14:textId="77777777" w:rsidR="00FE6B3A" w:rsidRPr="006252D8" w:rsidRDefault="00FE6B3A" w:rsidP="00FC3E47"/>
        </w:tc>
        <w:tc>
          <w:tcPr>
            <w:tcW w:w="2425" w:type="dxa"/>
          </w:tcPr>
          <w:p w14:paraId="138CD54A" w14:textId="77777777" w:rsidR="00FE6B3A" w:rsidRPr="006252D8" w:rsidRDefault="00FE6B3A" w:rsidP="00FC3E47">
            <w:pPr>
              <w:jc w:val="center"/>
            </w:pPr>
          </w:p>
        </w:tc>
      </w:tr>
      <w:tr w:rsidR="00FE6B3A" w:rsidRPr="00873442" w14:paraId="45C1F3ED" w14:textId="77777777" w:rsidTr="00E329D9">
        <w:trPr>
          <w:cantSplit/>
        </w:trPr>
        <w:tc>
          <w:tcPr>
            <w:tcW w:w="1246" w:type="dxa"/>
          </w:tcPr>
          <w:p w14:paraId="3C4F4EE6" w14:textId="77777777" w:rsidR="00FE6B3A" w:rsidRPr="006252D8" w:rsidRDefault="00FE6B3A" w:rsidP="00FE6B3A">
            <w:pPr>
              <w:ind w:left="0"/>
              <w:jc w:val="center"/>
            </w:pPr>
            <w:r>
              <w:t>2</w:t>
            </w:r>
          </w:p>
        </w:tc>
        <w:tc>
          <w:tcPr>
            <w:tcW w:w="1893" w:type="dxa"/>
          </w:tcPr>
          <w:p w14:paraId="4992AB97" w14:textId="77777777" w:rsidR="00FE6B3A" w:rsidRPr="006252D8" w:rsidRDefault="00FE6B3A" w:rsidP="00FC3E47"/>
        </w:tc>
        <w:tc>
          <w:tcPr>
            <w:tcW w:w="4578" w:type="dxa"/>
          </w:tcPr>
          <w:p w14:paraId="1ACD9820" w14:textId="77777777" w:rsidR="00FE6B3A" w:rsidRPr="006252D8" w:rsidRDefault="00FE6B3A" w:rsidP="00FC3E47"/>
        </w:tc>
        <w:tc>
          <w:tcPr>
            <w:tcW w:w="2425" w:type="dxa"/>
          </w:tcPr>
          <w:p w14:paraId="5C51B60D" w14:textId="77777777" w:rsidR="00FE6B3A" w:rsidRPr="006252D8" w:rsidRDefault="00FE6B3A" w:rsidP="00FC3E47">
            <w:pPr>
              <w:jc w:val="center"/>
            </w:pPr>
          </w:p>
        </w:tc>
      </w:tr>
      <w:tr w:rsidR="00FE6B3A" w:rsidRPr="00873442" w14:paraId="31F5677E" w14:textId="77777777" w:rsidTr="00E329D9">
        <w:trPr>
          <w:cantSplit/>
        </w:trPr>
        <w:tc>
          <w:tcPr>
            <w:tcW w:w="1246" w:type="dxa"/>
          </w:tcPr>
          <w:p w14:paraId="3CB7B7D2" w14:textId="77777777" w:rsidR="00FE6B3A" w:rsidRPr="006252D8" w:rsidRDefault="00FE6B3A" w:rsidP="00FE6B3A">
            <w:pPr>
              <w:ind w:left="0"/>
              <w:jc w:val="center"/>
            </w:pPr>
            <w:r w:rsidRPr="006252D8">
              <w:t>3</w:t>
            </w:r>
          </w:p>
        </w:tc>
        <w:tc>
          <w:tcPr>
            <w:tcW w:w="1893" w:type="dxa"/>
          </w:tcPr>
          <w:p w14:paraId="6F13BC44" w14:textId="77777777" w:rsidR="00FE6B3A" w:rsidRPr="006252D8" w:rsidRDefault="00FE6B3A" w:rsidP="00FC3E47"/>
        </w:tc>
        <w:tc>
          <w:tcPr>
            <w:tcW w:w="4578" w:type="dxa"/>
          </w:tcPr>
          <w:p w14:paraId="632A79C2" w14:textId="77777777" w:rsidR="00FE6B3A" w:rsidRPr="006252D8" w:rsidRDefault="00FE6B3A" w:rsidP="00FC3E47"/>
        </w:tc>
        <w:tc>
          <w:tcPr>
            <w:tcW w:w="2425" w:type="dxa"/>
          </w:tcPr>
          <w:p w14:paraId="6F8DE775" w14:textId="77777777" w:rsidR="00FE6B3A" w:rsidRPr="006252D8" w:rsidRDefault="00FE6B3A" w:rsidP="00FC3E47">
            <w:pPr>
              <w:jc w:val="center"/>
            </w:pPr>
          </w:p>
        </w:tc>
      </w:tr>
    </w:tbl>
    <w:p w14:paraId="03F8C1DA" w14:textId="771016B6" w:rsidR="000E77A6" w:rsidRDefault="000E77A6" w:rsidP="00E57851"/>
    <w:p w14:paraId="3F444166" w14:textId="3FBF618B" w:rsidR="00C9466F" w:rsidRDefault="00C9466F" w:rsidP="00C9466F">
      <w:pPr>
        <w:pStyle w:val="Heading1"/>
      </w:pPr>
      <w:bookmarkStart w:id="159" w:name="_Toc13567423"/>
      <w:bookmarkEnd w:id="158"/>
      <w:r>
        <w:lastRenderedPageBreak/>
        <w:t>Project Processes</w:t>
      </w:r>
      <w:bookmarkEnd w:id="159"/>
    </w:p>
    <w:p w14:paraId="2C0DEA23" w14:textId="66BF5ED1" w:rsidR="00C9466F" w:rsidRDefault="00C9466F" w:rsidP="00C9466F">
      <w:pPr>
        <w:pStyle w:val="Heading2"/>
      </w:pPr>
      <w:bookmarkStart w:id="160" w:name="_Toc13567424"/>
      <w:r>
        <w:t>3.1</w:t>
      </w:r>
      <w:r>
        <w:tab/>
        <w:t>Roles and Responsibilities</w:t>
      </w:r>
      <w:bookmarkEnd w:id="160"/>
    </w:p>
    <w:p w14:paraId="76157263" w14:textId="0A3FA598" w:rsidR="006334B8" w:rsidRPr="00E21848" w:rsidRDefault="006334B8" w:rsidP="006334B8">
      <w:r w:rsidRPr="00E21848">
        <w:t xml:space="preserve">The </w:t>
      </w:r>
      <w:r>
        <w:t xml:space="preserve">Awarded Vendor </w:t>
      </w:r>
      <w:r w:rsidRPr="00E21848">
        <w:t>is responsible for all deliverables.</w:t>
      </w:r>
      <w:r>
        <w:t xml:space="preserve"> </w:t>
      </w:r>
      <w:r w:rsidRPr="00E21848">
        <w:t xml:space="preserve">TWC staffing is provided only for </w:t>
      </w:r>
      <w:r>
        <w:t xml:space="preserve">assisting with </w:t>
      </w:r>
      <w:r w:rsidRPr="00E21848">
        <w:t xml:space="preserve">requirements, subject matter expertise, collaboration, review, support, execution of </w:t>
      </w:r>
      <w:r>
        <w:t>UAT</w:t>
      </w:r>
      <w:r w:rsidRPr="00E21848">
        <w:t xml:space="preserve">, </w:t>
      </w:r>
      <w:r>
        <w:t xml:space="preserve">data unload, data transfer </w:t>
      </w:r>
      <w:r w:rsidRPr="00E21848">
        <w:t xml:space="preserve">and knowledge transfer purposes, unless otherwise agreed to in the </w:t>
      </w:r>
      <w:r w:rsidR="004C4CB2">
        <w:t>Best and Final Offer (BAFO)</w:t>
      </w:r>
      <w:r w:rsidR="00211554">
        <w:t xml:space="preserve"> or later during the project implementation through a contract amendment</w:t>
      </w:r>
      <w:r w:rsidRPr="00E21848">
        <w:t>.</w:t>
      </w:r>
    </w:p>
    <w:p w14:paraId="78631F79" w14:textId="77777777" w:rsidR="00A262BC" w:rsidRPr="00E21848" w:rsidRDefault="00A262BC" w:rsidP="00A262BC">
      <w:r w:rsidRPr="00E21848">
        <w:t>TWC is providing a</w:t>
      </w:r>
      <w:r>
        <w:t>n</w:t>
      </w:r>
      <w:r w:rsidRPr="00E21848">
        <w:t xml:space="preserve"> </w:t>
      </w:r>
      <w:r>
        <w:t>IT</w:t>
      </w:r>
      <w:r w:rsidRPr="00E21848">
        <w:t xml:space="preserve"> Project Manager</w:t>
      </w:r>
      <w:r>
        <w:t>,</w:t>
      </w:r>
      <w:r w:rsidRPr="00E21848">
        <w:t xml:space="preserve"> a Program Manager</w:t>
      </w:r>
      <w:r>
        <w:t xml:space="preserve">, and an IT </w:t>
      </w:r>
      <w:r w:rsidRPr="00294CE4">
        <w:t>Contract Manager</w:t>
      </w:r>
      <w:r w:rsidRPr="00E21848">
        <w:t xml:space="preserve"> who will work as a team with the </w:t>
      </w:r>
      <w:r>
        <w:t xml:space="preserve">Awarded Vendor </w:t>
      </w:r>
      <w:r w:rsidRPr="00E21848">
        <w:t xml:space="preserve">Project Manager. </w:t>
      </w:r>
    </w:p>
    <w:p w14:paraId="0DBB4D7C" w14:textId="77777777" w:rsidR="00A262BC" w:rsidRDefault="00A262BC" w:rsidP="00A262BC">
      <w:r w:rsidRPr="00910613">
        <w:t xml:space="preserve">The TWC IT Project Manager oversees </w:t>
      </w:r>
      <w:r w:rsidRPr="00E21848">
        <w:t xml:space="preserve">the </w:t>
      </w:r>
      <w:r>
        <w:t xml:space="preserve">Awarded Vendor </w:t>
      </w:r>
      <w:r w:rsidRPr="00E21848">
        <w:t xml:space="preserve">Project Manager for overall coordination on Project monitoring, status reporting, issue resolution, and </w:t>
      </w:r>
      <w:r>
        <w:t>implementation</w:t>
      </w:r>
      <w:r w:rsidRPr="00E21848">
        <w:t>.</w:t>
      </w:r>
      <w:r>
        <w:t xml:space="preserve"> </w:t>
      </w:r>
      <w:r w:rsidRPr="00E21848">
        <w:t xml:space="preserve">The TWC </w:t>
      </w:r>
      <w:r>
        <w:t xml:space="preserve">IT </w:t>
      </w:r>
      <w:r w:rsidRPr="00E21848">
        <w:t xml:space="preserve">Project Manager manages or oversees all aspects of the Project lifecycle, including budget tracking, invoice processing, </w:t>
      </w:r>
      <w:r>
        <w:t>p</w:t>
      </w:r>
      <w:r w:rsidRPr="00E21848">
        <w:t>roject planning and tracking, issue resolution, risk management, and change management.</w:t>
      </w:r>
      <w:r>
        <w:t xml:space="preserve"> </w:t>
      </w:r>
    </w:p>
    <w:p w14:paraId="65985082" w14:textId="77777777" w:rsidR="00A262BC" w:rsidRDefault="00A262BC" w:rsidP="00A262BC">
      <w:r w:rsidRPr="00E21848">
        <w:t xml:space="preserve">The </w:t>
      </w:r>
      <w:r>
        <w:t xml:space="preserve">TWC </w:t>
      </w:r>
      <w:r w:rsidRPr="00E21848">
        <w:t xml:space="preserve">Program Manager represents the program/business areas, ensures proper customer and program input into design, and </w:t>
      </w:r>
      <w:r w:rsidRPr="00294CE4">
        <w:t xml:space="preserve">facilitates adequate staffing from the business </w:t>
      </w:r>
      <w:r>
        <w:t xml:space="preserve">and IT </w:t>
      </w:r>
      <w:r w:rsidRPr="00294CE4">
        <w:t>area</w:t>
      </w:r>
      <w:r>
        <w:t>s</w:t>
      </w:r>
      <w:r w:rsidRPr="00294CE4">
        <w:t xml:space="preserve">. </w:t>
      </w:r>
    </w:p>
    <w:p w14:paraId="2ABCA738" w14:textId="756780A1" w:rsidR="00A262BC" w:rsidRDefault="00A262BC" w:rsidP="00E96023">
      <w:r w:rsidRPr="00294CE4">
        <w:t>The TWC IT Contract Manager</w:t>
      </w:r>
      <w:r>
        <w:t xml:space="preserve"> </w:t>
      </w:r>
      <w:r w:rsidRPr="00741202">
        <w:t>monitors</w:t>
      </w:r>
      <w:r w:rsidR="00E4478F">
        <w:t xml:space="preserve"> the</w:t>
      </w:r>
      <w:r w:rsidRPr="00741202">
        <w:t xml:space="preserve"> </w:t>
      </w:r>
      <w:r>
        <w:t xml:space="preserve">Awarded Vendor </w:t>
      </w:r>
      <w:r w:rsidRPr="00741202">
        <w:t xml:space="preserve">performance; reviews deliverables to ensure specifications are met; and approves invoice(s) for payment as appropriate. The </w:t>
      </w:r>
      <w:r>
        <w:t xml:space="preserve">IT </w:t>
      </w:r>
      <w:r w:rsidRPr="00741202">
        <w:t>Contract Manager also identifies and resolves contract-related issues and approves all contract changes and amendments with inputs from the Project Steering Committee.</w:t>
      </w:r>
    </w:p>
    <w:p w14:paraId="58DC7162" w14:textId="1CBDF355" w:rsidR="00C9466F" w:rsidRDefault="00A262BC" w:rsidP="00A262BC">
      <w:r w:rsidRPr="00E21848">
        <w:t xml:space="preserve">The </w:t>
      </w:r>
      <w:r>
        <w:t xml:space="preserve">Awarded Vendor </w:t>
      </w:r>
      <w:r w:rsidRPr="00E21848">
        <w:t>Project Manager:</w:t>
      </w:r>
    </w:p>
    <w:p w14:paraId="3E2CD0E8" w14:textId="0983B417" w:rsidR="00A262BC" w:rsidRDefault="00A262BC" w:rsidP="00E16D2D">
      <w:pPr>
        <w:pStyle w:val="LB1"/>
      </w:pPr>
      <w:r w:rsidRPr="0054649A">
        <w:t xml:space="preserve">Provides overall coordination for </w:t>
      </w:r>
      <w:r>
        <w:t xml:space="preserve">Awarded Vendor’s </w:t>
      </w:r>
      <w:r w:rsidRPr="0054649A">
        <w:t>Project planning, tracking and monitoring, status reporting, issue resolution, risk management, and change management</w:t>
      </w:r>
      <w:r>
        <w:t>;</w:t>
      </w:r>
    </w:p>
    <w:p w14:paraId="1CA0827E" w14:textId="5BC23E33" w:rsidR="00A262BC" w:rsidRDefault="00A262BC" w:rsidP="00F82166">
      <w:pPr>
        <w:pStyle w:val="LB1"/>
      </w:pPr>
      <w:r w:rsidRPr="0054649A">
        <w:t xml:space="preserve">Manages and staffs </w:t>
      </w:r>
      <w:r w:rsidR="00FA2887">
        <w:t xml:space="preserve">Awarded Vendor </w:t>
      </w:r>
      <w:r w:rsidR="00FA2887" w:rsidRPr="00E21848">
        <w:t>resources</w:t>
      </w:r>
      <w:r w:rsidR="00FA2887" w:rsidRPr="0054649A">
        <w:t xml:space="preserve"> </w:t>
      </w:r>
      <w:r w:rsidR="005A4EE4">
        <w:t xml:space="preserve">during </w:t>
      </w:r>
      <w:r w:rsidRPr="0054649A">
        <w:t xml:space="preserve">all phases of the Project, ensuring all contract requirements are </w:t>
      </w:r>
      <w:r>
        <w:t xml:space="preserve">met, all deliverables </w:t>
      </w:r>
      <w:r w:rsidRPr="0054649A">
        <w:t>delivered within the promised price and timeline</w:t>
      </w:r>
      <w:r>
        <w:t>;</w:t>
      </w:r>
    </w:p>
    <w:p w14:paraId="19026438" w14:textId="61899684" w:rsidR="00A262BC" w:rsidRDefault="00A262BC" w:rsidP="00F82166">
      <w:pPr>
        <w:pStyle w:val="LB1"/>
      </w:pPr>
      <w:r w:rsidRPr="0054649A">
        <w:t xml:space="preserve">Ensures </w:t>
      </w:r>
      <w:r w:rsidRPr="00E21848">
        <w:t>overall quality, accuracy and value of all work products and deliverables</w:t>
      </w:r>
      <w:r>
        <w:t>;</w:t>
      </w:r>
      <w:r w:rsidR="005A4EE4">
        <w:t xml:space="preserve"> </w:t>
      </w:r>
    </w:p>
    <w:p w14:paraId="02D76B7B" w14:textId="63EF3B0A" w:rsidR="00A262BC" w:rsidRDefault="00A262BC">
      <w:pPr>
        <w:pStyle w:val="LB1"/>
      </w:pPr>
      <w:r w:rsidRPr="00E21848">
        <w:t xml:space="preserve">Facilitates adequate staffing from the Awarded </w:t>
      </w:r>
      <w:r>
        <w:t>Vendor;</w:t>
      </w:r>
      <w:r w:rsidR="005A4EE4" w:rsidRPr="005A4EE4">
        <w:t xml:space="preserve"> </w:t>
      </w:r>
      <w:r w:rsidR="005A4EE4">
        <w:t>and</w:t>
      </w:r>
    </w:p>
    <w:p w14:paraId="572BDC9A" w14:textId="4C50E1B5" w:rsidR="00A262BC" w:rsidRDefault="00A262BC">
      <w:pPr>
        <w:pStyle w:val="LB1"/>
      </w:pPr>
      <w:r w:rsidRPr="00E21848">
        <w:t>Ensures the Project deliverables meet all TWC requirements</w:t>
      </w:r>
      <w:r w:rsidR="00E96023">
        <w:t>, quality,</w:t>
      </w:r>
      <w:r w:rsidRPr="00E21848">
        <w:t xml:space="preserve"> and standards</w:t>
      </w:r>
      <w:r w:rsidR="005A4EE4">
        <w:t>.</w:t>
      </w:r>
    </w:p>
    <w:p w14:paraId="1AB25A3D" w14:textId="7BF523F4" w:rsidR="00E96023" w:rsidRDefault="00E96023" w:rsidP="00E96023"/>
    <w:p w14:paraId="06713929" w14:textId="2C551B1D" w:rsidR="00E96023" w:rsidRDefault="00E96023" w:rsidP="00E96023">
      <w:r w:rsidRPr="00E21848">
        <w:rPr>
          <w:lang w:eastAsia="en-AU"/>
        </w:rPr>
        <w:t>TWC will provide technical and business SMEs as required for the execution of the Project.</w:t>
      </w:r>
      <w:r>
        <w:rPr>
          <w:lang w:eastAsia="en-AU"/>
        </w:rPr>
        <w:t xml:space="preserve"> </w:t>
      </w:r>
      <w:r w:rsidRPr="00E21848">
        <w:rPr>
          <w:lang w:eastAsia="en-AU"/>
        </w:rPr>
        <w:t xml:space="preserve">The Offeror must describe their expectations of TWC </w:t>
      </w:r>
      <w:r w:rsidR="009521D7">
        <w:rPr>
          <w:lang w:eastAsia="en-AU"/>
        </w:rPr>
        <w:t xml:space="preserve">Staff </w:t>
      </w:r>
      <w:r w:rsidRPr="00E21848">
        <w:rPr>
          <w:lang w:eastAsia="en-AU"/>
        </w:rPr>
        <w:t xml:space="preserve">participation in </w:t>
      </w:r>
      <w:r w:rsidRPr="00E21848">
        <w:rPr>
          <w:lang w:eastAsia="en-AU"/>
        </w:rPr>
        <w:lastRenderedPageBreak/>
        <w:t>this Project, including types of expertise needed and approximate amount or percentage of time expected.</w:t>
      </w:r>
    </w:p>
    <w:p w14:paraId="5FC182DC" w14:textId="11DFC774" w:rsidR="00C9466F" w:rsidRDefault="00C9466F" w:rsidP="00C9466F">
      <w:pPr>
        <w:pStyle w:val="Heading2"/>
      </w:pPr>
      <w:bookmarkStart w:id="161" w:name="_Toc13567425"/>
      <w:r>
        <w:t>3.2</w:t>
      </w:r>
      <w:r>
        <w:tab/>
        <w:t>Project Management Practices</w:t>
      </w:r>
      <w:bookmarkEnd w:id="161"/>
    </w:p>
    <w:p w14:paraId="14104D84" w14:textId="5E919E0F" w:rsidR="004545B2" w:rsidRDefault="00BC6203" w:rsidP="00BC6203">
      <w:r w:rsidRPr="00E21848">
        <w:t xml:space="preserve">TWC has existing Project Management Practices and templates, including project planning and tracking, </w:t>
      </w:r>
      <w:r w:rsidR="00230AB8">
        <w:t xml:space="preserve">monitor and </w:t>
      </w:r>
      <w:r w:rsidRPr="00E21848">
        <w:t>change control, issue resolution</w:t>
      </w:r>
      <w:r w:rsidR="00230AB8">
        <w:t>,</w:t>
      </w:r>
      <w:r w:rsidRPr="00E21848">
        <w:t xml:space="preserve"> risk management</w:t>
      </w:r>
      <w:r w:rsidR="00230AB8">
        <w:t>, and project closeout</w:t>
      </w:r>
      <w:r w:rsidRPr="00E21848">
        <w:t>.</w:t>
      </w:r>
      <w:r>
        <w:t xml:space="preserve"> </w:t>
      </w:r>
      <w:r w:rsidRPr="00E21848">
        <w:t xml:space="preserve">The Project Team will discuss the Awarded Vendor’s practices and TWC’s practices and mutually agree </w:t>
      </w:r>
      <w:r>
        <w:t>in writing as to</w:t>
      </w:r>
      <w:r w:rsidRPr="00E21848">
        <w:t xml:space="preserve"> which practices apply and what tailoring is required.</w:t>
      </w:r>
      <w:r>
        <w:t xml:space="preserve"> </w:t>
      </w:r>
    </w:p>
    <w:p w14:paraId="75010B0C" w14:textId="75DF2830" w:rsidR="004545B2" w:rsidRDefault="00BC6203" w:rsidP="00BC6203">
      <w:r w:rsidRPr="00E21848">
        <w:t xml:space="preserve">In this section, </w:t>
      </w:r>
      <w:r w:rsidR="009C168E" w:rsidRPr="00E21848">
        <w:t xml:space="preserve">Offeror </w:t>
      </w:r>
      <w:r w:rsidR="009C168E">
        <w:t xml:space="preserve">is </w:t>
      </w:r>
      <w:r w:rsidRPr="00E21848">
        <w:t xml:space="preserve">to describe </w:t>
      </w:r>
      <w:r w:rsidR="009C168E">
        <w:t>its</w:t>
      </w:r>
      <w:r w:rsidRPr="00E21848">
        <w:t xml:space="preserve"> practices</w:t>
      </w:r>
      <w:r>
        <w:t>; however,</w:t>
      </w:r>
      <w:r w:rsidRPr="00E21848">
        <w:t xml:space="preserve"> the final practices will be agreed upon by the Project Team.</w:t>
      </w:r>
      <w:r>
        <w:t xml:space="preserve"> </w:t>
      </w:r>
      <w:r w:rsidRPr="00E21848">
        <w:t>If you propose using any proprietary or hosted tools to support any of these practices, include a description of how TWC will be able to access the information and how TWC can retain the information after the Project is complete.</w:t>
      </w:r>
      <w:r w:rsidR="004545B2">
        <w:t xml:space="preserve"> In addition, the Offeror must </w:t>
      </w:r>
      <w:r w:rsidR="00C66F0E">
        <w:t xml:space="preserve">provide </w:t>
      </w:r>
      <w:r w:rsidR="004545B2">
        <w:t xml:space="preserve">a list of all </w:t>
      </w:r>
      <w:r w:rsidR="004545B2" w:rsidRPr="00E21848">
        <w:t>Project Management</w:t>
      </w:r>
      <w:r w:rsidR="004545B2">
        <w:t xml:space="preserve"> deliverables including</w:t>
      </w:r>
      <w:r w:rsidR="008740E3">
        <w:t xml:space="preserve"> deliverable content,</w:t>
      </w:r>
      <w:r w:rsidR="004545B2">
        <w:t xml:space="preserve"> due dates</w:t>
      </w:r>
      <w:r w:rsidR="008740E3">
        <w:t>,</w:t>
      </w:r>
      <w:r w:rsidR="004545B2">
        <w:t xml:space="preserve"> and update </w:t>
      </w:r>
      <w:r w:rsidR="009A093A">
        <w:t>frequency</w:t>
      </w:r>
      <w:r w:rsidR="004545B2">
        <w:t>.</w:t>
      </w:r>
    </w:p>
    <w:p w14:paraId="3B270394" w14:textId="6418643C" w:rsidR="00C9466F" w:rsidRDefault="00C9466F" w:rsidP="00C9466F">
      <w:pPr>
        <w:pStyle w:val="Heading3"/>
      </w:pPr>
      <w:bookmarkStart w:id="162" w:name="_Toc13567426"/>
      <w:r>
        <w:t>3.2.1</w:t>
      </w:r>
      <w:r>
        <w:tab/>
        <w:t>Project Planning and Tracking</w:t>
      </w:r>
      <w:bookmarkEnd w:id="162"/>
    </w:p>
    <w:p w14:paraId="654F2674" w14:textId="6160F85B" w:rsidR="00C9466F" w:rsidRDefault="00BC6203" w:rsidP="00BC6203">
      <w:r w:rsidRPr="00E21848">
        <w:t>The Offeror must describe their Project Management process</w:t>
      </w:r>
      <w:r w:rsidR="008740E3">
        <w:t xml:space="preserve"> and deliverables</w:t>
      </w:r>
      <w:r w:rsidRPr="00E21848">
        <w:t>, including Project planning and tracking</w:t>
      </w:r>
      <w:r w:rsidR="000C2511">
        <w:t xml:space="preserve"> of scope, schedule, and costs</w:t>
      </w:r>
      <w:r w:rsidRPr="00E21848">
        <w:t>.</w:t>
      </w:r>
      <w:r>
        <w:t xml:space="preserve"> The Offeror also </w:t>
      </w:r>
      <w:r w:rsidR="00847354">
        <w:t>must</w:t>
      </w:r>
      <w:r>
        <w:t xml:space="preserve"> describe how</w:t>
      </w:r>
      <w:r w:rsidRPr="0016666F">
        <w:t xml:space="preserve"> </w:t>
      </w:r>
      <w:r>
        <w:t>the solution can be implemented to allow for incremental deliveries and successes.</w:t>
      </w:r>
    </w:p>
    <w:p w14:paraId="7EE8C081" w14:textId="61F8855E" w:rsidR="004D0826" w:rsidRDefault="004D0826" w:rsidP="004D0826">
      <w:pPr>
        <w:pStyle w:val="Heading3"/>
      </w:pPr>
      <w:bookmarkStart w:id="163" w:name="_Toc13567427"/>
      <w:bookmarkStart w:id="164" w:name="_Hlk532310714"/>
      <w:r>
        <w:t>3.2.2</w:t>
      </w:r>
      <w:r>
        <w:tab/>
        <w:t>Project Meetings</w:t>
      </w:r>
      <w:bookmarkEnd w:id="163"/>
    </w:p>
    <w:p w14:paraId="422E0242" w14:textId="63BFAA31" w:rsidR="004D0826" w:rsidRDefault="004D0826" w:rsidP="004D0826">
      <w:r w:rsidRPr="00E21848">
        <w:t xml:space="preserve">The Offeror must describe </w:t>
      </w:r>
      <w:r>
        <w:t>how they plan, execute, and document meetings</w:t>
      </w:r>
      <w:r w:rsidR="0095531C">
        <w:t xml:space="preserve"> including but not limited to meeting agendas, meeting invitations, </w:t>
      </w:r>
      <w:r w:rsidR="005A4EE4">
        <w:t xml:space="preserve">distribution of </w:t>
      </w:r>
      <w:r w:rsidR="0095531C">
        <w:t xml:space="preserve">pre-meeting material, facilitation techniques, meeting documentation, </w:t>
      </w:r>
      <w:r w:rsidR="005A4EE4">
        <w:t xml:space="preserve">and tracking of </w:t>
      </w:r>
      <w:r w:rsidR="0095531C">
        <w:t xml:space="preserve">action items, decision logs, issue logs, </w:t>
      </w:r>
      <w:r w:rsidR="004D5C54">
        <w:t xml:space="preserve">risk matrix, </w:t>
      </w:r>
      <w:r w:rsidR="0095531C">
        <w:t>and lessons learned</w:t>
      </w:r>
      <w:r w:rsidRPr="00E21848">
        <w:t>.</w:t>
      </w:r>
    </w:p>
    <w:p w14:paraId="61EC5279" w14:textId="01359398" w:rsidR="00C9466F" w:rsidRDefault="00C9466F" w:rsidP="00C9466F">
      <w:pPr>
        <w:pStyle w:val="Heading3"/>
      </w:pPr>
      <w:bookmarkStart w:id="165" w:name="_Toc13567428"/>
      <w:bookmarkEnd w:id="164"/>
      <w:r>
        <w:t>3.2.</w:t>
      </w:r>
      <w:r w:rsidR="004D0826">
        <w:t>3</w:t>
      </w:r>
      <w:r>
        <w:tab/>
      </w:r>
      <w:r w:rsidR="0073313C">
        <w:t xml:space="preserve">Monitor and </w:t>
      </w:r>
      <w:r>
        <w:t>Change Control</w:t>
      </w:r>
      <w:bookmarkEnd w:id="165"/>
    </w:p>
    <w:p w14:paraId="40D1C614" w14:textId="2B159C45" w:rsidR="00C9466F" w:rsidRDefault="00BC6203" w:rsidP="00BC6203">
      <w:r w:rsidRPr="00E21848">
        <w:t xml:space="preserve">The Offeror must describe their </w:t>
      </w:r>
      <w:r w:rsidR="0073313C">
        <w:t xml:space="preserve">Monitor and </w:t>
      </w:r>
      <w:r w:rsidRPr="00E21848">
        <w:t xml:space="preserve">Change Control </w:t>
      </w:r>
      <w:r w:rsidR="008740E3" w:rsidRPr="00E21848">
        <w:t>process</w:t>
      </w:r>
      <w:r w:rsidR="008740E3">
        <w:t xml:space="preserve"> and deliverables</w:t>
      </w:r>
      <w:r w:rsidRPr="00E21848">
        <w:t>.</w:t>
      </w:r>
    </w:p>
    <w:p w14:paraId="7718BA6F" w14:textId="410C17E2" w:rsidR="009252C1" w:rsidRDefault="009252C1" w:rsidP="00BC6203">
      <w:bookmarkStart w:id="166" w:name="_Hlk534186038"/>
      <w:r>
        <w:t xml:space="preserve">The Offeror must describe </w:t>
      </w:r>
      <w:r w:rsidR="002A460F">
        <w:t xml:space="preserve">the performance indicators used to measure Project performance during the entire life of the Project and </w:t>
      </w:r>
      <w:r>
        <w:t xml:space="preserve">how they monitor and report on </w:t>
      </w:r>
      <w:r w:rsidR="002A460F">
        <w:t xml:space="preserve">those </w:t>
      </w:r>
      <w:r>
        <w:t>performance indicators. The performance indicators must include, at a minimum, measurements of schedule, cost, scope, and quality.</w:t>
      </w:r>
    </w:p>
    <w:p w14:paraId="080865B4" w14:textId="2CD4E3DE" w:rsidR="009252C1" w:rsidRDefault="009252C1" w:rsidP="00BC6203">
      <w:r>
        <w:t>The Offeror must describe how they create and maintain a user-friendly data visualization tool that provides an analysis and visual representation of the performance indicators for the Project.</w:t>
      </w:r>
    </w:p>
    <w:p w14:paraId="1CFA8B2E" w14:textId="1B9FE2AE" w:rsidR="00C9466F" w:rsidRDefault="00C9466F" w:rsidP="00C9466F">
      <w:pPr>
        <w:pStyle w:val="Heading3"/>
      </w:pPr>
      <w:bookmarkStart w:id="167" w:name="_Toc13567429"/>
      <w:bookmarkEnd w:id="166"/>
      <w:r>
        <w:lastRenderedPageBreak/>
        <w:t>3.2.</w:t>
      </w:r>
      <w:r w:rsidR="004D0826">
        <w:t>4</w:t>
      </w:r>
      <w:r>
        <w:tab/>
        <w:t xml:space="preserve">Issue </w:t>
      </w:r>
      <w:r w:rsidR="00684EA6">
        <w:t xml:space="preserve">Logging and </w:t>
      </w:r>
      <w:r>
        <w:t>Resolution</w:t>
      </w:r>
      <w:bookmarkEnd w:id="167"/>
    </w:p>
    <w:p w14:paraId="28A92AD9" w14:textId="09E8D81B" w:rsidR="00C9466F" w:rsidRDefault="00BC6203" w:rsidP="00BC6203">
      <w:r w:rsidRPr="00E21848">
        <w:t xml:space="preserve">The Offeror must describe their Issue </w:t>
      </w:r>
      <w:r w:rsidR="00684EA6">
        <w:t xml:space="preserve">Logging and </w:t>
      </w:r>
      <w:r w:rsidRPr="00E21848">
        <w:t xml:space="preserve">Resolution </w:t>
      </w:r>
      <w:r w:rsidR="008740E3" w:rsidRPr="00E21848">
        <w:t>process</w:t>
      </w:r>
      <w:r w:rsidR="008740E3">
        <w:t xml:space="preserve"> and deliverables</w:t>
      </w:r>
      <w:r w:rsidRPr="00E21848">
        <w:t>.</w:t>
      </w:r>
    </w:p>
    <w:p w14:paraId="069BF207" w14:textId="1303BF90" w:rsidR="00381661" w:rsidRDefault="00381661" w:rsidP="00381661">
      <w:pPr>
        <w:pStyle w:val="Heading3"/>
      </w:pPr>
      <w:bookmarkStart w:id="168" w:name="_Toc13567430"/>
      <w:r>
        <w:t>3.2.</w:t>
      </w:r>
      <w:r w:rsidR="004D0826">
        <w:t>5</w:t>
      </w:r>
      <w:r>
        <w:tab/>
        <w:t>Risk Management</w:t>
      </w:r>
      <w:bookmarkEnd w:id="168"/>
    </w:p>
    <w:p w14:paraId="27A0B88E" w14:textId="77777777" w:rsidR="00381661" w:rsidRDefault="00381661" w:rsidP="00381661">
      <w:r w:rsidRPr="00E21848">
        <w:t>The Offeror must describe their Risk Management process</w:t>
      </w:r>
      <w:r>
        <w:t xml:space="preserve"> and deliverables</w:t>
      </w:r>
      <w:r w:rsidRPr="00E21848">
        <w:t>.</w:t>
      </w:r>
    </w:p>
    <w:p w14:paraId="6A30009C" w14:textId="6882571A" w:rsidR="008740E3" w:rsidRDefault="008740E3" w:rsidP="008740E3">
      <w:pPr>
        <w:pStyle w:val="Heading3"/>
      </w:pPr>
      <w:bookmarkStart w:id="169" w:name="_Toc13567431"/>
      <w:r>
        <w:t>3.2.</w:t>
      </w:r>
      <w:r w:rsidR="004D0826">
        <w:t>6</w:t>
      </w:r>
      <w:r>
        <w:tab/>
      </w:r>
      <w:r w:rsidR="00381661">
        <w:t>Quality</w:t>
      </w:r>
      <w:r>
        <w:t xml:space="preserve"> Management</w:t>
      </w:r>
      <w:bookmarkEnd w:id="169"/>
    </w:p>
    <w:p w14:paraId="4E94521D" w14:textId="3E663659" w:rsidR="008740E3" w:rsidRDefault="008740E3" w:rsidP="008740E3">
      <w:r w:rsidRPr="00E21848">
        <w:t xml:space="preserve">The Offeror must describe their </w:t>
      </w:r>
      <w:r w:rsidR="00381661">
        <w:t>Quality</w:t>
      </w:r>
      <w:r w:rsidRPr="00E21848">
        <w:t xml:space="preserve"> Management process</w:t>
      </w:r>
      <w:r>
        <w:t xml:space="preserve"> and deliverables</w:t>
      </w:r>
      <w:r w:rsidR="00E14FF0">
        <w:t>, including formal reviews and sign-offs</w:t>
      </w:r>
      <w:r w:rsidRPr="00E21848">
        <w:t>.</w:t>
      </w:r>
    </w:p>
    <w:p w14:paraId="0E475EBF" w14:textId="14A0A663" w:rsidR="00C9466F" w:rsidRDefault="00C9466F" w:rsidP="00C9466F">
      <w:pPr>
        <w:pStyle w:val="Heading3"/>
      </w:pPr>
      <w:bookmarkStart w:id="170" w:name="_Toc13567432"/>
      <w:r>
        <w:t>3.2.</w:t>
      </w:r>
      <w:r w:rsidR="004D0826">
        <w:t>7</w:t>
      </w:r>
      <w:r>
        <w:tab/>
      </w:r>
      <w:r w:rsidR="00134CDD">
        <w:t xml:space="preserve">Close </w:t>
      </w:r>
      <w:r w:rsidR="00DE0970">
        <w:t xml:space="preserve">Phase and </w:t>
      </w:r>
      <w:r w:rsidR="008740E3">
        <w:t>Project</w:t>
      </w:r>
      <w:bookmarkEnd w:id="170"/>
      <w:r w:rsidR="008740E3">
        <w:t xml:space="preserve"> </w:t>
      </w:r>
    </w:p>
    <w:p w14:paraId="36FDB1B8" w14:textId="0D12B58B" w:rsidR="00C9466F" w:rsidRDefault="00BC6203" w:rsidP="00BC6203">
      <w:r w:rsidRPr="00E21848">
        <w:t xml:space="preserve">The Offeror must describe their </w:t>
      </w:r>
      <w:r w:rsidR="00DE0970">
        <w:t xml:space="preserve">Phase and </w:t>
      </w:r>
      <w:r w:rsidR="008740E3">
        <w:t>Project Closeout</w:t>
      </w:r>
      <w:r w:rsidRPr="00E21848">
        <w:t xml:space="preserve"> </w:t>
      </w:r>
      <w:r w:rsidR="008740E3" w:rsidRPr="00E21848">
        <w:t>process</w:t>
      </w:r>
      <w:r w:rsidR="008740E3">
        <w:t xml:space="preserve"> and deliverables</w:t>
      </w:r>
      <w:r w:rsidR="00B56D89">
        <w:t xml:space="preserve">, including documenting all work completed and </w:t>
      </w:r>
      <w:r w:rsidR="00E21004">
        <w:t xml:space="preserve">capturing </w:t>
      </w:r>
      <w:r w:rsidR="00B56D89">
        <w:t>lessons learned</w:t>
      </w:r>
      <w:r w:rsidRPr="00E21848">
        <w:t>.</w:t>
      </w:r>
    </w:p>
    <w:p w14:paraId="7D2D202B" w14:textId="7E1F6C54" w:rsidR="00C9466F" w:rsidRDefault="00C9466F" w:rsidP="00BC6203">
      <w:pPr>
        <w:pStyle w:val="Heading2"/>
      </w:pPr>
      <w:bookmarkStart w:id="171" w:name="_Toc13567433"/>
      <w:r>
        <w:t>3.3</w:t>
      </w:r>
      <w:r>
        <w:tab/>
        <w:t>Project Risks, Assumptions and Constraints</w:t>
      </w:r>
      <w:bookmarkEnd w:id="171"/>
    </w:p>
    <w:p w14:paraId="6BB62EA0" w14:textId="59F78CF1" w:rsidR="00C9466F" w:rsidRDefault="00C9466F" w:rsidP="00C9466F">
      <w:pPr>
        <w:pStyle w:val="Heading3"/>
      </w:pPr>
      <w:bookmarkStart w:id="172" w:name="_Toc13567434"/>
      <w:r>
        <w:t>3.3.1</w:t>
      </w:r>
      <w:r>
        <w:tab/>
        <w:t>Risks</w:t>
      </w:r>
      <w:bookmarkEnd w:id="172"/>
    </w:p>
    <w:p w14:paraId="0435537C" w14:textId="77777777" w:rsidR="00BC6203" w:rsidRDefault="00BC6203" w:rsidP="00BC6203">
      <w:r>
        <w:t xml:space="preserve">Project Risks include: </w:t>
      </w:r>
    </w:p>
    <w:p w14:paraId="0CD06CE7" w14:textId="2A3C9A95" w:rsidR="00BC6203" w:rsidRDefault="00BC6203" w:rsidP="00E16D2D">
      <w:pPr>
        <w:pStyle w:val="LB1"/>
      </w:pPr>
      <w:r w:rsidRPr="00B55285">
        <w:t>Legislation or other regulatory action could require changes in the business requirements after th</w:t>
      </w:r>
      <w:r w:rsidRPr="0054649A">
        <w:t>is RFO is posted and/or th</w:t>
      </w:r>
      <w:r w:rsidRPr="00B55285">
        <w:t xml:space="preserve">e </w:t>
      </w:r>
      <w:r>
        <w:t>Project</w:t>
      </w:r>
      <w:r w:rsidRPr="0054649A">
        <w:t xml:space="preserve"> </w:t>
      </w:r>
      <w:r w:rsidR="004969E2">
        <w:t>has begun;</w:t>
      </w:r>
    </w:p>
    <w:p w14:paraId="32EE9DE1" w14:textId="4EB33A68" w:rsidR="00BC6203" w:rsidRPr="00B55285" w:rsidRDefault="00BC6203" w:rsidP="00F82166">
      <w:pPr>
        <w:pStyle w:val="LB1"/>
      </w:pPr>
      <w:r>
        <w:t>The possibility of future S</w:t>
      </w:r>
      <w:r w:rsidRPr="00F06C63">
        <w:t xml:space="preserve">tate and federal legislation could limit the availability of </w:t>
      </w:r>
      <w:r w:rsidR="009521D7">
        <w:t xml:space="preserve">Staff </w:t>
      </w:r>
      <w:r w:rsidRPr="00F06C63">
        <w:t>(business area and IT) as they may be diverted to implement</w:t>
      </w:r>
      <w:r>
        <w:t xml:space="preserve"> mandates</w:t>
      </w:r>
      <w:r w:rsidRPr="00F06C63">
        <w:t xml:space="preserve"> with short deadlines</w:t>
      </w:r>
      <w:r>
        <w:t xml:space="preserve"> for other systems</w:t>
      </w:r>
      <w:r w:rsidR="004969E2">
        <w:t>; and</w:t>
      </w:r>
    </w:p>
    <w:p w14:paraId="3C216313" w14:textId="6D114401" w:rsidR="00C9466F" w:rsidRDefault="00BC6203" w:rsidP="00F82166">
      <w:pPr>
        <w:pStyle w:val="LB1"/>
      </w:pPr>
      <w:r w:rsidRPr="00B55285">
        <w:t xml:space="preserve">Staff with </w:t>
      </w:r>
      <w:r>
        <w:t>Project</w:t>
      </w:r>
      <w:r w:rsidRPr="00B55285">
        <w:t xml:space="preserve"> knowledge may leave the agency or team.  </w:t>
      </w:r>
    </w:p>
    <w:p w14:paraId="2512A86D" w14:textId="62F0FF8D" w:rsidR="00C9466F" w:rsidRDefault="00C9466F" w:rsidP="00C9466F">
      <w:pPr>
        <w:pStyle w:val="Heading3"/>
      </w:pPr>
      <w:bookmarkStart w:id="173" w:name="_Toc13567435"/>
      <w:r>
        <w:t>3.3.2</w:t>
      </w:r>
      <w:r>
        <w:tab/>
        <w:t>Assumptions</w:t>
      </w:r>
      <w:bookmarkEnd w:id="173"/>
    </w:p>
    <w:p w14:paraId="6BF73B43" w14:textId="77777777" w:rsidR="00BE4564" w:rsidRDefault="00BE4564" w:rsidP="00BE4564">
      <w:r>
        <w:t xml:space="preserve">Assumptions related to the Project and procurement are as follows: </w:t>
      </w:r>
    </w:p>
    <w:p w14:paraId="06A95DF9" w14:textId="7E6433B2" w:rsidR="00BE4564" w:rsidRPr="00F87897" w:rsidRDefault="00BE4564" w:rsidP="00E16D2D">
      <w:pPr>
        <w:pStyle w:val="LB1"/>
      </w:pPr>
      <w:r w:rsidRPr="00F87897">
        <w:t xml:space="preserve">Funding </w:t>
      </w:r>
      <w:r>
        <w:t>will be</w:t>
      </w:r>
      <w:r w:rsidRPr="00F87897">
        <w:t xml:space="preserve"> approved</w:t>
      </w:r>
      <w:r>
        <w:t xml:space="preserve"> during the 86</w:t>
      </w:r>
      <w:r w:rsidRPr="001319F9">
        <w:t>th</w:t>
      </w:r>
      <w:r>
        <w:t xml:space="preserve"> Legislative Session</w:t>
      </w:r>
      <w:r w:rsidR="004969E2">
        <w:t>;</w:t>
      </w:r>
    </w:p>
    <w:p w14:paraId="2A86CAD6" w14:textId="4A3C5D5E" w:rsidR="00BE4564" w:rsidRPr="00F87897" w:rsidRDefault="00BE4564" w:rsidP="00F82166">
      <w:pPr>
        <w:pStyle w:val="LB1"/>
      </w:pPr>
      <w:r w:rsidRPr="00F87897">
        <w:t>The Commissioners, the Executive Team and the designated representatives from each business area wil</w:t>
      </w:r>
      <w:r w:rsidR="004969E2">
        <w:t>l fully support this initiative;</w:t>
      </w:r>
    </w:p>
    <w:p w14:paraId="1020421F" w14:textId="4322720C" w:rsidR="00BE4564" w:rsidRPr="00F87897" w:rsidRDefault="00BE4564" w:rsidP="00F82166">
      <w:pPr>
        <w:pStyle w:val="LB1"/>
      </w:pPr>
      <w:r w:rsidRPr="00F87897">
        <w:t>SMEs</w:t>
      </w:r>
      <w:r w:rsidRPr="00F87897" w:rsidDel="00AC0A4C">
        <w:t xml:space="preserve"> </w:t>
      </w:r>
      <w:r w:rsidRPr="00F87897">
        <w:t xml:space="preserve">will be available to provide input on business requirements and validate information documented in </w:t>
      </w:r>
      <w:r>
        <w:t>Project</w:t>
      </w:r>
      <w:r w:rsidRPr="00F87897">
        <w:t xml:space="preserve"> </w:t>
      </w:r>
      <w:r>
        <w:t>deliverable</w:t>
      </w:r>
      <w:r w:rsidRPr="00F87897">
        <w:t>s</w:t>
      </w:r>
      <w:r>
        <w:t xml:space="preserve"> based upon the </w:t>
      </w:r>
      <w:r w:rsidR="002A57F8">
        <w:t xml:space="preserve">IMS </w:t>
      </w:r>
      <w:r>
        <w:t>proposed by Awarded Vendor and approved by TWC</w:t>
      </w:r>
      <w:r w:rsidR="004969E2">
        <w:t>;</w:t>
      </w:r>
    </w:p>
    <w:p w14:paraId="40955297" w14:textId="193CDE57" w:rsidR="00BE4564" w:rsidRPr="00F87897" w:rsidRDefault="00BE4564">
      <w:pPr>
        <w:pStyle w:val="LB1"/>
      </w:pPr>
      <w:r>
        <w:t xml:space="preserve">Awarded Vendor </w:t>
      </w:r>
      <w:r w:rsidR="009521D7">
        <w:t xml:space="preserve">Staff </w:t>
      </w:r>
      <w:r>
        <w:t>will work with TW</w:t>
      </w:r>
      <w:r w:rsidR="008037FD">
        <w:t>C</w:t>
      </w:r>
      <w:r>
        <w:t xml:space="preserve"> </w:t>
      </w:r>
      <w:r w:rsidR="009521D7">
        <w:t xml:space="preserve">Staff </w:t>
      </w:r>
      <w:r>
        <w:t xml:space="preserve">to document </w:t>
      </w:r>
      <w:r w:rsidRPr="00F87897">
        <w:t xml:space="preserve">requirements </w:t>
      </w:r>
      <w:r>
        <w:t xml:space="preserve">impacting solution configuration </w:t>
      </w:r>
      <w:r w:rsidRPr="00F87897">
        <w:t>early</w:t>
      </w:r>
      <w:r w:rsidR="004969E2">
        <w:t xml:space="preserve"> in the Project; and</w:t>
      </w:r>
    </w:p>
    <w:p w14:paraId="0E64305C" w14:textId="18E7EE49" w:rsidR="00C9466F" w:rsidRDefault="00BE4564">
      <w:pPr>
        <w:pStyle w:val="LB1"/>
      </w:pPr>
      <w:r w:rsidRPr="00F87897">
        <w:t xml:space="preserve">TWC will continue to </w:t>
      </w:r>
      <w:r>
        <w:t>use</w:t>
      </w:r>
      <w:r w:rsidRPr="00F87897">
        <w:t xml:space="preserve"> the current </w:t>
      </w:r>
      <w:r w:rsidR="0087226A">
        <w:t>UI</w:t>
      </w:r>
      <w:r w:rsidRPr="00F87897">
        <w:t xml:space="preserve"> system</w:t>
      </w:r>
      <w:r w:rsidR="0087226A">
        <w:t>s</w:t>
      </w:r>
      <w:r w:rsidRPr="00F87897">
        <w:t xml:space="preserve"> until </w:t>
      </w:r>
      <w:r>
        <w:t xml:space="preserve">all design, testing, implementation and acceptance activities are </w:t>
      </w:r>
      <w:r w:rsidRPr="00F87897">
        <w:t>completed</w:t>
      </w:r>
      <w:r>
        <w:t xml:space="preserve"> successfully</w:t>
      </w:r>
      <w:r w:rsidRPr="00F87897">
        <w:t>.</w:t>
      </w:r>
    </w:p>
    <w:p w14:paraId="3F892E3A" w14:textId="6AB3C08F" w:rsidR="00C9466F" w:rsidRDefault="00C9466F" w:rsidP="00C9466F">
      <w:pPr>
        <w:pStyle w:val="Heading3"/>
      </w:pPr>
      <w:bookmarkStart w:id="174" w:name="_Toc13567436"/>
      <w:bookmarkStart w:id="175" w:name="_Hlk4071249"/>
      <w:r>
        <w:t>3.3.3</w:t>
      </w:r>
      <w:r>
        <w:tab/>
        <w:t>Constraints</w:t>
      </w:r>
      <w:bookmarkEnd w:id="174"/>
    </w:p>
    <w:p w14:paraId="3C7E1A03" w14:textId="77777777" w:rsidR="00BE4564" w:rsidRDefault="00BE4564" w:rsidP="00BE4564">
      <w:r>
        <w:t xml:space="preserve">Project Constraints include the following: </w:t>
      </w:r>
    </w:p>
    <w:p w14:paraId="4CB8CC1E" w14:textId="4033C97C" w:rsidR="00BE4564" w:rsidRDefault="00BE4564" w:rsidP="00E16D2D">
      <w:pPr>
        <w:pStyle w:val="LB1"/>
      </w:pPr>
      <w:bookmarkStart w:id="176" w:name="_Hlk3905882"/>
      <w:r w:rsidRPr="00811032">
        <w:lastRenderedPageBreak/>
        <w:t>A</w:t>
      </w:r>
      <w:r>
        <w:t>ny selected</w:t>
      </w:r>
      <w:r w:rsidRPr="00811032">
        <w:t xml:space="preserve"> cloud services provider must meet the </w:t>
      </w:r>
      <w:r>
        <w:t>FedRAMP</w:t>
      </w:r>
      <w:r w:rsidRPr="00811032">
        <w:t xml:space="preserve"> requirements and </w:t>
      </w:r>
      <w:r w:rsidR="00A4709E">
        <w:t xml:space="preserve">have attained </w:t>
      </w:r>
      <w:r w:rsidR="00081981">
        <w:t>FedRAMP (Moderate) ATO prior to Award Date</w:t>
      </w:r>
      <w:bookmarkEnd w:id="176"/>
      <w:r w:rsidR="004969E2">
        <w:t>;</w:t>
      </w:r>
    </w:p>
    <w:bookmarkEnd w:id="175"/>
    <w:p w14:paraId="687B6B5F" w14:textId="36446A2A" w:rsidR="00BE4564" w:rsidRPr="00F06C63" w:rsidRDefault="00BE4564" w:rsidP="00F82166">
      <w:pPr>
        <w:pStyle w:val="LB1"/>
      </w:pPr>
      <w:r>
        <w:t>T</w:t>
      </w:r>
      <w:r w:rsidRPr="00F06C63">
        <w:t xml:space="preserve">his </w:t>
      </w:r>
      <w:r>
        <w:t>Project</w:t>
      </w:r>
      <w:r w:rsidRPr="00F06C63">
        <w:t xml:space="preserve"> </w:t>
      </w:r>
      <w:r>
        <w:t>is</w:t>
      </w:r>
      <w:r w:rsidRPr="00F06C63">
        <w:t xml:space="preserve"> limited by </w:t>
      </w:r>
      <w:r>
        <w:t xml:space="preserve">the </w:t>
      </w:r>
      <w:r w:rsidR="004969E2">
        <w:t>allocated budget;</w:t>
      </w:r>
    </w:p>
    <w:p w14:paraId="61D2F87F" w14:textId="2FA4527F" w:rsidR="00BE4564" w:rsidRPr="00F06C63" w:rsidRDefault="00BE4564" w:rsidP="00F82166">
      <w:pPr>
        <w:pStyle w:val="LB1"/>
      </w:pPr>
      <w:r w:rsidRPr="00F06C63">
        <w:t xml:space="preserve">The business areas providing </w:t>
      </w:r>
      <w:r>
        <w:t>SMEs</w:t>
      </w:r>
      <w:r w:rsidRPr="00F06C63">
        <w:t xml:space="preserve"> will be required to maintain an excellent level of customer service which could limit the availability of </w:t>
      </w:r>
      <w:r w:rsidR="009C168E">
        <w:t xml:space="preserve">TWC </w:t>
      </w:r>
      <w:r w:rsidR="009521D7">
        <w:t xml:space="preserve">Staff </w:t>
      </w:r>
      <w:r w:rsidR="004969E2">
        <w:t>during peak workload times; and</w:t>
      </w:r>
    </w:p>
    <w:p w14:paraId="35E19527" w14:textId="52B537BF" w:rsidR="00C9466F" w:rsidRDefault="00BE4564">
      <w:pPr>
        <w:pStyle w:val="LB1"/>
      </w:pPr>
      <w:r w:rsidRPr="00F06C63">
        <w:t xml:space="preserve">IT </w:t>
      </w:r>
      <w:r w:rsidR="009521D7">
        <w:t xml:space="preserve">Staff </w:t>
      </w:r>
      <w:r w:rsidRPr="00F06C63">
        <w:t xml:space="preserve">will support a continuing need for consistent </w:t>
      </w:r>
      <w:r w:rsidR="006E72DA">
        <w:t xml:space="preserve">legacy </w:t>
      </w:r>
      <w:r w:rsidRPr="00F06C63">
        <w:t xml:space="preserve">system availability during all phases of the </w:t>
      </w:r>
      <w:r>
        <w:t>Project</w:t>
      </w:r>
      <w:r w:rsidRPr="00F06C63">
        <w:t xml:space="preserve"> which could limit the availability of technical staff.</w:t>
      </w:r>
    </w:p>
    <w:p w14:paraId="53B625CE" w14:textId="3BB99315" w:rsidR="00C9466F" w:rsidRDefault="00C9466F" w:rsidP="00C9466F">
      <w:pPr>
        <w:pStyle w:val="Heading2"/>
      </w:pPr>
      <w:bookmarkStart w:id="177" w:name="_Toc13567437"/>
      <w:r>
        <w:t>3.4</w:t>
      </w:r>
      <w:r>
        <w:tab/>
      </w:r>
      <w:r w:rsidR="00511896">
        <w:t>Deliverable Submission and Review</w:t>
      </w:r>
      <w:bookmarkEnd w:id="177"/>
    </w:p>
    <w:p w14:paraId="2572CE7B" w14:textId="6EF32A3A" w:rsidR="00F95BFE" w:rsidRDefault="00F95BFE" w:rsidP="00F95BFE">
      <w:r w:rsidRPr="00E21848">
        <w:t xml:space="preserve">The </w:t>
      </w:r>
      <w:r>
        <w:t xml:space="preserve">Awarded Vendor </w:t>
      </w:r>
      <w:r w:rsidRPr="00E21848">
        <w:t>must provide early samples of deliverables in draft form</w:t>
      </w:r>
      <w:r w:rsidR="00034FE0">
        <w:t xml:space="preserve">, at </w:t>
      </w:r>
      <w:r w:rsidR="00F351EF">
        <w:t xml:space="preserve">approximately </w:t>
      </w:r>
      <w:r w:rsidR="00034FE0">
        <w:t>25% and 75% complete,</w:t>
      </w:r>
      <w:r w:rsidRPr="00E21848">
        <w:t xml:space="preserve"> to the </w:t>
      </w:r>
      <w:r>
        <w:t xml:space="preserve">TWC IT Project Manager </w:t>
      </w:r>
      <w:r w:rsidRPr="00E21848">
        <w:t xml:space="preserve">and the Program Manager for feedback and </w:t>
      </w:r>
      <w:r w:rsidR="00557863">
        <w:t xml:space="preserve">possible </w:t>
      </w:r>
      <w:r w:rsidRPr="00E21848">
        <w:t>re</w:t>
      </w:r>
      <w:r w:rsidR="00557863">
        <w:t>-</w:t>
      </w:r>
      <w:r w:rsidRPr="00E21848">
        <w:t>direction</w:t>
      </w:r>
      <w:r w:rsidR="008E01DB">
        <w:t>/course-correction</w:t>
      </w:r>
      <w:r w:rsidRPr="00E21848">
        <w:t xml:space="preserve"> before the entire deliverable is produced.</w:t>
      </w:r>
      <w:r>
        <w:t xml:space="preserve"> </w:t>
      </w:r>
      <w:r w:rsidRPr="00E21848">
        <w:t xml:space="preserve">The deliverable must be submitted in a format approved by the </w:t>
      </w:r>
      <w:r>
        <w:t xml:space="preserve">TWC IT Project Manager </w:t>
      </w:r>
      <w:r w:rsidRPr="00E21848">
        <w:t xml:space="preserve">and the </w:t>
      </w:r>
      <w:r>
        <w:t xml:space="preserve">Awarded Vendor </w:t>
      </w:r>
      <w:r w:rsidRPr="00E21848">
        <w:t xml:space="preserve">must complete </w:t>
      </w:r>
      <w:r w:rsidR="00211554">
        <w:t>QA</w:t>
      </w:r>
      <w:r w:rsidRPr="00E21848">
        <w:t xml:space="preserve"> reviews and any required remediation before delivery to TWC.</w:t>
      </w:r>
    </w:p>
    <w:p w14:paraId="40680592" w14:textId="4BCC9CC2" w:rsidR="00F95BFE" w:rsidRDefault="00F95BFE" w:rsidP="00E16D2D">
      <w:pPr>
        <w:pStyle w:val="LB1"/>
      </w:pPr>
      <w:r w:rsidRPr="00E21848">
        <w:t xml:space="preserve">If the deliverable cannot be provided within the scheduled time frame, the </w:t>
      </w:r>
      <w:r>
        <w:t xml:space="preserve">Awarded Vendor </w:t>
      </w:r>
      <w:r w:rsidRPr="00E21848">
        <w:t xml:space="preserve">is required to email the </w:t>
      </w:r>
      <w:r>
        <w:t xml:space="preserve">TWC IT Project Manager </w:t>
      </w:r>
      <w:r w:rsidRPr="00E21848">
        <w:t xml:space="preserve">and Program Manager with the reason for the delay and the proposed revised </w:t>
      </w:r>
      <w:r w:rsidR="002A57F8">
        <w:t>IMS</w:t>
      </w:r>
      <w:r w:rsidRPr="00E21848">
        <w:t>. The request for a revised schedule must include the impact on related tasks and the overall Project.</w:t>
      </w:r>
      <w:r>
        <w:t xml:space="preserve"> </w:t>
      </w:r>
      <w:r w:rsidRPr="00E21848">
        <w:t xml:space="preserve">A request for a revised schedule must be reviewed and approved by the </w:t>
      </w:r>
      <w:r>
        <w:t xml:space="preserve">TWC IT Project Manager </w:t>
      </w:r>
      <w:r w:rsidR="004969E2">
        <w:t>before being placed in effect;</w:t>
      </w:r>
    </w:p>
    <w:p w14:paraId="049B3759" w14:textId="7CBF4134" w:rsidR="00517F63" w:rsidRDefault="00517F63" w:rsidP="00F82166">
      <w:pPr>
        <w:pStyle w:val="LB1"/>
      </w:pPr>
      <w:r>
        <w:t>Once the deliverable is completed, a TWC SME will conduct a quality review prior to the deliverable being submitted to the Project Team reviewers. The Awarded Vendor will send an email to the Project Team reviewers that specifies the review due date and provides links to the items to be reviewed. The Awarded Vendor will provide hard copies upon request, hard copies may be produced on TWC equipment;</w:t>
      </w:r>
    </w:p>
    <w:p w14:paraId="2E4A09FC" w14:textId="594EC729" w:rsidR="00240257" w:rsidRDefault="00F95BFE" w:rsidP="00F82166">
      <w:pPr>
        <w:pStyle w:val="LB1"/>
      </w:pPr>
      <w:r w:rsidRPr="00E21848">
        <w:t xml:space="preserve">TWC </w:t>
      </w:r>
      <w:r>
        <w:t xml:space="preserve">and the Awarded Vendor will agree on the </w:t>
      </w:r>
      <w:r w:rsidR="00240257">
        <w:t xml:space="preserve">duration and </w:t>
      </w:r>
      <w:r>
        <w:t>deliverable review periods</w:t>
      </w:r>
      <w:r w:rsidR="00240257">
        <w:t>.</w:t>
      </w:r>
      <w:r>
        <w:t xml:space="preserve"> </w:t>
      </w:r>
      <w:r w:rsidR="00240257">
        <w:t xml:space="preserve">TWC will provide </w:t>
      </w:r>
      <w:r>
        <w:t xml:space="preserve">reviewer roles and responsibilities before the deliverables are submitted for review. </w:t>
      </w:r>
      <w:r w:rsidR="00240257">
        <w:t>TWC may assign IV&amp;V staff deliverable review responsibilities;</w:t>
      </w:r>
    </w:p>
    <w:p w14:paraId="71AA976A" w14:textId="63FDAADD" w:rsidR="00F95BFE" w:rsidRDefault="00F95BFE" w:rsidP="00F82166">
      <w:pPr>
        <w:pStyle w:val="LB1"/>
      </w:pPr>
      <w:r w:rsidRPr="00E21848">
        <w:t xml:space="preserve">If requested by TWC, </w:t>
      </w:r>
      <w:r>
        <w:t xml:space="preserve">Awarded Vendor </w:t>
      </w:r>
      <w:r w:rsidRPr="00E21848">
        <w:t xml:space="preserve">must provide a walk-through of the deliverable before the review </w:t>
      </w:r>
      <w:r w:rsidR="004969E2">
        <w:t xml:space="preserve">begins to facilitate </w:t>
      </w:r>
      <w:r w:rsidR="00240257">
        <w:t xml:space="preserve">the </w:t>
      </w:r>
      <w:r w:rsidR="004969E2">
        <w:t>review;</w:t>
      </w:r>
    </w:p>
    <w:p w14:paraId="0DD9EC8A" w14:textId="57712541" w:rsidR="00240257" w:rsidRDefault="00240257" w:rsidP="00F82166">
      <w:pPr>
        <w:pStyle w:val="LB1"/>
      </w:pPr>
      <w:r w:rsidRPr="00E21848">
        <w:t>The Project Team and appropriate SMEs will review the draft and final deliverables</w:t>
      </w:r>
      <w:r>
        <w:t>;</w:t>
      </w:r>
    </w:p>
    <w:p w14:paraId="401742B1" w14:textId="77777777" w:rsidR="00240257" w:rsidRDefault="00F95BFE" w:rsidP="00F82166">
      <w:pPr>
        <w:pStyle w:val="LB1"/>
      </w:pPr>
      <w:r>
        <w:t xml:space="preserve">TWC </w:t>
      </w:r>
      <w:r w:rsidRPr="00E21848">
        <w:t>may require up to ten (10) business days to review deliverables, depending upon the complexity.</w:t>
      </w:r>
      <w:r>
        <w:t xml:space="preserve"> </w:t>
      </w:r>
      <w:r w:rsidRPr="00E21848">
        <w:t xml:space="preserve">TWC will conduct detailed deliverable reviews to attempt to identify all </w:t>
      </w:r>
      <w:r w:rsidRPr="00E62404">
        <w:t>needed corrections; however, TWC will require more rounds of review/revision if</w:t>
      </w:r>
      <w:r w:rsidR="00240257">
        <w:t>:</w:t>
      </w:r>
      <w:r w:rsidRPr="00E62404">
        <w:t xml:space="preserve"> </w:t>
      </w:r>
    </w:p>
    <w:p w14:paraId="387FB47F" w14:textId="75E68866" w:rsidR="00F95BFE" w:rsidRDefault="00240257" w:rsidP="00240257">
      <w:pPr>
        <w:pStyle w:val="OB1"/>
      </w:pPr>
      <w:r>
        <w:t>T</w:t>
      </w:r>
      <w:r w:rsidR="00F95BFE" w:rsidRPr="00E62404">
        <w:t>he first review resulted in new information being added, because that new in</w:t>
      </w:r>
      <w:r w:rsidR="004969E2">
        <w:t>formation may require revision;</w:t>
      </w:r>
      <w:r>
        <w:t xml:space="preserve"> or</w:t>
      </w:r>
    </w:p>
    <w:p w14:paraId="7BD50438" w14:textId="5DE82579" w:rsidR="00240257" w:rsidRPr="00741202" w:rsidRDefault="00240257" w:rsidP="00240257">
      <w:pPr>
        <w:pStyle w:val="OB1"/>
      </w:pPr>
      <w:r>
        <w:lastRenderedPageBreak/>
        <w:t>Updated deliverables do not resolve TWC comments/concerns to TWC’s satisfaction;</w:t>
      </w:r>
    </w:p>
    <w:p w14:paraId="163C30B3" w14:textId="3EA2F3FC" w:rsidR="00F95BFE" w:rsidRPr="00741202" w:rsidRDefault="00F95BFE">
      <w:pPr>
        <w:pStyle w:val="LB1"/>
      </w:pPr>
      <w:r w:rsidRPr="00741202">
        <w:t>Review and revision times may be shortened by conducting deliverable review meetings after the Project Team reviewers have completed their independent reviews.</w:t>
      </w:r>
      <w:r>
        <w:t xml:space="preserve"> </w:t>
      </w:r>
      <w:r w:rsidRPr="00741202">
        <w:t xml:space="preserve">The </w:t>
      </w:r>
      <w:r>
        <w:t xml:space="preserve">Awarded Vendor </w:t>
      </w:r>
      <w:r w:rsidRPr="00741202">
        <w:t>Project</w:t>
      </w:r>
      <w:r w:rsidRPr="00E21848">
        <w:t xml:space="preserve"> Manager and/or </w:t>
      </w:r>
      <w:r>
        <w:t xml:space="preserve">TWC IT Project Manager </w:t>
      </w:r>
      <w:r w:rsidRPr="00E21848">
        <w:t>will schedule Project Team review meetings.</w:t>
      </w:r>
      <w:r>
        <w:t xml:space="preserve"> </w:t>
      </w:r>
      <w:r w:rsidRPr="00E21848">
        <w:t>The time lapse between providing the deliverable and the review meeting will be agreed upon before the meeting is scheduled.</w:t>
      </w:r>
      <w:r>
        <w:t xml:space="preserve"> </w:t>
      </w:r>
      <w:r w:rsidRPr="00E21848">
        <w:t>Most updates will be done online in the review meeting.</w:t>
      </w:r>
      <w:r>
        <w:t xml:space="preserve"> </w:t>
      </w:r>
      <w:r w:rsidRPr="00E21848">
        <w:t>Any updates that must be done offline will be documented in a Review Comments spreadsh</w:t>
      </w:r>
      <w:r w:rsidR="004969E2">
        <w:t>eet, using an existing template; and</w:t>
      </w:r>
    </w:p>
    <w:p w14:paraId="1E24FE39" w14:textId="5AA09C03" w:rsidR="00F95BFE" w:rsidRPr="00E21848" w:rsidRDefault="00F95BFE">
      <w:pPr>
        <w:pStyle w:val="LB1"/>
      </w:pPr>
      <w:r w:rsidRPr="00E21848">
        <w:t xml:space="preserve">Once the deliverable is completed, a TWC </w:t>
      </w:r>
      <w:r w:rsidR="00BF29D8">
        <w:t>SME</w:t>
      </w:r>
      <w:r w:rsidR="00BF29D8" w:rsidRPr="00E21848">
        <w:t xml:space="preserve"> </w:t>
      </w:r>
      <w:r w:rsidRPr="00E21848">
        <w:t xml:space="preserve">will conduct a quality review prior to the deliverable being submitted to the Project Team reviewers. The </w:t>
      </w:r>
      <w:r>
        <w:t xml:space="preserve">Awarded Vendor </w:t>
      </w:r>
      <w:r w:rsidRPr="00E21848">
        <w:t xml:space="preserve">will send an email to the Project Team reviewers that specifies the review due date and provides links to the items to be </w:t>
      </w:r>
      <w:r w:rsidR="00240257" w:rsidRPr="00E21848">
        <w:t>reviewed and</w:t>
      </w:r>
      <w:r w:rsidRPr="00E21848">
        <w:t xml:space="preserve"> will provide hard copies upon request.</w:t>
      </w:r>
      <w:r>
        <w:t xml:space="preserve"> </w:t>
      </w:r>
      <w:r w:rsidRPr="00E21848">
        <w:t>Hard copies may be produced on TWC equipment.</w:t>
      </w:r>
    </w:p>
    <w:p w14:paraId="0C399738" w14:textId="77777777" w:rsidR="00F95BFE" w:rsidRPr="00E21848" w:rsidRDefault="00F95BFE" w:rsidP="00F95BFE"/>
    <w:p w14:paraId="04AD2A6D" w14:textId="65A956FD" w:rsidR="00C9466F" w:rsidRDefault="00F95BFE" w:rsidP="00F95BFE">
      <w:bookmarkStart w:id="178" w:name="_Hlk523126435"/>
      <w:r w:rsidRPr="00E21848">
        <w:t xml:space="preserve">TWC and the </w:t>
      </w:r>
      <w:r>
        <w:t xml:space="preserve">Awarded Vendor </w:t>
      </w:r>
      <w:r w:rsidRPr="00E21848">
        <w:t>must agree on corrective actions and revised timeframes for reviews of deliverables if significant quality issues are encountered during deliverable</w:t>
      </w:r>
      <w:r>
        <w:t xml:space="preserve"> </w:t>
      </w:r>
      <w:r w:rsidRPr="00E21848">
        <w:t xml:space="preserve">review. Repeated quality issues will be escalated according to </w:t>
      </w:r>
      <w:hyperlink w:anchor="_4.2_Escalation_Path" w:history="1">
        <w:r w:rsidRPr="008E01DB">
          <w:rPr>
            <w:rStyle w:val="Hyperlink"/>
          </w:rPr>
          <w:t>Section 4.2</w:t>
        </w:r>
      </w:hyperlink>
      <w:r w:rsidRPr="00E21848">
        <w:t>, Escalation Path.</w:t>
      </w:r>
      <w:bookmarkEnd w:id="178"/>
    </w:p>
    <w:p w14:paraId="40B1F8BB" w14:textId="1A63C983" w:rsidR="00C9466F" w:rsidRDefault="00C9466F" w:rsidP="00C9466F">
      <w:pPr>
        <w:pStyle w:val="Heading2"/>
      </w:pPr>
      <w:bookmarkStart w:id="179" w:name="_3.5_Deliverable_Acceptance"/>
      <w:bookmarkStart w:id="180" w:name="_Toc13567438"/>
      <w:bookmarkEnd w:id="179"/>
      <w:r>
        <w:t>3.5</w:t>
      </w:r>
      <w:r>
        <w:tab/>
      </w:r>
      <w:r w:rsidR="00511896">
        <w:t>Deliverable Acceptance</w:t>
      </w:r>
      <w:bookmarkEnd w:id="180"/>
    </w:p>
    <w:p w14:paraId="4961462E" w14:textId="2949450A" w:rsidR="00F95BFE" w:rsidRPr="00E21848" w:rsidRDefault="00F95BFE" w:rsidP="00F95BFE">
      <w:bookmarkStart w:id="181" w:name="OLE_LINK1"/>
      <w:bookmarkStart w:id="182" w:name="OLE_LINK2"/>
      <w:r w:rsidRPr="00E21848">
        <w:t>Deliverable acceptance will be achieved only when TWC approves the deliverable in writing or electronically</w:t>
      </w:r>
      <w:r>
        <w:t xml:space="preserve"> in the TWC Project repository</w:t>
      </w:r>
      <w:r w:rsidRPr="00E21848">
        <w:t>.</w:t>
      </w:r>
      <w:r>
        <w:t xml:space="preserve"> </w:t>
      </w:r>
      <w:r w:rsidRPr="00E21848">
        <w:t xml:space="preserve">Approval will occur during the review period if </w:t>
      </w:r>
      <w:r>
        <w:t>the TWC IT Contract Manager</w:t>
      </w:r>
      <w:r w:rsidRPr="00E21848">
        <w:t xml:space="preserve"> </w:t>
      </w:r>
      <w:r>
        <w:t xml:space="preserve">or designee </w:t>
      </w:r>
      <w:r w:rsidRPr="00E21848">
        <w:t xml:space="preserve">does not request any changes or all requested changes are made and accepted by </w:t>
      </w:r>
      <w:r>
        <w:t xml:space="preserve">the TWC IT Contract Manager or designee </w:t>
      </w:r>
      <w:r w:rsidRPr="00E21848">
        <w:t>during the review period.</w:t>
      </w:r>
      <w:r>
        <w:t xml:space="preserve"> </w:t>
      </w:r>
      <w:r w:rsidRPr="00E21848">
        <w:t xml:space="preserve">Approval will occur after the original review period if </w:t>
      </w:r>
      <w:r>
        <w:t>the TWC IT Contract Manager</w:t>
      </w:r>
      <w:r w:rsidRPr="00E21848">
        <w:t xml:space="preserve"> requests changes during the review period that are still in progress or in subsequent review at the end of the original review period. </w:t>
      </w:r>
    </w:p>
    <w:p w14:paraId="33CE2AAE" w14:textId="77777777" w:rsidR="00F95BFE" w:rsidRPr="00E21848" w:rsidRDefault="00F95BFE" w:rsidP="00F95BFE">
      <w:r w:rsidRPr="00E21848">
        <w:t>Deliverable acceptance criteria include:</w:t>
      </w:r>
    </w:p>
    <w:p w14:paraId="07481222" w14:textId="0E8CEBBD" w:rsidR="00F95BFE" w:rsidRPr="00E21848" w:rsidRDefault="00F95BFE" w:rsidP="00E16D2D">
      <w:pPr>
        <w:pStyle w:val="LB1"/>
      </w:pPr>
      <w:r w:rsidRPr="00E21848">
        <w:t xml:space="preserve">Work conforms to the description and intent of all written agreements between the </w:t>
      </w:r>
      <w:r>
        <w:t xml:space="preserve">Awarded Vendor </w:t>
      </w:r>
      <w:r w:rsidRPr="00E21848">
        <w:t xml:space="preserve">and TWC (e.g., BAFO, </w:t>
      </w:r>
      <w:r>
        <w:t>DEDs</w:t>
      </w:r>
      <w:r w:rsidRPr="00E21848">
        <w:t>) unless all parties mutually a</w:t>
      </w:r>
      <w:r w:rsidR="004969E2">
        <w:t>gree in writing to modification;</w:t>
      </w:r>
    </w:p>
    <w:p w14:paraId="72EC4950" w14:textId="6720D137" w:rsidR="00F95BFE" w:rsidRPr="00E21848" w:rsidRDefault="00F95BFE" w:rsidP="00F82166">
      <w:pPr>
        <w:pStyle w:val="LB1"/>
      </w:pPr>
      <w:r w:rsidRPr="00E21848">
        <w:t>Deliverable meets all applicable TWC and Project standards, including but not limited to secu</w:t>
      </w:r>
      <w:r w:rsidR="004969E2">
        <w:t>rity, privacy and accessibility;</w:t>
      </w:r>
    </w:p>
    <w:p w14:paraId="6DC56D48" w14:textId="50A3F6C2" w:rsidR="00F95BFE" w:rsidRPr="00E21848" w:rsidRDefault="00F95BFE" w:rsidP="00F82166">
      <w:pPr>
        <w:pStyle w:val="LB1"/>
      </w:pPr>
      <w:r w:rsidRPr="00E21848">
        <w:t>Documents are structured and written to convey the information in a logical, comprehensible manner, usi</w:t>
      </w:r>
      <w:r w:rsidR="004969E2">
        <w:t>ng correct spelling and grammar;</w:t>
      </w:r>
    </w:p>
    <w:p w14:paraId="49FE60A9" w14:textId="445440F2" w:rsidR="00F95BFE" w:rsidRPr="00E21848" w:rsidRDefault="00F95BFE">
      <w:pPr>
        <w:pStyle w:val="LB1"/>
      </w:pPr>
      <w:r w:rsidRPr="00E21848">
        <w:t>The deliverable includes a description of how it fits i</w:t>
      </w:r>
      <w:r w:rsidR="004969E2">
        <w:t>nto the full Project life cycle;</w:t>
      </w:r>
    </w:p>
    <w:p w14:paraId="3ECF16D3" w14:textId="666A40FE" w:rsidR="00F95BFE" w:rsidRPr="00E21848" w:rsidRDefault="00F95BFE">
      <w:pPr>
        <w:pStyle w:val="LB1"/>
      </w:pPr>
      <w:r w:rsidRPr="00E21848">
        <w:lastRenderedPageBreak/>
        <w:t xml:space="preserve">If part of the deliverable is an activity, the </w:t>
      </w:r>
      <w:r w:rsidR="00B3119B">
        <w:t>Task</w:t>
      </w:r>
      <w:r w:rsidRPr="00E21848">
        <w:t xml:space="preserve"> describes the process and the outcomes for that activity (e.g., c</w:t>
      </w:r>
      <w:r w:rsidR="004969E2">
        <w:t>onducting group input sessions);</w:t>
      </w:r>
    </w:p>
    <w:p w14:paraId="29AB77EB" w14:textId="7892EC22" w:rsidR="00F95BFE" w:rsidRPr="00E33C69" w:rsidRDefault="00F95BFE">
      <w:pPr>
        <w:pStyle w:val="LB1"/>
      </w:pPr>
      <w:r w:rsidRPr="00E33C69">
        <w:t xml:space="preserve">All work products are stored on the </w:t>
      </w:r>
      <w:r w:rsidR="008E01DB" w:rsidRPr="00E33C69">
        <w:t xml:space="preserve">TWC </w:t>
      </w:r>
      <w:r w:rsidRPr="00E33C69">
        <w:t>SharePoint site</w:t>
      </w:r>
      <w:r w:rsidR="00204F5D" w:rsidRPr="00E33C69">
        <w:t xml:space="preserve">, </w:t>
      </w:r>
      <w:r w:rsidR="009F36DA">
        <w:t xml:space="preserve">TWC’s </w:t>
      </w:r>
      <w:r w:rsidR="00A71CC6">
        <w:t>ALM</w:t>
      </w:r>
      <w:r w:rsidR="00E33C69" w:rsidRPr="00E33C69">
        <w:t>, or TWC</w:t>
      </w:r>
      <w:r w:rsidR="004E128C">
        <w:t>’s</w:t>
      </w:r>
      <w:r w:rsidR="00E33C69" w:rsidRPr="00E33C69">
        <w:t xml:space="preserve"> LAN as directed by the TWC IT Project Manager</w:t>
      </w:r>
      <w:r w:rsidR="004969E2">
        <w:t>;</w:t>
      </w:r>
    </w:p>
    <w:p w14:paraId="32242EFD" w14:textId="0308C082" w:rsidR="00F95BFE" w:rsidRPr="00E21848" w:rsidRDefault="00F95BFE">
      <w:pPr>
        <w:pStyle w:val="LB1"/>
      </w:pPr>
      <w:r w:rsidRPr="00E21848">
        <w:t>TWC will retain all ownership of final work products and working documents after the deliverable is complete.</w:t>
      </w:r>
      <w:r>
        <w:t xml:space="preserve"> TWC will also maintain ownership of any incomplete work products if there is a termination according to the terms and conditions (</w:t>
      </w:r>
      <w:r w:rsidRPr="00397427">
        <w:rPr>
          <w:color w:val="000000" w:themeColor="text1"/>
        </w:rPr>
        <w:t xml:space="preserve">see </w:t>
      </w:r>
      <w:hyperlink w:anchor="_Attachment_1_–" w:history="1">
        <w:r w:rsidRPr="009833B0">
          <w:rPr>
            <w:rStyle w:val="Hyperlink"/>
            <w:bCs/>
          </w:rPr>
          <w:t>Attachment 1</w:t>
        </w:r>
      </w:hyperlink>
      <w:r>
        <w:rPr>
          <w:bCs/>
        </w:rPr>
        <w:t xml:space="preserve"> -</w:t>
      </w:r>
      <w:r w:rsidRPr="00E21848">
        <w:rPr>
          <w:bCs/>
        </w:rPr>
        <w:t xml:space="preserve"> Texas Workforce Commission - Terms &amp; Conditions</w:t>
      </w:r>
      <w:r w:rsidRPr="00397427">
        <w:rPr>
          <w:color w:val="000000" w:themeColor="text1"/>
        </w:rPr>
        <w:t>)</w:t>
      </w:r>
      <w:r w:rsidR="004969E2">
        <w:t>;</w:t>
      </w:r>
    </w:p>
    <w:p w14:paraId="312B77BA" w14:textId="208C9C91" w:rsidR="00F95BFE" w:rsidRPr="00E21848" w:rsidRDefault="00F95BFE">
      <w:pPr>
        <w:pStyle w:val="LB1"/>
      </w:pPr>
      <w:r w:rsidRPr="00E21848">
        <w:t>All deliverables and other work products related to each Project phase, including research, notes, and important emails that are not included in the final deliverables, are stored in the Project directory</w:t>
      </w:r>
      <w:r>
        <w:t xml:space="preserve"> or SharePoint site</w:t>
      </w:r>
      <w:r w:rsidR="004969E2">
        <w:t>;</w:t>
      </w:r>
    </w:p>
    <w:p w14:paraId="6B9CEFE9" w14:textId="5C981C27" w:rsidR="00F95BFE" w:rsidRDefault="00F95BFE">
      <w:pPr>
        <w:pStyle w:val="LB1"/>
      </w:pPr>
      <w:r w:rsidRPr="00E21848">
        <w:t xml:space="preserve">Any confidential Project documents or information are stored in a secure, limited access </w:t>
      </w:r>
      <w:r>
        <w:t>directory on the TWC share drive</w:t>
      </w:r>
      <w:r w:rsidR="004969E2">
        <w:t>; and</w:t>
      </w:r>
    </w:p>
    <w:p w14:paraId="5693FE21" w14:textId="7EACB993" w:rsidR="00C9466F" w:rsidRDefault="00F95BFE">
      <w:pPr>
        <w:pStyle w:val="LB1"/>
      </w:pPr>
      <w:r w:rsidRPr="00E21848">
        <w:t>Deliverables will be produced using agreed upon document templates; are tailored with the Project name and/or logo; and includes the saved date/time and filename and path in the document footer.</w:t>
      </w:r>
      <w:r>
        <w:t xml:space="preserve"> </w:t>
      </w:r>
      <w:r w:rsidRPr="00E21848">
        <w:t>Documents and recommendations received are subject to Project Team and stakeholder review and approval.</w:t>
      </w:r>
      <w:bookmarkEnd w:id="181"/>
      <w:bookmarkEnd w:id="182"/>
    </w:p>
    <w:p w14:paraId="611B0013" w14:textId="7AB900FF" w:rsidR="00C9466F" w:rsidRDefault="00C9466F" w:rsidP="00C9466F">
      <w:pPr>
        <w:pStyle w:val="Heading2"/>
      </w:pPr>
      <w:bookmarkStart w:id="183" w:name="_Toc13567439"/>
      <w:r>
        <w:t>3.6</w:t>
      </w:r>
      <w:r>
        <w:tab/>
        <w:t>Invoices</w:t>
      </w:r>
      <w:bookmarkEnd w:id="183"/>
    </w:p>
    <w:p w14:paraId="3D583DC6" w14:textId="6A09D543" w:rsidR="00F95BFE" w:rsidRPr="00E21848" w:rsidRDefault="00F95BFE" w:rsidP="00F95BFE">
      <w:r w:rsidRPr="00E21848">
        <w:t xml:space="preserve">The </w:t>
      </w:r>
      <w:r>
        <w:t xml:space="preserve">Awarded Vendor </w:t>
      </w:r>
      <w:r w:rsidRPr="00E21848">
        <w:t>may invoice TWC for a deliverable only after TWC has formally accepted the deliverable</w:t>
      </w:r>
      <w:r>
        <w:t xml:space="preserve"> in writing</w:t>
      </w:r>
      <w:r w:rsidRPr="00E21848">
        <w:t>.</w:t>
      </w:r>
      <w:r>
        <w:t xml:space="preserve"> </w:t>
      </w:r>
      <w:r w:rsidRPr="00E21848">
        <w:t xml:space="preserve">TWC documents deliverable approval </w:t>
      </w:r>
      <w:r w:rsidR="00E4478F" w:rsidRPr="00E21848">
        <w:t>using</w:t>
      </w:r>
      <w:r w:rsidRPr="00E21848">
        <w:t xml:space="preserve"> Microsoft Outlook voting buttons and approval must be received from all documented signatories or their de</w:t>
      </w:r>
      <w:r>
        <w:t>signe</w:t>
      </w:r>
      <w:r w:rsidRPr="00E21848">
        <w:t>es.</w:t>
      </w:r>
      <w:r>
        <w:t xml:space="preserve"> Awarded Vendor may not invoice TWC for work in progress deliverables.</w:t>
      </w:r>
    </w:p>
    <w:p w14:paraId="73207292" w14:textId="77777777" w:rsidR="00516496" w:rsidRDefault="00516496" w:rsidP="00516496">
      <w:bookmarkStart w:id="184" w:name="_Hlk7704222"/>
      <w:r>
        <w:t>Invoices</w:t>
      </w:r>
      <w:r w:rsidRPr="00E21848">
        <w:t xml:space="preserve"> will be </w:t>
      </w:r>
      <w:r>
        <w:t>prepared</w:t>
      </w:r>
      <w:r w:rsidRPr="00E21848">
        <w:t xml:space="preserve"> in accordance with </w:t>
      </w:r>
      <w:hyperlink w:anchor="_Attachment_1_–" w:history="1">
        <w:r w:rsidRPr="009833B0">
          <w:rPr>
            <w:rStyle w:val="Hyperlink"/>
            <w:bCs/>
          </w:rPr>
          <w:t>Attachment 1</w:t>
        </w:r>
      </w:hyperlink>
      <w:r>
        <w:t xml:space="preserve"> -</w:t>
      </w:r>
      <w:r w:rsidRPr="00E21848">
        <w:t xml:space="preserve"> Texas Workforce Commission - Terms &amp; Conditions, Section </w:t>
      </w:r>
      <w:r>
        <w:t>7</w:t>
      </w:r>
      <w:r w:rsidRPr="00E21848">
        <w:t xml:space="preserve">, </w:t>
      </w:r>
      <w:r>
        <w:t>Invoicing Instructions</w:t>
      </w:r>
      <w:r w:rsidRPr="00E21848">
        <w:t>.</w:t>
      </w:r>
    </w:p>
    <w:p w14:paraId="7D46AA32" w14:textId="2B62AD6C" w:rsidR="00F95BFE" w:rsidRPr="00E21848" w:rsidRDefault="00F95BFE" w:rsidP="00F95BFE">
      <w:r w:rsidRPr="00E21848">
        <w:t>Invoices must be submitted to TWC at the</w:t>
      </w:r>
      <w:r w:rsidRPr="00E21848">
        <w:rPr>
          <w:b/>
        </w:rPr>
        <w:t xml:space="preserve"> </w:t>
      </w:r>
      <w:r w:rsidRPr="00E21848">
        <w:t>address indicated on the Purchase Order (PO)</w:t>
      </w:r>
      <w:r w:rsidR="00061AEF">
        <w:t>, signatures are not required</w:t>
      </w:r>
      <w:r w:rsidR="004415E0">
        <w:t xml:space="preserve"> on invoices</w:t>
      </w:r>
      <w:r w:rsidRPr="00E21848">
        <w:t xml:space="preserve">. The TWC Accounting Department requires copies of invoices for their files. The </w:t>
      </w:r>
      <w:r>
        <w:t xml:space="preserve">Awarded Vendor </w:t>
      </w:r>
      <w:r w:rsidRPr="00E21848">
        <w:t xml:space="preserve">may also submit invoices electronically via email to </w:t>
      </w:r>
      <w:hyperlink r:id="rId36" w:history="1">
        <w:r w:rsidRPr="00E21848">
          <w:rPr>
            <w:rStyle w:val="Hyperlink"/>
          </w:rPr>
          <w:t>appo@twc.state.tx.us</w:t>
        </w:r>
      </w:hyperlink>
      <w:r w:rsidRPr="00E21848">
        <w:t xml:space="preserve">. The </w:t>
      </w:r>
      <w:r>
        <w:t xml:space="preserve">Awarded Vendor </w:t>
      </w:r>
      <w:r w:rsidRPr="00E21848">
        <w:t xml:space="preserve">should submit an electronic copy to the </w:t>
      </w:r>
      <w:r>
        <w:t xml:space="preserve">TWC IT Contract Manager </w:t>
      </w:r>
      <w:r w:rsidRPr="00E21848">
        <w:t>and the Program Manager.</w:t>
      </w:r>
    </w:p>
    <w:bookmarkEnd w:id="184"/>
    <w:p w14:paraId="53289DF9" w14:textId="58413851" w:rsidR="00516496" w:rsidRDefault="00516496" w:rsidP="009F4734">
      <w:r w:rsidRPr="00516496">
        <w:t>Incomplete invoices must be corrected, resubmitted to TWC, and will be paid within thirty (30) days of receipt of the uncontested invoice.</w:t>
      </w:r>
    </w:p>
    <w:p w14:paraId="6CFD0409" w14:textId="658800F3" w:rsidR="00C9466F" w:rsidRDefault="00F95BFE" w:rsidP="00F95BFE">
      <w:r w:rsidRPr="00E21848">
        <w:t xml:space="preserve">Payments will be made in accordance with </w:t>
      </w:r>
      <w:hyperlink w:anchor="_Attachment_1_–" w:history="1">
        <w:r w:rsidRPr="009833B0">
          <w:rPr>
            <w:rStyle w:val="Hyperlink"/>
            <w:bCs/>
          </w:rPr>
          <w:t>Attachment 1</w:t>
        </w:r>
      </w:hyperlink>
      <w:r>
        <w:t xml:space="preserve"> -</w:t>
      </w:r>
      <w:r w:rsidRPr="00E21848">
        <w:t xml:space="preserve"> Texas Workforce Commission - Terms &amp; Conditions, Section 8, </w:t>
      </w:r>
      <w:r w:rsidRPr="00535C5F">
        <w:t>Payment.</w:t>
      </w:r>
      <w:r w:rsidR="00535C5F" w:rsidRPr="00535C5F">
        <w:t xml:space="preserve"> This includes payments made by Awarded Vendor to any subcontractor, and payments by a subcontractor to any other person or entity that provides goods or services under this Contract</w:t>
      </w:r>
      <w:r w:rsidR="00535C5F">
        <w:t>.</w:t>
      </w:r>
    </w:p>
    <w:p w14:paraId="4279F926" w14:textId="1D9EFCA8" w:rsidR="00C9466F" w:rsidRDefault="00C9466F" w:rsidP="00C9466F">
      <w:pPr>
        <w:pStyle w:val="Heading2"/>
      </w:pPr>
      <w:bookmarkStart w:id="185" w:name="_Toc13567440"/>
      <w:r>
        <w:lastRenderedPageBreak/>
        <w:t>3.7</w:t>
      </w:r>
      <w:r>
        <w:tab/>
        <w:t>Reports and Meetings</w:t>
      </w:r>
      <w:bookmarkEnd w:id="185"/>
    </w:p>
    <w:p w14:paraId="0A0A4495" w14:textId="467A1AB6" w:rsidR="008D2EBE" w:rsidRPr="00E21848" w:rsidRDefault="008D2EBE" w:rsidP="008D2EBE">
      <w:r w:rsidRPr="00E21848">
        <w:t xml:space="preserve">The </w:t>
      </w:r>
      <w:r>
        <w:t xml:space="preserve">Awarded Vendor </w:t>
      </w:r>
      <w:r w:rsidRPr="00E21848">
        <w:t xml:space="preserve">is required to provide weekly written Project Status Reports for this Project to the </w:t>
      </w:r>
      <w:r>
        <w:t xml:space="preserve">TWC IT Project Manager </w:t>
      </w:r>
      <w:r w:rsidRPr="00E21848">
        <w:t xml:space="preserve">and the Program Manager by close of business the first business day of each week throughout the life of the Project, unless a different due date is mutually agreed upon </w:t>
      </w:r>
      <w:r>
        <w:t xml:space="preserve">in writing </w:t>
      </w:r>
      <w:r w:rsidRPr="00E21848">
        <w:t xml:space="preserve">by the </w:t>
      </w:r>
      <w:r w:rsidR="00003A39">
        <w:t xml:space="preserve">TWC IT Project Manager, </w:t>
      </w:r>
      <w:r w:rsidR="00003A39" w:rsidRPr="00E21848">
        <w:t>Program Manager</w:t>
      </w:r>
      <w:r w:rsidR="00003A39">
        <w:t xml:space="preserve">, and </w:t>
      </w:r>
      <w:r>
        <w:t xml:space="preserve">Awarded Vendor </w:t>
      </w:r>
      <w:r w:rsidRPr="00E21848">
        <w:t>Project Man</w:t>
      </w:r>
      <w:r w:rsidR="001E3200">
        <w:t>ager</w:t>
      </w:r>
      <w:r w:rsidRPr="00E21848">
        <w:t>.</w:t>
      </w:r>
      <w:r>
        <w:t xml:space="preserve"> </w:t>
      </w:r>
      <w:r w:rsidR="00F8078A">
        <w:t xml:space="preserve">Weekly status reports </w:t>
      </w:r>
      <w:bookmarkStart w:id="186" w:name="_Hlk11321136"/>
      <w:r w:rsidR="00F8078A">
        <w:t>are not paid deliverables</w:t>
      </w:r>
      <w:bookmarkEnd w:id="186"/>
      <w:r w:rsidR="00F8078A">
        <w:t xml:space="preserve">. </w:t>
      </w:r>
      <w:r w:rsidR="00F8078A" w:rsidRPr="00E21848">
        <w:t xml:space="preserve">The </w:t>
      </w:r>
      <w:r w:rsidR="00F8078A">
        <w:t xml:space="preserve">Awarded Vendor </w:t>
      </w:r>
      <w:r w:rsidR="00F8078A" w:rsidRPr="00E21848">
        <w:t>Project Status Reports will</w:t>
      </w:r>
      <w:r w:rsidRPr="00E21848">
        <w:t>:</w:t>
      </w:r>
    </w:p>
    <w:p w14:paraId="6AEB7EC6" w14:textId="5186467D" w:rsidR="008D2EBE" w:rsidRPr="00E21848" w:rsidRDefault="008D2EBE" w:rsidP="00E16D2D">
      <w:pPr>
        <w:pStyle w:val="LB1"/>
      </w:pPr>
      <w:r w:rsidRPr="00E21848">
        <w:t>Cover all work performed and completed during the week for which the Project Status Report is provided and present the work to be perfor</w:t>
      </w:r>
      <w:r w:rsidR="004969E2">
        <w:t>med during the subsequent week;</w:t>
      </w:r>
    </w:p>
    <w:p w14:paraId="676B5907" w14:textId="69D7B9BE" w:rsidR="008D2EBE" w:rsidRPr="00E21848" w:rsidRDefault="008D2EBE" w:rsidP="00F82166">
      <w:pPr>
        <w:pStyle w:val="LB1"/>
      </w:pPr>
      <w:r w:rsidRPr="00E21848">
        <w:t xml:space="preserve">Include the percent complete for each deliverable and an updated </w:t>
      </w:r>
      <w:r>
        <w:t>Project M</w:t>
      </w:r>
      <w:r w:rsidRPr="00E21848">
        <w:t xml:space="preserve">ilestone </w:t>
      </w:r>
      <w:r>
        <w:t>table</w:t>
      </w:r>
      <w:r w:rsidR="004969E2">
        <w:t>;</w:t>
      </w:r>
    </w:p>
    <w:p w14:paraId="1C435F5A" w14:textId="57946CFB" w:rsidR="008D2EBE" w:rsidRPr="00E21848" w:rsidRDefault="008D2EBE" w:rsidP="00F82166">
      <w:pPr>
        <w:pStyle w:val="LB1"/>
      </w:pPr>
      <w:r w:rsidRPr="00E21848">
        <w:t>Include any positive or negative events since the last report of which TWC Execu</w:t>
      </w:r>
      <w:r w:rsidR="004969E2">
        <w:t xml:space="preserve">tive Management should be aware; </w:t>
      </w:r>
    </w:p>
    <w:p w14:paraId="24E84334" w14:textId="0A02AE44" w:rsidR="00003A39" w:rsidRDefault="008D2EBE">
      <w:pPr>
        <w:pStyle w:val="LB1"/>
      </w:pPr>
      <w:r w:rsidRPr="00E21848">
        <w:t xml:space="preserve">Identify any problems </w:t>
      </w:r>
      <w:r>
        <w:t xml:space="preserve">(to include, but not limited to, preparation and/or acceptance of deliverables) </w:t>
      </w:r>
      <w:r w:rsidRPr="00E21848">
        <w:t>encountered or still outstanding with an explanation of the cause and resolution of the problem or how the problem will be resolved</w:t>
      </w:r>
      <w:r w:rsidR="00003A39">
        <w:t>; and</w:t>
      </w:r>
    </w:p>
    <w:p w14:paraId="5FADB232" w14:textId="1706583F" w:rsidR="008D2EBE" w:rsidRPr="00E21848" w:rsidRDefault="00003A39">
      <w:pPr>
        <w:pStyle w:val="LB1"/>
      </w:pPr>
      <w:r>
        <w:t>Provide dashboard views of schedule performance with respect to critical deliverables and milestones</w:t>
      </w:r>
      <w:r w:rsidR="008D2EBE" w:rsidRPr="00E21848">
        <w:t xml:space="preserve">. </w:t>
      </w:r>
    </w:p>
    <w:p w14:paraId="4EC946C4" w14:textId="594B96A4" w:rsidR="00C9466F" w:rsidRDefault="00C9466F" w:rsidP="008D2EBE"/>
    <w:p w14:paraId="55FFBA51" w14:textId="66B5BDD2" w:rsidR="008D2EBE" w:rsidRDefault="008D2EBE" w:rsidP="008D2EBE">
      <w:r w:rsidRPr="00E21848">
        <w:t xml:space="preserve">The </w:t>
      </w:r>
      <w:r>
        <w:t xml:space="preserve">Awarded Vendor </w:t>
      </w:r>
      <w:r w:rsidRPr="00E21848">
        <w:t xml:space="preserve">will be responsible for conducting weekly status meetings with the </w:t>
      </w:r>
      <w:r>
        <w:t xml:space="preserve">TWC IT Project Manager </w:t>
      </w:r>
      <w:r w:rsidRPr="00E21848">
        <w:t xml:space="preserve">and the Program Manager and other TWC Project Team members at a mutually agreed upon day, time and location. </w:t>
      </w:r>
    </w:p>
    <w:p w14:paraId="654016C6" w14:textId="14B2D434" w:rsidR="00F472BD" w:rsidRPr="00E21848" w:rsidRDefault="00F472BD" w:rsidP="008D2EBE">
      <w:r>
        <w:t xml:space="preserve">The Awarded Vendor will </w:t>
      </w:r>
      <w:r w:rsidR="003210D0">
        <w:t xml:space="preserve">provide a Monthly Project Schedule report within five (5) business days after the end of each month. The Monthly Project Schedule report must include a </w:t>
      </w:r>
      <w:r w:rsidR="003210D0" w:rsidRPr="003210D0">
        <w:t>comparison of actuals to the Baseline Schedule</w:t>
      </w:r>
      <w:r w:rsidR="003210D0">
        <w:t xml:space="preserve"> a</w:t>
      </w:r>
      <w:r w:rsidR="003210D0" w:rsidRPr="003210D0">
        <w:t xml:space="preserve">nd </w:t>
      </w:r>
      <w:bookmarkStart w:id="187" w:name="_Hlk8829777"/>
      <w:r w:rsidR="003210D0" w:rsidRPr="003210D0">
        <w:t xml:space="preserve">development and implementation </w:t>
      </w:r>
      <w:bookmarkEnd w:id="187"/>
      <w:r w:rsidR="003210D0" w:rsidRPr="003210D0">
        <w:t>of a Remedial Schedule to bring the project back on schedule</w:t>
      </w:r>
      <w:r w:rsidR="00897175">
        <w:t xml:space="preserve"> if necessary</w:t>
      </w:r>
      <w:r w:rsidR="003210D0">
        <w:t xml:space="preserve">. Remedial Schedule </w:t>
      </w:r>
      <w:r w:rsidR="00897175">
        <w:t xml:space="preserve">and associated remedies </w:t>
      </w:r>
      <w:r w:rsidR="003210D0">
        <w:t>must be approved by the TWC Project Manager prior to implementation. D</w:t>
      </w:r>
      <w:r w:rsidR="003210D0" w:rsidRPr="003210D0">
        <w:t xml:space="preserve">evelopment </w:t>
      </w:r>
      <w:r w:rsidR="003210D0">
        <w:t xml:space="preserve">of the Remedial Schedule </w:t>
      </w:r>
      <w:r w:rsidR="003210D0" w:rsidRPr="003210D0">
        <w:t xml:space="preserve">and implementation </w:t>
      </w:r>
      <w:r w:rsidR="003210D0">
        <w:t xml:space="preserve">of Remedial Schedule </w:t>
      </w:r>
      <w:r w:rsidR="00897175">
        <w:t xml:space="preserve">remedies must be made </w:t>
      </w:r>
      <w:r w:rsidR="003210D0" w:rsidRPr="003210D0">
        <w:t>at no additional cost to TWC</w:t>
      </w:r>
      <w:r w:rsidR="003210D0">
        <w:t>.</w:t>
      </w:r>
    </w:p>
    <w:p w14:paraId="4E9B9269" w14:textId="50E79939" w:rsidR="008D2EBE" w:rsidRPr="00E21848" w:rsidRDefault="008D2EBE" w:rsidP="008D2EBE">
      <w:r w:rsidRPr="00E21848">
        <w:t xml:space="preserve">The </w:t>
      </w:r>
      <w:r>
        <w:t xml:space="preserve">Awarded Vendor </w:t>
      </w:r>
      <w:r w:rsidRPr="00E21848">
        <w:t>will comply with and support TWC’s IT Investment Management process, which is a business-driven governance structure that prioritizes and oversees all investments in IT.</w:t>
      </w:r>
      <w:r>
        <w:t xml:space="preserve"> </w:t>
      </w:r>
      <w:r w:rsidRPr="00E21848">
        <w:t>The IT Investment Management process helps ensure the highest value functionality is developed and that those changes to the plans or scope during the Project do not affect the ultimate realization of the planned benefits.</w:t>
      </w:r>
      <w:r>
        <w:t xml:space="preserve"> </w:t>
      </w:r>
      <w:r w:rsidRPr="00E21848">
        <w:t>The Business Enterprise Strategic Technology (BEST) Team is responsible for ensuring that TWC’s IT initiatives and proposed projects help the organization achieve its strategic goals and objectives.</w:t>
      </w:r>
      <w:r>
        <w:t xml:space="preserve"> </w:t>
      </w:r>
      <w:r w:rsidRPr="00E21848">
        <w:t>Project Steering Committees are responsible for reviewing, prioritizing</w:t>
      </w:r>
      <w:r>
        <w:t>,</w:t>
      </w:r>
      <w:r w:rsidRPr="00E21848">
        <w:t xml:space="preserve"> and overseeing </w:t>
      </w:r>
      <w:r w:rsidRPr="00E21848">
        <w:lastRenderedPageBreak/>
        <w:t xml:space="preserve">tactical and strategic IT initiatives across the </w:t>
      </w:r>
      <w:r w:rsidR="001E3200" w:rsidRPr="00E21848">
        <w:t>organization and</w:t>
      </w:r>
      <w:r w:rsidRPr="00E21848">
        <w:t xml:space="preserve"> monitoring the effective and cost-efficient application of information technologies, related personnel resources and funding. </w:t>
      </w:r>
    </w:p>
    <w:p w14:paraId="414CAFF2" w14:textId="7C5310FF" w:rsidR="008D2EBE" w:rsidRDefault="008D2EBE" w:rsidP="008D2EBE">
      <w:r w:rsidRPr="00E21848">
        <w:t>This Project is under a Project Steering Committee’s direct oversight and monitoring.</w:t>
      </w:r>
      <w:r>
        <w:t xml:space="preserve"> </w:t>
      </w:r>
      <w:r w:rsidRPr="00E21848">
        <w:t xml:space="preserve">The </w:t>
      </w:r>
      <w:r>
        <w:t xml:space="preserve">TWC IT Project Manager </w:t>
      </w:r>
      <w:r w:rsidRPr="00E21848">
        <w:t xml:space="preserve">submits an individual monthly Project Status Report, providing detail about the Project, a status summary, accomplishments, budget, timeline, issues, </w:t>
      </w:r>
      <w:r w:rsidR="00F8078A" w:rsidRPr="00E21848">
        <w:t xml:space="preserve">and </w:t>
      </w:r>
      <w:r w:rsidR="00F8078A">
        <w:t>change r</w:t>
      </w:r>
      <w:r w:rsidR="00F8078A" w:rsidRPr="00E21848">
        <w:t>equests</w:t>
      </w:r>
      <w:r w:rsidRPr="00E21848">
        <w:t>.</w:t>
      </w:r>
      <w:r>
        <w:t xml:space="preserve"> </w:t>
      </w:r>
      <w:r w:rsidRPr="00E21848">
        <w:t>The reports are submitted to the TWC PMO by saving them in the shared directory by close of business on the fifth business day of the month.</w:t>
      </w:r>
      <w:r>
        <w:t xml:space="preserve"> </w:t>
      </w:r>
      <w:r w:rsidRPr="00E21848">
        <w:t>PMO reviews for completeness, obtains corrections if needed, and updates the Project Portfolio List based on the reports.</w:t>
      </w:r>
      <w:r>
        <w:t xml:space="preserve"> </w:t>
      </w:r>
    </w:p>
    <w:p w14:paraId="6073BB77" w14:textId="44015DA4" w:rsidR="002D6C1B" w:rsidRDefault="002D6C1B" w:rsidP="00130DDA">
      <w:pPr>
        <w:pStyle w:val="Heading2"/>
      </w:pPr>
      <w:bookmarkStart w:id="188" w:name="_Toc13567441"/>
      <w:r>
        <w:t>3.</w:t>
      </w:r>
      <w:r w:rsidR="00BE66C9">
        <w:t>8</w:t>
      </w:r>
      <w:r>
        <w:tab/>
      </w:r>
      <w:r w:rsidR="00846695">
        <w:t xml:space="preserve">Project </w:t>
      </w:r>
      <w:r>
        <w:t>Change Requests</w:t>
      </w:r>
      <w:bookmarkEnd w:id="188"/>
    </w:p>
    <w:p w14:paraId="36069CAC" w14:textId="24E1421B" w:rsidR="008D2EBE" w:rsidRDefault="008D2EBE" w:rsidP="008D2EBE">
      <w:r>
        <w:t xml:space="preserve">The Project Steering Committee will oversee this Project’s Change Control. TWC considers a change to be any activity that alters the scope, deliverables, basic architecture, cost or schedule of the Project.  All Change Requests are documented through the appropriate method(s) described below.  Once a change is approved by the Project Steering Committee, all related tasks are incorporated into the </w:t>
      </w:r>
      <w:r w:rsidR="002A57F8">
        <w:t>IMS</w:t>
      </w:r>
      <w:r>
        <w:t>.</w:t>
      </w:r>
    </w:p>
    <w:p w14:paraId="0D1100FB" w14:textId="00D4B213" w:rsidR="008D2EBE" w:rsidRDefault="00A911C7" w:rsidP="00E16D2D">
      <w:pPr>
        <w:pStyle w:val="LB1"/>
      </w:pPr>
      <w:r>
        <w:t xml:space="preserve">Change Requests can be initiated at any level, but must be submitted by the </w:t>
      </w:r>
      <w:r w:rsidR="00E37D9C">
        <w:t xml:space="preserve">TWC </w:t>
      </w:r>
      <w:r>
        <w:t>Project Manager</w:t>
      </w:r>
      <w:r w:rsidR="004969E2">
        <w:t>;</w:t>
      </w:r>
    </w:p>
    <w:p w14:paraId="7C2BD973" w14:textId="6ACBE98D" w:rsidR="002F1DD5" w:rsidRDefault="002F1DD5" w:rsidP="00F82166">
      <w:pPr>
        <w:pStyle w:val="LB1"/>
      </w:pPr>
      <w:bookmarkStart w:id="189" w:name="_Hlk2241615"/>
      <w:r>
        <w:t>The Awarded</w:t>
      </w:r>
      <w:r w:rsidR="008717CE">
        <w:t xml:space="preserve"> Vendor must</w:t>
      </w:r>
      <w:r w:rsidR="000D1618">
        <w:t xml:space="preserve"> identify</w:t>
      </w:r>
      <w:r w:rsidR="007D1176">
        <w:t xml:space="preserve"> all functional interdependencies related to the change request and</w:t>
      </w:r>
      <w:r w:rsidR="008717CE">
        <w:t xml:space="preserve"> respond with a time and effort estimate to TWC initiated change requests within</w:t>
      </w:r>
      <w:r w:rsidR="001F0272">
        <w:t xml:space="preserve"> five</w:t>
      </w:r>
      <w:r w:rsidR="008717CE">
        <w:t xml:space="preserve"> </w:t>
      </w:r>
      <w:r w:rsidR="001F0272">
        <w:t xml:space="preserve">(5) </w:t>
      </w:r>
      <w:r w:rsidR="008717CE">
        <w:t xml:space="preserve">business days of receipt; </w:t>
      </w:r>
    </w:p>
    <w:bookmarkEnd w:id="189"/>
    <w:p w14:paraId="605F5D65" w14:textId="1C8D84C9" w:rsidR="008D2EBE" w:rsidRDefault="008D2EBE" w:rsidP="00F82166">
      <w:pPr>
        <w:pStyle w:val="LB1"/>
      </w:pPr>
      <w:r>
        <w:t>The Project Steering Committee will review Change Requests and may approve the Change Request, consider alternatives, direct the Project Team to do more research, reject the Change Request and continue the Project,</w:t>
      </w:r>
      <w:r w:rsidR="004969E2">
        <w:t xml:space="preserve"> or reject the Change Request;</w:t>
      </w:r>
    </w:p>
    <w:p w14:paraId="458EDF15" w14:textId="2DE147B2" w:rsidR="008D2EBE" w:rsidRDefault="008D2EBE">
      <w:pPr>
        <w:pStyle w:val="LB1"/>
      </w:pPr>
      <w:r>
        <w:t>Should a Change Request approved by the Project Steering Committee require a change to the contract, then the IT Contract Manager will work with the Awarded Vendor Project Manager to create and gain the TWC and Awa</w:t>
      </w:r>
      <w:r w:rsidR="004969E2">
        <w:t>rded Vendor approvals necessary; and</w:t>
      </w:r>
    </w:p>
    <w:p w14:paraId="78380430" w14:textId="1510F7FB" w:rsidR="008D2EBE" w:rsidRDefault="008D2EBE">
      <w:pPr>
        <w:pStyle w:val="LB1"/>
      </w:pPr>
      <w:r>
        <w:t xml:space="preserve">The resulting signed Change Order </w:t>
      </w:r>
      <w:r w:rsidRPr="00CB57AE">
        <w:t>wi</w:t>
      </w:r>
      <w:r>
        <w:t xml:space="preserve">ll be </w:t>
      </w:r>
      <w:r w:rsidRPr="00CB57AE">
        <w:t xml:space="preserve">incorporated herein for all purposes. Affected work must not begin until the Change </w:t>
      </w:r>
      <w:r>
        <w:t>Order</w:t>
      </w:r>
      <w:r w:rsidRPr="00CB57AE">
        <w:t xml:space="preserve"> is signed.  The Change </w:t>
      </w:r>
      <w:r>
        <w:t xml:space="preserve">Order </w:t>
      </w:r>
      <w:r w:rsidRPr="00CB57AE">
        <w:t>must specify</w:t>
      </w:r>
      <w:r>
        <w:t xml:space="preserve"> the acceptance requirements for invoicing the agreed upon price.  </w:t>
      </w:r>
    </w:p>
    <w:p w14:paraId="5A1BCDA7" w14:textId="533A6997" w:rsidR="00132797" w:rsidRDefault="00132797" w:rsidP="00132797">
      <w:pPr>
        <w:pStyle w:val="Heading1"/>
      </w:pPr>
      <w:bookmarkStart w:id="190" w:name="_Toc13567442"/>
      <w:r>
        <w:lastRenderedPageBreak/>
        <w:t>Performance Management</w:t>
      </w:r>
      <w:bookmarkEnd w:id="190"/>
    </w:p>
    <w:p w14:paraId="02F1AEFC" w14:textId="2D66C3EB" w:rsidR="00132797" w:rsidRDefault="0057611A" w:rsidP="0057611A">
      <w:pPr>
        <w:pStyle w:val="Heading2"/>
      </w:pPr>
      <w:bookmarkStart w:id="191" w:name="_Toc13567443"/>
      <w:r>
        <w:t>4.1</w:t>
      </w:r>
      <w:r>
        <w:tab/>
        <w:t>Firm Fixed Price</w:t>
      </w:r>
      <w:bookmarkEnd w:id="191"/>
    </w:p>
    <w:p w14:paraId="144FC731" w14:textId="166C18BA" w:rsidR="009F65DE" w:rsidRDefault="0057611A" w:rsidP="0057611A">
      <w:r w:rsidRPr="00E21848">
        <w:t xml:space="preserve">The </w:t>
      </w:r>
      <w:r>
        <w:t xml:space="preserve">Awarded Vendor </w:t>
      </w:r>
      <w:r w:rsidRPr="00E21848">
        <w:t>must complete all requirements stated herein, including subsequent revisions and clarifications, for the firm</w:t>
      </w:r>
      <w:r w:rsidR="00C01471">
        <w:t>,</w:t>
      </w:r>
      <w:r w:rsidRPr="00E21848">
        <w:t xml:space="preserve"> fixed price </w:t>
      </w:r>
      <w:r w:rsidR="005A0A88">
        <w:t xml:space="preserve">per item </w:t>
      </w:r>
      <w:r w:rsidRPr="00E21848">
        <w:t xml:space="preserve">listed </w:t>
      </w:r>
      <w:r w:rsidR="005A0A88">
        <w:rPr>
          <w:szCs w:val="24"/>
        </w:rPr>
        <w:t>i</w:t>
      </w:r>
      <w:r w:rsidR="005A0A88" w:rsidRPr="00BC58FC">
        <w:rPr>
          <w:szCs w:val="24"/>
        </w:rPr>
        <w:t xml:space="preserve">n </w:t>
      </w:r>
      <w:hyperlink w:anchor="_Attachment_12_–" w:history="1">
        <w:r w:rsidR="005A0A88" w:rsidRPr="00C01471">
          <w:rPr>
            <w:rStyle w:val="Hyperlink"/>
            <w:szCs w:val="24"/>
          </w:rPr>
          <w:t>Attachment 12</w:t>
        </w:r>
      </w:hyperlink>
      <w:r w:rsidR="002E534E">
        <w:rPr>
          <w:szCs w:val="24"/>
        </w:rPr>
        <w:t xml:space="preserve"> </w:t>
      </w:r>
      <w:r w:rsidRPr="00E21848">
        <w:t>within the time frame noted in the Project Plan for each deliverable.</w:t>
      </w:r>
      <w:r>
        <w:t xml:space="preserve"> </w:t>
      </w:r>
      <w:r w:rsidR="006D41F4">
        <w:t xml:space="preserve">Unless stated </w:t>
      </w:r>
      <w:r w:rsidR="005A0A88">
        <w:rPr>
          <w:szCs w:val="24"/>
        </w:rPr>
        <w:t>i</w:t>
      </w:r>
      <w:r w:rsidR="005A0A88" w:rsidRPr="00BC58FC">
        <w:rPr>
          <w:szCs w:val="24"/>
        </w:rPr>
        <w:t xml:space="preserve">n </w:t>
      </w:r>
      <w:hyperlink w:anchor="_Attachment_12_–" w:history="1">
        <w:r w:rsidR="005A0A88" w:rsidRPr="00C01471">
          <w:rPr>
            <w:rStyle w:val="Hyperlink"/>
            <w:szCs w:val="24"/>
          </w:rPr>
          <w:t>Attachment 12</w:t>
        </w:r>
      </w:hyperlink>
      <w:r w:rsidR="006D41F4">
        <w:t xml:space="preserve">, </w:t>
      </w:r>
      <w:r w:rsidR="00040D3A">
        <w:t>TWC</w:t>
      </w:r>
      <w:r w:rsidR="006D41F4">
        <w:t xml:space="preserve"> </w:t>
      </w:r>
      <w:r w:rsidR="00040D3A">
        <w:t xml:space="preserve">will </w:t>
      </w:r>
      <w:r w:rsidR="006D41F4">
        <w:t>assume absolutely no other costs exist to satisfy the RF</w:t>
      </w:r>
      <w:r w:rsidR="00040D3A">
        <w:t>O’s requirements and the O</w:t>
      </w:r>
      <w:r w:rsidR="006D41F4">
        <w:t xml:space="preserve">fferor’s proposed solution. Therefore, the </w:t>
      </w:r>
      <w:r w:rsidR="00040D3A">
        <w:t>Awarded Vendor will</w:t>
      </w:r>
      <w:r w:rsidR="006D41F4">
        <w:t xml:space="preserve"> be responsible for any additional costs.</w:t>
      </w:r>
    </w:p>
    <w:p w14:paraId="409EBD9C" w14:textId="1B6F34F8" w:rsidR="0057611A" w:rsidRDefault="0057611A" w:rsidP="0057611A">
      <w:r w:rsidRPr="00E21848">
        <w:t xml:space="preserve">The fixed-deliverable price is for conducting the scope of work described in the </w:t>
      </w:r>
      <w:r w:rsidRPr="005E44E5">
        <w:t>RFO, and TWC will only consider Change Orders that increase cost for increases in that defined scope of work. TWC</w:t>
      </w:r>
      <w:r w:rsidRPr="00E21848">
        <w:t xml:space="preserve"> is greatly committed to this Project and will work with the </w:t>
      </w:r>
      <w:r>
        <w:t xml:space="preserve">Awarded Vendor </w:t>
      </w:r>
      <w:r w:rsidRPr="00E21848">
        <w:t>to mitigate risk and resolve issues quickly.</w:t>
      </w:r>
    </w:p>
    <w:p w14:paraId="24DCDF9E" w14:textId="77777777" w:rsidR="0057611A" w:rsidRPr="009D1E67" w:rsidRDefault="0057611A" w:rsidP="0057611A">
      <w:pPr>
        <w:rPr>
          <w:b/>
        </w:rPr>
      </w:pPr>
      <w:r w:rsidRPr="009D1E67">
        <w:rPr>
          <w:b/>
        </w:rPr>
        <w:t>However, please note:</w:t>
      </w:r>
    </w:p>
    <w:p w14:paraId="487B70FD" w14:textId="62764573" w:rsidR="0057611A" w:rsidRPr="00A63DC3" w:rsidRDefault="0057611A" w:rsidP="00E16D2D">
      <w:pPr>
        <w:pStyle w:val="LB1"/>
      </w:pPr>
      <w:r w:rsidRPr="00A63DC3">
        <w:t xml:space="preserve">Conflicting information contained in the Exhibits, and, or Attachments relating to functional or technical requirements </w:t>
      </w:r>
      <w:r>
        <w:t>will</w:t>
      </w:r>
      <w:r w:rsidR="004969E2">
        <w:t xml:space="preserve"> be resolved in favor of TWC; and</w:t>
      </w:r>
    </w:p>
    <w:p w14:paraId="5A76D122" w14:textId="32D58BED" w:rsidR="0057611A" w:rsidRDefault="0057611A" w:rsidP="00F82166">
      <w:pPr>
        <w:pStyle w:val="LB1"/>
      </w:pPr>
      <w:r w:rsidRPr="00A63DC3">
        <w:t xml:space="preserve">A misunderstanding by the </w:t>
      </w:r>
      <w:r>
        <w:t xml:space="preserve">Awarded Vendor </w:t>
      </w:r>
      <w:r w:rsidRPr="00A63DC3">
        <w:t xml:space="preserve">of the complexity or scope of the functional or technical requirements within the contract and </w:t>
      </w:r>
      <w:r>
        <w:t xml:space="preserve">all </w:t>
      </w:r>
      <w:r w:rsidRPr="00A63DC3">
        <w:t xml:space="preserve">attachments </w:t>
      </w:r>
      <w:r>
        <w:t xml:space="preserve">and Exhibits </w:t>
      </w:r>
      <w:r w:rsidRPr="00A63DC3">
        <w:t>will not result in cost increase for TWC.</w:t>
      </w:r>
      <w:r w:rsidR="0089683C">
        <w:t xml:space="preserve"> For this reason, TWC stresses the expectation that Offerors include anticipated costs with respect to progressive requirements elaboration, see </w:t>
      </w:r>
      <w:hyperlink w:anchor="_2.2.2_Required_Deliverable" w:history="1">
        <w:r w:rsidR="0089683C" w:rsidRPr="0089683C">
          <w:rPr>
            <w:rStyle w:val="Hyperlink"/>
          </w:rPr>
          <w:t>Section 2.2.2</w:t>
        </w:r>
      </w:hyperlink>
      <w:r w:rsidR="0089683C">
        <w:t>.</w:t>
      </w:r>
    </w:p>
    <w:p w14:paraId="14F875EA" w14:textId="20B26A5D" w:rsidR="00132797" w:rsidRDefault="0057611A" w:rsidP="0057611A">
      <w:pPr>
        <w:pStyle w:val="Heading2"/>
      </w:pPr>
      <w:bookmarkStart w:id="192" w:name="_4.2_Escalation_Path"/>
      <w:bookmarkStart w:id="193" w:name="_Toc13567444"/>
      <w:bookmarkEnd w:id="192"/>
      <w:r>
        <w:t>4.2</w:t>
      </w:r>
      <w:r>
        <w:tab/>
        <w:t>Escalation Path</w:t>
      </w:r>
      <w:bookmarkEnd w:id="193"/>
    </w:p>
    <w:p w14:paraId="24353C07" w14:textId="50F0E246" w:rsidR="0089683C" w:rsidRDefault="0057611A" w:rsidP="0057611A">
      <w:r>
        <w:t>It can be expected in a large, complex engagement like this Project that issues will arise</w:t>
      </w:r>
      <w:r w:rsidR="0089683C">
        <w:t xml:space="preserve">. TWC anticipates </w:t>
      </w:r>
      <w:r w:rsidR="002E534E">
        <w:t>most of</w:t>
      </w:r>
      <w:r>
        <w:t xml:space="preserve"> </w:t>
      </w:r>
      <w:r w:rsidR="0089683C">
        <w:t xml:space="preserve">such issues </w:t>
      </w:r>
      <w:r>
        <w:t xml:space="preserve">will be resolved within the Project Team. </w:t>
      </w:r>
      <w:r w:rsidRPr="00E21848">
        <w:t xml:space="preserve">In the event of defective performance or failure to meet the agreed timeline, the </w:t>
      </w:r>
      <w:r>
        <w:t xml:space="preserve">Awarded Vendor </w:t>
      </w:r>
      <w:r w:rsidRPr="00E21848">
        <w:t>must make every effort to immediately restore the contracted level of service.</w:t>
      </w:r>
      <w:r>
        <w:t xml:space="preserve"> </w:t>
      </w:r>
      <w:r w:rsidR="0089683C">
        <w:t xml:space="preserve">Project issues that cannot be resolved by </w:t>
      </w:r>
      <w:r w:rsidR="00C40319">
        <w:t xml:space="preserve">the </w:t>
      </w:r>
      <w:r w:rsidR="0089683C">
        <w:t xml:space="preserve">Project Team </w:t>
      </w:r>
      <w:r>
        <w:t xml:space="preserve">will need to be raised to a higher authority for timely resolution. </w:t>
      </w:r>
    </w:p>
    <w:p w14:paraId="715B2752" w14:textId="318ABA70" w:rsidR="0057611A" w:rsidRDefault="0057611A" w:rsidP="0057611A">
      <w:r>
        <w:t>The escalation path described below ensures that the next level of management is informed if an issue cannot be resolved at the lower level.</w:t>
      </w:r>
      <w:r w:rsidRPr="00E46B1E">
        <w:t xml:space="preserve"> </w:t>
      </w:r>
      <w:r>
        <w:t xml:space="preserve">The </w:t>
      </w:r>
      <w:r w:rsidRPr="00E21848">
        <w:t xml:space="preserve">Offeror must </w:t>
      </w:r>
      <w:r>
        <w:t>p</w:t>
      </w:r>
      <w:r w:rsidRPr="00E21848">
        <w:t>rovide the escalation path within the Offeror</w:t>
      </w:r>
      <w:r>
        <w:t>’s</w:t>
      </w:r>
      <w:r w:rsidRPr="00E21848">
        <w:t xml:space="preserve"> organization for issues that cannot be resolved at the Project Manager level.</w:t>
      </w:r>
      <w:r w:rsidR="00C40319">
        <w:t xml:space="preserve"> Offeror responses to Section 3.2 Project Management Practices should accommodate this escalation process when defining relevant management practices.</w:t>
      </w:r>
    </w:p>
    <w:p w14:paraId="51005A9E" w14:textId="77777777" w:rsidR="0057611A" w:rsidRDefault="0057611A" w:rsidP="0057611A">
      <w:r>
        <w:t>The Awarded Vendor</w:t>
      </w:r>
      <w:r w:rsidRPr="005B186B">
        <w:t xml:space="preserve"> </w:t>
      </w:r>
      <w:r w:rsidRPr="007A116A">
        <w:t>Project Manager</w:t>
      </w:r>
      <w:r>
        <w:t xml:space="preserve"> will identify, document, evaluate, and either resolve or manage issues in order to prevent or mitigate threats to the success of the Project. The Awarded Vendor Project Manager will perform the following activities:</w:t>
      </w:r>
    </w:p>
    <w:p w14:paraId="15A1338C" w14:textId="05B0218F" w:rsidR="0057611A" w:rsidRPr="005D72C0" w:rsidRDefault="0057611A" w:rsidP="00E16D2D">
      <w:pPr>
        <w:pStyle w:val="LB1"/>
      </w:pPr>
      <w:r w:rsidRPr="005D72C0">
        <w:lastRenderedPageBreak/>
        <w:t>Report issues that have or will occur to the TWC IT Project Manager</w:t>
      </w:r>
      <w:r>
        <w:t>, who will add them to the Project Issue Log</w:t>
      </w:r>
      <w:r w:rsidRPr="005D72C0">
        <w:t xml:space="preserve"> and track </w:t>
      </w:r>
      <w:r>
        <w:t xml:space="preserve">them </w:t>
      </w:r>
      <w:r w:rsidRPr="005D72C0">
        <w:t>on a weekly basis</w:t>
      </w:r>
      <w:r>
        <w:t xml:space="preserve"> until resolved</w:t>
      </w:r>
      <w:r w:rsidR="00A16A42">
        <w:t>;</w:t>
      </w:r>
    </w:p>
    <w:p w14:paraId="644334A9" w14:textId="1FFE62C3" w:rsidR="0057611A" w:rsidRPr="005D72C0" w:rsidRDefault="0057611A" w:rsidP="00F82166">
      <w:pPr>
        <w:pStyle w:val="LB1"/>
      </w:pPr>
      <w:r w:rsidRPr="005D72C0">
        <w:t xml:space="preserve">Establish issue priorities </w:t>
      </w:r>
      <w:r w:rsidR="00A16A42">
        <w:t>with the TWC IT Project Manager; and</w:t>
      </w:r>
    </w:p>
    <w:p w14:paraId="01481715" w14:textId="735AE41E" w:rsidR="0057611A" w:rsidRPr="005D72C0" w:rsidRDefault="0057611A" w:rsidP="00F82166">
      <w:pPr>
        <w:pStyle w:val="LB1"/>
      </w:pPr>
      <w:r>
        <w:t xml:space="preserve">Work </w:t>
      </w:r>
      <w:r w:rsidRPr="005D72C0">
        <w:t>with the TWC IT Project Manager</w:t>
      </w:r>
      <w:r>
        <w:t xml:space="preserve"> to make assignments for resolution</w:t>
      </w:r>
      <w:r w:rsidR="00A16A42">
        <w:t>.</w:t>
      </w:r>
    </w:p>
    <w:p w14:paraId="45AA3262" w14:textId="77777777" w:rsidR="0057611A" w:rsidRDefault="0057611A" w:rsidP="0057611A">
      <w:pPr>
        <w:pStyle w:val="BodyText"/>
        <w:ind w:left="720"/>
      </w:pPr>
    </w:p>
    <w:p w14:paraId="2D5BA475" w14:textId="77777777" w:rsidR="0057611A" w:rsidRDefault="0057611A" w:rsidP="0057611A">
      <w:r>
        <w:t>In the event that the Project Team cannot resolve an issue, either the Awarded Vendor Project Manager or the TWC IT Project Manager may escalate the issue. Both parties must continue to carry out all their respective responsibilities while the issue is being resolved.</w:t>
      </w:r>
    </w:p>
    <w:p w14:paraId="2FC0ED0E" w14:textId="77777777" w:rsidR="0057611A" w:rsidRDefault="0057611A" w:rsidP="0057611A">
      <w:r>
        <w:t>For issues that need to be escalated and resolved at a higher level, the following escalation procedure will be followed:</w:t>
      </w:r>
    </w:p>
    <w:tbl>
      <w:tblPr>
        <w:tblStyle w:val="TableGrid"/>
        <w:tblW w:w="9720" w:type="dxa"/>
        <w:tblInd w:w="805" w:type="dxa"/>
        <w:tblLayout w:type="fixed"/>
        <w:tblLook w:val="04A0" w:firstRow="1" w:lastRow="0" w:firstColumn="1" w:lastColumn="0" w:noHBand="0" w:noVBand="1"/>
        <w:tblCaption w:val="Escalation Path table"/>
        <w:tblDescription w:val="Table of escalation path steps"/>
      </w:tblPr>
      <w:tblGrid>
        <w:gridCol w:w="1260"/>
        <w:gridCol w:w="2520"/>
        <w:gridCol w:w="5940"/>
      </w:tblGrid>
      <w:tr w:rsidR="0057611A" w:rsidRPr="00E21848" w14:paraId="411282C9" w14:textId="77777777" w:rsidTr="00F55081">
        <w:trPr>
          <w:cantSplit/>
          <w:tblHeader/>
        </w:trPr>
        <w:tc>
          <w:tcPr>
            <w:tcW w:w="1260" w:type="dxa"/>
            <w:shd w:val="clear" w:color="auto" w:fill="DEEAF6" w:themeFill="accent1" w:themeFillTint="33"/>
            <w:vAlign w:val="bottom"/>
          </w:tcPr>
          <w:p w14:paraId="1752EFAE" w14:textId="77777777" w:rsidR="0057611A" w:rsidRPr="0057611A" w:rsidRDefault="0057611A" w:rsidP="0057611A">
            <w:pPr>
              <w:keepNext/>
              <w:ind w:left="0"/>
              <w:jc w:val="center"/>
              <w:rPr>
                <w:rFonts w:cs="Arial"/>
                <w:b/>
                <w:color w:val="1F3864" w:themeColor="accent5" w:themeShade="80"/>
              </w:rPr>
            </w:pPr>
            <w:r w:rsidRPr="0057611A">
              <w:rPr>
                <w:rFonts w:cs="Arial"/>
                <w:b/>
                <w:color w:val="1F3864" w:themeColor="accent5" w:themeShade="80"/>
              </w:rPr>
              <w:t>Level</w:t>
            </w:r>
          </w:p>
        </w:tc>
        <w:tc>
          <w:tcPr>
            <w:tcW w:w="2520" w:type="dxa"/>
            <w:shd w:val="clear" w:color="auto" w:fill="DEEAF6" w:themeFill="accent1" w:themeFillTint="33"/>
            <w:vAlign w:val="bottom"/>
          </w:tcPr>
          <w:p w14:paraId="63C1A586" w14:textId="77777777" w:rsidR="0057611A" w:rsidRPr="0057611A" w:rsidRDefault="0057611A" w:rsidP="0057611A">
            <w:pPr>
              <w:keepNext/>
              <w:ind w:left="0"/>
              <w:jc w:val="center"/>
              <w:rPr>
                <w:rFonts w:cs="Arial"/>
                <w:b/>
                <w:color w:val="1F3864" w:themeColor="accent5" w:themeShade="80"/>
              </w:rPr>
            </w:pPr>
            <w:r w:rsidRPr="0057611A">
              <w:rPr>
                <w:rFonts w:cs="Arial"/>
                <w:b/>
                <w:color w:val="1F3864" w:themeColor="accent5" w:themeShade="80"/>
              </w:rPr>
              <w:t>Members</w:t>
            </w:r>
          </w:p>
        </w:tc>
        <w:tc>
          <w:tcPr>
            <w:tcW w:w="5940" w:type="dxa"/>
            <w:shd w:val="clear" w:color="auto" w:fill="DEEAF6" w:themeFill="accent1" w:themeFillTint="33"/>
            <w:vAlign w:val="bottom"/>
          </w:tcPr>
          <w:p w14:paraId="16F7F22E" w14:textId="77777777" w:rsidR="0057611A" w:rsidRPr="0057611A" w:rsidRDefault="0057611A" w:rsidP="0057611A">
            <w:pPr>
              <w:keepNext/>
              <w:ind w:left="0"/>
              <w:jc w:val="center"/>
              <w:rPr>
                <w:rFonts w:cs="Arial"/>
                <w:b/>
                <w:color w:val="1F3864" w:themeColor="accent5" w:themeShade="80"/>
              </w:rPr>
            </w:pPr>
            <w:r w:rsidRPr="0057611A">
              <w:rPr>
                <w:rFonts w:cs="Arial"/>
                <w:b/>
                <w:color w:val="1F3864" w:themeColor="accent5" w:themeShade="80"/>
              </w:rPr>
              <w:t>Escalation Process</w:t>
            </w:r>
          </w:p>
        </w:tc>
      </w:tr>
      <w:tr w:rsidR="0057611A" w:rsidRPr="00873442" w14:paraId="45DB82B5" w14:textId="77777777" w:rsidTr="00F55081">
        <w:trPr>
          <w:cantSplit/>
        </w:trPr>
        <w:tc>
          <w:tcPr>
            <w:tcW w:w="1260" w:type="dxa"/>
            <w:vAlign w:val="center"/>
          </w:tcPr>
          <w:p w14:paraId="7E303C12" w14:textId="77777777" w:rsidR="0057611A" w:rsidRPr="00CF4840" w:rsidRDefault="0057611A" w:rsidP="0057611A">
            <w:pPr>
              <w:keepNext/>
              <w:spacing w:before="60" w:after="60"/>
              <w:ind w:left="0"/>
            </w:pPr>
            <w:r w:rsidRPr="00CF4840">
              <w:t>Level 1</w:t>
            </w:r>
          </w:p>
        </w:tc>
        <w:tc>
          <w:tcPr>
            <w:tcW w:w="2520" w:type="dxa"/>
            <w:vAlign w:val="center"/>
          </w:tcPr>
          <w:p w14:paraId="1B7D83B0" w14:textId="77777777" w:rsidR="0057611A" w:rsidRPr="007A116A" w:rsidRDefault="0057611A" w:rsidP="0057611A">
            <w:pPr>
              <w:keepNext/>
              <w:spacing w:before="60" w:after="60"/>
              <w:ind w:left="0"/>
            </w:pPr>
            <w:r w:rsidRPr="007A116A">
              <w:t>Awarded Vendor Project Manager</w:t>
            </w:r>
            <w:r>
              <w:t>,</w:t>
            </w:r>
            <w:r w:rsidRPr="007A116A">
              <w:t xml:space="preserve"> TWC IT Project Manager</w:t>
            </w:r>
            <w:r>
              <w:t>, TWC Program Manager</w:t>
            </w:r>
          </w:p>
        </w:tc>
        <w:tc>
          <w:tcPr>
            <w:tcW w:w="5940" w:type="dxa"/>
            <w:vAlign w:val="center"/>
          </w:tcPr>
          <w:p w14:paraId="3931C83C" w14:textId="77777777" w:rsidR="0057611A" w:rsidRPr="00CF4840" w:rsidRDefault="0057611A" w:rsidP="0057611A">
            <w:pPr>
              <w:keepNext/>
              <w:spacing w:before="60" w:after="60"/>
              <w:ind w:left="0"/>
            </w:pPr>
            <w:r>
              <w:t>The</w:t>
            </w:r>
            <w:r w:rsidRPr="007A116A">
              <w:t xml:space="preserve"> </w:t>
            </w:r>
            <w:r>
              <w:t>Level 1 members will have regular weekly meetings to discuss project status and issues. If Level 1 members are unable to resolve an issue, they may request that the issue be escalated to Level 2 for resolution.</w:t>
            </w:r>
          </w:p>
        </w:tc>
      </w:tr>
      <w:tr w:rsidR="0057611A" w:rsidRPr="00873442" w14:paraId="168495E7" w14:textId="77777777" w:rsidTr="00F55081">
        <w:trPr>
          <w:cantSplit/>
        </w:trPr>
        <w:tc>
          <w:tcPr>
            <w:tcW w:w="1260" w:type="dxa"/>
            <w:vAlign w:val="center"/>
          </w:tcPr>
          <w:p w14:paraId="11323C96" w14:textId="77777777" w:rsidR="0057611A" w:rsidRPr="00CF4840" w:rsidRDefault="0057611A" w:rsidP="0057611A">
            <w:pPr>
              <w:spacing w:before="60" w:after="60"/>
              <w:ind w:left="0"/>
            </w:pPr>
            <w:r w:rsidRPr="00CF4840">
              <w:t>Level 2</w:t>
            </w:r>
          </w:p>
        </w:tc>
        <w:tc>
          <w:tcPr>
            <w:tcW w:w="2520" w:type="dxa"/>
            <w:vAlign w:val="center"/>
          </w:tcPr>
          <w:p w14:paraId="4F4B105F" w14:textId="77777777" w:rsidR="0057611A" w:rsidRPr="00865022" w:rsidRDefault="0057611A" w:rsidP="0057611A">
            <w:pPr>
              <w:spacing w:before="60" w:after="60"/>
              <w:ind w:left="0"/>
            </w:pPr>
            <w:r w:rsidRPr="00865022">
              <w:t>Project Steering Committee</w:t>
            </w:r>
            <w:r>
              <w:t xml:space="preserve">, General Counsel, Internal Audit, and/or </w:t>
            </w:r>
            <w:r w:rsidRPr="00327142">
              <w:t>P</w:t>
            </w:r>
            <w:r>
              <w:t>rocurement &amp;</w:t>
            </w:r>
            <w:r w:rsidRPr="00327142">
              <w:t xml:space="preserve"> Contract Services</w:t>
            </w:r>
            <w:r>
              <w:t xml:space="preserve">  </w:t>
            </w:r>
          </w:p>
        </w:tc>
        <w:tc>
          <w:tcPr>
            <w:tcW w:w="5940" w:type="dxa"/>
            <w:vAlign w:val="center"/>
          </w:tcPr>
          <w:p w14:paraId="0DBFEA1A" w14:textId="77777777" w:rsidR="0057611A" w:rsidRPr="00865022" w:rsidRDefault="0057611A" w:rsidP="0057611A">
            <w:pPr>
              <w:spacing w:before="60" w:after="60"/>
              <w:ind w:left="0"/>
            </w:pPr>
            <w:r>
              <w:t>The Level 2 members will attempt to resolve the issue at this level. If the issue cannot be resolved, then Level 2 parties will determine the appropriate next escalation point for ultimate resolution of the issue.</w:t>
            </w:r>
          </w:p>
        </w:tc>
      </w:tr>
    </w:tbl>
    <w:p w14:paraId="77778A11" w14:textId="77777777" w:rsidR="0057611A" w:rsidRDefault="0057611A" w:rsidP="0057611A">
      <w:pPr>
        <w:pStyle w:val="BodyText"/>
        <w:ind w:left="720"/>
      </w:pPr>
    </w:p>
    <w:p w14:paraId="36EC83CA" w14:textId="79B3EB1E" w:rsidR="0057611A" w:rsidRPr="0057611A" w:rsidRDefault="00C40319" w:rsidP="0057611A">
      <w:r>
        <w:t xml:space="preserve">Processes described in Section 3.2 must minimally support this escalation process and include weekly risk meetings. </w:t>
      </w:r>
      <w:r w:rsidR="0057611A">
        <w:t xml:space="preserve">Issues that are escalated will also be included in the weekly </w:t>
      </w:r>
      <w:r w:rsidR="0057611A" w:rsidRPr="00E21848">
        <w:t>Project Status Reports</w:t>
      </w:r>
      <w:r w:rsidR="0057611A">
        <w:t xml:space="preserve">. </w:t>
      </w:r>
    </w:p>
    <w:p w14:paraId="4A3111B6" w14:textId="4C189A40" w:rsidR="0057611A" w:rsidRDefault="0057611A" w:rsidP="0057611A">
      <w:pPr>
        <w:pStyle w:val="Heading2"/>
      </w:pPr>
      <w:bookmarkStart w:id="194" w:name="_Toc13567445"/>
      <w:bookmarkStart w:id="195" w:name="_Hlk9930309"/>
      <w:r>
        <w:t>4.3</w:t>
      </w:r>
      <w:r>
        <w:tab/>
        <w:t>Corrective Action</w:t>
      </w:r>
      <w:bookmarkEnd w:id="194"/>
    </w:p>
    <w:p w14:paraId="7AD508B2" w14:textId="77777777" w:rsidR="00E24227" w:rsidRPr="00E21848" w:rsidRDefault="00E24227" w:rsidP="00E24227">
      <w:r w:rsidRPr="00E21848">
        <w:t>TWC uses a Vendor Performance Improvement Log to document requeste</w:t>
      </w:r>
      <w:r>
        <w:t>d improvements and the results.</w:t>
      </w:r>
      <w:r w:rsidRPr="00E21848">
        <w:t xml:space="preserve"> </w:t>
      </w:r>
    </w:p>
    <w:p w14:paraId="59BB8EA5" w14:textId="2E31917C" w:rsidR="00E24227" w:rsidRPr="00E21848" w:rsidRDefault="00E24227" w:rsidP="00E24227">
      <w:r>
        <w:t>Awarded Vendor</w:t>
      </w:r>
      <w:r w:rsidRPr="00E21848">
        <w:t xml:space="preserve"> must provide a proposed corrective action plan to address quality issues with </w:t>
      </w:r>
      <w:r>
        <w:t>Awarded Vendor</w:t>
      </w:r>
      <w:r w:rsidRPr="00E21848">
        <w:t xml:space="preserve"> </w:t>
      </w:r>
      <w:r w:rsidR="009521D7">
        <w:t xml:space="preserve">Staff </w:t>
      </w:r>
      <w:r w:rsidRPr="00E21848">
        <w:t>assigned to the Project.</w:t>
      </w:r>
      <w:r>
        <w:t xml:space="preserve"> Awarded Vendor</w:t>
      </w:r>
      <w:r w:rsidRPr="00E21848">
        <w:t xml:space="preserve"> must describe the process for monitoring improvement and the actions to be taken, such as training, additional </w:t>
      </w:r>
      <w:r w:rsidR="00211554">
        <w:t>QA</w:t>
      </w:r>
      <w:r w:rsidRPr="00E21848">
        <w:t xml:space="preserve"> reviews, or </w:t>
      </w:r>
      <w:r w:rsidR="009521D7">
        <w:t xml:space="preserve">staff </w:t>
      </w:r>
      <w:r w:rsidRPr="00E21848">
        <w:t>replacement if quality does not improve sufficiently.</w:t>
      </w:r>
    </w:p>
    <w:p w14:paraId="4CE70506" w14:textId="21F4AA71" w:rsidR="00406BF9" w:rsidRDefault="00E24227" w:rsidP="00E24227">
      <w:r w:rsidRPr="00E21848">
        <w:t xml:space="preserve">TWC </w:t>
      </w:r>
      <w:r w:rsidR="00704228">
        <w:t xml:space="preserve">plans to engage </w:t>
      </w:r>
      <w:r w:rsidRPr="00E21848">
        <w:t xml:space="preserve">a third-party vendor </w:t>
      </w:r>
      <w:r w:rsidR="00704228">
        <w:t xml:space="preserve">to </w:t>
      </w:r>
      <w:r w:rsidRPr="00E21848">
        <w:t xml:space="preserve">perform Independent Verification and Validation (IV&amp;V) </w:t>
      </w:r>
      <w:r w:rsidR="000D7BC5">
        <w:t>activities for the duration of the develop</w:t>
      </w:r>
      <w:r w:rsidR="00CF79FD">
        <w:t>ment</w:t>
      </w:r>
      <w:r w:rsidR="000D7BC5">
        <w:t xml:space="preserve"> effort</w:t>
      </w:r>
      <w:r>
        <w:t xml:space="preserve"> at TWC’s </w:t>
      </w:r>
      <w:r>
        <w:lastRenderedPageBreak/>
        <w:t>expense</w:t>
      </w:r>
      <w:r w:rsidRPr="00E21848">
        <w:t>.</w:t>
      </w:r>
      <w:r>
        <w:t xml:space="preserve"> </w:t>
      </w:r>
      <w:r w:rsidR="003F6003">
        <w:t xml:space="preserve">The purpose of the IV&amp;V is to </w:t>
      </w:r>
      <w:r w:rsidR="00406BF9">
        <w:t xml:space="preserve">help TWC build quality into the System during the Project life cycle. </w:t>
      </w:r>
      <w:r w:rsidR="000D7BC5">
        <w:t>T</w:t>
      </w:r>
      <w:r w:rsidR="00406BF9" w:rsidRPr="00406BF9">
        <w:t xml:space="preserve">he </w:t>
      </w:r>
      <w:r w:rsidR="00406BF9">
        <w:t xml:space="preserve">Awarded Vendor </w:t>
      </w:r>
      <w:r w:rsidR="00406BF9" w:rsidRPr="00406BF9">
        <w:t xml:space="preserve">must fully cooperate with any IV&amp;V </w:t>
      </w:r>
      <w:r w:rsidR="00BC44D3">
        <w:t>v</w:t>
      </w:r>
      <w:r w:rsidR="00BC44D3" w:rsidRPr="00E21848">
        <w:t>endor</w:t>
      </w:r>
      <w:r w:rsidR="00BC44D3">
        <w:t xml:space="preserve"> </w:t>
      </w:r>
      <w:r w:rsidR="00406BF9" w:rsidRPr="00406BF9">
        <w:t xml:space="preserve">assigned to this Project. Such cooperation includes expeditiously providing the IV&amp;V </w:t>
      </w:r>
      <w:r w:rsidR="00BC44D3">
        <w:t>v</w:t>
      </w:r>
      <w:r w:rsidR="00BC44D3" w:rsidRPr="00E21848">
        <w:t>endor</w:t>
      </w:r>
      <w:r w:rsidR="00BC44D3">
        <w:t xml:space="preserve"> </w:t>
      </w:r>
      <w:r w:rsidR="00406BF9" w:rsidRPr="00406BF9">
        <w:t>with full and complete access to all project work product</w:t>
      </w:r>
      <w:r w:rsidR="00755DC1">
        <w:t>s</w:t>
      </w:r>
      <w:r w:rsidR="00406BF9" w:rsidRPr="00406BF9">
        <w:t xml:space="preserve">, records, materials, personnel, meetings, and correspondence as the IV&amp;V </w:t>
      </w:r>
      <w:r w:rsidR="00BC44D3">
        <w:t>v</w:t>
      </w:r>
      <w:r w:rsidR="00BC44D3" w:rsidRPr="00E21848">
        <w:t>endor</w:t>
      </w:r>
      <w:r w:rsidR="00BC44D3">
        <w:t xml:space="preserve"> </w:t>
      </w:r>
      <w:r w:rsidR="00406BF9" w:rsidRPr="00406BF9">
        <w:t>may request</w:t>
      </w:r>
      <w:r w:rsidR="00BC44D3" w:rsidRPr="00BC44D3">
        <w:t xml:space="preserve"> </w:t>
      </w:r>
      <w:r w:rsidR="00BC44D3" w:rsidRPr="00E21848">
        <w:t>and implement</w:t>
      </w:r>
      <w:r w:rsidR="00755DC1">
        <w:t>ing</w:t>
      </w:r>
      <w:r w:rsidR="00BC44D3" w:rsidRPr="00E21848">
        <w:t xml:space="preserve"> </w:t>
      </w:r>
      <w:r w:rsidR="00755DC1">
        <w:t>identified recommendations</w:t>
      </w:r>
      <w:r w:rsidR="00406BF9" w:rsidRPr="00406BF9">
        <w:t xml:space="preserve">. Additionally, the </w:t>
      </w:r>
      <w:r w:rsidR="00406BF9">
        <w:t xml:space="preserve">Awarded Vendor </w:t>
      </w:r>
      <w:r w:rsidR="00406BF9" w:rsidRPr="00406BF9">
        <w:t xml:space="preserve">must include the obligations of this provision in all its contracts with its subcontractors that work on this </w:t>
      </w:r>
      <w:r w:rsidR="0019144F">
        <w:t>P</w:t>
      </w:r>
      <w:r w:rsidR="00406BF9" w:rsidRPr="00406BF9">
        <w:t>roject</w:t>
      </w:r>
      <w:r w:rsidR="0019144F">
        <w:t>.</w:t>
      </w:r>
    </w:p>
    <w:p w14:paraId="7F108D85" w14:textId="7D5752AE" w:rsidR="00F351EF" w:rsidRPr="0057611A" w:rsidRDefault="00F351EF" w:rsidP="00E24227">
      <w:r w:rsidRPr="00F351EF">
        <w:t>TWC’s request for remedial action do</w:t>
      </w:r>
      <w:r>
        <w:t>es</w:t>
      </w:r>
      <w:r w:rsidRPr="00F351EF">
        <w:t xml:space="preserve"> not constitute a change in scope, and </w:t>
      </w:r>
      <w:r>
        <w:t xml:space="preserve">Awarded </w:t>
      </w:r>
      <w:r w:rsidRPr="00F351EF">
        <w:t>Vendor is not entitled to additional compensation nor extra time for corrective actions.</w:t>
      </w:r>
    </w:p>
    <w:p w14:paraId="566481B6" w14:textId="24345789" w:rsidR="00695550" w:rsidRDefault="00695550" w:rsidP="00695550">
      <w:pPr>
        <w:pStyle w:val="Heading1"/>
      </w:pPr>
      <w:bookmarkStart w:id="196" w:name="_Toc13567446"/>
      <w:bookmarkEnd w:id="195"/>
      <w:r>
        <w:lastRenderedPageBreak/>
        <w:t>Customer/Vendor-Furnished Equipment and W</w:t>
      </w:r>
      <w:r w:rsidR="00F55081">
        <w:t>ork Space</w:t>
      </w:r>
      <w:bookmarkEnd w:id="196"/>
    </w:p>
    <w:p w14:paraId="3CDCBEA3" w14:textId="3395C8D7" w:rsidR="00F55081" w:rsidRPr="00E21848" w:rsidRDefault="00F55081" w:rsidP="00F55081">
      <w:r w:rsidRPr="00E21848">
        <w:t xml:space="preserve">The </w:t>
      </w:r>
      <w:r>
        <w:t xml:space="preserve">Awarded Vendor </w:t>
      </w:r>
      <w:r w:rsidRPr="00E21848">
        <w:t xml:space="preserve">Project </w:t>
      </w:r>
      <w:r w:rsidR="009521D7">
        <w:t xml:space="preserve">Staff </w:t>
      </w:r>
      <w:r w:rsidRPr="00E21848">
        <w:t xml:space="preserve">will be </w:t>
      </w:r>
      <w:r w:rsidRPr="008E42FB">
        <w:t xml:space="preserve">physically located in one </w:t>
      </w:r>
      <w:r>
        <w:t xml:space="preserve">(1) </w:t>
      </w:r>
      <w:r w:rsidRPr="008E42FB">
        <w:t>of TWC’s office buildings at or near</w:t>
      </w:r>
      <w:r w:rsidR="003D29AE">
        <w:t xml:space="preserve"> either 4800 N. Lamar Blvd, Austin, TX or</w:t>
      </w:r>
      <w:r w:rsidRPr="008E42FB">
        <w:t xml:space="preserve"> 101 East 15th Street, Austin TX, as job duties </w:t>
      </w:r>
      <w:r w:rsidRPr="00E21848">
        <w:t xml:space="preserve">require to ensure effective collaboration among TWC and </w:t>
      </w:r>
      <w:r>
        <w:t>Awarded Vendor</w:t>
      </w:r>
      <w:r w:rsidRPr="00E21848">
        <w:t xml:space="preserve"> Project Team members.</w:t>
      </w:r>
      <w:r>
        <w:t xml:space="preserve"> </w:t>
      </w:r>
      <w:r w:rsidRPr="00E21848">
        <w:t xml:space="preserve">The </w:t>
      </w:r>
      <w:r>
        <w:t xml:space="preserve">Awarded Vendor </w:t>
      </w:r>
      <w:r w:rsidRPr="00E21848">
        <w:t xml:space="preserve">will ensure that appropriate </w:t>
      </w:r>
      <w:r w:rsidR="009521D7">
        <w:t xml:space="preserve">Staff </w:t>
      </w:r>
      <w:r w:rsidRPr="00E21848">
        <w:t xml:space="preserve">are </w:t>
      </w:r>
      <w:r w:rsidR="00173751">
        <w:t>available</w:t>
      </w:r>
      <w:r w:rsidR="00173751" w:rsidRPr="00E21848">
        <w:t xml:space="preserve"> </w:t>
      </w:r>
      <w:r w:rsidRPr="00E21848">
        <w:t>to TWC within a reasonable time frame</w:t>
      </w:r>
      <w:r>
        <w:t xml:space="preserve"> (e.g., two (2) business days for routine Project matters)</w:t>
      </w:r>
      <w:r w:rsidRPr="00E21848">
        <w:t>, whether on or off site.</w:t>
      </w:r>
      <w:r>
        <w:t xml:space="preserve"> </w:t>
      </w:r>
    </w:p>
    <w:p w14:paraId="7B8A4B8D" w14:textId="1F0B7D6C" w:rsidR="00F55081" w:rsidRPr="00E21848" w:rsidRDefault="00F55081" w:rsidP="00F55081">
      <w:r w:rsidRPr="00E21848">
        <w:t xml:space="preserve">TWC will provide work space, computer, printer, connectivity and any other basic equipment required for onsite </w:t>
      </w:r>
      <w:r>
        <w:t>Awarded Vendor</w:t>
      </w:r>
      <w:r w:rsidRPr="00E21848">
        <w:t xml:space="preserve"> </w:t>
      </w:r>
      <w:r w:rsidR="009521D7">
        <w:t xml:space="preserve">Staff </w:t>
      </w:r>
      <w:r w:rsidRPr="00E21848">
        <w:t>to complete the deliverables.</w:t>
      </w:r>
      <w:r>
        <w:t xml:space="preserve"> </w:t>
      </w:r>
      <w:r w:rsidRPr="00E21848">
        <w:t xml:space="preserve">TWC will provide collocated </w:t>
      </w:r>
      <w:r>
        <w:t xml:space="preserve">Awarded Vendor </w:t>
      </w:r>
      <w:r w:rsidRPr="00E21848">
        <w:t xml:space="preserve">Project </w:t>
      </w:r>
      <w:r w:rsidR="009521D7">
        <w:t xml:space="preserve">Staff </w:t>
      </w:r>
      <w:r w:rsidRPr="00E21848">
        <w:t>with PCs with Microsoft Office (Outlook, Word, Excel, PowerPoint, and Access). TWC may require a Licensing Plan that covers all TWC and vendor-owned software, using an existing TWC template, if there are software requirements beyond the basics mentioned above</w:t>
      </w:r>
      <w:r>
        <w:t xml:space="preserve">. </w:t>
      </w:r>
    </w:p>
    <w:p w14:paraId="03816659" w14:textId="77777777" w:rsidR="00F55081" w:rsidRPr="00E21848" w:rsidRDefault="00F55081" w:rsidP="00F55081">
      <w:r w:rsidRPr="00E21848">
        <w:t xml:space="preserve">TWC must pre-approve any work to be performed off site or on </w:t>
      </w:r>
      <w:r>
        <w:t xml:space="preserve">Awarded Vendor </w:t>
      </w:r>
      <w:r w:rsidRPr="00E21848">
        <w:t>equipment.</w:t>
      </w:r>
    </w:p>
    <w:p w14:paraId="16401D35" w14:textId="77777777" w:rsidR="00F55081" w:rsidRPr="00E21848" w:rsidRDefault="00F55081" w:rsidP="00F55081">
      <w:r w:rsidRPr="00E21848">
        <w:t xml:space="preserve">TWC will neither provide nor reimburse parking for </w:t>
      </w:r>
      <w:r>
        <w:t xml:space="preserve">Awarded Vendor </w:t>
      </w:r>
      <w:r w:rsidRPr="00E21848">
        <w:t>staff.</w:t>
      </w:r>
    </w:p>
    <w:p w14:paraId="34AD2890" w14:textId="77777777" w:rsidR="00F55081" w:rsidRPr="00E21848" w:rsidRDefault="00F55081" w:rsidP="00F55081">
      <w:r w:rsidRPr="00E21848">
        <w:t xml:space="preserve">TWC will not reimburse the </w:t>
      </w:r>
      <w:r>
        <w:t xml:space="preserve">Awarded Vendor </w:t>
      </w:r>
      <w:r w:rsidRPr="00E21848">
        <w:t>for travel or expenses.</w:t>
      </w:r>
      <w:r>
        <w:t xml:space="preserve"> </w:t>
      </w:r>
      <w:r w:rsidRPr="00E21848">
        <w:t>Travel expenses must be included in the fixed-price deliverable costs.</w:t>
      </w:r>
    </w:p>
    <w:p w14:paraId="3587C90A" w14:textId="0502E554" w:rsidR="00695550" w:rsidRPr="00F55081" w:rsidRDefault="00F55081" w:rsidP="00F55081">
      <w:pPr>
        <w:rPr>
          <w:b/>
        </w:rPr>
      </w:pPr>
      <w:r>
        <w:rPr>
          <w:b/>
        </w:rPr>
        <w:t>All</w:t>
      </w:r>
      <w:r w:rsidRPr="00E21848">
        <w:rPr>
          <w:b/>
        </w:rPr>
        <w:t xml:space="preserve"> work for the Project </w:t>
      </w:r>
      <w:r>
        <w:rPr>
          <w:b/>
        </w:rPr>
        <w:t>must</w:t>
      </w:r>
      <w:r w:rsidRPr="00E21848">
        <w:rPr>
          <w:b/>
        </w:rPr>
        <w:t xml:space="preserve"> be performed </w:t>
      </w:r>
      <w:r>
        <w:rPr>
          <w:b/>
        </w:rPr>
        <w:t xml:space="preserve">within </w:t>
      </w:r>
      <w:r w:rsidRPr="00E21848">
        <w:rPr>
          <w:b/>
        </w:rPr>
        <w:t>the United States.</w:t>
      </w:r>
    </w:p>
    <w:p w14:paraId="07666D94" w14:textId="27438A4C" w:rsidR="00695550" w:rsidRDefault="00695550" w:rsidP="00695550">
      <w:pPr>
        <w:pStyle w:val="Heading1"/>
      </w:pPr>
      <w:bookmarkStart w:id="197" w:name="_Toc13567447"/>
      <w:r>
        <w:lastRenderedPageBreak/>
        <w:t>Additional TWC Requirements</w:t>
      </w:r>
      <w:bookmarkEnd w:id="197"/>
    </w:p>
    <w:p w14:paraId="7F868B52" w14:textId="5FB8599D" w:rsidR="00695550" w:rsidRDefault="003D29AE" w:rsidP="003D29AE">
      <w:pPr>
        <w:pStyle w:val="Heading2"/>
      </w:pPr>
      <w:bookmarkStart w:id="198" w:name="_Toc13567448"/>
      <w:r>
        <w:t>6.1</w:t>
      </w:r>
      <w:r>
        <w:tab/>
        <w:t>Retainage</w:t>
      </w:r>
      <w:bookmarkEnd w:id="198"/>
    </w:p>
    <w:p w14:paraId="44D1ED83" w14:textId="6A013E7D" w:rsidR="003D29AE" w:rsidRDefault="008037FD" w:rsidP="008037FD">
      <w:r w:rsidRPr="00E21848">
        <w:t xml:space="preserve">The </w:t>
      </w:r>
      <w:r>
        <w:t xml:space="preserve">Awarded Vendor </w:t>
      </w:r>
      <w:r w:rsidRPr="008E42FB">
        <w:t xml:space="preserve">will be paid </w:t>
      </w:r>
      <w:r>
        <w:t>eighty percent (</w:t>
      </w:r>
      <w:r w:rsidRPr="008E42FB">
        <w:t>80%</w:t>
      </w:r>
      <w:r>
        <w:t>)</w:t>
      </w:r>
      <w:r w:rsidRPr="008E42FB">
        <w:t xml:space="preserve"> of each deliverable upon completion and acceptance by TWC.</w:t>
      </w:r>
      <w:r>
        <w:t xml:space="preserve"> </w:t>
      </w:r>
      <w:r w:rsidRPr="008E42FB">
        <w:t xml:space="preserve">The final </w:t>
      </w:r>
      <w:r>
        <w:t>twenty percent (</w:t>
      </w:r>
      <w:r w:rsidRPr="008E42FB">
        <w:t>20%</w:t>
      </w:r>
      <w:r>
        <w:t>)</w:t>
      </w:r>
      <w:r w:rsidRPr="008E42FB">
        <w:t xml:space="preserve"> of each </w:t>
      </w:r>
      <w:r w:rsidRPr="00E21848">
        <w:t>deliverable will be retained until System Acceptance as specified in Section 6.2, System Acceptance.</w:t>
      </w:r>
    </w:p>
    <w:p w14:paraId="7534C224" w14:textId="344CE055" w:rsidR="003D29AE" w:rsidRDefault="003D29AE" w:rsidP="003D29AE">
      <w:pPr>
        <w:pStyle w:val="Heading2"/>
      </w:pPr>
      <w:bookmarkStart w:id="199" w:name="_Toc13567449"/>
      <w:r>
        <w:t>6.2</w:t>
      </w:r>
      <w:r>
        <w:tab/>
      </w:r>
      <w:r w:rsidR="00286E88">
        <w:t xml:space="preserve">Final </w:t>
      </w:r>
      <w:r>
        <w:t>System Acceptance</w:t>
      </w:r>
      <w:bookmarkEnd w:id="199"/>
    </w:p>
    <w:p w14:paraId="07CAA51E" w14:textId="77777777" w:rsidR="008037FD" w:rsidRPr="00741202" w:rsidRDefault="008037FD" w:rsidP="008037FD">
      <w:pPr>
        <w:rPr>
          <w:color w:val="000000" w:themeColor="text1"/>
        </w:rPr>
      </w:pPr>
      <w:r w:rsidRPr="00E21848">
        <w:t xml:space="preserve">System Acceptance is </w:t>
      </w:r>
      <w:r>
        <w:t>the</w:t>
      </w:r>
      <w:r w:rsidRPr="00E21848">
        <w:t xml:space="preserve"> period of time for TWC to approve the system’s operation in a full production environment.</w:t>
      </w:r>
      <w:r>
        <w:t xml:space="preserve"> </w:t>
      </w:r>
      <w:r w:rsidRPr="00E21848">
        <w:t xml:space="preserve">System Acceptance will be achieved when the following conditions have </w:t>
      </w:r>
      <w:r>
        <w:rPr>
          <w:color w:val="000000" w:themeColor="text1"/>
        </w:rPr>
        <w:t xml:space="preserve">been met: </w:t>
      </w:r>
    </w:p>
    <w:p w14:paraId="042D2135" w14:textId="5B40C196" w:rsidR="008037FD" w:rsidRPr="00741202" w:rsidRDefault="008037FD" w:rsidP="00E16D2D">
      <w:pPr>
        <w:pStyle w:val="LB1"/>
      </w:pPr>
      <w:r w:rsidRPr="00741202">
        <w:t xml:space="preserve">All awarded Deliverables have been accepted and signed off by </w:t>
      </w:r>
      <w:r>
        <w:t>the TWC IT Contract Manager</w:t>
      </w:r>
      <w:r w:rsidRPr="00741202">
        <w:t>;</w:t>
      </w:r>
    </w:p>
    <w:p w14:paraId="525F8F4C" w14:textId="77777777" w:rsidR="008037FD" w:rsidRDefault="008037FD" w:rsidP="00F82166">
      <w:pPr>
        <w:pStyle w:val="LB1"/>
      </w:pPr>
      <w:r>
        <w:t>A</w:t>
      </w:r>
      <w:r w:rsidRPr="00E21848">
        <w:t>ll production releases have been completed</w:t>
      </w:r>
      <w:r>
        <w:t xml:space="preserve"> and </w:t>
      </w:r>
      <w:r w:rsidRPr="00E21848">
        <w:t>the system has been fully implemented (i.e., for all users) for a minimum of thirty (30) business days</w:t>
      </w:r>
      <w:r>
        <w:t>;</w:t>
      </w:r>
    </w:p>
    <w:p w14:paraId="69566B09" w14:textId="2E3545E9" w:rsidR="0003586E" w:rsidRDefault="008037FD" w:rsidP="00F82166">
      <w:pPr>
        <w:pStyle w:val="LB1"/>
      </w:pPr>
      <w:r>
        <w:t>T</w:t>
      </w:r>
      <w:r w:rsidRPr="00E21848">
        <w:t>he system is running in accordance with the approved detailed design documentation</w:t>
      </w:r>
      <w:r w:rsidR="0003586E">
        <w:t xml:space="preserve"> and</w:t>
      </w:r>
      <w:r w:rsidRPr="00E21848">
        <w:t xml:space="preserve"> </w:t>
      </w:r>
      <w:r w:rsidR="0003586E">
        <w:t>all of the following conditions are met:</w:t>
      </w:r>
    </w:p>
    <w:p w14:paraId="334AD296" w14:textId="241A7E1B" w:rsidR="0003586E" w:rsidRDefault="00AE5756">
      <w:pPr>
        <w:pStyle w:val="OB1"/>
      </w:pPr>
      <w:r>
        <w:t>No Severity 1 defects exist;</w:t>
      </w:r>
    </w:p>
    <w:p w14:paraId="3666E815" w14:textId="2BB14412" w:rsidR="0003586E" w:rsidRDefault="0003586E">
      <w:pPr>
        <w:pStyle w:val="OB1"/>
      </w:pPr>
      <w:bookmarkStart w:id="200" w:name="_Hlk7618568"/>
      <w:r>
        <w:t>No more than te</w:t>
      </w:r>
      <w:r w:rsidR="00AE5756">
        <w:t>n (10) Severity 2 defects exist; and</w:t>
      </w:r>
    </w:p>
    <w:p w14:paraId="0CE5762C" w14:textId="39BC200B" w:rsidR="0003586E" w:rsidRDefault="0003586E">
      <w:pPr>
        <w:pStyle w:val="OB1"/>
      </w:pPr>
      <w:r>
        <w:t>All remaining, unresolved Severity 3 and 4 defects are prioritized.</w:t>
      </w:r>
    </w:p>
    <w:p w14:paraId="3709346C" w14:textId="07FE7D0C" w:rsidR="008037FD" w:rsidRDefault="008037FD">
      <w:pPr>
        <w:pStyle w:val="LB1"/>
      </w:pPr>
      <w:r w:rsidRPr="00E21848">
        <w:t>A material system defect is defined as functionality that does not conform to the approved detailed design documentation or does not meet established TWC performance standards.</w:t>
      </w:r>
      <w:r>
        <w:t xml:space="preserve"> TWC</w:t>
      </w:r>
      <w:r w:rsidRPr="00E21848">
        <w:t xml:space="preserve"> will </w:t>
      </w:r>
      <w:r>
        <w:t>determine</w:t>
      </w:r>
      <w:r w:rsidRPr="00E21848">
        <w:t xml:space="preserve"> whether or not a</w:t>
      </w:r>
      <w:r w:rsidR="001563D0">
        <w:t xml:space="preserve"> material system defect exists</w:t>
      </w:r>
      <w:bookmarkEnd w:id="200"/>
      <w:r w:rsidR="0003586E">
        <w:t xml:space="preserve"> and assign a defect severity</w:t>
      </w:r>
      <w:r w:rsidR="003B4C23">
        <w:t>,</w:t>
      </w:r>
      <w:r w:rsidR="0003586E">
        <w:t xml:space="preserve"> </w:t>
      </w:r>
      <w:r w:rsidR="003B4C23">
        <w:t xml:space="preserve">defined in </w:t>
      </w:r>
      <w:hyperlink w:anchor="_A10.4_Service_Level" w:history="1">
        <w:r w:rsidR="003B4C23" w:rsidRPr="00675759">
          <w:rPr>
            <w:rStyle w:val="Hyperlink"/>
          </w:rPr>
          <w:t>Attachment A10.4</w:t>
        </w:r>
      </w:hyperlink>
      <w:r w:rsidR="001563D0">
        <w:t>;</w:t>
      </w:r>
      <w:r w:rsidRPr="00E21848">
        <w:t xml:space="preserve"> </w:t>
      </w:r>
    </w:p>
    <w:p w14:paraId="772CD698" w14:textId="3AE51F00" w:rsidR="008037FD" w:rsidRDefault="008037FD" w:rsidP="00E16D2D">
      <w:pPr>
        <w:pStyle w:val="LB1"/>
      </w:pPr>
      <w:r w:rsidRPr="00E21848">
        <w:t>TWC will document</w:t>
      </w:r>
      <w:r w:rsidR="001563D0">
        <w:t xml:space="preserve"> System Acceptance in writing;</w:t>
      </w:r>
    </w:p>
    <w:p w14:paraId="0E316A60" w14:textId="3F4605E1" w:rsidR="008037FD" w:rsidRDefault="008037FD" w:rsidP="00F82166">
      <w:pPr>
        <w:pStyle w:val="LB1"/>
      </w:pPr>
      <w:r w:rsidRPr="00741202">
        <w:t xml:space="preserve">Incremental production releases of component deliverables prior to the final production release will not require a System Acceptance period, but the </w:t>
      </w:r>
      <w:r>
        <w:t xml:space="preserve">Awarded Vendor </w:t>
      </w:r>
      <w:r w:rsidR="001563D0">
        <w:t>must provide production support; and</w:t>
      </w:r>
    </w:p>
    <w:p w14:paraId="2B1155D1" w14:textId="7473CC79" w:rsidR="003D29AE" w:rsidRDefault="008037FD" w:rsidP="00F82166">
      <w:pPr>
        <w:pStyle w:val="LB1"/>
      </w:pPr>
      <w:r w:rsidRPr="00AA5678">
        <w:t xml:space="preserve">All Training for </w:t>
      </w:r>
      <w:r>
        <w:t>TWC S</w:t>
      </w:r>
      <w:r w:rsidRPr="00AA5678">
        <w:t>taff is compl</w:t>
      </w:r>
      <w:r>
        <w:t>ete.</w:t>
      </w:r>
    </w:p>
    <w:p w14:paraId="62B4D285" w14:textId="20FA47E2" w:rsidR="003D29AE" w:rsidRDefault="003D29AE" w:rsidP="003D29AE">
      <w:pPr>
        <w:pStyle w:val="Heading2"/>
      </w:pPr>
      <w:bookmarkStart w:id="201" w:name="_Toc13567450"/>
      <w:r>
        <w:t>6.3</w:t>
      </w:r>
      <w:r>
        <w:tab/>
        <w:t>Warranty</w:t>
      </w:r>
      <w:bookmarkEnd w:id="201"/>
    </w:p>
    <w:p w14:paraId="050D2973" w14:textId="77777777" w:rsidR="009C56E8" w:rsidRPr="009C56E8" w:rsidRDefault="008037FD" w:rsidP="009C56E8">
      <w:r w:rsidRPr="00E21848">
        <w:t xml:space="preserve">The </w:t>
      </w:r>
      <w:r>
        <w:t xml:space="preserve">Awarded Vendor </w:t>
      </w:r>
      <w:r w:rsidRPr="00E21848">
        <w:t xml:space="preserve">must provide a warranty period of at least </w:t>
      </w:r>
      <w:r w:rsidR="009C0002" w:rsidRPr="00264F60">
        <w:t xml:space="preserve">one </w:t>
      </w:r>
      <w:r w:rsidR="00E70DD9">
        <w:t xml:space="preserve">(1) </w:t>
      </w:r>
      <w:r w:rsidR="009C0002" w:rsidRPr="00264F60">
        <w:t>calendar</w:t>
      </w:r>
      <w:r w:rsidR="009C0002" w:rsidRPr="0088696D">
        <w:t xml:space="preserve"> </w:t>
      </w:r>
      <w:r w:rsidR="009C0002">
        <w:t>year</w:t>
      </w:r>
      <w:r w:rsidRPr="00E21848">
        <w:t xml:space="preserve"> beginning the day after System Acceptance</w:t>
      </w:r>
      <w:r w:rsidR="007B3B71">
        <w:t>,</w:t>
      </w:r>
      <w:r w:rsidRPr="00E21848">
        <w:t xml:space="preserve"> as defined above</w:t>
      </w:r>
      <w:r w:rsidR="007B3B71">
        <w:t>,</w:t>
      </w:r>
      <w:r w:rsidR="00310B95">
        <w:t xml:space="preserve"> during which time de</w:t>
      </w:r>
      <w:r w:rsidR="007B3B71">
        <w:t xml:space="preserve">fects identified must be corrected </w:t>
      </w:r>
      <w:bookmarkStart w:id="202" w:name="_Hlk531595230"/>
      <w:r w:rsidR="007B3B71">
        <w:t>at no additional cost to the State</w:t>
      </w:r>
      <w:bookmarkEnd w:id="202"/>
      <w:r w:rsidRPr="00E21848">
        <w:t>.</w:t>
      </w:r>
      <w:r>
        <w:t xml:space="preserve"> </w:t>
      </w:r>
      <w:r w:rsidRPr="00E21848">
        <w:t xml:space="preserve">The Warranty covers defects that TWC reports to the </w:t>
      </w:r>
      <w:r>
        <w:t xml:space="preserve">Awarded Vendor </w:t>
      </w:r>
      <w:r w:rsidRPr="00E21848">
        <w:t>using the approved process on or before the Warranty Period End Date.</w:t>
      </w:r>
      <w:r>
        <w:t xml:space="preserve"> </w:t>
      </w:r>
      <w:r w:rsidRPr="00E21848">
        <w:t>Correction and testing of such defects may extend beyond the Warranty Period End Date as needed until acceptance.</w:t>
      </w:r>
      <w:r>
        <w:t xml:space="preserve"> </w:t>
      </w:r>
      <w:r w:rsidR="009C56E8">
        <w:t>Lower priority warranty defects shall be corrected at no cost during the duration of the contract, regardless of when they are prioritized.</w:t>
      </w:r>
      <w:r w:rsidR="009C56E8" w:rsidRPr="009C56E8">
        <w:t xml:space="preserve"> </w:t>
      </w:r>
    </w:p>
    <w:p w14:paraId="053B6AB3" w14:textId="77777777" w:rsidR="009C56E8" w:rsidRDefault="009C56E8" w:rsidP="008037FD"/>
    <w:p w14:paraId="72C29CF8" w14:textId="490FFBCB" w:rsidR="003D29AE" w:rsidRDefault="008037FD" w:rsidP="008037FD">
      <w:r w:rsidRPr="00E21848">
        <w:lastRenderedPageBreak/>
        <w:t xml:space="preserve">The </w:t>
      </w:r>
      <w:r>
        <w:t xml:space="preserve">Awarded Vendor </w:t>
      </w:r>
      <w:r w:rsidRPr="00E21848">
        <w:t>and TWC will agree in writing on the Warranty process before the Warranty period begins, including but not limited to identification and reporting, correcting, testing and acceptance, production software release, warranty completion confirmation process, escalation paths, and warranty staff location, using an existing TWC template.</w:t>
      </w:r>
    </w:p>
    <w:p w14:paraId="36A02E16" w14:textId="4D064695" w:rsidR="003D29AE" w:rsidRDefault="003D29AE" w:rsidP="003D29AE">
      <w:pPr>
        <w:pStyle w:val="Heading2"/>
      </w:pPr>
      <w:bookmarkStart w:id="203" w:name="_6.4_Term_of"/>
      <w:bookmarkStart w:id="204" w:name="_Toc13567451"/>
      <w:bookmarkEnd w:id="203"/>
      <w:r>
        <w:t>6.4</w:t>
      </w:r>
      <w:r>
        <w:tab/>
        <w:t>Term of Contract</w:t>
      </w:r>
      <w:bookmarkEnd w:id="204"/>
    </w:p>
    <w:p w14:paraId="29AB4D43" w14:textId="2592561A" w:rsidR="003D29AE" w:rsidRDefault="009C0002" w:rsidP="009C0002">
      <w:r>
        <w:t xml:space="preserve">The Contract will be effective from the date of Contract award for a period </w:t>
      </w:r>
      <w:r w:rsidRPr="00E74A99">
        <w:t xml:space="preserve">of </w:t>
      </w:r>
      <w:r w:rsidR="007E76E6">
        <w:t>six</w:t>
      </w:r>
      <w:r w:rsidRPr="00E74A99">
        <w:t xml:space="preserve"> (</w:t>
      </w:r>
      <w:r w:rsidR="007E76E6">
        <w:t>6</w:t>
      </w:r>
      <w:r w:rsidRPr="00E74A99">
        <w:t xml:space="preserve">) </w:t>
      </w:r>
      <w:r>
        <w:t xml:space="preserve">years. TWC will have the option to renew the term of the Contract </w:t>
      </w:r>
      <w:r w:rsidRPr="00E74A99">
        <w:t xml:space="preserve">for </w:t>
      </w:r>
      <w:r w:rsidR="006C3D52">
        <w:t xml:space="preserve">up to </w:t>
      </w:r>
      <w:r w:rsidR="007E76E6">
        <w:t>six</w:t>
      </w:r>
      <w:r w:rsidR="007E76E6" w:rsidRPr="00E74A99">
        <w:t xml:space="preserve"> (</w:t>
      </w:r>
      <w:r w:rsidR="007E76E6">
        <w:t>6</w:t>
      </w:r>
      <w:r w:rsidR="007E76E6" w:rsidRPr="00E74A99">
        <w:t xml:space="preserve">) </w:t>
      </w:r>
      <w:r w:rsidR="006C3D52">
        <w:t xml:space="preserve">additional </w:t>
      </w:r>
      <w:r w:rsidR="007E76E6">
        <w:t>years</w:t>
      </w:r>
      <w:r w:rsidR="007E76E6" w:rsidRPr="00E74A99">
        <w:t xml:space="preserve"> </w:t>
      </w:r>
      <w:r w:rsidRPr="00E74A99">
        <w:t xml:space="preserve">in any combination of years or months </w:t>
      </w:r>
      <w:r>
        <w:t>for maintenance and support.</w:t>
      </w:r>
    </w:p>
    <w:p w14:paraId="0B275596" w14:textId="64CBF1BA" w:rsidR="003D29AE" w:rsidRDefault="003D29AE" w:rsidP="003D29AE">
      <w:pPr>
        <w:pStyle w:val="Heading2"/>
      </w:pPr>
      <w:bookmarkStart w:id="205" w:name="_Toc13567452"/>
      <w:r>
        <w:t>6.5</w:t>
      </w:r>
      <w:r>
        <w:tab/>
        <w:t>Software Escrow Agreement</w:t>
      </w:r>
      <w:bookmarkEnd w:id="205"/>
    </w:p>
    <w:p w14:paraId="0497780F" w14:textId="511438A1" w:rsidR="00B6731A" w:rsidRDefault="00B6731A" w:rsidP="009C0002">
      <w:bookmarkStart w:id="206" w:name="_Hlk8221034"/>
      <w:r w:rsidRPr="00481C6A">
        <w:t xml:space="preserve">The </w:t>
      </w:r>
      <w:r>
        <w:t xml:space="preserve">Awarded Vendor </w:t>
      </w:r>
      <w:r w:rsidRPr="00481C6A">
        <w:t xml:space="preserve">shall maintain copies of the </w:t>
      </w:r>
      <w:r w:rsidR="00560778">
        <w:t>Awarded Vendor</w:t>
      </w:r>
      <w:r w:rsidRPr="00481C6A">
        <w:t xml:space="preserve">-Owned Software System Source Materials in escrow with an independent nationally-recognized technology escrow company pre-approved by the State. </w:t>
      </w:r>
      <w:r>
        <w:t xml:space="preserve">The escrowed materials shall include the Custom-Developed Software, the </w:t>
      </w:r>
      <w:r w:rsidR="00560778">
        <w:t>Awarded Vendor</w:t>
      </w:r>
      <w:r>
        <w:t xml:space="preserve">-Owned Software and (subject to any EULA or separate third-party escrow agreement incorporated in this Contract) the </w:t>
      </w:r>
      <w:r w:rsidR="00560778">
        <w:t>Third-Party</w:t>
      </w:r>
      <w:r>
        <w:t xml:space="preserve"> Software, including as to all such Software Upgrades. </w:t>
      </w:r>
      <w:r w:rsidRPr="00481C6A">
        <w:t xml:space="preserve">All costs for establishing and maintaining the System Source Materials in escrow shall be borne by the </w:t>
      </w:r>
      <w:r w:rsidR="00560778">
        <w:t>Awarded Vendor</w:t>
      </w:r>
      <w:r w:rsidRPr="00481C6A">
        <w:t xml:space="preserve">. The </w:t>
      </w:r>
      <w:r w:rsidR="00560778">
        <w:t xml:space="preserve">Awarded Vendor </w:t>
      </w:r>
      <w:r>
        <w:t xml:space="preserve">shall </w:t>
      </w:r>
      <w:r w:rsidRPr="00481C6A">
        <w:t xml:space="preserve">notify the State of each </w:t>
      </w:r>
      <w:r>
        <w:t>Upgrade</w:t>
      </w:r>
      <w:r w:rsidRPr="00481C6A">
        <w:t xml:space="preserve"> to the Software held in escrow</w:t>
      </w:r>
      <w:r>
        <w:t>.</w:t>
      </w:r>
    </w:p>
    <w:p w14:paraId="0B0166B0" w14:textId="77777777" w:rsidR="0047599C" w:rsidRDefault="0047599C" w:rsidP="009C0002"/>
    <w:p w14:paraId="7CD7839A" w14:textId="20DAF54E" w:rsidR="00B6731A" w:rsidRDefault="00B6731A" w:rsidP="009C0002">
      <w:r w:rsidRPr="004B0258">
        <w:t xml:space="preserve">Within fifteen (15) calendar days after the State’s written acceptance of the implementation of the System, the </w:t>
      </w:r>
      <w:r w:rsidR="00560778">
        <w:t xml:space="preserve">Awarded Vendor </w:t>
      </w:r>
      <w:r w:rsidRPr="004B0258">
        <w:t xml:space="preserve">shall submit to the State a letter naming the escrow company that the </w:t>
      </w:r>
      <w:r w:rsidR="00560778">
        <w:t xml:space="preserve">Awarded Vendor </w:t>
      </w:r>
      <w:r w:rsidRPr="004B0258">
        <w:t>intends to use, with the understanding that the State may approve or disapprove the named company. This letter must include the name, address, and full contact information for the recommended escrow company</w:t>
      </w:r>
      <w:r>
        <w:t>,</w:t>
      </w:r>
      <w:r w:rsidRPr="009314E6">
        <w:t xml:space="preserve"> and a proposed </w:t>
      </w:r>
      <w:r w:rsidR="00560778" w:rsidRPr="009314E6">
        <w:t>three-party</w:t>
      </w:r>
      <w:r w:rsidRPr="009314E6">
        <w:t xml:space="preserve"> escrow agreement among the State, the </w:t>
      </w:r>
      <w:r w:rsidR="00560778">
        <w:t>Awarded Vendor</w:t>
      </w:r>
      <w:r w:rsidRPr="009314E6">
        <w:t>, and the escrow company.</w:t>
      </w:r>
      <w:r w:rsidRPr="004B0258">
        <w:t xml:space="preserve"> The State will indicate its approval or disapproval in writing</w:t>
      </w:r>
      <w:r>
        <w:t>.</w:t>
      </w:r>
    </w:p>
    <w:p w14:paraId="0D5F9EEA" w14:textId="77777777" w:rsidR="0047599C" w:rsidRDefault="0047599C" w:rsidP="009C0002"/>
    <w:p w14:paraId="4F08D117" w14:textId="696CC8C8" w:rsidR="00B6731A" w:rsidRDefault="00B6731A" w:rsidP="009C0002">
      <w:r w:rsidRPr="004B0258">
        <w:t xml:space="preserve">Within fifteen (15) calendar days after the </w:t>
      </w:r>
      <w:r>
        <w:t>execution of the escrow agreement</w:t>
      </w:r>
      <w:r w:rsidRPr="004B0258">
        <w:t xml:space="preserve">, the </w:t>
      </w:r>
      <w:r w:rsidR="00560778">
        <w:t xml:space="preserve">Awarded Vendor </w:t>
      </w:r>
      <w:r w:rsidRPr="004B0258">
        <w:t xml:space="preserve">shall place the System Source Materials in escrow with the approved escrow company. The escrow agreement shall state that it is a supplementary agreement to this Contract pursuant to Section 365(n) of the United States Bankruptcy Code. The </w:t>
      </w:r>
      <w:r w:rsidR="00560778">
        <w:t xml:space="preserve">Awarded Vendor </w:t>
      </w:r>
      <w:r w:rsidRPr="004B0258">
        <w:t xml:space="preserve">shall provide the State with a signed letter from the escrow company in question stating that the code has been placed in escrow and confirming the State's right to obtain the System Source Materials directly from the escrow company in the event of </w:t>
      </w:r>
      <w:r w:rsidR="00560778">
        <w:t xml:space="preserve">Awarded Vendor </w:t>
      </w:r>
      <w:r w:rsidRPr="004B0258">
        <w:t xml:space="preserve">default as described below. Throughout the term of the </w:t>
      </w:r>
      <w:r>
        <w:t>C</w:t>
      </w:r>
      <w:r w:rsidRPr="004B0258">
        <w:t xml:space="preserve">ontract and any extensions of same, the </w:t>
      </w:r>
      <w:r w:rsidR="00560778">
        <w:t xml:space="preserve">Awarded Vendor </w:t>
      </w:r>
      <w:r w:rsidRPr="004B0258">
        <w:t xml:space="preserve">shall periodically update the System </w:t>
      </w:r>
      <w:r w:rsidRPr="004B0258">
        <w:lastRenderedPageBreak/>
        <w:t xml:space="preserve">Source Materials and notify the State in writing that it has been updated and that the System Source Materials in escrow is current with the State's production environment, matches the State's production version level, and includes any </w:t>
      </w:r>
      <w:r w:rsidR="00F20355">
        <w:t>u</w:t>
      </w:r>
      <w:r>
        <w:t>pgrade</w:t>
      </w:r>
      <w:r w:rsidRPr="004B0258">
        <w:t xml:space="preserve">s, </w:t>
      </w:r>
      <w:r w:rsidR="00F20355">
        <w:t>u</w:t>
      </w:r>
      <w:r>
        <w:t xml:space="preserve">pdates, </w:t>
      </w:r>
      <w:r w:rsidR="00F20355">
        <w:t>e</w:t>
      </w:r>
      <w:r>
        <w:t>nhancement</w:t>
      </w:r>
      <w:r w:rsidRPr="004B0258">
        <w:t xml:space="preserve">s, or new releases that are applied to the State’s system. The State, at its option and expense, may verify the completeness and accuracy of the System Source Materials by independent audit during the </w:t>
      </w:r>
      <w:r w:rsidR="004E4E93">
        <w:t xml:space="preserve">Contract </w:t>
      </w:r>
      <w:r>
        <w:t>Term.</w:t>
      </w:r>
    </w:p>
    <w:p w14:paraId="06C46E1B" w14:textId="77777777" w:rsidR="0047599C" w:rsidRDefault="0047599C" w:rsidP="009C0002"/>
    <w:p w14:paraId="347694AB" w14:textId="2EA18DAA" w:rsidR="00B6731A" w:rsidRDefault="00B6731A" w:rsidP="009C0002">
      <w:r w:rsidRPr="004B0258">
        <w:t xml:space="preserve">If for any reason during the </w:t>
      </w:r>
      <w:r w:rsidR="004E4E93">
        <w:t xml:space="preserve">Contract </w:t>
      </w:r>
      <w:r>
        <w:t>T</w:t>
      </w:r>
      <w:r w:rsidRPr="004B0258">
        <w:t xml:space="preserve">erm, </w:t>
      </w:r>
      <w:r>
        <w:t xml:space="preserve">(a) a receiver, trustee or similar officer is appointed for the business or property of </w:t>
      </w:r>
      <w:r w:rsidR="00F20355">
        <w:t>Awarded Vendor</w:t>
      </w:r>
      <w:r>
        <w:t xml:space="preserve">; (b) </w:t>
      </w:r>
      <w:r w:rsidR="00F20355">
        <w:t xml:space="preserve">Awarded Vendor </w:t>
      </w:r>
      <w:r>
        <w:t xml:space="preserve">files a petition in bankruptcy, files a petition seeking any reorganization (without confirming immediately in writing to the State that it will continue to maintain the System in accordance with the terms of the Contract or any applicable maintenance agreement; (c) </w:t>
      </w:r>
      <w:r w:rsidR="00F20355">
        <w:t xml:space="preserve">Awarded Vendor </w:t>
      </w:r>
      <w:r>
        <w:t xml:space="preserve">makes an arrangement, composition or similar relief under  any law regarding insolvency or relief for debtors, or makes and assignment for the benefit of creditors; (d) any involuntary petition or proceeding under bankruptcy or insolvency laws instituted against the </w:t>
      </w:r>
      <w:r w:rsidR="00F20355">
        <w:t xml:space="preserve">Awarded Vendor </w:t>
      </w:r>
      <w:r>
        <w:t xml:space="preserve">and not stayed, enjoined or discharged within 60 days; (e) </w:t>
      </w:r>
      <w:r w:rsidR="00F20355">
        <w:t xml:space="preserve">Awarded Vendor </w:t>
      </w:r>
      <w:r>
        <w:t>takes any corporate action authorizing any of the foregoing: (f) any similar or analogous proceedings or event to those in clauses (a) through (e</w:t>
      </w:r>
      <w:r w:rsidR="00F304FD">
        <w:t>)</w:t>
      </w:r>
      <w:r>
        <w:t xml:space="preserve"> above occurs in respect of </w:t>
      </w:r>
      <w:r w:rsidR="00F20355">
        <w:t xml:space="preserve">Awarded Vendor </w:t>
      </w:r>
      <w:r>
        <w:t xml:space="preserve">within any jurisdiction outside the United States; (g) </w:t>
      </w:r>
      <w:r w:rsidR="00F20355">
        <w:t xml:space="preserve">Awarded Vendor </w:t>
      </w:r>
      <w:r>
        <w:t xml:space="preserve">ceases to carry on its business with relates to the Software (h) </w:t>
      </w:r>
      <w:r w:rsidR="00F20355">
        <w:t xml:space="preserve">Awarded Vendor </w:t>
      </w:r>
      <w:r>
        <w:t xml:space="preserve">in material breach of its obligations as to maintenance or modification of the System under the Contract or any maintenance agreement entered into in connection with the System and has failed to remedy such default notified by the State to </w:t>
      </w:r>
      <w:r w:rsidR="00F20355">
        <w:t xml:space="preserve">Awarded Vendor </w:t>
      </w:r>
      <w:r>
        <w:t xml:space="preserve">within the period set forth in this agreement; or (i) </w:t>
      </w:r>
      <w:r w:rsidRPr="004B0258">
        <w:t xml:space="preserve"> </w:t>
      </w:r>
      <w:r w:rsidR="00F20355">
        <w:t xml:space="preserve">Awarded Vendor </w:t>
      </w:r>
      <w:r w:rsidRPr="004B0258">
        <w:t>becomes unable</w:t>
      </w:r>
      <w:r>
        <w:t xml:space="preserve"> or unwilling </w:t>
      </w:r>
      <w:r w:rsidRPr="004B0258">
        <w:t xml:space="preserve"> to fulfill its obligations </w:t>
      </w:r>
      <w:r>
        <w:t xml:space="preserve">to maintain or support </w:t>
      </w:r>
      <w:r w:rsidRPr="00F65945">
        <w:t xml:space="preserve">as described herein, the </w:t>
      </w:r>
      <w:r w:rsidR="00F20355">
        <w:t xml:space="preserve">Awarded Vendor </w:t>
      </w:r>
      <w:r w:rsidRPr="00F65945">
        <w:t xml:space="preserve">agrees to deliver the System Source Materials held in escrow to the State and also agrees that, under such terms, the State may instruct the escrow company in writing for and on behalf of the </w:t>
      </w:r>
      <w:r w:rsidR="00F20355">
        <w:t xml:space="preserve">Awarded Vendor </w:t>
      </w:r>
      <w:r w:rsidRPr="00F65945">
        <w:t xml:space="preserve">to deliver the System Source Materials held in escrow to the State. In the event that the </w:t>
      </w:r>
      <w:r w:rsidR="00F20355">
        <w:t xml:space="preserve">Awarded Vendor </w:t>
      </w:r>
      <w:r w:rsidRPr="00F65945">
        <w:t>fails to deliver the System Source Materials in a timely manner, as determined by the State, the State may obtain the System Source Materials directly from the escrow company pursuant</w:t>
      </w:r>
      <w:r>
        <w:t xml:space="preserve"> to the escrow agreement</w:t>
      </w:r>
      <w:r w:rsidR="00F20355">
        <w:t>.</w:t>
      </w:r>
    </w:p>
    <w:p w14:paraId="7BEC7D96" w14:textId="7A34193A" w:rsidR="003D29AE" w:rsidRDefault="003D29AE" w:rsidP="003D29AE">
      <w:pPr>
        <w:pStyle w:val="Heading2"/>
      </w:pPr>
      <w:bookmarkStart w:id="207" w:name="_Toc13567453"/>
      <w:bookmarkEnd w:id="206"/>
      <w:r>
        <w:t>6.6</w:t>
      </w:r>
      <w:r>
        <w:tab/>
        <w:t>Responsibility of Awarded Vendor</w:t>
      </w:r>
      <w:bookmarkEnd w:id="207"/>
    </w:p>
    <w:p w14:paraId="7A433F1D" w14:textId="77777777" w:rsidR="009C0002" w:rsidRPr="00E21848" w:rsidRDefault="009C0002" w:rsidP="009C0002">
      <w:r>
        <w:t>T</w:t>
      </w:r>
      <w:r w:rsidRPr="00E21848">
        <w:t xml:space="preserve">he </w:t>
      </w:r>
      <w:r>
        <w:t xml:space="preserve">Awarded Vendor </w:t>
      </w:r>
      <w:r w:rsidRPr="00E21848">
        <w:t>is solely responsible for implementing the work in full compliance with all applicable laws, regulations, and all requirements within TWC’s RFO and Awarded Vendor’s proposal.</w:t>
      </w:r>
      <w:r>
        <w:t xml:space="preserve"> Awarded Vendor </w:t>
      </w:r>
      <w:r w:rsidRPr="00E21848">
        <w:t>is responsible for any work or materials required from any subcontractor.</w:t>
      </w:r>
      <w:r>
        <w:t xml:space="preserve"> </w:t>
      </w:r>
      <w:r w:rsidRPr="00E21848">
        <w:t>TWC will not directly contract with a subcontractor identified, or required, by the Awarded Vendor’s response to TWC’s RFO.</w:t>
      </w:r>
    </w:p>
    <w:p w14:paraId="4F47F4AE" w14:textId="103BD7EA" w:rsidR="003D29AE" w:rsidRDefault="009C0002" w:rsidP="009C0002">
      <w:r w:rsidRPr="00E21848">
        <w:lastRenderedPageBreak/>
        <w:t xml:space="preserve">TWC reserves the right to work directly with the subcontractors under this contract if the </w:t>
      </w:r>
      <w:r>
        <w:t xml:space="preserve">Awarded Vendor </w:t>
      </w:r>
      <w:r w:rsidRPr="00E21848">
        <w:t>has performance or contract issues that remain unresolved after appropriate escalation and corrective action.</w:t>
      </w:r>
    </w:p>
    <w:p w14:paraId="06CE7EBF" w14:textId="0D0A474B" w:rsidR="003D29AE" w:rsidRDefault="003D29AE" w:rsidP="003D29AE">
      <w:pPr>
        <w:pStyle w:val="Heading2"/>
      </w:pPr>
      <w:bookmarkStart w:id="208" w:name="_Toc13567454"/>
      <w:r>
        <w:t>6.</w:t>
      </w:r>
      <w:r w:rsidR="000421B5">
        <w:t>7</w:t>
      </w:r>
      <w:r>
        <w:tab/>
        <w:t>Security Agreements</w:t>
      </w:r>
      <w:r w:rsidR="000421B5">
        <w:t xml:space="preserve"> and</w:t>
      </w:r>
      <w:r>
        <w:t xml:space="preserve"> Background Checks</w:t>
      </w:r>
      <w:bookmarkEnd w:id="208"/>
    </w:p>
    <w:p w14:paraId="7591ABDA" w14:textId="3649CB29" w:rsidR="009C0002" w:rsidRDefault="009C0002" w:rsidP="009C0002">
      <w:bookmarkStart w:id="209" w:name="_Hlk524610572"/>
      <w:bookmarkStart w:id="210" w:name="_Hlk531242855"/>
      <w:r>
        <w:t xml:space="preserve">Awarded Vendor </w:t>
      </w:r>
      <w:r w:rsidRPr="00E21848">
        <w:t xml:space="preserve">Project </w:t>
      </w:r>
      <w:r w:rsidR="009521D7">
        <w:t xml:space="preserve">Staff </w:t>
      </w:r>
      <w:r w:rsidRPr="00E21848">
        <w:t>must sign</w:t>
      </w:r>
      <w:r w:rsidR="00F236C5">
        <w:t xml:space="preserve"> and submit</w:t>
      </w:r>
      <w:r w:rsidRPr="00E21848">
        <w:t xml:space="preserve"> TWC security agreements</w:t>
      </w:r>
      <w:r w:rsidR="00444732">
        <w:t xml:space="preserve"> </w:t>
      </w:r>
      <w:r w:rsidR="0034068B">
        <w:t xml:space="preserve">and receive </w:t>
      </w:r>
      <w:r w:rsidR="00637DE0">
        <w:t xml:space="preserve">notification that there are no barriers to employment </w:t>
      </w:r>
      <w:r w:rsidR="00444732">
        <w:t>prior to their start date</w:t>
      </w:r>
      <w:r w:rsidRPr="00E21848">
        <w:t>.</w:t>
      </w:r>
      <w:bookmarkEnd w:id="209"/>
      <w:r>
        <w:t xml:space="preserve"> </w:t>
      </w:r>
      <w:r w:rsidRPr="00E21848">
        <w:t xml:space="preserve">Pursuant to Section 2.23 of Texas Workforce Commission - Terms &amp; Conditions, </w:t>
      </w:r>
      <w:r>
        <w:t xml:space="preserve">Awarded Vendor </w:t>
      </w:r>
      <w:r w:rsidRPr="00E21848">
        <w:t xml:space="preserve">must submit </w:t>
      </w:r>
      <w:r w:rsidR="00BF5826">
        <w:t xml:space="preserve">fingerprint-based </w:t>
      </w:r>
      <w:r w:rsidRPr="00E21848">
        <w:t xml:space="preserve">criminal background checks on all personnel assigned to the services related to this Project </w:t>
      </w:r>
      <w:r>
        <w:t>and</w:t>
      </w:r>
      <w:r w:rsidRPr="00E21848">
        <w:t xml:space="preserve"> provide TWC with the information required for TWC to conduct a Criminal History Report Investigation.</w:t>
      </w:r>
    </w:p>
    <w:p w14:paraId="014A0BDF" w14:textId="1F763B48" w:rsidR="000421B5" w:rsidRDefault="000421B5" w:rsidP="000421B5">
      <w:pPr>
        <w:pStyle w:val="Heading2"/>
      </w:pPr>
      <w:bookmarkStart w:id="211" w:name="_Toc13567455"/>
      <w:r>
        <w:t>6.8</w:t>
      </w:r>
      <w:r>
        <w:tab/>
        <w:t>Mandatory Training</w:t>
      </w:r>
      <w:bookmarkEnd w:id="211"/>
    </w:p>
    <w:p w14:paraId="5416BC7F" w14:textId="25CD0D2A" w:rsidR="003D29AE" w:rsidRDefault="009C0002" w:rsidP="009C0002">
      <w:r>
        <w:t xml:space="preserve">Awarded Vendor </w:t>
      </w:r>
      <w:r w:rsidRPr="00E21848">
        <w:t xml:space="preserve">Project </w:t>
      </w:r>
      <w:r w:rsidR="009521D7">
        <w:t xml:space="preserve">Staff </w:t>
      </w:r>
      <w:r>
        <w:t>must comply with TWC Mandatory Training requirements.</w:t>
      </w:r>
      <w:bookmarkEnd w:id="210"/>
    </w:p>
    <w:p w14:paraId="1655AC95" w14:textId="38EBCD25" w:rsidR="003D29AE" w:rsidRDefault="003D29AE" w:rsidP="003D29AE">
      <w:pPr>
        <w:pStyle w:val="Heading2"/>
      </w:pPr>
      <w:bookmarkStart w:id="212" w:name="_6.9_Electronic_Information"/>
      <w:bookmarkStart w:id="213" w:name="_Toc13567456"/>
      <w:bookmarkEnd w:id="212"/>
      <w:r>
        <w:t>6.9</w:t>
      </w:r>
      <w:r>
        <w:tab/>
        <w:t>Electronic Information Resources Accessibility</w:t>
      </w:r>
      <w:bookmarkEnd w:id="213"/>
    </w:p>
    <w:p w14:paraId="5DD57AC4" w14:textId="1E94E5B7" w:rsidR="00F236C5" w:rsidRPr="000D5D19" w:rsidRDefault="00F236C5" w:rsidP="00F236C5">
      <w:bookmarkStart w:id="214" w:name="_Hlk536094465"/>
      <w:r w:rsidRPr="000D5D19">
        <w:t>All documents of any format (e.g., Word, Excel, PowerPoint, and PDF) delivered to TWC for Project deliverables</w:t>
      </w:r>
      <w:r>
        <w:t>, including</w:t>
      </w:r>
      <w:r w:rsidRPr="00AD6AB9">
        <w:t xml:space="preserve"> </w:t>
      </w:r>
      <w:r w:rsidRPr="00E21848">
        <w:t>early samples of deliverables in draft form</w:t>
      </w:r>
      <w:r>
        <w:t>, as well as s</w:t>
      </w:r>
      <w:r w:rsidRPr="000D5D19">
        <w:t xml:space="preserve">ystems developed or procured must meet all of the following </w:t>
      </w:r>
      <w:r>
        <w:t>EIR accessibility requirements</w:t>
      </w:r>
      <w:r w:rsidR="005A3FC7">
        <w:t xml:space="preserve"> in the current version at the time of implementation</w:t>
      </w:r>
      <w:r w:rsidRPr="000D5D19">
        <w:t>:</w:t>
      </w:r>
      <w:bookmarkEnd w:id="214"/>
    </w:p>
    <w:p w14:paraId="78858091" w14:textId="68D967B5" w:rsidR="00F236C5" w:rsidRPr="00857D4C" w:rsidRDefault="00F236C5" w:rsidP="00E16D2D">
      <w:pPr>
        <w:pStyle w:val="LB1"/>
      </w:pPr>
      <w:bookmarkStart w:id="215" w:name="_Hlk536094626"/>
      <w:r w:rsidRPr="00857D4C">
        <w:t xml:space="preserve">Section 508 of the Rehabilitation Act (29 </w:t>
      </w:r>
      <w:r w:rsidR="00AA7F30" w:rsidRPr="008C2C58">
        <w:rPr>
          <w:rFonts w:cs="Arial"/>
          <w:snapToGrid w:val="0"/>
          <w:color w:val="000000"/>
          <w:szCs w:val="24"/>
        </w:rPr>
        <w:t xml:space="preserve">United States Code </w:t>
      </w:r>
      <w:r w:rsidR="00AA7F30">
        <w:rPr>
          <w:rFonts w:cs="Arial"/>
          <w:snapToGrid w:val="0"/>
          <w:color w:val="000000"/>
          <w:szCs w:val="24"/>
        </w:rPr>
        <w:t>(</w:t>
      </w:r>
      <w:r w:rsidRPr="00857D4C">
        <w:t>U.S.C.</w:t>
      </w:r>
      <w:r w:rsidR="00AA7F30">
        <w:t>)</w:t>
      </w:r>
      <w:r w:rsidRPr="00857D4C">
        <w:t xml:space="preserve"> 794d) (</w:t>
      </w:r>
      <w:hyperlink r:id="rId37" w:history="1">
        <w:r w:rsidRPr="00857D4C">
          <w:rPr>
            <w:rStyle w:val="Hyperlink"/>
          </w:rPr>
          <w:t>https://section508.gov/</w:t>
        </w:r>
      </w:hyperlink>
      <w:r w:rsidRPr="00857D4C">
        <w:t>)</w:t>
      </w:r>
      <w:r w:rsidR="001563D0">
        <w:t>;</w:t>
      </w:r>
    </w:p>
    <w:p w14:paraId="34A23795" w14:textId="1206A91F" w:rsidR="00F236C5" w:rsidRPr="00857D4C" w:rsidRDefault="00F236C5" w:rsidP="00F82166">
      <w:pPr>
        <w:pStyle w:val="LB1"/>
      </w:pPr>
      <w:r w:rsidRPr="00857D4C">
        <w:t>Web Content Accessibility Guidelines (WCAG) 2.0</w:t>
      </w:r>
      <w:r w:rsidRPr="00857D4C">
        <w:rPr>
          <w:rStyle w:val="Hyperlink"/>
          <w:color w:val="auto"/>
          <w:u w:val="none"/>
        </w:rPr>
        <w:t xml:space="preserve"> (</w:t>
      </w:r>
      <w:hyperlink r:id="rId38" w:history="1">
        <w:r w:rsidR="00173751" w:rsidRPr="00173751">
          <w:rPr>
            <w:rStyle w:val="Hyperlink"/>
          </w:rPr>
          <w:t>http://www.w3.org/TR/WCAG20/</w:t>
        </w:r>
      </w:hyperlink>
      <w:r w:rsidRPr="00857D4C">
        <w:rPr>
          <w:rStyle w:val="Hyperlink"/>
          <w:color w:val="auto"/>
          <w:u w:val="none"/>
        </w:rPr>
        <w:t>)</w:t>
      </w:r>
      <w:r w:rsidRPr="00857D4C">
        <w:t>, conformance level AA</w:t>
      </w:r>
      <w:r w:rsidR="001563D0">
        <w:t>;</w:t>
      </w:r>
    </w:p>
    <w:p w14:paraId="4E3B212D" w14:textId="64704A54" w:rsidR="00F236C5" w:rsidRPr="00857D4C" w:rsidRDefault="00F236C5" w:rsidP="00F82166">
      <w:pPr>
        <w:pStyle w:val="LB1"/>
        <w:rPr>
          <w:rStyle w:val="Hyperlink"/>
          <w:color w:val="auto"/>
          <w:u w:val="none"/>
        </w:rPr>
      </w:pPr>
      <w:r w:rsidRPr="00857D4C">
        <w:t>Title 1 Texas Administrative Code, Part 10, Chapter 206</w:t>
      </w:r>
      <w:r w:rsidRPr="00857D4C">
        <w:rPr>
          <w:rStyle w:val="Hyperlink"/>
          <w:color w:val="auto"/>
          <w:u w:val="none"/>
        </w:rPr>
        <w:t xml:space="preserve"> (</w:t>
      </w:r>
      <w:hyperlink r:id="rId39" w:history="1">
        <w:r w:rsidRPr="00857D4C">
          <w:rPr>
            <w:rStyle w:val="Hyperlink"/>
          </w:rPr>
          <w:t>http://texreg.sos.state.tx.us/public/readtac$ext.ViewTAC?tac_view=4&amp;ti=1&amp;pt=10&amp;ch=206</w:t>
        </w:r>
      </w:hyperlink>
      <w:r w:rsidRPr="00857D4C">
        <w:rPr>
          <w:rStyle w:val="Hyperlink"/>
          <w:color w:val="auto"/>
          <w:u w:val="none"/>
        </w:rPr>
        <w:t>)</w:t>
      </w:r>
      <w:r w:rsidR="001563D0">
        <w:rPr>
          <w:rStyle w:val="Hyperlink"/>
          <w:color w:val="auto"/>
          <w:u w:val="none"/>
        </w:rPr>
        <w:t>; and</w:t>
      </w:r>
    </w:p>
    <w:p w14:paraId="4D749137" w14:textId="41744DA0" w:rsidR="00F236C5" w:rsidRPr="00857D4C" w:rsidRDefault="00F236C5">
      <w:pPr>
        <w:pStyle w:val="LB1"/>
      </w:pPr>
      <w:r w:rsidRPr="00857D4C">
        <w:t>Title 1 Texas Administrative Code, Part 10, Chapter 213</w:t>
      </w:r>
      <w:r w:rsidRPr="00857D4C">
        <w:rPr>
          <w:rStyle w:val="Hyperlink"/>
          <w:color w:val="auto"/>
          <w:u w:val="none"/>
        </w:rPr>
        <w:t xml:space="preserve"> (</w:t>
      </w:r>
      <w:hyperlink r:id="rId40" w:history="1">
        <w:r w:rsidRPr="00857D4C">
          <w:rPr>
            <w:rStyle w:val="Hyperlink"/>
          </w:rPr>
          <w:t>http://texreg.sos.state.tx.us/public/readtac$ext.ViewTAC?tac_view=4&amp;ti=1&amp;pt=10&amp;ch=213</w:t>
        </w:r>
      </w:hyperlink>
      <w:r w:rsidRPr="00857D4C">
        <w:rPr>
          <w:rStyle w:val="Hyperlink"/>
          <w:color w:val="auto"/>
          <w:u w:val="none"/>
        </w:rPr>
        <w:t>)</w:t>
      </w:r>
      <w:r w:rsidR="001563D0">
        <w:rPr>
          <w:rStyle w:val="Hyperlink"/>
          <w:color w:val="auto"/>
          <w:u w:val="none"/>
        </w:rPr>
        <w:t>.</w:t>
      </w:r>
    </w:p>
    <w:bookmarkEnd w:id="215"/>
    <w:p w14:paraId="325F78CB" w14:textId="77777777" w:rsidR="00857D4C" w:rsidRDefault="00857D4C" w:rsidP="00857D4C"/>
    <w:p w14:paraId="0F22BCF5" w14:textId="77777777" w:rsidR="00173751" w:rsidRPr="00AD78E9" w:rsidRDefault="00173751" w:rsidP="00173751">
      <w:r w:rsidRPr="00AD78E9">
        <w:t>Accessibility testing must include test planning, test execution and issue remediation with the following:</w:t>
      </w:r>
    </w:p>
    <w:p w14:paraId="42B7AADE" w14:textId="7D115E8A" w:rsidR="00173751" w:rsidRDefault="00173751" w:rsidP="00E16D2D">
      <w:pPr>
        <w:pStyle w:val="LB1"/>
      </w:pPr>
      <w:r w:rsidRPr="00AD78E9">
        <w:t xml:space="preserve">Test with an automatic accessibility testing tool such as WAVE for the initial testing – resources are available at </w:t>
      </w:r>
      <w:hyperlink r:id="rId41" w:history="1">
        <w:r w:rsidRPr="00AD78E9">
          <w:rPr>
            <w:rStyle w:val="Hyperlink"/>
          </w:rPr>
          <w:t>http://webaim.org/resources/</w:t>
        </w:r>
      </w:hyperlink>
      <w:r w:rsidRPr="00AD78E9">
        <w:t xml:space="preserve">.  Any issues listed by the testing tool as an error must be resolved.  Issues listed as warnings or alerts must be reviewed and resolved wherever applicable. </w:t>
      </w:r>
      <w:r w:rsidR="00EA11FD">
        <w:t>TWC must approve any exceptions;</w:t>
      </w:r>
    </w:p>
    <w:p w14:paraId="1E64D623" w14:textId="522E04BB" w:rsidR="00D81A50" w:rsidRPr="00AD78E9" w:rsidRDefault="00D81A50" w:rsidP="00F82166">
      <w:pPr>
        <w:pStyle w:val="LB1"/>
      </w:pPr>
      <w:r>
        <w:t xml:space="preserve">Test to ensure </w:t>
      </w:r>
      <w:r w:rsidRPr="000D5D19">
        <w:t>that color contrast passes WCAG 2.0 AA standards</w:t>
      </w:r>
      <w:r>
        <w:t>.</w:t>
      </w:r>
      <w:r w:rsidRPr="000D5D19">
        <w:t xml:space="preserve"> </w:t>
      </w:r>
      <w:r>
        <w:t>Any contrast checking tool that uses the algorithm specified by WCAG 2.0 is acceptable.</w:t>
      </w:r>
      <w:r w:rsidRPr="000D5D19">
        <w:t xml:space="preserve"> TWC </w:t>
      </w:r>
      <w:r>
        <w:lastRenderedPageBreak/>
        <w:t>will use the Paciello Group’s Colour Contrast Analyser and the Contrast test feature of the WAVE toolbar to confirm contrast requirements;</w:t>
      </w:r>
    </w:p>
    <w:p w14:paraId="21EE8566" w14:textId="2F696DBE" w:rsidR="00173751" w:rsidRPr="000D5D19" w:rsidRDefault="00173751" w:rsidP="00F82166">
      <w:pPr>
        <w:pStyle w:val="LB1"/>
      </w:pPr>
      <w:r>
        <w:t>Test to ensure the system is usable with the keyboard when no additional assistive technology software running (such as a screen</w:t>
      </w:r>
      <w:r w:rsidR="00EA11FD">
        <w:t xml:space="preserve"> magnifier or a screen reader);</w:t>
      </w:r>
    </w:p>
    <w:p w14:paraId="56805493" w14:textId="77777777" w:rsidR="00173751" w:rsidRPr="00CA08B9" w:rsidRDefault="00173751">
      <w:pPr>
        <w:pStyle w:val="LB1"/>
      </w:pPr>
      <w:r w:rsidRPr="00CA08B9">
        <w:t>Test to ensure the system not only meets technical accessibility requirements</w:t>
      </w:r>
      <w:r>
        <w:t>,</w:t>
      </w:r>
      <w:r w:rsidRPr="00CA08B9">
        <w:t xml:space="preserve"> but is actually usable in a screen reader. TWC typically uses </w:t>
      </w:r>
      <w:r w:rsidRPr="00364874">
        <w:t>Job Access With Speech</w:t>
      </w:r>
      <w:r w:rsidRPr="00CA08B9">
        <w:t xml:space="preserve"> </w:t>
      </w:r>
      <w:r>
        <w:t>(</w:t>
      </w:r>
      <w:r w:rsidRPr="00CA08B9">
        <w:t>JAWS</w:t>
      </w:r>
      <w:r>
        <w:t>)</w:t>
      </w:r>
      <w:r w:rsidRPr="00CA08B9">
        <w:t xml:space="preserve"> for the screen reader testing. When testing with a screen reader check that:</w:t>
      </w:r>
    </w:p>
    <w:p w14:paraId="14395FED" w14:textId="7F1C274B" w:rsidR="00173751" w:rsidRPr="000D5D19" w:rsidRDefault="00173751">
      <w:pPr>
        <w:pStyle w:val="OB1"/>
      </w:pPr>
      <w:r w:rsidRPr="000D5D19">
        <w:t>All visible content is read out, incl</w:t>
      </w:r>
      <w:r w:rsidR="00EA11FD">
        <w:t>uding a descriptive page title;</w:t>
      </w:r>
    </w:p>
    <w:p w14:paraId="7821B660" w14:textId="43FEF5A5" w:rsidR="00173751" w:rsidRPr="000D5D19" w:rsidRDefault="00173751">
      <w:pPr>
        <w:pStyle w:val="OB1"/>
      </w:pPr>
      <w:r w:rsidRPr="000D5D19">
        <w:t>All active elements</w:t>
      </w:r>
      <w:r w:rsidR="00EA11FD">
        <w:t xml:space="preserve"> are operable from the keyboard;</w:t>
      </w:r>
    </w:p>
    <w:p w14:paraId="405E7251" w14:textId="18EBA322" w:rsidR="00173751" w:rsidRPr="000D5D19" w:rsidRDefault="00173751">
      <w:pPr>
        <w:pStyle w:val="OB1"/>
      </w:pPr>
      <w:r w:rsidRPr="000D5D19">
        <w:t xml:space="preserve">The page is properly structured to </w:t>
      </w:r>
      <w:r w:rsidR="00EA11FD">
        <w:t>allow navigation of the content; and</w:t>
      </w:r>
    </w:p>
    <w:p w14:paraId="02546792" w14:textId="0AA5D514" w:rsidR="00173751" w:rsidRPr="000D5D19" w:rsidRDefault="00173751">
      <w:pPr>
        <w:pStyle w:val="OB1"/>
      </w:pPr>
      <w:r w:rsidRPr="000D5D19">
        <w:t>There isn't any</w:t>
      </w:r>
      <w:r>
        <w:t xml:space="preserve">thing </w:t>
      </w:r>
      <w:r w:rsidRPr="000D5D19">
        <w:t xml:space="preserve">that is invisible to visual users, but can </w:t>
      </w:r>
      <w:r w:rsidR="009852C4">
        <w:t>be heard by screen reader users;</w:t>
      </w:r>
    </w:p>
    <w:p w14:paraId="7B15ECDB" w14:textId="08840E35" w:rsidR="00173751" w:rsidRPr="000D5D19" w:rsidRDefault="00173751">
      <w:pPr>
        <w:pStyle w:val="LB1"/>
      </w:pPr>
      <w:bookmarkStart w:id="216" w:name="_Hlk531612237"/>
      <w:r w:rsidRPr="000D5D19">
        <w:t xml:space="preserve">Test to ensure the system is usable with a screen magnifier or browser zoom. </w:t>
      </w:r>
      <w:r w:rsidR="00D51C30">
        <w:t>TWC typically uses ZoomText or Windows Magnifier for screen magnifier testing</w:t>
      </w:r>
      <w:r w:rsidRPr="000D5D19">
        <w:t>. When testing with a screen magnifier check for:</w:t>
      </w:r>
    </w:p>
    <w:p w14:paraId="132C7CD5" w14:textId="0321C036" w:rsidR="00173751" w:rsidRPr="000D5D19" w:rsidRDefault="00173751">
      <w:pPr>
        <w:pStyle w:val="OB1"/>
      </w:pPr>
      <w:r w:rsidRPr="000D5D19">
        <w:t>Inconsistent layout that</w:t>
      </w:r>
      <w:r w:rsidR="009852C4">
        <w:t xml:space="preserve"> makes it harder to find things;</w:t>
      </w:r>
    </w:p>
    <w:p w14:paraId="2CBDB7BE" w14:textId="1F16EBB7" w:rsidR="00173751" w:rsidRPr="000D5D19" w:rsidRDefault="00173751">
      <w:pPr>
        <w:pStyle w:val="OB1"/>
      </w:pPr>
      <w:r w:rsidRPr="000D5D19">
        <w:t>Excessive space between elements that hinder users from finding content</w:t>
      </w:r>
      <w:r w:rsidR="009852C4">
        <w:t xml:space="preserve"> on different sides of the page;</w:t>
      </w:r>
    </w:p>
    <w:p w14:paraId="053ECEFE" w14:textId="53E81CF6" w:rsidR="00173751" w:rsidRPr="000D5D19" w:rsidRDefault="00173751">
      <w:pPr>
        <w:pStyle w:val="OB1"/>
      </w:pPr>
      <w:r w:rsidRPr="000D5D19">
        <w:t>Images (especially of text)</w:t>
      </w:r>
      <w:r w:rsidR="009852C4">
        <w:t xml:space="preserve"> that look fuzzy when magnified;</w:t>
      </w:r>
      <w:r w:rsidR="00D81A50">
        <w:t xml:space="preserve"> and</w:t>
      </w:r>
    </w:p>
    <w:p w14:paraId="55978704" w14:textId="3868C922" w:rsidR="00173751" w:rsidRPr="000D5D19" w:rsidRDefault="009852C4">
      <w:pPr>
        <w:pStyle w:val="OB1"/>
      </w:pPr>
      <w:r>
        <w:t>Test without a mouse;</w:t>
      </w:r>
    </w:p>
    <w:bookmarkEnd w:id="216"/>
    <w:p w14:paraId="31238CC1" w14:textId="3D3F3647" w:rsidR="00173751" w:rsidRPr="000D5D19" w:rsidRDefault="00173751">
      <w:pPr>
        <w:pStyle w:val="LB1"/>
      </w:pPr>
      <w:r w:rsidRPr="000D5D19">
        <w:t>For browser-based systems, test in multiple browsers.</w:t>
      </w:r>
      <w:r>
        <w:t xml:space="preserve"> </w:t>
      </w:r>
      <w:r w:rsidRPr="000D5D19">
        <w:t>Specific browsers and browser versions will be agreed upon by the Pr</w:t>
      </w:r>
      <w:r w:rsidR="009852C4">
        <w:t>oject Team during test planning;</w:t>
      </w:r>
    </w:p>
    <w:p w14:paraId="3BDB9BF5" w14:textId="0414D666" w:rsidR="00173751" w:rsidRDefault="00173751">
      <w:pPr>
        <w:pStyle w:val="LB1"/>
      </w:pPr>
      <w:r w:rsidRPr="000D5D19">
        <w:t>Manually verify required techniques that are not easily evaluated with an automatic tool, such as useful alternative text, ti</w:t>
      </w:r>
      <w:r w:rsidR="009852C4">
        <w:t>med responses, and page flicker;</w:t>
      </w:r>
    </w:p>
    <w:p w14:paraId="72FAE9A8" w14:textId="74747CA0" w:rsidR="00173751" w:rsidRDefault="00173751">
      <w:pPr>
        <w:pStyle w:val="LB1"/>
      </w:pPr>
      <w:r>
        <w:t>Test to ensure the mobile application complies w</w:t>
      </w:r>
      <w:r w:rsidR="009852C4">
        <w:t>ith WCAG 2.0 AA standards; and</w:t>
      </w:r>
    </w:p>
    <w:p w14:paraId="760CE357" w14:textId="74BBF39E" w:rsidR="005A3FC7" w:rsidRPr="000D5D19" w:rsidRDefault="005A3FC7">
      <w:pPr>
        <w:pStyle w:val="LB1"/>
      </w:pPr>
      <w:r>
        <w:t>Fully cooperating with the TWC Accessibility team in the detection and remediation of any accessibility issues.</w:t>
      </w:r>
    </w:p>
    <w:p w14:paraId="1EE2C234" w14:textId="77777777" w:rsidR="00173751" w:rsidRDefault="00173751" w:rsidP="00173751"/>
    <w:p w14:paraId="5CA8E711" w14:textId="77777777" w:rsidR="00857D4C" w:rsidRDefault="00857D4C" w:rsidP="00857D4C">
      <w:bookmarkStart w:id="217" w:name="_Hlk4079161"/>
      <w:r w:rsidRPr="00E62404">
        <w:t xml:space="preserve">The Offeror’s </w:t>
      </w:r>
      <w:r>
        <w:t>proposal must provide</w:t>
      </w:r>
      <w:r w:rsidRPr="00E62404">
        <w:t>:</w:t>
      </w:r>
    </w:p>
    <w:p w14:paraId="56B56F36" w14:textId="0C30BBA6" w:rsidR="00857D4C" w:rsidRPr="000D5D19" w:rsidRDefault="00857D4C" w:rsidP="00E16D2D">
      <w:pPr>
        <w:pStyle w:val="LB1"/>
      </w:pPr>
      <w:r>
        <w:t xml:space="preserve">Description of the Offeror’s plan </w:t>
      </w:r>
      <w:r w:rsidRPr="000D5D19">
        <w:t>to ensure compliance with these requirement</w:t>
      </w:r>
      <w:r w:rsidR="009852C4">
        <w:t xml:space="preserve">s </w:t>
      </w:r>
      <w:r w:rsidR="004D3AB2">
        <w:t>throughout the term of the Contract</w:t>
      </w:r>
      <w:r w:rsidR="009852C4">
        <w:t>;</w:t>
      </w:r>
    </w:p>
    <w:bookmarkEnd w:id="217"/>
    <w:p w14:paraId="09784403" w14:textId="0B467E21" w:rsidR="00857D4C" w:rsidRPr="000D5D19" w:rsidRDefault="00857D4C" w:rsidP="00E16D2D">
      <w:pPr>
        <w:pStyle w:val="LB1"/>
      </w:pPr>
      <w:r>
        <w:t xml:space="preserve">Description of the </w:t>
      </w:r>
      <w:r w:rsidRPr="000D5D19">
        <w:t>Offeror’s knowledge of and experience i</w:t>
      </w:r>
      <w:r w:rsidR="009852C4">
        <w:t>n creating accessible systems;</w:t>
      </w:r>
    </w:p>
    <w:p w14:paraId="65D5CEF3" w14:textId="740624E4" w:rsidR="00857D4C" w:rsidRDefault="00857D4C" w:rsidP="00F82166">
      <w:pPr>
        <w:pStyle w:val="LB1"/>
      </w:pPr>
      <w:r>
        <w:t>D</w:t>
      </w:r>
      <w:r w:rsidRPr="000D5D19">
        <w:t>etail</w:t>
      </w:r>
      <w:r>
        <w:t>s</w:t>
      </w:r>
      <w:r w:rsidRPr="000D5D19">
        <w:t xml:space="preserve"> about the accessibility of both tool output and to</w:t>
      </w:r>
      <w:r w:rsidR="009852C4">
        <w:t>ol usage for each proposed tool; and</w:t>
      </w:r>
    </w:p>
    <w:p w14:paraId="679BD0B5" w14:textId="1912F9E8" w:rsidR="00695550" w:rsidRPr="00E57851" w:rsidRDefault="00173751" w:rsidP="00F82166">
      <w:pPr>
        <w:pStyle w:val="LB1"/>
      </w:pPr>
      <w:r>
        <w:t xml:space="preserve">Completed </w:t>
      </w:r>
      <w:r w:rsidRPr="00E21848">
        <w:t>Voluntary Product Accessibility Template (VPAT).</w:t>
      </w:r>
      <w:r>
        <w:t xml:space="preserve"> The VPAT is available at:</w:t>
      </w:r>
      <w:r w:rsidRPr="0056115A">
        <w:t xml:space="preserve"> </w:t>
      </w:r>
      <w:hyperlink r:id="rId42" w:history="1">
        <w:r w:rsidRPr="00A26893">
          <w:rPr>
            <w:rStyle w:val="Hyperlink"/>
          </w:rPr>
          <w:t>https://www.itic.org/policy/accessibility/vpat</w:t>
        </w:r>
      </w:hyperlink>
      <w:r>
        <w:t>.</w:t>
      </w:r>
    </w:p>
    <w:p w14:paraId="66A579A0" w14:textId="4F92353D" w:rsidR="00695550" w:rsidRDefault="00695550" w:rsidP="00695550">
      <w:pPr>
        <w:pStyle w:val="Heading1"/>
      </w:pPr>
      <w:bookmarkStart w:id="218" w:name="_Bonding_Requirements"/>
      <w:bookmarkStart w:id="219" w:name="_Toc13567457"/>
      <w:bookmarkEnd w:id="218"/>
      <w:r>
        <w:lastRenderedPageBreak/>
        <w:t xml:space="preserve">Bonding </w:t>
      </w:r>
      <w:r w:rsidR="00340825">
        <w:t xml:space="preserve">and Insurance </w:t>
      </w:r>
      <w:r>
        <w:t>Requirements</w:t>
      </w:r>
      <w:bookmarkEnd w:id="219"/>
    </w:p>
    <w:p w14:paraId="03292646" w14:textId="7FE4B88C" w:rsidR="0046633B" w:rsidRDefault="0046633B" w:rsidP="0046633B">
      <w:pPr>
        <w:pStyle w:val="Heading2"/>
      </w:pPr>
      <w:bookmarkStart w:id="220" w:name="_Toc13567458"/>
      <w:r>
        <w:t>7.1</w:t>
      </w:r>
      <w:r>
        <w:tab/>
        <w:t>Payment Bond</w:t>
      </w:r>
      <w:bookmarkEnd w:id="220"/>
    </w:p>
    <w:p w14:paraId="5CADF949" w14:textId="3DD3329D" w:rsidR="0046633B" w:rsidRPr="0046633B" w:rsidRDefault="0046633B" w:rsidP="0046633B">
      <w:r w:rsidRPr="0046633B">
        <w:rPr>
          <w:szCs w:val="24"/>
        </w:rPr>
        <w:t>A Payment Bond is required for a contract in excess of $25,000, including any selected alternates. The Payment Bond shall be executed in the amount of the Contract Sum and is payable to TWC solely for the protection and use of payment bond beneficiaries who have a direct contractual relationship with Awarded Vendor or Subcontractors of all claimants supplying labor and material</w:t>
      </w:r>
      <w:r w:rsidRPr="0046633B">
        <w:t xml:space="preserve">. </w:t>
      </w:r>
    </w:p>
    <w:p w14:paraId="194145A8" w14:textId="27B7099D" w:rsidR="0046633B" w:rsidRPr="0046633B" w:rsidRDefault="0046633B" w:rsidP="0046633B">
      <w:pPr>
        <w:pStyle w:val="Heading2"/>
      </w:pPr>
      <w:bookmarkStart w:id="221" w:name="_Toc13567459"/>
      <w:r w:rsidRPr="0046633B">
        <w:t>7.</w:t>
      </w:r>
      <w:r>
        <w:t>2</w:t>
      </w:r>
      <w:r w:rsidRPr="0046633B">
        <w:tab/>
        <w:t>Performance Bond</w:t>
      </w:r>
      <w:bookmarkEnd w:id="221"/>
    </w:p>
    <w:p w14:paraId="358EE113" w14:textId="21A6AD75" w:rsidR="0046633B" w:rsidRPr="0046633B" w:rsidRDefault="0046633B" w:rsidP="0046633B">
      <w:r w:rsidRPr="0046633B">
        <w:rPr>
          <w:szCs w:val="24"/>
        </w:rPr>
        <w:t>A Performance Bond is required if the contract reaches or exceeds $100,000. Performance Bonds must be in the amount of the total awarded contract including any selected alternate pricing amounts. The Performance Bond is for the protection of TWC.</w:t>
      </w:r>
      <w:r w:rsidRPr="0046633B">
        <w:t xml:space="preserve"> </w:t>
      </w:r>
    </w:p>
    <w:p w14:paraId="781A0A3B" w14:textId="7F4A18C1" w:rsidR="0046633B" w:rsidRPr="0046633B" w:rsidRDefault="0046633B" w:rsidP="0046633B">
      <w:r w:rsidRPr="0046633B">
        <w:rPr>
          <w:szCs w:val="24"/>
        </w:rPr>
        <w:t>Both a Performance Bond and a Payment Bond will be required on contracts of $100,000.00 and over.</w:t>
      </w:r>
    </w:p>
    <w:p w14:paraId="7537E6EF" w14:textId="78A08A42" w:rsidR="00695550" w:rsidRDefault="00F506C4" w:rsidP="00F506C4">
      <w:pPr>
        <w:pStyle w:val="Heading2"/>
      </w:pPr>
      <w:bookmarkStart w:id="222" w:name="_Toc13567460"/>
      <w:r w:rsidRPr="0046633B">
        <w:t>7.</w:t>
      </w:r>
      <w:r w:rsidR="0046633B" w:rsidRPr="0046633B">
        <w:t>3</w:t>
      </w:r>
      <w:r w:rsidRPr="0046633B">
        <w:tab/>
      </w:r>
      <w:r w:rsidR="000522D8" w:rsidRPr="0046633B">
        <w:t>Fidelity Bond</w:t>
      </w:r>
      <w:bookmarkEnd w:id="222"/>
    </w:p>
    <w:p w14:paraId="7AA007D5" w14:textId="77777777" w:rsidR="00F506C4" w:rsidRPr="007912D7" w:rsidRDefault="00F506C4" w:rsidP="00F506C4">
      <w:r w:rsidRPr="007912D7">
        <w:t xml:space="preserve">The Awarded Vendor </w:t>
      </w:r>
      <w:r>
        <w:t>must</w:t>
      </w:r>
      <w:r w:rsidRPr="007912D7">
        <w:t xml:space="preserve"> obtain and keep in force during the life of the Contract, a fidelity bond that indemnifies TWC against loss arising from a fraudulent or dishonest act, including unauthorized release of TWC Data, computer fraud, forgery or alterations, theft or disappearance and destruction on the part of the Awarded Vendor, its employees, officers, agents, and subcontractors holding positions of fiduciary trust. The Awarded Vendor </w:t>
      </w:r>
      <w:r>
        <w:t>must</w:t>
      </w:r>
      <w:r w:rsidRPr="007912D7">
        <w:t xml:space="preserve"> obtain a</w:t>
      </w:r>
      <w:r>
        <w:t xml:space="preserve"> bond for the total amount of the contract value to be determined after </w:t>
      </w:r>
      <w:r w:rsidRPr="007912D7">
        <w:t>Contract notice of award</w:t>
      </w:r>
      <w:r>
        <w:t>.</w:t>
      </w:r>
      <w:r w:rsidRPr="007912D7">
        <w:t xml:space="preserve"> </w:t>
      </w:r>
    </w:p>
    <w:p w14:paraId="68598198" w14:textId="77777777" w:rsidR="00F506C4" w:rsidRPr="007912D7" w:rsidRDefault="00F506C4" w:rsidP="00F506C4">
      <w:r w:rsidRPr="007912D7">
        <w:t xml:space="preserve">The bond </w:t>
      </w:r>
      <w:r>
        <w:t xml:space="preserve">must </w:t>
      </w:r>
      <w:r w:rsidRPr="007912D7">
        <w:t xml:space="preserve">be executed by a corporate surety or sureties holding certificates of authority to do business in the State of Texas and acceptable to TWC. If a surety upon a bond is cancelled, reduced or otherwise amended, the Awarded Vendor </w:t>
      </w:r>
      <w:r>
        <w:t>must</w:t>
      </w:r>
      <w:r w:rsidRPr="007912D7">
        <w:t xml:space="preserve"> immediately notify TWC and provide a replacement bond adequate to cover the terms and conditions of this section.</w:t>
      </w:r>
    </w:p>
    <w:p w14:paraId="4CCD90F0" w14:textId="77777777" w:rsidR="00F506C4" w:rsidRPr="007912D7" w:rsidRDefault="00F506C4" w:rsidP="00F506C4">
      <w:r w:rsidRPr="007912D7">
        <w:t xml:space="preserve">The Awarded Vendor </w:t>
      </w:r>
      <w:r>
        <w:t>must</w:t>
      </w:r>
      <w:r w:rsidRPr="007912D7">
        <w:t xml:space="preserve"> be the Principal insured entity and TWC </w:t>
      </w:r>
      <w:r>
        <w:t>must</w:t>
      </w:r>
      <w:r w:rsidRPr="007912D7">
        <w:t xml:space="preserve"> be the assigned certificate holder as the Bond Obligee. A copy of the bond </w:t>
      </w:r>
      <w:r>
        <w:t>must</w:t>
      </w:r>
      <w:r w:rsidRPr="007912D7">
        <w:t xml:space="preserve"> be forwarded to:</w:t>
      </w:r>
    </w:p>
    <w:p w14:paraId="053E3689" w14:textId="77777777" w:rsidR="00F506C4" w:rsidRPr="007912D7" w:rsidRDefault="00F506C4" w:rsidP="00F506C4">
      <w:r w:rsidRPr="007912D7">
        <w:t>Texas Workforce Commission</w:t>
      </w:r>
      <w:r>
        <w:br/>
      </w:r>
      <w:r w:rsidRPr="007912D7">
        <w:t>Financial Operations</w:t>
      </w:r>
      <w:r>
        <w:br/>
      </w:r>
      <w:r w:rsidRPr="007912D7">
        <w:t>101 East 15th Street</w:t>
      </w:r>
      <w:r>
        <w:br/>
      </w:r>
      <w:r w:rsidRPr="007912D7">
        <w:t>Austin, TX 78778</w:t>
      </w:r>
      <w:r w:rsidRPr="007912D7">
        <w:rPr>
          <w:rFonts w:ascii="Cambria Math" w:hAnsi="Cambria Math" w:cs="Cambria Math"/>
        </w:rPr>
        <w:t>‐</w:t>
      </w:r>
      <w:r w:rsidRPr="007912D7">
        <w:t>0001</w:t>
      </w:r>
    </w:p>
    <w:p w14:paraId="47144EB4" w14:textId="3EBED619" w:rsidR="000522D8" w:rsidRDefault="00F506C4" w:rsidP="00F506C4">
      <w:r w:rsidRPr="007912D7">
        <w:t xml:space="preserve">The failure of the Awarded Vendor to provide evidence of the required bond within fifteen (15) business days of the Contract notice of award may result in termination of the Contract award. In the event that any of the coverage is canceled by the insurer for any reason, the Awarded Vendor </w:t>
      </w:r>
      <w:r>
        <w:t>must</w:t>
      </w:r>
      <w:r w:rsidRPr="007912D7">
        <w:t xml:space="preserve"> immediately </w:t>
      </w:r>
      <w:r w:rsidRPr="007912D7">
        <w:lastRenderedPageBreak/>
        <w:t xml:space="preserve">notify TWC of such cancellation and </w:t>
      </w:r>
      <w:r>
        <w:t>must</w:t>
      </w:r>
      <w:r w:rsidRPr="007912D7">
        <w:t xml:space="preserve"> obtain replacement coverage acceptable to TWC and provide proof of such replacement coverage within fifteen (15) business days after the cancellation of coverage.</w:t>
      </w:r>
    </w:p>
    <w:p w14:paraId="5C6C9D1D" w14:textId="3B812B86" w:rsidR="009C56E8" w:rsidRDefault="00F506C4" w:rsidP="009C56E8">
      <w:pPr>
        <w:pStyle w:val="Heading2"/>
        <w:rPr>
          <w:rFonts w:ascii="Times New Roman" w:hAnsi="Times New Roman" w:cs="Times New Roman"/>
          <w:sz w:val="24"/>
          <w:szCs w:val="24"/>
        </w:rPr>
      </w:pPr>
      <w:bookmarkStart w:id="223" w:name="_Toc13567461"/>
      <w:r>
        <w:t>7.</w:t>
      </w:r>
      <w:r w:rsidR="0046633B">
        <w:t>4</w:t>
      </w:r>
      <w:r>
        <w:tab/>
      </w:r>
      <w:r w:rsidR="009C56E8">
        <w:t>Cyber Liability Insurance</w:t>
      </w:r>
      <w:bookmarkEnd w:id="223"/>
      <w:r w:rsidR="009C56E8">
        <w:rPr>
          <w:rFonts w:ascii="Times New Roman" w:hAnsi="Times New Roman" w:cs="Times New Roman"/>
          <w:szCs w:val="24"/>
        </w:rPr>
        <w:t xml:space="preserve"> </w:t>
      </w:r>
    </w:p>
    <w:p w14:paraId="4208F246" w14:textId="77777777" w:rsidR="00F506C4" w:rsidRDefault="00F506C4" w:rsidP="00F506C4">
      <w:r>
        <w:t xml:space="preserve">The Awarded </w:t>
      </w:r>
      <w:r w:rsidRPr="00803A36">
        <w:t xml:space="preserve">Vendor </w:t>
      </w:r>
      <w:r>
        <w:t xml:space="preserve">will be </w:t>
      </w:r>
      <w:r w:rsidRPr="00803A36">
        <w:t>best position</w:t>
      </w:r>
      <w:r>
        <w:t>ed</w:t>
      </w:r>
      <w:r w:rsidRPr="00803A36">
        <w:t xml:space="preserve"> to control the manner and means of how the </w:t>
      </w:r>
      <w:r>
        <w:t>system is implemented and maintained</w:t>
      </w:r>
      <w:r w:rsidRPr="00803A36">
        <w:t xml:space="preserve">. Therefore, the express intent of the parties is to hold </w:t>
      </w:r>
      <w:r>
        <w:t xml:space="preserve">the Awarded </w:t>
      </w:r>
      <w:r w:rsidRPr="00803A36">
        <w:t xml:space="preserve">Vendor accountable for information security and privacy standards and practices of </w:t>
      </w:r>
      <w:r>
        <w:t xml:space="preserve">Awarded </w:t>
      </w:r>
      <w:r w:rsidRPr="00803A36">
        <w:t xml:space="preserve">Vendor </w:t>
      </w:r>
      <w:r>
        <w:t>organization</w:t>
      </w:r>
      <w:r w:rsidRPr="00803A36">
        <w:t xml:space="preserve"> as they pertain to the </w:t>
      </w:r>
      <w:r>
        <w:t xml:space="preserve">solution implemented. </w:t>
      </w:r>
    </w:p>
    <w:p w14:paraId="6C432D7C" w14:textId="66A5D647" w:rsidR="00F506C4" w:rsidRDefault="00F506C4" w:rsidP="00F506C4">
      <w:r w:rsidRPr="007912D7">
        <w:t xml:space="preserve">The Awarded Vendor </w:t>
      </w:r>
      <w:r>
        <w:t>must</w:t>
      </w:r>
      <w:r w:rsidRPr="007912D7">
        <w:t xml:space="preserve"> provide a certification within fifteen (15) business days of the Contract notice of award of Cyber Liability Insurance with limits of at least </w:t>
      </w:r>
      <w:r w:rsidR="00D51B3C">
        <w:t>twenty</w:t>
      </w:r>
      <w:r w:rsidRPr="007912D7">
        <w:t xml:space="preserve"> </w:t>
      </w:r>
      <w:r w:rsidR="00D51B3C">
        <w:t>million dollars ($2</w:t>
      </w:r>
      <w:r w:rsidRPr="007912D7">
        <w:t>0,000,000) to be in full force</w:t>
      </w:r>
      <w:r>
        <w:t xml:space="preserve"> </w:t>
      </w:r>
      <w:r w:rsidRPr="007912D7">
        <w:t xml:space="preserve">and effect during the term of the Contract. The insurance must provide coverage for losses and expenses that could include, but are not limited to, notification costs, crisis management or data reconstruction resulting from a breach. Proof of the insurance coverage must be presented by providing a certificate of insurance to TWC. All coverage </w:t>
      </w:r>
      <w:r>
        <w:t>must</w:t>
      </w:r>
      <w:r w:rsidRPr="007912D7">
        <w:t xml:space="preserve"> be maintained in full force and effect during the term of the Contract. In the event that any coverage is canceled by the insurer for any reason, the Awarded Vendor </w:t>
      </w:r>
      <w:r>
        <w:t>must</w:t>
      </w:r>
      <w:r w:rsidRPr="007912D7">
        <w:t xml:space="preserve"> immediately notify TWC of such cancellation and </w:t>
      </w:r>
      <w:r>
        <w:t>must</w:t>
      </w:r>
      <w:r w:rsidRPr="007912D7">
        <w:t xml:space="preserve"> obtain replacement coverage and provide proof of such replacement coverage within fifteen (15) business days after the</w:t>
      </w:r>
      <w:r>
        <w:t xml:space="preserve"> </w:t>
      </w:r>
      <w:r w:rsidRPr="007912D7">
        <w:t>cancellation of coverage.</w:t>
      </w:r>
    </w:p>
    <w:p w14:paraId="768606E3" w14:textId="6834E7E1" w:rsidR="000522D8" w:rsidRDefault="00F506C4" w:rsidP="00F506C4">
      <w:r w:rsidRPr="007912D7">
        <w:t xml:space="preserve">The Fidelity Bond </w:t>
      </w:r>
      <w:r>
        <w:t xml:space="preserve">and Cyber Liability Insurance </w:t>
      </w:r>
      <w:r w:rsidRPr="007912D7">
        <w:t xml:space="preserve">coverage </w:t>
      </w:r>
      <w:r>
        <w:t>must</w:t>
      </w:r>
      <w:r w:rsidRPr="007912D7">
        <w:t xml:space="preserve"> not limit any liabilities or any other obligations that the Awarded Vendor has under the Contract.</w:t>
      </w:r>
    </w:p>
    <w:p w14:paraId="7CA349AB" w14:textId="77777777" w:rsidR="00695550" w:rsidRPr="00E57851" w:rsidRDefault="00695550" w:rsidP="00695550"/>
    <w:p w14:paraId="4DA80F33" w14:textId="61842C42" w:rsidR="00695550" w:rsidRDefault="00695550" w:rsidP="00695550">
      <w:pPr>
        <w:pStyle w:val="Heading1"/>
      </w:pPr>
      <w:bookmarkStart w:id="224" w:name="_Liquidated_Damages"/>
      <w:bookmarkStart w:id="225" w:name="_Toc13567462"/>
      <w:bookmarkEnd w:id="224"/>
      <w:r>
        <w:lastRenderedPageBreak/>
        <w:t>Liquidated Damages</w:t>
      </w:r>
      <w:bookmarkEnd w:id="225"/>
    </w:p>
    <w:p w14:paraId="435BEAD9" w14:textId="7A5B876E" w:rsidR="00695550" w:rsidRDefault="003F2CB5" w:rsidP="003F2CB5">
      <w:pPr>
        <w:pStyle w:val="Heading2"/>
      </w:pPr>
      <w:bookmarkStart w:id="226" w:name="_Toc13567463"/>
      <w:r>
        <w:t>8.1</w:t>
      </w:r>
      <w:r>
        <w:tab/>
        <w:t>TWC Expectations and Risk Management</w:t>
      </w:r>
      <w:bookmarkEnd w:id="226"/>
    </w:p>
    <w:p w14:paraId="26962464" w14:textId="77777777" w:rsidR="003F2CB5" w:rsidRPr="00550C63" w:rsidRDefault="003F2CB5" w:rsidP="003F2CB5">
      <w:r>
        <w:t>TWC expects the Awarded Vendor to perform its responsibilities and tasks as specified in this RFO and any resulting Contract. This expectation is reasonable, within normally acceptable business practices, and in the best interests of TWC and its Customers. The Awarded Vendor must</w:t>
      </w:r>
      <w:r w:rsidRPr="007912D7">
        <w:t xml:space="preserve"> </w:t>
      </w:r>
      <w:r>
        <w:t xml:space="preserve">include in its offer an acknowledgement that TWC will be damaged if the Awarded Vendor fails to fulfill its obligations under the Contract.  </w:t>
      </w:r>
    </w:p>
    <w:p w14:paraId="68FED975" w14:textId="77777777" w:rsidR="003F2CB5" w:rsidRDefault="003F2CB5" w:rsidP="003F2CB5">
      <w:r>
        <w:t>TWC has chosen to address the majority of the Project risks related to Awarded Vendor performance through the assignment of liquidated damages. The liquidated damages described below represent the projected financial loss and expenditures that may occur as a result of Awarded Vendor’s non-performance, including financial loss as a result of Project delays.</w:t>
      </w:r>
    </w:p>
    <w:p w14:paraId="13E94223" w14:textId="77777777" w:rsidR="003F2CB5" w:rsidRDefault="003F2CB5" w:rsidP="003F2CB5">
      <w:r>
        <w:t>If the Awarded Vendor does not fulfill its obligations under the RFO and any resulting Contract, TWC will be damaged. Establishing the precise amount or value of such damage would be difficult to quantify. The liquidated damages provided for herein do not represent a penalty; rather, the liquidated damages represent a good faith effort by TWC to establish a reasonable estimate of the damages that will be incurred by TWC in the circumstances described.</w:t>
      </w:r>
    </w:p>
    <w:p w14:paraId="769AEA04" w14:textId="77777777" w:rsidR="003F2CB5" w:rsidRPr="00001B26" w:rsidRDefault="003F2CB5" w:rsidP="003F2CB5">
      <w:r>
        <w:t xml:space="preserve">TWC will have the right to collect liquidated damages against the Awarded Vendor upon </w:t>
      </w:r>
      <w:r w:rsidRPr="00001B26">
        <w:t>demand for payment. In addition, if at any time there are amounts payable to the Awarded Vendor under the Contract, TWC will have the right to deduct and/or withhold the amount of any liquidated damages assessed by TWC against the Awarded Vendor from the amounts payable to the Awarded Vendor.</w:t>
      </w:r>
    </w:p>
    <w:p w14:paraId="30108939" w14:textId="77777777" w:rsidR="003F2CB5" w:rsidRPr="00001B26" w:rsidRDefault="003F2CB5" w:rsidP="003F2CB5">
      <w:r w:rsidRPr="00511A41">
        <w:t>TWC will notify the Awarded Vendor in writing, of any default specified herein, and such liquidated damages must be paid by the Awarded Vendor within thirty (30) calendar days of the TWC notice. Upon receipt of written notice, the Awarded Vendor will have ten (10) calendar days to provide a written explanation of any justification that may be applicable to the liquidated damages being considered and a corrective action plan for bringing the operations within the standards specified. TWC will have the right to approve and make changes to the corrective action plan submitted by the Awarded Vendor. The corrective action plan must be implemented by the Awarded Vendor at no cost to and upon approval by the TWC IT Contract Manager. Liquidated damages will not be assessed during the specified cure period for the activity in question. The Awarded Vendor’s failure to pay the assessed liquidated damages within the designated time frame may be deemed by TWC as a breach of Contract.</w:t>
      </w:r>
    </w:p>
    <w:p w14:paraId="056D2D99" w14:textId="77777777" w:rsidR="003F2CB5" w:rsidRDefault="003F2CB5" w:rsidP="003F2CB5">
      <w:r w:rsidRPr="00001B26">
        <w:t xml:space="preserve">TWC has identified certain instances of default or non-performance that, should they continue to occur over extended periods of time, will cause extreme financial losses to and hardship for TWC. Should the Awarded Vendor fail to complete the </w:t>
      </w:r>
      <w:r w:rsidRPr="00001B26">
        <w:lastRenderedPageBreak/>
        <w:t>work within the agreed upon times or terms, TWC will assess and collect liquidated damages in the amounts set out below in subsections 8.1.1 through 8.1.2. However, if such conditions of default continue, TWC intends to pursue recovery of actual</w:t>
      </w:r>
      <w:r>
        <w:t xml:space="preserve"> losses resulting from the Awarded Vendor’s failure to perform, and expressly reserves this right. TWC’s failure to assess liquidated or actual damages for any of the specific instances cited in no way modifies or waives TWC’s right to assess additional liquidated or actual damages relating to other similar occurrences in addition to the specific liquidated damages noted </w:t>
      </w:r>
      <w:r w:rsidRPr="005F4453">
        <w:t>below in subsections 8.1.1 through 8.1.</w:t>
      </w:r>
      <w:r>
        <w:t>2</w:t>
      </w:r>
      <w:r w:rsidRPr="005F4453">
        <w:t>.</w:t>
      </w:r>
    </w:p>
    <w:p w14:paraId="384D6013" w14:textId="708A5E10" w:rsidR="00695550" w:rsidRDefault="003F2CB5" w:rsidP="003F2CB5">
      <w:r w:rsidRPr="004F512A">
        <w:t xml:space="preserve">The </w:t>
      </w:r>
      <w:r>
        <w:t>Awarded Vendor must</w:t>
      </w:r>
      <w:r w:rsidRPr="004F512A">
        <w:t xml:space="preserve"> be solely responsible for any unauthorized use, reuse,</w:t>
      </w:r>
      <w:r>
        <w:t xml:space="preserve"> </w:t>
      </w:r>
      <w:r w:rsidRPr="004F512A">
        <w:t>distribution, transmission, manipulation, copying, modification, access, or</w:t>
      </w:r>
      <w:r>
        <w:t xml:space="preserve"> </w:t>
      </w:r>
      <w:r w:rsidRPr="004F512A">
        <w:t xml:space="preserve">disclosure of </w:t>
      </w:r>
      <w:r>
        <w:t>TWC</w:t>
      </w:r>
      <w:r w:rsidRPr="004F512A">
        <w:t xml:space="preserve"> </w:t>
      </w:r>
      <w:r>
        <w:t>D</w:t>
      </w:r>
      <w:r w:rsidRPr="004F512A">
        <w:t>ata and any non-compliance with data privacy and security</w:t>
      </w:r>
      <w:r>
        <w:t xml:space="preserve"> </w:t>
      </w:r>
      <w:r w:rsidRPr="004F512A">
        <w:t>requirements. In the event that the State must mitigate an unauthorized breach</w:t>
      </w:r>
      <w:r>
        <w:t xml:space="preserve"> </w:t>
      </w:r>
      <w:r w:rsidRPr="004F512A">
        <w:t xml:space="preserve">of confidential data, the </w:t>
      </w:r>
      <w:r>
        <w:t>Awarded Vendor must</w:t>
      </w:r>
      <w:r w:rsidRPr="004F512A">
        <w:t xml:space="preserve"> reimburse the State for any costs</w:t>
      </w:r>
      <w:r>
        <w:t xml:space="preserve"> </w:t>
      </w:r>
      <w:r w:rsidRPr="004F512A">
        <w:t>incurred.</w:t>
      </w:r>
    </w:p>
    <w:p w14:paraId="4A5C728A" w14:textId="48B4F4FD" w:rsidR="00EC2F87" w:rsidRDefault="003F2CB5" w:rsidP="00EC2F87">
      <w:pPr>
        <w:pStyle w:val="Heading3"/>
        <w:rPr>
          <w:rFonts w:ascii="Times New Roman" w:hAnsi="Times New Roman" w:cs="Times New Roman"/>
        </w:rPr>
      </w:pPr>
      <w:bookmarkStart w:id="227" w:name="_Toc13567464"/>
      <w:r>
        <w:t>8.1.1</w:t>
      </w:r>
      <w:r>
        <w:tab/>
      </w:r>
      <w:r w:rsidR="00EC2F87">
        <w:t xml:space="preserve">Prior </w:t>
      </w:r>
      <w:r w:rsidR="00EC2F87">
        <w:rPr>
          <w:rStyle w:val="Heading3Char"/>
          <w:b/>
        </w:rPr>
        <w:t>to</w:t>
      </w:r>
      <w:r w:rsidR="00EC2F87">
        <w:t xml:space="preserve"> UI Solution Go-Live for TWC</w:t>
      </w:r>
      <w:bookmarkEnd w:id="227"/>
      <w:r w:rsidR="00EC2F87">
        <w:rPr>
          <w:rFonts w:ascii="Times New Roman" w:hAnsi="Times New Roman" w:cs="Times New Roman"/>
        </w:rPr>
        <w:t xml:space="preserve"> </w:t>
      </w:r>
    </w:p>
    <w:p w14:paraId="5846F71E" w14:textId="10E48867" w:rsidR="00A41286" w:rsidRPr="00A41286" w:rsidRDefault="00A41286" w:rsidP="00DB7AAE">
      <w:pPr>
        <w:pStyle w:val="NB4"/>
      </w:pPr>
      <w:r w:rsidRPr="00A41286">
        <w:t>8.1.1.</w:t>
      </w:r>
      <w:r w:rsidR="003E6231">
        <w:t>1</w:t>
      </w:r>
      <w:r w:rsidRPr="00A41286">
        <w:tab/>
        <w:t xml:space="preserve">Failure of Awarded Vendor to submit deliverables as agreed to in the approved </w:t>
      </w:r>
      <w:r w:rsidR="002A57F8">
        <w:t>IMS</w:t>
      </w:r>
      <w:r w:rsidRPr="00A41286">
        <w:t xml:space="preserve"> will result in an assessment of </w:t>
      </w:r>
      <w:r w:rsidR="00BF0C12">
        <w:t>one</w:t>
      </w:r>
      <w:r w:rsidR="00BF0C12" w:rsidRPr="00253863">
        <w:t xml:space="preserve"> thousand dollars </w:t>
      </w:r>
      <w:r w:rsidR="00BF0C12">
        <w:t>(</w:t>
      </w:r>
      <w:r w:rsidR="00BF0C12" w:rsidRPr="00AC2EA8">
        <w:t>$</w:t>
      </w:r>
      <w:r w:rsidR="00BF0C12">
        <w:t>1</w:t>
      </w:r>
      <w:r w:rsidR="00BF0C12" w:rsidRPr="00AC2EA8">
        <w:t>,000</w:t>
      </w:r>
      <w:r w:rsidR="00BF0C12">
        <w:t xml:space="preserve">) </w:t>
      </w:r>
      <w:r w:rsidRPr="00A41286">
        <w:t xml:space="preserve">per calendar day after the scheduled due date up to 100% of the deliverable amount. The cure period will be one (1) calendar day following the due date. </w:t>
      </w:r>
    </w:p>
    <w:p w14:paraId="35831157" w14:textId="43B004A8" w:rsidR="00A41286" w:rsidRPr="00A41286" w:rsidRDefault="00A41286" w:rsidP="00DB7AAE">
      <w:pPr>
        <w:pStyle w:val="NB4"/>
      </w:pPr>
      <w:r w:rsidRPr="00A41286">
        <w:t>8.1.1.</w:t>
      </w:r>
      <w:r w:rsidR="003E6231">
        <w:t>2</w:t>
      </w:r>
      <w:r w:rsidRPr="00A41286">
        <w:tab/>
        <w:t xml:space="preserve">Deliverables that require corrections after the 2nd or subsequent TWC review will result in an assessment of </w:t>
      </w:r>
      <w:r w:rsidR="00BF0C12">
        <w:t>one</w:t>
      </w:r>
      <w:r w:rsidR="00BF0C12" w:rsidRPr="00253863">
        <w:t xml:space="preserve"> thousand dollars </w:t>
      </w:r>
      <w:r w:rsidR="00BF0C12">
        <w:t>(</w:t>
      </w:r>
      <w:r w:rsidR="00BF0C12" w:rsidRPr="00AC2EA8">
        <w:t>$</w:t>
      </w:r>
      <w:r w:rsidR="00BF0C12">
        <w:t>1</w:t>
      </w:r>
      <w:r w:rsidR="00BF0C12" w:rsidRPr="00AC2EA8">
        <w:t>,000</w:t>
      </w:r>
      <w:r w:rsidR="00BF0C12">
        <w:t xml:space="preserve">) </w:t>
      </w:r>
      <w:r w:rsidRPr="00A41286">
        <w:t xml:space="preserve">per calendar day for any required corrections after 2nd or subsequent TWC review. The cure period will be one (1) calendar day following the due date. </w:t>
      </w:r>
    </w:p>
    <w:p w14:paraId="52CBC316" w14:textId="68B64E8E" w:rsidR="00987C09" w:rsidRDefault="00A41286" w:rsidP="00DB7AAE">
      <w:pPr>
        <w:pStyle w:val="NB4"/>
      </w:pPr>
      <w:r w:rsidRPr="00A41286">
        <w:t>8.1.1.</w:t>
      </w:r>
      <w:r w:rsidR="003E6231">
        <w:t>3</w:t>
      </w:r>
      <w:r w:rsidRPr="00A41286">
        <w:tab/>
      </w:r>
      <w:bookmarkStart w:id="228" w:name="_Hlk531252552"/>
      <w:r w:rsidRPr="00A41286">
        <w:t xml:space="preserve">Failure of Awarded Vendor to successfully complete major implementation Milestones as identified in </w:t>
      </w:r>
      <w:hyperlink w:anchor="_2.4_Deliverables_Schedule" w:history="1">
        <w:r w:rsidRPr="00E07A2B">
          <w:rPr>
            <w:rStyle w:val="Hyperlink"/>
          </w:rPr>
          <w:t>Section 2.</w:t>
        </w:r>
        <w:r w:rsidR="005970BB">
          <w:rPr>
            <w:rStyle w:val="Hyperlink"/>
          </w:rPr>
          <w:t>4</w:t>
        </w:r>
        <w:r w:rsidRPr="00E07A2B">
          <w:rPr>
            <w:rStyle w:val="Hyperlink"/>
          </w:rPr>
          <w:t xml:space="preserve"> </w:t>
        </w:r>
        <w:r w:rsidR="00E07A2B" w:rsidRPr="00E07A2B">
          <w:rPr>
            <w:rStyle w:val="Hyperlink"/>
          </w:rPr>
          <w:t>Deliverables Schedule</w:t>
        </w:r>
      </w:hyperlink>
      <w:r w:rsidR="00E07A2B">
        <w:t xml:space="preserve"> </w:t>
      </w:r>
      <w:r w:rsidR="0056164D">
        <w:t xml:space="preserve">by the due dates in the Awarded Vendor’s </w:t>
      </w:r>
      <w:r w:rsidR="003F5A44">
        <w:t xml:space="preserve">IMS approved by TWC </w:t>
      </w:r>
      <w:r w:rsidRPr="00A41286">
        <w:t xml:space="preserve">will result in </w:t>
      </w:r>
      <w:r w:rsidR="00987C09">
        <w:t>the following</w:t>
      </w:r>
      <w:r w:rsidR="00987C09" w:rsidRPr="00A41286">
        <w:t xml:space="preserve"> </w:t>
      </w:r>
      <w:r w:rsidRPr="00A41286">
        <w:t>assessment</w:t>
      </w:r>
      <w:r w:rsidR="00987C09">
        <w:t>s</w:t>
      </w:r>
      <w:r w:rsidRPr="00A41286">
        <w:t xml:space="preserve"> </w:t>
      </w:r>
      <w:r w:rsidR="00987C09">
        <w:t>based on the Severity defined in the table below:</w:t>
      </w:r>
    </w:p>
    <w:p w14:paraId="44FCE408" w14:textId="1ECCF770" w:rsidR="00987C09" w:rsidRDefault="00987C09" w:rsidP="00E16D2D">
      <w:pPr>
        <w:pStyle w:val="CB1"/>
      </w:pPr>
      <w:r>
        <w:t xml:space="preserve">Critical - </w:t>
      </w:r>
      <w:r w:rsidR="00D5003D">
        <w:t>ten</w:t>
      </w:r>
      <w:r>
        <w:t xml:space="preserve"> </w:t>
      </w:r>
      <w:r w:rsidRPr="00253863">
        <w:t xml:space="preserve">thousand dollars </w:t>
      </w:r>
      <w:r>
        <w:t>(</w:t>
      </w:r>
      <w:r w:rsidRPr="00AC2EA8">
        <w:t>$</w:t>
      </w:r>
      <w:r w:rsidR="00AA72A1">
        <w:t>10</w:t>
      </w:r>
      <w:r w:rsidRPr="00AC2EA8">
        <w:t>,000</w:t>
      </w:r>
      <w:r>
        <w:t xml:space="preserve">) </w:t>
      </w:r>
      <w:r w:rsidRPr="00A41286">
        <w:t>per calendar day</w:t>
      </w:r>
    </w:p>
    <w:p w14:paraId="34C4DAD4" w14:textId="38DDDE52" w:rsidR="00987C09" w:rsidRDefault="00987C09" w:rsidP="00F82166">
      <w:pPr>
        <w:pStyle w:val="CB1"/>
      </w:pPr>
      <w:r>
        <w:t xml:space="preserve">High - </w:t>
      </w:r>
      <w:r w:rsidR="00D5003D" w:rsidRPr="00253863">
        <w:t>five</w:t>
      </w:r>
      <w:r w:rsidR="00D5003D">
        <w:t xml:space="preserve"> </w:t>
      </w:r>
      <w:r w:rsidRPr="00253863">
        <w:t xml:space="preserve">thousand dollars </w:t>
      </w:r>
      <w:r>
        <w:t>(</w:t>
      </w:r>
      <w:r w:rsidRPr="00AC2EA8">
        <w:t>$</w:t>
      </w:r>
      <w:r w:rsidR="00AA72A1">
        <w:t>5</w:t>
      </w:r>
      <w:r w:rsidRPr="00AC2EA8">
        <w:t>,000</w:t>
      </w:r>
      <w:r>
        <w:t xml:space="preserve">) </w:t>
      </w:r>
      <w:r w:rsidRPr="00A41286">
        <w:t>per calendar day</w:t>
      </w:r>
    </w:p>
    <w:p w14:paraId="7F0BBB46" w14:textId="540C94CB" w:rsidR="00987C09" w:rsidRDefault="00987C09" w:rsidP="00F82166">
      <w:pPr>
        <w:pStyle w:val="CB1"/>
      </w:pPr>
      <w:r>
        <w:t xml:space="preserve">Medium - </w:t>
      </w:r>
      <w:r w:rsidR="00D5003D">
        <w:t>one</w:t>
      </w:r>
      <w:r w:rsidR="00D5003D" w:rsidRPr="00253863">
        <w:t xml:space="preserve"> </w:t>
      </w:r>
      <w:r w:rsidRPr="00253863">
        <w:t xml:space="preserve">thousand dollars </w:t>
      </w:r>
      <w:r>
        <w:t>(</w:t>
      </w:r>
      <w:r w:rsidRPr="00AC2EA8">
        <w:t>$</w:t>
      </w:r>
      <w:r w:rsidR="00AA72A1">
        <w:t>1</w:t>
      </w:r>
      <w:r w:rsidRPr="00AC2EA8">
        <w:t>,000</w:t>
      </w:r>
      <w:r>
        <w:t xml:space="preserve">) </w:t>
      </w:r>
      <w:r w:rsidRPr="00A41286">
        <w:t>per calendar day</w:t>
      </w:r>
    </w:p>
    <w:p w14:paraId="1F803E2A" w14:textId="742DDC82" w:rsidR="00987C09" w:rsidRDefault="00987C09" w:rsidP="006E22DE">
      <w:pPr>
        <w:pStyle w:val="CB1"/>
      </w:pPr>
      <w:r>
        <w:t xml:space="preserve">Low - </w:t>
      </w:r>
      <w:r w:rsidR="00D5003D" w:rsidRPr="00253863">
        <w:t>five</w:t>
      </w:r>
      <w:r w:rsidR="00D5003D">
        <w:t xml:space="preserve"> hundred</w:t>
      </w:r>
      <w:r w:rsidRPr="00253863">
        <w:t xml:space="preserve"> dollars </w:t>
      </w:r>
      <w:r>
        <w:t>(</w:t>
      </w:r>
      <w:r w:rsidRPr="00AC2EA8">
        <w:t>$</w:t>
      </w:r>
      <w:r w:rsidR="00AA72A1">
        <w:t>5</w:t>
      </w:r>
      <w:r w:rsidRPr="00AC2EA8">
        <w:t>00</w:t>
      </w:r>
      <w:r>
        <w:t xml:space="preserve">) </w:t>
      </w:r>
      <w:r w:rsidRPr="00A41286">
        <w:t>per calendar day</w:t>
      </w:r>
    </w:p>
    <w:p w14:paraId="2A875D9E" w14:textId="77777777" w:rsidR="006E22DE" w:rsidRDefault="00A41286" w:rsidP="006E22DE">
      <w:pPr>
        <w:pStyle w:val="NB4"/>
        <w:ind w:left="2700" w:hanging="630"/>
      </w:pPr>
      <w:r w:rsidRPr="00A41286">
        <w:t>The cure period will be one (1) calendar day following the due date.</w:t>
      </w:r>
      <w:bookmarkEnd w:id="228"/>
      <w:r w:rsidR="00D5003D">
        <w:t xml:space="preserve"> </w:t>
      </w:r>
    </w:p>
    <w:p w14:paraId="1581FD72" w14:textId="77777777" w:rsidR="006E22DE" w:rsidRDefault="006E22DE" w:rsidP="006E22DE">
      <w:pPr>
        <w:pStyle w:val="NB4"/>
        <w:ind w:left="2700" w:hanging="630"/>
      </w:pPr>
    </w:p>
    <w:p w14:paraId="1C117E0D" w14:textId="0F1668A7" w:rsidR="00987C09" w:rsidRDefault="00D5003D" w:rsidP="0039481F">
      <w:r w:rsidRPr="006E22DE">
        <w:t>Liquidated damages are capped to 100% of the Deliverable Price</w:t>
      </w:r>
      <w:r>
        <w:t xml:space="preserve"> specified in Attachment 12 Pricing.</w:t>
      </w:r>
    </w:p>
    <w:tbl>
      <w:tblPr>
        <w:tblStyle w:val="TableGrid"/>
        <w:tblW w:w="0" w:type="auto"/>
        <w:tblInd w:w="108" w:type="dxa"/>
        <w:tblLook w:val="04A0" w:firstRow="1" w:lastRow="0" w:firstColumn="1" w:lastColumn="0" w:noHBand="0" w:noVBand="1"/>
        <w:tblCaption w:val="Deliverable Schedule table"/>
        <w:tblDescription w:val="Deliverable Schedule table for Tax"/>
      </w:tblPr>
      <w:tblGrid>
        <w:gridCol w:w="1743"/>
        <w:gridCol w:w="6658"/>
        <w:gridCol w:w="2281"/>
      </w:tblGrid>
      <w:tr w:rsidR="00AF33EE" w:rsidRPr="00873442" w14:paraId="21B3DB3D" w14:textId="77777777" w:rsidTr="00987C09">
        <w:trPr>
          <w:cantSplit/>
          <w:tblHeader/>
        </w:trPr>
        <w:tc>
          <w:tcPr>
            <w:tcW w:w="1743" w:type="dxa"/>
            <w:shd w:val="clear" w:color="auto" w:fill="DEEAF6" w:themeFill="accent1" w:themeFillTint="33"/>
            <w:vAlign w:val="center"/>
          </w:tcPr>
          <w:p w14:paraId="15513E5B" w14:textId="77777777" w:rsidR="00AF33EE" w:rsidRPr="00804B2D" w:rsidRDefault="00AF33EE" w:rsidP="00987C09">
            <w:pPr>
              <w:spacing w:after="0"/>
              <w:ind w:left="0"/>
              <w:jc w:val="center"/>
              <w:rPr>
                <w:rFonts w:cs="Arial"/>
                <w:b/>
                <w:color w:val="1F3864" w:themeColor="accent5" w:themeShade="80"/>
              </w:rPr>
            </w:pPr>
            <w:r w:rsidRPr="00804B2D">
              <w:rPr>
                <w:rFonts w:cs="Arial"/>
                <w:b/>
                <w:color w:val="1F3864" w:themeColor="accent5" w:themeShade="80"/>
              </w:rPr>
              <w:lastRenderedPageBreak/>
              <w:t>Deliverable Number</w:t>
            </w:r>
          </w:p>
        </w:tc>
        <w:tc>
          <w:tcPr>
            <w:tcW w:w="6658" w:type="dxa"/>
            <w:shd w:val="clear" w:color="auto" w:fill="DEEAF6" w:themeFill="accent1" w:themeFillTint="33"/>
            <w:vAlign w:val="center"/>
          </w:tcPr>
          <w:p w14:paraId="68D1EBAB" w14:textId="77777777" w:rsidR="00AF33EE" w:rsidRDefault="00AF33EE" w:rsidP="00987C09">
            <w:pPr>
              <w:spacing w:after="0"/>
              <w:ind w:left="0"/>
              <w:jc w:val="center"/>
              <w:rPr>
                <w:rFonts w:cs="Arial"/>
                <w:b/>
                <w:color w:val="1F3864" w:themeColor="accent5" w:themeShade="80"/>
              </w:rPr>
            </w:pPr>
            <w:r>
              <w:rPr>
                <w:rFonts w:cs="Arial"/>
                <w:b/>
                <w:color w:val="1F3864" w:themeColor="accent5" w:themeShade="80"/>
              </w:rPr>
              <w:t>Deliverable</w:t>
            </w:r>
          </w:p>
          <w:p w14:paraId="584AEB51" w14:textId="77777777" w:rsidR="00AF33EE" w:rsidRPr="00804B2D" w:rsidRDefault="00AF33EE" w:rsidP="00987C09">
            <w:pPr>
              <w:spacing w:after="0"/>
              <w:ind w:left="0"/>
              <w:jc w:val="center"/>
              <w:rPr>
                <w:rFonts w:cs="Arial"/>
                <w:b/>
                <w:color w:val="1F3864" w:themeColor="accent5" w:themeShade="80"/>
              </w:rPr>
            </w:pPr>
            <w:r w:rsidRPr="00804B2D">
              <w:rPr>
                <w:rFonts w:cs="Arial"/>
                <w:b/>
                <w:color w:val="1F3864" w:themeColor="accent5" w:themeShade="80"/>
              </w:rPr>
              <w:t>Name</w:t>
            </w:r>
          </w:p>
        </w:tc>
        <w:tc>
          <w:tcPr>
            <w:tcW w:w="2281" w:type="dxa"/>
            <w:shd w:val="clear" w:color="auto" w:fill="DEEAF6" w:themeFill="accent1" w:themeFillTint="33"/>
            <w:vAlign w:val="center"/>
          </w:tcPr>
          <w:p w14:paraId="4D32675B" w14:textId="0E5B405E" w:rsidR="00AF33EE" w:rsidRPr="00804B2D" w:rsidRDefault="00987C09" w:rsidP="00987C09">
            <w:pPr>
              <w:spacing w:after="0"/>
              <w:ind w:left="0"/>
              <w:jc w:val="center"/>
              <w:rPr>
                <w:rFonts w:cs="Arial"/>
                <w:b/>
                <w:color w:val="1F3864" w:themeColor="accent5" w:themeShade="80"/>
              </w:rPr>
            </w:pPr>
            <w:r>
              <w:rPr>
                <w:rFonts w:cs="Arial"/>
                <w:b/>
                <w:color w:val="1F3864" w:themeColor="accent5" w:themeShade="80"/>
              </w:rPr>
              <w:t>Severity</w:t>
            </w:r>
          </w:p>
        </w:tc>
      </w:tr>
      <w:tr w:rsidR="00AF33EE" w:rsidRPr="00873442" w14:paraId="2613FE1D" w14:textId="77777777" w:rsidTr="00987C09">
        <w:trPr>
          <w:cantSplit/>
        </w:trPr>
        <w:tc>
          <w:tcPr>
            <w:tcW w:w="1743" w:type="dxa"/>
          </w:tcPr>
          <w:p w14:paraId="0BEE6A16" w14:textId="77777777" w:rsidR="00AF33EE" w:rsidRPr="00873442" w:rsidRDefault="00AF33EE" w:rsidP="00987C09">
            <w:pPr>
              <w:ind w:left="0"/>
              <w:rPr>
                <w:highlight w:val="yellow"/>
              </w:rPr>
            </w:pPr>
            <w:r w:rsidRPr="00355C5B">
              <w:t>1</w:t>
            </w:r>
          </w:p>
        </w:tc>
        <w:tc>
          <w:tcPr>
            <w:tcW w:w="6658" w:type="dxa"/>
          </w:tcPr>
          <w:p w14:paraId="546886F0" w14:textId="77777777" w:rsidR="00AF33EE" w:rsidRPr="00873442" w:rsidRDefault="00AF33EE" w:rsidP="00987C09">
            <w:pPr>
              <w:ind w:left="0"/>
              <w:rPr>
                <w:highlight w:val="yellow"/>
              </w:rPr>
            </w:pPr>
            <w:r w:rsidRPr="00355C5B">
              <w:t>Plan and Setup</w:t>
            </w:r>
            <w:r>
              <w:t xml:space="preserve"> Project</w:t>
            </w:r>
          </w:p>
        </w:tc>
        <w:tc>
          <w:tcPr>
            <w:tcW w:w="2281" w:type="dxa"/>
          </w:tcPr>
          <w:p w14:paraId="490D80D3" w14:textId="77777777" w:rsidR="00AF33EE" w:rsidRPr="00987C09" w:rsidRDefault="00AF33EE" w:rsidP="00987C09">
            <w:pPr>
              <w:ind w:left="0"/>
              <w:jc w:val="center"/>
            </w:pPr>
          </w:p>
        </w:tc>
      </w:tr>
      <w:tr w:rsidR="00AF33EE" w:rsidRPr="00873442" w14:paraId="4F7BF83D" w14:textId="77777777" w:rsidTr="00987C09">
        <w:trPr>
          <w:cantSplit/>
        </w:trPr>
        <w:tc>
          <w:tcPr>
            <w:tcW w:w="1743" w:type="dxa"/>
          </w:tcPr>
          <w:p w14:paraId="680861BE" w14:textId="77777777" w:rsidR="00AF33EE" w:rsidRPr="00873442" w:rsidRDefault="00AF33EE" w:rsidP="00987C09">
            <w:pPr>
              <w:ind w:left="0"/>
              <w:rPr>
                <w:highlight w:val="yellow"/>
              </w:rPr>
            </w:pPr>
            <w:r>
              <w:t xml:space="preserve">   1A</w:t>
            </w:r>
          </w:p>
        </w:tc>
        <w:tc>
          <w:tcPr>
            <w:tcW w:w="6658" w:type="dxa"/>
          </w:tcPr>
          <w:p w14:paraId="249AB39B" w14:textId="77777777" w:rsidR="00AF33EE" w:rsidRPr="00364874" w:rsidRDefault="00AF33EE" w:rsidP="00987C09">
            <w:pPr>
              <w:ind w:left="256"/>
            </w:pPr>
            <w:r>
              <w:t>Kick-off Meeting Agenda, Presentation, and Minutes</w:t>
            </w:r>
          </w:p>
        </w:tc>
        <w:tc>
          <w:tcPr>
            <w:tcW w:w="2281" w:type="dxa"/>
          </w:tcPr>
          <w:p w14:paraId="5DE90544" w14:textId="7C78B82B" w:rsidR="00AF33EE" w:rsidRPr="00987C09" w:rsidRDefault="00987C09" w:rsidP="00987C09">
            <w:pPr>
              <w:ind w:left="0"/>
              <w:jc w:val="center"/>
            </w:pPr>
            <w:r w:rsidRPr="00987C09">
              <w:t>Low</w:t>
            </w:r>
          </w:p>
        </w:tc>
      </w:tr>
      <w:tr w:rsidR="00AF33EE" w:rsidRPr="00873442" w14:paraId="0349AE82" w14:textId="77777777" w:rsidTr="00987C09">
        <w:trPr>
          <w:cantSplit/>
        </w:trPr>
        <w:tc>
          <w:tcPr>
            <w:tcW w:w="1743" w:type="dxa"/>
          </w:tcPr>
          <w:p w14:paraId="61EF23A2" w14:textId="77777777" w:rsidR="00AF33EE" w:rsidRPr="00873442" w:rsidRDefault="00AF33EE" w:rsidP="00987C09">
            <w:pPr>
              <w:ind w:left="0"/>
              <w:rPr>
                <w:highlight w:val="yellow"/>
              </w:rPr>
            </w:pPr>
            <w:r>
              <w:t xml:space="preserve">   1B</w:t>
            </w:r>
          </w:p>
        </w:tc>
        <w:tc>
          <w:tcPr>
            <w:tcW w:w="6658" w:type="dxa"/>
          </w:tcPr>
          <w:p w14:paraId="2E36F823" w14:textId="77777777" w:rsidR="00AF33EE" w:rsidRPr="00364874" w:rsidRDefault="00AF33EE" w:rsidP="00987C09">
            <w:pPr>
              <w:ind w:left="256"/>
            </w:pPr>
            <w:r>
              <w:t>Implementation Strategy</w:t>
            </w:r>
          </w:p>
        </w:tc>
        <w:tc>
          <w:tcPr>
            <w:tcW w:w="2281" w:type="dxa"/>
          </w:tcPr>
          <w:p w14:paraId="0DDA1AFA" w14:textId="22C71F9F" w:rsidR="00AF33EE" w:rsidRPr="00987C09" w:rsidRDefault="00987C09" w:rsidP="00987C09">
            <w:pPr>
              <w:ind w:left="0"/>
              <w:jc w:val="center"/>
            </w:pPr>
            <w:r w:rsidRPr="00987C09">
              <w:t>High</w:t>
            </w:r>
          </w:p>
        </w:tc>
      </w:tr>
      <w:tr w:rsidR="00AF33EE" w:rsidRPr="00873442" w14:paraId="0AEE63B6" w14:textId="77777777" w:rsidTr="00987C09">
        <w:trPr>
          <w:cantSplit/>
        </w:trPr>
        <w:tc>
          <w:tcPr>
            <w:tcW w:w="1743" w:type="dxa"/>
          </w:tcPr>
          <w:p w14:paraId="3CB861DB" w14:textId="77777777" w:rsidR="00AF33EE" w:rsidRPr="00873442" w:rsidRDefault="00AF33EE" w:rsidP="00987C09">
            <w:pPr>
              <w:ind w:left="0"/>
              <w:rPr>
                <w:highlight w:val="yellow"/>
              </w:rPr>
            </w:pPr>
            <w:r>
              <w:t xml:space="preserve">   1C</w:t>
            </w:r>
          </w:p>
        </w:tc>
        <w:tc>
          <w:tcPr>
            <w:tcW w:w="6658" w:type="dxa"/>
          </w:tcPr>
          <w:p w14:paraId="088EE3FC" w14:textId="3FED2084" w:rsidR="00AF33EE" w:rsidRPr="00364874" w:rsidRDefault="001B455F" w:rsidP="00987C09">
            <w:pPr>
              <w:ind w:left="256"/>
            </w:pPr>
            <w:r>
              <w:t>Project Management Plan</w:t>
            </w:r>
          </w:p>
        </w:tc>
        <w:tc>
          <w:tcPr>
            <w:tcW w:w="2281" w:type="dxa"/>
          </w:tcPr>
          <w:p w14:paraId="6CCCE15B" w14:textId="79D4D460" w:rsidR="00AF33EE" w:rsidRPr="00987C09" w:rsidRDefault="00987C09" w:rsidP="00987C09">
            <w:pPr>
              <w:ind w:left="0"/>
              <w:jc w:val="center"/>
            </w:pPr>
            <w:r w:rsidRPr="00987C09">
              <w:t>High</w:t>
            </w:r>
          </w:p>
        </w:tc>
      </w:tr>
      <w:tr w:rsidR="00AF33EE" w:rsidRPr="00873442" w14:paraId="1BBEDD93" w14:textId="77777777" w:rsidTr="00987C09">
        <w:trPr>
          <w:cantSplit/>
        </w:trPr>
        <w:tc>
          <w:tcPr>
            <w:tcW w:w="1743" w:type="dxa"/>
          </w:tcPr>
          <w:p w14:paraId="7673F622" w14:textId="77777777" w:rsidR="00AF33EE" w:rsidRPr="00873442" w:rsidRDefault="00AF33EE" w:rsidP="00987C09">
            <w:pPr>
              <w:ind w:left="0"/>
              <w:rPr>
                <w:highlight w:val="yellow"/>
              </w:rPr>
            </w:pPr>
            <w:r>
              <w:t xml:space="preserve">   1D</w:t>
            </w:r>
          </w:p>
        </w:tc>
        <w:tc>
          <w:tcPr>
            <w:tcW w:w="6658" w:type="dxa"/>
          </w:tcPr>
          <w:p w14:paraId="59B67F52" w14:textId="5A2029CC" w:rsidR="00AF33EE" w:rsidRPr="00364874" w:rsidRDefault="001B455F" w:rsidP="00987C09">
            <w:pPr>
              <w:ind w:left="256"/>
            </w:pPr>
            <w:r>
              <w:t xml:space="preserve">Detailed </w:t>
            </w:r>
            <w:r w:rsidR="00AF33EE">
              <w:t>WBS and</w:t>
            </w:r>
            <w:r w:rsidR="00AF33EE" w:rsidRPr="005363D2">
              <w:t xml:space="preserve"> </w:t>
            </w:r>
            <w:r w:rsidR="002A57F8">
              <w:t>IMS</w:t>
            </w:r>
          </w:p>
        </w:tc>
        <w:tc>
          <w:tcPr>
            <w:tcW w:w="2281" w:type="dxa"/>
          </w:tcPr>
          <w:p w14:paraId="493F4820" w14:textId="67378CFC" w:rsidR="00AF33EE" w:rsidRPr="00987C09" w:rsidRDefault="00987C09" w:rsidP="00987C09">
            <w:pPr>
              <w:ind w:left="0"/>
              <w:jc w:val="center"/>
            </w:pPr>
            <w:r w:rsidRPr="00987C09">
              <w:t>High</w:t>
            </w:r>
          </w:p>
        </w:tc>
      </w:tr>
      <w:tr w:rsidR="00AF33EE" w:rsidRPr="00873442" w14:paraId="2F39CE30" w14:textId="77777777" w:rsidTr="00987C09">
        <w:trPr>
          <w:cantSplit/>
        </w:trPr>
        <w:tc>
          <w:tcPr>
            <w:tcW w:w="1743" w:type="dxa"/>
          </w:tcPr>
          <w:p w14:paraId="0447241A" w14:textId="77777777" w:rsidR="00AF33EE" w:rsidRDefault="00AF33EE" w:rsidP="00987C09">
            <w:pPr>
              <w:ind w:left="0"/>
            </w:pPr>
            <w:r>
              <w:t xml:space="preserve">   1E</w:t>
            </w:r>
          </w:p>
        </w:tc>
        <w:tc>
          <w:tcPr>
            <w:tcW w:w="6658" w:type="dxa"/>
          </w:tcPr>
          <w:p w14:paraId="3840A8CD" w14:textId="77777777" w:rsidR="00AF33EE" w:rsidRDefault="00AF33EE" w:rsidP="00987C09">
            <w:pPr>
              <w:ind w:left="256"/>
            </w:pPr>
            <w:r w:rsidRPr="005363D2">
              <w:t>Staffing Plan</w:t>
            </w:r>
          </w:p>
        </w:tc>
        <w:tc>
          <w:tcPr>
            <w:tcW w:w="2281" w:type="dxa"/>
          </w:tcPr>
          <w:p w14:paraId="23989285" w14:textId="177ADB7A" w:rsidR="00AF33EE" w:rsidRPr="00987C09" w:rsidRDefault="00987C09" w:rsidP="00987C09">
            <w:pPr>
              <w:ind w:left="0"/>
              <w:jc w:val="center"/>
            </w:pPr>
            <w:r w:rsidRPr="00987C09">
              <w:t>High</w:t>
            </w:r>
          </w:p>
        </w:tc>
      </w:tr>
      <w:tr w:rsidR="00AF33EE" w:rsidRPr="00873442" w14:paraId="2BCA62CD" w14:textId="77777777" w:rsidTr="00987C09">
        <w:trPr>
          <w:cantSplit/>
        </w:trPr>
        <w:tc>
          <w:tcPr>
            <w:tcW w:w="1743" w:type="dxa"/>
          </w:tcPr>
          <w:p w14:paraId="57A7C10E" w14:textId="77777777" w:rsidR="00AF33EE" w:rsidRDefault="00AF33EE" w:rsidP="00987C09">
            <w:pPr>
              <w:ind w:left="0"/>
            </w:pPr>
            <w:r>
              <w:t xml:space="preserve">   1F</w:t>
            </w:r>
          </w:p>
        </w:tc>
        <w:tc>
          <w:tcPr>
            <w:tcW w:w="6658" w:type="dxa"/>
          </w:tcPr>
          <w:p w14:paraId="59A62A13" w14:textId="77777777" w:rsidR="00AF33EE" w:rsidRDefault="00AF33EE" w:rsidP="00987C09">
            <w:pPr>
              <w:ind w:left="256"/>
            </w:pPr>
            <w:r>
              <w:t>Test Plan</w:t>
            </w:r>
          </w:p>
        </w:tc>
        <w:tc>
          <w:tcPr>
            <w:tcW w:w="2281" w:type="dxa"/>
          </w:tcPr>
          <w:p w14:paraId="56A8FBA2" w14:textId="5F4297AF" w:rsidR="00AF33EE" w:rsidRPr="00987C09" w:rsidRDefault="00987C09" w:rsidP="00987C09">
            <w:pPr>
              <w:ind w:left="0"/>
              <w:jc w:val="center"/>
            </w:pPr>
            <w:r w:rsidRPr="00987C09">
              <w:t>High</w:t>
            </w:r>
          </w:p>
        </w:tc>
      </w:tr>
      <w:tr w:rsidR="00AF33EE" w:rsidRPr="00873442" w14:paraId="47661C4C" w14:textId="77777777" w:rsidTr="00987C09">
        <w:trPr>
          <w:cantSplit/>
        </w:trPr>
        <w:tc>
          <w:tcPr>
            <w:tcW w:w="1743" w:type="dxa"/>
          </w:tcPr>
          <w:p w14:paraId="0E3D09FF" w14:textId="77777777" w:rsidR="00AF33EE" w:rsidRDefault="00AF33EE" w:rsidP="00987C09">
            <w:pPr>
              <w:ind w:left="0"/>
            </w:pPr>
            <w:r>
              <w:t xml:space="preserve">   1G</w:t>
            </w:r>
          </w:p>
        </w:tc>
        <w:tc>
          <w:tcPr>
            <w:tcW w:w="6658" w:type="dxa"/>
          </w:tcPr>
          <w:p w14:paraId="56B545F7" w14:textId="77777777" w:rsidR="00AF33EE" w:rsidRDefault="00AF33EE" w:rsidP="00987C09">
            <w:pPr>
              <w:ind w:left="256"/>
            </w:pPr>
            <w:r>
              <w:t>Lessons Learned Collection Process</w:t>
            </w:r>
          </w:p>
        </w:tc>
        <w:tc>
          <w:tcPr>
            <w:tcW w:w="2281" w:type="dxa"/>
          </w:tcPr>
          <w:p w14:paraId="0349F5C4" w14:textId="69C3E457" w:rsidR="00AF33EE" w:rsidRPr="00987C09" w:rsidRDefault="00987C09" w:rsidP="00987C09">
            <w:pPr>
              <w:ind w:left="0"/>
              <w:jc w:val="center"/>
            </w:pPr>
            <w:r w:rsidRPr="00987C09">
              <w:t>Medium</w:t>
            </w:r>
          </w:p>
        </w:tc>
      </w:tr>
      <w:tr w:rsidR="00AF33EE" w:rsidRPr="00873442" w14:paraId="52071D9F" w14:textId="77777777" w:rsidTr="00987C09">
        <w:trPr>
          <w:cantSplit/>
        </w:trPr>
        <w:tc>
          <w:tcPr>
            <w:tcW w:w="1743" w:type="dxa"/>
          </w:tcPr>
          <w:p w14:paraId="33585D04" w14:textId="77777777" w:rsidR="00AF33EE" w:rsidRPr="00D843BF" w:rsidRDefault="00AF33EE" w:rsidP="00987C09">
            <w:pPr>
              <w:ind w:left="0"/>
            </w:pPr>
            <w:r>
              <w:t>2</w:t>
            </w:r>
          </w:p>
        </w:tc>
        <w:tc>
          <w:tcPr>
            <w:tcW w:w="6658" w:type="dxa"/>
          </w:tcPr>
          <w:p w14:paraId="5FF51EEB" w14:textId="77777777" w:rsidR="00AF33EE" w:rsidRPr="00D843BF" w:rsidRDefault="00AF33EE" w:rsidP="00987C09">
            <w:pPr>
              <w:ind w:left="0"/>
            </w:pPr>
            <w:r>
              <w:t>Manage Requirements</w:t>
            </w:r>
          </w:p>
        </w:tc>
        <w:tc>
          <w:tcPr>
            <w:tcW w:w="2281" w:type="dxa"/>
          </w:tcPr>
          <w:p w14:paraId="59B00D9D" w14:textId="77777777" w:rsidR="00AF33EE" w:rsidRPr="00987C09" w:rsidRDefault="00AF33EE" w:rsidP="00987C09">
            <w:pPr>
              <w:ind w:left="0"/>
              <w:jc w:val="center"/>
            </w:pPr>
          </w:p>
        </w:tc>
      </w:tr>
      <w:tr w:rsidR="00AF33EE" w:rsidRPr="00873442" w14:paraId="6AF67EE4" w14:textId="77777777" w:rsidTr="00987C09">
        <w:trPr>
          <w:cantSplit/>
        </w:trPr>
        <w:tc>
          <w:tcPr>
            <w:tcW w:w="1743" w:type="dxa"/>
          </w:tcPr>
          <w:p w14:paraId="76083194" w14:textId="77777777" w:rsidR="00AF33EE" w:rsidRDefault="00AF33EE" w:rsidP="00987C09">
            <w:pPr>
              <w:ind w:left="0"/>
            </w:pPr>
            <w:r>
              <w:t xml:space="preserve">   2A</w:t>
            </w:r>
          </w:p>
        </w:tc>
        <w:tc>
          <w:tcPr>
            <w:tcW w:w="6658" w:type="dxa"/>
          </w:tcPr>
          <w:p w14:paraId="3362EC48" w14:textId="77777777" w:rsidR="00AF33EE" w:rsidRDefault="00AF33EE" w:rsidP="00987C09">
            <w:pPr>
              <w:ind w:left="256"/>
            </w:pPr>
            <w:r>
              <w:t>Requirements Management Plan</w:t>
            </w:r>
          </w:p>
        </w:tc>
        <w:tc>
          <w:tcPr>
            <w:tcW w:w="2281" w:type="dxa"/>
          </w:tcPr>
          <w:p w14:paraId="750F672F" w14:textId="12D827C6" w:rsidR="00AF33EE" w:rsidRPr="00987C09" w:rsidRDefault="00987C09" w:rsidP="00D9308B">
            <w:pPr>
              <w:ind w:left="0"/>
              <w:jc w:val="center"/>
            </w:pPr>
            <w:r w:rsidRPr="00987C09">
              <w:t>High</w:t>
            </w:r>
          </w:p>
        </w:tc>
      </w:tr>
      <w:tr w:rsidR="00AF33EE" w:rsidRPr="00873442" w14:paraId="20A1398C" w14:textId="77777777" w:rsidTr="00987C09">
        <w:trPr>
          <w:cantSplit/>
        </w:trPr>
        <w:tc>
          <w:tcPr>
            <w:tcW w:w="1743" w:type="dxa"/>
          </w:tcPr>
          <w:p w14:paraId="0D6EE4BF" w14:textId="77777777" w:rsidR="00AF33EE" w:rsidRDefault="00AF33EE" w:rsidP="00987C09">
            <w:pPr>
              <w:ind w:left="0"/>
            </w:pPr>
            <w:r>
              <w:t xml:space="preserve">   2B</w:t>
            </w:r>
          </w:p>
        </w:tc>
        <w:tc>
          <w:tcPr>
            <w:tcW w:w="6658" w:type="dxa"/>
          </w:tcPr>
          <w:p w14:paraId="724A26DC" w14:textId="77777777" w:rsidR="00AF33EE" w:rsidRDefault="00AF33EE" w:rsidP="00987C09">
            <w:pPr>
              <w:ind w:left="256"/>
            </w:pPr>
            <w:r>
              <w:t>Requirements Workshops</w:t>
            </w:r>
          </w:p>
        </w:tc>
        <w:tc>
          <w:tcPr>
            <w:tcW w:w="2281" w:type="dxa"/>
          </w:tcPr>
          <w:p w14:paraId="21C1BDF6" w14:textId="097AA0E3" w:rsidR="00AF33EE" w:rsidRPr="00873442" w:rsidRDefault="00987C09" w:rsidP="00D9308B">
            <w:pPr>
              <w:ind w:left="0"/>
              <w:jc w:val="center"/>
              <w:rPr>
                <w:highlight w:val="yellow"/>
              </w:rPr>
            </w:pPr>
            <w:r w:rsidRPr="00987C09">
              <w:t>High</w:t>
            </w:r>
          </w:p>
        </w:tc>
      </w:tr>
      <w:tr w:rsidR="004B39B8" w:rsidRPr="00873442" w14:paraId="6EB71290" w14:textId="77777777" w:rsidTr="00987C09">
        <w:trPr>
          <w:cantSplit/>
        </w:trPr>
        <w:tc>
          <w:tcPr>
            <w:tcW w:w="1743" w:type="dxa"/>
          </w:tcPr>
          <w:p w14:paraId="642965A8" w14:textId="77777777" w:rsidR="004B39B8" w:rsidRDefault="004B39B8" w:rsidP="004B39B8">
            <w:pPr>
              <w:ind w:left="0"/>
            </w:pPr>
            <w:r>
              <w:t xml:space="preserve">   2C</w:t>
            </w:r>
          </w:p>
        </w:tc>
        <w:tc>
          <w:tcPr>
            <w:tcW w:w="6658" w:type="dxa"/>
          </w:tcPr>
          <w:p w14:paraId="232DC7E8" w14:textId="77777777" w:rsidR="004B39B8" w:rsidRDefault="004B39B8" w:rsidP="004B39B8">
            <w:pPr>
              <w:ind w:left="256"/>
            </w:pPr>
            <w:r>
              <w:t>Requirements Baseline</w:t>
            </w:r>
          </w:p>
        </w:tc>
        <w:tc>
          <w:tcPr>
            <w:tcW w:w="2281" w:type="dxa"/>
          </w:tcPr>
          <w:p w14:paraId="2E5ADC02" w14:textId="5D3A9030" w:rsidR="004B39B8" w:rsidRPr="00873442" w:rsidRDefault="004B39B8" w:rsidP="004B39B8">
            <w:pPr>
              <w:ind w:left="0"/>
              <w:jc w:val="center"/>
              <w:rPr>
                <w:highlight w:val="yellow"/>
              </w:rPr>
            </w:pPr>
            <w:r w:rsidRPr="00987C09">
              <w:t>High</w:t>
            </w:r>
          </w:p>
        </w:tc>
      </w:tr>
      <w:tr w:rsidR="00AF33EE" w:rsidRPr="00873442" w14:paraId="3B6FB03F" w14:textId="77777777" w:rsidTr="00987C09">
        <w:trPr>
          <w:cantSplit/>
        </w:trPr>
        <w:tc>
          <w:tcPr>
            <w:tcW w:w="1743" w:type="dxa"/>
          </w:tcPr>
          <w:p w14:paraId="0050165A" w14:textId="77777777" w:rsidR="00AF33EE" w:rsidRDefault="00AF33EE" w:rsidP="00987C09">
            <w:pPr>
              <w:ind w:left="0"/>
            </w:pPr>
            <w:r>
              <w:t xml:space="preserve">   2D</w:t>
            </w:r>
          </w:p>
        </w:tc>
        <w:tc>
          <w:tcPr>
            <w:tcW w:w="6658" w:type="dxa"/>
          </w:tcPr>
          <w:p w14:paraId="1B762DE0" w14:textId="77777777" w:rsidR="00AF33EE" w:rsidRDefault="00AF33EE" w:rsidP="00987C09">
            <w:pPr>
              <w:ind w:left="256"/>
            </w:pPr>
            <w:r>
              <w:t>Requirements Traceability Matrix</w:t>
            </w:r>
          </w:p>
        </w:tc>
        <w:tc>
          <w:tcPr>
            <w:tcW w:w="2281" w:type="dxa"/>
          </w:tcPr>
          <w:p w14:paraId="1FCAA02D" w14:textId="73F8DF37" w:rsidR="00AF33EE" w:rsidRPr="00873442" w:rsidRDefault="00D9308B" w:rsidP="00D9308B">
            <w:pPr>
              <w:ind w:left="0"/>
              <w:jc w:val="center"/>
              <w:rPr>
                <w:highlight w:val="yellow"/>
              </w:rPr>
            </w:pPr>
            <w:r w:rsidRPr="00987C09">
              <w:t>High</w:t>
            </w:r>
          </w:p>
        </w:tc>
      </w:tr>
      <w:tr w:rsidR="00AF33EE" w:rsidRPr="00873442" w14:paraId="790BD0C5" w14:textId="77777777" w:rsidTr="00987C09">
        <w:trPr>
          <w:cantSplit/>
        </w:trPr>
        <w:tc>
          <w:tcPr>
            <w:tcW w:w="1743" w:type="dxa"/>
          </w:tcPr>
          <w:p w14:paraId="46C928D1" w14:textId="77777777" w:rsidR="00AF33EE" w:rsidRPr="00873442" w:rsidRDefault="00AF33EE" w:rsidP="00987C09">
            <w:pPr>
              <w:ind w:left="0"/>
              <w:rPr>
                <w:highlight w:val="yellow"/>
              </w:rPr>
            </w:pPr>
            <w:r w:rsidRPr="00D843BF">
              <w:t>3</w:t>
            </w:r>
          </w:p>
        </w:tc>
        <w:tc>
          <w:tcPr>
            <w:tcW w:w="6658" w:type="dxa"/>
          </w:tcPr>
          <w:p w14:paraId="2E2FC227" w14:textId="77777777" w:rsidR="00AF33EE" w:rsidRPr="00873442" w:rsidRDefault="00AF33EE" w:rsidP="00987C09">
            <w:pPr>
              <w:ind w:left="0"/>
              <w:rPr>
                <w:highlight w:val="yellow"/>
              </w:rPr>
            </w:pPr>
            <w:r>
              <w:t>Design Holistic UI Replacement System</w:t>
            </w:r>
          </w:p>
        </w:tc>
        <w:tc>
          <w:tcPr>
            <w:tcW w:w="2281" w:type="dxa"/>
          </w:tcPr>
          <w:p w14:paraId="79381F0B" w14:textId="77777777" w:rsidR="00AF33EE" w:rsidRPr="00873442" w:rsidRDefault="00AF33EE" w:rsidP="00D9308B">
            <w:pPr>
              <w:ind w:left="0"/>
              <w:jc w:val="center"/>
              <w:rPr>
                <w:highlight w:val="yellow"/>
              </w:rPr>
            </w:pPr>
          </w:p>
        </w:tc>
      </w:tr>
      <w:tr w:rsidR="00D9308B" w:rsidRPr="00873442" w14:paraId="4681AE23" w14:textId="77777777" w:rsidTr="00987C09">
        <w:trPr>
          <w:cantSplit/>
        </w:trPr>
        <w:tc>
          <w:tcPr>
            <w:tcW w:w="1743" w:type="dxa"/>
          </w:tcPr>
          <w:p w14:paraId="5555056F" w14:textId="77777777" w:rsidR="00D9308B" w:rsidRPr="00873442" w:rsidRDefault="00D9308B" w:rsidP="00D9308B">
            <w:pPr>
              <w:ind w:left="0"/>
              <w:rPr>
                <w:highlight w:val="yellow"/>
              </w:rPr>
            </w:pPr>
            <w:r w:rsidRPr="00D843BF">
              <w:t xml:space="preserve">   3A</w:t>
            </w:r>
          </w:p>
        </w:tc>
        <w:tc>
          <w:tcPr>
            <w:tcW w:w="6658" w:type="dxa"/>
          </w:tcPr>
          <w:p w14:paraId="39BE5482" w14:textId="77777777" w:rsidR="00D9308B" w:rsidRPr="00364874" w:rsidRDefault="00D9308B" w:rsidP="00D9308B">
            <w:pPr>
              <w:ind w:left="256"/>
            </w:pPr>
            <w:r>
              <w:t>System Design Document</w:t>
            </w:r>
          </w:p>
        </w:tc>
        <w:tc>
          <w:tcPr>
            <w:tcW w:w="2281" w:type="dxa"/>
          </w:tcPr>
          <w:p w14:paraId="55BCC941" w14:textId="56DBD42C" w:rsidR="00D9308B" w:rsidRPr="00873442" w:rsidRDefault="00D9308B" w:rsidP="00D9308B">
            <w:pPr>
              <w:ind w:left="0"/>
              <w:jc w:val="center"/>
              <w:rPr>
                <w:highlight w:val="yellow"/>
              </w:rPr>
            </w:pPr>
            <w:r w:rsidRPr="00987C09">
              <w:t>High</w:t>
            </w:r>
          </w:p>
        </w:tc>
      </w:tr>
      <w:tr w:rsidR="00D9308B" w:rsidRPr="00873442" w14:paraId="1AE1205B" w14:textId="77777777" w:rsidTr="00987C09">
        <w:trPr>
          <w:cantSplit/>
        </w:trPr>
        <w:tc>
          <w:tcPr>
            <w:tcW w:w="1743" w:type="dxa"/>
          </w:tcPr>
          <w:p w14:paraId="7802414A" w14:textId="77777777" w:rsidR="00D9308B" w:rsidRPr="00873442" w:rsidRDefault="00D9308B" w:rsidP="00D9308B">
            <w:pPr>
              <w:ind w:left="0"/>
              <w:rPr>
                <w:highlight w:val="yellow"/>
              </w:rPr>
            </w:pPr>
            <w:r w:rsidRPr="00D843BF">
              <w:t xml:space="preserve">   3B</w:t>
            </w:r>
          </w:p>
        </w:tc>
        <w:tc>
          <w:tcPr>
            <w:tcW w:w="6658" w:type="dxa"/>
          </w:tcPr>
          <w:p w14:paraId="098FA627" w14:textId="77777777" w:rsidR="00D9308B" w:rsidRPr="00364874" w:rsidRDefault="00D9308B" w:rsidP="00D9308B">
            <w:pPr>
              <w:ind w:left="256"/>
            </w:pPr>
            <w:r>
              <w:t>Software Purchase and Licensing Plan</w:t>
            </w:r>
          </w:p>
        </w:tc>
        <w:tc>
          <w:tcPr>
            <w:tcW w:w="2281" w:type="dxa"/>
          </w:tcPr>
          <w:p w14:paraId="66E5D9CB" w14:textId="5F94EF4A" w:rsidR="00D9308B" w:rsidRPr="00873442" w:rsidRDefault="00D9308B" w:rsidP="00D9308B">
            <w:pPr>
              <w:ind w:left="0"/>
              <w:jc w:val="center"/>
              <w:rPr>
                <w:highlight w:val="yellow"/>
              </w:rPr>
            </w:pPr>
            <w:r w:rsidRPr="00987C09">
              <w:t>High</w:t>
            </w:r>
          </w:p>
        </w:tc>
      </w:tr>
      <w:tr w:rsidR="00D9308B" w:rsidRPr="00873442" w14:paraId="4FEE2492" w14:textId="77777777" w:rsidTr="00987C09">
        <w:trPr>
          <w:cantSplit/>
        </w:trPr>
        <w:tc>
          <w:tcPr>
            <w:tcW w:w="1743" w:type="dxa"/>
          </w:tcPr>
          <w:p w14:paraId="49A31435" w14:textId="77777777" w:rsidR="00D9308B" w:rsidRPr="00873442" w:rsidRDefault="00D9308B" w:rsidP="00D9308B">
            <w:pPr>
              <w:ind w:left="0"/>
              <w:rPr>
                <w:highlight w:val="yellow"/>
              </w:rPr>
            </w:pPr>
            <w:r w:rsidRPr="00D843BF">
              <w:t>4</w:t>
            </w:r>
          </w:p>
        </w:tc>
        <w:tc>
          <w:tcPr>
            <w:tcW w:w="6658" w:type="dxa"/>
          </w:tcPr>
          <w:p w14:paraId="104B043B" w14:textId="77777777" w:rsidR="00D9308B" w:rsidRPr="00873442" w:rsidRDefault="00D9308B" w:rsidP="00D9308B">
            <w:pPr>
              <w:ind w:left="0"/>
              <w:rPr>
                <w:highlight w:val="yellow"/>
              </w:rPr>
            </w:pPr>
            <w:r>
              <w:t>Assess Infrastructure</w:t>
            </w:r>
          </w:p>
        </w:tc>
        <w:tc>
          <w:tcPr>
            <w:tcW w:w="2281" w:type="dxa"/>
          </w:tcPr>
          <w:p w14:paraId="28EE1025" w14:textId="77777777" w:rsidR="00D9308B" w:rsidRPr="00873442" w:rsidRDefault="00D9308B" w:rsidP="00D9308B">
            <w:pPr>
              <w:ind w:left="0"/>
              <w:rPr>
                <w:highlight w:val="yellow"/>
              </w:rPr>
            </w:pPr>
          </w:p>
        </w:tc>
      </w:tr>
      <w:tr w:rsidR="00641871" w:rsidRPr="00873442" w14:paraId="0027EAF0" w14:textId="77777777" w:rsidTr="00987C09">
        <w:trPr>
          <w:cantSplit/>
        </w:trPr>
        <w:tc>
          <w:tcPr>
            <w:tcW w:w="1743" w:type="dxa"/>
          </w:tcPr>
          <w:p w14:paraId="7DFDD9AA" w14:textId="77777777" w:rsidR="00641871" w:rsidRPr="00873442" w:rsidRDefault="00641871" w:rsidP="00641871">
            <w:pPr>
              <w:ind w:left="0"/>
              <w:rPr>
                <w:highlight w:val="yellow"/>
              </w:rPr>
            </w:pPr>
            <w:r w:rsidRPr="00D843BF">
              <w:t xml:space="preserve">   4A</w:t>
            </w:r>
          </w:p>
        </w:tc>
        <w:tc>
          <w:tcPr>
            <w:tcW w:w="6658" w:type="dxa"/>
          </w:tcPr>
          <w:p w14:paraId="0E944CCA" w14:textId="77777777" w:rsidR="00641871" w:rsidRPr="00364874" w:rsidRDefault="00641871" w:rsidP="00641871">
            <w:pPr>
              <w:ind w:left="256"/>
            </w:pPr>
            <w:r>
              <w:t>Infrastructure Report</w:t>
            </w:r>
          </w:p>
        </w:tc>
        <w:tc>
          <w:tcPr>
            <w:tcW w:w="2281" w:type="dxa"/>
          </w:tcPr>
          <w:p w14:paraId="6A52A8F0" w14:textId="7C6E7D96" w:rsidR="00641871" w:rsidRPr="00873442" w:rsidRDefault="00641871" w:rsidP="00641871">
            <w:pPr>
              <w:ind w:left="0"/>
              <w:jc w:val="center"/>
              <w:rPr>
                <w:highlight w:val="yellow"/>
              </w:rPr>
            </w:pPr>
            <w:r w:rsidRPr="00987C09">
              <w:t>Medium</w:t>
            </w:r>
          </w:p>
        </w:tc>
      </w:tr>
      <w:tr w:rsidR="00D9308B" w:rsidRPr="00873442" w14:paraId="47DE8ED3" w14:textId="77777777" w:rsidTr="00987C09">
        <w:trPr>
          <w:cantSplit/>
        </w:trPr>
        <w:tc>
          <w:tcPr>
            <w:tcW w:w="1743" w:type="dxa"/>
          </w:tcPr>
          <w:p w14:paraId="166CB44F" w14:textId="77777777" w:rsidR="00D9308B" w:rsidRPr="00873442" w:rsidRDefault="00D9308B" w:rsidP="00D9308B">
            <w:pPr>
              <w:ind w:left="0"/>
              <w:rPr>
                <w:highlight w:val="yellow"/>
              </w:rPr>
            </w:pPr>
            <w:r w:rsidRPr="00D843BF">
              <w:t>5</w:t>
            </w:r>
          </w:p>
        </w:tc>
        <w:tc>
          <w:tcPr>
            <w:tcW w:w="6658" w:type="dxa"/>
          </w:tcPr>
          <w:p w14:paraId="634DFA3D" w14:textId="77777777" w:rsidR="00D9308B" w:rsidRPr="00873442" w:rsidRDefault="00D9308B" w:rsidP="00D9308B">
            <w:pPr>
              <w:ind w:left="0"/>
              <w:rPr>
                <w:highlight w:val="yellow"/>
              </w:rPr>
            </w:pPr>
            <w:r>
              <w:t>Configure/Develop System and Conduct Technical Acceptance Testing</w:t>
            </w:r>
          </w:p>
        </w:tc>
        <w:tc>
          <w:tcPr>
            <w:tcW w:w="2281" w:type="dxa"/>
          </w:tcPr>
          <w:p w14:paraId="4185DF91" w14:textId="77777777" w:rsidR="00D9308B" w:rsidRPr="00873442" w:rsidRDefault="00D9308B" w:rsidP="00D9308B">
            <w:pPr>
              <w:ind w:left="0"/>
              <w:rPr>
                <w:highlight w:val="yellow"/>
              </w:rPr>
            </w:pPr>
          </w:p>
        </w:tc>
      </w:tr>
      <w:tr w:rsidR="004B39B8" w:rsidRPr="00873442" w14:paraId="6DA286A8" w14:textId="77777777" w:rsidTr="00987C09">
        <w:trPr>
          <w:cantSplit/>
        </w:trPr>
        <w:tc>
          <w:tcPr>
            <w:tcW w:w="1743" w:type="dxa"/>
          </w:tcPr>
          <w:p w14:paraId="401A03A1" w14:textId="77777777" w:rsidR="004B39B8" w:rsidRPr="00D843BF" w:rsidRDefault="004B39B8" w:rsidP="004B39B8">
            <w:pPr>
              <w:ind w:left="0"/>
            </w:pPr>
            <w:r w:rsidRPr="00D843BF">
              <w:t xml:space="preserve">   5A</w:t>
            </w:r>
          </w:p>
        </w:tc>
        <w:tc>
          <w:tcPr>
            <w:tcW w:w="6658" w:type="dxa"/>
          </w:tcPr>
          <w:p w14:paraId="4109FC33" w14:textId="77777777" w:rsidR="004B39B8" w:rsidRDefault="004B39B8" w:rsidP="004B39B8">
            <w:pPr>
              <w:ind w:left="256"/>
            </w:pPr>
            <w:r>
              <w:t>Software Development Plan</w:t>
            </w:r>
          </w:p>
        </w:tc>
        <w:tc>
          <w:tcPr>
            <w:tcW w:w="2281" w:type="dxa"/>
          </w:tcPr>
          <w:p w14:paraId="371CF9A9" w14:textId="18398D27" w:rsidR="004B39B8" w:rsidRPr="00873442" w:rsidRDefault="004B39B8" w:rsidP="004B39B8">
            <w:pPr>
              <w:ind w:left="0"/>
              <w:jc w:val="center"/>
              <w:rPr>
                <w:highlight w:val="yellow"/>
              </w:rPr>
            </w:pPr>
            <w:r w:rsidRPr="00987C09">
              <w:t>High</w:t>
            </w:r>
          </w:p>
        </w:tc>
      </w:tr>
      <w:tr w:rsidR="004B39B8" w:rsidRPr="00873442" w14:paraId="6C3821AC" w14:textId="77777777" w:rsidTr="00987C09">
        <w:trPr>
          <w:cantSplit/>
        </w:trPr>
        <w:tc>
          <w:tcPr>
            <w:tcW w:w="1743" w:type="dxa"/>
          </w:tcPr>
          <w:p w14:paraId="0F14D910" w14:textId="77777777" w:rsidR="004B39B8" w:rsidRPr="00873442" w:rsidRDefault="004B39B8" w:rsidP="004B39B8">
            <w:pPr>
              <w:ind w:left="0"/>
              <w:rPr>
                <w:highlight w:val="yellow"/>
              </w:rPr>
            </w:pPr>
            <w:r>
              <w:t xml:space="preserve">   5B</w:t>
            </w:r>
          </w:p>
        </w:tc>
        <w:tc>
          <w:tcPr>
            <w:tcW w:w="6658" w:type="dxa"/>
          </w:tcPr>
          <w:p w14:paraId="2DD8025F" w14:textId="77777777" w:rsidR="004B39B8" w:rsidRPr="00364874" w:rsidRDefault="004B39B8" w:rsidP="004B39B8">
            <w:pPr>
              <w:ind w:left="256"/>
            </w:pPr>
            <w:r>
              <w:t>Configuration Management Plan</w:t>
            </w:r>
          </w:p>
        </w:tc>
        <w:tc>
          <w:tcPr>
            <w:tcW w:w="2281" w:type="dxa"/>
          </w:tcPr>
          <w:p w14:paraId="52DFBBE5" w14:textId="72E8BE7F" w:rsidR="004B39B8" w:rsidRPr="00873442" w:rsidRDefault="004B39B8" w:rsidP="004B39B8">
            <w:pPr>
              <w:ind w:left="0"/>
              <w:jc w:val="center"/>
              <w:rPr>
                <w:highlight w:val="yellow"/>
              </w:rPr>
            </w:pPr>
            <w:r w:rsidRPr="00987C09">
              <w:t>High</w:t>
            </w:r>
          </w:p>
        </w:tc>
      </w:tr>
      <w:tr w:rsidR="004B39B8" w:rsidRPr="00873442" w14:paraId="35B096DE" w14:textId="77777777" w:rsidTr="00987C09">
        <w:trPr>
          <w:cantSplit/>
        </w:trPr>
        <w:tc>
          <w:tcPr>
            <w:tcW w:w="1743" w:type="dxa"/>
          </w:tcPr>
          <w:p w14:paraId="4070A963" w14:textId="77777777" w:rsidR="004B39B8" w:rsidRPr="00873442" w:rsidRDefault="004B39B8" w:rsidP="004B39B8">
            <w:pPr>
              <w:ind w:left="0"/>
              <w:rPr>
                <w:highlight w:val="yellow"/>
              </w:rPr>
            </w:pPr>
            <w:r w:rsidRPr="00D843BF">
              <w:t xml:space="preserve">   5</w:t>
            </w:r>
            <w:r>
              <w:t>C</w:t>
            </w:r>
          </w:p>
        </w:tc>
        <w:tc>
          <w:tcPr>
            <w:tcW w:w="6658" w:type="dxa"/>
          </w:tcPr>
          <w:p w14:paraId="3D1F1601" w14:textId="77777777" w:rsidR="004B39B8" w:rsidRPr="00364874" w:rsidRDefault="004B39B8" w:rsidP="004B39B8">
            <w:pPr>
              <w:ind w:left="256"/>
            </w:pPr>
            <w:r>
              <w:t>Configured Tax System</w:t>
            </w:r>
          </w:p>
        </w:tc>
        <w:tc>
          <w:tcPr>
            <w:tcW w:w="2281" w:type="dxa"/>
          </w:tcPr>
          <w:p w14:paraId="6C9BF270" w14:textId="1D986F84" w:rsidR="004B39B8" w:rsidRPr="00641871" w:rsidRDefault="004B39B8" w:rsidP="004B39B8">
            <w:pPr>
              <w:ind w:left="0"/>
              <w:jc w:val="center"/>
            </w:pPr>
            <w:r w:rsidRPr="00641871">
              <w:t>Critical</w:t>
            </w:r>
          </w:p>
        </w:tc>
      </w:tr>
      <w:tr w:rsidR="004B39B8" w:rsidRPr="00873442" w14:paraId="1061C30A" w14:textId="77777777" w:rsidTr="00987C09">
        <w:trPr>
          <w:cantSplit/>
        </w:trPr>
        <w:tc>
          <w:tcPr>
            <w:tcW w:w="1743" w:type="dxa"/>
          </w:tcPr>
          <w:p w14:paraId="529896F1" w14:textId="77777777" w:rsidR="004B39B8" w:rsidRPr="00873442" w:rsidRDefault="004B39B8" w:rsidP="004B39B8">
            <w:pPr>
              <w:ind w:left="0"/>
              <w:rPr>
                <w:highlight w:val="yellow"/>
              </w:rPr>
            </w:pPr>
            <w:r w:rsidRPr="00D843BF">
              <w:t xml:space="preserve">   5</w:t>
            </w:r>
            <w:r>
              <w:t>D</w:t>
            </w:r>
          </w:p>
        </w:tc>
        <w:tc>
          <w:tcPr>
            <w:tcW w:w="6658" w:type="dxa"/>
          </w:tcPr>
          <w:p w14:paraId="42E382A7" w14:textId="77777777" w:rsidR="004B39B8" w:rsidRPr="00364874" w:rsidRDefault="004B39B8" w:rsidP="004B39B8">
            <w:pPr>
              <w:ind w:left="256"/>
            </w:pPr>
            <w:r>
              <w:t>Configured Benefits System</w:t>
            </w:r>
          </w:p>
        </w:tc>
        <w:tc>
          <w:tcPr>
            <w:tcW w:w="2281" w:type="dxa"/>
          </w:tcPr>
          <w:p w14:paraId="2D18181C" w14:textId="20D7AD94" w:rsidR="004B39B8" w:rsidRPr="00873442" w:rsidRDefault="004B39B8" w:rsidP="004B39B8">
            <w:pPr>
              <w:ind w:left="0"/>
              <w:jc w:val="center"/>
              <w:rPr>
                <w:highlight w:val="yellow"/>
              </w:rPr>
            </w:pPr>
            <w:r w:rsidRPr="00641871">
              <w:t>Critical</w:t>
            </w:r>
          </w:p>
        </w:tc>
      </w:tr>
      <w:tr w:rsidR="004B39B8" w:rsidRPr="00873442" w14:paraId="49B79A5A" w14:textId="77777777" w:rsidTr="00987C09">
        <w:trPr>
          <w:cantSplit/>
        </w:trPr>
        <w:tc>
          <w:tcPr>
            <w:tcW w:w="1743" w:type="dxa"/>
          </w:tcPr>
          <w:p w14:paraId="11841A72" w14:textId="77777777" w:rsidR="004B39B8" w:rsidRPr="00873442" w:rsidRDefault="004B39B8" w:rsidP="004B39B8">
            <w:pPr>
              <w:ind w:left="0"/>
              <w:rPr>
                <w:highlight w:val="yellow"/>
              </w:rPr>
            </w:pPr>
            <w:r>
              <w:t xml:space="preserve">   5E</w:t>
            </w:r>
          </w:p>
        </w:tc>
        <w:tc>
          <w:tcPr>
            <w:tcW w:w="6658" w:type="dxa"/>
          </w:tcPr>
          <w:p w14:paraId="13F749A7" w14:textId="77777777" w:rsidR="004B39B8" w:rsidRPr="00364874" w:rsidRDefault="004B39B8" w:rsidP="004B39B8">
            <w:pPr>
              <w:ind w:left="256"/>
            </w:pPr>
            <w:r>
              <w:t>Configured Appeals System</w:t>
            </w:r>
          </w:p>
        </w:tc>
        <w:tc>
          <w:tcPr>
            <w:tcW w:w="2281" w:type="dxa"/>
          </w:tcPr>
          <w:p w14:paraId="10D15507" w14:textId="0D2AD2D2" w:rsidR="004B39B8" w:rsidRPr="00873442" w:rsidRDefault="004B39B8" w:rsidP="004B39B8">
            <w:pPr>
              <w:ind w:left="0"/>
              <w:jc w:val="center"/>
              <w:rPr>
                <w:highlight w:val="yellow"/>
              </w:rPr>
            </w:pPr>
            <w:r w:rsidRPr="00641871">
              <w:t>Critical</w:t>
            </w:r>
          </w:p>
        </w:tc>
      </w:tr>
      <w:tr w:rsidR="004B39B8" w:rsidRPr="00873442" w14:paraId="7E3CE6F0" w14:textId="77777777" w:rsidTr="00987C09">
        <w:trPr>
          <w:cantSplit/>
        </w:trPr>
        <w:tc>
          <w:tcPr>
            <w:tcW w:w="1743" w:type="dxa"/>
          </w:tcPr>
          <w:p w14:paraId="23A93A00" w14:textId="77777777" w:rsidR="004B39B8" w:rsidRPr="00D843BF" w:rsidRDefault="004B39B8" w:rsidP="004B39B8">
            <w:pPr>
              <w:ind w:left="0"/>
            </w:pPr>
            <w:r>
              <w:t xml:space="preserve">   5F</w:t>
            </w:r>
          </w:p>
        </w:tc>
        <w:tc>
          <w:tcPr>
            <w:tcW w:w="6658" w:type="dxa"/>
          </w:tcPr>
          <w:p w14:paraId="2E22DA88" w14:textId="77777777" w:rsidR="004B39B8" w:rsidRPr="00CF6E0F" w:rsidRDefault="004B39B8" w:rsidP="004B39B8">
            <w:pPr>
              <w:ind w:left="256"/>
            </w:pPr>
            <w:r>
              <w:t>Configured RID System</w:t>
            </w:r>
          </w:p>
        </w:tc>
        <w:tc>
          <w:tcPr>
            <w:tcW w:w="2281" w:type="dxa"/>
          </w:tcPr>
          <w:p w14:paraId="0A2666A8" w14:textId="3EE683C7" w:rsidR="004B39B8" w:rsidRPr="00873442" w:rsidRDefault="004B39B8" w:rsidP="004B39B8">
            <w:pPr>
              <w:ind w:left="0"/>
              <w:jc w:val="center"/>
              <w:rPr>
                <w:highlight w:val="yellow"/>
              </w:rPr>
            </w:pPr>
            <w:r w:rsidRPr="00641871">
              <w:t>Critical</w:t>
            </w:r>
          </w:p>
        </w:tc>
      </w:tr>
      <w:tr w:rsidR="004B39B8" w:rsidRPr="00873442" w14:paraId="461AD1FE" w14:textId="77777777" w:rsidTr="00987C09">
        <w:trPr>
          <w:cantSplit/>
        </w:trPr>
        <w:tc>
          <w:tcPr>
            <w:tcW w:w="1743" w:type="dxa"/>
          </w:tcPr>
          <w:p w14:paraId="01746FF7" w14:textId="77777777" w:rsidR="004B39B8" w:rsidRPr="00D843BF" w:rsidRDefault="004B39B8" w:rsidP="004B39B8">
            <w:pPr>
              <w:ind w:left="0"/>
            </w:pPr>
            <w:r>
              <w:t xml:space="preserve">   5G</w:t>
            </w:r>
          </w:p>
        </w:tc>
        <w:tc>
          <w:tcPr>
            <w:tcW w:w="6658" w:type="dxa"/>
          </w:tcPr>
          <w:p w14:paraId="6AF8040F" w14:textId="77777777" w:rsidR="004B39B8" w:rsidRPr="00CF6E0F" w:rsidRDefault="004B39B8" w:rsidP="004B39B8">
            <w:pPr>
              <w:ind w:left="256"/>
            </w:pPr>
            <w:r>
              <w:t>Configured RTM System</w:t>
            </w:r>
          </w:p>
        </w:tc>
        <w:tc>
          <w:tcPr>
            <w:tcW w:w="2281" w:type="dxa"/>
          </w:tcPr>
          <w:p w14:paraId="47C0AF88" w14:textId="728C9247" w:rsidR="004B39B8" w:rsidRPr="00873442" w:rsidRDefault="004B39B8" w:rsidP="004B39B8">
            <w:pPr>
              <w:ind w:left="0"/>
              <w:jc w:val="center"/>
              <w:rPr>
                <w:highlight w:val="yellow"/>
              </w:rPr>
            </w:pPr>
            <w:r w:rsidRPr="00641871">
              <w:t>Critical</w:t>
            </w:r>
          </w:p>
        </w:tc>
      </w:tr>
      <w:tr w:rsidR="004B39B8" w:rsidRPr="00873442" w14:paraId="3FFC1995" w14:textId="77777777" w:rsidTr="00987C09">
        <w:trPr>
          <w:cantSplit/>
        </w:trPr>
        <w:tc>
          <w:tcPr>
            <w:tcW w:w="1743" w:type="dxa"/>
          </w:tcPr>
          <w:p w14:paraId="0DF6D218" w14:textId="77777777" w:rsidR="004B39B8" w:rsidRPr="00D843BF" w:rsidRDefault="004B39B8" w:rsidP="004B39B8">
            <w:pPr>
              <w:ind w:left="0"/>
            </w:pPr>
            <w:r>
              <w:t xml:space="preserve">   5H</w:t>
            </w:r>
          </w:p>
        </w:tc>
        <w:tc>
          <w:tcPr>
            <w:tcW w:w="6658" w:type="dxa"/>
          </w:tcPr>
          <w:p w14:paraId="50E6ADDF" w14:textId="04A38EF0" w:rsidR="004B39B8" w:rsidRPr="00CF6E0F" w:rsidRDefault="00ED2EEB" w:rsidP="004B39B8">
            <w:pPr>
              <w:ind w:left="256"/>
            </w:pPr>
            <w:r>
              <w:t>Updated</w:t>
            </w:r>
            <w:r w:rsidR="004B39B8">
              <w:t xml:space="preserve"> Test Plan</w:t>
            </w:r>
          </w:p>
        </w:tc>
        <w:tc>
          <w:tcPr>
            <w:tcW w:w="2281" w:type="dxa"/>
          </w:tcPr>
          <w:p w14:paraId="3CA924F8" w14:textId="7B8E0F14" w:rsidR="004B39B8" w:rsidRPr="00873442" w:rsidRDefault="004B39B8" w:rsidP="004B39B8">
            <w:pPr>
              <w:ind w:left="0"/>
              <w:jc w:val="center"/>
              <w:rPr>
                <w:highlight w:val="yellow"/>
              </w:rPr>
            </w:pPr>
            <w:r w:rsidRPr="00987C09">
              <w:t>High</w:t>
            </w:r>
          </w:p>
        </w:tc>
      </w:tr>
      <w:tr w:rsidR="004B39B8" w:rsidRPr="00873442" w14:paraId="39F783F0" w14:textId="77777777" w:rsidTr="00987C09">
        <w:trPr>
          <w:cantSplit/>
        </w:trPr>
        <w:tc>
          <w:tcPr>
            <w:tcW w:w="1743" w:type="dxa"/>
          </w:tcPr>
          <w:p w14:paraId="456E3AA7" w14:textId="77777777" w:rsidR="004B39B8" w:rsidRPr="00D843BF" w:rsidRDefault="004B39B8" w:rsidP="004B39B8">
            <w:pPr>
              <w:ind w:left="0"/>
            </w:pPr>
            <w:r>
              <w:lastRenderedPageBreak/>
              <w:t xml:space="preserve">   5I</w:t>
            </w:r>
          </w:p>
        </w:tc>
        <w:tc>
          <w:tcPr>
            <w:tcW w:w="6658" w:type="dxa"/>
          </w:tcPr>
          <w:p w14:paraId="30CCE41F" w14:textId="77777777" w:rsidR="004B39B8" w:rsidRPr="00CF6E0F" w:rsidRDefault="004B39B8" w:rsidP="004B39B8">
            <w:pPr>
              <w:ind w:left="256"/>
            </w:pPr>
            <w:r>
              <w:t>Completed Technical Acceptance T</w:t>
            </w:r>
            <w:r w:rsidRPr="00090536">
              <w:t>est</w:t>
            </w:r>
            <w:r w:rsidRPr="002908A9">
              <w:t>ing</w:t>
            </w:r>
            <w:r>
              <w:t xml:space="preserve"> Checklist</w:t>
            </w:r>
          </w:p>
        </w:tc>
        <w:tc>
          <w:tcPr>
            <w:tcW w:w="2281" w:type="dxa"/>
          </w:tcPr>
          <w:p w14:paraId="3F584FBB" w14:textId="16C18ABE" w:rsidR="004B39B8" w:rsidRPr="00873442" w:rsidRDefault="004B39B8" w:rsidP="004B39B8">
            <w:pPr>
              <w:ind w:left="0"/>
              <w:jc w:val="center"/>
              <w:rPr>
                <w:highlight w:val="yellow"/>
              </w:rPr>
            </w:pPr>
            <w:r w:rsidRPr="00987C09">
              <w:t>High</w:t>
            </w:r>
          </w:p>
        </w:tc>
      </w:tr>
      <w:tr w:rsidR="004B39B8" w:rsidRPr="00873442" w14:paraId="3ADA3949" w14:textId="77777777" w:rsidTr="00987C09">
        <w:trPr>
          <w:cantSplit/>
        </w:trPr>
        <w:tc>
          <w:tcPr>
            <w:tcW w:w="1743" w:type="dxa"/>
          </w:tcPr>
          <w:p w14:paraId="678D6135" w14:textId="77777777" w:rsidR="004B39B8" w:rsidRPr="00873442" w:rsidRDefault="004B39B8" w:rsidP="004B39B8">
            <w:pPr>
              <w:ind w:left="0"/>
              <w:rPr>
                <w:highlight w:val="yellow"/>
              </w:rPr>
            </w:pPr>
            <w:r w:rsidRPr="00355C5B">
              <w:t>6</w:t>
            </w:r>
          </w:p>
        </w:tc>
        <w:tc>
          <w:tcPr>
            <w:tcW w:w="6658" w:type="dxa"/>
          </w:tcPr>
          <w:p w14:paraId="35D711FC" w14:textId="77777777" w:rsidR="004B39B8" w:rsidRPr="00873442" w:rsidRDefault="004B39B8" w:rsidP="004B39B8">
            <w:pPr>
              <w:ind w:left="0"/>
              <w:rPr>
                <w:highlight w:val="yellow"/>
              </w:rPr>
            </w:pPr>
            <w:r>
              <w:t>Migrate Data</w:t>
            </w:r>
          </w:p>
        </w:tc>
        <w:tc>
          <w:tcPr>
            <w:tcW w:w="2281" w:type="dxa"/>
          </w:tcPr>
          <w:p w14:paraId="16D9C153" w14:textId="77777777" w:rsidR="004B39B8" w:rsidRPr="00873442" w:rsidRDefault="004B39B8" w:rsidP="004B39B8">
            <w:pPr>
              <w:ind w:left="0"/>
              <w:rPr>
                <w:highlight w:val="yellow"/>
              </w:rPr>
            </w:pPr>
          </w:p>
        </w:tc>
      </w:tr>
      <w:tr w:rsidR="004B39B8" w:rsidRPr="00873442" w14:paraId="6F9166FA" w14:textId="77777777" w:rsidTr="00987C09">
        <w:trPr>
          <w:cantSplit/>
        </w:trPr>
        <w:tc>
          <w:tcPr>
            <w:tcW w:w="1743" w:type="dxa"/>
          </w:tcPr>
          <w:p w14:paraId="60D47ED5" w14:textId="77777777" w:rsidR="004B39B8" w:rsidRPr="00873442" w:rsidRDefault="004B39B8" w:rsidP="004B39B8">
            <w:pPr>
              <w:ind w:left="0"/>
              <w:rPr>
                <w:highlight w:val="yellow"/>
              </w:rPr>
            </w:pPr>
            <w:r>
              <w:t xml:space="preserve">   6A</w:t>
            </w:r>
          </w:p>
        </w:tc>
        <w:tc>
          <w:tcPr>
            <w:tcW w:w="6658" w:type="dxa"/>
          </w:tcPr>
          <w:p w14:paraId="53129F00" w14:textId="77777777" w:rsidR="004B39B8" w:rsidRPr="00364874" w:rsidRDefault="004B39B8" w:rsidP="004B39B8">
            <w:pPr>
              <w:ind w:left="256"/>
            </w:pPr>
            <w:r>
              <w:t>Data Migration Strategy and Plan</w:t>
            </w:r>
          </w:p>
        </w:tc>
        <w:tc>
          <w:tcPr>
            <w:tcW w:w="2281" w:type="dxa"/>
          </w:tcPr>
          <w:p w14:paraId="0C6A92E1" w14:textId="174A0F03" w:rsidR="004B39B8" w:rsidRPr="00873442" w:rsidRDefault="004B39B8" w:rsidP="004B39B8">
            <w:pPr>
              <w:ind w:left="0"/>
              <w:jc w:val="center"/>
              <w:rPr>
                <w:highlight w:val="yellow"/>
              </w:rPr>
            </w:pPr>
            <w:r w:rsidRPr="00987C09">
              <w:t>High</w:t>
            </w:r>
          </w:p>
        </w:tc>
      </w:tr>
      <w:tr w:rsidR="004B39B8" w:rsidRPr="00873442" w14:paraId="3B3E497E" w14:textId="77777777" w:rsidTr="00987C09">
        <w:trPr>
          <w:cantSplit/>
        </w:trPr>
        <w:tc>
          <w:tcPr>
            <w:tcW w:w="1743" w:type="dxa"/>
          </w:tcPr>
          <w:p w14:paraId="3828693A" w14:textId="77777777" w:rsidR="004B39B8" w:rsidRPr="00873442" w:rsidRDefault="004B39B8" w:rsidP="004B39B8">
            <w:pPr>
              <w:ind w:left="0"/>
              <w:rPr>
                <w:highlight w:val="yellow"/>
              </w:rPr>
            </w:pPr>
            <w:r>
              <w:t xml:space="preserve">   6B</w:t>
            </w:r>
          </w:p>
        </w:tc>
        <w:tc>
          <w:tcPr>
            <w:tcW w:w="6658" w:type="dxa"/>
          </w:tcPr>
          <w:p w14:paraId="015998D6" w14:textId="2DD374EB" w:rsidR="004B39B8" w:rsidRPr="00364874" w:rsidRDefault="004B39B8" w:rsidP="004B39B8">
            <w:pPr>
              <w:ind w:left="256"/>
            </w:pPr>
            <w:r>
              <w:t>Migrate Data</w:t>
            </w:r>
          </w:p>
        </w:tc>
        <w:tc>
          <w:tcPr>
            <w:tcW w:w="2281" w:type="dxa"/>
          </w:tcPr>
          <w:p w14:paraId="6548F726" w14:textId="33B13375" w:rsidR="004B39B8" w:rsidRPr="00873442" w:rsidRDefault="004B39B8" w:rsidP="004B39B8">
            <w:pPr>
              <w:ind w:left="0"/>
              <w:jc w:val="center"/>
              <w:rPr>
                <w:highlight w:val="yellow"/>
              </w:rPr>
            </w:pPr>
            <w:r w:rsidRPr="00641871">
              <w:t>Critical</w:t>
            </w:r>
          </w:p>
        </w:tc>
      </w:tr>
      <w:tr w:rsidR="004B39B8" w:rsidRPr="00873442" w14:paraId="20344574" w14:textId="77777777" w:rsidTr="00987C09">
        <w:trPr>
          <w:cantSplit/>
        </w:trPr>
        <w:tc>
          <w:tcPr>
            <w:tcW w:w="1743" w:type="dxa"/>
          </w:tcPr>
          <w:p w14:paraId="5F964029" w14:textId="77777777" w:rsidR="004B39B8" w:rsidRDefault="004B39B8" w:rsidP="004B39B8">
            <w:pPr>
              <w:ind w:left="0"/>
            </w:pPr>
            <w:r w:rsidRPr="00355C5B">
              <w:t>7</w:t>
            </w:r>
          </w:p>
        </w:tc>
        <w:tc>
          <w:tcPr>
            <w:tcW w:w="6658" w:type="dxa"/>
          </w:tcPr>
          <w:p w14:paraId="2228597C" w14:textId="77777777" w:rsidR="004B39B8" w:rsidRPr="00D674DE" w:rsidRDefault="004B39B8" w:rsidP="004B39B8">
            <w:pPr>
              <w:ind w:left="0"/>
            </w:pPr>
            <w:r>
              <w:t>Implement Interfaces</w:t>
            </w:r>
          </w:p>
        </w:tc>
        <w:tc>
          <w:tcPr>
            <w:tcW w:w="2281" w:type="dxa"/>
          </w:tcPr>
          <w:p w14:paraId="00FDB5CE" w14:textId="77777777" w:rsidR="004B39B8" w:rsidRPr="00873442" w:rsidRDefault="004B39B8" w:rsidP="004B39B8">
            <w:pPr>
              <w:ind w:left="0"/>
              <w:jc w:val="center"/>
              <w:rPr>
                <w:highlight w:val="yellow"/>
              </w:rPr>
            </w:pPr>
          </w:p>
        </w:tc>
      </w:tr>
      <w:tr w:rsidR="004B39B8" w:rsidRPr="00873442" w14:paraId="5F8E5E00" w14:textId="77777777" w:rsidTr="00987C09">
        <w:trPr>
          <w:cantSplit/>
        </w:trPr>
        <w:tc>
          <w:tcPr>
            <w:tcW w:w="1743" w:type="dxa"/>
          </w:tcPr>
          <w:p w14:paraId="10592DAA" w14:textId="77777777" w:rsidR="004B39B8" w:rsidRDefault="004B39B8" w:rsidP="004B39B8">
            <w:pPr>
              <w:ind w:left="0"/>
            </w:pPr>
            <w:r>
              <w:t xml:space="preserve">   7A</w:t>
            </w:r>
          </w:p>
        </w:tc>
        <w:tc>
          <w:tcPr>
            <w:tcW w:w="6658" w:type="dxa"/>
          </w:tcPr>
          <w:p w14:paraId="48398C6A" w14:textId="77777777" w:rsidR="004B39B8" w:rsidRPr="00D674DE" w:rsidRDefault="004B39B8" w:rsidP="004B39B8">
            <w:pPr>
              <w:ind w:left="256"/>
            </w:pPr>
            <w:r>
              <w:t>Interface Implementation Strategy and Plan</w:t>
            </w:r>
          </w:p>
        </w:tc>
        <w:tc>
          <w:tcPr>
            <w:tcW w:w="2281" w:type="dxa"/>
          </w:tcPr>
          <w:p w14:paraId="62CCA2CC" w14:textId="5563E574" w:rsidR="004B39B8" w:rsidRPr="00873442" w:rsidRDefault="004B39B8" w:rsidP="004B39B8">
            <w:pPr>
              <w:ind w:left="0"/>
              <w:jc w:val="center"/>
              <w:rPr>
                <w:highlight w:val="yellow"/>
              </w:rPr>
            </w:pPr>
            <w:r w:rsidRPr="00987C09">
              <w:t>High</w:t>
            </w:r>
          </w:p>
        </w:tc>
      </w:tr>
      <w:tr w:rsidR="004B39B8" w:rsidRPr="00873442" w14:paraId="3133FC46" w14:textId="77777777" w:rsidTr="00987C09">
        <w:trPr>
          <w:cantSplit/>
        </w:trPr>
        <w:tc>
          <w:tcPr>
            <w:tcW w:w="1743" w:type="dxa"/>
          </w:tcPr>
          <w:p w14:paraId="73B9036F" w14:textId="77777777" w:rsidR="004B39B8" w:rsidRDefault="004B39B8" w:rsidP="004B39B8">
            <w:pPr>
              <w:ind w:left="0"/>
            </w:pPr>
            <w:r>
              <w:t xml:space="preserve">   7B</w:t>
            </w:r>
          </w:p>
        </w:tc>
        <w:tc>
          <w:tcPr>
            <w:tcW w:w="6658" w:type="dxa"/>
          </w:tcPr>
          <w:p w14:paraId="1BC5A692" w14:textId="77777777" w:rsidR="004B39B8" w:rsidRPr="00D674DE" w:rsidRDefault="004B39B8" w:rsidP="004B39B8">
            <w:pPr>
              <w:ind w:left="256"/>
            </w:pPr>
            <w:r>
              <w:t>Implemented Interfaces</w:t>
            </w:r>
          </w:p>
        </w:tc>
        <w:tc>
          <w:tcPr>
            <w:tcW w:w="2281" w:type="dxa"/>
          </w:tcPr>
          <w:p w14:paraId="08940296" w14:textId="0E2AEE82" w:rsidR="004B39B8" w:rsidRPr="00873442" w:rsidRDefault="004B39B8" w:rsidP="004B39B8">
            <w:pPr>
              <w:ind w:left="0"/>
              <w:jc w:val="center"/>
              <w:rPr>
                <w:highlight w:val="yellow"/>
              </w:rPr>
            </w:pPr>
            <w:r w:rsidRPr="00641871">
              <w:t>Critical</w:t>
            </w:r>
          </w:p>
        </w:tc>
      </w:tr>
      <w:tr w:rsidR="004B39B8" w:rsidRPr="00873442" w14:paraId="6D4D753D" w14:textId="77777777" w:rsidTr="00987C09">
        <w:trPr>
          <w:cantSplit/>
        </w:trPr>
        <w:tc>
          <w:tcPr>
            <w:tcW w:w="1743" w:type="dxa"/>
          </w:tcPr>
          <w:p w14:paraId="3261E3B8" w14:textId="77777777" w:rsidR="004B39B8" w:rsidRDefault="004B39B8" w:rsidP="004B39B8">
            <w:pPr>
              <w:ind w:left="0"/>
            </w:pPr>
            <w:r>
              <w:t>8</w:t>
            </w:r>
          </w:p>
        </w:tc>
        <w:tc>
          <w:tcPr>
            <w:tcW w:w="6658" w:type="dxa"/>
          </w:tcPr>
          <w:p w14:paraId="7069DEF6" w14:textId="77777777" w:rsidR="004B39B8" w:rsidRDefault="004B39B8" w:rsidP="004B39B8">
            <w:pPr>
              <w:ind w:left="0"/>
            </w:pPr>
            <w:r>
              <w:t>Replace Reports</w:t>
            </w:r>
          </w:p>
        </w:tc>
        <w:tc>
          <w:tcPr>
            <w:tcW w:w="2281" w:type="dxa"/>
          </w:tcPr>
          <w:p w14:paraId="289B6A65" w14:textId="77777777" w:rsidR="004B39B8" w:rsidRPr="00873442" w:rsidRDefault="004B39B8" w:rsidP="004B39B8">
            <w:pPr>
              <w:ind w:left="0"/>
              <w:jc w:val="center"/>
              <w:rPr>
                <w:highlight w:val="yellow"/>
              </w:rPr>
            </w:pPr>
          </w:p>
        </w:tc>
      </w:tr>
      <w:tr w:rsidR="004B39B8" w:rsidRPr="00873442" w14:paraId="0625D5C2" w14:textId="77777777" w:rsidTr="00987C09">
        <w:trPr>
          <w:cantSplit/>
        </w:trPr>
        <w:tc>
          <w:tcPr>
            <w:tcW w:w="1743" w:type="dxa"/>
          </w:tcPr>
          <w:p w14:paraId="4F97891D" w14:textId="77777777" w:rsidR="004B39B8" w:rsidRPr="00355C5B" w:rsidRDefault="004B39B8" w:rsidP="004B39B8">
            <w:pPr>
              <w:ind w:left="0"/>
            </w:pPr>
            <w:r>
              <w:t xml:space="preserve">   8A</w:t>
            </w:r>
          </w:p>
        </w:tc>
        <w:tc>
          <w:tcPr>
            <w:tcW w:w="6658" w:type="dxa"/>
          </w:tcPr>
          <w:p w14:paraId="0374035E" w14:textId="77777777" w:rsidR="004B39B8" w:rsidRPr="00355C5B" w:rsidRDefault="004B39B8" w:rsidP="004B39B8">
            <w:pPr>
              <w:ind w:left="256"/>
            </w:pPr>
            <w:r>
              <w:t>Inventory of all Required Reports and Ad Hoc Queries</w:t>
            </w:r>
          </w:p>
        </w:tc>
        <w:tc>
          <w:tcPr>
            <w:tcW w:w="2281" w:type="dxa"/>
          </w:tcPr>
          <w:p w14:paraId="14B1DADC" w14:textId="0D199428" w:rsidR="004B39B8" w:rsidRPr="00873442" w:rsidRDefault="004B39B8" w:rsidP="004B39B8">
            <w:pPr>
              <w:ind w:left="0"/>
              <w:jc w:val="center"/>
              <w:rPr>
                <w:highlight w:val="yellow"/>
              </w:rPr>
            </w:pPr>
            <w:r w:rsidRPr="00987C09">
              <w:t>High</w:t>
            </w:r>
          </w:p>
        </w:tc>
      </w:tr>
      <w:tr w:rsidR="004B39B8" w:rsidRPr="00873442" w14:paraId="2CFF2935" w14:textId="77777777" w:rsidTr="00987C09">
        <w:trPr>
          <w:cantSplit/>
        </w:trPr>
        <w:tc>
          <w:tcPr>
            <w:tcW w:w="1743" w:type="dxa"/>
          </w:tcPr>
          <w:p w14:paraId="748630EA" w14:textId="77777777" w:rsidR="004B39B8" w:rsidRDefault="004B39B8" w:rsidP="004B39B8">
            <w:pPr>
              <w:ind w:left="0"/>
            </w:pPr>
            <w:r>
              <w:t xml:space="preserve">   8B</w:t>
            </w:r>
          </w:p>
        </w:tc>
        <w:tc>
          <w:tcPr>
            <w:tcW w:w="6658" w:type="dxa"/>
          </w:tcPr>
          <w:p w14:paraId="5B0F7F1C" w14:textId="77777777" w:rsidR="004B39B8" w:rsidRDefault="004B39B8" w:rsidP="004B39B8">
            <w:pPr>
              <w:ind w:left="256"/>
            </w:pPr>
            <w:r>
              <w:t>Confirm and Document Requirements for Reports and Ad Hoc Queries</w:t>
            </w:r>
          </w:p>
        </w:tc>
        <w:tc>
          <w:tcPr>
            <w:tcW w:w="2281" w:type="dxa"/>
          </w:tcPr>
          <w:p w14:paraId="7C8C49FB" w14:textId="436E61BB" w:rsidR="004B39B8" w:rsidRPr="00873442" w:rsidRDefault="004B39B8" w:rsidP="004B39B8">
            <w:pPr>
              <w:ind w:left="0"/>
              <w:jc w:val="center"/>
              <w:rPr>
                <w:highlight w:val="yellow"/>
              </w:rPr>
            </w:pPr>
            <w:r w:rsidRPr="00987C09">
              <w:t>High</w:t>
            </w:r>
          </w:p>
        </w:tc>
      </w:tr>
      <w:tr w:rsidR="004B39B8" w:rsidRPr="00873442" w14:paraId="2B1A6582" w14:textId="77777777" w:rsidTr="00987C09">
        <w:trPr>
          <w:cantSplit/>
        </w:trPr>
        <w:tc>
          <w:tcPr>
            <w:tcW w:w="1743" w:type="dxa"/>
          </w:tcPr>
          <w:p w14:paraId="53DC9604" w14:textId="77777777" w:rsidR="004B39B8" w:rsidRDefault="004B39B8" w:rsidP="004B39B8">
            <w:pPr>
              <w:ind w:left="0"/>
            </w:pPr>
            <w:r>
              <w:t xml:space="preserve">   8C</w:t>
            </w:r>
          </w:p>
        </w:tc>
        <w:tc>
          <w:tcPr>
            <w:tcW w:w="6658" w:type="dxa"/>
          </w:tcPr>
          <w:p w14:paraId="50740765" w14:textId="77777777" w:rsidR="004B39B8" w:rsidRDefault="004B39B8" w:rsidP="004B39B8">
            <w:pPr>
              <w:ind w:left="256"/>
            </w:pPr>
            <w:r>
              <w:t>Implement Replacement Reports and Queries</w:t>
            </w:r>
          </w:p>
        </w:tc>
        <w:tc>
          <w:tcPr>
            <w:tcW w:w="2281" w:type="dxa"/>
          </w:tcPr>
          <w:p w14:paraId="0E4C95C5" w14:textId="3BA82C92" w:rsidR="004B39B8" w:rsidRPr="00873442" w:rsidRDefault="004B39B8" w:rsidP="004B39B8">
            <w:pPr>
              <w:ind w:left="0"/>
              <w:jc w:val="center"/>
              <w:rPr>
                <w:highlight w:val="yellow"/>
              </w:rPr>
            </w:pPr>
            <w:r w:rsidRPr="00641871">
              <w:t>Critical</w:t>
            </w:r>
          </w:p>
        </w:tc>
      </w:tr>
      <w:tr w:rsidR="004B39B8" w:rsidRPr="00873442" w14:paraId="3012F636" w14:textId="77777777" w:rsidTr="00987C09">
        <w:trPr>
          <w:cantSplit/>
        </w:trPr>
        <w:tc>
          <w:tcPr>
            <w:tcW w:w="1743" w:type="dxa"/>
          </w:tcPr>
          <w:p w14:paraId="2EB4F5E2" w14:textId="77777777" w:rsidR="004B39B8" w:rsidRDefault="004B39B8" w:rsidP="004B39B8">
            <w:pPr>
              <w:ind w:left="0"/>
            </w:pPr>
            <w:r>
              <w:t>9</w:t>
            </w:r>
          </w:p>
        </w:tc>
        <w:tc>
          <w:tcPr>
            <w:tcW w:w="6658" w:type="dxa"/>
          </w:tcPr>
          <w:p w14:paraId="6F49A7C8" w14:textId="77777777" w:rsidR="004B39B8" w:rsidRDefault="004B39B8" w:rsidP="004B39B8">
            <w:pPr>
              <w:ind w:left="0"/>
            </w:pPr>
            <w:r>
              <w:t>Plan and Implement OCM</w:t>
            </w:r>
          </w:p>
        </w:tc>
        <w:tc>
          <w:tcPr>
            <w:tcW w:w="2281" w:type="dxa"/>
          </w:tcPr>
          <w:p w14:paraId="77B684D6" w14:textId="77777777" w:rsidR="004B39B8" w:rsidRPr="00873442" w:rsidRDefault="004B39B8" w:rsidP="004B39B8">
            <w:pPr>
              <w:ind w:left="0"/>
              <w:rPr>
                <w:highlight w:val="yellow"/>
              </w:rPr>
            </w:pPr>
          </w:p>
        </w:tc>
      </w:tr>
      <w:tr w:rsidR="00926F2C" w:rsidRPr="00873442" w14:paraId="01DC2BFC" w14:textId="77777777" w:rsidTr="00987C09">
        <w:trPr>
          <w:cantSplit/>
        </w:trPr>
        <w:tc>
          <w:tcPr>
            <w:tcW w:w="1743" w:type="dxa"/>
          </w:tcPr>
          <w:p w14:paraId="627C41D1" w14:textId="77777777" w:rsidR="00926F2C" w:rsidRPr="00355C5B" w:rsidRDefault="00926F2C" w:rsidP="00926F2C">
            <w:pPr>
              <w:ind w:left="0"/>
            </w:pPr>
            <w:r>
              <w:t xml:space="preserve">   9A</w:t>
            </w:r>
          </w:p>
        </w:tc>
        <w:tc>
          <w:tcPr>
            <w:tcW w:w="6658" w:type="dxa"/>
          </w:tcPr>
          <w:p w14:paraId="53F5E4B6" w14:textId="77777777" w:rsidR="00926F2C" w:rsidRPr="00355C5B" w:rsidRDefault="00926F2C" w:rsidP="00926F2C">
            <w:pPr>
              <w:ind w:left="256"/>
            </w:pPr>
            <w:r>
              <w:t>OCM Plan</w:t>
            </w:r>
          </w:p>
        </w:tc>
        <w:tc>
          <w:tcPr>
            <w:tcW w:w="2281" w:type="dxa"/>
          </w:tcPr>
          <w:p w14:paraId="1B5408A4" w14:textId="2AB5127A" w:rsidR="00926F2C" w:rsidRPr="00873442" w:rsidRDefault="00926F2C" w:rsidP="00926F2C">
            <w:pPr>
              <w:ind w:left="0"/>
              <w:jc w:val="center"/>
              <w:rPr>
                <w:highlight w:val="yellow"/>
              </w:rPr>
            </w:pPr>
            <w:r w:rsidRPr="00987C09">
              <w:t>High</w:t>
            </w:r>
          </w:p>
        </w:tc>
      </w:tr>
      <w:tr w:rsidR="00926F2C" w:rsidRPr="00873442" w14:paraId="6878352A" w14:textId="77777777" w:rsidTr="00987C09">
        <w:trPr>
          <w:cantSplit/>
        </w:trPr>
        <w:tc>
          <w:tcPr>
            <w:tcW w:w="1743" w:type="dxa"/>
          </w:tcPr>
          <w:p w14:paraId="7690230F" w14:textId="77777777" w:rsidR="00926F2C" w:rsidRDefault="00926F2C" w:rsidP="00926F2C">
            <w:pPr>
              <w:ind w:left="0"/>
            </w:pPr>
            <w:r>
              <w:t xml:space="preserve">   9B</w:t>
            </w:r>
          </w:p>
        </w:tc>
        <w:tc>
          <w:tcPr>
            <w:tcW w:w="6658" w:type="dxa"/>
          </w:tcPr>
          <w:p w14:paraId="129DDF5B" w14:textId="77777777" w:rsidR="00926F2C" w:rsidRDefault="00926F2C" w:rsidP="00926F2C">
            <w:pPr>
              <w:ind w:left="256"/>
            </w:pPr>
            <w:r>
              <w:t>Technical Documentation Stored</w:t>
            </w:r>
          </w:p>
        </w:tc>
        <w:tc>
          <w:tcPr>
            <w:tcW w:w="2281" w:type="dxa"/>
          </w:tcPr>
          <w:p w14:paraId="4D8E55A3" w14:textId="7F928A97" w:rsidR="00926F2C" w:rsidRPr="00873442" w:rsidRDefault="00926F2C" w:rsidP="00926F2C">
            <w:pPr>
              <w:ind w:left="0"/>
              <w:jc w:val="center"/>
              <w:rPr>
                <w:highlight w:val="yellow"/>
              </w:rPr>
            </w:pPr>
            <w:r w:rsidRPr="00987C09">
              <w:t>Medium</w:t>
            </w:r>
          </w:p>
        </w:tc>
      </w:tr>
      <w:tr w:rsidR="00926F2C" w:rsidRPr="00873442" w14:paraId="233DDDB4" w14:textId="77777777" w:rsidTr="00987C09">
        <w:trPr>
          <w:cantSplit/>
        </w:trPr>
        <w:tc>
          <w:tcPr>
            <w:tcW w:w="1743" w:type="dxa"/>
          </w:tcPr>
          <w:p w14:paraId="669C7C20" w14:textId="77777777" w:rsidR="00926F2C" w:rsidRDefault="00926F2C" w:rsidP="00926F2C">
            <w:pPr>
              <w:ind w:left="0"/>
            </w:pPr>
            <w:r>
              <w:t xml:space="preserve">   9C</w:t>
            </w:r>
          </w:p>
        </w:tc>
        <w:tc>
          <w:tcPr>
            <w:tcW w:w="6658" w:type="dxa"/>
          </w:tcPr>
          <w:p w14:paraId="1C52B8BC" w14:textId="77777777" w:rsidR="00926F2C" w:rsidRDefault="00926F2C" w:rsidP="00926F2C">
            <w:pPr>
              <w:ind w:left="256"/>
            </w:pPr>
            <w:r>
              <w:t>Implemented OCM Plan</w:t>
            </w:r>
          </w:p>
        </w:tc>
        <w:tc>
          <w:tcPr>
            <w:tcW w:w="2281" w:type="dxa"/>
          </w:tcPr>
          <w:p w14:paraId="2C85C75C" w14:textId="00F9970F" w:rsidR="00926F2C" w:rsidRPr="00873442" w:rsidRDefault="00926F2C" w:rsidP="00926F2C">
            <w:pPr>
              <w:ind w:left="0"/>
              <w:jc w:val="center"/>
              <w:rPr>
                <w:highlight w:val="yellow"/>
              </w:rPr>
            </w:pPr>
            <w:r w:rsidRPr="00641871">
              <w:t>Critical</w:t>
            </w:r>
          </w:p>
        </w:tc>
      </w:tr>
      <w:tr w:rsidR="00926F2C" w:rsidRPr="00873442" w14:paraId="49C6DBD9" w14:textId="77777777" w:rsidTr="00987C09">
        <w:trPr>
          <w:cantSplit/>
        </w:trPr>
        <w:tc>
          <w:tcPr>
            <w:tcW w:w="1743" w:type="dxa"/>
          </w:tcPr>
          <w:p w14:paraId="176F0E98" w14:textId="77777777" w:rsidR="00926F2C" w:rsidRDefault="00926F2C" w:rsidP="00926F2C">
            <w:pPr>
              <w:ind w:left="0"/>
            </w:pPr>
            <w:r>
              <w:t>10</w:t>
            </w:r>
          </w:p>
        </w:tc>
        <w:tc>
          <w:tcPr>
            <w:tcW w:w="6658" w:type="dxa"/>
          </w:tcPr>
          <w:p w14:paraId="1A8FACA5" w14:textId="77777777" w:rsidR="00926F2C" w:rsidRDefault="00926F2C" w:rsidP="00926F2C">
            <w:pPr>
              <w:ind w:left="0"/>
            </w:pPr>
            <w:r>
              <w:t>Implement Automated Testing Solution</w:t>
            </w:r>
          </w:p>
        </w:tc>
        <w:tc>
          <w:tcPr>
            <w:tcW w:w="2281" w:type="dxa"/>
          </w:tcPr>
          <w:p w14:paraId="14DEFE1A" w14:textId="77777777" w:rsidR="00926F2C" w:rsidRPr="00873442" w:rsidRDefault="00926F2C" w:rsidP="00926F2C">
            <w:pPr>
              <w:ind w:left="0"/>
              <w:rPr>
                <w:highlight w:val="yellow"/>
              </w:rPr>
            </w:pPr>
          </w:p>
        </w:tc>
      </w:tr>
      <w:tr w:rsidR="00926F2C" w:rsidRPr="00873442" w14:paraId="431EC33E" w14:textId="77777777" w:rsidTr="00987C09">
        <w:trPr>
          <w:cantSplit/>
        </w:trPr>
        <w:tc>
          <w:tcPr>
            <w:tcW w:w="1743" w:type="dxa"/>
          </w:tcPr>
          <w:p w14:paraId="6CECFAB5" w14:textId="77777777" w:rsidR="00926F2C" w:rsidRDefault="00926F2C" w:rsidP="00926F2C">
            <w:pPr>
              <w:ind w:left="0"/>
            </w:pPr>
            <w:r>
              <w:t xml:space="preserve">   10A</w:t>
            </w:r>
          </w:p>
        </w:tc>
        <w:tc>
          <w:tcPr>
            <w:tcW w:w="6658" w:type="dxa"/>
          </w:tcPr>
          <w:p w14:paraId="5A5ADAA7" w14:textId="77777777" w:rsidR="00926F2C" w:rsidRDefault="00926F2C" w:rsidP="00926F2C">
            <w:pPr>
              <w:ind w:left="256"/>
            </w:pPr>
            <w:r>
              <w:t>Automated Testing Solution Test Plan</w:t>
            </w:r>
          </w:p>
        </w:tc>
        <w:tc>
          <w:tcPr>
            <w:tcW w:w="2281" w:type="dxa"/>
          </w:tcPr>
          <w:p w14:paraId="6A831DE5" w14:textId="68F40B65" w:rsidR="00926F2C" w:rsidRPr="00873442" w:rsidRDefault="00926F2C" w:rsidP="00926F2C">
            <w:pPr>
              <w:ind w:left="0"/>
              <w:jc w:val="center"/>
              <w:rPr>
                <w:highlight w:val="yellow"/>
              </w:rPr>
            </w:pPr>
            <w:r w:rsidRPr="00987C09">
              <w:t>High</w:t>
            </w:r>
          </w:p>
        </w:tc>
      </w:tr>
      <w:tr w:rsidR="00926F2C" w:rsidRPr="00873442" w14:paraId="4D5F4922" w14:textId="77777777" w:rsidTr="00987C09">
        <w:trPr>
          <w:cantSplit/>
        </w:trPr>
        <w:tc>
          <w:tcPr>
            <w:tcW w:w="1743" w:type="dxa"/>
          </w:tcPr>
          <w:p w14:paraId="0E34EE54" w14:textId="77777777" w:rsidR="00926F2C" w:rsidRPr="0053560A" w:rsidRDefault="00926F2C" w:rsidP="00926F2C">
            <w:pPr>
              <w:ind w:left="0"/>
            </w:pPr>
            <w:r>
              <w:t xml:space="preserve">   10B</w:t>
            </w:r>
          </w:p>
        </w:tc>
        <w:tc>
          <w:tcPr>
            <w:tcW w:w="6658" w:type="dxa"/>
          </w:tcPr>
          <w:p w14:paraId="1FA7C6F6" w14:textId="77777777" w:rsidR="00926F2C" w:rsidRPr="00355C5B" w:rsidRDefault="00926F2C" w:rsidP="00926F2C">
            <w:pPr>
              <w:ind w:left="256"/>
            </w:pPr>
            <w:r>
              <w:t>Automated Testing Solution Documentation</w:t>
            </w:r>
          </w:p>
        </w:tc>
        <w:tc>
          <w:tcPr>
            <w:tcW w:w="2281" w:type="dxa"/>
          </w:tcPr>
          <w:p w14:paraId="028898EC" w14:textId="756619F3" w:rsidR="00926F2C" w:rsidRPr="00873442" w:rsidRDefault="00926F2C" w:rsidP="00926F2C">
            <w:pPr>
              <w:ind w:left="0"/>
              <w:jc w:val="center"/>
              <w:rPr>
                <w:highlight w:val="yellow"/>
              </w:rPr>
            </w:pPr>
            <w:r w:rsidRPr="00987C09">
              <w:t>High</w:t>
            </w:r>
          </w:p>
        </w:tc>
      </w:tr>
      <w:tr w:rsidR="00926F2C" w:rsidRPr="00873442" w14:paraId="2B23F2DA" w14:textId="77777777" w:rsidTr="00987C09">
        <w:trPr>
          <w:cantSplit/>
        </w:trPr>
        <w:tc>
          <w:tcPr>
            <w:tcW w:w="1743" w:type="dxa"/>
          </w:tcPr>
          <w:p w14:paraId="5B858E6B" w14:textId="77777777" w:rsidR="00926F2C" w:rsidRDefault="00926F2C" w:rsidP="00926F2C">
            <w:pPr>
              <w:ind w:left="0"/>
            </w:pPr>
            <w:r>
              <w:t xml:space="preserve">   10C</w:t>
            </w:r>
          </w:p>
        </w:tc>
        <w:tc>
          <w:tcPr>
            <w:tcW w:w="6658" w:type="dxa"/>
          </w:tcPr>
          <w:p w14:paraId="2DB59363" w14:textId="77777777" w:rsidR="00926F2C" w:rsidRPr="00FA73F0" w:rsidRDefault="00926F2C" w:rsidP="00926F2C">
            <w:pPr>
              <w:ind w:left="256"/>
            </w:pPr>
            <w:r>
              <w:t>Implemented Automated Testing Solution</w:t>
            </w:r>
          </w:p>
        </w:tc>
        <w:tc>
          <w:tcPr>
            <w:tcW w:w="2281" w:type="dxa"/>
          </w:tcPr>
          <w:p w14:paraId="29E401C0" w14:textId="5D0526DF" w:rsidR="00926F2C" w:rsidRPr="00873442" w:rsidRDefault="00926F2C" w:rsidP="00926F2C">
            <w:pPr>
              <w:ind w:left="0"/>
              <w:jc w:val="center"/>
              <w:rPr>
                <w:highlight w:val="yellow"/>
              </w:rPr>
            </w:pPr>
            <w:r w:rsidRPr="00641871">
              <w:t>Critical</w:t>
            </w:r>
          </w:p>
        </w:tc>
      </w:tr>
      <w:tr w:rsidR="00926F2C" w:rsidRPr="00873442" w14:paraId="7C08E901" w14:textId="77777777" w:rsidTr="00987C09">
        <w:trPr>
          <w:cantSplit/>
        </w:trPr>
        <w:tc>
          <w:tcPr>
            <w:tcW w:w="1743" w:type="dxa"/>
          </w:tcPr>
          <w:p w14:paraId="1D284F58" w14:textId="77777777" w:rsidR="00926F2C" w:rsidRDefault="00926F2C" w:rsidP="00926F2C">
            <w:pPr>
              <w:ind w:left="0"/>
            </w:pPr>
            <w:r w:rsidRPr="00355C5B">
              <w:t>1</w:t>
            </w:r>
            <w:r>
              <w:t>1</w:t>
            </w:r>
          </w:p>
        </w:tc>
        <w:tc>
          <w:tcPr>
            <w:tcW w:w="6658" w:type="dxa"/>
          </w:tcPr>
          <w:p w14:paraId="2E7894A6" w14:textId="77777777" w:rsidR="00926F2C" w:rsidRDefault="00926F2C" w:rsidP="00926F2C">
            <w:pPr>
              <w:ind w:left="0"/>
            </w:pPr>
            <w:r>
              <w:t>Conduct System Testing</w:t>
            </w:r>
          </w:p>
        </w:tc>
        <w:tc>
          <w:tcPr>
            <w:tcW w:w="2281" w:type="dxa"/>
          </w:tcPr>
          <w:p w14:paraId="62EB6830" w14:textId="77777777" w:rsidR="00926F2C" w:rsidRPr="00873442" w:rsidRDefault="00926F2C" w:rsidP="00926F2C">
            <w:pPr>
              <w:ind w:left="0"/>
              <w:rPr>
                <w:highlight w:val="yellow"/>
              </w:rPr>
            </w:pPr>
          </w:p>
        </w:tc>
      </w:tr>
      <w:tr w:rsidR="00926F2C" w:rsidRPr="00873442" w14:paraId="2721358B" w14:textId="77777777" w:rsidTr="00987C09">
        <w:trPr>
          <w:cantSplit/>
        </w:trPr>
        <w:tc>
          <w:tcPr>
            <w:tcW w:w="1743" w:type="dxa"/>
          </w:tcPr>
          <w:p w14:paraId="7CDFB6F5" w14:textId="77777777" w:rsidR="00926F2C" w:rsidRPr="00355C5B" w:rsidRDefault="00926F2C" w:rsidP="00926F2C">
            <w:pPr>
              <w:ind w:left="0"/>
            </w:pPr>
            <w:r>
              <w:t xml:space="preserve">   11A</w:t>
            </w:r>
          </w:p>
        </w:tc>
        <w:tc>
          <w:tcPr>
            <w:tcW w:w="6658" w:type="dxa"/>
          </w:tcPr>
          <w:p w14:paraId="2D7ACEEA" w14:textId="1EACC392" w:rsidR="00926F2C" w:rsidRPr="00355C5B" w:rsidRDefault="00ED2EEB" w:rsidP="00926F2C">
            <w:pPr>
              <w:ind w:left="256"/>
            </w:pPr>
            <w:r>
              <w:t>Updated</w:t>
            </w:r>
            <w:r w:rsidR="00926F2C">
              <w:t xml:space="preserve"> Test Plan</w:t>
            </w:r>
          </w:p>
        </w:tc>
        <w:tc>
          <w:tcPr>
            <w:tcW w:w="2281" w:type="dxa"/>
          </w:tcPr>
          <w:p w14:paraId="5B60AEDD" w14:textId="2404DF09" w:rsidR="00926F2C" w:rsidRPr="00873442" w:rsidRDefault="00926F2C" w:rsidP="00926F2C">
            <w:pPr>
              <w:ind w:left="0"/>
              <w:jc w:val="center"/>
              <w:rPr>
                <w:highlight w:val="yellow"/>
              </w:rPr>
            </w:pPr>
            <w:r w:rsidRPr="00987C09">
              <w:t>High</w:t>
            </w:r>
          </w:p>
        </w:tc>
      </w:tr>
      <w:tr w:rsidR="00926F2C" w:rsidRPr="00873442" w14:paraId="502D205A" w14:textId="77777777" w:rsidTr="00987C09">
        <w:trPr>
          <w:cantSplit/>
        </w:trPr>
        <w:tc>
          <w:tcPr>
            <w:tcW w:w="1743" w:type="dxa"/>
          </w:tcPr>
          <w:p w14:paraId="400FE67E" w14:textId="77777777" w:rsidR="00926F2C" w:rsidRDefault="00926F2C" w:rsidP="00926F2C">
            <w:pPr>
              <w:ind w:left="0"/>
            </w:pPr>
            <w:r>
              <w:t xml:space="preserve">   11B</w:t>
            </w:r>
          </w:p>
        </w:tc>
        <w:tc>
          <w:tcPr>
            <w:tcW w:w="6658" w:type="dxa"/>
          </w:tcPr>
          <w:p w14:paraId="3D0A572D" w14:textId="77777777" w:rsidR="00926F2C" w:rsidRDefault="00926F2C" w:rsidP="00926F2C">
            <w:pPr>
              <w:ind w:left="256"/>
            </w:pPr>
            <w:r>
              <w:t>Product Quality Metrics for Testing</w:t>
            </w:r>
          </w:p>
        </w:tc>
        <w:tc>
          <w:tcPr>
            <w:tcW w:w="2281" w:type="dxa"/>
          </w:tcPr>
          <w:p w14:paraId="50BF264C" w14:textId="69ED2A1E" w:rsidR="00926F2C" w:rsidRPr="00873442" w:rsidRDefault="00926F2C" w:rsidP="00926F2C">
            <w:pPr>
              <w:ind w:left="0"/>
              <w:jc w:val="center"/>
              <w:rPr>
                <w:highlight w:val="yellow"/>
              </w:rPr>
            </w:pPr>
            <w:r w:rsidRPr="00987C09">
              <w:t>High</w:t>
            </w:r>
          </w:p>
        </w:tc>
      </w:tr>
      <w:tr w:rsidR="00926F2C" w:rsidRPr="00873442" w14:paraId="5DE0A489" w14:textId="77777777" w:rsidTr="00987C09">
        <w:trPr>
          <w:cantSplit/>
        </w:trPr>
        <w:tc>
          <w:tcPr>
            <w:tcW w:w="1743" w:type="dxa"/>
          </w:tcPr>
          <w:p w14:paraId="6E3F085D" w14:textId="77777777" w:rsidR="00926F2C" w:rsidRDefault="00926F2C" w:rsidP="00926F2C">
            <w:pPr>
              <w:ind w:left="0"/>
            </w:pPr>
            <w:r>
              <w:t xml:space="preserve">   11C</w:t>
            </w:r>
          </w:p>
        </w:tc>
        <w:tc>
          <w:tcPr>
            <w:tcW w:w="6658" w:type="dxa"/>
          </w:tcPr>
          <w:p w14:paraId="0330D8AA" w14:textId="77777777" w:rsidR="00926F2C" w:rsidRDefault="00926F2C" w:rsidP="00926F2C">
            <w:pPr>
              <w:ind w:left="256"/>
            </w:pPr>
            <w:r>
              <w:t>Test Cases and Scripts</w:t>
            </w:r>
          </w:p>
        </w:tc>
        <w:tc>
          <w:tcPr>
            <w:tcW w:w="2281" w:type="dxa"/>
          </w:tcPr>
          <w:p w14:paraId="03F4B56C" w14:textId="13E8541C" w:rsidR="00926F2C" w:rsidRPr="00873442" w:rsidRDefault="00926F2C" w:rsidP="00926F2C">
            <w:pPr>
              <w:ind w:left="0"/>
              <w:jc w:val="center"/>
              <w:rPr>
                <w:highlight w:val="yellow"/>
              </w:rPr>
            </w:pPr>
            <w:r w:rsidRPr="00987C09">
              <w:t>High</w:t>
            </w:r>
          </w:p>
        </w:tc>
      </w:tr>
      <w:tr w:rsidR="00926F2C" w:rsidRPr="00873442" w14:paraId="4C01ADDB" w14:textId="77777777" w:rsidTr="00987C09">
        <w:trPr>
          <w:cantSplit/>
        </w:trPr>
        <w:tc>
          <w:tcPr>
            <w:tcW w:w="1743" w:type="dxa"/>
          </w:tcPr>
          <w:p w14:paraId="0E15045D" w14:textId="77777777" w:rsidR="00926F2C" w:rsidRDefault="00926F2C" w:rsidP="00926F2C">
            <w:pPr>
              <w:ind w:left="0"/>
            </w:pPr>
            <w:r>
              <w:t xml:space="preserve">   11D</w:t>
            </w:r>
          </w:p>
        </w:tc>
        <w:tc>
          <w:tcPr>
            <w:tcW w:w="6658" w:type="dxa"/>
          </w:tcPr>
          <w:p w14:paraId="57551DDA" w14:textId="77777777" w:rsidR="00926F2C" w:rsidRDefault="00926F2C" w:rsidP="00926F2C">
            <w:pPr>
              <w:ind w:left="256"/>
            </w:pPr>
            <w:r>
              <w:t>UI System is Tested to Meet Agreed-Upon Quality Metrics</w:t>
            </w:r>
          </w:p>
        </w:tc>
        <w:tc>
          <w:tcPr>
            <w:tcW w:w="2281" w:type="dxa"/>
          </w:tcPr>
          <w:p w14:paraId="77672BA1" w14:textId="52EF5F3B" w:rsidR="00926F2C" w:rsidRPr="00873442" w:rsidRDefault="00926F2C" w:rsidP="00926F2C">
            <w:pPr>
              <w:ind w:left="0"/>
              <w:jc w:val="center"/>
              <w:rPr>
                <w:highlight w:val="yellow"/>
              </w:rPr>
            </w:pPr>
            <w:r w:rsidRPr="00987C09">
              <w:t>High</w:t>
            </w:r>
          </w:p>
        </w:tc>
      </w:tr>
      <w:tr w:rsidR="00926F2C" w:rsidRPr="00873442" w14:paraId="22461B96" w14:textId="77777777" w:rsidTr="00987C09">
        <w:trPr>
          <w:cantSplit/>
        </w:trPr>
        <w:tc>
          <w:tcPr>
            <w:tcW w:w="1743" w:type="dxa"/>
          </w:tcPr>
          <w:p w14:paraId="777799D3" w14:textId="77777777" w:rsidR="00926F2C" w:rsidRDefault="00926F2C" w:rsidP="00926F2C">
            <w:pPr>
              <w:ind w:left="0"/>
            </w:pPr>
            <w:r>
              <w:t xml:space="preserve">   11E</w:t>
            </w:r>
          </w:p>
        </w:tc>
        <w:tc>
          <w:tcPr>
            <w:tcW w:w="6658" w:type="dxa"/>
          </w:tcPr>
          <w:p w14:paraId="425529BD" w14:textId="77777777" w:rsidR="00926F2C" w:rsidRDefault="00926F2C" w:rsidP="00926F2C">
            <w:pPr>
              <w:ind w:left="256"/>
            </w:pPr>
            <w:r>
              <w:t>UI System is Tested to proceed through review gates</w:t>
            </w:r>
          </w:p>
        </w:tc>
        <w:tc>
          <w:tcPr>
            <w:tcW w:w="2281" w:type="dxa"/>
          </w:tcPr>
          <w:p w14:paraId="582F1BB0" w14:textId="442548F4" w:rsidR="00926F2C" w:rsidRPr="00873442" w:rsidRDefault="00926F2C" w:rsidP="00926F2C">
            <w:pPr>
              <w:ind w:left="0"/>
              <w:jc w:val="center"/>
              <w:rPr>
                <w:highlight w:val="yellow"/>
              </w:rPr>
            </w:pPr>
            <w:r w:rsidRPr="00641871">
              <w:t>Critical</w:t>
            </w:r>
          </w:p>
        </w:tc>
      </w:tr>
      <w:tr w:rsidR="00926F2C" w:rsidRPr="00873442" w14:paraId="6D1CB3C8" w14:textId="77777777" w:rsidTr="00987C09">
        <w:trPr>
          <w:cantSplit/>
        </w:trPr>
        <w:tc>
          <w:tcPr>
            <w:tcW w:w="1743" w:type="dxa"/>
          </w:tcPr>
          <w:p w14:paraId="769D0B80" w14:textId="77777777" w:rsidR="00926F2C" w:rsidRDefault="00926F2C" w:rsidP="00926F2C">
            <w:pPr>
              <w:ind w:left="0"/>
            </w:pPr>
            <w:r>
              <w:t>12</w:t>
            </w:r>
          </w:p>
        </w:tc>
        <w:tc>
          <w:tcPr>
            <w:tcW w:w="6658" w:type="dxa"/>
          </w:tcPr>
          <w:p w14:paraId="01CF2EAE" w14:textId="77777777" w:rsidR="00926F2C" w:rsidRDefault="00926F2C" w:rsidP="00926F2C">
            <w:pPr>
              <w:ind w:left="0"/>
            </w:pPr>
            <w:r>
              <w:t>Create and Conduct Training</w:t>
            </w:r>
          </w:p>
        </w:tc>
        <w:tc>
          <w:tcPr>
            <w:tcW w:w="2281" w:type="dxa"/>
          </w:tcPr>
          <w:p w14:paraId="043E8263" w14:textId="77777777" w:rsidR="00926F2C" w:rsidRPr="00873442" w:rsidRDefault="00926F2C" w:rsidP="00926F2C">
            <w:pPr>
              <w:ind w:left="0"/>
              <w:jc w:val="center"/>
              <w:rPr>
                <w:highlight w:val="yellow"/>
              </w:rPr>
            </w:pPr>
          </w:p>
        </w:tc>
      </w:tr>
      <w:tr w:rsidR="00926F2C" w:rsidRPr="00873442" w14:paraId="740F9C97" w14:textId="77777777" w:rsidTr="00987C09">
        <w:trPr>
          <w:cantSplit/>
        </w:trPr>
        <w:tc>
          <w:tcPr>
            <w:tcW w:w="1743" w:type="dxa"/>
          </w:tcPr>
          <w:p w14:paraId="0129E9C0" w14:textId="77777777" w:rsidR="00926F2C" w:rsidRDefault="00926F2C" w:rsidP="00926F2C">
            <w:pPr>
              <w:ind w:left="0"/>
            </w:pPr>
            <w:r>
              <w:lastRenderedPageBreak/>
              <w:t xml:space="preserve">   12A</w:t>
            </w:r>
          </w:p>
        </w:tc>
        <w:tc>
          <w:tcPr>
            <w:tcW w:w="6658" w:type="dxa"/>
          </w:tcPr>
          <w:p w14:paraId="3FF916E2" w14:textId="77777777" w:rsidR="00926F2C" w:rsidRPr="00355C5B" w:rsidRDefault="00926F2C" w:rsidP="00926F2C">
            <w:pPr>
              <w:ind w:left="256"/>
            </w:pPr>
            <w:r>
              <w:t>Training Environment</w:t>
            </w:r>
          </w:p>
        </w:tc>
        <w:tc>
          <w:tcPr>
            <w:tcW w:w="2281" w:type="dxa"/>
          </w:tcPr>
          <w:p w14:paraId="51EFB56B" w14:textId="5E26BEB4" w:rsidR="00926F2C" w:rsidRPr="00873442" w:rsidRDefault="00926F2C" w:rsidP="00926F2C">
            <w:pPr>
              <w:ind w:left="0"/>
              <w:jc w:val="center"/>
              <w:rPr>
                <w:highlight w:val="yellow"/>
              </w:rPr>
            </w:pPr>
            <w:r w:rsidRPr="00987C09">
              <w:t>High</w:t>
            </w:r>
          </w:p>
        </w:tc>
      </w:tr>
      <w:tr w:rsidR="00926F2C" w:rsidRPr="00873442" w14:paraId="064DAE20" w14:textId="77777777" w:rsidTr="00987C09">
        <w:trPr>
          <w:cantSplit/>
        </w:trPr>
        <w:tc>
          <w:tcPr>
            <w:tcW w:w="1743" w:type="dxa"/>
          </w:tcPr>
          <w:p w14:paraId="15F73B14" w14:textId="77777777" w:rsidR="00926F2C" w:rsidRDefault="00926F2C" w:rsidP="00926F2C">
            <w:pPr>
              <w:ind w:left="0"/>
            </w:pPr>
            <w:r>
              <w:t xml:space="preserve">   12B</w:t>
            </w:r>
          </w:p>
        </w:tc>
        <w:tc>
          <w:tcPr>
            <w:tcW w:w="6658" w:type="dxa"/>
          </w:tcPr>
          <w:p w14:paraId="48A2293C" w14:textId="77777777" w:rsidR="00926F2C" w:rsidRPr="00355C5B" w:rsidRDefault="00926F2C" w:rsidP="00926F2C">
            <w:pPr>
              <w:ind w:left="256"/>
            </w:pPr>
            <w:r>
              <w:t>Training Plans for each IT and Program Area</w:t>
            </w:r>
          </w:p>
        </w:tc>
        <w:tc>
          <w:tcPr>
            <w:tcW w:w="2281" w:type="dxa"/>
          </w:tcPr>
          <w:p w14:paraId="1014BAC4" w14:textId="0F6EED04" w:rsidR="00926F2C" w:rsidRPr="00873442" w:rsidRDefault="00926F2C" w:rsidP="00926F2C">
            <w:pPr>
              <w:ind w:left="0"/>
              <w:jc w:val="center"/>
              <w:rPr>
                <w:highlight w:val="yellow"/>
              </w:rPr>
            </w:pPr>
            <w:r w:rsidRPr="00987C09">
              <w:t>High</w:t>
            </w:r>
          </w:p>
        </w:tc>
      </w:tr>
      <w:tr w:rsidR="00926F2C" w:rsidRPr="00873442" w14:paraId="02E6A31F" w14:textId="77777777" w:rsidTr="00987C09">
        <w:trPr>
          <w:cantSplit/>
        </w:trPr>
        <w:tc>
          <w:tcPr>
            <w:tcW w:w="1743" w:type="dxa"/>
          </w:tcPr>
          <w:p w14:paraId="6D1DA896" w14:textId="77777777" w:rsidR="00926F2C" w:rsidRDefault="00926F2C" w:rsidP="00926F2C">
            <w:pPr>
              <w:ind w:left="0"/>
            </w:pPr>
            <w:r>
              <w:t xml:space="preserve">   12C</w:t>
            </w:r>
          </w:p>
        </w:tc>
        <w:tc>
          <w:tcPr>
            <w:tcW w:w="6658" w:type="dxa"/>
          </w:tcPr>
          <w:p w14:paraId="25D96DB7" w14:textId="77777777" w:rsidR="00926F2C" w:rsidRPr="00355C5B" w:rsidRDefault="00926F2C" w:rsidP="00926F2C">
            <w:pPr>
              <w:ind w:left="256"/>
            </w:pPr>
            <w:r>
              <w:t>Training Materials</w:t>
            </w:r>
          </w:p>
        </w:tc>
        <w:tc>
          <w:tcPr>
            <w:tcW w:w="2281" w:type="dxa"/>
          </w:tcPr>
          <w:p w14:paraId="2152DCA0" w14:textId="2D875BF7" w:rsidR="00926F2C" w:rsidRPr="00873442" w:rsidRDefault="00926F2C" w:rsidP="00926F2C">
            <w:pPr>
              <w:ind w:left="0"/>
              <w:jc w:val="center"/>
              <w:rPr>
                <w:highlight w:val="yellow"/>
              </w:rPr>
            </w:pPr>
            <w:r w:rsidRPr="00987C09">
              <w:t>High</w:t>
            </w:r>
          </w:p>
        </w:tc>
      </w:tr>
      <w:tr w:rsidR="00926F2C" w:rsidRPr="00873442" w14:paraId="03E1FB96" w14:textId="77777777" w:rsidTr="00987C09">
        <w:trPr>
          <w:cantSplit/>
        </w:trPr>
        <w:tc>
          <w:tcPr>
            <w:tcW w:w="1743" w:type="dxa"/>
          </w:tcPr>
          <w:p w14:paraId="650C8A31" w14:textId="77777777" w:rsidR="00926F2C" w:rsidRDefault="00926F2C" w:rsidP="00926F2C">
            <w:pPr>
              <w:ind w:left="0"/>
            </w:pPr>
            <w:r>
              <w:t xml:space="preserve">   12D</w:t>
            </w:r>
          </w:p>
        </w:tc>
        <w:tc>
          <w:tcPr>
            <w:tcW w:w="6658" w:type="dxa"/>
          </w:tcPr>
          <w:p w14:paraId="2D1E60E8" w14:textId="77777777" w:rsidR="00926F2C" w:rsidRPr="00355C5B" w:rsidRDefault="00926F2C" w:rsidP="00926F2C">
            <w:pPr>
              <w:ind w:left="256"/>
            </w:pPr>
            <w:r>
              <w:t>Training C</w:t>
            </w:r>
            <w:r w:rsidRPr="002B518D">
              <w:t>ourses</w:t>
            </w:r>
          </w:p>
        </w:tc>
        <w:tc>
          <w:tcPr>
            <w:tcW w:w="2281" w:type="dxa"/>
          </w:tcPr>
          <w:p w14:paraId="01786C5E" w14:textId="3CDFDE55" w:rsidR="00926F2C" w:rsidRPr="00873442" w:rsidRDefault="00926F2C" w:rsidP="00926F2C">
            <w:pPr>
              <w:ind w:left="0"/>
              <w:jc w:val="center"/>
              <w:rPr>
                <w:highlight w:val="yellow"/>
              </w:rPr>
            </w:pPr>
            <w:r w:rsidRPr="00987C09">
              <w:t>High</w:t>
            </w:r>
          </w:p>
        </w:tc>
      </w:tr>
      <w:tr w:rsidR="00926F2C" w:rsidRPr="00873442" w14:paraId="6041D07C" w14:textId="77777777" w:rsidTr="00987C09">
        <w:trPr>
          <w:cantSplit/>
        </w:trPr>
        <w:tc>
          <w:tcPr>
            <w:tcW w:w="1743" w:type="dxa"/>
          </w:tcPr>
          <w:p w14:paraId="0F7D6E22" w14:textId="77777777" w:rsidR="00926F2C" w:rsidRDefault="00926F2C" w:rsidP="00926F2C">
            <w:pPr>
              <w:ind w:left="0"/>
            </w:pPr>
            <w:r>
              <w:t xml:space="preserve">   12E</w:t>
            </w:r>
          </w:p>
        </w:tc>
        <w:tc>
          <w:tcPr>
            <w:tcW w:w="6658" w:type="dxa"/>
          </w:tcPr>
          <w:p w14:paraId="59F6B5A5" w14:textId="77777777" w:rsidR="00926F2C" w:rsidRPr="00355C5B" w:rsidRDefault="00926F2C" w:rsidP="00926F2C">
            <w:pPr>
              <w:ind w:left="256"/>
            </w:pPr>
            <w:r>
              <w:t>Completed Training</w:t>
            </w:r>
          </w:p>
        </w:tc>
        <w:tc>
          <w:tcPr>
            <w:tcW w:w="2281" w:type="dxa"/>
          </w:tcPr>
          <w:p w14:paraId="68A36AB7" w14:textId="7BCFF201" w:rsidR="00926F2C" w:rsidRPr="00873442" w:rsidRDefault="00926F2C" w:rsidP="00926F2C">
            <w:pPr>
              <w:ind w:left="0"/>
              <w:jc w:val="center"/>
              <w:rPr>
                <w:highlight w:val="yellow"/>
              </w:rPr>
            </w:pPr>
            <w:r w:rsidRPr="00641871">
              <w:t>Critical</w:t>
            </w:r>
          </w:p>
        </w:tc>
      </w:tr>
      <w:tr w:rsidR="00926F2C" w:rsidRPr="00873442" w14:paraId="635D8AF0" w14:textId="77777777" w:rsidTr="00987C09">
        <w:trPr>
          <w:cantSplit/>
        </w:trPr>
        <w:tc>
          <w:tcPr>
            <w:tcW w:w="1743" w:type="dxa"/>
          </w:tcPr>
          <w:p w14:paraId="57E8155D" w14:textId="77777777" w:rsidR="00926F2C" w:rsidRDefault="00926F2C" w:rsidP="00926F2C">
            <w:pPr>
              <w:ind w:left="0"/>
            </w:pPr>
            <w:r>
              <w:t xml:space="preserve">   12F</w:t>
            </w:r>
          </w:p>
        </w:tc>
        <w:tc>
          <w:tcPr>
            <w:tcW w:w="6658" w:type="dxa"/>
          </w:tcPr>
          <w:p w14:paraId="7D887556" w14:textId="77777777" w:rsidR="00926F2C" w:rsidRPr="00355C5B" w:rsidRDefault="00926F2C" w:rsidP="00926F2C">
            <w:pPr>
              <w:ind w:left="256"/>
            </w:pPr>
            <w:r>
              <w:t>Guides and Desk Aids</w:t>
            </w:r>
          </w:p>
        </w:tc>
        <w:tc>
          <w:tcPr>
            <w:tcW w:w="2281" w:type="dxa"/>
          </w:tcPr>
          <w:p w14:paraId="770A5B4D" w14:textId="3A04D1B5" w:rsidR="00926F2C" w:rsidRPr="00873442" w:rsidRDefault="00926F2C" w:rsidP="00926F2C">
            <w:pPr>
              <w:ind w:left="0"/>
              <w:jc w:val="center"/>
              <w:rPr>
                <w:highlight w:val="yellow"/>
              </w:rPr>
            </w:pPr>
            <w:r w:rsidRPr="00987C09">
              <w:t>High</w:t>
            </w:r>
          </w:p>
        </w:tc>
      </w:tr>
      <w:tr w:rsidR="00926F2C" w:rsidRPr="00873442" w14:paraId="746BEF87" w14:textId="77777777" w:rsidTr="00987C09">
        <w:trPr>
          <w:cantSplit/>
        </w:trPr>
        <w:tc>
          <w:tcPr>
            <w:tcW w:w="1743" w:type="dxa"/>
          </w:tcPr>
          <w:p w14:paraId="16A7FDAB" w14:textId="77777777" w:rsidR="00926F2C" w:rsidRDefault="00926F2C" w:rsidP="00926F2C">
            <w:pPr>
              <w:ind w:left="0"/>
            </w:pPr>
            <w:r>
              <w:t xml:space="preserve">   12G</w:t>
            </w:r>
          </w:p>
        </w:tc>
        <w:tc>
          <w:tcPr>
            <w:tcW w:w="6658" w:type="dxa"/>
          </w:tcPr>
          <w:p w14:paraId="45BB52DA" w14:textId="77777777" w:rsidR="00926F2C" w:rsidRPr="00355C5B" w:rsidRDefault="00926F2C" w:rsidP="00926F2C">
            <w:pPr>
              <w:ind w:left="256"/>
            </w:pPr>
            <w:r>
              <w:t>End User Webinars and Video Training</w:t>
            </w:r>
          </w:p>
        </w:tc>
        <w:tc>
          <w:tcPr>
            <w:tcW w:w="2281" w:type="dxa"/>
          </w:tcPr>
          <w:p w14:paraId="3E6644D8" w14:textId="65EDDF3F" w:rsidR="00926F2C" w:rsidRPr="00873442" w:rsidRDefault="00926F2C" w:rsidP="00926F2C">
            <w:pPr>
              <w:ind w:left="0"/>
              <w:jc w:val="center"/>
              <w:rPr>
                <w:highlight w:val="yellow"/>
              </w:rPr>
            </w:pPr>
            <w:r w:rsidRPr="00987C09">
              <w:t>High</w:t>
            </w:r>
          </w:p>
        </w:tc>
      </w:tr>
      <w:tr w:rsidR="00926F2C" w:rsidRPr="00873442" w14:paraId="3D317AD3" w14:textId="77777777" w:rsidTr="00987C09">
        <w:trPr>
          <w:cantSplit/>
        </w:trPr>
        <w:tc>
          <w:tcPr>
            <w:tcW w:w="1743" w:type="dxa"/>
          </w:tcPr>
          <w:p w14:paraId="6BD0FECF" w14:textId="77777777" w:rsidR="00926F2C" w:rsidRDefault="00926F2C" w:rsidP="00926F2C">
            <w:pPr>
              <w:ind w:left="0"/>
            </w:pPr>
            <w:r>
              <w:t xml:space="preserve">   12H</w:t>
            </w:r>
          </w:p>
        </w:tc>
        <w:tc>
          <w:tcPr>
            <w:tcW w:w="6658" w:type="dxa"/>
          </w:tcPr>
          <w:p w14:paraId="4BCC3346" w14:textId="77777777" w:rsidR="00926F2C" w:rsidRPr="00355C5B" w:rsidRDefault="00926F2C" w:rsidP="00926F2C">
            <w:pPr>
              <w:ind w:left="256"/>
            </w:pPr>
            <w:r>
              <w:t>Knowledge Transfer Plan</w:t>
            </w:r>
          </w:p>
        </w:tc>
        <w:tc>
          <w:tcPr>
            <w:tcW w:w="2281" w:type="dxa"/>
          </w:tcPr>
          <w:p w14:paraId="73D7E9CE" w14:textId="719A7390" w:rsidR="00926F2C" w:rsidRPr="00873442" w:rsidRDefault="00926F2C" w:rsidP="00926F2C">
            <w:pPr>
              <w:ind w:left="0"/>
              <w:jc w:val="center"/>
              <w:rPr>
                <w:highlight w:val="yellow"/>
              </w:rPr>
            </w:pPr>
            <w:r w:rsidRPr="00987C09">
              <w:t>High</w:t>
            </w:r>
          </w:p>
        </w:tc>
      </w:tr>
      <w:tr w:rsidR="00926F2C" w:rsidRPr="00873442" w14:paraId="48D9A67A" w14:textId="77777777" w:rsidTr="00987C09">
        <w:trPr>
          <w:cantSplit/>
        </w:trPr>
        <w:tc>
          <w:tcPr>
            <w:tcW w:w="1743" w:type="dxa"/>
          </w:tcPr>
          <w:p w14:paraId="2E41B537" w14:textId="77777777" w:rsidR="00926F2C" w:rsidRDefault="00926F2C" w:rsidP="00926F2C">
            <w:pPr>
              <w:ind w:left="0"/>
            </w:pPr>
            <w:r>
              <w:t xml:space="preserve">   12I</w:t>
            </w:r>
          </w:p>
        </w:tc>
        <w:tc>
          <w:tcPr>
            <w:tcW w:w="6658" w:type="dxa"/>
          </w:tcPr>
          <w:p w14:paraId="29D1BA2D" w14:textId="77777777" w:rsidR="00926F2C" w:rsidRPr="00355C5B" w:rsidRDefault="00926F2C" w:rsidP="00926F2C">
            <w:pPr>
              <w:ind w:left="256"/>
            </w:pPr>
            <w:r>
              <w:t>Completed Knowledge Transfer</w:t>
            </w:r>
          </w:p>
        </w:tc>
        <w:tc>
          <w:tcPr>
            <w:tcW w:w="2281" w:type="dxa"/>
          </w:tcPr>
          <w:p w14:paraId="6DE016DA" w14:textId="1A029FD2" w:rsidR="00926F2C" w:rsidRPr="00873442" w:rsidRDefault="00926F2C" w:rsidP="00926F2C">
            <w:pPr>
              <w:ind w:left="0"/>
              <w:jc w:val="center"/>
              <w:rPr>
                <w:highlight w:val="yellow"/>
              </w:rPr>
            </w:pPr>
            <w:r w:rsidRPr="00641871">
              <w:t>Critical</w:t>
            </w:r>
          </w:p>
        </w:tc>
      </w:tr>
      <w:tr w:rsidR="00926F2C" w:rsidRPr="00873442" w14:paraId="1A6ED595" w14:textId="77777777" w:rsidTr="00987C09">
        <w:trPr>
          <w:cantSplit/>
        </w:trPr>
        <w:tc>
          <w:tcPr>
            <w:tcW w:w="1743" w:type="dxa"/>
          </w:tcPr>
          <w:p w14:paraId="60D464C5" w14:textId="77777777" w:rsidR="00926F2C" w:rsidRDefault="00926F2C" w:rsidP="00926F2C">
            <w:pPr>
              <w:ind w:left="0"/>
            </w:pPr>
            <w:r>
              <w:t>13</w:t>
            </w:r>
          </w:p>
        </w:tc>
        <w:tc>
          <w:tcPr>
            <w:tcW w:w="6658" w:type="dxa"/>
          </w:tcPr>
          <w:p w14:paraId="4F2ABA39" w14:textId="334B30A6" w:rsidR="00926F2C" w:rsidRDefault="00DE6955" w:rsidP="00926F2C">
            <w:pPr>
              <w:ind w:left="0"/>
            </w:pPr>
            <w:r>
              <w:t>Deployment Planning and Execution</w:t>
            </w:r>
          </w:p>
        </w:tc>
        <w:tc>
          <w:tcPr>
            <w:tcW w:w="2281" w:type="dxa"/>
          </w:tcPr>
          <w:p w14:paraId="353702AF" w14:textId="77777777" w:rsidR="00926F2C" w:rsidRPr="00873442" w:rsidRDefault="00926F2C" w:rsidP="00926F2C">
            <w:pPr>
              <w:ind w:left="0"/>
              <w:jc w:val="center"/>
              <w:rPr>
                <w:highlight w:val="yellow"/>
              </w:rPr>
            </w:pPr>
          </w:p>
        </w:tc>
      </w:tr>
      <w:tr w:rsidR="00926F2C" w:rsidRPr="00873442" w14:paraId="6E2B5B74" w14:textId="77777777" w:rsidTr="00987C09">
        <w:trPr>
          <w:cantSplit/>
        </w:trPr>
        <w:tc>
          <w:tcPr>
            <w:tcW w:w="1743" w:type="dxa"/>
          </w:tcPr>
          <w:p w14:paraId="29047F16" w14:textId="77777777" w:rsidR="00926F2C" w:rsidRDefault="00926F2C" w:rsidP="00926F2C">
            <w:pPr>
              <w:ind w:left="0"/>
            </w:pPr>
            <w:r>
              <w:t xml:space="preserve">   13A</w:t>
            </w:r>
          </w:p>
        </w:tc>
        <w:tc>
          <w:tcPr>
            <w:tcW w:w="6658" w:type="dxa"/>
          </w:tcPr>
          <w:p w14:paraId="2C8C2D2F" w14:textId="77777777" w:rsidR="00926F2C" w:rsidRDefault="00926F2C" w:rsidP="00926F2C">
            <w:pPr>
              <w:ind w:left="256"/>
            </w:pPr>
            <w:r>
              <w:t>Completed ETA 9177 Report</w:t>
            </w:r>
          </w:p>
        </w:tc>
        <w:tc>
          <w:tcPr>
            <w:tcW w:w="2281" w:type="dxa"/>
          </w:tcPr>
          <w:p w14:paraId="18AE34C6" w14:textId="68FA10B0" w:rsidR="00926F2C" w:rsidRPr="00873442" w:rsidRDefault="00926F2C" w:rsidP="00926F2C">
            <w:pPr>
              <w:ind w:left="0"/>
              <w:jc w:val="center"/>
              <w:rPr>
                <w:highlight w:val="yellow"/>
              </w:rPr>
            </w:pPr>
            <w:r w:rsidRPr="00641871">
              <w:t>Critical</w:t>
            </w:r>
          </w:p>
        </w:tc>
      </w:tr>
      <w:tr w:rsidR="00926F2C" w:rsidRPr="00873442" w14:paraId="18B9A5F2" w14:textId="77777777" w:rsidTr="00987C09">
        <w:trPr>
          <w:cantSplit/>
        </w:trPr>
        <w:tc>
          <w:tcPr>
            <w:tcW w:w="1743" w:type="dxa"/>
          </w:tcPr>
          <w:p w14:paraId="106074F1" w14:textId="77777777" w:rsidR="00926F2C" w:rsidRDefault="00926F2C" w:rsidP="00926F2C">
            <w:pPr>
              <w:ind w:left="0"/>
            </w:pPr>
            <w:r>
              <w:t xml:space="preserve">   13B</w:t>
            </w:r>
          </w:p>
        </w:tc>
        <w:tc>
          <w:tcPr>
            <w:tcW w:w="6658" w:type="dxa"/>
          </w:tcPr>
          <w:p w14:paraId="5F730882" w14:textId="77777777" w:rsidR="00926F2C" w:rsidRDefault="00926F2C" w:rsidP="00926F2C">
            <w:pPr>
              <w:ind w:left="256"/>
            </w:pPr>
            <w:r>
              <w:t>Deployment Readiness Plan and Execution</w:t>
            </w:r>
          </w:p>
        </w:tc>
        <w:tc>
          <w:tcPr>
            <w:tcW w:w="2281" w:type="dxa"/>
          </w:tcPr>
          <w:p w14:paraId="5B1A3D97" w14:textId="791B02A9" w:rsidR="00926F2C" w:rsidRPr="00873442" w:rsidRDefault="00926F2C" w:rsidP="00926F2C">
            <w:pPr>
              <w:ind w:left="0"/>
              <w:jc w:val="center"/>
              <w:rPr>
                <w:highlight w:val="yellow"/>
              </w:rPr>
            </w:pPr>
            <w:r w:rsidRPr="00641871">
              <w:t>Critical</w:t>
            </w:r>
          </w:p>
        </w:tc>
      </w:tr>
      <w:tr w:rsidR="00926F2C" w:rsidRPr="00873442" w14:paraId="46D8CE17" w14:textId="77777777" w:rsidTr="00987C09">
        <w:trPr>
          <w:cantSplit/>
        </w:trPr>
        <w:tc>
          <w:tcPr>
            <w:tcW w:w="1743" w:type="dxa"/>
          </w:tcPr>
          <w:p w14:paraId="251FF175" w14:textId="77777777" w:rsidR="00926F2C" w:rsidRDefault="00926F2C" w:rsidP="00926F2C">
            <w:pPr>
              <w:ind w:left="0"/>
            </w:pPr>
            <w:r>
              <w:t xml:space="preserve">   13C</w:t>
            </w:r>
          </w:p>
        </w:tc>
        <w:tc>
          <w:tcPr>
            <w:tcW w:w="6658" w:type="dxa"/>
          </w:tcPr>
          <w:p w14:paraId="557EE65A" w14:textId="77777777" w:rsidR="00926F2C" w:rsidRDefault="00926F2C" w:rsidP="00926F2C">
            <w:pPr>
              <w:ind w:left="256"/>
            </w:pPr>
            <w:r>
              <w:t>Day of Deployment Plan and Execution</w:t>
            </w:r>
          </w:p>
        </w:tc>
        <w:tc>
          <w:tcPr>
            <w:tcW w:w="2281" w:type="dxa"/>
          </w:tcPr>
          <w:p w14:paraId="0057E42A" w14:textId="1C41FFD0" w:rsidR="00926F2C" w:rsidRPr="00873442" w:rsidRDefault="00926F2C" w:rsidP="00926F2C">
            <w:pPr>
              <w:ind w:left="0"/>
              <w:jc w:val="center"/>
              <w:rPr>
                <w:highlight w:val="yellow"/>
              </w:rPr>
            </w:pPr>
            <w:r w:rsidRPr="00641871">
              <w:t>Critical</w:t>
            </w:r>
          </w:p>
        </w:tc>
      </w:tr>
      <w:tr w:rsidR="00926F2C" w:rsidRPr="00873442" w14:paraId="237D4050" w14:textId="77777777" w:rsidTr="00987C09">
        <w:trPr>
          <w:cantSplit/>
        </w:trPr>
        <w:tc>
          <w:tcPr>
            <w:tcW w:w="1743" w:type="dxa"/>
          </w:tcPr>
          <w:p w14:paraId="06670FFE" w14:textId="77777777" w:rsidR="00926F2C" w:rsidRDefault="00926F2C" w:rsidP="00926F2C">
            <w:pPr>
              <w:ind w:left="0"/>
            </w:pPr>
            <w:r>
              <w:t xml:space="preserve">   13D</w:t>
            </w:r>
          </w:p>
        </w:tc>
        <w:tc>
          <w:tcPr>
            <w:tcW w:w="6658" w:type="dxa"/>
          </w:tcPr>
          <w:p w14:paraId="3ADD37A6" w14:textId="6D809394" w:rsidR="00926F2C" w:rsidRDefault="00926F2C" w:rsidP="00926F2C">
            <w:pPr>
              <w:ind w:left="256"/>
            </w:pPr>
            <w:r>
              <w:t>Post Deployment and Execution</w:t>
            </w:r>
          </w:p>
        </w:tc>
        <w:tc>
          <w:tcPr>
            <w:tcW w:w="2281" w:type="dxa"/>
          </w:tcPr>
          <w:p w14:paraId="53ACB3DE" w14:textId="2AFF9020" w:rsidR="00926F2C" w:rsidRPr="00873442" w:rsidRDefault="00926F2C" w:rsidP="00926F2C">
            <w:pPr>
              <w:ind w:left="0"/>
              <w:jc w:val="center"/>
              <w:rPr>
                <w:highlight w:val="yellow"/>
              </w:rPr>
            </w:pPr>
            <w:r w:rsidRPr="00641871">
              <w:t>Critical</w:t>
            </w:r>
          </w:p>
        </w:tc>
      </w:tr>
      <w:tr w:rsidR="00926F2C" w:rsidRPr="00873442" w14:paraId="5EA262D9" w14:textId="77777777" w:rsidTr="00987C09">
        <w:trPr>
          <w:cantSplit/>
        </w:trPr>
        <w:tc>
          <w:tcPr>
            <w:tcW w:w="1743" w:type="dxa"/>
          </w:tcPr>
          <w:p w14:paraId="17190FC9" w14:textId="77777777" w:rsidR="00926F2C" w:rsidRDefault="00926F2C" w:rsidP="00926F2C">
            <w:pPr>
              <w:ind w:left="0"/>
            </w:pPr>
            <w:r>
              <w:t>14</w:t>
            </w:r>
          </w:p>
        </w:tc>
        <w:tc>
          <w:tcPr>
            <w:tcW w:w="6658" w:type="dxa"/>
          </w:tcPr>
          <w:p w14:paraId="377F59E0" w14:textId="77777777" w:rsidR="00926F2C" w:rsidRDefault="00926F2C" w:rsidP="00926F2C">
            <w:pPr>
              <w:ind w:left="0"/>
            </w:pPr>
            <w:r>
              <w:t>Maintenance and Operations Plan</w:t>
            </w:r>
          </w:p>
        </w:tc>
        <w:tc>
          <w:tcPr>
            <w:tcW w:w="2281" w:type="dxa"/>
          </w:tcPr>
          <w:p w14:paraId="2BA7C7A2" w14:textId="77777777" w:rsidR="00926F2C" w:rsidRPr="00873442" w:rsidRDefault="00926F2C" w:rsidP="00926F2C">
            <w:pPr>
              <w:ind w:left="0"/>
              <w:jc w:val="center"/>
              <w:rPr>
                <w:highlight w:val="yellow"/>
              </w:rPr>
            </w:pPr>
          </w:p>
        </w:tc>
      </w:tr>
      <w:tr w:rsidR="00926F2C" w:rsidRPr="00873442" w14:paraId="14BF2BAA" w14:textId="77777777" w:rsidTr="00987C09">
        <w:trPr>
          <w:cantSplit/>
        </w:trPr>
        <w:tc>
          <w:tcPr>
            <w:tcW w:w="1743" w:type="dxa"/>
          </w:tcPr>
          <w:p w14:paraId="16B7063C" w14:textId="77777777" w:rsidR="00926F2C" w:rsidRDefault="00926F2C" w:rsidP="00926F2C">
            <w:pPr>
              <w:ind w:left="0"/>
            </w:pPr>
            <w:r>
              <w:t xml:space="preserve">   14A</w:t>
            </w:r>
          </w:p>
        </w:tc>
        <w:tc>
          <w:tcPr>
            <w:tcW w:w="6658" w:type="dxa"/>
          </w:tcPr>
          <w:p w14:paraId="0676F8C1" w14:textId="77777777" w:rsidR="00926F2C" w:rsidRDefault="00926F2C" w:rsidP="00926F2C">
            <w:pPr>
              <w:ind w:left="256"/>
            </w:pPr>
            <w:r>
              <w:t>M&amp;O Plan</w:t>
            </w:r>
          </w:p>
        </w:tc>
        <w:tc>
          <w:tcPr>
            <w:tcW w:w="2281" w:type="dxa"/>
          </w:tcPr>
          <w:p w14:paraId="1D31A622" w14:textId="3DBCCE28" w:rsidR="00926F2C" w:rsidRPr="00873442" w:rsidRDefault="00926F2C" w:rsidP="00926F2C">
            <w:pPr>
              <w:ind w:left="0"/>
              <w:jc w:val="center"/>
              <w:rPr>
                <w:highlight w:val="yellow"/>
              </w:rPr>
            </w:pPr>
            <w:r w:rsidRPr="00987C09">
              <w:t>High</w:t>
            </w:r>
          </w:p>
        </w:tc>
      </w:tr>
      <w:tr w:rsidR="007E441C" w:rsidRPr="00873442" w14:paraId="322F8E55" w14:textId="77777777" w:rsidTr="00987C09">
        <w:trPr>
          <w:cantSplit/>
        </w:trPr>
        <w:tc>
          <w:tcPr>
            <w:tcW w:w="1743" w:type="dxa"/>
          </w:tcPr>
          <w:p w14:paraId="062E761C" w14:textId="3AFD0D2B" w:rsidR="007E441C" w:rsidRDefault="004832F9" w:rsidP="00926F2C">
            <w:pPr>
              <w:ind w:left="0"/>
            </w:pPr>
            <w:r>
              <w:t xml:space="preserve">   14B</w:t>
            </w:r>
          </w:p>
        </w:tc>
        <w:tc>
          <w:tcPr>
            <w:tcW w:w="6658" w:type="dxa"/>
          </w:tcPr>
          <w:p w14:paraId="3F75BF74" w14:textId="6574327C" w:rsidR="007E441C" w:rsidRDefault="007E441C" w:rsidP="00926F2C">
            <w:pPr>
              <w:ind w:left="256"/>
            </w:pPr>
            <w:r>
              <w:t>Monthly Operations Status Reports</w:t>
            </w:r>
          </w:p>
        </w:tc>
        <w:tc>
          <w:tcPr>
            <w:tcW w:w="2281" w:type="dxa"/>
          </w:tcPr>
          <w:p w14:paraId="233E9039" w14:textId="32D6437F" w:rsidR="007E441C" w:rsidRPr="00987C09" w:rsidRDefault="004832F9" w:rsidP="00926F2C">
            <w:pPr>
              <w:ind w:left="0"/>
              <w:jc w:val="center"/>
            </w:pPr>
            <w:r>
              <w:t>Medium</w:t>
            </w:r>
          </w:p>
        </w:tc>
      </w:tr>
      <w:tr w:rsidR="00926F2C" w:rsidRPr="00873442" w14:paraId="21C4EA99" w14:textId="77777777" w:rsidTr="00987C09">
        <w:trPr>
          <w:cantSplit/>
        </w:trPr>
        <w:tc>
          <w:tcPr>
            <w:tcW w:w="1743" w:type="dxa"/>
          </w:tcPr>
          <w:p w14:paraId="04FACCE9" w14:textId="77777777" w:rsidR="00926F2C" w:rsidRDefault="00926F2C" w:rsidP="00926F2C">
            <w:pPr>
              <w:ind w:left="0"/>
            </w:pPr>
            <w:r>
              <w:t>15</w:t>
            </w:r>
          </w:p>
        </w:tc>
        <w:tc>
          <w:tcPr>
            <w:tcW w:w="6658" w:type="dxa"/>
          </w:tcPr>
          <w:p w14:paraId="2493CA4F" w14:textId="77777777" w:rsidR="00926F2C" w:rsidRDefault="00926F2C" w:rsidP="00926F2C">
            <w:pPr>
              <w:ind w:left="0"/>
            </w:pPr>
            <w:r>
              <w:t>Additional Implementation Support</w:t>
            </w:r>
          </w:p>
        </w:tc>
        <w:tc>
          <w:tcPr>
            <w:tcW w:w="2281" w:type="dxa"/>
          </w:tcPr>
          <w:p w14:paraId="54C4ED00" w14:textId="77777777" w:rsidR="00926F2C" w:rsidRPr="00873442" w:rsidRDefault="00926F2C" w:rsidP="00926F2C">
            <w:pPr>
              <w:ind w:left="0"/>
              <w:jc w:val="center"/>
              <w:rPr>
                <w:highlight w:val="yellow"/>
              </w:rPr>
            </w:pPr>
          </w:p>
        </w:tc>
      </w:tr>
      <w:tr w:rsidR="00926F2C" w:rsidRPr="00873442" w14:paraId="051686A4" w14:textId="77777777" w:rsidTr="00987C09">
        <w:trPr>
          <w:cantSplit/>
        </w:trPr>
        <w:tc>
          <w:tcPr>
            <w:tcW w:w="1743" w:type="dxa"/>
          </w:tcPr>
          <w:p w14:paraId="1A68C201" w14:textId="77777777" w:rsidR="00926F2C" w:rsidRDefault="00926F2C" w:rsidP="00926F2C">
            <w:pPr>
              <w:ind w:left="0"/>
            </w:pPr>
            <w:r>
              <w:t xml:space="preserve">   15A</w:t>
            </w:r>
          </w:p>
        </w:tc>
        <w:tc>
          <w:tcPr>
            <w:tcW w:w="6658" w:type="dxa"/>
          </w:tcPr>
          <w:p w14:paraId="3FE772B6" w14:textId="77777777" w:rsidR="00926F2C" w:rsidRDefault="00926F2C" w:rsidP="00926F2C">
            <w:pPr>
              <w:ind w:left="256"/>
            </w:pPr>
            <w:r w:rsidRPr="009C768C">
              <w:t xml:space="preserve">Additional </w:t>
            </w:r>
            <w:r>
              <w:t xml:space="preserve">Implementation </w:t>
            </w:r>
            <w:r w:rsidRPr="009C768C">
              <w:t>Support</w:t>
            </w:r>
          </w:p>
        </w:tc>
        <w:tc>
          <w:tcPr>
            <w:tcW w:w="2281" w:type="dxa"/>
          </w:tcPr>
          <w:p w14:paraId="2D287B7F" w14:textId="017E15C9" w:rsidR="00926F2C" w:rsidRPr="00873442" w:rsidRDefault="00926F2C" w:rsidP="00926F2C">
            <w:pPr>
              <w:ind w:left="0"/>
              <w:jc w:val="center"/>
              <w:rPr>
                <w:highlight w:val="yellow"/>
              </w:rPr>
            </w:pPr>
            <w:r w:rsidRPr="00987C09">
              <w:t>Medium</w:t>
            </w:r>
          </w:p>
        </w:tc>
      </w:tr>
      <w:tr w:rsidR="00926F2C" w:rsidRPr="00873442" w14:paraId="55A127E1" w14:textId="77777777" w:rsidTr="00987C09">
        <w:trPr>
          <w:cantSplit/>
        </w:trPr>
        <w:tc>
          <w:tcPr>
            <w:tcW w:w="1743" w:type="dxa"/>
          </w:tcPr>
          <w:p w14:paraId="4C37EA57" w14:textId="77777777" w:rsidR="00926F2C" w:rsidRDefault="00926F2C" w:rsidP="00926F2C">
            <w:pPr>
              <w:ind w:left="0"/>
            </w:pPr>
            <w:r>
              <w:t>16</w:t>
            </w:r>
          </w:p>
        </w:tc>
        <w:tc>
          <w:tcPr>
            <w:tcW w:w="6658" w:type="dxa"/>
          </w:tcPr>
          <w:p w14:paraId="1825DE41" w14:textId="77777777" w:rsidR="00926F2C" w:rsidRDefault="00926F2C" w:rsidP="00926F2C">
            <w:pPr>
              <w:ind w:left="0"/>
            </w:pPr>
            <w:r>
              <w:t>Annual Software Maintenance and Support Subscription</w:t>
            </w:r>
          </w:p>
        </w:tc>
        <w:tc>
          <w:tcPr>
            <w:tcW w:w="2281" w:type="dxa"/>
          </w:tcPr>
          <w:p w14:paraId="7FCC247F" w14:textId="77777777" w:rsidR="00926F2C" w:rsidRPr="00873442" w:rsidRDefault="00926F2C" w:rsidP="00926F2C">
            <w:pPr>
              <w:ind w:left="0"/>
              <w:jc w:val="center"/>
              <w:rPr>
                <w:highlight w:val="yellow"/>
              </w:rPr>
            </w:pPr>
          </w:p>
        </w:tc>
      </w:tr>
      <w:tr w:rsidR="00926F2C" w:rsidRPr="00873442" w14:paraId="39B151C1" w14:textId="77777777" w:rsidTr="00987C09">
        <w:trPr>
          <w:cantSplit/>
        </w:trPr>
        <w:tc>
          <w:tcPr>
            <w:tcW w:w="1743" w:type="dxa"/>
          </w:tcPr>
          <w:p w14:paraId="2283B370" w14:textId="77777777" w:rsidR="00926F2C" w:rsidRDefault="00926F2C" w:rsidP="00926F2C">
            <w:pPr>
              <w:ind w:left="0"/>
            </w:pPr>
            <w:r>
              <w:t xml:space="preserve">   16A</w:t>
            </w:r>
          </w:p>
        </w:tc>
        <w:tc>
          <w:tcPr>
            <w:tcW w:w="6658" w:type="dxa"/>
          </w:tcPr>
          <w:p w14:paraId="31879B37" w14:textId="77777777" w:rsidR="00926F2C" w:rsidRPr="00355C5B" w:rsidRDefault="00926F2C" w:rsidP="00926F2C">
            <w:pPr>
              <w:ind w:left="256"/>
            </w:pPr>
            <w:r>
              <w:t>Annual Software Maintenance Support and Subscription</w:t>
            </w:r>
          </w:p>
        </w:tc>
        <w:tc>
          <w:tcPr>
            <w:tcW w:w="2281" w:type="dxa"/>
          </w:tcPr>
          <w:p w14:paraId="3A5A6A6B" w14:textId="414616EE" w:rsidR="00926F2C" w:rsidRPr="00873442" w:rsidRDefault="00926F2C" w:rsidP="00926F2C">
            <w:pPr>
              <w:ind w:left="0"/>
              <w:jc w:val="center"/>
              <w:rPr>
                <w:highlight w:val="yellow"/>
              </w:rPr>
            </w:pPr>
            <w:r>
              <w:t>Low</w:t>
            </w:r>
          </w:p>
        </w:tc>
      </w:tr>
      <w:tr w:rsidR="00A861E3" w:rsidRPr="00873442" w14:paraId="12F2D085" w14:textId="77777777" w:rsidTr="001758DD">
        <w:trPr>
          <w:cantSplit/>
        </w:trPr>
        <w:tc>
          <w:tcPr>
            <w:tcW w:w="1743" w:type="dxa"/>
          </w:tcPr>
          <w:p w14:paraId="086FDEC2" w14:textId="77777777" w:rsidR="00A861E3" w:rsidRDefault="00A861E3" w:rsidP="001758DD">
            <w:pPr>
              <w:ind w:left="0"/>
            </w:pPr>
            <w:r>
              <w:t>17</w:t>
            </w:r>
          </w:p>
        </w:tc>
        <w:tc>
          <w:tcPr>
            <w:tcW w:w="6658" w:type="dxa"/>
          </w:tcPr>
          <w:p w14:paraId="46C17372" w14:textId="77777777" w:rsidR="00A861E3" w:rsidRDefault="00A861E3" w:rsidP="001758DD">
            <w:pPr>
              <w:ind w:left="0"/>
            </w:pPr>
            <w:r>
              <w:t>Maintain Effective Cyber Security</w:t>
            </w:r>
          </w:p>
        </w:tc>
        <w:tc>
          <w:tcPr>
            <w:tcW w:w="2281" w:type="dxa"/>
          </w:tcPr>
          <w:p w14:paraId="0676B462" w14:textId="77777777" w:rsidR="00A861E3" w:rsidRPr="00873442" w:rsidRDefault="00A861E3" w:rsidP="001758DD">
            <w:pPr>
              <w:ind w:left="0"/>
              <w:rPr>
                <w:highlight w:val="yellow"/>
              </w:rPr>
            </w:pPr>
          </w:p>
        </w:tc>
      </w:tr>
      <w:tr w:rsidR="003E6231" w:rsidRPr="00873442" w14:paraId="564BE285" w14:textId="77777777" w:rsidTr="001758DD">
        <w:trPr>
          <w:cantSplit/>
        </w:trPr>
        <w:tc>
          <w:tcPr>
            <w:tcW w:w="1743" w:type="dxa"/>
          </w:tcPr>
          <w:p w14:paraId="08364BA5" w14:textId="77777777" w:rsidR="003E6231" w:rsidRDefault="003E6231" w:rsidP="003E6231">
            <w:pPr>
              <w:ind w:left="0"/>
            </w:pPr>
            <w:r>
              <w:t xml:space="preserve">   17A</w:t>
            </w:r>
          </w:p>
        </w:tc>
        <w:tc>
          <w:tcPr>
            <w:tcW w:w="6658" w:type="dxa"/>
          </w:tcPr>
          <w:p w14:paraId="2600BDCD" w14:textId="77777777" w:rsidR="003E6231" w:rsidRDefault="003E6231" w:rsidP="003E6231">
            <w:pPr>
              <w:ind w:left="256"/>
            </w:pPr>
            <w:r>
              <w:t>FedRAMP ATO</w:t>
            </w:r>
          </w:p>
        </w:tc>
        <w:tc>
          <w:tcPr>
            <w:tcW w:w="2281" w:type="dxa"/>
          </w:tcPr>
          <w:p w14:paraId="057E388B" w14:textId="32745358" w:rsidR="003E6231" w:rsidRPr="00873442" w:rsidRDefault="003E6231" w:rsidP="003E6231">
            <w:pPr>
              <w:ind w:left="0"/>
              <w:jc w:val="center"/>
              <w:rPr>
                <w:highlight w:val="yellow"/>
              </w:rPr>
            </w:pPr>
            <w:r w:rsidRPr="00641871">
              <w:t>Critical</w:t>
            </w:r>
          </w:p>
        </w:tc>
      </w:tr>
      <w:tr w:rsidR="003E6231" w:rsidRPr="00873442" w14:paraId="505FF287" w14:textId="77777777" w:rsidTr="001758DD">
        <w:trPr>
          <w:cantSplit/>
        </w:trPr>
        <w:tc>
          <w:tcPr>
            <w:tcW w:w="1743" w:type="dxa"/>
          </w:tcPr>
          <w:p w14:paraId="383DE0BC" w14:textId="77777777" w:rsidR="003E6231" w:rsidRDefault="003E6231" w:rsidP="003E6231">
            <w:pPr>
              <w:ind w:left="0"/>
            </w:pPr>
            <w:r>
              <w:t xml:space="preserve">   17B</w:t>
            </w:r>
          </w:p>
        </w:tc>
        <w:tc>
          <w:tcPr>
            <w:tcW w:w="6658" w:type="dxa"/>
          </w:tcPr>
          <w:p w14:paraId="38E34CA9" w14:textId="77777777" w:rsidR="003E6231" w:rsidRDefault="003E6231" w:rsidP="003E6231">
            <w:pPr>
              <w:ind w:left="256"/>
            </w:pPr>
            <w:r>
              <w:t>Security Assessment Plan</w:t>
            </w:r>
          </w:p>
        </w:tc>
        <w:tc>
          <w:tcPr>
            <w:tcW w:w="2281" w:type="dxa"/>
          </w:tcPr>
          <w:p w14:paraId="0300CA5D" w14:textId="6C8C11E3" w:rsidR="003E6231" w:rsidRPr="00873442" w:rsidRDefault="003E6231" w:rsidP="003E6231">
            <w:pPr>
              <w:ind w:left="0"/>
              <w:jc w:val="center"/>
              <w:rPr>
                <w:highlight w:val="yellow"/>
              </w:rPr>
            </w:pPr>
            <w:r w:rsidRPr="00641871">
              <w:t>Critical</w:t>
            </w:r>
          </w:p>
        </w:tc>
      </w:tr>
      <w:tr w:rsidR="003E6231" w:rsidRPr="00873442" w14:paraId="38153995" w14:textId="77777777" w:rsidTr="001758DD">
        <w:trPr>
          <w:cantSplit/>
        </w:trPr>
        <w:tc>
          <w:tcPr>
            <w:tcW w:w="1743" w:type="dxa"/>
          </w:tcPr>
          <w:p w14:paraId="0BE80D59" w14:textId="77777777" w:rsidR="003E6231" w:rsidRDefault="003E6231" w:rsidP="003E6231">
            <w:pPr>
              <w:ind w:left="0"/>
            </w:pPr>
            <w:r>
              <w:t xml:space="preserve">   17C</w:t>
            </w:r>
          </w:p>
        </w:tc>
        <w:tc>
          <w:tcPr>
            <w:tcW w:w="6658" w:type="dxa"/>
          </w:tcPr>
          <w:p w14:paraId="6054D3D1" w14:textId="77777777" w:rsidR="003E6231" w:rsidRDefault="003E6231" w:rsidP="003E6231">
            <w:pPr>
              <w:ind w:left="256"/>
            </w:pPr>
            <w:r>
              <w:t>Incident Response Plan</w:t>
            </w:r>
          </w:p>
        </w:tc>
        <w:tc>
          <w:tcPr>
            <w:tcW w:w="2281" w:type="dxa"/>
          </w:tcPr>
          <w:p w14:paraId="314ED384" w14:textId="3B0AA187" w:rsidR="003E6231" w:rsidRPr="00873442" w:rsidRDefault="003E6231" w:rsidP="003E6231">
            <w:pPr>
              <w:ind w:left="0"/>
              <w:jc w:val="center"/>
              <w:rPr>
                <w:highlight w:val="yellow"/>
              </w:rPr>
            </w:pPr>
            <w:r w:rsidRPr="00641871">
              <w:t>Critical</w:t>
            </w:r>
          </w:p>
        </w:tc>
      </w:tr>
      <w:tr w:rsidR="003E6231" w:rsidRPr="00873442" w14:paraId="3F53A186" w14:textId="77777777" w:rsidTr="001758DD">
        <w:trPr>
          <w:cantSplit/>
        </w:trPr>
        <w:tc>
          <w:tcPr>
            <w:tcW w:w="1743" w:type="dxa"/>
          </w:tcPr>
          <w:p w14:paraId="214EDFAC" w14:textId="77777777" w:rsidR="003E6231" w:rsidRDefault="003E6231" w:rsidP="003E6231">
            <w:pPr>
              <w:ind w:left="0"/>
            </w:pPr>
            <w:r>
              <w:t xml:space="preserve">   17D</w:t>
            </w:r>
          </w:p>
        </w:tc>
        <w:tc>
          <w:tcPr>
            <w:tcW w:w="6658" w:type="dxa"/>
          </w:tcPr>
          <w:p w14:paraId="69E79B74" w14:textId="77777777" w:rsidR="003E6231" w:rsidRDefault="003E6231" w:rsidP="003E6231">
            <w:pPr>
              <w:ind w:left="256"/>
            </w:pPr>
            <w:r>
              <w:t>System Security Plan</w:t>
            </w:r>
          </w:p>
        </w:tc>
        <w:tc>
          <w:tcPr>
            <w:tcW w:w="2281" w:type="dxa"/>
          </w:tcPr>
          <w:p w14:paraId="7543A667" w14:textId="7AC98B4C" w:rsidR="003E6231" w:rsidRPr="00873442" w:rsidRDefault="003E6231" w:rsidP="003E6231">
            <w:pPr>
              <w:ind w:left="0"/>
              <w:jc w:val="center"/>
              <w:rPr>
                <w:highlight w:val="yellow"/>
              </w:rPr>
            </w:pPr>
            <w:r w:rsidRPr="00641871">
              <w:t>Critical</w:t>
            </w:r>
          </w:p>
        </w:tc>
      </w:tr>
      <w:tr w:rsidR="00C16982" w:rsidRPr="00873442" w14:paraId="3F20522D" w14:textId="77777777" w:rsidTr="0095449A">
        <w:trPr>
          <w:cantSplit/>
        </w:trPr>
        <w:tc>
          <w:tcPr>
            <w:tcW w:w="1743" w:type="dxa"/>
          </w:tcPr>
          <w:p w14:paraId="7200A16C" w14:textId="77777777" w:rsidR="00C16982" w:rsidRDefault="00C16982" w:rsidP="00C16982">
            <w:pPr>
              <w:ind w:left="0"/>
            </w:pPr>
            <w:r>
              <w:t xml:space="preserve">   17E</w:t>
            </w:r>
          </w:p>
        </w:tc>
        <w:tc>
          <w:tcPr>
            <w:tcW w:w="6658" w:type="dxa"/>
          </w:tcPr>
          <w:p w14:paraId="1D3DA073" w14:textId="77777777" w:rsidR="00C16982" w:rsidRDefault="00C16982" w:rsidP="00C16982">
            <w:pPr>
              <w:ind w:left="256"/>
            </w:pPr>
            <w:r>
              <w:t>Implemented Security Plans</w:t>
            </w:r>
          </w:p>
        </w:tc>
        <w:tc>
          <w:tcPr>
            <w:tcW w:w="2281" w:type="dxa"/>
          </w:tcPr>
          <w:p w14:paraId="60412B20" w14:textId="70AE9C48" w:rsidR="00C16982" w:rsidRPr="00873442" w:rsidRDefault="00C16982" w:rsidP="00C16982">
            <w:pPr>
              <w:ind w:left="0"/>
              <w:jc w:val="center"/>
              <w:rPr>
                <w:highlight w:val="yellow"/>
              </w:rPr>
            </w:pPr>
            <w:r w:rsidRPr="00641871">
              <w:t>Critical</w:t>
            </w:r>
          </w:p>
        </w:tc>
      </w:tr>
      <w:tr w:rsidR="003E6231" w:rsidRPr="00873442" w14:paraId="4B659447" w14:textId="77777777" w:rsidTr="0033782E">
        <w:trPr>
          <w:cantSplit/>
        </w:trPr>
        <w:tc>
          <w:tcPr>
            <w:tcW w:w="1743" w:type="dxa"/>
          </w:tcPr>
          <w:p w14:paraId="1D035E51" w14:textId="4EFC6FE8" w:rsidR="003E6231" w:rsidRDefault="003E6231" w:rsidP="003E6231">
            <w:pPr>
              <w:ind w:left="0"/>
            </w:pPr>
            <w:r>
              <w:lastRenderedPageBreak/>
              <w:t>18</w:t>
            </w:r>
          </w:p>
        </w:tc>
        <w:tc>
          <w:tcPr>
            <w:tcW w:w="6658" w:type="dxa"/>
          </w:tcPr>
          <w:p w14:paraId="2546030C" w14:textId="77777777" w:rsidR="003E6231" w:rsidRDefault="003E6231" w:rsidP="003E6231">
            <w:pPr>
              <w:ind w:left="0"/>
            </w:pPr>
            <w:r>
              <w:t>End of Contract Services</w:t>
            </w:r>
          </w:p>
        </w:tc>
        <w:tc>
          <w:tcPr>
            <w:tcW w:w="2281" w:type="dxa"/>
          </w:tcPr>
          <w:p w14:paraId="09EFB0FD" w14:textId="77777777" w:rsidR="003E6231" w:rsidRPr="00873442" w:rsidRDefault="003E6231" w:rsidP="003E6231">
            <w:pPr>
              <w:ind w:left="0"/>
              <w:rPr>
                <w:highlight w:val="yellow"/>
              </w:rPr>
            </w:pPr>
          </w:p>
        </w:tc>
      </w:tr>
      <w:tr w:rsidR="003E6231" w:rsidRPr="00873442" w14:paraId="11CCF779" w14:textId="77777777" w:rsidTr="0033782E">
        <w:trPr>
          <w:cantSplit/>
        </w:trPr>
        <w:tc>
          <w:tcPr>
            <w:tcW w:w="1743" w:type="dxa"/>
          </w:tcPr>
          <w:p w14:paraId="12F654BE" w14:textId="430BA080" w:rsidR="003E6231" w:rsidRDefault="003E6231" w:rsidP="003E6231">
            <w:pPr>
              <w:ind w:left="0"/>
            </w:pPr>
            <w:r>
              <w:t xml:space="preserve">   18A</w:t>
            </w:r>
          </w:p>
        </w:tc>
        <w:tc>
          <w:tcPr>
            <w:tcW w:w="6658" w:type="dxa"/>
          </w:tcPr>
          <w:p w14:paraId="0F1DB48C" w14:textId="77777777" w:rsidR="003E6231" w:rsidRDefault="003E6231" w:rsidP="003E6231">
            <w:pPr>
              <w:ind w:left="256"/>
            </w:pPr>
            <w:r>
              <w:t>Transition Plan</w:t>
            </w:r>
          </w:p>
        </w:tc>
        <w:tc>
          <w:tcPr>
            <w:tcW w:w="2281" w:type="dxa"/>
          </w:tcPr>
          <w:p w14:paraId="01A42931" w14:textId="7500D908" w:rsidR="003E6231" w:rsidRPr="005309BF" w:rsidRDefault="003E6231" w:rsidP="003E6231">
            <w:pPr>
              <w:ind w:left="0"/>
              <w:jc w:val="center"/>
            </w:pPr>
            <w:r w:rsidRPr="00987C09">
              <w:t>High</w:t>
            </w:r>
          </w:p>
        </w:tc>
      </w:tr>
      <w:tr w:rsidR="003E6231" w:rsidRPr="00873442" w14:paraId="0D3E9B1D" w14:textId="77777777" w:rsidTr="0033782E">
        <w:trPr>
          <w:cantSplit/>
        </w:trPr>
        <w:tc>
          <w:tcPr>
            <w:tcW w:w="1743" w:type="dxa"/>
          </w:tcPr>
          <w:p w14:paraId="7F3E990C" w14:textId="4D9E00C3" w:rsidR="003E6231" w:rsidRDefault="003E6231" w:rsidP="003E6231">
            <w:pPr>
              <w:ind w:left="0"/>
            </w:pPr>
            <w:r>
              <w:t xml:space="preserve">   18B</w:t>
            </w:r>
          </w:p>
        </w:tc>
        <w:tc>
          <w:tcPr>
            <w:tcW w:w="6658" w:type="dxa"/>
          </w:tcPr>
          <w:p w14:paraId="1F8260A1" w14:textId="77777777" w:rsidR="003E6231" w:rsidRDefault="003E6231" w:rsidP="003E6231">
            <w:pPr>
              <w:ind w:left="256"/>
            </w:pPr>
            <w:r>
              <w:t>Completed Transition Plan</w:t>
            </w:r>
          </w:p>
        </w:tc>
        <w:tc>
          <w:tcPr>
            <w:tcW w:w="2281" w:type="dxa"/>
          </w:tcPr>
          <w:p w14:paraId="67C1B4B6" w14:textId="337EADEB" w:rsidR="003E6231" w:rsidRPr="005309BF" w:rsidRDefault="003E6231" w:rsidP="003E6231">
            <w:pPr>
              <w:ind w:left="0"/>
              <w:jc w:val="center"/>
            </w:pPr>
            <w:r w:rsidRPr="00641871">
              <w:t>Critical</w:t>
            </w:r>
          </w:p>
        </w:tc>
      </w:tr>
    </w:tbl>
    <w:p w14:paraId="164FFAB2" w14:textId="77777777" w:rsidR="00AF33EE" w:rsidRPr="00A41286" w:rsidRDefault="00AF33EE" w:rsidP="00DB7AAE">
      <w:pPr>
        <w:pStyle w:val="NB4"/>
      </w:pPr>
    </w:p>
    <w:p w14:paraId="0CF9422A" w14:textId="41D8EF3B" w:rsidR="003F2CB5" w:rsidRDefault="003F2CB5" w:rsidP="003F2CB5">
      <w:pPr>
        <w:pStyle w:val="Heading3"/>
      </w:pPr>
      <w:bookmarkStart w:id="229" w:name="_Toc13567465"/>
      <w:r>
        <w:t>8.1.2</w:t>
      </w:r>
      <w:r>
        <w:tab/>
        <w:t>After UI Solution Go-Live for TWC</w:t>
      </w:r>
      <w:bookmarkEnd w:id="229"/>
    </w:p>
    <w:p w14:paraId="36FF2476" w14:textId="2616A12B" w:rsidR="008B17D5" w:rsidRPr="003A08BD" w:rsidRDefault="008B17D5" w:rsidP="00DB7AAE">
      <w:pPr>
        <w:pStyle w:val="NB4"/>
      </w:pPr>
      <w:r>
        <w:t>8.1.2.1</w:t>
      </w:r>
      <w:r>
        <w:tab/>
        <w:t>F</w:t>
      </w:r>
      <w:r w:rsidRPr="003A08BD">
        <w:t xml:space="preserve">ailure to maintain FedRAMP </w:t>
      </w:r>
      <w:r w:rsidR="003E6231">
        <w:t xml:space="preserve">(Moderate) ATO </w:t>
      </w:r>
      <w:r w:rsidRPr="003A08BD">
        <w:t xml:space="preserve">will result in an assessment of </w:t>
      </w:r>
      <w:r w:rsidR="00BF0C12">
        <w:t>five</w:t>
      </w:r>
      <w:r w:rsidR="00BF0C12" w:rsidRPr="00253863">
        <w:t xml:space="preserve"> thousand dollars </w:t>
      </w:r>
      <w:r w:rsidR="00BF0C12">
        <w:t>(</w:t>
      </w:r>
      <w:r w:rsidR="00BF0C12" w:rsidRPr="00AC2EA8">
        <w:t>$</w:t>
      </w:r>
      <w:r w:rsidR="00BF0C12">
        <w:t>5</w:t>
      </w:r>
      <w:r w:rsidR="00BF0C12" w:rsidRPr="00AC2EA8">
        <w:t>,000</w:t>
      </w:r>
      <w:r w:rsidR="00BF0C12">
        <w:t xml:space="preserve">) </w:t>
      </w:r>
      <w:r w:rsidRPr="003A08BD">
        <w:t xml:space="preserve">per </w:t>
      </w:r>
      <w:r>
        <w:t>calendar</w:t>
      </w:r>
      <w:r w:rsidRPr="00253863">
        <w:t xml:space="preserve"> </w:t>
      </w:r>
      <w:r w:rsidRPr="003A08BD">
        <w:t>day.</w:t>
      </w:r>
      <w:r>
        <w:t xml:space="preserve"> The cure period will be </w:t>
      </w:r>
      <w:r w:rsidRPr="00253863">
        <w:t xml:space="preserve">one (1) </w:t>
      </w:r>
      <w:r>
        <w:t>calendar</w:t>
      </w:r>
      <w:r w:rsidRPr="00253863">
        <w:t xml:space="preserve"> day </w:t>
      </w:r>
      <w:r w:rsidR="00E20241">
        <w:t xml:space="preserve">following </w:t>
      </w:r>
      <w:r w:rsidR="003E6231">
        <w:t>loss of ATO</w:t>
      </w:r>
      <w:r w:rsidR="00E20241">
        <w:t>.</w:t>
      </w:r>
    </w:p>
    <w:p w14:paraId="7526913E" w14:textId="28146F5C" w:rsidR="008B17D5" w:rsidRPr="00AC2EA8" w:rsidRDefault="008B17D5" w:rsidP="00DB7AAE">
      <w:pPr>
        <w:pStyle w:val="NB4"/>
      </w:pPr>
      <w:r>
        <w:t>8.1.2.2</w:t>
      </w:r>
      <w:r>
        <w:tab/>
      </w:r>
      <w:r w:rsidRPr="003A08BD">
        <w:t xml:space="preserve">Unavailability of the solution to </w:t>
      </w:r>
      <w:r w:rsidR="00806B7D">
        <w:t>Claimants</w:t>
      </w:r>
      <w:r w:rsidR="00806B7D" w:rsidRPr="00364874">
        <w:t xml:space="preserve">, </w:t>
      </w:r>
      <w:r w:rsidR="00806B7D">
        <w:t xml:space="preserve">Employers, TPAs, </w:t>
      </w:r>
      <w:r w:rsidR="00806B7D" w:rsidRPr="00364874">
        <w:t xml:space="preserve">local </w:t>
      </w:r>
      <w:r w:rsidR="00806B7D">
        <w:t xml:space="preserve">or external </w:t>
      </w:r>
      <w:r w:rsidR="00806B7D" w:rsidRPr="00364874">
        <w:t xml:space="preserve">users, </w:t>
      </w:r>
      <w:r w:rsidRPr="003A08BD">
        <w:t>outside the</w:t>
      </w:r>
      <w:r w:rsidRPr="00AC2EA8">
        <w:t xml:space="preserve"> </w:t>
      </w:r>
      <w:r w:rsidR="00300358">
        <w:t xml:space="preserve">mutually approved </w:t>
      </w:r>
      <w:r w:rsidRPr="00AC2EA8">
        <w:t xml:space="preserve">scheduled maintenance period, for more than </w:t>
      </w:r>
      <w:r w:rsidR="00300358">
        <w:t xml:space="preserve">two </w:t>
      </w:r>
      <w:r w:rsidRPr="00AC2EA8">
        <w:t xml:space="preserve">(2) hours, after a </w:t>
      </w:r>
      <w:r w:rsidR="00300358">
        <w:t xml:space="preserve">one </w:t>
      </w:r>
      <w:r w:rsidRPr="00AC2EA8">
        <w:t>(</w:t>
      </w:r>
      <w:r w:rsidR="00300358">
        <w:t>1</w:t>
      </w:r>
      <w:r w:rsidRPr="00AC2EA8">
        <w:t xml:space="preserve">) hour cure period will result in an assessment of </w:t>
      </w:r>
      <w:r w:rsidR="00300358">
        <w:t>two</w:t>
      </w:r>
      <w:r w:rsidR="00B930E8" w:rsidRPr="00253863">
        <w:t xml:space="preserve"> </w:t>
      </w:r>
      <w:r w:rsidR="00BF0C12" w:rsidRPr="00253863">
        <w:t xml:space="preserve">thousand dollars </w:t>
      </w:r>
      <w:r w:rsidR="00BF0C12">
        <w:t>(</w:t>
      </w:r>
      <w:r w:rsidR="00BF0C12" w:rsidRPr="00AC2EA8">
        <w:t>$</w:t>
      </w:r>
      <w:r w:rsidR="00300358">
        <w:t>2</w:t>
      </w:r>
      <w:r w:rsidR="00BF0C12" w:rsidRPr="00AC2EA8">
        <w:t>,000</w:t>
      </w:r>
      <w:r w:rsidR="00BF0C12">
        <w:t xml:space="preserve">) </w:t>
      </w:r>
      <w:r w:rsidRPr="00AC2EA8">
        <w:t xml:space="preserve">per </w:t>
      </w:r>
      <w:r w:rsidR="00B930E8">
        <w:t>hour</w:t>
      </w:r>
      <w:r w:rsidRPr="00AC2EA8">
        <w:t>.</w:t>
      </w:r>
    </w:p>
    <w:p w14:paraId="639EDCAD" w14:textId="59066A47" w:rsidR="008B17D5" w:rsidRPr="00AC2EA8" w:rsidRDefault="008B17D5" w:rsidP="00DB7AAE">
      <w:pPr>
        <w:pStyle w:val="NB4"/>
      </w:pPr>
      <w:r>
        <w:t>8.1.2.3</w:t>
      </w:r>
      <w:r>
        <w:tab/>
      </w:r>
      <w:bookmarkStart w:id="230" w:name="_Hlk531612505"/>
      <w:r w:rsidRPr="00AC2EA8">
        <w:t>Unavailability of t</w:t>
      </w:r>
      <w:r w:rsidR="00806B7D">
        <w:t>he solution to TWC and partner S</w:t>
      </w:r>
      <w:r w:rsidRPr="00AC2EA8">
        <w:t xml:space="preserve">taff, outside the </w:t>
      </w:r>
      <w:r w:rsidR="00300358">
        <w:t xml:space="preserve">mutually approved </w:t>
      </w:r>
      <w:r w:rsidRPr="00AC2EA8">
        <w:t xml:space="preserve">maintenance period, for more than </w:t>
      </w:r>
      <w:r w:rsidR="00300358">
        <w:t>two</w:t>
      </w:r>
      <w:r w:rsidR="00300358" w:rsidRPr="00AC2EA8">
        <w:t xml:space="preserve"> </w:t>
      </w:r>
      <w:r w:rsidRPr="00AC2EA8">
        <w:t>(</w:t>
      </w:r>
      <w:r w:rsidR="00300358">
        <w:t>2</w:t>
      </w:r>
      <w:r w:rsidRPr="00AC2EA8">
        <w:t xml:space="preserve">) hours, after a </w:t>
      </w:r>
      <w:r w:rsidR="00300358">
        <w:t xml:space="preserve">one </w:t>
      </w:r>
      <w:r w:rsidRPr="00AC2EA8">
        <w:t>(</w:t>
      </w:r>
      <w:r w:rsidR="00300358">
        <w:t>1</w:t>
      </w:r>
      <w:r w:rsidRPr="00AC2EA8">
        <w:t xml:space="preserve">) hour cure period, will result in an assessment of </w:t>
      </w:r>
      <w:r w:rsidR="00300358">
        <w:t>two</w:t>
      </w:r>
      <w:r w:rsidR="00B930E8" w:rsidRPr="00253863">
        <w:t xml:space="preserve"> </w:t>
      </w:r>
      <w:r w:rsidR="00BF0C12" w:rsidRPr="00253863">
        <w:t xml:space="preserve">thousand dollars </w:t>
      </w:r>
      <w:r w:rsidR="00BF0C12">
        <w:t>(</w:t>
      </w:r>
      <w:r w:rsidR="00BF0C12" w:rsidRPr="00AC2EA8">
        <w:t>$</w:t>
      </w:r>
      <w:r w:rsidR="00300358">
        <w:t>2</w:t>
      </w:r>
      <w:r w:rsidR="00BF0C12" w:rsidRPr="00AC2EA8">
        <w:t>,000</w:t>
      </w:r>
      <w:r w:rsidR="00BF0C12">
        <w:t xml:space="preserve">) </w:t>
      </w:r>
      <w:r w:rsidRPr="00AC2EA8">
        <w:t xml:space="preserve">per </w:t>
      </w:r>
      <w:r w:rsidR="00B930E8">
        <w:t>hour</w:t>
      </w:r>
      <w:bookmarkEnd w:id="230"/>
      <w:r w:rsidRPr="00AC2EA8">
        <w:t>.</w:t>
      </w:r>
    </w:p>
    <w:p w14:paraId="6084BB14" w14:textId="04B1A01E" w:rsidR="008B17D5" w:rsidRDefault="008B17D5" w:rsidP="00DB7AAE">
      <w:pPr>
        <w:pStyle w:val="NB4"/>
      </w:pPr>
      <w:r>
        <w:t>8.1.2.4</w:t>
      </w:r>
      <w:r>
        <w:tab/>
      </w:r>
      <w:r w:rsidRPr="00AC2EA8">
        <w:t xml:space="preserve">Failure of the solution to provide the data needed for </w:t>
      </w:r>
      <w:r>
        <w:t>management and/or</w:t>
      </w:r>
      <w:r w:rsidRPr="00AC2EA8">
        <w:t xml:space="preserve"> </w:t>
      </w:r>
      <w:r>
        <w:t xml:space="preserve">performance </w:t>
      </w:r>
      <w:r w:rsidRPr="00AC2EA8">
        <w:t xml:space="preserve">reporting requirements </w:t>
      </w:r>
      <w:r>
        <w:t xml:space="preserve">on a daily basis </w:t>
      </w:r>
      <w:r w:rsidRPr="00AC2EA8">
        <w:t xml:space="preserve">will result in an assessment of </w:t>
      </w:r>
      <w:r w:rsidR="00806B7D">
        <w:t>one</w:t>
      </w:r>
      <w:r w:rsidR="00806B7D" w:rsidRPr="00253863">
        <w:t xml:space="preserve"> thousand dollars </w:t>
      </w:r>
      <w:r w:rsidR="00806B7D">
        <w:t>(</w:t>
      </w:r>
      <w:r w:rsidRPr="00AC2EA8">
        <w:t>$</w:t>
      </w:r>
      <w:r>
        <w:t>1</w:t>
      </w:r>
      <w:r w:rsidRPr="00AC2EA8">
        <w:t>,000</w:t>
      </w:r>
      <w:r w:rsidR="00806B7D">
        <w:t>)</w:t>
      </w:r>
      <w:r w:rsidRPr="00AC2EA8">
        <w:t xml:space="preserve"> per day</w:t>
      </w:r>
      <w:r w:rsidRPr="00B72FF8">
        <w:t xml:space="preserve"> </w:t>
      </w:r>
      <w:r w:rsidRPr="00253863">
        <w:t xml:space="preserve">following a one (1) </w:t>
      </w:r>
      <w:r>
        <w:t>calendar</w:t>
      </w:r>
      <w:r w:rsidRPr="00253863">
        <w:t xml:space="preserve"> day cure period</w:t>
      </w:r>
      <w:r w:rsidRPr="00AC2EA8">
        <w:t>.</w:t>
      </w:r>
      <w:r w:rsidRPr="008E3596">
        <w:t xml:space="preserve"> </w:t>
      </w:r>
    </w:p>
    <w:p w14:paraId="133A4F89" w14:textId="34958882" w:rsidR="003F2CB5" w:rsidRPr="00E57851" w:rsidRDefault="008B17D5" w:rsidP="00DB7AAE">
      <w:pPr>
        <w:pStyle w:val="NB4"/>
      </w:pPr>
      <w:bookmarkStart w:id="231" w:name="_Hlk4145784"/>
      <w:r>
        <w:t>8.1.2.5</w:t>
      </w:r>
      <w:r>
        <w:tab/>
      </w:r>
      <w:r w:rsidRPr="00253863">
        <w:t xml:space="preserve">Failure </w:t>
      </w:r>
      <w:r w:rsidR="00286115">
        <w:t xml:space="preserve">of Awarded Vendor </w:t>
      </w:r>
      <w:r w:rsidRPr="00253863">
        <w:t xml:space="preserve">to notify TWC both verbally and in writing immediately, but no later than </w:t>
      </w:r>
      <w:r w:rsidR="00D37582">
        <w:t xml:space="preserve">twelve (12) hours, if </w:t>
      </w:r>
      <w:r w:rsidR="00D37582" w:rsidRPr="00D37582">
        <w:t>Awarded Vendor experiences an Incident, Event, Breach, subpoenas, or an inadvertent release that affects information or TWC Data</w:t>
      </w:r>
      <w:r w:rsidR="00D37582">
        <w:t xml:space="preserve"> will result in an assessment </w:t>
      </w:r>
      <w:r w:rsidRPr="00253863">
        <w:t xml:space="preserve">of two thousand dollars ($2,000) per day following a one (1) </w:t>
      </w:r>
      <w:r>
        <w:t>calendar</w:t>
      </w:r>
      <w:r w:rsidRPr="00253863">
        <w:t xml:space="preserve"> day cure period.</w:t>
      </w:r>
    </w:p>
    <w:p w14:paraId="4FD3E827" w14:textId="0D551B13" w:rsidR="00695550" w:rsidRDefault="00695550" w:rsidP="00695550">
      <w:pPr>
        <w:pStyle w:val="Heading1"/>
      </w:pPr>
      <w:bookmarkStart w:id="232" w:name="_Toc13567466"/>
      <w:bookmarkEnd w:id="231"/>
      <w:r>
        <w:lastRenderedPageBreak/>
        <w:t>Offeror Capabilities</w:t>
      </w:r>
      <w:bookmarkEnd w:id="232"/>
    </w:p>
    <w:p w14:paraId="0F7E0793" w14:textId="4EE36732" w:rsidR="00695550" w:rsidRDefault="00F64703" w:rsidP="00F64703">
      <w:pPr>
        <w:pStyle w:val="Heading2"/>
      </w:pPr>
      <w:bookmarkStart w:id="233" w:name="_Toc13567467"/>
      <w:r>
        <w:t>9.1</w:t>
      </w:r>
      <w:r>
        <w:tab/>
        <w:t>Offeror Staff Capabilities</w:t>
      </w:r>
      <w:bookmarkEnd w:id="233"/>
    </w:p>
    <w:p w14:paraId="4482AE47" w14:textId="4A539007" w:rsidR="00F64703" w:rsidRPr="00E21848" w:rsidRDefault="00F64703" w:rsidP="00F64703">
      <w:pPr>
        <w:rPr>
          <w:lang w:eastAsia="en-AU"/>
        </w:rPr>
      </w:pPr>
      <w:r w:rsidRPr="00E21848">
        <w:rPr>
          <w:lang w:eastAsia="en-AU"/>
        </w:rPr>
        <w:t xml:space="preserve">Describe Offeror </w:t>
      </w:r>
      <w:r w:rsidR="009521D7">
        <w:rPr>
          <w:lang w:eastAsia="en-AU"/>
        </w:rPr>
        <w:t xml:space="preserve">Staff </w:t>
      </w:r>
      <w:r w:rsidRPr="00E21848">
        <w:rPr>
          <w:lang w:eastAsia="en-AU"/>
        </w:rPr>
        <w:t>capabilities specific to this Project’s requirements. Include the following:</w:t>
      </w:r>
    </w:p>
    <w:p w14:paraId="6464AD56" w14:textId="6761B043" w:rsidR="00F64703" w:rsidRPr="00E21848" w:rsidRDefault="00F64703" w:rsidP="00E16D2D">
      <w:pPr>
        <w:pStyle w:val="LB1"/>
      </w:pPr>
      <w:r w:rsidRPr="00E21848">
        <w:t>Project organization cha</w:t>
      </w:r>
      <w:r w:rsidR="00CC74E1">
        <w:t>rt for Offeror’s proposed staff;</w:t>
      </w:r>
    </w:p>
    <w:p w14:paraId="055AAA64" w14:textId="5FFEFF8A" w:rsidR="00F64703" w:rsidRDefault="00F64703" w:rsidP="00F82166">
      <w:pPr>
        <w:pStyle w:val="LB1"/>
      </w:pPr>
      <w:r w:rsidRPr="00E21848">
        <w:t>One (1) summary table, with a row for each proposed Project participant, including the following:</w:t>
      </w:r>
      <w:r>
        <w:t xml:space="preserve"> </w:t>
      </w:r>
      <w:r w:rsidRPr="00E21848">
        <w:t xml:space="preserve">Participant name, role or position in current employment, employer name (i.e., Offeror or subcontractor name), key function(s) in current role/position, years of experience for role/position, proposed role on this Project, percent of time to be dedicated to the Project, whether proposed to be onsite or remote, and years of experience with </w:t>
      </w:r>
      <w:r w:rsidR="00916777">
        <w:t xml:space="preserve">UI </w:t>
      </w:r>
      <w:r>
        <w:t>systems and modernization efforts</w:t>
      </w:r>
      <w:r w:rsidRPr="00E21848">
        <w:t>.</w:t>
      </w:r>
      <w:r>
        <w:t xml:space="preserve"> </w:t>
      </w:r>
      <w:r w:rsidRPr="00E21848">
        <w:t xml:space="preserve">TWC expects appropriate key </w:t>
      </w:r>
      <w:r w:rsidR="009521D7">
        <w:t xml:space="preserve">Staff </w:t>
      </w:r>
      <w:r w:rsidR="00CC74E1">
        <w:t>to be dedicated to this Project;</w:t>
      </w:r>
    </w:p>
    <w:p w14:paraId="02477242" w14:textId="02E690D3" w:rsidR="00F64703" w:rsidRDefault="00F64703" w:rsidP="00F82166">
      <w:pPr>
        <w:pStyle w:val="LB1"/>
      </w:pPr>
      <w:r w:rsidRPr="00E21848">
        <w:t xml:space="preserve">Résumé for the </w:t>
      </w:r>
      <w:r>
        <w:t>Offeror</w:t>
      </w:r>
      <w:r w:rsidRPr="00E21848">
        <w:t xml:space="preserve"> Project Manager and each </w:t>
      </w:r>
      <w:r>
        <w:t>Offeror</w:t>
      </w:r>
      <w:r w:rsidRPr="00E21848">
        <w:t xml:space="preserve"> </w:t>
      </w:r>
      <w:r w:rsidR="009521D7">
        <w:t xml:space="preserve">Staff </w:t>
      </w:r>
      <w:r w:rsidRPr="00E21848">
        <w:t>resource to be assigned to the Project.</w:t>
      </w:r>
      <w:r>
        <w:t xml:space="preserve"> </w:t>
      </w:r>
      <w:r w:rsidRPr="00E21848">
        <w:t>Include on each résumé the name of the current employer and the length of time employed by current employer.</w:t>
      </w:r>
      <w:r>
        <w:t xml:space="preserve"> </w:t>
      </w:r>
      <w:r w:rsidRPr="00E21848">
        <w:t>Résumés may be provided in an attachment rather than in this section, if desired.</w:t>
      </w:r>
      <w:r>
        <w:t xml:space="preserve"> </w:t>
      </w:r>
      <w:r w:rsidRPr="00E21848">
        <w:t xml:space="preserve">Failure to provide résumés for the specific Project Manager and </w:t>
      </w:r>
      <w:r w:rsidR="009521D7">
        <w:t xml:space="preserve">Staff </w:t>
      </w:r>
      <w:r w:rsidRPr="00E21848">
        <w:t xml:space="preserve">proposed for the Project will result in a score of zero (0) for staffing. If needed for confidentiality, the PII of the individual on the résumé may be </w:t>
      </w:r>
      <w:r>
        <w:t>redacted</w:t>
      </w:r>
      <w:r w:rsidR="00CC74E1">
        <w:t>; and</w:t>
      </w:r>
    </w:p>
    <w:p w14:paraId="09F6FCBC" w14:textId="77777777" w:rsidR="00F64703" w:rsidRDefault="00F64703">
      <w:pPr>
        <w:pStyle w:val="LB1"/>
      </w:pPr>
      <w:r w:rsidRPr="00E21848">
        <w:t>Agreement that</w:t>
      </w:r>
      <w:r>
        <w:t xml:space="preserve"> </w:t>
      </w:r>
      <w:r w:rsidRPr="00E21848">
        <w:t xml:space="preserve">the </w:t>
      </w:r>
      <w:r>
        <w:t xml:space="preserve">Awarded Vendor </w:t>
      </w:r>
      <w:r w:rsidRPr="00E21848">
        <w:t xml:space="preserve">Project Manager will take direction from the </w:t>
      </w:r>
      <w:r>
        <w:t xml:space="preserve">TWC IT Project Manager </w:t>
      </w:r>
      <w:r w:rsidRPr="00E21848">
        <w:t>and the TWC Program Manager within the scope of the BAFO and parameters of the Project Steering Committee’s direction.</w:t>
      </w:r>
    </w:p>
    <w:p w14:paraId="634A78F6" w14:textId="77777777" w:rsidR="00F64703" w:rsidRDefault="00F64703" w:rsidP="00F64703">
      <w:pPr>
        <w:rPr>
          <w:lang w:eastAsia="en-AU"/>
        </w:rPr>
      </w:pPr>
    </w:p>
    <w:p w14:paraId="3B0F5CD6" w14:textId="2A9001CD" w:rsidR="00F64703" w:rsidRDefault="00F64703" w:rsidP="00F64703">
      <w:pPr>
        <w:rPr>
          <w:lang w:eastAsia="en-AU"/>
        </w:rPr>
      </w:pPr>
      <w:r>
        <w:rPr>
          <w:lang w:eastAsia="en-AU"/>
        </w:rPr>
        <w:t xml:space="preserve">The Offeror’s proposed </w:t>
      </w:r>
      <w:r w:rsidR="009521D7">
        <w:rPr>
          <w:lang w:eastAsia="en-AU"/>
        </w:rPr>
        <w:t xml:space="preserve">Staff </w:t>
      </w:r>
      <w:r>
        <w:rPr>
          <w:lang w:eastAsia="en-AU"/>
        </w:rPr>
        <w:t>must meet the following Minimum Qualifications:</w:t>
      </w:r>
    </w:p>
    <w:tbl>
      <w:tblPr>
        <w:tblStyle w:val="TableGrid"/>
        <w:tblW w:w="0" w:type="auto"/>
        <w:tblInd w:w="648" w:type="dxa"/>
        <w:tblLook w:val="04A0" w:firstRow="1" w:lastRow="0" w:firstColumn="1" w:lastColumn="0" w:noHBand="0" w:noVBand="1"/>
        <w:tblCaption w:val="Proposed Staff Experience Table"/>
        <w:tblDescription w:val="Table of Proposed Staff Experience "/>
      </w:tblPr>
      <w:tblGrid>
        <w:gridCol w:w="816"/>
        <w:gridCol w:w="6811"/>
        <w:gridCol w:w="1080"/>
        <w:gridCol w:w="1216"/>
        <w:gridCol w:w="10"/>
      </w:tblGrid>
      <w:tr w:rsidR="00EF3E3A" w:rsidRPr="00E21848" w14:paraId="0A63B357" w14:textId="77777777" w:rsidTr="00BC58FC">
        <w:trPr>
          <w:gridAfter w:val="1"/>
          <w:wAfter w:w="10" w:type="dxa"/>
          <w:cantSplit/>
          <w:tblHeader/>
        </w:trPr>
        <w:tc>
          <w:tcPr>
            <w:tcW w:w="816" w:type="dxa"/>
            <w:shd w:val="clear" w:color="auto" w:fill="DEEAF6" w:themeFill="accent1" w:themeFillTint="33"/>
            <w:vAlign w:val="bottom"/>
          </w:tcPr>
          <w:p w14:paraId="37C9EDD9" w14:textId="77777777" w:rsidR="00EF3E3A" w:rsidRPr="00EF3E3A" w:rsidRDefault="00EF3E3A" w:rsidP="00EF3E3A">
            <w:pPr>
              <w:spacing w:after="0"/>
              <w:ind w:left="0"/>
              <w:jc w:val="center"/>
              <w:rPr>
                <w:rFonts w:cs="Arial"/>
                <w:b/>
                <w:color w:val="1F3864" w:themeColor="accent5" w:themeShade="80"/>
              </w:rPr>
            </w:pPr>
            <w:r w:rsidRPr="00EF3E3A">
              <w:rPr>
                <w:rFonts w:cs="Arial"/>
                <w:b/>
                <w:color w:val="1F3864" w:themeColor="accent5" w:themeShade="80"/>
              </w:rPr>
              <w:t>#</w:t>
            </w:r>
          </w:p>
        </w:tc>
        <w:tc>
          <w:tcPr>
            <w:tcW w:w="6811" w:type="dxa"/>
            <w:shd w:val="clear" w:color="auto" w:fill="DEEAF6" w:themeFill="accent1" w:themeFillTint="33"/>
            <w:vAlign w:val="bottom"/>
          </w:tcPr>
          <w:p w14:paraId="58B6684F" w14:textId="77777777" w:rsidR="00EF3E3A" w:rsidRPr="00EF3E3A" w:rsidRDefault="00EF3E3A" w:rsidP="00EF3E3A">
            <w:pPr>
              <w:spacing w:after="0"/>
              <w:ind w:left="0"/>
              <w:jc w:val="center"/>
              <w:rPr>
                <w:rFonts w:cs="Arial"/>
                <w:b/>
                <w:color w:val="1F3864" w:themeColor="accent5" w:themeShade="80"/>
              </w:rPr>
            </w:pPr>
            <w:r w:rsidRPr="00EF3E3A">
              <w:rPr>
                <w:rFonts w:cs="Arial"/>
                <w:b/>
                <w:color w:val="1F3864" w:themeColor="accent5" w:themeShade="80"/>
              </w:rPr>
              <w:t>Qualification Item</w:t>
            </w:r>
          </w:p>
        </w:tc>
        <w:tc>
          <w:tcPr>
            <w:tcW w:w="2296" w:type="dxa"/>
            <w:gridSpan w:val="2"/>
            <w:shd w:val="clear" w:color="auto" w:fill="DEEAF6" w:themeFill="accent1" w:themeFillTint="33"/>
            <w:vAlign w:val="bottom"/>
          </w:tcPr>
          <w:p w14:paraId="68CC8DAA" w14:textId="77777777" w:rsidR="00EF3E3A" w:rsidRPr="00EF3E3A" w:rsidRDefault="00EF3E3A" w:rsidP="00EF3E3A">
            <w:pPr>
              <w:spacing w:after="0"/>
              <w:ind w:left="0"/>
              <w:jc w:val="center"/>
              <w:rPr>
                <w:rFonts w:cs="Arial"/>
                <w:b/>
                <w:color w:val="1F3864" w:themeColor="accent5" w:themeShade="80"/>
              </w:rPr>
            </w:pPr>
            <w:r w:rsidRPr="00EF3E3A">
              <w:rPr>
                <w:rFonts w:cs="Arial"/>
                <w:b/>
                <w:color w:val="1F3864" w:themeColor="accent5" w:themeShade="80"/>
              </w:rPr>
              <w:t xml:space="preserve">Offeror </w:t>
            </w:r>
            <w:r w:rsidRPr="00EF3E3A">
              <w:rPr>
                <w:rFonts w:cs="Arial"/>
                <w:b/>
                <w:color w:val="1F3864" w:themeColor="accent5" w:themeShade="80"/>
              </w:rPr>
              <w:br/>
              <w:t>Agrees to Meet?</w:t>
            </w:r>
          </w:p>
        </w:tc>
      </w:tr>
      <w:tr w:rsidR="00EF3E3A" w:rsidRPr="006252D8" w14:paraId="36489948" w14:textId="77777777" w:rsidTr="00BC58FC">
        <w:trPr>
          <w:cantSplit/>
        </w:trPr>
        <w:tc>
          <w:tcPr>
            <w:tcW w:w="816" w:type="dxa"/>
          </w:tcPr>
          <w:p w14:paraId="2DE3B865" w14:textId="77777777" w:rsidR="00EF3E3A" w:rsidRPr="006252D8" w:rsidRDefault="00EF3E3A" w:rsidP="00EF3E3A">
            <w:pPr>
              <w:ind w:left="0"/>
              <w:jc w:val="center"/>
            </w:pPr>
            <w:r w:rsidRPr="006252D8">
              <w:t>1</w:t>
            </w:r>
          </w:p>
        </w:tc>
        <w:tc>
          <w:tcPr>
            <w:tcW w:w="6811" w:type="dxa"/>
          </w:tcPr>
          <w:p w14:paraId="1425BF7B" w14:textId="22182D03" w:rsidR="00EF3E3A" w:rsidRPr="006252D8" w:rsidRDefault="00EF3E3A" w:rsidP="00EF3E3A">
            <w:pPr>
              <w:ind w:left="0"/>
            </w:pPr>
            <w:r>
              <w:t>Project Manager must have at least five (5) years of experience working as a Project Manager on IT projects with three (3) years of experience working as a Project Manager for Offeror implementing their UI solution.</w:t>
            </w:r>
          </w:p>
        </w:tc>
        <w:tc>
          <w:tcPr>
            <w:tcW w:w="1080" w:type="dxa"/>
            <w:vAlign w:val="center"/>
          </w:tcPr>
          <w:p w14:paraId="072F7B6C" w14:textId="77777777" w:rsidR="00EF3E3A" w:rsidRPr="006252D8" w:rsidRDefault="00EF3E3A" w:rsidP="00EF3E3A">
            <w:pPr>
              <w:ind w:left="0"/>
              <w:jc w:val="center"/>
            </w:pPr>
            <w:r>
              <w:t>Yes</w:t>
            </w:r>
          </w:p>
        </w:tc>
        <w:tc>
          <w:tcPr>
            <w:tcW w:w="1226" w:type="dxa"/>
            <w:gridSpan w:val="2"/>
            <w:vAlign w:val="center"/>
          </w:tcPr>
          <w:p w14:paraId="439E9861" w14:textId="77777777" w:rsidR="00EF3E3A" w:rsidRPr="006252D8" w:rsidRDefault="00EF3E3A" w:rsidP="00EF3E3A">
            <w:pPr>
              <w:ind w:left="0"/>
              <w:jc w:val="center"/>
            </w:pPr>
            <w:r>
              <w:t>No</w:t>
            </w:r>
          </w:p>
        </w:tc>
      </w:tr>
      <w:tr w:rsidR="00EF3E3A" w:rsidRPr="006252D8" w14:paraId="2277F0C5" w14:textId="77777777" w:rsidTr="00BC58FC">
        <w:trPr>
          <w:cantSplit/>
        </w:trPr>
        <w:tc>
          <w:tcPr>
            <w:tcW w:w="816" w:type="dxa"/>
          </w:tcPr>
          <w:p w14:paraId="1A2D230B" w14:textId="77777777" w:rsidR="00EF3E3A" w:rsidRPr="006252D8" w:rsidRDefault="00EF3E3A" w:rsidP="00EF3E3A">
            <w:pPr>
              <w:ind w:left="0"/>
              <w:jc w:val="center"/>
            </w:pPr>
            <w:r w:rsidRPr="006252D8">
              <w:t>2</w:t>
            </w:r>
          </w:p>
        </w:tc>
        <w:tc>
          <w:tcPr>
            <w:tcW w:w="6811" w:type="dxa"/>
          </w:tcPr>
          <w:p w14:paraId="50A62633" w14:textId="35F86F74" w:rsidR="00EF3E3A" w:rsidRPr="006252D8" w:rsidRDefault="00EF3E3A" w:rsidP="00EF3E3A">
            <w:pPr>
              <w:ind w:left="0"/>
            </w:pPr>
            <w:r>
              <w:t xml:space="preserve">Project Manager must have three (3) years of experience working as a Project Manager on IT projects involving </w:t>
            </w:r>
            <w:r w:rsidR="00766605">
              <w:t>Federal</w:t>
            </w:r>
            <w:r>
              <w:t xml:space="preserve"> reporting practices and environment.</w:t>
            </w:r>
          </w:p>
        </w:tc>
        <w:tc>
          <w:tcPr>
            <w:tcW w:w="1080" w:type="dxa"/>
            <w:vAlign w:val="center"/>
          </w:tcPr>
          <w:p w14:paraId="11145E21" w14:textId="77777777" w:rsidR="00EF3E3A" w:rsidRPr="006252D8" w:rsidRDefault="00EF3E3A" w:rsidP="00EF3E3A">
            <w:pPr>
              <w:ind w:left="0"/>
              <w:jc w:val="center"/>
            </w:pPr>
            <w:r>
              <w:t>Yes</w:t>
            </w:r>
          </w:p>
        </w:tc>
        <w:tc>
          <w:tcPr>
            <w:tcW w:w="1226" w:type="dxa"/>
            <w:gridSpan w:val="2"/>
            <w:vAlign w:val="center"/>
          </w:tcPr>
          <w:p w14:paraId="556BC52B" w14:textId="77777777" w:rsidR="00EF3E3A" w:rsidRPr="006252D8" w:rsidRDefault="00EF3E3A" w:rsidP="00EF3E3A">
            <w:pPr>
              <w:ind w:left="0"/>
              <w:jc w:val="center"/>
            </w:pPr>
            <w:r>
              <w:t>No</w:t>
            </w:r>
          </w:p>
        </w:tc>
      </w:tr>
    </w:tbl>
    <w:p w14:paraId="0B463A82" w14:textId="6B5FC081" w:rsidR="006A6341" w:rsidRDefault="006A6341" w:rsidP="006A6341">
      <w:pPr>
        <w:pStyle w:val="Heading2"/>
      </w:pPr>
      <w:bookmarkStart w:id="234" w:name="_Toc13567468"/>
      <w:r>
        <w:lastRenderedPageBreak/>
        <w:t>9.2</w:t>
      </w:r>
      <w:r>
        <w:tab/>
      </w:r>
      <w:r w:rsidR="00DC26CA">
        <w:t>Key Personnel</w:t>
      </w:r>
      <w:bookmarkEnd w:id="234"/>
    </w:p>
    <w:p w14:paraId="70F9AF32" w14:textId="39AE2A2B" w:rsidR="00DC26CA" w:rsidRDefault="00DC26CA" w:rsidP="006A6341">
      <w:r>
        <w:t>Key Personnel are Awarded Vendor staff that, should they leave during the performance period, will, in TWC’s opinion, have a substantial negative impact on the Awarded Vendor’s performance under the Contract.</w:t>
      </w:r>
      <w:r w:rsidRPr="00F45462">
        <w:t xml:space="preserve"> </w:t>
      </w:r>
    </w:p>
    <w:p w14:paraId="203F4B7F" w14:textId="1360506A" w:rsidR="006A6341" w:rsidRDefault="00DC26CA" w:rsidP="006A6341">
      <w:r w:rsidRPr="00F45462">
        <w:t>Key Personnel are defined as the following six roles</w:t>
      </w:r>
      <w:r>
        <w:t>:</w:t>
      </w:r>
    </w:p>
    <w:p w14:paraId="2ADAAD0B" w14:textId="4BC79318" w:rsidR="00DC26CA" w:rsidRDefault="00DC26CA" w:rsidP="00E16D2D">
      <w:pPr>
        <w:pStyle w:val="LB1"/>
        <w:rPr>
          <w:lang w:eastAsia="en-AU"/>
        </w:rPr>
      </w:pPr>
      <w:r>
        <w:rPr>
          <w:lang w:eastAsia="en-AU"/>
        </w:rPr>
        <w:t xml:space="preserve">Project </w:t>
      </w:r>
      <w:r w:rsidRPr="00F42BDE">
        <w:t>Manager (submit resume with proposal)</w:t>
      </w:r>
    </w:p>
    <w:p w14:paraId="75472BC3" w14:textId="3431ABF4" w:rsidR="00F25B64" w:rsidRDefault="00F25B64" w:rsidP="00F25B64">
      <w:pPr>
        <w:pStyle w:val="LB1"/>
        <w:rPr>
          <w:lang w:eastAsia="en-AU"/>
        </w:rPr>
      </w:pPr>
      <w:r>
        <w:t>Lead System</w:t>
      </w:r>
      <w:r w:rsidRPr="00F42BDE">
        <w:t xml:space="preserve"> Architect (submit resume with proposal)</w:t>
      </w:r>
    </w:p>
    <w:p w14:paraId="6A770C75" w14:textId="36DEDBFC" w:rsidR="008153A5" w:rsidRDefault="008153A5" w:rsidP="008153A5">
      <w:pPr>
        <w:pStyle w:val="LB1"/>
        <w:rPr>
          <w:lang w:eastAsia="en-AU"/>
        </w:rPr>
      </w:pPr>
      <w:r>
        <w:t xml:space="preserve">Lead </w:t>
      </w:r>
      <w:r w:rsidRPr="00F42BDE">
        <w:t>Data</w:t>
      </w:r>
      <w:r>
        <w:t xml:space="preserve"> Architect </w:t>
      </w:r>
      <w:r w:rsidRPr="00F42BDE">
        <w:t>(submit resume with proposal)</w:t>
      </w:r>
    </w:p>
    <w:p w14:paraId="4D88BED8" w14:textId="46D5FFF4" w:rsidR="00105AFA" w:rsidRDefault="00105AFA" w:rsidP="00105AFA">
      <w:pPr>
        <w:pStyle w:val="LB1"/>
        <w:rPr>
          <w:lang w:eastAsia="en-AU"/>
        </w:rPr>
      </w:pPr>
      <w:r>
        <w:t>Lead Software Developer/Programmer</w:t>
      </w:r>
      <w:r w:rsidRPr="00F42BDE">
        <w:t xml:space="preserve"> (submit resume with proposal)</w:t>
      </w:r>
    </w:p>
    <w:p w14:paraId="120E49B3" w14:textId="3FDDBEB8" w:rsidR="00105AFA" w:rsidRDefault="00105AFA" w:rsidP="00105AFA">
      <w:pPr>
        <w:pStyle w:val="LB1"/>
        <w:rPr>
          <w:lang w:eastAsia="en-AU"/>
        </w:rPr>
      </w:pPr>
      <w:r>
        <w:t xml:space="preserve">Lead Business Analyst </w:t>
      </w:r>
      <w:r w:rsidRPr="00F42BDE">
        <w:t>(submit resume with proposal)</w:t>
      </w:r>
    </w:p>
    <w:p w14:paraId="1D11C184" w14:textId="77777777" w:rsidR="00105AFA" w:rsidRDefault="00105AFA" w:rsidP="00DC26CA"/>
    <w:p w14:paraId="5B91E786" w14:textId="4A82F585" w:rsidR="00DC26CA" w:rsidRPr="00F42BDE" w:rsidRDefault="00DC26CA" w:rsidP="00DC26CA">
      <w:r w:rsidRPr="00F42BDE">
        <w:t xml:space="preserve">Key Personnel shall be available to perform Contract requirements 30 days from the </w:t>
      </w:r>
      <w:r>
        <w:t>AoC d</w:t>
      </w:r>
      <w:r w:rsidRPr="00F42BDE">
        <w:t>ate.  Unless explicitly</w:t>
      </w:r>
      <w:r>
        <w:t xml:space="preserve"> </w:t>
      </w:r>
      <w:r w:rsidRPr="00F42BDE">
        <w:t xml:space="preserve">authorized by the </w:t>
      </w:r>
      <w:r w:rsidRPr="00DC26CA">
        <w:t xml:space="preserve">TWC Contract Manager </w:t>
      </w:r>
      <w:r w:rsidRPr="00F42BDE">
        <w:t>or specified in the Contract, Key Personnel shall be assigned as a dedicated resource.</w:t>
      </w:r>
    </w:p>
    <w:p w14:paraId="076BF133" w14:textId="736A086A" w:rsidR="00DC26CA" w:rsidRPr="00F42BDE" w:rsidRDefault="00DC26CA" w:rsidP="00DC26CA">
      <w:r w:rsidRPr="00F42BDE">
        <w:t xml:space="preserve">Key personnel shall perform continuously for the duration of the Contract, or such lesser duration as specified in the Technical Proposal.  Key Personnel may not be removed by the </w:t>
      </w:r>
      <w:r w:rsidR="0017696C">
        <w:t xml:space="preserve">Awarded Vendor </w:t>
      </w:r>
      <w:r w:rsidRPr="00F42BDE">
        <w:t xml:space="preserve">from working under the Contract without the prior written approval of the </w:t>
      </w:r>
      <w:r w:rsidRPr="00DC26CA">
        <w:t>TWC Contract Manager</w:t>
      </w:r>
      <w:r w:rsidRPr="00F42BDE">
        <w:t xml:space="preserve">.  </w:t>
      </w:r>
    </w:p>
    <w:p w14:paraId="183BCC5D" w14:textId="5804A8C6" w:rsidR="00DC26CA" w:rsidRDefault="00DC26CA" w:rsidP="00DC26CA">
      <w:r w:rsidRPr="00F42BDE">
        <w:t xml:space="preserve">The provisions of this section apply to Contractor Personnel and Key Personnel </w:t>
      </w:r>
      <w:r w:rsidR="00023990">
        <w:t>working on this Project</w:t>
      </w:r>
      <w:r w:rsidR="0017696C">
        <w:t>.</w:t>
      </w:r>
    </w:p>
    <w:p w14:paraId="5F9B0FE1" w14:textId="1901DAE9" w:rsidR="006D4FC7" w:rsidRDefault="006D4FC7" w:rsidP="006D4FC7">
      <w:pPr>
        <w:pStyle w:val="Heading3"/>
      </w:pPr>
      <w:bookmarkStart w:id="235" w:name="_Toc13567469"/>
      <w:r>
        <w:t>9.2.1</w:t>
      </w:r>
      <w:r>
        <w:tab/>
        <w:t>Key Personnel Minimum Qualifications</w:t>
      </w:r>
      <w:bookmarkEnd w:id="235"/>
    </w:p>
    <w:p w14:paraId="2A2755F1" w14:textId="79539942" w:rsidR="006D4FC7" w:rsidRPr="00BE4103" w:rsidRDefault="006D4FC7" w:rsidP="006D4FC7">
      <w:r w:rsidRPr="00BE4103">
        <w:t xml:space="preserve">Offeror’s team must include, at a minimum, </w:t>
      </w:r>
      <w:r w:rsidR="001F2DA9">
        <w:t xml:space="preserve">the following </w:t>
      </w:r>
      <w:r w:rsidRPr="00BE4103">
        <w:t>dedicated Key</w:t>
      </w:r>
      <w:r>
        <w:t xml:space="preserve"> P</w:t>
      </w:r>
      <w:r w:rsidRPr="00BE4103">
        <w:t>ersonnel</w:t>
      </w:r>
      <w:r w:rsidR="00E6471C">
        <w:t>:</w:t>
      </w:r>
      <w:r w:rsidR="00E863F1">
        <w:t xml:space="preserve"> </w:t>
      </w:r>
    </w:p>
    <w:p w14:paraId="32D4BDA2" w14:textId="7088D105" w:rsidR="00D21CE9" w:rsidRDefault="00D21CE9" w:rsidP="00D21CE9">
      <w:pPr>
        <w:pStyle w:val="Heading4"/>
      </w:pPr>
      <w:r>
        <w:tab/>
        <w:t>Project Manager</w:t>
      </w:r>
    </w:p>
    <w:p w14:paraId="57BBCDCC" w14:textId="65B2479D" w:rsidR="00B7471E" w:rsidRDefault="00B7471E" w:rsidP="00B7471E">
      <w:r>
        <w:t xml:space="preserve">The Offeror’s Project Manager must </w:t>
      </w:r>
      <w:r w:rsidR="00910072">
        <w:t>meet or exceed</w:t>
      </w:r>
      <w:r>
        <w:t xml:space="preserve"> the following minimum qualifications:</w:t>
      </w:r>
    </w:p>
    <w:p w14:paraId="5BA309E2" w14:textId="7123F464" w:rsidR="00D21CE9" w:rsidRPr="00B7471E" w:rsidRDefault="00B7471E" w:rsidP="00B7471E">
      <w:pPr>
        <w:pStyle w:val="LB1"/>
      </w:pPr>
      <w:r w:rsidRPr="00B7471E">
        <w:t>Successfully managed at least two (2) or more IT project(s) which each</w:t>
      </w:r>
      <w:r>
        <w:t>:</w:t>
      </w:r>
    </w:p>
    <w:p w14:paraId="540ABC35" w14:textId="3B3A36D0" w:rsidR="00B7471E" w:rsidRPr="00B7471E" w:rsidRDefault="00B7471E" w:rsidP="00B7471E">
      <w:pPr>
        <w:pStyle w:val="OB1"/>
      </w:pPr>
      <w:r>
        <w:t>H</w:t>
      </w:r>
      <w:r w:rsidRPr="00B7471E">
        <w:t>ad a budget of at least $10 million in IT application development services</w:t>
      </w:r>
      <w:r>
        <w:t>;</w:t>
      </w:r>
      <w:r w:rsidRPr="00B7471E">
        <w:t xml:space="preserve"> </w:t>
      </w:r>
    </w:p>
    <w:p w14:paraId="33368BF9" w14:textId="4355AF8A" w:rsidR="00B7471E" w:rsidRPr="00B7471E" w:rsidRDefault="00B7471E" w:rsidP="00B7471E">
      <w:pPr>
        <w:pStyle w:val="OB1"/>
      </w:pPr>
      <w:r>
        <w:t>S</w:t>
      </w:r>
      <w:r w:rsidRPr="00B7471E">
        <w:t>panned at least a three (3) year timeline</w:t>
      </w:r>
      <w:r>
        <w:t>;</w:t>
      </w:r>
    </w:p>
    <w:p w14:paraId="35AD0AA5" w14:textId="26B1A576" w:rsidR="00B7471E" w:rsidRPr="00B7471E" w:rsidRDefault="00B7471E" w:rsidP="00B7471E">
      <w:pPr>
        <w:pStyle w:val="OB1"/>
      </w:pPr>
      <w:r>
        <w:t>H</w:t>
      </w:r>
      <w:r w:rsidRPr="00B7471E">
        <w:t>ad complexities requiring coordination of work between multiple entities and contractors in a distributed environment. A successful project is defined as a project that met all of its stated objectives</w:t>
      </w:r>
      <w:r>
        <w:t xml:space="preserve"> to the customer’s satisfaction;</w:t>
      </w:r>
      <w:r w:rsidRPr="00B7471E">
        <w:t xml:space="preserve"> and</w:t>
      </w:r>
    </w:p>
    <w:p w14:paraId="2997BF52" w14:textId="2DA73D3C" w:rsidR="00B7471E" w:rsidRPr="00E41F85" w:rsidRDefault="00B7471E" w:rsidP="00B7471E">
      <w:pPr>
        <w:pStyle w:val="OB1"/>
      </w:pPr>
      <w:r>
        <w:t>H</w:t>
      </w:r>
      <w:r w:rsidRPr="00B7471E">
        <w:t>ad similar scale to th</w:t>
      </w:r>
      <w:r>
        <w:t>is</w:t>
      </w:r>
      <w:r w:rsidRPr="00B7471E">
        <w:t xml:space="preserve"> </w:t>
      </w:r>
      <w:r>
        <w:t>Project</w:t>
      </w:r>
      <w:r w:rsidRPr="00B7471E">
        <w:t>, and that must have included the system development phases associated with design through deployment and full client acceptance. As proof of this requirement, references should be provided for both projects, but must include at least one reference for each $10 million IT project</w:t>
      </w:r>
      <w:r w:rsidR="003D35D0">
        <w:t>;</w:t>
      </w:r>
    </w:p>
    <w:p w14:paraId="05B09C49" w14:textId="77777777" w:rsidR="00B7471E" w:rsidRPr="00875170" w:rsidRDefault="00B7471E" w:rsidP="00875170">
      <w:pPr>
        <w:pStyle w:val="LB1"/>
      </w:pPr>
      <w:r w:rsidRPr="00875170">
        <w:lastRenderedPageBreak/>
        <w:t>A minimum of ten (10) years or more of project management experience in the public or private sector;</w:t>
      </w:r>
    </w:p>
    <w:p w14:paraId="0BA3A08A" w14:textId="77777777" w:rsidR="00B7471E" w:rsidRPr="00875170" w:rsidRDefault="00B7471E" w:rsidP="00875170">
      <w:pPr>
        <w:pStyle w:val="LB1"/>
      </w:pPr>
      <w:r w:rsidRPr="00875170">
        <w:t>Project management experience in one (1) or more of the following business applications: UI, Financial Accounting, Case Management, Government Revenue, Insurance, or Claim Processing;</w:t>
      </w:r>
    </w:p>
    <w:p w14:paraId="281B3649" w14:textId="77777777" w:rsidR="00B7471E" w:rsidRPr="00875170" w:rsidRDefault="00B7471E" w:rsidP="00875170">
      <w:pPr>
        <w:pStyle w:val="LB1"/>
      </w:pPr>
      <w:r w:rsidRPr="00875170">
        <w:t>A minimum of ten (10) years of hands-on experience using project management methodologies and associated tools and metrics;</w:t>
      </w:r>
    </w:p>
    <w:p w14:paraId="2A2C4075" w14:textId="77777777" w:rsidR="00B7471E" w:rsidRPr="00875170" w:rsidRDefault="00B7471E" w:rsidP="00875170">
      <w:pPr>
        <w:pStyle w:val="LB1"/>
      </w:pPr>
      <w:r w:rsidRPr="00875170">
        <w:t>A minimum of ten (10) years of experience with iterative information system development methodologies;</w:t>
      </w:r>
    </w:p>
    <w:p w14:paraId="59A2AD41" w14:textId="52A53049" w:rsidR="00C14141" w:rsidRDefault="00C14141" w:rsidP="00C14141">
      <w:pPr>
        <w:pStyle w:val="LB1"/>
      </w:pPr>
      <w:r>
        <w:t>A current Project Management Professional (PMP) credential from the Project Management Institute (PMI);</w:t>
      </w:r>
    </w:p>
    <w:p w14:paraId="4360AB7D" w14:textId="72BD3B0A" w:rsidR="00B7471E" w:rsidRPr="00875170" w:rsidRDefault="00B7471E" w:rsidP="00875170">
      <w:pPr>
        <w:pStyle w:val="LB1"/>
      </w:pPr>
      <w:r w:rsidRPr="00875170">
        <w:t xml:space="preserve">A minimum of a bachelor’s degree from an accredited college or university. If the degree has been obtained in </w:t>
      </w:r>
      <w:r w:rsidR="00875170">
        <w:t>a</w:t>
      </w:r>
      <w:r w:rsidRPr="00875170">
        <w:t xml:space="preserve">nother country, it is required that the degree or coursework be evaluated for equivalency. </w:t>
      </w:r>
      <w:r w:rsidR="00C14141">
        <w:t>TWC</w:t>
      </w:r>
      <w:r w:rsidR="00C14141" w:rsidRPr="00875170">
        <w:t xml:space="preserve"> accept</w:t>
      </w:r>
      <w:r w:rsidR="00C14141">
        <w:t>s</w:t>
      </w:r>
      <w:r w:rsidRPr="00875170">
        <w:t xml:space="preserve"> evaluations performed by companies that are current National Association of Credential Evaluation Services (NACES) members – http://www.naces.org. The </w:t>
      </w:r>
      <w:r w:rsidR="00875170">
        <w:t>Offeror</w:t>
      </w:r>
      <w:r w:rsidRPr="00875170">
        <w:t xml:space="preserve"> is responsible for any evaluation fees;</w:t>
      </w:r>
      <w:r w:rsidR="00875170">
        <w:t xml:space="preserve"> and</w:t>
      </w:r>
    </w:p>
    <w:p w14:paraId="7FB08B16" w14:textId="23090C3E" w:rsidR="00D21CE9" w:rsidRDefault="00B7471E" w:rsidP="00875170">
      <w:pPr>
        <w:pStyle w:val="LB1"/>
      </w:pPr>
      <w:r w:rsidRPr="00875170">
        <w:t>Written at least one (1) project guide or led at least one (1) project training which communicated and translated technical terminology, concepts, and issues in terms understandable to technical and non-technical management and staff.</w:t>
      </w:r>
    </w:p>
    <w:p w14:paraId="14614F27" w14:textId="77777777" w:rsidR="00BF22BD" w:rsidRDefault="00BF22BD" w:rsidP="00BF22BD"/>
    <w:p w14:paraId="5A9D5932" w14:textId="36C4C9AD" w:rsidR="00BF22BD" w:rsidRDefault="00BF22BD" w:rsidP="00BF22BD">
      <w:r>
        <w:t>The Offeror’s Project Manager should have some or all of the following desired qualifications:</w:t>
      </w:r>
    </w:p>
    <w:p w14:paraId="1FD7ED6B" w14:textId="413FD8A2" w:rsidR="00BF22BD" w:rsidRDefault="00BF22BD" w:rsidP="00BF22BD">
      <w:pPr>
        <w:pStyle w:val="LB1"/>
      </w:pPr>
      <w:r>
        <w:t>A minimum of ten (10) years or better of experience in managing systems architecture development</w:t>
      </w:r>
      <w:r w:rsidR="00FD51A9">
        <w:t>, software development,</w:t>
      </w:r>
      <w:r>
        <w:t xml:space="preserve"> and implementation projects;</w:t>
      </w:r>
    </w:p>
    <w:p w14:paraId="3A763B2B" w14:textId="403474E4" w:rsidR="00BF22BD" w:rsidRDefault="00BF22BD" w:rsidP="00BF22BD">
      <w:pPr>
        <w:pStyle w:val="LB1"/>
      </w:pPr>
      <w:r>
        <w:t>Led two (2) or more projects that involved designing business processes and procedures and developing new systems;</w:t>
      </w:r>
    </w:p>
    <w:p w14:paraId="7FEE9D58" w14:textId="5D86C948" w:rsidR="00BF22BD" w:rsidRDefault="00BF22BD" w:rsidP="00BF22BD">
      <w:pPr>
        <w:pStyle w:val="LB1"/>
      </w:pPr>
      <w:r>
        <w:t>Led three (3) or more projects that involved communication and customer relationship management activities with both internal and external stakeholders;</w:t>
      </w:r>
    </w:p>
    <w:p w14:paraId="45DB8DBB" w14:textId="77777777" w:rsidR="00BF22BD" w:rsidRDefault="00BF22BD" w:rsidP="00121B3C">
      <w:pPr>
        <w:pStyle w:val="LB1"/>
      </w:pPr>
      <w:r>
        <w:t>A minimum of three (3) years of experience in the UI automation field;</w:t>
      </w:r>
    </w:p>
    <w:p w14:paraId="33094BA4" w14:textId="009562D5" w:rsidR="00BF22BD" w:rsidRDefault="00BF22BD" w:rsidP="00121B3C">
      <w:pPr>
        <w:pStyle w:val="LB1"/>
      </w:pPr>
      <w:r>
        <w:t>Experience as a Project Manager on at least one (1) large scale development which involved migration of data from a le</w:t>
      </w:r>
      <w:r w:rsidR="00C14141">
        <w:t xml:space="preserve">gacy system to the new </w:t>
      </w:r>
      <w:r w:rsidR="00023990">
        <w:t>UI solution</w:t>
      </w:r>
      <w:r w:rsidR="00C14141">
        <w:t>; and</w:t>
      </w:r>
    </w:p>
    <w:p w14:paraId="00644B6A" w14:textId="734D7FD4" w:rsidR="00BF22BD" w:rsidRDefault="00BF22BD" w:rsidP="00BF22BD">
      <w:pPr>
        <w:pStyle w:val="LB1"/>
      </w:pPr>
      <w:r>
        <w:t xml:space="preserve">A technology related master’s or postgraduate degree from an accredited college or university in an area that supports the skills needed for managing the </w:t>
      </w:r>
      <w:r w:rsidR="00023990">
        <w:t>UI solution</w:t>
      </w:r>
      <w:r>
        <w:t xml:space="preserve">. </w:t>
      </w:r>
      <w:r w:rsidR="00C14141" w:rsidRPr="00875170">
        <w:t xml:space="preserve">If the degree has been obtained in </w:t>
      </w:r>
      <w:r w:rsidR="00C14141">
        <w:t>a</w:t>
      </w:r>
      <w:r w:rsidR="00C14141" w:rsidRPr="00875170">
        <w:t xml:space="preserve">nother country, it is required that the degree or coursework be evaluated for equivalency. </w:t>
      </w:r>
      <w:r w:rsidR="00C14141">
        <w:t>TWC</w:t>
      </w:r>
      <w:r w:rsidR="00C14141" w:rsidRPr="00875170">
        <w:t xml:space="preserve"> accept</w:t>
      </w:r>
      <w:r w:rsidR="00C14141">
        <w:t>s</w:t>
      </w:r>
      <w:r w:rsidR="00C14141" w:rsidRPr="00875170">
        <w:t xml:space="preserve"> evaluations performed by companies that are current </w:t>
      </w:r>
      <w:r w:rsidR="00525A5D" w:rsidRPr="00875170">
        <w:t xml:space="preserve">NACES </w:t>
      </w:r>
      <w:r w:rsidR="00C14141" w:rsidRPr="00875170">
        <w:t xml:space="preserve">members – http://www.naces.org. The </w:t>
      </w:r>
      <w:r w:rsidR="00C14141">
        <w:t>Offeror</w:t>
      </w:r>
      <w:r w:rsidR="00C14141" w:rsidRPr="00875170">
        <w:t xml:space="preserve"> is responsible for any evaluation fees</w:t>
      </w:r>
      <w:r w:rsidR="00C14141">
        <w:t>.</w:t>
      </w:r>
    </w:p>
    <w:p w14:paraId="2D276012" w14:textId="77777777" w:rsidR="00BF22BD" w:rsidRPr="00875170" w:rsidRDefault="00BF22BD" w:rsidP="00BF22BD"/>
    <w:p w14:paraId="67A6CD86" w14:textId="3FFD86E8" w:rsidR="00E6471C" w:rsidRDefault="00E6471C" w:rsidP="00E6471C">
      <w:pPr>
        <w:pStyle w:val="Heading4"/>
      </w:pPr>
      <w:r>
        <w:lastRenderedPageBreak/>
        <w:tab/>
      </w:r>
      <w:r w:rsidR="00910072">
        <w:t>Lead System Architect</w:t>
      </w:r>
      <w:r>
        <w:t xml:space="preserve"> Minimum Qualifications</w:t>
      </w:r>
    </w:p>
    <w:p w14:paraId="69C5CCC2" w14:textId="0654F183" w:rsidR="00910072" w:rsidRDefault="00910072" w:rsidP="00910072">
      <w:r>
        <w:t>The Offeror’s Lead System Architect must meet or exceed the following minimum qualifications:</w:t>
      </w:r>
    </w:p>
    <w:p w14:paraId="787016CE" w14:textId="6209E41C" w:rsidR="00910072" w:rsidRDefault="00910072" w:rsidP="00121B3C">
      <w:pPr>
        <w:pStyle w:val="LB1"/>
      </w:pPr>
      <w:r>
        <w:t>Experience in this role on two (2) or more projects which each had budgets of at least $10 million in IT application development services and spanned at least a three (3) year timeline;</w:t>
      </w:r>
    </w:p>
    <w:p w14:paraId="373DBB9F" w14:textId="22153E34" w:rsidR="00910072" w:rsidRDefault="00910072" w:rsidP="00121B3C">
      <w:pPr>
        <w:pStyle w:val="LB1"/>
      </w:pPr>
      <w:r>
        <w:t>Experience in this role on one (1) or more successful UI or Government Revenue system projects;</w:t>
      </w:r>
    </w:p>
    <w:p w14:paraId="5CC33E9F" w14:textId="1D6C5287" w:rsidR="00910072" w:rsidRDefault="00910072" w:rsidP="00121B3C">
      <w:pPr>
        <w:pStyle w:val="LB1"/>
      </w:pPr>
      <w:r>
        <w:t xml:space="preserve">A minimum of ten (10) years of experience in systems architectural analysis and design work related to the </w:t>
      </w:r>
      <w:r w:rsidR="00023990">
        <w:t>UI solution</w:t>
      </w:r>
      <w:r>
        <w:t>;</w:t>
      </w:r>
    </w:p>
    <w:p w14:paraId="2758940C" w14:textId="14080185" w:rsidR="00910072" w:rsidRDefault="00910072" w:rsidP="00121B3C">
      <w:pPr>
        <w:pStyle w:val="LB1"/>
      </w:pPr>
      <w:r>
        <w:t xml:space="preserve">Experience working on two (2) or more projects that utilize the software development methodology being proposed in the </w:t>
      </w:r>
      <w:r w:rsidR="00023990">
        <w:t>Offeror’s UI solution</w:t>
      </w:r>
      <w:r>
        <w:t>;</w:t>
      </w:r>
    </w:p>
    <w:p w14:paraId="0C345A04" w14:textId="1B87A32D" w:rsidR="00910072" w:rsidRDefault="00910072" w:rsidP="00910072">
      <w:pPr>
        <w:pStyle w:val="LB1"/>
      </w:pPr>
      <w:r>
        <w:t>Over seven (7) years of experience with object-oriented design and development tools;</w:t>
      </w:r>
    </w:p>
    <w:p w14:paraId="29D07ACD" w14:textId="6C78D28D" w:rsidR="00910072" w:rsidRDefault="00910072" w:rsidP="00121B3C">
      <w:pPr>
        <w:pStyle w:val="LB1"/>
      </w:pPr>
      <w:r>
        <w:t>A minimum of ten (10) years of experience creating technical roadmaps for complex systems</w:t>
      </w:r>
      <w:r w:rsidR="00BD265D">
        <w:t xml:space="preserve"> </w:t>
      </w:r>
      <w:r>
        <w:t>being deployed using a phased approach that allows lessons learned in early phases to be</w:t>
      </w:r>
      <w:r w:rsidR="00BD265D">
        <w:t xml:space="preserve"> </w:t>
      </w:r>
      <w:r>
        <w:t>inc</w:t>
      </w:r>
      <w:r w:rsidR="00BD265D">
        <w:t>orporated into the later phases;</w:t>
      </w:r>
    </w:p>
    <w:p w14:paraId="3341466E" w14:textId="538322FC" w:rsidR="00910072" w:rsidRDefault="00910072" w:rsidP="00121B3C">
      <w:pPr>
        <w:pStyle w:val="LB1"/>
      </w:pPr>
      <w:r>
        <w:t>A minimum of seven (7) years of experience in architecture, design and implementation of highly</w:t>
      </w:r>
      <w:r w:rsidR="00BD265D">
        <w:t xml:space="preserve"> </w:t>
      </w:r>
      <w:r>
        <w:t>available, scalable, and maintainable en</w:t>
      </w:r>
      <w:r w:rsidR="00BD265D">
        <w:t>terprise architecture solutions;</w:t>
      </w:r>
    </w:p>
    <w:p w14:paraId="7648B932" w14:textId="45682B80" w:rsidR="00910072" w:rsidRDefault="00910072" w:rsidP="00121B3C">
      <w:pPr>
        <w:pStyle w:val="LB1"/>
      </w:pPr>
      <w:r>
        <w:t>A minimum of seven (7) years of experience in performance tuning, optimizing and</w:t>
      </w:r>
      <w:r w:rsidR="00BD265D">
        <w:t xml:space="preserve"> </w:t>
      </w:r>
      <w:r>
        <w:t>troubleshooting ente</w:t>
      </w:r>
      <w:r w:rsidR="00BD265D">
        <w:t>rprise systems;</w:t>
      </w:r>
    </w:p>
    <w:p w14:paraId="7EACB3E4" w14:textId="2D2B4156" w:rsidR="00910072" w:rsidRDefault="0023451D" w:rsidP="00910072">
      <w:pPr>
        <w:pStyle w:val="LB1"/>
      </w:pPr>
      <w:r w:rsidRPr="00875170">
        <w:t xml:space="preserve">A minimum of a bachelor’s degree from an accredited college or university. If the degree has been obtained in </w:t>
      </w:r>
      <w:r>
        <w:t>a</w:t>
      </w:r>
      <w:r w:rsidRPr="00875170">
        <w:t xml:space="preserve">nother country, it is required that the degree or coursework be evaluated for equivalency. </w:t>
      </w:r>
      <w:r>
        <w:t>TWC</w:t>
      </w:r>
      <w:r w:rsidRPr="00875170">
        <w:t xml:space="preserve"> accept</w:t>
      </w:r>
      <w:r>
        <w:t>s</w:t>
      </w:r>
      <w:r w:rsidRPr="00875170">
        <w:t xml:space="preserve"> evaluations performed by companies that are current </w:t>
      </w:r>
      <w:r w:rsidR="00525A5D" w:rsidRPr="00875170">
        <w:t>NACES</w:t>
      </w:r>
      <w:r w:rsidRPr="00875170">
        <w:t xml:space="preserve"> members – http://www.naces.org. The </w:t>
      </w:r>
      <w:r>
        <w:t>Offeror</w:t>
      </w:r>
      <w:r w:rsidRPr="00875170">
        <w:t xml:space="preserve"> is responsible for any evaluation fees;</w:t>
      </w:r>
      <w:r>
        <w:t xml:space="preserve"> and</w:t>
      </w:r>
    </w:p>
    <w:p w14:paraId="798C1B3E" w14:textId="0AF42D97" w:rsidR="00910072" w:rsidRDefault="00910072" w:rsidP="00121B3C">
      <w:pPr>
        <w:pStyle w:val="LB1"/>
      </w:pPr>
      <w:r>
        <w:t>Written at least one (1) project guide or led at least one (1) project training which communicated</w:t>
      </w:r>
      <w:r w:rsidR="0023451D">
        <w:t xml:space="preserve"> </w:t>
      </w:r>
      <w:r>
        <w:t>and translated technical terminology, concepts, and issues</w:t>
      </w:r>
      <w:r w:rsidR="0023451D">
        <w:t xml:space="preserve"> </w:t>
      </w:r>
      <w:r>
        <w:t>in terms understandable to technical and non-technical management and staff.</w:t>
      </w:r>
    </w:p>
    <w:p w14:paraId="5D79D7B8" w14:textId="77777777" w:rsidR="00233302" w:rsidRDefault="00233302" w:rsidP="00525A5D"/>
    <w:p w14:paraId="265589EF" w14:textId="2B3A0ADE" w:rsidR="00233302" w:rsidRDefault="00233302" w:rsidP="00525A5D">
      <w:r>
        <w:t xml:space="preserve">The Offeror’s </w:t>
      </w:r>
      <w:r w:rsidR="00320393">
        <w:t xml:space="preserve">Lead System Architect </w:t>
      </w:r>
      <w:r>
        <w:t>should have some or all of the following desired qualifications:</w:t>
      </w:r>
    </w:p>
    <w:p w14:paraId="31EA19F3" w14:textId="4C669ED1" w:rsidR="00320393" w:rsidRDefault="00320393" w:rsidP="00121B3C">
      <w:pPr>
        <w:pStyle w:val="LB1"/>
      </w:pPr>
      <w:r>
        <w:t>A minimum of ten (10) years of experience in multi-entity common system operations and support</w:t>
      </w:r>
      <w:r w:rsidR="00525A5D">
        <w:t xml:space="preserve"> </w:t>
      </w:r>
      <w:r>
        <w:t>models</w:t>
      </w:r>
      <w:r w:rsidR="00525A5D">
        <w:t>;</w:t>
      </w:r>
    </w:p>
    <w:p w14:paraId="4EE7D13D" w14:textId="3A44ED34" w:rsidR="00320393" w:rsidRDefault="00320393" w:rsidP="00525A5D">
      <w:pPr>
        <w:pStyle w:val="LB1"/>
      </w:pPr>
      <w:r>
        <w:t xml:space="preserve">A technology related master’s or postgraduate degree in an area with the skill set needed for leading the design of the </w:t>
      </w:r>
      <w:r w:rsidR="00023990">
        <w:t>UI solution</w:t>
      </w:r>
      <w:r>
        <w:t xml:space="preserve">. </w:t>
      </w:r>
      <w:r w:rsidR="00525A5D" w:rsidRPr="00875170">
        <w:t xml:space="preserve">If the degree has been obtained in </w:t>
      </w:r>
      <w:r w:rsidR="00525A5D">
        <w:t>a</w:t>
      </w:r>
      <w:r w:rsidR="00525A5D" w:rsidRPr="00875170">
        <w:t xml:space="preserve">nother country, it is required that the degree or coursework be evaluated for equivalency. </w:t>
      </w:r>
      <w:r w:rsidR="00525A5D">
        <w:t>TWC</w:t>
      </w:r>
      <w:r w:rsidR="00525A5D" w:rsidRPr="00875170">
        <w:t xml:space="preserve"> accept</w:t>
      </w:r>
      <w:r w:rsidR="00525A5D">
        <w:t>s</w:t>
      </w:r>
      <w:r w:rsidR="00525A5D" w:rsidRPr="00875170">
        <w:t xml:space="preserve"> evaluations performed by companies that are current </w:t>
      </w:r>
      <w:r w:rsidR="00525A5D">
        <w:t>NACES</w:t>
      </w:r>
      <w:r w:rsidR="00525A5D" w:rsidRPr="00875170">
        <w:t xml:space="preserve"> members – http://www.naces.org. The </w:t>
      </w:r>
      <w:r w:rsidR="00525A5D">
        <w:t>Offeror</w:t>
      </w:r>
      <w:r w:rsidR="00525A5D" w:rsidRPr="00875170">
        <w:t xml:space="preserve"> is responsible for any evaluation fees;</w:t>
      </w:r>
    </w:p>
    <w:p w14:paraId="4DF7D395" w14:textId="68DF9783" w:rsidR="00525A5D" w:rsidRDefault="00320393" w:rsidP="00525A5D">
      <w:pPr>
        <w:pStyle w:val="LB1"/>
      </w:pPr>
      <w:r>
        <w:lastRenderedPageBreak/>
        <w:t>Experience working on three (3) or more projects where Quality best practices were applied to</w:t>
      </w:r>
      <w:r w:rsidR="00525A5D">
        <w:t xml:space="preserve"> </w:t>
      </w:r>
      <w:r>
        <w:t>project processes (such as</w:t>
      </w:r>
      <w:r w:rsidR="00525A5D">
        <w:t xml:space="preserve"> ISO 90003, CMMI, or Six Sigma);</w:t>
      </w:r>
    </w:p>
    <w:p w14:paraId="534733DA" w14:textId="42C99ADB" w:rsidR="00320393" w:rsidRDefault="00320393" w:rsidP="00525A5D">
      <w:pPr>
        <w:pStyle w:val="LB1"/>
      </w:pPr>
      <w:r>
        <w:t xml:space="preserve">A minimum of two (2) years of experience with the </w:t>
      </w:r>
      <w:r w:rsidR="00842EB8">
        <w:t xml:space="preserve">Offeror’s </w:t>
      </w:r>
      <w:r w:rsidR="00023990">
        <w:t>UI solution</w:t>
      </w:r>
      <w:r w:rsidR="00525A5D">
        <w:t>; and</w:t>
      </w:r>
    </w:p>
    <w:p w14:paraId="5485B38D" w14:textId="13CB99CD" w:rsidR="00233302" w:rsidRPr="00B7471E" w:rsidRDefault="00320393" w:rsidP="00525A5D">
      <w:pPr>
        <w:pStyle w:val="LB1"/>
      </w:pPr>
      <w:r>
        <w:t>Experience as a Lead System Architect on at least one (1) large scale development which</w:t>
      </w:r>
      <w:r w:rsidR="00525A5D">
        <w:t xml:space="preserve"> </w:t>
      </w:r>
      <w:r>
        <w:t xml:space="preserve">involved migration of data from a legacy system to the </w:t>
      </w:r>
      <w:r w:rsidR="00842EB8">
        <w:t>Offeror’s UI solution</w:t>
      </w:r>
      <w:r w:rsidR="00525A5D">
        <w:t>.</w:t>
      </w:r>
    </w:p>
    <w:p w14:paraId="001DE02F" w14:textId="0B512CE2" w:rsidR="00497784" w:rsidRPr="00875170" w:rsidRDefault="00497784" w:rsidP="00497784"/>
    <w:p w14:paraId="152E1FE7" w14:textId="3E695BFE" w:rsidR="00497784" w:rsidRDefault="00497784" w:rsidP="00497784">
      <w:pPr>
        <w:pStyle w:val="Heading4"/>
      </w:pPr>
      <w:r>
        <w:tab/>
        <w:t>Lead Data Architect Minimum Qualifications</w:t>
      </w:r>
    </w:p>
    <w:p w14:paraId="258A9692" w14:textId="0E2828F0" w:rsidR="00497784" w:rsidRDefault="00497784" w:rsidP="00497784">
      <w:r>
        <w:t>The Offeror’s Lead Data Architect must meet or exceed the following minimum qualifications:</w:t>
      </w:r>
    </w:p>
    <w:p w14:paraId="3418A8D7" w14:textId="7FA18A5F" w:rsidR="009360E5" w:rsidRDefault="009360E5" w:rsidP="00023990">
      <w:pPr>
        <w:pStyle w:val="LB1"/>
      </w:pPr>
      <w:r>
        <w:t xml:space="preserve">Experience in this role on two (2) or more projects which each had budgets of at least $10 million in IT application development services and spanned at </w:t>
      </w:r>
      <w:r w:rsidR="00023990">
        <w:t>least a three (3) year timeline;</w:t>
      </w:r>
    </w:p>
    <w:p w14:paraId="31120351" w14:textId="1DF631B9" w:rsidR="009360E5" w:rsidRDefault="009360E5" w:rsidP="00023990">
      <w:pPr>
        <w:pStyle w:val="LB1"/>
      </w:pPr>
      <w:r>
        <w:t>Experience in this role on one (1) or more UI or Gov</w:t>
      </w:r>
      <w:r w:rsidR="00023990">
        <w:t>ernment Revenue system projects;</w:t>
      </w:r>
    </w:p>
    <w:p w14:paraId="463C3017" w14:textId="6C25AB2B" w:rsidR="009360E5" w:rsidRDefault="009360E5" w:rsidP="00023990">
      <w:pPr>
        <w:pStyle w:val="LB1"/>
      </w:pPr>
      <w:r>
        <w:t>Experience in three (3) or more successful projects with scope requiring relational database design, logical and physical modeling, database tuning and optimization, and capacity planning to support mission-critical a</w:t>
      </w:r>
      <w:r w:rsidR="00023990">
        <w:t>nd 24X7 enterprise applications;</w:t>
      </w:r>
    </w:p>
    <w:p w14:paraId="4204C44C" w14:textId="70B79DD9" w:rsidR="009360E5" w:rsidRDefault="009360E5" w:rsidP="00023990">
      <w:pPr>
        <w:pStyle w:val="LB1"/>
      </w:pPr>
      <w:r>
        <w:t>A minimum of at least seven (7) years of development experience utilizing tools and techniques requi</w:t>
      </w:r>
      <w:r w:rsidR="00023990">
        <w:t>red by the UI solution;</w:t>
      </w:r>
    </w:p>
    <w:p w14:paraId="24EFFD7B" w14:textId="40E1C8C2" w:rsidR="009360E5" w:rsidRDefault="009360E5" w:rsidP="00023990">
      <w:pPr>
        <w:pStyle w:val="LB1"/>
      </w:pPr>
      <w:r>
        <w:t xml:space="preserve">A minimum of seven (7) years of experience working with large software systems data </w:t>
      </w:r>
      <w:r w:rsidR="00023990">
        <w:t>architectures;</w:t>
      </w:r>
    </w:p>
    <w:p w14:paraId="0AF77845" w14:textId="6CA57565" w:rsidR="009360E5" w:rsidRDefault="009360E5" w:rsidP="00023990">
      <w:pPr>
        <w:pStyle w:val="LB1"/>
      </w:pPr>
      <w:r>
        <w:t xml:space="preserve">A minimum of seven (7) years of experience with data modeling tools that will be utilized in the </w:t>
      </w:r>
      <w:r w:rsidR="00023990">
        <w:t>UI solution;</w:t>
      </w:r>
    </w:p>
    <w:p w14:paraId="52CDA53D" w14:textId="264B620C" w:rsidR="009360E5" w:rsidRDefault="009360E5" w:rsidP="00023990">
      <w:pPr>
        <w:pStyle w:val="LB1"/>
      </w:pPr>
      <w:r>
        <w:t xml:space="preserve">A minimum of three (3) years of experience with remediating </w:t>
      </w:r>
      <w:r w:rsidR="00023990">
        <w:t>and converting legacy databases</w:t>
      </w:r>
      <w:r w:rsidR="00FD51A9">
        <w:t xml:space="preserve"> including extract, transform, and load tools</w:t>
      </w:r>
      <w:r w:rsidR="00023990">
        <w:t>;</w:t>
      </w:r>
    </w:p>
    <w:p w14:paraId="5B1ADD61" w14:textId="12FC8241" w:rsidR="009360E5" w:rsidRDefault="009360E5" w:rsidP="00023990">
      <w:pPr>
        <w:pStyle w:val="LB1"/>
      </w:pPr>
      <w:r>
        <w:t xml:space="preserve">A bachelor’s degree from an accredited college or university. </w:t>
      </w:r>
      <w:r w:rsidR="00023990" w:rsidRPr="00875170">
        <w:t xml:space="preserve">If the degree has been obtained in </w:t>
      </w:r>
      <w:r w:rsidR="00023990">
        <w:t>a</w:t>
      </w:r>
      <w:r w:rsidR="00023990" w:rsidRPr="00875170">
        <w:t xml:space="preserve">nother country, it is required that the degree or coursework be evaluated for equivalency. </w:t>
      </w:r>
      <w:r w:rsidR="00023990">
        <w:t>TWC</w:t>
      </w:r>
      <w:r w:rsidR="00023990" w:rsidRPr="00875170">
        <w:t xml:space="preserve"> accept</w:t>
      </w:r>
      <w:r w:rsidR="00023990">
        <w:t>s</w:t>
      </w:r>
      <w:r w:rsidR="00023990" w:rsidRPr="00875170">
        <w:t xml:space="preserve"> evaluations performed by companies that are current NACES members – http://www.naces.org. The </w:t>
      </w:r>
      <w:r w:rsidR="00023990">
        <w:t>Offeror</w:t>
      </w:r>
      <w:r w:rsidR="00023990" w:rsidRPr="00875170">
        <w:t xml:space="preserve"> is responsible for any evaluation fees;</w:t>
      </w:r>
      <w:r w:rsidR="00023990">
        <w:t xml:space="preserve"> and</w:t>
      </w:r>
    </w:p>
    <w:p w14:paraId="4FADCF39" w14:textId="3AF1551D" w:rsidR="00497784" w:rsidRDefault="009360E5" w:rsidP="00023990">
      <w:pPr>
        <w:pStyle w:val="LB1"/>
      </w:pPr>
      <w:r>
        <w:t>Written at least one (1) project guide or led at least one (1) project training which translated and</w:t>
      </w:r>
      <w:r w:rsidR="00023990">
        <w:t xml:space="preserve"> </w:t>
      </w:r>
      <w:r>
        <w:t>communicated technical terminology, concepts, and issues in terms understandable to technical</w:t>
      </w:r>
      <w:r w:rsidR="00023990">
        <w:t xml:space="preserve"> </w:t>
      </w:r>
      <w:r>
        <w:t>and non-technical management and staff.</w:t>
      </w:r>
    </w:p>
    <w:p w14:paraId="275E352A" w14:textId="77777777" w:rsidR="009360E5" w:rsidRDefault="009360E5" w:rsidP="009360E5"/>
    <w:p w14:paraId="14C6FFAB" w14:textId="791F1D11" w:rsidR="009360E5" w:rsidRDefault="009360E5" w:rsidP="009360E5">
      <w:r>
        <w:t>The Offeror’s Lead Data Architect should have some or all of the following desired qualifications:</w:t>
      </w:r>
    </w:p>
    <w:p w14:paraId="07D24A12" w14:textId="23E7D59E" w:rsidR="009360E5" w:rsidRDefault="009360E5" w:rsidP="00023990">
      <w:pPr>
        <w:pStyle w:val="LB1"/>
      </w:pPr>
      <w:r>
        <w:t>A minimum of five (5) years of experience with application development project lifecycles</w:t>
      </w:r>
      <w:r w:rsidR="00023990">
        <w:t xml:space="preserve"> </w:t>
      </w:r>
      <w:r>
        <w:t>including requirements gathering, analysis, design, developme</w:t>
      </w:r>
      <w:r w:rsidR="00023990">
        <w:t>nt, testing, and implementation;</w:t>
      </w:r>
    </w:p>
    <w:p w14:paraId="55817C5D" w14:textId="5C30F2B3" w:rsidR="009360E5" w:rsidRDefault="009360E5" w:rsidP="00023990">
      <w:pPr>
        <w:pStyle w:val="LB1"/>
      </w:pPr>
      <w:r>
        <w:lastRenderedPageBreak/>
        <w:t>A minimum of two (2) years of experience in using data management best practices, such as</w:t>
      </w:r>
      <w:r w:rsidR="00023990">
        <w:t xml:space="preserve"> Master Data Management;</w:t>
      </w:r>
    </w:p>
    <w:p w14:paraId="2D64E75E" w14:textId="54CBCEE8" w:rsidR="009360E5" w:rsidRDefault="009360E5" w:rsidP="00023990">
      <w:pPr>
        <w:pStyle w:val="LB1"/>
      </w:pPr>
      <w:r>
        <w:t xml:space="preserve">A minimum of two (2) years of experience with data migration to the </w:t>
      </w:r>
      <w:r w:rsidR="007E2D70">
        <w:t xml:space="preserve">Offeror’s </w:t>
      </w:r>
      <w:r w:rsidR="00023990">
        <w:t>UI solution;</w:t>
      </w:r>
    </w:p>
    <w:p w14:paraId="6C37903D" w14:textId="41650F65" w:rsidR="009360E5" w:rsidRDefault="009360E5" w:rsidP="00023990">
      <w:pPr>
        <w:pStyle w:val="LB1"/>
      </w:pPr>
      <w:r>
        <w:t>A minimum of two (2) years of experience with remediating and converting legacy databases</w:t>
      </w:r>
      <w:r w:rsidR="00023990">
        <w:t xml:space="preserve"> </w:t>
      </w:r>
      <w:r>
        <w:t>wh</w:t>
      </w:r>
      <w:r w:rsidR="00023990">
        <w:t>ich have included IBM databases; and</w:t>
      </w:r>
    </w:p>
    <w:p w14:paraId="5C8A393B" w14:textId="5AE5B264" w:rsidR="009360E5" w:rsidRDefault="009360E5" w:rsidP="00023990">
      <w:pPr>
        <w:pStyle w:val="LB1"/>
      </w:pPr>
      <w:r>
        <w:t>A technology related master’s or postgraduate degree from an accredited college or university in</w:t>
      </w:r>
      <w:r w:rsidR="00023990">
        <w:t xml:space="preserve"> </w:t>
      </w:r>
      <w:r>
        <w:t xml:space="preserve">an area with </w:t>
      </w:r>
      <w:r w:rsidR="00023990">
        <w:t>t</w:t>
      </w:r>
      <w:r>
        <w:t xml:space="preserve">he skill set needed for leading the database elements of the </w:t>
      </w:r>
      <w:r w:rsidR="00023990">
        <w:t>UI solution</w:t>
      </w:r>
      <w:r>
        <w:t xml:space="preserve">. </w:t>
      </w:r>
      <w:r w:rsidR="00023990" w:rsidRPr="00875170">
        <w:t xml:space="preserve">If the degree has been obtained in </w:t>
      </w:r>
      <w:r w:rsidR="00023990">
        <w:t>a</w:t>
      </w:r>
      <w:r w:rsidR="00023990" w:rsidRPr="00875170">
        <w:t xml:space="preserve">nother country, it is required that the degree or coursework be evaluated for equivalency. </w:t>
      </w:r>
      <w:r w:rsidR="00023990">
        <w:t>TWC</w:t>
      </w:r>
      <w:r w:rsidR="00023990" w:rsidRPr="00875170">
        <w:t xml:space="preserve"> accept</w:t>
      </w:r>
      <w:r w:rsidR="00023990">
        <w:t>s</w:t>
      </w:r>
      <w:r w:rsidR="00023990" w:rsidRPr="00875170">
        <w:t xml:space="preserve"> evaluations performed by companies that are current NACES members – http://www.naces.org. The </w:t>
      </w:r>
      <w:r w:rsidR="00023990">
        <w:t>Offeror</w:t>
      </w:r>
      <w:r w:rsidR="00023990" w:rsidRPr="00875170">
        <w:t xml:space="preserve"> is responsible for any evaluation fees</w:t>
      </w:r>
      <w:r>
        <w:t>.</w:t>
      </w:r>
    </w:p>
    <w:p w14:paraId="38F982DE" w14:textId="77777777" w:rsidR="00105AFA" w:rsidRPr="00875170" w:rsidRDefault="00105AFA" w:rsidP="00105AFA"/>
    <w:p w14:paraId="59F3A7F4" w14:textId="0145A944" w:rsidR="00497784" w:rsidRDefault="00497784" w:rsidP="00497784">
      <w:pPr>
        <w:pStyle w:val="Heading4"/>
      </w:pPr>
      <w:r>
        <w:tab/>
        <w:t xml:space="preserve">Lead </w:t>
      </w:r>
      <w:r w:rsidR="00105AFA">
        <w:t>Software Developer/Programmer</w:t>
      </w:r>
      <w:r>
        <w:t xml:space="preserve"> Minimum Qualifications</w:t>
      </w:r>
    </w:p>
    <w:p w14:paraId="737F2B35" w14:textId="0CAC2DAD" w:rsidR="00497784" w:rsidRDefault="00497784" w:rsidP="00497784">
      <w:r>
        <w:t xml:space="preserve">The Offeror’s Lead </w:t>
      </w:r>
      <w:r w:rsidR="00105AFA">
        <w:t>Software Developer/Programmer</w:t>
      </w:r>
      <w:r>
        <w:t xml:space="preserve"> must meet or exceed the following minimum qualifications:</w:t>
      </w:r>
    </w:p>
    <w:p w14:paraId="4E700EFE" w14:textId="6132918A" w:rsidR="00105AFA" w:rsidRDefault="00105AFA" w:rsidP="00121B3C">
      <w:pPr>
        <w:pStyle w:val="LB1"/>
      </w:pPr>
      <w:r>
        <w:t>Experience in this role on two (2) or more projects which each had budgets</w:t>
      </w:r>
      <w:r w:rsidR="00AB18FB">
        <w:t xml:space="preserve"> </w:t>
      </w:r>
      <w:r>
        <w:t>of at least $10 million</w:t>
      </w:r>
      <w:r w:rsidR="00226FAA">
        <w:t xml:space="preserve"> </w:t>
      </w:r>
      <w:r>
        <w:t xml:space="preserve">in IT application development services and spanned at </w:t>
      </w:r>
      <w:r w:rsidR="00226FAA">
        <w:t>least a three (3) year timeline;</w:t>
      </w:r>
    </w:p>
    <w:p w14:paraId="4D582D4F" w14:textId="575A90CF" w:rsidR="00105AFA" w:rsidRDefault="00105AFA" w:rsidP="00121B3C">
      <w:pPr>
        <w:pStyle w:val="LB1"/>
      </w:pPr>
      <w:r>
        <w:t>Experience in this role on two (2) or more successful UI or Government</w:t>
      </w:r>
      <w:r w:rsidR="00AB18FB">
        <w:t xml:space="preserve"> </w:t>
      </w:r>
      <w:r>
        <w:t>Revenue system</w:t>
      </w:r>
      <w:r w:rsidR="00AB18FB">
        <w:t xml:space="preserve"> projects;</w:t>
      </w:r>
    </w:p>
    <w:p w14:paraId="06EF5F4E" w14:textId="7E962C3B" w:rsidR="00105AFA" w:rsidRDefault="00105AFA" w:rsidP="00121B3C">
      <w:pPr>
        <w:pStyle w:val="LB1"/>
      </w:pPr>
      <w:r>
        <w:t>A minimum of seven (7) years of hands on experience with the operating systems, relational</w:t>
      </w:r>
      <w:r w:rsidR="00AB18FB">
        <w:t xml:space="preserve"> </w:t>
      </w:r>
      <w:r>
        <w:t>database, and development technologies that will be utilized</w:t>
      </w:r>
      <w:r w:rsidR="00AB18FB">
        <w:t xml:space="preserve"> </w:t>
      </w:r>
      <w:r>
        <w:t xml:space="preserve">to develop and deploy the </w:t>
      </w:r>
      <w:r w:rsidR="007E2D70">
        <w:t>UI solution</w:t>
      </w:r>
      <w:r w:rsidR="00AB18FB">
        <w:t>;</w:t>
      </w:r>
    </w:p>
    <w:p w14:paraId="2827E085" w14:textId="3B46A5AF" w:rsidR="00105AFA" w:rsidRDefault="00105AFA" w:rsidP="00226FAA">
      <w:pPr>
        <w:pStyle w:val="LB1"/>
      </w:pPr>
      <w:r>
        <w:t>Experience in two (2) or more major projects as its Lead Software</w:t>
      </w:r>
      <w:r w:rsidR="00AB18FB">
        <w:t xml:space="preserve"> Developer/Programmer;</w:t>
      </w:r>
    </w:p>
    <w:p w14:paraId="68A5975E" w14:textId="457C6E58" w:rsidR="00105AFA" w:rsidRDefault="00105AFA" w:rsidP="00121B3C">
      <w:pPr>
        <w:pStyle w:val="LB1"/>
      </w:pPr>
      <w:r>
        <w:t>A minimum of seven (7) years of hands on experience utilizing the software development</w:t>
      </w:r>
      <w:r w:rsidR="00AB18FB">
        <w:t xml:space="preserve"> </w:t>
      </w:r>
      <w:r>
        <w:t>methodology</w:t>
      </w:r>
      <w:r w:rsidR="00AB18FB">
        <w:t xml:space="preserve"> to be utilized in the </w:t>
      </w:r>
      <w:r w:rsidR="007E2D70">
        <w:t>UI solution</w:t>
      </w:r>
      <w:r w:rsidR="00AB18FB">
        <w:t>;</w:t>
      </w:r>
    </w:p>
    <w:p w14:paraId="0BFEC385" w14:textId="17058F4D" w:rsidR="00105AFA" w:rsidRDefault="00105AFA" w:rsidP="00121B3C">
      <w:pPr>
        <w:pStyle w:val="LB1"/>
      </w:pPr>
      <w:r>
        <w:t>A minimum of ten (10) years of hands on experience with object-oriented</w:t>
      </w:r>
      <w:r w:rsidR="00AB18FB">
        <w:t xml:space="preserve"> </w:t>
      </w:r>
      <w:r>
        <w:t>design and modeling</w:t>
      </w:r>
      <w:r w:rsidR="00AB18FB">
        <w:t xml:space="preserve"> techniques;</w:t>
      </w:r>
      <w:r w:rsidR="007E2D70">
        <w:t xml:space="preserve"> and</w:t>
      </w:r>
    </w:p>
    <w:p w14:paraId="13BF31A3" w14:textId="6273BBC0" w:rsidR="00105AFA" w:rsidRDefault="00105AFA" w:rsidP="00AB18FB">
      <w:pPr>
        <w:pStyle w:val="LB1"/>
      </w:pPr>
      <w:r>
        <w:t xml:space="preserve">A bachelor’s degree from an accredited college or university. </w:t>
      </w:r>
      <w:r w:rsidR="00AB18FB" w:rsidRPr="00875170">
        <w:t xml:space="preserve">If the degree has been obtained in </w:t>
      </w:r>
      <w:r w:rsidR="00AB18FB">
        <w:t>a</w:t>
      </w:r>
      <w:r w:rsidR="00AB18FB" w:rsidRPr="00875170">
        <w:t xml:space="preserve">nother country, it is required that the degree or coursework be evaluated for equivalency. </w:t>
      </w:r>
      <w:r w:rsidR="00AB18FB">
        <w:t>TWC</w:t>
      </w:r>
      <w:r w:rsidR="00AB18FB" w:rsidRPr="00875170">
        <w:t xml:space="preserve"> accept</w:t>
      </w:r>
      <w:r w:rsidR="00AB18FB">
        <w:t>s</w:t>
      </w:r>
      <w:r w:rsidR="00AB18FB" w:rsidRPr="00875170">
        <w:t xml:space="preserve"> evaluations performed by companies that are current NACES members – http://www.naces.org. The </w:t>
      </w:r>
      <w:r w:rsidR="00AB18FB">
        <w:t>Offeror</w:t>
      </w:r>
      <w:r w:rsidR="00AB18FB" w:rsidRPr="00875170">
        <w:t xml:space="preserve"> is responsible for any evaluation fees</w:t>
      </w:r>
      <w:r w:rsidR="00AB18FB">
        <w:t>.</w:t>
      </w:r>
    </w:p>
    <w:p w14:paraId="505B005F" w14:textId="77777777" w:rsidR="00105AFA" w:rsidRDefault="00105AFA" w:rsidP="00105AFA"/>
    <w:p w14:paraId="4E2A1154" w14:textId="7353E72B" w:rsidR="00105AFA" w:rsidRDefault="00105AFA" w:rsidP="00105AFA">
      <w:r>
        <w:t>The Offeror’s Lead Software Developer/Programmer should have some or all of the following desired qualifications:</w:t>
      </w:r>
    </w:p>
    <w:p w14:paraId="20E6F806" w14:textId="0848AFA8" w:rsidR="00105AFA" w:rsidRDefault="00105AFA" w:rsidP="00AB18FB">
      <w:pPr>
        <w:pStyle w:val="LB1"/>
      </w:pPr>
      <w:r>
        <w:t>A technology related master’s or postgraduate degree in an area with the skill set needed for</w:t>
      </w:r>
      <w:r w:rsidR="00AB18FB">
        <w:t xml:space="preserve"> </w:t>
      </w:r>
      <w:r>
        <w:t xml:space="preserve">leading the development and programming of the </w:t>
      </w:r>
      <w:r w:rsidR="00842EB8">
        <w:t xml:space="preserve">Offeror’s UI </w:t>
      </w:r>
      <w:r w:rsidR="00842EB8">
        <w:lastRenderedPageBreak/>
        <w:t>solution</w:t>
      </w:r>
      <w:r>
        <w:t xml:space="preserve">. </w:t>
      </w:r>
      <w:r w:rsidR="00AB18FB" w:rsidRPr="00875170">
        <w:t xml:space="preserve">If the degree has been obtained in </w:t>
      </w:r>
      <w:r w:rsidR="00AB18FB">
        <w:t>a</w:t>
      </w:r>
      <w:r w:rsidR="00AB18FB" w:rsidRPr="00875170">
        <w:t xml:space="preserve">nother country, it is required that the degree or coursework be evaluated for equivalency. </w:t>
      </w:r>
      <w:r w:rsidR="00AB18FB">
        <w:t>TWC</w:t>
      </w:r>
      <w:r w:rsidR="00AB18FB" w:rsidRPr="00875170">
        <w:t xml:space="preserve"> accept</w:t>
      </w:r>
      <w:r w:rsidR="00AB18FB">
        <w:t>s</w:t>
      </w:r>
      <w:r w:rsidR="00AB18FB" w:rsidRPr="00875170">
        <w:t xml:space="preserve"> evaluations performed by companies that are current NACES members – http://www.naces.org. The </w:t>
      </w:r>
      <w:r w:rsidR="00AB18FB">
        <w:t>Offeror</w:t>
      </w:r>
      <w:r w:rsidR="00AB18FB" w:rsidRPr="00875170">
        <w:t xml:space="preserve"> is responsible for any evaluation fees</w:t>
      </w:r>
      <w:r w:rsidR="00AB18FB">
        <w:t>;</w:t>
      </w:r>
    </w:p>
    <w:p w14:paraId="0A36BBA2" w14:textId="2C7656E6" w:rsidR="00105AFA" w:rsidRDefault="00105AFA" w:rsidP="00121B3C">
      <w:pPr>
        <w:pStyle w:val="LB1"/>
      </w:pPr>
      <w:r>
        <w:t>Written at least one (1) project guide or led at least one (1) project training which translated and</w:t>
      </w:r>
      <w:r w:rsidR="00AB18FB">
        <w:t xml:space="preserve"> </w:t>
      </w:r>
      <w:r>
        <w:t>communicated technical terminology, concepts, and issues in terms understandable to technical</w:t>
      </w:r>
      <w:r w:rsidR="00AB18FB">
        <w:t xml:space="preserve"> </w:t>
      </w:r>
      <w:r>
        <w:t>and non</w:t>
      </w:r>
      <w:r w:rsidR="00AB18FB">
        <w:t>-technical management and staff; and</w:t>
      </w:r>
    </w:p>
    <w:p w14:paraId="28583015" w14:textId="476DF02E" w:rsidR="00105AFA" w:rsidRDefault="00105AFA" w:rsidP="00121B3C">
      <w:pPr>
        <w:pStyle w:val="LB1"/>
      </w:pPr>
      <w:r>
        <w:t xml:space="preserve">A minimum of two (2) years of experience with the </w:t>
      </w:r>
      <w:r w:rsidR="007E2D70">
        <w:t>Offeror’s UI solution</w:t>
      </w:r>
      <w:r>
        <w:t>.</w:t>
      </w:r>
    </w:p>
    <w:p w14:paraId="3E55D1B3" w14:textId="77777777" w:rsidR="00105AFA" w:rsidRDefault="00105AFA" w:rsidP="00105AFA">
      <w:pPr>
        <w:adjustRightInd w:val="0"/>
        <w:rPr>
          <w:rFonts w:ascii="ArialMT" w:hAnsi="ArialMT" w:cs="ArialMT"/>
          <w:color w:val="000000"/>
          <w:sz w:val="20"/>
          <w:szCs w:val="20"/>
        </w:rPr>
      </w:pPr>
    </w:p>
    <w:p w14:paraId="154499E2" w14:textId="301DD7B5" w:rsidR="00497784" w:rsidRDefault="00497784" w:rsidP="00497784">
      <w:pPr>
        <w:pStyle w:val="Heading4"/>
      </w:pPr>
      <w:r>
        <w:tab/>
        <w:t xml:space="preserve">Lead </w:t>
      </w:r>
      <w:r w:rsidR="00105AFA" w:rsidRPr="00105AFA">
        <w:t>Business</w:t>
      </w:r>
      <w:r w:rsidRPr="00105AFA">
        <w:t xml:space="preserve"> </w:t>
      </w:r>
      <w:r w:rsidR="00105AFA">
        <w:t>Analyst</w:t>
      </w:r>
      <w:r>
        <w:t xml:space="preserve"> Minimum Qualifications</w:t>
      </w:r>
    </w:p>
    <w:p w14:paraId="03D02E00" w14:textId="70BAC970" w:rsidR="00497784" w:rsidRDefault="00497784" w:rsidP="00497784">
      <w:r>
        <w:t xml:space="preserve">The Offeror’s Lead </w:t>
      </w:r>
      <w:r w:rsidR="00105AFA">
        <w:t>Business</w:t>
      </w:r>
      <w:r>
        <w:t xml:space="preserve"> </w:t>
      </w:r>
      <w:r w:rsidR="00105AFA">
        <w:t>Analyst</w:t>
      </w:r>
      <w:r>
        <w:t xml:space="preserve"> must meet or exceed the following minimum qualifications:</w:t>
      </w:r>
    </w:p>
    <w:p w14:paraId="1D899C07" w14:textId="0E739727" w:rsidR="00105AFA" w:rsidRDefault="00105AFA" w:rsidP="00AE3113">
      <w:pPr>
        <w:pStyle w:val="LB1"/>
      </w:pPr>
      <w:r>
        <w:t>A minimum of five (5) years of verifiable experience performing business analysis on one (1) or</w:t>
      </w:r>
      <w:r w:rsidR="007E2D70">
        <w:t xml:space="preserve"> </w:t>
      </w:r>
      <w:r>
        <w:t>more projects which had a budget of at least $5 million in IT application development services</w:t>
      </w:r>
      <w:r w:rsidR="007E2D70">
        <w:t xml:space="preserve"> </w:t>
      </w:r>
      <w:r>
        <w:t xml:space="preserve">and spanned at least an </w:t>
      </w:r>
      <w:r w:rsidR="007E2D70">
        <w:t>eighteen (18) month timeline;</w:t>
      </w:r>
    </w:p>
    <w:p w14:paraId="279883EC" w14:textId="19FAEC4F" w:rsidR="00105AFA" w:rsidRDefault="00105AFA" w:rsidP="00AE3113">
      <w:pPr>
        <w:pStyle w:val="LB1"/>
      </w:pPr>
      <w:r>
        <w:t xml:space="preserve">A minimum of five (5) years </w:t>
      </w:r>
      <w:r w:rsidR="007E2D70">
        <w:t xml:space="preserve">of </w:t>
      </w:r>
      <w:r>
        <w:t>experience as a Business Analyst or SME of</w:t>
      </w:r>
      <w:r w:rsidR="007E2D70">
        <w:t xml:space="preserve"> </w:t>
      </w:r>
      <w:r>
        <w:t>UI benefi</w:t>
      </w:r>
      <w:r w:rsidR="007E2D70">
        <w:t>t/contributions/appeals systems;</w:t>
      </w:r>
    </w:p>
    <w:p w14:paraId="0AC06EB5" w14:textId="4C94A14A" w:rsidR="00105AFA" w:rsidRDefault="00105AFA" w:rsidP="00AE3113">
      <w:pPr>
        <w:pStyle w:val="LB1"/>
      </w:pPr>
      <w:r>
        <w:t>A minimum of five (5) years eliciting and documenting “As Is” requirements and identifying</w:t>
      </w:r>
      <w:r w:rsidR="007E2D70">
        <w:t xml:space="preserve"> efficient “To Be” processes;</w:t>
      </w:r>
    </w:p>
    <w:p w14:paraId="753FF8B5" w14:textId="2CE719F3" w:rsidR="00105AFA" w:rsidRDefault="00105AFA" w:rsidP="00AE3113">
      <w:pPr>
        <w:pStyle w:val="LB1"/>
      </w:pPr>
      <w:r>
        <w:t>At least two (2) projects as a Business Analyst conducting Fit/Gap analysis at a detailed level,</w:t>
      </w:r>
      <w:r w:rsidR="007E2D70">
        <w:t xml:space="preserve"> </w:t>
      </w:r>
      <w:r>
        <w:t>including comparison of business rules and analysis from both a business and an IT persp</w:t>
      </w:r>
      <w:r w:rsidR="007E2D70">
        <w:t>ective;</w:t>
      </w:r>
    </w:p>
    <w:p w14:paraId="3D859133" w14:textId="1CE8B951" w:rsidR="00105AFA" w:rsidRDefault="00105AFA" w:rsidP="00AE3113">
      <w:pPr>
        <w:pStyle w:val="LB1"/>
      </w:pPr>
      <w:r>
        <w:t>At least three (3) years of experience in the writing, identification, definition, implementation, and</w:t>
      </w:r>
      <w:r w:rsidR="007E2D70">
        <w:t xml:space="preserve"> validation of use cases;</w:t>
      </w:r>
    </w:p>
    <w:p w14:paraId="17239031" w14:textId="3524F817" w:rsidR="00105AFA" w:rsidRDefault="00105AFA" w:rsidP="00AE3113">
      <w:pPr>
        <w:pStyle w:val="LB1"/>
      </w:pPr>
      <w:r>
        <w:t xml:space="preserve">A minimum of two (2) years of experience within the last five (5) years with the </w:t>
      </w:r>
      <w:r w:rsidR="00AE3113">
        <w:t>Offeror’s UI solution</w:t>
      </w:r>
      <w:r w:rsidR="007E2D70">
        <w:t>; and</w:t>
      </w:r>
    </w:p>
    <w:p w14:paraId="3EACF3A9" w14:textId="6F743FBF" w:rsidR="00105AFA" w:rsidRDefault="00105AFA" w:rsidP="00AE3113">
      <w:pPr>
        <w:pStyle w:val="LB1"/>
      </w:pPr>
      <w:r>
        <w:t xml:space="preserve">A bachelor’s degree from an accredited college or university. </w:t>
      </w:r>
      <w:r w:rsidR="007E2D70" w:rsidRPr="00875170">
        <w:t xml:space="preserve">If the degree has been obtained in </w:t>
      </w:r>
      <w:r w:rsidR="007E2D70">
        <w:t>a</w:t>
      </w:r>
      <w:r w:rsidR="007E2D70" w:rsidRPr="00875170">
        <w:t xml:space="preserve">nother country, it is required that the degree or coursework be evaluated for equivalency. </w:t>
      </w:r>
      <w:r w:rsidR="007E2D70">
        <w:t>TWC</w:t>
      </w:r>
      <w:r w:rsidR="007E2D70" w:rsidRPr="00875170">
        <w:t xml:space="preserve"> accept</w:t>
      </w:r>
      <w:r w:rsidR="007E2D70">
        <w:t>s</w:t>
      </w:r>
      <w:r w:rsidR="007E2D70" w:rsidRPr="00875170">
        <w:t xml:space="preserve"> evaluations performed by companies that are current NACES members – http://www.naces.org. The </w:t>
      </w:r>
      <w:r w:rsidR="007E2D70">
        <w:t>Offeror</w:t>
      </w:r>
      <w:r w:rsidR="007E2D70" w:rsidRPr="00875170">
        <w:t xml:space="preserve"> is responsible for any evaluation fees</w:t>
      </w:r>
      <w:r>
        <w:t>.</w:t>
      </w:r>
    </w:p>
    <w:p w14:paraId="0BD66675" w14:textId="77777777" w:rsidR="00105AFA" w:rsidRDefault="00105AFA" w:rsidP="00105AFA"/>
    <w:p w14:paraId="3B253B98" w14:textId="6FB41847" w:rsidR="00105AFA" w:rsidRDefault="00105AFA" w:rsidP="00105AFA">
      <w:r>
        <w:t>The Offeror’s Lead Business Analyst should have some or all of the following desired qualifications:</w:t>
      </w:r>
    </w:p>
    <w:p w14:paraId="1A96579F" w14:textId="3434C30A" w:rsidR="00105AFA" w:rsidRDefault="00105AFA" w:rsidP="00842EB8">
      <w:pPr>
        <w:pStyle w:val="LB1"/>
      </w:pPr>
      <w:r>
        <w:t>Experience on five (5) or more projec</w:t>
      </w:r>
      <w:r w:rsidR="007E2D70">
        <w:t>ts as the Lead Business Analyst;</w:t>
      </w:r>
    </w:p>
    <w:p w14:paraId="2EB24168" w14:textId="3C2B75FC" w:rsidR="00105AFA" w:rsidRDefault="00105AFA" w:rsidP="00842EB8">
      <w:pPr>
        <w:pStyle w:val="LB1"/>
      </w:pPr>
      <w:r>
        <w:t>A minimum of two (2) years of experience with use of the bidder’s proposed tool to be used in the</w:t>
      </w:r>
      <w:r w:rsidR="007E2D70">
        <w:t xml:space="preserve"> </w:t>
      </w:r>
      <w:r>
        <w:t xml:space="preserve">collaborative </w:t>
      </w:r>
      <w:r w:rsidR="007E2D70">
        <w:t>requirements definition process;</w:t>
      </w:r>
    </w:p>
    <w:p w14:paraId="6C950795" w14:textId="6BC6DB41" w:rsidR="00105AFA" w:rsidRDefault="00105AFA" w:rsidP="00842EB8">
      <w:pPr>
        <w:pStyle w:val="LB1"/>
      </w:pPr>
      <w:r>
        <w:t>A minimum of eight (8) years of experience leading large teams and/or a minimum of eight (8)</w:t>
      </w:r>
      <w:r w:rsidR="007E2D70">
        <w:t xml:space="preserve"> </w:t>
      </w:r>
      <w:r>
        <w:t>years of extensive industry experience and is considered at t</w:t>
      </w:r>
      <w:r w:rsidR="007E2D70">
        <w:t>he top of his/her field;</w:t>
      </w:r>
    </w:p>
    <w:p w14:paraId="2C50D2F8" w14:textId="6E5ED1FE" w:rsidR="00105AFA" w:rsidRDefault="00105AFA" w:rsidP="00842EB8">
      <w:pPr>
        <w:pStyle w:val="LB1"/>
      </w:pPr>
      <w:r>
        <w:lastRenderedPageBreak/>
        <w:t xml:space="preserve">Three (3) or more years of experience with the </w:t>
      </w:r>
      <w:r w:rsidR="007E2D70">
        <w:t xml:space="preserve">Offeror’s </w:t>
      </w:r>
      <w:r>
        <w:t xml:space="preserve">UI </w:t>
      </w:r>
      <w:r w:rsidR="007E2D70">
        <w:t>solution;</w:t>
      </w:r>
    </w:p>
    <w:p w14:paraId="33BA470A" w14:textId="390C9642" w:rsidR="00105AFA" w:rsidRDefault="00105AFA" w:rsidP="00842EB8">
      <w:pPr>
        <w:pStyle w:val="LB1"/>
      </w:pPr>
      <w:r>
        <w:t>An International Institute of Business Analysis (I</w:t>
      </w:r>
      <w:r w:rsidR="007E2D70">
        <w:t>IBA) professional certification;</w:t>
      </w:r>
    </w:p>
    <w:p w14:paraId="2DA82296" w14:textId="7F486953" w:rsidR="00105AFA" w:rsidRDefault="00105AFA" w:rsidP="00842EB8">
      <w:pPr>
        <w:pStyle w:val="LB1"/>
      </w:pPr>
      <w:r>
        <w:t>Excellent verbal and written communication skills which are documented in a sample work</w:t>
      </w:r>
      <w:r w:rsidR="007E2D70">
        <w:t xml:space="preserve"> </w:t>
      </w:r>
      <w:r>
        <w:t>product not to exceed 500 words, s</w:t>
      </w:r>
      <w:r w:rsidR="007E2D70">
        <w:t>uch as a use case or user story; and</w:t>
      </w:r>
    </w:p>
    <w:p w14:paraId="0C5BB1E0" w14:textId="1B74B6D5" w:rsidR="00105AFA" w:rsidRDefault="007E2D70" w:rsidP="00842EB8">
      <w:pPr>
        <w:pStyle w:val="LB1"/>
      </w:pPr>
      <w:r>
        <w:t>A minimum of five (5) years</w:t>
      </w:r>
      <w:r w:rsidR="00105AFA">
        <w:t xml:space="preserve"> </w:t>
      </w:r>
      <w:r>
        <w:t xml:space="preserve">of </w:t>
      </w:r>
      <w:r w:rsidR="00105AFA">
        <w:t>experience working on projects subject to internal and external</w:t>
      </w:r>
      <w:r>
        <w:t xml:space="preserve"> </w:t>
      </w:r>
      <w:r w:rsidR="00105AFA">
        <w:t>audits in state or federal government organizations.</w:t>
      </w:r>
    </w:p>
    <w:p w14:paraId="7D5A9BBC" w14:textId="77777777" w:rsidR="00105AFA" w:rsidRPr="00875170" w:rsidRDefault="00105AFA" w:rsidP="00105AFA"/>
    <w:p w14:paraId="04C65F0F" w14:textId="77777777" w:rsidR="00DD6B30" w:rsidRDefault="0017696C" w:rsidP="00DD6B30">
      <w:pPr>
        <w:pStyle w:val="Heading3"/>
        <w:rPr>
          <w:rFonts w:ascii="Times New Roman" w:hAnsi="Times New Roman" w:cs="Times New Roman"/>
        </w:rPr>
      </w:pPr>
      <w:bookmarkStart w:id="236" w:name="_Toc13567470"/>
      <w:r>
        <w:t>9.2.</w:t>
      </w:r>
      <w:r w:rsidR="006D4FC7">
        <w:t>2</w:t>
      </w:r>
      <w:r>
        <w:tab/>
      </w:r>
      <w:r w:rsidR="00DD6B30">
        <w:t>Personnel Substitution</w:t>
      </w:r>
      <w:bookmarkEnd w:id="236"/>
      <w:r w:rsidR="00DD6B30">
        <w:rPr>
          <w:rFonts w:ascii="Times New Roman" w:hAnsi="Times New Roman" w:cs="Times New Roman"/>
        </w:rPr>
        <w:t xml:space="preserve"> </w:t>
      </w:r>
    </w:p>
    <w:p w14:paraId="3E62AAA4" w14:textId="77777777" w:rsidR="000421B5" w:rsidRDefault="000421B5" w:rsidP="000421B5">
      <w:pPr>
        <w:rPr>
          <w:sz w:val="22"/>
        </w:rPr>
      </w:pPr>
      <w:r>
        <w:t>Awarded Vendor must ensure that they provide the level of staff agreed to in Section 9.1, Offeror Staff Capabilities, and swiftly correct any insufficient vendor staffing levels in order to avoid negative impact on the Project schedule. Awarded Vendor must update the staffing plan (staff numbers and/or skills) if staff levels are impacting the Project progress (i.e., not enough vendor staff to make timeline or quality).</w:t>
      </w:r>
    </w:p>
    <w:p w14:paraId="2D2AE113" w14:textId="77777777" w:rsidR="000421B5" w:rsidRDefault="000421B5" w:rsidP="000421B5">
      <w:r>
        <w:t xml:space="preserve">If Awarded Vendor must replace a named staff member before the Project begins or during any phase of the Project, Awarded Vendor must first obtain consent of TWC to do so. The Awarded Vendor shall not substitute staff for reasons other than staff separation, medical leave, or staff performance. The replacement staff member must have qualifications and experience that equal or exceed the named staff member and be acceptable to TWC. TWC reserves the right to interview any proposed staff member, before or during the Project, and to request replacement of Awarded Vendor Staff that are perceived as being unqualified, non-productive, unable to fully perform the job duties, disruptive, or known, or reasonably believed, to have committed a major infraction(s) of law, Department policies, or Contract requirements. Awarded Vendor must provide prompt verification of the replacement staff member's qualifications and an onboarding plan to bring the replacement up to speed. </w:t>
      </w:r>
    </w:p>
    <w:p w14:paraId="19CE3765" w14:textId="7851698B" w:rsidR="00822767" w:rsidRPr="00E21848" w:rsidRDefault="000421B5" w:rsidP="000421B5">
      <w:r>
        <w:t>To replace any personnel, the Awarded Vendor must submit résumés of the proposed personnel along with their initial request as soon as the need for substitution is known but no longer than three (3) business days from the initial request. TWC will review and provide feedback within three (3) business days. The replacement must start work on the Project as soon as possible, but no longer than ten (10) business days from the initial request. If a substitution request is approved, Awarded Vendor must coordinate a transition period of up to sixty (60) calendar days to ensure roles, responsibilities and working knowledge is effectively transitioned to the replacement staff.</w:t>
      </w:r>
    </w:p>
    <w:p w14:paraId="685B3C45" w14:textId="6D79A91F" w:rsidR="0017696C" w:rsidRPr="00E21848" w:rsidRDefault="0017696C" w:rsidP="001F2DA9">
      <w:pPr>
        <w:ind w:left="0"/>
      </w:pPr>
    </w:p>
    <w:p w14:paraId="76A28137" w14:textId="3827CD85" w:rsidR="00B9211B" w:rsidRDefault="00B9211B" w:rsidP="00B9211B">
      <w:pPr>
        <w:pStyle w:val="Heading2"/>
      </w:pPr>
      <w:bookmarkStart w:id="237" w:name="_Toc13567471"/>
      <w:r>
        <w:lastRenderedPageBreak/>
        <w:t>9.</w:t>
      </w:r>
      <w:r w:rsidR="00DC26CA">
        <w:t>3</w:t>
      </w:r>
      <w:r>
        <w:tab/>
        <w:t>Offeror Service Capabilities</w:t>
      </w:r>
      <w:bookmarkEnd w:id="237"/>
    </w:p>
    <w:p w14:paraId="02C548B9" w14:textId="77777777" w:rsidR="00B9211B" w:rsidRPr="00E21848" w:rsidRDefault="00B9211B" w:rsidP="00B9211B">
      <w:pPr>
        <w:rPr>
          <w:lang w:eastAsia="en-AU"/>
        </w:rPr>
      </w:pPr>
      <w:r w:rsidRPr="00E21848">
        <w:rPr>
          <w:lang w:eastAsia="en-AU"/>
        </w:rPr>
        <w:t>Describe the Offeror organization's and its subcontractors’ overall qualifications and experience to carry out a Project of this nature and scope.</w:t>
      </w:r>
      <w:r w:rsidRPr="00E21848" w:rsidDel="00B470C4">
        <w:rPr>
          <w:lang w:eastAsia="en-AU"/>
        </w:rPr>
        <w:t xml:space="preserve"> </w:t>
      </w:r>
      <w:r w:rsidRPr="00E21848">
        <w:rPr>
          <w:lang w:eastAsia="en-AU"/>
        </w:rPr>
        <w:t>Offeror must limit responses in this area to ten (10) pages. The use of “boilerplate” content in the response must be extremely limited (i.e., target this information for the specific needs outlined for this Project).</w:t>
      </w:r>
    </w:p>
    <w:p w14:paraId="04D784A6" w14:textId="65264CE7" w:rsidR="00B9211B" w:rsidRDefault="00B9211B" w:rsidP="00B9211B">
      <w:pPr>
        <w:rPr>
          <w:lang w:eastAsia="en-AU"/>
        </w:rPr>
      </w:pPr>
      <w:r w:rsidRPr="00E21848">
        <w:rPr>
          <w:lang w:eastAsia="en-AU"/>
        </w:rPr>
        <w:t xml:space="preserve">Describe each task, responsibility, and/or deliverable that will be subcontracted to another entity in sufficient detail that TWC understands based on your offer, exactly what entity will be performing what portion of the overall requirements. Include the name of the subcontractor performing the </w:t>
      </w:r>
      <w:r w:rsidR="004858E8" w:rsidRPr="00E21848">
        <w:rPr>
          <w:lang w:eastAsia="en-AU"/>
        </w:rPr>
        <w:t>work and</w:t>
      </w:r>
      <w:r w:rsidRPr="00E21848">
        <w:rPr>
          <w:lang w:eastAsia="en-AU"/>
        </w:rPr>
        <w:t xml:space="preserve"> provide the résumé of the Project Manager or person tasked with the specific responsibility.</w:t>
      </w:r>
      <w:r>
        <w:rPr>
          <w:lang w:eastAsia="en-AU"/>
        </w:rPr>
        <w:t xml:space="preserve"> </w:t>
      </w:r>
      <w:r w:rsidRPr="00E21848">
        <w:rPr>
          <w:lang w:eastAsia="en-AU"/>
        </w:rPr>
        <w:t>Offeror must provide demonstrated subcontractor experience in completing the tasks required in this Project.</w:t>
      </w:r>
    </w:p>
    <w:p w14:paraId="5B087F50" w14:textId="77777777" w:rsidR="00B9211B" w:rsidRDefault="00B9211B" w:rsidP="00B9211B">
      <w:pPr>
        <w:rPr>
          <w:lang w:eastAsia="en-AU"/>
        </w:rPr>
      </w:pPr>
      <w:r>
        <w:rPr>
          <w:lang w:eastAsia="en-AU"/>
        </w:rPr>
        <w:t>The Offeror or their subcontractor(s) must meet the following Minimum Qualifications:</w:t>
      </w:r>
    </w:p>
    <w:tbl>
      <w:tblPr>
        <w:tblStyle w:val="TableGrid"/>
        <w:tblW w:w="0" w:type="auto"/>
        <w:tblInd w:w="648" w:type="dxa"/>
        <w:tblLook w:val="04A0" w:firstRow="1" w:lastRow="0" w:firstColumn="1" w:lastColumn="0" w:noHBand="0" w:noVBand="1"/>
        <w:tblCaption w:val="Offeror Qualifications Table"/>
        <w:tblDescription w:val="Table listing Offeror Qualifications"/>
      </w:tblPr>
      <w:tblGrid>
        <w:gridCol w:w="816"/>
        <w:gridCol w:w="6811"/>
        <w:gridCol w:w="1080"/>
        <w:gridCol w:w="1216"/>
        <w:gridCol w:w="10"/>
      </w:tblGrid>
      <w:tr w:rsidR="00B9211B" w:rsidRPr="00E21848" w14:paraId="10ED9049" w14:textId="77777777" w:rsidTr="00BC58FC">
        <w:trPr>
          <w:gridAfter w:val="1"/>
          <w:wAfter w:w="10" w:type="dxa"/>
          <w:cantSplit/>
          <w:tblHeader/>
        </w:trPr>
        <w:tc>
          <w:tcPr>
            <w:tcW w:w="816" w:type="dxa"/>
            <w:shd w:val="clear" w:color="auto" w:fill="DEEAF6" w:themeFill="accent1" w:themeFillTint="33"/>
            <w:vAlign w:val="bottom"/>
          </w:tcPr>
          <w:p w14:paraId="700903F0" w14:textId="77777777" w:rsidR="00B9211B" w:rsidRPr="00B9211B" w:rsidRDefault="00B9211B" w:rsidP="00B9211B">
            <w:pPr>
              <w:spacing w:after="0"/>
              <w:ind w:left="0"/>
              <w:jc w:val="center"/>
              <w:rPr>
                <w:rFonts w:cs="Arial"/>
                <w:b/>
                <w:color w:val="1F3864" w:themeColor="accent5" w:themeShade="80"/>
              </w:rPr>
            </w:pPr>
            <w:r w:rsidRPr="00B9211B">
              <w:rPr>
                <w:rFonts w:cs="Arial"/>
                <w:b/>
                <w:color w:val="1F3864" w:themeColor="accent5" w:themeShade="80"/>
              </w:rPr>
              <w:t>#</w:t>
            </w:r>
          </w:p>
        </w:tc>
        <w:tc>
          <w:tcPr>
            <w:tcW w:w="6811" w:type="dxa"/>
            <w:shd w:val="clear" w:color="auto" w:fill="DEEAF6" w:themeFill="accent1" w:themeFillTint="33"/>
            <w:vAlign w:val="bottom"/>
          </w:tcPr>
          <w:p w14:paraId="24E91343" w14:textId="77777777" w:rsidR="00B9211B" w:rsidRPr="00B9211B" w:rsidRDefault="00B9211B" w:rsidP="00B9211B">
            <w:pPr>
              <w:spacing w:after="0"/>
              <w:ind w:left="0"/>
              <w:jc w:val="center"/>
              <w:rPr>
                <w:rFonts w:cs="Arial"/>
                <w:b/>
                <w:color w:val="1F3864" w:themeColor="accent5" w:themeShade="80"/>
              </w:rPr>
            </w:pPr>
            <w:r w:rsidRPr="00B9211B">
              <w:rPr>
                <w:rFonts w:cs="Arial"/>
                <w:b/>
                <w:color w:val="1F3864" w:themeColor="accent5" w:themeShade="80"/>
              </w:rPr>
              <w:t>Qualification Item</w:t>
            </w:r>
          </w:p>
        </w:tc>
        <w:tc>
          <w:tcPr>
            <w:tcW w:w="2296" w:type="dxa"/>
            <w:gridSpan w:val="2"/>
            <w:shd w:val="clear" w:color="auto" w:fill="DEEAF6" w:themeFill="accent1" w:themeFillTint="33"/>
            <w:vAlign w:val="bottom"/>
          </w:tcPr>
          <w:p w14:paraId="1C94BB99" w14:textId="5B6A6AD1" w:rsidR="00B9211B" w:rsidRPr="00B9211B" w:rsidRDefault="00B9211B" w:rsidP="00B9211B">
            <w:pPr>
              <w:spacing w:after="0"/>
              <w:ind w:left="0"/>
              <w:jc w:val="center"/>
              <w:rPr>
                <w:rFonts w:cs="Arial"/>
                <w:b/>
                <w:color w:val="1F3864" w:themeColor="accent5" w:themeShade="80"/>
              </w:rPr>
            </w:pPr>
            <w:r w:rsidRPr="00B9211B">
              <w:rPr>
                <w:rFonts w:cs="Arial"/>
                <w:b/>
                <w:color w:val="1F3864" w:themeColor="accent5" w:themeShade="80"/>
              </w:rPr>
              <w:t xml:space="preserve">Offeror </w:t>
            </w:r>
            <w:r w:rsidRPr="00B9211B">
              <w:rPr>
                <w:rFonts w:cs="Arial"/>
                <w:b/>
                <w:color w:val="1F3864" w:themeColor="accent5" w:themeShade="80"/>
              </w:rPr>
              <w:br/>
              <w:t>Meet</w:t>
            </w:r>
            <w:r w:rsidR="0061433D">
              <w:rPr>
                <w:rFonts w:cs="Arial"/>
                <w:b/>
                <w:color w:val="1F3864" w:themeColor="accent5" w:themeShade="80"/>
              </w:rPr>
              <w:t>s</w:t>
            </w:r>
            <w:r w:rsidRPr="00B9211B">
              <w:rPr>
                <w:rFonts w:cs="Arial"/>
                <w:b/>
                <w:color w:val="1F3864" w:themeColor="accent5" w:themeShade="80"/>
              </w:rPr>
              <w:t>?</w:t>
            </w:r>
          </w:p>
        </w:tc>
      </w:tr>
      <w:tr w:rsidR="00B9211B" w:rsidRPr="006252D8" w14:paraId="117A1F9D" w14:textId="77777777" w:rsidTr="00BC58FC">
        <w:trPr>
          <w:cantSplit/>
        </w:trPr>
        <w:tc>
          <w:tcPr>
            <w:tcW w:w="816" w:type="dxa"/>
          </w:tcPr>
          <w:p w14:paraId="04C500BD" w14:textId="77777777" w:rsidR="00B9211B" w:rsidRPr="006252D8" w:rsidRDefault="00B9211B" w:rsidP="00B9211B">
            <w:pPr>
              <w:ind w:left="0"/>
              <w:jc w:val="center"/>
            </w:pPr>
            <w:r w:rsidRPr="006252D8">
              <w:t>1</w:t>
            </w:r>
          </w:p>
        </w:tc>
        <w:tc>
          <w:tcPr>
            <w:tcW w:w="6811" w:type="dxa"/>
          </w:tcPr>
          <w:p w14:paraId="14B9F953" w14:textId="77777777" w:rsidR="00B9211B" w:rsidRPr="006252D8" w:rsidRDefault="00B9211B" w:rsidP="00B9211B">
            <w:pPr>
              <w:ind w:left="0"/>
            </w:pPr>
            <w:r>
              <w:t>Offeror must have been in the Software Development business for a minimum of five (5) years.</w:t>
            </w:r>
          </w:p>
        </w:tc>
        <w:tc>
          <w:tcPr>
            <w:tcW w:w="1080" w:type="dxa"/>
            <w:vAlign w:val="center"/>
          </w:tcPr>
          <w:p w14:paraId="3D9EB480" w14:textId="77777777" w:rsidR="00B9211B" w:rsidRPr="006252D8" w:rsidRDefault="00B9211B" w:rsidP="00B9211B">
            <w:pPr>
              <w:ind w:left="0"/>
              <w:jc w:val="center"/>
            </w:pPr>
            <w:r>
              <w:t>Yes</w:t>
            </w:r>
          </w:p>
        </w:tc>
        <w:tc>
          <w:tcPr>
            <w:tcW w:w="1226" w:type="dxa"/>
            <w:gridSpan w:val="2"/>
            <w:vAlign w:val="center"/>
          </w:tcPr>
          <w:p w14:paraId="0C7F7A0E" w14:textId="77777777" w:rsidR="00B9211B" w:rsidRPr="006252D8" w:rsidRDefault="00B9211B" w:rsidP="00B9211B">
            <w:pPr>
              <w:ind w:left="0"/>
              <w:jc w:val="center"/>
            </w:pPr>
            <w:r>
              <w:t>No</w:t>
            </w:r>
          </w:p>
        </w:tc>
      </w:tr>
      <w:tr w:rsidR="00B9211B" w:rsidRPr="006252D8" w14:paraId="0553A903" w14:textId="77777777" w:rsidTr="00BC58FC">
        <w:trPr>
          <w:cantSplit/>
        </w:trPr>
        <w:tc>
          <w:tcPr>
            <w:tcW w:w="816" w:type="dxa"/>
          </w:tcPr>
          <w:p w14:paraId="151B8A2D" w14:textId="77777777" w:rsidR="00B9211B" w:rsidRPr="006252D8" w:rsidRDefault="00B9211B" w:rsidP="00B9211B">
            <w:pPr>
              <w:ind w:left="0"/>
              <w:jc w:val="center"/>
            </w:pPr>
            <w:r w:rsidRPr="006252D8">
              <w:t>2</w:t>
            </w:r>
          </w:p>
        </w:tc>
        <w:tc>
          <w:tcPr>
            <w:tcW w:w="6811" w:type="dxa"/>
          </w:tcPr>
          <w:p w14:paraId="5C90A667" w14:textId="110BB793" w:rsidR="00B9211B" w:rsidRPr="006252D8" w:rsidRDefault="00B9211B" w:rsidP="00B9211B">
            <w:pPr>
              <w:ind w:left="0"/>
            </w:pPr>
            <w:r>
              <w:t xml:space="preserve">Offeror has designed, developed, configured and/or customized, and successfully implemented at least </w:t>
            </w:r>
            <w:r w:rsidR="00194DC7">
              <w:t>one</w:t>
            </w:r>
            <w:r>
              <w:t xml:space="preserve"> (</w:t>
            </w:r>
            <w:r w:rsidR="00194DC7">
              <w:t>1</w:t>
            </w:r>
            <w:r>
              <w:t>) complete integrated UI solutions (Benefits</w:t>
            </w:r>
            <w:r w:rsidR="008F0BE2">
              <w:t xml:space="preserve"> or</w:t>
            </w:r>
            <w:r>
              <w:t xml:space="preserve"> Tax) within the last five (5) years for paying customers external to the Offeror’s organization. The Offeror must supply at least </w:t>
            </w:r>
            <w:r w:rsidR="00194DC7">
              <w:t>one</w:t>
            </w:r>
            <w:r>
              <w:t xml:space="preserve"> (</w:t>
            </w:r>
            <w:r w:rsidR="00194DC7">
              <w:t>1</w:t>
            </w:r>
            <w:r>
              <w:t>)</w:t>
            </w:r>
            <w:r w:rsidR="00194DC7">
              <w:t xml:space="preserve"> but no more than three (3)</w:t>
            </w:r>
            <w:r>
              <w:t xml:space="preserve"> references that verify this qualification item.</w:t>
            </w:r>
          </w:p>
        </w:tc>
        <w:tc>
          <w:tcPr>
            <w:tcW w:w="1080" w:type="dxa"/>
            <w:vAlign w:val="center"/>
          </w:tcPr>
          <w:p w14:paraId="344CB741" w14:textId="77777777" w:rsidR="00B9211B" w:rsidRPr="006252D8" w:rsidRDefault="00B9211B" w:rsidP="00B9211B">
            <w:pPr>
              <w:ind w:left="0"/>
              <w:jc w:val="center"/>
            </w:pPr>
            <w:r>
              <w:t>Yes</w:t>
            </w:r>
          </w:p>
        </w:tc>
        <w:tc>
          <w:tcPr>
            <w:tcW w:w="1226" w:type="dxa"/>
            <w:gridSpan w:val="2"/>
            <w:vAlign w:val="center"/>
          </w:tcPr>
          <w:p w14:paraId="7E1EF96C" w14:textId="77777777" w:rsidR="00B9211B" w:rsidRPr="006252D8" w:rsidRDefault="00B9211B" w:rsidP="00B9211B">
            <w:pPr>
              <w:ind w:left="0"/>
              <w:jc w:val="center"/>
            </w:pPr>
            <w:r>
              <w:t>No</w:t>
            </w:r>
          </w:p>
        </w:tc>
      </w:tr>
    </w:tbl>
    <w:p w14:paraId="75878678" w14:textId="77777777" w:rsidR="00B9211B" w:rsidRDefault="00B9211B" w:rsidP="00B9211B">
      <w:pPr>
        <w:rPr>
          <w:lang w:eastAsia="en-AU"/>
        </w:rPr>
      </w:pPr>
    </w:p>
    <w:p w14:paraId="6B3E9424" w14:textId="38BD0AF1" w:rsidR="00B9211B" w:rsidRPr="00E21848" w:rsidRDefault="00B9211B" w:rsidP="00B9211B">
      <w:pPr>
        <w:rPr>
          <w:lang w:eastAsia="en-AU"/>
        </w:rPr>
      </w:pPr>
      <w:bookmarkStart w:id="238" w:name="_Hlk4411088"/>
      <w:r>
        <w:t xml:space="preserve">TWC prefers that Offeror will provide both the technology solution and the </w:t>
      </w:r>
      <w:r w:rsidR="009521D7">
        <w:t xml:space="preserve">Staff </w:t>
      </w:r>
      <w:r>
        <w:t xml:space="preserve">who will configure, implement, or support it. </w:t>
      </w:r>
      <w:r w:rsidR="00194DC7">
        <w:t>TWC may award additional points for Offerors that successfully implemented more than one complete integrated UI solution.</w:t>
      </w:r>
    </w:p>
    <w:p w14:paraId="211A1328" w14:textId="2E383517" w:rsidR="00B9211B" w:rsidRDefault="00B9211B" w:rsidP="00B9211B">
      <w:pPr>
        <w:pStyle w:val="Heading2"/>
      </w:pPr>
      <w:bookmarkStart w:id="239" w:name="_Toc13567472"/>
      <w:bookmarkEnd w:id="238"/>
      <w:r>
        <w:t>9.</w:t>
      </w:r>
      <w:r w:rsidR="00DC26CA">
        <w:t>4</w:t>
      </w:r>
      <w:r>
        <w:tab/>
        <w:t>Offeror References</w:t>
      </w:r>
      <w:bookmarkEnd w:id="239"/>
    </w:p>
    <w:p w14:paraId="4B59ADA6" w14:textId="111D0052" w:rsidR="00B9211B" w:rsidRPr="00E21848" w:rsidRDefault="00B9211B" w:rsidP="00B9211B">
      <w:pPr>
        <w:rPr>
          <w:lang w:eastAsia="en-AU"/>
        </w:rPr>
      </w:pPr>
      <w:r w:rsidRPr="00E21848">
        <w:rPr>
          <w:lang w:eastAsia="en-AU"/>
        </w:rPr>
        <w:t>Offeror must provide a minimum of three (3) verifiable references excluding TWC. The three (3) references should cover Offeror capabilities, not just individual staff capabilities.</w:t>
      </w:r>
      <w:r>
        <w:rPr>
          <w:lang w:eastAsia="en-AU"/>
        </w:rPr>
        <w:t xml:space="preserve"> </w:t>
      </w:r>
      <w:r w:rsidRPr="00E21848">
        <w:rPr>
          <w:lang w:eastAsia="en-AU"/>
        </w:rPr>
        <w:t xml:space="preserve">References may be a combination of the prime </w:t>
      </w:r>
      <w:r>
        <w:rPr>
          <w:lang w:eastAsia="en-AU"/>
        </w:rPr>
        <w:t>Offeror</w:t>
      </w:r>
      <w:r w:rsidRPr="00E21848">
        <w:rPr>
          <w:lang w:eastAsia="en-AU"/>
        </w:rPr>
        <w:t xml:space="preserve"> and subcontractor </w:t>
      </w:r>
      <w:r>
        <w:rPr>
          <w:lang w:eastAsia="en-AU"/>
        </w:rPr>
        <w:t>Offeror</w:t>
      </w:r>
      <w:r w:rsidRPr="00E21848">
        <w:rPr>
          <w:lang w:eastAsia="en-AU"/>
        </w:rPr>
        <w:t xml:space="preserve"> references</w:t>
      </w:r>
      <w:r>
        <w:rPr>
          <w:lang w:eastAsia="en-AU"/>
        </w:rPr>
        <w:t>, with at least one (1) prime Offeror reference</w:t>
      </w:r>
      <w:r w:rsidRPr="00E21848">
        <w:rPr>
          <w:lang w:eastAsia="en-AU"/>
        </w:rPr>
        <w:t>. If the Offeror has contracted with TWC within the last five (5) years, the Offeror must include TWC as a fourth reference. For TWC references, provide the Project name and timeframe but do not provide any specific individual’s name.</w:t>
      </w:r>
    </w:p>
    <w:p w14:paraId="4A67A1D4" w14:textId="77777777" w:rsidR="00B9211B" w:rsidRPr="00E21848" w:rsidRDefault="00B9211B" w:rsidP="00B9211B">
      <w:pPr>
        <w:rPr>
          <w:lang w:eastAsia="en-AU"/>
        </w:rPr>
      </w:pPr>
      <w:r w:rsidRPr="00E21848">
        <w:rPr>
          <w:lang w:eastAsia="en-AU"/>
        </w:rPr>
        <w:lastRenderedPageBreak/>
        <w:t xml:space="preserve">TWC must be able to reach each reference directly by phone or email within one (1) week of initial contact, or the evaluation score will be zero (0) for that reference. </w:t>
      </w:r>
    </w:p>
    <w:p w14:paraId="393B01C2" w14:textId="393AA70E" w:rsidR="00B9211B" w:rsidRPr="00E21848" w:rsidRDefault="00B9211B" w:rsidP="00E16D2D">
      <w:pPr>
        <w:pStyle w:val="LB1"/>
        <w:rPr>
          <w:lang w:eastAsia="en-AU"/>
        </w:rPr>
      </w:pPr>
      <w:r w:rsidRPr="00E21848">
        <w:rPr>
          <w:lang w:eastAsia="en-AU"/>
        </w:rPr>
        <w:t xml:space="preserve">Submit the reference contact information, including name, email and phone number, with </w:t>
      </w:r>
      <w:r w:rsidR="00CC74E1">
        <w:rPr>
          <w:lang w:eastAsia="en-AU"/>
        </w:rPr>
        <w:t>your response in this section;</w:t>
      </w:r>
    </w:p>
    <w:p w14:paraId="27BF3C94" w14:textId="1D83D804" w:rsidR="00B9211B" w:rsidRPr="00E21848" w:rsidRDefault="00B9211B" w:rsidP="00E16D2D">
      <w:pPr>
        <w:pStyle w:val="LB1"/>
        <w:rPr>
          <w:lang w:eastAsia="en-AU"/>
        </w:rPr>
      </w:pPr>
      <w:r w:rsidRPr="00E21848">
        <w:rPr>
          <w:lang w:eastAsia="en-AU"/>
        </w:rPr>
        <w:t xml:space="preserve">TWC uses references during the first evaluation, so we will not allow you to provide reference contact information </w:t>
      </w:r>
      <w:r w:rsidR="00CC74E1">
        <w:rPr>
          <w:lang w:eastAsia="en-AU"/>
        </w:rPr>
        <w:t>later in the selection process;</w:t>
      </w:r>
    </w:p>
    <w:p w14:paraId="6E83D015" w14:textId="05BD91C3" w:rsidR="00B9211B" w:rsidRPr="00E21848" w:rsidRDefault="00B9211B" w:rsidP="00116640">
      <w:pPr>
        <w:pStyle w:val="LB1"/>
        <w:rPr>
          <w:lang w:eastAsia="en-AU"/>
        </w:rPr>
      </w:pPr>
      <w:r w:rsidRPr="00E21848">
        <w:rPr>
          <w:lang w:eastAsia="en-AU"/>
        </w:rPr>
        <w:t>TWC must contact the references directly, without the Offeror acting as an</w:t>
      </w:r>
      <w:r w:rsidR="00CC74E1">
        <w:rPr>
          <w:lang w:eastAsia="en-AU"/>
        </w:rPr>
        <w:t xml:space="preserve"> intermediary to set up contact; and</w:t>
      </w:r>
    </w:p>
    <w:p w14:paraId="51D2990F" w14:textId="77777777" w:rsidR="00B9211B" w:rsidRPr="00E21848" w:rsidRDefault="00B9211B" w:rsidP="00116640">
      <w:pPr>
        <w:pStyle w:val="LB1"/>
        <w:rPr>
          <w:lang w:eastAsia="en-AU"/>
        </w:rPr>
      </w:pPr>
      <w:r w:rsidRPr="00E21848">
        <w:t>To ensure the reference understands which project we are requesting information about:</w:t>
      </w:r>
    </w:p>
    <w:p w14:paraId="1746AFCA" w14:textId="67AA6124" w:rsidR="00B9211B" w:rsidRPr="00E21848" w:rsidRDefault="00B9211B" w:rsidP="00F82166">
      <w:pPr>
        <w:pStyle w:val="OB1"/>
      </w:pPr>
      <w:r w:rsidRPr="00E21848">
        <w:t>Provide the dates and t</w:t>
      </w:r>
      <w:r w:rsidR="00CC74E1">
        <w:t>he name of the project; and</w:t>
      </w:r>
    </w:p>
    <w:p w14:paraId="0DD29BF9" w14:textId="77777777" w:rsidR="00B9211B" w:rsidRPr="00E21848" w:rsidRDefault="00B9211B" w:rsidP="00F82166">
      <w:pPr>
        <w:pStyle w:val="OB1"/>
      </w:pPr>
      <w:r w:rsidRPr="00E21848">
        <w:t>Provide the name of the company (yours or a subcontractor’s) that had direct dealings with your reference.</w:t>
      </w:r>
    </w:p>
    <w:p w14:paraId="5A79908F" w14:textId="77777777" w:rsidR="00B9211B" w:rsidRDefault="00B9211B" w:rsidP="00F64703"/>
    <w:p w14:paraId="554DCDB7" w14:textId="77777777" w:rsidR="00B9211B" w:rsidRPr="002E3E8F" w:rsidRDefault="00B9211B" w:rsidP="00B9211B">
      <w:pPr>
        <w:rPr>
          <w:lang w:eastAsia="en-AU"/>
        </w:rPr>
      </w:pPr>
      <w:r w:rsidRPr="002E3E8F">
        <w:rPr>
          <w:lang w:eastAsia="en-AU"/>
        </w:rPr>
        <w:t xml:space="preserve">References </w:t>
      </w:r>
      <w:r w:rsidRPr="002E3E8F">
        <w:t>must</w:t>
      </w:r>
      <w:r w:rsidRPr="002E3E8F">
        <w:rPr>
          <w:lang w:eastAsia="en-AU"/>
        </w:rPr>
        <w:t xml:space="preserve"> focus on the following:</w:t>
      </w:r>
    </w:p>
    <w:p w14:paraId="24D9D341" w14:textId="1DA0A78D" w:rsidR="00B9211B" w:rsidRDefault="00B9211B" w:rsidP="00E16D2D">
      <w:pPr>
        <w:pStyle w:val="LB1"/>
        <w:rPr>
          <w:lang w:eastAsia="en-AU"/>
        </w:rPr>
      </w:pPr>
      <w:r w:rsidRPr="00741202">
        <w:rPr>
          <w:lang w:eastAsia="en-AU"/>
        </w:rPr>
        <w:t xml:space="preserve">Experience </w:t>
      </w:r>
      <w:r>
        <w:rPr>
          <w:lang w:eastAsia="en-AU"/>
        </w:rPr>
        <w:t xml:space="preserve">with the Offeror’s </w:t>
      </w:r>
      <w:r w:rsidRPr="00741202">
        <w:rPr>
          <w:lang w:eastAsia="en-AU"/>
        </w:rPr>
        <w:t>design, implementation</w:t>
      </w:r>
      <w:r>
        <w:rPr>
          <w:lang w:eastAsia="en-AU"/>
        </w:rPr>
        <w:t>,</w:t>
      </w:r>
      <w:r w:rsidRPr="00741202">
        <w:rPr>
          <w:lang w:eastAsia="en-AU"/>
        </w:rPr>
        <w:t xml:space="preserve"> and delivery of </w:t>
      </w:r>
      <w:r>
        <w:rPr>
          <w:lang w:eastAsia="en-AU"/>
        </w:rPr>
        <w:t xml:space="preserve">the UI and any other integrated </w:t>
      </w:r>
      <w:r w:rsidRPr="00741202">
        <w:rPr>
          <w:lang w:eastAsia="en-AU"/>
        </w:rPr>
        <w:t>Workforce solution</w:t>
      </w:r>
      <w:r>
        <w:rPr>
          <w:lang w:eastAsia="en-AU"/>
        </w:rPr>
        <w:t>(s)</w:t>
      </w:r>
      <w:r w:rsidR="00CC74E1">
        <w:rPr>
          <w:lang w:eastAsia="en-AU"/>
        </w:rPr>
        <w:t>;</w:t>
      </w:r>
    </w:p>
    <w:p w14:paraId="538A1C0F" w14:textId="27E44F06" w:rsidR="00B9211B" w:rsidRDefault="00B9211B" w:rsidP="00E16D2D">
      <w:pPr>
        <w:pStyle w:val="LB1"/>
        <w:rPr>
          <w:lang w:eastAsia="en-AU"/>
        </w:rPr>
      </w:pPr>
      <w:r>
        <w:rPr>
          <w:lang w:eastAsia="en-AU"/>
        </w:rPr>
        <w:t>Experience with the Offeror’s data conversion and migration from legacy syste</w:t>
      </w:r>
      <w:r w:rsidR="00CC74E1">
        <w:rPr>
          <w:lang w:eastAsia="en-AU"/>
        </w:rPr>
        <w:t>m(s) to the new hosted solution;</w:t>
      </w:r>
    </w:p>
    <w:p w14:paraId="7463552C" w14:textId="076A7A7B" w:rsidR="00B9211B" w:rsidRPr="00741202" w:rsidRDefault="00B9211B" w:rsidP="00116640">
      <w:pPr>
        <w:pStyle w:val="LB1"/>
        <w:rPr>
          <w:lang w:eastAsia="en-AU"/>
        </w:rPr>
      </w:pPr>
      <w:r>
        <w:rPr>
          <w:lang w:eastAsia="en-AU"/>
        </w:rPr>
        <w:t xml:space="preserve">Experience with the Offeror’s development, implementation, and replacement of interfaces to other systems both internal and external </w:t>
      </w:r>
      <w:r w:rsidR="00CC74E1">
        <w:rPr>
          <w:lang w:eastAsia="en-AU"/>
        </w:rPr>
        <w:t>to the customer’s organization;</w:t>
      </w:r>
    </w:p>
    <w:p w14:paraId="21C75E24" w14:textId="286DB756" w:rsidR="00B9211B" w:rsidRPr="00741202" w:rsidRDefault="00B9211B" w:rsidP="00F82166">
      <w:pPr>
        <w:pStyle w:val="LB1"/>
        <w:rPr>
          <w:lang w:eastAsia="en-AU"/>
        </w:rPr>
      </w:pPr>
      <w:r w:rsidRPr="00741202">
        <w:rPr>
          <w:lang w:eastAsia="en-AU"/>
        </w:rPr>
        <w:t xml:space="preserve">Experience </w:t>
      </w:r>
      <w:r>
        <w:rPr>
          <w:lang w:eastAsia="en-AU"/>
        </w:rPr>
        <w:t xml:space="preserve">with the Offeror </w:t>
      </w:r>
      <w:r w:rsidRPr="00741202">
        <w:rPr>
          <w:lang w:eastAsia="en-AU"/>
        </w:rPr>
        <w:t xml:space="preserve">ensuring data privacy and information security for safeguarding </w:t>
      </w:r>
      <w:r w:rsidRPr="002E3E8F">
        <w:rPr>
          <w:lang w:eastAsia="en-AU"/>
        </w:rPr>
        <w:t>PII</w:t>
      </w:r>
      <w:r w:rsidR="00CC74E1">
        <w:rPr>
          <w:lang w:eastAsia="en-AU"/>
        </w:rPr>
        <w:t>;</w:t>
      </w:r>
    </w:p>
    <w:p w14:paraId="787346F1" w14:textId="30677EF4" w:rsidR="00B9211B" w:rsidRDefault="00B9211B" w:rsidP="00F82166">
      <w:pPr>
        <w:pStyle w:val="LB1"/>
        <w:rPr>
          <w:lang w:eastAsia="en-AU"/>
        </w:rPr>
      </w:pPr>
      <w:r w:rsidRPr="00741202">
        <w:rPr>
          <w:lang w:eastAsia="en-AU"/>
        </w:rPr>
        <w:t>Successful completion of a project</w:t>
      </w:r>
      <w:r w:rsidR="00CC74E1">
        <w:rPr>
          <w:lang w:eastAsia="en-AU"/>
        </w:rPr>
        <w:t xml:space="preserve"> of similar size and complexity; and</w:t>
      </w:r>
    </w:p>
    <w:p w14:paraId="70F538FD" w14:textId="102B2039" w:rsidR="00695550" w:rsidRDefault="00B9211B">
      <w:pPr>
        <w:pStyle w:val="LB1"/>
      </w:pPr>
      <w:r>
        <w:rPr>
          <w:lang w:eastAsia="en-AU"/>
        </w:rPr>
        <w:t>Lessons learned or other observations from working with the Offeror throughout the implementation project and during subsequent support and enhancement activities.</w:t>
      </w:r>
    </w:p>
    <w:p w14:paraId="617FDAA9" w14:textId="77777777" w:rsidR="00B9211B" w:rsidRPr="00E57851" w:rsidRDefault="00B9211B" w:rsidP="00B9211B"/>
    <w:p w14:paraId="1CEA418A" w14:textId="2DC17F4A" w:rsidR="00695550" w:rsidRDefault="00695550" w:rsidP="00695550">
      <w:pPr>
        <w:pStyle w:val="Heading1"/>
      </w:pPr>
      <w:bookmarkStart w:id="240" w:name="_Toc13567473"/>
      <w:r>
        <w:lastRenderedPageBreak/>
        <w:t>Offer Submission Requirements</w:t>
      </w:r>
      <w:bookmarkEnd w:id="240"/>
    </w:p>
    <w:p w14:paraId="122F5A58" w14:textId="276CD750" w:rsidR="00695550" w:rsidRDefault="00191EF5" w:rsidP="00191EF5">
      <w:pPr>
        <w:pStyle w:val="Heading2"/>
      </w:pPr>
      <w:bookmarkStart w:id="241" w:name="_Toc13567474"/>
      <w:r>
        <w:t>10.1</w:t>
      </w:r>
      <w:r>
        <w:tab/>
        <w:t>Offeror Instructions</w:t>
      </w:r>
      <w:bookmarkEnd w:id="241"/>
    </w:p>
    <w:p w14:paraId="6EC0E745" w14:textId="34D37986" w:rsidR="00191EF5" w:rsidRDefault="00191EF5" w:rsidP="00191EF5">
      <w:pPr>
        <w:pStyle w:val="Heading3"/>
      </w:pPr>
      <w:bookmarkStart w:id="242" w:name="_Toc13567475"/>
      <w:r>
        <w:t>10.1.1</w:t>
      </w:r>
      <w:r>
        <w:tab/>
        <w:t>UI Proposal (Required)</w:t>
      </w:r>
      <w:bookmarkEnd w:id="242"/>
    </w:p>
    <w:p w14:paraId="2D69FA43" w14:textId="52C49BAB" w:rsidR="00191EF5" w:rsidRDefault="00191EF5" w:rsidP="00695550">
      <w:r>
        <w:t>The Offeror must:</w:t>
      </w:r>
    </w:p>
    <w:p w14:paraId="59478DD7" w14:textId="27BC6155" w:rsidR="00DF444C" w:rsidRPr="00250260" w:rsidRDefault="00DF444C" w:rsidP="00DB7AAE">
      <w:pPr>
        <w:pStyle w:val="NB4"/>
      </w:pPr>
      <w:r w:rsidRPr="00250260">
        <w:t>10.1.1.1</w:t>
      </w:r>
      <w:r w:rsidRPr="00250260">
        <w:tab/>
        <w:t xml:space="preserve">Provide a proposal for implementing a </w:t>
      </w:r>
      <w:r>
        <w:t>UI</w:t>
      </w:r>
      <w:r w:rsidRPr="00250260">
        <w:t xml:space="preserve"> solution that </w:t>
      </w:r>
      <w:r w:rsidR="002C3C2A" w:rsidRPr="00250260">
        <w:t xml:space="preserve">will </w:t>
      </w:r>
      <w:r w:rsidRPr="00250260">
        <w:t xml:space="preserve">completely replace the </w:t>
      </w:r>
      <w:r w:rsidR="00E7004C">
        <w:t xml:space="preserve">TWC </w:t>
      </w:r>
      <w:r w:rsidR="00FB59F1">
        <w:t xml:space="preserve">UI </w:t>
      </w:r>
      <w:r w:rsidRPr="00250260">
        <w:t>legacy</w:t>
      </w:r>
      <w:r w:rsidR="00FB59F1">
        <w:t xml:space="preserve"> system</w:t>
      </w:r>
      <w:r w:rsidR="00E7004C">
        <w:t>s</w:t>
      </w:r>
      <w:r w:rsidRPr="00250260">
        <w:t>.</w:t>
      </w:r>
      <w:r w:rsidR="002116FE">
        <w:t xml:space="preserve"> However, a proposal to </w:t>
      </w:r>
      <w:r w:rsidR="004A1B96">
        <w:t xml:space="preserve">replace TWC’s existing CMS </w:t>
      </w:r>
      <w:r w:rsidR="002116FE">
        <w:t>is Optional.</w:t>
      </w:r>
    </w:p>
    <w:p w14:paraId="29194F24" w14:textId="77777777" w:rsidR="00DF444C" w:rsidRPr="00E21848" w:rsidRDefault="00DF444C" w:rsidP="00DB7AAE">
      <w:pPr>
        <w:pStyle w:val="NB4"/>
      </w:pPr>
      <w:r>
        <w:t>10.1.1.2</w:t>
      </w:r>
      <w:r>
        <w:tab/>
      </w:r>
      <w:r w:rsidRPr="00E21848">
        <w:t xml:space="preserve">Phrase response in terms and language that can be easily understood by non-technical personnel.  </w:t>
      </w:r>
    </w:p>
    <w:p w14:paraId="4AFDF058" w14:textId="77777777" w:rsidR="00DF444C" w:rsidRPr="00E21848" w:rsidRDefault="00DF444C" w:rsidP="00DB7AAE">
      <w:pPr>
        <w:pStyle w:val="NB4"/>
      </w:pPr>
      <w:r>
        <w:t>10.1.1.3</w:t>
      </w:r>
      <w:r>
        <w:tab/>
      </w:r>
      <w:r w:rsidRPr="00E21848">
        <w:t>Include the entire text of the RFO within your response, reformatting as needed.</w:t>
      </w:r>
      <w:r>
        <w:t xml:space="preserve"> </w:t>
      </w:r>
      <w:r w:rsidRPr="00E21848">
        <w:t>Ensure that your document outline and Table of Contents matches TWC’s RFO outline.</w:t>
      </w:r>
      <w:r>
        <w:t xml:space="preserve"> </w:t>
      </w:r>
      <w:r w:rsidRPr="00E21848">
        <w:t>You may add an overview or attachments.</w:t>
      </w:r>
    </w:p>
    <w:p w14:paraId="0AFA38C3" w14:textId="174F3CF1" w:rsidR="00DF444C" w:rsidRPr="00E21848" w:rsidRDefault="00DF444C" w:rsidP="00DB7AAE">
      <w:pPr>
        <w:pStyle w:val="NB4"/>
      </w:pPr>
      <w:r>
        <w:t>10.1.1.4</w:t>
      </w:r>
      <w:r>
        <w:tab/>
      </w:r>
      <w:r w:rsidRPr="00E21848">
        <w:t>Do not include a restatement of the desired service or functionality.</w:t>
      </w:r>
      <w:r>
        <w:t xml:space="preserve"> </w:t>
      </w:r>
      <w:r w:rsidRPr="00E21848">
        <w:t>Do not repeat detail</w:t>
      </w:r>
      <w:r w:rsidR="002C3C2A">
        <w:t>(s)</w:t>
      </w:r>
      <w:r w:rsidRPr="00E21848">
        <w:t xml:space="preserve"> already included in the RFO.</w:t>
      </w:r>
      <w:r>
        <w:t xml:space="preserve"> </w:t>
      </w:r>
      <w:r w:rsidRPr="00E21848">
        <w:t xml:space="preserve">Focus your response on what you will do to ensure that your solution meets </w:t>
      </w:r>
      <w:r>
        <w:t>TWC’s</w:t>
      </w:r>
      <w:r w:rsidRPr="00E21848">
        <w:t xml:space="preserve"> needs.  </w:t>
      </w:r>
    </w:p>
    <w:p w14:paraId="3C604DAF" w14:textId="33DA2D63" w:rsidR="00DF444C" w:rsidRPr="00E21848" w:rsidRDefault="00DF444C" w:rsidP="00DB7AAE">
      <w:pPr>
        <w:pStyle w:val="NB4"/>
      </w:pPr>
      <w:r>
        <w:t>10.1.1.5</w:t>
      </w:r>
      <w:r>
        <w:tab/>
      </w:r>
      <w:r w:rsidRPr="00E21848">
        <w:t>Carefully review Attachment 1</w:t>
      </w:r>
      <w:r>
        <w:t xml:space="preserve"> -</w:t>
      </w:r>
      <w:r w:rsidRPr="00E21848">
        <w:t xml:space="preserve"> Texas Workforce Commission - Terms &amp; Conditions.</w:t>
      </w:r>
      <w:r>
        <w:t xml:space="preserve"> </w:t>
      </w:r>
      <w:r w:rsidRPr="00E21848">
        <w:t xml:space="preserve">Offerors must submit in writing with their offer any exceptions taken to those Terms &amp; Conditions and include alternative language for same. </w:t>
      </w:r>
      <w:r w:rsidRPr="00F73325">
        <w:t xml:space="preserve">State and Federal statutes are not negotiable. TWC will look more favorably on Proposals that offer no or few exceptions, reservations, or limitations to the Terms and Conditions of the RFO, including the TWC Terms </w:t>
      </w:r>
      <w:r w:rsidR="00CF20F5">
        <w:t>&amp;</w:t>
      </w:r>
      <w:r w:rsidRPr="00F73325">
        <w:t xml:space="preserve"> Conditions in Attachment 1.</w:t>
      </w:r>
    </w:p>
    <w:p w14:paraId="5590F8EE" w14:textId="77777777" w:rsidR="00DF444C" w:rsidRPr="00E21848" w:rsidRDefault="00DF444C" w:rsidP="00DB7AAE">
      <w:pPr>
        <w:pStyle w:val="NB4"/>
      </w:pPr>
      <w:r>
        <w:t>10.1.1.6</w:t>
      </w:r>
      <w:r>
        <w:tab/>
      </w:r>
      <w:r w:rsidRPr="00E21848">
        <w:t xml:space="preserve">Unless a section requires a specific Offeror response, it is sufficient to state “Understand and will comply” following the section. </w:t>
      </w:r>
    </w:p>
    <w:p w14:paraId="35AAB1CE" w14:textId="77777777" w:rsidR="00DF444C" w:rsidRPr="00E21848" w:rsidRDefault="00DF444C" w:rsidP="00DB7AAE">
      <w:pPr>
        <w:pStyle w:val="NB4"/>
      </w:pPr>
      <w:r>
        <w:t>10.1.1.7</w:t>
      </w:r>
      <w:r>
        <w:tab/>
      </w:r>
      <w:r w:rsidRPr="00E21848">
        <w:t>Clearly label your response (e.g., begin all of your responses with “</w:t>
      </w:r>
      <w:r>
        <w:t>Offeror</w:t>
      </w:r>
      <w:r w:rsidRPr="00E21848">
        <w:t xml:space="preserve"> Response” or “[</w:t>
      </w:r>
      <w:r>
        <w:t>Offeror</w:t>
      </w:r>
      <w:r w:rsidRPr="00E21848">
        <w:t xml:space="preserve"> name] Response”); do not rely on formatting alone.</w:t>
      </w:r>
    </w:p>
    <w:p w14:paraId="70740286" w14:textId="77777777" w:rsidR="00DF444C" w:rsidRPr="00E21848" w:rsidRDefault="00DF444C" w:rsidP="00DB7AAE">
      <w:pPr>
        <w:pStyle w:val="NB4"/>
      </w:pPr>
      <w:r>
        <w:t>10.1.1.8</w:t>
      </w:r>
      <w:r>
        <w:tab/>
      </w:r>
      <w:r w:rsidRPr="00E21848">
        <w:t xml:space="preserve">Ensure your written response complies with </w:t>
      </w:r>
      <w:r>
        <w:t>EIR</w:t>
      </w:r>
      <w:r w:rsidRPr="00E21848">
        <w:t xml:space="preserve"> accessibility requirements, per Section 11.4.1 of </w:t>
      </w:r>
      <w:r>
        <w:t>Attachment 1 -</w:t>
      </w:r>
      <w:r w:rsidRPr="00E21848">
        <w:t xml:space="preserve"> Texas Workforce Commission – Terms &amp; Conditions.  </w:t>
      </w:r>
    </w:p>
    <w:p w14:paraId="2D91D4F4" w14:textId="29D88A82" w:rsidR="00DF444C" w:rsidRDefault="00DF444C" w:rsidP="00DB7AAE">
      <w:pPr>
        <w:pStyle w:val="NB4"/>
      </w:pPr>
      <w:r>
        <w:t>10.1.1.9</w:t>
      </w:r>
      <w:r>
        <w:tab/>
      </w:r>
      <w:r w:rsidRPr="00E21848">
        <w:t>Avoid redundancy within your response.</w:t>
      </w:r>
      <w:r>
        <w:t xml:space="preserve"> </w:t>
      </w:r>
      <w:r w:rsidRPr="00E21848">
        <w:t>If information applies to more than one (1) section, include it in only one (1) section and reference it in all other applicable places.</w:t>
      </w:r>
    </w:p>
    <w:p w14:paraId="734675DD" w14:textId="069CE6D2" w:rsidR="00044022" w:rsidRPr="007974FC" w:rsidRDefault="00044022" w:rsidP="007974FC">
      <w:pPr>
        <w:pStyle w:val="NB4"/>
      </w:pPr>
      <w:r>
        <w:t>10.1.1.10</w:t>
      </w:r>
      <w:r>
        <w:tab/>
        <w:t xml:space="preserve">Limit response to no more than </w:t>
      </w:r>
      <w:r w:rsidR="004E316A">
        <w:t>one</w:t>
      </w:r>
      <w:r w:rsidR="004E316A" w:rsidRPr="00253863">
        <w:t xml:space="preserve"> thousand </w:t>
      </w:r>
      <w:r w:rsidR="001F2DA9">
        <w:t xml:space="preserve">five hundred </w:t>
      </w:r>
      <w:r w:rsidR="004E316A">
        <w:t>(1</w:t>
      </w:r>
      <w:r w:rsidR="004E316A" w:rsidRPr="00AC2EA8">
        <w:t>,</w:t>
      </w:r>
      <w:r w:rsidR="001F2DA9">
        <w:t>5</w:t>
      </w:r>
      <w:r w:rsidR="004E316A" w:rsidRPr="00AC2EA8">
        <w:t>00</w:t>
      </w:r>
      <w:r w:rsidR="004E316A">
        <w:t>)</w:t>
      </w:r>
      <w:r w:rsidR="004E316A" w:rsidRPr="007974FC">
        <w:t xml:space="preserve"> </w:t>
      </w:r>
      <w:r w:rsidRPr="007974FC">
        <w:t>pages</w:t>
      </w:r>
      <w:r w:rsidR="003F5A44">
        <w:t xml:space="preserve"> including all attachments and graphics</w:t>
      </w:r>
      <w:r>
        <w:t>.</w:t>
      </w:r>
      <w:r w:rsidR="007974FC">
        <w:t xml:space="preserve"> Conciseness and clarity </w:t>
      </w:r>
      <w:r w:rsidR="007974FC" w:rsidRPr="007974FC">
        <w:t>of content in proposals are required;</w:t>
      </w:r>
      <w:r w:rsidR="007974FC">
        <w:t xml:space="preserve"> </w:t>
      </w:r>
      <w:r w:rsidR="007974FC" w:rsidRPr="007974FC">
        <w:t>vague and general proposals may be considered non-</w:t>
      </w:r>
      <w:r w:rsidR="0047599C" w:rsidRPr="007974FC">
        <w:t>responsive and</w:t>
      </w:r>
      <w:r w:rsidR="007974FC" w:rsidRPr="007974FC">
        <w:t xml:space="preserve"> may result in disqualification (or adversely affect your evaluation score)</w:t>
      </w:r>
      <w:r w:rsidR="00445E0E">
        <w:t>.</w:t>
      </w:r>
    </w:p>
    <w:p w14:paraId="4EA35B4C" w14:textId="03E77A34" w:rsidR="00DF444C" w:rsidRPr="00250260" w:rsidRDefault="00DF444C" w:rsidP="00DB7AAE">
      <w:pPr>
        <w:pStyle w:val="NB4"/>
      </w:pPr>
      <w:r w:rsidRPr="00250260">
        <w:lastRenderedPageBreak/>
        <w:t>10.1.1.1</w:t>
      </w:r>
      <w:r w:rsidR="0042030E">
        <w:t>1</w:t>
      </w:r>
      <w:r w:rsidRPr="00250260">
        <w:tab/>
        <w:t xml:space="preserve">Ensure that all deliverable methodologies, assumptions and exclusions are included under the specific deliverable in </w:t>
      </w:r>
      <w:hyperlink w:anchor="_2.2_Required_Project" w:history="1">
        <w:r w:rsidRPr="005970BB">
          <w:rPr>
            <w:rStyle w:val="Hyperlink"/>
          </w:rPr>
          <w:t>Section 2.2</w:t>
        </w:r>
      </w:hyperlink>
      <w:r w:rsidRPr="00250260">
        <w:t>, Required Project Deliverables</w:t>
      </w:r>
      <w:r w:rsidR="00404531">
        <w:t xml:space="preserve"> and </w:t>
      </w:r>
      <w:hyperlink w:anchor="_2.3_Optional_Project" w:history="1">
        <w:r w:rsidR="00404531" w:rsidRPr="00404531">
          <w:rPr>
            <w:rStyle w:val="Hyperlink"/>
          </w:rPr>
          <w:t>Section 2.3</w:t>
        </w:r>
      </w:hyperlink>
      <w:r w:rsidR="00404531" w:rsidRPr="00250260">
        <w:t xml:space="preserve">, </w:t>
      </w:r>
      <w:r w:rsidR="00404531">
        <w:t>Optional</w:t>
      </w:r>
      <w:r w:rsidR="00404531" w:rsidRPr="00250260">
        <w:t xml:space="preserve"> Project Deliverables</w:t>
      </w:r>
      <w:r w:rsidRPr="00250260">
        <w:t xml:space="preserve">. </w:t>
      </w:r>
    </w:p>
    <w:p w14:paraId="5B94CB22" w14:textId="4AC145F7" w:rsidR="00191EF5" w:rsidRDefault="00DF444C" w:rsidP="00DB7AAE">
      <w:pPr>
        <w:pStyle w:val="NB4"/>
      </w:pPr>
      <w:r>
        <w:t>10.1.1.1</w:t>
      </w:r>
      <w:r w:rsidR="0042030E">
        <w:t>2</w:t>
      </w:r>
      <w:r>
        <w:tab/>
      </w:r>
      <w:r w:rsidRPr="00E21848">
        <w:t xml:space="preserve">Ensure that all methodologies that apply to the entire Project or multiple deliverables are included under </w:t>
      </w:r>
      <w:hyperlink w:anchor="_2.5_Overall_Project" w:history="1">
        <w:r w:rsidRPr="005970BB">
          <w:rPr>
            <w:rStyle w:val="Hyperlink"/>
          </w:rPr>
          <w:t>Section 2.</w:t>
        </w:r>
        <w:r w:rsidR="005970BB" w:rsidRPr="005970BB">
          <w:rPr>
            <w:rStyle w:val="Hyperlink"/>
          </w:rPr>
          <w:t>5</w:t>
        </w:r>
      </w:hyperlink>
      <w:r w:rsidRPr="00E21848">
        <w:t>, Overall Project Approach.</w:t>
      </w:r>
    </w:p>
    <w:p w14:paraId="18DE3BF2" w14:textId="77777777" w:rsidR="001328A9" w:rsidRPr="00E21848" w:rsidRDefault="001328A9" w:rsidP="001328A9">
      <w:pPr>
        <w:pStyle w:val="Heading3"/>
        <w:tabs>
          <w:tab w:val="left" w:pos="1080"/>
        </w:tabs>
      </w:pPr>
      <w:bookmarkStart w:id="243" w:name="_Toc482188982"/>
      <w:bookmarkStart w:id="244" w:name="_Toc13567476"/>
      <w:bookmarkStart w:id="245" w:name="_Hlk1719261"/>
      <w:r>
        <w:t>10</w:t>
      </w:r>
      <w:r w:rsidRPr="00E21848">
        <w:t>.</w:t>
      </w:r>
      <w:r>
        <w:t>1</w:t>
      </w:r>
      <w:r w:rsidRPr="00E21848">
        <w:t>.</w:t>
      </w:r>
      <w:r>
        <w:t>2</w:t>
      </w:r>
      <w:r w:rsidRPr="00E21848">
        <w:tab/>
      </w:r>
      <w:r>
        <w:t>HUB Participation (Required)</w:t>
      </w:r>
      <w:bookmarkEnd w:id="243"/>
      <w:bookmarkEnd w:id="244"/>
      <w:r w:rsidRPr="00E21848">
        <w:t xml:space="preserve"> </w:t>
      </w:r>
    </w:p>
    <w:p w14:paraId="20AE6BC9" w14:textId="4E90B1F3" w:rsidR="001328A9" w:rsidRDefault="001328A9" w:rsidP="001328A9">
      <w:r w:rsidRPr="000C1445">
        <w:t xml:space="preserve">TWC requires, as a condition of an award, that </w:t>
      </w:r>
      <w:r>
        <w:t>O</w:t>
      </w:r>
      <w:r w:rsidRPr="000C1445">
        <w:t>fferors comply with Texas Government Code Chapter 2161, Subchapter F and the Historically Underutilized</w:t>
      </w:r>
      <w:r w:rsidRPr="000B044D">
        <w:t xml:space="preserve"> Businesses (HUB)</w:t>
      </w:r>
      <w:r>
        <w:t xml:space="preserve"> </w:t>
      </w:r>
      <w:r w:rsidRPr="000C1445">
        <w:t xml:space="preserve">Plan relating to the State’s program on </w:t>
      </w:r>
      <w:r w:rsidRPr="000B044D">
        <w:t>HUB.</w:t>
      </w:r>
      <w:r>
        <w:t xml:space="preserve"> Offeror</w:t>
      </w:r>
      <w:r w:rsidRPr="000B044D">
        <w:t xml:space="preserve">s must comply </w:t>
      </w:r>
      <w:r w:rsidRPr="00D422E7">
        <w:t xml:space="preserve">with </w:t>
      </w:r>
      <w:hyperlink w:anchor="_Attachment_11_–" w:history="1">
        <w:r w:rsidRPr="001328A9">
          <w:rPr>
            <w:rStyle w:val="Hyperlink"/>
          </w:rPr>
          <w:t>Attachment 11</w:t>
        </w:r>
      </w:hyperlink>
      <w:r w:rsidRPr="00D422E7">
        <w:t xml:space="preserve"> - HUB Subcontracting Plan.</w:t>
      </w:r>
      <w:r>
        <w:t xml:space="preserve"> </w:t>
      </w:r>
      <w:r w:rsidRPr="000C1445">
        <w:rPr>
          <w:b/>
        </w:rPr>
        <w:t>If the total bid is greater than $100,000 or the section below is marked “Yes”</w:t>
      </w:r>
      <w:r w:rsidRPr="00D422E7">
        <w:t xml:space="preserve">, </w:t>
      </w:r>
      <w:r>
        <w:t>Offeror</w:t>
      </w:r>
      <w:r w:rsidRPr="00D422E7">
        <w:t xml:space="preserve">s </w:t>
      </w:r>
      <w:r w:rsidRPr="000C1445">
        <w:rPr>
          <w:b/>
        </w:rPr>
        <w:t>must</w:t>
      </w:r>
      <w:r w:rsidRPr="00D422E7">
        <w:t xml:space="preserve"> complete the </w:t>
      </w:r>
      <w:hyperlink w:anchor="_Attachment_11_–" w:history="1">
        <w:r w:rsidRPr="001328A9">
          <w:rPr>
            <w:rStyle w:val="Hyperlink"/>
          </w:rPr>
          <w:t>Attachment 11</w:t>
        </w:r>
      </w:hyperlink>
      <w:r>
        <w:t xml:space="preserve"> </w:t>
      </w:r>
      <w:r w:rsidRPr="00D422E7">
        <w:t>- HUB</w:t>
      </w:r>
      <w:r w:rsidRPr="00E63472">
        <w:t xml:space="preserve"> Subcontracting Plan documents and submit them as part of their response to this solicitation.</w:t>
      </w:r>
      <w:r>
        <w:t xml:space="preserve"> </w:t>
      </w:r>
      <w:r w:rsidRPr="00E63472">
        <w:t>If awarded a contract, and HUB sub</w:t>
      </w:r>
      <w:r w:rsidRPr="00E63472">
        <w:softHyphen/>
        <w:t xml:space="preserve">contractors are used, </w:t>
      </w:r>
      <w:r>
        <w:t>Offeror</w:t>
      </w:r>
      <w:r w:rsidRPr="00E63472">
        <w:t xml:space="preserve"> will be required to submit a monthly HUB Progress</w:t>
      </w:r>
      <w:r w:rsidRPr="000B044D">
        <w:t xml:space="preserve"> Assessment Report.</w:t>
      </w:r>
    </w:p>
    <w:p w14:paraId="5E69D2B0" w14:textId="77777777" w:rsidR="001328A9" w:rsidRDefault="001328A9" w:rsidP="001328A9">
      <w:r w:rsidRPr="000B044D">
        <w:t xml:space="preserve">TWC has determined that there are subcontracting opportunities in this </w:t>
      </w:r>
      <w:r>
        <w:t>Project</w:t>
      </w:r>
      <w:r w:rsidRPr="000B044D">
        <w:t>:</w:t>
      </w:r>
    </w:p>
    <w:p w14:paraId="1CC48D85" w14:textId="77777777" w:rsidR="001328A9" w:rsidRDefault="001328A9" w:rsidP="001328A9">
      <w:pPr>
        <w:rPr>
          <w:b/>
        </w:rPr>
      </w:pPr>
      <w:r>
        <w:fldChar w:fldCharType="begin">
          <w:ffData>
            <w:name w:val="WTDROC_T"/>
            <w:enabled/>
            <w:calcOnExit w:val="0"/>
            <w:checkBox>
              <w:sizeAuto/>
              <w:default w:val="1"/>
            </w:checkBox>
          </w:ffData>
        </w:fldChar>
      </w:r>
      <w:r>
        <w:instrText xml:space="preserve"> </w:instrText>
      </w:r>
      <w:bookmarkStart w:id="246" w:name="WTDROC_T"/>
      <w:r>
        <w:instrText xml:space="preserve">FORMCHECKBOX </w:instrText>
      </w:r>
      <w:r w:rsidR="006D43BC">
        <w:fldChar w:fldCharType="separate"/>
      </w:r>
      <w:r>
        <w:fldChar w:fldCharType="end"/>
      </w:r>
      <w:bookmarkEnd w:id="246"/>
      <w:r w:rsidRPr="000B044D">
        <w:t xml:space="preserve"> </w:t>
      </w:r>
      <w:r w:rsidRPr="000B044D">
        <w:rPr>
          <w:b/>
        </w:rPr>
        <w:t>Yes</w:t>
      </w:r>
      <w:r>
        <w:rPr>
          <w:b/>
        </w:rPr>
        <w:tab/>
      </w:r>
      <w:r w:rsidRPr="000B044D">
        <w:fldChar w:fldCharType="begin">
          <w:ffData>
            <w:name w:val="WTDROC_F"/>
            <w:enabled/>
            <w:calcOnExit w:val="0"/>
            <w:checkBox>
              <w:sizeAuto/>
              <w:default w:val="0"/>
            </w:checkBox>
          </w:ffData>
        </w:fldChar>
      </w:r>
      <w:r w:rsidRPr="000B044D">
        <w:instrText xml:space="preserve"> FORMCHECKBOX </w:instrText>
      </w:r>
      <w:r w:rsidR="006D43BC">
        <w:fldChar w:fldCharType="separate"/>
      </w:r>
      <w:r w:rsidRPr="000B044D">
        <w:fldChar w:fldCharType="end"/>
      </w:r>
      <w:r w:rsidRPr="000B044D">
        <w:t xml:space="preserve"> </w:t>
      </w:r>
      <w:r w:rsidRPr="000B044D">
        <w:rPr>
          <w:b/>
        </w:rPr>
        <w:t>No</w:t>
      </w:r>
    </w:p>
    <w:p w14:paraId="73A5EC05" w14:textId="77777777" w:rsidR="001328A9" w:rsidRDefault="001328A9" w:rsidP="00DB7AAE">
      <w:pPr>
        <w:pStyle w:val="NB4"/>
      </w:pPr>
    </w:p>
    <w:p w14:paraId="3850A616" w14:textId="5862B86C" w:rsidR="00DB2A83" w:rsidRDefault="00DB2A83" w:rsidP="00DB2A83">
      <w:pPr>
        <w:pStyle w:val="Heading2"/>
      </w:pPr>
      <w:bookmarkStart w:id="247" w:name="_10.2_Submission_Details"/>
      <w:bookmarkStart w:id="248" w:name="_Toc13567477"/>
      <w:bookmarkEnd w:id="245"/>
      <w:bookmarkEnd w:id="247"/>
      <w:r>
        <w:t>10.2</w:t>
      </w:r>
      <w:r>
        <w:tab/>
        <w:t>Submission Details</w:t>
      </w:r>
      <w:bookmarkEnd w:id="248"/>
    </w:p>
    <w:p w14:paraId="1FA7C0D9" w14:textId="77777777" w:rsidR="00DB2A83" w:rsidRPr="00E21848" w:rsidRDefault="00DB2A83" w:rsidP="00DB2A83">
      <w:r w:rsidRPr="00E21848">
        <w:t>Required submission format and number of copies</w:t>
      </w:r>
      <w:r>
        <w:t xml:space="preserve"> for each proposal</w:t>
      </w:r>
      <w:r w:rsidRPr="00E21848">
        <w:t>:</w:t>
      </w:r>
    </w:p>
    <w:p w14:paraId="6D9F57EE" w14:textId="166BA095" w:rsidR="00DB2A83" w:rsidRPr="00E21848" w:rsidRDefault="00DB2A83" w:rsidP="00E16D2D">
      <w:pPr>
        <w:pStyle w:val="LB1"/>
        <w:rPr>
          <w:lang w:eastAsia="en-AU"/>
        </w:rPr>
      </w:pPr>
      <w:r w:rsidRPr="00E21848">
        <w:rPr>
          <w:lang w:eastAsia="en-AU"/>
        </w:rPr>
        <w:t xml:space="preserve">Response Due Date:  Submit Technical Offer and Financial Offer as described below no later than </w:t>
      </w:r>
      <w:r w:rsidR="00A53C6E" w:rsidRPr="00C6547A">
        <w:rPr>
          <w:b/>
          <w:lang w:eastAsia="en-AU"/>
        </w:rPr>
        <w:t xml:space="preserve">September </w:t>
      </w:r>
      <w:r w:rsidR="006D43BC" w:rsidRPr="00C6547A">
        <w:rPr>
          <w:b/>
          <w:lang w:eastAsia="en-AU"/>
        </w:rPr>
        <w:t>12</w:t>
      </w:r>
      <w:r w:rsidR="00A53C6E" w:rsidRPr="00C6547A">
        <w:rPr>
          <w:b/>
          <w:lang w:eastAsia="en-AU"/>
        </w:rPr>
        <w:t>, 2019</w:t>
      </w:r>
      <w:r w:rsidRPr="00681022">
        <w:rPr>
          <w:color w:val="FF0000"/>
          <w:lang w:eastAsia="en-AU"/>
        </w:rPr>
        <w:t xml:space="preserve"> </w:t>
      </w:r>
      <w:r w:rsidR="00A53C6E">
        <w:rPr>
          <w:color w:val="000000" w:themeColor="text1"/>
          <w:lang w:eastAsia="en-AU"/>
        </w:rPr>
        <w:t>at 2:00 p</w:t>
      </w:r>
      <w:r w:rsidRPr="00681022">
        <w:rPr>
          <w:color w:val="000000" w:themeColor="text1"/>
          <w:lang w:eastAsia="en-AU"/>
        </w:rPr>
        <w:t xml:space="preserve">.m. Central </w:t>
      </w:r>
      <w:r w:rsidRPr="00E21848">
        <w:rPr>
          <w:lang w:eastAsia="en-AU"/>
        </w:rPr>
        <w:t xml:space="preserve">Time. </w:t>
      </w:r>
    </w:p>
    <w:p w14:paraId="14FD32B6" w14:textId="77777777" w:rsidR="00DB2A83" w:rsidRPr="00E21848" w:rsidRDefault="00DB2A83" w:rsidP="00E16D2D">
      <w:pPr>
        <w:pStyle w:val="LB1"/>
        <w:rPr>
          <w:lang w:eastAsia="en-AU"/>
        </w:rPr>
      </w:pPr>
      <w:r w:rsidRPr="00E21848">
        <w:rPr>
          <w:lang w:eastAsia="en-AU"/>
        </w:rPr>
        <w:t xml:space="preserve">Technical Offer:  Submit </w:t>
      </w:r>
      <w:r>
        <w:rPr>
          <w:lang w:eastAsia="en-AU"/>
        </w:rPr>
        <w:t>one (1</w:t>
      </w:r>
      <w:r w:rsidRPr="007225B0">
        <w:rPr>
          <w:lang w:eastAsia="en-AU"/>
        </w:rPr>
        <w:t xml:space="preserve">) </w:t>
      </w:r>
      <w:r w:rsidRPr="008E5EFC">
        <w:rPr>
          <w:lang w:eastAsia="en-AU"/>
        </w:rPr>
        <w:t>double</w:t>
      </w:r>
      <w:r w:rsidRPr="00E21848">
        <w:rPr>
          <w:lang w:eastAsia="en-AU"/>
        </w:rPr>
        <w:t>-sided hard cop</w:t>
      </w:r>
      <w:r>
        <w:rPr>
          <w:lang w:eastAsia="en-AU"/>
        </w:rPr>
        <w:t>y</w:t>
      </w:r>
      <w:r w:rsidRPr="00E21848">
        <w:rPr>
          <w:lang w:eastAsia="en-AU"/>
        </w:rPr>
        <w:t xml:space="preserve"> of the Technical RFO response bound with spirals or in notebooks plus </w:t>
      </w:r>
      <w:r>
        <w:rPr>
          <w:lang w:eastAsia="en-AU"/>
        </w:rPr>
        <w:t>one</w:t>
      </w:r>
      <w:r w:rsidRPr="00E21848">
        <w:rPr>
          <w:lang w:eastAsia="en-AU"/>
        </w:rPr>
        <w:t xml:space="preserve"> (1) soft cop</w:t>
      </w:r>
      <w:r>
        <w:rPr>
          <w:lang w:eastAsia="en-AU"/>
        </w:rPr>
        <w:t>y</w:t>
      </w:r>
      <w:r w:rsidRPr="00E21848">
        <w:rPr>
          <w:lang w:eastAsia="en-AU"/>
        </w:rPr>
        <w:t xml:space="preserve"> PDF file on a DVD or flash drive.  </w:t>
      </w:r>
    </w:p>
    <w:p w14:paraId="508F1D4C" w14:textId="77777777" w:rsidR="00DB2A83" w:rsidRPr="00E21848" w:rsidRDefault="00DB2A83" w:rsidP="00116640">
      <w:pPr>
        <w:pStyle w:val="LB1"/>
        <w:rPr>
          <w:lang w:eastAsia="en-AU"/>
        </w:rPr>
      </w:pPr>
      <w:r w:rsidRPr="00E21848">
        <w:rPr>
          <w:lang w:eastAsia="en-AU"/>
        </w:rPr>
        <w:t xml:space="preserve">Financial Offer (separate from the Technical Offer):  </w:t>
      </w:r>
    </w:p>
    <w:p w14:paraId="1D63DAC2" w14:textId="2B5A9123" w:rsidR="00DB2A83" w:rsidRPr="00E21848" w:rsidRDefault="00DB2A83" w:rsidP="00F82166">
      <w:pPr>
        <w:pStyle w:val="OB1"/>
      </w:pPr>
      <w:r w:rsidRPr="00E21848">
        <w:t xml:space="preserve">Submit one (1) hard copy of </w:t>
      </w:r>
      <w:hyperlink w:anchor="_Attachment_12_–" w:history="1">
        <w:r w:rsidR="00C01471" w:rsidRPr="00C01471">
          <w:rPr>
            <w:rStyle w:val="Hyperlink"/>
          </w:rPr>
          <w:t xml:space="preserve">Attachment </w:t>
        </w:r>
        <w:r w:rsidRPr="00C01471">
          <w:rPr>
            <w:rStyle w:val="Hyperlink"/>
          </w:rPr>
          <w:t>12</w:t>
        </w:r>
        <w:r w:rsidR="00C01471" w:rsidRPr="00C01471">
          <w:rPr>
            <w:rStyle w:val="Hyperlink"/>
          </w:rPr>
          <w:t xml:space="preserve"> - </w:t>
        </w:r>
        <w:r w:rsidRPr="00C01471">
          <w:rPr>
            <w:rStyle w:val="Hyperlink"/>
          </w:rPr>
          <w:t>Pricing</w:t>
        </w:r>
      </w:hyperlink>
      <w:r w:rsidRPr="00E21848">
        <w:t>, of the response plus one (1) soft copy PDF file on a se</w:t>
      </w:r>
      <w:r w:rsidR="00CC74E1">
        <w:t>parate DVD or flash drive; and</w:t>
      </w:r>
    </w:p>
    <w:p w14:paraId="1ACBF868" w14:textId="77777777" w:rsidR="00DB2A83" w:rsidRDefault="00DB2A83" w:rsidP="00F82166">
      <w:pPr>
        <w:pStyle w:val="OB1"/>
      </w:pPr>
      <w:r w:rsidRPr="00E21848">
        <w:t xml:space="preserve">Submit one (1) hard copy original plus one (1) soft copy of the financial statement as detailed in Section </w:t>
      </w:r>
      <w:r>
        <w:t>10</w:t>
      </w:r>
      <w:r w:rsidRPr="00E21848">
        <w:t>.3, Financial Statement Content, on a separate DVD or flash drive.</w:t>
      </w:r>
    </w:p>
    <w:p w14:paraId="1E055C8A" w14:textId="77777777" w:rsidR="00DB2A83" w:rsidRDefault="00DB2A83" w:rsidP="00DB2A83"/>
    <w:p w14:paraId="4CB3DCC5" w14:textId="77777777" w:rsidR="00DB2A83" w:rsidRPr="00873442" w:rsidRDefault="00DB2A83" w:rsidP="00DB2A83">
      <w:pPr>
        <w:rPr>
          <w:highlight w:val="yellow"/>
          <w:lang w:eastAsia="en-AU"/>
        </w:rPr>
      </w:pPr>
      <w:r>
        <w:t>Offeror</w:t>
      </w:r>
      <w:r w:rsidRPr="00E21848">
        <w:t xml:space="preserve"> questions regarding this RFO:</w:t>
      </w:r>
    </w:p>
    <w:p w14:paraId="2B294531" w14:textId="745FFBED" w:rsidR="00DB2A83" w:rsidRPr="00E21848" w:rsidRDefault="00DB2A83" w:rsidP="00E16D2D">
      <w:pPr>
        <w:pStyle w:val="LB1"/>
      </w:pPr>
      <w:r w:rsidRPr="00E21848">
        <w:t xml:space="preserve">Submit questions </w:t>
      </w:r>
      <w:r w:rsidRPr="00243501">
        <w:rPr>
          <w:color w:val="000000" w:themeColor="text1"/>
          <w:lang w:eastAsia="en-AU"/>
        </w:rPr>
        <w:t xml:space="preserve">using </w:t>
      </w:r>
      <w:hyperlink w:anchor="_Attachment_3_–" w:history="1">
        <w:r w:rsidRPr="00993903">
          <w:rPr>
            <w:rStyle w:val="Hyperlink"/>
          </w:rPr>
          <w:t>Attachment 3</w:t>
        </w:r>
      </w:hyperlink>
      <w:r w:rsidRPr="00243501">
        <w:rPr>
          <w:color w:val="000000" w:themeColor="text1"/>
          <w:lang w:eastAsia="en-AU"/>
        </w:rPr>
        <w:t xml:space="preserve"> - Offeror </w:t>
      </w:r>
      <w:r w:rsidRPr="00E649D9">
        <w:t>Questions</w:t>
      </w:r>
      <w:r w:rsidRPr="00E21848">
        <w:t xml:space="preserve"> &amp; Answers Template, no later than </w:t>
      </w:r>
      <w:r w:rsidRPr="00C6547A">
        <w:rPr>
          <w:b/>
          <w:color w:val="000000" w:themeColor="text1"/>
        </w:rPr>
        <w:t xml:space="preserve">July </w:t>
      </w:r>
      <w:r w:rsidR="00CD226C" w:rsidRPr="00C6547A">
        <w:rPr>
          <w:b/>
          <w:color w:val="000000" w:themeColor="text1"/>
        </w:rPr>
        <w:t>2</w:t>
      </w:r>
      <w:r w:rsidR="00C6547A" w:rsidRPr="00C6547A">
        <w:rPr>
          <w:b/>
          <w:color w:val="000000" w:themeColor="text1"/>
        </w:rPr>
        <w:t>5</w:t>
      </w:r>
      <w:r w:rsidRPr="00C6547A">
        <w:rPr>
          <w:b/>
          <w:color w:val="000000" w:themeColor="text1"/>
        </w:rPr>
        <w:t>, 2019</w:t>
      </w:r>
      <w:r w:rsidRPr="00681022">
        <w:rPr>
          <w:color w:val="000000" w:themeColor="text1"/>
          <w:lang w:eastAsia="en-AU"/>
        </w:rPr>
        <w:t xml:space="preserve"> at </w:t>
      </w:r>
      <w:r w:rsidR="00CD226C">
        <w:rPr>
          <w:color w:val="000000" w:themeColor="text1"/>
          <w:lang w:eastAsia="en-AU"/>
        </w:rPr>
        <w:t>2</w:t>
      </w:r>
      <w:r w:rsidRPr="00681022">
        <w:rPr>
          <w:color w:val="000000" w:themeColor="text1"/>
          <w:lang w:eastAsia="en-AU"/>
        </w:rPr>
        <w:t xml:space="preserve"> </w:t>
      </w:r>
      <w:r>
        <w:rPr>
          <w:color w:val="000000" w:themeColor="text1"/>
          <w:lang w:eastAsia="en-AU"/>
        </w:rPr>
        <w:t>p</w:t>
      </w:r>
      <w:r w:rsidRPr="00681022">
        <w:rPr>
          <w:color w:val="000000" w:themeColor="text1"/>
        </w:rPr>
        <w:t xml:space="preserve">.m. Central </w:t>
      </w:r>
      <w:r w:rsidRPr="00E21848">
        <w:t>Time.</w:t>
      </w:r>
      <w:r>
        <w:t xml:space="preserve"> </w:t>
      </w:r>
      <w:r w:rsidRPr="00E21848">
        <w:t xml:space="preserve">Include the RFO Section and Page for each question. </w:t>
      </w:r>
    </w:p>
    <w:p w14:paraId="69502830" w14:textId="513CC8DD" w:rsidR="00DB2A83" w:rsidRPr="00E21848" w:rsidRDefault="00DB2A83" w:rsidP="00E16D2D">
      <w:pPr>
        <w:pStyle w:val="LB1"/>
      </w:pPr>
      <w:r w:rsidRPr="00E21848">
        <w:t xml:space="preserve">TWC will post all </w:t>
      </w:r>
      <w:r>
        <w:t>Offeror</w:t>
      </w:r>
      <w:r w:rsidRPr="00E21848">
        <w:t xml:space="preserve"> Questions &amp; Answers and</w:t>
      </w:r>
      <w:r>
        <w:t>, if appropriate,</w:t>
      </w:r>
      <w:r w:rsidRPr="00E21848">
        <w:t xml:space="preserve"> an Amended RFO to all </w:t>
      </w:r>
      <w:r>
        <w:t>Offeror</w:t>
      </w:r>
      <w:r w:rsidRPr="00E21848">
        <w:t xml:space="preserve">s by </w:t>
      </w:r>
      <w:r w:rsidR="00C6547A" w:rsidRPr="00C6547A">
        <w:rPr>
          <w:b/>
        </w:rPr>
        <w:t>August 14</w:t>
      </w:r>
      <w:r w:rsidR="00CD226C" w:rsidRPr="00C6547A">
        <w:rPr>
          <w:b/>
        </w:rPr>
        <w:t>,</w:t>
      </w:r>
      <w:r w:rsidRPr="00C6547A">
        <w:rPr>
          <w:b/>
          <w:color w:val="000000" w:themeColor="text1"/>
        </w:rPr>
        <w:t xml:space="preserve"> 2019</w:t>
      </w:r>
      <w:r w:rsidR="00CD226C">
        <w:rPr>
          <w:color w:val="000000" w:themeColor="text1"/>
          <w:lang w:eastAsia="en-AU"/>
        </w:rPr>
        <w:t xml:space="preserve"> at 2</w:t>
      </w:r>
      <w:r w:rsidRPr="00681022">
        <w:rPr>
          <w:color w:val="000000" w:themeColor="text1"/>
          <w:lang w:eastAsia="en-AU"/>
        </w:rPr>
        <w:t xml:space="preserve"> </w:t>
      </w:r>
      <w:r w:rsidRPr="00681022">
        <w:rPr>
          <w:color w:val="000000" w:themeColor="text1"/>
        </w:rPr>
        <w:t xml:space="preserve">p.m. Central </w:t>
      </w:r>
      <w:r w:rsidRPr="0033094C">
        <w:t>Time.</w:t>
      </w:r>
    </w:p>
    <w:p w14:paraId="4322ACE7" w14:textId="77777777" w:rsidR="00DB2A83" w:rsidRDefault="00DB2A83" w:rsidP="00DB2A83">
      <w:pPr>
        <w:rPr>
          <w:highlight w:val="yellow"/>
          <w:lang w:eastAsia="en-AU"/>
        </w:rPr>
      </w:pPr>
    </w:p>
    <w:p w14:paraId="244FF03D" w14:textId="39420F01" w:rsidR="00DB2A83" w:rsidRPr="00E21848" w:rsidRDefault="00DB2A83" w:rsidP="00DB2A83">
      <w:r w:rsidRPr="00E21848">
        <w:lastRenderedPageBreak/>
        <w:t>Conta</w:t>
      </w:r>
      <w:r w:rsidR="00146653">
        <w:t xml:space="preserve">ct and address information for </w:t>
      </w:r>
      <w:r>
        <w:t>Offeror</w:t>
      </w:r>
      <w:r w:rsidR="00146653">
        <w:t xml:space="preserve"> questions and</w:t>
      </w:r>
      <w:r w:rsidRPr="00E21848">
        <w:t xml:space="preserve"> response submission:</w:t>
      </w:r>
    </w:p>
    <w:p w14:paraId="29C0113A" w14:textId="03D23CEC" w:rsidR="00DB2A83" w:rsidRDefault="00DB2A83" w:rsidP="00834A54">
      <w:pPr>
        <w:spacing w:after="0"/>
        <w:rPr>
          <w:rStyle w:val="Hyperlink"/>
          <w:color w:val="000000"/>
        </w:rPr>
      </w:pPr>
      <w:r w:rsidRPr="00E21848">
        <w:t>Texas Workforce Commission</w:t>
      </w:r>
      <w:r>
        <w:br/>
      </w:r>
      <w:r w:rsidRPr="00E21848">
        <w:t>Purchasing Department</w:t>
      </w:r>
      <w:r>
        <w:br/>
      </w:r>
      <w:r w:rsidR="00A76406">
        <w:t xml:space="preserve">Primary </w:t>
      </w:r>
      <w:r w:rsidRPr="00E21848">
        <w:t xml:space="preserve">Contact Name: </w:t>
      </w:r>
      <w:r w:rsidR="00CD226C">
        <w:t>Paul Hesser</w:t>
      </w:r>
      <w:r>
        <w:br/>
      </w:r>
      <w:r w:rsidRPr="00E21848">
        <w:t xml:space="preserve">Email: </w:t>
      </w:r>
      <w:hyperlink r:id="rId43" w:history="1">
        <w:r w:rsidR="00CD226C" w:rsidRPr="00437AC1">
          <w:rPr>
            <w:rStyle w:val="Hyperlink"/>
          </w:rPr>
          <w:t>paul.hesser@twc.state.tx.us</w:t>
        </w:r>
      </w:hyperlink>
    </w:p>
    <w:p w14:paraId="5A3241C8" w14:textId="5E0A3C9A" w:rsidR="00CD226C" w:rsidRDefault="00834A54" w:rsidP="00834A54">
      <w:pPr>
        <w:spacing w:after="0"/>
      </w:pPr>
      <w:bookmarkStart w:id="249" w:name="_Hlk1722276"/>
      <w:r w:rsidRPr="00E21848">
        <w:t>Phone:  512-936-</w:t>
      </w:r>
      <w:r>
        <w:t>3339</w:t>
      </w:r>
      <w:bookmarkStart w:id="250" w:name="_GoBack"/>
      <w:bookmarkEnd w:id="250"/>
      <w:r>
        <w:br/>
      </w:r>
    </w:p>
    <w:p w14:paraId="76783A1E" w14:textId="59D308CB" w:rsidR="00DB6FB1" w:rsidRPr="00DB6FB1" w:rsidRDefault="00DB2A83" w:rsidP="00DB6FB1">
      <w:r w:rsidRPr="00E21848">
        <w:t xml:space="preserve">Mailing Address (for U.S. </w:t>
      </w:r>
      <w:r w:rsidR="003559AD">
        <w:t xml:space="preserve">Express </w:t>
      </w:r>
      <w:r w:rsidRPr="00E21848">
        <w:t xml:space="preserve">Service): </w:t>
      </w:r>
      <w:r>
        <w:br/>
      </w:r>
      <w:r w:rsidR="00DB6FB1" w:rsidRPr="00E21848">
        <w:t>Texas Workforce Commission</w:t>
      </w:r>
      <w:r w:rsidR="00DB6FB1">
        <w:br/>
      </w:r>
      <w:r w:rsidR="00DB6FB1" w:rsidRPr="00DB6FB1">
        <w:t xml:space="preserve">Procurement and </w:t>
      </w:r>
      <w:r w:rsidR="003D20BF">
        <w:t>HUB</w:t>
      </w:r>
      <w:r w:rsidR="00DB6FB1" w:rsidRPr="00DB6FB1">
        <w:t xml:space="preserve"> Services </w:t>
      </w:r>
      <w:r w:rsidR="00DB6FB1">
        <w:br/>
        <w:t xml:space="preserve">4405 Springdale Rd, Room </w:t>
      </w:r>
      <w:r w:rsidR="00DB6FB1" w:rsidRPr="00DB6FB1">
        <w:t>342T</w:t>
      </w:r>
      <w:r w:rsidR="00DB6FB1">
        <w:br/>
      </w:r>
      <w:r w:rsidR="00DB6FB1" w:rsidRPr="00DB6FB1">
        <w:t xml:space="preserve">Austin, TX </w:t>
      </w:r>
      <w:r w:rsidR="00DB6FB1">
        <w:t>78723</w:t>
      </w:r>
    </w:p>
    <w:bookmarkEnd w:id="249"/>
    <w:p w14:paraId="4265D3BD" w14:textId="27616270" w:rsidR="00DB2A83" w:rsidRPr="00E21848" w:rsidRDefault="00DB2A83" w:rsidP="00DB2A83"/>
    <w:p w14:paraId="5778CF01" w14:textId="77777777" w:rsidR="00DB2A83" w:rsidRDefault="00DB2A83" w:rsidP="00DB2A83">
      <w:pPr>
        <w:rPr>
          <w:highlight w:val="yellow"/>
          <w:lang w:eastAsia="en-AU"/>
        </w:rPr>
      </w:pPr>
    </w:p>
    <w:p w14:paraId="199AD4F9" w14:textId="3D755171" w:rsidR="00DB2A83" w:rsidRDefault="00DB2A83" w:rsidP="00DB2A83">
      <w:pPr>
        <w:pStyle w:val="Heading2"/>
      </w:pPr>
      <w:bookmarkStart w:id="251" w:name="_Toc13567478"/>
      <w:r>
        <w:t>10.3</w:t>
      </w:r>
      <w:r>
        <w:tab/>
        <w:t>Financial Statement Content</w:t>
      </w:r>
      <w:bookmarkEnd w:id="251"/>
    </w:p>
    <w:p w14:paraId="24D18714" w14:textId="25A4C7C4" w:rsidR="00DB2A83" w:rsidRDefault="00DB2A83" w:rsidP="00DB2A83">
      <w:pPr>
        <w:pStyle w:val="Heading3"/>
      </w:pPr>
      <w:bookmarkStart w:id="252" w:name="_Toc13567479"/>
      <w:r>
        <w:t>10.3.1</w:t>
      </w:r>
      <w:r>
        <w:tab/>
        <w:t>Financial Statement</w:t>
      </w:r>
      <w:bookmarkEnd w:id="252"/>
    </w:p>
    <w:p w14:paraId="377FF73E" w14:textId="77777777" w:rsidR="00EE745F" w:rsidRPr="00E21848" w:rsidRDefault="00EE745F" w:rsidP="00EE745F">
      <w:pPr>
        <w:rPr>
          <w:lang w:eastAsia="en-AU"/>
        </w:rPr>
      </w:pPr>
      <w:r w:rsidRPr="00E21848">
        <w:rPr>
          <w:lang w:eastAsia="en-AU"/>
        </w:rPr>
        <w:t xml:space="preserve">Offeror must provide annual financial statements </w:t>
      </w:r>
      <w:r>
        <w:rPr>
          <w:lang w:eastAsia="en-AU"/>
        </w:rPr>
        <w:t xml:space="preserve">within the past three (3) years. They are to </w:t>
      </w:r>
      <w:r w:rsidRPr="00E21848">
        <w:rPr>
          <w:lang w:eastAsia="en-AU"/>
        </w:rPr>
        <w:t>includ</w:t>
      </w:r>
      <w:r>
        <w:rPr>
          <w:lang w:eastAsia="en-AU"/>
        </w:rPr>
        <w:t>e</w:t>
      </w:r>
      <w:r w:rsidRPr="00E21848">
        <w:rPr>
          <w:lang w:eastAsia="en-AU"/>
        </w:rPr>
        <w:t xml:space="preserve"> an income statement, a balance sheet, a statement of cash flows and all required notes.</w:t>
      </w:r>
      <w:r>
        <w:rPr>
          <w:lang w:eastAsia="en-AU"/>
        </w:rPr>
        <w:t xml:space="preserve"> </w:t>
      </w:r>
      <w:r w:rsidRPr="00E21848">
        <w:rPr>
          <w:lang w:eastAsia="en-AU"/>
        </w:rPr>
        <w:t>Include the State/Province and Country in which you are incorporated and the principal place of business.</w:t>
      </w:r>
      <w:r>
        <w:rPr>
          <w:lang w:eastAsia="en-AU"/>
        </w:rPr>
        <w:t xml:space="preserve"> </w:t>
      </w:r>
      <w:r w:rsidRPr="00E21848">
        <w:rPr>
          <w:lang w:eastAsia="en-AU"/>
        </w:rPr>
        <w:t xml:space="preserve">The required levels of assurance/accuracy in the financial statements are listed below.  </w:t>
      </w:r>
    </w:p>
    <w:p w14:paraId="433CD300" w14:textId="77777777" w:rsidR="00EE745F" w:rsidRDefault="00EE745F" w:rsidP="00EE745F">
      <w:pPr>
        <w:rPr>
          <w:lang w:eastAsia="en-AU"/>
        </w:rPr>
      </w:pPr>
      <w:r w:rsidRPr="00E21848">
        <w:rPr>
          <w:lang w:eastAsia="en-AU"/>
        </w:rPr>
        <w:t>Audited Financial Statements by a Certified Public Accounting (CPA) firm.</w:t>
      </w:r>
      <w:r>
        <w:rPr>
          <w:lang w:eastAsia="en-AU"/>
        </w:rPr>
        <w:t xml:space="preserve"> </w:t>
      </w:r>
    </w:p>
    <w:p w14:paraId="0F7779CD" w14:textId="77777777" w:rsidR="00EE745F" w:rsidRPr="00E21848" w:rsidRDefault="00EE745F" w:rsidP="00EE745F">
      <w:pPr>
        <w:rPr>
          <w:lang w:eastAsia="en-AU"/>
        </w:rPr>
      </w:pPr>
      <w:r w:rsidRPr="00E21848">
        <w:rPr>
          <w:lang w:eastAsia="en-AU"/>
        </w:rPr>
        <w:t>If audited financials are not available, then the following may be submitted as a clearly-stated substitute for the audited financials:</w:t>
      </w:r>
    </w:p>
    <w:p w14:paraId="758855EE" w14:textId="77777777" w:rsidR="00EE745F" w:rsidRPr="00E21848" w:rsidRDefault="00EE745F" w:rsidP="00E16D2D">
      <w:pPr>
        <w:pStyle w:val="LB1"/>
      </w:pPr>
      <w:r w:rsidRPr="00E21848">
        <w:t>Reviewed Financial Statements by a CPA firm.</w:t>
      </w:r>
    </w:p>
    <w:p w14:paraId="0A558EF7" w14:textId="292E6E77" w:rsidR="00EE745F" w:rsidRPr="00E21848" w:rsidRDefault="00EE745F" w:rsidP="00E16D2D">
      <w:pPr>
        <w:pStyle w:val="LB1"/>
      </w:pPr>
      <w:r w:rsidRPr="00E21848">
        <w:t>Compiled Financial Statement by a CPA firm.</w:t>
      </w:r>
    </w:p>
    <w:p w14:paraId="6AA61ED1" w14:textId="77777777" w:rsidR="00EE745F" w:rsidRDefault="00EE745F" w:rsidP="00EE745F">
      <w:pPr>
        <w:rPr>
          <w:lang w:eastAsia="en-AU"/>
        </w:rPr>
      </w:pPr>
    </w:p>
    <w:p w14:paraId="1C25354A" w14:textId="7B8B6370" w:rsidR="00DB2A83" w:rsidRDefault="00EE745F" w:rsidP="00EE745F">
      <w:pPr>
        <w:rPr>
          <w:lang w:eastAsia="en-AU"/>
        </w:rPr>
      </w:pPr>
      <w:r w:rsidRPr="00E21848">
        <w:rPr>
          <w:lang w:eastAsia="en-AU"/>
        </w:rPr>
        <w:t>The financial statements will be reviewed by a TWC Analyst for financial viability and will receive a pass/fail mark. TWC reserves the right to disqualify an Offeror that receives a fail mark.</w:t>
      </w:r>
    </w:p>
    <w:p w14:paraId="2D72AA63" w14:textId="4B02E208" w:rsidR="00EE745F" w:rsidRDefault="00EE745F" w:rsidP="00EE745F">
      <w:pPr>
        <w:pStyle w:val="Heading3"/>
        <w:rPr>
          <w:lang w:eastAsia="en-AU"/>
        </w:rPr>
      </w:pPr>
      <w:bookmarkStart w:id="253" w:name="_Toc13567480"/>
      <w:r>
        <w:rPr>
          <w:lang w:eastAsia="en-AU"/>
        </w:rPr>
        <w:t>10.3.2</w:t>
      </w:r>
      <w:r>
        <w:rPr>
          <w:lang w:eastAsia="en-AU"/>
        </w:rPr>
        <w:tab/>
        <w:t>Frequency</w:t>
      </w:r>
      <w:bookmarkEnd w:id="253"/>
    </w:p>
    <w:p w14:paraId="05706230" w14:textId="7BB97E38" w:rsidR="00EE745F" w:rsidRPr="00E21848" w:rsidRDefault="00EE745F" w:rsidP="00EE745F">
      <w:pPr>
        <w:rPr>
          <w:lang w:eastAsia="en-AU"/>
        </w:rPr>
      </w:pPr>
      <w:r w:rsidRPr="00E21848">
        <w:rPr>
          <w:lang w:eastAsia="en-AU"/>
        </w:rPr>
        <w:t xml:space="preserve">The </w:t>
      </w:r>
      <w:r>
        <w:rPr>
          <w:lang w:eastAsia="en-AU"/>
        </w:rPr>
        <w:t xml:space="preserve">Awarded Vendor </w:t>
      </w:r>
      <w:r w:rsidRPr="00E21848">
        <w:rPr>
          <w:lang w:eastAsia="en-AU"/>
        </w:rPr>
        <w:t xml:space="preserve">must provide the </w:t>
      </w:r>
      <w:r w:rsidR="00647DC3" w:rsidRPr="00E21848">
        <w:rPr>
          <w:lang w:eastAsia="en-AU"/>
        </w:rPr>
        <w:t xml:space="preserve">financial statements </w:t>
      </w:r>
      <w:r w:rsidRPr="00E21848">
        <w:rPr>
          <w:lang w:eastAsia="en-AU"/>
        </w:rPr>
        <w:t xml:space="preserve">in Section </w:t>
      </w:r>
      <w:r>
        <w:rPr>
          <w:lang w:eastAsia="en-AU"/>
        </w:rPr>
        <w:t>10</w:t>
      </w:r>
      <w:r w:rsidRPr="00E21848">
        <w:rPr>
          <w:lang w:eastAsia="en-AU"/>
        </w:rPr>
        <w:t>.3.1 annually throughout the term of the Contract.</w:t>
      </w:r>
    </w:p>
    <w:p w14:paraId="7A35F0EC" w14:textId="293D610F" w:rsidR="00EE745F" w:rsidDel="003E67B3" w:rsidRDefault="00EE745F" w:rsidP="00EE745F">
      <w:pPr>
        <w:pStyle w:val="Heading3"/>
      </w:pPr>
      <w:bookmarkStart w:id="254" w:name="_Toc13567481"/>
      <w:r w:rsidDel="003E67B3">
        <w:t>10.3.3</w:t>
      </w:r>
      <w:r w:rsidDel="003E67B3">
        <w:tab/>
        <w:t>Warranty of Financial Good Standing</w:t>
      </w:r>
      <w:bookmarkEnd w:id="254"/>
    </w:p>
    <w:p w14:paraId="1FA4C487" w14:textId="2E64C87C" w:rsidR="00637E2B" w:rsidDel="003E67B3" w:rsidRDefault="00EE745F" w:rsidP="00EE745F">
      <w:pPr>
        <w:rPr>
          <w:lang w:eastAsia="en-AU"/>
        </w:rPr>
      </w:pPr>
      <w:r w:rsidRPr="00E21848" w:rsidDel="003E67B3">
        <w:rPr>
          <w:lang w:eastAsia="en-AU"/>
        </w:rPr>
        <w:t xml:space="preserve">A sworn Warranty of Financial Good Standing by which the Offeror warrants that to the best of its knowledge there are no actions, suits, or proceedings pending or threatened against or affecting it or any of its property in any court or before any </w:t>
      </w:r>
      <w:r w:rsidRPr="00E21848" w:rsidDel="003E67B3">
        <w:rPr>
          <w:lang w:eastAsia="en-AU"/>
        </w:rPr>
        <w:lastRenderedPageBreak/>
        <w:t>arbitrator or before or by any governmental entity, domestic or foreign, except actions, suits, or proceedings of the character normally incident to the kind of business conducted by it as to which any adverse determination in excess of any accruals to reflect potential liability would not materially adversely affect its business, assets, operations, or condition, financial or otherwise, taken as a whole, or materially adversely affect its ability to perform its obligations under this RFO and any resulting contract, and it is not in material default with respect to any material Order of any court, arbitrator or governmental entity</w:t>
      </w:r>
      <w:r w:rsidRPr="001A5E62" w:rsidDel="003E67B3">
        <w:t xml:space="preserve"> </w:t>
      </w:r>
      <w:r w:rsidRPr="001A5E62" w:rsidDel="003E67B3">
        <w:rPr>
          <w:lang w:eastAsia="en-AU"/>
        </w:rPr>
        <w:t>and that your company is not for sale or to become acquired by another business entity during the twelve (12) months following the Offer Submission Deadline</w:t>
      </w:r>
      <w:r w:rsidRPr="00E21848" w:rsidDel="003E67B3">
        <w:rPr>
          <w:lang w:eastAsia="en-AU"/>
        </w:rPr>
        <w:t>.</w:t>
      </w:r>
      <w:r w:rsidDel="003E67B3">
        <w:rPr>
          <w:lang w:eastAsia="en-AU"/>
        </w:rPr>
        <w:t xml:space="preserve"> </w:t>
      </w:r>
    </w:p>
    <w:p w14:paraId="75F7C400" w14:textId="2F15E3EF" w:rsidR="00EE745F" w:rsidRPr="00E21848" w:rsidDel="003E67B3" w:rsidRDefault="00EE745F" w:rsidP="00EE745F">
      <w:pPr>
        <w:rPr>
          <w:lang w:eastAsia="en-AU"/>
        </w:rPr>
      </w:pPr>
      <w:r w:rsidRPr="00E21848" w:rsidDel="003E67B3">
        <w:rPr>
          <w:lang w:eastAsia="en-AU"/>
        </w:rPr>
        <w:t xml:space="preserve">Additionally, the Offeror warrants that all of the financial information it provided to TWC in accordance with Section </w:t>
      </w:r>
      <w:r w:rsidDel="003E67B3">
        <w:rPr>
          <w:lang w:eastAsia="en-AU"/>
        </w:rPr>
        <w:t>10</w:t>
      </w:r>
      <w:r w:rsidRPr="00E21848" w:rsidDel="003E67B3">
        <w:rPr>
          <w:lang w:eastAsia="en-AU"/>
        </w:rPr>
        <w:t>.3 of this RFO fairly present its consolidated financial position as of the date of its submission to TWC and that there has not been any material adverse change in its business, assets, liabilities, or condition, financial or otherwise.</w:t>
      </w:r>
    </w:p>
    <w:p w14:paraId="3E6B4DA3" w14:textId="75D610BA" w:rsidR="00EE745F" w:rsidRPr="00E57851" w:rsidDel="003E67B3" w:rsidRDefault="00EE745F" w:rsidP="00EE745F"/>
    <w:p w14:paraId="100B74CD" w14:textId="421D128C" w:rsidR="00695550" w:rsidRDefault="00695550" w:rsidP="00695550">
      <w:pPr>
        <w:pStyle w:val="Heading1"/>
      </w:pPr>
      <w:bookmarkStart w:id="255" w:name="_Toc13567482"/>
      <w:r>
        <w:lastRenderedPageBreak/>
        <w:t>Screening and Evaluation Criteria</w:t>
      </w:r>
      <w:bookmarkEnd w:id="255"/>
    </w:p>
    <w:p w14:paraId="42DB6E07" w14:textId="77777777" w:rsidR="003E7E90" w:rsidRPr="00E21848" w:rsidRDefault="003E7E90" w:rsidP="003E7E90">
      <w:pPr>
        <w:rPr>
          <w:lang w:eastAsia="en-AU"/>
        </w:rPr>
      </w:pPr>
      <w:r w:rsidRPr="00E21848">
        <w:rPr>
          <w:lang w:eastAsia="en-AU"/>
        </w:rPr>
        <w:t>TWC reviews the submitted proposals to determine if they are responsive.</w:t>
      </w:r>
      <w:r>
        <w:rPr>
          <w:lang w:eastAsia="en-AU"/>
        </w:rPr>
        <w:t xml:space="preserve"> </w:t>
      </w:r>
      <w:r w:rsidRPr="00E21848">
        <w:rPr>
          <w:lang w:eastAsia="en-AU"/>
        </w:rPr>
        <w:t>For a proposal to be considered responsive and to be evaluated for selection, the following requirements must be met:</w:t>
      </w:r>
    </w:p>
    <w:p w14:paraId="7718D32A" w14:textId="08B62EB7" w:rsidR="003E7E90" w:rsidRPr="00E21848" w:rsidRDefault="003E7E90" w:rsidP="00E16D2D">
      <w:pPr>
        <w:pStyle w:val="LB1"/>
        <w:rPr>
          <w:lang w:eastAsia="en-AU"/>
        </w:rPr>
      </w:pPr>
      <w:r w:rsidRPr="00E21848">
        <w:rPr>
          <w:lang w:eastAsia="en-AU"/>
        </w:rPr>
        <w:t>The proposal must be received at TW</w:t>
      </w:r>
      <w:r w:rsidR="00CC74E1">
        <w:rPr>
          <w:lang w:eastAsia="en-AU"/>
        </w:rPr>
        <w:t>C by the deadline date and time;</w:t>
      </w:r>
    </w:p>
    <w:p w14:paraId="0E69DD2F" w14:textId="7404C83B" w:rsidR="003E7E90" w:rsidRPr="00E21848" w:rsidRDefault="003E7E90" w:rsidP="00E16D2D">
      <w:pPr>
        <w:pStyle w:val="LB1"/>
        <w:rPr>
          <w:lang w:eastAsia="en-AU"/>
        </w:rPr>
      </w:pPr>
      <w:r w:rsidRPr="00E21848">
        <w:rPr>
          <w:lang w:eastAsia="en-AU"/>
        </w:rPr>
        <w:t>The proposal must be complete wi</w:t>
      </w:r>
      <w:r w:rsidR="00CC74E1">
        <w:rPr>
          <w:lang w:eastAsia="en-AU"/>
        </w:rPr>
        <w:t>th required original signatures;</w:t>
      </w:r>
    </w:p>
    <w:p w14:paraId="0E570F59" w14:textId="04C479D7" w:rsidR="003E7E90" w:rsidRPr="00E21848" w:rsidRDefault="003E7E90" w:rsidP="00116640">
      <w:pPr>
        <w:pStyle w:val="LB1"/>
        <w:rPr>
          <w:lang w:eastAsia="en-AU"/>
        </w:rPr>
      </w:pPr>
      <w:r w:rsidRPr="00E21848">
        <w:rPr>
          <w:lang w:eastAsia="en-AU"/>
        </w:rPr>
        <w:t>The proposal must contain all information</w:t>
      </w:r>
      <w:r w:rsidR="00CC74E1">
        <w:rPr>
          <w:lang w:eastAsia="en-AU"/>
        </w:rPr>
        <w:t xml:space="preserve"> required for each deliverable;</w:t>
      </w:r>
    </w:p>
    <w:p w14:paraId="3CF47072" w14:textId="701533B6" w:rsidR="003E7E90" w:rsidRPr="00E21848" w:rsidRDefault="003E7E90" w:rsidP="00F82166">
      <w:pPr>
        <w:pStyle w:val="LB1"/>
        <w:rPr>
          <w:lang w:eastAsia="en-AU"/>
        </w:rPr>
      </w:pPr>
      <w:r w:rsidRPr="00E21848">
        <w:rPr>
          <w:lang w:eastAsia="en-AU"/>
        </w:rPr>
        <w:t xml:space="preserve">The proposal must be </w:t>
      </w:r>
      <w:r w:rsidRPr="00741202">
        <w:rPr>
          <w:lang w:eastAsia="en-AU"/>
        </w:rPr>
        <w:t xml:space="preserve">submitted in </w:t>
      </w:r>
      <w:r w:rsidR="00CC74E1">
        <w:rPr>
          <w:lang w:eastAsia="en-AU"/>
        </w:rPr>
        <w:t>the format described in the RFO; and</w:t>
      </w:r>
    </w:p>
    <w:p w14:paraId="088A9837" w14:textId="77777777" w:rsidR="003E7E90" w:rsidRPr="00E21848" w:rsidRDefault="003E7E90" w:rsidP="00F82166">
      <w:pPr>
        <w:pStyle w:val="LB1"/>
        <w:rPr>
          <w:lang w:eastAsia="en-AU"/>
        </w:rPr>
      </w:pPr>
      <w:r w:rsidRPr="00E21848">
        <w:rPr>
          <w:lang w:eastAsia="en-AU"/>
        </w:rPr>
        <w:t xml:space="preserve">All required attachments must include signatures and be part of the proposal. </w:t>
      </w:r>
    </w:p>
    <w:p w14:paraId="47FE1E71" w14:textId="77777777" w:rsidR="003E7E90" w:rsidRDefault="003E7E90" w:rsidP="003E7E90">
      <w:pPr>
        <w:rPr>
          <w:lang w:eastAsia="en-AU"/>
        </w:rPr>
      </w:pPr>
    </w:p>
    <w:p w14:paraId="7AE2B22F" w14:textId="77777777" w:rsidR="003E7E90" w:rsidRPr="004C479C" w:rsidRDefault="003E7E90" w:rsidP="003E7E90">
      <w:pPr>
        <w:rPr>
          <w:lang w:eastAsia="en-AU"/>
        </w:rPr>
      </w:pPr>
      <w:r w:rsidRPr="00E21848">
        <w:rPr>
          <w:lang w:eastAsia="en-AU"/>
        </w:rPr>
        <w:t xml:space="preserve">Offerors must include all proposed modifications </w:t>
      </w:r>
      <w:r w:rsidRPr="00E649D9">
        <w:rPr>
          <w:lang w:eastAsia="en-AU"/>
        </w:rPr>
        <w:t>to Attachment 1 - Texas Workforce</w:t>
      </w:r>
      <w:r w:rsidRPr="00E21848">
        <w:rPr>
          <w:lang w:eastAsia="en-AU"/>
        </w:rPr>
        <w:t xml:space="preserve"> Commission - Terms &amp; Conditions, with proposal.</w:t>
      </w:r>
      <w:r>
        <w:rPr>
          <w:lang w:eastAsia="en-AU"/>
        </w:rPr>
        <w:t xml:space="preserve"> </w:t>
      </w:r>
      <w:r w:rsidRPr="00E21848">
        <w:rPr>
          <w:lang w:eastAsia="en-AU"/>
        </w:rPr>
        <w:t>All proposals will be screened for inclusion of all required information prior to release to the Evaluation Team.</w:t>
      </w:r>
      <w:r>
        <w:rPr>
          <w:lang w:eastAsia="en-AU"/>
        </w:rPr>
        <w:t xml:space="preserve"> </w:t>
      </w:r>
      <w:r w:rsidRPr="00E21848">
        <w:rPr>
          <w:lang w:eastAsia="en-AU"/>
        </w:rPr>
        <w:t>TWC may exclude from further consideration for selection any non-responsive proposal or portion of a proposal.</w:t>
      </w:r>
      <w:r>
        <w:rPr>
          <w:lang w:eastAsia="en-AU"/>
        </w:rPr>
        <w:t xml:space="preserve"> </w:t>
      </w:r>
    </w:p>
    <w:p w14:paraId="65DAACCF" w14:textId="77777777" w:rsidR="003E7E90" w:rsidRPr="00E21848" w:rsidRDefault="003E7E90" w:rsidP="003E7E90">
      <w:pPr>
        <w:rPr>
          <w:lang w:eastAsia="en-AU"/>
        </w:rPr>
      </w:pPr>
    </w:p>
    <w:p w14:paraId="1124653B" w14:textId="2EDE2CDC" w:rsidR="003E7E90" w:rsidRPr="003E7E90" w:rsidRDefault="003E7E90" w:rsidP="003E7E90">
      <w:pPr>
        <w:rPr>
          <w:b/>
          <w:lang w:eastAsia="en-AU"/>
        </w:rPr>
      </w:pPr>
      <w:r w:rsidRPr="003E7E90">
        <w:rPr>
          <w:b/>
          <w:lang w:eastAsia="en-AU"/>
        </w:rPr>
        <w:t xml:space="preserve">Any exceptions or deviations by the Offeror to Attachment 1 - TWC’s Terms &amp; Conditions (T&amp;Cs), may make the offer unacceptable for award without discussion. If an Offeror proposes exceptions to the Terms &amp; Conditions, TWC may make an award without discussion to another Offeror that did not take exceptions to the Terms &amp; Conditions. At a minimum, proposals that have exceptions to TWC’s Terms </w:t>
      </w:r>
      <w:r w:rsidR="00CF20F5">
        <w:rPr>
          <w:b/>
          <w:lang w:eastAsia="en-AU"/>
        </w:rPr>
        <w:t>&amp;</w:t>
      </w:r>
      <w:r w:rsidRPr="003E7E90">
        <w:rPr>
          <w:b/>
          <w:lang w:eastAsia="en-AU"/>
        </w:rPr>
        <w:t xml:space="preserve"> Conditions will have points deducted from the scoring item related to exceptions to TWC’s Terms </w:t>
      </w:r>
      <w:r w:rsidR="00CF20F5">
        <w:rPr>
          <w:b/>
          <w:lang w:eastAsia="en-AU"/>
        </w:rPr>
        <w:t>&amp;</w:t>
      </w:r>
      <w:r w:rsidRPr="003E7E90">
        <w:rPr>
          <w:b/>
          <w:lang w:eastAsia="en-AU"/>
        </w:rPr>
        <w:t xml:space="preserve"> Conditions, which is worth up to five percent (5%) of the total score.</w:t>
      </w:r>
    </w:p>
    <w:p w14:paraId="4C8482DD" w14:textId="77777777" w:rsidR="003E7E90" w:rsidRDefault="003E7E90" w:rsidP="003E7E90">
      <w:pPr>
        <w:rPr>
          <w:lang w:eastAsia="en-AU"/>
        </w:rPr>
      </w:pPr>
      <w:r>
        <w:rPr>
          <w:lang w:eastAsia="en-AU"/>
        </w:rPr>
        <w:t>TWC Purchasing will determine this based upon the following criteria:</w:t>
      </w:r>
    </w:p>
    <w:p w14:paraId="5674AADB" w14:textId="47FA2455" w:rsidR="003E7E90" w:rsidRPr="00DA1DC1" w:rsidRDefault="003E7E90" w:rsidP="00E16D2D">
      <w:pPr>
        <w:pStyle w:val="LB1"/>
        <w:rPr>
          <w:lang w:eastAsia="en-AU"/>
        </w:rPr>
      </w:pPr>
      <w:r w:rsidRPr="00DA1DC1">
        <w:rPr>
          <w:lang w:eastAsia="en-AU"/>
        </w:rPr>
        <w:t xml:space="preserve">5% when </w:t>
      </w:r>
      <w:r w:rsidR="00146653" w:rsidRPr="00E21848">
        <w:rPr>
          <w:lang w:eastAsia="en-AU"/>
        </w:rPr>
        <w:t xml:space="preserve">Offeror </w:t>
      </w:r>
      <w:r w:rsidRPr="00DA1DC1">
        <w:rPr>
          <w:lang w:eastAsia="en-AU"/>
        </w:rPr>
        <w:t xml:space="preserve">will comply with </w:t>
      </w:r>
      <w:r w:rsidR="00CC74E1">
        <w:rPr>
          <w:lang w:eastAsia="en-AU"/>
        </w:rPr>
        <w:t>all TWC T&amp;Cs with no exceptions;</w:t>
      </w:r>
    </w:p>
    <w:p w14:paraId="54CB6E5F" w14:textId="517E2F1D" w:rsidR="003E7E90" w:rsidRPr="00AA28B1" w:rsidRDefault="003E7E90" w:rsidP="00E16D2D">
      <w:pPr>
        <w:pStyle w:val="LB1"/>
        <w:rPr>
          <w:lang w:eastAsia="en-AU"/>
        </w:rPr>
      </w:pPr>
      <w:r w:rsidRPr="005D60E9">
        <w:rPr>
          <w:lang w:eastAsia="en-AU"/>
        </w:rPr>
        <w:t xml:space="preserve">4% </w:t>
      </w:r>
      <w:r w:rsidRPr="009B0E1E">
        <w:rPr>
          <w:lang w:eastAsia="en-AU"/>
        </w:rPr>
        <w:t xml:space="preserve">when </w:t>
      </w:r>
      <w:r w:rsidR="00146653" w:rsidRPr="00E21848">
        <w:rPr>
          <w:lang w:eastAsia="en-AU"/>
        </w:rPr>
        <w:t xml:space="preserve">Offeror </w:t>
      </w:r>
      <w:r w:rsidRPr="009B0E1E">
        <w:rPr>
          <w:lang w:eastAsia="en-AU"/>
        </w:rPr>
        <w:t>will comply with most TWC T&amp;Cs</w:t>
      </w:r>
      <w:r w:rsidR="00CC74E1">
        <w:rPr>
          <w:lang w:eastAsia="en-AU"/>
        </w:rPr>
        <w:t xml:space="preserve"> with very few exceptions;</w:t>
      </w:r>
    </w:p>
    <w:p w14:paraId="1B56120C" w14:textId="40337F41" w:rsidR="003E7E90" w:rsidRPr="00DA1DC1" w:rsidRDefault="003E7E90" w:rsidP="00116640">
      <w:pPr>
        <w:pStyle w:val="LB1"/>
        <w:rPr>
          <w:lang w:eastAsia="en-AU"/>
        </w:rPr>
      </w:pPr>
      <w:r w:rsidRPr="00DA1DC1">
        <w:rPr>
          <w:lang w:eastAsia="en-AU"/>
        </w:rPr>
        <w:t xml:space="preserve">3% when </w:t>
      </w:r>
      <w:r w:rsidR="00146653" w:rsidRPr="00E21848">
        <w:rPr>
          <w:lang w:eastAsia="en-AU"/>
        </w:rPr>
        <w:t xml:space="preserve">Offeror </w:t>
      </w:r>
      <w:r w:rsidRPr="00DA1DC1">
        <w:rPr>
          <w:lang w:eastAsia="en-AU"/>
        </w:rPr>
        <w:t>will comply with some TWC T&amp;Cs with moderate exceptions</w:t>
      </w:r>
      <w:r w:rsidR="00CC74E1">
        <w:rPr>
          <w:lang w:eastAsia="en-AU"/>
        </w:rPr>
        <w:t>;</w:t>
      </w:r>
    </w:p>
    <w:p w14:paraId="4FFF208A" w14:textId="61C1FFA0" w:rsidR="003E7E90" w:rsidRPr="00DA1DC1" w:rsidRDefault="003E7E90" w:rsidP="00F82166">
      <w:pPr>
        <w:pStyle w:val="LB1"/>
        <w:rPr>
          <w:lang w:eastAsia="en-AU"/>
        </w:rPr>
      </w:pPr>
      <w:r w:rsidRPr="00DA1DC1">
        <w:rPr>
          <w:lang w:eastAsia="en-AU"/>
        </w:rPr>
        <w:t xml:space="preserve">1% when </w:t>
      </w:r>
      <w:r w:rsidR="00146653" w:rsidRPr="00E21848">
        <w:rPr>
          <w:lang w:eastAsia="en-AU"/>
        </w:rPr>
        <w:t xml:space="preserve">Offeror </w:t>
      </w:r>
      <w:r w:rsidRPr="00DA1DC1">
        <w:rPr>
          <w:lang w:eastAsia="en-AU"/>
        </w:rPr>
        <w:t>will comply with few TWC T&amp;Cs with several critical exceptio</w:t>
      </w:r>
      <w:r w:rsidR="00CC74E1">
        <w:rPr>
          <w:lang w:eastAsia="en-AU"/>
        </w:rPr>
        <w:t>ns; and</w:t>
      </w:r>
    </w:p>
    <w:p w14:paraId="228C90DA" w14:textId="1ED5D664" w:rsidR="00695550" w:rsidRDefault="003E7E90" w:rsidP="00F82166">
      <w:pPr>
        <w:pStyle w:val="LB1"/>
      </w:pPr>
      <w:r w:rsidRPr="00DA1DC1">
        <w:rPr>
          <w:lang w:eastAsia="en-AU"/>
        </w:rPr>
        <w:t xml:space="preserve">0% when </w:t>
      </w:r>
      <w:r w:rsidR="00146653" w:rsidRPr="00E21848">
        <w:rPr>
          <w:lang w:eastAsia="en-AU"/>
        </w:rPr>
        <w:t xml:space="preserve">Offeror </w:t>
      </w:r>
      <w:r w:rsidRPr="00DA1DC1">
        <w:rPr>
          <w:lang w:eastAsia="en-AU"/>
        </w:rPr>
        <w:t>will not comply with TWC T&amp;Cs.</w:t>
      </w:r>
    </w:p>
    <w:p w14:paraId="400AEF81" w14:textId="77777777" w:rsidR="003E7E90" w:rsidRDefault="003E7E90" w:rsidP="003E7E90">
      <w:pPr>
        <w:rPr>
          <w:lang w:val="en"/>
        </w:rPr>
      </w:pPr>
    </w:p>
    <w:p w14:paraId="00D621B8" w14:textId="7AB50705" w:rsidR="003E7E90" w:rsidRDefault="00A46E10" w:rsidP="003E7E90">
      <w:pPr>
        <w:rPr>
          <w:lang w:eastAsia="en-AU"/>
        </w:rPr>
      </w:pPr>
      <w:r w:rsidRPr="00A46E10">
        <w:rPr>
          <w:lang w:eastAsia="en-AU"/>
        </w:rPr>
        <w:t>In compliance with the provisions of Texas Government Code, Title 10, Subtitle D, Section 2155.074, Section 2155.075, Section 2156.007, Section 2157.003 and Section 2157.125, and Texas Administrative Code, Title 34, Chapter 20 Rule §20.509, information obtained from the Statewide Procurement Division’s Vendor Performance Tracking System (VPTS) will be used in evaluating responses to solicitations for goods and services to determine the best value for the state</w:t>
      </w:r>
      <w:r w:rsidR="003E7E90" w:rsidRPr="00910A82">
        <w:rPr>
          <w:lang w:val="en"/>
        </w:rPr>
        <w:t xml:space="preserve">. </w:t>
      </w:r>
    </w:p>
    <w:p w14:paraId="31D84C89" w14:textId="77777777" w:rsidR="003E7E90" w:rsidRPr="004343E2" w:rsidRDefault="003E7E90" w:rsidP="003E7E90">
      <w:pPr>
        <w:rPr>
          <w:lang w:eastAsia="en-AU"/>
        </w:rPr>
      </w:pPr>
      <w:r w:rsidRPr="00E21848">
        <w:rPr>
          <w:lang w:eastAsia="en-AU"/>
        </w:rPr>
        <w:lastRenderedPageBreak/>
        <w:t>The Evaluation Team will evaluate proposals based on the best value to the agency.</w:t>
      </w:r>
      <w:r>
        <w:rPr>
          <w:lang w:eastAsia="en-AU"/>
        </w:rPr>
        <w:t xml:space="preserve"> </w:t>
      </w:r>
      <w:r w:rsidRPr="00E21848">
        <w:rPr>
          <w:lang w:eastAsia="en-AU"/>
        </w:rPr>
        <w:t xml:space="preserve">The best value is </w:t>
      </w:r>
      <w:r w:rsidRPr="004343E2">
        <w:rPr>
          <w:lang w:eastAsia="en-AU"/>
        </w:rPr>
        <w:t>determined as follows:</w:t>
      </w:r>
    </w:p>
    <w:p w14:paraId="34054755" w14:textId="19B23499" w:rsidR="003E7E90" w:rsidRPr="004343E2" w:rsidRDefault="003E7E90" w:rsidP="0047599C">
      <w:pPr>
        <w:rPr>
          <w:lang w:eastAsia="en-AU"/>
        </w:rPr>
      </w:pPr>
    </w:p>
    <w:tbl>
      <w:tblPr>
        <w:tblStyle w:val="TableGrid"/>
        <w:tblW w:w="0" w:type="auto"/>
        <w:tblInd w:w="625" w:type="dxa"/>
        <w:tblLook w:val="04A0" w:firstRow="1" w:lastRow="0" w:firstColumn="1" w:lastColumn="0" w:noHBand="0" w:noVBand="1"/>
        <w:tblCaption w:val="Best value table"/>
        <w:tblDescription w:val="Table mapping proposal sections to percentage of score for each section."/>
      </w:tblPr>
      <w:tblGrid>
        <w:gridCol w:w="7650"/>
        <w:gridCol w:w="1800"/>
      </w:tblGrid>
      <w:tr w:rsidR="007B6E12" w:rsidRPr="00873442" w14:paraId="43B06F1C" w14:textId="77777777" w:rsidTr="007B6E12">
        <w:trPr>
          <w:cantSplit/>
          <w:tblHeader/>
        </w:trPr>
        <w:tc>
          <w:tcPr>
            <w:tcW w:w="7650" w:type="dxa"/>
            <w:shd w:val="clear" w:color="auto" w:fill="DEEAF6" w:themeFill="accent1" w:themeFillTint="33"/>
            <w:vAlign w:val="center"/>
          </w:tcPr>
          <w:p w14:paraId="27071633" w14:textId="19AEBD2A" w:rsidR="007B6E12" w:rsidRPr="00804B2D" w:rsidRDefault="007B6E12" w:rsidP="0082399C">
            <w:pPr>
              <w:spacing w:after="0"/>
              <w:ind w:left="0"/>
              <w:jc w:val="center"/>
              <w:rPr>
                <w:rFonts w:cs="Arial"/>
                <w:b/>
                <w:color w:val="1F3864" w:themeColor="accent5" w:themeShade="80"/>
              </w:rPr>
            </w:pPr>
            <w:r>
              <w:rPr>
                <w:rFonts w:cs="Arial"/>
                <w:b/>
                <w:color w:val="1F3864" w:themeColor="accent5" w:themeShade="80"/>
              </w:rPr>
              <w:t>Proposal Section</w:t>
            </w:r>
          </w:p>
        </w:tc>
        <w:tc>
          <w:tcPr>
            <w:tcW w:w="1800" w:type="dxa"/>
            <w:shd w:val="clear" w:color="auto" w:fill="DEEAF6" w:themeFill="accent1" w:themeFillTint="33"/>
            <w:vAlign w:val="center"/>
          </w:tcPr>
          <w:p w14:paraId="55EB6C8E" w14:textId="5F545EEC" w:rsidR="007B6E12" w:rsidRPr="00804B2D" w:rsidRDefault="007B6E12" w:rsidP="007B6E12">
            <w:pPr>
              <w:spacing w:after="0"/>
              <w:ind w:left="0"/>
              <w:jc w:val="center"/>
              <w:rPr>
                <w:rFonts w:cs="Arial"/>
                <w:b/>
                <w:color w:val="1F3864" w:themeColor="accent5" w:themeShade="80"/>
              </w:rPr>
            </w:pPr>
            <w:r>
              <w:rPr>
                <w:rFonts w:cs="Arial"/>
                <w:b/>
                <w:color w:val="1F3864" w:themeColor="accent5" w:themeShade="80"/>
              </w:rPr>
              <w:t>% of Score</w:t>
            </w:r>
          </w:p>
        </w:tc>
      </w:tr>
      <w:tr w:rsidR="007B6E12" w:rsidRPr="00873442" w14:paraId="114DFAC6" w14:textId="77777777" w:rsidTr="007B6E12">
        <w:trPr>
          <w:cantSplit/>
        </w:trPr>
        <w:tc>
          <w:tcPr>
            <w:tcW w:w="7650" w:type="dxa"/>
          </w:tcPr>
          <w:p w14:paraId="2E83FEA7" w14:textId="25BDFA6A" w:rsidR="007B6E12" w:rsidRPr="00873442" w:rsidRDefault="007B6E12" w:rsidP="0082399C">
            <w:pPr>
              <w:ind w:left="0"/>
              <w:rPr>
                <w:highlight w:val="yellow"/>
              </w:rPr>
            </w:pPr>
            <w:r w:rsidRPr="004343E2">
              <w:rPr>
                <w:lang w:eastAsia="en-AU"/>
              </w:rPr>
              <w:t>Deliverab</w:t>
            </w:r>
            <w:r>
              <w:rPr>
                <w:lang w:eastAsia="en-AU"/>
              </w:rPr>
              <w:t>les, schedule, and methodologies</w:t>
            </w:r>
          </w:p>
        </w:tc>
        <w:tc>
          <w:tcPr>
            <w:tcW w:w="1800" w:type="dxa"/>
          </w:tcPr>
          <w:p w14:paraId="18CD2696" w14:textId="0D42E9E0" w:rsidR="007B6E12" w:rsidRPr="007B6E12" w:rsidRDefault="007B6E12" w:rsidP="007B6E12">
            <w:pPr>
              <w:ind w:left="0"/>
              <w:jc w:val="center"/>
            </w:pPr>
            <w:r w:rsidRPr="007B6E12">
              <w:t>50%</w:t>
            </w:r>
          </w:p>
        </w:tc>
      </w:tr>
      <w:tr w:rsidR="007B6E12" w:rsidRPr="00873442" w14:paraId="72553635" w14:textId="77777777" w:rsidTr="007B6E12">
        <w:trPr>
          <w:cantSplit/>
        </w:trPr>
        <w:tc>
          <w:tcPr>
            <w:tcW w:w="7650" w:type="dxa"/>
          </w:tcPr>
          <w:p w14:paraId="70B6DC57" w14:textId="32D4B51C" w:rsidR="007B6E12" w:rsidRPr="00364874" w:rsidRDefault="007B6E12" w:rsidP="007B6E12">
            <w:pPr>
              <w:ind w:left="0"/>
            </w:pPr>
            <w:r>
              <w:t>Cost</w:t>
            </w:r>
            <w:r w:rsidR="005B4CD7">
              <w:t xml:space="preserve"> </w:t>
            </w:r>
            <w:r w:rsidR="00CC0820">
              <w:t>(</w:t>
            </w:r>
            <w:r w:rsidR="005B4CD7" w:rsidRPr="005B4CD7">
              <w:t>10% is the service delivery solution</w:t>
            </w:r>
            <w:r w:rsidR="00CC0820">
              <w:t xml:space="preserve"> and 10% are all other costs)</w:t>
            </w:r>
          </w:p>
        </w:tc>
        <w:tc>
          <w:tcPr>
            <w:tcW w:w="1800" w:type="dxa"/>
          </w:tcPr>
          <w:p w14:paraId="322FE447" w14:textId="418C4F70" w:rsidR="007B6E12" w:rsidRPr="007B6E12" w:rsidRDefault="007B6E12" w:rsidP="007B6E12">
            <w:pPr>
              <w:ind w:left="0"/>
              <w:jc w:val="center"/>
            </w:pPr>
            <w:r>
              <w:t>20%</w:t>
            </w:r>
          </w:p>
        </w:tc>
      </w:tr>
      <w:tr w:rsidR="007B6E12" w:rsidRPr="00873442" w14:paraId="072038E8" w14:textId="77777777" w:rsidTr="007B6E12">
        <w:trPr>
          <w:cantSplit/>
        </w:trPr>
        <w:tc>
          <w:tcPr>
            <w:tcW w:w="7650" w:type="dxa"/>
          </w:tcPr>
          <w:p w14:paraId="0148DB17" w14:textId="7C55F452" w:rsidR="007B6E12" w:rsidRPr="00364874" w:rsidRDefault="007B6E12" w:rsidP="007B6E12">
            <w:pPr>
              <w:ind w:left="0"/>
            </w:pPr>
            <w:r>
              <w:rPr>
                <w:lang w:eastAsia="en-AU"/>
              </w:rPr>
              <w:t>Data Privacy, Cyber Security, and SLAs</w:t>
            </w:r>
          </w:p>
        </w:tc>
        <w:tc>
          <w:tcPr>
            <w:tcW w:w="1800" w:type="dxa"/>
          </w:tcPr>
          <w:p w14:paraId="6309B98D" w14:textId="173D025E" w:rsidR="007B6E12" w:rsidRPr="007B6E12" w:rsidRDefault="007B6E12" w:rsidP="007B6E12">
            <w:pPr>
              <w:ind w:left="0"/>
              <w:jc w:val="center"/>
            </w:pPr>
            <w:r>
              <w:t>10%</w:t>
            </w:r>
          </w:p>
        </w:tc>
      </w:tr>
      <w:tr w:rsidR="007B6E12" w:rsidRPr="00873442" w14:paraId="75B13052" w14:textId="77777777" w:rsidTr="007B6E12">
        <w:trPr>
          <w:cantSplit/>
        </w:trPr>
        <w:tc>
          <w:tcPr>
            <w:tcW w:w="7650" w:type="dxa"/>
          </w:tcPr>
          <w:p w14:paraId="33B2B4C0" w14:textId="5FAFEFC0" w:rsidR="007B6E12" w:rsidRPr="00364874" w:rsidRDefault="007B6E12" w:rsidP="007B6E12">
            <w:pPr>
              <w:ind w:left="0"/>
            </w:pPr>
            <w:r w:rsidRPr="004343E2">
              <w:rPr>
                <w:lang w:eastAsia="en-AU"/>
              </w:rPr>
              <w:t xml:space="preserve">Documented experience for Offeror, subcontractors and proposed </w:t>
            </w:r>
            <w:r>
              <w:rPr>
                <w:lang w:eastAsia="en-AU"/>
              </w:rPr>
              <w:t>Offeror</w:t>
            </w:r>
            <w:r w:rsidRPr="004343E2">
              <w:rPr>
                <w:lang w:eastAsia="en-AU"/>
              </w:rPr>
              <w:t xml:space="preserve"> </w:t>
            </w:r>
            <w:r>
              <w:rPr>
                <w:lang w:eastAsia="en-AU"/>
              </w:rPr>
              <w:t xml:space="preserve">Staff </w:t>
            </w:r>
            <w:r w:rsidRPr="008E42FB">
              <w:rPr>
                <w:lang w:eastAsia="en-AU"/>
              </w:rPr>
              <w:t>confirmed by references</w:t>
            </w:r>
            <w:r>
              <w:rPr>
                <w:lang w:eastAsia="en-AU"/>
              </w:rPr>
              <w:t xml:space="preserve"> and information available from the VPTS</w:t>
            </w:r>
          </w:p>
        </w:tc>
        <w:tc>
          <w:tcPr>
            <w:tcW w:w="1800" w:type="dxa"/>
          </w:tcPr>
          <w:p w14:paraId="69CCED1C" w14:textId="5FD1646A" w:rsidR="007B6E12" w:rsidRPr="007B6E12" w:rsidRDefault="007B6E12" w:rsidP="007B6E12">
            <w:pPr>
              <w:ind w:left="0"/>
              <w:jc w:val="center"/>
            </w:pPr>
            <w:r>
              <w:t>15%</w:t>
            </w:r>
          </w:p>
        </w:tc>
      </w:tr>
      <w:tr w:rsidR="007B6E12" w:rsidRPr="00873442" w14:paraId="3CDD2DC2" w14:textId="77777777" w:rsidTr="007B6E12">
        <w:trPr>
          <w:cantSplit/>
        </w:trPr>
        <w:tc>
          <w:tcPr>
            <w:tcW w:w="7650" w:type="dxa"/>
          </w:tcPr>
          <w:p w14:paraId="3E0348CB" w14:textId="6BB81F41" w:rsidR="007B6E12" w:rsidRPr="00364874" w:rsidRDefault="007B6E12" w:rsidP="007B6E12">
            <w:pPr>
              <w:ind w:left="0"/>
            </w:pPr>
            <w:r w:rsidRPr="004343E2">
              <w:rPr>
                <w:lang w:eastAsia="en-AU"/>
              </w:rPr>
              <w:t xml:space="preserve">Exceptions to TWC’s Terms </w:t>
            </w:r>
            <w:r>
              <w:rPr>
                <w:lang w:eastAsia="en-AU"/>
              </w:rPr>
              <w:t>&amp;</w:t>
            </w:r>
            <w:r w:rsidRPr="004343E2">
              <w:rPr>
                <w:lang w:eastAsia="en-AU"/>
              </w:rPr>
              <w:t xml:space="preserve"> Conditions as described above</w:t>
            </w:r>
          </w:p>
        </w:tc>
        <w:tc>
          <w:tcPr>
            <w:tcW w:w="1800" w:type="dxa"/>
          </w:tcPr>
          <w:p w14:paraId="1F0C7B26" w14:textId="73B13D89" w:rsidR="007B6E12" w:rsidRPr="007B6E12" w:rsidRDefault="007B6E12" w:rsidP="007B6E12">
            <w:pPr>
              <w:ind w:left="0"/>
              <w:jc w:val="center"/>
            </w:pPr>
            <w:r>
              <w:t>5%</w:t>
            </w:r>
          </w:p>
        </w:tc>
      </w:tr>
    </w:tbl>
    <w:p w14:paraId="498E5D12" w14:textId="77777777" w:rsidR="003E7E90" w:rsidRDefault="003E7E90" w:rsidP="003E7E90">
      <w:pPr>
        <w:rPr>
          <w:lang w:eastAsia="en-AU"/>
        </w:rPr>
      </w:pPr>
    </w:p>
    <w:p w14:paraId="4A7AC666" w14:textId="4C262D31" w:rsidR="00767566" w:rsidRDefault="00767566" w:rsidP="00767566">
      <w:pPr>
        <w:pStyle w:val="Heading2"/>
      </w:pPr>
      <w:bookmarkStart w:id="256" w:name="_Toc13567483"/>
      <w:bookmarkStart w:id="257" w:name="_Hlk6579728"/>
      <w:r>
        <w:t>11.1</w:t>
      </w:r>
      <w:r>
        <w:tab/>
        <w:t>Evaluation, Oral Presentations, and Site Visits</w:t>
      </w:r>
      <w:bookmarkEnd w:id="256"/>
    </w:p>
    <w:p w14:paraId="607977B2" w14:textId="56C5155B" w:rsidR="003E7E90" w:rsidRDefault="003E7E90" w:rsidP="003E7E90">
      <w:pPr>
        <w:rPr>
          <w:lang w:eastAsia="en-AU"/>
        </w:rPr>
      </w:pPr>
      <w:r>
        <w:rPr>
          <w:lang w:eastAsia="en-AU"/>
        </w:rPr>
        <w:t xml:space="preserve">Proposals will be scored by the Evaluation Team to identify the Finalist(s). </w:t>
      </w:r>
      <w:r w:rsidR="006D3E8D" w:rsidRPr="006D3E8D">
        <w:rPr>
          <w:lang w:eastAsia="en-AU"/>
        </w:rPr>
        <w:t xml:space="preserve"> The TWC Evaluation Team will score all proposals on the total submission except the 10% for the service delivery solution.</w:t>
      </w:r>
    </w:p>
    <w:p w14:paraId="6512B53A" w14:textId="19BF6B28" w:rsidR="00E16BFD" w:rsidRDefault="00E16BFD" w:rsidP="003E7E90">
      <w:pPr>
        <w:rPr>
          <w:lang w:eastAsia="en-AU"/>
        </w:rPr>
      </w:pPr>
    </w:p>
    <w:p w14:paraId="5F2553B2" w14:textId="26C23297" w:rsidR="00E16BFD" w:rsidRDefault="00E16BFD" w:rsidP="0047599C">
      <w:pPr>
        <w:autoSpaceDE w:val="0"/>
        <w:autoSpaceDN w:val="0"/>
        <w:adjustRightInd w:val="0"/>
        <w:rPr>
          <w:bCs/>
        </w:rPr>
      </w:pPr>
      <w:r w:rsidRPr="00550FD9">
        <w:rPr>
          <w:bCs/>
        </w:rPr>
        <w:t xml:space="preserve">If proposing a DCS solution, </w:t>
      </w:r>
      <w:r>
        <w:rPr>
          <w:bCs/>
        </w:rPr>
        <w:t>Offeror</w:t>
      </w:r>
      <w:r w:rsidRPr="00550FD9">
        <w:rPr>
          <w:bCs/>
        </w:rPr>
        <w:t xml:space="preserve">s should comprehensively list their infrastructure requirements </w:t>
      </w:r>
      <w:r w:rsidR="005607E4">
        <w:rPr>
          <w:bCs/>
        </w:rPr>
        <w:t xml:space="preserve">in </w:t>
      </w:r>
      <w:r w:rsidR="001B4A2F">
        <w:rPr>
          <w:bCs/>
        </w:rPr>
        <w:t xml:space="preserve">Section </w:t>
      </w:r>
      <w:r w:rsidR="005607E4">
        <w:rPr>
          <w:bCs/>
        </w:rPr>
        <w:t xml:space="preserve">2.2.16 </w:t>
      </w:r>
      <w:r w:rsidRPr="00550FD9">
        <w:rPr>
          <w:bCs/>
        </w:rPr>
        <w:t xml:space="preserve">for DCS infrastructure within a State Data Center for financial review by TWC and DIR. </w:t>
      </w:r>
      <w:r>
        <w:rPr>
          <w:bCs/>
        </w:rPr>
        <w:t>Offeror</w:t>
      </w:r>
      <w:r w:rsidRPr="00550FD9">
        <w:rPr>
          <w:bCs/>
        </w:rPr>
        <w:t xml:space="preserve">s should leave DCS costs blank. </w:t>
      </w:r>
    </w:p>
    <w:p w14:paraId="5F7EA563" w14:textId="77777777" w:rsidR="00E16BFD" w:rsidRDefault="00E16BFD" w:rsidP="003E7E90">
      <w:pPr>
        <w:rPr>
          <w:lang w:eastAsia="en-AU"/>
        </w:rPr>
      </w:pPr>
    </w:p>
    <w:p w14:paraId="22D10661" w14:textId="45DCBF50" w:rsidR="005E3261" w:rsidRPr="00282417" w:rsidRDefault="00FF0A64" w:rsidP="00282417">
      <w:pPr>
        <w:rPr>
          <w:lang w:eastAsia="en-AU"/>
        </w:rPr>
      </w:pPr>
      <w:r>
        <w:rPr>
          <w:lang w:eastAsia="en-AU"/>
        </w:rPr>
        <w:t xml:space="preserve">If an Offer, with a DCS solution, is evaluated as a finalist, it will be referred to </w:t>
      </w:r>
      <w:r w:rsidR="006D3E8D" w:rsidRPr="005E3261">
        <w:rPr>
          <w:lang w:eastAsia="en-AU"/>
        </w:rPr>
        <w:t>TWC Purchasing</w:t>
      </w:r>
      <w:r>
        <w:rPr>
          <w:lang w:eastAsia="en-AU"/>
        </w:rPr>
        <w:t xml:space="preserve"> who will then coordinate with DIR to estimate DCS costs</w:t>
      </w:r>
      <w:r w:rsidR="006D3E8D" w:rsidRPr="005E3261">
        <w:rPr>
          <w:lang w:eastAsia="en-AU"/>
        </w:rPr>
        <w:t xml:space="preserve">. </w:t>
      </w:r>
      <w:bookmarkStart w:id="258" w:name="_Hlk12896194"/>
      <w:r w:rsidR="005E3261" w:rsidRPr="005E3261">
        <w:rPr>
          <w:lang w:eastAsia="en-AU"/>
        </w:rPr>
        <w:t xml:space="preserve">After receiving the DIR-provided DCS costs from TWC Purchasing, the TWC Evaluation Team will score all </w:t>
      </w:r>
      <w:r w:rsidR="005E3261">
        <w:rPr>
          <w:lang w:eastAsia="en-AU"/>
        </w:rPr>
        <w:t>Offerors’</w:t>
      </w:r>
      <w:r w:rsidR="005E3261" w:rsidRPr="005E3261">
        <w:rPr>
          <w:lang w:eastAsia="en-AU"/>
        </w:rPr>
        <w:t xml:space="preserve"> service delivery solutions, 10% of the total cost score, to determine total scores.</w:t>
      </w:r>
    </w:p>
    <w:bookmarkEnd w:id="258"/>
    <w:p w14:paraId="172C9B5F" w14:textId="77777777" w:rsidR="00820776" w:rsidRPr="009A3B2D" w:rsidRDefault="00767566" w:rsidP="005E326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rPr>
          <w:rFonts w:cs="Arial"/>
        </w:rPr>
      </w:pPr>
      <w:r w:rsidRPr="00965D3E">
        <w:rPr>
          <w:lang w:eastAsia="en-AU"/>
        </w:rPr>
        <w:t xml:space="preserve">Offerors </w:t>
      </w:r>
      <w:r>
        <w:rPr>
          <w:lang w:eastAsia="en-AU"/>
        </w:rPr>
        <w:t xml:space="preserve">determined to be Finalist(s) for award may </w:t>
      </w:r>
      <w:r w:rsidRPr="00965D3E">
        <w:rPr>
          <w:lang w:eastAsia="en-AU"/>
        </w:rPr>
        <w:t xml:space="preserve">be required to </w:t>
      </w:r>
      <w:r w:rsidR="00DD1AC3">
        <w:rPr>
          <w:lang w:eastAsia="en-AU"/>
        </w:rPr>
        <w:t xml:space="preserve">provide a </w:t>
      </w:r>
      <w:r w:rsidR="00A67940">
        <w:rPr>
          <w:lang w:eastAsia="en-AU"/>
        </w:rPr>
        <w:t>proof of c</w:t>
      </w:r>
      <w:r w:rsidR="00DD1AC3">
        <w:rPr>
          <w:lang w:eastAsia="en-AU"/>
        </w:rPr>
        <w:t>oncept</w:t>
      </w:r>
      <w:r w:rsidRPr="00965D3E">
        <w:rPr>
          <w:lang w:eastAsia="en-AU"/>
        </w:rPr>
        <w:t xml:space="preserve"> to </w:t>
      </w:r>
      <w:r>
        <w:rPr>
          <w:lang w:eastAsia="en-AU"/>
        </w:rPr>
        <w:t>TWC</w:t>
      </w:r>
      <w:r w:rsidRPr="00965D3E">
        <w:rPr>
          <w:lang w:eastAsia="en-AU"/>
        </w:rPr>
        <w:t xml:space="preserve"> representatives</w:t>
      </w:r>
      <w:r w:rsidRPr="00767566">
        <w:rPr>
          <w:lang w:eastAsia="en-AU"/>
        </w:rPr>
        <w:t xml:space="preserve"> </w:t>
      </w:r>
      <w:r w:rsidR="00820776" w:rsidRPr="009A3B2D">
        <w:rPr>
          <w:rFonts w:cs="Arial"/>
        </w:rPr>
        <w:t xml:space="preserve">to do one or more of the following: </w:t>
      </w:r>
    </w:p>
    <w:p w14:paraId="3A62D0A4" w14:textId="77777777" w:rsidR="00820776" w:rsidRPr="009A3B2D" w:rsidRDefault="00820776" w:rsidP="00E16D2D">
      <w:pPr>
        <w:pStyle w:val="LB1"/>
      </w:pPr>
      <w:r w:rsidRPr="009A3B2D">
        <w:t>Clarify its Proposal and ensure a mutual understanding of the Proposal’s content;</w:t>
      </w:r>
    </w:p>
    <w:p w14:paraId="115F6958" w14:textId="77777777" w:rsidR="00A22680" w:rsidRDefault="00820776" w:rsidP="00E16D2D">
      <w:pPr>
        <w:pStyle w:val="LB1"/>
      </w:pPr>
      <w:r w:rsidRPr="00AD5091">
        <w:t xml:space="preserve">Showcase its approach to the Work; </w:t>
      </w:r>
    </w:p>
    <w:p w14:paraId="7BEAFA31" w14:textId="78FAE778" w:rsidR="00820776" w:rsidRPr="00AD5091" w:rsidRDefault="0047599C" w:rsidP="00116640">
      <w:pPr>
        <w:pStyle w:val="LB1"/>
      </w:pPr>
      <w:r w:rsidRPr="00AD5091">
        <w:t xml:space="preserve">Demonstrate </w:t>
      </w:r>
      <w:r w:rsidR="00EB6FA0">
        <w:t xml:space="preserve">and discuss </w:t>
      </w:r>
      <w:r w:rsidR="003813F6">
        <w:t>Offeror’s</w:t>
      </w:r>
      <w:r w:rsidR="00EB6FA0">
        <w:t xml:space="preserve"> product</w:t>
      </w:r>
      <w:r w:rsidR="003813F6">
        <w:t>s</w:t>
      </w:r>
      <w:r w:rsidR="00EB6FA0">
        <w:t xml:space="preserve"> and services</w:t>
      </w:r>
      <w:r w:rsidR="00A22680">
        <w:t xml:space="preserve">; </w:t>
      </w:r>
      <w:r w:rsidR="00820776" w:rsidRPr="00AD5091">
        <w:t>and</w:t>
      </w:r>
    </w:p>
    <w:p w14:paraId="008D291C" w14:textId="77777777" w:rsidR="00820776" w:rsidRPr="009A3B2D" w:rsidRDefault="00820776" w:rsidP="00F82166">
      <w:pPr>
        <w:pStyle w:val="LB1"/>
      </w:pPr>
      <w:r w:rsidRPr="00AD5091">
        <w:t>Demonstrate the professionalism, qualifications, skills</w:t>
      </w:r>
      <w:r w:rsidRPr="009A3B2D">
        <w:t>, and work knowledge of its proposed candidates.</w:t>
      </w:r>
    </w:p>
    <w:p w14:paraId="086EA13F" w14:textId="77777777" w:rsidR="00820776" w:rsidRDefault="00820776" w:rsidP="003E7E90">
      <w:pPr>
        <w:rPr>
          <w:lang w:eastAsia="en-AU"/>
        </w:rPr>
      </w:pPr>
    </w:p>
    <w:p w14:paraId="50747390" w14:textId="4C8EE632" w:rsidR="00191D32" w:rsidRDefault="0074076E" w:rsidP="003E7E90">
      <w:r>
        <w:rPr>
          <w:rFonts w:cs="Arial"/>
        </w:rPr>
        <w:lastRenderedPageBreak/>
        <w:t>TWC</w:t>
      </w:r>
      <w:r w:rsidRPr="009A3B2D">
        <w:rPr>
          <w:rFonts w:cs="Arial"/>
        </w:rPr>
        <w:t xml:space="preserve"> will determine the scope and format of any such </w:t>
      </w:r>
      <w:r>
        <w:t>proof of concepts</w:t>
      </w:r>
      <w:r w:rsidRPr="009A3B2D">
        <w:rPr>
          <w:rFonts w:cs="Arial"/>
        </w:rPr>
        <w:t xml:space="preserve">, demonstrations, and interviews and may record them.  Additionally, if </w:t>
      </w:r>
      <w:r>
        <w:rPr>
          <w:rFonts w:cs="Arial"/>
        </w:rPr>
        <w:t>TWC</w:t>
      </w:r>
      <w:r w:rsidRPr="009A3B2D">
        <w:rPr>
          <w:rFonts w:cs="Arial"/>
        </w:rPr>
        <w:t xml:space="preserve"> </w:t>
      </w:r>
      <w:r>
        <w:rPr>
          <w:rFonts w:cs="Arial"/>
        </w:rPr>
        <w:t>selects</w:t>
      </w:r>
      <w:r w:rsidRPr="009A3B2D">
        <w:rPr>
          <w:rFonts w:cs="Arial"/>
        </w:rPr>
        <w:t xml:space="preserve"> more than one </w:t>
      </w:r>
      <w:r>
        <w:rPr>
          <w:lang w:eastAsia="en-AU"/>
        </w:rPr>
        <w:t>Finalist</w:t>
      </w:r>
      <w:r w:rsidRPr="009A3B2D">
        <w:rPr>
          <w:rFonts w:cs="Arial"/>
        </w:rPr>
        <w:t xml:space="preserve">, the scope and format of these </w:t>
      </w:r>
      <w:r>
        <w:t>proof of concepts</w:t>
      </w:r>
      <w:r w:rsidRPr="009A3B2D">
        <w:rPr>
          <w:rFonts w:cs="Arial"/>
        </w:rPr>
        <w:t xml:space="preserve">, demonstrations, and interviews may vary from one offeror to the next, depending on the particular issues or concerns the State may have with each </w:t>
      </w:r>
      <w:r w:rsidR="00E16BFD">
        <w:rPr>
          <w:rFonts w:cs="Arial"/>
        </w:rPr>
        <w:t>O</w:t>
      </w:r>
      <w:r>
        <w:rPr>
          <w:rFonts w:cs="Arial"/>
        </w:rPr>
        <w:t>fferor’s Proposal</w:t>
      </w:r>
      <w:r w:rsidR="00767566" w:rsidRPr="00965D3E">
        <w:t xml:space="preserve">. </w:t>
      </w:r>
    </w:p>
    <w:p w14:paraId="58B88E4D" w14:textId="43A517A4" w:rsidR="0074076E" w:rsidRDefault="0074076E" w:rsidP="003E7E90">
      <w:r>
        <w:rPr>
          <w:rFonts w:cs="Arial"/>
        </w:rPr>
        <w:t>TWC</w:t>
      </w:r>
      <w:r w:rsidRPr="009A3B2D">
        <w:rPr>
          <w:rFonts w:cs="Arial"/>
        </w:rPr>
        <w:t xml:space="preserve"> normally will not rank </w:t>
      </w:r>
      <w:r>
        <w:t>proof of concepts</w:t>
      </w:r>
      <w:r w:rsidRPr="009A3B2D">
        <w:rPr>
          <w:rFonts w:cs="Arial"/>
        </w:rPr>
        <w:t xml:space="preserve">, demonstrations, and interviews.  Rather, if </w:t>
      </w:r>
      <w:r>
        <w:rPr>
          <w:rFonts w:cs="Arial"/>
        </w:rPr>
        <w:t>TWC</w:t>
      </w:r>
      <w:r w:rsidRPr="009A3B2D">
        <w:rPr>
          <w:rFonts w:cs="Arial"/>
        </w:rPr>
        <w:t xml:space="preserve"> conducts the </w:t>
      </w:r>
      <w:r>
        <w:t>proof of concepts</w:t>
      </w:r>
      <w:r w:rsidRPr="009A3B2D">
        <w:rPr>
          <w:rFonts w:cs="Arial"/>
        </w:rPr>
        <w:t xml:space="preserve">, demonstrations, and interviews as part of the technical evaluation, </w:t>
      </w:r>
      <w:r>
        <w:rPr>
          <w:rFonts w:cs="Arial"/>
        </w:rPr>
        <w:t>TWC</w:t>
      </w:r>
      <w:r w:rsidRPr="009A3B2D">
        <w:rPr>
          <w:rFonts w:cs="Arial"/>
        </w:rPr>
        <w:t xml:space="preserve"> may use the information it gathers during this process in evaluating the technical merits of the Proposals.  If </w:t>
      </w:r>
      <w:r>
        <w:rPr>
          <w:rFonts w:cs="Arial"/>
        </w:rPr>
        <w:t>TWC</w:t>
      </w:r>
      <w:r w:rsidRPr="009A3B2D">
        <w:rPr>
          <w:rFonts w:cs="Arial"/>
        </w:rPr>
        <w:t xml:space="preserve"> holds the </w:t>
      </w:r>
      <w:r>
        <w:t>proof of concepts</w:t>
      </w:r>
      <w:r w:rsidRPr="009A3B2D">
        <w:rPr>
          <w:rFonts w:cs="Arial"/>
        </w:rPr>
        <w:t xml:space="preserve">, demonstrations, and interviews for one or more </w:t>
      </w:r>
      <w:r>
        <w:rPr>
          <w:lang w:eastAsia="en-AU"/>
        </w:rPr>
        <w:t xml:space="preserve">Finalist(s) </w:t>
      </w:r>
      <w:r w:rsidRPr="009A3B2D">
        <w:rPr>
          <w:rFonts w:cs="Arial"/>
        </w:rPr>
        <w:t xml:space="preserve">after the evaluation phase, </w:t>
      </w:r>
      <w:r>
        <w:rPr>
          <w:rFonts w:cs="Arial"/>
        </w:rPr>
        <w:t>TWC</w:t>
      </w:r>
      <w:r w:rsidRPr="009A3B2D">
        <w:rPr>
          <w:rFonts w:cs="Arial"/>
        </w:rPr>
        <w:t xml:space="preserve"> may decide to revise its existing Proposal evaluations based on the results of this process.</w:t>
      </w:r>
    </w:p>
    <w:p w14:paraId="278A8CEE" w14:textId="075484B9" w:rsidR="00767566" w:rsidRDefault="00767566" w:rsidP="003E7E90">
      <w:r w:rsidRPr="00965D3E">
        <w:t>Offerors must confirm in writing any substantive oral clarification</w:t>
      </w:r>
      <w:r w:rsidR="00DD1AC3">
        <w:t>s</w:t>
      </w:r>
      <w:r w:rsidRPr="00965D3E">
        <w:t xml:space="preserve"> of their Proposals made </w:t>
      </w:r>
      <w:r w:rsidR="00DD1AC3">
        <w:t>during</w:t>
      </w:r>
      <w:r w:rsidRPr="00965D3E">
        <w:t xml:space="preserve"> the course of discussions. Any such written clarifications then become part of the Offeror’s Proposal and are binding if the Contract is awarded. The Procurement Officer will notify Offerors of the time and place of </w:t>
      </w:r>
      <w:r w:rsidR="00A67940">
        <w:t>a proof of concept</w:t>
      </w:r>
      <w:r w:rsidRPr="00965D3E">
        <w:t>.</w:t>
      </w:r>
    </w:p>
    <w:p w14:paraId="14BDAB1F" w14:textId="27BCA9AD" w:rsidR="00767566" w:rsidRDefault="00767566" w:rsidP="003E7E90">
      <w:pPr>
        <w:rPr>
          <w:lang w:eastAsia="en-AU"/>
        </w:rPr>
      </w:pPr>
      <w:r>
        <w:t xml:space="preserve">The </w:t>
      </w:r>
      <w:r>
        <w:rPr>
          <w:lang w:eastAsia="en-AU"/>
        </w:rPr>
        <w:t>Evaluation Team</w:t>
      </w:r>
      <w:r>
        <w:t xml:space="preserve">, </w:t>
      </w:r>
      <w:r w:rsidRPr="00965D3E">
        <w:t>at its discretion, may travel to view qualified Offerors’ proposed solutions (or a close approximation) in operation</w:t>
      </w:r>
      <w:r>
        <w:t>, or may view or investigate qualified Offerors’ proposed solutions in operation remotely using appropriate technology</w:t>
      </w:r>
      <w:r w:rsidRPr="00965D3E">
        <w:t>. This will become part of the evaluation process</w:t>
      </w:r>
      <w:r>
        <w:t>.</w:t>
      </w:r>
    </w:p>
    <w:p w14:paraId="6FA5E623" w14:textId="664D1DDA" w:rsidR="00767566" w:rsidRDefault="00767566" w:rsidP="00767566">
      <w:pPr>
        <w:pStyle w:val="Heading2"/>
      </w:pPr>
      <w:bookmarkStart w:id="259" w:name="_Toc13567484"/>
      <w:bookmarkEnd w:id="257"/>
      <w:r>
        <w:t>11.2</w:t>
      </w:r>
      <w:r>
        <w:tab/>
        <w:t>BAFO</w:t>
      </w:r>
      <w:bookmarkEnd w:id="259"/>
    </w:p>
    <w:p w14:paraId="0E84A1EA" w14:textId="1CE6D224" w:rsidR="003E7E90" w:rsidRDefault="003E7E90" w:rsidP="003E7E90">
      <w:pPr>
        <w:rPr>
          <w:lang w:eastAsia="en-AU"/>
        </w:rPr>
      </w:pPr>
      <w:r>
        <w:rPr>
          <w:lang w:eastAsia="en-AU"/>
        </w:rPr>
        <w:t xml:space="preserve">The Agency reserves the right to negotiate with and/or to request </w:t>
      </w:r>
      <w:r w:rsidR="00976F1E">
        <w:rPr>
          <w:lang w:eastAsia="en-AU"/>
        </w:rPr>
        <w:t>BAFOs</w:t>
      </w:r>
      <w:r>
        <w:rPr>
          <w:lang w:eastAsia="en-AU"/>
        </w:rPr>
        <w:t xml:space="preserve"> from any or all Offerors as a part of the formal evaluation process. If the Agency requests a formal, written </w:t>
      </w:r>
      <w:r w:rsidR="00976F1E">
        <w:rPr>
          <w:lang w:eastAsia="en-AU"/>
        </w:rPr>
        <w:t>BAFO</w:t>
      </w:r>
      <w:r>
        <w:rPr>
          <w:lang w:eastAsia="en-AU"/>
        </w:rPr>
        <w:t xml:space="preserve">, the Offeror will be notified of the allotted time to respond to the request. If an Offeror does not respond to the Agency’s request within the allotted time, the Agency will consider the most recent offer to be the </w:t>
      </w:r>
      <w:r w:rsidR="00976F1E">
        <w:rPr>
          <w:lang w:eastAsia="en-AU"/>
        </w:rPr>
        <w:t>BAFO</w:t>
      </w:r>
      <w:r>
        <w:rPr>
          <w:lang w:eastAsia="en-AU"/>
        </w:rPr>
        <w:t>.</w:t>
      </w:r>
    </w:p>
    <w:p w14:paraId="114443BC" w14:textId="77777777" w:rsidR="003E7E90" w:rsidRPr="00EA2456" w:rsidRDefault="003E7E90" w:rsidP="003E7E90">
      <w:pPr>
        <w:rPr>
          <w:lang w:eastAsia="en-AU"/>
        </w:rPr>
      </w:pPr>
    </w:p>
    <w:p w14:paraId="02E73FD8" w14:textId="77777777" w:rsidR="003E7E90" w:rsidRPr="003E7E90" w:rsidRDefault="003E7E90" w:rsidP="003E7E90">
      <w:pPr>
        <w:rPr>
          <w:b/>
          <w:lang w:eastAsia="en-AU"/>
        </w:rPr>
      </w:pPr>
      <w:r w:rsidRPr="003E7E90">
        <w:rPr>
          <w:b/>
          <w:lang w:eastAsia="en-AU"/>
        </w:rPr>
        <w:t>TWC reserves the right to award single, multiple, partial or no awards.</w:t>
      </w:r>
    </w:p>
    <w:p w14:paraId="2BD0C91C" w14:textId="77777777" w:rsidR="003E7E90" w:rsidRPr="003E7E90" w:rsidRDefault="003E7E90" w:rsidP="003E7E90">
      <w:pPr>
        <w:rPr>
          <w:b/>
          <w:lang w:eastAsia="en-AU"/>
        </w:rPr>
      </w:pPr>
      <w:r w:rsidRPr="003E7E90">
        <w:rPr>
          <w:b/>
          <w:lang w:eastAsia="en-AU"/>
        </w:rPr>
        <w:t>Award of contract is contingent upon availability of funding and authorization by the Texas State Legislature.</w:t>
      </w:r>
    </w:p>
    <w:p w14:paraId="059DC467" w14:textId="77777777" w:rsidR="00695550" w:rsidRPr="00E57851" w:rsidRDefault="00695550" w:rsidP="003E7E90"/>
    <w:p w14:paraId="70BC568B" w14:textId="30402503" w:rsidR="00695550" w:rsidRDefault="00695550" w:rsidP="00695550">
      <w:pPr>
        <w:pStyle w:val="Heading1"/>
      </w:pPr>
      <w:bookmarkStart w:id="260" w:name="_12.2_Pricing_for"/>
      <w:bookmarkStart w:id="261" w:name="_Toc13567485"/>
      <w:bookmarkEnd w:id="260"/>
      <w:r>
        <w:lastRenderedPageBreak/>
        <w:t>Attachments</w:t>
      </w:r>
      <w:bookmarkEnd w:id="261"/>
    </w:p>
    <w:p w14:paraId="6E06C0AE" w14:textId="77777777" w:rsidR="00FB53CC" w:rsidRPr="004D3F15" w:rsidRDefault="00FB53CC" w:rsidP="00FB53CC">
      <w:pPr>
        <w:rPr>
          <w:lang w:eastAsia="en-AU"/>
        </w:rPr>
      </w:pPr>
      <w:r w:rsidRPr="004D3F15">
        <w:rPr>
          <w:lang w:eastAsia="en-AU"/>
        </w:rPr>
        <w:t xml:space="preserve">Attachment </w:t>
      </w:r>
      <w:r>
        <w:rPr>
          <w:lang w:eastAsia="en-AU"/>
        </w:rPr>
        <w:t>1</w:t>
      </w:r>
      <w:r w:rsidRPr="004D3F15">
        <w:rPr>
          <w:lang w:eastAsia="en-AU"/>
        </w:rPr>
        <w:t xml:space="preserve"> – Texas Workforce Commission - Terms &amp; Conditions</w:t>
      </w:r>
    </w:p>
    <w:p w14:paraId="141AD5BD" w14:textId="77777777" w:rsidR="00FB53CC" w:rsidRPr="00E21848" w:rsidRDefault="00FB53CC" w:rsidP="00FB53CC">
      <w:pPr>
        <w:rPr>
          <w:lang w:eastAsia="en-AU"/>
        </w:rPr>
      </w:pPr>
      <w:r w:rsidRPr="00E21848">
        <w:rPr>
          <w:lang w:eastAsia="en-AU"/>
        </w:rPr>
        <w:t xml:space="preserve">Attachment </w:t>
      </w:r>
      <w:r>
        <w:rPr>
          <w:lang w:eastAsia="en-AU"/>
        </w:rPr>
        <w:t>2</w:t>
      </w:r>
      <w:r w:rsidRPr="00E21848">
        <w:rPr>
          <w:lang w:eastAsia="en-AU"/>
        </w:rPr>
        <w:t xml:space="preserve"> – </w:t>
      </w:r>
      <w:r>
        <w:rPr>
          <w:lang w:eastAsia="en-AU"/>
        </w:rPr>
        <w:t>Offeror</w:t>
      </w:r>
      <w:r w:rsidRPr="00E21848">
        <w:rPr>
          <w:lang w:eastAsia="en-AU"/>
        </w:rPr>
        <w:t xml:space="preserve"> Agreement</w:t>
      </w:r>
    </w:p>
    <w:p w14:paraId="64867752" w14:textId="77777777" w:rsidR="00FB53CC" w:rsidRPr="00E21848" w:rsidRDefault="00FB53CC" w:rsidP="00FB53CC">
      <w:pPr>
        <w:rPr>
          <w:lang w:eastAsia="en-AU"/>
        </w:rPr>
      </w:pPr>
      <w:r w:rsidRPr="00E21848">
        <w:rPr>
          <w:lang w:eastAsia="en-AU"/>
        </w:rPr>
        <w:t xml:space="preserve">Attachment </w:t>
      </w:r>
      <w:r>
        <w:rPr>
          <w:lang w:eastAsia="en-AU"/>
        </w:rPr>
        <w:t>3</w:t>
      </w:r>
      <w:r w:rsidRPr="00E21848">
        <w:rPr>
          <w:lang w:eastAsia="en-AU"/>
        </w:rPr>
        <w:t xml:space="preserve"> – </w:t>
      </w:r>
      <w:r>
        <w:rPr>
          <w:lang w:eastAsia="en-AU"/>
        </w:rPr>
        <w:t>Offeror</w:t>
      </w:r>
      <w:r w:rsidRPr="00E21848">
        <w:rPr>
          <w:lang w:eastAsia="en-AU"/>
        </w:rPr>
        <w:t xml:space="preserve"> Questions &amp; Answers Template</w:t>
      </w:r>
    </w:p>
    <w:p w14:paraId="19817C2B" w14:textId="26ADD434" w:rsidR="00CC154A" w:rsidRDefault="00CC154A" w:rsidP="00CC154A">
      <w:r w:rsidRPr="008259A9">
        <w:rPr>
          <w:lang w:eastAsia="en-AU"/>
        </w:rPr>
        <w:t xml:space="preserve">Attachment </w:t>
      </w:r>
      <w:r w:rsidR="006B0DF4">
        <w:rPr>
          <w:lang w:eastAsia="en-AU"/>
        </w:rPr>
        <w:t>4</w:t>
      </w:r>
      <w:r w:rsidRPr="008259A9">
        <w:rPr>
          <w:lang w:eastAsia="en-AU"/>
        </w:rPr>
        <w:t xml:space="preserve"> – </w:t>
      </w:r>
      <w:r>
        <w:rPr>
          <w:lang w:eastAsia="en-AU"/>
        </w:rPr>
        <w:t>Deliverables Expectations Document</w:t>
      </w:r>
    </w:p>
    <w:p w14:paraId="3FD2A88A" w14:textId="49F70B8C" w:rsidR="00CC154A" w:rsidRPr="008259A9" w:rsidRDefault="0035658E" w:rsidP="00CC154A">
      <w:pPr>
        <w:rPr>
          <w:lang w:eastAsia="en-AU"/>
        </w:rPr>
      </w:pPr>
      <w:r>
        <w:rPr>
          <w:lang w:eastAsia="en-AU"/>
        </w:rPr>
        <w:t>Attachment 5</w:t>
      </w:r>
      <w:r w:rsidR="00CC154A" w:rsidRPr="008259A9">
        <w:rPr>
          <w:lang w:eastAsia="en-AU"/>
        </w:rPr>
        <w:t xml:space="preserve"> – </w:t>
      </w:r>
      <w:r w:rsidR="00CC154A">
        <w:rPr>
          <w:lang w:eastAsia="en-AU"/>
        </w:rPr>
        <w:t>UI</w:t>
      </w:r>
      <w:r w:rsidR="00CC154A" w:rsidRPr="008259A9">
        <w:rPr>
          <w:lang w:eastAsia="en-AU"/>
        </w:rPr>
        <w:t xml:space="preserve"> Requirements and Response Sheet</w:t>
      </w:r>
    </w:p>
    <w:p w14:paraId="6CE20B8E" w14:textId="37C95911" w:rsidR="00CC154A" w:rsidRDefault="0035658E" w:rsidP="00FB53CC">
      <w:pPr>
        <w:rPr>
          <w:lang w:eastAsia="en-AU"/>
        </w:rPr>
      </w:pPr>
      <w:r>
        <w:rPr>
          <w:lang w:eastAsia="en-AU"/>
        </w:rPr>
        <w:t>Attachment 6</w:t>
      </w:r>
      <w:r w:rsidR="00CC154A">
        <w:rPr>
          <w:lang w:eastAsia="en-AU"/>
        </w:rPr>
        <w:t xml:space="preserve"> – UI Process Descriptions</w:t>
      </w:r>
    </w:p>
    <w:p w14:paraId="4F2594A2" w14:textId="77777777" w:rsidR="002C793C" w:rsidRPr="008259A9" w:rsidRDefault="002C793C" w:rsidP="002C793C">
      <w:pPr>
        <w:rPr>
          <w:lang w:eastAsia="en-AU"/>
        </w:rPr>
      </w:pPr>
      <w:r>
        <w:rPr>
          <w:lang w:eastAsia="en-AU"/>
        </w:rPr>
        <w:t>Attachment 7 – U</w:t>
      </w:r>
      <w:r w:rsidRPr="008259A9">
        <w:rPr>
          <w:lang w:eastAsia="en-AU"/>
        </w:rPr>
        <w:t>I Interface Summary</w:t>
      </w:r>
    </w:p>
    <w:p w14:paraId="6FC3F95E" w14:textId="77777777" w:rsidR="002C793C" w:rsidRPr="008259A9" w:rsidRDefault="002C793C" w:rsidP="002C793C">
      <w:pPr>
        <w:rPr>
          <w:lang w:eastAsia="en-AU"/>
        </w:rPr>
      </w:pPr>
      <w:r>
        <w:rPr>
          <w:lang w:eastAsia="en-AU"/>
        </w:rPr>
        <w:t>Attachment 8</w:t>
      </w:r>
      <w:r w:rsidRPr="008259A9">
        <w:rPr>
          <w:lang w:eastAsia="en-AU"/>
        </w:rPr>
        <w:t xml:space="preserve"> – </w:t>
      </w:r>
      <w:r>
        <w:rPr>
          <w:lang w:eastAsia="en-AU"/>
        </w:rPr>
        <w:t>UI</w:t>
      </w:r>
      <w:r w:rsidRPr="008259A9">
        <w:rPr>
          <w:lang w:eastAsia="en-AU"/>
        </w:rPr>
        <w:t xml:space="preserve"> </w:t>
      </w:r>
      <w:r>
        <w:rPr>
          <w:lang w:eastAsia="en-AU"/>
        </w:rPr>
        <w:t>Report</w:t>
      </w:r>
      <w:r w:rsidRPr="008259A9">
        <w:rPr>
          <w:lang w:eastAsia="en-AU"/>
        </w:rPr>
        <w:t xml:space="preserve"> Summary</w:t>
      </w:r>
    </w:p>
    <w:p w14:paraId="541E44DE" w14:textId="52AE07BA" w:rsidR="00CC154A" w:rsidRPr="008259A9" w:rsidRDefault="0035658E" w:rsidP="00CC154A">
      <w:pPr>
        <w:rPr>
          <w:lang w:eastAsia="en-AU"/>
        </w:rPr>
      </w:pPr>
      <w:r>
        <w:rPr>
          <w:lang w:eastAsia="en-AU"/>
        </w:rPr>
        <w:t xml:space="preserve">Attachment </w:t>
      </w:r>
      <w:r w:rsidR="002C793C">
        <w:rPr>
          <w:lang w:eastAsia="en-AU"/>
        </w:rPr>
        <w:t>9</w:t>
      </w:r>
      <w:r w:rsidR="00CC154A">
        <w:rPr>
          <w:lang w:eastAsia="en-AU"/>
        </w:rPr>
        <w:t xml:space="preserve"> – </w:t>
      </w:r>
      <w:r w:rsidR="002C793C">
        <w:rPr>
          <w:lang w:eastAsia="en-AU"/>
        </w:rPr>
        <w:t>Anonymized Sample</w:t>
      </w:r>
    </w:p>
    <w:p w14:paraId="70B862A2" w14:textId="77777777" w:rsidR="00A90114" w:rsidRPr="008259A9" w:rsidRDefault="00A90114" w:rsidP="00A90114">
      <w:pPr>
        <w:rPr>
          <w:lang w:eastAsia="en-AU"/>
        </w:rPr>
      </w:pPr>
      <w:r>
        <w:rPr>
          <w:lang w:eastAsia="en-AU"/>
        </w:rPr>
        <w:t>Attachment 10</w:t>
      </w:r>
      <w:r w:rsidRPr="008259A9">
        <w:rPr>
          <w:lang w:eastAsia="en-AU"/>
        </w:rPr>
        <w:t xml:space="preserve"> – </w:t>
      </w:r>
      <w:r>
        <w:rPr>
          <w:lang w:eastAsia="en-AU"/>
        </w:rPr>
        <w:t>Service Level Agreements</w:t>
      </w:r>
    </w:p>
    <w:p w14:paraId="159C5F75" w14:textId="4BEAA0A2" w:rsidR="00FB53CC" w:rsidRDefault="0035658E" w:rsidP="00FB53CC">
      <w:pPr>
        <w:rPr>
          <w:lang w:eastAsia="en-AU"/>
        </w:rPr>
      </w:pPr>
      <w:r>
        <w:rPr>
          <w:lang w:eastAsia="en-AU"/>
        </w:rPr>
        <w:t xml:space="preserve">Attachment </w:t>
      </w:r>
      <w:r w:rsidR="002C793C">
        <w:rPr>
          <w:lang w:eastAsia="en-AU"/>
        </w:rPr>
        <w:t>1</w:t>
      </w:r>
      <w:r w:rsidR="00A90114">
        <w:rPr>
          <w:lang w:eastAsia="en-AU"/>
        </w:rPr>
        <w:t>1</w:t>
      </w:r>
      <w:r w:rsidR="00FB53CC" w:rsidRPr="008259A9">
        <w:rPr>
          <w:lang w:eastAsia="en-AU"/>
        </w:rPr>
        <w:t xml:space="preserve"> – </w:t>
      </w:r>
      <w:r w:rsidR="00A90114">
        <w:rPr>
          <w:lang w:eastAsia="en-AU"/>
        </w:rPr>
        <w:t>HUB Subcontracting Plan</w:t>
      </w:r>
    </w:p>
    <w:p w14:paraId="03215380" w14:textId="600AA326" w:rsidR="002E03B9" w:rsidRPr="008259A9" w:rsidRDefault="002E03B9" w:rsidP="00FB53CC">
      <w:pPr>
        <w:rPr>
          <w:lang w:eastAsia="en-AU"/>
        </w:rPr>
      </w:pPr>
      <w:r>
        <w:rPr>
          <w:lang w:eastAsia="en-AU"/>
        </w:rPr>
        <w:t>Attachment 12 – Pricing</w:t>
      </w:r>
    </w:p>
    <w:p w14:paraId="7528308F" w14:textId="77777777" w:rsidR="00C175BE" w:rsidRPr="008259A9" w:rsidRDefault="00C175BE" w:rsidP="002C6610">
      <w:pPr>
        <w:rPr>
          <w:lang w:eastAsia="en-AU"/>
        </w:rPr>
      </w:pPr>
    </w:p>
    <w:p w14:paraId="21DBE6FF" w14:textId="77777777" w:rsidR="00C175BE" w:rsidRPr="008259A9" w:rsidRDefault="00C175BE" w:rsidP="002C6610">
      <w:pPr>
        <w:rPr>
          <w:lang w:eastAsia="en-AU"/>
        </w:rPr>
        <w:sectPr w:rsidR="00C175BE" w:rsidRPr="008259A9" w:rsidSect="00C6186B">
          <w:headerReference w:type="default" r:id="rId44"/>
          <w:footerReference w:type="default" r:id="rId45"/>
          <w:headerReference w:type="first" r:id="rId46"/>
          <w:footerReference w:type="first" r:id="rId47"/>
          <w:pgSz w:w="12240" w:h="15840" w:code="1"/>
          <w:pgMar w:top="720" w:right="720" w:bottom="720" w:left="720" w:header="720" w:footer="432" w:gutter="0"/>
          <w:cols w:space="187"/>
          <w:docGrid w:linePitch="326"/>
        </w:sectPr>
      </w:pPr>
    </w:p>
    <w:p w14:paraId="643EC8E8" w14:textId="0E74C0BB" w:rsidR="00CD4CE3" w:rsidRPr="004D3F15" w:rsidRDefault="00CD4CE3" w:rsidP="00CD4CE3">
      <w:pPr>
        <w:pStyle w:val="Heading2"/>
        <w:rPr>
          <w:lang w:eastAsia="en-AU"/>
        </w:rPr>
      </w:pPr>
      <w:bookmarkStart w:id="262" w:name="_Attachment_1_–"/>
      <w:bookmarkStart w:id="263" w:name="_Toc536710171"/>
      <w:bookmarkStart w:id="264" w:name="_Toc13567486"/>
      <w:bookmarkEnd w:id="262"/>
      <w:r w:rsidRPr="004D3F15">
        <w:rPr>
          <w:lang w:eastAsia="en-AU"/>
        </w:rPr>
        <w:lastRenderedPageBreak/>
        <w:t xml:space="preserve">Attachment </w:t>
      </w:r>
      <w:r>
        <w:rPr>
          <w:lang w:eastAsia="en-AU"/>
        </w:rPr>
        <w:t>1</w:t>
      </w:r>
      <w:r w:rsidRPr="004D3F15">
        <w:rPr>
          <w:lang w:eastAsia="en-AU"/>
        </w:rPr>
        <w:t xml:space="preserve"> – </w:t>
      </w:r>
      <w:r w:rsidR="00AE63F4">
        <w:rPr>
          <w:lang w:eastAsia="en-AU"/>
        </w:rPr>
        <w:t>TWC</w:t>
      </w:r>
      <w:r w:rsidRPr="004D3F15">
        <w:rPr>
          <w:lang w:eastAsia="en-AU"/>
        </w:rPr>
        <w:t xml:space="preserve"> - Terms &amp; Conditions</w:t>
      </w:r>
      <w:bookmarkEnd w:id="263"/>
      <w:r w:rsidR="00AE63F4">
        <w:rPr>
          <w:lang w:eastAsia="en-AU"/>
        </w:rPr>
        <w:t xml:space="preserve"> (6/28/19)</w:t>
      </w:r>
      <w:bookmarkEnd w:id="264"/>
    </w:p>
    <w:p w14:paraId="7D07BA1A" w14:textId="1C04EC6B" w:rsidR="00A042DE" w:rsidRPr="0094526F" w:rsidRDefault="00387565" w:rsidP="00F41FB2">
      <w:pPr>
        <w:tabs>
          <w:tab w:val="left" w:pos="3960"/>
        </w:tabs>
        <w:spacing w:after="0"/>
        <w:ind w:left="0"/>
        <w:jc w:val="both"/>
        <w:rPr>
          <w:rFonts w:ascii="Times New Roman" w:hAnsi="Times New Roman"/>
          <w:spacing w:val="-1"/>
          <w:sz w:val="18"/>
          <w:szCs w:val="18"/>
          <w:lang w:val="x-none" w:eastAsia="x-none"/>
        </w:rPr>
      </w:pPr>
      <w:r>
        <w:rPr>
          <w:rFonts w:ascii="Times New Roman" w:eastAsia="Times New Roman" w:hAnsi="Times New Roman" w:cs="Times New Roman"/>
          <w:spacing w:val="-1"/>
          <w:sz w:val="18"/>
          <w:szCs w:val="18"/>
          <w:lang w:val="x-none" w:eastAsia="x-none"/>
        </w:rPr>
        <w:t>By responding to the solicitation or fulfilling the awarded Purchase Order (PO), the Vendor agrees to the terms and conditions below, which apply to and become a part of every Texas Workforce Commission (TWC) purchase.  Only mutual written exceptions will be valid.  Where a purchase is made without the Invitation for Bids (IFB); Request for Offers (RFO) or Request for Proposals (RFP) process, “IFB</w:t>
      </w:r>
      <w:r w:rsidR="00FD3A0F">
        <w:rPr>
          <w:rFonts w:ascii="Times New Roman" w:eastAsia="Times New Roman" w:hAnsi="Times New Roman" w:cs="Times New Roman"/>
          <w:spacing w:val="-1"/>
          <w:sz w:val="18"/>
          <w:szCs w:val="18"/>
          <w:lang w:eastAsia="x-none"/>
        </w:rPr>
        <w:t>/</w:t>
      </w:r>
      <w:r>
        <w:rPr>
          <w:rFonts w:ascii="Times New Roman" w:eastAsia="Times New Roman" w:hAnsi="Times New Roman" w:cs="Times New Roman"/>
          <w:spacing w:val="-1"/>
          <w:sz w:val="18"/>
          <w:szCs w:val="18"/>
          <w:lang w:val="x-none" w:eastAsia="x-none"/>
        </w:rPr>
        <w:t>RFO/RFP” equates to “Purchase Order” and “Bidder/ Offeror/Proposer” equates to “Vendor”.  Any speci</w:t>
      </w:r>
      <w:r>
        <w:rPr>
          <w:rFonts w:ascii="Times New Roman" w:eastAsia="Times New Roman" w:hAnsi="Times New Roman" w:cs="Times New Roman"/>
          <w:spacing w:val="-1"/>
          <w:sz w:val="18"/>
          <w:szCs w:val="18"/>
          <w:lang w:val="x-none" w:eastAsia="x-none"/>
        </w:rPr>
        <w:softHyphen/>
        <w:t>fication in the solicitation that is in conflict with these standard terms and conditions takes precedence.  All references to “days” shall be calendar days unless specified otherwise</w:t>
      </w:r>
      <w:r w:rsidR="00A042DE" w:rsidRPr="0094526F">
        <w:rPr>
          <w:rFonts w:ascii="Times New Roman" w:hAnsi="Times New Roman"/>
          <w:spacing w:val="-1"/>
          <w:sz w:val="18"/>
          <w:szCs w:val="18"/>
          <w:lang w:val="x-none" w:eastAsia="x-none"/>
        </w:rPr>
        <w:t>.</w:t>
      </w:r>
    </w:p>
    <w:p w14:paraId="2C7B7434" w14:textId="77777777" w:rsidR="00A042DE" w:rsidRPr="00BD66F6" w:rsidRDefault="00A042DE" w:rsidP="00F41FB2">
      <w:pPr>
        <w:pBdr>
          <w:top w:val="single" w:sz="4" w:space="1" w:color="auto"/>
          <w:bottom w:val="single" w:sz="4" w:space="1" w:color="auto"/>
        </w:pBdr>
        <w:tabs>
          <w:tab w:val="left" w:pos="396"/>
          <w:tab w:val="left" w:pos="3708"/>
        </w:tabs>
        <w:ind w:left="0"/>
        <w:rPr>
          <w:rFonts w:ascii="Times New Roman" w:hAnsi="Times New Roman"/>
          <w:b/>
          <w:spacing w:val="-1"/>
          <w:sz w:val="18"/>
          <w:szCs w:val="18"/>
        </w:rPr>
      </w:pPr>
      <w:r w:rsidRPr="0094526F">
        <w:rPr>
          <w:rFonts w:ascii="Times New Roman" w:hAnsi="Times New Roman"/>
          <w:b/>
          <w:spacing w:val="-1"/>
          <w:sz w:val="18"/>
          <w:szCs w:val="18"/>
        </w:rPr>
        <w:t>1.</w:t>
      </w:r>
      <w:r w:rsidRPr="0094526F">
        <w:rPr>
          <w:rFonts w:ascii="Times New Roman" w:hAnsi="Times New Roman"/>
          <w:b/>
          <w:spacing w:val="-1"/>
          <w:sz w:val="18"/>
          <w:szCs w:val="18"/>
        </w:rPr>
        <w:tab/>
      </w:r>
      <w:r w:rsidRPr="00BD66F6">
        <w:rPr>
          <w:rFonts w:ascii="Times New Roman" w:hAnsi="Times New Roman"/>
          <w:b/>
          <w:spacing w:val="-1"/>
          <w:sz w:val="18"/>
          <w:szCs w:val="18"/>
        </w:rPr>
        <w:t>SOLICITATION RESPONSE REQUIREMENTS</w:t>
      </w:r>
    </w:p>
    <w:p w14:paraId="0E06F4F2" w14:textId="77777777" w:rsidR="00387565" w:rsidRDefault="00387565" w:rsidP="00387565">
      <w:pPr>
        <w:numPr>
          <w:ilvl w:val="1"/>
          <w:numId w:val="11"/>
        </w:numPr>
        <w:tabs>
          <w:tab w:val="left" w:pos="396"/>
          <w:tab w:val="left" w:pos="3708"/>
        </w:tabs>
        <w:spacing w:after="0"/>
        <w:jc w:val="both"/>
        <w:rPr>
          <w:rFonts w:ascii="Times New Roman" w:eastAsia="Times New Roman" w:hAnsi="Times New Roman" w:cs="Times New Roman"/>
          <w:spacing w:val="-1"/>
          <w:sz w:val="18"/>
          <w:szCs w:val="18"/>
        </w:rPr>
      </w:pPr>
      <w:r>
        <w:rPr>
          <w:rFonts w:ascii="Times New Roman" w:eastAsia="Times New Roman" w:hAnsi="Times New Roman" w:cs="Times New Roman"/>
          <w:b/>
          <w:spacing w:val="-1"/>
          <w:sz w:val="18"/>
          <w:szCs w:val="18"/>
        </w:rPr>
        <w:t>Written Specifications</w:t>
      </w:r>
      <w:r>
        <w:rPr>
          <w:rFonts w:ascii="Times New Roman" w:eastAsia="Times New Roman" w:hAnsi="Times New Roman" w:cs="Times New Roman"/>
          <w:spacing w:val="-1"/>
          <w:sz w:val="18"/>
          <w:szCs w:val="18"/>
        </w:rPr>
        <w:t>: TWC will not be bound by any oral statement or representation contrary to the written specifications contained in the solicitation.</w:t>
      </w:r>
      <w:r>
        <w:rPr>
          <w:rFonts w:ascii="Times New Roman" w:eastAsia="Times New Roman" w:hAnsi="Times New Roman" w:cs="Times New Roman"/>
          <w:b/>
          <w:spacing w:val="-1"/>
          <w:sz w:val="18"/>
          <w:szCs w:val="18"/>
        </w:rPr>
        <w:t xml:space="preserve"> </w:t>
      </w:r>
    </w:p>
    <w:p w14:paraId="3BEF9579" w14:textId="77777777" w:rsidR="00387565" w:rsidRDefault="00387565" w:rsidP="00387565">
      <w:pPr>
        <w:numPr>
          <w:ilvl w:val="1"/>
          <w:numId w:val="11"/>
        </w:numPr>
        <w:tabs>
          <w:tab w:val="left" w:pos="396"/>
          <w:tab w:val="left" w:pos="3708"/>
        </w:tabs>
        <w:spacing w:after="0"/>
        <w:jc w:val="both"/>
        <w:rPr>
          <w:rFonts w:ascii="Times New Roman" w:eastAsia="Times New Roman" w:hAnsi="Times New Roman" w:cs="Times New Roman"/>
          <w:spacing w:val="-1"/>
          <w:sz w:val="18"/>
          <w:szCs w:val="18"/>
        </w:rPr>
      </w:pPr>
      <w:r>
        <w:rPr>
          <w:rFonts w:ascii="Times New Roman" w:eastAsia="Times New Roman" w:hAnsi="Times New Roman" w:cs="Times New Roman"/>
          <w:b/>
          <w:spacing w:val="-1"/>
          <w:sz w:val="18"/>
          <w:szCs w:val="18"/>
        </w:rPr>
        <w:t>Incomplete Responses:</w:t>
      </w:r>
      <w:r>
        <w:rPr>
          <w:rFonts w:ascii="Times New Roman" w:eastAsia="Times New Roman" w:hAnsi="Times New Roman" w:cs="Times New Roman"/>
          <w:spacing w:val="-1"/>
          <w:sz w:val="18"/>
          <w:szCs w:val="18"/>
        </w:rPr>
        <w:t xml:space="preserve"> Late, illegible, incomplete and/or unsigned responses may be deemed non</w:t>
      </w:r>
      <w:r>
        <w:rPr>
          <w:rFonts w:ascii="Times New Roman" w:eastAsia="Times New Roman" w:hAnsi="Times New Roman" w:cs="Times New Roman"/>
          <w:b/>
          <w:spacing w:val="-1"/>
          <w:sz w:val="18"/>
          <w:szCs w:val="18"/>
        </w:rPr>
        <w:t>-</w:t>
      </w:r>
      <w:r>
        <w:rPr>
          <w:rFonts w:ascii="Times New Roman" w:eastAsia="Times New Roman" w:hAnsi="Times New Roman" w:cs="Times New Roman"/>
          <w:spacing w:val="-1"/>
          <w:sz w:val="18"/>
          <w:szCs w:val="18"/>
        </w:rPr>
        <w:t>responsive and may not be considered.</w:t>
      </w:r>
    </w:p>
    <w:p w14:paraId="71460737" w14:textId="77777777" w:rsidR="00387565" w:rsidRDefault="00387565" w:rsidP="00387565">
      <w:pPr>
        <w:numPr>
          <w:ilvl w:val="1"/>
          <w:numId w:val="11"/>
        </w:numPr>
        <w:tabs>
          <w:tab w:val="left" w:pos="396"/>
          <w:tab w:val="left" w:pos="3996"/>
        </w:tabs>
        <w:spacing w:after="0"/>
        <w:jc w:val="both"/>
        <w:rPr>
          <w:rFonts w:ascii="Times New Roman" w:eastAsia="Times New Roman" w:hAnsi="Times New Roman" w:cs="Times New Roman"/>
          <w:spacing w:val="-1"/>
          <w:sz w:val="18"/>
          <w:szCs w:val="18"/>
        </w:rPr>
      </w:pPr>
      <w:r>
        <w:rPr>
          <w:rFonts w:ascii="Times New Roman" w:eastAsia="Times New Roman" w:hAnsi="Times New Roman" w:cs="Times New Roman"/>
          <w:b/>
          <w:spacing w:val="-1"/>
          <w:sz w:val="18"/>
          <w:szCs w:val="18"/>
        </w:rPr>
        <w:t>Freight:</w:t>
      </w:r>
      <w:r>
        <w:rPr>
          <w:rFonts w:ascii="Times New Roman" w:eastAsia="Times New Roman" w:hAnsi="Times New Roman" w:cs="Times New Roman"/>
          <w:spacing w:val="-1"/>
          <w:sz w:val="18"/>
          <w:szCs w:val="18"/>
        </w:rPr>
        <w:t xml:space="preserve"> Prices quoted are to include freight prepaid, F.O.B. Destination (Free on Board).  Enter unit price on quantity and unit of measure specified - extend and show total.  In case of errors in extension, unit prices shall govern.</w:t>
      </w:r>
    </w:p>
    <w:p w14:paraId="268FB507" w14:textId="77777777" w:rsidR="00387565" w:rsidRDefault="00387565" w:rsidP="00387565">
      <w:pPr>
        <w:numPr>
          <w:ilvl w:val="1"/>
          <w:numId w:val="11"/>
        </w:numPr>
        <w:tabs>
          <w:tab w:val="left" w:pos="396"/>
          <w:tab w:val="left" w:pos="3708"/>
        </w:tabs>
        <w:spacing w:after="0"/>
        <w:jc w:val="both"/>
        <w:rPr>
          <w:rFonts w:ascii="Times New Roman" w:eastAsia="Times New Roman" w:hAnsi="Times New Roman" w:cs="Times New Roman"/>
          <w:spacing w:val="-1"/>
          <w:sz w:val="18"/>
          <w:szCs w:val="18"/>
        </w:rPr>
      </w:pPr>
      <w:r>
        <w:rPr>
          <w:rFonts w:ascii="Times New Roman" w:eastAsia="Times New Roman" w:hAnsi="Times New Roman" w:cs="Times New Roman"/>
          <w:b/>
          <w:spacing w:val="-1"/>
          <w:sz w:val="18"/>
          <w:szCs w:val="18"/>
        </w:rPr>
        <w:t xml:space="preserve">Firm Pricing: </w:t>
      </w:r>
      <w:r>
        <w:rPr>
          <w:rFonts w:ascii="Times New Roman" w:eastAsia="Times New Roman" w:hAnsi="Times New Roman" w:cs="Times New Roman"/>
          <w:spacing w:val="-1"/>
          <w:sz w:val="18"/>
          <w:szCs w:val="18"/>
        </w:rPr>
        <w:t>Prices</w:t>
      </w:r>
      <w:r>
        <w:rPr>
          <w:rFonts w:ascii="Times New Roman" w:eastAsia="Times New Roman" w:hAnsi="Times New Roman" w:cs="Times New Roman"/>
          <w:b/>
          <w:spacing w:val="-1"/>
          <w:sz w:val="18"/>
          <w:szCs w:val="18"/>
        </w:rPr>
        <w:t xml:space="preserve"> </w:t>
      </w:r>
      <w:r>
        <w:rPr>
          <w:rFonts w:ascii="Times New Roman" w:eastAsia="Times New Roman" w:hAnsi="Times New Roman" w:cs="Times New Roman"/>
          <w:spacing w:val="-1"/>
          <w:sz w:val="18"/>
          <w:szCs w:val="18"/>
        </w:rPr>
        <w:t>submitted are expected to be firm for TWC acceptance for thirty (30) days from the solicitation deadline.  "Discount from list" offers are not acceptable unless specifically requested. Cash discounts will not be considered in determining the low offer.  All cash discounts submitted will be taken if earned.</w:t>
      </w:r>
      <w:r>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Prices must remain firm for the duration of the term of the PO/contract.</w:t>
      </w:r>
    </w:p>
    <w:p w14:paraId="7220A4AF" w14:textId="77777777" w:rsidR="00387565" w:rsidRDefault="00387565" w:rsidP="00387565">
      <w:pPr>
        <w:numPr>
          <w:ilvl w:val="1"/>
          <w:numId w:val="11"/>
        </w:numPr>
        <w:tabs>
          <w:tab w:val="left" w:pos="396"/>
          <w:tab w:val="left" w:pos="3708"/>
        </w:tabs>
        <w:spacing w:after="0"/>
        <w:jc w:val="both"/>
        <w:rPr>
          <w:rFonts w:ascii="Times New Roman" w:eastAsia="Times New Roman" w:hAnsi="Times New Roman" w:cs="Times New Roman"/>
          <w:spacing w:val="-1"/>
          <w:sz w:val="18"/>
          <w:szCs w:val="18"/>
        </w:rPr>
      </w:pPr>
      <w:r>
        <w:rPr>
          <w:rFonts w:ascii="Times New Roman" w:eastAsia="Times New Roman" w:hAnsi="Times New Roman" w:cs="Times New Roman"/>
          <w:b/>
          <w:spacing w:val="-1"/>
          <w:sz w:val="18"/>
          <w:szCs w:val="18"/>
        </w:rPr>
        <w:t>Ties</w:t>
      </w:r>
      <w:r>
        <w:rPr>
          <w:rFonts w:ascii="Times New Roman" w:eastAsia="Times New Roman" w:hAnsi="Times New Roman" w:cs="Times New Roman"/>
          <w:spacing w:val="-1"/>
          <w:sz w:val="18"/>
          <w:szCs w:val="18"/>
        </w:rPr>
        <w:t>: In the case of tie bids, the award will be made in accordance with the preferences listed under 34 TAC Rule 20.306</w:t>
      </w:r>
    </w:p>
    <w:p w14:paraId="695AB0ED" w14:textId="77777777" w:rsidR="00387565" w:rsidRDefault="00387565" w:rsidP="00387565">
      <w:pPr>
        <w:numPr>
          <w:ilvl w:val="1"/>
          <w:numId w:val="11"/>
        </w:numPr>
        <w:tabs>
          <w:tab w:val="left" w:pos="396"/>
          <w:tab w:val="left" w:pos="3708"/>
        </w:tabs>
        <w:spacing w:after="0"/>
        <w:jc w:val="both"/>
        <w:rPr>
          <w:rFonts w:ascii="Times New Roman" w:eastAsia="Times New Roman" w:hAnsi="Times New Roman" w:cs="Times New Roman"/>
          <w:spacing w:val="-1"/>
          <w:sz w:val="18"/>
          <w:szCs w:val="18"/>
        </w:rPr>
      </w:pPr>
      <w:r>
        <w:rPr>
          <w:rFonts w:ascii="Times New Roman" w:eastAsia="Times New Roman" w:hAnsi="Times New Roman" w:cs="Times New Roman"/>
          <w:b/>
          <w:spacing w:val="-1"/>
          <w:sz w:val="18"/>
          <w:szCs w:val="18"/>
        </w:rPr>
        <w:t xml:space="preserve">Preferences:  </w:t>
      </w:r>
      <w:r>
        <w:rPr>
          <w:rFonts w:ascii="Times New Roman" w:eastAsia="Times New Roman" w:hAnsi="Times New Roman" w:cs="Times New Roman"/>
          <w:spacing w:val="-1"/>
          <w:sz w:val="18"/>
          <w:szCs w:val="18"/>
        </w:rPr>
        <w:t>In making an award, TWC shall apply the preferences listed at 34 Texas Administrative Code (TAC) § 20.306.  For purchase or lease of computer equipment TWC shall apply a preference for manufacturers that have a computer recycling program as described in 1 TAC § 217.11.</w:t>
      </w:r>
    </w:p>
    <w:p w14:paraId="57426EE7" w14:textId="77777777" w:rsidR="00387565" w:rsidRDefault="00387565" w:rsidP="00387565">
      <w:pPr>
        <w:widowControl w:val="0"/>
        <w:numPr>
          <w:ilvl w:val="1"/>
          <w:numId w:val="11"/>
        </w:numPr>
        <w:tabs>
          <w:tab w:val="left" w:pos="396"/>
          <w:tab w:val="left" w:pos="3708"/>
        </w:tabs>
        <w:spacing w:after="0"/>
        <w:jc w:val="both"/>
        <w:rPr>
          <w:rFonts w:ascii="Times New Roman" w:eastAsia="Times New Roman" w:hAnsi="Times New Roman" w:cs="Times New Roman"/>
          <w:spacing w:val="-1"/>
          <w:sz w:val="18"/>
          <w:szCs w:val="18"/>
        </w:rPr>
      </w:pPr>
      <w:r>
        <w:rPr>
          <w:rFonts w:ascii="Times New Roman" w:eastAsia="Times New Roman" w:hAnsi="Times New Roman" w:cs="Times New Roman"/>
          <w:b/>
          <w:spacing w:val="-1"/>
          <w:sz w:val="18"/>
          <w:szCs w:val="18"/>
        </w:rPr>
        <w:t>Bid Alteration/Withdrawal:</w:t>
      </w:r>
      <w:r>
        <w:rPr>
          <w:rFonts w:ascii="Times New Roman" w:eastAsia="Times New Roman" w:hAnsi="Times New Roman" w:cs="Times New Roman"/>
          <w:spacing w:val="-1"/>
          <w:sz w:val="18"/>
          <w:szCs w:val="18"/>
        </w:rPr>
        <w:t xml:space="preserve"> A submitted response to a solicitation cannot be altered or amended after the solicitation deadline, except by formal negotiation via the RFO/RFP processes.  Any alteration made before the solicitation deadline is to be initialed by Vendor or the Vendor’s authorized agent. Vendors are not allowed to withdraw their submitted response after the solicitation deadline without approval by TWC.</w:t>
      </w:r>
    </w:p>
    <w:p w14:paraId="2AA588F5" w14:textId="77777777" w:rsidR="00387565" w:rsidRDefault="00387565" w:rsidP="00387565">
      <w:pPr>
        <w:widowControl w:val="0"/>
        <w:numPr>
          <w:ilvl w:val="1"/>
          <w:numId w:val="11"/>
        </w:numPr>
        <w:tabs>
          <w:tab w:val="left" w:pos="396"/>
          <w:tab w:val="left" w:pos="3708"/>
        </w:tabs>
        <w:spacing w:after="0"/>
        <w:jc w:val="both"/>
        <w:rPr>
          <w:rFonts w:ascii="Times New Roman" w:eastAsia="Times New Roman" w:hAnsi="Times New Roman" w:cs="Times New Roman"/>
          <w:spacing w:val="-1"/>
          <w:sz w:val="18"/>
          <w:szCs w:val="18"/>
        </w:rPr>
      </w:pPr>
      <w:r>
        <w:rPr>
          <w:rFonts w:ascii="Times New Roman" w:eastAsia="Times New Roman" w:hAnsi="Times New Roman" w:cs="Times New Roman"/>
          <w:b/>
          <w:spacing w:val="-1"/>
          <w:sz w:val="18"/>
          <w:szCs w:val="18"/>
        </w:rPr>
        <w:t>Rejection of Bids:</w:t>
      </w:r>
      <w:r>
        <w:rPr>
          <w:rFonts w:ascii="Times New Roman" w:eastAsia="Times New Roman" w:hAnsi="Times New Roman" w:cs="Times New Roman"/>
          <w:spacing w:val="-1"/>
          <w:sz w:val="18"/>
          <w:szCs w:val="18"/>
        </w:rPr>
        <w:t xml:space="preserve"> In accordance with Texas Government Code § 2156.008, TWC reserves the right to reject a bid in which there is a material failure to comply with specification requirements. TWC may reject all bids or parts of bids if the rejection serves the state’s best interest.</w:t>
      </w:r>
    </w:p>
    <w:p w14:paraId="2B83EE34" w14:textId="77777777" w:rsidR="00387565" w:rsidRDefault="00387565" w:rsidP="00387565">
      <w:pPr>
        <w:widowControl w:val="0"/>
        <w:numPr>
          <w:ilvl w:val="1"/>
          <w:numId w:val="11"/>
        </w:numPr>
        <w:tabs>
          <w:tab w:val="left" w:pos="396"/>
          <w:tab w:val="left" w:pos="3708"/>
        </w:tabs>
        <w:spacing w:after="0"/>
        <w:jc w:val="both"/>
        <w:rPr>
          <w:rFonts w:ascii="Times New Roman" w:eastAsia="Times New Roman" w:hAnsi="Times New Roman" w:cs="Times New Roman"/>
          <w:spacing w:val="-1"/>
          <w:sz w:val="18"/>
          <w:szCs w:val="18"/>
        </w:rPr>
      </w:pPr>
      <w:r>
        <w:rPr>
          <w:rFonts w:ascii="Times New Roman" w:eastAsia="Times New Roman" w:hAnsi="Times New Roman" w:cs="Times New Roman"/>
          <w:b/>
          <w:spacing w:val="-1"/>
          <w:sz w:val="18"/>
          <w:szCs w:val="18"/>
        </w:rPr>
        <w:t>Tax Exempt:</w:t>
      </w:r>
      <w:r>
        <w:rPr>
          <w:rFonts w:ascii="Times New Roman" w:eastAsia="Times New Roman" w:hAnsi="Times New Roman" w:cs="Times New Roman"/>
          <w:spacing w:val="-1"/>
          <w:sz w:val="18"/>
          <w:szCs w:val="18"/>
        </w:rPr>
        <w:t xml:space="preserve"> Purchases made for State use are exempt from the State Sales tax and Federal Excise tax.  Do not include tax in bid. Excise Tax Exemption Certificates are available upon request.</w:t>
      </w:r>
    </w:p>
    <w:p w14:paraId="7F561A80" w14:textId="77777777" w:rsidR="00387565" w:rsidRDefault="00387565" w:rsidP="00387565">
      <w:pPr>
        <w:widowControl w:val="0"/>
        <w:numPr>
          <w:ilvl w:val="1"/>
          <w:numId w:val="11"/>
        </w:numPr>
        <w:tabs>
          <w:tab w:val="left" w:pos="396"/>
          <w:tab w:val="left" w:pos="3708"/>
        </w:tabs>
        <w:spacing w:after="0"/>
        <w:jc w:val="both"/>
        <w:rPr>
          <w:rFonts w:ascii="Times New Roman" w:eastAsia="Times New Roman" w:hAnsi="Times New Roman" w:cs="Times New Roman"/>
          <w:spacing w:val="-1"/>
          <w:sz w:val="18"/>
          <w:szCs w:val="18"/>
        </w:rPr>
      </w:pPr>
      <w:r>
        <w:rPr>
          <w:rFonts w:ascii="Times New Roman" w:eastAsia="Times New Roman" w:hAnsi="Times New Roman" w:cs="Times New Roman"/>
          <w:b/>
          <w:sz w:val="18"/>
          <w:szCs w:val="18"/>
        </w:rPr>
        <w:t>Other Entities:</w:t>
      </w:r>
      <w:r>
        <w:rPr>
          <w:rFonts w:ascii="Times New Roman" w:eastAsia="Times New Roman" w:hAnsi="Times New Roman" w:cs="Times New Roman"/>
          <w:sz w:val="18"/>
          <w:szCs w:val="18"/>
        </w:rPr>
        <w:t xml:space="preserve"> TWC requests that the Vendor extends the same contract prices and conditions to Local Workforce Development Boards (LWDB) and Child Care Management Services (CCMS) entities contractually linked with TWC if awarded the contract.</w:t>
      </w:r>
    </w:p>
    <w:p w14:paraId="2543A9FF" w14:textId="77777777" w:rsidR="00387565" w:rsidRDefault="00387565" w:rsidP="00387565">
      <w:pPr>
        <w:widowControl w:val="0"/>
        <w:numPr>
          <w:ilvl w:val="1"/>
          <w:numId w:val="11"/>
        </w:numPr>
        <w:tabs>
          <w:tab w:val="left" w:pos="396"/>
          <w:tab w:val="left" w:pos="3708"/>
        </w:tabs>
        <w:spacing w:after="0"/>
        <w:jc w:val="both"/>
        <w:rPr>
          <w:rFonts w:ascii="Times New Roman" w:eastAsia="Times New Roman" w:hAnsi="Times New Roman" w:cs="Times New Roman"/>
          <w:sz w:val="18"/>
          <w:szCs w:val="18"/>
          <w:lang w:val="x-none" w:eastAsia="x-none"/>
        </w:rPr>
      </w:pPr>
      <w:r>
        <w:rPr>
          <w:rFonts w:ascii="Times New Roman" w:eastAsia="Times New Roman" w:hAnsi="Times New Roman" w:cs="Times New Roman"/>
          <w:b/>
          <w:sz w:val="18"/>
          <w:szCs w:val="18"/>
          <w:lang w:val="x-none" w:eastAsia="x-none"/>
        </w:rPr>
        <w:t>Identify All Parties:</w:t>
      </w:r>
      <w:r>
        <w:rPr>
          <w:rFonts w:ascii="Times New Roman" w:eastAsia="Times New Roman" w:hAnsi="Times New Roman" w:cs="Times New Roman"/>
          <w:sz w:val="18"/>
          <w:szCs w:val="18"/>
          <w:lang w:val="x-none" w:eastAsia="x-none"/>
        </w:rPr>
        <w:t xml:space="preserve"> TWC requires all business partners, equipment, support or maintenance providers who will perform under an awarded contract to be identified prior to contract award for TWC approval.  Substitutions of providers shall be submitted in writing for TWC approval during the term of the agreement.</w:t>
      </w:r>
    </w:p>
    <w:p w14:paraId="502BBEF5" w14:textId="2FDD5B1A" w:rsidR="00A042DE" w:rsidRPr="00BD66F6" w:rsidRDefault="00387565" w:rsidP="00387565">
      <w:pPr>
        <w:widowControl w:val="0"/>
        <w:numPr>
          <w:ilvl w:val="1"/>
          <w:numId w:val="11"/>
        </w:numPr>
        <w:tabs>
          <w:tab w:val="left" w:pos="396"/>
          <w:tab w:val="left" w:pos="3708"/>
        </w:tabs>
        <w:spacing w:after="0"/>
        <w:jc w:val="both"/>
        <w:rPr>
          <w:rFonts w:ascii="Times New Roman" w:hAnsi="Times New Roman"/>
          <w:sz w:val="18"/>
          <w:szCs w:val="18"/>
          <w:lang w:val="x-none" w:eastAsia="x-none"/>
        </w:rPr>
      </w:pPr>
      <w:r>
        <w:rPr>
          <w:rFonts w:ascii="Times New Roman" w:eastAsia="Times New Roman" w:hAnsi="Times New Roman" w:cs="Times New Roman"/>
          <w:b/>
          <w:sz w:val="18"/>
          <w:szCs w:val="18"/>
          <w:lang w:val="x-none" w:eastAsia="x-none"/>
        </w:rPr>
        <w:t>No Travel:</w:t>
      </w:r>
      <w:r>
        <w:rPr>
          <w:rFonts w:ascii="Times New Roman" w:eastAsia="Times New Roman" w:hAnsi="Times New Roman" w:cs="Times New Roman"/>
          <w:sz w:val="18"/>
          <w:szCs w:val="18"/>
          <w:lang w:val="x-none" w:eastAsia="x-none"/>
        </w:rPr>
        <w:t xml:space="preserve"> TWC will not reimburse a Vendor for travel and expenses unless specifically provided for in the contract documents.  In that event, such reimbursement will not exceed the state travel reimbursement rates and limits established by the then current General Appropriations Act.</w:t>
      </w:r>
    </w:p>
    <w:p w14:paraId="3DB8D84A" w14:textId="77777777" w:rsidR="00F41FB2" w:rsidRPr="004F565C" w:rsidRDefault="00F41FB2" w:rsidP="00F407CA">
      <w:pPr>
        <w:pStyle w:val="ListParagraph"/>
        <w:numPr>
          <w:ilvl w:val="0"/>
          <w:numId w:val="11"/>
        </w:numPr>
        <w:pBdr>
          <w:top w:val="single" w:sz="4" w:space="1" w:color="auto"/>
          <w:bottom w:val="single" w:sz="4" w:space="1" w:color="auto"/>
        </w:pBdr>
        <w:tabs>
          <w:tab w:val="left" w:pos="396"/>
          <w:tab w:val="left" w:pos="3708"/>
        </w:tabs>
        <w:rPr>
          <w:rFonts w:ascii="Times New Roman" w:hAnsi="Times New Roman"/>
          <w:b/>
          <w:spacing w:val="-1"/>
          <w:sz w:val="18"/>
          <w:szCs w:val="18"/>
        </w:rPr>
      </w:pPr>
      <w:r w:rsidRPr="004F565C">
        <w:rPr>
          <w:rFonts w:ascii="Times New Roman" w:hAnsi="Times New Roman"/>
          <w:b/>
          <w:spacing w:val="-1"/>
          <w:sz w:val="18"/>
          <w:szCs w:val="18"/>
        </w:rPr>
        <w:t>GENERAL CONDITIONS</w:t>
      </w:r>
    </w:p>
    <w:p w14:paraId="71C3EB20" w14:textId="77777777" w:rsidR="00387565" w:rsidRDefault="00387565" w:rsidP="00387565">
      <w:pPr>
        <w:widowControl w:val="0"/>
        <w:numPr>
          <w:ilvl w:val="1"/>
          <w:numId w:val="11"/>
        </w:numPr>
        <w:tabs>
          <w:tab w:val="left" w:pos="396"/>
          <w:tab w:val="left" w:pos="3708"/>
        </w:tabs>
        <w:spacing w:after="0"/>
        <w:jc w:val="both"/>
        <w:rPr>
          <w:rFonts w:ascii="Times New Roman" w:eastAsia="Times New Roman" w:hAnsi="Times New Roman" w:cs="Times New Roman"/>
          <w:spacing w:val="-1"/>
          <w:sz w:val="18"/>
          <w:szCs w:val="18"/>
        </w:rPr>
      </w:pPr>
      <w:r>
        <w:rPr>
          <w:rFonts w:ascii="Times New Roman" w:eastAsia="Times New Roman" w:hAnsi="Times New Roman" w:cs="Times New Roman"/>
          <w:b/>
          <w:sz w:val="18"/>
          <w:szCs w:val="18"/>
        </w:rPr>
        <w:t xml:space="preserve">Damage to Grounds and Buildings: </w:t>
      </w:r>
      <w:r>
        <w:rPr>
          <w:rFonts w:ascii="Times New Roman" w:eastAsia="Times New Roman" w:hAnsi="Times New Roman" w:cs="Times New Roman"/>
          <w:sz w:val="18"/>
          <w:szCs w:val="18"/>
        </w:rPr>
        <w:t>Vendor shall be financially responsible for any or all damage done by its employees, agents and subcontractors to the TWC grounds and buildings. Vendor is responsible for the removal of all debris resulting from work performed under the contract.</w:t>
      </w:r>
    </w:p>
    <w:p w14:paraId="04200ECF" w14:textId="77777777" w:rsidR="00387565" w:rsidRDefault="00387565" w:rsidP="00387565">
      <w:pPr>
        <w:widowControl w:val="0"/>
        <w:numPr>
          <w:ilvl w:val="1"/>
          <w:numId w:val="11"/>
        </w:numPr>
        <w:tabs>
          <w:tab w:val="left" w:pos="396"/>
          <w:tab w:val="left" w:pos="3708"/>
        </w:tabs>
        <w:spacing w:after="0"/>
        <w:jc w:val="both"/>
        <w:rPr>
          <w:rFonts w:ascii="Times New Roman" w:eastAsia="Times New Roman" w:hAnsi="Times New Roman" w:cs="Times New Roman"/>
          <w:spacing w:val="-1"/>
          <w:sz w:val="18"/>
          <w:szCs w:val="18"/>
        </w:rPr>
      </w:pPr>
      <w:r>
        <w:rPr>
          <w:rFonts w:ascii="Times New Roman" w:eastAsia="Times New Roman" w:hAnsi="Times New Roman" w:cs="Times New Roman"/>
          <w:b/>
          <w:sz w:val="18"/>
          <w:szCs w:val="18"/>
        </w:rPr>
        <w:t xml:space="preserve">Disclosure of Information: </w:t>
      </w:r>
      <w:r>
        <w:rPr>
          <w:rFonts w:ascii="Times New Roman" w:eastAsia="Times New Roman" w:hAnsi="Times New Roman" w:cs="Times New Roman"/>
          <w:sz w:val="18"/>
          <w:szCs w:val="18"/>
        </w:rPr>
        <w:t>TWC, the Comptroller General of the United States, or any of their duly authorized representatives shall have access to any books, documents, papers and records which are directly pertinent to this procurement.</w:t>
      </w:r>
    </w:p>
    <w:p w14:paraId="5CE4C921" w14:textId="77777777" w:rsidR="00387565" w:rsidRDefault="00387565" w:rsidP="00387565">
      <w:pPr>
        <w:widowControl w:val="0"/>
        <w:numPr>
          <w:ilvl w:val="1"/>
          <w:numId w:val="11"/>
        </w:numPr>
        <w:tabs>
          <w:tab w:val="left" w:pos="396"/>
          <w:tab w:val="left" w:pos="3708"/>
        </w:tabs>
        <w:spacing w:after="0"/>
        <w:rPr>
          <w:rFonts w:ascii="Times New Roman" w:eastAsia="Times New Roman" w:hAnsi="Times New Roman" w:cs="Times New Roman"/>
          <w:sz w:val="18"/>
          <w:szCs w:val="18"/>
        </w:rPr>
      </w:pPr>
      <w:r>
        <w:rPr>
          <w:rFonts w:ascii="Times New Roman" w:eastAsia="Times New Roman" w:hAnsi="Times New Roman" w:cs="Times New Roman"/>
          <w:b/>
          <w:sz w:val="18"/>
          <w:szCs w:val="18"/>
        </w:rPr>
        <w:t>Texas Public Information Act:</w:t>
      </w:r>
    </w:p>
    <w:p w14:paraId="5004DE17" w14:textId="77777777" w:rsidR="00387565" w:rsidRPr="008651CE" w:rsidRDefault="00387565" w:rsidP="008651CE">
      <w:pPr>
        <w:widowControl w:val="0"/>
        <w:numPr>
          <w:ilvl w:val="2"/>
          <w:numId w:val="11"/>
        </w:numPr>
        <w:tabs>
          <w:tab w:val="clear" w:pos="1440"/>
        </w:tabs>
        <w:spacing w:after="0"/>
        <w:ind w:left="1080" w:hanging="630"/>
        <w:jc w:val="both"/>
        <w:rPr>
          <w:rFonts w:ascii="Times New Roman" w:hAnsi="Times New Roman"/>
          <w:snapToGrid w:val="0"/>
          <w:sz w:val="18"/>
          <w:szCs w:val="18"/>
          <w:lang w:val="x-none" w:eastAsia="x-none"/>
        </w:rPr>
      </w:pPr>
      <w:r w:rsidRPr="008651CE">
        <w:rPr>
          <w:rFonts w:ascii="Times New Roman" w:hAnsi="Times New Roman"/>
          <w:snapToGrid w:val="0"/>
          <w:sz w:val="18"/>
          <w:szCs w:val="18"/>
          <w:lang w:val="x-none" w:eastAsia="x-none"/>
        </w:rPr>
        <w:t>Information, documentation, and other material in connection with this solicitation or any resulting contract may be subject to public disclosure pursuant to Texas Government Code, Chapter 552 (the “Public Information Act”).</w:t>
      </w:r>
    </w:p>
    <w:p w14:paraId="65C8EFCB" w14:textId="77777777" w:rsidR="00387565" w:rsidRPr="008651CE" w:rsidRDefault="00387565" w:rsidP="008651CE">
      <w:pPr>
        <w:widowControl w:val="0"/>
        <w:numPr>
          <w:ilvl w:val="2"/>
          <w:numId w:val="11"/>
        </w:numPr>
        <w:tabs>
          <w:tab w:val="clear" w:pos="1440"/>
        </w:tabs>
        <w:spacing w:after="0"/>
        <w:ind w:left="1080" w:hanging="630"/>
        <w:jc w:val="both"/>
        <w:rPr>
          <w:rFonts w:ascii="Times New Roman" w:hAnsi="Times New Roman"/>
          <w:snapToGrid w:val="0"/>
          <w:sz w:val="18"/>
          <w:szCs w:val="18"/>
          <w:lang w:val="x-none" w:eastAsia="x-none"/>
        </w:rPr>
      </w:pPr>
      <w:r w:rsidRPr="008651CE">
        <w:rPr>
          <w:rFonts w:ascii="Times New Roman" w:hAnsi="Times New Roman"/>
          <w:snapToGrid w:val="0"/>
          <w:sz w:val="18"/>
          <w:szCs w:val="18"/>
          <w:lang w:val="x-none" w:eastAsia="x-none"/>
        </w:rPr>
        <w:t>All information submitted in response to the solicitation is subject to public disclosure pursuant to the Public Information Act. In the event of a request for information pertaining to the solicitation, TWC will comply with the provisions of the Public Information Act to protect the interests of the State of Texas.  The Public Information Act allows the public to have access to information in the possession of a governmental body. Therefore, the Vendor must clearly identify any confidential or proprietary information on the page on which it appears in the solicitation response and reference the specific exception to disclosure in the Public Information Act.  Proprietary information identified by the Vendor in advance will be kept confidential to the extent permitted by state law.  Any information not clearly identified as confidential or proprietary shall be deemed to be subject to disclosure pursuant to the Public Information Act.</w:t>
      </w:r>
    </w:p>
    <w:p w14:paraId="68A43DF9" w14:textId="77777777" w:rsidR="00387565" w:rsidRPr="008651CE" w:rsidRDefault="00387565" w:rsidP="008651CE">
      <w:pPr>
        <w:widowControl w:val="0"/>
        <w:numPr>
          <w:ilvl w:val="2"/>
          <w:numId w:val="11"/>
        </w:numPr>
        <w:tabs>
          <w:tab w:val="clear" w:pos="1440"/>
        </w:tabs>
        <w:spacing w:after="0"/>
        <w:ind w:left="1080" w:hanging="630"/>
        <w:jc w:val="both"/>
        <w:rPr>
          <w:rFonts w:ascii="Times New Roman" w:hAnsi="Times New Roman"/>
          <w:snapToGrid w:val="0"/>
          <w:sz w:val="18"/>
          <w:szCs w:val="18"/>
          <w:lang w:val="x-none" w:eastAsia="x-none"/>
        </w:rPr>
      </w:pPr>
      <w:r w:rsidRPr="008651CE">
        <w:rPr>
          <w:rFonts w:ascii="Times New Roman" w:hAnsi="Times New Roman"/>
          <w:snapToGrid w:val="0"/>
          <w:sz w:val="18"/>
          <w:szCs w:val="18"/>
          <w:lang w:val="x-none" w:eastAsia="x-none"/>
        </w:rPr>
        <w:t>All information, documentation and other material in connection with the solicitation or any resulting contract will be retained by TWC for the period specified in the Records Retention Schedule created under Texas Government Code, Chapter 441.  The information will not be returned to the Vendor who submitted it during the retention period time.</w:t>
      </w:r>
    </w:p>
    <w:p w14:paraId="7FEA63A0" w14:textId="77777777" w:rsidR="00387565" w:rsidRPr="008651CE" w:rsidRDefault="00387565" w:rsidP="008651CE">
      <w:pPr>
        <w:widowControl w:val="0"/>
        <w:numPr>
          <w:ilvl w:val="2"/>
          <w:numId w:val="11"/>
        </w:numPr>
        <w:tabs>
          <w:tab w:val="clear" w:pos="1440"/>
        </w:tabs>
        <w:spacing w:after="0"/>
        <w:ind w:left="1080" w:hanging="630"/>
        <w:jc w:val="both"/>
        <w:rPr>
          <w:rFonts w:ascii="Times New Roman" w:hAnsi="Times New Roman"/>
          <w:snapToGrid w:val="0"/>
          <w:sz w:val="18"/>
          <w:szCs w:val="18"/>
          <w:lang w:val="x-none" w:eastAsia="x-none"/>
        </w:rPr>
      </w:pPr>
      <w:r w:rsidRPr="008651CE">
        <w:rPr>
          <w:rFonts w:ascii="Times New Roman" w:hAnsi="Times New Roman"/>
          <w:snapToGrid w:val="0"/>
          <w:sz w:val="18"/>
          <w:szCs w:val="18"/>
          <w:lang w:val="x-none" w:eastAsia="x-none"/>
        </w:rPr>
        <w:t>Vendor is required to make any public information created or exchanged with the state pursuant to any contract with TWC, and not otherwise excepted from disclosure under the Texas Public Information Act, available in a format that is accessible by the public at no additional charge to TWC.</w:t>
      </w:r>
    </w:p>
    <w:p w14:paraId="5DFD0016" w14:textId="77777777" w:rsidR="00387565" w:rsidRPr="008651CE" w:rsidRDefault="00387565" w:rsidP="008651CE">
      <w:pPr>
        <w:widowControl w:val="0"/>
        <w:numPr>
          <w:ilvl w:val="1"/>
          <w:numId w:val="11"/>
        </w:numPr>
        <w:tabs>
          <w:tab w:val="left" w:pos="396"/>
          <w:tab w:val="left" w:pos="3708"/>
        </w:tabs>
        <w:spacing w:after="0"/>
        <w:rPr>
          <w:rFonts w:ascii="Times New Roman" w:hAnsi="Times New Roman"/>
          <w:b/>
          <w:sz w:val="18"/>
          <w:szCs w:val="18"/>
        </w:rPr>
      </w:pPr>
      <w:r w:rsidRPr="008651CE">
        <w:rPr>
          <w:rFonts w:ascii="Times New Roman" w:hAnsi="Times New Roman"/>
          <w:b/>
          <w:sz w:val="18"/>
          <w:szCs w:val="18"/>
        </w:rPr>
        <w:t>Award of Contract:</w:t>
      </w:r>
    </w:p>
    <w:p w14:paraId="4DF93BB6" w14:textId="77777777" w:rsidR="00387565" w:rsidRPr="008651CE" w:rsidRDefault="00387565" w:rsidP="008651CE">
      <w:pPr>
        <w:widowControl w:val="0"/>
        <w:numPr>
          <w:ilvl w:val="2"/>
          <w:numId w:val="11"/>
        </w:numPr>
        <w:tabs>
          <w:tab w:val="clear" w:pos="1440"/>
        </w:tabs>
        <w:spacing w:after="0"/>
        <w:ind w:left="1080" w:hanging="630"/>
        <w:jc w:val="both"/>
        <w:rPr>
          <w:rFonts w:ascii="Times New Roman" w:hAnsi="Times New Roman"/>
          <w:snapToGrid w:val="0"/>
          <w:sz w:val="18"/>
          <w:szCs w:val="18"/>
          <w:lang w:val="x-none" w:eastAsia="x-none"/>
        </w:rPr>
      </w:pPr>
      <w:r w:rsidRPr="008651CE">
        <w:rPr>
          <w:rFonts w:ascii="Times New Roman" w:hAnsi="Times New Roman"/>
          <w:snapToGrid w:val="0"/>
          <w:sz w:val="18"/>
          <w:szCs w:val="18"/>
          <w:lang w:val="x-none" w:eastAsia="x-none"/>
        </w:rPr>
        <w:t>Responding to a solicitation is an offer to contract with the State based upon the terms, conditions, and specifications contained in the solicitation.  Submitted responses do not become contracts unless and until they are accepted and an award is made by TWC Procurement and Hub-Services and a PO is issued to the Vendor.</w:t>
      </w:r>
    </w:p>
    <w:p w14:paraId="6D748849" w14:textId="77777777" w:rsidR="00387565" w:rsidRPr="008651CE" w:rsidRDefault="00387565" w:rsidP="008651CE">
      <w:pPr>
        <w:widowControl w:val="0"/>
        <w:numPr>
          <w:ilvl w:val="2"/>
          <w:numId w:val="11"/>
        </w:numPr>
        <w:tabs>
          <w:tab w:val="clear" w:pos="1440"/>
        </w:tabs>
        <w:spacing w:after="0"/>
        <w:ind w:left="1080" w:hanging="630"/>
        <w:jc w:val="both"/>
        <w:rPr>
          <w:rFonts w:ascii="Times New Roman" w:hAnsi="Times New Roman"/>
          <w:snapToGrid w:val="0"/>
          <w:sz w:val="18"/>
          <w:szCs w:val="18"/>
          <w:lang w:val="x-none" w:eastAsia="x-none"/>
        </w:rPr>
      </w:pPr>
      <w:r w:rsidRPr="008651CE">
        <w:rPr>
          <w:rFonts w:ascii="Times New Roman" w:hAnsi="Times New Roman"/>
          <w:snapToGrid w:val="0"/>
          <w:sz w:val="18"/>
          <w:szCs w:val="18"/>
          <w:lang w:val="x-none" w:eastAsia="x-none"/>
        </w:rPr>
        <w:t xml:space="preserve">TWC reserves the right to negotiate price and terms with any and all Vendors, to accept or reject all or any part of a Vendor’s response, </w:t>
      </w:r>
      <w:r w:rsidRPr="008651CE">
        <w:rPr>
          <w:rFonts w:ascii="Times New Roman" w:hAnsi="Times New Roman"/>
          <w:snapToGrid w:val="0"/>
          <w:sz w:val="18"/>
          <w:szCs w:val="18"/>
          <w:lang w:val="x-none" w:eastAsia="x-none"/>
        </w:rPr>
        <w:lastRenderedPageBreak/>
        <w:t>waive minor technicalities, to request Best and Final Offers from all or any Vendors, and make an award that represents Best Value to the agency or the State.</w:t>
      </w:r>
    </w:p>
    <w:p w14:paraId="2A9D4A30" w14:textId="77777777" w:rsidR="00387565" w:rsidRPr="008651CE" w:rsidRDefault="00387565" w:rsidP="008651CE">
      <w:pPr>
        <w:widowControl w:val="0"/>
        <w:numPr>
          <w:ilvl w:val="2"/>
          <w:numId w:val="11"/>
        </w:numPr>
        <w:tabs>
          <w:tab w:val="clear" w:pos="1440"/>
        </w:tabs>
        <w:spacing w:after="0"/>
        <w:ind w:left="1080" w:hanging="630"/>
        <w:jc w:val="both"/>
        <w:rPr>
          <w:rFonts w:ascii="Times New Roman" w:hAnsi="Times New Roman"/>
          <w:snapToGrid w:val="0"/>
          <w:sz w:val="18"/>
          <w:szCs w:val="18"/>
          <w:lang w:val="x-none" w:eastAsia="x-none"/>
        </w:rPr>
      </w:pPr>
      <w:r w:rsidRPr="008651CE">
        <w:rPr>
          <w:rFonts w:ascii="Times New Roman" w:hAnsi="Times New Roman"/>
          <w:snapToGrid w:val="0"/>
          <w:sz w:val="18"/>
          <w:szCs w:val="18"/>
          <w:lang w:val="x-none" w:eastAsia="x-none"/>
        </w:rPr>
        <w:t>Subsequent to award, TWC may, at its sole option, request the Vendor to negotiate contract amendments or renewals as is determined to be in the best interest of the agency or the State.</w:t>
      </w:r>
    </w:p>
    <w:p w14:paraId="6F33DC0A" w14:textId="77777777" w:rsidR="00387565" w:rsidRPr="008651CE" w:rsidRDefault="00387565" w:rsidP="008651CE">
      <w:pPr>
        <w:widowControl w:val="0"/>
        <w:numPr>
          <w:ilvl w:val="2"/>
          <w:numId w:val="11"/>
        </w:numPr>
        <w:tabs>
          <w:tab w:val="clear" w:pos="1440"/>
        </w:tabs>
        <w:spacing w:after="0"/>
        <w:ind w:left="1080" w:hanging="630"/>
        <w:jc w:val="both"/>
        <w:rPr>
          <w:rFonts w:ascii="Times New Roman" w:hAnsi="Times New Roman"/>
          <w:snapToGrid w:val="0"/>
          <w:sz w:val="18"/>
          <w:szCs w:val="18"/>
          <w:lang w:val="x-none" w:eastAsia="x-none"/>
        </w:rPr>
      </w:pPr>
      <w:r w:rsidRPr="008651CE">
        <w:rPr>
          <w:rFonts w:ascii="Times New Roman" w:hAnsi="Times New Roman"/>
          <w:snapToGrid w:val="0"/>
          <w:sz w:val="18"/>
          <w:szCs w:val="18"/>
          <w:lang w:val="x-none" w:eastAsia="x-none"/>
        </w:rPr>
        <w:t>TWC reserves the right to use a third party to negotiate price related to any Information Technology solicitation or contract.</w:t>
      </w:r>
    </w:p>
    <w:p w14:paraId="338D6C36" w14:textId="77777777" w:rsidR="00387565" w:rsidRPr="008651CE" w:rsidRDefault="00387565" w:rsidP="008651CE">
      <w:pPr>
        <w:widowControl w:val="0"/>
        <w:numPr>
          <w:ilvl w:val="2"/>
          <w:numId w:val="11"/>
        </w:numPr>
        <w:tabs>
          <w:tab w:val="clear" w:pos="1440"/>
        </w:tabs>
        <w:spacing w:after="0"/>
        <w:ind w:left="1080" w:hanging="630"/>
        <w:jc w:val="both"/>
        <w:rPr>
          <w:rFonts w:ascii="Times New Roman" w:hAnsi="Times New Roman"/>
          <w:snapToGrid w:val="0"/>
          <w:sz w:val="18"/>
          <w:szCs w:val="18"/>
          <w:lang w:val="x-none" w:eastAsia="x-none"/>
        </w:rPr>
      </w:pPr>
      <w:r w:rsidRPr="008651CE">
        <w:rPr>
          <w:rFonts w:ascii="Times New Roman" w:hAnsi="Times New Roman"/>
          <w:snapToGrid w:val="0"/>
          <w:sz w:val="18"/>
          <w:szCs w:val="18"/>
          <w:lang w:val="x-none" w:eastAsia="x-none"/>
        </w:rPr>
        <w:t>TWC reserves the right to make an award on the basis of low line item bid, low total of line items, or in any other combination that will serve the best interest of the State and to reject any and all bid items in the sole discretion of the State.</w:t>
      </w:r>
    </w:p>
    <w:p w14:paraId="537D21C4" w14:textId="77777777" w:rsidR="00387565" w:rsidRDefault="00387565" w:rsidP="008651CE">
      <w:pPr>
        <w:numPr>
          <w:ilvl w:val="1"/>
          <w:numId w:val="11"/>
        </w:numPr>
        <w:tabs>
          <w:tab w:val="left" w:pos="396"/>
          <w:tab w:val="left" w:pos="3708"/>
        </w:tabs>
        <w:spacing w:after="0"/>
        <w:jc w:val="both"/>
        <w:rPr>
          <w:rFonts w:ascii="Times New Roman" w:eastAsia="Times New Roman" w:hAnsi="Times New Roman" w:cs="Times New Roman"/>
          <w:spacing w:val="-1"/>
          <w:sz w:val="18"/>
          <w:szCs w:val="18"/>
        </w:rPr>
      </w:pPr>
      <w:r>
        <w:rPr>
          <w:rFonts w:ascii="Times New Roman" w:eastAsia="Times New Roman" w:hAnsi="Times New Roman" w:cs="Times New Roman"/>
          <w:b/>
          <w:spacing w:val="-1"/>
          <w:sz w:val="18"/>
          <w:szCs w:val="18"/>
        </w:rPr>
        <w:t xml:space="preserve">Vendor Assignments: </w:t>
      </w:r>
      <w:r>
        <w:rPr>
          <w:rFonts w:ascii="Times New Roman" w:eastAsia="Times New Roman" w:hAnsi="Times New Roman" w:cs="Times New Roman"/>
          <w:spacing w:val="-1"/>
          <w:sz w:val="18"/>
          <w:szCs w:val="18"/>
        </w:rPr>
        <w:t>No assignment is permitted the Vendor without prior written consent of TWC.  Any written request for assignment must be accompanied by written acceptance of the assignment by the assignee.  Except where otherwise agreed in writing by TWC, assignment will not release Vendor from its obligations pursuant to the contract.</w:t>
      </w:r>
    </w:p>
    <w:p w14:paraId="73F78D2D" w14:textId="77777777" w:rsidR="00387565" w:rsidRPr="008651CE" w:rsidRDefault="00387565" w:rsidP="008651CE">
      <w:pPr>
        <w:numPr>
          <w:ilvl w:val="1"/>
          <w:numId w:val="11"/>
        </w:numPr>
        <w:tabs>
          <w:tab w:val="left" w:pos="396"/>
          <w:tab w:val="left" w:pos="3708"/>
        </w:tabs>
        <w:spacing w:after="0"/>
        <w:jc w:val="both"/>
        <w:rPr>
          <w:rFonts w:ascii="Times New Roman" w:hAnsi="Times New Roman"/>
          <w:b/>
          <w:spacing w:val="-1"/>
          <w:sz w:val="18"/>
          <w:szCs w:val="18"/>
        </w:rPr>
      </w:pPr>
      <w:r w:rsidRPr="008651CE">
        <w:rPr>
          <w:rFonts w:ascii="Times New Roman" w:hAnsi="Times New Roman"/>
          <w:b/>
          <w:spacing w:val="-1"/>
          <w:sz w:val="18"/>
          <w:szCs w:val="18"/>
        </w:rPr>
        <w:t xml:space="preserve">TWC Assignments: </w:t>
      </w:r>
      <w:r w:rsidRPr="008651CE">
        <w:rPr>
          <w:rFonts w:ascii="Times New Roman" w:hAnsi="Times New Roman"/>
          <w:spacing w:val="-1"/>
          <w:sz w:val="18"/>
          <w:szCs w:val="18"/>
        </w:rPr>
        <w:t>TWC may sub-lease or assign equipment and related services provided via the contract to other entities which contract with TWC to provide agency support or services.</w:t>
      </w:r>
    </w:p>
    <w:p w14:paraId="7AEFF8F8" w14:textId="77777777" w:rsidR="00387565" w:rsidRPr="008651CE" w:rsidRDefault="00387565" w:rsidP="008651CE">
      <w:pPr>
        <w:numPr>
          <w:ilvl w:val="1"/>
          <w:numId w:val="11"/>
        </w:numPr>
        <w:tabs>
          <w:tab w:val="left" w:pos="396"/>
          <w:tab w:val="left" w:pos="3708"/>
        </w:tabs>
        <w:spacing w:after="0"/>
        <w:jc w:val="both"/>
        <w:rPr>
          <w:rFonts w:ascii="Times New Roman" w:hAnsi="Times New Roman"/>
          <w:b/>
          <w:spacing w:val="-1"/>
          <w:sz w:val="18"/>
          <w:szCs w:val="18"/>
        </w:rPr>
      </w:pPr>
      <w:r w:rsidRPr="008651CE">
        <w:rPr>
          <w:rFonts w:ascii="Times New Roman" w:hAnsi="Times New Roman"/>
          <w:b/>
          <w:spacing w:val="-1"/>
          <w:sz w:val="18"/>
          <w:szCs w:val="18"/>
        </w:rPr>
        <w:t>INDEMNIFICATION</w:t>
      </w:r>
    </w:p>
    <w:p w14:paraId="632F4B96" w14:textId="77777777" w:rsidR="00387565" w:rsidRPr="0095525E" w:rsidRDefault="00387565" w:rsidP="0095525E">
      <w:pPr>
        <w:widowControl w:val="0"/>
        <w:numPr>
          <w:ilvl w:val="2"/>
          <w:numId w:val="11"/>
        </w:numPr>
        <w:tabs>
          <w:tab w:val="clear" w:pos="1440"/>
        </w:tabs>
        <w:spacing w:after="0"/>
        <w:ind w:left="1080" w:hanging="630"/>
        <w:jc w:val="both"/>
        <w:rPr>
          <w:rFonts w:ascii="Times New Roman" w:hAnsi="Times New Roman"/>
          <w:b/>
          <w:snapToGrid w:val="0"/>
          <w:sz w:val="18"/>
          <w:szCs w:val="18"/>
          <w:lang w:val="x-none" w:eastAsia="x-none"/>
        </w:rPr>
      </w:pPr>
      <w:r w:rsidRPr="0095525E">
        <w:rPr>
          <w:rFonts w:ascii="Times New Roman" w:hAnsi="Times New Roman"/>
          <w:b/>
          <w:snapToGrid w:val="0"/>
          <w:sz w:val="18"/>
          <w:szCs w:val="18"/>
          <w:lang w:val="x-none" w:eastAsia="x-none"/>
        </w:rPr>
        <w:t>Acts or Omissions: Vendor shall indemnify and hold harmless the State of Texas, TWC, AND/OR THEIR OFFICERS, AGENTS, EMPLOYEES, REPRESENTATIVES, CONTRACTORS, ASSIGNEES, AND/OR DISIGNEES FROM ANY AND ALL LIABILITY, ACTIONS, CLAIMS, DEMANDS, OR SUITS, AND ALL RELATED COSTS, ATTORNEY FEES, AND EXPENSES arising out of, or resulting from any acts or omissions of the Vendor or its agents, employees, subcontractors, order fulfillers, or suppliers of subcontractors in the execution or performance of the Contract and any Purchase Orders issued under the Contract. THE DEFENSE SHALL BE COORDINATED BY VENDOR WITH THE OFFICE OF THE ATTORNEY GENERAL WHEN TEXAS STATE AGENCIES ARE NAMED DEFENDANTS IN ANY LAWSUIT AND VENDOR MAY NOT AGREE TO ANY SETTLEMENT WITHOUT FIRST OBTAINING THE CONCURRENCE FROM THE OFFICE OF THE ATTORNEY GENERAL. VENDOR AND TWC AGREE TO FURNISH TIMELY WRITTEN NOTICE TO EACH OTHER OF ANY SUCH CLAIM.</w:t>
      </w:r>
    </w:p>
    <w:p w14:paraId="28739F52" w14:textId="77777777" w:rsidR="00387565" w:rsidRPr="0095525E" w:rsidRDefault="00387565" w:rsidP="0095525E">
      <w:pPr>
        <w:widowControl w:val="0"/>
        <w:numPr>
          <w:ilvl w:val="2"/>
          <w:numId w:val="11"/>
        </w:numPr>
        <w:tabs>
          <w:tab w:val="clear" w:pos="1440"/>
        </w:tabs>
        <w:spacing w:after="0"/>
        <w:ind w:left="1080" w:hanging="630"/>
        <w:jc w:val="both"/>
        <w:rPr>
          <w:rFonts w:ascii="Times New Roman" w:hAnsi="Times New Roman"/>
          <w:b/>
          <w:snapToGrid w:val="0"/>
          <w:sz w:val="18"/>
          <w:szCs w:val="18"/>
          <w:lang w:val="x-none" w:eastAsia="x-none"/>
        </w:rPr>
      </w:pPr>
      <w:r w:rsidRPr="0095525E">
        <w:rPr>
          <w:rFonts w:ascii="Times New Roman" w:hAnsi="Times New Roman"/>
          <w:b/>
          <w:snapToGrid w:val="0"/>
          <w:sz w:val="18"/>
          <w:szCs w:val="18"/>
          <w:lang w:val="x-none" w:eastAsia="x-none"/>
        </w:rPr>
        <w:t xml:space="preserve">Infringements: </w:t>
      </w:r>
    </w:p>
    <w:p w14:paraId="76B3E0DB" w14:textId="77777777" w:rsidR="00387565" w:rsidRPr="001920D6" w:rsidRDefault="00387565" w:rsidP="001920D6">
      <w:pPr>
        <w:widowControl w:val="0"/>
        <w:numPr>
          <w:ilvl w:val="3"/>
          <w:numId w:val="11"/>
        </w:numPr>
        <w:spacing w:after="0"/>
        <w:jc w:val="both"/>
        <w:rPr>
          <w:rFonts w:ascii="Times New Roman" w:hAnsi="Times New Roman"/>
          <w:b/>
          <w:spacing w:val="-1"/>
          <w:sz w:val="18"/>
          <w:szCs w:val="18"/>
        </w:rPr>
      </w:pPr>
      <w:r w:rsidRPr="001920D6">
        <w:rPr>
          <w:rFonts w:ascii="Times New Roman" w:hAnsi="Times New Roman"/>
          <w:b/>
          <w:spacing w:val="-1"/>
          <w:sz w:val="18"/>
          <w:szCs w:val="18"/>
        </w:rPr>
        <w:t xml:space="preserve">Vendor shall indemnify and hold harmless the State of Texas, TWC, AND/OR THEIR EMPLOYEES, AGENTS, REPRESENTATIVES, CONTRACTORS, ASSIGNEES, AND/OR DESIGNEES from any and all third party claims involving infringement of United States patents, copyrights, trade and service marks, and any other intellectual or intangible property rights in connection with the PERFORMANCES OR ACTIONS OF VENDOR PURSUANT TO THIS CONTRACT. VENDOR AND TWC AGREE TO FURNISH TIMELY WRITTEN NOTICE TO EACH OTHER OF ANY SUCH CLAIM. VENDOR SHALL BE LIABLE TO PAY ALL COSTS OF DEFENSE INCLUDING ATTORNEYS’ FEES. THE DEFENSE SHALL BE COORDINATED BY VENDOR WITH THE OFFICE OF THE ATTORNEY GENERAL WHEN TEXAS STATE AGENCIES ARE NAMED DEFENDANTS IN ANY LAWSUIT AND VENDOR MAY NOT AGREE TO ANY SETTLEMENT WITHOUT FIRST OBTAINING THE CONCURRENCE FROM THE OFFICE OF THE ATTORNEY GENERAL. </w:t>
      </w:r>
    </w:p>
    <w:p w14:paraId="6DC62A1E" w14:textId="77777777" w:rsidR="00387565" w:rsidRPr="001920D6" w:rsidRDefault="00387565" w:rsidP="001920D6">
      <w:pPr>
        <w:widowControl w:val="0"/>
        <w:numPr>
          <w:ilvl w:val="3"/>
          <w:numId w:val="11"/>
        </w:numPr>
        <w:spacing w:after="0"/>
        <w:jc w:val="both"/>
        <w:rPr>
          <w:rFonts w:ascii="Times New Roman" w:hAnsi="Times New Roman"/>
          <w:b/>
          <w:spacing w:val="-1"/>
          <w:sz w:val="18"/>
          <w:szCs w:val="18"/>
        </w:rPr>
      </w:pPr>
      <w:r w:rsidRPr="001920D6">
        <w:rPr>
          <w:rFonts w:ascii="Times New Roman" w:hAnsi="Times New Roman"/>
          <w:b/>
          <w:spacing w:val="-1"/>
          <w:sz w:val="18"/>
          <w:szCs w:val="18"/>
        </w:rPr>
        <w:t>Vendor shall have no liability under this section if the alleged infringement is caused in whole or in part by: (1) use of the product or service for a purpose or in a manner for which the product or service was not designed, (2) any modification made to the product without Vendor’s written approval, (3) any modifications made to the product by the Vendor pursuant to TWC’s specific instructions, (4) any intellectual property right owned by or licensed to TWC, or (5) any use of the product or service by TWC that is not in conformity with the terms of any applicable license agreement.</w:t>
      </w:r>
    </w:p>
    <w:p w14:paraId="664AA4C7" w14:textId="7CC78CAE" w:rsidR="00387565" w:rsidRPr="001920D6" w:rsidRDefault="00387565" w:rsidP="001920D6">
      <w:pPr>
        <w:widowControl w:val="0"/>
        <w:numPr>
          <w:ilvl w:val="3"/>
          <w:numId w:val="11"/>
        </w:numPr>
        <w:spacing w:after="0"/>
        <w:jc w:val="both"/>
        <w:rPr>
          <w:rFonts w:ascii="Times New Roman" w:hAnsi="Times New Roman"/>
          <w:b/>
          <w:spacing w:val="-1"/>
          <w:sz w:val="18"/>
          <w:szCs w:val="18"/>
        </w:rPr>
      </w:pPr>
      <w:r w:rsidRPr="001920D6">
        <w:rPr>
          <w:rFonts w:ascii="Times New Roman" w:hAnsi="Times New Roman"/>
          <w:b/>
          <w:spacing w:val="-1"/>
          <w:sz w:val="18"/>
          <w:szCs w:val="18"/>
        </w:rPr>
        <w:t xml:space="preserve">If Vendor becomes aware of an actual or potential claim, or TWC provides Vendor with notice of an actual or potential claim, Vendor may (or in the case of an injunction against TWC, shall), at Vendor’s sole option and expense; (1) procure for TWC the right to continue to use the affected portion of the product or service, or (2) modify or replace the affected portion of the product or service with functionality equivalent or superior product or service so that TWC’s use is non-infringing. </w:t>
      </w:r>
    </w:p>
    <w:p w14:paraId="58A04513" w14:textId="77777777" w:rsidR="00387565" w:rsidRPr="001920D6" w:rsidRDefault="00387565" w:rsidP="001920D6">
      <w:pPr>
        <w:widowControl w:val="0"/>
        <w:numPr>
          <w:ilvl w:val="2"/>
          <w:numId w:val="11"/>
        </w:numPr>
        <w:tabs>
          <w:tab w:val="clear" w:pos="1440"/>
        </w:tabs>
        <w:spacing w:after="0"/>
        <w:ind w:left="1080" w:hanging="630"/>
        <w:jc w:val="both"/>
        <w:rPr>
          <w:rFonts w:ascii="Times New Roman" w:hAnsi="Times New Roman"/>
          <w:b/>
          <w:snapToGrid w:val="0"/>
          <w:sz w:val="18"/>
          <w:szCs w:val="18"/>
          <w:lang w:val="x-none" w:eastAsia="x-none"/>
        </w:rPr>
      </w:pPr>
      <w:r w:rsidRPr="001920D6">
        <w:rPr>
          <w:rFonts w:ascii="Times New Roman" w:hAnsi="Times New Roman"/>
          <w:b/>
          <w:snapToGrid w:val="0"/>
          <w:sz w:val="18"/>
          <w:szCs w:val="18"/>
          <w:lang w:val="x-none" w:eastAsia="x-none"/>
        </w:rPr>
        <w:t>Taxes/Workers’ Compensation/Unemployment Insurance – Including</w:t>
      </w:r>
      <w:r w:rsidRPr="001920D6">
        <w:rPr>
          <w:rFonts w:ascii="Times New Roman" w:hAnsi="Times New Roman"/>
          <w:b/>
          <w:snapToGrid w:val="0"/>
          <w:sz w:val="18"/>
          <w:szCs w:val="18"/>
          <w:lang w:val="x-none" w:eastAsia="x-none"/>
        </w:rPr>
        <w:tab/>
        <w:t xml:space="preserve"> Indemnity:</w:t>
      </w:r>
    </w:p>
    <w:p w14:paraId="1786E17E" w14:textId="77777777" w:rsidR="00387565" w:rsidRPr="001920D6" w:rsidRDefault="00387565" w:rsidP="001920D6">
      <w:pPr>
        <w:widowControl w:val="0"/>
        <w:numPr>
          <w:ilvl w:val="3"/>
          <w:numId w:val="11"/>
        </w:numPr>
        <w:spacing w:after="0"/>
        <w:jc w:val="both"/>
        <w:rPr>
          <w:rFonts w:ascii="Times New Roman" w:hAnsi="Times New Roman"/>
          <w:b/>
          <w:spacing w:val="-1"/>
          <w:sz w:val="18"/>
          <w:szCs w:val="18"/>
        </w:rPr>
      </w:pPr>
      <w:r w:rsidRPr="001920D6">
        <w:rPr>
          <w:rFonts w:ascii="Times New Roman" w:hAnsi="Times New Roman"/>
          <w:b/>
          <w:spacing w:val="-1"/>
          <w:sz w:val="18"/>
          <w:szCs w:val="18"/>
        </w:rPr>
        <w:t>VENDOR AGREES AND ACKNOWLEDGES THAT DURING THE EXISTENCE OF THIS CONTRACT, VENDOR SHALL BE ENTIRELY RESPONSIBLE FOR THE LIABILITY AND PAYMENT OF VENDOR’S AND VENDOR’S EMPLOYEES’ TAXES OF WHATEVER KIND, ARISING OUT OF THE PERFORMANCES IN THIS CONTRACT. VENDOR AGGREES TO COMPLY WITH ALL STATE AND FEDERAL LAWS APPLICABLE TO ANY SUCH PERSONS, INCLUDING LAWS REGARDING WAGES, TAXES, INSURANCE, AND WORKERS’ COMPENSATION. THE STATE OF TEXAS AND/OR TWC SHALL NOT BE LIABLE TO THE VENDOR, ITS EMPLOYEES, AGENTS, OR OTHERS FOR THE PAYMENT OF TAXES OR THE PROVISION OF UNEMPLOYMENT INSURANCE AND/OR WORKERS’ COMPENSATION OR ANY BENEFIT AVAILABLE TO A STATE EMPLOYEE OR EMPLOYEE OF ANOTHER GOVERNMENTAL ENTITY CUSTOMER.</w:t>
      </w:r>
    </w:p>
    <w:p w14:paraId="2C854E5B" w14:textId="77777777" w:rsidR="00387565" w:rsidRPr="001920D6" w:rsidRDefault="00387565" w:rsidP="001920D6">
      <w:pPr>
        <w:widowControl w:val="0"/>
        <w:numPr>
          <w:ilvl w:val="3"/>
          <w:numId w:val="11"/>
        </w:numPr>
        <w:spacing w:after="0"/>
        <w:jc w:val="both"/>
        <w:rPr>
          <w:rFonts w:ascii="Times New Roman" w:hAnsi="Times New Roman"/>
          <w:b/>
          <w:spacing w:val="-1"/>
          <w:sz w:val="18"/>
          <w:szCs w:val="18"/>
        </w:rPr>
      </w:pPr>
      <w:r w:rsidRPr="001920D6">
        <w:rPr>
          <w:rFonts w:ascii="Times New Roman" w:hAnsi="Times New Roman"/>
          <w:b/>
          <w:spacing w:val="-1"/>
          <w:sz w:val="18"/>
          <w:szCs w:val="18"/>
        </w:rPr>
        <w:t xml:space="preserve">VENDOR AGREES TO INDEMNIFY AND HOLD HARMLESS THE STATE OF TEXAS, TWC, AND/OR THEIR EMPLOYEES, AGENTS, REPRESENTATIVES, CONTRACTORS, AND/OR ASSIGNEES FROM ANY AND ALL LIABILITY, ACTIONS, CLAIMS, DEMANDS, OR SUITS, AND ALL RELATED COSTS, ATTORNEYS’ FEES, AND EXPENSES, RELATING TO TAX LIABILITY, UNEMPLOYMENT INSURANCE AND/OR WORKERS’ COMPENSATION IN ITS PERFORMANCE UNDER THIS CONTRACT. VENDOR SHALL BE LIABLE TO PAY ALL COSTS OF DEFENSE INCLUDING ATTORNEYS’ FEES. THE DEFENSE SHALL BE COORDINATED BY VENDOR WITH THE OFFICE OF THE ATTORNEY GENERAL WHEN TEXAS STATE AGENCIES ARE NAMED DEFENDANTS IN ANY LAWSUIT AND VENDOR MAY NOT AGREE TO ANY SETTLEMENT WITHOUT FIRST </w:t>
      </w:r>
      <w:r w:rsidRPr="001920D6">
        <w:rPr>
          <w:rFonts w:ascii="Times New Roman" w:hAnsi="Times New Roman"/>
          <w:b/>
          <w:spacing w:val="-1"/>
          <w:sz w:val="18"/>
          <w:szCs w:val="18"/>
        </w:rPr>
        <w:lastRenderedPageBreak/>
        <w:t>OBTAINING THE CONCURRENCE FROM THE OFFICE OF THE ATTORNEY GENERAL. VENDOR AND TWC AGREE TO FURNISH TIMELY WRITTEN NOTICE TO EACH OTHER OF ANY SUCH CLAIM.</w:t>
      </w:r>
    </w:p>
    <w:p w14:paraId="20D057E7" w14:textId="2755A05B" w:rsidR="00F41FB2" w:rsidRPr="001920D6" w:rsidRDefault="00387565" w:rsidP="001920D6">
      <w:pPr>
        <w:widowControl w:val="0"/>
        <w:numPr>
          <w:ilvl w:val="1"/>
          <w:numId w:val="11"/>
        </w:numPr>
        <w:spacing w:after="0"/>
        <w:jc w:val="both"/>
        <w:rPr>
          <w:rFonts w:ascii="Times New Roman" w:hAnsi="Times New Roman"/>
          <w:b/>
          <w:snapToGrid w:val="0"/>
          <w:spacing w:val="-1"/>
          <w:sz w:val="18"/>
          <w:szCs w:val="18"/>
          <w:lang w:val="x-none" w:eastAsia="x-none"/>
        </w:rPr>
      </w:pPr>
      <w:r w:rsidRPr="001920D6">
        <w:rPr>
          <w:rFonts w:ascii="Times New Roman" w:hAnsi="Times New Roman"/>
          <w:b/>
          <w:snapToGrid w:val="0"/>
          <w:spacing w:val="-1"/>
          <w:sz w:val="18"/>
          <w:szCs w:val="18"/>
          <w:lang w:val="x-none" w:eastAsia="x-none"/>
        </w:rPr>
        <w:t xml:space="preserve">Vendor Performance:  </w:t>
      </w:r>
      <w:r w:rsidRPr="001920D6">
        <w:rPr>
          <w:rFonts w:ascii="Times New Roman" w:hAnsi="Times New Roman"/>
          <w:snapToGrid w:val="0"/>
          <w:spacing w:val="-1"/>
          <w:sz w:val="18"/>
          <w:szCs w:val="18"/>
          <w:lang w:val="x-none" w:eastAsia="x-none"/>
        </w:rPr>
        <w:t>In accordance with Texas Government Code §§ 2155.074 and 2155.075, Vendor performance may be used as a factor in the award.</w:t>
      </w:r>
    </w:p>
    <w:p w14:paraId="5BDA9136" w14:textId="77777777" w:rsidR="00387565" w:rsidRPr="001920D6" w:rsidRDefault="00387565" w:rsidP="001920D6">
      <w:pPr>
        <w:widowControl w:val="0"/>
        <w:numPr>
          <w:ilvl w:val="1"/>
          <w:numId w:val="11"/>
        </w:numPr>
        <w:spacing w:after="0"/>
        <w:jc w:val="both"/>
        <w:rPr>
          <w:rFonts w:ascii="Times New Roman" w:hAnsi="Times New Roman"/>
          <w:snapToGrid w:val="0"/>
          <w:spacing w:val="-1"/>
          <w:sz w:val="18"/>
          <w:szCs w:val="18"/>
          <w:lang w:val="x-none" w:eastAsia="x-none"/>
        </w:rPr>
      </w:pPr>
      <w:r w:rsidRPr="001920D6">
        <w:rPr>
          <w:rFonts w:ascii="Times New Roman" w:hAnsi="Times New Roman"/>
          <w:b/>
          <w:snapToGrid w:val="0"/>
          <w:spacing w:val="-1"/>
          <w:sz w:val="18"/>
          <w:szCs w:val="18"/>
          <w:lang w:val="x-none" w:eastAsia="x-none"/>
        </w:rPr>
        <w:t xml:space="preserve">Force Majeure:  </w:t>
      </w:r>
      <w:r w:rsidRPr="001920D6">
        <w:rPr>
          <w:rFonts w:ascii="Times New Roman" w:hAnsi="Times New Roman"/>
          <w:snapToGrid w:val="0"/>
          <w:spacing w:val="-1"/>
          <w:sz w:val="18"/>
          <w:szCs w:val="18"/>
          <w:lang w:val="x-none" w:eastAsia="x-none"/>
        </w:rPr>
        <w:t>TWC may grant relief from performance of an awarded contract or PO, or extend a performance period, if the Vendor is prevented from compliance and performance by an act of war, order of legal authority, act of God, or other unavoidable cause not attributable to the fault of the Vendor.  If the Vendor requests the relief, the burden of proof for the need of such relief shall rest upon the Vendor, who must file a written request for such release or extension.  If TWC grants such relief due to circumstances known by the agency, the agency must document such reasons in the contract file.</w:t>
      </w:r>
    </w:p>
    <w:p w14:paraId="6B01A5A6" w14:textId="77777777" w:rsidR="00387565" w:rsidRPr="001920D6" w:rsidRDefault="00387565" w:rsidP="001920D6">
      <w:pPr>
        <w:widowControl w:val="0"/>
        <w:numPr>
          <w:ilvl w:val="1"/>
          <w:numId w:val="11"/>
        </w:numPr>
        <w:spacing w:after="0"/>
        <w:jc w:val="both"/>
        <w:rPr>
          <w:rFonts w:ascii="Times New Roman" w:hAnsi="Times New Roman"/>
          <w:b/>
          <w:snapToGrid w:val="0"/>
          <w:spacing w:val="-1"/>
          <w:sz w:val="18"/>
          <w:szCs w:val="18"/>
          <w:lang w:val="x-none" w:eastAsia="x-none"/>
        </w:rPr>
      </w:pPr>
      <w:r w:rsidRPr="001920D6">
        <w:rPr>
          <w:rFonts w:ascii="Times New Roman" w:hAnsi="Times New Roman"/>
          <w:b/>
          <w:snapToGrid w:val="0"/>
          <w:spacing w:val="-1"/>
          <w:sz w:val="18"/>
          <w:szCs w:val="18"/>
          <w:lang w:val="x-none" w:eastAsia="x-none"/>
        </w:rPr>
        <w:t>Dispute Resolution Procedures:</w:t>
      </w:r>
    </w:p>
    <w:p w14:paraId="393CB3C3" w14:textId="74D09844" w:rsidR="00387565" w:rsidRPr="001920D6" w:rsidRDefault="00387565" w:rsidP="001920D6">
      <w:pPr>
        <w:widowControl w:val="0"/>
        <w:numPr>
          <w:ilvl w:val="2"/>
          <w:numId w:val="11"/>
        </w:numPr>
        <w:tabs>
          <w:tab w:val="clear" w:pos="1440"/>
        </w:tabs>
        <w:spacing w:after="0"/>
        <w:ind w:left="1080" w:hanging="630"/>
        <w:jc w:val="both"/>
        <w:rPr>
          <w:rFonts w:ascii="Times New Roman" w:hAnsi="Times New Roman"/>
          <w:snapToGrid w:val="0"/>
          <w:sz w:val="18"/>
          <w:szCs w:val="18"/>
          <w:lang w:val="x-none" w:eastAsia="x-none"/>
        </w:rPr>
      </w:pPr>
      <w:r w:rsidRPr="001920D6">
        <w:rPr>
          <w:rFonts w:ascii="Times New Roman" w:hAnsi="Times New Roman"/>
          <w:snapToGrid w:val="0"/>
          <w:sz w:val="18"/>
          <w:szCs w:val="18"/>
          <w:lang w:val="x-none" w:eastAsia="x-none"/>
        </w:rPr>
        <w:t>Procurement Disputes: Any actual or prospective Vendor who is aggrieved in connection with the solicitation, evaluation, or award of a contract may formally protest to the Deputy Executive Director. Such protests must be made via certified mail and received in the appropriate Director’s office within ten (10) business days from the date of the announcement of the award.  The written protest must include:  the number of the solicitation being protested; the grounds for the protest, including a description of any alleged acts or omissions by TWC that form the basis for the protest; any written information which the protestor believes is relevant to the award; and the basis for the protestor’s interest in the procurement.</w:t>
      </w:r>
      <w:r w:rsidR="008122F2">
        <w:rPr>
          <w:rFonts w:ascii="Times New Roman" w:hAnsi="Times New Roman"/>
          <w:snapToGrid w:val="0"/>
          <w:sz w:val="18"/>
          <w:szCs w:val="18"/>
          <w:lang w:eastAsia="x-none"/>
        </w:rPr>
        <w:t xml:space="preserve"> </w:t>
      </w:r>
      <w:r w:rsidRPr="001920D6">
        <w:rPr>
          <w:rFonts w:ascii="Times New Roman" w:hAnsi="Times New Roman"/>
          <w:snapToGrid w:val="0"/>
          <w:sz w:val="18"/>
          <w:szCs w:val="18"/>
          <w:lang w:val="x-none" w:eastAsia="x-none"/>
        </w:rPr>
        <w:t>TWC will make available to the protestor all requested documents not exempted from disclosure under Texas and federal law.  TWC will provide copies of these documents upon payment of the fees adopted by TWC for record duplication. The protestor will be provided an opportunity for an informal meeting with the Director or his designee, to discuss the protest, however, TWC may limit the amount of time allocated for the meeting.  The Director will issue the final written decision to the protestor</w:t>
      </w:r>
      <w:r w:rsidR="001920D6">
        <w:rPr>
          <w:rFonts w:ascii="Times New Roman" w:hAnsi="Times New Roman"/>
          <w:snapToGrid w:val="0"/>
          <w:sz w:val="18"/>
          <w:szCs w:val="18"/>
          <w:lang w:eastAsia="x-none"/>
        </w:rPr>
        <w:t>.</w:t>
      </w:r>
    </w:p>
    <w:p w14:paraId="68C90D63" w14:textId="77777777" w:rsidR="00387565" w:rsidRPr="001920D6" w:rsidRDefault="00387565" w:rsidP="001920D6">
      <w:pPr>
        <w:widowControl w:val="0"/>
        <w:numPr>
          <w:ilvl w:val="2"/>
          <w:numId w:val="11"/>
        </w:numPr>
        <w:tabs>
          <w:tab w:val="clear" w:pos="1440"/>
        </w:tabs>
        <w:spacing w:after="0"/>
        <w:ind w:left="1080" w:hanging="630"/>
        <w:jc w:val="both"/>
        <w:rPr>
          <w:rFonts w:ascii="Times New Roman" w:hAnsi="Times New Roman"/>
          <w:snapToGrid w:val="0"/>
          <w:sz w:val="18"/>
          <w:szCs w:val="18"/>
          <w:lang w:val="x-none" w:eastAsia="x-none"/>
        </w:rPr>
      </w:pPr>
      <w:r w:rsidRPr="001920D6">
        <w:rPr>
          <w:rFonts w:ascii="Times New Roman" w:hAnsi="Times New Roman"/>
          <w:b/>
          <w:snapToGrid w:val="0"/>
          <w:sz w:val="18"/>
          <w:szCs w:val="18"/>
          <w:lang w:val="x-none" w:eastAsia="x-none"/>
        </w:rPr>
        <w:t xml:space="preserve">Contract Disputes: </w:t>
      </w:r>
      <w:r w:rsidRPr="001920D6">
        <w:rPr>
          <w:rFonts w:ascii="Times New Roman" w:hAnsi="Times New Roman"/>
          <w:snapToGrid w:val="0"/>
          <w:sz w:val="18"/>
          <w:szCs w:val="18"/>
          <w:lang w:val="x-none" w:eastAsia="x-none"/>
        </w:rPr>
        <w:t>TWC follows the dispute resolution process provided for in Texas Government Code, Chapter 2260 to resolve contract disputes.</w:t>
      </w:r>
    </w:p>
    <w:p w14:paraId="04138F19" w14:textId="77777777" w:rsidR="00387565" w:rsidRDefault="00387565" w:rsidP="00387565">
      <w:pPr>
        <w:widowControl w:val="0"/>
        <w:numPr>
          <w:ilvl w:val="1"/>
          <w:numId w:val="11"/>
        </w:numPr>
        <w:spacing w:after="0"/>
        <w:jc w:val="both"/>
        <w:rPr>
          <w:rFonts w:ascii="Times New Roman" w:eastAsia="Times New Roman" w:hAnsi="Times New Roman" w:cs="Times New Roman"/>
          <w:snapToGrid w:val="0"/>
          <w:sz w:val="18"/>
          <w:szCs w:val="18"/>
          <w:lang w:val="x-none" w:eastAsia="x-none"/>
        </w:rPr>
      </w:pPr>
      <w:r>
        <w:rPr>
          <w:rFonts w:ascii="Times New Roman" w:eastAsia="Times New Roman" w:hAnsi="Times New Roman" w:cs="Times New Roman"/>
          <w:b/>
          <w:snapToGrid w:val="0"/>
          <w:spacing w:val="-1"/>
          <w:sz w:val="18"/>
          <w:szCs w:val="18"/>
          <w:lang w:val="x-none" w:eastAsia="x-none"/>
        </w:rPr>
        <w:t xml:space="preserve">Debt to the State: </w:t>
      </w:r>
      <w:r>
        <w:rPr>
          <w:rFonts w:ascii="Times New Roman" w:eastAsia="Times New Roman" w:hAnsi="Times New Roman" w:cs="Times New Roman"/>
          <w:snapToGrid w:val="0"/>
          <w:spacing w:val="-1"/>
          <w:sz w:val="18"/>
          <w:szCs w:val="18"/>
          <w:lang w:val="x-none" w:eastAsia="x-none"/>
        </w:rPr>
        <w:t>Vendor agrees that any payments due under this contract will be applied towards any debt including</w:t>
      </w:r>
      <w:r>
        <w:rPr>
          <w:rFonts w:ascii="Times New Roman" w:eastAsia="Times New Roman" w:hAnsi="Times New Roman" w:cs="Times New Roman"/>
          <w:snapToGrid w:val="0"/>
          <w:spacing w:val="-1"/>
          <w:sz w:val="18"/>
          <w:szCs w:val="18"/>
          <w:lang w:eastAsia="x-none"/>
        </w:rPr>
        <w:t>,</w:t>
      </w:r>
      <w:r>
        <w:rPr>
          <w:rFonts w:ascii="Times New Roman" w:eastAsia="Times New Roman" w:hAnsi="Times New Roman" w:cs="Times New Roman"/>
          <w:snapToGrid w:val="0"/>
          <w:spacing w:val="-1"/>
          <w:sz w:val="18"/>
          <w:szCs w:val="18"/>
          <w:lang w:val="x-none" w:eastAsia="x-none"/>
        </w:rPr>
        <w:t xml:space="preserve"> but not limited to</w:t>
      </w:r>
      <w:r>
        <w:rPr>
          <w:rFonts w:ascii="Times New Roman" w:eastAsia="Times New Roman" w:hAnsi="Times New Roman" w:cs="Times New Roman"/>
          <w:snapToGrid w:val="0"/>
          <w:spacing w:val="-1"/>
          <w:sz w:val="18"/>
          <w:szCs w:val="18"/>
          <w:lang w:eastAsia="x-none"/>
        </w:rPr>
        <w:t>,</w:t>
      </w:r>
      <w:r>
        <w:rPr>
          <w:rFonts w:ascii="Times New Roman" w:eastAsia="Times New Roman" w:hAnsi="Times New Roman" w:cs="Times New Roman"/>
          <w:snapToGrid w:val="0"/>
          <w:spacing w:val="-1"/>
          <w:sz w:val="18"/>
          <w:szCs w:val="18"/>
          <w:lang w:val="x-none" w:eastAsia="x-none"/>
        </w:rPr>
        <w:t xml:space="preserve"> delinquent taxes and child support that is owed to the State of Texas.</w:t>
      </w:r>
    </w:p>
    <w:p w14:paraId="7D65566B" w14:textId="77777777" w:rsidR="00387565" w:rsidRDefault="00387565" w:rsidP="00387565">
      <w:pPr>
        <w:widowControl w:val="0"/>
        <w:numPr>
          <w:ilvl w:val="1"/>
          <w:numId w:val="11"/>
        </w:numPr>
        <w:spacing w:after="0"/>
        <w:jc w:val="both"/>
        <w:rPr>
          <w:rFonts w:ascii="Times New Roman" w:eastAsia="Times New Roman" w:hAnsi="Times New Roman" w:cs="Times New Roman"/>
          <w:snapToGrid w:val="0"/>
          <w:sz w:val="18"/>
          <w:szCs w:val="18"/>
          <w:lang w:val="x-none" w:eastAsia="x-none"/>
        </w:rPr>
      </w:pPr>
      <w:r>
        <w:rPr>
          <w:rFonts w:ascii="Times New Roman" w:eastAsia="Times New Roman" w:hAnsi="Times New Roman" w:cs="Times New Roman"/>
          <w:b/>
          <w:snapToGrid w:val="0"/>
          <w:spacing w:val="-1"/>
          <w:sz w:val="18"/>
          <w:szCs w:val="18"/>
          <w:lang w:val="x-none" w:eastAsia="x-none"/>
        </w:rPr>
        <w:t>Hold-Over Provision:</w:t>
      </w:r>
      <w:r>
        <w:rPr>
          <w:rFonts w:ascii="Times New Roman" w:eastAsia="Times New Roman" w:hAnsi="Times New Roman" w:cs="Times New Roman"/>
          <w:snapToGrid w:val="0"/>
          <w:spacing w:val="-1"/>
          <w:sz w:val="18"/>
          <w:szCs w:val="18"/>
          <w:lang w:val="x-none" w:eastAsia="x-none"/>
        </w:rPr>
        <w:t xml:space="preserve"> In the event contract renewal negotiations are not completed prior to the contract expiration date, both parties agree that services shall be provided by the Vendor and accepted by TWC , subject to all original terms and conditions of the contract, for a period not to exceed ninety (90) days following the original contract expiration date.   The hold-over  service costs shall be the pro-rated  rates in effect immediately prior to such expiration.  Such hold-over agreement shall not be interpreted to extend the term of the original contract.  TWC may ter</w:t>
      </w:r>
      <w:r>
        <w:rPr>
          <w:rFonts w:ascii="Times New Roman" w:eastAsia="Times New Roman" w:hAnsi="Times New Roman" w:cs="Times New Roman"/>
          <w:snapToGrid w:val="0"/>
          <w:spacing w:val="-1"/>
          <w:sz w:val="18"/>
          <w:szCs w:val="18"/>
          <w:lang w:val="x-none" w:eastAsia="x-none"/>
        </w:rPr>
        <w:softHyphen/>
        <w:t>mi</w:t>
      </w:r>
      <w:r>
        <w:rPr>
          <w:rFonts w:ascii="Times New Roman" w:eastAsia="Times New Roman" w:hAnsi="Times New Roman" w:cs="Times New Roman"/>
          <w:snapToGrid w:val="0"/>
          <w:spacing w:val="-1"/>
          <w:sz w:val="18"/>
          <w:szCs w:val="18"/>
          <w:lang w:val="x-none" w:eastAsia="x-none"/>
        </w:rPr>
        <w:softHyphen/>
        <w:t>nate such hold-over service  by providing written notice of cancellation not less than ten (10) business days prior to the cancellation date.</w:t>
      </w:r>
    </w:p>
    <w:p w14:paraId="196DEC83" w14:textId="33B14ABF" w:rsidR="00F41FB2" w:rsidRPr="00BD66F6" w:rsidRDefault="00387565" w:rsidP="00387565">
      <w:pPr>
        <w:widowControl w:val="0"/>
        <w:numPr>
          <w:ilvl w:val="1"/>
          <w:numId w:val="11"/>
        </w:numPr>
        <w:spacing w:after="0"/>
        <w:jc w:val="both"/>
        <w:rPr>
          <w:rFonts w:ascii="Times New Roman" w:hAnsi="Times New Roman"/>
          <w:snapToGrid w:val="0"/>
          <w:sz w:val="18"/>
          <w:szCs w:val="18"/>
          <w:lang w:val="x-none" w:eastAsia="x-none"/>
        </w:rPr>
      </w:pPr>
      <w:r>
        <w:rPr>
          <w:rFonts w:ascii="Times New Roman" w:eastAsia="Times New Roman" w:hAnsi="Times New Roman" w:cs="Times New Roman"/>
          <w:b/>
          <w:snapToGrid w:val="0"/>
          <w:spacing w:val="-1"/>
          <w:sz w:val="18"/>
          <w:szCs w:val="18"/>
          <w:lang w:eastAsia="x-none"/>
        </w:rPr>
        <w:t>Supporting Documents, Retention</w:t>
      </w:r>
      <w:r>
        <w:rPr>
          <w:rFonts w:ascii="Times New Roman" w:eastAsia="Times New Roman" w:hAnsi="Times New Roman" w:cs="Times New Roman"/>
          <w:snapToGrid w:val="0"/>
          <w:sz w:val="18"/>
          <w:szCs w:val="18"/>
          <w:lang w:val="x-none" w:eastAsia="x-none"/>
        </w:rPr>
        <w:t>:</w:t>
      </w:r>
      <w:r>
        <w:rPr>
          <w:rFonts w:ascii="Times New Roman" w:eastAsia="Times New Roman" w:hAnsi="Times New Roman" w:cs="Times New Roman"/>
          <w:snapToGrid w:val="0"/>
          <w:sz w:val="18"/>
          <w:szCs w:val="18"/>
          <w:lang w:eastAsia="x-none"/>
        </w:rPr>
        <w:t xml:space="preserve">  Vendor shall maintain and retain supporting fiscal and any other documents relevant to showing that any payments under this Contract were expended in accordance with the laws and regulations of the State of Texas, including but not limited to, requirements of the Comptroller of the State of Texas and the State Auditor.  Vendor shall maintain all such documents and other records relating to this Contract and the State’s property for a period of seven (7) years after the date of submission of the final invoices or until a resolution of all billing questions, whichever is later.  Vendor shall make available at reasonable times and upon reasonable notice, and for reasonable periods, all documents and other information related to this Contract.  Vendor and the subcontractors shall provide the State Auditor with any information that the State Auditor deems relevant to any investigation or audit.  Vendor must retain all work and other supporting documents pertaining to this Contract, for the purposes of inspecting, monitoring, auditing, or evaluating by TWC and any authorized agency of the State of Texas, including an investigation of audit by the State Auditor.</w:t>
      </w:r>
    </w:p>
    <w:p w14:paraId="4CF75E9E" w14:textId="11CA5C97" w:rsidR="00387565" w:rsidRDefault="00387565" w:rsidP="00387565">
      <w:pPr>
        <w:pStyle w:val="ListParagraph"/>
        <w:widowControl w:val="0"/>
        <w:numPr>
          <w:ilvl w:val="1"/>
          <w:numId w:val="11"/>
        </w:numPr>
        <w:spacing w:after="0" w:line="276" w:lineRule="auto"/>
        <w:jc w:val="both"/>
        <w:rPr>
          <w:rFonts w:ascii="Times New Roman" w:eastAsia="Times New Roman" w:hAnsi="Times New Roman" w:cs="Times New Roman"/>
          <w:snapToGrid w:val="0"/>
          <w:sz w:val="18"/>
          <w:szCs w:val="18"/>
          <w:lang w:eastAsia="x-none"/>
        </w:rPr>
      </w:pPr>
      <w:r>
        <w:rPr>
          <w:rFonts w:ascii="Times New Roman" w:eastAsia="Times New Roman" w:hAnsi="Times New Roman" w:cs="Times New Roman"/>
          <w:b/>
          <w:snapToGrid w:val="0"/>
          <w:spacing w:val="-1"/>
          <w:sz w:val="18"/>
          <w:szCs w:val="18"/>
          <w:lang w:eastAsia="x-none"/>
        </w:rPr>
        <w:t xml:space="preserve">State Auditor: </w:t>
      </w:r>
      <w:r>
        <w:rPr>
          <w:rFonts w:ascii="Times New Roman" w:eastAsia="Times New Roman" w:hAnsi="Times New Roman" w:cs="Times New Roman"/>
          <w:snapToGrid w:val="0"/>
          <w:spacing w:val="-1"/>
          <w:sz w:val="18"/>
          <w:szCs w:val="18"/>
          <w:lang w:eastAsia="x-none"/>
        </w:rPr>
        <w:t>Vendor shall cooperate with any authorized agents of the State of Texas and shall provide them with prompt access to all of such State’s work as requested.  Vendor’s failure to comply with this Section shall constitute a material breach of this Contract and shall authorize TWC and the State of Texas to immediately assess appropriate damages for such failure.  Pursuant to</w:t>
      </w:r>
      <w:r>
        <w:rPr>
          <w:rFonts w:ascii="Times New Roman" w:eastAsia="Times New Roman" w:hAnsi="Times New Roman" w:cs="Times New Roman"/>
          <w:b/>
          <w:snapToGrid w:val="0"/>
          <w:spacing w:val="-1"/>
          <w:sz w:val="18"/>
          <w:szCs w:val="18"/>
          <w:lang w:val="x-none" w:eastAsia="x-none"/>
        </w:rPr>
        <w:t xml:space="preserve"> </w:t>
      </w:r>
      <w:r>
        <w:rPr>
          <w:rFonts w:ascii="Times New Roman" w:eastAsia="Times New Roman" w:hAnsi="Times New Roman" w:cs="Times New Roman"/>
          <w:snapToGrid w:val="0"/>
          <w:spacing w:val="-1"/>
          <w:sz w:val="18"/>
          <w:szCs w:val="18"/>
          <w:lang w:val="x-none" w:eastAsia="x-none"/>
        </w:rPr>
        <w:t>T</w:t>
      </w:r>
      <w:r>
        <w:rPr>
          <w:rFonts w:ascii="Times New Roman" w:eastAsia="Times New Roman" w:hAnsi="Times New Roman" w:cs="Times New Roman"/>
          <w:snapToGrid w:val="0"/>
          <w:spacing w:val="-1"/>
          <w:sz w:val="18"/>
          <w:szCs w:val="18"/>
          <w:lang w:eastAsia="x-none"/>
        </w:rPr>
        <w:t>exas G</w:t>
      </w:r>
      <w:r>
        <w:rPr>
          <w:rFonts w:ascii="Times New Roman" w:eastAsia="Times New Roman" w:hAnsi="Times New Roman" w:cs="Times New Roman"/>
          <w:snapToGrid w:val="0"/>
          <w:spacing w:val="-1"/>
          <w:sz w:val="18"/>
          <w:szCs w:val="18"/>
          <w:lang w:val="x-none" w:eastAsia="x-none"/>
        </w:rPr>
        <w:t>overnment C</w:t>
      </w:r>
      <w:r>
        <w:rPr>
          <w:rFonts w:ascii="Times New Roman" w:eastAsia="Times New Roman" w:hAnsi="Times New Roman" w:cs="Times New Roman"/>
          <w:snapToGrid w:val="0"/>
          <w:spacing w:val="-1"/>
          <w:sz w:val="18"/>
          <w:szCs w:val="18"/>
          <w:lang w:eastAsia="x-none"/>
        </w:rPr>
        <w:t xml:space="preserve">ode </w:t>
      </w:r>
      <w:r>
        <w:rPr>
          <w:rFonts w:ascii="Times New Roman" w:eastAsia="Times New Roman" w:hAnsi="Times New Roman" w:cs="Times New Roman"/>
          <w:snapToGrid w:val="0"/>
          <w:sz w:val="18"/>
          <w:szCs w:val="18"/>
          <w:lang w:val="x-none" w:eastAsia="x-none"/>
        </w:rPr>
        <w:t>§</w:t>
      </w:r>
      <w:r>
        <w:rPr>
          <w:rFonts w:ascii="Times New Roman" w:eastAsia="Times New Roman" w:hAnsi="Times New Roman" w:cs="Times New Roman"/>
          <w:snapToGrid w:val="0"/>
          <w:spacing w:val="-1"/>
          <w:sz w:val="18"/>
          <w:szCs w:val="18"/>
          <w:lang w:val="x-none" w:eastAsia="x-none"/>
        </w:rPr>
        <w:t xml:space="preserve"> 2262.</w:t>
      </w:r>
      <w:r>
        <w:rPr>
          <w:rFonts w:ascii="Times New Roman" w:eastAsia="Times New Roman" w:hAnsi="Times New Roman" w:cs="Times New Roman"/>
          <w:snapToGrid w:val="0"/>
          <w:spacing w:val="-1"/>
          <w:sz w:val="18"/>
          <w:szCs w:val="18"/>
          <w:lang w:eastAsia="x-none"/>
        </w:rPr>
        <w:t>154</w:t>
      </w:r>
      <w:r>
        <w:rPr>
          <w:rFonts w:ascii="Times New Roman" w:eastAsia="Times New Roman" w:hAnsi="Times New Roman" w:cs="Times New Roman"/>
          <w:snapToGrid w:val="0"/>
          <w:spacing w:val="-1"/>
          <w:sz w:val="18"/>
          <w:szCs w:val="18"/>
          <w:lang w:val="x-none" w:eastAsia="x-none"/>
        </w:rPr>
        <w:t xml:space="preserve">, </w:t>
      </w:r>
      <w:r>
        <w:rPr>
          <w:rFonts w:ascii="Times New Roman" w:eastAsia="Times New Roman" w:hAnsi="Times New Roman" w:cs="Times New Roman"/>
          <w:snapToGrid w:val="0"/>
          <w:spacing w:val="-1"/>
          <w:sz w:val="18"/>
          <w:szCs w:val="18"/>
          <w:lang w:eastAsia="x-none"/>
        </w:rPr>
        <w:t>the</w:t>
      </w:r>
      <w:r>
        <w:rPr>
          <w:rFonts w:ascii="Times New Roman" w:eastAsia="Times New Roman" w:hAnsi="Times New Roman" w:cs="Times New Roman"/>
          <w:snapToGrid w:val="0"/>
          <w:spacing w:val="-1"/>
          <w:sz w:val="18"/>
          <w:szCs w:val="18"/>
          <w:lang w:val="x-none" w:eastAsia="x-none"/>
        </w:rPr>
        <w:t xml:space="preserve"> acceptance of funds </w:t>
      </w:r>
      <w:r>
        <w:rPr>
          <w:rFonts w:ascii="Times New Roman" w:eastAsia="Times New Roman" w:hAnsi="Times New Roman" w:cs="Times New Roman"/>
          <w:snapToGrid w:val="0"/>
          <w:spacing w:val="-1"/>
          <w:sz w:val="18"/>
          <w:szCs w:val="18"/>
          <w:lang w:eastAsia="x-none"/>
        </w:rPr>
        <w:t xml:space="preserve">by Vendor or any other entity or person </w:t>
      </w:r>
      <w:r>
        <w:rPr>
          <w:rFonts w:ascii="Times New Roman" w:eastAsia="Times New Roman" w:hAnsi="Times New Roman" w:cs="Times New Roman"/>
          <w:snapToGrid w:val="0"/>
          <w:spacing w:val="-1"/>
          <w:sz w:val="18"/>
          <w:szCs w:val="18"/>
          <w:lang w:val="x-none" w:eastAsia="x-none"/>
        </w:rPr>
        <w:t xml:space="preserve">directly under </w:t>
      </w:r>
      <w:r>
        <w:rPr>
          <w:rFonts w:ascii="Times New Roman" w:eastAsia="Times New Roman" w:hAnsi="Times New Roman" w:cs="Times New Roman"/>
          <w:snapToGrid w:val="0"/>
          <w:spacing w:val="-1"/>
          <w:sz w:val="18"/>
          <w:szCs w:val="18"/>
          <w:lang w:eastAsia="x-none"/>
        </w:rPr>
        <w:t>this</w:t>
      </w:r>
      <w:r>
        <w:rPr>
          <w:rFonts w:ascii="Times New Roman" w:eastAsia="Times New Roman" w:hAnsi="Times New Roman" w:cs="Times New Roman"/>
          <w:snapToGrid w:val="0"/>
          <w:spacing w:val="-1"/>
          <w:sz w:val="18"/>
          <w:szCs w:val="18"/>
          <w:lang w:val="x-none" w:eastAsia="x-none"/>
        </w:rPr>
        <w:t xml:space="preserve"> </w:t>
      </w:r>
      <w:r w:rsidR="001E3200">
        <w:rPr>
          <w:rFonts w:ascii="Times New Roman" w:eastAsia="Times New Roman" w:hAnsi="Times New Roman" w:cs="Times New Roman"/>
          <w:snapToGrid w:val="0"/>
          <w:spacing w:val="-1"/>
          <w:sz w:val="18"/>
          <w:szCs w:val="18"/>
          <w:lang w:eastAsia="x-none"/>
        </w:rPr>
        <w:t>Contract</w:t>
      </w:r>
      <w:r>
        <w:rPr>
          <w:rFonts w:ascii="Times New Roman" w:eastAsia="Times New Roman" w:hAnsi="Times New Roman" w:cs="Times New Roman"/>
          <w:snapToGrid w:val="0"/>
          <w:spacing w:val="-1"/>
          <w:sz w:val="18"/>
          <w:szCs w:val="18"/>
          <w:lang w:eastAsia="x-none"/>
        </w:rPr>
        <w:t>,</w:t>
      </w:r>
      <w:r>
        <w:rPr>
          <w:rFonts w:ascii="Times New Roman" w:eastAsia="Times New Roman" w:hAnsi="Times New Roman" w:cs="Times New Roman"/>
          <w:snapToGrid w:val="0"/>
          <w:spacing w:val="-1"/>
          <w:sz w:val="18"/>
          <w:szCs w:val="18"/>
          <w:lang w:val="x-none" w:eastAsia="x-none"/>
        </w:rPr>
        <w:t xml:space="preserve"> or indirectly through a subcontract under </w:t>
      </w:r>
      <w:r>
        <w:rPr>
          <w:rFonts w:ascii="Times New Roman" w:eastAsia="Times New Roman" w:hAnsi="Times New Roman" w:cs="Times New Roman"/>
          <w:snapToGrid w:val="0"/>
          <w:spacing w:val="-1"/>
          <w:sz w:val="18"/>
          <w:szCs w:val="18"/>
          <w:lang w:eastAsia="x-none"/>
        </w:rPr>
        <w:t xml:space="preserve">this </w:t>
      </w:r>
      <w:r w:rsidR="001E3200">
        <w:rPr>
          <w:rFonts w:ascii="Times New Roman" w:eastAsia="Times New Roman" w:hAnsi="Times New Roman" w:cs="Times New Roman"/>
          <w:snapToGrid w:val="0"/>
          <w:spacing w:val="-1"/>
          <w:sz w:val="18"/>
          <w:szCs w:val="18"/>
          <w:lang w:eastAsia="x-none"/>
        </w:rPr>
        <w:t xml:space="preserve">Contract </w:t>
      </w:r>
      <w:r>
        <w:rPr>
          <w:rFonts w:ascii="Times New Roman" w:eastAsia="Times New Roman" w:hAnsi="Times New Roman" w:cs="Times New Roman"/>
          <w:snapToGrid w:val="0"/>
          <w:spacing w:val="-1"/>
          <w:sz w:val="18"/>
          <w:szCs w:val="18"/>
          <w:lang w:eastAsia="x-none"/>
        </w:rPr>
        <w:t>shall constitute</w:t>
      </w:r>
      <w:r>
        <w:rPr>
          <w:rFonts w:ascii="Times New Roman" w:eastAsia="Times New Roman" w:hAnsi="Times New Roman" w:cs="Times New Roman"/>
          <w:snapToGrid w:val="0"/>
          <w:spacing w:val="-1"/>
          <w:sz w:val="18"/>
          <w:szCs w:val="18"/>
          <w:lang w:val="x-none" w:eastAsia="x-none"/>
        </w:rPr>
        <w:t xml:space="preserve"> acceptance of the authority of the State Auditor's Office, or any successor agency, to conduct an audit or investigation in connection with those funds.  Vendor </w:t>
      </w:r>
      <w:r>
        <w:rPr>
          <w:rFonts w:ascii="Times New Roman" w:eastAsia="Times New Roman" w:hAnsi="Times New Roman" w:cs="Times New Roman"/>
          <w:snapToGrid w:val="0"/>
          <w:spacing w:val="-1"/>
          <w:sz w:val="18"/>
          <w:szCs w:val="18"/>
          <w:lang w:eastAsia="x-none"/>
        </w:rPr>
        <w:t>acknowledges and understands that the acceptance of funds under this Contract shall constitute consent to an audit by the State Auditor, Comptroller or other agency of the State of Texas.</w:t>
      </w:r>
      <w:r>
        <w:rPr>
          <w:rFonts w:ascii="Times New Roman" w:eastAsia="Times New Roman" w:hAnsi="Times New Roman" w:cs="Times New Roman"/>
          <w:snapToGrid w:val="0"/>
          <w:spacing w:val="-1"/>
          <w:sz w:val="18"/>
          <w:szCs w:val="18"/>
          <w:lang w:val="x-none" w:eastAsia="x-none"/>
        </w:rPr>
        <w:t xml:space="preserve">  Vendor </w:t>
      </w:r>
      <w:r>
        <w:rPr>
          <w:rFonts w:ascii="Times New Roman" w:eastAsia="Times New Roman" w:hAnsi="Times New Roman" w:cs="Times New Roman"/>
          <w:snapToGrid w:val="0"/>
          <w:spacing w:val="-1"/>
          <w:sz w:val="18"/>
          <w:szCs w:val="18"/>
          <w:lang w:eastAsia="x-none"/>
        </w:rPr>
        <w:t>shall</w:t>
      </w:r>
      <w:r>
        <w:rPr>
          <w:rFonts w:ascii="Times New Roman" w:eastAsia="Times New Roman" w:hAnsi="Times New Roman" w:cs="Times New Roman"/>
          <w:snapToGrid w:val="0"/>
          <w:spacing w:val="-1"/>
          <w:sz w:val="18"/>
          <w:szCs w:val="18"/>
          <w:lang w:val="x-none" w:eastAsia="x-none"/>
        </w:rPr>
        <w:t xml:space="preserve"> ensure that this </w:t>
      </w:r>
      <w:r>
        <w:rPr>
          <w:rFonts w:ascii="Times New Roman" w:eastAsia="Times New Roman" w:hAnsi="Times New Roman" w:cs="Times New Roman"/>
          <w:snapToGrid w:val="0"/>
          <w:spacing w:val="-1"/>
          <w:sz w:val="18"/>
          <w:szCs w:val="18"/>
          <w:lang w:eastAsia="x-none"/>
        </w:rPr>
        <w:t>paragraph</w:t>
      </w:r>
      <w:r>
        <w:rPr>
          <w:rFonts w:ascii="Times New Roman" w:eastAsia="Times New Roman" w:hAnsi="Times New Roman" w:cs="Times New Roman"/>
          <w:snapToGrid w:val="0"/>
          <w:spacing w:val="-1"/>
          <w:sz w:val="18"/>
          <w:szCs w:val="18"/>
          <w:lang w:val="x-none" w:eastAsia="x-none"/>
        </w:rPr>
        <w:t xml:space="preserve"> concerning the </w:t>
      </w:r>
      <w:r>
        <w:rPr>
          <w:rFonts w:ascii="Times New Roman" w:eastAsia="Times New Roman" w:hAnsi="Times New Roman" w:cs="Times New Roman"/>
          <w:snapToGrid w:val="0"/>
          <w:spacing w:val="-1"/>
          <w:sz w:val="18"/>
          <w:szCs w:val="18"/>
          <w:lang w:eastAsia="x-none"/>
        </w:rPr>
        <w:t xml:space="preserve">State’s </w:t>
      </w:r>
      <w:r>
        <w:rPr>
          <w:rFonts w:ascii="Times New Roman" w:eastAsia="Times New Roman" w:hAnsi="Times New Roman" w:cs="Times New Roman"/>
          <w:snapToGrid w:val="0"/>
          <w:spacing w:val="-1"/>
          <w:sz w:val="18"/>
          <w:szCs w:val="18"/>
          <w:lang w:val="x-none" w:eastAsia="x-none"/>
        </w:rPr>
        <w:t>authority to audit funds received indirectly by subcontractors through Vendor and the requirement to cooperate is included in any subcontract it awards.</w:t>
      </w:r>
      <w:r>
        <w:rPr>
          <w:rFonts w:ascii="Times New Roman" w:eastAsia="Times New Roman" w:hAnsi="Times New Roman" w:cs="Times New Roman"/>
          <w:snapToGrid w:val="0"/>
          <w:spacing w:val="-1"/>
          <w:sz w:val="18"/>
          <w:szCs w:val="18"/>
          <w:lang w:eastAsia="x-none"/>
        </w:rPr>
        <w:t xml:space="preserve">  Furthermore, under the director of the legislative audit committee, an entity that is subject of an audit or investigation by the State Auditor must provide the State Auditor with access to any information the State Auditor considers relevant to the investigation or audit.</w:t>
      </w:r>
    </w:p>
    <w:p w14:paraId="48F59FFA" w14:textId="77777777" w:rsidR="00387565" w:rsidRDefault="00387565" w:rsidP="00387565">
      <w:pPr>
        <w:widowControl w:val="0"/>
        <w:numPr>
          <w:ilvl w:val="1"/>
          <w:numId w:val="11"/>
        </w:numPr>
        <w:spacing w:after="0"/>
        <w:jc w:val="both"/>
        <w:rPr>
          <w:rFonts w:ascii="Times New Roman" w:eastAsia="Times New Roman" w:hAnsi="Times New Roman" w:cs="Times New Roman"/>
          <w:snapToGrid w:val="0"/>
          <w:sz w:val="18"/>
          <w:szCs w:val="18"/>
          <w:lang w:val="x-none" w:eastAsia="x-none"/>
        </w:rPr>
      </w:pPr>
      <w:r>
        <w:rPr>
          <w:rFonts w:ascii="Times New Roman" w:eastAsia="Times New Roman" w:hAnsi="Times New Roman" w:cs="Times New Roman"/>
          <w:b/>
          <w:snapToGrid w:val="0"/>
          <w:sz w:val="18"/>
          <w:szCs w:val="18"/>
          <w:lang w:val="x-none" w:eastAsia="x-none"/>
        </w:rPr>
        <w:t xml:space="preserve">Limitation on TWC's Liability:  </w:t>
      </w:r>
      <w:r>
        <w:rPr>
          <w:rFonts w:ascii="Times New Roman" w:eastAsia="Times New Roman" w:hAnsi="Times New Roman" w:cs="Times New Roman"/>
          <w:snapToGrid w:val="0"/>
          <w:sz w:val="18"/>
          <w:szCs w:val="18"/>
          <w:lang w:val="x-none" w:eastAsia="x-none"/>
        </w:rPr>
        <w:t>TWC will not be liable for any incidental, indirect, special, or consequential damages under contract, Tort, (including negligence), or other legal theory. TWC's liability to Vendor under the contract will not exceed the total charges to be paid by TWC to Vendor under the contract.</w:t>
      </w:r>
    </w:p>
    <w:p w14:paraId="120705BA" w14:textId="77777777" w:rsidR="00387565" w:rsidRDefault="00387565" w:rsidP="00387565">
      <w:pPr>
        <w:widowControl w:val="0"/>
        <w:numPr>
          <w:ilvl w:val="1"/>
          <w:numId w:val="11"/>
        </w:numPr>
        <w:spacing w:after="0"/>
        <w:jc w:val="both"/>
        <w:rPr>
          <w:rFonts w:ascii="Times New Roman" w:eastAsia="Times New Roman" w:hAnsi="Times New Roman" w:cs="Times New Roman"/>
          <w:snapToGrid w:val="0"/>
          <w:sz w:val="18"/>
          <w:szCs w:val="18"/>
          <w:lang w:val="x-none" w:eastAsia="x-none"/>
        </w:rPr>
      </w:pPr>
      <w:r>
        <w:rPr>
          <w:rFonts w:ascii="Times New Roman" w:eastAsia="Times New Roman" w:hAnsi="Times New Roman" w:cs="Times New Roman"/>
          <w:b/>
          <w:snapToGrid w:val="0"/>
          <w:sz w:val="18"/>
          <w:szCs w:val="18"/>
        </w:rPr>
        <w:t>State Ownership:</w:t>
      </w:r>
      <w:r>
        <w:rPr>
          <w:rFonts w:ascii="Times New Roman" w:eastAsia="Times New Roman" w:hAnsi="Times New Roman" w:cs="Times New Roman"/>
          <w:snapToGrid w:val="0"/>
          <w:sz w:val="18"/>
          <w:szCs w:val="18"/>
        </w:rPr>
        <w:t xml:space="preserve"> The Parties agree that TWC will own all right, title and interest in and to the work products including deliverables, source and object code and documentation developed by the Vendor in connection with the contract.</w:t>
      </w:r>
    </w:p>
    <w:p w14:paraId="3273641F" w14:textId="77777777" w:rsidR="00387565" w:rsidRPr="000851E0" w:rsidRDefault="00387565" w:rsidP="000851E0">
      <w:pPr>
        <w:widowControl w:val="0"/>
        <w:numPr>
          <w:ilvl w:val="2"/>
          <w:numId w:val="11"/>
        </w:numPr>
        <w:tabs>
          <w:tab w:val="clear" w:pos="1440"/>
        </w:tabs>
        <w:spacing w:after="0"/>
        <w:ind w:left="1080" w:hanging="630"/>
        <w:jc w:val="both"/>
        <w:rPr>
          <w:rFonts w:ascii="Times New Roman" w:hAnsi="Times New Roman"/>
          <w:snapToGrid w:val="0"/>
          <w:sz w:val="18"/>
          <w:szCs w:val="18"/>
          <w:lang w:val="x-none" w:eastAsia="x-none"/>
        </w:rPr>
      </w:pPr>
      <w:r w:rsidRPr="000851E0">
        <w:rPr>
          <w:rFonts w:ascii="Times New Roman" w:hAnsi="Times New Roman"/>
          <w:snapToGrid w:val="0"/>
          <w:sz w:val="18"/>
          <w:szCs w:val="18"/>
          <w:lang w:val="x-none" w:eastAsia="x-none"/>
        </w:rPr>
        <w:t>All work products including deliverables, source and object code and documentation, in whole or in part, will be deemed works made for hire of TWC for purposes of copyright law and copyright will belong solely to TWC.</w:t>
      </w:r>
    </w:p>
    <w:p w14:paraId="0FD4D1E8" w14:textId="77777777" w:rsidR="00387565" w:rsidRPr="000851E0" w:rsidRDefault="00387565" w:rsidP="000851E0">
      <w:pPr>
        <w:widowControl w:val="0"/>
        <w:numPr>
          <w:ilvl w:val="2"/>
          <w:numId w:val="11"/>
        </w:numPr>
        <w:tabs>
          <w:tab w:val="clear" w:pos="1440"/>
        </w:tabs>
        <w:spacing w:after="0"/>
        <w:ind w:left="1080" w:hanging="630"/>
        <w:jc w:val="both"/>
        <w:rPr>
          <w:rFonts w:ascii="Times New Roman" w:hAnsi="Times New Roman"/>
          <w:snapToGrid w:val="0"/>
          <w:sz w:val="18"/>
          <w:szCs w:val="18"/>
          <w:lang w:val="x-none" w:eastAsia="x-none"/>
        </w:rPr>
      </w:pPr>
      <w:r w:rsidRPr="000851E0">
        <w:rPr>
          <w:rFonts w:ascii="Times New Roman" w:hAnsi="Times New Roman"/>
          <w:snapToGrid w:val="0"/>
          <w:sz w:val="18"/>
          <w:szCs w:val="18"/>
          <w:lang w:val="x-none" w:eastAsia="x-none"/>
        </w:rPr>
        <w:t>To the extent that any such work product or deliverable does not qualify as a work made for hire under applicable law, and to the extent that the deliverable or work product includes materials subject to copyright, patent, trade secret, or other proprietary right protection, Vendor agrees to assign, and hereby assigns, all right, title, and interest in and to the work products and deliverables, including without limitation all copyrights, inventions, patents, trade secrets, and other proprietary rights therein (including renewals thereof) to TWC.</w:t>
      </w:r>
    </w:p>
    <w:p w14:paraId="7285602F" w14:textId="77777777" w:rsidR="00387565" w:rsidRPr="000851E0" w:rsidRDefault="00387565" w:rsidP="000851E0">
      <w:pPr>
        <w:widowControl w:val="0"/>
        <w:numPr>
          <w:ilvl w:val="2"/>
          <w:numId w:val="11"/>
        </w:numPr>
        <w:tabs>
          <w:tab w:val="clear" w:pos="1440"/>
        </w:tabs>
        <w:spacing w:after="0"/>
        <w:ind w:left="1080" w:hanging="630"/>
        <w:jc w:val="both"/>
        <w:rPr>
          <w:rFonts w:ascii="Times New Roman" w:hAnsi="Times New Roman"/>
          <w:snapToGrid w:val="0"/>
          <w:sz w:val="18"/>
          <w:szCs w:val="18"/>
          <w:lang w:val="x-none" w:eastAsia="x-none"/>
        </w:rPr>
      </w:pPr>
      <w:r w:rsidRPr="000851E0">
        <w:rPr>
          <w:rFonts w:ascii="Times New Roman" w:hAnsi="Times New Roman"/>
          <w:snapToGrid w:val="0"/>
          <w:sz w:val="18"/>
          <w:szCs w:val="18"/>
          <w:lang w:val="x-none" w:eastAsia="x-none"/>
        </w:rPr>
        <w:t xml:space="preserve">Vendor will assist TWC or its nominees to obtain copyrights, trademarks, or patents for all such work products or deliverables in the United States and any other countries.  Vendor agrees to execute all papers and to give all facts known to it necessary to secure United </w:t>
      </w:r>
      <w:r w:rsidRPr="000851E0">
        <w:rPr>
          <w:rFonts w:ascii="Times New Roman" w:hAnsi="Times New Roman"/>
          <w:snapToGrid w:val="0"/>
          <w:sz w:val="18"/>
          <w:szCs w:val="18"/>
          <w:lang w:val="x-none" w:eastAsia="x-none"/>
        </w:rPr>
        <w:lastRenderedPageBreak/>
        <w:t>States or foreign country copyrights and patents, and to transfer to TWC all the right, title, and interest in and to such work products or deliverables.  Vendor agrees to not assert any moral rights under applicable copyright law with regard to such work products and deliverables.</w:t>
      </w:r>
    </w:p>
    <w:p w14:paraId="01C7E00B" w14:textId="77777777" w:rsidR="00387565" w:rsidRPr="000851E0" w:rsidRDefault="00387565" w:rsidP="000851E0">
      <w:pPr>
        <w:widowControl w:val="0"/>
        <w:numPr>
          <w:ilvl w:val="2"/>
          <w:numId w:val="11"/>
        </w:numPr>
        <w:tabs>
          <w:tab w:val="clear" w:pos="1440"/>
        </w:tabs>
        <w:spacing w:after="0"/>
        <w:ind w:left="1080" w:hanging="630"/>
        <w:jc w:val="both"/>
        <w:rPr>
          <w:rFonts w:ascii="Times New Roman" w:hAnsi="Times New Roman"/>
          <w:snapToGrid w:val="0"/>
          <w:sz w:val="18"/>
          <w:szCs w:val="18"/>
          <w:lang w:val="x-none" w:eastAsia="x-none"/>
        </w:rPr>
      </w:pPr>
      <w:r w:rsidRPr="000851E0">
        <w:rPr>
          <w:rFonts w:ascii="Times New Roman" w:hAnsi="Times New Roman"/>
          <w:snapToGrid w:val="0"/>
          <w:sz w:val="18"/>
          <w:szCs w:val="18"/>
          <w:lang w:val="x-none" w:eastAsia="x-none"/>
        </w:rPr>
        <w:t>Vendor agrees to reproduce and include TWC's copyright and other proprietary notices and product identifications provided by Vendor on such copies, in whole or in part, or on any form of the work products or deliverables.</w:t>
      </w:r>
    </w:p>
    <w:p w14:paraId="6BEAA7F0" w14:textId="77777777" w:rsidR="00387565" w:rsidRDefault="00387565" w:rsidP="00387565">
      <w:pPr>
        <w:widowControl w:val="0"/>
        <w:numPr>
          <w:ilvl w:val="1"/>
          <w:numId w:val="11"/>
        </w:numPr>
        <w:spacing w:after="0"/>
        <w:jc w:val="both"/>
        <w:rPr>
          <w:rFonts w:ascii="Times New Roman" w:eastAsia="Times New Roman" w:hAnsi="Times New Roman" w:cs="Times New Roman"/>
          <w:snapToGrid w:val="0"/>
          <w:sz w:val="18"/>
          <w:szCs w:val="18"/>
          <w:lang w:val="x-none" w:eastAsia="x-none"/>
        </w:rPr>
      </w:pPr>
      <w:r>
        <w:rPr>
          <w:rFonts w:ascii="Times New Roman" w:eastAsia="Times New Roman" w:hAnsi="Times New Roman" w:cs="Times New Roman"/>
          <w:b/>
          <w:snapToGrid w:val="0"/>
          <w:sz w:val="18"/>
          <w:szCs w:val="18"/>
        </w:rPr>
        <w:t>License:</w:t>
      </w:r>
      <w:r>
        <w:rPr>
          <w:rFonts w:ascii="Times New Roman" w:eastAsia="Times New Roman" w:hAnsi="Times New Roman" w:cs="Times New Roman"/>
          <w:snapToGrid w:val="0"/>
          <w:sz w:val="18"/>
          <w:szCs w:val="18"/>
        </w:rPr>
        <w:t xml:space="preserve"> In accordance with 2 Code of Federal Regulations § 200.315, all appropriate State and Federal agencies will have a royalty-free, nonexclusive, and irrevocable license to reproduce, publish, translate or otherwise use, and to authorize others to use for State or Federal purposes all materials, deliverables and work products, including software and modifications thereof, and associated documentation designed, developed, or installed with Federal Financial Participation under the contract, including but not limited to those materials covered by copyright, all source and object code, instructions, files, and documentation composing the system.</w:t>
      </w:r>
    </w:p>
    <w:p w14:paraId="243986E5" w14:textId="77777777" w:rsidR="00387565" w:rsidRDefault="00387565" w:rsidP="00387565">
      <w:pPr>
        <w:widowControl w:val="0"/>
        <w:numPr>
          <w:ilvl w:val="1"/>
          <w:numId w:val="11"/>
        </w:numPr>
        <w:spacing w:after="0"/>
        <w:jc w:val="both"/>
        <w:rPr>
          <w:rFonts w:ascii="Times New Roman" w:eastAsia="Times New Roman" w:hAnsi="Times New Roman" w:cs="Times New Roman"/>
          <w:snapToGrid w:val="0"/>
          <w:sz w:val="18"/>
          <w:szCs w:val="18"/>
          <w:lang w:val="x-none" w:eastAsia="x-none"/>
        </w:rPr>
      </w:pPr>
      <w:r>
        <w:rPr>
          <w:rFonts w:ascii="Times New Roman" w:eastAsia="Times New Roman" w:hAnsi="Times New Roman" w:cs="Times New Roman"/>
          <w:b/>
          <w:snapToGrid w:val="0"/>
          <w:sz w:val="18"/>
          <w:szCs w:val="18"/>
        </w:rPr>
        <w:t xml:space="preserve">Most Favored Customer: </w:t>
      </w:r>
      <w:r>
        <w:rPr>
          <w:rFonts w:ascii="Times New Roman" w:eastAsia="Times New Roman" w:hAnsi="Times New Roman" w:cs="Times New Roman"/>
          <w:snapToGrid w:val="0"/>
          <w:sz w:val="18"/>
          <w:szCs w:val="18"/>
        </w:rPr>
        <w:t xml:space="preserve"> If during the term of the contract, the Vendor enters into another contract with any customer for substantially similar services at prices more favorable than those provided to TWC, the contract may be amended to provide the more favorable prices to TWC.</w:t>
      </w:r>
    </w:p>
    <w:p w14:paraId="765C01C6" w14:textId="4DF8CE8A" w:rsidR="00F41FB2" w:rsidRPr="00BD66F6" w:rsidRDefault="00387565" w:rsidP="00387565">
      <w:pPr>
        <w:numPr>
          <w:ilvl w:val="1"/>
          <w:numId w:val="11"/>
        </w:numPr>
        <w:spacing w:after="0"/>
        <w:jc w:val="both"/>
        <w:rPr>
          <w:rFonts w:ascii="Times New Roman" w:hAnsi="Times New Roman"/>
          <w:snapToGrid w:val="0"/>
          <w:sz w:val="18"/>
          <w:szCs w:val="18"/>
        </w:rPr>
      </w:pPr>
      <w:r>
        <w:rPr>
          <w:rFonts w:ascii="Times New Roman" w:eastAsia="Times New Roman" w:hAnsi="Times New Roman" w:cs="Times New Roman"/>
          <w:b/>
          <w:snapToGrid w:val="0"/>
          <w:sz w:val="18"/>
          <w:szCs w:val="18"/>
        </w:rPr>
        <w:t>Governing Law and Venue:</w:t>
      </w:r>
      <w:r>
        <w:rPr>
          <w:rFonts w:ascii="Times New Roman" w:eastAsia="Times New Roman" w:hAnsi="Times New Roman" w:cs="Times New Roman"/>
          <w:snapToGrid w:val="0"/>
          <w:sz w:val="18"/>
          <w:szCs w:val="18"/>
        </w:rPr>
        <w:t xml:space="preserve"> </w:t>
      </w:r>
      <w:r>
        <w:rPr>
          <w:rFonts w:ascii="Times New Roman" w:eastAsia="Times New Roman" w:hAnsi="Times New Roman" w:cs="Times New Roman"/>
          <w:sz w:val="18"/>
          <w:szCs w:val="18"/>
        </w:rPr>
        <w:t>The contract shall be executed in and governed, construed and interpreted under the laws of the state of Texas.  Vendor agrees that proper venue for a claim arising under the contract shall be brought in a court of competent jurisdiction in Travis County, Texas.</w:t>
      </w:r>
    </w:p>
    <w:p w14:paraId="00C8C601" w14:textId="77777777" w:rsidR="00387565" w:rsidRDefault="00387565" w:rsidP="00387565">
      <w:pPr>
        <w:widowControl w:val="0"/>
        <w:numPr>
          <w:ilvl w:val="1"/>
          <w:numId w:val="11"/>
        </w:numPr>
        <w:spacing w:after="0"/>
        <w:jc w:val="both"/>
        <w:rPr>
          <w:rFonts w:ascii="Times New Roman" w:eastAsia="Times New Roman" w:hAnsi="Times New Roman" w:cs="Times New Roman"/>
          <w:snapToGrid w:val="0"/>
          <w:sz w:val="18"/>
          <w:szCs w:val="18"/>
          <w:lang w:val="x-none" w:eastAsia="x-none"/>
        </w:rPr>
      </w:pPr>
      <w:r>
        <w:rPr>
          <w:rFonts w:ascii="Times New Roman" w:eastAsia="Times New Roman" w:hAnsi="Times New Roman" w:cs="Times New Roman"/>
          <w:b/>
          <w:snapToGrid w:val="0"/>
          <w:sz w:val="18"/>
          <w:szCs w:val="18"/>
        </w:rPr>
        <w:t>Severability:</w:t>
      </w:r>
      <w:r>
        <w:rPr>
          <w:rFonts w:ascii="Times New Roman" w:eastAsia="Times New Roman" w:hAnsi="Times New Roman" w:cs="Times New Roman"/>
          <w:snapToGrid w:val="0"/>
          <w:sz w:val="18"/>
          <w:szCs w:val="18"/>
        </w:rPr>
        <w:t xml:space="preserve">  If any provision of the contract is construed to be illegal or invalid, such provision shall be deemed stricken and deleted to the same extent and effect as if never incorporated into the contract, but all other provisions shall remain in full force and effect.</w:t>
      </w:r>
    </w:p>
    <w:p w14:paraId="3160C6A4" w14:textId="77777777" w:rsidR="00387565" w:rsidRDefault="00387565" w:rsidP="00387565">
      <w:pPr>
        <w:widowControl w:val="0"/>
        <w:numPr>
          <w:ilvl w:val="1"/>
          <w:numId w:val="11"/>
        </w:numPr>
        <w:spacing w:after="0"/>
        <w:jc w:val="both"/>
        <w:rPr>
          <w:rFonts w:ascii="Times New Roman" w:eastAsia="Times New Roman" w:hAnsi="Times New Roman" w:cs="Times New Roman"/>
          <w:snapToGrid w:val="0"/>
          <w:sz w:val="18"/>
          <w:szCs w:val="18"/>
          <w:lang w:val="x-none" w:eastAsia="x-none"/>
        </w:rPr>
      </w:pPr>
      <w:r>
        <w:rPr>
          <w:rFonts w:ascii="Times New Roman" w:eastAsia="Times New Roman" w:hAnsi="Times New Roman" w:cs="Times New Roman"/>
          <w:sz w:val="18"/>
          <w:szCs w:val="18"/>
        </w:rPr>
        <w:t>TWC</w:t>
      </w:r>
      <w:r>
        <w:rPr>
          <w:rFonts w:ascii="Times New Roman" w:eastAsia="Times New Roman" w:hAnsi="Times New Roman" w:cs="Times New Roman"/>
          <w:b/>
          <w:bCs/>
          <w:sz w:val="18"/>
          <w:szCs w:val="18"/>
        </w:rPr>
        <w:t xml:space="preserve"> </w:t>
      </w:r>
      <w:r>
        <w:rPr>
          <w:rFonts w:ascii="Times New Roman" w:eastAsia="Times New Roman" w:hAnsi="Times New Roman" w:cs="Times New Roman"/>
          <w:bCs/>
          <w:sz w:val="18"/>
          <w:szCs w:val="18"/>
        </w:rPr>
        <w:t xml:space="preserve">and the Vendor </w:t>
      </w:r>
      <w:r>
        <w:rPr>
          <w:rFonts w:ascii="Times New Roman" w:eastAsia="Times New Roman" w:hAnsi="Times New Roman" w:cs="Times New Roman"/>
          <w:sz w:val="18"/>
          <w:szCs w:val="18"/>
        </w:rPr>
        <w:t>must adhere to the directions in the President’s Executive Order (EO) 13224, Blocking Property and Prohibiting Transactions With Persons Who Commit, Threaten to Commit, or Support Terrorism.</w:t>
      </w:r>
      <w:r>
        <w:rPr>
          <w:rFonts w:ascii="Times New Roman" w:eastAsia="Times New Roman" w:hAnsi="Times New Roman" w:cs="Times New Roman"/>
          <w:snapToGrid w:val="0"/>
          <w:sz w:val="18"/>
          <w:szCs w:val="18"/>
          <w:lang w:eastAsia="x-none"/>
        </w:rPr>
        <w:t xml:space="preserve"> </w:t>
      </w:r>
      <w:r>
        <w:rPr>
          <w:rFonts w:ascii="Times New Roman" w:eastAsia="Times New Roman" w:hAnsi="Times New Roman" w:cs="Times New Roman"/>
          <w:sz w:val="18"/>
          <w:szCs w:val="18"/>
        </w:rPr>
        <w:t xml:space="preserve">This Executive Order prohibits any transaction or dealing by United States persons, including but not limited to the making or receiving of any contribution of funds, goods, or services to or for the benefit of those persons listed in the General Services Administration’s Excluded Parties List System (EPLS) which may be viewed on the System for Award Management (SAM) site at </w:t>
      </w:r>
      <w:hyperlink r:id="rId48" w:history="1">
        <w:r>
          <w:rPr>
            <w:rStyle w:val="Hyperlink"/>
            <w:rFonts w:ascii="Times New Roman" w:eastAsia="Times New Roman" w:hAnsi="Times New Roman" w:cs="Times New Roman"/>
            <w:sz w:val="18"/>
            <w:szCs w:val="18"/>
          </w:rPr>
          <w:t>http://www.Sam.gov</w:t>
        </w:r>
      </w:hyperlink>
    </w:p>
    <w:p w14:paraId="68B156D8" w14:textId="77777777" w:rsidR="00387565" w:rsidRDefault="00387565" w:rsidP="00387565">
      <w:pPr>
        <w:widowControl w:val="0"/>
        <w:numPr>
          <w:ilvl w:val="1"/>
          <w:numId w:val="11"/>
        </w:numPr>
        <w:spacing w:after="0"/>
        <w:jc w:val="both"/>
        <w:rPr>
          <w:rFonts w:ascii="Times New Roman" w:eastAsia="Times New Roman" w:hAnsi="Times New Roman" w:cs="Times New Roman"/>
          <w:snapToGrid w:val="0"/>
          <w:sz w:val="18"/>
          <w:szCs w:val="18"/>
          <w:lang w:val="x-none" w:eastAsia="x-none"/>
        </w:rPr>
      </w:pPr>
      <w:r>
        <w:rPr>
          <w:rFonts w:ascii="Times New Roman" w:eastAsia="Times New Roman" w:hAnsi="Times New Roman" w:cs="Times New Roman"/>
          <w:b/>
          <w:sz w:val="18"/>
          <w:szCs w:val="18"/>
        </w:rPr>
        <w:t>No Waiver</w:t>
      </w:r>
      <w:r>
        <w:rPr>
          <w:rFonts w:ascii="Times New Roman" w:eastAsia="Times New Roman" w:hAnsi="Times New Roman" w:cs="Times New Roman"/>
          <w:sz w:val="18"/>
          <w:szCs w:val="18"/>
        </w:rPr>
        <w:t xml:space="preserve">: Nothing in this contract shall be construed as a waiver of the TWC’s or the State’s sovereign immunity. This contract shall not constitute or be construed as a waiver of any of the privileges, rights, defenses, remedies, or immunities available to the TWC or the State of Texas. The failure to enforce, or any delay in the enforcement, of any privileges, rights, defenses, remedies, or immunities available to TWC or the State of Texas under this contract or under applicable law shall not constitute a waiver of such privileges, rights, defenses, remedies, or immunities or be considered as a basis for estoppel. TWC does not waive any privileges, rights, defenses, or immunities available to TWC by entering into this contract or by its conduct prior to or subsequent to entering into this contract. </w:t>
      </w:r>
    </w:p>
    <w:p w14:paraId="765D9CEE" w14:textId="1A5E71F0" w:rsidR="00387565" w:rsidRDefault="00387565" w:rsidP="00387565">
      <w:pPr>
        <w:widowControl w:val="0"/>
        <w:numPr>
          <w:ilvl w:val="1"/>
          <w:numId w:val="11"/>
        </w:numPr>
        <w:spacing w:after="0"/>
        <w:jc w:val="both"/>
        <w:rPr>
          <w:rFonts w:ascii="Times New Roman" w:eastAsia="Times New Roman" w:hAnsi="Times New Roman" w:cs="Times New Roman"/>
          <w:snapToGrid w:val="0"/>
          <w:sz w:val="18"/>
          <w:szCs w:val="18"/>
          <w:lang w:val="x-none" w:eastAsia="x-none"/>
        </w:rPr>
      </w:pPr>
      <w:r>
        <w:rPr>
          <w:rFonts w:ascii="Times New Roman" w:eastAsia="Times New Roman" w:hAnsi="Times New Roman" w:cs="Times New Roman"/>
          <w:b/>
          <w:sz w:val="18"/>
          <w:szCs w:val="18"/>
        </w:rPr>
        <w:t>Redacted Electronic Copy:</w:t>
      </w:r>
      <w:r>
        <w:rPr>
          <w:rFonts w:ascii="Times New Roman" w:eastAsia="Times New Roman" w:hAnsi="Times New Roman" w:cs="Times New Roman"/>
          <w:sz w:val="18"/>
          <w:szCs w:val="18"/>
        </w:rPr>
        <w:t xml:space="preserve"> Under House Bill 3430, 80th Texas Legislature, (transferring Texas Government Code § 2177.052, to Texas Government Code, Chapter 322, and redesignating it as § 322.020) and as per the following requirements, no later than two (2) business days after Vendor’s receipt of notice from TWC, the Vendor must deliver to TWC two (2) electronic copies of its complete proposal.   Vendor shall deliver these electronic copies to TWC via overnight delivery in compliance with all of the following requirements:</w:t>
      </w:r>
      <w:r w:rsidR="00FD3A0F">
        <w:rPr>
          <w:rFonts w:ascii="Times New Roman" w:eastAsia="Times New Roman" w:hAnsi="Times New Roman" w:cs="Times New Roman"/>
          <w:sz w:val="18"/>
          <w:szCs w:val="18"/>
        </w:rPr>
        <w:t xml:space="preserve"> </w:t>
      </w:r>
    </w:p>
    <w:p w14:paraId="005A53BF" w14:textId="1B4EC308" w:rsidR="00387565" w:rsidRPr="000851E0" w:rsidRDefault="00387565" w:rsidP="000851E0">
      <w:pPr>
        <w:widowControl w:val="0"/>
        <w:numPr>
          <w:ilvl w:val="2"/>
          <w:numId w:val="11"/>
        </w:numPr>
        <w:tabs>
          <w:tab w:val="clear" w:pos="1440"/>
        </w:tabs>
        <w:spacing w:after="0"/>
        <w:ind w:left="900" w:hanging="540"/>
        <w:jc w:val="both"/>
        <w:rPr>
          <w:rFonts w:ascii="Times New Roman" w:hAnsi="Times New Roman"/>
          <w:sz w:val="18"/>
          <w:szCs w:val="18"/>
          <w:lang w:eastAsia="x-none"/>
        </w:rPr>
      </w:pPr>
      <w:r w:rsidRPr="000851E0">
        <w:rPr>
          <w:rFonts w:ascii="Times New Roman" w:hAnsi="Times New Roman"/>
          <w:sz w:val="18"/>
          <w:szCs w:val="18"/>
          <w:lang w:eastAsia="x-none"/>
        </w:rPr>
        <w:t>Two (2) compact discs (CDs), each containing a copy of Vendor’s response to solicitation, in searchable Portable Document Format (PDF)  format, which has excised, blacked out, or otherwise redacted information from its solicitation response that Vendor reasonably considers to be confidential and exempt from public disclosure under the Texas Public Information Act, Chapter 552 of the Texas Government Code (this should be a de minimis portion, if any, of Vendor’s solicitation response, such as social security numbers).  Each CD shall also contain an Appendix for Vendor’s solicitation response which provides a cross reference for the location of all information redacted by Vendor and a general description of the redacted information.  These two (2) identical CDs should be entitled “For Public Release: Redacted Version of [Name of Vendor]’s Proposal and Exhibits. Texas Workforce Commission’s RFP/RFO/IFB solicitation No. ____.”</w:t>
      </w:r>
    </w:p>
    <w:p w14:paraId="244B6E7A" w14:textId="77777777" w:rsidR="00387565" w:rsidRPr="000851E0" w:rsidRDefault="00387565" w:rsidP="000851E0">
      <w:pPr>
        <w:widowControl w:val="0"/>
        <w:numPr>
          <w:ilvl w:val="2"/>
          <w:numId w:val="11"/>
        </w:numPr>
        <w:tabs>
          <w:tab w:val="clear" w:pos="1440"/>
        </w:tabs>
        <w:spacing w:after="0"/>
        <w:ind w:left="900" w:hanging="540"/>
        <w:jc w:val="both"/>
        <w:rPr>
          <w:rFonts w:ascii="Times New Roman" w:hAnsi="Times New Roman"/>
          <w:sz w:val="18"/>
          <w:szCs w:val="18"/>
          <w:lang w:eastAsia="x-none"/>
        </w:rPr>
      </w:pPr>
      <w:r w:rsidRPr="000851E0">
        <w:rPr>
          <w:rFonts w:ascii="Times New Roman" w:hAnsi="Times New Roman"/>
          <w:sz w:val="18"/>
          <w:szCs w:val="18"/>
          <w:lang w:eastAsia="x-none"/>
        </w:rPr>
        <w:t xml:space="preserve">Per Texas Government Code § 322.020, the Texas Legislative Budget Board (LBB) has now implemented a major contracts database.  </w:t>
      </w:r>
    </w:p>
    <w:p w14:paraId="7CD9F89D" w14:textId="77777777" w:rsidR="00387565" w:rsidRPr="000851E0" w:rsidRDefault="00387565" w:rsidP="000851E0">
      <w:pPr>
        <w:widowControl w:val="0"/>
        <w:numPr>
          <w:ilvl w:val="2"/>
          <w:numId w:val="11"/>
        </w:numPr>
        <w:tabs>
          <w:tab w:val="clear" w:pos="1440"/>
        </w:tabs>
        <w:spacing w:after="0"/>
        <w:ind w:left="900" w:hanging="540"/>
        <w:jc w:val="both"/>
        <w:rPr>
          <w:rFonts w:ascii="Times New Roman" w:hAnsi="Times New Roman"/>
          <w:sz w:val="18"/>
          <w:szCs w:val="18"/>
          <w:lang w:eastAsia="x-none"/>
        </w:rPr>
      </w:pPr>
      <w:r w:rsidRPr="000851E0">
        <w:rPr>
          <w:rFonts w:ascii="Times New Roman" w:hAnsi="Times New Roman"/>
          <w:sz w:val="18"/>
          <w:szCs w:val="18"/>
          <w:lang w:eastAsia="x-none"/>
        </w:rPr>
        <w:t>TWC shall upload to the LBB’s contracts database the text of the complete contract (with limited redaction and appendix) no later than ten (10) days after date of contract award.   By submitting a response to this solicitation, Vendors acknowledge that they understand and accept this requirement.  See the LBB website at &lt;</w:t>
      </w:r>
      <w:hyperlink r:id="rId49" w:history="1">
        <w:r w:rsidRPr="000851E0">
          <w:rPr>
            <w:rFonts w:ascii="Times New Roman" w:hAnsi="Times New Roman"/>
            <w:sz w:val="18"/>
            <w:szCs w:val="18"/>
            <w:lang w:eastAsia="x-none"/>
          </w:rPr>
          <w:t>http://www.lbb.state.tx.us/</w:t>
        </w:r>
      </w:hyperlink>
      <w:r w:rsidRPr="000851E0">
        <w:rPr>
          <w:rFonts w:ascii="Times New Roman" w:hAnsi="Times New Roman"/>
          <w:sz w:val="18"/>
          <w:szCs w:val="18"/>
          <w:lang w:eastAsia="x-none"/>
        </w:rPr>
        <w:t>&gt;.</w:t>
      </w:r>
    </w:p>
    <w:p w14:paraId="51239366" w14:textId="77777777" w:rsidR="00387565" w:rsidRPr="00AC1D7D" w:rsidRDefault="00387565" w:rsidP="000851E0">
      <w:pPr>
        <w:widowControl w:val="0"/>
        <w:numPr>
          <w:ilvl w:val="2"/>
          <w:numId w:val="11"/>
        </w:numPr>
        <w:tabs>
          <w:tab w:val="clear" w:pos="1440"/>
        </w:tabs>
        <w:spacing w:after="0"/>
        <w:ind w:left="900" w:hanging="540"/>
        <w:contextualSpacing/>
        <w:jc w:val="both"/>
        <w:rPr>
          <w:rFonts w:ascii="Times New Roman" w:hAnsi="Times New Roman"/>
          <w:b/>
          <w:sz w:val="18"/>
          <w:szCs w:val="18"/>
          <w:lang w:eastAsia="x-none"/>
        </w:rPr>
      </w:pPr>
      <w:r w:rsidRPr="00AC1D7D">
        <w:rPr>
          <w:rFonts w:ascii="Times New Roman" w:hAnsi="Times New Roman"/>
          <w:b/>
          <w:sz w:val="18"/>
          <w:szCs w:val="18"/>
          <w:lang w:eastAsia="x-none"/>
        </w:rPr>
        <w:t>American Recovery and Reinvestment Act (ARRA or the Recovery Act)</w:t>
      </w:r>
    </w:p>
    <w:p w14:paraId="5CDA8D57" w14:textId="77777777" w:rsidR="00387565" w:rsidRDefault="00387565" w:rsidP="00387565">
      <w:pPr>
        <w:widowControl w:val="0"/>
        <w:numPr>
          <w:ilvl w:val="3"/>
          <w:numId w:val="11"/>
        </w:numPr>
        <w:spacing w:after="0"/>
        <w:jc w:val="both"/>
        <w:rPr>
          <w:rFonts w:ascii="Times New Roman" w:eastAsia="Times New Roman" w:hAnsi="Times New Roman" w:cs="Times New Roman"/>
          <w:snapToGrid w:val="0"/>
          <w:sz w:val="18"/>
          <w:szCs w:val="18"/>
          <w:lang w:val="x-none" w:eastAsia="x-none"/>
        </w:rPr>
      </w:pPr>
      <w:r>
        <w:rPr>
          <w:rFonts w:ascii="Times New Roman" w:eastAsia="Times New Roman" w:hAnsi="Times New Roman" w:cs="Times New Roman"/>
          <w:sz w:val="18"/>
          <w:szCs w:val="18"/>
          <w:lang w:val="x-none" w:eastAsia="x-none"/>
        </w:rPr>
        <w:t>Buy American Requirements for Construction Material prohibits the use of funds appropriated for the Recovery Act for any project for the construction, alteration, maintenance, or repair of a public building or public work unless all of the iron, steel, and manufactured goods used in the project are produced in the United States.</w:t>
      </w:r>
    </w:p>
    <w:p w14:paraId="476D21EA" w14:textId="77777777" w:rsidR="00387565" w:rsidRDefault="00387565" w:rsidP="00387565">
      <w:pPr>
        <w:widowControl w:val="0"/>
        <w:numPr>
          <w:ilvl w:val="3"/>
          <w:numId w:val="11"/>
        </w:numPr>
        <w:spacing w:after="0"/>
        <w:jc w:val="both"/>
        <w:rPr>
          <w:rFonts w:ascii="Times New Roman" w:eastAsia="Times New Roman" w:hAnsi="Times New Roman" w:cs="Times New Roman"/>
          <w:snapToGrid w:val="0"/>
          <w:sz w:val="18"/>
          <w:szCs w:val="18"/>
          <w:lang w:val="x-none" w:eastAsia="x-none"/>
        </w:rPr>
      </w:pPr>
      <w:r>
        <w:rPr>
          <w:rFonts w:ascii="Times New Roman" w:eastAsia="Times New Roman" w:hAnsi="Times New Roman" w:cs="Times New Roman"/>
          <w:sz w:val="18"/>
          <w:szCs w:val="18"/>
          <w:lang w:val="x-none" w:eastAsia="x-none"/>
        </w:rPr>
        <w:t xml:space="preserve">Whistleblower Protection: Pursuant to  </w:t>
      </w:r>
      <w:r>
        <w:rPr>
          <w:rFonts w:ascii="Times New Roman" w:eastAsia="Times New Roman" w:hAnsi="Times New Roman" w:cs="Times New Roman"/>
          <w:sz w:val="18"/>
          <w:szCs w:val="18"/>
          <w:lang w:eastAsia="x-none"/>
        </w:rPr>
        <w:t xml:space="preserve">Section </w:t>
      </w:r>
      <w:r>
        <w:rPr>
          <w:rFonts w:ascii="Times New Roman" w:eastAsia="Times New Roman" w:hAnsi="Times New Roman" w:cs="Times New Roman"/>
          <w:sz w:val="18"/>
          <w:szCs w:val="18"/>
          <w:lang w:val="x-none" w:eastAsia="x-none"/>
        </w:rPr>
        <w:t>1553 of the American Recovery and Reinvestment Act, Vendors shall promptly refer to the U.S. Department of Labor, Office of Inspector General any credible evidence that a principal, employee, agent, contractor, sub-recipient, subcontractor, or other person has submitted a false claim under the False Claims Act or has committed a criminal or civil violation of laws pertaining to fraud, conflict of interest, bribery, gratuity, or similar misconduct involving ARRA funds</w:t>
      </w:r>
    </w:p>
    <w:p w14:paraId="40BAE9A5" w14:textId="77777777" w:rsidR="00387565" w:rsidRDefault="00387565" w:rsidP="00387565">
      <w:pPr>
        <w:pStyle w:val="ListParagraph"/>
        <w:widowControl w:val="0"/>
        <w:numPr>
          <w:ilvl w:val="1"/>
          <w:numId w:val="11"/>
        </w:numPr>
        <w:spacing w:after="0"/>
        <w:jc w:val="both"/>
        <w:rPr>
          <w:rFonts w:ascii="Times New Roman" w:eastAsia="Times New Roman" w:hAnsi="Times New Roman" w:cs="Times New Roman"/>
          <w:sz w:val="18"/>
          <w:szCs w:val="18"/>
          <w:lang w:val="x-none" w:eastAsia="x-none"/>
        </w:rPr>
      </w:pPr>
      <w:r>
        <w:rPr>
          <w:rFonts w:ascii="Times New Roman" w:eastAsia="Times New Roman" w:hAnsi="Times New Roman" w:cs="Times New Roman"/>
          <w:b/>
          <w:bCs/>
          <w:sz w:val="18"/>
          <w:szCs w:val="18"/>
        </w:rPr>
        <w:t>Background Check</w:t>
      </w:r>
      <w:r>
        <w:rPr>
          <w:rFonts w:ascii="Times New Roman" w:eastAsia="Times New Roman" w:hAnsi="Times New Roman" w:cs="Times New Roman"/>
          <w:sz w:val="18"/>
          <w:szCs w:val="18"/>
        </w:rPr>
        <w:t>: Vendors must submit criminal background checks on all key personnel assigned to the services related to this solicitation, as authorized by Texas law, and at Vendor expense.  Key personnel are defined as personnel whose oversight and guidance is essential to the subject services. TWC may provide any finalist for a contract position a Contractor Criminal History Report Investigation Request form P33c which contractor must complete and submit back to TWC as required on the form. To obtain a facility access badge, contractor must provide TWC with either a completed form P-33c or a recent criminal background check within fifteen (15) days of contract award.  TWC will not issue a Purchase Order until the criminal background check has been completed and passed.</w:t>
      </w:r>
    </w:p>
    <w:p w14:paraId="40AF8D84" w14:textId="77777777" w:rsidR="00387565" w:rsidRDefault="00387565" w:rsidP="00387565">
      <w:pPr>
        <w:pStyle w:val="ListParagraph"/>
        <w:widowControl w:val="0"/>
        <w:numPr>
          <w:ilvl w:val="1"/>
          <w:numId w:val="11"/>
        </w:numPr>
        <w:spacing w:after="0"/>
        <w:jc w:val="both"/>
        <w:rPr>
          <w:rFonts w:ascii="Times New Roman" w:eastAsia="Times New Roman" w:hAnsi="Times New Roman" w:cs="Times New Roman"/>
          <w:sz w:val="18"/>
          <w:szCs w:val="18"/>
          <w:lang w:val="x-none" w:eastAsia="x-none"/>
        </w:rPr>
      </w:pPr>
      <w:r>
        <w:rPr>
          <w:rFonts w:ascii="Times New Roman" w:eastAsia="Times New Roman" w:hAnsi="Times New Roman" w:cs="Times New Roman"/>
          <w:b/>
          <w:bCs/>
          <w:sz w:val="18"/>
          <w:szCs w:val="18"/>
        </w:rPr>
        <w:t>Privacy</w:t>
      </w:r>
      <w:r>
        <w:rPr>
          <w:rFonts w:ascii="Times New Roman" w:eastAsia="Times New Roman" w:hAnsi="Times New Roman" w:cs="Times New Roman"/>
          <w:sz w:val="18"/>
          <w:szCs w:val="18"/>
        </w:rPr>
        <w:t>: Vendor who has access to sensitive personally identifiable information (“Sensitive PII”), including anyone who views contracts, collects, uses, maintains, stores or destroys Sensitive PII of TWC employees, job seekers, employers, customers or partners, must safeguard that information.</w:t>
      </w:r>
    </w:p>
    <w:p w14:paraId="29D4CFEE" w14:textId="77777777" w:rsidR="00387565" w:rsidRPr="00AC1D7D" w:rsidRDefault="00387565" w:rsidP="00AC1D7D">
      <w:pPr>
        <w:numPr>
          <w:ilvl w:val="2"/>
          <w:numId w:val="11"/>
        </w:numPr>
        <w:tabs>
          <w:tab w:val="clear" w:pos="1440"/>
        </w:tabs>
        <w:autoSpaceDE w:val="0"/>
        <w:autoSpaceDN w:val="0"/>
        <w:adjustRightInd w:val="0"/>
        <w:spacing w:after="0"/>
        <w:ind w:left="900" w:hanging="540"/>
        <w:jc w:val="both"/>
        <w:rPr>
          <w:rFonts w:ascii="Times New Roman" w:hAnsi="Times New Roman"/>
          <w:bCs/>
          <w:sz w:val="18"/>
          <w:szCs w:val="18"/>
        </w:rPr>
      </w:pPr>
      <w:r w:rsidRPr="00AC1D7D">
        <w:rPr>
          <w:rFonts w:ascii="Times New Roman" w:hAnsi="Times New Roman"/>
          <w:bCs/>
          <w:sz w:val="18"/>
          <w:szCs w:val="18"/>
        </w:rPr>
        <w:lastRenderedPageBreak/>
        <w:t xml:space="preserve">Sensitive PII is anything that alone or in combination with available information can identify an individual, which if lost, compromised, or disclosed without authorization, could result in substantial harm, embarrassment, inconvenience or unfairness to an individual. </w:t>
      </w:r>
    </w:p>
    <w:p w14:paraId="6439A22B" w14:textId="77777777" w:rsidR="00387565" w:rsidRPr="00AC1D7D" w:rsidRDefault="00387565" w:rsidP="00AC1D7D">
      <w:pPr>
        <w:numPr>
          <w:ilvl w:val="2"/>
          <w:numId w:val="11"/>
        </w:numPr>
        <w:tabs>
          <w:tab w:val="clear" w:pos="1440"/>
        </w:tabs>
        <w:autoSpaceDE w:val="0"/>
        <w:autoSpaceDN w:val="0"/>
        <w:adjustRightInd w:val="0"/>
        <w:spacing w:after="0"/>
        <w:ind w:left="900" w:hanging="540"/>
        <w:jc w:val="both"/>
        <w:rPr>
          <w:rFonts w:ascii="Times New Roman" w:hAnsi="Times New Roman"/>
          <w:bCs/>
          <w:sz w:val="18"/>
          <w:szCs w:val="18"/>
        </w:rPr>
      </w:pPr>
      <w:r w:rsidRPr="00AC1D7D">
        <w:rPr>
          <w:rFonts w:ascii="Times New Roman" w:hAnsi="Times New Roman"/>
          <w:bCs/>
          <w:sz w:val="18"/>
          <w:szCs w:val="18"/>
        </w:rPr>
        <w:t>Awarded Vendor must have a Non-Disclosure Agreement (NDA) on file with TWC prior to handling Sensitive PII.</w:t>
      </w:r>
    </w:p>
    <w:p w14:paraId="120F3B1E" w14:textId="77777777" w:rsidR="00387565" w:rsidRPr="00AC1D7D" w:rsidRDefault="00387565" w:rsidP="00AC1D7D">
      <w:pPr>
        <w:numPr>
          <w:ilvl w:val="2"/>
          <w:numId w:val="11"/>
        </w:numPr>
        <w:tabs>
          <w:tab w:val="clear" w:pos="1440"/>
        </w:tabs>
        <w:autoSpaceDE w:val="0"/>
        <w:autoSpaceDN w:val="0"/>
        <w:adjustRightInd w:val="0"/>
        <w:spacing w:after="0"/>
        <w:ind w:left="900" w:hanging="540"/>
        <w:jc w:val="both"/>
        <w:rPr>
          <w:rFonts w:ascii="Times New Roman" w:hAnsi="Times New Roman"/>
          <w:bCs/>
          <w:sz w:val="18"/>
          <w:szCs w:val="18"/>
        </w:rPr>
      </w:pPr>
      <w:r w:rsidRPr="00AC1D7D">
        <w:rPr>
          <w:rFonts w:ascii="Times New Roman" w:hAnsi="Times New Roman"/>
          <w:bCs/>
          <w:sz w:val="18"/>
          <w:szCs w:val="18"/>
        </w:rPr>
        <w:t>In order to safeguard Sensitive PII, Awarded Vendor must:</w:t>
      </w:r>
    </w:p>
    <w:p w14:paraId="6D5BAC29" w14:textId="77777777" w:rsidR="00387565" w:rsidRDefault="00387565" w:rsidP="00387565">
      <w:pPr>
        <w:pStyle w:val="ListParagraph"/>
        <w:widowControl w:val="0"/>
        <w:numPr>
          <w:ilvl w:val="3"/>
          <w:numId w:val="11"/>
        </w:numPr>
        <w:spacing w:after="0"/>
        <w:jc w:val="both"/>
        <w:rPr>
          <w:rFonts w:ascii="Times New Roman" w:eastAsia="Times New Roman" w:hAnsi="Times New Roman" w:cs="Times New Roman"/>
          <w:sz w:val="18"/>
          <w:szCs w:val="18"/>
          <w:lang w:val="x-none" w:eastAsia="x-none"/>
        </w:rPr>
      </w:pPr>
      <w:r>
        <w:rPr>
          <w:rFonts w:ascii="Times New Roman" w:eastAsia="Times New Roman" w:hAnsi="Times New Roman" w:cs="Times New Roman"/>
          <w:sz w:val="18"/>
          <w:szCs w:val="18"/>
        </w:rPr>
        <w:t>Collect Sensitive PII only as authorized.</w:t>
      </w:r>
    </w:p>
    <w:p w14:paraId="70E89EEC" w14:textId="77777777" w:rsidR="00387565" w:rsidRDefault="00387565" w:rsidP="00387565">
      <w:pPr>
        <w:pStyle w:val="ListParagraph"/>
        <w:widowControl w:val="0"/>
        <w:numPr>
          <w:ilvl w:val="3"/>
          <w:numId w:val="11"/>
        </w:numPr>
        <w:spacing w:after="0"/>
        <w:jc w:val="both"/>
        <w:rPr>
          <w:rFonts w:ascii="Times New Roman" w:eastAsia="Times New Roman" w:hAnsi="Times New Roman" w:cs="Times New Roman"/>
          <w:sz w:val="18"/>
          <w:szCs w:val="18"/>
          <w:lang w:val="x-none" w:eastAsia="x-none"/>
        </w:rPr>
      </w:pPr>
      <w:r>
        <w:rPr>
          <w:rFonts w:ascii="Times New Roman" w:eastAsia="Times New Roman" w:hAnsi="Times New Roman" w:cs="Times New Roman"/>
          <w:sz w:val="18"/>
          <w:szCs w:val="18"/>
        </w:rPr>
        <w:t>Limit the use of Sensitive PII.</w:t>
      </w:r>
    </w:p>
    <w:p w14:paraId="2725B1A8" w14:textId="77777777" w:rsidR="00387565" w:rsidRDefault="00387565" w:rsidP="00387565">
      <w:pPr>
        <w:pStyle w:val="ListParagraph"/>
        <w:widowControl w:val="0"/>
        <w:numPr>
          <w:ilvl w:val="3"/>
          <w:numId w:val="11"/>
        </w:numPr>
        <w:spacing w:after="0"/>
        <w:jc w:val="both"/>
        <w:rPr>
          <w:rFonts w:ascii="Times New Roman" w:eastAsia="Times New Roman" w:hAnsi="Times New Roman" w:cs="Times New Roman"/>
          <w:sz w:val="18"/>
          <w:szCs w:val="18"/>
          <w:lang w:val="x-none" w:eastAsia="x-none"/>
        </w:rPr>
      </w:pPr>
      <w:r>
        <w:rPr>
          <w:rFonts w:ascii="Times New Roman" w:eastAsia="Times New Roman" w:hAnsi="Times New Roman" w:cs="Times New Roman"/>
          <w:sz w:val="18"/>
          <w:szCs w:val="18"/>
        </w:rPr>
        <w:t>Minimize the proliferation of Sensitive PII.</w:t>
      </w:r>
    </w:p>
    <w:p w14:paraId="6C1D3F7D" w14:textId="77777777" w:rsidR="00387565" w:rsidRDefault="00387565" w:rsidP="00387565">
      <w:pPr>
        <w:pStyle w:val="ListParagraph"/>
        <w:widowControl w:val="0"/>
        <w:numPr>
          <w:ilvl w:val="3"/>
          <w:numId w:val="11"/>
        </w:numPr>
        <w:spacing w:after="0"/>
        <w:jc w:val="both"/>
        <w:rPr>
          <w:rFonts w:ascii="Times New Roman" w:eastAsia="Times New Roman" w:hAnsi="Times New Roman" w:cs="Times New Roman"/>
          <w:sz w:val="18"/>
          <w:szCs w:val="18"/>
          <w:lang w:val="x-none" w:eastAsia="x-none"/>
        </w:rPr>
      </w:pPr>
      <w:r>
        <w:rPr>
          <w:rFonts w:ascii="Times New Roman" w:eastAsia="Times New Roman" w:hAnsi="Times New Roman" w:cs="Times New Roman"/>
          <w:sz w:val="18"/>
          <w:szCs w:val="18"/>
        </w:rPr>
        <w:t>Secure Sensitive PII both physically and in electronic form.</w:t>
      </w:r>
    </w:p>
    <w:p w14:paraId="391986DC" w14:textId="77777777" w:rsidR="00387565" w:rsidRDefault="00387565" w:rsidP="00387565">
      <w:pPr>
        <w:pStyle w:val="ListParagraph"/>
        <w:widowControl w:val="0"/>
        <w:numPr>
          <w:ilvl w:val="3"/>
          <w:numId w:val="11"/>
        </w:numPr>
        <w:spacing w:after="0"/>
        <w:jc w:val="both"/>
        <w:rPr>
          <w:rFonts w:ascii="Times New Roman" w:eastAsia="Times New Roman" w:hAnsi="Times New Roman" w:cs="Times New Roman"/>
          <w:sz w:val="18"/>
          <w:szCs w:val="18"/>
          <w:lang w:val="x-none" w:eastAsia="x-none"/>
        </w:rPr>
      </w:pPr>
      <w:r>
        <w:rPr>
          <w:rFonts w:ascii="Times New Roman" w:eastAsia="Times New Roman" w:hAnsi="Times New Roman" w:cs="Times New Roman"/>
          <w:sz w:val="18"/>
          <w:szCs w:val="18"/>
        </w:rPr>
        <w:t xml:space="preserve">Report suspected privacy incidents within twenty four (24) hours to the TWC Contract Manager or, email the TWC Information Security Office at </w:t>
      </w:r>
      <w:hyperlink r:id="rId50" w:history="1">
        <w:r>
          <w:rPr>
            <w:rStyle w:val="Hyperlink"/>
            <w:rFonts w:ascii="Times New Roman" w:eastAsia="Times New Roman" w:hAnsi="Times New Roman" w:cs="Times New Roman"/>
            <w:color w:val="auto"/>
            <w:sz w:val="18"/>
            <w:szCs w:val="18"/>
          </w:rPr>
          <w:t>CISO@twc.state.tx.us</w:t>
        </w:r>
      </w:hyperlink>
      <w:r>
        <w:rPr>
          <w:rFonts w:ascii="Times New Roman" w:eastAsia="Times New Roman" w:hAnsi="Times New Roman" w:cs="Times New Roman"/>
          <w:sz w:val="18"/>
          <w:szCs w:val="18"/>
        </w:rPr>
        <w:t>.</w:t>
      </w:r>
    </w:p>
    <w:p w14:paraId="235787DB" w14:textId="77777777" w:rsidR="00387565" w:rsidRPr="00AC1D7D" w:rsidRDefault="00387565" w:rsidP="00AC1D7D">
      <w:pPr>
        <w:numPr>
          <w:ilvl w:val="2"/>
          <w:numId w:val="11"/>
        </w:numPr>
        <w:tabs>
          <w:tab w:val="clear" w:pos="1440"/>
        </w:tabs>
        <w:autoSpaceDE w:val="0"/>
        <w:autoSpaceDN w:val="0"/>
        <w:adjustRightInd w:val="0"/>
        <w:spacing w:after="0"/>
        <w:ind w:left="900" w:hanging="540"/>
        <w:jc w:val="both"/>
        <w:rPr>
          <w:rFonts w:ascii="Times New Roman" w:hAnsi="Times New Roman"/>
          <w:bCs/>
          <w:sz w:val="18"/>
          <w:szCs w:val="18"/>
        </w:rPr>
      </w:pPr>
      <w:r w:rsidRPr="00AC1D7D">
        <w:rPr>
          <w:rFonts w:ascii="Times New Roman" w:hAnsi="Times New Roman"/>
          <w:bCs/>
          <w:sz w:val="18"/>
          <w:szCs w:val="18"/>
        </w:rPr>
        <w:t>Awarded Vendor will not transmit Sensitive PII via email or store on CDs, DVDs, thumb drives and the like without prior review and encryption protocol approved by TWC.</w:t>
      </w:r>
    </w:p>
    <w:p w14:paraId="70039F8B" w14:textId="77777777" w:rsidR="00387565" w:rsidRPr="00AC1D7D" w:rsidRDefault="00387565" w:rsidP="00AC1D7D">
      <w:pPr>
        <w:numPr>
          <w:ilvl w:val="2"/>
          <w:numId w:val="11"/>
        </w:numPr>
        <w:tabs>
          <w:tab w:val="clear" w:pos="1440"/>
        </w:tabs>
        <w:autoSpaceDE w:val="0"/>
        <w:autoSpaceDN w:val="0"/>
        <w:adjustRightInd w:val="0"/>
        <w:spacing w:after="0"/>
        <w:ind w:left="900" w:hanging="540"/>
        <w:jc w:val="both"/>
        <w:rPr>
          <w:rFonts w:ascii="Times New Roman" w:hAnsi="Times New Roman"/>
          <w:bCs/>
          <w:sz w:val="18"/>
          <w:szCs w:val="18"/>
        </w:rPr>
      </w:pPr>
      <w:r w:rsidRPr="00AC1D7D">
        <w:rPr>
          <w:rFonts w:ascii="Times New Roman" w:hAnsi="Times New Roman"/>
          <w:bCs/>
          <w:sz w:val="18"/>
          <w:szCs w:val="18"/>
        </w:rPr>
        <w:t xml:space="preserve">Failure to follow these requirements may constitute a breach of contract. </w:t>
      </w:r>
    </w:p>
    <w:p w14:paraId="560C802B" w14:textId="77777777" w:rsidR="00387565" w:rsidRDefault="00387565" w:rsidP="00387565">
      <w:pPr>
        <w:pStyle w:val="ListParagraph"/>
        <w:widowControl w:val="0"/>
        <w:numPr>
          <w:ilvl w:val="1"/>
          <w:numId w:val="11"/>
        </w:numPr>
        <w:spacing w:after="0"/>
        <w:jc w:val="both"/>
        <w:rPr>
          <w:rFonts w:ascii="Times New Roman" w:eastAsia="Times New Roman" w:hAnsi="Times New Roman" w:cs="Times New Roman"/>
          <w:sz w:val="18"/>
          <w:szCs w:val="18"/>
          <w:lang w:val="x-none" w:eastAsia="x-none"/>
        </w:rPr>
      </w:pPr>
      <w:r>
        <w:rPr>
          <w:rFonts w:ascii="Times New Roman" w:eastAsia="Times New Roman" w:hAnsi="Times New Roman" w:cs="Times New Roman"/>
          <w:b/>
          <w:sz w:val="18"/>
          <w:szCs w:val="18"/>
        </w:rPr>
        <w:t>Change in Law:</w:t>
      </w:r>
      <w:r>
        <w:rPr>
          <w:rFonts w:ascii="Times New Roman" w:eastAsia="Times New Roman" w:hAnsi="Times New Roman" w:cs="Times New Roman"/>
          <w:sz w:val="18"/>
          <w:szCs w:val="18"/>
        </w:rPr>
        <w:t xml:space="preserve"> Any alterations, additions, or deletions to the terms of this Contract which are required by changes in federal or state law or regulations are automatically incorporated into this Contract without written amendment hereto, and shall become effective on the date designated by such law or by regulation. </w:t>
      </w:r>
    </w:p>
    <w:p w14:paraId="389DE862" w14:textId="61BDAAD8" w:rsidR="00387565" w:rsidRDefault="00387565" w:rsidP="00387565">
      <w:pPr>
        <w:pStyle w:val="ListParagraph"/>
        <w:widowControl w:val="0"/>
        <w:numPr>
          <w:ilvl w:val="1"/>
          <w:numId w:val="11"/>
        </w:numPr>
        <w:spacing w:after="0"/>
        <w:jc w:val="both"/>
        <w:rPr>
          <w:rFonts w:ascii="Times New Roman" w:eastAsia="Calibri" w:hAnsi="Times New Roman" w:cs="Times New Roman"/>
          <w:sz w:val="18"/>
          <w:szCs w:val="18"/>
        </w:rPr>
      </w:pPr>
      <w:r>
        <w:rPr>
          <w:rFonts w:ascii="Times New Roman" w:eastAsia="Times New Roman" w:hAnsi="Times New Roman" w:cs="Times New Roman"/>
          <w:b/>
          <w:sz w:val="18"/>
          <w:szCs w:val="18"/>
        </w:rPr>
        <w:t>Davis-Bacon Act</w:t>
      </w:r>
      <w:r>
        <w:rPr>
          <w:rFonts w:ascii="Times New Roman" w:eastAsia="Calibri" w:hAnsi="Times New Roman" w:cs="Times New Roman"/>
          <w:sz w:val="18"/>
          <w:szCs w:val="18"/>
        </w:rPr>
        <w:t>:  Vendors on all prime construction contracts in excess of $2,000 must comply with the Davis-Bacon Act (40 U.S.C. §§ 3141-3144) as supplemented by the Department of Labor regulations (29 CFR Part 5, “Labor Standards Provisions Applicable to Contracts Covering Federally Financed and Assisted Construction.”)</w:t>
      </w:r>
      <w:r w:rsidR="00FD3A0F">
        <w:rPr>
          <w:rFonts w:ascii="Times New Roman" w:eastAsia="Calibri" w:hAnsi="Times New Roman" w:cs="Times New Roman"/>
          <w:sz w:val="18"/>
          <w:szCs w:val="18"/>
        </w:rPr>
        <w:t xml:space="preserve"> </w:t>
      </w:r>
    </w:p>
    <w:p w14:paraId="1CE8CD9F" w14:textId="77777777" w:rsidR="00387565" w:rsidRDefault="00387565" w:rsidP="00387565">
      <w:pPr>
        <w:pStyle w:val="ListParagraph"/>
        <w:widowControl w:val="0"/>
        <w:numPr>
          <w:ilvl w:val="1"/>
          <w:numId w:val="11"/>
        </w:numPr>
        <w:spacing w:after="0"/>
        <w:jc w:val="both"/>
        <w:rPr>
          <w:rFonts w:ascii="Times New Roman" w:eastAsia="Calibri" w:hAnsi="Times New Roman" w:cs="Times New Roman"/>
          <w:sz w:val="18"/>
          <w:szCs w:val="18"/>
        </w:rPr>
      </w:pPr>
      <w:r>
        <w:rPr>
          <w:rFonts w:ascii="Times New Roman" w:eastAsia="Calibri" w:hAnsi="Times New Roman" w:cs="Times New Roman"/>
          <w:sz w:val="18"/>
          <w:szCs w:val="18"/>
        </w:rPr>
        <w:t>Vendor will comply with the Copeland “Anti-Kickback” Act (40 U.S.C. § 3145), as supplemented by Department of Labor regulations (29 CFR Part 3, “Contractors and Subcontractors on Public Building or Public Work Financed in Whole or in Part by Loans or Grants from the United States”).</w:t>
      </w:r>
    </w:p>
    <w:p w14:paraId="2A251452" w14:textId="77777777" w:rsidR="00387565" w:rsidRDefault="00387565" w:rsidP="00387565">
      <w:pPr>
        <w:pStyle w:val="ListParagraph"/>
        <w:widowControl w:val="0"/>
        <w:numPr>
          <w:ilvl w:val="1"/>
          <w:numId w:val="11"/>
        </w:numPr>
        <w:spacing w:after="0"/>
        <w:jc w:val="both"/>
        <w:rPr>
          <w:rFonts w:ascii="Times New Roman" w:eastAsia="Calibri" w:hAnsi="Times New Roman" w:cs="Times New Roman"/>
          <w:sz w:val="18"/>
          <w:szCs w:val="18"/>
        </w:rPr>
      </w:pPr>
      <w:r>
        <w:rPr>
          <w:rFonts w:ascii="Times New Roman" w:eastAsia="Calibri" w:hAnsi="Times New Roman" w:cs="Times New Roman"/>
          <w:b/>
          <w:sz w:val="18"/>
          <w:szCs w:val="18"/>
        </w:rPr>
        <w:t xml:space="preserve">Contract Work Hours and Safety Standards Act </w:t>
      </w:r>
      <w:r>
        <w:rPr>
          <w:rFonts w:ascii="Times New Roman" w:eastAsia="Calibri" w:hAnsi="Times New Roman" w:cs="Times New Roman"/>
          <w:sz w:val="18"/>
          <w:szCs w:val="18"/>
        </w:rPr>
        <w:t>(40 U.S.C. §§ 3701-3708). For all contracts in excess of $100,000 that involve the employment of mechanics and laborers, Vendor shall comply with 40 U.S.C. §§ 3702 and 3704, as supplemented by Department of Labor regulations (29 CFR Part 5).</w:t>
      </w:r>
    </w:p>
    <w:p w14:paraId="6B89532C" w14:textId="77777777" w:rsidR="00387565" w:rsidRDefault="00387565" w:rsidP="00387565">
      <w:pPr>
        <w:pStyle w:val="ListParagraph"/>
        <w:widowControl w:val="0"/>
        <w:numPr>
          <w:ilvl w:val="1"/>
          <w:numId w:val="11"/>
        </w:numPr>
        <w:spacing w:after="0"/>
        <w:jc w:val="both"/>
        <w:rPr>
          <w:rFonts w:ascii="Times New Roman" w:eastAsia="Calibri" w:hAnsi="Times New Roman" w:cs="Times New Roman"/>
          <w:sz w:val="18"/>
          <w:szCs w:val="18"/>
        </w:rPr>
      </w:pPr>
      <w:r>
        <w:rPr>
          <w:rFonts w:ascii="Times New Roman" w:eastAsia="Times New Roman" w:hAnsi="Times New Roman" w:cs="Times New Roman"/>
          <w:b/>
          <w:sz w:val="18"/>
          <w:szCs w:val="18"/>
        </w:rPr>
        <w:t>Environmental Protection:</w:t>
      </w:r>
      <w:r>
        <w:rPr>
          <w:rFonts w:ascii="Times New Roman" w:eastAsia="Times New Roman" w:hAnsi="Times New Roman" w:cs="Times New Roman"/>
          <w:sz w:val="18"/>
          <w:szCs w:val="18"/>
        </w:rPr>
        <w:t xml:space="preserve">  Vendor agrees to comply with all applicable standards, orders, or regulations issued pursuant to the mandates of the Clean Air Act (42 U.S.C. § 7401 et seq.) and the Federal Water Pollution Control Act, as amended (33 U.S.C. §1251 et seq.).</w:t>
      </w:r>
    </w:p>
    <w:p w14:paraId="4507DA58" w14:textId="0D87BCDB" w:rsidR="00F41FB2" w:rsidRPr="005E44E5" w:rsidRDefault="00F41FB2" w:rsidP="00F41FB2">
      <w:pPr>
        <w:tabs>
          <w:tab w:val="left" w:pos="360"/>
        </w:tabs>
        <w:autoSpaceDE w:val="0"/>
        <w:autoSpaceDN w:val="0"/>
        <w:adjustRightInd w:val="0"/>
        <w:spacing w:after="0"/>
        <w:ind w:left="0"/>
        <w:jc w:val="both"/>
        <w:rPr>
          <w:rFonts w:ascii="Times New Roman" w:hAnsi="Times New Roman"/>
          <w:sz w:val="18"/>
          <w:szCs w:val="18"/>
        </w:rPr>
      </w:pPr>
      <w:r w:rsidRPr="005E44E5">
        <w:rPr>
          <w:rFonts w:ascii="Times New Roman" w:hAnsi="Times New Roman"/>
          <w:sz w:val="18"/>
          <w:szCs w:val="18"/>
        </w:rPr>
        <w:t xml:space="preserve"> </w:t>
      </w:r>
    </w:p>
    <w:p w14:paraId="1F58D645" w14:textId="77777777" w:rsidR="00F41FB2" w:rsidRPr="004F565C" w:rsidRDefault="00F41FB2" w:rsidP="00F41FB2">
      <w:pPr>
        <w:pBdr>
          <w:top w:val="single" w:sz="4" w:space="1" w:color="auto"/>
          <w:bottom w:val="single" w:sz="4" w:space="1" w:color="auto"/>
        </w:pBdr>
        <w:tabs>
          <w:tab w:val="left" w:pos="396"/>
          <w:tab w:val="left" w:pos="3708"/>
        </w:tabs>
        <w:ind w:left="0"/>
        <w:rPr>
          <w:rFonts w:ascii="Times New Roman" w:hAnsi="Times New Roman"/>
          <w:b/>
          <w:spacing w:val="-1"/>
          <w:sz w:val="18"/>
          <w:szCs w:val="18"/>
        </w:rPr>
      </w:pPr>
      <w:r w:rsidRPr="004F565C">
        <w:rPr>
          <w:rFonts w:ascii="Times New Roman" w:hAnsi="Times New Roman"/>
          <w:b/>
          <w:spacing w:val="-1"/>
          <w:sz w:val="18"/>
          <w:szCs w:val="18"/>
        </w:rPr>
        <w:t>3.</w:t>
      </w:r>
      <w:r w:rsidRPr="004F565C">
        <w:rPr>
          <w:rFonts w:ascii="Times New Roman" w:hAnsi="Times New Roman"/>
          <w:b/>
          <w:spacing w:val="-1"/>
          <w:sz w:val="18"/>
          <w:szCs w:val="18"/>
        </w:rPr>
        <w:tab/>
        <w:t>REQUIRED CERTIFICATIONS</w:t>
      </w:r>
    </w:p>
    <w:p w14:paraId="2E20E22B" w14:textId="36BFD061" w:rsidR="00F41FB2" w:rsidRPr="00BD66F6" w:rsidRDefault="00F41FB2" w:rsidP="00F41FB2">
      <w:pPr>
        <w:widowControl w:val="0"/>
        <w:spacing w:after="0"/>
        <w:ind w:left="0"/>
        <w:rPr>
          <w:rFonts w:ascii="Times New Roman" w:hAnsi="Times New Roman"/>
          <w:spacing w:val="-1"/>
          <w:sz w:val="18"/>
          <w:szCs w:val="18"/>
          <w:lang w:val="x-none" w:eastAsia="x-none"/>
        </w:rPr>
      </w:pPr>
      <w:r w:rsidRPr="00BD66F6">
        <w:rPr>
          <w:rFonts w:ascii="Times New Roman" w:hAnsi="Times New Roman"/>
          <w:sz w:val="18"/>
          <w:szCs w:val="18"/>
          <w:lang w:val="x-none" w:eastAsia="x-none"/>
        </w:rPr>
        <w:t xml:space="preserve">By responding to this solicitation and accepting the award of a contract or purchase order, </w:t>
      </w:r>
      <w:r w:rsidR="001E3200">
        <w:rPr>
          <w:rFonts w:ascii="Times New Roman" w:eastAsia="Times New Roman" w:hAnsi="Times New Roman" w:cs="Times New Roman"/>
          <w:sz w:val="18"/>
          <w:szCs w:val="18"/>
          <w:lang w:val="x-none" w:eastAsia="x-none"/>
        </w:rPr>
        <w:t xml:space="preserve">Vendor </w:t>
      </w:r>
      <w:r w:rsidRPr="00BD66F6">
        <w:rPr>
          <w:rFonts w:ascii="Times New Roman" w:hAnsi="Times New Roman"/>
          <w:sz w:val="18"/>
          <w:szCs w:val="18"/>
          <w:lang w:val="x-none" w:eastAsia="x-none"/>
        </w:rPr>
        <w:t>certifies to the following:</w:t>
      </w:r>
    </w:p>
    <w:p w14:paraId="725817CC" w14:textId="77777777" w:rsidR="00387565" w:rsidRDefault="00387565" w:rsidP="00387565">
      <w:pPr>
        <w:widowControl w:val="0"/>
        <w:numPr>
          <w:ilvl w:val="1"/>
          <w:numId w:val="14"/>
        </w:numPr>
        <w:tabs>
          <w:tab w:val="clear" w:pos="360"/>
          <w:tab w:val="left" w:pos="396"/>
          <w:tab w:val="num" w:pos="720"/>
          <w:tab w:val="left" w:pos="3708"/>
        </w:tabs>
        <w:spacing w:after="0"/>
        <w:jc w:val="both"/>
        <w:rPr>
          <w:rFonts w:ascii="Times New Roman" w:eastAsia="Times New Roman" w:hAnsi="Times New Roman" w:cs="Times New Roman"/>
          <w:spacing w:val="-1"/>
          <w:sz w:val="18"/>
          <w:szCs w:val="18"/>
        </w:rPr>
      </w:pPr>
      <w:r>
        <w:rPr>
          <w:rFonts w:ascii="Times New Roman" w:eastAsia="Times New Roman" w:hAnsi="Times New Roman" w:cs="Times New Roman"/>
          <w:sz w:val="18"/>
          <w:szCs w:val="18"/>
          <w:lang w:val="x-none" w:eastAsia="x-none"/>
        </w:rPr>
        <w:t xml:space="preserve">Vendor represents and warrants that all statements and information prepared and submitted in this Proposal are current, complete, true and accurate.  Submitting a Proposal with a </w:t>
      </w:r>
      <w:r>
        <w:rPr>
          <w:rFonts w:ascii="Times New Roman" w:eastAsia="Times New Roman" w:hAnsi="Times New Roman" w:cs="Times New Roman"/>
          <w:sz w:val="18"/>
          <w:szCs w:val="18"/>
          <w:lang w:eastAsia="x-none"/>
        </w:rPr>
        <w:t xml:space="preserve"> false statement or material misrepresentations made during the performance of a contract is a material breach of contract and may void the submitted Proposal and any resulting contract.</w:t>
      </w:r>
    </w:p>
    <w:p w14:paraId="3895E452" w14:textId="77777777" w:rsidR="00387565" w:rsidRDefault="00387565" w:rsidP="00387565">
      <w:pPr>
        <w:widowControl w:val="0"/>
        <w:numPr>
          <w:ilvl w:val="1"/>
          <w:numId w:val="14"/>
        </w:numPr>
        <w:tabs>
          <w:tab w:val="clear" w:pos="360"/>
          <w:tab w:val="left" w:pos="396"/>
          <w:tab w:val="num" w:pos="720"/>
          <w:tab w:val="left" w:pos="3708"/>
        </w:tabs>
        <w:spacing w:after="0"/>
        <w:jc w:val="both"/>
        <w:rPr>
          <w:rFonts w:ascii="Times New Roman" w:eastAsia="Times New Roman" w:hAnsi="Times New Roman" w:cs="Times New Roman"/>
          <w:spacing w:val="-1"/>
          <w:sz w:val="18"/>
          <w:szCs w:val="18"/>
        </w:rPr>
      </w:pPr>
      <w:r>
        <w:rPr>
          <w:rFonts w:ascii="Times New Roman" w:eastAsia="Times New Roman" w:hAnsi="Times New Roman" w:cs="Times New Roman"/>
          <w:b/>
          <w:spacing w:val="-1"/>
          <w:sz w:val="18"/>
          <w:szCs w:val="18"/>
        </w:rPr>
        <w:t>All Terms and Conditions Met:</w:t>
      </w:r>
      <w:r>
        <w:rPr>
          <w:rFonts w:ascii="Times New Roman" w:eastAsia="Times New Roman" w:hAnsi="Times New Roman" w:cs="Times New Roman"/>
          <w:spacing w:val="-1"/>
          <w:sz w:val="18"/>
          <w:szCs w:val="18"/>
        </w:rPr>
        <w:t xml:space="preserve"> that all terms and conditions listed in the solicitation will be met. </w:t>
      </w:r>
    </w:p>
    <w:p w14:paraId="2D88C27D" w14:textId="6964F753" w:rsidR="003971BD" w:rsidRDefault="00387565" w:rsidP="00387565">
      <w:pPr>
        <w:widowControl w:val="0"/>
        <w:numPr>
          <w:ilvl w:val="1"/>
          <w:numId w:val="14"/>
        </w:numPr>
        <w:tabs>
          <w:tab w:val="left" w:pos="396"/>
          <w:tab w:val="left" w:pos="3708"/>
        </w:tabs>
        <w:spacing w:after="0"/>
        <w:jc w:val="both"/>
        <w:rPr>
          <w:rFonts w:ascii="Times New Roman" w:hAnsi="Times New Roman"/>
          <w:b/>
          <w:spacing w:val="-1"/>
          <w:sz w:val="18"/>
          <w:szCs w:val="18"/>
        </w:rPr>
      </w:pPr>
      <w:r>
        <w:rPr>
          <w:rFonts w:ascii="Times New Roman" w:eastAsia="Times New Roman" w:hAnsi="Times New Roman" w:cs="Times New Roman"/>
          <w:spacing w:val="-1"/>
          <w:sz w:val="18"/>
          <w:szCs w:val="18"/>
        </w:rPr>
        <w:t>By submitting the Proposal, Vendor represents and warrants that the individual submitting this document and the documents made part of this Proposal is authorized to sign such documents on behalf of the Vendor and to bind the Vendor under any contract that may result from the submission of this Proposal</w:t>
      </w:r>
      <w:r w:rsidR="003971BD">
        <w:rPr>
          <w:rFonts w:ascii="Times New Roman" w:eastAsia="Times New Roman" w:hAnsi="Times New Roman" w:cs="Times New Roman"/>
          <w:spacing w:val="-1"/>
          <w:sz w:val="18"/>
          <w:szCs w:val="18"/>
        </w:rPr>
        <w:t>.</w:t>
      </w:r>
    </w:p>
    <w:p w14:paraId="6A67179D" w14:textId="0D80E2AB" w:rsidR="00F41FB2" w:rsidRPr="00BD66F6" w:rsidRDefault="00387565" w:rsidP="00F407CA">
      <w:pPr>
        <w:widowControl w:val="0"/>
        <w:numPr>
          <w:ilvl w:val="1"/>
          <w:numId w:val="14"/>
        </w:numPr>
        <w:tabs>
          <w:tab w:val="left" w:pos="396"/>
          <w:tab w:val="left" w:pos="3708"/>
        </w:tabs>
        <w:spacing w:after="0"/>
        <w:jc w:val="both"/>
        <w:rPr>
          <w:rFonts w:ascii="Times New Roman" w:hAnsi="Times New Roman"/>
          <w:b/>
          <w:spacing w:val="-1"/>
          <w:sz w:val="18"/>
          <w:szCs w:val="18"/>
        </w:rPr>
      </w:pPr>
      <w:r>
        <w:rPr>
          <w:rFonts w:ascii="Times New Roman" w:eastAsia="Times New Roman" w:hAnsi="Times New Roman" w:cs="Times New Roman"/>
          <w:b/>
          <w:spacing w:val="-1"/>
          <w:sz w:val="18"/>
          <w:szCs w:val="18"/>
        </w:rPr>
        <w:t>U.S. Department of Homeland Security’s E-Verify System:</w:t>
      </w:r>
      <w:r>
        <w:rPr>
          <w:rFonts w:ascii="Times New Roman" w:eastAsia="Times New Roman" w:hAnsi="Times New Roman" w:cs="Times New Roman"/>
          <w:spacing w:val="-1"/>
          <w:sz w:val="18"/>
          <w:szCs w:val="18"/>
        </w:rPr>
        <w:t xml:space="preserve"> By entering into this Contract, the Contractor certifies and ensures that it utilizes and will continue to utilize, for the term of this Contract, the U.S. Department of Homeland Security’s E-Verify system to determine eligibility of:</w:t>
      </w:r>
    </w:p>
    <w:p w14:paraId="1001E3AA" w14:textId="77777777" w:rsidR="00F41FB2" w:rsidRPr="00074202" w:rsidRDefault="00F41FB2" w:rsidP="00F407CA">
      <w:pPr>
        <w:widowControl w:val="0"/>
        <w:numPr>
          <w:ilvl w:val="2"/>
          <w:numId w:val="14"/>
        </w:numPr>
        <w:tabs>
          <w:tab w:val="clear" w:pos="504"/>
        </w:tabs>
        <w:spacing w:after="0"/>
        <w:ind w:left="900" w:hanging="522"/>
        <w:jc w:val="both"/>
        <w:rPr>
          <w:rFonts w:ascii="Times New Roman" w:hAnsi="Times New Roman"/>
          <w:spacing w:val="-1"/>
          <w:sz w:val="18"/>
          <w:szCs w:val="18"/>
        </w:rPr>
      </w:pPr>
      <w:r w:rsidRPr="00074202">
        <w:rPr>
          <w:rFonts w:ascii="Times New Roman" w:hAnsi="Times New Roman"/>
          <w:spacing w:val="-1"/>
          <w:sz w:val="18"/>
          <w:szCs w:val="18"/>
        </w:rPr>
        <w:t>All persons employed to perform duties within Texas, during the term of the Contract; and</w:t>
      </w:r>
    </w:p>
    <w:p w14:paraId="3387AD60" w14:textId="77777777" w:rsidR="00F41FB2" w:rsidRPr="00074202" w:rsidRDefault="00F41FB2" w:rsidP="00F407CA">
      <w:pPr>
        <w:widowControl w:val="0"/>
        <w:numPr>
          <w:ilvl w:val="2"/>
          <w:numId w:val="14"/>
        </w:numPr>
        <w:tabs>
          <w:tab w:val="clear" w:pos="504"/>
        </w:tabs>
        <w:spacing w:after="0"/>
        <w:ind w:left="900" w:hanging="522"/>
        <w:jc w:val="both"/>
        <w:rPr>
          <w:rFonts w:ascii="Times New Roman" w:hAnsi="Times New Roman"/>
          <w:spacing w:val="-1"/>
          <w:sz w:val="18"/>
          <w:szCs w:val="18"/>
        </w:rPr>
      </w:pPr>
      <w:r w:rsidRPr="00BD66F6">
        <w:rPr>
          <w:rFonts w:ascii="Times New Roman" w:hAnsi="Times New Roman"/>
          <w:spacing w:val="-1"/>
          <w:sz w:val="18"/>
          <w:szCs w:val="18"/>
        </w:rPr>
        <w:t>All persons (including subcontractors) assigned by the Respondent to perform work pursuant to the Contract, within the United States of America.</w:t>
      </w:r>
    </w:p>
    <w:p w14:paraId="771313B0" w14:textId="77777777" w:rsidR="00F41FB2" w:rsidRPr="00074202" w:rsidRDefault="00F41FB2" w:rsidP="00F407CA">
      <w:pPr>
        <w:widowControl w:val="0"/>
        <w:numPr>
          <w:ilvl w:val="2"/>
          <w:numId w:val="14"/>
        </w:numPr>
        <w:tabs>
          <w:tab w:val="clear" w:pos="504"/>
        </w:tabs>
        <w:spacing w:after="0"/>
        <w:ind w:left="900" w:hanging="522"/>
        <w:jc w:val="both"/>
        <w:rPr>
          <w:rFonts w:ascii="Times New Roman" w:hAnsi="Times New Roman"/>
          <w:spacing w:val="-1"/>
          <w:sz w:val="18"/>
          <w:szCs w:val="18"/>
        </w:rPr>
      </w:pPr>
      <w:r w:rsidRPr="00BD66F6">
        <w:rPr>
          <w:rFonts w:ascii="Times New Roman" w:hAnsi="Times New Roman"/>
          <w:spacing w:val="-1"/>
          <w:sz w:val="18"/>
          <w:szCs w:val="18"/>
        </w:rPr>
        <w:t xml:space="preserve">The Contractor shall provide, upon request of TWC, an electronic or hardcopy screenshot of the confirmation or tentative non-confirmation screen containing the E-Verify case verification number for attachment to the Form I-9 for the three (3) most recent hires that match the criteria above, by the Contractor, and Contractor’s subcontractors, as proof that this provision is being followed. </w:t>
      </w:r>
    </w:p>
    <w:p w14:paraId="31E742A5" w14:textId="77777777" w:rsidR="00F41FB2" w:rsidRPr="00074202" w:rsidRDefault="00F41FB2" w:rsidP="00F407CA">
      <w:pPr>
        <w:widowControl w:val="0"/>
        <w:numPr>
          <w:ilvl w:val="2"/>
          <w:numId w:val="14"/>
        </w:numPr>
        <w:tabs>
          <w:tab w:val="clear" w:pos="504"/>
        </w:tabs>
        <w:spacing w:after="0"/>
        <w:ind w:left="900" w:hanging="522"/>
        <w:jc w:val="both"/>
        <w:rPr>
          <w:rFonts w:ascii="Times New Roman" w:hAnsi="Times New Roman"/>
          <w:b/>
          <w:spacing w:val="-1"/>
          <w:sz w:val="18"/>
          <w:szCs w:val="18"/>
        </w:rPr>
      </w:pPr>
      <w:r w:rsidRPr="00074202">
        <w:rPr>
          <w:rFonts w:ascii="Times New Roman" w:hAnsi="Times New Roman"/>
          <w:b/>
          <w:spacing w:val="-1"/>
          <w:sz w:val="18"/>
          <w:szCs w:val="18"/>
        </w:rPr>
        <w:t xml:space="preserve">If this certification is falsely made, the Contract may be immediately terminated, at the discretion of TWC and at no fault to TWC, with no prior notification. The Contractor shall also be responsible for the costs of any re-solicitation that TWC must undertake to replace the terminated Contract. </w:t>
      </w:r>
    </w:p>
    <w:p w14:paraId="0E72C157" w14:textId="77777777" w:rsidR="00387565" w:rsidRDefault="00387565" w:rsidP="00387565">
      <w:pPr>
        <w:widowControl w:val="0"/>
        <w:numPr>
          <w:ilvl w:val="1"/>
          <w:numId w:val="14"/>
        </w:numPr>
        <w:tabs>
          <w:tab w:val="clear" w:pos="360"/>
          <w:tab w:val="left" w:pos="396"/>
          <w:tab w:val="num" w:pos="720"/>
          <w:tab w:val="left" w:pos="3708"/>
        </w:tabs>
        <w:spacing w:after="0"/>
        <w:jc w:val="both"/>
        <w:rPr>
          <w:rFonts w:ascii="Times New Roman" w:eastAsia="Times New Roman" w:hAnsi="Times New Roman" w:cs="Times New Roman"/>
          <w:spacing w:val="-1"/>
          <w:sz w:val="18"/>
          <w:szCs w:val="18"/>
        </w:rPr>
      </w:pPr>
      <w:r>
        <w:rPr>
          <w:rFonts w:ascii="Times New Roman" w:eastAsia="Times New Roman" w:hAnsi="Times New Roman" w:cs="Times New Roman"/>
          <w:b/>
          <w:spacing w:val="-1"/>
          <w:sz w:val="18"/>
          <w:szCs w:val="18"/>
        </w:rPr>
        <w:t>Inducements:</w:t>
      </w:r>
      <w:r>
        <w:rPr>
          <w:rFonts w:ascii="Times New Roman" w:eastAsia="Times New Roman" w:hAnsi="Times New Roman" w:cs="Times New Roman"/>
          <w:spacing w:val="-1"/>
          <w:sz w:val="18"/>
          <w:szCs w:val="18"/>
        </w:rPr>
        <w:t xml:space="preserve"> that the Vendor has not given, offered to give, nor intends to give at any time hereafter any economic opportunity, future employment, gift, loan, gratuity, special discount, trip, favor, or service to a public servant in connection with the submitted solicitation response.</w:t>
      </w:r>
    </w:p>
    <w:p w14:paraId="636FF1AF" w14:textId="77777777" w:rsidR="00387565" w:rsidRDefault="00387565" w:rsidP="00387565">
      <w:pPr>
        <w:widowControl w:val="0"/>
        <w:numPr>
          <w:ilvl w:val="1"/>
          <w:numId w:val="14"/>
        </w:numPr>
        <w:tabs>
          <w:tab w:val="clear" w:pos="360"/>
          <w:tab w:val="left" w:pos="396"/>
          <w:tab w:val="num" w:pos="720"/>
          <w:tab w:val="left" w:pos="3708"/>
        </w:tabs>
        <w:spacing w:after="0"/>
        <w:jc w:val="both"/>
        <w:rPr>
          <w:rFonts w:ascii="Times New Roman" w:eastAsia="Times New Roman" w:hAnsi="Times New Roman" w:cs="Times New Roman"/>
          <w:spacing w:val="-1"/>
          <w:sz w:val="18"/>
          <w:szCs w:val="18"/>
        </w:rPr>
      </w:pPr>
      <w:r>
        <w:rPr>
          <w:rFonts w:ascii="Times New Roman" w:eastAsia="Times New Roman" w:hAnsi="Times New Roman" w:cs="Times New Roman"/>
          <w:b/>
          <w:sz w:val="18"/>
          <w:szCs w:val="18"/>
        </w:rPr>
        <w:t>Lobbying:</w:t>
      </w:r>
      <w:r>
        <w:rPr>
          <w:rFonts w:ascii="Times New Roman" w:eastAsia="Times New Roman" w:hAnsi="Times New Roman" w:cs="Times New Roman"/>
          <w:sz w:val="18"/>
          <w:szCs w:val="18"/>
        </w:rPr>
        <w:t xml:space="preserve"> it shall not and has not used any federally appropriated funds to pay any person or organization for influencing or attempting to influence any officer or employee of any federal agency, a member of Congress, officer or employee of Congress, or an employee of a member of Congress in connection with obtaining any federal contract, grant, or any other award covered by 31 U.S.C. § 1352.  Vendor certifies that it shall disclose any lobbying with non-federal funds that takes place in connection with obtaining any federal award by completing and submitting Standard Form LLL.  Further, Vendor certifies that no funds provided under the contract will be used in any way to attempt to influence in any manner a member of Congress to favor or oppose any legislation or appropriation by Congress, or for lobbying with State or local legislators. </w:t>
      </w:r>
    </w:p>
    <w:p w14:paraId="5897A090" w14:textId="77777777" w:rsidR="00387565" w:rsidRDefault="00387565" w:rsidP="00387565">
      <w:pPr>
        <w:widowControl w:val="0"/>
        <w:numPr>
          <w:ilvl w:val="1"/>
          <w:numId w:val="14"/>
        </w:numPr>
        <w:tabs>
          <w:tab w:val="clear" w:pos="360"/>
          <w:tab w:val="left" w:pos="396"/>
          <w:tab w:val="num" w:pos="720"/>
          <w:tab w:val="left" w:pos="3708"/>
        </w:tabs>
        <w:spacing w:after="0"/>
        <w:jc w:val="both"/>
        <w:rPr>
          <w:rFonts w:ascii="Times New Roman" w:eastAsia="Times New Roman" w:hAnsi="Times New Roman" w:cs="Times New Roman"/>
          <w:spacing w:val="-1"/>
          <w:sz w:val="18"/>
          <w:szCs w:val="18"/>
        </w:rPr>
      </w:pPr>
      <w:r>
        <w:rPr>
          <w:rFonts w:ascii="Times New Roman" w:eastAsia="Times New Roman" w:hAnsi="Times New Roman" w:cs="Times New Roman"/>
          <w:b/>
          <w:sz w:val="18"/>
          <w:szCs w:val="18"/>
        </w:rPr>
        <w:t>Not Ineligible:</w:t>
      </w:r>
      <w:r>
        <w:rPr>
          <w:rFonts w:ascii="Times New Roman" w:eastAsia="Times New Roman" w:hAnsi="Times New Roman" w:cs="Times New Roman"/>
          <w:sz w:val="18"/>
          <w:szCs w:val="18"/>
        </w:rPr>
        <w:t xml:space="preserve"> that neither it nor its principals are presen</w:t>
      </w:r>
      <w:r>
        <w:rPr>
          <w:rFonts w:ascii="Times New Roman" w:eastAsia="Times New Roman" w:hAnsi="Times New Roman" w:cs="Times New Roman"/>
          <w:sz w:val="18"/>
          <w:szCs w:val="18"/>
        </w:rPr>
        <w:softHyphen/>
        <w:t>tly debarred, suspended, proposed for debarment, declared ineligible, or voluntarily excluded from partici</w:t>
      </w:r>
      <w:r>
        <w:rPr>
          <w:rFonts w:ascii="Times New Roman" w:eastAsia="Times New Roman" w:hAnsi="Times New Roman" w:cs="Times New Roman"/>
          <w:sz w:val="18"/>
          <w:szCs w:val="18"/>
        </w:rPr>
        <w:softHyphen/>
        <w:t>pat</w:t>
      </w:r>
      <w:r>
        <w:rPr>
          <w:rFonts w:ascii="Times New Roman" w:eastAsia="Times New Roman" w:hAnsi="Times New Roman" w:cs="Times New Roman"/>
          <w:sz w:val="18"/>
          <w:szCs w:val="18"/>
        </w:rPr>
        <w:softHyphen/>
        <w:t>ing in this transaction by any federal department or agency.</w:t>
      </w:r>
    </w:p>
    <w:p w14:paraId="4BF793EC" w14:textId="77777777" w:rsidR="00387565" w:rsidRDefault="00387565" w:rsidP="00387565">
      <w:pPr>
        <w:widowControl w:val="0"/>
        <w:numPr>
          <w:ilvl w:val="1"/>
          <w:numId w:val="14"/>
        </w:numPr>
        <w:tabs>
          <w:tab w:val="clear" w:pos="360"/>
          <w:tab w:val="left" w:pos="396"/>
          <w:tab w:val="num" w:pos="720"/>
          <w:tab w:val="left" w:pos="3708"/>
        </w:tabs>
        <w:spacing w:after="0"/>
        <w:jc w:val="both"/>
        <w:rPr>
          <w:rFonts w:ascii="Times New Roman" w:eastAsia="Times New Roman" w:hAnsi="Times New Roman" w:cs="Times New Roman"/>
          <w:spacing w:val="-1"/>
          <w:sz w:val="18"/>
          <w:szCs w:val="18"/>
        </w:rPr>
      </w:pPr>
      <w:r>
        <w:rPr>
          <w:rFonts w:ascii="Times New Roman" w:eastAsia="Times New Roman" w:hAnsi="Times New Roman" w:cs="Times New Roman"/>
          <w:b/>
          <w:sz w:val="18"/>
          <w:szCs w:val="18"/>
        </w:rPr>
        <w:t>Non-Discrimination:</w:t>
      </w:r>
      <w:r>
        <w:rPr>
          <w:rFonts w:ascii="Times New Roman" w:eastAsia="Times New Roman" w:hAnsi="Times New Roman" w:cs="Times New Roman"/>
          <w:sz w:val="18"/>
          <w:szCs w:val="18"/>
        </w:rPr>
        <w:t xml:space="preserve"> The Vendor agrees that no person will, on the ground of race, color, religion, sex, national origin, age, disability, political affiliation, or religious belief, be excluded from the participation in, be denied the benefits or, be subjected to discrimination under, or be denied employment in the administration of, or in connection with, any program or activity funded in whole or in part with funds available under this </w:t>
      </w:r>
      <w:r>
        <w:rPr>
          <w:rFonts w:ascii="Times New Roman" w:eastAsia="Times New Roman" w:hAnsi="Times New Roman" w:cs="Times New Roman"/>
          <w:sz w:val="18"/>
          <w:szCs w:val="18"/>
        </w:rPr>
        <w:lastRenderedPageBreak/>
        <w:t>Contract. The Vendor certifies compliance with the Rehabilitation Act of 1998 § 508, 29 U.S.C. § 794d, relating to the use of electronic and information technology for individuals with disabilities;  the Housing and Urban Development Act § 3, 12 USC §1701u Sec. 1701u, relating to economic opportunities for low- and very low-income persons;  Titles VI and VII of the Civil Rights Act of 1964 (Public Law 88-352); Section 504 of the Rehabilitation Act of 1973 (Public Law 93-112); Executive Order 11246, “Equal Employment Opportunity,”  as amended by Executive Order 11375, “Amending Executive Order 11246 relating to Equal Employment Opportunity,” and as supplemented by regulations at 41 C.F.R. Part 60, “Office of Federal contract Compliance Programs, Equal Employment Opportunity Department of Labor.”; the Americans with Disabilities Act of 1990 (Public Law 101-336); and all amendments to each.</w:t>
      </w:r>
    </w:p>
    <w:p w14:paraId="73F295E1" w14:textId="77777777" w:rsidR="00387565" w:rsidRDefault="00387565" w:rsidP="00387565">
      <w:pPr>
        <w:widowControl w:val="0"/>
        <w:numPr>
          <w:ilvl w:val="1"/>
          <w:numId w:val="14"/>
        </w:numPr>
        <w:tabs>
          <w:tab w:val="clear" w:pos="360"/>
          <w:tab w:val="left" w:pos="396"/>
          <w:tab w:val="num" w:pos="720"/>
          <w:tab w:val="left" w:pos="3708"/>
        </w:tabs>
        <w:spacing w:after="0"/>
        <w:jc w:val="both"/>
        <w:rPr>
          <w:rFonts w:ascii="Times New Roman" w:eastAsia="Times New Roman" w:hAnsi="Times New Roman" w:cs="Times New Roman"/>
          <w:spacing w:val="-1"/>
          <w:sz w:val="18"/>
          <w:szCs w:val="18"/>
        </w:rPr>
      </w:pPr>
      <w:r>
        <w:rPr>
          <w:rFonts w:ascii="Times New Roman" w:eastAsia="Times New Roman" w:hAnsi="Times New Roman" w:cs="Times New Roman"/>
          <w:b/>
          <w:sz w:val="18"/>
          <w:szCs w:val="18"/>
        </w:rPr>
        <w:t>Drug-Free Workplace:</w:t>
      </w:r>
      <w:r>
        <w:rPr>
          <w:rFonts w:ascii="Times New Roman" w:eastAsia="Times New Roman" w:hAnsi="Times New Roman" w:cs="Times New Roman"/>
          <w:sz w:val="18"/>
          <w:szCs w:val="18"/>
        </w:rPr>
        <w:t xml:space="preserve"> The Vendor agrees to provide a drug-free workplace in compliance with the Drug-Free Workplace Act of 1988 (102 Stat. 4304, P.L. 100-690, Title V, Subtitle D).</w:t>
      </w:r>
    </w:p>
    <w:p w14:paraId="3C6CCE14" w14:textId="77777777" w:rsidR="00387565" w:rsidRDefault="00387565" w:rsidP="00387565">
      <w:pPr>
        <w:widowControl w:val="0"/>
        <w:numPr>
          <w:ilvl w:val="1"/>
          <w:numId w:val="14"/>
        </w:numPr>
        <w:tabs>
          <w:tab w:val="clear" w:pos="360"/>
          <w:tab w:val="left" w:pos="396"/>
          <w:tab w:val="num" w:pos="720"/>
          <w:tab w:val="left" w:pos="3708"/>
        </w:tabs>
        <w:spacing w:after="0"/>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Franchise Tax: </w:t>
      </w:r>
      <w:r>
        <w:rPr>
          <w:rFonts w:ascii="Times New Roman" w:eastAsia="Times New Roman" w:hAnsi="Times New Roman" w:cs="Times New Roman"/>
          <w:sz w:val="18"/>
          <w:szCs w:val="18"/>
        </w:rPr>
        <w:t>The</w:t>
      </w:r>
      <w:r>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Vendor is not currently delinquent in the payment of any franchise tax owed to the State of Texas, pursuant to Article 2.45, Texas Business Corporation Act.</w:t>
      </w:r>
    </w:p>
    <w:p w14:paraId="6998E6C8" w14:textId="77777777" w:rsidR="00387565" w:rsidRDefault="00387565" w:rsidP="00387565">
      <w:pPr>
        <w:numPr>
          <w:ilvl w:val="1"/>
          <w:numId w:val="14"/>
        </w:numPr>
        <w:tabs>
          <w:tab w:val="clear" w:pos="360"/>
          <w:tab w:val="left" w:pos="396"/>
          <w:tab w:val="num" w:pos="720"/>
          <w:tab w:val="left" w:pos="3708"/>
        </w:tabs>
        <w:spacing w:after="0"/>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Child Support: </w:t>
      </w:r>
      <w:r>
        <w:rPr>
          <w:rFonts w:ascii="Times New Roman" w:eastAsia="Times New Roman" w:hAnsi="Times New Roman" w:cs="Times New Roman"/>
          <w:sz w:val="18"/>
          <w:szCs w:val="18"/>
        </w:rPr>
        <w:t xml:space="preserve">The Vendor is not ineligible to receive the specified grant, loan, or payment under Section 231.006 of the Texas Family Code (relating to child support) and acknowledges that the contract may be terminated and payment may be withheld if certification is inaccurate.  </w:t>
      </w:r>
      <w:r>
        <w:rPr>
          <w:rFonts w:ascii="Times New Roman" w:eastAsia="Times New Roman" w:hAnsi="Times New Roman" w:cs="Times New Roman"/>
          <w:spacing w:val="-1"/>
          <w:sz w:val="18"/>
          <w:szCs w:val="18"/>
        </w:rPr>
        <w:t>Pursuant to Texas Family Code § 231.</w:t>
      </w:r>
      <w:r>
        <w:rPr>
          <w:rFonts w:ascii="Times New Roman" w:eastAsia="Times New Roman" w:hAnsi="Times New Roman" w:cs="Times New Roman"/>
          <w:sz w:val="18"/>
          <w:szCs w:val="18"/>
        </w:rPr>
        <w:t xml:space="preserve">006(c), Vendor must provide </w:t>
      </w:r>
      <w:r>
        <w:rPr>
          <w:rFonts w:ascii="Times New Roman" w:eastAsia="Times New Roman" w:hAnsi="Times New Roman" w:cs="Times New Roman"/>
          <w:spacing w:val="-1"/>
          <w:sz w:val="18"/>
          <w:szCs w:val="18"/>
        </w:rPr>
        <w:t xml:space="preserve">the name and Social Security Number (SSN) of each person with at least 25% ownership of the business.  This information </w:t>
      </w:r>
      <w:r>
        <w:rPr>
          <w:rFonts w:ascii="Times New Roman" w:eastAsia="Times New Roman" w:hAnsi="Times New Roman" w:cs="Times New Roman"/>
          <w:sz w:val="18"/>
          <w:szCs w:val="18"/>
        </w:rPr>
        <w:t>must be provided prior to contract award.</w:t>
      </w:r>
    </w:p>
    <w:p w14:paraId="29DA7CE5" w14:textId="77777777" w:rsidR="00387565" w:rsidRDefault="00387565" w:rsidP="00387565">
      <w:pPr>
        <w:widowControl w:val="0"/>
        <w:numPr>
          <w:ilvl w:val="1"/>
          <w:numId w:val="14"/>
        </w:numPr>
        <w:tabs>
          <w:tab w:val="clear" w:pos="360"/>
          <w:tab w:val="left" w:pos="396"/>
          <w:tab w:val="num" w:pos="720"/>
          <w:tab w:val="left" w:pos="3708"/>
        </w:tabs>
        <w:spacing w:after="0"/>
        <w:jc w:val="both"/>
        <w:rPr>
          <w:rFonts w:ascii="Times New Roman" w:eastAsia="Times New Roman" w:hAnsi="Times New Roman" w:cs="Times New Roman"/>
          <w:spacing w:val="-1"/>
          <w:sz w:val="18"/>
          <w:szCs w:val="18"/>
        </w:rPr>
      </w:pPr>
      <w:r>
        <w:rPr>
          <w:rFonts w:ascii="Times New Roman" w:eastAsia="Times New Roman" w:hAnsi="Times New Roman" w:cs="Times New Roman"/>
          <w:b/>
          <w:spacing w:val="-1"/>
          <w:sz w:val="18"/>
          <w:szCs w:val="18"/>
        </w:rPr>
        <w:t xml:space="preserve">Certain Bids and Contracts Prohibited: </w:t>
      </w:r>
      <w:r>
        <w:rPr>
          <w:rFonts w:ascii="Times New Roman" w:eastAsia="Times New Roman" w:hAnsi="Times New Roman" w:cs="Times New Roman"/>
          <w:spacing w:val="-1"/>
          <w:sz w:val="18"/>
          <w:szCs w:val="18"/>
        </w:rPr>
        <w:t xml:space="preserve">Under Texas Government Code </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1"/>
          <w:sz w:val="18"/>
          <w:szCs w:val="18"/>
        </w:rPr>
        <w:t>2155.004, Vendor certifies that the individual or business entity named in the solicitation response is not ineligible to receive the specified contract and acknowledges that the contract may be terminated and/or payment withheld if this certification is inaccurate.</w:t>
      </w:r>
    </w:p>
    <w:p w14:paraId="3DF628CB" w14:textId="77777777" w:rsidR="00387565" w:rsidRDefault="00387565" w:rsidP="00387565">
      <w:pPr>
        <w:widowControl w:val="0"/>
        <w:numPr>
          <w:ilvl w:val="1"/>
          <w:numId w:val="14"/>
        </w:numPr>
        <w:tabs>
          <w:tab w:val="clear" w:pos="360"/>
          <w:tab w:val="left" w:pos="396"/>
          <w:tab w:val="num" w:pos="720"/>
          <w:tab w:val="left" w:pos="3708"/>
        </w:tabs>
        <w:spacing w:after="0"/>
        <w:jc w:val="both"/>
        <w:rPr>
          <w:rFonts w:ascii="Times New Roman" w:eastAsia="Times New Roman" w:hAnsi="Times New Roman" w:cs="Times New Roman"/>
          <w:sz w:val="18"/>
          <w:szCs w:val="18"/>
          <w:lang w:val="x-none" w:eastAsia="x-none"/>
        </w:rPr>
      </w:pPr>
      <w:r>
        <w:rPr>
          <w:rFonts w:ascii="Times New Roman" w:eastAsia="Times New Roman" w:hAnsi="Times New Roman" w:cs="Times New Roman"/>
          <w:b/>
          <w:sz w:val="18"/>
          <w:szCs w:val="18"/>
          <w:lang w:val="x-none" w:eastAsia="x-none"/>
        </w:rPr>
        <w:t>Fair Business Practices:</w:t>
      </w:r>
      <w:r>
        <w:rPr>
          <w:rFonts w:ascii="Times New Roman" w:eastAsia="Times New Roman" w:hAnsi="Times New Roman" w:cs="Times New Roman"/>
          <w:sz w:val="18"/>
          <w:szCs w:val="18"/>
          <w:lang w:val="x-none" w:eastAsia="x-none"/>
        </w:rPr>
        <w:t xml:space="preserve"> The Vendor has not been found guilty of unfair business practices in a judicial or state agency administrative proceeding during the preceding year.  The Vendor further affirms that no officer of the Vendor has served as an officer of any company found guilty of unfair business practices in a judicial or state agency admin</w:t>
      </w:r>
      <w:r>
        <w:rPr>
          <w:rFonts w:ascii="Times New Roman" w:eastAsia="Times New Roman" w:hAnsi="Times New Roman" w:cs="Times New Roman"/>
          <w:sz w:val="18"/>
          <w:szCs w:val="18"/>
          <w:lang w:val="x-none" w:eastAsia="x-none"/>
        </w:rPr>
        <w:softHyphen/>
        <w:t>istrative proceeding during the preceding year.</w:t>
      </w:r>
    </w:p>
    <w:p w14:paraId="2787D827" w14:textId="77777777" w:rsidR="00387565" w:rsidRDefault="00387565" w:rsidP="00387565">
      <w:pPr>
        <w:widowControl w:val="0"/>
        <w:numPr>
          <w:ilvl w:val="1"/>
          <w:numId w:val="14"/>
        </w:numPr>
        <w:tabs>
          <w:tab w:val="clear" w:pos="360"/>
          <w:tab w:val="left" w:pos="396"/>
          <w:tab w:val="num" w:pos="720"/>
          <w:tab w:val="left" w:pos="3708"/>
        </w:tabs>
        <w:spacing w:after="0"/>
        <w:jc w:val="both"/>
        <w:rPr>
          <w:rFonts w:ascii="Times New Roman" w:eastAsia="Times New Roman" w:hAnsi="Times New Roman" w:cs="Times New Roman"/>
          <w:sz w:val="18"/>
          <w:szCs w:val="18"/>
        </w:rPr>
      </w:pPr>
      <w:r>
        <w:rPr>
          <w:rFonts w:ascii="Times New Roman" w:eastAsia="Times New Roman" w:hAnsi="Times New Roman" w:cs="Times New Roman"/>
          <w:b/>
          <w:spacing w:val="-1"/>
          <w:sz w:val="18"/>
          <w:szCs w:val="18"/>
        </w:rPr>
        <w:t>Antitrust:</w:t>
      </w:r>
      <w:r>
        <w:rPr>
          <w:rFonts w:ascii="Times New Roman" w:eastAsia="Times New Roman" w:hAnsi="Times New Roman" w:cs="Times New Roman"/>
          <w:spacing w:val="-1"/>
          <w:sz w:val="18"/>
          <w:szCs w:val="18"/>
        </w:rPr>
        <w:t xml:space="preserve"> Affirms under penalty of perjury of the laws of the State of Texas that (1) in connection with this Response and any resulting contract, neither I nor any representative of the Vendor has violated any provision of the Texas Free Enterprise and Antitrust Act, Tex. Bus. &amp; Comm. Code Chapter 15;  (2) in connection with this Response and any resulting contract, neither I nor any representative of the Vendor have violated any federal antitrust law; and (3) neither I nor any representative of the Vendor have directly or indirectly communicated any of the contents of this Response to a competitor of the Vendor or any other company, corporation, firm, partnership or individual engaged in the same line of business as the Vendor.</w:t>
      </w:r>
    </w:p>
    <w:p w14:paraId="217C12EE" w14:textId="77777777" w:rsidR="00387565" w:rsidRDefault="00387565" w:rsidP="00387565">
      <w:pPr>
        <w:widowControl w:val="0"/>
        <w:numPr>
          <w:ilvl w:val="1"/>
          <w:numId w:val="14"/>
        </w:numPr>
        <w:tabs>
          <w:tab w:val="clear" w:pos="360"/>
          <w:tab w:val="left" w:pos="396"/>
          <w:tab w:val="num" w:pos="720"/>
          <w:tab w:val="left" w:pos="3708"/>
        </w:tabs>
        <w:spacing w:after="0"/>
        <w:jc w:val="both"/>
        <w:rPr>
          <w:rFonts w:ascii="Times New Roman" w:eastAsia="Times New Roman" w:hAnsi="Times New Roman" w:cs="Times New Roman"/>
          <w:spacing w:val="-1"/>
          <w:sz w:val="18"/>
          <w:szCs w:val="18"/>
        </w:rPr>
      </w:pPr>
      <w:r>
        <w:rPr>
          <w:rFonts w:ascii="Times New Roman" w:eastAsia="Times New Roman" w:hAnsi="Times New Roman" w:cs="Times New Roman"/>
          <w:b/>
          <w:spacing w:val="-1"/>
          <w:sz w:val="18"/>
          <w:szCs w:val="18"/>
        </w:rPr>
        <w:t xml:space="preserve">No Compensation: </w:t>
      </w:r>
      <w:r>
        <w:rPr>
          <w:rFonts w:ascii="Times New Roman" w:eastAsia="Times New Roman" w:hAnsi="Times New Roman" w:cs="Times New Roman"/>
          <w:spacing w:val="-1"/>
          <w:sz w:val="18"/>
          <w:szCs w:val="18"/>
        </w:rPr>
        <w:t>The Vendor has not received compensation for participation in the preparation of the solicitation. This section does not prohibit a Vendor or contract participant from providing free technical assistance.</w:t>
      </w:r>
    </w:p>
    <w:p w14:paraId="2FEF083B" w14:textId="77777777" w:rsidR="00387565" w:rsidRDefault="00387565" w:rsidP="00387565">
      <w:pPr>
        <w:numPr>
          <w:ilvl w:val="1"/>
          <w:numId w:val="14"/>
        </w:numPr>
        <w:tabs>
          <w:tab w:val="clear" w:pos="360"/>
          <w:tab w:val="left" w:pos="396"/>
          <w:tab w:val="num" w:pos="720"/>
          <w:tab w:val="left" w:pos="3708"/>
        </w:tabs>
        <w:spacing w:after="0"/>
        <w:jc w:val="both"/>
        <w:rPr>
          <w:rFonts w:ascii="Times New Roman" w:eastAsia="Times New Roman" w:hAnsi="Times New Roman" w:cs="Times New Roman"/>
          <w:spacing w:val="-1"/>
          <w:sz w:val="18"/>
          <w:szCs w:val="18"/>
        </w:rPr>
      </w:pPr>
      <w:r>
        <w:rPr>
          <w:rFonts w:ascii="Times New Roman" w:eastAsia="Times New Roman" w:hAnsi="Times New Roman" w:cs="Times New Roman"/>
          <w:b/>
          <w:spacing w:val="-1"/>
          <w:sz w:val="18"/>
          <w:szCs w:val="18"/>
        </w:rPr>
        <w:t>Conflict of Interest:</w:t>
      </w:r>
      <w:r>
        <w:rPr>
          <w:rFonts w:ascii="Times New Roman" w:eastAsia="Times New Roman" w:hAnsi="Times New Roman" w:cs="Times New Roman"/>
          <w:spacing w:val="-1"/>
          <w:sz w:val="18"/>
          <w:szCs w:val="18"/>
        </w:rPr>
        <w:t xml:space="preserve"> Vendor has disclosed any existing or potential conflict of interest relative to the performance of the contract. Failure to do so will be grounds for contract termination.</w:t>
      </w:r>
    </w:p>
    <w:p w14:paraId="63564AAE" w14:textId="77777777" w:rsidR="00387565" w:rsidRDefault="00387565" w:rsidP="00387565">
      <w:pPr>
        <w:numPr>
          <w:ilvl w:val="1"/>
          <w:numId w:val="14"/>
        </w:numPr>
        <w:tabs>
          <w:tab w:val="left" w:pos="360"/>
        </w:tabs>
        <w:spacing w:after="40"/>
        <w:ind w:right="-10"/>
        <w:jc w:val="both"/>
        <w:rPr>
          <w:rFonts w:ascii="Arial" w:eastAsia="Times New Roman" w:hAnsi="Arial" w:cs="Arial"/>
          <w:sz w:val="18"/>
          <w:szCs w:val="18"/>
        </w:rPr>
      </w:pPr>
      <w:r>
        <w:rPr>
          <w:rFonts w:ascii="Times New Roman" w:eastAsia="Times New Roman" w:hAnsi="Times New Roman" w:cs="Times New Roman"/>
          <w:b/>
          <w:sz w:val="18"/>
          <w:szCs w:val="18"/>
        </w:rPr>
        <w:t>Prohibition on Certain Bids and Contracts related to Disasters and Hurricanes Katrina and Rita:</w:t>
      </w:r>
      <w:r>
        <w:rPr>
          <w:rFonts w:ascii="Times New Roman" w:eastAsia="Times New Roman" w:hAnsi="Times New Roman" w:cs="Times New Roman"/>
          <w:sz w:val="18"/>
          <w:szCs w:val="18"/>
        </w:rPr>
        <w:t xml:space="preserve"> Under Texas Government Code § 2155.006, the Vendor certifies that the individual or business entity named in response to this solicitation is not ineligible to receive the specified contract and acknowledges that any contract resulting from this solicitation may be terminated and payment withheld if this certification is inaccurate.</w:t>
      </w:r>
    </w:p>
    <w:p w14:paraId="007BE010" w14:textId="77777777" w:rsidR="00387565" w:rsidRDefault="00387565" w:rsidP="00387565">
      <w:pPr>
        <w:numPr>
          <w:ilvl w:val="1"/>
          <w:numId w:val="14"/>
        </w:numPr>
        <w:tabs>
          <w:tab w:val="clear" w:pos="360"/>
          <w:tab w:val="num" w:pos="720"/>
        </w:tabs>
        <w:spacing w:after="40"/>
        <w:ind w:right="-14"/>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Independent Contractor: </w:t>
      </w:r>
      <w:r>
        <w:rPr>
          <w:rFonts w:ascii="Times New Roman" w:eastAsia="Times New Roman" w:hAnsi="Times New Roman" w:cs="Times New Roman"/>
          <w:sz w:val="18"/>
          <w:szCs w:val="18"/>
        </w:rPr>
        <w:t>Vendor or Vendor’s employees, representatives, agents and any subcontractors shall serve as an independent contractor in providing the services under any contract resulting from this solicitation.  Vendor and Vendor's employees, representatives, agents and any subcontractors shall not be employees of TWC.  Should Vendor subcontract any of the services required in this solicitation, Vendor expressly understands and acknowledges that in entering into such subcontract(s), TWC is in no manner liable to any subcontractor(s) of Vendor.  In no event shall this provision relieve Vendor of the responsibility for ensuring that the services rendered under all subcontracts are rendered in compliance with this solicitation and any resulting contract.</w:t>
      </w:r>
    </w:p>
    <w:p w14:paraId="4089A3A5" w14:textId="77777777" w:rsidR="00BC582E" w:rsidRDefault="00BC582E" w:rsidP="00BC582E">
      <w:pPr>
        <w:numPr>
          <w:ilvl w:val="1"/>
          <w:numId w:val="14"/>
        </w:numPr>
        <w:tabs>
          <w:tab w:val="clear" w:pos="360"/>
          <w:tab w:val="num" w:pos="720"/>
        </w:tabs>
        <w:spacing w:after="40"/>
        <w:ind w:right="-14"/>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Workers’ Compensation Insurance.</w:t>
      </w:r>
      <w:r>
        <w:rPr>
          <w:rFonts w:ascii="Times New Roman" w:eastAsia="Times New Roman" w:hAnsi="Times New Roman" w:cs="Times New Roman"/>
          <w:sz w:val="18"/>
          <w:szCs w:val="18"/>
        </w:rPr>
        <w:t xml:space="preserve"> Vendor must maintain Workers’ Compensation insurance coverage in accordance with statutory limits.</w:t>
      </w:r>
    </w:p>
    <w:p w14:paraId="7B57BF8A" w14:textId="77777777" w:rsidR="00BC582E" w:rsidRDefault="00BC582E" w:rsidP="00BC582E">
      <w:pPr>
        <w:spacing w:after="40"/>
        <w:ind w:left="360" w:right="-14"/>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Workers Compensation: Statutory Limits</w:t>
      </w:r>
    </w:p>
    <w:p w14:paraId="705BFFB9" w14:textId="77777777" w:rsidR="00BC582E" w:rsidRDefault="00BC582E" w:rsidP="00BC582E">
      <w:pPr>
        <w:spacing w:after="40"/>
        <w:ind w:left="360" w:right="-14"/>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Employers Liability: Each Accident $1,000,000</w:t>
      </w:r>
    </w:p>
    <w:p w14:paraId="146E604F" w14:textId="77777777" w:rsidR="00BC582E" w:rsidRDefault="00BC582E" w:rsidP="00BC582E">
      <w:pPr>
        <w:spacing w:after="40"/>
        <w:ind w:left="360" w:right="-14"/>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Disease – Each Employee $1,000,000</w:t>
      </w:r>
    </w:p>
    <w:p w14:paraId="6971732A" w14:textId="77777777" w:rsidR="00BC582E" w:rsidRDefault="00BC582E" w:rsidP="00BC582E">
      <w:pPr>
        <w:spacing w:after="40"/>
        <w:ind w:left="360" w:right="-14"/>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Disease – Policy Limit $1,000,000</w:t>
      </w:r>
    </w:p>
    <w:p w14:paraId="405C0280" w14:textId="77777777" w:rsidR="00BC582E" w:rsidRDefault="00BC582E" w:rsidP="00BC582E">
      <w:pPr>
        <w:spacing w:after="40"/>
        <w:ind w:left="360" w:right="-14"/>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Commercial General Liability:</w:t>
      </w:r>
    </w:p>
    <w:p w14:paraId="24D8C616" w14:textId="77777777" w:rsidR="00BC582E" w:rsidRDefault="00BC582E" w:rsidP="00BC582E">
      <w:pPr>
        <w:spacing w:after="40"/>
        <w:ind w:left="360" w:right="-14"/>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Occurrence based:</w:t>
      </w:r>
    </w:p>
    <w:p w14:paraId="2B340ED0" w14:textId="77777777" w:rsidR="00BC582E" w:rsidRDefault="00BC582E" w:rsidP="00BC582E">
      <w:pPr>
        <w:spacing w:after="40"/>
        <w:ind w:left="360" w:right="-14"/>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Bodily Injury and Property Damage</w:t>
      </w:r>
    </w:p>
    <w:p w14:paraId="07290CB8" w14:textId="77777777" w:rsidR="00BC582E" w:rsidRDefault="00BC582E" w:rsidP="00BC582E">
      <w:pPr>
        <w:spacing w:after="40"/>
        <w:ind w:left="360" w:right="-14"/>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Each occurrence limit: $1,000,000</w:t>
      </w:r>
    </w:p>
    <w:p w14:paraId="4CD9A970" w14:textId="77777777" w:rsidR="00BC582E" w:rsidRDefault="00BC582E" w:rsidP="00BC582E">
      <w:pPr>
        <w:spacing w:after="40"/>
        <w:ind w:left="360" w:right="-14"/>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Aggregate limit: $2,000,000</w:t>
      </w:r>
    </w:p>
    <w:p w14:paraId="5546092D" w14:textId="77777777" w:rsidR="00BC582E" w:rsidRDefault="00BC582E" w:rsidP="00BC582E">
      <w:pPr>
        <w:spacing w:after="40"/>
        <w:ind w:left="360" w:right="-14"/>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Medical Expense each person: $5,000</w:t>
      </w:r>
    </w:p>
    <w:p w14:paraId="7ADAD4DE" w14:textId="77777777" w:rsidR="00BC582E" w:rsidRDefault="00BC582E" w:rsidP="00BC582E">
      <w:pPr>
        <w:spacing w:after="40"/>
        <w:ind w:left="360" w:right="-14"/>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Personal Injury and Advertising Liability: $1,000,000</w:t>
      </w:r>
    </w:p>
    <w:p w14:paraId="38253A77" w14:textId="77777777" w:rsidR="00BC582E" w:rsidRDefault="00BC582E" w:rsidP="00BC582E">
      <w:pPr>
        <w:spacing w:after="40"/>
        <w:ind w:left="360" w:right="-14"/>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Products/Completed Operations Aggregate Limit: $2,000,000</w:t>
      </w:r>
    </w:p>
    <w:p w14:paraId="0740BDC7" w14:textId="77777777" w:rsidR="00BC582E" w:rsidRDefault="00BC582E" w:rsidP="00BC582E">
      <w:pPr>
        <w:spacing w:after="40"/>
        <w:ind w:left="360" w:right="-14"/>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Damage to Premises Rented to You: $50,000</w:t>
      </w:r>
    </w:p>
    <w:p w14:paraId="59BD26E6" w14:textId="77777777" w:rsidR="00BC582E" w:rsidRDefault="00BC582E" w:rsidP="00BC582E">
      <w:pPr>
        <w:spacing w:after="40"/>
        <w:ind w:left="360" w:right="-14"/>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NOTE: The required coverage is to be with companies licensed in the state of Texas with an “A” rating from A.M. Best, and authorized to provide the corresponding coverage. </w:t>
      </w:r>
    </w:p>
    <w:p w14:paraId="488A3AD1" w14:textId="77777777" w:rsidR="00BC582E" w:rsidRDefault="00BC582E" w:rsidP="00BC582E">
      <w:pPr>
        <w:numPr>
          <w:ilvl w:val="1"/>
          <w:numId w:val="14"/>
        </w:numPr>
        <w:tabs>
          <w:tab w:val="clear" w:pos="360"/>
          <w:tab w:val="num" w:pos="720"/>
        </w:tabs>
        <w:spacing w:after="40"/>
        <w:ind w:right="-14"/>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Felony Criminal Convictions: </w:t>
      </w:r>
      <w:r>
        <w:rPr>
          <w:rFonts w:ascii="Times New Roman" w:eastAsia="Times New Roman" w:hAnsi="Times New Roman" w:cs="Times New Roman"/>
          <w:sz w:val="18"/>
          <w:szCs w:val="18"/>
        </w:rPr>
        <w:t>Vendor represents and warrants that Vendor has not and Vendor’s employees have not been convicted of a felony criminal offense, or that, if such a conviction has occurred, Vendor has fully advised TWC as to the facts and circumstances surrounding the conviction.</w:t>
      </w:r>
    </w:p>
    <w:p w14:paraId="4E2BB617" w14:textId="77777777" w:rsidR="00BC582E" w:rsidRDefault="00BC582E" w:rsidP="00BC582E">
      <w:pPr>
        <w:numPr>
          <w:ilvl w:val="1"/>
          <w:numId w:val="14"/>
        </w:numPr>
        <w:tabs>
          <w:tab w:val="clear" w:pos="360"/>
          <w:tab w:val="num" w:pos="720"/>
        </w:tabs>
        <w:spacing w:after="40"/>
        <w:ind w:right="-14"/>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lastRenderedPageBreak/>
        <w:t>Restricted Employment for Former State Officers or Employees Under Texas Government Code § 572.069</w:t>
      </w:r>
      <w:r>
        <w:rPr>
          <w:rFonts w:ascii="Times New Roman" w:eastAsia="Times New Roman" w:hAnsi="Times New Roman" w:cs="Times New Roman"/>
          <w:sz w:val="18"/>
          <w:szCs w:val="18"/>
        </w:rPr>
        <w:t>:  Vendor certifies that it has not employed and will not employ a former TWC or state officer who participated in a procurement or contract negotiations for TWC involving Vendor within two (2) years after the state officer or employee left state agency employment or service.  This certification only applies to former state officers or employees whose state service or employment ceased on or after September 1, 2015.</w:t>
      </w:r>
    </w:p>
    <w:p w14:paraId="7DF56240" w14:textId="77777777" w:rsidR="00BC582E" w:rsidRDefault="00BC582E" w:rsidP="00BC582E">
      <w:pPr>
        <w:numPr>
          <w:ilvl w:val="1"/>
          <w:numId w:val="14"/>
        </w:numPr>
        <w:tabs>
          <w:tab w:val="clear" w:pos="360"/>
          <w:tab w:val="num" w:pos="720"/>
        </w:tabs>
        <w:spacing w:after="40"/>
        <w:ind w:right="-1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Vendor certifies that both of the following statements are true and correct and that the Vendor understands that making a false statement is a material breach of the contract and is grounds for termination of contract award:</w:t>
      </w:r>
    </w:p>
    <w:p w14:paraId="4E372C34" w14:textId="77777777" w:rsidR="0075399C" w:rsidRPr="0075399C" w:rsidRDefault="0075399C" w:rsidP="0075399C">
      <w:pPr>
        <w:widowControl w:val="0"/>
        <w:numPr>
          <w:ilvl w:val="2"/>
          <w:numId w:val="14"/>
        </w:numPr>
        <w:tabs>
          <w:tab w:val="clear" w:pos="504"/>
        </w:tabs>
        <w:spacing w:after="0"/>
        <w:ind w:left="900" w:hanging="522"/>
        <w:jc w:val="both"/>
        <w:rPr>
          <w:rFonts w:ascii="Times New Roman" w:hAnsi="Times New Roman"/>
          <w:spacing w:val="-1"/>
          <w:sz w:val="18"/>
          <w:szCs w:val="18"/>
        </w:rPr>
      </w:pPr>
      <w:r>
        <w:rPr>
          <w:rFonts w:ascii="Times New Roman" w:eastAsia="Times New Roman" w:hAnsi="Times New Roman" w:cs="Times New Roman"/>
          <w:sz w:val="18"/>
          <w:szCs w:val="18"/>
        </w:rPr>
        <w:t>Vendor is current in Unemployment Insurance taxes, Payday and Child Labor law monetary obligations, and Proprietary School fees and assessments payable to the State of Texas, to the extent applicable.</w:t>
      </w:r>
    </w:p>
    <w:p w14:paraId="1474963C" w14:textId="1070FCFD" w:rsidR="0075399C" w:rsidRPr="00074202" w:rsidRDefault="0075399C" w:rsidP="0075399C">
      <w:pPr>
        <w:widowControl w:val="0"/>
        <w:numPr>
          <w:ilvl w:val="2"/>
          <w:numId w:val="14"/>
        </w:numPr>
        <w:tabs>
          <w:tab w:val="clear" w:pos="504"/>
        </w:tabs>
        <w:spacing w:after="0"/>
        <w:ind w:left="900" w:hanging="522"/>
        <w:jc w:val="both"/>
        <w:rPr>
          <w:rFonts w:ascii="Times New Roman" w:hAnsi="Times New Roman"/>
          <w:spacing w:val="-1"/>
          <w:sz w:val="18"/>
          <w:szCs w:val="18"/>
        </w:rPr>
      </w:pPr>
      <w:r>
        <w:rPr>
          <w:rFonts w:ascii="Times New Roman" w:eastAsia="Times New Roman" w:hAnsi="Times New Roman" w:cs="Times New Roman"/>
          <w:sz w:val="18"/>
          <w:szCs w:val="18"/>
        </w:rPr>
        <w:t>Vendor has no outstanding Unemployment Insurance overpayment balance payable to the State of Texas</w:t>
      </w:r>
      <w:r w:rsidRPr="00BD66F6">
        <w:rPr>
          <w:rFonts w:ascii="Times New Roman" w:hAnsi="Times New Roman"/>
          <w:spacing w:val="-1"/>
          <w:sz w:val="18"/>
          <w:szCs w:val="18"/>
        </w:rPr>
        <w:t>.</w:t>
      </w:r>
    </w:p>
    <w:p w14:paraId="201F0729" w14:textId="622E7AE9" w:rsidR="0075399C" w:rsidRPr="0075399C" w:rsidRDefault="006E46E4" w:rsidP="0075399C">
      <w:pPr>
        <w:numPr>
          <w:ilvl w:val="1"/>
          <w:numId w:val="14"/>
        </w:numPr>
        <w:tabs>
          <w:tab w:val="left" w:pos="396"/>
        </w:tabs>
        <w:spacing w:after="0"/>
        <w:jc w:val="both"/>
        <w:rPr>
          <w:rFonts w:ascii="Times New Roman" w:hAnsi="Times New Roman"/>
          <w:sz w:val="18"/>
          <w:szCs w:val="18"/>
        </w:rPr>
      </w:pPr>
      <w:r>
        <w:rPr>
          <w:rFonts w:ascii="Times New Roman" w:eastAsia="Times New Roman" w:hAnsi="Times New Roman" w:cs="Times New Roman"/>
          <w:b/>
          <w:sz w:val="18"/>
          <w:szCs w:val="18"/>
        </w:rPr>
        <w:t>State of Israel:</w:t>
      </w:r>
      <w:r>
        <w:rPr>
          <w:rFonts w:ascii="Times New Roman" w:eastAsia="Times New Roman" w:hAnsi="Times New Roman" w:cs="Times New Roman"/>
          <w:sz w:val="18"/>
          <w:szCs w:val="18"/>
        </w:rPr>
        <w:t xml:space="preserve"> In contracts worth $100,000 or more in value, if Vendor is a Company as defined by Texas Government Code § 808.001 with 10 or more full-time employees, and Vendor isn’t a sole proprietorship, Vendor represents and warrants that, pursuant to Texas Government Code </w:t>
      </w:r>
      <w:r w:rsidRPr="00BD66F6">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2270.002, Vendor does not boycott Israel and will not boycott Israel during the term of any contract executed with TWC</w:t>
      </w:r>
      <w:r w:rsidR="0075399C">
        <w:rPr>
          <w:rFonts w:ascii="Times New Roman" w:eastAsia="Times New Roman" w:hAnsi="Times New Roman" w:cs="Times New Roman"/>
          <w:sz w:val="18"/>
          <w:szCs w:val="18"/>
        </w:rPr>
        <w:t>.</w:t>
      </w:r>
    </w:p>
    <w:p w14:paraId="088E4B42" w14:textId="1245FE23" w:rsidR="0075399C" w:rsidRPr="0075399C" w:rsidRDefault="0075399C" w:rsidP="00F407CA">
      <w:pPr>
        <w:numPr>
          <w:ilvl w:val="1"/>
          <w:numId w:val="14"/>
        </w:numPr>
        <w:tabs>
          <w:tab w:val="left" w:pos="396"/>
        </w:tabs>
        <w:spacing w:after="0"/>
        <w:jc w:val="both"/>
        <w:rPr>
          <w:rFonts w:ascii="Times New Roman" w:hAnsi="Times New Roman"/>
          <w:sz w:val="18"/>
          <w:szCs w:val="18"/>
        </w:rPr>
      </w:pPr>
      <w:r>
        <w:rPr>
          <w:rFonts w:ascii="Times New Roman" w:eastAsia="Times New Roman" w:hAnsi="Times New Roman" w:cs="Times New Roman"/>
          <w:b/>
          <w:sz w:val="18"/>
          <w:szCs w:val="18"/>
        </w:rPr>
        <w:t>Foreign Terrorist Organizations</w:t>
      </w:r>
      <w:r>
        <w:rPr>
          <w:rFonts w:ascii="Times New Roman" w:eastAsia="Times New Roman" w:hAnsi="Times New Roman" w:cs="Times New Roman"/>
          <w:sz w:val="18"/>
          <w:szCs w:val="18"/>
        </w:rPr>
        <w:t>:  Vendor represents and warrants that it is not engaged in business with Iran, Sudan or a foreign terrorist organization, as prohibited by Section 2252.152 of the Texas Government Code.</w:t>
      </w:r>
    </w:p>
    <w:p w14:paraId="4EDA8B96" w14:textId="334EFB13" w:rsidR="00F41FB2" w:rsidRPr="00BD66F6" w:rsidRDefault="00F41FB2" w:rsidP="00F407CA">
      <w:pPr>
        <w:numPr>
          <w:ilvl w:val="1"/>
          <w:numId w:val="14"/>
        </w:numPr>
        <w:tabs>
          <w:tab w:val="left" w:pos="396"/>
        </w:tabs>
        <w:spacing w:after="0"/>
        <w:jc w:val="both"/>
        <w:rPr>
          <w:rFonts w:ascii="Times New Roman" w:hAnsi="Times New Roman"/>
          <w:sz w:val="18"/>
          <w:szCs w:val="18"/>
        </w:rPr>
      </w:pPr>
      <w:r w:rsidRPr="00BD66F6">
        <w:rPr>
          <w:rFonts w:ascii="Times New Roman" w:hAnsi="Times New Roman"/>
          <w:b/>
          <w:sz w:val="18"/>
          <w:szCs w:val="18"/>
        </w:rPr>
        <w:t>Executive:</w:t>
      </w:r>
      <w:r w:rsidRPr="00BD66F6">
        <w:rPr>
          <w:rFonts w:ascii="Times New Roman" w:hAnsi="Times New Roman"/>
          <w:sz w:val="18"/>
          <w:szCs w:val="18"/>
        </w:rPr>
        <w:t xml:space="preserve"> Vendor certifies they are in compliance with Texas Government Code § 669.003, relating to contracting with the executive head of a State agency. If applicable, </w:t>
      </w:r>
      <w:r w:rsidR="008122F2">
        <w:rPr>
          <w:rFonts w:ascii="Times New Roman" w:hAnsi="Times New Roman"/>
          <w:sz w:val="18"/>
          <w:szCs w:val="18"/>
        </w:rPr>
        <w:t>V</w:t>
      </w:r>
      <w:r w:rsidRPr="00BD66F6">
        <w:rPr>
          <w:rFonts w:ascii="Times New Roman" w:hAnsi="Times New Roman"/>
          <w:sz w:val="18"/>
          <w:szCs w:val="18"/>
        </w:rPr>
        <w:t>endor will complete the following for TWC evaluation: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1628"/>
      </w:tblGrid>
      <w:tr w:rsidR="00F41FB2" w:rsidRPr="00BD66F6" w14:paraId="19B9FA60" w14:textId="77777777" w:rsidTr="005507FE">
        <w:tc>
          <w:tcPr>
            <w:tcW w:w="2070" w:type="dxa"/>
            <w:tcBorders>
              <w:top w:val="nil"/>
              <w:left w:val="nil"/>
              <w:bottom w:val="nil"/>
              <w:right w:val="nil"/>
            </w:tcBorders>
            <w:vAlign w:val="center"/>
          </w:tcPr>
          <w:p w14:paraId="3129EA1C" w14:textId="77777777" w:rsidR="00F41FB2" w:rsidRPr="00BD66F6" w:rsidRDefault="00F41FB2" w:rsidP="005507FE">
            <w:pPr>
              <w:tabs>
                <w:tab w:val="left" w:pos="3708"/>
              </w:tabs>
              <w:spacing w:after="0"/>
              <w:ind w:left="252"/>
              <w:rPr>
                <w:rFonts w:ascii="Times New Roman" w:hAnsi="Times New Roman"/>
                <w:sz w:val="18"/>
                <w:szCs w:val="18"/>
              </w:rPr>
            </w:pPr>
            <w:r w:rsidRPr="00BD66F6">
              <w:rPr>
                <w:rFonts w:ascii="Times New Roman" w:hAnsi="Times New Roman"/>
                <w:sz w:val="18"/>
                <w:szCs w:val="18"/>
              </w:rPr>
              <w:t>Former Executive Name:</w:t>
            </w:r>
          </w:p>
        </w:tc>
        <w:tc>
          <w:tcPr>
            <w:tcW w:w="1628" w:type="dxa"/>
            <w:tcBorders>
              <w:top w:val="nil"/>
              <w:left w:val="nil"/>
              <w:bottom w:val="nil"/>
              <w:right w:val="nil"/>
            </w:tcBorders>
            <w:vAlign w:val="center"/>
          </w:tcPr>
          <w:p w14:paraId="30070E3D" w14:textId="77777777" w:rsidR="00F41FB2" w:rsidRPr="00BD66F6" w:rsidRDefault="00F41FB2" w:rsidP="005507FE">
            <w:pPr>
              <w:tabs>
                <w:tab w:val="left" w:pos="396"/>
                <w:tab w:val="left" w:pos="3708"/>
              </w:tabs>
              <w:spacing w:after="0"/>
              <w:rPr>
                <w:rFonts w:ascii="Times New Roman" w:hAnsi="Times New Roman"/>
                <w:sz w:val="18"/>
                <w:szCs w:val="18"/>
              </w:rPr>
            </w:pPr>
            <w:r w:rsidRPr="00BD66F6">
              <w:rPr>
                <w:rFonts w:ascii="Times New Roman" w:hAnsi="Times New Roman"/>
                <w:sz w:val="18"/>
                <w:szCs w:val="18"/>
              </w:rPr>
              <w:fldChar w:fldCharType="begin">
                <w:ffData>
                  <w:name w:val="Text2"/>
                  <w:enabled/>
                  <w:calcOnExit w:val="0"/>
                  <w:textInput/>
                </w:ffData>
              </w:fldChar>
            </w:r>
            <w:r w:rsidRPr="00BD66F6">
              <w:rPr>
                <w:rFonts w:ascii="Times New Roman" w:hAnsi="Times New Roman"/>
                <w:sz w:val="18"/>
                <w:szCs w:val="18"/>
              </w:rPr>
              <w:instrText xml:space="preserve"> FORMTEXT </w:instrText>
            </w:r>
            <w:r w:rsidRPr="00BD66F6">
              <w:rPr>
                <w:rFonts w:ascii="Times New Roman" w:hAnsi="Times New Roman"/>
                <w:sz w:val="18"/>
                <w:szCs w:val="18"/>
              </w:rPr>
            </w:r>
            <w:r w:rsidRPr="00BD66F6">
              <w:rPr>
                <w:rFonts w:ascii="Times New Roman" w:hAnsi="Times New Roman"/>
                <w:sz w:val="18"/>
                <w:szCs w:val="18"/>
              </w:rPr>
              <w:fldChar w:fldCharType="separate"/>
            </w:r>
            <w:r w:rsidRPr="00BD66F6">
              <w:rPr>
                <w:rFonts w:ascii="Times New Roman" w:hAnsi="Times New Roman"/>
                <w:noProof/>
                <w:sz w:val="18"/>
                <w:szCs w:val="18"/>
              </w:rPr>
              <w:t> </w:t>
            </w:r>
            <w:r w:rsidRPr="00BD66F6">
              <w:rPr>
                <w:rFonts w:ascii="Times New Roman" w:hAnsi="Times New Roman"/>
                <w:noProof/>
                <w:sz w:val="18"/>
                <w:szCs w:val="18"/>
              </w:rPr>
              <w:t> </w:t>
            </w:r>
            <w:r w:rsidRPr="00BD66F6">
              <w:rPr>
                <w:rFonts w:ascii="Times New Roman" w:hAnsi="Times New Roman"/>
                <w:noProof/>
                <w:sz w:val="18"/>
                <w:szCs w:val="18"/>
              </w:rPr>
              <w:t> </w:t>
            </w:r>
            <w:r w:rsidRPr="00BD66F6">
              <w:rPr>
                <w:rFonts w:ascii="Times New Roman" w:hAnsi="Times New Roman"/>
                <w:noProof/>
                <w:sz w:val="18"/>
                <w:szCs w:val="18"/>
              </w:rPr>
              <w:t> </w:t>
            </w:r>
            <w:r w:rsidRPr="00BD66F6">
              <w:rPr>
                <w:rFonts w:ascii="Times New Roman" w:hAnsi="Times New Roman"/>
                <w:noProof/>
                <w:sz w:val="18"/>
                <w:szCs w:val="18"/>
              </w:rPr>
              <w:t> </w:t>
            </w:r>
            <w:r w:rsidRPr="00BD66F6">
              <w:rPr>
                <w:rFonts w:ascii="Times New Roman" w:hAnsi="Times New Roman"/>
                <w:sz w:val="18"/>
                <w:szCs w:val="18"/>
              </w:rPr>
              <w:fldChar w:fldCharType="end"/>
            </w:r>
          </w:p>
        </w:tc>
      </w:tr>
      <w:tr w:rsidR="00F41FB2" w:rsidRPr="00BD66F6" w14:paraId="4A7C7A41" w14:textId="77777777" w:rsidTr="005507FE">
        <w:tc>
          <w:tcPr>
            <w:tcW w:w="2070" w:type="dxa"/>
            <w:tcBorders>
              <w:top w:val="nil"/>
              <w:left w:val="nil"/>
              <w:bottom w:val="nil"/>
              <w:right w:val="nil"/>
            </w:tcBorders>
          </w:tcPr>
          <w:p w14:paraId="0EC701E8" w14:textId="77777777" w:rsidR="00F41FB2" w:rsidRPr="00BD66F6" w:rsidRDefault="00F41FB2" w:rsidP="005507FE">
            <w:pPr>
              <w:tabs>
                <w:tab w:val="left" w:pos="396"/>
                <w:tab w:val="left" w:pos="3708"/>
              </w:tabs>
              <w:spacing w:after="0"/>
              <w:ind w:left="252"/>
              <w:jc w:val="both"/>
              <w:rPr>
                <w:rFonts w:ascii="Times New Roman" w:hAnsi="Times New Roman"/>
                <w:sz w:val="18"/>
                <w:szCs w:val="18"/>
              </w:rPr>
            </w:pPr>
            <w:r w:rsidRPr="00BD66F6">
              <w:rPr>
                <w:rFonts w:ascii="Times New Roman" w:hAnsi="Times New Roman"/>
                <w:sz w:val="18"/>
                <w:szCs w:val="18"/>
              </w:rPr>
              <w:t>State Agency Name:</w:t>
            </w:r>
          </w:p>
        </w:tc>
        <w:tc>
          <w:tcPr>
            <w:tcW w:w="1628" w:type="dxa"/>
            <w:tcBorders>
              <w:top w:val="single" w:sz="4" w:space="0" w:color="auto"/>
              <w:left w:val="nil"/>
              <w:bottom w:val="nil"/>
              <w:right w:val="nil"/>
            </w:tcBorders>
          </w:tcPr>
          <w:p w14:paraId="03A0CA45" w14:textId="77777777" w:rsidR="00F41FB2" w:rsidRPr="00BD66F6" w:rsidRDefault="00F41FB2" w:rsidP="005507FE">
            <w:pPr>
              <w:tabs>
                <w:tab w:val="left" w:pos="396"/>
                <w:tab w:val="left" w:pos="3708"/>
              </w:tabs>
              <w:spacing w:after="0"/>
              <w:jc w:val="both"/>
              <w:rPr>
                <w:rFonts w:ascii="Times New Roman" w:hAnsi="Times New Roman"/>
                <w:sz w:val="18"/>
                <w:szCs w:val="18"/>
              </w:rPr>
            </w:pPr>
            <w:r w:rsidRPr="00BD66F6">
              <w:rPr>
                <w:rFonts w:ascii="Times New Roman" w:hAnsi="Times New Roman"/>
                <w:sz w:val="18"/>
                <w:szCs w:val="18"/>
              </w:rPr>
              <w:fldChar w:fldCharType="begin">
                <w:ffData>
                  <w:name w:val="Text2"/>
                  <w:enabled/>
                  <w:calcOnExit w:val="0"/>
                  <w:textInput/>
                </w:ffData>
              </w:fldChar>
            </w:r>
            <w:r w:rsidRPr="00BD66F6">
              <w:rPr>
                <w:rFonts w:ascii="Times New Roman" w:hAnsi="Times New Roman"/>
                <w:sz w:val="18"/>
                <w:szCs w:val="18"/>
              </w:rPr>
              <w:instrText xml:space="preserve"> FORMTEXT </w:instrText>
            </w:r>
            <w:r w:rsidRPr="00BD66F6">
              <w:rPr>
                <w:rFonts w:ascii="Times New Roman" w:hAnsi="Times New Roman"/>
                <w:sz w:val="18"/>
                <w:szCs w:val="18"/>
              </w:rPr>
            </w:r>
            <w:r w:rsidRPr="00BD66F6">
              <w:rPr>
                <w:rFonts w:ascii="Times New Roman" w:hAnsi="Times New Roman"/>
                <w:sz w:val="18"/>
                <w:szCs w:val="18"/>
              </w:rPr>
              <w:fldChar w:fldCharType="separate"/>
            </w:r>
            <w:r w:rsidRPr="00BD66F6">
              <w:rPr>
                <w:rFonts w:ascii="Times New Roman" w:hAnsi="Times New Roman"/>
                <w:noProof/>
                <w:sz w:val="18"/>
                <w:szCs w:val="18"/>
              </w:rPr>
              <w:t> </w:t>
            </w:r>
            <w:r w:rsidRPr="00BD66F6">
              <w:rPr>
                <w:rFonts w:ascii="Times New Roman" w:hAnsi="Times New Roman"/>
                <w:noProof/>
                <w:sz w:val="18"/>
                <w:szCs w:val="18"/>
              </w:rPr>
              <w:t> </w:t>
            </w:r>
            <w:r w:rsidRPr="00BD66F6">
              <w:rPr>
                <w:rFonts w:ascii="Times New Roman" w:hAnsi="Times New Roman"/>
                <w:noProof/>
                <w:sz w:val="18"/>
                <w:szCs w:val="18"/>
              </w:rPr>
              <w:t> </w:t>
            </w:r>
            <w:r w:rsidRPr="00BD66F6">
              <w:rPr>
                <w:rFonts w:ascii="Times New Roman" w:hAnsi="Times New Roman"/>
                <w:noProof/>
                <w:sz w:val="18"/>
                <w:szCs w:val="18"/>
              </w:rPr>
              <w:t> </w:t>
            </w:r>
            <w:r w:rsidRPr="00BD66F6">
              <w:rPr>
                <w:rFonts w:ascii="Times New Roman" w:hAnsi="Times New Roman"/>
                <w:noProof/>
                <w:sz w:val="18"/>
                <w:szCs w:val="18"/>
              </w:rPr>
              <w:t> </w:t>
            </w:r>
            <w:r w:rsidRPr="00BD66F6">
              <w:rPr>
                <w:rFonts w:ascii="Times New Roman" w:hAnsi="Times New Roman"/>
                <w:sz w:val="18"/>
                <w:szCs w:val="18"/>
              </w:rPr>
              <w:fldChar w:fldCharType="end"/>
            </w:r>
          </w:p>
        </w:tc>
      </w:tr>
      <w:tr w:rsidR="00F41FB2" w:rsidRPr="00BD66F6" w14:paraId="1B6ECDB5" w14:textId="77777777" w:rsidTr="005507FE">
        <w:trPr>
          <w:trHeight w:val="107"/>
        </w:trPr>
        <w:tc>
          <w:tcPr>
            <w:tcW w:w="2070" w:type="dxa"/>
            <w:tcBorders>
              <w:top w:val="nil"/>
              <w:left w:val="nil"/>
              <w:bottom w:val="nil"/>
              <w:right w:val="nil"/>
            </w:tcBorders>
          </w:tcPr>
          <w:p w14:paraId="246AEA81" w14:textId="77777777" w:rsidR="00F41FB2" w:rsidRPr="00BD66F6" w:rsidRDefault="00F41FB2" w:rsidP="005507FE">
            <w:pPr>
              <w:tabs>
                <w:tab w:val="left" w:pos="396"/>
                <w:tab w:val="left" w:pos="3708"/>
              </w:tabs>
              <w:spacing w:after="0"/>
              <w:ind w:left="252"/>
              <w:jc w:val="both"/>
              <w:rPr>
                <w:rFonts w:ascii="Times New Roman" w:hAnsi="Times New Roman"/>
                <w:sz w:val="18"/>
                <w:szCs w:val="18"/>
              </w:rPr>
            </w:pPr>
            <w:r w:rsidRPr="00BD66F6">
              <w:rPr>
                <w:rFonts w:ascii="Times New Roman" w:hAnsi="Times New Roman"/>
                <w:sz w:val="18"/>
                <w:szCs w:val="18"/>
              </w:rPr>
              <w:t>Date Separated from Agency:</w:t>
            </w:r>
          </w:p>
        </w:tc>
        <w:tc>
          <w:tcPr>
            <w:tcW w:w="1628" w:type="dxa"/>
            <w:tcBorders>
              <w:top w:val="single" w:sz="4" w:space="0" w:color="auto"/>
              <w:left w:val="nil"/>
              <w:bottom w:val="nil"/>
              <w:right w:val="nil"/>
            </w:tcBorders>
          </w:tcPr>
          <w:p w14:paraId="34B31701" w14:textId="77777777" w:rsidR="00F41FB2" w:rsidRPr="00BD66F6" w:rsidRDefault="00F41FB2" w:rsidP="005507FE">
            <w:pPr>
              <w:tabs>
                <w:tab w:val="left" w:pos="396"/>
                <w:tab w:val="left" w:pos="3708"/>
              </w:tabs>
              <w:spacing w:after="0"/>
              <w:jc w:val="both"/>
              <w:rPr>
                <w:rFonts w:ascii="Times New Roman" w:hAnsi="Times New Roman"/>
                <w:sz w:val="18"/>
                <w:szCs w:val="18"/>
              </w:rPr>
            </w:pPr>
          </w:p>
          <w:p w14:paraId="5586476C" w14:textId="77777777" w:rsidR="00F41FB2" w:rsidRPr="00BD66F6" w:rsidRDefault="00F41FB2" w:rsidP="005507FE">
            <w:pPr>
              <w:tabs>
                <w:tab w:val="left" w:pos="396"/>
                <w:tab w:val="left" w:pos="3708"/>
              </w:tabs>
              <w:spacing w:after="0"/>
              <w:jc w:val="both"/>
              <w:rPr>
                <w:rFonts w:ascii="Times New Roman" w:hAnsi="Times New Roman"/>
                <w:sz w:val="18"/>
                <w:szCs w:val="18"/>
              </w:rPr>
            </w:pPr>
            <w:r w:rsidRPr="00BD66F6">
              <w:rPr>
                <w:rFonts w:ascii="Times New Roman" w:hAnsi="Times New Roman"/>
                <w:sz w:val="18"/>
                <w:szCs w:val="18"/>
              </w:rPr>
              <w:fldChar w:fldCharType="begin">
                <w:ffData>
                  <w:name w:val="Text3"/>
                  <w:enabled/>
                  <w:calcOnExit w:val="0"/>
                  <w:textInput/>
                </w:ffData>
              </w:fldChar>
            </w:r>
            <w:r w:rsidRPr="00BD66F6">
              <w:rPr>
                <w:rFonts w:ascii="Times New Roman" w:hAnsi="Times New Roman"/>
                <w:sz w:val="18"/>
                <w:szCs w:val="18"/>
              </w:rPr>
              <w:instrText xml:space="preserve"> FORMTEXT </w:instrText>
            </w:r>
            <w:r w:rsidRPr="00BD66F6">
              <w:rPr>
                <w:rFonts w:ascii="Times New Roman" w:hAnsi="Times New Roman"/>
                <w:sz w:val="18"/>
                <w:szCs w:val="18"/>
              </w:rPr>
            </w:r>
            <w:r w:rsidRPr="00BD66F6">
              <w:rPr>
                <w:rFonts w:ascii="Times New Roman" w:hAnsi="Times New Roman"/>
                <w:sz w:val="18"/>
                <w:szCs w:val="18"/>
              </w:rPr>
              <w:fldChar w:fldCharType="separate"/>
            </w:r>
            <w:r w:rsidRPr="00BD66F6">
              <w:rPr>
                <w:rFonts w:ascii="Times New Roman" w:hAnsi="Times New Roman"/>
                <w:noProof/>
                <w:sz w:val="18"/>
                <w:szCs w:val="18"/>
              </w:rPr>
              <w:t> </w:t>
            </w:r>
            <w:r w:rsidRPr="00BD66F6">
              <w:rPr>
                <w:rFonts w:ascii="Times New Roman" w:hAnsi="Times New Roman"/>
                <w:noProof/>
                <w:sz w:val="18"/>
                <w:szCs w:val="18"/>
              </w:rPr>
              <w:t> </w:t>
            </w:r>
            <w:r w:rsidRPr="00BD66F6">
              <w:rPr>
                <w:rFonts w:ascii="Times New Roman" w:hAnsi="Times New Roman"/>
                <w:noProof/>
                <w:sz w:val="18"/>
                <w:szCs w:val="18"/>
              </w:rPr>
              <w:t> </w:t>
            </w:r>
            <w:r w:rsidRPr="00BD66F6">
              <w:rPr>
                <w:rFonts w:ascii="Times New Roman" w:hAnsi="Times New Roman"/>
                <w:noProof/>
                <w:sz w:val="18"/>
                <w:szCs w:val="18"/>
              </w:rPr>
              <w:t> </w:t>
            </w:r>
            <w:r w:rsidRPr="00BD66F6">
              <w:rPr>
                <w:rFonts w:ascii="Times New Roman" w:hAnsi="Times New Roman"/>
                <w:noProof/>
                <w:sz w:val="18"/>
                <w:szCs w:val="18"/>
              </w:rPr>
              <w:t> </w:t>
            </w:r>
            <w:r w:rsidRPr="00BD66F6">
              <w:rPr>
                <w:rFonts w:ascii="Times New Roman" w:hAnsi="Times New Roman"/>
                <w:sz w:val="18"/>
                <w:szCs w:val="18"/>
              </w:rPr>
              <w:fldChar w:fldCharType="end"/>
            </w:r>
          </w:p>
        </w:tc>
      </w:tr>
      <w:tr w:rsidR="00F41FB2" w:rsidRPr="00BD66F6" w14:paraId="0C5896BD" w14:textId="77777777" w:rsidTr="005507FE">
        <w:tc>
          <w:tcPr>
            <w:tcW w:w="2070" w:type="dxa"/>
            <w:tcBorders>
              <w:top w:val="nil"/>
              <w:left w:val="nil"/>
              <w:bottom w:val="nil"/>
              <w:right w:val="nil"/>
            </w:tcBorders>
          </w:tcPr>
          <w:p w14:paraId="04D65992" w14:textId="3DB7DDA0" w:rsidR="00F41FB2" w:rsidRPr="00BD66F6" w:rsidRDefault="00F41FB2" w:rsidP="005507FE">
            <w:pPr>
              <w:tabs>
                <w:tab w:val="left" w:pos="396"/>
                <w:tab w:val="left" w:pos="3708"/>
              </w:tabs>
              <w:spacing w:after="0"/>
              <w:ind w:left="252"/>
              <w:jc w:val="both"/>
              <w:rPr>
                <w:rFonts w:ascii="Times New Roman" w:hAnsi="Times New Roman"/>
                <w:sz w:val="18"/>
                <w:szCs w:val="18"/>
              </w:rPr>
            </w:pPr>
            <w:r w:rsidRPr="00BD66F6">
              <w:rPr>
                <w:rFonts w:ascii="Times New Roman" w:hAnsi="Times New Roman"/>
                <w:sz w:val="18"/>
                <w:szCs w:val="18"/>
              </w:rPr>
              <w:t xml:space="preserve">Position with </w:t>
            </w:r>
            <w:r w:rsidR="008122F2">
              <w:rPr>
                <w:rFonts w:ascii="Times New Roman" w:hAnsi="Times New Roman"/>
                <w:sz w:val="18"/>
                <w:szCs w:val="18"/>
              </w:rPr>
              <w:t>V</w:t>
            </w:r>
            <w:r w:rsidRPr="00BD66F6">
              <w:rPr>
                <w:rFonts w:ascii="Times New Roman" w:hAnsi="Times New Roman"/>
                <w:sz w:val="18"/>
                <w:szCs w:val="18"/>
              </w:rPr>
              <w:t>endor:</w:t>
            </w:r>
          </w:p>
        </w:tc>
        <w:tc>
          <w:tcPr>
            <w:tcW w:w="1628" w:type="dxa"/>
            <w:tcBorders>
              <w:top w:val="single" w:sz="4" w:space="0" w:color="auto"/>
              <w:left w:val="nil"/>
              <w:bottom w:val="nil"/>
              <w:right w:val="nil"/>
            </w:tcBorders>
          </w:tcPr>
          <w:p w14:paraId="2E36EE16" w14:textId="77777777" w:rsidR="00F41FB2" w:rsidRPr="00BD66F6" w:rsidRDefault="00F41FB2" w:rsidP="005507FE">
            <w:pPr>
              <w:tabs>
                <w:tab w:val="left" w:pos="396"/>
                <w:tab w:val="left" w:pos="3708"/>
              </w:tabs>
              <w:spacing w:after="0"/>
              <w:jc w:val="both"/>
              <w:rPr>
                <w:rFonts w:ascii="Times New Roman" w:hAnsi="Times New Roman"/>
                <w:sz w:val="18"/>
                <w:szCs w:val="18"/>
              </w:rPr>
            </w:pPr>
            <w:r w:rsidRPr="00BD66F6">
              <w:rPr>
                <w:rFonts w:ascii="Times New Roman" w:hAnsi="Times New Roman"/>
                <w:sz w:val="18"/>
                <w:szCs w:val="18"/>
              </w:rPr>
              <w:fldChar w:fldCharType="begin">
                <w:ffData>
                  <w:name w:val="Text4"/>
                  <w:enabled/>
                  <w:calcOnExit w:val="0"/>
                  <w:textInput/>
                </w:ffData>
              </w:fldChar>
            </w:r>
            <w:r w:rsidRPr="00BD66F6">
              <w:rPr>
                <w:rFonts w:ascii="Times New Roman" w:hAnsi="Times New Roman"/>
                <w:sz w:val="18"/>
                <w:szCs w:val="18"/>
              </w:rPr>
              <w:instrText xml:space="preserve"> FORMTEXT </w:instrText>
            </w:r>
            <w:r w:rsidRPr="00BD66F6">
              <w:rPr>
                <w:rFonts w:ascii="Times New Roman" w:hAnsi="Times New Roman"/>
                <w:sz w:val="18"/>
                <w:szCs w:val="18"/>
              </w:rPr>
            </w:r>
            <w:r w:rsidRPr="00BD66F6">
              <w:rPr>
                <w:rFonts w:ascii="Times New Roman" w:hAnsi="Times New Roman"/>
                <w:sz w:val="18"/>
                <w:szCs w:val="18"/>
              </w:rPr>
              <w:fldChar w:fldCharType="separate"/>
            </w:r>
            <w:r w:rsidRPr="00BD66F6">
              <w:rPr>
                <w:rFonts w:ascii="Times New Roman" w:hAnsi="Times New Roman"/>
                <w:noProof/>
                <w:sz w:val="18"/>
                <w:szCs w:val="18"/>
              </w:rPr>
              <w:t> </w:t>
            </w:r>
            <w:r w:rsidRPr="00BD66F6">
              <w:rPr>
                <w:rFonts w:ascii="Times New Roman" w:hAnsi="Times New Roman"/>
                <w:noProof/>
                <w:sz w:val="18"/>
                <w:szCs w:val="18"/>
              </w:rPr>
              <w:t> </w:t>
            </w:r>
            <w:r w:rsidRPr="00BD66F6">
              <w:rPr>
                <w:rFonts w:ascii="Times New Roman" w:hAnsi="Times New Roman"/>
                <w:noProof/>
                <w:sz w:val="18"/>
                <w:szCs w:val="18"/>
              </w:rPr>
              <w:t> </w:t>
            </w:r>
            <w:r w:rsidRPr="00BD66F6">
              <w:rPr>
                <w:rFonts w:ascii="Times New Roman" w:hAnsi="Times New Roman"/>
                <w:noProof/>
                <w:sz w:val="18"/>
                <w:szCs w:val="18"/>
              </w:rPr>
              <w:t> </w:t>
            </w:r>
            <w:r w:rsidRPr="00BD66F6">
              <w:rPr>
                <w:rFonts w:ascii="Times New Roman" w:hAnsi="Times New Roman"/>
                <w:noProof/>
                <w:sz w:val="18"/>
                <w:szCs w:val="18"/>
              </w:rPr>
              <w:t> </w:t>
            </w:r>
            <w:r w:rsidRPr="00BD66F6">
              <w:rPr>
                <w:rFonts w:ascii="Times New Roman" w:hAnsi="Times New Roman"/>
                <w:sz w:val="18"/>
                <w:szCs w:val="18"/>
              </w:rPr>
              <w:fldChar w:fldCharType="end"/>
            </w:r>
          </w:p>
        </w:tc>
      </w:tr>
      <w:tr w:rsidR="00F41FB2" w:rsidRPr="00BD66F6" w14:paraId="75C5057F" w14:textId="77777777" w:rsidTr="005507FE">
        <w:trPr>
          <w:trHeight w:val="145"/>
        </w:trPr>
        <w:tc>
          <w:tcPr>
            <w:tcW w:w="2070" w:type="dxa"/>
            <w:tcBorders>
              <w:top w:val="nil"/>
              <w:left w:val="nil"/>
              <w:bottom w:val="nil"/>
              <w:right w:val="nil"/>
            </w:tcBorders>
          </w:tcPr>
          <w:p w14:paraId="3D9B94D8" w14:textId="51BE05BC" w:rsidR="00F41FB2" w:rsidRPr="00BD66F6" w:rsidRDefault="00F41FB2" w:rsidP="005507FE">
            <w:pPr>
              <w:tabs>
                <w:tab w:val="left" w:pos="396"/>
                <w:tab w:val="left" w:pos="3708"/>
              </w:tabs>
              <w:spacing w:after="0"/>
              <w:ind w:left="252"/>
              <w:jc w:val="both"/>
              <w:rPr>
                <w:rFonts w:ascii="Times New Roman" w:hAnsi="Times New Roman"/>
                <w:sz w:val="18"/>
                <w:szCs w:val="18"/>
              </w:rPr>
            </w:pPr>
            <w:r w:rsidRPr="00BD66F6">
              <w:rPr>
                <w:rFonts w:ascii="Times New Roman" w:hAnsi="Times New Roman"/>
                <w:sz w:val="18"/>
                <w:szCs w:val="18"/>
              </w:rPr>
              <w:t xml:space="preserve">Date employed with </w:t>
            </w:r>
            <w:r w:rsidR="008122F2">
              <w:rPr>
                <w:rFonts w:ascii="Times New Roman" w:hAnsi="Times New Roman"/>
                <w:sz w:val="18"/>
                <w:szCs w:val="18"/>
              </w:rPr>
              <w:t>V</w:t>
            </w:r>
            <w:r w:rsidRPr="00BD66F6">
              <w:rPr>
                <w:rFonts w:ascii="Times New Roman" w:hAnsi="Times New Roman"/>
                <w:sz w:val="18"/>
                <w:szCs w:val="18"/>
              </w:rPr>
              <w:t>endor:</w:t>
            </w:r>
          </w:p>
        </w:tc>
        <w:tc>
          <w:tcPr>
            <w:tcW w:w="1628" w:type="dxa"/>
            <w:tcBorders>
              <w:top w:val="single" w:sz="4" w:space="0" w:color="auto"/>
              <w:left w:val="nil"/>
              <w:bottom w:val="single" w:sz="4" w:space="0" w:color="auto"/>
              <w:right w:val="nil"/>
            </w:tcBorders>
          </w:tcPr>
          <w:p w14:paraId="14AA078D" w14:textId="77777777" w:rsidR="00F41FB2" w:rsidRPr="00BD66F6" w:rsidRDefault="00F41FB2" w:rsidP="005507FE">
            <w:pPr>
              <w:tabs>
                <w:tab w:val="left" w:pos="396"/>
                <w:tab w:val="left" w:pos="3708"/>
              </w:tabs>
              <w:spacing w:after="0"/>
              <w:jc w:val="both"/>
              <w:rPr>
                <w:rFonts w:ascii="Times New Roman" w:hAnsi="Times New Roman"/>
                <w:sz w:val="18"/>
                <w:szCs w:val="18"/>
              </w:rPr>
            </w:pPr>
          </w:p>
          <w:p w14:paraId="59F060F9" w14:textId="77777777" w:rsidR="00F41FB2" w:rsidRPr="00BD66F6" w:rsidRDefault="00F41FB2" w:rsidP="005507FE">
            <w:pPr>
              <w:tabs>
                <w:tab w:val="left" w:pos="396"/>
                <w:tab w:val="left" w:pos="3708"/>
              </w:tabs>
              <w:spacing w:after="0"/>
              <w:jc w:val="both"/>
              <w:rPr>
                <w:rFonts w:ascii="Times New Roman" w:hAnsi="Times New Roman"/>
                <w:sz w:val="18"/>
                <w:szCs w:val="18"/>
              </w:rPr>
            </w:pPr>
            <w:r w:rsidRPr="00BD66F6">
              <w:rPr>
                <w:rFonts w:ascii="Times New Roman" w:hAnsi="Times New Roman"/>
                <w:sz w:val="18"/>
                <w:szCs w:val="18"/>
              </w:rPr>
              <w:fldChar w:fldCharType="begin">
                <w:ffData>
                  <w:name w:val="Text5"/>
                  <w:enabled/>
                  <w:calcOnExit w:val="0"/>
                  <w:textInput/>
                </w:ffData>
              </w:fldChar>
            </w:r>
            <w:r w:rsidRPr="00BD66F6">
              <w:rPr>
                <w:rFonts w:ascii="Times New Roman" w:hAnsi="Times New Roman"/>
                <w:sz w:val="18"/>
                <w:szCs w:val="18"/>
              </w:rPr>
              <w:instrText xml:space="preserve"> FORMTEXT </w:instrText>
            </w:r>
            <w:r w:rsidRPr="00BD66F6">
              <w:rPr>
                <w:rFonts w:ascii="Times New Roman" w:hAnsi="Times New Roman"/>
                <w:sz w:val="18"/>
                <w:szCs w:val="18"/>
              </w:rPr>
            </w:r>
            <w:r w:rsidRPr="00BD66F6">
              <w:rPr>
                <w:rFonts w:ascii="Times New Roman" w:hAnsi="Times New Roman"/>
                <w:sz w:val="18"/>
                <w:szCs w:val="18"/>
              </w:rPr>
              <w:fldChar w:fldCharType="separate"/>
            </w:r>
            <w:r w:rsidRPr="00BD66F6">
              <w:rPr>
                <w:rFonts w:ascii="Times New Roman" w:hAnsi="Times New Roman"/>
                <w:noProof/>
                <w:sz w:val="18"/>
                <w:szCs w:val="18"/>
              </w:rPr>
              <w:t> </w:t>
            </w:r>
            <w:r w:rsidRPr="00BD66F6">
              <w:rPr>
                <w:rFonts w:ascii="Times New Roman" w:hAnsi="Times New Roman"/>
                <w:noProof/>
                <w:sz w:val="18"/>
                <w:szCs w:val="18"/>
              </w:rPr>
              <w:t> </w:t>
            </w:r>
            <w:r w:rsidRPr="00BD66F6">
              <w:rPr>
                <w:rFonts w:ascii="Times New Roman" w:hAnsi="Times New Roman"/>
                <w:noProof/>
                <w:sz w:val="18"/>
                <w:szCs w:val="18"/>
              </w:rPr>
              <w:t> </w:t>
            </w:r>
            <w:r w:rsidRPr="00BD66F6">
              <w:rPr>
                <w:rFonts w:ascii="Times New Roman" w:hAnsi="Times New Roman"/>
                <w:noProof/>
                <w:sz w:val="18"/>
                <w:szCs w:val="18"/>
              </w:rPr>
              <w:t> </w:t>
            </w:r>
            <w:r w:rsidRPr="00BD66F6">
              <w:rPr>
                <w:rFonts w:ascii="Times New Roman" w:hAnsi="Times New Roman"/>
                <w:noProof/>
                <w:sz w:val="18"/>
                <w:szCs w:val="18"/>
              </w:rPr>
              <w:t> </w:t>
            </w:r>
            <w:r w:rsidRPr="00BD66F6">
              <w:rPr>
                <w:rFonts w:ascii="Times New Roman" w:hAnsi="Times New Roman"/>
                <w:sz w:val="18"/>
                <w:szCs w:val="18"/>
              </w:rPr>
              <w:fldChar w:fldCharType="end"/>
            </w:r>
          </w:p>
        </w:tc>
      </w:tr>
    </w:tbl>
    <w:p w14:paraId="49024A89" w14:textId="77777777" w:rsidR="008C0410" w:rsidRDefault="008C0410" w:rsidP="008C0410">
      <w:pPr>
        <w:numPr>
          <w:ilvl w:val="1"/>
          <w:numId w:val="14"/>
        </w:numPr>
        <w:tabs>
          <w:tab w:val="clear" w:pos="360"/>
          <w:tab w:val="left" w:pos="396"/>
          <w:tab w:val="num" w:pos="720"/>
          <w:tab w:val="left" w:pos="3708"/>
        </w:tabs>
        <w:spacing w:after="0"/>
        <w:jc w:val="both"/>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 xml:space="preserve">Vendor agrees to comply with Texas Government </w:t>
      </w:r>
      <w:r>
        <w:rPr>
          <w:rFonts w:ascii="Times New Roman" w:eastAsia="Times New Roman" w:hAnsi="Times New Roman" w:cs="Times New Roman"/>
          <w:sz w:val="18"/>
          <w:szCs w:val="18"/>
        </w:rPr>
        <w:t>Code § 2155.4441, pertaining to purchasing products and materials produced in the State of Texas.</w:t>
      </w:r>
    </w:p>
    <w:p w14:paraId="07F112F4" w14:textId="77777777" w:rsidR="00F41FB2" w:rsidRPr="00BD66F6" w:rsidRDefault="00F41FB2" w:rsidP="00F407CA">
      <w:pPr>
        <w:numPr>
          <w:ilvl w:val="0"/>
          <w:numId w:val="14"/>
        </w:numPr>
        <w:pBdr>
          <w:top w:val="single" w:sz="4" w:space="1" w:color="auto"/>
          <w:bottom w:val="single" w:sz="4" w:space="1" w:color="auto"/>
        </w:pBdr>
        <w:tabs>
          <w:tab w:val="left" w:pos="396"/>
          <w:tab w:val="left" w:pos="3708"/>
        </w:tabs>
        <w:spacing w:before="60" w:after="0"/>
        <w:jc w:val="both"/>
        <w:rPr>
          <w:rFonts w:ascii="Times New Roman" w:hAnsi="Times New Roman"/>
          <w:b/>
          <w:spacing w:val="-1"/>
          <w:sz w:val="18"/>
          <w:szCs w:val="18"/>
        </w:rPr>
      </w:pPr>
      <w:r w:rsidRPr="00BD66F6">
        <w:rPr>
          <w:rFonts w:ascii="Times New Roman" w:hAnsi="Times New Roman"/>
          <w:b/>
          <w:spacing w:val="-1"/>
          <w:sz w:val="18"/>
          <w:szCs w:val="18"/>
        </w:rPr>
        <w:t>SPECIFICATIONS</w:t>
      </w:r>
    </w:p>
    <w:p w14:paraId="1A1AF4BD" w14:textId="77777777" w:rsidR="006F00B2" w:rsidRDefault="006F00B2" w:rsidP="006F00B2">
      <w:pPr>
        <w:widowControl w:val="0"/>
        <w:numPr>
          <w:ilvl w:val="1"/>
          <w:numId w:val="14"/>
        </w:numPr>
        <w:tabs>
          <w:tab w:val="clear" w:pos="360"/>
          <w:tab w:val="left" w:pos="396"/>
          <w:tab w:val="num" w:pos="720"/>
          <w:tab w:val="left" w:pos="3708"/>
        </w:tabs>
        <w:spacing w:after="0"/>
        <w:jc w:val="both"/>
        <w:rPr>
          <w:rFonts w:ascii="Times New Roman" w:eastAsia="Times New Roman" w:hAnsi="Times New Roman" w:cs="Times New Roman"/>
          <w:i/>
          <w:spacing w:val="-1"/>
          <w:sz w:val="18"/>
          <w:szCs w:val="18"/>
        </w:rPr>
      </w:pPr>
      <w:r>
        <w:rPr>
          <w:rFonts w:ascii="Times New Roman" w:eastAsia="Times New Roman" w:hAnsi="Times New Roman" w:cs="Times New Roman"/>
          <w:sz w:val="18"/>
          <w:szCs w:val="18"/>
        </w:rPr>
        <w:t xml:space="preserve">Any catalog, brand name or manufacturer's reference used in the solicitation is descriptive only (not restrictive), and is used to indicate type and quality desired.  Submitted responses containing other brands that are functionally equivalent will be considered unless TWC has advertised the solicitation as proprietary under Texas Government Code </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2155.067. If Vendor takes an exception to the solicitation's specifications and Vendor’s response contains equivalent product, Vendor is required to include additional information such as manufacturer, brand or trade name, illustrations, and specifications for the equivalent product as part of their response to the solicitation. If Vendor takes no exception to the specifications, the Vendor must furnish the item(s) as specified in the solicitation.</w:t>
      </w:r>
    </w:p>
    <w:p w14:paraId="172BB082" w14:textId="77777777" w:rsidR="006F00B2" w:rsidRDefault="006F00B2" w:rsidP="006F00B2">
      <w:pPr>
        <w:widowControl w:val="0"/>
        <w:numPr>
          <w:ilvl w:val="1"/>
          <w:numId w:val="14"/>
        </w:numPr>
        <w:tabs>
          <w:tab w:val="clear" w:pos="360"/>
          <w:tab w:val="left" w:pos="396"/>
          <w:tab w:val="num" w:pos="720"/>
          <w:tab w:val="left" w:pos="3708"/>
        </w:tabs>
        <w:spacing w:after="0"/>
        <w:jc w:val="both"/>
        <w:rPr>
          <w:rFonts w:ascii="Times New Roman" w:eastAsia="Times New Roman" w:hAnsi="Times New Roman" w:cs="Times New Roman"/>
          <w:spacing w:val="-1"/>
          <w:sz w:val="18"/>
          <w:szCs w:val="18"/>
        </w:rPr>
      </w:pPr>
      <w:r>
        <w:rPr>
          <w:rFonts w:ascii="Times New Roman" w:eastAsia="Times New Roman" w:hAnsi="Times New Roman" w:cs="Times New Roman"/>
          <w:spacing w:val="-1"/>
          <w:sz w:val="18"/>
          <w:szCs w:val="18"/>
        </w:rPr>
        <w:t>Manufacturer's standard warranty shall apply unless otherwise stated in the solicitation.  Written warranty is to be provided with product, and is to include the point-of-contact name, phone number, and all information needed to initiate a warranty service call.</w:t>
      </w:r>
    </w:p>
    <w:p w14:paraId="021F2766" w14:textId="77777777" w:rsidR="006F00B2" w:rsidRDefault="006F00B2" w:rsidP="006F00B2">
      <w:pPr>
        <w:widowControl w:val="0"/>
        <w:numPr>
          <w:ilvl w:val="1"/>
          <w:numId w:val="14"/>
        </w:numPr>
        <w:tabs>
          <w:tab w:val="clear" w:pos="360"/>
          <w:tab w:val="left" w:pos="396"/>
          <w:tab w:val="num" w:pos="720"/>
          <w:tab w:val="left" w:pos="3708"/>
        </w:tabs>
        <w:spacing w:after="0"/>
        <w:jc w:val="both"/>
        <w:rPr>
          <w:rFonts w:ascii="Times New Roman" w:eastAsia="Times New Roman" w:hAnsi="Times New Roman" w:cs="Times New Roman"/>
          <w:spacing w:val="-1"/>
          <w:sz w:val="18"/>
          <w:szCs w:val="18"/>
        </w:rPr>
      </w:pPr>
      <w:r>
        <w:rPr>
          <w:rFonts w:ascii="Times New Roman" w:eastAsia="Times New Roman" w:hAnsi="Times New Roman" w:cs="Times New Roman"/>
          <w:b/>
          <w:spacing w:val="-1"/>
          <w:sz w:val="18"/>
          <w:szCs w:val="18"/>
        </w:rPr>
        <w:t>No Substitutions:</w:t>
      </w:r>
      <w:r>
        <w:rPr>
          <w:rFonts w:ascii="Times New Roman" w:eastAsia="Times New Roman" w:hAnsi="Times New Roman" w:cs="Times New Roman"/>
          <w:spacing w:val="-1"/>
          <w:sz w:val="18"/>
          <w:szCs w:val="18"/>
        </w:rPr>
        <w:t xml:space="preserve"> Vendor will not make any substitution to the specifications of any solicitation or PO, unless the substitution is (1) proposed to TWC in writing by the Vendor, and (2) supported by the expressed written prior approval of TWC.</w:t>
      </w:r>
    </w:p>
    <w:p w14:paraId="1F561474" w14:textId="77777777" w:rsidR="006F00B2" w:rsidRDefault="006F00B2" w:rsidP="006F00B2">
      <w:pPr>
        <w:widowControl w:val="0"/>
        <w:numPr>
          <w:ilvl w:val="1"/>
          <w:numId w:val="14"/>
        </w:numPr>
        <w:tabs>
          <w:tab w:val="clear" w:pos="360"/>
          <w:tab w:val="left" w:pos="396"/>
          <w:tab w:val="num" w:pos="720"/>
          <w:tab w:val="left" w:pos="3708"/>
        </w:tabs>
        <w:spacing w:after="0"/>
        <w:jc w:val="both"/>
        <w:rPr>
          <w:rFonts w:ascii="Times New Roman" w:eastAsia="Times New Roman" w:hAnsi="Times New Roman" w:cs="Times New Roman"/>
          <w:spacing w:val="-1"/>
          <w:sz w:val="18"/>
          <w:szCs w:val="18"/>
        </w:rPr>
      </w:pPr>
      <w:r>
        <w:rPr>
          <w:rFonts w:ascii="Times New Roman" w:eastAsia="Times New Roman" w:hAnsi="Times New Roman" w:cs="Times New Roman"/>
          <w:b/>
          <w:spacing w:val="-1"/>
          <w:sz w:val="18"/>
          <w:szCs w:val="18"/>
        </w:rPr>
        <w:t>Replacement Parts Available:</w:t>
      </w:r>
      <w:r>
        <w:rPr>
          <w:rFonts w:ascii="Times New Roman" w:eastAsia="Times New Roman" w:hAnsi="Times New Roman" w:cs="Times New Roman"/>
          <w:spacing w:val="-1"/>
          <w:sz w:val="18"/>
          <w:szCs w:val="18"/>
        </w:rPr>
        <w:t xml:space="preserve"> The Vendor, in connection with an agreement with the manufacturer of the equipment, warrants that new or reconditioned replacement parts will be available until five (5) calendar years after the date of the award of the contract.  All replacement parts must meet or exceed original manufacturer's specifications and be compatible with existing equipment.</w:t>
      </w:r>
    </w:p>
    <w:p w14:paraId="445B75A4" w14:textId="77777777" w:rsidR="006F00B2" w:rsidRDefault="006F00B2" w:rsidP="006F00B2">
      <w:pPr>
        <w:widowControl w:val="0"/>
        <w:numPr>
          <w:ilvl w:val="1"/>
          <w:numId w:val="14"/>
        </w:numPr>
        <w:tabs>
          <w:tab w:val="clear" w:pos="360"/>
          <w:tab w:val="left" w:pos="396"/>
          <w:tab w:val="num" w:pos="720"/>
          <w:tab w:val="left" w:pos="3708"/>
        </w:tabs>
        <w:spacing w:after="0"/>
        <w:jc w:val="both"/>
        <w:rPr>
          <w:rFonts w:ascii="Times New Roman" w:eastAsia="Times New Roman" w:hAnsi="Times New Roman" w:cs="Times New Roman"/>
          <w:spacing w:val="-1"/>
          <w:sz w:val="18"/>
          <w:szCs w:val="18"/>
        </w:rPr>
      </w:pPr>
      <w:r>
        <w:rPr>
          <w:rFonts w:ascii="Times New Roman" w:eastAsia="Times New Roman" w:hAnsi="Times New Roman" w:cs="Times New Roman"/>
          <w:spacing w:val="-1"/>
          <w:sz w:val="18"/>
          <w:szCs w:val="18"/>
        </w:rPr>
        <w:t>All electrical items must meet all applicable OSHA standards and regulations, and bear the appropriate listing from Underwriters Laboratory (UL), Factory Mutual Resource Corporation (FMRC), or National Electrical Manufacturers Association (NEMA).</w:t>
      </w:r>
    </w:p>
    <w:p w14:paraId="03BCE3B5" w14:textId="77777777" w:rsidR="006F00B2" w:rsidRDefault="006F00B2" w:rsidP="006F00B2">
      <w:pPr>
        <w:widowControl w:val="0"/>
        <w:numPr>
          <w:ilvl w:val="1"/>
          <w:numId w:val="14"/>
        </w:numPr>
        <w:tabs>
          <w:tab w:val="clear" w:pos="360"/>
          <w:tab w:val="left" w:pos="396"/>
          <w:tab w:val="num" w:pos="720"/>
          <w:tab w:val="left" w:pos="3708"/>
        </w:tabs>
        <w:spacing w:after="0"/>
        <w:jc w:val="both"/>
        <w:rPr>
          <w:rFonts w:ascii="Times New Roman" w:eastAsia="Times New Roman" w:hAnsi="Times New Roman" w:cs="Times New Roman"/>
          <w:spacing w:val="-1"/>
          <w:sz w:val="18"/>
          <w:szCs w:val="18"/>
        </w:rPr>
      </w:pPr>
      <w:r>
        <w:rPr>
          <w:rFonts w:ascii="Times New Roman" w:eastAsia="Times New Roman" w:hAnsi="Times New Roman" w:cs="Times New Roman"/>
          <w:spacing w:val="-1"/>
          <w:sz w:val="18"/>
          <w:szCs w:val="18"/>
        </w:rPr>
        <w:t>Vendor guarantees</w:t>
      </w:r>
      <w:r>
        <w:rPr>
          <w:rFonts w:ascii="Times New Roman" w:eastAsia="Times New Roman" w:hAnsi="Times New Roman" w:cs="Times New Roman"/>
          <w:b/>
          <w:spacing w:val="-1"/>
          <w:sz w:val="18"/>
          <w:szCs w:val="18"/>
        </w:rPr>
        <w:t xml:space="preserve"> </w:t>
      </w:r>
      <w:r>
        <w:rPr>
          <w:rFonts w:ascii="Times New Roman" w:eastAsia="Times New Roman" w:hAnsi="Times New Roman" w:cs="Times New Roman"/>
          <w:spacing w:val="-1"/>
          <w:sz w:val="18"/>
          <w:szCs w:val="18"/>
        </w:rPr>
        <w:t>product offered will meet or exceed specifications; that the product is new, in current production, including the manufacturer's standard equipment and accessories; and is qualified for full maintenance coverage, service and support at, or below, the manufacturer's standard maintenance rates.</w:t>
      </w:r>
    </w:p>
    <w:p w14:paraId="1BDFB33E" w14:textId="0078430A" w:rsidR="00F41FB2" w:rsidRPr="00BD66F6" w:rsidRDefault="006F00B2" w:rsidP="006F00B2">
      <w:pPr>
        <w:widowControl w:val="0"/>
        <w:numPr>
          <w:ilvl w:val="1"/>
          <w:numId w:val="14"/>
        </w:numPr>
        <w:tabs>
          <w:tab w:val="left" w:pos="396"/>
          <w:tab w:val="left" w:pos="3708"/>
        </w:tabs>
        <w:spacing w:after="0"/>
        <w:jc w:val="both"/>
        <w:rPr>
          <w:rFonts w:ascii="Times New Roman" w:hAnsi="Times New Roman"/>
          <w:spacing w:val="-1"/>
          <w:sz w:val="18"/>
          <w:szCs w:val="18"/>
        </w:rPr>
      </w:pPr>
      <w:r>
        <w:rPr>
          <w:rFonts w:ascii="Times New Roman" w:eastAsia="Times New Roman" w:hAnsi="Times New Roman" w:cs="Times New Roman"/>
          <w:b/>
          <w:spacing w:val="-1"/>
          <w:sz w:val="18"/>
          <w:szCs w:val="18"/>
        </w:rPr>
        <w:t>Projects Using Iron or Steel Products:</w:t>
      </w:r>
      <w:r>
        <w:rPr>
          <w:rFonts w:ascii="Times New Roman" w:eastAsia="Times New Roman" w:hAnsi="Times New Roman" w:cs="Times New Roman"/>
          <w:spacing w:val="-1"/>
          <w:sz w:val="18"/>
          <w:szCs w:val="18"/>
        </w:rPr>
        <w:t xml:space="preserve">  Pursuant to Texas Government Code § 2252.202, iron or steel products produced through a manufacturing process and used in the project must be produced in the United States.</w:t>
      </w:r>
    </w:p>
    <w:p w14:paraId="5B4CA9D8" w14:textId="77777777" w:rsidR="00F41FB2" w:rsidRPr="00BD66F6" w:rsidRDefault="00F41FB2" w:rsidP="00F407CA">
      <w:pPr>
        <w:widowControl w:val="0"/>
        <w:numPr>
          <w:ilvl w:val="0"/>
          <w:numId w:val="14"/>
        </w:numPr>
        <w:pBdr>
          <w:top w:val="single" w:sz="4" w:space="1" w:color="auto"/>
          <w:bottom w:val="single" w:sz="4" w:space="1" w:color="auto"/>
        </w:pBdr>
        <w:tabs>
          <w:tab w:val="left" w:pos="396"/>
          <w:tab w:val="left" w:pos="3708"/>
        </w:tabs>
        <w:spacing w:after="0"/>
        <w:jc w:val="both"/>
        <w:rPr>
          <w:rFonts w:ascii="Times New Roman" w:hAnsi="Times New Roman"/>
          <w:b/>
          <w:spacing w:val="-1"/>
          <w:sz w:val="18"/>
          <w:szCs w:val="18"/>
        </w:rPr>
      </w:pPr>
      <w:r w:rsidRPr="00BD66F6">
        <w:rPr>
          <w:rFonts w:ascii="Times New Roman" w:hAnsi="Times New Roman"/>
          <w:b/>
          <w:spacing w:val="-1"/>
          <w:sz w:val="18"/>
          <w:szCs w:val="18"/>
        </w:rPr>
        <w:t>DELIVERY</w:t>
      </w:r>
    </w:p>
    <w:p w14:paraId="1B034045" w14:textId="77777777" w:rsidR="006F00B2" w:rsidRDefault="006F00B2" w:rsidP="006F00B2">
      <w:pPr>
        <w:widowControl w:val="0"/>
        <w:numPr>
          <w:ilvl w:val="1"/>
          <w:numId w:val="14"/>
        </w:numPr>
        <w:tabs>
          <w:tab w:val="clear" w:pos="360"/>
          <w:tab w:val="left" w:pos="396"/>
          <w:tab w:val="num" w:pos="720"/>
          <w:tab w:val="left" w:pos="3708"/>
        </w:tabs>
        <w:spacing w:after="0"/>
        <w:jc w:val="both"/>
        <w:rPr>
          <w:rFonts w:ascii="Times New Roman" w:eastAsia="Times New Roman" w:hAnsi="Times New Roman" w:cs="Times New Roman"/>
          <w:spacing w:val="-1"/>
          <w:sz w:val="18"/>
          <w:szCs w:val="18"/>
        </w:rPr>
      </w:pPr>
      <w:r>
        <w:rPr>
          <w:rFonts w:ascii="Times New Roman" w:eastAsia="Times New Roman" w:hAnsi="Times New Roman" w:cs="Times New Roman"/>
          <w:spacing w:val="-1"/>
          <w:sz w:val="18"/>
          <w:szCs w:val="18"/>
        </w:rPr>
        <w:t>Vendor is to show the number of days required to place material in the receiving location under normal conditions.  Failure to state delivery time obligates Vendor to complete delivery within fourteen (14) days. Unrealistically short or long delivery promises may cause Vendor’s response to be disre</w:t>
      </w:r>
      <w:r>
        <w:rPr>
          <w:rFonts w:ascii="Times New Roman" w:eastAsia="Times New Roman" w:hAnsi="Times New Roman" w:cs="Times New Roman"/>
          <w:spacing w:val="-1"/>
          <w:sz w:val="18"/>
          <w:szCs w:val="18"/>
        </w:rPr>
        <w:softHyphen/>
        <w:t>garded.  Consistent failure to meet delivery promises will be grounds for termination of the contract.</w:t>
      </w:r>
    </w:p>
    <w:p w14:paraId="66C553D5" w14:textId="77777777" w:rsidR="006F00B2" w:rsidRDefault="006F00B2" w:rsidP="006F00B2">
      <w:pPr>
        <w:widowControl w:val="0"/>
        <w:numPr>
          <w:ilvl w:val="1"/>
          <w:numId w:val="14"/>
        </w:numPr>
        <w:tabs>
          <w:tab w:val="clear" w:pos="360"/>
          <w:tab w:val="left" w:pos="396"/>
          <w:tab w:val="num" w:pos="720"/>
          <w:tab w:val="left" w:pos="3708"/>
        </w:tabs>
        <w:spacing w:after="0"/>
        <w:jc w:val="both"/>
        <w:rPr>
          <w:rFonts w:ascii="Times New Roman" w:eastAsia="Times New Roman" w:hAnsi="Times New Roman" w:cs="Times New Roman"/>
          <w:spacing w:val="-1"/>
          <w:sz w:val="18"/>
          <w:szCs w:val="18"/>
        </w:rPr>
      </w:pPr>
      <w:r>
        <w:rPr>
          <w:rFonts w:ascii="Times New Roman" w:eastAsia="Times New Roman" w:hAnsi="Times New Roman" w:cs="Times New Roman"/>
          <w:spacing w:val="-1"/>
          <w:sz w:val="18"/>
          <w:szCs w:val="18"/>
        </w:rPr>
        <w:t>If delay is foreseen, Vendor shall give written notice to TWC who reserves the right to extend delivery date if reasons appear valid.  Vendor must keep TWC advised at all times of status of order.  Default in promised delivery (without accepted reasons) or failure to meet specifica</w:t>
      </w:r>
      <w:r>
        <w:rPr>
          <w:rFonts w:ascii="Times New Roman" w:eastAsia="Times New Roman" w:hAnsi="Times New Roman" w:cs="Times New Roman"/>
          <w:spacing w:val="-1"/>
          <w:sz w:val="18"/>
          <w:szCs w:val="18"/>
        </w:rPr>
        <w:softHyphen/>
        <w:t>tions authorizes TWC to purchase the ordered products elsewhere and charge full increase, if any, in cost and handling to defaulting Vendor.  Any damages incurred by TWC as a result of the default may also be assessed to the defaulting Vendor.</w:t>
      </w:r>
    </w:p>
    <w:p w14:paraId="6284F446" w14:textId="3B2DF822" w:rsidR="00F41FB2" w:rsidRPr="00BD66F6" w:rsidRDefault="006F00B2" w:rsidP="006F00B2">
      <w:pPr>
        <w:widowControl w:val="0"/>
        <w:numPr>
          <w:ilvl w:val="1"/>
          <w:numId w:val="14"/>
        </w:numPr>
        <w:tabs>
          <w:tab w:val="left" w:pos="396"/>
          <w:tab w:val="left" w:pos="3708"/>
        </w:tabs>
        <w:spacing w:after="0"/>
        <w:jc w:val="both"/>
        <w:rPr>
          <w:rFonts w:ascii="Times New Roman" w:hAnsi="Times New Roman"/>
          <w:spacing w:val="-1"/>
          <w:sz w:val="18"/>
          <w:szCs w:val="18"/>
        </w:rPr>
      </w:pPr>
      <w:r>
        <w:rPr>
          <w:rFonts w:ascii="Times New Roman" w:eastAsia="Times New Roman" w:hAnsi="Times New Roman" w:cs="Times New Roman"/>
          <w:spacing w:val="-1"/>
          <w:sz w:val="18"/>
          <w:szCs w:val="18"/>
        </w:rPr>
        <w:t>Delivery shall be made on State business days between 8:00 am and 5:00 pm, unless prior approval has been obtained from TWC</w:t>
      </w:r>
      <w:r w:rsidR="00F41FB2" w:rsidRPr="00BD66F6">
        <w:rPr>
          <w:rFonts w:ascii="Times New Roman" w:hAnsi="Times New Roman"/>
          <w:spacing w:val="-1"/>
          <w:sz w:val="18"/>
          <w:szCs w:val="18"/>
        </w:rPr>
        <w:t xml:space="preserve">. </w:t>
      </w:r>
    </w:p>
    <w:p w14:paraId="219BFA12" w14:textId="77777777" w:rsidR="00F41FB2" w:rsidRPr="00BD66F6" w:rsidRDefault="00F41FB2" w:rsidP="00F407CA">
      <w:pPr>
        <w:widowControl w:val="0"/>
        <w:numPr>
          <w:ilvl w:val="0"/>
          <w:numId w:val="14"/>
        </w:numPr>
        <w:pBdr>
          <w:top w:val="single" w:sz="4" w:space="1" w:color="auto"/>
          <w:bottom w:val="single" w:sz="4" w:space="1" w:color="auto"/>
        </w:pBdr>
        <w:tabs>
          <w:tab w:val="left" w:pos="396"/>
          <w:tab w:val="left" w:pos="3708"/>
        </w:tabs>
        <w:spacing w:after="0"/>
        <w:jc w:val="both"/>
        <w:rPr>
          <w:rFonts w:ascii="Times New Roman" w:hAnsi="Times New Roman"/>
          <w:b/>
          <w:spacing w:val="-1"/>
          <w:sz w:val="18"/>
          <w:szCs w:val="18"/>
        </w:rPr>
      </w:pPr>
      <w:r w:rsidRPr="00BD66F6">
        <w:rPr>
          <w:rFonts w:ascii="Times New Roman" w:hAnsi="Times New Roman"/>
          <w:b/>
          <w:spacing w:val="-1"/>
          <w:sz w:val="18"/>
          <w:szCs w:val="18"/>
        </w:rPr>
        <w:t>VALIDATION, INSPECTION &amp; TESTS</w:t>
      </w:r>
    </w:p>
    <w:p w14:paraId="1DEC52FA" w14:textId="77777777" w:rsidR="006F00B2" w:rsidRDefault="006F00B2" w:rsidP="006F00B2">
      <w:pPr>
        <w:widowControl w:val="0"/>
        <w:numPr>
          <w:ilvl w:val="1"/>
          <w:numId w:val="14"/>
        </w:numPr>
        <w:tabs>
          <w:tab w:val="clear" w:pos="360"/>
          <w:tab w:val="num" w:pos="720"/>
          <w:tab w:val="left" w:pos="810"/>
          <w:tab w:val="left" w:pos="3708"/>
        </w:tabs>
        <w:spacing w:after="0"/>
        <w:jc w:val="both"/>
        <w:rPr>
          <w:rFonts w:ascii="Times New Roman" w:eastAsia="Times New Roman" w:hAnsi="Times New Roman" w:cs="Times New Roman"/>
          <w:spacing w:val="-1"/>
          <w:sz w:val="18"/>
          <w:szCs w:val="18"/>
        </w:rPr>
      </w:pPr>
      <w:r>
        <w:rPr>
          <w:rFonts w:ascii="Times New Roman" w:eastAsia="Times New Roman" w:hAnsi="Times New Roman" w:cs="Times New Roman"/>
          <w:spacing w:val="-1"/>
          <w:sz w:val="18"/>
          <w:szCs w:val="18"/>
        </w:rPr>
        <w:t>Vendor agrees to provide TWC with infor</w:t>
      </w:r>
      <w:r>
        <w:rPr>
          <w:rFonts w:ascii="Times New Roman" w:eastAsia="Times New Roman" w:hAnsi="Times New Roman" w:cs="Times New Roman"/>
          <w:spacing w:val="-1"/>
          <w:sz w:val="18"/>
          <w:szCs w:val="18"/>
        </w:rPr>
        <w:softHyphen/>
        <w:t>mation necessary to validate any statements made in the Vendor’s solicitation response, if requested by TWC.  This may include, but is not limited to, allowing access for on-site observation, granting permission for TWC to verify information with third parties, allowing inspection of Vendor’s records, and allowing inspection of plans for compliance.</w:t>
      </w:r>
    </w:p>
    <w:p w14:paraId="4EE328CC" w14:textId="0E37F25A" w:rsidR="00F41FB2" w:rsidRPr="00BD66F6" w:rsidRDefault="006F00B2" w:rsidP="006F00B2">
      <w:pPr>
        <w:widowControl w:val="0"/>
        <w:numPr>
          <w:ilvl w:val="1"/>
          <w:numId w:val="14"/>
        </w:numPr>
        <w:tabs>
          <w:tab w:val="left" w:pos="810"/>
          <w:tab w:val="left" w:pos="3708"/>
        </w:tabs>
        <w:spacing w:after="0"/>
        <w:jc w:val="both"/>
        <w:rPr>
          <w:rFonts w:ascii="Times New Roman" w:hAnsi="Times New Roman"/>
          <w:spacing w:val="-1"/>
          <w:sz w:val="18"/>
          <w:szCs w:val="18"/>
        </w:rPr>
      </w:pPr>
      <w:r>
        <w:rPr>
          <w:rFonts w:ascii="Times New Roman" w:eastAsia="Times New Roman" w:hAnsi="Times New Roman" w:cs="Times New Roman"/>
          <w:spacing w:val="-1"/>
          <w:sz w:val="18"/>
          <w:szCs w:val="18"/>
        </w:rPr>
        <w:lastRenderedPageBreak/>
        <w:t>All goods will be subject to inspection and test by TWC to the extent practicable at all times and places. Tests may be performed on samples called for, or on samples taken from regular shipment.  In the event products tested fail to meet or exceed all conditions and requirements of the specification, the cost of the sample used and the cost of the testing shall be borne by the supplier.  Goods that have been delivered and rejected in whole, or in part may, at TWC's option, be returned to the Vendor or held for disposition at Vendor's risk and expense.  Latent defects may result in revocation of acceptance</w:t>
      </w:r>
      <w:r w:rsidR="00F41FB2" w:rsidRPr="00BD66F6">
        <w:rPr>
          <w:rFonts w:ascii="Times New Roman" w:hAnsi="Times New Roman"/>
          <w:spacing w:val="-1"/>
          <w:sz w:val="18"/>
          <w:szCs w:val="18"/>
        </w:rPr>
        <w:t xml:space="preserve">. </w:t>
      </w:r>
    </w:p>
    <w:p w14:paraId="7BA108C6" w14:textId="77777777" w:rsidR="00F41FB2" w:rsidRPr="00BD66F6" w:rsidRDefault="00F41FB2" w:rsidP="00F407CA">
      <w:pPr>
        <w:numPr>
          <w:ilvl w:val="0"/>
          <w:numId w:val="14"/>
        </w:numPr>
        <w:pBdr>
          <w:top w:val="single" w:sz="4" w:space="1" w:color="auto"/>
          <w:bottom w:val="single" w:sz="4" w:space="1" w:color="auto"/>
        </w:pBdr>
        <w:tabs>
          <w:tab w:val="left" w:pos="396"/>
          <w:tab w:val="left" w:pos="3708"/>
        </w:tabs>
        <w:spacing w:after="0"/>
        <w:jc w:val="both"/>
        <w:rPr>
          <w:rFonts w:ascii="Times New Roman" w:hAnsi="Times New Roman"/>
          <w:b/>
          <w:spacing w:val="-1"/>
          <w:sz w:val="18"/>
          <w:szCs w:val="18"/>
        </w:rPr>
      </w:pPr>
      <w:r w:rsidRPr="00BD66F6">
        <w:rPr>
          <w:rFonts w:ascii="Times New Roman" w:hAnsi="Times New Roman"/>
          <w:b/>
          <w:spacing w:val="-1"/>
          <w:sz w:val="18"/>
          <w:szCs w:val="18"/>
        </w:rPr>
        <w:t>INVOICING INSTRUCTIONS</w:t>
      </w:r>
    </w:p>
    <w:p w14:paraId="30676124" w14:textId="77777777" w:rsidR="006F00B2" w:rsidRDefault="006F00B2" w:rsidP="006F00B2">
      <w:pPr>
        <w:numPr>
          <w:ilvl w:val="1"/>
          <w:numId w:val="14"/>
        </w:numPr>
        <w:tabs>
          <w:tab w:val="clear" w:pos="360"/>
          <w:tab w:val="left" w:pos="396"/>
          <w:tab w:val="num" w:pos="720"/>
          <w:tab w:val="left" w:pos="3708"/>
        </w:tabs>
        <w:spacing w:after="0"/>
        <w:jc w:val="both"/>
        <w:rPr>
          <w:rFonts w:ascii="Times New Roman" w:eastAsia="Times New Roman" w:hAnsi="Times New Roman" w:cs="Times New Roman"/>
          <w:spacing w:val="-1"/>
          <w:sz w:val="18"/>
          <w:szCs w:val="18"/>
        </w:rPr>
      </w:pPr>
      <w:r>
        <w:rPr>
          <w:rFonts w:ascii="Times New Roman" w:eastAsia="Times New Roman" w:hAnsi="Times New Roman" w:cs="Times New Roman"/>
          <w:sz w:val="18"/>
          <w:szCs w:val="18"/>
        </w:rPr>
        <w:t>Invoices must be submitted to TWC according to the instructions on the PO to the named individual and the</w:t>
      </w:r>
      <w:r>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address indicated on the PO. Invoice must show TWC as the receiving agency.</w:t>
      </w:r>
    </w:p>
    <w:p w14:paraId="09066A9D" w14:textId="77777777" w:rsidR="006F00B2" w:rsidRDefault="006F00B2" w:rsidP="006F00B2">
      <w:pPr>
        <w:numPr>
          <w:ilvl w:val="1"/>
          <w:numId w:val="14"/>
        </w:numPr>
        <w:tabs>
          <w:tab w:val="clear" w:pos="360"/>
          <w:tab w:val="left" w:pos="396"/>
          <w:tab w:val="num" w:pos="720"/>
          <w:tab w:val="left" w:pos="3708"/>
        </w:tabs>
        <w:spacing w:after="0"/>
        <w:jc w:val="both"/>
        <w:rPr>
          <w:rFonts w:ascii="Times New Roman" w:eastAsia="Times New Roman" w:hAnsi="Times New Roman" w:cs="Times New Roman"/>
          <w:spacing w:val="-1"/>
          <w:sz w:val="18"/>
          <w:szCs w:val="18"/>
        </w:rPr>
      </w:pPr>
      <w:r>
        <w:rPr>
          <w:rFonts w:ascii="Times New Roman" w:eastAsia="Times New Roman" w:hAnsi="Times New Roman" w:cs="Times New Roman"/>
          <w:sz w:val="18"/>
          <w:szCs w:val="18"/>
        </w:rPr>
        <w:t>Submit invoice in duplicate.  Upon request, one copy will be returned when making payment.</w:t>
      </w:r>
    </w:p>
    <w:p w14:paraId="5634B5EB" w14:textId="77777777" w:rsidR="006F00B2" w:rsidRDefault="006F00B2" w:rsidP="006F00B2">
      <w:pPr>
        <w:numPr>
          <w:ilvl w:val="1"/>
          <w:numId w:val="14"/>
        </w:numPr>
        <w:tabs>
          <w:tab w:val="clear" w:pos="360"/>
          <w:tab w:val="left" w:pos="396"/>
          <w:tab w:val="num" w:pos="720"/>
          <w:tab w:val="left" w:pos="3708"/>
        </w:tabs>
        <w:spacing w:after="0"/>
        <w:jc w:val="both"/>
        <w:rPr>
          <w:rFonts w:ascii="Times New Roman" w:eastAsia="Times New Roman" w:hAnsi="Times New Roman" w:cs="Times New Roman"/>
          <w:spacing w:val="-1"/>
          <w:sz w:val="18"/>
          <w:szCs w:val="18"/>
        </w:rPr>
      </w:pPr>
      <w:r>
        <w:rPr>
          <w:rFonts w:ascii="Times New Roman" w:eastAsia="Times New Roman" w:hAnsi="Times New Roman" w:cs="Times New Roman"/>
          <w:sz w:val="18"/>
          <w:szCs w:val="18"/>
        </w:rPr>
        <w:t>Invoices must</w:t>
      </w:r>
      <w:r>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include the</w:t>
      </w:r>
      <w:r>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name and address of Vendor</w:t>
      </w:r>
      <w:r>
        <w:rPr>
          <w:rFonts w:ascii="Times New Roman" w:eastAsia="Times New Roman" w:hAnsi="Times New Roman" w:cs="Times New Roman"/>
          <w:b/>
          <w:sz w:val="18"/>
          <w:szCs w:val="18"/>
        </w:rPr>
        <w:t>,</w:t>
      </w:r>
      <w:r>
        <w:rPr>
          <w:rFonts w:ascii="Times New Roman" w:eastAsia="Times New Roman" w:hAnsi="Times New Roman" w:cs="Times New Roman"/>
          <w:sz w:val="18"/>
          <w:szCs w:val="18"/>
        </w:rPr>
        <w:t xml:space="preserve"> which must be identical to the information stated on the PO.</w:t>
      </w:r>
      <w:r>
        <w:rPr>
          <w:rFonts w:ascii="Times New Roman" w:eastAsia="Times New Roman" w:hAnsi="Times New Roman" w:cs="Times New Roman"/>
          <w:spacing w:val="-1"/>
          <w:sz w:val="18"/>
          <w:szCs w:val="18"/>
        </w:rPr>
        <w:t xml:space="preserve"> </w:t>
      </w:r>
    </w:p>
    <w:p w14:paraId="3F33CAA5" w14:textId="77777777" w:rsidR="006F00B2" w:rsidRDefault="006F00B2" w:rsidP="006F00B2">
      <w:pPr>
        <w:numPr>
          <w:ilvl w:val="1"/>
          <w:numId w:val="14"/>
        </w:numPr>
        <w:tabs>
          <w:tab w:val="clear" w:pos="360"/>
          <w:tab w:val="left" w:pos="396"/>
          <w:tab w:val="num" w:pos="720"/>
          <w:tab w:val="left" w:pos="3708"/>
        </w:tabs>
        <w:spacing w:after="0"/>
        <w:jc w:val="both"/>
        <w:rPr>
          <w:rFonts w:ascii="Times New Roman" w:eastAsia="Times New Roman" w:hAnsi="Times New Roman" w:cs="Times New Roman"/>
          <w:spacing w:val="-1"/>
          <w:sz w:val="18"/>
          <w:szCs w:val="18"/>
        </w:rPr>
      </w:pPr>
      <w:r>
        <w:rPr>
          <w:rFonts w:ascii="Times New Roman" w:eastAsia="Times New Roman" w:hAnsi="Times New Roman" w:cs="Times New Roman"/>
          <w:sz w:val="18"/>
          <w:szCs w:val="18"/>
        </w:rPr>
        <w:t>The TWC</w:t>
      </w:r>
      <w:r>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PO number and date</w:t>
      </w:r>
      <w:r>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of the PO must be shown on all invoice copies.</w:t>
      </w:r>
    </w:p>
    <w:p w14:paraId="40F1E05A" w14:textId="77777777" w:rsidR="006F00B2" w:rsidRDefault="006F00B2" w:rsidP="006F00B2">
      <w:pPr>
        <w:numPr>
          <w:ilvl w:val="1"/>
          <w:numId w:val="14"/>
        </w:numPr>
        <w:tabs>
          <w:tab w:val="clear" w:pos="360"/>
          <w:tab w:val="left" w:pos="396"/>
          <w:tab w:val="num" w:pos="720"/>
          <w:tab w:val="left" w:pos="3708"/>
        </w:tabs>
        <w:spacing w:after="0"/>
        <w:jc w:val="both"/>
        <w:rPr>
          <w:rFonts w:ascii="Times New Roman" w:eastAsia="Times New Roman" w:hAnsi="Times New Roman" w:cs="Times New Roman"/>
          <w:b/>
          <w:spacing w:val="-1"/>
          <w:sz w:val="18"/>
          <w:szCs w:val="18"/>
        </w:rPr>
      </w:pPr>
      <w:r>
        <w:rPr>
          <w:rFonts w:ascii="Times New Roman" w:eastAsia="Times New Roman" w:hAnsi="Times New Roman" w:cs="Times New Roman"/>
          <w:sz w:val="18"/>
          <w:szCs w:val="18"/>
        </w:rPr>
        <w:t>Invoice must have description of each item. Item numbers must be shown to correspond with the item numbers on the PO.</w:t>
      </w:r>
    </w:p>
    <w:p w14:paraId="1A38B051" w14:textId="77777777" w:rsidR="006F00B2" w:rsidRDefault="006F00B2" w:rsidP="006F00B2">
      <w:pPr>
        <w:numPr>
          <w:ilvl w:val="1"/>
          <w:numId w:val="14"/>
        </w:numPr>
        <w:tabs>
          <w:tab w:val="clear" w:pos="360"/>
          <w:tab w:val="left" w:pos="396"/>
          <w:tab w:val="num" w:pos="720"/>
          <w:tab w:val="left" w:pos="3708"/>
        </w:tabs>
        <w:spacing w:after="0"/>
        <w:jc w:val="both"/>
        <w:rPr>
          <w:rFonts w:ascii="Times New Roman" w:eastAsia="Times New Roman" w:hAnsi="Times New Roman" w:cs="Times New Roman"/>
          <w:spacing w:val="-1"/>
          <w:sz w:val="18"/>
          <w:szCs w:val="18"/>
        </w:rPr>
      </w:pPr>
      <w:r>
        <w:rPr>
          <w:rFonts w:ascii="Times New Roman" w:eastAsia="Times New Roman" w:hAnsi="Times New Roman" w:cs="Times New Roman"/>
          <w:sz w:val="18"/>
          <w:szCs w:val="18"/>
        </w:rPr>
        <w:t>Quantity and date delivered, unit of measure specified and total price of each item must be shown, all prices extended on the invoice, with all extensions on the invoice totaled, and the grand total shown.</w:t>
      </w:r>
    </w:p>
    <w:p w14:paraId="0BD0E22E" w14:textId="77777777" w:rsidR="006F00B2" w:rsidRDefault="006F00B2" w:rsidP="006F00B2">
      <w:pPr>
        <w:numPr>
          <w:ilvl w:val="1"/>
          <w:numId w:val="14"/>
        </w:numPr>
        <w:tabs>
          <w:tab w:val="clear" w:pos="360"/>
          <w:tab w:val="left" w:pos="396"/>
          <w:tab w:val="num" w:pos="720"/>
          <w:tab w:val="left" w:pos="3708"/>
        </w:tabs>
        <w:spacing w:after="0"/>
        <w:jc w:val="both"/>
        <w:rPr>
          <w:rFonts w:ascii="Times New Roman" w:eastAsia="Times New Roman" w:hAnsi="Times New Roman" w:cs="Times New Roman"/>
          <w:b/>
          <w:spacing w:val="-1"/>
          <w:sz w:val="18"/>
          <w:szCs w:val="18"/>
        </w:rPr>
      </w:pPr>
      <w:r>
        <w:rPr>
          <w:rFonts w:ascii="Times New Roman" w:eastAsia="Times New Roman" w:hAnsi="Times New Roman" w:cs="Times New Roman"/>
          <w:sz w:val="18"/>
          <w:szCs w:val="18"/>
        </w:rPr>
        <w:t>Discounts, if applicable, must be stated, extended, and deducted to arrive at a Net Total for the invoice.</w:t>
      </w:r>
    </w:p>
    <w:p w14:paraId="75DC06F3" w14:textId="6781AE83" w:rsidR="00F41FB2" w:rsidRPr="00BD66F6" w:rsidRDefault="006F00B2" w:rsidP="006F00B2">
      <w:pPr>
        <w:numPr>
          <w:ilvl w:val="1"/>
          <w:numId w:val="14"/>
        </w:numPr>
        <w:tabs>
          <w:tab w:val="left" w:pos="396"/>
          <w:tab w:val="left" w:pos="3708"/>
        </w:tabs>
        <w:spacing w:after="0"/>
        <w:jc w:val="both"/>
        <w:rPr>
          <w:rFonts w:ascii="Times New Roman" w:hAnsi="Times New Roman"/>
          <w:spacing w:val="-1"/>
          <w:sz w:val="18"/>
          <w:szCs w:val="18"/>
        </w:rPr>
      </w:pPr>
      <w:r>
        <w:rPr>
          <w:rFonts w:ascii="Times New Roman" w:eastAsia="Times New Roman" w:hAnsi="Times New Roman" w:cs="Times New Roman"/>
          <w:spacing w:val="-1"/>
          <w:sz w:val="18"/>
          <w:szCs w:val="18"/>
        </w:rPr>
        <w:t>Trade-in values must be stated on the invoice</w:t>
      </w:r>
      <w:r w:rsidR="00F41FB2" w:rsidRPr="00BD66F6">
        <w:rPr>
          <w:rFonts w:ascii="Times New Roman" w:hAnsi="Times New Roman"/>
          <w:spacing w:val="-1"/>
          <w:sz w:val="18"/>
          <w:szCs w:val="18"/>
        </w:rPr>
        <w:t>.</w:t>
      </w:r>
    </w:p>
    <w:p w14:paraId="150386A6" w14:textId="77777777" w:rsidR="00F41FB2" w:rsidRPr="00BD66F6" w:rsidRDefault="00F41FB2" w:rsidP="00F407CA">
      <w:pPr>
        <w:numPr>
          <w:ilvl w:val="0"/>
          <w:numId w:val="14"/>
        </w:numPr>
        <w:pBdr>
          <w:top w:val="single" w:sz="4" w:space="1" w:color="auto"/>
          <w:bottom w:val="single" w:sz="4" w:space="1" w:color="auto"/>
        </w:pBdr>
        <w:tabs>
          <w:tab w:val="left" w:pos="396"/>
          <w:tab w:val="left" w:pos="3708"/>
        </w:tabs>
        <w:spacing w:after="0"/>
        <w:jc w:val="both"/>
        <w:rPr>
          <w:rFonts w:ascii="Times New Roman" w:hAnsi="Times New Roman"/>
          <w:b/>
          <w:spacing w:val="-1"/>
          <w:sz w:val="18"/>
          <w:szCs w:val="18"/>
        </w:rPr>
      </w:pPr>
      <w:r w:rsidRPr="00BD66F6">
        <w:rPr>
          <w:rFonts w:ascii="Times New Roman" w:hAnsi="Times New Roman"/>
          <w:b/>
          <w:spacing w:val="-1"/>
          <w:sz w:val="18"/>
          <w:szCs w:val="18"/>
        </w:rPr>
        <w:t>PAYMENT</w:t>
      </w:r>
    </w:p>
    <w:p w14:paraId="4790821C" w14:textId="77777777" w:rsidR="006F00B2" w:rsidRDefault="006F00B2" w:rsidP="006F00B2">
      <w:pPr>
        <w:numPr>
          <w:ilvl w:val="1"/>
          <w:numId w:val="14"/>
        </w:numPr>
        <w:tabs>
          <w:tab w:val="clear" w:pos="360"/>
          <w:tab w:val="left" w:pos="396"/>
          <w:tab w:val="num" w:pos="720"/>
          <w:tab w:val="left" w:pos="3708"/>
        </w:tabs>
        <w:spacing w:after="0"/>
        <w:jc w:val="both"/>
        <w:rPr>
          <w:rFonts w:ascii="Times New Roman" w:eastAsia="Times New Roman" w:hAnsi="Times New Roman" w:cs="Times New Roman"/>
          <w:spacing w:val="-1"/>
          <w:sz w:val="18"/>
          <w:szCs w:val="18"/>
        </w:rPr>
      </w:pPr>
      <w:r>
        <w:rPr>
          <w:rFonts w:ascii="Times New Roman" w:eastAsia="Times New Roman" w:hAnsi="Times New Roman" w:cs="Times New Roman"/>
          <w:spacing w:val="-1"/>
          <w:sz w:val="18"/>
          <w:szCs w:val="18"/>
        </w:rPr>
        <w:t>Payment shall be made in accordance with Chapter 2251 of the Texas Government Code, commonly known as the Texas Prompt Payment Act.  Chapter 2251 governs remittance of payment and remedies for late payment and non-payment.</w:t>
      </w:r>
    </w:p>
    <w:p w14:paraId="0DDC5899" w14:textId="77777777" w:rsidR="006F00B2" w:rsidRDefault="006F00B2" w:rsidP="006F00B2">
      <w:pPr>
        <w:numPr>
          <w:ilvl w:val="1"/>
          <w:numId w:val="14"/>
        </w:numPr>
        <w:tabs>
          <w:tab w:val="clear" w:pos="360"/>
          <w:tab w:val="left" w:pos="396"/>
          <w:tab w:val="num" w:pos="720"/>
          <w:tab w:val="left" w:pos="3708"/>
        </w:tabs>
        <w:spacing w:after="0"/>
        <w:jc w:val="both"/>
        <w:rPr>
          <w:rFonts w:ascii="Times New Roman" w:eastAsia="Times New Roman" w:hAnsi="Times New Roman" w:cs="Times New Roman"/>
          <w:spacing w:val="-1"/>
          <w:sz w:val="18"/>
          <w:szCs w:val="18"/>
        </w:rPr>
      </w:pPr>
      <w:r>
        <w:rPr>
          <w:rFonts w:ascii="Times New Roman" w:eastAsia="Times New Roman" w:hAnsi="Times New Roman" w:cs="Times New Roman"/>
          <w:spacing w:val="-1"/>
          <w:sz w:val="18"/>
          <w:szCs w:val="18"/>
        </w:rPr>
        <w:t>TWC will incur no penalty for late payment if payment is made within thirty (30) days of acceptance of goods or services, or within thirty (30) days of receipt of an uncontested invoice submitted according to the instructions on the PO, whichever comes last.</w:t>
      </w:r>
    </w:p>
    <w:p w14:paraId="593F92B0" w14:textId="77777777" w:rsidR="006F00B2" w:rsidRDefault="006F00B2" w:rsidP="006F00B2">
      <w:pPr>
        <w:numPr>
          <w:ilvl w:val="1"/>
          <w:numId w:val="14"/>
        </w:numPr>
        <w:tabs>
          <w:tab w:val="clear" w:pos="360"/>
          <w:tab w:val="left" w:pos="396"/>
          <w:tab w:val="num" w:pos="720"/>
          <w:tab w:val="left" w:pos="3708"/>
        </w:tabs>
        <w:spacing w:after="0"/>
        <w:jc w:val="both"/>
        <w:rPr>
          <w:rFonts w:ascii="Times New Roman" w:eastAsia="Times New Roman" w:hAnsi="Times New Roman" w:cs="Times New Roman"/>
          <w:spacing w:val="-1"/>
          <w:sz w:val="18"/>
          <w:szCs w:val="18"/>
        </w:rPr>
      </w:pPr>
      <w:r>
        <w:rPr>
          <w:rFonts w:ascii="Times New Roman" w:eastAsia="Times New Roman" w:hAnsi="Times New Roman" w:cs="Times New Roman"/>
          <w:spacing w:val="-1"/>
          <w:sz w:val="18"/>
          <w:szCs w:val="18"/>
        </w:rPr>
        <w:t>In no event shall use of the product by TWC, for any purpose during any phase of the acceptance testing, constitute acceptance of any product by TWC.</w:t>
      </w:r>
    </w:p>
    <w:p w14:paraId="5D1427A2" w14:textId="76EB511C" w:rsidR="00F41FB2" w:rsidRPr="0026628D" w:rsidRDefault="006F00B2" w:rsidP="006F00B2">
      <w:pPr>
        <w:numPr>
          <w:ilvl w:val="1"/>
          <w:numId w:val="14"/>
        </w:numPr>
        <w:tabs>
          <w:tab w:val="left" w:pos="396"/>
          <w:tab w:val="left" w:pos="3708"/>
        </w:tabs>
        <w:spacing w:after="0"/>
        <w:rPr>
          <w:rFonts w:ascii="Times New Roman" w:hAnsi="Times New Roman"/>
          <w:sz w:val="18"/>
          <w:szCs w:val="18"/>
        </w:rPr>
      </w:pPr>
      <w:r>
        <w:rPr>
          <w:rFonts w:ascii="Times New Roman" w:eastAsia="Times New Roman" w:hAnsi="Times New Roman" w:cs="Times New Roman"/>
          <w:spacing w:val="-1"/>
          <w:sz w:val="18"/>
          <w:szCs w:val="18"/>
        </w:rPr>
        <w:t>Prior to any payment being made, the goods or services being invoiced must have been received and accepted by TWC</w:t>
      </w:r>
      <w:r w:rsidR="00F41FB2" w:rsidRPr="0026628D">
        <w:rPr>
          <w:rFonts w:ascii="Times New Roman" w:hAnsi="Times New Roman"/>
          <w:sz w:val="18"/>
          <w:szCs w:val="18"/>
        </w:rPr>
        <w:t>.</w:t>
      </w:r>
    </w:p>
    <w:p w14:paraId="136894B0" w14:textId="77777777" w:rsidR="00F41FB2" w:rsidRPr="00BD66F6" w:rsidRDefault="00F41FB2" w:rsidP="00F407CA">
      <w:pPr>
        <w:numPr>
          <w:ilvl w:val="0"/>
          <w:numId w:val="14"/>
        </w:numPr>
        <w:pBdr>
          <w:top w:val="single" w:sz="4" w:space="1" w:color="auto"/>
          <w:bottom w:val="single" w:sz="4" w:space="1" w:color="auto"/>
        </w:pBdr>
        <w:tabs>
          <w:tab w:val="left" w:pos="396"/>
          <w:tab w:val="left" w:pos="3708"/>
        </w:tabs>
        <w:spacing w:after="0"/>
        <w:jc w:val="both"/>
        <w:rPr>
          <w:rFonts w:ascii="Times New Roman" w:hAnsi="Times New Roman"/>
          <w:b/>
          <w:spacing w:val="-1"/>
          <w:sz w:val="18"/>
          <w:szCs w:val="18"/>
        </w:rPr>
      </w:pPr>
      <w:r w:rsidRPr="00BD66F6">
        <w:rPr>
          <w:rFonts w:ascii="Times New Roman" w:hAnsi="Times New Roman"/>
          <w:b/>
          <w:sz w:val="18"/>
          <w:szCs w:val="18"/>
        </w:rPr>
        <w:t>PATENT, TRADEMARK, COPYRIGHT AND OTHER INFRINGEMENT CLAIMS</w:t>
      </w:r>
    </w:p>
    <w:p w14:paraId="16D6ABCE" w14:textId="77777777" w:rsidR="006F00B2" w:rsidRDefault="006F00B2" w:rsidP="006F00B2">
      <w:pPr>
        <w:numPr>
          <w:ilvl w:val="1"/>
          <w:numId w:val="14"/>
        </w:numPr>
        <w:tabs>
          <w:tab w:val="clear" w:pos="360"/>
          <w:tab w:val="left" w:pos="396"/>
          <w:tab w:val="num" w:pos="720"/>
          <w:tab w:val="left" w:pos="3708"/>
        </w:tabs>
        <w:spacing w:after="0"/>
        <w:jc w:val="both"/>
        <w:rPr>
          <w:rFonts w:ascii="Times New Roman" w:eastAsia="Times New Roman" w:hAnsi="Times New Roman" w:cs="Times New Roman"/>
          <w:spacing w:val="-1"/>
          <w:sz w:val="18"/>
          <w:szCs w:val="18"/>
        </w:rPr>
      </w:pPr>
      <w:r>
        <w:rPr>
          <w:rFonts w:ascii="Times New Roman" w:eastAsia="Times New Roman" w:hAnsi="Times New Roman" w:cs="Times New Roman"/>
          <w:sz w:val="18"/>
          <w:szCs w:val="18"/>
        </w:rPr>
        <w:t xml:space="preserve">Vendor shall indemnify, save and hold harmless the State of Texas from and against claims of patent, trademark, copyright trade secret or other proprietary rights, violations or infringements arising from the State’s or Vendor’s use of acquisition of any services or other items provided to the State of Texas by Vendor or otherwise to which the State of Texas has access as a result of Vendor’s performance under this Contract, provided that the State shall notify Vendor of any such claim within a reasonable time of the State’s receiving  notice of any such claim. If Vendor is notified of any claim subject to this section, Vendor shall notify TWC of such claim within five (5) business days of such notice.  No settlement of any such claim shall be made by Vendor without TWC prior written approval. Vendor shall reimburse the State of Texas for any claims, damages, losses, costs, expenses, judgments or any other amounts, including but not limited to, attorney’s fees and court costs, arising from such claim. Vendor shall pay all reasonable costs of the State’s counsel and shall also pay costs of multiple counsel, if required to avoid conflicts of interest. </w:t>
      </w:r>
    </w:p>
    <w:p w14:paraId="4489CEAF" w14:textId="77777777" w:rsidR="006F00B2" w:rsidRDefault="006F00B2" w:rsidP="006F00B2">
      <w:pPr>
        <w:numPr>
          <w:ilvl w:val="1"/>
          <w:numId w:val="14"/>
        </w:numPr>
        <w:tabs>
          <w:tab w:val="clear" w:pos="360"/>
          <w:tab w:val="left" w:pos="396"/>
          <w:tab w:val="num" w:pos="720"/>
          <w:tab w:val="left" w:pos="3708"/>
        </w:tabs>
        <w:spacing w:after="0"/>
        <w:jc w:val="both"/>
        <w:rPr>
          <w:rFonts w:ascii="Times New Roman" w:eastAsia="Times New Roman" w:hAnsi="Times New Roman" w:cs="Times New Roman"/>
          <w:spacing w:val="-1"/>
          <w:sz w:val="18"/>
          <w:szCs w:val="18"/>
        </w:rPr>
      </w:pPr>
      <w:r>
        <w:rPr>
          <w:rFonts w:ascii="Times New Roman" w:eastAsia="Times New Roman" w:hAnsi="Times New Roman" w:cs="Times New Roman"/>
          <w:sz w:val="18"/>
          <w:szCs w:val="18"/>
        </w:rPr>
        <w:t>Should the goods, or use of the goods, become the subject of a claim of infringement of a United States patent, trademark, copyright, trade secret or other proprietary rights</w:t>
      </w:r>
      <w:r>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TWC may require the Vendor to procure for TWC the right to continue using the goods, to replace or modify the same to remove the infringement, or to accept return of the goods.</w:t>
      </w:r>
    </w:p>
    <w:p w14:paraId="75CAE909" w14:textId="77777777" w:rsidR="006F00B2" w:rsidRDefault="006F00B2" w:rsidP="006F00B2">
      <w:pPr>
        <w:numPr>
          <w:ilvl w:val="1"/>
          <w:numId w:val="14"/>
        </w:numPr>
        <w:tabs>
          <w:tab w:val="clear" w:pos="360"/>
          <w:tab w:val="left" w:pos="396"/>
          <w:tab w:val="num" w:pos="720"/>
          <w:tab w:val="left" w:pos="3708"/>
        </w:tabs>
        <w:spacing w:after="0"/>
        <w:jc w:val="both"/>
        <w:rPr>
          <w:rFonts w:ascii="Times New Roman" w:eastAsia="Times New Roman" w:hAnsi="Times New Roman" w:cs="Times New Roman"/>
          <w:spacing w:val="-1"/>
          <w:sz w:val="18"/>
          <w:szCs w:val="18"/>
        </w:rPr>
      </w:pPr>
      <w:r>
        <w:rPr>
          <w:rFonts w:ascii="Times New Roman" w:eastAsia="Times New Roman" w:hAnsi="Times New Roman" w:cs="Times New Roman"/>
          <w:sz w:val="18"/>
          <w:szCs w:val="18"/>
        </w:rPr>
        <w:t>Vendor represents that it has determined what licenses, patents and permits are required under this Contract and has acquired all such licenses, patents and permits.</w:t>
      </w:r>
    </w:p>
    <w:p w14:paraId="30442EDE" w14:textId="045AF9D5" w:rsidR="00F41FB2" w:rsidRPr="00BD66F6" w:rsidRDefault="006F00B2" w:rsidP="006F00B2">
      <w:pPr>
        <w:numPr>
          <w:ilvl w:val="1"/>
          <w:numId w:val="14"/>
        </w:numPr>
        <w:tabs>
          <w:tab w:val="left" w:pos="396"/>
          <w:tab w:val="left" w:pos="3708"/>
        </w:tabs>
        <w:spacing w:after="0"/>
        <w:jc w:val="both"/>
        <w:rPr>
          <w:rFonts w:ascii="Times New Roman" w:hAnsi="Times New Roman"/>
          <w:spacing w:val="-1"/>
          <w:sz w:val="18"/>
          <w:szCs w:val="18"/>
        </w:rPr>
      </w:pPr>
      <w:r>
        <w:rPr>
          <w:rFonts w:ascii="Times New Roman" w:eastAsia="Times New Roman" w:hAnsi="Times New Roman" w:cs="Times New Roman"/>
          <w:sz w:val="18"/>
          <w:szCs w:val="18"/>
        </w:rPr>
        <w:t>Vendor agrees that for the exclusive use by TWC for State business, TWC is free to reproduce without royalty, all manuals, publications, main</w:t>
      </w:r>
      <w:r>
        <w:rPr>
          <w:rFonts w:ascii="Times New Roman" w:eastAsia="Times New Roman" w:hAnsi="Times New Roman" w:cs="Times New Roman"/>
          <w:sz w:val="18"/>
          <w:szCs w:val="18"/>
        </w:rPr>
        <w:softHyphen/>
        <w:t>tenance programs, diagnostics and docu</w:t>
      </w:r>
      <w:r>
        <w:rPr>
          <w:rFonts w:ascii="Times New Roman" w:eastAsia="Times New Roman" w:hAnsi="Times New Roman" w:cs="Times New Roman"/>
          <w:sz w:val="18"/>
          <w:szCs w:val="18"/>
        </w:rPr>
        <w:softHyphen/>
        <w:t>men</w:t>
      </w:r>
      <w:r>
        <w:rPr>
          <w:rFonts w:ascii="Times New Roman" w:eastAsia="Times New Roman" w:hAnsi="Times New Roman" w:cs="Times New Roman"/>
          <w:sz w:val="18"/>
          <w:szCs w:val="18"/>
        </w:rPr>
        <w:softHyphen/>
        <w:t>tation pertaining to any product developed as a result of the contract</w:t>
      </w:r>
      <w:r w:rsidR="00F41FB2" w:rsidRPr="00BD66F6">
        <w:rPr>
          <w:rFonts w:ascii="Times New Roman" w:hAnsi="Times New Roman"/>
          <w:sz w:val="18"/>
          <w:szCs w:val="18"/>
        </w:rPr>
        <w:t>.</w:t>
      </w:r>
    </w:p>
    <w:p w14:paraId="42C6B611" w14:textId="77777777" w:rsidR="00F41FB2" w:rsidRPr="00BD66F6" w:rsidRDefault="00F41FB2" w:rsidP="00F407CA">
      <w:pPr>
        <w:numPr>
          <w:ilvl w:val="0"/>
          <w:numId w:val="14"/>
        </w:numPr>
        <w:pBdr>
          <w:top w:val="single" w:sz="4" w:space="1" w:color="auto"/>
          <w:bottom w:val="single" w:sz="4" w:space="1" w:color="auto"/>
        </w:pBdr>
        <w:tabs>
          <w:tab w:val="left" w:pos="396"/>
          <w:tab w:val="left" w:pos="3708"/>
        </w:tabs>
        <w:spacing w:after="0"/>
        <w:jc w:val="both"/>
        <w:rPr>
          <w:rFonts w:ascii="Times New Roman" w:hAnsi="Times New Roman"/>
          <w:b/>
          <w:spacing w:val="-1"/>
          <w:sz w:val="18"/>
          <w:szCs w:val="18"/>
        </w:rPr>
      </w:pPr>
      <w:r w:rsidRPr="00BD66F6">
        <w:rPr>
          <w:rFonts w:ascii="Times New Roman" w:hAnsi="Times New Roman"/>
          <w:b/>
          <w:spacing w:val="-1"/>
          <w:sz w:val="18"/>
          <w:szCs w:val="18"/>
        </w:rPr>
        <w:t>TERMINATION PROVISIONS</w:t>
      </w:r>
    </w:p>
    <w:p w14:paraId="6597EA10" w14:textId="77777777" w:rsidR="006F00B2" w:rsidRDefault="006F00B2" w:rsidP="006F00B2">
      <w:pPr>
        <w:widowControl w:val="0"/>
        <w:numPr>
          <w:ilvl w:val="1"/>
          <w:numId w:val="14"/>
        </w:numPr>
        <w:tabs>
          <w:tab w:val="clear" w:pos="360"/>
          <w:tab w:val="left" w:pos="396"/>
          <w:tab w:val="num" w:pos="720"/>
          <w:tab w:val="left" w:pos="3708"/>
        </w:tabs>
        <w:spacing w:after="0"/>
        <w:jc w:val="both"/>
        <w:rPr>
          <w:rFonts w:ascii="Times New Roman" w:eastAsia="Times New Roman" w:hAnsi="Times New Roman" w:cs="Times New Roman"/>
          <w:spacing w:val="-1"/>
          <w:sz w:val="18"/>
          <w:szCs w:val="18"/>
        </w:rPr>
      </w:pPr>
      <w:r>
        <w:rPr>
          <w:rFonts w:ascii="Times New Roman" w:eastAsia="Times New Roman" w:hAnsi="Times New Roman" w:cs="Times New Roman"/>
          <w:spacing w:val="-1"/>
          <w:sz w:val="18"/>
          <w:szCs w:val="18"/>
        </w:rPr>
        <w:t>TWC reserves the right to immediately terminate any PO or contract resulting from or connected to this solicitation, in whole or in part, without recourse or penalty for breach of contract by the Vendor.</w:t>
      </w:r>
    </w:p>
    <w:p w14:paraId="2568BC69" w14:textId="0FFB5549" w:rsidR="00F41FB2" w:rsidRPr="00BD66F6" w:rsidRDefault="006F00B2" w:rsidP="006F00B2">
      <w:pPr>
        <w:widowControl w:val="0"/>
        <w:numPr>
          <w:ilvl w:val="1"/>
          <w:numId w:val="14"/>
        </w:numPr>
        <w:tabs>
          <w:tab w:val="left" w:pos="396"/>
          <w:tab w:val="left" w:pos="3708"/>
        </w:tabs>
        <w:spacing w:after="0"/>
        <w:jc w:val="both"/>
        <w:rPr>
          <w:rFonts w:ascii="Times New Roman" w:hAnsi="Times New Roman"/>
          <w:spacing w:val="-1"/>
          <w:sz w:val="18"/>
          <w:szCs w:val="18"/>
        </w:rPr>
      </w:pPr>
      <w:r>
        <w:rPr>
          <w:rFonts w:ascii="Times New Roman" w:eastAsia="Times New Roman" w:hAnsi="Times New Roman" w:cs="Times New Roman"/>
          <w:spacing w:val="-1"/>
          <w:sz w:val="18"/>
          <w:szCs w:val="18"/>
        </w:rPr>
        <w:t>TWC reserves the right to terminate for convenience any PO or contract resulting from or connected to this solicitation, in whole or in part, without recourse or penalty upon TWC within thirty (30) days written notice, including but not limited to the following reasons</w:t>
      </w:r>
      <w:r w:rsidR="00F41FB2" w:rsidRPr="00BD66F6">
        <w:rPr>
          <w:rFonts w:ascii="Times New Roman" w:hAnsi="Times New Roman"/>
          <w:spacing w:val="-1"/>
          <w:sz w:val="18"/>
          <w:szCs w:val="18"/>
        </w:rPr>
        <w:t>:</w:t>
      </w:r>
    </w:p>
    <w:p w14:paraId="3E10D7B8" w14:textId="7F881E1E" w:rsidR="00F41FB2" w:rsidRPr="00BD66F6" w:rsidRDefault="006F00B2" w:rsidP="00F407CA">
      <w:pPr>
        <w:widowControl w:val="0"/>
        <w:numPr>
          <w:ilvl w:val="2"/>
          <w:numId w:val="14"/>
        </w:numPr>
        <w:tabs>
          <w:tab w:val="clear" w:pos="504"/>
        </w:tabs>
        <w:spacing w:after="0"/>
        <w:ind w:left="900" w:hanging="540"/>
        <w:jc w:val="both"/>
        <w:rPr>
          <w:rFonts w:ascii="Times New Roman" w:hAnsi="Times New Roman"/>
          <w:spacing w:val="-1"/>
          <w:sz w:val="18"/>
          <w:szCs w:val="18"/>
        </w:rPr>
      </w:pPr>
      <w:r>
        <w:rPr>
          <w:rFonts w:ascii="Times New Roman" w:eastAsia="Times New Roman" w:hAnsi="Times New Roman" w:cs="Times New Roman"/>
          <w:spacing w:val="-1"/>
          <w:sz w:val="18"/>
          <w:szCs w:val="18"/>
        </w:rPr>
        <w:t>Failure to obtain or sustain funding from either Federal or State funding sources</w:t>
      </w:r>
      <w:r w:rsidR="00F41FB2" w:rsidRPr="00BD66F6">
        <w:rPr>
          <w:rFonts w:ascii="Times New Roman" w:hAnsi="Times New Roman"/>
          <w:spacing w:val="-1"/>
          <w:sz w:val="18"/>
          <w:szCs w:val="18"/>
        </w:rPr>
        <w:t>.</w:t>
      </w:r>
    </w:p>
    <w:p w14:paraId="273083F0" w14:textId="4B58ADEC" w:rsidR="00F41FB2" w:rsidRPr="00BD66F6" w:rsidRDefault="006F00B2" w:rsidP="00F407CA">
      <w:pPr>
        <w:widowControl w:val="0"/>
        <w:numPr>
          <w:ilvl w:val="2"/>
          <w:numId w:val="14"/>
        </w:numPr>
        <w:tabs>
          <w:tab w:val="clear" w:pos="504"/>
        </w:tabs>
        <w:spacing w:after="0"/>
        <w:ind w:left="900" w:hanging="540"/>
        <w:jc w:val="both"/>
        <w:rPr>
          <w:rFonts w:ascii="Times New Roman" w:hAnsi="Times New Roman"/>
          <w:spacing w:val="-1"/>
          <w:sz w:val="18"/>
          <w:szCs w:val="18"/>
        </w:rPr>
      </w:pPr>
      <w:r>
        <w:rPr>
          <w:rFonts w:ascii="Times New Roman" w:eastAsia="Times New Roman" w:hAnsi="Times New Roman" w:cs="Times New Roman"/>
          <w:spacing w:val="-1"/>
          <w:sz w:val="18"/>
          <w:szCs w:val="18"/>
        </w:rPr>
        <w:t>Amendment or judicial interpretation of State or Federal laws or regulations that render fulfillment of the contract substantially unreasonable, impossible, or unnecessary</w:t>
      </w:r>
      <w:r w:rsidR="00F41FB2" w:rsidRPr="00BD66F6">
        <w:rPr>
          <w:rFonts w:ascii="Times New Roman" w:hAnsi="Times New Roman"/>
          <w:spacing w:val="-1"/>
          <w:sz w:val="18"/>
          <w:szCs w:val="18"/>
        </w:rPr>
        <w:t>.</w:t>
      </w:r>
    </w:p>
    <w:p w14:paraId="3F95B2BD" w14:textId="35F2EB03" w:rsidR="006F00B2" w:rsidRDefault="006F00B2" w:rsidP="006F00B2">
      <w:pPr>
        <w:widowControl w:val="0"/>
        <w:numPr>
          <w:ilvl w:val="1"/>
          <w:numId w:val="14"/>
        </w:numPr>
        <w:tabs>
          <w:tab w:val="clear" w:pos="360"/>
          <w:tab w:val="left" w:pos="396"/>
          <w:tab w:val="num" w:pos="720"/>
          <w:tab w:val="left" w:pos="3708"/>
        </w:tabs>
        <w:spacing w:after="0"/>
        <w:jc w:val="both"/>
        <w:rPr>
          <w:rFonts w:ascii="Times New Roman" w:eastAsia="Times New Roman" w:hAnsi="Times New Roman" w:cs="Times New Roman"/>
          <w:spacing w:val="-1"/>
          <w:sz w:val="18"/>
          <w:szCs w:val="18"/>
        </w:rPr>
      </w:pPr>
      <w:r>
        <w:rPr>
          <w:rFonts w:ascii="Times New Roman" w:eastAsia="Times New Roman" w:hAnsi="Times New Roman" w:cs="Times New Roman"/>
          <w:spacing w:val="-1"/>
          <w:sz w:val="18"/>
          <w:szCs w:val="18"/>
        </w:rPr>
        <w:t xml:space="preserve">In the event of termination of the contract due to lack of funding or for the convenience of TWC, Vendor must, unless otherwise mutually agreed upon in writing, cease all work immediately upon the effective date of termination.  A settlement </w:t>
      </w:r>
      <w:r w:rsidR="00AE63F4">
        <w:rPr>
          <w:rFonts w:ascii="Times New Roman" w:eastAsia="Times New Roman" w:hAnsi="Times New Roman" w:cs="Times New Roman"/>
          <w:spacing w:val="-1"/>
          <w:sz w:val="18"/>
          <w:szCs w:val="18"/>
        </w:rPr>
        <w:t xml:space="preserve">may </w:t>
      </w:r>
      <w:r>
        <w:rPr>
          <w:rFonts w:ascii="Times New Roman" w:eastAsia="Times New Roman" w:hAnsi="Times New Roman" w:cs="Times New Roman"/>
          <w:spacing w:val="-1"/>
          <w:sz w:val="18"/>
          <w:szCs w:val="18"/>
        </w:rPr>
        <w:t>be made based on respective interests of the parties as of the date of termination.</w:t>
      </w:r>
    </w:p>
    <w:p w14:paraId="6CF6CBA2" w14:textId="77777777" w:rsidR="006F00B2" w:rsidRDefault="006F00B2" w:rsidP="006F00B2">
      <w:pPr>
        <w:widowControl w:val="0"/>
        <w:numPr>
          <w:ilvl w:val="1"/>
          <w:numId w:val="14"/>
        </w:numPr>
        <w:tabs>
          <w:tab w:val="clear" w:pos="360"/>
          <w:tab w:val="left" w:pos="396"/>
          <w:tab w:val="num" w:pos="720"/>
          <w:tab w:val="left" w:pos="3708"/>
        </w:tabs>
        <w:spacing w:after="0"/>
        <w:jc w:val="both"/>
        <w:rPr>
          <w:rFonts w:ascii="Times New Roman" w:eastAsia="Times New Roman" w:hAnsi="Times New Roman" w:cs="Times New Roman"/>
          <w:spacing w:val="-1"/>
          <w:sz w:val="18"/>
          <w:szCs w:val="18"/>
        </w:rPr>
      </w:pPr>
      <w:r>
        <w:rPr>
          <w:rFonts w:ascii="Times New Roman" w:eastAsia="Times New Roman" w:hAnsi="Times New Roman" w:cs="Times New Roman"/>
          <w:spacing w:val="-1"/>
          <w:sz w:val="18"/>
          <w:szCs w:val="18"/>
        </w:rPr>
        <w:t>TWC expressly reserves any and all legal remedies to which it may be entitled to collect related to any and all damages directly or indirectly resulting from breach of contract, by the Vendor or any of its agents, representatives, subcontractors, employees, or any other party acting on behalf the Vendor.</w:t>
      </w:r>
    </w:p>
    <w:p w14:paraId="6875EFE1" w14:textId="52EEF0EC" w:rsidR="00F41FB2" w:rsidRPr="00BD66F6" w:rsidRDefault="006F00B2" w:rsidP="006F00B2">
      <w:pPr>
        <w:widowControl w:val="0"/>
        <w:numPr>
          <w:ilvl w:val="1"/>
          <w:numId w:val="14"/>
        </w:numPr>
        <w:tabs>
          <w:tab w:val="left" w:pos="396"/>
          <w:tab w:val="left" w:pos="3708"/>
        </w:tabs>
        <w:spacing w:after="0"/>
        <w:jc w:val="both"/>
        <w:rPr>
          <w:rFonts w:ascii="Times New Roman" w:hAnsi="Times New Roman"/>
          <w:spacing w:val="-1"/>
          <w:sz w:val="18"/>
          <w:szCs w:val="18"/>
        </w:rPr>
      </w:pPr>
      <w:r>
        <w:rPr>
          <w:rFonts w:ascii="Times New Roman" w:eastAsia="Times New Roman" w:hAnsi="Times New Roman" w:cs="Times New Roman"/>
          <w:spacing w:val="-1"/>
          <w:sz w:val="18"/>
          <w:szCs w:val="18"/>
        </w:rPr>
        <w:t>TWC shall retain ownership of all work products including deliverables, source and object code, and documentation in whatever form that they exist.  In addition to any other provision, the Vendor shall transfer title and deliver to the TWC any partially completed work products, deliverables, source and object code, or documentation that the Vendor has produced or acquired in the performance of the contract.</w:t>
      </w:r>
    </w:p>
    <w:p w14:paraId="1734A32C" w14:textId="77777777" w:rsidR="00F41FB2" w:rsidRPr="00BD66F6" w:rsidRDefault="00F41FB2" w:rsidP="00F407CA">
      <w:pPr>
        <w:widowControl w:val="0"/>
        <w:numPr>
          <w:ilvl w:val="0"/>
          <w:numId w:val="14"/>
        </w:numPr>
        <w:pBdr>
          <w:top w:val="single" w:sz="4" w:space="1" w:color="auto"/>
          <w:bottom w:val="single" w:sz="4" w:space="1" w:color="auto"/>
        </w:pBdr>
        <w:tabs>
          <w:tab w:val="left" w:pos="3708"/>
        </w:tabs>
        <w:spacing w:after="0"/>
        <w:jc w:val="both"/>
        <w:rPr>
          <w:rFonts w:ascii="Times New Roman" w:hAnsi="Times New Roman"/>
          <w:b/>
          <w:spacing w:val="-1"/>
          <w:sz w:val="18"/>
          <w:szCs w:val="18"/>
        </w:rPr>
      </w:pPr>
      <w:r w:rsidRPr="00BD66F6">
        <w:rPr>
          <w:rFonts w:ascii="Times New Roman" w:hAnsi="Times New Roman"/>
          <w:b/>
          <w:spacing w:val="-1"/>
          <w:sz w:val="18"/>
          <w:szCs w:val="18"/>
        </w:rPr>
        <w:t>INFORMATION TECHNOLOGY (IT) PURCHASES:</w:t>
      </w:r>
    </w:p>
    <w:p w14:paraId="5F88DD01" w14:textId="77777777" w:rsidR="006F00B2" w:rsidRDefault="006F00B2" w:rsidP="006F00B2">
      <w:pPr>
        <w:widowControl w:val="0"/>
        <w:numPr>
          <w:ilvl w:val="1"/>
          <w:numId w:val="55"/>
        </w:numPr>
        <w:tabs>
          <w:tab w:val="left" w:pos="396"/>
          <w:tab w:val="left" w:pos="3708"/>
        </w:tabs>
        <w:spacing w:after="0"/>
        <w:jc w:val="both"/>
        <w:rPr>
          <w:rFonts w:ascii="Times New Roman" w:eastAsia="Times New Roman" w:hAnsi="Times New Roman" w:cs="Times New Roman"/>
          <w:spacing w:val="-1"/>
          <w:sz w:val="18"/>
          <w:szCs w:val="18"/>
        </w:rPr>
      </w:pPr>
      <w:r>
        <w:rPr>
          <w:rFonts w:ascii="Times New Roman" w:eastAsia="Times New Roman" w:hAnsi="Times New Roman" w:cs="Times New Roman"/>
          <w:spacing w:val="-1"/>
          <w:sz w:val="18"/>
          <w:szCs w:val="18"/>
        </w:rPr>
        <w:t>During the term of the contract, the Vendor must notify TWC whenever an engineering change is made that may affect TWC's use of the product.  It will be the sole option of TWC to accept the change.</w:t>
      </w:r>
    </w:p>
    <w:p w14:paraId="20934A2E" w14:textId="77777777" w:rsidR="006F00B2" w:rsidRDefault="006F00B2" w:rsidP="006F00B2">
      <w:pPr>
        <w:widowControl w:val="0"/>
        <w:numPr>
          <w:ilvl w:val="1"/>
          <w:numId w:val="55"/>
        </w:numPr>
        <w:tabs>
          <w:tab w:val="left" w:pos="396"/>
          <w:tab w:val="left" w:pos="3708"/>
        </w:tabs>
        <w:spacing w:after="0"/>
        <w:jc w:val="both"/>
        <w:rPr>
          <w:rFonts w:ascii="Times New Roman" w:eastAsia="Times New Roman" w:hAnsi="Times New Roman" w:cs="Times New Roman"/>
          <w:spacing w:val="-1"/>
          <w:sz w:val="18"/>
          <w:szCs w:val="18"/>
        </w:rPr>
      </w:pPr>
      <w:r>
        <w:rPr>
          <w:rFonts w:ascii="Times New Roman" w:eastAsia="Times New Roman" w:hAnsi="Times New Roman" w:cs="Times New Roman"/>
          <w:spacing w:val="-1"/>
          <w:sz w:val="18"/>
          <w:szCs w:val="18"/>
        </w:rPr>
        <w:t xml:space="preserve">Vendor represents that the product and all its elements, including, but not limited to, documentation and source code, meet the standards issued by </w:t>
      </w:r>
      <w:r>
        <w:rPr>
          <w:rFonts w:ascii="Times New Roman" w:eastAsia="Times New Roman" w:hAnsi="Times New Roman" w:cs="Times New Roman"/>
          <w:spacing w:val="-1"/>
          <w:sz w:val="18"/>
          <w:szCs w:val="18"/>
        </w:rPr>
        <w:lastRenderedPageBreak/>
        <w:t>the American National Standards Institute.</w:t>
      </w:r>
    </w:p>
    <w:p w14:paraId="4D917FE1" w14:textId="77777777" w:rsidR="006F00B2" w:rsidRDefault="006F00B2" w:rsidP="006F00B2">
      <w:pPr>
        <w:widowControl w:val="0"/>
        <w:numPr>
          <w:ilvl w:val="1"/>
          <w:numId w:val="55"/>
        </w:numPr>
        <w:tabs>
          <w:tab w:val="left" w:pos="396"/>
          <w:tab w:val="left" w:pos="3708"/>
        </w:tabs>
        <w:spacing w:after="0"/>
        <w:jc w:val="both"/>
        <w:rPr>
          <w:rFonts w:ascii="Times New Roman" w:eastAsia="Times New Roman" w:hAnsi="Times New Roman" w:cs="Times New Roman"/>
          <w:spacing w:val="-1"/>
          <w:sz w:val="18"/>
          <w:szCs w:val="18"/>
        </w:rPr>
      </w:pPr>
      <w:r>
        <w:rPr>
          <w:rFonts w:ascii="Times New Roman" w:eastAsia="Times New Roman" w:hAnsi="Times New Roman" w:cs="Times New Roman"/>
          <w:spacing w:val="-1"/>
          <w:sz w:val="18"/>
          <w:szCs w:val="18"/>
        </w:rPr>
        <w:t xml:space="preserve">Vendor agrees that TWC owns the source code to any jointly-developed application(s) resulting from the contract. </w:t>
      </w:r>
    </w:p>
    <w:p w14:paraId="61E3CB47" w14:textId="77777777" w:rsidR="006F00B2" w:rsidRDefault="006F00B2" w:rsidP="006F00B2">
      <w:pPr>
        <w:widowControl w:val="0"/>
        <w:numPr>
          <w:ilvl w:val="1"/>
          <w:numId w:val="56"/>
        </w:numPr>
        <w:tabs>
          <w:tab w:val="left" w:pos="360"/>
        </w:tabs>
        <w:spacing w:after="0"/>
        <w:ind w:right="36"/>
        <w:jc w:val="both"/>
        <w:rPr>
          <w:rFonts w:ascii="Times New Roman" w:eastAsia="Times New Roman" w:hAnsi="Times New Roman" w:cs="Times New Roman"/>
          <w:snapToGrid w:val="0"/>
          <w:sz w:val="18"/>
          <w:szCs w:val="18"/>
        </w:rPr>
      </w:pPr>
      <w:r>
        <w:rPr>
          <w:rFonts w:ascii="Times New Roman" w:eastAsia="Times New Roman" w:hAnsi="Times New Roman" w:cs="Times New Roman"/>
          <w:snapToGrid w:val="0"/>
          <w:sz w:val="18"/>
          <w:szCs w:val="18"/>
        </w:rPr>
        <w:t>As required by 1 TAC, Chapter 213:</w:t>
      </w:r>
    </w:p>
    <w:p w14:paraId="7AFA5C40" w14:textId="77777777" w:rsidR="006F00B2" w:rsidRPr="00AC1D7D" w:rsidRDefault="006F00B2" w:rsidP="00AC1D7D">
      <w:pPr>
        <w:widowControl w:val="0"/>
        <w:numPr>
          <w:ilvl w:val="2"/>
          <w:numId w:val="56"/>
        </w:numPr>
        <w:tabs>
          <w:tab w:val="clear" w:pos="360"/>
        </w:tabs>
        <w:spacing w:after="0"/>
        <w:ind w:left="900" w:right="36" w:hanging="540"/>
        <w:jc w:val="both"/>
        <w:rPr>
          <w:rFonts w:ascii="Times New Roman" w:hAnsi="Times New Roman"/>
          <w:snapToGrid w:val="0"/>
          <w:sz w:val="18"/>
          <w:szCs w:val="18"/>
        </w:rPr>
      </w:pPr>
      <w:r w:rsidRPr="00AC1D7D">
        <w:rPr>
          <w:rFonts w:ascii="Times New Roman" w:hAnsi="Times New Roman"/>
          <w:snapToGrid w:val="0"/>
          <w:sz w:val="18"/>
          <w:szCs w:val="18"/>
        </w:rPr>
        <w:t>Effective September 1, 2006, state agencies shall procure products which comply with the State of Texas Accessibility requirements for Electronic and Information Resources specified in 1 TAC, Chapter 213 when such products are available in the commercial marketplace or when such products are developed in response to a procurement solicitation.</w:t>
      </w:r>
    </w:p>
    <w:p w14:paraId="71B1EDF2" w14:textId="77777777" w:rsidR="006F00B2" w:rsidRPr="00AC1D7D" w:rsidRDefault="006F00B2" w:rsidP="00AC1D7D">
      <w:pPr>
        <w:widowControl w:val="0"/>
        <w:numPr>
          <w:ilvl w:val="2"/>
          <w:numId w:val="56"/>
        </w:numPr>
        <w:tabs>
          <w:tab w:val="clear" w:pos="360"/>
        </w:tabs>
        <w:spacing w:after="0"/>
        <w:ind w:left="900" w:right="36" w:hanging="540"/>
        <w:jc w:val="both"/>
        <w:rPr>
          <w:rFonts w:ascii="Times New Roman" w:hAnsi="Times New Roman"/>
          <w:snapToGrid w:val="0"/>
          <w:sz w:val="18"/>
          <w:szCs w:val="18"/>
        </w:rPr>
      </w:pPr>
      <w:r w:rsidRPr="00AC1D7D">
        <w:rPr>
          <w:rFonts w:ascii="Times New Roman" w:hAnsi="Times New Roman"/>
          <w:snapToGrid w:val="0"/>
          <w:sz w:val="18"/>
          <w:szCs w:val="18"/>
        </w:rPr>
        <w:t>Vendor shall provide TWC with the URL to its Voluntary Product Accessibility Template (VPAT) for reviewing compliance with the State of Texas Accessibility requirements (based on the federal standards established under Section 508 of the Rehabilitation Act of 1973, as amended (29 USC § 794d)), or indicate that the product/services accessibility information is available from the General Services Administration “Buy Accessible Wizard” (</w:t>
      </w:r>
      <w:hyperlink r:id="rId51" w:history="1">
        <w:r w:rsidRPr="00AC1D7D">
          <w:rPr>
            <w:rFonts w:ascii="Times New Roman" w:hAnsi="Times New Roman"/>
            <w:snapToGrid w:val="0"/>
            <w:sz w:val="18"/>
            <w:szCs w:val="18"/>
          </w:rPr>
          <w:t>http://www.buyaccessible.gov</w:t>
        </w:r>
      </w:hyperlink>
      <w:r w:rsidRPr="00AC1D7D">
        <w:rPr>
          <w:rFonts w:ascii="Times New Roman" w:hAnsi="Times New Roman"/>
          <w:snapToGrid w:val="0"/>
          <w:sz w:val="18"/>
          <w:szCs w:val="18"/>
        </w:rPr>
        <w:t>). Vendors not listed with the “Buy Accessible Wizard” or supplying a URL to their VPAT must provide TWC with a report that addresses the same accessibility criteria in substantively the same format. Additional information regarding the “Buy Accessible Wizard” or obtaining a copy of the VPAT is located at http://www.section 508.gov/.</w:t>
      </w:r>
    </w:p>
    <w:p w14:paraId="52024FEE" w14:textId="77777777" w:rsidR="006F00B2" w:rsidRPr="00AC1D7D" w:rsidRDefault="006F00B2" w:rsidP="00AC1D7D">
      <w:pPr>
        <w:widowControl w:val="0"/>
        <w:numPr>
          <w:ilvl w:val="2"/>
          <w:numId w:val="56"/>
        </w:numPr>
        <w:tabs>
          <w:tab w:val="clear" w:pos="360"/>
        </w:tabs>
        <w:spacing w:after="0"/>
        <w:ind w:left="900" w:right="36" w:hanging="540"/>
        <w:jc w:val="both"/>
        <w:rPr>
          <w:rFonts w:ascii="Times New Roman" w:hAnsi="Times New Roman"/>
          <w:snapToGrid w:val="0"/>
          <w:sz w:val="18"/>
          <w:szCs w:val="18"/>
        </w:rPr>
      </w:pPr>
      <w:r w:rsidRPr="00AC1D7D">
        <w:rPr>
          <w:rFonts w:ascii="Times New Roman" w:hAnsi="Times New Roman"/>
          <w:snapToGrid w:val="0"/>
          <w:sz w:val="18"/>
          <w:szCs w:val="18"/>
        </w:rPr>
        <w:t>TWC will use either VPAT or the Buy Accessible Wizard to assess the degree of accessibility of a proposed product when making the procurement decision.</w:t>
      </w:r>
    </w:p>
    <w:p w14:paraId="05A7B01E" w14:textId="3DC13068" w:rsidR="00F41FB2" w:rsidRPr="00BD66F6" w:rsidRDefault="006F00B2" w:rsidP="006F00B2">
      <w:pPr>
        <w:widowControl w:val="0"/>
        <w:numPr>
          <w:ilvl w:val="1"/>
          <w:numId w:val="15"/>
        </w:numPr>
        <w:spacing w:after="0"/>
        <w:ind w:right="36"/>
        <w:jc w:val="both"/>
        <w:rPr>
          <w:rFonts w:ascii="Times New Roman" w:hAnsi="Times New Roman"/>
          <w:snapToGrid w:val="0"/>
          <w:sz w:val="18"/>
          <w:szCs w:val="18"/>
        </w:rPr>
      </w:pPr>
      <w:r>
        <w:rPr>
          <w:rFonts w:ascii="Times New Roman" w:eastAsia="Times New Roman" w:hAnsi="Times New Roman" w:cs="Times New Roman"/>
          <w:snapToGrid w:val="0"/>
          <w:sz w:val="18"/>
          <w:szCs w:val="18"/>
        </w:rPr>
        <w:t>Vendor shall follow Web Content and Accessibility Guidelines. (WCAG 2.0) as applicable for new websites, applications or redesigns</w:t>
      </w:r>
      <w:r w:rsidR="00F41FB2" w:rsidRPr="00BD66F6">
        <w:rPr>
          <w:rFonts w:ascii="Times New Roman" w:hAnsi="Times New Roman"/>
          <w:snapToGrid w:val="0"/>
          <w:sz w:val="18"/>
          <w:szCs w:val="18"/>
        </w:rPr>
        <w:t xml:space="preserve">. </w:t>
      </w:r>
    </w:p>
    <w:p w14:paraId="0D1C127E" w14:textId="77777777" w:rsidR="00F41FB2" w:rsidRPr="00BD66F6" w:rsidRDefault="00F41FB2" w:rsidP="00F407CA">
      <w:pPr>
        <w:widowControl w:val="0"/>
        <w:numPr>
          <w:ilvl w:val="1"/>
          <w:numId w:val="15"/>
        </w:numPr>
        <w:spacing w:after="0"/>
        <w:contextualSpacing/>
        <w:rPr>
          <w:rFonts w:ascii="Times New Roman" w:hAnsi="Times New Roman"/>
          <w:sz w:val="18"/>
          <w:szCs w:val="18"/>
        </w:rPr>
      </w:pPr>
      <w:r w:rsidRPr="00BD66F6">
        <w:rPr>
          <w:rFonts w:ascii="Times New Roman" w:hAnsi="Times New Roman"/>
          <w:sz w:val="18"/>
          <w:szCs w:val="18"/>
        </w:rPr>
        <w:t>Texas Health and Safety Compliance</w:t>
      </w:r>
    </w:p>
    <w:p w14:paraId="08FE29F8" w14:textId="5A86B833" w:rsidR="00F41FB2" w:rsidRPr="00BD66F6" w:rsidRDefault="006F00B2" w:rsidP="00F407CA">
      <w:pPr>
        <w:widowControl w:val="0"/>
        <w:numPr>
          <w:ilvl w:val="2"/>
          <w:numId w:val="15"/>
        </w:numPr>
        <w:tabs>
          <w:tab w:val="clear" w:pos="360"/>
        </w:tabs>
        <w:spacing w:after="0"/>
        <w:ind w:left="900" w:hanging="540"/>
        <w:contextualSpacing/>
        <w:jc w:val="both"/>
        <w:rPr>
          <w:rFonts w:ascii="Times New Roman" w:hAnsi="Times New Roman"/>
          <w:sz w:val="18"/>
          <w:szCs w:val="18"/>
        </w:rPr>
      </w:pPr>
      <w:r>
        <w:rPr>
          <w:rFonts w:ascii="Times New Roman" w:eastAsia="Times New Roman" w:hAnsi="Times New Roman" w:cs="Times New Roman"/>
          <w:sz w:val="18"/>
          <w:szCs w:val="18"/>
        </w:rPr>
        <w:t>Vendor hereby certifies its compliance with Subchapter Y, Chapter 361, Texas Health and Safety Code and the Texas Commission on Environmental Quality rules, 30 TAC, Chapter 328</w:t>
      </w:r>
      <w:r w:rsidR="00F41FB2" w:rsidRPr="00BD66F6">
        <w:rPr>
          <w:rFonts w:ascii="Times New Roman" w:hAnsi="Times New Roman"/>
          <w:sz w:val="18"/>
          <w:szCs w:val="18"/>
        </w:rPr>
        <w:t xml:space="preserve">. </w:t>
      </w:r>
    </w:p>
    <w:p w14:paraId="199CB96E" w14:textId="1E5A8C95" w:rsidR="00F41FB2" w:rsidRPr="00BD66F6" w:rsidRDefault="006F00B2" w:rsidP="00F407CA">
      <w:pPr>
        <w:widowControl w:val="0"/>
        <w:numPr>
          <w:ilvl w:val="2"/>
          <w:numId w:val="15"/>
        </w:numPr>
        <w:tabs>
          <w:tab w:val="clear" w:pos="360"/>
        </w:tabs>
        <w:spacing w:after="0"/>
        <w:ind w:left="900" w:hanging="540"/>
        <w:contextualSpacing/>
        <w:jc w:val="both"/>
        <w:rPr>
          <w:rFonts w:ascii="Times New Roman" w:hAnsi="Times New Roman"/>
          <w:sz w:val="18"/>
          <w:szCs w:val="18"/>
        </w:rPr>
      </w:pPr>
      <w:r>
        <w:rPr>
          <w:rFonts w:ascii="Times New Roman" w:eastAsia="Times New Roman" w:hAnsi="Times New Roman" w:cs="Times New Roman"/>
          <w:sz w:val="18"/>
          <w:szCs w:val="18"/>
        </w:rPr>
        <w:t>Failure of a Vendor to provide this certification shall render the Vendor ineligible to participate in the bidding process. TWC shall reject the related bid and not evaluate it</w:t>
      </w:r>
      <w:r w:rsidR="00F41FB2" w:rsidRPr="00BD66F6">
        <w:rPr>
          <w:rFonts w:ascii="Times New Roman" w:hAnsi="Times New Roman"/>
          <w:sz w:val="18"/>
          <w:szCs w:val="18"/>
        </w:rPr>
        <w:t>.</w:t>
      </w:r>
    </w:p>
    <w:p w14:paraId="18A636B4" w14:textId="45FD80BE" w:rsidR="00CF20F5" w:rsidRPr="006F00B2" w:rsidRDefault="006F00B2" w:rsidP="0095525E">
      <w:pPr>
        <w:widowControl w:val="0"/>
        <w:numPr>
          <w:ilvl w:val="1"/>
          <w:numId w:val="15"/>
        </w:numPr>
        <w:spacing w:after="0"/>
        <w:jc w:val="both"/>
        <w:rPr>
          <w:rFonts w:ascii="Times New Roman" w:hAnsi="Times New Roman"/>
          <w:sz w:val="18"/>
          <w:szCs w:val="18"/>
        </w:rPr>
      </w:pPr>
      <w:r w:rsidRPr="006F00B2">
        <w:rPr>
          <w:rFonts w:ascii="Times New Roman" w:eastAsia="Times New Roman" w:hAnsi="Times New Roman" w:cs="Times New Roman"/>
          <w:bCs/>
          <w:sz w:val="18"/>
          <w:szCs w:val="18"/>
        </w:rPr>
        <w:t xml:space="preserve">Vendor </w:t>
      </w:r>
      <w:r w:rsidRPr="006F00B2">
        <w:rPr>
          <w:rFonts w:ascii="Times New Roman" w:eastAsia="Times New Roman" w:hAnsi="Times New Roman" w:cs="Times New Roman"/>
          <w:sz w:val="18"/>
          <w:szCs w:val="18"/>
        </w:rPr>
        <w:t>agrees that all products and/or services equipped with hard disk drives (i.e. computers, telephones, printers, fax machines, scanners, multifunction devices, etc.) shall have the capability to securely erase data written to the hard drive prior to final disposition of such products and/or services, either at the end of the Customer’s Managed Services product’s useful life or the end of the related Customer Managed Services Agreement for such products and/ services, in accordance with 1 TAC, Chapter  202</w:t>
      </w:r>
      <w:r w:rsidR="00F41FB2" w:rsidRPr="006F00B2">
        <w:rPr>
          <w:rFonts w:ascii="Times New Roman" w:hAnsi="Times New Roman"/>
          <w:sz w:val="18"/>
          <w:szCs w:val="18"/>
        </w:rPr>
        <w:t>.</w:t>
      </w:r>
    </w:p>
    <w:p w14:paraId="7236DFB6" w14:textId="047EAB3B" w:rsidR="00F41FB2" w:rsidRPr="00BD66F6" w:rsidRDefault="00F41FB2" w:rsidP="00F407CA">
      <w:pPr>
        <w:pStyle w:val="ListParagraph"/>
        <w:numPr>
          <w:ilvl w:val="0"/>
          <w:numId w:val="15"/>
        </w:numPr>
        <w:pBdr>
          <w:top w:val="single" w:sz="4" w:space="1" w:color="auto"/>
          <w:bottom w:val="single" w:sz="4" w:space="1" w:color="auto"/>
        </w:pBdr>
        <w:tabs>
          <w:tab w:val="left" w:pos="396"/>
          <w:tab w:val="left" w:pos="3708"/>
        </w:tabs>
        <w:spacing w:after="0"/>
        <w:rPr>
          <w:rFonts w:ascii="Times New Roman" w:hAnsi="Times New Roman"/>
          <w:b/>
          <w:sz w:val="18"/>
          <w:szCs w:val="18"/>
          <w:u w:val="single"/>
        </w:rPr>
      </w:pPr>
      <w:r w:rsidRPr="00BD66F6">
        <w:rPr>
          <w:rFonts w:ascii="Times New Roman" w:hAnsi="Times New Roman"/>
          <w:b/>
          <w:spacing w:val="-1"/>
          <w:sz w:val="18"/>
          <w:szCs w:val="18"/>
          <w:u w:val="single"/>
        </w:rPr>
        <w:t>***</w:t>
      </w:r>
      <w:r w:rsidR="006F00B2">
        <w:rPr>
          <w:rFonts w:ascii="Times New Roman" w:eastAsia="Times New Roman" w:hAnsi="Times New Roman" w:cs="Times New Roman"/>
          <w:b/>
          <w:spacing w:val="-1"/>
          <w:sz w:val="18"/>
          <w:szCs w:val="18"/>
          <w:u w:val="single"/>
        </w:rPr>
        <w:t>NOTE TO VENDORS: Any terms and conditions attached to a Vendor’s solicitation response will not be considered unless the Vendor specifically refers to them on the face of the first page of their response</w:t>
      </w:r>
      <w:r w:rsidRPr="00BD66F6">
        <w:rPr>
          <w:rFonts w:ascii="Times New Roman" w:hAnsi="Times New Roman"/>
          <w:b/>
          <w:spacing w:val="-1"/>
          <w:sz w:val="18"/>
          <w:szCs w:val="18"/>
          <w:u w:val="single"/>
        </w:rPr>
        <w:t>.</w:t>
      </w:r>
    </w:p>
    <w:p w14:paraId="0BCDF2C7" w14:textId="14769148" w:rsidR="002C6610" w:rsidRPr="00E20241" w:rsidRDefault="00F41FB2" w:rsidP="008122F2">
      <w:pPr>
        <w:widowControl w:val="0"/>
        <w:tabs>
          <w:tab w:val="left" w:pos="540"/>
        </w:tabs>
        <w:ind w:left="0"/>
        <w:jc w:val="both"/>
        <w:rPr>
          <w:rFonts w:ascii="Times New Roman" w:hAnsi="Times New Roman"/>
          <w:b/>
          <w:sz w:val="18"/>
          <w:szCs w:val="18"/>
          <w:u w:val="single"/>
        </w:rPr>
      </w:pPr>
      <w:r w:rsidRPr="0094526F">
        <w:rPr>
          <w:rFonts w:ascii="Times New Roman" w:hAnsi="Times New Roman"/>
          <w:b/>
          <w:spacing w:val="-1"/>
          <w:sz w:val="18"/>
          <w:szCs w:val="18"/>
        </w:rPr>
        <w:t xml:space="preserve">***WARNING:  </w:t>
      </w:r>
      <w:r w:rsidR="006F00B2">
        <w:rPr>
          <w:rFonts w:ascii="Times New Roman" w:eastAsia="Times New Roman" w:hAnsi="Times New Roman" w:cs="Times New Roman"/>
          <w:b/>
          <w:spacing w:val="-1"/>
          <w:sz w:val="18"/>
          <w:szCs w:val="18"/>
          <w:u w:val="single"/>
        </w:rPr>
        <w:t>Such terms and conditions may result in disqualifi</w:t>
      </w:r>
      <w:r w:rsidR="006F00B2">
        <w:rPr>
          <w:rFonts w:ascii="Times New Roman" w:eastAsia="Times New Roman" w:hAnsi="Times New Roman" w:cs="Times New Roman"/>
          <w:b/>
          <w:spacing w:val="-1"/>
          <w:sz w:val="18"/>
          <w:szCs w:val="18"/>
          <w:u w:val="single"/>
        </w:rPr>
        <w:softHyphen/>
        <w:t>cation of the submitted Vendor’s response.  (e.g. responses with the laws of a State other than Texas, requirements for prepayment, limitations on remedies, etc</w:t>
      </w:r>
      <w:r w:rsidRPr="0094526F">
        <w:rPr>
          <w:rFonts w:ascii="Times New Roman" w:hAnsi="Times New Roman"/>
          <w:b/>
          <w:spacing w:val="-1"/>
          <w:sz w:val="18"/>
          <w:szCs w:val="18"/>
          <w:u w:val="single"/>
        </w:rPr>
        <w:t>.)</w:t>
      </w:r>
    </w:p>
    <w:p w14:paraId="21715393" w14:textId="77777777" w:rsidR="002C6610" w:rsidRPr="00F36BE0" w:rsidRDefault="002C6610" w:rsidP="002C6610"/>
    <w:p w14:paraId="139FED6C" w14:textId="77777777" w:rsidR="002C6610" w:rsidRDefault="002C6610" w:rsidP="002C6610">
      <w:pPr>
        <w:rPr>
          <w:highlight w:val="yellow"/>
        </w:rPr>
        <w:sectPr w:rsidR="002C6610" w:rsidSect="00C6186B">
          <w:headerReference w:type="default" r:id="rId52"/>
          <w:footerReference w:type="default" r:id="rId53"/>
          <w:pgSz w:w="12240" w:h="15840" w:code="1"/>
          <w:pgMar w:top="720" w:right="720" w:bottom="720" w:left="720" w:header="720" w:footer="432" w:gutter="0"/>
          <w:cols w:space="720"/>
          <w:docGrid w:linePitch="326"/>
        </w:sectPr>
      </w:pPr>
    </w:p>
    <w:p w14:paraId="64A9E272" w14:textId="77777777" w:rsidR="00131B5D" w:rsidRPr="00E21848" w:rsidRDefault="00131B5D" w:rsidP="00131B5D">
      <w:pPr>
        <w:pStyle w:val="Heading2"/>
        <w:rPr>
          <w:lang w:eastAsia="en-AU"/>
        </w:rPr>
      </w:pPr>
      <w:bookmarkStart w:id="265" w:name="_Toc13567487"/>
      <w:r w:rsidRPr="00E21848">
        <w:rPr>
          <w:lang w:eastAsia="en-AU"/>
        </w:rPr>
        <w:lastRenderedPageBreak/>
        <w:t xml:space="preserve">Attachment </w:t>
      </w:r>
      <w:r>
        <w:rPr>
          <w:lang w:eastAsia="en-AU"/>
        </w:rPr>
        <w:t>2</w:t>
      </w:r>
      <w:r w:rsidRPr="00E21848">
        <w:rPr>
          <w:lang w:eastAsia="en-AU"/>
        </w:rPr>
        <w:t xml:space="preserve"> – </w:t>
      </w:r>
      <w:r>
        <w:rPr>
          <w:lang w:eastAsia="en-AU"/>
        </w:rPr>
        <w:t>Offeror</w:t>
      </w:r>
      <w:r w:rsidRPr="00E21848">
        <w:rPr>
          <w:lang w:eastAsia="en-AU"/>
        </w:rPr>
        <w:t xml:space="preserve"> Agreement</w:t>
      </w:r>
      <w:bookmarkEnd w:id="265"/>
    </w:p>
    <w:p w14:paraId="72DCFB30" w14:textId="77777777" w:rsidR="00BC58FC" w:rsidRPr="00BC58FC" w:rsidRDefault="00BC58FC" w:rsidP="00BC58FC">
      <w:pPr>
        <w:tabs>
          <w:tab w:val="left" w:pos="270"/>
          <w:tab w:val="left" w:pos="450"/>
          <w:tab w:val="left" w:pos="990"/>
        </w:tabs>
        <w:ind w:left="0" w:right="360"/>
        <w:rPr>
          <w:sz w:val="28"/>
        </w:rPr>
      </w:pPr>
      <w:r w:rsidRPr="00BC58FC">
        <w:t>Offeror must complete the following information, sign and return this page as part of their response to this solicitation. By signing below, the Offeror agrees to provide the items/services specified and to abide by all terms and conditions in this RFO and in any contract resulting from an award.</w:t>
      </w:r>
    </w:p>
    <w:p w14:paraId="229D5F5E" w14:textId="0AB1EB0E" w:rsidR="00BC58FC" w:rsidRPr="00BC58FC" w:rsidRDefault="00976F1E" w:rsidP="00BC58FC">
      <w:pPr>
        <w:tabs>
          <w:tab w:val="left" w:pos="270"/>
          <w:tab w:val="left" w:pos="450"/>
          <w:tab w:val="left" w:pos="990"/>
        </w:tabs>
        <w:ind w:left="0" w:right="360"/>
        <w:rPr>
          <w:szCs w:val="24"/>
        </w:rPr>
      </w:pPr>
      <w:r w:rsidRPr="00BC58FC">
        <w:t xml:space="preserve">Any exceptions taken to </w:t>
      </w:r>
      <w:r>
        <w:t>Attachment 1,</w:t>
      </w:r>
      <w:r w:rsidRPr="00BC58FC">
        <w:t xml:space="preserve"> Terms </w:t>
      </w:r>
      <w:r>
        <w:t>&amp;</w:t>
      </w:r>
      <w:r w:rsidRPr="00BC58FC">
        <w:t xml:space="preserve"> Conditions</w:t>
      </w:r>
      <w:r>
        <w:t>,</w:t>
      </w:r>
      <w:r w:rsidRPr="00BC58FC">
        <w:t xml:space="preserve"> as set forth in this document must be identified in detail and accompany your response to this solicitation. </w:t>
      </w:r>
      <w:r>
        <w:t xml:space="preserve">Provide alternate language if you take exceptions to the Terms and Conditions.  </w:t>
      </w:r>
      <w:r w:rsidRPr="00BC58FC">
        <w:t xml:space="preserve">Any exceptions </w:t>
      </w:r>
      <w:r w:rsidR="00BC58FC" w:rsidRPr="00BC58FC">
        <w:t xml:space="preserve">not identified in detail at the time your response is submitted will not be considered. Please complete the following:  </w:t>
      </w:r>
      <w:r w:rsidR="00BC58FC" w:rsidRPr="00BC58FC">
        <w:fldChar w:fldCharType="begin">
          <w:ffData>
            <w:name w:val="Check26"/>
            <w:enabled/>
            <w:calcOnExit w:val="0"/>
            <w:checkBox>
              <w:sizeAuto/>
              <w:default w:val="0"/>
            </w:checkBox>
          </w:ffData>
        </w:fldChar>
      </w:r>
      <w:bookmarkStart w:id="266" w:name="Check26"/>
      <w:r w:rsidR="00BC58FC" w:rsidRPr="00BC58FC">
        <w:instrText xml:space="preserve"> FORMCHECKBOX </w:instrText>
      </w:r>
      <w:r w:rsidR="006D43BC">
        <w:fldChar w:fldCharType="separate"/>
      </w:r>
      <w:r w:rsidR="00BC58FC" w:rsidRPr="00BC58FC">
        <w:fldChar w:fldCharType="end"/>
      </w:r>
      <w:bookmarkEnd w:id="266"/>
      <w:r w:rsidR="00BC58FC">
        <w:t xml:space="preserve">  No exceptions taken   </w:t>
      </w:r>
      <w:r w:rsidR="00BC58FC" w:rsidRPr="00BC58FC">
        <w:t xml:space="preserve">OR   </w:t>
      </w:r>
      <w:r w:rsidR="00BC58FC" w:rsidRPr="00BC58FC">
        <w:fldChar w:fldCharType="begin">
          <w:ffData>
            <w:name w:val="Check27"/>
            <w:enabled/>
            <w:calcOnExit w:val="0"/>
            <w:checkBox>
              <w:sizeAuto/>
              <w:default w:val="0"/>
            </w:checkBox>
          </w:ffData>
        </w:fldChar>
      </w:r>
      <w:bookmarkStart w:id="267" w:name="Check27"/>
      <w:r w:rsidR="00BC58FC" w:rsidRPr="00BC58FC">
        <w:instrText xml:space="preserve"> FORMCHECKBOX </w:instrText>
      </w:r>
      <w:r w:rsidR="006D43BC">
        <w:fldChar w:fldCharType="separate"/>
      </w:r>
      <w:r w:rsidR="00BC58FC" w:rsidRPr="00BC58FC">
        <w:fldChar w:fldCharType="end"/>
      </w:r>
      <w:bookmarkEnd w:id="267"/>
      <w:r w:rsidR="00BC58FC" w:rsidRPr="00BC58FC">
        <w:t xml:space="preserve">  Yes, </w:t>
      </w:r>
      <w:r w:rsidR="00BC58FC" w:rsidRPr="00BC58FC">
        <w:rPr>
          <w:szCs w:val="24"/>
        </w:rPr>
        <w:t xml:space="preserve">exception taken due to (state your reason): </w:t>
      </w:r>
      <w:bookmarkStart w:id="268" w:name="Text29"/>
      <w:r w:rsidR="00BC58FC" w:rsidRPr="00BC58FC">
        <w:rPr>
          <w:szCs w:val="24"/>
        </w:rPr>
        <w:fldChar w:fldCharType="begin">
          <w:ffData>
            <w:name w:val="Text29"/>
            <w:enabled/>
            <w:calcOnExit w:val="0"/>
            <w:statusText w:type="text" w:val="State your reason"/>
            <w:textInput/>
          </w:ffData>
        </w:fldChar>
      </w:r>
      <w:r w:rsidR="00BC58FC" w:rsidRPr="00BC58FC">
        <w:rPr>
          <w:szCs w:val="24"/>
        </w:rPr>
        <w:instrText xml:space="preserve"> FORMTEXT </w:instrText>
      </w:r>
      <w:r w:rsidR="00BC58FC" w:rsidRPr="00BC58FC">
        <w:rPr>
          <w:szCs w:val="24"/>
        </w:rPr>
      </w:r>
      <w:r w:rsidR="00BC58FC" w:rsidRPr="00BC58FC">
        <w:rPr>
          <w:szCs w:val="24"/>
        </w:rPr>
        <w:fldChar w:fldCharType="separate"/>
      </w:r>
      <w:r w:rsidR="00BC58FC" w:rsidRPr="00BC58FC">
        <w:rPr>
          <w:szCs w:val="24"/>
        </w:rPr>
        <w:t> </w:t>
      </w:r>
      <w:r w:rsidR="00BC58FC" w:rsidRPr="00BC58FC">
        <w:rPr>
          <w:szCs w:val="24"/>
        </w:rPr>
        <w:t> </w:t>
      </w:r>
      <w:r w:rsidR="00BC58FC" w:rsidRPr="00BC58FC">
        <w:rPr>
          <w:szCs w:val="24"/>
        </w:rPr>
        <w:t> </w:t>
      </w:r>
      <w:r w:rsidR="00BC58FC" w:rsidRPr="00BC58FC">
        <w:rPr>
          <w:szCs w:val="24"/>
        </w:rPr>
        <w:t> </w:t>
      </w:r>
      <w:r w:rsidR="00BC58FC" w:rsidRPr="00BC58FC">
        <w:rPr>
          <w:szCs w:val="24"/>
        </w:rPr>
        <w:t> </w:t>
      </w:r>
      <w:r w:rsidR="00BC58FC" w:rsidRPr="00BC58FC">
        <w:rPr>
          <w:szCs w:val="24"/>
        </w:rPr>
        <w:t> </w:t>
      </w:r>
      <w:r w:rsidR="00BC58FC" w:rsidRPr="00BC58FC">
        <w:rPr>
          <w:szCs w:val="24"/>
        </w:rPr>
        <w:t> </w:t>
      </w:r>
      <w:r w:rsidR="00BC58FC" w:rsidRPr="00BC58FC">
        <w:rPr>
          <w:szCs w:val="24"/>
        </w:rPr>
        <w:t> </w:t>
      </w:r>
      <w:r w:rsidR="00BC58FC" w:rsidRPr="00BC58FC">
        <w:rPr>
          <w:szCs w:val="24"/>
        </w:rPr>
        <w:fldChar w:fldCharType="end"/>
      </w:r>
      <w:bookmarkEnd w:id="268"/>
    </w:p>
    <w:p w14:paraId="0A60679A" w14:textId="6C69E519" w:rsidR="00BC58FC" w:rsidRPr="00BC58FC" w:rsidRDefault="00BC58FC" w:rsidP="00BC58FC">
      <w:pPr>
        <w:tabs>
          <w:tab w:val="left" w:pos="270"/>
          <w:tab w:val="left" w:pos="450"/>
          <w:tab w:val="left" w:pos="990"/>
        </w:tabs>
        <w:ind w:left="0" w:right="360"/>
        <w:rPr>
          <w:szCs w:val="24"/>
        </w:rPr>
      </w:pPr>
      <w:r w:rsidRPr="00BC58FC">
        <w:rPr>
          <w:szCs w:val="24"/>
        </w:rPr>
        <w:t xml:space="preserve">The firm, fixed price per item listed </w:t>
      </w:r>
      <w:r w:rsidR="00C01471">
        <w:rPr>
          <w:szCs w:val="24"/>
        </w:rPr>
        <w:t>i</w:t>
      </w:r>
      <w:r w:rsidR="00C01471" w:rsidRPr="00BC58FC">
        <w:rPr>
          <w:szCs w:val="24"/>
        </w:rPr>
        <w:t xml:space="preserve">n </w:t>
      </w:r>
      <w:hyperlink w:anchor="_Attachment_12_–" w:history="1">
        <w:r w:rsidR="0066786F" w:rsidRPr="00C01471">
          <w:rPr>
            <w:rStyle w:val="Hyperlink"/>
            <w:szCs w:val="24"/>
          </w:rPr>
          <w:t>Attachment 12</w:t>
        </w:r>
      </w:hyperlink>
      <w:r w:rsidRPr="00BC58FC">
        <w:rPr>
          <w:szCs w:val="24"/>
        </w:rPr>
        <w:t xml:space="preserve"> must remain firm, fixed pricing from the date of contract award through the end of the contract period.</w:t>
      </w:r>
    </w:p>
    <w:tbl>
      <w:tblPr>
        <w:tblW w:w="0" w:type="auto"/>
        <w:tblInd w:w="108" w:type="dxa"/>
        <w:tblLayout w:type="fixed"/>
        <w:tblLook w:val="0000" w:firstRow="0" w:lastRow="0" w:firstColumn="0" w:lastColumn="0" w:noHBand="0" w:noVBand="0"/>
      </w:tblPr>
      <w:tblGrid>
        <w:gridCol w:w="6204"/>
        <w:gridCol w:w="236"/>
        <w:gridCol w:w="4000"/>
      </w:tblGrid>
      <w:tr w:rsidR="00BC58FC" w:rsidRPr="00BC58FC" w14:paraId="0DF61A2A" w14:textId="77777777" w:rsidTr="00BC58FC">
        <w:trPr>
          <w:cantSplit/>
        </w:trPr>
        <w:tc>
          <w:tcPr>
            <w:tcW w:w="6204" w:type="dxa"/>
            <w:tcBorders>
              <w:bottom w:val="single" w:sz="6" w:space="0" w:color="auto"/>
            </w:tcBorders>
          </w:tcPr>
          <w:p w14:paraId="2F73393E" w14:textId="77777777" w:rsidR="00BC58FC" w:rsidRPr="00BC58FC" w:rsidRDefault="00BC58FC" w:rsidP="00BC58FC">
            <w:pPr>
              <w:keepNext/>
              <w:keepLines/>
              <w:tabs>
                <w:tab w:val="left" w:pos="270"/>
                <w:tab w:val="left" w:pos="450"/>
                <w:tab w:val="left" w:pos="990"/>
              </w:tabs>
              <w:ind w:left="0"/>
              <w:rPr>
                <w:szCs w:val="24"/>
              </w:rPr>
            </w:pPr>
            <w:r w:rsidRPr="00BC58FC">
              <w:rPr>
                <w:szCs w:val="24"/>
              </w:rPr>
              <w:br w:type="page"/>
            </w:r>
          </w:p>
        </w:tc>
        <w:tc>
          <w:tcPr>
            <w:tcW w:w="236" w:type="dxa"/>
          </w:tcPr>
          <w:p w14:paraId="7267BF23" w14:textId="77777777" w:rsidR="00BC58FC" w:rsidRPr="00BC58FC" w:rsidRDefault="00BC58FC" w:rsidP="00BC58FC">
            <w:pPr>
              <w:keepNext/>
              <w:keepLines/>
              <w:tabs>
                <w:tab w:val="left" w:pos="270"/>
                <w:tab w:val="left" w:pos="450"/>
                <w:tab w:val="left" w:pos="990"/>
              </w:tabs>
              <w:ind w:left="0"/>
              <w:rPr>
                <w:szCs w:val="24"/>
              </w:rPr>
            </w:pPr>
          </w:p>
        </w:tc>
        <w:tc>
          <w:tcPr>
            <w:tcW w:w="4000" w:type="dxa"/>
            <w:tcBorders>
              <w:bottom w:val="single" w:sz="6" w:space="0" w:color="auto"/>
            </w:tcBorders>
          </w:tcPr>
          <w:p w14:paraId="111C83B9" w14:textId="77777777" w:rsidR="00BC58FC" w:rsidRPr="00BC58FC" w:rsidRDefault="00BC58FC" w:rsidP="00BC58FC">
            <w:pPr>
              <w:keepNext/>
              <w:keepLines/>
              <w:tabs>
                <w:tab w:val="left" w:pos="270"/>
                <w:tab w:val="left" w:pos="450"/>
                <w:tab w:val="left" w:pos="990"/>
              </w:tabs>
              <w:ind w:left="0"/>
              <w:rPr>
                <w:szCs w:val="24"/>
              </w:rPr>
            </w:pPr>
          </w:p>
        </w:tc>
      </w:tr>
      <w:tr w:rsidR="00BC58FC" w:rsidRPr="00BC58FC" w14:paraId="3C9A49F3" w14:textId="77777777" w:rsidTr="00BC58FC">
        <w:trPr>
          <w:cantSplit/>
        </w:trPr>
        <w:tc>
          <w:tcPr>
            <w:tcW w:w="6204" w:type="dxa"/>
          </w:tcPr>
          <w:p w14:paraId="51CABB79" w14:textId="3A98F6E6" w:rsidR="00BC58FC" w:rsidRPr="00BC58FC" w:rsidRDefault="00BC58FC" w:rsidP="00BC58FC">
            <w:pPr>
              <w:keepNext/>
              <w:keepLines/>
              <w:tabs>
                <w:tab w:val="left" w:pos="270"/>
                <w:tab w:val="left" w:pos="450"/>
                <w:tab w:val="left" w:pos="990"/>
              </w:tabs>
              <w:ind w:left="0"/>
              <w:rPr>
                <w:szCs w:val="24"/>
              </w:rPr>
            </w:pPr>
            <w:r w:rsidRPr="00BC58FC">
              <w:rPr>
                <w:szCs w:val="24"/>
              </w:rPr>
              <w:t>Signature of person authorized to make this agreement</w:t>
            </w:r>
          </w:p>
        </w:tc>
        <w:tc>
          <w:tcPr>
            <w:tcW w:w="236" w:type="dxa"/>
          </w:tcPr>
          <w:p w14:paraId="698702D9" w14:textId="77777777" w:rsidR="00BC58FC" w:rsidRPr="00BC58FC" w:rsidRDefault="00BC58FC" w:rsidP="00BC58FC">
            <w:pPr>
              <w:keepNext/>
              <w:keepLines/>
              <w:tabs>
                <w:tab w:val="left" w:pos="270"/>
                <w:tab w:val="left" w:pos="450"/>
                <w:tab w:val="left" w:pos="990"/>
              </w:tabs>
              <w:ind w:left="0"/>
              <w:rPr>
                <w:szCs w:val="24"/>
              </w:rPr>
            </w:pPr>
          </w:p>
        </w:tc>
        <w:tc>
          <w:tcPr>
            <w:tcW w:w="4000" w:type="dxa"/>
          </w:tcPr>
          <w:p w14:paraId="7B851C44" w14:textId="77777777" w:rsidR="00BC58FC" w:rsidRPr="00BC58FC" w:rsidRDefault="00BC58FC" w:rsidP="00BC58FC">
            <w:pPr>
              <w:keepNext/>
              <w:keepLines/>
              <w:tabs>
                <w:tab w:val="left" w:pos="270"/>
                <w:tab w:val="left" w:pos="450"/>
                <w:tab w:val="left" w:pos="990"/>
              </w:tabs>
              <w:ind w:left="0"/>
              <w:rPr>
                <w:szCs w:val="24"/>
              </w:rPr>
            </w:pPr>
            <w:r w:rsidRPr="00BC58FC">
              <w:rPr>
                <w:szCs w:val="24"/>
              </w:rPr>
              <w:t>Date Signed</w:t>
            </w:r>
          </w:p>
        </w:tc>
      </w:tr>
      <w:tr w:rsidR="00BC58FC" w:rsidRPr="00BC58FC" w14:paraId="005F4828" w14:textId="77777777" w:rsidTr="00BC58FC">
        <w:trPr>
          <w:cantSplit/>
        </w:trPr>
        <w:tc>
          <w:tcPr>
            <w:tcW w:w="6204" w:type="dxa"/>
            <w:tcBorders>
              <w:bottom w:val="single" w:sz="6" w:space="0" w:color="auto"/>
            </w:tcBorders>
          </w:tcPr>
          <w:p w14:paraId="0613C2D4" w14:textId="77777777" w:rsidR="00BC58FC" w:rsidRPr="00BC58FC" w:rsidRDefault="00BC58FC" w:rsidP="00BC58FC">
            <w:pPr>
              <w:keepNext/>
              <w:keepLines/>
              <w:tabs>
                <w:tab w:val="left" w:pos="270"/>
                <w:tab w:val="left" w:pos="450"/>
                <w:tab w:val="left" w:pos="990"/>
              </w:tabs>
              <w:ind w:left="0"/>
              <w:rPr>
                <w:szCs w:val="24"/>
              </w:rPr>
            </w:pPr>
          </w:p>
        </w:tc>
        <w:tc>
          <w:tcPr>
            <w:tcW w:w="236" w:type="dxa"/>
          </w:tcPr>
          <w:p w14:paraId="3F25E06F" w14:textId="77777777" w:rsidR="00BC58FC" w:rsidRPr="00BC58FC" w:rsidRDefault="00BC58FC" w:rsidP="00BC58FC">
            <w:pPr>
              <w:keepNext/>
              <w:keepLines/>
              <w:tabs>
                <w:tab w:val="left" w:pos="270"/>
                <w:tab w:val="left" w:pos="450"/>
                <w:tab w:val="left" w:pos="990"/>
              </w:tabs>
              <w:ind w:left="0"/>
              <w:rPr>
                <w:szCs w:val="24"/>
              </w:rPr>
            </w:pPr>
          </w:p>
        </w:tc>
        <w:tc>
          <w:tcPr>
            <w:tcW w:w="4000" w:type="dxa"/>
          </w:tcPr>
          <w:p w14:paraId="2B1FDC9D" w14:textId="77777777" w:rsidR="00BC58FC" w:rsidRPr="00BC58FC" w:rsidRDefault="00BC58FC" w:rsidP="00BC58FC">
            <w:pPr>
              <w:keepNext/>
              <w:keepLines/>
              <w:tabs>
                <w:tab w:val="left" w:pos="270"/>
                <w:tab w:val="left" w:pos="450"/>
                <w:tab w:val="left" w:pos="990"/>
              </w:tabs>
              <w:ind w:left="0"/>
              <w:rPr>
                <w:szCs w:val="24"/>
              </w:rPr>
            </w:pPr>
          </w:p>
        </w:tc>
      </w:tr>
      <w:tr w:rsidR="00BC58FC" w:rsidRPr="00BC58FC" w14:paraId="32A3187F" w14:textId="77777777" w:rsidTr="00BC58FC">
        <w:trPr>
          <w:cantSplit/>
        </w:trPr>
        <w:tc>
          <w:tcPr>
            <w:tcW w:w="6204" w:type="dxa"/>
          </w:tcPr>
          <w:p w14:paraId="625FE731" w14:textId="77777777" w:rsidR="00BC58FC" w:rsidRPr="00BC58FC" w:rsidRDefault="00BC58FC" w:rsidP="00BC58FC">
            <w:pPr>
              <w:keepNext/>
              <w:keepLines/>
              <w:tabs>
                <w:tab w:val="left" w:pos="270"/>
                <w:tab w:val="left" w:pos="450"/>
                <w:tab w:val="left" w:pos="990"/>
              </w:tabs>
              <w:ind w:left="0"/>
              <w:rPr>
                <w:szCs w:val="24"/>
              </w:rPr>
            </w:pPr>
            <w:r w:rsidRPr="00BC58FC">
              <w:rPr>
                <w:szCs w:val="24"/>
              </w:rPr>
              <w:t>Printed name of person signing above</w:t>
            </w:r>
          </w:p>
        </w:tc>
        <w:tc>
          <w:tcPr>
            <w:tcW w:w="236" w:type="dxa"/>
          </w:tcPr>
          <w:p w14:paraId="143539A4" w14:textId="77777777" w:rsidR="00BC58FC" w:rsidRPr="00BC58FC" w:rsidRDefault="00BC58FC" w:rsidP="00BC58FC">
            <w:pPr>
              <w:keepNext/>
              <w:keepLines/>
              <w:tabs>
                <w:tab w:val="left" w:pos="270"/>
                <w:tab w:val="left" w:pos="450"/>
                <w:tab w:val="left" w:pos="990"/>
              </w:tabs>
              <w:ind w:left="0"/>
              <w:rPr>
                <w:szCs w:val="24"/>
              </w:rPr>
            </w:pPr>
          </w:p>
        </w:tc>
        <w:tc>
          <w:tcPr>
            <w:tcW w:w="4000" w:type="dxa"/>
          </w:tcPr>
          <w:p w14:paraId="58F10D96" w14:textId="77777777" w:rsidR="00BC58FC" w:rsidRPr="00BC58FC" w:rsidRDefault="00BC58FC" w:rsidP="00BC58FC">
            <w:pPr>
              <w:keepNext/>
              <w:keepLines/>
              <w:tabs>
                <w:tab w:val="left" w:pos="270"/>
                <w:tab w:val="left" w:pos="450"/>
                <w:tab w:val="left" w:pos="990"/>
              </w:tabs>
              <w:ind w:left="0"/>
              <w:rPr>
                <w:szCs w:val="24"/>
              </w:rPr>
            </w:pPr>
          </w:p>
        </w:tc>
      </w:tr>
    </w:tbl>
    <w:p w14:paraId="35EF9448" w14:textId="77777777" w:rsidR="00BC58FC" w:rsidRPr="00BC58FC" w:rsidRDefault="00BC58FC" w:rsidP="00BC58FC">
      <w:pPr>
        <w:ind w:left="90"/>
        <w:rPr>
          <w:i/>
          <w:color w:val="0070C0"/>
          <w:szCs w:val="24"/>
        </w:rPr>
      </w:pPr>
      <w:r w:rsidRPr="00BC58FC">
        <w:rPr>
          <w:i/>
          <w:color w:val="0070C0"/>
          <w:szCs w:val="24"/>
        </w:rPr>
        <w:t>OFFEROR INFORMATION</w:t>
      </w:r>
    </w:p>
    <w:tbl>
      <w:tblPr>
        <w:tblW w:w="10692" w:type="dxa"/>
        <w:tblInd w:w="108" w:type="dxa"/>
        <w:tblLayout w:type="fixed"/>
        <w:tblLook w:val="0000" w:firstRow="0" w:lastRow="0" w:firstColumn="0" w:lastColumn="0" w:noHBand="0" w:noVBand="0"/>
      </w:tblPr>
      <w:tblGrid>
        <w:gridCol w:w="3762"/>
        <w:gridCol w:w="270"/>
        <w:gridCol w:w="6660"/>
      </w:tblGrid>
      <w:tr w:rsidR="00BC58FC" w:rsidRPr="00BC58FC" w14:paraId="4464A9C1" w14:textId="77777777" w:rsidTr="00BF5606">
        <w:tc>
          <w:tcPr>
            <w:tcW w:w="3762" w:type="dxa"/>
          </w:tcPr>
          <w:p w14:paraId="43186752" w14:textId="77777777" w:rsidR="00BC58FC" w:rsidRPr="00BC58FC" w:rsidRDefault="00BC58FC" w:rsidP="00BC58FC">
            <w:pPr>
              <w:spacing w:before="100"/>
              <w:ind w:left="0"/>
              <w:rPr>
                <w:szCs w:val="24"/>
              </w:rPr>
            </w:pPr>
            <w:r w:rsidRPr="00BC58FC">
              <w:rPr>
                <w:szCs w:val="24"/>
              </w:rPr>
              <w:t>Offeror Name:</w:t>
            </w:r>
          </w:p>
        </w:tc>
        <w:tc>
          <w:tcPr>
            <w:tcW w:w="270" w:type="dxa"/>
          </w:tcPr>
          <w:p w14:paraId="1A40947A" w14:textId="77777777" w:rsidR="00BC58FC" w:rsidRPr="00BC58FC" w:rsidRDefault="00BC58FC" w:rsidP="00BC58FC">
            <w:pPr>
              <w:spacing w:before="100"/>
              <w:rPr>
                <w:szCs w:val="24"/>
              </w:rPr>
            </w:pPr>
          </w:p>
        </w:tc>
        <w:tc>
          <w:tcPr>
            <w:tcW w:w="6660" w:type="dxa"/>
          </w:tcPr>
          <w:p w14:paraId="3A8CBE13" w14:textId="77777777" w:rsidR="00BC58FC" w:rsidRPr="00BC58FC" w:rsidRDefault="00BC58FC" w:rsidP="00BC58FC">
            <w:pPr>
              <w:spacing w:before="100"/>
              <w:rPr>
                <w:szCs w:val="24"/>
              </w:rPr>
            </w:pPr>
          </w:p>
        </w:tc>
      </w:tr>
      <w:tr w:rsidR="00BC58FC" w:rsidRPr="00BC58FC" w14:paraId="15FB5205" w14:textId="77777777" w:rsidTr="00BF5606">
        <w:trPr>
          <w:cantSplit/>
        </w:trPr>
        <w:tc>
          <w:tcPr>
            <w:tcW w:w="3762" w:type="dxa"/>
          </w:tcPr>
          <w:p w14:paraId="64D13C8F" w14:textId="77777777" w:rsidR="00BC58FC" w:rsidRPr="00BC58FC" w:rsidRDefault="00BC58FC" w:rsidP="00BC58FC">
            <w:pPr>
              <w:spacing w:before="100"/>
              <w:ind w:left="0"/>
              <w:rPr>
                <w:szCs w:val="24"/>
              </w:rPr>
            </w:pPr>
            <w:r w:rsidRPr="00BC58FC">
              <w:rPr>
                <w:szCs w:val="24"/>
              </w:rPr>
              <w:t>Mailing Address:</w:t>
            </w:r>
          </w:p>
        </w:tc>
        <w:tc>
          <w:tcPr>
            <w:tcW w:w="270" w:type="dxa"/>
            <w:tcBorders>
              <w:bottom w:val="nil"/>
            </w:tcBorders>
          </w:tcPr>
          <w:p w14:paraId="4A0D25EC" w14:textId="77777777" w:rsidR="00BC58FC" w:rsidRPr="00BC58FC" w:rsidRDefault="00BC58FC" w:rsidP="00BC58FC">
            <w:pPr>
              <w:spacing w:before="100"/>
              <w:rPr>
                <w:szCs w:val="24"/>
              </w:rPr>
            </w:pPr>
          </w:p>
        </w:tc>
        <w:tc>
          <w:tcPr>
            <w:tcW w:w="6660" w:type="dxa"/>
            <w:tcBorders>
              <w:top w:val="single" w:sz="4" w:space="0" w:color="auto"/>
            </w:tcBorders>
          </w:tcPr>
          <w:p w14:paraId="75749EC1" w14:textId="77777777" w:rsidR="00BC58FC" w:rsidRPr="00BC58FC" w:rsidRDefault="00BC58FC" w:rsidP="00BC58FC">
            <w:pPr>
              <w:spacing w:before="100"/>
              <w:rPr>
                <w:szCs w:val="24"/>
              </w:rPr>
            </w:pPr>
          </w:p>
        </w:tc>
      </w:tr>
      <w:tr w:rsidR="00BC58FC" w:rsidRPr="00BC58FC" w14:paraId="309071BD" w14:textId="77777777" w:rsidTr="00BF5606">
        <w:trPr>
          <w:cantSplit/>
        </w:trPr>
        <w:tc>
          <w:tcPr>
            <w:tcW w:w="3762" w:type="dxa"/>
          </w:tcPr>
          <w:p w14:paraId="65863FB0" w14:textId="77777777" w:rsidR="00BC58FC" w:rsidRPr="00BC58FC" w:rsidRDefault="00BC58FC" w:rsidP="00BC58FC">
            <w:pPr>
              <w:spacing w:before="100"/>
              <w:ind w:left="0"/>
              <w:rPr>
                <w:szCs w:val="24"/>
              </w:rPr>
            </w:pPr>
            <w:r w:rsidRPr="00BC58FC">
              <w:rPr>
                <w:szCs w:val="24"/>
              </w:rPr>
              <w:t xml:space="preserve">Billing Address: </w:t>
            </w:r>
          </w:p>
          <w:p w14:paraId="6A4633C7" w14:textId="77777777" w:rsidR="00BC58FC" w:rsidRPr="00BC58FC" w:rsidRDefault="00BC58FC" w:rsidP="00BC58FC">
            <w:pPr>
              <w:ind w:left="0"/>
              <w:rPr>
                <w:szCs w:val="24"/>
              </w:rPr>
            </w:pPr>
            <w:r w:rsidRPr="00BC58FC">
              <w:rPr>
                <w:szCs w:val="24"/>
              </w:rPr>
              <w:t>(if different from above)</w:t>
            </w:r>
          </w:p>
        </w:tc>
        <w:tc>
          <w:tcPr>
            <w:tcW w:w="270" w:type="dxa"/>
            <w:tcBorders>
              <w:bottom w:val="nil"/>
            </w:tcBorders>
          </w:tcPr>
          <w:p w14:paraId="223D4844" w14:textId="77777777" w:rsidR="00BC58FC" w:rsidRPr="00BC58FC" w:rsidRDefault="00BC58FC" w:rsidP="00BC58FC">
            <w:pPr>
              <w:spacing w:before="100"/>
              <w:rPr>
                <w:szCs w:val="24"/>
              </w:rPr>
            </w:pPr>
          </w:p>
        </w:tc>
        <w:tc>
          <w:tcPr>
            <w:tcW w:w="6660" w:type="dxa"/>
            <w:tcBorders>
              <w:top w:val="single" w:sz="4" w:space="0" w:color="auto"/>
            </w:tcBorders>
          </w:tcPr>
          <w:p w14:paraId="240A0C8E" w14:textId="77777777" w:rsidR="00BC58FC" w:rsidRPr="00BC58FC" w:rsidRDefault="00BC58FC" w:rsidP="00BC58FC">
            <w:pPr>
              <w:spacing w:before="100"/>
              <w:rPr>
                <w:szCs w:val="24"/>
              </w:rPr>
            </w:pPr>
          </w:p>
        </w:tc>
      </w:tr>
      <w:tr w:rsidR="00BC58FC" w:rsidRPr="00BC58FC" w14:paraId="7ADE521F" w14:textId="77777777" w:rsidTr="00BF5606">
        <w:trPr>
          <w:cantSplit/>
        </w:trPr>
        <w:tc>
          <w:tcPr>
            <w:tcW w:w="3762" w:type="dxa"/>
          </w:tcPr>
          <w:p w14:paraId="30682472" w14:textId="77777777" w:rsidR="00BC58FC" w:rsidRPr="00BC58FC" w:rsidRDefault="00BC58FC" w:rsidP="00BC58FC">
            <w:pPr>
              <w:spacing w:before="100"/>
              <w:ind w:left="0"/>
              <w:rPr>
                <w:szCs w:val="24"/>
              </w:rPr>
            </w:pPr>
            <w:r w:rsidRPr="00BC58FC">
              <w:rPr>
                <w:szCs w:val="24"/>
              </w:rPr>
              <w:t>City, State &amp; ZIP Code:</w:t>
            </w:r>
          </w:p>
        </w:tc>
        <w:tc>
          <w:tcPr>
            <w:tcW w:w="270" w:type="dxa"/>
            <w:tcBorders>
              <w:bottom w:val="nil"/>
            </w:tcBorders>
          </w:tcPr>
          <w:p w14:paraId="264AF984" w14:textId="77777777" w:rsidR="00BC58FC" w:rsidRPr="00BC58FC" w:rsidRDefault="00BC58FC" w:rsidP="00BC58FC">
            <w:pPr>
              <w:spacing w:before="100"/>
              <w:rPr>
                <w:szCs w:val="24"/>
              </w:rPr>
            </w:pPr>
          </w:p>
        </w:tc>
        <w:tc>
          <w:tcPr>
            <w:tcW w:w="6660" w:type="dxa"/>
            <w:tcBorders>
              <w:top w:val="single" w:sz="4" w:space="0" w:color="auto"/>
            </w:tcBorders>
          </w:tcPr>
          <w:p w14:paraId="2552F719" w14:textId="77777777" w:rsidR="00BC58FC" w:rsidRPr="00BC58FC" w:rsidRDefault="00BC58FC" w:rsidP="00BC58FC">
            <w:pPr>
              <w:spacing w:before="100"/>
              <w:rPr>
                <w:szCs w:val="24"/>
              </w:rPr>
            </w:pPr>
          </w:p>
        </w:tc>
      </w:tr>
      <w:tr w:rsidR="00BC58FC" w:rsidRPr="00BC58FC" w14:paraId="3493694C" w14:textId="77777777" w:rsidTr="00BF5606">
        <w:trPr>
          <w:cantSplit/>
        </w:trPr>
        <w:tc>
          <w:tcPr>
            <w:tcW w:w="3762" w:type="dxa"/>
          </w:tcPr>
          <w:p w14:paraId="3E015983" w14:textId="77777777" w:rsidR="00BC58FC" w:rsidRPr="00BC58FC" w:rsidRDefault="00BC58FC" w:rsidP="00BC58FC">
            <w:pPr>
              <w:spacing w:before="100"/>
              <w:ind w:left="0"/>
              <w:rPr>
                <w:szCs w:val="24"/>
              </w:rPr>
            </w:pPr>
            <w:r w:rsidRPr="00BC58FC">
              <w:rPr>
                <w:szCs w:val="24"/>
              </w:rPr>
              <w:t>Phone No./Fax No.:</w:t>
            </w:r>
          </w:p>
        </w:tc>
        <w:tc>
          <w:tcPr>
            <w:tcW w:w="270" w:type="dxa"/>
            <w:tcBorders>
              <w:bottom w:val="nil"/>
            </w:tcBorders>
          </w:tcPr>
          <w:p w14:paraId="54D3BFF2" w14:textId="77777777" w:rsidR="00BC58FC" w:rsidRPr="00BC58FC" w:rsidRDefault="00BC58FC" w:rsidP="00BC58FC">
            <w:pPr>
              <w:spacing w:before="100"/>
              <w:rPr>
                <w:szCs w:val="24"/>
              </w:rPr>
            </w:pPr>
          </w:p>
        </w:tc>
        <w:tc>
          <w:tcPr>
            <w:tcW w:w="6660" w:type="dxa"/>
            <w:tcBorders>
              <w:top w:val="single" w:sz="4" w:space="0" w:color="auto"/>
            </w:tcBorders>
          </w:tcPr>
          <w:p w14:paraId="5A777A15" w14:textId="77777777" w:rsidR="00BC58FC" w:rsidRPr="00BC58FC" w:rsidRDefault="00BC58FC" w:rsidP="00BC58FC">
            <w:pPr>
              <w:spacing w:before="100"/>
              <w:rPr>
                <w:szCs w:val="24"/>
              </w:rPr>
            </w:pPr>
          </w:p>
        </w:tc>
      </w:tr>
      <w:tr w:rsidR="00BC58FC" w:rsidRPr="00BC58FC" w14:paraId="392CA128" w14:textId="77777777" w:rsidTr="00BF5606">
        <w:trPr>
          <w:cantSplit/>
        </w:trPr>
        <w:tc>
          <w:tcPr>
            <w:tcW w:w="3762" w:type="dxa"/>
          </w:tcPr>
          <w:p w14:paraId="163B5125" w14:textId="77777777" w:rsidR="00BC58FC" w:rsidRPr="00BC58FC" w:rsidRDefault="00BC58FC" w:rsidP="00BC58FC">
            <w:pPr>
              <w:spacing w:before="100"/>
              <w:ind w:left="0"/>
              <w:rPr>
                <w:szCs w:val="24"/>
              </w:rPr>
            </w:pPr>
            <w:r w:rsidRPr="00BC58FC">
              <w:rPr>
                <w:szCs w:val="24"/>
              </w:rPr>
              <w:t>E-Mail Address:</w:t>
            </w:r>
          </w:p>
        </w:tc>
        <w:tc>
          <w:tcPr>
            <w:tcW w:w="270" w:type="dxa"/>
            <w:tcBorders>
              <w:bottom w:val="nil"/>
            </w:tcBorders>
          </w:tcPr>
          <w:p w14:paraId="7CA4A552" w14:textId="77777777" w:rsidR="00BC58FC" w:rsidRPr="00BC58FC" w:rsidRDefault="00BC58FC" w:rsidP="00BC58FC">
            <w:pPr>
              <w:spacing w:before="100"/>
              <w:rPr>
                <w:szCs w:val="24"/>
              </w:rPr>
            </w:pPr>
          </w:p>
        </w:tc>
        <w:tc>
          <w:tcPr>
            <w:tcW w:w="6660" w:type="dxa"/>
            <w:tcBorders>
              <w:top w:val="single" w:sz="4" w:space="0" w:color="auto"/>
            </w:tcBorders>
          </w:tcPr>
          <w:p w14:paraId="5367336C" w14:textId="77777777" w:rsidR="00BC58FC" w:rsidRPr="00BC58FC" w:rsidRDefault="00BC58FC" w:rsidP="00BC58FC">
            <w:pPr>
              <w:spacing w:before="100"/>
              <w:rPr>
                <w:szCs w:val="24"/>
              </w:rPr>
            </w:pPr>
          </w:p>
        </w:tc>
      </w:tr>
      <w:tr w:rsidR="00BC58FC" w:rsidRPr="00BC58FC" w14:paraId="76CD71B9" w14:textId="77777777" w:rsidTr="00BF5606">
        <w:trPr>
          <w:cantSplit/>
        </w:trPr>
        <w:tc>
          <w:tcPr>
            <w:tcW w:w="3762" w:type="dxa"/>
          </w:tcPr>
          <w:p w14:paraId="002F5D18" w14:textId="77777777" w:rsidR="00BC58FC" w:rsidRPr="00BC58FC" w:rsidRDefault="00BC58FC" w:rsidP="00BC58FC">
            <w:pPr>
              <w:spacing w:before="100"/>
              <w:ind w:left="0"/>
              <w:rPr>
                <w:color w:val="000000"/>
                <w:szCs w:val="24"/>
              </w:rPr>
            </w:pPr>
            <w:r w:rsidRPr="00BC58FC">
              <w:rPr>
                <w:color w:val="000000"/>
                <w:szCs w:val="24"/>
              </w:rPr>
              <w:t>Employer Identification No.:</w:t>
            </w:r>
          </w:p>
        </w:tc>
        <w:tc>
          <w:tcPr>
            <w:tcW w:w="270" w:type="dxa"/>
            <w:tcBorders>
              <w:bottom w:val="nil"/>
            </w:tcBorders>
          </w:tcPr>
          <w:p w14:paraId="341301DD" w14:textId="77777777" w:rsidR="00BC58FC" w:rsidRPr="00BC58FC" w:rsidRDefault="00BC58FC" w:rsidP="00BC58FC">
            <w:pPr>
              <w:spacing w:before="100"/>
              <w:rPr>
                <w:szCs w:val="24"/>
              </w:rPr>
            </w:pPr>
          </w:p>
        </w:tc>
        <w:tc>
          <w:tcPr>
            <w:tcW w:w="6660" w:type="dxa"/>
            <w:tcBorders>
              <w:top w:val="single" w:sz="4" w:space="0" w:color="auto"/>
              <w:bottom w:val="single" w:sz="4" w:space="0" w:color="auto"/>
            </w:tcBorders>
          </w:tcPr>
          <w:p w14:paraId="583B5234" w14:textId="77777777" w:rsidR="00BC58FC" w:rsidRPr="00BC58FC" w:rsidRDefault="00BC58FC" w:rsidP="00BC58FC">
            <w:pPr>
              <w:spacing w:before="100"/>
              <w:rPr>
                <w:szCs w:val="24"/>
              </w:rPr>
            </w:pPr>
          </w:p>
        </w:tc>
      </w:tr>
      <w:tr w:rsidR="00BF5606" w:rsidRPr="00BC58FC" w14:paraId="68276CE8" w14:textId="77777777" w:rsidTr="00BF5606">
        <w:trPr>
          <w:cantSplit/>
        </w:trPr>
        <w:tc>
          <w:tcPr>
            <w:tcW w:w="3762" w:type="dxa"/>
          </w:tcPr>
          <w:p w14:paraId="4290C86F" w14:textId="77777777" w:rsidR="00BF5606" w:rsidRPr="00BC58FC" w:rsidRDefault="00BF5606" w:rsidP="00BF5606">
            <w:pPr>
              <w:spacing w:before="100"/>
              <w:ind w:left="0"/>
              <w:rPr>
                <w:color w:val="000000"/>
                <w:szCs w:val="24"/>
              </w:rPr>
            </w:pPr>
            <w:r w:rsidRPr="00BC58FC">
              <w:rPr>
                <w:color w:val="000000"/>
                <w:szCs w:val="24"/>
              </w:rPr>
              <w:t>Texas Identification No.:</w:t>
            </w:r>
          </w:p>
        </w:tc>
        <w:tc>
          <w:tcPr>
            <w:tcW w:w="270" w:type="dxa"/>
            <w:tcBorders>
              <w:bottom w:val="nil"/>
            </w:tcBorders>
          </w:tcPr>
          <w:p w14:paraId="47661879" w14:textId="77777777" w:rsidR="00BF5606" w:rsidRPr="00BC58FC" w:rsidRDefault="00BF5606" w:rsidP="00BF5606">
            <w:pPr>
              <w:spacing w:before="100"/>
              <w:rPr>
                <w:szCs w:val="24"/>
              </w:rPr>
            </w:pPr>
          </w:p>
        </w:tc>
        <w:tc>
          <w:tcPr>
            <w:tcW w:w="6660" w:type="dxa"/>
            <w:tcBorders>
              <w:top w:val="single" w:sz="4" w:space="0" w:color="auto"/>
              <w:bottom w:val="single" w:sz="4" w:space="0" w:color="auto"/>
            </w:tcBorders>
          </w:tcPr>
          <w:p w14:paraId="32C5C51B" w14:textId="77777777" w:rsidR="00BF5606" w:rsidRPr="00BC58FC" w:rsidRDefault="00BF5606" w:rsidP="00BF5606">
            <w:pPr>
              <w:spacing w:before="100"/>
              <w:rPr>
                <w:szCs w:val="24"/>
              </w:rPr>
            </w:pPr>
          </w:p>
        </w:tc>
      </w:tr>
    </w:tbl>
    <w:p w14:paraId="35FAD482" w14:textId="77777777" w:rsidR="00BF5606" w:rsidRDefault="00BF5606" w:rsidP="00BC58FC">
      <w:pPr>
        <w:keepNext/>
        <w:spacing w:before="100"/>
        <w:ind w:left="0"/>
        <w:rPr>
          <w:szCs w:val="24"/>
        </w:rPr>
      </w:pPr>
    </w:p>
    <w:p w14:paraId="7DE0DE5B" w14:textId="77777777" w:rsidR="00BF5606" w:rsidRDefault="00BF5606">
      <w:pPr>
        <w:spacing w:after="160" w:line="259" w:lineRule="auto"/>
        <w:ind w:left="0"/>
        <w:rPr>
          <w:szCs w:val="24"/>
        </w:rPr>
      </w:pPr>
      <w:r>
        <w:rPr>
          <w:szCs w:val="24"/>
        </w:rPr>
        <w:br w:type="page"/>
      </w:r>
    </w:p>
    <w:p w14:paraId="4B89E0CA" w14:textId="72B75265" w:rsidR="00BC58FC" w:rsidRPr="00BC58FC" w:rsidRDefault="00BC58FC" w:rsidP="00BC58FC">
      <w:pPr>
        <w:keepNext/>
        <w:spacing w:before="100"/>
        <w:ind w:left="0"/>
        <w:rPr>
          <w:b/>
          <w:szCs w:val="24"/>
        </w:rPr>
      </w:pPr>
      <w:r w:rsidRPr="00BC58FC">
        <w:rPr>
          <w:szCs w:val="24"/>
        </w:rPr>
        <w:lastRenderedPageBreak/>
        <w:t xml:space="preserve">In an effort to minimize identity theft, every company/individual MUST have an Employer Identification Number (EIN), also known as a federal tax identification number prior to award of a contract. For information on obtaining your EIN, you may call 800-829-4933 or visit the following website: </w:t>
      </w:r>
      <w:hyperlink r:id="rId54" w:history="1">
        <w:r w:rsidRPr="00BC58FC">
          <w:rPr>
            <w:rStyle w:val="Hyperlink"/>
            <w:szCs w:val="24"/>
          </w:rPr>
          <w:t>https://www.irs.gov/businesses/small-businesses-self-employed/</w:t>
        </w:r>
      </w:hyperlink>
    </w:p>
    <w:p w14:paraId="03817D6D" w14:textId="77777777" w:rsidR="00BC58FC" w:rsidRPr="00BC58FC" w:rsidRDefault="00BC58FC" w:rsidP="00BC58FC">
      <w:pPr>
        <w:ind w:left="0"/>
        <w:rPr>
          <w:szCs w:val="24"/>
        </w:rPr>
      </w:pPr>
      <w:r w:rsidRPr="00BC58FC">
        <w:rPr>
          <w:szCs w:val="24"/>
        </w:rPr>
        <w:t xml:space="preserve">The Texas Identification Number is the payee identification number assigned and used by the Texas Comptroller of Public Accounts (CPA) to process payment for goods/services. Enter this number in the space provided above if number is not pre-printed. If this number is not known, please visit </w:t>
      </w:r>
      <w:hyperlink r:id="rId55" w:history="1">
        <w:r w:rsidRPr="00BC58FC">
          <w:rPr>
            <w:rStyle w:val="Hyperlink"/>
            <w:szCs w:val="24"/>
          </w:rPr>
          <w:t>https://fmx.cpa.texas.gov/fmx/login.php?page=/fmx/payment/forms/agy/AP-152/index.php</w:t>
        </w:r>
      </w:hyperlink>
      <w:r w:rsidRPr="00BC58FC">
        <w:rPr>
          <w:szCs w:val="24"/>
        </w:rPr>
        <w:t xml:space="preserve"> to set up a Texas Identification Number.</w:t>
      </w:r>
    </w:p>
    <w:p w14:paraId="64D055AD" w14:textId="436B7406" w:rsidR="00131B5D" w:rsidRPr="00BC58FC" w:rsidRDefault="00BC58FC" w:rsidP="00BC58FC">
      <w:pPr>
        <w:ind w:left="0"/>
        <w:rPr>
          <w:szCs w:val="24"/>
        </w:rPr>
      </w:pPr>
      <w:r w:rsidRPr="00BC58FC">
        <w:rPr>
          <w:szCs w:val="24"/>
        </w:rPr>
        <w:fldChar w:fldCharType="begin">
          <w:ffData>
            <w:name w:val="Check4"/>
            <w:enabled/>
            <w:calcOnExit w:val="0"/>
            <w:checkBox>
              <w:sizeAuto/>
              <w:default w:val="0"/>
            </w:checkBox>
          </w:ffData>
        </w:fldChar>
      </w:r>
      <w:bookmarkStart w:id="269" w:name="Check4"/>
      <w:r w:rsidRPr="00BC58FC">
        <w:rPr>
          <w:szCs w:val="24"/>
        </w:rPr>
        <w:instrText xml:space="preserve"> FORMCHECKBOX </w:instrText>
      </w:r>
      <w:r w:rsidR="006D43BC">
        <w:rPr>
          <w:szCs w:val="24"/>
        </w:rPr>
      </w:r>
      <w:r w:rsidR="006D43BC">
        <w:rPr>
          <w:szCs w:val="24"/>
        </w:rPr>
        <w:fldChar w:fldCharType="separate"/>
      </w:r>
      <w:r w:rsidRPr="00BC58FC">
        <w:rPr>
          <w:szCs w:val="24"/>
        </w:rPr>
        <w:fldChar w:fldCharType="end"/>
      </w:r>
      <w:bookmarkEnd w:id="269"/>
      <w:r w:rsidRPr="00BC58FC">
        <w:rPr>
          <w:szCs w:val="24"/>
        </w:rPr>
        <w:t xml:space="preserve">  Check here if you are a sole ownership or partnership and complete Section 3.21 of the TWC Terms </w:t>
      </w:r>
      <w:r w:rsidR="00CF20F5">
        <w:rPr>
          <w:szCs w:val="24"/>
        </w:rPr>
        <w:t>&amp;</w:t>
      </w:r>
      <w:r w:rsidRPr="00BC58FC">
        <w:rPr>
          <w:szCs w:val="24"/>
        </w:rPr>
        <w:t xml:space="preserve"> Conditions, Attachment 1.</w:t>
      </w:r>
    </w:p>
    <w:p w14:paraId="2773B387" w14:textId="77777777" w:rsidR="00131B5D" w:rsidRDefault="00131B5D" w:rsidP="00131B5D"/>
    <w:p w14:paraId="1CBB082E" w14:textId="77777777" w:rsidR="00131B5D" w:rsidRPr="00F36BE0" w:rsidRDefault="00131B5D" w:rsidP="00131B5D"/>
    <w:p w14:paraId="4E3580C9" w14:textId="77777777" w:rsidR="00131B5D" w:rsidRDefault="00131B5D" w:rsidP="00131B5D">
      <w:pPr>
        <w:rPr>
          <w:highlight w:val="yellow"/>
        </w:rPr>
        <w:sectPr w:rsidR="00131B5D" w:rsidSect="00C6186B">
          <w:headerReference w:type="default" r:id="rId56"/>
          <w:footerReference w:type="default" r:id="rId57"/>
          <w:pgSz w:w="12240" w:h="15840" w:code="1"/>
          <w:pgMar w:top="720" w:right="720" w:bottom="720" w:left="720" w:header="720" w:footer="432" w:gutter="0"/>
          <w:cols w:space="720"/>
          <w:docGrid w:linePitch="326"/>
        </w:sectPr>
      </w:pPr>
    </w:p>
    <w:p w14:paraId="646118EA" w14:textId="77777777" w:rsidR="00131B5D" w:rsidRPr="00E21848" w:rsidRDefault="00131B5D" w:rsidP="00131B5D">
      <w:pPr>
        <w:pStyle w:val="Heading2"/>
        <w:rPr>
          <w:lang w:eastAsia="en-AU"/>
        </w:rPr>
      </w:pPr>
      <w:bookmarkStart w:id="270" w:name="_Attachment_3_–"/>
      <w:bookmarkStart w:id="271" w:name="_Toc13567488"/>
      <w:bookmarkEnd w:id="270"/>
      <w:r w:rsidRPr="00E21848">
        <w:rPr>
          <w:lang w:eastAsia="en-AU"/>
        </w:rPr>
        <w:lastRenderedPageBreak/>
        <w:t xml:space="preserve">Attachment </w:t>
      </w:r>
      <w:r>
        <w:rPr>
          <w:lang w:eastAsia="en-AU"/>
        </w:rPr>
        <w:t>3</w:t>
      </w:r>
      <w:r w:rsidRPr="00E21848">
        <w:rPr>
          <w:lang w:eastAsia="en-AU"/>
        </w:rPr>
        <w:t xml:space="preserve"> – </w:t>
      </w:r>
      <w:r>
        <w:rPr>
          <w:lang w:eastAsia="en-AU"/>
        </w:rPr>
        <w:t>Offeror</w:t>
      </w:r>
      <w:r w:rsidRPr="00E21848">
        <w:rPr>
          <w:lang w:eastAsia="en-AU"/>
        </w:rPr>
        <w:t xml:space="preserve"> Questions &amp; Answers Template</w:t>
      </w:r>
      <w:bookmarkEnd w:id="271"/>
    </w:p>
    <w:p w14:paraId="3BD669D3" w14:textId="5F3E544B" w:rsidR="002027B4" w:rsidRDefault="002027B4" w:rsidP="002027B4">
      <w:pPr>
        <w:ind w:left="0"/>
      </w:pPr>
      <w:r w:rsidRPr="00E21848">
        <w:t xml:space="preserve">Offerors </w:t>
      </w:r>
      <w:r>
        <w:t xml:space="preserve">must </w:t>
      </w:r>
      <w:r w:rsidRPr="00E21848">
        <w:t>submit their questions using this template, including the specific RFO Section and Page related to each question.</w:t>
      </w:r>
      <w:r>
        <w:t xml:space="preserve"> </w:t>
      </w:r>
      <w:r w:rsidRPr="00E21848">
        <w:t xml:space="preserve">TWC </w:t>
      </w:r>
      <w:r>
        <w:t xml:space="preserve">will </w:t>
      </w:r>
      <w:r w:rsidRPr="00E21848">
        <w:t xml:space="preserve">respond in the same format and </w:t>
      </w:r>
      <w:r>
        <w:t xml:space="preserve">will </w:t>
      </w:r>
      <w:r w:rsidRPr="00E21848">
        <w:t>include an Amended RFO if needed.</w:t>
      </w:r>
      <w:r>
        <w:t xml:space="preserve"> </w:t>
      </w:r>
      <w:r w:rsidRPr="00E21848">
        <w:t>The answers refer to a specific location in the RFO whenever possible.</w:t>
      </w:r>
      <w:r>
        <w:t xml:space="preserve"> </w:t>
      </w:r>
      <w:r w:rsidRPr="00E21848">
        <w:t>If similar questions are asked, TWC may reference a response to another question.</w:t>
      </w:r>
      <w:r>
        <w:t xml:space="preserve"> </w:t>
      </w:r>
      <w:r w:rsidRPr="00E21848">
        <w:t>If TWC modifies the RFO in response to a</w:t>
      </w:r>
      <w:r>
        <w:t>n</w:t>
      </w:r>
      <w:r w:rsidRPr="00E21848">
        <w:t xml:space="preserve"> </w:t>
      </w:r>
      <w:r>
        <w:t>Offeror</w:t>
      </w:r>
      <w:r w:rsidRPr="00E21848">
        <w:t xml:space="preserve"> question, then TWC notes “Yes” in the last column on the right, RFO Modified to Clarify.</w:t>
      </w:r>
    </w:p>
    <w:p w14:paraId="7534A114" w14:textId="77777777" w:rsidR="002027B4" w:rsidRDefault="002027B4" w:rsidP="002027B4">
      <w:pPr>
        <w:ind w:left="0"/>
      </w:pP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Offeror question and answer template table"/>
      </w:tblPr>
      <w:tblGrid>
        <w:gridCol w:w="720"/>
        <w:gridCol w:w="1800"/>
        <w:gridCol w:w="1147"/>
        <w:gridCol w:w="3600"/>
        <w:gridCol w:w="1620"/>
        <w:gridCol w:w="2003"/>
      </w:tblGrid>
      <w:tr w:rsidR="002027B4" w:rsidRPr="00873442" w14:paraId="107B9DEE" w14:textId="77777777" w:rsidTr="0082575F">
        <w:trPr>
          <w:cantSplit/>
          <w:tblHeader/>
        </w:trPr>
        <w:tc>
          <w:tcPr>
            <w:tcW w:w="720" w:type="dxa"/>
            <w:shd w:val="clear" w:color="auto" w:fill="DBE5F1"/>
            <w:vAlign w:val="bottom"/>
          </w:tcPr>
          <w:p w14:paraId="20F14586" w14:textId="3F10A22C" w:rsidR="002027B4" w:rsidRPr="002027B4" w:rsidRDefault="002027B4" w:rsidP="00566451">
            <w:pPr>
              <w:spacing w:after="0"/>
              <w:ind w:left="0"/>
              <w:jc w:val="center"/>
              <w:rPr>
                <w:rFonts w:cs="Arial"/>
                <w:b/>
                <w:color w:val="1F3864" w:themeColor="accent5" w:themeShade="80"/>
              </w:rPr>
            </w:pPr>
            <w:r w:rsidRPr="002027B4">
              <w:rPr>
                <w:rFonts w:cs="Arial"/>
                <w:b/>
                <w:color w:val="1F3864" w:themeColor="accent5" w:themeShade="80"/>
              </w:rPr>
              <w:t>No.</w:t>
            </w:r>
          </w:p>
        </w:tc>
        <w:tc>
          <w:tcPr>
            <w:tcW w:w="1800" w:type="dxa"/>
            <w:shd w:val="clear" w:color="auto" w:fill="DBE5F1"/>
            <w:vAlign w:val="bottom"/>
          </w:tcPr>
          <w:p w14:paraId="6304F879" w14:textId="77777777" w:rsidR="002027B4" w:rsidRPr="002027B4" w:rsidRDefault="002027B4" w:rsidP="002027B4">
            <w:pPr>
              <w:spacing w:after="0"/>
              <w:ind w:left="0"/>
              <w:jc w:val="center"/>
              <w:rPr>
                <w:rFonts w:cs="Arial"/>
                <w:b/>
                <w:color w:val="1F3864" w:themeColor="accent5" w:themeShade="80"/>
              </w:rPr>
            </w:pPr>
            <w:r w:rsidRPr="002027B4">
              <w:rPr>
                <w:rFonts w:cs="Arial"/>
                <w:b/>
                <w:color w:val="1F3864" w:themeColor="accent5" w:themeShade="80"/>
              </w:rPr>
              <w:t>RFO Section</w:t>
            </w:r>
          </w:p>
        </w:tc>
        <w:tc>
          <w:tcPr>
            <w:tcW w:w="1147" w:type="dxa"/>
            <w:shd w:val="clear" w:color="auto" w:fill="DBE5F1"/>
            <w:vAlign w:val="bottom"/>
          </w:tcPr>
          <w:p w14:paraId="50BD2F25" w14:textId="77777777" w:rsidR="002027B4" w:rsidRPr="002027B4" w:rsidRDefault="002027B4" w:rsidP="002027B4">
            <w:pPr>
              <w:spacing w:after="0"/>
              <w:ind w:left="0"/>
              <w:jc w:val="center"/>
              <w:rPr>
                <w:rFonts w:cs="Arial"/>
                <w:b/>
                <w:color w:val="1F3864" w:themeColor="accent5" w:themeShade="80"/>
              </w:rPr>
            </w:pPr>
            <w:r w:rsidRPr="002027B4">
              <w:rPr>
                <w:rFonts w:cs="Arial"/>
                <w:b/>
                <w:color w:val="1F3864" w:themeColor="accent5" w:themeShade="80"/>
              </w:rPr>
              <w:t>Page</w:t>
            </w:r>
          </w:p>
        </w:tc>
        <w:tc>
          <w:tcPr>
            <w:tcW w:w="3600" w:type="dxa"/>
            <w:shd w:val="clear" w:color="auto" w:fill="DBE5F1"/>
            <w:vAlign w:val="bottom"/>
          </w:tcPr>
          <w:p w14:paraId="04C67B95" w14:textId="77777777" w:rsidR="002027B4" w:rsidRPr="002027B4" w:rsidRDefault="002027B4" w:rsidP="002027B4">
            <w:pPr>
              <w:spacing w:after="0"/>
              <w:ind w:left="0"/>
              <w:jc w:val="center"/>
              <w:rPr>
                <w:rFonts w:cs="Arial"/>
                <w:b/>
                <w:color w:val="1F3864" w:themeColor="accent5" w:themeShade="80"/>
              </w:rPr>
            </w:pPr>
            <w:r w:rsidRPr="002027B4">
              <w:rPr>
                <w:rFonts w:cs="Arial"/>
                <w:b/>
                <w:color w:val="1F3864" w:themeColor="accent5" w:themeShade="80"/>
              </w:rPr>
              <w:t>Question</w:t>
            </w:r>
          </w:p>
        </w:tc>
        <w:tc>
          <w:tcPr>
            <w:tcW w:w="1620" w:type="dxa"/>
            <w:shd w:val="clear" w:color="auto" w:fill="DBE5F1"/>
            <w:vAlign w:val="bottom"/>
          </w:tcPr>
          <w:p w14:paraId="4D7FAE23" w14:textId="77777777" w:rsidR="002027B4" w:rsidRPr="002027B4" w:rsidRDefault="002027B4" w:rsidP="002027B4">
            <w:pPr>
              <w:spacing w:after="0"/>
              <w:ind w:left="0"/>
              <w:jc w:val="center"/>
              <w:rPr>
                <w:rFonts w:cs="Arial"/>
                <w:b/>
                <w:color w:val="1F3864" w:themeColor="accent5" w:themeShade="80"/>
              </w:rPr>
            </w:pPr>
            <w:r w:rsidRPr="002027B4">
              <w:rPr>
                <w:rFonts w:cs="Arial"/>
                <w:b/>
                <w:color w:val="1F3864" w:themeColor="accent5" w:themeShade="80"/>
              </w:rPr>
              <w:t>Answer</w:t>
            </w:r>
          </w:p>
        </w:tc>
        <w:tc>
          <w:tcPr>
            <w:tcW w:w="2003" w:type="dxa"/>
            <w:shd w:val="clear" w:color="auto" w:fill="DBE5F1"/>
            <w:vAlign w:val="bottom"/>
          </w:tcPr>
          <w:p w14:paraId="36485898" w14:textId="77777777" w:rsidR="002027B4" w:rsidRPr="002027B4" w:rsidRDefault="002027B4" w:rsidP="002027B4">
            <w:pPr>
              <w:spacing w:after="0"/>
              <w:ind w:left="0"/>
              <w:jc w:val="center"/>
              <w:rPr>
                <w:rFonts w:cs="Arial"/>
                <w:b/>
                <w:color w:val="1F3864" w:themeColor="accent5" w:themeShade="80"/>
              </w:rPr>
            </w:pPr>
            <w:r w:rsidRPr="002027B4">
              <w:rPr>
                <w:rFonts w:cs="Arial"/>
                <w:b/>
                <w:color w:val="1F3864" w:themeColor="accent5" w:themeShade="80"/>
              </w:rPr>
              <w:t>RFO Modified to Clarify?</w:t>
            </w:r>
          </w:p>
        </w:tc>
      </w:tr>
      <w:tr w:rsidR="002027B4" w:rsidRPr="00873442" w14:paraId="630BF360" w14:textId="77777777" w:rsidTr="0082575F">
        <w:trPr>
          <w:cantSplit/>
        </w:trPr>
        <w:tc>
          <w:tcPr>
            <w:tcW w:w="720" w:type="dxa"/>
          </w:tcPr>
          <w:p w14:paraId="71667DB6" w14:textId="77777777" w:rsidR="002027B4" w:rsidRPr="00E21848" w:rsidRDefault="002027B4" w:rsidP="00F407CA">
            <w:pPr>
              <w:numPr>
                <w:ilvl w:val="0"/>
                <w:numId w:val="10"/>
              </w:numPr>
              <w:ind w:hanging="568"/>
              <w:rPr>
                <w:rFonts w:cs="Arial"/>
              </w:rPr>
            </w:pPr>
          </w:p>
        </w:tc>
        <w:tc>
          <w:tcPr>
            <w:tcW w:w="1800" w:type="dxa"/>
            <w:shd w:val="clear" w:color="auto" w:fill="auto"/>
          </w:tcPr>
          <w:p w14:paraId="03F1AF8C" w14:textId="77777777" w:rsidR="002027B4" w:rsidRPr="00873442" w:rsidRDefault="002027B4" w:rsidP="005507FE">
            <w:pPr>
              <w:rPr>
                <w:rFonts w:eastAsia="Calibri" w:cs="Arial"/>
                <w:color w:val="000000"/>
                <w:highlight w:val="yellow"/>
              </w:rPr>
            </w:pPr>
          </w:p>
        </w:tc>
        <w:tc>
          <w:tcPr>
            <w:tcW w:w="1147" w:type="dxa"/>
            <w:shd w:val="clear" w:color="auto" w:fill="auto"/>
          </w:tcPr>
          <w:p w14:paraId="69E84E38" w14:textId="77777777" w:rsidR="002027B4" w:rsidRPr="00873442" w:rsidRDefault="002027B4" w:rsidP="005507FE">
            <w:pPr>
              <w:rPr>
                <w:rFonts w:eastAsia="Calibri" w:cs="Arial"/>
                <w:color w:val="000000"/>
                <w:highlight w:val="yellow"/>
              </w:rPr>
            </w:pPr>
          </w:p>
        </w:tc>
        <w:tc>
          <w:tcPr>
            <w:tcW w:w="3600" w:type="dxa"/>
          </w:tcPr>
          <w:p w14:paraId="100DBBAC" w14:textId="77777777" w:rsidR="002027B4" w:rsidRPr="00873442" w:rsidRDefault="002027B4" w:rsidP="005507FE">
            <w:pPr>
              <w:rPr>
                <w:rFonts w:cs="Arial"/>
                <w:color w:val="000000"/>
                <w:highlight w:val="yellow"/>
              </w:rPr>
            </w:pPr>
          </w:p>
        </w:tc>
        <w:tc>
          <w:tcPr>
            <w:tcW w:w="1620" w:type="dxa"/>
          </w:tcPr>
          <w:p w14:paraId="79E57C97" w14:textId="77777777" w:rsidR="002027B4" w:rsidRPr="00873442" w:rsidRDefault="002027B4" w:rsidP="005507FE">
            <w:pPr>
              <w:rPr>
                <w:rFonts w:cs="Arial"/>
                <w:highlight w:val="yellow"/>
              </w:rPr>
            </w:pPr>
          </w:p>
        </w:tc>
        <w:tc>
          <w:tcPr>
            <w:tcW w:w="2003" w:type="dxa"/>
          </w:tcPr>
          <w:p w14:paraId="73E99527" w14:textId="77777777" w:rsidR="002027B4" w:rsidRPr="00873442" w:rsidRDefault="002027B4" w:rsidP="005507FE">
            <w:pPr>
              <w:jc w:val="center"/>
              <w:rPr>
                <w:rFonts w:cs="Arial"/>
                <w:color w:val="000000"/>
                <w:highlight w:val="yellow"/>
              </w:rPr>
            </w:pPr>
          </w:p>
        </w:tc>
      </w:tr>
      <w:tr w:rsidR="002027B4" w:rsidRPr="00873442" w14:paraId="188EC083" w14:textId="77777777" w:rsidTr="0082575F">
        <w:trPr>
          <w:cantSplit/>
        </w:trPr>
        <w:tc>
          <w:tcPr>
            <w:tcW w:w="720" w:type="dxa"/>
          </w:tcPr>
          <w:p w14:paraId="5C848D9A" w14:textId="77777777" w:rsidR="002027B4" w:rsidRPr="00E21848" w:rsidRDefault="002027B4" w:rsidP="00F407CA">
            <w:pPr>
              <w:numPr>
                <w:ilvl w:val="0"/>
                <w:numId w:val="10"/>
              </w:numPr>
              <w:ind w:hanging="568"/>
              <w:jc w:val="center"/>
              <w:rPr>
                <w:rFonts w:cs="Arial"/>
              </w:rPr>
            </w:pPr>
          </w:p>
        </w:tc>
        <w:tc>
          <w:tcPr>
            <w:tcW w:w="1800" w:type="dxa"/>
            <w:shd w:val="clear" w:color="auto" w:fill="auto"/>
          </w:tcPr>
          <w:p w14:paraId="64394414" w14:textId="77777777" w:rsidR="002027B4" w:rsidRPr="00873442" w:rsidRDefault="002027B4" w:rsidP="005507FE">
            <w:pPr>
              <w:rPr>
                <w:rFonts w:eastAsia="Calibri" w:cs="Arial"/>
                <w:color w:val="000000"/>
                <w:highlight w:val="yellow"/>
              </w:rPr>
            </w:pPr>
          </w:p>
        </w:tc>
        <w:tc>
          <w:tcPr>
            <w:tcW w:w="1147" w:type="dxa"/>
            <w:shd w:val="clear" w:color="auto" w:fill="auto"/>
          </w:tcPr>
          <w:p w14:paraId="03F5AC21" w14:textId="77777777" w:rsidR="002027B4" w:rsidRPr="00873442" w:rsidRDefault="002027B4" w:rsidP="005507FE">
            <w:pPr>
              <w:rPr>
                <w:rFonts w:eastAsia="Calibri" w:cs="Arial"/>
                <w:color w:val="000000"/>
                <w:highlight w:val="yellow"/>
              </w:rPr>
            </w:pPr>
          </w:p>
        </w:tc>
        <w:tc>
          <w:tcPr>
            <w:tcW w:w="3600" w:type="dxa"/>
          </w:tcPr>
          <w:p w14:paraId="02D920F2" w14:textId="77777777" w:rsidR="002027B4" w:rsidRPr="00873442" w:rsidRDefault="002027B4" w:rsidP="005507FE">
            <w:pPr>
              <w:rPr>
                <w:rFonts w:cs="Arial"/>
                <w:color w:val="000000"/>
                <w:highlight w:val="yellow"/>
              </w:rPr>
            </w:pPr>
          </w:p>
        </w:tc>
        <w:tc>
          <w:tcPr>
            <w:tcW w:w="1620" w:type="dxa"/>
          </w:tcPr>
          <w:p w14:paraId="5ED184CE" w14:textId="77777777" w:rsidR="002027B4" w:rsidRPr="00873442" w:rsidRDefault="002027B4" w:rsidP="005507FE">
            <w:pPr>
              <w:rPr>
                <w:rFonts w:cs="Arial"/>
                <w:highlight w:val="yellow"/>
              </w:rPr>
            </w:pPr>
          </w:p>
        </w:tc>
        <w:tc>
          <w:tcPr>
            <w:tcW w:w="2003" w:type="dxa"/>
          </w:tcPr>
          <w:p w14:paraId="26E0C914" w14:textId="77777777" w:rsidR="002027B4" w:rsidRPr="00873442" w:rsidRDefault="002027B4" w:rsidP="005507FE">
            <w:pPr>
              <w:jc w:val="center"/>
              <w:rPr>
                <w:rFonts w:cs="Arial"/>
                <w:color w:val="000000"/>
                <w:highlight w:val="yellow"/>
              </w:rPr>
            </w:pPr>
          </w:p>
        </w:tc>
      </w:tr>
      <w:tr w:rsidR="002027B4" w:rsidRPr="00873442" w14:paraId="0382EA00" w14:textId="77777777" w:rsidTr="0082575F">
        <w:trPr>
          <w:cantSplit/>
        </w:trPr>
        <w:tc>
          <w:tcPr>
            <w:tcW w:w="720" w:type="dxa"/>
          </w:tcPr>
          <w:p w14:paraId="377C1691" w14:textId="77777777" w:rsidR="002027B4" w:rsidRPr="00E21848" w:rsidRDefault="002027B4" w:rsidP="00F407CA">
            <w:pPr>
              <w:numPr>
                <w:ilvl w:val="0"/>
                <w:numId w:val="10"/>
              </w:numPr>
              <w:ind w:hanging="568"/>
              <w:jc w:val="center"/>
              <w:rPr>
                <w:rFonts w:cs="Arial"/>
              </w:rPr>
            </w:pPr>
          </w:p>
        </w:tc>
        <w:tc>
          <w:tcPr>
            <w:tcW w:w="1800" w:type="dxa"/>
            <w:shd w:val="clear" w:color="auto" w:fill="auto"/>
          </w:tcPr>
          <w:p w14:paraId="2E7A7C43" w14:textId="77777777" w:rsidR="002027B4" w:rsidRPr="00873442" w:rsidRDefault="002027B4" w:rsidP="005507FE">
            <w:pPr>
              <w:rPr>
                <w:rFonts w:eastAsia="Calibri" w:cs="Arial"/>
                <w:color w:val="000000"/>
                <w:highlight w:val="yellow"/>
              </w:rPr>
            </w:pPr>
          </w:p>
        </w:tc>
        <w:tc>
          <w:tcPr>
            <w:tcW w:w="1147" w:type="dxa"/>
            <w:shd w:val="clear" w:color="auto" w:fill="auto"/>
          </w:tcPr>
          <w:p w14:paraId="2BFDEA09" w14:textId="77777777" w:rsidR="002027B4" w:rsidRPr="00873442" w:rsidRDefault="002027B4" w:rsidP="005507FE">
            <w:pPr>
              <w:rPr>
                <w:rFonts w:eastAsia="Calibri" w:cs="Arial"/>
                <w:color w:val="000000"/>
                <w:highlight w:val="yellow"/>
              </w:rPr>
            </w:pPr>
          </w:p>
        </w:tc>
        <w:tc>
          <w:tcPr>
            <w:tcW w:w="3600" w:type="dxa"/>
          </w:tcPr>
          <w:p w14:paraId="470830FD" w14:textId="77777777" w:rsidR="002027B4" w:rsidRPr="00873442" w:rsidRDefault="002027B4" w:rsidP="005507FE">
            <w:pPr>
              <w:rPr>
                <w:rFonts w:cs="Arial"/>
                <w:color w:val="000000"/>
                <w:highlight w:val="yellow"/>
              </w:rPr>
            </w:pPr>
          </w:p>
        </w:tc>
        <w:tc>
          <w:tcPr>
            <w:tcW w:w="1620" w:type="dxa"/>
          </w:tcPr>
          <w:p w14:paraId="204C2BF5" w14:textId="77777777" w:rsidR="002027B4" w:rsidRPr="00873442" w:rsidRDefault="002027B4" w:rsidP="005507FE">
            <w:pPr>
              <w:rPr>
                <w:rFonts w:cs="Arial"/>
                <w:highlight w:val="yellow"/>
              </w:rPr>
            </w:pPr>
          </w:p>
        </w:tc>
        <w:tc>
          <w:tcPr>
            <w:tcW w:w="2003" w:type="dxa"/>
          </w:tcPr>
          <w:p w14:paraId="253F2BE0" w14:textId="77777777" w:rsidR="002027B4" w:rsidRPr="00873442" w:rsidRDefault="002027B4" w:rsidP="005507FE">
            <w:pPr>
              <w:jc w:val="center"/>
              <w:rPr>
                <w:rFonts w:cs="Arial"/>
                <w:color w:val="000000"/>
                <w:highlight w:val="yellow"/>
              </w:rPr>
            </w:pPr>
          </w:p>
        </w:tc>
      </w:tr>
      <w:tr w:rsidR="002027B4" w:rsidRPr="00873442" w14:paraId="6A0287FB" w14:textId="77777777" w:rsidTr="0082575F">
        <w:trPr>
          <w:cantSplit/>
        </w:trPr>
        <w:tc>
          <w:tcPr>
            <w:tcW w:w="720" w:type="dxa"/>
          </w:tcPr>
          <w:p w14:paraId="5057A943" w14:textId="77777777" w:rsidR="002027B4" w:rsidRPr="00E21848" w:rsidRDefault="002027B4" w:rsidP="00F407CA">
            <w:pPr>
              <w:numPr>
                <w:ilvl w:val="0"/>
                <w:numId w:val="10"/>
              </w:numPr>
              <w:ind w:hanging="568"/>
              <w:jc w:val="center"/>
              <w:rPr>
                <w:rFonts w:cs="Arial"/>
              </w:rPr>
            </w:pPr>
          </w:p>
        </w:tc>
        <w:tc>
          <w:tcPr>
            <w:tcW w:w="1800" w:type="dxa"/>
            <w:shd w:val="clear" w:color="auto" w:fill="auto"/>
          </w:tcPr>
          <w:p w14:paraId="4E055012" w14:textId="77777777" w:rsidR="002027B4" w:rsidRPr="00873442" w:rsidRDefault="002027B4" w:rsidP="005507FE">
            <w:pPr>
              <w:rPr>
                <w:rFonts w:eastAsia="Calibri" w:cs="Arial"/>
                <w:color w:val="000000"/>
                <w:highlight w:val="yellow"/>
              </w:rPr>
            </w:pPr>
          </w:p>
        </w:tc>
        <w:tc>
          <w:tcPr>
            <w:tcW w:w="1147" w:type="dxa"/>
            <w:shd w:val="clear" w:color="auto" w:fill="auto"/>
          </w:tcPr>
          <w:p w14:paraId="3CDDAF7C" w14:textId="77777777" w:rsidR="002027B4" w:rsidRPr="00873442" w:rsidRDefault="002027B4" w:rsidP="005507FE">
            <w:pPr>
              <w:rPr>
                <w:rFonts w:eastAsia="Calibri" w:cs="Arial"/>
                <w:color w:val="000000"/>
                <w:highlight w:val="yellow"/>
              </w:rPr>
            </w:pPr>
          </w:p>
        </w:tc>
        <w:tc>
          <w:tcPr>
            <w:tcW w:w="3600" w:type="dxa"/>
          </w:tcPr>
          <w:p w14:paraId="1FA205EF" w14:textId="77777777" w:rsidR="002027B4" w:rsidRPr="00873442" w:rsidRDefault="002027B4" w:rsidP="005507FE">
            <w:pPr>
              <w:rPr>
                <w:rFonts w:cs="Arial"/>
                <w:color w:val="000000"/>
                <w:highlight w:val="yellow"/>
              </w:rPr>
            </w:pPr>
          </w:p>
        </w:tc>
        <w:tc>
          <w:tcPr>
            <w:tcW w:w="1620" w:type="dxa"/>
          </w:tcPr>
          <w:p w14:paraId="25CA6C28" w14:textId="77777777" w:rsidR="002027B4" w:rsidRPr="00873442" w:rsidRDefault="002027B4" w:rsidP="005507FE">
            <w:pPr>
              <w:rPr>
                <w:rFonts w:cs="Arial"/>
                <w:highlight w:val="yellow"/>
              </w:rPr>
            </w:pPr>
          </w:p>
        </w:tc>
        <w:tc>
          <w:tcPr>
            <w:tcW w:w="2003" w:type="dxa"/>
          </w:tcPr>
          <w:p w14:paraId="61A3F533" w14:textId="77777777" w:rsidR="002027B4" w:rsidRPr="00873442" w:rsidRDefault="002027B4" w:rsidP="005507FE">
            <w:pPr>
              <w:jc w:val="center"/>
              <w:rPr>
                <w:rFonts w:cs="Arial"/>
                <w:color w:val="000000"/>
                <w:highlight w:val="yellow"/>
              </w:rPr>
            </w:pPr>
          </w:p>
        </w:tc>
      </w:tr>
      <w:tr w:rsidR="002027B4" w:rsidRPr="00873442" w14:paraId="467D5046" w14:textId="77777777" w:rsidTr="0082575F">
        <w:trPr>
          <w:cantSplit/>
        </w:trPr>
        <w:tc>
          <w:tcPr>
            <w:tcW w:w="720" w:type="dxa"/>
          </w:tcPr>
          <w:p w14:paraId="7E279BF2" w14:textId="77777777" w:rsidR="002027B4" w:rsidRPr="00E21848" w:rsidRDefault="002027B4" w:rsidP="00F407CA">
            <w:pPr>
              <w:numPr>
                <w:ilvl w:val="0"/>
                <w:numId w:val="10"/>
              </w:numPr>
              <w:ind w:hanging="568"/>
              <w:jc w:val="center"/>
              <w:rPr>
                <w:rFonts w:cs="Arial"/>
              </w:rPr>
            </w:pPr>
          </w:p>
        </w:tc>
        <w:tc>
          <w:tcPr>
            <w:tcW w:w="1800" w:type="dxa"/>
            <w:shd w:val="clear" w:color="auto" w:fill="auto"/>
          </w:tcPr>
          <w:p w14:paraId="5096851B" w14:textId="77777777" w:rsidR="002027B4" w:rsidRPr="00873442" w:rsidRDefault="002027B4" w:rsidP="005507FE">
            <w:pPr>
              <w:rPr>
                <w:rFonts w:eastAsia="Calibri" w:cs="Arial"/>
                <w:color w:val="000000"/>
                <w:highlight w:val="yellow"/>
              </w:rPr>
            </w:pPr>
          </w:p>
        </w:tc>
        <w:tc>
          <w:tcPr>
            <w:tcW w:w="1147" w:type="dxa"/>
            <w:shd w:val="clear" w:color="auto" w:fill="auto"/>
          </w:tcPr>
          <w:p w14:paraId="397D2FC1" w14:textId="77777777" w:rsidR="002027B4" w:rsidRPr="00873442" w:rsidRDefault="002027B4" w:rsidP="005507FE">
            <w:pPr>
              <w:rPr>
                <w:rFonts w:eastAsia="Calibri" w:cs="Arial"/>
                <w:color w:val="000000"/>
                <w:highlight w:val="yellow"/>
              </w:rPr>
            </w:pPr>
          </w:p>
        </w:tc>
        <w:tc>
          <w:tcPr>
            <w:tcW w:w="3600" w:type="dxa"/>
          </w:tcPr>
          <w:p w14:paraId="129DDBE1" w14:textId="77777777" w:rsidR="002027B4" w:rsidRPr="00873442" w:rsidRDefault="002027B4" w:rsidP="005507FE">
            <w:pPr>
              <w:rPr>
                <w:rFonts w:cs="Arial"/>
                <w:color w:val="000000"/>
                <w:highlight w:val="yellow"/>
              </w:rPr>
            </w:pPr>
          </w:p>
        </w:tc>
        <w:tc>
          <w:tcPr>
            <w:tcW w:w="1620" w:type="dxa"/>
          </w:tcPr>
          <w:p w14:paraId="4D08F545" w14:textId="77777777" w:rsidR="002027B4" w:rsidRPr="00873442" w:rsidRDefault="002027B4" w:rsidP="005507FE">
            <w:pPr>
              <w:rPr>
                <w:rFonts w:cs="Arial"/>
                <w:highlight w:val="yellow"/>
              </w:rPr>
            </w:pPr>
          </w:p>
        </w:tc>
        <w:tc>
          <w:tcPr>
            <w:tcW w:w="2003" w:type="dxa"/>
          </w:tcPr>
          <w:p w14:paraId="6BB62A2F" w14:textId="77777777" w:rsidR="002027B4" w:rsidRPr="00873442" w:rsidRDefault="002027B4" w:rsidP="005507FE">
            <w:pPr>
              <w:jc w:val="center"/>
              <w:rPr>
                <w:rFonts w:cs="Arial"/>
                <w:color w:val="000000"/>
                <w:highlight w:val="yellow"/>
              </w:rPr>
            </w:pPr>
          </w:p>
        </w:tc>
      </w:tr>
      <w:tr w:rsidR="002027B4" w:rsidRPr="00873442" w14:paraId="08648284" w14:textId="77777777" w:rsidTr="0082575F">
        <w:trPr>
          <w:cantSplit/>
        </w:trPr>
        <w:tc>
          <w:tcPr>
            <w:tcW w:w="720" w:type="dxa"/>
          </w:tcPr>
          <w:p w14:paraId="507D695E" w14:textId="77777777" w:rsidR="002027B4" w:rsidRPr="00E21848" w:rsidRDefault="002027B4" w:rsidP="00F407CA">
            <w:pPr>
              <w:numPr>
                <w:ilvl w:val="0"/>
                <w:numId w:val="10"/>
              </w:numPr>
              <w:ind w:hanging="568"/>
              <w:jc w:val="center"/>
              <w:rPr>
                <w:rFonts w:cs="Arial"/>
              </w:rPr>
            </w:pPr>
          </w:p>
        </w:tc>
        <w:tc>
          <w:tcPr>
            <w:tcW w:w="1800" w:type="dxa"/>
            <w:shd w:val="clear" w:color="auto" w:fill="auto"/>
          </w:tcPr>
          <w:p w14:paraId="7640101D" w14:textId="77777777" w:rsidR="002027B4" w:rsidRPr="00873442" w:rsidRDefault="002027B4" w:rsidP="005507FE">
            <w:pPr>
              <w:rPr>
                <w:rFonts w:eastAsia="Calibri" w:cs="Arial"/>
                <w:color w:val="000000"/>
                <w:highlight w:val="yellow"/>
              </w:rPr>
            </w:pPr>
          </w:p>
        </w:tc>
        <w:tc>
          <w:tcPr>
            <w:tcW w:w="1147" w:type="dxa"/>
            <w:shd w:val="clear" w:color="auto" w:fill="auto"/>
          </w:tcPr>
          <w:p w14:paraId="12B727FE" w14:textId="77777777" w:rsidR="002027B4" w:rsidRPr="00873442" w:rsidRDefault="002027B4" w:rsidP="005507FE">
            <w:pPr>
              <w:rPr>
                <w:rFonts w:eastAsia="Calibri" w:cs="Arial"/>
                <w:color w:val="000000"/>
                <w:highlight w:val="yellow"/>
              </w:rPr>
            </w:pPr>
          </w:p>
        </w:tc>
        <w:tc>
          <w:tcPr>
            <w:tcW w:w="3600" w:type="dxa"/>
          </w:tcPr>
          <w:p w14:paraId="1785EDB4" w14:textId="77777777" w:rsidR="002027B4" w:rsidRPr="00873442" w:rsidRDefault="002027B4" w:rsidP="005507FE">
            <w:pPr>
              <w:rPr>
                <w:rFonts w:cs="Arial"/>
                <w:color w:val="000000"/>
                <w:highlight w:val="yellow"/>
              </w:rPr>
            </w:pPr>
          </w:p>
        </w:tc>
        <w:tc>
          <w:tcPr>
            <w:tcW w:w="1620" w:type="dxa"/>
          </w:tcPr>
          <w:p w14:paraId="07FCCF3C" w14:textId="77777777" w:rsidR="002027B4" w:rsidRPr="00873442" w:rsidRDefault="002027B4" w:rsidP="005507FE">
            <w:pPr>
              <w:rPr>
                <w:rFonts w:cs="Arial"/>
                <w:highlight w:val="yellow"/>
              </w:rPr>
            </w:pPr>
          </w:p>
        </w:tc>
        <w:tc>
          <w:tcPr>
            <w:tcW w:w="2003" w:type="dxa"/>
          </w:tcPr>
          <w:p w14:paraId="08A6F729" w14:textId="77777777" w:rsidR="002027B4" w:rsidRPr="00873442" w:rsidRDefault="002027B4" w:rsidP="005507FE">
            <w:pPr>
              <w:jc w:val="center"/>
              <w:rPr>
                <w:rFonts w:cs="Arial"/>
                <w:color w:val="000000"/>
                <w:highlight w:val="yellow"/>
              </w:rPr>
            </w:pPr>
          </w:p>
        </w:tc>
      </w:tr>
      <w:tr w:rsidR="002027B4" w:rsidRPr="00873442" w14:paraId="01639981" w14:textId="77777777" w:rsidTr="0082575F">
        <w:trPr>
          <w:cantSplit/>
        </w:trPr>
        <w:tc>
          <w:tcPr>
            <w:tcW w:w="720" w:type="dxa"/>
          </w:tcPr>
          <w:p w14:paraId="12EFB249" w14:textId="77777777" w:rsidR="002027B4" w:rsidRPr="00E21848" w:rsidRDefault="002027B4" w:rsidP="00F407CA">
            <w:pPr>
              <w:numPr>
                <w:ilvl w:val="0"/>
                <w:numId w:val="10"/>
              </w:numPr>
              <w:ind w:hanging="568"/>
              <w:jc w:val="center"/>
              <w:rPr>
                <w:rFonts w:cs="Arial"/>
              </w:rPr>
            </w:pPr>
          </w:p>
        </w:tc>
        <w:tc>
          <w:tcPr>
            <w:tcW w:w="1800" w:type="dxa"/>
            <w:shd w:val="clear" w:color="auto" w:fill="auto"/>
          </w:tcPr>
          <w:p w14:paraId="10975411" w14:textId="77777777" w:rsidR="002027B4" w:rsidRPr="00873442" w:rsidRDefault="002027B4" w:rsidP="005507FE">
            <w:pPr>
              <w:rPr>
                <w:rFonts w:eastAsia="Calibri" w:cs="Arial"/>
                <w:color w:val="000000"/>
                <w:highlight w:val="yellow"/>
              </w:rPr>
            </w:pPr>
          </w:p>
        </w:tc>
        <w:tc>
          <w:tcPr>
            <w:tcW w:w="1147" w:type="dxa"/>
            <w:shd w:val="clear" w:color="auto" w:fill="auto"/>
          </w:tcPr>
          <w:p w14:paraId="1880D6D6" w14:textId="77777777" w:rsidR="002027B4" w:rsidRPr="00873442" w:rsidRDefault="002027B4" w:rsidP="005507FE">
            <w:pPr>
              <w:rPr>
                <w:rFonts w:eastAsia="Calibri" w:cs="Arial"/>
                <w:color w:val="000000"/>
                <w:highlight w:val="yellow"/>
              </w:rPr>
            </w:pPr>
          </w:p>
        </w:tc>
        <w:tc>
          <w:tcPr>
            <w:tcW w:w="3600" w:type="dxa"/>
          </w:tcPr>
          <w:p w14:paraId="21BE8E3C" w14:textId="77777777" w:rsidR="002027B4" w:rsidRPr="00873442" w:rsidRDefault="002027B4" w:rsidP="005507FE">
            <w:pPr>
              <w:rPr>
                <w:rFonts w:cs="Arial"/>
                <w:color w:val="000000"/>
                <w:highlight w:val="yellow"/>
              </w:rPr>
            </w:pPr>
          </w:p>
        </w:tc>
        <w:tc>
          <w:tcPr>
            <w:tcW w:w="1620" w:type="dxa"/>
          </w:tcPr>
          <w:p w14:paraId="26635A02" w14:textId="77777777" w:rsidR="002027B4" w:rsidRPr="00873442" w:rsidRDefault="002027B4" w:rsidP="005507FE">
            <w:pPr>
              <w:rPr>
                <w:rFonts w:cs="Arial"/>
                <w:highlight w:val="yellow"/>
              </w:rPr>
            </w:pPr>
          </w:p>
        </w:tc>
        <w:tc>
          <w:tcPr>
            <w:tcW w:w="2003" w:type="dxa"/>
          </w:tcPr>
          <w:p w14:paraId="4C80B9C5" w14:textId="77777777" w:rsidR="002027B4" w:rsidRPr="00873442" w:rsidRDefault="002027B4" w:rsidP="005507FE">
            <w:pPr>
              <w:jc w:val="center"/>
              <w:rPr>
                <w:rFonts w:cs="Arial"/>
                <w:color w:val="000000"/>
                <w:highlight w:val="yellow"/>
              </w:rPr>
            </w:pPr>
          </w:p>
        </w:tc>
      </w:tr>
      <w:tr w:rsidR="002027B4" w:rsidRPr="00873442" w14:paraId="777E685D" w14:textId="77777777" w:rsidTr="0082575F">
        <w:trPr>
          <w:cantSplit/>
        </w:trPr>
        <w:tc>
          <w:tcPr>
            <w:tcW w:w="720" w:type="dxa"/>
          </w:tcPr>
          <w:p w14:paraId="6504A2A8" w14:textId="77777777" w:rsidR="002027B4" w:rsidRPr="00E21848" w:rsidRDefault="002027B4" w:rsidP="00F407CA">
            <w:pPr>
              <w:numPr>
                <w:ilvl w:val="0"/>
                <w:numId w:val="10"/>
              </w:numPr>
              <w:ind w:hanging="568"/>
              <w:jc w:val="center"/>
              <w:rPr>
                <w:rFonts w:cs="Arial"/>
              </w:rPr>
            </w:pPr>
          </w:p>
        </w:tc>
        <w:tc>
          <w:tcPr>
            <w:tcW w:w="1800" w:type="dxa"/>
            <w:shd w:val="clear" w:color="auto" w:fill="auto"/>
          </w:tcPr>
          <w:p w14:paraId="7DE0FB18" w14:textId="77777777" w:rsidR="002027B4" w:rsidRPr="00873442" w:rsidRDefault="002027B4" w:rsidP="005507FE">
            <w:pPr>
              <w:rPr>
                <w:rFonts w:eastAsia="Calibri" w:cs="Arial"/>
                <w:color w:val="000000"/>
                <w:highlight w:val="yellow"/>
              </w:rPr>
            </w:pPr>
          </w:p>
        </w:tc>
        <w:tc>
          <w:tcPr>
            <w:tcW w:w="1147" w:type="dxa"/>
            <w:shd w:val="clear" w:color="auto" w:fill="auto"/>
          </w:tcPr>
          <w:p w14:paraId="3B0DBAE2" w14:textId="77777777" w:rsidR="002027B4" w:rsidRPr="00873442" w:rsidRDefault="002027B4" w:rsidP="005507FE">
            <w:pPr>
              <w:rPr>
                <w:rFonts w:eastAsia="Calibri" w:cs="Arial"/>
                <w:color w:val="000000"/>
                <w:highlight w:val="yellow"/>
              </w:rPr>
            </w:pPr>
          </w:p>
        </w:tc>
        <w:tc>
          <w:tcPr>
            <w:tcW w:w="3600" w:type="dxa"/>
          </w:tcPr>
          <w:p w14:paraId="18C750FD" w14:textId="77777777" w:rsidR="002027B4" w:rsidRPr="00873442" w:rsidRDefault="002027B4" w:rsidP="005507FE">
            <w:pPr>
              <w:rPr>
                <w:rFonts w:cs="Arial"/>
                <w:color w:val="000000"/>
                <w:highlight w:val="yellow"/>
              </w:rPr>
            </w:pPr>
          </w:p>
        </w:tc>
        <w:tc>
          <w:tcPr>
            <w:tcW w:w="1620" w:type="dxa"/>
          </w:tcPr>
          <w:p w14:paraId="317AA811" w14:textId="77777777" w:rsidR="002027B4" w:rsidRPr="00873442" w:rsidRDefault="002027B4" w:rsidP="005507FE">
            <w:pPr>
              <w:rPr>
                <w:rFonts w:cs="Arial"/>
                <w:highlight w:val="yellow"/>
              </w:rPr>
            </w:pPr>
          </w:p>
        </w:tc>
        <w:tc>
          <w:tcPr>
            <w:tcW w:w="2003" w:type="dxa"/>
          </w:tcPr>
          <w:p w14:paraId="498E69D2" w14:textId="77777777" w:rsidR="002027B4" w:rsidRPr="00873442" w:rsidRDefault="002027B4" w:rsidP="005507FE">
            <w:pPr>
              <w:jc w:val="center"/>
              <w:rPr>
                <w:rFonts w:cs="Arial"/>
                <w:color w:val="000000"/>
                <w:highlight w:val="yellow"/>
              </w:rPr>
            </w:pPr>
          </w:p>
        </w:tc>
      </w:tr>
      <w:tr w:rsidR="002027B4" w:rsidRPr="00873442" w14:paraId="0CEF12EA" w14:textId="77777777" w:rsidTr="0082575F">
        <w:trPr>
          <w:cantSplit/>
        </w:trPr>
        <w:tc>
          <w:tcPr>
            <w:tcW w:w="720" w:type="dxa"/>
          </w:tcPr>
          <w:p w14:paraId="4776B823" w14:textId="77777777" w:rsidR="002027B4" w:rsidRPr="00E21848" w:rsidRDefault="002027B4" w:rsidP="00F407CA">
            <w:pPr>
              <w:numPr>
                <w:ilvl w:val="0"/>
                <w:numId w:val="10"/>
              </w:numPr>
              <w:ind w:hanging="568"/>
              <w:jc w:val="center"/>
              <w:rPr>
                <w:rFonts w:cs="Arial"/>
              </w:rPr>
            </w:pPr>
          </w:p>
        </w:tc>
        <w:tc>
          <w:tcPr>
            <w:tcW w:w="1800" w:type="dxa"/>
            <w:shd w:val="clear" w:color="auto" w:fill="auto"/>
          </w:tcPr>
          <w:p w14:paraId="3082F666" w14:textId="77777777" w:rsidR="002027B4" w:rsidRPr="00873442" w:rsidRDefault="002027B4" w:rsidP="005507FE">
            <w:pPr>
              <w:rPr>
                <w:rFonts w:eastAsia="Calibri" w:cs="Arial"/>
                <w:color w:val="000000"/>
                <w:highlight w:val="yellow"/>
              </w:rPr>
            </w:pPr>
          </w:p>
        </w:tc>
        <w:tc>
          <w:tcPr>
            <w:tcW w:w="1147" w:type="dxa"/>
            <w:shd w:val="clear" w:color="auto" w:fill="auto"/>
          </w:tcPr>
          <w:p w14:paraId="2B337F2C" w14:textId="77777777" w:rsidR="002027B4" w:rsidRPr="00873442" w:rsidRDefault="002027B4" w:rsidP="005507FE">
            <w:pPr>
              <w:rPr>
                <w:rFonts w:eastAsia="Calibri" w:cs="Arial"/>
                <w:color w:val="000000"/>
                <w:highlight w:val="yellow"/>
              </w:rPr>
            </w:pPr>
          </w:p>
        </w:tc>
        <w:tc>
          <w:tcPr>
            <w:tcW w:w="3600" w:type="dxa"/>
          </w:tcPr>
          <w:p w14:paraId="71A285D6" w14:textId="77777777" w:rsidR="002027B4" w:rsidRPr="00873442" w:rsidRDefault="002027B4" w:rsidP="005507FE">
            <w:pPr>
              <w:rPr>
                <w:rFonts w:cs="Arial"/>
                <w:color w:val="000000"/>
                <w:highlight w:val="yellow"/>
              </w:rPr>
            </w:pPr>
          </w:p>
        </w:tc>
        <w:tc>
          <w:tcPr>
            <w:tcW w:w="1620" w:type="dxa"/>
          </w:tcPr>
          <w:p w14:paraId="02F54E32" w14:textId="77777777" w:rsidR="002027B4" w:rsidRPr="00873442" w:rsidRDefault="002027B4" w:rsidP="005507FE">
            <w:pPr>
              <w:rPr>
                <w:rFonts w:cs="Arial"/>
                <w:highlight w:val="yellow"/>
              </w:rPr>
            </w:pPr>
          </w:p>
        </w:tc>
        <w:tc>
          <w:tcPr>
            <w:tcW w:w="2003" w:type="dxa"/>
          </w:tcPr>
          <w:p w14:paraId="17C57390" w14:textId="77777777" w:rsidR="002027B4" w:rsidRPr="00873442" w:rsidRDefault="002027B4" w:rsidP="005507FE">
            <w:pPr>
              <w:jc w:val="center"/>
              <w:rPr>
                <w:rFonts w:cs="Arial"/>
                <w:color w:val="000000"/>
                <w:highlight w:val="yellow"/>
              </w:rPr>
            </w:pPr>
          </w:p>
        </w:tc>
      </w:tr>
      <w:tr w:rsidR="002027B4" w:rsidRPr="008F4454" w14:paraId="16A699EE" w14:textId="77777777" w:rsidTr="0082575F">
        <w:trPr>
          <w:cantSplit/>
        </w:trPr>
        <w:tc>
          <w:tcPr>
            <w:tcW w:w="720" w:type="dxa"/>
          </w:tcPr>
          <w:p w14:paraId="4AB55CF2" w14:textId="77777777" w:rsidR="002027B4" w:rsidRPr="00E21848" w:rsidRDefault="002027B4" w:rsidP="00F407CA">
            <w:pPr>
              <w:numPr>
                <w:ilvl w:val="0"/>
                <w:numId w:val="10"/>
              </w:numPr>
              <w:ind w:hanging="568"/>
              <w:jc w:val="center"/>
              <w:rPr>
                <w:rFonts w:cs="Arial"/>
              </w:rPr>
            </w:pPr>
          </w:p>
        </w:tc>
        <w:tc>
          <w:tcPr>
            <w:tcW w:w="1800" w:type="dxa"/>
            <w:shd w:val="clear" w:color="auto" w:fill="auto"/>
          </w:tcPr>
          <w:p w14:paraId="2ABB83C3" w14:textId="77777777" w:rsidR="002027B4" w:rsidRPr="00CD7F7D" w:rsidRDefault="002027B4" w:rsidP="005507FE">
            <w:pPr>
              <w:rPr>
                <w:rFonts w:eastAsia="Calibri" w:cs="Arial"/>
                <w:color w:val="000000"/>
              </w:rPr>
            </w:pPr>
          </w:p>
        </w:tc>
        <w:tc>
          <w:tcPr>
            <w:tcW w:w="1147" w:type="dxa"/>
            <w:shd w:val="clear" w:color="auto" w:fill="auto"/>
          </w:tcPr>
          <w:p w14:paraId="76BA8D21" w14:textId="77777777" w:rsidR="002027B4" w:rsidRPr="00CD7F7D" w:rsidRDefault="002027B4" w:rsidP="005507FE">
            <w:pPr>
              <w:rPr>
                <w:rFonts w:eastAsia="Calibri" w:cs="Arial"/>
                <w:color w:val="000000"/>
              </w:rPr>
            </w:pPr>
          </w:p>
        </w:tc>
        <w:tc>
          <w:tcPr>
            <w:tcW w:w="3600" w:type="dxa"/>
          </w:tcPr>
          <w:p w14:paraId="6DC51B27" w14:textId="77777777" w:rsidR="002027B4" w:rsidRPr="008F4454" w:rsidRDefault="002027B4" w:rsidP="005507FE">
            <w:pPr>
              <w:rPr>
                <w:rFonts w:cs="Arial"/>
                <w:color w:val="000000"/>
              </w:rPr>
            </w:pPr>
          </w:p>
        </w:tc>
        <w:tc>
          <w:tcPr>
            <w:tcW w:w="1620" w:type="dxa"/>
          </w:tcPr>
          <w:p w14:paraId="3DAFA439" w14:textId="77777777" w:rsidR="002027B4" w:rsidRPr="008F4454" w:rsidRDefault="002027B4" w:rsidP="005507FE">
            <w:pPr>
              <w:rPr>
                <w:rFonts w:cs="Arial"/>
              </w:rPr>
            </w:pPr>
          </w:p>
        </w:tc>
        <w:tc>
          <w:tcPr>
            <w:tcW w:w="2003" w:type="dxa"/>
          </w:tcPr>
          <w:p w14:paraId="163BFEB1" w14:textId="77777777" w:rsidR="002027B4" w:rsidRPr="008F4454" w:rsidRDefault="002027B4" w:rsidP="005507FE">
            <w:pPr>
              <w:jc w:val="center"/>
              <w:rPr>
                <w:rFonts w:cs="Arial"/>
                <w:color w:val="000000"/>
              </w:rPr>
            </w:pPr>
          </w:p>
        </w:tc>
      </w:tr>
    </w:tbl>
    <w:p w14:paraId="0DCE7A52" w14:textId="77777777" w:rsidR="00131B5D" w:rsidRDefault="00131B5D" w:rsidP="00131B5D"/>
    <w:p w14:paraId="45374F4D" w14:textId="77777777" w:rsidR="00131B5D" w:rsidRDefault="00131B5D" w:rsidP="00131B5D"/>
    <w:p w14:paraId="75EA254F" w14:textId="77777777" w:rsidR="00131B5D" w:rsidRPr="00F36BE0" w:rsidRDefault="00131B5D" w:rsidP="00131B5D"/>
    <w:p w14:paraId="32A63240" w14:textId="77777777" w:rsidR="00131B5D" w:rsidRDefault="00131B5D" w:rsidP="00131B5D">
      <w:pPr>
        <w:rPr>
          <w:highlight w:val="yellow"/>
        </w:rPr>
        <w:sectPr w:rsidR="00131B5D" w:rsidSect="00C6186B">
          <w:headerReference w:type="default" r:id="rId58"/>
          <w:footerReference w:type="default" r:id="rId59"/>
          <w:pgSz w:w="12240" w:h="15840" w:code="1"/>
          <w:pgMar w:top="720" w:right="720" w:bottom="720" w:left="720" w:header="720" w:footer="432" w:gutter="0"/>
          <w:cols w:space="720"/>
          <w:docGrid w:linePitch="326"/>
        </w:sectPr>
      </w:pPr>
    </w:p>
    <w:p w14:paraId="7C05B041" w14:textId="70843E85" w:rsidR="00131B5D" w:rsidRPr="008259A9" w:rsidRDefault="00131B5D" w:rsidP="00131B5D">
      <w:pPr>
        <w:pStyle w:val="Heading2"/>
        <w:rPr>
          <w:lang w:eastAsia="en-AU"/>
        </w:rPr>
      </w:pPr>
      <w:bookmarkStart w:id="272" w:name="_Attachment_4_–"/>
      <w:bookmarkStart w:id="273" w:name="_Toc13567489"/>
      <w:bookmarkEnd w:id="272"/>
      <w:r w:rsidRPr="008259A9">
        <w:rPr>
          <w:lang w:eastAsia="en-AU"/>
        </w:rPr>
        <w:lastRenderedPageBreak/>
        <w:t xml:space="preserve">Attachment 4 – </w:t>
      </w:r>
      <w:r w:rsidR="006B0DF4">
        <w:rPr>
          <w:lang w:eastAsia="en-AU"/>
        </w:rPr>
        <w:t>Deliverables Expectations Document</w:t>
      </w:r>
      <w:bookmarkEnd w:id="273"/>
    </w:p>
    <w:p w14:paraId="44B3FFBA" w14:textId="0EDDCC74" w:rsidR="005D0E9A" w:rsidRDefault="005D0E9A" w:rsidP="005D0E9A">
      <w:pPr>
        <w:spacing w:after="0"/>
        <w:ind w:left="0"/>
      </w:pPr>
      <w:r w:rsidRPr="00E35128">
        <w:t xml:space="preserve">As detailed in the </w:t>
      </w:r>
      <w:r>
        <w:t>S</w:t>
      </w:r>
      <w:r w:rsidRPr="00E35128">
        <w:t xml:space="preserve">ection 2.2, a DED for each deliverable will be prepared by the TWC IT Project Manager based upon inputs from the Awarded Vendor and appropriate TWC program and IT stakeholders. Once approved by TWC, the DED </w:t>
      </w:r>
      <w:r>
        <w:t xml:space="preserve">will be incorporated into the Contract for all purposes and </w:t>
      </w:r>
      <w:r w:rsidRPr="00E35128">
        <w:t>will be the tool used to monitor the Awarded Vendor’s work on the deliverable and for the deliverable acceptance criteria. </w:t>
      </w:r>
    </w:p>
    <w:p w14:paraId="6DF9462F" w14:textId="068337A5" w:rsidR="00F95520" w:rsidRDefault="00F95520" w:rsidP="005D0E9A">
      <w:pPr>
        <w:spacing w:after="0"/>
        <w:ind w:left="0"/>
      </w:pPr>
    </w:p>
    <w:p w14:paraId="72FA6D96" w14:textId="16ABCCC3" w:rsidR="00F95520" w:rsidRPr="00E35128" w:rsidRDefault="00F95520" w:rsidP="005D0E9A">
      <w:pPr>
        <w:spacing w:after="0"/>
        <w:ind w:left="0"/>
      </w:pPr>
      <w:r>
        <w:t>The current version of the DED template is attached below.</w:t>
      </w:r>
    </w:p>
    <w:p w14:paraId="67FD73D6" w14:textId="77777777" w:rsidR="00131B5D" w:rsidRPr="00F36BE0" w:rsidRDefault="00131B5D" w:rsidP="00131B5D"/>
    <w:p w14:paraId="0151BEB9" w14:textId="7671ABDF" w:rsidR="00131B5D" w:rsidRDefault="00131B5D" w:rsidP="00131B5D">
      <w:pPr>
        <w:rPr>
          <w:highlight w:val="yellow"/>
        </w:rPr>
      </w:pPr>
    </w:p>
    <w:p w14:paraId="01DB8679" w14:textId="1D7029DE" w:rsidR="00F95520" w:rsidRDefault="00F95520" w:rsidP="00131B5D">
      <w:pPr>
        <w:rPr>
          <w:highlight w:val="yellow"/>
        </w:rPr>
      </w:pPr>
      <w:r>
        <w:rPr>
          <w:noProof/>
        </w:rPr>
        <w:lastRenderedPageBreak/>
        <w:drawing>
          <wp:inline distT="0" distB="0" distL="0" distR="0" wp14:anchorId="7C23B562" wp14:editId="5F207F13">
            <wp:extent cx="5648325" cy="7839075"/>
            <wp:effectExtent l="19050" t="19050" r="28575" b="28575"/>
            <wp:docPr id="17" name="Picture 17" descr="DED template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48325" cy="7839075"/>
                    </a:xfrm>
                    <a:prstGeom prst="rect">
                      <a:avLst/>
                    </a:prstGeom>
                    <a:ln w="12700">
                      <a:solidFill>
                        <a:schemeClr val="tx1"/>
                      </a:solidFill>
                    </a:ln>
                  </pic:spPr>
                </pic:pic>
              </a:graphicData>
            </a:graphic>
          </wp:inline>
        </w:drawing>
      </w:r>
    </w:p>
    <w:p w14:paraId="7302DAF3" w14:textId="45FDD1C0" w:rsidR="00F95520" w:rsidRDefault="00F95520" w:rsidP="00131B5D">
      <w:pPr>
        <w:rPr>
          <w:highlight w:val="yellow"/>
        </w:rPr>
      </w:pPr>
    </w:p>
    <w:p w14:paraId="356492BC" w14:textId="0F097A96" w:rsidR="00F95520" w:rsidRDefault="00F95520" w:rsidP="00131B5D">
      <w:pPr>
        <w:rPr>
          <w:highlight w:val="yellow"/>
        </w:rPr>
      </w:pPr>
      <w:r>
        <w:rPr>
          <w:noProof/>
        </w:rPr>
        <w:lastRenderedPageBreak/>
        <w:drawing>
          <wp:inline distT="0" distB="0" distL="0" distR="0" wp14:anchorId="750CB214" wp14:editId="74C7D005">
            <wp:extent cx="5505450" cy="7886700"/>
            <wp:effectExtent l="19050" t="19050" r="19050" b="19050"/>
            <wp:docPr id="18" name="Picture 18" descr="DED template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505450" cy="7886700"/>
                    </a:xfrm>
                    <a:prstGeom prst="rect">
                      <a:avLst/>
                    </a:prstGeom>
                    <a:ln w="12700">
                      <a:solidFill>
                        <a:schemeClr val="tx1"/>
                      </a:solidFill>
                    </a:ln>
                  </pic:spPr>
                </pic:pic>
              </a:graphicData>
            </a:graphic>
          </wp:inline>
        </w:drawing>
      </w:r>
    </w:p>
    <w:p w14:paraId="79B08104" w14:textId="615158D5" w:rsidR="00F95520" w:rsidRDefault="00F95520" w:rsidP="00131B5D">
      <w:pPr>
        <w:rPr>
          <w:highlight w:val="yellow"/>
        </w:rPr>
      </w:pPr>
    </w:p>
    <w:p w14:paraId="08C9BD12" w14:textId="2F83DDB0" w:rsidR="00F95520" w:rsidRDefault="00F95520" w:rsidP="00131B5D">
      <w:pPr>
        <w:rPr>
          <w:highlight w:val="yellow"/>
        </w:rPr>
        <w:sectPr w:rsidR="00F95520" w:rsidSect="00C6186B">
          <w:headerReference w:type="default" r:id="rId62"/>
          <w:footerReference w:type="default" r:id="rId63"/>
          <w:pgSz w:w="12240" w:h="15840" w:code="1"/>
          <w:pgMar w:top="720" w:right="720" w:bottom="720" w:left="720" w:header="720" w:footer="432" w:gutter="0"/>
          <w:cols w:space="720"/>
          <w:docGrid w:linePitch="326"/>
        </w:sectPr>
      </w:pPr>
      <w:r>
        <w:rPr>
          <w:noProof/>
        </w:rPr>
        <w:lastRenderedPageBreak/>
        <w:drawing>
          <wp:inline distT="0" distB="0" distL="0" distR="0" wp14:anchorId="70DC82B3" wp14:editId="0A2650A1">
            <wp:extent cx="5534025" cy="7848600"/>
            <wp:effectExtent l="19050" t="19050" r="28575" b="19050"/>
            <wp:docPr id="19" name="Picture 19" descr="DED template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534025" cy="7848600"/>
                    </a:xfrm>
                    <a:prstGeom prst="rect">
                      <a:avLst/>
                    </a:prstGeom>
                    <a:ln w="12700">
                      <a:solidFill>
                        <a:schemeClr val="tx1"/>
                      </a:solidFill>
                    </a:ln>
                    <a:effectLst>
                      <a:softEdge rad="0"/>
                    </a:effectLst>
                  </pic:spPr>
                </pic:pic>
              </a:graphicData>
            </a:graphic>
          </wp:inline>
        </w:drawing>
      </w:r>
    </w:p>
    <w:p w14:paraId="68511C2D" w14:textId="77777777" w:rsidR="00C10A50" w:rsidRPr="008259A9" w:rsidRDefault="00C10A50" w:rsidP="00C10A50">
      <w:pPr>
        <w:pStyle w:val="Heading2"/>
        <w:rPr>
          <w:lang w:eastAsia="en-AU"/>
        </w:rPr>
      </w:pPr>
      <w:bookmarkStart w:id="274" w:name="_Attachment_5_–"/>
      <w:bookmarkStart w:id="275" w:name="_Toc13567490"/>
      <w:bookmarkStart w:id="276" w:name="_Hlk9596999"/>
      <w:bookmarkEnd w:id="274"/>
      <w:r w:rsidRPr="008259A9">
        <w:rPr>
          <w:lang w:eastAsia="en-AU"/>
        </w:rPr>
        <w:lastRenderedPageBreak/>
        <w:t xml:space="preserve">Attachment 5 – </w:t>
      </w:r>
      <w:r>
        <w:rPr>
          <w:lang w:eastAsia="en-AU"/>
        </w:rPr>
        <w:t>UI</w:t>
      </w:r>
      <w:r w:rsidRPr="008259A9">
        <w:rPr>
          <w:lang w:eastAsia="en-AU"/>
        </w:rPr>
        <w:t xml:space="preserve"> Requirements and Response Sheet</w:t>
      </w:r>
      <w:bookmarkEnd w:id="275"/>
    </w:p>
    <w:p w14:paraId="1326C2C9" w14:textId="3532295E" w:rsidR="007B6E12" w:rsidRDefault="007B6E12" w:rsidP="007B6E12">
      <w:pPr>
        <w:ind w:left="0"/>
        <w:rPr>
          <w:b/>
        </w:rPr>
      </w:pPr>
      <w:r>
        <w:t xml:space="preserve">This attachment provides TWC’s high-level business/functional and technical/system requirements. These high-level requirements are further specified through initial Use Cases provided with </w:t>
      </w:r>
      <w:hyperlink w:anchor="_Attachment_6_–" w:history="1">
        <w:r w:rsidRPr="0067701D">
          <w:rPr>
            <w:rStyle w:val="Hyperlink"/>
          </w:rPr>
          <w:t>Attachment 6</w:t>
        </w:r>
      </w:hyperlink>
      <w:r>
        <w:t xml:space="preserve">. This attachment does not reflect final system requirements or the complete scope of the required system. As noted in </w:t>
      </w:r>
      <w:hyperlink w:anchor="_2.2.2_Required_Deliverable" w:history="1">
        <w:r w:rsidRPr="0067701D">
          <w:rPr>
            <w:rStyle w:val="Hyperlink"/>
          </w:rPr>
          <w:t>Section 2.2.2</w:t>
        </w:r>
      </w:hyperlink>
      <w:r>
        <w:t xml:space="preserve"> Task 2: Manage Requirements, TWC anticipates these high-level requirements will be progressively elaborated and decomposed during the requirements management process. Requirements elaboration will be completed in collaboration between TWC and the Awarded Vendor.  </w:t>
      </w:r>
    </w:p>
    <w:p w14:paraId="002E0CC6" w14:textId="55B7CAF6" w:rsidR="00B64BD3" w:rsidRPr="00F02BB7" w:rsidRDefault="00B64BD3" w:rsidP="00B64BD3">
      <w:pPr>
        <w:shd w:val="clear" w:color="auto" w:fill="C5E0B3" w:themeFill="accent6" w:themeFillTint="66"/>
        <w:ind w:left="0"/>
      </w:pPr>
      <w:r>
        <w:rPr>
          <w:b/>
        </w:rPr>
        <w:t>Business</w:t>
      </w:r>
      <w:r w:rsidRPr="00F02BB7">
        <w:rPr>
          <w:b/>
        </w:rPr>
        <w:t>/</w:t>
      </w:r>
      <w:r>
        <w:rPr>
          <w:b/>
        </w:rPr>
        <w:t>Functional</w:t>
      </w:r>
      <w:r w:rsidRPr="00F02BB7">
        <w:rPr>
          <w:b/>
        </w:rPr>
        <w:t xml:space="preserve"> Requirements</w:t>
      </w:r>
      <w:r w:rsidRPr="00F02BB7">
        <w:t xml:space="preserve"> </w:t>
      </w:r>
    </w:p>
    <w:p w14:paraId="0E1EEDB7" w14:textId="38A7D8F3" w:rsidR="00144F6D" w:rsidRDefault="00144F6D" w:rsidP="00C6186B">
      <w:pPr>
        <w:ind w:left="0"/>
        <w:rPr>
          <w:szCs w:val="24"/>
        </w:rPr>
      </w:pPr>
      <w:r w:rsidRPr="00D03ACD">
        <w:rPr>
          <w:b/>
        </w:rPr>
        <w:t>For each</w:t>
      </w:r>
      <w:r w:rsidR="00424569" w:rsidRPr="00D03ACD">
        <w:rPr>
          <w:b/>
        </w:rPr>
        <w:t xml:space="preserve"> Business/Functional</w:t>
      </w:r>
      <w:r w:rsidRPr="00D03ACD">
        <w:rPr>
          <w:b/>
        </w:rPr>
        <w:t xml:space="preserve"> requirement</w:t>
      </w:r>
      <w:r>
        <w:t>, t</w:t>
      </w:r>
      <w:r w:rsidRPr="0054649A">
        <w:t xml:space="preserve">he Offeror </w:t>
      </w:r>
      <w:r w:rsidRPr="00CD16AB">
        <w:rPr>
          <w:szCs w:val="24"/>
        </w:rPr>
        <w:t>must</w:t>
      </w:r>
      <w:r>
        <w:rPr>
          <w:szCs w:val="24"/>
        </w:rPr>
        <w:t>:</w:t>
      </w:r>
    </w:p>
    <w:p w14:paraId="12460241" w14:textId="6CF80456" w:rsidR="00144F6D" w:rsidRDefault="00144F6D" w:rsidP="00E16D2D">
      <w:pPr>
        <w:pStyle w:val="LB1"/>
      </w:pPr>
      <w:r>
        <w:t>I</w:t>
      </w:r>
      <w:r w:rsidR="00424569">
        <w:t>ndicate i</w:t>
      </w:r>
      <w:r>
        <w:t>f the</w:t>
      </w:r>
      <w:r w:rsidR="00354CE6">
        <w:t>ir solution</w:t>
      </w:r>
      <w:r>
        <w:t xml:space="preserve"> Fully Meet</w:t>
      </w:r>
      <w:r w:rsidR="00354CE6">
        <w:t>s</w:t>
      </w:r>
      <w:r>
        <w:t>, Partially Meet</w:t>
      </w:r>
      <w:r w:rsidR="00354CE6">
        <w:t>s, or D</w:t>
      </w:r>
      <w:r>
        <w:t>o</w:t>
      </w:r>
      <w:r w:rsidR="00354CE6">
        <w:t>es</w:t>
      </w:r>
      <w:r>
        <w:t xml:space="preserve"> </w:t>
      </w:r>
      <w:r w:rsidR="00354CE6">
        <w:t>N</w:t>
      </w:r>
      <w:r>
        <w:t xml:space="preserve">ot </w:t>
      </w:r>
      <w:r w:rsidR="00354CE6">
        <w:t>M</w:t>
      </w:r>
      <w:r>
        <w:t>eet the requirement</w:t>
      </w:r>
      <w:r w:rsidR="00354CE6">
        <w:t>;</w:t>
      </w:r>
    </w:p>
    <w:p w14:paraId="07C9EE32" w14:textId="3805DB43" w:rsidR="001E6A0C" w:rsidRDefault="00424569" w:rsidP="00E16D2D">
      <w:pPr>
        <w:pStyle w:val="LB1"/>
      </w:pPr>
      <w:r>
        <w:t>Specify i</w:t>
      </w:r>
      <w:r w:rsidR="00354CE6">
        <w:t xml:space="preserve">f the requirement is a Core System Capability, </w:t>
      </w:r>
      <w:r w:rsidR="00880E5F">
        <w:t xml:space="preserve">a Simple Configurable Option, </w:t>
      </w:r>
      <w:r w:rsidR="00354CE6">
        <w:t xml:space="preserve">a </w:t>
      </w:r>
      <w:r w:rsidR="00880E5F">
        <w:t xml:space="preserve">Complex </w:t>
      </w:r>
      <w:r w:rsidR="00354CE6">
        <w:t xml:space="preserve">Configurable Option, or Requires Custom Development; </w:t>
      </w:r>
      <w:r w:rsidR="001E6A0C">
        <w:t>and</w:t>
      </w:r>
    </w:p>
    <w:p w14:paraId="63976C99" w14:textId="12589373" w:rsidR="00354CE6" w:rsidRDefault="00424569" w:rsidP="00116640">
      <w:pPr>
        <w:pStyle w:val="LB1"/>
      </w:pPr>
      <w:r>
        <w:t xml:space="preserve">Provide a </w:t>
      </w:r>
      <w:r w:rsidR="00354CE6">
        <w:t>descripti</w:t>
      </w:r>
      <w:r w:rsidR="009473B0">
        <w:t>ve resp</w:t>
      </w:r>
      <w:r w:rsidR="00354CE6">
        <w:t>on</w:t>
      </w:r>
      <w:r w:rsidR="009473B0">
        <w:t>se</w:t>
      </w:r>
      <w:r w:rsidR="00354CE6">
        <w:t xml:space="preserve"> including:</w:t>
      </w:r>
    </w:p>
    <w:p w14:paraId="1008C638" w14:textId="052C8CB0" w:rsidR="00354CE6" w:rsidRPr="00144F6D" w:rsidRDefault="00354CE6" w:rsidP="00F82166">
      <w:pPr>
        <w:pStyle w:val="OB1"/>
      </w:pPr>
      <w:r>
        <w:t>How the requirement is or will be met;</w:t>
      </w:r>
    </w:p>
    <w:p w14:paraId="1E2453D1" w14:textId="77777777" w:rsidR="001E6A0C" w:rsidRPr="001E6A0C" w:rsidRDefault="001E6A0C" w:rsidP="00F82166">
      <w:pPr>
        <w:pStyle w:val="OB1"/>
      </w:pPr>
      <w:r>
        <w:t xml:space="preserve">If the requirement is in production at an existing site; </w:t>
      </w:r>
    </w:p>
    <w:p w14:paraId="0AB2C863" w14:textId="01393FF7" w:rsidR="00C10A50" w:rsidRDefault="00144F6D">
      <w:pPr>
        <w:pStyle w:val="OB1"/>
      </w:pPr>
      <w:r>
        <w:rPr>
          <w:szCs w:val="24"/>
        </w:rPr>
        <w:t>A</w:t>
      </w:r>
      <w:r w:rsidRPr="00144F6D">
        <w:rPr>
          <w:szCs w:val="24"/>
        </w:rPr>
        <w:t>ll functions by actor and how they operate; start to end workflow including main</w:t>
      </w:r>
      <w:r w:rsidR="00746763">
        <w:rPr>
          <w:szCs w:val="24"/>
        </w:rPr>
        <w:t xml:space="preserve"> activities,</w:t>
      </w:r>
      <w:r w:rsidRPr="00CD16AB">
        <w:t xml:space="preserve"> al</w:t>
      </w:r>
      <w:r w:rsidR="00EF50D7">
        <w:t>ternate activities</w:t>
      </w:r>
      <w:r w:rsidR="00746763">
        <w:t>, and special cases;</w:t>
      </w:r>
      <w:r w:rsidR="00EF50D7">
        <w:t xml:space="preserve"> validations;</w:t>
      </w:r>
      <w:r w:rsidRPr="00CD16AB">
        <w:t xml:space="preserve"> </w:t>
      </w:r>
      <w:r w:rsidR="00566451">
        <w:t xml:space="preserve">screen shots as appropriate; </w:t>
      </w:r>
      <w:r w:rsidR="00EF50D7">
        <w:t xml:space="preserve">correspondence; tracking </w:t>
      </w:r>
      <w:r w:rsidRPr="00CD16AB">
        <w:t xml:space="preserve">and </w:t>
      </w:r>
      <w:r w:rsidR="00EF50D7">
        <w:t>reporting</w:t>
      </w:r>
      <w:r w:rsidRPr="00CD16AB">
        <w:t>; and all system integrations and interfaces</w:t>
      </w:r>
      <w:r w:rsidR="00354CE6">
        <w:t>;</w:t>
      </w:r>
    </w:p>
    <w:p w14:paraId="602D1410" w14:textId="39F65518" w:rsidR="00354CE6" w:rsidRDefault="00354CE6">
      <w:pPr>
        <w:pStyle w:val="OB1"/>
      </w:pPr>
      <w:r>
        <w:t xml:space="preserve">Provide supporting documentation; and </w:t>
      </w:r>
    </w:p>
    <w:p w14:paraId="3A2B51C3" w14:textId="0951426B" w:rsidR="00354CE6" w:rsidRDefault="00354CE6">
      <w:pPr>
        <w:pStyle w:val="OB1"/>
      </w:pPr>
      <w:r>
        <w:t>Identify system components that support the requirement.</w:t>
      </w:r>
    </w:p>
    <w:bookmarkEnd w:id="276"/>
    <w:p w14:paraId="0D6DB36E" w14:textId="77777777" w:rsidR="00424569" w:rsidRPr="00F36BE0" w:rsidRDefault="00424569" w:rsidP="00424569"/>
    <w:tbl>
      <w:tblPr>
        <w:tblStyle w:val="TableGrid"/>
        <w:tblW w:w="14395" w:type="dxa"/>
        <w:tblLayout w:type="fixed"/>
        <w:tblCellMar>
          <w:top w:w="72" w:type="dxa"/>
          <w:left w:w="115" w:type="dxa"/>
          <w:right w:w="115" w:type="dxa"/>
        </w:tblCellMar>
        <w:tblLook w:val="04A0" w:firstRow="1" w:lastRow="0" w:firstColumn="1" w:lastColumn="0" w:noHBand="0" w:noVBand="1"/>
        <w:tblCaption w:val="UI Requirements and Response Sheet"/>
        <w:tblDescription w:val="Table of business and functional requirements "/>
      </w:tblPr>
      <w:tblGrid>
        <w:gridCol w:w="1165"/>
        <w:gridCol w:w="10890"/>
        <w:gridCol w:w="2340"/>
      </w:tblGrid>
      <w:tr w:rsidR="00521F67" w:rsidRPr="00CE4250" w14:paraId="39F0F9C3" w14:textId="7326C9DD" w:rsidTr="00521F67">
        <w:trPr>
          <w:tblHeader/>
        </w:trPr>
        <w:tc>
          <w:tcPr>
            <w:tcW w:w="1165" w:type="dxa"/>
            <w:tcBorders>
              <w:bottom w:val="single" w:sz="4" w:space="0" w:color="000000" w:themeColor="text1"/>
            </w:tcBorders>
            <w:shd w:val="clear" w:color="auto" w:fill="DEEAF6" w:themeFill="accent1" w:themeFillTint="33"/>
            <w:vAlign w:val="center"/>
          </w:tcPr>
          <w:p w14:paraId="6A2BAAB9" w14:textId="2A8A46A1" w:rsidR="00521F67" w:rsidRPr="00B42F08" w:rsidRDefault="00521F67" w:rsidP="00A80AFE">
            <w:pPr>
              <w:pStyle w:val="Normal-Table"/>
              <w:rPr>
                <w:b/>
                <w:sz w:val="20"/>
              </w:rPr>
            </w:pPr>
            <w:r w:rsidRPr="00F02BB7">
              <w:rPr>
                <w:b/>
              </w:rPr>
              <w:t>REQ #</w:t>
            </w:r>
          </w:p>
        </w:tc>
        <w:tc>
          <w:tcPr>
            <w:tcW w:w="10890" w:type="dxa"/>
            <w:tcBorders>
              <w:bottom w:val="single" w:sz="4" w:space="0" w:color="000000" w:themeColor="text1"/>
            </w:tcBorders>
            <w:shd w:val="clear" w:color="auto" w:fill="DEEAF6" w:themeFill="accent1" w:themeFillTint="33"/>
            <w:vAlign w:val="center"/>
          </w:tcPr>
          <w:p w14:paraId="28417A4A" w14:textId="412C5FA7" w:rsidR="00521F67" w:rsidRPr="00B42F08" w:rsidRDefault="00521F67" w:rsidP="00A80AFE">
            <w:pPr>
              <w:pStyle w:val="Normal-Table"/>
              <w:rPr>
                <w:b/>
                <w:sz w:val="20"/>
              </w:rPr>
            </w:pPr>
            <w:r>
              <w:rPr>
                <w:b/>
              </w:rPr>
              <w:t xml:space="preserve">BUSINESS/FUNCTIONAL </w:t>
            </w:r>
            <w:r w:rsidRPr="00F02BB7">
              <w:rPr>
                <w:b/>
              </w:rPr>
              <w:t>REQUIREMENT DESCRIPTION</w:t>
            </w:r>
          </w:p>
        </w:tc>
        <w:tc>
          <w:tcPr>
            <w:tcW w:w="2340" w:type="dxa"/>
            <w:tcBorders>
              <w:bottom w:val="single" w:sz="4" w:space="0" w:color="000000" w:themeColor="text1"/>
            </w:tcBorders>
            <w:shd w:val="clear" w:color="auto" w:fill="DEEAF6" w:themeFill="accent1" w:themeFillTint="33"/>
          </w:tcPr>
          <w:p w14:paraId="321B1DA5" w14:textId="208DF0C3" w:rsidR="00521F67" w:rsidRDefault="00521F67" w:rsidP="00A80AFE">
            <w:pPr>
              <w:pStyle w:val="Normal-Table"/>
              <w:rPr>
                <w:b/>
              </w:rPr>
            </w:pPr>
            <w:r>
              <w:rPr>
                <w:b/>
              </w:rPr>
              <w:t>Reference</w:t>
            </w:r>
          </w:p>
        </w:tc>
      </w:tr>
      <w:tr w:rsidR="00521F67" w:rsidRPr="00CE4250" w14:paraId="2030ECA3" w14:textId="554D0E3E" w:rsidTr="00521F67">
        <w:tc>
          <w:tcPr>
            <w:tcW w:w="1165" w:type="dxa"/>
          </w:tcPr>
          <w:p w14:paraId="6B795C76" w14:textId="5CBB8853" w:rsidR="00521F67" w:rsidRPr="00CD16AB" w:rsidRDefault="00521F67" w:rsidP="00895AC8">
            <w:pPr>
              <w:pStyle w:val="Normal-Table"/>
            </w:pPr>
            <w:r>
              <w:t>UI-1</w:t>
            </w:r>
          </w:p>
        </w:tc>
        <w:tc>
          <w:tcPr>
            <w:tcW w:w="10890" w:type="dxa"/>
          </w:tcPr>
          <w:p w14:paraId="37B70C38" w14:textId="71BBCA6F" w:rsidR="00521F67" w:rsidRDefault="00A113B9" w:rsidP="00895AC8">
            <w:pPr>
              <w:pStyle w:val="Normal-Table"/>
            </w:pPr>
            <w:r>
              <w:t>The System must</w:t>
            </w:r>
            <w:r w:rsidR="00521F67">
              <w:t xml:space="preserve"> provide an intuitive, user friendly, cost-effective, web-based system which provides a full range of UI services for Texas Claimants, Employers/TPAs, and Staff.</w:t>
            </w:r>
          </w:p>
          <w:p w14:paraId="0F865758" w14:textId="77777777" w:rsidR="00521F67" w:rsidRDefault="00521F67" w:rsidP="00E16D2D">
            <w:pPr>
              <w:pStyle w:val="LB1-Table"/>
            </w:pPr>
            <w:r>
              <w:t>Describe in detail all Claimant functions and how they operate.</w:t>
            </w:r>
          </w:p>
          <w:p w14:paraId="13B34150" w14:textId="31203F05" w:rsidR="00521F67" w:rsidRDefault="00521F67" w:rsidP="00E16D2D">
            <w:pPr>
              <w:pStyle w:val="LB1-Table"/>
            </w:pPr>
            <w:r>
              <w:t>Describe in detail all Employer/TPA functions and how they operate.</w:t>
            </w:r>
          </w:p>
          <w:p w14:paraId="343AAF6B" w14:textId="77777777" w:rsidR="00521F67" w:rsidRDefault="00521F67" w:rsidP="00116640">
            <w:pPr>
              <w:pStyle w:val="LB1-Table"/>
            </w:pPr>
            <w:r>
              <w:t xml:space="preserve">Describe in detail all Staff functions and how they operate. </w:t>
            </w:r>
          </w:p>
          <w:p w14:paraId="06A2E5C3" w14:textId="407E5DF8" w:rsidR="00521F67" w:rsidRDefault="00521F67" w:rsidP="00F82166">
            <w:pPr>
              <w:pStyle w:val="LB1-Table"/>
            </w:pPr>
            <w:r>
              <w:lastRenderedPageBreak/>
              <w:t>Describe real-time and batch processes.</w:t>
            </w:r>
          </w:p>
          <w:p w14:paraId="0F66ED83" w14:textId="77777777" w:rsidR="00CB3296" w:rsidRDefault="00CB3296" w:rsidP="00F82166">
            <w:pPr>
              <w:pStyle w:val="LB1-Table"/>
            </w:pPr>
            <w:r>
              <w:t xml:space="preserve">Describe how the solution will </w:t>
            </w:r>
            <w:r w:rsidRPr="00EB6319">
              <w:t xml:space="preserve">increase workflow efficiencies, reduce operational costs, and </w:t>
            </w:r>
            <w:r>
              <w:t>enhance</w:t>
            </w:r>
            <w:r w:rsidRPr="00EB6319">
              <w:t xml:space="preserve"> data </w:t>
            </w:r>
            <w:r>
              <w:t>integrity.</w:t>
            </w:r>
          </w:p>
          <w:p w14:paraId="29DD0C63" w14:textId="0E943B8A" w:rsidR="00CB3296" w:rsidRDefault="00CB3296">
            <w:pPr>
              <w:pStyle w:val="LB1-Table"/>
            </w:pPr>
            <w:r>
              <w:t xml:space="preserve">Describe how the solution will </w:t>
            </w:r>
            <w:r w:rsidRPr="00591228">
              <w:t>improve prevention, detection and recovery of UI improper payments</w:t>
            </w:r>
            <w:r>
              <w:t>.</w:t>
            </w:r>
          </w:p>
        </w:tc>
        <w:tc>
          <w:tcPr>
            <w:tcW w:w="2340" w:type="dxa"/>
          </w:tcPr>
          <w:p w14:paraId="08284F6C" w14:textId="77777777" w:rsidR="00521F67" w:rsidRDefault="00521F67" w:rsidP="00895AC8">
            <w:pPr>
              <w:pStyle w:val="Normal-Table"/>
            </w:pPr>
          </w:p>
        </w:tc>
      </w:tr>
      <w:tr w:rsidR="00521F67" w:rsidRPr="00CE4250" w14:paraId="60BCA257" w14:textId="0D7B8F1F" w:rsidTr="00521F67">
        <w:tc>
          <w:tcPr>
            <w:tcW w:w="1165" w:type="dxa"/>
          </w:tcPr>
          <w:p w14:paraId="1610F76C" w14:textId="3DD32A2F" w:rsidR="00521F67" w:rsidRDefault="00521F67" w:rsidP="00895AC8">
            <w:pPr>
              <w:pStyle w:val="Normal-Table"/>
            </w:pPr>
            <w:r>
              <w:t>UI-2</w:t>
            </w:r>
          </w:p>
        </w:tc>
        <w:tc>
          <w:tcPr>
            <w:tcW w:w="10890" w:type="dxa"/>
          </w:tcPr>
          <w:p w14:paraId="23F09CD0" w14:textId="2897EE09" w:rsidR="00521F67" w:rsidRDefault="00521F67" w:rsidP="00895AC8">
            <w:pPr>
              <w:pStyle w:val="Normal-Table"/>
            </w:pPr>
            <w:r>
              <w:t>The Offeror must ensure that the services provided for the Project are not impacted by services provided by the Offeror to any other state or agency.</w:t>
            </w:r>
          </w:p>
        </w:tc>
        <w:tc>
          <w:tcPr>
            <w:tcW w:w="2340" w:type="dxa"/>
          </w:tcPr>
          <w:p w14:paraId="582E442B" w14:textId="77777777" w:rsidR="00521F67" w:rsidRDefault="00521F67" w:rsidP="00895AC8">
            <w:pPr>
              <w:pStyle w:val="Normal-Table"/>
            </w:pPr>
          </w:p>
        </w:tc>
      </w:tr>
      <w:tr w:rsidR="00521F67" w:rsidRPr="00CE4250" w14:paraId="1E7EE8C2" w14:textId="01FA1066" w:rsidTr="00521F67">
        <w:tc>
          <w:tcPr>
            <w:tcW w:w="1165" w:type="dxa"/>
          </w:tcPr>
          <w:p w14:paraId="18D857DC" w14:textId="0EE157F3" w:rsidR="00521F67" w:rsidRPr="00CD16AB" w:rsidRDefault="00521F67" w:rsidP="00895AC8">
            <w:pPr>
              <w:pStyle w:val="Normal-Table"/>
            </w:pPr>
            <w:r w:rsidRPr="00CD16AB">
              <w:t>Ben-1</w:t>
            </w:r>
          </w:p>
        </w:tc>
        <w:tc>
          <w:tcPr>
            <w:tcW w:w="10890" w:type="dxa"/>
          </w:tcPr>
          <w:p w14:paraId="3EAF4559" w14:textId="610A16B3" w:rsidR="00521F67" w:rsidRPr="00CD16AB" w:rsidRDefault="00C92570" w:rsidP="00895AC8">
            <w:pPr>
              <w:pStyle w:val="Normal-Table"/>
            </w:pPr>
            <w:r>
              <w:t>The System must</w:t>
            </w:r>
            <w:r w:rsidR="00521F67" w:rsidRPr="00CD16AB">
              <w:t xml:space="preserve"> include all functionality necessary to submit </w:t>
            </w:r>
            <w:r w:rsidR="00521F67" w:rsidRPr="00CD16AB">
              <w:rPr>
                <w:szCs w:val="24"/>
              </w:rPr>
              <w:t>shared work and mass claims.</w:t>
            </w:r>
          </w:p>
        </w:tc>
        <w:tc>
          <w:tcPr>
            <w:tcW w:w="2340" w:type="dxa"/>
          </w:tcPr>
          <w:p w14:paraId="7153C64F" w14:textId="3DD2D44D" w:rsidR="00521F67" w:rsidRDefault="006D43BC" w:rsidP="00895AC8">
            <w:pPr>
              <w:pStyle w:val="Normal-Table"/>
            </w:pPr>
            <w:hyperlink w:anchor="_A6.1_Benefits" w:history="1">
              <w:r w:rsidR="00521F67" w:rsidRPr="00DA4BCA">
                <w:rPr>
                  <w:rStyle w:val="Hyperlink"/>
                  <w:szCs w:val="24"/>
                </w:rPr>
                <w:t xml:space="preserve">Attachment </w:t>
              </w:r>
              <w:r w:rsidR="00521F67">
                <w:rPr>
                  <w:rStyle w:val="Hyperlink"/>
                  <w:szCs w:val="24"/>
                </w:rPr>
                <w:t>A</w:t>
              </w:r>
              <w:r w:rsidR="00521F67" w:rsidRPr="00B42F08">
                <w:rPr>
                  <w:rStyle w:val="Hyperlink"/>
                  <w:szCs w:val="24"/>
                </w:rPr>
                <w:t>6.1</w:t>
              </w:r>
            </w:hyperlink>
          </w:p>
        </w:tc>
      </w:tr>
      <w:tr w:rsidR="00521F67" w:rsidRPr="00CE4250" w14:paraId="20FA7AD5" w14:textId="35EBB9D1" w:rsidTr="00521F67">
        <w:tc>
          <w:tcPr>
            <w:tcW w:w="1165" w:type="dxa"/>
          </w:tcPr>
          <w:p w14:paraId="0C8D50DC" w14:textId="3786E0CE" w:rsidR="00521F67" w:rsidRPr="00CE4250" w:rsidRDefault="00521F67" w:rsidP="00521F67">
            <w:pPr>
              <w:pStyle w:val="Normal-Table"/>
            </w:pPr>
            <w:r>
              <w:t>Ben-2</w:t>
            </w:r>
          </w:p>
        </w:tc>
        <w:tc>
          <w:tcPr>
            <w:tcW w:w="10890" w:type="dxa"/>
          </w:tcPr>
          <w:p w14:paraId="6F39A4D5" w14:textId="190BC795" w:rsidR="00521F67" w:rsidRPr="00CE4250" w:rsidRDefault="00C92570" w:rsidP="00521F67">
            <w:pPr>
              <w:pStyle w:val="Normal-Table"/>
            </w:pPr>
            <w:r>
              <w:t>The System must</w:t>
            </w:r>
            <w:r w:rsidR="00521F67" w:rsidRPr="009835C1">
              <w:t xml:space="preserve"> include all functionality necessary for Employers to manage claims</w:t>
            </w:r>
            <w:r w:rsidR="00521F67" w:rsidRPr="00CD16AB">
              <w:rPr>
                <w:szCs w:val="24"/>
              </w:rPr>
              <w:t xml:space="preserve">. </w:t>
            </w:r>
          </w:p>
        </w:tc>
        <w:tc>
          <w:tcPr>
            <w:tcW w:w="2340" w:type="dxa"/>
          </w:tcPr>
          <w:p w14:paraId="2F444DBC" w14:textId="42EFD37D" w:rsidR="00521F67" w:rsidRDefault="006D43BC" w:rsidP="00521F67">
            <w:pPr>
              <w:pStyle w:val="Normal-Table"/>
            </w:pPr>
            <w:hyperlink w:anchor="_A6.1_Benefits" w:history="1">
              <w:r w:rsidR="00521F67" w:rsidRPr="00DA4BCA">
                <w:rPr>
                  <w:rStyle w:val="Hyperlink"/>
                  <w:szCs w:val="24"/>
                </w:rPr>
                <w:t xml:space="preserve">Attachment </w:t>
              </w:r>
              <w:r w:rsidR="00521F67">
                <w:rPr>
                  <w:rStyle w:val="Hyperlink"/>
                  <w:szCs w:val="24"/>
                </w:rPr>
                <w:t>A</w:t>
              </w:r>
              <w:r w:rsidR="00521F67" w:rsidRPr="00B42F08">
                <w:rPr>
                  <w:rStyle w:val="Hyperlink"/>
                  <w:szCs w:val="24"/>
                </w:rPr>
                <w:t>6.1</w:t>
              </w:r>
            </w:hyperlink>
          </w:p>
        </w:tc>
      </w:tr>
      <w:tr w:rsidR="00521F67" w:rsidRPr="00CE4250" w14:paraId="5BBB3675" w14:textId="6A66F1B9" w:rsidTr="00521F67">
        <w:tc>
          <w:tcPr>
            <w:tcW w:w="1165" w:type="dxa"/>
          </w:tcPr>
          <w:p w14:paraId="7EBD2E55" w14:textId="4AD712B6" w:rsidR="00521F67" w:rsidRDefault="00521F67" w:rsidP="00521F67">
            <w:pPr>
              <w:pStyle w:val="Normal-Table"/>
            </w:pPr>
            <w:r>
              <w:t>Ben-3</w:t>
            </w:r>
          </w:p>
        </w:tc>
        <w:tc>
          <w:tcPr>
            <w:tcW w:w="10890" w:type="dxa"/>
          </w:tcPr>
          <w:p w14:paraId="3AA7745B" w14:textId="22CEE698" w:rsidR="00521F67" w:rsidRDefault="00C92570" w:rsidP="00521F67">
            <w:pPr>
              <w:pStyle w:val="Normal-Table"/>
            </w:pPr>
            <w:r>
              <w:t>The System must</w:t>
            </w:r>
            <w:r w:rsidR="00521F67" w:rsidRPr="00CE3706">
              <w:t xml:space="preserve"> include all functionality necessary to register a Claimant. </w:t>
            </w:r>
          </w:p>
        </w:tc>
        <w:tc>
          <w:tcPr>
            <w:tcW w:w="2340" w:type="dxa"/>
          </w:tcPr>
          <w:p w14:paraId="0A542A8A" w14:textId="50671795" w:rsidR="00521F67" w:rsidRDefault="006D43BC" w:rsidP="00521F67">
            <w:pPr>
              <w:pStyle w:val="Normal-Table"/>
            </w:pPr>
            <w:hyperlink w:anchor="_A6.1_Benefits" w:history="1">
              <w:r w:rsidR="00521F67" w:rsidRPr="00DA4BCA">
                <w:rPr>
                  <w:rStyle w:val="Hyperlink"/>
                  <w:szCs w:val="24"/>
                </w:rPr>
                <w:t xml:space="preserve">Attachment </w:t>
              </w:r>
              <w:r w:rsidR="00521F67">
                <w:rPr>
                  <w:rStyle w:val="Hyperlink"/>
                  <w:szCs w:val="24"/>
                </w:rPr>
                <w:t>A</w:t>
              </w:r>
              <w:r w:rsidR="00521F67" w:rsidRPr="00B42F08">
                <w:rPr>
                  <w:rStyle w:val="Hyperlink"/>
                  <w:szCs w:val="24"/>
                </w:rPr>
                <w:t>6.1</w:t>
              </w:r>
            </w:hyperlink>
          </w:p>
        </w:tc>
      </w:tr>
      <w:tr w:rsidR="00521F67" w:rsidRPr="00CE4250" w14:paraId="60083404" w14:textId="59F0ABED" w:rsidTr="00521F67">
        <w:tc>
          <w:tcPr>
            <w:tcW w:w="1165" w:type="dxa"/>
          </w:tcPr>
          <w:p w14:paraId="7723C5BF" w14:textId="1AA4BD4D" w:rsidR="00521F67" w:rsidRDefault="00521F67" w:rsidP="00521F67">
            <w:pPr>
              <w:pStyle w:val="Normal-Table"/>
            </w:pPr>
            <w:r>
              <w:t>Ben-4</w:t>
            </w:r>
          </w:p>
        </w:tc>
        <w:tc>
          <w:tcPr>
            <w:tcW w:w="10890" w:type="dxa"/>
          </w:tcPr>
          <w:p w14:paraId="32661A43" w14:textId="783A6488" w:rsidR="00521F67" w:rsidRDefault="00C92570" w:rsidP="00521F67">
            <w:pPr>
              <w:pStyle w:val="Normal-Table"/>
            </w:pPr>
            <w:r>
              <w:t>The System must</w:t>
            </w:r>
            <w:r w:rsidR="00521F67" w:rsidRPr="00CE3706">
              <w:t xml:space="preserve"> include all functionality necessary to manage a customer's profile. </w:t>
            </w:r>
          </w:p>
        </w:tc>
        <w:tc>
          <w:tcPr>
            <w:tcW w:w="2340" w:type="dxa"/>
          </w:tcPr>
          <w:p w14:paraId="01007AFE" w14:textId="555FBE9F" w:rsidR="00521F67" w:rsidRDefault="006D43BC" w:rsidP="00521F67">
            <w:pPr>
              <w:pStyle w:val="Normal-Table"/>
            </w:pPr>
            <w:hyperlink w:anchor="_A6.1_Benefits" w:history="1">
              <w:r w:rsidR="00521F67" w:rsidRPr="00DA4BCA">
                <w:rPr>
                  <w:rStyle w:val="Hyperlink"/>
                  <w:szCs w:val="24"/>
                </w:rPr>
                <w:t xml:space="preserve">Attachment </w:t>
              </w:r>
              <w:r w:rsidR="00521F67">
                <w:rPr>
                  <w:rStyle w:val="Hyperlink"/>
                  <w:szCs w:val="24"/>
                </w:rPr>
                <w:t>A</w:t>
              </w:r>
              <w:r w:rsidR="00521F67" w:rsidRPr="00B42F08">
                <w:rPr>
                  <w:rStyle w:val="Hyperlink"/>
                  <w:szCs w:val="24"/>
                </w:rPr>
                <w:t>6.1</w:t>
              </w:r>
            </w:hyperlink>
          </w:p>
        </w:tc>
      </w:tr>
      <w:tr w:rsidR="00521F67" w:rsidRPr="00CE4250" w14:paraId="78296885" w14:textId="0A7B183A" w:rsidTr="00521F67">
        <w:tc>
          <w:tcPr>
            <w:tcW w:w="1165" w:type="dxa"/>
          </w:tcPr>
          <w:p w14:paraId="408A0DF3" w14:textId="0FD77D37" w:rsidR="00521F67" w:rsidRDefault="00521F67" w:rsidP="00521F67">
            <w:pPr>
              <w:pStyle w:val="Normal-Table"/>
            </w:pPr>
            <w:bookmarkStart w:id="277" w:name="_Hlk524605095"/>
            <w:r>
              <w:t>Ben-5</w:t>
            </w:r>
          </w:p>
        </w:tc>
        <w:tc>
          <w:tcPr>
            <w:tcW w:w="10890" w:type="dxa"/>
          </w:tcPr>
          <w:p w14:paraId="0B45FB66" w14:textId="54311A56" w:rsidR="00521F67" w:rsidRDefault="00C92570" w:rsidP="00521F67">
            <w:pPr>
              <w:pStyle w:val="Normal-Table"/>
            </w:pPr>
            <w:r>
              <w:t>The System must</w:t>
            </w:r>
            <w:r w:rsidR="00521F67" w:rsidRPr="00CE3706">
              <w:t xml:space="preserve"> include all functionality necessary to file claims</w:t>
            </w:r>
            <w:r w:rsidR="00521F67">
              <w:t xml:space="preserve">. </w:t>
            </w:r>
          </w:p>
        </w:tc>
        <w:tc>
          <w:tcPr>
            <w:tcW w:w="2340" w:type="dxa"/>
          </w:tcPr>
          <w:p w14:paraId="2F5D1428" w14:textId="53D6084A" w:rsidR="00521F67" w:rsidRDefault="006D43BC" w:rsidP="00521F67">
            <w:pPr>
              <w:pStyle w:val="Normal-Table"/>
            </w:pPr>
            <w:hyperlink w:anchor="_A6.1_Benefits" w:history="1">
              <w:r w:rsidR="00521F67" w:rsidRPr="00DA4BCA">
                <w:rPr>
                  <w:rStyle w:val="Hyperlink"/>
                  <w:szCs w:val="24"/>
                </w:rPr>
                <w:t xml:space="preserve">Attachment </w:t>
              </w:r>
              <w:r w:rsidR="00521F67">
                <w:rPr>
                  <w:rStyle w:val="Hyperlink"/>
                  <w:szCs w:val="24"/>
                </w:rPr>
                <w:t>A</w:t>
              </w:r>
              <w:r w:rsidR="00521F67" w:rsidRPr="00B42F08">
                <w:rPr>
                  <w:rStyle w:val="Hyperlink"/>
                  <w:szCs w:val="24"/>
                </w:rPr>
                <w:t>6.1</w:t>
              </w:r>
            </w:hyperlink>
          </w:p>
        </w:tc>
      </w:tr>
      <w:bookmarkEnd w:id="277"/>
      <w:tr w:rsidR="00521F67" w:rsidRPr="00CE4250" w14:paraId="5A4ACFD8" w14:textId="20DB1285" w:rsidTr="00521F67">
        <w:tc>
          <w:tcPr>
            <w:tcW w:w="1165" w:type="dxa"/>
          </w:tcPr>
          <w:p w14:paraId="0A23BAAB" w14:textId="67F95F37" w:rsidR="00521F67" w:rsidRDefault="00521F67" w:rsidP="00521F67">
            <w:pPr>
              <w:pStyle w:val="Normal-Table"/>
            </w:pPr>
            <w:r>
              <w:t>Ben-6</w:t>
            </w:r>
          </w:p>
        </w:tc>
        <w:tc>
          <w:tcPr>
            <w:tcW w:w="10890" w:type="dxa"/>
          </w:tcPr>
          <w:p w14:paraId="17BCF76F" w14:textId="3DDFEE8D" w:rsidR="00521F67" w:rsidRDefault="00C92570" w:rsidP="00521F67">
            <w:pPr>
              <w:pStyle w:val="Normal-Table"/>
            </w:pPr>
            <w:r>
              <w:t>The System must</w:t>
            </w:r>
            <w:r w:rsidR="00521F67" w:rsidRPr="000B720D">
              <w:t xml:space="preserve"> include all functionality necessary for Claimants to manage claims</w:t>
            </w:r>
            <w:r w:rsidR="00521F67" w:rsidRPr="00CD16AB">
              <w:rPr>
                <w:szCs w:val="24"/>
              </w:rPr>
              <w:t>.</w:t>
            </w:r>
          </w:p>
        </w:tc>
        <w:tc>
          <w:tcPr>
            <w:tcW w:w="2340" w:type="dxa"/>
          </w:tcPr>
          <w:p w14:paraId="0F623B31" w14:textId="19E941A0" w:rsidR="00521F67" w:rsidRDefault="006D43BC" w:rsidP="00521F67">
            <w:pPr>
              <w:pStyle w:val="Normal-Table"/>
            </w:pPr>
            <w:hyperlink w:anchor="_A6.1_Benefits" w:history="1">
              <w:r w:rsidR="00521F67" w:rsidRPr="00DA4BCA">
                <w:rPr>
                  <w:rStyle w:val="Hyperlink"/>
                  <w:szCs w:val="24"/>
                </w:rPr>
                <w:t xml:space="preserve">Attachment </w:t>
              </w:r>
              <w:r w:rsidR="00521F67">
                <w:rPr>
                  <w:rStyle w:val="Hyperlink"/>
                  <w:szCs w:val="24"/>
                </w:rPr>
                <w:t>A</w:t>
              </w:r>
              <w:r w:rsidR="00521F67" w:rsidRPr="00B42F08">
                <w:rPr>
                  <w:rStyle w:val="Hyperlink"/>
                  <w:szCs w:val="24"/>
                </w:rPr>
                <w:t>6.1</w:t>
              </w:r>
            </w:hyperlink>
          </w:p>
        </w:tc>
      </w:tr>
      <w:tr w:rsidR="00521F67" w:rsidRPr="00CE4250" w14:paraId="6B942E4A" w14:textId="468591D7" w:rsidTr="00521F67">
        <w:tc>
          <w:tcPr>
            <w:tcW w:w="1165" w:type="dxa"/>
          </w:tcPr>
          <w:p w14:paraId="123050FC" w14:textId="707DA453" w:rsidR="00521F67" w:rsidRDefault="00521F67" w:rsidP="00521F67">
            <w:pPr>
              <w:pStyle w:val="Normal-Table"/>
            </w:pPr>
            <w:r>
              <w:t>Ben-7</w:t>
            </w:r>
          </w:p>
        </w:tc>
        <w:tc>
          <w:tcPr>
            <w:tcW w:w="10890" w:type="dxa"/>
          </w:tcPr>
          <w:p w14:paraId="629F80F4" w14:textId="43FFCE39" w:rsidR="00521F67" w:rsidRDefault="00C92570" w:rsidP="00521F67">
            <w:pPr>
              <w:pStyle w:val="Normal-Table"/>
            </w:pPr>
            <w:r>
              <w:t>The System must</w:t>
            </w:r>
            <w:r w:rsidR="00521F67" w:rsidRPr="000B720D">
              <w:t xml:space="preserve"> include all functionality necessary for Staff to manage claims for Employers and Claimants</w:t>
            </w:r>
            <w:r w:rsidR="00521F67" w:rsidRPr="00CD16AB">
              <w:rPr>
                <w:szCs w:val="24"/>
              </w:rPr>
              <w:t>.</w:t>
            </w:r>
          </w:p>
        </w:tc>
        <w:tc>
          <w:tcPr>
            <w:tcW w:w="2340" w:type="dxa"/>
          </w:tcPr>
          <w:p w14:paraId="0D38CECC" w14:textId="302DEADF" w:rsidR="00521F67" w:rsidRDefault="006D43BC" w:rsidP="00521F67">
            <w:pPr>
              <w:pStyle w:val="Normal-Table"/>
            </w:pPr>
            <w:hyperlink w:anchor="_A6.1_Benefits" w:history="1">
              <w:r w:rsidR="00521F67" w:rsidRPr="00DA4BCA">
                <w:rPr>
                  <w:rStyle w:val="Hyperlink"/>
                  <w:szCs w:val="24"/>
                </w:rPr>
                <w:t xml:space="preserve">Attachment </w:t>
              </w:r>
              <w:r w:rsidR="00521F67">
                <w:rPr>
                  <w:rStyle w:val="Hyperlink"/>
                  <w:szCs w:val="24"/>
                </w:rPr>
                <w:t>A</w:t>
              </w:r>
              <w:r w:rsidR="00521F67" w:rsidRPr="00B42F08">
                <w:rPr>
                  <w:rStyle w:val="Hyperlink"/>
                  <w:szCs w:val="24"/>
                </w:rPr>
                <w:t>6.1</w:t>
              </w:r>
            </w:hyperlink>
          </w:p>
        </w:tc>
      </w:tr>
      <w:tr w:rsidR="00521F67" w:rsidRPr="00CE4250" w14:paraId="04F84809" w14:textId="57621045" w:rsidTr="00521F67">
        <w:tc>
          <w:tcPr>
            <w:tcW w:w="1165" w:type="dxa"/>
          </w:tcPr>
          <w:p w14:paraId="07D064B9" w14:textId="2A3EAB1A" w:rsidR="00521F67" w:rsidRDefault="00521F67" w:rsidP="00521F67">
            <w:pPr>
              <w:pStyle w:val="Normal-Table"/>
            </w:pPr>
            <w:r>
              <w:t>Ben-8</w:t>
            </w:r>
          </w:p>
        </w:tc>
        <w:tc>
          <w:tcPr>
            <w:tcW w:w="10890" w:type="dxa"/>
          </w:tcPr>
          <w:p w14:paraId="60B4C10E" w14:textId="26A58B6F" w:rsidR="00521F67" w:rsidRDefault="00C92570" w:rsidP="00521F67">
            <w:pPr>
              <w:pStyle w:val="Normal-Table"/>
            </w:pPr>
            <w:r>
              <w:t>The System must</w:t>
            </w:r>
            <w:r w:rsidR="00521F67" w:rsidRPr="000B720D">
              <w:t xml:space="preserve"> include all functionality necessary to request payments</w:t>
            </w:r>
            <w:r w:rsidR="00521F67" w:rsidRPr="00CD16AB">
              <w:rPr>
                <w:szCs w:val="24"/>
              </w:rPr>
              <w:t>.</w:t>
            </w:r>
          </w:p>
        </w:tc>
        <w:tc>
          <w:tcPr>
            <w:tcW w:w="2340" w:type="dxa"/>
          </w:tcPr>
          <w:p w14:paraId="68170EB1" w14:textId="452DAD5D" w:rsidR="00521F67" w:rsidRDefault="006D43BC" w:rsidP="00521F67">
            <w:pPr>
              <w:pStyle w:val="Normal-Table"/>
            </w:pPr>
            <w:hyperlink w:anchor="_A6.1_Benefits" w:history="1">
              <w:r w:rsidR="00521F67" w:rsidRPr="00DA4BCA">
                <w:rPr>
                  <w:rStyle w:val="Hyperlink"/>
                  <w:szCs w:val="24"/>
                </w:rPr>
                <w:t xml:space="preserve">Attachment </w:t>
              </w:r>
              <w:r w:rsidR="00521F67">
                <w:rPr>
                  <w:rStyle w:val="Hyperlink"/>
                  <w:szCs w:val="24"/>
                </w:rPr>
                <w:t>A</w:t>
              </w:r>
              <w:r w:rsidR="00521F67" w:rsidRPr="00B42F08">
                <w:rPr>
                  <w:rStyle w:val="Hyperlink"/>
                  <w:szCs w:val="24"/>
                </w:rPr>
                <w:t>6.1</w:t>
              </w:r>
            </w:hyperlink>
          </w:p>
        </w:tc>
      </w:tr>
      <w:tr w:rsidR="00521F67" w:rsidRPr="00CE4250" w14:paraId="2563E3D9" w14:textId="579B7E28" w:rsidTr="00521F67">
        <w:tc>
          <w:tcPr>
            <w:tcW w:w="1165" w:type="dxa"/>
          </w:tcPr>
          <w:p w14:paraId="0DD9E9FD" w14:textId="45676FEC" w:rsidR="00521F67" w:rsidRDefault="00521F67" w:rsidP="00521F67">
            <w:pPr>
              <w:pStyle w:val="Normal-Table"/>
            </w:pPr>
            <w:r>
              <w:t>Ben-9</w:t>
            </w:r>
          </w:p>
        </w:tc>
        <w:tc>
          <w:tcPr>
            <w:tcW w:w="10890" w:type="dxa"/>
          </w:tcPr>
          <w:p w14:paraId="7BF23E1D" w14:textId="6002E545" w:rsidR="00521F67" w:rsidRDefault="00C92570" w:rsidP="00521F67">
            <w:pPr>
              <w:pStyle w:val="Normal-Table"/>
            </w:pPr>
            <w:r>
              <w:t>The System must</w:t>
            </w:r>
            <w:r w:rsidR="00521F67" w:rsidRPr="000B720D">
              <w:t xml:space="preserve"> include all functionality necessary to receive and process payment requests</w:t>
            </w:r>
            <w:r w:rsidR="00521F67" w:rsidRPr="00CD16AB">
              <w:rPr>
                <w:szCs w:val="24"/>
              </w:rPr>
              <w:t>.</w:t>
            </w:r>
          </w:p>
        </w:tc>
        <w:tc>
          <w:tcPr>
            <w:tcW w:w="2340" w:type="dxa"/>
          </w:tcPr>
          <w:p w14:paraId="0343A6EB" w14:textId="2DE758D3" w:rsidR="00521F67" w:rsidRDefault="006D43BC" w:rsidP="00521F67">
            <w:pPr>
              <w:pStyle w:val="Normal-Table"/>
            </w:pPr>
            <w:hyperlink w:anchor="_A6.1_Benefits" w:history="1">
              <w:r w:rsidR="00521F67" w:rsidRPr="00DA4BCA">
                <w:rPr>
                  <w:rStyle w:val="Hyperlink"/>
                  <w:szCs w:val="24"/>
                </w:rPr>
                <w:t xml:space="preserve">Attachment </w:t>
              </w:r>
              <w:r w:rsidR="00521F67">
                <w:rPr>
                  <w:rStyle w:val="Hyperlink"/>
                  <w:szCs w:val="24"/>
                </w:rPr>
                <w:t>A</w:t>
              </w:r>
              <w:r w:rsidR="00521F67" w:rsidRPr="00B42F08">
                <w:rPr>
                  <w:rStyle w:val="Hyperlink"/>
                  <w:szCs w:val="24"/>
                </w:rPr>
                <w:t>6.1</w:t>
              </w:r>
            </w:hyperlink>
          </w:p>
        </w:tc>
      </w:tr>
      <w:tr w:rsidR="00521F67" w:rsidRPr="00CE4250" w14:paraId="1A590713" w14:textId="55672570" w:rsidTr="00521F67">
        <w:tc>
          <w:tcPr>
            <w:tcW w:w="1165" w:type="dxa"/>
          </w:tcPr>
          <w:p w14:paraId="50A529E4" w14:textId="5F464754" w:rsidR="00521F67" w:rsidRDefault="00521F67" w:rsidP="00521F67">
            <w:pPr>
              <w:pStyle w:val="Normal-Table"/>
            </w:pPr>
            <w:r>
              <w:t>Ben-10</w:t>
            </w:r>
          </w:p>
        </w:tc>
        <w:tc>
          <w:tcPr>
            <w:tcW w:w="10890" w:type="dxa"/>
          </w:tcPr>
          <w:p w14:paraId="6B44F0C8" w14:textId="21B566AE" w:rsidR="00521F67" w:rsidRDefault="00C92570" w:rsidP="00521F67">
            <w:pPr>
              <w:pStyle w:val="Normal-Table"/>
            </w:pPr>
            <w:r>
              <w:t>The System must</w:t>
            </w:r>
            <w:r w:rsidR="00521F67" w:rsidRPr="000B720D">
              <w:t xml:space="preserve"> include all functionality necessary to initiate, investigate, and adjudicate Benefits issues</w:t>
            </w:r>
            <w:r w:rsidR="00521F67" w:rsidRPr="00CD16AB">
              <w:rPr>
                <w:szCs w:val="24"/>
              </w:rPr>
              <w:t>.</w:t>
            </w:r>
          </w:p>
        </w:tc>
        <w:tc>
          <w:tcPr>
            <w:tcW w:w="2340" w:type="dxa"/>
          </w:tcPr>
          <w:p w14:paraId="71143000" w14:textId="508EF242" w:rsidR="00521F67" w:rsidRDefault="006D43BC" w:rsidP="00521F67">
            <w:pPr>
              <w:pStyle w:val="Normal-Table"/>
            </w:pPr>
            <w:hyperlink w:anchor="_A6.1_Benefits" w:history="1">
              <w:r w:rsidR="00521F67" w:rsidRPr="00DA4BCA">
                <w:rPr>
                  <w:rStyle w:val="Hyperlink"/>
                  <w:szCs w:val="24"/>
                </w:rPr>
                <w:t xml:space="preserve">Attachment </w:t>
              </w:r>
              <w:r w:rsidR="00521F67">
                <w:rPr>
                  <w:rStyle w:val="Hyperlink"/>
                  <w:szCs w:val="24"/>
                </w:rPr>
                <w:t>A</w:t>
              </w:r>
              <w:r w:rsidR="00521F67" w:rsidRPr="00B42F08">
                <w:rPr>
                  <w:rStyle w:val="Hyperlink"/>
                  <w:szCs w:val="24"/>
                </w:rPr>
                <w:t>6.1</w:t>
              </w:r>
            </w:hyperlink>
          </w:p>
        </w:tc>
      </w:tr>
      <w:tr w:rsidR="00521F67" w:rsidRPr="00CE4250" w14:paraId="5C9BE5A4" w14:textId="2E825993" w:rsidTr="00521F67">
        <w:tc>
          <w:tcPr>
            <w:tcW w:w="1165" w:type="dxa"/>
          </w:tcPr>
          <w:p w14:paraId="1474D763" w14:textId="2B341EE4" w:rsidR="00521F67" w:rsidRDefault="00521F67" w:rsidP="00521F67">
            <w:pPr>
              <w:pStyle w:val="Normal-Table"/>
            </w:pPr>
            <w:r>
              <w:lastRenderedPageBreak/>
              <w:t>Ben-11</w:t>
            </w:r>
          </w:p>
        </w:tc>
        <w:tc>
          <w:tcPr>
            <w:tcW w:w="10890" w:type="dxa"/>
          </w:tcPr>
          <w:p w14:paraId="6177C076" w14:textId="5C6B22E9" w:rsidR="00521F67" w:rsidRDefault="00C92570" w:rsidP="00521F67">
            <w:pPr>
              <w:pStyle w:val="Normal-Table"/>
            </w:pPr>
            <w:r>
              <w:t>The System must</w:t>
            </w:r>
            <w:r w:rsidR="00521F67" w:rsidRPr="000B720D">
              <w:t xml:space="preserve"> include all functionality necessary to charge </w:t>
            </w:r>
            <w:r w:rsidR="00521F67">
              <w:t xml:space="preserve">Employer </w:t>
            </w:r>
            <w:r w:rsidR="00521F67" w:rsidRPr="000B720D">
              <w:t>accounts</w:t>
            </w:r>
            <w:r w:rsidR="00521F67" w:rsidRPr="00CD16AB">
              <w:rPr>
                <w:szCs w:val="24"/>
              </w:rPr>
              <w:t>.</w:t>
            </w:r>
          </w:p>
        </w:tc>
        <w:tc>
          <w:tcPr>
            <w:tcW w:w="2340" w:type="dxa"/>
          </w:tcPr>
          <w:p w14:paraId="59B333B1" w14:textId="4785B08F" w:rsidR="00521F67" w:rsidRDefault="006D43BC" w:rsidP="00521F67">
            <w:pPr>
              <w:pStyle w:val="Normal-Table"/>
            </w:pPr>
            <w:hyperlink w:anchor="_A6.1_Benefits" w:history="1">
              <w:r w:rsidR="00521F67" w:rsidRPr="00DA4BCA">
                <w:rPr>
                  <w:rStyle w:val="Hyperlink"/>
                  <w:szCs w:val="24"/>
                </w:rPr>
                <w:t xml:space="preserve">Attachment </w:t>
              </w:r>
              <w:r w:rsidR="00521F67">
                <w:rPr>
                  <w:rStyle w:val="Hyperlink"/>
                  <w:szCs w:val="24"/>
                </w:rPr>
                <w:t>A</w:t>
              </w:r>
              <w:r w:rsidR="00521F67" w:rsidRPr="00B42F08">
                <w:rPr>
                  <w:rStyle w:val="Hyperlink"/>
                  <w:szCs w:val="24"/>
                </w:rPr>
                <w:t>6.1</w:t>
              </w:r>
            </w:hyperlink>
          </w:p>
        </w:tc>
      </w:tr>
      <w:tr w:rsidR="00521F67" w:rsidRPr="00CE4250" w14:paraId="01F0D0E6" w14:textId="4AD2FE98" w:rsidTr="00521F67">
        <w:tc>
          <w:tcPr>
            <w:tcW w:w="1165" w:type="dxa"/>
          </w:tcPr>
          <w:p w14:paraId="00046083" w14:textId="50CA0464" w:rsidR="00521F67" w:rsidRDefault="00521F67" w:rsidP="00521F67">
            <w:pPr>
              <w:pStyle w:val="Normal-Table"/>
            </w:pPr>
            <w:r>
              <w:t>Ben-12</w:t>
            </w:r>
          </w:p>
        </w:tc>
        <w:tc>
          <w:tcPr>
            <w:tcW w:w="10890" w:type="dxa"/>
          </w:tcPr>
          <w:p w14:paraId="42F721CF" w14:textId="08B85E83" w:rsidR="00521F67" w:rsidRDefault="00C92570" w:rsidP="00521F67">
            <w:pPr>
              <w:pStyle w:val="Normal-Table"/>
            </w:pPr>
            <w:r>
              <w:t>The System must</w:t>
            </w:r>
            <w:r w:rsidR="00521F67" w:rsidRPr="000B720D">
              <w:t xml:space="preserve"> include all functionality necessary to receive and process Claimant and Employer correspondence</w:t>
            </w:r>
            <w:r w:rsidR="00521F67" w:rsidRPr="00CD16AB">
              <w:rPr>
                <w:szCs w:val="24"/>
              </w:rPr>
              <w:t>.</w:t>
            </w:r>
          </w:p>
        </w:tc>
        <w:tc>
          <w:tcPr>
            <w:tcW w:w="2340" w:type="dxa"/>
          </w:tcPr>
          <w:p w14:paraId="1B7DD946" w14:textId="111B2562" w:rsidR="00521F67" w:rsidRDefault="006D43BC" w:rsidP="00521F67">
            <w:pPr>
              <w:pStyle w:val="Normal-Table"/>
            </w:pPr>
            <w:hyperlink w:anchor="_A6.1_Benefits" w:history="1">
              <w:r w:rsidR="00521F67" w:rsidRPr="00DA4BCA">
                <w:rPr>
                  <w:rStyle w:val="Hyperlink"/>
                  <w:szCs w:val="24"/>
                </w:rPr>
                <w:t xml:space="preserve">Attachment </w:t>
              </w:r>
              <w:r w:rsidR="00521F67">
                <w:rPr>
                  <w:rStyle w:val="Hyperlink"/>
                  <w:szCs w:val="24"/>
                </w:rPr>
                <w:t>A</w:t>
              </w:r>
              <w:r w:rsidR="00521F67" w:rsidRPr="00B42F08">
                <w:rPr>
                  <w:rStyle w:val="Hyperlink"/>
                  <w:szCs w:val="24"/>
                </w:rPr>
                <w:t>6.1</w:t>
              </w:r>
            </w:hyperlink>
          </w:p>
        </w:tc>
      </w:tr>
      <w:tr w:rsidR="00521F67" w:rsidRPr="00CE4250" w14:paraId="22A06C12" w14:textId="460513EB" w:rsidTr="00521F67">
        <w:tc>
          <w:tcPr>
            <w:tcW w:w="1165" w:type="dxa"/>
          </w:tcPr>
          <w:p w14:paraId="66E64B89" w14:textId="043A0D03" w:rsidR="00521F67" w:rsidRDefault="00521F67" w:rsidP="00521F67">
            <w:pPr>
              <w:pStyle w:val="Normal-Table"/>
            </w:pPr>
            <w:r>
              <w:t>Ben-13</w:t>
            </w:r>
          </w:p>
        </w:tc>
        <w:tc>
          <w:tcPr>
            <w:tcW w:w="10890" w:type="dxa"/>
          </w:tcPr>
          <w:p w14:paraId="2BECB165" w14:textId="3D76456C" w:rsidR="00521F67" w:rsidRDefault="00C92570" w:rsidP="00521F67">
            <w:pPr>
              <w:pStyle w:val="Normal-Table"/>
            </w:pPr>
            <w:r>
              <w:t>The System must</w:t>
            </w:r>
            <w:r w:rsidR="00521F67" w:rsidRPr="000B720D">
              <w:t xml:space="preserve"> include all functionality necessary to create and update program data</w:t>
            </w:r>
            <w:r w:rsidR="00521F67" w:rsidRPr="00CD16AB">
              <w:rPr>
                <w:szCs w:val="24"/>
              </w:rPr>
              <w:t>.</w:t>
            </w:r>
          </w:p>
        </w:tc>
        <w:tc>
          <w:tcPr>
            <w:tcW w:w="2340" w:type="dxa"/>
          </w:tcPr>
          <w:p w14:paraId="4BD9EEC5" w14:textId="2BE79275" w:rsidR="00521F67" w:rsidRDefault="006D43BC" w:rsidP="00521F67">
            <w:pPr>
              <w:pStyle w:val="Normal-Table"/>
            </w:pPr>
            <w:hyperlink w:anchor="_A6.1_Benefits" w:history="1">
              <w:r w:rsidR="00521F67" w:rsidRPr="00DA4BCA">
                <w:rPr>
                  <w:rStyle w:val="Hyperlink"/>
                  <w:szCs w:val="24"/>
                </w:rPr>
                <w:t xml:space="preserve">Attachment </w:t>
              </w:r>
              <w:r w:rsidR="00521F67">
                <w:rPr>
                  <w:rStyle w:val="Hyperlink"/>
                  <w:szCs w:val="24"/>
                </w:rPr>
                <w:t>A</w:t>
              </w:r>
              <w:r w:rsidR="00521F67" w:rsidRPr="00B42F08">
                <w:rPr>
                  <w:rStyle w:val="Hyperlink"/>
                  <w:szCs w:val="24"/>
                </w:rPr>
                <w:t>6.1</w:t>
              </w:r>
            </w:hyperlink>
          </w:p>
        </w:tc>
      </w:tr>
      <w:tr w:rsidR="00521F67" w:rsidRPr="00CE4250" w14:paraId="761FA344" w14:textId="02A9D197" w:rsidTr="00521F67">
        <w:tc>
          <w:tcPr>
            <w:tcW w:w="1165" w:type="dxa"/>
          </w:tcPr>
          <w:p w14:paraId="0F1DA0AF" w14:textId="3C6A7EC7" w:rsidR="00521F67" w:rsidRDefault="00521F67" w:rsidP="00521F67">
            <w:pPr>
              <w:pStyle w:val="Normal-Table"/>
            </w:pPr>
            <w:r>
              <w:t>Ben-14</w:t>
            </w:r>
          </w:p>
        </w:tc>
        <w:tc>
          <w:tcPr>
            <w:tcW w:w="10890" w:type="dxa"/>
          </w:tcPr>
          <w:p w14:paraId="7EAA1849" w14:textId="687E98DD" w:rsidR="00521F67" w:rsidRDefault="00C92570" w:rsidP="00521F67">
            <w:pPr>
              <w:pStyle w:val="Normal-Table"/>
            </w:pPr>
            <w:r>
              <w:t>The System must</w:t>
            </w:r>
            <w:r w:rsidR="00521F67" w:rsidRPr="000B720D">
              <w:t xml:space="preserve"> include all functionality necessary to edit data with the option of placing the record back into workflow</w:t>
            </w:r>
            <w:r w:rsidR="00521F67" w:rsidRPr="00CD16AB">
              <w:rPr>
                <w:szCs w:val="24"/>
              </w:rPr>
              <w:t>.</w:t>
            </w:r>
          </w:p>
        </w:tc>
        <w:tc>
          <w:tcPr>
            <w:tcW w:w="2340" w:type="dxa"/>
          </w:tcPr>
          <w:p w14:paraId="47DA2F0C" w14:textId="4A545353" w:rsidR="00521F67" w:rsidRDefault="006D43BC" w:rsidP="00521F67">
            <w:pPr>
              <w:pStyle w:val="Normal-Table"/>
            </w:pPr>
            <w:hyperlink w:anchor="_A6.1_Benefits" w:history="1">
              <w:r w:rsidR="00521F67" w:rsidRPr="00DA4BCA">
                <w:rPr>
                  <w:rStyle w:val="Hyperlink"/>
                  <w:szCs w:val="24"/>
                </w:rPr>
                <w:t xml:space="preserve">Attachment </w:t>
              </w:r>
              <w:r w:rsidR="00521F67">
                <w:rPr>
                  <w:rStyle w:val="Hyperlink"/>
                  <w:szCs w:val="24"/>
                </w:rPr>
                <w:t>A</w:t>
              </w:r>
              <w:r w:rsidR="00521F67" w:rsidRPr="00B42F08">
                <w:rPr>
                  <w:rStyle w:val="Hyperlink"/>
                  <w:szCs w:val="24"/>
                </w:rPr>
                <w:t>6.1</w:t>
              </w:r>
            </w:hyperlink>
          </w:p>
        </w:tc>
      </w:tr>
      <w:tr w:rsidR="00521F67" w:rsidRPr="00CE4250" w14:paraId="478DAAA6" w14:textId="184BCB1D" w:rsidTr="00521F67">
        <w:tc>
          <w:tcPr>
            <w:tcW w:w="1165" w:type="dxa"/>
          </w:tcPr>
          <w:p w14:paraId="46B7EA02" w14:textId="393A25DB" w:rsidR="00521F67" w:rsidRDefault="00521F67" w:rsidP="00521F67">
            <w:pPr>
              <w:pStyle w:val="Normal-Table"/>
            </w:pPr>
            <w:r>
              <w:t>Ben-15</w:t>
            </w:r>
          </w:p>
        </w:tc>
        <w:tc>
          <w:tcPr>
            <w:tcW w:w="10890" w:type="dxa"/>
          </w:tcPr>
          <w:p w14:paraId="18992E30" w14:textId="4A98376B" w:rsidR="00521F67" w:rsidRDefault="00C92570" w:rsidP="00521F67">
            <w:pPr>
              <w:pStyle w:val="Normal-Table"/>
            </w:pPr>
            <w:r>
              <w:t>The System must</w:t>
            </w:r>
            <w:r w:rsidR="00521F67" w:rsidRPr="000C6D75">
              <w:t xml:space="preserve"> include all functionality necessary to respond to inquiries</w:t>
            </w:r>
            <w:r w:rsidR="00521F67" w:rsidRPr="00CD16AB">
              <w:rPr>
                <w:szCs w:val="24"/>
              </w:rPr>
              <w:t>.</w:t>
            </w:r>
          </w:p>
        </w:tc>
        <w:tc>
          <w:tcPr>
            <w:tcW w:w="2340" w:type="dxa"/>
          </w:tcPr>
          <w:p w14:paraId="2EBBC34B" w14:textId="794BE1E3" w:rsidR="00521F67" w:rsidRDefault="006D43BC" w:rsidP="00521F67">
            <w:pPr>
              <w:pStyle w:val="Normal-Table"/>
            </w:pPr>
            <w:hyperlink w:anchor="_A6.1_Benefits" w:history="1">
              <w:r w:rsidR="00521F67" w:rsidRPr="00DA4BCA">
                <w:rPr>
                  <w:rStyle w:val="Hyperlink"/>
                  <w:szCs w:val="24"/>
                </w:rPr>
                <w:t xml:space="preserve">Attachment </w:t>
              </w:r>
              <w:r w:rsidR="00521F67">
                <w:rPr>
                  <w:rStyle w:val="Hyperlink"/>
                  <w:szCs w:val="24"/>
                </w:rPr>
                <w:t>A</w:t>
              </w:r>
              <w:r w:rsidR="00521F67" w:rsidRPr="00B42F08">
                <w:rPr>
                  <w:rStyle w:val="Hyperlink"/>
                  <w:szCs w:val="24"/>
                </w:rPr>
                <w:t>6.1</w:t>
              </w:r>
            </w:hyperlink>
          </w:p>
        </w:tc>
      </w:tr>
      <w:tr w:rsidR="00521F67" w:rsidRPr="00CE4250" w14:paraId="30C24919" w14:textId="743FF114" w:rsidTr="00521F67">
        <w:tc>
          <w:tcPr>
            <w:tcW w:w="1165" w:type="dxa"/>
          </w:tcPr>
          <w:p w14:paraId="641EFF04" w14:textId="1FCBF1FD" w:rsidR="00521F67" w:rsidRDefault="00521F67" w:rsidP="00521F67">
            <w:pPr>
              <w:pStyle w:val="Normal-Table"/>
            </w:pPr>
            <w:r>
              <w:t>Tax-1</w:t>
            </w:r>
          </w:p>
        </w:tc>
        <w:tc>
          <w:tcPr>
            <w:tcW w:w="10890" w:type="dxa"/>
          </w:tcPr>
          <w:p w14:paraId="142A2B0D" w14:textId="0E2543F5" w:rsidR="00521F67" w:rsidRDefault="00C92570" w:rsidP="00521F67">
            <w:pPr>
              <w:pStyle w:val="Normal-Table"/>
            </w:pPr>
            <w:r>
              <w:t>The System must</w:t>
            </w:r>
            <w:r w:rsidR="00521F67" w:rsidRPr="00E1652F">
              <w:t xml:space="preserve"> include all functionality necessary to register an </w:t>
            </w:r>
            <w:r w:rsidR="00521F67">
              <w:t>Employer</w:t>
            </w:r>
            <w:r w:rsidR="00521F67" w:rsidRPr="00CD16AB">
              <w:rPr>
                <w:szCs w:val="24"/>
              </w:rPr>
              <w:t>.</w:t>
            </w:r>
          </w:p>
        </w:tc>
        <w:tc>
          <w:tcPr>
            <w:tcW w:w="2340" w:type="dxa"/>
          </w:tcPr>
          <w:p w14:paraId="54108E7D" w14:textId="6971EEF7" w:rsidR="00521F67" w:rsidRPr="00E1652F" w:rsidRDefault="006D43BC" w:rsidP="00521F67">
            <w:pPr>
              <w:pStyle w:val="Normal-Table"/>
            </w:pPr>
            <w:hyperlink w:anchor="_A6.2_Tax" w:history="1">
              <w:r w:rsidR="00521F67" w:rsidRPr="00DA4BCA">
                <w:rPr>
                  <w:rStyle w:val="Hyperlink"/>
                  <w:szCs w:val="24"/>
                </w:rPr>
                <w:t xml:space="preserve">Attachment </w:t>
              </w:r>
              <w:r w:rsidR="00521F67">
                <w:rPr>
                  <w:rStyle w:val="Hyperlink"/>
                  <w:szCs w:val="24"/>
                </w:rPr>
                <w:t>A6.2</w:t>
              </w:r>
            </w:hyperlink>
          </w:p>
        </w:tc>
      </w:tr>
      <w:tr w:rsidR="00521F67" w:rsidRPr="00CE4250" w14:paraId="2C67D3C6" w14:textId="1A3745ED" w:rsidTr="00521F67">
        <w:tc>
          <w:tcPr>
            <w:tcW w:w="1165" w:type="dxa"/>
          </w:tcPr>
          <w:p w14:paraId="4CF0EF90" w14:textId="63AC38A8" w:rsidR="00521F67" w:rsidRDefault="00521F67" w:rsidP="00521F67">
            <w:pPr>
              <w:pStyle w:val="Normal-Table"/>
            </w:pPr>
            <w:r>
              <w:t>Tax-2</w:t>
            </w:r>
          </w:p>
        </w:tc>
        <w:tc>
          <w:tcPr>
            <w:tcW w:w="10890" w:type="dxa"/>
          </w:tcPr>
          <w:p w14:paraId="522339A8" w14:textId="373AEF05" w:rsidR="00521F67" w:rsidRDefault="00C92570" w:rsidP="00521F67">
            <w:pPr>
              <w:pStyle w:val="Normal-Table"/>
            </w:pPr>
            <w:r>
              <w:t>The System must</w:t>
            </w:r>
            <w:r w:rsidR="00521F67" w:rsidRPr="00E1652F">
              <w:t xml:space="preserve"> include all functionality necessary to service an </w:t>
            </w:r>
            <w:r w:rsidR="00521F67">
              <w:t xml:space="preserve">Employer </w:t>
            </w:r>
            <w:r w:rsidR="00521F67" w:rsidRPr="00E1652F">
              <w:t>account</w:t>
            </w:r>
            <w:r w:rsidR="00521F67" w:rsidRPr="00CD16AB">
              <w:rPr>
                <w:szCs w:val="24"/>
              </w:rPr>
              <w:t>.</w:t>
            </w:r>
          </w:p>
        </w:tc>
        <w:tc>
          <w:tcPr>
            <w:tcW w:w="2340" w:type="dxa"/>
          </w:tcPr>
          <w:p w14:paraId="558259E1" w14:textId="082EF0D5" w:rsidR="00521F67" w:rsidRDefault="006D43BC" w:rsidP="00521F67">
            <w:pPr>
              <w:pStyle w:val="Normal-Table"/>
            </w:pPr>
            <w:hyperlink w:anchor="_A6.2_Tax" w:history="1">
              <w:r w:rsidR="00521F67" w:rsidRPr="00DA4BCA">
                <w:rPr>
                  <w:rStyle w:val="Hyperlink"/>
                  <w:szCs w:val="24"/>
                </w:rPr>
                <w:t xml:space="preserve">Attachment </w:t>
              </w:r>
              <w:r w:rsidR="00521F67">
                <w:rPr>
                  <w:rStyle w:val="Hyperlink"/>
                  <w:szCs w:val="24"/>
                </w:rPr>
                <w:t>A6.2</w:t>
              </w:r>
            </w:hyperlink>
          </w:p>
        </w:tc>
      </w:tr>
      <w:tr w:rsidR="00521F67" w:rsidRPr="00CE4250" w14:paraId="0075C234" w14:textId="04BF0334" w:rsidTr="00521F67">
        <w:tc>
          <w:tcPr>
            <w:tcW w:w="1165" w:type="dxa"/>
          </w:tcPr>
          <w:p w14:paraId="172B33F7" w14:textId="7B6F0167" w:rsidR="00521F67" w:rsidRDefault="00521F67" w:rsidP="00521F67">
            <w:pPr>
              <w:pStyle w:val="Normal-Table"/>
            </w:pPr>
            <w:r>
              <w:t>Tax-3</w:t>
            </w:r>
          </w:p>
        </w:tc>
        <w:tc>
          <w:tcPr>
            <w:tcW w:w="10890" w:type="dxa"/>
          </w:tcPr>
          <w:p w14:paraId="6F75421A" w14:textId="1A7228DC" w:rsidR="00521F67" w:rsidRDefault="00C92570" w:rsidP="00521F67">
            <w:pPr>
              <w:pStyle w:val="Normal-Table"/>
            </w:pPr>
            <w:r>
              <w:t>The System must</w:t>
            </w:r>
            <w:r w:rsidR="00521F67" w:rsidRPr="00E1652F">
              <w:t xml:space="preserve"> include all functionality necessary to submit wage reports to TWC</w:t>
            </w:r>
            <w:r w:rsidR="00521F67" w:rsidRPr="00CD16AB">
              <w:rPr>
                <w:szCs w:val="24"/>
              </w:rPr>
              <w:t>.</w:t>
            </w:r>
          </w:p>
        </w:tc>
        <w:tc>
          <w:tcPr>
            <w:tcW w:w="2340" w:type="dxa"/>
          </w:tcPr>
          <w:p w14:paraId="2EEA9C09" w14:textId="42C5D714" w:rsidR="00521F67" w:rsidRDefault="006D43BC" w:rsidP="00521F67">
            <w:pPr>
              <w:pStyle w:val="Normal-Table"/>
            </w:pPr>
            <w:hyperlink w:anchor="_A6.2_Tax" w:history="1">
              <w:r w:rsidR="00521F67" w:rsidRPr="00DA4BCA">
                <w:rPr>
                  <w:rStyle w:val="Hyperlink"/>
                  <w:szCs w:val="24"/>
                </w:rPr>
                <w:t xml:space="preserve">Attachment </w:t>
              </w:r>
              <w:r w:rsidR="00521F67">
                <w:rPr>
                  <w:rStyle w:val="Hyperlink"/>
                  <w:szCs w:val="24"/>
                </w:rPr>
                <w:t>A6.2</w:t>
              </w:r>
            </w:hyperlink>
          </w:p>
        </w:tc>
      </w:tr>
      <w:tr w:rsidR="00521F67" w:rsidRPr="00CE4250" w14:paraId="05238AB8" w14:textId="7970DD4F" w:rsidTr="00521F67">
        <w:tc>
          <w:tcPr>
            <w:tcW w:w="1165" w:type="dxa"/>
          </w:tcPr>
          <w:p w14:paraId="1D91A0B6" w14:textId="108080F0" w:rsidR="00521F67" w:rsidRDefault="00521F67" w:rsidP="00521F67">
            <w:pPr>
              <w:pStyle w:val="Normal-Table"/>
            </w:pPr>
            <w:r>
              <w:t>Tax-4</w:t>
            </w:r>
          </w:p>
        </w:tc>
        <w:tc>
          <w:tcPr>
            <w:tcW w:w="10890" w:type="dxa"/>
          </w:tcPr>
          <w:p w14:paraId="76CF2DF8" w14:textId="388CE4EF" w:rsidR="00521F67" w:rsidRDefault="00C92570" w:rsidP="00521F67">
            <w:pPr>
              <w:pStyle w:val="Normal-Table"/>
            </w:pPr>
            <w:r>
              <w:t>The System must</w:t>
            </w:r>
            <w:r w:rsidR="00521F67" w:rsidRPr="00E1652F">
              <w:t xml:space="preserve"> include all functionality necessary to submit payments to TWC</w:t>
            </w:r>
            <w:r w:rsidR="00521F67" w:rsidRPr="00CD16AB">
              <w:rPr>
                <w:szCs w:val="24"/>
              </w:rPr>
              <w:t>.</w:t>
            </w:r>
          </w:p>
        </w:tc>
        <w:tc>
          <w:tcPr>
            <w:tcW w:w="2340" w:type="dxa"/>
          </w:tcPr>
          <w:p w14:paraId="79E709F2" w14:textId="1BB94461" w:rsidR="00521F67" w:rsidRDefault="006D43BC" w:rsidP="00521F67">
            <w:pPr>
              <w:pStyle w:val="Normal-Table"/>
            </w:pPr>
            <w:hyperlink w:anchor="_A6.2_Tax" w:history="1">
              <w:r w:rsidR="00521F67" w:rsidRPr="00DA4BCA">
                <w:rPr>
                  <w:rStyle w:val="Hyperlink"/>
                  <w:szCs w:val="24"/>
                </w:rPr>
                <w:t xml:space="preserve">Attachment </w:t>
              </w:r>
              <w:r w:rsidR="00521F67">
                <w:rPr>
                  <w:rStyle w:val="Hyperlink"/>
                  <w:szCs w:val="24"/>
                </w:rPr>
                <w:t>A6.2</w:t>
              </w:r>
            </w:hyperlink>
          </w:p>
        </w:tc>
      </w:tr>
      <w:tr w:rsidR="00521F67" w:rsidRPr="00CE4250" w14:paraId="1013F02F" w14:textId="2F7578A2" w:rsidTr="00521F67">
        <w:tc>
          <w:tcPr>
            <w:tcW w:w="1165" w:type="dxa"/>
          </w:tcPr>
          <w:p w14:paraId="1734E51B" w14:textId="765498CE" w:rsidR="00521F67" w:rsidRDefault="00521F67" w:rsidP="00521F67">
            <w:pPr>
              <w:pStyle w:val="Normal-Table"/>
            </w:pPr>
            <w:r>
              <w:t>Tax-5</w:t>
            </w:r>
          </w:p>
        </w:tc>
        <w:tc>
          <w:tcPr>
            <w:tcW w:w="10890" w:type="dxa"/>
          </w:tcPr>
          <w:p w14:paraId="634603FD" w14:textId="3E259C44" w:rsidR="00521F67" w:rsidRDefault="00C92570" w:rsidP="00521F67">
            <w:pPr>
              <w:pStyle w:val="Normal-Table"/>
            </w:pPr>
            <w:r>
              <w:t>The System must</w:t>
            </w:r>
            <w:r w:rsidR="00521F67" w:rsidRPr="00E1652F">
              <w:t xml:space="preserve"> include all functionality necessary to receive and process wage reports</w:t>
            </w:r>
            <w:r w:rsidR="00521F67" w:rsidRPr="00CD16AB">
              <w:rPr>
                <w:szCs w:val="24"/>
              </w:rPr>
              <w:t>.</w:t>
            </w:r>
          </w:p>
        </w:tc>
        <w:tc>
          <w:tcPr>
            <w:tcW w:w="2340" w:type="dxa"/>
          </w:tcPr>
          <w:p w14:paraId="48A1B219" w14:textId="433FEE6C" w:rsidR="00521F67" w:rsidRDefault="006D43BC" w:rsidP="00521F67">
            <w:pPr>
              <w:pStyle w:val="Normal-Table"/>
            </w:pPr>
            <w:hyperlink w:anchor="_A6.2_Tax" w:history="1">
              <w:r w:rsidR="00521F67" w:rsidRPr="00DA4BCA">
                <w:rPr>
                  <w:rStyle w:val="Hyperlink"/>
                  <w:szCs w:val="24"/>
                </w:rPr>
                <w:t xml:space="preserve">Attachment </w:t>
              </w:r>
              <w:r w:rsidR="00521F67">
                <w:rPr>
                  <w:rStyle w:val="Hyperlink"/>
                  <w:szCs w:val="24"/>
                </w:rPr>
                <w:t>A6.2</w:t>
              </w:r>
            </w:hyperlink>
          </w:p>
        </w:tc>
      </w:tr>
      <w:tr w:rsidR="00521F67" w:rsidRPr="00CE4250" w14:paraId="1E2E751D" w14:textId="7E3A3B5A" w:rsidTr="00521F67">
        <w:tc>
          <w:tcPr>
            <w:tcW w:w="1165" w:type="dxa"/>
          </w:tcPr>
          <w:p w14:paraId="0A01BCDA" w14:textId="3CE0E78E" w:rsidR="00521F67" w:rsidRDefault="00521F67" w:rsidP="00521F67">
            <w:pPr>
              <w:pStyle w:val="Normal-Table"/>
            </w:pPr>
            <w:r>
              <w:t>Tax-6</w:t>
            </w:r>
          </w:p>
        </w:tc>
        <w:tc>
          <w:tcPr>
            <w:tcW w:w="10890" w:type="dxa"/>
          </w:tcPr>
          <w:p w14:paraId="7FB6AD97" w14:textId="0D97F46D" w:rsidR="00521F67" w:rsidRDefault="00C92570" w:rsidP="00521F67">
            <w:pPr>
              <w:pStyle w:val="Normal-Table"/>
            </w:pPr>
            <w:r>
              <w:t>The System must</w:t>
            </w:r>
            <w:r w:rsidR="00521F67" w:rsidRPr="00E1652F">
              <w:t xml:space="preserve"> include all functionality necessary to receive and process payments</w:t>
            </w:r>
            <w:r w:rsidR="00521F67" w:rsidRPr="00CD16AB">
              <w:rPr>
                <w:szCs w:val="24"/>
              </w:rPr>
              <w:t>.</w:t>
            </w:r>
          </w:p>
        </w:tc>
        <w:tc>
          <w:tcPr>
            <w:tcW w:w="2340" w:type="dxa"/>
          </w:tcPr>
          <w:p w14:paraId="1B03D679" w14:textId="3AD9FB73" w:rsidR="00521F67" w:rsidRDefault="006D43BC" w:rsidP="00521F67">
            <w:pPr>
              <w:pStyle w:val="Normal-Table"/>
            </w:pPr>
            <w:hyperlink w:anchor="_A6.2_Tax" w:history="1">
              <w:r w:rsidR="00521F67" w:rsidRPr="00DA4BCA">
                <w:rPr>
                  <w:rStyle w:val="Hyperlink"/>
                  <w:szCs w:val="24"/>
                </w:rPr>
                <w:t xml:space="preserve">Attachment </w:t>
              </w:r>
              <w:r w:rsidR="00521F67">
                <w:rPr>
                  <w:rStyle w:val="Hyperlink"/>
                  <w:szCs w:val="24"/>
                </w:rPr>
                <w:t>A6.2</w:t>
              </w:r>
            </w:hyperlink>
          </w:p>
        </w:tc>
      </w:tr>
      <w:tr w:rsidR="00521F67" w:rsidRPr="00CE4250" w14:paraId="507F56E2" w14:textId="7D478D49" w:rsidTr="00521F67">
        <w:tc>
          <w:tcPr>
            <w:tcW w:w="1165" w:type="dxa"/>
          </w:tcPr>
          <w:p w14:paraId="56984FCC" w14:textId="5ABBAA97" w:rsidR="00521F67" w:rsidRDefault="00521F67" w:rsidP="00521F67">
            <w:pPr>
              <w:pStyle w:val="Normal-Table"/>
            </w:pPr>
            <w:r>
              <w:t>Tax-7</w:t>
            </w:r>
          </w:p>
        </w:tc>
        <w:tc>
          <w:tcPr>
            <w:tcW w:w="10890" w:type="dxa"/>
          </w:tcPr>
          <w:p w14:paraId="2C3A37E7" w14:textId="55488CF6" w:rsidR="00521F67" w:rsidRDefault="00C92570" w:rsidP="00521F67">
            <w:pPr>
              <w:pStyle w:val="Normal-Table"/>
            </w:pPr>
            <w:r>
              <w:t>The System must</w:t>
            </w:r>
            <w:r w:rsidR="00521F67" w:rsidRPr="00E1652F">
              <w:t xml:space="preserve"> include all functionality necessary to determine UI tax rates for Employers</w:t>
            </w:r>
            <w:r w:rsidR="00521F67" w:rsidRPr="00CD16AB">
              <w:rPr>
                <w:szCs w:val="24"/>
              </w:rPr>
              <w:t>.</w:t>
            </w:r>
          </w:p>
        </w:tc>
        <w:tc>
          <w:tcPr>
            <w:tcW w:w="2340" w:type="dxa"/>
          </w:tcPr>
          <w:p w14:paraId="3D04259A" w14:textId="2F493A66" w:rsidR="00521F67" w:rsidRDefault="006D43BC" w:rsidP="00521F67">
            <w:pPr>
              <w:pStyle w:val="Normal-Table"/>
            </w:pPr>
            <w:hyperlink w:anchor="_A6.2_Tax" w:history="1">
              <w:r w:rsidR="00521F67" w:rsidRPr="00DA4BCA">
                <w:rPr>
                  <w:rStyle w:val="Hyperlink"/>
                  <w:szCs w:val="24"/>
                </w:rPr>
                <w:t xml:space="preserve">Attachment </w:t>
              </w:r>
              <w:r w:rsidR="00521F67">
                <w:rPr>
                  <w:rStyle w:val="Hyperlink"/>
                  <w:szCs w:val="24"/>
                </w:rPr>
                <w:t>A6.2</w:t>
              </w:r>
            </w:hyperlink>
          </w:p>
        </w:tc>
      </w:tr>
      <w:tr w:rsidR="00521F67" w:rsidRPr="00CE4250" w14:paraId="36CB9A5B" w14:textId="632356FD" w:rsidTr="00521F67">
        <w:tc>
          <w:tcPr>
            <w:tcW w:w="1165" w:type="dxa"/>
          </w:tcPr>
          <w:p w14:paraId="7D069CC5" w14:textId="79C203BD" w:rsidR="00521F67" w:rsidRDefault="00521F67" w:rsidP="00521F67">
            <w:pPr>
              <w:pStyle w:val="Normal-Table"/>
            </w:pPr>
            <w:r>
              <w:t>Tax-8</w:t>
            </w:r>
          </w:p>
        </w:tc>
        <w:tc>
          <w:tcPr>
            <w:tcW w:w="10890" w:type="dxa"/>
          </w:tcPr>
          <w:p w14:paraId="01B924F6" w14:textId="18C9EB5C" w:rsidR="00521F67" w:rsidRDefault="00C92570" w:rsidP="00521F67">
            <w:pPr>
              <w:pStyle w:val="Normal-Table"/>
            </w:pPr>
            <w:r>
              <w:t>The System must</w:t>
            </w:r>
            <w:r w:rsidR="00521F67" w:rsidRPr="00E1652F">
              <w:t xml:space="preserve"> include all functionality necessary to conduct Employer audits</w:t>
            </w:r>
            <w:r w:rsidR="00521F67" w:rsidRPr="00CD16AB">
              <w:rPr>
                <w:szCs w:val="24"/>
              </w:rPr>
              <w:t>.</w:t>
            </w:r>
          </w:p>
        </w:tc>
        <w:tc>
          <w:tcPr>
            <w:tcW w:w="2340" w:type="dxa"/>
          </w:tcPr>
          <w:p w14:paraId="5DCD2424" w14:textId="252782C3" w:rsidR="00521F67" w:rsidRDefault="006D43BC" w:rsidP="00521F67">
            <w:pPr>
              <w:pStyle w:val="Normal-Table"/>
            </w:pPr>
            <w:hyperlink w:anchor="_A6.2_Tax" w:history="1">
              <w:r w:rsidR="00521F67" w:rsidRPr="00DA4BCA">
                <w:rPr>
                  <w:rStyle w:val="Hyperlink"/>
                  <w:szCs w:val="24"/>
                </w:rPr>
                <w:t xml:space="preserve">Attachment </w:t>
              </w:r>
              <w:r w:rsidR="00521F67">
                <w:rPr>
                  <w:rStyle w:val="Hyperlink"/>
                  <w:szCs w:val="24"/>
                </w:rPr>
                <w:t>A6.2</w:t>
              </w:r>
            </w:hyperlink>
          </w:p>
        </w:tc>
      </w:tr>
      <w:tr w:rsidR="00521F67" w:rsidRPr="00CE4250" w14:paraId="778F25BC" w14:textId="21F05910" w:rsidTr="00521F67">
        <w:tc>
          <w:tcPr>
            <w:tcW w:w="1165" w:type="dxa"/>
          </w:tcPr>
          <w:p w14:paraId="04F360DD" w14:textId="66E456EF" w:rsidR="00521F67" w:rsidRDefault="00521F67" w:rsidP="00521F67">
            <w:pPr>
              <w:pStyle w:val="Normal-Table"/>
            </w:pPr>
            <w:r>
              <w:t>Tax-9</w:t>
            </w:r>
          </w:p>
        </w:tc>
        <w:tc>
          <w:tcPr>
            <w:tcW w:w="10890" w:type="dxa"/>
          </w:tcPr>
          <w:p w14:paraId="07D7A986" w14:textId="0C894960" w:rsidR="00521F67" w:rsidRDefault="00C92570" w:rsidP="00521F67">
            <w:pPr>
              <w:pStyle w:val="Normal-Table"/>
            </w:pPr>
            <w:r>
              <w:t>The System must</w:t>
            </w:r>
            <w:r w:rsidR="00521F67" w:rsidRPr="00E1652F">
              <w:t xml:space="preserve"> include all functionality necessary to assign work to Staff</w:t>
            </w:r>
            <w:r w:rsidR="00521F67" w:rsidRPr="00CD16AB">
              <w:rPr>
                <w:szCs w:val="24"/>
              </w:rPr>
              <w:t>.</w:t>
            </w:r>
          </w:p>
        </w:tc>
        <w:tc>
          <w:tcPr>
            <w:tcW w:w="2340" w:type="dxa"/>
          </w:tcPr>
          <w:p w14:paraId="1C958871" w14:textId="37FE64D4" w:rsidR="00521F67" w:rsidRDefault="006D43BC" w:rsidP="00521F67">
            <w:pPr>
              <w:pStyle w:val="Normal-Table"/>
            </w:pPr>
            <w:hyperlink w:anchor="_A6.2_Tax" w:history="1">
              <w:r w:rsidR="00521F67" w:rsidRPr="00DA4BCA">
                <w:rPr>
                  <w:rStyle w:val="Hyperlink"/>
                  <w:szCs w:val="24"/>
                </w:rPr>
                <w:t xml:space="preserve">Attachment </w:t>
              </w:r>
              <w:r w:rsidR="00521F67">
                <w:rPr>
                  <w:rStyle w:val="Hyperlink"/>
                  <w:szCs w:val="24"/>
                </w:rPr>
                <w:t>A6.2</w:t>
              </w:r>
            </w:hyperlink>
          </w:p>
        </w:tc>
      </w:tr>
      <w:tr w:rsidR="00521F67" w:rsidRPr="00CE4250" w14:paraId="58710859" w14:textId="2FA0116C" w:rsidTr="00521F67">
        <w:tc>
          <w:tcPr>
            <w:tcW w:w="1165" w:type="dxa"/>
          </w:tcPr>
          <w:p w14:paraId="1F769AAC" w14:textId="506B374D" w:rsidR="00521F67" w:rsidRDefault="00521F67" w:rsidP="00521F67">
            <w:pPr>
              <w:pStyle w:val="Normal-Table"/>
            </w:pPr>
            <w:r>
              <w:lastRenderedPageBreak/>
              <w:t>Tax-10</w:t>
            </w:r>
          </w:p>
        </w:tc>
        <w:tc>
          <w:tcPr>
            <w:tcW w:w="10890" w:type="dxa"/>
          </w:tcPr>
          <w:p w14:paraId="24186F42" w14:textId="27C3E3A2" w:rsidR="00521F67" w:rsidRDefault="00C92570" w:rsidP="00521F67">
            <w:pPr>
              <w:pStyle w:val="Normal-Table"/>
            </w:pPr>
            <w:r>
              <w:t>The System must</w:t>
            </w:r>
            <w:r w:rsidR="00521F67" w:rsidRPr="00E1652F">
              <w:t xml:space="preserve"> include all functionality necessary to request a Rule 13 tax hearing</w:t>
            </w:r>
            <w:r w:rsidR="00521F67" w:rsidRPr="00CD16AB">
              <w:rPr>
                <w:szCs w:val="24"/>
              </w:rPr>
              <w:t>.</w:t>
            </w:r>
          </w:p>
        </w:tc>
        <w:tc>
          <w:tcPr>
            <w:tcW w:w="2340" w:type="dxa"/>
          </w:tcPr>
          <w:p w14:paraId="2AC922D2" w14:textId="7E0DDB2B" w:rsidR="00521F67" w:rsidRDefault="006D43BC" w:rsidP="00521F67">
            <w:pPr>
              <w:pStyle w:val="Normal-Table"/>
            </w:pPr>
            <w:hyperlink w:anchor="_A6.2_Tax" w:history="1">
              <w:r w:rsidR="00521F67" w:rsidRPr="00DA4BCA">
                <w:rPr>
                  <w:rStyle w:val="Hyperlink"/>
                  <w:szCs w:val="24"/>
                </w:rPr>
                <w:t xml:space="preserve">Attachment </w:t>
              </w:r>
              <w:r w:rsidR="00521F67">
                <w:rPr>
                  <w:rStyle w:val="Hyperlink"/>
                  <w:szCs w:val="24"/>
                </w:rPr>
                <w:t>A6.2</w:t>
              </w:r>
            </w:hyperlink>
          </w:p>
        </w:tc>
      </w:tr>
      <w:tr w:rsidR="00521F67" w:rsidRPr="00CE4250" w14:paraId="7241F350" w14:textId="014989D1" w:rsidTr="00521F67">
        <w:tc>
          <w:tcPr>
            <w:tcW w:w="1165" w:type="dxa"/>
          </w:tcPr>
          <w:p w14:paraId="779F1C3A" w14:textId="246EDBE6" w:rsidR="00521F67" w:rsidRDefault="00521F67" w:rsidP="00521F67">
            <w:pPr>
              <w:pStyle w:val="Normal-Table"/>
            </w:pPr>
            <w:r>
              <w:t>Tax-11</w:t>
            </w:r>
          </w:p>
        </w:tc>
        <w:tc>
          <w:tcPr>
            <w:tcW w:w="10890" w:type="dxa"/>
          </w:tcPr>
          <w:p w14:paraId="2E0AE00C" w14:textId="66C6A353" w:rsidR="00521F67" w:rsidRDefault="00C92570" w:rsidP="00521F67">
            <w:pPr>
              <w:pStyle w:val="Normal-Table"/>
            </w:pPr>
            <w:r>
              <w:t>The System must</w:t>
            </w:r>
            <w:r w:rsidR="00521F67" w:rsidRPr="00E1652F">
              <w:t xml:space="preserve"> include all functionality necessary to generate and transmit reports</w:t>
            </w:r>
            <w:r w:rsidR="00521F67" w:rsidRPr="00CD16AB">
              <w:rPr>
                <w:szCs w:val="24"/>
              </w:rPr>
              <w:t>.</w:t>
            </w:r>
          </w:p>
        </w:tc>
        <w:tc>
          <w:tcPr>
            <w:tcW w:w="2340" w:type="dxa"/>
          </w:tcPr>
          <w:p w14:paraId="7D38BAE3" w14:textId="690A6722" w:rsidR="00521F67" w:rsidRDefault="006D43BC" w:rsidP="00521F67">
            <w:pPr>
              <w:pStyle w:val="Normal-Table"/>
            </w:pPr>
            <w:hyperlink w:anchor="_A6.2_Tax" w:history="1">
              <w:r w:rsidR="00521F67" w:rsidRPr="00DA4BCA">
                <w:rPr>
                  <w:rStyle w:val="Hyperlink"/>
                  <w:szCs w:val="24"/>
                </w:rPr>
                <w:t xml:space="preserve">Attachment </w:t>
              </w:r>
              <w:r w:rsidR="00521F67">
                <w:rPr>
                  <w:rStyle w:val="Hyperlink"/>
                  <w:szCs w:val="24"/>
                </w:rPr>
                <w:t>A6.2</w:t>
              </w:r>
            </w:hyperlink>
          </w:p>
        </w:tc>
      </w:tr>
      <w:tr w:rsidR="00521F67" w:rsidRPr="00CE4250" w14:paraId="530649E6" w14:textId="04669DDE" w:rsidTr="00521F67">
        <w:tc>
          <w:tcPr>
            <w:tcW w:w="1165" w:type="dxa"/>
          </w:tcPr>
          <w:p w14:paraId="66098B05" w14:textId="38FFB5C3" w:rsidR="00521F67" w:rsidRDefault="00521F67" w:rsidP="00521F67">
            <w:pPr>
              <w:pStyle w:val="Normal-Table"/>
            </w:pPr>
            <w:r>
              <w:t>AT-1</w:t>
            </w:r>
          </w:p>
        </w:tc>
        <w:tc>
          <w:tcPr>
            <w:tcW w:w="10890" w:type="dxa"/>
          </w:tcPr>
          <w:p w14:paraId="17272013" w14:textId="33456F3E" w:rsidR="00521F67" w:rsidRDefault="00C92570" w:rsidP="00521F67">
            <w:pPr>
              <w:pStyle w:val="Normal-Table"/>
            </w:pPr>
            <w:r>
              <w:t>The System must</w:t>
            </w:r>
            <w:r w:rsidR="00521F67" w:rsidRPr="00C95353">
              <w:t xml:space="preserve"> include all functionality necessary to file an appeal</w:t>
            </w:r>
            <w:r w:rsidR="00521F67">
              <w:t>.</w:t>
            </w:r>
          </w:p>
        </w:tc>
        <w:tc>
          <w:tcPr>
            <w:tcW w:w="2340" w:type="dxa"/>
          </w:tcPr>
          <w:p w14:paraId="6FC2EEFD" w14:textId="6ABEE6E8" w:rsidR="00521F67" w:rsidRPr="00C95353" w:rsidRDefault="006D43BC" w:rsidP="00521F67">
            <w:pPr>
              <w:pStyle w:val="Normal-Table"/>
            </w:pPr>
            <w:hyperlink w:anchor="_A6.3_Appeals_Tribunal" w:history="1">
              <w:r w:rsidR="00521F67" w:rsidRPr="00DA4BCA">
                <w:rPr>
                  <w:rStyle w:val="Hyperlink"/>
                </w:rPr>
                <w:t xml:space="preserve">Attachment </w:t>
              </w:r>
              <w:r w:rsidR="00521F67" w:rsidRPr="00C95353">
                <w:rPr>
                  <w:rStyle w:val="Hyperlink"/>
                </w:rPr>
                <w:t>A6.3</w:t>
              </w:r>
            </w:hyperlink>
          </w:p>
        </w:tc>
      </w:tr>
      <w:tr w:rsidR="00521F67" w:rsidRPr="00CE4250" w14:paraId="7B091084" w14:textId="24575999" w:rsidTr="00521F67">
        <w:tc>
          <w:tcPr>
            <w:tcW w:w="1165" w:type="dxa"/>
          </w:tcPr>
          <w:p w14:paraId="1553ABB5" w14:textId="76B840BF" w:rsidR="00521F67" w:rsidRDefault="00521F67" w:rsidP="00521F67">
            <w:pPr>
              <w:pStyle w:val="Normal-Table"/>
            </w:pPr>
            <w:r>
              <w:t>AT-2</w:t>
            </w:r>
          </w:p>
        </w:tc>
        <w:tc>
          <w:tcPr>
            <w:tcW w:w="10890" w:type="dxa"/>
          </w:tcPr>
          <w:p w14:paraId="45EEF3BA" w14:textId="7451D7D2" w:rsidR="00521F67" w:rsidRDefault="00C92570" w:rsidP="00521F67">
            <w:pPr>
              <w:pStyle w:val="Normal-Table"/>
            </w:pPr>
            <w:r>
              <w:t>The System must</w:t>
            </w:r>
            <w:r w:rsidR="00521F67" w:rsidRPr="000C6D75">
              <w:t xml:space="preserve"> include all functionality necessary to receive and route an appeal</w:t>
            </w:r>
            <w:r w:rsidR="00521F67">
              <w:t>.</w:t>
            </w:r>
          </w:p>
        </w:tc>
        <w:tc>
          <w:tcPr>
            <w:tcW w:w="2340" w:type="dxa"/>
          </w:tcPr>
          <w:p w14:paraId="4614F575" w14:textId="22879CAB" w:rsidR="00521F67" w:rsidRDefault="006D43BC" w:rsidP="00521F67">
            <w:pPr>
              <w:pStyle w:val="Normal-Table"/>
            </w:pPr>
            <w:hyperlink w:anchor="_A6.3_Appeals_Tribunal" w:history="1">
              <w:r w:rsidR="00521F67" w:rsidRPr="00DA4BCA">
                <w:rPr>
                  <w:rStyle w:val="Hyperlink"/>
                </w:rPr>
                <w:t xml:space="preserve">Attachment </w:t>
              </w:r>
              <w:r w:rsidR="00521F67" w:rsidRPr="00C95353">
                <w:rPr>
                  <w:rStyle w:val="Hyperlink"/>
                </w:rPr>
                <w:t>A6.3</w:t>
              </w:r>
            </w:hyperlink>
          </w:p>
        </w:tc>
      </w:tr>
      <w:tr w:rsidR="00521F67" w:rsidRPr="00CE4250" w14:paraId="4F1F237F" w14:textId="2D197028" w:rsidTr="00521F67">
        <w:tc>
          <w:tcPr>
            <w:tcW w:w="1165" w:type="dxa"/>
          </w:tcPr>
          <w:p w14:paraId="6EC13AF8" w14:textId="26850217" w:rsidR="00521F67" w:rsidRDefault="00521F67" w:rsidP="00521F67">
            <w:pPr>
              <w:pStyle w:val="Normal-Table"/>
            </w:pPr>
            <w:r>
              <w:t>AT-3</w:t>
            </w:r>
          </w:p>
        </w:tc>
        <w:tc>
          <w:tcPr>
            <w:tcW w:w="10890" w:type="dxa"/>
          </w:tcPr>
          <w:p w14:paraId="06002885" w14:textId="26146556" w:rsidR="00521F67" w:rsidRDefault="00C92570" w:rsidP="00521F67">
            <w:pPr>
              <w:pStyle w:val="Normal-Table"/>
            </w:pPr>
            <w:r>
              <w:t>The System must</w:t>
            </w:r>
            <w:r w:rsidR="00521F67" w:rsidRPr="000C6D75">
              <w:t xml:space="preserve"> include all functionality necessary to process an appeal</w:t>
            </w:r>
            <w:r w:rsidR="00521F67">
              <w:t>.</w:t>
            </w:r>
          </w:p>
        </w:tc>
        <w:tc>
          <w:tcPr>
            <w:tcW w:w="2340" w:type="dxa"/>
          </w:tcPr>
          <w:p w14:paraId="43F08287" w14:textId="629BE75A" w:rsidR="00521F67" w:rsidRDefault="006D43BC" w:rsidP="00521F67">
            <w:pPr>
              <w:pStyle w:val="Normal-Table"/>
            </w:pPr>
            <w:hyperlink w:anchor="_A6.3_Appeals_Tribunal" w:history="1">
              <w:r w:rsidR="00521F67" w:rsidRPr="00DA4BCA">
                <w:rPr>
                  <w:rStyle w:val="Hyperlink"/>
                </w:rPr>
                <w:t xml:space="preserve">Attachment </w:t>
              </w:r>
              <w:r w:rsidR="00521F67" w:rsidRPr="00C95353">
                <w:rPr>
                  <w:rStyle w:val="Hyperlink"/>
                </w:rPr>
                <w:t>A6.3</w:t>
              </w:r>
            </w:hyperlink>
          </w:p>
        </w:tc>
      </w:tr>
      <w:tr w:rsidR="00521F67" w:rsidRPr="00CE4250" w14:paraId="02036F4F" w14:textId="7CCC4045" w:rsidTr="00521F67">
        <w:tc>
          <w:tcPr>
            <w:tcW w:w="1165" w:type="dxa"/>
          </w:tcPr>
          <w:p w14:paraId="46CB4C39" w14:textId="4A3ED97B" w:rsidR="00521F67" w:rsidRDefault="00521F67" w:rsidP="00521F67">
            <w:pPr>
              <w:pStyle w:val="Normal-Table"/>
            </w:pPr>
            <w:r>
              <w:t>AT-4</w:t>
            </w:r>
          </w:p>
        </w:tc>
        <w:tc>
          <w:tcPr>
            <w:tcW w:w="10890" w:type="dxa"/>
          </w:tcPr>
          <w:p w14:paraId="0038117C" w14:textId="0FAEB656" w:rsidR="00521F67" w:rsidRDefault="00C92570" w:rsidP="00521F67">
            <w:pPr>
              <w:pStyle w:val="Normal-Table"/>
            </w:pPr>
            <w:r>
              <w:t>The System must</w:t>
            </w:r>
            <w:r w:rsidR="00521F67" w:rsidRPr="000C6D75">
              <w:t xml:space="preserve"> include all functionality necessary to submit documentation</w:t>
            </w:r>
            <w:r w:rsidR="00521F67">
              <w:t>.</w:t>
            </w:r>
          </w:p>
        </w:tc>
        <w:tc>
          <w:tcPr>
            <w:tcW w:w="2340" w:type="dxa"/>
          </w:tcPr>
          <w:p w14:paraId="42CA7EFE" w14:textId="27EE657A" w:rsidR="00521F67" w:rsidRDefault="006D43BC" w:rsidP="00521F67">
            <w:pPr>
              <w:pStyle w:val="Normal-Table"/>
            </w:pPr>
            <w:hyperlink w:anchor="_A6.3_Appeals_Tribunal" w:history="1">
              <w:r w:rsidR="00521F67" w:rsidRPr="00DA4BCA">
                <w:rPr>
                  <w:rStyle w:val="Hyperlink"/>
                </w:rPr>
                <w:t xml:space="preserve">Attachment </w:t>
              </w:r>
              <w:r w:rsidR="00521F67" w:rsidRPr="00C95353">
                <w:rPr>
                  <w:rStyle w:val="Hyperlink"/>
                </w:rPr>
                <w:t>A6.3</w:t>
              </w:r>
            </w:hyperlink>
          </w:p>
        </w:tc>
      </w:tr>
      <w:tr w:rsidR="00521F67" w:rsidRPr="00CE4250" w14:paraId="7C4B70CC" w14:textId="6D76ADB6" w:rsidTr="00521F67">
        <w:tc>
          <w:tcPr>
            <w:tcW w:w="1165" w:type="dxa"/>
          </w:tcPr>
          <w:p w14:paraId="7B44C747" w14:textId="552A723D" w:rsidR="00521F67" w:rsidRDefault="00521F67" w:rsidP="00521F67">
            <w:pPr>
              <w:pStyle w:val="Normal-Table"/>
            </w:pPr>
            <w:r>
              <w:t>AT-5</w:t>
            </w:r>
          </w:p>
        </w:tc>
        <w:tc>
          <w:tcPr>
            <w:tcW w:w="10890" w:type="dxa"/>
          </w:tcPr>
          <w:p w14:paraId="189DE449" w14:textId="05125748" w:rsidR="00521F67" w:rsidRDefault="00C92570" w:rsidP="00521F67">
            <w:pPr>
              <w:pStyle w:val="Normal-Table"/>
            </w:pPr>
            <w:r>
              <w:t>The System must</w:t>
            </w:r>
            <w:r w:rsidR="00521F67" w:rsidRPr="000C6D75">
              <w:t xml:space="preserve"> include all functionality necessary to schedule a hearing</w:t>
            </w:r>
            <w:r w:rsidR="00521F67">
              <w:t>.</w:t>
            </w:r>
          </w:p>
        </w:tc>
        <w:tc>
          <w:tcPr>
            <w:tcW w:w="2340" w:type="dxa"/>
          </w:tcPr>
          <w:p w14:paraId="7CF31E58" w14:textId="63EF7076" w:rsidR="00521F67" w:rsidRDefault="006D43BC" w:rsidP="00521F67">
            <w:pPr>
              <w:pStyle w:val="Normal-Table"/>
            </w:pPr>
            <w:hyperlink w:anchor="_A6.3_Appeals_Tribunal" w:history="1">
              <w:r w:rsidR="00521F67" w:rsidRPr="00DA4BCA">
                <w:rPr>
                  <w:rStyle w:val="Hyperlink"/>
                </w:rPr>
                <w:t xml:space="preserve">Attachment </w:t>
              </w:r>
              <w:r w:rsidR="00521F67" w:rsidRPr="00C95353">
                <w:rPr>
                  <w:rStyle w:val="Hyperlink"/>
                </w:rPr>
                <w:t>A6.3</w:t>
              </w:r>
            </w:hyperlink>
          </w:p>
        </w:tc>
      </w:tr>
      <w:tr w:rsidR="00521F67" w:rsidRPr="00CE4250" w14:paraId="1362163F" w14:textId="15E0004B" w:rsidTr="00521F67">
        <w:tc>
          <w:tcPr>
            <w:tcW w:w="1165" w:type="dxa"/>
          </w:tcPr>
          <w:p w14:paraId="5E2FE1B5" w14:textId="7EDB849E" w:rsidR="00521F67" w:rsidRDefault="00521F67" w:rsidP="00521F67">
            <w:pPr>
              <w:pStyle w:val="Normal-Table"/>
            </w:pPr>
            <w:r>
              <w:t>AT-6</w:t>
            </w:r>
          </w:p>
        </w:tc>
        <w:tc>
          <w:tcPr>
            <w:tcW w:w="10890" w:type="dxa"/>
          </w:tcPr>
          <w:p w14:paraId="6DF2B6F7" w14:textId="1DD4695C" w:rsidR="00521F67" w:rsidRDefault="00C92570" w:rsidP="00521F67">
            <w:pPr>
              <w:pStyle w:val="Normal-Table"/>
            </w:pPr>
            <w:r>
              <w:t>The System must</w:t>
            </w:r>
            <w:r w:rsidR="00521F67" w:rsidRPr="000C6D75">
              <w:t xml:space="preserve"> include all functionality necessary to create and send hearing notices</w:t>
            </w:r>
            <w:r w:rsidR="00521F67">
              <w:t>.</w:t>
            </w:r>
          </w:p>
        </w:tc>
        <w:tc>
          <w:tcPr>
            <w:tcW w:w="2340" w:type="dxa"/>
          </w:tcPr>
          <w:p w14:paraId="4D780D7E" w14:textId="04885628" w:rsidR="00521F67" w:rsidRDefault="006D43BC" w:rsidP="00521F67">
            <w:pPr>
              <w:pStyle w:val="Normal-Table"/>
            </w:pPr>
            <w:hyperlink w:anchor="_A6.3_Appeals_Tribunal" w:history="1">
              <w:r w:rsidR="00521F67" w:rsidRPr="00DA4BCA">
                <w:rPr>
                  <w:rStyle w:val="Hyperlink"/>
                </w:rPr>
                <w:t xml:space="preserve">Attachment </w:t>
              </w:r>
              <w:r w:rsidR="00521F67" w:rsidRPr="00C95353">
                <w:rPr>
                  <w:rStyle w:val="Hyperlink"/>
                </w:rPr>
                <w:t>A6.3</w:t>
              </w:r>
            </w:hyperlink>
          </w:p>
        </w:tc>
      </w:tr>
      <w:tr w:rsidR="00521F67" w:rsidRPr="00CE4250" w14:paraId="42D738AC" w14:textId="11AA8939" w:rsidTr="00521F67">
        <w:tc>
          <w:tcPr>
            <w:tcW w:w="1165" w:type="dxa"/>
          </w:tcPr>
          <w:p w14:paraId="3B8570A1" w14:textId="45CCF584" w:rsidR="00521F67" w:rsidRDefault="00521F67" w:rsidP="00521F67">
            <w:pPr>
              <w:pStyle w:val="Normal-Table"/>
            </w:pPr>
            <w:r>
              <w:t>AT-7</w:t>
            </w:r>
          </w:p>
        </w:tc>
        <w:tc>
          <w:tcPr>
            <w:tcW w:w="10890" w:type="dxa"/>
          </w:tcPr>
          <w:p w14:paraId="093EA1F0" w14:textId="10B7E53E" w:rsidR="00521F67" w:rsidRDefault="00C92570" w:rsidP="00521F67">
            <w:pPr>
              <w:pStyle w:val="Normal-Table"/>
            </w:pPr>
            <w:r>
              <w:t>The System must</w:t>
            </w:r>
            <w:r w:rsidR="00521F67" w:rsidRPr="000C6D75">
              <w:t xml:space="preserve"> include all functionality necessary to conduct a hearing</w:t>
            </w:r>
            <w:r w:rsidR="00521F67">
              <w:t>.</w:t>
            </w:r>
          </w:p>
        </w:tc>
        <w:tc>
          <w:tcPr>
            <w:tcW w:w="2340" w:type="dxa"/>
          </w:tcPr>
          <w:p w14:paraId="565EF924" w14:textId="24C7FC8C" w:rsidR="00521F67" w:rsidRDefault="006D43BC" w:rsidP="00521F67">
            <w:pPr>
              <w:pStyle w:val="Normal-Table"/>
            </w:pPr>
            <w:hyperlink w:anchor="_A6.3_Appeals_Tribunal" w:history="1">
              <w:r w:rsidR="00521F67" w:rsidRPr="00DA4BCA">
                <w:rPr>
                  <w:rStyle w:val="Hyperlink"/>
                </w:rPr>
                <w:t xml:space="preserve">Attachment </w:t>
              </w:r>
              <w:r w:rsidR="00521F67" w:rsidRPr="00C95353">
                <w:rPr>
                  <w:rStyle w:val="Hyperlink"/>
                </w:rPr>
                <w:t>A6.3</w:t>
              </w:r>
            </w:hyperlink>
          </w:p>
        </w:tc>
      </w:tr>
      <w:tr w:rsidR="00521F67" w:rsidRPr="00CE4250" w14:paraId="4A779142" w14:textId="1488C514" w:rsidTr="00521F67">
        <w:tc>
          <w:tcPr>
            <w:tcW w:w="1165" w:type="dxa"/>
          </w:tcPr>
          <w:p w14:paraId="7D995BBB" w14:textId="31B467B8" w:rsidR="00521F67" w:rsidRDefault="00521F67" w:rsidP="00521F67">
            <w:pPr>
              <w:pStyle w:val="Normal-Table"/>
            </w:pPr>
            <w:r>
              <w:t>AT-8</w:t>
            </w:r>
          </w:p>
        </w:tc>
        <w:tc>
          <w:tcPr>
            <w:tcW w:w="10890" w:type="dxa"/>
          </w:tcPr>
          <w:p w14:paraId="7F611535" w14:textId="7A744211" w:rsidR="00521F67" w:rsidRDefault="00C92570" w:rsidP="00521F67">
            <w:pPr>
              <w:pStyle w:val="Normal-Table"/>
            </w:pPr>
            <w:r>
              <w:t>The System must</w:t>
            </w:r>
            <w:r w:rsidR="00521F67" w:rsidRPr="000C6D75">
              <w:t xml:space="preserve"> include all functionality necessary to issue a decision</w:t>
            </w:r>
            <w:r w:rsidR="00521F67">
              <w:t>.</w:t>
            </w:r>
          </w:p>
        </w:tc>
        <w:tc>
          <w:tcPr>
            <w:tcW w:w="2340" w:type="dxa"/>
          </w:tcPr>
          <w:p w14:paraId="5DFD526D" w14:textId="58C7A6B5" w:rsidR="00521F67" w:rsidRDefault="006D43BC" w:rsidP="00521F67">
            <w:pPr>
              <w:pStyle w:val="Normal-Table"/>
            </w:pPr>
            <w:hyperlink w:anchor="_A6.3_Appeals_Tribunal" w:history="1">
              <w:r w:rsidR="00521F67" w:rsidRPr="00DA4BCA">
                <w:rPr>
                  <w:rStyle w:val="Hyperlink"/>
                </w:rPr>
                <w:t xml:space="preserve">Attachment </w:t>
              </w:r>
              <w:r w:rsidR="00521F67" w:rsidRPr="00C95353">
                <w:rPr>
                  <w:rStyle w:val="Hyperlink"/>
                </w:rPr>
                <w:t>A6.3</w:t>
              </w:r>
            </w:hyperlink>
          </w:p>
        </w:tc>
      </w:tr>
      <w:tr w:rsidR="00521F67" w:rsidRPr="00CE4250" w14:paraId="418016AD" w14:textId="5A500859" w:rsidTr="00521F67">
        <w:tc>
          <w:tcPr>
            <w:tcW w:w="1165" w:type="dxa"/>
          </w:tcPr>
          <w:p w14:paraId="506E72D0" w14:textId="28D42AB3" w:rsidR="00521F67" w:rsidRDefault="00521F67" w:rsidP="00521F67">
            <w:pPr>
              <w:pStyle w:val="Normal-Table"/>
            </w:pPr>
            <w:r>
              <w:t>AT-9</w:t>
            </w:r>
          </w:p>
        </w:tc>
        <w:tc>
          <w:tcPr>
            <w:tcW w:w="10890" w:type="dxa"/>
          </w:tcPr>
          <w:p w14:paraId="38376DE7" w14:textId="2FCCDD00" w:rsidR="00521F67" w:rsidRDefault="00C92570" w:rsidP="00521F67">
            <w:pPr>
              <w:pStyle w:val="Normal-Table"/>
            </w:pPr>
            <w:r>
              <w:t>The System must</w:t>
            </w:r>
            <w:r w:rsidR="00521F67" w:rsidRPr="000C6D75">
              <w:t xml:space="preserve"> include all functionality necessary to record a decision</w:t>
            </w:r>
            <w:r w:rsidR="00521F67">
              <w:t>.</w:t>
            </w:r>
          </w:p>
        </w:tc>
        <w:tc>
          <w:tcPr>
            <w:tcW w:w="2340" w:type="dxa"/>
          </w:tcPr>
          <w:p w14:paraId="4B5D15A0" w14:textId="3E42A0E7" w:rsidR="00521F67" w:rsidRDefault="006D43BC" w:rsidP="00521F67">
            <w:pPr>
              <w:pStyle w:val="Normal-Table"/>
            </w:pPr>
            <w:hyperlink w:anchor="_A6.3_Appeals_Tribunal" w:history="1">
              <w:r w:rsidR="00521F67" w:rsidRPr="00DA4BCA">
                <w:rPr>
                  <w:rStyle w:val="Hyperlink"/>
                </w:rPr>
                <w:t xml:space="preserve">Attachment </w:t>
              </w:r>
              <w:r w:rsidR="00521F67" w:rsidRPr="00C95353">
                <w:rPr>
                  <w:rStyle w:val="Hyperlink"/>
                </w:rPr>
                <w:t>A6.3</w:t>
              </w:r>
            </w:hyperlink>
          </w:p>
        </w:tc>
      </w:tr>
      <w:tr w:rsidR="00521F67" w:rsidRPr="00CE4250" w14:paraId="12246FB4" w14:textId="4D13660E" w:rsidTr="00521F67">
        <w:tc>
          <w:tcPr>
            <w:tcW w:w="1165" w:type="dxa"/>
          </w:tcPr>
          <w:p w14:paraId="782E8FD5" w14:textId="7389095F" w:rsidR="00521F67" w:rsidRDefault="00521F67" w:rsidP="00521F67">
            <w:pPr>
              <w:pStyle w:val="Normal-Table"/>
            </w:pPr>
            <w:r>
              <w:t>AT-10</w:t>
            </w:r>
          </w:p>
        </w:tc>
        <w:tc>
          <w:tcPr>
            <w:tcW w:w="10890" w:type="dxa"/>
          </w:tcPr>
          <w:p w14:paraId="2D50DC69" w14:textId="29D92E89" w:rsidR="00521F67" w:rsidRDefault="00C92570" w:rsidP="00521F67">
            <w:pPr>
              <w:pStyle w:val="Normal-Table"/>
            </w:pPr>
            <w:r>
              <w:t>The System must</w:t>
            </w:r>
            <w:r w:rsidR="00521F67" w:rsidRPr="000C6D75">
              <w:t xml:space="preserve"> include all functionality necessary to respond to inquiries</w:t>
            </w:r>
            <w:r w:rsidR="00521F67">
              <w:t>.</w:t>
            </w:r>
          </w:p>
        </w:tc>
        <w:tc>
          <w:tcPr>
            <w:tcW w:w="2340" w:type="dxa"/>
          </w:tcPr>
          <w:p w14:paraId="7C3EF323" w14:textId="1F7CAEB8" w:rsidR="00521F67" w:rsidRDefault="006D43BC" w:rsidP="00521F67">
            <w:pPr>
              <w:pStyle w:val="Normal-Table"/>
            </w:pPr>
            <w:hyperlink w:anchor="_A6.3_Appeals_Tribunal" w:history="1">
              <w:r w:rsidR="00521F67" w:rsidRPr="00DA4BCA">
                <w:rPr>
                  <w:rStyle w:val="Hyperlink"/>
                </w:rPr>
                <w:t xml:space="preserve">Attachment </w:t>
              </w:r>
              <w:r w:rsidR="00521F67" w:rsidRPr="00C95353">
                <w:rPr>
                  <w:rStyle w:val="Hyperlink"/>
                </w:rPr>
                <w:t>A6.3</w:t>
              </w:r>
            </w:hyperlink>
          </w:p>
        </w:tc>
      </w:tr>
      <w:tr w:rsidR="00521F67" w:rsidRPr="00CE4250" w14:paraId="5245A424" w14:textId="16026D91" w:rsidTr="00521F67">
        <w:tc>
          <w:tcPr>
            <w:tcW w:w="1165" w:type="dxa"/>
          </w:tcPr>
          <w:p w14:paraId="28F8B34A" w14:textId="5CD915AA" w:rsidR="00521F67" w:rsidRDefault="00521F67" w:rsidP="00521F67">
            <w:pPr>
              <w:pStyle w:val="Normal-Table"/>
            </w:pPr>
            <w:r>
              <w:t>AT-11</w:t>
            </w:r>
          </w:p>
        </w:tc>
        <w:tc>
          <w:tcPr>
            <w:tcW w:w="10890" w:type="dxa"/>
          </w:tcPr>
          <w:p w14:paraId="6802E630" w14:textId="6DE95B91" w:rsidR="00521F67" w:rsidRDefault="00C92570" w:rsidP="00521F67">
            <w:pPr>
              <w:pStyle w:val="Normal-Table"/>
            </w:pPr>
            <w:r>
              <w:t>The System must</w:t>
            </w:r>
            <w:r w:rsidR="00521F67" w:rsidRPr="000C6D75">
              <w:t xml:space="preserve"> include all functionality necessary to generate and transmit reports</w:t>
            </w:r>
            <w:r w:rsidR="00521F67">
              <w:t>.</w:t>
            </w:r>
          </w:p>
        </w:tc>
        <w:tc>
          <w:tcPr>
            <w:tcW w:w="2340" w:type="dxa"/>
          </w:tcPr>
          <w:p w14:paraId="76322439" w14:textId="7BAE9F18" w:rsidR="00521F67" w:rsidRDefault="006D43BC" w:rsidP="00521F67">
            <w:pPr>
              <w:pStyle w:val="Normal-Table"/>
            </w:pPr>
            <w:hyperlink w:anchor="_A6.3_Appeals_Tribunal" w:history="1">
              <w:r w:rsidR="00521F67" w:rsidRPr="00DA4BCA">
                <w:rPr>
                  <w:rStyle w:val="Hyperlink"/>
                </w:rPr>
                <w:t xml:space="preserve">Attachment </w:t>
              </w:r>
              <w:r w:rsidR="00521F67" w:rsidRPr="00C95353">
                <w:rPr>
                  <w:rStyle w:val="Hyperlink"/>
                </w:rPr>
                <w:t>A6.3</w:t>
              </w:r>
            </w:hyperlink>
          </w:p>
        </w:tc>
      </w:tr>
      <w:tr w:rsidR="00521F67" w:rsidRPr="00CE4250" w14:paraId="0CFE2269" w14:textId="7CA482A8" w:rsidTr="00521F67">
        <w:tc>
          <w:tcPr>
            <w:tcW w:w="1165" w:type="dxa"/>
          </w:tcPr>
          <w:p w14:paraId="046C3E31" w14:textId="54464FA0" w:rsidR="00521F67" w:rsidRDefault="00521F67" w:rsidP="00521F67">
            <w:pPr>
              <w:pStyle w:val="Normal-Table"/>
            </w:pPr>
            <w:r>
              <w:t>CA-1</w:t>
            </w:r>
          </w:p>
        </w:tc>
        <w:tc>
          <w:tcPr>
            <w:tcW w:w="10890" w:type="dxa"/>
          </w:tcPr>
          <w:p w14:paraId="479A7EC5" w14:textId="332C334F" w:rsidR="00521F67" w:rsidRDefault="00C92570" w:rsidP="00521F67">
            <w:pPr>
              <w:pStyle w:val="Normal-Table"/>
            </w:pPr>
            <w:r>
              <w:t>The System must</w:t>
            </w:r>
            <w:r w:rsidR="00521F67" w:rsidRPr="00C95353">
              <w:t xml:space="preserve"> include all functionality necessary to file an appeal</w:t>
            </w:r>
            <w:r w:rsidR="00521F67">
              <w:t>.</w:t>
            </w:r>
          </w:p>
        </w:tc>
        <w:tc>
          <w:tcPr>
            <w:tcW w:w="2340" w:type="dxa"/>
          </w:tcPr>
          <w:p w14:paraId="4E357339" w14:textId="6178611D" w:rsidR="00521F67" w:rsidRPr="00C95353" w:rsidRDefault="006D43BC" w:rsidP="00521F67">
            <w:pPr>
              <w:pStyle w:val="Normal-Table"/>
            </w:pPr>
            <w:hyperlink w:anchor="_A6.4_Commission_Appeals" w:history="1">
              <w:r w:rsidR="00521F67" w:rsidRPr="00DA4BCA">
                <w:rPr>
                  <w:rStyle w:val="Hyperlink"/>
                </w:rPr>
                <w:t xml:space="preserve">Attachment </w:t>
              </w:r>
              <w:r w:rsidR="00521F67">
                <w:rPr>
                  <w:rStyle w:val="Hyperlink"/>
                </w:rPr>
                <w:t>A6.4</w:t>
              </w:r>
            </w:hyperlink>
          </w:p>
        </w:tc>
      </w:tr>
      <w:tr w:rsidR="00521F67" w:rsidRPr="00CE4250" w14:paraId="40134530" w14:textId="739225D9" w:rsidTr="00521F67">
        <w:tc>
          <w:tcPr>
            <w:tcW w:w="1165" w:type="dxa"/>
          </w:tcPr>
          <w:p w14:paraId="1CE78C25" w14:textId="74E9D233" w:rsidR="00521F67" w:rsidRDefault="00521F67" w:rsidP="00521F67">
            <w:pPr>
              <w:pStyle w:val="Normal-Table"/>
            </w:pPr>
            <w:r>
              <w:t>CA-2</w:t>
            </w:r>
          </w:p>
        </w:tc>
        <w:tc>
          <w:tcPr>
            <w:tcW w:w="10890" w:type="dxa"/>
          </w:tcPr>
          <w:p w14:paraId="79F82794" w14:textId="0FD02677" w:rsidR="00521F67" w:rsidRDefault="00C92570" w:rsidP="00521F67">
            <w:pPr>
              <w:pStyle w:val="Normal-Table"/>
            </w:pPr>
            <w:r>
              <w:t>The System must</w:t>
            </w:r>
            <w:r w:rsidR="00521F67" w:rsidRPr="00511A0B">
              <w:t xml:space="preserve"> include all functionality necessary to receive and route Commission Appeals</w:t>
            </w:r>
            <w:r w:rsidR="00521F67">
              <w:t>.</w:t>
            </w:r>
          </w:p>
        </w:tc>
        <w:tc>
          <w:tcPr>
            <w:tcW w:w="2340" w:type="dxa"/>
          </w:tcPr>
          <w:p w14:paraId="48C2F55C" w14:textId="394201A9" w:rsidR="00521F67" w:rsidRDefault="006D43BC" w:rsidP="00521F67">
            <w:pPr>
              <w:pStyle w:val="Normal-Table"/>
            </w:pPr>
            <w:hyperlink w:anchor="_A6.4_Commission_Appeals" w:history="1">
              <w:r w:rsidR="00521F67" w:rsidRPr="00DA4BCA">
                <w:rPr>
                  <w:rStyle w:val="Hyperlink"/>
                </w:rPr>
                <w:t xml:space="preserve">Attachment </w:t>
              </w:r>
              <w:r w:rsidR="00521F67">
                <w:rPr>
                  <w:rStyle w:val="Hyperlink"/>
                </w:rPr>
                <w:t>A6.4</w:t>
              </w:r>
            </w:hyperlink>
          </w:p>
        </w:tc>
      </w:tr>
      <w:tr w:rsidR="00521F67" w:rsidRPr="00CE4250" w14:paraId="42B52C5E" w14:textId="7A4BAA40" w:rsidTr="00521F67">
        <w:tc>
          <w:tcPr>
            <w:tcW w:w="1165" w:type="dxa"/>
          </w:tcPr>
          <w:p w14:paraId="51D5269A" w14:textId="19E8818B" w:rsidR="00521F67" w:rsidRDefault="00521F67" w:rsidP="00521F67">
            <w:pPr>
              <w:pStyle w:val="Normal-Table"/>
            </w:pPr>
            <w:r>
              <w:t>CA-3</w:t>
            </w:r>
          </w:p>
        </w:tc>
        <w:tc>
          <w:tcPr>
            <w:tcW w:w="10890" w:type="dxa"/>
          </w:tcPr>
          <w:p w14:paraId="7936B470" w14:textId="6B1DD2EE" w:rsidR="00521F67" w:rsidRDefault="00C92570" w:rsidP="00521F67">
            <w:pPr>
              <w:pStyle w:val="Normal-Table"/>
            </w:pPr>
            <w:r>
              <w:t>The System must</w:t>
            </w:r>
            <w:r w:rsidR="00521F67" w:rsidRPr="00511A0B">
              <w:t xml:space="preserve"> include all functionality necessary to process an appeal</w:t>
            </w:r>
            <w:r w:rsidR="00521F67">
              <w:t>.</w:t>
            </w:r>
          </w:p>
        </w:tc>
        <w:tc>
          <w:tcPr>
            <w:tcW w:w="2340" w:type="dxa"/>
          </w:tcPr>
          <w:p w14:paraId="43CF65AA" w14:textId="643BCD1F" w:rsidR="00521F67" w:rsidRDefault="006D43BC" w:rsidP="00521F67">
            <w:pPr>
              <w:pStyle w:val="Normal-Table"/>
            </w:pPr>
            <w:hyperlink w:anchor="_A6.4_Commission_Appeals" w:history="1">
              <w:r w:rsidR="00521F67" w:rsidRPr="00DA4BCA">
                <w:rPr>
                  <w:rStyle w:val="Hyperlink"/>
                </w:rPr>
                <w:t xml:space="preserve">Attachment </w:t>
              </w:r>
              <w:r w:rsidR="00521F67">
                <w:rPr>
                  <w:rStyle w:val="Hyperlink"/>
                </w:rPr>
                <w:t>A6.4</w:t>
              </w:r>
            </w:hyperlink>
          </w:p>
        </w:tc>
      </w:tr>
      <w:tr w:rsidR="00521F67" w:rsidRPr="00CE4250" w14:paraId="598B5604" w14:textId="067C13E3" w:rsidTr="00521F67">
        <w:tc>
          <w:tcPr>
            <w:tcW w:w="1165" w:type="dxa"/>
          </w:tcPr>
          <w:p w14:paraId="5B31A106" w14:textId="11DF1516" w:rsidR="00521F67" w:rsidRDefault="00521F67" w:rsidP="00521F67">
            <w:pPr>
              <w:pStyle w:val="Normal-Table"/>
            </w:pPr>
            <w:r>
              <w:t>CA-4</w:t>
            </w:r>
          </w:p>
        </w:tc>
        <w:tc>
          <w:tcPr>
            <w:tcW w:w="10890" w:type="dxa"/>
          </w:tcPr>
          <w:p w14:paraId="19FB5227" w14:textId="725CC283" w:rsidR="00521F67" w:rsidRDefault="00C92570" w:rsidP="00521F67">
            <w:pPr>
              <w:pStyle w:val="Normal-Table"/>
            </w:pPr>
            <w:r>
              <w:t>The System must</w:t>
            </w:r>
            <w:r w:rsidR="00521F67" w:rsidRPr="000C6D75">
              <w:t xml:space="preserve"> include all functionality necessary to submit documentation</w:t>
            </w:r>
            <w:r w:rsidR="00521F67">
              <w:t>.</w:t>
            </w:r>
          </w:p>
        </w:tc>
        <w:tc>
          <w:tcPr>
            <w:tcW w:w="2340" w:type="dxa"/>
          </w:tcPr>
          <w:p w14:paraId="611398DF" w14:textId="380C0F40" w:rsidR="00521F67" w:rsidRDefault="006D43BC" w:rsidP="00521F67">
            <w:pPr>
              <w:pStyle w:val="Normal-Table"/>
            </w:pPr>
            <w:hyperlink w:anchor="_A6.4_Commission_Appeals" w:history="1">
              <w:r w:rsidR="00521F67" w:rsidRPr="00DA4BCA">
                <w:rPr>
                  <w:rStyle w:val="Hyperlink"/>
                </w:rPr>
                <w:t xml:space="preserve">Attachment </w:t>
              </w:r>
              <w:r w:rsidR="00521F67">
                <w:rPr>
                  <w:rStyle w:val="Hyperlink"/>
                </w:rPr>
                <w:t>A6.4</w:t>
              </w:r>
            </w:hyperlink>
          </w:p>
        </w:tc>
      </w:tr>
      <w:tr w:rsidR="00521F67" w:rsidRPr="00CE4250" w14:paraId="2A8FC993" w14:textId="47DC7FB3" w:rsidTr="00521F67">
        <w:tc>
          <w:tcPr>
            <w:tcW w:w="1165" w:type="dxa"/>
          </w:tcPr>
          <w:p w14:paraId="6AB135BA" w14:textId="13AFAB1F" w:rsidR="00521F67" w:rsidRDefault="00521F67" w:rsidP="00521F67">
            <w:pPr>
              <w:pStyle w:val="Normal-Table"/>
            </w:pPr>
            <w:r>
              <w:lastRenderedPageBreak/>
              <w:t>CA-5</w:t>
            </w:r>
          </w:p>
        </w:tc>
        <w:tc>
          <w:tcPr>
            <w:tcW w:w="10890" w:type="dxa"/>
          </w:tcPr>
          <w:p w14:paraId="2B67074C" w14:textId="0567D898" w:rsidR="00521F67" w:rsidRDefault="00C92570" w:rsidP="00521F67">
            <w:pPr>
              <w:pStyle w:val="Normal-Table"/>
            </w:pPr>
            <w:r>
              <w:t>The System must</w:t>
            </w:r>
            <w:r w:rsidR="00521F67" w:rsidRPr="00511A0B">
              <w:t xml:space="preserve"> include all functionality necessary to assign an appeal to a Reviewing Attorney</w:t>
            </w:r>
            <w:r w:rsidR="00521F67">
              <w:t>.</w:t>
            </w:r>
          </w:p>
        </w:tc>
        <w:tc>
          <w:tcPr>
            <w:tcW w:w="2340" w:type="dxa"/>
          </w:tcPr>
          <w:p w14:paraId="711BC3F3" w14:textId="7868F05E" w:rsidR="00521F67" w:rsidRDefault="006D43BC" w:rsidP="00521F67">
            <w:pPr>
              <w:pStyle w:val="Normal-Table"/>
            </w:pPr>
            <w:hyperlink w:anchor="_A6.4_Commission_Appeals" w:history="1">
              <w:r w:rsidR="00521F67" w:rsidRPr="00DA4BCA">
                <w:rPr>
                  <w:rStyle w:val="Hyperlink"/>
                </w:rPr>
                <w:t xml:space="preserve">Attachment </w:t>
              </w:r>
              <w:r w:rsidR="00521F67">
                <w:rPr>
                  <w:rStyle w:val="Hyperlink"/>
                </w:rPr>
                <w:t>A6.4</w:t>
              </w:r>
            </w:hyperlink>
          </w:p>
        </w:tc>
      </w:tr>
      <w:tr w:rsidR="00521F67" w:rsidRPr="00CE4250" w14:paraId="0707F7D8" w14:textId="51393DE2" w:rsidTr="00521F67">
        <w:tc>
          <w:tcPr>
            <w:tcW w:w="1165" w:type="dxa"/>
          </w:tcPr>
          <w:p w14:paraId="690CE8E2" w14:textId="272EBC7E" w:rsidR="00521F67" w:rsidRDefault="00521F67" w:rsidP="00521F67">
            <w:pPr>
              <w:pStyle w:val="Normal-Table"/>
            </w:pPr>
            <w:r>
              <w:t>CA-6</w:t>
            </w:r>
          </w:p>
        </w:tc>
        <w:tc>
          <w:tcPr>
            <w:tcW w:w="10890" w:type="dxa"/>
          </w:tcPr>
          <w:p w14:paraId="2F4F0F3A" w14:textId="3805BDF8" w:rsidR="00521F67" w:rsidRDefault="00C92570" w:rsidP="00521F67">
            <w:pPr>
              <w:pStyle w:val="Normal-Table"/>
            </w:pPr>
            <w:r>
              <w:t>The System must</w:t>
            </w:r>
            <w:r w:rsidR="00521F67" w:rsidRPr="00511A0B">
              <w:t xml:space="preserve"> include all functionality necessary to support an attorney's review of an appeal including producing a recommendation for the Commissioners</w:t>
            </w:r>
            <w:r w:rsidR="00521F67">
              <w:t>.</w:t>
            </w:r>
          </w:p>
        </w:tc>
        <w:tc>
          <w:tcPr>
            <w:tcW w:w="2340" w:type="dxa"/>
          </w:tcPr>
          <w:p w14:paraId="1C07E3A4" w14:textId="22972A56" w:rsidR="00521F67" w:rsidRDefault="006D43BC" w:rsidP="00521F67">
            <w:pPr>
              <w:pStyle w:val="Normal-Table"/>
            </w:pPr>
            <w:hyperlink w:anchor="_A6.4_Commission_Appeals" w:history="1">
              <w:r w:rsidR="00521F67" w:rsidRPr="00DA4BCA">
                <w:rPr>
                  <w:rStyle w:val="Hyperlink"/>
                </w:rPr>
                <w:t xml:space="preserve">Attachment </w:t>
              </w:r>
              <w:r w:rsidR="00521F67">
                <w:rPr>
                  <w:rStyle w:val="Hyperlink"/>
                </w:rPr>
                <w:t>A6.4</w:t>
              </w:r>
            </w:hyperlink>
          </w:p>
        </w:tc>
      </w:tr>
      <w:tr w:rsidR="00521F67" w:rsidRPr="00CE4250" w14:paraId="666C8B9F" w14:textId="75B4CA90" w:rsidTr="00521F67">
        <w:tc>
          <w:tcPr>
            <w:tcW w:w="1165" w:type="dxa"/>
          </w:tcPr>
          <w:p w14:paraId="4D305B10" w14:textId="786A604C" w:rsidR="00521F67" w:rsidRDefault="00521F67" w:rsidP="00521F67">
            <w:pPr>
              <w:pStyle w:val="Normal-Table"/>
            </w:pPr>
            <w:r>
              <w:t>CA-7</w:t>
            </w:r>
          </w:p>
        </w:tc>
        <w:tc>
          <w:tcPr>
            <w:tcW w:w="10890" w:type="dxa"/>
          </w:tcPr>
          <w:p w14:paraId="53225039" w14:textId="4C95B9B2" w:rsidR="00521F67" w:rsidRDefault="00C92570" w:rsidP="00521F67">
            <w:pPr>
              <w:pStyle w:val="Normal-Table"/>
            </w:pPr>
            <w:r>
              <w:t>The System must</w:t>
            </w:r>
            <w:r w:rsidR="00521F67" w:rsidRPr="00511A0B">
              <w:t xml:space="preserve"> include all functionality necessary to assign CA appeals to a docket</w:t>
            </w:r>
            <w:r w:rsidR="00521F67">
              <w:t>.</w:t>
            </w:r>
          </w:p>
        </w:tc>
        <w:tc>
          <w:tcPr>
            <w:tcW w:w="2340" w:type="dxa"/>
          </w:tcPr>
          <w:p w14:paraId="33CBFB29" w14:textId="73D2CDE4" w:rsidR="00521F67" w:rsidRDefault="006D43BC" w:rsidP="00521F67">
            <w:pPr>
              <w:pStyle w:val="Normal-Table"/>
            </w:pPr>
            <w:hyperlink w:anchor="_A6.4_Commission_Appeals" w:history="1">
              <w:r w:rsidR="00521F67" w:rsidRPr="00DA4BCA">
                <w:rPr>
                  <w:rStyle w:val="Hyperlink"/>
                </w:rPr>
                <w:t xml:space="preserve">Attachment </w:t>
              </w:r>
              <w:r w:rsidR="00521F67">
                <w:rPr>
                  <w:rStyle w:val="Hyperlink"/>
                </w:rPr>
                <w:t>A6.4</w:t>
              </w:r>
            </w:hyperlink>
          </w:p>
        </w:tc>
      </w:tr>
      <w:tr w:rsidR="00521F67" w:rsidRPr="00CE4250" w14:paraId="51E0E42F" w14:textId="336F2FAF" w:rsidTr="00521F67">
        <w:tc>
          <w:tcPr>
            <w:tcW w:w="1165" w:type="dxa"/>
          </w:tcPr>
          <w:p w14:paraId="57F3A235" w14:textId="45BC6132" w:rsidR="00521F67" w:rsidRDefault="00521F67" w:rsidP="00521F67">
            <w:pPr>
              <w:pStyle w:val="Normal-Table"/>
            </w:pPr>
            <w:r>
              <w:t>CA-8</w:t>
            </w:r>
          </w:p>
        </w:tc>
        <w:tc>
          <w:tcPr>
            <w:tcW w:w="10890" w:type="dxa"/>
          </w:tcPr>
          <w:p w14:paraId="38A2A000" w14:textId="12766B25" w:rsidR="00521F67" w:rsidRDefault="00C92570" w:rsidP="00521F67">
            <w:pPr>
              <w:pStyle w:val="Normal-Table"/>
            </w:pPr>
            <w:r>
              <w:t>The System must</w:t>
            </w:r>
            <w:r w:rsidR="00521F67" w:rsidRPr="00511A0B">
              <w:t xml:space="preserve"> include all functionality necessary to issue a decision</w:t>
            </w:r>
            <w:r w:rsidR="00521F67">
              <w:t>.</w:t>
            </w:r>
          </w:p>
        </w:tc>
        <w:tc>
          <w:tcPr>
            <w:tcW w:w="2340" w:type="dxa"/>
          </w:tcPr>
          <w:p w14:paraId="4B85139B" w14:textId="50FF9D00" w:rsidR="00521F67" w:rsidRDefault="006D43BC" w:rsidP="00521F67">
            <w:pPr>
              <w:pStyle w:val="Normal-Table"/>
            </w:pPr>
            <w:hyperlink w:anchor="_A6.4_Commission_Appeals" w:history="1">
              <w:r w:rsidR="00521F67" w:rsidRPr="00DA4BCA">
                <w:rPr>
                  <w:rStyle w:val="Hyperlink"/>
                </w:rPr>
                <w:t xml:space="preserve">Attachment </w:t>
              </w:r>
              <w:r w:rsidR="00521F67">
                <w:rPr>
                  <w:rStyle w:val="Hyperlink"/>
                </w:rPr>
                <w:t>A6.4</w:t>
              </w:r>
            </w:hyperlink>
          </w:p>
        </w:tc>
      </w:tr>
      <w:tr w:rsidR="00521F67" w:rsidRPr="00CE4250" w14:paraId="10ED583A" w14:textId="4B4E02A4" w:rsidTr="00521F67">
        <w:tc>
          <w:tcPr>
            <w:tcW w:w="1165" w:type="dxa"/>
          </w:tcPr>
          <w:p w14:paraId="5E1B5D90" w14:textId="7B6F76B9" w:rsidR="00521F67" w:rsidRDefault="00521F67" w:rsidP="00521F67">
            <w:pPr>
              <w:pStyle w:val="Normal-Table"/>
            </w:pPr>
            <w:r>
              <w:t>CA-9</w:t>
            </w:r>
          </w:p>
        </w:tc>
        <w:tc>
          <w:tcPr>
            <w:tcW w:w="10890" w:type="dxa"/>
          </w:tcPr>
          <w:p w14:paraId="5AE15100" w14:textId="3588C7FD" w:rsidR="00521F67" w:rsidRDefault="00C92570" w:rsidP="00521F67">
            <w:pPr>
              <w:pStyle w:val="Normal-Table"/>
            </w:pPr>
            <w:r>
              <w:t>The System must</w:t>
            </w:r>
            <w:r w:rsidR="00521F67" w:rsidRPr="00511A0B">
              <w:t xml:space="preserve"> include all functionality necessary to record a </w:t>
            </w:r>
            <w:r w:rsidR="00521F67">
              <w:t>decision.</w:t>
            </w:r>
          </w:p>
        </w:tc>
        <w:tc>
          <w:tcPr>
            <w:tcW w:w="2340" w:type="dxa"/>
          </w:tcPr>
          <w:p w14:paraId="0AC8258C" w14:textId="5D56581D" w:rsidR="00521F67" w:rsidRDefault="006D43BC" w:rsidP="00521F67">
            <w:pPr>
              <w:pStyle w:val="Normal-Table"/>
            </w:pPr>
            <w:hyperlink w:anchor="_A6.4_Commission_Appeals" w:history="1">
              <w:r w:rsidR="00521F67" w:rsidRPr="00DA4BCA">
                <w:rPr>
                  <w:rStyle w:val="Hyperlink"/>
                </w:rPr>
                <w:t xml:space="preserve">Attachment </w:t>
              </w:r>
              <w:r w:rsidR="00521F67">
                <w:rPr>
                  <w:rStyle w:val="Hyperlink"/>
                </w:rPr>
                <w:t>A6.4</w:t>
              </w:r>
            </w:hyperlink>
          </w:p>
        </w:tc>
      </w:tr>
      <w:tr w:rsidR="00521F67" w:rsidRPr="00CE4250" w14:paraId="1B6A1C6C" w14:textId="3B5528C7" w:rsidTr="00521F67">
        <w:tc>
          <w:tcPr>
            <w:tcW w:w="1165" w:type="dxa"/>
          </w:tcPr>
          <w:p w14:paraId="7A21F8A7" w14:textId="5FD7ABB2" w:rsidR="00521F67" w:rsidRDefault="00521F67" w:rsidP="00521F67">
            <w:pPr>
              <w:pStyle w:val="Normal-Table"/>
            </w:pPr>
            <w:r>
              <w:t>CA-10</w:t>
            </w:r>
          </w:p>
        </w:tc>
        <w:tc>
          <w:tcPr>
            <w:tcW w:w="10890" w:type="dxa"/>
          </w:tcPr>
          <w:p w14:paraId="044D0FF7" w14:textId="6B87CB82" w:rsidR="00521F67" w:rsidRDefault="00C92570" w:rsidP="00521F67">
            <w:pPr>
              <w:pStyle w:val="Normal-Table"/>
            </w:pPr>
            <w:r>
              <w:t>The System must</w:t>
            </w:r>
            <w:r w:rsidR="00521F67" w:rsidRPr="00511A0B">
              <w:t xml:space="preserve"> include all functionality necessary to schedule a hearing</w:t>
            </w:r>
            <w:r w:rsidR="00521F67">
              <w:t>.</w:t>
            </w:r>
          </w:p>
        </w:tc>
        <w:tc>
          <w:tcPr>
            <w:tcW w:w="2340" w:type="dxa"/>
          </w:tcPr>
          <w:p w14:paraId="4D0A279E" w14:textId="2A2E5F0F" w:rsidR="00521F67" w:rsidRDefault="006D43BC" w:rsidP="00521F67">
            <w:pPr>
              <w:pStyle w:val="Normal-Table"/>
            </w:pPr>
            <w:hyperlink w:anchor="_A6.4_Commission_Appeals" w:history="1">
              <w:r w:rsidR="00521F67" w:rsidRPr="00DA4BCA">
                <w:rPr>
                  <w:rStyle w:val="Hyperlink"/>
                </w:rPr>
                <w:t xml:space="preserve">Attachment </w:t>
              </w:r>
              <w:r w:rsidR="00521F67">
                <w:rPr>
                  <w:rStyle w:val="Hyperlink"/>
                </w:rPr>
                <w:t>A6.4</w:t>
              </w:r>
            </w:hyperlink>
          </w:p>
        </w:tc>
      </w:tr>
      <w:tr w:rsidR="00521F67" w:rsidRPr="00CE4250" w14:paraId="1E8EF49F" w14:textId="199EC3A0" w:rsidTr="00521F67">
        <w:tc>
          <w:tcPr>
            <w:tcW w:w="1165" w:type="dxa"/>
          </w:tcPr>
          <w:p w14:paraId="21C18FD1" w14:textId="1CDCB110" w:rsidR="00521F67" w:rsidRDefault="00521F67" w:rsidP="00521F67">
            <w:pPr>
              <w:pStyle w:val="Normal-Table"/>
            </w:pPr>
            <w:r>
              <w:t>CA-11</w:t>
            </w:r>
          </w:p>
        </w:tc>
        <w:tc>
          <w:tcPr>
            <w:tcW w:w="10890" w:type="dxa"/>
          </w:tcPr>
          <w:p w14:paraId="19B70D89" w14:textId="0A10F26D" w:rsidR="00521F67" w:rsidRDefault="00C92570" w:rsidP="00521F67">
            <w:pPr>
              <w:pStyle w:val="Normal-Table"/>
            </w:pPr>
            <w:r>
              <w:t>The System must</w:t>
            </w:r>
            <w:r w:rsidR="00521F67" w:rsidRPr="00511A0B">
              <w:t xml:space="preserve"> include all functionality necessary to create and send hearing notices</w:t>
            </w:r>
            <w:r w:rsidR="00521F67">
              <w:t>.</w:t>
            </w:r>
          </w:p>
        </w:tc>
        <w:tc>
          <w:tcPr>
            <w:tcW w:w="2340" w:type="dxa"/>
          </w:tcPr>
          <w:p w14:paraId="7AC381D3" w14:textId="6BF469D9" w:rsidR="00521F67" w:rsidRDefault="006D43BC" w:rsidP="00521F67">
            <w:pPr>
              <w:pStyle w:val="Normal-Table"/>
            </w:pPr>
            <w:hyperlink w:anchor="_A6.4_Commission_Appeals" w:history="1">
              <w:r w:rsidR="00521F67" w:rsidRPr="00DA4BCA">
                <w:rPr>
                  <w:rStyle w:val="Hyperlink"/>
                </w:rPr>
                <w:t xml:space="preserve">Attachment </w:t>
              </w:r>
              <w:r w:rsidR="00521F67">
                <w:rPr>
                  <w:rStyle w:val="Hyperlink"/>
                </w:rPr>
                <w:t>A6.4</w:t>
              </w:r>
            </w:hyperlink>
          </w:p>
        </w:tc>
      </w:tr>
      <w:tr w:rsidR="00521F67" w:rsidRPr="00CE4250" w14:paraId="22BEC3D1" w14:textId="39587E67" w:rsidTr="00521F67">
        <w:tc>
          <w:tcPr>
            <w:tcW w:w="1165" w:type="dxa"/>
          </w:tcPr>
          <w:p w14:paraId="3D1B37FE" w14:textId="13885900" w:rsidR="00521F67" w:rsidRDefault="00521F67" w:rsidP="00521F67">
            <w:pPr>
              <w:pStyle w:val="Normal-Table"/>
            </w:pPr>
            <w:r>
              <w:t>CA-12</w:t>
            </w:r>
          </w:p>
        </w:tc>
        <w:tc>
          <w:tcPr>
            <w:tcW w:w="10890" w:type="dxa"/>
          </w:tcPr>
          <w:p w14:paraId="583FCD95" w14:textId="066C660B" w:rsidR="00521F67" w:rsidRDefault="00C92570" w:rsidP="00521F67">
            <w:pPr>
              <w:pStyle w:val="Normal-Table"/>
            </w:pPr>
            <w:r>
              <w:t>The System must</w:t>
            </w:r>
            <w:r w:rsidR="00521F67" w:rsidRPr="00511A0B">
              <w:t xml:space="preserve"> include all functionality necessary to conduct a rehearing</w:t>
            </w:r>
            <w:r w:rsidR="00521F67">
              <w:t>.</w:t>
            </w:r>
          </w:p>
        </w:tc>
        <w:tc>
          <w:tcPr>
            <w:tcW w:w="2340" w:type="dxa"/>
          </w:tcPr>
          <w:p w14:paraId="12F60DE9" w14:textId="2F9B3383" w:rsidR="00521F67" w:rsidRDefault="006D43BC" w:rsidP="00521F67">
            <w:pPr>
              <w:pStyle w:val="Normal-Table"/>
            </w:pPr>
            <w:hyperlink w:anchor="_A6.4_Commission_Appeals" w:history="1">
              <w:r w:rsidR="00521F67" w:rsidRPr="00DA4BCA">
                <w:rPr>
                  <w:rStyle w:val="Hyperlink"/>
                </w:rPr>
                <w:t xml:space="preserve">Attachment </w:t>
              </w:r>
              <w:r w:rsidR="00521F67">
                <w:rPr>
                  <w:rStyle w:val="Hyperlink"/>
                </w:rPr>
                <w:t>A6.4</w:t>
              </w:r>
            </w:hyperlink>
          </w:p>
        </w:tc>
      </w:tr>
      <w:tr w:rsidR="00521F67" w:rsidRPr="00CE4250" w14:paraId="5694CBD0" w14:textId="04806AFB" w:rsidTr="00521F67">
        <w:tc>
          <w:tcPr>
            <w:tcW w:w="1165" w:type="dxa"/>
          </w:tcPr>
          <w:p w14:paraId="79C334DD" w14:textId="5BA65827" w:rsidR="00521F67" w:rsidRDefault="00521F67" w:rsidP="00521F67">
            <w:pPr>
              <w:pStyle w:val="Normal-Table"/>
            </w:pPr>
            <w:r>
              <w:t>CA-13</w:t>
            </w:r>
          </w:p>
        </w:tc>
        <w:tc>
          <w:tcPr>
            <w:tcW w:w="10890" w:type="dxa"/>
          </w:tcPr>
          <w:p w14:paraId="50CFFFCA" w14:textId="1B79F61C" w:rsidR="00521F67" w:rsidRDefault="00C92570" w:rsidP="00521F67">
            <w:pPr>
              <w:pStyle w:val="Normal-Table"/>
            </w:pPr>
            <w:r>
              <w:t>The System must</w:t>
            </w:r>
            <w:r w:rsidR="00521F67" w:rsidRPr="00511A0B">
              <w:t xml:space="preserve"> include all functionality necessary to respond to inquiries</w:t>
            </w:r>
            <w:r w:rsidR="00521F67">
              <w:t>.</w:t>
            </w:r>
          </w:p>
        </w:tc>
        <w:tc>
          <w:tcPr>
            <w:tcW w:w="2340" w:type="dxa"/>
          </w:tcPr>
          <w:p w14:paraId="4D94CFA9" w14:textId="62DBBE12" w:rsidR="00521F67" w:rsidRDefault="006D43BC" w:rsidP="00521F67">
            <w:pPr>
              <w:pStyle w:val="Normal-Table"/>
            </w:pPr>
            <w:hyperlink w:anchor="_A6.4_Commission_Appeals" w:history="1">
              <w:r w:rsidR="00521F67" w:rsidRPr="00DA4BCA">
                <w:rPr>
                  <w:rStyle w:val="Hyperlink"/>
                </w:rPr>
                <w:t xml:space="preserve">Attachment </w:t>
              </w:r>
              <w:r w:rsidR="00521F67">
                <w:rPr>
                  <w:rStyle w:val="Hyperlink"/>
                </w:rPr>
                <w:t>A6.4</w:t>
              </w:r>
            </w:hyperlink>
          </w:p>
        </w:tc>
      </w:tr>
      <w:tr w:rsidR="00521F67" w:rsidRPr="00CE4250" w14:paraId="7B015B35" w14:textId="60EF743D" w:rsidTr="00521F67">
        <w:tc>
          <w:tcPr>
            <w:tcW w:w="1165" w:type="dxa"/>
          </w:tcPr>
          <w:p w14:paraId="64A150AB" w14:textId="6BA473A1" w:rsidR="00521F67" w:rsidRDefault="00521F67" w:rsidP="00521F67">
            <w:pPr>
              <w:pStyle w:val="Normal-Table"/>
            </w:pPr>
            <w:r>
              <w:t>CA-14</w:t>
            </w:r>
          </w:p>
        </w:tc>
        <w:tc>
          <w:tcPr>
            <w:tcW w:w="10890" w:type="dxa"/>
          </w:tcPr>
          <w:p w14:paraId="1BA09859" w14:textId="39533EF5" w:rsidR="00521F67" w:rsidRDefault="00C92570" w:rsidP="00521F67">
            <w:pPr>
              <w:pStyle w:val="Normal-Table"/>
            </w:pPr>
            <w:r>
              <w:t>The System must</w:t>
            </w:r>
            <w:r w:rsidR="00521F67" w:rsidRPr="00511A0B">
              <w:t xml:space="preserve"> include all functionality necessary to generate and transmit reports</w:t>
            </w:r>
            <w:r w:rsidR="00521F67">
              <w:t>.</w:t>
            </w:r>
          </w:p>
        </w:tc>
        <w:tc>
          <w:tcPr>
            <w:tcW w:w="2340" w:type="dxa"/>
          </w:tcPr>
          <w:p w14:paraId="5D4B2CF0" w14:textId="4D317410" w:rsidR="00521F67" w:rsidRDefault="006D43BC" w:rsidP="00521F67">
            <w:pPr>
              <w:pStyle w:val="Normal-Table"/>
            </w:pPr>
            <w:hyperlink w:anchor="_A6.4_Commission_Appeals" w:history="1">
              <w:r w:rsidR="00521F67" w:rsidRPr="00DA4BCA">
                <w:rPr>
                  <w:rStyle w:val="Hyperlink"/>
                </w:rPr>
                <w:t xml:space="preserve">Attachment </w:t>
              </w:r>
              <w:r w:rsidR="00521F67">
                <w:rPr>
                  <w:rStyle w:val="Hyperlink"/>
                </w:rPr>
                <w:t>A6.4</w:t>
              </w:r>
            </w:hyperlink>
          </w:p>
        </w:tc>
      </w:tr>
      <w:tr w:rsidR="00521F67" w:rsidRPr="00CE4250" w14:paraId="07388AD8" w14:textId="2807D8CB" w:rsidTr="00521F67">
        <w:tc>
          <w:tcPr>
            <w:tcW w:w="1165" w:type="dxa"/>
          </w:tcPr>
          <w:p w14:paraId="36860414" w14:textId="6581E1AF" w:rsidR="00521F67" w:rsidRDefault="00521F67" w:rsidP="00521F67">
            <w:pPr>
              <w:pStyle w:val="Normal-Table"/>
            </w:pPr>
            <w:r>
              <w:t>SH-1</w:t>
            </w:r>
          </w:p>
        </w:tc>
        <w:tc>
          <w:tcPr>
            <w:tcW w:w="10890" w:type="dxa"/>
          </w:tcPr>
          <w:p w14:paraId="4E5753D9" w14:textId="0DB3C662" w:rsidR="00521F67" w:rsidRDefault="00C92570" w:rsidP="00521F67">
            <w:pPr>
              <w:pStyle w:val="Normal-Table"/>
            </w:pPr>
            <w:r>
              <w:t>The System must</w:t>
            </w:r>
            <w:r w:rsidR="00521F67" w:rsidRPr="00C95353">
              <w:t xml:space="preserve"> include all functionality necessary to file a</w:t>
            </w:r>
            <w:r w:rsidR="00521F67">
              <w:t xml:space="preserve"> Special Hearing (SH)</w:t>
            </w:r>
            <w:r w:rsidR="00521F67" w:rsidRPr="00511A0B">
              <w:t xml:space="preserve"> </w:t>
            </w:r>
            <w:r w:rsidR="00521F67">
              <w:t>request.</w:t>
            </w:r>
          </w:p>
        </w:tc>
        <w:tc>
          <w:tcPr>
            <w:tcW w:w="2340" w:type="dxa"/>
          </w:tcPr>
          <w:p w14:paraId="5014A2E9" w14:textId="292901A2" w:rsidR="00521F67" w:rsidRPr="00C95353" w:rsidRDefault="006D43BC" w:rsidP="00521F67">
            <w:pPr>
              <w:pStyle w:val="Normal-Table"/>
            </w:pPr>
            <w:hyperlink w:anchor="_A6.5_Special_Hearings" w:history="1">
              <w:r w:rsidR="00464C5C" w:rsidRPr="00DA4BCA">
                <w:rPr>
                  <w:rStyle w:val="Hyperlink"/>
                </w:rPr>
                <w:t xml:space="preserve">Attachment </w:t>
              </w:r>
              <w:r w:rsidR="00464C5C" w:rsidRPr="00892610">
                <w:rPr>
                  <w:rStyle w:val="Hyperlink"/>
                </w:rPr>
                <w:t>A6.5</w:t>
              </w:r>
            </w:hyperlink>
          </w:p>
        </w:tc>
      </w:tr>
      <w:tr w:rsidR="00464C5C" w:rsidRPr="00CE4250" w14:paraId="42B763BE" w14:textId="42BAA334" w:rsidTr="00521F67">
        <w:tc>
          <w:tcPr>
            <w:tcW w:w="1165" w:type="dxa"/>
          </w:tcPr>
          <w:p w14:paraId="69025672" w14:textId="3B7935B2" w:rsidR="00464C5C" w:rsidRDefault="00464C5C" w:rsidP="00464C5C">
            <w:pPr>
              <w:pStyle w:val="Normal-Table"/>
            </w:pPr>
            <w:r>
              <w:t>SH-2</w:t>
            </w:r>
          </w:p>
        </w:tc>
        <w:tc>
          <w:tcPr>
            <w:tcW w:w="10890" w:type="dxa"/>
          </w:tcPr>
          <w:p w14:paraId="19BB54F8" w14:textId="20485B54" w:rsidR="00464C5C" w:rsidRDefault="00C92570" w:rsidP="00464C5C">
            <w:pPr>
              <w:pStyle w:val="Normal-Table"/>
            </w:pPr>
            <w:r>
              <w:t>The System must</w:t>
            </w:r>
            <w:r w:rsidR="00464C5C" w:rsidRPr="00511A0B">
              <w:t xml:space="preserve"> include all functionality necessary to receive and route </w:t>
            </w:r>
            <w:r w:rsidR="00464C5C">
              <w:t>a Special Hearing</w:t>
            </w:r>
            <w:r w:rsidR="00464C5C" w:rsidRPr="00511A0B">
              <w:t xml:space="preserve"> </w:t>
            </w:r>
            <w:r w:rsidR="00464C5C">
              <w:t>request.</w:t>
            </w:r>
          </w:p>
        </w:tc>
        <w:tc>
          <w:tcPr>
            <w:tcW w:w="2340" w:type="dxa"/>
          </w:tcPr>
          <w:p w14:paraId="0D13E493" w14:textId="6AA680CC" w:rsidR="00464C5C" w:rsidRDefault="006D43BC" w:rsidP="00464C5C">
            <w:pPr>
              <w:pStyle w:val="Normal-Table"/>
            </w:pPr>
            <w:hyperlink w:anchor="_A6.5_Special_Hearings" w:history="1">
              <w:r w:rsidR="00464C5C" w:rsidRPr="00DA4BCA">
                <w:rPr>
                  <w:rStyle w:val="Hyperlink"/>
                </w:rPr>
                <w:t xml:space="preserve">Attachment </w:t>
              </w:r>
              <w:r w:rsidR="00464C5C" w:rsidRPr="00892610">
                <w:rPr>
                  <w:rStyle w:val="Hyperlink"/>
                </w:rPr>
                <w:t>A6.5</w:t>
              </w:r>
            </w:hyperlink>
          </w:p>
        </w:tc>
      </w:tr>
      <w:tr w:rsidR="00464C5C" w:rsidRPr="00CE4250" w14:paraId="0BDFD4C8" w14:textId="4F349758" w:rsidTr="00521F67">
        <w:tc>
          <w:tcPr>
            <w:tcW w:w="1165" w:type="dxa"/>
          </w:tcPr>
          <w:p w14:paraId="385ACD85" w14:textId="0F6C3462" w:rsidR="00464C5C" w:rsidRDefault="00464C5C" w:rsidP="00464C5C">
            <w:pPr>
              <w:pStyle w:val="Normal-Table"/>
            </w:pPr>
            <w:r>
              <w:t>SH-3</w:t>
            </w:r>
          </w:p>
        </w:tc>
        <w:tc>
          <w:tcPr>
            <w:tcW w:w="10890" w:type="dxa"/>
          </w:tcPr>
          <w:p w14:paraId="0E8B2A3B" w14:textId="5E2561FC" w:rsidR="00464C5C" w:rsidRDefault="00C92570" w:rsidP="00464C5C">
            <w:pPr>
              <w:pStyle w:val="Normal-Table"/>
            </w:pPr>
            <w:r>
              <w:t>The System must</w:t>
            </w:r>
            <w:r w:rsidR="00464C5C" w:rsidRPr="000C6D75">
              <w:t xml:space="preserve"> include all functionality necessary to process a</w:t>
            </w:r>
            <w:r w:rsidR="00464C5C">
              <w:t xml:space="preserve"> request.</w:t>
            </w:r>
          </w:p>
        </w:tc>
        <w:tc>
          <w:tcPr>
            <w:tcW w:w="2340" w:type="dxa"/>
          </w:tcPr>
          <w:p w14:paraId="2F9EF0CC" w14:textId="4C1D9D29" w:rsidR="00464C5C" w:rsidRDefault="006D43BC" w:rsidP="00464C5C">
            <w:pPr>
              <w:pStyle w:val="Normal-Table"/>
            </w:pPr>
            <w:hyperlink w:anchor="_A6.5_Special_Hearings" w:history="1">
              <w:r w:rsidR="00464C5C" w:rsidRPr="00DA4BCA">
                <w:rPr>
                  <w:rStyle w:val="Hyperlink"/>
                </w:rPr>
                <w:t xml:space="preserve">Attachment </w:t>
              </w:r>
              <w:r w:rsidR="00464C5C" w:rsidRPr="00892610">
                <w:rPr>
                  <w:rStyle w:val="Hyperlink"/>
                </w:rPr>
                <w:t>A6.5</w:t>
              </w:r>
            </w:hyperlink>
          </w:p>
        </w:tc>
      </w:tr>
      <w:tr w:rsidR="00464C5C" w:rsidRPr="00CE4250" w14:paraId="6E1D1234" w14:textId="7F88962D" w:rsidTr="00521F67">
        <w:tc>
          <w:tcPr>
            <w:tcW w:w="1165" w:type="dxa"/>
          </w:tcPr>
          <w:p w14:paraId="06285225" w14:textId="511304A8" w:rsidR="00464C5C" w:rsidRDefault="00464C5C" w:rsidP="00464C5C">
            <w:pPr>
              <w:pStyle w:val="Normal-Table"/>
            </w:pPr>
            <w:r>
              <w:t>SH-4</w:t>
            </w:r>
          </w:p>
        </w:tc>
        <w:tc>
          <w:tcPr>
            <w:tcW w:w="10890" w:type="dxa"/>
          </w:tcPr>
          <w:p w14:paraId="53E4083E" w14:textId="0A790BED" w:rsidR="00464C5C" w:rsidRDefault="00C92570" w:rsidP="00464C5C">
            <w:pPr>
              <w:pStyle w:val="Normal-Table"/>
            </w:pPr>
            <w:r>
              <w:t>The System must</w:t>
            </w:r>
            <w:r w:rsidR="00464C5C" w:rsidRPr="000C6D75">
              <w:t xml:space="preserve"> include all functionality necessary to submit documentation</w:t>
            </w:r>
            <w:r w:rsidR="00464C5C">
              <w:t>.</w:t>
            </w:r>
          </w:p>
        </w:tc>
        <w:tc>
          <w:tcPr>
            <w:tcW w:w="2340" w:type="dxa"/>
          </w:tcPr>
          <w:p w14:paraId="35F634E9" w14:textId="1FC2DE62" w:rsidR="00464C5C" w:rsidRDefault="006D43BC" w:rsidP="00464C5C">
            <w:pPr>
              <w:pStyle w:val="Normal-Table"/>
            </w:pPr>
            <w:hyperlink w:anchor="_A6.5_Special_Hearings" w:history="1">
              <w:r w:rsidR="00464C5C" w:rsidRPr="00DA4BCA">
                <w:rPr>
                  <w:rStyle w:val="Hyperlink"/>
                </w:rPr>
                <w:t xml:space="preserve">Attachment </w:t>
              </w:r>
              <w:r w:rsidR="00464C5C" w:rsidRPr="00892610">
                <w:rPr>
                  <w:rStyle w:val="Hyperlink"/>
                </w:rPr>
                <w:t>A6.5</w:t>
              </w:r>
            </w:hyperlink>
          </w:p>
        </w:tc>
      </w:tr>
      <w:tr w:rsidR="00464C5C" w:rsidRPr="00CE4250" w14:paraId="1823F2B4" w14:textId="41588C29" w:rsidTr="00521F67">
        <w:tc>
          <w:tcPr>
            <w:tcW w:w="1165" w:type="dxa"/>
          </w:tcPr>
          <w:p w14:paraId="437D78F9" w14:textId="4E84A37D" w:rsidR="00464C5C" w:rsidRDefault="00464C5C" w:rsidP="00464C5C">
            <w:pPr>
              <w:pStyle w:val="Normal-Table"/>
            </w:pPr>
            <w:r>
              <w:t>SH-5</w:t>
            </w:r>
          </w:p>
        </w:tc>
        <w:tc>
          <w:tcPr>
            <w:tcW w:w="10890" w:type="dxa"/>
          </w:tcPr>
          <w:p w14:paraId="3F96D2DB" w14:textId="326F8339" w:rsidR="00464C5C" w:rsidRDefault="00C92570" w:rsidP="00464C5C">
            <w:pPr>
              <w:pStyle w:val="Normal-Table"/>
            </w:pPr>
            <w:r>
              <w:t>The System must</w:t>
            </w:r>
            <w:r w:rsidR="00464C5C" w:rsidRPr="000C6D75">
              <w:t xml:space="preserve"> include all functionality necessary to schedule a hearing</w:t>
            </w:r>
            <w:r w:rsidR="00464C5C">
              <w:t>.</w:t>
            </w:r>
          </w:p>
        </w:tc>
        <w:tc>
          <w:tcPr>
            <w:tcW w:w="2340" w:type="dxa"/>
          </w:tcPr>
          <w:p w14:paraId="7D05DF9A" w14:textId="76FC265A" w:rsidR="00464C5C" w:rsidRDefault="006D43BC" w:rsidP="00464C5C">
            <w:pPr>
              <w:pStyle w:val="Normal-Table"/>
            </w:pPr>
            <w:hyperlink w:anchor="_A6.5_Special_Hearings" w:history="1">
              <w:r w:rsidR="00464C5C" w:rsidRPr="00DA4BCA">
                <w:rPr>
                  <w:rStyle w:val="Hyperlink"/>
                </w:rPr>
                <w:t xml:space="preserve">Attachment </w:t>
              </w:r>
              <w:r w:rsidR="00464C5C" w:rsidRPr="00892610">
                <w:rPr>
                  <w:rStyle w:val="Hyperlink"/>
                </w:rPr>
                <w:t>A6.5</w:t>
              </w:r>
            </w:hyperlink>
          </w:p>
        </w:tc>
      </w:tr>
      <w:tr w:rsidR="00464C5C" w:rsidRPr="00CE4250" w14:paraId="4E5F2C72" w14:textId="65600790" w:rsidTr="00521F67">
        <w:tc>
          <w:tcPr>
            <w:tcW w:w="1165" w:type="dxa"/>
          </w:tcPr>
          <w:p w14:paraId="40F3E1CA" w14:textId="55C97DAE" w:rsidR="00464C5C" w:rsidRDefault="00464C5C" w:rsidP="00464C5C">
            <w:pPr>
              <w:pStyle w:val="Normal-Table"/>
            </w:pPr>
            <w:r>
              <w:lastRenderedPageBreak/>
              <w:t>SH-6</w:t>
            </w:r>
          </w:p>
        </w:tc>
        <w:tc>
          <w:tcPr>
            <w:tcW w:w="10890" w:type="dxa"/>
          </w:tcPr>
          <w:p w14:paraId="6729EC67" w14:textId="4A5F58A3" w:rsidR="00464C5C" w:rsidRDefault="00C92570" w:rsidP="00464C5C">
            <w:pPr>
              <w:pStyle w:val="Normal-Table"/>
            </w:pPr>
            <w:r>
              <w:t>The System must</w:t>
            </w:r>
            <w:r w:rsidR="00464C5C" w:rsidRPr="000C6D75">
              <w:t xml:space="preserve"> include all functionality necessary to create and send hearing notices</w:t>
            </w:r>
            <w:r w:rsidR="00464C5C">
              <w:t>.</w:t>
            </w:r>
          </w:p>
        </w:tc>
        <w:tc>
          <w:tcPr>
            <w:tcW w:w="2340" w:type="dxa"/>
          </w:tcPr>
          <w:p w14:paraId="300EF974" w14:textId="7F021CFF" w:rsidR="00464C5C" w:rsidRDefault="006D43BC" w:rsidP="00464C5C">
            <w:pPr>
              <w:pStyle w:val="Normal-Table"/>
            </w:pPr>
            <w:hyperlink w:anchor="_A6.5_Special_Hearings" w:history="1">
              <w:r w:rsidR="00464C5C" w:rsidRPr="00DA4BCA">
                <w:rPr>
                  <w:rStyle w:val="Hyperlink"/>
                </w:rPr>
                <w:t xml:space="preserve">Attachment </w:t>
              </w:r>
              <w:r w:rsidR="00464C5C" w:rsidRPr="00892610">
                <w:rPr>
                  <w:rStyle w:val="Hyperlink"/>
                </w:rPr>
                <w:t>A6.5</w:t>
              </w:r>
            </w:hyperlink>
          </w:p>
        </w:tc>
      </w:tr>
      <w:tr w:rsidR="00464C5C" w:rsidRPr="00CE4250" w14:paraId="38214336" w14:textId="49849E52" w:rsidTr="00521F67">
        <w:tc>
          <w:tcPr>
            <w:tcW w:w="1165" w:type="dxa"/>
          </w:tcPr>
          <w:p w14:paraId="4F07A773" w14:textId="1EB4C435" w:rsidR="00464C5C" w:rsidRDefault="00464C5C" w:rsidP="00464C5C">
            <w:pPr>
              <w:pStyle w:val="Normal-Table"/>
            </w:pPr>
            <w:r>
              <w:t>SH-7</w:t>
            </w:r>
          </w:p>
        </w:tc>
        <w:tc>
          <w:tcPr>
            <w:tcW w:w="10890" w:type="dxa"/>
          </w:tcPr>
          <w:p w14:paraId="73AFBE37" w14:textId="55172E00" w:rsidR="00464C5C" w:rsidRDefault="00C92570" w:rsidP="00464C5C">
            <w:pPr>
              <w:pStyle w:val="Normal-Table"/>
            </w:pPr>
            <w:r>
              <w:t>The System must</w:t>
            </w:r>
            <w:r w:rsidR="00464C5C" w:rsidRPr="000C6D75">
              <w:t xml:space="preserve"> include all functionality necessary to conduct a hearing</w:t>
            </w:r>
            <w:r w:rsidR="00464C5C">
              <w:t>.</w:t>
            </w:r>
          </w:p>
        </w:tc>
        <w:tc>
          <w:tcPr>
            <w:tcW w:w="2340" w:type="dxa"/>
          </w:tcPr>
          <w:p w14:paraId="7FBA9F0E" w14:textId="7BFA9290" w:rsidR="00464C5C" w:rsidRDefault="006D43BC" w:rsidP="00464C5C">
            <w:pPr>
              <w:pStyle w:val="Normal-Table"/>
            </w:pPr>
            <w:hyperlink w:anchor="_A6.5_Special_Hearings" w:history="1">
              <w:r w:rsidR="00464C5C" w:rsidRPr="00DA4BCA">
                <w:rPr>
                  <w:rStyle w:val="Hyperlink"/>
                </w:rPr>
                <w:t xml:space="preserve">Attachment </w:t>
              </w:r>
              <w:r w:rsidR="00464C5C" w:rsidRPr="00892610">
                <w:rPr>
                  <w:rStyle w:val="Hyperlink"/>
                </w:rPr>
                <w:t>A6.5</w:t>
              </w:r>
            </w:hyperlink>
          </w:p>
        </w:tc>
      </w:tr>
      <w:tr w:rsidR="00464C5C" w:rsidRPr="00CE4250" w14:paraId="021EB640" w14:textId="3574D22D" w:rsidTr="00521F67">
        <w:tc>
          <w:tcPr>
            <w:tcW w:w="1165" w:type="dxa"/>
          </w:tcPr>
          <w:p w14:paraId="59021C68" w14:textId="5176AF04" w:rsidR="00464C5C" w:rsidRDefault="00464C5C" w:rsidP="00464C5C">
            <w:pPr>
              <w:pStyle w:val="Normal-Table"/>
            </w:pPr>
            <w:r>
              <w:t>SH-8</w:t>
            </w:r>
          </w:p>
        </w:tc>
        <w:tc>
          <w:tcPr>
            <w:tcW w:w="10890" w:type="dxa"/>
          </w:tcPr>
          <w:p w14:paraId="41089A92" w14:textId="427538DC" w:rsidR="00464C5C" w:rsidRDefault="00C92570" w:rsidP="00464C5C">
            <w:pPr>
              <w:pStyle w:val="Normal-Table"/>
            </w:pPr>
            <w:r>
              <w:t>The System must</w:t>
            </w:r>
            <w:r w:rsidR="00464C5C" w:rsidRPr="000C6D75">
              <w:t xml:space="preserve"> include all functionality necessary to create a</w:t>
            </w:r>
            <w:r w:rsidR="00464C5C">
              <w:t xml:space="preserve"> proposal.</w:t>
            </w:r>
          </w:p>
        </w:tc>
        <w:tc>
          <w:tcPr>
            <w:tcW w:w="2340" w:type="dxa"/>
          </w:tcPr>
          <w:p w14:paraId="5DAFC603" w14:textId="7E477E2F" w:rsidR="00464C5C" w:rsidRDefault="006D43BC" w:rsidP="00464C5C">
            <w:pPr>
              <w:pStyle w:val="Normal-Table"/>
            </w:pPr>
            <w:hyperlink w:anchor="_A6.5_Special_Hearings" w:history="1">
              <w:r w:rsidR="00464C5C" w:rsidRPr="00DA4BCA">
                <w:rPr>
                  <w:rStyle w:val="Hyperlink"/>
                </w:rPr>
                <w:t xml:space="preserve">Attachment </w:t>
              </w:r>
              <w:r w:rsidR="00464C5C" w:rsidRPr="00892610">
                <w:rPr>
                  <w:rStyle w:val="Hyperlink"/>
                </w:rPr>
                <w:t>A6.5</w:t>
              </w:r>
            </w:hyperlink>
          </w:p>
        </w:tc>
      </w:tr>
      <w:tr w:rsidR="00464C5C" w:rsidRPr="00CE4250" w14:paraId="31588684" w14:textId="3B4C4DBD" w:rsidTr="00521F67">
        <w:tc>
          <w:tcPr>
            <w:tcW w:w="1165" w:type="dxa"/>
          </w:tcPr>
          <w:p w14:paraId="2B1D76A6" w14:textId="13F6825A" w:rsidR="00464C5C" w:rsidRDefault="00464C5C" w:rsidP="00464C5C">
            <w:pPr>
              <w:pStyle w:val="Normal-Table"/>
            </w:pPr>
            <w:r>
              <w:t>SH-9</w:t>
            </w:r>
          </w:p>
        </w:tc>
        <w:tc>
          <w:tcPr>
            <w:tcW w:w="10890" w:type="dxa"/>
          </w:tcPr>
          <w:p w14:paraId="245D7B86" w14:textId="77A74751" w:rsidR="00464C5C" w:rsidRDefault="00C92570" w:rsidP="00464C5C">
            <w:pPr>
              <w:pStyle w:val="Normal-Table"/>
            </w:pPr>
            <w:r>
              <w:t>The System must</w:t>
            </w:r>
            <w:r w:rsidR="00464C5C" w:rsidRPr="00511A0B">
              <w:t xml:space="preserve"> include all func</w:t>
            </w:r>
            <w:r w:rsidR="00464C5C">
              <w:t>tionality necessary to assign Special Hearings</w:t>
            </w:r>
            <w:r w:rsidR="00464C5C" w:rsidRPr="00511A0B">
              <w:t xml:space="preserve"> appeals to a docket</w:t>
            </w:r>
            <w:r w:rsidR="00464C5C">
              <w:t>.</w:t>
            </w:r>
          </w:p>
        </w:tc>
        <w:tc>
          <w:tcPr>
            <w:tcW w:w="2340" w:type="dxa"/>
          </w:tcPr>
          <w:p w14:paraId="794F0DAB" w14:textId="4E3243B8" w:rsidR="00464C5C" w:rsidRDefault="006D43BC" w:rsidP="00464C5C">
            <w:pPr>
              <w:pStyle w:val="Normal-Table"/>
            </w:pPr>
            <w:hyperlink w:anchor="_A6.5_Special_Hearings" w:history="1">
              <w:r w:rsidR="00464C5C" w:rsidRPr="00DA4BCA">
                <w:rPr>
                  <w:rStyle w:val="Hyperlink"/>
                </w:rPr>
                <w:t xml:space="preserve">Attachment </w:t>
              </w:r>
              <w:r w:rsidR="00464C5C" w:rsidRPr="00892610">
                <w:rPr>
                  <w:rStyle w:val="Hyperlink"/>
                </w:rPr>
                <w:t>A6.5</w:t>
              </w:r>
            </w:hyperlink>
          </w:p>
        </w:tc>
      </w:tr>
      <w:tr w:rsidR="00464C5C" w:rsidRPr="00CE4250" w14:paraId="3F917B89" w14:textId="68CC5A4C" w:rsidTr="00521F67">
        <w:tc>
          <w:tcPr>
            <w:tcW w:w="1165" w:type="dxa"/>
          </w:tcPr>
          <w:p w14:paraId="7D4FB296" w14:textId="021CCA8E" w:rsidR="00464C5C" w:rsidRDefault="00464C5C" w:rsidP="00464C5C">
            <w:pPr>
              <w:pStyle w:val="Normal-Table"/>
            </w:pPr>
            <w:r>
              <w:t>SH-10</w:t>
            </w:r>
          </w:p>
        </w:tc>
        <w:tc>
          <w:tcPr>
            <w:tcW w:w="10890" w:type="dxa"/>
          </w:tcPr>
          <w:p w14:paraId="75830CDD" w14:textId="61FCDFC2" w:rsidR="00464C5C" w:rsidRDefault="00C92570" w:rsidP="00464C5C">
            <w:pPr>
              <w:pStyle w:val="Normal-Table"/>
            </w:pPr>
            <w:r>
              <w:t>The System must</w:t>
            </w:r>
            <w:r w:rsidR="00464C5C" w:rsidRPr="00511A0B">
              <w:t xml:space="preserve"> include all functionality necessary to issue a decision</w:t>
            </w:r>
            <w:r w:rsidR="00464C5C">
              <w:t>.</w:t>
            </w:r>
          </w:p>
        </w:tc>
        <w:tc>
          <w:tcPr>
            <w:tcW w:w="2340" w:type="dxa"/>
          </w:tcPr>
          <w:p w14:paraId="02B0F526" w14:textId="660F6DEE" w:rsidR="00464C5C" w:rsidRDefault="006D43BC" w:rsidP="00464C5C">
            <w:pPr>
              <w:pStyle w:val="Normal-Table"/>
            </w:pPr>
            <w:hyperlink w:anchor="_A6.5_Special_Hearings" w:history="1">
              <w:r w:rsidR="00464C5C" w:rsidRPr="00DA4BCA">
                <w:rPr>
                  <w:rStyle w:val="Hyperlink"/>
                </w:rPr>
                <w:t xml:space="preserve">Attachment </w:t>
              </w:r>
              <w:r w:rsidR="00464C5C" w:rsidRPr="00892610">
                <w:rPr>
                  <w:rStyle w:val="Hyperlink"/>
                </w:rPr>
                <w:t>A6.5</w:t>
              </w:r>
            </w:hyperlink>
          </w:p>
        </w:tc>
      </w:tr>
      <w:tr w:rsidR="00464C5C" w:rsidRPr="00CE4250" w14:paraId="0154B2FE" w14:textId="59B9569F" w:rsidTr="00521F67">
        <w:tc>
          <w:tcPr>
            <w:tcW w:w="1165" w:type="dxa"/>
          </w:tcPr>
          <w:p w14:paraId="468A9872" w14:textId="1E7AA21D" w:rsidR="00464C5C" w:rsidRDefault="00464C5C" w:rsidP="00464C5C">
            <w:pPr>
              <w:pStyle w:val="Normal-Table"/>
            </w:pPr>
            <w:r>
              <w:t>SH-11</w:t>
            </w:r>
          </w:p>
        </w:tc>
        <w:tc>
          <w:tcPr>
            <w:tcW w:w="10890" w:type="dxa"/>
          </w:tcPr>
          <w:p w14:paraId="4E0718F1" w14:textId="26957749" w:rsidR="00464C5C" w:rsidRDefault="00C92570" w:rsidP="00464C5C">
            <w:pPr>
              <w:pStyle w:val="Normal-Table"/>
            </w:pPr>
            <w:r>
              <w:t>The System must</w:t>
            </w:r>
            <w:r w:rsidR="00464C5C" w:rsidRPr="00511A0B">
              <w:t xml:space="preserve"> include all functionality necessary to record a </w:t>
            </w:r>
            <w:r w:rsidR="00464C5C">
              <w:t>decision.</w:t>
            </w:r>
          </w:p>
        </w:tc>
        <w:tc>
          <w:tcPr>
            <w:tcW w:w="2340" w:type="dxa"/>
          </w:tcPr>
          <w:p w14:paraId="363CE4DC" w14:textId="5D6A3D5F" w:rsidR="00464C5C" w:rsidRDefault="006D43BC" w:rsidP="00464C5C">
            <w:pPr>
              <w:pStyle w:val="Normal-Table"/>
            </w:pPr>
            <w:hyperlink w:anchor="_A6.5_Special_Hearings" w:history="1">
              <w:r w:rsidR="00464C5C" w:rsidRPr="00DA4BCA">
                <w:rPr>
                  <w:rStyle w:val="Hyperlink"/>
                </w:rPr>
                <w:t xml:space="preserve">Attachment </w:t>
              </w:r>
              <w:r w:rsidR="00464C5C" w:rsidRPr="00892610">
                <w:rPr>
                  <w:rStyle w:val="Hyperlink"/>
                </w:rPr>
                <w:t>A6.5</w:t>
              </w:r>
            </w:hyperlink>
          </w:p>
        </w:tc>
      </w:tr>
      <w:tr w:rsidR="00464C5C" w:rsidRPr="00CE4250" w14:paraId="7E50EEE6" w14:textId="5924A742" w:rsidTr="00521F67">
        <w:tc>
          <w:tcPr>
            <w:tcW w:w="1165" w:type="dxa"/>
          </w:tcPr>
          <w:p w14:paraId="6A5E8BB7" w14:textId="50E3907D" w:rsidR="00464C5C" w:rsidRDefault="00464C5C" w:rsidP="00464C5C">
            <w:pPr>
              <w:pStyle w:val="Normal-Table"/>
            </w:pPr>
            <w:r>
              <w:t>SH-12</w:t>
            </w:r>
          </w:p>
        </w:tc>
        <w:tc>
          <w:tcPr>
            <w:tcW w:w="10890" w:type="dxa"/>
          </w:tcPr>
          <w:p w14:paraId="4822E8FC" w14:textId="34454DA4" w:rsidR="00464C5C" w:rsidRDefault="00C92570" w:rsidP="00464C5C">
            <w:pPr>
              <w:pStyle w:val="Normal-Table"/>
            </w:pPr>
            <w:r>
              <w:t>The System must</w:t>
            </w:r>
            <w:r w:rsidR="00464C5C" w:rsidRPr="000C6D75">
              <w:t xml:space="preserve"> include all functionality necessary to respond to inquiries</w:t>
            </w:r>
            <w:r w:rsidR="00464C5C">
              <w:t>.</w:t>
            </w:r>
          </w:p>
        </w:tc>
        <w:tc>
          <w:tcPr>
            <w:tcW w:w="2340" w:type="dxa"/>
          </w:tcPr>
          <w:p w14:paraId="6E3178EC" w14:textId="0DD57C16" w:rsidR="00464C5C" w:rsidRDefault="006D43BC" w:rsidP="00464C5C">
            <w:pPr>
              <w:pStyle w:val="Normal-Table"/>
            </w:pPr>
            <w:hyperlink w:anchor="_A6.5_Special_Hearings" w:history="1">
              <w:r w:rsidR="00464C5C" w:rsidRPr="00DA4BCA">
                <w:rPr>
                  <w:rStyle w:val="Hyperlink"/>
                </w:rPr>
                <w:t xml:space="preserve">Attachment </w:t>
              </w:r>
              <w:r w:rsidR="00464C5C" w:rsidRPr="00892610">
                <w:rPr>
                  <w:rStyle w:val="Hyperlink"/>
                </w:rPr>
                <w:t>A6.5</w:t>
              </w:r>
            </w:hyperlink>
          </w:p>
        </w:tc>
      </w:tr>
      <w:tr w:rsidR="00464C5C" w:rsidRPr="00CE4250" w14:paraId="4431FC0A" w14:textId="7AF8EFCA" w:rsidTr="00521F67">
        <w:tc>
          <w:tcPr>
            <w:tcW w:w="1165" w:type="dxa"/>
          </w:tcPr>
          <w:p w14:paraId="2A92F215" w14:textId="1CA91765" w:rsidR="00464C5C" w:rsidRDefault="00464C5C" w:rsidP="00464C5C">
            <w:pPr>
              <w:pStyle w:val="Normal-Table"/>
            </w:pPr>
            <w:r>
              <w:t>SH-13</w:t>
            </w:r>
          </w:p>
        </w:tc>
        <w:tc>
          <w:tcPr>
            <w:tcW w:w="10890" w:type="dxa"/>
          </w:tcPr>
          <w:p w14:paraId="625DD144" w14:textId="69F773A2" w:rsidR="00464C5C" w:rsidRDefault="00C92570" w:rsidP="00464C5C">
            <w:pPr>
              <w:pStyle w:val="Normal-Table"/>
            </w:pPr>
            <w:r>
              <w:t>The System must</w:t>
            </w:r>
            <w:r w:rsidR="00464C5C" w:rsidRPr="000C6D75">
              <w:t xml:space="preserve"> include all functionality necessary to generate and transmit reports</w:t>
            </w:r>
            <w:r w:rsidR="00464C5C">
              <w:t>.</w:t>
            </w:r>
          </w:p>
        </w:tc>
        <w:tc>
          <w:tcPr>
            <w:tcW w:w="2340" w:type="dxa"/>
          </w:tcPr>
          <w:p w14:paraId="3B14148A" w14:textId="3358911E" w:rsidR="00464C5C" w:rsidRDefault="006D43BC" w:rsidP="00464C5C">
            <w:pPr>
              <w:pStyle w:val="Normal-Table"/>
            </w:pPr>
            <w:hyperlink w:anchor="_A6.5_Special_Hearings" w:history="1">
              <w:r w:rsidR="00464C5C" w:rsidRPr="00DA4BCA">
                <w:rPr>
                  <w:rStyle w:val="Hyperlink"/>
                </w:rPr>
                <w:t xml:space="preserve">Attachment </w:t>
              </w:r>
              <w:r w:rsidR="00464C5C" w:rsidRPr="00892610">
                <w:rPr>
                  <w:rStyle w:val="Hyperlink"/>
                </w:rPr>
                <w:t>A6.5</w:t>
              </w:r>
            </w:hyperlink>
          </w:p>
        </w:tc>
      </w:tr>
      <w:tr w:rsidR="00464C5C" w:rsidRPr="00CE4250" w14:paraId="5FE8C3B8" w14:textId="0C64CB3A" w:rsidTr="00521F67">
        <w:tc>
          <w:tcPr>
            <w:tcW w:w="1165" w:type="dxa"/>
          </w:tcPr>
          <w:p w14:paraId="08365E52" w14:textId="34EF8813" w:rsidR="00464C5C" w:rsidRDefault="00464C5C" w:rsidP="00464C5C">
            <w:pPr>
              <w:pStyle w:val="Normal-Table"/>
            </w:pPr>
            <w:r>
              <w:t>RID-1</w:t>
            </w:r>
          </w:p>
        </w:tc>
        <w:tc>
          <w:tcPr>
            <w:tcW w:w="10890" w:type="dxa"/>
          </w:tcPr>
          <w:p w14:paraId="28CD1D46" w14:textId="5800FC16" w:rsidR="00464C5C" w:rsidRDefault="00C92570" w:rsidP="00464C5C">
            <w:pPr>
              <w:pStyle w:val="Normal-Table"/>
            </w:pPr>
            <w:r>
              <w:t>The System must</w:t>
            </w:r>
            <w:r w:rsidR="00464C5C" w:rsidRPr="00511A0B">
              <w:t xml:space="preserve"> include all functionality necessary to </w:t>
            </w:r>
            <w:r w:rsidR="00464C5C">
              <w:t>prevent and detect fraud.</w:t>
            </w:r>
          </w:p>
        </w:tc>
        <w:tc>
          <w:tcPr>
            <w:tcW w:w="2340" w:type="dxa"/>
          </w:tcPr>
          <w:p w14:paraId="11D5226D" w14:textId="29866746" w:rsidR="00464C5C" w:rsidRDefault="006D43BC" w:rsidP="00464C5C">
            <w:pPr>
              <w:pStyle w:val="Normal-Table"/>
            </w:pPr>
            <w:hyperlink w:anchor="_A6.6_Regulatory_Integrity" w:history="1">
              <w:r w:rsidR="00DD694D" w:rsidRPr="00DA4BCA">
                <w:rPr>
                  <w:rStyle w:val="Hyperlink"/>
                </w:rPr>
                <w:t xml:space="preserve">Attachment </w:t>
              </w:r>
              <w:r w:rsidR="00DD694D" w:rsidRPr="00892610">
                <w:rPr>
                  <w:rStyle w:val="Hyperlink"/>
                </w:rPr>
                <w:t>A6.</w:t>
              </w:r>
              <w:r w:rsidR="00DD694D">
                <w:rPr>
                  <w:rStyle w:val="Hyperlink"/>
                </w:rPr>
                <w:t>6</w:t>
              </w:r>
            </w:hyperlink>
          </w:p>
        </w:tc>
      </w:tr>
      <w:tr w:rsidR="00DD694D" w:rsidRPr="00CE4250" w14:paraId="0BBD13D4" w14:textId="38966579" w:rsidTr="00521F67">
        <w:tc>
          <w:tcPr>
            <w:tcW w:w="1165" w:type="dxa"/>
          </w:tcPr>
          <w:p w14:paraId="0CB5704D" w14:textId="7CB2020C" w:rsidR="00DD694D" w:rsidRDefault="00DD694D" w:rsidP="00DD694D">
            <w:pPr>
              <w:pStyle w:val="Normal-Table"/>
            </w:pPr>
            <w:r>
              <w:t>RID-2</w:t>
            </w:r>
          </w:p>
        </w:tc>
        <w:tc>
          <w:tcPr>
            <w:tcW w:w="10890" w:type="dxa"/>
          </w:tcPr>
          <w:p w14:paraId="27A1F83D" w14:textId="229F0F97" w:rsidR="00DD694D" w:rsidRDefault="00C92570" w:rsidP="00DD694D">
            <w:pPr>
              <w:pStyle w:val="Normal-Table"/>
            </w:pPr>
            <w:r>
              <w:t>The System must</w:t>
            </w:r>
            <w:r w:rsidR="00DD694D" w:rsidRPr="00511A0B">
              <w:t xml:space="preserve"> include all functionality necessary to </w:t>
            </w:r>
            <w:r w:rsidR="00DD694D">
              <w:t>investigate high risk activity and fraud.</w:t>
            </w:r>
          </w:p>
        </w:tc>
        <w:tc>
          <w:tcPr>
            <w:tcW w:w="2340" w:type="dxa"/>
          </w:tcPr>
          <w:p w14:paraId="7CBF9D6F" w14:textId="4B3D5B57" w:rsidR="00DD694D" w:rsidRDefault="006D43BC" w:rsidP="00DD694D">
            <w:pPr>
              <w:pStyle w:val="Normal-Table"/>
            </w:pPr>
            <w:hyperlink w:anchor="_A6.6_Regulatory_Integrity" w:history="1">
              <w:r w:rsidR="00DD694D" w:rsidRPr="00DA4BCA">
                <w:rPr>
                  <w:rStyle w:val="Hyperlink"/>
                </w:rPr>
                <w:t xml:space="preserve">Attachment </w:t>
              </w:r>
              <w:r w:rsidR="00DD694D" w:rsidRPr="00892610">
                <w:rPr>
                  <w:rStyle w:val="Hyperlink"/>
                </w:rPr>
                <w:t>A6.</w:t>
              </w:r>
              <w:r w:rsidR="00DD694D">
                <w:rPr>
                  <w:rStyle w:val="Hyperlink"/>
                </w:rPr>
                <w:t>6</w:t>
              </w:r>
            </w:hyperlink>
          </w:p>
        </w:tc>
      </w:tr>
      <w:tr w:rsidR="00DD694D" w:rsidRPr="00CE4250" w14:paraId="41301444" w14:textId="5E079A4B" w:rsidTr="00521F67">
        <w:tc>
          <w:tcPr>
            <w:tcW w:w="1165" w:type="dxa"/>
          </w:tcPr>
          <w:p w14:paraId="7F9EEA4F" w14:textId="03C063C9" w:rsidR="00DD694D" w:rsidRDefault="00DD694D" w:rsidP="00DD694D">
            <w:pPr>
              <w:pStyle w:val="Normal-Table"/>
            </w:pPr>
            <w:r>
              <w:t>RID-3</w:t>
            </w:r>
          </w:p>
        </w:tc>
        <w:tc>
          <w:tcPr>
            <w:tcW w:w="10890" w:type="dxa"/>
          </w:tcPr>
          <w:p w14:paraId="0E8FE425" w14:textId="0C599B7F" w:rsidR="00DD694D" w:rsidRDefault="00C92570" w:rsidP="00DD694D">
            <w:pPr>
              <w:pStyle w:val="Normal-Table"/>
            </w:pPr>
            <w:r>
              <w:t>The System must</w:t>
            </w:r>
            <w:r w:rsidR="00DD694D" w:rsidRPr="00511A0B">
              <w:t xml:space="preserve"> include all functionality necessary to </w:t>
            </w:r>
            <w:r w:rsidR="00DD694D">
              <w:t>investigate, prepare, and refer cases for criminal prosecution.</w:t>
            </w:r>
          </w:p>
        </w:tc>
        <w:tc>
          <w:tcPr>
            <w:tcW w:w="2340" w:type="dxa"/>
          </w:tcPr>
          <w:p w14:paraId="64B70988" w14:textId="34C0ACE5" w:rsidR="00DD694D" w:rsidRDefault="006D43BC" w:rsidP="00DD694D">
            <w:pPr>
              <w:pStyle w:val="Normal-Table"/>
            </w:pPr>
            <w:hyperlink w:anchor="_A6.6_Regulatory_Integrity" w:history="1">
              <w:r w:rsidR="00DD694D" w:rsidRPr="00DA4BCA">
                <w:rPr>
                  <w:rStyle w:val="Hyperlink"/>
                </w:rPr>
                <w:t xml:space="preserve">Attachment </w:t>
              </w:r>
              <w:r w:rsidR="00DD694D" w:rsidRPr="00892610">
                <w:rPr>
                  <w:rStyle w:val="Hyperlink"/>
                </w:rPr>
                <w:t>A6.</w:t>
              </w:r>
              <w:r w:rsidR="00DD694D">
                <w:rPr>
                  <w:rStyle w:val="Hyperlink"/>
                </w:rPr>
                <w:t>6</w:t>
              </w:r>
            </w:hyperlink>
          </w:p>
        </w:tc>
      </w:tr>
      <w:tr w:rsidR="00DD694D" w:rsidRPr="00CE4250" w14:paraId="6C485D4B" w14:textId="5CF5A1E3" w:rsidTr="00521F67">
        <w:tc>
          <w:tcPr>
            <w:tcW w:w="1165" w:type="dxa"/>
          </w:tcPr>
          <w:p w14:paraId="029339C2" w14:textId="3F01949A" w:rsidR="00DD694D" w:rsidRDefault="00DD694D" w:rsidP="00DD694D">
            <w:pPr>
              <w:pStyle w:val="Normal-Table"/>
            </w:pPr>
            <w:r>
              <w:t>RID-4</w:t>
            </w:r>
          </w:p>
        </w:tc>
        <w:tc>
          <w:tcPr>
            <w:tcW w:w="10890" w:type="dxa"/>
          </w:tcPr>
          <w:p w14:paraId="651B884A" w14:textId="69CAA31E" w:rsidR="00DD694D" w:rsidRDefault="00C92570" w:rsidP="00DD694D">
            <w:pPr>
              <w:pStyle w:val="Normal-Table"/>
            </w:pPr>
            <w:r>
              <w:t>The System must</w:t>
            </w:r>
            <w:r w:rsidR="00DD694D" w:rsidRPr="00511A0B">
              <w:t xml:space="preserve"> include all functionality necessary to </w:t>
            </w:r>
            <w:r w:rsidR="00DD694D">
              <w:t>collect taxes, penalties, interest, and other related Employer charges and fees.</w:t>
            </w:r>
          </w:p>
        </w:tc>
        <w:tc>
          <w:tcPr>
            <w:tcW w:w="2340" w:type="dxa"/>
          </w:tcPr>
          <w:p w14:paraId="5650687D" w14:textId="783FE06D" w:rsidR="00DD694D" w:rsidRDefault="006D43BC" w:rsidP="00DD694D">
            <w:pPr>
              <w:pStyle w:val="Normal-Table"/>
            </w:pPr>
            <w:hyperlink w:anchor="_A6.6_Regulatory_Integrity" w:history="1">
              <w:r w:rsidR="00DD694D" w:rsidRPr="00DA4BCA">
                <w:rPr>
                  <w:rStyle w:val="Hyperlink"/>
                </w:rPr>
                <w:t xml:space="preserve">Attachment </w:t>
              </w:r>
              <w:r w:rsidR="00DD694D" w:rsidRPr="00892610">
                <w:rPr>
                  <w:rStyle w:val="Hyperlink"/>
                </w:rPr>
                <w:t>A6.</w:t>
              </w:r>
              <w:r w:rsidR="00DD694D">
                <w:rPr>
                  <w:rStyle w:val="Hyperlink"/>
                </w:rPr>
                <w:t>6</w:t>
              </w:r>
            </w:hyperlink>
          </w:p>
        </w:tc>
      </w:tr>
      <w:tr w:rsidR="00DD694D" w:rsidRPr="00CE4250" w14:paraId="38B1778A" w14:textId="65C57A3F" w:rsidTr="00521F67">
        <w:tc>
          <w:tcPr>
            <w:tcW w:w="1165" w:type="dxa"/>
          </w:tcPr>
          <w:p w14:paraId="152E2F5E" w14:textId="4FA34FAF" w:rsidR="00DD694D" w:rsidRDefault="00DD694D" w:rsidP="00DD694D">
            <w:pPr>
              <w:pStyle w:val="Normal-Table"/>
            </w:pPr>
            <w:r>
              <w:t>RID-5</w:t>
            </w:r>
          </w:p>
        </w:tc>
        <w:tc>
          <w:tcPr>
            <w:tcW w:w="10890" w:type="dxa"/>
          </w:tcPr>
          <w:p w14:paraId="27DBDCC7" w14:textId="3B80F875" w:rsidR="00DD694D" w:rsidRDefault="00C92570" w:rsidP="00DD694D">
            <w:pPr>
              <w:pStyle w:val="Normal-Table"/>
            </w:pPr>
            <w:r>
              <w:t>The System must</w:t>
            </w:r>
            <w:r w:rsidR="00DD694D" w:rsidRPr="00511A0B">
              <w:t xml:space="preserve"> include all functionality necessary to </w:t>
            </w:r>
            <w:r w:rsidR="00DD694D">
              <w:t>collect benefits overpayments.</w:t>
            </w:r>
          </w:p>
        </w:tc>
        <w:tc>
          <w:tcPr>
            <w:tcW w:w="2340" w:type="dxa"/>
          </w:tcPr>
          <w:p w14:paraId="63EF9FDF" w14:textId="60C526B8" w:rsidR="00DD694D" w:rsidRDefault="006D43BC" w:rsidP="00DD694D">
            <w:pPr>
              <w:pStyle w:val="Normal-Table"/>
            </w:pPr>
            <w:hyperlink w:anchor="_A6.6_Regulatory_Integrity" w:history="1">
              <w:r w:rsidR="00DD694D" w:rsidRPr="00DA4BCA">
                <w:rPr>
                  <w:rStyle w:val="Hyperlink"/>
                </w:rPr>
                <w:t xml:space="preserve">Attachment </w:t>
              </w:r>
              <w:r w:rsidR="00DD694D" w:rsidRPr="00892610">
                <w:rPr>
                  <w:rStyle w:val="Hyperlink"/>
                </w:rPr>
                <w:t>A6.</w:t>
              </w:r>
              <w:r w:rsidR="00DD694D">
                <w:rPr>
                  <w:rStyle w:val="Hyperlink"/>
                </w:rPr>
                <w:t>6</w:t>
              </w:r>
            </w:hyperlink>
          </w:p>
        </w:tc>
      </w:tr>
      <w:tr w:rsidR="00DD694D" w:rsidRPr="00CE4250" w14:paraId="6698A565" w14:textId="7AD517CF" w:rsidTr="00521F67">
        <w:tc>
          <w:tcPr>
            <w:tcW w:w="1165" w:type="dxa"/>
          </w:tcPr>
          <w:p w14:paraId="744B8D4E" w14:textId="77777777" w:rsidR="00DD694D" w:rsidRDefault="00DD694D" w:rsidP="00DD694D">
            <w:pPr>
              <w:pStyle w:val="Normal-Table"/>
            </w:pPr>
            <w:r>
              <w:t>RID-6</w:t>
            </w:r>
          </w:p>
        </w:tc>
        <w:tc>
          <w:tcPr>
            <w:tcW w:w="10890" w:type="dxa"/>
          </w:tcPr>
          <w:p w14:paraId="1178E93E" w14:textId="6E7DC27F" w:rsidR="00DD694D" w:rsidRDefault="00C92570" w:rsidP="00DD694D">
            <w:pPr>
              <w:pStyle w:val="Normal-Table"/>
            </w:pPr>
            <w:r>
              <w:t>The System must</w:t>
            </w:r>
            <w:r w:rsidR="00DD694D" w:rsidRPr="00511A0B">
              <w:t xml:space="preserve"> include all functionality necessary to </w:t>
            </w:r>
            <w:r w:rsidR="00DD694D">
              <w:t>perform interstate reciprocal requests for overpaid benefits.</w:t>
            </w:r>
          </w:p>
        </w:tc>
        <w:tc>
          <w:tcPr>
            <w:tcW w:w="2340" w:type="dxa"/>
          </w:tcPr>
          <w:p w14:paraId="5BFF4C52" w14:textId="0864F436" w:rsidR="00DD694D" w:rsidRDefault="006D43BC" w:rsidP="00DD694D">
            <w:pPr>
              <w:pStyle w:val="Normal-Table"/>
            </w:pPr>
            <w:hyperlink w:anchor="_A6.6_Regulatory_Integrity" w:history="1">
              <w:r w:rsidR="00DD694D" w:rsidRPr="00DA4BCA">
                <w:rPr>
                  <w:rStyle w:val="Hyperlink"/>
                </w:rPr>
                <w:t xml:space="preserve">Attachment </w:t>
              </w:r>
              <w:r w:rsidR="00DD694D" w:rsidRPr="00892610">
                <w:rPr>
                  <w:rStyle w:val="Hyperlink"/>
                </w:rPr>
                <w:t>A6.</w:t>
              </w:r>
              <w:r w:rsidR="00DD694D">
                <w:rPr>
                  <w:rStyle w:val="Hyperlink"/>
                </w:rPr>
                <w:t>6</w:t>
              </w:r>
            </w:hyperlink>
          </w:p>
        </w:tc>
      </w:tr>
      <w:tr w:rsidR="00DD694D" w:rsidRPr="00CE4250" w14:paraId="4931851C" w14:textId="6C1FC3D2" w:rsidTr="00521F67">
        <w:tc>
          <w:tcPr>
            <w:tcW w:w="1165" w:type="dxa"/>
          </w:tcPr>
          <w:p w14:paraId="2227B871" w14:textId="6315184B" w:rsidR="00DD694D" w:rsidRDefault="00DD694D" w:rsidP="00DD694D">
            <w:pPr>
              <w:pStyle w:val="Normal-Table"/>
            </w:pPr>
            <w:r>
              <w:lastRenderedPageBreak/>
              <w:t>RID-7</w:t>
            </w:r>
          </w:p>
        </w:tc>
        <w:tc>
          <w:tcPr>
            <w:tcW w:w="10890" w:type="dxa"/>
          </w:tcPr>
          <w:p w14:paraId="68DB895C" w14:textId="64B48404" w:rsidR="00DD694D" w:rsidRDefault="00C92570" w:rsidP="00DD694D">
            <w:pPr>
              <w:pStyle w:val="Normal-Table"/>
            </w:pPr>
            <w:r>
              <w:t>The System must</w:t>
            </w:r>
            <w:r w:rsidR="00DD694D" w:rsidRPr="00511A0B">
              <w:t xml:space="preserve"> include all functionality necessary to </w:t>
            </w:r>
            <w:r w:rsidR="00DD694D">
              <w:t>perform federally mandated audits on the UI program (UI Benefits, UI Tax, and Data Validation).</w:t>
            </w:r>
          </w:p>
        </w:tc>
        <w:tc>
          <w:tcPr>
            <w:tcW w:w="2340" w:type="dxa"/>
          </w:tcPr>
          <w:p w14:paraId="19A84DEC" w14:textId="7EB5DF08" w:rsidR="00DD694D" w:rsidRDefault="006D43BC" w:rsidP="00DD694D">
            <w:pPr>
              <w:pStyle w:val="Normal-Table"/>
            </w:pPr>
            <w:hyperlink w:anchor="_A6.6_Regulatory_Integrity" w:history="1">
              <w:r w:rsidR="00DD694D" w:rsidRPr="00DA4BCA">
                <w:rPr>
                  <w:rStyle w:val="Hyperlink"/>
                </w:rPr>
                <w:t xml:space="preserve">Attachment </w:t>
              </w:r>
              <w:r w:rsidR="00DD694D" w:rsidRPr="00892610">
                <w:rPr>
                  <w:rStyle w:val="Hyperlink"/>
                </w:rPr>
                <w:t>A6.</w:t>
              </w:r>
              <w:r w:rsidR="00DD694D">
                <w:rPr>
                  <w:rStyle w:val="Hyperlink"/>
                </w:rPr>
                <w:t>6</w:t>
              </w:r>
            </w:hyperlink>
          </w:p>
        </w:tc>
      </w:tr>
      <w:tr w:rsidR="00DD694D" w:rsidRPr="00CE4250" w14:paraId="1818BEFF" w14:textId="68C2094F" w:rsidTr="00521F67">
        <w:tc>
          <w:tcPr>
            <w:tcW w:w="1165" w:type="dxa"/>
          </w:tcPr>
          <w:p w14:paraId="72412AA0" w14:textId="3FBD6C8A" w:rsidR="00DD694D" w:rsidRDefault="00DD694D" w:rsidP="00DD694D">
            <w:pPr>
              <w:pStyle w:val="Normal-Table"/>
            </w:pPr>
            <w:r>
              <w:t>RTM-1</w:t>
            </w:r>
          </w:p>
        </w:tc>
        <w:tc>
          <w:tcPr>
            <w:tcW w:w="10890" w:type="dxa"/>
          </w:tcPr>
          <w:p w14:paraId="490D2387" w14:textId="36263583" w:rsidR="00DD694D" w:rsidRDefault="00C92570" w:rsidP="00DD694D">
            <w:pPr>
              <w:pStyle w:val="Normal-Table"/>
            </w:pPr>
            <w:r>
              <w:t>The System must</w:t>
            </w:r>
            <w:r w:rsidR="00DD694D" w:rsidRPr="00847A4F">
              <w:t xml:space="preserve"> include all functionality necessary to perform reconciliations</w:t>
            </w:r>
            <w:r w:rsidR="00DD694D">
              <w:t>.</w:t>
            </w:r>
          </w:p>
        </w:tc>
        <w:tc>
          <w:tcPr>
            <w:tcW w:w="2340" w:type="dxa"/>
          </w:tcPr>
          <w:p w14:paraId="76EC0CD7" w14:textId="4DDFDD9A" w:rsidR="00DD694D" w:rsidRPr="00847A4F" w:rsidRDefault="006D43BC" w:rsidP="00DD694D">
            <w:pPr>
              <w:pStyle w:val="Normal-Table"/>
            </w:pPr>
            <w:hyperlink w:anchor="_A6.7_Revenue_and" w:history="1">
              <w:r w:rsidR="00DD694D" w:rsidRPr="00DA4BCA">
                <w:rPr>
                  <w:rStyle w:val="Hyperlink"/>
                </w:rPr>
                <w:t xml:space="preserve">Attachment </w:t>
              </w:r>
              <w:r w:rsidR="00DD694D" w:rsidRPr="00892610">
                <w:rPr>
                  <w:rStyle w:val="Hyperlink"/>
                </w:rPr>
                <w:t>A6.</w:t>
              </w:r>
              <w:r w:rsidR="00DD694D">
                <w:rPr>
                  <w:rStyle w:val="Hyperlink"/>
                </w:rPr>
                <w:t>7</w:t>
              </w:r>
            </w:hyperlink>
          </w:p>
        </w:tc>
      </w:tr>
      <w:tr w:rsidR="00DD694D" w:rsidRPr="00CE4250" w14:paraId="48E163A3" w14:textId="58B57895" w:rsidTr="00521F67">
        <w:tc>
          <w:tcPr>
            <w:tcW w:w="1165" w:type="dxa"/>
          </w:tcPr>
          <w:p w14:paraId="70BF37A5" w14:textId="29E64F59" w:rsidR="00DD694D" w:rsidRDefault="00DD694D" w:rsidP="00DD694D">
            <w:pPr>
              <w:pStyle w:val="Normal-Table"/>
            </w:pPr>
            <w:r>
              <w:t>RTM-2</w:t>
            </w:r>
          </w:p>
        </w:tc>
        <w:tc>
          <w:tcPr>
            <w:tcW w:w="10890" w:type="dxa"/>
          </w:tcPr>
          <w:p w14:paraId="72C69F7D" w14:textId="78776B40" w:rsidR="00DD694D" w:rsidRDefault="00C92570" w:rsidP="00DD694D">
            <w:pPr>
              <w:pStyle w:val="Normal-Table"/>
            </w:pPr>
            <w:r>
              <w:t>The System must</w:t>
            </w:r>
            <w:r w:rsidR="00DD694D" w:rsidRPr="00847A4F">
              <w:t xml:space="preserve"> include all functionality necessary to process criminal court ordered restitutions</w:t>
            </w:r>
            <w:r w:rsidR="00DD694D">
              <w:t>.</w:t>
            </w:r>
          </w:p>
        </w:tc>
        <w:tc>
          <w:tcPr>
            <w:tcW w:w="2340" w:type="dxa"/>
          </w:tcPr>
          <w:p w14:paraId="44DFDC4C" w14:textId="2F0249E2" w:rsidR="00DD694D" w:rsidRPr="00847A4F" w:rsidRDefault="006D43BC" w:rsidP="00DD694D">
            <w:pPr>
              <w:pStyle w:val="Normal-Table"/>
            </w:pPr>
            <w:hyperlink w:anchor="_A6.7_Revenue_and" w:history="1">
              <w:r w:rsidR="00DD694D" w:rsidRPr="00DA4BCA">
                <w:rPr>
                  <w:rStyle w:val="Hyperlink"/>
                </w:rPr>
                <w:t xml:space="preserve">Attachment </w:t>
              </w:r>
              <w:r w:rsidR="00DD694D" w:rsidRPr="00892610">
                <w:rPr>
                  <w:rStyle w:val="Hyperlink"/>
                </w:rPr>
                <w:t>A6.</w:t>
              </w:r>
              <w:r w:rsidR="00DD694D">
                <w:rPr>
                  <w:rStyle w:val="Hyperlink"/>
                </w:rPr>
                <w:t>7</w:t>
              </w:r>
            </w:hyperlink>
          </w:p>
        </w:tc>
      </w:tr>
      <w:tr w:rsidR="00DD694D" w:rsidRPr="00CE4250" w14:paraId="1DDC9AAF" w14:textId="5B13263A" w:rsidTr="00521F67">
        <w:tc>
          <w:tcPr>
            <w:tcW w:w="1165" w:type="dxa"/>
          </w:tcPr>
          <w:p w14:paraId="0EBB22A5" w14:textId="28C0C59E" w:rsidR="00DD694D" w:rsidRDefault="00DD694D" w:rsidP="00DD694D">
            <w:pPr>
              <w:pStyle w:val="Normal-Table"/>
            </w:pPr>
            <w:r>
              <w:t>RTM-3</w:t>
            </w:r>
          </w:p>
        </w:tc>
        <w:tc>
          <w:tcPr>
            <w:tcW w:w="10890" w:type="dxa"/>
          </w:tcPr>
          <w:p w14:paraId="3C2CCDB6" w14:textId="75E27062" w:rsidR="00DD694D" w:rsidRDefault="00C92570" w:rsidP="00DD694D">
            <w:pPr>
              <w:pStyle w:val="Normal-Table"/>
            </w:pPr>
            <w:r>
              <w:t>The System must</w:t>
            </w:r>
            <w:r w:rsidR="00DD694D" w:rsidRPr="00847A4F">
              <w:t xml:space="preserve"> include all functionality necessary to issue refunds</w:t>
            </w:r>
            <w:r w:rsidR="00DD694D">
              <w:t>.</w:t>
            </w:r>
          </w:p>
        </w:tc>
        <w:tc>
          <w:tcPr>
            <w:tcW w:w="2340" w:type="dxa"/>
          </w:tcPr>
          <w:p w14:paraId="08AE5804" w14:textId="3884A120" w:rsidR="00DD694D" w:rsidRPr="00847A4F" w:rsidRDefault="006D43BC" w:rsidP="00DD694D">
            <w:pPr>
              <w:pStyle w:val="Normal-Table"/>
            </w:pPr>
            <w:hyperlink w:anchor="_A6.7_Revenue_and" w:history="1">
              <w:r w:rsidR="00DD694D" w:rsidRPr="00DA4BCA">
                <w:rPr>
                  <w:rStyle w:val="Hyperlink"/>
                </w:rPr>
                <w:t xml:space="preserve">Attachment </w:t>
              </w:r>
              <w:r w:rsidR="00DD694D" w:rsidRPr="00892610">
                <w:rPr>
                  <w:rStyle w:val="Hyperlink"/>
                </w:rPr>
                <w:t>A6.</w:t>
              </w:r>
              <w:r w:rsidR="00DD694D">
                <w:rPr>
                  <w:rStyle w:val="Hyperlink"/>
                </w:rPr>
                <w:t>7</w:t>
              </w:r>
            </w:hyperlink>
          </w:p>
        </w:tc>
      </w:tr>
      <w:tr w:rsidR="00DD694D" w:rsidRPr="00CE4250" w14:paraId="49195864" w14:textId="237335DF" w:rsidTr="00521F67">
        <w:tc>
          <w:tcPr>
            <w:tcW w:w="1165" w:type="dxa"/>
          </w:tcPr>
          <w:p w14:paraId="25171332" w14:textId="6FC2657F" w:rsidR="00DD694D" w:rsidRDefault="00DD694D" w:rsidP="00DD694D">
            <w:pPr>
              <w:pStyle w:val="Normal-Table"/>
            </w:pPr>
            <w:r>
              <w:t>RTM-4</w:t>
            </w:r>
          </w:p>
        </w:tc>
        <w:tc>
          <w:tcPr>
            <w:tcW w:w="10890" w:type="dxa"/>
          </w:tcPr>
          <w:p w14:paraId="01482E00" w14:textId="380DC3A2" w:rsidR="00DD694D" w:rsidRDefault="00C92570" w:rsidP="00DD694D">
            <w:pPr>
              <w:pStyle w:val="Normal-Table"/>
            </w:pPr>
            <w:r>
              <w:t>The System must</w:t>
            </w:r>
            <w:r w:rsidR="00DD694D" w:rsidRPr="00847A4F">
              <w:t xml:space="preserve"> include all functionality necessary to process accounting transactions</w:t>
            </w:r>
            <w:r w:rsidR="00DD694D">
              <w:t>.</w:t>
            </w:r>
          </w:p>
        </w:tc>
        <w:tc>
          <w:tcPr>
            <w:tcW w:w="2340" w:type="dxa"/>
          </w:tcPr>
          <w:p w14:paraId="15E66A21" w14:textId="2801B6D4" w:rsidR="00DD694D" w:rsidRPr="00847A4F" w:rsidRDefault="006D43BC" w:rsidP="00DD694D">
            <w:pPr>
              <w:pStyle w:val="Normal-Table"/>
            </w:pPr>
            <w:hyperlink w:anchor="_A6.7_Revenue_and" w:history="1">
              <w:r w:rsidR="00DD694D" w:rsidRPr="00DA4BCA">
                <w:rPr>
                  <w:rStyle w:val="Hyperlink"/>
                </w:rPr>
                <w:t xml:space="preserve">Attachment </w:t>
              </w:r>
              <w:r w:rsidR="00DD694D" w:rsidRPr="00892610">
                <w:rPr>
                  <w:rStyle w:val="Hyperlink"/>
                </w:rPr>
                <w:t>A6.</w:t>
              </w:r>
              <w:r w:rsidR="00DD694D">
                <w:rPr>
                  <w:rStyle w:val="Hyperlink"/>
                </w:rPr>
                <w:t>7</w:t>
              </w:r>
            </w:hyperlink>
          </w:p>
        </w:tc>
      </w:tr>
      <w:tr w:rsidR="00DD694D" w:rsidRPr="00CE4250" w14:paraId="48CBB83F" w14:textId="43823DB8" w:rsidTr="00521F67">
        <w:tc>
          <w:tcPr>
            <w:tcW w:w="1165" w:type="dxa"/>
          </w:tcPr>
          <w:p w14:paraId="6B046688" w14:textId="228E1FB9" w:rsidR="00DD694D" w:rsidRDefault="00DD694D" w:rsidP="00DD694D">
            <w:pPr>
              <w:pStyle w:val="Normal-Table"/>
            </w:pPr>
            <w:r>
              <w:t>RTM-5</w:t>
            </w:r>
          </w:p>
        </w:tc>
        <w:tc>
          <w:tcPr>
            <w:tcW w:w="10890" w:type="dxa"/>
          </w:tcPr>
          <w:p w14:paraId="22DE64BF" w14:textId="60D50E90" w:rsidR="00DD694D" w:rsidRDefault="00C92570" w:rsidP="00DD694D">
            <w:pPr>
              <w:pStyle w:val="Normal-Table"/>
            </w:pPr>
            <w:r>
              <w:t>The System must</w:t>
            </w:r>
            <w:r w:rsidR="00DD694D" w:rsidRPr="00847A4F">
              <w:t xml:space="preserve"> include all functionality necessary to reimburse state agencies</w:t>
            </w:r>
            <w:r w:rsidR="00DD694D">
              <w:t>.</w:t>
            </w:r>
          </w:p>
        </w:tc>
        <w:tc>
          <w:tcPr>
            <w:tcW w:w="2340" w:type="dxa"/>
          </w:tcPr>
          <w:p w14:paraId="76868B7D" w14:textId="0E90617A" w:rsidR="00DD694D" w:rsidRPr="00847A4F" w:rsidRDefault="006D43BC" w:rsidP="00DD694D">
            <w:pPr>
              <w:pStyle w:val="Normal-Table"/>
            </w:pPr>
            <w:hyperlink w:anchor="_A6.7_Revenue_and" w:history="1">
              <w:r w:rsidR="00DD694D" w:rsidRPr="00DA4BCA">
                <w:rPr>
                  <w:rStyle w:val="Hyperlink"/>
                </w:rPr>
                <w:t xml:space="preserve">Attachment </w:t>
              </w:r>
              <w:r w:rsidR="00DD694D" w:rsidRPr="00892610">
                <w:rPr>
                  <w:rStyle w:val="Hyperlink"/>
                </w:rPr>
                <w:t>A6.</w:t>
              </w:r>
              <w:r w:rsidR="00DD694D">
                <w:rPr>
                  <w:rStyle w:val="Hyperlink"/>
                </w:rPr>
                <w:t>7</w:t>
              </w:r>
            </w:hyperlink>
          </w:p>
        </w:tc>
      </w:tr>
      <w:tr w:rsidR="00DD694D" w:rsidRPr="00CE4250" w14:paraId="44A5CA51" w14:textId="22A23DD6" w:rsidTr="00521F67">
        <w:tc>
          <w:tcPr>
            <w:tcW w:w="1165" w:type="dxa"/>
          </w:tcPr>
          <w:p w14:paraId="02136976" w14:textId="699476BC" w:rsidR="00DD694D" w:rsidRDefault="00DD694D" w:rsidP="00DD694D">
            <w:pPr>
              <w:pStyle w:val="Normal-Table"/>
            </w:pPr>
            <w:r>
              <w:t>RTM-6</w:t>
            </w:r>
          </w:p>
        </w:tc>
        <w:tc>
          <w:tcPr>
            <w:tcW w:w="10890" w:type="dxa"/>
          </w:tcPr>
          <w:p w14:paraId="3DC188B1" w14:textId="41F05995" w:rsidR="00DD694D" w:rsidRDefault="00C92570" w:rsidP="00DD694D">
            <w:pPr>
              <w:pStyle w:val="Normal-Table"/>
            </w:pPr>
            <w:r>
              <w:t>The System must</w:t>
            </w:r>
            <w:r w:rsidR="00DD694D" w:rsidRPr="00847A4F">
              <w:t xml:space="preserve"> include all functionality necessary to post remittances</w:t>
            </w:r>
            <w:r w:rsidR="00DD694D">
              <w:t>.</w:t>
            </w:r>
          </w:p>
        </w:tc>
        <w:tc>
          <w:tcPr>
            <w:tcW w:w="2340" w:type="dxa"/>
          </w:tcPr>
          <w:p w14:paraId="452B054C" w14:textId="58D89D98" w:rsidR="00DD694D" w:rsidRPr="00847A4F" w:rsidRDefault="006D43BC" w:rsidP="00DD694D">
            <w:pPr>
              <w:pStyle w:val="Normal-Table"/>
            </w:pPr>
            <w:hyperlink w:anchor="_A6.7_Revenue_and" w:history="1">
              <w:r w:rsidR="00DD694D" w:rsidRPr="00DA4BCA">
                <w:rPr>
                  <w:rStyle w:val="Hyperlink"/>
                </w:rPr>
                <w:t xml:space="preserve">Attachment </w:t>
              </w:r>
              <w:r w:rsidR="00DD694D" w:rsidRPr="00892610">
                <w:rPr>
                  <w:rStyle w:val="Hyperlink"/>
                </w:rPr>
                <w:t>A6.</w:t>
              </w:r>
              <w:r w:rsidR="00DD694D">
                <w:rPr>
                  <w:rStyle w:val="Hyperlink"/>
                </w:rPr>
                <w:t>7</w:t>
              </w:r>
            </w:hyperlink>
          </w:p>
        </w:tc>
      </w:tr>
      <w:tr w:rsidR="00DD694D" w:rsidRPr="00CE4250" w14:paraId="3F4C912C" w14:textId="1E770430" w:rsidTr="00521F67">
        <w:tc>
          <w:tcPr>
            <w:tcW w:w="1165" w:type="dxa"/>
          </w:tcPr>
          <w:p w14:paraId="2DA06672" w14:textId="239E010D" w:rsidR="00DD694D" w:rsidRDefault="00DD694D" w:rsidP="00DD694D">
            <w:pPr>
              <w:pStyle w:val="Normal-Table"/>
            </w:pPr>
            <w:r>
              <w:t>RTM-7</w:t>
            </w:r>
          </w:p>
        </w:tc>
        <w:tc>
          <w:tcPr>
            <w:tcW w:w="10890" w:type="dxa"/>
          </w:tcPr>
          <w:p w14:paraId="7D87015F" w14:textId="648F968C" w:rsidR="00DD694D" w:rsidRDefault="00C92570" w:rsidP="00DD694D">
            <w:pPr>
              <w:pStyle w:val="Normal-Table"/>
            </w:pPr>
            <w:r>
              <w:t>The System must</w:t>
            </w:r>
            <w:r w:rsidR="00DD694D" w:rsidRPr="00847A4F">
              <w:t xml:space="preserve"> include all functionality necessary to process correspondence</w:t>
            </w:r>
            <w:r w:rsidR="00DD694D">
              <w:t>/reports.</w:t>
            </w:r>
          </w:p>
        </w:tc>
        <w:tc>
          <w:tcPr>
            <w:tcW w:w="2340" w:type="dxa"/>
          </w:tcPr>
          <w:p w14:paraId="56E8552A" w14:textId="44646E0B" w:rsidR="00DD694D" w:rsidRPr="00847A4F" w:rsidRDefault="006D43BC" w:rsidP="00DD694D">
            <w:pPr>
              <w:pStyle w:val="Normal-Table"/>
            </w:pPr>
            <w:hyperlink w:anchor="_A6.7_Revenue_and" w:history="1">
              <w:r w:rsidR="00DD694D" w:rsidRPr="00DA4BCA">
                <w:rPr>
                  <w:rStyle w:val="Hyperlink"/>
                </w:rPr>
                <w:t xml:space="preserve">Attachment </w:t>
              </w:r>
              <w:r w:rsidR="00DD694D" w:rsidRPr="00892610">
                <w:rPr>
                  <w:rStyle w:val="Hyperlink"/>
                </w:rPr>
                <w:t>A6.</w:t>
              </w:r>
              <w:r w:rsidR="00DD694D">
                <w:rPr>
                  <w:rStyle w:val="Hyperlink"/>
                </w:rPr>
                <w:t>7</w:t>
              </w:r>
            </w:hyperlink>
          </w:p>
        </w:tc>
      </w:tr>
      <w:tr w:rsidR="00DD694D" w:rsidRPr="00CE4250" w14:paraId="10699F4D" w14:textId="2A182126" w:rsidTr="00521F67">
        <w:tc>
          <w:tcPr>
            <w:tcW w:w="1165" w:type="dxa"/>
          </w:tcPr>
          <w:p w14:paraId="598527E0" w14:textId="3228F849" w:rsidR="00DD694D" w:rsidRDefault="00DD694D" w:rsidP="00DD694D">
            <w:pPr>
              <w:pStyle w:val="Normal-Table"/>
            </w:pPr>
            <w:r>
              <w:t>RTM-8</w:t>
            </w:r>
          </w:p>
        </w:tc>
        <w:tc>
          <w:tcPr>
            <w:tcW w:w="10890" w:type="dxa"/>
          </w:tcPr>
          <w:p w14:paraId="64579E87" w14:textId="3183B1D1" w:rsidR="00DD694D" w:rsidRPr="00847A4F" w:rsidRDefault="00C92570" w:rsidP="00DD694D">
            <w:pPr>
              <w:pStyle w:val="Normal-Table"/>
            </w:pPr>
            <w:r>
              <w:t>The System must</w:t>
            </w:r>
            <w:r w:rsidR="00DD694D" w:rsidRPr="00847A4F">
              <w:t xml:space="preserve"> include all functionality necessary to </w:t>
            </w:r>
            <w:r w:rsidR="00DD694D">
              <w:t>bill external customers for data sharing agreements.</w:t>
            </w:r>
          </w:p>
        </w:tc>
        <w:tc>
          <w:tcPr>
            <w:tcW w:w="2340" w:type="dxa"/>
          </w:tcPr>
          <w:p w14:paraId="7ABC7010" w14:textId="6C2CCF47" w:rsidR="00DD694D" w:rsidRPr="00847A4F" w:rsidRDefault="006D43BC" w:rsidP="00DD694D">
            <w:pPr>
              <w:pStyle w:val="Normal-Table"/>
            </w:pPr>
            <w:hyperlink w:anchor="_A6.7_Revenue_and" w:history="1">
              <w:r w:rsidR="00DD694D" w:rsidRPr="00DA4BCA">
                <w:rPr>
                  <w:rStyle w:val="Hyperlink"/>
                </w:rPr>
                <w:t xml:space="preserve">Attachment </w:t>
              </w:r>
              <w:r w:rsidR="00DD694D" w:rsidRPr="00892610">
                <w:rPr>
                  <w:rStyle w:val="Hyperlink"/>
                </w:rPr>
                <w:t>A6.</w:t>
              </w:r>
              <w:r w:rsidR="00DD694D">
                <w:rPr>
                  <w:rStyle w:val="Hyperlink"/>
                </w:rPr>
                <w:t>7</w:t>
              </w:r>
            </w:hyperlink>
          </w:p>
        </w:tc>
      </w:tr>
      <w:tr w:rsidR="00DD694D" w:rsidRPr="00CE4250" w14:paraId="79B98736" w14:textId="2A241E09" w:rsidTr="00521F67">
        <w:tc>
          <w:tcPr>
            <w:tcW w:w="1165" w:type="dxa"/>
          </w:tcPr>
          <w:p w14:paraId="6B3D4736" w14:textId="57B5D0F6" w:rsidR="00DD694D" w:rsidRDefault="00DD694D" w:rsidP="00DD694D">
            <w:pPr>
              <w:pStyle w:val="Normal-Table"/>
            </w:pPr>
            <w:r>
              <w:t>Perf-1</w:t>
            </w:r>
          </w:p>
        </w:tc>
        <w:tc>
          <w:tcPr>
            <w:tcW w:w="10890" w:type="dxa"/>
          </w:tcPr>
          <w:p w14:paraId="28E1CE71" w14:textId="7B2BE48F" w:rsidR="00DD694D" w:rsidRDefault="00C92570" w:rsidP="00DD694D">
            <w:pPr>
              <w:pStyle w:val="Normal-Table"/>
            </w:pPr>
            <w:r>
              <w:t>The System must</w:t>
            </w:r>
            <w:r w:rsidR="00DD694D" w:rsidRPr="000B720D">
              <w:t xml:space="preserve"> include all functionality necessary to perform quality reviews</w:t>
            </w:r>
            <w:r w:rsidR="00DD694D" w:rsidRPr="00CD16AB">
              <w:rPr>
                <w:szCs w:val="24"/>
              </w:rPr>
              <w:t>.</w:t>
            </w:r>
          </w:p>
        </w:tc>
        <w:tc>
          <w:tcPr>
            <w:tcW w:w="2340" w:type="dxa"/>
          </w:tcPr>
          <w:p w14:paraId="46A0FB70" w14:textId="175ABE88" w:rsidR="00DD694D" w:rsidRDefault="006D43BC" w:rsidP="00DD694D">
            <w:pPr>
              <w:pStyle w:val="Normal-Table"/>
            </w:pPr>
            <w:hyperlink w:anchor="_A6.8_General_1" w:history="1">
              <w:r w:rsidR="00DD694D" w:rsidRPr="00DA4BCA">
                <w:rPr>
                  <w:rStyle w:val="Hyperlink"/>
                  <w:szCs w:val="24"/>
                </w:rPr>
                <w:t xml:space="preserve">Attachment </w:t>
              </w:r>
              <w:r w:rsidR="00DD694D">
                <w:rPr>
                  <w:rStyle w:val="Hyperlink"/>
                  <w:szCs w:val="24"/>
                </w:rPr>
                <w:t>A</w:t>
              </w:r>
              <w:r w:rsidR="00DD694D" w:rsidRPr="00B42F08">
                <w:rPr>
                  <w:rStyle w:val="Hyperlink"/>
                  <w:szCs w:val="24"/>
                </w:rPr>
                <w:t>6.</w:t>
              </w:r>
              <w:r w:rsidR="00DD694D">
                <w:rPr>
                  <w:rStyle w:val="Hyperlink"/>
                  <w:szCs w:val="24"/>
                </w:rPr>
                <w:t>8</w:t>
              </w:r>
            </w:hyperlink>
          </w:p>
        </w:tc>
      </w:tr>
      <w:tr w:rsidR="00DD694D" w:rsidRPr="00CE4250" w14:paraId="2EB03E19" w14:textId="28DACC0F" w:rsidTr="00521F67">
        <w:tc>
          <w:tcPr>
            <w:tcW w:w="1165" w:type="dxa"/>
          </w:tcPr>
          <w:p w14:paraId="2AC8A19D" w14:textId="1DFF12DC" w:rsidR="00DD694D" w:rsidRDefault="00DD694D" w:rsidP="00DD694D">
            <w:pPr>
              <w:pStyle w:val="Normal-Table"/>
            </w:pPr>
            <w:r>
              <w:t>Gen-1</w:t>
            </w:r>
          </w:p>
        </w:tc>
        <w:tc>
          <w:tcPr>
            <w:tcW w:w="10890" w:type="dxa"/>
          </w:tcPr>
          <w:p w14:paraId="6DECC0E0" w14:textId="7F60D6BE" w:rsidR="00DD694D" w:rsidRPr="00847A4F" w:rsidRDefault="00C92570" w:rsidP="00DD694D">
            <w:pPr>
              <w:pStyle w:val="Normal-Table"/>
            </w:pPr>
            <w:r>
              <w:t>The System must</w:t>
            </w:r>
            <w:r w:rsidR="00DD694D" w:rsidRPr="00847A4F">
              <w:t xml:space="preserve"> include </w:t>
            </w:r>
            <w:r w:rsidR="00DD694D">
              <w:t>all functionality necessary to generate and distribute outgoing correspondence as well as receive and process incoming correspondence.</w:t>
            </w:r>
          </w:p>
        </w:tc>
        <w:tc>
          <w:tcPr>
            <w:tcW w:w="2340" w:type="dxa"/>
          </w:tcPr>
          <w:p w14:paraId="6CD32327" w14:textId="6DD29409" w:rsidR="00DD694D" w:rsidRPr="00847A4F" w:rsidRDefault="006D43BC" w:rsidP="00DD694D">
            <w:pPr>
              <w:pStyle w:val="Normal-Table"/>
            </w:pPr>
            <w:hyperlink w:anchor="_Correspondence" w:history="1">
              <w:r w:rsidR="00DD694D">
                <w:rPr>
                  <w:rStyle w:val="Hyperlink"/>
                </w:rPr>
                <w:t>Attachment A6.9</w:t>
              </w:r>
            </w:hyperlink>
          </w:p>
        </w:tc>
      </w:tr>
      <w:tr w:rsidR="00DD694D" w:rsidRPr="00CE4250" w14:paraId="5C13E762" w14:textId="7AF888D9" w:rsidTr="00521F67">
        <w:tc>
          <w:tcPr>
            <w:tcW w:w="1165" w:type="dxa"/>
          </w:tcPr>
          <w:p w14:paraId="6E24BB54" w14:textId="377F671D" w:rsidR="00DD694D" w:rsidRDefault="00DD694D" w:rsidP="00DD694D">
            <w:pPr>
              <w:pStyle w:val="Normal-Table"/>
            </w:pPr>
            <w:r>
              <w:t>Gen-2</w:t>
            </w:r>
          </w:p>
        </w:tc>
        <w:tc>
          <w:tcPr>
            <w:tcW w:w="10890" w:type="dxa"/>
          </w:tcPr>
          <w:p w14:paraId="12337B75" w14:textId="2B268EC3" w:rsidR="00DD694D" w:rsidRPr="00847A4F" w:rsidRDefault="00C92570" w:rsidP="00DD694D">
            <w:pPr>
              <w:pStyle w:val="Normal-Table"/>
            </w:pPr>
            <w:r>
              <w:t>The System must</w:t>
            </w:r>
            <w:r w:rsidR="00DD694D" w:rsidRPr="00847A4F">
              <w:t xml:space="preserve"> include </w:t>
            </w:r>
            <w:r w:rsidR="00DD694D">
              <w:t>all functionality necessary to manage cases.</w:t>
            </w:r>
          </w:p>
        </w:tc>
        <w:tc>
          <w:tcPr>
            <w:tcW w:w="2340" w:type="dxa"/>
          </w:tcPr>
          <w:p w14:paraId="2BA6EC70" w14:textId="1997F18C" w:rsidR="00DD694D" w:rsidRPr="00847A4F" w:rsidRDefault="006D43BC" w:rsidP="00DD694D">
            <w:pPr>
              <w:pStyle w:val="Normal-Table"/>
            </w:pPr>
            <w:hyperlink w:anchor="_Correspondence" w:history="1">
              <w:r w:rsidR="00DD694D">
                <w:rPr>
                  <w:rStyle w:val="Hyperlink"/>
                </w:rPr>
                <w:t>Attachment A6.9</w:t>
              </w:r>
            </w:hyperlink>
          </w:p>
        </w:tc>
      </w:tr>
      <w:tr w:rsidR="00DD694D" w:rsidRPr="00CE4250" w14:paraId="67F506B4" w14:textId="3DC9450D" w:rsidTr="00521F67">
        <w:tc>
          <w:tcPr>
            <w:tcW w:w="1165" w:type="dxa"/>
          </w:tcPr>
          <w:p w14:paraId="1721ED88" w14:textId="580ECCC9" w:rsidR="00DD694D" w:rsidRDefault="00DD694D" w:rsidP="00DD694D">
            <w:pPr>
              <w:pStyle w:val="Normal-Table"/>
            </w:pPr>
            <w:r>
              <w:t>Gen-3</w:t>
            </w:r>
          </w:p>
        </w:tc>
        <w:tc>
          <w:tcPr>
            <w:tcW w:w="10890" w:type="dxa"/>
          </w:tcPr>
          <w:p w14:paraId="0BA22F16" w14:textId="6C27D54E" w:rsidR="00DD694D" w:rsidRPr="00847A4F" w:rsidRDefault="00C92570" w:rsidP="00DD694D">
            <w:pPr>
              <w:pStyle w:val="Normal-Table"/>
            </w:pPr>
            <w:r>
              <w:t>The System must</w:t>
            </w:r>
            <w:r w:rsidR="00DD694D" w:rsidRPr="00847A4F">
              <w:t xml:space="preserve"> include </w:t>
            </w:r>
            <w:r w:rsidR="00DD694D">
              <w:t>all functionality necessary to enter and update solution code tables and business rules.</w:t>
            </w:r>
            <w:r w:rsidR="007341D7">
              <w:t xml:space="preserve"> The Offeror must include an inventory of Code or Lookup Tables and Business Rules with their proposal.</w:t>
            </w:r>
          </w:p>
        </w:tc>
        <w:tc>
          <w:tcPr>
            <w:tcW w:w="2340" w:type="dxa"/>
          </w:tcPr>
          <w:p w14:paraId="6D6ADEAF" w14:textId="0B8F6513" w:rsidR="00DD694D" w:rsidRPr="00847A4F" w:rsidRDefault="006D43BC" w:rsidP="00DD694D">
            <w:pPr>
              <w:pStyle w:val="Normal-Table"/>
            </w:pPr>
            <w:hyperlink w:anchor="_Correspondence" w:history="1">
              <w:r w:rsidR="00DD694D">
                <w:rPr>
                  <w:rStyle w:val="Hyperlink"/>
                </w:rPr>
                <w:t>Attachment A6.9</w:t>
              </w:r>
            </w:hyperlink>
          </w:p>
        </w:tc>
      </w:tr>
      <w:tr w:rsidR="00DD694D" w:rsidRPr="00CE4250" w14:paraId="2B983743" w14:textId="37EDCD0C" w:rsidTr="00521F67">
        <w:tc>
          <w:tcPr>
            <w:tcW w:w="1165" w:type="dxa"/>
          </w:tcPr>
          <w:p w14:paraId="7FD71315" w14:textId="66063AD7" w:rsidR="00DD694D" w:rsidRDefault="00DD694D" w:rsidP="00DD694D">
            <w:pPr>
              <w:pStyle w:val="Normal-Table"/>
            </w:pPr>
            <w:r>
              <w:lastRenderedPageBreak/>
              <w:t>Gen-4</w:t>
            </w:r>
          </w:p>
        </w:tc>
        <w:tc>
          <w:tcPr>
            <w:tcW w:w="10890" w:type="dxa"/>
          </w:tcPr>
          <w:p w14:paraId="79040DF4" w14:textId="49EBE592" w:rsidR="00DD694D" w:rsidRPr="00847A4F" w:rsidRDefault="00C92570" w:rsidP="00DD694D">
            <w:pPr>
              <w:pStyle w:val="Normal-Table"/>
            </w:pPr>
            <w:r>
              <w:t>The System must</w:t>
            </w:r>
            <w:r w:rsidR="00DD694D" w:rsidRPr="00847A4F">
              <w:t xml:space="preserve"> include </w:t>
            </w:r>
            <w:r w:rsidR="00DD694D">
              <w:t>all functionality necessary to graphically present information for decision making.</w:t>
            </w:r>
          </w:p>
        </w:tc>
        <w:tc>
          <w:tcPr>
            <w:tcW w:w="2340" w:type="dxa"/>
          </w:tcPr>
          <w:p w14:paraId="38E0075F" w14:textId="73D98764" w:rsidR="00DD694D" w:rsidRPr="00847A4F" w:rsidRDefault="006D43BC" w:rsidP="00DD694D">
            <w:pPr>
              <w:pStyle w:val="Normal-Table"/>
            </w:pPr>
            <w:hyperlink w:anchor="_Correspondence" w:history="1">
              <w:r w:rsidR="00DD694D">
                <w:rPr>
                  <w:rStyle w:val="Hyperlink"/>
                </w:rPr>
                <w:t>Attachment A6.9</w:t>
              </w:r>
            </w:hyperlink>
          </w:p>
        </w:tc>
      </w:tr>
      <w:tr w:rsidR="00DD694D" w:rsidRPr="00CE4250" w14:paraId="491CF74A" w14:textId="0587A254" w:rsidTr="00521F67">
        <w:tc>
          <w:tcPr>
            <w:tcW w:w="1165" w:type="dxa"/>
          </w:tcPr>
          <w:p w14:paraId="123498DC" w14:textId="185F0B82" w:rsidR="00DD694D" w:rsidRDefault="00DD694D" w:rsidP="00DD694D">
            <w:pPr>
              <w:pStyle w:val="Normal-Table"/>
            </w:pPr>
            <w:r>
              <w:t>Gen-5</w:t>
            </w:r>
          </w:p>
        </w:tc>
        <w:tc>
          <w:tcPr>
            <w:tcW w:w="10890" w:type="dxa"/>
          </w:tcPr>
          <w:p w14:paraId="06D8E02E" w14:textId="667D0C6F" w:rsidR="00DD694D" w:rsidRPr="00847A4F" w:rsidRDefault="00C92570" w:rsidP="00DD694D">
            <w:pPr>
              <w:pStyle w:val="Normal-Table"/>
            </w:pPr>
            <w:r>
              <w:t>The System must</w:t>
            </w:r>
            <w:r w:rsidR="00DD694D" w:rsidRPr="00847A4F">
              <w:t xml:space="preserve"> include </w:t>
            </w:r>
            <w:r w:rsidR="00DD694D">
              <w:t>all functionality necessary to</w:t>
            </w:r>
            <w:r w:rsidR="00DD694D" w:rsidRPr="00895F40">
              <w:t xml:space="preserve"> </w:t>
            </w:r>
            <w:r w:rsidR="00DD694D">
              <w:t>support the functions of the Labor Market and Career Information department.</w:t>
            </w:r>
          </w:p>
        </w:tc>
        <w:tc>
          <w:tcPr>
            <w:tcW w:w="2340" w:type="dxa"/>
          </w:tcPr>
          <w:p w14:paraId="3F6B29B0" w14:textId="7F624881" w:rsidR="00DD694D" w:rsidRPr="00847A4F" w:rsidRDefault="006D43BC" w:rsidP="00DD694D">
            <w:pPr>
              <w:pStyle w:val="Normal-Table"/>
            </w:pPr>
            <w:hyperlink w:anchor="_Correspondence" w:history="1">
              <w:r w:rsidR="00DD694D">
                <w:rPr>
                  <w:rStyle w:val="Hyperlink"/>
                </w:rPr>
                <w:t>Attachment A6.9</w:t>
              </w:r>
            </w:hyperlink>
          </w:p>
        </w:tc>
      </w:tr>
      <w:tr w:rsidR="00DD694D" w:rsidRPr="00CE4250" w14:paraId="0192F507" w14:textId="0D2B0F1F" w:rsidTr="00521F67">
        <w:tc>
          <w:tcPr>
            <w:tcW w:w="1165" w:type="dxa"/>
          </w:tcPr>
          <w:p w14:paraId="7C344FB5" w14:textId="02ED6CCE" w:rsidR="00DD694D" w:rsidRDefault="00DD694D" w:rsidP="00DD694D">
            <w:pPr>
              <w:pStyle w:val="Normal-Table"/>
            </w:pPr>
            <w:r>
              <w:t>Gen-6</w:t>
            </w:r>
          </w:p>
        </w:tc>
        <w:tc>
          <w:tcPr>
            <w:tcW w:w="10890" w:type="dxa"/>
          </w:tcPr>
          <w:p w14:paraId="7DE2D1AE" w14:textId="1FE0AF28" w:rsidR="00DD694D" w:rsidRPr="00847A4F" w:rsidRDefault="00C92570" w:rsidP="00DD694D">
            <w:pPr>
              <w:pStyle w:val="Normal-Table"/>
            </w:pPr>
            <w:r>
              <w:t>The System must</w:t>
            </w:r>
            <w:r w:rsidR="00DD694D" w:rsidRPr="00847A4F">
              <w:t xml:space="preserve"> include </w:t>
            </w:r>
            <w:r w:rsidR="00DD694D">
              <w:t>all functionality necessary to capture and display Claimant and Employer account notes.</w:t>
            </w:r>
          </w:p>
        </w:tc>
        <w:tc>
          <w:tcPr>
            <w:tcW w:w="2340" w:type="dxa"/>
          </w:tcPr>
          <w:p w14:paraId="47EFC4FE" w14:textId="16726474" w:rsidR="00DD694D" w:rsidRPr="00847A4F" w:rsidRDefault="006D43BC" w:rsidP="00DD694D">
            <w:pPr>
              <w:pStyle w:val="Normal-Table"/>
            </w:pPr>
            <w:hyperlink w:anchor="_Correspondence" w:history="1">
              <w:r w:rsidR="00DD694D">
                <w:rPr>
                  <w:rStyle w:val="Hyperlink"/>
                </w:rPr>
                <w:t>Attachment A6.9</w:t>
              </w:r>
            </w:hyperlink>
          </w:p>
        </w:tc>
      </w:tr>
      <w:tr w:rsidR="00DD694D" w:rsidRPr="00CE4250" w14:paraId="2821F3E8" w14:textId="54652EF8" w:rsidTr="00521F67">
        <w:tc>
          <w:tcPr>
            <w:tcW w:w="1165" w:type="dxa"/>
          </w:tcPr>
          <w:p w14:paraId="2B4566B3" w14:textId="06EF2D8E" w:rsidR="00DD694D" w:rsidRDefault="00DD694D" w:rsidP="00DD694D">
            <w:pPr>
              <w:pStyle w:val="Normal-Table"/>
            </w:pPr>
            <w:r>
              <w:t>Gen-7</w:t>
            </w:r>
          </w:p>
        </w:tc>
        <w:tc>
          <w:tcPr>
            <w:tcW w:w="10890" w:type="dxa"/>
          </w:tcPr>
          <w:p w14:paraId="2081A19E" w14:textId="0BCB61ED" w:rsidR="00DD694D" w:rsidRPr="00847A4F" w:rsidRDefault="00C92570" w:rsidP="00DD694D">
            <w:pPr>
              <w:pStyle w:val="Normal-Table"/>
            </w:pPr>
            <w:r>
              <w:t>The System must</w:t>
            </w:r>
            <w:r w:rsidR="00DD694D" w:rsidRPr="00847A4F">
              <w:t xml:space="preserve"> include </w:t>
            </w:r>
            <w:r w:rsidR="00DD694D">
              <w:t>all functionality necessary to allow other state UI agencies to use the solution.</w:t>
            </w:r>
          </w:p>
        </w:tc>
        <w:tc>
          <w:tcPr>
            <w:tcW w:w="2340" w:type="dxa"/>
          </w:tcPr>
          <w:p w14:paraId="48C7D31C" w14:textId="26632229" w:rsidR="00DD694D" w:rsidRPr="00847A4F" w:rsidRDefault="006D43BC" w:rsidP="00DD694D">
            <w:pPr>
              <w:pStyle w:val="Normal-Table"/>
            </w:pPr>
            <w:hyperlink w:anchor="_Correspondence" w:history="1">
              <w:r w:rsidR="00DD694D">
                <w:rPr>
                  <w:rStyle w:val="Hyperlink"/>
                </w:rPr>
                <w:t>Attachment A6.9</w:t>
              </w:r>
            </w:hyperlink>
          </w:p>
        </w:tc>
      </w:tr>
      <w:tr w:rsidR="00DD694D" w:rsidRPr="00CE4250" w14:paraId="0BCB6313" w14:textId="34FAAC0B" w:rsidTr="00521F67">
        <w:tc>
          <w:tcPr>
            <w:tcW w:w="1165" w:type="dxa"/>
          </w:tcPr>
          <w:p w14:paraId="0351DCB4" w14:textId="6C848EDD" w:rsidR="00DD694D" w:rsidRDefault="00DD694D" w:rsidP="00DD694D">
            <w:pPr>
              <w:pStyle w:val="Normal-Table"/>
            </w:pPr>
            <w:r>
              <w:t>Gen-8</w:t>
            </w:r>
          </w:p>
        </w:tc>
        <w:tc>
          <w:tcPr>
            <w:tcW w:w="10890" w:type="dxa"/>
          </w:tcPr>
          <w:p w14:paraId="768C9F62" w14:textId="5DF27291" w:rsidR="00DD694D" w:rsidRPr="00847A4F" w:rsidRDefault="00C92570" w:rsidP="00DD694D">
            <w:pPr>
              <w:pStyle w:val="Normal-Table"/>
            </w:pPr>
            <w:r>
              <w:t>The System must</w:t>
            </w:r>
            <w:r w:rsidR="00DD694D" w:rsidRPr="00847A4F">
              <w:t xml:space="preserve"> include </w:t>
            </w:r>
            <w:r w:rsidR="00DD694D">
              <w:t>all functionality necessary to conduct system searches and view the results.</w:t>
            </w:r>
          </w:p>
        </w:tc>
        <w:tc>
          <w:tcPr>
            <w:tcW w:w="2340" w:type="dxa"/>
          </w:tcPr>
          <w:p w14:paraId="0FA6F7CB" w14:textId="293F7C7C" w:rsidR="00DD694D" w:rsidRPr="00847A4F" w:rsidRDefault="006D43BC" w:rsidP="00DD694D">
            <w:pPr>
              <w:pStyle w:val="Normal-Table"/>
            </w:pPr>
            <w:hyperlink w:anchor="_Correspondence" w:history="1">
              <w:r w:rsidR="00DD694D">
                <w:rPr>
                  <w:rStyle w:val="Hyperlink"/>
                </w:rPr>
                <w:t>Attachment A6.9</w:t>
              </w:r>
            </w:hyperlink>
          </w:p>
        </w:tc>
      </w:tr>
      <w:tr w:rsidR="00DD694D" w:rsidRPr="00CE4250" w14:paraId="46DD8FE7" w14:textId="137CD967" w:rsidTr="00521F67">
        <w:tc>
          <w:tcPr>
            <w:tcW w:w="1165" w:type="dxa"/>
          </w:tcPr>
          <w:p w14:paraId="346CDF9D" w14:textId="36EC8534" w:rsidR="00DD694D" w:rsidRDefault="00DD694D" w:rsidP="00DD694D">
            <w:pPr>
              <w:pStyle w:val="Normal-Table"/>
            </w:pPr>
            <w:r>
              <w:t>Gen-9</w:t>
            </w:r>
          </w:p>
        </w:tc>
        <w:tc>
          <w:tcPr>
            <w:tcW w:w="10890" w:type="dxa"/>
          </w:tcPr>
          <w:p w14:paraId="4FCB5736" w14:textId="03CBD45C" w:rsidR="00DD694D" w:rsidRPr="00847A4F" w:rsidRDefault="00C92570" w:rsidP="00DD694D">
            <w:pPr>
              <w:pStyle w:val="Normal-Table"/>
            </w:pPr>
            <w:r>
              <w:t>The System must</w:t>
            </w:r>
            <w:r w:rsidR="00DD694D" w:rsidRPr="00847A4F">
              <w:t xml:space="preserve"> include </w:t>
            </w:r>
            <w:r w:rsidR="00DD694D">
              <w:t>all functionality necessary to securely configure access to the UI solution.</w:t>
            </w:r>
          </w:p>
        </w:tc>
        <w:tc>
          <w:tcPr>
            <w:tcW w:w="2340" w:type="dxa"/>
          </w:tcPr>
          <w:p w14:paraId="37ACEFCD" w14:textId="27EB2A17" w:rsidR="00DD694D" w:rsidRPr="00847A4F" w:rsidRDefault="006D43BC" w:rsidP="00DD694D">
            <w:pPr>
              <w:pStyle w:val="Normal-Table"/>
            </w:pPr>
            <w:hyperlink w:anchor="_Correspondence" w:history="1">
              <w:r w:rsidR="00DD694D">
                <w:rPr>
                  <w:rStyle w:val="Hyperlink"/>
                </w:rPr>
                <w:t>Attachment A6.9</w:t>
              </w:r>
            </w:hyperlink>
          </w:p>
        </w:tc>
      </w:tr>
      <w:tr w:rsidR="00DD694D" w:rsidRPr="00CE4250" w14:paraId="1C1A31D3" w14:textId="00786BD6" w:rsidTr="00521F67">
        <w:tc>
          <w:tcPr>
            <w:tcW w:w="1165" w:type="dxa"/>
          </w:tcPr>
          <w:p w14:paraId="539ACBD9" w14:textId="4DE95318" w:rsidR="00DD694D" w:rsidRDefault="00DD694D" w:rsidP="00DD694D">
            <w:pPr>
              <w:pStyle w:val="Normal-Table"/>
            </w:pPr>
            <w:r>
              <w:t>Gen-10</w:t>
            </w:r>
          </w:p>
        </w:tc>
        <w:tc>
          <w:tcPr>
            <w:tcW w:w="10890" w:type="dxa"/>
          </w:tcPr>
          <w:p w14:paraId="748B3918" w14:textId="50A4F776" w:rsidR="00DD694D" w:rsidRPr="00847A4F" w:rsidRDefault="00C92570" w:rsidP="00DD694D">
            <w:pPr>
              <w:pStyle w:val="Normal-Table"/>
            </w:pPr>
            <w:r>
              <w:t>The System must</w:t>
            </w:r>
            <w:r w:rsidR="00DD694D" w:rsidRPr="00847A4F">
              <w:t xml:space="preserve"> include </w:t>
            </w:r>
            <w:r w:rsidR="00DD694D">
              <w:t>all functionality necessary to allow Employers, Claimants, TPAs, and other external parties to use UI services independent of the involvement of Staff.</w:t>
            </w:r>
          </w:p>
        </w:tc>
        <w:tc>
          <w:tcPr>
            <w:tcW w:w="2340" w:type="dxa"/>
          </w:tcPr>
          <w:p w14:paraId="26CD947C" w14:textId="2142E4F1" w:rsidR="00DD694D" w:rsidRPr="00847A4F" w:rsidRDefault="006D43BC" w:rsidP="00DD694D">
            <w:pPr>
              <w:pStyle w:val="Normal-Table"/>
            </w:pPr>
            <w:hyperlink w:anchor="_Correspondence" w:history="1">
              <w:r w:rsidR="00DD694D">
                <w:rPr>
                  <w:rStyle w:val="Hyperlink"/>
                </w:rPr>
                <w:t>Attachment A6.9</w:t>
              </w:r>
            </w:hyperlink>
          </w:p>
        </w:tc>
      </w:tr>
      <w:tr w:rsidR="00DD694D" w:rsidRPr="00CE4250" w14:paraId="46340566" w14:textId="37C6252D" w:rsidTr="00521F67">
        <w:tc>
          <w:tcPr>
            <w:tcW w:w="1165" w:type="dxa"/>
          </w:tcPr>
          <w:p w14:paraId="09D6BFBA" w14:textId="7BF04B3D" w:rsidR="00DD694D" w:rsidRDefault="00DD694D" w:rsidP="00DD694D">
            <w:pPr>
              <w:pStyle w:val="Normal-Table"/>
            </w:pPr>
            <w:r>
              <w:t>Gen-11</w:t>
            </w:r>
          </w:p>
        </w:tc>
        <w:tc>
          <w:tcPr>
            <w:tcW w:w="10890" w:type="dxa"/>
          </w:tcPr>
          <w:p w14:paraId="0E860329" w14:textId="5C33928B" w:rsidR="00DD694D" w:rsidRPr="00847A4F" w:rsidRDefault="00C92570" w:rsidP="00DD694D">
            <w:pPr>
              <w:pStyle w:val="Normal-Table"/>
            </w:pPr>
            <w:r>
              <w:t>The System must</w:t>
            </w:r>
            <w:r w:rsidR="00DD694D" w:rsidRPr="00847A4F">
              <w:t xml:space="preserve"> </w:t>
            </w:r>
            <w:r w:rsidR="00DD694D">
              <w:t>include all functionality necessary to allow external agencies and law enforcement agencies to access UI data.</w:t>
            </w:r>
          </w:p>
        </w:tc>
        <w:tc>
          <w:tcPr>
            <w:tcW w:w="2340" w:type="dxa"/>
          </w:tcPr>
          <w:p w14:paraId="478D034E" w14:textId="7CF9D20B" w:rsidR="00DD694D" w:rsidRPr="00847A4F" w:rsidRDefault="006D43BC" w:rsidP="00DD694D">
            <w:pPr>
              <w:pStyle w:val="Normal-Table"/>
            </w:pPr>
            <w:hyperlink w:anchor="_Correspondence" w:history="1">
              <w:r w:rsidR="00DD694D">
                <w:rPr>
                  <w:rStyle w:val="Hyperlink"/>
                </w:rPr>
                <w:t>Attachment A6.9</w:t>
              </w:r>
            </w:hyperlink>
          </w:p>
        </w:tc>
      </w:tr>
      <w:tr w:rsidR="00DD694D" w:rsidRPr="00CE4250" w14:paraId="51243C11" w14:textId="07C4A24D" w:rsidTr="00521F67">
        <w:tc>
          <w:tcPr>
            <w:tcW w:w="1165" w:type="dxa"/>
          </w:tcPr>
          <w:p w14:paraId="54BFFB29" w14:textId="64A50F5B" w:rsidR="00DD694D" w:rsidRDefault="00DD694D" w:rsidP="00DD694D">
            <w:pPr>
              <w:pStyle w:val="Normal-Table"/>
            </w:pPr>
            <w:r>
              <w:t>Gen-12</w:t>
            </w:r>
          </w:p>
        </w:tc>
        <w:tc>
          <w:tcPr>
            <w:tcW w:w="10890" w:type="dxa"/>
          </w:tcPr>
          <w:p w14:paraId="64133D51" w14:textId="171EADD1" w:rsidR="00DD694D" w:rsidRPr="00847A4F" w:rsidRDefault="00C92570" w:rsidP="00DD694D">
            <w:pPr>
              <w:pStyle w:val="Normal-Table"/>
            </w:pPr>
            <w:r>
              <w:t>The System must</w:t>
            </w:r>
            <w:r w:rsidR="00DD694D" w:rsidRPr="00847A4F">
              <w:t xml:space="preserve"> include </w:t>
            </w:r>
            <w:r w:rsidR="00DD694D">
              <w:t>all functionality necessary to process work from initiation to completion.</w:t>
            </w:r>
          </w:p>
        </w:tc>
        <w:tc>
          <w:tcPr>
            <w:tcW w:w="2340" w:type="dxa"/>
          </w:tcPr>
          <w:p w14:paraId="1D932B15" w14:textId="71F5971B" w:rsidR="00DD694D" w:rsidRPr="00847A4F" w:rsidRDefault="006D43BC" w:rsidP="00DD694D">
            <w:pPr>
              <w:pStyle w:val="Normal-Table"/>
            </w:pPr>
            <w:hyperlink w:anchor="_Correspondence" w:history="1">
              <w:r w:rsidR="00DD694D">
                <w:rPr>
                  <w:rStyle w:val="Hyperlink"/>
                </w:rPr>
                <w:t>Attachment A6.9</w:t>
              </w:r>
            </w:hyperlink>
          </w:p>
        </w:tc>
      </w:tr>
      <w:tr w:rsidR="00DD694D" w:rsidRPr="00CE4250" w14:paraId="57566999" w14:textId="31E88691" w:rsidTr="00521F67">
        <w:tc>
          <w:tcPr>
            <w:tcW w:w="1165" w:type="dxa"/>
          </w:tcPr>
          <w:p w14:paraId="027B6DCE" w14:textId="1F5D8533" w:rsidR="00DD694D" w:rsidRDefault="00DD694D" w:rsidP="00DD694D">
            <w:pPr>
              <w:pStyle w:val="Normal-Table"/>
            </w:pPr>
            <w:r>
              <w:t>Gen-13</w:t>
            </w:r>
          </w:p>
        </w:tc>
        <w:tc>
          <w:tcPr>
            <w:tcW w:w="10890" w:type="dxa"/>
          </w:tcPr>
          <w:p w14:paraId="54302DB5" w14:textId="0E854BEF" w:rsidR="00DD694D" w:rsidRPr="00847A4F" w:rsidRDefault="00C92570" w:rsidP="00DD694D">
            <w:pPr>
              <w:pStyle w:val="Normal-Table"/>
            </w:pPr>
            <w:r>
              <w:t>The System must</w:t>
            </w:r>
            <w:r w:rsidR="00DD694D" w:rsidRPr="00847A4F">
              <w:t xml:space="preserve"> include </w:t>
            </w:r>
            <w:r w:rsidR="00DD694D">
              <w:t>all functionality necessary to perform database queries.</w:t>
            </w:r>
          </w:p>
        </w:tc>
        <w:tc>
          <w:tcPr>
            <w:tcW w:w="2340" w:type="dxa"/>
          </w:tcPr>
          <w:p w14:paraId="407F3C85" w14:textId="74838955" w:rsidR="00DD694D" w:rsidRPr="00847A4F" w:rsidRDefault="006D43BC" w:rsidP="00DD694D">
            <w:pPr>
              <w:pStyle w:val="Normal-Table"/>
            </w:pPr>
            <w:hyperlink w:anchor="_Correspondence" w:history="1">
              <w:r w:rsidR="00DD694D">
                <w:rPr>
                  <w:rStyle w:val="Hyperlink"/>
                </w:rPr>
                <w:t>Attachment A6.9</w:t>
              </w:r>
            </w:hyperlink>
          </w:p>
        </w:tc>
      </w:tr>
      <w:tr w:rsidR="00DD694D" w:rsidRPr="00CE4250" w14:paraId="38CBE151" w14:textId="6C419DF8" w:rsidTr="00521F67">
        <w:tc>
          <w:tcPr>
            <w:tcW w:w="1165" w:type="dxa"/>
          </w:tcPr>
          <w:p w14:paraId="0A7F7792" w14:textId="748B6AA4" w:rsidR="00DD694D" w:rsidRDefault="00DD694D" w:rsidP="00DD694D">
            <w:pPr>
              <w:pStyle w:val="Normal-Table"/>
              <w:rPr>
                <w:szCs w:val="24"/>
              </w:rPr>
            </w:pPr>
            <w:r>
              <w:t>Gen-14</w:t>
            </w:r>
          </w:p>
        </w:tc>
        <w:tc>
          <w:tcPr>
            <w:tcW w:w="10890" w:type="dxa"/>
          </w:tcPr>
          <w:p w14:paraId="571AC386" w14:textId="75A0D20B" w:rsidR="000C685A" w:rsidRPr="004B17DD" w:rsidRDefault="00C92570" w:rsidP="00DD694D">
            <w:pPr>
              <w:pStyle w:val="Normal-Table"/>
              <w:tabs>
                <w:tab w:val="left" w:pos="1140"/>
              </w:tabs>
            </w:pPr>
            <w:r>
              <w:t>The System must</w:t>
            </w:r>
            <w:r w:rsidR="00DD694D" w:rsidRPr="00847A4F">
              <w:t xml:space="preserve"> include </w:t>
            </w:r>
            <w:r w:rsidR="00DD694D">
              <w:t>all functionality necessary to generate and transmit reports.</w:t>
            </w:r>
          </w:p>
        </w:tc>
        <w:tc>
          <w:tcPr>
            <w:tcW w:w="2340" w:type="dxa"/>
          </w:tcPr>
          <w:p w14:paraId="2C562343" w14:textId="05C52BFD" w:rsidR="00DD694D" w:rsidRPr="00847A4F" w:rsidRDefault="006D43BC" w:rsidP="00DD694D">
            <w:pPr>
              <w:pStyle w:val="Normal-Table"/>
              <w:tabs>
                <w:tab w:val="left" w:pos="1140"/>
              </w:tabs>
            </w:pPr>
            <w:hyperlink w:anchor="_Correspondence" w:history="1">
              <w:r w:rsidR="00DD694D">
                <w:rPr>
                  <w:rStyle w:val="Hyperlink"/>
                </w:rPr>
                <w:t>Attachment A6.9</w:t>
              </w:r>
            </w:hyperlink>
          </w:p>
        </w:tc>
      </w:tr>
      <w:tr w:rsidR="00DD694D" w:rsidRPr="00CE4250" w14:paraId="0B7DD2C6" w14:textId="7F939807" w:rsidTr="00521F67">
        <w:tc>
          <w:tcPr>
            <w:tcW w:w="1165" w:type="dxa"/>
          </w:tcPr>
          <w:p w14:paraId="0F1577EA" w14:textId="1F8CD1DD" w:rsidR="00DD694D" w:rsidRDefault="00DD694D" w:rsidP="00DD694D">
            <w:pPr>
              <w:pStyle w:val="Normal-Table"/>
              <w:rPr>
                <w:szCs w:val="24"/>
              </w:rPr>
            </w:pPr>
            <w:r>
              <w:lastRenderedPageBreak/>
              <w:t>Gen-15</w:t>
            </w:r>
          </w:p>
        </w:tc>
        <w:tc>
          <w:tcPr>
            <w:tcW w:w="10890" w:type="dxa"/>
          </w:tcPr>
          <w:p w14:paraId="45A5FA3D" w14:textId="4677CC8C" w:rsidR="00DD694D" w:rsidRPr="00111D27" w:rsidRDefault="00C92570" w:rsidP="00DD694D">
            <w:pPr>
              <w:pStyle w:val="Normal-Table"/>
              <w:rPr>
                <w:szCs w:val="24"/>
              </w:rPr>
            </w:pPr>
            <w:r>
              <w:t>The System must</w:t>
            </w:r>
            <w:r w:rsidR="00DD694D" w:rsidRPr="00847A4F">
              <w:t xml:space="preserve"> include </w:t>
            </w:r>
            <w:r w:rsidR="00DD694D">
              <w:t>all functionality necessary to validate entered or selected data to ensure solution operates on and with clean, correct, and useful data.</w:t>
            </w:r>
          </w:p>
        </w:tc>
        <w:tc>
          <w:tcPr>
            <w:tcW w:w="2340" w:type="dxa"/>
          </w:tcPr>
          <w:p w14:paraId="5C3C4AD0" w14:textId="6B91FC14" w:rsidR="00DD694D" w:rsidRPr="00847A4F" w:rsidRDefault="006D43BC" w:rsidP="00DD694D">
            <w:pPr>
              <w:pStyle w:val="Normal-Table"/>
            </w:pPr>
            <w:hyperlink w:anchor="_Correspondence" w:history="1">
              <w:r w:rsidR="00DD694D">
                <w:rPr>
                  <w:rStyle w:val="Hyperlink"/>
                </w:rPr>
                <w:t>Attachment A6.9</w:t>
              </w:r>
            </w:hyperlink>
          </w:p>
        </w:tc>
      </w:tr>
      <w:tr w:rsidR="00DD694D" w:rsidRPr="00CE4250" w14:paraId="7B031D60" w14:textId="100EFA96" w:rsidTr="00521F67">
        <w:tc>
          <w:tcPr>
            <w:tcW w:w="1165" w:type="dxa"/>
          </w:tcPr>
          <w:p w14:paraId="3844AA2A" w14:textId="7FA8BD6F" w:rsidR="00DD694D" w:rsidRPr="00111D27" w:rsidRDefault="00DD694D" w:rsidP="00DD694D">
            <w:pPr>
              <w:pStyle w:val="Normal-Table"/>
              <w:rPr>
                <w:szCs w:val="24"/>
              </w:rPr>
            </w:pPr>
            <w:r>
              <w:rPr>
                <w:szCs w:val="24"/>
              </w:rPr>
              <w:t>Gen</w:t>
            </w:r>
            <w:r w:rsidRPr="00111D27">
              <w:rPr>
                <w:szCs w:val="24"/>
              </w:rPr>
              <w:t>-1</w:t>
            </w:r>
            <w:r>
              <w:rPr>
                <w:szCs w:val="24"/>
              </w:rPr>
              <w:t>6</w:t>
            </w:r>
          </w:p>
        </w:tc>
        <w:tc>
          <w:tcPr>
            <w:tcW w:w="10890" w:type="dxa"/>
          </w:tcPr>
          <w:p w14:paraId="3D40D39E" w14:textId="60D7C5D3" w:rsidR="00DD694D" w:rsidRPr="00111D27" w:rsidRDefault="00DD694D" w:rsidP="00DD694D">
            <w:pPr>
              <w:pStyle w:val="Normal-Table"/>
              <w:rPr>
                <w:szCs w:val="24"/>
              </w:rPr>
            </w:pPr>
            <w:r w:rsidRPr="00111D27">
              <w:rPr>
                <w:szCs w:val="24"/>
              </w:rPr>
              <w:t xml:space="preserve">The Offeror must agree that all data entered in to the Offeror-supplied solution, </w:t>
            </w:r>
            <w:r w:rsidRPr="00364874">
              <w:t xml:space="preserve">either by Texas </w:t>
            </w:r>
            <w:r>
              <w:t>Claimants</w:t>
            </w:r>
            <w:r w:rsidRPr="00364874">
              <w:t xml:space="preserve">, </w:t>
            </w:r>
            <w:r>
              <w:t xml:space="preserve">Employers, TPAs, TWC Staff, </w:t>
            </w:r>
            <w:r w:rsidRPr="00364874">
              <w:t xml:space="preserve">local users, or other State of Texas </w:t>
            </w:r>
            <w:r>
              <w:t xml:space="preserve">Staff </w:t>
            </w:r>
            <w:r w:rsidRPr="00364874">
              <w:t xml:space="preserve">is the property of the </w:t>
            </w:r>
            <w:r w:rsidRPr="00111D27">
              <w:rPr>
                <w:szCs w:val="24"/>
              </w:rPr>
              <w:t>TWC (“TWC Data”). TWC Data may not be released to other parties, including in aggregate form, without the express written permission of TWC. At the time of termination of this Contract for any purposes, all TWC Data must be provided to TWC in an acceptable electronic form and none of the TWC Data may remain on the Offeror’s system, after such event.</w:t>
            </w:r>
          </w:p>
        </w:tc>
        <w:tc>
          <w:tcPr>
            <w:tcW w:w="2340" w:type="dxa"/>
          </w:tcPr>
          <w:p w14:paraId="29B00AFC" w14:textId="124F68A0" w:rsidR="00DD694D" w:rsidRPr="00111D27" w:rsidRDefault="00DD694D" w:rsidP="00DD694D">
            <w:pPr>
              <w:pStyle w:val="Normal-Table"/>
              <w:rPr>
                <w:szCs w:val="24"/>
              </w:rPr>
            </w:pPr>
          </w:p>
        </w:tc>
      </w:tr>
      <w:tr w:rsidR="00DD694D" w:rsidRPr="00CE4250" w14:paraId="4B942D0A" w14:textId="61A22BC1" w:rsidTr="00521F67">
        <w:tc>
          <w:tcPr>
            <w:tcW w:w="1165" w:type="dxa"/>
          </w:tcPr>
          <w:p w14:paraId="418AE8EE" w14:textId="6116BA3C" w:rsidR="00DD694D" w:rsidRDefault="00DD694D" w:rsidP="00DD694D">
            <w:pPr>
              <w:pStyle w:val="Normal-Table"/>
            </w:pPr>
            <w:r>
              <w:rPr>
                <w:szCs w:val="24"/>
              </w:rPr>
              <w:t>Gen-17</w:t>
            </w:r>
          </w:p>
        </w:tc>
        <w:tc>
          <w:tcPr>
            <w:tcW w:w="10890" w:type="dxa"/>
          </w:tcPr>
          <w:p w14:paraId="56FABD5E" w14:textId="77777777" w:rsidR="00DD694D" w:rsidRDefault="00DD694D" w:rsidP="00DD694D">
            <w:pPr>
              <w:pStyle w:val="Normal-Table"/>
            </w:pPr>
            <w:r w:rsidRPr="00244766">
              <w:rPr>
                <w:szCs w:val="24"/>
              </w:rPr>
              <w:t>The proposed solution's externally-facing user interfaces must comply with the Texas Labor Code § 301.064</w:t>
            </w:r>
            <w:r>
              <w:rPr>
                <w:szCs w:val="24"/>
              </w:rPr>
              <w:t>, however support for additional languages is required</w:t>
            </w:r>
            <w:r w:rsidRPr="00244766">
              <w:rPr>
                <w:szCs w:val="24"/>
              </w:rPr>
              <w:t>. The inclusion of Spanish is required, and the inclusion of Vietnamese</w:t>
            </w:r>
            <w:r>
              <w:rPr>
                <w:szCs w:val="24"/>
              </w:rPr>
              <w:t>, Arabic, Mandarin, Korean,</w:t>
            </w:r>
            <w:r w:rsidRPr="00244766">
              <w:rPr>
                <w:szCs w:val="24"/>
              </w:rPr>
              <w:t xml:space="preserve"> and </w:t>
            </w:r>
            <w:r>
              <w:rPr>
                <w:szCs w:val="24"/>
              </w:rPr>
              <w:t xml:space="preserve">Somali </w:t>
            </w:r>
            <w:r w:rsidRPr="00244766">
              <w:rPr>
                <w:szCs w:val="24"/>
              </w:rPr>
              <w:t>is preferred.</w:t>
            </w:r>
            <w:r w:rsidRPr="00006FB7">
              <w:t xml:space="preserve"> Offeror must describe how their system</w:t>
            </w:r>
            <w:r>
              <w:t xml:space="preserve"> can generate documentation in other languages.</w:t>
            </w:r>
          </w:p>
          <w:p w14:paraId="0916D273" w14:textId="3B681D32" w:rsidR="00DD694D" w:rsidRPr="00244766" w:rsidRDefault="00C92570" w:rsidP="00DD694D">
            <w:pPr>
              <w:pStyle w:val="Normal-Table"/>
              <w:rPr>
                <w:szCs w:val="24"/>
              </w:rPr>
            </w:pPr>
            <w:bookmarkStart w:id="278" w:name="_Hlk531622809"/>
            <w:r>
              <w:t>The System must</w:t>
            </w:r>
            <w:r w:rsidR="00DD694D">
              <w:t xml:space="preserve"> allow Staff to display Staff screens in Spanish.</w:t>
            </w:r>
            <w:bookmarkEnd w:id="278"/>
          </w:p>
        </w:tc>
        <w:tc>
          <w:tcPr>
            <w:tcW w:w="2340" w:type="dxa"/>
          </w:tcPr>
          <w:p w14:paraId="25756C86" w14:textId="77777777" w:rsidR="00DD694D" w:rsidRPr="00244766" w:rsidRDefault="00DD694D" w:rsidP="00DD694D">
            <w:pPr>
              <w:pStyle w:val="Normal-Table"/>
              <w:rPr>
                <w:szCs w:val="24"/>
              </w:rPr>
            </w:pPr>
          </w:p>
        </w:tc>
      </w:tr>
      <w:tr w:rsidR="00DD694D" w:rsidRPr="00CE4250" w14:paraId="4EE66316" w14:textId="24D10941" w:rsidTr="00521F67">
        <w:tc>
          <w:tcPr>
            <w:tcW w:w="1165" w:type="dxa"/>
          </w:tcPr>
          <w:p w14:paraId="261BE1B7" w14:textId="1AD5DCFA" w:rsidR="00DD694D" w:rsidRDefault="00DD694D" w:rsidP="00DD694D">
            <w:pPr>
              <w:pStyle w:val="Normal-Table"/>
            </w:pPr>
            <w:r>
              <w:t>Gen-18</w:t>
            </w:r>
          </w:p>
        </w:tc>
        <w:tc>
          <w:tcPr>
            <w:tcW w:w="10890" w:type="dxa"/>
          </w:tcPr>
          <w:p w14:paraId="16AEE726" w14:textId="1A6D7A40" w:rsidR="00DD694D" w:rsidRPr="00847A4F" w:rsidRDefault="00C92570" w:rsidP="00DD694D">
            <w:pPr>
              <w:pStyle w:val="Normal-Table"/>
            </w:pPr>
            <w:r>
              <w:t>The System must</w:t>
            </w:r>
            <w:r w:rsidR="00DD694D" w:rsidRPr="00847A4F">
              <w:t xml:space="preserve"> include </w:t>
            </w:r>
            <w:r w:rsidR="00DD694D">
              <w:t>all functionality necessary to gather, analyze, and report on Staff performance and operational metrics.</w:t>
            </w:r>
          </w:p>
        </w:tc>
        <w:tc>
          <w:tcPr>
            <w:tcW w:w="2340" w:type="dxa"/>
          </w:tcPr>
          <w:p w14:paraId="025CBB6A" w14:textId="77777777" w:rsidR="00DD694D" w:rsidRDefault="00DD694D" w:rsidP="00DD694D">
            <w:pPr>
              <w:pStyle w:val="Normal-Table"/>
            </w:pPr>
          </w:p>
        </w:tc>
      </w:tr>
      <w:tr w:rsidR="00DD694D" w:rsidRPr="00CE4250" w14:paraId="09A896AC" w14:textId="3A8E78D9" w:rsidTr="00521F67">
        <w:tc>
          <w:tcPr>
            <w:tcW w:w="1165" w:type="dxa"/>
          </w:tcPr>
          <w:p w14:paraId="166AC002" w14:textId="6B09C294" w:rsidR="00DD694D" w:rsidRDefault="00DD694D" w:rsidP="00DD694D">
            <w:pPr>
              <w:pStyle w:val="Normal-Table"/>
            </w:pPr>
            <w:r>
              <w:t>Gen-19</w:t>
            </w:r>
          </w:p>
        </w:tc>
        <w:tc>
          <w:tcPr>
            <w:tcW w:w="10890" w:type="dxa"/>
          </w:tcPr>
          <w:p w14:paraId="1854D629" w14:textId="58DCAC28" w:rsidR="00DD694D" w:rsidRPr="00471430" w:rsidRDefault="00DD694D" w:rsidP="00DD694D">
            <w:pPr>
              <w:pStyle w:val="Normal-Table"/>
            </w:pPr>
            <w:r w:rsidRPr="00006FB7">
              <w:t>Offeror must describe how their system can be deployed in a teleworking environment while still meeting TWC's mission and operational needs</w:t>
            </w:r>
            <w:r>
              <w:t>.</w:t>
            </w:r>
          </w:p>
        </w:tc>
        <w:tc>
          <w:tcPr>
            <w:tcW w:w="2340" w:type="dxa"/>
          </w:tcPr>
          <w:p w14:paraId="06BEDE2D" w14:textId="77777777" w:rsidR="00DD694D" w:rsidRPr="00006FB7" w:rsidRDefault="00DD694D" w:rsidP="00DD694D">
            <w:pPr>
              <w:pStyle w:val="Normal-Table"/>
            </w:pPr>
          </w:p>
        </w:tc>
      </w:tr>
      <w:tr w:rsidR="00DD694D" w:rsidRPr="00CE4250" w14:paraId="7F48841A" w14:textId="635E1772" w:rsidTr="00521F67">
        <w:tc>
          <w:tcPr>
            <w:tcW w:w="1165" w:type="dxa"/>
          </w:tcPr>
          <w:p w14:paraId="181668FA" w14:textId="71EF868E" w:rsidR="00DD694D" w:rsidRDefault="00DD694D" w:rsidP="00DD694D">
            <w:pPr>
              <w:pStyle w:val="Normal-Table"/>
            </w:pPr>
            <w:r>
              <w:t>Gen-20</w:t>
            </w:r>
          </w:p>
        </w:tc>
        <w:tc>
          <w:tcPr>
            <w:tcW w:w="10890" w:type="dxa"/>
          </w:tcPr>
          <w:p w14:paraId="2EC60F5F" w14:textId="633A688A" w:rsidR="00DD694D" w:rsidRPr="00471430" w:rsidRDefault="00C92570" w:rsidP="00DD694D">
            <w:pPr>
              <w:pStyle w:val="Normal-Table"/>
            </w:pPr>
            <w:r>
              <w:t>The System must</w:t>
            </w:r>
            <w:r w:rsidR="00DD694D" w:rsidRPr="00AC6977">
              <w:t xml:space="preserve"> include all functionality to allow customers to use credit/debit cards, online checking, and </w:t>
            </w:r>
            <w:r w:rsidR="00DD694D">
              <w:t>Electronic Funds Transfers (</w:t>
            </w:r>
            <w:r w:rsidR="00DD694D" w:rsidRPr="00AC6977">
              <w:t>EFTs</w:t>
            </w:r>
            <w:r w:rsidR="00DD694D">
              <w:t>)</w:t>
            </w:r>
            <w:r w:rsidR="00DD694D" w:rsidRPr="00AC6977">
              <w:t xml:space="preserve"> to pay TWC.</w:t>
            </w:r>
          </w:p>
        </w:tc>
        <w:tc>
          <w:tcPr>
            <w:tcW w:w="2340" w:type="dxa"/>
          </w:tcPr>
          <w:p w14:paraId="2BB66BF9" w14:textId="77777777" w:rsidR="00DD694D" w:rsidRPr="00AC6977" w:rsidRDefault="00DD694D" w:rsidP="00DD694D">
            <w:pPr>
              <w:pStyle w:val="Normal-Table"/>
            </w:pPr>
          </w:p>
        </w:tc>
      </w:tr>
      <w:tr w:rsidR="00DD694D" w:rsidRPr="00CE4250" w14:paraId="1035DF0F" w14:textId="1058F717" w:rsidTr="00521F67">
        <w:tc>
          <w:tcPr>
            <w:tcW w:w="1165" w:type="dxa"/>
          </w:tcPr>
          <w:p w14:paraId="3CFB3ACD" w14:textId="57D47BFF" w:rsidR="00DD694D" w:rsidRDefault="00DD694D" w:rsidP="00DD694D">
            <w:pPr>
              <w:pStyle w:val="Normal-Table"/>
            </w:pPr>
            <w:r>
              <w:t>Gen-21</w:t>
            </w:r>
          </w:p>
        </w:tc>
        <w:tc>
          <w:tcPr>
            <w:tcW w:w="10890" w:type="dxa"/>
          </w:tcPr>
          <w:p w14:paraId="13143F3E" w14:textId="7CFB4A28" w:rsidR="008B5083" w:rsidRDefault="00C92570" w:rsidP="00DD694D">
            <w:pPr>
              <w:pStyle w:val="Normal-Table"/>
            </w:pPr>
            <w:r>
              <w:t>The System must</w:t>
            </w:r>
            <w:r w:rsidR="00DD694D">
              <w:t xml:space="preserve"> archive data according to business rules and </w:t>
            </w:r>
            <w:r w:rsidR="00DD694D" w:rsidRPr="00CF45E7">
              <w:t>allow authorized users to reinstate</w:t>
            </w:r>
            <w:r w:rsidR="008B5083">
              <w:t xml:space="preserve"> and interact with</w:t>
            </w:r>
            <w:r w:rsidR="00DD694D" w:rsidRPr="00CF45E7">
              <w:t xml:space="preserve"> archived data</w:t>
            </w:r>
            <w:r w:rsidR="00DD694D">
              <w:t xml:space="preserve">. </w:t>
            </w:r>
          </w:p>
          <w:p w14:paraId="705B6267" w14:textId="5277AB3C" w:rsidR="008B5083" w:rsidRDefault="008B5083" w:rsidP="00DD694D">
            <w:pPr>
              <w:pStyle w:val="Normal-Table"/>
            </w:pPr>
            <w:r>
              <w:t xml:space="preserve">The Offeror must describe their data archiving functionality and whether archived data remains in the system in separate tables, remains in the productions tables but is </w:t>
            </w:r>
            <w:r>
              <w:lastRenderedPageBreak/>
              <w:t>flagged as “archived” so as to be ignored by regular operations, archived off to a separate system maintained by the vendor, deleted entirely, or whether the vendor archives off to a separate system they expect to be developed and maintained by TWC.</w:t>
            </w:r>
          </w:p>
          <w:p w14:paraId="0D0B93E8" w14:textId="5F4D562A" w:rsidR="00DD694D" w:rsidRPr="00471430" w:rsidRDefault="00DD694D" w:rsidP="00DD694D">
            <w:pPr>
              <w:pStyle w:val="Normal-Table"/>
            </w:pPr>
            <w:r>
              <w:t xml:space="preserve">The Offeror must describe how their solution will un-archive </w:t>
            </w:r>
            <w:r w:rsidR="008B5083">
              <w:t>data</w:t>
            </w:r>
            <w:r>
              <w:t xml:space="preserve"> from the existing </w:t>
            </w:r>
            <w:r w:rsidR="008B5083">
              <w:t xml:space="preserve">legacy </w:t>
            </w:r>
            <w:r>
              <w:t>archive</w:t>
            </w:r>
            <w:r w:rsidR="002018F4">
              <w:t xml:space="preserve"> and the time to access archived data</w:t>
            </w:r>
            <w:r>
              <w:t>.</w:t>
            </w:r>
          </w:p>
        </w:tc>
        <w:tc>
          <w:tcPr>
            <w:tcW w:w="2340" w:type="dxa"/>
          </w:tcPr>
          <w:p w14:paraId="400BF9B5" w14:textId="77777777" w:rsidR="00DD694D" w:rsidRDefault="00DD694D" w:rsidP="00DD694D">
            <w:pPr>
              <w:pStyle w:val="Normal-Table"/>
            </w:pPr>
          </w:p>
        </w:tc>
      </w:tr>
      <w:tr w:rsidR="00DD694D" w:rsidRPr="00CE4250" w14:paraId="2BBBC07B" w14:textId="2677721E" w:rsidTr="00521F67">
        <w:tc>
          <w:tcPr>
            <w:tcW w:w="1165" w:type="dxa"/>
          </w:tcPr>
          <w:p w14:paraId="3D34243F" w14:textId="5640E6DD" w:rsidR="00DD694D" w:rsidRDefault="00DD694D" w:rsidP="00DD694D">
            <w:pPr>
              <w:pStyle w:val="Normal-Table"/>
            </w:pPr>
            <w:r>
              <w:t>Gen-22</w:t>
            </w:r>
          </w:p>
        </w:tc>
        <w:tc>
          <w:tcPr>
            <w:tcW w:w="10890" w:type="dxa"/>
          </w:tcPr>
          <w:p w14:paraId="021E3FC2" w14:textId="18FD2B9B" w:rsidR="00DD694D" w:rsidRDefault="00C92570" w:rsidP="00DD694D">
            <w:pPr>
              <w:pStyle w:val="Normal-Table"/>
            </w:pPr>
            <w:r>
              <w:t>The System must</w:t>
            </w:r>
            <w:r w:rsidR="00DD694D" w:rsidRPr="00813C86">
              <w:t xml:space="preserve"> capture pre-selected responses in fields where possible, via drop-down menu lists or a similar approach, to standardize responses. For example, the reason for separation from </w:t>
            </w:r>
            <w:r w:rsidR="00DD694D">
              <w:t xml:space="preserve">Employer </w:t>
            </w:r>
            <w:r w:rsidR="00DD694D" w:rsidRPr="00813C86">
              <w:t>and the reason for overturning a decision on appeal. The Offeror must describe how these pre-selected responses are created and who has permissions t</w:t>
            </w:r>
            <w:r w:rsidR="00DD694D">
              <w:t>o edit the predetermined values.</w:t>
            </w:r>
          </w:p>
          <w:p w14:paraId="145F6BEB" w14:textId="7264E703" w:rsidR="00DD19BD" w:rsidRPr="00471430" w:rsidRDefault="006470E4" w:rsidP="00DD694D">
            <w:pPr>
              <w:pStyle w:val="Normal-Table"/>
            </w:pPr>
            <w:r>
              <w:t>The System must pre-populate data fields where possible and</w:t>
            </w:r>
            <w:r w:rsidR="00DD19BD">
              <w:t xml:space="preserve"> cascade data between input screens</w:t>
            </w:r>
            <w:r>
              <w:t xml:space="preserve"> </w:t>
            </w:r>
            <w:r w:rsidR="00DD19BD">
              <w:t>to improve productivity and reduce data entry errors</w:t>
            </w:r>
            <w:r>
              <w:t>.</w:t>
            </w:r>
          </w:p>
        </w:tc>
        <w:tc>
          <w:tcPr>
            <w:tcW w:w="2340" w:type="dxa"/>
          </w:tcPr>
          <w:p w14:paraId="4F61A8D0" w14:textId="77777777" w:rsidR="00DD694D" w:rsidRPr="00813C86" w:rsidRDefault="00DD694D" w:rsidP="00DD694D">
            <w:pPr>
              <w:pStyle w:val="Normal-Table"/>
            </w:pPr>
          </w:p>
        </w:tc>
      </w:tr>
      <w:tr w:rsidR="00DD694D" w:rsidRPr="00CE4250" w14:paraId="445E6C8B" w14:textId="70960B13" w:rsidTr="00521F67">
        <w:tc>
          <w:tcPr>
            <w:tcW w:w="1165" w:type="dxa"/>
          </w:tcPr>
          <w:p w14:paraId="41ABCD04" w14:textId="37C20151" w:rsidR="00DD694D" w:rsidRPr="00CE4250" w:rsidRDefault="00DD694D" w:rsidP="00DD694D">
            <w:pPr>
              <w:ind w:left="0"/>
              <w:rPr>
                <w:sz w:val="20"/>
              </w:rPr>
            </w:pPr>
            <w:r>
              <w:t>Gen-23</w:t>
            </w:r>
          </w:p>
        </w:tc>
        <w:tc>
          <w:tcPr>
            <w:tcW w:w="10890" w:type="dxa"/>
          </w:tcPr>
          <w:p w14:paraId="76E4D8CF" w14:textId="571FA0EB" w:rsidR="00DD694D" w:rsidRPr="00B42EE7" w:rsidRDefault="00C92570" w:rsidP="00DD694D">
            <w:pPr>
              <w:pStyle w:val="Normal-Table"/>
            </w:pPr>
            <w:r>
              <w:t>The System must</w:t>
            </w:r>
            <w:r w:rsidR="00DD694D" w:rsidRPr="00B42EE7">
              <w:t xml:space="preserve"> incorporate a “collect once use many” approach to data entry in order to eliminate redundant data entry.</w:t>
            </w:r>
          </w:p>
        </w:tc>
        <w:tc>
          <w:tcPr>
            <w:tcW w:w="2340" w:type="dxa"/>
          </w:tcPr>
          <w:p w14:paraId="4733DE19" w14:textId="77777777" w:rsidR="00DD694D" w:rsidRPr="00B42EE7" w:rsidRDefault="00DD694D" w:rsidP="00DD694D">
            <w:pPr>
              <w:pStyle w:val="Normal-Table"/>
            </w:pPr>
          </w:p>
        </w:tc>
      </w:tr>
      <w:tr w:rsidR="00DD694D" w:rsidRPr="00CE4250" w14:paraId="099D1748" w14:textId="2BDC4B36" w:rsidTr="00521F67">
        <w:tc>
          <w:tcPr>
            <w:tcW w:w="1165" w:type="dxa"/>
          </w:tcPr>
          <w:p w14:paraId="7EBA00AC" w14:textId="4F12129F" w:rsidR="00DD694D" w:rsidRPr="00CE4250" w:rsidRDefault="00DD694D" w:rsidP="00DD694D">
            <w:pPr>
              <w:pStyle w:val="Normal-Table"/>
            </w:pPr>
            <w:r>
              <w:t>Gen-24</w:t>
            </w:r>
          </w:p>
        </w:tc>
        <w:tc>
          <w:tcPr>
            <w:tcW w:w="10890" w:type="dxa"/>
          </w:tcPr>
          <w:p w14:paraId="40B8B8FA" w14:textId="70D48162" w:rsidR="00DD694D" w:rsidRPr="00CE4250" w:rsidRDefault="00C92570" w:rsidP="00DD694D">
            <w:pPr>
              <w:pStyle w:val="Normal-Table"/>
            </w:pPr>
            <w:r>
              <w:t>The System must</w:t>
            </w:r>
            <w:r w:rsidR="00DD694D" w:rsidRPr="00CE4250">
              <w:t xml:space="preserve"> provide spell checking in designated fields.</w:t>
            </w:r>
          </w:p>
        </w:tc>
        <w:tc>
          <w:tcPr>
            <w:tcW w:w="2340" w:type="dxa"/>
          </w:tcPr>
          <w:p w14:paraId="3D3E2033" w14:textId="77777777" w:rsidR="00DD694D" w:rsidRPr="00CE4250" w:rsidRDefault="00DD694D" w:rsidP="00DD694D">
            <w:pPr>
              <w:pStyle w:val="Normal-Table"/>
            </w:pPr>
          </w:p>
        </w:tc>
      </w:tr>
      <w:tr w:rsidR="00DD694D" w:rsidRPr="00CE4250" w14:paraId="2AA2B681" w14:textId="1366063E" w:rsidTr="00521F67">
        <w:tc>
          <w:tcPr>
            <w:tcW w:w="1165" w:type="dxa"/>
          </w:tcPr>
          <w:p w14:paraId="42E4B2E6" w14:textId="59B46277" w:rsidR="00DD694D" w:rsidRDefault="00DD694D" w:rsidP="00DD694D">
            <w:pPr>
              <w:pStyle w:val="Normal-Table"/>
            </w:pPr>
            <w:r>
              <w:t>Gen-25</w:t>
            </w:r>
          </w:p>
        </w:tc>
        <w:tc>
          <w:tcPr>
            <w:tcW w:w="10890" w:type="dxa"/>
          </w:tcPr>
          <w:p w14:paraId="5AAFF04E" w14:textId="0352F181" w:rsidR="00DD694D" w:rsidRPr="00471430" w:rsidRDefault="00DD694D" w:rsidP="00DD694D">
            <w:pPr>
              <w:pStyle w:val="Normal-Table"/>
            </w:pPr>
            <w:r w:rsidRPr="005C6D48">
              <w:t>The Offeror must describe what components of the solution are configurable by TWC including functionality, look/feel, new fields, rules engine, etc.</w:t>
            </w:r>
          </w:p>
        </w:tc>
        <w:tc>
          <w:tcPr>
            <w:tcW w:w="2340" w:type="dxa"/>
          </w:tcPr>
          <w:p w14:paraId="4C0A3776" w14:textId="77777777" w:rsidR="00DD694D" w:rsidRPr="005C6D48" w:rsidRDefault="00DD694D" w:rsidP="00DD694D">
            <w:pPr>
              <w:pStyle w:val="Normal-Table"/>
            </w:pPr>
          </w:p>
        </w:tc>
      </w:tr>
      <w:tr w:rsidR="00DD694D" w:rsidRPr="00CE4250" w14:paraId="3A49AC8B" w14:textId="3EFE99E3" w:rsidTr="00521F67">
        <w:tc>
          <w:tcPr>
            <w:tcW w:w="1165" w:type="dxa"/>
          </w:tcPr>
          <w:p w14:paraId="3F40485B" w14:textId="409A3571" w:rsidR="00DD694D" w:rsidRDefault="00DD694D" w:rsidP="00DD694D">
            <w:pPr>
              <w:pStyle w:val="Normal-Table"/>
            </w:pPr>
            <w:r>
              <w:t>Gen-26</w:t>
            </w:r>
          </w:p>
        </w:tc>
        <w:tc>
          <w:tcPr>
            <w:tcW w:w="10890" w:type="dxa"/>
          </w:tcPr>
          <w:p w14:paraId="2024AE91" w14:textId="203BB6E0" w:rsidR="00DD694D" w:rsidRPr="00471430" w:rsidRDefault="00DD694D" w:rsidP="00DD694D">
            <w:pPr>
              <w:pStyle w:val="Normal-Table"/>
            </w:pPr>
            <w:r w:rsidRPr="00720E97">
              <w:t>The Offeror must provide a summary of the training deliverables to include the Training Plan, Training Materials, Training Courses, System Configuration Training Plan, and Technical Support Training Plan.</w:t>
            </w:r>
          </w:p>
        </w:tc>
        <w:tc>
          <w:tcPr>
            <w:tcW w:w="2340" w:type="dxa"/>
          </w:tcPr>
          <w:p w14:paraId="48626225" w14:textId="2074A473" w:rsidR="00DD694D" w:rsidRPr="00720E97" w:rsidRDefault="006D43BC" w:rsidP="00DD694D">
            <w:pPr>
              <w:pStyle w:val="Normal-Table"/>
            </w:pPr>
            <w:hyperlink w:anchor="_2.2.12_Required_Deliverable" w:history="1">
              <w:r w:rsidR="009B7E37">
                <w:rPr>
                  <w:rStyle w:val="Hyperlink"/>
                </w:rPr>
                <w:t>Task 12</w:t>
              </w:r>
            </w:hyperlink>
          </w:p>
        </w:tc>
      </w:tr>
      <w:tr w:rsidR="00DD694D" w:rsidRPr="00CE4250" w14:paraId="59E67A64" w14:textId="015C06A1" w:rsidTr="00521F67">
        <w:tc>
          <w:tcPr>
            <w:tcW w:w="1165" w:type="dxa"/>
          </w:tcPr>
          <w:p w14:paraId="578015B5" w14:textId="47A8163C" w:rsidR="00DD694D" w:rsidRPr="00CE4250" w:rsidRDefault="00DD694D" w:rsidP="00DD694D">
            <w:pPr>
              <w:ind w:left="0"/>
              <w:rPr>
                <w:sz w:val="20"/>
              </w:rPr>
            </w:pPr>
            <w:r>
              <w:t>Gen-27</w:t>
            </w:r>
          </w:p>
        </w:tc>
        <w:tc>
          <w:tcPr>
            <w:tcW w:w="10890" w:type="dxa"/>
          </w:tcPr>
          <w:p w14:paraId="67CDB6B0" w14:textId="4C2ACD47" w:rsidR="00DD694D" w:rsidRPr="00633E49" w:rsidRDefault="00C92570" w:rsidP="00DD694D">
            <w:pPr>
              <w:pStyle w:val="Normal-Table"/>
            </w:pPr>
            <w:r>
              <w:t>The System must</w:t>
            </w:r>
            <w:r w:rsidR="00DD694D" w:rsidRPr="00633E49">
              <w:t xml:space="preserve"> display a user agreement for </w:t>
            </w:r>
            <w:r w:rsidR="00DD694D">
              <w:t>Claimants,</w:t>
            </w:r>
            <w:r w:rsidR="00DD694D" w:rsidRPr="00633E49">
              <w:t xml:space="preserve"> Employers</w:t>
            </w:r>
            <w:r w:rsidR="00DD694D">
              <w:t>, TPAs, etc.</w:t>
            </w:r>
            <w:r w:rsidR="00DD694D" w:rsidRPr="00633E49">
              <w:t xml:space="preserve"> and </w:t>
            </w:r>
            <w:r w:rsidR="00DD694D">
              <w:t xml:space="preserve">require that they </w:t>
            </w:r>
            <w:r w:rsidR="00DD694D" w:rsidRPr="00633E49">
              <w:t>acknowledge and accept the agreement</w:t>
            </w:r>
            <w:r w:rsidR="00DD694D">
              <w:t xml:space="preserve"> prior to accessing the system</w:t>
            </w:r>
            <w:r w:rsidR="00DD694D" w:rsidRPr="00633E49">
              <w:t>. TWC will provide the specific language.</w:t>
            </w:r>
          </w:p>
        </w:tc>
        <w:tc>
          <w:tcPr>
            <w:tcW w:w="2340" w:type="dxa"/>
          </w:tcPr>
          <w:p w14:paraId="4276F228" w14:textId="77777777" w:rsidR="00DD694D" w:rsidRPr="00633E49" w:rsidRDefault="00DD694D" w:rsidP="00DD694D">
            <w:pPr>
              <w:pStyle w:val="Normal-Table"/>
            </w:pPr>
          </w:p>
        </w:tc>
      </w:tr>
      <w:tr w:rsidR="00DD694D" w:rsidRPr="00CE4250" w14:paraId="7BCA8A2B" w14:textId="6834ADB0" w:rsidTr="00521F67">
        <w:tc>
          <w:tcPr>
            <w:tcW w:w="1165" w:type="dxa"/>
          </w:tcPr>
          <w:p w14:paraId="1CE25663" w14:textId="24AE5CCB" w:rsidR="00DD694D" w:rsidRDefault="00DD694D" w:rsidP="00DD694D">
            <w:pPr>
              <w:pStyle w:val="Normal-Table"/>
            </w:pPr>
            <w:r>
              <w:lastRenderedPageBreak/>
              <w:t>Gen-28</w:t>
            </w:r>
          </w:p>
        </w:tc>
        <w:tc>
          <w:tcPr>
            <w:tcW w:w="10890" w:type="dxa"/>
          </w:tcPr>
          <w:p w14:paraId="7E0DF54B" w14:textId="739F2822" w:rsidR="00DD694D" w:rsidRDefault="00C92570" w:rsidP="00DD694D">
            <w:pPr>
              <w:pStyle w:val="Normal-Table"/>
            </w:pPr>
            <w:r>
              <w:t>The System must</w:t>
            </w:r>
            <w:r w:rsidR="00DD694D">
              <w:t xml:space="preserve"> include a system administration user interface that allows authorized TWC Staff to:</w:t>
            </w:r>
          </w:p>
          <w:p w14:paraId="13903D26" w14:textId="40D26A12" w:rsidR="00DD694D" w:rsidRDefault="00DD694D" w:rsidP="00E16D2D">
            <w:pPr>
              <w:pStyle w:val="LB1-Table"/>
            </w:pPr>
            <w:r w:rsidRPr="00C43FB0">
              <w:rPr>
                <w:rStyle w:val="LB1Char"/>
              </w:rPr>
              <w:t xml:space="preserve">Update dynamic reference </w:t>
            </w:r>
            <w:r w:rsidRPr="00C43FB0">
              <w:rPr>
                <w:rStyle w:val="LB1-TableChar"/>
              </w:rPr>
              <w:t xml:space="preserve">data that business wants to control (e.g., monetary parameters, error messages, </w:t>
            </w:r>
            <w:r>
              <w:rPr>
                <w:rStyle w:val="LB1-TableChar"/>
              </w:rPr>
              <w:t>etc.</w:t>
            </w:r>
            <w:r w:rsidRPr="00C43FB0">
              <w:rPr>
                <w:rStyle w:val="LB1-TableChar"/>
              </w:rPr>
              <w:t>) in code tables, reference tables, or rules engine. Additional reference data may be added to this framework in subsequent co</w:t>
            </w:r>
            <w:r>
              <w:rPr>
                <w:rStyle w:val="LB1-TableChar"/>
              </w:rPr>
              <w:t>mponents</w:t>
            </w:r>
            <w:r>
              <w:t>.</w:t>
            </w:r>
          </w:p>
          <w:p w14:paraId="546D93DA" w14:textId="113A9774" w:rsidR="00DD694D" w:rsidRDefault="00DD694D" w:rsidP="00E16D2D">
            <w:pPr>
              <w:pStyle w:val="LB1-Table"/>
            </w:pPr>
            <w:r w:rsidRPr="00C43FB0">
              <w:rPr>
                <w:rStyle w:val="LB1-TableChar"/>
              </w:rPr>
              <w:t>Input and maintain messages and release notes that can be displayed on specif</w:t>
            </w:r>
            <w:r>
              <w:rPr>
                <w:rStyle w:val="LB1-TableChar"/>
              </w:rPr>
              <w:t>ically identified system pages</w:t>
            </w:r>
            <w:r>
              <w:t>.</w:t>
            </w:r>
          </w:p>
          <w:p w14:paraId="3218C857" w14:textId="15B084F8" w:rsidR="00DD694D" w:rsidRPr="00CB3173" w:rsidRDefault="00DD694D" w:rsidP="00116640">
            <w:pPr>
              <w:pStyle w:val="LB1-Table"/>
            </w:pPr>
            <w:r w:rsidRPr="00C43FB0">
              <w:rPr>
                <w:rStyle w:val="LB1-TableChar"/>
              </w:rPr>
              <w:t>Input and maintain messages to be displayed to individuals or groups for a specified audience during a specified date and time range. For example, system outage message</w:t>
            </w:r>
            <w:r>
              <w:t xml:space="preserve"> for a specific geography.</w:t>
            </w:r>
          </w:p>
        </w:tc>
        <w:tc>
          <w:tcPr>
            <w:tcW w:w="2340" w:type="dxa"/>
          </w:tcPr>
          <w:p w14:paraId="47F83757" w14:textId="77777777" w:rsidR="00DD694D" w:rsidRDefault="00DD694D" w:rsidP="00DD694D">
            <w:pPr>
              <w:pStyle w:val="Normal-Table"/>
            </w:pPr>
          </w:p>
        </w:tc>
      </w:tr>
      <w:tr w:rsidR="00DD694D" w:rsidRPr="00CE4250" w14:paraId="1363FF13" w14:textId="186FEEDB" w:rsidTr="00521F67">
        <w:tc>
          <w:tcPr>
            <w:tcW w:w="1165" w:type="dxa"/>
          </w:tcPr>
          <w:p w14:paraId="376D2F5B" w14:textId="4E2B47CD" w:rsidR="00DD694D" w:rsidRDefault="00DD694D" w:rsidP="00DD694D">
            <w:pPr>
              <w:pStyle w:val="Normal-Table"/>
            </w:pPr>
            <w:r>
              <w:t>Gen-29</w:t>
            </w:r>
          </w:p>
        </w:tc>
        <w:tc>
          <w:tcPr>
            <w:tcW w:w="10890" w:type="dxa"/>
          </w:tcPr>
          <w:p w14:paraId="72BE8E3F" w14:textId="51502654" w:rsidR="00DD694D" w:rsidRPr="00CB3173" w:rsidRDefault="00C92570" w:rsidP="00DD694D">
            <w:pPr>
              <w:pStyle w:val="Normal-Table"/>
            </w:pPr>
            <w:r>
              <w:t>The System must</w:t>
            </w:r>
            <w:r w:rsidR="00DD694D" w:rsidRPr="00CB3173">
              <w:t xml:space="preserve"> include modern features available across the industry, including social media, personalized broadcasts and mass mailings. The Offeror will describe how their solution will adapt to future social media platforms.</w:t>
            </w:r>
          </w:p>
        </w:tc>
        <w:tc>
          <w:tcPr>
            <w:tcW w:w="2340" w:type="dxa"/>
          </w:tcPr>
          <w:p w14:paraId="192B10C4" w14:textId="77777777" w:rsidR="00DD694D" w:rsidRPr="00CB3173" w:rsidRDefault="00DD694D" w:rsidP="00DD694D">
            <w:pPr>
              <w:pStyle w:val="Normal-Table"/>
            </w:pPr>
          </w:p>
        </w:tc>
      </w:tr>
      <w:tr w:rsidR="00DD694D" w:rsidRPr="00CE4250" w14:paraId="67BAD180" w14:textId="242EF470" w:rsidTr="00521F67">
        <w:tc>
          <w:tcPr>
            <w:tcW w:w="1165" w:type="dxa"/>
          </w:tcPr>
          <w:p w14:paraId="7E3D3CDD" w14:textId="7980810A" w:rsidR="00DD694D" w:rsidRDefault="00DD694D" w:rsidP="00DD694D">
            <w:pPr>
              <w:pStyle w:val="Normal-Table"/>
            </w:pPr>
            <w:r>
              <w:t>Gen-30</w:t>
            </w:r>
          </w:p>
        </w:tc>
        <w:tc>
          <w:tcPr>
            <w:tcW w:w="10890" w:type="dxa"/>
          </w:tcPr>
          <w:p w14:paraId="3693C998" w14:textId="77777777" w:rsidR="00DD694D" w:rsidRDefault="00DD694D" w:rsidP="00DD694D">
            <w:pPr>
              <w:pStyle w:val="Normal-Table"/>
            </w:pPr>
            <w:r w:rsidRPr="00232BE6">
              <w:t>The Offeror must describe how their solution will be accessible via multiple Internet browsers. Specify the browsers and versions supported by the solution.</w:t>
            </w:r>
            <w:r>
              <w:t xml:space="preserve"> Specify any browsers and versions with known compatibility issues with the solution.</w:t>
            </w:r>
          </w:p>
          <w:p w14:paraId="0E54D6A3" w14:textId="268D6398" w:rsidR="004B17DD" w:rsidRPr="00471430" w:rsidRDefault="004B17DD" w:rsidP="00DD694D">
            <w:pPr>
              <w:pStyle w:val="Normal-Table"/>
            </w:pPr>
            <w:r>
              <w:t>The System must pr</w:t>
            </w:r>
            <w:r w:rsidRPr="000C685A">
              <w:t xml:space="preserve">ovide printer-friendly versions of all </w:t>
            </w:r>
            <w:r>
              <w:t>Web</w:t>
            </w:r>
            <w:r w:rsidRPr="000C685A">
              <w:t xml:space="preserve"> pages</w:t>
            </w:r>
            <w:r>
              <w:t>.</w:t>
            </w:r>
          </w:p>
        </w:tc>
        <w:tc>
          <w:tcPr>
            <w:tcW w:w="2340" w:type="dxa"/>
          </w:tcPr>
          <w:p w14:paraId="3864403C" w14:textId="77777777" w:rsidR="00DD694D" w:rsidRPr="00232BE6" w:rsidRDefault="00DD694D" w:rsidP="00DD694D">
            <w:pPr>
              <w:pStyle w:val="Normal-Table"/>
            </w:pPr>
          </w:p>
        </w:tc>
      </w:tr>
      <w:tr w:rsidR="00DD694D" w:rsidRPr="00CE4250" w14:paraId="4DD2C738" w14:textId="79010593" w:rsidTr="00521F67">
        <w:tc>
          <w:tcPr>
            <w:tcW w:w="1165" w:type="dxa"/>
          </w:tcPr>
          <w:p w14:paraId="17EFA7CF" w14:textId="4562A9D0" w:rsidR="00DD694D" w:rsidRPr="00CE4250" w:rsidRDefault="00DD694D" w:rsidP="00DD694D">
            <w:pPr>
              <w:ind w:left="0"/>
              <w:rPr>
                <w:sz w:val="20"/>
              </w:rPr>
            </w:pPr>
            <w:bookmarkStart w:id="279" w:name="_Hlk4161443"/>
            <w:r>
              <w:t>Gen-31</w:t>
            </w:r>
          </w:p>
        </w:tc>
        <w:tc>
          <w:tcPr>
            <w:tcW w:w="10890" w:type="dxa"/>
          </w:tcPr>
          <w:p w14:paraId="60057E7F" w14:textId="575482E0" w:rsidR="00DD694D" w:rsidRPr="006432F1" w:rsidRDefault="00C92570" w:rsidP="00DD694D">
            <w:pPr>
              <w:pStyle w:val="Normal-Table"/>
            </w:pPr>
            <w:r>
              <w:t>The System must</w:t>
            </w:r>
            <w:r w:rsidR="00DD694D" w:rsidRPr="006432F1">
              <w:t xml:space="preserve"> provide mobile capabilities which may include mobile application</w:t>
            </w:r>
            <w:r w:rsidR="00DD694D">
              <w:t>s</w:t>
            </w:r>
            <w:r w:rsidR="00DD694D" w:rsidRPr="006432F1">
              <w:t xml:space="preserve"> or friendly on mobile devices through adaptive and responsive design. </w:t>
            </w:r>
            <w:r w:rsidR="00B9441C">
              <w:t xml:space="preserve">The Offeror must describe how </w:t>
            </w:r>
            <w:r w:rsidR="002C6E43">
              <w:t xml:space="preserve">mobile capabilities through </w:t>
            </w:r>
            <w:r w:rsidR="00B9441C">
              <w:t xml:space="preserve">their solution </w:t>
            </w:r>
            <w:r w:rsidR="002C6E43">
              <w:t xml:space="preserve">are </w:t>
            </w:r>
            <w:r w:rsidR="00B9441C">
              <w:t>secure</w:t>
            </w:r>
            <w:r w:rsidR="002C6E43">
              <w:t>.</w:t>
            </w:r>
          </w:p>
        </w:tc>
        <w:tc>
          <w:tcPr>
            <w:tcW w:w="2340" w:type="dxa"/>
          </w:tcPr>
          <w:p w14:paraId="373FD90E" w14:textId="77777777" w:rsidR="00DD694D" w:rsidRPr="006432F1" w:rsidRDefault="00DD694D" w:rsidP="00DD694D">
            <w:pPr>
              <w:pStyle w:val="Normal-Table"/>
            </w:pPr>
          </w:p>
        </w:tc>
      </w:tr>
      <w:bookmarkEnd w:id="279"/>
      <w:tr w:rsidR="00DD694D" w:rsidRPr="00CE4250" w14:paraId="397D5E73" w14:textId="2776C348" w:rsidTr="00521F67">
        <w:tc>
          <w:tcPr>
            <w:tcW w:w="1165" w:type="dxa"/>
          </w:tcPr>
          <w:p w14:paraId="7CB2EDCA" w14:textId="68982963" w:rsidR="00DD694D" w:rsidRDefault="00DD694D" w:rsidP="00DD694D">
            <w:pPr>
              <w:pStyle w:val="Normal-Table"/>
            </w:pPr>
            <w:r>
              <w:t>Gen-32</w:t>
            </w:r>
          </w:p>
        </w:tc>
        <w:tc>
          <w:tcPr>
            <w:tcW w:w="10890" w:type="dxa"/>
          </w:tcPr>
          <w:p w14:paraId="77595777" w14:textId="504EE2A6" w:rsidR="00DD694D" w:rsidRPr="00471430" w:rsidRDefault="00C92570" w:rsidP="00DD694D">
            <w:pPr>
              <w:pStyle w:val="Normal-Table"/>
            </w:pPr>
            <w:r>
              <w:t>The System must</w:t>
            </w:r>
            <w:r w:rsidR="00DD694D" w:rsidRPr="00AC0B8E">
              <w:t xml:space="preserve"> have the capability to display broadcast messages, banners, and alerts to </w:t>
            </w:r>
            <w:r w:rsidR="00DD694D">
              <w:t xml:space="preserve">all, specific, or a subset of </w:t>
            </w:r>
            <w:r w:rsidR="00DD694D" w:rsidRPr="00AC0B8E">
              <w:t>users configurable by TWC.</w:t>
            </w:r>
          </w:p>
        </w:tc>
        <w:tc>
          <w:tcPr>
            <w:tcW w:w="2340" w:type="dxa"/>
          </w:tcPr>
          <w:p w14:paraId="122E68CA" w14:textId="77777777" w:rsidR="00DD694D" w:rsidRPr="00AC0B8E" w:rsidRDefault="00DD694D" w:rsidP="00DD694D">
            <w:pPr>
              <w:pStyle w:val="Normal-Table"/>
            </w:pPr>
          </w:p>
        </w:tc>
      </w:tr>
      <w:tr w:rsidR="00DD694D" w:rsidRPr="00CE4250" w14:paraId="2BAF5EFF" w14:textId="1976D9BD" w:rsidTr="00521F67">
        <w:tc>
          <w:tcPr>
            <w:tcW w:w="1165" w:type="dxa"/>
          </w:tcPr>
          <w:p w14:paraId="199D431D" w14:textId="0079B77B" w:rsidR="00DD694D" w:rsidRDefault="00DD694D" w:rsidP="00DD694D">
            <w:pPr>
              <w:pStyle w:val="Normal-Table"/>
            </w:pPr>
            <w:r>
              <w:t>Gen-33</w:t>
            </w:r>
          </w:p>
        </w:tc>
        <w:tc>
          <w:tcPr>
            <w:tcW w:w="10890" w:type="dxa"/>
          </w:tcPr>
          <w:p w14:paraId="41246123" w14:textId="31DECDF6" w:rsidR="00DD694D" w:rsidRPr="00471430" w:rsidRDefault="00C92570" w:rsidP="00DD694D">
            <w:pPr>
              <w:pStyle w:val="Normal-Table"/>
            </w:pPr>
            <w:r>
              <w:t>The System must</w:t>
            </w:r>
            <w:r w:rsidR="00DD694D" w:rsidRPr="00AC0B8E">
              <w:t xml:space="preserve"> display a TWC-approved, system use notification banner message before granting system access informing potential users that the user is accessing a </w:t>
            </w:r>
            <w:r w:rsidR="00DD694D" w:rsidRPr="00AC0B8E">
              <w:lastRenderedPageBreak/>
              <w:t>Texas State Government information system. Notification wording to be provided by the Information Security Office (ISO).</w:t>
            </w:r>
          </w:p>
        </w:tc>
        <w:tc>
          <w:tcPr>
            <w:tcW w:w="2340" w:type="dxa"/>
          </w:tcPr>
          <w:p w14:paraId="7F8BDEA7" w14:textId="77777777" w:rsidR="00DD694D" w:rsidRPr="00AC0B8E" w:rsidRDefault="00DD694D" w:rsidP="00DD694D">
            <w:pPr>
              <w:pStyle w:val="Normal-Table"/>
            </w:pPr>
          </w:p>
        </w:tc>
      </w:tr>
      <w:tr w:rsidR="00DD694D" w:rsidRPr="00CE4250" w14:paraId="412C9CC5" w14:textId="33E9B94F" w:rsidTr="00521F67">
        <w:tc>
          <w:tcPr>
            <w:tcW w:w="1165" w:type="dxa"/>
          </w:tcPr>
          <w:p w14:paraId="61CF6132" w14:textId="17800D61" w:rsidR="00DD694D" w:rsidRDefault="00DD694D" w:rsidP="00DD694D">
            <w:pPr>
              <w:pStyle w:val="Normal-Table"/>
            </w:pPr>
            <w:r>
              <w:t>Gen-34</w:t>
            </w:r>
          </w:p>
        </w:tc>
        <w:tc>
          <w:tcPr>
            <w:tcW w:w="10890" w:type="dxa"/>
          </w:tcPr>
          <w:p w14:paraId="6BD0B7EB" w14:textId="75C7FFCE" w:rsidR="00DD694D" w:rsidRPr="00471430" w:rsidRDefault="00C92570" w:rsidP="00DD694D">
            <w:pPr>
              <w:pStyle w:val="Normal-Table"/>
            </w:pPr>
            <w:r>
              <w:t>The System must</w:t>
            </w:r>
            <w:r w:rsidR="00DD694D" w:rsidRPr="00AC0B8E">
              <w:t xml:space="preserve"> provide integrated, on-line user guides based on the role of the user, which identify capability and functionality available to Claimants, Employers, TPAs, and Staff.</w:t>
            </w:r>
          </w:p>
        </w:tc>
        <w:tc>
          <w:tcPr>
            <w:tcW w:w="2340" w:type="dxa"/>
          </w:tcPr>
          <w:p w14:paraId="2876E34B" w14:textId="77777777" w:rsidR="00DD694D" w:rsidRPr="00AC0B8E" w:rsidRDefault="00DD694D" w:rsidP="00DD694D">
            <w:pPr>
              <w:pStyle w:val="Normal-Table"/>
            </w:pPr>
          </w:p>
        </w:tc>
      </w:tr>
      <w:tr w:rsidR="00DD694D" w:rsidRPr="00CE4250" w14:paraId="6970337A" w14:textId="73FA74AE" w:rsidTr="00521F67">
        <w:tc>
          <w:tcPr>
            <w:tcW w:w="1165" w:type="dxa"/>
          </w:tcPr>
          <w:p w14:paraId="65CAF72D" w14:textId="05720CEB" w:rsidR="00DD694D" w:rsidRDefault="00DD694D" w:rsidP="00DD694D">
            <w:pPr>
              <w:pStyle w:val="Normal-Table"/>
            </w:pPr>
            <w:r>
              <w:t>Gen-35</w:t>
            </w:r>
          </w:p>
        </w:tc>
        <w:tc>
          <w:tcPr>
            <w:tcW w:w="10890" w:type="dxa"/>
          </w:tcPr>
          <w:p w14:paraId="3679604D" w14:textId="44531AB2" w:rsidR="00DD694D" w:rsidRPr="00471430" w:rsidRDefault="00DD694D" w:rsidP="00DD694D">
            <w:pPr>
              <w:pStyle w:val="Normal-Table"/>
            </w:pPr>
            <w:r w:rsidRPr="00AC0B8E">
              <w:t>The Offeror solution must provide on-line user documentation that is indexed and searchable. The solution also must provide links to TWC sites</w:t>
            </w:r>
            <w:r>
              <w:t xml:space="preserve"> and documents</w:t>
            </w:r>
            <w:r w:rsidRPr="00AC0B8E">
              <w:t xml:space="preserve"> such as those currently displayed on </w:t>
            </w:r>
            <w:hyperlink r:id="rId65" w:history="1">
              <w:r w:rsidRPr="00CC01B4">
                <w:rPr>
                  <w:rStyle w:val="Hyperlink"/>
                </w:rPr>
                <w:t>https://twc.texas.gov/</w:t>
              </w:r>
            </w:hyperlink>
            <w:r>
              <w:t xml:space="preserve"> </w:t>
            </w:r>
            <w:r w:rsidRPr="00AC0B8E">
              <w:t xml:space="preserve">(such as Unemployment Benefits, TWC Home, Contact </w:t>
            </w:r>
            <w:r>
              <w:t>Information, Work Search Log, and Unemployment Benefits at a Glance</w:t>
            </w:r>
            <w:r w:rsidRPr="00AC0B8E">
              <w:t>).</w:t>
            </w:r>
          </w:p>
        </w:tc>
        <w:tc>
          <w:tcPr>
            <w:tcW w:w="2340" w:type="dxa"/>
          </w:tcPr>
          <w:p w14:paraId="6A5B3F81" w14:textId="77777777" w:rsidR="00DD694D" w:rsidRPr="00AC0B8E" w:rsidRDefault="00DD694D" w:rsidP="00DD694D">
            <w:pPr>
              <w:pStyle w:val="Normal-Table"/>
            </w:pPr>
          </w:p>
        </w:tc>
      </w:tr>
      <w:tr w:rsidR="00DD694D" w:rsidRPr="00CE4250" w14:paraId="6FCCC275" w14:textId="49A0214A" w:rsidTr="00521F67">
        <w:tc>
          <w:tcPr>
            <w:tcW w:w="1165" w:type="dxa"/>
          </w:tcPr>
          <w:p w14:paraId="1073B06E" w14:textId="7B32CE62" w:rsidR="00DD694D" w:rsidRDefault="00DD694D" w:rsidP="00DD694D">
            <w:pPr>
              <w:pStyle w:val="Normal-Table"/>
            </w:pPr>
            <w:r>
              <w:t>Gen-36</w:t>
            </w:r>
          </w:p>
        </w:tc>
        <w:tc>
          <w:tcPr>
            <w:tcW w:w="10890" w:type="dxa"/>
          </w:tcPr>
          <w:p w14:paraId="41442F06" w14:textId="698DCA6A" w:rsidR="00DD694D" w:rsidRPr="00471430" w:rsidRDefault="00DD694D" w:rsidP="00DD694D">
            <w:pPr>
              <w:pStyle w:val="Normal-Table"/>
            </w:pPr>
            <w:r w:rsidRPr="00AC0B8E">
              <w:t>The Offeror solution must provide separate, focused and customized on-line help at the system, function, screen, error, and field levels.</w:t>
            </w:r>
          </w:p>
        </w:tc>
        <w:tc>
          <w:tcPr>
            <w:tcW w:w="2340" w:type="dxa"/>
          </w:tcPr>
          <w:p w14:paraId="1F29DD2A" w14:textId="77777777" w:rsidR="00DD694D" w:rsidRPr="00AC0B8E" w:rsidRDefault="00DD694D" w:rsidP="00DD694D">
            <w:pPr>
              <w:pStyle w:val="Normal-Table"/>
            </w:pPr>
          </w:p>
        </w:tc>
      </w:tr>
      <w:tr w:rsidR="00DD694D" w:rsidRPr="00CE4250" w14:paraId="5A49E5C1" w14:textId="24166076" w:rsidTr="00521F67">
        <w:tc>
          <w:tcPr>
            <w:tcW w:w="1165" w:type="dxa"/>
          </w:tcPr>
          <w:p w14:paraId="1D4CF512" w14:textId="7A803DB9" w:rsidR="00DD694D" w:rsidRDefault="00DD694D" w:rsidP="00DD694D">
            <w:pPr>
              <w:pStyle w:val="Normal-Table"/>
            </w:pPr>
            <w:r>
              <w:t>Gen-37</w:t>
            </w:r>
          </w:p>
        </w:tc>
        <w:tc>
          <w:tcPr>
            <w:tcW w:w="10890" w:type="dxa"/>
          </w:tcPr>
          <w:p w14:paraId="2C62830A" w14:textId="2ADD8201" w:rsidR="00DD694D" w:rsidRPr="00471430" w:rsidRDefault="00C92570" w:rsidP="00DD694D">
            <w:pPr>
              <w:pStyle w:val="Normal-Table"/>
            </w:pPr>
            <w:r>
              <w:t>The System must</w:t>
            </w:r>
            <w:r w:rsidR="00DD694D" w:rsidRPr="00D0330E">
              <w:t xml:space="preserve"> </w:t>
            </w:r>
            <w:r w:rsidR="001A104B">
              <w:t>comply with all</w:t>
            </w:r>
            <w:r w:rsidR="00DD694D" w:rsidRPr="00D0330E">
              <w:t xml:space="preserve"> </w:t>
            </w:r>
            <w:r w:rsidR="00F07969">
              <w:t xml:space="preserve">DOL and </w:t>
            </w:r>
            <w:r w:rsidR="00DD694D" w:rsidRPr="00D0330E">
              <w:t xml:space="preserve">Texas state </w:t>
            </w:r>
            <w:r w:rsidR="00F07969">
              <w:t xml:space="preserve">UI </w:t>
            </w:r>
            <w:r w:rsidR="00DD694D" w:rsidRPr="00D0330E">
              <w:t>requirements, such as the TUCA (</w:t>
            </w:r>
            <w:hyperlink r:id="rId66" w:history="1">
              <w:r w:rsidR="00DD694D">
                <w:rPr>
                  <w:rStyle w:val="Hyperlink"/>
                </w:rPr>
                <w:t>http://twc.texas.gov/agency/twc-primary-enabling-state-statutes</w:t>
              </w:r>
            </w:hyperlink>
            <w:r w:rsidR="00DD694D" w:rsidRPr="00D0330E">
              <w:t xml:space="preserve">). </w:t>
            </w:r>
          </w:p>
        </w:tc>
        <w:tc>
          <w:tcPr>
            <w:tcW w:w="2340" w:type="dxa"/>
          </w:tcPr>
          <w:p w14:paraId="097F5E4B" w14:textId="77777777" w:rsidR="00DD694D" w:rsidRPr="00D0330E" w:rsidRDefault="00DD694D" w:rsidP="00DD694D">
            <w:pPr>
              <w:pStyle w:val="Normal-Table"/>
            </w:pPr>
          </w:p>
        </w:tc>
      </w:tr>
      <w:tr w:rsidR="00DD694D" w:rsidRPr="00CE4250" w14:paraId="6597A8F7" w14:textId="76512B66" w:rsidTr="00521F67">
        <w:tc>
          <w:tcPr>
            <w:tcW w:w="1165" w:type="dxa"/>
          </w:tcPr>
          <w:p w14:paraId="6000161F" w14:textId="4D4A7563" w:rsidR="00DD694D" w:rsidRDefault="00DD694D" w:rsidP="00DD694D">
            <w:pPr>
              <w:pStyle w:val="Normal-Table"/>
            </w:pPr>
            <w:r>
              <w:t>Gen-38</w:t>
            </w:r>
          </w:p>
        </w:tc>
        <w:tc>
          <w:tcPr>
            <w:tcW w:w="10890" w:type="dxa"/>
          </w:tcPr>
          <w:p w14:paraId="7E5D8A82" w14:textId="0B0BF611" w:rsidR="00DD694D" w:rsidRPr="00471430" w:rsidRDefault="00C92570" w:rsidP="00DD694D">
            <w:pPr>
              <w:pStyle w:val="Normal-Table"/>
            </w:pPr>
            <w:r>
              <w:t>The System must</w:t>
            </w:r>
            <w:r w:rsidR="009B78A1">
              <w:t xml:space="preserve"> be kept current with Federal and State regulations and laws regarding </w:t>
            </w:r>
            <w:r w:rsidR="00F07969">
              <w:t xml:space="preserve">UI </w:t>
            </w:r>
            <w:r w:rsidR="009B78A1">
              <w:t>eligibility, service delivery, data capture</w:t>
            </w:r>
            <w:r w:rsidR="006C5D5E">
              <w:t>,</w:t>
            </w:r>
            <w:r w:rsidR="009B78A1">
              <w:t xml:space="preserve"> and reporting</w:t>
            </w:r>
            <w:r w:rsidR="006C5D5E">
              <w:t>.</w:t>
            </w:r>
            <w:r w:rsidR="009B78A1">
              <w:t xml:space="preserve"> </w:t>
            </w:r>
            <w:r w:rsidR="006C5D5E">
              <w:t>T</w:t>
            </w:r>
            <w:r w:rsidR="009B78A1">
              <w:t xml:space="preserve">he </w:t>
            </w:r>
            <w:r w:rsidR="006C5D5E" w:rsidRPr="00423D92">
              <w:t xml:space="preserve">Offeror </w:t>
            </w:r>
            <w:r w:rsidR="009B78A1">
              <w:t>must describe how their solution will do so and include details regarding timing to make changes, communication of changes to those utilizing the solution</w:t>
            </w:r>
            <w:r w:rsidR="006C5D5E">
              <w:t>,</w:t>
            </w:r>
            <w:r w:rsidR="009B78A1">
              <w:t xml:space="preserve"> procedures for customer testing and signoff before implementation</w:t>
            </w:r>
            <w:r w:rsidR="006C5D5E">
              <w:t xml:space="preserve">, </w:t>
            </w:r>
            <w:r w:rsidR="006C5D5E" w:rsidRPr="00CE4250">
              <w:t xml:space="preserve">and how </w:t>
            </w:r>
            <w:r w:rsidR="006C5D5E">
              <w:t xml:space="preserve">changes </w:t>
            </w:r>
            <w:r w:rsidR="006C5D5E" w:rsidRPr="00CE4250">
              <w:t>are priced</w:t>
            </w:r>
            <w:r w:rsidR="006C5D5E">
              <w:t>.</w:t>
            </w:r>
          </w:p>
        </w:tc>
        <w:tc>
          <w:tcPr>
            <w:tcW w:w="2340" w:type="dxa"/>
          </w:tcPr>
          <w:p w14:paraId="22FAE530" w14:textId="77777777" w:rsidR="00DD694D" w:rsidRPr="00D0330E" w:rsidRDefault="00DD694D" w:rsidP="00DD694D">
            <w:pPr>
              <w:pStyle w:val="Normal-Table"/>
            </w:pPr>
          </w:p>
        </w:tc>
      </w:tr>
      <w:tr w:rsidR="00DD694D" w:rsidRPr="00CE4250" w14:paraId="18F9E7DE" w14:textId="0E37231B" w:rsidTr="00521F67">
        <w:tc>
          <w:tcPr>
            <w:tcW w:w="1165" w:type="dxa"/>
          </w:tcPr>
          <w:p w14:paraId="063A02CC" w14:textId="499C2C99" w:rsidR="00DD694D" w:rsidRDefault="00DD694D" w:rsidP="00DD694D">
            <w:pPr>
              <w:pStyle w:val="Normal-Table"/>
            </w:pPr>
            <w:r>
              <w:t>Gen-39</w:t>
            </w:r>
          </w:p>
        </w:tc>
        <w:tc>
          <w:tcPr>
            <w:tcW w:w="10890" w:type="dxa"/>
          </w:tcPr>
          <w:p w14:paraId="7A89F145" w14:textId="63F15BCE" w:rsidR="00DD694D" w:rsidRPr="00471430" w:rsidRDefault="00C92570" w:rsidP="00DD694D">
            <w:pPr>
              <w:pStyle w:val="Normal-Table"/>
            </w:pPr>
            <w:r>
              <w:t>The System must</w:t>
            </w:r>
            <w:r w:rsidR="00DD694D" w:rsidRPr="00D0330E">
              <w:t xml:space="preserve"> include secure internet-based support, audio and video conferencing, and messaging capabilities such as chat and message center.</w:t>
            </w:r>
          </w:p>
        </w:tc>
        <w:tc>
          <w:tcPr>
            <w:tcW w:w="2340" w:type="dxa"/>
          </w:tcPr>
          <w:p w14:paraId="744A6CEA" w14:textId="77777777" w:rsidR="00DD694D" w:rsidRPr="00D0330E" w:rsidRDefault="00DD694D" w:rsidP="00DD694D">
            <w:pPr>
              <w:pStyle w:val="Normal-Table"/>
            </w:pPr>
          </w:p>
        </w:tc>
      </w:tr>
      <w:tr w:rsidR="00DD694D" w:rsidRPr="00CE4250" w14:paraId="7AD90C91" w14:textId="6641505B" w:rsidTr="00521F67">
        <w:tc>
          <w:tcPr>
            <w:tcW w:w="1165" w:type="dxa"/>
          </w:tcPr>
          <w:p w14:paraId="4640F69B" w14:textId="0EB5D86B" w:rsidR="00DD694D" w:rsidRDefault="00DD694D" w:rsidP="00DD694D">
            <w:pPr>
              <w:pStyle w:val="Normal-Table"/>
            </w:pPr>
            <w:r>
              <w:t>Gen-40</w:t>
            </w:r>
          </w:p>
        </w:tc>
        <w:tc>
          <w:tcPr>
            <w:tcW w:w="10890" w:type="dxa"/>
          </w:tcPr>
          <w:p w14:paraId="454172AC" w14:textId="65B3A3FA" w:rsidR="00DD694D" w:rsidRPr="00471430" w:rsidRDefault="00C92570" w:rsidP="00DD694D">
            <w:pPr>
              <w:pStyle w:val="Normal-Table"/>
            </w:pPr>
            <w:r>
              <w:t>The System must</w:t>
            </w:r>
            <w:r w:rsidR="00DD694D">
              <w:t xml:space="preserve"> produce all documents related to an open records request, including automatic redaction of PII.</w:t>
            </w:r>
          </w:p>
        </w:tc>
        <w:tc>
          <w:tcPr>
            <w:tcW w:w="2340" w:type="dxa"/>
          </w:tcPr>
          <w:p w14:paraId="72B49CEE" w14:textId="77777777" w:rsidR="00DD694D" w:rsidRDefault="00DD694D" w:rsidP="00DD694D">
            <w:pPr>
              <w:pStyle w:val="Normal-Table"/>
            </w:pPr>
          </w:p>
        </w:tc>
      </w:tr>
      <w:tr w:rsidR="00DD694D" w:rsidRPr="00CE4250" w14:paraId="610AF1F8" w14:textId="15F5498E" w:rsidTr="00521F67">
        <w:tc>
          <w:tcPr>
            <w:tcW w:w="1165" w:type="dxa"/>
          </w:tcPr>
          <w:p w14:paraId="2B5676CF" w14:textId="6C55E2DE" w:rsidR="00DD694D" w:rsidRDefault="00DD694D" w:rsidP="00DD694D">
            <w:pPr>
              <w:pStyle w:val="Normal-Table"/>
            </w:pPr>
            <w:r>
              <w:lastRenderedPageBreak/>
              <w:t>Gen-41</w:t>
            </w:r>
          </w:p>
        </w:tc>
        <w:tc>
          <w:tcPr>
            <w:tcW w:w="10890" w:type="dxa"/>
          </w:tcPr>
          <w:p w14:paraId="6AA68BE4" w14:textId="022BE8C7" w:rsidR="00DD694D" w:rsidRDefault="00C92570" w:rsidP="00DD694D">
            <w:pPr>
              <w:pStyle w:val="Normal-Table"/>
            </w:pPr>
            <w:r>
              <w:t>The System must</w:t>
            </w:r>
            <w:r w:rsidR="00DD694D" w:rsidRPr="007E1D48">
              <w:t xml:space="preserve"> validate all entered and imported data to the greatest extent possible</w:t>
            </w:r>
            <w:r w:rsidR="00414BF3">
              <w:t xml:space="preserve"> and describe how their solution will allow TWC to validate imported data</w:t>
            </w:r>
            <w:r w:rsidR="00DD694D" w:rsidRPr="007E1D48">
              <w:t xml:space="preserve">. </w:t>
            </w:r>
            <w:r>
              <w:t>The System must</w:t>
            </w:r>
            <w:r w:rsidR="00DD694D" w:rsidRPr="007E1D48">
              <w:t xml:space="preserve"> display appropriate and meaningful message(s) to the user when data does not meet the edit/validation requirements.</w:t>
            </w:r>
          </w:p>
          <w:p w14:paraId="1423B60B" w14:textId="77777777" w:rsidR="00DD4906" w:rsidRDefault="00DD4906" w:rsidP="00DD694D">
            <w:pPr>
              <w:pStyle w:val="Normal-Table"/>
            </w:pPr>
            <w:r w:rsidRPr="00423D92">
              <w:t>The Offeror must describe</w:t>
            </w:r>
            <w:r>
              <w:t xml:space="preserve"> how their solution allows a user to </w:t>
            </w:r>
            <w:r w:rsidR="00E23FD4">
              <w:t>review and modify</w:t>
            </w:r>
            <w:r>
              <w:t xml:space="preserve"> the business rules associated with importing </w:t>
            </w:r>
            <w:r w:rsidR="00E23FD4">
              <w:t xml:space="preserve">and validating </w:t>
            </w:r>
            <w:r>
              <w:t xml:space="preserve">data. </w:t>
            </w:r>
          </w:p>
          <w:p w14:paraId="2F18AF54" w14:textId="0826C9BE" w:rsidR="00E23FD4" w:rsidRPr="00471430" w:rsidRDefault="00E23FD4" w:rsidP="00DD694D">
            <w:pPr>
              <w:pStyle w:val="Normal-Table"/>
            </w:pPr>
            <w:r>
              <w:t>The Offeror must describe any known constraints for exporting and importing data.</w:t>
            </w:r>
          </w:p>
        </w:tc>
        <w:tc>
          <w:tcPr>
            <w:tcW w:w="2340" w:type="dxa"/>
          </w:tcPr>
          <w:p w14:paraId="7E13800F" w14:textId="77777777" w:rsidR="00DD694D" w:rsidRPr="007E1D48" w:rsidRDefault="00DD694D" w:rsidP="00DD694D">
            <w:pPr>
              <w:pStyle w:val="Normal-Table"/>
            </w:pPr>
          </w:p>
        </w:tc>
      </w:tr>
      <w:tr w:rsidR="00DD694D" w:rsidRPr="00CE4250" w14:paraId="23AA5B8B" w14:textId="4D24B77C" w:rsidTr="00521F67">
        <w:tc>
          <w:tcPr>
            <w:tcW w:w="1165" w:type="dxa"/>
          </w:tcPr>
          <w:p w14:paraId="2EABE2FB" w14:textId="0F7D95CA" w:rsidR="00DD694D" w:rsidRDefault="00DD694D" w:rsidP="00DD694D">
            <w:pPr>
              <w:pStyle w:val="Normal-Table"/>
            </w:pPr>
            <w:r>
              <w:t>Gen-42</w:t>
            </w:r>
          </w:p>
        </w:tc>
        <w:tc>
          <w:tcPr>
            <w:tcW w:w="10890" w:type="dxa"/>
          </w:tcPr>
          <w:p w14:paraId="132F966C" w14:textId="2503EA26" w:rsidR="00DD694D" w:rsidRPr="00471430" w:rsidRDefault="00DD694D" w:rsidP="00DD694D">
            <w:pPr>
              <w:pStyle w:val="Normal-Table"/>
            </w:pPr>
            <w:r w:rsidRPr="00423D92">
              <w:t>The Offeror must describe their customer support approach at launch and long-term support offerings. The support must occur within the United States</w:t>
            </w:r>
            <w:r>
              <w:t>.</w:t>
            </w:r>
          </w:p>
        </w:tc>
        <w:tc>
          <w:tcPr>
            <w:tcW w:w="2340" w:type="dxa"/>
          </w:tcPr>
          <w:p w14:paraId="149FE997" w14:textId="77777777" w:rsidR="00DD694D" w:rsidRPr="00423D92" w:rsidRDefault="00DD694D" w:rsidP="00DD694D">
            <w:pPr>
              <w:pStyle w:val="Normal-Table"/>
            </w:pPr>
          </w:p>
        </w:tc>
      </w:tr>
      <w:tr w:rsidR="00DD694D" w:rsidRPr="00CE4250" w14:paraId="587E33F5" w14:textId="55D0FBA7" w:rsidTr="00521F67">
        <w:tc>
          <w:tcPr>
            <w:tcW w:w="1165" w:type="dxa"/>
          </w:tcPr>
          <w:p w14:paraId="51AD93F7" w14:textId="296377C8" w:rsidR="00DD694D" w:rsidRDefault="00DD694D" w:rsidP="00DD694D">
            <w:pPr>
              <w:pStyle w:val="Normal-Table"/>
            </w:pPr>
            <w:r>
              <w:t>Gen-43</w:t>
            </w:r>
          </w:p>
        </w:tc>
        <w:tc>
          <w:tcPr>
            <w:tcW w:w="10890" w:type="dxa"/>
          </w:tcPr>
          <w:p w14:paraId="0B124F70" w14:textId="2512DEE4" w:rsidR="00DD694D" w:rsidRPr="00471430" w:rsidRDefault="00DD694D" w:rsidP="00DD694D">
            <w:pPr>
              <w:pStyle w:val="Normal-Table"/>
            </w:pPr>
            <w:r w:rsidRPr="00CE4250">
              <w:t>The Offeror must describe their approach to handling customization requests by TWC and its customers; the controls around that process, and how they are priced.</w:t>
            </w:r>
          </w:p>
        </w:tc>
        <w:tc>
          <w:tcPr>
            <w:tcW w:w="2340" w:type="dxa"/>
          </w:tcPr>
          <w:p w14:paraId="4D531F8B" w14:textId="77777777" w:rsidR="00DD694D" w:rsidRPr="00CE4250" w:rsidRDefault="00DD694D" w:rsidP="00DD694D">
            <w:pPr>
              <w:pStyle w:val="Normal-Table"/>
            </w:pPr>
          </w:p>
        </w:tc>
      </w:tr>
      <w:tr w:rsidR="00DD694D" w:rsidRPr="00CE4250" w14:paraId="0BD6685B" w14:textId="08EDE43A" w:rsidTr="00521F67">
        <w:tc>
          <w:tcPr>
            <w:tcW w:w="1165" w:type="dxa"/>
          </w:tcPr>
          <w:p w14:paraId="7098F03A" w14:textId="5CA3FCA4" w:rsidR="00DD694D" w:rsidRDefault="00DD694D" w:rsidP="00DD694D">
            <w:pPr>
              <w:pStyle w:val="Normal-Table"/>
            </w:pPr>
            <w:r>
              <w:t>Gen-44</w:t>
            </w:r>
          </w:p>
        </w:tc>
        <w:tc>
          <w:tcPr>
            <w:tcW w:w="10890" w:type="dxa"/>
          </w:tcPr>
          <w:p w14:paraId="3644E372" w14:textId="3756799B" w:rsidR="00DD694D" w:rsidRPr="00471430" w:rsidRDefault="00C92570" w:rsidP="00DD694D">
            <w:pPr>
              <w:pStyle w:val="Normal-Table"/>
            </w:pPr>
            <w:r>
              <w:t>The System must</w:t>
            </w:r>
            <w:r w:rsidR="00DD694D" w:rsidRPr="00E83D3F">
              <w:t xml:space="preserve"> accommodate any change of DOL or related mandated data elements, categories, and/or reports per DOL deadlines without additional cost, including changes created through DOL approved waivers.</w:t>
            </w:r>
          </w:p>
        </w:tc>
        <w:tc>
          <w:tcPr>
            <w:tcW w:w="2340" w:type="dxa"/>
          </w:tcPr>
          <w:p w14:paraId="2959388C" w14:textId="77777777" w:rsidR="00DD694D" w:rsidRPr="00E83D3F" w:rsidRDefault="00DD694D" w:rsidP="00DD694D">
            <w:pPr>
              <w:pStyle w:val="Normal-Table"/>
            </w:pPr>
          </w:p>
        </w:tc>
      </w:tr>
      <w:tr w:rsidR="00DD694D" w:rsidRPr="00CE4250" w14:paraId="7DDC08DC" w14:textId="5EDB2488" w:rsidTr="00521F67">
        <w:tc>
          <w:tcPr>
            <w:tcW w:w="1165" w:type="dxa"/>
          </w:tcPr>
          <w:p w14:paraId="7FCFD4D0" w14:textId="496B72E4" w:rsidR="00DD694D" w:rsidRDefault="00DD694D" w:rsidP="00DD694D">
            <w:pPr>
              <w:pStyle w:val="Normal-Table"/>
            </w:pPr>
            <w:r>
              <w:t>Gen-45</w:t>
            </w:r>
          </w:p>
        </w:tc>
        <w:tc>
          <w:tcPr>
            <w:tcW w:w="10890" w:type="dxa"/>
          </w:tcPr>
          <w:p w14:paraId="63242CEA" w14:textId="3482CBED" w:rsidR="00DD694D" w:rsidRPr="00471430" w:rsidRDefault="00C92570" w:rsidP="00DD694D">
            <w:pPr>
              <w:pStyle w:val="Normal-Table"/>
            </w:pPr>
            <w:r>
              <w:t>The System must</w:t>
            </w:r>
            <w:r w:rsidR="00DD694D">
              <w:t xml:space="preserve"> allow Staff to search for specific cases based on parameters (from DOL or internal), review the cases, select cases to include in the population, and generate a comprehensive case file including all correspondence for each case. </w:t>
            </w:r>
          </w:p>
        </w:tc>
        <w:tc>
          <w:tcPr>
            <w:tcW w:w="2340" w:type="dxa"/>
          </w:tcPr>
          <w:p w14:paraId="18154ECC" w14:textId="77777777" w:rsidR="00DD694D" w:rsidRDefault="00DD694D" w:rsidP="00DD694D">
            <w:pPr>
              <w:pStyle w:val="Normal-Table"/>
            </w:pPr>
          </w:p>
        </w:tc>
      </w:tr>
      <w:tr w:rsidR="00FA7957" w:rsidRPr="00CE4250" w14:paraId="6297B63E" w14:textId="77777777" w:rsidTr="00521F67">
        <w:tc>
          <w:tcPr>
            <w:tcW w:w="1165" w:type="dxa"/>
          </w:tcPr>
          <w:p w14:paraId="6EEF3559" w14:textId="28BDF806" w:rsidR="00FA7957" w:rsidRDefault="00FA7957" w:rsidP="00DD694D">
            <w:pPr>
              <w:pStyle w:val="Normal-Table"/>
            </w:pPr>
            <w:r>
              <w:t>Gen-46</w:t>
            </w:r>
          </w:p>
        </w:tc>
        <w:tc>
          <w:tcPr>
            <w:tcW w:w="10890" w:type="dxa"/>
          </w:tcPr>
          <w:p w14:paraId="69DE8B3E" w14:textId="35C95E39" w:rsidR="00FA7957" w:rsidRPr="00471430" w:rsidRDefault="00FA7957" w:rsidP="00DD694D">
            <w:pPr>
              <w:pStyle w:val="Normal-Table"/>
            </w:pPr>
            <w:r>
              <w:t xml:space="preserve">The Offeror must describe </w:t>
            </w:r>
            <w:r w:rsidRPr="00E378AD">
              <w:t xml:space="preserve">their approach to collaboration and ensuring effective collaboration with clients throughout </w:t>
            </w:r>
            <w:r>
              <w:t>all Required Project Deliverables</w:t>
            </w:r>
            <w:r w:rsidRPr="00E378AD">
              <w:t>.</w:t>
            </w:r>
            <w:r>
              <w:t xml:space="preserve">  Describe typical client resource requirements by phase.  Describe the customer coordination process for new releases, and anticipated frequencies of releases</w:t>
            </w:r>
            <w:r w:rsidR="00301503">
              <w:t>.</w:t>
            </w:r>
          </w:p>
        </w:tc>
        <w:tc>
          <w:tcPr>
            <w:tcW w:w="2340" w:type="dxa"/>
          </w:tcPr>
          <w:p w14:paraId="1990C9BA" w14:textId="77777777" w:rsidR="00FA7957" w:rsidRPr="00471430" w:rsidRDefault="00FA7957" w:rsidP="00DD694D">
            <w:pPr>
              <w:pStyle w:val="Normal-Table"/>
            </w:pPr>
          </w:p>
        </w:tc>
      </w:tr>
      <w:tr w:rsidR="00233D13" w:rsidRPr="00CE4250" w14:paraId="12DDDBE0" w14:textId="77777777" w:rsidTr="00521F67">
        <w:tc>
          <w:tcPr>
            <w:tcW w:w="1165" w:type="dxa"/>
          </w:tcPr>
          <w:p w14:paraId="5D194A70" w14:textId="455616A6" w:rsidR="00233D13" w:rsidRDefault="00233D13" w:rsidP="00DD694D">
            <w:pPr>
              <w:pStyle w:val="Normal-Table"/>
            </w:pPr>
            <w:r>
              <w:t>Gen-47</w:t>
            </w:r>
          </w:p>
        </w:tc>
        <w:tc>
          <w:tcPr>
            <w:tcW w:w="10890" w:type="dxa"/>
          </w:tcPr>
          <w:p w14:paraId="2E49A56C" w14:textId="1D926FBC" w:rsidR="00233D13" w:rsidRDefault="00233D13" w:rsidP="00DD694D">
            <w:pPr>
              <w:pStyle w:val="Normal-Table"/>
            </w:pPr>
            <w:r>
              <w:t>The System must support electronic signatures.</w:t>
            </w:r>
          </w:p>
        </w:tc>
        <w:tc>
          <w:tcPr>
            <w:tcW w:w="2340" w:type="dxa"/>
          </w:tcPr>
          <w:p w14:paraId="5A5BE7F1" w14:textId="77777777" w:rsidR="00233D13" w:rsidRPr="00471430" w:rsidRDefault="00233D13" w:rsidP="00DD694D">
            <w:pPr>
              <w:pStyle w:val="Normal-Table"/>
            </w:pPr>
          </w:p>
        </w:tc>
      </w:tr>
      <w:tr w:rsidR="00DD694D" w:rsidRPr="00CE4250" w14:paraId="79249CEF" w14:textId="047CB657" w:rsidTr="00521F67">
        <w:tc>
          <w:tcPr>
            <w:tcW w:w="1165" w:type="dxa"/>
          </w:tcPr>
          <w:p w14:paraId="79E3AA9C" w14:textId="032500DA" w:rsidR="00DD694D" w:rsidRDefault="00DD694D" w:rsidP="00DD694D">
            <w:pPr>
              <w:pStyle w:val="Normal-Table"/>
            </w:pPr>
            <w:r>
              <w:lastRenderedPageBreak/>
              <w:t>DOI-1</w:t>
            </w:r>
          </w:p>
        </w:tc>
        <w:tc>
          <w:tcPr>
            <w:tcW w:w="10890" w:type="dxa"/>
          </w:tcPr>
          <w:p w14:paraId="2E151071" w14:textId="75044C0E" w:rsidR="00DD694D" w:rsidRDefault="00DD694D" w:rsidP="00DD694D">
            <w:pPr>
              <w:pStyle w:val="Normal-Table"/>
            </w:pPr>
            <w:r w:rsidRPr="00471430">
              <w:t xml:space="preserve">The Offeror must describe their approach for moving data between </w:t>
            </w:r>
            <w:r>
              <w:t xml:space="preserve">their solution and </w:t>
            </w:r>
            <w:r w:rsidRPr="00471430">
              <w:t>TWC’s operational and reporting databases.</w:t>
            </w:r>
            <w:r w:rsidR="00D03A0C">
              <w:t xml:space="preserve"> The Offeror must include any tools used to keep data in sync.</w:t>
            </w:r>
          </w:p>
        </w:tc>
        <w:tc>
          <w:tcPr>
            <w:tcW w:w="2340" w:type="dxa"/>
          </w:tcPr>
          <w:p w14:paraId="3F6BCCFF" w14:textId="77777777" w:rsidR="00DD694D" w:rsidRPr="00471430" w:rsidRDefault="00DD694D" w:rsidP="00DD694D">
            <w:pPr>
              <w:pStyle w:val="Normal-Table"/>
            </w:pPr>
          </w:p>
        </w:tc>
      </w:tr>
      <w:tr w:rsidR="00DD694D" w:rsidRPr="00CE4250" w14:paraId="01602478" w14:textId="25A41E9E" w:rsidTr="00521F67">
        <w:tc>
          <w:tcPr>
            <w:tcW w:w="1165" w:type="dxa"/>
          </w:tcPr>
          <w:p w14:paraId="045732E3" w14:textId="1176074B" w:rsidR="00DD694D" w:rsidRDefault="00DD694D" w:rsidP="00DD694D">
            <w:pPr>
              <w:pStyle w:val="Normal-Table"/>
            </w:pPr>
            <w:r>
              <w:t>DOI-2</w:t>
            </w:r>
          </w:p>
        </w:tc>
        <w:tc>
          <w:tcPr>
            <w:tcW w:w="10890" w:type="dxa"/>
          </w:tcPr>
          <w:p w14:paraId="2047E670" w14:textId="69B04C79" w:rsidR="00DD694D" w:rsidRDefault="00DD694D" w:rsidP="00DD694D">
            <w:pPr>
              <w:pStyle w:val="Normal-Table"/>
            </w:pPr>
            <w:r w:rsidRPr="00471430">
              <w:t>The Offeror must describe how their solution will ensure database integrity between production database, any replicated reporting databases, and copies made for back-up and recovery.</w:t>
            </w:r>
          </w:p>
        </w:tc>
        <w:tc>
          <w:tcPr>
            <w:tcW w:w="2340" w:type="dxa"/>
          </w:tcPr>
          <w:p w14:paraId="24374DEB" w14:textId="77777777" w:rsidR="00DD694D" w:rsidRPr="00471430" w:rsidRDefault="00DD694D" w:rsidP="00DD694D">
            <w:pPr>
              <w:pStyle w:val="Normal-Table"/>
            </w:pPr>
          </w:p>
        </w:tc>
      </w:tr>
      <w:tr w:rsidR="00DD694D" w:rsidRPr="00CE4250" w14:paraId="6CCB8308" w14:textId="78B504E3" w:rsidTr="00521F67">
        <w:tc>
          <w:tcPr>
            <w:tcW w:w="1165" w:type="dxa"/>
          </w:tcPr>
          <w:p w14:paraId="294366AB" w14:textId="23145418" w:rsidR="00DD694D" w:rsidRDefault="00DD694D" w:rsidP="00DD694D">
            <w:pPr>
              <w:pStyle w:val="Normal-Table"/>
            </w:pPr>
            <w:r>
              <w:t>DOI-3</w:t>
            </w:r>
          </w:p>
        </w:tc>
        <w:tc>
          <w:tcPr>
            <w:tcW w:w="10890" w:type="dxa"/>
          </w:tcPr>
          <w:p w14:paraId="3839E6FF" w14:textId="2A645506" w:rsidR="00DD694D" w:rsidRDefault="00C92570" w:rsidP="00DD694D">
            <w:pPr>
              <w:pStyle w:val="Normal-Table"/>
            </w:pPr>
            <w:r>
              <w:t>The System must</w:t>
            </w:r>
            <w:r w:rsidR="00DD694D" w:rsidRPr="00471430">
              <w:t xml:space="preserve"> capture all data elements, including calculated fields, required by DOL for UI programs </w:t>
            </w:r>
            <w:r w:rsidR="007B14E0">
              <w:t xml:space="preserve">(Tax, Benefits, Appeals, RID, RTM, Statistical Sampling, and performance evaluation) </w:t>
            </w:r>
            <w:r w:rsidR="00DD694D" w:rsidRPr="00471430">
              <w:t>and be able to extract them to the TWC reporting system and/or the TWC Data Warehouse (once implemented).</w:t>
            </w:r>
          </w:p>
          <w:p w14:paraId="19C67036" w14:textId="57150048" w:rsidR="004D1D4E" w:rsidRDefault="00C92570" w:rsidP="00DD694D">
            <w:pPr>
              <w:pStyle w:val="Normal-Table"/>
            </w:pPr>
            <w:r>
              <w:t>The System must</w:t>
            </w:r>
            <w:r w:rsidR="004D1D4E">
              <w:t xml:space="preserve"> provide ongoing daily database transactions to TWC’s Data Warehouse (changes only) after initial load. The format should work with TWC’s current data warehouse software.</w:t>
            </w:r>
          </w:p>
        </w:tc>
        <w:tc>
          <w:tcPr>
            <w:tcW w:w="2340" w:type="dxa"/>
          </w:tcPr>
          <w:p w14:paraId="53897478" w14:textId="77777777" w:rsidR="00DD694D" w:rsidRPr="00471430" w:rsidRDefault="00DD694D" w:rsidP="00DD694D">
            <w:pPr>
              <w:pStyle w:val="Normal-Table"/>
            </w:pPr>
          </w:p>
        </w:tc>
      </w:tr>
      <w:tr w:rsidR="00DD694D" w:rsidRPr="00CE4250" w14:paraId="70048A7C" w14:textId="5B46111C" w:rsidTr="00521F67">
        <w:tc>
          <w:tcPr>
            <w:tcW w:w="1165" w:type="dxa"/>
          </w:tcPr>
          <w:p w14:paraId="1197AD0B" w14:textId="57FA25EB" w:rsidR="00DD694D" w:rsidRDefault="00DD694D" w:rsidP="00DD694D">
            <w:pPr>
              <w:pStyle w:val="Normal-Table"/>
            </w:pPr>
            <w:r>
              <w:t>DOI-4</w:t>
            </w:r>
          </w:p>
        </w:tc>
        <w:tc>
          <w:tcPr>
            <w:tcW w:w="10890" w:type="dxa"/>
          </w:tcPr>
          <w:p w14:paraId="105E9F41" w14:textId="3F0EBD48" w:rsidR="0026120B" w:rsidRDefault="00C92570" w:rsidP="00DD694D">
            <w:pPr>
              <w:pStyle w:val="Normal-Table"/>
            </w:pPr>
            <w:r>
              <w:t>The System must</w:t>
            </w:r>
            <w:r w:rsidR="0026120B" w:rsidRPr="00471430">
              <w:t xml:space="preserve"> </w:t>
            </w:r>
            <w:r w:rsidR="0026120B" w:rsidRPr="00E8429E">
              <w:t xml:space="preserve">have audit tracking </w:t>
            </w:r>
            <w:r w:rsidR="0026120B">
              <w:t xml:space="preserve">and control </w:t>
            </w:r>
            <w:r w:rsidR="0026120B" w:rsidRPr="00E8429E">
              <w:t>capabilities for data modifications and deletion</w:t>
            </w:r>
            <w:r w:rsidR="0026120B">
              <w:t xml:space="preserve">; and must describe in detail how these features work and what flexibility customers have in terms of customizing them. Examples of tracking and control expected are: </w:t>
            </w:r>
          </w:p>
          <w:p w14:paraId="0BA68376" w14:textId="0E131C96" w:rsidR="0026120B" w:rsidRPr="0026120B" w:rsidRDefault="0026120B" w:rsidP="00E16D2D">
            <w:pPr>
              <w:pStyle w:val="LB1-Table"/>
            </w:pPr>
            <w:r w:rsidRPr="0026120B">
              <w:t>Identification of data entry in key fields with details of what changed from and to, who made the change, and when it occurred;</w:t>
            </w:r>
          </w:p>
          <w:p w14:paraId="42DC8029" w14:textId="6FE5B44A" w:rsidR="0026120B" w:rsidRPr="0026120B" w:rsidRDefault="0026120B" w:rsidP="00E16D2D">
            <w:pPr>
              <w:pStyle w:val="LB1-Table"/>
            </w:pPr>
            <w:r>
              <w:t>R</w:t>
            </w:r>
            <w:r w:rsidRPr="0026120B">
              <w:t>ole-based controls on initial data entry, updates, corrections, and deletions;</w:t>
            </w:r>
          </w:p>
          <w:p w14:paraId="3FEF1FF1" w14:textId="7EC84E49" w:rsidR="0026120B" w:rsidRPr="0026120B" w:rsidRDefault="0026120B" w:rsidP="00116640">
            <w:pPr>
              <w:pStyle w:val="LB1-Table"/>
            </w:pPr>
            <w:r>
              <w:t>D</w:t>
            </w:r>
            <w:r w:rsidRPr="0026120B">
              <w:t>eletions in the form of “soft deletions” so that the original data/values remain in the system and can be queried, exported to TWC’s data warehouse, or even viewed in the system by staff with sufficient privileges;</w:t>
            </w:r>
            <w:r w:rsidR="003C1C06" w:rsidRPr="0026120B">
              <w:t xml:space="preserve"> and</w:t>
            </w:r>
          </w:p>
          <w:p w14:paraId="02D63D91" w14:textId="59984BDC" w:rsidR="00DD694D" w:rsidRPr="005C254C" w:rsidRDefault="0026120B" w:rsidP="00F82166">
            <w:pPr>
              <w:pStyle w:val="LB1-Table"/>
            </w:pPr>
            <w:r>
              <w:t>E</w:t>
            </w:r>
            <w:r w:rsidRPr="0026120B">
              <w:t>ach deletion should also have a “reason why” in the form of a reason category an</w:t>
            </w:r>
            <w:r w:rsidR="003C1C06">
              <w:t>d a free text explanation.</w:t>
            </w:r>
          </w:p>
        </w:tc>
        <w:tc>
          <w:tcPr>
            <w:tcW w:w="2340" w:type="dxa"/>
          </w:tcPr>
          <w:p w14:paraId="2A0B4021" w14:textId="77777777" w:rsidR="00DD694D" w:rsidRPr="009F11FE" w:rsidRDefault="00DD694D" w:rsidP="00DD694D">
            <w:pPr>
              <w:pStyle w:val="Normal-Table"/>
            </w:pPr>
          </w:p>
        </w:tc>
      </w:tr>
      <w:tr w:rsidR="00DD694D" w:rsidRPr="00CE4250" w14:paraId="7745252E" w14:textId="0CA80D7B" w:rsidTr="00521F67">
        <w:tc>
          <w:tcPr>
            <w:tcW w:w="1165" w:type="dxa"/>
          </w:tcPr>
          <w:p w14:paraId="5B8AFC32" w14:textId="29C91126" w:rsidR="00DD694D" w:rsidRDefault="00DD694D" w:rsidP="00DD694D">
            <w:pPr>
              <w:pStyle w:val="Normal-Table"/>
            </w:pPr>
            <w:r>
              <w:lastRenderedPageBreak/>
              <w:t>DOI-5</w:t>
            </w:r>
          </w:p>
        </w:tc>
        <w:tc>
          <w:tcPr>
            <w:tcW w:w="10890" w:type="dxa"/>
          </w:tcPr>
          <w:p w14:paraId="36FD47E6" w14:textId="135CD604" w:rsidR="00DD694D" w:rsidRPr="00F236C1" w:rsidRDefault="00C92570" w:rsidP="00DD694D">
            <w:pPr>
              <w:pStyle w:val="Normal-Table"/>
            </w:pPr>
            <w:r>
              <w:t>The System must</w:t>
            </w:r>
            <w:r w:rsidR="00DD694D" w:rsidRPr="00F236C1">
              <w:t xml:space="preserve"> collect all data elements required to meet Federal, Texas and local, operational requirements and export the information to the TWC reporting system and/or the TWC Data Warehouse (once implemented). Data elements include but are not limited to:</w:t>
            </w:r>
          </w:p>
          <w:p w14:paraId="2DBC05FE" w14:textId="6F1A77FD" w:rsidR="00DD694D" w:rsidRPr="00F236C1" w:rsidRDefault="00DD694D" w:rsidP="00DD694D">
            <w:pPr>
              <w:pStyle w:val="LB4"/>
              <w:numPr>
                <w:ilvl w:val="0"/>
                <w:numId w:val="4"/>
              </w:numPr>
              <w:ind w:left="360"/>
              <w:rPr>
                <w:sz w:val="24"/>
                <w:szCs w:val="24"/>
              </w:rPr>
            </w:pPr>
            <w:r w:rsidRPr="00F236C1">
              <w:rPr>
                <w:sz w:val="24"/>
                <w:szCs w:val="24"/>
              </w:rPr>
              <w:t xml:space="preserve">Extract of real-time </w:t>
            </w:r>
            <w:r w:rsidRPr="004142AE">
              <w:rPr>
                <w:sz w:val="24"/>
                <w:szCs w:val="24"/>
              </w:rPr>
              <w:t xml:space="preserve">Labor Market </w:t>
            </w:r>
            <w:r>
              <w:rPr>
                <w:sz w:val="24"/>
                <w:szCs w:val="24"/>
              </w:rPr>
              <w:t xml:space="preserve">and Career </w:t>
            </w:r>
            <w:r w:rsidRPr="004142AE">
              <w:rPr>
                <w:sz w:val="24"/>
                <w:szCs w:val="24"/>
              </w:rPr>
              <w:t>Information (</w:t>
            </w:r>
            <w:r w:rsidRPr="00F236C1">
              <w:rPr>
                <w:sz w:val="24"/>
                <w:szCs w:val="24"/>
              </w:rPr>
              <w:t>LM</w:t>
            </w:r>
            <w:r>
              <w:rPr>
                <w:sz w:val="24"/>
                <w:szCs w:val="24"/>
              </w:rPr>
              <w:t>C</w:t>
            </w:r>
            <w:r w:rsidRPr="00F236C1">
              <w:rPr>
                <w:sz w:val="24"/>
                <w:szCs w:val="24"/>
              </w:rPr>
              <w:t>I</w:t>
            </w:r>
            <w:r>
              <w:rPr>
                <w:sz w:val="24"/>
                <w:szCs w:val="24"/>
              </w:rPr>
              <w:t>)</w:t>
            </w:r>
            <w:r w:rsidRPr="00F236C1">
              <w:rPr>
                <w:sz w:val="24"/>
                <w:szCs w:val="24"/>
              </w:rPr>
              <w:t xml:space="preserve"> data (surveys, employer contact data).</w:t>
            </w:r>
          </w:p>
          <w:p w14:paraId="629D8DAD" w14:textId="77777777" w:rsidR="00DD694D" w:rsidRDefault="00DD694D" w:rsidP="00DD694D">
            <w:pPr>
              <w:pStyle w:val="LB4"/>
              <w:numPr>
                <w:ilvl w:val="0"/>
                <w:numId w:val="4"/>
              </w:numPr>
              <w:ind w:left="360"/>
              <w:rPr>
                <w:sz w:val="24"/>
                <w:szCs w:val="24"/>
              </w:rPr>
            </w:pPr>
            <w:r w:rsidRPr="00F236C1">
              <w:rPr>
                <w:sz w:val="24"/>
                <w:szCs w:val="24"/>
              </w:rPr>
              <w:t>Customer information and demographics (initial and subsequent updates).</w:t>
            </w:r>
          </w:p>
          <w:p w14:paraId="7DF9E7F9" w14:textId="66338C63" w:rsidR="00DD694D" w:rsidRPr="00B41147" w:rsidRDefault="00DD694D" w:rsidP="00DD694D">
            <w:pPr>
              <w:pStyle w:val="LB4"/>
              <w:numPr>
                <w:ilvl w:val="0"/>
                <w:numId w:val="4"/>
              </w:numPr>
              <w:ind w:left="360"/>
              <w:rPr>
                <w:sz w:val="24"/>
                <w:szCs w:val="24"/>
              </w:rPr>
            </w:pPr>
            <w:r w:rsidRPr="00B41147">
              <w:rPr>
                <w:sz w:val="24"/>
                <w:szCs w:val="24"/>
              </w:rPr>
              <w:t>Employer "demographics" (such as # employees; type of business) - both initial and subsequent updates.</w:t>
            </w:r>
          </w:p>
        </w:tc>
        <w:tc>
          <w:tcPr>
            <w:tcW w:w="2340" w:type="dxa"/>
          </w:tcPr>
          <w:p w14:paraId="2619D2D8" w14:textId="77777777" w:rsidR="00DD694D" w:rsidRPr="00F236C1" w:rsidRDefault="00DD694D" w:rsidP="00DD694D">
            <w:pPr>
              <w:pStyle w:val="Normal-Table"/>
            </w:pPr>
          </w:p>
        </w:tc>
      </w:tr>
      <w:tr w:rsidR="00DD694D" w:rsidRPr="00CE4250" w14:paraId="1EB0A969" w14:textId="47BA73EC" w:rsidTr="00521F67">
        <w:tc>
          <w:tcPr>
            <w:tcW w:w="1165" w:type="dxa"/>
          </w:tcPr>
          <w:p w14:paraId="7008E3AD" w14:textId="1F9BE0CA" w:rsidR="00DD694D" w:rsidRDefault="00DD694D" w:rsidP="00DD694D">
            <w:pPr>
              <w:pStyle w:val="Normal-Table"/>
            </w:pPr>
            <w:r>
              <w:t>EIR-1</w:t>
            </w:r>
          </w:p>
        </w:tc>
        <w:tc>
          <w:tcPr>
            <w:tcW w:w="10890" w:type="dxa"/>
          </w:tcPr>
          <w:p w14:paraId="201347A8" w14:textId="54DB70A1" w:rsidR="00DD694D" w:rsidRDefault="00DD694D" w:rsidP="00DD694D">
            <w:pPr>
              <w:pStyle w:val="Normal-Table"/>
            </w:pPr>
            <w:r w:rsidRPr="005C254C">
              <w:t xml:space="preserve">The </w:t>
            </w:r>
            <w:r w:rsidR="00A113B9" w:rsidRPr="00097662">
              <w:t xml:space="preserve">System </w:t>
            </w:r>
            <w:r w:rsidRPr="005C254C">
              <w:t>must meet EIR accessibility requirements</w:t>
            </w:r>
            <w:r>
              <w:t>.</w:t>
            </w:r>
          </w:p>
        </w:tc>
        <w:tc>
          <w:tcPr>
            <w:tcW w:w="2340" w:type="dxa"/>
          </w:tcPr>
          <w:p w14:paraId="56FDFB33" w14:textId="1CC86BC0" w:rsidR="00DD694D" w:rsidRPr="005C254C" w:rsidRDefault="006D43BC" w:rsidP="00DD694D">
            <w:pPr>
              <w:pStyle w:val="Normal-Table"/>
            </w:pPr>
            <w:hyperlink w:anchor="_6.9_Electronic_Information" w:history="1">
              <w:r w:rsidR="004B5C0F" w:rsidRPr="005C254C">
                <w:rPr>
                  <w:rStyle w:val="Hyperlink"/>
                </w:rPr>
                <w:t>Section 6.9</w:t>
              </w:r>
            </w:hyperlink>
          </w:p>
        </w:tc>
      </w:tr>
      <w:tr w:rsidR="00DD694D" w:rsidRPr="00CE4250" w14:paraId="75A92284" w14:textId="689AC4E4" w:rsidTr="00521F67">
        <w:tc>
          <w:tcPr>
            <w:tcW w:w="1165" w:type="dxa"/>
          </w:tcPr>
          <w:p w14:paraId="149404A6" w14:textId="77777777" w:rsidR="00DD694D" w:rsidRDefault="00DD694D" w:rsidP="00DD694D">
            <w:pPr>
              <w:pStyle w:val="Normal-Table"/>
            </w:pPr>
            <w:bookmarkStart w:id="280" w:name="_Hlk530989759"/>
            <w:r>
              <w:t>EIR-2</w:t>
            </w:r>
          </w:p>
        </w:tc>
        <w:tc>
          <w:tcPr>
            <w:tcW w:w="10890" w:type="dxa"/>
          </w:tcPr>
          <w:p w14:paraId="0D830024" w14:textId="6BF63214" w:rsidR="00DD694D" w:rsidRPr="005C254C" w:rsidRDefault="00DD694D" w:rsidP="00DD694D">
            <w:pPr>
              <w:pStyle w:val="Normal-Table"/>
            </w:pPr>
            <w:r>
              <w:t xml:space="preserve">The </w:t>
            </w:r>
            <w:r w:rsidR="00A113B9" w:rsidRPr="00097662">
              <w:t xml:space="preserve">System </w:t>
            </w:r>
            <w:r>
              <w:t xml:space="preserve">must </w:t>
            </w:r>
            <w:r w:rsidR="00E33F5E">
              <w:t xml:space="preserve">comply </w:t>
            </w:r>
            <w:r>
              <w:t>with ETA guidance and support alternative access options for individuals with barriers to filing by phone or on-line, such as those with Limited English Proficiency (LEP)</w:t>
            </w:r>
            <w:r w:rsidR="00E33F5E">
              <w:t xml:space="preserve"> (UIPL 30-11), Babel notices</w:t>
            </w:r>
            <w:r>
              <w:t>, disabilities, literacy issues including computer literacy, and computer access issues, etc.</w:t>
            </w:r>
          </w:p>
        </w:tc>
        <w:tc>
          <w:tcPr>
            <w:tcW w:w="2340" w:type="dxa"/>
          </w:tcPr>
          <w:p w14:paraId="14805837" w14:textId="77777777" w:rsidR="00DD694D" w:rsidRDefault="00DD694D" w:rsidP="00DD694D">
            <w:pPr>
              <w:pStyle w:val="Normal-Table"/>
            </w:pPr>
          </w:p>
        </w:tc>
      </w:tr>
      <w:bookmarkEnd w:id="280"/>
      <w:tr w:rsidR="00DD694D" w:rsidRPr="00CE4250" w14:paraId="1746FCD0" w14:textId="1AC4F359" w:rsidTr="00521F67">
        <w:tc>
          <w:tcPr>
            <w:tcW w:w="1165" w:type="dxa"/>
          </w:tcPr>
          <w:p w14:paraId="0A1B2D62" w14:textId="2DF9D8D2" w:rsidR="00DD694D" w:rsidRDefault="00DD694D" w:rsidP="00DD694D">
            <w:pPr>
              <w:pStyle w:val="Normal-Table"/>
            </w:pPr>
            <w:r>
              <w:t>RMC-1</w:t>
            </w:r>
          </w:p>
        </w:tc>
        <w:tc>
          <w:tcPr>
            <w:tcW w:w="10890" w:type="dxa"/>
          </w:tcPr>
          <w:p w14:paraId="4FA8BC27" w14:textId="6716FFEA" w:rsidR="00DD694D" w:rsidRDefault="00DD694D" w:rsidP="00DD694D">
            <w:pPr>
              <w:pStyle w:val="Normal-Table"/>
            </w:pPr>
            <w:r w:rsidRPr="00F55F5C">
              <w:t xml:space="preserve">The </w:t>
            </w:r>
            <w:r w:rsidR="00A113B9" w:rsidRPr="00097662">
              <w:t xml:space="preserve">System </w:t>
            </w:r>
            <w:r w:rsidRPr="00F55F5C">
              <w:t>must meet TWC’s Records Retention Schedule (</w:t>
            </w:r>
            <w:hyperlink r:id="rId67" w:history="1">
              <w:r w:rsidRPr="00F55F5C">
                <w:rPr>
                  <w:rStyle w:val="Hyperlink"/>
                </w:rPr>
                <w:t>https://www.tsl.texas.gov/sites/default/files/public/tslac/slrm/state/schedules/320.PDF</w:t>
              </w:r>
            </w:hyperlink>
            <w:r w:rsidRPr="00F55F5C">
              <w:t>).</w:t>
            </w:r>
          </w:p>
        </w:tc>
        <w:tc>
          <w:tcPr>
            <w:tcW w:w="2340" w:type="dxa"/>
          </w:tcPr>
          <w:p w14:paraId="10B86E1C" w14:textId="77777777" w:rsidR="00DD694D" w:rsidRPr="00F55F5C" w:rsidRDefault="00DD694D" w:rsidP="00DD694D">
            <w:pPr>
              <w:pStyle w:val="Normal-Table"/>
            </w:pPr>
          </w:p>
        </w:tc>
      </w:tr>
      <w:tr w:rsidR="00DD694D" w:rsidRPr="00CE4250" w14:paraId="3D526DF8" w14:textId="0E64D44F" w:rsidTr="00521F67">
        <w:tc>
          <w:tcPr>
            <w:tcW w:w="1165" w:type="dxa"/>
          </w:tcPr>
          <w:p w14:paraId="561C1833" w14:textId="52381B83" w:rsidR="00DD694D" w:rsidRDefault="00DD694D" w:rsidP="00DD694D">
            <w:pPr>
              <w:pStyle w:val="Normal-Table"/>
            </w:pPr>
            <w:r>
              <w:t>RMC-2</w:t>
            </w:r>
          </w:p>
        </w:tc>
        <w:tc>
          <w:tcPr>
            <w:tcW w:w="10890" w:type="dxa"/>
          </w:tcPr>
          <w:p w14:paraId="0ED931A6" w14:textId="2FD62120" w:rsidR="00DD694D" w:rsidRDefault="00DD694D" w:rsidP="00DD694D">
            <w:pPr>
              <w:pStyle w:val="Normal-Table"/>
            </w:pPr>
            <w:r w:rsidRPr="00F55F5C">
              <w:t xml:space="preserve">The </w:t>
            </w:r>
            <w:r w:rsidR="00A113B9" w:rsidRPr="00097662">
              <w:t xml:space="preserve">System </w:t>
            </w:r>
            <w:r w:rsidRPr="00F55F5C">
              <w:t>must provide the ability for Staff to specify archive/purging rules according to retention policies.</w:t>
            </w:r>
          </w:p>
        </w:tc>
        <w:tc>
          <w:tcPr>
            <w:tcW w:w="2340" w:type="dxa"/>
          </w:tcPr>
          <w:p w14:paraId="4D318DA6" w14:textId="77777777" w:rsidR="00DD694D" w:rsidRPr="00F55F5C" w:rsidRDefault="00DD694D" w:rsidP="00DD694D">
            <w:pPr>
              <w:pStyle w:val="Normal-Table"/>
            </w:pPr>
          </w:p>
        </w:tc>
      </w:tr>
      <w:tr w:rsidR="00DD694D" w:rsidRPr="00CE4250" w14:paraId="269DA047" w14:textId="011406EE" w:rsidTr="00521F67">
        <w:tc>
          <w:tcPr>
            <w:tcW w:w="1165" w:type="dxa"/>
          </w:tcPr>
          <w:p w14:paraId="73E3998B" w14:textId="6CD3062A" w:rsidR="00DD694D" w:rsidRDefault="00DD694D" w:rsidP="00DD694D">
            <w:pPr>
              <w:pStyle w:val="Normal-Table"/>
            </w:pPr>
            <w:r>
              <w:t>Rep-1</w:t>
            </w:r>
          </w:p>
        </w:tc>
        <w:tc>
          <w:tcPr>
            <w:tcW w:w="10890" w:type="dxa"/>
          </w:tcPr>
          <w:p w14:paraId="7D865CA8" w14:textId="3713E920" w:rsidR="00DD694D" w:rsidRDefault="00DD694D" w:rsidP="00DD694D">
            <w:pPr>
              <w:pStyle w:val="Normal-Table"/>
            </w:pPr>
            <w:r>
              <w:t xml:space="preserve">The </w:t>
            </w:r>
            <w:r w:rsidR="00A113B9" w:rsidRPr="00097662">
              <w:t xml:space="preserve">System </w:t>
            </w:r>
            <w:r w:rsidRPr="000C6D75">
              <w:t xml:space="preserve">must include all functionality necessary to create </w:t>
            </w:r>
            <w:r>
              <w:t>reports.</w:t>
            </w:r>
            <w:r w:rsidR="00984360">
              <w:t xml:space="preserve"> The Offeror must describe how their solution accesses data for reports and analysis without negatively impacting the production environment.</w:t>
            </w:r>
          </w:p>
        </w:tc>
        <w:tc>
          <w:tcPr>
            <w:tcW w:w="2340" w:type="dxa"/>
          </w:tcPr>
          <w:p w14:paraId="785A81F8" w14:textId="4572BA42" w:rsidR="00DD694D" w:rsidRDefault="006D43BC" w:rsidP="00DD694D">
            <w:pPr>
              <w:pStyle w:val="Normal-Table"/>
            </w:pPr>
            <w:hyperlink w:anchor="_Attachment_8_–" w:history="1">
              <w:r w:rsidR="004B5C0F" w:rsidRPr="008B5CCE">
                <w:rPr>
                  <w:rStyle w:val="Hyperlink"/>
                </w:rPr>
                <w:t>Attachment 8</w:t>
              </w:r>
            </w:hyperlink>
          </w:p>
        </w:tc>
      </w:tr>
      <w:tr w:rsidR="00212417" w:rsidRPr="00CE4250" w14:paraId="154A38E4" w14:textId="4338F910" w:rsidTr="00521F67">
        <w:tc>
          <w:tcPr>
            <w:tcW w:w="1165" w:type="dxa"/>
          </w:tcPr>
          <w:p w14:paraId="73B70022" w14:textId="14884C4E" w:rsidR="00212417" w:rsidRDefault="00212417" w:rsidP="00212417">
            <w:pPr>
              <w:pStyle w:val="Normal-Table"/>
            </w:pPr>
            <w:bookmarkStart w:id="281" w:name="_Hlk524450140"/>
            <w:r>
              <w:t>Rep-2</w:t>
            </w:r>
          </w:p>
        </w:tc>
        <w:tc>
          <w:tcPr>
            <w:tcW w:w="10890" w:type="dxa"/>
          </w:tcPr>
          <w:p w14:paraId="4E8D1422" w14:textId="71394BA2" w:rsidR="00212417" w:rsidRDefault="00212417" w:rsidP="00212417">
            <w:pPr>
              <w:pStyle w:val="Normal-Table"/>
            </w:pPr>
            <w:r>
              <w:t xml:space="preserve">The </w:t>
            </w:r>
            <w:r w:rsidR="00A113B9" w:rsidRPr="00097662">
              <w:t xml:space="preserve">System </w:t>
            </w:r>
            <w:r w:rsidRPr="000C6D75">
              <w:t xml:space="preserve">must include all functionality necessary to </w:t>
            </w:r>
            <w:r>
              <w:t xml:space="preserve">analyze data and </w:t>
            </w:r>
            <w:r w:rsidRPr="000C6D75">
              <w:t xml:space="preserve">create </w:t>
            </w:r>
            <w:r>
              <w:t xml:space="preserve">ad hoc reports including but not limited to production reports, error reports, statistical reports, </w:t>
            </w:r>
            <w:r>
              <w:lastRenderedPageBreak/>
              <w:t xml:space="preserve">and </w:t>
            </w:r>
            <w:r w:rsidRPr="001D317A">
              <w:t>metrics reports</w:t>
            </w:r>
            <w:r>
              <w:t xml:space="preserve"> (including </w:t>
            </w:r>
            <w:r w:rsidRPr="001D317A">
              <w:t>performance measurement/key performance indicators</w:t>
            </w:r>
            <w:r>
              <w:t xml:space="preserve"> reports).</w:t>
            </w:r>
          </w:p>
        </w:tc>
        <w:tc>
          <w:tcPr>
            <w:tcW w:w="2340" w:type="dxa"/>
          </w:tcPr>
          <w:p w14:paraId="7BB7A477" w14:textId="0341CA43" w:rsidR="00212417" w:rsidRDefault="006D43BC" w:rsidP="00212417">
            <w:pPr>
              <w:pStyle w:val="Normal-Table"/>
            </w:pPr>
            <w:hyperlink w:anchor="_Generate_Reports" w:history="1">
              <w:r w:rsidR="00212417">
                <w:rPr>
                  <w:rStyle w:val="Hyperlink"/>
                </w:rPr>
                <w:t>Attachment A6.9</w:t>
              </w:r>
            </w:hyperlink>
          </w:p>
        </w:tc>
      </w:tr>
      <w:bookmarkEnd w:id="281"/>
      <w:tr w:rsidR="00212417" w:rsidRPr="00CE4250" w14:paraId="1C0DFF5A" w14:textId="4F2D5846" w:rsidTr="00521F67">
        <w:tc>
          <w:tcPr>
            <w:tcW w:w="1165" w:type="dxa"/>
          </w:tcPr>
          <w:p w14:paraId="5393B5E1" w14:textId="0CB82F57" w:rsidR="00212417" w:rsidRPr="00111D27" w:rsidRDefault="00212417" w:rsidP="00212417">
            <w:pPr>
              <w:pStyle w:val="Normal-Table"/>
              <w:rPr>
                <w:szCs w:val="24"/>
              </w:rPr>
            </w:pPr>
            <w:r>
              <w:rPr>
                <w:szCs w:val="24"/>
              </w:rPr>
              <w:t>Rep-3</w:t>
            </w:r>
          </w:p>
        </w:tc>
        <w:tc>
          <w:tcPr>
            <w:tcW w:w="10890" w:type="dxa"/>
          </w:tcPr>
          <w:p w14:paraId="64B5586B" w14:textId="69108292" w:rsidR="00212417" w:rsidRPr="00111D27" w:rsidRDefault="00212417" w:rsidP="00212417">
            <w:pPr>
              <w:pStyle w:val="Normal-Table"/>
              <w:rPr>
                <w:szCs w:val="24"/>
              </w:rPr>
            </w:pPr>
            <w:r w:rsidRPr="00B42EE7">
              <w:rPr>
                <w:szCs w:val="24"/>
              </w:rPr>
              <w:t xml:space="preserve">The </w:t>
            </w:r>
            <w:r w:rsidR="00A113B9" w:rsidRPr="00097662">
              <w:t xml:space="preserve">System </w:t>
            </w:r>
            <w:r w:rsidRPr="00B42EE7">
              <w:rPr>
                <w:szCs w:val="24"/>
              </w:rPr>
              <w:t>must accommodate DOL mandated data and repo</w:t>
            </w:r>
            <w:r>
              <w:rPr>
                <w:szCs w:val="24"/>
              </w:rPr>
              <w:t xml:space="preserve">rt validation functions. </w:t>
            </w:r>
            <w:r w:rsidR="00C92570">
              <w:rPr>
                <w:szCs w:val="24"/>
              </w:rPr>
              <w:t>The System must</w:t>
            </w:r>
            <w:r w:rsidRPr="00B42EE7">
              <w:rPr>
                <w:szCs w:val="24"/>
              </w:rPr>
              <w:t xml:space="preserve"> collect the data necessary to produce required Federal Data Validation extract files (Tax</w:t>
            </w:r>
            <w:r>
              <w:rPr>
                <w:szCs w:val="24"/>
              </w:rPr>
              <w:t xml:space="preserve">, </w:t>
            </w:r>
            <w:r w:rsidRPr="00B42EE7">
              <w:rPr>
                <w:szCs w:val="24"/>
              </w:rPr>
              <w:t>Benefits</w:t>
            </w:r>
            <w:r>
              <w:rPr>
                <w:szCs w:val="24"/>
              </w:rPr>
              <w:t>, and Appeals</w:t>
            </w:r>
            <w:r w:rsidRPr="00B42EE7">
              <w:rPr>
                <w:szCs w:val="24"/>
              </w:rPr>
              <w:t>).</w:t>
            </w:r>
          </w:p>
        </w:tc>
        <w:tc>
          <w:tcPr>
            <w:tcW w:w="2340" w:type="dxa"/>
          </w:tcPr>
          <w:p w14:paraId="19A056C4" w14:textId="37144EC4" w:rsidR="00212417" w:rsidRPr="00B42EE7" w:rsidRDefault="006D43BC" w:rsidP="00212417">
            <w:pPr>
              <w:pStyle w:val="Normal-Table"/>
              <w:rPr>
                <w:szCs w:val="24"/>
              </w:rPr>
            </w:pPr>
            <w:hyperlink w:anchor="_Generate_Reports" w:history="1">
              <w:r w:rsidR="00212417">
                <w:rPr>
                  <w:rStyle w:val="Hyperlink"/>
                </w:rPr>
                <w:t>Attachment A6.9</w:t>
              </w:r>
            </w:hyperlink>
          </w:p>
        </w:tc>
      </w:tr>
      <w:tr w:rsidR="00212417" w:rsidRPr="00CE4250" w14:paraId="518E388A" w14:textId="372D4ECE" w:rsidTr="00521F67">
        <w:tc>
          <w:tcPr>
            <w:tcW w:w="1165" w:type="dxa"/>
          </w:tcPr>
          <w:p w14:paraId="161C09E9" w14:textId="25EAC92E" w:rsidR="00212417" w:rsidRDefault="00212417" w:rsidP="00212417">
            <w:pPr>
              <w:pStyle w:val="Normal-Table"/>
            </w:pPr>
            <w:bookmarkStart w:id="282" w:name="_Hlk525026026"/>
            <w:r>
              <w:t>Rep-4</w:t>
            </w:r>
          </w:p>
        </w:tc>
        <w:tc>
          <w:tcPr>
            <w:tcW w:w="10890" w:type="dxa"/>
          </w:tcPr>
          <w:p w14:paraId="12AC5B73" w14:textId="4D9BCF55" w:rsidR="00212417" w:rsidRDefault="00212417" w:rsidP="00212417">
            <w:pPr>
              <w:pStyle w:val="Normal-Table"/>
            </w:pPr>
            <w:r>
              <w:t xml:space="preserve">The </w:t>
            </w:r>
            <w:r w:rsidR="00A113B9" w:rsidRPr="00097662">
              <w:t xml:space="preserve">System </w:t>
            </w:r>
            <w:r>
              <w:t xml:space="preserve">must include all functionality necessary to create all federal and state mandated reports. </w:t>
            </w:r>
            <w:r w:rsidRPr="008A5623">
              <w:t>Awarded Vendor must ensure that these reports are timely and accurately updated to meet new state or federal reporting requirements including development of new state or federal reports that are mandated after the date that this RFO is published and thru the life of the contract.</w:t>
            </w:r>
          </w:p>
          <w:p w14:paraId="4CB4DCFA" w14:textId="6D6DD089" w:rsidR="002955C1" w:rsidRPr="008B0834" w:rsidRDefault="00C92570" w:rsidP="00212417">
            <w:pPr>
              <w:pStyle w:val="Normal-Table"/>
            </w:pPr>
            <w:r>
              <w:t>The System must</w:t>
            </w:r>
            <w:r w:rsidR="002955C1">
              <w:t xml:space="preserve"> be able to save and retain a copy of the data files used to create the reports, so the reports can be regenerated for reconciliation and auditing purposes. </w:t>
            </w:r>
          </w:p>
        </w:tc>
        <w:tc>
          <w:tcPr>
            <w:tcW w:w="2340" w:type="dxa"/>
          </w:tcPr>
          <w:p w14:paraId="6035181D" w14:textId="10ECEF2D" w:rsidR="00212417" w:rsidRDefault="006D43BC" w:rsidP="00212417">
            <w:pPr>
              <w:pStyle w:val="Normal-Table"/>
            </w:pPr>
            <w:hyperlink w:anchor="_Generate_Reports" w:history="1">
              <w:r w:rsidR="00212417">
                <w:rPr>
                  <w:rStyle w:val="Hyperlink"/>
                </w:rPr>
                <w:t>Attachment A6.9</w:t>
              </w:r>
            </w:hyperlink>
          </w:p>
        </w:tc>
      </w:tr>
      <w:bookmarkEnd w:id="282"/>
      <w:tr w:rsidR="00212417" w:rsidRPr="00CE4250" w14:paraId="4FE63263" w14:textId="6FEB0439" w:rsidTr="00521F67">
        <w:tc>
          <w:tcPr>
            <w:tcW w:w="1165" w:type="dxa"/>
          </w:tcPr>
          <w:p w14:paraId="2F8E9014" w14:textId="535128B1" w:rsidR="00212417" w:rsidRDefault="00212417" w:rsidP="00212417">
            <w:pPr>
              <w:pStyle w:val="Normal-Table"/>
            </w:pPr>
            <w:r>
              <w:t>SLA-1</w:t>
            </w:r>
          </w:p>
        </w:tc>
        <w:tc>
          <w:tcPr>
            <w:tcW w:w="10890" w:type="dxa"/>
          </w:tcPr>
          <w:p w14:paraId="0B3A1FE4" w14:textId="455C61C2" w:rsidR="00212417" w:rsidRDefault="00212417" w:rsidP="00212417">
            <w:pPr>
              <w:pStyle w:val="Normal-Table"/>
            </w:pPr>
            <w:r w:rsidRPr="008B0834">
              <w:t xml:space="preserve">The Offeror must describe </w:t>
            </w:r>
            <w:r>
              <w:t xml:space="preserve">how they will meet or exceed </w:t>
            </w:r>
            <w:r w:rsidRPr="008B0834">
              <w:t>the</w:t>
            </w:r>
            <w:r>
              <w:t xml:space="preserve"> </w:t>
            </w:r>
            <w:r w:rsidRPr="008B0834">
              <w:t>SLAs.</w:t>
            </w:r>
          </w:p>
        </w:tc>
        <w:tc>
          <w:tcPr>
            <w:tcW w:w="2340" w:type="dxa"/>
          </w:tcPr>
          <w:p w14:paraId="260DE9EE" w14:textId="776AD907" w:rsidR="00212417" w:rsidRPr="008B0834" w:rsidRDefault="006D43BC" w:rsidP="00212417">
            <w:pPr>
              <w:pStyle w:val="Normal-Table"/>
            </w:pPr>
            <w:hyperlink w:anchor="_Attachment_10_–" w:history="1">
              <w:r w:rsidR="00212417" w:rsidRPr="008B5CCE">
                <w:rPr>
                  <w:rStyle w:val="Hyperlink"/>
                </w:rPr>
                <w:t xml:space="preserve">Attachment </w:t>
              </w:r>
              <w:r w:rsidR="00212417">
                <w:rPr>
                  <w:rStyle w:val="Hyperlink"/>
                </w:rPr>
                <w:t>10</w:t>
              </w:r>
            </w:hyperlink>
          </w:p>
        </w:tc>
      </w:tr>
    </w:tbl>
    <w:p w14:paraId="07BE2FDF" w14:textId="31E081B7" w:rsidR="00C10A50" w:rsidRDefault="00C10A50" w:rsidP="00C6186B">
      <w:pPr>
        <w:ind w:left="0"/>
        <w:rPr>
          <w:highlight w:val="yellow"/>
        </w:rPr>
      </w:pPr>
    </w:p>
    <w:p w14:paraId="246D2823" w14:textId="77777777" w:rsidR="00F02BB7" w:rsidRPr="00F02BB7" w:rsidRDefault="00F02BB7" w:rsidP="00F02BB7">
      <w:pPr>
        <w:shd w:val="clear" w:color="auto" w:fill="C5E0B3" w:themeFill="accent6" w:themeFillTint="66"/>
        <w:ind w:left="0"/>
      </w:pPr>
      <w:r w:rsidRPr="00F02BB7">
        <w:rPr>
          <w:b/>
        </w:rPr>
        <w:t>Technical/System Requirements</w:t>
      </w:r>
      <w:r w:rsidRPr="00F02BB7">
        <w:t xml:space="preserve"> </w:t>
      </w:r>
    </w:p>
    <w:p w14:paraId="4D31F8A6" w14:textId="6B7FE47B" w:rsidR="00C1051E" w:rsidRDefault="00C1051E" w:rsidP="00C1051E">
      <w:pPr>
        <w:ind w:left="0"/>
        <w:rPr>
          <w:szCs w:val="24"/>
        </w:rPr>
      </w:pPr>
      <w:r w:rsidRPr="00D03ACD">
        <w:rPr>
          <w:b/>
        </w:rPr>
        <w:t>For each Technical/System requirement</w:t>
      </w:r>
      <w:r>
        <w:t>, t</w:t>
      </w:r>
      <w:r w:rsidRPr="0054649A">
        <w:t xml:space="preserve">he Offeror </w:t>
      </w:r>
      <w:r w:rsidRPr="00CD16AB">
        <w:rPr>
          <w:szCs w:val="24"/>
        </w:rPr>
        <w:t>must</w:t>
      </w:r>
      <w:r>
        <w:rPr>
          <w:szCs w:val="24"/>
        </w:rPr>
        <w:t>:</w:t>
      </w:r>
    </w:p>
    <w:p w14:paraId="111CDB97" w14:textId="77777777" w:rsidR="00C1051E" w:rsidRDefault="00C1051E" w:rsidP="00E16D2D">
      <w:pPr>
        <w:pStyle w:val="LB1"/>
      </w:pPr>
      <w:r>
        <w:t>Indicate if their solution Fully Meets, Partially Meets, or Does Not Meet the requirement;</w:t>
      </w:r>
    </w:p>
    <w:p w14:paraId="1B20E249" w14:textId="5667C6FB" w:rsidR="00C1051E" w:rsidRDefault="001E6A0C" w:rsidP="00E16D2D">
      <w:pPr>
        <w:pStyle w:val="LB1"/>
      </w:pPr>
      <w:r>
        <w:t>Specify if the requirement is a Core System Capability, a Simple Configurable Option, a Complex Configurable Option, or Requires Custom Development; and</w:t>
      </w:r>
    </w:p>
    <w:p w14:paraId="5795C75C" w14:textId="1A557BC6" w:rsidR="00C1051E" w:rsidRDefault="00620C4C" w:rsidP="00116640">
      <w:pPr>
        <w:pStyle w:val="LB1"/>
      </w:pPr>
      <w:r>
        <w:t>Provide a descriptive response including</w:t>
      </w:r>
      <w:r w:rsidR="00C1051E">
        <w:t>:</w:t>
      </w:r>
    </w:p>
    <w:p w14:paraId="280E0125" w14:textId="77777777" w:rsidR="00C1051E" w:rsidRPr="00144F6D" w:rsidRDefault="00C1051E" w:rsidP="00F82166">
      <w:pPr>
        <w:pStyle w:val="OB1"/>
      </w:pPr>
      <w:r>
        <w:t>How the requirement is or will be met;</w:t>
      </w:r>
    </w:p>
    <w:p w14:paraId="582DF7BE" w14:textId="77777777" w:rsidR="00EF50D7" w:rsidRPr="001E6A0C" w:rsidRDefault="00EF50D7" w:rsidP="00F82166">
      <w:pPr>
        <w:pStyle w:val="OB1"/>
      </w:pPr>
      <w:r>
        <w:t xml:space="preserve">If the requirement is in production at an existing site; </w:t>
      </w:r>
    </w:p>
    <w:p w14:paraId="31F952ED" w14:textId="77777777" w:rsidR="00C1051E" w:rsidRDefault="00C1051E">
      <w:pPr>
        <w:pStyle w:val="OB1"/>
      </w:pPr>
      <w:r>
        <w:t xml:space="preserve">Provide supporting documentation; and </w:t>
      </w:r>
    </w:p>
    <w:p w14:paraId="44EF2E02" w14:textId="77777777" w:rsidR="00C1051E" w:rsidRDefault="00C1051E">
      <w:pPr>
        <w:pStyle w:val="OB1"/>
      </w:pPr>
      <w:r>
        <w:t>Identify system components that support the requirement.</w:t>
      </w:r>
    </w:p>
    <w:p w14:paraId="0CDD2353" w14:textId="459023B4" w:rsidR="00C1051E" w:rsidRPr="00F02BB7" w:rsidRDefault="00C1051E" w:rsidP="00C6186B">
      <w:pPr>
        <w:ind w:left="0"/>
        <w:rPr>
          <w:b/>
          <w:u w:val="single"/>
        </w:rPr>
      </w:pPr>
    </w:p>
    <w:tbl>
      <w:tblPr>
        <w:tblStyle w:val="TableGrid"/>
        <w:tblW w:w="14305" w:type="dxa"/>
        <w:tblLayout w:type="fixed"/>
        <w:tblCellMar>
          <w:top w:w="72" w:type="dxa"/>
          <w:left w:w="115" w:type="dxa"/>
          <w:right w:w="115" w:type="dxa"/>
        </w:tblCellMar>
        <w:tblLook w:val="04A0" w:firstRow="1" w:lastRow="0" w:firstColumn="1" w:lastColumn="0" w:noHBand="0" w:noVBand="1"/>
        <w:tblCaption w:val="UI Requirements and Response Sheet"/>
        <w:tblDescription w:val="Table of technical and system requirements "/>
      </w:tblPr>
      <w:tblGrid>
        <w:gridCol w:w="1165"/>
        <w:gridCol w:w="13140"/>
      </w:tblGrid>
      <w:tr w:rsidR="00F02BB7" w:rsidRPr="00B42F08" w14:paraId="2EA3B91B" w14:textId="77777777" w:rsidTr="00F02BB7">
        <w:trPr>
          <w:tblHeader/>
        </w:trPr>
        <w:tc>
          <w:tcPr>
            <w:tcW w:w="1165" w:type="dxa"/>
            <w:tcBorders>
              <w:bottom w:val="single" w:sz="4" w:space="0" w:color="000000" w:themeColor="text1"/>
            </w:tcBorders>
            <w:shd w:val="clear" w:color="auto" w:fill="DEEAF6" w:themeFill="accent1" w:themeFillTint="33"/>
            <w:vAlign w:val="center"/>
          </w:tcPr>
          <w:p w14:paraId="737E85C9" w14:textId="77777777" w:rsidR="00F02BB7" w:rsidRPr="00F02BB7" w:rsidRDefault="00F02BB7" w:rsidP="00A91669">
            <w:pPr>
              <w:pStyle w:val="Normal-Table"/>
              <w:rPr>
                <w:b/>
              </w:rPr>
            </w:pPr>
            <w:r w:rsidRPr="00F02BB7">
              <w:rPr>
                <w:b/>
              </w:rPr>
              <w:lastRenderedPageBreak/>
              <w:t>REQ #</w:t>
            </w:r>
          </w:p>
        </w:tc>
        <w:tc>
          <w:tcPr>
            <w:tcW w:w="13140" w:type="dxa"/>
            <w:tcBorders>
              <w:bottom w:val="single" w:sz="4" w:space="0" w:color="000000" w:themeColor="text1"/>
            </w:tcBorders>
            <w:shd w:val="clear" w:color="auto" w:fill="DEEAF6" w:themeFill="accent1" w:themeFillTint="33"/>
            <w:vAlign w:val="center"/>
          </w:tcPr>
          <w:p w14:paraId="57DF7072" w14:textId="4F6FB1D9" w:rsidR="00F02BB7" w:rsidRPr="00F02BB7" w:rsidRDefault="001D6302" w:rsidP="00A91669">
            <w:pPr>
              <w:pStyle w:val="Normal-Table"/>
              <w:rPr>
                <w:b/>
              </w:rPr>
            </w:pPr>
            <w:r>
              <w:rPr>
                <w:b/>
              </w:rPr>
              <w:t xml:space="preserve">TECHNICAL/SYSTEM </w:t>
            </w:r>
            <w:r w:rsidR="00F02BB7" w:rsidRPr="00F02BB7">
              <w:rPr>
                <w:b/>
              </w:rPr>
              <w:t>REQUIREMENT DESCRIPTION</w:t>
            </w:r>
          </w:p>
        </w:tc>
      </w:tr>
      <w:tr w:rsidR="00BA5580" w:rsidRPr="00CE4250" w14:paraId="5B98354F" w14:textId="77777777" w:rsidTr="00D315C2">
        <w:tc>
          <w:tcPr>
            <w:tcW w:w="1165" w:type="dxa"/>
          </w:tcPr>
          <w:p w14:paraId="49B04988" w14:textId="77777777" w:rsidR="00BA5580" w:rsidRDefault="00BA5580" w:rsidP="00D315C2">
            <w:pPr>
              <w:pStyle w:val="Normal-Table"/>
            </w:pPr>
            <w:r>
              <w:t>Int-1</w:t>
            </w:r>
          </w:p>
        </w:tc>
        <w:tc>
          <w:tcPr>
            <w:tcW w:w="13140" w:type="dxa"/>
          </w:tcPr>
          <w:p w14:paraId="0B01B562" w14:textId="61484B90" w:rsidR="00BA5580" w:rsidRDefault="00BA5580" w:rsidP="00D315C2">
            <w:pPr>
              <w:pStyle w:val="Normal-Table"/>
            </w:pPr>
            <w:r>
              <w:t xml:space="preserve">The </w:t>
            </w:r>
            <w:r w:rsidR="00A113B9" w:rsidRPr="00097662">
              <w:t xml:space="preserve">System </w:t>
            </w:r>
            <w:r>
              <w:t xml:space="preserve">must include all functionality necessary to replicate or improve upon the interfaces described in </w:t>
            </w:r>
            <w:hyperlink w:anchor="_Attachment_7_–" w:history="1">
              <w:r w:rsidRPr="008B5CCE">
                <w:rPr>
                  <w:rStyle w:val="Hyperlink"/>
                </w:rPr>
                <w:t>Attachment 7</w:t>
              </w:r>
            </w:hyperlink>
            <w:r>
              <w:t>.</w:t>
            </w:r>
          </w:p>
        </w:tc>
      </w:tr>
      <w:tr w:rsidR="00BA5580" w:rsidRPr="00CE4250" w14:paraId="1F619EB4" w14:textId="77777777" w:rsidTr="00D315C2">
        <w:tc>
          <w:tcPr>
            <w:tcW w:w="1165" w:type="dxa"/>
          </w:tcPr>
          <w:p w14:paraId="79420730" w14:textId="77777777" w:rsidR="00BA5580" w:rsidRDefault="00BA5580" w:rsidP="00D315C2">
            <w:pPr>
              <w:pStyle w:val="Normal-Table"/>
            </w:pPr>
            <w:bookmarkStart w:id="283" w:name="_Hlk524070078"/>
            <w:r>
              <w:t>Int-2</w:t>
            </w:r>
          </w:p>
        </w:tc>
        <w:tc>
          <w:tcPr>
            <w:tcW w:w="13140" w:type="dxa"/>
          </w:tcPr>
          <w:p w14:paraId="751AC76D" w14:textId="352241E1" w:rsidR="00BA5580" w:rsidRDefault="002C3C2A" w:rsidP="00D315C2">
            <w:pPr>
              <w:pStyle w:val="Normal-Table"/>
            </w:pPr>
            <w:r>
              <w:t xml:space="preserve">The </w:t>
            </w:r>
            <w:r w:rsidR="00A113B9" w:rsidRPr="00097662">
              <w:t xml:space="preserve">System </w:t>
            </w:r>
            <w:r>
              <w:t xml:space="preserve">must implement all </w:t>
            </w:r>
            <w:r w:rsidR="002F5EF1">
              <w:t xml:space="preserve">available </w:t>
            </w:r>
            <w:r>
              <w:t xml:space="preserve">SIDES </w:t>
            </w:r>
            <w:r w:rsidR="00690017">
              <w:t>modules</w:t>
            </w:r>
            <w:r>
              <w:t xml:space="preserve">, including SIDES E-Response. </w:t>
            </w:r>
            <w:r w:rsidR="00C92570">
              <w:t>The System must</w:t>
            </w:r>
            <w:r>
              <w:t xml:space="preserve"> include all functionality necessary to onboard/remove new TPAs and employers, transmit and receive responses from the SIDES broker, and implement new modules if mandated by DOL.</w:t>
            </w:r>
          </w:p>
        </w:tc>
      </w:tr>
      <w:tr w:rsidR="00BA5580" w:rsidRPr="00CE4250" w14:paraId="6F9A2BF7" w14:textId="77777777" w:rsidTr="00D315C2">
        <w:tc>
          <w:tcPr>
            <w:tcW w:w="1165" w:type="dxa"/>
          </w:tcPr>
          <w:p w14:paraId="7F122DD6" w14:textId="77777777" w:rsidR="00BA5580" w:rsidRDefault="00BA5580" w:rsidP="00D315C2">
            <w:pPr>
              <w:pStyle w:val="Normal-Table"/>
            </w:pPr>
            <w:bookmarkStart w:id="284" w:name="_Hlk535587659"/>
            <w:bookmarkEnd w:id="283"/>
            <w:r>
              <w:t>Int-3</w:t>
            </w:r>
          </w:p>
        </w:tc>
        <w:tc>
          <w:tcPr>
            <w:tcW w:w="13140" w:type="dxa"/>
          </w:tcPr>
          <w:p w14:paraId="777571C3" w14:textId="5A373315" w:rsidR="00BA5580" w:rsidRDefault="00BA5580" w:rsidP="00D315C2">
            <w:pPr>
              <w:pStyle w:val="Normal-Table"/>
            </w:pPr>
            <w:r>
              <w:t xml:space="preserve">The </w:t>
            </w:r>
            <w:r w:rsidR="00A113B9" w:rsidRPr="00097662">
              <w:t xml:space="preserve">System </w:t>
            </w:r>
            <w:r>
              <w:t>must replace the Texas EAGLE system for interfaces to external partners</w:t>
            </w:r>
            <w:r w:rsidR="009F0748">
              <w:t xml:space="preserve"> as described in </w:t>
            </w:r>
            <w:hyperlink w:anchor="_Workflow" w:history="1">
              <w:r w:rsidR="009F0748">
                <w:rPr>
                  <w:rStyle w:val="Hyperlink"/>
                </w:rPr>
                <w:t>Attachment A6.9</w:t>
              </w:r>
            </w:hyperlink>
            <w:r>
              <w:t>.</w:t>
            </w:r>
          </w:p>
        </w:tc>
      </w:tr>
      <w:bookmarkEnd w:id="284"/>
      <w:tr w:rsidR="004F555C" w:rsidRPr="00CD16AB" w14:paraId="42F5BABB" w14:textId="77777777" w:rsidTr="00F02BB7">
        <w:tc>
          <w:tcPr>
            <w:tcW w:w="1165" w:type="dxa"/>
          </w:tcPr>
          <w:p w14:paraId="75175CF9" w14:textId="0F99AB5F" w:rsidR="004F555C" w:rsidRPr="00BA5580" w:rsidRDefault="00BA5580" w:rsidP="00A91669">
            <w:pPr>
              <w:pStyle w:val="Normal-Table"/>
            </w:pPr>
            <w:r w:rsidRPr="00BA5580">
              <w:t>Int-4</w:t>
            </w:r>
          </w:p>
        </w:tc>
        <w:tc>
          <w:tcPr>
            <w:tcW w:w="13140" w:type="dxa"/>
          </w:tcPr>
          <w:p w14:paraId="1C56A49C" w14:textId="623BB03A" w:rsidR="004F555C" w:rsidRPr="00BA5580" w:rsidRDefault="00BA5580" w:rsidP="00A91669">
            <w:pPr>
              <w:pStyle w:val="Normal-Table"/>
            </w:pPr>
            <w:r>
              <w:t xml:space="preserve">The </w:t>
            </w:r>
            <w:r w:rsidR="00A113B9" w:rsidRPr="00097662">
              <w:t xml:space="preserve">System </w:t>
            </w:r>
            <w:r>
              <w:t>must provide the ability to exchange rate information with Employers and TPAs</w:t>
            </w:r>
            <w:r w:rsidR="00F755F1">
              <w:t>.</w:t>
            </w:r>
          </w:p>
        </w:tc>
      </w:tr>
      <w:tr w:rsidR="00D75BB7" w:rsidRPr="00CE4250" w14:paraId="1A0CE85F" w14:textId="77777777" w:rsidTr="00C47749">
        <w:tc>
          <w:tcPr>
            <w:tcW w:w="1165" w:type="dxa"/>
          </w:tcPr>
          <w:p w14:paraId="1E11BA11" w14:textId="4B91FA5C" w:rsidR="00D75BB7" w:rsidRPr="00977BD7" w:rsidRDefault="00D75BB7" w:rsidP="00C47749">
            <w:pPr>
              <w:pStyle w:val="Normal-Table"/>
            </w:pPr>
            <w:r>
              <w:t>Int-5</w:t>
            </w:r>
          </w:p>
        </w:tc>
        <w:tc>
          <w:tcPr>
            <w:tcW w:w="13140" w:type="dxa"/>
          </w:tcPr>
          <w:p w14:paraId="2AD3CA84" w14:textId="6716CA3F" w:rsidR="00D75BB7" w:rsidRPr="00977BD7" w:rsidRDefault="00D75BB7" w:rsidP="00D75BB7">
            <w:pPr>
              <w:pStyle w:val="Normal-Table"/>
            </w:pPr>
            <w:r w:rsidRPr="00977BD7">
              <w:t xml:space="preserve">The Offeror must provide interfaces with their solution as needed using industry standards such as the following: </w:t>
            </w:r>
            <w:r w:rsidRPr="008C2C58">
              <w:rPr>
                <w:rFonts w:cs="Arial"/>
                <w:snapToGrid w:val="0"/>
                <w:color w:val="000000"/>
                <w:szCs w:val="24"/>
              </w:rPr>
              <w:t>Standard Object Access Protocol</w:t>
            </w:r>
            <w:r w:rsidRPr="00977BD7">
              <w:t xml:space="preserve"> </w:t>
            </w:r>
            <w:r>
              <w:t>(</w:t>
            </w:r>
            <w:r w:rsidRPr="00977BD7">
              <w:t>SOAP</w:t>
            </w:r>
            <w:r>
              <w:t>)</w:t>
            </w:r>
            <w:r w:rsidRPr="00977BD7">
              <w:t xml:space="preserve"> or </w:t>
            </w:r>
            <w:r w:rsidRPr="008C2C58">
              <w:rPr>
                <w:rFonts w:cs="Arial"/>
                <w:snapToGrid w:val="0"/>
                <w:color w:val="000000"/>
                <w:szCs w:val="24"/>
              </w:rPr>
              <w:t>Representational State Transfer</w:t>
            </w:r>
            <w:r w:rsidRPr="00977BD7">
              <w:t xml:space="preserve"> </w:t>
            </w:r>
            <w:r>
              <w:t>(</w:t>
            </w:r>
            <w:r w:rsidRPr="00977BD7">
              <w:t>REST</w:t>
            </w:r>
            <w:r>
              <w:t>)</w:t>
            </w:r>
            <w:r w:rsidRPr="00977BD7">
              <w:t xml:space="preserve"> web services. These services will be secured for usage based on the logged in user’s security using OpenID or some other compatible token-based open ID system acceptable to both parties and approved by TWC. Only registered users of the external interfaces will be allowed to access the API methods.</w:t>
            </w:r>
          </w:p>
        </w:tc>
      </w:tr>
      <w:tr w:rsidR="00D75BB7" w:rsidRPr="00CD16AB" w14:paraId="2CBCDFA9" w14:textId="77777777" w:rsidTr="00C47749">
        <w:tc>
          <w:tcPr>
            <w:tcW w:w="1165" w:type="dxa"/>
          </w:tcPr>
          <w:p w14:paraId="44E5C794" w14:textId="2BD7994C" w:rsidR="00D75BB7" w:rsidRPr="00F755F1" w:rsidRDefault="00D75BB7" w:rsidP="00C47749">
            <w:pPr>
              <w:pStyle w:val="Normal-Table"/>
            </w:pPr>
            <w:r>
              <w:t>Int-6</w:t>
            </w:r>
          </w:p>
        </w:tc>
        <w:tc>
          <w:tcPr>
            <w:tcW w:w="13140" w:type="dxa"/>
            <w:vAlign w:val="center"/>
          </w:tcPr>
          <w:p w14:paraId="3E26645D" w14:textId="77777777" w:rsidR="00D75BB7" w:rsidRDefault="00D75BB7" w:rsidP="00C47749">
            <w:pPr>
              <w:pStyle w:val="Normal-Table"/>
            </w:pPr>
            <w:r w:rsidRPr="00F755F1">
              <w:t xml:space="preserve">The System must interface with </w:t>
            </w:r>
            <w:r>
              <w:t>WIT</w:t>
            </w:r>
            <w:r w:rsidRPr="00F755F1">
              <w:t xml:space="preserve"> </w:t>
            </w:r>
            <w:r>
              <w:t xml:space="preserve">(e.g., </w:t>
            </w:r>
            <w:r w:rsidRPr="00F755F1">
              <w:t xml:space="preserve">for UI </w:t>
            </w:r>
            <w:r>
              <w:t>A</w:t>
            </w:r>
            <w:r w:rsidRPr="00F755F1">
              <w:t>uto</w:t>
            </w:r>
            <w:r>
              <w:t>-R</w:t>
            </w:r>
            <w:r w:rsidRPr="00F755F1">
              <w:t>egistrations</w:t>
            </w:r>
            <w:r>
              <w:t>)</w:t>
            </w:r>
            <w:r w:rsidRPr="00F755F1">
              <w:t>.</w:t>
            </w:r>
          </w:p>
          <w:p w14:paraId="61E51754" w14:textId="77777777" w:rsidR="00D75BB7" w:rsidRPr="00F755F1" w:rsidRDefault="00D75BB7" w:rsidP="00C47749">
            <w:pPr>
              <w:pStyle w:val="Normal-Table"/>
            </w:pPr>
            <w:r>
              <w:t xml:space="preserve">The Offeror must describe the </w:t>
            </w:r>
            <w:r w:rsidRPr="008A3447">
              <w:t xml:space="preserve">commercial off the shelf </w:t>
            </w:r>
            <w:r>
              <w:t>labor exchange solutions with which they have successfully interfaced their UI solution, the implementation date, and the state.</w:t>
            </w:r>
          </w:p>
        </w:tc>
      </w:tr>
      <w:tr w:rsidR="00F755F1" w:rsidRPr="00CD16AB" w14:paraId="03B6B068" w14:textId="77777777" w:rsidTr="00D315C2">
        <w:tc>
          <w:tcPr>
            <w:tcW w:w="1165" w:type="dxa"/>
          </w:tcPr>
          <w:p w14:paraId="1866E4F3" w14:textId="50A4B2EF" w:rsidR="00F755F1" w:rsidRPr="00BA5580" w:rsidRDefault="00F755F1" w:rsidP="00F755F1">
            <w:pPr>
              <w:pStyle w:val="Normal-Table"/>
            </w:pPr>
            <w:r>
              <w:t>IT-1</w:t>
            </w:r>
          </w:p>
        </w:tc>
        <w:tc>
          <w:tcPr>
            <w:tcW w:w="13140" w:type="dxa"/>
            <w:vAlign w:val="center"/>
          </w:tcPr>
          <w:p w14:paraId="3E6A010A" w14:textId="160764AD" w:rsidR="00F755F1" w:rsidRDefault="00F755F1" w:rsidP="00F755F1">
            <w:pPr>
              <w:pStyle w:val="Normal-Table"/>
            </w:pPr>
            <w:r w:rsidRPr="00F755F1">
              <w:t xml:space="preserve">The </w:t>
            </w:r>
            <w:r w:rsidR="00A113B9" w:rsidRPr="00097662">
              <w:t xml:space="preserve">System </w:t>
            </w:r>
            <w:r w:rsidRPr="00F755F1">
              <w:t>must be flexible and adaptable in post-implementation customization to meet TWC’s needs. This includes the flexibility to bring other programs, services, or tracking online quickly in response to emergency programs (e.g., ARRA) or events (e.g., Hurricane Harvey). The Offeror must describe their approach to handling customization requests by TWC; the controls around that process, and how they are priced, in the event the offeror is contracted to maintain the System post-implementation.</w:t>
            </w:r>
          </w:p>
        </w:tc>
      </w:tr>
      <w:tr w:rsidR="00F755F1" w:rsidRPr="00CD16AB" w14:paraId="4058C7EC" w14:textId="77777777" w:rsidTr="00D315C2">
        <w:tc>
          <w:tcPr>
            <w:tcW w:w="1165" w:type="dxa"/>
          </w:tcPr>
          <w:p w14:paraId="12A6C8C5" w14:textId="55D62463" w:rsidR="00F755F1" w:rsidRPr="00BA5580" w:rsidRDefault="00F755F1" w:rsidP="00F755F1">
            <w:pPr>
              <w:pStyle w:val="Normal-Table"/>
            </w:pPr>
            <w:r>
              <w:t>IT-2</w:t>
            </w:r>
          </w:p>
        </w:tc>
        <w:tc>
          <w:tcPr>
            <w:tcW w:w="13140" w:type="dxa"/>
            <w:vAlign w:val="center"/>
          </w:tcPr>
          <w:p w14:paraId="2370FAF8" w14:textId="49A223F3" w:rsidR="00F755F1" w:rsidRDefault="00F755F1" w:rsidP="00F755F1">
            <w:pPr>
              <w:pStyle w:val="Normal-Table"/>
            </w:pPr>
            <w:r w:rsidRPr="00F755F1">
              <w:t xml:space="preserve">The </w:t>
            </w:r>
            <w:r w:rsidR="00A113B9" w:rsidRPr="00097662">
              <w:t xml:space="preserve">System </w:t>
            </w:r>
            <w:r w:rsidRPr="00F755F1">
              <w:t xml:space="preserve">must support role-based access whether the roles are defined within the solution itself, TWC’s existing systems, or a third-party tool. TWC management and </w:t>
            </w:r>
            <w:r w:rsidR="009521D7">
              <w:t xml:space="preserve">Staff </w:t>
            </w:r>
            <w:r w:rsidRPr="00F755F1">
              <w:t xml:space="preserve">will require logons that allow them to act on behalf of either </w:t>
            </w:r>
            <w:r w:rsidR="009521D7">
              <w:t xml:space="preserve">Employers </w:t>
            </w:r>
            <w:r w:rsidRPr="00F755F1">
              <w:t xml:space="preserve">or </w:t>
            </w:r>
            <w:r w:rsidR="009521D7">
              <w:t>Claimants</w:t>
            </w:r>
            <w:r w:rsidRPr="00F755F1">
              <w:t>.</w:t>
            </w:r>
          </w:p>
        </w:tc>
      </w:tr>
      <w:tr w:rsidR="00F755F1" w:rsidRPr="00CD16AB" w14:paraId="0EFEE0DD" w14:textId="77777777" w:rsidTr="00D315C2">
        <w:tc>
          <w:tcPr>
            <w:tcW w:w="1165" w:type="dxa"/>
          </w:tcPr>
          <w:p w14:paraId="174C1226" w14:textId="34215D6B" w:rsidR="00F755F1" w:rsidRDefault="00F755F1" w:rsidP="00F755F1">
            <w:pPr>
              <w:pStyle w:val="Normal-Table"/>
            </w:pPr>
            <w:r>
              <w:lastRenderedPageBreak/>
              <w:t>IT-3</w:t>
            </w:r>
          </w:p>
        </w:tc>
        <w:tc>
          <w:tcPr>
            <w:tcW w:w="13140" w:type="dxa"/>
            <w:vAlign w:val="center"/>
          </w:tcPr>
          <w:p w14:paraId="566512B1" w14:textId="495B57DF" w:rsidR="00F755F1" w:rsidRDefault="00F755F1" w:rsidP="00F755F1">
            <w:pPr>
              <w:pStyle w:val="Normal-Table"/>
              <w:rPr>
                <w:rStyle w:val="LB1-TableChar"/>
              </w:rPr>
            </w:pPr>
            <w:r w:rsidRPr="00F755F1">
              <w:t>The Offeror must describe their solution’s architecture</w:t>
            </w:r>
            <w:r w:rsidR="00221846">
              <w:t xml:space="preserve"> including, but not limited to, operating systems, database management system, software development language, hardware specifications, web servers, reporting environment and tools, and other technical specifications.</w:t>
            </w:r>
            <w:r w:rsidRPr="00F755F1">
              <w:t xml:space="preserve"> Describe the solution’s target technical environment specifications including its framework; scalability; and performance metrics. Show evidence that all security infrastructure protection layers are isolated from application layers and components in such a way that compromised application components may not bypass or compromise security infrastructure protection layers or other application layers (i.e., n-tier a</w:t>
            </w:r>
            <w:r>
              <w:t>rchitecture, defense-in-depth).</w:t>
            </w:r>
          </w:p>
          <w:p w14:paraId="3D08A608" w14:textId="032A0187" w:rsidR="00F755F1" w:rsidRDefault="00F755F1" w:rsidP="00E16D2D">
            <w:pPr>
              <w:pStyle w:val="LB1-Table"/>
            </w:pPr>
            <w:r w:rsidRPr="00F755F1">
              <w:rPr>
                <w:rStyle w:val="LB1-TableChar"/>
              </w:rPr>
              <w:t>Address what other UI solutions or modules share a common platform and are integrated with the UI solution</w:t>
            </w:r>
            <w:r>
              <w:t>.</w:t>
            </w:r>
          </w:p>
          <w:p w14:paraId="5C60F75F" w14:textId="37462329" w:rsidR="00F755F1" w:rsidRPr="00F755F1" w:rsidRDefault="00F755F1" w:rsidP="00E16D2D">
            <w:pPr>
              <w:pStyle w:val="LB1-Table"/>
            </w:pPr>
            <w:r w:rsidRPr="00F755F1">
              <w:rPr>
                <w:rStyle w:val="LB1-TableChar"/>
              </w:rPr>
              <w:t>Address how the solution eliminates the need to support multiple technology applications and platforms</w:t>
            </w:r>
            <w:r>
              <w:rPr>
                <w:rStyle w:val="LB1-TableChar"/>
              </w:rPr>
              <w:t>.</w:t>
            </w:r>
          </w:p>
        </w:tc>
      </w:tr>
      <w:tr w:rsidR="00F755F1" w:rsidRPr="00CD16AB" w14:paraId="0E23EB64" w14:textId="77777777" w:rsidTr="00D315C2">
        <w:tc>
          <w:tcPr>
            <w:tcW w:w="1165" w:type="dxa"/>
          </w:tcPr>
          <w:p w14:paraId="52AA135C" w14:textId="3D96FCFE" w:rsidR="00F755F1" w:rsidRDefault="00F755F1" w:rsidP="00F755F1">
            <w:pPr>
              <w:pStyle w:val="Normal-Table"/>
            </w:pPr>
            <w:r>
              <w:t>IT-4</w:t>
            </w:r>
          </w:p>
        </w:tc>
        <w:tc>
          <w:tcPr>
            <w:tcW w:w="13140" w:type="dxa"/>
            <w:vAlign w:val="center"/>
          </w:tcPr>
          <w:p w14:paraId="0F23E1CC" w14:textId="47E6A5F8" w:rsidR="00CE2FB7" w:rsidRDefault="00F755F1" w:rsidP="00F755F1">
            <w:pPr>
              <w:pStyle w:val="Normal-Table"/>
            </w:pPr>
            <w:r w:rsidRPr="00F755F1">
              <w:t xml:space="preserve">The </w:t>
            </w:r>
            <w:r w:rsidR="00A113B9" w:rsidRPr="00097662">
              <w:t xml:space="preserve">System </w:t>
            </w:r>
            <w:r w:rsidRPr="00F755F1">
              <w:t>must include at a minimum dedicated development, test (system and UAT), production, and training environments available to staff, users, and technical support. Production and non-Production environments must meet the same FedRAMP requirements whether in support of Agency operations or for testing.</w:t>
            </w:r>
            <w:r w:rsidR="00CE2FB7">
              <w:t xml:space="preserve"> </w:t>
            </w:r>
            <w:r w:rsidR="00CE2FB7" w:rsidRPr="00F755F1">
              <w:t>The Offeror must describe</w:t>
            </w:r>
            <w:r w:rsidR="00CE2FB7">
              <w:t xml:space="preserve"> the process for configuration updates to these environments and other helper applications. </w:t>
            </w:r>
          </w:p>
          <w:p w14:paraId="61B5950D" w14:textId="7679FA2D" w:rsidR="00F755F1" w:rsidRPr="00F755F1" w:rsidRDefault="00C92570" w:rsidP="00F755F1">
            <w:pPr>
              <w:pStyle w:val="Normal-Table"/>
            </w:pPr>
            <w:r>
              <w:t>The System must</w:t>
            </w:r>
            <w:r w:rsidR="00CE2FB7">
              <w:t xml:space="preserve"> include the ability for TWC to link the test and training environments with other TWC test and training environments via “test” and “training” interfaces so that TWC can leverage end-to-end data in test and training as well as production environments.</w:t>
            </w:r>
          </w:p>
        </w:tc>
      </w:tr>
      <w:tr w:rsidR="00F755F1" w:rsidRPr="00CD16AB" w14:paraId="371CEA71" w14:textId="77777777" w:rsidTr="00D315C2">
        <w:tc>
          <w:tcPr>
            <w:tcW w:w="1165" w:type="dxa"/>
          </w:tcPr>
          <w:p w14:paraId="3F217219" w14:textId="35DA70DD" w:rsidR="00F755F1" w:rsidRDefault="00F755F1" w:rsidP="00F755F1">
            <w:pPr>
              <w:pStyle w:val="Normal-Table"/>
            </w:pPr>
            <w:r>
              <w:t>IT-5</w:t>
            </w:r>
          </w:p>
        </w:tc>
        <w:tc>
          <w:tcPr>
            <w:tcW w:w="13140" w:type="dxa"/>
            <w:vAlign w:val="center"/>
          </w:tcPr>
          <w:p w14:paraId="01230253" w14:textId="3442A3E7" w:rsidR="00F755F1" w:rsidRPr="00F755F1" w:rsidRDefault="00F755F1" w:rsidP="00F755F1">
            <w:pPr>
              <w:pStyle w:val="Normal-Table"/>
            </w:pPr>
            <w:r w:rsidRPr="00F755F1">
              <w:t>The Offeror must provide a description of how they ensure that Web application software design and coding are in compliance with software development industry standards and address, at minimum, the most current Open Web Application Security Project (OWASP) Top 10 Most Serious Web App Vulnerabilities and SANS Top 25 Most Dangerous Programming Errors.</w:t>
            </w:r>
          </w:p>
        </w:tc>
      </w:tr>
      <w:tr w:rsidR="00F755F1" w:rsidRPr="00CD16AB" w14:paraId="5C3B7F12" w14:textId="77777777" w:rsidTr="00D315C2">
        <w:tc>
          <w:tcPr>
            <w:tcW w:w="1165" w:type="dxa"/>
          </w:tcPr>
          <w:p w14:paraId="6E3A499A" w14:textId="58D9B874" w:rsidR="00F755F1" w:rsidRPr="00F755F1" w:rsidRDefault="001231EF" w:rsidP="00F755F1">
            <w:pPr>
              <w:pStyle w:val="Normal-Table"/>
            </w:pPr>
            <w:r>
              <w:t>IT-6</w:t>
            </w:r>
          </w:p>
        </w:tc>
        <w:tc>
          <w:tcPr>
            <w:tcW w:w="13140" w:type="dxa"/>
            <w:vAlign w:val="center"/>
          </w:tcPr>
          <w:p w14:paraId="4D269553" w14:textId="7655EBD9" w:rsidR="00F755F1" w:rsidRPr="00F755F1" w:rsidRDefault="00F755F1" w:rsidP="00F755F1">
            <w:pPr>
              <w:pStyle w:val="Normal-Table"/>
            </w:pPr>
            <w:r w:rsidRPr="00F755F1">
              <w:t>The Offeror must describe how they secure data transmissions per Agency rules.</w:t>
            </w:r>
          </w:p>
        </w:tc>
      </w:tr>
      <w:tr w:rsidR="00F755F1" w:rsidRPr="00CD16AB" w14:paraId="1A2AB8FB" w14:textId="77777777" w:rsidTr="00D315C2">
        <w:tc>
          <w:tcPr>
            <w:tcW w:w="1165" w:type="dxa"/>
          </w:tcPr>
          <w:p w14:paraId="7186C149" w14:textId="79703EF0" w:rsidR="00F755F1" w:rsidRPr="003A3D60" w:rsidRDefault="001231EF" w:rsidP="00F755F1">
            <w:pPr>
              <w:pStyle w:val="Normal-Table"/>
            </w:pPr>
            <w:r w:rsidRPr="003A3D60">
              <w:lastRenderedPageBreak/>
              <w:t>IT-7</w:t>
            </w:r>
          </w:p>
        </w:tc>
        <w:tc>
          <w:tcPr>
            <w:tcW w:w="13140" w:type="dxa"/>
            <w:vAlign w:val="center"/>
          </w:tcPr>
          <w:p w14:paraId="59B1EF00" w14:textId="0DEFC112" w:rsidR="008A3447" w:rsidRPr="00F755F1" w:rsidRDefault="008A3447" w:rsidP="00F755F1">
            <w:pPr>
              <w:pStyle w:val="Normal-Table"/>
            </w:pPr>
            <w:r w:rsidRPr="003A3D60">
              <w:t xml:space="preserve">The Offeror must </w:t>
            </w:r>
            <w:r w:rsidR="003A3D60" w:rsidRPr="003A3D60">
              <w:t xml:space="preserve">propose a strategy to uniquely identify a customer across all related agency applications (i.e., </w:t>
            </w:r>
            <w:r w:rsidR="003A3D60">
              <w:t>WIT</w:t>
            </w:r>
            <w:r w:rsidR="003A3D60" w:rsidRPr="003A3D60">
              <w:t>, UI, Child Care, etc.)</w:t>
            </w:r>
            <w:r w:rsidR="003A3D60">
              <w:t xml:space="preserve"> in a multi-vendor environment</w:t>
            </w:r>
            <w:r w:rsidR="00D75BB7" w:rsidRPr="003A3D60">
              <w:t>.</w:t>
            </w:r>
          </w:p>
        </w:tc>
      </w:tr>
      <w:tr w:rsidR="00F755F1" w:rsidRPr="00CD16AB" w14:paraId="4F8A54B9" w14:textId="77777777" w:rsidTr="00D315C2">
        <w:tc>
          <w:tcPr>
            <w:tcW w:w="1165" w:type="dxa"/>
          </w:tcPr>
          <w:p w14:paraId="740730D3" w14:textId="66300771" w:rsidR="00F755F1" w:rsidRPr="00F755F1" w:rsidRDefault="001231EF" w:rsidP="00F755F1">
            <w:pPr>
              <w:pStyle w:val="Normal-Table"/>
            </w:pPr>
            <w:r>
              <w:t>IT-8</w:t>
            </w:r>
          </w:p>
        </w:tc>
        <w:tc>
          <w:tcPr>
            <w:tcW w:w="13140" w:type="dxa"/>
            <w:vAlign w:val="center"/>
          </w:tcPr>
          <w:p w14:paraId="52E8FEF8" w14:textId="5325C90E" w:rsidR="00F755F1" w:rsidRPr="00F755F1" w:rsidRDefault="00CA4981" w:rsidP="00F755F1">
            <w:pPr>
              <w:pStyle w:val="Normal-Table"/>
            </w:pPr>
            <w:bookmarkStart w:id="285" w:name="_Hlk532568830"/>
            <w:r w:rsidRPr="00F755F1">
              <w:t xml:space="preserve">The Offeror must describe how their solution </w:t>
            </w:r>
            <w:r w:rsidR="00131511">
              <w:t>supports</w:t>
            </w:r>
            <w:r w:rsidRPr="00F755F1">
              <w:t xml:space="preserve"> IRS mandated requirements for </w:t>
            </w:r>
            <w:r>
              <w:t>the Treasury Offset Program (</w:t>
            </w:r>
            <w:r w:rsidRPr="00F755F1">
              <w:t>TOP</w:t>
            </w:r>
            <w:r>
              <w:t>)</w:t>
            </w:r>
            <w:bookmarkEnd w:id="285"/>
            <w:r w:rsidR="00131511">
              <w:t xml:space="preserve"> and complies with IRS Publication 1075</w:t>
            </w:r>
            <w:r w:rsidR="00F25A37">
              <w:t xml:space="preserve"> requirements</w:t>
            </w:r>
            <w:r w:rsidRPr="00F755F1">
              <w:t>.</w:t>
            </w:r>
          </w:p>
        </w:tc>
      </w:tr>
      <w:tr w:rsidR="00F755F1" w:rsidRPr="00CD16AB" w14:paraId="6C8D8277" w14:textId="77777777" w:rsidTr="00D315C2">
        <w:tc>
          <w:tcPr>
            <w:tcW w:w="1165" w:type="dxa"/>
          </w:tcPr>
          <w:p w14:paraId="08E114E0" w14:textId="2AAE0F4C" w:rsidR="00F755F1" w:rsidRPr="00F755F1" w:rsidRDefault="001231EF" w:rsidP="00F755F1">
            <w:pPr>
              <w:pStyle w:val="Normal-Table"/>
            </w:pPr>
            <w:r>
              <w:t>IT-9</w:t>
            </w:r>
          </w:p>
        </w:tc>
        <w:tc>
          <w:tcPr>
            <w:tcW w:w="13140" w:type="dxa"/>
            <w:vAlign w:val="center"/>
          </w:tcPr>
          <w:p w14:paraId="3DEA9CC8" w14:textId="59D77015" w:rsidR="00F755F1" w:rsidRPr="00F755F1" w:rsidRDefault="00F755F1" w:rsidP="00F755F1">
            <w:pPr>
              <w:pStyle w:val="Normal-Table"/>
            </w:pPr>
            <w:r w:rsidRPr="00F755F1">
              <w:t>The Offeror must describe their method(s) of processing transactions (real-time, batch, large volume updates) and where each approach is implemented</w:t>
            </w:r>
            <w:r w:rsidR="00973521">
              <w:t xml:space="preserve">. </w:t>
            </w:r>
            <w:r w:rsidR="00723530">
              <w:br/>
            </w:r>
            <w:r w:rsidR="00723530">
              <w:br/>
            </w:r>
            <w:r w:rsidR="00C92570">
              <w:t>The System must</w:t>
            </w:r>
            <w:r w:rsidR="00723530" w:rsidRPr="00723530">
              <w:t xml:space="preserve"> complete all overnight processing at least 60 minutes prior to start of work the next business day. If overnight processing does not complete at least 60 minutes prior to start of work the next business day, </w:t>
            </w:r>
            <w:r w:rsidR="00C92570">
              <w:t>The System must</w:t>
            </w:r>
            <w:r w:rsidR="00723530" w:rsidRPr="00723530">
              <w:t xml:space="preserve"> remain available to process online transactions</w:t>
            </w:r>
            <w:r w:rsidR="00723530">
              <w:t>.</w:t>
            </w:r>
          </w:p>
        </w:tc>
      </w:tr>
      <w:tr w:rsidR="001231EF" w:rsidRPr="00CD16AB" w14:paraId="562EC88F" w14:textId="77777777" w:rsidTr="00D315C2">
        <w:tc>
          <w:tcPr>
            <w:tcW w:w="1165" w:type="dxa"/>
          </w:tcPr>
          <w:p w14:paraId="000D7364" w14:textId="3ABCD09D" w:rsidR="001231EF" w:rsidRDefault="00097662" w:rsidP="00F755F1">
            <w:pPr>
              <w:pStyle w:val="Normal-Table"/>
            </w:pPr>
            <w:r>
              <w:t>IT-10</w:t>
            </w:r>
          </w:p>
        </w:tc>
        <w:tc>
          <w:tcPr>
            <w:tcW w:w="13140" w:type="dxa"/>
            <w:vAlign w:val="center"/>
          </w:tcPr>
          <w:p w14:paraId="610E6835" w14:textId="1012829D" w:rsidR="00097662" w:rsidRPr="00097662" w:rsidRDefault="00097662" w:rsidP="005D06C2">
            <w:pPr>
              <w:keepNext/>
              <w:spacing w:after="0"/>
              <w:ind w:left="0"/>
            </w:pPr>
            <w:r w:rsidRPr="00097662">
              <w:rPr>
                <w:szCs w:val="24"/>
              </w:rPr>
              <w:t>The Offeror must:</w:t>
            </w:r>
          </w:p>
          <w:p w14:paraId="276E8301" w14:textId="1BF5CED3" w:rsidR="003E6231" w:rsidRDefault="003E6231" w:rsidP="003E6231">
            <w:pPr>
              <w:pStyle w:val="LB1-Table"/>
              <w:rPr>
                <w:rStyle w:val="LB1-TableChar"/>
                <w:rFonts w:eastAsiaTheme="minorHAnsi"/>
                <w:szCs w:val="24"/>
              </w:rPr>
            </w:pPr>
            <w:bookmarkStart w:id="286" w:name="_Hlk4154321"/>
            <w:r>
              <w:rPr>
                <w:rStyle w:val="LB1-TableChar"/>
                <w:rFonts w:eastAsiaTheme="minorHAnsi"/>
                <w:szCs w:val="24"/>
              </w:rPr>
              <w:t>Ensure solutions that include in whole or in part cloud-based services are hosted by a Cloud Service Provider that has attained FedRAMP (Moderate) ATO or will have attained FedRAMP (Moderate) ATO prior to Award Date;</w:t>
            </w:r>
          </w:p>
          <w:p w14:paraId="400C3278" w14:textId="1FCA2586" w:rsidR="00081981" w:rsidRDefault="00081981" w:rsidP="003E6231">
            <w:pPr>
              <w:pStyle w:val="LB1-Table"/>
              <w:rPr>
                <w:rStyle w:val="LB1-TableChar"/>
                <w:rFonts w:eastAsiaTheme="minorHAnsi"/>
                <w:szCs w:val="24"/>
              </w:rPr>
            </w:pPr>
            <w:r>
              <w:t>Ensure offered cloud solutions provide for dynamic scaling to minimize ongoing costs through provisioning of minimal platform/infrastructure resources necessary to maintain operations during average traffic periods and have utilization triggers that will allow for automatic provisioning of additional resources during peak traffic periods and then return to the minimal resource configuration once peak traffic triggers have subsided;</w:t>
            </w:r>
          </w:p>
          <w:p w14:paraId="321530ED" w14:textId="3EB26491" w:rsidR="00C47D7E" w:rsidRDefault="00C47D7E" w:rsidP="003E6231">
            <w:pPr>
              <w:pStyle w:val="LB1-Table"/>
              <w:rPr>
                <w:rStyle w:val="LB1-TableChar"/>
                <w:rFonts w:eastAsiaTheme="minorHAnsi"/>
                <w:szCs w:val="24"/>
              </w:rPr>
            </w:pPr>
            <w:r>
              <w:t>Ensure cloud-based solutions are located within the United States and all access and support of the solution is performed from the United States;</w:t>
            </w:r>
          </w:p>
          <w:p w14:paraId="55A48D89" w14:textId="2CAADE0C" w:rsidR="003E6231" w:rsidRDefault="003E6231" w:rsidP="003E6231">
            <w:pPr>
              <w:pStyle w:val="LB1-Table"/>
              <w:rPr>
                <w:rStyle w:val="LB1-TableChar"/>
                <w:rFonts w:eastAsiaTheme="minorHAnsi"/>
                <w:szCs w:val="24"/>
              </w:rPr>
            </w:pPr>
            <w:r>
              <w:rPr>
                <w:rStyle w:val="LB1-TableChar"/>
                <w:rFonts w:eastAsiaTheme="minorHAnsi"/>
                <w:szCs w:val="24"/>
              </w:rPr>
              <w:t>Ensure software, data and services are isolated within the cloud environment so that other cloud customers sharing physical or virtual space cannot access other customer data or applications;</w:t>
            </w:r>
          </w:p>
          <w:p w14:paraId="24D6A83F" w14:textId="77777777" w:rsidR="003E6231" w:rsidRDefault="003E6231" w:rsidP="003E6231">
            <w:pPr>
              <w:pStyle w:val="LB1-Table"/>
              <w:rPr>
                <w:rStyle w:val="LB1-TableChar"/>
                <w:rFonts w:eastAsiaTheme="minorHAnsi"/>
                <w:szCs w:val="24"/>
              </w:rPr>
            </w:pPr>
            <w:r>
              <w:rPr>
                <w:rStyle w:val="LB1-TableChar"/>
                <w:rFonts w:eastAsiaTheme="minorHAnsi"/>
                <w:szCs w:val="24"/>
              </w:rPr>
              <w:t>Provide a complete listing of all data centers within the cloud environment where this solution will operate;</w:t>
            </w:r>
          </w:p>
          <w:p w14:paraId="5A014CCE" w14:textId="77777777" w:rsidR="003E6231" w:rsidRDefault="003E6231" w:rsidP="003E6231">
            <w:pPr>
              <w:pStyle w:val="LB1-Table"/>
              <w:rPr>
                <w:rStyle w:val="LB1-TableChar"/>
                <w:rFonts w:eastAsiaTheme="minorHAnsi"/>
                <w:szCs w:val="24"/>
              </w:rPr>
            </w:pPr>
            <w:r>
              <w:rPr>
                <w:rStyle w:val="LB1-TableChar"/>
                <w:rFonts w:eastAsiaTheme="minorHAnsi"/>
                <w:szCs w:val="24"/>
              </w:rPr>
              <w:t>Ensure data in transit and at rest using is encrypted FIPS 140-2 compliant algorithms and modules;</w:t>
            </w:r>
          </w:p>
          <w:p w14:paraId="7EEC6575" w14:textId="77777777" w:rsidR="003E6231" w:rsidRDefault="003E6231" w:rsidP="003E6231">
            <w:pPr>
              <w:pStyle w:val="LB1-Table"/>
              <w:rPr>
                <w:rStyle w:val="LB1-TableChar"/>
                <w:rFonts w:eastAsiaTheme="minorHAnsi"/>
                <w:szCs w:val="24"/>
              </w:rPr>
            </w:pPr>
            <w:r>
              <w:rPr>
                <w:rStyle w:val="LB1-TableChar"/>
                <w:rFonts w:eastAsiaTheme="minorHAnsi"/>
                <w:szCs w:val="24"/>
              </w:rPr>
              <w:lastRenderedPageBreak/>
              <w:t>Ensure any storage devices used in the solution are securely sanitized and/or destroyed prior to disposal using methods acceptable by NSA/CSS;</w:t>
            </w:r>
          </w:p>
          <w:p w14:paraId="4DFD258D" w14:textId="77777777" w:rsidR="003E6231" w:rsidRDefault="003E6231" w:rsidP="003E6231">
            <w:pPr>
              <w:pStyle w:val="LB1-Table"/>
              <w:rPr>
                <w:rStyle w:val="LB1-TableChar"/>
                <w:rFonts w:eastAsiaTheme="minorHAnsi"/>
                <w:szCs w:val="24"/>
              </w:rPr>
            </w:pPr>
            <w:r>
              <w:rPr>
                <w:rStyle w:val="LB1-TableChar"/>
                <w:rFonts w:eastAsiaTheme="minorHAnsi"/>
                <w:szCs w:val="24"/>
              </w:rPr>
              <w:t xml:space="preserve">Conduct an annual assessment of the security controls in place on all information systems used in the solution; </w:t>
            </w:r>
          </w:p>
          <w:p w14:paraId="0396695E" w14:textId="77777777" w:rsidR="003E6231" w:rsidRDefault="003E6231" w:rsidP="003E6231">
            <w:pPr>
              <w:pStyle w:val="LB1-Table"/>
              <w:rPr>
                <w:rStyle w:val="LB1-TableChar"/>
                <w:rFonts w:eastAsiaTheme="minorHAnsi"/>
                <w:szCs w:val="24"/>
              </w:rPr>
            </w:pPr>
            <w:r>
              <w:rPr>
                <w:rStyle w:val="LB1-TableChar"/>
                <w:rFonts w:eastAsiaTheme="minorHAnsi"/>
                <w:szCs w:val="24"/>
              </w:rPr>
              <w:t>Incorporate multi-factor authentication for access to the cloud solution from the internet;</w:t>
            </w:r>
          </w:p>
          <w:p w14:paraId="3C54F824" w14:textId="77777777" w:rsidR="003E6231" w:rsidRDefault="003E6231" w:rsidP="003E6231">
            <w:pPr>
              <w:pStyle w:val="LB1-Table"/>
              <w:rPr>
                <w:rStyle w:val="LB1-TableChar"/>
                <w:rFonts w:eastAsiaTheme="minorHAnsi"/>
                <w:szCs w:val="24"/>
              </w:rPr>
            </w:pPr>
            <w:r>
              <w:rPr>
                <w:rStyle w:val="LB1-TableChar"/>
                <w:rFonts w:eastAsiaTheme="minorHAnsi"/>
                <w:szCs w:val="24"/>
              </w:rPr>
              <w:t>Ensure, if using Network Edge Managed Services, that the National Institute of Standards and Technology (NIST)/ISO/IEC 27018:2014 certification has been achieved for the specific services being added to the portfolio;</w:t>
            </w:r>
          </w:p>
          <w:p w14:paraId="22C05160" w14:textId="77777777" w:rsidR="003E6231" w:rsidRDefault="003E6231" w:rsidP="003E6231">
            <w:pPr>
              <w:pStyle w:val="LB1-Table"/>
              <w:rPr>
                <w:rStyle w:val="LB1-TableChar"/>
                <w:rFonts w:eastAsiaTheme="minorHAnsi"/>
                <w:szCs w:val="24"/>
              </w:rPr>
            </w:pPr>
            <w:r>
              <w:rPr>
                <w:rStyle w:val="LB1-TableChar"/>
                <w:rFonts w:eastAsiaTheme="minorHAnsi"/>
                <w:szCs w:val="24"/>
              </w:rPr>
              <w:t>Ensure the protection of TWC confidential information, including PII and SPI from unauthorized disclosure, unauthorized access, and misuse, at a minimum in accordance with the NIST Special Publication 800-122, Guide to Protecting the Confidentiality of PII (https://nvlpubs.nist.gov/nistpubs/legacy/sp/nistspecialpublication800-122.pdf) through the implementation of controls such as role-based access controls, encryption at rest and in transit, etc.;</w:t>
            </w:r>
          </w:p>
          <w:p w14:paraId="46FE909D" w14:textId="77777777" w:rsidR="003E6231" w:rsidRDefault="003E6231" w:rsidP="003E6231">
            <w:pPr>
              <w:pStyle w:val="LB1-Table"/>
              <w:rPr>
                <w:rStyle w:val="LB1-TableChar"/>
                <w:rFonts w:eastAsiaTheme="minorHAnsi"/>
                <w:szCs w:val="24"/>
              </w:rPr>
            </w:pPr>
            <w:r>
              <w:rPr>
                <w:rStyle w:val="LB1-TableChar"/>
                <w:rFonts w:eastAsiaTheme="minorHAnsi"/>
                <w:szCs w:val="24"/>
              </w:rPr>
              <w:t>Provide for Security Vulnerability Assessments and Controlled Penetration testing by TWC and/or its agent as agreed to for the duration of services of the Awarded Vendor;</w:t>
            </w:r>
          </w:p>
          <w:p w14:paraId="2EFEAE7A" w14:textId="77777777" w:rsidR="003E6231" w:rsidRDefault="003E6231" w:rsidP="003E6231">
            <w:pPr>
              <w:pStyle w:val="LB1-Table"/>
              <w:rPr>
                <w:rStyle w:val="LB1-TableChar"/>
                <w:rFonts w:eastAsiaTheme="minorHAnsi"/>
                <w:szCs w:val="24"/>
              </w:rPr>
            </w:pPr>
            <w:r>
              <w:rPr>
                <w:rStyle w:val="LB1-TableChar"/>
                <w:rFonts w:eastAsiaTheme="minorHAnsi"/>
                <w:szCs w:val="24"/>
              </w:rPr>
              <w:t>Fully cooperating with the TWC Chief Information Security Officer (CISO) and security team in the detection and remediation of any security vulnerability of the hosting infrastructure and/or the application; and</w:t>
            </w:r>
          </w:p>
          <w:p w14:paraId="1F107A41" w14:textId="092EEBC4" w:rsidR="001231EF" w:rsidRPr="00097662" w:rsidRDefault="003E6231" w:rsidP="00E37BF1">
            <w:pPr>
              <w:pStyle w:val="LB1-Table"/>
              <w:rPr>
                <w:szCs w:val="24"/>
              </w:rPr>
            </w:pPr>
            <w:r>
              <w:rPr>
                <w:rStyle w:val="LB1-TableChar"/>
                <w:rFonts w:eastAsiaTheme="minorHAnsi"/>
                <w:szCs w:val="24"/>
              </w:rPr>
              <w:t>Providing a dedicated Hardware Security Module (HSM) appliance for encryption key management</w:t>
            </w:r>
            <w:bookmarkEnd w:id="286"/>
            <w:r w:rsidR="00097662" w:rsidRPr="005D06C2">
              <w:rPr>
                <w:szCs w:val="24"/>
              </w:rPr>
              <w:t xml:space="preserve">. </w:t>
            </w:r>
          </w:p>
        </w:tc>
      </w:tr>
      <w:tr w:rsidR="001231EF" w:rsidRPr="00CD16AB" w14:paraId="242731D4" w14:textId="77777777" w:rsidTr="00D315C2">
        <w:tc>
          <w:tcPr>
            <w:tcW w:w="1165" w:type="dxa"/>
          </w:tcPr>
          <w:p w14:paraId="7E959C02" w14:textId="6504BF3C" w:rsidR="001231EF" w:rsidRDefault="00097662" w:rsidP="00F755F1">
            <w:pPr>
              <w:pStyle w:val="Normal-Table"/>
            </w:pPr>
            <w:r>
              <w:lastRenderedPageBreak/>
              <w:t>IT-11</w:t>
            </w:r>
          </w:p>
        </w:tc>
        <w:tc>
          <w:tcPr>
            <w:tcW w:w="13140" w:type="dxa"/>
            <w:vAlign w:val="center"/>
          </w:tcPr>
          <w:p w14:paraId="6DEAFBF1" w14:textId="573802C3" w:rsidR="00097662" w:rsidRPr="00097662" w:rsidRDefault="00097662" w:rsidP="00097662">
            <w:pPr>
              <w:spacing w:after="0"/>
              <w:ind w:left="0"/>
              <w:rPr>
                <w:szCs w:val="24"/>
              </w:rPr>
            </w:pPr>
            <w:r w:rsidRPr="00097662">
              <w:rPr>
                <w:szCs w:val="24"/>
              </w:rPr>
              <w:t xml:space="preserve">The Offeror </w:t>
            </w:r>
            <w:r w:rsidR="002510B7">
              <w:rPr>
                <w:szCs w:val="24"/>
              </w:rPr>
              <w:t>must provide their security policies and procedures that address, at a minimum, the following</w:t>
            </w:r>
            <w:r w:rsidRPr="00097662">
              <w:rPr>
                <w:szCs w:val="24"/>
              </w:rPr>
              <w:t>:</w:t>
            </w:r>
          </w:p>
          <w:p w14:paraId="6AD0323A" w14:textId="53A0E867" w:rsidR="00097662" w:rsidRPr="00097662" w:rsidRDefault="00097662" w:rsidP="00C57ECF">
            <w:pPr>
              <w:pStyle w:val="LB1-Table"/>
            </w:pPr>
            <w:r w:rsidRPr="00097662">
              <w:t xml:space="preserve">Privacy </w:t>
            </w:r>
            <w:r w:rsidR="00C57ECF" w:rsidRPr="00C57ECF">
              <w:t>&amp; Confidentiality</w:t>
            </w:r>
          </w:p>
          <w:p w14:paraId="04C917FB" w14:textId="77777777" w:rsidR="00C57ECF" w:rsidRDefault="00C57ECF" w:rsidP="00C57ECF">
            <w:pPr>
              <w:pStyle w:val="LB1-Table"/>
              <w:rPr>
                <w:sz w:val="20"/>
              </w:rPr>
            </w:pPr>
            <w:r>
              <w:t>Data Classification</w:t>
            </w:r>
          </w:p>
          <w:p w14:paraId="31A9BA1F" w14:textId="77777777" w:rsidR="00C57ECF" w:rsidRDefault="00C57ECF" w:rsidP="00C57ECF">
            <w:pPr>
              <w:pStyle w:val="LB1-Table"/>
            </w:pPr>
            <w:r>
              <w:t>Critical Information Asset Inventory</w:t>
            </w:r>
          </w:p>
          <w:p w14:paraId="57560B1B" w14:textId="77777777" w:rsidR="00C57ECF" w:rsidRDefault="00C57ECF" w:rsidP="00C57ECF">
            <w:pPr>
              <w:pStyle w:val="LB1-Table"/>
            </w:pPr>
            <w:r>
              <w:t>Control Oversight and Safeguard Assurance</w:t>
            </w:r>
          </w:p>
          <w:p w14:paraId="1AF4EE77" w14:textId="77777777" w:rsidR="00C57ECF" w:rsidRDefault="00C57ECF" w:rsidP="00C57ECF">
            <w:pPr>
              <w:pStyle w:val="LB1-Table"/>
            </w:pPr>
            <w:r>
              <w:t>Information Security Risk Management</w:t>
            </w:r>
          </w:p>
          <w:p w14:paraId="416D1509" w14:textId="77777777" w:rsidR="00C57ECF" w:rsidRDefault="00C57ECF" w:rsidP="00C57ECF">
            <w:pPr>
              <w:pStyle w:val="LB1-Table"/>
            </w:pPr>
            <w:r>
              <w:t>Security Oversight and Governance</w:t>
            </w:r>
          </w:p>
          <w:p w14:paraId="10CCD0E4" w14:textId="77777777" w:rsidR="00C57ECF" w:rsidRDefault="00C57ECF" w:rsidP="00C57ECF">
            <w:pPr>
              <w:pStyle w:val="LB1-Table"/>
            </w:pPr>
            <w:r>
              <w:t>Security Compliance and Regulatory Requirements Management</w:t>
            </w:r>
          </w:p>
          <w:p w14:paraId="1C766D68" w14:textId="77777777" w:rsidR="00C57ECF" w:rsidRDefault="00C57ECF" w:rsidP="00C57ECF">
            <w:pPr>
              <w:pStyle w:val="LB1-Table"/>
            </w:pPr>
            <w:r>
              <w:t>Cloud Usage &amp; Security</w:t>
            </w:r>
          </w:p>
          <w:p w14:paraId="064FF990" w14:textId="77777777" w:rsidR="00C57ECF" w:rsidRDefault="00C57ECF" w:rsidP="00C57ECF">
            <w:pPr>
              <w:pStyle w:val="LB1-Table"/>
            </w:pPr>
            <w:r>
              <w:lastRenderedPageBreak/>
              <w:t>Security Assessment and Authorization (Technology Risk Assessment)</w:t>
            </w:r>
          </w:p>
          <w:p w14:paraId="4525C76E" w14:textId="77777777" w:rsidR="00C57ECF" w:rsidRDefault="00C57ECF" w:rsidP="00C57ECF">
            <w:pPr>
              <w:pStyle w:val="LB1-Table"/>
            </w:pPr>
            <w:r>
              <w:t>External Vendors &amp; Third-Party Providers</w:t>
            </w:r>
          </w:p>
          <w:p w14:paraId="556090B0" w14:textId="77777777" w:rsidR="00C57ECF" w:rsidRDefault="00C57ECF" w:rsidP="00C57ECF">
            <w:pPr>
              <w:pStyle w:val="LB1-Table"/>
            </w:pPr>
            <w:r>
              <w:t>Secure Application Development</w:t>
            </w:r>
          </w:p>
          <w:p w14:paraId="749BA5F2" w14:textId="77777777" w:rsidR="00C57ECF" w:rsidRDefault="00C57ECF" w:rsidP="00C57ECF">
            <w:pPr>
              <w:pStyle w:val="LB1-Table"/>
            </w:pPr>
            <w:r>
              <w:t>Penetration Testing</w:t>
            </w:r>
          </w:p>
          <w:p w14:paraId="123A3857" w14:textId="77777777" w:rsidR="00C57ECF" w:rsidRDefault="00C57ECF" w:rsidP="00C57ECF">
            <w:pPr>
              <w:pStyle w:val="LB1-Table"/>
            </w:pPr>
            <w:r>
              <w:t>Vulnerability Testing</w:t>
            </w:r>
          </w:p>
          <w:p w14:paraId="5E902C28" w14:textId="77777777" w:rsidR="00C57ECF" w:rsidRDefault="00C57ECF" w:rsidP="00C57ECF">
            <w:pPr>
              <w:pStyle w:val="LB1-Table"/>
            </w:pPr>
            <w:r>
              <w:t>Enterprise Architecture, Roadmap, and Emerging Technology</w:t>
            </w:r>
          </w:p>
          <w:p w14:paraId="5BFAF078" w14:textId="77777777" w:rsidR="00C57ECF" w:rsidRDefault="00C57ECF" w:rsidP="00C57ECF">
            <w:pPr>
              <w:pStyle w:val="LB1-Table"/>
            </w:pPr>
            <w:r>
              <w:t>Secure Systems Services, Acquisition, and Development</w:t>
            </w:r>
          </w:p>
          <w:p w14:paraId="44E801B0" w14:textId="77777777" w:rsidR="00C57ECF" w:rsidRDefault="00C57ECF" w:rsidP="00C57ECF">
            <w:pPr>
              <w:pStyle w:val="LB1-Table"/>
            </w:pPr>
            <w:r>
              <w:t>Security Awareness and Privacy Training</w:t>
            </w:r>
          </w:p>
          <w:p w14:paraId="13958B77" w14:textId="77777777" w:rsidR="00C57ECF" w:rsidRDefault="00C57ECF" w:rsidP="00C57ECF">
            <w:pPr>
              <w:pStyle w:val="LB1-Table"/>
            </w:pPr>
            <w:r>
              <w:t>Cryptography</w:t>
            </w:r>
          </w:p>
          <w:p w14:paraId="6B14157E" w14:textId="77777777" w:rsidR="00C57ECF" w:rsidRDefault="00C57ECF" w:rsidP="00C57ECF">
            <w:pPr>
              <w:pStyle w:val="LB1-Table"/>
            </w:pPr>
            <w:r>
              <w:t>Change Management</w:t>
            </w:r>
          </w:p>
          <w:p w14:paraId="7C8964A0" w14:textId="77777777" w:rsidR="00C57ECF" w:rsidRDefault="00C57ECF" w:rsidP="00C57ECF">
            <w:pPr>
              <w:pStyle w:val="LB1-Table"/>
            </w:pPr>
            <w:r>
              <w:t>Media (Handling &amp; Sanitization)</w:t>
            </w:r>
          </w:p>
          <w:p w14:paraId="3DE65705" w14:textId="77777777" w:rsidR="00C57ECF" w:rsidRDefault="00C57ECF" w:rsidP="00C57ECF">
            <w:pPr>
              <w:pStyle w:val="LB1-Table"/>
            </w:pPr>
            <w:r>
              <w:t>Physical and Environmental Protection</w:t>
            </w:r>
          </w:p>
          <w:p w14:paraId="48A52F43" w14:textId="77777777" w:rsidR="00C57ECF" w:rsidRDefault="00C57ECF" w:rsidP="00C57ECF">
            <w:pPr>
              <w:pStyle w:val="LB1-Table"/>
            </w:pPr>
            <w:r>
              <w:t>Access Management</w:t>
            </w:r>
          </w:p>
          <w:p w14:paraId="0412EC05" w14:textId="77777777" w:rsidR="00C57ECF" w:rsidRDefault="00C57ECF" w:rsidP="00C57ECF">
            <w:pPr>
              <w:pStyle w:val="LB1-Table"/>
            </w:pPr>
            <w:r>
              <w:t>Network Access and Perimeter Controls</w:t>
            </w:r>
          </w:p>
          <w:p w14:paraId="64F524A7" w14:textId="77777777" w:rsidR="00C57ECF" w:rsidRDefault="00C57ECF" w:rsidP="00C57ECF">
            <w:pPr>
              <w:pStyle w:val="LB1-Table"/>
            </w:pPr>
            <w:r>
              <w:t>Internet Content Filtering</w:t>
            </w:r>
          </w:p>
          <w:p w14:paraId="2B8BF449" w14:textId="77777777" w:rsidR="00C57ECF" w:rsidRDefault="00C57ECF" w:rsidP="00C57ECF">
            <w:pPr>
              <w:pStyle w:val="LB1-Table"/>
            </w:pPr>
            <w:r>
              <w:t>Data Loss Prevention</w:t>
            </w:r>
          </w:p>
          <w:p w14:paraId="3327514A" w14:textId="77777777" w:rsidR="00C57ECF" w:rsidRDefault="00C57ECF" w:rsidP="00C57ECF">
            <w:pPr>
              <w:pStyle w:val="LB1-Table"/>
            </w:pPr>
            <w:r>
              <w:t>Identification and Authorization</w:t>
            </w:r>
          </w:p>
          <w:p w14:paraId="06664347" w14:textId="77777777" w:rsidR="00C57ECF" w:rsidRDefault="00C57ECF" w:rsidP="00C57ECF">
            <w:pPr>
              <w:pStyle w:val="LB1-Table"/>
            </w:pPr>
            <w:r>
              <w:t>Spam Filtering</w:t>
            </w:r>
          </w:p>
          <w:p w14:paraId="1C2FA189" w14:textId="77777777" w:rsidR="00C57ECF" w:rsidRDefault="00C57ECF" w:rsidP="00C57ECF">
            <w:pPr>
              <w:pStyle w:val="LB1-Table"/>
            </w:pPr>
            <w:r>
              <w:t>Portable and Remote Computing</w:t>
            </w:r>
          </w:p>
          <w:p w14:paraId="6A54B4B9" w14:textId="77777777" w:rsidR="00C57ECF" w:rsidRDefault="00C57ECF" w:rsidP="00C57ECF">
            <w:pPr>
              <w:pStyle w:val="LB1-Table"/>
            </w:pPr>
            <w:r>
              <w:t>Vulnerability Assessment</w:t>
            </w:r>
          </w:p>
          <w:p w14:paraId="4EA600A3" w14:textId="77777777" w:rsidR="00C57ECF" w:rsidRDefault="00C57ECF" w:rsidP="00C57ECF">
            <w:pPr>
              <w:pStyle w:val="LB1-Table"/>
            </w:pPr>
            <w:r>
              <w:t>Malware Protection</w:t>
            </w:r>
          </w:p>
          <w:p w14:paraId="177839D2" w14:textId="77777777" w:rsidR="00E37BF1" w:rsidRPr="00E37BF1" w:rsidRDefault="00C57ECF" w:rsidP="00E37BF1">
            <w:pPr>
              <w:pStyle w:val="LB1-Table"/>
              <w:rPr>
                <w:szCs w:val="24"/>
              </w:rPr>
            </w:pPr>
            <w:r>
              <w:t>Security Monitoring and Event Analysis</w:t>
            </w:r>
          </w:p>
          <w:p w14:paraId="4C8EFA5A" w14:textId="734E21EB" w:rsidR="001231EF" w:rsidRPr="00097662" w:rsidRDefault="00C57ECF" w:rsidP="00E37BF1">
            <w:pPr>
              <w:pStyle w:val="LB1-Table"/>
              <w:rPr>
                <w:szCs w:val="24"/>
              </w:rPr>
            </w:pPr>
            <w:r>
              <w:t>Incident Response</w:t>
            </w:r>
          </w:p>
        </w:tc>
      </w:tr>
      <w:tr w:rsidR="001231EF" w:rsidRPr="00CD16AB" w14:paraId="2770ED28" w14:textId="77777777" w:rsidTr="00D315C2">
        <w:tc>
          <w:tcPr>
            <w:tcW w:w="1165" w:type="dxa"/>
          </w:tcPr>
          <w:p w14:paraId="44268A6B" w14:textId="708085B5" w:rsidR="001231EF" w:rsidRDefault="00097662" w:rsidP="001231EF">
            <w:pPr>
              <w:pStyle w:val="Normal-Table"/>
            </w:pPr>
            <w:r>
              <w:lastRenderedPageBreak/>
              <w:t>IT-12</w:t>
            </w:r>
          </w:p>
        </w:tc>
        <w:tc>
          <w:tcPr>
            <w:tcW w:w="13140" w:type="dxa"/>
            <w:vAlign w:val="center"/>
          </w:tcPr>
          <w:p w14:paraId="16072D5C" w14:textId="20941AEB" w:rsidR="001231EF" w:rsidRDefault="00C95671" w:rsidP="001231EF">
            <w:pPr>
              <w:pStyle w:val="Normal-Table"/>
              <w:rPr>
                <w:szCs w:val="24"/>
              </w:rPr>
            </w:pPr>
            <w:r w:rsidRPr="00C95671">
              <w:rPr>
                <w:szCs w:val="24"/>
              </w:rPr>
              <w:t>The Offeror must provide a</w:t>
            </w:r>
            <w:r w:rsidR="0095449A">
              <w:rPr>
                <w:szCs w:val="24"/>
              </w:rPr>
              <w:t>n</w:t>
            </w:r>
            <w:r w:rsidRPr="00C95671">
              <w:rPr>
                <w:szCs w:val="24"/>
              </w:rPr>
              <w:t xml:space="preserve"> </w:t>
            </w:r>
            <w:r w:rsidR="00054DBA">
              <w:rPr>
                <w:szCs w:val="24"/>
              </w:rPr>
              <w:t>SSO</w:t>
            </w:r>
            <w:r w:rsidRPr="00C95671">
              <w:rPr>
                <w:szCs w:val="24"/>
              </w:rPr>
              <w:t xml:space="preserve"> capability between their solution and </w:t>
            </w:r>
            <w:r w:rsidR="00551435">
              <w:rPr>
                <w:szCs w:val="24"/>
              </w:rPr>
              <w:t>Okta</w:t>
            </w:r>
            <w:r w:rsidRPr="00C95671">
              <w:rPr>
                <w:szCs w:val="24"/>
              </w:rPr>
              <w:t xml:space="preserve"> using OpenID or some other token-based open ID compatible with </w:t>
            </w:r>
            <w:r w:rsidR="00551435">
              <w:rPr>
                <w:szCs w:val="24"/>
              </w:rPr>
              <w:t>Okta</w:t>
            </w:r>
            <w:r w:rsidR="001231EF" w:rsidRPr="00C95671">
              <w:rPr>
                <w:szCs w:val="24"/>
              </w:rPr>
              <w:t>.</w:t>
            </w:r>
            <w:r w:rsidR="00542A39">
              <w:rPr>
                <w:szCs w:val="24"/>
              </w:rPr>
              <w:t xml:space="preserve"> Okta is </w:t>
            </w:r>
            <w:r w:rsidR="00542A39" w:rsidRPr="00C95671">
              <w:rPr>
                <w:szCs w:val="24"/>
              </w:rPr>
              <w:t xml:space="preserve">the TWC IDentity as a Service </w:t>
            </w:r>
            <w:r w:rsidR="00542A39">
              <w:rPr>
                <w:szCs w:val="24"/>
              </w:rPr>
              <w:t>(</w:t>
            </w:r>
            <w:r w:rsidR="00542A39" w:rsidRPr="00C95671">
              <w:rPr>
                <w:szCs w:val="24"/>
              </w:rPr>
              <w:t>IDaaS</w:t>
            </w:r>
            <w:r w:rsidR="00542A39">
              <w:rPr>
                <w:szCs w:val="24"/>
              </w:rPr>
              <w:t>)</w:t>
            </w:r>
            <w:r w:rsidR="00542A39" w:rsidRPr="00C95671">
              <w:rPr>
                <w:szCs w:val="24"/>
              </w:rPr>
              <w:t xml:space="preserve"> solution for identity management, authentication</w:t>
            </w:r>
            <w:r w:rsidR="00542A39">
              <w:rPr>
                <w:szCs w:val="24"/>
              </w:rPr>
              <w:t>,</w:t>
            </w:r>
            <w:r w:rsidR="00542A39" w:rsidRPr="00C95671">
              <w:rPr>
                <w:szCs w:val="24"/>
              </w:rPr>
              <w:t xml:space="preserve"> and authorization</w:t>
            </w:r>
            <w:r w:rsidR="00542A39">
              <w:rPr>
                <w:szCs w:val="24"/>
              </w:rPr>
              <w:t>.</w:t>
            </w:r>
          </w:p>
          <w:p w14:paraId="1598F162" w14:textId="583F7419" w:rsidR="00A113B9" w:rsidRPr="00F755F1" w:rsidRDefault="00C92570" w:rsidP="001231EF">
            <w:pPr>
              <w:pStyle w:val="Normal-Table"/>
            </w:pPr>
            <w:r>
              <w:t>The System must log all events associated with user IDs including System access and System access attempts.</w:t>
            </w:r>
          </w:p>
        </w:tc>
      </w:tr>
      <w:tr w:rsidR="001231EF" w:rsidRPr="00CD16AB" w14:paraId="0BF6C233" w14:textId="77777777" w:rsidTr="00D315C2">
        <w:tc>
          <w:tcPr>
            <w:tcW w:w="1165" w:type="dxa"/>
          </w:tcPr>
          <w:p w14:paraId="16B51623" w14:textId="3762FE03" w:rsidR="001231EF" w:rsidRDefault="00097662" w:rsidP="001231EF">
            <w:pPr>
              <w:pStyle w:val="Normal-Table"/>
            </w:pPr>
            <w:r>
              <w:lastRenderedPageBreak/>
              <w:t>IT-13</w:t>
            </w:r>
          </w:p>
        </w:tc>
        <w:tc>
          <w:tcPr>
            <w:tcW w:w="13140" w:type="dxa"/>
            <w:vAlign w:val="center"/>
          </w:tcPr>
          <w:p w14:paraId="0F2A37FC" w14:textId="77777777" w:rsidR="001231EF" w:rsidRDefault="00FD7390" w:rsidP="001231EF">
            <w:pPr>
              <w:pStyle w:val="Normal-Table"/>
            </w:pPr>
            <w:r w:rsidRPr="00097662">
              <w:t>The System must prompt all users to log-on and register for an account. The System’s authentication facilities must support the ability for the user to sign-in and reset their password to a new password using authentication criteria other than password (attributes known only to the user). Users include</w:t>
            </w:r>
            <w:r w:rsidR="007F414A">
              <w:t xml:space="preserve"> TWC</w:t>
            </w:r>
            <w:r w:rsidRPr="00097662">
              <w:t xml:space="preserve"> Staff, </w:t>
            </w:r>
            <w:r w:rsidR="00533482" w:rsidRPr="00097662">
              <w:t>Claimants</w:t>
            </w:r>
            <w:r w:rsidRPr="00097662">
              <w:t>, Employers, and TPAs.</w:t>
            </w:r>
          </w:p>
          <w:p w14:paraId="3C1EFDAE" w14:textId="2AC68AC2" w:rsidR="000C4520" w:rsidRPr="00F755F1" w:rsidRDefault="000C4520" w:rsidP="001231EF">
            <w:pPr>
              <w:pStyle w:val="Normal-Table"/>
            </w:pPr>
            <w:r>
              <w:t>The Offeror must describe how Staff register for accounts</w:t>
            </w:r>
            <w:r w:rsidR="009C3560">
              <w:t>,</w:t>
            </w:r>
            <w:r w:rsidR="00F41104">
              <w:t xml:space="preserve"> and how permissions are issued</w:t>
            </w:r>
            <w:r w:rsidR="009C3560">
              <w:t xml:space="preserve"> and removed</w:t>
            </w:r>
            <w:r>
              <w:t>.</w:t>
            </w:r>
          </w:p>
        </w:tc>
      </w:tr>
      <w:tr w:rsidR="001231EF" w:rsidRPr="00CD16AB" w14:paraId="6BCDE7C4" w14:textId="77777777" w:rsidTr="00D315C2">
        <w:tc>
          <w:tcPr>
            <w:tcW w:w="1165" w:type="dxa"/>
          </w:tcPr>
          <w:p w14:paraId="6B5C4B4B" w14:textId="5FA32069" w:rsidR="001231EF" w:rsidRDefault="00097662" w:rsidP="001231EF">
            <w:pPr>
              <w:pStyle w:val="Normal-Table"/>
            </w:pPr>
            <w:r>
              <w:t>IT-14</w:t>
            </w:r>
          </w:p>
        </w:tc>
        <w:tc>
          <w:tcPr>
            <w:tcW w:w="13140" w:type="dxa"/>
            <w:vAlign w:val="center"/>
          </w:tcPr>
          <w:p w14:paraId="4EC161B3" w14:textId="112A7C09" w:rsidR="001231EF" w:rsidRPr="00F755F1" w:rsidRDefault="001231EF" w:rsidP="001231EF">
            <w:pPr>
              <w:pStyle w:val="Normal-Table"/>
            </w:pPr>
            <w:r w:rsidRPr="00097662">
              <w:t>The Offeror must describe how their solution allows for expansion to use a future TWC-provided identity management platform to control sign on, provisioning, and role assignment. This identity management platform may integrate with the Offeror’s solution through Web services (WS-*), including possible federation.</w:t>
            </w:r>
          </w:p>
        </w:tc>
      </w:tr>
      <w:tr w:rsidR="001231EF" w:rsidRPr="00CD16AB" w14:paraId="696F4A26" w14:textId="77777777" w:rsidTr="00D315C2">
        <w:tc>
          <w:tcPr>
            <w:tcW w:w="1165" w:type="dxa"/>
          </w:tcPr>
          <w:p w14:paraId="1CD7580D" w14:textId="70D8D5BA" w:rsidR="001231EF" w:rsidRDefault="00097662" w:rsidP="001231EF">
            <w:pPr>
              <w:pStyle w:val="Normal-Table"/>
            </w:pPr>
            <w:r>
              <w:t>IT-15</w:t>
            </w:r>
          </w:p>
        </w:tc>
        <w:tc>
          <w:tcPr>
            <w:tcW w:w="13140" w:type="dxa"/>
            <w:vAlign w:val="center"/>
          </w:tcPr>
          <w:p w14:paraId="0C59BB33" w14:textId="57C368BE" w:rsidR="001231EF" w:rsidRPr="00F755F1" w:rsidRDefault="001231EF" w:rsidP="001231EF">
            <w:pPr>
              <w:pStyle w:val="Normal-Table"/>
            </w:pPr>
            <w:r w:rsidRPr="00097662">
              <w:t>The System must enforce role-based access, enabling access to client records based on user authorizations, while not displaying confidential information elements not required for the intended use.</w:t>
            </w:r>
            <w:r w:rsidR="00322F8F">
              <w:t xml:space="preserve"> Role-based access will also include geolocation or IP-based limitations, that is users with staff access may be limited to where they can access the system.</w:t>
            </w:r>
          </w:p>
        </w:tc>
      </w:tr>
      <w:tr w:rsidR="001231EF" w:rsidRPr="00CD16AB" w14:paraId="4D3F8D73" w14:textId="77777777" w:rsidTr="00D315C2">
        <w:tc>
          <w:tcPr>
            <w:tcW w:w="1165" w:type="dxa"/>
          </w:tcPr>
          <w:p w14:paraId="3F4FEB3F" w14:textId="6DBF927D" w:rsidR="001231EF" w:rsidRDefault="00097662" w:rsidP="001231EF">
            <w:pPr>
              <w:pStyle w:val="Normal-Table"/>
            </w:pPr>
            <w:r>
              <w:t>IT-16</w:t>
            </w:r>
          </w:p>
        </w:tc>
        <w:tc>
          <w:tcPr>
            <w:tcW w:w="13140" w:type="dxa"/>
            <w:vAlign w:val="center"/>
          </w:tcPr>
          <w:p w14:paraId="7800AED1" w14:textId="64D5BC4F" w:rsidR="001231EF" w:rsidRPr="00F755F1" w:rsidRDefault="001231EF" w:rsidP="001231EF">
            <w:pPr>
              <w:pStyle w:val="Normal-Table"/>
            </w:pPr>
            <w:r w:rsidRPr="00097662">
              <w:t>The Offeror solution must be designed and implemented so that personal, confidential, and sensitive information is secured by ensuring identification and authentication, authorization, and audit trails. The authorization method will limit access to information required by the requester’s business functions.</w:t>
            </w:r>
          </w:p>
        </w:tc>
      </w:tr>
      <w:tr w:rsidR="00F755F1" w:rsidRPr="00CD16AB" w14:paraId="41B728CF" w14:textId="77777777" w:rsidTr="00D315C2">
        <w:tc>
          <w:tcPr>
            <w:tcW w:w="1165" w:type="dxa"/>
          </w:tcPr>
          <w:p w14:paraId="7FE8D0C4" w14:textId="070E1CA2" w:rsidR="00F755F1" w:rsidRPr="00F755F1" w:rsidRDefault="00097662" w:rsidP="00D315C2">
            <w:pPr>
              <w:pStyle w:val="Normal-Table"/>
            </w:pPr>
            <w:r>
              <w:t>IT-17</w:t>
            </w:r>
          </w:p>
        </w:tc>
        <w:tc>
          <w:tcPr>
            <w:tcW w:w="13140" w:type="dxa"/>
          </w:tcPr>
          <w:p w14:paraId="219DE717" w14:textId="4962E19F" w:rsidR="00F755F1" w:rsidRPr="00F755F1" w:rsidRDefault="00F755F1" w:rsidP="00D315C2">
            <w:pPr>
              <w:pStyle w:val="Normal-Table"/>
            </w:pPr>
            <w:r w:rsidRPr="00F755F1">
              <w:t xml:space="preserve">The </w:t>
            </w:r>
            <w:r w:rsidR="00A113B9" w:rsidRPr="00097662">
              <w:t xml:space="preserve">System </w:t>
            </w:r>
            <w:r w:rsidRPr="00F755F1">
              <w:t xml:space="preserve">must include the use of secure, computer-generated, time-stamped audit trails to independently record the date and time of operator entries and actions that create, modify, </w:t>
            </w:r>
            <w:r w:rsidR="00CD0F43">
              <w:t xml:space="preserve">view, </w:t>
            </w:r>
            <w:r w:rsidRPr="00F755F1">
              <w:t>or delete data.</w:t>
            </w:r>
            <w:r w:rsidR="00EE5622">
              <w:t xml:space="preserve"> </w:t>
            </w:r>
            <w:r w:rsidRPr="00F755F1">
              <w:t>No system user, including system administrators, should have the ability to modify the audit trail. Record changes shall not obscure previously recorded information. The System must retain all prior values of changed data and provide the ability to restore a prior version of a record.</w:t>
            </w:r>
          </w:p>
        </w:tc>
      </w:tr>
      <w:tr w:rsidR="00ED20CB" w:rsidRPr="00CE4250" w14:paraId="4ACEA416" w14:textId="77777777" w:rsidTr="00F02BB7">
        <w:tc>
          <w:tcPr>
            <w:tcW w:w="1165" w:type="dxa"/>
          </w:tcPr>
          <w:p w14:paraId="66EAF8B8" w14:textId="55985AF3" w:rsidR="00ED20CB" w:rsidRPr="00097662" w:rsidRDefault="00097662" w:rsidP="00097662">
            <w:pPr>
              <w:pStyle w:val="Normal-Table"/>
            </w:pPr>
            <w:r>
              <w:t>IT-18</w:t>
            </w:r>
          </w:p>
        </w:tc>
        <w:tc>
          <w:tcPr>
            <w:tcW w:w="13140" w:type="dxa"/>
          </w:tcPr>
          <w:p w14:paraId="5F54946B" w14:textId="7F535598" w:rsidR="00ED20CB" w:rsidRPr="00097662" w:rsidRDefault="00ED20CB" w:rsidP="00097662">
            <w:pPr>
              <w:pStyle w:val="Normal-Table"/>
            </w:pPr>
            <w:r w:rsidRPr="00097662">
              <w:t>The Offeror solution must provide a secure mechanism to electronically transfer audit trail logs, on an on-going basis, to TWC.</w:t>
            </w:r>
          </w:p>
        </w:tc>
      </w:tr>
      <w:tr w:rsidR="00ED20CB" w:rsidRPr="00CE4250" w14:paraId="10BF5EF9" w14:textId="77777777" w:rsidTr="00F02BB7">
        <w:tc>
          <w:tcPr>
            <w:tcW w:w="1165" w:type="dxa"/>
          </w:tcPr>
          <w:p w14:paraId="5D62816C" w14:textId="2C95AA19" w:rsidR="00ED20CB" w:rsidRPr="00097662" w:rsidRDefault="00097662" w:rsidP="00097662">
            <w:pPr>
              <w:pStyle w:val="Normal-Table"/>
            </w:pPr>
            <w:r>
              <w:t>IT-19</w:t>
            </w:r>
          </w:p>
        </w:tc>
        <w:tc>
          <w:tcPr>
            <w:tcW w:w="13140" w:type="dxa"/>
          </w:tcPr>
          <w:p w14:paraId="270BF4E9" w14:textId="186E0694" w:rsidR="00ED20CB" w:rsidRPr="00097662" w:rsidRDefault="00ED20CB" w:rsidP="00097662">
            <w:pPr>
              <w:pStyle w:val="Normal-Table"/>
            </w:pPr>
            <w:r w:rsidRPr="00097662">
              <w:t xml:space="preserve">The Offeror must provide details on securing production data in non-Production environments. As an alternative to maintaining production environment level FedRAMP requirements for all environments (i.e. </w:t>
            </w:r>
            <w:r w:rsidRPr="00097662">
              <w:lastRenderedPageBreak/>
              <w:t xml:space="preserve">encryption, access controls, etc.). </w:t>
            </w:r>
            <w:r w:rsidRPr="00097662">
              <w:br/>
            </w:r>
            <w:r w:rsidRPr="00097662">
              <w:br/>
              <w:t xml:space="preserve">As an alternative to maintaining production environment level FedRAMP requirements for all environments, the </w:t>
            </w:r>
            <w:r w:rsidR="00C616DB" w:rsidRPr="00097662">
              <w:t xml:space="preserve">Offeror </w:t>
            </w:r>
            <w:r w:rsidRPr="00097662">
              <w:t>may prescribe a strategy and methodology for both pre-and post-implementation describing all necessary data requirements and processes to secure data in non-Production environments.</w:t>
            </w:r>
          </w:p>
        </w:tc>
      </w:tr>
      <w:tr w:rsidR="00ED20CB" w:rsidRPr="00CE4250" w14:paraId="19B0D44F" w14:textId="77777777" w:rsidTr="00F02BB7">
        <w:tc>
          <w:tcPr>
            <w:tcW w:w="1165" w:type="dxa"/>
          </w:tcPr>
          <w:p w14:paraId="04DA6EA2" w14:textId="30430209" w:rsidR="00ED20CB" w:rsidRPr="00097662" w:rsidRDefault="00097662" w:rsidP="00097662">
            <w:pPr>
              <w:pStyle w:val="Normal-Table"/>
            </w:pPr>
            <w:r>
              <w:lastRenderedPageBreak/>
              <w:t>IT-20</w:t>
            </w:r>
          </w:p>
        </w:tc>
        <w:tc>
          <w:tcPr>
            <w:tcW w:w="13140" w:type="dxa"/>
          </w:tcPr>
          <w:p w14:paraId="4AD2F293" w14:textId="0F5BA1FB" w:rsidR="00ED20CB" w:rsidRPr="00097662" w:rsidRDefault="00ED20CB" w:rsidP="00097662">
            <w:pPr>
              <w:pStyle w:val="Normal-Table"/>
            </w:pPr>
            <w:r w:rsidRPr="00097662">
              <w:t xml:space="preserve">The Offeror must provide copies of application security assessments of the current application that were conducted by an independent, third party specialist security firm. In addition, the Offeror must agree to supply copies of application security assessments of future releases of the application conducted by an independent, third party specialist security firm. The Offeror must receive approval from TWC and any other statutorily required review for the results prior to implementing any release. Offeror must allow TWC to perform security assessments prior to </w:t>
            </w:r>
            <w:r w:rsidR="009C0D10">
              <w:t>Go-Live</w:t>
            </w:r>
            <w:r w:rsidRPr="00097662">
              <w:t xml:space="preserve"> and periodically during the life of the systems use by TWC.</w:t>
            </w:r>
          </w:p>
        </w:tc>
      </w:tr>
      <w:tr w:rsidR="00ED20CB" w:rsidRPr="00CE4250" w14:paraId="40612232" w14:textId="77777777" w:rsidTr="00F02BB7">
        <w:tc>
          <w:tcPr>
            <w:tcW w:w="1165" w:type="dxa"/>
          </w:tcPr>
          <w:p w14:paraId="15C35379" w14:textId="265C94A8" w:rsidR="00ED20CB" w:rsidRPr="00097662" w:rsidRDefault="00097662" w:rsidP="00097662">
            <w:pPr>
              <w:pStyle w:val="Normal-Table"/>
            </w:pPr>
            <w:r>
              <w:t>IT-21</w:t>
            </w:r>
          </w:p>
        </w:tc>
        <w:tc>
          <w:tcPr>
            <w:tcW w:w="13140" w:type="dxa"/>
          </w:tcPr>
          <w:p w14:paraId="0165FB2A" w14:textId="15CD99CA" w:rsidR="00ED20CB" w:rsidRPr="00097662" w:rsidRDefault="00ED20CB" w:rsidP="00097662">
            <w:pPr>
              <w:pStyle w:val="Normal-Table"/>
            </w:pPr>
            <w:r w:rsidRPr="00097662">
              <w:t>The Offeror must provide copies of enterprise security assessments or certification/accreditations performed by independent third-party specialist security firms in the past three (3) years.</w:t>
            </w:r>
          </w:p>
        </w:tc>
      </w:tr>
      <w:tr w:rsidR="00ED20CB" w:rsidRPr="00CE4250" w14:paraId="36B5E85B" w14:textId="77777777" w:rsidTr="00F02BB7">
        <w:tc>
          <w:tcPr>
            <w:tcW w:w="1165" w:type="dxa"/>
          </w:tcPr>
          <w:p w14:paraId="11C90B7C" w14:textId="15656D0D" w:rsidR="00ED20CB" w:rsidRPr="00097662" w:rsidRDefault="00097662" w:rsidP="00097662">
            <w:pPr>
              <w:pStyle w:val="Normal-Table"/>
            </w:pPr>
            <w:r>
              <w:t>IT-22</w:t>
            </w:r>
          </w:p>
        </w:tc>
        <w:tc>
          <w:tcPr>
            <w:tcW w:w="13140" w:type="dxa"/>
          </w:tcPr>
          <w:p w14:paraId="68CA5F46" w14:textId="3AF2A17F" w:rsidR="00ED20CB" w:rsidRPr="00097662" w:rsidRDefault="00ED20CB" w:rsidP="00097662">
            <w:pPr>
              <w:pStyle w:val="Normal-Table"/>
            </w:pPr>
            <w:r w:rsidRPr="00097662">
              <w:t>The Offeror must describe how they will account for (i.e., to ensure the integrity of) all TWC Data upon receipt and ensure it is properly stored before, during, and after processing. The Offeror must store electronic and hard copy information in a place physically secure from access by unauthorized persons.</w:t>
            </w:r>
          </w:p>
        </w:tc>
      </w:tr>
      <w:tr w:rsidR="00ED20CB" w:rsidRPr="00CE4250" w14:paraId="4ADA34FA" w14:textId="77777777" w:rsidTr="00F02BB7">
        <w:tc>
          <w:tcPr>
            <w:tcW w:w="1165" w:type="dxa"/>
          </w:tcPr>
          <w:p w14:paraId="09473F30" w14:textId="39786988" w:rsidR="00ED20CB" w:rsidRPr="00097662" w:rsidRDefault="00097662" w:rsidP="00097662">
            <w:pPr>
              <w:pStyle w:val="Normal-Table"/>
            </w:pPr>
            <w:r>
              <w:t>IT-23</w:t>
            </w:r>
          </w:p>
        </w:tc>
        <w:tc>
          <w:tcPr>
            <w:tcW w:w="13140" w:type="dxa"/>
          </w:tcPr>
          <w:p w14:paraId="20B8C9E7" w14:textId="77777777" w:rsidR="00ED20CB" w:rsidRPr="00097662" w:rsidRDefault="00ED20CB" w:rsidP="00097662">
            <w:pPr>
              <w:pStyle w:val="Normal-Table"/>
            </w:pPr>
            <w:r w:rsidRPr="00097662">
              <w:t>The Offeror must describe the hosting and processing of TWC’s confidential electronic records in a secure computer facility to ensure that:</w:t>
            </w:r>
          </w:p>
          <w:p w14:paraId="6C265A36" w14:textId="77777777" w:rsidR="00ED20CB" w:rsidRPr="00CC2351" w:rsidRDefault="00ED20CB" w:rsidP="00F407CA">
            <w:pPr>
              <w:pStyle w:val="LB4"/>
              <w:numPr>
                <w:ilvl w:val="0"/>
                <w:numId w:val="4"/>
              </w:numPr>
              <w:ind w:left="360"/>
              <w:rPr>
                <w:sz w:val="24"/>
                <w:szCs w:val="24"/>
              </w:rPr>
            </w:pPr>
            <w:r w:rsidRPr="00CC2351">
              <w:rPr>
                <w:sz w:val="24"/>
                <w:szCs w:val="24"/>
              </w:rPr>
              <w:t>Where in-use on a shared computer system or any shared data storage system, appropriate information security protections are in place.</w:t>
            </w:r>
          </w:p>
          <w:p w14:paraId="165FCBC5" w14:textId="77777777" w:rsidR="00ED20CB" w:rsidRPr="00CC2351" w:rsidRDefault="00ED20CB" w:rsidP="00F407CA">
            <w:pPr>
              <w:pStyle w:val="LB4"/>
              <w:numPr>
                <w:ilvl w:val="0"/>
                <w:numId w:val="4"/>
              </w:numPr>
              <w:ind w:left="360"/>
              <w:rPr>
                <w:sz w:val="24"/>
                <w:szCs w:val="24"/>
              </w:rPr>
            </w:pPr>
            <w:r w:rsidRPr="00CC2351">
              <w:rPr>
                <w:sz w:val="24"/>
                <w:szCs w:val="24"/>
              </w:rPr>
              <w:t>Process and store information in electronic format, such as magnetic tapes or discs, in such a way that unauthorized persons cannot retrieve the information by means of computer, remote terminal or other means.</w:t>
            </w:r>
          </w:p>
          <w:p w14:paraId="0D4FD63A" w14:textId="74190BAC" w:rsidR="00ED20CB" w:rsidRPr="00097662" w:rsidRDefault="00ED20CB" w:rsidP="00F407CA">
            <w:pPr>
              <w:pStyle w:val="LB4"/>
              <w:numPr>
                <w:ilvl w:val="0"/>
                <w:numId w:val="4"/>
              </w:numPr>
              <w:ind w:left="360"/>
            </w:pPr>
            <w:r w:rsidRPr="00CC2351">
              <w:rPr>
                <w:sz w:val="24"/>
                <w:szCs w:val="24"/>
              </w:rPr>
              <w:t>Related output is given the same level of protection as required for the source material.</w:t>
            </w:r>
          </w:p>
        </w:tc>
      </w:tr>
      <w:tr w:rsidR="00ED20CB" w:rsidRPr="00CE4250" w14:paraId="180A8EB8" w14:textId="77777777" w:rsidTr="00F02BB7">
        <w:tc>
          <w:tcPr>
            <w:tcW w:w="1165" w:type="dxa"/>
          </w:tcPr>
          <w:p w14:paraId="719DC103" w14:textId="6E436740" w:rsidR="00ED20CB" w:rsidRPr="007C0118" w:rsidRDefault="007C0118" w:rsidP="007C0118">
            <w:pPr>
              <w:pStyle w:val="Normal-Table"/>
            </w:pPr>
            <w:bookmarkStart w:id="287" w:name="_Hlk10720893"/>
            <w:r>
              <w:lastRenderedPageBreak/>
              <w:t>IT-24</w:t>
            </w:r>
          </w:p>
        </w:tc>
        <w:tc>
          <w:tcPr>
            <w:tcW w:w="13140" w:type="dxa"/>
          </w:tcPr>
          <w:p w14:paraId="4C02873A" w14:textId="5407B0CD" w:rsidR="00ED20CB" w:rsidRPr="00097662" w:rsidRDefault="00ED20CB" w:rsidP="00097662">
            <w:pPr>
              <w:pStyle w:val="Normal-Table"/>
            </w:pPr>
            <w:r w:rsidRPr="00097662">
              <w:t xml:space="preserve">The Offeror must affirm </w:t>
            </w:r>
            <w:r w:rsidR="00C57ECF">
              <w:rPr>
                <w:rStyle w:val="LB1-TableChar"/>
                <w:rFonts w:eastAsiaTheme="minorHAnsi"/>
                <w:szCs w:val="24"/>
              </w:rPr>
              <w:t>the System will be located within the United States and all access and support of the System will be performed from the Unites States</w:t>
            </w:r>
            <w:r w:rsidRPr="00097662">
              <w:t xml:space="preserve">. </w:t>
            </w:r>
          </w:p>
        </w:tc>
      </w:tr>
      <w:bookmarkEnd w:id="287"/>
      <w:tr w:rsidR="00ED20CB" w:rsidRPr="00CE4250" w14:paraId="36B087E7" w14:textId="77777777" w:rsidTr="00F02BB7">
        <w:tc>
          <w:tcPr>
            <w:tcW w:w="1165" w:type="dxa"/>
          </w:tcPr>
          <w:p w14:paraId="4C44C2B1" w14:textId="752D9E3E" w:rsidR="00ED20CB" w:rsidRPr="007C0118" w:rsidRDefault="007C0118" w:rsidP="007C0118">
            <w:pPr>
              <w:pStyle w:val="Normal-Table"/>
            </w:pPr>
            <w:r>
              <w:t>IT-25</w:t>
            </w:r>
          </w:p>
        </w:tc>
        <w:tc>
          <w:tcPr>
            <w:tcW w:w="13140" w:type="dxa"/>
          </w:tcPr>
          <w:p w14:paraId="04EDED2D" w14:textId="461688AE" w:rsidR="00ED20CB" w:rsidRPr="00097662" w:rsidRDefault="00ED20CB" w:rsidP="00097662">
            <w:pPr>
              <w:pStyle w:val="Normal-Table"/>
            </w:pPr>
            <w:r w:rsidRPr="00097662">
              <w:t xml:space="preserve">The </w:t>
            </w:r>
            <w:r w:rsidR="00A113B9" w:rsidRPr="00097662">
              <w:t xml:space="preserve">System </w:t>
            </w:r>
            <w:r w:rsidRPr="00097662">
              <w:t xml:space="preserve">must meet or exceed the </w:t>
            </w:r>
            <w:r w:rsidR="00D837E6">
              <w:t>DCS</w:t>
            </w:r>
            <w:r w:rsidR="00721B1C" w:rsidRPr="00097662">
              <w:t xml:space="preserve"> </w:t>
            </w:r>
            <w:r w:rsidRPr="00097662">
              <w:t>standards for hardware refresh (five (5) year refresh).</w:t>
            </w:r>
          </w:p>
        </w:tc>
      </w:tr>
      <w:tr w:rsidR="00ED20CB" w:rsidRPr="00CE4250" w14:paraId="54D05225" w14:textId="77777777" w:rsidTr="00F02BB7">
        <w:tc>
          <w:tcPr>
            <w:tcW w:w="1165" w:type="dxa"/>
          </w:tcPr>
          <w:p w14:paraId="0B955400" w14:textId="267F93C8" w:rsidR="00ED20CB" w:rsidRPr="007C0118" w:rsidRDefault="007C0118" w:rsidP="007C0118">
            <w:pPr>
              <w:pStyle w:val="Normal-Table"/>
            </w:pPr>
            <w:r>
              <w:t>IT-26</w:t>
            </w:r>
          </w:p>
        </w:tc>
        <w:tc>
          <w:tcPr>
            <w:tcW w:w="13140" w:type="dxa"/>
          </w:tcPr>
          <w:p w14:paraId="7AC4391F" w14:textId="7033F86E" w:rsidR="00ED20CB" w:rsidRPr="00097662" w:rsidRDefault="00ED20CB" w:rsidP="00097662">
            <w:pPr>
              <w:pStyle w:val="Normal-Table"/>
            </w:pPr>
            <w:r w:rsidRPr="00097662">
              <w:t xml:space="preserve">The </w:t>
            </w:r>
            <w:r w:rsidR="00A113B9" w:rsidRPr="00097662">
              <w:t xml:space="preserve">System </w:t>
            </w:r>
            <w:r w:rsidRPr="00097662">
              <w:t xml:space="preserve">must meet or exceed the </w:t>
            </w:r>
            <w:r w:rsidR="00D837E6">
              <w:t>DCS</w:t>
            </w:r>
            <w:r w:rsidR="00721B1C" w:rsidRPr="00097662">
              <w:t xml:space="preserve"> </w:t>
            </w:r>
            <w:r w:rsidRPr="00097662">
              <w:t>standards for technical currency of hardware and software (n/n-1).</w:t>
            </w:r>
          </w:p>
        </w:tc>
      </w:tr>
      <w:tr w:rsidR="00ED20CB" w:rsidRPr="00CE4250" w14:paraId="59A657B4" w14:textId="77777777" w:rsidTr="00F02BB7">
        <w:tc>
          <w:tcPr>
            <w:tcW w:w="1165" w:type="dxa"/>
          </w:tcPr>
          <w:p w14:paraId="343A168F" w14:textId="1F287B7A" w:rsidR="00ED20CB" w:rsidRPr="007C0118" w:rsidRDefault="007C0118" w:rsidP="007C0118">
            <w:pPr>
              <w:pStyle w:val="Normal-Table"/>
            </w:pPr>
            <w:r>
              <w:t>IT-27</w:t>
            </w:r>
          </w:p>
        </w:tc>
        <w:tc>
          <w:tcPr>
            <w:tcW w:w="13140" w:type="dxa"/>
          </w:tcPr>
          <w:p w14:paraId="33803CB9" w14:textId="3D65423A" w:rsidR="00ED20CB" w:rsidRPr="00097662" w:rsidRDefault="00ED20CB" w:rsidP="00097662">
            <w:pPr>
              <w:pStyle w:val="Normal-Table"/>
            </w:pPr>
            <w:r w:rsidRPr="00097662">
              <w:t xml:space="preserve">The </w:t>
            </w:r>
            <w:r w:rsidR="00A113B9" w:rsidRPr="00097662">
              <w:t xml:space="preserve">System </w:t>
            </w:r>
            <w:r w:rsidRPr="00097662">
              <w:t>must provide backup services, in accordance with the data retention and recovery requirements of the data.</w:t>
            </w:r>
          </w:p>
        </w:tc>
      </w:tr>
      <w:tr w:rsidR="00ED20CB" w:rsidRPr="00CE4250" w14:paraId="48831B68" w14:textId="77777777" w:rsidTr="00F02BB7">
        <w:tc>
          <w:tcPr>
            <w:tcW w:w="1165" w:type="dxa"/>
          </w:tcPr>
          <w:p w14:paraId="7936E605" w14:textId="596CBDF1" w:rsidR="00ED20CB" w:rsidRPr="00A4049F" w:rsidRDefault="00A4049F" w:rsidP="00A4049F">
            <w:pPr>
              <w:pStyle w:val="Normal-Table"/>
            </w:pPr>
            <w:r>
              <w:t>IT-28</w:t>
            </w:r>
          </w:p>
        </w:tc>
        <w:tc>
          <w:tcPr>
            <w:tcW w:w="13140" w:type="dxa"/>
          </w:tcPr>
          <w:p w14:paraId="627D44BB" w14:textId="5E97EFBA" w:rsidR="00ED20CB" w:rsidRDefault="00ED20CB" w:rsidP="00A4049F">
            <w:pPr>
              <w:pStyle w:val="Normal-Table"/>
            </w:pPr>
            <w:r w:rsidRPr="00A4049F">
              <w:t xml:space="preserve">The </w:t>
            </w:r>
            <w:r w:rsidR="00A113B9" w:rsidRPr="00097662">
              <w:t xml:space="preserve">System </w:t>
            </w:r>
            <w:r w:rsidRPr="00A4049F">
              <w:t>must provide for installation, configuration, and maintenance of all components of the system; including the operating system and other software components to insure upgrades and security patching activities are performed timely.</w:t>
            </w:r>
          </w:p>
          <w:p w14:paraId="4A235510" w14:textId="1E3023F8" w:rsidR="00E7501C" w:rsidRPr="00A4049F" w:rsidRDefault="00E7501C" w:rsidP="00A4049F">
            <w:pPr>
              <w:pStyle w:val="Normal-Table"/>
            </w:pPr>
            <w:r>
              <w:t>The System must maintain data integrity for all upgrades and enhancements.</w:t>
            </w:r>
          </w:p>
        </w:tc>
      </w:tr>
      <w:tr w:rsidR="00ED20CB" w:rsidRPr="00CE4250" w14:paraId="126948EC" w14:textId="77777777" w:rsidTr="00F02BB7">
        <w:tc>
          <w:tcPr>
            <w:tcW w:w="1165" w:type="dxa"/>
          </w:tcPr>
          <w:p w14:paraId="316EBE12" w14:textId="7E17A738" w:rsidR="00ED20CB" w:rsidRPr="00A4049F" w:rsidRDefault="00A4049F" w:rsidP="00A4049F">
            <w:pPr>
              <w:pStyle w:val="Normal-Table"/>
            </w:pPr>
            <w:r>
              <w:t>IT-29</w:t>
            </w:r>
          </w:p>
        </w:tc>
        <w:tc>
          <w:tcPr>
            <w:tcW w:w="13140" w:type="dxa"/>
          </w:tcPr>
          <w:p w14:paraId="007E900F" w14:textId="5799579D" w:rsidR="00ED20CB" w:rsidRPr="00A4049F" w:rsidRDefault="00ED20CB" w:rsidP="00A4049F">
            <w:pPr>
              <w:pStyle w:val="Normal-Table"/>
            </w:pPr>
            <w:r w:rsidRPr="00A4049F">
              <w:t xml:space="preserve">The Offeror will provide TWC a </w:t>
            </w:r>
            <w:r w:rsidR="0052357B" w:rsidRPr="008C2C58">
              <w:rPr>
                <w:rFonts w:cs="Arial"/>
                <w:snapToGrid w:val="0"/>
                <w:color w:val="000000"/>
                <w:szCs w:val="24"/>
              </w:rPr>
              <w:t>Disaster Recovery and Business Continuity Plan</w:t>
            </w:r>
            <w:r w:rsidR="0052357B" w:rsidRPr="00A4049F">
              <w:t xml:space="preserve"> </w:t>
            </w:r>
            <w:r w:rsidR="0052357B">
              <w:t>(</w:t>
            </w:r>
            <w:r w:rsidRPr="00A4049F">
              <w:t>DRBCP</w:t>
            </w:r>
            <w:r w:rsidR="0052357B">
              <w:t>)</w:t>
            </w:r>
            <w:r w:rsidRPr="00A4049F">
              <w:t xml:space="preserve"> at least thirty (30) business days prior to solution implementation.</w:t>
            </w:r>
            <w:r w:rsidR="00CA072A">
              <w:t xml:space="preserve"> The Offeror will </w:t>
            </w:r>
            <w:r w:rsidR="00F8078A">
              <w:t xml:space="preserve">successfully </w:t>
            </w:r>
            <w:r w:rsidR="00CA072A">
              <w:t>demonstrate DR and recovery prior to Go-Live.</w:t>
            </w:r>
          </w:p>
        </w:tc>
      </w:tr>
      <w:tr w:rsidR="00ED20CB" w:rsidRPr="00CE4250" w14:paraId="2BE238E4" w14:textId="77777777" w:rsidTr="00F02BB7">
        <w:tc>
          <w:tcPr>
            <w:tcW w:w="1165" w:type="dxa"/>
          </w:tcPr>
          <w:p w14:paraId="5FAB94E4" w14:textId="2FB45F72" w:rsidR="00ED20CB" w:rsidRPr="00A4049F" w:rsidRDefault="00A4049F" w:rsidP="00A4049F">
            <w:pPr>
              <w:pStyle w:val="Normal-Table"/>
            </w:pPr>
            <w:r>
              <w:t>IT-30</w:t>
            </w:r>
          </w:p>
        </w:tc>
        <w:tc>
          <w:tcPr>
            <w:tcW w:w="13140" w:type="dxa"/>
          </w:tcPr>
          <w:p w14:paraId="547BC931" w14:textId="36A4356C" w:rsidR="00ED20CB" w:rsidRPr="00A4049F" w:rsidRDefault="00ED20CB" w:rsidP="00A4049F">
            <w:pPr>
              <w:pStyle w:val="Normal-Table"/>
            </w:pPr>
            <w:r w:rsidRPr="00A4049F">
              <w:t xml:space="preserve">The </w:t>
            </w:r>
            <w:r w:rsidR="00A113B9" w:rsidRPr="00097662">
              <w:t xml:space="preserve">System </w:t>
            </w:r>
            <w:r w:rsidRPr="00A4049F">
              <w:t>must provide off-site media and DR support and services in accordance with the DR Plan, to include providing dedicated secure, off-site back-up storage for TWC data.</w:t>
            </w:r>
          </w:p>
        </w:tc>
      </w:tr>
      <w:tr w:rsidR="00ED20CB" w:rsidRPr="00CE4250" w14:paraId="2431888E" w14:textId="77777777" w:rsidTr="00F02BB7">
        <w:tc>
          <w:tcPr>
            <w:tcW w:w="1165" w:type="dxa"/>
          </w:tcPr>
          <w:p w14:paraId="615CD206" w14:textId="104A90F5" w:rsidR="00ED20CB" w:rsidRPr="00A4049F" w:rsidRDefault="00A4049F" w:rsidP="00A4049F">
            <w:pPr>
              <w:pStyle w:val="Normal-Table"/>
            </w:pPr>
            <w:r>
              <w:t>IT-31</w:t>
            </w:r>
          </w:p>
        </w:tc>
        <w:tc>
          <w:tcPr>
            <w:tcW w:w="13140" w:type="dxa"/>
          </w:tcPr>
          <w:p w14:paraId="40F222E5" w14:textId="77D25903" w:rsidR="00ED20CB" w:rsidRPr="00A4049F" w:rsidRDefault="00ED20CB" w:rsidP="00A4049F">
            <w:pPr>
              <w:pStyle w:val="Normal-Table"/>
            </w:pPr>
            <w:r w:rsidRPr="00A4049F">
              <w:t>The Offeror will provide an annual briefing to the TWC related to its DRBCP and processes.</w:t>
            </w:r>
          </w:p>
        </w:tc>
      </w:tr>
      <w:tr w:rsidR="00977BD7" w:rsidRPr="00CE4250" w14:paraId="313A9EBA" w14:textId="77777777" w:rsidTr="00F02BB7">
        <w:tc>
          <w:tcPr>
            <w:tcW w:w="1165" w:type="dxa"/>
          </w:tcPr>
          <w:p w14:paraId="7B1F25E2" w14:textId="7CCF3CDB" w:rsidR="00977BD7" w:rsidRPr="00977BD7" w:rsidRDefault="00977BD7" w:rsidP="00977BD7">
            <w:pPr>
              <w:pStyle w:val="Normal-Table"/>
            </w:pPr>
            <w:r>
              <w:t>IT-32</w:t>
            </w:r>
          </w:p>
        </w:tc>
        <w:tc>
          <w:tcPr>
            <w:tcW w:w="13140" w:type="dxa"/>
          </w:tcPr>
          <w:p w14:paraId="74FD372D" w14:textId="52AB2098" w:rsidR="00977BD7" w:rsidRPr="00977BD7" w:rsidRDefault="00977BD7" w:rsidP="00977BD7">
            <w:pPr>
              <w:pStyle w:val="Normal-Table"/>
            </w:pPr>
            <w:r w:rsidRPr="00977BD7">
              <w:t>The Offeror must describe how their solution’s authentication facilities provide a configurable option to send notifications to the user for administrator-defined security events, such as password expiration.</w:t>
            </w:r>
          </w:p>
        </w:tc>
      </w:tr>
      <w:tr w:rsidR="00D75BB7" w:rsidRPr="00CE4250" w14:paraId="3BA94AB3" w14:textId="77777777" w:rsidTr="00D315C2">
        <w:tc>
          <w:tcPr>
            <w:tcW w:w="1165" w:type="dxa"/>
          </w:tcPr>
          <w:p w14:paraId="5C08871B" w14:textId="47642DB4" w:rsidR="00D75BB7" w:rsidRPr="00B41147" w:rsidRDefault="00D75BB7" w:rsidP="00D75BB7">
            <w:pPr>
              <w:pStyle w:val="Normal-Table"/>
            </w:pPr>
            <w:r>
              <w:t>IT-33</w:t>
            </w:r>
          </w:p>
        </w:tc>
        <w:tc>
          <w:tcPr>
            <w:tcW w:w="13140" w:type="dxa"/>
            <w:vAlign w:val="center"/>
          </w:tcPr>
          <w:p w14:paraId="4E33FE22" w14:textId="145590B8" w:rsidR="00D75BB7" w:rsidRPr="00B41147" w:rsidRDefault="00D75BB7" w:rsidP="00D75BB7">
            <w:pPr>
              <w:pStyle w:val="Normal-Table"/>
            </w:pPr>
            <w:r w:rsidRPr="00B41147">
              <w:t>The Offeror must describe how their solution will use transaction management and rollback functionality to ensure the integrity of the resources they access.</w:t>
            </w:r>
          </w:p>
        </w:tc>
      </w:tr>
      <w:tr w:rsidR="00D75BB7" w:rsidRPr="00CE4250" w14:paraId="3DAF7EB3" w14:textId="77777777" w:rsidTr="00D315C2">
        <w:tc>
          <w:tcPr>
            <w:tcW w:w="1165" w:type="dxa"/>
          </w:tcPr>
          <w:p w14:paraId="5ED83A2D" w14:textId="783B3F8B" w:rsidR="00D75BB7" w:rsidRPr="00B41147" w:rsidRDefault="00D75BB7" w:rsidP="00D75BB7">
            <w:pPr>
              <w:pStyle w:val="Normal-Table"/>
            </w:pPr>
            <w:r>
              <w:lastRenderedPageBreak/>
              <w:t>IT-34</w:t>
            </w:r>
          </w:p>
        </w:tc>
        <w:tc>
          <w:tcPr>
            <w:tcW w:w="13140" w:type="dxa"/>
            <w:vAlign w:val="center"/>
          </w:tcPr>
          <w:p w14:paraId="283CC071" w14:textId="09C7097C" w:rsidR="00D75BB7" w:rsidRPr="00B41147" w:rsidRDefault="00D75BB7" w:rsidP="00D75BB7">
            <w:pPr>
              <w:pStyle w:val="Normal-Table"/>
            </w:pPr>
            <w:r w:rsidRPr="00B41147">
              <w:t>The Offeror must describe how their solution will ensure database integrity between production database, any replicated reporting databases, and copies made for back-up and recovery.</w:t>
            </w:r>
          </w:p>
        </w:tc>
      </w:tr>
      <w:tr w:rsidR="00D75BB7" w:rsidRPr="00CE4250" w14:paraId="18875076" w14:textId="77777777" w:rsidTr="00D315C2">
        <w:tc>
          <w:tcPr>
            <w:tcW w:w="1165" w:type="dxa"/>
          </w:tcPr>
          <w:p w14:paraId="5A0994E1" w14:textId="1D50A979" w:rsidR="00D75BB7" w:rsidRPr="00B41147" w:rsidRDefault="00D75BB7" w:rsidP="00D75BB7">
            <w:pPr>
              <w:pStyle w:val="Normal-Table"/>
            </w:pPr>
            <w:r>
              <w:t>IT-35</w:t>
            </w:r>
          </w:p>
        </w:tc>
        <w:tc>
          <w:tcPr>
            <w:tcW w:w="13140" w:type="dxa"/>
            <w:vAlign w:val="center"/>
          </w:tcPr>
          <w:p w14:paraId="3CA17160" w14:textId="54005E03" w:rsidR="00D75BB7" w:rsidRPr="00B41147" w:rsidRDefault="00D75BB7" w:rsidP="00D75BB7">
            <w:pPr>
              <w:pStyle w:val="Normal-Table"/>
            </w:pPr>
            <w:r w:rsidRPr="00B41147">
              <w:t xml:space="preserve">The Offeror must describe how they will migrate data from the current system, including archived data, and perform any data cleansing, see </w:t>
            </w:r>
            <w:hyperlink w:anchor="_2.2.6_Required_DeliverableTask" w:history="1">
              <w:r w:rsidR="009B7E37">
                <w:rPr>
                  <w:rStyle w:val="Hyperlink"/>
                </w:rPr>
                <w:t>Task 6</w:t>
              </w:r>
            </w:hyperlink>
            <w:r>
              <w:t>.</w:t>
            </w:r>
          </w:p>
        </w:tc>
      </w:tr>
      <w:tr w:rsidR="00D75BB7" w:rsidRPr="00CE4250" w14:paraId="2C84B9C2" w14:textId="77777777" w:rsidTr="00D315C2">
        <w:tc>
          <w:tcPr>
            <w:tcW w:w="1165" w:type="dxa"/>
          </w:tcPr>
          <w:p w14:paraId="72131D00" w14:textId="34F9789B" w:rsidR="00D75BB7" w:rsidRPr="00AA610C" w:rsidRDefault="00D75BB7" w:rsidP="00D75BB7">
            <w:pPr>
              <w:pStyle w:val="Normal-Table"/>
            </w:pPr>
            <w:r>
              <w:t>IT-36</w:t>
            </w:r>
          </w:p>
        </w:tc>
        <w:tc>
          <w:tcPr>
            <w:tcW w:w="13140" w:type="dxa"/>
            <w:vAlign w:val="center"/>
          </w:tcPr>
          <w:p w14:paraId="624C8484" w14:textId="05699079" w:rsidR="00D75BB7" w:rsidRPr="00AA610C" w:rsidRDefault="00D75BB7" w:rsidP="00D75BB7">
            <w:pPr>
              <w:pStyle w:val="Normal-Table"/>
            </w:pPr>
            <w:r w:rsidRPr="00AA610C">
              <w:t xml:space="preserve">The </w:t>
            </w:r>
            <w:r w:rsidR="00A113B9" w:rsidRPr="00097662">
              <w:t xml:space="preserve">System </w:t>
            </w:r>
            <w:r w:rsidRPr="00AA610C">
              <w:t>must normalize data to the highest extent possible.</w:t>
            </w:r>
          </w:p>
        </w:tc>
      </w:tr>
      <w:tr w:rsidR="00D75BB7" w:rsidRPr="00CE4250" w14:paraId="178F2EAB" w14:textId="77777777" w:rsidTr="00D315C2">
        <w:tc>
          <w:tcPr>
            <w:tcW w:w="1165" w:type="dxa"/>
          </w:tcPr>
          <w:p w14:paraId="7B1992EB" w14:textId="1B7E0EF1" w:rsidR="00D75BB7" w:rsidRPr="00AA610C" w:rsidRDefault="00D75BB7" w:rsidP="00D75BB7">
            <w:pPr>
              <w:pStyle w:val="Normal-Table"/>
            </w:pPr>
            <w:r>
              <w:t>IT-37</w:t>
            </w:r>
          </w:p>
        </w:tc>
        <w:tc>
          <w:tcPr>
            <w:tcW w:w="13140" w:type="dxa"/>
            <w:vAlign w:val="center"/>
          </w:tcPr>
          <w:p w14:paraId="1F26336A" w14:textId="3068E4B3" w:rsidR="00D75BB7" w:rsidRPr="00AA610C" w:rsidRDefault="00D75BB7" w:rsidP="00D75BB7">
            <w:pPr>
              <w:pStyle w:val="Normal-Table"/>
            </w:pPr>
            <w:r w:rsidRPr="00AA610C">
              <w:t>The Offeror must describe how they will certify that if immediate purging of all data storage components is not possible, all TWC Data remaining in any storage component will be safeguarded to prevent unauthorized disclosures and physically transported to TWC.</w:t>
            </w:r>
          </w:p>
        </w:tc>
      </w:tr>
      <w:tr w:rsidR="00D75BB7" w:rsidRPr="00CE4250" w14:paraId="05B3934E" w14:textId="77777777" w:rsidTr="00D315C2">
        <w:tc>
          <w:tcPr>
            <w:tcW w:w="1165" w:type="dxa"/>
          </w:tcPr>
          <w:p w14:paraId="21F6F21D" w14:textId="557D4DED" w:rsidR="00D75BB7" w:rsidRPr="00AA610C" w:rsidRDefault="00D75BB7" w:rsidP="00D75BB7">
            <w:pPr>
              <w:pStyle w:val="Normal-Table"/>
            </w:pPr>
            <w:r>
              <w:t>IT-38</w:t>
            </w:r>
          </w:p>
        </w:tc>
        <w:tc>
          <w:tcPr>
            <w:tcW w:w="13140" w:type="dxa"/>
            <w:vAlign w:val="center"/>
          </w:tcPr>
          <w:p w14:paraId="19B31183" w14:textId="69B2031F" w:rsidR="00D75BB7" w:rsidRPr="00AA610C" w:rsidRDefault="00D75BB7" w:rsidP="00D75BB7">
            <w:pPr>
              <w:pStyle w:val="Normal-Table"/>
            </w:pPr>
            <w:r w:rsidRPr="00AA610C">
              <w:t>The Offeror will certify (by letter verification and validation) that the TWC Data processed during the performance of this Agreement will be completely purged from all data storage components, and no output will be retained by the Offeror at the termination of contract agreement.</w:t>
            </w:r>
          </w:p>
        </w:tc>
      </w:tr>
      <w:tr w:rsidR="00D75BB7" w:rsidRPr="00CE4250" w14:paraId="6862741D" w14:textId="77777777" w:rsidTr="00D315C2">
        <w:tc>
          <w:tcPr>
            <w:tcW w:w="1165" w:type="dxa"/>
          </w:tcPr>
          <w:p w14:paraId="3C7DF73A" w14:textId="3FA55185" w:rsidR="00D75BB7" w:rsidRPr="00AA610C" w:rsidRDefault="00D75BB7" w:rsidP="00D75BB7">
            <w:pPr>
              <w:pStyle w:val="Normal-Table"/>
            </w:pPr>
            <w:r>
              <w:t>IT-39</w:t>
            </w:r>
          </w:p>
        </w:tc>
        <w:tc>
          <w:tcPr>
            <w:tcW w:w="13140" w:type="dxa"/>
            <w:vAlign w:val="center"/>
          </w:tcPr>
          <w:p w14:paraId="47822F6E" w14:textId="32D62BDD" w:rsidR="00D75BB7" w:rsidRPr="00AA610C" w:rsidRDefault="00D75BB7" w:rsidP="00D75BB7">
            <w:pPr>
              <w:pStyle w:val="Normal-Table"/>
            </w:pPr>
            <w:r w:rsidRPr="00AA610C">
              <w:t>The Offeror must describe how they will synchronize data between their solution and any existing systems.</w:t>
            </w:r>
          </w:p>
        </w:tc>
      </w:tr>
      <w:tr w:rsidR="00D75BB7" w:rsidRPr="00CE4250" w14:paraId="4A19089C" w14:textId="77777777" w:rsidTr="00D315C2">
        <w:tc>
          <w:tcPr>
            <w:tcW w:w="1165" w:type="dxa"/>
          </w:tcPr>
          <w:p w14:paraId="4214FDAA" w14:textId="49C91FBE" w:rsidR="00D75BB7" w:rsidRPr="00AA610C" w:rsidRDefault="00D75BB7" w:rsidP="00D75BB7">
            <w:pPr>
              <w:pStyle w:val="Normal-Table"/>
            </w:pPr>
            <w:r>
              <w:t>IT-40</w:t>
            </w:r>
          </w:p>
        </w:tc>
        <w:tc>
          <w:tcPr>
            <w:tcW w:w="13140" w:type="dxa"/>
            <w:vAlign w:val="center"/>
          </w:tcPr>
          <w:p w14:paraId="3A542B97" w14:textId="09655192" w:rsidR="00D75BB7" w:rsidRPr="00AA610C" w:rsidRDefault="00D75BB7" w:rsidP="00D75BB7">
            <w:pPr>
              <w:pStyle w:val="Normal-Table"/>
            </w:pPr>
            <w:r w:rsidRPr="00AA610C">
              <w:t xml:space="preserve">The </w:t>
            </w:r>
            <w:r w:rsidR="00A113B9" w:rsidRPr="00097662">
              <w:t xml:space="preserve">System </w:t>
            </w:r>
            <w:r w:rsidRPr="00AA610C">
              <w:t xml:space="preserve">must accept data uploads from any approved partner systems (e.g., Employer filings, NDNH, </w:t>
            </w:r>
            <w:r>
              <w:t>Office of the Attorney General (</w:t>
            </w:r>
            <w:r w:rsidRPr="00AA610C">
              <w:t>OAG</w:t>
            </w:r>
            <w:r>
              <w:t>)</w:t>
            </w:r>
            <w:r w:rsidRPr="00AA610C">
              <w:t>/</w:t>
            </w:r>
            <w:r>
              <w:t>Child Support Enforcement (</w:t>
            </w:r>
            <w:r w:rsidRPr="00AA610C">
              <w:t>CSE</w:t>
            </w:r>
            <w:r>
              <w:t>)</w:t>
            </w:r>
            <w:r w:rsidRPr="00AA610C">
              <w:t xml:space="preserve">, </w:t>
            </w:r>
            <w:r>
              <w:t>State Directory of New Hires (</w:t>
            </w:r>
            <w:r w:rsidRPr="00AA610C">
              <w:t>SDNH</w:t>
            </w:r>
            <w:r>
              <w:t>)</w:t>
            </w:r>
            <w:r w:rsidRPr="00AA610C">
              <w:t xml:space="preserve">, </w:t>
            </w:r>
            <w:r>
              <w:t>Texas Department of State Health Services (</w:t>
            </w:r>
            <w:r w:rsidRPr="00AA610C">
              <w:t>DSHS</w:t>
            </w:r>
            <w:r>
              <w:t>)</w:t>
            </w:r>
            <w:r w:rsidRPr="00AA610C">
              <w:t xml:space="preserve">, </w:t>
            </w:r>
            <w:r>
              <w:t>Texas Department of Criminal Justice (</w:t>
            </w:r>
            <w:r w:rsidRPr="00AA610C">
              <w:t>TDCJ</w:t>
            </w:r>
            <w:r>
              <w:t>)</w:t>
            </w:r>
            <w:r w:rsidRPr="00AA610C">
              <w:t>, Comptroller,</w:t>
            </w:r>
            <w:r>
              <w:t xml:space="preserve"> Clear2There,</w:t>
            </w:r>
            <w:r w:rsidRPr="00AA610C">
              <w:t xml:space="preserve"> etc.).</w:t>
            </w:r>
          </w:p>
        </w:tc>
      </w:tr>
      <w:tr w:rsidR="00D75BB7" w:rsidRPr="00CE4250" w14:paraId="1C3D9E6F" w14:textId="77777777" w:rsidTr="00F02BB7">
        <w:tc>
          <w:tcPr>
            <w:tcW w:w="1165" w:type="dxa"/>
          </w:tcPr>
          <w:p w14:paraId="135FE034" w14:textId="29F4D0C2" w:rsidR="00D75BB7" w:rsidRPr="00880FA9" w:rsidRDefault="00D75BB7" w:rsidP="00D75BB7">
            <w:pPr>
              <w:pStyle w:val="Normal-Table"/>
            </w:pPr>
            <w:bookmarkStart w:id="288" w:name="_Hlk534643324"/>
            <w:r>
              <w:t>IT-41</w:t>
            </w:r>
          </w:p>
        </w:tc>
        <w:tc>
          <w:tcPr>
            <w:tcW w:w="13140" w:type="dxa"/>
          </w:tcPr>
          <w:p w14:paraId="5CA64B90" w14:textId="2C46187E" w:rsidR="00D75BB7" w:rsidRDefault="00D75BB7" w:rsidP="00D75BB7">
            <w:pPr>
              <w:pStyle w:val="Normal-Table"/>
            </w:pPr>
            <w:r w:rsidRPr="00880FA9">
              <w:t xml:space="preserve">The Offeror must describe how they will allow </w:t>
            </w:r>
            <w:r>
              <w:t xml:space="preserve">UI to exchange data with Workforce </w:t>
            </w:r>
            <w:r w:rsidR="00392F29">
              <w:t>system</w:t>
            </w:r>
            <w:r w:rsidR="00F577F2">
              <w:t>s</w:t>
            </w:r>
            <w:r w:rsidR="00392F29">
              <w:t xml:space="preserve">; including but not limited to </w:t>
            </w:r>
            <w:r w:rsidR="00F577F2">
              <w:t xml:space="preserve">WIT, </w:t>
            </w:r>
            <w:r w:rsidR="00392F29">
              <w:t xml:space="preserve">TWIST, Vocational Rehabilitation, and Adult Education &amp; Literacy; </w:t>
            </w:r>
            <w:r>
              <w:t xml:space="preserve">during and after the system implementation described in </w:t>
            </w:r>
            <w:hyperlink w:anchor="_2.2.13_Required_DeliverableTask" w:history="1">
              <w:r w:rsidR="009B7E37" w:rsidRPr="009B7E37">
                <w:rPr>
                  <w:rStyle w:val="Hyperlink"/>
                </w:rPr>
                <w:t>Task 13</w:t>
              </w:r>
            </w:hyperlink>
            <w:r>
              <w:t xml:space="preserve">: </w:t>
            </w:r>
            <w:r w:rsidR="00DE6955">
              <w:t>Deployment Planning and Execution</w:t>
            </w:r>
            <w:r w:rsidRPr="00880FA9">
              <w:t>. Examples of access or views include:</w:t>
            </w:r>
          </w:p>
          <w:p w14:paraId="4A65AC88" w14:textId="4ABDE26B" w:rsidR="00D75BB7" w:rsidRPr="00661B45" w:rsidRDefault="00D75BB7" w:rsidP="00D75BB7">
            <w:pPr>
              <w:pStyle w:val="Normal-Table"/>
              <w:rPr>
                <w:u w:val="single"/>
              </w:rPr>
            </w:pPr>
            <w:r w:rsidRPr="00661B45">
              <w:rPr>
                <w:u w:val="single"/>
              </w:rPr>
              <w:t>UI notifies Workforce</w:t>
            </w:r>
          </w:p>
          <w:p w14:paraId="32A8016B" w14:textId="34E5AACA" w:rsidR="00D75BB7" w:rsidRDefault="00D75BB7" w:rsidP="00E16D2D">
            <w:pPr>
              <w:pStyle w:val="LB1-Table"/>
            </w:pPr>
            <w:r>
              <w:t>Active claim. WS checks that claimants are registered for work. Includes auto-registration.</w:t>
            </w:r>
          </w:p>
          <w:p w14:paraId="44AC2E9B" w14:textId="41A046FC" w:rsidR="00D75BB7" w:rsidRDefault="00D75BB7" w:rsidP="00E16D2D">
            <w:pPr>
              <w:pStyle w:val="LB1-Table"/>
            </w:pPr>
            <w:r>
              <w:t xml:space="preserve">Claimant Profile at Work Registration. Real-time data sent to pre-fill work registration. </w:t>
            </w:r>
          </w:p>
          <w:p w14:paraId="1C84D311" w14:textId="41E54FB7" w:rsidR="00D75BB7" w:rsidRDefault="00D75BB7" w:rsidP="00116640">
            <w:pPr>
              <w:pStyle w:val="LB1-Table"/>
            </w:pPr>
            <w:r>
              <w:lastRenderedPageBreak/>
              <w:t xml:space="preserve">Claimant Wage Demand. WS uses the claimant’s normal wage level for job matching. </w:t>
            </w:r>
          </w:p>
          <w:p w14:paraId="2EA1F617" w14:textId="77777777" w:rsidR="00D75BB7" w:rsidRDefault="00D75BB7" w:rsidP="00F82166">
            <w:pPr>
              <w:pStyle w:val="LB1-Table"/>
            </w:pPr>
            <w:r>
              <w:t>Claimant Address Updates</w:t>
            </w:r>
          </w:p>
          <w:p w14:paraId="166A8BB4" w14:textId="5F4380D3" w:rsidR="00D75BB7" w:rsidRDefault="00D75BB7" w:rsidP="00F82166">
            <w:pPr>
              <w:pStyle w:val="LB1-Table"/>
            </w:pPr>
            <w:r>
              <w:t xml:space="preserve">Exhausted or Expired claim. WS should no longer report job matching issues to UI. </w:t>
            </w:r>
          </w:p>
          <w:p w14:paraId="30849605" w14:textId="4DF1211C" w:rsidR="00D75BB7" w:rsidRPr="00661B45" w:rsidRDefault="00D75BB7">
            <w:pPr>
              <w:pStyle w:val="LB1-Table"/>
              <w:rPr>
                <w:szCs w:val="24"/>
              </w:rPr>
            </w:pPr>
            <w:r>
              <w:t xml:space="preserve">Claimants who are potentially required to attend </w:t>
            </w:r>
            <w:r w:rsidRPr="008C2C58">
              <w:rPr>
                <w:rFonts w:cs="Arial"/>
                <w:snapToGrid w:val="0"/>
                <w:color w:val="000000"/>
                <w:szCs w:val="24"/>
              </w:rPr>
              <w:t xml:space="preserve">Reemployment Services and Eligibility Assessments </w:t>
            </w:r>
            <w:r>
              <w:t>(RESEA)</w:t>
            </w:r>
          </w:p>
          <w:p w14:paraId="5ADE6503" w14:textId="1E57FCA9" w:rsidR="00D75BB7" w:rsidRPr="00661B45" w:rsidRDefault="00D75BB7">
            <w:pPr>
              <w:pStyle w:val="LB1-Table"/>
              <w:rPr>
                <w:szCs w:val="24"/>
              </w:rPr>
            </w:pPr>
            <w:r>
              <w:t>Claimants who need to be rescheduled for RESEA</w:t>
            </w:r>
            <w:r w:rsidRPr="00661B45">
              <w:rPr>
                <w:szCs w:val="24"/>
              </w:rPr>
              <w:t xml:space="preserve"> </w:t>
            </w:r>
          </w:p>
          <w:p w14:paraId="21D5EBF9" w14:textId="77777777" w:rsidR="00D75BB7" w:rsidRDefault="00D75BB7" w:rsidP="00D75BB7">
            <w:pPr>
              <w:pStyle w:val="LB4"/>
              <w:rPr>
                <w:sz w:val="24"/>
                <w:szCs w:val="24"/>
              </w:rPr>
            </w:pPr>
          </w:p>
          <w:p w14:paraId="2616BDE1" w14:textId="59A4E1E5" w:rsidR="00D75BB7" w:rsidRPr="00661B45" w:rsidRDefault="00D75BB7" w:rsidP="00D75BB7">
            <w:pPr>
              <w:pStyle w:val="LB4"/>
              <w:rPr>
                <w:sz w:val="24"/>
                <w:szCs w:val="24"/>
                <w:u w:val="single"/>
              </w:rPr>
            </w:pPr>
            <w:r w:rsidRPr="00661B45">
              <w:rPr>
                <w:sz w:val="24"/>
                <w:szCs w:val="24"/>
                <w:u w:val="single"/>
              </w:rPr>
              <w:t>Workforce notifies UI</w:t>
            </w:r>
          </w:p>
          <w:p w14:paraId="72946750" w14:textId="64FF912A" w:rsidR="00D75BB7" w:rsidRDefault="00D75BB7" w:rsidP="00E16D2D">
            <w:pPr>
              <w:pStyle w:val="LB1-Table"/>
            </w:pPr>
            <w:r>
              <w:t>Claimant fails to answer Job Match Alert</w:t>
            </w:r>
          </w:p>
          <w:p w14:paraId="51012E87" w14:textId="19DA9BB6" w:rsidR="00D75BB7" w:rsidRDefault="00D75BB7" w:rsidP="00E16D2D">
            <w:pPr>
              <w:pStyle w:val="LB1-Table"/>
            </w:pPr>
            <w:r>
              <w:t>Claimant refuses job referral or offer</w:t>
            </w:r>
          </w:p>
          <w:p w14:paraId="3562C0EB" w14:textId="77777777" w:rsidR="00D75BB7" w:rsidRDefault="00D75BB7" w:rsidP="00116640">
            <w:pPr>
              <w:pStyle w:val="LB1-Table"/>
            </w:pPr>
            <w:r>
              <w:t>Claimant fails to attend job interview</w:t>
            </w:r>
          </w:p>
          <w:p w14:paraId="288FC2FA" w14:textId="77777777" w:rsidR="00D75BB7" w:rsidRDefault="00D75BB7" w:rsidP="00F82166">
            <w:pPr>
              <w:pStyle w:val="LB1-Table"/>
            </w:pPr>
            <w:r>
              <w:t>Claimant fails to report for work after being hired</w:t>
            </w:r>
          </w:p>
          <w:p w14:paraId="2E37AEDD" w14:textId="77777777" w:rsidR="00D75BB7" w:rsidRDefault="00D75BB7" w:rsidP="00F82166">
            <w:pPr>
              <w:pStyle w:val="LB1-Table"/>
            </w:pPr>
            <w:r>
              <w:t>Claimant is hired via WS job referral</w:t>
            </w:r>
          </w:p>
          <w:p w14:paraId="293C170C" w14:textId="77777777" w:rsidR="00D75BB7" w:rsidRDefault="00D75BB7">
            <w:pPr>
              <w:pStyle w:val="LB1-Table"/>
            </w:pPr>
            <w:r>
              <w:t xml:space="preserve">Claimant inactivates work registration </w:t>
            </w:r>
          </w:p>
          <w:p w14:paraId="014CFB22" w14:textId="77777777" w:rsidR="00D75BB7" w:rsidRDefault="00D75BB7">
            <w:pPr>
              <w:pStyle w:val="LB1-Table"/>
            </w:pPr>
            <w:r>
              <w:t>Number of open job match alerts for claimant in past 90 days</w:t>
            </w:r>
          </w:p>
          <w:p w14:paraId="014AFDAE" w14:textId="77777777" w:rsidR="00D75BB7" w:rsidRDefault="00D75BB7">
            <w:pPr>
              <w:pStyle w:val="LB1-Table"/>
            </w:pPr>
            <w:r>
              <w:t>Work Registration status of other state claimants</w:t>
            </w:r>
          </w:p>
          <w:p w14:paraId="34F2A3C6" w14:textId="77777777" w:rsidR="00D75BB7" w:rsidRDefault="00D75BB7">
            <w:pPr>
              <w:pStyle w:val="LB1-Table"/>
            </w:pPr>
            <w:r>
              <w:t>RESEA scheduled claimants and notifications to attend orientation meeting</w:t>
            </w:r>
          </w:p>
          <w:p w14:paraId="5B81C4AC" w14:textId="1E2EAE31" w:rsidR="00D75BB7" w:rsidRDefault="00D75BB7">
            <w:pPr>
              <w:pStyle w:val="LB1-Table"/>
            </w:pPr>
            <w:r>
              <w:t>Claimants who failed to attend RESEA meetings</w:t>
            </w:r>
          </w:p>
          <w:p w14:paraId="257B0388" w14:textId="1C62CE98" w:rsidR="00D75BB7" w:rsidRPr="00CE4250" w:rsidRDefault="00D75BB7">
            <w:pPr>
              <w:pStyle w:val="LB1-Table"/>
            </w:pPr>
            <w:r>
              <w:t>Eligibility issues discovered during RESEA meetings</w:t>
            </w:r>
          </w:p>
          <w:p w14:paraId="6028E748" w14:textId="05F99AE8" w:rsidR="00D75BB7" w:rsidRPr="00CE4250" w:rsidRDefault="00D75BB7" w:rsidP="00D75BB7">
            <w:pPr>
              <w:spacing w:after="0"/>
              <w:rPr>
                <w:sz w:val="20"/>
              </w:rPr>
            </w:pPr>
          </w:p>
        </w:tc>
      </w:tr>
      <w:bookmarkEnd w:id="288"/>
      <w:tr w:rsidR="00D75BB7" w:rsidRPr="00CE4250" w14:paraId="3500583B" w14:textId="77777777" w:rsidTr="00F02BB7">
        <w:tc>
          <w:tcPr>
            <w:tcW w:w="1165" w:type="dxa"/>
          </w:tcPr>
          <w:p w14:paraId="78157FF2" w14:textId="0CC4D369" w:rsidR="00D75BB7" w:rsidRPr="00880FA9" w:rsidRDefault="00D75BB7" w:rsidP="00D75BB7">
            <w:pPr>
              <w:pStyle w:val="Normal-Table"/>
            </w:pPr>
            <w:r>
              <w:lastRenderedPageBreak/>
              <w:t>IT-42</w:t>
            </w:r>
          </w:p>
        </w:tc>
        <w:tc>
          <w:tcPr>
            <w:tcW w:w="13140" w:type="dxa"/>
          </w:tcPr>
          <w:p w14:paraId="6BDA6923" w14:textId="3EB8B6DA" w:rsidR="00D75BB7" w:rsidRPr="00BC1D19" w:rsidRDefault="00D75BB7" w:rsidP="00D75BB7">
            <w:pPr>
              <w:pStyle w:val="Normal-Table"/>
            </w:pPr>
            <w:r w:rsidRPr="00BC1D19">
              <w:t xml:space="preserve">The </w:t>
            </w:r>
            <w:r w:rsidR="00A113B9" w:rsidRPr="00097662">
              <w:t xml:space="preserve">System </w:t>
            </w:r>
            <w:r w:rsidRPr="00BC1D19">
              <w:t>must be available twenty-four (24) hours a day, seven (7) days a week, including holidays, but excluding Offeror’s scheduled maintenance which is expected to be completed outside of Sunday thru Friday, 5:00 a.m. to 12:00 a.m. Central Time. Whenever the system is not available, an advisory notice will be viewable to users.</w:t>
            </w:r>
          </w:p>
        </w:tc>
      </w:tr>
      <w:tr w:rsidR="00D75BB7" w:rsidRPr="00CE4250" w14:paraId="27D55BD7" w14:textId="77777777" w:rsidTr="00F02BB7">
        <w:tc>
          <w:tcPr>
            <w:tcW w:w="1165" w:type="dxa"/>
          </w:tcPr>
          <w:p w14:paraId="35231B87" w14:textId="6EF9124E" w:rsidR="00D75BB7" w:rsidRPr="00880FA9" w:rsidRDefault="00D75BB7" w:rsidP="00D75BB7">
            <w:pPr>
              <w:pStyle w:val="Normal-Table"/>
            </w:pPr>
            <w:r>
              <w:t>IT-43</w:t>
            </w:r>
          </w:p>
        </w:tc>
        <w:tc>
          <w:tcPr>
            <w:tcW w:w="13140" w:type="dxa"/>
          </w:tcPr>
          <w:p w14:paraId="1EE3E503" w14:textId="6A15EEBA" w:rsidR="00D75BB7" w:rsidRPr="00880FA9" w:rsidRDefault="00D75BB7" w:rsidP="00D75BB7">
            <w:pPr>
              <w:pStyle w:val="Normal-Table"/>
            </w:pPr>
            <w:r w:rsidRPr="00880FA9">
              <w:t xml:space="preserve">The </w:t>
            </w:r>
            <w:r w:rsidR="00A113B9" w:rsidRPr="00097662">
              <w:t xml:space="preserve">System </w:t>
            </w:r>
            <w:r w:rsidRPr="00880FA9">
              <w:t>must provide system capacity allowing 25,000 concurrent users and be scalable for expansion.</w:t>
            </w:r>
          </w:p>
        </w:tc>
      </w:tr>
      <w:tr w:rsidR="00D75BB7" w:rsidRPr="00CE4250" w14:paraId="2C739BEB" w14:textId="77777777" w:rsidTr="00F02BB7">
        <w:tc>
          <w:tcPr>
            <w:tcW w:w="1165" w:type="dxa"/>
          </w:tcPr>
          <w:p w14:paraId="5E7F67E9" w14:textId="0B4CBD56" w:rsidR="00D75BB7" w:rsidRPr="00880FA9" w:rsidRDefault="00D75BB7" w:rsidP="00D75BB7">
            <w:pPr>
              <w:pStyle w:val="Normal-Table"/>
            </w:pPr>
            <w:r>
              <w:lastRenderedPageBreak/>
              <w:t>IT-44</w:t>
            </w:r>
          </w:p>
        </w:tc>
        <w:tc>
          <w:tcPr>
            <w:tcW w:w="13140" w:type="dxa"/>
          </w:tcPr>
          <w:p w14:paraId="58C22E35" w14:textId="5E61EA7A" w:rsidR="00D75BB7" w:rsidRPr="00880FA9" w:rsidRDefault="00D75BB7" w:rsidP="00D75BB7">
            <w:pPr>
              <w:pStyle w:val="Normal-Table"/>
            </w:pPr>
            <w:r w:rsidRPr="00880FA9">
              <w:t>The System must support an average response time for basic transactions, such as insert, update, delete, and q</w:t>
            </w:r>
            <w:r>
              <w:t>ueries from a single table in 2</w:t>
            </w:r>
            <w:r w:rsidRPr="00880FA9">
              <w:t xml:space="preserve"> seconds measured at the 90th percentile.</w:t>
            </w:r>
          </w:p>
        </w:tc>
      </w:tr>
      <w:tr w:rsidR="00D75BB7" w:rsidRPr="00CE4250" w14:paraId="3E9CFB6E" w14:textId="77777777" w:rsidTr="00D315C2">
        <w:tc>
          <w:tcPr>
            <w:tcW w:w="1165" w:type="dxa"/>
          </w:tcPr>
          <w:p w14:paraId="6C69BFBB" w14:textId="4B05560E" w:rsidR="00D75BB7" w:rsidRPr="004A0BEA" w:rsidRDefault="00D75BB7" w:rsidP="00D75BB7">
            <w:pPr>
              <w:pStyle w:val="Normal-Table"/>
            </w:pPr>
            <w:r>
              <w:t>IT-45</w:t>
            </w:r>
          </w:p>
        </w:tc>
        <w:tc>
          <w:tcPr>
            <w:tcW w:w="13140" w:type="dxa"/>
            <w:vAlign w:val="center"/>
          </w:tcPr>
          <w:p w14:paraId="2FED532F" w14:textId="111311E7" w:rsidR="00D75BB7" w:rsidRPr="00880FA9" w:rsidRDefault="00D75BB7" w:rsidP="00D75BB7">
            <w:pPr>
              <w:pStyle w:val="Normal-Table"/>
            </w:pPr>
            <w:r w:rsidRPr="004A0BEA">
              <w:t>The Offeror must describe how their solution will be scaled to meet increased demands for users and/or business functions during peak seasons, disasters, and economic downturns.</w:t>
            </w:r>
          </w:p>
        </w:tc>
      </w:tr>
      <w:tr w:rsidR="00D75BB7" w:rsidRPr="00CE4250" w14:paraId="6106C297" w14:textId="77777777" w:rsidTr="00D315C2">
        <w:tc>
          <w:tcPr>
            <w:tcW w:w="1165" w:type="dxa"/>
          </w:tcPr>
          <w:p w14:paraId="74AA5538" w14:textId="2C048592" w:rsidR="00D75BB7" w:rsidRPr="004A0BEA" w:rsidRDefault="00D75BB7" w:rsidP="00D75BB7">
            <w:pPr>
              <w:pStyle w:val="Normal-Table"/>
            </w:pPr>
            <w:r>
              <w:t>IT-46</w:t>
            </w:r>
          </w:p>
        </w:tc>
        <w:tc>
          <w:tcPr>
            <w:tcW w:w="13140" w:type="dxa"/>
            <w:vAlign w:val="center"/>
          </w:tcPr>
          <w:p w14:paraId="4594301E" w14:textId="2DA0C5CD" w:rsidR="00D75BB7" w:rsidRPr="00880FA9" w:rsidRDefault="00D75BB7" w:rsidP="00D75BB7">
            <w:pPr>
              <w:pStyle w:val="Normal-Table"/>
            </w:pPr>
            <w:r w:rsidRPr="004A0BEA">
              <w:t>The Offeror must describe how updates and changes to their solution will be communicated to ensure on-going operations are not adversely impacted.</w:t>
            </w:r>
          </w:p>
        </w:tc>
      </w:tr>
      <w:tr w:rsidR="00D75BB7" w:rsidRPr="00CE4250" w14:paraId="7FEB9436" w14:textId="77777777" w:rsidTr="00D315C2">
        <w:tc>
          <w:tcPr>
            <w:tcW w:w="1165" w:type="dxa"/>
          </w:tcPr>
          <w:p w14:paraId="68C329A6" w14:textId="3AC75AB8" w:rsidR="00D75BB7" w:rsidRPr="004A0BEA" w:rsidRDefault="00D75BB7" w:rsidP="00D75BB7">
            <w:pPr>
              <w:pStyle w:val="Normal-Table"/>
            </w:pPr>
            <w:r>
              <w:t>IT-47</w:t>
            </w:r>
          </w:p>
        </w:tc>
        <w:tc>
          <w:tcPr>
            <w:tcW w:w="13140" w:type="dxa"/>
            <w:vAlign w:val="center"/>
          </w:tcPr>
          <w:p w14:paraId="2221A60A" w14:textId="70BD6BCF" w:rsidR="00D75BB7" w:rsidRPr="00880FA9" w:rsidRDefault="00D75BB7" w:rsidP="00D75BB7">
            <w:pPr>
              <w:pStyle w:val="Normal-Table"/>
            </w:pPr>
            <w:r w:rsidRPr="004A0BEA">
              <w:t>The Offeror must describe their hosted solution’s availability and typical scheduled maintenance window.</w:t>
            </w:r>
          </w:p>
        </w:tc>
      </w:tr>
      <w:tr w:rsidR="00D75BB7" w:rsidRPr="00CE4250" w14:paraId="1C1CEB01" w14:textId="77777777" w:rsidTr="00D315C2">
        <w:tc>
          <w:tcPr>
            <w:tcW w:w="1165" w:type="dxa"/>
          </w:tcPr>
          <w:p w14:paraId="3B640146" w14:textId="718B601E" w:rsidR="00D75BB7" w:rsidRPr="00BC1D19" w:rsidRDefault="00D75BB7" w:rsidP="00D75BB7">
            <w:pPr>
              <w:pStyle w:val="Normal-Table"/>
            </w:pPr>
            <w:r>
              <w:t>IT-48</w:t>
            </w:r>
          </w:p>
        </w:tc>
        <w:tc>
          <w:tcPr>
            <w:tcW w:w="13140" w:type="dxa"/>
            <w:vAlign w:val="center"/>
          </w:tcPr>
          <w:p w14:paraId="0691A2BD" w14:textId="34C6B2C9" w:rsidR="00D75BB7" w:rsidRPr="00BC1D19" w:rsidRDefault="00D75BB7" w:rsidP="00D75BB7">
            <w:pPr>
              <w:pStyle w:val="Normal-Table"/>
            </w:pPr>
            <w:r w:rsidRPr="00BC1D19">
              <w:t>The Offeror will inform TWC no later than thirty (30) minutes of the loss of any contracted services including the service(s) disrupted and estimated time of recovery.</w:t>
            </w:r>
          </w:p>
        </w:tc>
      </w:tr>
      <w:tr w:rsidR="00D75BB7" w:rsidRPr="00CE4250" w14:paraId="41DA4F21" w14:textId="77777777" w:rsidTr="00D315C2">
        <w:tc>
          <w:tcPr>
            <w:tcW w:w="1165" w:type="dxa"/>
          </w:tcPr>
          <w:p w14:paraId="55670ED7" w14:textId="31CB85DA" w:rsidR="00D75BB7" w:rsidRPr="004A0BEA" w:rsidRDefault="00D75BB7" w:rsidP="00D75BB7">
            <w:pPr>
              <w:pStyle w:val="Normal-Table"/>
            </w:pPr>
            <w:r w:rsidRPr="00BC1D19">
              <w:t>IT-49</w:t>
            </w:r>
          </w:p>
        </w:tc>
        <w:tc>
          <w:tcPr>
            <w:tcW w:w="13140" w:type="dxa"/>
            <w:vAlign w:val="center"/>
          </w:tcPr>
          <w:p w14:paraId="6DB1320F" w14:textId="460EF13F" w:rsidR="00D75BB7" w:rsidRPr="00880FA9" w:rsidRDefault="00D75BB7" w:rsidP="00D75BB7">
            <w:pPr>
              <w:pStyle w:val="Normal-Table"/>
            </w:pPr>
            <w:r w:rsidRPr="004A0BEA">
              <w:t>The Offeror must describe their approach for allowing TWC to report system problems.</w:t>
            </w:r>
          </w:p>
        </w:tc>
      </w:tr>
      <w:tr w:rsidR="00D75BB7" w:rsidRPr="00CE4250" w14:paraId="695D027B" w14:textId="77777777" w:rsidTr="00D315C2">
        <w:tc>
          <w:tcPr>
            <w:tcW w:w="1165" w:type="dxa"/>
          </w:tcPr>
          <w:p w14:paraId="59E0BB19" w14:textId="4EBFA68E" w:rsidR="00D75BB7" w:rsidRPr="004A0BEA" w:rsidRDefault="00D75BB7" w:rsidP="00D75BB7">
            <w:pPr>
              <w:pStyle w:val="Normal-Table"/>
            </w:pPr>
            <w:r>
              <w:t>IT-50</w:t>
            </w:r>
          </w:p>
        </w:tc>
        <w:tc>
          <w:tcPr>
            <w:tcW w:w="13140" w:type="dxa"/>
            <w:vAlign w:val="center"/>
          </w:tcPr>
          <w:p w14:paraId="1D7695C9" w14:textId="195EB253" w:rsidR="00D75BB7" w:rsidRPr="00880FA9" w:rsidRDefault="00D75BB7" w:rsidP="00D75BB7">
            <w:pPr>
              <w:pStyle w:val="Normal-Table"/>
            </w:pPr>
            <w:r w:rsidRPr="004A0BEA">
              <w:t>The Offeror must describe their approach to handling errors, such as web page errors, data type-related errors, function failures, divide by zero, not enough memory, transaction errors, interface errors including data validation, etc.</w:t>
            </w:r>
          </w:p>
        </w:tc>
      </w:tr>
      <w:tr w:rsidR="00D75BB7" w:rsidRPr="00CE4250" w14:paraId="68737084" w14:textId="77777777" w:rsidTr="00D315C2">
        <w:tc>
          <w:tcPr>
            <w:tcW w:w="1165" w:type="dxa"/>
          </w:tcPr>
          <w:p w14:paraId="7A70EADD" w14:textId="36D1B358" w:rsidR="00D75BB7" w:rsidRPr="004A0BEA" w:rsidRDefault="00D75BB7" w:rsidP="00D75BB7">
            <w:pPr>
              <w:pStyle w:val="Normal-Table"/>
            </w:pPr>
            <w:r>
              <w:t>IT-51</w:t>
            </w:r>
          </w:p>
        </w:tc>
        <w:tc>
          <w:tcPr>
            <w:tcW w:w="13140" w:type="dxa"/>
            <w:vAlign w:val="center"/>
          </w:tcPr>
          <w:p w14:paraId="58EF1E8A" w14:textId="517308B4" w:rsidR="00D75BB7" w:rsidRPr="00880FA9" w:rsidRDefault="00D75BB7" w:rsidP="00D75BB7">
            <w:pPr>
              <w:pStyle w:val="Normal-Table"/>
            </w:pPr>
            <w:r w:rsidRPr="004A0BEA">
              <w:t>The Offeror must create and maintain a technical resource guide readily available to TWC designated staff.</w:t>
            </w:r>
          </w:p>
        </w:tc>
      </w:tr>
      <w:tr w:rsidR="00D75BB7" w:rsidRPr="00CE4250" w14:paraId="5FED014A" w14:textId="77777777" w:rsidTr="00D315C2">
        <w:tc>
          <w:tcPr>
            <w:tcW w:w="1165" w:type="dxa"/>
          </w:tcPr>
          <w:p w14:paraId="6ACE8357" w14:textId="37C6DDC3" w:rsidR="00D75BB7" w:rsidRPr="004A0BEA" w:rsidRDefault="00D75BB7" w:rsidP="00D75BB7">
            <w:pPr>
              <w:pStyle w:val="Normal-Table"/>
            </w:pPr>
            <w:r>
              <w:t>IT-52</w:t>
            </w:r>
          </w:p>
        </w:tc>
        <w:tc>
          <w:tcPr>
            <w:tcW w:w="13140" w:type="dxa"/>
            <w:vAlign w:val="center"/>
          </w:tcPr>
          <w:p w14:paraId="0F919AD1" w14:textId="192D7C13" w:rsidR="00D75BB7" w:rsidRPr="004A0BEA" w:rsidRDefault="00D75BB7" w:rsidP="00D75BB7">
            <w:pPr>
              <w:pStyle w:val="Normal-Table"/>
            </w:pPr>
            <w:bookmarkStart w:id="289" w:name="_Hlk531011034"/>
            <w:r w:rsidRPr="004A0BEA">
              <w:t xml:space="preserve">The </w:t>
            </w:r>
            <w:r w:rsidR="00A113B9" w:rsidRPr="00097662">
              <w:t xml:space="preserve">System </w:t>
            </w:r>
            <w:r w:rsidRPr="004A0BEA">
              <w:t>must include log and issue tracking for problems, issues, c</w:t>
            </w:r>
            <w:r>
              <w:t>hanges, and requests. The Offero</w:t>
            </w:r>
            <w:r w:rsidRPr="004A0BEA">
              <w:t>r must describe their recommended ticketing system</w:t>
            </w:r>
            <w:bookmarkEnd w:id="289"/>
            <w:r w:rsidRPr="004A0BEA">
              <w:t>.</w:t>
            </w:r>
          </w:p>
        </w:tc>
      </w:tr>
      <w:tr w:rsidR="00D75BB7" w:rsidRPr="00CE4250" w14:paraId="3F542B72" w14:textId="77777777" w:rsidTr="00D315C2">
        <w:tc>
          <w:tcPr>
            <w:tcW w:w="1165" w:type="dxa"/>
          </w:tcPr>
          <w:p w14:paraId="55292302" w14:textId="376AD3C1" w:rsidR="00D75BB7" w:rsidRPr="004A0BEA" w:rsidRDefault="00D75BB7" w:rsidP="00D75BB7">
            <w:pPr>
              <w:pStyle w:val="Normal-Table"/>
            </w:pPr>
            <w:r>
              <w:t>IT-53</w:t>
            </w:r>
          </w:p>
        </w:tc>
        <w:tc>
          <w:tcPr>
            <w:tcW w:w="13140" w:type="dxa"/>
            <w:vAlign w:val="center"/>
          </w:tcPr>
          <w:p w14:paraId="2630F5D8" w14:textId="1EAD43DF" w:rsidR="00D75BB7" w:rsidRPr="004A0BEA" w:rsidRDefault="00D75BB7" w:rsidP="00D75BB7">
            <w:pPr>
              <w:pStyle w:val="Normal-Table"/>
            </w:pPr>
            <w:r w:rsidRPr="004A0BEA">
              <w:t xml:space="preserve">The </w:t>
            </w:r>
            <w:r w:rsidR="00A113B9" w:rsidRPr="00097662">
              <w:t xml:space="preserve">System </w:t>
            </w:r>
            <w:r w:rsidRPr="004A0BEA">
              <w:t>must eliminate a business need for continued development, maintenance, and support of the UI legacy systems.</w:t>
            </w:r>
          </w:p>
        </w:tc>
      </w:tr>
      <w:tr w:rsidR="00D75BB7" w:rsidRPr="00CE4250" w14:paraId="76411EE4" w14:textId="77777777" w:rsidTr="00D315C2">
        <w:tc>
          <w:tcPr>
            <w:tcW w:w="1165" w:type="dxa"/>
          </w:tcPr>
          <w:p w14:paraId="0936AD9A" w14:textId="79934633" w:rsidR="00D75BB7" w:rsidRPr="004A0BEA" w:rsidRDefault="00D75BB7" w:rsidP="00D75BB7">
            <w:pPr>
              <w:pStyle w:val="Normal-Table"/>
            </w:pPr>
            <w:r>
              <w:t>IT-54</w:t>
            </w:r>
          </w:p>
        </w:tc>
        <w:tc>
          <w:tcPr>
            <w:tcW w:w="13140" w:type="dxa"/>
            <w:vAlign w:val="center"/>
          </w:tcPr>
          <w:p w14:paraId="11AEB421" w14:textId="2995B6DB" w:rsidR="00D75BB7" w:rsidRPr="004A0BEA" w:rsidRDefault="00D75BB7" w:rsidP="00D75BB7">
            <w:pPr>
              <w:pStyle w:val="Normal-Table"/>
            </w:pPr>
            <w:r w:rsidRPr="004A0BEA">
              <w:t>The Offeror must describe how all software patches and new releases will be deployed with appropriate notification, instruction, testing</w:t>
            </w:r>
            <w:r>
              <w:t>,</w:t>
            </w:r>
            <w:r w:rsidRPr="004A0BEA">
              <w:t xml:space="preserve"> and</w:t>
            </w:r>
            <w:r>
              <w:t xml:space="preserve"> approval</w:t>
            </w:r>
            <w:r w:rsidRPr="004A0BEA">
              <w:t>.</w:t>
            </w:r>
          </w:p>
        </w:tc>
      </w:tr>
      <w:tr w:rsidR="00D75BB7" w:rsidRPr="00CE4250" w14:paraId="4534DD2D" w14:textId="77777777" w:rsidTr="00D315C2">
        <w:tc>
          <w:tcPr>
            <w:tcW w:w="1165" w:type="dxa"/>
          </w:tcPr>
          <w:p w14:paraId="22A5DB6B" w14:textId="68ACDFFF" w:rsidR="00D75BB7" w:rsidRPr="00BE24D7" w:rsidRDefault="00D75BB7" w:rsidP="00D75BB7">
            <w:pPr>
              <w:pStyle w:val="Normal-Table"/>
            </w:pPr>
            <w:r>
              <w:t>IT-55</w:t>
            </w:r>
          </w:p>
        </w:tc>
        <w:tc>
          <w:tcPr>
            <w:tcW w:w="13140" w:type="dxa"/>
            <w:vAlign w:val="center"/>
          </w:tcPr>
          <w:p w14:paraId="4FDF510A" w14:textId="4ABFB15E" w:rsidR="00D75BB7" w:rsidRPr="00284827" w:rsidRDefault="00D75BB7" w:rsidP="00D75BB7">
            <w:pPr>
              <w:pStyle w:val="Normal-Table"/>
            </w:pPr>
            <w:r w:rsidRPr="00284827">
              <w:t>The Offeror must describe their organization’s patch management policy.</w:t>
            </w:r>
          </w:p>
        </w:tc>
      </w:tr>
      <w:tr w:rsidR="00D75BB7" w:rsidRPr="00CE4250" w14:paraId="45917808" w14:textId="77777777" w:rsidTr="00D315C2">
        <w:tc>
          <w:tcPr>
            <w:tcW w:w="1165" w:type="dxa"/>
          </w:tcPr>
          <w:p w14:paraId="013FBFAE" w14:textId="43C0119A" w:rsidR="00D75BB7" w:rsidRPr="00BE24D7" w:rsidRDefault="00D75BB7" w:rsidP="00D75BB7">
            <w:pPr>
              <w:pStyle w:val="Normal-Table"/>
            </w:pPr>
            <w:r>
              <w:lastRenderedPageBreak/>
              <w:t>IT-56</w:t>
            </w:r>
          </w:p>
        </w:tc>
        <w:tc>
          <w:tcPr>
            <w:tcW w:w="13140" w:type="dxa"/>
            <w:vAlign w:val="center"/>
          </w:tcPr>
          <w:p w14:paraId="05A928DE" w14:textId="396ADEA9" w:rsidR="00D75BB7" w:rsidRPr="00284827" w:rsidRDefault="00D75BB7" w:rsidP="00D75BB7">
            <w:pPr>
              <w:pStyle w:val="Normal-Table"/>
            </w:pPr>
            <w:r w:rsidRPr="00284827">
              <w:t>The Offeror must describe how they handle application and data structure changes to support new grants, legislatively mandated changes, disaster events, etc.</w:t>
            </w:r>
          </w:p>
        </w:tc>
      </w:tr>
      <w:tr w:rsidR="00D75BB7" w:rsidRPr="00CE4250" w14:paraId="4D4D5450" w14:textId="77777777" w:rsidTr="00D315C2">
        <w:tc>
          <w:tcPr>
            <w:tcW w:w="1165" w:type="dxa"/>
          </w:tcPr>
          <w:p w14:paraId="0A18315F" w14:textId="7AEE351C" w:rsidR="00D75BB7" w:rsidRPr="00BE24D7" w:rsidRDefault="00D75BB7" w:rsidP="00D75BB7">
            <w:pPr>
              <w:pStyle w:val="Normal-Table"/>
            </w:pPr>
            <w:r>
              <w:t>IT-57</w:t>
            </w:r>
          </w:p>
        </w:tc>
        <w:tc>
          <w:tcPr>
            <w:tcW w:w="13140" w:type="dxa"/>
            <w:vAlign w:val="center"/>
          </w:tcPr>
          <w:p w14:paraId="5D2AC826" w14:textId="3D00B288" w:rsidR="00D75BB7" w:rsidRPr="00284827" w:rsidRDefault="00D75BB7" w:rsidP="00D75BB7">
            <w:pPr>
              <w:pStyle w:val="Normal-Table"/>
            </w:pPr>
            <w:r w:rsidRPr="00284827">
              <w:t>The Offeror must describe how they leverage usage data to improve their solution.</w:t>
            </w:r>
          </w:p>
        </w:tc>
      </w:tr>
      <w:tr w:rsidR="00D75BB7" w:rsidRPr="00CE4250" w14:paraId="1A67D77E" w14:textId="77777777" w:rsidTr="00D315C2">
        <w:tc>
          <w:tcPr>
            <w:tcW w:w="1165" w:type="dxa"/>
          </w:tcPr>
          <w:p w14:paraId="6D11E3F7" w14:textId="6942AEF7" w:rsidR="00D75BB7" w:rsidRPr="00BE24D7" w:rsidRDefault="00D75BB7" w:rsidP="00D75BB7">
            <w:pPr>
              <w:pStyle w:val="Normal-Table"/>
            </w:pPr>
            <w:r>
              <w:t>IT-58</w:t>
            </w:r>
          </w:p>
        </w:tc>
        <w:tc>
          <w:tcPr>
            <w:tcW w:w="13140" w:type="dxa"/>
            <w:vAlign w:val="center"/>
          </w:tcPr>
          <w:p w14:paraId="626366B3" w14:textId="454DA9D4" w:rsidR="00D75BB7" w:rsidRPr="00284827" w:rsidRDefault="00D75BB7" w:rsidP="00D75BB7">
            <w:pPr>
              <w:pStyle w:val="Normal-Table"/>
            </w:pPr>
            <w:r w:rsidRPr="00284827">
              <w:t xml:space="preserve">The Offeror must provide a </w:t>
            </w:r>
            <w:r w:rsidR="00F8384F">
              <w:t xml:space="preserve">functional and technical </w:t>
            </w:r>
            <w:r w:rsidRPr="00284827">
              <w:t>product roadmap that outlines future releases, platform and environment upgrades and/or modifications, and their timing.</w:t>
            </w:r>
          </w:p>
        </w:tc>
      </w:tr>
      <w:tr w:rsidR="008A13B6" w:rsidRPr="00CE4250" w14:paraId="57138FDB" w14:textId="77777777" w:rsidTr="00D315C2">
        <w:tc>
          <w:tcPr>
            <w:tcW w:w="1165" w:type="dxa"/>
          </w:tcPr>
          <w:p w14:paraId="20E84F37" w14:textId="3838559B" w:rsidR="008A13B6" w:rsidRDefault="008A13B6" w:rsidP="00D75BB7">
            <w:pPr>
              <w:pStyle w:val="Normal-Table"/>
            </w:pPr>
            <w:r>
              <w:t>IT-59</w:t>
            </w:r>
          </w:p>
        </w:tc>
        <w:tc>
          <w:tcPr>
            <w:tcW w:w="13140" w:type="dxa"/>
            <w:vAlign w:val="center"/>
          </w:tcPr>
          <w:p w14:paraId="0B33A37C" w14:textId="7B21F04F" w:rsidR="008A13B6" w:rsidRPr="00284827" w:rsidRDefault="008A13B6" w:rsidP="00D75BB7">
            <w:pPr>
              <w:pStyle w:val="Normal-Table"/>
            </w:pPr>
            <w:r w:rsidRPr="00097662">
              <w:t xml:space="preserve">The Offeror must affirm that </w:t>
            </w:r>
            <w:r w:rsidR="00C41248">
              <w:t xml:space="preserve">they will comply with TWC data governance best practices including providing adequate notice of changes, scheduling sufficient time for testing, and allowing TWC to remediate </w:t>
            </w:r>
            <w:r w:rsidR="00312605">
              <w:t>issues in any down</w:t>
            </w:r>
            <w:r w:rsidR="00C41248">
              <w:t xml:space="preserve">stream systems </w:t>
            </w:r>
            <w:r w:rsidR="00312605">
              <w:t xml:space="preserve">prior to moving </w:t>
            </w:r>
            <w:r w:rsidR="00C41248">
              <w:t>proposed changes into production.</w:t>
            </w:r>
          </w:p>
        </w:tc>
      </w:tr>
      <w:tr w:rsidR="00D422AD" w:rsidRPr="00CE4250" w14:paraId="3DCDEAC1" w14:textId="77777777" w:rsidTr="00D315C2">
        <w:tc>
          <w:tcPr>
            <w:tcW w:w="1165" w:type="dxa"/>
          </w:tcPr>
          <w:p w14:paraId="605EAE2D" w14:textId="0AC97C15" w:rsidR="00D422AD" w:rsidRDefault="00D422AD" w:rsidP="00D75BB7">
            <w:pPr>
              <w:pStyle w:val="Normal-Table"/>
            </w:pPr>
            <w:r>
              <w:t>IT-60</w:t>
            </w:r>
          </w:p>
        </w:tc>
        <w:tc>
          <w:tcPr>
            <w:tcW w:w="13140" w:type="dxa"/>
            <w:vAlign w:val="center"/>
          </w:tcPr>
          <w:p w14:paraId="4DC78F09" w14:textId="59B2CAE8" w:rsidR="00D422AD" w:rsidRDefault="00A113B9" w:rsidP="00D75BB7">
            <w:pPr>
              <w:pStyle w:val="Normal-Table"/>
            </w:pPr>
            <w:r w:rsidRPr="00097662">
              <w:t xml:space="preserve">The System must </w:t>
            </w:r>
            <w:r w:rsidR="00E53D96">
              <w:t>be customizable to include TWC branding and other agency identity elements.</w:t>
            </w:r>
          </w:p>
          <w:p w14:paraId="195B8E62" w14:textId="3DCB579A" w:rsidR="00E53D96" w:rsidRDefault="00A113B9" w:rsidP="00D75BB7">
            <w:pPr>
              <w:pStyle w:val="Normal-Table"/>
            </w:pPr>
            <w:r w:rsidRPr="00097662">
              <w:t xml:space="preserve">The System must </w:t>
            </w:r>
            <w:r>
              <w:t>allow authorized TWC Staff to</w:t>
            </w:r>
            <w:r w:rsidR="00E53D96">
              <w:t xml:space="preserve"> </w:t>
            </w:r>
            <w:r>
              <w:t xml:space="preserve">input and maintain </w:t>
            </w:r>
            <w:r w:rsidR="00E53D96">
              <w:t>a privacy policy</w:t>
            </w:r>
            <w:r>
              <w:t>,</w:t>
            </w:r>
            <w:r w:rsidR="00E53D96">
              <w:t xml:space="preserve"> </w:t>
            </w:r>
            <w:r>
              <w:t xml:space="preserve">system messages, and release notes that can be displayed on specifically identified pages. </w:t>
            </w:r>
          </w:p>
          <w:p w14:paraId="2B4CD681" w14:textId="641224E8" w:rsidR="00A113B9" w:rsidRPr="00097662" w:rsidRDefault="00A113B9" w:rsidP="00D75BB7">
            <w:pPr>
              <w:pStyle w:val="Normal-Table"/>
            </w:pPr>
            <w:r w:rsidRPr="00097662">
              <w:t xml:space="preserve">The System must </w:t>
            </w:r>
            <w:r>
              <w:t>allow authorized TWC Staff to i</w:t>
            </w:r>
            <w:r w:rsidRPr="00CE4250">
              <w:t>nput and maintain messages to be displayed to individuals or groups for a specified audience during a specified date and time range. For example, system outage message for a specific geography</w:t>
            </w:r>
            <w:r>
              <w:t>.</w:t>
            </w:r>
          </w:p>
        </w:tc>
      </w:tr>
      <w:tr w:rsidR="00E53D96" w:rsidRPr="00CE4250" w14:paraId="0E826830" w14:textId="77777777" w:rsidTr="00D315C2">
        <w:tc>
          <w:tcPr>
            <w:tcW w:w="1165" w:type="dxa"/>
          </w:tcPr>
          <w:p w14:paraId="2F5EA15B" w14:textId="40E6DFA4" w:rsidR="00E53D96" w:rsidRDefault="00E53D96" w:rsidP="00D75BB7">
            <w:pPr>
              <w:pStyle w:val="Normal-Table"/>
            </w:pPr>
            <w:r>
              <w:t>IT-61</w:t>
            </w:r>
          </w:p>
        </w:tc>
        <w:tc>
          <w:tcPr>
            <w:tcW w:w="13140" w:type="dxa"/>
            <w:vAlign w:val="center"/>
          </w:tcPr>
          <w:p w14:paraId="1B25FFCF" w14:textId="520AAC46" w:rsidR="00E53D96" w:rsidRDefault="00A113B9" w:rsidP="00D75BB7">
            <w:pPr>
              <w:pStyle w:val="Normal-Table"/>
            </w:pPr>
            <w:r w:rsidRPr="00097662">
              <w:t>The System must</w:t>
            </w:r>
            <w:r w:rsidR="00B17E12">
              <w:t xml:space="preserve"> handle error</w:t>
            </w:r>
            <w:r w:rsidR="0019168F">
              <w:t>s</w:t>
            </w:r>
            <w:r w:rsidR="00B17E12">
              <w:t xml:space="preserve"> created through batch processes, store related errors, and generate alerts for each batch error. </w:t>
            </w:r>
          </w:p>
          <w:p w14:paraId="6F52144D" w14:textId="0C5107C8" w:rsidR="0019168F" w:rsidRDefault="0019168F" w:rsidP="00D75BB7">
            <w:pPr>
              <w:pStyle w:val="Normal-Table"/>
            </w:pPr>
            <w:r>
              <w:t>The System must stop error records from continuing through any automated processing steps while allowing continued process of all other records.</w:t>
            </w:r>
          </w:p>
          <w:p w14:paraId="5B24FF3C" w14:textId="7F568C3B" w:rsidR="0019168F" w:rsidRDefault="0019168F" w:rsidP="00D75BB7">
            <w:pPr>
              <w:pStyle w:val="Normal-Table"/>
            </w:pPr>
            <w:r>
              <w:t>The System must ensure error messages are written in plain English and including specific directions to follow in the event of an error.</w:t>
            </w:r>
          </w:p>
          <w:p w14:paraId="5C60F420" w14:textId="79287867" w:rsidR="0019168F" w:rsidRDefault="0019168F" w:rsidP="0019168F">
            <w:pPr>
              <w:pStyle w:val="Normal-Table"/>
            </w:pPr>
            <w:r>
              <w:t>The System must store user error messages for later retrieval and review.</w:t>
            </w:r>
          </w:p>
        </w:tc>
      </w:tr>
      <w:tr w:rsidR="00DA1164" w:rsidRPr="00CE4250" w14:paraId="160DA020" w14:textId="77777777" w:rsidTr="00D315C2">
        <w:tc>
          <w:tcPr>
            <w:tcW w:w="1165" w:type="dxa"/>
          </w:tcPr>
          <w:p w14:paraId="7D484422" w14:textId="23EBBE5A" w:rsidR="00DA1164" w:rsidRDefault="00DA1164" w:rsidP="00D75BB7">
            <w:pPr>
              <w:pStyle w:val="Normal-Table"/>
            </w:pPr>
            <w:r>
              <w:t>IT-62</w:t>
            </w:r>
          </w:p>
        </w:tc>
        <w:tc>
          <w:tcPr>
            <w:tcW w:w="13140" w:type="dxa"/>
            <w:vAlign w:val="center"/>
          </w:tcPr>
          <w:p w14:paraId="586AD8D7" w14:textId="059D0DB7" w:rsidR="00DA1164" w:rsidRPr="00097662" w:rsidRDefault="00DA1164" w:rsidP="00D75BB7">
            <w:pPr>
              <w:pStyle w:val="Normal-Table"/>
            </w:pPr>
            <w:r>
              <w:t>The System must reconnect to resources, services, and applications that were temporarily unavailable once the resource, service, or application becomes available.</w:t>
            </w:r>
          </w:p>
        </w:tc>
      </w:tr>
      <w:tr w:rsidR="00DA1164" w:rsidRPr="00CE4250" w14:paraId="0C467FD5" w14:textId="77777777" w:rsidTr="00D315C2">
        <w:tc>
          <w:tcPr>
            <w:tcW w:w="1165" w:type="dxa"/>
          </w:tcPr>
          <w:p w14:paraId="4EA9B98B" w14:textId="13F883DC" w:rsidR="00DA1164" w:rsidRDefault="00DA1164" w:rsidP="00D75BB7">
            <w:pPr>
              <w:pStyle w:val="Normal-Table"/>
            </w:pPr>
            <w:r>
              <w:lastRenderedPageBreak/>
              <w:t>IT-63</w:t>
            </w:r>
          </w:p>
        </w:tc>
        <w:tc>
          <w:tcPr>
            <w:tcW w:w="13140" w:type="dxa"/>
            <w:vAlign w:val="center"/>
          </w:tcPr>
          <w:p w14:paraId="5E38BDCA" w14:textId="3EC8B81B" w:rsidR="00DA1164" w:rsidRDefault="0088358C" w:rsidP="00D75BB7">
            <w:pPr>
              <w:pStyle w:val="Normal-Table"/>
            </w:pPr>
            <w:r>
              <w:t>The System must ensure all date computations utilize a four-digit year date field. All dates on reports, whether electronic or printed, must utilize a four-digit year format. All inputted dates, whether user</w:t>
            </w:r>
            <w:r w:rsidR="00EA024D">
              <w:t>-</w:t>
            </w:r>
            <w:r>
              <w:t>entered or System supplied, must utilize a four-digit year format.</w:t>
            </w:r>
          </w:p>
          <w:p w14:paraId="603FD7CB" w14:textId="2D4FABD0" w:rsidR="0088358C" w:rsidRDefault="0088358C" w:rsidP="00D75BB7">
            <w:pPr>
              <w:pStyle w:val="Normal-Table"/>
            </w:pPr>
            <w:r>
              <w:t>The System must record data time changes to the nearest 100</w:t>
            </w:r>
            <w:r w:rsidRPr="0088358C">
              <w:rPr>
                <w:vertAlign w:val="superscript"/>
              </w:rPr>
              <w:t>th</w:t>
            </w:r>
            <w:r>
              <w:t xml:space="preserve"> of a second.</w:t>
            </w:r>
          </w:p>
        </w:tc>
      </w:tr>
      <w:tr w:rsidR="0088358C" w:rsidRPr="00CE4250" w14:paraId="1F0135C6" w14:textId="77777777" w:rsidTr="00D315C2">
        <w:tc>
          <w:tcPr>
            <w:tcW w:w="1165" w:type="dxa"/>
          </w:tcPr>
          <w:p w14:paraId="268F933C" w14:textId="3758DBC8" w:rsidR="0088358C" w:rsidRDefault="0088358C" w:rsidP="00D75BB7">
            <w:pPr>
              <w:pStyle w:val="Normal-Table"/>
            </w:pPr>
            <w:r>
              <w:t>IT-64</w:t>
            </w:r>
          </w:p>
        </w:tc>
        <w:tc>
          <w:tcPr>
            <w:tcW w:w="13140" w:type="dxa"/>
            <w:vAlign w:val="center"/>
          </w:tcPr>
          <w:p w14:paraId="58A546C6" w14:textId="77777777" w:rsidR="0088358C" w:rsidRDefault="0088358C" w:rsidP="00D75BB7">
            <w:pPr>
              <w:pStyle w:val="Normal-Table"/>
            </w:pPr>
            <w:r>
              <w:t>The System must execute functionality according to set business rules.</w:t>
            </w:r>
          </w:p>
          <w:p w14:paraId="175FB329" w14:textId="29516CDD" w:rsidR="0088358C" w:rsidRDefault="0088358C" w:rsidP="00D75BB7">
            <w:pPr>
              <w:pStyle w:val="Normal-Table"/>
            </w:pPr>
            <w:r>
              <w:t>The System must maintain business rules in a user configurable format.</w:t>
            </w:r>
          </w:p>
          <w:p w14:paraId="04790E67" w14:textId="77777777" w:rsidR="0088358C" w:rsidRDefault="0088358C" w:rsidP="00D75BB7">
            <w:pPr>
              <w:pStyle w:val="Normal-Table"/>
            </w:pPr>
            <w:r>
              <w:t>The System must allow all business rule changes to be version controlled and previous rule versions must be available and enforceable.</w:t>
            </w:r>
          </w:p>
          <w:p w14:paraId="6D102250" w14:textId="278969AA" w:rsidR="00AA0BFE" w:rsidRDefault="00AA0BFE" w:rsidP="00D75BB7">
            <w:pPr>
              <w:pStyle w:val="Normal-Table"/>
            </w:pPr>
            <w:r w:rsidRPr="00AA0BFE">
              <w:t xml:space="preserve">The </w:t>
            </w:r>
            <w:r w:rsidR="004C7EB6">
              <w:t xml:space="preserve">System must include a </w:t>
            </w:r>
            <w:r w:rsidRPr="00AA0BFE">
              <w:t xml:space="preserve">business rules engine </w:t>
            </w:r>
            <w:r w:rsidR="004C7EB6">
              <w:t xml:space="preserve">that </w:t>
            </w:r>
            <w:r w:rsidRPr="00AA0BFE">
              <w:t>detect</w:t>
            </w:r>
            <w:r w:rsidR="004C7EB6">
              <w:t>s</w:t>
            </w:r>
            <w:r w:rsidRPr="00AA0BFE">
              <w:t xml:space="preserve"> and reject</w:t>
            </w:r>
            <w:r w:rsidR="004C7EB6">
              <w:t>s</w:t>
            </w:r>
            <w:r w:rsidRPr="00AA0BFE">
              <w:t xml:space="preserve"> conflicts, optimize</w:t>
            </w:r>
            <w:r w:rsidR="004C7EB6">
              <w:t>s</w:t>
            </w:r>
            <w:r w:rsidRPr="00AA0BFE">
              <w:t xml:space="preserve"> redundancy among the rules and permit</w:t>
            </w:r>
            <w:r w:rsidR="004C7EB6">
              <w:t>s</w:t>
            </w:r>
            <w:r w:rsidRPr="00AA0BFE">
              <w:t xml:space="preserve"> a rule update to be done without disrupting other system activities.</w:t>
            </w:r>
          </w:p>
        </w:tc>
      </w:tr>
      <w:tr w:rsidR="0088358C" w:rsidRPr="00CE4250" w14:paraId="26527570" w14:textId="77777777" w:rsidTr="00D315C2">
        <w:tc>
          <w:tcPr>
            <w:tcW w:w="1165" w:type="dxa"/>
          </w:tcPr>
          <w:p w14:paraId="1B31FB7D" w14:textId="7EB3C0F9" w:rsidR="0088358C" w:rsidRDefault="0088358C" w:rsidP="00D75BB7">
            <w:pPr>
              <w:pStyle w:val="Normal-Table"/>
            </w:pPr>
            <w:r>
              <w:t>IT-65</w:t>
            </w:r>
          </w:p>
        </w:tc>
        <w:tc>
          <w:tcPr>
            <w:tcW w:w="13140" w:type="dxa"/>
            <w:vAlign w:val="center"/>
          </w:tcPr>
          <w:p w14:paraId="7E1D8A6E" w14:textId="41B3E61B" w:rsidR="0088358C" w:rsidRDefault="0088358C" w:rsidP="00D75BB7">
            <w:pPr>
              <w:pStyle w:val="Normal-Table"/>
            </w:pPr>
            <w:r>
              <w:t xml:space="preserve">The System must </w:t>
            </w:r>
            <w:r w:rsidR="00182FD6">
              <w:t>identify archived records and</w:t>
            </w:r>
            <w:r>
              <w:t xml:space="preserve"> </w:t>
            </w:r>
            <w:r w:rsidR="00182FD6">
              <w:t>not allow archived records to be updated.</w:t>
            </w:r>
          </w:p>
          <w:p w14:paraId="70E48669" w14:textId="349A534C" w:rsidR="0088358C" w:rsidRDefault="0088358C" w:rsidP="00D75BB7">
            <w:pPr>
              <w:pStyle w:val="Normal-Table"/>
            </w:pPr>
            <w:r>
              <w:t>The System must</w:t>
            </w:r>
            <w:r w:rsidR="00182FD6">
              <w:t xml:space="preserve"> monitor the archive process and log the outcome including any errors.</w:t>
            </w:r>
          </w:p>
          <w:p w14:paraId="6789A381" w14:textId="72BA5D65" w:rsidR="0088358C" w:rsidRDefault="0088358C" w:rsidP="00D75BB7">
            <w:pPr>
              <w:pStyle w:val="Normal-Table"/>
            </w:pPr>
            <w:r>
              <w:t>The System must</w:t>
            </w:r>
            <w:r w:rsidR="00182FD6">
              <w:t xml:space="preserve"> perform routine, at least quarterly, reviews of archived data to verify no loss of archived files and verify the ability to retrieve archived files.</w:t>
            </w:r>
          </w:p>
        </w:tc>
      </w:tr>
      <w:tr w:rsidR="00EB1A6A" w:rsidRPr="00CE4250" w14:paraId="0619D746" w14:textId="77777777" w:rsidTr="00D315C2">
        <w:tc>
          <w:tcPr>
            <w:tcW w:w="1165" w:type="dxa"/>
          </w:tcPr>
          <w:p w14:paraId="00FA4A57" w14:textId="4B87A1D7" w:rsidR="00EB1A6A" w:rsidRDefault="00EB1A6A" w:rsidP="00D75BB7">
            <w:pPr>
              <w:pStyle w:val="Normal-Table"/>
            </w:pPr>
            <w:r>
              <w:t>IT-66</w:t>
            </w:r>
          </w:p>
        </w:tc>
        <w:tc>
          <w:tcPr>
            <w:tcW w:w="13140" w:type="dxa"/>
            <w:vAlign w:val="center"/>
          </w:tcPr>
          <w:p w14:paraId="3EC2C63B" w14:textId="77777777" w:rsidR="00EB1A6A" w:rsidRDefault="00EB1A6A" w:rsidP="00EB1A6A">
            <w:pPr>
              <w:pStyle w:val="Normal-Table"/>
            </w:pPr>
            <w:r>
              <w:t>The System must allow authorized users to suspend a process prior to process execution.</w:t>
            </w:r>
          </w:p>
          <w:p w14:paraId="513B9E99" w14:textId="77777777" w:rsidR="00EB1A6A" w:rsidRDefault="00EB1A6A" w:rsidP="00EB1A6A">
            <w:pPr>
              <w:pStyle w:val="Normal-Table"/>
            </w:pPr>
            <w:r>
              <w:t>The System must allow authorized users to terminate a process.</w:t>
            </w:r>
          </w:p>
          <w:p w14:paraId="77403343" w14:textId="77777777" w:rsidR="00EB1A6A" w:rsidRDefault="00EB1A6A" w:rsidP="00EB1A6A">
            <w:pPr>
              <w:pStyle w:val="Normal-Table"/>
            </w:pPr>
            <w:r>
              <w:t>The System must have the capability to be configured to stop or continue processing based on success or failure of predecessor processes.</w:t>
            </w:r>
          </w:p>
          <w:p w14:paraId="74FB8FD1" w14:textId="77777777" w:rsidR="00EB1A6A" w:rsidRDefault="00EB1A6A" w:rsidP="00EB1A6A">
            <w:pPr>
              <w:pStyle w:val="Normal-Table"/>
            </w:pPr>
            <w:r>
              <w:t>The System must be able to resume a suspended process.</w:t>
            </w:r>
          </w:p>
          <w:p w14:paraId="71C93624" w14:textId="77777777" w:rsidR="00EB1A6A" w:rsidRDefault="00EB1A6A" w:rsidP="00EB1A6A">
            <w:pPr>
              <w:pStyle w:val="Normal-Table"/>
            </w:pPr>
            <w:r>
              <w:t>The System must provide the capability to restart failed batch jobs at the last committed transaction (checkpoint restart).</w:t>
            </w:r>
          </w:p>
          <w:p w14:paraId="4F2EEE9A" w14:textId="77777777" w:rsidR="00EB1A6A" w:rsidRDefault="00EB1A6A" w:rsidP="00EB1A6A">
            <w:pPr>
              <w:pStyle w:val="Normal-Table"/>
            </w:pPr>
            <w:r>
              <w:t>The System must be configurable to initiate corrective action when a batch job fails to start or terminates abnormally.</w:t>
            </w:r>
          </w:p>
          <w:p w14:paraId="1D028E4D" w14:textId="41DCE67F" w:rsidR="00EB1A6A" w:rsidRDefault="00EB1A6A" w:rsidP="00EB1A6A">
            <w:pPr>
              <w:pStyle w:val="Normal-Table"/>
            </w:pPr>
            <w:r>
              <w:lastRenderedPageBreak/>
              <w:t>The System must provide escalation capabilities for processes based on configurable values.</w:t>
            </w:r>
          </w:p>
        </w:tc>
      </w:tr>
      <w:tr w:rsidR="00EB1A6A" w:rsidRPr="00CE4250" w14:paraId="61720E7E" w14:textId="77777777" w:rsidTr="00D315C2">
        <w:tc>
          <w:tcPr>
            <w:tcW w:w="1165" w:type="dxa"/>
          </w:tcPr>
          <w:p w14:paraId="35DE6E41" w14:textId="08C3C076" w:rsidR="00EB1A6A" w:rsidRDefault="00EB1A6A" w:rsidP="00D75BB7">
            <w:pPr>
              <w:pStyle w:val="Normal-Table"/>
            </w:pPr>
            <w:r>
              <w:lastRenderedPageBreak/>
              <w:t>IT-67</w:t>
            </w:r>
          </w:p>
        </w:tc>
        <w:tc>
          <w:tcPr>
            <w:tcW w:w="13140" w:type="dxa"/>
            <w:vAlign w:val="center"/>
          </w:tcPr>
          <w:p w14:paraId="6A758452" w14:textId="44E08B1C" w:rsidR="00EB1A6A" w:rsidRDefault="00EB1A6A" w:rsidP="00EB1A6A">
            <w:pPr>
              <w:pStyle w:val="Normal-Table"/>
            </w:pPr>
            <w:r>
              <w:t>The Offeror must design appropriate and feasible continuity mechanisms and procedures to meet the agreed business continuity targets, including the processes and procedures to leverage alternate infrastructure and/or environments.</w:t>
            </w:r>
          </w:p>
          <w:p w14:paraId="3962390C" w14:textId="78807437" w:rsidR="00EB1A6A" w:rsidRDefault="00EB1A6A" w:rsidP="00EB1A6A">
            <w:pPr>
              <w:pStyle w:val="Normal-Table"/>
            </w:pPr>
            <w:r>
              <w:t xml:space="preserve">In case of a system failure, the System must resume operations within TWC's </w:t>
            </w:r>
            <w:r w:rsidR="00D875B9">
              <w:t>r</w:t>
            </w:r>
            <w:r>
              <w:t xml:space="preserve">ecovery </w:t>
            </w:r>
            <w:r w:rsidR="00D875B9">
              <w:t>t</w:t>
            </w:r>
            <w:r>
              <w:t xml:space="preserve">ime </w:t>
            </w:r>
            <w:r w:rsidR="00D875B9">
              <w:t>o</w:t>
            </w:r>
            <w:r>
              <w:t>bjective for enterprise systems.</w:t>
            </w:r>
          </w:p>
          <w:p w14:paraId="0833537C" w14:textId="77777777" w:rsidR="00EB1A6A" w:rsidRDefault="00EB1A6A" w:rsidP="00EB1A6A">
            <w:pPr>
              <w:pStyle w:val="Normal-Table"/>
            </w:pPr>
            <w:r>
              <w:t>All business continuity requirements apply to both pre-production and production environments.</w:t>
            </w:r>
          </w:p>
          <w:p w14:paraId="34167285" w14:textId="77777777" w:rsidR="00EB1A6A" w:rsidRDefault="00EB1A6A" w:rsidP="00EB1A6A">
            <w:pPr>
              <w:pStyle w:val="Normal-Table"/>
            </w:pPr>
            <w:r>
              <w:t>The System must provide planned and proven redundancy that includes automatic detection and failover mechanisms for each potential point of failure that could result in a service outage.</w:t>
            </w:r>
          </w:p>
          <w:p w14:paraId="5C34342D" w14:textId="6B98E3F5" w:rsidR="00EB1A6A" w:rsidRDefault="00EB1A6A" w:rsidP="00EB1A6A">
            <w:pPr>
              <w:pStyle w:val="Normal-Table"/>
            </w:pPr>
            <w:r>
              <w:t xml:space="preserve">The System must not have a single point of failure except as approved, in writing by </w:t>
            </w:r>
            <w:r w:rsidR="00D875B9">
              <w:t>TWC</w:t>
            </w:r>
            <w:r>
              <w:t>.</w:t>
            </w:r>
          </w:p>
          <w:p w14:paraId="31388C7B" w14:textId="303CD650" w:rsidR="00EB1A6A" w:rsidRDefault="00EB1A6A" w:rsidP="00D875B9">
            <w:pPr>
              <w:pStyle w:val="Normal-Table"/>
            </w:pPr>
            <w:r>
              <w:t xml:space="preserve">The </w:t>
            </w:r>
            <w:r w:rsidR="00D875B9">
              <w:t xml:space="preserve">System must </w:t>
            </w:r>
            <w:r>
              <w:t>utilize hardware or software to distribute connectivity and load processing across multiple, redundant computing resources for performance and failover capabilities.</w:t>
            </w:r>
          </w:p>
        </w:tc>
      </w:tr>
      <w:tr w:rsidR="00655233" w:rsidRPr="00CE4250" w14:paraId="36C0BB75" w14:textId="77777777" w:rsidTr="00D315C2">
        <w:tc>
          <w:tcPr>
            <w:tcW w:w="1165" w:type="dxa"/>
          </w:tcPr>
          <w:p w14:paraId="13518E89" w14:textId="41E4E9DE" w:rsidR="00655233" w:rsidRDefault="00655233" w:rsidP="00D75BB7">
            <w:pPr>
              <w:pStyle w:val="Normal-Table"/>
            </w:pPr>
            <w:r>
              <w:t>IT-68</w:t>
            </w:r>
          </w:p>
        </w:tc>
        <w:tc>
          <w:tcPr>
            <w:tcW w:w="13140" w:type="dxa"/>
            <w:vAlign w:val="center"/>
          </w:tcPr>
          <w:p w14:paraId="00596CE3" w14:textId="77777777" w:rsidR="00655233" w:rsidRDefault="00956400" w:rsidP="00EB1A6A">
            <w:pPr>
              <w:pStyle w:val="Normal-Table"/>
            </w:pPr>
            <w:r w:rsidRPr="00956400">
              <w:t>The system must be constructed using modular components for ease of maintenance.</w:t>
            </w:r>
          </w:p>
          <w:p w14:paraId="2C5801D5" w14:textId="77777777" w:rsidR="00956400" w:rsidRDefault="00956400" w:rsidP="00EB1A6A">
            <w:pPr>
              <w:pStyle w:val="Normal-Table"/>
            </w:pPr>
            <w:r w:rsidRPr="00956400">
              <w:t>The system must be capable of minor repairs, routine maintenance, system checks, archiving and backups, without taking the system out of service.</w:t>
            </w:r>
          </w:p>
          <w:p w14:paraId="34F095CF" w14:textId="77777777" w:rsidR="00956400" w:rsidRDefault="00956400" w:rsidP="00EB1A6A">
            <w:pPr>
              <w:pStyle w:val="Normal-Table"/>
            </w:pPr>
            <w:r w:rsidRPr="00956400">
              <w:t>A minimum of 10% of the total lines of source code for custom/customized software must be composed of in-line comments.</w:t>
            </w:r>
          </w:p>
          <w:p w14:paraId="2B037090" w14:textId="77777777" w:rsidR="00956400" w:rsidRDefault="00956400" w:rsidP="00EB1A6A">
            <w:pPr>
              <w:pStyle w:val="Normal-Table"/>
            </w:pPr>
            <w:r w:rsidRPr="00956400">
              <w:t>Code must be maintained in a Source Code Control Repository. Describe the method and tools that will be used.</w:t>
            </w:r>
          </w:p>
          <w:p w14:paraId="3AD5CA5A" w14:textId="7FB68A5F" w:rsidR="00956400" w:rsidRDefault="00956400" w:rsidP="00EB1A6A">
            <w:pPr>
              <w:pStyle w:val="Normal-Table"/>
            </w:pPr>
            <w:r w:rsidRPr="00956400">
              <w:t>The system must provide the capability for authorized users to implement approved database changes or fixes.</w:t>
            </w:r>
          </w:p>
        </w:tc>
      </w:tr>
    </w:tbl>
    <w:p w14:paraId="263F3071" w14:textId="77777777" w:rsidR="00C10A50" w:rsidRDefault="00C10A50" w:rsidP="00C10A50">
      <w:pPr>
        <w:rPr>
          <w:highlight w:val="yellow"/>
        </w:rPr>
        <w:sectPr w:rsidR="00C10A50" w:rsidSect="00C6186B">
          <w:headerReference w:type="default" r:id="rId68"/>
          <w:footerReference w:type="default" r:id="rId69"/>
          <w:pgSz w:w="15840" w:h="12240" w:orient="landscape" w:code="1"/>
          <w:pgMar w:top="720" w:right="720" w:bottom="720" w:left="720" w:header="720" w:footer="432" w:gutter="0"/>
          <w:cols w:space="720"/>
          <w:docGrid w:linePitch="326"/>
        </w:sectPr>
      </w:pPr>
    </w:p>
    <w:p w14:paraId="0147B95C" w14:textId="4B3C4FA7" w:rsidR="00131B5D" w:rsidRPr="008259A9" w:rsidRDefault="00131B5D" w:rsidP="00131B5D">
      <w:pPr>
        <w:pStyle w:val="Heading2"/>
        <w:rPr>
          <w:lang w:eastAsia="en-AU"/>
        </w:rPr>
      </w:pPr>
      <w:bookmarkStart w:id="290" w:name="_Attachment_6_–"/>
      <w:bookmarkStart w:id="291" w:name="_Toc13567491"/>
      <w:bookmarkEnd w:id="290"/>
      <w:r w:rsidRPr="008259A9">
        <w:rPr>
          <w:lang w:eastAsia="en-AU"/>
        </w:rPr>
        <w:lastRenderedPageBreak/>
        <w:t xml:space="preserve">Attachment </w:t>
      </w:r>
      <w:r w:rsidR="00C10A50">
        <w:rPr>
          <w:lang w:eastAsia="en-AU"/>
        </w:rPr>
        <w:t>6</w:t>
      </w:r>
      <w:r w:rsidRPr="008259A9">
        <w:rPr>
          <w:lang w:eastAsia="en-AU"/>
        </w:rPr>
        <w:t xml:space="preserve"> – </w:t>
      </w:r>
      <w:r w:rsidR="00C10A50">
        <w:rPr>
          <w:lang w:eastAsia="en-AU"/>
        </w:rPr>
        <w:t>UI Process Descriptions</w:t>
      </w:r>
      <w:bookmarkEnd w:id="291"/>
    </w:p>
    <w:p w14:paraId="627DEB0C" w14:textId="16447C80" w:rsidR="00967D19" w:rsidRDefault="0038474B" w:rsidP="0038474B">
      <w:bookmarkStart w:id="292" w:name="_A6.1_Benefits"/>
      <w:bookmarkEnd w:id="292"/>
      <w:r>
        <w:t xml:space="preserve">This Attachment contains high-level </w:t>
      </w:r>
      <w:r w:rsidR="00967D19">
        <w:t xml:space="preserve">UI </w:t>
      </w:r>
      <w:r>
        <w:t>process descriptions</w:t>
      </w:r>
      <w:r w:rsidR="00967D19">
        <w:t xml:space="preserve">. </w:t>
      </w:r>
      <w:r>
        <w:t xml:space="preserve">Awarded Vendor must </w:t>
      </w:r>
      <w:r w:rsidR="00967D19">
        <w:t xml:space="preserve">configure their solution or develop new software to perform all UI processes for Texas to meet </w:t>
      </w:r>
      <w:r w:rsidR="00533482">
        <w:t>DOL</w:t>
      </w:r>
      <w:r w:rsidR="004D23AD">
        <w:t>, Federal Unemployment Tax Act (FUTA),</w:t>
      </w:r>
      <w:r w:rsidR="00533482">
        <w:t xml:space="preserve"> </w:t>
      </w:r>
      <w:r w:rsidR="004D23AD">
        <w:t xml:space="preserve">SSA, </w:t>
      </w:r>
      <w:r w:rsidR="00967D19">
        <w:t xml:space="preserve">and TUCA requirements. Awarded Vendor must </w:t>
      </w:r>
      <w:r w:rsidR="00F6178F">
        <w:t>configure or d</w:t>
      </w:r>
      <w:r w:rsidR="00967D19">
        <w:t xml:space="preserve">evelop all </w:t>
      </w:r>
      <w:r w:rsidR="00F6178F">
        <w:t xml:space="preserve">UI </w:t>
      </w:r>
      <w:r w:rsidR="00967D19">
        <w:t xml:space="preserve">processes including those not listed in this Attachment, </w:t>
      </w:r>
      <w:r w:rsidR="00F6178F">
        <w:t>either</w:t>
      </w:r>
      <w:r w:rsidR="00967D19">
        <w:t xml:space="preserve"> implemented after this RFO is posted or accidentally omitted.</w:t>
      </w:r>
      <w:r w:rsidR="00B966EF">
        <w:t xml:space="preserve"> TWC has made every effort to be inclusive but there is always the possibility of oversight.</w:t>
      </w:r>
    </w:p>
    <w:p w14:paraId="55473B2A" w14:textId="229A7517" w:rsidR="0038474B" w:rsidRDefault="00967D19" w:rsidP="0038474B">
      <w:r>
        <w:t>Offerors are strongly encouraged to recommend process improvements from other implementations so that Texas can achieve best in class operational efficiency</w:t>
      </w:r>
      <w:r w:rsidR="00F6178F">
        <w:t xml:space="preserve"> and quality</w:t>
      </w:r>
      <w:r>
        <w:t xml:space="preserve">. </w:t>
      </w:r>
    </w:p>
    <w:p w14:paraId="19421F98" w14:textId="7EAD313F" w:rsidR="001A16E4" w:rsidRDefault="001A16E4" w:rsidP="001A16E4">
      <w:pPr>
        <w:pStyle w:val="Heading3"/>
      </w:pPr>
      <w:bookmarkStart w:id="293" w:name="_A6.1_Benefits_1"/>
      <w:bookmarkStart w:id="294" w:name="_Toc13567492"/>
      <w:bookmarkEnd w:id="293"/>
      <w:r>
        <w:t>A6.1</w:t>
      </w:r>
      <w:r>
        <w:tab/>
        <w:t>Benefits</w:t>
      </w:r>
      <w:bookmarkEnd w:id="294"/>
    </w:p>
    <w:p w14:paraId="18C2D5AD" w14:textId="7BE5FE6F" w:rsidR="001A16E4" w:rsidRDefault="00655850" w:rsidP="00716001">
      <w:pPr>
        <w:pStyle w:val="Heading4"/>
      </w:pPr>
      <w:bookmarkStart w:id="295" w:name="_Hlk534636416"/>
      <w:r>
        <w:tab/>
        <w:t>Submit</w:t>
      </w:r>
      <w:r w:rsidR="00E944F4">
        <w:t xml:space="preserve"> and Process</w:t>
      </w:r>
      <w:r>
        <w:t xml:space="preserve"> Shared Work </w:t>
      </w:r>
      <w:r w:rsidR="00E944F4">
        <w:t>and Mass Claims</w:t>
      </w:r>
    </w:p>
    <w:p w14:paraId="7BFF465A" w14:textId="6CD3B525" w:rsidR="00655850" w:rsidRPr="00DF6567" w:rsidRDefault="00655850" w:rsidP="00655850">
      <w:r>
        <w:t xml:space="preserve">This process includes all activities required to submit </w:t>
      </w:r>
      <w:r w:rsidR="00E944F4">
        <w:t xml:space="preserve">and process </w:t>
      </w:r>
      <w:r>
        <w:t xml:space="preserve">shared work </w:t>
      </w:r>
      <w:r w:rsidR="00E944F4">
        <w:t xml:space="preserve">and mass </w:t>
      </w:r>
      <w:r>
        <w:t>claims.</w:t>
      </w:r>
    </w:p>
    <w:p w14:paraId="0B3AF34B" w14:textId="77777777" w:rsidR="00655850" w:rsidRPr="00C45DE5" w:rsidRDefault="00655850" w:rsidP="00655850">
      <w:pPr>
        <w:rPr>
          <w:u w:val="single"/>
        </w:rPr>
      </w:pPr>
      <w:r w:rsidRPr="00C45DE5">
        <w:rPr>
          <w:u w:val="single"/>
        </w:rPr>
        <w:t>Actors</w:t>
      </w:r>
    </w:p>
    <w:p w14:paraId="6F943CD0" w14:textId="77777777" w:rsidR="00655850" w:rsidRPr="00C45DE5" w:rsidRDefault="00655850" w:rsidP="00E16D2D">
      <w:pPr>
        <w:pStyle w:val="LB1"/>
      </w:pPr>
      <w:r w:rsidRPr="00C45DE5">
        <w:t>Claimants</w:t>
      </w:r>
    </w:p>
    <w:p w14:paraId="24EDFD16" w14:textId="2ACECC24" w:rsidR="00655850" w:rsidRPr="00C45DE5" w:rsidRDefault="00655850" w:rsidP="00E16D2D">
      <w:pPr>
        <w:pStyle w:val="LB1"/>
      </w:pPr>
      <w:r w:rsidRPr="00C45DE5">
        <w:t>Employers</w:t>
      </w:r>
      <w:r w:rsidR="00E02516">
        <w:t xml:space="preserve"> (including </w:t>
      </w:r>
      <w:r w:rsidR="0058379D">
        <w:t>Representatives</w:t>
      </w:r>
      <w:r w:rsidR="00E02516">
        <w:t xml:space="preserve"> and TPAs)</w:t>
      </w:r>
    </w:p>
    <w:p w14:paraId="591302D7" w14:textId="77777777" w:rsidR="00655850" w:rsidRPr="00C45DE5" w:rsidRDefault="00655850" w:rsidP="00116640">
      <w:pPr>
        <w:pStyle w:val="LB1"/>
      </w:pPr>
      <w:r w:rsidRPr="00C45DE5">
        <w:t>Staff</w:t>
      </w:r>
    </w:p>
    <w:p w14:paraId="4960E7BE" w14:textId="77777777" w:rsidR="00655850" w:rsidRPr="00DF6567" w:rsidRDefault="00655850" w:rsidP="00655850"/>
    <w:p w14:paraId="5E6D7255" w14:textId="151ED675" w:rsidR="00655850" w:rsidRPr="00C45DE5" w:rsidRDefault="00655850" w:rsidP="00C45DE5">
      <w:pPr>
        <w:rPr>
          <w:u w:val="single"/>
        </w:rPr>
      </w:pPr>
      <w:r w:rsidRPr="00C45DE5">
        <w:rPr>
          <w:u w:val="single"/>
        </w:rPr>
        <w:t>Main Activities</w:t>
      </w:r>
      <w:r w:rsidR="00636FC8">
        <w:rPr>
          <w:u w:val="single"/>
        </w:rPr>
        <w:t xml:space="preserve"> – Shared Work</w:t>
      </w:r>
    </w:p>
    <w:p w14:paraId="27C80C2F" w14:textId="18DF37D1" w:rsidR="00655850" w:rsidRDefault="00655850" w:rsidP="00E16D2D">
      <w:pPr>
        <w:pStyle w:val="LB1"/>
      </w:pPr>
      <w:r w:rsidRPr="00655850">
        <w:t>System must allow Employers to submit a</w:t>
      </w:r>
      <w:r w:rsidR="00D0109A">
        <w:t>n online</w:t>
      </w:r>
      <w:r w:rsidRPr="00655850">
        <w:t xml:space="preserve"> application(s) to</w:t>
      </w:r>
      <w:r>
        <w:t xml:space="preserve"> participate in the shared work program</w:t>
      </w:r>
    </w:p>
    <w:p w14:paraId="408830BB" w14:textId="15EEB723" w:rsidR="00655850" w:rsidRDefault="00655850" w:rsidP="00E16D2D">
      <w:pPr>
        <w:pStyle w:val="OB1"/>
      </w:pPr>
      <w:r>
        <w:t>Electronically</w:t>
      </w:r>
      <w:r w:rsidR="001C79FC">
        <w:t xml:space="preserve"> upload</w:t>
      </w:r>
      <w:r>
        <w:t xml:space="preserve"> (Portal, email</w:t>
      </w:r>
      <w:r w:rsidR="000D64A5">
        <w:t>, XLS or CSV</w:t>
      </w:r>
      <w:r>
        <w:t>)</w:t>
      </w:r>
    </w:p>
    <w:p w14:paraId="2FD45CE2" w14:textId="77777777" w:rsidR="00E36B4D" w:rsidRDefault="00E36B4D" w:rsidP="00116640">
      <w:pPr>
        <w:pStyle w:val="OB1"/>
      </w:pPr>
      <w:r>
        <w:t>Can adapt to future approved standards</w:t>
      </w:r>
    </w:p>
    <w:p w14:paraId="43C23E9D" w14:textId="77777777" w:rsidR="00655850" w:rsidRDefault="00655850" w:rsidP="00F82166">
      <w:pPr>
        <w:pStyle w:val="OB1"/>
      </w:pPr>
      <w:r>
        <w:t>Paper (US Mail, fax)</w:t>
      </w:r>
    </w:p>
    <w:p w14:paraId="0DE8EE38" w14:textId="77777777" w:rsidR="00655850" w:rsidRDefault="00655850" w:rsidP="00C45DE5">
      <w:pPr>
        <w:pStyle w:val="SB1"/>
      </w:pPr>
      <w:r>
        <w:t>System must allow Staff to enter details</w:t>
      </w:r>
    </w:p>
    <w:p w14:paraId="3C07A460" w14:textId="77777777" w:rsidR="00655850" w:rsidRDefault="00655850" w:rsidP="00E16D2D">
      <w:pPr>
        <w:pStyle w:val="LB1"/>
      </w:pPr>
      <w:r>
        <w:t xml:space="preserve">System must allow Employers to have multiple active Shared Work plans </w:t>
      </w:r>
    </w:p>
    <w:p w14:paraId="0C39BC0A" w14:textId="77777777" w:rsidR="00655850" w:rsidRDefault="00655850" w:rsidP="00E16D2D">
      <w:pPr>
        <w:pStyle w:val="LB1"/>
      </w:pPr>
      <w:r>
        <w:t>System must allow Staff to review and approve/deny the plan based on business rules</w:t>
      </w:r>
    </w:p>
    <w:p w14:paraId="1DEF71D9" w14:textId="792D998C" w:rsidR="00655850" w:rsidRDefault="00655850" w:rsidP="00116640">
      <w:pPr>
        <w:pStyle w:val="LB1"/>
      </w:pPr>
      <w:r>
        <w:t xml:space="preserve">Once </w:t>
      </w:r>
      <w:r w:rsidR="00322F8F">
        <w:t xml:space="preserve">plan </w:t>
      </w:r>
      <w:r>
        <w:t>approved, System must send Employers a link to UI portal for Claimants to complete a UI application (including demographics) for the Shared Work Program</w:t>
      </w:r>
    </w:p>
    <w:p w14:paraId="05EF5DBD" w14:textId="77777777" w:rsidR="00655850" w:rsidRPr="00066210" w:rsidRDefault="00655850" w:rsidP="00F82166">
      <w:pPr>
        <w:pStyle w:val="OB1"/>
      </w:pPr>
      <w:r w:rsidRPr="00066210">
        <w:t>System must prepopulate fields where applicable such as</w:t>
      </w:r>
    </w:p>
    <w:p w14:paraId="4AEBCF36" w14:textId="77777777" w:rsidR="00655850" w:rsidRDefault="00655850" w:rsidP="00066210">
      <w:pPr>
        <w:pStyle w:val="SB1"/>
      </w:pPr>
      <w:r>
        <w:t>Last employer</w:t>
      </w:r>
    </w:p>
    <w:p w14:paraId="53792342" w14:textId="77777777" w:rsidR="00655850" w:rsidRDefault="00655850" w:rsidP="00066210">
      <w:pPr>
        <w:pStyle w:val="SB1"/>
      </w:pPr>
      <w:r>
        <w:t>Dates of employment</w:t>
      </w:r>
    </w:p>
    <w:p w14:paraId="694A703E" w14:textId="77777777" w:rsidR="00655850" w:rsidRDefault="00655850" w:rsidP="00E16D2D">
      <w:pPr>
        <w:pStyle w:val="LB1"/>
      </w:pPr>
      <w:r>
        <w:t>System must send all appropriate correspondence to Claimant such as</w:t>
      </w:r>
    </w:p>
    <w:p w14:paraId="67C0EF7C" w14:textId="77777777" w:rsidR="00655850" w:rsidRPr="001D4B41" w:rsidRDefault="00655850" w:rsidP="00E16D2D">
      <w:pPr>
        <w:pStyle w:val="OB1"/>
      </w:pPr>
      <w:r w:rsidRPr="001D4B41">
        <w:lastRenderedPageBreak/>
        <w:t>Statement of benefits</w:t>
      </w:r>
    </w:p>
    <w:p w14:paraId="6FB056A3" w14:textId="77777777" w:rsidR="00655850" w:rsidRDefault="00655850" w:rsidP="00E16D2D">
      <w:pPr>
        <w:pStyle w:val="LB1"/>
      </w:pPr>
      <w:r>
        <w:t>System must send all appropriate correspondence to Employers such as</w:t>
      </w:r>
    </w:p>
    <w:p w14:paraId="5AF8AF50" w14:textId="77777777" w:rsidR="00655850" w:rsidRPr="001D4B41" w:rsidRDefault="00655850" w:rsidP="00116640">
      <w:pPr>
        <w:pStyle w:val="OB1"/>
      </w:pPr>
      <w:r w:rsidRPr="001D4B41">
        <w:t>Wage Verification Notice</w:t>
      </w:r>
    </w:p>
    <w:p w14:paraId="116A72E5" w14:textId="77777777" w:rsidR="00655850" w:rsidRPr="001D4B41" w:rsidRDefault="00655850" w:rsidP="00F82166">
      <w:pPr>
        <w:pStyle w:val="OB1"/>
      </w:pPr>
      <w:r w:rsidRPr="001D4B41">
        <w:t>Approval determination</w:t>
      </w:r>
    </w:p>
    <w:p w14:paraId="3BC68512" w14:textId="63E0DB4F" w:rsidR="00655850" w:rsidRDefault="00655850" w:rsidP="00F82166">
      <w:pPr>
        <w:pStyle w:val="LB1"/>
      </w:pPr>
      <w:r>
        <w:t xml:space="preserve">System must allow Claimants, Employers, and Staff to upload documents </w:t>
      </w:r>
    </w:p>
    <w:p w14:paraId="444A58CA" w14:textId="0EB8E03C" w:rsidR="00322F8F" w:rsidRDefault="00322F8F">
      <w:pPr>
        <w:pStyle w:val="LB1"/>
      </w:pPr>
      <w:r>
        <w:t>System must validate upload/receipt of union acknowledgement form</w:t>
      </w:r>
    </w:p>
    <w:p w14:paraId="49EBE120" w14:textId="77777777" w:rsidR="00655850" w:rsidRDefault="00655850">
      <w:pPr>
        <w:pStyle w:val="LB1"/>
      </w:pPr>
      <w:r w:rsidRPr="00D049B4">
        <w:t xml:space="preserve">System must create non-monetary issues based upon answers in the </w:t>
      </w:r>
      <w:r>
        <w:t xml:space="preserve">Shared Work </w:t>
      </w:r>
      <w:r w:rsidRPr="00D049B4">
        <w:t>initial, additional, and continued claim filing process</w:t>
      </w:r>
    </w:p>
    <w:p w14:paraId="79285D71" w14:textId="77777777" w:rsidR="00655850" w:rsidRDefault="00655850">
      <w:pPr>
        <w:pStyle w:val="LB1"/>
      </w:pPr>
      <w:r>
        <w:t>System must allow Employers to file weekly or bi-weekly claims certifications (indicating reduced hours)</w:t>
      </w:r>
    </w:p>
    <w:p w14:paraId="1C95A992" w14:textId="77777777" w:rsidR="00655850" w:rsidRDefault="00655850">
      <w:pPr>
        <w:pStyle w:val="LB1"/>
      </w:pPr>
      <w:r>
        <w:t xml:space="preserve">System must make appropriate payment for each Claimant based on a prorated percentage of their UI weekly benefit amount according to business rules </w:t>
      </w:r>
    </w:p>
    <w:p w14:paraId="349700B5" w14:textId="77777777" w:rsidR="00655850" w:rsidRDefault="00655850">
      <w:pPr>
        <w:pStyle w:val="LB1"/>
      </w:pPr>
      <w:r>
        <w:t>System must allow for breaks in filing of claim certifications by Employer</w:t>
      </w:r>
    </w:p>
    <w:p w14:paraId="20030236" w14:textId="23AFA948" w:rsidR="00655850" w:rsidRDefault="00655850">
      <w:pPr>
        <w:pStyle w:val="LB1"/>
      </w:pPr>
      <w:r>
        <w:t>System must allow Claimants to switch to any other claim program from a Shared Work Claim</w:t>
      </w:r>
      <w:r w:rsidR="00DA4BCA">
        <w:t xml:space="preserve"> based on business rules</w:t>
      </w:r>
    </w:p>
    <w:p w14:paraId="2E789F05" w14:textId="77777777" w:rsidR="00655850" w:rsidRDefault="00655850">
      <w:pPr>
        <w:pStyle w:val="LB1"/>
      </w:pPr>
      <w:r>
        <w:t xml:space="preserve">System must allow the Employer to submit plan modifications to an approved plan including adding to the participant list </w:t>
      </w:r>
    </w:p>
    <w:p w14:paraId="64794EA4" w14:textId="77777777" w:rsidR="00655850" w:rsidRDefault="00655850">
      <w:pPr>
        <w:pStyle w:val="LB1"/>
      </w:pPr>
      <w:r>
        <w:t>System must automatically terminate the plan when the plan end date is reached based on business rules</w:t>
      </w:r>
    </w:p>
    <w:p w14:paraId="1CCAE2E4" w14:textId="77777777" w:rsidR="00655850" w:rsidRDefault="00655850">
      <w:pPr>
        <w:pStyle w:val="LB1"/>
      </w:pPr>
      <w:r>
        <w:t>System must allow Staff to terminate the plan for good cause based on business rules</w:t>
      </w:r>
    </w:p>
    <w:p w14:paraId="2E6EFB3A" w14:textId="77777777" w:rsidR="00655850" w:rsidRDefault="00655850">
      <w:pPr>
        <w:pStyle w:val="LB1"/>
      </w:pPr>
      <w:r>
        <w:t>System must allow the Employer to withdraw their Shared Work Plan</w:t>
      </w:r>
    </w:p>
    <w:p w14:paraId="72A8B4F6" w14:textId="77777777" w:rsidR="00655850" w:rsidRDefault="00655850">
      <w:pPr>
        <w:pStyle w:val="LB1"/>
      </w:pPr>
      <w:r>
        <w:t>System must charge base period Employers for any benefits paid during the claim year</w:t>
      </w:r>
    </w:p>
    <w:p w14:paraId="4D3339DA" w14:textId="77777777" w:rsidR="00655850" w:rsidRDefault="00655850">
      <w:pPr>
        <w:pStyle w:val="LB1"/>
      </w:pPr>
      <w:r>
        <w:t>System must allow Claimants to withdraw from the Shared Work Plan</w:t>
      </w:r>
    </w:p>
    <w:p w14:paraId="413F3D08" w14:textId="4B0F7C30" w:rsidR="00655850" w:rsidRDefault="00655850">
      <w:pPr>
        <w:pStyle w:val="LB1"/>
      </w:pPr>
      <w:r>
        <w:t>System is not required to withhold child support obligations from Shared Work payments</w:t>
      </w:r>
    </w:p>
    <w:p w14:paraId="1528F7F0" w14:textId="5605534E" w:rsidR="0058379D" w:rsidRDefault="0058379D">
      <w:pPr>
        <w:pStyle w:val="LB1"/>
      </w:pPr>
      <w:r>
        <w:t xml:space="preserve">System must allow Employers to submit plan modifications to a pending plan up to the day before the estimated begin date for work reduction </w:t>
      </w:r>
    </w:p>
    <w:p w14:paraId="5FBC74A6" w14:textId="095CF5FD" w:rsidR="0058379D" w:rsidRDefault="0058379D">
      <w:pPr>
        <w:pStyle w:val="LB1"/>
      </w:pPr>
      <w:r>
        <w:t>System must allow Employers to submit a shared work plan application, the union form (if union affected) and the names and SSN of participants for plan approval.</w:t>
      </w:r>
      <w:r w:rsidR="00EE5622">
        <w:t xml:space="preserve"> </w:t>
      </w:r>
      <w:r>
        <w:t xml:space="preserve"> </w:t>
      </w:r>
    </w:p>
    <w:p w14:paraId="5BD3E290" w14:textId="13F09E0B" w:rsidR="0058379D" w:rsidRDefault="0058379D">
      <w:pPr>
        <w:pStyle w:val="LB1"/>
      </w:pPr>
      <w:r>
        <w:t xml:space="preserve">System must allow the following plan status; approved, denied, expired, incomplete, pending and </w:t>
      </w:r>
      <w:r w:rsidR="009E7120">
        <w:t>terminated</w:t>
      </w:r>
      <w:r>
        <w:t xml:space="preserve"> </w:t>
      </w:r>
    </w:p>
    <w:p w14:paraId="6AA79B7B" w14:textId="7D05CE3C" w:rsidR="0058379D" w:rsidRDefault="0058379D">
      <w:pPr>
        <w:pStyle w:val="LB1"/>
      </w:pPr>
      <w:r>
        <w:t xml:space="preserve">System must allow the employer to search for a plan in any status </w:t>
      </w:r>
    </w:p>
    <w:p w14:paraId="3B04B079" w14:textId="77777777" w:rsidR="0058379D" w:rsidRDefault="0058379D">
      <w:pPr>
        <w:pStyle w:val="LB1"/>
      </w:pPr>
      <w:r>
        <w:t xml:space="preserve">System must allow the employer to print and/or save the plan </w:t>
      </w:r>
    </w:p>
    <w:p w14:paraId="2C1C08D1" w14:textId="2BA0C5AC" w:rsidR="0058379D" w:rsidRDefault="009E7120">
      <w:pPr>
        <w:pStyle w:val="LB1"/>
      </w:pPr>
      <w:r>
        <w:t>System must allow representatives/TPAs to manage shared work claims for the employer</w:t>
      </w:r>
    </w:p>
    <w:p w14:paraId="321537C5" w14:textId="77777777" w:rsidR="00655850" w:rsidRDefault="00655850" w:rsidP="00655850"/>
    <w:p w14:paraId="11D50E4C" w14:textId="1F60AFB9" w:rsidR="00655850" w:rsidRPr="00E944F4" w:rsidRDefault="00E944F4" w:rsidP="00E944F4">
      <w:pPr>
        <w:rPr>
          <w:u w:val="single"/>
        </w:rPr>
      </w:pPr>
      <w:r>
        <w:rPr>
          <w:u w:val="single"/>
        </w:rPr>
        <w:t>Main Activities</w:t>
      </w:r>
      <w:r w:rsidR="00636FC8">
        <w:rPr>
          <w:u w:val="single"/>
        </w:rPr>
        <w:t xml:space="preserve"> – Mass Claims</w:t>
      </w:r>
    </w:p>
    <w:p w14:paraId="35922C90" w14:textId="44C44C6A" w:rsidR="00655850" w:rsidRDefault="00655850" w:rsidP="00E16D2D">
      <w:pPr>
        <w:pStyle w:val="LB1"/>
      </w:pPr>
      <w:r>
        <w:lastRenderedPageBreak/>
        <w:t xml:space="preserve">System must allow Employers to submit a mass layoff </w:t>
      </w:r>
      <w:r w:rsidR="009E7120">
        <w:t>request</w:t>
      </w:r>
      <w:r>
        <w:t xml:space="preserve">, agreement letter, and questionnaire </w:t>
      </w:r>
      <w:r w:rsidR="0058379D">
        <w:t xml:space="preserve">and list of employees </w:t>
      </w:r>
      <w:r>
        <w:t>to participate in the Mass Claim program</w:t>
      </w:r>
    </w:p>
    <w:p w14:paraId="43C45792" w14:textId="77777777" w:rsidR="00655850" w:rsidRDefault="00655850" w:rsidP="00E16D2D">
      <w:pPr>
        <w:pStyle w:val="OB1"/>
      </w:pPr>
      <w:r>
        <w:t>Electronically (Portal, email)</w:t>
      </w:r>
    </w:p>
    <w:p w14:paraId="5E604BE9" w14:textId="2BDB9201" w:rsidR="00655850" w:rsidRDefault="00655850" w:rsidP="00116640">
      <w:pPr>
        <w:pStyle w:val="LB1"/>
      </w:pPr>
      <w:r>
        <w:t xml:space="preserve">System must allow Employers to have multiple Mass Claim </w:t>
      </w:r>
      <w:r w:rsidR="009E7120">
        <w:t xml:space="preserve">requests </w:t>
      </w:r>
      <w:r>
        <w:t>in progress</w:t>
      </w:r>
    </w:p>
    <w:p w14:paraId="52B7DC08" w14:textId="57EC89A8" w:rsidR="009E7120" w:rsidRDefault="009E7120" w:rsidP="00F82166">
      <w:pPr>
        <w:pStyle w:val="LB1"/>
      </w:pPr>
      <w:r>
        <w:t xml:space="preserve">System must allow </w:t>
      </w:r>
      <w:r w:rsidR="002A0B8B">
        <w:t>E</w:t>
      </w:r>
      <w:r>
        <w:t>mployer</w:t>
      </w:r>
      <w:r w:rsidR="002A0B8B">
        <w:t>s</w:t>
      </w:r>
      <w:r>
        <w:t xml:space="preserve"> to provide employee demographics, mailing address, and details needed to establish a claim</w:t>
      </w:r>
    </w:p>
    <w:p w14:paraId="2F4D1B9D" w14:textId="70F48F1C" w:rsidR="00655850" w:rsidRDefault="00655850" w:rsidP="00F82166">
      <w:pPr>
        <w:pStyle w:val="LB1"/>
      </w:pPr>
      <w:r>
        <w:t xml:space="preserve">System must allow </w:t>
      </w:r>
      <w:r w:rsidR="009521D7">
        <w:t>Employer</w:t>
      </w:r>
      <w:r w:rsidR="002A0B8B">
        <w:t>s</w:t>
      </w:r>
      <w:r w:rsidR="009521D7">
        <w:t xml:space="preserve"> </w:t>
      </w:r>
      <w:r>
        <w:t>to give fact finding information such as when they report additional pay on the questionnaire</w:t>
      </w:r>
    </w:p>
    <w:p w14:paraId="3C291414" w14:textId="5A5CF393" w:rsidR="00655850" w:rsidRDefault="00655850">
      <w:pPr>
        <w:pStyle w:val="LB1"/>
      </w:pPr>
      <w:r>
        <w:t xml:space="preserve">System must allow Staff to review and validate Mass Claim </w:t>
      </w:r>
      <w:r w:rsidR="009E7120">
        <w:t xml:space="preserve">requests </w:t>
      </w:r>
      <w:r>
        <w:t>based on business rules</w:t>
      </w:r>
    </w:p>
    <w:p w14:paraId="0EF40608" w14:textId="77777777" w:rsidR="00655850" w:rsidRDefault="00655850">
      <w:pPr>
        <w:pStyle w:val="LB1"/>
      </w:pPr>
      <w:r>
        <w:t>System must process claims for all Claimants included in the application, create and rule (when applicable) on appropriate cases, and send all appropriate correspondence to Claimant based on business rules such as</w:t>
      </w:r>
    </w:p>
    <w:p w14:paraId="42980E50" w14:textId="77777777" w:rsidR="00655850" w:rsidRDefault="00655850">
      <w:pPr>
        <w:pStyle w:val="OB1"/>
      </w:pPr>
      <w:r>
        <w:t>Handbook</w:t>
      </w:r>
    </w:p>
    <w:p w14:paraId="5E69EFBF" w14:textId="77777777" w:rsidR="00655850" w:rsidRDefault="00655850">
      <w:pPr>
        <w:pStyle w:val="OB1"/>
      </w:pPr>
      <w:r>
        <w:t>Filing instructions</w:t>
      </w:r>
    </w:p>
    <w:p w14:paraId="211F66AD" w14:textId="77777777" w:rsidR="00655850" w:rsidRDefault="00655850">
      <w:pPr>
        <w:pStyle w:val="OB1"/>
      </w:pPr>
      <w:r>
        <w:t>Etc.</w:t>
      </w:r>
    </w:p>
    <w:p w14:paraId="4CB2D117" w14:textId="48177376" w:rsidR="00655850" w:rsidRDefault="00655850">
      <w:pPr>
        <w:pStyle w:val="LB1"/>
      </w:pPr>
      <w:r>
        <w:t xml:space="preserve">System must keep claim in pending status until </w:t>
      </w:r>
      <w:r w:rsidR="00881D11">
        <w:t xml:space="preserve">Claimant </w:t>
      </w:r>
      <w:r>
        <w:t>chooses to participate</w:t>
      </w:r>
    </w:p>
    <w:p w14:paraId="030C3BD2" w14:textId="77777777" w:rsidR="00655850" w:rsidRDefault="00655850">
      <w:pPr>
        <w:pStyle w:val="LB1"/>
      </w:pPr>
      <w:r>
        <w:t>If the Claimant requests payment, System must complete claim and send additional appropriate correspondence to Claimant based on business rules such as</w:t>
      </w:r>
    </w:p>
    <w:p w14:paraId="075FA050" w14:textId="77777777" w:rsidR="00655850" w:rsidRDefault="00655850">
      <w:pPr>
        <w:pStyle w:val="OB1"/>
      </w:pPr>
      <w:r>
        <w:t>Statement of benefits</w:t>
      </w:r>
    </w:p>
    <w:p w14:paraId="7A95D94E" w14:textId="77777777" w:rsidR="00655850" w:rsidRDefault="00655850">
      <w:pPr>
        <w:pStyle w:val="OB1"/>
      </w:pPr>
      <w:r>
        <w:t>Etc.</w:t>
      </w:r>
    </w:p>
    <w:p w14:paraId="61BE77AA" w14:textId="77777777" w:rsidR="00655850" w:rsidRDefault="00655850">
      <w:pPr>
        <w:pStyle w:val="LB1"/>
      </w:pPr>
      <w:r>
        <w:t>System must send all appropriate correspondence to Employers such as</w:t>
      </w:r>
    </w:p>
    <w:p w14:paraId="6301ACDE" w14:textId="77777777" w:rsidR="00655850" w:rsidRDefault="00655850">
      <w:pPr>
        <w:pStyle w:val="OB1"/>
      </w:pPr>
      <w:r>
        <w:t>Wage Verification Notice</w:t>
      </w:r>
    </w:p>
    <w:p w14:paraId="5251A101" w14:textId="77777777" w:rsidR="00655850" w:rsidRDefault="00655850">
      <w:pPr>
        <w:pStyle w:val="LB1"/>
      </w:pPr>
      <w:r>
        <w:t>System must allow Claimants to switch to any other claim program from a Mass Claim</w:t>
      </w:r>
    </w:p>
    <w:p w14:paraId="209A93D5" w14:textId="77777777" w:rsidR="00655850" w:rsidRDefault="00655850">
      <w:pPr>
        <w:pStyle w:val="LB1"/>
      </w:pPr>
      <w:r>
        <w:t xml:space="preserve">System must allow the Employer to submit Mass Claim modifications up to the day before the layoff date </w:t>
      </w:r>
    </w:p>
    <w:p w14:paraId="65261E81" w14:textId="7AC198F9" w:rsidR="00655850" w:rsidRDefault="00655850">
      <w:pPr>
        <w:pStyle w:val="LB1"/>
      </w:pPr>
      <w:r>
        <w:t>System must all</w:t>
      </w:r>
      <w:r w:rsidR="009521D7">
        <w:t>ow the Employer or appropriate S</w:t>
      </w:r>
      <w:r>
        <w:t xml:space="preserve">taff to cancel the Mass Claim </w:t>
      </w:r>
      <w:r w:rsidR="009E7120">
        <w:t xml:space="preserve">request </w:t>
      </w:r>
      <w:r>
        <w:t>up to the day before the layoff date</w:t>
      </w:r>
      <w:r w:rsidDel="00FC15AE">
        <w:t xml:space="preserve"> </w:t>
      </w:r>
    </w:p>
    <w:p w14:paraId="026D29B0" w14:textId="7D438ECB" w:rsidR="00655850" w:rsidRDefault="00655850">
      <w:pPr>
        <w:pStyle w:val="LB1"/>
      </w:pPr>
      <w:r>
        <w:t>System must void pending claim</w:t>
      </w:r>
      <w:r w:rsidR="009E7120">
        <w:t>(s)</w:t>
      </w:r>
      <w:r>
        <w:t xml:space="preserve"> </w:t>
      </w:r>
      <w:r w:rsidR="009E7120">
        <w:t xml:space="preserve">based on </w:t>
      </w:r>
      <w:r>
        <w:t>Business Rules</w:t>
      </w:r>
    </w:p>
    <w:p w14:paraId="30E4EADA" w14:textId="508B4D18" w:rsidR="00655850" w:rsidRDefault="00655850">
      <w:pPr>
        <w:pStyle w:val="LB1"/>
      </w:pPr>
      <w:r>
        <w:t>System must allow Staff to manually perform all activities within Mass Claim</w:t>
      </w:r>
    </w:p>
    <w:p w14:paraId="01078150" w14:textId="77777777" w:rsidR="009E7120" w:rsidRDefault="009E7120">
      <w:pPr>
        <w:pStyle w:val="LB1"/>
      </w:pPr>
      <w:r>
        <w:t>System must allow representatives/TPAs to manage Mass Claims for the employer</w:t>
      </w:r>
    </w:p>
    <w:p w14:paraId="0B1961F8" w14:textId="179129F1" w:rsidR="009E7120" w:rsidRDefault="009E7120">
      <w:pPr>
        <w:pStyle w:val="LB1"/>
      </w:pPr>
      <w:r>
        <w:t>Syste</w:t>
      </w:r>
      <w:r w:rsidR="00591C16">
        <w:t xml:space="preserve">m must </w:t>
      </w:r>
      <w:r w:rsidR="002913EB">
        <w:t>display a</w:t>
      </w:r>
      <w:r w:rsidR="00591C16">
        <w:t xml:space="preserve"> warning </w:t>
      </w:r>
      <w:r w:rsidR="002913EB">
        <w:t xml:space="preserve">message </w:t>
      </w:r>
      <w:r w:rsidR="00591C16">
        <w:t>when S</w:t>
      </w:r>
      <w:r>
        <w:t xml:space="preserve">taff attempts to complete a claim </w:t>
      </w:r>
      <w:r w:rsidR="00CF41A2">
        <w:t xml:space="preserve">that was filed via the mass claims process </w:t>
      </w:r>
      <w:r>
        <w:t>(if in incomplete status)</w:t>
      </w:r>
    </w:p>
    <w:p w14:paraId="2D8B53F1" w14:textId="613AF08F" w:rsidR="00655850" w:rsidRDefault="00655850" w:rsidP="001A16E4"/>
    <w:p w14:paraId="616574D3" w14:textId="338276E8" w:rsidR="00636FC8" w:rsidRPr="001D4B41" w:rsidRDefault="00636FC8" w:rsidP="00636FC8">
      <w:pPr>
        <w:rPr>
          <w:u w:val="single"/>
        </w:rPr>
      </w:pPr>
      <w:r w:rsidRPr="001D4B41">
        <w:rPr>
          <w:u w:val="single"/>
        </w:rPr>
        <w:t>Alternate Activities and Special Cases</w:t>
      </w:r>
      <w:r>
        <w:rPr>
          <w:u w:val="single"/>
        </w:rPr>
        <w:t xml:space="preserve"> – Mass Claims</w:t>
      </w:r>
    </w:p>
    <w:p w14:paraId="03CBCB5B" w14:textId="07E27B6B" w:rsidR="00E16F74" w:rsidRDefault="00E16F74" w:rsidP="00E16F74">
      <w:r>
        <w:t>System must support the following alternate activities and special cases:</w:t>
      </w:r>
    </w:p>
    <w:p w14:paraId="0C3FB54C" w14:textId="225DCE9B" w:rsidR="00636FC8" w:rsidRDefault="0070523A" w:rsidP="00E16D2D">
      <w:pPr>
        <w:pStyle w:val="LB1"/>
      </w:pPr>
      <w:r>
        <w:t>Mass updates to all claims filed under the mass claim</w:t>
      </w:r>
    </w:p>
    <w:bookmarkEnd w:id="295"/>
    <w:p w14:paraId="031AD4A4" w14:textId="77777777" w:rsidR="00636FC8" w:rsidRDefault="00636FC8" w:rsidP="00636FC8"/>
    <w:p w14:paraId="29AB0C3D" w14:textId="7BE0833A" w:rsidR="009835C1" w:rsidRPr="00716001" w:rsidRDefault="009835C1" w:rsidP="00716001">
      <w:pPr>
        <w:pStyle w:val="Heading4"/>
      </w:pPr>
      <w:bookmarkStart w:id="296" w:name="_Manage_Claims_–"/>
      <w:bookmarkEnd w:id="296"/>
      <w:r w:rsidRPr="00716001">
        <w:tab/>
      </w:r>
      <w:r w:rsidR="00A05615" w:rsidRPr="00716001">
        <w:t xml:space="preserve">Manage Claims – Employer </w:t>
      </w:r>
    </w:p>
    <w:p w14:paraId="22014ACB" w14:textId="06663B4B" w:rsidR="009835C1" w:rsidRPr="00DF6567" w:rsidRDefault="009835C1" w:rsidP="009835C1">
      <w:r>
        <w:t xml:space="preserve">This process includes all activities required </w:t>
      </w:r>
      <w:r w:rsidR="00A05615">
        <w:t>for Employers to manage claims</w:t>
      </w:r>
      <w:r>
        <w:t>.</w:t>
      </w:r>
    </w:p>
    <w:p w14:paraId="269F14EE" w14:textId="77777777" w:rsidR="009835C1" w:rsidRPr="00C45DE5" w:rsidRDefault="009835C1" w:rsidP="009835C1">
      <w:pPr>
        <w:rPr>
          <w:u w:val="single"/>
        </w:rPr>
      </w:pPr>
      <w:r w:rsidRPr="00C45DE5">
        <w:rPr>
          <w:u w:val="single"/>
        </w:rPr>
        <w:t>Actors</w:t>
      </w:r>
    </w:p>
    <w:p w14:paraId="0EED491F" w14:textId="77777777" w:rsidR="009E7120" w:rsidRPr="00C45DE5" w:rsidRDefault="009E7120" w:rsidP="00E16D2D">
      <w:pPr>
        <w:pStyle w:val="LB1"/>
      </w:pPr>
      <w:r w:rsidRPr="00C45DE5">
        <w:t>Employers</w:t>
      </w:r>
      <w:r>
        <w:t xml:space="preserve"> (including Representatives and TPAs)</w:t>
      </w:r>
    </w:p>
    <w:p w14:paraId="401ADFB0" w14:textId="77777777" w:rsidR="009E7120" w:rsidRPr="00C45DE5" w:rsidRDefault="009E7120" w:rsidP="00E16D2D">
      <w:pPr>
        <w:pStyle w:val="LB1"/>
      </w:pPr>
      <w:r w:rsidRPr="00C45DE5">
        <w:t>Staff</w:t>
      </w:r>
    </w:p>
    <w:p w14:paraId="0C7F7F48" w14:textId="77777777" w:rsidR="009835C1" w:rsidRPr="00DF6567" w:rsidRDefault="009835C1" w:rsidP="009835C1"/>
    <w:p w14:paraId="1242AF2C" w14:textId="754A0F04" w:rsidR="009835C1" w:rsidRPr="00C45DE5" w:rsidRDefault="00E94BCD" w:rsidP="009835C1">
      <w:pPr>
        <w:rPr>
          <w:u w:val="single"/>
        </w:rPr>
      </w:pPr>
      <w:r>
        <w:rPr>
          <w:u w:val="single"/>
        </w:rPr>
        <w:t>Main Activities</w:t>
      </w:r>
    </w:p>
    <w:p w14:paraId="5AAAC1EA" w14:textId="52E3792B" w:rsidR="00E94BCD" w:rsidRDefault="00E94BCD" w:rsidP="00E16D2D">
      <w:pPr>
        <w:pStyle w:val="LB1"/>
      </w:pPr>
      <w:r>
        <w:t>System must allow Employers to respond to notices</w:t>
      </w:r>
    </w:p>
    <w:p w14:paraId="665E156F" w14:textId="13ACD1EB" w:rsidR="00E94BCD" w:rsidRDefault="00E94BCD" w:rsidP="00E16D2D">
      <w:pPr>
        <w:pStyle w:val="OB1"/>
      </w:pPr>
      <w:r>
        <w:t xml:space="preserve">Notice of UI claims both individual and in mass (e.g., </w:t>
      </w:r>
      <w:r w:rsidR="0052357B">
        <w:rPr>
          <w:rFonts w:cs="Arial"/>
          <w:snapToGrid w:val="0"/>
          <w:color w:val="000000"/>
          <w:szCs w:val="24"/>
        </w:rPr>
        <w:t>Disaster Unemployment Assistance</w:t>
      </w:r>
      <w:r w:rsidR="0052357B">
        <w:t xml:space="preserve"> (</w:t>
      </w:r>
      <w:r>
        <w:t>DUA</w:t>
      </w:r>
      <w:r w:rsidR="0052357B">
        <w:t>)</w:t>
      </w:r>
      <w:r>
        <w:t xml:space="preserve"> claims)</w:t>
      </w:r>
    </w:p>
    <w:p w14:paraId="42692242" w14:textId="77777777" w:rsidR="00E94BCD" w:rsidRDefault="00E94BCD" w:rsidP="00116640">
      <w:pPr>
        <w:pStyle w:val="OB1"/>
      </w:pPr>
      <w:r>
        <w:t xml:space="preserve">Chargeback </w:t>
      </w:r>
    </w:p>
    <w:p w14:paraId="56541D22" w14:textId="77777777" w:rsidR="00E94BCD" w:rsidRDefault="00E94BCD" w:rsidP="00F82166">
      <w:pPr>
        <w:pStyle w:val="OB1"/>
      </w:pPr>
      <w:r>
        <w:t>Earnings verifications (includes quarterly cross match/wage benefit, new hire, interstate wage benefit, etc.)</w:t>
      </w:r>
    </w:p>
    <w:p w14:paraId="73EE956A" w14:textId="77777777" w:rsidR="00E94BCD" w:rsidRDefault="00E94BCD" w:rsidP="00F82166">
      <w:pPr>
        <w:pStyle w:val="OB1"/>
      </w:pPr>
      <w:r>
        <w:t>Request for earnings to close a disqualification</w:t>
      </w:r>
    </w:p>
    <w:p w14:paraId="192DB0C5" w14:textId="7903C70F" w:rsidR="00E94BCD" w:rsidRDefault="00E94BCD">
      <w:pPr>
        <w:pStyle w:val="LB1"/>
      </w:pPr>
      <w:r>
        <w:t xml:space="preserve">System must allow Employers to </w:t>
      </w:r>
      <w:r w:rsidR="00CF41A2">
        <w:t xml:space="preserve">initiate and </w:t>
      </w:r>
      <w:r>
        <w:t>respond to inquiries (e.g., fact finding, secure messages, etc.)</w:t>
      </w:r>
    </w:p>
    <w:p w14:paraId="08E32E5E" w14:textId="77777777" w:rsidR="00E94BCD" w:rsidRDefault="00E94BCD">
      <w:pPr>
        <w:pStyle w:val="LB1"/>
      </w:pPr>
      <w:r>
        <w:t>System must allow Employers to report issues (e.g., fraud tips, job refusals, additional pay, etc.)</w:t>
      </w:r>
    </w:p>
    <w:p w14:paraId="3CE8DF36" w14:textId="77777777" w:rsidR="00E94BCD" w:rsidRDefault="00E94BCD">
      <w:pPr>
        <w:pStyle w:val="LB1"/>
      </w:pPr>
      <w:r>
        <w:t xml:space="preserve">System must allow Employers to view </w:t>
      </w:r>
      <w:r w:rsidRPr="00DA3179">
        <w:t xml:space="preserve">estimates of </w:t>
      </w:r>
      <w:r w:rsidRPr="004963C2">
        <w:t>charges</w:t>
      </w:r>
      <w:r>
        <w:t xml:space="preserve"> and/or reimbursements</w:t>
      </w:r>
    </w:p>
    <w:p w14:paraId="4CC7F8F4" w14:textId="77777777" w:rsidR="00E94BCD" w:rsidRDefault="00E94BCD">
      <w:pPr>
        <w:pStyle w:val="LB1"/>
      </w:pPr>
      <w:r>
        <w:t>System must allow Employers to request information including but not limited to:</w:t>
      </w:r>
    </w:p>
    <w:p w14:paraId="2EA6766B" w14:textId="77777777" w:rsidR="00E94BCD" w:rsidRDefault="00E94BCD">
      <w:pPr>
        <w:pStyle w:val="OB1"/>
      </w:pPr>
      <w:r>
        <w:t>Chargeback summary</w:t>
      </w:r>
    </w:p>
    <w:p w14:paraId="4319AF2D" w14:textId="77777777" w:rsidR="00E94BCD" w:rsidRDefault="00E94BCD">
      <w:pPr>
        <w:pStyle w:val="OB1"/>
      </w:pPr>
      <w:r>
        <w:t>Copies</w:t>
      </w:r>
    </w:p>
    <w:p w14:paraId="4B62360D" w14:textId="77777777" w:rsidR="00E94BCD" w:rsidRDefault="00E94BCD">
      <w:pPr>
        <w:pStyle w:val="OB1"/>
      </w:pPr>
      <w:r>
        <w:t>Check claims status</w:t>
      </w:r>
    </w:p>
    <w:p w14:paraId="70852244" w14:textId="0F665B76" w:rsidR="00B6513F" w:rsidRDefault="00B6513F">
      <w:pPr>
        <w:pStyle w:val="LB1"/>
      </w:pPr>
      <w:bookmarkStart w:id="297" w:name="_Hlk531165221"/>
      <w:r>
        <w:t>System must allow Staff, Employer and Authorized TPA’s to view, update, or delete chargeback address, designated claims address, physical address, or other addresses</w:t>
      </w:r>
    </w:p>
    <w:bookmarkEnd w:id="297"/>
    <w:p w14:paraId="11C06F5C" w14:textId="442592FF" w:rsidR="00E94BCD" w:rsidRDefault="00E94BCD">
      <w:pPr>
        <w:pStyle w:val="LB1"/>
      </w:pPr>
      <w:r>
        <w:t>System must record changes real time, where possible</w:t>
      </w:r>
    </w:p>
    <w:p w14:paraId="1E7CDFB6" w14:textId="77777777" w:rsidR="00E94BCD" w:rsidRDefault="00E94BCD">
      <w:pPr>
        <w:pStyle w:val="LB1"/>
      </w:pPr>
      <w:r>
        <w:t>System must take appropriate action based on business rules and information received, including but not limited to:</w:t>
      </w:r>
    </w:p>
    <w:p w14:paraId="3F8A9090" w14:textId="77777777" w:rsidR="000420F9" w:rsidRDefault="000420F9">
      <w:pPr>
        <w:pStyle w:val="OB1"/>
      </w:pPr>
      <w:r>
        <w:t>Create an issue and assignment</w:t>
      </w:r>
    </w:p>
    <w:p w14:paraId="4B8115E0" w14:textId="41D8AAF8" w:rsidR="00E94BCD" w:rsidRDefault="000420F9">
      <w:pPr>
        <w:pStyle w:val="OB1"/>
      </w:pPr>
      <w:r>
        <w:t>File an appeal</w:t>
      </w:r>
    </w:p>
    <w:p w14:paraId="32311655" w14:textId="77777777" w:rsidR="00E94BCD" w:rsidRDefault="00E94BCD">
      <w:pPr>
        <w:pStyle w:val="OB1"/>
      </w:pPr>
      <w:r>
        <w:t>Create a wage investigation</w:t>
      </w:r>
    </w:p>
    <w:p w14:paraId="20327A32" w14:textId="77777777" w:rsidR="00E94BCD" w:rsidRDefault="00E94BCD">
      <w:pPr>
        <w:pStyle w:val="OB1"/>
      </w:pPr>
      <w:r>
        <w:t>Change or edit an existing case</w:t>
      </w:r>
    </w:p>
    <w:p w14:paraId="4B86964C" w14:textId="77777777" w:rsidR="00E94BCD" w:rsidRDefault="00E94BCD">
      <w:pPr>
        <w:pStyle w:val="OB1"/>
      </w:pPr>
      <w:r>
        <w:t>Adjudicate a case</w:t>
      </w:r>
    </w:p>
    <w:p w14:paraId="0540BC0D" w14:textId="3058C764" w:rsidR="00E94BCD" w:rsidRDefault="00E94BCD">
      <w:pPr>
        <w:pStyle w:val="OB1"/>
      </w:pPr>
      <w:r>
        <w:t xml:space="preserve">Close, reverse, </w:t>
      </w:r>
      <w:r w:rsidR="00690017">
        <w:t xml:space="preserve">maintain </w:t>
      </w:r>
      <w:r>
        <w:t>a disqualification or ineligibility</w:t>
      </w:r>
    </w:p>
    <w:p w14:paraId="58E61A46" w14:textId="2C204F2E" w:rsidR="007B273D" w:rsidRDefault="00033B2E" w:rsidP="00A8195F">
      <w:pPr>
        <w:pStyle w:val="SB1"/>
      </w:pPr>
      <w:r>
        <w:t>Issue</w:t>
      </w:r>
      <w:r w:rsidR="00A8195F">
        <w:t xml:space="preserve"> letter</w:t>
      </w:r>
      <w:r>
        <w:t>s based on business rules</w:t>
      </w:r>
    </w:p>
    <w:p w14:paraId="1F7AFB6B" w14:textId="77777777" w:rsidR="00E94BCD" w:rsidRDefault="00E94BCD" w:rsidP="00E16D2D">
      <w:pPr>
        <w:pStyle w:val="OB1"/>
      </w:pPr>
      <w:r>
        <w:lastRenderedPageBreak/>
        <w:t>Process incoming correspondence</w:t>
      </w:r>
    </w:p>
    <w:p w14:paraId="4C0BF04B" w14:textId="77777777" w:rsidR="00E94BCD" w:rsidRDefault="00E94BCD" w:rsidP="00E16D2D">
      <w:pPr>
        <w:pStyle w:val="OB1"/>
      </w:pPr>
      <w:r>
        <w:t>Process and send outgoing correspondence</w:t>
      </w:r>
    </w:p>
    <w:p w14:paraId="010E3E79" w14:textId="77777777" w:rsidR="00E94BCD" w:rsidRDefault="00E94BCD" w:rsidP="00116640">
      <w:pPr>
        <w:pStyle w:val="OB1"/>
      </w:pPr>
      <w:r>
        <w:t xml:space="preserve">Etc. </w:t>
      </w:r>
    </w:p>
    <w:p w14:paraId="224E09B9" w14:textId="77777777" w:rsidR="00E94BCD" w:rsidRDefault="00E94BCD" w:rsidP="00F82166">
      <w:pPr>
        <w:pStyle w:val="LB1"/>
      </w:pPr>
      <w:r w:rsidRPr="00F85505">
        <w:t>System must interface with a business intelligence or network traffic monitoring tool (such as Splunk) and flag claims</w:t>
      </w:r>
    </w:p>
    <w:p w14:paraId="26D7D337" w14:textId="04B0E9C2" w:rsidR="00E94BCD" w:rsidRDefault="00E94BCD" w:rsidP="00E94BCD"/>
    <w:p w14:paraId="595FFFC9" w14:textId="6536A82B" w:rsidR="002F40E1" w:rsidRDefault="002F40E1" w:rsidP="002F40E1">
      <w:pPr>
        <w:rPr>
          <w:u w:val="single"/>
        </w:rPr>
      </w:pPr>
      <w:r w:rsidRPr="001D4B41">
        <w:rPr>
          <w:u w:val="single"/>
        </w:rPr>
        <w:t>Alternate Activities and Special Cases</w:t>
      </w:r>
      <w:r>
        <w:rPr>
          <w:u w:val="single"/>
        </w:rPr>
        <w:t xml:space="preserve"> </w:t>
      </w:r>
    </w:p>
    <w:p w14:paraId="40F1C2E7" w14:textId="77777777" w:rsidR="00E16F74" w:rsidRDefault="00E16F74" w:rsidP="00E16F74">
      <w:r>
        <w:t>System must support the following alternate activities and special cases:</w:t>
      </w:r>
    </w:p>
    <w:p w14:paraId="52E4ADD7" w14:textId="77777777" w:rsidR="002F40E1" w:rsidRDefault="002F40E1" w:rsidP="00E16D2D">
      <w:pPr>
        <w:pStyle w:val="LB1"/>
      </w:pPr>
      <w:r>
        <w:t>Work search exemption request</w:t>
      </w:r>
    </w:p>
    <w:p w14:paraId="3D27FDFA" w14:textId="2A0027AE" w:rsidR="000420F9" w:rsidRDefault="002F40E1" w:rsidP="00E16D2D">
      <w:pPr>
        <w:pStyle w:val="LB1"/>
      </w:pPr>
      <w:r>
        <w:t>Back pay or retroactive pay</w:t>
      </w:r>
    </w:p>
    <w:p w14:paraId="2A73B122" w14:textId="27C740CB" w:rsidR="00E94BCD" w:rsidRDefault="00E94BCD" w:rsidP="00E94BCD"/>
    <w:p w14:paraId="698071AA" w14:textId="621CEF4C" w:rsidR="00643D04" w:rsidRPr="00716001" w:rsidRDefault="00716001" w:rsidP="00643D04">
      <w:pPr>
        <w:pStyle w:val="Heading4"/>
      </w:pPr>
      <w:r>
        <w:tab/>
      </w:r>
      <w:r w:rsidR="00643D04" w:rsidRPr="00716001">
        <w:t xml:space="preserve">Register </w:t>
      </w:r>
      <w:r w:rsidR="00CB6C1C" w:rsidRPr="00716001">
        <w:t>Claimant</w:t>
      </w:r>
    </w:p>
    <w:p w14:paraId="7F95883B" w14:textId="68FFD684" w:rsidR="00643D04" w:rsidRPr="00DF6567" w:rsidRDefault="00643D04" w:rsidP="00643D04">
      <w:r>
        <w:t>This process includes all activities required to register Claimants</w:t>
      </w:r>
      <w:r w:rsidR="00591C16">
        <w:t xml:space="preserve"> in the System</w:t>
      </w:r>
      <w:r w:rsidR="00180319">
        <w:t xml:space="preserve"> and generally is tied to File Claims and Manage Claims</w:t>
      </w:r>
      <w:r>
        <w:t>.</w:t>
      </w:r>
    </w:p>
    <w:p w14:paraId="26983AD8" w14:textId="77777777" w:rsidR="00643D04" w:rsidRPr="00C45DE5" w:rsidRDefault="00643D04" w:rsidP="00643D04">
      <w:pPr>
        <w:rPr>
          <w:u w:val="single"/>
        </w:rPr>
      </w:pPr>
      <w:r w:rsidRPr="00C45DE5">
        <w:rPr>
          <w:u w:val="single"/>
        </w:rPr>
        <w:t>Actors</w:t>
      </w:r>
    </w:p>
    <w:p w14:paraId="39162A3D" w14:textId="77777777" w:rsidR="00643D04" w:rsidRDefault="00643D04" w:rsidP="00E16D2D">
      <w:pPr>
        <w:pStyle w:val="LB1"/>
      </w:pPr>
      <w:r>
        <w:t xml:space="preserve">Claimants </w:t>
      </w:r>
    </w:p>
    <w:p w14:paraId="3B692EB3" w14:textId="77777777" w:rsidR="00643D04" w:rsidRPr="00C45DE5" w:rsidRDefault="00643D04" w:rsidP="00E16D2D">
      <w:pPr>
        <w:pStyle w:val="LB1"/>
      </w:pPr>
      <w:r w:rsidRPr="00C45DE5">
        <w:t>Staff</w:t>
      </w:r>
    </w:p>
    <w:p w14:paraId="77E4B043" w14:textId="77777777" w:rsidR="00643D04" w:rsidRPr="00DF6567" w:rsidRDefault="00643D04" w:rsidP="00643D04"/>
    <w:p w14:paraId="1B4AE830" w14:textId="77777777" w:rsidR="00643D04" w:rsidRDefault="00643D04" w:rsidP="00643D04">
      <w:pPr>
        <w:rPr>
          <w:u w:val="single"/>
        </w:rPr>
      </w:pPr>
      <w:r>
        <w:rPr>
          <w:u w:val="single"/>
        </w:rPr>
        <w:t>Main Activities</w:t>
      </w:r>
    </w:p>
    <w:p w14:paraId="23BA3801" w14:textId="67C24438" w:rsidR="00643D04" w:rsidRDefault="00643D04" w:rsidP="00E16D2D">
      <w:pPr>
        <w:pStyle w:val="LB1"/>
      </w:pPr>
      <w:r>
        <w:t>System must allow Claimants to register</w:t>
      </w:r>
      <w:r w:rsidR="006509EF">
        <w:t xml:space="preserve"> for an account</w:t>
      </w:r>
      <w:r>
        <w:t xml:space="preserve"> online (self-service)</w:t>
      </w:r>
    </w:p>
    <w:p w14:paraId="35D43F53" w14:textId="77777777" w:rsidR="00470D72" w:rsidRDefault="00470D72" w:rsidP="00E16D2D">
      <w:pPr>
        <w:pStyle w:val="LB1"/>
      </w:pPr>
      <w:bookmarkStart w:id="298" w:name="_Hlk768313"/>
      <w:r>
        <w:t>System must capture registration data including but not limited to:</w:t>
      </w:r>
    </w:p>
    <w:p w14:paraId="42F4D318" w14:textId="190D9507" w:rsidR="006509EF" w:rsidRDefault="006509EF" w:rsidP="00116640">
      <w:pPr>
        <w:pStyle w:val="OB1"/>
      </w:pPr>
      <w:r>
        <w:t>First and last name</w:t>
      </w:r>
    </w:p>
    <w:p w14:paraId="5250D517" w14:textId="55DE0F11" w:rsidR="006509EF" w:rsidRDefault="006509EF" w:rsidP="00F82166">
      <w:pPr>
        <w:pStyle w:val="OB1"/>
      </w:pPr>
      <w:r>
        <w:t>User ID</w:t>
      </w:r>
    </w:p>
    <w:p w14:paraId="4BEB1AD5" w14:textId="491DE7AF" w:rsidR="006509EF" w:rsidRDefault="006509EF" w:rsidP="00F82166">
      <w:pPr>
        <w:pStyle w:val="OB1"/>
      </w:pPr>
      <w:r>
        <w:t>Password</w:t>
      </w:r>
    </w:p>
    <w:p w14:paraId="1B4DFA5F" w14:textId="2331B81A" w:rsidR="00AE1020" w:rsidRDefault="00AE1020">
      <w:pPr>
        <w:pStyle w:val="OB1"/>
      </w:pPr>
      <w:r>
        <w:t>Email</w:t>
      </w:r>
      <w:r w:rsidR="00470D72">
        <w:t xml:space="preserve"> address</w:t>
      </w:r>
    </w:p>
    <w:p w14:paraId="184D69A8" w14:textId="368F67FA" w:rsidR="00AE1020" w:rsidRDefault="00AE1020">
      <w:pPr>
        <w:pStyle w:val="OB1"/>
      </w:pPr>
      <w:r>
        <w:t>Security questions</w:t>
      </w:r>
    </w:p>
    <w:p w14:paraId="16E919D7" w14:textId="681DB794" w:rsidR="00470D72" w:rsidRDefault="00643D04">
      <w:pPr>
        <w:pStyle w:val="OB1"/>
      </w:pPr>
      <w:r>
        <w:t>DOB</w:t>
      </w:r>
    </w:p>
    <w:p w14:paraId="260F757E" w14:textId="7B3537DF" w:rsidR="00470D72" w:rsidRDefault="00643D04">
      <w:pPr>
        <w:pStyle w:val="OB1"/>
      </w:pPr>
      <w:r>
        <w:t>SSN</w:t>
      </w:r>
    </w:p>
    <w:p w14:paraId="59430889" w14:textId="66743170" w:rsidR="00470D72" w:rsidRDefault="00470D72">
      <w:pPr>
        <w:pStyle w:val="OB1"/>
      </w:pPr>
      <w:r>
        <w:t>A</w:t>
      </w:r>
      <w:r w:rsidR="00643D04" w:rsidRPr="00A16083">
        <w:t>ddresses</w:t>
      </w:r>
    </w:p>
    <w:p w14:paraId="0AE81404" w14:textId="6F9A9321" w:rsidR="00643D04" w:rsidRDefault="00470D72">
      <w:pPr>
        <w:pStyle w:val="OB1"/>
      </w:pPr>
      <w:r>
        <w:t>P</w:t>
      </w:r>
      <w:r w:rsidR="00643D04" w:rsidRPr="00A16083">
        <w:t xml:space="preserve">hone number </w:t>
      </w:r>
    </w:p>
    <w:bookmarkEnd w:id="298"/>
    <w:p w14:paraId="045498E0" w14:textId="77777777" w:rsidR="00643D04" w:rsidRDefault="00643D04" w:rsidP="00643D04"/>
    <w:p w14:paraId="674C34F9" w14:textId="6C06886F" w:rsidR="006C3089" w:rsidRDefault="006C3089" w:rsidP="00267E12">
      <w:pPr>
        <w:rPr>
          <w:u w:val="single"/>
        </w:rPr>
      </w:pPr>
      <w:r w:rsidRPr="001D4B41">
        <w:rPr>
          <w:u w:val="single"/>
        </w:rPr>
        <w:t>Alternate Activities and Special Cases</w:t>
      </w:r>
      <w:r>
        <w:rPr>
          <w:u w:val="single"/>
        </w:rPr>
        <w:t xml:space="preserve"> </w:t>
      </w:r>
    </w:p>
    <w:p w14:paraId="526A0C97" w14:textId="77777777" w:rsidR="00E16F74" w:rsidRDefault="00E16F74" w:rsidP="00E16F74">
      <w:r>
        <w:t>System must support the following alternate activities and special cases:</w:t>
      </w:r>
    </w:p>
    <w:p w14:paraId="74303AA9" w14:textId="270284D2" w:rsidR="006C3089" w:rsidRDefault="006C3089" w:rsidP="00E16D2D">
      <w:pPr>
        <w:pStyle w:val="LB1"/>
      </w:pPr>
      <w:r>
        <w:t xml:space="preserve">Duplicate </w:t>
      </w:r>
      <w:r w:rsidR="00470D72">
        <w:t>profile</w:t>
      </w:r>
    </w:p>
    <w:p w14:paraId="6A4DC854" w14:textId="443B483B" w:rsidR="006C3089" w:rsidRDefault="006C3089" w:rsidP="006C3089"/>
    <w:p w14:paraId="1B5EC2B6" w14:textId="3C293482" w:rsidR="00716001" w:rsidRPr="00716001" w:rsidRDefault="00716001" w:rsidP="00716001">
      <w:pPr>
        <w:pStyle w:val="Heading4"/>
      </w:pPr>
      <w:r>
        <w:lastRenderedPageBreak/>
        <w:tab/>
        <w:t>Manage Customer (Individual) Profile</w:t>
      </w:r>
    </w:p>
    <w:p w14:paraId="1D607744" w14:textId="76A888D6" w:rsidR="00716001" w:rsidRPr="00DF6567" w:rsidRDefault="00716001" w:rsidP="00716001">
      <w:r>
        <w:t>This process includes all activities required to manage a customer’s profile (demographic information for an individual).</w:t>
      </w:r>
    </w:p>
    <w:p w14:paraId="18CC398E" w14:textId="77777777" w:rsidR="00716001" w:rsidRPr="00C45DE5" w:rsidRDefault="00716001" w:rsidP="00716001">
      <w:pPr>
        <w:rPr>
          <w:u w:val="single"/>
        </w:rPr>
      </w:pPr>
      <w:r w:rsidRPr="00C45DE5">
        <w:rPr>
          <w:u w:val="single"/>
        </w:rPr>
        <w:t>Actors</w:t>
      </w:r>
    </w:p>
    <w:p w14:paraId="6DC8CBDC" w14:textId="2022E397" w:rsidR="00716001" w:rsidRDefault="00716001" w:rsidP="00E16D2D">
      <w:pPr>
        <w:pStyle w:val="LB1"/>
      </w:pPr>
      <w:r>
        <w:t xml:space="preserve">Claimants/Individuals </w:t>
      </w:r>
    </w:p>
    <w:p w14:paraId="69704702" w14:textId="425C12BC" w:rsidR="00716001" w:rsidRPr="00C45DE5" w:rsidRDefault="00716001" w:rsidP="00E16D2D">
      <w:pPr>
        <w:pStyle w:val="LB1"/>
      </w:pPr>
      <w:r>
        <w:t>Staff</w:t>
      </w:r>
    </w:p>
    <w:p w14:paraId="1361038D" w14:textId="77777777" w:rsidR="00716001" w:rsidRPr="00DF6567" w:rsidRDefault="00716001" w:rsidP="00716001"/>
    <w:p w14:paraId="3D14C5A3" w14:textId="77777777" w:rsidR="00716001" w:rsidRDefault="00716001" w:rsidP="00716001">
      <w:pPr>
        <w:rPr>
          <w:u w:val="single"/>
        </w:rPr>
      </w:pPr>
      <w:r>
        <w:rPr>
          <w:u w:val="single"/>
        </w:rPr>
        <w:t>Main Activities</w:t>
      </w:r>
    </w:p>
    <w:p w14:paraId="62C82FE9" w14:textId="737E167D" w:rsidR="008639C6" w:rsidRDefault="008639C6" w:rsidP="00E16D2D">
      <w:pPr>
        <w:pStyle w:val="LB1"/>
      </w:pPr>
      <w:r>
        <w:t>System must allow Claimants to add, update, and view demographic information based upon business rules and permissions, including but not limited to:</w:t>
      </w:r>
    </w:p>
    <w:p w14:paraId="34E2F7C7" w14:textId="32AA47FE" w:rsidR="008639C6" w:rsidRDefault="008639C6" w:rsidP="00E16D2D">
      <w:pPr>
        <w:pStyle w:val="OB1"/>
      </w:pPr>
      <w:r>
        <w:t>Name</w:t>
      </w:r>
      <w:r w:rsidR="00CF41A2">
        <w:t xml:space="preserve"> (add only)</w:t>
      </w:r>
    </w:p>
    <w:p w14:paraId="024869FC" w14:textId="77777777" w:rsidR="008639C6" w:rsidRDefault="008639C6" w:rsidP="00116640">
      <w:pPr>
        <w:pStyle w:val="OB1"/>
      </w:pPr>
      <w:r>
        <w:t>Address (mailing and residential)</w:t>
      </w:r>
    </w:p>
    <w:p w14:paraId="2F16901C" w14:textId="77777777" w:rsidR="008639C6" w:rsidRDefault="008639C6" w:rsidP="00F82166">
      <w:pPr>
        <w:pStyle w:val="OB1"/>
      </w:pPr>
      <w:r>
        <w:t>Email address</w:t>
      </w:r>
    </w:p>
    <w:p w14:paraId="0FA3586C" w14:textId="77777777" w:rsidR="008639C6" w:rsidRDefault="008639C6" w:rsidP="00F82166">
      <w:pPr>
        <w:pStyle w:val="OB1"/>
      </w:pPr>
      <w:r>
        <w:t xml:space="preserve">Driver’s </w:t>
      </w:r>
      <w:r w:rsidRPr="008639C6">
        <w:t>license</w:t>
      </w:r>
      <w:r>
        <w:t xml:space="preserve"> or other ID</w:t>
      </w:r>
    </w:p>
    <w:p w14:paraId="0883CDFA" w14:textId="77777777" w:rsidR="008639C6" w:rsidRDefault="008639C6">
      <w:pPr>
        <w:pStyle w:val="OB1"/>
      </w:pPr>
      <w:r>
        <w:t>Date of birth</w:t>
      </w:r>
    </w:p>
    <w:p w14:paraId="43819FC6" w14:textId="77777777" w:rsidR="008639C6" w:rsidRDefault="008639C6">
      <w:pPr>
        <w:pStyle w:val="OB1"/>
      </w:pPr>
      <w:r>
        <w:t>Veterans Status</w:t>
      </w:r>
    </w:p>
    <w:p w14:paraId="5EDB525C" w14:textId="77777777" w:rsidR="008639C6" w:rsidRDefault="008639C6">
      <w:pPr>
        <w:pStyle w:val="OB1"/>
      </w:pPr>
      <w:r>
        <w:t>Education Level</w:t>
      </w:r>
    </w:p>
    <w:p w14:paraId="1EF36EB0" w14:textId="4998A8D3" w:rsidR="008639C6" w:rsidRDefault="008639C6">
      <w:pPr>
        <w:pStyle w:val="OB1"/>
      </w:pPr>
      <w:r>
        <w:t>Race</w:t>
      </w:r>
    </w:p>
    <w:p w14:paraId="0091806C" w14:textId="36E9ED5B" w:rsidR="00CF41A2" w:rsidRDefault="00CF41A2">
      <w:pPr>
        <w:pStyle w:val="OB1"/>
      </w:pPr>
      <w:r>
        <w:t>Ethnicity</w:t>
      </w:r>
    </w:p>
    <w:p w14:paraId="7BEA128D" w14:textId="77777777" w:rsidR="008639C6" w:rsidRDefault="008639C6">
      <w:pPr>
        <w:pStyle w:val="OB1"/>
      </w:pPr>
      <w:r>
        <w:t>Gender</w:t>
      </w:r>
    </w:p>
    <w:p w14:paraId="5DD6A967" w14:textId="1C53F784" w:rsidR="008639C6" w:rsidRDefault="008639C6">
      <w:pPr>
        <w:pStyle w:val="OB1"/>
      </w:pPr>
      <w:r>
        <w:t>Citizenship</w:t>
      </w:r>
      <w:r w:rsidR="00CF41A2">
        <w:t xml:space="preserve"> or work authorization</w:t>
      </w:r>
    </w:p>
    <w:p w14:paraId="0F2DA9C4" w14:textId="77777777" w:rsidR="008639C6" w:rsidRDefault="008639C6">
      <w:pPr>
        <w:pStyle w:val="OB1"/>
      </w:pPr>
      <w:r>
        <w:t>Union status</w:t>
      </w:r>
    </w:p>
    <w:p w14:paraId="65D67368" w14:textId="77777777" w:rsidR="008639C6" w:rsidRDefault="008639C6">
      <w:pPr>
        <w:pStyle w:val="OB1"/>
      </w:pPr>
      <w:r>
        <w:t>Language preference (currently English or Spanish)</w:t>
      </w:r>
    </w:p>
    <w:p w14:paraId="6F164740" w14:textId="77777777" w:rsidR="008639C6" w:rsidRDefault="008639C6">
      <w:pPr>
        <w:pStyle w:val="OB1"/>
      </w:pPr>
      <w:r>
        <w:t>Phone numbers and type (home, work, mobile)</w:t>
      </w:r>
    </w:p>
    <w:p w14:paraId="44B866B9" w14:textId="77777777" w:rsidR="008639C6" w:rsidRDefault="008639C6">
      <w:pPr>
        <w:pStyle w:val="OB1"/>
      </w:pPr>
      <w:r>
        <w:t>Email address</w:t>
      </w:r>
    </w:p>
    <w:p w14:paraId="7149A670" w14:textId="77777777" w:rsidR="008639C6" w:rsidRDefault="008639C6">
      <w:pPr>
        <w:pStyle w:val="OB1"/>
      </w:pPr>
      <w:r>
        <w:t>Correspondence preferences (including text messaging, email, phone, etc.)</w:t>
      </w:r>
    </w:p>
    <w:p w14:paraId="318311B9" w14:textId="77777777" w:rsidR="008639C6" w:rsidRDefault="008639C6">
      <w:pPr>
        <w:pStyle w:val="OB1"/>
      </w:pPr>
      <w:r>
        <w:t>Payment method</w:t>
      </w:r>
    </w:p>
    <w:p w14:paraId="0C4BA394" w14:textId="77777777" w:rsidR="008639C6" w:rsidRDefault="008639C6">
      <w:pPr>
        <w:pStyle w:val="OB1"/>
      </w:pPr>
      <w:r>
        <w:t>IRS Withholding</w:t>
      </w:r>
    </w:p>
    <w:p w14:paraId="4CCF0F2D" w14:textId="77777777" w:rsidR="008639C6" w:rsidRDefault="008639C6">
      <w:pPr>
        <w:pStyle w:val="OB1"/>
      </w:pPr>
      <w:r>
        <w:t>Customary hours</w:t>
      </w:r>
    </w:p>
    <w:p w14:paraId="7ED59C8A" w14:textId="7493A5DE" w:rsidR="00360496" w:rsidRDefault="00360496">
      <w:pPr>
        <w:pStyle w:val="LB1"/>
      </w:pPr>
      <w:r>
        <w:t>System must allow Staff to add, update, cancel, and view demographic information based on business rules and permissions, including but not limited to</w:t>
      </w:r>
      <w:r w:rsidR="008639C6">
        <w:t xml:space="preserve"> the items listed above and</w:t>
      </w:r>
      <w:r>
        <w:t>:</w:t>
      </w:r>
    </w:p>
    <w:p w14:paraId="0C06B9CF" w14:textId="77777777" w:rsidR="00360496" w:rsidRDefault="00360496">
      <w:pPr>
        <w:pStyle w:val="OB1"/>
      </w:pPr>
      <w:r>
        <w:t>SSN</w:t>
      </w:r>
    </w:p>
    <w:p w14:paraId="2CC5C7C8" w14:textId="39DD9F50" w:rsidR="00360496" w:rsidRDefault="00360496">
      <w:pPr>
        <w:pStyle w:val="OB1"/>
      </w:pPr>
      <w:r>
        <w:t xml:space="preserve">Certification method </w:t>
      </w:r>
    </w:p>
    <w:p w14:paraId="689B32A3" w14:textId="24CC8DC6" w:rsidR="0091694B" w:rsidRDefault="0091694B">
      <w:pPr>
        <w:pStyle w:val="OB1"/>
      </w:pPr>
      <w:r>
        <w:t xml:space="preserve">Victims of ID theft </w:t>
      </w:r>
      <w:r w:rsidR="003D5D91">
        <w:t xml:space="preserve">based upon SSN </w:t>
      </w:r>
      <w:r>
        <w:t xml:space="preserve">require </w:t>
      </w:r>
      <w:r w:rsidR="003D5D91">
        <w:t>enhanced identification procedures</w:t>
      </w:r>
    </w:p>
    <w:p w14:paraId="539BE326" w14:textId="577ABB6D" w:rsidR="00470D72" w:rsidRDefault="00470D72">
      <w:pPr>
        <w:pStyle w:val="LB1"/>
      </w:pPr>
      <w:r>
        <w:t>System must perform cost-effective identity-proofing services</w:t>
      </w:r>
      <w:r w:rsidRPr="00BA3F2E">
        <w:t xml:space="preserve"> </w:t>
      </w:r>
      <w:r>
        <w:t xml:space="preserve">in real-time to verify Claimant identity using public and proprietary data sources </w:t>
      </w:r>
    </w:p>
    <w:p w14:paraId="1E660FAF" w14:textId="77777777" w:rsidR="00470D72" w:rsidRDefault="00470D72">
      <w:pPr>
        <w:pStyle w:val="OB1"/>
      </w:pPr>
      <w:r>
        <w:t xml:space="preserve">Texas Driver’s License </w:t>
      </w:r>
    </w:p>
    <w:p w14:paraId="4C746F1C" w14:textId="77777777" w:rsidR="00470D72" w:rsidRDefault="00470D72">
      <w:pPr>
        <w:pStyle w:val="OB1"/>
      </w:pPr>
      <w:r>
        <w:t xml:space="preserve">SSN with SSA </w:t>
      </w:r>
    </w:p>
    <w:p w14:paraId="286731FC" w14:textId="23B36FE3" w:rsidR="00820569" w:rsidRDefault="008107B1">
      <w:pPr>
        <w:pStyle w:val="OB1"/>
      </w:pPr>
      <w:r>
        <w:lastRenderedPageBreak/>
        <w:t>Alien ID with SAVE</w:t>
      </w:r>
    </w:p>
    <w:p w14:paraId="0B0D083B" w14:textId="683DDD7F" w:rsidR="00470D72" w:rsidRDefault="00470D72">
      <w:pPr>
        <w:pStyle w:val="OB1"/>
      </w:pPr>
      <w:r>
        <w:t>Other innovative data sources and approaches</w:t>
      </w:r>
    </w:p>
    <w:p w14:paraId="7511F0B7" w14:textId="5211AC55" w:rsidR="00360496" w:rsidRDefault="00360496">
      <w:pPr>
        <w:pStyle w:val="LB1"/>
      </w:pPr>
      <w:r>
        <w:t>With some exceptions (e.g., domestic violence, fraud cases, etc.), System must notify Claimant of changes made to some of the above fields</w:t>
      </w:r>
    </w:p>
    <w:p w14:paraId="6B64916C" w14:textId="4039C198" w:rsidR="002867A0" w:rsidRDefault="00360496">
      <w:pPr>
        <w:pStyle w:val="LB1"/>
      </w:pPr>
      <w:r w:rsidRPr="0077185D">
        <w:t>System must electronically interface with external software (during the UI claims filing process) to validate address information</w:t>
      </w:r>
      <w:r>
        <w:t xml:space="preserve"> (such as </w:t>
      </w:r>
      <w:r w:rsidR="007D72FC">
        <w:t>Code-1</w:t>
      </w:r>
      <w:r>
        <w:t>)</w:t>
      </w:r>
      <w:r w:rsidR="00F76E7C">
        <w:t xml:space="preserve">. Offeror must </w:t>
      </w:r>
      <w:r w:rsidR="002867A0">
        <w:t xml:space="preserve">specify if additional </w:t>
      </w:r>
      <w:r w:rsidR="00DF57F2">
        <w:t>third-</w:t>
      </w:r>
      <w:r w:rsidR="002867A0">
        <w:t>party data verification options exist</w:t>
      </w:r>
    </w:p>
    <w:p w14:paraId="36ECBC72" w14:textId="63B7FF40" w:rsidR="002867A0" w:rsidRDefault="002867A0">
      <w:pPr>
        <w:pStyle w:val="OB1"/>
      </w:pPr>
      <w:r>
        <w:t>Phone number</w:t>
      </w:r>
    </w:p>
    <w:p w14:paraId="114F5858" w14:textId="1888F19B" w:rsidR="002867A0" w:rsidRDefault="002867A0">
      <w:pPr>
        <w:pStyle w:val="OB1"/>
      </w:pPr>
      <w:r>
        <w:t>email address</w:t>
      </w:r>
    </w:p>
    <w:p w14:paraId="507DA5DA" w14:textId="45DA8426" w:rsidR="002867A0" w:rsidRDefault="002867A0">
      <w:pPr>
        <w:pStyle w:val="OB1"/>
      </w:pPr>
      <w:r>
        <w:t xml:space="preserve">Etc. </w:t>
      </w:r>
    </w:p>
    <w:p w14:paraId="32D8CF40" w14:textId="41C597FE" w:rsidR="00360496" w:rsidRDefault="00360496" w:rsidP="00360496"/>
    <w:p w14:paraId="3E5CFD74" w14:textId="65AACD55" w:rsidR="00470D72" w:rsidRDefault="00470D72" w:rsidP="00470D72">
      <w:pPr>
        <w:rPr>
          <w:u w:val="single"/>
        </w:rPr>
      </w:pPr>
      <w:r w:rsidRPr="001D4B41">
        <w:rPr>
          <w:u w:val="single"/>
        </w:rPr>
        <w:t>Alternate Activities and Special Cases</w:t>
      </w:r>
      <w:r>
        <w:rPr>
          <w:u w:val="single"/>
        </w:rPr>
        <w:t xml:space="preserve"> </w:t>
      </w:r>
    </w:p>
    <w:p w14:paraId="0F80DF33" w14:textId="77777777" w:rsidR="00E16F74" w:rsidRDefault="00E16F74" w:rsidP="00E16F74">
      <w:r>
        <w:t>System must support the following alternate activities and special cases:</w:t>
      </w:r>
    </w:p>
    <w:p w14:paraId="10742C2D" w14:textId="5CAA4FAA" w:rsidR="00470D72" w:rsidRDefault="00470D72" w:rsidP="00E16D2D">
      <w:pPr>
        <w:pStyle w:val="LB1"/>
      </w:pPr>
      <w:r>
        <w:t>Duplicate profiles</w:t>
      </w:r>
    </w:p>
    <w:p w14:paraId="0DD02572" w14:textId="188514A1" w:rsidR="00470D72" w:rsidRDefault="006C2104" w:rsidP="00E16D2D">
      <w:pPr>
        <w:pStyle w:val="LB1"/>
      </w:pPr>
      <w:r>
        <w:t>T</w:t>
      </w:r>
      <w:r w:rsidR="00470D72">
        <w:t>rack current and subsequent verification of Alien ID and authority to work (e.g., dates)</w:t>
      </w:r>
    </w:p>
    <w:p w14:paraId="5464BC6B" w14:textId="77777777" w:rsidR="00470D72" w:rsidRDefault="00470D72" w:rsidP="00360496"/>
    <w:p w14:paraId="4C6CFC84" w14:textId="7CD68A47" w:rsidR="002B4765" w:rsidRPr="00716001" w:rsidRDefault="002B4765" w:rsidP="002B4765">
      <w:pPr>
        <w:pStyle w:val="Heading4"/>
      </w:pPr>
      <w:bookmarkStart w:id="299" w:name="_Hlk784997"/>
      <w:r>
        <w:tab/>
        <w:t>File Claims</w:t>
      </w:r>
    </w:p>
    <w:p w14:paraId="0C203AAF" w14:textId="48CDAB05" w:rsidR="002B4765" w:rsidRPr="00DF6567" w:rsidRDefault="002B4765" w:rsidP="002B4765">
      <w:r>
        <w:t>This process includes all activities required to file claims.</w:t>
      </w:r>
    </w:p>
    <w:p w14:paraId="4B78002C" w14:textId="77777777" w:rsidR="002B4765" w:rsidRPr="00C45DE5" w:rsidRDefault="002B4765" w:rsidP="002B4765">
      <w:pPr>
        <w:rPr>
          <w:u w:val="single"/>
        </w:rPr>
      </w:pPr>
      <w:r w:rsidRPr="00C45DE5">
        <w:rPr>
          <w:u w:val="single"/>
        </w:rPr>
        <w:t>Actors</w:t>
      </w:r>
    </w:p>
    <w:p w14:paraId="55AB8574" w14:textId="3DADC4C9" w:rsidR="002B4765" w:rsidRDefault="002B4765" w:rsidP="00E16D2D">
      <w:pPr>
        <w:pStyle w:val="LB1"/>
      </w:pPr>
      <w:r>
        <w:t xml:space="preserve">Claimants </w:t>
      </w:r>
    </w:p>
    <w:p w14:paraId="13F711E6" w14:textId="06C04E24" w:rsidR="002B4765" w:rsidRDefault="002B4765" w:rsidP="00E16D2D">
      <w:pPr>
        <w:pStyle w:val="LB1"/>
      </w:pPr>
      <w:r>
        <w:t>Staff</w:t>
      </w:r>
    </w:p>
    <w:p w14:paraId="1A827AC5" w14:textId="6699A296" w:rsidR="002B4765" w:rsidRPr="00C45DE5" w:rsidRDefault="002B4765" w:rsidP="00116640">
      <w:pPr>
        <w:pStyle w:val="LB1"/>
      </w:pPr>
      <w:r>
        <w:t>System</w:t>
      </w:r>
    </w:p>
    <w:p w14:paraId="087661DA" w14:textId="77777777" w:rsidR="002B4765" w:rsidRPr="00DF6567" w:rsidRDefault="002B4765" w:rsidP="002B4765"/>
    <w:p w14:paraId="40948BA3" w14:textId="77777777" w:rsidR="002B4765" w:rsidRDefault="002B4765" w:rsidP="002B4765">
      <w:pPr>
        <w:rPr>
          <w:u w:val="single"/>
        </w:rPr>
      </w:pPr>
      <w:r>
        <w:rPr>
          <w:u w:val="single"/>
        </w:rPr>
        <w:t>Main Activities</w:t>
      </w:r>
    </w:p>
    <w:p w14:paraId="7C68B911" w14:textId="20209210" w:rsidR="00CE6DB9" w:rsidRDefault="00CE6DB9" w:rsidP="00E16D2D">
      <w:pPr>
        <w:pStyle w:val="LB1"/>
      </w:pPr>
      <w:r>
        <w:t>System must allow all Actors to file a claim</w:t>
      </w:r>
    </w:p>
    <w:p w14:paraId="1C903D5E" w14:textId="23B4A02B" w:rsidR="00E77C9B" w:rsidRDefault="00E77C9B" w:rsidP="00E16D2D">
      <w:pPr>
        <w:pStyle w:val="LB1"/>
      </w:pPr>
      <w:r>
        <w:t>System must allow Claimants to register for an account if necessary</w:t>
      </w:r>
    </w:p>
    <w:p w14:paraId="5890CE7D" w14:textId="5F854B7A" w:rsidR="00CE6DB9" w:rsidRDefault="00CE6DB9" w:rsidP="00116640">
      <w:pPr>
        <w:pStyle w:val="LB1"/>
      </w:pPr>
      <w:r>
        <w:t>System must provide</w:t>
      </w:r>
      <w:r w:rsidR="000832F1">
        <w:t xml:space="preserve"> the ability to create and display</w:t>
      </w:r>
      <w:r>
        <w:t xml:space="preserve"> integrated script</w:t>
      </w:r>
      <w:r w:rsidR="000832F1">
        <w:t>s/prompts</w:t>
      </w:r>
      <w:r>
        <w:t xml:space="preserve"> for all claims customizable by claim type, program, </w:t>
      </w:r>
      <w:r w:rsidR="00297E3C">
        <w:t>and languages</w:t>
      </w:r>
    </w:p>
    <w:p w14:paraId="464E816E" w14:textId="6FF0C972" w:rsidR="00CE6DB9" w:rsidRDefault="00CE6DB9" w:rsidP="00F82166">
      <w:pPr>
        <w:pStyle w:val="LB1"/>
      </w:pPr>
      <w:bookmarkStart w:id="300" w:name="_Hlk531594104"/>
      <w:r w:rsidRPr="00A215F4">
        <w:t>System must automatically identify and establish the type of claim that must be filed (e.g.</w:t>
      </w:r>
      <w:r>
        <w:t>,</w:t>
      </w:r>
      <w:r w:rsidRPr="00A215F4">
        <w:t xml:space="preserve"> New Claim, Additional Claim, Reopened Claim, Transitional Claim, Extended Benefits (state </w:t>
      </w:r>
      <w:r w:rsidR="000B7668">
        <w:t>and/</w:t>
      </w:r>
      <w:r w:rsidRPr="00A215F4">
        <w:t>or</w:t>
      </w:r>
      <w:r>
        <w:t xml:space="preserve"> federal), </w:t>
      </w:r>
      <w:r w:rsidR="00A46464" w:rsidRPr="007D2895">
        <w:rPr>
          <w:rFonts w:cs="Arial"/>
          <w:snapToGrid w:val="0"/>
          <w:color w:val="000000"/>
          <w:szCs w:val="24"/>
        </w:rPr>
        <w:t>Trade Readjustment Allowance</w:t>
      </w:r>
      <w:r w:rsidR="00A46464">
        <w:t xml:space="preserve"> (</w:t>
      </w:r>
      <w:r>
        <w:t>TRA</w:t>
      </w:r>
      <w:r w:rsidR="00A46464">
        <w:t>)</w:t>
      </w:r>
      <w:r>
        <w:t xml:space="preserve">, </w:t>
      </w:r>
      <w:r w:rsidR="002D141E">
        <w:t>Short Term Compensation (</w:t>
      </w:r>
      <w:r>
        <w:t>STC</w:t>
      </w:r>
      <w:r w:rsidR="002D141E">
        <w:t>)</w:t>
      </w:r>
      <w:r>
        <w:t>, and DUA</w:t>
      </w:r>
      <w:bookmarkEnd w:id="300"/>
      <w:r>
        <w:t>)</w:t>
      </w:r>
    </w:p>
    <w:p w14:paraId="7BA93559" w14:textId="74A035FF" w:rsidR="00131C52" w:rsidRPr="00131C52" w:rsidRDefault="00131C52" w:rsidP="00F82166">
      <w:pPr>
        <w:pStyle w:val="LB1"/>
        <w:rPr>
          <w:rStyle w:val="HTMLAcronym"/>
        </w:rPr>
      </w:pPr>
      <w:r>
        <w:t xml:space="preserve">System must </w:t>
      </w:r>
      <w:r w:rsidR="000832F1">
        <w:t xml:space="preserve">evaluate </w:t>
      </w:r>
      <w:r>
        <w:t>C</w:t>
      </w:r>
      <w:r w:rsidRPr="00624B16">
        <w:t xml:space="preserve">laimant </w:t>
      </w:r>
      <w:r>
        <w:t xml:space="preserve">and Claim based on </w:t>
      </w:r>
      <w:r w:rsidRPr="00624B16">
        <w:rPr>
          <w:lang w:val="en"/>
        </w:rPr>
        <w:t xml:space="preserve">eligibility requirements </w:t>
      </w:r>
      <w:r>
        <w:rPr>
          <w:lang w:val="en"/>
        </w:rPr>
        <w:t xml:space="preserve">established in </w:t>
      </w:r>
      <w:r w:rsidRPr="00624B16">
        <w:rPr>
          <w:lang w:val="en"/>
        </w:rPr>
        <w:t xml:space="preserve">the </w:t>
      </w:r>
      <w:hyperlink r:id="rId70" w:anchor="tuca" w:history="1"/>
      <w:r w:rsidRPr="00624B16">
        <w:rPr>
          <w:rStyle w:val="HTMLAcronym"/>
          <w:lang w:val="en"/>
        </w:rPr>
        <w:t>TUCA</w:t>
      </w:r>
      <w:r w:rsidR="000832F1">
        <w:rPr>
          <w:rStyle w:val="HTMLAcronym"/>
          <w:lang w:val="en"/>
        </w:rPr>
        <w:t xml:space="preserve"> and take appropriate action</w:t>
      </w:r>
    </w:p>
    <w:p w14:paraId="4CC821A4" w14:textId="15A90A1E" w:rsidR="00CE6DB9" w:rsidRDefault="00CE6DB9">
      <w:pPr>
        <w:pStyle w:val="LB1"/>
      </w:pPr>
      <w:r>
        <w:t xml:space="preserve">System must </w:t>
      </w:r>
      <w:r w:rsidRPr="00B972A5">
        <w:t xml:space="preserve">calculate UI monetary determination for all program and claim types. The Offeror must describe how they calculate the weekly benefit amount, maximum benefit amount, monetary balance, base period, alternate base </w:t>
      </w:r>
      <w:r w:rsidRPr="00B972A5">
        <w:lastRenderedPageBreak/>
        <w:t>period, wage suppression, wage additions and denials, wage credits, wage investigations, and monetary history.</w:t>
      </w:r>
      <w:r>
        <w:t xml:space="preserve"> </w:t>
      </w:r>
      <w:r w:rsidRPr="00083662">
        <w:t>System must determine separate eligibility based on wages received from other states</w:t>
      </w:r>
      <w:r w:rsidR="00C55DEC">
        <w:t>. Syst</w:t>
      </w:r>
      <w:r w:rsidR="006C21A7">
        <w:t>em must display calculation to S</w:t>
      </w:r>
      <w:r w:rsidR="00C55DEC">
        <w:t>taff.</w:t>
      </w:r>
    </w:p>
    <w:p w14:paraId="34BF71C3" w14:textId="77777777" w:rsidR="00CE6DB9" w:rsidRDefault="00CE6DB9">
      <w:pPr>
        <w:pStyle w:val="LB1"/>
      </w:pPr>
      <w:r>
        <w:t>System must perform the following steps for each Claim Type and take appropriate action based on business rules:</w:t>
      </w:r>
    </w:p>
    <w:p w14:paraId="2F7C0FDF" w14:textId="77777777" w:rsidR="00CE6DB9" w:rsidRDefault="00CE6DB9">
      <w:pPr>
        <w:pStyle w:val="OB1"/>
      </w:pPr>
      <w:r>
        <w:t>Regular Claim</w:t>
      </w:r>
    </w:p>
    <w:p w14:paraId="4579A32C" w14:textId="348FC68C" w:rsidR="00CE6DB9" w:rsidRDefault="00CE6DB9" w:rsidP="00CE6DB9">
      <w:pPr>
        <w:pStyle w:val="SB1"/>
      </w:pPr>
      <w:r>
        <w:t>Pre-</w:t>
      </w:r>
      <w:r w:rsidR="00782BFC">
        <w:t>Claim assessment</w:t>
      </w:r>
      <w:r>
        <w:t xml:space="preserve"> and Post-Claim </w:t>
      </w:r>
      <w:r w:rsidR="00782BFC">
        <w:t>instructions</w:t>
      </w:r>
    </w:p>
    <w:p w14:paraId="7672EFDA" w14:textId="2FEB0BD3" w:rsidR="00782BFC" w:rsidRDefault="00782BFC" w:rsidP="00782BFC">
      <w:pPr>
        <w:pStyle w:val="SB1"/>
      </w:pPr>
      <w:r>
        <w:t>Assessment questions (to determine claim type-military, federal, combine</w:t>
      </w:r>
      <w:r w:rsidR="006C3505">
        <w:t>d</w:t>
      </w:r>
      <w:r>
        <w:t xml:space="preserve"> wage)</w:t>
      </w:r>
    </w:p>
    <w:p w14:paraId="66759B8F" w14:textId="77777777" w:rsidR="00CE6DB9" w:rsidRDefault="00CE6DB9" w:rsidP="00CE6DB9">
      <w:pPr>
        <w:pStyle w:val="SB1"/>
      </w:pPr>
      <w:r>
        <w:t xml:space="preserve">Collect </w:t>
      </w:r>
      <w:r w:rsidRPr="00E475A3">
        <w:t>Seasonal, Educational and Professional Athlete employment</w:t>
      </w:r>
    </w:p>
    <w:p w14:paraId="48DDAF37" w14:textId="77777777" w:rsidR="00CE6DB9" w:rsidRDefault="00CE6DB9" w:rsidP="00CE6DB9">
      <w:pPr>
        <w:pStyle w:val="SB1"/>
      </w:pPr>
      <w:r>
        <w:t>Establish and/or Change claim date (backdate)</w:t>
      </w:r>
    </w:p>
    <w:p w14:paraId="7B97AAE4" w14:textId="183D14A1" w:rsidR="00CE6DB9" w:rsidRDefault="00CE6DB9" w:rsidP="00CE6DB9">
      <w:pPr>
        <w:pStyle w:val="SB1"/>
      </w:pPr>
      <w:r>
        <w:t xml:space="preserve">Collect last </w:t>
      </w:r>
      <w:r w:rsidR="009521D7">
        <w:t xml:space="preserve">Employer </w:t>
      </w:r>
      <w:r>
        <w:t xml:space="preserve">detail including occupational codes and collect desired occupation </w:t>
      </w:r>
    </w:p>
    <w:p w14:paraId="2C636A03" w14:textId="031F4951" w:rsidR="00C55DEC" w:rsidRDefault="00C55DEC" w:rsidP="00E16D2D">
      <w:pPr>
        <w:pStyle w:val="DB1"/>
      </w:pPr>
      <w:r>
        <w:t xml:space="preserve">Ensure liable employer is selected, determine if additional questions should be </w:t>
      </w:r>
      <w:r w:rsidR="00B64768">
        <w:t>asked based upon business rules</w:t>
      </w:r>
    </w:p>
    <w:p w14:paraId="750E45DE" w14:textId="77777777" w:rsidR="00B64768" w:rsidRDefault="00B64768" w:rsidP="00E16D2D">
      <w:pPr>
        <w:pStyle w:val="CB1"/>
      </w:pPr>
      <w:r>
        <w:t>1099/Contract labor</w:t>
      </w:r>
    </w:p>
    <w:p w14:paraId="7974F641" w14:textId="348764C9" w:rsidR="00782BFC" w:rsidRPr="004E1811" w:rsidRDefault="00782BFC" w:rsidP="00116640">
      <w:pPr>
        <w:pStyle w:val="DB1"/>
      </w:pPr>
      <w:r>
        <w:t>B</w:t>
      </w:r>
      <w:r w:rsidRPr="004E1811">
        <w:t>usiness name and address</w:t>
      </w:r>
    </w:p>
    <w:p w14:paraId="17180F75" w14:textId="10AFDB5F" w:rsidR="00782BFC" w:rsidRPr="004E1811" w:rsidRDefault="00782BFC" w:rsidP="00F82166">
      <w:pPr>
        <w:pStyle w:val="DB1"/>
      </w:pPr>
      <w:r w:rsidRPr="004E1811">
        <w:t xml:space="preserve">First and last dates (month, day and year) </w:t>
      </w:r>
      <w:r w:rsidR="007848C6">
        <w:t>Claimant</w:t>
      </w:r>
      <w:r w:rsidR="007848C6" w:rsidRPr="004E1811">
        <w:t xml:space="preserve"> </w:t>
      </w:r>
      <w:r w:rsidRPr="004E1811">
        <w:t>worked for last employer</w:t>
      </w:r>
    </w:p>
    <w:p w14:paraId="1115A817" w14:textId="290D3957" w:rsidR="00782BFC" w:rsidRPr="004E1811" w:rsidRDefault="00782BFC" w:rsidP="00F82166">
      <w:pPr>
        <w:pStyle w:val="DB1"/>
      </w:pPr>
      <w:r w:rsidRPr="004E1811">
        <w:t xml:space="preserve">Number of hours worked and pay rate if </w:t>
      </w:r>
      <w:r w:rsidR="007848C6">
        <w:t>Claimant</w:t>
      </w:r>
      <w:r w:rsidR="007848C6" w:rsidRPr="004E1811">
        <w:t xml:space="preserve"> </w:t>
      </w:r>
      <w:r w:rsidRPr="004E1811">
        <w:t>worked this week (including Sunday)</w:t>
      </w:r>
    </w:p>
    <w:p w14:paraId="06DE30C2" w14:textId="77777777" w:rsidR="00782BFC" w:rsidRDefault="00782BFC">
      <w:pPr>
        <w:pStyle w:val="DB1"/>
      </w:pPr>
      <w:r>
        <w:t>Information related to job separation or other eligibility requirements</w:t>
      </w:r>
    </w:p>
    <w:p w14:paraId="3EA911BF" w14:textId="71F69D23" w:rsidR="00782BFC" w:rsidRDefault="007848C6">
      <w:pPr>
        <w:pStyle w:val="DiaB1"/>
      </w:pPr>
      <w:r>
        <w:t>N</w:t>
      </w:r>
      <w:r w:rsidRPr="004E1811">
        <w:t xml:space="preserve">ormal </w:t>
      </w:r>
      <w:r w:rsidR="00782BFC" w:rsidRPr="004E1811">
        <w:t>wage</w:t>
      </w:r>
      <w:r w:rsidRPr="007848C6">
        <w:t xml:space="preserve"> </w:t>
      </w:r>
      <w:r>
        <w:t>i</w:t>
      </w:r>
      <w:r w:rsidRPr="004E1811">
        <w:t>nformation</w:t>
      </w:r>
    </w:p>
    <w:p w14:paraId="0483EBD6" w14:textId="3734ECB0" w:rsidR="00CE6DB9" w:rsidRDefault="007848C6">
      <w:pPr>
        <w:pStyle w:val="DiaB1"/>
      </w:pPr>
      <w:r>
        <w:t>S</w:t>
      </w:r>
      <w:r w:rsidR="00CE6DB9">
        <w:t>tatement on reason for separation</w:t>
      </w:r>
    </w:p>
    <w:p w14:paraId="53FB1FB9" w14:textId="0ACD68EB" w:rsidR="00CE6DB9" w:rsidRDefault="007848C6">
      <w:pPr>
        <w:pStyle w:val="DiaB1"/>
      </w:pPr>
      <w:r>
        <w:t>B</w:t>
      </w:r>
      <w:r w:rsidR="00CE6DB9">
        <w:t>ase period wages</w:t>
      </w:r>
    </w:p>
    <w:p w14:paraId="75088366" w14:textId="52369779" w:rsidR="00CE6DB9" w:rsidRDefault="00CE6DB9" w:rsidP="00D5259C">
      <w:pPr>
        <w:pStyle w:val="SB1"/>
      </w:pPr>
      <w:r>
        <w:t>Claim wage</w:t>
      </w:r>
    </w:p>
    <w:p w14:paraId="7BEF86E1" w14:textId="77777777" w:rsidR="00C55DEC" w:rsidRDefault="00C55DEC" w:rsidP="00E16D2D">
      <w:pPr>
        <w:pStyle w:val="DB1"/>
      </w:pPr>
      <w:r>
        <w:t>Alternate base period wages based on TX business rules</w:t>
      </w:r>
    </w:p>
    <w:p w14:paraId="2F165934" w14:textId="77777777" w:rsidR="00C55DEC" w:rsidRDefault="00C55DEC" w:rsidP="00E16D2D">
      <w:pPr>
        <w:pStyle w:val="DB1"/>
      </w:pPr>
      <w:r>
        <w:t>Acknowledgement and deletion of wages</w:t>
      </w:r>
    </w:p>
    <w:p w14:paraId="135DCEC8" w14:textId="0768F649" w:rsidR="00C55DEC" w:rsidRDefault="00C55DEC" w:rsidP="00116640">
      <w:pPr>
        <w:pStyle w:val="DB1"/>
      </w:pPr>
      <w:r>
        <w:t>Conduct wage investigation</w:t>
      </w:r>
    </w:p>
    <w:p w14:paraId="62A5E487" w14:textId="1B81FA21" w:rsidR="00CE6DB9" w:rsidRDefault="00CE6DB9" w:rsidP="00D5259C">
      <w:pPr>
        <w:pStyle w:val="SB1"/>
      </w:pPr>
      <w:r>
        <w:t>Request wages earned in other states (combined wage claim)</w:t>
      </w:r>
    </w:p>
    <w:p w14:paraId="64657F7B" w14:textId="6CE51068" w:rsidR="007C4ED8" w:rsidRDefault="007C4ED8" w:rsidP="00D5259C">
      <w:pPr>
        <w:pStyle w:val="SB1"/>
      </w:pPr>
      <w:r>
        <w:t>Determine if claim filed in another state</w:t>
      </w:r>
    </w:p>
    <w:p w14:paraId="2A05B2A8" w14:textId="353435EF" w:rsidR="007F414A" w:rsidRDefault="007F414A" w:rsidP="00D5259C">
      <w:pPr>
        <w:pStyle w:val="SB1"/>
      </w:pPr>
      <w:r>
        <w:t>Other sources of income</w:t>
      </w:r>
      <w:r w:rsidR="00AC7CF3">
        <w:t xml:space="preserve"> including but not limited to</w:t>
      </w:r>
    </w:p>
    <w:p w14:paraId="6E538B28" w14:textId="405EF7F1" w:rsidR="007F414A" w:rsidRDefault="007F414A" w:rsidP="00E16D2D">
      <w:pPr>
        <w:pStyle w:val="DB1"/>
      </w:pPr>
      <w:r>
        <w:t>Pension</w:t>
      </w:r>
    </w:p>
    <w:p w14:paraId="165AA86D" w14:textId="25C5F804" w:rsidR="007F414A" w:rsidRDefault="007F414A" w:rsidP="00E16D2D">
      <w:pPr>
        <w:pStyle w:val="DB1"/>
      </w:pPr>
      <w:r>
        <w:t>Severance</w:t>
      </w:r>
    </w:p>
    <w:p w14:paraId="36C88466" w14:textId="4DF88A38" w:rsidR="00C608D9" w:rsidRDefault="00C608D9" w:rsidP="00116640">
      <w:pPr>
        <w:pStyle w:val="DB1"/>
      </w:pPr>
      <w:r>
        <w:t>Workers Compensation</w:t>
      </w:r>
    </w:p>
    <w:p w14:paraId="59A33CE7" w14:textId="1865D299" w:rsidR="007F414A" w:rsidRDefault="007F414A" w:rsidP="00F82166">
      <w:pPr>
        <w:pStyle w:val="DB1"/>
      </w:pPr>
      <w:r>
        <w:t>Wages in lieu of notices</w:t>
      </w:r>
    </w:p>
    <w:p w14:paraId="113CEE48" w14:textId="133D1971" w:rsidR="00CE6DB9" w:rsidRDefault="00CE6DB9" w:rsidP="00D5259C">
      <w:pPr>
        <w:pStyle w:val="SB1"/>
      </w:pPr>
      <w:r>
        <w:t>Display potential entitlement (Staff only)</w:t>
      </w:r>
    </w:p>
    <w:p w14:paraId="698DEE76" w14:textId="77777777" w:rsidR="00CE6DB9" w:rsidRDefault="00CE6DB9" w:rsidP="00934B6B">
      <w:pPr>
        <w:pStyle w:val="SB1"/>
      </w:pPr>
      <w:r>
        <w:t>Establish Normal wage</w:t>
      </w:r>
    </w:p>
    <w:p w14:paraId="7170DE2D" w14:textId="6144C96B" w:rsidR="00934B6B" w:rsidRDefault="00934B6B" w:rsidP="00934B6B">
      <w:pPr>
        <w:pStyle w:val="SB1"/>
      </w:pPr>
      <w:r>
        <w:t>Establish work search requirement based on business rules</w:t>
      </w:r>
    </w:p>
    <w:p w14:paraId="26EFF86C" w14:textId="71270C85" w:rsidR="00F10723" w:rsidRDefault="00F10723" w:rsidP="00934B6B">
      <w:pPr>
        <w:pStyle w:val="SB1"/>
      </w:pPr>
      <w:r>
        <w:lastRenderedPageBreak/>
        <w:t>Prompt Staff to review ineligibilities and disqualifications and take appropriate action based on business rules</w:t>
      </w:r>
    </w:p>
    <w:p w14:paraId="1208526C" w14:textId="77777777" w:rsidR="00934B6B" w:rsidRDefault="00934B6B" w:rsidP="00934B6B">
      <w:pPr>
        <w:pStyle w:val="SB1"/>
        <w:rPr>
          <w:rFonts w:ascii="Times New Roman" w:hAnsi="Times New Roman" w:cs="Times New Roman"/>
          <w:szCs w:val="24"/>
        </w:rPr>
      </w:pPr>
      <w:r>
        <w:t>Provide information on work search registration (in WIT) and work search requirements</w:t>
      </w:r>
      <w:r>
        <w:rPr>
          <w:rFonts w:ascii="Times New Roman" w:hAnsi="Times New Roman" w:cs="Times New Roman"/>
          <w:szCs w:val="24"/>
        </w:rPr>
        <w:t xml:space="preserve"> </w:t>
      </w:r>
    </w:p>
    <w:p w14:paraId="4F3DEFC6" w14:textId="2112C405" w:rsidR="00CE6DB9" w:rsidRDefault="00006A6B" w:rsidP="00934B6B">
      <w:pPr>
        <w:pStyle w:val="SB1"/>
      </w:pPr>
      <w:r>
        <w:t>Display</w:t>
      </w:r>
      <w:r w:rsidR="00CE6DB9">
        <w:t xml:space="preserve"> continuing eligibility requirements: ability, availability, and work search</w:t>
      </w:r>
    </w:p>
    <w:p w14:paraId="1624577F" w14:textId="198823BA" w:rsidR="00CE6DB9" w:rsidRDefault="00006A6B" w:rsidP="00D5259C">
      <w:pPr>
        <w:pStyle w:val="SB1"/>
      </w:pPr>
      <w:r>
        <w:t>Provide</w:t>
      </w:r>
      <w:r w:rsidR="00CE6DB9">
        <w:t xml:space="preserve"> filing instructions</w:t>
      </w:r>
      <w:r w:rsidR="00C55DEC">
        <w:t>, UI Handbook, etc. per business rules</w:t>
      </w:r>
    </w:p>
    <w:p w14:paraId="0B3D7171" w14:textId="01888FC7" w:rsidR="00CE6DB9" w:rsidRDefault="00CE6DB9" w:rsidP="00D5259C">
      <w:pPr>
        <w:pStyle w:val="SB1"/>
      </w:pPr>
      <w:r>
        <w:t xml:space="preserve">Notify last </w:t>
      </w:r>
      <w:r w:rsidR="009521D7">
        <w:t xml:space="preserve">Employer </w:t>
      </w:r>
      <w:r>
        <w:t>that claim has been filed (</w:t>
      </w:r>
      <w:r w:rsidR="0070523A">
        <w:t>excluding Mass Claims, Shared Work, TRA/</w:t>
      </w:r>
      <w:r w:rsidR="00A46464" w:rsidRPr="00394204">
        <w:rPr>
          <w:snapToGrid w:val="0"/>
          <w:color w:val="000000"/>
          <w:szCs w:val="24"/>
        </w:rPr>
        <w:t>Extended Trade Readjustment Allowance</w:t>
      </w:r>
      <w:r w:rsidR="00A46464">
        <w:t xml:space="preserve"> (</w:t>
      </w:r>
      <w:r w:rsidR="0070523A">
        <w:t>TRX</w:t>
      </w:r>
      <w:r w:rsidR="00A46464">
        <w:t>)</w:t>
      </w:r>
      <w:r w:rsidR="0070523A">
        <w:t xml:space="preserve">, DUA, and </w:t>
      </w:r>
      <w:r w:rsidR="0042073A" w:rsidRPr="00877BE0">
        <w:t>Reemployment Trade Adjustment Assistance</w:t>
      </w:r>
      <w:r w:rsidR="0042073A">
        <w:t xml:space="preserve"> (</w:t>
      </w:r>
      <w:r w:rsidR="00CB6C1C">
        <w:t>RTAA</w:t>
      </w:r>
      <w:r w:rsidR="0042073A">
        <w:t>)</w:t>
      </w:r>
      <w:r>
        <w:t>)</w:t>
      </w:r>
      <w:r w:rsidR="00BC0BC4">
        <w:t xml:space="preserve"> and track responses</w:t>
      </w:r>
    </w:p>
    <w:p w14:paraId="014098B5" w14:textId="5A45A618" w:rsidR="00BC0BC4" w:rsidRDefault="00BC0BC4" w:rsidP="00E16D2D">
      <w:pPr>
        <w:pStyle w:val="DB1"/>
      </w:pPr>
      <w:r>
        <w:t>Timely</w:t>
      </w:r>
    </w:p>
    <w:p w14:paraId="3D01D131" w14:textId="0E7885AB" w:rsidR="00BC0BC4" w:rsidRDefault="00BC0BC4" w:rsidP="00E16D2D">
      <w:pPr>
        <w:pStyle w:val="DB1"/>
      </w:pPr>
      <w:r>
        <w:t>Adequate</w:t>
      </w:r>
    </w:p>
    <w:p w14:paraId="4F35A868" w14:textId="77777777" w:rsidR="00CE6DB9" w:rsidRDefault="00CE6DB9" w:rsidP="00D5259C">
      <w:pPr>
        <w:pStyle w:val="SB1"/>
      </w:pPr>
      <w:r>
        <w:t xml:space="preserve">For each claim, the System must establish a Claim Program, Claim Type, File State, and Application Type based on business rules </w:t>
      </w:r>
    </w:p>
    <w:p w14:paraId="2A438D80" w14:textId="44C49667" w:rsidR="006513E9" w:rsidRDefault="006513E9" w:rsidP="00D5259C">
      <w:pPr>
        <w:pStyle w:val="SB1"/>
      </w:pPr>
      <w:r>
        <w:t>For each claim, the System must allow Staff to modify data including but not limited to:</w:t>
      </w:r>
    </w:p>
    <w:p w14:paraId="5CB6D501" w14:textId="72BE5960" w:rsidR="006513E9" w:rsidRDefault="006513E9" w:rsidP="00E16D2D">
      <w:pPr>
        <w:pStyle w:val="DB1"/>
      </w:pPr>
      <w:r>
        <w:t>Fact finding</w:t>
      </w:r>
    </w:p>
    <w:p w14:paraId="0B77A6D9" w14:textId="2ACE06F9" w:rsidR="006513E9" w:rsidRDefault="006513E9" w:rsidP="00E16D2D">
      <w:pPr>
        <w:pStyle w:val="DB1"/>
      </w:pPr>
      <w:r>
        <w:t>Last employer</w:t>
      </w:r>
    </w:p>
    <w:p w14:paraId="3CEE4CC2" w14:textId="3BCEEE91" w:rsidR="006513E9" w:rsidRDefault="006513E9" w:rsidP="00116640">
      <w:pPr>
        <w:pStyle w:val="DB1"/>
      </w:pPr>
      <w:r>
        <w:t>Assessment questions</w:t>
      </w:r>
    </w:p>
    <w:p w14:paraId="588A8C00" w14:textId="17476D94" w:rsidR="00CE6DB9" w:rsidRDefault="00CE6DB9" w:rsidP="00D5259C">
      <w:pPr>
        <w:pStyle w:val="SB1"/>
      </w:pPr>
      <w:r>
        <w:t xml:space="preserve">Conclusion </w:t>
      </w:r>
    </w:p>
    <w:p w14:paraId="5629BD42" w14:textId="77777777" w:rsidR="00CE6DB9" w:rsidRDefault="00CE6DB9" w:rsidP="00E16D2D">
      <w:pPr>
        <w:pStyle w:val="DB1"/>
      </w:pPr>
      <w:r>
        <w:t>Summary</w:t>
      </w:r>
    </w:p>
    <w:p w14:paraId="1A4E5DFA" w14:textId="77777777" w:rsidR="00CE6DB9" w:rsidRDefault="00CE6DB9" w:rsidP="00E16D2D">
      <w:pPr>
        <w:pStyle w:val="DB1"/>
      </w:pPr>
      <w:r>
        <w:t>Benefits rights interview</w:t>
      </w:r>
    </w:p>
    <w:p w14:paraId="4B7800DC" w14:textId="77777777" w:rsidR="00CE6DB9" w:rsidRDefault="00CE6DB9" w:rsidP="00116640">
      <w:pPr>
        <w:pStyle w:val="DB1"/>
      </w:pPr>
      <w:r>
        <w:t>Next steps</w:t>
      </w:r>
    </w:p>
    <w:p w14:paraId="55C5C4DF" w14:textId="77777777" w:rsidR="00CE6DB9" w:rsidRDefault="00CE6DB9" w:rsidP="00D5259C">
      <w:pPr>
        <w:pStyle w:val="SB1"/>
      </w:pPr>
      <w:r>
        <w:t xml:space="preserve">Messages </w:t>
      </w:r>
    </w:p>
    <w:bookmarkEnd w:id="299"/>
    <w:p w14:paraId="1F1E8DC2" w14:textId="14C06633" w:rsidR="00CE6DB9" w:rsidRDefault="0042008E" w:rsidP="00E16D2D">
      <w:pPr>
        <w:pStyle w:val="OB1"/>
      </w:pPr>
      <w:r w:rsidRPr="004F0FEB">
        <w:rPr>
          <w:snapToGrid w:val="0"/>
        </w:rPr>
        <w:t>Unemployment Compensation for Ex-Service Members</w:t>
      </w:r>
      <w:r>
        <w:t xml:space="preserve"> </w:t>
      </w:r>
      <w:r w:rsidR="00CE6DB9">
        <w:t>(UCX)</w:t>
      </w:r>
    </w:p>
    <w:p w14:paraId="723110C8" w14:textId="77777777" w:rsidR="00CE6DB9" w:rsidRDefault="00CE6DB9" w:rsidP="00D5259C">
      <w:pPr>
        <w:pStyle w:val="SB1"/>
      </w:pPr>
      <w:r>
        <w:t>Same basic steps as Regular claim</w:t>
      </w:r>
    </w:p>
    <w:p w14:paraId="5F5DC988" w14:textId="3C074EB6" w:rsidR="00CE6DB9" w:rsidRDefault="00CE6DB9" w:rsidP="00D5259C">
      <w:pPr>
        <w:pStyle w:val="SB1"/>
      </w:pPr>
      <w:r>
        <w:t xml:space="preserve">Collect military last </w:t>
      </w:r>
      <w:r w:rsidR="009521D7">
        <w:t xml:space="preserve">Employer </w:t>
      </w:r>
      <w:r>
        <w:t>detail and wages</w:t>
      </w:r>
    </w:p>
    <w:p w14:paraId="2C09506E" w14:textId="4BFA493A" w:rsidR="00CE6DB9" w:rsidRDefault="00CE6DB9" w:rsidP="00D5259C">
      <w:pPr>
        <w:pStyle w:val="SB1"/>
      </w:pPr>
      <w:r w:rsidRPr="004D3917">
        <w:t xml:space="preserve">System must establish and utilize military pay grade information (as provided by the </w:t>
      </w:r>
      <w:r w:rsidR="004E128C">
        <w:t>DOL</w:t>
      </w:r>
      <w:r w:rsidRPr="004D3917">
        <w:t>) to assist with UCX monetary calculations</w:t>
      </w:r>
    </w:p>
    <w:p w14:paraId="702BD976" w14:textId="31F4F5DF" w:rsidR="00FB562A" w:rsidRDefault="00FB562A" w:rsidP="00D5259C">
      <w:pPr>
        <w:pStyle w:val="SB1"/>
      </w:pPr>
      <w:r>
        <w:t>System must interface with the Federal Claims Control Center (FCCC) and transmit data to them and receive data from them and appropriately process that data (integrate into system)</w:t>
      </w:r>
    </w:p>
    <w:p w14:paraId="7C5F669F" w14:textId="48174E0E" w:rsidR="00CE6DB9" w:rsidRDefault="0013140B" w:rsidP="00E16D2D">
      <w:pPr>
        <w:pStyle w:val="OB1"/>
      </w:pPr>
      <w:r w:rsidRPr="004F0FEB">
        <w:rPr>
          <w:snapToGrid w:val="0"/>
        </w:rPr>
        <w:t>Unemployment Compensation for Federal Employees</w:t>
      </w:r>
      <w:r>
        <w:t xml:space="preserve"> </w:t>
      </w:r>
      <w:r w:rsidR="00CE6DB9">
        <w:t>(UCFE)</w:t>
      </w:r>
      <w:r w:rsidRPr="0013140B">
        <w:t xml:space="preserve"> </w:t>
      </w:r>
      <w:r>
        <w:t>Claim</w:t>
      </w:r>
    </w:p>
    <w:p w14:paraId="72F0D9B8" w14:textId="77777777" w:rsidR="00CE6DB9" w:rsidRDefault="00CE6DB9" w:rsidP="00D5259C">
      <w:pPr>
        <w:pStyle w:val="SB1"/>
      </w:pPr>
      <w:r>
        <w:t>Same basic steps as Regular claim</w:t>
      </w:r>
    </w:p>
    <w:p w14:paraId="1CDD60B5" w14:textId="7BFAE18D" w:rsidR="00CE6DB9" w:rsidRDefault="00CE6DB9" w:rsidP="00D5259C">
      <w:pPr>
        <w:pStyle w:val="SB1"/>
      </w:pPr>
      <w:r>
        <w:t xml:space="preserve">Collect federal last </w:t>
      </w:r>
      <w:r w:rsidR="009521D7">
        <w:t xml:space="preserve">Employer </w:t>
      </w:r>
      <w:r>
        <w:t>detail</w:t>
      </w:r>
      <w:r w:rsidRPr="00263A28">
        <w:t xml:space="preserve"> </w:t>
      </w:r>
      <w:r>
        <w:t>and wages</w:t>
      </w:r>
    </w:p>
    <w:p w14:paraId="62ABD2E2" w14:textId="13F886B9" w:rsidR="0045320F" w:rsidRDefault="0045320F" w:rsidP="0045320F">
      <w:pPr>
        <w:pStyle w:val="SB1"/>
      </w:pPr>
      <w:r>
        <w:t>System must interface with the FCCC and transmit data to them and receive data from them and appropriately process that data (integrate into system)</w:t>
      </w:r>
    </w:p>
    <w:p w14:paraId="73D3B2C7" w14:textId="6383B39B" w:rsidR="00CE6DB9" w:rsidRDefault="00AC7B52" w:rsidP="00E16D2D">
      <w:pPr>
        <w:pStyle w:val="OB1"/>
      </w:pPr>
      <w:r>
        <w:lastRenderedPageBreak/>
        <w:t>Combined Wage Claim (</w:t>
      </w:r>
      <w:r w:rsidR="00CE6DB9">
        <w:t>CWC</w:t>
      </w:r>
      <w:r>
        <w:t>)</w:t>
      </w:r>
      <w:r w:rsidR="00CE6DB9">
        <w:t xml:space="preserve"> Claim</w:t>
      </w:r>
    </w:p>
    <w:p w14:paraId="1B7E70E2" w14:textId="77777777" w:rsidR="00CE6DB9" w:rsidRDefault="00CE6DB9" w:rsidP="00D5259C">
      <w:pPr>
        <w:pStyle w:val="SB1"/>
      </w:pPr>
      <w:r>
        <w:t>Same basic steps as Regular claim</w:t>
      </w:r>
    </w:p>
    <w:p w14:paraId="5CBD59DA" w14:textId="77777777" w:rsidR="00CE6DB9" w:rsidRDefault="00CE6DB9" w:rsidP="00D5259C">
      <w:pPr>
        <w:pStyle w:val="SB1"/>
      </w:pPr>
      <w:r>
        <w:t>Wage transfer request</w:t>
      </w:r>
    </w:p>
    <w:p w14:paraId="672CF289" w14:textId="1B66EBE9" w:rsidR="00CE6DB9" w:rsidRDefault="00CE6DB9" w:rsidP="00D5259C">
      <w:pPr>
        <w:pStyle w:val="SB1"/>
      </w:pPr>
      <w:r>
        <w:t>Billing</w:t>
      </w:r>
    </w:p>
    <w:p w14:paraId="56750057" w14:textId="619AFA5F" w:rsidR="00977E35" w:rsidRDefault="00977E35" w:rsidP="00D5259C">
      <w:pPr>
        <w:pStyle w:val="SB1"/>
      </w:pPr>
      <w:r>
        <w:t>S</w:t>
      </w:r>
      <w:r w:rsidRPr="00DA3179">
        <w:t xml:space="preserve">ystem must support ICON </w:t>
      </w:r>
      <w:r>
        <w:t xml:space="preserve">CWC </w:t>
      </w:r>
      <w:r w:rsidRPr="00DA3179">
        <w:t>functionality</w:t>
      </w:r>
    </w:p>
    <w:p w14:paraId="426152A7" w14:textId="22A14AF0" w:rsidR="00CE6DB9" w:rsidRDefault="00CE6DB9" w:rsidP="00E16D2D">
      <w:pPr>
        <w:pStyle w:val="OB1"/>
      </w:pPr>
      <w:r>
        <w:t>Interstate Claim</w:t>
      </w:r>
    </w:p>
    <w:p w14:paraId="2AACA530" w14:textId="77777777" w:rsidR="00CE6DB9" w:rsidRDefault="00CE6DB9" w:rsidP="00D5259C">
      <w:pPr>
        <w:pStyle w:val="SB1"/>
      </w:pPr>
      <w:r>
        <w:t>Same basic steps as Regular claim</w:t>
      </w:r>
    </w:p>
    <w:p w14:paraId="3C49F815" w14:textId="77777777" w:rsidR="00CE6DB9" w:rsidRDefault="00CE6DB9" w:rsidP="00D5259C">
      <w:pPr>
        <w:pStyle w:val="SB1"/>
      </w:pPr>
      <w:r>
        <w:t>Collect other state working history</w:t>
      </w:r>
    </w:p>
    <w:p w14:paraId="7CBF08B4" w14:textId="77777777" w:rsidR="00CE6DB9" w:rsidRDefault="00CE6DB9" w:rsidP="00D5259C">
      <w:pPr>
        <w:pStyle w:val="SB1"/>
      </w:pPr>
      <w:r>
        <w:t>Other state details</w:t>
      </w:r>
    </w:p>
    <w:p w14:paraId="58BF319E" w14:textId="7E348DC0" w:rsidR="0003370B" w:rsidRDefault="0003370B" w:rsidP="00E16D2D">
      <w:pPr>
        <w:pStyle w:val="LB1"/>
      </w:pPr>
      <w:r>
        <w:t xml:space="preserve">System must allow Staff to set reminders </w:t>
      </w:r>
      <w:r w:rsidR="00421B26">
        <w:t>concerning future determination creation and closure</w:t>
      </w:r>
    </w:p>
    <w:p w14:paraId="3BCD8685" w14:textId="4C16E664" w:rsidR="00421B26" w:rsidRDefault="00421B26" w:rsidP="00E16D2D">
      <w:pPr>
        <w:pStyle w:val="OB1"/>
      </w:pPr>
      <w:r>
        <w:t>Pension</w:t>
      </w:r>
    </w:p>
    <w:p w14:paraId="25916E6F" w14:textId="1282E9D5" w:rsidR="00421B26" w:rsidRDefault="00421B26" w:rsidP="00116640">
      <w:pPr>
        <w:pStyle w:val="OB1"/>
      </w:pPr>
      <w:r>
        <w:t>Severance</w:t>
      </w:r>
    </w:p>
    <w:p w14:paraId="7ACC1DE1" w14:textId="2F3D735B" w:rsidR="00421B26" w:rsidRDefault="00421B26" w:rsidP="00F82166">
      <w:pPr>
        <w:pStyle w:val="OB1"/>
      </w:pPr>
      <w:r>
        <w:t>Availability</w:t>
      </w:r>
    </w:p>
    <w:p w14:paraId="6A404E49" w14:textId="5B4AA3D0" w:rsidR="00421B26" w:rsidRDefault="00421B26" w:rsidP="00F82166">
      <w:pPr>
        <w:pStyle w:val="OB1"/>
      </w:pPr>
      <w:r>
        <w:t>Etc.</w:t>
      </w:r>
    </w:p>
    <w:p w14:paraId="47BDE1BE" w14:textId="223B51D6" w:rsidR="00CE6DB9" w:rsidRDefault="00CE6DB9">
      <w:pPr>
        <w:pStyle w:val="LB1"/>
      </w:pPr>
      <w:r>
        <w:t>System must allow Claimants to have a claim with a combination of program types based on business rules</w:t>
      </w:r>
    </w:p>
    <w:p w14:paraId="5A8A15B5" w14:textId="77777777" w:rsidR="00CE6DB9" w:rsidRDefault="00CE6DB9">
      <w:pPr>
        <w:pStyle w:val="LB1"/>
      </w:pPr>
      <w:r>
        <w:t>System must allow the appropriate Actors to apply for Special Programs such as</w:t>
      </w:r>
    </w:p>
    <w:p w14:paraId="7E6F98DE" w14:textId="77777777" w:rsidR="00CE6DB9" w:rsidRDefault="00CE6DB9">
      <w:pPr>
        <w:pStyle w:val="OB1"/>
      </w:pPr>
      <w:r>
        <w:t>TRA</w:t>
      </w:r>
    </w:p>
    <w:p w14:paraId="34E4400A" w14:textId="77777777" w:rsidR="00C55DEC" w:rsidRDefault="00C55DEC" w:rsidP="00C55DEC">
      <w:pPr>
        <w:pStyle w:val="SB1"/>
      </w:pPr>
      <w:r>
        <w:t>Same basic steps as Regular claim, but with some items specific to TRA</w:t>
      </w:r>
    </w:p>
    <w:p w14:paraId="33797E80" w14:textId="50C42429" w:rsidR="00C55DEC" w:rsidRPr="0049733C" w:rsidRDefault="00C55DEC" w:rsidP="00C55DEC">
      <w:pPr>
        <w:pStyle w:val="SB1"/>
      </w:pPr>
      <w:r w:rsidRPr="0049733C">
        <w:t xml:space="preserve">System must provide the ability to file, process and determine eligibility for </w:t>
      </w:r>
      <w:r w:rsidR="004F7DCA">
        <w:t>TRA</w:t>
      </w:r>
      <w:r>
        <w:t xml:space="preserve"> claims</w:t>
      </w:r>
      <w:r w:rsidRPr="003B070B">
        <w:t xml:space="preserve"> </w:t>
      </w:r>
      <w:r w:rsidRPr="0049733C">
        <w:t>based upon new or existing federal legislation</w:t>
      </w:r>
    </w:p>
    <w:p w14:paraId="1A486DDE" w14:textId="6F932A6F" w:rsidR="00CE6DB9" w:rsidRDefault="00FB562A" w:rsidP="00D5259C">
      <w:pPr>
        <w:pStyle w:val="SB1"/>
      </w:pPr>
      <w:r w:rsidRPr="009F4CF8">
        <w:t xml:space="preserve">System must generate a monetary determination for </w:t>
      </w:r>
      <w:r>
        <w:t xml:space="preserve">Basic TRA, Additional TRA, and </w:t>
      </w:r>
      <w:r w:rsidRPr="009F4CF8">
        <w:t>Completion TRA entitlement</w:t>
      </w:r>
    </w:p>
    <w:p w14:paraId="67ABA2CE" w14:textId="77777777" w:rsidR="00CE6DB9" w:rsidRDefault="00CE6DB9" w:rsidP="00D5259C">
      <w:pPr>
        <w:pStyle w:val="SB1"/>
      </w:pPr>
      <w:r w:rsidRPr="009F4CF8">
        <w:t>System must generate a monetary determination for Remedial/Prerequisite TRA entitlement</w:t>
      </w:r>
    </w:p>
    <w:p w14:paraId="3E91ABC7" w14:textId="0ABE3888" w:rsidR="00CE6DB9" w:rsidRDefault="00CE6DB9" w:rsidP="00D5259C">
      <w:pPr>
        <w:pStyle w:val="SB1"/>
      </w:pPr>
      <w:r w:rsidRPr="00A933DD">
        <w:t xml:space="preserve">System must process Health Care Tax Credit (HCTC) eligibility under both the TRA/ATRA and </w:t>
      </w:r>
      <w:r w:rsidR="00CB23CC" w:rsidRPr="009B0DC0">
        <w:t>Reemployment Trade Adjustment Assistance and Alternative Trade Adjustment Assistance (R/ATAA)</w:t>
      </w:r>
      <w:r w:rsidR="00CB23CC">
        <w:t xml:space="preserve"> </w:t>
      </w:r>
      <w:r w:rsidRPr="00A933DD">
        <w:t>programs</w:t>
      </w:r>
    </w:p>
    <w:p w14:paraId="7577BD31" w14:textId="3E99178E" w:rsidR="00CE6DB9" w:rsidRDefault="00CE6DB9" w:rsidP="00E16D2D">
      <w:pPr>
        <w:pStyle w:val="OB1"/>
      </w:pPr>
      <w:r>
        <w:t>DUA</w:t>
      </w:r>
    </w:p>
    <w:p w14:paraId="79459C16" w14:textId="77777777" w:rsidR="00C55DEC" w:rsidRDefault="00C55DEC" w:rsidP="00C55DEC">
      <w:pPr>
        <w:pStyle w:val="SB1"/>
      </w:pPr>
      <w:r>
        <w:t>Same basic steps as Regular claim, but with some items specific to DUA</w:t>
      </w:r>
    </w:p>
    <w:p w14:paraId="56153EE9" w14:textId="052DBB9C" w:rsidR="008D1494" w:rsidRPr="0049733C" w:rsidRDefault="008D1494" w:rsidP="008D1494">
      <w:pPr>
        <w:pStyle w:val="SB1"/>
      </w:pPr>
      <w:r w:rsidRPr="0049733C">
        <w:t xml:space="preserve">System must provide the ability to file, process and determine eligibility for </w:t>
      </w:r>
      <w:r w:rsidR="003E67B3">
        <w:t>DUA</w:t>
      </w:r>
      <w:r w:rsidR="00C55DEC">
        <w:t xml:space="preserve"> </w:t>
      </w:r>
      <w:r w:rsidR="00E91A4F">
        <w:t>claims</w:t>
      </w:r>
      <w:r w:rsidR="00C55DEC">
        <w:t xml:space="preserve"> based upon new or existing federal legislation</w:t>
      </w:r>
    </w:p>
    <w:p w14:paraId="12297C34" w14:textId="081B42C5" w:rsidR="008D1494" w:rsidRDefault="008D1494" w:rsidP="008D1494">
      <w:pPr>
        <w:pStyle w:val="SB1"/>
      </w:pPr>
      <w:r w:rsidRPr="0049733C">
        <w:t>System must send monetary and nonmonetary determinations for the DUA program</w:t>
      </w:r>
    </w:p>
    <w:p w14:paraId="0DA20115" w14:textId="77777777" w:rsidR="00CE6DB9" w:rsidRDefault="00CE6DB9" w:rsidP="00E16D2D">
      <w:pPr>
        <w:pStyle w:val="OB1"/>
      </w:pPr>
      <w:r>
        <w:t>RTAA</w:t>
      </w:r>
    </w:p>
    <w:p w14:paraId="651B8FCE" w14:textId="3B7D99B3" w:rsidR="008F6C6B" w:rsidRPr="0049733C" w:rsidRDefault="00CE6DB9" w:rsidP="008F6C6B">
      <w:pPr>
        <w:pStyle w:val="SB1"/>
      </w:pPr>
      <w:r w:rsidRPr="009B0DC0">
        <w:t>System must provide the ability to file, process and determine eligibility for R/ATAA claims</w:t>
      </w:r>
      <w:r w:rsidR="008F6C6B" w:rsidRPr="003B070B">
        <w:t xml:space="preserve"> </w:t>
      </w:r>
      <w:r w:rsidR="008F6C6B" w:rsidRPr="0049733C">
        <w:t>based upon new or existing federal legislation</w:t>
      </w:r>
    </w:p>
    <w:p w14:paraId="1B1034E9" w14:textId="6D68C812" w:rsidR="00CE6DB9" w:rsidRDefault="008F6C6B" w:rsidP="008F6C6B">
      <w:pPr>
        <w:pStyle w:val="SB1"/>
      </w:pPr>
      <w:r>
        <w:lastRenderedPageBreak/>
        <w:t>Application must be specific to RTAA</w:t>
      </w:r>
    </w:p>
    <w:p w14:paraId="57CA7D8C" w14:textId="77777777" w:rsidR="00CE6DB9" w:rsidRDefault="00CE6DB9" w:rsidP="00D5259C">
      <w:pPr>
        <w:pStyle w:val="SB1"/>
      </w:pPr>
      <w:r w:rsidRPr="00B547CB">
        <w:t>System must send monetary and nonmonetary determinations for the R/ATAA program</w:t>
      </w:r>
    </w:p>
    <w:p w14:paraId="0E3F58D3" w14:textId="0687FB2A" w:rsidR="00CE6DB9" w:rsidRDefault="00B364CE" w:rsidP="00E16D2D">
      <w:pPr>
        <w:pStyle w:val="OB1"/>
      </w:pPr>
      <w:r>
        <w:rPr>
          <w:snapToGrid w:val="0"/>
        </w:rPr>
        <w:t>Emergency Unemployment Compensation</w:t>
      </w:r>
      <w:r>
        <w:t xml:space="preserve"> (</w:t>
      </w:r>
      <w:r w:rsidR="00CE6DB9">
        <w:t>EUC</w:t>
      </w:r>
      <w:r>
        <w:t>)</w:t>
      </w:r>
    </w:p>
    <w:p w14:paraId="3B51C8D1" w14:textId="77777777" w:rsidR="008D1494" w:rsidRPr="0049733C" w:rsidRDefault="008D1494" w:rsidP="008D1494">
      <w:pPr>
        <w:pStyle w:val="SB1"/>
      </w:pPr>
      <w:r w:rsidRPr="0049733C">
        <w:t>System must provide the ability to file, process and determine eligibility for Emergency Unemployment claims based upon new or existing federal legislation</w:t>
      </w:r>
    </w:p>
    <w:p w14:paraId="53843DC7" w14:textId="4B91D3D7" w:rsidR="008D1494" w:rsidRDefault="008D1494" w:rsidP="008D1494">
      <w:pPr>
        <w:pStyle w:val="SB1"/>
      </w:pPr>
      <w:r w:rsidRPr="0049733C">
        <w:t>System must send monetary and nonmonetary determinations for the EUC program</w:t>
      </w:r>
    </w:p>
    <w:p w14:paraId="2F3F5EE2" w14:textId="1FDE86CC" w:rsidR="00CE6DB9" w:rsidRDefault="00201980" w:rsidP="00E16D2D">
      <w:pPr>
        <w:pStyle w:val="OB1"/>
      </w:pPr>
      <w:r>
        <w:rPr>
          <w:snapToGrid w:val="0"/>
        </w:rPr>
        <w:t>Extended Benefits</w:t>
      </w:r>
      <w:r>
        <w:t xml:space="preserve"> (</w:t>
      </w:r>
      <w:r w:rsidR="00CE6DB9">
        <w:t>EB</w:t>
      </w:r>
      <w:r>
        <w:t>)</w:t>
      </w:r>
    </w:p>
    <w:p w14:paraId="45B3A714" w14:textId="623A5986" w:rsidR="008D1494" w:rsidRPr="0049733C" w:rsidRDefault="008D1494" w:rsidP="008D1494">
      <w:pPr>
        <w:pStyle w:val="SB1"/>
      </w:pPr>
      <w:r w:rsidRPr="0049733C">
        <w:t>System must provide the ability to file, process</w:t>
      </w:r>
      <w:r w:rsidR="00FB0D5A">
        <w:t>,</w:t>
      </w:r>
      <w:r w:rsidRPr="0049733C">
        <w:t xml:space="preserve"> and determine eligibility for State </w:t>
      </w:r>
      <w:r w:rsidR="003E67B3">
        <w:t>EB</w:t>
      </w:r>
      <w:r w:rsidRPr="0049733C">
        <w:t xml:space="preserve"> claims based upon new or existing state legislation</w:t>
      </w:r>
    </w:p>
    <w:p w14:paraId="04B0AFAB" w14:textId="00ADA746" w:rsidR="008D1494" w:rsidRDefault="008D1494" w:rsidP="008D1494">
      <w:pPr>
        <w:pStyle w:val="SB1"/>
      </w:pPr>
      <w:r w:rsidRPr="0049733C">
        <w:t>System must send monetary and nonmonetary determinations for the E</w:t>
      </w:r>
      <w:r>
        <w:t>B</w:t>
      </w:r>
      <w:r w:rsidRPr="0049733C">
        <w:t xml:space="preserve"> program</w:t>
      </w:r>
    </w:p>
    <w:p w14:paraId="2D27E1D7" w14:textId="4D8DD1DE" w:rsidR="00CE6DB9" w:rsidRDefault="00CE6DB9" w:rsidP="00E16D2D">
      <w:pPr>
        <w:pStyle w:val="OB1"/>
      </w:pPr>
      <w:r>
        <w:t>Shared Work</w:t>
      </w:r>
    </w:p>
    <w:p w14:paraId="3B4E10F2" w14:textId="48712483" w:rsidR="008D1494" w:rsidRPr="0049733C" w:rsidRDefault="008D1494" w:rsidP="008D1494">
      <w:pPr>
        <w:pStyle w:val="SB1"/>
      </w:pPr>
      <w:r w:rsidRPr="0049733C">
        <w:t>System must provide the ability to file, process</w:t>
      </w:r>
      <w:r w:rsidR="00FB0D5A">
        <w:t>,</w:t>
      </w:r>
      <w:r w:rsidRPr="0049733C">
        <w:t xml:space="preserve"> and determine eligibility for </w:t>
      </w:r>
      <w:r>
        <w:t>Shared Work (</w:t>
      </w:r>
      <w:r w:rsidR="003E67B3">
        <w:t>STC</w:t>
      </w:r>
      <w:r>
        <w:t>)</w:t>
      </w:r>
      <w:r w:rsidRPr="0049733C">
        <w:t xml:space="preserve"> based upon new or existing </w:t>
      </w:r>
      <w:r>
        <w:t xml:space="preserve">state or </w:t>
      </w:r>
      <w:r w:rsidRPr="0049733C">
        <w:t>federal legislation</w:t>
      </w:r>
    </w:p>
    <w:p w14:paraId="54B92363" w14:textId="3CECE79C" w:rsidR="008D1494" w:rsidRDefault="008D1494" w:rsidP="008D1494">
      <w:pPr>
        <w:pStyle w:val="SB1"/>
      </w:pPr>
      <w:r w:rsidRPr="0049733C">
        <w:t xml:space="preserve">System must send monetary and nonmonetary determinations for the </w:t>
      </w:r>
      <w:r>
        <w:t>Shared Work</w:t>
      </w:r>
      <w:r w:rsidRPr="0049733C">
        <w:t xml:space="preserve"> program</w:t>
      </w:r>
    </w:p>
    <w:p w14:paraId="6E0FB17F" w14:textId="71569470" w:rsidR="00CE6DB9" w:rsidRDefault="00CE6DB9" w:rsidP="00E16D2D">
      <w:pPr>
        <w:pStyle w:val="OB1"/>
      </w:pPr>
      <w:r>
        <w:t>Mass Claims</w:t>
      </w:r>
    </w:p>
    <w:p w14:paraId="2B288972" w14:textId="16DAE505" w:rsidR="008D1494" w:rsidRPr="0049733C" w:rsidRDefault="008D1494" w:rsidP="008D1494">
      <w:pPr>
        <w:pStyle w:val="SB1"/>
      </w:pPr>
      <w:r w:rsidRPr="0049733C">
        <w:t>System must provide the ability to file, process</w:t>
      </w:r>
      <w:r w:rsidR="00FB0D5A">
        <w:t>,</w:t>
      </w:r>
      <w:r w:rsidRPr="0049733C">
        <w:t xml:space="preserve"> and determine eligibility for </w:t>
      </w:r>
      <w:r w:rsidR="003E67B3">
        <w:t>UC</w:t>
      </w:r>
      <w:r>
        <w:t xml:space="preserve"> using the mass claims program based upon business rules</w:t>
      </w:r>
    </w:p>
    <w:p w14:paraId="21897883" w14:textId="4D2DB500" w:rsidR="008D1494" w:rsidRDefault="008D1494" w:rsidP="008D1494">
      <w:pPr>
        <w:pStyle w:val="SB1"/>
      </w:pPr>
      <w:r w:rsidRPr="00604505">
        <w:t>System must send monetary and nonmonetary determinations for claims filed using mass claims</w:t>
      </w:r>
    </w:p>
    <w:p w14:paraId="6B193E69" w14:textId="7A72B47E" w:rsidR="00CE6DB9" w:rsidRDefault="00CE6DB9" w:rsidP="00E16D2D">
      <w:pPr>
        <w:pStyle w:val="LB1"/>
      </w:pPr>
      <w:r>
        <w:t xml:space="preserve">For all Special Programs, System must include customized workflow based on type and </w:t>
      </w:r>
      <w:r w:rsidRPr="006F2D44">
        <w:t xml:space="preserve">DOL and </w:t>
      </w:r>
      <w:r w:rsidR="00DA4BCA">
        <w:t>Texas</w:t>
      </w:r>
      <w:r w:rsidR="00DA4BCA" w:rsidRPr="006F2D44">
        <w:t xml:space="preserve"> </w:t>
      </w:r>
      <w:r w:rsidRPr="006F2D44">
        <w:t>program specific rules and questions</w:t>
      </w:r>
    </w:p>
    <w:p w14:paraId="427C23ED" w14:textId="22DFB025" w:rsidR="00CE6DB9" w:rsidRDefault="00CE6DB9" w:rsidP="00E16D2D">
      <w:pPr>
        <w:pStyle w:val="LB1"/>
      </w:pPr>
      <w:r>
        <w:t>System must perform the following validations based on type of claim</w:t>
      </w:r>
      <w:r w:rsidR="00887F8B">
        <w:t>, including but not limited to</w:t>
      </w:r>
      <w:r w:rsidR="00E51DC5">
        <w:t>:</w:t>
      </w:r>
    </w:p>
    <w:p w14:paraId="2F7B1696" w14:textId="77777777" w:rsidR="00CE6DB9" w:rsidRDefault="00CE6DB9" w:rsidP="00116640">
      <w:pPr>
        <w:pStyle w:val="OB1"/>
      </w:pPr>
      <w:r>
        <w:t>SSNs</w:t>
      </w:r>
    </w:p>
    <w:p w14:paraId="201E4A04" w14:textId="6CC1B4CF" w:rsidR="00CE6DB9" w:rsidRDefault="00CE6DB9" w:rsidP="00F82166">
      <w:pPr>
        <w:pStyle w:val="OB1"/>
      </w:pPr>
      <w:r>
        <w:t>Active claim</w:t>
      </w:r>
      <w:r w:rsidR="00887F8B">
        <w:t xml:space="preserve"> (e.g., benefit year has not </w:t>
      </w:r>
      <w:r w:rsidR="00E51DC5">
        <w:t>ended,</w:t>
      </w:r>
      <w:r w:rsidR="00887F8B">
        <w:t xml:space="preserve"> and claim has a balance available)</w:t>
      </w:r>
    </w:p>
    <w:p w14:paraId="450A46E8" w14:textId="42EC6BDD" w:rsidR="00CE6DB9" w:rsidRDefault="00CE6DB9" w:rsidP="00F82166">
      <w:pPr>
        <w:pStyle w:val="OB1"/>
      </w:pPr>
      <w:r>
        <w:t>Time to file</w:t>
      </w:r>
      <w:r w:rsidR="00887F8B">
        <w:t xml:space="preserve"> (e.g., previous benefit year </w:t>
      </w:r>
      <w:r w:rsidR="00E51DC5">
        <w:t>ended,</w:t>
      </w:r>
      <w:r w:rsidR="00887F8B">
        <w:t xml:space="preserve"> and Claimant needs to file a new claim)</w:t>
      </w:r>
    </w:p>
    <w:p w14:paraId="364F08C0" w14:textId="77777777" w:rsidR="00CE6DB9" w:rsidRDefault="00CE6DB9">
      <w:pPr>
        <w:pStyle w:val="OB1"/>
      </w:pPr>
      <w:r>
        <w:t>Work search required</w:t>
      </w:r>
    </w:p>
    <w:p w14:paraId="110F78C2" w14:textId="77777777" w:rsidR="00CE6DB9" w:rsidRDefault="00CE6DB9">
      <w:pPr>
        <w:pStyle w:val="OB1"/>
      </w:pPr>
      <w:r>
        <w:t>Etc.</w:t>
      </w:r>
    </w:p>
    <w:p w14:paraId="19985723" w14:textId="2AD02846" w:rsidR="00CE6DB9" w:rsidRDefault="00CE6DB9">
      <w:pPr>
        <w:pStyle w:val="LB1"/>
      </w:pPr>
      <w:r>
        <w:t>System must notify Staff and Claimant of any errors that occur when filing claim or when a claim cannot be filed</w:t>
      </w:r>
    </w:p>
    <w:p w14:paraId="751F2EB8" w14:textId="44BFCF71" w:rsidR="00006A6B" w:rsidRPr="00006A6B" w:rsidRDefault="00006A6B">
      <w:pPr>
        <w:pStyle w:val="LB1"/>
      </w:pPr>
      <w:r w:rsidRPr="00006A6B">
        <w:t>O</w:t>
      </w:r>
      <w:r w:rsidR="00542D9C">
        <w:t>fferor must describe how their S</w:t>
      </w:r>
      <w:r w:rsidRPr="00006A6B">
        <w:t xml:space="preserve">ystem can interface with WIT to </w:t>
      </w:r>
      <w:r w:rsidR="00226076">
        <w:t>demonstrate how the Claimant met work search requirements</w:t>
      </w:r>
    </w:p>
    <w:p w14:paraId="48504FF0" w14:textId="77777777" w:rsidR="00006A6B" w:rsidRDefault="00006A6B" w:rsidP="00006A6B"/>
    <w:p w14:paraId="49BF54EF" w14:textId="5A0D8429" w:rsidR="00F62DEE" w:rsidRDefault="00F62DEE" w:rsidP="00F62DEE">
      <w:pPr>
        <w:rPr>
          <w:u w:val="single"/>
        </w:rPr>
      </w:pPr>
      <w:r w:rsidRPr="001D4B41">
        <w:rPr>
          <w:u w:val="single"/>
        </w:rPr>
        <w:t xml:space="preserve">Alternate Activities and </w:t>
      </w:r>
      <w:r w:rsidR="002B1206" w:rsidRPr="001D4B41">
        <w:rPr>
          <w:u w:val="single"/>
        </w:rPr>
        <w:t>Special Cases</w:t>
      </w:r>
    </w:p>
    <w:p w14:paraId="6BE54AAC" w14:textId="77777777" w:rsidR="00E16F74" w:rsidRDefault="00E16F74" w:rsidP="00E16F74">
      <w:r>
        <w:t>System must support the following alternate activities and special cases:</w:t>
      </w:r>
    </w:p>
    <w:p w14:paraId="13892EEB" w14:textId="12068C61" w:rsidR="00CE6DB9" w:rsidRDefault="00CE6DB9" w:rsidP="00E16D2D">
      <w:pPr>
        <w:pStyle w:val="LB1"/>
      </w:pPr>
      <w:r>
        <w:t xml:space="preserve">Cannot locate </w:t>
      </w:r>
      <w:r w:rsidR="009521D7">
        <w:t xml:space="preserve">Employer </w:t>
      </w:r>
      <w:r>
        <w:t>account</w:t>
      </w:r>
    </w:p>
    <w:p w14:paraId="10D9A053" w14:textId="77777777" w:rsidR="00CE6DB9" w:rsidRDefault="00CE6DB9" w:rsidP="00E16D2D">
      <w:pPr>
        <w:pStyle w:val="OB1"/>
      </w:pPr>
      <w:r>
        <w:t>Capture claim details and mark as incomplete</w:t>
      </w:r>
    </w:p>
    <w:p w14:paraId="07E8576A" w14:textId="009D6663" w:rsidR="00CE6DB9" w:rsidRDefault="00CE6DB9" w:rsidP="00116640">
      <w:pPr>
        <w:pStyle w:val="OB1"/>
      </w:pPr>
      <w:r>
        <w:t xml:space="preserve">Create assignment for </w:t>
      </w:r>
      <w:r w:rsidR="009521D7">
        <w:t>Staff</w:t>
      </w:r>
      <w:r>
        <w:t xml:space="preserve"> to validate</w:t>
      </w:r>
    </w:p>
    <w:p w14:paraId="776E2704" w14:textId="77777777" w:rsidR="00CE6DB9" w:rsidRDefault="00CE6DB9" w:rsidP="00F82166">
      <w:pPr>
        <w:pStyle w:val="OB1"/>
      </w:pPr>
      <w:r>
        <w:t>Complete claim</w:t>
      </w:r>
    </w:p>
    <w:p w14:paraId="39A930BC" w14:textId="2ED194F5" w:rsidR="003F2739" w:rsidRDefault="003F2739" w:rsidP="00F82166">
      <w:pPr>
        <w:pStyle w:val="LB1"/>
      </w:pPr>
      <w:r>
        <w:t xml:space="preserve">Take claim without a last </w:t>
      </w:r>
      <w:r w:rsidR="00930F59">
        <w:t xml:space="preserve">Employer </w:t>
      </w:r>
      <w:r>
        <w:t>(e.g., no work record, entitlement programs, etc.)</w:t>
      </w:r>
    </w:p>
    <w:p w14:paraId="57DBB66B" w14:textId="18D72571" w:rsidR="00CE6DB9" w:rsidRDefault="00FB0D5A">
      <w:pPr>
        <w:pStyle w:val="LB1"/>
      </w:pPr>
      <w:r>
        <w:t>Wrong n</w:t>
      </w:r>
      <w:r w:rsidR="00CE6DB9">
        <w:t xml:space="preserve">amed </w:t>
      </w:r>
      <w:r w:rsidR="00930F59">
        <w:t>Employer</w:t>
      </w:r>
    </w:p>
    <w:p w14:paraId="22F20B5A" w14:textId="777E5A7E" w:rsidR="00CE6DB9" w:rsidRDefault="00CE6DB9">
      <w:pPr>
        <w:pStyle w:val="OB1"/>
      </w:pPr>
      <w:r>
        <w:t xml:space="preserve">Voiding and recomplete with correct </w:t>
      </w:r>
      <w:r w:rsidR="00930F59">
        <w:t>Employer</w:t>
      </w:r>
    </w:p>
    <w:p w14:paraId="3AAA456D" w14:textId="77777777" w:rsidR="00CE6DB9" w:rsidRDefault="00CE6DB9">
      <w:pPr>
        <w:pStyle w:val="OB1"/>
      </w:pPr>
      <w:r>
        <w:t>Change account number</w:t>
      </w:r>
    </w:p>
    <w:p w14:paraId="07CBEBF4" w14:textId="57DFFD1A" w:rsidR="00CE6DB9" w:rsidRDefault="00CE6DB9">
      <w:pPr>
        <w:pStyle w:val="LB1"/>
      </w:pPr>
      <w:r w:rsidRPr="00A215F4">
        <w:t xml:space="preserve">System must </w:t>
      </w:r>
      <w:r w:rsidR="00881D11">
        <w:t>allow Staff</w:t>
      </w:r>
      <w:r w:rsidRPr="00A215F4">
        <w:t xml:space="preserve"> to access</w:t>
      </w:r>
      <w:r w:rsidR="00FB0D5A">
        <w:t xml:space="preserve"> and update</w:t>
      </w:r>
      <w:r w:rsidRPr="00A215F4">
        <w:t xml:space="preserve"> partially completed applications (claims in progress)</w:t>
      </w:r>
    </w:p>
    <w:p w14:paraId="352793AF" w14:textId="77777777" w:rsidR="00CE6DB9" w:rsidRDefault="00CE6DB9">
      <w:pPr>
        <w:pStyle w:val="LB1"/>
      </w:pPr>
      <w:r w:rsidRPr="00412FB1">
        <w:t>System must automatically establish the new (transitional) claim for benefits when the benefit year has ended with the current weekly claim</w:t>
      </w:r>
    </w:p>
    <w:p w14:paraId="4A596236" w14:textId="1224D212" w:rsidR="00CE6DB9" w:rsidRDefault="00CE6DB9">
      <w:pPr>
        <w:pStyle w:val="LB1"/>
      </w:pPr>
      <w:r>
        <w:t>S</w:t>
      </w:r>
      <w:r w:rsidRPr="00B2583B">
        <w:t xml:space="preserve">ystem must determine if a </w:t>
      </w:r>
      <w:r w:rsidR="00881D11">
        <w:t xml:space="preserve">Claimant </w:t>
      </w:r>
      <w:r w:rsidRPr="00B2583B">
        <w:t>is potentially eligible for a new program type based on new quarter of wages</w:t>
      </w:r>
      <w:r>
        <w:t xml:space="preserve"> </w:t>
      </w:r>
      <w:r w:rsidR="00FB0D5A">
        <w:t>and</w:t>
      </w:r>
      <w:r>
        <w:t xml:space="preserve"> business rules</w:t>
      </w:r>
    </w:p>
    <w:p w14:paraId="62198FF3" w14:textId="1D0888D9" w:rsidR="00CE6DB9" w:rsidRDefault="00CE6DB9" w:rsidP="00CE6DB9"/>
    <w:p w14:paraId="33928BE7" w14:textId="74C5D690" w:rsidR="00620C4C" w:rsidRPr="00716001" w:rsidRDefault="00620C4C" w:rsidP="00620C4C">
      <w:pPr>
        <w:pStyle w:val="Heading4"/>
      </w:pPr>
      <w:bookmarkStart w:id="301" w:name="_Manage_Claims_–_1"/>
      <w:bookmarkStart w:id="302" w:name="_Hlk536525957"/>
      <w:bookmarkEnd w:id="301"/>
      <w:r>
        <w:tab/>
        <w:t>Manage Claims</w:t>
      </w:r>
      <w:r w:rsidR="00267BAC">
        <w:t xml:space="preserve"> – </w:t>
      </w:r>
      <w:r>
        <w:t>Claimant</w:t>
      </w:r>
    </w:p>
    <w:p w14:paraId="180DE680" w14:textId="57A37C04" w:rsidR="00620C4C" w:rsidRPr="00DF6567" w:rsidRDefault="00E84CCF" w:rsidP="00620C4C">
      <w:r>
        <w:t>This process includes all activities required for Claimants to manage claims (self-service)</w:t>
      </w:r>
      <w:r w:rsidR="00620C4C">
        <w:t>.</w:t>
      </w:r>
    </w:p>
    <w:p w14:paraId="68507E36" w14:textId="77777777" w:rsidR="00620C4C" w:rsidRPr="00C45DE5" w:rsidRDefault="00620C4C" w:rsidP="00620C4C">
      <w:pPr>
        <w:rPr>
          <w:u w:val="single"/>
        </w:rPr>
      </w:pPr>
      <w:r w:rsidRPr="00C45DE5">
        <w:rPr>
          <w:u w:val="single"/>
        </w:rPr>
        <w:t>Actors</w:t>
      </w:r>
    </w:p>
    <w:p w14:paraId="7306C2EB" w14:textId="77777777" w:rsidR="00620C4C" w:rsidRDefault="00620C4C" w:rsidP="00E16D2D">
      <w:pPr>
        <w:pStyle w:val="LB1"/>
      </w:pPr>
      <w:r>
        <w:t xml:space="preserve">Claimants </w:t>
      </w:r>
    </w:p>
    <w:p w14:paraId="42274991" w14:textId="77777777" w:rsidR="00620C4C" w:rsidRPr="00DF6567" w:rsidRDefault="00620C4C" w:rsidP="00620C4C"/>
    <w:p w14:paraId="70A24481" w14:textId="77777777" w:rsidR="00620C4C" w:rsidRDefault="00620C4C" w:rsidP="00620C4C">
      <w:pPr>
        <w:rPr>
          <w:u w:val="single"/>
        </w:rPr>
      </w:pPr>
      <w:r>
        <w:rPr>
          <w:u w:val="single"/>
        </w:rPr>
        <w:t>Main Activities</w:t>
      </w:r>
    </w:p>
    <w:p w14:paraId="5FB7B4EA" w14:textId="7E86800A" w:rsidR="00740D6E" w:rsidRDefault="00740D6E" w:rsidP="00E16D2D">
      <w:pPr>
        <w:pStyle w:val="LB1"/>
      </w:pPr>
      <w:r>
        <w:t>System must allow Claimants to manage claims using a</w:t>
      </w:r>
      <w:r w:rsidR="00CB3296">
        <w:t xml:space="preserve"> secure</w:t>
      </w:r>
      <w:r>
        <w:t xml:space="preserve"> portal or similar functionality</w:t>
      </w:r>
    </w:p>
    <w:p w14:paraId="25A45C30" w14:textId="38489581" w:rsidR="00740D6E" w:rsidRDefault="006C38B6" w:rsidP="00E16D2D">
      <w:pPr>
        <w:pStyle w:val="LB1"/>
      </w:pPr>
      <w:r>
        <w:t xml:space="preserve">System must allow Claimants to </w:t>
      </w:r>
      <w:r w:rsidR="00226076">
        <w:t>r</w:t>
      </w:r>
      <w:r w:rsidR="00740D6E">
        <w:t>equest 1099</w:t>
      </w:r>
      <w:r w:rsidR="0051058E">
        <w:t>-G</w:t>
      </w:r>
      <w:r w:rsidR="00740D6E">
        <w:t xml:space="preserve"> (initial and corrected)</w:t>
      </w:r>
    </w:p>
    <w:bookmarkEnd w:id="302"/>
    <w:p w14:paraId="2D71557C" w14:textId="48FF62D8" w:rsidR="00740D6E" w:rsidRDefault="00F05CC0" w:rsidP="00116640">
      <w:pPr>
        <w:pStyle w:val="LB1"/>
      </w:pPr>
      <w:r>
        <w:t>System must a</w:t>
      </w:r>
      <w:r w:rsidR="00740D6E">
        <w:t>llow Claimant to change certain claim related information, including but not limited to:</w:t>
      </w:r>
    </w:p>
    <w:p w14:paraId="6FE94ACA" w14:textId="754640A1" w:rsidR="00740D6E" w:rsidRDefault="00740D6E" w:rsidP="00F82166">
      <w:pPr>
        <w:pStyle w:val="OB1"/>
      </w:pPr>
      <w:r>
        <w:t xml:space="preserve">Payment method (bank card, </w:t>
      </w:r>
      <w:r w:rsidR="00006A6B">
        <w:t>direct deposit</w:t>
      </w:r>
      <w:r>
        <w:t xml:space="preserve">, </w:t>
      </w:r>
      <w:r w:rsidR="00E91A4F">
        <w:t>etc</w:t>
      </w:r>
      <w:r>
        <w:t>.)</w:t>
      </w:r>
    </w:p>
    <w:p w14:paraId="63E711EE" w14:textId="76C11CD7" w:rsidR="00740D6E" w:rsidRDefault="00740D6E" w:rsidP="00F82166">
      <w:pPr>
        <w:pStyle w:val="OB1"/>
      </w:pPr>
      <w:r>
        <w:t xml:space="preserve">IRS </w:t>
      </w:r>
      <w:r w:rsidR="00006A6B">
        <w:t>Withholding</w:t>
      </w:r>
    </w:p>
    <w:p w14:paraId="32A7BCB1" w14:textId="510510D2" w:rsidR="00740D6E" w:rsidRDefault="00740D6E">
      <w:pPr>
        <w:pStyle w:val="LB1"/>
      </w:pPr>
      <w:r>
        <w:t xml:space="preserve">With some exceptions (e.g., domestic violence, fraud cases, etc.), </w:t>
      </w:r>
      <w:r w:rsidR="00F05CC0">
        <w:t xml:space="preserve">System must </w:t>
      </w:r>
      <w:r>
        <w:t xml:space="preserve">notify Claimant of changes made </w:t>
      </w:r>
      <w:r w:rsidR="00006A6B">
        <w:t>online</w:t>
      </w:r>
      <w:r>
        <w:t>, such as</w:t>
      </w:r>
    </w:p>
    <w:p w14:paraId="67FE94FC" w14:textId="3518FEC3" w:rsidR="00740D6E" w:rsidRDefault="00A00408">
      <w:pPr>
        <w:pStyle w:val="OB1"/>
      </w:pPr>
      <w:r>
        <w:rPr>
          <w:snapToGrid w:val="0"/>
        </w:rPr>
        <w:t>Personal Identification Number</w:t>
      </w:r>
      <w:r>
        <w:t xml:space="preserve"> (</w:t>
      </w:r>
      <w:r w:rsidR="00740D6E">
        <w:t>PIN</w:t>
      </w:r>
      <w:r>
        <w:t>)</w:t>
      </w:r>
      <w:r w:rsidR="00740D6E">
        <w:t xml:space="preserve"> changes</w:t>
      </w:r>
    </w:p>
    <w:p w14:paraId="2CA67AB7" w14:textId="77777777" w:rsidR="00740D6E" w:rsidRDefault="00740D6E">
      <w:pPr>
        <w:pStyle w:val="OB1"/>
      </w:pPr>
      <w:r>
        <w:t>Password changes</w:t>
      </w:r>
    </w:p>
    <w:p w14:paraId="09BE78EE" w14:textId="77777777" w:rsidR="00740D6E" w:rsidRDefault="00740D6E">
      <w:pPr>
        <w:pStyle w:val="OB1"/>
      </w:pPr>
      <w:r>
        <w:t>Address changes</w:t>
      </w:r>
    </w:p>
    <w:p w14:paraId="6B31E9A5" w14:textId="4D993609" w:rsidR="00740D6E" w:rsidRDefault="00F05CC0">
      <w:pPr>
        <w:pStyle w:val="LB1"/>
      </w:pPr>
      <w:r>
        <w:lastRenderedPageBreak/>
        <w:t>System must allow Claimant to o</w:t>
      </w:r>
      <w:r w:rsidR="0032509A">
        <w:t>pt-</w:t>
      </w:r>
      <w:r w:rsidR="00740D6E">
        <w:t>in and out of electronic correspondence</w:t>
      </w:r>
    </w:p>
    <w:p w14:paraId="74DD5F11" w14:textId="753AD866" w:rsidR="00740D6E" w:rsidRDefault="00F05CC0">
      <w:pPr>
        <w:pStyle w:val="LB1"/>
      </w:pPr>
      <w:r>
        <w:t xml:space="preserve">System must allow Claimant to </w:t>
      </w:r>
      <w:r w:rsidR="00F33BA3">
        <w:t>f</w:t>
      </w:r>
      <w:r w:rsidR="00740D6E">
        <w:t>ile an appeal</w:t>
      </w:r>
    </w:p>
    <w:p w14:paraId="6B950064" w14:textId="2B2D95DC" w:rsidR="00740D6E" w:rsidRDefault="00F05CC0">
      <w:pPr>
        <w:pStyle w:val="LB1"/>
      </w:pPr>
      <w:r>
        <w:t>System must allow Claimant to r</w:t>
      </w:r>
      <w:r w:rsidR="00740D6E">
        <w:t>espond to fact finding and information requests</w:t>
      </w:r>
    </w:p>
    <w:p w14:paraId="4E3CE7DA" w14:textId="1CF44815" w:rsidR="00740D6E" w:rsidRDefault="00F05CC0">
      <w:pPr>
        <w:pStyle w:val="LB1"/>
      </w:pPr>
      <w:r>
        <w:t>System must allow Claimant to u</w:t>
      </w:r>
      <w:r w:rsidR="00740D6E">
        <w:t>pload</w:t>
      </w:r>
      <w:r w:rsidR="00AC6977">
        <w:t xml:space="preserve"> and download</w:t>
      </w:r>
      <w:r w:rsidR="00740D6E">
        <w:t xml:space="preserve"> documents</w:t>
      </w:r>
    </w:p>
    <w:p w14:paraId="77B7F1B3" w14:textId="588A4530" w:rsidR="00740D6E" w:rsidRDefault="00F05CC0">
      <w:pPr>
        <w:pStyle w:val="LB1"/>
      </w:pPr>
      <w:r>
        <w:t>System must allow Claimant to i</w:t>
      </w:r>
      <w:r w:rsidR="00740D6E">
        <w:t xml:space="preserve">nitiate a wage </w:t>
      </w:r>
      <w:r w:rsidR="00146DEC">
        <w:t>investigation</w:t>
      </w:r>
    </w:p>
    <w:p w14:paraId="66C05C2E" w14:textId="34DE4236" w:rsidR="00740D6E" w:rsidRDefault="00F05CC0">
      <w:pPr>
        <w:pStyle w:val="LB1"/>
      </w:pPr>
      <w:r>
        <w:t>System must allow Claimant to v</w:t>
      </w:r>
      <w:r w:rsidR="00740D6E">
        <w:t>iew claim(s) data</w:t>
      </w:r>
      <w:r w:rsidR="00AD7760">
        <w:t>, such as but not limited to:</w:t>
      </w:r>
    </w:p>
    <w:p w14:paraId="7C9D5029" w14:textId="77777777" w:rsidR="00740D6E" w:rsidRDefault="00740D6E">
      <w:pPr>
        <w:pStyle w:val="OB1"/>
      </w:pPr>
      <w:r>
        <w:t>Payment status</w:t>
      </w:r>
    </w:p>
    <w:p w14:paraId="3A1933F9" w14:textId="77777777" w:rsidR="00740D6E" w:rsidRDefault="00740D6E">
      <w:pPr>
        <w:pStyle w:val="OB1"/>
      </w:pPr>
      <w:r>
        <w:t>Weekly benefit amount</w:t>
      </w:r>
    </w:p>
    <w:p w14:paraId="73EBB3B1" w14:textId="77777777" w:rsidR="00740D6E" w:rsidRDefault="00740D6E">
      <w:pPr>
        <w:pStyle w:val="OB1"/>
      </w:pPr>
      <w:r>
        <w:t>Maximum benefit amount</w:t>
      </w:r>
    </w:p>
    <w:p w14:paraId="34597E25" w14:textId="77777777" w:rsidR="00740D6E" w:rsidRDefault="00740D6E">
      <w:pPr>
        <w:pStyle w:val="OB1"/>
      </w:pPr>
      <w:r>
        <w:t>Electronic correspondence</w:t>
      </w:r>
    </w:p>
    <w:p w14:paraId="68491A32" w14:textId="26C70170" w:rsidR="00740D6E" w:rsidRDefault="00F05CC0">
      <w:pPr>
        <w:pStyle w:val="LB1"/>
      </w:pPr>
      <w:r>
        <w:t xml:space="preserve">System must allow Claimant to </w:t>
      </w:r>
      <w:r w:rsidR="00AD7760">
        <w:t xml:space="preserve">submit a </w:t>
      </w:r>
      <w:r>
        <w:t>r</w:t>
      </w:r>
      <w:r w:rsidR="00740D6E">
        <w:t xml:space="preserve">equest </w:t>
      </w:r>
      <w:r w:rsidR="00AD7760">
        <w:t xml:space="preserve">for </w:t>
      </w:r>
      <w:r w:rsidR="00740D6E">
        <w:t xml:space="preserve">claim </w:t>
      </w:r>
      <w:r w:rsidR="00146DEC">
        <w:t>information</w:t>
      </w:r>
      <w:r w:rsidR="00740D6E">
        <w:t>, such as</w:t>
      </w:r>
      <w:r w:rsidR="00AD7760">
        <w:t xml:space="preserve"> but not limited to:</w:t>
      </w:r>
    </w:p>
    <w:p w14:paraId="577ED850" w14:textId="4AEDEDE4" w:rsidR="00740D6E" w:rsidRDefault="00740D6E">
      <w:pPr>
        <w:pStyle w:val="OB1"/>
      </w:pPr>
      <w:r>
        <w:t>Proof of claim</w:t>
      </w:r>
      <w:r w:rsidR="008434F6">
        <w:t xml:space="preserve"> (POC)</w:t>
      </w:r>
    </w:p>
    <w:p w14:paraId="383D6156" w14:textId="77777777" w:rsidR="00740D6E" w:rsidRDefault="00740D6E">
      <w:pPr>
        <w:pStyle w:val="OB1"/>
      </w:pPr>
      <w:r>
        <w:t>Exhaustion letter</w:t>
      </w:r>
    </w:p>
    <w:p w14:paraId="25CBE5C7" w14:textId="77777777" w:rsidR="00740D6E" w:rsidRDefault="00740D6E">
      <w:pPr>
        <w:pStyle w:val="OB1"/>
      </w:pPr>
      <w:r>
        <w:t>Fact finding statements</w:t>
      </w:r>
    </w:p>
    <w:p w14:paraId="1A3ACC5A" w14:textId="50AC710E" w:rsidR="00740D6E" w:rsidRDefault="00F05CC0">
      <w:pPr>
        <w:pStyle w:val="LB1"/>
      </w:pPr>
      <w:r>
        <w:t>System must allow Claimant to r</w:t>
      </w:r>
      <w:r w:rsidR="00740D6E">
        <w:t>epay overpayments</w:t>
      </w:r>
      <w:r w:rsidR="00B95E56">
        <w:t xml:space="preserve"> (not in current filing status)</w:t>
      </w:r>
    </w:p>
    <w:p w14:paraId="5CBE4FFE" w14:textId="5900F7ED" w:rsidR="00740D6E" w:rsidRDefault="00F05CC0">
      <w:pPr>
        <w:pStyle w:val="LB1"/>
      </w:pPr>
      <w:r>
        <w:t>System must allow Claimant to s</w:t>
      </w:r>
      <w:r w:rsidR="00740D6E">
        <w:t>ubmit a work search log</w:t>
      </w:r>
    </w:p>
    <w:p w14:paraId="0C0F9F10" w14:textId="409CAD0D" w:rsidR="00740D6E" w:rsidRDefault="00F05CC0">
      <w:pPr>
        <w:pStyle w:val="LB1"/>
      </w:pPr>
      <w:r>
        <w:t>System must allow Claimant to r</w:t>
      </w:r>
      <w:r w:rsidR="00740D6E">
        <w:t xml:space="preserve">equest payment of waiting week </w:t>
      </w:r>
    </w:p>
    <w:p w14:paraId="4E55EFD8" w14:textId="1925DD46" w:rsidR="00740D6E" w:rsidRDefault="00F05CC0">
      <w:pPr>
        <w:pStyle w:val="LB1"/>
      </w:pPr>
      <w:r>
        <w:t>System must allow Claimant to r</w:t>
      </w:r>
      <w:r w:rsidR="00740D6E">
        <w:t xml:space="preserve">equest wages earned in other states (combined wage </w:t>
      </w:r>
      <w:r w:rsidR="00207347">
        <w:t>claim</w:t>
      </w:r>
      <w:r w:rsidR="00740D6E">
        <w:t xml:space="preserve">) </w:t>
      </w:r>
      <w:r w:rsidR="007C4ED8">
        <w:t xml:space="preserve">and initiate </w:t>
      </w:r>
      <w:r w:rsidR="00FB7ED6">
        <w:t>a</w:t>
      </w:r>
      <w:r w:rsidR="008F6C6B">
        <w:t xml:space="preserve"> wage investigation</w:t>
      </w:r>
      <w:r w:rsidR="00FB7ED6" w:rsidRPr="00FB7ED6">
        <w:t xml:space="preserve"> </w:t>
      </w:r>
      <w:r w:rsidR="00FB7ED6">
        <w:t>in another state</w:t>
      </w:r>
    </w:p>
    <w:p w14:paraId="51DF12CD" w14:textId="3D02DE03" w:rsidR="00740D6E" w:rsidRDefault="00F05CC0">
      <w:pPr>
        <w:pStyle w:val="LB1"/>
      </w:pPr>
      <w:r>
        <w:t>System must allow Claimant to r</w:t>
      </w:r>
      <w:r w:rsidR="00740D6E">
        <w:t>eport returned to work</w:t>
      </w:r>
    </w:p>
    <w:p w14:paraId="75E11A6F" w14:textId="77777777" w:rsidR="00740D6E" w:rsidRDefault="00740D6E">
      <w:pPr>
        <w:pStyle w:val="LB1"/>
      </w:pPr>
      <w:r>
        <w:t>System must take appropriate action based on business rules and information received, including but not limited to:</w:t>
      </w:r>
    </w:p>
    <w:p w14:paraId="57C01DF7" w14:textId="77777777" w:rsidR="00740D6E" w:rsidRDefault="00740D6E">
      <w:pPr>
        <w:pStyle w:val="OB1"/>
      </w:pPr>
      <w:r>
        <w:t>Process a payment</w:t>
      </w:r>
    </w:p>
    <w:p w14:paraId="004A8080" w14:textId="77777777" w:rsidR="00740D6E" w:rsidRDefault="00740D6E">
      <w:pPr>
        <w:pStyle w:val="OB1"/>
      </w:pPr>
      <w:r>
        <w:t>Create an issue and assignment</w:t>
      </w:r>
    </w:p>
    <w:p w14:paraId="453053F7" w14:textId="77777777" w:rsidR="00740D6E" w:rsidRDefault="00740D6E">
      <w:pPr>
        <w:pStyle w:val="OB1"/>
      </w:pPr>
      <w:r>
        <w:t>Process an appeal</w:t>
      </w:r>
    </w:p>
    <w:p w14:paraId="6A11FDAD" w14:textId="77777777" w:rsidR="00740D6E" w:rsidRDefault="00740D6E">
      <w:pPr>
        <w:pStyle w:val="OB1"/>
      </w:pPr>
      <w:r>
        <w:t>Create a wage investigation</w:t>
      </w:r>
    </w:p>
    <w:p w14:paraId="4F3DC0FF" w14:textId="77777777" w:rsidR="00740D6E" w:rsidRDefault="00740D6E">
      <w:pPr>
        <w:pStyle w:val="OB1"/>
      </w:pPr>
      <w:r>
        <w:t>Change or edit an existing case</w:t>
      </w:r>
    </w:p>
    <w:p w14:paraId="0F21C6BD" w14:textId="77777777" w:rsidR="00740D6E" w:rsidRDefault="00740D6E">
      <w:pPr>
        <w:pStyle w:val="OB1"/>
      </w:pPr>
      <w:r>
        <w:t>Adjudicate a case</w:t>
      </w:r>
    </w:p>
    <w:p w14:paraId="1DD1FACF" w14:textId="77777777" w:rsidR="00740D6E" w:rsidRDefault="00740D6E">
      <w:pPr>
        <w:pStyle w:val="OB1"/>
      </w:pPr>
      <w:r>
        <w:t>Close, reverse, maintain a disqualification or ineligibility</w:t>
      </w:r>
    </w:p>
    <w:p w14:paraId="1B8F88E1" w14:textId="77777777" w:rsidR="00740D6E" w:rsidRDefault="00740D6E">
      <w:pPr>
        <w:pStyle w:val="OB1"/>
      </w:pPr>
      <w:r>
        <w:t>Process incoming correspondence</w:t>
      </w:r>
    </w:p>
    <w:p w14:paraId="6C82E39F" w14:textId="77777777" w:rsidR="00740D6E" w:rsidRDefault="00740D6E">
      <w:pPr>
        <w:pStyle w:val="OB1"/>
      </w:pPr>
      <w:r>
        <w:t xml:space="preserve">Process and send outgoing correspondence </w:t>
      </w:r>
    </w:p>
    <w:p w14:paraId="74633A54" w14:textId="77777777" w:rsidR="00740D6E" w:rsidRDefault="00740D6E">
      <w:pPr>
        <w:pStyle w:val="OB1"/>
      </w:pPr>
      <w:r>
        <w:t>Record changes real time</w:t>
      </w:r>
    </w:p>
    <w:p w14:paraId="1DC19431" w14:textId="77777777" w:rsidR="00740D6E" w:rsidRDefault="00740D6E">
      <w:pPr>
        <w:pStyle w:val="OB1"/>
      </w:pPr>
      <w:r>
        <w:t xml:space="preserve">Etc. </w:t>
      </w:r>
    </w:p>
    <w:p w14:paraId="1E5F672D" w14:textId="77777777" w:rsidR="00740D6E" w:rsidRDefault="00740D6E">
      <w:pPr>
        <w:pStyle w:val="LB1"/>
      </w:pPr>
      <w:r w:rsidRPr="00F85505">
        <w:t>System must interface with a business intelligence or network traffic monitoring tool (such as Splunk) and flag claims</w:t>
      </w:r>
    </w:p>
    <w:p w14:paraId="4D05D987" w14:textId="7D0E488A" w:rsidR="00740D6E" w:rsidRDefault="00740D6E" w:rsidP="00740D6E"/>
    <w:p w14:paraId="4F6BA6C4" w14:textId="0C654339" w:rsidR="00740D6E" w:rsidRDefault="00740D6E" w:rsidP="00740D6E">
      <w:pPr>
        <w:rPr>
          <w:u w:val="single"/>
        </w:rPr>
      </w:pPr>
      <w:r w:rsidRPr="001D4B41">
        <w:rPr>
          <w:u w:val="single"/>
        </w:rPr>
        <w:t>Alternate Activities and Special Cases</w:t>
      </w:r>
      <w:r>
        <w:rPr>
          <w:u w:val="single"/>
        </w:rPr>
        <w:t xml:space="preserve"> </w:t>
      </w:r>
    </w:p>
    <w:p w14:paraId="435BA242" w14:textId="77777777" w:rsidR="00E16F74" w:rsidRDefault="00E16F74" w:rsidP="00E16F74">
      <w:r>
        <w:t>System must support the following alternate activities and special cases:</w:t>
      </w:r>
    </w:p>
    <w:p w14:paraId="0FC9825B" w14:textId="77777777" w:rsidR="00740D6E" w:rsidRDefault="00740D6E" w:rsidP="00E16D2D">
      <w:pPr>
        <w:pStyle w:val="LB1"/>
      </w:pPr>
      <w:r>
        <w:t>Fraud cases</w:t>
      </w:r>
    </w:p>
    <w:p w14:paraId="7FAE4570" w14:textId="77777777" w:rsidR="00551ED0" w:rsidRDefault="00740D6E" w:rsidP="00E16D2D">
      <w:pPr>
        <w:pStyle w:val="LB1"/>
      </w:pPr>
      <w:r>
        <w:lastRenderedPageBreak/>
        <w:t>Authorized representative with claim restrictions</w:t>
      </w:r>
    </w:p>
    <w:p w14:paraId="5BAAE02F" w14:textId="77777777" w:rsidR="00551ED0" w:rsidRDefault="00551ED0" w:rsidP="00551ED0"/>
    <w:p w14:paraId="7EAB668A" w14:textId="456746B6" w:rsidR="00620C4C" w:rsidRPr="00716001" w:rsidRDefault="00551ED0" w:rsidP="00551ED0">
      <w:pPr>
        <w:pStyle w:val="Heading4"/>
      </w:pPr>
      <w:r>
        <w:tab/>
      </w:r>
      <w:r w:rsidR="00620C4C">
        <w:t>Manage Claims</w:t>
      </w:r>
      <w:r w:rsidR="00267BAC">
        <w:t xml:space="preserve"> – Staff</w:t>
      </w:r>
    </w:p>
    <w:p w14:paraId="1089B299" w14:textId="07E6D806" w:rsidR="00620C4C" w:rsidRPr="00DF6567" w:rsidRDefault="00D25560" w:rsidP="00620C4C">
      <w:r>
        <w:t>This process includes all activities required for Staff to manage claims for Employers and Claimants</w:t>
      </w:r>
      <w:r w:rsidR="00620C4C">
        <w:t>.</w:t>
      </w:r>
    </w:p>
    <w:p w14:paraId="0D9551CE" w14:textId="77777777" w:rsidR="00620C4C" w:rsidRPr="00C45DE5" w:rsidRDefault="00620C4C" w:rsidP="00620C4C">
      <w:pPr>
        <w:rPr>
          <w:u w:val="single"/>
        </w:rPr>
      </w:pPr>
      <w:r w:rsidRPr="00C45DE5">
        <w:rPr>
          <w:u w:val="single"/>
        </w:rPr>
        <w:t>Actors</w:t>
      </w:r>
    </w:p>
    <w:p w14:paraId="76EC9D24" w14:textId="77777777" w:rsidR="00620C4C" w:rsidRDefault="00620C4C" w:rsidP="00E16D2D">
      <w:pPr>
        <w:pStyle w:val="LB1"/>
      </w:pPr>
      <w:r>
        <w:t>Staff</w:t>
      </w:r>
    </w:p>
    <w:p w14:paraId="6E555627" w14:textId="77777777" w:rsidR="00620C4C" w:rsidRPr="00C45DE5" w:rsidRDefault="00620C4C" w:rsidP="00E16D2D">
      <w:pPr>
        <w:pStyle w:val="LB1"/>
      </w:pPr>
      <w:r>
        <w:t>System</w:t>
      </w:r>
    </w:p>
    <w:p w14:paraId="5AD6FB8B" w14:textId="77777777" w:rsidR="00620C4C" w:rsidRPr="00DF6567" w:rsidRDefault="00620C4C" w:rsidP="00620C4C"/>
    <w:p w14:paraId="75ACED5B" w14:textId="77777777" w:rsidR="00620C4C" w:rsidRDefault="00620C4C" w:rsidP="00620C4C">
      <w:pPr>
        <w:rPr>
          <w:u w:val="single"/>
        </w:rPr>
      </w:pPr>
      <w:r>
        <w:rPr>
          <w:u w:val="single"/>
        </w:rPr>
        <w:t>Main Activities</w:t>
      </w:r>
    </w:p>
    <w:p w14:paraId="119736E6" w14:textId="0E97785A" w:rsidR="00257A14" w:rsidRDefault="00257A14" w:rsidP="00E16D2D">
      <w:pPr>
        <w:pStyle w:val="LB1"/>
      </w:pPr>
      <w:r>
        <w:t xml:space="preserve">Staff can perform all functions </w:t>
      </w:r>
      <w:r w:rsidR="0032509A">
        <w:t xml:space="preserve">(roles-based) </w:t>
      </w:r>
      <w:r>
        <w:t xml:space="preserve">included in </w:t>
      </w:r>
      <w:hyperlink w:anchor="_Manage_Claims_–" w:history="1">
        <w:r w:rsidRPr="00F969B4">
          <w:rPr>
            <w:rStyle w:val="Hyperlink"/>
          </w:rPr>
          <w:t>Manage Claims-Employer</w:t>
        </w:r>
      </w:hyperlink>
      <w:r>
        <w:t>, excluding key functions or information (e.g., passwords, payment method, etc.)</w:t>
      </w:r>
    </w:p>
    <w:p w14:paraId="7121C7FB" w14:textId="22B18D21" w:rsidR="00257A14" w:rsidRDefault="00257A14" w:rsidP="00E16D2D">
      <w:pPr>
        <w:pStyle w:val="LB1"/>
      </w:pPr>
      <w:r>
        <w:t xml:space="preserve">Staff can perform all functions </w:t>
      </w:r>
      <w:r w:rsidR="0032509A">
        <w:t xml:space="preserve">(roles-based) </w:t>
      </w:r>
      <w:r>
        <w:t xml:space="preserve">included in </w:t>
      </w:r>
      <w:hyperlink w:anchor="_Manage_Claims_–_1" w:history="1">
        <w:r w:rsidRPr="00F969B4">
          <w:rPr>
            <w:rStyle w:val="Hyperlink"/>
          </w:rPr>
          <w:t>Manage Claims-Claimant</w:t>
        </w:r>
      </w:hyperlink>
      <w:r>
        <w:t>, excluding key functions or information (e.g., passwords, payment method, etc.)</w:t>
      </w:r>
    </w:p>
    <w:p w14:paraId="3801CB64" w14:textId="77777777" w:rsidR="00257A14" w:rsidRDefault="00257A14" w:rsidP="00116640">
      <w:pPr>
        <w:pStyle w:val="LB1"/>
      </w:pPr>
      <w:r w:rsidRPr="00B972A5">
        <w:t>System must (re)calculate UI monetary determination for all program and claim types. The Offeror must describe how they calculate the weekly benefit amount, maximum benefit amount, monetary balance, base period, alternate base period, wage suppression, wage additions and denials, wage credits, wage investigations, and monetary history.</w:t>
      </w:r>
      <w:r w:rsidRPr="00083662">
        <w:t xml:space="preserve"> System must determine separate eligibility based on wages received from other states</w:t>
      </w:r>
    </w:p>
    <w:p w14:paraId="37E481B0" w14:textId="77777777" w:rsidR="00257A14" w:rsidRDefault="00257A14" w:rsidP="00F82166">
      <w:pPr>
        <w:pStyle w:val="LB1"/>
      </w:pPr>
      <w:bookmarkStart w:id="303" w:name="_Hlk534700565"/>
      <w:r>
        <w:t>System must allow Staff to perform the following and System must take appropriate action based on business rules and information received:</w:t>
      </w:r>
    </w:p>
    <w:bookmarkEnd w:id="303"/>
    <w:p w14:paraId="545005EB" w14:textId="77777777" w:rsidR="00257A14" w:rsidRDefault="00257A14" w:rsidP="00F82166">
      <w:pPr>
        <w:pStyle w:val="OB1"/>
      </w:pPr>
      <w:r>
        <w:t>Perform robust search, filter and sort of data</w:t>
      </w:r>
    </w:p>
    <w:p w14:paraId="1CFFDF11" w14:textId="5DCBFF1E" w:rsidR="00257A14" w:rsidRDefault="0037160E">
      <w:pPr>
        <w:pStyle w:val="OB1"/>
      </w:pPr>
      <w:r>
        <w:t>S</w:t>
      </w:r>
      <w:r w:rsidR="00257A14" w:rsidRPr="00AB2349">
        <w:t>earch for, view</w:t>
      </w:r>
      <w:r>
        <w:t>,</w:t>
      </w:r>
      <w:r w:rsidR="00257A14" w:rsidRPr="00AB2349">
        <w:t xml:space="preserve"> and maintain </w:t>
      </w:r>
      <w:r w:rsidR="00257A14">
        <w:t>Claimant and Employer portal</w:t>
      </w:r>
      <w:r w:rsidR="00257A14" w:rsidRPr="00AB2349">
        <w:t xml:space="preserve"> accounts </w:t>
      </w:r>
    </w:p>
    <w:p w14:paraId="1F1D48B9" w14:textId="05F8700E" w:rsidR="00257A14" w:rsidRDefault="00B35F02" w:rsidP="00257A14">
      <w:pPr>
        <w:pStyle w:val="SB1"/>
      </w:pPr>
      <w:r>
        <w:t>Reset account (passwords, PINs, etc.)</w:t>
      </w:r>
    </w:p>
    <w:p w14:paraId="417BA7DD" w14:textId="77777777" w:rsidR="00257A14" w:rsidRDefault="00257A14" w:rsidP="00257A14">
      <w:pPr>
        <w:pStyle w:val="SB1"/>
      </w:pPr>
      <w:r>
        <w:t>Disassociate</w:t>
      </w:r>
    </w:p>
    <w:p w14:paraId="3FE3AE24" w14:textId="6283B135" w:rsidR="00257A14" w:rsidRDefault="00257A14" w:rsidP="00257A14">
      <w:pPr>
        <w:pStyle w:val="SB1"/>
      </w:pPr>
      <w:r>
        <w:t>Lock accounts</w:t>
      </w:r>
      <w:r w:rsidR="009C2494">
        <w:t>/Restrict access</w:t>
      </w:r>
    </w:p>
    <w:p w14:paraId="1C9C614A" w14:textId="77777777" w:rsidR="00257A14" w:rsidRDefault="00257A14" w:rsidP="00257A14">
      <w:pPr>
        <w:pStyle w:val="SB1"/>
      </w:pPr>
      <w:r>
        <w:t xml:space="preserve">Etc. </w:t>
      </w:r>
    </w:p>
    <w:p w14:paraId="364D0EED" w14:textId="02C4F538" w:rsidR="00257A14" w:rsidRDefault="001A73AF" w:rsidP="00E16D2D">
      <w:pPr>
        <w:pStyle w:val="OB1"/>
      </w:pPr>
      <w:r>
        <w:t>A</w:t>
      </w:r>
      <w:r w:rsidR="00257A14">
        <w:t>ssign</w:t>
      </w:r>
      <w:r>
        <w:t>, reassign, self-assign,</w:t>
      </w:r>
      <w:r w:rsidR="00257A14">
        <w:t xml:space="preserve"> </w:t>
      </w:r>
      <w:r>
        <w:t>and</w:t>
      </w:r>
      <w:r w:rsidR="00257A14">
        <w:t xml:space="preserve"> present work items (electronic or paper) based on: </w:t>
      </w:r>
    </w:p>
    <w:p w14:paraId="45427908" w14:textId="77777777" w:rsidR="00257A14" w:rsidRDefault="00257A14" w:rsidP="00257A14">
      <w:pPr>
        <w:pStyle w:val="SB1"/>
      </w:pPr>
      <w:r>
        <w:t>Skills</w:t>
      </w:r>
    </w:p>
    <w:p w14:paraId="222A0711" w14:textId="77777777" w:rsidR="00257A14" w:rsidRDefault="00257A14" w:rsidP="00257A14">
      <w:pPr>
        <w:pStyle w:val="SB1"/>
      </w:pPr>
      <w:r>
        <w:t>Issue type and issue reason identification</w:t>
      </w:r>
    </w:p>
    <w:p w14:paraId="415DE4E0" w14:textId="77777777" w:rsidR="00257A14" w:rsidRDefault="00257A14" w:rsidP="00257A14">
      <w:pPr>
        <w:pStyle w:val="SB1"/>
      </w:pPr>
      <w:r>
        <w:t>Language</w:t>
      </w:r>
    </w:p>
    <w:p w14:paraId="4A224D13" w14:textId="77777777" w:rsidR="00257A14" w:rsidRDefault="00257A14" w:rsidP="00257A14">
      <w:pPr>
        <w:pStyle w:val="SB1"/>
      </w:pPr>
      <w:r>
        <w:t>Staff availability (vacation, holiday, sick, etc.)</w:t>
      </w:r>
    </w:p>
    <w:p w14:paraId="20F3BABB" w14:textId="77777777" w:rsidR="00257A14" w:rsidRDefault="00257A14" w:rsidP="00257A14">
      <w:pPr>
        <w:pStyle w:val="SB1"/>
      </w:pPr>
      <w:r>
        <w:t>Priority</w:t>
      </w:r>
    </w:p>
    <w:p w14:paraId="414F4FD5" w14:textId="77777777" w:rsidR="00257A14" w:rsidRDefault="00257A14" w:rsidP="00257A14">
      <w:pPr>
        <w:pStyle w:val="SB1"/>
      </w:pPr>
      <w:r>
        <w:t>Pending or no action pending</w:t>
      </w:r>
    </w:p>
    <w:p w14:paraId="1AB66530" w14:textId="77777777" w:rsidR="00257A14" w:rsidRDefault="00257A14" w:rsidP="00E16D2D">
      <w:pPr>
        <w:pStyle w:val="OB1"/>
      </w:pPr>
      <w:r>
        <w:lastRenderedPageBreak/>
        <w:t>Process mass changes and updates, for example:</w:t>
      </w:r>
    </w:p>
    <w:p w14:paraId="6254AEDD" w14:textId="4C8D2403" w:rsidR="00257A14" w:rsidRDefault="00257A14" w:rsidP="00257A14">
      <w:pPr>
        <w:pStyle w:val="SB1"/>
      </w:pPr>
      <w:r>
        <w:t>Back date multiple claims</w:t>
      </w:r>
    </w:p>
    <w:p w14:paraId="5DAB741C" w14:textId="0BD05EF1" w:rsidR="00EB1765" w:rsidRDefault="00EB1765" w:rsidP="00257A14">
      <w:pPr>
        <w:pStyle w:val="SB1"/>
      </w:pPr>
      <w:r>
        <w:t>Update work search requirement</w:t>
      </w:r>
    </w:p>
    <w:p w14:paraId="65C5389D" w14:textId="72C63C1A" w:rsidR="00257A14" w:rsidRDefault="00257A14" w:rsidP="00257A14">
      <w:pPr>
        <w:pStyle w:val="SB1"/>
      </w:pPr>
      <w:r>
        <w:t xml:space="preserve">Change </w:t>
      </w:r>
      <w:r w:rsidR="00930F59">
        <w:t>Employer</w:t>
      </w:r>
      <w:r w:rsidR="00B95E56">
        <w:t xml:space="preserve"> </w:t>
      </w:r>
      <w:r>
        <w:t>due date for multiple claims</w:t>
      </w:r>
    </w:p>
    <w:p w14:paraId="5A19C131" w14:textId="77777777" w:rsidR="00257A14" w:rsidRDefault="00257A14" w:rsidP="00257A14">
      <w:pPr>
        <w:pStyle w:val="SB1"/>
      </w:pPr>
      <w:r>
        <w:t>Issue correspondence to multiple Claimants and Employers</w:t>
      </w:r>
    </w:p>
    <w:p w14:paraId="29154CB2" w14:textId="77777777" w:rsidR="00257A14" w:rsidRDefault="00257A14" w:rsidP="00E16D2D">
      <w:pPr>
        <w:pStyle w:val="OB1"/>
      </w:pPr>
      <w:r>
        <w:t>Convert weeks to different program types and claims</w:t>
      </w:r>
    </w:p>
    <w:p w14:paraId="312BFE9D" w14:textId="5F26717B" w:rsidR="00257A14" w:rsidRDefault="00257A14" w:rsidP="00E16D2D">
      <w:pPr>
        <w:pStyle w:val="OB1"/>
      </w:pPr>
      <w:r>
        <w:t xml:space="preserve">Special Claim </w:t>
      </w:r>
      <w:r w:rsidR="00B95E56">
        <w:t>Maintenance</w:t>
      </w:r>
    </w:p>
    <w:p w14:paraId="7FD39E7B" w14:textId="77777777" w:rsidR="00257A14" w:rsidRDefault="00257A14" w:rsidP="00257A14">
      <w:pPr>
        <w:pStyle w:val="SB1"/>
      </w:pPr>
      <w:r>
        <w:t>Trigger payment</w:t>
      </w:r>
    </w:p>
    <w:p w14:paraId="7473BF87" w14:textId="77777777" w:rsidR="00257A14" w:rsidRDefault="00257A14" w:rsidP="00257A14">
      <w:pPr>
        <w:pStyle w:val="SB1"/>
      </w:pPr>
      <w:r>
        <w:t>Flip waiting week flag</w:t>
      </w:r>
    </w:p>
    <w:p w14:paraId="17879F26" w14:textId="77777777" w:rsidR="00257A14" w:rsidRDefault="00257A14" w:rsidP="00257A14">
      <w:pPr>
        <w:pStyle w:val="SB1"/>
      </w:pPr>
      <w:r>
        <w:t>Move balance to disqualification</w:t>
      </w:r>
    </w:p>
    <w:p w14:paraId="48F12715" w14:textId="77777777" w:rsidR="00257A14" w:rsidRDefault="00257A14" w:rsidP="00257A14">
      <w:pPr>
        <w:pStyle w:val="SB1"/>
      </w:pPr>
      <w:r>
        <w:t>Adjust amounts in disqualification</w:t>
      </w:r>
    </w:p>
    <w:p w14:paraId="667525E5" w14:textId="77777777" w:rsidR="00257A14" w:rsidRDefault="00257A14" w:rsidP="00257A14">
      <w:pPr>
        <w:pStyle w:val="SB1"/>
      </w:pPr>
      <w:r>
        <w:t>Change claim end date</w:t>
      </w:r>
    </w:p>
    <w:p w14:paraId="373BB728" w14:textId="77777777" w:rsidR="00257A14" w:rsidRDefault="00257A14" w:rsidP="00257A14">
      <w:pPr>
        <w:pStyle w:val="SB1"/>
      </w:pPr>
      <w:r>
        <w:t>Remove exhaust date</w:t>
      </w:r>
    </w:p>
    <w:p w14:paraId="08EE41C4" w14:textId="77777777" w:rsidR="00257A14" w:rsidRDefault="00257A14" w:rsidP="00E16D2D">
      <w:pPr>
        <w:pStyle w:val="OB1"/>
      </w:pPr>
      <w:r>
        <w:t>Review issues and complete the claim to make it valid, such as:</w:t>
      </w:r>
    </w:p>
    <w:p w14:paraId="375DB393" w14:textId="77777777" w:rsidR="00257A14" w:rsidRDefault="00257A14" w:rsidP="00257A14">
      <w:pPr>
        <w:pStyle w:val="SB1"/>
      </w:pPr>
      <w:r>
        <w:t>Wage and name discrepancy</w:t>
      </w:r>
    </w:p>
    <w:p w14:paraId="20BEF129" w14:textId="77777777" w:rsidR="00257A14" w:rsidRDefault="00257A14" w:rsidP="00257A14">
      <w:pPr>
        <w:pStyle w:val="SB1"/>
      </w:pPr>
      <w:r>
        <w:t>Incomplete claim</w:t>
      </w:r>
    </w:p>
    <w:p w14:paraId="3C2BE48B" w14:textId="77777777" w:rsidR="00257A14" w:rsidRDefault="00257A14" w:rsidP="00257A14">
      <w:pPr>
        <w:pStyle w:val="SB1"/>
      </w:pPr>
      <w:r>
        <w:t>Void and unvoid claims</w:t>
      </w:r>
    </w:p>
    <w:p w14:paraId="7AEB7CF0" w14:textId="32D6371E" w:rsidR="00257A14" w:rsidRDefault="00257A14" w:rsidP="00257A14">
      <w:pPr>
        <w:pStyle w:val="SB1"/>
      </w:pPr>
      <w:r>
        <w:t xml:space="preserve">Correct </w:t>
      </w:r>
      <w:r w:rsidR="00930F59">
        <w:t>Employer</w:t>
      </w:r>
      <w:r>
        <w:t>/change account numbers</w:t>
      </w:r>
    </w:p>
    <w:p w14:paraId="3B66D3BD" w14:textId="6EE9F33B" w:rsidR="00000D00" w:rsidRDefault="00000D00" w:rsidP="00257A14">
      <w:pPr>
        <w:pStyle w:val="SB1"/>
      </w:pPr>
      <w:r>
        <w:t>Unlock claims locked for ID theft victims</w:t>
      </w:r>
    </w:p>
    <w:p w14:paraId="3724F83A" w14:textId="77777777" w:rsidR="00257A14" w:rsidRDefault="00257A14" w:rsidP="00E16D2D">
      <w:pPr>
        <w:pStyle w:val="OB1"/>
      </w:pPr>
      <w:r>
        <w:t>Manage wages</w:t>
      </w:r>
    </w:p>
    <w:p w14:paraId="2053986C" w14:textId="6485AA0C" w:rsidR="00257A14" w:rsidRDefault="00257A14" w:rsidP="00257A14">
      <w:pPr>
        <w:pStyle w:val="SB1"/>
      </w:pPr>
      <w:r>
        <w:t xml:space="preserve">Acknowledge, add, delete, initiate wage investigation on Texas wages, </w:t>
      </w:r>
    </w:p>
    <w:p w14:paraId="420B286C" w14:textId="77777777" w:rsidR="00257A14" w:rsidRDefault="00257A14" w:rsidP="00936F99">
      <w:pPr>
        <w:pStyle w:val="SB1"/>
      </w:pPr>
      <w:r>
        <w:t xml:space="preserve">CWC wages, </w:t>
      </w:r>
    </w:p>
    <w:p w14:paraId="411A921F" w14:textId="0D577BE2" w:rsidR="00257A14" w:rsidRDefault="00936F99" w:rsidP="00936F99">
      <w:pPr>
        <w:pStyle w:val="SB1"/>
      </w:pPr>
      <w:r>
        <w:t>M</w:t>
      </w:r>
      <w:r w:rsidR="00257A14">
        <w:t xml:space="preserve">ilitary wages, </w:t>
      </w:r>
    </w:p>
    <w:p w14:paraId="336495C4" w14:textId="18E19153" w:rsidR="00257A14" w:rsidRDefault="00936F99" w:rsidP="00936F99">
      <w:pPr>
        <w:pStyle w:val="SB1"/>
      </w:pPr>
      <w:r>
        <w:t>F</w:t>
      </w:r>
      <w:r w:rsidR="00257A14">
        <w:t>ederal wages based on business rules</w:t>
      </w:r>
    </w:p>
    <w:p w14:paraId="34D24643" w14:textId="3BF5B29C" w:rsidR="00257A14" w:rsidRDefault="00257A14" w:rsidP="00E16D2D">
      <w:pPr>
        <w:pStyle w:val="OB1"/>
      </w:pPr>
      <w:r>
        <w:t>V</w:t>
      </w:r>
      <w:r w:rsidRPr="008E034E">
        <w:t xml:space="preserve">iew, resend, add IB </w:t>
      </w:r>
      <w:r w:rsidR="00E91A4F" w:rsidRPr="008E034E">
        <w:t>transactions</w:t>
      </w:r>
    </w:p>
    <w:p w14:paraId="01DE4BD0" w14:textId="77777777" w:rsidR="00257A14" w:rsidRDefault="00257A14" w:rsidP="00E16D2D">
      <w:pPr>
        <w:pStyle w:val="OB1"/>
      </w:pPr>
      <w:r>
        <w:t>V</w:t>
      </w:r>
      <w:r w:rsidRPr="008E034E">
        <w:t>iew, resend, add UCX/UCFE transactions</w:t>
      </w:r>
    </w:p>
    <w:p w14:paraId="480F2B60" w14:textId="30844C21" w:rsidR="00257A14" w:rsidRDefault="00257A14" w:rsidP="00116640">
      <w:pPr>
        <w:pStyle w:val="OB1"/>
      </w:pPr>
      <w:r>
        <w:t>Process DD</w:t>
      </w:r>
      <w:r w:rsidR="00FD209C">
        <w:t xml:space="preserve"> </w:t>
      </w:r>
      <w:r>
        <w:t>214s</w:t>
      </w:r>
    </w:p>
    <w:p w14:paraId="08FFE04A" w14:textId="77777777" w:rsidR="00257A14" w:rsidRDefault="00257A14" w:rsidP="00F82166">
      <w:pPr>
        <w:pStyle w:val="OB1"/>
      </w:pPr>
      <w:r>
        <w:t>Update IRS Withholding</w:t>
      </w:r>
    </w:p>
    <w:p w14:paraId="5B4C3C44" w14:textId="77777777" w:rsidR="00257A14" w:rsidRDefault="00257A14" w:rsidP="00F82166">
      <w:pPr>
        <w:pStyle w:val="OB1"/>
      </w:pPr>
      <w:r>
        <w:t xml:space="preserve">Request and process </w:t>
      </w:r>
      <w:r w:rsidRPr="00F43796">
        <w:t>federal proof</w:t>
      </w:r>
      <w:r>
        <w:t xml:space="preserve"> of earnings</w:t>
      </w:r>
    </w:p>
    <w:p w14:paraId="16B0DE30" w14:textId="77777777" w:rsidR="00257A14" w:rsidRDefault="00257A14">
      <w:pPr>
        <w:pStyle w:val="OB1"/>
      </w:pPr>
      <w:r>
        <w:t xml:space="preserve">Cancel payments (warrants) </w:t>
      </w:r>
    </w:p>
    <w:p w14:paraId="1A4896FB" w14:textId="77777777" w:rsidR="00257A14" w:rsidRDefault="00257A14">
      <w:pPr>
        <w:pStyle w:val="OB1"/>
      </w:pPr>
      <w:r>
        <w:t xml:space="preserve">Update child support obligation (very limited) </w:t>
      </w:r>
    </w:p>
    <w:p w14:paraId="6DD4CFDB" w14:textId="77777777" w:rsidR="00257A14" w:rsidRDefault="00257A14">
      <w:pPr>
        <w:pStyle w:val="OB1"/>
      </w:pPr>
      <w:r>
        <w:t>Add entitlement (Completion/Remedial TRA)</w:t>
      </w:r>
    </w:p>
    <w:p w14:paraId="1836F900" w14:textId="77777777" w:rsidR="00257A14" w:rsidRDefault="00257A14">
      <w:pPr>
        <w:pStyle w:val="OB1"/>
      </w:pPr>
      <w:r>
        <w:t>Correct earnings on weeks claimed</w:t>
      </w:r>
    </w:p>
    <w:p w14:paraId="0FFB32F8" w14:textId="77777777" w:rsidR="00257A14" w:rsidRDefault="00257A14">
      <w:pPr>
        <w:pStyle w:val="OB1"/>
      </w:pPr>
      <w:r>
        <w:t>Add and modify notes</w:t>
      </w:r>
    </w:p>
    <w:p w14:paraId="32DF0FE3" w14:textId="77777777" w:rsidR="00257A14" w:rsidRDefault="00257A14">
      <w:pPr>
        <w:pStyle w:val="OB1"/>
      </w:pPr>
      <w:r>
        <w:t>Change payment method (very limited)</w:t>
      </w:r>
    </w:p>
    <w:p w14:paraId="5345099F" w14:textId="77777777" w:rsidR="00FA6B88" w:rsidRDefault="00257A14">
      <w:pPr>
        <w:pStyle w:val="OB1"/>
      </w:pPr>
      <w:r>
        <w:t>Update</w:t>
      </w:r>
      <w:r w:rsidR="00EC0035">
        <w:t xml:space="preserve"> and reissue</w:t>
      </w:r>
      <w:r w:rsidR="00FA6B88">
        <w:t xml:space="preserve"> correspondence (return mail)</w:t>
      </w:r>
    </w:p>
    <w:p w14:paraId="32714F5B" w14:textId="2C822562" w:rsidR="00257A14" w:rsidRDefault="00FA6B88">
      <w:pPr>
        <w:pStyle w:val="OB1"/>
      </w:pPr>
      <w:r>
        <w:t>L</w:t>
      </w:r>
      <w:r w:rsidR="00257A14">
        <w:t xml:space="preserve">og manual correspondence </w:t>
      </w:r>
    </w:p>
    <w:p w14:paraId="3FFE325F" w14:textId="77777777" w:rsidR="00257A14" w:rsidRDefault="00257A14">
      <w:pPr>
        <w:pStyle w:val="OB1"/>
      </w:pPr>
      <w:r>
        <w:t>Change claim date (backdate)</w:t>
      </w:r>
    </w:p>
    <w:p w14:paraId="15DF37F6" w14:textId="77777777" w:rsidR="00257A14" w:rsidRDefault="00257A14">
      <w:pPr>
        <w:pStyle w:val="OB1"/>
      </w:pPr>
      <w:r>
        <w:t>Change work search requirements based on business rules</w:t>
      </w:r>
    </w:p>
    <w:p w14:paraId="3A1AF714" w14:textId="77777777" w:rsidR="00B95E56" w:rsidRDefault="00B95E56">
      <w:pPr>
        <w:pStyle w:val="OB1"/>
      </w:pPr>
      <w:r>
        <w:lastRenderedPageBreak/>
        <w:t>Change SSN for reasons such as ID theft, etc.</w:t>
      </w:r>
    </w:p>
    <w:p w14:paraId="264C5882" w14:textId="5F7677EE" w:rsidR="00497C81" w:rsidRDefault="006C542A">
      <w:pPr>
        <w:pStyle w:val="OB1"/>
      </w:pPr>
      <w:bookmarkStart w:id="304" w:name="_Hlk534700533"/>
      <w:r>
        <w:t xml:space="preserve">Request work search logs based upon business rules (i.e., random, number established by staff, </w:t>
      </w:r>
      <w:r w:rsidR="001627CD">
        <w:t xml:space="preserve">immediately, </w:t>
      </w:r>
      <w:r>
        <w:t>etc.)</w:t>
      </w:r>
    </w:p>
    <w:p w14:paraId="27B45F90" w14:textId="021BC048" w:rsidR="008A3DA9" w:rsidRDefault="008A3DA9">
      <w:pPr>
        <w:pStyle w:val="OB1"/>
      </w:pPr>
      <w:r>
        <w:t>Provide the capability to obtain completed work search logs for review based upon business rules (i.e., random, number established by staff, etc.)</w:t>
      </w:r>
    </w:p>
    <w:p w14:paraId="24BBD52D" w14:textId="2BB5B553" w:rsidR="001627CD" w:rsidRDefault="001627CD" w:rsidP="001627CD">
      <w:pPr>
        <w:pStyle w:val="SB1"/>
      </w:pPr>
      <w:r w:rsidRPr="001627CD">
        <w:t>Request</w:t>
      </w:r>
      <w:r>
        <w:t xml:space="preserve"> work search log if required</w:t>
      </w:r>
    </w:p>
    <w:p w14:paraId="734FC93F" w14:textId="3C76FC37" w:rsidR="001627CD" w:rsidRDefault="001627CD" w:rsidP="001627CD">
      <w:pPr>
        <w:pStyle w:val="SB1"/>
      </w:pPr>
      <w:r>
        <w:t>View and update work search log status</w:t>
      </w:r>
    </w:p>
    <w:p w14:paraId="3BB6A3BF" w14:textId="64F97EC2" w:rsidR="001627CD" w:rsidRDefault="001627CD" w:rsidP="00E16D2D">
      <w:pPr>
        <w:pStyle w:val="DB1"/>
      </w:pPr>
      <w:r>
        <w:t>Enter verification results</w:t>
      </w:r>
    </w:p>
    <w:p w14:paraId="5280C4AC" w14:textId="237F837F" w:rsidR="001627CD" w:rsidRDefault="001627CD" w:rsidP="00E16D2D">
      <w:pPr>
        <w:pStyle w:val="DB1"/>
      </w:pPr>
      <w:r>
        <w:t>Create a case(s)</w:t>
      </w:r>
    </w:p>
    <w:p w14:paraId="0E9ED8A9" w14:textId="02E03988" w:rsidR="006C542A" w:rsidRDefault="006C542A" w:rsidP="00116640">
      <w:pPr>
        <w:pStyle w:val="OB1"/>
      </w:pPr>
      <w:r>
        <w:t>Provide the capability to obtain samples of completed work search log validations for quality assurance</w:t>
      </w:r>
    </w:p>
    <w:bookmarkEnd w:id="304"/>
    <w:p w14:paraId="4F94DE5A" w14:textId="07DF8DB7" w:rsidR="00C27449" w:rsidRDefault="00C27449" w:rsidP="00F82166">
      <w:pPr>
        <w:pStyle w:val="OB1"/>
      </w:pPr>
      <w:r>
        <w:t>Request and process out of state work registration</w:t>
      </w:r>
    </w:p>
    <w:p w14:paraId="7E9AB6A5" w14:textId="77777777" w:rsidR="00257A14" w:rsidRDefault="00257A14" w:rsidP="00F82166">
      <w:pPr>
        <w:pStyle w:val="OB1"/>
      </w:pPr>
      <w:r>
        <w:t>Process wage corrections such as</w:t>
      </w:r>
    </w:p>
    <w:p w14:paraId="105DD4DA" w14:textId="77777777" w:rsidR="00257A14" w:rsidRDefault="00257A14" w:rsidP="00936F99">
      <w:pPr>
        <w:pStyle w:val="SB1"/>
      </w:pPr>
      <w:r>
        <w:t>Update SSN on wage records</w:t>
      </w:r>
    </w:p>
    <w:p w14:paraId="7ABB5AE0" w14:textId="77777777" w:rsidR="00257A14" w:rsidRDefault="00257A14" w:rsidP="00936F99">
      <w:pPr>
        <w:pStyle w:val="SB1"/>
      </w:pPr>
      <w:r>
        <w:t>Change amounts on wage records</w:t>
      </w:r>
    </w:p>
    <w:p w14:paraId="5446CCB3" w14:textId="75694EA9" w:rsidR="0038249E" w:rsidRDefault="0038249E" w:rsidP="00E16D2D">
      <w:pPr>
        <w:pStyle w:val="OB1"/>
      </w:pPr>
      <w:bookmarkStart w:id="305" w:name="_Hlk536526386"/>
      <w:r>
        <w:t>Issue Claimant corrected 1099</w:t>
      </w:r>
      <w:r w:rsidR="0051058E">
        <w:t>-</w:t>
      </w:r>
      <w:r>
        <w:t>G and System must correct IRS 1099 transmission amount</w:t>
      </w:r>
    </w:p>
    <w:bookmarkEnd w:id="305"/>
    <w:p w14:paraId="009A3F9C" w14:textId="32A7391D" w:rsidR="00257A14" w:rsidRDefault="00B95E56" w:rsidP="00E16D2D">
      <w:pPr>
        <w:pStyle w:val="OB1"/>
      </w:pPr>
      <w:r>
        <w:t>Update n</w:t>
      </w:r>
      <w:r w:rsidR="00257A14">
        <w:t>ormal wage</w:t>
      </w:r>
    </w:p>
    <w:p w14:paraId="3886FD71" w14:textId="77777777" w:rsidR="00257A14" w:rsidRDefault="00257A14" w:rsidP="00116640">
      <w:pPr>
        <w:pStyle w:val="OB1"/>
      </w:pPr>
      <w:r>
        <w:t>Update customary hours</w:t>
      </w:r>
    </w:p>
    <w:p w14:paraId="2DB5B39E" w14:textId="59A78B79" w:rsidR="00257A14" w:rsidRDefault="00257A14" w:rsidP="00F82166">
      <w:pPr>
        <w:pStyle w:val="OB1"/>
      </w:pPr>
      <w:r>
        <w:t xml:space="preserve">Withdraw Initial Claim </w:t>
      </w:r>
      <w:r w:rsidR="004674C3">
        <w:t>(WIC)</w:t>
      </w:r>
    </w:p>
    <w:p w14:paraId="2EB871FE" w14:textId="43424A80" w:rsidR="00257A14" w:rsidRDefault="00257A14" w:rsidP="00936F99">
      <w:pPr>
        <w:pStyle w:val="SB1"/>
      </w:pPr>
      <w:r>
        <w:t xml:space="preserve">Notify another state </w:t>
      </w:r>
    </w:p>
    <w:p w14:paraId="74F9DC96" w14:textId="77777777" w:rsidR="00257A14" w:rsidRDefault="00257A14" w:rsidP="00936F99">
      <w:pPr>
        <w:pStyle w:val="SB1"/>
      </w:pPr>
      <w:r>
        <w:t>Issue a decision</w:t>
      </w:r>
    </w:p>
    <w:p w14:paraId="309052FD" w14:textId="77777777" w:rsidR="00257A14" w:rsidRDefault="00257A14" w:rsidP="00936F99">
      <w:pPr>
        <w:pStyle w:val="SB1"/>
      </w:pPr>
      <w:r>
        <w:t>Return other state wages</w:t>
      </w:r>
    </w:p>
    <w:p w14:paraId="2BCC8E5A" w14:textId="77777777" w:rsidR="00257A14" w:rsidRDefault="00257A14" w:rsidP="00936F99">
      <w:pPr>
        <w:pStyle w:val="SB1"/>
      </w:pPr>
      <w:r>
        <w:t>Unmark Texas wages</w:t>
      </w:r>
    </w:p>
    <w:p w14:paraId="617DCF63" w14:textId="435189A8" w:rsidR="00257A14" w:rsidRDefault="00257A14" w:rsidP="00936F99">
      <w:pPr>
        <w:pStyle w:val="SB1"/>
      </w:pPr>
      <w:r>
        <w:t>Issue billing adjustments (</w:t>
      </w:r>
      <w:r w:rsidR="009521D7">
        <w:t xml:space="preserve">Employer </w:t>
      </w:r>
      <w:r>
        <w:t>charging)</w:t>
      </w:r>
    </w:p>
    <w:p w14:paraId="3289E7C0" w14:textId="77777777" w:rsidR="00257A14" w:rsidRDefault="00257A14" w:rsidP="00936F99">
      <w:pPr>
        <w:pStyle w:val="SB1"/>
      </w:pPr>
      <w:r>
        <w:t>Etc.</w:t>
      </w:r>
    </w:p>
    <w:p w14:paraId="6F8C81F8" w14:textId="77777777" w:rsidR="00257A14" w:rsidRDefault="00257A14" w:rsidP="00E16D2D">
      <w:pPr>
        <w:pStyle w:val="OB1"/>
      </w:pPr>
      <w:r>
        <w:t xml:space="preserve">System must </w:t>
      </w:r>
      <w:r w:rsidRPr="00D01B9C">
        <w:t>track progress toward lifting a previous disqualification</w:t>
      </w:r>
      <w:r>
        <w:t xml:space="preserve"> and take action according to business rules</w:t>
      </w:r>
    </w:p>
    <w:p w14:paraId="7C630365" w14:textId="77777777" w:rsidR="00257A14" w:rsidRDefault="00257A14" w:rsidP="00936F99">
      <w:pPr>
        <w:pStyle w:val="SB1"/>
      </w:pPr>
      <w:r>
        <w:t>Automatically closing</w:t>
      </w:r>
      <w:r w:rsidRPr="00211147">
        <w:t xml:space="preserve"> </w:t>
      </w:r>
    </w:p>
    <w:p w14:paraId="7D864714" w14:textId="77777777" w:rsidR="00257A14" w:rsidRDefault="00257A14" w:rsidP="00936F99">
      <w:pPr>
        <w:pStyle w:val="SB1"/>
      </w:pPr>
      <w:r>
        <w:t xml:space="preserve">Send notification to Claimant </w:t>
      </w:r>
    </w:p>
    <w:p w14:paraId="2361C12E" w14:textId="083F0440" w:rsidR="00257A14" w:rsidRDefault="00257A14" w:rsidP="00E16D2D">
      <w:pPr>
        <w:pStyle w:val="OB1"/>
      </w:pPr>
      <w:r>
        <w:t xml:space="preserve">System must allow authorized Staff to view current and prior claim information (payment status, pending items, </w:t>
      </w:r>
      <w:r w:rsidR="003E67B3">
        <w:t>EMPRESP</w:t>
      </w:r>
      <w:r>
        <w:t>, etc.)</w:t>
      </w:r>
      <w:r w:rsidR="00CD1B08">
        <w:t>, including but not limited to:</w:t>
      </w:r>
    </w:p>
    <w:p w14:paraId="783CBF60" w14:textId="4150C679" w:rsidR="00257A14" w:rsidRDefault="00257A14" w:rsidP="00936F99">
      <w:pPr>
        <w:pStyle w:val="SB1"/>
      </w:pPr>
      <w:r>
        <w:t>D</w:t>
      </w:r>
      <w:r w:rsidRPr="00816417">
        <w:t xml:space="preserve">etail of certified continued week applications including all information requested of the </w:t>
      </w:r>
      <w:r w:rsidR="00881D11">
        <w:t xml:space="preserve">Claimant </w:t>
      </w:r>
      <w:r w:rsidRPr="00816417">
        <w:t>at the time of filing the continued week application</w:t>
      </w:r>
    </w:p>
    <w:p w14:paraId="4D86B285" w14:textId="5EC7CE82" w:rsidR="00257A14" w:rsidRDefault="00257A14" w:rsidP="00936F99">
      <w:pPr>
        <w:pStyle w:val="SB1"/>
      </w:pPr>
      <w:r>
        <w:t>O</w:t>
      </w:r>
      <w:r w:rsidRPr="00816417">
        <w:t xml:space="preserve">verpayment for the </w:t>
      </w:r>
      <w:r w:rsidR="00930F59">
        <w:t>Claimant</w:t>
      </w:r>
      <w:r w:rsidR="00710938">
        <w:t>, including overpayment status</w:t>
      </w:r>
      <w:r w:rsidRPr="00816417">
        <w:t xml:space="preserve"> </w:t>
      </w:r>
    </w:p>
    <w:p w14:paraId="437B80D7" w14:textId="316C933B" w:rsidR="00257A14" w:rsidRDefault="00257A14" w:rsidP="00936F99">
      <w:pPr>
        <w:pStyle w:val="SB1"/>
      </w:pPr>
      <w:r>
        <w:t>W</w:t>
      </w:r>
      <w:r w:rsidR="00710938">
        <w:t>eek(s) overpaid</w:t>
      </w:r>
      <w:r w:rsidRPr="00816417">
        <w:t xml:space="preserve"> </w:t>
      </w:r>
    </w:p>
    <w:p w14:paraId="740AA0DA" w14:textId="389F6602" w:rsidR="00257A14" w:rsidRDefault="00257A14" w:rsidP="00936F99">
      <w:pPr>
        <w:pStyle w:val="SB1"/>
      </w:pPr>
      <w:r>
        <w:t>A</w:t>
      </w:r>
      <w:r w:rsidRPr="00816417">
        <w:t>mount</w:t>
      </w:r>
      <w:r w:rsidR="00710938">
        <w:t xml:space="preserve"> of overpayment</w:t>
      </w:r>
      <w:r w:rsidRPr="00816417">
        <w:t xml:space="preserve"> </w:t>
      </w:r>
    </w:p>
    <w:p w14:paraId="56C9C8D9" w14:textId="7B76F73F" w:rsidR="00257A14" w:rsidRDefault="00257A14" w:rsidP="00936F99">
      <w:pPr>
        <w:pStyle w:val="SB1"/>
      </w:pPr>
      <w:r>
        <w:lastRenderedPageBreak/>
        <w:t>R</w:t>
      </w:r>
      <w:r w:rsidR="00710938">
        <w:t>eason for overpayment</w:t>
      </w:r>
      <w:r w:rsidRPr="00816417">
        <w:t xml:space="preserve"> </w:t>
      </w:r>
    </w:p>
    <w:p w14:paraId="162B1E34" w14:textId="6A38AB32" w:rsidR="00257A14" w:rsidRDefault="00257A14" w:rsidP="00936F99">
      <w:pPr>
        <w:pStyle w:val="SB1"/>
      </w:pPr>
      <w:r>
        <w:t>P</w:t>
      </w:r>
      <w:r w:rsidRPr="00816417">
        <w:t>rogram u</w:t>
      </w:r>
      <w:r w:rsidR="00710938">
        <w:t>nder which overpayment occurred</w:t>
      </w:r>
      <w:r w:rsidRPr="00816417">
        <w:t xml:space="preserve"> </w:t>
      </w:r>
    </w:p>
    <w:p w14:paraId="0F325D8D" w14:textId="77777777" w:rsidR="00257A14" w:rsidRDefault="00257A14" w:rsidP="00936F99">
      <w:pPr>
        <w:pStyle w:val="SB1"/>
      </w:pPr>
      <w:r>
        <w:t>S</w:t>
      </w:r>
      <w:r w:rsidRPr="00816417">
        <w:t>tatute of limitations and balances (Fraud, Non-Fraud, Fraud Penalty Trust Fund, Fraud Penalty, Interest, Court Costs, Other penalties, and penalty week balances)</w:t>
      </w:r>
    </w:p>
    <w:p w14:paraId="1A3BA797" w14:textId="3D9E922B" w:rsidR="00257A14" w:rsidRDefault="00E2460B" w:rsidP="00936F99">
      <w:pPr>
        <w:pStyle w:val="SB1"/>
      </w:pPr>
      <w:r>
        <w:t>System/Staff</w:t>
      </w:r>
      <w:r w:rsidR="00257A14" w:rsidRPr="00B87ADB">
        <w:t xml:space="preserve"> must be able to move some or all of a claim record from one benefit year, program, or SSN to another benefit year, program, or SSN </w:t>
      </w:r>
    </w:p>
    <w:p w14:paraId="7D991CA0" w14:textId="3652ED84" w:rsidR="00257A14" w:rsidRDefault="00257A14" w:rsidP="00936F99">
      <w:pPr>
        <w:pStyle w:val="SB1"/>
      </w:pPr>
      <w:r>
        <w:t>D</w:t>
      </w:r>
      <w:r w:rsidRPr="00816417">
        <w:t>etailed information attached to a n</w:t>
      </w:r>
      <w:r>
        <w:t>onmonetary issue/determination</w:t>
      </w:r>
      <w:r w:rsidR="003E67B3">
        <w:t xml:space="preserve"> includes but isn’t limited to:</w:t>
      </w:r>
    </w:p>
    <w:p w14:paraId="64DF754A" w14:textId="77777777" w:rsidR="007F414A" w:rsidRDefault="007F414A" w:rsidP="00E16D2D">
      <w:pPr>
        <w:pStyle w:val="DB1"/>
      </w:pPr>
      <w:r>
        <w:t>Claim type,</w:t>
      </w:r>
    </w:p>
    <w:p w14:paraId="75EC1EFB" w14:textId="06E045B9" w:rsidR="00257A14" w:rsidRDefault="00257A14" w:rsidP="00E16D2D">
      <w:pPr>
        <w:pStyle w:val="DB1"/>
      </w:pPr>
      <w:r w:rsidRPr="00936F99">
        <w:t>Issue</w:t>
      </w:r>
      <w:r w:rsidRPr="00816417">
        <w:t xml:space="preserve"> type, </w:t>
      </w:r>
    </w:p>
    <w:p w14:paraId="35F867C5" w14:textId="044D35CE" w:rsidR="00B95E56" w:rsidRDefault="00B95E56" w:rsidP="00116640">
      <w:pPr>
        <w:pStyle w:val="DB1"/>
      </w:pPr>
      <w:r>
        <w:t>Issue reason,</w:t>
      </w:r>
    </w:p>
    <w:p w14:paraId="7E6D82EF" w14:textId="77777777" w:rsidR="00257A14" w:rsidRDefault="00257A14" w:rsidP="00F82166">
      <w:pPr>
        <w:pStyle w:val="DB1"/>
      </w:pPr>
      <w:r>
        <w:t>D</w:t>
      </w:r>
      <w:r w:rsidRPr="00816417">
        <w:t xml:space="preserve">etection date, </w:t>
      </w:r>
    </w:p>
    <w:p w14:paraId="4A44FF7D" w14:textId="77777777" w:rsidR="00257A14" w:rsidRDefault="00257A14" w:rsidP="00F82166">
      <w:pPr>
        <w:pStyle w:val="DB1"/>
      </w:pPr>
      <w:r>
        <w:t>S</w:t>
      </w:r>
      <w:r w:rsidRPr="00816417">
        <w:t xml:space="preserve">tart/end dates, </w:t>
      </w:r>
    </w:p>
    <w:p w14:paraId="540A3134" w14:textId="77777777" w:rsidR="00257A14" w:rsidRDefault="00257A14">
      <w:pPr>
        <w:pStyle w:val="DB1"/>
      </w:pPr>
      <w:r>
        <w:t>D</w:t>
      </w:r>
      <w:r w:rsidRPr="00816417">
        <w:t xml:space="preserve">ecision code, </w:t>
      </w:r>
    </w:p>
    <w:p w14:paraId="260E8D15" w14:textId="77777777" w:rsidR="00257A14" w:rsidRDefault="00257A14">
      <w:pPr>
        <w:pStyle w:val="DB1"/>
      </w:pPr>
      <w:r>
        <w:t>F</w:t>
      </w:r>
      <w:r w:rsidRPr="00816417">
        <w:t xml:space="preserve">act finding, </w:t>
      </w:r>
    </w:p>
    <w:p w14:paraId="17471568" w14:textId="0BB39496" w:rsidR="00257A14" w:rsidRDefault="00257A14">
      <w:pPr>
        <w:pStyle w:val="DB1"/>
      </w:pPr>
      <w:r>
        <w:t>C</w:t>
      </w:r>
      <w:r w:rsidRPr="00816417">
        <w:t xml:space="preserve">ontact </w:t>
      </w:r>
      <w:r w:rsidR="00B95E56" w:rsidRPr="00816417">
        <w:t>attempts</w:t>
      </w:r>
      <w:r w:rsidRPr="00816417">
        <w:t xml:space="preserve">, </w:t>
      </w:r>
    </w:p>
    <w:p w14:paraId="1D0CE1CB" w14:textId="77777777" w:rsidR="00257A14" w:rsidRDefault="00257A14">
      <w:pPr>
        <w:pStyle w:val="DB1"/>
      </w:pPr>
      <w:r>
        <w:t>S</w:t>
      </w:r>
      <w:r w:rsidRPr="00816417">
        <w:t xml:space="preserve">tatus, </w:t>
      </w:r>
    </w:p>
    <w:p w14:paraId="123EE644" w14:textId="75E2CC71" w:rsidR="00257A14" w:rsidRDefault="00577A3D">
      <w:pPr>
        <w:pStyle w:val="DB1"/>
      </w:pPr>
      <w:r>
        <w:t xml:space="preserve">Adequate/Inadequate (for </w:t>
      </w:r>
      <w:r w:rsidR="003E67B3">
        <w:t>EMPRESP</w:t>
      </w:r>
      <w:r>
        <w:t>)</w:t>
      </w:r>
    </w:p>
    <w:p w14:paraId="549FF672" w14:textId="6176411D" w:rsidR="00577A3D" w:rsidRDefault="00577A3D">
      <w:pPr>
        <w:pStyle w:val="DB1"/>
      </w:pPr>
      <w:r>
        <w:t>Count/No Count</w:t>
      </w:r>
    </w:p>
    <w:p w14:paraId="1214770D" w14:textId="7CE76879" w:rsidR="00257A14" w:rsidRDefault="00257A14">
      <w:pPr>
        <w:pStyle w:val="DB1"/>
      </w:pPr>
      <w:r>
        <w:t>Adjudicator</w:t>
      </w:r>
    </w:p>
    <w:p w14:paraId="4411C3AE" w14:textId="0EE8F2CF" w:rsidR="00257A14" w:rsidRDefault="00257A14" w:rsidP="00257A14"/>
    <w:p w14:paraId="47A3FACC" w14:textId="2EC6309A" w:rsidR="00A62885" w:rsidRDefault="00A62885" w:rsidP="00A62885">
      <w:pPr>
        <w:rPr>
          <w:u w:val="single"/>
        </w:rPr>
      </w:pPr>
      <w:r w:rsidRPr="001D4B41">
        <w:rPr>
          <w:u w:val="single"/>
        </w:rPr>
        <w:t xml:space="preserve">Alternate Activities and Special </w:t>
      </w:r>
      <w:r w:rsidR="00207347" w:rsidRPr="001D4B41">
        <w:rPr>
          <w:u w:val="single"/>
        </w:rPr>
        <w:t>Cases</w:t>
      </w:r>
      <w:r>
        <w:rPr>
          <w:u w:val="single"/>
        </w:rPr>
        <w:t xml:space="preserve"> </w:t>
      </w:r>
    </w:p>
    <w:p w14:paraId="26E63883" w14:textId="77777777" w:rsidR="00E16F74" w:rsidRDefault="00E16F74" w:rsidP="00E16F74">
      <w:r>
        <w:t>System must support the following alternate activities and special cases:</w:t>
      </w:r>
    </w:p>
    <w:p w14:paraId="495E6E82" w14:textId="071DBB01" w:rsidR="00257A14" w:rsidRDefault="00257A14" w:rsidP="00E16D2D">
      <w:pPr>
        <w:pStyle w:val="LB1"/>
      </w:pPr>
      <w:r>
        <w:t>System must preserve the integrity of a fraudulent claim while allowing the true identity</w:t>
      </w:r>
      <w:r w:rsidR="007110B8">
        <w:t xml:space="preserve"> holder to file a valid claim (c</w:t>
      </w:r>
      <w:r>
        <w:t>alled “Pseudo Claims”)</w:t>
      </w:r>
    </w:p>
    <w:p w14:paraId="46C258DA" w14:textId="1F86C142" w:rsidR="00257A14" w:rsidRDefault="00257A14" w:rsidP="00E16D2D">
      <w:pPr>
        <w:pStyle w:val="OB1"/>
      </w:pPr>
      <w:r>
        <w:t>Move the fraudulent claim off th</w:t>
      </w:r>
      <w:r w:rsidR="00B95E56">
        <w:t>e true owner’s SSN and generate</w:t>
      </w:r>
      <w:r>
        <w:t xml:space="preserve"> a unique identifier to track the fraudulent claim</w:t>
      </w:r>
      <w:r w:rsidR="0046768A">
        <w:t xml:space="preserve"> or portion thereof</w:t>
      </w:r>
    </w:p>
    <w:p w14:paraId="28D7850E" w14:textId="77777777" w:rsidR="00257A14" w:rsidRDefault="00257A14" w:rsidP="00116640">
      <w:pPr>
        <w:pStyle w:val="OB1"/>
      </w:pPr>
      <w:r>
        <w:t>Retain all accounting records</w:t>
      </w:r>
    </w:p>
    <w:p w14:paraId="6F18261A" w14:textId="77777777" w:rsidR="00257A14" w:rsidRDefault="00257A14" w:rsidP="00F82166">
      <w:pPr>
        <w:pStyle w:val="OB1"/>
      </w:pPr>
      <w:r>
        <w:t>Link, cross reference, and display SSNs/IDs (valid and all fraudulent)</w:t>
      </w:r>
    </w:p>
    <w:p w14:paraId="0C7AA03F" w14:textId="77777777" w:rsidR="00257A14" w:rsidRDefault="00257A14" w:rsidP="00F82166">
      <w:pPr>
        <w:pStyle w:val="OB1"/>
      </w:pPr>
      <w:r>
        <w:t>Lock SSN/ID to prevent further fraud whether the victim wants to file or not</w:t>
      </w:r>
    </w:p>
    <w:p w14:paraId="57623A79" w14:textId="77777777" w:rsidR="00257A14" w:rsidRDefault="00257A14">
      <w:pPr>
        <w:pStyle w:val="OB1"/>
      </w:pPr>
      <w:r>
        <w:t>Ensure system doesn’t take any automatic actions on pseudo claims</w:t>
      </w:r>
    </w:p>
    <w:p w14:paraId="6E6A0687" w14:textId="77777777" w:rsidR="00257A14" w:rsidRDefault="00257A14" w:rsidP="0046768A">
      <w:pPr>
        <w:pStyle w:val="SB1"/>
      </w:pPr>
      <w:r>
        <w:t>No issue of 1099s</w:t>
      </w:r>
    </w:p>
    <w:p w14:paraId="74894953" w14:textId="77777777" w:rsidR="00257A14" w:rsidRDefault="00257A14" w:rsidP="0046768A">
      <w:pPr>
        <w:pStyle w:val="SB1"/>
      </w:pPr>
      <w:r>
        <w:t>Collection efforts of the overpayments</w:t>
      </w:r>
    </w:p>
    <w:p w14:paraId="51CEDEBA" w14:textId="77777777" w:rsidR="00257A14" w:rsidRDefault="00257A14" w:rsidP="0046768A">
      <w:pPr>
        <w:pStyle w:val="SB1"/>
      </w:pPr>
      <w:r>
        <w:t>TOP collection</w:t>
      </w:r>
    </w:p>
    <w:p w14:paraId="08435CDE" w14:textId="77777777" w:rsidR="00257A14" w:rsidRDefault="00257A14" w:rsidP="00E16D2D">
      <w:pPr>
        <w:pStyle w:val="OB1"/>
      </w:pPr>
      <w:r>
        <w:t>System sends corrective letters to true identity holder</w:t>
      </w:r>
    </w:p>
    <w:p w14:paraId="1B4E5537" w14:textId="5D64ACA2" w:rsidR="00257A14" w:rsidRDefault="00F67CDB" w:rsidP="00E16D2D">
      <w:pPr>
        <w:pStyle w:val="OB1"/>
      </w:pPr>
      <w:r>
        <w:t xml:space="preserve">System must allow Staff to </w:t>
      </w:r>
      <w:r w:rsidR="00257A14">
        <w:t>correct any actions that were previously taken</w:t>
      </w:r>
    </w:p>
    <w:p w14:paraId="2727EB09" w14:textId="77777777" w:rsidR="00257A14" w:rsidRDefault="00257A14" w:rsidP="00116640">
      <w:pPr>
        <w:pStyle w:val="OB1"/>
      </w:pPr>
      <w:r>
        <w:t>System must send notification to victim and alert Staff when they can file their claim</w:t>
      </w:r>
    </w:p>
    <w:p w14:paraId="417079C2" w14:textId="7D2E41D6" w:rsidR="00257A14" w:rsidRDefault="00257A14" w:rsidP="00257A14"/>
    <w:p w14:paraId="11566A29" w14:textId="0B0DF89A" w:rsidR="00620C4C" w:rsidRPr="00716001" w:rsidRDefault="00620C4C" w:rsidP="00620C4C">
      <w:pPr>
        <w:pStyle w:val="Heading4"/>
      </w:pPr>
      <w:bookmarkStart w:id="306" w:name="_Hlk784826"/>
      <w:r>
        <w:tab/>
        <w:t>Request Payment</w:t>
      </w:r>
    </w:p>
    <w:p w14:paraId="3B335F2B" w14:textId="7DAC3696" w:rsidR="00620C4C" w:rsidRPr="00DF6567" w:rsidRDefault="00331061" w:rsidP="00620C4C">
      <w:r>
        <w:t>This process includes all activities required to request payments</w:t>
      </w:r>
      <w:r w:rsidR="00620C4C">
        <w:t>.</w:t>
      </w:r>
    </w:p>
    <w:p w14:paraId="3CD6B7E8" w14:textId="77777777" w:rsidR="00620C4C" w:rsidRPr="00C45DE5" w:rsidRDefault="00620C4C" w:rsidP="00620C4C">
      <w:pPr>
        <w:rPr>
          <w:u w:val="single"/>
        </w:rPr>
      </w:pPr>
      <w:r w:rsidRPr="00C45DE5">
        <w:rPr>
          <w:u w:val="single"/>
        </w:rPr>
        <w:t>Actors</w:t>
      </w:r>
    </w:p>
    <w:p w14:paraId="145A1D78" w14:textId="77777777" w:rsidR="00620C4C" w:rsidRDefault="00620C4C" w:rsidP="00E16D2D">
      <w:pPr>
        <w:pStyle w:val="LB1"/>
      </w:pPr>
      <w:r>
        <w:t xml:space="preserve">Claimants </w:t>
      </w:r>
    </w:p>
    <w:p w14:paraId="6029446E" w14:textId="2F2DE280" w:rsidR="00620C4C" w:rsidRPr="00C45DE5" w:rsidRDefault="00B95E56" w:rsidP="00E16D2D">
      <w:pPr>
        <w:pStyle w:val="LB1"/>
      </w:pPr>
      <w:r w:rsidRPr="00C45DE5">
        <w:t>Employers</w:t>
      </w:r>
      <w:r w:rsidR="00691BA7">
        <w:t xml:space="preserve"> under S</w:t>
      </w:r>
      <w:r>
        <w:t xml:space="preserve">hared </w:t>
      </w:r>
      <w:r w:rsidR="00691BA7">
        <w:t>W</w:t>
      </w:r>
      <w:r>
        <w:t>ork</w:t>
      </w:r>
      <w:r w:rsidR="00691BA7">
        <w:t xml:space="preserve"> program</w:t>
      </w:r>
    </w:p>
    <w:p w14:paraId="2A3326E0" w14:textId="77777777" w:rsidR="00620C4C" w:rsidRDefault="00620C4C" w:rsidP="00116640">
      <w:pPr>
        <w:pStyle w:val="LB1"/>
      </w:pPr>
      <w:r>
        <w:t>Staff</w:t>
      </w:r>
    </w:p>
    <w:p w14:paraId="19CF1569" w14:textId="77777777" w:rsidR="00620C4C" w:rsidRPr="00DF6567" w:rsidRDefault="00620C4C" w:rsidP="00620C4C"/>
    <w:p w14:paraId="41B9C932" w14:textId="77777777" w:rsidR="00620C4C" w:rsidRDefault="00620C4C" w:rsidP="00620C4C">
      <w:pPr>
        <w:rPr>
          <w:u w:val="single"/>
        </w:rPr>
      </w:pPr>
      <w:r>
        <w:rPr>
          <w:u w:val="single"/>
        </w:rPr>
        <w:t>Main Activities</w:t>
      </w:r>
    </w:p>
    <w:p w14:paraId="1FA12960" w14:textId="77777777" w:rsidR="00EF2B3F" w:rsidRDefault="00EF2B3F" w:rsidP="00E16D2D">
      <w:pPr>
        <w:pStyle w:val="LB1"/>
      </w:pPr>
      <w:r>
        <w:t>System must allow Claimants to request payment via internet, IVR, or paper</w:t>
      </w:r>
    </w:p>
    <w:p w14:paraId="04BD1727" w14:textId="0A0DAAE9" w:rsidR="00EF2B3F" w:rsidRDefault="00EF2B3F" w:rsidP="00E16D2D">
      <w:pPr>
        <w:pStyle w:val="OB1"/>
      </w:pPr>
      <w:r>
        <w:t>Dynamically generate questions and record answers</w:t>
      </w:r>
    </w:p>
    <w:p w14:paraId="49626211" w14:textId="73D7A127" w:rsidR="00B64768" w:rsidRDefault="009C0641" w:rsidP="00B64768">
      <w:pPr>
        <w:pStyle w:val="SB1"/>
      </w:pPr>
      <w:r>
        <w:t>Document employment/</w:t>
      </w:r>
      <w:r w:rsidR="00B64768">
        <w:t>1099/Contract labor</w:t>
      </w:r>
    </w:p>
    <w:p w14:paraId="652DED63" w14:textId="77777777" w:rsidR="00EF2B3F" w:rsidRDefault="00EF2B3F" w:rsidP="00E16D2D">
      <w:pPr>
        <w:pStyle w:val="OB1"/>
      </w:pPr>
      <w:r>
        <w:t>English and Spanish</w:t>
      </w:r>
    </w:p>
    <w:p w14:paraId="2DF8CDFA" w14:textId="77777777" w:rsidR="00EF2B3F" w:rsidRDefault="00EF2B3F" w:rsidP="00E16D2D">
      <w:pPr>
        <w:pStyle w:val="OB1"/>
      </w:pPr>
      <w:r>
        <w:t>Determine date to file</w:t>
      </w:r>
    </w:p>
    <w:p w14:paraId="3D02AF96" w14:textId="77777777" w:rsidR="00EF2B3F" w:rsidRDefault="00EF2B3F" w:rsidP="00116640">
      <w:pPr>
        <w:pStyle w:val="OB1"/>
      </w:pPr>
      <w:r>
        <w:t>System must capture Actor’s confirmation of truth in filing statement of the information provided (Claimants and Employers only)</w:t>
      </w:r>
    </w:p>
    <w:bookmarkEnd w:id="306"/>
    <w:p w14:paraId="1939DE75" w14:textId="5A91E68A" w:rsidR="00A57696" w:rsidRDefault="00A57696" w:rsidP="00F82166">
      <w:pPr>
        <w:pStyle w:val="LB1"/>
      </w:pPr>
      <w:r>
        <w:t>System must allow Claimants to document their work search activities</w:t>
      </w:r>
    </w:p>
    <w:p w14:paraId="2B16D713" w14:textId="739794F1" w:rsidR="00EF2B3F" w:rsidRDefault="00EF2B3F" w:rsidP="00F82166">
      <w:pPr>
        <w:pStyle w:val="LB1"/>
      </w:pPr>
      <w:r w:rsidRPr="000768C5">
        <w:t>System must allow for a biweekly claiming cycle with exceptions for one-week</w:t>
      </w:r>
      <w:r>
        <w:t>, late filing, and back dated claim certifications</w:t>
      </w:r>
    </w:p>
    <w:p w14:paraId="2645B59E" w14:textId="77777777" w:rsidR="00EF2B3F" w:rsidRDefault="00EF2B3F">
      <w:pPr>
        <w:pStyle w:val="LB1"/>
      </w:pPr>
      <w:r w:rsidRPr="00307444">
        <w:t>System must ensure that a continued week ending date is within the benefit year for it to be claimed. Exceptions are for other programs (not all inclusive) such as Federal extensions and TRA/</w:t>
      </w:r>
      <w:r>
        <w:t>R</w:t>
      </w:r>
      <w:r w:rsidRPr="00307444">
        <w:t>T</w:t>
      </w:r>
      <w:r>
        <w:t>A</w:t>
      </w:r>
      <w:r w:rsidRPr="00307444">
        <w:t>A</w:t>
      </w:r>
    </w:p>
    <w:p w14:paraId="5B552D56" w14:textId="77777777" w:rsidR="00EF2B3F" w:rsidRDefault="00EF2B3F">
      <w:pPr>
        <w:pStyle w:val="LB1"/>
      </w:pPr>
      <w:r>
        <w:t xml:space="preserve">System must ensure </w:t>
      </w:r>
      <w:r w:rsidRPr="00307444">
        <w:t>that a</w:t>
      </w:r>
      <w:r>
        <w:t xml:space="preserve"> Claim will be paid based on preferred method (default is bank card)</w:t>
      </w:r>
    </w:p>
    <w:p w14:paraId="6DB92C42" w14:textId="77777777" w:rsidR="00EF2B3F" w:rsidRDefault="00EF2B3F">
      <w:pPr>
        <w:pStyle w:val="OB1"/>
      </w:pPr>
      <w:r>
        <w:t>Inform Claimant of current method</w:t>
      </w:r>
    </w:p>
    <w:p w14:paraId="73E3CF04" w14:textId="77777777" w:rsidR="00EF2B3F" w:rsidRDefault="00EF2B3F">
      <w:pPr>
        <w:pStyle w:val="OB1"/>
      </w:pPr>
      <w:r>
        <w:t>Allow Claimant to change method</w:t>
      </w:r>
    </w:p>
    <w:p w14:paraId="0589D427" w14:textId="77777777" w:rsidR="00EF2B3F" w:rsidRDefault="00EF2B3F">
      <w:pPr>
        <w:pStyle w:val="LB1"/>
      </w:pPr>
      <w:r>
        <w:t>System must perform validations based on type of claim</w:t>
      </w:r>
    </w:p>
    <w:p w14:paraId="139C8DD9" w14:textId="77777777" w:rsidR="00EF2B3F" w:rsidRDefault="00EF2B3F">
      <w:pPr>
        <w:pStyle w:val="OB1"/>
      </w:pPr>
      <w:r>
        <w:t>SSNs</w:t>
      </w:r>
    </w:p>
    <w:p w14:paraId="77FA81B7" w14:textId="77777777" w:rsidR="00EF2B3F" w:rsidRDefault="00EF2B3F">
      <w:pPr>
        <w:pStyle w:val="OB1"/>
      </w:pPr>
      <w:r>
        <w:t>Active claim</w:t>
      </w:r>
    </w:p>
    <w:p w14:paraId="604F390C" w14:textId="77777777" w:rsidR="00EF2B3F" w:rsidRDefault="00EF2B3F">
      <w:pPr>
        <w:pStyle w:val="OB1"/>
      </w:pPr>
      <w:r>
        <w:t>Time to file</w:t>
      </w:r>
    </w:p>
    <w:p w14:paraId="5A4C6D08" w14:textId="77777777" w:rsidR="00EF2B3F" w:rsidRDefault="00EF2B3F">
      <w:pPr>
        <w:pStyle w:val="OB1"/>
      </w:pPr>
      <w:r>
        <w:t>Work search required</w:t>
      </w:r>
    </w:p>
    <w:p w14:paraId="40FFA66B" w14:textId="77777777" w:rsidR="00EF2B3F" w:rsidRDefault="00EF2B3F">
      <w:pPr>
        <w:pStyle w:val="OB1"/>
      </w:pPr>
      <w:r>
        <w:t>Etc.</w:t>
      </w:r>
    </w:p>
    <w:p w14:paraId="2AA040E5" w14:textId="5799B027" w:rsidR="00EF2B3F" w:rsidRDefault="00EF2B3F">
      <w:pPr>
        <w:pStyle w:val="LB1"/>
      </w:pPr>
      <w:r w:rsidRPr="00797985">
        <w:t xml:space="preserve">System must provide the ability </w:t>
      </w:r>
      <w:r w:rsidR="000275EA">
        <w:t xml:space="preserve">for Staff, Claimants, or Employers </w:t>
      </w:r>
      <w:r w:rsidRPr="00797985">
        <w:t>to record a</w:t>
      </w:r>
      <w:r w:rsidR="000275EA">
        <w:t xml:space="preserve"> return to full-time employment</w:t>
      </w:r>
    </w:p>
    <w:p w14:paraId="60E66BDA" w14:textId="2FE231EB" w:rsidR="00EF2B3F" w:rsidRDefault="00EF2B3F">
      <w:pPr>
        <w:pStyle w:val="LB1"/>
      </w:pPr>
      <w:r>
        <w:t xml:space="preserve">System must take appropriate action based on business rules (including </w:t>
      </w:r>
      <w:r w:rsidR="004E4D96">
        <w:t>Supreme Court Java decision</w:t>
      </w:r>
      <w:r>
        <w:t>) and information received</w:t>
      </w:r>
    </w:p>
    <w:p w14:paraId="02C48229" w14:textId="77777777" w:rsidR="00EF2B3F" w:rsidRDefault="00EF2B3F">
      <w:pPr>
        <w:pStyle w:val="OB1"/>
      </w:pPr>
      <w:r>
        <w:t>Breaks in filing</w:t>
      </w:r>
    </w:p>
    <w:p w14:paraId="47C20AF4" w14:textId="77777777" w:rsidR="00EF2B3F" w:rsidRDefault="00EF2B3F">
      <w:pPr>
        <w:pStyle w:val="OB1"/>
      </w:pPr>
      <w:r>
        <w:t>Breaks in reported earnings</w:t>
      </w:r>
    </w:p>
    <w:p w14:paraId="7A2B04FC" w14:textId="77777777" w:rsidR="00EF2B3F" w:rsidRDefault="00EF2B3F">
      <w:pPr>
        <w:pStyle w:val="OB1"/>
      </w:pPr>
      <w:r>
        <w:t>Stop if failure to report earnings past return to work date</w:t>
      </w:r>
    </w:p>
    <w:p w14:paraId="5F6B404A" w14:textId="64DDC4DF" w:rsidR="00EF2B3F" w:rsidRDefault="00EF2B3F">
      <w:pPr>
        <w:pStyle w:val="OB1"/>
      </w:pPr>
      <w:r>
        <w:lastRenderedPageBreak/>
        <w:t>Stop if new hire issue</w:t>
      </w:r>
    </w:p>
    <w:p w14:paraId="2AD6994C" w14:textId="6E331337" w:rsidR="0060037B" w:rsidRDefault="0060037B">
      <w:pPr>
        <w:pStyle w:val="OB1"/>
      </w:pPr>
      <w:r>
        <w:t>Stop if wage benefit issue</w:t>
      </w:r>
    </w:p>
    <w:p w14:paraId="387508A3" w14:textId="25530B69" w:rsidR="009317CE" w:rsidRDefault="009317CE">
      <w:pPr>
        <w:pStyle w:val="OB1"/>
      </w:pPr>
      <w:r>
        <w:t>Stop if incarceration issue</w:t>
      </w:r>
    </w:p>
    <w:p w14:paraId="308E43C1" w14:textId="53CB36D5" w:rsidR="00EF2B3F" w:rsidRDefault="00EF2B3F">
      <w:pPr>
        <w:pStyle w:val="OB1"/>
      </w:pPr>
      <w:r>
        <w:t>Identify potential issues</w:t>
      </w:r>
      <w:r w:rsidR="002F40E1">
        <w:t>;</w:t>
      </w:r>
      <w:r>
        <w:t xml:space="preserve"> such as</w:t>
      </w:r>
      <w:r w:rsidRPr="00B2583B">
        <w:t xml:space="preserve"> </w:t>
      </w:r>
      <w:r w:rsidR="00881D11">
        <w:t xml:space="preserve">Claimant </w:t>
      </w:r>
      <w:r w:rsidRPr="00B2583B">
        <w:t>quit, refused an offer of work, was discharged</w:t>
      </w:r>
      <w:r w:rsidR="002F40E1">
        <w:t>, was unable to work, or was unavailable for work;</w:t>
      </w:r>
      <w:r>
        <w:t xml:space="preserve"> and present dynamic fact finding</w:t>
      </w:r>
    </w:p>
    <w:p w14:paraId="5CCA1A07" w14:textId="068EC0ED" w:rsidR="00EF2B3F" w:rsidRDefault="00EF2B3F">
      <w:pPr>
        <w:pStyle w:val="OB1"/>
      </w:pPr>
      <w:r>
        <w:t xml:space="preserve">Return to </w:t>
      </w:r>
      <w:r w:rsidR="00B95E56">
        <w:t>work</w:t>
      </w:r>
    </w:p>
    <w:p w14:paraId="5055735B" w14:textId="77777777" w:rsidR="00EF2B3F" w:rsidRDefault="00EF2B3F">
      <w:pPr>
        <w:pStyle w:val="OB1"/>
      </w:pPr>
      <w:r>
        <w:t>Etc.</w:t>
      </w:r>
    </w:p>
    <w:p w14:paraId="79374AB7" w14:textId="41B7FF62" w:rsidR="00EF2B3F" w:rsidRDefault="00EF2B3F" w:rsidP="00EF2B3F"/>
    <w:p w14:paraId="6C838BBA" w14:textId="653EDC61" w:rsidR="00EF2B3F" w:rsidRDefault="00EF2B3F" w:rsidP="00EF2B3F">
      <w:pPr>
        <w:rPr>
          <w:u w:val="single"/>
        </w:rPr>
      </w:pPr>
      <w:r w:rsidRPr="001D4B41">
        <w:rPr>
          <w:u w:val="single"/>
        </w:rPr>
        <w:t>Alternate Activities and Special Cases</w:t>
      </w:r>
      <w:r>
        <w:rPr>
          <w:u w:val="single"/>
        </w:rPr>
        <w:t xml:space="preserve"> </w:t>
      </w:r>
    </w:p>
    <w:p w14:paraId="258BF52A" w14:textId="77777777" w:rsidR="00E16F74" w:rsidRDefault="00E16F74" w:rsidP="00E16F74">
      <w:r>
        <w:t>System must support the following alternate activities and special cases:</w:t>
      </w:r>
    </w:p>
    <w:p w14:paraId="28FB4E96" w14:textId="77777777" w:rsidR="00EF2B3F" w:rsidRDefault="00EF2B3F" w:rsidP="00E16D2D">
      <w:pPr>
        <w:pStyle w:val="LB1"/>
      </w:pPr>
      <w:r>
        <w:t>Shared Work</w:t>
      </w:r>
    </w:p>
    <w:p w14:paraId="4C02A16A" w14:textId="77777777" w:rsidR="00EF2B3F" w:rsidRDefault="00EF2B3F" w:rsidP="00E16D2D">
      <w:pPr>
        <w:pStyle w:val="LB1"/>
      </w:pPr>
      <w:r>
        <w:t>Payment request on hold</w:t>
      </w:r>
    </w:p>
    <w:p w14:paraId="1BF73FF1" w14:textId="77777777" w:rsidR="00EF2B3F" w:rsidRDefault="00EF2B3F" w:rsidP="00116640">
      <w:pPr>
        <w:pStyle w:val="LB1"/>
      </w:pPr>
      <w:r>
        <w:t>Incompletes</w:t>
      </w:r>
    </w:p>
    <w:p w14:paraId="775CD19F" w14:textId="77777777" w:rsidR="00EF2B3F" w:rsidRDefault="00EF2B3F" w:rsidP="00F82166">
      <w:pPr>
        <w:pStyle w:val="LB1"/>
      </w:pPr>
      <w:r>
        <w:t>Not allowed to request payment</w:t>
      </w:r>
    </w:p>
    <w:p w14:paraId="3EE2AF22" w14:textId="77777777" w:rsidR="00EF2B3F" w:rsidRDefault="00EF2B3F" w:rsidP="00F82166">
      <w:pPr>
        <w:pStyle w:val="LB1"/>
      </w:pPr>
      <w:r w:rsidRPr="00107285">
        <w:t>System must provide the ability to file and process continued claim applications to determine eligibility to pay R/ATAA benefits</w:t>
      </w:r>
    </w:p>
    <w:p w14:paraId="19657442" w14:textId="0FA4DDB5" w:rsidR="00EF2B3F" w:rsidRDefault="00EF2B3F" w:rsidP="00EF2B3F"/>
    <w:p w14:paraId="5F3C12BB" w14:textId="2B4931F1" w:rsidR="00620C4C" w:rsidRPr="00716001" w:rsidRDefault="00620C4C" w:rsidP="00620C4C">
      <w:pPr>
        <w:pStyle w:val="Heading4"/>
      </w:pPr>
      <w:r>
        <w:tab/>
        <w:t>Receive and Process Payment Requests</w:t>
      </w:r>
    </w:p>
    <w:p w14:paraId="1EA7673A" w14:textId="02C15447" w:rsidR="00620C4C" w:rsidRPr="00DF6567" w:rsidRDefault="001625EE" w:rsidP="00620C4C">
      <w:r>
        <w:t>This process includes all activities required to receive and process payment requests</w:t>
      </w:r>
      <w:r w:rsidR="00620C4C">
        <w:t>.</w:t>
      </w:r>
    </w:p>
    <w:p w14:paraId="172FE700" w14:textId="77777777" w:rsidR="00620C4C" w:rsidRPr="00C45DE5" w:rsidRDefault="00620C4C" w:rsidP="00620C4C">
      <w:pPr>
        <w:rPr>
          <w:u w:val="single"/>
        </w:rPr>
      </w:pPr>
      <w:r w:rsidRPr="00C45DE5">
        <w:rPr>
          <w:u w:val="single"/>
        </w:rPr>
        <w:t>Actors</w:t>
      </w:r>
    </w:p>
    <w:p w14:paraId="4CF3B8CD" w14:textId="77777777" w:rsidR="00620C4C" w:rsidRDefault="00620C4C" w:rsidP="00E16D2D">
      <w:pPr>
        <w:pStyle w:val="LB1"/>
      </w:pPr>
      <w:r>
        <w:t>Staff</w:t>
      </w:r>
    </w:p>
    <w:p w14:paraId="3D05667E" w14:textId="76710D5A" w:rsidR="00620C4C" w:rsidRDefault="003C4A11" w:rsidP="00E16D2D">
      <w:pPr>
        <w:pStyle w:val="LB1"/>
      </w:pPr>
      <w:r>
        <w:t>Comptroller</w:t>
      </w:r>
    </w:p>
    <w:p w14:paraId="6A1A2EED" w14:textId="40C6B070" w:rsidR="003C4A11" w:rsidRPr="00C45DE5" w:rsidRDefault="003C4A11" w:rsidP="00116640">
      <w:pPr>
        <w:pStyle w:val="LB1"/>
      </w:pPr>
      <w:r>
        <w:t>Debit Card Vendor</w:t>
      </w:r>
    </w:p>
    <w:p w14:paraId="1339B755" w14:textId="77777777" w:rsidR="00620C4C" w:rsidRPr="00DF6567" w:rsidRDefault="00620C4C" w:rsidP="00620C4C"/>
    <w:p w14:paraId="436939DF" w14:textId="74AA328B" w:rsidR="00620C4C" w:rsidRPr="003C4A11" w:rsidRDefault="003C4A11" w:rsidP="003C4A11">
      <w:pPr>
        <w:rPr>
          <w:u w:val="single"/>
        </w:rPr>
      </w:pPr>
      <w:r>
        <w:rPr>
          <w:u w:val="single"/>
        </w:rPr>
        <w:t>Main Activities</w:t>
      </w:r>
    </w:p>
    <w:p w14:paraId="2A63D52A" w14:textId="77777777" w:rsidR="003C4A11" w:rsidRDefault="003C4A11" w:rsidP="00E16D2D">
      <w:pPr>
        <w:pStyle w:val="LB1"/>
      </w:pPr>
      <w:r>
        <w:t>System must confirm eligibility</w:t>
      </w:r>
    </w:p>
    <w:p w14:paraId="52F562BB" w14:textId="77777777" w:rsidR="003C4A11" w:rsidRDefault="003C4A11" w:rsidP="00E16D2D">
      <w:pPr>
        <w:pStyle w:val="LB1"/>
      </w:pPr>
      <w:r>
        <w:t xml:space="preserve">System must process payment requests based on business rules </w:t>
      </w:r>
    </w:p>
    <w:p w14:paraId="2AD97BCC" w14:textId="77777777" w:rsidR="003C4A11" w:rsidRDefault="003C4A11" w:rsidP="00116640">
      <w:pPr>
        <w:pStyle w:val="OB1"/>
      </w:pPr>
      <w:r>
        <w:t>Payable weeks</w:t>
      </w:r>
    </w:p>
    <w:p w14:paraId="746F0F1B" w14:textId="77777777" w:rsidR="003C4A11" w:rsidRDefault="003C4A11" w:rsidP="00F82166">
      <w:pPr>
        <w:pStyle w:val="OB1"/>
      </w:pPr>
      <w:r>
        <w:t>Payment amount</w:t>
      </w:r>
    </w:p>
    <w:p w14:paraId="63A38261" w14:textId="77777777" w:rsidR="003C4A11" w:rsidRDefault="003C4A11" w:rsidP="00F82166">
      <w:pPr>
        <w:pStyle w:val="OB1"/>
      </w:pPr>
      <w:r>
        <w:t>Reported earnings</w:t>
      </w:r>
    </w:p>
    <w:p w14:paraId="12CDC1F2" w14:textId="77777777" w:rsidR="003C4A11" w:rsidRDefault="003C4A11">
      <w:pPr>
        <w:pStyle w:val="OB1"/>
      </w:pPr>
      <w:r>
        <w:t xml:space="preserve">Reported hours (customary) </w:t>
      </w:r>
      <w:r>
        <w:tab/>
      </w:r>
    </w:p>
    <w:p w14:paraId="7A961A4E" w14:textId="77777777" w:rsidR="003C4A11" w:rsidRDefault="003C4A11">
      <w:pPr>
        <w:pStyle w:val="OB1"/>
      </w:pPr>
      <w:r>
        <w:t>Overpayments</w:t>
      </w:r>
    </w:p>
    <w:p w14:paraId="6B7C27C8" w14:textId="77777777" w:rsidR="003C4A11" w:rsidRDefault="003C4A11">
      <w:pPr>
        <w:pStyle w:val="OB1"/>
      </w:pPr>
      <w:r>
        <w:t>Deductions and Offsets (child support, withholding, overpayments, etc.)</w:t>
      </w:r>
    </w:p>
    <w:p w14:paraId="150F10D4" w14:textId="77777777" w:rsidR="003C4A11" w:rsidRDefault="003C4A11">
      <w:pPr>
        <w:pStyle w:val="OB1"/>
      </w:pPr>
      <w:r>
        <w:t>Payment method (warrant or ACH transaction)</w:t>
      </w:r>
    </w:p>
    <w:p w14:paraId="7E056184" w14:textId="77777777" w:rsidR="003C4A11" w:rsidRDefault="003C4A11">
      <w:pPr>
        <w:pStyle w:val="OB1"/>
      </w:pPr>
      <w:r>
        <w:t xml:space="preserve">Release past payment request </w:t>
      </w:r>
    </w:p>
    <w:p w14:paraId="2F7AF040" w14:textId="77777777" w:rsidR="003C4A11" w:rsidRDefault="003C4A11" w:rsidP="003C4A11">
      <w:pPr>
        <w:pStyle w:val="SB1"/>
      </w:pPr>
      <w:r>
        <w:t>Appeal reversal</w:t>
      </w:r>
    </w:p>
    <w:p w14:paraId="1A5FA54A" w14:textId="77777777" w:rsidR="003C4A11" w:rsidRDefault="003C4A11" w:rsidP="003C4A11">
      <w:pPr>
        <w:pStyle w:val="SB1"/>
      </w:pPr>
      <w:r>
        <w:t>Monetary redeterminations</w:t>
      </w:r>
    </w:p>
    <w:p w14:paraId="6254B9C9" w14:textId="77777777" w:rsidR="003C4A11" w:rsidRDefault="003C4A11" w:rsidP="003C4A11">
      <w:pPr>
        <w:pStyle w:val="SB1"/>
      </w:pPr>
      <w:r>
        <w:lastRenderedPageBreak/>
        <w:t>Previously underpaid</w:t>
      </w:r>
    </w:p>
    <w:p w14:paraId="67682CCF" w14:textId="77777777" w:rsidR="003C4A11" w:rsidRDefault="003C4A11" w:rsidP="003C4A11">
      <w:pPr>
        <w:pStyle w:val="SB1"/>
      </w:pPr>
      <w:r>
        <w:t>Waiting week</w:t>
      </w:r>
    </w:p>
    <w:p w14:paraId="228BE468" w14:textId="77777777" w:rsidR="003C4A11" w:rsidRDefault="003C4A11" w:rsidP="003C4A11">
      <w:pPr>
        <w:pStyle w:val="SB1"/>
      </w:pPr>
      <w:r>
        <w:t xml:space="preserve">Etc. </w:t>
      </w:r>
    </w:p>
    <w:p w14:paraId="6BC63023" w14:textId="77777777" w:rsidR="003C4A11" w:rsidRDefault="003C4A11" w:rsidP="00E16D2D">
      <w:pPr>
        <w:pStyle w:val="LB1"/>
      </w:pPr>
      <w:r>
        <w:t>System must convert weeks to different program types and claims based on business rules</w:t>
      </w:r>
    </w:p>
    <w:p w14:paraId="2D319E0F" w14:textId="77777777" w:rsidR="003C4A11" w:rsidRDefault="003C4A11" w:rsidP="00E16D2D">
      <w:pPr>
        <w:pStyle w:val="LB1"/>
      </w:pPr>
      <w:r>
        <w:t>System must allow authorized Staff to reissue payment according to business rules</w:t>
      </w:r>
    </w:p>
    <w:p w14:paraId="63897C4A" w14:textId="77777777" w:rsidR="003C4A11" w:rsidRDefault="003C4A11" w:rsidP="00116640">
      <w:pPr>
        <w:pStyle w:val="LB1"/>
      </w:pPr>
      <w:r w:rsidRPr="000A387C">
        <w:t xml:space="preserve">System must recalculate a benefit payment when </w:t>
      </w:r>
      <w:r>
        <w:t xml:space="preserve">payment </w:t>
      </w:r>
      <w:r w:rsidRPr="000A387C">
        <w:t>variable</w:t>
      </w:r>
      <w:r>
        <w:t>s change</w:t>
      </w:r>
    </w:p>
    <w:p w14:paraId="2C7210BB" w14:textId="77777777" w:rsidR="003C4A11" w:rsidRDefault="003C4A11" w:rsidP="00F82166">
      <w:pPr>
        <w:pStyle w:val="LB1"/>
      </w:pPr>
      <w:r>
        <w:t>S</w:t>
      </w:r>
      <w:r w:rsidRPr="000768C5">
        <w:t xml:space="preserve">ystem must allow a weekly payment from multiple sources (e.g., Federal Additional Compensation). </w:t>
      </w:r>
    </w:p>
    <w:p w14:paraId="2EF8945A" w14:textId="77777777" w:rsidR="003C4A11" w:rsidRDefault="003C4A11" w:rsidP="00F82166">
      <w:pPr>
        <w:pStyle w:val="LB1"/>
      </w:pPr>
      <w:r>
        <w:t>S</w:t>
      </w:r>
      <w:r w:rsidRPr="000768C5">
        <w:t xml:space="preserve">ystem must </w:t>
      </w:r>
      <w:r>
        <w:t>automatically enroll Claimants in debit card program if necessary</w:t>
      </w:r>
    </w:p>
    <w:p w14:paraId="115FFFF0" w14:textId="77777777" w:rsidR="003C4A11" w:rsidRDefault="003C4A11">
      <w:pPr>
        <w:pStyle w:val="LB1"/>
      </w:pPr>
      <w:r>
        <w:t>System must send notification to Claimant of Child Support withholding if necessary and update adjustments</w:t>
      </w:r>
    </w:p>
    <w:p w14:paraId="2AEA595B" w14:textId="77777777" w:rsidR="003C4A11" w:rsidRDefault="003C4A11">
      <w:pPr>
        <w:pStyle w:val="LB1"/>
      </w:pPr>
      <w:r>
        <w:t>System must prenote validation of direct deposit</w:t>
      </w:r>
    </w:p>
    <w:p w14:paraId="7B72B040" w14:textId="324A6733" w:rsidR="003C4A11" w:rsidRDefault="003C4A11">
      <w:pPr>
        <w:pStyle w:val="LB1"/>
      </w:pPr>
      <w:r w:rsidRPr="008D5034">
        <w:t xml:space="preserve">System must electronically submit/receipt any new or modified information related to debit cards or </w:t>
      </w:r>
      <w:r w:rsidR="003E67B3">
        <w:t>EFTs</w:t>
      </w:r>
      <w:r w:rsidRPr="008D5034">
        <w:t xml:space="preserve"> to/from the benefits payment vendor</w:t>
      </w:r>
    </w:p>
    <w:p w14:paraId="79E0904A" w14:textId="77777777" w:rsidR="003C4A11" w:rsidRDefault="003C4A11">
      <w:pPr>
        <w:pStyle w:val="LB1"/>
      </w:pPr>
      <w:r>
        <w:t xml:space="preserve">System must issue program payment based on business rules (hierarchy) </w:t>
      </w:r>
    </w:p>
    <w:p w14:paraId="370C6FA1" w14:textId="77777777" w:rsidR="003C4A11" w:rsidRDefault="003C4A11">
      <w:pPr>
        <w:pStyle w:val="OB1"/>
      </w:pPr>
      <w:r w:rsidRPr="00D122B3">
        <w:t xml:space="preserve">System must only issue a benefit payment if there is an </w:t>
      </w:r>
      <w:r>
        <w:t xml:space="preserve">unencumbered balance on the claim </w:t>
      </w:r>
    </w:p>
    <w:p w14:paraId="732339FE" w14:textId="6AC0DAC0" w:rsidR="003C4A11" w:rsidRDefault="003C4A11">
      <w:pPr>
        <w:pStyle w:val="LB1"/>
      </w:pPr>
      <w:r>
        <w:t>S</w:t>
      </w:r>
      <w:r w:rsidRPr="00CB6062">
        <w:t>ystem must prepare</w:t>
      </w:r>
      <w:r>
        <w:t>,</w:t>
      </w:r>
      <w:r w:rsidRPr="00CB6062">
        <w:t xml:space="preserve"> </w:t>
      </w:r>
      <w:r>
        <w:t xml:space="preserve">send, and resend </w:t>
      </w:r>
      <w:r w:rsidR="002F40E1" w:rsidRPr="00CB6062">
        <w:t>withh</w:t>
      </w:r>
      <w:r w:rsidR="002F40E1">
        <w:t>o</w:t>
      </w:r>
      <w:r w:rsidR="002F40E1" w:rsidRPr="00CB6062">
        <w:t xml:space="preserve">ld </w:t>
      </w:r>
      <w:r w:rsidRPr="00CB6062">
        <w:t xml:space="preserve">amounts to appropriate parties </w:t>
      </w:r>
    </w:p>
    <w:p w14:paraId="2974C28E" w14:textId="77777777" w:rsidR="003C4A11" w:rsidRDefault="003C4A11">
      <w:pPr>
        <w:pStyle w:val="OB1"/>
      </w:pPr>
      <w:r>
        <w:t>IRS</w:t>
      </w:r>
    </w:p>
    <w:p w14:paraId="7F589008" w14:textId="77777777" w:rsidR="003C4A11" w:rsidRDefault="003C4A11">
      <w:pPr>
        <w:pStyle w:val="OB1"/>
      </w:pPr>
      <w:r>
        <w:t>OAG</w:t>
      </w:r>
    </w:p>
    <w:p w14:paraId="039A89EE" w14:textId="755EC9DC" w:rsidR="003C4A11" w:rsidRDefault="00AE4DF9">
      <w:pPr>
        <w:pStyle w:val="OB1"/>
      </w:pPr>
      <w:r>
        <w:t>Interstate Reciprocal Overpayment Recovery Agreement (IRORA)</w:t>
      </w:r>
    </w:p>
    <w:p w14:paraId="5AAA2F39" w14:textId="77777777" w:rsidR="003C4A11" w:rsidRDefault="003C4A11">
      <w:pPr>
        <w:pStyle w:val="OB1"/>
      </w:pPr>
      <w:r>
        <w:t>Etc.</w:t>
      </w:r>
    </w:p>
    <w:p w14:paraId="4DE28DA6" w14:textId="0816EAF0" w:rsidR="003C4A11" w:rsidRDefault="003C4A11">
      <w:pPr>
        <w:pStyle w:val="LB1"/>
      </w:pPr>
      <w:r w:rsidRPr="00412FB1">
        <w:t xml:space="preserve">System must generate an ACH file containing the benefit payment information (examples: </w:t>
      </w:r>
      <w:r w:rsidR="00881D11">
        <w:t xml:space="preserve">Claimant </w:t>
      </w:r>
      <w:r w:rsidRPr="00412FB1">
        <w:t xml:space="preserve">information, account information, amount of the payment and payment method) to disburse payment </w:t>
      </w:r>
    </w:p>
    <w:p w14:paraId="07610162" w14:textId="3EF41734" w:rsidR="003C4A11" w:rsidRDefault="003C4A11">
      <w:pPr>
        <w:pStyle w:val="LB1"/>
      </w:pPr>
      <w:r>
        <w:t xml:space="preserve">System must notify WIT of any Claimants </w:t>
      </w:r>
      <w:r w:rsidR="002765FB">
        <w:t xml:space="preserve">that </w:t>
      </w:r>
      <w:r>
        <w:t xml:space="preserve">meet </w:t>
      </w:r>
      <w:r w:rsidR="00DA68BE" w:rsidRPr="008C2C58">
        <w:rPr>
          <w:rFonts w:cs="Arial"/>
          <w:snapToGrid w:val="0"/>
          <w:color w:val="000000"/>
          <w:szCs w:val="24"/>
        </w:rPr>
        <w:t xml:space="preserve">Reemployment Services and Eligibility Assessments </w:t>
      </w:r>
      <w:r w:rsidR="00DA68BE">
        <w:rPr>
          <w:rFonts w:cs="Arial"/>
          <w:snapToGrid w:val="0"/>
          <w:color w:val="000000"/>
          <w:szCs w:val="24"/>
        </w:rPr>
        <w:t>(</w:t>
      </w:r>
      <w:r>
        <w:t>RESEA</w:t>
      </w:r>
      <w:r w:rsidR="00DA68BE">
        <w:t>)</w:t>
      </w:r>
      <w:r>
        <w:t xml:space="preserve"> criteria</w:t>
      </w:r>
    </w:p>
    <w:p w14:paraId="2F7ECB8B" w14:textId="77777777" w:rsidR="003C4A11" w:rsidRDefault="003C4A11">
      <w:pPr>
        <w:pStyle w:val="LB1"/>
      </w:pPr>
      <w:r>
        <w:t>System must coordinate with RTM (must stay manual)</w:t>
      </w:r>
    </w:p>
    <w:p w14:paraId="2E535D27" w14:textId="77777777" w:rsidR="003C4A11" w:rsidRDefault="003C4A11">
      <w:pPr>
        <w:pStyle w:val="OB1"/>
      </w:pPr>
      <w:r>
        <w:t>Authorize and release ACH payments</w:t>
      </w:r>
    </w:p>
    <w:p w14:paraId="3A3D9F77" w14:textId="77777777" w:rsidR="00B22B88" w:rsidRDefault="00B22B88">
      <w:pPr>
        <w:pStyle w:val="OB1"/>
      </w:pPr>
      <w:r>
        <w:t>Verify warrant run (send email to ATOS)</w:t>
      </w:r>
    </w:p>
    <w:p w14:paraId="691B6FE6" w14:textId="5D718CB3" w:rsidR="00B22B88" w:rsidRDefault="00B22B88">
      <w:pPr>
        <w:pStyle w:val="OB1"/>
      </w:pPr>
      <w:r>
        <w:t xml:space="preserve">System must generate entries to </w:t>
      </w:r>
      <w:r w:rsidR="00EE5625">
        <w:t>Workforce, Reporting, Accounting, and Purchasing System (</w:t>
      </w:r>
      <w:r>
        <w:t>WRAPS</w:t>
      </w:r>
      <w:r w:rsidR="00EE5625">
        <w:t>)</w:t>
      </w:r>
      <w:r>
        <w:t xml:space="preserve"> and </w:t>
      </w:r>
      <w:r w:rsidR="008D222E">
        <w:t>Uniform Statewide Accounting System (</w:t>
      </w:r>
      <w:r>
        <w:t>USAS</w:t>
      </w:r>
      <w:r w:rsidR="008D222E">
        <w:t>)</w:t>
      </w:r>
      <w:r>
        <w:t xml:space="preserve"> after verification by RTM</w:t>
      </w:r>
    </w:p>
    <w:p w14:paraId="4F2969D9" w14:textId="36C62742" w:rsidR="003C4A11" w:rsidRDefault="00B22B88">
      <w:pPr>
        <w:pStyle w:val="OB1"/>
      </w:pPr>
      <w:r>
        <w:t xml:space="preserve">System must allow data to be imported to a database via </w:t>
      </w:r>
      <w:r w:rsidR="00DB2144" w:rsidRPr="007F6BF8">
        <w:rPr>
          <w:rFonts w:cs="Arial"/>
          <w:snapToGrid w:val="0"/>
          <w:color w:val="000000"/>
          <w:szCs w:val="24"/>
        </w:rPr>
        <w:t>Open Database Connectivity</w:t>
      </w:r>
      <w:r w:rsidR="00DB2144">
        <w:t xml:space="preserve"> (</w:t>
      </w:r>
      <w:r>
        <w:t>ODBC</w:t>
      </w:r>
      <w:r w:rsidR="00DB2144">
        <w:t>)</w:t>
      </w:r>
      <w:r>
        <w:t xml:space="preserve"> link or other system capable</w:t>
      </w:r>
    </w:p>
    <w:p w14:paraId="02CE8B05" w14:textId="77777777" w:rsidR="003C4A11" w:rsidRDefault="003C4A11">
      <w:pPr>
        <w:pStyle w:val="LB1"/>
      </w:pPr>
      <w:r>
        <w:t>System must retain history of all payments</w:t>
      </w:r>
    </w:p>
    <w:p w14:paraId="48B7E27B" w14:textId="077C56F9" w:rsidR="003C4A11" w:rsidRDefault="003C4A11">
      <w:pPr>
        <w:pStyle w:val="LB1"/>
      </w:pPr>
      <w:r>
        <w:t xml:space="preserve">System must process </w:t>
      </w:r>
      <w:r w:rsidR="008D1494">
        <w:t xml:space="preserve">TRA payment </w:t>
      </w:r>
      <w:r w:rsidR="008D1494" w:rsidRPr="008D1494">
        <w:t xml:space="preserve">and RTAA Wage subsidy </w:t>
      </w:r>
      <w:r w:rsidR="008D1494">
        <w:t xml:space="preserve">requests </w:t>
      </w:r>
      <w:r>
        <w:t>based on business rules and take appropriate action</w:t>
      </w:r>
    </w:p>
    <w:p w14:paraId="51787435" w14:textId="66F3CE3A" w:rsidR="003C4A11" w:rsidRDefault="003C4A11">
      <w:pPr>
        <w:pStyle w:val="OB1"/>
      </w:pPr>
      <w:r w:rsidRPr="005E04FB">
        <w:lastRenderedPageBreak/>
        <w:t xml:space="preserve">System must </w:t>
      </w:r>
      <w:r w:rsidR="00881D11">
        <w:t>allow Staff</w:t>
      </w:r>
      <w:r w:rsidRPr="005E04FB">
        <w:t xml:space="preserve"> to enter/update Trade Adjustment Assistance petition certifications under the Trade Act of 1974, as amended in 2002, 2009, 2011, 2015</w:t>
      </w:r>
      <w:r>
        <w:t>, and any future updates</w:t>
      </w:r>
    </w:p>
    <w:p w14:paraId="150EF8D6" w14:textId="77777777" w:rsidR="003C4A11" w:rsidRDefault="003C4A11">
      <w:pPr>
        <w:pStyle w:val="OB1"/>
      </w:pPr>
      <w:r w:rsidRPr="00FC3FAC">
        <w:t>System must account for a different earnings exemption under the TRA program if the individual is in full-time training and earnings are less than the UI Weekly Benefit Amount that established TRA</w:t>
      </w:r>
    </w:p>
    <w:p w14:paraId="7A6CEC93" w14:textId="46036236" w:rsidR="003C4A11" w:rsidRDefault="003C4A11">
      <w:pPr>
        <w:pStyle w:val="OB1"/>
      </w:pPr>
      <w:r w:rsidRPr="00CF09FF">
        <w:t xml:space="preserve">System must </w:t>
      </w:r>
      <w:r w:rsidR="00881D11">
        <w:t>allow Staff</w:t>
      </w:r>
      <w:r w:rsidRPr="00CF09FF">
        <w:t>, prior to system electing choice automatically, to select a choice betwee</w:t>
      </w:r>
      <w:r w:rsidR="008D1494">
        <w:t xml:space="preserve">n a </w:t>
      </w:r>
      <w:r w:rsidR="00881D11">
        <w:t xml:space="preserve">Claimant </w:t>
      </w:r>
      <w:r w:rsidR="008D1494">
        <w:t>continuing on TRA/R</w:t>
      </w:r>
      <w:r w:rsidRPr="00CF09FF">
        <w:t>T</w:t>
      </w:r>
      <w:r w:rsidR="008D1494">
        <w:t>A</w:t>
      </w:r>
      <w:r w:rsidRPr="00CF09FF">
        <w:t>A program and beginning their UI entitlement</w:t>
      </w:r>
    </w:p>
    <w:p w14:paraId="3FBCC481" w14:textId="77777777" w:rsidR="003C4A11" w:rsidRDefault="003C4A11">
      <w:pPr>
        <w:pStyle w:val="LB1"/>
      </w:pPr>
      <w:r>
        <w:t>S</w:t>
      </w:r>
      <w:r w:rsidRPr="00F223E2">
        <w:t>ystem must provide verification of payment transmission</w:t>
      </w:r>
    </w:p>
    <w:p w14:paraId="47CB6181" w14:textId="55A16D89" w:rsidR="003C4A11" w:rsidRDefault="003C4A11" w:rsidP="003C4A11"/>
    <w:p w14:paraId="15E465D9" w14:textId="3524FB12" w:rsidR="003C4A11" w:rsidRDefault="003C4A11" w:rsidP="003C4A11">
      <w:pPr>
        <w:rPr>
          <w:u w:val="single"/>
        </w:rPr>
      </w:pPr>
      <w:bookmarkStart w:id="307" w:name="_Hlk534808132"/>
      <w:r w:rsidRPr="001D4B41">
        <w:rPr>
          <w:u w:val="single"/>
        </w:rPr>
        <w:t>Alternate Activities and Special Cases</w:t>
      </w:r>
      <w:r>
        <w:rPr>
          <w:u w:val="single"/>
        </w:rPr>
        <w:t xml:space="preserve"> </w:t>
      </w:r>
    </w:p>
    <w:p w14:paraId="4AE02916" w14:textId="77777777" w:rsidR="00E16F74" w:rsidRDefault="00E16F74" w:rsidP="00E16F74">
      <w:r>
        <w:t>System must support the following alternate activities and special cases:</w:t>
      </w:r>
    </w:p>
    <w:p w14:paraId="204951F4" w14:textId="77777777" w:rsidR="003C4A11" w:rsidRDefault="003C4A11" w:rsidP="00E16D2D">
      <w:pPr>
        <w:pStyle w:val="LB1"/>
      </w:pPr>
      <w:r>
        <w:t>Pull/cancel a payment</w:t>
      </w:r>
    </w:p>
    <w:p w14:paraId="37D9C5DF" w14:textId="77777777" w:rsidR="003C4A11" w:rsidRDefault="003C4A11" w:rsidP="00E16D2D">
      <w:pPr>
        <w:pStyle w:val="LB1"/>
      </w:pPr>
      <w:r>
        <w:t>Returned ACH payments</w:t>
      </w:r>
    </w:p>
    <w:p w14:paraId="3888D9BF" w14:textId="5AD27E58" w:rsidR="003C4A11" w:rsidRDefault="005A6A7A" w:rsidP="00116640">
      <w:pPr>
        <w:pStyle w:val="LB1"/>
      </w:pPr>
      <w:r>
        <w:t>P</w:t>
      </w:r>
      <w:r w:rsidR="003C4A11" w:rsidRPr="00CB6062">
        <w:t>rocess notices of changes</w:t>
      </w:r>
    </w:p>
    <w:p w14:paraId="75165724" w14:textId="77777777" w:rsidR="003C4A11" w:rsidRDefault="003C4A11" w:rsidP="00F82166">
      <w:pPr>
        <w:pStyle w:val="OB1"/>
      </w:pPr>
      <w:r>
        <w:t>Bank account number changes</w:t>
      </w:r>
    </w:p>
    <w:p w14:paraId="7519E959" w14:textId="77777777" w:rsidR="003C4A11" w:rsidRDefault="003C4A11" w:rsidP="00F82166">
      <w:pPr>
        <w:pStyle w:val="OB1"/>
      </w:pPr>
      <w:r>
        <w:t>Bank routing number changes</w:t>
      </w:r>
    </w:p>
    <w:p w14:paraId="7E1A0379" w14:textId="77777777" w:rsidR="003C4A11" w:rsidRDefault="003C4A11">
      <w:pPr>
        <w:pStyle w:val="OB1"/>
      </w:pPr>
      <w:r>
        <w:t>Bank account closures</w:t>
      </w:r>
    </w:p>
    <w:p w14:paraId="47043ACF" w14:textId="11ADF33D" w:rsidR="003C4A11" w:rsidRDefault="003C4A11">
      <w:pPr>
        <w:pStyle w:val="LB1"/>
      </w:pPr>
      <w:r>
        <w:t>Assignments</w:t>
      </w:r>
      <w:r w:rsidR="008D1494">
        <w:t xml:space="preserve"> or notifications</w:t>
      </w:r>
    </w:p>
    <w:p w14:paraId="79CB0FB0" w14:textId="77777777" w:rsidR="008D1494" w:rsidRPr="008D5EFA" w:rsidRDefault="008D1494">
      <w:pPr>
        <w:pStyle w:val="OB1"/>
      </w:pPr>
      <w:r w:rsidRPr="008D5EFA">
        <w:t>Notification of payment failures</w:t>
      </w:r>
    </w:p>
    <w:p w14:paraId="6B605841" w14:textId="7E25B983" w:rsidR="008D1494" w:rsidRDefault="008D1494">
      <w:pPr>
        <w:pStyle w:val="OB1"/>
      </w:pPr>
      <w:r w:rsidRPr="008D5EFA">
        <w:t>Creation of assignments and workflows based upon business rules</w:t>
      </w:r>
    </w:p>
    <w:p w14:paraId="0850E8CD" w14:textId="5CA2E9B5" w:rsidR="003C4A11" w:rsidRDefault="003C4A11">
      <w:pPr>
        <w:pStyle w:val="LB1"/>
      </w:pPr>
      <w:r>
        <w:t>Void by statute</w:t>
      </w:r>
    </w:p>
    <w:p w14:paraId="70ECB512" w14:textId="5114CA82" w:rsidR="00BC0BC4" w:rsidRDefault="00611FE6">
      <w:pPr>
        <w:pStyle w:val="OB1"/>
      </w:pPr>
      <w:r>
        <w:t>Send c</w:t>
      </w:r>
      <w:r w:rsidR="00BC0BC4">
        <w:t>orrespondence</w:t>
      </w:r>
    </w:p>
    <w:p w14:paraId="6ECBE712" w14:textId="23739A1C" w:rsidR="00BC0BC4" w:rsidRDefault="00BC0BC4">
      <w:pPr>
        <w:pStyle w:val="OB1"/>
      </w:pPr>
      <w:r>
        <w:t>Fund reversal</w:t>
      </w:r>
    </w:p>
    <w:p w14:paraId="24EBF1E0" w14:textId="0C46B84B" w:rsidR="00611FE6" w:rsidRDefault="00611FE6">
      <w:pPr>
        <w:pStyle w:val="OB1"/>
      </w:pPr>
      <w:r>
        <w:t>Post corrections</w:t>
      </w:r>
    </w:p>
    <w:p w14:paraId="22FFAC88" w14:textId="77777777" w:rsidR="003C4A11" w:rsidRDefault="003C4A11">
      <w:pPr>
        <w:pStyle w:val="LB1"/>
      </w:pPr>
      <w:r>
        <w:t>Special pull-backs (fraudulent accounts)</w:t>
      </w:r>
    </w:p>
    <w:p w14:paraId="458AAFC1" w14:textId="77777777" w:rsidR="003C4A11" w:rsidRDefault="003C4A11">
      <w:pPr>
        <w:pStyle w:val="LB1"/>
      </w:pPr>
      <w:r>
        <w:t>Refund reversals</w:t>
      </w:r>
    </w:p>
    <w:p w14:paraId="74854A7D" w14:textId="53A64CF6" w:rsidR="003C4A11" w:rsidRDefault="003C4A11" w:rsidP="003C4A11"/>
    <w:bookmarkEnd w:id="307"/>
    <w:p w14:paraId="7B5B3DC3" w14:textId="77777777" w:rsidR="003C4A11" w:rsidRPr="00716001" w:rsidRDefault="003C4A11" w:rsidP="003C4A11">
      <w:pPr>
        <w:pStyle w:val="Heading4"/>
      </w:pPr>
      <w:r>
        <w:tab/>
        <w:t>Initiate, Investigate, and Adjudicate Benefits Issues</w:t>
      </w:r>
    </w:p>
    <w:p w14:paraId="765D615D" w14:textId="2335D109" w:rsidR="003C4A11" w:rsidRPr="00DF6567" w:rsidRDefault="004C5656" w:rsidP="003C4A11">
      <w:r w:rsidRPr="007735FD">
        <w:t>This process includes all activities required to initiate</w:t>
      </w:r>
      <w:r>
        <w:t>, investigate, and adjudicate Benefits issues</w:t>
      </w:r>
      <w:r w:rsidR="003C4A11">
        <w:t>.</w:t>
      </w:r>
    </w:p>
    <w:p w14:paraId="776D32FB" w14:textId="77777777" w:rsidR="003C4A11" w:rsidRPr="00C45DE5" w:rsidRDefault="003C4A11" w:rsidP="003C4A11">
      <w:pPr>
        <w:rPr>
          <w:u w:val="single"/>
        </w:rPr>
      </w:pPr>
      <w:r w:rsidRPr="00C45DE5">
        <w:rPr>
          <w:u w:val="single"/>
        </w:rPr>
        <w:t>Actors</w:t>
      </w:r>
    </w:p>
    <w:p w14:paraId="4AB34FCB" w14:textId="77777777" w:rsidR="00434FEF" w:rsidRPr="00C45DE5" w:rsidRDefault="00434FEF" w:rsidP="00E16D2D">
      <w:pPr>
        <w:pStyle w:val="LB1"/>
      </w:pPr>
      <w:r>
        <w:t>System</w:t>
      </w:r>
    </w:p>
    <w:p w14:paraId="7D580179" w14:textId="77777777" w:rsidR="00434FEF" w:rsidRDefault="00434FEF" w:rsidP="00E16D2D">
      <w:pPr>
        <w:pStyle w:val="LB1"/>
      </w:pPr>
      <w:r>
        <w:t>Staff</w:t>
      </w:r>
    </w:p>
    <w:p w14:paraId="3349AD50" w14:textId="77777777" w:rsidR="003C4A11" w:rsidRDefault="003C4A11" w:rsidP="00116640">
      <w:pPr>
        <w:pStyle w:val="LB1"/>
      </w:pPr>
      <w:r>
        <w:t xml:space="preserve">Claimants </w:t>
      </w:r>
    </w:p>
    <w:p w14:paraId="2C8A9FB8" w14:textId="4D6D7450" w:rsidR="003C4A11" w:rsidRDefault="003C4A11" w:rsidP="00F82166">
      <w:pPr>
        <w:pStyle w:val="LB1"/>
      </w:pPr>
      <w:r w:rsidRPr="00C45DE5">
        <w:t>Employers</w:t>
      </w:r>
    </w:p>
    <w:p w14:paraId="7B13F9B3" w14:textId="0AF0224A" w:rsidR="00434FEF" w:rsidRPr="00C45DE5" w:rsidRDefault="00434FEF" w:rsidP="00F82166">
      <w:pPr>
        <w:pStyle w:val="LB1"/>
      </w:pPr>
      <w:r>
        <w:t>TPAs</w:t>
      </w:r>
    </w:p>
    <w:p w14:paraId="15507751" w14:textId="77777777" w:rsidR="003C4A11" w:rsidRPr="00DF6567" w:rsidRDefault="003C4A11" w:rsidP="003C4A11"/>
    <w:p w14:paraId="4AFE2396" w14:textId="77777777" w:rsidR="003C4A11" w:rsidRDefault="003C4A11" w:rsidP="003C4A11">
      <w:pPr>
        <w:rPr>
          <w:u w:val="single"/>
        </w:rPr>
      </w:pPr>
      <w:r>
        <w:rPr>
          <w:u w:val="single"/>
        </w:rPr>
        <w:lastRenderedPageBreak/>
        <w:t>Main Activities</w:t>
      </w:r>
    </w:p>
    <w:p w14:paraId="577D1A6C" w14:textId="1CB4E1C5" w:rsidR="000E1B7D" w:rsidRDefault="000E1B7D" w:rsidP="00E16D2D">
      <w:pPr>
        <w:pStyle w:val="LB1"/>
      </w:pPr>
      <w:r>
        <w:t xml:space="preserve">System must implement all </w:t>
      </w:r>
      <w:r w:rsidR="002F5EF1">
        <w:t xml:space="preserve">available </w:t>
      </w:r>
      <w:r>
        <w:t xml:space="preserve">SIDES </w:t>
      </w:r>
      <w:r w:rsidR="00E91A4F">
        <w:t>modules</w:t>
      </w:r>
      <w:r w:rsidR="007C4ED8">
        <w:t xml:space="preserve"> </w:t>
      </w:r>
    </w:p>
    <w:p w14:paraId="7F034AB6" w14:textId="7272CFFE" w:rsidR="000E1B7D" w:rsidRDefault="000E1B7D" w:rsidP="00E16D2D">
      <w:pPr>
        <w:pStyle w:val="LB1"/>
      </w:pPr>
      <w:r>
        <w:t xml:space="preserve">System must allow </w:t>
      </w:r>
      <w:r w:rsidR="006C11E3">
        <w:t xml:space="preserve">Staff, Employers, and TPAs </w:t>
      </w:r>
      <w:r>
        <w:t>to log into SIDES using SSO</w:t>
      </w:r>
    </w:p>
    <w:p w14:paraId="62640415" w14:textId="5DFAB446" w:rsidR="007C698B" w:rsidRDefault="007C698B" w:rsidP="00116640">
      <w:pPr>
        <w:pStyle w:val="LB1"/>
      </w:pPr>
      <w:r>
        <w:t xml:space="preserve">System must allow </w:t>
      </w:r>
      <w:r w:rsidR="006C11E3">
        <w:t xml:space="preserve">Staff, Employers, and TPAs </w:t>
      </w:r>
      <w:r>
        <w:t xml:space="preserve">to view request and responses from SIDES, web, etc. </w:t>
      </w:r>
    </w:p>
    <w:p w14:paraId="67F1F329" w14:textId="45B60477" w:rsidR="006C11E3" w:rsidRDefault="007C698B" w:rsidP="00F82166">
      <w:pPr>
        <w:pStyle w:val="LB1"/>
      </w:pPr>
      <w:bookmarkStart w:id="308" w:name="_Hlk518038553"/>
      <w:r>
        <w:t>System must allow Staff to run multiple sessions at the same time (e.g., review a Claimant and an Employer side by side)</w:t>
      </w:r>
      <w:r w:rsidR="006C11E3" w:rsidRPr="006C11E3">
        <w:t xml:space="preserve"> </w:t>
      </w:r>
    </w:p>
    <w:p w14:paraId="31FD9603" w14:textId="20D67CB9" w:rsidR="007C698B" w:rsidRDefault="006C11E3" w:rsidP="00F82166">
      <w:pPr>
        <w:pStyle w:val="LB1"/>
      </w:pPr>
      <w:r>
        <w:t>System must provide claim summary to Staff to eliminate accessing multiple screens</w:t>
      </w:r>
    </w:p>
    <w:p w14:paraId="4EB6750F" w14:textId="69083E95" w:rsidR="00B60BA8" w:rsidRDefault="00B60BA8">
      <w:pPr>
        <w:pStyle w:val="OB1"/>
      </w:pPr>
      <w:r>
        <w:t>Case association</w:t>
      </w:r>
    </w:p>
    <w:p w14:paraId="69013150" w14:textId="5FEB4E68" w:rsidR="00695828" w:rsidRDefault="00B60BA8">
      <w:pPr>
        <w:pStyle w:val="OB1"/>
      </w:pPr>
      <w:r>
        <w:t>Allow for filtering, sorting, and searching</w:t>
      </w:r>
    </w:p>
    <w:p w14:paraId="681637E6" w14:textId="2BF17423" w:rsidR="00695828" w:rsidRDefault="00850776">
      <w:pPr>
        <w:pStyle w:val="OB1"/>
      </w:pPr>
      <w:r>
        <w:t>Sort by date and time</w:t>
      </w:r>
      <w:bookmarkEnd w:id="308"/>
    </w:p>
    <w:p w14:paraId="6870B8A5" w14:textId="23AF6350" w:rsidR="007C698B" w:rsidRDefault="007C698B">
      <w:pPr>
        <w:pStyle w:val="LB1"/>
      </w:pPr>
      <w:r>
        <w:t xml:space="preserve">System </w:t>
      </w:r>
      <w:r w:rsidR="00544261">
        <w:t xml:space="preserve">and Staff must be able to create </w:t>
      </w:r>
      <w:r>
        <w:t xml:space="preserve">and handle issues from a variety of sources (cross-matches, </w:t>
      </w:r>
      <w:r w:rsidR="009521D7">
        <w:t xml:space="preserve">Employer </w:t>
      </w:r>
      <w:r>
        <w:t xml:space="preserve">responses, </w:t>
      </w:r>
      <w:r w:rsidR="001A4872">
        <w:t>claims taking</w:t>
      </w:r>
      <w:r>
        <w:t>, tips, leads, etc.) that require additional research to resolve, such as:</w:t>
      </w:r>
    </w:p>
    <w:p w14:paraId="47687DB0" w14:textId="77777777" w:rsidR="007C698B" w:rsidRDefault="007C698B">
      <w:pPr>
        <w:pStyle w:val="OB1"/>
      </w:pPr>
      <w:r>
        <w:t>Non-Separation Issues</w:t>
      </w:r>
    </w:p>
    <w:p w14:paraId="0EAAAA6C" w14:textId="77777777" w:rsidR="007C698B" w:rsidRDefault="007C698B">
      <w:pPr>
        <w:pStyle w:val="OB1"/>
      </w:pPr>
      <w:r>
        <w:t>Separation Issues</w:t>
      </w:r>
    </w:p>
    <w:p w14:paraId="4458B0C6" w14:textId="2B2B132E" w:rsidR="007C698B" w:rsidRDefault="007C698B">
      <w:pPr>
        <w:pStyle w:val="OB1"/>
      </w:pPr>
      <w:r>
        <w:t>Monetary Issues</w:t>
      </w:r>
      <w:r w:rsidR="00470D72">
        <w:t xml:space="preserve"> (e.g., alternate base period)</w:t>
      </w:r>
    </w:p>
    <w:p w14:paraId="198276F8" w14:textId="77777777" w:rsidR="007C698B" w:rsidRDefault="007C698B">
      <w:pPr>
        <w:pStyle w:val="OB1"/>
      </w:pPr>
      <w:r>
        <w:t>Fraud</w:t>
      </w:r>
    </w:p>
    <w:p w14:paraId="3D1AD62B" w14:textId="71508460" w:rsidR="007C698B" w:rsidRDefault="007C698B" w:rsidP="007C698B">
      <w:pPr>
        <w:pStyle w:val="SB1"/>
      </w:pPr>
      <w:r>
        <w:t>Requires a second vote</w:t>
      </w:r>
      <w:r w:rsidR="00622472">
        <w:t xml:space="preserve"> (fraud requires a first and second vote)</w:t>
      </w:r>
    </w:p>
    <w:p w14:paraId="43DF73B1" w14:textId="77777777" w:rsidR="007C698B" w:rsidRDefault="007C698B" w:rsidP="00E16D2D">
      <w:pPr>
        <w:pStyle w:val="LB1"/>
      </w:pPr>
      <w:r>
        <w:t>System must flag cases for additional review based on business rules such as</w:t>
      </w:r>
    </w:p>
    <w:p w14:paraId="7302A6AA" w14:textId="36AE40B5" w:rsidR="00B95E56" w:rsidRDefault="000275EA" w:rsidP="00E16D2D">
      <w:pPr>
        <w:pStyle w:val="OB1"/>
      </w:pPr>
      <w:r>
        <w:t xml:space="preserve">Unidentified regular and federal </w:t>
      </w:r>
      <w:r w:rsidR="00930F59">
        <w:t>Employer</w:t>
      </w:r>
      <w:r>
        <w:t>s</w:t>
      </w:r>
    </w:p>
    <w:p w14:paraId="60E9D6E3" w14:textId="3C0A5F8B" w:rsidR="007C698B" w:rsidRDefault="007C698B" w:rsidP="00116640">
      <w:pPr>
        <w:pStyle w:val="OB1"/>
      </w:pPr>
      <w:r>
        <w:t xml:space="preserve">WIT notification </w:t>
      </w:r>
      <w:r w:rsidR="00B95E56">
        <w:t>of</w:t>
      </w:r>
    </w:p>
    <w:p w14:paraId="05E59B1C" w14:textId="77777777" w:rsidR="007C698B" w:rsidRDefault="007C698B" w:rsidP="007C698B">
      <w:pPr>
        <w:pStyle w:val="SB1"/>
      </w:pPr>
      <w:r>
        <w:t>Claimant being hired</w:t>
      </w:r>
    </w:p>
    <w:p w14:paraId="547C3013" w14:textId="77777777" w:rsidR="007C698B" w:rsidRDefault="007C698B" w:rsidP="007C698B">
      <w:pPr>
        <w:pStyle w:val="SB1"/>
      </w:pPr>
      <w:r>
        <w:t>Job refusal</w:t>
      </w:r>
    </w:p>
    <w:p w14:paraId="3B4D3DDE" w14:textId="77777777" w:rsidR="007C698B" w:rsidRDefault="007C698B" w:rsidP="007C698B">
      <w:pPr>
        <w:pStyle w:val="SB1"/>
      </w:pPr>
      <w:r>
        <w:t xml:space="preserve">RESEA non-attendance </w:t>
      </w:r>
    </w:p>
    <w:p w14:paraId="1D4B35E2" w14:textId="77777777" w:rsidR="007C698B" w:rsidRDefault="007C698B" w:rsidP="007C698B">
      <w:pPr>
        <w:pStyle w:val="SB1"/>
      </w:pPr>
      <w:r>
        <w:t>And other issues</w:t>
      </w:r>
    </w:p>
    <w:p w14:paraId="695ED679" w14:textId="77777777" w:rsidR="007C698B" w:rsidRDefault="007C698B" w:rsidP="00E16D2D">
      <w:pPr>
        <w:pStyle w:val="OB1"/>
      </w:pPr>
      <w:r>
        <w:t>Wage additions</w:t>
      </w:r>
    </w:p>
    <w:p w14:paraId="7656C2B6" w14:textId="1AA364B9" w:rsidR="007C698B" w:rsidRDefault="007C698B" w:rsidP="00E16D2D">
      <w:pPr>
        <w:pStyle w:val="LB1"/>
      </w:pPr>
      <w:r>
        <w:t xml:space="preserve">System must include Case Management and Workflow functionality, described in General Process Descriptions, see </w:t>
      </w:r>
      <w:hyperlink w:anchor="_A6.9_General" w:history="1">
        <w:r w:rsidR="00026BFB">
          <w:rPr>
            <w:rStyle w:val="Hyperlink"/>
          </w:rPr>
          <w:t>Attachment A6.9</w:t>
        </w:r>
      </w:hyperlink>
    </w:p>
    <w:p w14:paraId="7978A963" w14:textId="4A78243A" w:rsidR="007C698B" w:rsidRDefault="007C698B" w:rsidP="00116640">
      <w:pPr>
        <w:pStyle w:val="LB1"/>
      </w:pPr>
      <w:r>
        <w:t xml:space="preserve">Staff, Claimants, Employers, and </w:t>
      </w:r>
      <w:r w:rsidR="000275EA">
        <w:t>TPAs</w:t>
      </w:r>
      <w:r w:rsidR="00533482">
        <w:t xml:space="preserve"> </w:t>
      </w:r>
      <w:r>
        <w:t>must be able to complete conditional fact finding</w:t>
      </w:r>
    </w:p>
    <w:p w14:paraId="2507431D" w14:textId="463CEA42" w:rsidR="007C698B" w:rsidRDefault="007C698B" w:rsidP="00F82166">
      <w:pPr>
        <w:pStyle w:val="LB1"/>
      </w:pPr>
      <w:r w:rsidRPr="00B547CB">
        <w:t>System must provi</w:t>
      </w:r>
      <w:r w:rsidR="00DC3A3B">
        <w:t xml:space="preserve">de the ability to schedule fact </w:t>
      </w:r>
      <w:r w:rsidRPr="00B547CB">
        <w:t xml:space="preserve">finding and follow up </w:t>
      </w:r>
      <w:r w:rsidR="00B95E56" w:rsidRPr="00B547CB">
        <w:t>interviews</w:t>
      </w:r>
      <w:r w:rsidR="006C11E3">
        <w:t xml:space="preserve"> and document the deadlines for messages, fact finding and follow up interviews per business rules</w:t>
      </w:r>
    </w:p>
    <w:p w14:paraId="689C8A30" w14:textId="505E160C" w:rsidR="006C11E3" w:rsidRDefault="007C698B" w:rsidP="00F82166">
      <w:pPr>
        <w:pStyle w:val="LB1"/>
      </w:pPr>
      <w:r>
        <w:t xml:space="preserve">Staff and System must be able to (re)trigger conditional </w:t>
      </w:r>
      <w:r w:rsidR="00B95E56">
        <w:t xml:space="preserve">fact findings (a request for information) for Claimants </w:t>
      </w:r>
      <w:r>
        <w:t xml:space="preserve">and Employers to complete with notification by preferred </w:t>
      </w:r>
      <w:r w:rsidR="008F1090">
        <w:t>method</w:t>
      </w:r>
      <w:r w:rsidR="006C11E3" w:rsidRPr="006C11E3">
        <w:t xml:space="preserve"> </w:t>
      </w:r>
    </w:p>
    <w:p w14:paraId="22A664A9" w14:textId="557B491C" w:rsidR="007C698B" w:rsidRDefault="006C11E3">
      <w:pPr>
        <w:pStyle w:val="LB1"/>
      </w:pPr>
      <w:r>
        <w:t>System must provide a way to track future issues and reopen cases per business rules</w:t>
      </w:r>
      <w:r w:rsidR="00695828">
        <w:t xml:space="preserve"> (e.g., job offer, pension, etc.)</w:t>
      </w:r>
    </w:p>
    <w:p w14:paraId="41AD0793" w14:textId="77777777" w:rsidR="00695828" w:rsidRDefault="00DC3A3B">
      <w:pPr>
        <w:pStyle w:val="LB1"/>
      </w:pPr>
      <w:r>
        <w:t xml:space="preserve">System must allow Staff to create </w:t>
      </w:r>
      <w:r w:rsidR="00695828">
        <w:t>fact finding</w:t>
      </w:r>
    </w:p>
    <w:p w14:paraId="7CAC7A4F" w14:textId="7F98F534" w:rsidR="00DC3A3B" w:rsidRDefault="00695828">
      <w:pPr>
        <w:pStyle w:val="LB1"/>
      </w:pPr>
      <w:r>
        <w:lastRenderedPageBreak/>
        <w:t>System must allow Staff who created fact finding the ability to edit it within a specified time limit based on business rules</w:t>
      </w:r>
    </w:p>
    <w:p w14:paraId="647078EA" w14:textId="0640BD58" w:rsidR="007C698B" w:rsidRDefault="007C698B">
      <w:pPr>
        <w:pStyle w:val="LB1"/>
      </w:pPr>
      <w:r>
        <w:t>System and Staff must be able to issue decisions including</w:t>
      </w:r>
    </w:p>
    <w:p w14:paraId="49DB9AD3" w14:textId="77777777" w:rsidR="007C698B" w:rsidRDefault="007C698B">
      <w:pPr>
        <w:pStyle w:val="OB1"/>
      </w:pPr>
      <w:r>
        <w:t>Selection of determinations from a drop-down list where ever possible</w:t>
      </w:r>
    </w:p>
    <w:p w14:paraId="713D2D07" w14:textId="7BB614A0" w:rsidR="006C11E3" w:rsidRDefault="007C698B">
      <w:pPr>
        <w:pStyle w:val="OB1"/>
      </w:pPr>
      <w:r>
        <w:t xml:space="preserve">Selection of determinations, count/no-count, </w:t>
      </w:r>
      <w:r w:rsidR="00C36F57">
        <w:t xml:space="preserve">multiple </w:t>
      </w:r>
      <w:r>
        <w:t>interested parties</w:t>
      </w:r>
      <w:r w:rsidR="00C36F57">
        <w:t xml:space="preserve"> to include Unions</w:t>
      </w:r>
      <w:r>
        <w:t>, chargeback, etc. where ever possible based on business rules</w:t>
      </w:r>
      <w:r w:rsidR="006C11E3" w:rsidRPr="006C11E3">
        <w:t xml:space="preserve"> </w:t>
      </w:r>
    </w:p>
    <w:p w14:paraId="52F54A2C" w14:textId="0657D3F6" w:rsidR="006C11E3" w:rsidRDefault="006C11E3">
      <w:pPr>
        <w:pStyle w:val="OB1"/>
      </w:pPr>
      <w:r>
        <w:t xml:space="preserve">If unable to auto-determine, the system must guide </w:t>
      </w:r>
      <w:r w:rsidR="00695828">
        <w:t>S</w:t>
      </w:r>
      <w:r>
        <w:t>taff on count/no-count and interested parties based upon business rules</w:t>
      </w:r>
    </w:p>
    <w:p w14:paraId="08CF6720" w14:textId="6446767F" w:rsidR="007C698B" w:rsidRDefault="00695828">
      <w:pPr>
        <w:pStyle w:val="OB1"/>
      </w:pPr>
      <w:r>
        <w:t>Provide calendar feature for S</w:t>
      </w:r>
      <w:r w:rsidR="006C11E3">
        <w:t>taff when taking fact finding or issuing decisions to assist with the correct begin and end date selection</w:t>
      </w:r>
      <w:r w:rsidR="00865B96">
        <w:t xml:space="preserve"> </w:t>
      </w:r>
      <w:r w:rsidR="006C11E3">
        <w:t>(intuitive date suggestions by system)</w:t>
      </w:r>
    </w:p>
    <w:p w14:paraId="509B640E" w14:textId="002ECB73" w:rsidR="00421F99" w:rsidRDefault="00421F99">
      <w:pPr>
        <w:pStyle w:val="OB1"/>
      </w:pPr>
      <w:r>
        <w:t>Ability to override system-identified issue detection date</w:t>
      </w:r>
    </w:p>
    <w:p w14:paraId="17B3DB45" w14:textId="4618AC8F" w:rsidR="007C698B" w:rsidRDefault="007C698B">
      <w:pPr>
        <w:pStyle w:val="LB1"/>
      </w:pPr>
      <w:r w:rsidRPr="00951E46">
        <w:t xml:space="preserve">System must preclude adjudication of an issue that has been resolved in another state when wages are </w:t>
      </w:r>
      <w:r>
        <w:t xml:space="preserve">received from other state (20 </w:t>
      </w:r>
      <w:r w:rsidR="008107B1" w:rsidRPr="00D01A3C">
        <w:rPr>
          <w:rFonts w:cs="Arial"/>
          <w:snapToGrid w:val="0"/>
          <w:color w:val="000000"/>
          <w:szCs w:val="24"/>
        </w:rPr>
        <w:t>Code of Federal Regulations</w:t>
      </w:r>
      <w:r w:rsidR="008107B1">
        <w:t xml:space="preserve"> (</w:t>
      </w:r>
      <w:r>
        <w:t>CFR</w:t>
      </w:r>
      <w:r w:rsidR="008107B1">
        <w:t>)</w:t>
      </w:r>
      <w:r>
        <w:t xml:space="preserve"> </w:t>
      </w:r>
      <w:r w:rsidRPr="00951E46">
        <w:t>616.8)</w:t>
      </w:r>
    </w:p>
    <w:p w14:paraId="69EF92B9" w14:textId="77777777" w:rsidR="007C698B" w:rsidRDefault="007C698B">
      <w:pPr>
        <w:pStyle w:val="LB1"/>
      </w:pPr>
      <w:bookmarkStart w:id="309" w:name="_Hlk512324557"/>
      <w:r>
        <w:t xml:space="preserve">System must use decisions to take appropriate action to process adjustments based on business rules, including but not limited to: </w:t>
      </w:r>
    </w:p>
    <w:p w14:paraId="26DCA6F0" w14:textId="77777777" w:rsidR="007C698B" w:rsidRDefault="007C698B">
      <w:pPr>
        <w:pStyle w:val="OB1"/>
      </w:pPr>
      <w:r>
        <w:t>Evaluate eligibility</w:t>
      </w:r>
    </w:p>
    <w:p w14:paraId="79FD15F5" w14:textId="77777777" w:rsidR="007C698B" w:rsidRDefault="007C698B">
      <w:pPr>
        <w:pStyle w:val="OB1"/>
      </w:pPr>
      <w:r>
        <w:t>Creation of overpayment</w:t>
      </w:r>
    </w:p>
    <w:p w14:paraId="7D4050DC" w14:textId="77777777" w:rsidR="007C698B" w:rsidRDefault="007C698B">
      <w:pPr>
        <w:pStyle w:val="OB1"/>
      </w:pPr>
      <w:r>
        <w:t xml:space="preserve">Release of payment </w:t>
      </w:r>
    </w:p>
    <w:p w14:paraId="276B07AD" w14:textId="77777777" w:rsidR="007C698B" w:rsidRDefault="007C698B">
      <w:pPr>
        <w:pStyle w:val="OB1"/>
      </w:pPr>
      <w:r>
        <w:t>Notification to UI Tax</w:t>
      </w:r>
      <w:r>
        <w:tab/>
      </w:r>
    </w:p>
    <w:p w14:paraId="50124626" w14:textId="77777777" w:rsidR="007C698B" w:rsidRDefault="007C698B" w:rsidP="007C698B">
      <w:pPr>
        <w:pStyle w:val="SB1"/>
      </w:pPr>
      <w:r>
        <w:t>Duplicate wage records</w:t>
      </w:r>
    </w:p>
    <w:p w14:paraId="6819F286" w14:textId="77777777" w:rsidR="007C698B" w:rsidRDefault="007C698B" w:rsidP="007C698B">
      <w:pPr>
        <w:pStyle w:val="SB1"/>
      </w:pPr>
      <w:r>
        <w:t>SSN corrections</w:t>
      </w:r>
    </w:p>
    <w:p w14:paraId="4679ECE6" w14:textId="77777777" w:rsidR="007C698B" w:rsidRDefault="007C698B" w:rsidP="007C698B">
      <w:pPr>
        <w:pStyle w:val="SB1"/>
      </w:pPr>
      <w:r>
        <w:t>Etc.</w:t>
      </w:r>
    </w:p>
    <w:p w14:paraId="4E8214D0" w14:textId="77777777" w:rsidR="007C698B" w:rsidRDefault="007C698B" w:rsidP="00E16D2D">
      <w:pPr>
        <w:pStyle w:val="OB1"/>
      </w:pPr>
      <w:r>
        <w:t>RESEA reschedule list</w:t>
      </w:r>
    </w:p>
    <w:p w14:paraId="6F65408F" w14:textId="77777777" w:rsidR="007C698B" w:rsidRDefault="007C698B" w:rsidP="00E16D2D">
      <w:pPr>
        <w:pStyle w:val="OB1"/>
      </w:pPr>
      <w:r>
        <w:t>Etc.</w:t>
      </w:r>
    </w:p>
    <w:p w14:paraId="1A6A955A" w14:textId="4127169A" w:rsidR="007C698B" w:rsidRDefault="006B4EE9" w:rsidP="00116640">
      <w:pPr>
        <w:pStyle w:val="LB1"/>
      </w:pPr>
      <w:r>
        <w:t xml:space="preserve">Decisions issued by the </w:t>
      </w:r>
      <w:r w:rsidR="007C698B">
        <w:t xml:space="preserve">System must </w:t>
      </w:r>
      <w:r>
        <w:t>conform with</w:t>
      </w:r>
      <w:r w:rsidR="007C698B">
        <w:t xml:space="preserve"> TWC and DOL established guidelines on what constitutes a “quality” nonmonetary </w:t>
      </w:r>
      <w:r w:rsidR="00B95E56">
        <w:t>decision</w:t>
      </w:r>
      <w:r w:rsidR="007C698B">
        <w:t>.</w:t>
      </w:r>
    </w:p>
    <w:p w14:paraId="05F06AA7" w14:textId="298B275E" w:rsidR="007C698B" w:rsidRDefault="007C698B" w:rsidP="00F82166">
      <w:pPr>
        <w:pStyle w:val="LB1"/>
      </w:pPr>
      <w:r>
        <w:t>System must issue an appropriate system-generated written decision to all interested parties. If Staff must deny benefits to the Claimant, the decision should contain sufficient information to enable those receiving the decision to understand why.</w:t>
      </w:r>
    </w:p>
    <w:bookmarkEnd w:id="309"/>
    <w:p w14:paraId="73382AAF" w14:textId="6E33AED6" w:rsidR="007C698B" w:rsidRDefault="007C698B" w:rsidP="007C698B"/>
    <w:p w14:paraId="5206E06A" w14:textId="1B0B8513" w:rsidR="007C698B" w:rsidRDefault="007C698B" w:rsidP="007C698B">
      <w:pPr>
        <w:rPr>
          <w:u w:val="single"/>
        </w:rPr>
      </w:pPr>
      <w:r w:rsidRPr="001D4B41">
        <w:rPr>
          <w:u w:val="single"/>
        </w:rPr>
        <w:t>Alternate Activities and Special Cases</w:t>
      </w:r>
      <w:r>
        <w:rPr>
          <w:u w:val="single"/>
        </w:rPr>
        <w:t xml:space="preserve"> </w:t>
      </w:r>
    </w:p>
    <w:p w14:paraId="6E766DCF" w14:textId="77777777" w:rsidR="004F7DCA" w:rsidRDefault="004F7DCA" w:rsidP="004F7DCA">
      <w:r>
        <w:t>System must support the following alternate activities and special cases:</w:t>
      </w:r>
    </w:p>
    <w:p w14:paraId="0BE7B67B" w14:textId="77777777" w:rsidR="007C698B" w:rsidRDefault="007C698B" w:rsidP="00E16D2D">
      <w:pPr>
        <w:pStyle w:val="LB1"/>
      </w:pPr>
      <w:r>
        <w:t>Claimant and/or Employer can file an appeal</w:t>
      </w:r>
    </w:p>
    <w:p w14:paraId="535030F3" w14:textId="2C461BEA" w:rsidR="007C698B" w:rsidRDefault="007C698B" w:rsidP="00E16D2D">
      <w:pPr>
        <w:pStyle w:val="OB1"/>
      </w:pPr>
      <w:r>
        <w:t xml:space="preserve">14 </w:t>
      </w:r>
      <w:r w:rsidR="00DA4BCA">
        <w:t xml:space="preserve">calendar </w:t>
      </w:r>
      <w:r>
        <w:t>days for regular claims</w:t>
      </w:r>
    </w:p>
    <w:p w14:paraId="4672B0D2" w14:textId="396E8B8C" w:rsidR="007C698B" w:rsidRDefault="007C698B" w:rsidP="00116640">
      <w:pPr>
        <w:pStyle w:val="OB1"/>
      </w:pPr>
      <w:r>
        <w:t xml:space="preserve">60 </w:t>
      </w:r>
      <w:r w:rsidR="00DA4BCA">
        <w:t xml:space="preserve">calendar </w:t>
      </w:r>
      <w:r>
        <w:t>days for DUA</w:t>
      </w:r>
    </w:p>
    <w:p w14:paraId="38F63A43" w14:textId="5C4495F1" w:rsidR="007C698B" w:rsidRDefault="007C698B" w:rsidP="00116640">
      <w:pPr>
        <w:pStyle w:val="LB1"/>
      </w:pPr>
      <w:r>
        <w:lastRenderedPageBreak/>
        <w:t>Authorized Staff can change determination within time window (in days) based on business rules</w:t>
      </w:r>
      <w:r w:rsidR="00533482">
        <w:t xml:space="preserve"> and TUCA </w:t>
      </w:r>
      <w:r w:rsidR="00533482" w:rsidRPr="00244766">
        <w:rPr>
          <w:szCs w:val="24"/>
        </w:rPr>
        <w:t>§</w:t>
      </w:r>
      <w:r w:rsidR="00533482">
        <w:rPr>
          <w:szCs w:val="24"/>
        </w:rPr>
        <w:t xml:space="preserve"> 212.054</w:t>
      </w:r>
    </w:p>
    <w:p w14:paraId="5925EB3D" w14:textId="2002F9E1" w:rsidR="007C698B" w:rsidRDefault="007C698B" w:rsidP="00F82166">
      <w:pPr>
        <w:pStyle w:val="LB1"/>
      </w:pPr>
      <w:r w:rsidRPr="00753132">
        <w:t xml:space="preserve">If fraud determinations are issued on TRA claims, the </w:t>
      </w:r>
      <w:r w:rsidR="002765FB">
        <w:t>S</w:t>
      </w:r>
      <w:r w:rsidRPr="00753132">
        <w:t xml:space="preserve">ystem must disqualify </w:t>
      </w:r>
      <w:r w:rsidR="00881D11">
        <w:t xml:space="preserve">Claimant </w:t>
      </w:r>
      <w:r w:rsidRPr="00753132">
        <w:t>for any trade assistance services under federal TAA program (lifetime and doesn't affect other programs)</w:t>
      </w:r>
    </w:p>
    <w:p w14:paraId="63285263" w14:textId="4FBCDC90" w:rsidR="0098630E" w:rsidRDefault="00000714" w:rsidP="00F82166">
      <w:pPr>
        <w:pStyle w:val="LB1"/>
      </w:pPr>
      <w:bookmarkStart w:id="310" w:name="_Hlk532810467"/>
      <w:r>
        <w:t xml:space="preserve">System must allow Staff to exchange information with Equifax via their portal </w:t>
      </w:r>
    </w:p>
    <w:p w14:paraId="1092D7F7" w14:textId="50D955AC" w:rsidR="00000714" w:rsidRDefault="00000714">
      <w:pPr>
        <w:pStyle w:val="OB1"/>
      </w:pPr>
      <w:r>
        <w:t>Log in/Authenticate</w:t>
      </w:r>
    </w:p>
    <w:p w14:paraId="0EACEB62" w14:textId="77777777" w:rsidR="00000714" w:rsidRDefault="00000714">
      <w:pPr>
        <w:pStyle w:val="OB1"/>
      </w:pPr>
      <w:r>
        <w:t>Send and receive messages</w:t>
      </w:r>
    </w:p>
    <w:p w14:paraId="255FF2CB" w14:textId="4F35CA1B" w:rsidR="00000714" w:rsidRDefault="00000714">
      <w:pPr>
        <w:pStyle w:val="OB1"/>
      </w:pPr>
      <w:r>
        <w:t>Download documents</w:t>
      </w:r>
    </w:p>
    <w:p w14:paraId="1E1A4CFC" w14:textId="47432CDC" w:rsidR="00000714" w:rsidRDefault="00000714">
      <w:pPr>
        <w:pStyle w:val="OB1"/>
      </w:pPr>
      <w:r>
        <w:t>Automate current copy/paste functionality</w:t>
      </w:r>
    </w:p>
    <w:p w14:paraId="771CD8FF" w14:textId="75EDD425" w:rsidR="00000714" w:rsidRDefault="00000714">
      <w:pPr>
        <w:pStyle w:val="OB1"/>
      </w:pPr>
      <w:r>
        <w:t>Document results in TWC case file</w:t>
      </w:r>
    </w:p>
    <w:bookmarkEnd w:id="310"/>
    <w:p w14:paraId="1EBE6744" w14:textId="303B44A0" w:rsidR="007C698B" w:rsidRDefault="007C698B" w:rsidP="007C698B"/>
    <w:p w14:paraId="2ABA5F8F" w14:textId="14DB3EB3" w:rsidR="00620C4C" w:rsidRPr="00716001" w:rsidRDefault="00620C4C" w:rsidP="00620C4C">
      <w:pPr>
        <w:pStyle w:val="Heading4"/>
      </w:pPr>
      <w:r>
        <w:tab/>
        <w:t>Employer Charging</w:t>
      </w:r>
    </w:p>
    <w:p w14:paraId="4AF0C5B1" w14:textId="410FCBE5" w:rsidR="00620C4C" w:rsidRPr="00DF6567" w:rsidRDefault="00652FAD" w:rsidP="00620C4C">
      <w:r>
        <w:t xml:space="preserve">This process includes all activities required to charge </w:t>
      </w:r>
      <w:r w:rsidR="002D225D">
        <w:t>E</w:t>
      </w:r>
      <w:r>
        <w:t>mployer accounts</w:t>
      </w:r>
      <w:r w:rsidR="00620C4C">
        <w:t>.</w:t>
      </w:r>
    </w:p>
    <w:p w14:paraId="11DD01DA" w14:textId="77777777" w:rsidR="00620C4C" w:rsidRPr="00C45DE5" w:rsidRDefault="00620C4C" w:rsidP="00620C4C">
      <w:pPr>
        <w:rPr>
          <w:u w:val="single"/>
        </w:rPr>
      </w:pPr>
      <w:r w:rsidRPr="00C45DE5">
        <w:rPr>
          <w:u w:val="single"/>
        </w:rPr>
        <w:t>Actors</w:t>
      </w:r>
    </w:p>
    <w:p w14:paraId="14FD592E" w14:textId="77777777" w:rsidR="00652FAD" w:rsidRDefault="00652FAD" w:rsidP="00E16D2D">
      <w:pPr>
        <w:pStyle w:val="LB1"/>
      </w:pPr>
      <w:r>
        <w:t>System</w:t>
      </w:r>
    </w:p>
    <w:p w14:paraId="56530277" w14:textId="77777777" w:rsidR="00652FAD" w:rsidRDefault="00652FAD" w:rsidP="00E16D2D">
      <w:pPr>
        <w:pStyle w:val="LB1"/>
      </w:pPr>
      <w:r>
        <w:t>Claimants</w:t>
      </w:r>
    </w:p>
    <w:p w14:paraId="49927761" w14:textId="77777777" w:rsidR="00652FAD" w:rsidRDefault="00652FAD" w:rsidP="00116640">
      <w:pPr>
        <w:pStyle w:val="LB1"/>
      </w:pPr>
      <w:r>
        <w:t>Employers</w:t>
      </w:r>
    </w:p>
    <w:p w14:paraId="12FAB083" w14:textId="77777777" w:rsidR="00652FAD" w:rsidRDefault="00652FAD" w:rsidP="00F82166">
      <w:pPr>
        <w:pStyle w:val="LB1"/>
      </w:pPr>
      <w:r>
        <w:t>TPAs</w:t>
      </w:r>
    </w:p>
    <w:p w14:paraId="36525720" w14:textId="77777777" w:rsidR="00652FAD" w:rsidRDefault="00652FAD" w:rsidP="00F82166">
      <w:pPr>
        <w:pStyle w:val="LB1"/>
      </w:pPr>
      <w:r>
        <w:t>Staff</w:t>
      </w:r>
    </w:p>
    <w:p w14:paraId="0FE52FAF" w14:textId="77777777" w:rsidR="00652FAD" w:rsidRDefault="00652FAD">
      <w:pPr>
        <w:pStyle w:val="LB1"/>
      </w:pPr>
      <w:r>
        <w:t>Other States</w:t>
      </w:r>
    </w:p>
    <w:p w14:paraId="4389EB78" w14:textId="77777777" w:rsidR="00620C4C" w:rsidRPr="00DF6567" w:rsidRDefault="00620C4C" w:rsidP="00620C4C"/>
    <w:p w14:paraId="117CE17A" w14:textId="168C462E" w:rsidR="00620C4C" w:rsidRDefault="00620C4C" w:rsidP="00620C4C">
      <w:pPr>
        <w:rPr>
          <w:u w:val="single"/>
        </w:rPr>
      </w:pPr>
      <w:r>
        <w:rPr>
          <w:u w:val="single"/>
        </w:rPr>
        <w:t>Main Activities</w:t>
      </w:r>
    </w:p>
    <w:p w14:paraId="50EBFFA9" w14:textId="77777777" w:rsidR="00652FAD" w:rsidRPr="004963C2" w:rsidRDefault="00652FAD" w:rsidP="00E16D2D">
      <w:pPr>
        <w:pStyle w:val="LB1"/>
        <w:rPr>
          <w:rFonts w:cs="Calibri"/>
          <w:color w:val="000000"/>
        </w:rPr>
      </w:pPr>
      <w:r>
        <w:t>S</w:t>
      </w:r>
      <w:r w:rsidRPr="00FC4F8D">
        <w:t>ystem must include all functionality necessary to perform benefit charging and reimbursements</w:t>
      </w:r>
    </w:p>
    <w:p w14:paraId="08BBD9D4" w14:textId="77777777" w:rsidR="00652FAD" w:rsidRPr="004963C2" w:rsidRDefault="00652FAD" w:rsidP="00E16D2D">
      <w:pPr>
        <w:pStyle w:val="LB1"/>
      </w:pPr>
      <w:r>
        <w:t>S</w:t>
      </w:r>
      <w:r w:rsidRPr="00DA3179">
        <w:t>yste</w:t>
      </w:r>
      <w:r w:rsidRPr="004963C2">
        <w:t>m must identify benefit charges, no-charges</w:t>
      </w:r>
      <w:r>
        <w:t>,</w:t>
      </w:r>
      <w:r w:rsidRPr="004963C2">
        <w:t xml:space="preserve"> and reimbursements </w:t>
      </w:r>
      <w:r>
        <w:t>for claims</w:t>
      </w:r>
    </w:p>
    <w:p w14:paraId="29A04EEB" w14:textId="7BB544A1" w:rsidR="00652FAD" w:rsidRPr="004963C2" w:rsidRDefault="00652FAD" w:rsidP="00116640">
      <w:pPr>
        <w:pStyle w:val="LB1"/>
      </w:pPr>
      <w:r>
        <w:t>S</w:t>
      </w:r>
      <w:r w:rsidRPr="004963C2">
        <w:t xml:space="preserve">ystem must issue appropriate </w:t>
      </w:r>
      <w:r w:rsidR="009521D7">
        <w:t xml:space="preserve">Employer </w:t>
      </w:r>
      <w:r w:rsidRPr="004963C2">
        <w:t>correspondence when first pa</w:t>
      </w:r>
      <w:r>
        <w:t>y is released</w:t>
      </w:r>
    </w:p>
    <w:p w14:paraId="060049FE" w14:textId="26F96F9D" w:rsidR="00652FAD" w:rsidRPr="004963C2" w:rsidRDefault="00652FAD" w:rsidP="00F82166">
      <w:pPr>
        <w:pStyle w:val="LB1"/>
      </w:pPr>
      <w:r>
        <w:t>S</w:t>
      </w:r>
      <w:r w:rsidRPr="00DA3179">
        <w:t xml:space="preserve">ystem must determine which </w:t>
      </w:r>
      <w:r w:rsidR="009521D7">
        <w:t xml:space="preserve">Employers </w:t>
      </w:r>
      <w:r w:rsidRPr="00DA3179">
        <w:t>or pooled accounts are chargeable and/or non-chargeable</w:t>
      </w:r>
    </w:p>
    <w:p w14:paraId="542346BA" w14:textId="3852F890" w:rsidR="00652FAD" w:rsidRDefault="00652FAD" w:rsidP="00F82166">
      <w:pPr>
        <w:pStyle w:val="LB1"/>
      </w:pPr>
      <w:r>
        <w:t>S</w:t>
      </w:r>
      <w:r w:rsidRPr="00DA3179">
        <w:t>ystem must support TPA</w:t>
      </w:r>
      <w:r>
        <w:t xml:space="preserve"> functions granted by </w:t>
      </w:r>
      <w:r w:rsidR="009521D7">
        <w:t>Employers</w:t>
      </w:r>
    </w:p>
    <w:p w14:paraId="685D22E9" w14:textId="77777777" w:rsidR="00652FAD" w:rsidRDefault="00652FAD">
      <w:pPr>
        <w:pStyle w:val="LB1"/>
      </w:pPr>
      <w:r>
        <w:t>System must create assignments or cases based on business rules</w:t>
      </w:r>
    </w:p>
    <w:p w14:paraId="58114093" w14:textId="77777777" w:rsidR="00652FAD" w:rsidRPr="004963C2" w:rsidRDefault="00652FAD">
      <w:pPr>
        <w:pStyle w:val="LB1"/>
      </w:pPr>
      <w:r>
        <w:t xml:space="preserve">System must be able to identify when an account is liable for charges or reimbursements and issue determinations based on business rules </w:t>
      </w:r>
    </w:p>
    <w:p w14:paraId="28E731E1" w14:textId="77777777" w:rsidR="00652FAD" w:rsidRDefault="00652FAD">
      <w:pPr>
        <w:pStyle w:val="LB1"/>
      </w:pPr>
      <w:r>
        <w:t>S</w:t>
      </w:r>
      <w:r w:rsidRPr="004963C2">
        <w:t xml:space="preserve">ystem </w:t>
      </w:r>
      <w:r w:rsidRPr="00DA3179">
        <w:t xml:space="preserve">must </w:t>
      </w:r>
      <w:r>
        <w:t>identify, s</w:t>
      </w:r>
      <w:r w:rsidRPr="00DA3179">
        <w:t>upport</w:t>
      </w:r>
      <w:r>
        <w:t>, and display</w:t>
      </w:r>
      <w:r w:rsidRPr="004963C2">
        <w:t xml:space="preserve"> Predecessor/Successor accounts </w:t>
      </w:r>
      <w:r>
        <w:t>such as</w:t>
      </w:r>
    </w:p>
    <w:p w14:paraId="48713C7C" w14:textId="77777777" w:rsidR="00652FAD" w:rsidRDefault="00652FAD">
      <w:pPr>
        <w:pStyle w:val="OB1"/>
      </w:pPr>
      <w:r>
        <w:t>S</w:t>
      </w:r>
      <w:r w:rsidRPr="004963C2">
        <w:t>hare</w:t>
      </w:r>
      <w:r>
        <w:t>d</w:t>
      </w:r>
      <w:r w:rsidRPr="004963C2">
        <w:t xml:space="preserve"> liabilit</w:t>
      </w:r>
      <w:r>
        <w:t xml:space="preserve">y </w:t>
      </w:r>
    </w:p>
    <w:p w14:paraId="3B2A4048" w14:textId="77777777" w:rsidR="00652FAD" w:rsidRPr="004963C2" w:rsidRDefault="00652FAD">
      <w:pPr>
        <w:pStyle w:val="OB1"/>
      </w:pPr>
      <w:r>
        <w:t>Shared charge amounts</w:t>
      </w:r>
      <w:r w:rsidRPr="004963C2">
        <w:t xml:space="preserve"> </w:t>
      </w:r>
    </w:p>
    <w:p w14:paraId="5EF0DED3" w14:textId="77777777" w:rsidR="00652FAD" w:rsidRPr="004963C2" w:rsidRDefault="00652FAD">
      <w:pPr>
        <w:pStyle w:val="OB1"/>
      </w:pPr>
      <w:r>
        <w:t>A</w:t>
      </w:r>
      <w:r w:rsidRPr="004963C2">
        <w:t>ccount relationship</w:t>
      </w:r>
      <w:r>
        <w:t>s on claims</w:t>
      </w:r>
      <w:r w:rsidRPr="004963C2">
        <w:t xml:space="preserve"> </w:t>
      </w:r>
    </w:p>
    <w:p w14:paraId="59A1283B" w14:textId="778B6E9F" w:rsidR="00652FAD" w:rsidRPr="004963C2" w:rsidRDefault="00652FAD">
      <w:pPr>
        <w:pStyle w:val="LB1"/>
      </w:pPr>
      <w:r>
        <w:lastRenderedPageBreak/>
        <w:t>S</w:t>
      </w:r>
      <w:r w:rsidRPr="00DA3179">
        <w:t xml:space="preserve">ystem must determine whether the </w:t>
      </w:r>
      <w:r w:rsidR="009521D7">
        <w:t xml:space="preserve">Employer </w:t>
      </w:r>
      <w:r>
        <w:t xml:space="preserve">is Reimbursable or </w:t>
      </w:r>
      <w:r w:rsidR="00671087">
        <w:t>Contributory</w:t>
      </w:r>
    </w:p>
    <w:p w14:paraId="169148A3" w14:textId="52299587" w:rsidR="00652FAD" w:rsidRDefault="00652FAD">
      <w:pPr>
        <w:pStyle w:val="LB1"/>
      </w:pPr>
      <w:r>
        <w:t>S</w:t>
      </w:r>
      <w:r w:rsidRPr="00DA3179">
        <w:t xml:space="preserve">ystem must generate and process </w:t>
      </w:r>
      <w:r w:rsidR="003479D8">
        <w:t>CWC</w:t>
      </w:r>
      <w:r>
        <w:t xml:space="preserve"> benefit charges</w:t>
      </w:r>
      <w:r w:rsidRPr="00DA3179">
        <w:t xml:space="preserve"> (IB-6)</w:t>
      </w:r>
      <w:r>
        <w:t xml:space="preserve"> </w:t>
      </w:r>
    </w:p>
    <w:p w14:paraId="5E9C4997" w14:textId="77777777" w:rsidR="00652FAD" w:rsidRDefault="00652FAD">
      <w:pPr>
        <w:pStyle w:val="LB1"/>
      </w:pPr>
      <w:r>
        <w:t>System must allow Staff to accept data from other states</w:t>
      </w:r>
    </w:p>
    <w:p w14:paraId="2CBFFE6C" w14:textId="77777777" w:rsidR="00652FAD" w:rsidRDefault="00652FAD">
      <w:pPr>
        <w:pStyle w:val="OB1"/>
      </w:pPr>
      <w:r>
        <w:t>CWC-0212 (timely and adequate)</w:t>
      </w:r>
    </w:p>
    <w:p w14:paraId="5C904388" w14:textId="77777777" w:rsidR="00652FAD" w:rsidRDefault="00652FAD">
      <w:pPr>
        <w:pStyle w:val="OB1"/>
      </w:pPr>
      <w:r>
        <w:t>IB-5 (determination of state liability)</w:t>
      </w:r>
    </w:p>
    <w:p w14:paraId="257BB17E" w14:textId="77777777" w:rsidR="00652FAD" w:rsidRDefault="00652FAD">
      <w:pPr>
        <w:pStyle w:val="OB1"/>
      </w:pPr>
      <w:r>
        <w:t>Etc.</w:t>
      </w:r>
    </w:p>
    <w:p w14:paraId="1554F6A2" w14:textId="77777777" w:rsidR="00652FAD" w:rsidRPr="004963C2" w:rsidRDefault="00652FAD">
      <w:pPr>
        <w:pStyle w:val="LB1"/>
      </w:pPr>
      <w:r>
        <w:t>S</w:t>
      </w:r>
      <w:r w:rsidRPr="00DA3179">
        <w:t>ystem must support the</w:t>
      </w:r>
      <w:r>
        <w:t xml:space="preserve"> incoming and outgoing</w:t>
      </w:r>
      <w:r w:rsidRPr="00DA3179">
        <w:t xml:space="preserve"> billing and </w:t>
      </w:r>
      <w:r>
        <w:t>payment process of IB-6 charges as defined in ETA 399</w:t>
      </w:r>
    </w:p>
    <w:p w14:paraId="77865FBE" w14:textId="12B3DF14" w:rsidR="00652FAD" w:rsidRDefault="00652FAD">
      <w:pPr>
        <w:pStyle w:val="LB1"/>
      </w:pPr>
      <w:r>
        <w:t>S</w:t>
      </w:r>
      <w:r w:rsidRPr="00DA3179">
        <w:t xml:space="preserve">ystem must support ICON </w:t>
      </w:r>
      <w:r w:rsidR="005F402B">
        <w:t xml:space="preserve">CWC </w:t>
      </w:r>
      <w:r w:rsidR="005F402B" w:rsidRPr="00DA3179">
        <w:t>functionality</w:t>
      </w:r>
    </w:p>
    <w:p w14:paraId="7913F362" w14:textId="77777777" w:rsidR="00652FAD" w:rsidRPr="004963C2" w:rsidRDefault="00652FAD">
      <w:pPr>
        <w:pStyle w:val="LB1"/>
      </w:pPr>
      <w:r>
        <w:t>System must support SIDES functionality related to charging</w:t>
      </w:r>
    </w:p>
    <w:p w14:paraId="0D6CDE15" w14:textId="09BBC825" w:rsidR="00652FAD" w:rsidRPr="004963C2" w:rsidRDefault="00652FAD">
      <w:pPr>
        <w:pStyle w:val="LB1"/>
      </w:pPr>
      <w:r>
        <w:t>S</w:t>
      </w:r>
      <w:r w:rsidRPr="00DA3179">
        <w:t>ystem must calculate</w:t>
      </w:r>
      <w:r>
        <w:t xml:space="preserve"> </w:t>
      </w:r>
      <w:r w:rsidR="009521D7">
        <w:t xml:space="preserve">Employer </w:t>
      </w:r>
      <w:r>
        <w:t>charge</w:t>
      </w:r>
      <w:r w:rsidRPr="004963C2">
        <w:t xml:space="preserve"> to the ten thousand</w:t>
      </w:r>
      <w:r>
        <w:t>th</w:t>
      </w:r>
      <w:r w:rsidRPr="004963C2">
        <w:t xml:space="preserve">s of the decimal </w:t>
      </w:r>
      <w:r>
        <w:t>based on business rules</w:t>
      </w:r>
    </w:p>
    <w:p w14:paraId="24907943" w14:textId="77777777" w:rsidR="00652FAD" w:rsidRPr="004963C2" w:rsidRDefault="00652FAD">
      <w:pPr>
        <w:pStyle w:val="LB1"/>
      </w:pPr>
      <w:r>
        <w:t>S</w:t>
      </w:r>
      <w:r w:rsidRPr="004963C2">
        <w:t>ystem must apply</w:t>
      </w:r>
      <w:r>
        <w:t xml:space="preserve"> charges and billing to Federal and</w:t>
      </w:r>
      <w:r w:rsidRPr="004963C2">
        <w:t xml:space="preserve"> Military accounts</w:t>
      </w:r>
      <w:r>
        <w:t xml:space="preserve"> (ETA 191)</w:t>
      </w:r>
    </w:p>
    <w:p w14:paraId="5588CA91" w14:textId="18A74C67" w:rsidR="00652FAD" w:rsidRPr="004963C2" w:rsidRDefault="00652FAD">
      <w:pPr>
        <w:pStyle w:val="LB1"/>
      </w:pPr>
      <w:r>
        <w:t>S</w:t>
      </w:r>
      <w:r w:rsidRPr="004963C2">
        <w:t xml:space="preserve">ystem </w:t>
      </w:r>
      <w:r>
        <w:t>must correctly assess charges when wage</w:t>
      </w:r>
      <w:r w:rsidRPr="004963C2">
        <w:t xml:space="preserve"> suppression</w:t>
      </w:r>
      <w:r>
        <w:t xml:space="preserve"> determination has been issued</w:t>
      </w:r>
      <w:r w:rsidR="00EE5622">
        <w:t xml:space="preserve"> </w:t>
      </w:r>
    </w:p>
    <w:p w14:paraId="7BD00499" w14:textId="77777777" w:rsidR="00652FAD" w:rsidRDefault="00652FAD">
      <w:pPr>
        <w:pStyle w:val="LB1"/>
      </w:pPr>
      <w:r>
        <w:t>S</w:t>
      </w:r>
      <w:r w:rsidRPr="00DA3179">
        <w:t>ystem must reconc</w:t>
      </w:r>
      <w:r>
        <w:t>ile benefit charges such as</w:t>
      </w:r>
    </w:p>
    <w:p w14:paraId="764D5F4F" w14:textId="77777777" w:rsidR="00652FAD" w:rsidRDefault="00652FAD">
      <w:pPr>
        <w:pStyle w:val="OB1"/>
      </w:pPr>
      <w:r>
        <w:t>Payments</w:t>
      </w:r>
    </w:p>
    <w:p w14:paraId="114E521D" w14:textId="77777777" w:rsidR="00652FAD" w:rsidRDefault="00652FAD">
      <w:pPr>
        <w:pStyle w:val="OB1"/>
      </w:pPr>
      <w:r>
        <w:t>Overpayments</w:t>
      </w:r>
    </w:p>
    <w:p w14:paraId="04B0D21E" w14:textId="77777777" w:rsidR="00652FAD" w:rsidRDefault="00652FAD">
      <w:pPr>
        <w:pStyle w:val="OB1"/>
      </w:pPr>
      <w:r>
        <w:t>Cancellations</w:t>
      </w:r>
    </w:p>
    <w:p w14:paraId="0E79897D" w14:textId="77777777" w:rsidR="00652FAD" w:rsidRDefault="00652FAD">
      <w:pPr>
        <w:pStyle w:val="OB1"/>
      </w:pPr>
      <w:r>
        <w:t>Refunds</w:t>
      </w:r>
      <w:r w:rsidRPr="004963C2">
        <w:t xml:space="preserve"> </w:t>
      </w:r>
    </w:p>
    <w:p w14:paraId="679C49EA" w14:textId="77777777" w:rsidR="00652FAD" w:rsidRPr="004963C2" w:rsidRDefault="00652FAD">
      <w:pPr>
        <w:pStyle w:val="OB1"/>
      </w:pPr>
      <w:r>
        <w:t>Etc.</w:t>
      </w:r>
    </w:p>
    <w:p w14:paraId="71CC771D" w14:textId="77777777" w:rsidR="00652FAD" w:rsidRPr="004963C2" w:rsidRDefault="00652FAD">
      <w:pPr>
        <w:pStyle w:val="LB1"/>
      </w:pPr>
      <w:r>
        <w:t>S</w:t>
      </w:r>
      <w:r w:rsidRPr="00DA3179">
        <w:t xml:space="preserve">ystem must generate and </w:t>
      </w:r>
      <w:r>
        <w:t>issue benefit charge statements</w:t>
      </w:r>
      <w:r w:rsidRPr="004963C2">
        <w:t xml:space="preserve"> </w:t>
      </w:r>
      <w:r>
        <w:t>on a timely basis</w:t>
      </w:r>
    </w:p>
    <w:p w14:paraId="4C027CF5" w14:textId="082AA0AF" w:rsidR="00652FAD" w:rsidRPr="004963C2" w:rsidRDefault="00652FAD">
      <w:pPr>
        <w:pStyle w:val="LB1"/>
      </w:pPr>
      <w:r>
        <w:t>S</w:t>
      </w:r>
      <w:r w:rsidRPr="00DA3179">
        <w:t xml:space="preserve">ystem must support </w:t>
      </w:r>
      <w:r>
        <w:t xml:space="preserve">the </w:t>
      </w:r>
      <w:r w:rsidRPr="00DA3179">
        <w:t>reimburs</w:t>
      </w:r>
      <w:r>
        <w:t xml:space="preserve">able </w:t>
      </w:r>
      <w:r w:rsidR="009521D7">
        <w:t xml:space="preserve">Employer </w:t>
      </w:r>
      <w:r>
        <w:t>billing processes</w:t>
      </w:r>
    </w:p>
    <w:p w14:paraId="1680B2BA" w14:textId="77777777" w:rsidR="00652FAD" w:rsidRPr="004963C2" w:rsidRDefault="00652FAD">
      <w:pPr>
        <w:pStyle w:val="LB1"/>
      </w:pPr>
      <w:r>
        <w:t>S</w:t>
      </w:r>
      <w:r w:rsidRPr="004963C2">
        <w:t>y</w:t>
      </w:r>
      <w:r w:rsidRPr="00DA3179">
        <w:t xml:space="preserve">stem must accept and </w:t>
      </w:r>
      <w:r>
        <w:t>process benefit charge and reimbursement protests</w:t>
      </w:r>
      <w:r w:rsidRPr="004963C2">
        <w:t xml:space="preserve"> </w:t>
      </w:r>
    </w:p>
    <w:p w14:paraId="62553660" w14:textId="5D4C0AF2" w:rsidR="00652FAD" w:rsidRPr="004963C2" w:rsidRDefault="00652FAD">
      <w:pPr>
        <w:pStyle w:val="LB1"/>
      </w:pPr>
      <w:r>
        <w:t>S</w:t>
      </w:r>
      <w:r w:rsidRPr="00DA3179">
        <w:t>ystem must accept and process a</w:t>
      </w:r>
      <w:r w:rsidRPr="004963C2">
        <w:t xml:space="preserve">djustments </w:t>
      </w:r>
      <w:r>
        <w:t xml:space="preserve">to </w:t>
      </w:r>
      <w:r w:rsidR="009521D7">
        <w:t xml:space="preserve">Employer </w:t>
      </w:r>
      <w:r>
        <w:t>charging or billing</w:t>
      </w:r>
    </w:p>
    <w:p w14:paraId="7A13F28A" w14:textId="51CABCD4" w:rsidR="00652FAD" w:rsidRDefault="00652FAD">
      <w:pPr>
        <w:pStyle w:val="LB1"/>
      </w:pPr>
      <w:r>
        <w:t xml:space="preserve">System must allow authorized </w:t>
      </w:r>
      <w:r w:rsidR="00B6513F">
        <w:t xml:space="preserve">Staff, Employer and TPA’s </w:t>
      </w:r>
      <w:r>
        <w:t>to view charge information including historical information</w:t>
      </w:r>
    </w:p>
    <w:p w14:paraId="6A4C8706" w14:textId="2F0C586B" w:rsidR="00652FAD" w:rsidRDefault="00652FAD">
      <w:pPr>
        <w:pStyle w:val="LB1"/>
      </w:pPr>
      <w:r w:rsidRPr="008E034E">
        <w:t xml:space="preserve">System must </w:t>
      </w:r>
      <w:r w:rsidR="00881D11">
        <w:t>allow Staff</w:t>
      </w:r>
      <w:r w:rsidRPr="008E034E">
        <w:t xml:space="preserve"> to view the distribution of benefit charges and credits to </w:t>
      </w:r>
      <w:r w:rsidR="009521D7">
        <w:t xml:space="preserve">Employers </w:t>
      </w:r>
      <w:r w:rsidRPr="008E034E">
        <w:t>(including those charged to the Non-chargeable Benefits Account) for each continued claim week, including any amount mutualized</w:t>
      </w:r>
    </w:p>
    <w:p w14:paraId="14E4EACB" w14:textId="77777777" w:rsidR="00652FAD" w:rsidRDefault="00652FAD">
      <w:pPr>
        <w:pStyle w:val="LB1"/>
      </w:pPr>
      <w:r>
        <w:t>System must take appropriate action based on business rules and information received, including but not limited to:</w:t>
      </w:r>
    </w:p>
    <w:p w14:paraId="2D1019A8" w14:textId="77777777" w:rsidR="00652FAD" w:rsidRDefault="00652FAD">
      <w:pPr>
        <w:pStyle w:val="OB1"/>
      </w:pPr>
      <w:r>
        <w:t>Calculate Tax rates</w:t>
      </w:r>
    </w:p>
    <w:p w14:paraId="5DB50670" w14:textId="77777777" w:rsidR="00652FAD" w:rsidRDefault="00652FAD">
      <w:pPr>
        <w:pStyle w:val="OB1"/>
      </w:pPr>
      <w:r>
        <w:t>Establish quarterly billing</w:t>
      </w:r>
    </w:p>
    <w:p w14:paraId="04C4F0AD" w14:textId="77777777" w:rsidR="00652FAD" w:rsidRDefault="00652FAD">
      <w:pPr>
        <w:pStyle w:val="OB1"/>
      </w:pPr>
      <w:r>
        <w:t>Timing of charge statements</w:t>
      </w:r>
    </w:p>
    <w:p w14:paraId="1251C53D" w14:textId="2F1E71FB" w:rsidR="00652FAD" w:rsidRDefault="00652FAD">
      <w:pPr>
        <w:pStyle w:val="LB1"/>
      </w:pPr>
      <w:r>
        <w:t>System must allow Staff to manually perform all activities within Employer Charging</w:t>
      </w:r>
    </w:p>
    <w:p w14:paraId="3E0783B9" w14:textId="5EA25C39" w:rsidR="00DF64C0" w:rsidRDefault="00DF64C0">
      <w:pPr>
        <w:pStyle w:val="LB1"/>
      </w:pPr>
      <w:r>
        <w:t xml:space="preserve">System must generate appropriate chargeback document when Employer has been changed from Last Employer to Base Period </w:t>
      </w:r>
      <w:r w:rsidR="00C06461">
        <w:t>Employer only</w:t>
      </w:r>
    </w:p>
    <w:p w14:paraId="0015F71A" w14:textId="73F07D6E" w:rsidR="00620C4C" w:rsidRDefault="00620C4C" w:rsidP="00003215"/>
    <w:p w14:paraId="55814BA5" w14:textId="0479A9BA" w:rsidR="00620C4C" w:rsidRPr="00716001" w:rsidRDefault="00620C4C" w:rsidP="00620C4C">
      <w:pPr>
        <w:pStyle w:val="Heading4"/>
      </w:pPr>
      <w:r>
        <w:lastRenderedPageBreak/>
        <w:tab/>
        <w:t>Receive and Process Claimant a</w:t>
      </w:r>
      <w:r w:rsidR="00652FAD">
        <w:t>n</w:t>
      </w:r>
      <w:r>
        <w:t>d Employer Correspondence</w:t>
      </w:r>
    </w:p>
    <w:p w14:paraId="2F2E5D9B" w14:textId="70F0D7BA" w:rsidR="00620C4C" w:rsidRDefault="00DA1915" w:rsidP="00003215">
      <w:r>
        <w:t xml:space="preserve">See Correspondence in </w:t>
      </w:r>
      <w:hyperlink w:anchor="_Correspondence" w:history="1">
        <w:r w:rsidR="00DA4BCA">
          <w:rPr>
            <w:rStyle w:val="Hyperlink"/>
          </w:rPr>
          <w:t>Attachment A6.9</w:t>
        </w:r>
      </w:hyperlink>
      <w:r>
        <w:t xml:space="preserve"> General.</w:t>
      </w:r>
    </w:p>
    <w:p w14:paraId="62F518E0" w14:textId="77777777" w:rsidR="00486E7A" w:rsidRDefault="00486E7A" w:rsidP="00003215"/>
    <w:p w14:paraId="09DAE79C" w14:textId="23E36EF8" w:rsidR="00620C4C" w:rsidRPr="00716001" w:rsidRDefault="00620C4C" w:rsidP="00620C4C">
      <w:pPr>
        <w:pStyle w:val="Heading4"/>
      </w:pPr>
      <w:r>
        <w:tab/>
        <w:t>Manage Program Data</w:t>
      </w:r>
    </w:p>
    <w:p w14:paraId="2DF40F1C" w14:textId="1D47B94C" w:rsidR="00620C4C" w:rsidRPr="00DF6567" w:rsidRDefault="00486E7A" w:rsidP="00620C4C">
      <w:r>
        <w:t>This process includes all activities required to create and update program data</w:t>
      </w:r>
      <w:r w:rsidR="00620C4C">
        <w:t>.</w:t>
      </w:r>
    </w:p>
    <w:p w14:paraId="06F46AEF" w14:textId="77777777" w:rsidR="00620C4C" w:rsidRPr="00C45DE5" w:rsidRDefault="00620C4C" w:rsidP="00620C4C">
      <w:pPr>
        <w:rPr>
          <w:u w:val="single"/>
        </w:rPr>
      </w:pPr>
      <w:r w:rsidRPr="00C45DE5">
        <w:rPr>
          <w:u w:val="single"/>
        </w:rPr>
        <w:t>Actors</w:t>
      </w:r>
    </w:p>
    <w:p w14:paraId="5BC31851" w14:textId="77777777" w:rsidR="00620C4C" w:rsidRDefault="00620C4C" w:rsidP="00E16D2D">
      <w:pPr>
        <w:pStyle w:val="LB1"/>
      </w:pPr>
      <w:r>
        <w:t>Staff</w:t>
      </w:r>
    </w:p>
    <w:p w14:paraId="26F7B3DC" w14:textId="77777777" w:rsidR="00620C4C" w:rsidRPr="00DF6567" w:rsidRDefault="00620C4C" w:rsidP="00620C4C"/>
    <w:p w14:paraId="173111BC" w14:textId="77777777" w:rsidR="00620C4C" w:rsidRDefault="00620C4C" w:rsidP="00620C4C">
      <w:pPr>
        <w:rPr>
          <w:u w:val="single"/>
        </w:rPr>
      </w:pPr>
      <w:r>
        <w:rPr>
          <w:u w:val="single"/>
        </w:rPr>
        <w:t>Main Activities</w:t>
      </w:r>
    </w:p>
    <w:p w14:paraId="21EAC47F" w14:textId="77777777" w:rsidR="001B3B87" w:rsidRDefault="001B3B87" w:rsidP="00E16D2D">
      <w:pPr>
        <w:pStyle w:val="LB1"/>
      </w:pPr>
      <w:r>
        <w:t>System must allow authorized Staff to set up and modify program/resource data including but not limited to:</w:t>
      </w:r>
    </w:p>
    <w:p w14:paraId="46810D82" w14:textId="77777777" w:rsidR="001B3B87" w:rsidRDefault="001B3B87" w:rsidP="00E16D2D">
      <w:pPr>
        <w:pStyle w:val="OB1"/>
      </w:pPr>
      <w:r>
        <w:t>C</w:t>
      </w:r>
      <w:r w:rsidRPr="003B1E19">
        <w:t xml:space="preserve">reate, update, activate/inactivate </w:t>
      </w:r>
      <w:r>
        <w:t>records</w:t>
      </w:r>
      <w:r w:rsidRPr="003B1E19">
        <w:t xml:space="preserve"> </w:t>
      </w:r>
    </w:p>
    <w:p w14:paraId="5FF0181B" w14:textId="77777777" w:rsidR="001B3B87" w:rsidRDefault="001B3B87" w:rsidP="00116640">
      <w:pPr>
        <w:pStyle w:val="OB1"/>
      </w:pPr>
      <w:r>
        <w:t>Create new issue types and reasons</w:t>
      </w:r>
    </w:p>
    <w:p w14:paraId="18D9A285" w14:textId="77777777" w:rsidR="001B3B87" w:rsidRDefault="001B3B87" w:rsidP="00F82166">
      <w:pPr>
        <w:pStyle w:val="OB1"/>
      </w:pPr>
      <w:r>
        <w:t>Disaster declarations</w:t>
      </w:r>
    </w:p>
    <w:p w14:paraId="703C9291" w14:textId="535B4399" w:rsidR="001B3B87" w:rsidRDefault="001B3B87" w:rsidP="001B3B87">
      <w:pPr>
        <w:pStyle w:val="SB1"/>
      </w:pPr>
      <w:r w:rsidRPr="005E04FB">
        <w:t xml:space="preserve">System must </w:t>
      </w:r>
      <w:r w:rsidR="00881D11">
        <w:t>allow Staff</w:t>
      </w:r>
      <w:r w:rsidRPr="005E04FB">
        <w:t xml:space="preserve"> to enter/update DUA/</w:t>
      </w:r>
      <w:r w:rsidR="00865F8B" w:rsidRPr="00865F8B">
        <w:rPr>
          <w:snapToGrid w:val="0"/>
          <w:color w:val="000000"/>
          <w:szCs w:val="24"/>
        </w:rPr>
        <w:t xml:space="preserve"> </w:t>
      </w:r>
      <w:r w:rsidR="00865F8B" w:rsidRPr="00460F75">
        <w:rPr>
          <w:snapToGrid w:val="0"/>
          <w:color w:val="000000"/>
          <w:szCs w:val="24"/>
        </w:rPr>
        <w:t>Federal Emergency Management Agency</w:t>
      </w:r>
      <w:r w:rsidR="00865F8B" w:rsidRPr="005E04FB">
        <w:t xml:space="preserve"> </w:t>
      </w:r>
      <w:r w:rsidR="00865F8B">
        <w:t>(</w:t>
      </w:r>
      <w:r w:rsidRPr="005E04FB">
        <w:t>FEMA</w:t>
      </w:r>
      <w:r w:rsidR="00865F8B">
        <w:t>)</w:t>
      </w:r>
      <w:r w:rsidRPr="005E04FB">
        <w:t xml:space="preserve"> certifications for disaster relief (including area for disaster relief, project number and eligible workers, the start and stop date of the disaster period, and work search requirements</w:t>
      </w:r>
      <w:r>
        <w:t>)</w:t>
      </w:r>
    </w:p>
    <w:p w14:paraId="5E9A31B9" w14:textId="2D2B46DE" w:rsidR="00EB1765" w:rsidRDefault="00EB1765" w:rsidP="001B3B87">
      <w:pPr>
        <w:pStyle w:val="SB1"/>
      </w:pPr>
      <w:r>
        <w:t>System must allow Staff to set up disaster tracking for pre-declared events</w:t>
      </w:r>
    </w:p>
    <w:p w14:paraId="5ECFC51A" w14:textId="77777777" w:rsidR="001B3B87" w:rsidRDefault="001B3B87" w:rsidP="00E16D2D">
      <w:pPr>
        <w:pStyle w:val="OB1"/>
      </w:pPr>
      <w:r>
        <w:t>Mass claims ID (MLO ID)</w:t>
      </w:r>
    </w:p>
    <w:p w14:paraId="63C95D2C" w14:textId="77777777" w:rsidR="001B3B87" w:rsidRDefault="001B3B87" w:rsidP="00E16D2D">
      <w:pPr>
        <w:pStyle w:val="OB1"/>
      </w:pPr>
      <w:r>
        <w:t>Shared work plans</w:t>
      </w:r>
    </w:p>
    <w:p w14:paraId="3F083BF3" w14:textId="67F356F8" w:rsidR="001B3B87" w:rsidRDefault="001B3B87" w:rsidP="00116640">
      <w:pPr>
        <w:pStyle w:val="OB1"/>
      </w:pPr>
      <w:r>
        <w:t>Labor disputes</w:t>
      </w:r>
    </w:p>
    <w:p w14:paraId="4AF519F9" w14:textId="092CF106" w:rsidR="00EB1765" w:rsidRDefault="00EB1765" w:rsidP="00EB1765">
      <w:pPr>
        <w:pStyle w:val="SB1"/>
      </w:pPr>
      <w:r>
        <w:t xml:space="preserve">System must allow Staff to create labor disputes, including </w:t>
      </w:r>
      <w:r w:rsidR="00930F59">
        <w:t>Employer</w:t>
      </w:r>
      <w:r>
        <w:t xml:space="preserve"> and union information and details of the dispute</w:t>
      </w:r>
    </w:p>
    <w:p w14:paraId="7D5C490C" w14:textId="53430A89" w:rsidR="00EB1765" w:rsidRDefault="00EB1765" w:rsidP="00EB1765">
      <w:pPr>
        <w:pStyle w:val="SB1"/>
      </w:pPr>
      <w:r>
        <w:t xml:space="preserve">Once established, System must notify Staff if the claim is labor dispute impacted and present fact finding and follow business rules regarding last </w:t>
      </w:r>
      <w:r w:rsidR="00930F59">
        <w:t>Employer</w:t>
      </w:r>
    </w:p>
    <w:p w14:paraId="1C175B02" w14:textId="61C51BAB" w:rsidR="00865B96" w:rsidRDefault="00C36F57" w:rsidP="00865B96">
      <w:pPr>
        <w:pStyle w:val="SB1"/>
      </w:pPr>
      <w:r w:rsidRPr="00C36F57">
        <w:t xml:space="preserve">System must allow both the </w:t>
      </w:r>
      <w:r w:rsidR="00930F59">
        <w:t>Employer</w:t>
      </w:r>
      <w:r w:rsidRPr="00C36F57">
        <w:t xml:space="preserve"> and the union to provide a list of workers involved in the labor dispute</w:t>
      </w:r>
      <w:r w:rsidR="00865B96" w:rsidRPr="00865B96">
        <w:t xml:space="preserve"> </w:t>
      </w:r>
    </w:p>
    <w:p w14:paraId="38E0AE3F" w14:textId="67E09EC2" w:rsidR="00C36F57" w:rsidRDefault="00865B96" w:rsidP="00865B96">
      <w:pPr>
        <w:pStyle w:val="SB1"/>
      </w:pPr>
      <w:r>
        <w:t xml:space="preserve">System must generate appropriate correspondence to </w:t>
      </w:r>
      <w:r w:rsidR="00930F59">
        <w:t>Employer</w:t>
      </w:r>
      <w:r>
        <w:t>s and unions based on business rules</w:t>
      </w:r>
    </w:p>
    <w:p w14:paraId="39F0A063" w14:textId="2A1A2244" w:rsidR="001B3B87" w:rsidRDefault="001B3B87" w:rsidP="00E16D2D">
      <w:pPr>
        <w:pStyle w:val="OB1"/>
      </w:pPr>
      <w:r>
        <w:t>Trade petitions</w:t>
      </w:r>
    </w:p>
    <w:p w14:paraId="4B134735" w14:textId="77777777" w:rsidR="00EB1765" w:rsidRDefault="00EB1765" w:rsidP="00EB1765">
      <w:pPr>
        <w:pStyle w:val="SB1"/>
      </w:pPr>
      <w:r>
        <w:t>System must allow Staff to create petition details or transfer those details from TWIST</w:t>
      </w:r>
    </w:p>
    <w:p w14:paraId="47A151E3" w14:textId="77A9E06A" w:rsidR="00EB1765" w:rsidRDefault="00EB1765" w:rsidP="00EB1765">
      <w:pPr>
        <w:pStyle w:val="SB1"/>
      </w:pPr>
      <w:r>
        <w:t>Information includes petition details and worker list</w:t>
      </w:r>
    </w:p>
    <w:p w14:paraId="5F45B7E6" w14:textId="02FCB606" w:rsidR="001B3B87" w:rsidRDefault="003479D8" w:rsidP="00E16D2D">
      <w:pPr>
        <w:pStyle w:val="OB1"/>
      </w:pPr>
      <w:r>
        <w:t>EUC</w:t>
      </w:r>
      <w:r w:rsidR="001B3B87">
        <w:t xml:space="preserve"> or </w:t>
      </w:r>
      <w:r>
        <w:t>EB</w:t>
      </w:r>
    </w:p>
    <w:p w14:paraId="10ACECC4" w14:textId="77777777" w:rsidR="001B3B87" w:rsidRDefault="001B3B87" w:rsidP="00E16D2D">
      <w:pPr>
        <w:pStyle w:val="OB1"/>
      </w:pPr>
      <w:r>
        <w:t>Monetary benefit calculations</w:t>
      </w:r>
    </w:p>
    <w:p w14:paraId="5503D87E" w14:textId="2790AB6D" w:rsidR="001B3B87" w:rsidRDefault="000741CA" w:rsidP="00E16D2D">
      <w:pPr>
        <w:pStyle w:val="OB1"/>
      </w:pPr>
      <w:r>
        <w:lastRenderedPageBreak/>
        <w:t>Benefits Timeliness and Quality (</w:t>
      </w:r>
      <w:r w:rsidR="001B3B87">
        <w:t>BTQ</w:t>
      </w:r>
      <w:r>
        <w:t>)</w:t>
      </w:r>
      <w:r w:rsidR="001B3B87">
        <w:t xml:space="preserve"> and </w:t>
      </w:r>
      <w:r w:rsidR="00CB5FAA">
        <w:t>Benefits Accuracy Measurement (</w:t>
      </w:r>
      <w:r w:rsidR="001B3B87">
        <w:t>BAM</w:t>
      </w:r>
      <w:r w:rsidR="00CB5FAA">
        <w:t>)</w:t>
      </w:r>
      <w:r w:rsidR="00033755">
        <w:t xml:space="preserve"> </w:t>
      </w:r>
      <w:r w:rsidR="001B3B87">
        <w:t xml:space="preserve">random numbers/algorithms </w:t>
      </w:r>
    </w:p>
    <w:p w14:paraId="0F9549F2" w14:textId="77777777" w:rsidR="001B3B87" w:rsidRDefault="001B3B87" w:rsidP="00116640">
      <w:pPr>
        <w:pStyle w:val="OB1"/>
      </w:pPr>
      <w:r>
        <w:t>Work search parameters</w:t>
      </w:r>
    </w:p>
    <w:p w14:paraId="6D42792A" w14:textId="77777777" w:rsidR="001B3B87" w:rsidRDefault="001B3B87" w:rsidP="00F82166">
      <w:pPr>
        <w:pStyle w:val="OB1"/>
      </w:pPr>
      <w:r>
        <w:t>Justification for change</w:t>
      </w:r>
    </w:p>
    <w:p w14:paraId="2A2F3F90" w14:textId="77777777" w:rsidR="001B3B87" w:rsidRDefault="001B3B87" w:rsidP="00F82166">
      <w:pPr>
        <w:pStyle w:val="OB1"/>
      </w:pPr>
      <w:r>
        <w:t>Fact finding question sets</w:t>
      </w:r>
    </w:p>
    <w:p w14:paraId="71A6422A" w14:textId="77777777" w:rsidR="001B3B87" w:rsidRDefault="001B3B87" w:rsidP="001B3B87"/>
    <w:p w14:paraId="640C910A" w14:textId="063BDAA0" w:rsidR="00620C4C" w:rsidRPr="00716001" w:rsidRDefault="00620C4C" w:rsidP="00620C4C">
      <w:pPr>
        <w:pStyle w:val="Heading4"/>
      </w:pPr>
      <w:r>
        <w:tab/>
      </w:r>
      <w:r w:rsidR="005121CE">
        <w:t xml:space="preserve">Correct Errors and </w:t>
      </w:r>
      <w:r w:rsidR="00131C52">
        <w:t>Data Cleansing</w:t>
      </w:r>
    </w:p>
    <w:p w14:paraId="51252857" w14:textId="5F3F5D47" w:rsidR="00620C4C" w:rsidRPr="00DF6567" w:rsidRDefault="004163EC" w:rsidP="00620C4C">
      <w:r>
        <w:t>This process includes all activities required to edit data with the option of placing the record back into workflow</w:t>
      </w:r>
      <w:r w:rsidR="00620C4C">
        <w:t>.</w:t>
      </w:r>
    </w:p>
    <w:p w14:paraId="1989672D" w14:textId="77777777" w:rsidR="00620C4C" w:rsidRPr="00C45DE5" w:rsidRDefault="00620C4C" w:rsidP="00620C4C">
      <w:pPr>
        <w:rPr>
          <w:u w:val="single"/>
        </w:rPr>
      </w:pPr>
      <w:bookmarkStart w:id="311" w:name="_Hlk523919139"/>
      <w:r w:rsidRPr="00C45DE5">
        <w:rPr>
          <w:u w:val="single"/>
        </w:rPr>
        <w:t>Actors</w:t>
      </w:r>
    </w:p>
    <w:p w14:paraId="5CC58945" w14:textId="18D43D0F" w:rsidR="00620C4C" w:rsidRDefault="00620C4C" w:rsidP="00E16D2D">
      <w:pPr>
        <w:pStyle w:val="LB1"/>
      </w:pPr>
      <w:r>
        <w:t>Staff</w:t>
      </w:r>
      <w:r w:rsidR="005121CE">
        <w:t xml:space="preserve"> with role-based permissions</w:t>
      </w:r>
    </w:p>
    <w:p w14:paraId="47333FE0" w14:textId="77777777" w:rsidR="00620C4C" w:rsidRPr="00DF6567" w:rsidRDefault="00620C4C" w:rsidP="00620C4C"/>
    <w:p w14:paraId="5778F43E" w14:textId="77777777" w:rsidR="00620C4C" w:rsidRDefault="00620C4C" w:rsidP="00620C4C">
      <w:pPr>
        <w:rPr>
          <w:u w:val="single"/>
        </w:rPr>
      </w:pPr>
      <w:r>
        <w:rPr>
          <w:u w:val="single"/>
        </w:rPr>
        <w:t>Main Activities</w:t>
      </w:r>
    </w:p>
    <w:p w14:paraId="22FCA6ED" w14:textId="6D234A57" w:rsidR="005121CE" w:rsidRDefault="005121CE" w:rsidP="00E16D2D">
      <w:pPr>
        <w:pStyle w:val="LB1"/>
      </w:pPr>
      <w:bookmarkStart w:id="312" w:name="_Hlk523919116"/>
      <w:bookmarkStart w:id="313" w:name="_Hlk511637114"/>
      <w:bookmarkEnd w:id="311"/>
      <w:r>
        <w:t>System must allow Staff to correct data entered in error, based on business rules</w:t>
      </w:r>
      <w:r>
        <w:tab/>
      </w:r>
    </w:p>
    <w:p w14:paraId="2C1E9B50" w14:textId="4557BB92" w:rsidR="005121CE" w:rsidRDefault="005121CE" w:rsidP="00E16D2D">
      <w:pPr>
        <w:pStyle w:val="OB1"/>
      </w:pPr>
      <w:r>
        <w:t>Remove inappropriate notes or notes entered on the wrong person</w:t>
      </w:r>
    </w:p>
    <w:p w14:paraId="51C3BA83" w14:textId="447FEE92" w:rsidR="005121CE" w:rsidRDefault="005121CE" w:rsidP="00116640">
      <w:pPr>
        <w:pStyle w:val="OB1"/>
      </w:pPr>
      <w:r>
        <w:t>Remove entries made on the wrong claim or wrong person</w:t>
      </w:r>
    </w:p>
    <w:p w14:paraId="1C3D5485" w14:textId="78B40DCD" w:rsidR="005121CE" w:rsidRDefault="005121CE" w:rsidP="00F82166">
      <w:pPr>
        <w:pStyle w:val="OB1"/>
      </w:pPr>
      <w:r>
        <w:t>Etc.</w:t>
      </w:r>
    </w:p>
    <w:p w14:paraId="07B87A33" w14:textId="29EE991C" w:rsidR="004163EC" w:rsidRDefault="005121CE" w:rsidP="00F82166">
      <w:pPr>
        <w:pStyle w:val="OB1"/>
      </w:pPr>
      <w:r>
        <w:t>System must retain auditable correction log</w:t>
      </w:r>
      <w:bookmarkEnd w:id="312"/>
    </w:p>
    <w:p w14:paraId="4B34B7A4" w14:textId="77777777" w:rsidR="004163EC" w:rsidRDefault="004163EC">
      <w:pPr>
        <w:pStyle w:val="LB1"/>
      </w:pPr>
      <w:r>
        <w:t>System must allow Business Staff to place the record back into workflow if necessary such as:</w:t>
      </w:r>
    </w:p>
    <w:p w14:paraId="4075E280" w14:textId="77777777" w:rsidR="004163EC" w:rsidRDefault="004163EC">
      <w:pPr>
        <w:pStyle w:val="OB1"/>
      </w:pPr>
      <w:r>
        <w:t>Reports</w:t>
      </w:r>
    </w:p>
    <w:p w14:paraId="057F0CC3" w14:textId="77777777" w:rsidR="004163EC" w:rsidRDefault="004163EC">
      <w:pPr>
        <w:pStyle w:val="OB1"/>
      </w:pPr>
      <w:r>
        <w:t>Payment processes</w:t>
      </w:r>
    </w:p>
    <w:bookmarkEnd w:id="313"/>
    <w:p w14:paraId="3FAA5C31" w14:textId="71766A22" w:rsidR="00620C4C" w:rsidRDefault="004163EC">
      <w:pPr>
        <w:pStyle w:val="OB1"/>
      </w:pPr>
      <w:r>
        <w:t>Interfaces</w:t>
      </w:r>
    </w:p>
    <w:p w14:paraId="66D2801A" w14:textId="26001D0D" w:rsidR="004163EC" w:rsidRDefault="004163EC" w:rsidP="004163EC"/>
    <w:p w14:paraId="7FC136FB" w14:textId="77777777" w:rsidR="00D1061E" w:rsidRDefault="00D1061E" w:rsidP="00D1061E">
      <w:pPr>
        <w:pStyle w:val="Heading4"/>
      </w:pPr>
      <w:bookmarkStart w:id="314" w:name="_Hlk525050863"/>
      <w:r>
        <w:tab/>
        <w:t>Respond to Inquiries</w:t>
      </w:r>
    </w:p>
    <w:p w14:paraId="32672D4D" w14:textId="77777777" w:rsidR="00D1061E" w:rsidRPr="00B0723C" w:rsidRDefault="00D1061E" w:rsidP="00D1061E">
      <w:r>
        <w:t>This process includes all activities required to respond to inquiries.</w:t>
      </w:r>
    </w:p>
    <w:p w14:paraId="3B41AF07" w14:textId="77777777" w:rsidR="00D1061E" w:rsidRPr="003A23F0" w:rsidRDefault="00D1061E" w:rsidP="00D1061E">
      <w:pPr>
        <w:rPr>
          <w:u w:val="single"/>
        </w:rPr>
      </w:pPr>
      <w:r w:rsidRPr="003A23F0">
        <w:rPr>
          <w:u w:val="single"/>
        </w:rPr>
        <w:t>Actors</w:t>
      </w:r>
    </w:p>
    <w:p w14:paraId="61E46107" w14:textId="77777777" w:rsidR="00D1061E" w:rsidRDefault="00D1061E" w:rsidP="00E16D2D">
      <w:pPr>
        <w:pStyle w:val="LB1"/>
      </w:pPr>
      <w:r>
        <w:t>Staff</w:t>
      </w:r>
    </w:p>
    <w:p w14:paraId="116B404F" w14:textId="77777777" w:rsidR="00D1061E" w:rsidRPr="00DF6567" w:rsidRDefault="00D1061E" w:rsidP="00D1061E"/>
    <w:p w14:paraId="5A8EC65A" w14:textId="77777777" w:rsidR="00D1061E" w:rsidRPr="003A23F0" w:rsidRDefault="00D1061E" w:rsidP="00D1061E">
      <w:pPr>
        <w:rPr>
          <w:u w:val="single"/>
        </w:rPr>
      </w:pPr>
      <w:r w:rsidRPr="003A23F0">
        <w:rPr>
          <w:u w:val="single"/>
        </w:rPr>
        <w:t>Main Activities</w:t>
      </w:r>
    </w:p>
    <w:p w14:paraId="325C589E" w14:textId="17DB94E9" w:rsidR="00D1061E" w:rsidRDefault="00D1061E" w:rsidP="00E16D2D">
      <w:pPr>
        <w:pStyle w:val="LB1"/>
      </w:pPr>
      <w:r>
        <w:t xml:space="preserve">System must enable Staff to </w:t>
      </w:r>
      <w:r w:rsidR="00622472">
        <w:t xml:space="preserve">initiate and respond to </w:t>
      </w:r>
      <w:r>
        <w:t>inquir</w:t>
      </w:r>
      <w:r w:rsidR="00A6640D">
        <w:t>ies</w:t>
      </w:r>
      <w:r>
        <w:t xml:space="preserve"> via:</w:t>
      </w:r>
    </w:p>
    <w:p w14:paraId="1BC06AC9" w14:textId="77777777" w:rsidR="00D1061E" w:rsidRDefault="00D1061E" w:rsidP="00E16D2D">
      <w:pPr>
        <w:pStyle w:val="OB1"/>
      </w:pPr>
      <w:r>
        <w:t>Phone</w:t>
      </w:r>
    </w:p>
    <w:p w14:paraId="3FCD5C23" w14:textId="77777777" w:rsidR="00D1061E" w:rsidRDefault="00D1061E" w:rsidP="00116640">
      <w:pPr>
        <w:pStyle w:val="OB1"/>
      </w:pPr>
      <w:r>
        <w:t>Electronic (Email, chat, or secure messaging)</w:t>
      </w:r>
    </w:p>
    <w:p w14:paraId="4454909E" w14:textId="77777777" w:rsidR="00D1061E" w:rsidRDefault="00D1061E" w:rsidP="00D1061E">
      <w:pPr>
        <w:pStyle w:val="SB1"/>
      </w:pPr>
      <w:r>
        <w:t>Forms or templates available to capture identifying information</w:t>
      </w:r>
    </w:p>
    <w:p w14:paraId="7B3CD86F" w14:textId="037CF26B" w:rsidR="00D1061E" w:rsidRDefault="00D1061E" w:rsidP="00E16D2D">
      <w:pPr>
        <w:pStyle w:val="OB1"/>
      </w:pPr>
      <w:r>
        <w:t>Mail</w:t>
      </w:r>
    </w:p>
    <w:p w14:paraId="6B6C9663" w14:textId="27F14B7A" w:rsidR="007F414A" w:rsidRDefault="007F414A" w:rsidP="00E16D2D">
      <w:pPr>
        <w:pStyle w:val="OB1"/>
      </w:pPr>
      <w:r>
        <w:t>Fax</w:t>
      </w:r>
    </w:p>
    <w:p w14:paraId="68480EC3" w14:textId="77777777" w:rsidR="00D1061E" w:rsidRDefault="00D1061E" w:rsidP="00E16D2D">
      <w:pPr>
        <w:pStyle w:val="LB1"/>
      </w:pPr>
      <w:r>
        <w:lastRenderedPageBreak/>
        <w:t>System must allow Staff to verify n</w:t>
      </w:r>
      <w:r w:rsidRPr="008D5A7C">
        <w:t>ame</w:t>
      </w:r>
      <w:r>
        <w:t>, address,</w:t>
      </w:r>
      <w:r w:rsidRPr="008D5A7C">
        <w:t xml:space="preserve"> and SSN</w:t>
      </w:r>
      <w:r>
        <w:t>/Alternate ID of the Claimant</w:t>
      </w:r>
    </w:p>
    <w:p w14:paraId="7E5AEC0D" w14:textId="252BC15F" w:rsidR="00865B96" w:rsidRDefault="00D1061E" w:rsidP="00116640">
      <w:pPr>
        <w:pStyle w:val="LB1"/>
      </w:pPr>
      <w:r>
        <w:t xml:space="preserve">System must enable Staff to research </w:t>
      </w:r>
      <w:r w:rsidR="00695828">
        <w:t>C</w:t>
      </w:r>
      <w:r w:rsidR="00865B96">
        <w:t xml:space="preserve">laim </w:t>
      </w:r>
      <w:r>
        <w:t>information</w:t>
      </w:r>
      <w:r w:rsidR="00865B96" w:rsidRPr="00865B96">
        <w:t xml:space="preserve"> </w:t>
      </w:r>
    </w:p>
    <w:p w14:paraId="011EA916" w14:textId="2BFA156F" w:rsidR="00865B96" w:rsidRDefault="00865B96" w:rsidP="00F82166">
      <w:pPr>
        <w:pStyle w:val="LB1"/>
      </w:pPr>
      <w:r>
        <w:t xml:space="preserve">System must provide information to Staff in a concise manner, allowing Staff to dive down for additional details as needed, summary page of some sort so Staff can see the entire </w:t>
      </w:r>
      <w:r w:rsidR="00930F59">
        <w:t>Claimant</w:t>
      </w:r>
      <w:r>
        <w:t xml:space="preserve"> record.</w:t>
      </w:r>
    </w:p>
    <w:p w14:paraId="104955EF" w14:textId="1709D8FD" w:rsidR="00865B96" w:rsidRDefault="00865B96" w:rsidP="00F82166">
      <w:pPr>
        <w:pStyle w:val="LB1"/>
      </w:pPr>
      <w:r>
        <w:t xml:space="preserve">System should use intuitive language and reduce the use of </w:t>
      </w:r>
      <w:r w:rsidR="00695828">
        <w:t xml:space="preserve">acronyms and </w:t>
      </w:r>
      <w:r>
        <w:t>codes</w:t>
      </w:r>
    </w:p>
    <w:p w14:paraId="3E96DAC7" w14:textId="30EA4CB3" w:rsidR="00D1061E" w:rsidRDefault="00D1061E">
      <w:pPr>
        <w:pStyle w:val="LB1"/>
      </w:pPr>
      <w:r>
        <w:t>System must allow Staff to respond to inquiries</w:t>
      </w:r>
    </w:p>
    <w:p w14:paraId="3C53DC2F" w14:textId="7F49C350" w:rsidR="00D1061E" w:rsidRDefault="00D1061E">
      <w:pPr>
        <w:pStyle w:val="OB1"/>
      </w:pPr>
      <w:r>
        <w:t>System must record summary of response tied to a Claimant, Employer, or TPA and associated with their record</w:t>
      </w:r>
    </w:p>
    <w:p w14:paraId="7832D362" w14:textId="77777777" w:rsidR="00D1061E" w:rsidRDefault="00D1061E" w:rsidP="00D1061E">
      <w:pPr>
        <w:pStyle w:val="SB1"/>
      </w:pPr>
      <w:r>
        <w:t>Email</w:t>
      </w:r>
    </w:p>
    <w:p w14:paraId="50E44E69" w14:textId="77777777" w:rsidR="00D1061E" w:rsidRDefault="00D1061E" w:rsidP="00D1061E">
      <w:pPr>
        <w:pStyle w:val="SB1"/>
      </w:pPr>
      <w:r>
        <w:t>Phone number</w:t>
      </w:r>
    </w:p>
    <w:p w14:paraId="61A0FD11" w14:textId="77777777" w:rsidR="00D1061E" w:rsidRDefault="00D1061E" w:rsidP="00D1061E">
      <w:pPr>
        <w:pStyle w:val="SB1"/>
      </w:pPr>
      <w:r>
        <w:t>Time</w:t>
      </w:r>
    </w:p>
    <w:p w14:paraId="781956BB" w14:textId="77777777" w:rsidR="00D1061E" w:rsidRDefault="00D1061E" w:rsidP="00D1061E">
      <w:pPr>
        <w:pStyle w:val="SB1"/>
      </w:pPr>
      <w:r>
        <w:t>Date</w:t>
      </w:r>
    </w:p>
    <w:p w14:paraId="7F2130CD" w14:textId="77777777" w:rsidR="00D1061E" w:rsidRDefault="00D1061E" w:rsidP="00D1061E">
      <w:pPr>
        <w:pStyle w:val="SB1"/>
      </w:pPr>
      <w:r>
        <w:t>Topic</w:t>
      </w:r>
    </w:p>
    <w:p w14:paraId="375A25D4" w14:textId="77777777" w:rsidR="00D1061E" w:rsidRDefault="00D1061E" w:rsidP="00D1061E">
      <w:pPr>
        <w:pStyle w:val="SB1"/>
      </w:pPr>
      <w:r>
        <w:t>Staff member</w:t>
      </w:r>
    </w:p>
    <w:p w14:paraId="186A0B83" w14:textId="77777777" w:rsidR="00D1061E" w:rsidRDefault="00D1061E" w:rsidP="00D1061E">
      <w:pPr>
        <w:pStyle w:val="SB1"/>
      </w:pPr>
      <w:r>
        <w:t>Etc.</w:t>
      </w:r>
    </w:p>
    <w:p w14:paraId="37485DBB" w14:textId="3E341648" w:rsidR="00D1061E" w:rsidRDefault="00D1061E" w:rsidP="00E16D2D">
      <w:pPr>
        <w:pStyle w:val="OB1"/>
      </w:pPr>
      <w:r>
        <w:t xml:space="preserve">Respond based on requestor’s </w:t>
      </w:r>
      <w:r w:rsidR="00F03605">
        <w:t>preferred communication method</w:t>
      </w:r>
    </w:p>
    <w:p w14:paraId="6E40B129" w14:textId="77777777" w:rsidR="00D1061E" w:rsidRDefault="00D1061E" w:rsidP="00E16D2D">
      <w:pPr>
        <w:pStyle w:val="OB1"/>
      </w:pPr>
      <w:r>
        <w:t>Display/Insert context sensitive statements using preformatted text (e.g., how to file an appeal) depending on the contact method, editable by Business Staff</w:t>
      </w:r>
    </w:p>
    <w:bookmarkEnd w:id="314"/>
    <w:p w14:paraId="6D673EDB" w14:textId="77777777" w:rsidR="00D1061E" w:rsidRDefault="00D1061E" w:rsidP="004163EC"/>
    <w:p w14:paraId="0FA96B7A" w14:textId="5AC91924" w:rsidR="001A16E4" w:rsidRDefault="001A16E4" w:rsidP="001A16E4">
      <w:pPr>
        <w:pStyle w:val="Heading3"/>
      </w:pPr>
      <w:bookmarkStart w:id="315" w:name="_A6.2_Tax"/>
      <w:bookmarkStart w:id="316" w:name="_Toc13567493"/>
      <w:bookmarkEnd w:id="315"/>
      <w:r>
        <w:t>A6.2</w:t>
      </w:r>
      <w:r>
        <w:tab/>
        <w:t>Tax</w:t>
      </w:r>
      <w:bookmarkEnd w:id="316"/>
    </w:p>
    <w:p w14:paraId="77022434" w14:textId="5021489A" w:rsidR="00B0723C" w:rsidRDefault="00B0723C" w:rsidP="00B0723C">
      <w:pPr>
        <w:pStyle w:val="Heading4"/>
      </w:pPr>
      <w:r>
        <w:tab/>
        <w:t>Register Employer</w:t>
      </w:r>
    </w:p>
    <w:p w14:paraId="431D79AC" w14:textId="358EA6FE" w:rsidR="00B0723C" w:rsidRPr="00B0723C" w:rsidRDefault="00B0723C" w:rsidP="00B0723C">
      <w:r>
        <w:t>This process includes all acti</w:t>
      </w:r>
      <w:r w:rsidR="002D225D">
        <w:t>vities required to register an E</w:t>
      </w:r>
      <w:r>
        <w:t>mployer</w:t>
      </w:r>
      <w:r w:rsidR="00142A37">
        <w:t>.</w:t>
      </w:r>
    </w:p>
    <w:p w14:paraId="3CCF41E7" w14:textId="31B48FEC" w:rsidR="00B0723C" w:rsidRPr="003A23F0" w:rsidRDefault="00B0723C" w:rsidP="003A23F0">
      <w:pPr>
        <w:rPr>
          <w:u w:val="single"/>
        </w:rPr>
      </w:pPr>
      <w:r w:rsidRPr="003A23F0">
        <w:rPr>
          <w:u w:val="single"/>
        </w:rPr>
        <w:t>Actors</w:t>
      </w:r>
    </w:p>
    <w:p w14:paraId="76200146" w14:textId="77777777" w:rsidR="00B0723C" w:rsidRDefault="00B0723C" w:rsidP="00E16D2D">
      <w:pPr>
        <w:pStyle w:val="LB1"/>
      </w:pPr>
      <w:r>
        <w:t>Employers</w:t>
      </w:r>
    </w:p>
    <w:p w14:paraId="17FEC41B" w14:textId="77777777" w:rsidR="00D617C3" w:rsidRDefault="00D617C3" w:rsidP="00E16D2D">
      <w:pPr>
        <w:pStyle w:val="LB1"/>
      </w:pPr>
      <w:r>
        <w:t>Staff</w:t>
      </w:r>
    </w:p>
    <w:p w14:paraId="44DDC9C6" w14:textId="77777777" w:rsidR="00B0723C" w:rsidRDefault="00B0723C" w:rsidP="00116640">
      <w:pPr>
        <w:pStyle w:val="LB1"/>
      </w:pPr>
      <w:r>
        <w:t>TPAs</w:t>
      </w:r>
    </w:p>
    <w:p w14:paraId="0F6F7E6A" w14:textId="77777777" w:rsidR="00B0723C" w:rsidRPr="00DF6567" w:rsidRDefault="00B0723C" w:rsidP="00B0723C"/>
    <w:p w14:paraId="38DAA520" w14:textId="77777777" w:rsidR="00B0723C" w:rsidRPr="003A23F0" w:rsidRDefault="00B0723C" w:rsidP="003A23F0">
      <w:pPr>
        <w:rPr>
          <w:u w:val="single"/>
        </w:rPr>
      </w:pPr>
      <w:r w:rsidRPr="003A23F0">
        <w:rPr>
          <w:u w:val="single"/>
        </w:rPr>
        <w:t>Main Activities</w:t>
      </w:r>
    </w:p>
    <w:p w14:paraId="36FD9F4E" w14:textId="77777777" w:rsidR="00B0723C" w:rsidRDefault="00B0723C" w:rsidP="00E16D2D">
      <w:pPr>
        <w:pStyle w:val="LB1"/>
      </w:pPr>
      <w:r>
        <w:t>System must allow E</w:t>
      </w:r>
      <w:r w:rsidRPr="003A23F0">
        <w:rPr>
          <w:rStyle w:val="LB1Char"/>
        </w:rPr>
        <w:t>m</w:t>
      </w:r>
      <w:r>
        <w:t>ployers and TPAs to register online (self-service)</w:t>
      </w:r>
    </w:p>
    <w:p w14:paraId="3AD555A4" w14:textId="77777777" w:rsidR="00B0723C" w:rsidRDefault="00B0723C" w:rsidP="00E16D2D">
      <w:pPr>
        <w:pStyle w:val="OB1"/>
      </w:pPr>
      <w:r>
        <w:t>Unique ID using current numbering scheme</w:t>
      </w:r>
    </w:p>
    <w:p w14:paraId="25435A68" w14:textId="77777777" w:rsidR="00B0723C" w:rsidRDefault="00B0723C" w:rsidP="00116640">
      <w:pPr>
        <w:pStyle w:val="OB1"/>
      </w:pPr>
      <w:r>
        <w:t>Associate/Dissociate a TPA to Employer account</w:t>
      </w:r>
    </w:p>
    <w:p w14:paraId="23F01BDA" w14:textId="17A11E59" w:rsidR="00B0723C" w:rsidRDefault="00B0723C" w:rsidP="00F82166">
      <w:pPr>
        <w:pStyle w:val="OB1"/>
      </w:pPr>
      <w:r>
        <w:t xml:space="preserve">Authorize and identify </w:t>
      </w:r>
      <w:r w:rsidRPr="00AB7EA1">
        <w:t xml:space="preserve">the service functions for which the TPA may act on behalf of that </w:t>
      </w:r>
      <w:r w:rsidR="00930F59">
        <w:t>Employer</w:t>
      </w:r>
    </w:p>
    <w:p w14:paraId="4D694C64" w14:textId="143CAFEF" w:rsidR="00B0723C" w:rsidRDefault="00B0723C" w:rsidP="00F82166">
      <w:pPr>
        <w:pStyle w:val="OB1"/>
      </w:pPr>
      <w:r>
        <w:lastRenderedPageBreak/>
        <w:t xml:space="preserve">Upload, </w:t>
      </w:r>
      <w:r w:rsidR="00376FCF">
        <w:t>Optical Character Recognition (</w:t>
      </w:r>
      <w:r>
        <w:t>OCR</w:t>
      </w:r>
      <w:r w:rsidR="00376FCF">
        <w:t>)</w:t>
      </w:r>
      <w:r>
        <w:t xml:space="preserve">, image multiple source documents (IRS 147c, articles of organization, etc.) </w:t>
      </w:r>
    </w:p>
    <w:p w14:paraId="5BA47C22" w14:textId="72488E93" w:rsidR="00B0723C" w:rsidRDefault="00B0723C" w:rsidP="00F82166">
      <w:pPr>
        <w:pStyle w:val="OB1"/>
      </w:pPr>
      <w:r>
        <w:t>Employers and Staff to c</w:t>
      </w:r>
      <w:r w:rsidRPr="005425B5">
        <w:t>omplete</w:t>
      </w:r>
      <w:r>
        <w:t xml:space="preserve"> and modify</w:t>
      </w:r>
      <w:r w:rsidRPr="005425B5">
        <w:t xml:space="preserve"> partially saved </w:t>
      </w:r>
      <w:r w:rsidR="009521D7">
        <w:t xml:space="preserve">Employer </w:t>
      </w:r>
      <w:r w:rsidRPr="005425B5">
        <w:t>registrations within a configurable time period</w:t>
      </w:r>
    </w:p>
    <w:p w14:paraId="503AFC18" w14:textId="77777777" w:rsidR="00B0723C" w:rsidRDefault="00B0723C">
      <w:pPr>
        <w:pStyle w:val="OB1"/>
      </w:pPr>
      <w:r>
        <w:t>View registration status</w:t>
      </w:r>
    </w:p>
    <w:p w14:paraId="01E5F319" w14:textId="77777777" w:rsidR="00B0723C" w:rsidRDefault="00B0723C">
      <w:pPr>
        <w:pStyle w:val="OB1"/>
      </w:pPr>
      <w:r>
        <w:t>An Employer account must have one individual assigned as the administrator who can (de)authorize access to the Employer account for other individuals and TPAs</w:t>
      </w:r>
    </w:p>
    <w:p w14:paraId="6DABB968" w14:textId="77777777" w:rsidR="00B0723C" w:rsidRDefault="00B0723C">
      <w:pPr>
        <w:pStyle w:val="OB1"/>
      </w:pPr>
      <w:r>
        <w:t>An Employer account can have multiple individuals who can access it, each assigned to different roles, with different access rights, and with unique contact information</w:t>
      </w:r>
    </w:p>
    <w:p w14:paraId="130B8F27" w14:textId="675DEFD5" w:rsidR="007147E6" w:rsidRPr="007147E6" w:rsidRDefault="007147E6">
      <w:pPr>
        <w:pStyle w:val="LB1"/>
        <w:rPr>
          <w:sz w:val="20"/>
        </w:rPr>
      </w:pPr>
      <w:bookmarkStart w:id="317" w:name="_Hlk769182"/>
      <w:r>
        <w:t>System must prevent Benefits Claimants from accidentally registering for a UI Tax Account</w:t>
      </w:r>
      <w:r w:rsidR="001F7770">
        <w:t>s</w:t>
      </w:r>
      <w:r>
        <w:t xml:space="preserve"> </w:t>
      </w:r>
      <w:r w:rsidR="001F7770">
        <w:t xml:space="preserve">and vice versa </w:t>
      </w:r>
    </w:p>
    <w:bookmarkEnd w:id="317"/>
    <w:p w14:paraId="7127CE6A" w14:textId="04C84BAB" w:rsidR="00F66015" w:rsidRDefault="00F66015">
      <w:pPr>
        <w:pStyle w:val="LB1"/>
        <w:rPr>
          <w:sz w:val="20"/>
        </w:rPr>
      </w:pPr>
      <w:r>
        <w:t>System must capture registration data including but not limited to:</w:t>
      </w:r>
    </w:p>
    <w:p w14:paraId="7471B0EF" w14:textId="77777777" w:rsidR="00972AC0" w:rsidRPr="00EE650D" w:rsidRDefault="00972AC0">
      <w:pPr>
        <w:pStyle w:val="OB1"/>
      </w:pPr>
      <w:r w:rsidRPr="00EE650D">
        <w:t>First name, middle initial or name, and last name</w:t>
      </w:r>
    </w:p>
    <w:p w14:paraId="489DB4BD" w14:textId="77777777" w:rsidR="00972AC0" w:rsidRDefault="00972AC0">
      <w:pPr>
        <w:pStyle w:val="OB1"/>
      </w:pPr>
      <w:r>
        <w:t>Suffixes (i.e. SR, JR, III, IV, MD, etc.) as a separate field</w:t>
      </w:r>
    </w:p>
    <w:p w14:paraId="652B907F" w14:textId="77777777" w:rsidR="00972AC0" w:rsidRDefault="00972AC0">
      <w:pPr>
        <w:pStyle w:val="OB1"/>
      </w:pPr>
      <w:r>
        <w:t>User ID</w:t>
      </w:r>
    </w:p>
    <w:p w14:paraId="5353502C" w14:textId="77777777" w:rsidR="00972AC0" w:rsidRDefault="00972AC0">
      <w:pPr>
        <w:pStyle w:val="OB1"/>
      </w:pPr>
      <w:r>
        <w:t>Password</w:t>
      </w:r>
    </w:p>
    <w:p w14:paraId="3E378160" w14:textId="77777777" w:rsidR="00972AC0" w:rsidRDefault="00972AC0">
      <w:pPr>
        <w:pStyle w:val="OB1"/>
      </w:pPr>
      <w:r>
        <w:t>Email address</w:t>
      </w:r>
    </w:p>
    <w:p w14:paraId="726B0E19" w14:textId="77777777" w:rsidR="00972AC0" w:rsidRDefault="00972AC0">
      <w:pPr>
        <w:pStyle w:val="OB1"/>
      </w:pPr>
      <w:r>
        <w:t>Security questions</w:t>
      </w:r>
    </w:p>
    <w:p w14:paraId="1008C733" w14:textId="77777777" w:rsidR="00972AC0" w:rsidRDefault="00972AC0">
      <w:pPr>
        <w:pStyle w:val="OB1"/>
      </w:pPr>
      <w:r>
        <w:t>FEIN</w:t>
      </w:r>
    </w:p>
    <w:p w14:paraId="3BCEBB95" w14:textId="77777777" w:rsidR="00972AC0" w:rsidRDefault="00972AC0">
      <w:pPr>
        <w:pStyle w:val="OB1"/>
      </w:pPr>
      <w:r>
        <w:t>Owner/Officer Information (i.e. SSN, title, residence address, email address, etc.)</w:t>
      </w:r>
    </w:p>
    <w:p w14:paraId="04FF049F" w14:textId="77777777" w:rsidR="00972AC0" w:rsidRDefault="00972AC0">
      <w:pPr>
        <w:pStyle w:val="OB1"/>
      </w:pPr>
      <w:r>
        <w:t>Addresses, with option for all foreign addresses</w:t>
      </w:r>
    </w:p>
    <w:p w14:paraId="4660F1CC" w14:textId="77777777" w:rsidR="00972AC0" w:rsidRDefault="00972AC0">
      <w:pPr>
        <w:pStyle w:val="OB1"/>
      </w:pPr>
      <w:r>
        <w:t>Phone number, with area and country code, if required</w:t>
      </w:r>
    </w:p>
    <w:p w14:paraId="1028F521" w14:textId="77777777" w:rsidR="00972AC0" w:rsidRDefault="00972AC0">
      <w:pPr>
        <w:pStyle w:val="OB1"/>
      </w:pPr>
      <w:r>
        <w:t>Registrants relationship with employer</w:t>
      </w:r>
    </w:p>
    <w:p w14:paraId="0E50BA8C" w14:textId="77777777" w:rsidR="00972AC0" w:rsidRDefault="00972AC0">
      <w:pPr>
        <w:pStyle w:val="OB1"/>
      </w:pPr>
      <w:r>
        <w:t>Business entity name</w:t>
      </w:r>
    </w:p>
    <w:p w14:paraId="4A11523E" w14:textId="77777777" w:rsidR="00972AC0" w:rsidRDefault="00972AC0">
      <w:pPr>
        <w:pStyle w:val="OB1"/>
      </w:pPr>
      <w:r>
        <w:t>General Partner name (if partnership, except for general partnerships when we require all partner names)</w:t>
      </w:r>
    </w:p>
    <w:p w14:paraId="158CF602" w14:textId="77777777" w:rsidR="00972AC0" w:rsidRDefault="00972AC0">
      <w:pPr>
        <w:pStyle w:val="OB1"/>
      </w:pPr>
      <w:r>
        <w:t>Trade name (DBA)</w:t>
      </w:r>
    </w:p>
    <w:p w14:paraId="5BC66A44" w14:textId="77777777" w:rsidR="00972AC0" w:rsidRDefault="00972AC0">
      <w:pPr>
        <w:pStyle w:val="OB1"/>
      </w:pPr>
      <w:r>
        <w:t>Business type (i.e. Individual/Sole Proprietor, Corporation, LLC, General Partnership, LLP, Political Subdivision, Non-Profit, Reimbursing, etc.)</w:t>
      </w:r>
    </w:p>
    <w:p w14:paraId="65E78DBD" w14:textId="77777777" w:rsidR="00972AC0" w:rsidRDefault="00972AC0">
      <w:pPr>
        <w:pStyle w:val="OB1"/>
      </w:pPr>
      <w:r>
        <w:t>Employment type (i.e. regular, domestic or agricultural)</w:t>
      </w:r>
    </w:p>
    <w:p w14:paraId="7F358018" w14:textId="77777777" w:rsidR="00972AC0" w:rsidRDefault="00972AC0">
      <w:pPr>
        <w:pStyle w:val="OB1"/>
      </w:pPr>
      <w:r>
        <w:t>Nature of [business] activity</w:t>
      </w:r>
    </w:p>
    <w:p w14:paraId="42802343" w14:textId="77777777" w:rsidR="00972AC0" w:rsidRDefault="00972AC0">
      <w:pPr>
        <w:pStyle w:val="OB1"/>
      </w:pPr>
      <w:r>
        <w:t>Liability information (i.e. employment state date, wages start date, first $1500 quarter, 20</w:t>
      </w:r>
      <w:r>
        <w:rPr>
          <w:vertAlign w:val="superscript"/>
        </w:rPr>
        <w:t>th</w:t>
      </w:r>
      <w:r>
        <w:t xml:space="preserve"> week of employment date, FUTA years, US citizens employed outside US, current number of employees, subject subsection of TUCA 201.021-8, etc.)</w:t>
      </w:r>
    </w:p>
    <w:p w14:paraId="48D595A2" w14:textId="77777777" w:rsidR="00972AC0" w:rsidRDefault="00972AC0">
      <w:pPr>
        <w:pStyle w:val="OB1"/>
      </w:pPr>
      <w:r>
        <w:t>Acquisition information (business acquired, date, total or partial, etc.)</w:t>
      </w:r>
    </w:p>
    <w:p w14:paraId="44DA4EF4" w14:textId="77777777" w:rsidR="00972AC0" w:rsidRDefault="00972AC0">
      <w:pPr>
        <w:pStyle w:val="OB1"/>
      </w:pPr>
      <w:r>
        <w:t>Secretary of State information (i.e. state of jurisdiction, filing/charter number, registered agent information, filing date, original name, etc.)</w:t>
      </w:r>
    </w:p>
    <w:p w14:paraId="0613BE16" w14:textId="77777777" w:rsidR="00972AC0" w:rsidRDefault="00972AC0">
      <w:pPr>
        <w:pStyle w:val="OB1"/>
      </w:pPr>
      <w:r>
        <w:t>TPA selection</w:t>
      </w:r>
    </w:p>
    <w:p w14:paraId="3E70047F" w14:textId="77777777" w:rsidR="00972AC0" w:rsidRDefault="00972AC0">
      <w:pPr>
        <w:pStyle w:val="OB1"/>
      </w:pPr>
      <w:r>
        <w:lastRenderedPageBreak/>
        <w:t>TPA authorization (i.e. selection of TWC area handling such as UI Tax reports and/or tax payment, Benefits claims and/or Appeals; POA document completion with electronic/digital signature; etc.)</w:t>
      </w:r>
    </w:p>
    <w:p w14:paraId="5BE85126" w14:textId="6A693FF2" w:rsidR="00F66015" w:rsidRDefault="00972AC0">
      <w:pPr>
        <w:pStyle w:val="OB1"/>
      </w:pPr>
      <w:r>
        <w:t>TPA selection changes (i.e. remove one TPA and revoke POA, add different TPA and new POA completion, etc.)</w:t>
      </w:r>
    </w:p>
    <w:p w14:paraId="1C9A38C6" w14:textId="232EF7E2" w:rsidR="00F66015" w:rsidRDefault="00F66015">
      <w:pPr>
        <w:pStyle w:val="OB1"/>
      </w:pPr>
      <w:r>
        <w:t>Etc.</w:t>
      </w:r>
    </w:p>
    <w:p w14:paraId="14DF68C3" w14:textId="6FCCBBC5" w:rsidR="007147E6" w:rsidRPr="007147E6" w:rsidRDefault="007147E6">
      <w:pPr>
        <w:pStyle w:val="LB1"/>
      </w:pPr>
      <w:r>
        <w:t>System must allow for Employment Titles associated with Employer and/or contact names (i.e. Corporate President, CPA, TPA, Service Agent, General Partner, Trustee, Executor, Executrix, Administrator, etc.) for entity styling, bankruptcy and trust/estate UI &amp; RID matters</w:t>
      </w:r>
    </w:p>
    <w:p w14:paraId="6FF4B4E1" w14:textId="30645A0D" w:rsidR="00B0723C" w:rsidRDefault="00B0723C">
      <w:pPr>
        <w:pStyle w:val="LB1"/>
      </w:pPr>
      <w:r w:rsidRPr="00741AF0">
        <w:t>System must allow a third-party administrator (TPA) to register online for a TPA account with multiple addresses and locations using the current TPA number assignment structure.</w:t>
      </w:r>
      <w:r w:rsidR="00EE5622">
        <w:t xml:space="preserve"> </w:t>
      </w:r>
    </w:p>
    <w:p w14:paraId="19CC1473" w14:textId="77777777" w:rsidR="00B0723C" w:rsidRDefault="00B0723C">
      <w:pPr>
        <w:pStyle w:val="OB1"/>
      </w:pPr>
      <w:r w:rsidRPr="00741AF0">
        <w:t>The TPA process will consist of multiple service functions</w:t>
      </w:r>
    </w:p>
    <w:p w14:paraId="45394B3B" w14:textId="77777777" w:rsidR="00B0723C" w:rsidRDefault="00B0723C">
      <w:pPr>
        <w:pStyle w:val="OB1"/>
      </w:pPr>
      <w:r>
        <w:t>TPAs can handle Benefits and/or Tax for Employers</w:t>
      </w:r>
    </w:p>
    <w:p w14:paraId="4207ECE7" w14:textId="075E991A" w:rsidR="00B0723C" w:rsidRDefault="00B0723C">
      <w:pPr>
        <w:pStyle w:val="LB1"/>
      </w:pPr>
      <w:r>
        <w:t xml:space="preserve">System must allow Staff to register </w:t>
      </w:r>
      <w:r w:rsidR="009521D7">
        <w:t xml:space="preserve">Employers </w:t>
      </w:r>
      <w:r>
        <w:t>(phone, mail, fax, paper documents)</w:t>
      </w:r>
    </w:p>
    <w:p w14:paraId="451824EC" w14:textId="77777777" w:rsidR="00B0723C" w:rsidRDefault="00B0723C">
      <w:pPr>
        <w:pStyle w:val="OB1"/>
      </w:pPr>
      <w:r>
        <w:t>Unique ID using current numbering scheme</w:t>
      </w:r>
    </w:p>
    <w:p w14:paraId="4BF5C63E" w14:textId="77777777" w:rsidR="00B0723C" w:rsidRDefault="00B0723C">
      <w:pPr>
        <w:pStyle w:val="OB1"/>
      </w:pPr>
      <w:r>
        <w:t xml:space="preserve">Upload, OCR, image multiple source documents (IRS 147c, articles of organization, etc.) </w:t>
      </w:r>
    </w:p>
    <w:p w14:paraId="2EC30B05" w14:textId="27D233B6" w:rsidR="00B0723C" w:rsidRDefault="00B0723C">
      <w:pPr>
        <w:pStyle w:val="OB1"/>
      </w:pPr>
      <w:r>
        <w:t>Employers and Staff to c</w:t>
      </w:r>
      <w:r w:rsidRPr="005425B5">
        <w:t>omplete</w:t>
      </w:r>
      <w:r>
        <w:t xml:space="preserve"> and modify</w:t>
      </w:r>
      <w:r w:rsidRPr="005425B5">
        <w:t xml:space="preserve"> partially saved </w:t>
      </w:r>
      <w:r w:rsidR="009521D7">
        <w:t xml:space="preserve">Employer </w:t>
      </w:r>
      <w:r w:rsidRPr="005425B5">
        <w:t>registrations within a configurable time period</w:t>
      </w:r>
    </w:p>
    <w:p w14:paraId="0B8A9822" w14:textId="77777777" w:rsidR="00B0723C" w:rsidRDefault="00B0723C">
      <w:pPr>
        <w:pStyle w:val="OB1"/>
      </w:pPr>
      <w:r>
        <w:t>View registration status</w:t>
      </w:r>
    </w:p>
    <w:p w14:paraId="5EFB179B" w14:textId="79CB8AA9" w:rsidR="00B0723C" w:rsidRDefault="00B0723C">
      <w:pPr>
        <w:pStyle w:val="OB1"/>
      </w:pPr>
      <w:r>
        <w:t>Send required forms to Employers</w:t>
      </w:r>
      <w:r w:rsidR="00C0476D">
        <w:t xml:space="preserve"> (approved hardship only)</w:t>
      </w:r>
    </w:p>
    <w:p w14:paraId="61C58B8B" w14:textId="169DED6D" w:rsidR="00B0723C" w:rsidRDefault="00B0723C">
      <w:pPr>
        <w:pStyle w:val="LB1"/>
      </w:pPr>
      <w:r>
        <w:t xml:space="preserve">System must capture </w:t>
      </w:r>
      <w:r w:rsidR="00214F9C">
        <w:t xml:space="preserve">and validate </w:t>
      </w:r>
      <w:r>
        <w:t>registration data including but not limited to:</w:t>
      </w:r>
    </w:p>
    <w:p w14:paraId="72874576" w14:textId="550EAEF1" w:rsidR="00B0723C" w:rsidRPr="00A16083" w:rsidRDefault="00C0476D">
      <w:pPr>
        <w:pStyle w:val="OB1"/>
      </w:pPr>
      <w:r>
        <w:t xml:space="preserve">Domestic and Foreign </w:t>
      </w:r>
      <w:r w:rsidR="00B0723C" w:rsidRPr="00A16083">
        <w:t>Addresses</w:t>
      </w:r>
      <w:r w:rsidR="00B0723C">
        <w:t xml:space="preserve"> (payroll address, unemployment address, chargeback address, </w:t>
      </w:r>
      <w:r w:rsidR="000678C1">
        <w:t xml:space="preserve">special address such as refund warrant delivery, </w:t>
      </w:r>
      <w:r w:rsidR="00B0723C">
        <w:t>etc.)</w:t>
      </w:r>
      <w:r w:rsidR="00B0723C" w:rsidRPr="00A16083">
        <w:t xml:space="preserve">, </w:t>
      </w:r>
      <w:r>
        <w:t xml:space="preserve">country code, </w:t>
      </w:r>
      <w:r w:rsidR="00B0723C">
        <w:t xml:space="preserve">county, county FIPS code, </w:t>
      </w:r>
      <w:r w:rsidR="00B0723C" w:rsidRPr="00A16083">
        <w:t>phone number</w:t>
      </w:r>
      <w:r w:rsidR="005510FF">
        <w:t>s (UI, claims, and tax purposes)</w:t>
      </w:r>
      <w:r w:rsidR="00B0723C" w:rsidRPr="00A16083">
        <w:t xml:space="preserve">, </w:t>
      </w:r>
      <w:r w:rsidR="00B0723C">
        <w:t xml:space="preserve">Officer or </w:t>
      </w:r>
      <w:r>
        <w:t xml:space="preserve">Ownership information (i.e. entity/ownership type, partner/general partner name(s), officers and titles), trade name(s)/DBA(s), </w:t>
      </w:r>
      <w:r w:rsidRPr="00A16083">
        <w:t>points of contact, email address</w:t>
      </w:r>
      <w:r>
        <w:t xml:space="preserve">es, Charter/Filing </w:t>
      </w:r>
      <w:r w:rsidR="000B14D1">
        <w:t>number, filing agent, filing date &amp; jurisdiction state (domestic=TX, foreign=non-TX)</w:t>
      </w:r>
    </w:p>
    <w:p w14:paraId="4A80A445" w14:textId="77777777" w:rsidR="00B0723C" w:rsidRDefault="00B0723C">
      <w:pPr>
        <w:pStyle w:val="OB1"/>
      </w:pPr>
      <w:r w:rsidRPr="00A16083">
        <w:t>Federal ID</w:t>
      </w:r>
    </w:p>
    <w:p w14:paraId="442AD431" w14:textId="6705D0EE" w:rsidR="00B0723C" w:rsidRDefault="00B0723C">
      <w:pPr>
        <w:pStyle w:val="OB1"/>
      </w:pPr>
      <w:r>
        <w:t xml:space="preserve">Account recovery information (phone number, email, </w:t>
      </w:r>
      <w:r w:rsidR="00865F8B" w:rsidRPr="008C2C58">
        <w:rPr>
          <w:rFonts w:cs="Arial"/>
          <w:snapToGrid w:val="0"/>
          <w:color w:val="000000"/>
          <w:szCs w:val="24"/>
        </w:rPr>
        <w:t>Federal Employer Identification Number</w:t>
      </w:r>
      <w:r w:rsidR="00865F8B">
        <w:t xml:space="preserve"> (</w:t>
      </w:r>
      <w:r w:rsidR="00BC7D9A">
        <w:t>FEIN</w:t>
      </w:r>
      <w:r w:rsidR="00865F8B">
        <w:t>)</w:t>
      </w:r>
      <w:r w:rsidR="00BC7D9A">
        <w:t xml:space="preserve">, </w:t>
      </w:r>
      <w:r w:rsidR="00930F59">
        <w:t>Employer</w:t>
      </w:r>
      <w:r w:rsidR="00BC7D9A">
        <w:t xml:space="preserve"> ID, </w:t>
      </w:r>
      <w:r>
        <w:t>other)</w:t>
      </w:r>
    </w:p>
    <w:p w14:paraId="3A1B2F92" w14:textId="1D8F40F7" w:rsidR="00B0723C" w:rsidRDefault="00B0723C">
      <w:pPr>
        <w:pStyle w:val="OB1"/>
      </w:pPr>
      <w:r>
        <w:t>Acquisition/Predecessor</w:t>
      </w:r>
      <w:r w:rsidR="00C0762E">
        <w:t>/Successor</w:t>
      </w:r>
      <w:r>
        <w:t xml:space="preserve"> information if applicable</w:t>
      </w:r>
    </w:p>
    <w:p w14:paraId="3FFCD0BA" w14:textId="6C70663D" w:rsidR="00B0723C" w:rsidRDefault="00B0723C">
      <w:pPr>
        <w:pStyle w:val="OB1"/>
      </w:pPr>
      <w:r>
        <w:t>Seasonal designation</w:t>
      </w:r>
    </w:p>
    <w:p w14:paraId="2F0F1D16" w14:textId="7B0045AF" w:rsidR="00B23FC0" w:rsidRDefault="00B23FC0">
      <w:pPr>
        <w:pStyle w:val="OB1"/>
      </w:pPr>
      <w:r>
        <w:t>Licenses</w:t>
      </w:r>
    </w:p>
    <w:p w14:paraId="547E4515" w14:textId="7F23A491" w:rsidR="00B23FC0" w:rsidRDefault="00B23FC0" w:rsidP="00B23FC0">
      <w:pPr>
        <w:pStyle w:val="SB1"/>
      </w:pPr>
      <w:r>
        <w:t>Texas Department of Licensing and Regulation for licensed staff leasing companies</w:t>
      </w:r>
      <w:r w:rsidR="000506BB">
        <w:t xml:space="preserve"> (</w:t>
      </w:r>
      <w:r w:rsidR="000506BB">
        <w:rPr>
          <w:snapToGrid w:val="0"/>
          <w:color w:val="000000"/>
          <w:szCs w:val="24"/>
        </w:rPr>
        <w:t>Professional Employer Organization</w:t>
      </w:r>
      <w:r w:rsidR="00F05D5C">
        <w:rPr>
          <w:snapToGrid w:val="0"/>
          <w:color w:val="000000"/>
          <w:szCs w:val="24"/>
        </w:rPr>
        <w:t>s</w:t>
      </w:r>
      <w:r w:rsidR="000506BB">
        <w:t xml:space="preserve"> (PEOs))</w:t>
      </w:r>
    </w:p>
    <w:p w14:paraId="60E03D7E" w14:textId="77777777" w:rsidR="00B0723C" w:rsidRDefault="00B0723C" w:rsidP="00E16D2D">
      <w:pPr>
        <w:pStyle w:val="LB1"/>
      </w:pPr>
      <w:r>
        <w:t>System must validate new accounts</w:t>
      </w:r>
    </w:p>
    <w:p w14:paraId="067D9A6A" w14:textId="2A8C0B0C" w:rsidR="00E552A2" w:rsidRDefault="00E552A2" w:rsidP="00E16D2D">
      <w:pPr>
        <w:pStyle w:val="OB1"/>
      </w:pPr>
      <w:r w:rsidRPr="00CE4250">
        <w:lastRenderedPageBreak/>
        <w:t>The Offeror must describe their system’s process for v</w:t>
      </w:r>
      <w:r>
        <w:t>alida</w:t>
      </w:r>
      <w:r w:rsidRPr="00CE4250">
        <w:t xml:space="preserve">ting new </w:t>
      </w:r>
      <w:r>
        <w:t>Employer accounts</w:t>
      </w:r>
    </w:p>
    <w:p w14:paraId="42D2ED1E" w14:textId="78B484E2" w:rsidR="00E552A2" w:rsidRDefault="00E552A2" w:rsidP="00E16D2D">
      <w:pPr>
        <w:pStyle w:val="OB1"/>
      </w:pPr>
      <w:r w:rsidRPr="00CE4250">
        <w:t xml:space="preserve">The </w:t>
      </w:r>
      <w:r w:rsidRPr="005F7FBB">
        <w:t>Offeror</w:t>
      </w:r>
      <w:r w:rsidRPr="00CE4250">
        <w:t xml:space="preserve"> must describe how their v</w:t>
      </w:r>
      <w:r>
        <w:t>alida</w:t>
      </w:r>
      <w:r w:rsidRPr="00CE4250">
        <w:t xml:space="preserve">ting process eliminates scammers creating fake or fraudulent </w:t>
      </w:r>
      <w:r>
        <w:t xml:space="preserve">Employer </w:t>
      </w:r>
      <w:r w:rsidRPr="00CE4250">
        <w:t>accounts</w:t>
      </w:r>
    </w:p>
    <w:p w14:paraId="3057C437" w14:textId="77777777" w:rsidR="00E552A2" w:rsidRDefault="00E552A2" w:rsidP="00116640">
      <w:pPr>
        <w:pStyle w:val="OB1"/>
      </w:pPr>
      <w:r>
        <w:t>System will flag exceptions for manual review and Staff corrections</w:t>
      </w:r>
    </w:p>
    <w:p w14:paraId="50BBF0B3" w14:textId="77777777" w:rsidR="00B0723C" w:rsidRDefault="00B0723C" w:rsidP="00F82166">
      <w:pPr>
        <w:pStyle w:val="LB1"/>
      </w:pPr>
      <w:r>
        <w:t xml:space="preserve">System must (re)determine type of liability </w:t>
      </w:r>
    </w:p>
    <w:p w14:paraId="550DE269" w14:textId="4ED92544" w:rsidR="00B0723C" w:rsidRDefault="00B0723C" w:rsidP="00F82166">
      <w:pPr>
        <w:pStyle w:val="OB1"/>
      </w:pPr>
      <w:r>
        <w:t>Currently Texas has Liable (Regular, Domestic, and Agricultural), Not Liable, Pending, Error (may not be needed in future, these are often caused by duplicate accounts</w:t>
      </w:r>
      <w:r w:rsidR="000B14D1">
        <w:t>, liability not yet reached or first wages not yet paid</w:t>
      </w:r>
      <w:r>
        <w:t>)</w:t>
      </w:r>
    </w:p>
    <w:p w14:paraId="10B3B8C1" w14:textId="77777777" w:rsidR="00B0723C" w:rsidRDefault="00B0723C">
      <w:pPr>
        <w:pStyle w:val="OB1"/>
      </w:pPr>
      <w:r>
        <w:t>Allow for multiple types of liability</w:t>
      </w:r>
    </w:p>
    <w:p w14:paraId="59C37916" w14:textId="201FD756" w:rsidR="00B0723C" w:rsidRDefault="00B0723C">
      <w:pPr>
        <w:pStyle w:val="OB1"/>
      </w:pPr>
      <w:r>
        <w:t>Handle</w:t>
      </w:r>
      <w:r w:rsidRPr="00B33E85">
        <w:t xml:space="preserve"> </w:t>
      </w:r>
      <w:r w:rsidR="009521D7">
        <w:t xml:space="preserve">Employers </w:t>
      </w:r>
      <w:r w:rsidRPr="00B33E85">
        <w:t>who are contributing or reimbursing, as well as how they</w:t>
      </w:r>
      <w:r>
        <w:t xml:space="preserve"> handle changes between the two </w:t>
      </w:r>
    </w:p>
    <w:p w14:paraId="3B092AF1" w14:textId="77777777" w:rsidR="00B0723C" w:rsidRDefault="00B0723C">
      <w:pPr>
        <w:pStyle w:val="LB1"/>
      </w:pPr>
      <w:r>
        <w:t>System must track account status</w:t>
      </w:r>
    </w:p>
    <w:p w14:paraId="69C1333E" w14:textId="77777777" w:rsidR="00B0723C" w:rsidRDefault="00B0723C">
      <w:pPr>
        <w:pStyle w:val="OB1"/>
      </w:pPr>
      <w:r>
        <w:t>Currently Texas has Active, Active2, Inactive, Terminated, Archived</w:t>
      </w:r>
    </w:p>
    <w:p w14:paraId="33D7CD9B" w14:textId="77777777" w:rsidR="00B0723C" w:rsidRDefault="00B0723C">
      <w:pPr>
        <w:pStyle w:val="LB1"/>
      </w:pPr>
      <w:r w:rsidRPr="00E47DC7">
        <w:t>System must be able to identify all accounts that were established that have not met liability and update the liability accordingly</w:t>
      </w:r>
    </w:p>
    <w:p w14:paraId="78F7855A" w14:textId="5789736D" w:rsidR="00B0723C" w:rsidRDefault="00B0723C">
      <w:pPr>
        <w:pStyle w:val="LB1"/>
      </w:pPr>
      <w:r w:rsidRPr="00CA7FA4">
        <w:t xml:space="preserve">System must be able to calculate timeliness for both new business and </w:t>
      </w:r>
      <w:r w:rsidR="001F4E9B">
        <w:t xml:space="preserve">successors according to the ETA </w:t>
      </w:r>
      <w:r w:rsidRPr="00CA7FA4">
        <w:t>581 business rules</w:t>
      </w:r>
    </w:p>
    <w:p w14:paraId="4AC3C9ED" w14:textId="77777777" w:rsidR="00B0723C" w:rsidRDefault="00B0723C">
      <w:pPr>
        <w:pStyle w:val="LB1"/>
      </w:pPr>
      <w:bookmarkStart w:id="318" w:name="_Hlk510451264"/>
      <w:r>
        <w:t>System must offer multiple correspondence methods selectable by Employers including</w:t>
      </w:r>
    </w:p>
    <w:p w14:paraId="5426693B" w14:textId="1E8E07A1" w:rsidR="00B0723C" w:rsidRDefault="00BC7D9A">
      <w:pPr>
        <w:pStyle w:val="OB1"/>
      </w:pPr>
      <w:r>
        <w:t>Electronic (default with opt out for other options</w:t>
      </w:r>
      <w:r w:rsidR="000B14D1">
        <w:t>, override for approved hardship</w:t>
      </w:r>
      <w:r>
        <w:t>)</w:t>
      </w:r>
    </w:p>
    <w:p w14:paraId="609FD7FF" w14:textId="77777777" w:rsidR="00B0723C" w:rsidRDefault="00B0723C">
      <w:pPr>
        <w:pStyle w:val="OB1"/>
      </w:pPr>
      <w:r>
        <w:t>Mail (</w:t>
      </w:r>
      <w:bookmarkStart w:id="319" w:name="_Hlk510451423"/>
      <w:r>
        <w:t>allow Employer to designate an address for each program</w:t>
      </w:r>
      <w:bookmarkEnd w:id="319"/>
      <w:r>
        <w:t>)</w:t>
      </w:r>
    </w:p>
    <w:p w14:paraId="6F2E2A20" w14:textId="77777777" w:rsidR="00B0723C" w:rsidRDefault="00B0723C">
      <w:pPr>
        <w:pStyle w:val="OB1"/>
      </w:pPr>
      <w:r>
        <w:t>SIDES</w:t>
      </w:r>
    </w:p>
    <w:p w14:paraId="5912FB52" w14:textId="77777777" w:rsidR="00B0723C" w:rsidRDefault="00B0723C">
      <w:pPr>
        <w:pStyle w:val="OB1"/>
      </w:pPr>
      <w:r>
        <w:t>TPAs</w:t>
      </w:r>
      <w:bookmarkEnd w:id="318"/>
    </w:p>
    <w:p w14:paraId="48404FA1" w14:textId="77777777" w:rsidR="00B0723C" w:rsidRDefault="00B0723C">
      <w:pPr>
        <w:pStyle w:val="LB1"/>
      </w:pPr>
      <w:r>
        <w:t>Send confirmations to Employers</w:t>
      </w:r>
    </w:p>
    <w:p w14:paraId="663BC155" w14:textId="68F34403" w:rsidR="00B0723C" w:rsidRDefault="00B0723C">
      <w:pPr>
        <w:pStyle w:val="OB1"/>
      </w:pPr>
      <w:r>
        <w:t>Electronic</w:t>
      </w:r>
      <w:r w:rsidR="000B14D1">
        <w:t xml:space="preserve"> (default with opt out for other options, override for approved hardship)</w:t>
      </w:r>
    </w:p>
    <w:p w14:paraId="1D74BEA9" w14:textId="77777777" w:rsidR="00B0723C" w:rsidRDefault="00B0723C">
      <w:pPr>
        <w:pStyle w:val="OB1"/>
      </w:pPr>
      <w:r>
        <w:t>Mail</w:t>
      </w:r>
    </w:p>
    <w:p w14:paraId="22C318A3" w14:textId="77777777" w:rsidR="00B0723C" w:rsidRDefault="00B0723C">
      <w:pPr>
        <w:pStyle w:val="LB1"/>
      </w:pPr>
      <w:r>
        <w:t>System must keep Employer accounts active for two quarters after final wages date</w:t>
      </w:r>
    </w:p>
    <w:p w14:paraId="3194E461" w14:textId="77777777" w:rsidR="00B0723C" w:rsidRDefault="00B0723C">
      <w:pPr>
        <w:pStyle w:val="OB1"/>
      </w:pPr>
      <w:r>
        <w:t>For DOL ETA 581 reporting only</w:t>
      </w:r>
    </w:p>
    <w:p w14:paraId="380A3BCC" w14:textId="77777777" w:rsidR="00B0723C" w:rsidRDefault="00B0723C">
      <w:pPr>
        <w:pStyle w:val="OB1"/>
      </w:pPr>
      <w:r>
        <w:t>Employers do not have to file quarterly reports</w:t>
      </w:r>
    </w:p>
    <w:p w14:paraId="7BA4E3C9" w14:textId="77777777" w:rsidR="00B0723C" w:rsidRDefault="00B0723C">
      <w:pPr>
        <w:pStyle w:val="OB1"/>
      </w:pPr>
      <w:r>
        <w:t>System will not show Employer accounts as Active, create a special status</w:t>
      </w:r>
    </w:p>
    <w:p w14:paraId="7FC39EAF" w14:textId="77777777" w:rsidR="00B0723C" w:rsidRDefault="00B0723C" w:rsidP="003A23F0">
      <w:pPr>
        <w:pStyle w:val="SB1"/>
      </w:pPr>
      <w:r>
        <w:t>Currently Texas has a status of “Active2”</w:t>
      </w:r>
    </w:p>
    <w:p w14:paraId="0EABABC5" w14:textId="77777777" w:rsidR="00B0723C" w:rsidRDefault="00B0723C" w:rsidP="00E16D2D">
      <w:pPr>
        <w:pStyle w:val="LB1"/>
      </w:pPr>
      <w:r>
        <w:t>System must automatically inactivate accounts based on business rules</w:t>
      </w:r>
    </w:p>
    <w:p w14:paraId="6AE95258" w14:textId="5BE4AFC0" w:rsidR="00B0723C" w:rsidRDefault="00B0723C" w:rsidP="00E16D2D">
      <w:pPr>
        <w:pStyle w:val="LB1"/>
      </w:pPr>
      <w:r w:rsidRPr="000D64C6">
        <w:t>System must provide a list of available resources as determined by Staff that</w:t>
      </w:r>
      <w:r>
        <w:t xml:space="preserve"> the </w:t>
      </w:r>
      <w:r w:rsidR="009521D7">
        <w:t xml:space="preserve">Employer </w:t>
      </w:r>
      <w:r>
        <w:t>might find useful, editable by Staff</w:t>
      </w:r>
    </w:p>
    <w:p w14:paraId="1408F980" w14:textId="77777777" w:rsidR="00B0723C" w:rsidRDefault="00B0723C" w:rsidP="00116640">
      <w:pPr>
        <w:pStyle w:val="OB1"/>
      </w:pPr>
      <w:r>
        <w:t>New hire</w:t>
      </w:r>
    </w:p>
    <w:p w14:paraId="37585CF9" w14:textId="77777777" w:rsidR="00B0723C" w:rsidRDefault="00B0723C" w:rsidP="00F82166">
      <w:pPr>
        <w:pStyle w:val="OB1"/>
      </w:pPr>
      <w:r>
        <w:t>Employment posters</w:t>
      </w:r>
    </w:p>
    <w:p w14:paraId="53F37C25" w14:textId="77777777" w:rsidR="00B0723C" w:rsidRDefault="00B0723C" w:rsidP="00F82166">
      <w:pPr>
        <w:pStyle w:val="OB1"/>
      </w:pPr>
      <w:r>
        <w:t>Texas Business Conference</w:t>
      </w:r>
    </w:p>
    <w:p w14:paraId="3EEE806B" w14:textId="660965BD" w:rsidR="00B0723C" w:rsidRDefault="00B0723C" w:rsidP="00F82166">
      <w:pPr>
        <w:pStyle w:val="LB1"/>
      </w:pPr>
      <w:r>
        <w:lastRenderedPageBreak/>
        <w:t>System must display dashboards for Staff, customizable by Staff</w:t>
      </w:r>
    </w:p>
    <w:p w14:paraId="5EC14EB4" w14:textId="77777777" w:rsidR="00B0723C" w:rsidRDefault="00B0723C" w:rsidP="00B0723C"/>
    <w:p w14:paraId="38F53452" w14:textId="37D870E4" w:rsidR="00B0723C" w:rsidRDefault="00B0723C" w:rsidP="003A23F0">
      <w:pPr>
        <w:rPr>
          <w:u w:val="single"/>
        </w:rPr>
      </w:pPr>
      <w:r w:rsidRPr="003A23F0">
        <w:rPr>
          <w:u w:val="single"/>
        </w:rPr>
        <w:t>Alternate Activities and Special Cases</w:t>
      </w:r>
    </w:p>
    <w:p w14:paraId="4068ACB6" w14:textId="77777777" w:rsidR="004F7DCA" w:rsidRDefault="004F7DCA" w:rsidP="004F7DCA">
      <w:r>
        <w:t>System must support the following alternate activities and special cases:</w:t>
      </w:r>
    </w:p>
    <w:p w14:paraId="31E4FAF7" w14:textId="4A8FA8CB" w:rsidR="00B0723C" w:rsidRDefault="003F45A5" w:rsidP="00E16D2D">
      <w:pPr>
        <w:pStyle w:val="LB1"/>
      </w:pPr>
      <w:r>
        <w:t>P</w:t>
      </w:r>
      <w:r w:rsidR="00B0723C">
        <w:t>revent and correct duplicate registrations</w:t>
      </w:r>
    </w:p>
    <w:p w14:paraId="387CB304" w14:textId="6864403B" w:rsidR="00B0723C" w:rsidRDefault="00B0723C" w:rsidP="00E16D2D">
      <w:pPr>
        <w:pStyle w:val="OB1"/>
      </w:pPr>
      <w:r>
        <w:t>Provide notice of a duplicate account to Employer</w:t>
      </w:r>
      <w:r w:rsidR="000B14D1">
        <w:t>/TPA</w:t>
      </w:r>
      <w:r>
        <w:t xml:space="preserve"> and Staff</w:t>
      </w:r>
    </w:p>
    <w:p w14:paraId="22EC7FC4" w14:textId="77777777" w:rsidR="00B0723C" w:rsidRDefault="00B0723C" w:rsidP="003A23F0">
      <w:pPr>
        <w:pStyle w:val="SB1"/>
      </w:pPr>
      <w:r>
        <w:t>Preference is for Employer to self-service and update existing account information</w:t>
      </w:r>
    </w:p>
    <w:p w14:paraId="65EE377A" w14:textId="4ED6C921" w:rsidR="00B0723C" w:rsidRDefault="00F67CDB" w:rsidP="00E16D2D">
      <w:pPr>
        <w:pStyle w:val="OB1"/>
      </w:pPr>
      <w:r>
        <w:t xml:space="preserve">System must allow Staff to </w:t>
      </w:r>
      <w:r w:rsidR="00B0723C">
        <w:t>merge duplicate accounts and record notes on how the duplicate was resolved</w:t>
      </w:r>
    </w:p>
    <w:p w14:paraId="7ED322C7" w14:textId="77777777" w:rsidR="00B0723C" w:rsidRDefault="00B0723C" w:rsidP="00E16D2D">
      <w:pPr>
        <w:pStyle w:val="LB1"/>
      </w:pPr>
      <w:r>
        <w:t>Non-liable accounts</w:t>
      </w:r>
    </w:p>
    <w:p w14:paraId="04EA15DF" w14:textId="7BD9F637" w:rsidR="00B0723C" w:rsidRDefault="00B0723C" w:rsidP="00116640">
      <w:pPr>
        <w:pStyle w:val="OB1"/>
      </w:pPr>
      <w:r>
        <w:t>Employer should be prevented from creating an account if they are non-liable</w:t>
      </w:r>
      <w:r w:rsidR="00A22748">
        <w:t>, except for voluntary election of coverage</w:t>
      </w:r>
    </w:p>
    <w:p w14:paraId="2355BCF1" w14:textId="77777777" w:rsidR="00B0723C" w:rsidRDefault="00B0723C" w:rsidP="00F82166">
      <w:pPr>
        <w:pStyle w:val="OB1"/>
      </w:pPr>
      <w:r>
        <w:t xml:space="preserve">System should inform Employers if their account is non-liable </w:t>
      </w:r>
    </w:p>
    <w:p w14:paraId="2B3E347B" w14:textId="77777777" w:rsidR="00B0723C" w:rsidRDefault="00B0723C" w:rsidP="00F82166">
      <w:pPr>
        <w:pStyle w:val="OB1"/>
      </w:pPr>
      <w:r>
        <w:t>Staff should be able to create or make accounts non-liable</w:t>
      </w:r>
    </w:p>
    <w:p w14:paraId="1FB51727" w14:textId="0F2E198D" w:rsidR="00BC7D9A" w:rsidRDefault="00E2460B">
      <w:pPr>
        <w:pStyle w:val="OB1"/>
      </w:pPr>
      <w:r>
        <w:t>System/Staff</w:t>
      </w:r>
      <w:r w:rsidR="00BC7D9A">
        <w:t xml:space="preserve"> can purge non-liable accounts</w:t>
      </w:r>
    </w:p>
    <w:p w14:paraId="0C701EBD" w14:textId="01460944" w:rsidR="00B0723C" w:rsidRDefault="00BC7D9A">
      <w:pPr>
        <w:pStyle w:val="OB1"/>
      </w:pPr>
      <w:r>
        <w:t>System should prevent users from filing reports or making tax payments to non-liable accounts</w:t>
      </w:r>
    </w:p>
    <w:p w14:paraId="4457FA26" w14:textId="77777777" w:rsidR="00B0723C" w:rsidRDefault="00B0723C">
      <w:pPr>
        <w:pStyle w:val="LB1"/>
      </w:pPr>
      <w:r>
        <w:t>Pending accounts</w:t>
      </w:r>
    </w:p>
    <w:p w14:paraId="7E245433" w14:textId="032149C9" w:rsidR="00B0723C" w:rsidRDefault="00F67CDB">
      <w:pPr>
        <w:pStyle w:val="OB1"/>
      </w:pPr>
      <w:r>
        <w:t xml:space="preserve">System must allow Staff to </w:t>
      </w:r>
      <w:r w:rsidR="003F45A5">
        <w:t>track the investigation</w:t>
      </w:r>
    </w:p>
    <w:p w14:paraId="52BF24E8" w14:textId="24C38AFC" w:rsidR="00B0723C" w:rsidRDefault="00F67CDB">
      <w:pPr>
        <w:pStyle w:val="OB1"/>
      </w:pPr>
      <w:r>
        <w:t xml:space="preserve">System must allow Staff to </w:t>
      </w:r>
      <w:r w:rsidR="00B0723C">
        <w:t xml:space="preserve">update account </w:t>
      </w:r>
      <w:r w:rsidR="003F45A5">
        <w:t>based on investigation findings</w:t>
      </w:r>
    </w:p>
    <w:p w14:paraId="09F7C634" w14:textId="3FE65556" w:rsidR="00B0723C" w:rsidRDefault="00B0723C">
      <w:pPr>
        <w:pStyle w:val="OB1"/>
      </w:pPr>
      <w:r>
        <w:t xml:space="preserve">System must notify </w:t>
      </w:r>
      <w:r w:rsidR="009521D7">
        <w:t xml:space="preserve">Employer </w:t>
      </w:r>
      <w:r>
        <w:t xml:space="preserve">of resolution in writing </w:t>
      </w:r>
      <w:r w:rsidR="003F45A5">
        <w:t>after investigation is complete</w:t>
      </w:r>
    </w:p>
    <w:p w14:paraId="017B7E47" w14:textId="449AAE2B" w:rsidR="00B0723C" w:rsidRDefault="00B0723C">
      <w:pPr>
        <w:pStyle w:val="LB1"/>
      </w:pPr>
      <w:r>
        <w:t>Benefits/</w:t>
      </w:r>
      <w:r w:rsidR="001D6CEB">
        <w:t>Tele-center</w:t>
      </w:r>
      <w:r>
        <w:t xml:space="preserve"> cannot locate </w:t>
      </w:r>
      <w:r w:rsidR="009521D7">
        <w:t xml:space="preserve">Employer </w:t>
      </w:r>
      <w:r>
        <w:t>account</w:t>
      </w:r>
    </w:p>
    <w:p w14:paraId="79A824E8" w14:textId="076CFF1D" w:rsidR="00B0723C" w:rsidRDefault="00B0723C">
      <w:pPr>
        <w:pStyle w:val="OB1"/>
      </w:pPr>
      <w:r>
        <w:t xml:space="preserve">Capture </w:t>
      </w:r>
      <w:r w:rsidR="006A1D1D">
        <w:t xml:space="preserve">benefits </w:t>
      </w:r>
      <w:r>
        <w:t>claim details and mark as incomplete</w:t>
      </w:r>
    </w:p>
    <w:p w14:paraId="429CE48C" w14:textId="3690BB30" w:rsidR="00B0723C" w:rsidRDefault="00B0723C">
      <w:pPr>
        <w:pStyle w:val="OB1"/>
      </w:pPr>
      <w:r>
        <w:t xml:space="preserve">Create assignment for </w:t>
      </w:r>
      <w:r w:rsidR="009521D7">
        <w:t>Staff</w:t>
      </w:r>
      <w:r>
        <w:t xml:space="preserve"> to validate</w:t>
      </w:r>
    </w:p>
    <w:p w14:paraId="17F8B570" w14:textId="52341122" w:rsidR="00B0723C" w:rsidRDefault="00B0723C">
      <w:pPr>
        <w:pStyle w:val="OB1"/>
      </w:pPr>
      <w:r>
        <w:t xml:space="preserve">Complete </w:t>
      </w:r>
      <w:r w:rsidR="006A1D1D">
        <w:t xml:space="preserve">benefits </w:t>
      </w:r>
      <w:r>
        <w:t>claim</w:t>
      </w:r>
    </w:p>
    <w:p w14:paraId="53EC79D4" w14:textId="77777777" w:rsidR="00B0723C" w:rsidRDefault="00B0723C" w:rsidP="00B0723C"/>
    <w:p w14:paraId="4ED44047" w14:textId="2DAE5CF2" w:rsidR="00142A37" w:rsidRDefault="00142A37" w:rsidP="00142A37">
      <w:pPr>
        <w:pStyle w:val="Heading4"/>
      </w:pPr>
      <w:r>
        <w:tab/>
        <w:t>Service Employer Accounts</w:t>
      </w:r>
    </w:p>
    <w:p w14:paraId="106BF9D5" w14:textId="1F049ABC" w:rsidR="00142A37" w:rsidRDefault="00142A37" w:rsidP="00142A37">
      <w:pPr>
        <w:rPr>
          <w:u w:val="single"/>
        </w:rPr>
      </w:pPr>
      <w:r>
        <w:t>This process includes all act</w:t>
      </w:r>
      <w:r w:rsidR="002D225D">
        <w:t>ivities required to service an E</w:t>
      </w:r>
      <w:r>
        <w:t>mployer account.</w:t>
      </w:r>
      <w:r w:rsidRPr="003A23F0">
        <w:rPr>
          <w:u w:val="single"/>
        </w:rPr>
        <w:t xml:space="preserve"> </w:t>
      </w:r>
    </w:p>
    <w:p w14:paraId="47585F11" w14:textId="08A6F729" w:rsidR="00142A37" w:rsidRPr="003A23F0" w:rsidRDefault="00142A37" w:rsidP="00142A37">
      <w:pPr>
        <w:rPr>
          <w:u w:val="single"/>
        </w:rPr>
      </w:pPr>
      <w:r w:rsidRPr="003A23F0">
        <w:rPr>
          <w:u w:val="single"/>
        </w:rPr>
        <w:t>Actors</w:t>
      </w:r>
    </w:p>
    <w:p w14:paraId="2443E6FE" w14:textId="77777777" w:rsidR="00142A37" w:rsidRDefault="00142A37" w:rsidP="00E16D2D">
      <w:pPr>
        <w:pStyle w:val="LB1"/>
      </w:pPr>
      <w:r>
        <w:t>Employers</w:t>
      </w:r>
    </w:p>
    <w:p w14:paraId="7832F5CF" w14:textId="77777777" w:rsidR="006F7737" w:rsidRDefault="006F7737" w:rsidP="00E16D2D">
      <w:pPr>
        <w:pStyle w:val="LB1"/>
      </w:pPr>
      <w:r>
        <w:t>Staff</w:t>
      </w:r>
    </w:p>
    <w:p w14:paraId="5C01739E" w14:textId="77777777" w:rsidR="00142A37" w:rsidRDefault="00142A37" w:rsidP="00116640">
      <w:pPr>
        <w:pStyle w:val="LB1"/>
      </w:pPr>
      <w:r>
        <w:t>TPAs</w:t>
      </w:r>
    </w:p>
    <w:p w14:paraId="7ECB7333" w14:textId="77777777" w:rsidR="00142A37" w:rsidRPr="00DF6567" w:rsidRDefault="00142A37" w:rsidP="00142A37"/>
    <w:p w14:paraId="5E0F7000" w14:textId="77777777" w:rsidR="00142A37" w:rsidRPr="003A23F0" w:rsidRDefault="00142A37" w:rsidP="00142A37">
      <w:pPr>
        <w:rPr>
          <w:u w:val="single"/>
        </w:rPr>
      </w:pPr>
      <w:r w:rsidRPr="003A23F0">
        <w:rPr>
          <w:u w:val="single"/>
        </w:rPr>
        <w:t>Main Activities</w:t>
      </w:r>
    </w:p>
    <w:p w14:paraId="3E384726" w14:textId="77777777" w:rsidR="009B5C80" w:rsidRDefault="009B5C80" w:rsidP="00E16D2D">
      <w:pPr>
        <w:pStyle w:val="LB1"/>
      </w:pPr>
      <w:r>
        <w:t>System must allow Employers and TPAs to update their account online (self-service)</w:t>
      </w:r>
    </w:p>
    <w:p w14:paraId="100E5872" w14:textId="41AC8CF8" w:rsidR="009B5C80" w:rsidRDefault="009B5C80" w:rsidP="00E16D2D">
      <w:pPr>
        <w:pStyle w:val="OB1"/>
      </w:pPr>
      <w:r>
        <w:lastRenderedPageBreak/>
        <w:t xml:space="preserve">Multiple </w:t>
      </w:r>
      <w:r w:rsidR="009029CB">
        <w:t>points of contact</w:t>
      </w:r>
      <w:r>
        <w:t xml:space="preserve"> with defined role (e.g., Tax only, Benefits only, etc.)</w:t>
      </w:r>
    </w:p>
    <w:p w14:paraId="1163C683" w14:textId="64ABB948" w:rsidR="009B5C80" w:rsidRDefault="009B5C80" w:rsidP="00E16D2D">
      <w:pPr>
        <w:pStyle w:val="OB1"/>
      </w:pPr>
      <w:r>
        <w:t xml:space="preserve">Authorize, revoke, and identify </w:t>
      </w:r>
      <w:r w:rsidRPr="00AB7EA1">
        <w:t xml:space="preserve">the service functions for which the TPA may act on behalf of that </w:t>
      </w:r>
      <w:r w:rsidR="00930F59">
        <w:t>Employer</w:t>
      </w:r>
    </w:p>
    <w:p w14:paraId="3BC352CD" w14:textId="77777777" w:rsidR="009B5C80" w:rsidRDefault="009B5C80" w:rsidP="00116640">
      <w:pPr>
        <w:pStyle w:val="OB1"/>
      </w:pPr>
      <w:r>
        <w:t>Upload multiple source documents (audit documents, IRS 147c, articles of organization, etc.)</w:t>
      </w:r>
    </w:p>
    <w:p w14:paraId="4F4C59B0" w14:textId="77777777" w:rsidR="009B5C80" w:rsidRDefault="009B5C80" w:rsidP="00F82166">
      <w:pPr>
        <w:pStyle w:val="OB1"/>
      </w:pPr>
      <w:r>
        <w:t>Retrieve and view all accounts (active, archived, etc.)</w:t>
      </w:r>
    </w:p>
    <w:p w14:paraId="3F199F43" w14:textId="77777777" w:rsidR="009B5C80" w:rsidRDefault="009B5C80" w:rsidP="00F82166">
      <w:pPr>
        <w:pStyle w:val="OB1"/>
      </w:pPr>
      <w:r>
        <w:t>Data to capture</w:t>
      </w:r>
    </w:p>
    <w:p w14:paraId="54FF9D83" w14:textId="77777777" w:rsidR="009B5C80" w:rsidRDefault="009B5C80" w:rsidP="009B5C80">
      <w:pPr>
        <w:pStyle w:val="SB1"/>
      </w:pPr>
      <w:r>
        <w:t>Entity Name</w:t>
      </w:r>
    </w:p>
    <w:p w14:paraId="6D4A9210" w14:textId="77777777" w:rsidR="009B5C80" w:rsidRDefault="009B5C80" w:rsidP="009B5C80">
      <w:pPr>
        <w:pStyle w:val="SB1"/>
      </w:pPr>
      <w:r w:rsidRPr="00A16083">
        <w:t>Addresses</w:t>
      </w:r>
      <w:r>
        <w:t xml:space="preserve"> (Tax address, chargeback address, designated claims address, physical address, other)</w:t>
      </w:r>
      <w:r w:rsidRPr="00A16083">
        <w:t xml:space="preserve"> </w:t>
      </w:r>
    </w:p>
    <w:p w14:paraId="60D26A18" w14:textId="77777777" w:rsidR="009B5C80" w:rsidRPr="00A16083" w:rsidRDefault="009B5C80" w:rsidP="009B5C80">
      <w:pPr>
        <w:pStyle w:val="SB1"/>
      </w:pPr>
      <w:r>
        <w:t>P</w:t>
      </w:r>
      <w:r w:rsidRPr="00A16083">
        <w:t>hone number, points of contact, email address</w:t>
      </w:r>
    </w:p>
    <w:p w14:paraId="033D0559" w14:textId="77777777" w:rsidR="009B5C80" w:rsidRDefault="009B5C80" w:rsidP="009B5C80">
      <w:pPr>
        <w:pStyle w:val="SB1"/>
      </w:pPr>
      <w:r w:rsidRPr="00A16083">
        <w:t>Federal ID</w:t>
      </w:r>
    </w:p>
    <w:p w14:paraId="5702C6A7" w14:textId="77777777" w:rsidR="009B5C80" w:rsidRDefault="009B5C80" w:rsidP="009B5C80">
      <w:pPr>
        <w:pStyle w:val="SB1"/>
      </w:pPr>
      <w:r>
        <w:t>Wage information</w:t>
      </w:r>
    </w:p>
    <w:p w14:paraId="208BCBAA" w14:textId="77777777" w:rsidR="009B5C80" w:rsidRDefault="009B5C80" w:rsidP="009B5C80">
      <w:pPr>
        <w:pStyle w:val="SB1"/>
      </w:pPr>
      <w:r>
        <w:t>Acquisitions (for the purpose of using wages reported by another entity)</w:t>
      </w:r>
    </w:p>
    <w:p w14:paraId="2E10FED1" w14:textId="641DB6D7" w:rsidR="009B5C80" w:rsidRDefault="009B5C80" w:rsidP="00E16D2D">
      <w:pPr>
        <w:pStyle w:val="OB1"/>
      </w:pPr>
      <w:r>
        <w:t xml:space="preserve">Allow </w:t>
      </w:r>
      <w:r w:rsidR="006A1D1D">
        <w:t>posting of</w:t>
      </w:r>
      <w:r>
        <w:t xml:space="preserve"> supplemental wage reports </w:t>
      </w:r>
      <w:r w:rsidR="006A1D1D">
        <w:t>and provide</w:t>
      </w:r>
      <w:r w:rsidR="006A1D1D" w:rsidRPr="006A1D1D">
        <w:t xml:space="preserve"> </w:t>
      </w:r>
      <w:r w:rsidR="006A1D1D">
        <w:t>warning prior to posting that an original report has already posted and suggest adjustment in lieu of supplemental</w:t>
      </w:r>
    </w:p>
    <w:p w14:paraId="5D0C6B65" w14:textId="77777777" w:rsidR="009B5C80" w:rsidRDefault="009B5C80" w:rsidP="00E16D2D">
      <w:pPr>
        <w:pStyle w:val="OB1"/>
      </w:pPr>
      <w:r>
        <w:t>Adjust wage report data</w:t>
      </w:r>
    </w:p>
    <w:p w14:paraId="7E75179B" w14:textId="3E90002A" w:rsidR="000B14D1" w:rsidRDefault="009B5C80" w:rsidP="00116640">
      <w:pPr>
        <w:pStyle w:val="OB1"/>
      </w:pPr>
      <w:r>
        <w:t>Reallocation of payments</w:t>
      </w:r>
      <w:r w:rsidR="000B14D1" w:rsidRPr="000B14D1">
        <w:t xml:space="preserve"> </w:t>
      </w:r>
    </w:p>
    <w:p w14:paraId="6618D915" w14:textId="03453FDD" w:rsidR="003139B2" w:rsidRDefault="000B14D1" w:rsidP="00F82166">
      <w:pPr>
        <w:pStyle w:val="OB1"/>
      </w:pPr>
      <w:r>
        <w:t>Submit inquiries and provide feedback</w:t>
      </w:r>
    </w:p>
    <w:p w14:paraId="5F2AA1DB" w14:textId="3AF7C3E4" w:rsidR="003139B2" w:rsidRDefault="003139B2" w:rsidP="00F82166">
      <w:pPr>
        <w:pStyle w:val="OB1"/>
      </w:pPr>
      <w:r>
        <w:t>Send confirmations to Employers</w:t>
      </w:r>
    </w:p>
    <w:p w14:paraId="2C726B0F" w14:textId="7AC4308A" w:rsidR="009B5C80" w:rsidRDefault="009B5C80">
      <w:pPr>
        <w:pStyle w:val="LB1"/>
      </w:pPr>
      <w:r w:rsidRPr="00D4193A">
        <w:t>System must capture and geolocate (including but not limited to country, region, city, latitude, longitude, zip code, time zone, ISP, domain, net speed, area code, weather, mobile, elevation, port), Internet Protocol (IP) addresses in all versions (including but not limited to IPv4 and IPv6) associ</w:t>
      </w:r>
      <w:r>
        <w:t>ated with self-service to assist S</w:t>
      </w:r>
      <w:r w:rsidRPr="00D4193A">
        <w:t>taff in detecting fraudulent schemes</w:t>
      </w:r>
    </w:p>
    <w:p w14:paraId="3C81F332" w14:textId="7FE88E51" w:rsidR="009B5C80" w:rsidRDefault="009B5C80">
      <w:pPr>
        <w:pStyle w:val="LB1"/>
      </w:pPr>
      <w:r>
        <w:t xml:space="preserve">System must allow Staff to update </w:t>
      </w:r>
      <w:r w:rsidR="009521D7">
        <w:t xml:space="preserve">Employer </w:t>
      </w:r>
      <w:r>
        <w:t>accounts (phone, mail, fax)</w:t>
      </w:r>
    </w:p>
    <w:p w14:paraId="605B8959" w14:textId="15A2196C" w:rsidR="009B5C80" w:rsidRDefault="009029CB">
      <w:pPr>
        <w:pStyle w:val="OB1"/>
      </w:pPr>
      <w:r>
        <w:t xml:space="preserve">Multiple points of contact </w:t>
      </w:r>
      <w:r w:rsidR="009B5C80">
        <w:t>with defined role (e.g., Tax only, Benefits only, etc.)</w:t>
      </w:r>
    </w:p>
    <w:p w14:paraId="4B699742" w14:textId="77777777" w:rsidR="009B5C80" w:rsidRDefault="009B5C80">
      <w:pPr>
        <w:pStyle w:val="OB1"/>
      </w:pPr>
      <w:r>
        <w:t>Upload multiple source documents (audit documents, IRS 147c, articles of organization, etc.)</w:t>
      </w:r>
    </w:p>
    <w:p w14:paraId="2CDC9406" w14:textId="77777777" w:rsidR="009B5C80" w:rsidRDefault="009B5C80">
      <w:pPr>
        <w:pStyle w:val="OB1"/>
      </w:pPr>
      <w:r>
        <w:t>Retrieve and view all accounts (active, archived, etc.)</w:t>
      </w:r>
    </w:p>
    <w:p w14:paraId="252763E0" w14:textId="77777777" w:rsidR="009B5C80" w:rsidRDefault="009B5C80">
      <w:pPr>
        <w:pStyle w:val="OB1"/>
      </w:pPr>
      <w:r>
        <w:t>Data to capture</w:t>
      </w:r>
    </w:p>
    <w:p w14:paraId="732F5CF7" w14:textId="77777777" w:rsidR="009B5C80" w:rsidRDefault="009B5C80" w:rsidP="009B5C80">
      <w:pPr>
        <w:pStyle w:val="SB1"/>
      </w:pPr>
      <w:r>
        <w:t>Entity name</w:t>
      </w:r>
    </w:p>
    <w:p w14:paraId="7B0E72B4" w14:textId="77777777" w:rsidR="009B5C80" w:rsidRDefault="009B5C80" w:rsidP="009B5C80">
      <w:pPr>
        <w:pStyle w:val="SB1"/>
      </w:pPr>
      <w:r w:rsidRPr="00A16083">
        <w:t>Addresses</w:t>
      </w:r>
      <w:r>
        <w:t xml:space="preserve"> (Tax address, chargeback address, designated claims address, other)</w:t>
      </w:r>
      <w:r w:rsidRPr="00A16083">
        <w:t xml:space="preserve"> </w:t>
      </w:r>
    </w:p>
    <w:p w14:paraId="745350B5" w14:textId="77777777" w:rsidR="009B5C80" w:rsidRPr="00A16083" w:rsidRDefault="009B5C80" w:rsidP="009B5C80">
      <w:pPr>
        <w:pStyle w:val="SB1"/>
      </w:pPr>
      <w:r>
        <w:t>P</w:t>
      </w:r>
      <w:r w:rsidRPr="00A16083">
        <w:t>hone number, points of contact, email address</w:t>
      </w:r>
    </w:p>
    <w:p w14:paraId="3B4C308E" w14:textId="77777777" w:rsidR="009B5C80" w:rsidRDefault="009B5C80" w:rsidP="009B5C80">
      <w:pPr>
        <w:pStyle w:val="SB1"/>
      </w:pPr>
      <w:r w:rsidRPr="00A16083">
        <w:t>Federal ID</w:t>
      </w:r>
    </w:p>
    <w:p w14:paraId="74EF9AB7" w14:textId="77777777" w:rsidR="009B5C80" w:rsidRDefault="009B5C80" w:rsidP="009B5C80">
      <w:pPr>
        <w:pStyle w:val="SB1"/>
      </w:pPr>
      <w:r>
        <w:t>Wage information</w:t>
      </w:r>
    </w:p>
    <w:p w14:paraId="270F443C" w14:textId="77777777" w:rsidR="009B5C80" w:rsidRDefault="009B5C80" w:rsidP="009B5C80">
      <w:pPr>
        <w:pStyle w:val="SB1"/>
      </w:pPr>
      <w:r>
        <w:t>Acquisitions (for the purpose of using wages reported by another entity)</w:t>
      </w:r>
    </w:p>
    <w:p w14:paraId="0FB97F0D" w14:textId="4598E973" w:rsidR="009B5C80" w:rsidRDefault="006A1D1D" w:rsidP="00E16D2D">
      <w:pPr>
        <w:pStyle w:val="OB1"/>
      </w:pPr>
      <w:r>
        <w:lastRenderedPageBreak/>
        <w:t>Allow posting of supplemental wage reports and provide</w:t>
      </w:r>
      <w:r w:rsidRPr="006A1D1D">
        <w:t xml:space="preserve"> </w:t>
      </w:r>
      <w:r>
        <w:t>warning prior to posting that an original report has already posted and suggest adjustment in lieu of supplemental</w:t>
      </w:r>
      <w:r w:rsidR="009B5C80">
        <w:t xml:space="preserve"> </w:t>
      </w:r>
    </w:p>
    <w:p w14:paraId="5A4BD39D" w14:textId="77777777" w:rsidR="009B5C80" w:rsidRDefault="009B5C80" w:rsidP="00E16D2D">
      <w:pPr>
        <w:pStyle w:val="OB1"/>
      </w:pPr>
      <w:r>
        <w:t>Adjust wage report data</w:t>
      </w:r>
    </w:p>
    <w:p w14:paraId="2A020939" w14:textId="3333BB6A" w:rsidR="009B5C80" w:rsidRDefault="006A1D1D" w:rsidP="00116640">
      <w:pPr>
        <w:pStyle w:val="OB1"/>
      </w:pPr>
      <w:r>
        <w:t>Add, a</w:t>
      </w:r>
      <w:r w:rsidR="009B5C80">
        <w:t>bate</w:t>
      </w:r>
      <w:r>
        <w:t>,</w:t>
      </w:r>
      <w:r w:rsidR="009B5C80">
        <w:t xml:space="preserve"> and adjust penalties, interest, and fees</w:t>
      </w:r>
    </w:p>
    <w:p w14:paraId="2B28ABB8" w14:textId="77777777" w:rsidR="009B5C80" w:rsidRDefault="009B5C80" w:rsidP="00F82166">
      <w:pPr>
        <w:pStyle w:val="OB1"/>
      </w:pPr>
      <w:r>
        <w:t>Reallocate money</w:t>
      </w:r>
    </w:p>
    <w:p w14:paraId="52508DC8" w14:textId="77777777" w:rsidR="009B5C80" w:rsidRDefault="009B5C80" w:rsidP="00F82166">
      <w:pPr>
        <w:pStyle w:val="OB1"/>
      </w:pPr>
      <w:r>
        <w:t>Transfer reports, wage records, and money</w:t>
      </w:r>
    </w:p>
    <w:p w14:paraId="775C069F" w14:textId="5F93FDFF" w:rsidR="009B5C80" w:rsidRDefault="00C40E18">
      <w:pPr>
        <w:pStyle w:val="OB1"/>
      </w:pPr>
      <w:r>
        <w:t>Taxable w</w:t>
      </w:r>
      <w:r w:rsidR="009B5C80">
        <w:t>age balancing</w:t>
      </w:r>
    </w:p>
    <w:p w14:paraId="20770138" w14:textId="2127FF55" w:rsidR="009B5C80" w:rsidRDefault="009B5C80">
      <w:pPr>
        <w:pStyle w:val="OB1"/>
      </w:pPr>
      <w:r>
        <w:t>Process refunds including statute of limitation rules</w:t>
      </w:r>
      <w:r w:rsidR="003F7DD5">
        <w:t xml:space="preserve"> with management and legal override</w:t>
      </w:r>
    </w:p>
    <w:p w14:paraId="167B33BA" w14:textId="5B163F9C" w:rsidR="00275049" w:rsidRDefault="00275049">
      <w:pPr>
        <w:pStyle w:val="OB1"/>
      </w:pPr>
      <w:r>
        <w:t>Process refunds automatically for established-in-error accounts</w:t>
      </w:r>
    </w:p>
    <w:p w14:paraId="7C2AB6FD" w14:textId="77777777" w:rsidR="00255BBE" w:rsidRDefault="00255BBE">
      <w:pPr>
        <w:pStyle w:val="OB1"/>
      </w:pPr>
      <w:r>
        <w:t>Process requests for IRS 940C FUTA certifications (i.e. system-generated or special, manual abstracts)</w:t>
      </w:r>
    </w:p>
    <w:p w14:paraId="6258339C" w14:textId="77777777" w:rsidR="00C40E18" w:rsidRDefault="00C40E18">
      <w:pPr>
        <w:pStyle w:val="OB1"/>
      </w:pPr>
      <w:r>
        <w:t>Receive, verify, and process IRS 940B requests for 940C FUTA certifications</w:t>
      </w:r>
    </w:p>
    <w:p w14:paraId="0DBAF862" w14:textId="369A8E77" w:rsidR="00255BBE" w:rsidRDefault="00255BBE">
      <w:pPr>
        <w:pStyle w:val="OB1"/>
      </w:pPr>
      <w:r>
        <w:t>Make inquiries to Employers/TPAs and record account comments, with access to or creation of macro scripts</w:t>
      </w:r>
    </w:p>
    <w:p w14:paraId="2B442FC6" w14:textId="77777777" w:rsidR="009B5C80" w:rsidRDefault="009B5C80">
      <w:pPr>
        <w:pStyle w:val="OB1"/>
      </w:pPr>
      <w:r>
        <w:t>Texas specific requirements such as:</w:t>
      </w:r>
    </w:p>
    <w:p w14:paraId="71E98549" w14:textId="77777777" w:rsidR="009B5C80" w:rsidRDefault="009B5C80" w:rsidP="009B5C80">
      <w:pPr>
        <w:pStyle w:val="SB1"/>
      </w:pPr>
      <w:r>
        <w:t>Annual domestic filers</w:t>
      </w:r>
    </w:p>
    <w:p w14:paraId="26AB30DD" w14:textId="17ED1DA4" w:rsidR="009B5C80" w:rsidRDefault="009B5C80" w:rsidP="009B5C80">
      <w:pPr>
        <w:pStyle w:val="SB1"/>
      </w:pPr>
      <w:r>
        <w:t xml:space="preserve">House Bill 2120 – Benefit Wage Credits </w:t>
      </w:r>
      <w:hyperlink r:id="rId71" w:history="1">
        <w:r w:rsidR="00CC01B4" w:rsidRPr="00CC01B4">
          <w:rPr>
            <w:rStyle w:val="Hyperlink"/>
          </w:rPr>
          <w:t>(http://twc.texas.gov/files/twc/815-adopted-rule-092010-twc.pdf</w:t>
        </w:r>
      </w:hyperlink>
      <w:r>
        <w:t>)</w:t>
      </w:r>
    </w:p>
    <w:p w14:paraId="107E6521" w14:textId="77777777" w:rsidR="009B5C80" w:rsidRDefault="009B5C80" w:rsidP="009B5C80">
      <w:pPr>
        <w:pStyle w:val="SB1"/>
      </w:pPr>
      <w:r>
        <w:t>House Bill 2015 – Penalty for Misclassification of Certain Workers (</w:t>
      </w:r>
      <w:hyperlink r:id="rId72" w:history="1">
        <w:r w:rsidRPr="00F92B1B">
          <w:rPr>
            <w:rStyle w:val="Hyperlink"/>
          </w:rPr>
          <w:t>https://capitol.texas.gov/tlodocs/83R/billtext/html/HB02015H.htm</w:t>
        </w:r>
      </w:hyperlink>
      <w:r>
        <w:t xml:space="preserve">) </w:t>
      </w:r>
    </w:p>
    <w:p w14:paraId="5BFA6A78" w14:textId="77777777" w:rsidR="009B5C80" w:rsidRDefault="009B5C80" w:rsidP="009B5C80">
      <w:pPr>
        <w:pStyle w:val="SB1"/>
      </w:pPr>
      <w:r>
        <w:t>House Bill 3150 – PEO Bill (</w:t>
      </w:r>
      <w:hyperlink r:id="rId73" w:history="1">
        <w:r w:rsidRPr="00F92B1B">
          <w:rPr>
            <w:rStyle w:val="Hyperlink"/>
          </w:rPr>
          <w:t>https://www.tdlr.texas.gov/peo/peolaw.htm</w:t>
        </w:r>
      </w:hyperlink>
      <w:r>
        <w:t xml:space="preserve">) </w:t>
      </w:r>
    </w:p>
    <w:p w14:paraId="30D36260" w14:textId="1D12E443" w:rsidR="009B5C80" w:rsidRDefault="002D141E" w:rsidP="009B5C80">
      <w:pPr>
        <w:pStyle w:val="SB1"/>
      </w:pPr>
      <w:r>
        <w:rPr>
          <w:szCs w:val="24"/>
        </w:rPr>
        <w:t>State Unemployment T</w:t>
      </w:r>
      <w:r w:rsidRPr="00680F93">
        <w:rPr>
          <w:szCs w:val="24"/>
        </w:rPr>
        <w:t>ax</w:t>
      </w:r>
      <w:r>
        <w:rPr>
          <w:szCs w:val="24"/>
        </w:rPr>
        <w:t xml:space="preserve"> Act</w:t>
      </w:r>
      <w:r>
        <w:t xml:space="preserve"> (</w:t>
      </w:r>
      <w:r w:rsidR="009B5C80">
        <w:t>SUTA</w:t>
      </w:r>
      <w:r>
        <w:t>)</w:t>
      </w:r>
      <w:r w:rsidR="009B5C80">
        <w:t xml:space="preserve"> dumping legislation</w:t>
      </w:r>
    </w:p>
    <w:p w14:paraId="3871BC1E" w14:textId="77777777" w:rsidR="009B5C80" w:rsidRDefault="009B5C80" w:rsidP="009B5C80">
      <w:pPr>
        <w:pStyle w:val="SB1"/>
      </w:pPr>
      <w:r>
        <w:t>Etc.</w:t>
      </w:r>
    </w:p>
    <w:p w14:paraId="7E4A8A0F" w14:textId="77777777" w:rsidR="009B5C80" w:rsidRDefault="009B5C80" w:rsidP="00E16D2D">
      <w:pPr>
        <w:pStyle w:val="OB1"/>
      </w:pPr>
      <w:r>
        <w:t>Employee leasing (PEOs)</w:t>
      </w:r>
    </w:p>
    <w:p w14:paraId="0C9F6660" w14:textId="77777777" w:rsidR="009B5C80" w:rsidRDefault="009B5C80" w:rsidP="00E16D2D">
      <w:pPr>
        <w:pStyle w:val="OB1"/>
      </w:pPr>
      <w:r>
        <w:t>Payrolling</w:t>
      </w:r>
    </w:p>
    <w:p w14:paraId="5A272D57" w14:textId="77777777" w:rsidR="009B5C80" w:rsidRDefault="009B5C80" w:rsidP="00116640">
      <w:pPr>
        <w:pStyle w:val="OB1"/>
      </w:pPr>
      <w:r>
        <w:t>Multi-state employment</w:t>
      </w:r>
    </w:p>
    <w:p w14:paraId="2C0352D9" w14:textId="77777777" w:rsidR="009B5C80" w:rsidRDefault="009B5C80" w:rsidP="00F82166">
      <w:pPr>
        <w:pStyle w:val="OB1"/>
      </w:pPr>
      <w:r>
        <w:t>Etc.</w:t>
      </w:r>
    </w:p>
    <w:p w14:paraId="7CD272DE" w14:textId="227BD8E3" w:rsidR="00AE4913" w:rsidRDefault="00AE4913" w:rsidP="00F82166">
      <w:pPr>
        <w:pStyle w:val="LB1"/>
      </w:pPr>
      <w:r>
        <w:t xml:space="preserve">System </w:t>
      </w:r>
      <w:r w:rsidR="005E7B64">
        <w:t xml:space="preserve">must </w:t>
      </w:r>
      <w:r>
        <w:t>interf</w:t>
      </w:r>
      <w:r w:rsidR="002765FB">
        <w:t xml:space="preserve">ace with Cisco </w:t>
      </w:r>
      <w:r w:rsidR="003479D8">
        <w:t>voice over internet protocol (</w:t>
      </w:r>
      <w:r w:rsidR="002765FB">
        <w:t>VoIP</w:t>
      </w:r>
      <w:r w:rsidR="003479D8">
        <w:t>)</w:t>
      </w:r>
      <w:r w:rsidR="002765FB">
        <w:t xml:space="preserve"> telephones</w:t>
      </w:r>
    </w:p>
    <w:p w14:paraId="168E2C6C" w14:textId="51B08B07" w:rsidR="009B5C80" w:rsidRDefault="009B5C80">
      <w:pPr>
        <w:pStyle w:val="LB1"/>
      </w:pPr>
      <w:r>
        <w:t xml:space="preserve">System must take appropriate action to process </w:t>
      </w:r>
      <w:r w:rsidR="00255BBE">
        <w:t xml:space="preserve">wage record </w:t>
      </w:r>
      <w:r>
        <w:t xml:space="preserve">adjustments based on business rules, including but not limited to: </w:t>
      </w:r>
    </w:p>
    <w:p w14:paraId="674AD9B0" w14:textId="77777777" w:rsidR="009B5C80" w:rsidRDefault="009B5C80">
      <w:pPr>
        <w:pStyle w:val="OB1"/>
      </w:pPr>
      <w:r>
        <w:t>Quarterly chargebacks</w:t>
      </w:r>
    </w:p>
    <w:p w14:paraId="3D8E2674" w14:textId="77777777" w:rsidR="009B5C80" w:rsidRPr="00FD78FC" w:rsidRDefault="009B5C80">
      <w:pPr>
        <w:pStyle w:val="OB1"/>
      </w:pPr>
      <w:r>
        <w:t>Update tax rate</w:t>
      </w:r>
    </w:p>
    <w:p w14:paraId="1166111A" w14:textId="77777777" w:rsidR="009B5C80" w:rsidRDefault="009B5C80">
      <w:pPr>
        <w:pStyle w:val="OB1"/>
      </w:pPr>
      <w:r>
        <w:t>Etc.</w:t>
      </w:r>
    </w:p>
    <w:p w14:paraId="13AAC793" w14:textId="0CA35178" w:rsidR="009B5C80" w:rsidRDefault="009B5C80">
      <w:pPr>
        <w:pStyle w:val="LB1"/>
      </w:pPr>
      <w:r w:rsidRPr="00401982">
        <w:t>System must include all functionality necessary to identify potential SUTA dumping cases</w:t>
      </w:r>
      <w:r>
        <w:t xml:space="preserve"> (currently </w:t>
      </w:r>
      <w:r w:rsidRPr="00063CBB">
        <w:t>SUTA Dumping Detection Software (SDDS)</w:t>
      </w:r>
      <w:r>
        <w:t>)</w:t>
      </w:r>
      <w:r w:rsidRPr="00401982">
        <w:t xml:space="preserve">. The Offeror must describe how the System cross-matches </w:t>
      </w:r>
      <w:r w:rsidR="009521D7">
        <w:t xml:space="preserve">Employer </w:t>
      </w:r>
      <w:r w:rsidRPr="00401982">
        <w:t xml:space="preserve">records and quarterly wage data to identify </w:t>
      </w:r>
      <w:r w:rsidR="009521D7">
        <w:t xml:space="preserve">Employers </w:t>
      </w:r>
      <w:r w:rsidRPr="00401982">
        <w:t>who meet the criteria for potential SUTA dumping as well as how the System tracks and maintains those flagged records through to completion</w:t>
      </w:r>
    </w:p>
    <w:p w14:paraId="19B6FD90" w14:textId="587FB564" w:rsidR="009B5C80" w:rsidRDefault="009B5C80">
      <w:pPr>
        <w:pStyle w:val="LB1"/>
      </w:pPr>
      <w:bookmarkStart w:id="320" w:name="_Hlk514740168"/>
      <w:r>
        <w:lastRenderedPageBreak/>
        <w:t xml:space="preserve">System must be able to capture, track, and display any dollar amounts (e.g., total wages, taxable wages, etc.) regardless of size. Texas has </w:t>
      </w:r>
      <w:r w:rsidR="009521D7">
        <w:t xml:space="preserve">Employers </w:t>
      </w:r>
      <w:r>
        <w:t xml:space="preserve">reporting over $1 billion in total and taxable wages and over $10 million in taxes due </w:t>
      </w:r>
    </w:p>
    <w:p w14:paraId="365EB12B" w14:textId="3C213E57" w:rsidR="00C719D7" w:rsidRDefault="00C719D7">
      <w:pPr>
        <w:pStyle w:val="LB1"/>
      </w:pPr>
      <w:r>
        <w:t xml:space="preserve">System must include Case Management, Correspondence and Workflow functionality, described in General Process Descriptions, see </w:t>
      </w:r>
      <w:hyperlink w:anchor="_A6.9_General" w:history="1">
        <w:r>
          <w:rPr>
            <w:rStyle w:val="Hyperlink"/>
          </w:rPr>
          <w:t>Attachment A6.9</w:t>
        </w:r>
      </w:hyperlink>
    </w:p>
    <w:bookmarkEnd w:id="320"/>
    <w:p w14:paraId="1C2A48C5" w14:textId="77777777" w:rsidR="009B5C80" w:rsidRDefault="009B5C80" w:rsidP="009B5C80"/>
    <w:p w14:paraId="1D365DAC" w14:textId="5969E70C" w:rsidR="009B5C80" w:rsidRDefault="009B5C80" w:rsidP="009B5C80">
      <w:pPr>
        <w:rPr>
          <w:u w:val="single"/>
        </w:rPr>
      </w:pPr>
      <w:r w:rsidRPr="009B5C80">
        <w:rPr>
          <w:u w:val="single"/>
        </w:rPr>
        <w:t>Alternate Activities and Special Cases</w:t>
      </w:r>
    </w:p>
    <w:p w14:paraId="11661C02" w14:textId="77777777" w:rsidR="004F7DCA" w:rsidRDefault="004F7DCA" w:rsidP="004F7DCA">
      <w:r>
        <w:t>System must support the following alternate activities and special cases:</w:t>
      </w:r>
    </w:p>
    <w:p w14:paraId="49B45A7D" w14:textId="77777777" w:rsidR="009B5C80" w:rsidRDefault="009B5C80" w:rsidP="00E16D2D">
      <w:pPr>
        <w:pStyle w:val="LB1"/>
      </w:pPr>
      <w:r>
        <w:t>Ensure Benefits is informed of TPAs and Employer relationship changes</w:t>
      </w:r>
    </w:p>
    <w:p w14:paraId="4FB49FB1" w14:textId="77777777" w:rsidR="009B5C80" w:rsidRDefault="009B5C80" w:rsidP="00116640">
      <w:pPr>
        <w:pStyle w:val="LB1"/>
      </w:pPr>
      <w:r>
        <w:t>Bypass system edits to service accounts, such as establish and adjust account liability</w:t>
      </w:r>
    </w:p>
    <w:p w14:paraId="0D5A27BF" w14:textId="7C7A6755" w:rsidR="00142A37" w:rsidRDefault="00142A37" w:rsidP="001A16E4"/>
    <w:p w14:paraId="7076BEDF" w14:textId="25EEDD6F" w:rsidR="00142A37" w:rsidRDefault="00142A37" w:rsidP="00142A37">
      <w:pPr>
        <w:pStyle w:val="Heading4"/>
      </w:pPr>
      <w:r>
        <w:tab/>
      </w:r>
      <w:r w:rsidR="009B5C80">
        <w:t>Submit Wage Reports</w:t>
      </w:r>
    </w:p>
    <w:p w14:paraId="17CE97EB" w14:textId="77777777" w:rsidR="009B5C80" w:rsidRDefault="009B5C80" w:rsidP="00142A37">
      <w:pPr>
        <w:rPr>
          <w:u w:val="single"/>
        </w:rPr>
      </w:pPr>
      <w:r>
        <w:t>This process includes all activities required to submit wage reports to TWC.</w:t>
      </w:r>
      <w:r w:rsidRPr="003A23F0">
        <w:rPr>
          <w:u w:val="single"/>
        </w:rPr>
        <w:t xml:space="preserve"> </w:t>
      </w:r>
    </w:p>
    <w:p w14:paraId="17C28340" w14:textId="22A10F24" w:rsidR="00142A37" w:rsidRPr="003A23F0" w:rsidRDefault="00142A37" w:rsidP="00142A37">
      <w:pPr>
        <w:rPr>
          <w:u w:val="single"/>
        </w:rPr>
      </w:pPr>
      <w:r w:rsidRPr="003A23F0">
        <w:rPr>
          <w:u w:val="single"/>
        </w:rPr>
        <w:t>Actors</w:t>
      </w:r>
    </w:p>
    <w:p w14:paraId="1C31F3A3" w14:textId="77777777" w:rsidR="00142A37" w:rsidRDefault="00142A37" w:rsidP="00E16D2D">
      <w:pPr>
        <w:pStyle w:val="LB1"/>
      </w:pPr>
      <w:r>
        <w:t>Employers</w:t>
      </w:r>
    </w:p>
    <w:p w14:paraId="08F334D7" w14:textId="77777777" w:rsidR="009B5C80" w:rsidRDefault="009B5C80" w:rsidP="00E16D2D">
      <w:pPr>
        <w:pStyle w:val="LB1"/>
      </w:pPr>
      <w:r>
        <w:t>Staff</w:t>
      </w:r>
    </w:p>
    <w:p w14:paraId="435C6F55" w14:textId="77777777" w:rsidR="00142A37" w:rsidRDefault="00142A37" w:rsidP="00116640">
      <w:pPr>
        <w:pStyle w:val="LB1"/>
      </w:pPr>
      <w:r>
        <w:t>TPAs</w:t>
      </w:r>
    </w:p>
    <w:p w14:paraId="340CD4B2" w14:textId="77777777" w:rsidR="00142A37" w:rsidRPr="00DF6567" w:rsidRDefault="00142A37" w:rsidP="00142A37"/>
    <w:p w14:paraId="6B487EBD" w14:textId="77777777" w:rsidR="00142A37" w:rsidRPr="003A23F0" w:rsidRDefault="00142A37" w:rsidP="00142A37">
      <w:pPr>
        <w:rPr>
          <w:u w:val="single"/>
        </w:rPr>
      </w:pPr>
      <w:r w:rsidRPr="003A23F0">
        <w:rPr>
          <w:u w:val="single"/>
        </w:rPr>
        <w:t>Main Activities</w:t>
      </w:r>
    </w:p>
    <w:p w14:paraId="14B7987B" w14:textId="05A49399" w:rsidR="009B5C80" w:rsidRDefault="009B5C80" w:rsidP="00E16D2D">
      <w:pPr>
        <w:pStyle w:val="LB1"/>
      </w:pPr>
      <w:r>
        <w:t xml:space="preserve">System must allow Employers/TPAs to upload wage reports via </w:t>
      </w:r>
      <w:r w:rsidR="00CB3296">
        <w:t xml:space="preserve">secure </w:t>
      </w:r>
      <w:r>
        <w:t>Employer Portal or FTP option</w:t>
      </w:r>
    </w:p>
    <w:p w14:paraId="62615F41" w14:textId="77777777" w:rsidR="009B5C80" w:rsidRDefault="009B5C80" w:rsidP="00E16D2D">
      <w:pPr>
        <w:pStyle w:val="OB1"/>
      </w:pPr>
      <w:r>
        <w:t>No limit on number of employees included in the report</w:t>
      </w:r>
    </w:p>
    <w:p w14:paraId="4C901FC6" w14:textId="70C7E83A" w:rsidR="009B5C80" w:rsidRDefault="009B5C80" w:rsidP="00116640">
      <w:pPr>
        <w:pStyle w:val="OB1"/>
      </w:pPr>
      <w:r>
        <w:t xml:space="preserve">No limit on the number of </w:t>
      </w:r>
      <w:r w:rsidR="009521D7">
        <w:t xml:space="preserve">Employer </w:t>
      </w:r>
      <w:r>
        <w:t>reports submitted in a batch by a TPA</w:t>
      </w:r>
    </w:p>
    <w:p w14:paraId="501FBCA1" w14:textId="60EDE5F7" w:rsidR="009B5C80" w:rsidRDefault="00197019" w:rsidP="00F82166">
      <w:pPr>
        <w:pStyle w:val="OB1"/>
      </w:pPr>
      <w:r>
        <w:t>Allowed file f</w:t>
      </w:r>
      <w:r w:rsidR="009B5C80">
        <w:t>ormat</w:t>
      </w:r>
      <w:r>
        <w:t>s</w:t>
      </w:r>
      <w:r w:rsidR="009B5C80">
        <w:t xml:space="preserve"> include</w:t>
      </w:r>
    </w:p>
    <w:p w14:paraId="6C945430" w14:textId="77777777" w:rsidR="009B5C80" w:rsidRDefault="009B5C80" w:rsidP="009B5C80">
      <w:pPr>
        <w:pStyle w:val="SB1"/>
      </w:pPr>
      <w:r>
        <w:t>ICESA</w:t>
      </w:r>
    </w:p>
    <w:p w14:paraId="116E9E44" w14:textId="77777777" w:rsidR="009B5C80" w:rsidRDefault="009B5C80" w:rsidP="009B5C80">
      <w:pPr>
        <w:pStyle w:val="SB1"/>
      </w:pPr>
      <w:r>
        <w:t>MMREF</w:t>
      </w:r>
    </w:p>
    <w:p w14:paraId="5BBA4EAC" w14:textId="77777777" w:rsidR="009B5C80" w:rsidRDefault="009B5C80" w:rsidP="009B5C80">
      <w:pPr>
        <w:pStyle w:val="SB1"/>
      </w:pPr>
      <w:r>
        <w:t>XLS or CSV</w:t>
      </w:r>
    </w:p>
    <w:p w14:paraId="1B8A2F39" w14:textId="14657DC0" w:rsidR="00991A06" w:rsidRDefault="00991A06" w:rsidP="009B5C80">
      <w:pPr>
        <w:pStyle w:val="SB1"/>
      </w:pPr>
      <w:r>
        <w:t>P</w:t>
      </w:r>
      <w:r w:rsidR="000B2DF8">
        <w:t xml:space="preserve">opular </w:t>
      </w:r>
      <w:r>
        <w:t>payroll software (e.g. QuickBooks</w:t>
      </w:r>
      <w:r w:rsidR="003F7DD5">
        <w:t>/Intuit</w:t>
      </w:r>
      <w:r>
        <w:t>)</w:t>
      </w:r>
    </w:p>
    <w:p w14:paraId="156910A0" w14:textId="1E852434" w:rsidR="009B5C80" w:rsidRDefault="00197019" w:rsidP="009B5C80">
      <w:pPr>
        <w:pStyle w:val="SB1"/>
      </w:pPr>
      <w:r>
        <w:t xml:space="preserve">Adaptable to accommodate </w:t>
      </w:r>
      <w:r w:rsidR="009B5C80">
        <w:t>future approved standards</w:t>
      </w:r>
    </w:p>
    <w:p w14:paraId="7AAF926D" w14:textId="455B7A6A" w:rsidR="009B5C80" w:rsidRDefault="00486AF7" w:rsidP="00E16D2D">
      <w:pPr>
        <w:pStyle w:val="OB1"/>
      </w:pPr>
      <w:r>
        <w:t>System must include the a</w:t>
      </w:r>
      <w:r w:rsidR="009B5C80">
        <w:t>bility to add or modif</w:t>
      </w:r>
      <w:r w:rsidR="003F7DD5">
        <w:t>y</w:t>
      </w:r>
      <w:r w:rsidR="009B5C80">
        <w:t xml:space="preserve"> upload data fields based on law or rule changes</w:t>
      </w:r>
    </w:p>
    <w:p w14:paraId="3C916AAA" w14:textId="255C8C61" w:rsidR="009B5C80" w:rsidRDefault="003F7DD5" w:rsidP="00E16D2D">
      <w:pPr>
        <w:pStyle w:val="OB1"/>
      </w:pPr>
      <w:r>
        <w:t>System must scan files for viruses, validate uploaded data with warnings and upload prevention if required, notify user if errors found, provide receipt confirmation and posting confirmation notifications</w:t>
      </w:r>
    </w:p>
    <w:p w14:paraId="31B5DA65" w14:textId="77777777" w:rsidR="009B5C80" w:rsidRDefault="009B5C80" w:rsidP="00E16D2D">
      <w:pPr>
        <w:pStyle w:val="LB1"/>
      </w:pPr>
      <w:r>
        <w:t>System must allow Employers/TPAs to manually enter wage reports</w:t>
      </w:r>
    </w:p>
    <w:p w14:paraId="288817FB" w14:textId="77777777" w:rsidR="009B5C80" w:rsidRDefault="009B5C80" w:rsidP="00116640">
      <w:pPr>
        <w:pStyle w:val="OB1"/>
      </w:pPr>
      <w:r>
        <w:t>Allow Employers/TPAs to import information from prior quarter if desired</w:t>
      </w:r>
    </w:p>
    <w:p w14:paraId="080CB002" w14:textId="77777777" w:rsidR="009B5C80" w:rsidRDefault="009B5C80" w:rsidP="00F82166">
      <w:pPr>
        <w:pStyle w:val="OB1"/>
      </w:pPr>
      <w:r>
        <w:lastRenderedPageBreak/>
        <w:t xml:space="preserve">Allow Employers/TPAs to quickly report zero (0) wages </w:t>
      </w:r>
    </w:p>
    <w:p w14:paraId="69C8FC90" w14:textId="77777777" w:rsidR="009B5C80" w:rsidRDefault="009B5C80" w:rsidP="00F82166">
      <w:pPr>
        <w:pStyle w:val="OB1"/>
      </w:pPr>
      <w:r>
        <w:t>Save partially completed reports</w:t>
      </w:r>
    </w:p>
    <w:p w14:paraId="5E8E1739" w14:textId="77777777" w:rsidR="009B5C80" w:rsidRDefault="009B5C80">
      <w:pPr>
        <w:pStyle w:val="OB1"/>
      </w:pPr>
      <w:r>
        <w:t>Delete or edit incorrect or incomplete reports</w:t>
      </w:r>
    </w:p>
    <w:p w14:paraId="0C1DC9AA" w14:textId="640165CF" w:rsidR="009B5C80" w:rsidRDefault="009B5C80" w:rsidP="00F875BB">
      <w:pPr>
        <w:pStyle w:val="SB1"/>
      </w:pPr>
      <w:r>
        <w:t>System must reprocess wage data</w:t>
      </w:r>
      <w:r w:rsidR="00F875BB">
        <w:t>, replace with correct wage data,</w:t>
      </w:r>
      <w:r>
        <w:t xml:space="preserve"> and take appropriate action</w:t>
      </w:r>
      <w:r w:rsidR="00F875BB">
        <w:t xml:space="preserve"> based on how the data changed</w:t>
      </w:r>
    </w:p>
    <w:p w14:paraId="2FB925F1" w14:textId="020B2F5A" w:rsidR="00255BBE" w:rsidRDefault="009B5C80" w:rsidP="00E16D2D">
      <w:pPr>
        <w:pStyle w:val="OB1"/>
      </w:pPr>
      <w:r>
        <w:t>System must validate uploaded data and provide notification if errors</w:t>
      </w:r>
      <w:r w:rsidR="00255BBE" w:rsidRPr="00255BBE">
        <w:t xml:space="preserve"> </w:t>
      </w:r>
    </w:p>
    <w:p w14:paraId="6DCE3E12" w14:textId="1FF62033" w:rsidR="009B5C80" w:rsidRDefault="00255BBE" w:rsidP="00E16D2D">
      <w:pPr>
        <w:pStyle w:val="OB1"/>
      </w:pPr>
      <w:r>
        <w:t xml:space="preserve">System </w:t>
      </w:r>
      <w:r w:rsidR="00C0762E">
        <w:t>must</w:t>
      </w:r>
      <w:r>
        <w:t xml:space="preserve"> compare reported Texas Total Taxable Wage amount with system calculated amount and require </w:t>
      </w:r>
      <w:r w:rsidR="003139B2">
        <w:t xml:space="preserve">Employers/TPAs </w:t>
      </w:r>
      <w:r>
        <w:t>to resolve discrepancy (i.e. multi-state employment, unreported acquisition with predecessor wages, etc.) prior to processing</w:t>
      </w:r>
    </w:p>
    <w:p w14:paraId="1C30250A" w14:textId="77777777" w:rsidR="009B5C80" w:rsidRDefault="009B5C80" w:rsidP="00116640">
      <w:pPr>
        <w:pStyle w:val="OB1"/>
      </w:pPr>
      <w:r>
        <w:t xml:space="preserve">System must allow Staff to prevent Employers/TPAs from modifying certain data </w:t>
      </w:r>
    </w:p>
    <w:p w14:paraId="7E09A4B4" w14:textId="77777777" w:rsidR="009B5C80" w:rsidRDefault="009B5C80" w:rsidP="009B5C80">
      <w:pPr>
        <w:pStyle w:val="SB1"/>
      </w:pPr>
      <w:r>
        <w:t>While an audit is in process</w:t>
      </w:r>
    </w:p>
    <w:p w14:paraId="530096CF" w14:textId="77777777" w:rsidR="009B5C80" w:rsidRDefault="009B5C80" w:rsidP="009B5C80">
      <w:pPr>
        <w:pStyle w:val="SB1"/>
      </w:pPr>
      <w:r>
        <w:t>Audit findings</w:t>
      </w:r>
    </w:p>
    <w:p w14:paraId="37FBAE10" w14:textId="77777777" w:rsidR="003F7DD5" w:rsidRDefault="003F7DD5" w:rsidP="003F7DD5">
      <w:pPr>
        <w:pStyle w:val="SB1"/>
      </w:pPr>
      <w:r>
        <w:t>Fraud blocks</w:t>
      </w:r>
    </w:p>
    <w:p w14:paraId="4D516EC2" w14:textId="77777777" w:rsidR="003F7DD5" w:rsidRDefault="003F7DD5" w:rsidP="003F7DD5">
      <w:pPr>
        <w:pStyle w:val="SB1"/>
      </w:pPr>
      <w:r>
        <w:t>Bankruptcy stop or RID freezes to quarter(s)</w:t>
      </w:r>
    </w:p>
    <w:p w14:paraId="020F9184" w14:textId="4812E53D" w:rsidR="009B5C80" w:rsidRDefault="003F7DD5" w:rsidP="003F7DD5">
      <w:pPr>
        <w:pStyle w:val="SB1"/>
      </w:pPr>
      <w:r>
        <w:t>Etc</w:t>
      </w:r>
      <w:r w:rsidR="009B5C80">
        <w:t>.</w:t>
      </w:r>
    </w:p>
    <w:p w14:paraId="2A4E1C4B" w14:textId="54127684" w:rsidR="009B5C80" w:rsidRDefault="009B5C80" w:rsidP="00E16D2D">
      <w:pPr>
        <w:pStyle w:val="LB1"/>
      </w:pPr>
      <w:r>
        <w:t>System must allow Staff to upload wage reports on behalf of Employers who</w:t>
      </w:r>
      <w:r w:rsidR="00D44676">
        <w:t xml:space="preserve"> send their report in via paper</w:t>
      </w:r>
    </w:p>
    <w:p w14:paraId="11A02A97" w14:textId="77777777" w:rsidR="009B5C80" w:rsidRDefault="009B5C80" w:rsidP="00E16D2D">
      <w:pPr>
        <w:pStyle w:val="LB1"/>
      </w:pPr>
      <w:r>
        <w:t>System must notify Employers/TPAs</w:t>
      </w:r>
    </w:p>
    <w:p w14:paraId="488E95F5" w14:textId="40F2C986" w:rsidR="009B5C80" w:rsidRDefault="009B5C80" w:rsidP="00116640">
      <w:pPr>
        <w:pStyle w:val="OB1"/>
      </w:pPr>
      <w:r>
        <w:t xml:space="preserve">Default is email, otherwise via </w:t>
      </w:r>
      <w:r w:rsidR="006D2A7F" w:rsidRPr="008C2C58">
        <w:rPr>
          <w:snapToGrid w:val="0"/>
          <w:color w:val="000000"/>
          <w:szCs w:val="24"/>
        </w:rPr>
        <w:t>United States Postal Service</w:t>
      </w:r>
      <w:r w:rsidR="006D2A7F">
        <w:t xml:space="preserve"> (</w:t>
      </w:r>
      <w:r>
        <w:t>USPS</w:t>
      </w:r>
      <w:r w:rsidR="006D2A7F">
        <w:t>)</w:t>
      </w:r>
    </w:p>
    <w:p w14:paraId="211BAD33" w14:textId="77777777" w:rsidR="009B5C80" w:rsidRDefault="009B5C80" w:rsidP="00F82166">
      <w:pPr>
        <w:pStyle w:val="OB1"/>
      </w:pPr>
      <w:r>
        <w:t>Advanced notice that report is coming due</w:t>
      </w:r>
    </w:p>
    <w:p w14:paraId="43D05F32" w14:textId="0A198260" w:rsidR="00D44676" w:rsidRDefault="006559C0" w:rsidP="00F82166">
      <w:pPr>
        <w:pStyle w:val="OB1"/>
      </w:pPr>
      <w:r>
        <w:t>R</w:t>
      </w:r>
      <w:r w:rsidR="00D44676">
        <w:t>eport is past due</w:t>
      </w:r>
    </w:p>
    <w:p w14:paraId="2BE0D5D6" w14:textId="77777777" w:rsidR="00D44676" w:rsidRDefault="00D44676">
      <w:pPr>
        <w:pStyle w:val="OB1"/>
      </w:pPr>
      <w:r>
        <w:t>Tax payment is due</w:t>
      </w:r>
    </w:p>
    <w:p w14:paraId="3DD04529" w14:textId="6B7846F6" w:rsidR="009B5C80" w:rsidRDefault="00D44676">
      <w:pPr>
        <w:pStyle w:val="OB1"/>
      </w:pPr>
      <w:r>
        <w:t>Tay payment is past due</w:t>
      </w:r>
    </w:p>
    <w:p w14:paraId="79FA023E" w14:textId="77777777" w:rsidR="009B5C80" w:rsidRDefault="009B5C80">
      <w:pPr>
        <w:pStyle w:val="LB1"/>
      </w:pPr>
      <w:r>
        <w:t>System must determine if a payment is due and allow Employers/TPAs to Submit a Payment</w:t>
      </w:r>
    </w:p>
    <w:p w14:paraId="07350840" w14:textId="77777777" w:rsidR="009B5C80" w:rsidRDefault="009B5C80">
      <w:pPr>
        <w:pStyle w:val="LB1"/>
      </w:pPr>
      <w:r>
        <w:t>System must send confirmation to Employers/TPAs</w:t>
      </w:r>
    </w:p>
    <w:p w14:paraId="188A3F51" w14:textId="77777777" w:rsidR="009B5C80" w:rsidRDefault="009B5C80" w:rsidP="009B5C80"/>
    <w:p w14:paraId="0AABC585" w14:textId="1A9AB121" w:rsidR="009B5C80" w:rsidRDefault="009B5C80" w:rsidP="00990BCF">
      <w:pPr>
        <w:rPr>
          <w:u w:val="single"/>
        </w:rPr>
      </w:pPr>
      <w:r w:rsidRPr="00990BCF">
        <w:rPr>
          <w:u w:val="single"/>
        </w:rPr>
        <w:t>Alternate Activities and Special Cases</w:t>
      </w:r>
    </w:p>
    <w:p w14:paraId="77CF800F" w14:textId="77777777" w:rsidR="004F7DCA" w:rsidRDefault="004F7DCA" w:rsidP="004F7DCA">
      <w:r>
        <w:t>System must support the following alternate activities and special cases:</w:t>
      </w:r>
    </w:p>
    <w:p w14:paraId="7AC5308B" w14:textId="64025829" w:rsidR="009B5C80" w:rsidRDefault="009B5C80" w:rsidP="00E16D2D">
      <w:pPr>
        <w:pStyle w:val="LB1"/>
      </w:pPr>
      <w:r>
        <w:t xml:space="preserve">Splitting Wage Reports across same or multiple </w:t>
      </w:r>
      <w:r w:rsidR="009521D7">
        <w:t xml:space="preserve">Employers </w:t>
      </w:r>
      <w:r>
        <w:t>for the same quarter</w:t>
      </w:r>
    </w:p>
    <w:p w14:paraId="415DE48A" w14:textId="77777777" w:rsidR="009B5C80" w:rsidRDefault="009B5C80" w:rsidP="009B5C80"/>
    <w:p w14:paraId="10BCF7C3" w14:textId="4EFEF9F5" w:rsidR="00142A37" w:rsidRDefault="00142A37" w:rsidP="00142A37">
      <w:pPr>
        <w:pStyle w:val="Heading4"/>
      </w:pPr>
      <w:r>
        <w:tab/>
      </w:r>
      <w:r w:rsidR="00D617C3">
        <w:t>Submit Payments</w:t>
      </w:r>
    </w:p>
    <w:p w14:paraId="3C79BA33" w14:textId="39E043C1" w:rsidR="00142A37" w:rsidRPr="00B0723C" w:rsidRDefault="00D617C3" w:rsidP="00142A37">
      <w:r>
        <w:t>This process includes all activities required to submit payments to TWC</w:t>
      </w:r>
      <w:r w:rsidR="009B5C80">
        <w:t>.</w:t>
      </w:r>
    </w:p>
    <w:p w14:paraId="24E8FF82" w14:textId="77777777" w:rsidR="00142A37" w:rsidRPr="003A23F0" w:rsidRDefault="00142A37" w:rsidP="00142A37">
      <w:pPr>
        <w:rPr>
          <w:u w:val="single"/>
        </w:rPr>
      </w:pPr>
      <w:r w:rsidRPr="003A23F0">
        <w:rPr>
          <w:u w:val="single"/>
        </w:rPr>
        <w:t>Actors</w:t>
      </w:r>
    </w:p>
    <w:p w14:paraId="13057A8E" w14:textId="77777777" w:rsidR="009B5C80" w:rsidRDefault="009B5C80" w:rsidP="00E16D2D">
      <w:pPr>
        <w:pStyle w:val="LB1"/>
      </w:pPr>
      <w:r>
        <w:t>Employers</w:t>
      </w:r>
    </w:p>
    <w:p w14:paraId="543B4D49" w14:textId="77777777" w:rsidR="009B5C80" w:rsidRDefault="009B5C80" w:rsidP="00E16D2D">
      <w:pPr>
        <w:pStyle w:val="LB1"/>
      </w:pPr>
      <w:r>
        <w:t>Staff</w:t>
      </w:r>
    </w:p>
    <w:p w14:paraId="0210D01A" w14:textId="77777777" w:rsidR="009B5C80" w:rsidRDefault="009B5C80" w:rsidP="00116640">
      <w:pPr>
        <w:pStyle w:val="LB1"/>
      </w:pPr>
      <w:r>
        <w:lastRenderedPageBreak/>
        <w:t>TPAs</w:t>
      </w:r>
    </w:p>
    <w:p w14:paraId="3F93336B" w14:textId="77777777" w:rsidR="00142A37" w:rsidRPr="00DF6567" w:rsidRDefault="00142A37" w:rsidP="00142A37"/>
    <w:p w14:paraId="0D286D16" w14:textId="77777777" w:rsidR="00142A37" w:rsidRPr="003A23F0" w:rsidRDefault="00142A37" w:rsidP="00142A37">
      <w:pPr>
        <w:rPr>
          <w:u w:val="single"/>
        </w:rPr>
      </w:pPr>
      <w:r w:rsidRPr="003A23F0">
        <w:rPr>
          <w:u w:val="single"/>
        </w:rPr>
        <w:t>Main Activities</w:t>
      </w:r>
    </w:p>
    <w:p w14:paraId="27D37FD2" w14:textId="77777777" w:rsidR="00D617C3" w:rsidRDefault="00D617C3" w:rsidP="00E16D2D">
      <w:pPr>
        <w:pStyle w:val="LB1"/>
      </w:pPr>
      <w:r>
        <w:t xml:space="preserve">System must allow authorized users (Employers and TPAs) to </w:t>
      </w:r>
    </w:p>
    <w:p w14:paraId="77DB60E5" w14:textId="77777777" w:rsidR="00D617C3" w:rsidRDefault="00D617C3" w:rsidP="00E16D2D">
      <w:pPr>
        <w:pStyle w:val="OB1"/>
      </w:pPr>
      <w:r>
        <w:t xml:space="preserve">Submit payments </w:t>
      </w:r>
    </w:p>
    <w:p w14:paraId="36212794" w14:textId="77777777" w:rsidR="00D617C3" w:rsidRDefault="00D617C3" w:rsidP="00116640">
      <w:pPr>
        <w:pStyle w:val="OB1"/>
      </w:pPr>
      <w:r>
        <w:t>Designate payments</w:t>
      </w:r>
    </w:p>
    <w:p w14:paraId="30F8324E" w14:textId="77777777" w:rsidR="00D617C3" w:rsidRDefault="00D617C3" w:rsidP="00D617C3">
      <w:pPr>
        <w:pStyle w:val="SB1"/>
      </w:pPr>
      <w:r>
        <w:t>Tax payments</w:t>
      </w:r>
    </w:p>
    <w:p w14:paraId="3CAEB680" w14:textId="77777777" w:rsidR="00D617C3" w:rsidRDefault="00D617C3" w:rsidP="00D617C3">
      <w:pPr>
        <w:pStyle w:val="SB1"/>
      </w:pPr>
      <w:r>
        <w:t>Voluntary contributions</w:t>
      </w:r>
    </w:p>
    <w:p w14:paraId="159C1003" w14:textId="77777777" w:rsidR="00D617C3" w:rsidRDefault="00D617C3" w:rsidP="00E16D2D">
      <w:pPr>
        <w:pStyle w:val="OB1"/>
      </w:pPr>
      <w:r>
        <w:t>Schedule future payments</w:t>
      </w:r>
    </w:p>
    <w:p w14:paraId="1F1F0FD2" w14:textId="77777777" w:rsidR="00D617C3" w:rsidRDefault="00D617C3" w:rsidP="00E16D2D">
      <w:pPr>
        <w:pStyle w:val="OB1"/>
      </w:pPr>
      <w:r>
        <w:t xml:space="preserve">View status of payments </w:t>
      </w:r>
    </w:p>
    <w:p w14:paraId="05AE9EC5" w14:textId="77777777" w:rsidR="00D617C3" w:rsidRDefault="00D617C3" w:rsidP="00116640">
      <w:pPr>
        <w:pStyle w:val="OB1"/>
      </w:pPr>
      <w:r>
        <w:t>Edit, modify, cancel payments</w:t>
      </w:r>
    </w:p>
    <w:p w14:paraId="170D96E1" w14:textId="77777777" w:rsidR="00D617C3" w:rsidRDefault="00D617C3" w:rsidP="00F82166">
      <w:pPr>
        <w:pStyle w:val="OB1"/>
      </w:pPr>
      <w:r>
        <w:t>Set up and deactivate bank accounts</w:t>
      </w:r>
    </w:p>
    <w:p w14:paraId="7F61E8C3" w14:textId="77777777" w:rsidR="00D617C3" w:rsidRDefault="00D617C3" w:rsidP="00F82166">
      <w:pPr>
        <w:pStyle w:val="OB1"/>
      </w:pPr>
      <w:r>
        <w:t xml:space="preserve">Deactivate bank account after receiving notice of issues </w:t>
      </w:r>
    </w:p>
    <w:p w14:paraId="6A2B756D" w14:textId="77777777" w:rsidR="00D617C3" w:rsidRDefault="00D617C3">
      <w:pPr>
        <w:pStyle w:val="OB1"/>
      </w:pPr>
      <w:r>
        <w:t>Require users to confirm bank account information before processing payment</w:t>
      </w:r>
    </w:p>
    <w:p w14:paraId="2044C8B7" w14:textId="77F841D3" w:rsidR="00D617C3" w:rsidRDefault="00C34363">
      <w:pPr>
        <w:pStyle w:val="OB1"/>
      </w:pPr>
      <w:r>
        <w:t xml:space="preserve">Send </w:t>
      </w:r>
      <w:r w:rsidR="009C55DB">
        <w:rPr>
          <w:rFonts w:cs="Arial"/>
          <w:snapToGrid w:val="0"/>
          <w:color w:val="000000"/>
          <w:szCs w:val="24"/>
        </w:rPr>
        <w:t>Nonsufficient F</w:t>
      </w:r>
      <w:r w:rsidR="009C55DB" w:rsidRPr="00DF0CEA">
        <w:rPr>
          <w:rFonts w:cs="Arial"/>
          <w:snapToGrid w:val="0"/>
          <w:color w:val="000000"/>
          <w:szCs w:val="24"/>
        </w:rPr>
        <w:t>unds</w:t>
      </w:r>
      <w:r w:rsidR="009C55DB">
        <w:t xml:space="preserve"> (</w:t>
      </w:r>
      <w:r w:rsidR="00D617C3">
        <w:t>NSF</w:t>
      </w:r>
      <w:r w:rsidR="009C55DB">
        <w:t>)</w:t>
      </w:r>
      <w:r w:rsidR="00D617C3">
        <w:t xml:space="preserve"> notices and payment notices, including confirmation number, to </w:t>
      </w:r>
      <w:r w:rsidR="00E425BA">
        <w:t>Employer/TPA-selected delivery choice</w:t>
      </w:r>
    </w:p>
    <w:p w14:paraId="09D4E076" w14:textId="77777777" w:rsidR="00D617C3" w:rsidRDefault="00D617C3">
      <w:pPr>
        <w:pStyle w:val="OB1"/>
      </w:pPr>
      <w:r>
        <w:t>View payment history</w:t>
      </w:r>
    </w:p>
    <w:p w14:paraId="46B3C963" w14:textId="77777777" w:rsidR="00D617C3" w:rsidRDefault="00D617C3">
      <w:pPr>
        <w:pStyle w:val="OB1"/>
      </w:pPr>
      <w:r>
        <w:t>View payment issues</w:t>
      </w:r>
    </w:p>
    <w:p w14:paraId="7A41AF7B" w14:textId="77777777" w:rsidR="00D617C3" w:rsidRDefault="00D617C3" w:rsidP="00D617C3">
      <w:pPr>
        <w:pStyle w:val="SB1"/>
      </w:pPr>
      <w:r>
        <w:t>NSF</w:t>
      </w:r>
    </w:p>
    <w:p w14:paraId="44F5FDB1" w14:textId="77777777" w:rsidR="00D617C3" w:rsidRDefault="00D617C3" w:rsidP="00D617C3">
      <w:pPr>
        <w:pStyle w:val="SB1"/>
      </w:pPr>
      <w:r>
        <w:t>Wrong bank account number</w:t>
      </w:r>
    </w:p>
    <w:p w14:paraId="2C123A75" w14:textId="77777777" w:rsidR="00D617C3" w:rsidRDefault="00D617C3" w:rsidP="00D617C3">
      <w:pPr>
        <w:pStyle w:val="SB1"/>
      </w:pPr>
      <w:r>
        <w:t xml:space="preserve">Etc. </w:t>
      </w:r>
    </w:p>
    <w:p w14:paraId="52595519" w14:textId="77777777" w:rsidR="00D617C3" w:rsidRDefault="00D617C3" w:rsidP="00E16D2D">
      <w:pPr>
        <w:pStyle w:val="LB1"/>
      </w:pPr>
      <w:r>
        <w:t>System must prevent bank account entry errors</w:t>
      </w:r>
    </w:p>
    <w:p w14:paraId="48227B92" w14:textId="77777777" w:rsidR="00D617C3" w:rsidRDefault="00D617C3" w:rsidP="00E16D2D">
      <w:pPr>
        <w:pStyle w:val="LB1"/>
      </w:pPr>
      <w:r>
        <w:t>System must provide confirmation of payment</w:t>
      </w:r>
    </w:p>
    <w:p w14:paraId="6877F605" w14:textId="77777777" w:rsidR="00E425BA" w:rsidRDefault="00E425BA" w:rsidP="00116640">
      <w:pPr>
        <w:pStyle w:val="LB1"/>
      </w:pPr>
      <w:r>
        <w:t>System must accept full and partial payments; and displays the remaining balance after partial payment is made</w:t>
      </w:r>
    </w:p>
    <w:p w14:paraId="5D261EF4" w14:textId="3D14D53A" w:rsidR="00E425BA" w:rsidRDefault="00E425BA" w:rsidP="00F82166">
      <w:pPr>
        <w:pStyle w:val="LB1"/>
      </w:pPr>
      <w:r>
        <w:t xml:space="preserve">System must notify </w:t>
      </w:r>
      <w:r w:rsidR="003139B2">
        <w:t xml:space="preserve">Employers/TPAs </w:t>
      </w:r>
      <w:r>
        <w:t>of how a partial payment will be allocated to debt (</w:t>
      </w:r>
      <w:r w:rsidR="007414EF">
        <w:t>i.e. tax debt versus penalties and</w:t>
      </w:r>
      <w:r>
        <w:t xml:space="preserve"> interest)</w:t>
      </w:r>
    </w:p>
    <w:p w14:paraId="059F441D" w14:textId="220183C3" w:rsidR="00255BBE" w:rsidRDefault="00E425BA" w:rsidP="00F82166">
      <w:pPr>
        <w:pStyle w:val="LB1"/>
      </w:pPr>
      <w:bookmarkStart w:id="321" w:name="_Hlk531613767"/>
      <w:r>
        <w:t xml:space="preserve">System must notify </w:t>
      </w:r>
      <w:r w:rsidR="003139B2">
        <w:t xml:space="preserve">Employers/TPAs </w:t>
      </w:r>
      <w:r>
        <w:t>of Refund restrictions (</w:t>
      </w:r>
      <w:r w:rsidR="007414EF">
        <w:t>one hundred eighty (</w:t>
      </w:r>
      <w:r>
        <w:t>180</w:t>
      </w:r>
      <w:r w:rsidR="007414EF">
        <w:t>)</w:t>
      </w:r>
      <w:r w:rsidR="000B21D6">
        <w:t xml:space="preserve"> calendar days</w:t>
      </w:r>
      <w:r>
        <w:t>) of any credits tied to Credit Card payments</w:t>
      </w:r>
      <w:r w:rsidR="00255BBE" w:rsidRPr="00255BBE">
        <w:t xml:space="preserve"> </w:t>
      </w:r>
    </w:p>
    <w:p w14:paraId="4A04B718" w14:textId="4C3A147F" w:rsidR="00255BBE" w:rsidRDefault="00255BBE">
      <w:pPr>
        <w:pStyle w:val="LB1"/>
      </w:pPr>
      <w:r>
        <w:t xml:space="preserve">System must notify </w:t>
      </w:r>
      <w:r w:rsidR="003139B2">
        <w:t xml:space="preserve">Employers/TPAs </w:t>
      </w:r>
      <w:r w:rsidR="000B21D6">
        <w:t>of Refund restrictions (</w:t>
      </w:r>
      <w:r w:rsidR="007414EF">
        <w:t>thirty (</w:t>
      </w:r>
      <w:r w:rsidR="000B21D6">
        <w:t>30</w:t>
      </w:r>
      <w:r w:rsidR="007414EF">
        <w:t>)</w:t>
      </w:r>
      <w:r w:rsidR="000B21D6">
        <w:t xml:space="preserve"> calendar </w:t>
      </w:r>
      <w:r>
        <w:t>days) of any credits tied to any other remittance type except Credit Card</w:t>
      </w:r>
    </w:p>
    <w:bookmarkEnd w:id="321"/>
    <w:p w14:paraId="31F0F427" w14:textId="540FC964" w:rsidR="00255BBE" w:rsidRDefault="00255BBE">
      <w:pPr>
        <w:pStyle w:val="LB1"/>
      </w:pPr>
      <w:r>
        <w:t xml:space="preserve">System must allow interface with </w:t>
      </w:r>
      <w:r w:rsidR="00B406F0">
        <w:t xml:space="preserve">CPA’s </w:t>
      </w:r>
      <w:r>
        <w:t xml:space="preserve">TEXNET system for EFT remittances </w:t>
      </w:r>
    </w:p>
    <w:p w14:paraId="6DEB618F" w14:textId="40632A9B" w:rsidR="00D617C3" w:rsidRDefault="00255BBE">
      <w:pPr>
        <w:pStyle w:val="LB1"/>
      </w:pPr>
      <w:r>
        <w:t xml:space="preserve">System must allow TPA to submit single remittance via </w:t>
      </w:r>
      <w:r w:rsidR="00B406F0">
        <w:t>CPA’s</w:t>
      </w:r>
      <w:r>
        <w:t xml:space="preserve"> TEXNET and then upload an EFT Allocation File to distribute payment amounts to client UI Tax accounts, with validation feedback to resolve all invalid EID issues prior to processing</w:t>
      </w:r>
    </w:p>
    <w:p w14:paraId="7A0A9CC3" w14:textId="77777777" w:rsidR="00D617C3" w:rsidRDefault="00D617C3" w:rsidP="00D617C3"/>
    <w:p w14:paraId="4FF51BC8" w14:textId="2CEE7F2E" w:rsidR="00142A37" w:rsidRDefault="00142A37" w:rsidP="00142A37">
      <w:pPr>
        <w:pStyle w:val="Heading4"/>
      </w:pPr>
      <w:r>
        <w:tab/>
      </w:r>
      <w:r w:rsidR="00D617C3">
        <w:t>Receive and Process Wage Reports</w:t>
      </w:r>
    </w:p>
    <w:p w14:paraId="0937B043" w14:textId="1D31962E" w:rsidR="00142A37" w:rsidRPr="00B0723C" w:rsidRDefault="00D617C3" w:rsidP="00142A37">
      <w:r>
        <w:t>This process includes all activities required to receive and process wage reports</w:t>
      </w:r>
      <w:r w:rsidR="009B5C80">
        <w:t>.</w:t>
      </w:r>
    </w:p>
    <w:p w14:paraId="38719D55" w14:textId="77777777" w:rsidR="00142A37" w:rsidRPr="003A23F0" w:rsidRDefault="00142A37" w:rsidP="00142A37">
      <w:pPr>
        <w:rPr>
          <w:u w:val="single"/>
        </w:rPr>
      </w:pPr>
      <w:r w:rsidRPr="003A23F0">
        <w:rPr>
          <w:u w:val="single"/>
        </w:rPr>
        <w:lastRenderedPageBreak/>
        <w:t>Actors</w:t>
      </w:r>
    </w:p>
    <w:p w14:paraId="21C9E941" w14:textId="77777777" w:rsidR="009B5C80" w:rsidRDefault="009B5C80" w:rsidP="00E16D2D">
      <w:pPr>
        <w:pStyle w:val="LB1"/>
      </w:pPr>
      <w:r>
        <w:t>Employers</w:t>
      </w:r>
    </w:p>
    <w:p w14:paraId="5A0639E7" w14:textId="77777777" w:rsidR="009B5C80" w:rsidRDefault="009B5C80" w:rsidP="00E16D2D">
      <w:pPr>
        <w:pStyle w:val="LB1"/>
      </w:pPr>
      <w:r>
        <w:t>Staff</w:t>
      </w:r>
    </w:p>
    <w:p w14:paraId="3BE84436" w14:textId="77777777" w:rsidR="009B5C80" w:rsidRDefault="009B5C80" w:rsidP="00116640">
      <w:pPr>
        <w:pStyle w:val="LB1"/>
      </w:pPr>
      <w:r>
        <w:t>TPAs</w:t>
      </w:r>
    </w:p>
    <w:p w14:paraId="7A7C1804" w14:textId="77777777" w:rsidR="00142A37" w:rsidRPr="00DF6567" w:rsidRDefault="00142A37" w:rsidP="00142A37"/>
    <w:p w14:paraId="05B245F8" w14:textId="77777777" w:rsidR="00142A37" w:rsidRPr="003A23F0" w:rsidRDefault="00142A37" w:rsidP="00142A37">
      <w:pPr>
        <w:rPr>
          <w:u w:val="single"/>
        </w:rPr>
      </w:pPr>
      <w:r w:rsidRPr="003A23F0">
        <w:rPr>
          <w:u w:val="single"/>
        </w:rPr>
        <w:t>Main Activities</w:t>
      </w:r>
    </w:p>
    <w:p w14:paraId="0B89E1D5" w14:textId="77777777" w:rsidR="00F74831" w:rsidRDefault="00F74831" w:rsidP="00E16D2D">
      <w:pPr>
        <w:pStyle w:val="LB1"/>
      </w:pPr>
      <w:r>
        <w:t>System must accept, validate, and post wage reports from Employers</w:t>
      </w:r>
    </w:p>
    <w:p w14:paraId="277041CD" w14:textId="77777777" w:rsidR="00C23021" w:rsidRDefault="00C23021" w:rsidP="00E16D2D">
      <w:pPr>
        <w:pStyle w:val="OB1"/>
      </w:pPr>
      <w:r>
        <w:t>All reports must be processed, even supplementals, after the Employer is presented a warning (e.g., “There is already a wage report on file for this quarter. Do you wish to Replace, Adjust, or Proceed to File?”)</w:t>
      </w:r>
    </w:p>
    <w:p w14:paraId="189926FF" w14:textId="77777777" w:rsidR="00C23021" w:rsidRDefault="00C23021" w:rsidP="00116640">
      <w:pPr>
        <w:pStyle w:val="OB1"/>
      </w:pPr>
      <w:r>
        <w:t>Post Employer quarterly reports real-time</w:t>
      </w:r>
    </w:p>
    <w:p w14:paraId="4679D017" w14:textId="77777777" w:rsidR="00C23021" w:rsidRDefault="00C23021" w:rsidP="00F82166">
      <w:pPr>
        <w:pStyle w:val="OB1"/>
      </w:pPr>
      <w:r>
        <w:t>Calculate taxable wages, taxes, penalties, and interest</w:t>
      </w:r>
    </w:p>
    <w:p w14:paraId="4A30D8D3" w14:textId="77777777" w:rsidR="00C23021" w:rsidRDefault="00C23021" w:rsidP="00F82166">
      <w:pPr>
        <w:pStyle w:val="OB1"/>
      </w:pPr>
      <w:r>
        <w:t>Record and retain full audit trail of all transactions</w:t>
      </w:r>
    </w:p>
    <w:p w14:paraId="4EFAE1A8" w14:textId="77777777" w:rsidR="00C23021" w:rsidRDefault="00C23021">
      <w:pPr>
        <w:pStyle w:val="OB1"/>
      </w:pPr>
      <w:r>
        <w:t>Must associate predecessor/successor relationships in calculations</w:t>
      </w:r>
    </w:p>
    <w:p w14:paraId="09AFBD0E" w14:textId="77777777" w:rsidR="00C23021" w:rsidRDefault="00C23021">
      <w:pPr>
        <w:pStyle w:val="OB1"/>
      </w:pPr>
      <w:r>
        <w:t>Must allow for multistate employment in calculations</w:t>
      </w:r>
    </w:p>
    <w:p w14:paraId="0A8F5D2D" w14:textId="29680694" w:rsidR="00F74831" w:rsidRDefault="00C23021">
      <w:pPr>
        <w:pStyle w:val="OB1"/>
      </w:pPr>
      <w:r>
        <w:t>Must allow for SSN, Taxpayer Identification Numbers (TINs), and pseudo numbers (whenever an SSN is unavailable, a unique employee reference number needs to be assigned for taxable wage calculations</w:t>
      </w:r>
      <w:r w:rsidR="008B7975">
        <w:t>, every employee must receive a different reference number for taxable wage calculation purposes</w:t>
      </w:r>
      <w:r>
        <w:t>)</w:t>
      </w:r>
    </w:p>
    <w:p w14:paraId="5F4F1E98" w14:textId="7F27BC20" w:rsidR="00C0762E" w:rsidRDefault="00C0762E">
      <w:pPr>
        <w:pStyle w:val="LB1"/>
      </w:pPr>
      <w:r>
        <w:t xml:space="preserve">System must </w:t>
      </w:r>
      <w:r w:rsidR="00BD08DE">
        <w:t xml:space="preserve">allow Staff and Employers/TPAs to add and modify </w:t>
      </w:r>
      <w:r w:rsidR="003E1E69">
        <w:t xml:space="preserve">quarterly </w:t>
      </w:r>
      <w:r w:rsidR="00BD08DE">
        <w:t xml:space="preserve">reports for acquisitions (predecessor/successor) </w:t>
      </w:r>
    </w:p>
    <w:p w14:paraId="592B6FAB" w14:textId="5683A7B9" w:rsidR="00BD08DE" w:rsidRDefault="00BD08DE">
      <w:pPr>
        <w:pStyle w:val="OB1"/>
      </w:pPr>
      <w:r>
        <w:t>Total acquisition</w:t>
      </w:r>
    </w:p>
    <w:p w14:paraId="669B24D4" w14:textId="77777777" w:rsidR="00BD08DE" w:rsidRDefault="00BD08DE">
      <w:pPr>
        <w:pStyle w:val="OB1"/>
      </w:pPr>
      <w:r>
        <w:t>Partial acquisition</w:t>
      </w:r>
    </w:p>
    <w:p w14:paraId="0B77941C" w14:textId="3F761E9E" w:rsidR="00BD08DE" w:rsidRDefault="00BD08DE">
      <w:pPr>
        <w:pStyle w:val="OB1"/>
      </w:pPr>
      <w:r>
        <w:t xml:space="preserve">Split quarterly reports for same quarter between accounts </w:t>
      </w:r>
    </w:p>
    <w:p w14:paraId="318168E5" w14:textId="5EA37CFD" w:rsidR="00BD08DE" w:rsidRDefault="003E1E69" w:rsidP="00BD08DE">
      <w:pPr>
        <w:pStyle w:val="SB1"/>
      </w:pPr>
      <w:r>
        <w:t>Overall total and taxable wage amounts</w:t>
      </w:r>
    </w:p>
    <w:p w14:paraId="2DEC5FB0" w14:textId="0A14C6C7" w:rsidR="00BD08DE" w:rsidRDefault="003E1E69" w:rsidP="00691492">
      <w:pPr>
        <w:pStyle w:val="SB1"/>
      </w:pPr>
      <w:r>
        <w:t>Employees and their w</w:t>
      </w:r>
      <w:r w:rsidR="00BD08DE">
        <w:t>age</w:t>
      </w:r>
      <w:r>
        <w:t xml:space="preserve"> record</w:t>
      </w:r>
      <w:r w:rsidR="00BD08DE">
        <w:t xml:space="preserve">s </w:t>
      </w:r>
    </w:p>
    <w:p w14:paraId="38F62F0F" w14:textId="34CAB359" w:rsidR="00F74831" w:rsidRDefault="00F74831" w:rsidP="00E16D2D">
      <w:pPr>
        <w:pStyle w:val="LB1"/>
      </w:pPr>
      <w:r>
        <w:t>System must allow Staff to adjust dates</w:t>
      </w:r>
    </w:p>
    <w:p w14:paraId="577836A1" w14:textId="77777777" w:rsidR="00F74831" w:rsidRDefault="00F74831" w:rsidP="00E16D2D">
      <w:pPr>
        <w:pStyle w:val="OB1"/>
      </w:pPr>
      <w:r>
        <w:t>Report postmark date</w:t>
      </w:r>
    </w:p>
    <w:p w14:paraId="39D492B5" w14:textId="77777777" w:rsidR="00F74831" w:rsidRDefault="00F74831" w:rsidP="00116640">
      <w:pPr>
        <w:pStyle w:val="OB1"/>
      </w:pPr>
      <w:r>
        <w:t>Report due date</w:t>
      </w:r>
    </w:p>
    <w:p w14:paraId="2B0D09E3" w14:textId="7F046F7B" w:rsidR="00F74831" w:rsidRDefault="00F74831" w:rsidP="00F82166">
      <w:pPr>
        <w:pStyle w:val="LB1"/>
      </w:pPr>
      <w:r w:rsidRPr="00083661">
        <w:t>System must be able to flag a</w:t>
      </w:r>
      <w:r>
        <w:t>n</w:t>
      </w:r>
      <w:r w:rsidRPr="00083661">
        <w:t xml:space="preserve"> </w:t>
      </w:r>
      <w:r w:rsidR="009521D7">
        <w:t xml:space="preserve">Employer </w:t>
      </w:r>
      <w:r w:rsidRPr="00083661">
        <w:t xml:space="preserve">who is permitted to file paper quarterly wage reports (electronic hardship), and must automatically provide paper forms to those </w:t>
      </w:r>
      <w:r w:rsidR="009521D7">
        <w:t>Employers</w:t>
      </w:r>
    </w:p>
    <w:p w14:paraId="14365609" w14:textId="77777777" w:rsidR="00F74831" w:rsidRDefault="00F74831" w:rsidP="00F82166">
      <w:pPr>
        <w:pStyle w:val="LB1"/>
      </w:pPr>
      <w:r>
        <w:t>System must allow Employers, TPAs, and Staff to view historical information</w:t>
      </w:r>
    </w:p>
    <w:p w14:paraId="038F5E9B" w14:textId="77777777" w:rsidR="00F74831" w:rsidRDefault="00F74831">
      <w:pPr>
        <w:pStyle w:val="OB1"/>
      </w:pPr>
      <w:r>
        <w:t>Wage reports submitted</w:t>
      </w:r>
    </w:p>
    <w:p w14:paraId="2E2D10CA" w14:textId="28E9EC63" w:rsidR="00F74831" w:rsidRDefault="00F74831">
      <w:pPr>
        <w:pStyle w:val="OB1"/>
      </w:pPr>
      <w:r>
        <w:t>Adjustments</w:t>
      </w:r>
    </w:p>
    <w:p w14:paraId="311E66A3" w14:textId="0147735E" w:rsidR="005B56FD" w:rsidRDefault="005B56FD">
      <w:pPr>
        <w:pStyle w:val="OB1"/>
      </w:pPr>
      <w:r>
        <w:t>Report transfers to another account</w:t>
      </w:r>
    </w:p>
    <w:p w14:paraId="11E9DCDE" w14:textId="77777777" w:rsidR="00F74831" w:rsidRDefault="00F74831">
      <w:pPr>
        <w:pStyle w:val="OB1"/>
      </w:pPr>
      <w:r>
        <w:t>Unemployment active claims, historical claims, chargebacks</w:t>
      </w:r>
    </w:p>
    <w:p w14:paraId="53CAEF10" w14:textId="77777777" w:rsidR="00F74831" w:rsidRDefault="00F74831">
      <w:pPr>
        <w:pStyle w:val="OB1"/>
      </w:pPr>
      <w:r>
        <w:t>Etc.</w:t>
      </w:r>
    </w:p>
    <w:p w14:paraId="579EBE30" w14:textId="2171955F" w:rsidR="000D7940" w:rsidRDefault="000D7940">
      <w:pPr>
        <w:pStyle w:val="LB1"/>
      </w:pPr>
      <w:r>
        <w:t xml:space="preserve">System must allow Staff to delete </w:t>
      </w:r>
      <w:r w:rsidR="008B7975">
        <w:t xml:space="preserve">reports </w:t>
      </w:r>
      <w:r>
        <w:t>and reinstate reports</w:t>
      </w:r>
      <w:r w:rsidR="008B7975">
        <w:t xml:space="preserve"> if archived</w:t>
      </w:r>
    </w:p>
    <w:p w14:paraId="7FF3250E" w14:textId="77777777" w:rsidR="000D7940" w:rsidRDefault="000D7940">
      <w:pPr>
        <w:pStyle w:val="LB1"/>
      </w:pPr>
      <w:r>
        <w:lastRenderedPageBreak/>
        <w:t>System must allow Staff to transfer reports between accounts</w:t>
      </w:r>
    </w:p>
    <w:p w14:paraId="2DE18053" w14:textId="00F9DB4B" w:rsidR="000D7940" w:rsidRDefault="000D7940">
      <w:pPr>
        <w:pStyle w:val="LB1"/>
      </w:pPr>
      <w:r w:rsidRPr="00083661">
        <w:t xml:space="preserve">System must automatically create, issue, and post estimated reports for an </w:t>
      </w:r>
      <w:r>
        <w:t xml:space="preserve">Employer </w:t>
      </w:r>
      <w:r w:rsidRPr="00083661">
        <w:t>who fails to file</w:t>
      </w:r>
      <w:r>
        <w:t xml:space="preserve"> within a certain timeframe</w:t>
      </w:r>
      <w:r w:rsidR="008B7975">
        <w:t xml:space="preserve"> based on business rules</w:t>
      </w:r>
    </w:p>
    <w:p w14:paraId="3F04BBE8" w14:textId="2C81FAAD" w:rsidR="000D7940" w:rsidRDefault="000D7940">
      <w:pPr>
        <w:pStyle w:val="LB1"/>
      </w:pPr>
      <w:r>
        <w:t>System must allow Staff to estimate wage reports</w:t>
      </w:r>
      <w:r w:rsidR="00001B3F">
        <w:t xml:space="preserve"> if system cannot</w:t>
      </w:r>
    </w:p>
    <w:p w14:paraId="33A97F42" w14:textId="77777777" w:rsidR="000D7940" w:rsidRDefault="000D7940">
      <w:pPr>
        <w:pStyle w:val="LB1"/>
      </w:pPr>
      <w:r>
        <w:t xml:space="preserve">System must indicate or flag when wage reports are estimated </w:t>
      </w:r>
    </w:p>
    <w:p w14:paraId="293B8734" w14:textId="3C42233E" w:rsidR="00C0762E" w:rsidRDefault="00C0762E">
      <w:pPr>
        <w:pStyle w:val="LB1"/>
      </w:pPr>
      <w:r>
        <w:t>System must remove estimated flag or indicator when quarterly report has been adjusted for actual wages</w:t>
      </w:r>
    </w:p>
    <w:p w14:paraId="0883E7DD" w14:textId="1047B01A" w:rsidR="000D7940" w:rsidRDefault="000D7940">
      <w:pPr>
        <w:pStyle w:val="LB1"/>
      </w:pPr>
      <w:r>
        <w:t>For TPAs filing wages on behalf of their Employers, System must indicate or flag when wages have already been filed for each Employer</w:t>
      </w:r>
    </w:p>
    <w:p w14:paraId="067C40B3" w14:textId="4762B771" w:rsidR="00F74831" w:rsidRDefault="000D7940">
      <w:pPr>
        <w:pStyle w:val="LB1"/>
      </w:pPr>
      <w:r>
        <w:t>System must notify Employers/TPAs of actions such as</w:t>
      </w:r>
    </w:p>
    <w:p w14:paraId="67CACEF8" w14:textId="77777777" w:rsidR="00F74831" w:rsidRDefault="00F74831">
      <w:pPr>
        <w:pStyle w:val="OB1"/>
      </w:pPr>
      <w:r>
        <w:t>Processing confirmation or processing issues</w:t>
      </w:r>
    </w:p>
    <w:p w14:paraId="6A72E5EB" w14:textId="77777777" w:rsidR="00F74831" w:rsidRDefault="00F74831">
      <w:pPr>
        <w:pStyle w:val="OB1"/>
      </w:pPr>
      <w:r>
        <w:t>Adjustments</w:t>
      </w:r>
    </w:p>
    <w:p w14:paraId="54EB62CE" w14:textId="77777777" w:rsidR="00F74831" w:rsidRDefault="00F74831">
      <w:pPr>
        <w:pStyle w:val="OB1"/>
      </w:pPr>
      <w:r>
        <w:t>Estimates</w:t>
      </w:r>
    </w:p>
    <w:p w14:paraId="653A4B08" w14:textId="77777777" w:rsidR="00F74831" w:rsidRDefault="00F74831">
      <w:pPr>
        <w:pStyle w:val="OB1"/>
      </w:pPr>
      <w:r>
        <w:t>Failure to file on time</w:t>
      </w:r>
    </w:p>
    <w:p w14:paraId="085D55B7" w14:textId="77777777" w:rsidR="00F74831" w:rsidRDefault="00F74831">
      <w:pPr>
        <w:pStyle w:val="OB1"/>
      </w:pPr>
      <w:r>
        <w:t>Etc.</w:t>
      </w:r>
    </w:p>
    <w:p w14:paraId="7147519E" w14:textId="6F17A817" w:rsidR="00142A37" w:rsidRDefault="00142A37" w:rsidP="001A16E4"/>
    <w:p w14:paraId="01583F53" w14:textId="28BCF616" w:rsidR="00D31796" w:rsidRPr="003A23F0" w:rsidRDefault="00D31796" w:rsidP="00D31796">
      <w:pPr>
        <w:rPr>
          <w:u w:val="single"/>
        </w:rPr>
      </w:pPr>
      <w:r w:rsidRPr="003A23F0">
        <w:rPr>
          <w:u w:val="single"/>
        </w:rPr>
        <w:t>Main Activities</w:t>
      </w:r>
      <w:r>
        <w:rPr>
          <w:u w:val="single"/>
        </w:rPr>
        <w:t xml:space="preserve"> – Process Adjustments</w:t>
      </w:r>
    </w:p>
    <w:p w14:paraId="13331C24" w14:textId="77777777" w:rsidR="000D7940" w:rsidRDefault="000D7940" w:rsidP="00E16D2D">
      <w:pPr>
        <w:pStyle w:val="LB1"/>
      </w:pPr>
      <w:r>
        <w:t>System must upload and process Wage Record adjustments or allow Staff to process adjustments manually, one or many, in real-time and calculate taxable wages, taxes, penalties, and interest</w:t>
      </w:r>
    </w:p>
    <w:p w14:paraId="2ACB478D" w14:textId="77777777" w:rsidR="000D7940" w:rsidRDefault="000D7940" w:rsidP="00E16D2D">
      <w:pPr>
        <w:pStyle w:val="OB1"/>
      </w:pPr>
      <w:r>
        <w:t xml:space="preserve">For adjustments to multiple quarters, System must be able to handle any order of entry (i.e., order does not need to be chronological) </w:t>
      </w:r>
    </w:p>
    <w:p w14:paraId="5384C815" w14:textId="77777777" w:rsidR="000D7940" w:rsidRPr="00DB07A1" w:rsidRDefault="000D7940" w:rsidP="00116640">
      <w:pPr>
        <w:pStyle w:val="OB1"/>
      </w:pPr>
      <w:r>
        <w:t>System must allow adjustments that transfer wage records between Employer accounts</w:t>
      </w:r>
    </w:p>
    <w:p w14:paraId="27FCC1FF" w14:textId="77777777" w:rsidR="000D7940" w:rsidRDefault="000D7940" w:rsidP="00F82166">
      <w:pPr>
        <w:pStyle w:val="OB1"/>
      </w:pPr>
      <w:r>
        <w:t>System must provide employee count adjustments to LMCI for statistical purposes</w:t>
      </w:r>
    </w:p>
    <w:p w14:paraId="26AB0A7C" w14:textId="77777777" w:rsidR="000D7940" w:rsidRDefault="000D7940" w:rsidP="00F82166">
      <w:pPr>
        <w:pStyle w:val="LB1"/>
      </w:pPr>
      <w:r>
        <w:t>If a Wage Record adjustment results in a decrease in wages or a change in the number of employees originally reported, System must</w:t>
      </w:r>
    </w:p>
    <w:p w14:paraId="0ABE0F64" w14:textId="77777777" w:rsidR="000D7940" w:rsidRDefault="000D7940">
      <w:pPr>
        <w:pStyle w:val="OB1"/>
      </w:pPr>
      <w:r>
        <w:t xml:space="preserve">Capture reason for decrease (from a selection list or field details provided via upload file) </w:t>
      </w:r>
    </w:p>
    <w:p w14:paraId="386128B9" w14:textId="77777777" w:rsidR="000D7940" w:rsidRDefault="000D7940">
      <w:pPr>
        <w:pStyle w:val="OB1"/>
      </w:pPr>
      <w:r>
        <w:t>Create an assignment for Staff review prior to processing</w:t>
      </w:r>
    </w:p>
    <w:p w14:paraId="0264204C" w14:textId="77777777" w:rsidR="000D7940" w:rsidRDefault="000D7940">
      <w:pPr>
        <w:pStyle w:val="OB1"/>
      </w:pPr>
      <w:r>
        <w:t xml:space="preserve">Inform user entering data that adjustment will be reviewed </w:t>
      </w:r>
    </w:p>
    <w:p w14:paraId="1B66B97D" w14:textId="5637A3FA" w:rsidR="005B56FD" w:rsidRDefault="000D7940">
      <w:pPr>
        <w:pStyle w:val="OB1"/>
      </w:pPr>
      <w:r>
        <w:t>If a Benefits Claim is associated with the Wage Record adjustment, increase priority of assignment for Staff review</w:t>
      </w:r>
    </w:p>
    <w:p w14:paraId="57875FA4" w14:textId="77777777" w:rsidR="000D7940" w:rsidRPr="00B277FF" w:rsidRDefault="000D7940">
      <w:pPr>
        <w:pStyle w:val="LB1"/>
      </w:pPr>
      <w:r w:rsidRPr="00B277FF">
        <w:t xml:space="preserve">System must prevent Employers/TPAs from </w:t>
      </w:r>
      <w:r>
        <w:t>adjusting certain quarterly Wage Records based on business rules</w:t>
      </w:r>
    </w:p>
    <w:p w14:paraId="7F6CFDC0" w14:textId="77777777" w:rsidR="000D7940" w:rsidRPr="00AE20DF" w:rsidRDefault="000D7940">
      <w:pPr>
        <w:pStyle w:val="OB1"/>
      </w:pPr>
      <w:r w:rsidRPr="005A4262">
        <w:t>While an audit is in process</w:t>
      </w:r>
    </w:p>
    <w:p w14:paraId="134FB387" w14:textId="77777777" w:rsidR="000D7940" w:rsidRPr="00AE20DF" w:rsidRDefault="000D7940">
      <w:pPr>
        <w:pStyle w:val="OB1"/>
      </w:pPr>
      <w:r w:rsidRPr="005A4262">
        <w:t>Audit findings</w:t>
      </w:r>
    </w:p>
    <w:p w14:paraId="73A6F06C" w14:textId="77777777" w:rsidR="000D7940" w:rsidRDefault="000D7940">
      <w:pPr>
        <w:pStyle w:val="OB1"/>
      </w:pPr>
      <w:r w:rsidRPr="005A4262">
        <w:t>Fraud blocks</w:t>
      </w:r>
    </w:p>
    <w:p w14:paraId="666249C8" w14:textId="77777777" w:rsidR="000D7940" w:rsidRPr="002474A1" w:rsidRDefault="000D7940">
      <w:pPr>
        <w:pStyle w:val="OB1"/>
      </w:pPr>
      <w:r>
        <w:t>Bankruptcy stop or RID freezes to quarter(s)</w:t>
      </w:r>
    </w:p>
    <w:p w14:paraId="63B562E2" w14:textId="77777777" w:rsidR="000D7940" w:rsidRPr="002474A1" w:rsidRDefault="000D7940">
      <w:pPr>
        <w:pStyle w:val="OB1"/>
      </w:pPr>
      <w:r>
        <w:t>Beyond three (3) year statute</w:t>
      </w:r>
    </w:p>
    <w:p w14:paraId="409F6127" w14:textId="77777777" w:rsidR="000D7940" w:rsidRPr="00AE20DF" w:rsidRDefault="000D7940">
      <w:pPr>
        <w:pStyle w:val="OB1"/>
      </w:pPr>
      <w:r>
        <w:t>Rule 13 decision</w:t>
      </w:r>
    </w:p>
    <w:p w14:paraId="6367A8FC" w14:textId="3D5EE1F8" w:rsidR="005B56FD" w:rsidRPr="00AE20DF" w:rsidRDefault="000D7940">
      <w:pPr>
        <w:pStyle w:val="OB1"/>
        <w:rPr>
          <w:szCs w:val="24"/>
        </w:rPr>
      </w:pPr>
      <w:r w:rsidRPr="005A4262">
        <w:lastRenderedPageBreak/>
        <w:t>Etc</w:t>
      </w:r>
      <w:r w:rsidR="005B56FD" w:rsidRPr="005A4262">
        <w:rPr>
          <w:szCs w:val="24"/>
        </w:rPr>
        <w:t>.</w:t>
      </w:r>
    </w:p>
    <w:p w14:paraId="5E0B4479" w14:textId="77777777" w:rsidR="000D7940" w:rsidRDefault="000D7940">
      <w:pPr>
        <w:pStyle w:val="LB1"/>
      </w:pPr>
      <w:r>
        <w:t>System must allow Employer/TPA to adjust Other State Taxable Wages if originally reported incorrectly and recalculate Texas Taxable Wages accordingly</w:t>
      </w:r>
    </w:p>
    <w:p w14:paraId="714EB4AA" w14:textId="77777777" w:rsidR="000D7940" w:rsidRDefault="000D7940">
      <w:pPr>
        <w:pStyle w:val="LB1"/>
      </w:pPr>
      <w:r>
        <w:t>System must maintain Wage Record adjustment audit trail and allow Staff to reverse a Wage Record adjustment if determined to be unreasonable with notification to submitter of reversal and reason</w:t>
      </w:r>
    </w:p>
    <w:p w14:paraId="7375CE5F" w14:textId="77777777" w:rsidR="000D7940" w:rsidRDefault="000D7940">
      <w:pPr>
        <w:pStyle w:val="LB1"/>
      </w:pPr>
      <w:r>
        <w:t>System must allow Staff to solicit additional information from submitter related to Wage Record adjustment required to make final determination</w:t>
      </w:r>
    </w:p>
    <w:p w14:paraId="097B1304" w14:textId="77777777" w:rsidR="000D7940" w:rsidRDefault="000D7940">
      <w:pPr>
        <w:pStyle w:val="LB1"/>
      </w:pPr>
      <w:r>
        <w:t>System must allow Employer/TPA to upload support documentation required for Wage Record adjustment review &amp; final determination</w:t>
      </w:r>
    </w:p>
    <w:p w14:paraId="519547B6" w14:textId="77777777" w:rsidR="000D7940" w:rsidRDefault="000D7940">
      <w:pPr>
        <w:pStyle w:val="LB1"/>
      </w:pPr>
      <w:r>
        <w:t>System must interface with audit program to allow uploading of Wage Record adjustments with inclusion of misclassified worker penalties</w:t>
      </w:r>
    </w:p>
    <w:p w14:paraId="66ECE0FD" w14:textId="77777777" w:rsidR="000D7940" w:rsidRDefault="000D7940">
      <w:pPr>
        <w:pStyle w:val="LB1"/>
      </w:pPr>
      <w:r>
        <w:t>System will recalculate Total Wages and Texas Taxable Wages when Wage Record adjustments are processed, as well as adjust tax, penalties and/or interest</w:t>
      </w:r>
    </w:p>
    <w:p w14:paraId="28803BE1" w14:textId="77777777" w:rsidR="000D7940" w:rsidRDefault="000D7940">
      <w:pPr>
        <w:pStyle w:val="OB1"/>
      </w:pPr>
      <w:r>
        <w:t xml:space="preserve">System must allow authorized users (Employers and TPAs) to View status of Wage Record adjustments </w:t>
      </w:r>
    </w:p>
    <w:p w14:paraId="5A85E4C7" w14:textId="77777777" w:rsidR="000D7940" w:rsidRDefault="000D7940">
      <w:pPr>
        <w:pStyle w:val="OB1"/>
      </w:pPr>
      <w:r>
        <w:t>Edit, modify, cancel Wage Records adjustments that have yet to process</w:t>
      </w:r>
    </w:p>
    <w:p w14:paraId="5BE1530C" w14:textId="3788C0CD" w:rsidR="005B56FD" w:rsidRDefault="000D7940">
      <w:pPr>
        <w:pStyle w:val="LB1"/>
      </w:pPr>
      <w:r w:rsidRPr="00EA140B">
        <w:t>System must correct and post t</w:t>
      </w:r>
      <w:r>
        <w:t>he information and calculate any T</w:t>
      </w:r>
      <w:r w:rsidRPr="00EA140B">
        <w:t xml:space="preserve">ax and/or </w:t>
      </w:r>
      <w:r>
        <w:t>B</w:t>
      </w:r>
      <w:r w:rsidRPr="00EA140B">
        <w:t xml:space="preserve">enefit changes </w:t>
      </w:r>
      <w:r>
        <w:t>resulting from</w:t>
      </w:r>
      <w:r w:rsidRPr="00EA140B">
        <w:t xml:space="preserve"> </w:t>
      </w:r>
      <w:r>
        <w:t>an</w:t>
      </w:r>
      <w:r w:rsidRPr="00EA140B">
        <w:t xml:space="preserve"> </w:t>
      </w:r>
      <w:r>
        <w:t>adjustment with audit trail tracking of all changes</w:t>
      </w:r>
    </w:p>
    <w:p w14:paraId="14595204" w14:textId="2930FCFA" w:rsidR="003E1E69" w:rsidRDefault="003E1E69">
      <w:pPr>
        <w:pStyle w:val="LB1"/>
      </w:pPr>
      <w:r>
        <w:t>System must notify Employer of any adjustment transactions</w:t>
      </w:r>
    </w:p>
    <w:p w14:paraId="79986294" w14:textId="77777777" w:rsidR="00D31796" w:rsidRDefault="00D31796" w:rsidP="001A16E4"/>
    <w:p w14:paraId="633FCF06" w14:textId="20758B03" w:rsidR="00142A37" w:rsidRDefault="00142A37" w:rsidP="00142A37">
      <w:pPr>
        <w:pStyle w:val="Heading4"/>
      </w:pPr>
      <w:r>
        <w:tab/>
      </w:r>
      <w:r w:rsidR="00F74831">
        <w:t>Determine Rates</w:t>
      </w:r>
    </w:p>
    <w:p w14:paraId="21F601EE" w14:textId="248397FE" w:rsidR="00142A37" w:rsidRPr="00B0723C" w:rsidRDefault="00F74831" w:rsidP="00142A37">
      <w:r>
        <w:t>This process includes all activities required to determine UI tax rates for Employers</w:t>
      </w:r>
      <w:r w:rsidR="009B5C80">
        <w:t>.</w:t>
      </w:r>
    </w:p>
    <w:p w14:paraId="75B4DEC0" w14:textId="77777777" w:rsidR="00142A37" w:rsidRPr="003A23F0" w:rsidRDefault="00142A37" w:rsidP="00142A37">
      <w:pPr>
        <w:rPr>
          <w:u w:val="single"/>
        </w:rPr>
      </w:pPr>
      <w:r w:rsidRPr="003A23F0">
        <w:rPr>
          <w:u w:val="single"/>
        </w:rPr>
        <w:t>Actors</w:t>
      </w:r>
    </w:p>
    <w:p w14:paraId="11CC7D35" w14:textId="28EEA358" w:rsidR="009B5C80" w:rsidRDefault="009B5C80" w:rsidP="00E16D2D">
      <w:pPr>
        <w:pStyle w:val="LB1"/>
      </w:pPr>
      <w:r>
        <w:t>Staff</w:t>
      </w:r>
    </w:p>
    <w:p w14:paraId="65FD242F" w14:textId="35334B48" w:rsidR="00001B3F" w:rsidRDefault="00001B3F" w:rsidP="00E16D2D">
      <w:pPr>
        <w:pStyle w:val="LB1"/>
      </w:pPr>
      <w:r>
        <w:t>Employers</w:t>
      </w:r>
    </w:p>
    <w:p w14:paraId="0BDBCACC" w14:textId="3CA8F717" w:rsidR="00001B3F" w:rsidRDefault="00001B3F" w:rsidP="00116640">
      <w:pPr>
        <w:pStyle w:val="LB1"/>
      </w:pPr>
      <w:r>
        <w:t>TPAs</w:t>
      </w:r>
    </w:p>
    <w:p w14:paraId="26699F04" w14:textId="77777777" w:rsidR="00142A37" w:rsidRPr="00DF6567" w:rsidRDefault="00142A37" w:rsidP="00142A37"/>
    <w:p w14:paraId="3D063279" w14:textId="77777777" w:rsidR="00142A37" w:rsidRPr="003A23F0" w:rsidRDefault="00142A37" w:rsidP="00142A37">
      <w:pPr>
        <w:rPr>
          <w:u w:val="single"/>
        </w:rPr>
      </w:pPr>
      <w:r w:rsidRPr="003A23F0">
        <w:rPr>
          <w:u w:val="single"/>
        </w:rPr>
        <w:t>Main Activities</w:t>
      </w:r>
    </w:p>
    <w:p w14:paraId="6CC6C66B" w14:textId="77777777" w:rsidR="00F74831" w:rsidRDefault="00F74831" w:rsidP="00E16D2D">
      <w:pPr>
        <w:pStyle w:val="LB1"/>
      </w:pPr>
      <w:r>
        <w:t xml:space="preserve">System must </w:t>
      </w:r>
      <w:r w:rsidRPr="000167B0">
        <w:t>automatically calculate and assign tax rates using</w:t>
      </w:r>
      <w:r>
        <w:t>:</w:t>
      </w:r>
    </w:p>
    <w:p w14:paraId="20B6EBB0" w14:textId="77777777" w:rsidR="00F74831" w:rsidRDefault="00F74831" w:rsidP="00E16D2D">
      <w:pPr>
        <w:pStyle w:val="OB1"/>
      </w:pPr>
      <w:r>
        <w:t>First wages date</w:t>
      </w:r>
    </w:p>
    <w:p w14:paraId="247C794F" w14:textId="77777777" w:rsidR="00F74831" w:rsidRDefault="00F74831" w:rsidP="00116640">
      <w:pPr>
        <w:pStyle w:val="OB1"/>
      </w:pPr>
      <w:r>
        <w:t>Liability date</w:t>
      </w:r>
    </w:p>
    <w:p w14:paraId="56469248" w14:textId="77777777" w:rsidR="00F74831" w:rsidRDefault="00F74831" w:rsidP="00F82166">
      <w:pPr>
        <w:pStyle w:val="OB1"/>
      </w:pPr>
      <w:r>
        <w:t>First chargeable quarter</w:t>
      </w:r>
    </w:p>
    <w:p w14:paraId="6C66B20A" w14:textId="77777777" w:rsidR="00F74831" w:rsidRDefault="00F74831" w:rsidP="00F82166">
      <w:pPr>
        <w:pStyle w:val="OB1"/>
      </w:pPr>
      <w:r>
        <w:t>Eligibility date</w:t>
      </w:r>
    </w:p>
    <w:p w14:paraId="3AC91A53" w14:textId="77777777" w:rsidR="00F74831" w:rsidRDefault="00F74831" w:rsidP="00F82166">
      <w:pPr>
        <w:pStyle w:val="OB1"/>
      </w:pPr>
      <w:r>
        <w:t>Acquisitions</w:t>
      </w:r>
    </w:p>
    <w:p w14:paraId="5003C32F" w14:textId="77777777" w:rsidR="00F74831" w:rsidRDefault="00F74831">
      <w:pPr>
        <w:pStyle w:val="OB1"/>
      </w:pPr>
      <w:r w:rsidRPr="000167B0">
        <w:t>North American Industry Classif</w:t>
      </w:r>
      <w:r>
        <w:t>ication System (NAICS) code</w:t>
      </w:r>
    </w:p>
    <w:p w14:paraId="3B63C488" w14:textId="77777777" w:rsidR="00F74831" w:rsidRDefault="00F74831">
      <w:pPr>
        <w:pStyle w:val="OB1"/>
      </w:pPr>
      <w:r>
        <w:t>Calculations are based on rate formulas</w:t>
      </w:r>
    </w:p>
    <w:p w14:paraId="7D7762CE" w14:textId="29CC8B00" w:rsidR="00F74831" w:rsidRDefault="00F74831" w:rsidP="00F74831">
      <w:pPr>
        <w:pStyle w:val="SB1"/>
      </w:pPr>
      <w:r>
        <w:lastRenderedPageBreak/>
        <w:t>T</w:t>
      </w:r>
      <w:r w:rsidRPr="000167B0">
        <w:t xml:space="preserve">he appropriate </w:t>
      </w:r>
      <w:r w:rsidR="009521D7">
        <w:t xml:space="preserve">Employer </w:t>
      </w:r>
      <w:r w:rsidRPr="000167B0">
        <w:t>experience and tax rate calculation based on the TUCA Section 204 (</w:t>
      </w:r>
      <w:hyperlink r:id="rId74" w:history="1">
        <w:r w:rsidRPr="005B1BEF">
          <w:rPr>
            <w:rStyle w:val="Hyperlink"/>
          </w:rPr>
          <w:t>http://www.statutes.legis.state.tx.us/Docs/LA/htm/LA.204.htm</w:t>
        </w:r>
      </w:hyperlink>
      <w:r>
        <w:t>)</w:t>
      </w:r>
    </w:p>
    <w:p w14:paraId="68166B06" w14:textId="3DE14C33" w:rsidR="00F74831" w:rsidRDefault="00F74831" w:rsidP="00F74831">
      <w:pPr>
        <w:pStyle w:val="SB1"/>
      </w:pPr>
      <w:r w:rsidRPr="000167B0">
        <w:t>TWC Rules Chapter 815 (</w:t>
      </w:r>
      <w:hyperlink r:id="rId75" w:history="1">
        <w:r w:rsidR="00CC01B4">
          <w:rPr>
            <w:rStyle w:val="Hyperlink"/>
          </w:rPr>
          <w:t>http://twc.texas.gov/files/jobseekers/rules-chapter-815-unemployment-insurance-twc.pdf</w:t>
        </w:r>
      </w:hyperlink>
      <w:r>
        <w:t>)</w:t>
      </w:r>
    </w:p>
    <w:p w14:paraId="3F14BE7D" w14:textId="77777777" w:rsidR="00F74831" w:rsidRDefault="00F74831" w:rsidP="00E16D2D">
      <w:pPr>
        <w:pStyle w:val="LB1"/>
      </w:pPr>
      <w:r>
        <w:t>System must use the following tax rate components based on TUCA and TWC Rules, including but not limited to:</w:t>
      </w:r>
    </w:p>
    <w:p w14:paraId="19DC9E2D" w14:textId="77777777" w:rsidR="00F74831" w:rsidRDefault="00F74831" w:rsidP="00E16D2D">
      <w:pPr>
        <w:pStyle w:val="OB1"/>
      </w:pPr>
      <w:r>
        <w:t>General Tax Rate</w:t>
      </w:r>
    </w:p>
    <w:p w14:paraId="3FACD2E1" w14:textId="77777777" w:rsidR="00F74831" w:rsidRPr="00F74831" w:rsidRDefault="00F74831" w:rsidP="007414EF">
      <w:pPr>
        <w:pStyle w:val="SB1"/>
      </w:pPr>
      <w:r w:rsidRPr="00F74831">
        <w:t>Benefit Ratio</w:t>
      </w:r>
    </w:p>
    <w:p w14:paraId="6422D3DC" w14:textId="77777777" w:rsidR="00F74831" w:rsidRPr="00F74831" w:rsidRDefault="00F74831" w:rsidP="00E16D2D">
      <w:pPr>
        <w:pStyle w:val="OB1"/>
      </w:pPr>
      <w:r w:rsidRPr="00F74831">
        <w:t>Replenishment Tax Rate</w:t>
      </w:r>
    </w:p>
    <w:p w14:paraId="27267BC3" w14:textId="77777777" w:rsidR="00F74831" w:rsidRPr="00F74831" w:rsidRDefault="00F74831" w:rsidP="007414EF">
      <w:pPr>
        <w:pStyle w:val="SB1"/>
      </w:pPr>
      <w:r w:rsidRPr="00F74831">
        <w:t>Replenishment Ratio</w:t>
      </w:r>
    </w:p>
    <w:p w14:paraId="0A669D58" w14:textId="77777777" w:rsidR="00F74831" w:rsidRPr="00F74831" w:rsidRDefault="00F74831" w:rsidP="00E16D2D">
      <w:pPr>
        <w:pStyle w:val="OB1"/>
      </w:pPr>
      <w:r w:rsidRPr="00F74831">
        <w:t>Employment and Training Investment Assessment (ETIA)</w:t>
      </w:r>
    </w:p>
    <w:p w14:paraId="1DAEE09C" w14:textId="77777777" w:rsidR="00F74831" w:rsidRPr="00F74831" w:rsidRDefault="00F74831" w:rsidP="00E16D2D">
      <w:pPr>
        <w:pStyle w:val="OB1"/>
      </w:pPr>
      <w:r w:rsidRPr="00F74831">
        <w:t>Obligation Assessment</w:t>
      </w:r>
    </w:p>
    <w:p w14:paraId="58EB7785" w14:textId="0ED37908" w:rsidR="00F74831" w:rsidRDefault="00F74831" w:rsidP="007414EF">
      <w:pPr>
        <w:pStyle w:val="SB1"/>
      </w:pPr>
      <w:r w:rsidRPr="00F74831">
        <w:t>Obligation Assessment</w:t>
      </w:r>
      <w:r>
        <w:t xml:space="preserve"> Ratio</w:t>
      </w:r>
    </w:p>
    <w:p w14:paraId="61D6D96F" w14:textId="4EA9EA32" w:rsidR="005B56FD" w:rsidRPr="005B56FD" w:rsidRDefault="005B56FD" w:rsidP="007414EF">
      <w:pPr>
        <w:pStyle w:val="SB1"/>
      </w:pPr>
      <w:r w:rsidRPr="005B56FD">
        <w:t>Prior Year Rate</w:t>
      </w:r>
    </w:p>
    <w:p w14:paraId="5C5501A8" w14:textId="5A90EC40" w:rsidR="00F74831" w:rsidRDefault="00F74831" w:rsidP="00E16D2D">
      <w:pPr>
        <w:pStyle w:val="OB1"/>
      </w:pPr>
      <w:r>
        <w:t>Deficit Tax Rate</w:t>
      </w:r>
    </w:p>
    <w:p w14:paraId="04C42D51" w14:textId="591A28AA" w:rsidR="005B56FD" w:rsidRDefault="005B56FD" w:rsidP="007414EF">
      <w:pPr>
        <w:pStyle w:val="SB1"/>
      </w:pPr>
      <w:r>
        <w:t>Deficit Ratio</w:t>
      </w:r>
    </w:p>
    <w:p w14:paraId="48DACD13" w14:textId="25BD4D98" w:rsidR="005B56FD" w:rsidRDefault="005B56FD" w:rsidP="007414EF">
      <w:pPr>
        <w:pStyle w:val="SB1"/>
      </w:pPr>
      <w:r>
        <w:t>Prior Year Rate</w:t>
      </w:r>
    </w:p>
    <w:p w14:paraId="442D69CA" w14:textId="77777777" w:rsidR="00F74831" w:rsidRDefault="00F74831" w:rsidP="00E16D2D">
      <w:pPr>
        <w:pStyle w:val="OB1"/>
      </w:pPr>
      <w:r>
        <w:t>Interest Tax Rate</w:t>
      </w:r>
    </w:p>
    <w:p w14:paraId="1D404978" w14:textId="77777777" w:rsidR="00F74831" w:rsidRDefault="00F74831" w:rsidP="00E16D2D">
      <w:pPr>
        <w:pStyle w:val="LB1"/>
      </w:pPr>
      <w:r>
        <w:t>System must (re)calculate the following rate types:</w:t>
      </w:r>
    </w:p>
    <w:p w14:paraId="464F4753" w14:textId="77777777" w:rsidR="00F74831" w:rsidRDefault="00F74831" w:rsidP="00116640">
      <w:pPr>
        <w:pStyle w:val="OB1"/>
      </w:pPr>
      <w:r>
        <w:t>Preliminary</w:t>
      </w:r>
    </w:p>
    <w:p w14:paraId="6A7026F9" w14:textId="77777777" w:rsidR="00F74831" w:rsidRDefault="00F74831" w:rsidP="00F82166">
      <w:pPr>
        <w:pStyle w:val="OB1"/>
      </w:pPr>
      <w:r>
        <w:t>Political Subdivision</w:t>
      </w:r>
    </w:p>
    <w:p w14:paraId="6B9406E8" w14:textId="77777777" w:rsidR="00F74831" w:rsidRDefault="00F74831" w:rsidP="00F82166">
      <w:pPr>
        <w:pStyle w:val="OB1"/>
      </w:pPr>
      <w:r>
        <w:t>Interim</w:t>
      </w:r>
    </w:p>
    <w:p w14:paraId="28D9D410" w14:textId="77777777" w:rsidR="00F74831" w:rsidRDefault="00F74831">
      <w:pPr>
        <w:pStyle w:val="OB1"/>
      </w:pPr>
      <w:r>
        <w:t>Annual</w:t>
      </w:r>
    </w:p>
    <w:p w14:paraId="47A9454D" w14:textId="77777777" w:rsidR="00F74831" w:rsidRDefault="00F74831" w:rsidP="00F74831">
      <w:pPr>
        <w:pStyle w:val="SB1"/>
      </w:pPr>
      <w:r>
        <w:t>Regular</w:t>
      </w:r>
    </w:p>
    <w:p w14:paraId="43D46C7F" w14:textId="77777777" w:rsidR="00F74831" w:rsidRDefault="00F74831" w:rsidP="00F74831">
      <w:pPr>
        <w:pStyle w:val="SB1"/>
      </w:pPr>
      <w:r>
        <w:t>Domestic</w:t>
      </w:r>
    </w:p>
    <w:p w14:paraId="4AFB0A47" w14:textId="77777777" w:rsidR="001F6D86" w:rsidRDefault="001F6D86" w:rsidP="00E16D2D">
      <w:pPr>
        <w:pStyle w:val="OB1"/>
      </w:pPr>
      <w:r>
        <w:t>C Rate (account activity caused rate change)</w:t>
      </w:r>
    </w:p>
    <w:p w14:paraId="47530F97" w14:textId="77777777" w:rsidR="00F74831" w:rsidRDefault="00F74831" w:rsidP="00E16D2D">
      <w:pPr>
        <w:pStyle w:val="OB1"/>
      </w:pPr>
      <w:r>
        <w:t>F Rate (acquisition related rate, combined rate)</w:t>
      </w:r>
    </w:p>
    <w:p w14:paraId="5889EA52" w14:textId="77777777" w:rsidR="00F74831" w:rsidRDefault="00F74831" w:rsidP="00116640">
      <w:pPr>
        <w:pStyle w:val="OB1"/>
      </w:pPr>
      <w:r>
        <w:t>G Rate (special industry rate)</w:t>
      </w:r>
    </w:p>
    <w:p w14:paraId="3DEF3D28" w14:textId="77777777" w:rsidR="00F74831" w:rsidRDefault="00F74831" w:rsidP="00F82166">
      <w:pPr>
        <w:pStyle w:val="OB1"/>
      </w:pPr>
      <w:r>
        <w:t>H Rate (acquisition related rate, highest rate value)</w:t>
      </w:r>
    </w:p>
    <w:p w14:paraId="5BD2E2C6" w14:textId="77777777" w:rsidR="001F6D86" w:rsidRDefault="001F6D86" w:rsidP="00F82166">
      <w:pPr>
        <w:pStyle w:val="OB1"/>
      </w:pPr>
      <w:r>
        <w:t>N Rate (rate components changed, but no change in overall rate)</w:t>
      </w:r>
    </w:p>
    <w:p w14:paraId="1E09FA8E" w14:textId="605444F8" w:rsidR="00F74831" w:rsidRDefault="00F74831">
      <w:pPr>
        <w:pStyle w:val="OB1"/>
      </w:pPr>
      <w:r>
        <w:t>X Rate (Forced rate based on a court order)</w:t>
      </w:r>
    </w:p>
    <w:p w14:paraId="7FDDD6F3" w14:textId="77777777" w:rsidR="00F74831" w:rsidRDefault="00F74831">
      <w:pPr>
        <w:pStyle w:val="LB1"/>
      </w:pPr>
      <w:r>
        <w:t>System must recalculate tax rates and taxes due based on account changes, including but not limited to:</w:t>
      </w:r>
    </w:p>
    <w:p w14:paraId="7C8C1F69" w14:textId="77777777" w:rsidR="00F74831" w:rsidRDefault="00F74831">
      <w:pPr>
        <w:pStyle w:val="OB1"/>
      </w:pPr>
      <w:r>
        <w:t>Adjustments (e.g., Quarter report adjustments/corrections with increased/decreased taxable wages)</w:t>
      </w:r>
    </w:p>
    <w:p w14:paraId="269DF828" w14:textId="77777777" w:rsidR="00F74831" w:rsidRDefault="00F74831">
      <w:pPr>
        <w:pStyle w:val="OB1"/>
      </w:pPr>
      <w:r>
        <w:t>Acquisitions</w:t>
      </w:r>
    </w:p>
    <w:p w14:paraId="1545D77F" w14:textId="77777777" w:rsidR="00F74831" w:rsidRDefault="00F74831">
      <w:pPr>
        <w:pStyle w:val="OB1"/>
      </w:pPr>
      <w:r>
        <w:t>Voids of acquisitions</w:t>
      </w:r>
    </w:p>
    <w:p w14:paraId="3368E91F" w14:textId="77777777" w:rsidR="00F74831" w:rsidRDefault="00F74831">
      <w:pPr>
        <w:pStyle w:val="OB1"/>
      </w:pPr>
      <w:r>
        <w:t>First chargeable quarter</w:t>
      </w:r>
    </w:p>
    <w:p w14:paraId="5AC416C3" w14:textId="77777777" w:rsidR="00F74831" w:rsidRDefault="00F74831">
      <w:pPr>
        <w:pStyle w:val="OB1"/>
      </w:pPr>
      <w:r>
        <w:lastRenderedPageBreak/>
        <w:t xml:space="preserve">Reallocation of remittances </w:t>
      </w:r>
    </w:p>
    <w:p w14:paraId="2FAA2223" w14:textId="2E08E5F5" w:rsidR="00F74831" w:rsidRDefault="00F74831">
      <w:pPr>
        <w:pStyle w:val="OB1"/>
      </w:pPr>
      <w:r>
        <w:t>NAICS code change</w:t>
      </w:r>
    </w:p>
    <w:p w14:paraId="266AADC4" w14:textId="1FE7C0E3" w:rsidR="005B56FD" w:rsidRDefault="005B56FD">
      <w:pPr>
        <w:pStyle w:val="OB1"/>
      </w:pPr>
      <w:r>
        <w:t>Voluntary contributions</w:t>
      </w:r>
    </w:p>
    <w:p w14:paraId="18DF88A7" w14:textId="2CEB0BC4" w:rsidR="005B56FD" w:rsidRDefault="005B56FD">
      <w:pPr>
        <w:pStyle w:val="OB1"/>
      </w:pPr>
      <w:r>
        <w:t>Chargeback adjustments</w:t>
      </w:r>
    </w:p>
    <w:p w14:paraId="502F284E" w14:textId="32423839" w:rsidR="001271BE" w:rsidRDefault="001271BE">
      <w:pPr>
        <w:pStyle w:val="OB1"/>
      </w:pPr>
      <w:r>
        <w:t>Reopened accounts</w:t>
      </w:r>
    </w:p>
    <w:p w14:paraId="3173B37B" w14:textId="28D60E62" w:rsidR="001271BE" w:rsidRDefault="001271BE">
      <w:pPr>
        <w:pStyle w:val="OB1"/>
      </w:pPr>
      <w:r>
        <w:t>Transferred reports and remittances</w:t>
      </w:r>
    </w:p>
    <w:p w14:paraId="2CEC76C0" w14:textId="093D1702" w:rsidR="00F74831" w:rsidRDefault="00F74831">
      <w:pPr>
        <w:pStyle w:val="LB1"/>
      </w:pPr>
      <w:r>
        <w:t>System must not calculate rates for reimbursing accounts</w:t>
      </w:r>
    </w:p>
    <w:p w14:paraId="07A8524A" w14:textId="5A56CA02" w:rsidR="00730C94" w:rsidRDefault="00730C94">
      <w:pPr>
        <w:pStyle w:val="LB1"/>
      </w:pPr>
      <w:r>
        <w:t>System must delete rates for established</w:t>
      </w:r>
      <w:r w:rsidR="00275049">
        <w:t>-</w:t>
      </w:r>
      <w:r>
        <w:t>in</w:t>
      </w:r>
      <w:r w:rsidR="00275049">
        <w:t>-</w:t>
      </w:r>
      <w:r>
        <w:t>error accounts</w:t>
      </w:r>
    </w:p>
    <w:p w14:paraId="06947C05" w14:textId="77777777" w:rsidR="00F74831" w:rsidRDefault="00F74831">
      <w:pPr>
        <w:pStyle w:val="LB1"/>
      </w:pPr>
      <w:r>
        <w:t>System must calculate shared rates for situations such as</w:t>
      </w:r>
    </w:p>
    <w:p w14:paraId="09667E3F" w14:textId="77777777" w:rsidR="00F74831" w:rsidRDefault="00F74831">
      <w:pPr>
        <w:pStyle w:val="OB1"/>
      </w:pPr>
      <w:r>
        <w:t>Franchisor/Franchisee, reacquisitions</w:t>
      </w:r>
    </w:p>
    <w:p w14:paraId="3C05F3BB" w14:textId="77777777" w:rsidR="00F74831" w:rsidRDefault="00F74831">
      <w:pPr>
        <w:pStyle w:val="OB1"/>
      </w:pPr>
      <w:r>
        <w:t xml:space="preserve">Partial acquisitions </w:t>
      </w:r>
    </w:p>
    <w:p w14:paraId="55A01771" w14:textId="241A7C30" w:rsidR="00001B3F" w:rsidRDefault="00F74831">
      <w:pPr>
        <w:pStyle w:val="LB1"/>
      </w:pPr>
      <w:r w:rsidRPr="00AD0A94">
        <w:t>System must allow Staff to override automatic rate calculations</w:t>
      </w:r>
      <w:r w:rsidR="00001B3F" w:rsidRPr="00001B3F">
        <w:t xml:space="preserve"> </w:t>
      </w:r>
    </w:p>
    <w:p w14:paraId="79B03E69" w14:textId="406A6B28" w:rsidR="00001B3F" w:rsidRDefault="00001B3F">
      <w:pPr>
        <w:pStyle w:val="LB1"/>
      </w:pPr>
      <w:r>
        <w:t xml:space="preserve">System must </w:t>
      </w:r>
      <w:r w:rsidRPr="00652056">
        <w:t>allow Employer</w:t>
      </w:r>
      <w:r w:rsidR="00652056" w:rsidRPr="00652056">
        <w:t>s</w:t>
      </w:r>
      <w:r w:rsidRPr="00652056">
        <w:t>/TPA</w:t>
      </w:r>
      <w:r w:rsidR="00652056" w:rsidRPr="00652056">
        <w:t>s</w:t>
      </w:r>
      <w:r>
        <w:t xml:space="preserve"> to upload and process partial transfer of experience data (Form C-82/C-83) according to TUCA</w:t>
      </w:r>
    </w:p>
    <w:p w14:paraId="4B64134A" w14:textId="795745B7" w:rsidR="00F74831" w:rsidRDefault="00001B3F">
      <w:pPr>
        <w:pStyle w:val="LB1"/>
      </w:pPr>
      <w:r>
        <w:t>System must allow Staff to override partial transfer of experience data (Form C-82/C-83)</w:t>
      </w:r>
    </w:p>
    <w:p w14:paraId="7E7372E8" w14:textId="77777777" w:rsidR="001271BE" w:rsidRDefault="00F74831">
      <w:pPr>
        <w:pStyle w:val="LB1"/>
      </w:pPr>
      <w:r>
        <w:t>System must allow Staff to view all historical rates including reason for change</w:t>
      </w:r>
      <w:r w:rsidR="001271BE">
        <w:t>s and no changes</w:t>
      </w:r>
    </w:p>
    <w:p w14:paraId="5944ED3A" w14:textId="16948D46" w:rsidR="00F74831" w:rsidRDefault="001271BE">
      <w:pPr>
        <w:pStyle w:val="LB1"/>
      </w:pPr>
      <w:bookmarkStart w:id="322" w:name="_Hlk531953041"/>
      <w:r>
        <w:t>System must allow Staff to override shared rate information between predecessor and successor accounts</w:t>
      </w:r>
      <w:r w:rsidR="00693D48">
        <w:t xml:space="preserve"> for partial acquisitions</w:t>
      </w:r>
      <w:r w:rsidR="00F74831">
        <w:t xml:space="preserve"> </w:t>
      </w:r>
      <w:r w:rsidR="00C80C0C">
        <w:t>and transfer of taxable wages</w:t>
      </w:r>
    </w:p>
    <w:bookmarkEnd w:id="322"/>
    <w:p w14:paraId="4011DA8A" w14:textId="4EE55897" w:rsidR="00730C94" w:rsidRDefault="00730C94">
      <w:pPr>
        <w:pStyle w:val="LB1"/>
      </w:pPr>
      <w:r>
        <w:t>System must allow Staff to update transfer taxable wages</w:t>
      </w:r>
    </w:p>
    <w:p w14:paraId="40C87424" w14:textId="61282BDF" w:rsidR="00730C94" w:rsidRDefault="00730C94">
      <w:pPr>
        <w:pStyle w:val="LB1"/>
      </w:pPr>
      <w:r>
        <w:t xml:space="preserve">System must </w:t>
      </w:r>
      <w:r w:rsidR="000140DA">
        <w:t>generate</w:t>
      </w:r>
      <w:r>
        <w:t xml:space="preserve"> Employer Chargeback summary report</w:t>
      </w:r>
      <w:r w:rsidR="000140DA">
        <w:t xml:space="preserve"> upon request</w:t>
      </w:r>
    </w:p>
    <w:p w14:paraId="3F9F824C" w14:textId="77777777" w:rsidR="007923AC" w:rsidRDefault="00F74831">
      <w:pPr>
        <w:pStyle w:val="LB1"/>
      </w:pPr>
      <w:r w:rsidRPr="00401982">
        <w:t>System must include all functionality necessary to identify potential SUTA dumping cases</w:t>
      </w:r>
      <w:r>
        <w:t xml:space="preserve"> (currently </w:t>
      </w:r>
      <w:r w:rsidRPr="00063CBB">
        <w:t>SDDS</w:t>
      </w:r>
      <w:r>
        <w:t>)</w:t>
      </w:r>
    </w:p>
    <w:p w14:paraId="444DA0C3" w14:textId="66FE2A09" w:rsidR="00F74831" w:rsidRDefault="00F74831">
      <w:pPr>
        <w:pStyle w:val="LB1"/>
      </w:pPr>
      <w:r w:rsidRPr="00401982">
        <w:t xml:space="preserve">The Offeror must describe how the System cross-matches </w:t>
      </w:r>
      <w:r w:rsidR="009521D7">
        <w:t xml:space="preserve">Employer </w:t>
      </w:r>
      <w:r w:rsidRPr="00401982">
        <w:t xml:space="preserve">records and quarterly wage data to identify </w:t>
      </w:r>
      <w:r w:rsidR="009521D7">
        <w:t xml:space="preserve">Employers </w:t>
      </w:r>
      <w:r w:rsidRPr="00401982">
        <w:t>who meet the criteria for potential SUTA dumping as well as how the System tracks and maintains those flagged records through to completion</w:t>
      </w:r>
    </w:p>
    <w:p w14:paraId="711D38BF" w14:textId="77777777" w:rsidR="00F74831" w:rsidRDefault="00F74831">
      <w:pPr>
        <w:pStyle w:val="LB1"/>
      </w:pPr>
      <w:r>
        <w:t>System must manage UI trust fund floor and ceiling amounts based on TUCA</w:t>
      </w:r>
    </w:p>
    <w:p w14:paraId="0916E469" w14:textId="77777777" w:rsidR="00F74831" w:rsidRDefault="00F74831">
      <w:pPr>
        <w:pStyle w:val="LB1"/>
      </w:pPr>
      <w:r>
        <w:t>System must calculate surplus credit rate reduction based on TUCA</w:t>
      </w:r>
    </w:p>
    <w:p w14:paraId="4E454EB6" w14:textId="77777777" w:rsidR="00F74831" w:rsidRDefault="00F74831">
      <w:pPr>
        <w:pStyle w:val="LB1"/>
      </w:pPr>
      <w:r>
        <w:t>System must process voluntary contributions for situations including, but not limited to:</w:t>
      </w:r>
    </w:p>
    <w:p w14:paraId="53E9694B" w14:textId="77777777" w:rsidR="00F74831" w:rsidRDefault="00F74831">
      <w:pPr>
        <w:pStyle w:val="OB1"/>
      </w:pPr>
      <w:r>
        <w:t>System must apply payments to the Employer account and lower their General Tax Rate</w:t>
      </w:r>
    </w:p>
    <w:p w14:paraId="3C793F88" w14:textId="77777777" w:rsidR="00F74831" w:rsidRDefault="00F74831">
      <w:pPr>
        <w:pStyle w:val="OB1"/>
      </w:pPr>
      <w:r>
        <w:t>System must apply credits to the Employer account (e.g., Appeals) and reallocate the payment from Voluntary Contribution Journal to the General Cash Journal</w:t>
      </w:r>
    </w:p>
    <w:p w14:paraId="128723B8" w14:textId="77777777" w:rsidR="00F74831" w:rsidRDefault="00F74831">
      <w:pPr>
        <w:pStyle w:val="LB1"/>
      </w:pPr>
      <w:r>
        <w:t>System must allow Staff to post corrections</w:t>
      </w:r>
    </w:p>
    <w:p w14:paraId="6571FF1E" w14:textId="58651482" w:rsidR="00F74831" w:rsidRDefault="00F74831">
      <w:pPr>
        <w:pStyle w:val="LB1"/>
      </w:pPr>
      <w:r w:rsidRPr="005A3F69">
        <w:t xml:space="preserve">System must </w:t>
      </w:r>
      <w:r w:rsidR="00881D11">
        <w:t>allow Staff</w:t>
      </w:r>
      <w:r w:rsidRPr="005A3F69">
        <w:t xml:space="preserve"> </w:t>
      </w:r>
      <w:r w:rsidR="00881D11">
        <w:t>and Employer</w:t>
      </w:r>
      <w:r w:rsidRPr="005A3F69">
        <w:t xml:space="preserve">s to perform voluntary contribution and </w:t>
      </w:r>
      <w:r w:rsidR="007923AC">
        <w:t>“</w:t>
      </w:r>
      <w:r w:rsidRPr="005A3F69">
        <w:t>what if</w:t>
      </w:r>
      <w:r w:rsidR="007923AC">
        <w:t>”</w:t>
      </w:r>
      <w:r w:rsidRPr="005A3F69">
        <w:t xml:space="preserve"> scenarios to view the outcome of new tax rate calculations prior to the outcome becoming official</w:t>
      </w:r>
    </w:p>
    <w:p w14:paraId="6155015B" w14:textId="77777777" w:rsidR="00F74831" w:rsidRDefault="00F74831">
      <w:pPr>
        <w:pStyle w:val="LB1"/>
      </w:pPr>
      <w:r>
        <w:t>System must generate and distribute outgoing correspondence</w:t>
      </w:r>
    </w:p>
    <w:p w14:paraId="1521E9A3" w14:textId="77777777" w:rsidR="00F74831" w:rsidRDefault="00F74831">
      <w:pPr>
        <w:pStyle w:val="OB1"/>
      </w:pPr>
      <w:r>
        <w:lastRenderedPageBreak/>
        <w:t>Based on templates</w:t>
      </w:r>
    </w:p>
    <w:p w14:paraId="510CC311" w14:textId="77777777" w:rsidR="00F74831" w:rsidRDefault="00F74831">
      <w:pPr>
        <w:pStyle w:val="OB1"/>
      </w:pPr>
      <w:r>
        <w:t>Customizable by Staff</w:t>
      </w:r>
    </w:p>
    <w:p w14:paraId="71A44D7F" w14:textId="77777777" w:rsidR="00F74831" w:rsidRDefault="00F74831">
      <w:pPr>
        <w:pStyle w:val="OB1"/>
      </w:pPr>
      <w:r>
        <w:t>Allows Staff to create new templates</w:t>
      </w:r>
    </w:p>
    <w:p w14:paraId="473DF7AC" w14:textId="77777777" w:rsidR="00F74831" w:rsidRDefault="00F74831">
      <w:pPr>
        <w:pStyle w:val="OB1"/>
      </w:pPr>
      <w:r>
        <w:t>English and Spanish</w:t>
      </w:r>
    </w:p>
    <w:p w14:paraId="2F53691D" w14:textId="77777777" w:rsidR="00F74831" w:rsidRDefault="00F74831">
      <w:pPr>
        <w:pStyle w:val="OB1"/>
      </w:pPr>
      <w:r>
        <w:t>Distributed based on Employers preferred method</w:t>
      </w:r>
    </w:p>
    <w:p w14:paraId="2DF43908" w14:textId="77777777" w:rsidR="00F74831" w:rsidRDefault="00F74831">
      <w:pPr>
        <w:pStyle w:val="OB1"/>
      </w:pPr>
      <w:r>
        <w:t>System to capture and retain history of all correspondence sent</w:t>
      </w:r>
    </w:p>
    <w:p w14:paraId="0D3CA3ED" w14:textId="77777777" w:rsidR="00F74831" w:rsidRDefault="00F74831">
      <w:pPr>
        <w:pStyle w:val="OB1"/>
      </w:pPr>
      <w:r>
        <w:t>Types of correspondence including, but not limited to:</w:t>
      </w:r>
    </w:p>
    <w:p w14:paraId="6A698187" w14:textId="77777777" w:rsidR="00F74831" w:rsidRDefault="00F74831" w:rsidP="00F74831">
      <w:pPr>
        <w:pStyle w:val="SB1"/>
      </w:pPr>
      <w:r>
        <w:t>Tax rate notices</w:t>
      </w:r>
    </w:p>
    <w:p w14:paraId="6C9B0E5A" w14:textId="77777777" w:rsidR="00F74831" w:rsidRDefault="00F74831" w:rsidP="00F74831">
      <w:pPr>
        <w:pStyle w:val="SB1"/>
      </w:pPr>
      <w:r>
        <w:t>Annual rate notices</w:t>
      </w:r>
    </w:p>
    <w:p w14:paraId="13828BA2" w14:textId="77777777" w:rsidR="00F74831" w:rsidRDefault="00F74831" w:rsidP="00F74831">
      <w:pPr>
        <w:pStyle w:val="SB1"/>
      </w:pPr>
      <w:r>
        <w:t>Voluntary contribution</w:t>
      </w:r>
    </w:p>
    <w:p w14:paraId="12337FED" w14:textId="77777777" w:rsidR="00F74831" w:rsidRDefault="00F74831" w:rsidP="00F74831">
      <w:pPr>
        <w:pStyle w:val="SB1"/>
      </w:pPr>
      <w:r>
        <w:t>Letters</w:t>
      </w:r>
    </w:p>
    <w:p w14:paraId="5CBF51CE" w14:textId="77777777" w:rsidR="00F74831" w:rsidRDefault="00F74831" w:rsidP="00F74831"/>
    <w:p w14:paraId="32B23A35" w14:textId="5596CD03" w:rsidR="00F74831" w:rsidRDefault="00F74831" w:rsidP="00F74831">
      <w:pPr>
        <w:rPr>
          <w:u w:val="single"/>
        </w:rPr>
      </w:pPr>
      <w:r w:rsidRPr="00F74831">
        <w:rPr>
          <w:u w:val="single"/>
        </w:rPr>
        <w:t>Alternate Activities and Special Cases</w:t>
      </w:r>
    </w:p>
    <w:p w14:paraId="5F6B0410" w14:textId="77777777" w:rsidR="004F7DCA" w:rsidRDefault="004F7DCA" w:rsidP="004F7DCA">
      <w:r>
        <w:t>System must support the following alternate activities and special cases:</w:t>
      </w:r>
    </w:p>
    <w:p w14:paraId="7A6FCC15" w14:textId="77777777" w:rsidR="00F74831" w:rsidRDefault="00F74831" w:rsidP="00E16D2D">
      <w:pPr>
        <w:pStyle w:val="LB1"/>
      </w:pPr>
      <w:r>
        <w:t>Tax rate surplus credit rate reduction</w:t>
      </w:r>
    </w:p>
    <w:p w14:paraId="2DF530C0" w14:textId="77777777" w:rsidR="00F74831" w:rsidRDefault="00F74831" w:rsidP="00E16D2D">
      <w:pPr>
        <w:pStyle w:val="LB1"/>
      </w:pPr>
      <w:r>
        <w:t>Benefit chargebacks adjustments</w:t>
      </w:r>
    </w:p>
    <w:p w14:paraId="325BF79D" w14:textId="70E48FCD" w:rsidR="00F74831" w:rsidRDefault="007923AC" w:rsidP="00116640">
      <w:pPr>
        <w:pStyle w:val="LB1"/>
      </w:pPr>
      <w:r>
        <w:t>A</w:t>
      </w:r>
      <w:r w:rsidR="00F74831" w:rsidRPr="000167B0">
        <w:t xml:space="preserve">utomatically calculate the tax rate of single or multiple predecessors or successors </w:t>
      </w:r>
      <w:r w:rsidR="00930F59">
        <w:t>Employer</w:t>
      </w:r>
      <w:r w:rsidR="00F74831" w:rsidRPr="000167B0">
        <w:t>(s) account when there is a total or partial transfer of business</w:t>
      </w:r>
    </w:p>
    <w:p w14:paraId="0D370EEA" w14:textId="77777777" w:rsidR="00F74831" w:rsidRDefault="00F74831" w:rsidP="00F82166">
      <w:pPr>
        <w:pStyle w:val="LB1"/>
      </w:pPr>
      <w:r>
        <w:t>Group accounts</w:t>
      </w:r>
    </w:p>
    <w:p w14:paraId="1443E86C" w14:textId="04B9970B" w:rsidR="00F74831" w:rsidRDefault="00F74831" w:rsidP="00F82166">
      <w:pPr>
        <w:pStyle w:val="LB1"/>
      </w:pPr>
      <w:r>
        <w:t xml:space="preserve">For multiple transactions on the same day, process transactions based on order of precedence </w:t>
      </w:r>
    </w:p>
    <w:p w14:paraId="09A7298E" w14:textId="6DED5C62" w:rsidR="001271BE" w:rsidRDefault="007923AC">
      <w:pPr>
        <w:pStyle w:val="LB1"/>
      </w:pPr>
      <w:r>
        <w:t>A</w:t>
      </w:r>
      <w:r w:rsidR="001271BE">
        <w:t xml:space="preserve">llow TPAs to </w:t>
      </w:r>
      <w:r w:rsidR="000140DA">
        <w:t xml:space="preserve">extract a </w:t>
      </w:r>
      <w:r w:rsidR="001271BE">
        <w:t xml:space="preserve">rate </w:t>
      </w:r>
      <w:r w:rsidR="000140DA">
        <w:t xml:space="preserve">file </w:t>
      </w:r>
      <w:r w:rsidR="001271BE">
        <w:t xml:space="preserve">for multiple </w:t>
      </w:r>
      <w:r w:rsidR="00930F59">
        <w:t>Employer</w:t>
      </w:r>
      <w:r w:rsidR="001271BE">
        <w:t xml:space="preserve"> accounts</w:t>
      </w:r>
    </w:p>
    <w:p w14:paraId="0C3840AB" w14:textId="77777777" w:rsidR="00F74831" w:rsidRDefault="00F74831" w:rsidP="00F74831"/>
    <w:p w14:paraId="28B5E76F" w14:textId="5BAA0335" w:rsidR="00142A37" w:rsidRDefault="00142A37" w:rsidP="00142A37">
      <w:pPr>
        <w:pStyle w:val="Heading4"/>
      </w:pPr>
      <w:r>
        <w:tab/>
      </w:r>
      <w:r w:rsidR="00EF25C9">
        <w:t>Conduct Audits</w:t>
      </w:r>
    </w:p>
    <w:p w14:paraId="657C4EA9" w14:textId="0CBBB163" w:rsidR="00142A37" w:rsidRPr="00B0723C" w:rsidRDefault="00EF25C9" w:rsidP="00142A37">
      <w:r>
        <w:t>This process includes all activities required to conduct Employer audits</w:t>
      </w:r>
      <w:r w:rsidR="009B5C80">
        <w:t>.</w:t>
      </w:r>
    </w:p>
    <w:p w14:paraId="6CE29237" w14:textId="77777777" w:rsidR="00142A37" w:rsidRPr="003A23F0" w:rsidRDefault="00142A37" w:rsidP="00142A37">
      <w:pPr>
        <w:rPr>
          <w:u w:val="single"/>
        </w:rPr>
      </w:pPr>
      <w:r w:rsidRPr="003A23F0">
        <w:rPr>
          <w:u w:val="single"/>
        </w:rPr>
        <w:t>Actors</w:t>
      </w:r>
    </w:p>
    <w:p w14:paraId="5221C05B" w14:textId="77777777" w:rsidR="009B5C80" w:rsidRDefault="009B5C80" w:rsidP="00E16D2D">
      <w:pPr>
        <w:pStyle w:val="LB1"/>
      </w:pPr>
      <w:r>
        <w:t>Employers</w:t>
      </w:r>
    </w:p>
    <w:p w14:paraId="73DD3E3E" w14:textId="77777777" w:rsidR="009B5C80" w:rsidRDefault="009B5C80" w:rsidP="00E16D2D">
      <w:pPr>
        <w:pStyle w:val="LB1"/>
      </w:pPr>
      <w:r>
        <w:t>Staff</w:t>
      </w:r>
    </w:p>
    <w:p w14:paraId="09A9D2E7" w14:textId="77777777" w:rsidR="009B5C80" w:rsidRDefault="009B5C80" w:rsidP="00116640">
      <w:pPr>
        <w:pStyle w:val="LB1"/>
      </w:pPr>
      <w:r>
        <w:t>TPAs</w:t>
      </w:r>
    </w:p>
    <w:p w14:paraId="57C3AC43" w14:textId="77777777" w:rsidR="00142A37" w:rsidRPr="00DF6567" w:rsidRDefault="00142A37" w:rsidP="00142A37"/>
    <w:p w14:paraId="08B46953" w14:textId="77777777" w:rsidR="00142A37" w:rsidRPr="003A23F0" w:rsidRDefault="00142A37" w:rsidP="00142A37">
      <w:pPr>
        <w:rPr>
          <w:u w:val="single"/>
        </w:rPr>
      </w:pPr>
      <w:r w:rsidRPr="003A23F0">
        <w:rPr>
          <w:u w:val="single"/>
        </w:rPr>
        <w:t>Main Activities</w:t>
      </w:r>
    </w:p>
    <w:p w14:paraId="7A432443" w14:textId="7EB55D95" w:rsidR="00EF25C9" w:rsidRDefault="00EF25C9" w:rsidP="00E16D2D">
      <w:pPr>
        <w:pStyle w:val="LB1"/>
      </w:pPr>
      <w:r w:rsidRPr="005422F7">
        <w:t xml:space="preserve">System must include all functionality necessary to </w:t>
      </w:r>
      <w:r>
        <w:t xml:space="preserve">select </w:t>
      </w:r>
      <w:r w:rsidR="009521D7">
        <w:t xml:space="preserve">Employers </w:t>
      </w:r>
      <w:r>
        <w:t>to be audited</w:t>
      </w:r>
    </w:p>
    <w:p w14:paraId="7CD308A9" w14:textId="77777777" w:rsidR="00EF25C9" w:rsidRDefault="00EF25C9" w:rsidP="00E16D2D">
      <w:pPr>
        <w:pStyle w:val="OB1"/>
      </w:pPr>
      <w:r>
        <w:t>Random</w:t>
      </w:r>
    </w:p>
    <w:p w14:paraId="47003202" w14:textId="77777777" w:rsidR="00EF25C9" w:rsidRDefault="00EF25C9" w:rsidP="00E16D2D">
      <w:pPr>
        <w:pStyle w:val="OB1"/>
      </w:pPr>
      <w:r>
        <w:t>Stratified by characteristics of an Employer account</w:t>
      </w:r>
    </w:p>
    <w:p w14:paraId="6D8B3EE1" w14:textId="77777777" w:rsidR="00EF25C9" w:rsidRDefault="00EF25C9" w:rsidP="00EF25C9">
      <w:pPr>
        <w:pStyle w:val="SB1"/>
      </w:pPr>
      <w:r>
        <w:t>System must allow Business Staff to change characteristics without technical support assistance</w:t>
      </w:r>
    </w:p>
    <w:p w14:paraId="11F83ADF" w14:textId="77777777" w:rsidR="00EF25C9" w:rsidRDefault="00EF25C9" w:rsidP="00E16D2D">
      <w:pPr>
        <w:pStyle w:val="LB1"/>
      </w:pPr>
      <w:r>
        <w:lastRenderedPageBreak/>
        <w:t xml:space="preserve">System must allow Staff to </w:t>
      </w:r>
      <w:r w:rsidRPr="005422F7">
        <w:t>ma</w:t>
      </w:r>
      <w:r>
        <w:t>nually select audit candidates</w:t>
      </w:r>
    </w:p>
    <w:p w14:paraId="7AF73DAC" w14:textId="79D4869C" w:rsidR="00EF25C9" w:rsidRDefault="00EF25C9" w:rsidP="00E16D2D">
      <w:pPr>
        <w:pStyle w:val="LB1"/>
      </w:pPr>
      <w:r>
        <w:t>System must either integrate with COMPAS (Texas current auditing software;</w:t>
      </w:r>
      <w:r w:rsidRPr="00817DCF">
        <w:t xml:space="preserve"> </w:t>
      </w:r>
      <w:hyperlink r:id="rId76" w:history="1">
        <w:r>
          <w:rPr>
            <w:rStyle w:val="Hyperlink"/>
          </w:rPr>
          <w:t>http://www.mtwsolutions.com/</w:t>
        </w:r>
      </w:hyperlink>
      <w:r>
        <w:t>) or include similar functionality</w:t>
      </w:r>
    </w:p>
    <w:p w14:paraId="7A05E651" w14:textId="1E6D85FE" w:rsidR="00EF25C9" w:rsidRDefault="00EF25C9" w:rsidP="00116640">
      <w:pPr>
        <w:pStyle w:val="OB1"/>
      </w:pPr>
      <w:r w:rsidRPr="005422F7">
        <w:t xml:space="preserve">At a minimum, the Offeror must describe how their system notifies </w:t>
      </w:r>
      <w:r w:rsidR="009521D7">
        <w:t xml:space="preserve">Employers </w:t>
      </w:r>
      <w:r w:rsidRPr="005422F7">
        <w:t xml:space="preserve">of an audit; downloads existing </w:t>
      </w:r>
      <w:r w:rsidR="009521D7">
        <w:t xml:space="preserve">Employer </w:t>
      </w:r>
      <w:r w:rsidRPr="005422F7">
        <w:t xml:space="preserve">and wage data; </w:t>
      </w:r>
      <w:r>
        <w:t xml:space="preserve">allows for expanded audits; </w:t>
      </w:r>
      <w:r w:rsidRPr="005422F7">
        <w:t xml:space="preserve">accepts audit findings; process results into System; and </w:t>
      </w:r>
      <w:r>
        <w:t>sends post audit correspondence</w:t>
      </w:r>
    </w:p>
    <w:p w14:paraId="4F61B4ED" w14:textId="367DC77B" w:rsidR="00EF25C9" w:rsidRDefault="00EF25C9" w:rsidP="00F82166">
      <w:pPr>
        <w:pStyle w:val="LB1"/>
      </w:pPr>
      <w:r>
        <w:t>System must update Employer account based on audit results</w:t>
      </w:r>
    </w:p>
    <w:p w14:paraId="7266B98B" w14:textId="77777777" w:rsidR="00EF25C9" w:rsidRDefault="00EF25C9" w:rsidP="00F82166">
      <w:pPr>
        <w:pStyle w:val="LB1"/>
      </w:pPr>
      <w:r>
        <w:t>System must generate and distribute outgoing correspondence</w:t>
      </w:r>
    </w:p>
    <w:p w14:paraId="69E8F457" w14:textId="77777777" w:rsidR="00EF25C9" w:rsidRDefault="00EF25C9">
      <w:pPr>
        <w:pStyle w:val="OB1"/>
      </w:pPr>
      <w:r>
        <w:t>Based on templates</w:t>
      </w:r>
    </w:p>
    <w:p w14:paraId="28F2AEB5" w14:textId="77777777" w:rsidR="00EF25C9" w:rsidRDefault="00EF25C9">
      <w:pPr>
        <w:pStyle w:val="OB1"/>
      </w:pPr>
      <w:r>
        <w:t>Customizable by Staff</w:t>
      </w:r>
    </w:p>
    <w:p w14:paraId="01252E53" w14:textId="77777777" w:rsidR="00EF25C9" w:rsidRDefault="00EF25C9">
      <w:pPr>
        <w:pStyle w:val="OB1"/>
      </w:pPr>
      <w:r>
        <w:t>Allows Staff to create new templates</w:t>
      </w:r>
    </w:p>
    <w:p w14:paraId="0A6ECE18" w14:textId="77777777" w:rsidR="00EF25C9" w:rsidRDefault="00EF25C9">
      <w:pPr>
        <w:pStyle w:val="OB1"/>
      </w:pPr>
      <w:r>
        <w:t>English and Spanish</w:t>
      </w:r>
    </w:p>
    <w:p w14:paraId="57E51B14" w14:textId="77777777" w:rsidR="00EF25C9" w:rsidRDefault="00EF25C9">
      <w:pPr>
        <w:pStyle w:val="OB1"/>
      </w:pPr>
      <w:r>
        <w:t>Distributed based on Employers preferred method</w:t>
      </w:r>
    </w:p>
    <w:p w14:paraId="0B4CA1A0" w14:textId="77777777" w:rsidR="00EF25C9" w:rsidRDefault="00EF25C9">
      <w:pPr>
        <w:pStyle w:val="OB1"/>
      </w:pPr>
      <w:r>
        <w:t>System to capture and retain history of all correspondence sent</w:t>
      </w:r>
    </w:p>
    <w:p w14:paraId="15E140B5" w14:textId="77777777" w:rsidR="00EF25C9" w:rsidRDefault="00EF25C9">
      <w:pPr>
        <w:pStyle w:val="OB1"/>
      </w:pPr>
      <w:r>
        <w:t>Types of correspondence including, but not limited to:</w:t>
      </w:r>
    </w:p>
    <w:p w14:paraId="7D7C2176" w14:textId="77777777" w:rsidR="00EF25C9" w:rsidRDefault="00EF25C9" w:rsidP="00EF25C9">
      <w:pPr>
        <w:pStyle w:val="SB1"/>
      </w:pPr>
      <w:r>
        <w:t>Audit appointment letter</w:t>
      </w:r>
    </w:p>
    <w:p w14:paraId="1E1CB789" w14:textId="77777777" w:rsidR="00EF25C9" w:rsidRDefault="00EF25C9" w:rsidP="00EF25C9">
      <w:pPr>
        <w:pStyle w:val="SB1"/>
      </w:pPr>
      <w:r>
        <w:t>Pre-audit questionnaire</w:t>
      </w:r>
    </w:p>
    <w:p w14:paraId="4EB9CC6C" w14:textId="4875851B" w:rsidR="00EF25C9" w:rsidRDefault="00EF25C9" w:rsidP="00EF25C9">
      <w:pPr>
        <w:pStyle w:val="SB1"/>
      </w:pPr>
      <w:r>
        <w:t>Post-audit letter including audit findings</w:t>
      </w:r>
    </w:p>
    <w:p w14:paraId="48E43A47" w14:textId="77777777" w:rsidR="00EF25C9" w:rsidRDefault="00EF25C9" w:rsidP="00EF25C9">
      <w:pPr>
        <w:pStyle w:val="SB1"/>
      </w:pPr>
      <w:r>
        <w:t>Survey</w:t>
      </w:r>
    </w:p>
    <w:p w14:paraId="769C96F9" w14:textId="77777777" w:rsidR="00EF25C9" w:rsidRDefault="00EF25C9" w:rsidP="00EF25C9"/>
    <w:p w14:paraId="7B1A0995" w14:textId="11D7EE3F" w:rsidR="00142A37" w:rsidRDefault="00142A37" w:rsidP="00142A37">
      <w:pPr>
        <w:pStyle w:val="Heading4"/>
      </w:pPr>
      <w:r>
        <w:tab/>
      </w:r>
      <w:r w:rsidR="00EF25C9">
        <w:t>Assign Investigative Tasks</w:t>
      </w:r>
    </w:p>
    <w:p w14:paraId="30EE8E8B" w14:textId="1509F155" w:rsidR="00142A37" w:rsidRPr="00B0723C" w:rsidRDefault="00EF25C9" w:rsidP="00142A37">
      <w:r>
        <w:t xml:space="preserve">This process includes all activities required to assign work to </w:t>
      </w:r>
      <w:r w:rsidR="009521D7">
        <w:t>Staff</w:t>
      </w:r>
      <w:r>
        <w:t xml:space="preserve"> and track via workflow</w:t>
      </w:r>
      <w:r w:rsidR="009B5C80">
        <w:t>.</w:t>
      </w:r>
    </w:p>
    <w:p w14:paraId="4ADF3640" w14:textId="77777777" w:rsidR="00142A37" w:rsidRPr="003A23F0" w:rsidRDefault="00142A37" w:rsidP="00142A37">
      <w:pPr>
        <w:rPr>
          <w:u w:val="single"/>
        </w:rPr>
      </w:pPr>
      <w:r w:rsidRPr="003A23F0">
        <w:rPr>
          <w:u w:val="single"/>
        </w:rPr>
        <w:t>Actors</w:t>
      </w:r>
    </w:p>
    <w:p w14:paraId="345C4F00" w14:textId="77777777" w:rsidR="009B5C80" w:rsidRDefault="009B5C80" w:rsidP="00E16D2D">
      <w:pPr>
        <w:pStyle w:val="LB1"/>
      </w:pPr>
      <w:r>
        <w:t>Staff</w:t>
      </w:r>
    </w:p>
    <w:p w14:paraId="7CBE6968" w14:textId="77777777" w:rsidR="00142A37" w:rsidRPr="00DF6567" w:rsidRDefault="00142A37" w:rsidP="00142A37"/>
    <w:p w14:paraId="2FDEA81A" w14:textId="77777777" w:rsidR="00142A37" w:rsidRPr="003A23F0" w:rsidRDefault="00142A37" w:rsidP="00142A37">
      <w:pPr>
        <w:rPr>
          <w:u w:val="single"/>
        </w:rPr>
      </w:pPr>
      <w:r w:rsidRPr="003A23F0">
        <w:rPr>
          <w:u w:val="single"/>
        </w:rPr>
        <w:t>Main Activities</w:t>
      </w:r>
    </w:p>
    <w:p w14:paraId="11AA26EC" w14:textId="7FF09B2E" w:rsidR="00EF25C9" w:rsidRDefault="00EF25C9" w:rsidP="00E16D2D">
      <w:pPr>
        <w:pStyle w:val="LB1"/>
      </w:pPr>
      <w:r w:rsidRPr="004A66B1">
        <w:t xml:space="preserve">System must include all functionality necessary to assign investigative tasks to </w:t>
      </w:r>
      <w:r w:rsidR="009521D7">
        <w:t>Staff</w:t>
      </w:r>
      <w:r w:rsidRPr="004A66B1">
        <w:t xml:space="preserve"> </w:t>
      </w:r>
      <w:r>
        <w:t xml:space="preserve">such as </w:t>
      </w:r>
    </w:p>
    <w:p w14:paraId="47A3F1CB" w14:textId="1E0FACE0" w:rsidR="00EF25C9" w:rsidRDefault="00EF25C9" w:rsidP="00E16D2D">
      <w:pPr>
        <w:pStyle w:val="OB1"/>
      </w:pPr>
      <w:r>
        <w:t>Wage investigations</w:t>
      </w:r>
    </w:p>
    <w:p w14:paraId="5A67C5DF" w14:textId="2C5A529F" w:rsidR="00117201" w:rsidRDefault="000140DA" w:rsidP="00116640">
      <w:pPr>
        <w:pStyle w:val="OB1"/>
      </w:pPr>
      <w:r>
        <w:t xml:space="preserve">Misclassified worker </w:t>
      </w:r>
      <w:r w:rsidR="00117201">
        <w:t>referrals</w:t>
      </w:r>
    </w:p>
    <w:p w14:paraId="777FCC37" w14:textId="77777777" w:rsidR="00EF25C9" w:rsidRDefault="00EF25C9" w:rsidP="00F82166">
      <w:pPr>
        <w:pStyle w:val="OB1"/>
      </w:pPr>
      <w:r>
        <w:t>Account liability</w:t>
      </w:r>
    </w:p>
    <w:p w14:paraId="7CCA4127" w14:textId="77410DE5" w:rsidR="00EF25C9" w:rsidRDefault="00EF25C9" w:rsidP="00F82166">
      <w:pPr>
        <w:pStyle w:val="OB1"/>
      </w:pPr>
      <w:r>
        <w:t>Missing or incorrect FEIN</w:t>
      </w:r>
    </w:p>
    <w:p w14:paraId="76327A03" w14:textId="53A95E53" w:rsidR="00EF25C9" w:rsidRDefault="00EF25C9">
      <w:pPr>
        <w:pStyle w:val="OB1"/>
      </w:pPr>
      <w:r>
        <w:t>R</w:t>
      </w:r>
      <w:r w:rsidRPr="004A66B1">
        <w:t>efund</w:t>
      </w:r>
      <w:r w:rsidR="005B56FD">
        <w:t xml:space="preserve"> request</w:t>
      </w:r>
      <w:r w:rsidRPr="004A66B1">
        <w:t>s</w:t>
      </w:r>
    </w:p>
    <w:p w14:paraId="097FC73E" w14:textId="77777777" w:rsidR="00EF25C9" w:rsidRDefault="00EF25C9">
      <w:pPr>
        <w:pStyle w:val="OB1"/>
      </w:pPr>
      <w:r>
        <w:t>Abatement requests</w:t>
      </w:r>
    </w:p>
    <w:p w14:paraId="060B5CA2" w14:textId="77777777" w:rsidR="00EF25C9" w:rsidRDefault="00EF25C9">
      <w:pPr>
        <w:pStyle w:val="OB1"/>
      </w:pPr>
      <w:r>
        <w:t>Adjustment review</w:t>
      </w:r>
    </w:p>
    <w:p w14:paraId="7CED74C9" w14:textId="77777777" w:rsidR="00EF25C9" w:rsidRDefault="00EF25C9">
      <w:pPr>
        <w:pStyle w:val="OB1"/>
      </w:pPr>
      <w:r>
        <w:t>Identify duplicate Employer accounts</w:t>
      </w:r>
    </w:p>
    <w:p w14:paraId="3CA63D3A" w14:textId="3D20BEC6" w:rsidR="00EF25C9" w:rsidRDefault="00EF25C9">
      <w:pPr>
        <w:pStyle w:val="OB1"/>
      </w:pPr>
      <w:r>
        <w:lastRenderedPageBreak/>
        <w:t xml:space="preserve">Update Employer accounts (e.g., </w:t>
      </w:r>
      <w:r w:rsidR="009521D7">
        <w:t xml:space="preserve">Employer </w:t>
      </w:r>
      <w:r>
        <w:t>quarterly reports, notice of discontinued employment, etc.)</w:t>
      </w:r>
    </w:p>
    <w:p w14:paraId="5087BDCD" w14:textId="77777777" w:rsidR="00EF25C9" w:rsidRDefault="00EF25C9">
      <w:pPr>
        <w:pStyle w:val="OB1"/>
      </w:pPr>
      <w:r>
        <w:t>Etc.</w:t>
      </w:r>
    </w:p>
    <w:p w14:paraId="02893240" w14:textId="1B012EDC" w:rsidR="00EF25C9" w:rsidRDefault="00EF25C9">
      <w:pPr>
        <w:pStyle w:val="LB1"/>
      </w:pPr>
      <w:r w:rsidRPr="00E75378">
        <w:t xml:space="preserve">System must allow a liability assignment workload item to be created when an </w:t>
      </w:r>
      <w:r w:rsidR="009521D7">
        <w:t xml:space="preserve">Employer </w:t>
      </w:r>
      <w:r w:rsidRPr="00E75378">
        <w:t>FEIN/</w:t>
      </w:r>
      <w:r w:rsidR="009521D7">
        <w:t xml:space="preserve">Employer </w:t>
      </w:r>
      <w:r w:rsidRPr="00E75378">
        <w:t>account number is not detected in our system</w:t>
      </w:r>
    </w:p>
    <w:p w14:paraId="64596D62" w14:textId="77777777" w:rsidR="00EF25C9" w:rsidRDefault="00EF25C9">
      <w:pPr>
        <w:pStyle w:val="LB1"/>
      </w:pPr>
      <w:r w:rsidRPr="004A66B1">
        <w:t>O</w:t>
      </w:r>
      <w:r>
        <w:t>fferor must describe how their S</w:t>
      </w:r>
      <w:r w:rsidRPr="004A66B1">
        <w:t xml:space="preserve">ystem allows for </w:t>
      </w:r>
    </w:p>
    <w:p w14:paraId="55C621EB" w14:textId="77777777" w:rsidR="00EF25C9" w:rsidRDefault="00EF25C9">
      <w:pPr>
        <w:pStyle w:val="OB1"/>
      </w:pPr>
      <w:r>
        <w:t>Prioritization</w:t>
      </w:r>
    </w:p>
    <w:p w14:paraId="2D1012A2" w14:textId="77777777" w:rsidR="00EF25C9" w:rsidRDefault="00EF25C9">
      <w:pPr>
        <w:pStyle w:val="OB1"/>
      </w:pPr>
      <w:r>
        <w:t>Dates (created, assigned, due, etc.)</w:t>
      </w:r>
    </w:p>
    <w:p w14:paraId="5CA797A8" w14:textId="26468A69" w:rsidR="00EF25C9" w:rsidRDefault="00EF25C9">
      <w:pPr>
        <w:pStyle w:val="OB1"/>
      </w:pPr>
      <w:r>
        <w:t>Role</w:t>
      </w:r>
      <w:r w:rsidR="0009257E">
        <w:t>-</w:t>
      </w:r>
      <w:r>
        <w:t>based assignment</w:t>
      </w:r>
    </w:p>
    <w:p w14:paraId="2280D684" w14:textId="045E8537" w:rsidR="00001B3F" w:rsidRDefault="005A5753">
      <w:pPr>
        <w:pStyle w:val="OB1"/>
      </w:pPr>
      <w:r>
        <w:t>System</w:t>
      </w:r>
      <w:r w:rsidR="00EF25C9">
        <w:t xml:space="preserve"> generated assignments</w:t>
      </w:r>
      <w:r w:rsidR="00001B3F" w:rsidRPr="00001B3F">
        <w:t xml:space="preserve"> </w:t>
      </w:r>
    </w:p>
    <w:p w14:paraId="2471FAD3" w14:textId="43B24C9C" w:rsidR="00EF25C9" w:rsidRDefault="00001B3F">
      <w:pPr>
        <w:pStyle w:val="OB1"/>
      </w:pPr>
      <w:r>
        <w:t>Staff manually issued assignments</w:t>
      </w:r>
    </w:p>
    <w:p w14:paraId="43B02E9E" w14:textId="77777777" w:rsidR="00EF25C9" w:rsidRDefault="00EF25C9">
      <w:pPr>
        <w:pStyle w:val="OB1"/>
      </w:pPr>
      <w:r>
        <w:t>Workload balancing</w:t>
      </w:r>
    </w:p>
    <w:p w14:paraId="58F9458E" w14:textId="77777777" w:rsidR="00EF25C9" w:rsidRDefault="00EF25C9">
      <w:pPr>
        <w:pStyle w:val="OB1"/>
      </w:pPr>
      <w:r>
        <w:t>Transfers and voids assignments</w:t>
      </w:r>
    </w:p>
    <w:p w14:paraId="6DEE3079" w14:textId="77777777" w:rsidR="00EF25C9" w:rsidRDefault="00EF25C9">
      <w:pPr>
        <w:pStyle w:val="OB1"/>
      </w:pPr>
      <w:r>
        <w:t>T</w:t>
      </w:r>
      <w:r w:rsidRPr="004A66B1">
        <w:t>racks assignments and pr</w:t>
      </w:r>
      <w:r>
        <w:t>ovides dashboard functionality</w:t>
      </w:r>
    </w:p>
    <w:p w14:paraId="65C694A1" w14:textId="5E2D8769" w:rsidR="00EF25C9" w:rsidRDefault="00EF25C9">
      <w:pPr>
        <w:pStyle w:val="OB1"/>
      </w:pPr>
      <w:r>
        <w:t>Search</w:t>
      </w:r>
      <w:r w:rsidR="00001B3F">
        <w:t xml:space="preserve"> and header sorting</w:t>
      </w:r>
    </w:p>
    <w:p w14:paraId="0E40DC4D" w14:textId="77777777" w:rsidR="00EF25C9" w:rsidRDefault="00EF25C9">
      <w:pPr>
        <w:pStyle w:val="OB1"/>
      </w:pPr>
      <w:r>
        <w:t>Dashboards</w:t>
      </w:r>
    </w:p>
    <w:p w14:paraId="69503A74" w14:textId="45F96C70" w:rsidR="00EF25C9" w:rsidRDefault="005B56FD">
      <w:pPr>
        <w:pStyle w:val="OB1"/>
      </w:pPr>
      <w:r>
        <w:t>Supervisor/Management review/approval and quality control review with request to Staff for corrective actions</w:t>
      </w:r>
    </w:p>
    <w:p w14:paraId="45DF7518" w14:textId="77777777" w:rsidR="00EF25C9" w:rsidRDefault="00EF25C9">
      <w:pPr>
        <w:pStyle w:val="OB1"/>
      </w:pPr>
      <w:r>
        <w:t>Notifications and Alerts</w:t>
      </w:r>
    </w:p>
    <w:p w14:paraId="289BE459" w14:textId="77777777" w:rsidR="00EF25C9" w:rsidRDefault="00EF25C9">
      <w:pPr>
        <w:pStyle w:val="OB1"/>
      </w:pPr>
      <w:r>
        <w:t>G</w:t>
      </w:r>
      <w:r w:rsidRPr="004A66B1">
        <w:t>enerates summary and d</w:t>
      </w:r>
      <w:r>
        <w:t>etailed reports for management</w:t>
      </w:r>
    </w:p>
    <w:p w14:paraId="34FF1753" w14:textId="4BF86767" w:rsidR="00001B3F" w:rsidRDefault="00EF25C9">
      <w:pPr>
        <w:pStyle w:val="OB1"/>
      </w:pPr>
      <w:r>
        <w:t>Metrics</w:t>
      </w:r>
      <w:r w:rsidR="00001B3F" w:rsidRPr="00001B3F">
        <w:t xml:space="preserve"> </w:t>
      </w:r>
    </w:p>
    <w:p w14:paraId="7F9400DF" w14:textId="5C2A9A7A" w:rsidR="00EF25C9" w:rsidRDefault="00001B3F">
      <w:pPr>
        <w:pStyle w:val="OB1"/>
      </w:pPr>
      <w:r>
        <w:t>Spreadsheet historical assignment trend analysis</w:t>
      </w:r>
      <w:r w:rsidR="00FF6E1B">
        <w:t xml:space="preserve"> (e.g., dashboard)</w:t>
      </w:r>
    </w:p>
    <w:p w14:paraId="6BF26358" w14:textId="37A7CBE4" w:rsidR="00EF25C9" w:rsidRPr="00C719D7" w:rsidRDefault="00026BFB">
      <w:pPr>
        <w:pStyle w:val="LB1"/>
        <w:rPr>
          <w:rStyle w:val="Hyperlink"/>
          <w:color w:val="auto"/>
          <w:u w:val="none"/>
        </w:rPr>
      </w:pPr>
      <w:r>
        <w:t>System must include Case Management</w:t>
      </w:r>
      <w:r w:rsidR="00C719D7">
        <w:t xml:space="preserve">, Correspondence </w:t>
      </w:r>
      <w:r>
        <w:t xml:space="preserve">and Workflow functionality, described in General Process Descriptions, see </w:t>
      </w:r>
      <w:hyperlink w:anchor="_A6.9_General" w:history="1">
        <w:r>
          <w:rPr>
            <w:rStyle w:val="Hyperlink"/>
          </w:rPr>
          <w:t>Attachment A6.9</w:t>
        </w:r>
      </w:hyperlink>
    </w:p>
    <w:p w14:paraId="0D3B90D6" w14:textId="4E6C963E" w:rsidR="00142A37" w:rsidRDefault="00142A37" w:rsidP="001A16E4"/>
    <w:p w14:paraId="21BB39D3" w14:textId="13CA0F7A" w:rsidR="00473EA3" w:rsidRDefault="00473EA3" w:rsidP="00473EA3">
      <w:pPr>
        <w:rPr>
          <w:u w:val="single"/>
        </w:rPr>
      </w:pPr>
      <w:r w:rsidRPr="00A91B94">
        <w:rPr>
          <w:u w:val="single"/>
        </w:rPr>
        <w:t>Alternate Activities and Special Cases</w:t>
      </w:r>
    </w:p>
    <w:p w14:paraId="5A50258D" w14:textId="77777777" w:rsidR="004F7DCA" w:rsidRDefault="004F7DCA" w:rsidP="004F7DCA">
      <w:r>
        <w:t>System must support the following alternate activities and special cases:</w:t>
      </w:r>
    </w:p>
    <w:p w14:paraId="26A617FD" w14:textId="72C78BD1" w:rsidR="00473EA3" w:rsidRDefault="00473EA3" w:rsidP="00E16D2D">
      <w:pPr>
        <w:pStyle w:val="LB1"/>
      </w:pPr>
      <w:r>
        <w:t>Assignments submitted via email</w:t>
      </w:r>
    </w:p>
    <w:p w14:paraId="36CCA6A2" w14:textId="77777777" w:rsidR="00473EA3" w:rsidRDefault="00473EA3" w:rsidP="001A16E4"/>
    <w:p w14:paraId="47EA9881" w14:textId="05FEA00E" w:rsidR="00142A37" w:rsidRDefault="00142A37" w:rsidP="00142A37">
      <w:pPr>
        <w:pStyle w:val="Heading4"/>
      </w:pPr>
      <w:r>
        <w:tab/>
      </w:r>
      <w:r w:rsidR="00EC2287">
        <w:t>Request Rule 13 Hearing</w:t>
      </w:r>
    </w:p>
    <w:p w14:paraId="0DE97970" w14:textId="5FF9ECA1" w:rsidR="00142A37" w:rsidRPr="00B0723C" w:rsidRDefault="00EC2287" w:rsidP="00142A37">
      <w:r>
        <w:t>This process includes all activities required to request a Rule 13 tax hearing</w:t>
      </w:r>
      <w:r w:rsidR="009B5C80">
        <w:t>.</w:t>
      </w:r>
    </w:p>
    <w:p w14:paraId="50E478BB" w14:textId="77777777" w:rsidR="00142A37" w:rsidRPr="003A23F0" w:rsidRDefault="00142A37" w:rsidP="00142A37">
      <w:pPr>
        <w:rPr>
          <w:u w:val="single"/>
        </w:rPr>
      </w:pPr>
      <w:r w:rsidRPr="003A23F0">
        <w:rPr>
          <w:u w:val="single"/>
        </w:rPr>
        <w:t>Actors</w:t>
      </w:r>
    </w:p>
    <w:p w14:paraId="2B4B37E0" w14:textId="77777777" w:rsidR="00692128" w:rsidRDefault="00692128" w:rsidP="00E16D2D">
      <w:pPr>
        <w:pStyle w:val="LB1"/>
      </w:pPr>
      <w:r>
        <w:t>Staff</w:t>
      </w:r>
    </w:p>
    <w:p w14:paraId="7FAB6802" w14:textId="77777777" w:rsidR="00692128" w:rsidRDefault="00692128" w:rsidP="00E16D2D">
      <w:pPr>
        <w:pStyle w:val="LB1"/>
      </w:pPr>
      <w:r>
        <w:t>Employers</w:t>
      </w:r>
    </w:p>
    <w:p w14:paraId="6DC21A8C" w14:textId="77777777" w:rsidR="00692128" w:rsidRDefault="00692128" w:rsidP="00116640">
      <w:pPr>
        <w:pStyle w:val="LB1"/>
      </w:pPr>
      <w:r>
        <w:t>TPAs</w:t>
      </w:r>
    </w:p>
    <w:p w14:paraId="40DC74CF" w14:textId="46D9863E" w:rsidR="009B5C80" w:rsidRDefault="00692128" w:rsidP="00F82166">
      <w:pPr>
        <w:pStyle w:val="LB1"/>
      </w:pPr>
      <w:r>
        <w:t>Attorneys</w:t>
      </w:r>
    </w:p>
    <w:p w14:paraId="5C119041" w14:textId="77777777" w:rsidR="00142A37" w:rsidRPr="00DF6567" w:rsidRDefault="00142A37" w:rsidP="00142A37"/>
    <w:p w14:paraId="28D7F671" w14:textId="77777777" w:rsidR="00142A37" w:rsidRPr="003A23F0" w:rsidRDefault="00142A37" w:rsidP="00142A37">
      <w:pPr>
        <w:rPr>
          <w:u w:val="single"/>
        </w:rPr>
      </w:pPr>
      <w:r w:rsidRPr="003A23F0">
        <w:rPr>
          <w:u w:val="single"/>
        </w:rPr>
        <w:t>Main Activities</w:t>
      </w:r>
    </w:p>
    <w:p w14:paraId="6DA95678" w14:textId="77777777" w:rsidR="000D7940" w:rsidRDefault="000D7940" w:rsidP="00E16D2D">
      <w:pPr>
        <w:pStyle w:val="LB1"/>
      </w:pPr>
      <w:r>
        <w:t>System must allow Employers to submit a Rule 13 hearing request in writing</w:t>
      </w:r>
    </w:p>
    <w:p w14:paraId="14673D65" w14:textId="77777777" w:rsidR="000D7940" w:rsidRDefault="000D7940" w:rsidP="00E16D2D">
      <w:pPr>
        <w:pStyle w:val="OB1"/>
      </w:pPr>
      <w:r>
        <w:lastRenderedPageBreak/>
        <w:t>Internal system message</w:t>
      </w:r>
    </w:p>
    <w:p w14:paraId="57AB12A6" w14:textId="77777777" w:rsidR="000D7940" w:rsidRDefault="000D7940" w:rsidP="00116640">
      <w:pPr>
        <w:pStyle w:val="OB1"/>
      </w:pPr>
      <w:r>
        <w:t xml:space="preserve">Email </w:t>
      </w:r>
    </w:p>
    <w:p w14:paraId="3FD49E5A" w14:textId="77777777" w:rsidR="000D7940" w:rsidRDefault="000D7940" w:rsidP="00F82166">
      <w:pPr>
        <w:pStyle w:val="OB1"/>
      </w:pPr>
      <w:r>
        <w:t>Letter</w:t>
      </w:r>
    </w:p>
    <w:p w14:paraId="6045C540" w14:textId="77777777" w:rsidR="000D7940" w:rsidRDefault="000D7940" w:rsidP="000D7940">
      <w:pPr>
        <w:pStyle w:val="SB1"/>
      </w:pPr>
      <w:r>
        <w:t>Mailed and scanned into system</w:t>
      </w:r>
    </w:p>
    <w:p w14:paraId="22C2F9BF" w14:textId="386FDE7D" w:rsidR="00A91B94" w:rsidRDefault="000D7940" w:rsidP="000D7940">
      <w:pPr>
        <w:pStyle w:val="SB1"/>
      </w:pPr>
      <w:r>
        <w:t>Uploaded by Employer</w:t>
      </w:r>
      <w:r w:rsidR="00A91B94">
        <w:t xml:space="preserve"> </w:t>
      </w:r>
    </w:p>
    <w:p w14:paraId="2CF3DEB8" w14:textId="31BF57B3" w:rsidR="00A91B94" w:rsidRDefault="00A91B94" w:rsidP="00E16D2D">
      <w:pPr>
        <w:pStyle w:val="LB1"/>
      </w:pPr>
      <w:r>
        <w:t>Upon arrival, System must</w:t>
      </w:r>
    </w:p>
    <w:p w14:paraId="154D2039" w14:textId="77777777" w:rsidR="000D7940" w:rsidRDefault="000D7940" w:rsidP="00E16D2D">
      <w:pPr>
        <w:pStyle w:val="OB1"/>
      </w:pPr>
      <w:r>
        <w:t>Link request to one or more accounts</w:t>
      </w:r>
    </w:p>
    <w:p w14:paraId="4AD9DEA2" w14:textId="77777777" w:rsidR="000D7940" w:rsidRDefault="000D7940" w:rsidP="00116640">
      <w:pPr>
        <w:pStyle w:val="OB1"/>
      </w:pPr>
      <w:r>
        <w:t>Place a stop to halt all standard assessment actions, but continue collection process</w:t>
      </w:r>
    </w:p>
    <w:p w14:paraId="233EC1F9" w14:textId="77777777" w:rsidR="000D7940" w:rsidRDefault="000D7940" w:rsidP="00F82166">
      <w:pPr>
        <w:pStyle w:val="OB1"/>
      </w:pPr>
      <w:r>
        <w:t xml:space="preserve">Notify Staff of Rule 13 work assignment </w:t>
      </w:r>
    </w:p>
    <w:p w14:paraId="39A42E1F" w14:textId="432E2848" w:rsidR="000D7940" w:rsidRDefault="000D7940" w:rsidP="00F82166">
      <w:pPr>
        <w:pStyle w:val="OB1"/>
      </w:pPr>
      <w:bookmarkStart w:id="323" w:name="_Hlk531613838"/>
      <w:r>
        <w:t>Assign a T</w:t>
      </w:r>
      <w:r w:rsidR="000B21D6">
        <w:t xml:space="preserve">ax </w:t>
      </w:r>
      <w:r>
        <w:t>D</w:t>
      </w:r>
      <w:r w:rsidR="000B21D6">
        <w:t>ecision</w:t>
      </w:r>
      <w:r>
        <w:t xml:space="preserve"> number</w:t>
      </w:r>
    </w:p>
    <w:bookmarkEnd w:id="323"/>
    <w:p w14:paraId="6A8A2BBC" w14:textId="77777777" w:rsidR="000D7940" w:rsidRDefault="000D7940">
      <w:pPr>
        <w:pStyle w:val="OB1"/>
      </w:pPr>
      <w:r>
        <w:t>Record the issue of the hearing</w:t>
      </w:r>
    </w:p>
    <w:p w14:paraId="51BCA848" w14:textId="77777777" w:rsidR="000D7940" w:rsidRDefault="000D7940">
      <w:pPr>
        <w:pStyle w:val="OB1"/>
      </w:pPr>
      <w:r>
        <w:t>Issues assignment</w:t>
      </w:r>
    </w:p>
    <w:p w14:paraId="6D67B272" w14:textId="4D90BBF4" w:rsidR="00285367" w:rsidRDefault="000D7940">
      <w:pPr>
        <w:pStyle w:val="OB1"/>
      </w:pPr>
      <w:r>
        <w:t>Alert Staff</w:t>
      </w:r>
    </w:p>
    <w:p w14:paraId="1F7AEDAF" w14:textId="77777777" w:rsidR="000D7940" w:rsidRDefault="000D7940">
      <w:pPr>
        <w:pStyle w:val="LB1"/>
      </w:pPr>
      <w:r>
        <w:t>System must allow Staff to upload supporting documents into Rule 13 Packet</w:t>
      </w:r>
    </w:p>
    <w:p w14:paraId="49FD05FA" w14:textId="77777777" w:rsidR="000D7940" w:rsidRDefault="000D7940">
      <w:pPr>
        <w:pStyle w:val="OB1"/>
      </w:pPr>
      <w:r>
        <w:t>Drag and drop or similar functionality to determine which documents to include in packet</w:t>
      </w:r>
    </w:p>
    <w:p w14:paraId="0ADB1287" w14:textId="77777777" w:rsidR="000D7940" w:rsidRDefault="000D7940">
      <w:pPr>
        <w:pStyle w:val="LB1"/>
      </w:pPr>
      <w:r>
        <w:t>System must track the entire process (beginning to end) and allow Staff to view status</w:t>
      </w:r>
      <w:r w:rsidRPr="002D63CA">
        <w:t xml:space="preserve"> </w:t>
      </w:r>
      <w:r>
        <w:t>with complete audit trail</w:t>
      </w:r>
    </w:p>
    <w:p w14:paraId="11627C32" w14:textId="77777777" w:rsidR="000D7940" w:rsidRDefault="000D7940">
      <w:pPr>
        <w:pStyle w:val="OB1"/>
      </w:pPr>
      <w:r>
        <w:t>Alert Staff of status changes</w:t>
      </w:r>
    </w:p>
    <w:p w14:paraId="0A4331A8" w14:textId="77777777" w:rsidR="000D7940" w:rsidRDefault="000D7940">
      <w:pPr>
        <w:pStyle w:val="LB1"/>
      </w:pPr>
      <w:r>
        <w:t>System must allow Staff to search all fields on all Rule 13 hearings</w:t>
      </w:r>
    </w:p>
    <w:p w14:paraId="4ED4A2F1" w14:textId="4BAA9E9F" w:rsidR="000D7940" w:rsidRDefault="000D7940">
      <w:pPr>
        <w:pStyle w:val="LB1"/>
      </w:pPr>
      <w:r>
        <w:t>System must not allow assignments to be closed until 30</w:t>
      </w:r>
      <w:r w:rsidR="000B21D6">
        <w:t xml:space="preserve"> calendar</w:t>
      </w:r>
      <w:r>
        <w:t xml:space="preserve"> days after a decision is rendered and all account actions are completed</w:t>
      </w:r>
    </w:p>
    <w:p w14:paraId="4E7BD822" w14:textId="77777777" w:rsidR="000D7940" w:rsidRDefault="000D7940">
      <w:pPr>
        <w:pStyle w:val="OB1"/>
      </w:pPr>
      <w:r>
        <w:t xml:space="preserve">Adjustments </w:t>
      </w:r>
    </w:p>
    <w:p w14:paraId="001F6F5D" w14:textId="77777777" w:rsidR="000D7940" w:rsidRDefault="000D7940">
      <w:pPr>
        <w:pStyle w:val="OB1"/>
      </w:pPr>
      <w:r>
        <w:t>Rate changes</w:t>
      </w:r>
    </w:p>
    <w:p w14:paraId="5100028C" w14:textId="77777777" w:rsidR="000D7940" w:rsidRDefault="000D7940">
      <w:pPr>
        <w:pStyle w:val="OB1"/>
      </w:pPr>
      <w:r>
        <w:t>Etc.</w:t>
      </w:r>
    </w:p>
    <w:p w14:paraId="6F784B90" w14:textId="77777777" w:rsidR="001D47D9" w:rsidRDefault="001D47D9">
      <w:pPr>
        <w:pStyle w:val="LB1"/>
      </w:pPr>
      <w:r>
        <w:t>Allow Employer to submit a Motion for Reconsideration</w:t>
      </w:r>
    </w:p>
    <w:p w14:paraId="74F7C0DB" w14:textId="77777777" w:rsidR="001D47D9" w:rsidRDefault="001D47D9">
      <w:pPr>
        <w:pStyle w:val="OB1"/>
      </w:pPr>
      <w:r>
        <w:t>Allow Employer to submit for Motion to Withdrawal</w:t>
      </w:r>
    </w:p>
    <w:p w14:paraId="3CB86B9A" w14:textId="77777777" w:rsidR="001D47D9" w:rsidRPr="00C719D7" w:rsidRDefault="001D47D9">
      <w:pPr>
        <w:pStyle w:val="LB1"/>
        <w:rPr>
          <w:rStyle w:val="Hyperlink"/>
          <w:color w:val="auto"/>
          <w:u w:val="none"/>
        </w:rPr>
      </w:pPr>
      <w:r>
        <w:t xml:space="preserve">System must include Case Management, Correspondence and Workflow functionality, described in General Process Descriptions, see </w:t>
      </w:r>
      <w:hyperlink w:anchor="_A6.9_General" w:history="1">
        <w:r>
          <w:rPr>
            <w:rStyle w:val="Hyperlink"/>
          </w:rPr>
          <w:t>Attachment A6.9</w:t>
        </w:r>
      </w:hyperlink>
    </w:p>
    <w:p w14:paraId="3946EC0F" w14:textId="77777777" w:rsidR="00A91B94" w:rsidRDefault="00A91B94" w:rsidP="00A91B94"/>
    <w:p w14:paraId="70DAC88C" w14:textId="1D52838E" w:rsidR="00A91B94" w:rsidRDefault="00A91B94" w:rsidP="00A91B94">
      <w:pPr>
        <w:rPr>
          <w:u w:val="single"/>
        </w:rPr>
      </w:pPr>
      <w:r w:rsidRPr="00A91B94">
        <w:rPr>
          <w:u w:val="single"/>
        </w:rPr>
        <w:t>Alternate Activities and Special Cases</w:t>
      </w:r>
    </w:p>
    <w:p w14:paraId="436B9BC4" w14:textId="77777777" w:rsidR="004F7DCA" w:rsidRDefault="004F7DCA" w:rsidP="004F7DCA">
      <w:r>
        <w:t>System must support the following alternate activities and special cases:</w:t>
      </w:r>
    </w:p>
    <w:p w14:paraId="144C9F8B" w14:textId="6A48E5D0" w:rsidR="00A91B94" w:rsidRDefault="000D7940" w:rsidP="00E16D2D">
      <w:pPr>
        <w:pStyle w:val="LB1"/>
      </w:pPr>
      <w:r>
        <w:t>Allow for dynamic interface with Office of General Counsel (OGC)</w:t>
      </w:r>
    </w:p>
    <w:p w14:paraId="27DC0868" w14:textId="70BD86A7" w:rsidR="00142A37" w:rsidRDefault="00142A37" w:rsidP="001A16E4"/>
    <w:p w14:paraId="6311F0EC" w14:textId="7EF085F3" w:rsidR="00142A37" w:rsidRDefault="00142A37" w:rsidP="00142A37">
      <w:pPr>
        <w:pStyle w:val="Heading4"/>
      </w:pPr>
      <w:r>
        <w:tab/>
      </w:r>
      <w:r w:rsidR="002D1A29">
        <w:t>Generate Reports</w:t>
      </w:r>
    </w:p>
    <w:p w14:paraId="4254761C" w14:textId="49FBE867" w:rsidR="00142A37" w:rsidRPr="00B0723C" w:rsidRDefault="002D1A29" w:rsidP="00142A37">
      <w:r>
        <w:t>This process includes all activities required to generate and transmit reports</w:t>
      </w:r>
      <w:r w:rsidR="009B5C80">
        <w:t>.</w:t>
      </w:r>
    </w:p>
    <w:p w14:paraId="3D43EAFC" w14:textId="77777777" w:rsidR="00142A37" w:rsidRPr="003A23F0" w:rsidRDefault="00142A37" w:rsidP="00142A37">
      <w:pPr>
        <w:rPr>
          <w:u w:val="single"/>
        </w:rPr>
      </w:pPr>
      <w:r w:rsidRPr="003A23F0">
        <w:rPr>
          <w:u w:val="single"/>
        </w:rPr>
        <w:t>Actors</w:t>
      </w:r>
    </w:p>
    <w:p w14:paraId="4FE9DE90" w14:textId="77777777" w:rsidR="009B5C80" w:rsidRDefault="009B5C80" w:rsidP="00E16D2D">
      <w:pPr>
        <w:pStyle w:val="LB1"/>
      </w:pPr>
      <w:r>
        <w:lastRenderedPageBreak/>
        <w:t>Staff</w:t>
      </w:r>
    </w:p>
    <w:p w14:paraId="57FE3FAF" w14:textId="77777777" w:rsidR="00142A37" w:rsidRPr="00DF6567" w:rsidRDefault="00142A37" w:rsidP="00142A37"/>
    <w:p w14:paraId="4FDE0759" w14:textId="77777777" w:rsidR="00142A37" w:rsidRPr="003A23F0" w:rsidRDefault="00142A37" w:rsidP="00142A37">
      <w:pPr>
        <w:rPr>
          <w:u w:val="single"/>
        </w:rPr>
      </w:pPr>
      <w:r w:rsidRPr="003A23F0">
        <w:rPr>
          <w:u w:val="single"/>
        </w:rPr>
        <w:t>Main Activities</w:t>
      </w:r>
    </w:p>
    <w:p w14:paraId="69C72567" w14:textId="77777777" w:rsidR="002D1A29" w:rsidRDefault="002D1A29" w:rsidP="00E16D2D">
      <w:pPr>
        <w:pStyle w:val="LB1"/>
      </w:pPr>
      <w:r>
        <w:t>DOL Reports</w:t>
      </w:r>
    </w:p>
    <w:p w14:paraId="17F2CDD1" w14:textId="2E28069F" w:rsidR="002D1A29" w:rsidRDefault="002D1A29" w:rsidP="00E16D2D">
      <w:pPr>
        <w:pStyle w:val="OB1"/>
      </w:pPr>
      <w:r>
        <w:t>System must calculate and generate ETA</w:t>
      </w:r>
      <w:r w:rsidR="001F4E9B">
        <w:t xml:space="preserve"> </w:t>
      </w:r>
      <w:r>
        <w:t>581 reports</w:t>
      </w:r>
    </w:p>
    <w:p w14:paraId="58CE85E5" w14:textId="77777777" w:rsidR="002D1A29" w:rsidRDefault="002D1A29" w:rsidP="002D1A29">
      <w:pPr>
        <w:pStyle w:val="SB1"/>
      </w:pPr>
      <w:r>
        <w:t>Including Active2</w:t>
      </w:r>
    </w:p>
    <w:p w14:paraId="05F37A29" w14:textId="62FA9B1E" w:rsidR="002D1A29" w:rsidRDefault="002D1A29" w:rsidP="00E16D2D">
      <w:pPr>
        <w:pStyle w:val="OB1"/>
      </w:pPr>
      <w:r>
        <w:t>System must perform data validation for ETA</w:t>
      </w:r>
      <w:r w:rsidR="001F4E9B">
        <w:t xml:space="preserve"> </w:t>
      </w:r>
      <w:r>
        <w:t>581 reports</w:t>
      </w:r>
    </w:p>
    <w:p w14:paraId="68A233CF" w14:textId="77777777" w:rsidR="002D1A29" w:rsidRDefault="002D1A29" w:rsidP="002D1A29">
      <w:pPr>
        <w:pStyle w:val="SB1"/>
      </w:pPr>
      <w:r>
        <w:t>Including Active2</w:t>
      </w:r>
    </w:p>
    <w:p w14:paraId="31AA7FE4" w14:textId="77777777" w:rsidR="002D1A29" w:rsidRDefault="002D1A29" w:rsidP="00E16D2D">
      <w:pPr>
        <w:pStyle w:val="OB1"/>
      </w:pPr>
      <w:r>
        <w:t>System must generate DOL reports</w:t>
      </w:r>
    </w:p>
    <w:p w14:paraId="74F912AF" w14:textId="77777777" w:rsidR="002D1A29" w:rsidRDefault="002D1A29" w:rsidP="00E16D2D">
      <w:pPr>
        <w:pStyle w:val="OB1"/>
      </w:pPr>
      <w:r>
        <w:t>System must distribute DOL reports to Tax Management for approval</w:t>
      </w:r>
    </w:p>
    <w:p w14:paraId="124EC102" w14:textId="21AE1EED" w:rsidR="002D1A29" w:rsidRDefault="00F67CDB" w:rsidP="00116640">
      <w:pPr>
        <w:pStyle w:val="OB1"/>
      </w:pPr>
      <w:r>
        <w:t xml:space="preserve">System must allow Staff to </w:t>
      </w:r>
      <w:r w:rsidR="002D1A29">
        <w:t>correct and modify DOL reports</w:t>
      </w:r>
    </w:p>
    <w:p w14:paraId="724F1FE6" w14:textId="77777777" w:rsidR="002D1A29" w:rsidRDefault="002D1A29" w:rsidP="00F82166">
      <w:pPr>
        <w:pStyle w:val="OB1"/>
      </w:pPr>
      <w:r>
        <w:t>System must upload reports to DOL</w:t>
      </w:r>
    </w:p>
    <w:p w14:paraId="6087A0E8" w14:textId="77777777" w:rsidR="002D1A29" w:rsidRDefault="002D1A29" w:rsidP="00F82166">
      <w:pPr>
        <w:pStyle w:val="OB1"/>
      </w:pPr>
      <w:r>
        <w:t>System must integrate reports with dashboards for visual representation of data</w:t>
      </w:r>
    </w:p>
    <w:p w14:paraId="4E34C2EA" w14:textId="77777777" w:rsidR="002D1A29" w:rsidRDefault="002D1A29">
      <w:pPr>
        <w:pStyle w:val="OB1"/>
      </w:pPr>
      <w:r>
        <w:t>System must store and index reports</w:t>
      </w:r>
    </w:p>
    <w:p w14:paraId="592674A8" w14:textId="77777777" w:rsidR="002D1A29" w:rsidRDefault="002D1A29">
      <w:pPr>
        <w:pStyle w:val="LB1"/>
      </w:pPr>
      <w:r>
        <w:t>System must be able to generate operational, performance, and management reports</w:t>
      </w:r>
    </w:p>
    <w:p w14:paraId="33562F38" w14:textId="0FF0040A" w:rsidR="002D1A29" w:rsidRDefault="00F67CDB">
      <w:pPr>
        <w:pStyle w:val="OB1"/>
      </w:pPr>
      <w:r>
        <w:t xml:space="preserve">System must allow Staff to </w:t>
      </w:r>
      <w:r w:rsidR="002D1A29">
        <w:t>schedule reports to be generated automatically</w:t>
      </w:r>
    </w:p>
    <w:p w14:paraId="0C5E3730" w14:textId="11262AA5" w:rsidR="002D1A29" w:rsidRDefault="00F67CDB">
      <w:pPr>
        <w:pStyle w:val="OB1"/>
      </w:pPr>
      <w:r>
        <w:t xml:space="preserve">System must allow Staff to </w:t>
      </w:r>
      <w:r w:rsidR="002D1A29">
        <w:t>run reports on demand</w:t>
      </w:r>
    </w:p>
    <w:p w14:paraId="1577D6A0" w14:textId="5B42B9C3" w:rsidR="002D1A29" w:rsidRDefault="00F67CDB">
      <w:pPr>
        <w:pStyle w:val="OB1"/>
      </w:pPr>
      <w:r>
        <w:t xml:space="preserve">System must allow Staff to </w:t>
      </w:r>
      <w:r w:rsidR="002D1A29">
        <w:t>run reports indicating an “As of” date</w:t>
      </w:r>
    </w:p>
    <w:p w14:paraId="056F5C59" w14:textId="77777777" w:rsidR="002D1A29" w:rsidRDefault="002D1A29">
      <w:pPr>
        <w:pStyle w:val="OB1"/>
      </w:pPr>
      <w:r>
        <w:t xml:space="preserve">System must be able to generate and distribute reports listed in </w:t>
      </w:r>
      <w:hyperlink w:anchor="_Attachment_8_–" w:history="1">
        <w:r w:rsidRPr="00FD6AAF">
          <w:rPr>
            <w:rStyle w:val="Hyperlink"/>
          </w:rPr>
          <w:t>Attachment 8</w:t>
        </w:r>
      </w:hyperlink>
    </w:p>
    <w:p w14:paraId="68BDD328" w14:textId="1533F5F4" w:rsidR="002D1A29" w:rsidRDefault="002D1A29">
      <w:pPr>
        <w:pStyle w:val="OB1"/>
      </w:pPr>
      <w:r>
        <w:t>System must allow Staff to develop and schedule ad hoc reports</w:t>
      </w:r>
    </w:p>
    <w:p w14:paraId="555A9207" w14:textId="77777777" w:rsidR="002D1A29" w:rsidRDefault="002D1A29">
      <w:pPr>
        <w:pStyle w:val="OB1"/>
      </w:pPr>
      <w:r>
        <w:t>System must integrate reports with dashboards for visual representation of data</w:t>
      </w:r>
    </w:p>
    <w:p w14:paraId="0EA0F0FC" w14:textId="77777777" w:rsidR="002D1A29" w:rsidRDefault="002D1A29">
      <w:pPr>
        <w:pStyle w:val="OB1"/>
      </w:pPr>
      <w:r>
        <w:t>System must store and index reports</w:t>
      </w:r>
    </w:p>
    <w:p w14:paraId="74B6B7A8" w14:textId="77777777" w:rsidR="002D1A29" w:rsidRDefault="002D1A29" w:rsidP="002D1A29"/>
    <w:p w14:paraId="129540B0" w14:textId="77777777" w:rsidR="00B6665B" w:rsidRDefault="00B6665B" w:rsidP="00B6665B">
      <w:pPr>
        <w:pStyle w:val="Heading4"/>
      </w:pPr>
      <w:r>
        <w:tab/>
        <w:t>Respond to Inquiries</w:t>
      </w:r>
    </w:p>
    <w:p w14:paraId="02DF6A6C" w14:textId="77777777" w:rsidR="00B6665B" w:rsidRPr="00B0723C" w:rsidRDefault="00B6665B" w:rsidP="00B6665B">
      <w:r>
        <w:t>This process includes all activities required to respond to inquiries.</w:t>
      </w:r>
    </w:p>
    <w:p w14:paraId="5002537A" w14:textId="77777777" w:rsidR="00B6665B" w:rsidRPr="003A23F0" w:rsidRDefault="00B6665B" w:rsidP="00B6665B">
      <w:pPr>
        <w:rPr>
          <w:u w:val="single"/>
        </w:rPr>
      </w:pPr>
      <w:r w:rsidRPr="003A23F0">
        <w:rPr>
          <w:u w:val="single"/>
        </w:rPr>
        <w:t>Actors</w:t>
      </w:r>
    </w:p>
    <w:p w14:paraId="0449498A" w14:textId="77777777" w:rsidR="00B6665B" w:rsidRDefault="00B6665B" w:rsidP="00E16D2D">
      <w:pPr>
        <w:pStyle w:val="LB1"/>
      </w:pPr>
      <w:r>
        <w:t>Staff</w:t>
      </w:r>
    </w:p>
    <w:p w14:paraId="0A96F1ED" w14:textId="77777777" w:rsidR="00B6665B" w:rsidRPr="00DF6567" w:rsidRDefault="00B6665B" w:rsidP="00B6665B"/>
    <w:p w14:paraId="5BCBCCD0" w14:textId="77777777" w:rsidR="00B6665B" w:rsidRPr="003A23F0" w:rsidRDefault="00B6665B" w:rsidP="00B6665B">
      <w:pPr>
        <w:rPr>
          <w:u w:val="single"/>
        </w:rPr>
      </w:pPr>
      <w:r w:rsidRPr="003A23F0">
        <w:rPr>
          <w:u w:val="single"/>
        </w:rPr>
        <w:t>Main Activities</w:t>
      </w:r>
    </w:p>
    <w:p w14:paraId="347D3ED9" w14:textId="77777777" w:rsidR="00B6665B" w:rsidRDefault="00B6665B" w:rsidP="00E16D2D">
      <w:pPr>
        <w:pStyle w:val="LB1"/>
      </w:pPr>
      <w:r>
        <w:t>System must enable Staff to receive inquiry via:</w:t>
      </w:r>
    </w:p>
    <w:p w14:paraId="43E0EB44" w14:textId="77777777" w:rsidR="00B6665B" w:rsidRDefault="00B6665B" w:rsidP="00E16D2D">
      <w:pPr>
        <w:pStyle w:val="OB1"/>
      </w:pPr>
      <w:r>
        <w:t>Phone</w:t>
      </w:r>
    </w:p>
    <w:p w14:paraId="26AE60C7" w14:textId="77777777" w:rsidR="00B6665B" w:rsidRDefault="00B6665B" w:rsidP="00E16D2D">
      <w:pPr>
        <w:pStyle w:val="OB1"/>
      </w:pPr>
      <w:r>
        <w:t>Electronic (Email, chat, or secure messaging)</w:t>
      </w:r>
    </w:p>
    <w:p w14:paraId="0AC37A4D" w14:textId="77777777" w:rsidR="00B6665B" w:rsidRDefault="00B6665B" w:rsidP="00B6665B">
      <w:pPr>
        <w:pStyle w:val="SB1"/>
      </w:pPr>
      <w:r>
        <w:t>Forms or templates available to capture identifying information</w:t>
      </w:r>
    </w:p>
    <w:p w14:paraId="5C6BA89C" w14:textId="77777777" w:rsidR="0016442F" w:rsidRDefault="0016442F" w:rsidP="00E16D2D">
      <w:pPr>
        <w:pStyle w:val="OB1"/>
      </w:pPr>
      <w:r>
        <w:t>Mail</w:t>
      </w:r>
    </w:p>
    <w:p w14:paraId="0837A4CF" w14:textId="2930468F" w:rsidR="00B6665B" w:rsidRDefault="0016442F" w:rsidP="00E16D2D">
      <w:pPr>
        <w:pStyle w:val="OB1"/>
      </w:pPr>
      <w:r>
        <w:lastRenderedPageBreak/>
        <w:t>Commissioner’s Office, Executive Staff, Benefits, Office of General Counsel, Open Records, Office of Attorney General, Governor’s Office, IRS, etc.</w:t>
      </w:r>
    </w:p>
    <w:p w14:paraId="59BA3B97" w14:textId="53BC9BBE" w:rsidR="00B6665B" w:rsidRDefault="00B6665B" w:rsidP="00116640">
      <w:pPr>
        <w:pStyle w:val="LB1"/>
      </w:pPr>
      <w:r>
        <w:t>System must allow Staff to verify n</w:t>
      </w:r>
      <w:r w:rsidRPr="008D5A7C">
        <w:t>ame</w:t>
      </w:r>
      <w:r>
        <w:t>, address,</w:t>
      </w:r>
      <w:r w:rsidRPr="008D5A7C">
        <w:t xml:space="preserve"> and SSN</w:t>
      </w:r>
      <w:r>
        <w:t xml:space="preserve">/Alternate ID of the </w:t>
      </w:r>
      <w:r w:rsidR="00B246FF">
        <w:t>Inquiry Contact</w:t>
      </w:r>
      <w:r w:rsidR="00FF6E1B">
        <w:t xml:space="preserve"> (e.g., company owner, accountant, </w:t>
      </w:r>
      <w:r w:rsidR="009765A2">
        <w:t>Power of Attorney (POA)</w:t>
      </w:r>
      <w:r w:rsidR="00FF6E1B">
        <w:t>, Claimant, etc.)</w:t>
      </w:r>
    </w:p>
    <w:p w14:paraId="35332908" w14:textId="77777777" w:rsidR="0016442F" w:rsidRDefault="0016442F" w:rsidP="00F82166">
      <w:pPr>
        <w:pStyle w:val="LB1"/>
      </w:pPr>
      <w:r>
        <w:t xml:space="preserve">System must enable Staff to research case information </w:t>
      </w:r>
    </w:p>
    <w:p w14:paraId="06B9F62B" w14:textId="77777777" w:rsidR="0016442F" w:rsidRDefault="0016442F" w:rsidP="00F82166">
      <w:pPr>
        <w:pStyle w:val="LB1"/>
      </w:pPr>
      <w:r>
        <w:t>System must allow Staff to capture and redact (if necessary) any required documentation or system screens, account audit trail, notes/comments, etc.</w:t>
      </w:r>
    </w:p>
    <w:p w14:paraId="33132AA3" w14:textId="2725966E" w:rsidR="00B6665B" w:rsidRDefault="0016442F">
      <w:pPr>
        <w:pStyle w:val="LB1"/>
      </w:pPr>
      <w:r>
        <w:t>System must allow Staff to respond to inquiries</w:t>
      </w:r>
    </w:p>
    <w:p w14:paraId="015774C1" w14:textId="77777777" w:rsidR="00B6665B" w:rsidRDefault="00B6665B">
      <w:pPr>
        <w:pStyle w:val="OB1"/>
      </w:pPr>
      <w:r>
        <w:t>System must record summary of response tied to a Claimant, Employer, or TPA and associated with their record</w:t>
      </w:r>
    </w:p>
    <w:p w14:paraId="1326B2CF" w14:textId="77777777" w:rsidR="00B6665B" w:rsidRDefault="00B6665B" w:rsidP="00B6665B">
      <w:pPr>
        <w:pStyle w:val="SB1"/>
      </w:pPr>
      <w:r>
        <w:t>Email</w:t>
      </w:r>
    </w:p>
    <w:p w14:paraId="4EA6667F" w14:textId="77777777" w:rsidR="00B6665B" w:rsidRDefault="00B6665B" w:rsidP="00B6665B">
      <w:pPr>
        <w:pStyle w:val="SB1"/>
      </w:pPr>
      <w:r>
        <w:t>Phone number</w:t>
      </w:r>
    </w:p>
    <w:p w14:paraId="60B6FD6C" w14:textId="77777777" w:rsidR="00B6665B" w:rsidRDefault="00B6665B" w:rsidP="00B6665B">
      <w:pPr>
        <w:pStyle w:val="SB1"/>
      </w:pPr>
      <w:r>
        <w:t>Time</w:t>
      </w:r>
    </w:p>
    <w:p w14:paraId="67251450" w14:textId="77777777" w:rsidR="00B6665B" w:rsidRDefault="00B6665B" w:rsidP="00B6665B">
      <w:pPr>
        <w:pStyle w:val="SB1"/>
      </w:pPr>
      <w:r>
        <w:t>Date</w:t>
      </w:r>
    </w:p>
    <w:p w14:paraId="1489397A" w14:textId="77777777" w:rsidR="00B6665B" w:rsidRDefault="00B6665B" w:rsidP="00B6665B">
      <w:pPr>
        <w:pStyle w:val="SB1"/>
      </w:pPr>
      <w:r>
        <w:t>Topic</w:t>
      </w:r>
    </w:p>
    <w:p w14:paraId="138B5F20" w14:textId="3A03A0D1" w:rsidR="00B246FF" w:rsidRDefault="00B6665B" w:rsidP="00B6665B">
      <w:pPr>
        <w:pStyle w:val="SB1"/>
      </w:pPr>
      <w:r>
        <w:t>Staff member</w:t>
      </w:r>
    </w:p>
    <w:p w14:paraId="03E8FAA4" w14:textId="77777777" w:rsidR="00B6665B" w:rsidRDefault="00B6665B" w:rsidP="00B6665B">
      <w:pPr>
        <w:pStyle w:val="SB1"/>
      </w:pPr>
      <w:r>
        <w:t>Etc.</w:t>
      </w:r>
    </w:p>
    <w:p w14:paraId="1BE40CEB" w14:textId="1C91B39E" w:rsidR="00B6665B" w:rsidRDefault="00B6665B" w:rsidP="00E16D2D">
      <w:pPr>
        <w:pStyle w:val="OB1"/>
      </w:pPr>
      <w:r>
        <w:t xml:space="preserve">Respond based on requestor’s </w:t>
      </w:r>
      <w:r w:rsidR="00F03605">
        <w:t>preferred communication method</w:t>
      </w:r>
    </w:p>
    <w:p w14:paraId="16D054B6" w14:textId="77777777" w:rsidR="00B6665B" w:rsidRDefault="00B6665B" w:rsidP="00E16D2D">
      <w:pPr>
        <w:pStyle w:val="OB1"/>
      </w:pPr>
      <w:r>
        <w:t>Display/Insert context sensitive statements using preformatted text (e.g., how to file an appeal) depending on the contact method, editable by Business Staff</w:t>
      </w:r>
    </w:p>
    <w:p w14:paraId="31E3B0C0" w14:textId="4461F863" w:rsidR="00142A37" w:rsidRDefault="00142A37" w:rsidP="001A16E4"/>
    <w:p w14:paraId="54EAAFF8" w14:textId="2A98F6E3" w:rsidR="002D0CA3" w:rsidRDefault="002D0CA3" w:rsidP="002D0CA3">
      <w:pPr>
        <w:rPr>
          <w:u w:val="single"/>
        </w:rPr>
      </w:pPr>
      <w:bookmarkStart w:id="324" w:name="_Hlk340286"/>
      <w:bookmarkStart w:id="325" w:name="_Hlk340477"/>
      <w:r w:rsidRPr="00A91B94">
        <w:rPr>
          <w:u w:val="single"/>
        </w:rPr>
        <w:t>Alternate Activities and Special Cases</w:t>
      </w:r>
    </w:p>
    <w:p w14:paraId="473F6EE5" w14:textId="77777777" w:rsidR="004F7DCA" w:rsidRDefault="004F7DCA" w:rsidP="004F7DCA">
      <w:r>
        <w:t>System must support the following alternate activities and special cases:</w:t>
      </w:r>
    </w:p>
    <w:p w14:paraId="4A6D9D74" w14:textId="470D97DC" w:rsidR="002D0CA3" w:rsidRDefault="00E25D38" w:rsidP="00E16D2D">
      <w:pPr>
        <w:pStyle w:val="LB1"/>
      </w:pPr>
      <w:r>
        <w:t>A</w:t>
      </w:r>
      <w:r w:rsidR="002D0CA3">
        <w:t>llow Staff to research account history, including archived data, and construct a linear timeline of account events including account establishment, acquisitions, and transactions</w:t>
      </w:r>
    </w:p>
    <w:bookmarkEnd w:id="324"/>
    <w:p w14:paraId="6A3E353E" w14:textId="77777777" w:rsidR="002D0CA3" w:rsidRDefault="002D0CA3" w:rsidP="002D0CA3"/>
    <w:p w14:paraId="1E728B54" w14:textId="1F727EF2" w:rsidR="001A16E4" w:rsidRDefault="001A16E4" w:rsidP="001A16E4">
      <w:pPr>
        <w:pStyle w:val="Heading3"/>
      </w:pPr>
      <w:bookmarkStart w:id="326" w:name="_A6.3_Appeals_Tribunal"/>
      <w:bookmarkStart w:id="327" w:name="_Toc13567494"/>
      <w:bookmarkEnd w:id="325"/>
      <w:bookmarkEnd w:id="326"/>
      <w:r>
        <w:t>A6.3</w:t>
      </w:r>
      <w:r>
        <w:tab/>
      </w:r>
      <w:r w:rsidR="00635E36">
        <w:t>Appeal Tribunal</w:t>
      </w:r>
      <w:bookmarkEnd w:id="327"/>
      <w:r>
        <w:t xml:space="preserve"> </w:t>
      </w:r>
    </w:p>
    <w:p w14:paraId="653E2A74" w14:textId="11CE57A8" w:rsidR="00EF6E80" w:rsidRDefault="00EF6E80" w:rsidP="00EF6E80">
      <w:pPr>
        <w:pStyle w:val="Heading4"/>
      </w:pPr>
      <w:r>
        <w:tab/>
        <w:t>File Appeal</w:t>
      </w:r>
    </w:p>
    <w:p w14:paraId="1CEF8433" w14:textId="3657DFEF" w:rsidR="00EF6E80" w:rsidRPr="00B0723C" w:rsidRDefault="002F20B7" w:rsidP="00EF6E80">
      <w:r>
        <w:t>This process includes all activities required to file a</w:t>
      </w:r>
      <w:r w:rsidR="00635E36">
        <w:t xml:space="preserve"> lower authority</w:t>
      </w:r>
      <w:r>
        <w:t xml:space="preserve"> appeal</w:t>
      </w:r>
      <w:r w:rsidR="00EF6E80">
        <w:t>.</w:t>
      </w:r>
    </w:p>
    <w:p w14:paraId="2BAF6D1F" w14:textId="77777777" w:rsidR="00EF6E80" w:rsidRPr="003A23F0" w:rsidRDefault="00EF6E80" w:rsidP="00EF6E80">
      <w:pPr>
        <w:rPr>
          <w:u w:val="single"/>
        </w:rPr>
      </w:pPr>
      <w:r w:rsidRPr="003A23F0">
        <w:rPr>
          <w:u w:val="single"/>
        </w:rPr>
        <w:t>Actors</w:t>
      </w:r>
    </w:p>
    <w:p w14:paraId="65E154AB" w14:textId="77777777" w:rsidR="002F20B7" w:rsidRDefault="002F20B7" w:rsidP="00E16D2D">
      <w:pPr>
        <w:pStyle w:val="LB1"/>
      </w:pPr>
      <w:r>
        <w:t>Employers</w:t>
      </w:r>
    </w:p>
    <w:p w14:paraId="107A2227" w14:textId="77777777" w:rsidR="002F20B7" w:rsidRDefault="002F20B7" w:rsidP="00E16D2D">
      <w:pPr>
        <w:pStyle w:val="LB1"/>
      </w:pPr>
      <w:r>
        <w:t>Claimants</w:t>
      </w:r>
    </w:p>
    <w:p w14:paraId="387CF993" w14:textId="5EF9C2E5" w:rsidR="002F20B7" w:rsidRDefault="002F20B7" w:rsidP="00116640">
      <w:pPr>
        <w:pStyle w:val="LB1"/>
      </w:pPr>
      <w:r>
        <w:t>Attorneys/Representatives</w:t>
      </w:r>
    </w:p>
    <w:p w14:paraId="2EB6A28F" w14:textId="6A81CB6F" w:rsidR="00CC01B4" w:rsidRDefault="00CC01B4" w:rsidP="00F82166">
      <w:pPr>
        <w:pStyle w:val="LB1"/>
      </w:pPr>
      <w:r>
        <w:t>Staff (assist with filing appeals)</w:t>
      </w:r>
    </w:p>
    <w:p w14:paraId="2CE5CA55" w14:textId="77777777" w:rsidR="00EF6E80" w:rsidRPr="00DF6567" w:rsidRDefault="00EF6E80" w:rsidP="00EF6E80"/>
    <w:p w14:paraId="068FF93F" w14:textId="77777777" w:rsidR="00EF6E80" w:rsidRPr="003A23F0" w:rsidRDefault="00EF6E80" w:rsidP="00EF6E80">
      <w:pPr>
        <w:rPr>
          <w:u w:val="single"/>
        </w:rPr>
      </w:pPr>
      <w:r w:rsidRPr="003A23F0">
        <w:rPr>
          <w:u w:val="single"/>
        </w:rPr>
        <w:lastRenderedPageBreak/>
        <w:t>Main Activities</w:t>
      </w:r>
    </w:p>
    <w:p w14:paraId="472E9DF8" w14:textId="213B61D3" w:rsidR="002F20B7" w:rsidRDefault="002F20B7" w:rsidP="00E16D2D">
      <w:pPr>
        <w:pStyle w:val="LB1"/>
      </w:pPr>
      <w:r>
        <w:t>System must allow appeals to be filed via f</w:t>
      </w:r>
      <w:r w:rsidR="00153CA0">
        <w:t>ax, mail, online, and in person;</w:t>
      </w:r>
      <w:r>
        <w:t xml:space="preserve"> </w:t>
      </w:r>
      <w:r w:rsidR="00153CA0">
        <w:t>a</w:t>
      </w:r>
      <w:r w:rsidR="006C2104">
        <w:t>ppeals cannot be filed by email</w:t>
      </w:r>
    </w:p>
    <w:p w14:paraId="626F1699" w14:textId="4F202EF6" w:rsidR="002F20B7" w:rsidRDefault="002F20B7" w:rsidP="00E16D2D">
      <w:pPr>
        <w:pStyle w:val="LB1"/>
      </w:pPr>
      <w:r>
        <w:t xml:space="preserve">System must provide appeal forms and instructions for how to file an appeal on internet (currently </w:t>
      </w:r>
      <w:hyperlink r:id="rId77" w:history="1">
        <w:r w:rsidR="00CC01B4" w:rsidRPr="00CC01B4">
          <w:rPr>
            <w:rStyle w:val="Hyperlink"/>
          </w:rPr>
          <w:t>https://twc.texas.gov/jobseekers/how-appeal-decision</w:t>
        </w:r>
      </w:hyperlink>
      <w:r>
        <w:t>), but no special f</w:t>
      </w:r>
      <w:r w:rsidR="006C2104">
        <w:t>orm is needed to file an appeal</w:t>
      </w:r>
    </w:p>
    <w:p w14:paraId="5AC2CDD0" w14:textId="3A79F21C" w:rsidR="002F20B7" w:rsidRPr="00184453" w:rsidRDefault="002F20B7" w:rsidP="00116640">
      <w:pPr>
        <w:pStyle w:val="LB1"/>
      </w:pPr>
      <w:r>
        <w:t>System must capture the following appeal data elements</w:t>
      </w:r>
      <w:r w:rsidR="00E25D38">
        <w:t>, at a minimum</w:t>
      </w:r>
      <w:r w:rsidRPr="00184453">
        <w:t>:</w:t>
      </w:r>
    </w:p>
    <w:p w14:paraId="7E5E836B" w14:textId="77777777" w:rsidR="002F20B7" w:rsidRPr="00184453" w:rsidRDefault="002F20B7" w:rsidP="00F82166">
      <w:pPr>
        <w:pStyle w:val="OB1"/>
        <w:rPr>
          <w:lang w:val="en"/>
        </w:rPr>
      </w:pPr>
      <w:r>
        <w:rPr>
          <w:lang w:val="en"/>
        </w:rPr>
        <w:t>N</w:t>
      </w:r>
      <w:r w:rsidRPr="00184453">
        <w:rPr>
          <w:lang w:val="en"/>
        </w:rPr>
        <w:t>ame</w:t>
      </w:r>
    </w:p>
    <w:p w14:paraId="0AE49E6E" w14:textId="77777777" w:rsidR="002F20B7" w:rsidRPr="00395868" w:rsidRDefault="002F20B7" w:rsidP="00F82166">
      <w:pPr>
        <w:pStyle w:val="OB1"/>
        <w:rPr>
          <w:lang w:val="en"/>
        </w:rPr>
      </w:pPr>
      <w:r w:rsidRPr="008D5A7C">
        <w:t>SSN</w:t>
      </w:r>
      <w:r>
        <w:t>/Alternate ID</w:t>
      </w:r>
      <w:r w:rsidRPr="008D5A7C">
        <w:t xml:space="preserve"> </w:t>
      </w:r>
    </w:p>
    <w:p w14:paraId="7F9E8D7E" w14:textId="77777777" w:rsidR="002F20B7" w:rsidRPr="00184453" w:rsidRDefault="002F20B7">
      <w:pPr>
        <w:pStyle w:val="OB1"/>
        <w:rPr>
          <w:lang w:val="en"/>
        </w:rPr>
      </w:pPr>
      <w:r>
        <w:rPr>
          <w:lang w:val="en"/>
        </w:rPr>
        <w:t>C</w:t>
      </w:r>
      <w:r w:rsidRPr="00184453">
        <w:rPr>
          <w:lang w:val="en"/>
        </w:rPr>
        <w:t>urrent address</w:t>
      </w:r>
    </w:p>
    <w:p w14:paraId="00A70912" w14:textId="77777777" w:rsidR="002F20B7" w:rsidRPr="00184453" w:rsidRDefault="002F20B7">
      <w:pPr>
        <w:pStyle w:val="OB1"/>
        <w:rPr>
          <w:lang w:val="en"/>
        </w:rPr>
      </w:pPr>
      <w:r>
        <w:rPr>
          <w:lang w:val="en"/>
        </w:rPr>
        <w:t>D</w:t>
      </w:r>
      <w:r w:rsidRPr="00184453">
        <w:rPr>
          <w:lang w:val="en"/>
        </w:rPr>
        <w:t>ate TWC mailed the Determination Notice</w:t>
      </w:r>
    </w:p>
    <w:p w14:paraId="2313B967" w14:textId="77777777" w:rsidR="002F20B7" w:rsidRPr="00184453" w:rsidRDefault="002F20B7">
      <w:pPr>
        <w:pStyle w:val="OB1"/>
        <w:rPr>
          <w:lang w:val="en"/>
        </w:rPr>
      </w:pPr>
      <w:r w:rsidRPr="00184453">
        <w:rPr>
          <w:lang w:val="en"/>
        </w:rPr>
        <w:t>A copy of the Determination Notice, if possible</w:t>
      </w:r>
    </w:p>
    <w:p w14:paraId="46BC714C" w14:textId="77777777" w:rsidR="002F20B7" w:rsidRDefault="002F20B7">
      <w:pPr>
        <w:pStyle w:val="OB1"/>
        <w:rPr>
          <w:lang w:val="en"/>
        </w:rPr>
      </w:pPr>
      <w:r w:rsidRPr="00184453">
        <w:rPr>
          <w:lang w:val="en"/>
        </w:rPr>
        <w:t xml:space="preserve">Any dates on which </w:t>
      </w:r>
      <w:r>
        <w:rPr>
          <w:lang w:val="en"/>
        </w:rPr>
        <w:t>Appellant</w:t>
      </w:r>
      <w:r w:rsidRPr="00184453">
        <w:rPr>
          <w:lang w:val="en"/>
        </w:rPr>
        <w:t xml:space="preserve"> will not be able to participate in a hearing</w:t>
      </w:r>
    </w:p>
    <w:p w14:paraId="46533D86" w14:textId="5DBD3A97" w:rsidR="002F20B7" w:rsidRDefault="002F20B7">
      <w:pPr>
        <w:pStyle w:val="OB1"/>
        <w:rPr>
          <w:lang w:val="en"/>
        </w:rPr>
      </w:pPr>
      <w:r>
        <w:rPr>
          <w:lang w:val="en"/>
        </w:rPr>
        <w:t>Reason for appeal</w:t>
      </w:r>
    </w:p>
    <w:p w14:paraId="3F7DA280" w14:textId="138DFD11" w:rsidR="00541855" w:rsidRPr="00180FC4" w:rsidRDefault="00541855">
      <w:pPr>
        <w:pStyle w:val="OB1"/>
        <w:rPr>
          <w:lang w:val="en"/>
        </w:rPr>
      </w:pPr>
      <w:r>
        <w:rPr>
          <w:lang w:val="en"/>
        </w:rPr>
        <w:t>Accommodations, e.g. interpreter, in-person hearing, scheduling conflicts</w:t>
      </w:r>
    </w:p>
    <w:p w14:paraId="026C15CD" w14:textId="125A8404" w:rsidR="002F20B7" w:rsidRDefault="00863129">
      <w:pPr>
        <w:pStyle w:val="LB1"/>
      </w:pPr>
      <w:r>
        <w:t xml:space="preserve">System must </w:t>
      </w:r>
      <w:r w:rsidR="006C2104">
        <w:t xml:space="preserve">help direct </w:t>
      </w:r>
      <w:r w:rsidR="003C3430">
        <w:t xml:space="preserve">Parties </w:t>
      </w:r>
      <w:r w:rsidR="006C2104">
        <w:t xml:space="preserve">to Local TWC offices </w:t>
      </w:r>
      <w:r w:rsidR="002F20B7">
        <w:t>(Tax and Workforce) available for a</w:t>
      </w:r>
      <w:r w:rsidR="006C2104">
        <w:t>ssistance when filing an appeal</w:t>
      </w:r>
    </w:p>
    <w:p w14:paraId="078CFDF7" w14:textId="77777777" w:rsidR="002F20B7" w:rsidRDefault="002F20B7" w:rsidP="002F20B7"/>
    <w:p w14:paraId="46F7B1D1" w14:textId="1660108E" w:rsidR="002F20B7" w:rsidRDefault="002F20B7" w:rsidP="002F20B7">
      <w:pPr>
        <w:rPr>
          <w:u w:val="single"/>
        </w:rPr>
      </w:pPr>
      <w:r w:rsidRPr="002F20B7">
        <w:rPr>
          <w:u w:val="single"/>
        </w:rPr>
        <w:t>Alternate Activities and Special Cases</w:t>
      </w:r>
    </w:p>
    <w:p w14:paraId="0BC52AE0" w14:textId="77777777" w:rsidR="004F7DCA" w:rsidRDefault="004F7DCA" w:rsidP="004F7DCA">
      <w:r>
        <w:t>System must support the following alternate activities and special cases:</w:t>
      </w:r>
    </w:p>
    <w:p w14:paraId="276D7B88" w14:textId="7C8BB75B" w:rsidR="002F20B7" w:rsidRDefault="00CC01B4" w:rsidP="00E16D2D">
      <w:pPr>
        <w:pStyle w:val="LB1"/>
      </w:pPr>
      <w:r>
        <w:t>Appeals can still be filed without an adverse determination or appeal rights, although the correspondence may lead to a response other than creating the case</w:t>
      </w:r>
    </w:p>
    <w:p w14:paraId="59F92A71" w14:textId="77777777" w:rsidR="002F20B7" w:rsidRDefault="002F20B7" w:rsidP="00E16D2D">
      <w:pPr>
        <w:pStyle w:val="LB1"/>
      </w:pPr>
      <w:r>
        <w:t>Do not display a determination/decision as appealable when a party does not have appeal rights to a determination/decision</w:t>
      </w:r>
    </w:p>
    <w:p w14:paraId="46DE24BD" w14:textId="77777777" w:rsidR="002F20B7" w:rsidRDefault="002F20B7" w:rsidP="002F20B7"/>
    <w:p w14:paraId="23B220F2" w14:textId="7E7DE817" w:rsidR="00EF6E80" w:rsidRDefault="00EF6E80" w:rsidP="002F20B7">
      <w:pPr>
        <w:pStyle w:val="Heading4"/>
      </w:pPr>
      <w:r>
        <w:tab/>
      </w:r>
      <w:r w:rsidR="0041507F">
        <w:t>Receive and Route Appeal</w:t>
      </w:r>
    </w:p>
    <w:p w14:paraId="03A6A7E1" w14:textId="3FF5E5C2" w:rsidR="00EF6E80" w:rsidRPr="00B0723C" w:rsidRDefault="002F20B7" w:rsidP="00EF6E80">
      <w:r>
        <w:t>This process includes all activities required to receive and route an appeal</w:t>
      </w:r>
      <w:r w:rsidR="00EF6E80">
        <w:t>.</w:t>
      </w:r>
    </w:p>
    <w:p w14:paraId="2B830C8D" w14:textId="77777777" w:rsidR="00EF6E80" w:rsidRPr="003A23F0" w:rsidRDefault="00EF6E80" w:rsidP="00EF6E80">
      <w:pPr>
        <w:rPr>
          <w:u w:val="single"/>
        </w:rPr>
      </w:pPr>
      <w:r w:rsidRPr="003A23F0">
        <w:rPr>
          <w:u w:val="single"/>
        </w:rPr>
        <w:t>Actors</w:t>
      </w:r>
    </w:p>
    <w:p w14:paraId="5D853E55" w14:textId="77777777" w:rsidR="00EF6E80" w:rsidRDefault="00EF6E80" w:rsidP="00E16D2D">
      <w:pPr>
        <w:pStyle w:val="LB1"/>
      </w:pPr>
      <w:r>
        <w:t>Staff</w:t>
      </w:r>
    </w:p>
    <w:p w14:paraId="5BB53D29" w14:textId="77777777" w:rsidR="00EF6E80" w:rsidRPr="00DF6567" w:rsidRDefault="00EF6E80" w:rsidP="00EF6E80"/>
    <w:p w14:paraId="52F83884" w14:textId="77777777" w:rsidR="00EF6E80" w:rsidRPr="003A23F0" w:rsidRDefault="00EF6E80" w:rsidP="00EF6E80">
      <w:pPr>
        <w:rPr>
          <w:u w:val="single"/>
        </w:rPr>
      </w:pPr>
      <w:r w:rsidRPr="003A23F0">
        <w:rPr>
          <w:u w:val="single"/>
        </w:rPr>
        <w:t>Main Activities</w:t>
      </w:r>
    </w:p>
    <w:p w14:paraId="3B07ACB7" w14:textId="74BE984E" w:rsidR="002F20B7" w:rsidRDefault="002F20B7" w:rsidP="00E16D2D">
      <w:pPr>
        <w:pStyle w:val="LB1"/>
      </w:pPr>
      <w:r w:rsidRPr="0094562E">
        <w:t xml:space="preserve">System must </w:t>
      </w:r>
      <w:r>
        <w:t xml:space="preserve">interface with </w:t>
      </w:r>
      <w:r w:rsidR="00CB2709">
        <w:t xml:space="preserve">TWC’s CMS, currently FileNet, </w:t>
      </w:r>
      <w:r>
        <w:t xml:space="preserve">or </w:t>
      </w:r>
      <w:r w:rsidRPr="0094562E">
        <w:t xml:space="preserve">include all functionality necessary to store </w:t>
      </w:r>
      <w:r w:rsidR="0034765B" w:rsidRPr="0034765B">
        <w:t>documents, correspondence, and related materials</w:t>
      </w:r>
      <w:r w:rsidR="0034765B">
        <w:t xml:space="preserve"> </w:t>
      </w:r>
      <w:r w:rsidRPr="0094562E">
        <w:t xml:space="preserve">in a </w:t>
      </w:r>
      <w:r w:rsidR="00CB2709">
        <w:t>CMS</w:t>
      </w:r>
      <w:r w:rsidRPr="0094562E">
        <w:t xml:space="preserve">. The Offeror must describe how their system allows conversion of documents to digital format; digital formats supported; parties to upload files (e.g., audio, video, documents, etc.); users to view in real-time and in color; users to delete, re-order, annotate, orient, and split pages, </w:t>
      </w:r>
      <w:r w:rsidR="000370BA">
        <w:t>and redact similar to Adobe Pro</w:t>
      </w:r>
    </w:p>
    <w:p w14:paraId="3079C0BF" w14:textId="677C743D" w:rsidR="002F20B7" w:rsidRDefault="002F20B7" w:rsidP="00E16D2D">
      <w:pPr>
        <w:pStyle w:val="LB1"/>
      </w:pPr>
      <w:r>
        <w:lastRenderedPageBreak/>
        <w:t xml:space="preserve">System must ingest </w:t>
      </w:r>
      <w:r w:rsidR="00AC1AA4" w:rsidRPr="0034765B">
        <w:t>documents, correspondence, and related materials</w:t>
      </w:r>
      <w:r w:rsidR="00AC1AA4">
        <w:t xml:space="preserve"> </w:t>
      </w:r>
      <w:r>
        <w:t xml:space="preserve">into </w:t>
      </w:r>
      <w:r w:rsidR="004B261D">
        <w:t xml:space="preserve">the CMS </w:t>
      </w:r>
      <w:r>
        <w:t>and begin appropriate workflow depending on transmission method</w:t>
      </w:r>
    </w:p>
    <w:p w14:paraId="49E4382D" w14:textId="77777777" w:rsidR="002F20B7" w:rsidRDefault="002F20B7" w:rsidP="00116640">
      <w:pPr>
        <w:pStyle w:val="OB1"/>
      </w:pPr>
      <w:r>
        <w:t>In person, fax, online/self-service portal, and mail</w:t>
      </w:r>
    </w:p>
    <w:p w14:paraId="534BF98D" w14:textId="77777777" w:rsidR="002F20B7" w:rsidRDefault="002F20B7" w:rsidP="00F82166">
      <w:pPr>
        <w:pStyle w:val="LB1"/>
      </w:pPr>
      <w:r>
        <w:t>System must allow Staff to initiate workflow if required</w:t>
      </w:r>
    </w:p>
    <w:p w14:paraId="24B182F2" w14:textId="77777777" w:rsidR="002F20B7" w:rsidRDefault="002F20B7" w:rsidP="00F82166">
      <w:pPr>
        <w:pStyle w:val="LB1"/>
      </w:pPr>
      <w:r>
        <w:t>System must v</w:t>
      </w:r>
      <w:r w:rsidRPr="008D5A7C">
        <w:t>erify Name and SSN</w:t>
      </w:r>
      <w:r>
        <w:t>/Alternate ID of the Claimant</w:t>
      </w:r>
    </w:p>
    <w:p w14:paraId="48F946E5" w14:textId="77777777" w:rsidR="002F20B7" w:rsidRDefault="002F20B7">
      <w:pPr>
        <w:pStyle w:val="LB1"/>
      </w:pPr>
      <w:bookmarkStart w:id="328" w:name="_Hlk512862028"/>
      <w:r>
        <w:t>System must determine</w:t>
      </w:r>
      <w:r w:rsidRPr="00760733">
        <w:t xml:space="preserve"> the appeal level and route appropriately</w:t>
      </w:r>
      <w:bookmarkEnd w:id="328"/>
    </w:p>
    <w:p w14:paraId="1E2195E3" w14:textId="77777777" w:rsidR="002F20B7" w:rsidRDefault="002F20B7">
      <w:pPr>
        <w:pStyle w:val="LB1"/>
      </w:pPr>
      <w:bookmarkStart w:id="329" w:name="_Hlk512862011"/>
      <w:bookmarkStart w:id="330" w:name="_Hlk513714507"/>
      <w:r>
        <w:t xml:space="preserve">System must allow Staff to route an appeal between appropriate departments </w:t>
      </w:r>
      <w:bookmarkStart w:id="331" w:name="_Hlk512858925"/>
      <w:r>
        <w:t>depending on user permissions</w:t>
      </w:r>
      <w:bookmarkEnd w:id="329"/>
      <w:bookmarkEnd w:id="331"/>
    </w:p>
    <w:bookmarkEnd w:id="330"/>
    <w:p w14:paraId="097FDF03" w14:textId="77777777" w:rsidR="002F20B7" w:rsidRDefault="002F20B7">
      <w:pPr>
        <w:pStyle w:val="OB1"/>
      </w:pPr>
      <w:r>
        <w:t>Lower Authority</w:t>
      </w:r>
    </w:p>
    <w:p w14:paraId="099B3CC0" w14:textId="77777777" w:rsidR="002F20B7" w:rsidRDefault="002F20B7">
      <w:pPr>
        <w:pStyle w:val="OB1"/>
      </w:pPr>
      <w:r>
        <w:t>Higher Authority</w:t>
      </w:r>
    </w:p>
    <w:p w14:paraId="2376503E" w14:textId="6725E4C2" w:rsidR="002F20B7" w:rsidRDefault="001D6CEB">
      <w:pPr>
        <w:pStyle w:val="OB1"/>
      </w:pPr>
      <w:r>
        <w:t>Tele-center</w:t>
      </w:r>
    </w:p>
    <w:p w14:paraId="0CF120BC" w14:textId="77777777" w:rsidR="002F20B7" w:rsidRDefault="002F20B7">
      <w:pPr>
        <w:pStyle w:val="OB1"/>
      </w:pPr>
      <w:r>
        <w:t>Chargebacks</w:t>
      </w:r>
    </w:p>
    <w:p w14:paraId="19818758" w14:textId="72A14881" w:rsidR="002F20B7" w:rsidRDefault="00B406F0">
      <w:pPr>
        <w:pStyle w:val="OB1"/>
      </w:pPr>
      <w:r>
        <w:t>SH</w:t>
      </w:r>
    </w:p>
    <w:p w14:paraId="1931F38B" w14:textId="77777777" w:rsidR="002F20B7" w:rsidRDefault="002F20B7">
      <w:pPr>
        <w:pStyle w:val="OB1"/>
      </w:pPr>
      <w:r>
        <w:t>Other</w:t>
      </w:r>
    </w:p>
    <w:p w14:paraId="2C58D44B" w14:textId="77777777" w:rsidR="002F20B7" w:rsidRDefault="002F20B7" w:rsidP="002F20B7"/>
    <w:p w14:paraId="1D45BA79" w14:textId="687C1BD4" w:rsidR="00EF6E80" w:rsidRDefault="00EF6E80" w:rsidP="00EF6E80">
      <w:pPr>
        <w:pStyle w:val="Heading4"/>
      </w:pPr>
      <w:r>
        <w:tab/>
      </w:r>
      <w:r w:rsidR="0041507F">
        <w:t>Process Appeal</w:t>
      </w:r>
    </w:p>
    <w:p w14:paraId="170F8136" w14:textId="6CCDBB69" w:rsidR="00EF6E80" w:rsidRPr="00B0723C" w:rsidRDefault="0041507F" w:rsidP="00EF6E80">
      <w:r>
        <w:t>This process includes all activities required to process an appeal</w:t>
      </w:r>
      <w:r w:rsidR="00EF6E80">
        <w:t>.</w:t>
      </w:r>
    </w:p>
    <w:p w14:paraId="48DCB282" w14:textId="77777777" w:rsidR="00EF6E80" w:rsidRPr="003A23F0" w:rsidRDefault="00EF6E80" w:rsidP="00EF6E80">
      <w:pPr>
        <w:rPr>
          <w:u w:val="single"/>
        </w:rPr>
      </w:pPr>
      <w:r w:rsidRPr="003A23F0">
        <w:rPr>
          <w:u w:val="single"/>
        </w:rPr>
        <w:t>Actors</w:t>
      </w:r>
    </w:p>
    <w:p w14:paraId="55B9006A" w14:textId="77777777" w:rsidR="00EF6E80" w:rsidRDefault="00EF6E80" w:rsidP="00E16D2D">
      <w:pPr>
        <w:pStyle w:val="LB1"/>
      </w:pPr>
      <w:r>
        <w:t>Staff</w:t>
      </w:r>
    </w:p>
    <w:p w14:paraId="3551BE85" w14:textId="77777777" w:rsidR="00EF6E80" w:rsidRPr="00DF6567" w:rsidRDefault="00EF6E80" w:rsidP="00EF6E80"/>
    <w:p w14:paraId="1C06D042" w14:textId="77777777" w:rsidR="00EF6E80" w:rsidRPr="003A23F0" w:rsidRDefault="00EF6E80" w:rsidP="00EF6E80">
      <w:pPr>
        <w:rPr>
          <w:u w:val="single"/>
        </w:rPr>
      </w:pPr>
      <w:r w:rsidRPr="003A23F0">
        <w:rPr>
          <w:u w:val="single"/>
        </w:rPr>
        <w:t>Main Activities</w:t>
      </w:r>
    </w:p>
    <w:p w14:paraId="0FB1088B" w14:textId="77777777" w:rsidR="0041507F" w:rsidRDefault="0041507F" w:rsidP="00E16D2D">
      <w:pPr>
        <w:pStyle w:val="LB1"/>
      </w:pPr>
      <w:bookmarkStart w:id="332" w:name="_Hlk512859657"/>
      <w:r>
        <w:t>System must allow Staff to view</w:t>
      </w:r>
    </w:p>
    <w:p w14:paraId="15A1669C" w14:textId="77777777" w:rsidR="0041507F" w:rsidRDefault="0041507F" w:rsidP="00E16D2D">
      <w:pPr>
        <w:pStyle w:val="OB1"/>
      </w:pPr>
      <w:r>
        <w:t>Existing appeals cases</w:t>
      </w:r>
    </w:p>
    <w:p w14:paraId="6BEA254B" w14:textId="77777777" w:rsidR="0041507F" w:rsidRDefault="0041507F" w:rsidP="00116640">
      <w:pPr>
        <w:pStyle w:val="OB1"/>
      </w:pPr>
      <w:r>
        <w:t>Existing UI information, including attachments associated to issues</w:t>
      </w:r>
    </w:p>
    <w:p w14:paraId="10A5980C" w14:textId="77777777" w:rsidR="0041507F" w:rsidRDefault="0041507F" w:rsidP="00F82166">
      <w:pPr>
        <w:pStyle w:val="OB1"/>
      </w:pPr>
      <w:r>
        <w:t>High-level summary for an appeal hearing (e.g. base period wages, interested parties, timeliness of appeal, opt-in for electronic correspondence, special accommodations, etc.)</w:t>
      </w:r>
      <w:bookmarkEnd w:id="332"/>
    </w:p>
    <w:p w14:paraId="3BC6CA1E" w14:textId="0DC737BE" w:rsidR="0041507F" w:rsidRDefault="00E2460B" w:rsidP="00F82166">
      <w:pPr>
        <w:pStyle w:val="LB1"/>
      </w:pPr>
      <w:r>
        <w:t>System/Staff</w:t>
      </w:r>
      <w:r w:rsidR="0041507F">
        <w:t xml:space="preserve"> </w:t>
      </w:r>
      <w:r w:rsidR="00675414">
        <w:t xml:space="preserve">must </w:t>
      </w:r>
      <w:r w:rsidR="0041507F">
        <w:t>research adverse determinations and/or decisions</w:t>
      </w:r>
    </w:p>
    <w:p w14:paraId="5444BEDC" w14:textId="77777777" w:rsidR="0041507F" w:rsidRDefault="0041507F">
      <w:pPr>
        <w:pStyle w:val="LB1"/>
      </w:pPr>
      <w:r>
        <w:t>System must allow Staff to route an appeal between appropriate departments depending on user permissions</w:t>
      </w:r>
    </w:p>
    <w:p w14:paraId="6C5ACF37" w14:textId="77777777" w:rsidR="0041507F" w:rsidRDefault="0041507F">
      <w:pPr>
        <w:pStyle w:val="OB1"/>
      </w:pPr>
      <w:r>
        <w:t>Lower Authority</w:t>
      </w:r>
    </w:p>
    <w:p w14:paraId="72CC7441" w14:textId="77777777" w:rsidR="0041507F" w:rsidRDefault="0041507F">
      <w:pPr>
        <w:pStyle w:val="OB1"/>
      </w:pPr>
      <w:r>
        <w:t>Higher Authority</w:t>
      </w:r>
    </w:p>
    <w:p w14:paraId="2894C472" w14:textId="2C6B8E83" w:rsidR="0041507F" w:rsidRDefault="0041507F">
      <w:pPr>
        <w:pStyle w:val="OB1"/>
      </w:pPr>
      <w:r>
        <w:t>Tele-</w:t>
      </w:r>
      <w:r w:rsidR="00D51C30">
        <w:t>C</w:t>
      </w:r>
      <w:r>
        <w:t>enter</w:t>
      </w:r>
    </w:p>
    <w:p w14:paraId="6E41135E" w14:textId="77777777" w:rsidR="0041507F" w:rsidRDefault="0041507F">
      <w:pPr>
        <w:pStyle w:val="OB1"/>
      </w:pPr>
      <w:r>
        <w:t>Chargebacks</w:t>
      </w:r>
    </w:p>
    <w:p w14:paraId="5190E1B4" w14:textId="77777777" w:rsidR="0041507F" w:rsidRDefault="0041507F">
      <w:pPr>
        <w:pStyle w:val="OB1"/>
      </w:pPr>
      <w:r>
        <w:t>Special Hearings</w:t>
      </w:r>
    </w:p>
    <w:p w14:paraId="3E2F873D" w14:textId="77777777" w:rsidR="0041507F" w:rsidRDefault="0041507F">
      <w:pPr>
        <w:pStyle w:val="OB1"/>
      </w:pPr>
      <w:r>
        <w:t xml:space="preserve">Other </w:t>
      </w:r>
    </w:p>
    <w:p w14:paraId="406408A0" w14:textId="0C53AA24" w:rsidR="0041507F" w:rsidRDefault="00E2460B">
      <w:pPr>
        <w:pStyle w:val="LB1"/>
      </w:pPr>
      <w:r>
        <w:t>System/Staff</w:t>
      </w:r>
      <w:r w:rsidR="0041507F">
        <w:t xml:space="preserve"> must create a new case or new appeal as appropriate </w:t>
      </w:r>
    </w:p>
    <w:p w14:paraId="58ABB751" w14:textId="77777777" w:rsidR="0041507F" w:rsidRDefault="0041507F">
      <w:pPr>
        <w:pStyle w:val="OB1"/>
      </w:pPr>
      <w:r>
        <w:t>System generates case or appeal number or identifier</w:t>
      </w:r>
    </w:p>
    <w:p w14:paraId="4EA48C6C" w14:textId="7F98E0E9" w:rsidR="0041507F" w:rsidRDefault="00E2460B">
      <w:pPr>
        <w:pStyle w:val="OB1"/>
      </w:pPr>
      <w:r>
        <w:t>System/Staff</w:t>
      </w:r>
      <w:r w:rsidR="0041507F">
        <w:t xml:space="preserve"> inputs appeal data</w:t>
      </w:r>
    </w:p>
    <w:p w14:paraId="19ABD797" w14:textId="77777777" w:rsidR="0041507F" w:rsidRDefault="0041507F" w:rsidP="0041507F">
      <w:pPr>
        <w:pStyle w:val="SB1"/>
      </w:pPr>
      <w:r>
        <w:lastRenderedPageBreak/>
        <w:t>Appeal date</w:t>
      </w:r>
    </w:p>
    <w:p w14:paraId="707A72DA" w14:textId="77777777" w:rsidR="0041507F" w:rsidRDefault="0041507F" w:rsidP="0041507F">
      <w:pPr>
        <w:pStyle w:val="SB1"/>
      </w:pPr>
      <w:r>
        <w:t>Filing method</w:t>
      </w:r>
    </w:p>
    <w:p w14:paraId="2494FB79" w14:textId="77777777" w:rsidR="0041507F" w:rsidRDefault="0041507F" w:rsidP="0041507F">
      <w:pPr>
        <w:pStyle w:val="SB1"/>
      </w:pPr>
      <w:r>
        <w:t xml:space="preserve">Appellant </w:t>
      </w:r>
    </w:p>
    <w:p w14:paraId="0280288D" w14:textId="77777777" w:rsidR="0041507F" w:rsidRDefault="0041507F" w:rsidP="0041507F">
      <w:pPr>
        <w:pStyle w:val="SB1"/>
      </w:pPr>
      <w:r>
        <w:t>Receipt date</w:t>
      </w:r>
    </w:p>
    <w:p w14:paraId="09A069AA" w14:textId="6E133063" w:rsidR="0041507F" w:rsidRDefault="0041507F" w:rsidP="0041507F">
      <w:pPr>
        <w:pStyle w:val="SB1"/>
      </w:pPr>
      <w:r>
        <w:t xml:space="preserve">Accommodations (languages, type of </w:t>
      </w:r>
      <w:r w:rsidR="00930F59">
        <w:t>Employer</w:t>
      </w:r>
      <w:r>
        <w:t>, restrictions on availability, in person, etc.)</w:t>
      </w:r>
    </w:p>
    <w:p w14:paraId="1F3FF223" w14:textId="05D3D5C4" w:rsidR="00285367" w:rsidRDefault="00285367" w:rsidP="00E16D2D">
      <w:pPr>
        <w:pStyle w:val="OB1"/>
      </w:pPr>
      <w:bookmarkStart w:id="333" w:name="_Hlk512860091"/>
      <w:r>
        <w:t xml:space="preserve">System </w:t>
      </w:r>
      <w:r w:rsidR="004F20D8">
        <w:t>must</w:t>
      </w:r>
      <w:r>
        <w:t xml:space="preserve"> </w:t>
      </w:r>
      <w:r w:rsidR="004F20D8">
        <w:t>allow for the creation of multiple appeals cases based on a single appeals document</w:t>
      </w:r>
    </w:p>
    <w:p w14:paraId="01B76C5C" w14:textId="3BE027A9" w:rsidR="00671087" w:rsidRDefault="00671087" w:rsidP="00E16D2D">
      <w:pPr>
        <w:pStyle w:val="OB1"/>
      </w:pPr>
      <w:r>
        <w:t>Staff manually or System automatically</w:t>
      </w:r>
      <w:r w:rsidR="00C00E35">
        <w:t xml:space="preserve"> must</w:t>
      </w:r>
      <w:r>
        <w:t xml:space="preserve"> associate determination correspondence to the appeals case for use in hearing packets</w:t>
      </w:r>
      <w:bookmarkEnd w:id="333"/>
    </w:p>
    <w:p w14:paraId="7750227E" w14:textId="399C1605" w:rsidR="0041507F" w:rsidRDefault="00BE28B8" w:rsidP="00116640">
      <w:pPr>
        <w:pStyle w:val="OB1"/>
      </w:pPr>
      <w:r>
        <w:t xml:space="preserve">System </w:t>
      </w:r>
      <w:r w:rsidR="00C00E35">
        <w:t xml:space="preserve">must </w:t>
      </w:r>
      <w:r>
        <w:t xml:space="preserve">perform edit checks (e.g., timeliness check, flagged </w:t>
      </w:r>
      <w:r w:rsidR="00930F59">
        <w:t>Employer</w:t>
      </w:r>
      <w:r>
        <w:t xml:space="preserve"> account numbers, flagged </w:t>
      </w:r>
      <w:r w:rsidR="00930F59">
        <w:t>Claimant</w:t>
      </w:r>
      <w:r>
        <w:t>s, etc.) and displays customizable messages based on the edit checks</w:t>
      </w:r>
    </w:p>
    <w:p w14:paraId="58483275" w14:textId="3FFD212C" w:rsidR="0041507F" w:rsidRDefault="00E2460B" w:rsidP="00F82166">
      <w:pPr>
        <w:pStyle w:val="OB1"/>
      </w:pPr>
      <w:r>
        <w:t>System/Staff</w:t>
      </w:r>
      <w:r w:rsidR="0041507F">
        <w:t xml:space="preserve"> </w:t>
      </w:r>
      <w:r w:rsidR="00C00E35">
        <w:t xml:space="preserve">must </w:t>
      </w:r>
      <w:r w:rsidR="0041507F">
        <w:t>add or remove</w:t>
      </w:r>
    </w:p>
    <w:p w14:paraId="64C4A7EA" w14:textId="77777777" w:rsidR="0041507F" w:rsidRDefault="0041507F" w:rsidP="0041507F">
      <w:pPr>
        <w:pStyle w:val="SB1"/>
      </w:pPr>
      <w:r>
        <w:t>Parties</w:t>
      </w:r>
    </w:p>
    <w:p w14:paraId="676AAE0C" w14:textId="77777777" w:rsidR="0041507F" w:rsidRDefault="0041507F" w:rsidP="0041507F">
      <w:pPr>
        <w:pStyle w:val="SB1"/>
      </w:pPr>
      <w:r>
        <w:t>Issues</w:t>
      </w:r>
    </w:p>
    <w:p w14:paraId="02A3EDBC" w14:textId="77777777" w:rsidR="0041507F" w:rsidRDefault="0041507F" w:rsidP="0041507F">
      <w:pPr>
        <w:pStyle w:val="SB1"/>
      </w:pPr>
      <w:r>
        <w:t>Special instructions</w:t>
      </w:r>
    </w:p>
    <w:p w14:paraId="65E403EF" w14:textId="77777777" w:rsidR="0041507F" w:rsidRDefault="0041507F" w:rsidP="0041507F">
      <w:pPr>
        <w:pStyle w:val="SB1"/>
      </w:pPr>
      <w:r>
        <w:t>Time zone instructions</w:t>
      </w:r>
    </w:p>
    <w:p w14:paraId="7777E255" w14:textId="77777777" w:rsidR="0041507F" w:rsidRDefault="0041507F" w:rsidP="0041507F">
      <w:pPr>
        <w:pStyle w:val="SB1"/>
      </w:pPr>
      <w:r>
        <w:t>Addresses</w:t>
      </w:r>
    </w:p>
    <w:p w14:paraId="4D32C70C" w14:textId="77777777" w:rsidR="0041507F" w:rsidRDefault="0041507F" w:rsidP="0041507F">
      <w:pPr>
        <w:pStyle w:val="SB1"/>
      </w:pPr>
      <w:r>
        <w:t>Scheduling Parameters</w:t>
      </w:r>
    </w:p>
    <w:p w14:paraId="300AEE0D" w14:textId="77777777" w:rsidR="0041507F" w:rsidRDefault="0041507F" w:rsidP="00E16D2D">
      <w:pPr>
        <w:pStyle w:val="DB1"/>
      </w:pPr>
      <w:r>
        <w:t>Hearing Officer s</w:t>
      </w:r>
      <w:r w:rsidRPr="00180B5B">
        <w:t>kill level</w:t>
      </w:r>
    </w:p>
    <w:p w14:paraId="2E5B48A2" w14:textId="77777777" w:rsidR="0041507F" w:rsidRDefault="0041507F" w:rsidP="00E16D2D">
      <w:pPr>
        <w:pStyle w:val="DB1"/>
      </w:pPr>
      <w:r>
        <w:t>Assign/Exclude a specific Hearing Officer</w:t>
      </w:r>
    </w:p>
    <w:p w14:paraId="7EFE3581" w14:textId="77777777" w:rsidR="0041507F" w:rsidRDefault="0041507F" w:rsidP="00116640">
      <w:pPr>
        <w:pStyle w:val="DB1"/>
      </w:pPr>
      <w:r>
        <w:t>Program code</w:t>
      </w:r>
    </w:p>
    <w:p w14:paraId="7957A114" w14:textId="77777777" w:rsidR="0041507F" w:rsidRDefault="0041507F" w:rsidP="00F82166">
      <w:pPr>
        <w:pStyle w:val="DB1"/>
      </w:pPr>
      <w:r>
        <w:t>Employer account</w:t>
      </w:r>
    </w:p>
    <w:p w14:paraId="31CB68FD" w14:textId="77777777" w:rsidR="0041507F" w:rsidRDefault="0041507F" w:rsidP="00F82166">
      <w:pPr>
        <w:pStyle w:val="DB1"/>
      </w:pPr>
      <w:r>
        <w:t>Issue</w:t>
      </w:r>
    </w:p>
    <w:p w14:paraId="63877AF7" w14:textId="77777777" w:rsidR="0041507F" w:rsidRDefault="0041507F">
      <w:pPr>
        <w:pStyle w:val="DB1"/>
      </w:pPr>
      <w:r>
        <w:t>Priority</w:t>
      </w:r>
    </w:p>
    <w:p w14:paraId="5F853364" w14:textId="77777777" w:rsidR="0041507F" w:rsidRDefault="0041507F">
      <w:pPr>
        <w:pStyle w:val="DB1"/>
      </w:pPr>
      <w:r>
        <w:t>Accommodations</w:t>
      </w:r>
    </w:p>
    <w:p w14:paraId="14115F1E" w14:textId="77777777" w:rsidR="0041507F" w:rsidRDefault="0041507F">
      <w:pPr>
        <w:pStyle w:val="DB1"/>
      </w:pPr>
      <w:r>
        <w:t>Language</w:t>
      </w:r>
    </w:p>
    <w:p w14:paraId="797AC8ED" w14:textId="77777777" w:rsidR="0041507F" w:rsidRDefault="0041507F">
      <w:pPr>
        <w:pStyle w:val="DB1"/>
      </w:pPr>
      <w:r>
        <w:t>Type of business</w:t>
      </w:r>
    </w:p>
    <w:p w14:paraId="767B33CA" w14:textId="0203DBB7" w:rsidR="0041507F" w:rsidRDefault="0041507F">
      <w:pPr>
        <w:pStyle w:val="LB1"/>
      </w:pPr>
      <w:r>
        <w:t xml:space="preserve">System must provide status in </w:t>
      </w:r>
      <w:r w:rsidR="00CB3296">
        <w:t xml:space="preserve">secure, </w:t>
      </w:r>
      <w:r>
        <w:t>self-service portal</w:t>
      </w:r>
    </w:p>
    <w:p w14:paraId="6F7ECAC9" w14:textId="2027838C" w:rsidR="0041507F" w:rsidRDefault="00026BFB">
      <w:pPr>
        <w:pStyle w:val="LB1"/>
      </w:pPr>
      <w:r>
        <w:t xml:space="preserve">System must include Case Management and Workflow functionality, described in General Process Descriptions, see </w:t>
      </w:r>
      <w:hyperlink w:anchor="_A6.9_General" w:history="1">
        <w:r>
          <w:rPr>
            <w:rStyle w:val="Hyperlink"/>
          </w:rPr>
          <w:t>Attachment A6.9</w:t>
        </w:r>
      </w:hyperlink>
    </w:p>
    <w:p w14:paraId="6E366B57" w14:textId="77777777" w:rsidR="0041507F" w:rsidRDefault="0041507F" w:rsidP="0041507F"/>
    <w:p w14:paraId="38C0DF38" w14:textId="20A4FCD5" w:rsidR="0041507F" w:rsidRDefault="0041507F" w:rsidP="0041507F">
      <w:pPr>
        <w:rPr>
          <w:u w:val="single"/>
        </w:rPr>
      </w:pPr>
      <w:r w:rsidRPr="0041507F">
        <w:rPr>
          <w:u w:val="single"/>
        </w:rPr>
        <w:t>Alternate Activities and Special Cases</w:t>
      </w:r>
    </w:p>
    <w:p w14:paraId="5412ADD7" w14:textId="77777777" w:rsidR="004F7DCA" w:rsidRDefault="004F7DCA" w:rsidP="004F7DCA">
      <w:r>
        <w:t>System must support the following alternate activities and special cases:</w:t>
      </w:r>
    </w:p>
    <w:p w14:paraId="5A402F80" w14:textId="77777777" w:rsidR="0041507F" w:rsidRDefault="0041507F" w:rsidP="00E16D2D">
      <w:pPr>
        <w:pStyle w:val="LB1"/>
      </w:pPr>
      <w:r>
        <w:t>Pend for various reasons such as</w:t>
      </w:r>
    </w:p>
    <w:p w14:paraId="6B6B1844" w14:textId="77777777" w:rsidR="0041507F" w:rsidRDefault="0041507F" w:rsidP="00E16D2D">
      <w:pPr>
        <w:pStyle w:val="OB1"/>
      </w:pPr>
      <w:r>
        <w:t>Documentation</w:t>
      </w:r>
    </w:p>
    <w:p w14:paraId="068ECF95" w14:textId="77777777" w:rsidR="0041507F" w:rsidRDefault="0041507F" w:rsidP="00116640">
      <w:pPr>
        <w:pStyle w:val="OB1"/>
      </w:pPr>
      <w:r>
        <w:t>Rule 13</w:t>
      </w:r>
    </w:p>
    <w:p w14:paraId="2FBE49BE" w14:textId="77777777" w:rsidR="0041507F" w:rsidRDefault="0041507F" w:rsidP="00F82166">
      <w:pPr>
        <w:pStyle w:val="OB1"/>
      </w:pPr>
      <w:r>
        <w:t>Accommodations</w:t>
      </w:r>
    </w:p>
    <w:p w14:paraId="2328E9E0" w14:textId="77777777" w:rsidR="00FC12B2" w:rsidRDefault="0041507F" w:rsidP="00F82166">
      <w:pPr>
        <w:pStyle w:val="OB1"/>
      </w:pPr>
      <w:r>
        <w:lastRenderedPageBreak/>
        <w:t>Investigations</w:t>
      </w:r>
    </w:p>
    <w:p w14:paraId="485CAC8E" w14:textId="17BE07CD" w:rsidR="00FC12B2" w:rsidRDefault="00FC12B2">
      <w:pPr>
        <w:pStyle w:val="OB1"/>
      </w:pPr>
      <w:r>
        <w:t>Language translations</w:t>
      </w:r>
    </w:p>
    <w:p w14:paraId="07A98D7E" w14:textId="77777777" w:rsidR="0041507F" w:rsidRDefault="0041507F">
      <w:pPr>
        <w:pStyle w:val="LB1"/>
      </w:pPr>
      <w:r>
        <w:t>Delete case data (e.g., processed in error)</w:t>
      </w:r>
    </w:p>
    <w:p w14:paraId="0EA5C197" w14:textId="77777777" w:rsidR="0041507F" w:rsidRDefault="0041507F">
      <w:pPr>
        <w:pStyle w:val="LB1"/>
      </w:pPr>
      <w:r>
        <w:t>Multi-claim</w:t>
      </w:r>
    </w:p>
    <w:p w14:paraId="080074C8" w14:textId="77777777" w:rsidR="0041507F" w:rsidRDefault="0041507F">
      <w:pPr>
        <w:pStyle w:val="LB1"/>
      </w:pPr>
      <w:r>
        <w:t>Companion cases</w:t>
      </w:r>
    </w:p>
    <w:p w14:paraId="148CD59B" w14:textId="77777777" w:rsidR="0041507F" w:rsidRDefault="0041507F">
      <w:pPr>
        <w:pStyle w:val="LB1"/>
      </w:pPr>
      <w:r>
        <w:t xml:space="preserve">Resets </w:t>
      </w:r>
    </w:p>
    <w:p w14:paraId="79EB5094" w14:textId="77777777" w:rsidR="0041507F" w:rsidRDefault="0041507F">
      <w:pPr>
        <w:pStyle w:val="LB1"/>
      </w:pPr>
      <w:r>
        <w:t>Re-openings</w:t>
      </w:r>
    </w:p>
    <w:p w14:paraId="537F4396" w14:textId="77777777" w:rsidR="0041507F" w:rsidRDefault="0041507F">
      <w:pPr>
        <w:pStyle w:val="LB1"/>
      </w:pPr>
      <w:r>
        <w:t>Continuances</w:t>
      </w:r>
    </w:p>
    <w:p w14:paraId="5450BB37" w14:textId="77777777" w:rsidR="0041507F" w:rsidRDefault="0041507F">
      <w:pPr>
        <w:pStyle w:val="LB1"/>
      </w:pPr>
      <w:r>
        <w:t>Remands</w:t>
      </w:r>
    </w:p>
    <w:p w14:paraId="382B1222" w14:textId="77777777" w:rsidR="0041507F" w:rsidRDefault="0041507F">
      <w:pPr>
        <w:pStyle w:val="LB1"/>
      </w:pPr>
      <w:r>
        <w:t>Expedited</w:t>
      </w:r>
    </w:p>
    <w:p w14:paraId="6763846E" w14:textId="77777777" w:rsidR="0041507F" w:rsidRDefault="0041507F">
      <w:pPr>
        <w:pStyle w:val="LB1"/>
      </w:pPr>
      <w:r>
        <w:t xml:space="preserve">Withdrawals </w:t>
      </w:r>
    </w:p>
    <w:p w14:paraId="6FDC673F" w14:textId="6648589C" w:rsidR="0041507F" w:rsidRDefault="0041507F">
      <w:pPr>
        <w:pStyle w:val="LB1"/>
      </w:pPr>
      <w:r>
        <w:t>Cancellations</w:t>
      </w:r>
    </w:p>
    <w:p w14:paraId="007C37C3" w14:textId="23A93FD3" w:rsidR="00CE56D7" w:rsidRDefault="00CE56D7">
      <w:pPr>
        <w:pStyle w:val="LB1"/>
      </w:pPr>
      <w:r>
        <w:t>On the Record</w:t>
      </w:r>
    </w:p>
    <w:p w14:paraId="2F025952" w14:textId="68A832D6" w:rsidR="00CE56D7" w:rsidRDefault="00CE56D7">
      <w:pPr>
        <w:pStyle w:val="LB1"/>
      </w:pPr>
      <w:r>
        <w:t>Order of Dismissal</w:t>
      </w:r>
    </w:p>
    <w:p w14:paraId="7571BC51" w14:textId="77777777" w:rsidR="0041507F" w:rsidRDefault="0041507F">
      <w:pPr>
        <w:pStyle w:val="LB1"/>
      </w:pPr>
      <w:r>
        <w:t>Generate correspondence</w:t>
      </w:r>
    </w:p>
    <w:p w14:paraId="275266F0" w14:textId="65EC2D67" w:rsidR="0041507F" w:rsidRDefault="00BE28B8">
      <w:pPr>
        <w:pStyle w:val="OB1"/>
      </w:pPr>
      <w:r>
        <w:t>Favor letter (e.g. determination favorable, no appeal necessary)</w:t>
      </w:r>
    </w:p>
    <w:p w14:paraId="1F43D43D" w14:textId="77777777" w:rsidR="0041507F" w:rsidRDefault="0041507F">
      <w:pPr>
        <w:pStyle w:val="OB1"/>
      </w:pPr>
      <w:r>
        <w:t>Cancellation letter</w:t>
      </w:r>
    </w:p>
    <w:p w14:paraId="0831F3D7" w14:textId="77777777" w:rsidR="0041507F" w:rsidRDefault="0041507F">
      <w:pPr>
        <w:pStyle w:val="OB1"/>
      </w:pPr>
      <w:r>
        <w:t>Request for information letter (representation, scheduling, etc.)</w:t>
      </w:r>
    </w:p>
    <w:p w14:paraId="7F64441C" w14:textId="77777777" w:rsidR="0041507F" w:rsidRDefault="0041507F">
      <w:pPr>
        <w:pStyle w:val="OB1"/>
      </w:pPr>
      <w:r>
        <w:t>Early appeal letter</w:t>
      </w:r>
    </w:p>
    <w:p w14:paraId="4495F18A" w14:textId="77777777" w:rsidR="0041507F" w:rsidRDefault="0041507F">
      <w:pPr>
        <w:pStyle w:val="OB1"/>
      </w:pPr>
      <w:r>
        <w:t>Ad hoc letters</w:t>
      </w:r>
    </w:p>
    <w:p w14:paraId="4B36EFF5" w14:textId="77777777" w:rsidR="0041507F" w:rsidRDefault="0041507F" w:rsidP="0041507F"/>
    <w:p w14:paraId="3D640BC6" w14:textId="5D34E755" w:rsidR="00EF6E80" w:rsidRDefault="00EF6E80" w:rsidP="00EF6E80">
      <w:pPr>
        <w:pStyle w:val="Heading4"/>
      </w:pPr>
      <w:r>
        <w:tab/>
      </w:r>
      <w:r w:rsidR="001D2EB1">
        <w:t>Submit Documentation</w:t>
      </w:r>
    </w:p>
    <w:p w14:paraId="42247FE6" w14:textId="57E3C8BC" w:rsidR="00EF6E80" w:rsidRPr="00B0723C" w:rsidRDefault="007E0A18" w:rsidP="00EF6E80">
      <w:r>
        <w:t>This process includes all activities required to submit documentation</w:t>
      </w:r>
      <w:r w:rsidR="00EF6E80">
        <w:t>.</w:t>
      </w:r>
    </w:p>
    <w:p w14:paraId="0D4B73A6" w14:textId="77777777" w:rsidR="00EF6E80" w:rsidRPr="003A23F0" w:rsidRDefault="00EF6E80" w:rsidP="00EF6E80">
      <w:pPr>
        <w:rPr>
          <w:u w:val="single"/>
        </w:rPr>
      </w:pPr>
      <w:r w:rsidRPr="003A23F0">
        <w:rPr>
          <w:u w:val="single"/>
        </w:rPr>
        <w:t>Actors</w:t>
      </w:r>
    </w:p>
    <w:p w14:paraId="0A9805FD" w14:textId="77777777" w:rsidR="00BE28B8" w:rsidRDefault="00BE28B8" w:rsidP="00E16D2D">
      <w:pPr>
        <w:pStyle w:val="LB1"/>
      </w:pPr>
      <w:r>
        <w:t>Staff</w:t>
      </w:r>
    </w:p>
    <w:p w14:paraId="052A60E7" w14:textId="77777777" w:rsidR="00BE28B8" w:rsidRDefault="00BE28B8" w:rsidP="00E16D2D">
      <w:pPr>
        <w:pStyle w:val="LB1"/>
      </w:pPr>
      <w:r>
        <w:t>Claimants</w:t>
      </w:r>
    </w:p>
    <w:p w14:paraId="45D434EA" w14:textId="77777777" w:rsidR="00BE28B8" w:rsidRDefault="00BE28B8" w:rsidP="00116640">
      <w:pPr>
        <w:pStyle w:val="LB1"/>
      </w:pPr>
      <w:r>
        <w:t>Employers</w:t>
      </w:r>
    </w:p>
    <w:p w14:paraId="22A059A9" w14:textId="78FEDB48" w:rsidR="00EF6E80" w:rsidRDefault="00BE28B8" w:rsidP="00F82166">
      <w:pPr>
        <w:pStyle w:val="LB1"/>
      </w:pPr>
      <w:r>
        <w:t>Attorneys/Representatives</w:t>
      </w:r>
    </w:p>
    <w:p w14:paraId="7C9C5E44" w14:textId="77777777" w:rsidR="00EF6E80" w:rsidRPr="00DF6567" w:rsidRDefault="00EF6E80" w:rsidP="00EF6E80"/>
    <w:p w14:paraId="15D9478C" w14:textId="77777777" w:rsidR="00EF6E80" w:rsidRPr="003A23F0" w:rsidRDefault="00EF6E80" w:rsidP="00EF6E80">
      <w:pPr>
        <w:rPr>
          <w:u w:val="single"/>
        </w:rPr>
      </w:pPr>
      <w:r w:rsidRPr="003A23F0">
        <w:rPr>
          <w:u w:val="single"/>
        </w:rPr>
        <w:t>Main Activities</w:t>
      </w:r>
    </w:p>
    <w:p w14:paraId="36D2ADB1" w14:textId="77777777" w:rsidR="00360B14" w:rsidRDefault="00360B14" w:rsidP="00E16D2D">
      <w:pPr>
        <w:pStyle w:val="LB1"/>
      </w:pPr>
      <w:r w:rsidRPr="005D0497">
        <w:t>System must receive and process all incoming correspondence and associate it with an electronic identifier (e.g., SSN</w:t>
      </w:r>
      <w:r>
        <w:t>, Entity ID, alternate ID)</w:t>
      </w:r>
      <w:r w:rsidRPr="005D0497">
        <w:t xml:space="preserve"> </w:t>
      </w:r>
    </w:p>
    <w:p w14:paraId="4B5E408F" w14:textId="77777777" w:rsidR="00360B14" w:rsidRDefault="00360B14" w:rsidP="00E16D2D">
      <w:pPr>
        <w:pStyle w:val="OB1"/>
      </w:pPr>
      <w:r>
        <w:t>Mail</w:t>
      </w:r>
    </w:p>
    <w:p w14:paraId="79DF7EF2" w14:textId="77777777" w:rsidR="00360B14" w:rsidRDefault="00360B14" w:rsidP="00116640">
      <w:pPr>
        <w:pStyle w:val="OB1"/>
      </w:pPr>
      <w:r>
        <w:t>Fax</w:t>
      </w:r>
    </w:p>
    <w:p w14:paraId="0E15F152" w14:textId="77777777" w:rsidR="00360B14" w:rsidRDefault="00360B14" w:rsidP="00F82166">
      <w:pPr>
        <w:pStyle w:val="OB1"/>
      </w:pPr>
      <w:r>
        <w:t>Online uploads</w:t>
      </w:r>
    </w:p>
    <w:p w14:paraId="7AD77D60" w14:textId="6AA9522E" w:rsidR="00360B14" w:rsidRDefault="00360B14" w:rsidP="00F82166">
      <w:pPr>
        <w:pStyle w:val="OB1"/>
      </w:pPr>
      <w:r>
        <w:t>Email</w:t>
      </w:r>
    </w:p>
    <w:p w14:paraId="37F1BA9F" w14:textId="77777777" w:rsidR="00360B14" w:rsidRDefault="00360B14" w:rsidP="00F82166">
      <w:pPr>
        <w:pStyle w:val="OB1"/>
      </w:pPr>
      <w:r>
        <w:t>In person</w:t>
      </w:r>
    </w:p>
    <w:p w14:paraId="4F912B38" w14:textId="77777777" w:rsidR="00360B14" w:rsidRDefault="00360B14">
      <w:pPr>
        <w:pStyle w:val="OB1"/>
      </w:pPr>
      <w:r>
        <w:t>Goal is to associate documents with a case within two (2) hours of receipt</w:t>
      </w:r>
    </w:p>
    <w:p w14:paraId="0F33EBCC" w14:textId="161E79FF" w:rsidR="00360B14" w:rsidRDefault="00360B14">
      <w:pPr>
        <w:pStyle w:val="LB1"/>
      </w:pPr>
      <w:r>
        <w:t>S</w:t>
      </w:r>
      <w:r w:rsidRPr="005D0497">
        <w:t xml:space="preserve">ystem </w:t>
      </w:r>
      <w:r w:rsidR="00570F4E">
        <w:t xml:space="preserve">must </w:t>
      </w:r>
      <w:r w:rsidRPr="005D0497">
        <w:t>capture</w:t>
      </w:r>
      <w:r>
        <w:t xml:space="preserve"> (e.g., OCR or similar)</w:t>
      </w:r>
      <w:r w:rsidRPr="005D0497">
        <w:t xml:space="preserve"> and store data from incoming documents (both electronic and paper) such as</w:t>
      </w:r>
      <w:r w:rsidR="0093711D">
        <w:t>:</w:t>
      </w:r>
      <w:r w:rsidRPr="005D0497">
        <w:t xml:space="preserve"> </w:t>
      </w:r>
    </w:p>
    <w:p w14:paraId="55E9AC87" w14:textId="487487F9" w:rsidR="00360B14" w:rsidRDefault="0093711D">
      <w:pPr>
        <w:pStyle w:val="OB1"/>
      </w:pPr>
      <w:r>
        <w:lastRenderedPageBreak/>
        <w:t>D</w:t>
      </w:r>
      <w:r w:rsidR="00360B14">
        <w:t>ate received</w:t>
      </w:r>
    </w:p>
    <w:p w14:paraId="008C9276" w14:textId="56EDBB56" w:rsidR="00360B14" w:rsidRDefault="00360B14">
      <w:pPr>
        <w:pStyle w:val="OB1"/>
      </w:pPr>
      <w:r w:rsidRPr="005D0497">
        <w:t xml:space="preserve">Method </w:t>
      </w:r>
      <w:r>
        <w:t>received (electronic or paper)</w:t>
      </w:r>
    </w:p>
    <w:p w14:paraId="2BDB5D0F" w14:textId="70FF5922" w:rsidR="00360B14" w:rsidRDefault="00360B14">
      <w:pPr>
        <w:pStyle w:val="OB1"/>
      </w:pPr>
      <w:r>
        <w:t>Date postmarked and submitted</w:t>
      </w:r>
    </w:p>
    <w:p w14:paraId="198DD807" w14:textId="45120247" w:rsidR="00360B14" w:rsidRDefault="00360B14">
      <w:pPr>
        <w:pStyle w:val="OB1"/>
      </w:pPr>
      <w:r>
        <w:t>Document type</w:t>
      </w:r>
    </w:p>
    <w:p w14:paraId="71A53FC5" w14:textId="739136C1" w:rsidR="00360B14" w:rsidRDefault="00360B14">
      <w:pPr>
        <w:pStyle w:val="OB1"/>
      </w:pPr>
      <w:r>
        <w:t>Sender information</w:t>
      </w:r>
    </w:p>
    <w:p w14:paraId="6B8C6C1A" w14:textId="77777777" w:rsidR="00360B14" w:rsidRDefault="00360B14">
      <w:pPr>
        <w:pStyle w:val="OB1"/>
      </w:pPr>
      <w:r>
        <w:t>Document text</w:t>
      </w:r>
    </w:p>
    <w:p w14:paraId="051C0986" w14:textId="6C5D0CB1" w:rsidR="00360B14" w:rsidRDefault="00360B14">
      <w:pPr>
        <w:pStyle w:val="OB1"/>
      </w:pPr>
      <w:r>
        <w:t>Etc.</w:t>
      </w:r>
    </w:p>
    <w:p w14:paraId="1FA618B2" w14:textId="26BB979B" w:rsidR="00360B14" w:rsidRDefault="00CB2709">
      <w:pPr>
        <w:pStyle w:val="LB1"/>
      </w:pPr>
      <w:r>
        <w:t xml:space="preserve">System must allow </w:t>
      </w:r>
      <w:r w:rsidR="00360B14">
        <w:t xml:space="preserve">Staff to </w:t>
      </w:r>
      <w:r w:rsidR="00360B14" w:rsidRPr="005D0497">
        <w:t>manual</w:t>
      </w:r>
      <w:r w:rsidR="00360B14">
        <w:t>ly</w:t>
      </w:r>
      <w:r w:rsidR="00360B14" w:rsidRPr="005D0497">
        <w:t xml:space="preserve"> key</w:t>
      </w:r>
      <w:r w:rsidR="00360B14">
        <w:t xml:space="preserve"> entry of document information</w:t>
      </w:r>
    </w:p>
    <w:p w14:paraId="420E3549" w14:textId="77777777" w:rsidR="00360B14" w:rsidRDefault="00360B14">
      <w:pPr>
        <w:pStyle w:val="LB1"/>
      </w:pPr>
      <w:r>
        <w:t xml:space="preserve">System must </w:t>
      </w:r>
      <w:r w:rsidRPr="005D0497">
        <w:t xml:space="preserve">read bar codes or similar coding to support the automated processing of the item </w:t>
      </w:r>
      <w:r>
        <w:t>when returned by the recipient</w:t>
      </w:r>
    </w:p>
    <w:p w14:paraId="361F1C71" w14:textId="13ECB267" w:rsidR="00360B14" w:rsidRDefault="00CB2709">
      <w:pPr>
        <w:pStyle w:val="LB1"/>
      </w:pPr>
      <w:r>
        <w:t>System must i</w:t>
      </w:r>
      <w:r w:rsidR="00360B14">
        <w:t xml:space="preserve">ngest </w:t>
      </w:r>
      <w:r>
        <w:t xml:space="preserve">document information </w:t>
      </w:r>
      <w:r w:rsidR="00360B14">
        <w:t xml:space="preserve">into </w:t>
      </w:r>
      <w:r w:rsidR="00054DBA">
        <w:t>the CMS</w:t>
      </w:r>
      <w:r>
        <w:t xml:space="preserve"> and</w:t>
      </w:r>
      <w:r w:rsidR="00360B14">
        <w:t xml:space="preserve"> begin workflow</w:t>
      </w:r>
    </w:p>
    <w:p w14:paraId="6292FC9B" w14:textId="77777777" w:rsidR="00360B14" w:rsidRDefault="00360B14">
      <w:pPr>
        <w:pStyle w:val="OB1"/>
      </w:pPr>
      <w:r>
        <w:t>In person, fax, online, email, and mail</w:t>
      </w:r>
    </w:p>
    <w:p w14:paraId="3BF1B32E" w14:textId="77777777" w:rsidR="00360B14" w:rsidRDefault="00360B14">
      <w:pPr>
        <w:pStyle w:val="OB1"/>
      </w:pPr>
      <w:r>
        <w:t>I</w:t>
      </w:r>
      <w:r w:rsidRPr="005D0497">
        <w:t>ntra- and inter-departmental transfers</w:t>
      </w:r>
    </w:p>
    <w:p w14:paraId="4273C2A1" w14:textId="77777777" w:rsidR="00360B14" w:rsidRDefault="00360B14" w:rsidP="00360B14">
      <w:pPr>
        <w:pStyle w:val="KBulletList2"/>
        <w:numPr>
          <w:ilvl w:val="0"/>
          <w:numId w:val="0"/>
        </w:numPr>
      </w:pPr>
    </w:p>
    <w:p w14:paraId="6DFE68F0" w14:textId="19FA829D" w:rsidR="00360B14" w:rsidRDefault="00360B14" w:rsidP="00360B14">
      <w:pPr>
        <w:rPr>
          <w:u w:val="single"/>
        </w:rPr>
      </w:pPr>
      <w:r w:rsidRPr="00360B14">
        <w:rPr>
          <w:u w:val="single"/>
        </w:rPr>
        <w:t>Alternate Activities and Special Cases</w:t>
      </w:r>
    </w:p>
    <w:p w14:paraId="1C480EA9" w14:textId="77777777" w:rsidR="004F7DCA" w:rsidRDefault="004F7DCA" w:rsidP="004F7DCA">
      <w:r>
        <w:t>System must support the following alternate activities and special cases:</w:t>
      </w:r>
    </w:p>
    <w:p w14:paraId="540C9FD8" w14:textId="2882797D" w:rsidR="00360B14" w:rsidRDefault="00C00E35" w:rsidP="00E16D2D">
      <w:pPr>
        <w:pStyle w:val="LB1"/>
      </w:pPr>
      <w:r>
        <w:t>R</w:t>
      </w:r>
      <w:r w:rsidR="00360B14">
        <w:t>eturned mail and bad addresses</w:t>
      </w:r>
    </w:p>
    <w:p w14:paraId="035D079A" w14:textId="6B21D539" w:rsidR="00360B14" w:rsidRDefault="00C00E35" w:rsidP="00E16D2D">
      <w:pPr>
        <w:pStyle w:val="LB1"/>
      </w:pPr>
      <w:r>
        <w:t>D</w:t>
      </w:r>
      <w:r w:rsidR="00360B14">
        <w:t xml:space="preserve">ocumentation </w:t>
      </w:r>
      <w:r>
        <w:t xml:space="preserve">submitted </w:t>
      </w:r>
      <w:r w:rsidR="00360B14">
        <w:t>prior to Appeal processed</w:t>
      </w:r>
    </w:p>
    <w:p w14:paraId="72588E4A" w14:textId="68CF9182" w:rsidR="00BE7EE1" w:rsidRDefault="00BE7EE1" w:rsidP="00116640">
      <w:pPr>
        <w:pStyle w:val="LB1"/>
      </w:pPr>
      <w:r>
        <w:t>Language translations</w:t>
      </w:r>
    </w:p>
    <w:p w14:paraId="4F6C06F8" w14:textId="77777777" w:rsidR="00360B14" w:rsidRDefault="00360B14" w:rsidP="00360B14"/>
    <w:p w14:paraId="50A1ABAA" w14:textId="0F646980" w:rsidR="00EF6E80" w:rsidRDefault="00EF6E80" w:rsidP="00EF6E80">
      <w:pPr>
        <w:pStyle w:val="Heading4"/>
      </w:pPr>
      <w:r>
        <w:tab/>
      </w:r>
      <w:r w:rsidR="007E0A18">
        <w:t>Schedule Hearing</w:t>
      </w:r>
    </w:p>
    <w:p w14:paraId="65437571" w14:textId="081C21D5" w:rsidR="00EF6E80" w:rsidRPr="00B0723C" w:rsidRDefault="007E0A18" w:rsidP="00EF6E80">
      <w:r>
        <w:t>This process includes all activities required to schedule a hearing</w:t>
      </w:r>
      <w:r w:rsidR="00EF6E80">
        <w:t>.</w:t>
      </w:r>
    </w:p>
    <w:p w14:paraId="67FD6456" w14:textId="77777777" w:rsidR="00EF6E80" w:rsidRPr="003A23F0" w:rsidRDefault="00EF6E80" w:rsidP="00EF6E80">
      <w:pPr>
        <w:rPr>
          <w:u w:val="single"/>
        </w:rPr>
      </w:pPr>
      <w:r w:rsidRPr="003A23F0">
        <w:rPr>
          <w:u w:val="single"/>
        </w:rPr>
        <w:t>Actors</w:t>
      </w:r>
    </w:p>
    <w:p w14:paraId="7EFF33D8" w14:textId="77777777" w:rsidR="00EF6E80" w:rsidRDefault="00EF6E80" w:rsidP="00E16D2D">
      <w:pPr>
        <w:pStyle w:val="LB1"/>
      </w:pPr>
      <w:r>
        <w:t>Staff</w:t>
      </w:r>
    </w:p>
    <w:p w14:paraId="1F74E84C" w14:textId="77777777" w:rsidR="00EF6E80" w:rsidRPr="00DF6567" w:rsidRDefault="00EF6E80" w:rsidP="00EF6E80"/>
    <w:p w14:paraId="630064C7" w14:textId="77777777" w:rsidR="00EF6E80" w:rsidRPr="003A23F0" w:rsidRDefault="00EF6E80" w:rsidP="00EF6E80">
      <w:pPr>
        <w:rPr>
          <w:u w:val="single"/>
        </w:rPr>
      </w:pPr>
      <w:r w:rsidRPr="003A23F0">
        <w:rPr>
          <w:u w:val="single"/>
        </w:rPr>
        <w:t>Main Activities</w:t>
      </w:r>
    </w:p>
    <w:p w14:paraId="596ADC68" w14:textId="77777777" w:rsidR="007E0A18" w:rsidRDefault="007E0A18" w:rsidP="00E16D2D">
      <w:pPr>
        <w:pStyle w:val="LB1"/>
      </w:pPr>
      <w:bookmarkStart w:id="334" w:name="_Hlk511651303"/>
      <w:r w:rsidRPr="00180B5B">
        <w:t>System must automatic</w:t>
      </w:r>
      <w:r>
        <w:t>ally</w:t>
      </w:r>
      <w:r w:rsidRPr="00180B5B">
        <w:t xml:space="preserve"> or manual</w:t>
      </w:r>
      <w:r>
        <w:t>ly</w:t>
      </w:r>
      <w:r w:rsidRPr="00180B5B">
        <w:t xml:space="preserve"> </w:t>
      </w:r>
      <w:r>
        <w:t>schedule or assign an appeal</w:t>
      </w:r>
    </w:p>
    <w:p w14:paraId="739655EC" w14:textId="77777777" w:rsidR="007E0A18" w:rsidRDefault="007E0A18" w:rsidP="00E16D2D">
      <w:pPr>
        <w:pStyle w:val="OB1"/>
      </w:pPr>
      <w:r w:rsidRPr="00180B5B">
        <w:t xml:space="preserve">Automatic scheduling must be based on business defined criteria </w:t>
      </w:r>
      <w:r>
        <w:t>including:</w:t>
      </w:r>
    </w:p>
    <w:p w14:paraId="696B3E43" w14:textId="77777777" w:rsidR="007E0A18" w:rsidRDefault="007E0A18" w:rsidP="007E0A18">
      <w:pPr>
        <w:pStyle w:val="SB1"/>
      </w:pPr>
      <w:r>
        <w:t>Hearing officer s</w:t>
      </w:r>
      <w:r w:rsidRPr="00180B5B">
        <w:t>kill level</w:t>
      </w:r>
      <w:r>
        <w:t xml:space="preserve"> and schedule</w:t>
      </w:r>
    </w:p>
    <w:p w14:paraId="5240702C" w14:textId="77777777" w:rsidR="007E0A18" w:rsidRDefault="007E0A18" w:rsidP="007E0A18">
      <w:pPr>
        <w:pStyle w:val="SB1"/>
      </w:pPr>
      <w:r>
        <w:t>Program code</w:t>
      </w:r>
    </w:p>
    <w:p w14:paraId="0D1C2E0A" w14:textId="77777777" w:rsidR="007E0A18" w:rsidRDefault="007E0A18" w:rsidP="007E0A18">
      <w:pPr>
        <w:pStyle w:val="SB1"/>
      </w:pPr>
      <w:r>
        <w:t>Employer account</w:t>
      </w:r>
    </w:p>
    <w:p w14:paraId="0D1EF83F" w14:textId="77777777" w:rsidR="007E0A18" w:rsidRDefault="007E0A18" w:rsidP="007E0A18">
      <w:pPr>
        <w:pStyle w:val="SB1"/>
      </w:pPr>
      <w:r>
        <w:t>Issue</w:t>
      </w:r>
    </w:p>
    <w:p w14:paraId="78264EB7" w14:textId="77777777" w:rsidR="007E0A18" w:rsidRDefault="007E0A18" w:rsidP="007E0A18">
      <w:pPr>
        <w:pStyle w:val="SB1"/>
      </w:pPr>
      <w:r>
        <w:t>Priority</w:t>
      </w:r>
    </w:p>
    <w:p w14:paraId="70A6CDC5" w14:textId="77777777" w:rsidR="007E0A18" w:rsidRDefault="007E0A18" w:rsidP="007E0A18">
      <w:pPr>
        <w:pStyle w:val="SB1"/>
      </w:pPr>
      <w:r>
        <w:t>C</w:t>
      </w:r>
      <w:r w:rsidRPr="00180B5B">
        <w:t>ase age</w:t>
      </w:r>
    </w:p>
    <w:p w14:paraId="4A30F22E" w14:textId="77777777" w:rsidR="007E0A18" w:rsidRDefault="007E0A18" w:rsidP="007E0A18">
      <w:pPr>
        <w:pStyle w:val="SB1"/>
      </w:pPr>
      <w:r>
        <w:t>T</w:t>
      </w:r>
      <w:r w:rsidRPr="00180B5B">
        <w:t>ime off</w:t>
      </w:r>
    </w:p>
    <w:p w14:paraId="52C7B30A" w14:textId="77777777" w:rsidR="007E0A18" w:rsidRDefault="007E0A18" w:rsidP="007E0A18">
      <w:pPr>
        <w:pStyle w:val="SB1"/>
      </w:pPr>
      <w:r>
        <w:t>Accommodations</w:t>
      </w:r>
    </w:p>
    <w:p w14:paraId="522C68CA" w14:textId="77777777" w:rsidR="007E0A18" w:rsidRDefault="007E0A18" w:rsidP="007E0A18">
      <w:pPr>
        <w:pStyle w:val="SB1"/>
      </w:pPr>
      <w:r>
        <w:t>Language</w:t>
      </w:r>
    </w:p>
    <w:p w14:paraId="0CBCE547" w14:textId="77777777" w:rsidR="007E0A18" w:rsidRDefault="007E0A18" w:rsidP="007E0A18">
      <w:pPr>
        <w:pStyle w:val="SB1"/>
      </w:pPr>
      <w:r>
        <w:t>Criteria set during appeal processing</w:t>
      </w:r>
    </w:p>
    <w:p w14:paraId="45B48ABE" w14:textId="3F30761D" w:rsidR="007E0A18" w:rsidRDefault="007E0A18" w:rsidP="007E0A18">
      <w:pPr>
        <w:pStyle w:val="SB1"/>
      </w:pPr>
      <w:r>
        <w:lastRenderedPageBreak/>
        <w:t>Etc.</w:t>
      </w:r>
    </w:p>
    <w:p w14:paraId="41300F66" w14:textId="72DAD8F5" w:rsidR="0064104F" w:rsidRDefault="0064104F" w:rsidP="00E16D2D">
      <w:pPr>
        <w:pStyle w:val="LB1"/>
      </w:pPr>
      <w:r>
        <w:t xml:space="preserve">System must notify all parties of scheduled </w:t>
      </w:r>
      <w:r w:rsidR="000A2FB1">
        <w:t>hearings</w:t>
      </w:r>
    </w:p>
    <w:p w14:paraId="3A3B6C79" w14:textId="63FB6EFA" w:rsidR="007E0A18" w:rsidRDefault="007E0A18" w:rsidP="00E16D2D">
      <w:pPr>
        <w:pStyle w:val="LB1"/>
      </w:pPr>
      <w:r>
        <w:t>System must verify that all required documentation exists in the CMS prior to scheduling</w:t>
      </w:r>
    </w:p>
    <w:p w14:paraId="14BD2272" w14:textId="00A3F004" w:rsidR="007E0A18" w:rsidRDefault="007E0A18" w:rsidP="00116640">
      <w:pPr>
        <w:pStyle w:val="LB1"/>
      </w:pPr>
      <w:r>
        <w:t xml:space="preserve">System must transmit hearing data </w:t>
      </w:r>
      <w:r w:rsidR="00566A8B">
        <w:t xml:space="preserve">to the telephone conferencing system </w:t>
      </w:r>
      <w:r>
        <w:t>such as</w:t>
      </w:r>
    </w:p>
    <w:p w14:paraId="36DF23A4" w14:textId="77777777" w:rsidR="007E0A18" w:rsidRDefault="007E0A18" w:rsidP="00F82166">
      <w:pPr>
        <w:pStyle w:val="OB1"/>
      </w:pPr>
      <w:r>
        <w:t>Hearing date</w:t>
      </w:r>
    </w:p>
    <w:p w14:paraId="29671535" w14:textId="77777777" w:rsidR="007E0A18" w:rsidRDefault="007E0A18" w:rsidP="00F82166">
      <w:pPr>
        <w:pStyle w:val="OB1"/>
      </w:pPr>
      <w:r>
        <w:t>Hearing time</w:t>
      </w:r>
    </w:p>
    <w:p w14:paraId="72A568CB" w14:textId="77777777" w:rsidR="007E0A18" w:rsidRDefault="007E0A18">
      <w:pPr>
        <w:pStyle w:val="OB1"/>
      </w:pPr>
      <w:r>
        <w:t>Hearing Officer name and phone number</w:t>
      </w:r>
    </w:p>
    <w:p w14:paraId="4EB22C15" w14:textId="77777777" w:rsidR="007E0A18" w:rsidRDefault="007E0A18">
      <w:pPr>
        <w:pStyle w:val="OB1"/>
      </w:pPr>
      <w:r>
        <w:t>Case number</w:t>
      </w:r>
    </w:p>
    <w:p w14:paraId="2451F0AE" w14:textId="77777777" w:rsidR="007E0A18" w:rsidRDefault="007E0A18">
      <w:pPr>
        <w:pStyle w:val="OB1"/>
      </w:pPr>
      <w:r>
        <w:t>Etc.</w:t>
      </w:r>
    </w:p>
    <w:p w14:paraId="768B0EE3" w14:textId="77777777" w:rsidR="007E0A18" w:rsidRDefault="007E0A18">
      <w:pPr>
        <w:pStyle w:val="LB1"/>
      </w:pPr>
      <w:r>
        <w:t>System must generate a dashboard for the Hearing Officer including caseload and time lapse information</w:t>
      </w:r>
    </w:p>
    <w:p w14:paraId="4FC705D6" w14:textId="77777777" w:rsidR="007E0A18" w:rsidRDefault="007E0A18">
      <w:pPr>
        <w:pStyle w:val="LB1"/>
      </w:pPr>
      <w:r>
        <w:t>System must capture metrics and generate management reports</w:t>
      </w:r>
      <w:bookmarkEnd w:id="334"/>
    </w:p>
    <w:p w14:paraId="2137C7D3" w14:textId="77777777" w:rsidR="007E0A18" w:rsidRDefault="007E0A18" w:rsidP="007E0A18"/>
    <w:p w14:paraId="73F99E66" w14:textId="18482E2E" w:rsidR="007E0A18" w:rsidRDefault="007E0A18" w:rsidP="007E0A18">
      <w:pPr>
        <w:rPr>
          <w:u w:val="single"/>
        </w:rPr>
      </w:pPr>
      <w:r w:rsidRPr="007E0A18">
        <w:rPr>
          <w:u w:val="single"/>
        </w:rPr>
        <w:t>Alternate Activities and Special Cases</w:t>
      </w:r>
    </w:p>
    <w:p w14:paraId="7CD98733" w14:textId="77777777" w:rsidR="004F7DCA" w:rsidRDefault="004F7DCA" w:rsidP="004F7DCA">
      <w:r>
        <w:t>System must support the following alternate activities and special cases:</w:t>
      </w:r>
    </w:p>
    <w:p w14:paraId="4A3EAA76" w14:textId="77777777" w:rsidR="007E0A18" w:rsidRDefault="007E0A18" w:rsidP="00E16D2D">
      <w:pPr>
        <w:pStyle w:val="LB1"/>
      </w:pPr>
      <w:bookmarkStart w:id="335" w:name="_Hlk511651839"/>
      <w:bookmarkStart w:id="336" w:name="_Hlk511651826"/>
      <w:r>
        <w:t>Reschedule</w:t>
      </w:r>
      <w:r w:rsidRPr="00180B5B">
        <w:t xml:space="preserve"> or </w:t>
      </w:r>
      <w:r>
        <w:t xml:space="preserve">unscheduled </w:t>
      </w:r>
      <w:r w:rsidRPr="00180B5B">
        <w:t>hearings/cases</w:t>
      </w:r>
      <w:r>
        <w:t xml:space="preserve"> </w:t>
      </w:r>
    </w:p>
    <w:p w14:paraId="611E5100" w14:textId="77777777" w:rsidR="007E0A18" w:rsidRDefault="007E0A18" w:rsidP="00E16D2D">
      <w:pPr>
        <w:pStyle w:val="LB1"/>
      </w:pPr>
      <w:r>
        <w:t>Expedited</w:t>
      </w:r>
    </w:p>
    <w:p w14:paraId="63164890" w14:textId="77777777" w:rsidR="007E0A18" w:rsidRDefault="007E0A18" w:rsidP="00116640">
      <w:pPr>
        <w:pStyle w:val="LB1"/>
      </w:pPr>
      <w:r>
        <w:t>Multi-claims</w:t>
      </w:r>
    </w:p>
    <w:p w14:paraId="68EA94CD" w14:textId="77777777" w:rsidR="007E0A18" w:rsidRDefault="007E0A18" w:rsidP="00F82166">
      <w:pPr>
        <w:pStyle w:val="LB1"/>
      </w:pPr>
      <w:r>
        <w:t>Companion cases</w:t>
      </w:r>
      <w:bookmarkEnd w:id="335"/>
    </w:p>
    <w:bookmarkEnd w:id="336"/>
    <w:p w14:paraId="7004CA76" w14:textId="77777777" w:rsidR="007E0A18" w:rsidRDefault="007E0A18" w:rsidP="007E0A18"/>
    <w:p w14:paraId="0BDD7698" w14:textId="3B97DC84" w:rsidR="00EF6E80" w:rsidRDefault="00EF6E80" w:rsidP="00EF6E80">
      <w:pPr>
        <w:pStyle w:val="Heading4"/>
      </w:pPr>
      <w:r>
        <w:tab/>
      </w:r>
      <w:r w:rsidR="00FD209C">
        <w:t>Create and Send Hearing Notices</w:t>
      </w:r>
    </w:p>
    <w:p w14:paraId="4A1B692E" w14:textId="6177E915" w:rsidR="00EF6E80" w:rsidRPr="00B0723C" w:rsidRDefault="00FD209C" w:rsidP="00EF6E80">
      <w:r>
        <w:t>This process includes all activities required to create and send hearing notices</w:t>
      </w:r>
      <w:r w:rsidR="00EF6E80">
        <w:t>.</w:t>
      </w:r>
    </w:p>
    <w:p w14:paraId="189ED9E3" w14:textId="77777777" w:rsidR="00EF6E80" w:rsidRPr="003A23F0" w:rsidRDefault="00EF6E80" w:rsidP="00EF6E80">
      <w:pPr>
        <w:rPr>
          <w:u w:val="single"/>
        </w:rPr>
      </w:pPr>
      <w:r w:rsidRPr="003A23F0">
        <w:rPr>
          <w:u w:val="single"/>
        </w:rPr>
        <w:t>Actors</w:t>
      </w:r>
    </w:p>
    <w:p w14:paraId="21199A94" w14:textId="77777777" w:rsidR="00EF6E80" w:rsidRDefault="00EF6E80" w:rsidP="00E16D2D">
      <w:pPr>
        <w:pStyle w:val="LB1"/>
      </w:pPr>
      <w:r>
        <w:t>Staff</w:t>
      </w:r>
    </w:p>
    <w:p w14:paraId="6E4BF3AF" w14:textId="77777777" w:rsidR="00EF6E80" w:rsidRPr="00DF6567" w:rsidRDefault="00EF6E80" w:rsidP="00EF6E80"/>
    <w:p w14:paraId="72D06B32" w14:textId="77777777" w:rsidR="00EF6E80" w:rsidRPr="003A23F0" w:rsidRDefault="00EF6E80" w:rsidP="00EF6E80">
      <w:pPr>
        <w:rPr>
          <w:u w:val="single"/>
        </w:rPr>
      </w:pPr>
      <w:r w:rsidRPr="003A23F0">
        <w:rPr>
          <w:u w:val="single"/>
        </w:rPr>
        <w:t>Main Activities</w:t>
      </w:r>
    </w:p>
    <w:p w14:paraId="223F9A7F" w14:textId="71B03D25" w:rsidR="00FD209C" w:rsidRDefault="00FD209C" w:rsidP="00E16D2D">
      <w:pPr>
        <w:pStyle w:val="LB1"/>
      </w:pPr>
      <w:r>
        <w:t xml:space="preserve">System must generate required documentation in </w:t>
      </w:r>
      <w:r w:rsidR="004B261D">
        <w:t xml:space="preserve">the CMS </w:t>
      </w:r>
      <w:r>
        <w:t xml:space="preserve">(currently </w:t>
      </w:r>
      <w:r w:rsidRPr="005D0497">
        <w:t>FileNet</w:t>
      </w:r>
      <w:r>
        <w:t>) based on hearing schedule, instructions, issues, etc.</w:t>
      </w:r>
    </w:p>
    <w:p w14:paraId="7D16AFC8" w14:textId="77777777" w:rsidR="00FD209C" w:rsidRDefault="00FD209C" w:rsidP="00E16D2D">
      <w:pPr>
        <w:pStyle w:val="LB1"/>
      </w:pPr>
      <w:r>
        <w:t>System must allow Staff to add and associate documentation to the appeals case for use in hearing packets</w:t>
      </w:r>
    </w:p>
    <w:p w14:paraId="6A628DF4" w14:textId="77777777" w:rsidR="00FD209C" w:rsidRDefault="00FD209C" w:rsidP="00116640">
      <w:pPr>
        <w:pStyle w:val="LB1"/>
      </w:pPr>
      <w:r>
        <w:t>System must generate outgoing correspondence in English and Spanish</w:t>
      </w:r>
    </w:p>
    <w:p w14:paraId="61ECC50C" w14:textId="1BAC84C4" w:rsidR="00FD209C" w:rsidRDefault="00FD209C" w:rsidP="00116640">
      <w:pPr>
        <w:pStyle w:val="LB1"/>
      </w:pPr>
      <w:r>
        <w:t xml:space="preserve">System must retrieve required documentation from </w:t>
      </w:r>
      <w:r w:rsidR="004B261D">
        <w:t xml:space="preserve">the CMS </w:t>
      </w:r>
      <w:r>
        <w:t xml:space="preserve">(currently </w:t>
      </w:r>
      <w:r w:rsidRPr="005D0497">
        <w:t>FileNet</w:t>
      </w:r>
      <w:r>
        <w:t>)</w:t>
      </w:r>
      <w:r w:rsidR="00CD22E6">
        <w:t>:</w:t>
      </w:r>
    </w:p>
    <w:p w14:paraId="074D5B53" w14:textId="77777777" w:rsidR="00730AED" w:rsidRDefault="00730AED" w:rsidP="00F82166">
      <w:pPr>
        <w:pStyle w:val="OB1"/>
      </w:pPr>
      <w:r>
        <w:t>Hearing Notice (case details, scheduling details, and issues)</w:t>
      </w:r>
    </w:p>
    <w:p w14:paraId="3DB53BEB" w14:textId="77777777" w:rsidR="00730AED" w:rsidRDefault="00730AED" w:rsidP="00F82166">
      <w:pPr>
        <w:pStyle w:val="OB1"/>
      </w:pPr>
      <w:r>
        <w:t>Hearing Instructions</w:t>
      </w:r>
    </w:p>
    <w:p w14:paraId="6CC88C1F" w14:textId="77777777" w:rsidR="00730AED" w:rsidRDefault="00730AED">
      <w:pPr>
        <w:pStyle w:val="OB1"/>
      </w:pPr>
      <w:r>
        <w:t>Fact Finding Statements (questions and answers taken to adjudicate the claim at the benefits level)</w:t>
      </w:r>
    </w:p>
    <w:p w14:paraId="64B474B9" w14:textId="77777777" w:rsidR="00730AED" w:rsidRDefault="00730AED">
      <w:pPr>
        <w:pStyle w:val="OB1"/>
      </w:pPr>
      <w:r>
        <w:lastRenderedPageBreak/>
        <w:t>Employer’s Response</w:t>
      </w:r>
    </w:p>
    <w:p w14:paraId="79EED9F6" w14:textId="77777777" w:rsidR="00730AED" w:rsidRDefault="00730AED">
      <w:pPr>
        <w:pStyle w:val="OB1"/>
      </w:pPr>
      <w:r>
        <w:t>Relevant Documents (interdepartmental and correspondence submitted by parties)</w:t>
      </w:r>
    </w:p>
    <w:p w14:paraId="5B2C9CC4" w14:textId="77777777" w:rsidR="00730AED" w:rsidRDefault="00730AED">
      <w:pPr>
        <w:pStyle w:val="OB1"/>
      </w:pPr>
      <w:r>
        <w:t>Determinations</w:t>
      </w:r>
    </w:p>
    <w:p w14:paraId="5986E258" w14:textId="77777777" w:rsidR="00730AED" w:rsidRDefault="00730AED">
      <w:pPr>
        <w:pStyle w:val="OB1"/>
      </w:pPr>
      <w:r>
        <w:t>Appeal Documents</w:t>
      </w:r>
    </w:p>
    <w:p w14:paraId="26A62D53" w14:textId="77777777" w:rsidR="00730AED" w:rsidRDefault="00730AED">
      <w:pPr>
        <w:pStyle w:val="OB1"/>
      </w:pPr>
      <w:r>
        <w:t>All prior higher authority and/or lower authority decisions</w:t>
      </w:r>
    </w:p>
    <w:p w14:paraId="53503D6B" w14:textId="2546F19D" w:rsidR="00FD209C" w:rsidRDefault="00FD209C">
      <w:pPr>
        <w:pStyle w:val="LB1"/>
      </w:pPr>
      <w:r>
        <w:t xml:space="preserve">System must compile generated and retrieved documentation into a Notice of Hearing Packet, annotate it with page numbers, and make the compiled document available in the </w:t>
      </w:r>
      <w:r w:rsidR="004B261D">
        <w:t xml:space="preserve">CMS </w:t>
      </w:r>
      <w:r>
        <w:t>(currently FileNet)</w:t>
      </w:r>
    </w:p>
    <w:p w14:paraId="1DDD3344" w14:textId="0AE46DF8" w:rsidR="00FD209C" w:rsidRDefault="00763D57">
      <w:pPr>
        <w:pStyle w:val="LB1"/>
      </w:pPr>
      <w:r>
        <w:t xml:space="preserve">System must transmit Notice of Hearing Packet to all parties and Hearing Officers using electronic correspondence, the </w:t>
      </w:r>
      <w:r w:rsidR="004047DD">
        <w:rPr>
          <w:szCs w:val="24"/>
        </w:rPr>
        <w:t>Austin Data Center (</w:t>
      </w:r>
      <w:r>
        <w:t>ADC</w:t>
      </w:r>
      <w:r w:rsidR="004047DD">
        <w:t>)</w:t>
      </w:r>
      <w:r>
        <w:t>, as well as allow for local printing when needed, based on customer preferences</w:t>
      </w:r>
    </w:p>
    <w:p w14:paraId="4A04840E" w14:textId="116C5B04" w:rsidR="00FD209C" w:rsidRDefault="00AC6977">
      <w:pPr>
        <w:pStyle w:val="OB1"/>
      </w:pPr>
      <w:r>
        <w:t>Allow for e</w:t>
      </w:r>
      <w:r w:rsidR="00FD209C">
        <w:t>lectronic</w:t>
      </w:r>
      <w:r>
        <w:t xml:space="preserve"> and paper printing</w:t>
      </w:r>
    </w:p>
    <w:p w14:paraId="2A4AEA73" w14:textId="64C43E4F" w:rsidR="00FD209C" w:rsidRDefault="00AC6977">
      <w:pPr>
        <w:pStyle w:val="OB1"/>
      </w:pPr>
      <w:r>
        <w:t>Allow Staff to choose which items are to be included in the Hearing Packet</w:t>
      </w:r>
    </w:p>
    <w:p w14:paraId="38C29445" w14:textId="77777777" w:rsidR="00763D57" w:rsidRDefault="00763D57">
      <w:pPr>
        <w:pStyle w:val="OB1"/>
      </w:pPr>
      <w:r>
        <w:t>Allow Staff to customize the item order</w:t>
      </w:r>
    </w:p>
    <w:p w14:paraId="4D0C661E" w14:textId="77777777" w:rsidR="007E1355" w:rsidRDefault="00763D57">
      <w:pPr>
        <w:pStyle w:val="OB1"/>
      </w:pPr>
      <w:r>
        <w:t>Allow for backup system to access Notice of Hearing packets during internet or network outage</w:t>
      </w:r>
    </w:p>
    <w:p w14:paraId="1710FDB2" w14:textId="3C34B4E4" w:rsidR="00FD209C" w:rsidRDefault="00FD209C">
      <w:pPr>
        <w:pStyle w:val="OB1"/>
      </w:pPr>
      <w:r>
        <w:t>ADC must mail Notice of Hearing Packets</w:t>
      </w:r>
      <w:r w:rsidR="00CE56D7">
        <w:t xml:space="preserve"> to parties not subscribed to Electronic Correspondence</w:t>
      </w:r>
    </w:p>
    <w:p w14:paraId="01E146D2" w14:textId="77777777" w:rsidR="00FD209C" w:rsidRDefault="00FD209C">
      <w:pPr>
        <w:pStyle w:val="LB1"/>
      </w:pPr>
      <w:r>
        <w:t>System must update the UI data including:</w:t>
      </w:r>
    </w:p>
    <w:p w14:paraId="3A669FC2" w14:textId="77777777" w:rsidR="00FD209C" w:rsidRDefault="00FD209C">
      <w:pPr>
        <w:pStyle w:val="OB1"/>
      </w:pPr>
      <w:r>
        <w:t>Document that correspondence was sent, method, and to whom</w:t>
      </w:r>
    </w:p>
    <w:p w14:paraId="0E0BBB89" w14:textId="77777777" w:rsidR="00FD209C" w:rsidRDefault="00FD209C">
      <w:pPr>
        <w:pStyle w:val="OB1"/>
      </w:pPr>
      <w:r>
        <w:t>Update case information to reflect the scheduled hearing</w:t>
      </w:r>
    </w:p>
    <w:p w14:paraId="73262A05" w14:textId="77777777" w:rsidR="00FD209C" w:rsidRDefault="00FD209C" w:rsidP="00FD209C"/>
    <w:p w14:paraId="1A26E4F3" w14:textId="5BAD6303" w:rsidR="00FD209C" w:rsidRDefault="00FD209C" w:rsidP="00FD209C">
      <w:pPr>
        <w:rPr>
          <w:u w:val="single"/>
        </w:rPr>
      </w:pPr>
      <w:r w:rsidRPr="00FD209C">
        <w:rPr>
          <w:u w:val="single"/>
        </w:rPr>
        <w:t>Alternate Activities and Special Cases</w:t>
      </w:r>
      <w:bookmarkStart w:id="337" w:name="_Hlk511891122"/>
    </w:p>
    <w:p w14:paraId="572097FF" w14:textId="77777777" w:rsidR="004F7DCA" w:rsidRDefault="004F7DCA" w:rsidP="004F7DCA">
      <w:r>
        <w:t>System must support the following alternate activities and special cases:</w:t>
      </w:r>
    </w:p>
    <w:bookmarkEnd w:id="337"/>
    <w:p w14:paraId="6129FDBD" w14:textId="77777777" w:rsidR="00FD209C" w:rsidRDefault="00FD209C" w:rsidP="00E16D2D">
      <w:pPr>
        <w:pStyle w:val="LB1"/>
      </w:pPr>
      <w:r>
        <w:t>Returned mail</w:t>
      </w:r>
    </w:p>
    <w:p w14:paraId="22F83618" w14:textId="77777777" w:rsidR="00FD209C" w:rsidRDefault="00FD209C" w:rsidP="00E16D2D">
      <w:pPr>
        <w:pStyle w:val="LB1"/>
      </w:pPr>
      <w:r>
        <w:t xml:space="preserve">Reprint Notice of Hearing Packets </w:t>
      </w:r>
    </w:p>
    <w:p w14:paraId="274008EB" w14:textId="77777777" w:rsidR="00FD209C" w:rsidRDefault="00FD209C" w:rsidP="00116640">
      <w:pPr>
        <w:pStyle w:val="LB1"/>
      </w:pPr>
      <w:r>
        <w:t>Corrected Notice of Hearing Packet</w:t>
      </w:r>
    </w:p>
    <w:p w14:paraId="5EA2DCD0" w14:textId="7172AE7D" w:rsidR="00FD209C" w:rsidRDefault="007120B7" w:rsidP="00F82166">
      <w:pPr>
        <w:pStyle w:val="LB1"/>
      </w:pPr>
      <w:r>
        <w:t xml:space="preserve">Correction of documents included in the file </w:t>
      </w:r>
      <w:r w:rsidR="00091E06">
        <w:t>or correspondence</w:t>
      </w:r>
    </w:p>
    <w:p w14:paraId="05FF0D5E" w14:textId="223B3C4F" w:rsidR="007120B7" w:rsidRDefault="007120B7" w:rsidP="00F82166">
      <w:pPr>
        <w:pStyle w:val="OB1"/>
      </w:pPr>
      <w:r>
        <w:t>Ability to remove and move documents</w:t>
      </w:r>
      <w:r w:rsidR="003C3FC1" w:rsidRPr="003C3FC1">
        <w:t xml:space="preserve"> </w:t>
      </w:r>
      <w:r w:rsidR="003C3FC1">
        <w:t>or correspondence</w:t>
      </w:r>
    </w:p>
    <w:p w14:paraId="28FDEF4E" w14:textId="5F1D66D6" w:rsidR="00FD209C" w:rsidRDefault="00FD209C">
      <w:pPr>
        <w:pStyle w:val="OB1"/>
      </w:pPr>
      <w:r>
        <w:t>Letters</w:t>
      </w:r>
    </w:p>
    <w:p w14:paraId="30D251B6" w14:textId="77777777" w:rsidR="00FD209C" w:rsidRDefault="00FD209C">
      <w:pPr>
        <w:pStyle w:val="OB1"/>
      </w:pPr>
      <w:r>
        <w:t>Tracking</w:t>
      </w:r>
    </w:p>
    <w:p w14:paraId="7747A4EE" w14:textId="5BFD01FB" w:rsidR="00FD209C" w:rsidRDefault="00CE56D7">
      <w:pPr>
        <w:pStyle w:val="OB1"/>
      </w:pPr>
      <w:r>
        <w:t>Edit metadata</w:t>
      </w:r>
    </w:p>
    <w:p w14:paraId="73C05C52" w14:textId="610475E3" w:rsidR="00CE56D7" w:rsidRDefault="00CE56D7">
      <w:pPr>
        <w:pStyle w:val="OB1"/>
      </w:pPr>
      <w:r>
        <w:t>Redacting</w:t>
      </w:r>
    </w:p>
    <w:p w14:paraId="1D8EC40F" w14:textId="77777777" w:rsidR="00FD209C" w:rsidRDefault="00FD209C" w:rsidP="00FD209C"/>
    <w:p w14:paraId="645846EF" w14:textId="477467C5" w:rsidR="00EF6E80" w:rsidRDefault="00EF6E80" w:rsidP="00EF6E80">
      <w:pPr>
        <w:pStyle w:val="Heading4"/>
      </w:pPr>
      <w:r>
        <w:tab/>
      </w:r>
      <w:r w:rsidR="00FD209C">
        <w:t>Conduct Hearing</w:t>
      </w:r>
    </w:p>
    <w:p w14:paraId="29A6221B" w14:textId="550D7CB5" w:rsidR="00EF6E80" w:rsidRPr="00B0723C" w:rsidRDefault="00FD209C" w:rsidP="00EF6E80">
      <w:r>
        <w:t>This process includes all activities required to conduct a hearing</w:t>
      </w:r>
      <w:r w:rsidR="00EF6E80">
        <w:t>.</w:t>
      </w:r>
    </w:p>
    <w:p w14:paraId="65773322" w14:textId="77777777" w:rsidR="00EF6E80" w:rsidRPr="003A23F0" w:rsidRDefault="00EF6E80" w:rsidP="00EF6E80">
      <w:pPr>
        <w:rPr>
          <w:u w:val="single"/>
        </w:rPr>
      </w:pPr>
      <w:r w:rsidRPr="003A23F0">
        <w:rPr>
          <w:u w:val="single"/>
        </w:rPr>
        <w:t>Actors</w:t>
      </w:r>
    </w:p>
    <w:p w14:paraId="3F60E3C9" w14:textId="77777777" w:rsidR="00FD209C" w:rsidRDefault="00FD209C" w:rsidP="00E16D2D">
      <w:pPr>
        <w:pStyle w:val="LB1"/>
      </w:pPr>
      <w:r>
        <w:t>Employers</w:t>
      </w:r>
    </w:p>
    <w:p w14:paraId="030F6034" w14:textId="77777777" w:rsidR="00FD209C" w:rsidRDefault="00FD209C" w:rsidP="00E16D2D">
      <w:pPr>
        <w:pStyle w:val="LB1"/>
      </w:pPr>
      <w:r>
        <w:lastRenderedPageBreak/>
        <w:t>Staff</w:t>
      </w:r>
    </w:p>
    <w:p w14:paraId="7FEA579F" w14:textId="77777777" w:rsidR="00FD209C" w:rsidRDefault="00FD209C" w:rsidP="00116640">
      <w:pPr>
        <w:pStyle w:val="LB1"/>
      </w:pPr>
      <w:r>
        <w:t>Claimants</w:t>
      </w:r>
    </w:p>
    <w:p w14:paraId="5C305976" w14:textId="3EBAC1C8" w:rsidR="00FD209C" w:rsidRDefault="00FD209C" w:rsidP="00F82166">
      <w:pPr>
        <w:pStyle w:val="LB1"/>
      </w:pPr>
      <w:r>
        <w:t>Attorneys/Representatives</w:t>
      </w:r>
    </w:p>
    <w:p w14:paraId="1DA8EBC0" w14:textId="300B2868" w:rsidR="00CE56D7" w:rsidRDefault="00CE56D7" w:rsidP="00F82166">
      <w:pPr>
        <w:pStyle w:val="LB1"/>
      </w:pPr>
      <w:r>
        <w:t>Witnesses</w:t>
      </w:r>
    </w:p>
    <w:p w14:paraId="28F18A93" w14:textId="45E4E799" w:rsidR="00EF6E80" w:rsidRDefault="00FD209C">
      <w:pPr>
        <w:pStyle w:val="LB1"/>
      </w:pPr>
      <w:r>
        <w:t>Interpreters</w:t>
      </w:r>
    </w:p>
    <w:p w14:paraId="555E0078" w14:textId="77777777" w:rsidR="00EF6E80" w:rsidRPr="00DF6567" w:rsidRDefault="00EF6E80" w:rsidP="00EF6E80"/>
    <w:p w14:paraId="1244D7FC" w14:textId="77777777" w:rsidR="00EF6E80" w:rsidRPr="003A23F0" w:rsidRDefault="00EF6E80" w:rsidP="00EF6E80">
      <w:pPr>
        <w:rPr>
          <w:u w:val="single"/>
        </w:rPr>
      </w:pPr>
      <w:r w:rsidRPr="003A23F0">
        <w:rPr>
          <w:u w:val="single"/>
        </w:rPr>
        <w:t>Main Activities</w:t>
      </w:r>
    </w:p>
    <w:p w14:paraId="6504206B" w14:textId="29F9287A" w:rsidR="00FD209C" w:rsidRDefault="00FD209C" w:rsidP="00E16D2D">
      <w:pPr>
        <w:pStyle w:val="LB1"/>
      </w:pPr>
      <w:bookmarkStart w:id="338" w:name="_Hlk511653299"/>
      <w:r>
        <w:t xml:space="preserve">System must interface with </w:t>
      </w:r>
      <w:r w:rsidR="00BE28B8">
        <w:t xml:space="preserve">Telephone </w:t>
      </w:r>
      <w:r>
        <w:t>Conferencing system (currently Clear2There) for conducting hearings or provide similar functionality</w:t>
      </w:r>
    </w:p>
    <w:p w14:paraId="6A5C9391" w14:textId="77777777" w:rsidR="00FD209C" w:rsidRDefault="00FD209C" w:rsidP="00E16D2D">
      <w:pPr>
        <w:pStyle w:val="OB1"/>
      </w:pPr>
      <w:r>
        <w:t xml:space="preserve">System must be able to: </w:t>
      </w:r>
    </w:p>
    <w:bookmarkEnd w:id="338"/>
    <w:p w14:paraId="7C9614B0" w14:textId="77777777" w:rsidR="00FD209C" w:rsidRPr="00A16083" w:rsidRDefault="00FD209C" w:rsidP="00FD209C">
      <w:pPr>
        <w:pStyle w:val="SB1"/>
      </w:pPr>
      <w:r>
        <w:t>Record phone calls</w:t>
      </w:r>
    </w:p>
    <w:p w14:paraId="24A49D2C" w14:textId="6C650C97" w:rsidR="00FD209C" w:rsidRDefault="00FD209C" w:rsidP="00FD209C">
      <w:pPr>
        <w:pStyle w:val="SB1"/>
      </w:pPr>
      <w:r>
        <w:t>Playback at variable speeds</w:t>
      </w:r>
      <w:r w:rsidR="00763D57">
        <w:t>, and other playback features</w:t>
      </w:r>
    </w:p>
    <w:p w14:paraId="5A2E76ED" w14:textId="77777777" w:rsidR="00FD209C" w:rsidRDefault="00FD209C" w:rsidP="00FD209C">
      <w:pPr>
        <w:pStyle w:val="SB1"/>
      </w:pPr>
      <w:r>
        <w:t>Provide online hearing registration</w:t>
      </w:r>
    </w:p>
    <w:p w14:paraId="4395490D" w14:textId="77777777" w:rsidR="00FD209C" w:rsidRDefault="00FD209C" w:rsidP="00FD209C">
      <w:pPr>
        <w:pStyle w:val="SB1"/>
      </w:pPr>
      <w:r>
        <w:t>Perform incoming and outgoing hearing data transfer (date, time, names of parties, case number, proceeding number, length of recording, etc.)</w:t>
      </w:r>
    </w:p>
    <w:p w14:paraId="5120413A" w14:textId="77777777" w:rsidR="00FD209C" w:rsidRDefault="00FD209C" w:rsidP="00FD209C">
      <w:pPr>
        <w:pStyle w:val="SB1"/>
      </w:pPr>
      <w:r>
        <w:t>Store recordings (currently 4 years as defined by retention schedule)</w:t>
      </w:r>
    </w:p>
    <w:p w14:paraId="5D732F2D" w14:textId="77777777" w:rsidR="00FD209C" w:rsidRDefault="00FD209C" w:rsidP="00FD209C">
      <w:pPr>
        <w:pStyle w:val="SB1"/>
      </w:pPr>
      <w:r>
        <w:t>Provide telephone conferencing service for unlimited parties and international phones, including disconnect, muting</w:t>
      </w:r>
    </w:p>
    <w:p w14:paraId="26E5BAC6" w14:textId="12E6ED26" w:rsidR="00FD209C" w:rsidRDefault="00E2460B" w:rsidP="00E16D2D">
      <w:pPr>
        <w:pStyle w:val="OB1"/>
      </w:pPr>
      <w:r>
        <w:t>System/Staff</w:t>
      </w:r>
      <w:r w:rsidR="00FD209C">
        <w:t xml:space="preserve"> must be able to: </w:t>
      </w:r>
    </w:p>
    <w:p w14:paraId="563B0735" w14:textId="11720DBD" w:rsidR="00FD209C" w:rsidRDefault="00FD209C" w:rsidP="00FD209C">
      <w:pPr>
        <w:pStyle w:val="SB1"/>
      </w:pPr>
      <w:r>
        <w:t xml:space="preserve">Create new entry for hearing in </w:t>
      </w:r>
      <w:r w:rsidR="009A077F">
        <w:t xml:space="preserve">the Telephone </w:t>
      </w:r>
      <w:r>
        <w:t>Conferencing system</w:t>
      </w:r>
    </w:p>
    <w:p w14:paraId="31906ED2" w14:textId="77777777" w:rsidR="00FD209C" w:rsidRDefault="00FD209C" w:rsidP="00FD209C">
      <w:pPr>
        <w:pStyle w:val="SB1"/>
      </w:pPr>
      <w:r>
        <w:t>Add/edit participant details (name, job title, phone number, special instructions, registration information)</w:t>
      </w:r>
    </w:p>
    <w:p w14:paraId="0CF83DB7" w14:textId="77777777" w:rsidR="00FD209C" w:rsidRDefault="00FD209C" w:rsidP="00FD209C">
      <w:pPr>
        <w:pStyle w:val="SB1"/>
      </w:pPr>
      <w:r>
        <w:t>Add/edit case notes</w:t>
      </w:r>
    </w:p>
    <w:p w14:paraId="2A645DA3" w14:textId="77777777" w:rsidR="00FD209C" w:rsidRDefault="00FD209C" w:rsidP="00FD209C">
      <w:pPr>
        <w:pStyle w:val="SB1"/>
      </w:pPr>
      <w:r>
        <w:t>Add/edit bookmarks</w:t>
      </w:r>
    </w:p>
    <w:p w14:paraId="67690CFB" w14:textId="05601FE9" w:rsidR="00FD209C" w:rsidRDefault="00FD209C" w:rsidP="00FD209C">
      <w:pPr>
        <w:pStyle w:val="SB1"/>
      </w:pPr>
      <w:r>
        <w:t>Search (</w:t>
      </w:r>
      <w:r w:rsidR="00930F59">
        <w:t>Claimant</w:t>
      </w:r>
      <w:r>
        <w:t xml:space="preserve">, name, SSN, hearing officer, date, </w:t>
      </w:r>
      <w:r w:rsidR="009521D7">
        <w:t xml:space="preserve">Employer </w:t>
      </w:r>
      <w:r>
        <w:t xml:space="preserve">account number, </w:t>
      </w:r>
      <w:r w:rsidR="009521D7">
        <w:t xml:space="preserve">Employer </w:t>
      </w:r>
      <w:r>
        <w:t>name, case number, proceeding number, hearing number)</w:t>
      </w:r>
    </w:p>
    <w:p w14:paraId="4423E00F" w14:textId="77777777" w:rsidR="00FD209C" w:rsidRDefault="00FD209C" w:rsidP="00FD209C">
      <w:pPr>
        <w:pStyle w:val="SB1"/>
      </w:pPr>
      <w:r>
        <w:t>Upload/clip/modify/download/burn recordings</w:t>
      </w:r>
    </w:p>
    <w:p w14:paraId="2F57885A" w14:textId="77777777" w:rsidR="00FD209C" w:rsidRDefault="00FD209C" w:rsidP="00FD209C">
      <w:pPr>
        <w:pStyle w:val="SB1"/>
      </w:pPr>
      <w:r>
        <w:t>Associate recording with electronic case file</w:t>
      </w:r>
    </w:p>
    <w:p w14:paraId="4C16A38F" w14:textId="73F99000" w:rsidR="00FD209C" w:rsidRDefault="00CB2709" w:rsidP="00E16D2D">
      <w:pPr>
        <w:pStyle w:val="LB1"/>
      </w:pPr>
      <w:r>
        <w:t>System must allow Staff to electronically</w:t>
      </w:r>
      <w:r w:rsidR="00FD209C">
        <w:t xml:space="preserve"> mark exhibits in the </w:t>
      </w:r>
      <w:r w:rsidR="00054DBA">
        <w:t>CMS</w:t>
      </w:r>
    </w:p>
    <w:p w14:paraId="1B8D8E00" w14:textId="77777777" w:rsidR="00FD209C" w:rsidRDefault="00FD209C" w:rsidP="00E16D2D">
      <w:pPr>
        <w:pStyle w:val="LB1"/>
      </w:pPr>
      <w:r>
        <w:t>System must allow Staff to view case information during the hearing including but not limited to:</w:t>
      </w:r>
    </w:p>
    <w:p w14:paraId="208D62CE" w14:textId="46E57AE5" w:rsidR="00FD209C" w:rsidRDefault="00FD209C" w:rsidP="00116640">
      <w:pPr>
        <w:pStyle w:val="OB1"/>
      </w:pPr>
      <w:r>
        <w:t>Electronic hearing packet</w:t>
      </w:r>
      <w:r w:rsidR="00763D57">
        <w:t xml:space="preserve"> optimized to conduct electronic hearing</w:t>
      </w:r>
    </w:p>
    <w:p w14:paraId="6B143347" w14:textId="77777777" w:rsidR="00FD209C" w:rsidRDefault="00FD209C" w:rsidP="00F82166">
      <w:pPr>
        <w:pStyle w:val="OB1"/>
      </w:pPr>
      <w:r>
        <w:t>UI data as appropriate</w:t>
      </w:r>
    </w:p>
    <w:p w14:paraId="01001EB6" w14:textId="77777777" w:rsidR="00FD209C" w:rsidRDefault="00FD209C" w:rsidP="00FD209C">
      <w:pPr>
        <w:pStyle w:val="SB1"/>
      </w:pPr>
      <w:r>
        <w:t>Claim certifications</w:t>
      </w:r>
    </w:p>
    <w:p w14:paraId="7CA6DF97" w14:textId="77777777" w:rsidR="00FD209C" w:rsidRDefault="00FD209C" w:rsidP="00FD209C">
      <w:pPr>
        <w:pStyle w:val="SB1"/>
      </w:pPr>
      <w:r>
        <w:t>Fact finding from other determinations</w:t>
      </w:r>
    </w:p>
    <w:p w14:paraId="28DC9BE5" w14:textId="77777777" w:rsidR="00FD209C" w:rsidRDefault="00FD209C" w:rsidP="00FD209C">
      <w:pPr>
        <w:pStyle w:val="SB1"/>
      </w:pPr>
      <w:r>
        <w:t>Liable accounts</w:t>
      </w:r>
    </w:p>
    <w:p w14:paraId="32555EC2" w14:textId="77777777" w:rsidR="00FD209C" w:rsidRDefault="00FD209C" w:rsidP="00FD209C">
      <w:pPr>
        <w:pStyle w:val="SB1"/>
      </w:pPr>
      <w:r>
        <w:t>Reported wages</w:t>
      </w:r>
    </w:p>
    <w:p w14:paraId="102105A8" w14:textId="77777777" w:rsidR="00FD209C" w:rsidRDefault="00FD209C" w:rsidP="00FD209C">
      <w:pPr>
        <w:pStyle w:val="SB1"/>
      </w:pPr>
      <w:r>
        <w:lastRenderedPageBreak/>
        <w:t>Etc.</w:t>
      </w:r>
    </w:p>
    <w:p w14:paraId="5DE2B4F4" w14:textId="77777777" w:rsidR="00FD209C" w:rsidRDefault="00FD209C" w:rsidP="00E16D2D">
      <w:pPr>
        <w:pStyle w:val="LB1"/>
      </w:pPr>
      <w:bookmarkStart w:id="339" w:name="_Hlk512863105"/>
      <w:r>
        <w:t>System must allow Staff to view a high-level summary for an appeal hearing (e.g. base period wages, interested parties, timeliness of appeal, opt-in for electronic correspondence, special accommodations, etc.)</w:t>
      </w:r>
      <w:bookmarkEnd w:id="339"/>
    </w:p>
    <w:p w14:paraId="5D44D3F3" w14:textId="77777777" w:rsidR="00FD209C" w:rsidRDefault="00FD209C" w:rsidP="00E16D2D">
      <w:pPr>
        <w:pStyle w:val="LB1"/>
      </w:pPr>
      <w:bookmarkStart w:id="340" w:name="_Hlk512859179"/>
      <w:bookmarkStart w:id="341" w:name="_Hlk513714441"/>
      <w:r>
        <w:t>System must allow Staff to exchange documentation during hearing between all participants</w:t>
      </w:r>
      <w:bookmarkEnd w:id="340"/>
    </w:p>
    <w:bookmarkEnd w:id="341"/>
    <w:p w14:paraId="3483ECEA" w14:textId="77777777" w:rsidR="00FD209C" w:rsidRDefault="00FD209C" w:rsidP="00FD209C"/>
    <w:p w14:paraId="4424AC77" w14:textId="045C6E47" w:rsidR="00FD209C" w:rsidRDefault="00FD209C" w:rsidP="00FD209C">
      <w:pPr>
        <w:rPr>
          <w:u w:val="single"/>
        </w:rPr>
      </w:pPr>
      <w:r w:rsidRPr="00FD209C">
        <w:rPr>
          <w:u w:val="single"/>
        </w:rPr>
        <w:t>Alternate Activities and Special Cases</w:t>
      </w:r>
    </w:p>
    <w:p w14:paraId="3C4092C6" w14:textId="77777777" w:rsidR="004F7DCA" w:rsidRDefault="004F7DCA" w:rsidP="004F7DCA">
      <w:r>
        <w:t>System must support the following alternate activities and special cases:</w:t>
      </w:r>
    </w:p>
    <w:p w14:paraId="4DF93ACE" w14:textId="77777777" w:rsidR="00FD209C" w:rsidRDefault="00FD209C" w:rsidP="00E16D2D">
      <w:pPr>
        <w:pStyle w:val="LB1"/>
      </w:pPr>
      <w:r>
        <w:t>No shows</w:t>
      </w:r>
    </w:p>
    <w:p w14:paraId="6D51C80D" w14:textId="77777777" w:rsidR="00FD209C" w:rsidRDefault="00FD209C" w:rsidP="00E16D2D">
      <w:pPr>
        <w:pStyle w:val="LB1"/>
      </w:pPr>
      <w:r>
        <w:t>Withdrawals</w:t>
      </w:r>
    </w:p>
    <w:p w14:paraId="7574850B" w14:textId="77777777" w:rsidR="00FD209C" w:rsidRDefault="00FD209C" w:rsidP="00116640">
      <w:pPr>
        <w:pStyle w:val="LB1"/>
      </w:pPr>
      <w:r>
        <w:t xml:space="preserve">Resets/Continuances </w:t>
      </w:r>
    </w:p>
    <w:p w14:paraId="1220ED9C" w14:textId="77777777" w:rsidR="00FD209C" w:rsidRDefault="00FD209C" w:rsidP="00F82166">
      <w:pPr>
        <w:pStyle w:val="LB1"/>
      </w:pPr>
      <w:r>
        <w:t>Hearing substitution/reassignment of scheduled hearing to another hearing officer</w:t>
      </w:r>
    </w:p>
    <w:p w14:paraId="144841D5" w14:textId="77777777" w:rsidR="00FD209C" w:rsidRDefault="00FD209C" w:rsidP="00F82166">
      <w:pPr>
        <w:pStyle w:val="LB1"/>
      </w:pPr>
      <w:r>
        <w:t>Backup system in case conference system unavailable</w:t>
      </w:r>
    </w:p>
    <w:p w14:paraId="331238C9" w14:textId="77777777" w:rsidR="00FD209C" w:rsidRDefault="00FD209C">
      <w:pPr>
        <w:pStyle w:val="LB1"/>
      </w:pPr>
      <w:r>
        <w:t xml:space="preserve">Unscheduled Interpreter request </w:t>
      </w:r>
    </w:p>
    <w:p w14:paraId="5D193788" w14:textId="77777777" w:rsidR="00FD209C" w:rsidRDefault="00FD209C">
      <w:pPr>
        <w:pStyle w:val="LB1"/>
      </w:pPr>
      <w:r>
        <w:t>Create UI/Fraud/Tax investigation based on testimony and evidence</w:t>
      </w:r>
    </w:p>
    <w:p w14:paraId="2B74454F" w14:textId="77777777" w:rsidR="00FD209C" w:rsidRPr="00A16083" w:rsidRDefault="00FD209C">
      <w:pPr>
        <w:pStyle w:val="OB1"/>
      </w:pPr>
      <w:r>
        <w:t>Ineligibilities</w:t>
      </w:r>
    </w:p>
    <w:p w14:paraId="2693A691" w14:textId="77777777" w:rsidR="00FD209C" w:rsidRDefault="00FD209C">
      <w:pPr>
        <w:pStyle w:val="OB1"/>
      </w:pPr>
      <w:r>
        <w:t>SUTA dumping</w:t>
      </w:r>
    </w:p>
    <w:p w14:paraId="0969CB5E" w14:textId="14EE861B" w:rsidR="00FD209C" w:rsidRDefault="00FD209C">
      <w:pPr>
        <w:pStyle w:val="OB1"/>
      </w:pPr>
      <w:r>
        <w:t>Acting as an unlicensed PEO</w:t>
      </w:r>
    </w:p>
    <w:p w14:paraId="1D9B6ABD" w14:textId="71C0763A" w:rsidR="00763D57" w:rsidRDefault="00763D57">
      <w:pPr>
        <w:pStyle w:val="OB1"/>
      </w:pPr>
      <w:r>
        <w:t>Identity theft</w:t>
      </w:r>
    </w:p>
    <w:p w14:paraId="7F848933" w14:textId="7FA75504" w:rsidR="00763D57" w:rsidRDefault="00763D57">
      <w:pPr>
        <w:pStyle w:val="OB1"/>
      </w:pPr>
      <w:r>
        <w:t>Etc.</w:t>
      </w:r>
    </w:p>
    <w:p w14:paraId="5FB10A4C" w14:textId="77777777" w:rsidR="00FD209C" w:rsidRDefault="00FD209C" w:rsidP="00FD209C"/>
    <w:p w14:paraId="76418868" w14:textId="1F44C668" w:rsidR="00EF6E80" w:rsidRDefault="00EF6E80" w:rsidP="00EF6E80">
      <w:pPr>
        <w:pStyle w:val="Heading4"/>
      </w:pPr>
      <w:r>
        <w:tab/>
      </w:r>
      <w:r w:rsidR="001E7541">
        <w:t>Issue Decision</w:t>
      </w:r>
    </w:p>
    <w:p w14:paraId="4B1AEB8D" w14:textId="106509F8" w:rsidR="00EF6E80" w:rsidRPr="00B0723C" w:rsidRDefault="009B4B2E" w:rsidP="00EF6E80">
      <w:r>
        <w:t>This process includes all activities required to issue a decision</w:t>
      </w:r>
      <w:r w:rsidR="00EF6E80">
        <w:t>.</w:t>
      </w:r>
    </w:p>
    <w:p w14:paraId="62CB5E1B" w14:textId="77777777" w:rsidR="00EF6E80" w:rsidRPr="003A23F0" w:rsidRDefault="00EF6E80" w:rsidP="00EF6E80">
      <w:pPr>
        <w:rPr>
          <w:u w:val="single"/>
        </w:rPr>
      </w:pPr>
      <w:r w:rsidRPr="003A23F0">
        <w:rPr>
          <w:u w:val="single"/>
        </w:rPr>
        <w:t>Actors</w:t>
      </w:r>
    </w:p>
    <w:p w14:paraId="2EE62281" w14:textId="77777777" w:rsidR="00EF6E80" w:rsidRDefault="00EF6E80" w:rsidP="00E16D2D">
      <w:pPr>
        <w:pStyle w:val="LB1"/>
      </w:pPr>
      <w:r>
        <w:t>Staff</w:t>
      </w:r>
    </w:p>
    <w:p w14:paraId="4DC66988" w14:textId="77777777" w:rsidR="00EF6E80" w:rsidRPr="00DF6567" w:rsidRDefault="00EF6E80" w:rsidP="00EF6E80"/>
    <w:p w14:paraId="4FCB68DD" w14:textId="77777777" w:rsidR="00EF6E80" w:rsidRPr="003A23F0" w:rsidRDefault="00EF6E80" w:rsidP="00EF6E80">
      <w:pPr>
        <w:rPr>
          <w:u w:val="single"/>
        </w:rPr>
      </w:pPr>
      <w:r w:rsidRPr="003A23F0">
        <w:rPr>
          <w:u w:val="single"/>
        </w:rPr>
        <w:t>Main Activities</w:t>
      </w:r>
    </w:p>
    <w:p w14:paraId="7F896D43" w14:textId="77777777" w:rsidR="009B4B2E" w:rsidRDefault="009B4B2E" w:rsidP="00E16D2D">
      <w:pPr>
        <w:pStyle w:val="LB1"/>
      </w:pPr>
      <w:r>
        <w:t>System must allow Staff to view cases assigned to Hearing Officer in case management software</w:t>
      </w:r>
    </w:p>
    <w:p w14:paraId="4795B1AD" w14:textId="77777777" w:rsidR="009B4B2E" w:rsidRDefault="009B4B2E" w:rsidP="00E16D2D">
      <w:pPr>
        <w:pStyle w:val="LB1"/>
      </w:pPr>
      <w:r>
        <w:t>System must allow Staff to search and select a hearing to begin drafting a decision</w:t>
      </w:r>
    </w:p>
    <w:p w14:paraId="54CE1928" w14:textId="559DC909" w:rsidR="009B4B2E" w:rsidRDefault="009B4B2E" w:rsidP="00116640">
      <w:pPr>
        <w:pStyle w:val="LB1"/>
      </w:pPr>
      <w:r>
        <w:t xml:space="preserve">System prepopulates data to the </w:t>
      </w:r>
      <w:r w:rsidR="002A15AC">
        <w:t xml:space="preserve">greatest </w:t>
      </w:r>
      <w:r>
        <w:t>extent possible</w:t>
      </w:r>
    </w:p>
    <w:p w14:paraId="01A7EF2C" w14:textId="77777777" w:rsidR="009B4B2E" w:rsidRDefault="009B4B2E" w:rsidP="00116640">
      <w:pPr>
        <w:pStyle w:val="LB1"/>
      </w:pPr>
      <w:r>
        <w:t>System must allow Staff to create a decision in the case management software</w:t>
      </w:r>
    </w:p>
    <w:p w14:paraId="228F2415" w14:textId="77777777" w:rsidR="009B4B2E" w:rsidRDefault="009B4B2E" w:rsidP="00F82166">
      <w:pPr>
        <w:pStyle w:val="OB1"/>
      </w:pPr>
      <w:r>
        <w:t>Addresses</w:t>
      </w:r>
    </w:p>
    <w:p w14:paraId="6867FCD7" w14:textId="777A0C35" w:rsidR="009B4B2E" w:rsidRDefault="009B4B2E" w:rsidP="00482456">
      <w:pPr>
        <w:pStyle w:val="SB1"/>
      </w:pPr>
      <w:r>
        <w:t xml:space="preserve">Edit </w:t>
      </w:r>
      <w:r w:rsidR="00DE059A">
        <w:t xml:space="preserve">and validate </w:t>
      </w:r>
      <w:r>
        <w:t>addresses if necessary</w:t>
      </w:r>
    </w:p>
    <w:p w14:paraId="785BA6D2" w14:textId="77777777" w:rsidR="009B4B2E" w:rsidRDefault="009B4B2E" w:rsidP="00482456">
      <w:pPr>
        <w:pStyle w:val="SB1"/>
      </w:pPr>
      <w:r>
        <w:t>Add recipients if necessary</w:t>
      </w:r>
    </w:p>
    <w:p w14:paraId="6F1BBF39" w14:textId="77777777" w:rsidR="009B4B2E" w:rsidRDefault="009B4B2E" w:rsidP="00E16D2D">
      <w:pPr>
        <w:pStyle w:val="OB1"/>
      </w:pPr>
      <w:r>
        <w:lastRenderedPageBreak/>
        <w:t>Appearances</w:t>
      </w:r>
    </w:p>
    <w:p w14:paraId="1683CE25" w14:textId="77777777" w:rsidR="009B4B2E" w:rsidRDefault="009B4B2E" w:rsidP="00482456">
      <w:pPr>
        <w:pStyle w:val="SB1"/>
      </w:pPr>
      <w:r>
        <w:t>Import call ins/registrations from telephone conferencing system</w:t>
      </w:r>
    </w:p>
    <w:p w14:paraId="59880C39" w14:textId="77777777" w:rsidR="009B4B2E" w:rsidRDefault="009B4B2E" w:rsidP="00482456">
      <w:pPr>
        <w:pStyle w:val="SB1"/>
      </w:pPr>
      <w:r>
        <w:t>Add appearances</w:t>
      </w:r>
    </w:p>
    <w:p w14:paraId="5349DC0B" w14:textId="77777777" w:rsidR="009B4B2E" w:rsidRDefault="009B4B2E" w:rsidP="00E16D2D">
      <w:pPr>
        <w:pStyle w:val="OB1"/>
      </w:pPr>
      <w:r>
        <w:t xml:space="preserve">Case History </w:t>
      </w:r>
    </w:p>
    <w:p w14:paraId="538B7D11" w14:textId="77777777" w:rsidR="009B4B2E" w:rsidRDefault="009B4B2E" w:rsidP="00482456">
      <w:pPr>
        <w:pStyle w:val="SB1"/>
      </w:pPr>
      <w:r>
        <w:t>Automated insert of statements based on case criteria</w:t>
      </w:r>
    </w:p>
    <w:p w14:paraId="2949E4AC" w14:textId="22457C84" w:rsidR="009B4B2E" w:rsidRDefault="009B4B2E" w:rsidP="00482456">
      <w:pPr>
        <w:pStyle w:val="SB1"/>
      </w:pPr>
      <w:r>
        <w:t>Insert statements using preformatted text templates including retrieving data from UI/Appeals system</w:t>
      </w:r>
    </w:p>
    <w:p w14:paraId="5EC68747" w14:textId="16A66030" w:rsidR="00CE56D7" w:rsidRDefault="00CE56D7" w:rsidP="00482456">
      <w:pPr>
        <w:pStyle w:val="SB1"/>
      </w:pPr>
      <w:r>
        <w:t>Insert ad hoc text</w:t>
      </w:r>
    </w:p>
    <w:p w14:paraId="12D658C1" w14:textId="77777777" w:rsidR="009B4B2E" w:rsidRDefault="009B4B2E" w:rsidP="00E16D2D">
      <w:pPr>
        <w:pStyle w:val="OB1"/>
      </w:pPr>
      <w:r>
        <w:t>Findings of fact</w:t>
      </w:r>
    </w:p>
    <w:p w14:paraId="4417956B" w14:textId="77777777" w:rsidR="009B4B2E" w:rsidRDefault="009B4B2E" w:rsidP="00482456">
      <w:pPr>
        <w:pStyle w:val="SB1"/>
      </w:pPr>
      <w:r>
        <w:t>Insert statements using preformatted text templates including retrieving data from UI/Appeals system (e.g., initial claim date, employment dates, job title, etc.)</w:t>
      </w:r>
    </w:p>
    <w:p w14:paraId="57CBF147" w14:textId="77777777" w:rsidR="009B4B2E" w:rsidRDefault="009B4B2E" w:rsidP="00482456">
      <w:pPr>
        <w:pStyle w:val="SB1"/>
      </w:pPr>
      <w:r>
        <w:t>Insert ad hoc text (e.g., narrative description of findings of fact)</w:t>
      </w:r>
    </w:p>
    <w:p w14:paraId="45F40E9A" w14:textId="77777777" w:rsidR="009B4B2E" w:rsidRDefault="009B4B2E" w:rsidP="00E16D2D">
      <w:pPr>
        <w:pStyle w:val="OB1"/>
      </w:pPr>
      <w:r>
        <w:t>Issues</w:t>
      </w:r>
    </w:p>
    <w:p w14:paraId="3EE113AB" w14:textId="77777777" w:rsidR="009B4B2E" w:rsidRDefault="009B4B2E" w:rsidP="00482456">
      <w:pPr>
        <w:pStyle w:val="SB1"/>
      </w:pPr>
      <w:r>
        <w:t>Automated insert of statements based on case criteria (e.g., issue statements)</w:t>
      </w:r>
    </w:p>
    <w:p w14:paraId="5BBC6C46" w14:textId="3162090E" w:rsidR="009B4B2E" w:rsidRDefault="009B4B2E" w:rsidP="00482456">
      <w:pPr>
        <w:pStyle w:val="SB1"/>
      </w:pPr>
      <w:r>
        <w:t>Insert statements using preformatted text</w:t>
      </w:r>
    </w:p>
    <w:p w14:paraId="1902207A" w14:textId="3081CF6C" w:rsidR="00CE56D7" w:rsidRDefault="00CE56D7" w:rsidP="00482456">
      <w:pPr>
        <w:pStyle w:val="SB1"/>
      </w:pPr>
      <w:r>
        <w:t>Insert ad hoc text</w:t>
      </w:r>
    </w:p>
    <w:p w14:paraId="66929B82" w14:textId="77777777" w:rsidR="009B4B2E" w:rsidRDefault="009B4B2E" w:rsidP="00E16D2D">
      <w:pPr>
        <w:pStyle w:val="OB1"/>
      </w:pPr>
      <w:r>
        <w:t>Conclusions</w:t>
      </w:r>
    </w:p>
    <w:p w14:paraId="2164C184" w14:textId="77777777" w:rsidR="009B4B2E" w:rsidRDefault="009B4B2E" w:rsidP="00482456">
      <w:pPr>
        <w:pStyle w:val="SB1"/>
      </w:pPr>
      <w:r>
        <w:t>Automated insert of statements based on case criteria (e.g., sections of law)</w:t>
      </w:r>
    </w:p>
    <w:p w14:paraId="31609F06" w14:textId="77777777" w:rsidR="009B4B2E" w:rsidRDefault="009B4B2E" w:rsidP="00482456">
      <w:pPr>
        <w:pStyle w:val="SB1"/>
      </w:pPr>
      <w:r>
        <w:t>Insert statements using preformatted text (e.g., precedent decisions and sections of law)</w:t>
      </w:r>
    </w:p>
    <w:p w14:paraId="62C17A40" w14:textId="77777777" w:rsidR="009B4B2E" w:rsidRDefault="009B4B2E" w:rsidP="00482456">
      <w:pPr>
        <w:pStyle w:val="SB1"/>
      </w:pPr>
      <w:r>
        <w:t>Insert ad hoc text (e.g., narrative description of conclusions of law)</w:t>
      </w:r>
    </w:p>
    <w:p w14:paraId="337BD79F" w14:textId="77777777" w:rsidR="009B4B2E" w:rsidRDefault="009B4B2E" w:rsidP="00E16D2D">
      <w:pPr>
        <w:pStyle w:val="OB1"/>
      </w:pPr>
      <w:r>
        <w:t xml:space="preserve">Decision </w:t>
      </w:r>
    </w:p>
    <w:p w14:paraId="310BB798" w14:textId="77777777" w:rsidR="009B4B2E" w:rsidRDefault="009B4B2E" w:rsidP="00482456">
      <w:pPr>
        <w:pStyle w:val="SB1"/>
      </w:pPr>
      <w:r>
        <w:t>Automated insert of statements based on case criteria (e.g., decision rulings)</w:t>
      </w:r>
    </w:p>
    <w:p w14:paraId="298F0AFA" w14:textId="77777777" w:rsidR="009B4B2E" w:rsidRDefault="009B4B2E" w:rsidP="00482456">
      <w:pPr>
        <w:pStyle w:val="SB1"/>
      </w:pPr>
      <w:r>
        <w:t>Insert statements using preformatted text (e.g., decision rulings)</w:t>
      </w:r>
    </w:p>
    <w:p w14:paraId="6FA4DA9B" w14:textId="77777777" w:rsidR="009B4B2E" w:rsidRDefault="009B4B2E" w:rsidP="00482456">
      <w:pPr>
        <w:pStyle w:val="SB1"/>
      </w:pPr>
      <w:r>
        <w:t>Insert ad hoc text (e.g., customized decision ruling), may require supervisor approval</w:t>
      </w:r>
    </w:p>
    <w:p w14:paraId="22635895" w14:textId="77777777" w:rsidR="009B4B2E" w:rsidRDefault="009B4B2E" w:rsidP="00E16D2D">
      <w:pPr>
        <w:pStyle w:val="LB1"/>
      </w:pPr>
      <w:r>
        <w:t>System must allow Staff to view complete decision and allow editing of all sections</w:t>
      </w:r>
    </w:p>
    <w:p w14:paraId="584A11BC" w14:textId="77777777" w:rsidR="009B4B2E" w:rsidRDefault="009B4B2E" w:rsidP="00E16D2D">
      <w:pPr>
        <w:pStyle w:val="LB1"/>
      </w:pPr>
      <w:r>
        <w:t>System must allow Staff to submit decision for mailing</w:t>
      </w:r>
    </w:p>
    <w:p w14:paraId="2C974FAF" w14:textId="77777777" w:rsidR="009B4B2E" w:rsidRDefault="009B4B2E" w:rsidP="00116640">
      <w:pPr>
        <w:pStyle w:val="LB1"/>
      </w:pPr>
      <w:r>
        <w:t>System must add mail date and appeal deadline</w:t>
      </w:r>
    </w:p>
    <w:p w14:paraId="43D8C61D" w14:textId="77777777" w:rsidR="009B4B2E" w:rsidRDefault="009B4B2E" w:rsidP="00116640">
      <w:pPr>
        <w:pStyle w:val="LB1"/>
      </w:pPr>
      <w:r>
        <w:t>System must transmit decision to state printing agency or local printers</w:t>
      </w:r>
    </w:p>
    <w:p w14:paraId="6E3522B2" w14:textId="77777777" w:rsidR="009B4B2E" w:rsidRDefault="009B4B2E" w:rsidP="00F82166">
      <w:pPr>
        <w:pStyle w:val="OB1"/>
      </w:pPr>
      <w:r>
        <w:t>Print and stuff envelopes</w:t>
      </w:r>
    </w:p>
    <w:p w14:paraId="0780F08B" w14:textId="77777777" w:rsidR="009B4B2E" w:rsidRDefault="009B4B2E" w:rsidP="00F82166">
      <w:pPr>
        <w:pStyle w:val="OB1"/>
      </w:pPr>
      <w:r>
        <w:t>Mail decision based on business rules</w:t>
      </w:r>
    </w:p>
    <w:p w14:paraId="7898AAEE" w14:textId="27E40019" w:rsidR="009B4B2E" w:rsidRDefault="009B4B2E">
      <w:pPr>
        <w:pStyle w:val="LB1"/>
      </w:pPr>
      <w:r>
        <w:t xml:space="preserve">System must include templates in </w:t>
      </w:r>
      <w:r w:rsidR="00A239E8">
        <w:t>English and Spanish</w:t>
      </w:r>
    </w:p>
    <w:p w14:paraId="13E273A2" w14:textId="0D150EAF" w:rsidR="009B4B2E" w:rsidRDefault="009B4B2E">
      <w:pPr>
        <w:pStyle w:val="LB1"/>
      </w:pPr>
      <w:r>
        <w:t xml:space="preserve">System must upload decision into </w:t>
      </w:r>
      <w:r w:rsidR="00054DBA">
        <w:t>CMS</w:t>
      </w:r>
      <w:r>
        <w:t>/self-service portals</w:t>
      </w:r>
    </w:p>
    <w:p w14:paraId="717ADB66" w14:textId="77777777" w:rsidR="009B4B2E" w:rsidRDefault="009B4B2E" w:rsidP="009B4B2E"/>
    <w:p w14:paraId="113FD82F" w14:textId="2A10E162" w:rsidR="009B4B2E" w:rsidRDefault="009B4B2E" w:rsidP="00482456">
      <w:pPr>
        <w:rPr>
          <w:u w:val="single"/>
        </w:rPr>
      </w:pPr>
      <w:r w:rsidRPr="00482456">
        <w:rPr>
          <w:u w:val="single"/>
        </w:rPr>
        <w:t>Alternate Activities and Special Cases</w:t>
      </w:r>
    </w:p>
    <w:p w14:paraId="5B4A4215" w14:textId="77777777" w:rsidR="004F7DCA" w:rsidRDefault="004F7DCA" w:rsidP="004F7DCA">
      <w:r>
        <w:t>System must support the following alternate activities and special cases:</w:t>
      </w:r>
    </w:p>
    <w:p w14:paraId="59554DED" w14:textId="7A78E434" w:rsidR="009B4B2E" w:rsidRDefault="00763D57" w:rsidP="00E16D2D">
      <w:pPr>
        <w:pStyle w:val="LB1"/>
      </w:pPr>
      <w:r>
        <w:t xml:space="preserve">Customizable form decisions </w:t>
      </w:r>
      <w:r w:rsidR="009B4B2E">
        <w:t>(ability to issue a standardized decision with minimal data entry)</w:t>
      </w:r>
    </w:p>
    <w:p w14:paraId="389B688C" w14:textId="77777777" w:rsidR="009B4B2E" w:rsidRDefault="009B4B2E" w:rsidP="00E16D2D">
      <w:pPr>
        <w:pStyle w:val="OB1"/>
      </w:pPr>
      <w:r>
        <w:t>Non-appearance</w:t>
      </w:r>
    </w:p>
    <w:p w14:paraId="3D068878" w14:textId="77777777" w:rsidR="009B4B2E" w:rsidRDefault="009B4B2E" w:rsidP="00116640">
      <w:pPr>
        <w:pStyle w:val="OB1"/>
      </w:pPr>
      <w:r>
        <w:t>Chargeback</w:t>
      </w:r>
    </w:p>
    <w:p w14:paraId="3EAE339E" w14:textId="77777777" w:rsidR="009B4B2E" w:rsidRDefault="009B4B2E" w:rsidP="00F82166">
      <w:pPr>
        <w:pStyle w:val="OB1"/>
      </w:pPr>
      <w:r>
        <w:t>Withdrawal</w:t>
      </w:r>
    </w:p>
    <w:p w14:paraId="3BFF0DF0" w14:textId="77777777" w:rsidR="009B4B2E" w:rsidRDefault="009B4B2E" w:rsidP="00F82166">
      <w:pPr>
        <w:pStyle w:val="OB1"/>
      </w:pPr>
      <w:r>
        <w:t>Timeliness</w:t>
      </w:r>
    </w:p>
    <w:p w14:paraId="42C68C59" w14:textId="77777777" w:rsidR="009B4B2E" w:rsidRDefault="009B4B2E">
      <w:pPr>
        <w:pStyle w:val="OB1"/>
      </w:pPr>
      <w:r>
        <w:t>Good cause</w:t>
      </w:r>
    </w:p>
    <w:p w14:paraId="56031C34" w14:textId="6DCBF963" w:rsidR="009B4B2E" w:rsidRDefault="009B4B2E">
      <w:pPr>
        <w:pStyle w:val="LB1"/>
      </w:pPr>
      <w:r>
        <w:t xml:space="preserve">Issue </w:t>
      </w:r>
      <w:r w:rsidR="001A4872">
        <w:t>“</w:t>
      </w:r>
      <w:r>
        <w:t>On The Record</w:t>
      </w:r>
      <w:r w:rsidR="001A4872">
        <w:t>”</w:t>
      </w:r>
      <w:r>
        <w:t xml:space="preserve"> decisions</w:t>
      </w:r>
    </w:p>
    <w:p w14:paraId="505DE9FB" w14:textId="77777777" w:rsidR="009B4B2E" w:rsidRDefault="009B4B2E">
      <w:pPr>
        <w:pStyle w:val="OB1"/>
      </w:pPr>
      <w:r>
        <w:t>Out of state overpayment agreement</w:t>
      </w:r>
    </w:p>
    <w:p w14:paraId="3DE61C06" w14:textId="77777777" w:rsidR="009B4B2E" w:rsidRDefault="009B4B2E">
      <w:pPr>
        <w:pStyle w:val="OB1"/>
      </w:pPr>
      <w:r>
        <w:t>Multiple good cause issues without stating a reason</w:t>
      </w:r>
    </w:p>
    <w:p w14:paraId="3FCDE3DA" w14:textId="77777777" w:rsidR="009B4B2E" w:rsidRDefault="009B4B2E">
      <w:pPr>
        <w:pStyle w:val="OB1"/>
      </w:pPr>
      <w:r>
        <w:t>Orders of dismissal</w:t>
      </w:r>
    </w:p>
    <w:p w14:paraId="58AAFB95" w14:textId="77777777" w:rsidR="009B4B2E" w:rsidRDefault="009B4B2E">
      <w:pPr>
        <w:pStyle w:val="LB1"/>
      </w:pPr>
      <w:r>
        <w:t xml:space="preserve">Pulling decisions </w:t>
      </w:r>
    </w:p>
    <w:p w14:paraId="328277B8" w14:textId="77777777" w:rsidR="009B4B2E" w:rsidRDefault="009B4B2E">
      <w:pPr>
        <w:pStyle w:val="OB1"/>
      </w:pPr>
      <w:r>
        <w:t>Removing a decision from printing/mailing/publishing queue</w:t>
      </w:r>
    </w:p>
    <w:p w14:paraId="52379998" w14:textId="77777777" w:rsidR="009B4B2E" w:rsidRDefault="009B4B2E">
      <w:pPr>
        <w:pStyle w:val="OB1"/>
      </w:pPr>
      <w:r>
        <w:t>Roll back data update</w:t>
      </w:r>
    </w:p>
    <w:p w14:paraId="3A0C4E8F" w14:textId="77777777" w:rsidR="009B4B2E" w:rsidRDefault="009B4B2E">
      <w:pPr>
        <w:pStyle w:val="OB1"/>
      </w:pPr>
      <w:r>
        <w:t>Delete inserted document(s)</w:t>
      </w:r>
    </w:p>
    <w:p w14:paraId="052EA4D6" w14:textId="77777777" w:rsidR="009B4B2E" w:rsidRDefault="009B4B2E">
      <w:pPr>
        <w:pStyle w:val="LB1"/>
      </w:pPr>
      <w:r>
        <w:t>Decision review (e.g., for new hires or complicated issues)</w:t>
      </w:r>
    </w:p>
    <w:p w14:paraId="697653E5" w14:textId="77777777" w:rsidR="009B4B2E" w:rsidRDefault="009B4B2E">
      <w:pPr>
        <w:pStyle w:val="LB1"/>
      </w:pPr>
      <w:r>
        <w:t>Foreign mail</w:t>
      </w:r>
    </w:p>
    <w:p w14:paraId="7B7D7432" w14:textId="77777777" w:rsidR="009B4B2E" w:rsidRDefault="009B4B2E">
      <w:pPr>
        <w:pStyle w:val="LB1"/>
      </w:pPr>
      <w:r>
        <w:t>Interoffice mail</w:t>
      </w:r>
    </w:p>
    <w:p w14:paraId="16DF939C" w14:textId="77777777" w:rsidR="009B4B2E" w:rsidRDefault="009B4B2E">
      <w:pPr>
        <w:pStyle w:val="LB1"/>
      </w:pPr>
      <w:r>
        <w:t>Corrected decision</w:t>
      </w:r>
    </w:p>
    <w:p w14:paraId="1A2E7B73" w14:textId="4BE02389" w:rsidR="009B4B2E" w:rsidRDefault="009B4B2E">
      <w:pPr>
        <w:pStyle w:val="LB1"/>
      </w:pPr>
      <w:r>
        <w:t>Hearing officers using typists</w:t>
      </w:r>
    </w:p>
    <w:p w14:paraId="0DB1F347" w14:textId="77777777" w:rsidR="009B4B2E" w:rsidRDefault="009B4B2E" w:rsidP="009B4B2E"/>
    <w:p w14:paraId="21C6837F" w14:textId="474FBF8B" w:rsidR="00EF6E80" w:rsidRDefault="00EF6E80" w:rsidP="00EF6E80">
      <w:pPr>
        <w:pStyle w:val="Heading4"/>
      </w:pPr>
      <w:r>
        <w:tab/>
      </w:r>
      <w:r w:rsidR="00EA60C8">
        <w:t>Record Decisions</w:t>
      </w:r>
    </w:p>
    <w:p w14:paraId="57AF7022" w14:textId="6F7D0599" w:rsidR="00EF6E80" w:rsidRPr="00B0723C" w:rsidRDefault="00EA60C8" w:rsidP="00EF6E80">
      <w:r>
        <w:t>This process includes all activities required to record a decision</w:t>
      </w:r>
      <w:r w:rsidRPr="00EE5A48">
        <w:t xml:space="preserve"> </w:t>
      </w:r>
      <w:r>
        <w:t>in the UI system</w:t>
      </w:r>
      <w:r w:rsidR="00EF6E80">
        <w:t>.</w:t>
      </w:r>
    </w:p>
    <w:p w14:paraId="006DAFC2" w14:textId="77777777" w:rsidR="00EF6E80" w:rsidRPr="003A23F0" w:rsidRDefault="00EF6E80" w:rsidP="00EF6E80">
      <w:pPr>
        <w:rPr>
          <w:u w:val="single"/>
        </w:rPr>
      </w:pPr>
      <w:r w:rsidRPr="003A23F0">
        <w:rPr>
          <w:u w:val="single"/>
        </w:rPr>
        <w:t>Actors</w:t>
      </w:r>
    </w:p>
    <w:p w14:paraId="0AFC4C11" w14:textId="67EA4B74" w:rsidR="00EF6E80" w:rsidRDefault="00EF6E80" w:rsidP="00E16D2D">
      <w:pPr>
        <w:pStyle w:val="LB1"/>
      </w:pPr>
      <w:r>
        <w:t>Staff</w:t>
      </w:r>
    </w:p>
    <w:p w14:paraId="225D9A01" w14:textId="1E2C1E31" w:rsidR="00EA60C8" w:rsidRDefault="00EA60C8" w:rsidP="00E16D2D">
      <w:pPr>
        <w:pStyle w:val="OB1"/>
      </w:pPr>
      <w:r>
        <w:t>Appeals</w:t>
      </w:r>
    </w:p>
    <w:p w14:paraId="1D8EED28" w14:textId="33360DFB" w:rsidR="00EA60C8" w:rsidRDefault="00EA60C8" w:rsidP="00116640">
      <w:pPr>
        <w:pStyle w:val="OB1"/>
      </w:pPr>
      <w:r>
        <w:t>Fraud/BPC</w:t>
      </w:r>
    </w:p>
    <w:p w14:paraId="3BC326E2" w14:textId="599813AB" w:rsidR="00EA60C8" w:rsidRDefault="00EA60C8" w:rsidP="00F82166">
      <w:pPr>
        <w:pStyle w:val="OB1"/>
      </w:pPr>
      <w:r>
        <w:t>Tax</w:t>
      </w:r>
    </w:p>
    <w:p w14:paraId="3A37629C" w14:textId="713A4A89" w:rsidR="00EA60C8" w:rsidRDefault="00EA60C8" w:rsidP="00F82166">
      <w:pPr>
        <w:pStyle w:val="OB1"/>
      </w:pPr>
      <w:r>
        <w:t>Benefits</w:t>
      </w:r>
    </w:p>
    <w:p w14:paraId="0BFEF090" w14:textId="77777777" w:rsidR="00EF6E80" w:rsidRPr="00DF6567" w:rsidRDefault="00EF6E80" w:rsidP="00EF6E80"/>
    <w:p w14:paraId="4E5F6EC2" w14:textId="77777777" w:rsidR="00EF6E80" w:rsidRPr="003A23F0" w:rsidRDefault="00EF6E80" w:rsidP="00EF6E80">
      <w:pPr>
        <w:rPr>
          <w:u w:val="single"/>
        </w:rPr>
      </w:pPr>
      <w:r w:rsidRPr="003A23F0">
        <w:rPr>
          <w:u w:val="single"/>
        </w:rPr>
        <w:t>Main Activities</w:t>
      </w:r>
    </w:p>
    <w:p w14:paraId="144780AC" w14:textId="24393597" w:rsidR="000231BB" w:rsidRDefault="000231BB" w:rsidP="00E16D2D">
      <w:pPr>
        <w:pStyle w:val="LB1"/>
      </w:pPr>
      <w:r>
        <w:t>System must automatically capture</w:t>
      </w:r>
      <w:r w:rsidR="003C3430">
        <w:t xml:space="preserve"> and record</w:t>
      </w:r>
      <w:r>
        <w:t xml:space="preserve"> decision/hearing properties from Conduct Hearing and Issue Decision (contingent on workflow approval in various departments)</w:t>
      </w:r>
    </w:p>
    <w:p w14:paraId="1620134A" w14:textId="77777777" w:rsidR="000231BB" w:rsidRDefault="000231BB" w:rsidP="00E16D2D">
      <w:pPr>
        <w:pStyle w:val="OB1"/>
      </w:pPr>
      <w:r>
        <w:t>Appearances</w:t>
      </w:r>
    </w:p>
    <w:p w14:paraId="6790B853" w14:textId="77777777" w:rsidR="000231BB" w:rsidRDefault="000231BB" w:rsidP="00116640">
      <w:pPr>
        <w:pStyle w:val="OB1"/>
      </w:pPr>
      <w:r>
        <w:lastRenderedPageBreak/>
        <w:t>Recording length</w:t>
      </w:r>
    </w:p>
    <w:p w14:paraId="35FC3C11" w14:textId="77777777" w:rsidR="000231BB" w:rsidRDefault="000231BB" w:rsidP="00F82166">
      <w:pPr>
        <w:pStyle w:val="OB1"/>
      </w:pPr>
      <w:r>
        <w:t>Appellant favored or not</w:t>
      </w:r>
    </w:p>
    <w:p w14:paraId="289931F1" w14:textId="77777777" w:rsidR="000231BB" w:rsidRDefault="000231BB" w:rsidP="00F82166">
      <w:pPr>
        <w:pStyle w:val="OB1"/>
      </w:pPr>
      <w:r>
        <w:t>Issues</w:t>
      </w:r>
    </w:p>
    <w:p w14:paraId="181DB542" w14:textId="77777777" w:rsidR="000231BB" w:rsidRDefault="000231BB">
      <w:pPr>
        <w:pStyle w:val="OB1"/>
      </w:pPr>
      <w:r>
        <w:t xml:space="preserve">Ruling </w:t>
      </w:r>
    </w:p>
    <w:p w14:paraId="46BF5C20" w14:textId="77777777" w:rsidR="000231BB" w:rsidRDefault="000231BB" w:rsidP="000231BB">
      <w:pPr>
        <w:pStyle w:val="SB1"/>
      </w:pPr>
      <w:r>
        <w:t>Pay or no pay</w:t>
      </w:r>
    </w:p>
    <w:p w14:paraId="363E057A" w14:textId="77777777" w:rsidR="000231BB" w:rsidRDefault="000231BB" w:rsidP="000231BB">
      <w:pPr>
        <w:pStyle w:val="SB1"/>
      </w:pPr>
      <w:r>
        <w:t>Dates of ineligibilities/disqualifications</w:t>
      </w:r>
    </w:p>
    <w:p w14:paraId="0464E899" w14:textId="77777777" w:rsidR="000231BB" w:rsidRDefault="000231BB" w:rsidP="000231BB">
      <w:pPr>
        <w:pStyle w:val="SB1"/>
      </w:pPr>
      <w:r>
        <w:t xml:space="preserve">Void determinations/decisions </w:t>
      </w:r>
    </w:p>
    <w:p w14:paraId="2E3BEFCD" w14:textId="77777777" w:rsidR="000231BB" w:rsidRDefault="000231BB" w:rsidP="000231BB">
      <w:pPr>
        <w:pStyle w:val="SB1"/>
      </w:pPr>
      <w:r>
        <w:t>Etc.</w:t>
      </w:r>
    </w:p>
    <w:p w14:paraId="4C6B6A7B" w14:textId="77777777" w:rsidR="000231BB" w:rsidRDefault="000231BB" w:rsidP="00E16D2D">
      <w:pPr>
        <w:pStyle w:val="OB1"/>
      </w:pPr>
      <w:r>
        <w:t>Affected party</w:t>
      </w:r>
    </w:p>
    <w:p w14:paraId="4FE0D6CF" w14:textId="77777777" w:rsidR="000231BB" w:rsidRDefault="000231BB" w:rsidP="00E16D2D">
      <w:pPr>
        <w:pStyle w:val="OB1"/>
      </w:pPr>
      <w:r>
        <w:t>Liability status</w:t>
      </w:r>
    </w:p>
    <w:p w14:paraId="7F9DB323" w14:textId="77777777" w:rsidR="000231BB" w:rsidRDefault="000231BB" w:rsidP="000231BB">
      <w:pPr>
        <w:pStyle w:val="SB1"/>
      </w:pPr>
      <w:r>
        <w:t>Charge or no charge</w:t>
      </w:r>
    </w:p>
    <w:p w14:paraId="5FEE5427" w14:textId="48A5CA66" w:rsidR="000231BB" w:rsidRDefault="000231BB" w:rsidP="000231BB">
      <w:pPr>
        <w:pStyle w:val="SB1"/>
      </w:pPr>
      <w:r>
        <w:t xml:space="preserve">Adequacy of </w:t>
      </w:r>
      <w:r w:rsidR="00930F59">
        <w:t>Employer</w:t>
      </w:r>
      <w:r>
        <w:t>’s response</w:t>
      </w:r>
    </w:p>
    <w:p w14:paraId="551F418C" w14:textId="77777777" w:rsidR="000231BB" w:rsidRDefault="000231BB" w:rsidP="000231BB">
      <w:pPr>
        <w:pStyle w:val="SB1"/>
      </w:pPr>
      <w:r>
        <w:t>Etc.</w:t>
      </w:r>
    </w:p>
    <w:p w14:paraId="2B22687C" w14:textId="77777777" w:rsidR="000231BB" w:rsidRDefault="000231BB" w:rsidP="00E16D2D">
      <w:pPr>
        <w:pStyle w:val="OB1"/>
      </w:pPr>
      <w:r>
        <w:t>Decision type</w:t>
      </w:r>
    </w:p>
    <w:p w14:paraId="620F219B" w14:textId="77777777" w:rsidR="000231BB" w:rsidRDefault="000231BB" w:rsidP="00E16D2D">
      <w:pPr>
        <w:pStyle w:val="OB1"/>
      </w:pPr>
      <w:r>
        <w:t>Hearing officer</w:t>
      </w:r>
    </w:p>
    <w:p w14:paraId="798918DD" w14:textId="77777777" w:rsidR="000231BB" w:rsidRDefault="000231BB" w:rsidP="00116640">
      <w:pPr>
        <w:pStyle w:val="OB1"/>
      </w:pPr>
      <w:r>
        <w:t>Date submitted and mailed</w:t>
      </w:r>
    </w:p>
    <w:p w14:paraId="1B8BC329" w14:textId="77777777" w:rsidR="000231BB" w:rsidRDefault="000231BB" w:rsidP="00F82166">
      <w:pPr>
        <w:pStyle w:val="OB1"/>
      </w:pPr>
      <w:r>
        <w:t>Change or no change (is an update to the UI system required?) to the determinations</w:t>
      </w:r>
    </w:p>
    <w:p w14:paraId="5BCAAC86" w14:textId="77777777" w:rsidR="000231BB" w:rsidRDefault="000231BB" w:rsidP="00F82166">
      <w:pPr>
        <w:pStyle w:val="LB1"/>
      </w:pPr>
      <w:r>
        <w:t>System must allow Staff to manually correct decision properties if necessary</w:t>
      </w:r>
    </w:p>
    <w:p w14:paraId="0949661A" w14:textId="77777777" w:rsidR="000231BB" w:rsidRDefault="000231BB">
      <w:pPr>
        <w:pStyle w:val="LB1"/>
      </w:pPr>
      <w:r>
        <w:t xml:space="preserve">System must use decisions to take appropriate action to process adjustments based on business rules, including but not limited to: </w:t>
      </w:r>
    </w:p>
    <w:p w14:paraId="5FDEA99E" w14:textId="77777777" w:rsidR="000231BB" w:rsidRDefault="000231BB">
      <w:pPr>
        <w:pStyle w:val="OB1"/>
      </w:pPr>
      <w:r>
        <w:t>Evaluate eligibility</w:t>
      </w:r>
    </w:p>
    <w:p w14:paraId="7C1DF8BF" w14:textId="77777777" w:rsidR="000231BB" w:rsidRDefault="000231BB">
      <w:pPr>
        <w:pStyle w:val="OB1"/>
      </w:pPr>
      <w:r>
        <w:t>Creation of overpayment</w:t>
      </w:r>
    </w:p>
    <w:p w14:paraId="24DCBC3D" w14:textId="77777777" w:rsidR="000231BB" w:rsidRDefault="000231BB">
      <w:pPr>
        <w:pStyle w:val="OB1"/>
      </w:pPr>
      <w:r>
        <w:t xml:space="preserve">Release of payment </w:t>
      </w:r>
    </w:p>
    <w:p w14:paraId="432E2596" w14:textId="77777777" w:rsidR="000231BB" w:rsidRDefault="000231BB">
      <w:pPr>
        <w:pStyle w:val="OB1"/>
      </w:pPr>
      <w:r>
        <w:t>Etc.</w:t>
      </w:r>
    </w:p>
    <w:p w14:paraId="5C64B286" w14:textId="77777777" w:rsidR="000231BB" w:rsidRDefault="000231BB">
      <w:pPr>
        <w:pStyle w:val="LB1"/>
      </w:pPr>
      <w:r w:rsidRPr="000D2524">
        <w:t xml:space="preserve">System must allow Staff to exchange documents with </w:t>
      </w:r>
      <w:r>
        <w:t>Records Management Center (RMC) as needed</w:t>
      </w:r>
    </w:p>
    <w:p w14:paraId="1E21A004" w14:textId="77777777" w:rsidR="000231BB" w:rsidRDefault="000231BB" w:rsidP="000231BB"/>
    <w:p w14:paraId="0B046B0F" w14:textId="01B19ECE" w:rsidR="000231BB" w:rsidRDefault="000231BB" w:rsidP="000231BB">
      <w:pPr>
        <w:rPr>
          <w:u w:val="single"/>
        </w:rPr>
      </w:pPr>
      <w:r w:rsidRPr="000231BB">
        <w:rPr>
          <w:u w:val="single"/>
        </w:rPr>
        <w:t>Alternate Activities and Special Cases</w:t>
      </w:r>
    </w:p>
    <w:p w14:paraId="527A805A" w14:textId="77777777" w:rsidR="004F7DCA" w:rsidRDefault="004F7DCA" w:rsidP="004F7DCA">
      <w:r>
        <w:t>System must support the following alternate activities and special cases:</w:t>
      </w:r>
    </w:p>
    <w:p w14:paraId="438BDB5E" w14:textId="77777777" w:rsidR="000231BB" w:rsidRDefault="000231BB" w:rsidP="00E16D2D">
      <w:pPr>
        <w:pStyle w:val="LB1"/>
      </w:pPr>
      <w:r>
        <w:t>Hearing officer using typist (record date dictated and date typed)</w:t>
      </w:r>
    </w:p>
    <w:p w14:paraId="676B7279" w14:textId="77777777" w:rsidR="000231BB" w:rsidRDefault="000231BB" w:rsidP="00E16D2D">
      <w:pPr>
        <w:pStyle w:val="LB1"/>
      </w:pPr>
      <w:r>
        <w:t>Corrected decision</w:t>
      </w:r>
    </w:p>
    <w:p w14:paraId="415E8B2D" w14:textId="7CC0DAA4" w:rsidR="00EF6E80" w:rsidRDefault="00EF6E80" w:rsidP="000231BB">
      <w:pPr>
        <w:ind w:left="0"/>
      </w:pPr>
    </w:p>
    <w:p w14:paraId="6483631C" w14:textId="47AE1155" w:rsidR="00EF6E80" w:rsidRDefault="00EF6E80" w:rsidP="00EF6E80">
      <w:pPr>
        <w:pStyle w:val="Heading4"/>
      </w:pPr>
      <w:r>
        <w:tab/>
      </w:r>
      <w:r w:rsidR="000231BB">
        <w:t>Respond to Inquiries</w:t>
      </w:r>
    </w:p>
    <w:p w14:paraId="1F7E2268" w14:textId="752DFF54" w:rsidR="00EF6E80" w:rsidRPr="00B0723C" w:rsidRDefault="000231BB" w:rsidP="00EF6E80">
      <w:r>
        <w:t>This process includes all activities required to respond to inquiries</w:t>
      </w:r>
      <w:r w:rsidR="00EF6E80">
        <w:t>.</w:t>
      </w:r>
    </w:p>
    <w:p w14:paraId="44FAC593" w14:textId="77777777" w:rsidR="00EF6E80" w:rsidRPr="003A23F0" w:rsidRDefault="00EF6E80" w:rsidP="00EF6E80">
      <w:pPr>
        <w:rPr>
          <w:u w:val="single"/>
        </w:rPr>
      </w:pPr>
      <w:r w:rsidRPr="003A23F0">
        <w:rPr>
          <w:u w:val="single"/>
        </w:rPr>
        <w:t>Actors</w:t>
      </w:r>
    </w:p>
    <w:p w14:paraId="637A716A" w14:textId="77777777" w:rsidR="00EF6E80" w:rsidRDefault="00EF6E80" w:rsidP="00E16D2D">
      <w:pPr>
        <w:pStyle w:val="LB1"/>
      </w:pPr>
      <w:r>
        <w:t>Staff</w:t>
      </w:r>
    </w:p>
    <w:p w14:paraId="6B5DE79E" w14:textId="77777777" w:rsidR="00EF6E80" w:rsidRPr="00DF6567" w:rsidRDefault="00EF6E80" w:rsidP="00EF6E80"/>
    <w:p w14:paraId="0C8B78C2" w14:textId="77777777" w:rsidR="00EF6E80" w:rsidRPr="003A23F0" w:rsidRDefault="00EF6E80" w:rsidP="00EF6E80">
      <w:pPr>
        <w:rPr>
          <w:u w:val="single"/>
        </w:rPr>
      </w:pPr>
      <w:r w:rsidRPr="003A23F0">
        <w:rPr>
          <w:u w:val="single"/>
        </w:rPr>
        <w:lastRenderedPageBreak/>
        <w:t>Main Activities</w:t>
      </w:r>
    </w:p>
    <w:p w14:paraId="327476FD" w14:textId="77777777" w:rsidR="000231BB" w:rsidRDefault="000231BB" w:rsidP="00E16D2D">
      <w:pPr>
        <w:pStyle w:val="LB1"/>
      </w:pPr>
      <w:r>
        <w:t>System must enable Staff to receive inquiry via:</w:t>
      </w:r>
    </w:p>
    <w:p w14:paraId="3905A772" w14:textId="77777777" w:rsidR="000231BB" w:rsidRDefault="000231BB" w:rsidP="00E16D2D">
      <w:pPr>
        <w:pStyle w:val="OB1"/>
      </w:pPr>
      <w:r>
        <w:t>Phone</w:t>
      </w:r>
    </w:p>
    <w:p w14:paraId="28F58A98" w14:textId="77777777" w:rsidR="000231BB" w:rsidRDefault="000231BB" w:rsidP="00116640">
      <w:pPr>
        <w:pStyle w:val="OB1"/>
      </w:pPr>
      <w:r>
        <w:t>Electronic (Email, chat, or secure messaging)</w:t>
      </w:r>
    </w:p>
    <w:p w14:paraId="6ED2BC50" w14:textId="77777777" w:rsidR="000231BB" w:rsidRDefault="000231BB" w:rsidP="001D6CEB">
      <w:pPr>
        <w:pStyle w:val="SB1"/>
      </w:pPr>
      <w:r>
        <w:t>Forms or templates available to capture identifying information</w:t>
      </w:r>
    </w:p>
    <w:p w14:paraId="258F33C3" w14:textId="0F548AD7" w:rsidR="000231BB" w:rsidRDefault="000231BB" w:rsidP="00E16D2D">
      <w:pPr>
        <w:pStyle w:val="OB1"/>
      </w:pPr>
      <w:r>
        <w:t>Mail</w:t>
      </w:r>
    </w:p>
    <w:p w14:paraId="395F1380" w14:textId="6CAB128E" w:rsidR="00CE56D7" w:rsidRDefault="00CE56D7" w:rsidP="00E16D2D">
      <w:pPr>
        <w:pStyle w:val="OB1"/>
      </w:pPr>
      <w:r>
        <w:t>Fax</w:t>
      </w:r>
    </w:p>
    <w:p w14:paraId="01C18C7F" w14:textId="77777777" w:rsidR="000231BB" w:rsidRDefault="000231BB" w:rsidP="00116640">
      <w:pPr>
        <w:pStyle w:val="LB1"/>
      </w:pPr>
      <w:r>
        <w:t>System must allow Staff to verify n</w:t>
      </w:r>
      <w:r w:rsidRPr="008D5A7C">
        <w:t>ame</w:t>
      </w:r>
      <w:r>
        <w:t>, address,</w:t>
      </w:r>
      <w:r w:rsidRPr="008D5A7C">
        <w:t xml:space="preserve"> and SSN</w:t>
      </w:r>
      <w:r>
        <w:t>/Alternate ID of the Claimant</w:t>
      </w:r>
    </w:p>
    <w:p w14:paraId="793790A4" w14:textId="77777777" w:rsidR="000231BB" w:rsidRDefault="000231BB" w:rsidP="00F82166">
      <w:pPr>
        <w:pStyle w:val="LB1"/>
      </w:pPr>
      <w:r>
        <w:t xml:space="preserve">System must enable Staff to research case information </w:t>
      </w:r>
    </w:p>
    <w:p w14:paraId="63B4DFBC" w14:textId="77777777" w:rsidR="000231BB" w:rsidRDefault="000231BB" w:rsidP="00F82166">
      <w:pPr>
        <w:pStyle w:val="LB1"/>
      </w:pPr>
      <w:r>
        <w:t>System must allow Staff to respond to inquiries</w:t>
      </w:r>
    </w:p>
    <w:p w14:paraId="2CF81F51" w14:textId="77777777" w:rsidR="000231BB" w:rsidRDefault="000231BB">
      <w:pPr>
        <w:pStyle w:val="OB1"/>
      </w:pPr>
      <w:r>
        <w:t>System must record summary of response tied to a Claimant and associated with a Case/SSN</w:t>
      </w:r>
    </w:p>
    <w:p w14:paraId="45D62F1B" w14:textId="77777777" w:rsidR="000231BB" w:rsidRDefault="000231BB" w:rsidP="001D6CEB">
      <w:pPr>
        <w:pStyle w:val="SB1"/>
      </w:pPr>
      <w:r>
        <w:t>Email</w:t>
      </w:r>
    </w:p>
    <w:p w14:paraId="44D9FFFE" w14:textId="77777777" w:rsidR="000231BB" w:rsidRDefault="000231BB" w:rsidP="001D6CEB">
      <w:pPr>
        <w:pStyle w:val="SB1"/>
      </w:pPr>
      <w:r>
        <w:t>Phone number</w:t>
      </w:r>
    </w:p>
    <w:p w14:paraId="7A3E7D4D" w14:textId="77777777" w:rsidR="000231BB" w:rsidRDefault="000231BB" w:rsidP="001D6CEB">
      <w:pPr>
        <w:pStyle w:val="SB1"/>
      </w:pPr>
      <w:r>
        <w:t>Time</w:t>
      </w:r>
    </w:p>
    <w:p w14:paraId="4A59DE7F" w14:textId="77777777" w:rsidR="000231BB" w:rsidRDefault="000231BB" w:rsidP="001D6CEB">
      <w:pPr>
        <w:pStyle w:val="SB1"/>
      </w:pPr>
      <w:r>
        <w:t>Date</w:t>
      </w:r>
    </w:p>
    <w:p w14:paraId="74B97AC9" w14:textId="77777777" w:rsidR="000231BB" w:rsidRDefault="000231BB" w:rsidP="001D6CEB">
      <w:pPr>
        <w:pStyle w:val="SB1"/>
      </w:pPr>
      <w:r>
        <w:t>Topic</w:t>
      </w:r>
    </w:p>
    <w:p w14:paraId="0AA86A42" w14:textId="77777777" w:rsidR="000231BB" w:rsidRDefault="000231BB" w:rsidP="001D6CEB">
      <w:pPr>
        <w:pStyle w:val="SB1"/>
      </w:pPr>
      <w:r>
        <w:t>Staff member</w:t>
      </w:r>
    </w:p>
    <w:p w14:paraId="7A01158E" w14:textId="77777777" w:rsidR="000231BB" w:rsidRDefault="000231BB" w:rsidP="001D6CEB">
      <w:pPr>
        <w:pStyle w:val="SB1"/>
      </w:pPr>
      <w:r>
        <w:t>Etc.</w:t>
      </w:r>
    </w:p>
    <w:p w14:paraId="16A4CF8A" w14:textId="25E05FDA" w:rsidR="000231BB" w:rsidRDefault="000231BB" w:rsidP="00E16D2D">
      <w:pPr>
        <w:pStyle w:val="OB1"/>
      </w:pPr>
      <w:r>
        <w:t xml:space="preserve">Respond based on requestor’s </w:t>
      </w:r>
      <w:r w:rsidR="00CE56D7">
        <w:t xml:space="preserve">preferred communication method </w:t>
      </w:r>
    </w:p>
    <w:p w14:paraId="4BBAAAC9" w14:textId="77777777" w:rsidR="000231BB" w:rsidRDefault="000231BB" w:rsidP="00E16D2D">
      <w:pPr>
        <w:pStyle w:val="OB1"/>
      </w:pPr>
      <w:bookmarkStart w:id="342" w:name="_Hlk512256396"/>
      <w:r>
        <w:t>Display/Insert context sensitive statements using preformatted text (e.g., how to file an appeal) depending on the contact method, editable by Business Staff</w:t>
      </w:r>
    </w:p>
    <w:bookmarkEnd w:id="342"/>
    <w:p w14:paraId="5336D010" w14:textId="77777777" w:rsidR="000231BB" w:rsidRDefault="000231BB" w:rsidP="00116640">
      <w:pPr>
        <w:pStyle w:val="LB1"/>
      </w:pPr>
      <w:r>
        <w:t>S</w:t>
      </w:r>
      <w:r w:rsidRPr="005D0497">
        <w:t>ystem must provide the ability to notify</w:t>
      </w:r>
      <w:r>
        <w:t xml:space="preserve"> all parties of a status change</w:t>
      </w:r>
    </w:p>
    <w:p w14:paraId="78D8D6FE" w14:textId="72C53E3B" w:rsidR="000231BB" w:rsidRDefault="000231BB" w:rsidP="00F82166">
      <w:pPr>
        <w:pStyle w:val="LB1"/>
      </w:pPr>
      <w:r>
        <w:t xml:space="preserve">System must allow Staff to route an </w:t>
      </w:r>
      <w:r w:rsidR="00763D57">
        <w:t>inquiry</w:t>
      </w:r>
      <w:r>
        <w:t xml:space="preserve"> between appropriate departments depending on user permissions</w:t>
      </w:r>
    </w:p>
    <w:p w14:paraId="31BCBEAB" w14:textId="77777777" w:rsidR="000231BB" w:rsidRDefault="000231BB" w:rsidP="00F82166">
      <w:pPr>
        <w:pStyle w:val="OB1"/>
      </w:pPr>
      <w:r>
        <w:t>Lower Authority</w:t>
      </w:r>
    </w:p>
    <w:p w14:paraId="30EB6B48" w14:textId="77777777" w:rsidR="000231BB" w:rsidRDefault="000231BB">
      <w:pPr>
        <w:pStyle w:val="OB1"/>
      </w:pPr>
      <w:r>
        <w:t>Higher Authority</w:t>
      </w:r>
    </w:p>
    <w:p w14:paraId="527F75BB" w14:textId="7A7B7645" w:rsidR="000231BB" w:rsidRDefault="001D6CEB">
      <w:pPr>
        <w:pStyle w:val="OB1"/>
      </w:pPr>
      <w:r>
        <w:t>T</w:t>
      </w:r>
      <w:r w:rsidR="00D51C30">
        <w:t>ele-Center</w:t>
      </w:r>
    </w:p>
    <w:p w14:paraId="7ED47932" w14:textId="77777777" w:rsidR="000231BB" w:rsidRDefault="000231BB">
      <w:pPr>
        <w:pStyle w:val="OB1"/>
      </w:pPr>
      <w:r>
        <w:t>Chargebacks</w:t>
      </w:r>
    </w:p>
    <w:p w14:paraId="383A7371" w14:textId="3DFC5365" w:rsidR="000231BB" w:rsidRDefault="00A55591">
      <w:pPr>
        <w:pStyle w:val="OB1"/>
      </w:pPr>
      <w:r>
        <w:t>SH</w:t>
      </w:r>
    </w:p>
    <w:p w14:paraId="356B8EB1" w14:textId="77777777" w:rsidR="000231BB" w:rsidRDefault="000231BB">
      <w:pPr>
        <w:pStyle w:val="OB1"/>
      </w:pPr>
      <w:r>
        <w:t>Supervisor/Management</w:t>
      </w:r>
    </w:p>
    <w:p w14:paraId="7A4DF191" w14:textId="77777777" w:rsidR="000231BB" w:rsidRDefault="000231BB">
      <w:pPr>
        <w:pStyle w:val="OB1"/>
      </w:pPr>
      <w:r>
        <w:t>Other</w:t>
      </w:r>
    </w:p>
    <w:p w14:paraId="1B393CA4" w14:textId="77777777" w:rsidR="000231BB" w:rsidRDefault="000231BB" w:rsidP="000231BB"/>
    <w:p w14:paraId="7DD827E1" w14:textId="47FC2AA5" w:rsidR="000231BB" w:rsidRDefault="000231BB" w:rsidP="000231BB">
      <w:pPr>
        <w:rPr>
          <w:u w:val="single"/>
        </w:rPr>
      </w:pPr>
      <w:r w:rsidRPr="000231BB">
        <w:rPr>
          <w:u w:val="single"/>
        </w:rPr>
        <w:t>Alternate Activities and Special Cases</w:t>
      </w:r>
    </w:p>
    <w:p w14:paraId="63272297" w14:textId="77777777" w:rsidR="004F7DCA" w:rsidRDefault="004F7DCA" w:rsidP="004F7DCA">
      <w:r>
        <w:t>System must support the following alternate activities and special cases:</w:t>
      </w:r>
    </w:p>
    <w:p w14:paraId="687EEDCE" w14:textId="77777777" w:rsidR="000231BB" w:rsidRDefault="000231BB" w:rsidP="00E16D2D">
      <w:pPr>
        <w:pStyle w:val="LB1"/>
      </w:pPr>
      <w:r>
        <w:t>No appeal filed or on record</w:t>
      </w:r>
    </w:p>
    <w:p w14:paraId="6875D678" w14:textId="77777777" w:rsidR="000231BB" w:rsidRDefault="000231BB" w:rsidP="00E16D2D">
      <w:pPr>
        <w:pStyle w:val="LB1"/>
      </w:pPr>
      <w:r>
        <w:t>Change of address</w:t>
      </w:r>
    </w:p>
    <w:p w14:paraId="509838D5" w14:textId="77777777" w:rsidR="00FC12B2" w:rsidRDefault="00FC12B2" w:rsidP="00116640">
      <w:pPr>
        <w:pStyle w:val="LB1"/>
      </w:pPr>
      <w:r>
        <w:lastRenderedPageBreak/>
        <w:t>Language translations</w:t>
      </w:r>
    </w:p>
    <w:p w14:paraId="0BB1A33F" w14:textId="77777777" w:rsidR="000231BB" w:rsidRDefault="000231BB" w:rsidP="00F82166">
      <w:pPr>
        <w:pStyle w:val="LB1"/>
      </w:pPr>
      <w:r>
        <w:t>Withdrawal of an appeal</w:t>
      </w:r>
    </w:p>
    <w:p w14:paraId="38D05FB6" w14:textId="77777777" w:rsidR="000231BB" w:rsidRDefault="000231BB" w:rsidP="00F82166">
      <w:pPr>
        <w:pStyle w:val="LB1"/>
      </w:pPr>
      <w:r>
        <w:t>Submit case documentation</w:t>
      </w:r>
    </w:p>
    <w:p w14:paraId="2CF488F5" w14:textId="77777777" w:rsidR="000231BB" w:rsidRDefault="000231BB">
      <w:pPr>
        <w:pStyle w:val="LB1"/>
      </w:pPr>
      <w:r>
        <w:t>Complaint</w:t>
      </w:r>
    </w:p>
    <w:p w14:paraId="3C36EF8D" w14:textId="77777777" w:rsidR="000231BB" w:rsidRDefault="000231BB">
      <w:pPr>
        <w:pStyle w:val="LB1"/>
      </w:pPr>
      <w:r>
        <w:t>Postponement request</w:t>
      </w:r>
    </w:p>
    <w:p w14:paraId="2290D82E" w14:textId="77777777" w:rsidR="000231BB" w:rsidRDefault="000231BB">
      <w:pPr>
        <w:pStyle w:val="LB1"/>
      </w:pPr>
      <w:r>
        <w:t>Expedite request</w:t>
      </w:r>
    </w:p>
    <w:p w14:paraId="29C21C07" w14:textId="77777777" w:rsidR="000231BB" w:rsidRDefault="000231BB">
      <w:pPr>
        <w:pStyle w:val="LB1"/>
      </w:pPr>
      <w:r>
        <w:t>Scheduling requests</w:t>
      </w:r>
    </w:p>
    <w:p w14:paraId="67CD5E97" w14:textId="77777777" w:rsidR="00763D57" w:rsidRDefault="00763D57">
      <w:pPr>
        <w:pStyle w:val="LB1"/>
      </w:pPr>
      <w:r>
        <w:t>Interpreter requests</w:t>
      </w:r>
    </w:p>
    <w:p w14:paraId="4CB2A56A" w14:textId="77777777" w:rsidR="00763D57" w:rsidRDefault="00763D57">
      <w:pPr>
        <w:pStyle w:val="LB1"/>
      </w:pPr>
      <w:r>
        <w:t>Recording requests</w:t>
      </w:r>
    </w:p>
    <w:p w14:paraId="16B9FEAE" w14:textId="7C80B62F" w:rsidR="000231BB" w:rsidRDefault="00763D57">
      <w:pPr>
        <w:pStyle w:val="LB1"/>
      </w:pPr>
      <w:r>
        <w:t>Subpoena requests</w:t>
      </w:r>
    </w:p>
    <w:p w14:paraId="786C0D48" w14:textId="77777777" w:rsidR="000231BB" w:rsidRDefault="000231BB">
      <w:pPr>
        <w:pStyle w:val="LB1"/>
      </w:pPr>
      <w:r>
        <w:t>Ability to flag inquiries for a specific Staff member</w:t>
      </w:r>
    </w:p>
    <w:p w14:paraId="64468C93" w14:textId="77777777" w:rsidR="000231BB" w:rsidRDefault="000231BB">
      <w:pPr>
        <w:pStyle w:val="OB1"/>
      </w:pPr>
      <w:r>
        <w:t>Topic</w:t>
      </w:r>
    </w:p>
    <w:p w14:paraId="018BC257" w14:textId="77777777" w:rsidR="000231BB" w:rsidRDefault="000231BB">
      <w:pPr>
        <w:pStyle w:val="OB1"/>
      </w:pPr>
      <w:r>
        <w:t>Claimant</w:t>
      </w:r>
    </w:p>
    <w:p w14:paraId="69AB3C66" w14:textId="77777777" w:rsidR="000231BB" w:rsidRDefault="000231BB">
      <w:pPr>
        <w:pStyle w:val="OB1"/>
      </w:pPr>
      <w:r>
        <w:t>Employer</w:t>
      </w:r>
    </w:p>
    <w:p w14:paraId="6939091E" w14:textId="77777777" w:rsidR="000231BB" w:rsidRDefault="000231BB">
      <w:pPr>
        <w:pStyle w:val="OB1"/>
      </w:pPr>
      <w:r>
        <w:t xml:space="preserve">Etc. </w:t>
      </w:r>
    </w:p>
    <w:p w14:paraId="4C1FB710" w14:textId="77777777" w:rsidR="000231BB" w:rsidRDefault="000231BB">
      <w:pPr>
        <w:pStyle w:val="LB1"/>
      </w:pPr>
      <w:r>
        <w:t>Create UI/Fraud/Tax investigation based on status inquiry</w:t>
      </w:r>
    </w:p>
    <w:p w14:paraId="77BEC19E" w14:textId="77777777" w:rsidR="000231BB" w:rsidRDefault="000231BB">
      <w:pPr>
        <w:pStyle w:val="OB1"/>
      </w:pPr>
      <w:r>
        <w:t>Ineligibilities</w:t>
      </w:r>
    </w:p>
    <w:p w14:paraId="6C16BE4F" w14:textId="77777777" w:rsidR="000231BB" w:rsidRDefault="000231BB">
      <w:pPr>
        <w:pStyle w:val="OB1"/>
      </w:pPr>
      <w:r>
        <w:t>ID theft</w:t>
      </w:r>
    </w:p>
    <w:p w14:paraId="365B8002" w14:textId="77777777" w:rsidR="00E64AF4" w:rsidRDefault="00E64AF4" w:rsidP="00E64AF4"/>
    <w:p w14:paraId="2CFA17AC" w14:textId="77777777" w:rsidR="00EF6E80" w:rsidRDefault="00EF6E80" w:rsidP="00EF6E80">
      <w:pPr>
        <w:pStyle w:val="Heading4"/>
      </w:pPr>
      <w:r>
        <w:tab/>
        <w:t>Generate Reports</w:t>
      </w:r>
    </w:p>
    <w:p w14:paraId="116AE932" w14:textId="77777777" w:rsidR="00EF6E80" w:rsidRPr="00B0723C" w:rsidRDefault="00EF6E80" w:rsidP="00EF6E80">
      <w:r>
        <w:t>This process includes all activities required to generate and transmit reports.</w:t>
      </w:r>
    </w:p>
    <w:p w14:paraId="4D80D01F" w14:textId="77777777" w:rsidR="00EF6E80" w:rsidRPr="003A23F0" w:rsidRDefault="00EF6E80" w:rsidP="00EF6E80">
      <w:pPr>
        <w:rPr>
          <w:u w:val="single"/>
        </w:rPr>
      </w:pPr>
      <w:r w:rsidRPr="003A23F0">
        <w:rPr>
          <w:u w:val="single"/>
        </w:rPr>
        <w:t>Actors</w:t>
      </w:r>
    </w:p>
    <w:p w14:paraId="61BD0E80" w14:textId="77777777" w:rsidR="00EF6E80" w:rsidRDefault="00EF6E80" w:rsidP="00E16D2D">
      <w:pPr>
        <w:pStyle w:val="LB1"/>
      </w:pPr>
      <w:r>
        <w:t>Staff</w:t>
      </w:r>
    </w:p>
    <w:p w14:paraId="2CE22B27" w14:textId="77777777" w:rsidR="00EF6E80" w:rsidRPr="00DF6567" w:rsidRDefault="00EF6E80" w:rsidP="00EF6E80"/>
    <w:p w14:paraId="7B9E4B29" w14:textId="77777777" w:rsidR="00EF6E80" w:rsidRPr="003A23F0" w:rsidRDefault="00EF6E80" w:rsidP="00EF6E80">
      <w:pPr>
        <w:rPr>
          <w:u w:val="single"/>
        </w:rPr>
      </w:pPr>
      <w:r w:rsidRPr="003A23F0">
        <w:rPr>
          <w:u w:val="single"/>
        </w:rPr>
        <w:t>Main Activities</w:t>
      </w:r>
    </w:p>
    <w:p w14:paraId="0AFB7743" w14:textId="77777777" w:rsidR="001D6CEB" w:rsidRDefault="001D6CEB" w:rsidP="00E16D2D">
      <w:pPr>
        <w:pStyle w:val="LB1"/>
      </w:pPr>
      <w:r>
        <w:t>DOL Reports</w:t>
      </w:r>
    </w:p>
    <w:p w14:paraId="6C1B09BF" w14:textId="77777777" w:rsidR="001D6CEB" w:rsidRDefault="001D6CEB" w:rsidP="00E16D2D">
      <w:pPr>
        <w:pStyle w:val="OB1"/>
      </w:pPr>
      <w:r>
        <w:t>System must generate DOL reports</w:t>
      </w:r>
    </w:p>
    <w:p w14:paraId="6451DE5E" w14:textId="67370095" w:rsidR="001D6CEB" w:rsidRDefault="001D6CEB" w:rsidP="00116640">
      <w:pPr>
        <w:pStyle w:val="OB1"/>
      </w:pPr>
      <w:r>
        <w:t xml:space="preserve">System must distribute DOL reports to Appeals and </w:t>
      </w:r>
      <w:r w:rsidR="00A55591">
        <w:t>CA</w:t>
      </w:r>
      <w:r>
        <w:t xml:space="preserve"> Management for approval</w:t>
      </w:r>
    </w:p>
    <w:p w14:paraId="33CCB143" w14:textId="23FFB91B" w:rsidR="001D6CEB" w:rsidRDefault="00943281" w:rsidP="00F82166">
      <w:pPr>
        <w:pStyle w:val="OB1"/>
      </w:pPr>
      <w:r>
        <w:t xml:space="preserve">System must allow Staff to </w:t>
      </w:r>
      <w:r w:rsidR="001D6CEB">
        <w:t>correct and modify DOL reports</w:t>
      </w:r>
    </w:p>
    <w:p w14:paraId="4EB92D82" w14:textId="77777777" w:rsidR="001D6CEB" w:rsidRDefault="001D6CEB" w:rsidP="00F82166">
      <w:pPr>
        <w:pStyle w:val="OB1"/>
      </w:pPr>
      <w:r>
        <w:t>System must upload reports to DOL</w:t>
      </w:r>
    </w:p>
    <w:p w14:paraId="3113A9B9" w14:textId="77777777" w:rsidR="001D6CEB" w:rsidRDefault="001D6CEB">
      <w:pPr>
        <w:pStyle w:val="OB1"/>
      </w:pPr>
      <w:r>
        <w:t>System must integrate reports with dashboards for visual representation of data</w:t>
      </w:r>
    </w:p>
    <w:p w14:paraId="5A62DB59" w14:textId="77777777" w:rsidR="001D6CEB" w:rsidRDefault="001D6CEB">
      <w:pPr>
        <w:pStyle w:val="OB1"/>
      </w:pPr>
      <w:r>
        <w:t>System must store and index reports</w:t>
      </w:r>
    </w:p>
    <w:p w14:paraId="1D85C791" w14:textId="77777777" w:rsidR="001D6CEB" w:rsidRDefault="001D6CEB">
      <w:pPr>
        <w:pStyle w:val="LB1"/>
      </w:pPr>
      <w:r>
        <w:t>Operations, Performance, and Management reports</w:t>
      </w:r>
    </w:p>
    <w:p w14:paraId="3045BE2C" w14:textId="2FA3002D" w:rsidR="001D6CEB" w:rsidRDefault="00F67CDB">
      <w:pPr>
        <w:pStyle w:val="OB1"/>
      </w:pPr>
      <w:r>
        <w:t xml:space="preserve">System must allow Staff to </w:t>
      </w:r>
      <w:r w:rsidR="001D6CEB">
        <w:t>schedule reports to be generated automatically</w:t>
      </w:r>
    </w:p>
    <w:p w14:paraId="7E9D762C" w14:textId="623669B2" w:rsidR="001D6CEB" w:rsidRDefault="00F67CDB">
      <w:pPr>
        <w:pStyle w:val="OB1"/>
      </w:pPr>
      <w:r>
        <w:t xml:space="preserve">System must allow Staff to </w:t>
      </w:r>
      <w:r w:rsidR="001D6CEB">
        <w:t>run reports on demand</w:t>
      </w:r>
    </w:p>
    <w:p w14:paraId="79CB6E2B" w14:textId="7CD58DD3" w:rsidR="001D6CEB" w:rsidRDefault="001D6CEB">
      <w:pPr>
        <w:pStyle w:val="OB1"/>
      </w:pPr>
      <w:r>
        <w:t xml:space="preserve">System must generate and distribute reports listed in </w:t>
      </w:r>
      <w:hyperlink w:anchor="_Attachment_8_–" w:history="1">
        <w:r w:rsidRPr="00FD6AAF">
          <w:rPr>
            <w:rStyle w:val="Hyperlink"/>
          </w:rPr>
          <w:t>Attachment 8</w:t>
        </w:r>
      </w:hyperlink>
    </w:p>
    <w:p w14:paraId="0C4E4EF3" w14:textId="77777777" w:rsidR="001D6CEB" w:rsidRDefault="001D6CEB">
      <w:pPr>
        <w:pStyle w:val="OB1"/>
      </w:pPr>
      <w:r>
        <w:t>System must allow Staff to develop and schedule ad hoc reports</w:t>
      </w:r>
    </w:p>
    <w:p w14:paraId="33378656" w14:textId="77777777" w:rsidR="001D6CEB" w:rsidRDefault="001D6CEB">
      <w:pPr>
        <w:pStyle w:val="OB1"/>
      </w:pPr>
      <w:r>
        <w:lastRenderedPageBreak/>
        <w:t>System must integrate reports with dashboards for visual representation of data</w:t>
      </w:r>
    </w:p>
    <w:p w14:paraId="7309814A" w14:textId="5682BA0F" w:rsidR="001D6CEB" w:rsidRDefault="001D6CEB">
      <w:pPr>
        <w:pStyle w:val="OB1"/>
      </w:pPr>
      <w:r>
        <w:t>System must store and index reports</w:t>
      </w:r>
    </w:p>
    <w:p w14:paraId="4EB1F8BB" w14:textId="77777777" w:rsidR="001D6CEB" w:rsidRDefault="001D6CEB" w:rsidP="001D6CEB"/>
    <w:p w14:paraId="64758B09" w14:textId="624BEE3F" w:rsidR="001A16E4" w:rsidRDefault="001A16E4" w:rsidP="001A16E4">
      <w:pPr>
        <w:pStyle w:val="Heading3"/>
      </w:pPr>
      <w:bookmarkStart w:id="343" w:name="_A6.4_Commission_Appeals"/>
      <w:bookmarkStart w:id="344" w:name="_Toc13567495"/>
      <w:bookmarkEnd w:id="343"/>
      <w:r>
        <w:t>A6.4</w:t>
      </w:r>
      <w:r>
        <w:tab/>
        <w:t>Commission Appeals</w:t>
      </w:r>
      <w:bookmarkEnd w:id="344"/>
      <w:r>
        <w:t xml:space="preserve"> </w:t>
      </w:r>
    </w:p>
    <w:p w14:paraId="253B6661" w14:textId="569F3C92" w:rsidR="0038474B" w:rsidRDefault="0038474B" w:rsidP="0038474B">
      <w:pPr>
        <w:pStyle w:val="Heading4"/>
      </w:pPr>
      <w:r>
        <w:tab/>
        <w:t>File Appeal</w:t>
      </w:r>
    </w:p>
    <w:p w14:paraId="72D34EFB" w14:textId="53491C34" w:rsidR="0038474B" w:rsidRPr="00B0723C" w:rsidRDefault="0038474B" w:rsidP="0038474B">
      <w:r>
        <w:t xml:space="preserve">This process includes all activities required to </w:t>
      </w:r>
      <w:r w:rsidR="00823072">
        <w:t>file a higher authority appeal</w:t>
      </w:r>
      <w:r>
        <w:t>.</w:t>
      </w:r>
    </w:p>
    <w:p w14:paraId="2F89F8C8" w14:textId="77777777" w:rsidR="0038474B" w:rsidRPr="003A23F0" w:rsidRDefault="0038474B" w:rsidP="0038474B">
      <w:pPr>
        <w:rPr>
          <w:u w:val="single"/>
        </w:rPr>
      </w:pPr>
      <w:r w:rsidRPr="003A23F0">
        <w:rPr>
          <w:u w:val="single"/>
        </w:rPr>
        <w:t>Actors</w:t>
      </w:r>
    </w:p>
    <w:p w14:paraId="39CD1401" w14:textId="77777777" w:rsidR="0038474B" w:rsidRDefault="0038474B" w:rsidP="00E16D2D">
      <w:pPr>
        <w:pStyle w:val="LB1"/>
      </w:pPr>
      <w:r>
        <w:t>Employers</w:t>
      </w:r>
    </w:p>
    <w:p w14:paraId="0B8538E4" w14:textId="77777777" w:rsidR="0038474B" w:rsidRDefault="0038474B" w:rsidP="00E16D2D">
      <w:pPr>
        <w:pStyle w:val="LB1"/>
      </w:pPr>
      <w:r>
        <w:t>Claimants</w:t>
      </w:r>
    </w:p>
    <w:p w14:paraId="5B19E566" w14:textId="1E5C6FB9" w:rsidR="0038474B" w:rsidRDefault="0038474B" w:rsidP="00116640">
      <w:pPr>
        <w:pStyle w:val="LB1"/>
      </w:pPr>
      <w:r>
        <w:t>Attorneys/Representatives</w:t>
      </w:r>
    </w:p>
    <w:p w14:paraId="5B36C2D4" w14:textId="671EE448" w:rsidR="003C3430" w:rsidRDefault="003C3430" w:rsidP="00F82166">
      <w:pPr>
        <w:pStyle w:val="LB1"/>
      </w:pPr>
      <w:r>
        <w:t>Staff (assist with filing appeals)</w:t>
      </w:r>
    </w:p>
    <w:p w14:paraId="0B82649B" w14:textId="77777777" w:rsidR="0038474B" w:rsidRPr="00DF6567" w:rsidRDefault="0038474B" w:rsidP="0038474B"/>
    <w:p w14:paraId="5E3B8E91" w14:textId="77777777" w:rsidR="0038474B" w:rsidRPr="0038474B" w:rsidRDefault="0038474B" w:rsidP="0038474B">
      <w:pPr>
        <w:rPr>
          <w:u w:val="single"/>
        </w:rPr>
      </w:pPr>
      <w:r w:rsidRPr="0038474B">
        <w:rPr>
          <w:u w:val="single"/>
        </w:rPr>
        <w:t>Main Activities</w:t>
      </w:r>
    </w:p>
    <w:p w14:paraId="2DD93E13" w14:textId="64B05580" w:rsidR="0038474B" w:rsidRDefault="00F04BC0" w:rsidP="00E16D2D">
      <w:pPr>
        <w:pStyle w:val="LB1"/>
      </w:pPr>
      <w:r>
        <w:t>System must allow appeals to be filed via fax, mail, online, and in person; appeals cannot be filed by email</w:t>
      </w:r>
    </w:p>
    <w:p w14:paraId="640057FA" w14:textId="09E00C56" w:rsidR="0038474B" w:rsidRDefault="00C07F65" w:rsidP="00E16D2D">
      <w:pPr>
        <w:pStyle w:val="LB1"/>
      </w:pPr>
      <w:r>
        <w:t xml:space="preserve">System must provide appeal forms and instructions for how to file an appeal on internet (currently </w:t>
      </w:r>
      <w:hyperlink r:id="rId78" w:history="1">
        <w:r w:rsidRPr="00CC01B4">
          <w:rPr>
            <w:rStyle w:val="Hyperlink"/>
          </w:rPr>
          <w:t>https://twc.texas.gov/jobseekers/how-appeal-decision</w:t>
        </w:r>
      </w:hyperlink>
      <w:r>
        <w:t>), but no special form is needed to file an appeal</w:t>
      </w:r>
    </w:p>
    <w:p w14:paraId="5A3A4276" w14:textId="5972EC8B" w:rsidR="006C2104" w:rsidRDefault="006C2104" w:rsidP="00116640">
      <w:pPr>
        <w:pStyle w:val="LB1"/>
      </w:pPr>
      <w:r>
        <w:t xml:space="preserve">System must help direct Claimants to Local TWC offices (Tax and Workforce) available for assistance when filing an appeal </w:t>
      </w:r>
    </w:p>
    <w:p w14:paraId="2336CAC7" w14:textId="62B6758C" w:rsidR="0038474B" w:rsidRPr="00184453" w:rsidRDefault="00C07F65" w:rsidP="00F82166">
      <w:pPr>
        <w:pStyle w:val="LB1"/>
      </w:pPr>
      <w:r>
        <w:t>System must capture the following appeal data elements, at a minimum</w:t>
      </w:r>
      <w:r w:rsidR="0038474B" w:rsidRPr="00184453">
        <w:t>:</w:t>
      </w:r>
    </w:p>
    <w:p w14:paraId="080DF02A" w14:textId="77777777" w:rsidR="0038474B" w:rsidRPr="00184453" w:rsidRDefault="0038474B" w:rsidP="00F82166">
      <w:pPr>
        <w:pStyle w:val="OB1"/>
        <w:rPr>
          <w:lang w:val="en"/>
        </w:rPr>
      </w:pPr>
      <w:r>
        <w:rPr>
          <w:lang w:val="en"/>
        </w:rPr>
        <w:t>N</w:t>
      </w:r>
      <w:r w:rsidRPr="00184453">
        <w:rPr>
          <w:lang w:val="en"/>
        </w:rPr>
        <w:t>ame</w:t>
      </w:r>
    </w:p>
    <w:p w14:paraId="19C333C2" w14:textId="77777777" w:rsidR="0038474B" w:rsidRPr="00395868" w:rsidRDefault="0038474B">
      <w:pPr>
        <w:pStyle w:val="OB1"/>
        <w:rPr>
          <w:lang w:val="en"/>
        </w:rPr>
      </w:pPr>
      <w:r w:rsidRPr="008D5A7C">
        <w:t>SSN</w:t>
      </w:r>
      <w:r>
        <w:t>/Alternate ID</w:t>
      </w:r>
      <w:r w:rsidRPr="008D5A7C">
        <w:t xml:space="preserve"> </w:t>
      </w:r>
    </w:p>
    <w:p w14:paraId="70A54B4D" w14:textId="77777777" w:rsidR="0038474B" w:rsidRPr="00184453" w:rsidRDefault="0038474B">
      <w:pPr>
        <w:pStyle w:val="OB1"/>
        <w:rPr>
          <w:lang w:val="en"/>
        </w:rPr>
      </w:pPr>
      <w:r>
        <w:rPr>
          <w:lang w:val="en"/>
        </w:rPr>
        <w:t>C</w:t>
      </w:r>
      <w:r w:rsidRPr="00184453">
        <w:rPr>
          <w:lang w:val="en"/>
        </w:rPr>
        <w:t>urrent address</w:t>
      </w:r>
    </w:p>
    <w:p w14:paraId="1046C129" w14:textId="77777777" w:rsidR="0038474B" w:rsidRPr="00184453" w:rsidRDefault="0038474B">
      <w:pPr>
        <w:pStyle w:val="OB1"/>
        <w:rPr>
          <w:lang w:val="en"/>
        </w:rPr>
      </w:pPr>
      <w:r>
        <w:rPr>
          <w:lang w:val="en"/>
        </w:rPr>
        <w:t>D</w:t>
      </w:r>
      <w:r w:rsidRPr="00184453">
        <w:rPr>
          <w:lang w:val="en"/>
        </w:rPr>
        <w:t>ate TWC mailed you the Determination Notice</w:t>
      </w:r>
    </w:p>
    <w:p w14:paraId="056D02DC" w14:textId="77777777" w:rsidR="0038474B" w:rsidRPr="00184453" w:rsidRDefault="0038474B">
      <w:pPr>
        <w:pStyle w:val="OB1"/>
        <w:rPr>
          <w:lang w:val="en"/>
        </w:rPr>
      </w:pPr>
      <w:r w:rsidRPr="00184453">
        <w:rPr>
          <w:lang w:val="en"/>
        </w:rPr>
        <w:t>A copy of the Determination Notice, if possible</w:t>
      </w:r>
    </w:p>
    <w:p w14:paraId="421377E8" w14:textId="77777777" w:rsidR="0038474B" w:rsidRDefault="0038474B">
      <w:pPr>
        <w:pStyle w:val="OB1"/>
        <w:rPr>
          <w:lang w:val="en"/>
        </w:rPr>
      </w:pPr>
      <w:r w:rsidRPr="00184453">
        <w:rPr>
          <w:lang w:val="en"/>
        </w:rPr>
        <w:t xml:space="preserve">Any dates on which </w:t>
      </w:r>
      <w:r>
        <w:rPr>
          <w:lang w:val="en"/>
        </w:rPr>
        <w:t>appellant</w:t>
      </w:r>
      <w:r w:rsidRPr="00184453">
        <w:rPr>
          <w:lang w:val="en"/>
        </w:rPr>
        <w:t xml:space="preserve"> will not be able to participate in a hearing</w:t>
      </w:r>
    </w:p>
    <w:p w14:paraId="7FEBCBC8" w14:textId="77777777" w:rsidR="0038474B" w:rsidRPr="00180FC4" w:rsidRDefault="0038474B">
      <w:pPr>
        <w:pStyle w:val="OB1"/>
        <w:rPr>
          <w:lang w:val="en"/>
        </w:rPr>
      </w:pPr>
      <w:r>
        <w:rPr>
          <w:lang w:val="en"/>
        </w:rPr>
        <w:t>Reason for appeal</w:t>
      </w:r>
    </w:p>
    <w:p w14:paraId="60A79F83" w14:textId="77777777" w:rsidR="003C3430" w:rsidRPr="00180FC4" w:rsidRDefault="003C3430">
      <w:pPr>
        <w:pStyle w:val="OB1"/>
        <w:rPr>
          <w:lang w:val="en"/>
        </w:rPr>
      </w:pPr>
      <w:r>
        <w:rPr>
          <w:lang w:val="en"/>
        </w:rPr>
        <w:t>Accommodations, e.g. interpreter, in-person hearing, scheduling conflicts</w:t>
      </w:r>
    </w:p>
    <w:p w14:paraId="199F3F2E" w14:textId="3F1CFE8F" w:rsidR="003C3430" w:rsidRDefault="003C3430">
      <w:pPr>
        <w:pStyle w:val="LB1"/>
      </w:pPr>
      <w:r>
        <w:t>System must help direct Parties to Local TWC offices (Tax and Workforce) available for assistance when filing an appeal</w:t>
      </w:r>
    </w:p>
    <w:p w14:paraId="13F5A2F5" w14:textId="77777777" w:rsidR="0038474B" w:rsidRDefault="0038474B" w:rsidP="0038474B"/>
    <w:p w14:paraId="517948AD" w14:textId="3E473FBA" w:rsidR="0038474B" w:rsidRDefault="0038474B" w:rsidP="0038474B">
      <w:pPr>
        <w:rPr>
          <w:u w:val="single"/>
        </w:rPr>
      </w:pPr>
      <w:r w:rsidRPr="0038474B">
        <w:rPr>
          <w:u w:val="single"/>
        </w:rPr>
        <w:t>Alternate Activities and Special Cases</w:t>
      </w:r>
    </w:p>
    <w:p w14:paraId="71565CFC" w14:textId="77777777" w:rsidR="004F7DCA" w:rsidRDefault="004F7DCA" w:rsidP="004F7DCA">
      <w:r>
        <w:t>System must support the following alternate activities and special cases:</w:t>
      </w:r>
    </w:p>
    <w:p w14:paraId="6945599D" w14:textId="77777777" w:rsidR="003C3430" w:rsidRDefault="003C3430" w:rsidP="00E16D2D">
      <w:pPr>
        <w:pStyle w:val="LB1"/>
      </w:pPr>
      <w:r>
        <w:t>Appeals can still be filed without an adverse determination or appeal rights, although the correspondence may lead to a response other than creating the case</w:t>
      </w:r>
    </w:p>
    <w:p w14:paraId="248BCE3A" w14:textId="77777777" w:rsidR="003C3430" w:rsidRDefault="003C3430" w:rsidP="00E16D2D">
      <w:pPr>
        <w:pStyle w:val="LB1"/>
      </w:pPr>
      <w:r>
        <w:lastRenderedPageBreak/>
        <w:t>Do not display a determination/decision as appealable when a party does not have appeal rights to a determination/decision</w:t>
      </w:r>
    </w:p>
    <w:p w14:paraId="75E351A2" w14:textId="77777777" w:rsidR="0038474B" w:rsidRDefault="0038474B" w:rsidP="0038474B"/>
    <w:p w14:paraId="0CA649BE" w14:textId="4F815A0B" w:rsidR="0038474B" w:rsidRDefault="0038474B" w:rsidP="0038474B">
      <w:pPr>
        <w:pStyle w:val="Heading4"/>
      </w:pPr>
      <w:r>
        <w:tab/>
        <w:t>Receive and Route Appeal</w:t>
      </w:r>
    </w:p>
    <w:p w14:paraId="6267C26E" w14:textId="05C9C46E" w:rsidR="0038474B" w:rsidRPr="00B0723C" w:rsidRDefault="0038474B" w:rsidP="0038474B">
      <w:r>
        <w:t>This process includes all activities required to receive and route an appeal.</w:t>
      </w:r>
    </w:p>
    <w:p w14:paraId="419AEFF2" w14:textId="77777777" w:rsidR="0038474B" w:rsidRPr="003A23F0" w:rsidRDefault="0038474B" w:rsidP="0038474B">
      <w:pPr>
        <w:rPr>
          <w:u w:val="single"/>
        </w:rPr>
      </w:pPr>
      <w:r w:rsidRPr="003A23F0">
        <w:rPr>
          <w:u w:val="single"/>
        </w:rPr>
        <w:t>Actors</w:t>
      </w:r>
    </w:p>
    <w:p w14:paraId="6FF3E5A9" w14:textId="77777777" w:rsidR="0038474B" w:rsidRDefault="0038474B" w:rsidP="00E16D2D">
      <w:pPr>
        <w:pStyle w:val="LB1"/>
      </w:pPr>
      <w:r>
        <w:t>Staff</w:t>
      </w:r>
    </w:p>
    <w:p w14:paraId="7ABE80EC" w14:textId="77777777" w:rsidR="0038474B" w:rsidRPr="00DF6567" w:rsidRDefault="0038474B" w:rsidP="0038474B"/>
    <w:p w14:paraId="7964D9BD" w14:textId="77777777" w:rsidR="0038474B" w:rsidRPr="003A23F0" w:rsidRDefault="0038474B" w:rsidP="0038474B">
      <w:pPr>
        <w:rPr>
          <w:u w:val="single"/>
        </w:rPr>
      </w:pPr>
      <w:r w:rsidRPr="003A23F0">
        <w:rPr>
          <w:u w:val="single"/>
        </w:rPr>
        <w:t>Main Activities</w:t>
      </w:r>
    </w:p>
    <w:p w14:paraId="2AA1040A" w14:textId="7E19A775" w:rsidR="0038474B" w:rsidRDefault="0038474B" w:rsidP="00E16D2D">
      <w:pPr>
        <w:pStyle w:val="LB1"/>
      </w:pPr>
      <w:r>
        <w:t xml:space="preserve">System must </w:t>
      </w:r>
      <w:r w:rsidRPr="0038474B">
        <w:rPr>
          <w:rStyle w:val="LB1Char"/>
        </w:rPr>
        <w:t>ingest</w:t>
      </w:r>
      <w:r>
        <w:t xml:space="preserve"> </w:t>
      </w:r>
      <w:r w:rsidR="005A37FD">
        <w:t>into the CMS</w:t>
      </w:r>
      <w:r w:rsidR="004B261D">
        <w:t xml:space="preserve"> </w:t>
      </w:r>
      <w:r>
        <w:t>and begin appropriate workflow depending on transmission method</w:t>
      </w:r>
    </w:p>
    <w:p w14:paraId="7E24C00E" w14:textId="77777777" w:rsidR="0038474B" w:rsidRDefault="0038474B" w:rsidP="00E16D2D">
      <w:pPr>
        <w:pStyle w:val="OB1"/>
      </w:pPr>
      <w:r>
        <w:t>In person, fax, online/self-service portal, and mail</w:t>
      </w:r>
    </w:p>
    <w:p w14:paraId="62E8E3C7" w14:textId="77777777" w:rsidR="0038474B" w:rsidRDefault="0038474B" w:rsidP="00116640">
      <w:pPr>
        <w:pStyle w:val="LB1"/>
      </w:pPr>
      <w:r>
        <w:t>System must allow Staff to initiate workflow if required</w:t>
      </w:r>
    </w:p>
    <w:p w14:paraId="1B772B87" w14:textId="77777777" w:rsidR="0038474B" w:rsidRDefault="0038474B" w:rsidP="00F82166">
      <w:pPr>
        <w:pStyle w:val="LB1"/>
      </w:pPr>
      <w:r>
        <w:t>System must v</w:t>
      </w:r>
      <w:r w:rsidRPr="008D5A7C">
        <w:t>erify Name and SSN</w:t>
      </w:r>
      <w:r>
        <w:t>/Alternate ID of the Claimant</w:t>
      </w:r>
    </w:p>
    <w:p w14:paraId="45CD928A" w14:textId="77777777" w:rsidR="0038474B" w:rsidRDefault="0038474B" w:rsidP="00F82166">
      <w:pPr>
        <w:pStyle w:val="LB1"/>
      </w:pPr>
      <w:r>
        <w:t>System must determine</w:t>
      </w:r>
      <w:r w:rsidRPr="00760733">
        <w:t xml:space="preserve"> the appeal level and route appropriately</w:t>
      </w:r>
      <w:r>
        <w:t xml:space="preserve"> </w:t>
      </w:r>
    </w:p>
    <w:p w14:paraId="7A7B9052" w14:textId="77777777" w:rsidR="0038474B" w:rsidRDefault="0038474B">
      <w:pPr>
        <w:pStyle w:val="LB1"/>
      </w:pPr>
      <w:r>
        <w:t>System must allow Staff to route an appeal between appropriate departments depending on user permissions</w:t>
      </w:r>
    </w:p>
    <w:p w14:paraId="715C91F9" w14:textId="77777777" w:rsidR="0038474B" w:rsidRDefault="0038474B">
      <w:pPr>
        <w:pStyle w:val="OB1"/>
      </w:pPr>
      <w:r>
        <w:t>Lower Authority</w:t>
      </w:r>
    </w:p>
    <w:p w14:paraId="0758E4C9" w14:textId="77777777" w:rsidR="0038474B" w:rsidRDefault="0038474B">
      <w:pPr>
        <w:pStyle w:val="OB1"/>
      </w:pPr>
      <w:r>
        <w:t>Higher Authority</w:t>
      </w:r>
    </w:p>
    <w:p w14:paraId="784DB913" w14:textId="030869A4" w:rsidR="0038474B" w:rsidRDefault="0038474B">
      <w:pPr>
        <w:pStyle w:val="OB1"/>
      </w:pPr>
      <w:r>
        <w:t>T</w:t>
      </w:r>
      <w:r w:rsidR="00D51C30">
        <w:t>ele-Center</w:t>
      </w:r>
    </w:p>
    <w:p w14:paraId="58C207BC" w14:textId="77777777" w:rsidR="0038474B" w:rsidRDefault="0038474B">
      <w:pPr>
        <w:pStyle w:val="OB1"/>
      </w:pPr>
      <w:r>
        <w:t>Chargebacks</w:t>
      </w:r>
    </w:p>
    <w:p w14:paraId="26AF9EA0" w14:textId="62045869" w:rsidR="0038474B" w:rsidRDefault="00A55591">
      <w:pPr>
        <w:pStyle w:val="OB1"/>
      </w:pPr>
      <w:r>
        <w:t>SH</w:t>
      </w:r>
    </w:p>
    <w:p w14:paraId="3A65261C" w14:textId="77777777" w:rsidR="0038474B" w:rsidRDefault="0038474B">
      <w:pPr>
        <w:pStyle w:val="OB1"/>
      </w:pPr>
      <w:r>
        <w:t>Other</w:t>
      </w:r>
    </w:p>
    <w:p w14:paraId="5573CCAC" w14:textId="77777777" w:rsidR="0038474B" w:rsidRDefault="0038474B" w:rsidP="0038474B"/>
    <w:p w14:paraId="4B92B772" w14:textId="59EFB6B3" w:rsidR="0038474B" w:rsidRDefault="0038474B" w:rsidP="0038474B">
      <w:pPr>
        <w:pStyle w:val="Heading4"/>
      </w:pPr>
      <w:r>
        <w:tab/>
      </w:r>
      <w:r w:rsidR="00E15C1C">
        <w:t>Process Appeal</w:t>
      </w:r>
    </w:p>
    <w:p w14:paraId="56945C77" w14:textId="606A38F2" w:rsidR="0038474B" w:rsidRPr="00B0723C" w:rsidRDefault="00E15C1C" w:rsidP="0038474B">
      <w:r>
        <w:t>This process includes all activities required to process an appeal</w:t>
      </w:r>
      <w:r w:rsidR="0038474B">
        <w:t>.</w:t>
      </w:r>
    </w:p>
    <w:p w14:paraId="14AC2916" w14:textId="77777777" w:rsidR="0038474B" w:rsidRPr="003A23F0" w:rsidRDefault="0038474B" w:rsidP="0038474B">
      <w:pPr>
        <w:rPr>
          <w:u w:val="single"/>
        </w:rPr>
      </w:pPr>
      <w:r w:rsidRPr="003A23F0">
        <w:rPr>
          <w:u w:val="single"/>
        </w:rPr>
        <w:t>Actors</w:t>
      </w:r>
    </w:p>
    <w:p w14:paraId="2BB0DB07" w14:textId="77777777" w:rsidR="0038474B" w:rsidRDefault="0038474B" w:rsidP="00E16D2D">
      <w:pPr>
        <w:pStyle w:val="LB1"/>
      </w:pPr>
      <w:r>
        <w:t>Staff</w:t>
      </w:r>
    </w:p>
    <w:p w14:paraId="3ACF7190" w14:textId="77777777" w:rsidR="0038474B" w:rsidRPr="00DF6567" w:rsidRDefault="0038474B" w:rsidP="0038474B"/>
    <w:p w14:paraId="434468DF" w14:textId="77777777" w:rsidR="0038474B" w:rsidRPr="003A23F0" w:rsidRDefault="0038474B" w:rsidP="0038474B">
      <w:pPr>
        <w:rPr>
          <w:u w:val="single"/>
        </w:rPr>
      </w:pPr>
      <w:r w:rsidRPr="003A23F0">
        <w:rPr>
          <w:u w:val="single"/>
        </w:rPr>
        <w:t>Main Activities</w:t>
      </w:r>
    </w:p>
    <w:p w14:paraId="3AA1C0F3" w14:textId="6942ADED" w:rsidR="00C070C0" w:rsidRDefault="00C070C0" w:rsidP="00E16D2D">
      <w:pPr>
        <w:pStyle w:val="LB1"/>
      </w:pPr>
      <w:r>
        <w:t xml:space="preserve">System automatically or Staff manually </w:t>
      </w:r>
      <w:r w:rsidR="003C1BA7">
        <w:t xml:space="preserve">must be able to </w:t>
      </w:r>
      <w:r>
        <w:t>locate</w:t>
      </w:r>
      <w:r w:rsidR="003C1BA7">
        <w:t xml:space="preserve"> an</w:t>
      </w:r>
      <w:r>
        <w:t xml:space="preserve"> existing case number assigned by AT or CA (for </w:t>
      </w:r>
      <w:r w:rsidR="00EB4C68">
        <w:t>Motion for Rehearing</w:t>
      </w:r>
      <w:r w:rsidR="00244790">
        <w:t>s</w:t>
      </w:r>
      <w:r w:rsidR="00EB4C68">
        <w:t xml:space="preserve"> (</w:t>
      </w:r>
      <w:r>
        <w:t>MRs</w:t>
      </w:r>
      <w:r w:rsidR="00EB4C68">
        <w:t>)</w:t>
      </w:r>
      <w:r>
        <w:t>)</w:t>
      </w:r>
    </w:p>
    <w:p w14:paraId="6A740FA7" w14:textId="77777777" w:rsidR="00C070C0" w:rsidRDefault="00C070C0" w:rsidP="00E16D2D">
      <w:pPr>
        <w:pStyle w:val="LB1"/>
      </w:pPr>
      <w:r>
        <w:t>System must display</w:t>
      </w:r>
    </w:p>
    <w:p w14:paraId="018970A9" w14:textId="77777777" w:rsidR="00C070C0" w:rsidRDefault="00C070C0" w:rsidP="00116640">
      <w:pPr>
        <w:pStyle w:val="OB1"/>
      </w:pPr>
      <w:r>
        <w:t>Existing appeals cases</w:t>
      </w:r>
    </w:p>
    <w:p w14:paraId="10B3A198" w14:textId="77777777" w:rsidR="00C070C0" w:rsidRDefault="00C070C0" w:rsidP="00F82166">
      <w:pPr>
        <w:pStyle w:val="OB1"/>
      </w:pPr>
      <w:r>
        <w:t>Existing UI information, including attachments associated to issues</w:t>
      </w:r>
    </w:p>
    <w:p w14:paraId="564AFF6A" w14:textId="77777777" w:rsidR="00C070C0" w:rsidRDefault="00C070C0" w:rsidP="00F82166">
      <w:pPr>
        <w:pStyle w:val="OB1"/>
      </w:pPr>
      <w:r>
        <w:lastRenderedPageBreak/>
        <w:t>High-level summary for Staff review (e.g. base period wages, interested parties, timeliness of appeal, opt-in for electronic correspondence, special accommodations, etc.)</w:t>
      </w:r>
    </w:p>
    <w:p w14:paraId="16355785" w14:textId="4F65B990" w:rsidR="00C070C0" w:rsidRDefault="00C00E35">
      <w:pPr>
        <w:pStyle w:val="LB1"/>
      </w:pPr>
      <w:r>
        <w:t>System must c</w:t>
      </w:r>
      <w:r w:rsidR="00C070C0">
        <w:t>reate CA or MR proceeding number</w:t>
      </w:r>
    </w:p>
    <w:p w14:paraId="176B488F" w14:textId="5536CD7B" w:rsidR="00C070C0" w:rsidRDefault="00C070C0">
      <w:pPr>
        <w:pStyle w:val="LB1"/>
      </w:pPr>
      <w:r>
        <w:t xml:space="preserve">System </w:t>
      </w:r>
      <w:r w:rsidR="00C00E35">
        <w:t xml:space="preserve">must </w:t>
      </w:r>
      <w:r>
        <w:t xml:space="preserve">perform edit </w:t>
      </w:r>
      <w:r w:rsidR="003C3430">
        <w:t>checks (e.g., timeliness check, flagged Employer account numbers, flagged Claimants, etc.) and displays customizable messages based on the edit checks</w:t>
      </w:r>
    </w:p>
    <w:p w14:paraId="09CB551E" w14:textId="29102852" w:rsidR="00C070C0" w:rsidRPr="00453272" w:rsidRDefault="00C070C0">
      <w:pPr>
        <w:pStyle w:val="LB1"/>
      </w:pPr>
      <w:r w:rsidRPr="00453272">
        <w:t xml:space="preserve">System </w:t>
      </w:r>
      <w:r w:rsidR="00C00E35">
        <w:t xml:space="preserve">must </w:t>
      </w:r>
      <w:r w:rsidRPr="00453272">
        <w:t xml:space="preserve">create </w:t>
      </w:r>
      <w:r w:rsidR="003C1BA7">
        <w:t xml:space="preserve">and send </w:t>
      </w:r>
      <w:r w:rsidRPr="00453272">
        <w:t>acknowledgement letter</w:t>
      </w:r>
    </w:p>
    <w:p w14:paraId="588D1818" w14:textId="77777777" w:rsidR="00C070C0" w:rsidRDefault="00C070C0">
      <w:pPr>
        <w:pStyle w:val="OB1"/>
      </w:pPr>
      <w:r>
        <w:t>Print</w:t>
      </w:r>
    </w:p>
    <w:p w14:paraId="37E23366" w14:textId="77777777" w:rsidR="00C070C0" w:rsidRDefault="00C070C0">
      <w:pPr>
        <w:pStyle w:val="OB1"/>
      </w:pPr>
      <w:r>
        <w:t>Route</w:t>
      </w:r>
    </w:p>
    <w:p w14:paraId="7BDAB25B" w14:textId="77777777" w:rsidR="00C070C0" w:rsidRDefault="00C070C0">
      <w:pPr>
        <w:pStyle w:val="OB1"/>
      </w:pPr>
      <w:r>
        <w:t>Mail/electronic correspondence</w:t>
      </w:r>
    </w:p>
    <w:p w14:paraId="0FF95941" w14:textId="41A5084F" w:rsidR="00C070C0" w:rsidRDefault="00C00E35">
      <w:pPr>
        <w:pStyle w:val="LB1"/>
      </w:pPr>
      <w:r>
        <w:t>System/Staff must initiate workflow</w:t>
      </w:r>
    </w:p>
    <w:p w14:paraId="6BE1C064" w14:textId="77777777" w:rsidR="00C070C0" w:rsidRDefault="00C070C0">
      <w:pPr>
        <w:pStyle w:val="OB1"/>
      </w:pPr>
      <w:r>
        <w:t>Pend appeal (waiting for AT documentation)</w:t>
      </w:r>
    </w:p>
    <w:p w14:paraId="4E9EBBDB" w14:textId="07347B55" w:rsidR="00C070C0" w:rsidRDefault="00C070C0">
      <w:pPr>
        <w:pStyle w:val="OB1"/>
      </w:pPr>
      <w:r>
        <w:t>Un-pend appeal</w:t>
      </w:r>
    </w:p>
    <w:p w14:paraId="3A99A064" w14:textId="04DC21A5" w:rsidR="00C070C0" w:rsidRDefault="00026BFB">
      <w:pPr>
        <w:pStyle w:val="LB1"/>
      </w:pPr>
      <w:r>
        <w:t xml:space="preserve">System must include Case Management and Workflow functionality, described in General Process Descriptions, see </w:t>
      </w:r>
      <w:hyperlink w:anchor="_A6.9_General" w:history="1">
        <w:r>
          <w:rPr>
            <w:rStyle w:val="Hyperlink"/>
          </w:rPr>
          <w:t>Attachment A6.9</w:t>
        </w:r>
      </w:hyperlink>
    </w:p>
    <w:p w14:paraId="32AB0262" w14:textId="77777777" w:rsidR="00C070C0" w:rsidRDefault="00C070C0" w:rsidP="00C070C0"/>
    <w:p w14:paraId="65872C36" w14:textId="03F72934" w:rsidR="00C070C0" w:rsidRDefault="00C070C0" w:rsidP="00C070C0">
      <w:pPr>
        <w:rPr>
          <w:u w:val="single"/>
        </w:rPr>
      </w:pPr>
      <w:r w:rsidRPr="00C070C0">
        <w:rPr>
          <w:u w:val="single"/>
        </w:rPr>
        <w:t>Alternate Activities and Special Cases</w:t>
      </w:r>
    </w:p>
    <w:p w14:paraId="1E791D0B" w14:textId="77777777" w:rsidR="004F7DCA" w:rsidRDefault="004F7DCA" w:rsidP="004F7DCA">
      <w:r>
        <w:t>System must support the following alternate activities and special cases:</w:t>
      </w:r>
    </w:p>
    <w:p w14:paraId="0DB7FFD1" w14:textId="77777777" w:rsidR="00C070C0" w:rsidRPr="006D2F48" w:rsidRDefault="00C070C0" w:rsidP="00E16D2D">
      <w:pPr>
        <w:pStyle w:val="LB1"/>
      </w:pPr>
      <w:r w:rsidRPr="006D2F48">
        <w:t>Duplicates</w:t>
      </w:r>
    </w:p>
    <w:p w14:paraId="66DDB37D" w14:textId="77777777" w:rsidR="00C070C0" w:rsidRDefault="00C070C0" w:rsidP="00E16D2D">
      <w:pPr>
        <w:pStyle w:val="LB1"/>
      </w:pPr>
      <w:r>
        <w:t>Appeal tied to archived data</w:t>
      </w:r>
    </w:p>
    <w:p w14:paraId="623BB5F3" w14:textId="77777777" w:rsidR="00C070C0" w:rsidRDefault="00C070C0" w:rsidP="00116640">
      <w:pPr>
        <w:pStyle w:val="LB1"/>
      </w:pPr>
      <w:r>
        <w:t>Favor letters</w:t>
      </w:r>
    </w:p>
    <w:p w14:paraId="27C00891" w14:textId="27DF2BBF" w:rsidR="00C070C0" w:rsidRDefault="00C070C0" w:rsidP="00F82166">
      <w:pPr>
        <w:pStyle w:val="LB1"/>
      </w:pPr>
      <w:r>
        <w:t>Second motion for rehearing</w:t>
      </w:r>
    </w:p>
    <w:p w14:paraId="379E190D" w14:textId="04BAED8A" w:rsidR="0013562D" w:rsidRDefault="0013562D" w:rsidP="00F82166">
      <w:pPr>
        <w:pStyle w:val="LB1"/>
      </w:pPr>
      <w:r>
        <w:t xml:space="preserve">Non-appeal documentation (additional documents) submitted by </w:t>
      </w:r>
      <w:r w:rsidR="00930F59">
        <w:t>Claimant</w:t>
      </w:r>
      <w:r>
        <w:t xml:space="preserve">s or </w:t>
      </w:r>
      <w:r w:rsidR="00930F59">
        <w:t>Employer</w:t>
      </w:r>
      <w:r>
        <w:t>s</w:t>
      </w:r>
    </w:p>
    <w:p w14:paraId="0D155BA0" w14:textId="77777777" w:rsidR="00C070C0" w:rsidRDefault="00C070C0">
      <w:pPr>
        <w:pStyle w:val="LB1"/>
      </w:pPr>
      <w:r>
        <w:t>Ad hoc letters</w:t>
      </w:r>
    </w:p>
    <w:p w14:paraId="0768BE67" w14:textId="77777777" w:rsidR="00C070C0" w:rsidRDefault="00C070C0">
      <w:pPr>
        <w:pStyle w:val="OB1"/>
      </w:pPr>
      <w:r>
        <w:t>Authorization letters</w:t>
      </w:r>
    </w:p>
    <w:p w14:paraId="585D2E83" w14:textId="2FEC490E" w:rsidR="00C070C0" w:rsidRDefault="00C070C0">
      <w:pPr>
        <w:pStyle w:val="OB1"/>
      </w:pPr>
      <w:r>
        <w:t>Void letters</w:t>
      </w:r>
    </w:p>
    <w:p w14:paraId="16BB71DC" w14:textId="20803727" w:rsidR="0013562D" w:rsidRDefault="0013562D">
      <w:pPr>
        <w:pStyle w:val="OB1"/>
      </w:pPr>
      <w:r>
        <w:t>Customized letters</w:t>
      </w:r>
    </w:p>
    <w:p w14:paraId="09CE412B" w14:textId="77777777" w:rsidR="00C070C0" w:rsidRDefault="00C070C0">
      <w:pPr>
        <w:pStyle w:val="LB1"/>
      </w:pPr>
      <w:r>
        <w:t xml:space="preserve">Withdrawals </w:t>
      </w:r>
    </w:p>
    <w:p w14:paraId="48A6BF79" w14:textId="77777777" w:rsidR="00C070C0" w:rsidRDefault="00C070C0">
      <w:pPr>
        <w:pStyle w:val="LB1"/>
      </w:pPr>
      <w:r>
        <w:t>Re-openings</w:t>
      </w:r>
    </w:p>
    <w:p w14:paraId="400C6F48" w14:textId="77777777" w:rsidR="00C070C0" w:rsidRDefault="00C070C0">
      <w:pPr>
        <w:pStyle w:val="LB1"/>
      </w:pPr>
      <w:r>
        <w:t>Resets</w:t>
      </w:r>
    </w:p>
    <w:p w14:paraId="3815ED55" w14:textId="5178612D" w:rsidR="00C070C0" w:rsidRDefault="00C070C0">
      <w:pPr>
        <w:pStyle w:val="LB1"/>
      </w:pPr>
      <w:r>
        <w:t>Cancellations</w:t>
      </w:r>
    </w:p>
    <w:p w14:paraId="50DA2C50" w14:textId="38BC42EC" w:rsidR="0013562D" w:rsidRDefault="0013562D">
      <w:pPr>
        <w:pStyle w:val="LB1"/>
      </w:pPr>
      <w:bookmarkStart w:id="345" w:name="_Hlk525221818"/>
      <w:r>
        <w:t xml:space="preserve">Correction of documents included in the file </w:t>
      </w:r>
      <w:r w:rsidR="00091E06">
        <w:t>or correspondence</w:t>
      </w:r>
    </w:p>
    <w:p w14:paraId="5CE2CEB4" w14:textId="088D622F" w:rsidR="0013562D" w:rsidRDefault="0013562D">
      <w:pPr>
        <w:pStyle w:val="OB1"/>
      </w:pPr>
      <w:r>
        <w:t>Ability to remove and move documents</w:t>
      </w:r>
      <w:r w:rsidR="003C3FC1" w:rsidRPr="003C3FC1">
        <w:t xml:space="preserve"> </w:t>
      </w:r>
      <w:r w:rsidR="003C3FC1">
        <w:t>or correspondence</w:t>
      </w:r>
    </w:p>
    <w:p w14:paraId="0420C0D6" w14:textId="77777777" w:rsidR="0013562D" w:rsidRDefault="0013562D">
      <w:pPr>
        <w:pStyle w:val="OB1"/>
      </w:pPr>
      <w:r>
        <w:t>Letters</w:t>
      </w:r>
    </w:p>
    <w:p w14:paraId="7792855D" w14:textId="77777777" w:rsidR="0013562D" w:rsidRDefault="0013562D">
      <w:pPr>
        <w:pStyle w:val="OB1"/>
      </w:pPr>
      <w:r>
        <w:t>Tracking</w:t>
      </w:r>
    </w:p>
    <w:p w14:paraId="1234DABC" w14:textId="2FACD5C3" w:rsidR="0013562D" w:rsidRDefault="00E64AF4">
      <w:pPr>
        <w:pStyle w:val="OB1"/>
      </w:pPr>
      <w:r>
        <w:t>Edit metadata</w:t>
      </w:r>
    </w:p>
    <w:p w14:paraId="05F2455F" w14:textId="4275B8FA" w:rsidR="00E64AF4" w:rsidRDefault="00E64AF4">
      <w:pPr>
        <w:pStyle w:val="OB1"/>
      </w:pPr>
      <w:r>
        <w:t>Redacting</w:t>
      </w:r>
    </w:p>
    <w:bookmarkEnd w:id="345"/>
    <w:p w14:paraId="3C3E96FE" w14:textId="77777777" w:rsidR="00C070C0" w:rsidRDefault="00C070C0" w:rsidP="00C070C0"/>
    <w:p w14:paraId="205BB0AD" w14:textId="77777777" w:rsidR="0093711D" w:rsidRDefault="0093711D" w:rsidP="0093711D">
      <w:pPr>
        <w:pStyle w:val="Heading4"/>
      </w:pPr>
      <w:bookmarkStart w:id="346" w:name="_Submit_Documentation"/>
      <w:bookmarkEnd w:id="346"/>
      <w:r>
        <w:lastRenderedPageBreak/>
        <w:tab/>
        <w:t>Submit Documentation</w:t>
      </w:r>
    </w:p>
    <w:p w14:paraId="78959EB5" w14:textId="77777777" w:rsidR="0093711D" w:rsidRPr="00B0723C" w:rsidRDefault="0093711D" w:rsidP="0093711D">
      <w:r>
        <w:t>This process includes all activities required to submit documentation.</w:t>
      </w:r>
    </w:p>
    <w:p w14:paraId="1EF678FF" w14:textId="77777777" w:rsidR="0093711D" w:rsidRPr="003A23F0" w:rsidRDefault="0093711D" w:rsidP="0093711D">
      <w:pPr>
        <w:rPr>
          <w:u w:val="single"/>
        </w:rPr>
      </w:pPr>
      <w:r w:rsidRPr="003A23F0">
        <w:rPr>
          <w:u w:val="single"/>
        </w:rPr>
        <w:t>Actors</w:t>
      </w:r>
    </w:p>
    <w:p w14:paraId="708C9032" w14:textId="77777777" w:rsidR="0093711D" w:rsidRDefault="0093711D" w:rsidP="00E16D2D">
      <w:pPr>
        <w:pStyle w:val="LB1"/>
      </w:pPr>
      <w:r>
        <w:t>Staff</w:t>
      </w:r>
    </w:p>
    <w:p w14:paraId="5B84CBE4" w14:textId="77777777" w:rsidR="0093711D" w:rsidRDefault="0093711D" w:rsidP="00E16D2D">
      <w:pPr>
        <w:pStyle w:val="LB1"/>
      </w:pPr>
      <w:r>
        <w:t>Claimants</w:t>
      </w:r>
    </w:p>
    <w:p w14:paraId="108EE23E" w14:textId="77777777" w:rsidR="0093711D" w:rsidRDefault="0093711D" w:rsidP="00116640">
      <w:pPr>
        <w:pStyle w:val="LB1"/>
      </w:pPr>
      <w:r>
        <w:t>Employers</w:t>
      </w:r>
    </w:p>
    <w:p w14:paraId="548A1407" w14:textId="77777777" w:rsidR="0093711D" w:rsidRDefault="0093711D" w:rsidP="00F82166">
      <w:pPr>
        <w:pStyle w:val="LB1"/>
      </w:pPr>
      <w:r>
        <w:t>Attorneys/Representatives</w:t>
      </w:r>
    </w:p>
    <w:p w14:paraId="502F3087" w14:textId="77777777" w:rsidR="0093711D" w:rsidRPr="00DF6567" w:rsidRDefault="0093711D" w:rsidP="0093711D"/>
    <w:p w14:paraId="3D6578AB" w14:textId="77777777" w:rsidR="0093711D" w:rsidRPr="003A23F0" w:rsidRDefault="0093711D" w:rsidP="0093711D">
      <w:pPr>
        <w:rPr>
          <w:u w:val="single"/>
        </w:rPr>
      </w:pPr>
      <w:r w:rsidRPr="003A23F0">
        <w:rPr>
          <w:u w:val="single"/>
        </w:rPr>
        <w:t>Main Activities</w:t>
      </w:r>
    </w:p>
    <w:p w14:paraId="78D318DA" w14:textId="77777777" w:rsidR="0093711D" w:rsidRDefault="0093711D" w:rsidP="00E16D2D">
      <w:pPr>
        <w:pStyle w:val="LB1"/>
      </w:pPr>
      <w:r w:rsidRPr="005D0497">
        <w:t>System must receive and process all incoming correspondence and associate it with an electronic identifier (e.g., SSN</w:t>
      </w:r>
      <w:r>
        <w:t>, Entity ID, alternate ID)</w:t>
      </w:r>
      <w:r w:rsidRPr="005D0497">
        <w:t xml:space="preserve"> </w:t>
      </w:r>
    </w:p>
    <w:p w14:paraId="556D5024" w14:textId="77777777" w:rsidR="0093711D" w:rsidRDefault="0093711D" w:rsidP="00E16D2D">
      <w:pPr>
        <w:pStyle w:val="OB1"/>
      </w:pPr>
      <w:r>
        <w:t>Mail</w:t>
      </w:r>
    </w:p>
    <w:p w14:paraId="5DA8531D" w14:textId="77777777" w:rsidR="0093711D" w:rsidRDefault="0093711D" w:rsidP="00116640">
      <w:pPr>
        <w:pStyle w:val="OB1"/>
      </w:pPr>
      <w:r>
        <w:t>Fax</w:t>
      </w:r>
    </w:p>
    <w:p w14:paraId="1D8957CE" w14:textId="77777777" w:rsidR="0093711D" w:rsidRDefault="0093711D" w:rsidP="00F82166">
      <w:pPr>
        <w:pStyle w:val="OB1"/>
      </w:pPr>
      <w:r>
        <w:t>Online uploads</w:t>
      </w:r>
    </w:p>
    <w:p w14:paraId="38FA2C43" w14:textId="77777777" w:rsidR="0093711D" w:rsidRDefault="0093711D" w:rsidP="00F82166">
      <w:pPr>
        <w:pStyle w:val="OB1"/>
      </w:pPr>
      <w:r>
        <w:t>Email</w:t>
      </w:r>
    </w:p>
    <w:p w14:paraId="7080E98B" w14:textId="77777777" w:rsidR="0093711D" w:rsidRDefault="0093711D">
      <w:pPr>
        <w:pStyle w:val="OB1"/>
      </w:pPr>
      <w:r>
        <w:t>In person</w:t>
      </w:r>
    </w:p>
    <w:p w14:paraId="1C8C6638" w14:textId="77777777" w:rsidR="0093711D" w:rsidRDefault="0093711D">
      <w:pPr>
        <w:pStyle w:val="OB1"/>
      </w:pPr>
      <w:r>
        <w:t>Goal is to associate documents with a case within two (2) hours of receipt</w:t>
      </w:r>
    </w:p>
    <w:p w14:paraId="513A3B66" w14:textId="130F6102" w:rsidR="0093711D" w:rsidRPr="000A5F4F" w:rsidRDefault="0093711D">
      <w:pPr>
        <w:pStyle w:val="LB1"/>
      </w:pPr>
      <w:r w:rsidRPr="000A5F4F">
        <w:t>System</w:t>
      </w:r>
      <w:r w:rsidR="00570F4E" w:rsidRPr="000A5F4F">
        <w:t xml:space="preserve"> must</w:t>
      </w:r>
      <w:r w:rsidRPr="000A5F4F">
        <w:t xml:space="preserve"> capture (e.g., OCR or similar) and store data from incoming documents (both electronic and paper) such as: </w:t>
      </w:r>
    </w:p>
    <w:p w14:paraId="420595B7" w14:textId="6AB32F12" w:rsidR="0093711D" w:rsidRDefault="0093711D">
      <w:pPr>
        <w:pStyle w:val="OB1"/>
      </w:pPr>
      <w:r>
        <w:t>Date received</w:t>
      </w:r>
    </w:p>
    <w:p w14:paraId="6B4D6944" w14:textId="77777777" w:rsidR="0093711D" w:rsidRDefault="0093711D">
      <w:pPr>
        <w:pStyle w:val="OB1"/>
      </w:pPr>
      <w:r w:rsidRPr="005D0497">
        <w:t xml:space="preserve">Method </w:t>
      </w:r>
      <w:r>
        <w:t>received (electronic or paper)</w:t>
      </w:r>
    </w:p>
    <w:p w14:paraId="13CC431A" w14:textId="77777777" w:rsidR="0093711D" w:rsidRDefault="0093711D">
      <w:pPr>
        <w:pStyle w:val="OB1"/>
      </w:pPr>
      <w:r>
        <w:t>Date postmarked and submitted</w:t>
      </w:r>
    </w:p>
    <w:p w14:paraId="1E36F76B" w14:textId="77777777" w:rsidR="0093711D" w:rsidRDefault="0093711D">
      <w:pPr>
        <w:pStyle w:val="OB1"/>
      </w:pPr>
      <w:r>
        <w:t>Document type</w:t>
      </w:r>
    </w:p>
    <w:p w14:paraId="3DBE7579" w14:textId="77777777" w:rsidR="0093711D" w:rsidRDefault="0093711D">
      <w:pPr>
        <w:pStyle w:val="OB1"/>
      </w:pPr>
      <w:r>
        <w:t>Sender information</w:t>
      </w:r>
    </w:p>
    <w:p w14:paraId="4EAD863D" w14:textId="77777777" w:rsidR="0093711D" w:rsidRDefault="0093711D">
      <w:pPr>
        <w:pStyle w:val="OB1"/>
      </w:pPr>
      <w:r>
        <w:t>Document text</w:t>
      </w:r>
    </w:p>
    <w:p w14:paraId="72039F7C" w14:textId="77777777" w:rsidR="0093711D" w:rsidRDefault="0093711D">
      <w:pPr>
        <w:pStyle w:val="OB1"/>
      </w:pPr>
      <w:r>
        <w:t>Etc.</w:t>
      </w:r>
    </w:p>
    <w:p w14:paraId="100A4346" w14:textId="05B063E6" w:rsidR="0093711D" w:rsidRDefault="0093711D">
      <w:pPr>
        <w:pStyle w:val="LB1"/>
      </w:pPr>
      <w:r>
        <w:t>S</w:t>
      </w:r>
      <w:r w:rsidR="00C942DA">
        <w:t>ystem must allow S</w:t>
      </w:r>
      <w:r>
        <w:t xml:space="preserve">taff </w:t>
      </w:r>
      <w:r w:rsidR="00C942DA">
        <w:t>to</w:t>
      </w:r>
      <w:r>
        <w:t xml:space="preserve"> </w:t>
      </w:r>
      <w:r w:rsidRPr="005D0497">
        <w:t>manual</w:t>
      </w:r>
      <w:r>
        <w:t>ly</w:t>
      </w:r>
      <w:r w:rsidRPr="005D0497">
        <w:t xml:space="preserve"> key</w:t>
      </w:r>
      <w:r>
        <w:t xml:space="preserve"> entry of document information</w:t>
      </w:r>
    </w:p>
    <w:p w14:paraId="74C38535" w14:textId="77777777" w:rsidR="0093711D" w:rsidRDefault="0093711D">
      <w:pPr>
        <w:pStyle w:val="LB1"/>
      </w:pPr>
      <w:r>
        <w:t xml:space="preserve">System must </w:t>
      </w:r>
      <w:r w:rsidRPr="005D0497">
        <w:t xml:space="preserve">read bar codes or similar coding to support the automated processing of the item </w:t>
      </w:r>
      <w:r>
        <w:t>when returned by the recipient</w:t>
      </w:r>
    </w:p>
    <w:p w14:paraId="6ED49BEF" w14:textId="77777777" w:rsidR="00CB2709" w:rsidRDefault="00CB2709">
      <w:pPr>
        <w:pStyle w:val="LB1"/>
      </w:pPr>
      <w:r>
        <w:t>System must ingest document information into the CMS and begin workflow</w:t>
      </w:r>
    </w:p>
    <w:p w14:paraId="4AE1A61E" w14:textId="77777777" w:rsidR="0093711D" w:rsidRDefault="0093711D">
      <w:pPr>
        <w:pStyle w:val="OB1"/>
      </w:pPr>
      <w:r>
        <w:t>In person, fax, online, email, and mail</w:t>
      </w:r>
    </w:p>
    <w:p w14:paraId="4DAE9B93" w14:textId="77777777" w:rsidR="0093711D" w:rsidRDefault="0093711D">
      <w:pPr>
        <w:pStyle w:val="OB1"/>
      </w:pPr>
      <w:r>
        <w:t>I</w:t>
      </w:r>
      <w:r w:rsidRPr="005D0497">
        <w:t>ntra- and inter-departmental transfers</w:t>
      </w:r>
    </w:p>
    <w:p w14:paraId="3E93259A" w14:textId="77777777" w:rsidR="0093711D" w:rsidRDefault="0093711D" w:rsidP="0093711D">
      <w:pPr>
        <w:pStyle w:val="KBulletList2"/>
        <w:numPr>
          <w:ilvl w:val="0"/>
          <w:numId w:val="0"/>
        </w:numPr>
      </w:pPr>
    </w:p>
    <w:p w14:paraId="2E165E90" w14:textId="2C5AB4D4" w:rsidR="0093711D" w:rsidRDefault="0093711D" w:rsidP="0093711D">
      <w:pPr>
        <w:rPr>
          <w:u w:val="single"/>
        </w:rPr>
      </w:pPr>
      <w:r w:rsidRPr="00360B14">
        <w:rPr>
          <w:u w:val="single"/>
        </w:rPr>
        <w:t>Alternate Activities and Special Cases</w:t>
      </w:r>
    </w:p>
    <w:p w14:paraId="36E5996B" w14:textId="77777777" w:rsidR="004F7DCA" w:rsidRDefault="004F7DCA" w:rsidP="004F7DCA">
      <w:r>
        <w:t>System must support the following alternate activities and special cases:</w:t>
      </w:r>
    </w:p>
    <w:p w14:paraId="2B367715" w14:textId="70EB152C" w:rsidR="0093711D" w:rsidRDefault="000A5F4F" w:rsidP="00E16D2D">
      <w:pPr>
        <w:pStyle w:val="LB1"/>
      </w:pPr>
      <w:r>
        <w:t>R</w:t>
      </w:r>
      <w:r w:rsidR="0093711D">
        <w:t>eturned mail and bad addresses</w:t>
      </w:r>
    </w:p>
    <w:p w14:paraId="63832004" w14:textId="77777777" w:rsidR="0093711D" w:rsidRDefault="0093711D" w:rsidP="00E16D2D">
      <w:pPr>
        <w:pStyle w:val="LB1"/>
      </w:pPr>
      <w:r>
        <w:t>Submitted documentation prior to Appeal processed</w:t>
      </w:r>
    </w:p>
    <w:p w14:paraId="38702CEB" w14:textId="77777777" w:rsidR="0093711D" w:rsidRDefault="0093711D" w:rsidP="0093711D"/>
    <w:p w14:paraId="410BC966" w14:textId="453B78E5" w:rsidR="0038474B" w:rsidRDefault="0038474B" w:rsidP="0038474B">
      <w:pPr>
        <w:pStyle w:val="Heading4"/>
      </w:pPr>
      <w:r>
        <w:lastRenderedPageBreak/>
        <w:tab/>
      </w:r>
      <w:r w:rsidR="00FF284B">
        <w:t>Assign to Reviewing Attorney</w:t>
      </w:r>
    </w:p>
    <w:p w14:paraId="7C3A12FD" w14:textId="4235AF8D" w:rsidR="0038474B" w:rsidRPr="00B0723C" w:rsidRDefault="00FF284B" w:rsidP="0038474B">
      <w:r>
        <w:t>This process includes all activities required to assign an appeal to a Reviewing Attorney</w:t>
      </w:r>
      <w:r w:rsidR="00A55591">
        <w:t xml:space="preserve"> (RA)</w:t>
      </w:r>
      <w:r w:rsidR="0038474B">
        <w:t>.</w:t>
      </w:r>
    </w:p>
    <w:p w14:paraId="5AF75D68" w14:textId="77777777" w:rsidR="0038474B" w:rsidRPr="003A23F0" w:rsidRDefault="0038474B" w:rsidP="0038474B">
      <w:pPr>
        <w:rPr>
          <w:u w:val="single"/>
        </w:rPr>
      </w:pPr>
      <w:r w:rsidRPr="003A23F0">
        <w:rPr>
          <w:u w:val="single"/>
        </w:rPr>
        <w:t>Actors</w:t>
      </w:r>
    </w:p>
    <w:p w14:paraId="5EC75564" w14:textId="77777777" w:rsidR="0038474B" w:rsidRDefault="0038474B" w:rsidP="00E16D2D">
      <w:pPr>
        <w:pStyle w:val="LB1"/>
      </w:pPr>
      <w:r>
        <w:t>Staff</w:t>
      </w:r>
    </w:p>
    <w:p w14:paraId="2023CBC6" w14:textId="77777777" w:rsidR="0038474B" w:rsidRPr="00DF6567" w:rsidRDefault="0038474B" w:rsidP="0038474B"/>
    <w:p w14:paraId="184D3ABB" w14:textId="77777777" w:rsidR="0038474B" w:rsidRPr="003A23F0" w:rsidRDefault="0038474B" w:rsidP="0038474B">
      <w:pPr>
        <w:rPr>
          <w:u w:val="single"/>
        </w:rPr>
      </w:pPr>
      <w:r w:rsidRPr="003A23F0">
        <w:rPr>
          <w:u w:val="single"/>
        </w:rPr>
        <w:t>Main Activities</w:t>
      </w:r>
    </w:p>
    <w:p w14:paraId="02D19ED4" w14:textId="12CEBE5D" w:rsidR="00FF284B" w:rsidRDefault="00943281" w:rsidP="00E16D2D">
      <w:pPr>
        <w:pStyle w:val="LB1"/>
      </w:pPr>
      <w:r>
        <w:t xml:space="preserve">System must allow Staff to </w:t>
      </w:r>
      <w:r w:rsidR="00FF284B">
        <w:t>set assignment criteria</w:t>
      </w:r>
    </w:p>
    <w:p w14:paraId="3EC6DA39" w14:textId="77777777" w:rsidR="00FF284B" w:rsidRDefault="00FF284B" w:rsidP="00E16D2D">
      <w:pPr>
        <w:pStyle w:val="OB1"/>
      </w:pPr>
      <w:r>
        <w:t>Default recording minute assignment based on the inventory of cases</w:t>
      </w:r>
    </w:p>
    <w:p w14:paraId="6DAE80D1" w14:textId="77777777" w:rsidR="00FF284B" w:rsidRDefault="00FF284B" w:rsidP="00116640">
      <w:pPr>
        <w:pStyle w:val="OB1"/>
      </w:pPr>
      <w:r>
        <w:t>Maximum number of cases</w:t>
      </w:r>
    </w:p>
    <w:p w14:paraId="5A90C70A" w14:textId="77777777" w:rsidR="00FF284B" w:rsidRDefault="00FF284B" w:rsidP="00F82166">
      <w:pPr>
        <w:pStyle w:val="OB1"/>
      </w:pPr>
      <w:r>
        <w:t>Maximum number of MRs per week</w:t>
      </w:r>
    </w:p>
    <w:p w14:paraId="7F30A0DF" w14:textId="77777777" w:rsidR="00FF284B" w:rsidRDefault="00FF284B" w:rsidP="00F82166">
      <w:pPr>
        <w:pStyle w:val="OB1"/>
      </w:pPr>
      <w:r>
        <w:t>Target docket</w:t>
      </w:r>
    </w:p>
    <w:p w14:paraId="07988DD7" w14:textId="149EB5B3" w:rsidR="00FF284B" w:rsidRDefault="00FF284B">
      <w:pPr>
        <w:pStyle w:val="LB1"/>
      </w:pPr>
      <w:r>
        <w:t>System must automatically assign appeals to R</w:t>
      </w:r>
      <w:r w:rsidR="00EB4C68">
        <w:t>A</w:t>
      </w:r>
      <w:r>
        <w:t>s</w:t>
      </w:r>
    </w:p>
    <w:p w14:paraId="02862A48" w14:textId="04D7C4A6" w:rsidR="00FF284B" w:rsidRDefault="00FF284B">
      <w:pPr>
        <w:pStyle w:val="OB1"/>
      </w:pPr>
      <w:r>
        <w:t>Balance workload among RAs based on skillset, hearing minutes, absences (e.g., holiday, vacation, sick, etc.)</w:t>
      </w:r>
    </w:p>
    <w:p w14:paraId="7010AFF8" w14:textId="12AC7CB2" w:rsidR="00FF284B" w:rsidRDefault="00943281">
      <w:pPr>
        <w:pStyle w:val="LB1"/>
      </w:pPr>
      <w:r>
        <w:t xml:space="preserve">System must allow Staff to </w:t>
      </w:r>
      <w:r w:rsidR="00FF284B">
        <w:t>override system assignments</w:t>
      </w:r>
    </w:p>
    <w:p w14:paraId="4B3BB68E" w14:textId="74CF88B0" w:rsidR="00FF284B" w:rsidRDefault="00943281">
      <w:pPr>
        <w:pStyle w:val="LB1"/>
      </w:pPr>
      <w:r>
        <w:t>System must allow Staff to g</w:t>
      </w:r>
      <w:r w:rsidR="00FF284B">
        <w:t>enerate assignment list for all attorneys (</w:t>
      </w:r>
      <w:r>
        <w:t>e.g., using a d</w:t>
      </w:r>
      <w:r w:rsidR="00FF284B">
        <w:t>ashboard)</w:t>
      </w:r>
      <w:r>
        <w:t>:</w:t>
      </w:r>
    </w:p>
    <w:p w14:paraId="427627B9" w14:textId="77777777" w:rsidR="0013562D" w:rsidRDefault="0013562D">
      <w:pPr>
        <w:pStyle w:val="OB1"/>
      </w:pPr>
      <w:r>
        <w:t>Case load</w:t>
      </w:r>
    </w:p>
    <w:p w14:paraId="49DEAF96" w14:textId="77777777" w:rsidR="0013562D" w:rsidRDefault="0013562D">
      <w:pPr>
        <w:pStyle w:val="OB1"/>
      </w:pPr>
      <w:r>
        <w:t>Status by case</w:t>
      </w:r>
    </w:p>
    <w:p w14:paraId="7F02DCFD" w14:textId="77777777" w:rsidR="0013562D" w:rsidRDefault="0013562D">
      <w:pPr>
        <w:pStyle w:val="OB1"/>
      </w:pPr>
      <w:r>
        <w:t xml:space="preserve">Appeal Age at assignment </w:t>
      </w:r>
    </w:p>
    <w:p w14:paraId="2BE4CB66" w14:textId="43A47195" w:rsidR="0013562D" w:rsidRDefault="006B0AE3">
      <w:pPr>
        <w:pStyle w:val="LB1"/>
      </w:pPr>
      <w:r>
        <w:t xml:space="preserve">System must include a </w:t>
      </w:r>
      <w:r w:rsidR="0013562D">
        <w:t>Management Assignment Dashboard</w:t>
      </w:r>
    </w:p>
    <w:p w14:paraId="035BDAB4" w14:textId="77777777" w:rsidR="0013562D" w:rsidRDefault="0013562D">
      <w:pPr>
        <w:pStyle w:val="OB1"/>
      </w:pPr>
      <w:r>
        <w:t>Searchable</w:t>
      </w:r>
    </w:p>
    <w:p w14:paraId="75E1EC47" w14:textId="77777777" w:rsidR="0013562D" w:rsidRDefault="0013562D">
      <w:pPr>
        <w:pStyle w:val="OB1"/>
      </w:pPr>
      <w:r>
        <w:t>Cases not making target docket flag/alert</w:t>
      </w:r>
    </w:p>
    <w:p w14:paraId="7732452B" w14:textId="7483595B" w:rsidR="0013562D" w:rsidRDefault="00A55591">
      <w:pPr>
        <w:pStyle w:val="OB1"/>
      </w:pPr>
      <w:r>
        <w:t>RA</w:t>
      </w:r>
      <w:r w:rsidR="0013562D">
        <w:t xml:space="preserve"> date and docket number Sortable</w:t>
      </w:r>
    </w:p>
    <w:p w14:paraId="6587DE8F" w14:textId="5E9479AE" w:rsidR="0013562D" w:rsidRDefault="0013562D">
      <w:pPr>
        <w:pStyle w:val="OB1"/>
      </w:pPr>
      <w:r>
        <w:t>Translation Status/missed Docket</w:t>
      </w:r>
    </w:p>
    <w:p w14:paraId="257C1845" w14:textId="77777777" w:rsidR="00FF284B" w:rsidRDefault="00FF284B" w:rsidP="00FF284B"/>
    <w:p w14:paraId="24BBE4DC" w14:textId="780E1870" w:rsidR="00FF284B" w:rsidRDefault="00FF284B" w:rsidP="00FF284B">
      <w:pPr>
        <w:rPr>
          <w:u w:val="single"/>
        </w:rPr>
      </w:pPr>
      <w:r w:rsidRPr="00FF284B">
        <w:rPr>
          <w:u w:val="single"/>
        </w:rPr>
        <w:t>Alternate Activities and Special Cases</w:t>
      </w:r>
    </w:p>
    <w:p w14:paraId="14577255" w14:textId="77777777" w:rsidR="004F7DCA" w:rsidRDefault="004F7DCA" w:rsidP="004F7DCA">
      <w:r>
        <w:t>System must support the following alternate activities and special cases:</w:t>
      </w:r>
    </w:p>
    <w:p w14:paraId="5747A4F0" w14:textId="77777777" w:rsidR="00FF284B" w:rsidRDefault="00FF284B" w:rsidP="00E16D2D">
      <w:pPr>
        <w:pStyle w:val="LB1"/>
      </w:pPr>
      <w:r>
        <w:t>Expedited cases must be assigned immediately</w:t>
      </w:r>
    </w:p>
    <w:p w14:paraId="728F5CEE" w14:textId="77777777" w:rsidR="00FF284B" w:rsidRDefault="00FF284B" w:rsidP="00E16D2D">
      <w:pPr>
        <w:pStyle w:val="LB1"/>
      </w:pPr>
      <w:r>
        <w:t>Companion cases</w:t>
      </w:r>
    </w:p>
    <w:p w14:paraId="00ED1D30" w14:textId="77777777" w:rsidR="00FF284B" w:rsidRDefault="00FF284B" w:rsidP="00116640">
      <w:pPr>
        <w:pStyle w:val="LB1"/>
      </w:pPr>
      <w:r>
        <w:t>Multi-claims</w:t>
      </w:r>
    </w:p>
    <w:p w14:paraId="23855E55" w14:textId="77777777" w:rsidR="00FF284B" w:rsidRDefault="00FF284B" w:rsidP="00F82166">
      <w:pPr>
        <w:pStyle w:val="LB1"/>
      </w:pPr>
      <w:r>
        <w:t>Special requests from management</w:t>
      </w:r>
    </w:p>
    <w:p w14:paraId="4E809694" w14:textId="77777777" w:rsidR="00FF284B" w:rsidRDefault="00FF284B" w:rsidP="00F82166">
      <w:pPr>
        <w:pStyle w:val="LB1"/>
      </w:pPr>
      <w:r>
        <w:t>Send cases for translation</w:t>
      </w:r>
    </w:p>
    <w:p w14:paraId="361D9DD8" w14:textId="40ADF647" w:rsidR="00FF284B" w:rsidRDefault="00FF284B">
      <w:pPr>
        <w:pStyle w:val="OB1"/>
      </w:pPr>
      <w:r>
        <w:t>System flags</w:t>
      </w:r>
      <w:r w:rsidR="00AE69E6">
        <w:t>/alerts</w:t>
      </w:r>
      <w:r>
        <w:t xml:space="preserve"> Staff when translation complete</w:t>
      </w:r>
      <w:r w:rsidR="00AE69E6">
        <w:t xml:space="preserve"> in real-time</w:t>
      </w:r>
    </w:p>
    <w:p w14:paraId="65648F33" w14:textId="41C16362" w:rsidR="0038474B" w:rsidRDefault="0038474B" w:rsidP="00FF284B"/>
    <w:p w14:paraId="41554673" w14:textId="6B0EB654" w:rsidR="0038474B" w:rsidRDefault="0038474B" w:rsidP="0038474B">
      <w:pPr>
        <w:pStyle w:val="Heading4"/>
      </w:pPr>
      <w:r>
        <w:lastRenderedPageBreak/>
        <w:tab/>
      </w:r>
      <w:r w:rsidR="00FF284B" w:rsidRPr="00F67CDB">
        <w:t>Attorney Review</w:t>
      </w:r>
    </w:p>
    <w:p w14:paraId="7F7C7E5E" w14:textId="23258133" w:rsidR="0038474B" w:rsidRPr="00B0723C" w:rsidRDefault="00FF284B" w:rsidP="0038474B">
      <w:r>
        <w:t>This process includes all activities required to produce a recommendation for the Commissioners</w:t>
      </w:r>
      <w:r w:rsidR="0038474B">
        <w:t>.</w:t>
      </w:r>
    </w:p>
    <w:p w14:paraId="6608DF1F" w14:textId="77777777" w:rsidR="0038474B" w:rsidRPr="003A23F0" w:rsidRDefault="0038474B" w:rsidP="0038474B">
      <w:pPr>
        <w:rPr>
          <w:u w:val="single"/>
        </w:rPr>
      </w:pPr>
      <w:r w:rsidRPr="003A23F0">
        <w:rPr>
          <w:u w:val="single"/>
        </w:rPr>
        <w:t>Actors</w:t>
      </w:r>
    </w:p>
    <w:p w14:paraId="7D649594" w14:textId="77777777" w:rsidR="0038474B" w:rsidRDefault="0038474B" w:rsidP="00E16D2D">
      <w:pPr>
        <w:pStyle w:val="LB1"/>
      </w:pPr>
      <w:r>
        <w:t>Staff</w:t>
      </w:r>
    </w:p>
    <w:p w14:paraId="16CB4F7F" w14:textId="77777777" w:rsidR="0038474B" w:rsidRPr="00DF6567" w:rsidRDefault="0038474B" w:rsidP="0038474B"/>
    <w:p w14:paraId="10B57103" w14:textId="77777777" w:rsidR="0038474B" w:rsidRPr="003A23F0" w:rsidRDefault="0038474B" w:rsidP="0038474B">
      <w:pPr>
        <w:rPr>
          <w:u w:val="single"/>
        </w:rPr>
      </w:pPr>
      <w:r w:rsidRPr="003A23F0">
        <w:rPr>
          <w:u w:val="single"/>
        </w:rPr>
        <w:t>Main Activities</w:t>
      </w:r>
    </w:p>
    <w:p w14:paraId="1CA3F81A" w14:textId="77777777" w:rsidR="00FF284B" w:rsidRDefault="00FF284B" w:rsidP="00E16D2D">
      <w:pPr>
        <w:pStyle w:val="LB1"/>
      </w:pPr>
      <w:r>
        <w:t xml:space="preserve">System must generate </w:t>
      </w:r>
      <w:r w:rsidRPr="005C52DC">
        <w:rPr>
          <w:rStyle w:val="LB1Char"/>
        </w:rPr>
        <w:t>attorney</w:t>
      </w:r>
      <w:r>
        <w:t xml:space="preserve"> dashboard</w:t>
      </w:r>
    </w:p>
    <w:p w14:paraId="5971BACF" w14:textId="77777777" w:rsidR="00FF284B" w:rsidRDefault="00FF284B" w:rsidP="00E16D2D">
      <w:pPr>
        <w:pStyle w:val="OB1"/>
      </w:pPr>
      <w:r>
        <w:t>Case load (weekly quota)</w:t>
      </w:r>
    </w:p>
    <w:p w14:paraId="228E90C2" w14:textId="77777777" w:rsidR="006B0AE3" w:rsidRDefault="006B0AE3" w:rsidP="00116640">
      <w:pPr>
        <w:pStyle w:val="OB1"/>
      </w:pPr>
      <w:r>
        <w:t>Status by case</w:t>
      </w:r>
    </w:p>
    <w:p w14:paraId="7B188E55" w14:textId="307F02A0" w:rsidR="00FF284B" w:rsidRDefault="006B0AE3" w:rsidP="00F82166">
      <w:pPr>
        <w:pStyle w:val="OB1"/>
      </w:pPr>
      <w:r>
        <w:t xml:space="preserve">Show the current assignment and all prior assigned cases not yet mailed </w:t>
      </w:r>
      <w:r w:rsidR="000973E4">
        <w:t xml:space="preserve">easily viewable on one </w:t>
      </w:r>
      <w:r>
        <w:t>screen</w:t>
      </w:r>
    </w:p>
    <w:p w14:paraId="7D7B6B0C" w14:textId="28279106" w:rsidR="00FF284B" w:rsidRDefault="00FF284B" w:rsidP="00F82166">
      <w:pPr>
        <w:pStyle w:val="LB1"/>
      </w:pPr>
      <w:r>
        <w:t>System must allow RA to select a specific case and display</w:t>
      </w:r>
      <w:r w:rsidR="009B1793">
        <w:t xml:space="preserve"> </w:t>
      </w:r>
      <w:r>
        <w:t>UI and appeals information such as</w:t>
      </w:r>
    </w:p>
    <w:p w14:paraId="02C6A007" w14:textId="77777777" w:rsidR="00FF284B" w:rsidRDefault="00FF284B">
      <w:pPr>
        <w:pStyle w:val="OB1"/>
      </w:pPr>
      <w:r>
        <w:t>Underlying determinations</w:t>
      </w:r>
    </w:p>
    <w:p w14:paraId="18F5D8FA" w14:textId="77777777" w:rsidR="00FF284B" w:rsidRDefault="00FF284B">
      <w:pPr>
        <w:pStyle w:val="OB1"/>
      </w:pPr>
      <w:r>
        <w:t>Address change history</w:t>
      </w:r>
    </w:p>
    <w:p w14:paraId="2A91BDA6" w14:textId="77777777" w:rsidR="00FF284B" w:rsidRDefault="00FF284B">
      <w:pPr>
        <w:pStyle w:val="OB1"/>
      </w:pPr>
      <w:r>
        <w:t>AT decision</w:t>
      </w:r>
    </w:p>
    <w:p w14:paraId="34255715" w14:textId="77777777" w:rsidR="00FF284B" w:rsidRDefault="00FF284B">
      <w:pPr>
        <w:pStyle w:val="OB1"/>
      </w:pPr>
      <w:r>
        <w:t>Correspondence list</w:t>
      </w:r>
    </w:p>
    <w:p w14:paraId="178A88F0" w14:textId="77777777" w:rsidR="00FF284B" w:rsidRDefault="00FF284B">
      <w:pPr>
        <w:pStyle w:val="OB1"/>
      </w:pPr>
      <w:r>
        <w:t>Wage credit detail</w:t>
      </w:r>
    </w:p>
    <w:p w14:paraId="38B41D87" w14:textId="77777777" w:rsidR="00FF284B" w:rsidRDefault="00FF284B">
      <w:pPr>
        <w:pStyle w:val="OB1"/>
      </w:pPr>
      <w:r>
        <w:t>Case documentation</w:t>
      </w:r>
    </w:p>
    <w:p w14:paraId="70DDA2AD" w14:textId="0D45C10D" w:rsidR="00FF284B" w:rsidRDefault="00A55591">
      <w:pPr>
        <w:pStyle w:val="OB1"/>
      </w:pPr>
      <w:r>
        <w:t>EMPRESP</w:t>
      </w:r>
      <w:r w:rsidR="00FF284B">
        <w:t xml:space="preserve"> </w:t>
      </w:r>
      <w:r w:rsidR="00671087">
        <w:t>information</w:t>
      </w:r>
    </w:p>
    <w:p w14:paraId="3DE1C1BC" w14:textId="58E7911A" w:rsidR="004F20D8" w:rsidRDefault="004F20D8">
      <w:pPr>
        <w:pStyle w:val="OB1"/>
      </w:pPr>
      <w:r>
        <w:t>Claim certifications filing history</w:t>
      </w:r>
    </w:p>
    <w:p w14:paraId="6F23AAFD" w14:textId="4C1705CD" w:rsidR="004F20D8" w:rsidRDefault="004F20D8">
      <w:pPr>
        <w:pStyle w:val="OB1"/>
      </w:pPr>
      <w:r>
        <w:t>Staff notes</w:t>
      </w:r>
    </w:p>
    <w:p w14:paraId="01B6B080" w14:textId="55F4DE70" w:rsidR="00FF284B" w:rsidRDefault="006F76FC">
      <w:pPr>
        <w:pStyle w:val="LB1"/>
      </w:pPr>
      <w:r>
        <w:t>System must g</w:t>
      </w:r>
      <w:r w:rsidR="00FF284B">
        <w:t>enerate attorney recommendation documents based on templates with versioning including</w:t>
      </w:r>
    </w:p>
    <w:p w14:paraId="589DD678" w14:textId="1603EAD3" w:rsidR="00FF284B" w:rsidRDefault="00FF284B">
      <w:pPr>
        <w:pStyle w:val="OB1"/>
      </w:pPr>
      <w:r>
        <w:t>Cover Sheet (see</w:t>
      </w:r>
      <w:r w:rsidR="00671087">
        <w:t xml:space="preserve"> </w:t>
      </w:r>
      <w:hyperlink w:anchor="_Cover_Sheet_(Anonymized)" w:history="1">
        <w:r w:rsidR="00671087" w:rsidRPr="00671087">
          <w:rPr>
            <w:rStyle w:val="Hyperlink"/>
          </w:rPr>
          <w:t>Attachment 9 -</w:t>
        </w:r>
        <w:r w:rsidRPr="00671087">
          <w:rPr>
            <w:rStyle w:val="Hyperlink"/>
          </w:rPr>
          <w:t xml:space="preserve"> Anonymized sample</w:t>
        </w:r>
      </w:hyperlink>
      <w:r>
        <w:t>)</w:t>
      </w:r>
    </w:p>
    <w:p w14:paraId="3A39ADBC" w14:textId="77777777" w:rsidR="00FF284B" w:rsidRDefault="00FF284B" w:rsidP="005C52DC">
      <w:pPr>
        <w:pStyle w:val="SB1"/>
      </w:pPr>
      <w:r>
        <w:t>Case Number</w:t>
      </w:r>
    </w:p>
    <w:p w14:paraId="51CAE49B" w14:textId="77777777" w:rsidR="00FF284B" w:rsidRDefault="00FF284B" w:rsidP="005C52DC">
      <w:pPr>
        <w:pStyle w:val="SB1"/>
      </w:pPr>
      <w:r>
        <w:t>SSN</w:t>
      </w:r>
    </w:p>
    <w:p w14:paraId="6FB0E9F1" w14:textId="77777777" w:rsidR="00FF284B" w:rsidRDefault="00FF284B" w:rsidP="005C52DC">
      <w:pPr>
        <w:pStyle w:val="SB1"/>
      </w:pPr>
      <w:r>
        <w:t>Issues</w:t>
      </w:r>
    </w:p>
    <w:p w14:paraId="710BC85F" w14:textId="77777777" w:rsidR="00FF284B" w:rsidRDefault="00FF284B" w:rsidP="005C52DC">
      <w:pPr>
        <w:pStyle w:val="SB1"/>
      </w:pPr>
      <w:r>
        <w:t>Claim type</w:t>
      </w:r>
    </w:p>
    <w:p w14:paraId="6C12CE3C" w14:textId="77777777" w:rsidR="00FF284B" w:rsidRDefault="00FF284B" w:rsidP="005C52DC">
      <w:pPr>
        <w:pStyle w:val="SB1"/>
      </w:pPr>
      <w:r>
        <w:t>Appearances</w:t>
      </w:r>
    </w:p>
    <w:p w14:paraId="287EB907" w14:textId="77777777" w:rsidR="00FF284B" w:rsidRDefault="00FF284B" w:rsidP="005C52DC">
      <w:pPr>
        <w:pStyle w:val="SB1"/>
      </w:pPr>
      <w:r>
        <w:t>Determinations</w:t>
      </w:r>
    </w:p>
    <w:p w14:paraId="208D044E" w14:textId="4DF8087E" w:rsidR="00FF284B" w:rsidRDefault="00A55591" w:rsidP="005C52DC">
      <w:pPr>
        <w:pStyle w:val="SB1"/>
      </w:pPr>
      <w:r>
        <w:t>RA</w:t>
      </w:r>
    </w:p>
    <w:p w14:paraId="5CEAF81B" w14:textId="77777777" w:rsidR="00FF284B" w:rsidRDefault="00FF284B" w:rsidP="005C52DC">
      <w:pPr>
        <w:pStyle w:val="SB1"/>
      </w:pPr>
      <w:r>
        <w:t>Docket</w:t>
      </w:r>
    </w:p>
    <w:p w14:paraId="3D3D007F" w14:textId="77777777" w:rsidR="00FF284B" w:rsidRDefault="00FF284B" w:rsidP="005C52DC">
      <w:pPr>
        <w:pStyle w:val="SB1"/>
      </w:pPr>
      <w:r>
        <w:t>AT Decision</w:t>
      </w:r>
    </w:p>
    <w:p w14:paraId="6848D60F" w14:textId="77777777" w:rsidR="00FF284B" w:rsidRDefault="00FF284B" w:rsidP="005C52DC">
      <w:pPr>
        <w:pStyle w:val="SB1"/>
      </w:pPr>
      <w:r>
        <w:t>Hearing Officer</w:t>
      </w:r>
    </w:p>
    <w:p w14:paraId="4D48FA0E" w14:textId="77777777" w:rsidR="00FF284B" w:rsidRDefault="00FF284B" w:rsidP="005C52DC">
      <w:pPr>
        <w:pStyle w:val="SB1"/>
      </w:pPr>
      <w:r>
        <w:t>Length of Hearing</w:t>
      </w:r>
    </w:p>
    <w:p w14:paraId="03ADC78D" w14:textId="77777777" w:rsidR="00FF284B" w:rsidRDefault="00FF284B" w:rsidP="005C52DC">
      <w:pPr>
        <w:pStyle w:val="SB1"/>
      </w:pPr>
      <w:r>
        <w:t>Recommendation Code</w:t>
      </w:r>
    </w:p>
    <w:p w14:paraId="3CCD253E" w14:textId="77777777" w:rsidR="00FF284B" w:rsidRDefault="00FF284B" w:rsidP="005C52DC">
      <w:pPr>
        <w:pStyle w:val="SB1"/>
      </w:pPr>
      <w:r>
        <w:lastRenderedPageBreak/>
        <w:t>Insert information using preformatted text templates including retrieving data from UI/Appeals system</w:t>
      </w:r>
    </w:p>
    <w:p w14:paraId="251A9E22" w14:textId="77777777" w:rsidR="00FF284B" w:rsidRDefault="00FF284B" w:rsidP="005C52DC">
      <w:pPr>
        <w:pStyle w:val="SB1"/>
      </w:pPr>
      <w:r>
        <w:t>Insert ad hoc text</w:t>
      </w:r>
    </w:p>
    <w:p w14:paraId="4F33EEE8" w14:textId="5448AC78" w:rsidR="00AE69E6" w:rsidRDefault="00AE69E6" w:rsidP="00AE69E6">
      <w:pPr>
        <w:pStyle w:val="SB1"/>
      </w:pPr>
      <w:r>
        <w:t>Needs a check box for Ack</w:t>
      </w:r>
      <w:r w:rsidR="00AD24CC">
        <w:t>nowledgement</w:t>
      </w:r>
      <w:r>
        <w:t xml:space="preserve"> Letter Change</w:t>
      </w:r>
    </w:p>
    <w:p w14:paraId="16611ACB" w14:textId="77777777" w:rsidR="00AE69E6" w:rsidRDefault="00AE69E6" w:rsidP="00AE69E6">
      <w:pPr>
        <w:pStyle w:val="SB1"/>
      </w:pPr>
      <w:r>
        <w:t xml:space="preserve">Needs a check box for simple affirm decision </w:t>
      </w:r>
    </w:p>
    <w:p w14:paraId="264D8F6D" w14:textId="77777777" w:rsidR="00AE69E6" w:rsidRDefault="00AE69E6" w:rsidP="00AE69E6">
      <w:pPr>
        <w:pStyle w:val="SB1"/>
      </w:pPr>
      <w:r>
        <w:t>Needs a check box for simple deny MR</w:t>
      </w:r>
    </w:p>
    <w:p w14:paraId="08840C7D" w14:textId="77777777" w:rsidR="00AE69E6" w:rsidRDefault="00AE69E6" w:rsidP="00AE69E6">
      <w:pPr>
        <w:pStyle w:val="SB1"/>
      </w:pPr>
      <w:r>
        <w:t>Needs a set of check boxes for the Distribution Stamp (Claimant, Claimant Attorney, Employer, Employer Attorney, File, Additional Addresses</w:t>
      </w:r>
    </w:p>
    <w:p w14:paraId="3CBBB718" w14:textId="1563C2B7" w:rsidR="00AE69E6" w:rsidRDefault="00AE69E6" w:rsidP="00AE69E6">
      <w:pPr>
        <w:pStyle w:val="SB1"/>
      </w:pPr>
      <w:r>
        <w:t>Users must be able to add and modify fields</w:t>
      </w:r>
      <w:r w:rsidR="001C5142">
        <w:t xml:space="preserve"> on form templates</w:t>
      </w:r>
      <w:r>
        <w:t xml:space="preserve"> within the </w:t>
      </w:r>
      <w:r w:rsidR="001C5142">
        <w:t xml:space="preserve">System </w:t>
      </w:r>
      <w:r>
        <w:t>with</w:t>
      </w:r>
      <w:r w:rsidR="001C5142">
        <w:t xml:space="preserve"> minimal </w:t>
      </w:r>
      <w:r>
        <w:t xml:space="preserve">need to seek outside programming assistance </w:t>
      </w:r>
    </w:p>
    <w:p w14:paraId="3F8AE11A" w14:textId="59CDE85E" w:rsidR="00FF284B" w:rsidRDefault="00FF284B" w:rsidP="00E16D2D">
      <w:pPr>
        <w:pStyle w:val="OB1"/>
      </w:pPr>
      <w:r>
        <w:t xml:space="preserve">Case Summary (see </w:t>
      </w:r>
      <w:hyperlink w:anchor="_Case_Summary_(Anonymized)" w:history="1">
        <w:r w:rsidR="00671087" w:rsidRPr="00671087">
          <w:rPr>
            <w:rStyle w:val="Hyperlink"/>
          </w:rPr>
          <w:t>Attachment 9 - Anonymized sample</w:t>
        </w:r>
      </w:hyperlink>
      <w:r>
        <w:t>)</w:t>
      </w:r>
    </w:p>
    <w:p w14:paraId="1455DB09" w14:textId="326C9D23" w:rsidR="000973E4" w:rsidRDefault="000973E4" w:rsidP="005C52DC">
      <w:pPr>
        <w:pStyle w:val="SB1"/>
      </w:pPr>
      <w:r>
        <w:t>Indicator that a Case Summary is a supplement to the original</w:t>
      </w:r>
    </w:p>
    <w:p w14:paraId="4DEA7624" w14:textId="115C131C" w:rsidR="00FF284B" w:rsidRDefault="00FF284B" w:rsidP="005C52DC">
      <w:pPr>
        <w:pStyle w:val="SB1"/>
      </w:pPr>
      <w:r>
        <w:t>Procedural note</w:t>
      </w:r>
    </w:p>
    <w:p w14:paraId="36C318CC" w14:textId="77777777" w:rsidR="00FF284B" w:rsidRDefault="00FF284B" w:rsidP="005C52DC">
      <w:pPr>
        <w:pStyle w:val="SB1"/>
      </w:pPr>
      <w:r>
        <w:t>Employer and/or Claimant testimony</w:t>
      </w:r>
    </w:p>
    <w:p w14:paraId="759B1C27" w14:textId="271759EC" w:rsidR="00FF284B" w:rsidRDefault="00FF284B" w:rsidP="005C52DC">
      <w:pPr>
        <w:pStyle w:val="SB1"/>
      </w:pPr>
      <w:r>
        <w:t xml:space="preserve">File </w:t>
      </w:r>
      <w:r w:rsidR="00671087">
        <w:t>documents</w:t>
      </w:r>
    </w:p>
    <w:p w14:paraId="5A940066" w14:textId="77777777" w:rsidR="00FF284B" w:rsidRDefault="00FF284B" w:rsidP="005C52DC">
      <w:pPr>
        <w:pStyle w:val="SB1"/>
      </w:pPr>
      <w:r>
        <w:t xml:space="preserve">AT Decision </w:t>
      </w:r>
    </w:p>
    <w:p w14:paraId="7AE0292F" w14:textId="77777777" w:rsidR="00FF284B" w:rsidRDefault="00FF284B" w:rsidP="005C52DC">
      <w:pPr>
        <w:pStyle w:val="SB1"/>
      </w:pPr>
      <w:r>
        <w:t>CA Appeal</w:t>
      </w:r>
    </w:p>
    <w:p w14:paraId="0498F201" w14:textId="77777777" w:rsidR="00FF284B" w:rsidRDefault="00FF284B" w:rsidP="005C52DC">
      <w:pPr>
        <w:pStyle w:val="SB1"/>
      </w:pPr>
      <w:r>
        <w:t>Recommendation</w:t>
      </w:r>
    </w:p>
    <w:p w14:paraId="7A88C2A3" w14:textId="77777777" w:rsidR="00FF284B" w:rsidRDefault="00FF284B" w:rsidP="005C52DC">
      <w:pPr>
        <w:pStyle w:val="SB1"/>
      </w:pPr>
      <w:r>
        <w:t xml:space="preserve">Insert statements using preformatted text templates including retrieving data from UI/Appeals system </w:t>
      </w:r>
    </w:p>
    <w:p w14:paraId="6B9FE2D8" w14:textId="7CFB0167" w:rsidR="00FF284B" w:rsidRDefault="00FF284B" w:rsidP="005C52DC">
      <w:pPr>
        <w:pStyle w:val="SB1"/>
      </w:pPr>
      <w:r>
        <w:t>Insert ad hoc text</w:t>
      </w:r>
    </w:p>
    <w:p w14:paraId="4471D264" w14:textId="4EA835F9" w:rsidR="00AE69E6" w:rsidRDefault="00AE69E6" w:rsidP="005C52DC">
      <w:pPr>
        <w:pStyle w:val="SB1"/>
      </w:pPr>
      <w:r>
        <w:t xml:space="preserve">Users must be able to add and modify fields </w:t>
      </w:r>
      <w:r w:rsidR="001C5142">
        <w:t xml:space="preserve">on form templates </w:t>
      </w:r>
      <w:r>
        <w:t xml:space="preserve">within the </w:t>
      </w:r>
      <w:r w:rsidR="001C5142">
        <w:t xml:space="preserve">System with minimal </w:t>
      </w:r>
      <w:r>
        <w:t xml:space="preserve">need to seek outside programming assistance </w:t>
      </w:r>
    </w:p>
    <w:p w14:paraId="6FCE6D94" w14:textId="7F74755D" w:rsidR="00FF284B" w:rsidRDefault="00FF284B" w:rsidP="00E16D2D">
      <w:pPr>
        <w:pStyle w:val="OB1"/>
      </w:pPr>
      <w:r>
        <w:t xml:space="preserve">Decision (see </w:t>
      </w:r>
      <w:hyperlink w:anchor="_Decision_Examples_(Anonymized)" w:history="1">
        <w:r w:rsidR="00671087" w:rsidRPr="00671087">
          <w:rPr>
            <w:rStyle w:val="Hyperlink"/>
          </w:rPr>
          <w:t>Attachment 9 - Anonymized sample</w:t>
        </w:r>
      </w:hyperlink>
      <w:r>
        <w:t>)</w:t>
      </w:r>
    </w:p>
    <w:p w14:paraId="5D4EC35F" w14:textId="4A25C551" w:rsidR="00FF284B" w:rsidRDefault="006F76FC" w:rsidP="005C52DC">
      <w:pPr>
        <w:pStyle w:val="SB1"/>
      </w:pPr>
      <w:r>
        <w:t>System m</w:t>
      </w:r>
      <w:r w:rsidR="00FF284B">
        <w:t>ust capture</w:t>
      </w:r>
      <w:r>
        <w:t xml:space="preserve"> </w:t>
      </w:r>
      <w:r w:rsidR="00FF284B">
        <w:t>d</w:t>
      </w:r>
      <w:r>
        <w:t>ecisions</w:t>
      </w:r>
      <w:r w:rsidR="00FF284B">
        <w:t xml:space="preserve"> in </w:t>
      </w:r>
      <w:r w:rsidR="005A37FD">
        <w:t xml:space="preserve">the </w:t>
      </w:r>
      <w:r w:rsidR="00FF284B">
        <w:t>CMS</w:t>
      </w:r>
    </w:p>
    <w:p w14:paraId="31A9F00D" w14:textId="77777777" w:rsidR="00FF284B" w:rsidRDefault="00FF284B" w:rsidP="005C52DC">
      <w:pPr>
        <w:pStyle w:val="SB1"/>
      </w:pPr>
      <w:r>
        <w:t>Addresses</w:t>
      </w:r>
    </w:p>
    <w:p w14:paraId="5CBDF3CA" w14:textId="785C97C1" w:rsidR="003E296F" w:rsidRDefault="003E296F" w:rsidP="00E16D2D">
      <w:pPr>
        <w:pStyle w:val="DB1"/>
      </w:pPr>
      <w:r>
        <w:t>System must be able to flag address changes by parties after the case has been processed and assigned up until the date of the mailing</w:t>
      </w:r>
    </w:p>
    <w:p w14:paraId="5F6AE2B6" w14:textId="68174060" w:rsidR="00FF284B" w:rsidRDefault="00FF284B" w:rsidP="00E16D2D">
      <w:pPr>
        <w:pStyle w:val="DB1"/>
      </w:pPr>
      <w:r>
        <w:t xml:space="preserve">Edit </w:t>
      </w:r>
      <w:r w:rsidR="00DE059A">
        <w:t xml:space="preserve">and validate </w:t>
      </w:r>
      <w:r>
        <w:t>addresses if necessary</w:t>
      </w:r>
    </w:p>
    <w:p w14:paraId="5F0D91FE" w14:textId="0FEE0FE4" w:rsidR="003E296F" w:rsidRDefault="003E296F" w:rsidP="00116640">
      <w:pPr>
        <w:pStyle w:val="DB1"/>
      </w:pPr>
      <w:r>
        <w:t>Alert/Flag any address changes</w:t>
      </w:r>
    </w:p>
    <w:p w14:paraId="22883E9B" w14:textId="77777777" w:rsidR="00FF284B" w:rsidRDefault="00FF284B" w:rsidP="00F82166">
      <w:pPr>
        <w:pStyle w:val="DB1"/>
      </w:pPr>
      <w:r>
        <w:t>Add recipients if necessary</w:t>
      </w:r>
    </w:p>
    <w:p w14:paraId="5FD675A8" w14:textId="77777777" w:rsidR="00FF284B" w:rsidRDefault="00FF284B" w:rsidP="005C52DC">
      <w:pPr>
        <w:pStyle w:val="SB1"/>
      </w:pPr>
      <w:r>
        <w:t>Short Form Decisions</w:t>
      </w:r>
    </w:p>
    <w:p w14:paraId="416C9475" w14:textId="77777777" w:rsidR="00FF284B" w:rsidRDefault="00FF284B" w:rsidP="00E16D2D">
      <w:pPr>
        <w:pStyle w:val="DB1"/>
      </w:pPr>
      <w:r>
        <w:t>Affirm</w:t>
      </w:r>
    </w:p>
    <w:p w14:paraId="7D8831F4" w14:textId="77777777" w:rsidR="00FF284B" w:rsidRDefault="00FF284B" w:rsidP="00E16D2D">
      <w:pPr>
        <w:pStyle w:val="DB1"/>
      </w:pPr>
      <w:r>
        <w:t>Affirm with one exception</w:t>
      </w:r>
    </w:p>
    <w:p w14:paraId="6CF15B98" w14:textId="75A8424E" w:rsidR="00FF284B" w:rsidRDefault="00FF284B" w:rsidP="00116640">
      <w:pPr>
        <w:pStyle w:val="DB1"/>
      </w:pPr>
      <w:r>
        <w:t>Deny MR</w:t>
      </w:r>
    </w:p>
    <w:p w14:paraId="0253BD19" w14:textId="77777777" w:rsidR="00FF284B" w:rsidRDefault="00FF284B" w:rsidP="00116640">
      <w:pPr>
        <w:pStyle w:val="DB1"/>
      </w:pPr>
      <w:r>
        <w:t xml:space="preserve">Dismissal </w:t>
      </w:r>
    </w:p>
    <w:p w14:paraId="618A2AB1" w14:textId="77777777" w:rsidR="00FF284B" w:rsidRDefault="00FF284B" w:rsidP="00F82166">
      <w:pPr>
        <w:pStyle w:val="DB1"/>
      </w:pPr>
      <w:r>
        <w:t xml:space="preserve">Insert statements using preformatted text templates including retrieving data from UI/Appeals system </w:t>
      </w:r>
    </w:p>
    <w:p w14:paraId="0C94B481" w14:textId="77777777" w:rsidR="00FF284B" w:rsidRDefault="00FF284B" w:rsidP="00F82166">
      <w:pPr>
        <w:pStyle w:val="DB1"/>
      </w:pPr>
      <w:r>
        <w:lastRenderedPageBreak/>
        <w:t xml:space="preserve">Insert ad hoc text </w:t>
      </w:r>
    </w:p>
    <w:p w14:paraId="3FDD6812" w14:textId="77777777" w:rsidR="00FF284B" w:rsidRDefault="00FF284B">
      <w:pPr>
        <w:pStyle w:val="DB1"/>
      </w:pPr>
      <w:r>
        <w:t>Etc.</w:t>
      </w:r>
    </w:p>
    <w:p w14:paraId="2BEE3EA7" w14:textId="77777777" w:rsidR="00FF284B" w:rsidRDefault="00FF284B" w:rsidP="005C52DC">
      <w:pPr>
        <w:pStyle w:val="SB1"/>
      </w:pPr>
      <w:r>
        <w:t>Long Form Decisions</w:t>
      </w:r>
    </w:p>
    <w:p w14:paraId="6DE6446A" w14:textId="77777777" w:rsidR="00FF284B" w:rsidRDefault="00FF284B" w:rsidP="00E16D2D">
      <w:pPr>
        <w:pStyle w:val="DB1"/>
      </w:pPr>
      <w:r w:rsidRPr="00E22E47">
        <w:t>Case</w:t>
      </w:r>
      <w:r>
        <w:t xml:space="preserve"> History</w:t>
      </w:r>
    </w:p>
    <w:p w14:paraId="35DB75BE" w14:textId="77777777" w:rsidR="00FF284B" w:rsidRDefault="00FF284B" w:rsidP="00E16D2D">
      <w:pPr>
        <w:pStyle w:val="CB1"/>
      </w:pPr>
      <w:r w:rsidRPr="00E22E47">
        <w:t>Automated</w:t>
      </w:r>
      <w:r>
        <w:t xml:space="preserve"> insert of statements based on case criteria</w:t>
      </w:r>
    </w:p>
    <w:p w14:paraId="3F40CEC5" w14:textId="77777777" w:rsidR="00FF284B" w:rsidRDefault="00FF284B" w:rsidP="00116640">
      <w:pPr>
        <w:pStyle w:val="CB1"/>
      </w:pPr>
      <w:r>
        <w:t>Insert statements using preformatted text templates including retrieving data from UI/Appeals system</w:t>
      </w:r>
    </w:p>
    <w:p w14:paraId="34491FC1" w14:textId="77777777" w:rsidR="00FF284B" w:rsidRDefault="00FF284B" w:rsidP="00F82166">
      <w:pPr>
        <w:pStyle w:val="DB1"/>
      </w:pPr>
      <w:r>
        <w:t>Findings of fact</w:t>
      </w:r>
    </w:p>
    <w:p w14:paraId="7453EDD3" w14:textId="77777777" w:rsidR="00FF284B" w:rsidRDefault="00FF284B" w:rsidP="00F82166">
      <w:pPr>
        <w:pStyle w:val="CB1"/>
      </w:pPr>
      <w:r>
        <w:t xml:space="preserve">Insert statements using preformatted text templates including retrieving data from UI/Appeals system </w:t>
      </w:r>
    </w:p>
    <w:p w14:paraId="52D7B921" w14:textId="77777777" w:rsidR="00FF284B" w:rsidRDefault="00FF284B">
      <w:pPr>
        <w:pStyle w:val="CB1"/>
      </w:pPr>
      <w:r>
        <w:t>Insert ad hoc text</w:t>
      </w:r>
    </w:p>
    <w:p w14:paraId="38E5FC08" w14:textId="77777777" w:rsidR="00FF284B" w:rsidRDefault="00FF284B">
      <w:pPr>
        <w:pStyle w:val="DB1"/>
      </w:pPr>
      <w:r>
        <w:t>Conclusions</w:t>
      </w:r>
    </w:p>
    <w:p w14:paraId="6A029EF6" w14:textId="77777777" w:rsidR="00FF284B" w:rsidRDefault="00FF284B">
      <w:pPr>
        <w:pStyle w:val="CB1"/>
      </w:pPr>
      <w:r>
        <w:t>Automated insert of statements based on case criteria (e.g., sections of law)</w:t>
      </w:r>
    </w:p>
    <w:p w14:paraId="01993E54" w14:textId="77777777" w:rsidR="00FF284B" w:rsidRDefault="00FF284B">
      <w:pPr>
        <w:pStyle w:val="CB1"/>
      </w:pPr>
      <w:r>
        <w:t>Insert statements using preformatted text (e.g., precedent decisions and sections of law)</w:t>
      </w:r>
    </w:p>
    <w:p w14:paraId="6EF8D2C3" w14:textId="77777777" w:rsidR="00FF284B" w:rsidRDefault="00FF284B">
      <w:pPr>
        <w:pStyle w:val="CB1"/>
      </w:pPr>
      <w:r>
        <w:t>Insert ad hoc text (e.g., narrative description of conclusions of law)</w:t>
      </w:r>
    </w:p>
    <w:p w14:paraId="5ABA7029" w14:textId="77777777" w:rsidR="00FF284B" w:rsidRDefault="00FF284B">
      <w:pPr>
        <w:pStyle w:val="DB1"/>
      </w:pPr>
      <w:r>
        <w:t>Decision</w:t>
      </w:r>
    </w:p>
    <w:p w14:paraId="3D6DBADF" w14:textId="77777777" w:rsidR="00FF284B" w:rsidRDefault="00FF284B">
      <w:pPr>
        <w:pStyle w:val="CB1"/>
      </w:pPr>
      <w:r>
        <w:t>Automated insert of statements based on case criteria (e.g., decision rulings)</w:t>
      </w:r>
    </w:p>
    <w:p w14:paraId="35A6DF05" w14:textId="77777777" w:rsidR="00FF284B" w:rsidRDefault="00FF284B">
      <w:pPr>
        <w:pStyle w:val="CB1"/>
      </w:pPr>
      <w:r>
        <w:t>Insert statements using preformatted text (e.g., decision rulings)</w:t>
      </w:r>
    </w:p>
    <w:p w14:paraId="5DC68CC5" w14:textId="77777777" w:rsidR="00FF284B" w:rsidRDefault="00FF284B">
      <w:pPr>
        <w:pStyle w:val="CB1"/>
      </w:pPr>
      <w:r>
        <w:t>Insert ad hoc text (e.g., customized decision ruling)</w:t>
      </w:r>
    </w:p>
    <w:p w14:paraId="69318710" w14:textId="5240628A" w:rsidR="001C1F43" w:rsidRDefault="001C1F43" w:rsidP="001C1F43">
      <w:pPr>
        <w:pStyle w:val="SB1"/>
      </w:pPr>
      <w:r>
        <w:t>Users must be able to add and modify fields within the program without the need to seek outside programming assistance</w:t>
      </w:r>
    </w:p>
    <w:p w14:paraId="2513461F" w14:textId="0C3539AC" w:rsidR="00FF284B" w:rsidRDefault="00FF284B" w:rsidP="00E16D2D">
      <w:pPr>
        <w:pStyle w:val="LB1"/>
      </w:pPr>
      <w:r>
        <w:t xml:space="preserve">System must store </w:t>
      </w:r>
      <w:r w:rsidR="00A55591">
        <w:t>RA</w:t>
      </w:r>
      <w:r>
        <w:t xml:space="preserve"> work p</w:t>
      </w:r>
      <w:r w:rsidR="001A4872">
        <w:t>roduct and allow for permission-</w:t>
      </w:r>
      <w:r>
        <w:t>based access and versioning</w:t>
      </w:r>
    </w:p>
    <w:p w14:paraId="6F75E3F5" w14:textId="77777777" w:rsidR="00FF284B" w:rsidRDefault="00FF284B" w:rsidP="00E16D2D">
      <w:pPr>
        <w:pStyle w:val="LB1"/>
      </w:pPr>
      <w:r>
        <w:t>System must allow access to digital records at variable speed with search and bookmarks</w:t>
      </w:r>
    </w:p>
    <w:p w14:paraId="18B71FE6" w14:textId="77777777" w:rsidR="00FF284B" w:rsidRDefault="00FF284B" w:rsidP="00116640">
      <w:pPr>
        <w:pStyle w:val="LB1"/>
      </w:pPr>
      <w:r>
        <w:t>System must transcribe digital recordings and allow Staff to edit</w:t>
      </w:r>
    </w:p>
    <w:p w14:paraId="444F71A1" w14:textId="50D2929C" w:rsidR="00FF284B" w:rsidRDefault="00F67CDB" w:rsidP="00F82166">
      <w:pPr>
        <w:pStyle w:val="LB1"/>
      </w:pPr>
      <w:r>
        <w:t xml:space="preserve">System must allow Staff to </w:t>
      </w:r>
      <w:r w:rsidR="00FF284B">
        <w:t>complete review of appeal and produce recommendation documents</w:t>
      </w:r>
    </w:p>
    <w:p w14:paraId="36C6F45F" w14:textId="77777777" w:rsidR="00FF284B" w:rsidRDefault="00FF284B" w:rsidP="00F82166">
      <w:pPr>
        <w:pStyle w:val="OB1"/>
      </w:pPr>
      <w:r>
        <w:t xml:space="preserve">RA must designate distribution of decision to be mailed </w:t>
      </w:r>
    </w:p>
    <w:p w14:paraId="0999B3E9" w14:textId="10F06AEE" w:rsidR="00FF284B" w:rsidRDefault="00E2460B">
      <w:pPr>
        <w:pStyle w:val="LB1"/>
      </w:pPr>
      <w:r>
        <w:t>System/Staff</w:t>
      </w:r>
      <w:r w:rsidR="00FF284B">
        <w:t xml:space="preserve"> must send recommendation documents to supervisor</w:t>
      </w:r>
      <w:r w:rsidR="00FF284B" w:rsidRPr="00251423">
        <w:t xml:space="preserve"> </w:t>
      </w:r>
      <w:r w:rsidR="00FF284B">
        <w:t>or docket based on business rules</w:t>
      </w:r>
    </w:p>
    <w:p w14:paraId="6897AB7D" w14:textId="77777777" w:rsidR="00FF284B" w:rsidRDefault="00FF284B">
      <w:pPr>
        <w:pStyle w:val="OB1"/>
      </w:pPr>
      <w:r>
        <w:t>Staff can manually modify business rules by individual</w:t>
      </w:r>
    </w:p>
    <w:p w14:paraId="1D9ABCF1" w14:textId="77777777" w:rsidR="00FF284B" w:rsidRDefault="00FF284B">
      <w:pPr>
        <w:pStyle w:val="LB1"/>
      </w:pPr>
      <w:r>
        <w:t>System must generate assignment list for each attorney (Dashboard)</w:t>
      </w:r>
    </w:p>
    <w:p w14:paraId="544F3DEB" w14:textId="77777777" w:rsidR="00FF284B" w:rsidRDefault="00FF284B">
      <w:pPr>
        <w:pStyle w:val="OB1"/>
      </w:pPr>
      <w:r>
        <w:t>Case load</w:t>
      </w:r>
    </w:p>
    <w:p w14:paraId="7F074E70" w14:textId="77777777" w:rsidR="00FF284B" w:rsidRDefault="00FF284B">
      <w:pPr>
        <w:pStyle w:val="OB1"/>
      </w:pPr>
      <w:r>
        <w:t>Status by case</w:t>
      </w:r>
    </w:p>
    <w:p w14:paraId="5659185F" w14:textId="77777777" w:rsidR="00FF284B" w:rsidRDefault="00FF284B">
      <w:pPr>
        <w:pStyle w:val="OB1"/>
      </w:pPr>
      <w:r>
        <w:t>Weekly assignment report for RA and management</w:t>
      </w:r>
    </w:p>
    <w:p w14:paraId="3308CDC1" w14:textId="4E85822D" w:rsidR="00FF284B" w:rsidRDefault="00FF284B">
      <w:pPr>
        <w:pStyle w:val="LB1"/>
      </w:pPr>
      <w:r>
        <w:lastRenderedPageBreak/>
        <w:t>System must allow Staff to view a high-level summary for an attorney review/rehearing (e.g. base period wages, interested parties, timeliness of appeal, opt-in for electronic correspondence, special accommodations, etc.)</w:t>
      </w:r>
    </w:p>
    <w:p w14:paraId="73CA2566" w14:textId="77777777" w:rsidR="00FF284B" w:rsidRDefault="00FF284B" w:rsidP="00FF284B"/>
    <w:p w14:paraId="2D09B46A" w14:textId="28075FC2" w:rsidR="00FF284B" w:rsidRDefault="00FF284B" w:rsidP="005C52DC">
      <w:pPr>
        <w:rPr>
          <w:u w:val="single"/>
        </w:rPr>
      </w:pPr>
      <w:r w:rsidRPr="005C52DC">
        <w:rPr>
          <w:u w:val="single"/>
        </w:rPr>
        <w:t>Alternate Activities and Special Cases</w:t>
      </w:r>
    </w:p>
    <w:p w14:paraId="05ACBCB2" w14:textId="77777777" w:rsidR="004F7DCA" w:rsidRDefault="004F7DCA" w:rsidP="004F7DCA">
      <w:r>
        <w:t>System must support the following alternate activities and special cases:</w:t>
      </w:r>
    </w:p>
    <w:p w14:paraId="685B11CF" w14:textId="77777777" w:rsidR="00FF284B" w:rsidRDefault="00FF284B" w:rsidP="00E16D2D">
      <w:pPr>
        <w:pStyle w:val="LB1"/>
      </w:pPr>
      <w:r>
        <w:t xml:space="preserve">Send cases for translation </w:t>
      </w:r>
    </w:p>
    <w:p w14:paraId="08C72119" w14:textId="77777777" w:rsidR="00FF284B" w:rsidRDefault="00FF284B" w:rsidP="00E16D2D">
      <w:pPr>
        <w:pStyle w:val="LB1"/>
      </w:pPr>
      <w:r>
        <w:t>Rehearing worksheet (supervisor review)</w:t>
      </w:r>
    </w:p>
    <w:p w14:paraId="5A4D68F6" w14:textId="77777777" w:rsidR="00FF284B" w:rsidRDefault="00FF284B" w:rsidP="00116640">
      <w:pPr>
        <w:pStyle w:val="OB1"/>
      </w:pPr>
      <w:r>
        <w:t>Automatic rehearing (timeliness)</w:t>
      </w:r>
    </w:p>
    <w:p w14:paraId="66C09E00" w14:textId="77777777" w:rsidR="00FF284B" w:rsidRDefault="00FF284B" w:rsidP="00F82166">
      <w:pPr>
        <w:pStyle w:val="OB1"/>
      </w:pPr>
      <w:r>
        <w:t>Recommended rehearing</w:t>
      </w:r>
    </w:p>
    <w:p w14:paraId="067A50C7" w14:textId="77777777" w:rsidR="00FF284B" w:rsidRDefault="00FF284B" w:rsidP="00F82166">
      <w:pPr>
        <w:pStyle w:val="LB1"/>
      </w:pPr>
      <w:r>
        <w:t>Voting sheet</w:t>
      </w:r>
    </w:p>
    <w:p w14:paraId="1D798F8D" w14:textId="77777777" w:rsidR="00FF284B" w:rsidRDefault="00FF284B">
      <w:pPr>
        <w:pStyle w:val="LB1"/>
      </w:pPr>
      <w:r>
        <w:t>Void requests</w:t>
      </w:r>
    </w:p>
    <w:p w14:paraId="5B84E2F9" w14:textId="77777777" w:rsidR="00FF284B" w:rsidRDefault="00FF284B">
      <w:pPr>
        <w:pStyle w:val="LB1"/>
      </w:pPr>
      <w:r>
        <w:t>Interoffice memo (workflow handoff to another department) such as</w:t>
      </w:r>
    </w:p>
    <w:p w14:paraId="140440A1" w14:textId="77777777" w:rsidR="00FF284B" w:rsidRDefault="00FF284B">
      <w:pPr>
        <w:pStyle w:val="OB1"/>
      </w:pPr>
      <w:r>
        <w:t>RID holds (identity theft investigations)</w:t>
      </w:r>
    </w:p>
    <w:p w14:paraId="02300F9F" w14:textId="77777777" w:rsidR="00FF284B" w:rsidRDefault="00FF284B">
      <w:pPr>
        <w:pStyle w:val="OB1"/>
      </w:pPr>
      <w:r>
        <w:t>Tax investigations</w:t>
      </w:r>
    </w:p>
    <w:p w14:paraId="08D403E8" w14:textId="40D381D7" w:rsidR="00FF284B" w:rsidRDefault="002E0B23">
      <w:pPr>
        <w:pStyle w:val="OB1"/>
      </w:pPr>
      <w:r>
        <w:t>UI Operations &amp; Customer Service (</w:t>
      </w:r>
      <w:r w:rsidR="00FF284B">
        <w:t>UIO&amp;CS</w:t>
      </w:r>
      <w:r>
        <w:t>)</w:t>
      </w:r>
      <w:r w:rsidR="00FF284B">
        <w:t xml:space="preserve"> investigations</w:t>
      </w:r>
    </w:p>
    <w:p w14:paraId="48A69727" w14:textId="77777777" w:rsidR="00FF284B" w:rsidRDefault="00FF284B">
      <w:pPr>
        <w:pStyle w:val="OB1"/>
      </w:pPr>
      <w:r>
        <w:t>General Counsel</w:t>
      </w:r>
    </w:p>
    <w:p w14:paraId="3A0182A9" w14:textId="44E056BA" w:rsidR="00FF284B" w:rsidRDefault="00A55591">
      <w:pPr>
        <w:pStyle w:val="OB1"/>
      </w:pPr>
      <w:r>
        <w:t>AT</w:t>
      </w:r>
      <w:r w:rsidR="00FF284B">
        <w:t xml:space="preserve"> Process Appeal request</w:t>
      </w:r>
    </w:p>
    <w:p w14:paraId="66FE4D3B" w14:textId="77777777" w:rsidR="00FF284B" w:rsidRDefault="00FF284B">
      <w:pPr>
        <w:pStyle w:val="OB1"/>
      </w:pPr>
      <w:r>
        <w:t>Some sent immediately, others sent after vote</w:t>
      </w:r>
    </w:p>
    <w:p w14:paraId="3E1D5EEC" w14:textId="18DB64A5" w:rsidR="00FF284B" w:rsidRDefault="00FF284B">
      <w:pPr>
        <w:pStyle w:val="LB1"/>
      </w:pPr>
      <w:r>
        <w:t>Supplemental summary request</w:t>
      </w:r>
    </w:p>
    <w:p w14:paraId="07CF696A" w14:textId="57BC7924" w:rsidR="00FF284B" w:rsidRDefault="00A53C50">
      <w:pPr>
        <w:pStyle w:val="OB1"/>
      </w:pPr>
      <w:r>
        <w:t>System generated report on Supplemental Summary requests and status tracking</w:t>
      </w:r>
    </w:p>
    <w:p w14:paraId="746720DB" w14:textId="77777777" w:rsidR="00A53C50" w:rsidRDefault="00A53C50" w:rsidP="00FF284B"/>
    <w:p w14:paraId="50687AA4" w14:textId="58CFE0B3" w:rsidR="0038474B" w:rsidRDefault="0038474B" w:rsidP="0038474B">
      <w:pPr>
        <w:pStyle w:val="Heading4"/>
      </w:pPr>
      <w:bookmarkStart w:id="347" w:name="_Hlk532800608"/>
      <w:r>
        <w:tab/>
      </w:r>
      <w:r w:rsidR="008E6A92">
        <w:t>Docketing</w:t>
      </w:r>
    </w:p>
    <w:p w14:paraId="5335CAF5" w14:textId="0B121D9F" w:rsidR="0038474B" w:rsidRPr="00B0723C" w:rsidRDefault="008E6A92" w:rsidP="0038474B">
      <w:r>
        <w:t>This process includes all activities required to assign CA appeals to a docket including docketing, circulate summaries, pre-process docketed cases, document Commissioner vote, and post-process docketed cases</w:t>
      </w:r>
      <w:r w:rsidR="0038474B">
        <w:t>.</w:t>
      </w:r>
    </w:p>
    <w:p w14:paraId="51B7E9A0" w14:textId="77777777" w:rsidR="0038474B" w:rsidRPr="003A23F0" w:rsidRDefault="0038474B" w:rsidP="0038474B">
      <w:pPr>
        <w:rPr>
          <w:u w:val="single"/>
        </w:rPr>
      </w:pPr>
      <w:r w:rsidRPr="003A23F0">
        <w:rPr>
          <w:u w:val="single"/>
        </w:rPr>
        <w:t>Actors</w:t>
      </w:r>
    </w:p>
    <w:p w14:paraId="178A8A0D" w14:textId="77777777" w:rsidR="0038474B" w:rsidRDefault="0038474B" w:rsidP="00E16D2D">
      <w:pPr>
        <w:pStyle w:val="LB1"/>
      </w:pPr>
      <w:r>
        <w:t>Staff</w:t>
      </w:r>
    </w:p>
    <w:p w14:paraId="38DECFEB" w14:textId="77777777" w:rsidR="0038474B" w:rsidRPr="00DF6567" w:rsidRDefault="0038474B" w:rsidP="0038474B"/>
    <w:p w14:paraId="56DB30E1" w14:textId="7E6BDC40" w:rsidR="0038474B" w:rsidRPr="003A23F0" w:rsidRDefault="0038474B" w:rsidP="0038474B">
      <w:pPr>
        <w:rPr>
          <w:u w:val="single"/>
        </w:rPr>
      </w:pPr>
      <w:r w:rsidRPr="003A23F0">
        <w:rPr>
          <w:u w:val="single"/>
        </w:rPr>
        <w:t>Main Activities</w:t>
      </w:r>
      <w:r w:rsidR="008E6A92">
        <w:rPr>
          <w:u w:val="single"/>
        </w:rPr>
        <w:t xml:space="preserve"> – Docketing </w:t>
      </w:r>
    </w:p>
    <w:p w14:paraId="40021D5A" w14:textId="0A3CB51C" w:rsidR="008E6A92" w:rsidRDefault="00727B9C" w:rsidP="00E16D2D">
      <w:pPr>
        <w:pStyle w:val="LB1"/>
      </w:pPr>
      <w:r>
        <w:t xml:space="preserve">System must allow Staff to </w:t>
      </w:r>
      <w:r w:rsidR="008E6A92">
        <w:t>assign case and associated documentation (cover sheet, summary, proposed decision, etc.) to docket</w:t>
      </w:r>
    </w:p>
    <w:p w14:paraId="2C2CEF59" w14:textId="77777777" w:rsidR="008E6A92" w:rsidRDefault="008E6A92" w:rsidP="00E16D2D">
      <w:pPr>
        <w:pStyle w:val="OB1"/>
      </w:pPr>
      <w:r>
        <w:t>Docket date</w:t>
      </w:r>
    </w:p>
    <w:p w14:paraId="52E6E127" w14:textId="77777777" w:rsidR="008E6A92" w:rsidRDefault="008E6A92" w:rsidP="00116640">
      <w:pPr>
        <w:pStyle w:val="OB1"/>
      </w:pPr>
      <w:r>
        <w:t>Docket number</w:t>
      </w:r>
    </w:p>
    <w:p w14:paraId="7E587B5E" w14:textId="77777777" w:rsidR="008E6A92" w:rsidRDefault="008E6A92" w:rsidP="00116640">
      <w:pPr>
        <w:pStyle w:val="OB1"/>
      </w:pPr>
      <w:r>
        <w:t>Check the distribution stamp for number of copies to be mailed to interested parties</w:t>
      </w:r>
    </w:p>
    <w:p w14:paraId="2381BC10" w14:textId="2C58E5D9" w:rsidR="008E6A92" w:rsidRDefault="00E2460B" w:rsidP="00F82166">
      <w:pPr>
        <w:pStyle w:val="LB1"/>
      </w:pPr>
      <w:r>
        <w:lastRenderedPageBreak/>
        <w:t>System/Staff</w:t>
      </w:r>
      <w:r w:rsidR="008E6A92">
        <w:t xml:space="preserve"> makes copies of docket packets (cover sheet, summary, AT decision(s), etc.)</w:t>
      </w:r>
    </w:p>
    <w:p w14:paraId="43186F7B" w14:textId="77777777" w:rsidR="008E6A92" w:rsidRDefault="008E6A92" w:rsidP="00F82166">
      <w:pPr>
        <w:pStyle w:val="OB1"/>
      </w:pPr>
      <w:r>
        <w:t xml:space="preserve">Commissioners </w:t>
      </w:r>
    </w:p>
    <w:p w14:paraId="1B7987F8" w14:textId="77777777" w:rsidR="008E6A92" w:rsidRDefault="008E6A92">
      <w:pPr>
        <w:pStyle w:val="OB1"/>
      </w:pPr>
      <w:r>
        <w:t>CA</w:t>
      </w:r>
    </w:p>
    <w:p w14:paraId="2061F71C" w14:textId="77777777" w:rsidR="008E6A92" w:rsidRDefault="008E6A92">
      <w:pPr>
        <w:pStyle w:val="OB1"/>
      </w:pPr>
      <w:r>
        <w:t>Others as needed</w:t>
      </w:r>
    </w:p>
    <w:p w14:paraId="6951A19F" w14:textId="15C13234" w:rsidR="008E6A92" w:rsidRDefault="00E2460B">
      <w:pPr>
        <w:pStyle w:val="LB1"/>
      </w:pPr>
      <w:r>
        <w:t>System/Staff</w:t>
      </w:r>
      <w:r w:rsidR="008E6A92">
        <w:t xml:space="preserve"> prepares lists of all cases on docket</w:t>
      </w:r>
    </w:p>
    <w:p w14:paraId="7BB2304B" w14:textId="77777777" w:rsidR="008E6A92" w:rsidRDefault="008E6A92">
      <w:pPr>
        <w:pStyle w:val="OB1"/>
      </w:pPr>
      <w:r>
        <w:t>Alpha list – list of docketed cases by Claimant name</w:t>
      </w:r>
    </w:p>
    <w:p w14:paraId="7DF39DC9" w14:textId="77777777" w:rsidR="008E6A92" w:rsidRDefault="008E6A92">
      <w:pPr>
        <w:pStyle w:val="OB1"/>
      </w:pPr>
      <w:r>
        <w:t>Legal list – list of docketed cases by appeal case number</w:t>
      </w:r>
      <w:r w:rsidRPr="000D17A3">
        <w:t xml:space="preserve"> </w:t>
      </w:r>
      <w:r>
        <w:t>for publication by Secretary of State due to state law</w:t>
      </w:r>
    </w:p>
    <w:p w14:paraId="05F921A2" w14:textId="77777777" w:rsidR="008E6A92" w:rsidRDefault="008E6A92">
      <w:pPr>
        <w:pStyle w:val="OB1"/>
      </w:pPr>
      <w:r>
        <w:t>Employer list – list of docketed cases by Employer name</w:t>
      </w:r>
    </w:p>
    <w:p w14:paraId="418BEFD6" w14:textId="77777777" w:rsidR="008E6A92" w:rsidRDefault="008E6A92">
      <w:pPr>
        <w:pStyle w:val="OB1"/>
      </w:pPr>
      <w:r>
        <w:t>Numeric list – list of docketed cases by case number</w:t>
      </w:r>
    </w:p>
    <w:p w14:paraId="307CB01F" w14:textId="06C6556C" w:rsidR="008E6A92" w:rsidRDefault="00A53C50">
      <w:pPr>
        <w:pStyle w:val="LB1"/>
      </w:pPr>
      <w:r>
        <w:t>System must generate a Docket Dashboard to include</w:t>
      </w:r>
    </w:p>
    <w:p w14:paraId="4030AEC0" w14:textId="77777777" w:rsidR="00A53C50" w:rsidRDefault="00A53C50">
      <w:pPr>
        <w:pStyle w:val="OB1"/>
      </w:pPr>
      <w:r>
        <w:t>Number of cases on docket</w:t>
      </w:r>
    </w:p>
    <w:p w14:paraId="26ACDD4F" w14:textId="558CD1E6" w:rsidR="00A53C50" w:rsidRDefault="00A53C50">
      <w:pPr>
        <w:pStyle w:val="OB1"/>
      </w:pPr>
      <w:r>
        <w:t>Number of pulled cases and who pulled them (</w:t>
      </w:r>
      <w:r w:rsidR="00727B9C">
        <w:t xml:space="preserve">by </w:t>
      </w:r>
      <w:r>
        <w:t>Commission Office)</w:t>
      </w:r>
    </w:p>
    <w:p w14:paraId="50B2E635" w14:textId="77777777" w:rsidR="00A53C50" w:rsidRDefault="00A53C50">
      <w:pPr>
        <w:pStyle w:val="OB1"/>
      </w:pPr>
      <w:r>
        <w:t>Which cases have short form dissents and by which Commission Office</w:t>
      </w:r>
    </w:p>
    <w:p w14:paraId="7A36562B" w14:textId="77777777" w:rsidR="00A53C50" w:rsidRDefault="00A53C50">
      <w:pPr>
        <w:pStyle w:val="OB1"/>
      </w:pPr>
      <w:r>
        <w:t>Number of Rehearing votes</w:t>
      </w:r>
    </w:p>
    <w:p w14:paraId="1194A470" w14:textId="77777777" w:rsidR="00A53C50" w:rsidRDefault="00A53C50">
      <w:pPr>
        <w:pStyle w:val="OB1"/>
      </w:pPr>
      <w:r>
        <w:t>Number of Remands</w:t>
      </w:r>
    </w:p>
    <w:p w14:paraId="0E75170F" w14:textId="77777777" w:rsidR="00A53C50" w:rsidRDefault="00A53C50">
      <w:pPr>
        <w:pStyle w:val="OB1"/>
      </w:pPr>
      <w:r>
        <w:t xml:space="preserve">How many of assigned cases missed their target docket </w:t>
      </w:r>
    </w:p>
    <w:p w14:paraId="3D026108" w14:textId="529C4CDF" w:rsidR="00A53C50" w:rsidRDefault="00A55591">
      <w:pPr>
        <w:pStyle w:val="OB1"/>
      </w:pPr>
      <w:r>
        <w:t>RA</w:t>
      </w:r>
      <w:r w:rsidR="00A53C50">
        <w:t xml:space="preserve"> analysis by missed docket, pulls, etc.</w:t>
      </w:r>
    </w:p>
    <w:p w14:paraId="01C7B33B" w14:textId="14D06B28" w:rsidR="00A53C50" w:rsidRDefault="005034CE">
      <w:pPr>
        <w:pStyle w:val="OB1"/>
      </w:pPr>
      <w:r>
        <w:t>Weekly n</w:t>
      </w:r>
      <w:r w:rsidR="00A53C50">
        <w:t xml:space="preserve">umber of </w:t>
      </w:r>
      <w:r w:rsidR="00A55591">
        <w:t>RAs</w:t>
      </w:r>
      <w:r w:rsidR="00A53C50">
        <w:t xml:space="preserve"> </w:t>
      </w:r>
      <w:r>
        <w:t>based on quota assigned minutes</w:t>
      </w:r>
    </w:p>
    <w:p w14:paraId="7B8F8D0F" w14:textId="77777777" w:rsidR="00A53C50" w:rsidRDefault="00A53C50" w:rsidP="008E6A92"/>
    <w:bookmarkEnd w:id="347"/>
    <w:p w14:paraId="3A7D64C3" w14:textId="2476E48F" w:rsidR="008E6A92" w:rsidRDefault="008E6A92" w:rsidP="008E6A92">
      <w:pPr>
        <w:rPr>
          <w:u w:val="single"/>
        </w:rPr>
      </w:pPr>
      <w:r w:rsidRPr="008E6A92">
        <w:rPr>
          <w:u w:val="single"/>
        </w:rPr>
        <w:t xml:space="preserve">Alternate Activities and Special Cases </w:t>
      </w:r>
      <w:r w:rsidR="004F7DCA">
        <w:rPr>
          <w:u w:val="single"/>
        </w:rPr>
        <w:t>–</w:t>
      </w:r>
      <w:r w:rsidRPr="008E6A92">
        <w:rPr>
          <w:u w:val="single"/>
        </w:rPr>
        <w:t xml:space="preserve"> Docketing</w:t>
      </w:r>
    </w:p>
    <w:p w14:paraId="74C0C4FF" w14:textId="77777777" w:rsidR="004F7DCA" w:rsidRDefault="004F7DCA" w:rsidP="004F7DCA">
      <w:r>
        <w:t>System must support the following alternate activities and special cases:</w:t>
      </w:r>
    </w:p>
    <w:p w14:paraId="778F5BF6" w14:textId="77777777" w:rsidR="008E6A92" w:rsidRDefault="008E6A92" w:rsidP="00E16D2D">
      <w:pPr>
        <w:pStyle w:val="LB1"/>
      </w:pPr>
      <w:r>
        <w:t>Removing a case from docket at any point in the workflow</w:t>
      </w:r>
    </w:p>
    <w:p w14:paraId="51C7E560" w14:textId="77777777" w:rsidR="008E6A92" w:rsidRDefault="008E6A92" w:rsidP="00E16D2D">
      <w:pPr>
        <w:pStyle w:val="LB1"/>
      </w:pPr>
      <w:r>
        <w:t>Docket cancellation or rescheduling (keep docket number constant once assigned but allow docket date to change)</w:t>
      </w:r>
    </w:p>
    <w:p w14:paraId="7CB77B33" w14:textId="77777777" w:rsidR="008E6A92" w:rsidRDefault="008E6A92" w:rsidP="00116640">
      <w:pPr>
        <w:pStyle w:val="OB1"/>
      </w:pPr>
      <w:r>
        <w:t>Individual</w:t>
      </w:r>
    </w:p>
    <w:p w14:paraId="25E54107" w14:textId="07079829" w:rsidR="008E6A92" w:rsidRDefault="008E6A92" w:rsidP="00F82166">
      <w:pPr>
        <w:pStyle w:val="OB1"/>
      </w:pPr>
      <w:r>
        <w:t>In mass for situations such as a Commissioner vacancy</w:t>
      </w:r>
    </w:p>
    <w:p w14:paraId="66FC7C69" w14:textId="77777777" w:rsidR="008E6A92" w:rsidRDefault="008E6A92" w:rsidP="008E6A92"/>
    <w:p w14:paraId="7F3DC44C" w14:textId="77777777" w:rsidR="008E6A92" w:rsidRPr="008E6A92" w:rsidRDefault="008E6A92" w:rsidP="008E6A92">
      <w:pPr>
        <w:rPr>
          <w:u w:val="single"/>
        </w:rPr>
      </w:pPr>
      <w:r w:rsidRPr="008E6A92">
        <w:rPr>
          <w:u w:val="single"/>
        </w:rPr>
        <w:t>Main Activities – Circulate Summaries</w:t>
      </w:r>
    </w:p>
    <w:p w14:paraId="7FA096FC" w14:textId="0FC55EE8" w:rsidR="008E6A92" w:rsidRDefault="00E2460B" w:rsidP="00E16D2D">
      <w:pPr>
        <w:pStyle w:val="LB1"/>
      </w:pPr>
      <w:r>
        <w:t>System/Staff</w:t>
      </w:r>
      <w:r w:rsidR="008E6A92">
        <w:t xml:space="preserve"> distributes copies to Commissioners</w:t>
      </w:r>
    </w:p>
    <w:p w14:paraId="4ECD39A8" w14:textId="41D72C79" w:rsidR="008E6A92" w:rsidRDefault="00727B9C" w:rsidP="00E16D2D">
      <w:pPr>
        <w:pStyle w:val="LB1"/>
      </w:pPr>
      <w:r>
        <w:t>System must t</w:t>
      </w:r>
      <w:r w:rsidR="008E6A92">
        <w:t>rack summary workflow including supplemental requests and distribution</w:t>
      </w:r>
    </w:p>
    <w:p w14:paraId="3229C277" w14:textId="77777777" w:rsidR="008E6A92" w:rsidRDefault="008E6A92" w:rsidP="008E6A92"/>
    <w:p w14:paraId="0716204F" w14:textId="52F5B431" w:rsidR="008E6A92" w:rsidRDefault="008E6A92" w:rsidP="008E6A92">
      <w:pPr>
        <w:rPr>
          <w:u w:val="single"/>
        </w:rPr>
      </w:pPr>
      <w:r w:rsidRPr="008E6A92">
        <w:rPr>
          <w:u w:val="single"/>
        </w:rPr>
        <w:t>Alternate Activities and Special Cases – Circulate Summaries</w:t>
      </w:r>
    </w:p>
    <w:p w14:paraId="4D85E37C" w14:textId="77777777" w:rsidR="004F7DCA" w:rsidRDefault="004F7DCA" w:rsidP="004F7DCA">
      <w:r>
        <w:t>System must support the following alternate activities and special cases:</w:t>
      </w:r>
    </w:p>
    <w:p w14:paraId="76E21857" w14:textId="77777777" w:rsidR="008E6A92" w:rsidRDefault="008E6A92" w:rsidP="00E16D2D">
      <w:pPr>
        <w:pStyle w:val="LB1"/>
      </w:pPr>
      <w:r>
        <w:t>AR supplemental summary (a result of what Commissioners put on their pull list)</w:t>
      </w:r>
    </w:p>
    <w:p w14:paraId="5ACCB0CC" w14:textId="77777777" w:rsidR="008E6A92" w:rsidRDefault="008E6A92" w:rsidP="00E16D2D">
      <w:pPr>
        <w:pStyle w:val="LB1"/>
      </w:pPr>
      <w:r>
        <w:lastRenderedPageBreak/>
        <w:t>Additional supplemental summary request (requests from Commission offices for additional information)</w:t>
      </w:r>
    </w:p>
    <w:p w14:paraId="79A7713A" w14:textId="77777777" w:rsidR="008E6A92" w:rsidRDefault="008E6A92" w:rsidP="008E6A92"/>
    <w:p w14:paraId="27AFA639" w14:textId="77777777" w:rsidR="008E6A92" w:rsidRPr="008E6A92" w:rsidRDefault="008E6A92" w:rsidP="008E6A92">
      <w:pPr>
        <w:rPr>
          <w:u w:val="single"/>
        </w:rPr>
      </w:pPr>
      <w:r w:rsidRPr="008E6A92">
        <w:rPr>
          <w:u w:val="single"/>
        </w:rPr>
        <w:t>Main Activities – Pre-Process Docketed Cases</w:t>
      </w:r>
    </w:p>
    <w:p w14:paraId="18889EC5" w14:textId="1CF4CF60" w:rsidR="008E6A92" w:rsidRDefault="00E2460B" w:rsidP="00E16D2D">
      <w:pPr>
        <w:pStyle w:val="LB1"/>
      </w:pPr>
      <w:r>
        <w:t>System/Staff</w:t>
      </w:r>
      <w:r w:rsidR="008E6A92">
        <w:t xml:space="preserve"> stores case files submitted to docket</w:t>
      </w:r>
    </w:p>
    <w:p w14:paraId="4C3F98AC" w14:textId="77777777" w:rsidR="008E6A92" w:rsidRDefault="008E6A92" w:rsidP="00E16D2D">
      <w:pPr>
        <w:pStyle w:val="OB1"/>
      </w:pPr>
      <w:r>
        <w:t>Electronic case files</w:t>
      </w:r>
    </w:p>
    <w:p w14:paraId="3ED0E5A9" w14:textId="77777777" w:rsidR="008E6A92" w:rsidRDefault="008E6A92" w:rsidP="00116640">
      <w:pPr>
        <w:pStyle w:val="OB1"/>
      </w:pPr>
      <w:r>
        <w:t>Case documentation including privileged attorney/client work product</w:t>
      </w:r>
    </w:p>
    <w:p w14:paraId="6F0762CD" w14:textId="0E69FE57" w:rsidR="008E6A92" w:rsidRDefault="00E2460B" w:rsidP="00F82166">
      <w:pPr>
        <w:pStyle w:val="LB1"/>
      </w:pPr>
      <w:r>
        <w:t>System/Staff</w:t>
      </w:r>
      <w:r w:rsidR="008E6A92">
        <w:t xml:space="preserve"> modifies signatures (dissents, recuse, etc.) on decision based on Commissioner directive for uncontested cases</w:t>
      </w:r>
    </w:p>
    <w:p w14:paraId="09664D95" w14:textId="11C95151" w:rsidR="008E6A92" w:rsidRDefault="00E2460B" w:rsidP="00F82166">
      <w:pPr>
        <w:pStyle w:val="LB1"/>
      </w:pPr>
      <w:r>
        <w:t>System/Staff</w:t>
      </w:r>
      <w:r w:rsidR="008E6A92">
        <w:t xml:space="preserve"> prepares decisions for mailing for uncontested cases</w:t>
      </w:r>
    </w:p>
    <w:p w14:paraId="34BB1164" w14:textId="77777777" w:rsidR="008E6A92" w:rsidRDefault="008E6A92">
      <w:pPr>
        <w:pStyle w:val="OB1"/>
      </w:pPr>
      <w:r>
        <w:t>Date stamp</w:t>
      </w:r>
    </w:p>
    <w:p w14:paraId="0796EF04" w14:textId="77777777" w:rsidR="008E6A92" w:rsidRDefault="008E6A92">
      <w:pPr>
        <w:pStyle w:val="OB1"/>
      </w:pPr>
      <w:r>
        <w:t>Make copies</w:t>
      </w:r>
    </w:p>
    <w:p w14:paraId="445C1D15" w14:textId="77777777" w:rsidR="008E6A92" w:rsidRDefault="008E6A92">
      <w:pPr>
        <w:pStyle w:val="OB1"/>
      </w:pPr>
      <w:r>
        <w:t>Fold and stuff envelopes</w:t>
      </w:r>
    </w:p>
    <w:p w14:paraId="1CD4840D" w14:textId="77777777" w:rsidR="008E6A92" w:rsidRDefault="008E6A92">
      <w:pPr>
        <w:pStyle w:val="OB1"/>
      </w:pPr>
      <w:r>
        <w:t>Bundle and hold pending vote</w:t>
      </w:r>
    </w:p>
    <w:p w14:paraId="1FDA9CE6" w14:textId="048CF589" w:rsidR="008E6A92" w:rsidRDefault="00E2460B">
      <w:pPr>
        <w:pStyle w:val="LB1"/>
      </w:pPr>
      <w:r>
        <w:t>System/Staff</w:t>
      </w:r>
      <w:r w:rsidR="008E6A92">
        <w:t xml:space="preserve"> prepares lists of docketed cases</w:t>
      </w:r>
    </w:p>
    <w:p w14:paraId="20C1E38C" w14:textId="77777777" w:rsidR="008E6A92" w:rsidRDefault="008E6A92">
      <w:pPr>
        <w:pStyle w:val="OB1"/>
      </w:pPr>
      <w:r>
        <w:t>Commissioners’ List – all pulled/contested cases on docket</w:t>
      </w:r>
    </w:p>
    <w:p w14:paraId="494329FB" w14:textId="77777777" w:rsidR="008E6A92" w:rsidRDefault="008E6A92">
      <w:pPr>
        <w:pStyle w:val="OB1"/>
      </w:pPr>
      <w:r>
        <w:t>Attorney’s List – identifies the RA associated with the pulled case</w:t>
      </w:r>
    </w:p>
    <w:p w14:paraId="30AE5DE6" w14:textId="77777777" w:rsidR="008E6A92" w:rsidRDefault="008E6A92">
      <w:pPr>
        <w:pStyle w:val="OB1"/>
      </w:pPr>
      <w:r>
        <w:t>Docket Slips – used to record docket meeting</w:t>
      </w:r>
      <w:r w:rsidRPr="00357647">
        <w:t xml:space="preserve"> </w:t>
      </w:r>
      <w:r>
        <w:t>votes</w:t>
      </w:r>
    </w:p>
    <w:p w14:paraId="2C55009F" w14:textId="77777777" w:rsidR="008E6A92" w:rsidRDefault="008E6A92" w:rsidP="008E6A92"/>
    <w:p w14:paraId="540592DA" w14:textId="65803FE1" w:rsidR="008E6A92" w:rsidRDefault="008E6A92" w:rsidP="008E6A92">
      <w:pPr>
        <w:rPr>
          <w:u w:val="single"/>
        </w:rPr>
      </w:pPr>
      <w:r w:rsidRPr="008E6A92">
        <w:rPr>
          <w:u w:val="single"/>
        </w:rPr>
        <w:t>Alternate Activities and Special Cases – Pre-Process Docketed Cases</w:t>
      </w:r>
    </w:p>
    <w:p w14:paraId="480B65BE" w14:textId="77777777" w:rsidR="004F7DCA" w:rsidRDefault="004F7DCA" w:rsidP="004F7DCA">
      <w:r>
        <w:t>System must support the following alternate activities and special cases:</w:t>
      </w:r>
    </w:p>
    <w:p w14:paraId="74DF8CC9" w14:textId="77777777" w:rsidR="008E6A92" w:rsidRDefault="008E6A92" w:rsidP="00E16D2D">
      <w:pPr>
        <w:pStyle w:val="LB1"/>
      </w:pPr>
      <w:r>
        <w:t>Removing a case from docket</w:t>
      </w:r>
    </w:p>
    <w:p w14:paraId="1E6C1739" w14:textId="77777777" w:rsidR="008E6A92" w:rsidRDefault="008E6A92" w:rsidP="007D72FC"/>
    <w:p w14:paraId="33C3A8B2" w14:textId="77777777" w:rsidR="008E6A92" w:rsidRPr="008E6A92" w:rsidRDefault="008E6A92" w:rsidP="008E6A92">
      <w:pPr>
        <w:rPr>
          <w:u w:val="single"/>
        </w:rPr>
      </w:pPr>
      <w:bookmarkStart w:id="348" w:name="_Hlk863059"/>
      <w:r w:rsidRPr="008E6A92">
        <w:rPr>
          <w:u w:val="single"/>
        </w:rPr>
        <w:t>Main Activities – Document Vote</w:t>
      </w:r>
    </w:p>
    <w:p w14:paraId="742B76F9" w14:textId="4CEF4FE2" w:rsidR="008E6A92" w:rsidRDefault="00727B9C" w:rsidP="00E16D2D">
      <w:pPr>
        <w:pStyle w:val="LB1"/>
      </w:pPr>
      <w:r>
        <w:t xml:space="preserve">System must allow Staff to </w:t>
      </w:r>
      <w:r w:rsidR="008E6A92">
        <w:t>record docket votes and dissents, including notes associated with each case</w:t>
      </w:r>
    </w:p>
    <w:p w14:paraId="42802525" w14:textId="4FD83530" w:rsidR="008E6A92" w:rsidRDefault="00CE7B25" w:rsidP="00E16D2D">
      <w:pPr>
        <w:pStyle w:val="LB1"/>
      </w:pPr>
      <w:r>
        <w:t xml:space="preserve">System must support Commission voting processes; </w:t>
      </w:r>
      <w:r w:rsidRPr="009726D8">
        <w:t>including using laptops, notebooks, tablets, and mobile devices</w:t>
      </w:r>
      <w:r>
        <w:t>; during the workflow process of an appeal</w:t>
      </w:r>
    </w:p>
    <w:p w14:paraId="491DCB7E" w14:textId="77777777" w:rsidR="008E6A92" w:rsidRDefault="008E6A92" w:rsidP="008E6A92"/>
    <w:bookmarkEnd w:id="348"/>
    <w:p w14:paraId="17146C74" w14:textId="7F2BE47A" w:rsidR="008E6A92" w:rsidRDefault="008E6A92" w:rsidP="007D72FC">
      <w:pPr>
        <w:rPr>
          <w:u w:val="single"/>
        </w:rPr>
      </w:pPr>
      <w:r w:rsidRPr="007D72FC">
        <w:rPr>
          <w:u w:val="single"/>
        </w:rPr>
        <w:t>Alternate Activities and Special Cases – Document Vote</w:t>
      </w:r>
    </w:p>
    <w:p w14:paraId="11CD3AA0" w14:textId="77777777" w:rsidR="004F7DCA" w:rsidRDefault="004F7DCA" w:rsidP="004F7DCA">
      <w:r>
        <w:t>System must support the following alternate activities and special cases:</w:t>
      </w:r>
    </w:p>
    <w:p w14:paraId="35958DCF" w14:textId="55D76AF1" w:rsidR="008E6A92" w:rsidRDefault="008E6A92" w:rsidP="00E16D2D">
      <w:pPr>
        <w:pStyle w:val="LB1"/>
      </w:pPr>
      <w:r w:rsidRPr="00A93DCC">
        <w:t>Depending on the life cycle of an appeal there may be multiple voting rounds</w:t>
      </w:r>
      <w:r w:rsidR="007D72FC">
        <w:t>,</w:t>
      </w:r>
      <w:r w:rsidRPr="00A93DCC">
        <w:t xml:space="preserve"> each with different voting options and o</w:t>
      </w:r>
      <w:r w:rsidR="007D72FC">
        <w:t>utcomes as defined in Texas law</w:t>
      </w:r>
    </w:p>
    <w:p w14:paraId="456E1258" w14:textId="77777777" w:rsidR="008E6A92" w:rsidRDefault="008E6A92" w:rsidP="008E6A92"/>
    <w:p w14:paraId="2AC29323" w14:textId="77777777" w:rsidR="008E6A92" w:rsidRPr="007D72FC" w:rsidRDefault="008E6A92" w:rsidP="007D72FC">
      <w:pPr>
        <w:rPr>
          <w:u w:val="single"/>
        </w:rPr>
      </w:pPr>
      <w:r w:rsidRPr="007D72FC">
        <w:rPr>
          <w:u w:val="single"/>
        </w:rPr>
        <w:t>Main Activities – Post-Process Docketed Cases</w:t>
      </w:r>
    </w:p>
    <w:p w14:paraId="05935F0A" w14:textId="0A2EFD4E" w:rsidR="008E6A92" w:rsidRDefault="00E2460B" w:rsidP="00E16D2D">
      <w:pPr>
        <w:pStyle w:val="LB1"/>
      </w:pPr>
      <w:r>
        <w:t xml:space="preserve">System/Staff </w:t>
      </w:r>
      <w:r w:rsidR="008E6A92">
        <w:t>create</w:t>
      </w:r>
      <w:r w:rsidR="00CB2709">
        <w:t>s</w:t>
      </w:r>
      <w:r w:rsidR="008E6A92">
        <w:t xml:space="preserve"> the final vote list memo with docket vote for pulled/contested cases</w:t>
      </w:r>
    </w:p>
    <w:p w14:paraId="01B1B464" w14:textId="3D2D0F74" w:rsidR="008E6A92" w:rsidRDefault="008E6A92" w:rsidP="00E16D2D">
      <w:pPr>
        <w:pStyle w:val="OB1"/>
      </w:pPr>
      <w:r>
        <w:lastRenderedPageBreak/>
        <w:t>Approved by CA Director</w:t>
      </w:r>
      <w:r w:rsidR="0059456D">
        <w:t xml:space="preserve"> </w:t>
      </w:r>
      <w:r w:rsidR="00A53C50">
        <w:t>and/</w:t>
      </w:r>
      <w:r w:rsidR="0059456D">
        <w:t>or designee</w:t>
      </w:r>
    </w:p>
    <w:p w14:paraId="196204D2" w14:textId="77777777" w:rsidR="008E6A92" w:rsidRDefault="008E6A92" w:rsidP="00116640">
      <w:pPr>
        <w:pStyle w:val="OB1"/>
      </w:pPr>
      <w:r>
        <w:t>Distributed to Commissioners</w:t>
      </w:r>
    </w:p>
    <w:p w14:paraId="605FB160" w14:textId="1FBDE8A1" w:rsidR="008E6A92" w:rsidRDefault="00E2460B" w:rsidP="00F82166">
      <w:pPr>
        <w:pStyle w:val="LB1"/>
      </w:pPr>
      <w:r>
        <w:t xml:space="preserve">System/Staff </w:t>
      </w:r>
      <w:r w:rsidR="008E6A92">
        <w:t>prepares and stores final vote list of all docketed cases</w:t>
      </w:r>
    </w:p>
    <w:p w14:paraId="52248C7C" w14:textId="77B430FE" w:rsidR="008E6A92" w:rsidRDefault="00E2460B" w:rsidP="00F82166">
      <w:pPr>
        <w:pStyle w:val="LB1"/>
      </w:pPr>
      <w:r>
        <w:t xml:space="preserve">System/Staff </w:t>
      </w:r>
      <w:r w:rsidR="008E6A92">
        <w:t xml:space="preserve">notifies </w:t>
      </w:r>
      <w:r w:rsidR="00A55591">
        <w:t>RA</w:t>
      </w:r>
      <w:r w:rsidR="008E6A92">
        <w:t xml:space="preserve"> of action required based on docket votes</w:t>
      </w:r>
    </w:p>
    <w:p w14:paraId="5F2E5E5E" w14:textId="77777777" w:rsidR="008E6A92" w:rsidRDefault="008E6A92">
      <w:pPr>
        <w:pStyle w:val="OB1"/>
      </w:pPr>
      <w:r>
        <w:t>Reversed, modified, and/or remanded decisions</w:t>
      </w:r>
    </w:p>
    <w:p w14:paraId="10E71684" w14:textId="77777777" w:rsidR="008E6A92" w:rsidRDefault="008E6A92">
      <w:pPr>
        <w:pStyle w:val="OB1"/>
      </w:pPr>
      <w:r>
        <w:t>Rehear cases</w:t>
      </w:r>
    </w:p>
    <w:p w14:paraId="0C577BAE" w14:textId="77777777" w:rsidR="008E6A92" w:rsidRDefault="008E6A92">
      <w:pPr>
        <w:pStyle w:val="OB1"/>
      </w:pPr>
      <w:r>
        <w:t>Resubmit cases</w:t>
      </w:r>
    </w:p>
    <w:p w14:paraId="13307EC2" w14:textId="77777777" w:rsidR="008E6A92" w:rsidRDefault="008E6A92">
      <w:pPr>
        <w:pStyle w:val="OB1"/>
      </w:pPr>
      <w:r>
        <w:t>Memo creation and distribution with interdepartmental tracking</w:t>
      </w:r>
    </w:p>
    <w:p w14:paraId="467B82F6" w14:textId="77777777" w:rsidR="008E6A92" w:rsidRDefault="008E6A92">
      <w:pPr>
        <w:pStyle w:val="OB1"/>
      </w:pPr>
      <w:r>
        <w:t>Pulled/Contested case log</w:t>
      </w:r>
    </w:p>
    <w:p w14:paraId="0B5BF0D6" w14:textId="77777777" w:rsidR="008E6A92" w:rsidRDefault="008E6A92">
      <w:pPr>
        <w:pStyle w:val="OB1"/>
      </w:pPr>
      <w:r>
        <w:t>RID and OGC voted held cases</w:t>
      </w:r>
    </w:p>
    <w:p w14:paraId="6132F092" w14:textId="5831E4BF" w:rsidR="008E6A92" w:rsidRDefault="008E6A92">
      <w:pPr>
        <w:pStyle w:val="OB1"/>
      </w:pPr>
      <w:r>
        <w:t xml:space="preserve">Affirm AT decision contrary to </w:t>
      </w:r>
      <w:r w:rsidR="00A55591">
        <w:t>RA</w:t>
      </w:r>
      <w:r>
        <w:t xml:space="preserve"> recommendation</w:t>
      </w:r>
    </w:p>
    <w:p w14:paraId="7A43FF08" w14:textId="10A8765A" w:rsidR="008E6A92" w:rsidRDefault="00E2460B">
      <w:pPr>
        <w:pStyle w:val="LB1"/>
      </w:pPr>
      <w:r>
        <w:t>System must c</w:t>
      </w:r>
      <w:r w:rsidR="008E6A92">
        <w:t>irculate modified/reverse decisions to Management and Commissioners for approval</w:t>
      </w:r>
    </w:p>
    <w:p w14:paraId="1D9BC8A0" w14:textId="0EBE6BAE" w:rsidR="008E6A92" w:rsidRDefault="00E2460B">
      <w:pPr>
        <w:pStyle w:val="LB1"/>
      </w:pPr>
      <w:r>
        <w:t xml:space="preserve">System/Staff </w:t>
      </w:r>
      <w:r w:rsidR="008E6A92">
        <w:t>records</w:t>
      </w:r>
      <w:r w:rsidR="00CB2709" w:rsidRPr="00CB2709">
        <w:t xml:space="preserve"> </w:t>
      </w:r>
      <w:r w:rsidR="00CB2709">
        <w:t>decisions</w:t>
      </w:r>
      <w:r w:rsidR="008E6A92">
        <w:t xml:space="preserve"> in </w:t>
      </w:r>
      <w:r w:rsidR="00054DBA">
        <w:t>CMS</w:t>
      </w:r>
    </w:p>
    <w:p w14:paraId="7C6C5932" w14:textId="00CCB701" w:rsidR="008E6A92" w:rsidRDefault="00E2460B">
      <w:pPr>
        <w:pStyle w:val="LB1"/>
      </w:pPr>
      <w:r>
        <w:t>System/Staff must p</w:t>
      </w:r>
      <w:r w:rsidR="008E6A92">
        <w:t>rint, fold, and stuff envelopes for remaining pulled/contested case decisions</w:t>
      </w:r>
    </w:p>
    <w:p w14:paraId="63A6C068" w14:textId="77777777" w:rsidR="008E6A92" w:rsidRDefault="008E6A92">
      <w:pPr>
        <w:pStyle w:val="OB1"/>
      </w:pPr>
      <w:r>
        <w:t>Include appeal rights with decision</w:t>
      </w:r>
    </w:p>
    <w:p w14:paraId="0F304FB1" w14:textId="3F6209C6" w:rsidR="008E6A92" w:rsidRDefault="00E2460B">
      <w:pPr>
        <w:pStyle w:val="LB1"/>
      </w:pPr>
      <w:r>
        <w:t>Staff must m</w:t>
      </w:r>
      <w:r w:rsidR="008E6A92">
        <w:t>ail envelopes</w:t>
      </w:r>
    </w:p>
    <w:p w14:paraId="4B6E0115" w14:textId="77777777" w:rsidR="008E6A92" w:rsidRDefault="008E6A92" w:rsidP="008E6A92"/>
    <w:p w14:paraId="69890727" w14:textId="1E15F5BC" w:rsidR="0038474B" w:rsidRDefault="0038474B" w:rsidP="0038474B">
      <w:pPr>
        <w:pStyle w:val="Heading4"/>
      </w:pPr>
      <w:r>
        <w:tab/>
      </w:r>
      <w:r w:rsidR="007D72FC">
        <w:t>Issue Decision</w:t>
      </w:r>
    </w:p>
    <w:p w14:paraId="48E45702" w14:textId="65FB1282" w:rsidR="0038474B" w:rsidRPr="00B0723C" w:rsidRDefault="007D72FC" w:rsidP="0038474B">
      <w:r>
        <w:t>This process includes all activities required to issue a decision</w:t>
      </w:r>
      <w:r w:rsidR="0038474B">
        <w:t>.</w:t>
      </w:r>
    </w:p>
    <w:p w14:paraId="7AEABA85" w14:textId="77777777" w:rsidR="0038474B" w:rsidRPr="003A23F0" w:rsidRDefault="0038474B" w:rsidP="0038474B">
      <w:pPr>
        <w:rPr>
          <w:u w:val="single"/>
        </w:rPr>
      </w:pPr>
      <w:r w:rsidRPr="003A23F0">
        <w:rPr>
          <w:u w:val="single"/>
        </w:rPr>
        <w:t>Actors</w:t>
      </w:r>
    </w:p>
    <w:p w14:paraId="1A027582" w14:textId="77777777" w:rsidR="0038474B" w:rsidRDefault="0038474B" w:rsidP="00E16D2D">
      <w:pPr>
        <w:pStyle w:val="LB1"/>
      </w:pPr>
      <w:r>
        <w:t>Staff</w:t>
      </w:r>
    </w:p>
    <w:p w14:paraId="6B62B2FF" w14:textId="77777777" w:rsidR="0038474B" w:rsidRPr="00DF6567" w:rsidRDefault="0038474B" w:rsidP="0038474B"/>
    <w:p w14:paraId="4479D85F" w14:textId="77777777" w:rsidR="0038474B" w:rsidRPr="003A23F0" w:rsidRDefault="0038474B" w:rsidP="0038474B">
      <w:pPr>
        <w:rPr>
          <w:u w:val="single"/>
        </w:rPr>
      </w:pPr>
      <w:r w:rsidRPr="003A23F0">
        <w:rPr>
          <w:u w:val="single"/>
        </w:rPr>
        <w:t>Main Activities</w:t>
      </w:r>
    </w:p>
    <w:p w14:paraId="08F94E1D" w14:textId="2F4A120D" w:rsidR="007D72FC" w:rsidRDefault="007D72FC" w:rsidP="00E16D2D">
      <w:pPr>
        <w:pStyle w:val="LB1"/>
      </w:pPr>
      <w:r>
        <w:t xml:space="preserve">System must allow Staff to modify decisions in accordance with commission vote (e.g., updating dissents, updating decision language, </w:t>
      </w:r>
      <w:r w:rsidR="002E32BC">
        <w:t xml:space="preserve">long form dissent, </w:t>
      </w:r>
      <w:r w:rsidR="005857DA">
        <w:t>etc</w:t>
      </w:r>
      <w:r>
        <w:t>.)</w:t>
      </w:r>
    </w:p>
    <w:p w14:paraId="5F3653B3" w14:textId="520DD90D" w:rsidR="007D72FC" w:rsidRDefault="006F36F3" w:rsidP="00E16D2D">
      <w:pPr>
        <w:pStyle w:val="LB1"/>
      </w:pPr>
      <w:r>
        <w:t xml:space="preserve">System must allow Staff to </w:t>
      </w:r>
      <w:r w:rsidR="007D72FC">
        <w:t xml:space="preserve">search and select </w:t>
      </w:r>
      <w:r>
        <w:t>an</w:t>
      </w:r>
      <w:r w:rsidR="007D72FC">
        <w:t xml:space="preserve"> assigned case to issue a decision</w:t>
      </w:r>
    </w:p>
    <w:p w14:paraId="4235D777" w14:textId="00240D77" w:rsidR="007D72FC" w:rsidRDefault="006F36F3" w:rsidP="00116640">
      <w:pPr>
        <w:pStyle w:val="LB1"/>
      </w:pPr>
      <w:r>
        <w:t>System must allow Staff to s</w:t>
      </w:r>
      <w:r w:rsidR="007D72FC">
        <w:t xml:space="preserve">ubmit </w:t>
      </w:r>
      <w:r>
        <w:t xml:space="preserve">a </w:t>
      </w:r>
      <w:r w:rsidR="007D72FC">
        <w:t>decision for mailing</w:t>
      </w:r>
    </w:p>
    <w:p w14:paraId="2697B71D" w14:textId="23729AC8" w:rsidR="007D72FC" w:rsidRDefault="006F36F3" w:rsidP="00F82166">
      <w:pPr>
        <w:pStyle w:val="LB1"/>
      </w:pPr>
      <w:r>
        <w:t>System must allow Staff to a</w:t>
      </w:r>
      <w:r w:rsidR="007D72FC">
        <w:t>dd mail date and appeal deadline</w:t>
      </w:r>
    </w:p>
    <w:p w14:paraId="2558A6EF" w14:textId="6F88E964" w:rsidR="007D72FC" w:rsidRDefault="006F36F3" w:rsidP="00F82166">
      <w:pPr>
        <w:pStyle w:val="LB1"/>
      </w:pPr>
      <w:r>
        <w:t xml:space="preserve">System must include </w:t>
      </w:r>
      <w:r w:rsidR="00A239E8">
        <w:t>English and Spanish</w:t>
      </w:r>
      <w:r w:rsidRPr="006F36F3">
        <w:t xml:space="preserve"> </w:t>
      </w:r>
      <w:r>
        <w:t>document templates</w:t>
      </w:r>
    </w:p>
    <w:p w14:paraId="5508D8AB" w14:textId="55824949" w:rsidR="007D72FC" w:rsidRDefault="006F36F3">
      <w:pPr>
        <w:pStyle w:val="LB1"/>
      </w:pPr>
      <w:r>
        <w:t>System must t</w:t>
      </w:r>
      <w:r w:rsidR="007D72FC">
        <w:t>ransmit decision to state printing agency or local printers, print and stuff envelopes</w:t>
      </w:r>
    </w:p>
    <w:p w14:paraId="4F6CFAA7" w14:textId="3370F954" w:rsidR="007D72FC" w:rsidRDefault="006F36F3">
      <w:pPr>
        <w:pStyle w:val="LB1"/>
      </w:pPr>
      <w:r>
        <w:t xml:space="preserve">System must upload decision into CMS/self-service portals </w:t>
      </w:r>
    </w:p>
    <w:p w14:paraId="22D8AD0A" w14:textId="6860FDB7" w:rsidR="007D72FC" w:rsidRDefault="006F36F3">
      <w:pPr>
        <w:pStyle w:val="LB1"/>
      </w:pPr>
      <w:r>
        <w:t>System must m</w:t>
      </w:r>
      <w:r w:rsidR="007D72FC">
        <w:t>ail decision based on business rules</w:t>
      </w:r>
    </w:p>
    <w:p w14:paraId="6D732056" w14:textId="77777777" w:rsidR="007D72FC" w:rsidRDefault="007D72FC" w:rsidP="007D72FC"/>
    <w:p w14:paraId="74AC7CEC" w14:textId="2D4AF9FC" w:rsidR="007D72FC" w:rsidRDefault="007D72FC" w:rsidP="007D72FC">
      <w:pPr>
        <w:rPr>
          <w:u w:val="single"/>
        </w:rPr>
      </w:pPr>
      <w:r w:rsidRPr="007D72FC">
        <w:rPr>
          <w:u w:val="single"/>
        </w:rPr>
        <w:t>Alternate Activities and Special Cases</w:t>
      </w:r>
    </w:p>
    <w:p w14:paraId="4634694C" w14:textId="77777777" w:rsidR="004F7DCA" w:rsidRDefault="004F7DCA" w:rsidP="004F7DCA">
      <w:r>
        <w:lastRenderedPageBreak/>
        <w:t>System must support the following alternate activities and special cases:</w:t>
      </w:r>
    </w:p>
    <w:p w14:paraId="18416957" w14:textId="77777777" w:rsidR="007D72FC" w:rsidRDefault="007D72FC" w:rsidP="00E16D2D">
      <w:pPr>
        <w:pStyle w:val="LB1"/>
      </w:pPr>
      <w:r>
        <w:t xml:space="preserve">Pulling decisions </w:t>
      </w:r>
    </w:p>
    <w:p w14:paraId="2072EEF9" w14:textId="77777777" w:rsidR="007D72FC" w:rsidRDefault="007D72FC" w:rsidP="00E16D2D">
      <w:pPr>
        <w:pStyle w:val="OB1"/>
      </w:pPr>
      <w:r>
        <w:t>Removing a decision from printing/mailing/publishing queue</w:t>
      </w:r>
    </w:p>
    <w:p w14:paraId="74467B0E" w14:textId="77777777" w:rsidR="007D72FC" w:rsidRDefault="007D72FC" w:rsidP="00116640">
      <w:pPr>
        <w:pStyle w:val="OB1"/>
      </w:pPr>
      <w:r>
        <w:t>Roll back data update</w:t>
      </w:r>
    </w:p>
    <w:p w14:paraId="4EEBB58E" w14:textId="77777777" w:rsidR="007D72FC" w:rsidRDefault="007D72FC" w:rsidP="00F82166">
      <w:pPr>
        <w:pStyle w:val="OB1"/>
      </w:pPr>
      <w:r>
        <w:t>Delete inserted document(s)</w:t>
      </w:r>
    </w:p>
    <w:p w14:paraId="43A0F0F6" w14:textId="77777777" w:rsidR="007D72FC" w:rsidRDefault="007D72FC" w:rsidP="00F82166">
      <w:pPr>
        <w:pStyle w:val="LB1"/>
      </w:pPr>
      <w:r>
        <w:t>Foreign mail</w:t>
      </w:r>
    </w:p>
    <w:p w14:paraId="1048E82F" w14:textId="77777777" w:rsidR="007D72FC" w:rsidRDefault="007D72FC">
      <w:pPr>
        <w:pStyle w:val="LB1"/>
      </w:pPr>
      <w:r>
        <w:t>Interoffice mail</w:t>
      </w:r>
    </w:p>
    <w:p w14:paraId="58000C3E" w14:textId="77777777" w:rsidR="007D72FC" w:rsidRDefault="007D72FC">
      <w:pPr>
        <w:pStyle w:val="LB1"/>
      </w:pPr>
      <w:r>
        <w:t>Re-date/Re-mail decisions</w:t>
      </w:r>
    </w:p>
    <w:p w14:paraId="14E29712" w14:textId="77777777" w:rsidR="007D72FC" w:rsidRDefault="007D72FC">
      <w:pPr>
        <w:pStyle w:val="LB1"/>
      </w:pPr>
      <w:r>
        <w:t xml:space="preserve">RAs using typists </w:t>
      </w:r>
    </w:p>
    <w:p w14:paraId="065ED904" w14:textId="03845433" w:rsidR="00A53C50" w:rsidRDefault="00A53C50">
      <w:pPr>
        <w:pStyle w:val="LB1"/>
      </w:pPr>
      <w:r>
        <w:t xml:space="preserve">Correction of documents included in the file </w:t>
      </w:r>
      <w:r w:rsidR="00091E06">
        <w:t>or correspondence</w:t>
      </w:r>
    </w:p>
    <w:p w14:paraId="7FB812B7" w14:textId="34A9CD33" w:rsidR="00A53C50" w:rsidRDefault="00A53C50">
      <w:pPr>
        <w:pStyle w:val="OB1"/>
      </w:pPr>
      <w:r>
        <w:t>Ability to remove and move documents</w:t>
      </w:r>
      <w:r w:rsidR="003C3FC1" w:rsidRPr="003C3FC1">
        <w:t xml:space="preserve"> </w:t>
      </w:r>
      <w:r w:rsidR="003C3FC1">
        <w:t>or correspondence</w:t>
      </w:r>
    </w:p>
    <w:p w14:paraId="53B2F363" w14:textId="77777777" w:rsidR="00A53C50" w:rsidRDefault="00A53C50">
      <w:pPr>
        <w:pStyle w:val="OB1"/>
      </w:pPr>
      <w:r>
        <w:t>Letters</w:t>
      </w:r>
    </w:p>
    <w:p w14:paraId="132FEF04" w14:textId="77777777" w:rsidR="00A53C50" w:rsidRDefault="00A53C50">
      <w:pPr>
        <w:pStyle w:val="OB1"/>
      </w:pPr>
      <w:r>
        <w:t>Tracking</w:t>
      </w:r>
    </w:p>
    <w:p w14:paraId="30F11BF5" w14:textId="702C3FBB" w:rsidR="00A53C50" w:rsidRDefault="007E1277">
      <w:pPr>
        <w:pStyle w:val="OB1"/>
      </w:pPr>
      <w:r>
        <w:t>Edit metadata</w:t>
      </w:r>
    </w:p>
    <w:p w14:paraId="02DDE4AE" w14:textId="1D476B3C" w:rsidR="007E1277" w:rsidRDefault="007E1277">
      <w:pPr>
        <w:pStyle w:val="OB1"/>
      </w:pPr>
      <w:r>
        <w:t>Redacting</w:t>
      </w:r>
    </w:p>
    <w:p w14:paraId="53CA3A45" w14:textId="77777777" w:rsidR="007D72FC" w:rsidRDefault="007D72FC" w:rsidP="007D72FC"/>
    <w:p w14:paraId="334D9765" w14:textId="300D4F2B" w:rsidR="0038474B" w:rsidRDefault="0038474B" w:rsidP="0038474B">
      <w:pPr>
        <w:pStyle w:val="Heading4"/>
      </w:pPr>
      <w:r>
        <w:tab/>
      </w:r>
      <w:r w:rsidR="00EC4CE7">
        <w:t>Record Decision</w:t>
      </w:r>
    </w:p>
    <w:p w14:paraId="42B5C10E" w14:textId="7444B3EE" w:rsidR="0038474B" w:rsidRPr="00B0723C" w:rsidRDefault="00EC4CE7" w:rsidP="0038474B">
      <w:r>
        <w:t>This process includes all activities required to record a decision</w:t>
      </w:r>
      <w:r w:rsidRPr="00EE5A48">
        <w:t xml:space="preserve"> </w:t>
      </w:r>
      <w:r>
        <w:t>in the UI system</w:t>
      </w:r>
      <w:r w:rsidR="0038474B">
        <w:t>.</w:t>
      </w:r>
    </w:p>
    <w:p w14:paraId="51BC0060" w14:textId="77777777" w:rsidR="0038474B" w:rsidRPr="003A23F0" w:rsidRDefault="0038474B" w:rsidP="0038474B">
      <w:pPr>
        <w:rPr>
          <w:u w:val="single"/>
        </w:rPr>
      </w:pPr>
      <w:r w:rsidRPr="003A23F0">
        <w:rPr>
          <w:u w:val="single"/>
        </w:rPr>
        <w:t>Actors</w:t>
      </w:r>
    </w:p>
    <w:p w14:paraId="34675391" w14:textId="1B9F5A1D" w:rsidR="0038474B" w:rsidRDefault="0038474B" w:rsidP="00E16D2D">
      <w:pPr>
        <w:pStyle w:val="LB1"/>
      </w:pPr>
      <w:r>
        <w:t>Staff</w:t>
      </w:r>
    </w:p>
    <w:p w14:paraId="4B50D670" w14:textId="72AF2316" w:rsidR="00EC4CE7" w:rsidRDefault="00EC4CE7" w:rsidP="00E16D2D">
      <w:pPr>
        <w:pStyle w:val="OB1"/>
      </w:pPr>
      <w:r>
        <w:t>Appeals</w:t>
      </w:r>
    </w:p>
    <w:p w14:paraId="43E1E7EC" w14:textId="5470DB7F" w:rsidR="00EC4CE7" w:rsidRDefault="00EC4CE7" w:rsidP="00116640">
      <w:pPr>
        <w:pStyle w:val="OB1"/>
      </w:pPr>
      <w:r>
        <w:t>Fraud/BPC</w:t>
      </w:r>
    </w:p>
    <w:p w14:paraId="08A167C3" w14:textId="0470C78D" w:rsidR="00EC4CE7" w:rsidRDefault="00EC4CE7" w:rsidP="00F82166">
      <w:pPr>
        <w:pStyle w:val="OB1"/>
      </w:pPr>
      <w:r>
        <w:t>Tax</w:t>
      </w:r>
    </w:p>
    <w:p w14:paraId="75A42C35" w14:textId="4EAC66FC" w:rsidR="00EC4CE7" w:rsidRDefault="00EC4CE7" w:rsidP="00F82166">
      <w:pPr>
        <w:pStyle w:val="OB1"/>
      </w:pPr>
      <w:r>
        <w:t>Benefits</w:t>
      </w:r>
    </w:p>
    <w:p w14:paraId="7AFDC2B4" w14:textId="77777777" w:rsidR="0038474B" w:rsidRPr="00DF6567" w:rsidRDefault="0038474B" w:rsidP="0038474B"/>
    <w:p w14:paraId="74237C35" w14:textId="77777777" w:rsidR="0038474B" w:rsidRPr="003A23F0" w:rsidRDefault="0038474B" w:rsidP="0038474B">
      <w:pPr>
        <w:rPr>
          <w:u w:val="single"/>
        </w:rPr>
      </w:pPr>
      <w:r w:rsidRPr="003A23F0">
        <w:rPr>
          <w:u w:val="single"/>
        </w:rPr>
        <w:t>Main Activities</w:t>
      </w:r>
    </w:p>
    <w:p w14:paraId="58A6A352" w14:textId="77777777" w:rsidR="00EC4CE7" w:rsidRDefault="00EC4CE7" w:rsidP="00E16D2D">
      <w:pPr>
        <w:pStyle w:val="LB1"/>
      </w:pPr>
      <w:r>
        <w:t xml:space="preserve">System must automatically capture or fill out decision properties and record in the UI System </w:t>
      </w:r>
    </w:p>
    <w:p w14:paraId="0BD46678" w14:textId="02DF72C6" w:rsidR="00EC4CE7" w:rsidRDefault="00EC4CE7" w:rsidP="00E16D2D">
      <w:pPr>
        <w:pStyle w:val="OB1"/>
      </w:pPr>
      <w:r>
        <w:t>Is appellant favored (yes or no)</w:t>
      </w:r>
    </w:p>
    <w:p w14:paraId="6E6BCFB9" w14:textId="77777777" w:rsidR="00EC4CE7" w:rsidRDefault="00EC4CE7" w:rsidP="00116640">
      <w:pPr>
        <w:pStyle w:val="OB1"/>
      </w:pPr>
      <w:r>
        <w:t>Issues</w:t>
      </w:r>
    </w:p>
    <w:p w14:paraId="390CED02" w14:textId="77777777" w:rsidR="00EC4CE7" w:rsidRDefault="00EC4CE7" w:rsidP="00F82166">
      <w:pPr>
        <w:pStyle w:val="OB1"/>
      </w:pPr>
      <w:r>
        <w:t xml:space="preserve">Ruling </w:t>
      </w:r>
    </w:p>
    <w:p w14:paraId="3FED48DB" w14:textId="77777777" w:rsidR="00EC4CE7" w:rsidRDefault="00EC4CE7" w:rsidP="00EC4CE7">
      <w:pPr>
        <w:pStyle w:val="SB1"/>
      </w:pPr>
      <w:r>
        <w:t>Pay or no pay</w:t>
      </w:r>
    </w:p>
    <w:p w14:paraId="0D10DF51" w14:textId="77777777" w:rsidR="00EC4CE7" w:rsidRDefault="00EC4CE7" w:rsidP="00EC4CE7">
      <w:pPr>
        <w:pStyle w:val="SB1"/>
      </w:pPr>
      <w:r>
        <w:t>Dates of ineligibilities/disqualifications</w:t>
      </w:r>
    </w:p>
    <w:p w14:paraId="5B53CD2A" w14:textId="77777777" w:rsidR="00EC4CE7" w:rsidRDefault="00EC4CE7" w:rsidP="00EC4CE7">
      <w:pPr>
        <w:pStyle w:val="SB1"/>
      </w:pPr>
      <w:r>
        <w:t>Void determinations/decisions</w:t>
      </w:r>
    </w:p>
    <w:p w14:paraId="38F29A93" w14:textId="77777777" w:rsidR="00EC4CE7" w:rsidRDefault="00EC4CE7" w:rsidP="00EC4CE7">
      <w:pPr>
        <w:pStyle w:val="SB1"/>
      </w:pPr>
      <w:r>
        <w:t>Etc.</w:t>
      </w:r>
    </w:p>
    <w:p w14:paraId="4E20DCD5" w14:textId="77777777" w:rsidR="00EC4CE7" w:rsidRDefault="00EC4CE7" w:rsidP="00E16D2D">
      <w:pPr>
        <w:pStyle w:val="OB1"/>
      </w:pPr>
      <w:r>
        <w:t>Affected party</w:t>
      </w:r>
    </w:p>
    <w:p w14:paraId="5DC4B2A4" w14:textId="77777777" w:rsidR="00EC4CE7" w:rsidRDefault="00EC4CE7" w:rsidP="00E16D2D">
      <w:pPr>
        <w:pStyle w:val="OB1"/>
      </w:pPr>
      <w:r>
        <w:t>Mail date</w:t>
      </w:r>
    </w:p>
    <w:p w14:paraId="5E06208F" w14:textId="77777777" w:rsidR="00EC4CE7" w:rsidRDefault="00EC4CE7" w:rsidP="00E16D2D">
      <w:pPr>
        <w:pStyle w:val="OB1"/>
      </w:pPr>
      <w:r>
        <w:t>Liability status</w:t>
      </w:r>
    </w:p>
    <w:p w14:paraId="2C1BE5C4" w14:textId="77777777" w:rsidR="00EC4CE7" w:rsidRDefault="00EC4CE7" w:rsidP="00EC4CE7">
      <w:pPr>
        <w:pStyle w:val="SB1"/>
      </w:pPr>
      <w:r>
        <w:lastRenderedPageBreak/>
        <w:t>Charge or no charge</w:t>
      </w:r>
    </w:p>
    <w:p w14:paraId="454A658C" w14:textId="5F129246" w:rsidR="00EC4CE7" w:rsidRDefault="00EC4CE7" w:rsidP="00EC4CE7">
      <w:pPr>
        <w:pStyle w:val="SB1"/>
      </w:pPr>
      <w:r>
        <w:t xml:space="preserve">Adequacy of </w:t>
      </w:r>
      <w:r w:rsidR="00930F59">
        <w:t>Employer</w:t>
      </w:r>
      <w:r>
        <w:t>’s response</w:t>
      </w:r>
    </w:p>
    <w:p w14:paraId="5226816D" w14:textId="77777777" w:rsidR="00EC4CE7" w:rsidRDefault="00EC4CE7" w:rsidP="00EC4CE7">
      <w:pPr>
        <w:pStyle w:val="SB1"/>
      </w:pPr>
      <w:r>
        <w:t>Etc.</w:t>
      </w:r>
    </w:p>
    <w:p w14:paraId="2A401D13" w14:textId="77777777" w:rsidR="00EC4CE7" w:rsidRDefault="00EC4CE7" w:rsidP="00E16D2D">
      <w:pPr>
        <w:pStyle w:val="OB1"/>
      </w:pPr>
      <w:r>
        <w:t>Decision type</w:t>
      </w:r>
    </w:p>
    <w:p w14:paraId="78A819A5" w14:textId="77777777" w:rsidR="00EC4CE7" w:rsidRDefault="00EC4CE7" w:rsidP="00E16D2D">
      <w:pPr>
        <w:pStyle w:val="OB1"/>
      </w:pPr>
      <w:r>
        <w:t>Votes</w:t>
      </w:r>
    </w:p>
    <w:p w14:paraId="62B0BD34" w14:textId="0610955B" w:rsidR="00755AB3" w:rsidRDefault="00755AB3" w:rsidP="00EC4CE7">
      <w:pPr>
        <w:pStyle w:val="SB1"/>
      </w:pPr>
      <w:r>
        <w:t>Record the majority vote</w:t>
      </w:r>
    </w:p>
    <w:p w14:paraId="63ECD489" w14:textId="3355191A" w:rsidR="00EC4CE7" w:rsidRDefault="00EC4CE7" w:rsidP="00EC4CE7">
      <w:pPr>
        <w:pStyle w:val="SB1"/>
      </w:pPr>
      <w:r>
        <w:t>Commissioners concur/dissent</w:t>
      </w:r>
    </w:p>
    <w:p w14:paraId="0FA286E1" w14:textId="77777777" w:rsidR="00EC4CE7" w:rsidRDefault="00EC4CE7" w:rsidP="00EC4CE7">
      <w:pPr>
        <w:pStyle w:val="SB1"/>
      </w:pPr>
      <w:r>
        <w:t>Short Form / Long Form</w:t>
      </w:r>
    </w:p>
    <w:p w14:paraId="691D29EC" w14:textId="77777777" w:rsidR="00EC4CE7" w:rsidRDefault="00EC4CE7" w:rsidP="00E16D2D">
      <w:pPr>
        <w:pStyle w:val="LB1"/>
      </w:pPr>
      <w:r>
        <w:t>System must allow Staff to manually correct decision properties if necessary</w:t>
      </w:r>
    </w:p>
    <w:p w14:paraId="1EDE27D1" w14:textId="77777777" w:rsidR="00EC4CE7" w:rsidRDefault="00EC4CE7" w:rsidP="00EC4CE7"/>
    <w:p w14:paraId="4BAA31AD" w14:textId="07DB60E0" w:rsidR="00EC4CE7" w:rsidRDefault="00EC4CE7" w:rsidP="00EC4CE7">
      <w:pPr>
        <w:rPr>
          <w:u w:val="single"/>
        </w:rPr>
      </w:pPr>
      <w:r w:rsidRPr="00EC4CE7">
        <w:rPr>
          <w:u w:val="single"/>
        </w:rPr>
        <w:t>Alternate Activities and Special Cases</w:t>
      </w:r>
    </w:p>
    <w:p w14:paraId="70B07143" w14:textId="77777777" w:rsidR="004F7DCA" w:rsidRDefault="004F7DCA" w:rsidP="004F7DCA">
      <w:r>
        <w:t>System must support the following alternate activities and special cases:</w:t>
      </w:r>
    </w:p>
    <w:p w14:paraId="5B408EE4" w14:textId="77777777" w:rsidR="00EC4CE7" w:rsidRDefault="00EC4CE7" w:rsidP="00E16D2D">
      <w:pPr>
        <w:pStyle w:val="LB1"/>
      </w:pPr>
      <w:r>
        <w:t>Decisions implemented by other departments</w:t>
      </w:r>
    </w:p>
    <w:p w14:paraId="4E107487" w14:textId="4C4F779F" w:rsidR="00EC4CE7" w:rsidRPr="00EC4CE7" w:rsidRDefault="00EC4CE7" w:rsidP="00E16D2D">
      <w:pPr>
        <w:pStyle w:val="OB1"/>
      </w:pPr>
      <w:r>
        <w:t>Benefits (</w:t>
      </w:r>
      <w:r w:rsidRPr="00EC4CE7">
        <w:t xml:space="preserve">see </w:t>
      </w:r>
      <w:hyperlink w:anchor="_A6.1_Benefits_1" w:history="1">
        <w:r w:rsidRPr="00EC4CE7">
          <w:rPr>
            <w:rStyle w:val="Hyperlink"/>
          </w:rPr>
          <w:t>Attachment A6.1</w:t>
        </w:r>
      </w:hyperlink>
      <w:r w:rsidRPr="00EC4CE7">
        <w:t>)</w:t>
      </w:r>
    </w:p>
    <w:p w14:paraId="56B6A0E3" w14:textId="63726111" w:rsidR="00EC4CE7" w:rsidRPr="00EC4CE7" w:rsidRDefault="00EC4CE7" w:rsidP="00116640">
      <w:pPr>
        <w:pStyle w:val="OB1"/>
      </w:pPr>
      <w:r w:rsidRPr="00EC4CE7">
        <w:t xml:space="preserve">Tax (see </w:t>
      </w:r>
      <w:hyperlink w:anchor="_A6.2_Tax" w:history="1">
        <w:r w:rsidRPr="00EC4CE7">
          <w:rPr>
            <w:rStyle w:val="Hyperlink"/>
          </w:rPr>
          <w:t>Attachment A6.2</w:t>
        </w:r>
      </w:hyperlink>
      <w:r w:rsidRPr="00EC4CE7">
        <w:t>)</w:t>
      </w:r>
    </w:p>
    <w:p w14:paraId="38CD9110" w14:textId="3D0982F8" w:rsidR="00EC4CE7" w:rsidRDefault="00EC4CE7" w:rsidP="00F82166">
      <w:pPr>
        <w:pStyle w:val="OB1"/>
      </w:pPr>
      <w:r w:rsidRPr="00EC4CE7">
        <w:t xml:space="preserve">RID/BPC (see </w:t>
      </w:r>
      <w:hyperlink w:anchor="_A6.6_Regulatory_Integrity" w:history="1">
        <w:r w:rsidRPr="00EC4CE7">
          <w:rPr>
            <w:rStyle w:val="Hyperlink"/>
          </w:rPr>
          <w:t>Attachment A6.6</w:t>
        </w:r>
      </w:hyperlink>
      <w:r>
        <w:t>)</w:t>
      </w:r>
    </w:p>
    <w:p w14:paraId="42606A8C" w14:textId="420F4822" w:rsidR="00EC4CE7" w:rsidRDefault="00EC4CE7" w:rsidP="00F82166">
      <w:pPr>
        <w:pStyle w:val="OB1"/>
      </w:pPr>
      <w:r>
        <w:t>With traceability or status back to CA</w:t>
      </w:r>
    </w:p>
    <w:p w14:paraId="7210D875" w14:textId="77777777" w:rsidR="0038474B" w:rsidRDefault="0038474B" w:rsidP="0038474B"/>
    <w:p w14:paraId="0F34E499" w14:textId="04D08089" w:rsidR="0038474B" w:rsidRDefault="0038474B" w:rsidP="0038474B">
      <w:pPr>
        <w:pStyle w:val="Heading4"/>
      </w:pPr>
      <w:r>
        <w:tab/>
      </w:r>
      <w:r w:rsidR="00060282">
        <w:t>Schedule Hearing</w:t>
      </w:r>
    </w:p>
    <w:p w14:paraId="7B328C6F" w14:textId="0298B1AF" w:rsidR="0038474B" w:rsidRPr="00B0723C" w:rsidRDefault="00060282" w:rsidP="0038474B">
      <w:r>
        <w:t>This process includes all activities required to schedule a hearing</w:t>
      </w:r>
      <w:r w:rsidR="0038474B">
        <w:t>.</w:t>
      </w:r>
    </w:p>
    <w:p w14:paraId="5D4269C5" w14:textId="77777777" w:rsidR="0038474B" w:rsidRPr="003A23F0" w:rsidRDefault="0038474B" w:rsidP="0038474B">
      <w:pPr>
        <w:rPr>
          <w:u w:val="single"/>
        </w:rPr>
      </w:pPr>
      <w:r w:rsidRPr="003A23F0">
        <w:rPr>
          <w:u w:val="single"/>
        </w:rPr>
        <w:t>Actors</w:t>
      </w:r>
    </w:p>
    <w:p w14:paraId="57E096B0" w14:textId="77777777" w:rsidR="0038474B" w:rsidRDefault="0038474B" w:rsidP="00E16D2D">
      <w:pPr>
        <w:pStyle w:val="LB1"/>
      </w:pPr>
      <w:r>
        <w:t>Staff</w:t>
      </w:r>
    </w:p>
    <w:p w14:paraId="5E01BBE5" w14:textId="77777777" w:rsidR="0038474B" w:rsidRPr="00DF6567" w:rsidRDefault="0038474B" w:rsidP="0038474B"/>
    <w:p w14:paraId="039237DB" w14:textId="77777777" w:rsidR="0038474B" w:rsidRPr="003A23F0" w:rsidRDefault="0038474B" w:rsidP="0038474B">
      <w:pPr>
        <w:rPr>
          <w:u w:val="single"/>
        </w:rPr>
      </w:pPr>
      <w:r w:rsidRPr="003A23F0">
        <w:rPr>
          <w:u w:val="single"/>
        </w:rPr>
        <w:t>Main Activities</w:t>
      </w:r>
    </w:p>
    <w:p w14:paraId="54CA9434" w14:textId="77777777" w:rsidR="00060282" w:rsidRDefault="00060282" w:rsidP="00E16D2D">
      <w:pPr>
        <w:pStyle w:val="LB1"/>
      </w:pPr>
      <w:r w:rsidRPr="00180B5B">
        <w:t>System must automatic</w:t>
      </w:r>
      <w:r>
        <w:t>ally</w:t>
      </w:r>
      <w:r w:rsidRPr="00180B5B">
        <w:t xml:space="preserve"> or manual</w:t>
      </w:r>
      <w:r>
        <w:t>ly</w:t>
      </w:r>
      <w:r w:rsidRPr="00180B5B">
        <w:t xml:space="preserve"> </w:t>
      </w:r>
      <w:r>
        <w:t>schedule or assign an appeal</w:t>
      </w:r>
    </w:p>
    <w:p w14:paraId="7AA46FC5" w14:textId="77777777" w:rsidR="00060282" w:rsidRDefault="00060282" w:rsidP="00E16D2D">
      <w:pPr>
        <w:pStyle w:val="OB1"/>
      </w:pPr>
      <w:r w:rsidRPr="00180B5B">
        <w:t xml:space="preserve">Automatic scheduling must be based on </w:t>
      </w:r>
      <w:r>
        <w:t xml:space="preserve">rehearing worksheet and </w:t>
      </w:r>
      <w:r w:rsidRPr="00180B5B">
        <w:t xml:space="preserve">business defined criteria </w:t>
      </w:r>
      <w:r>
        <w:t>including:</w:t>
      </w:r>
    </w:p>
    <w:p w14:paraId="1160D374" w14:textId="2E6F5D5E" w:rsidR="00060282" w:rsidRDefault="00A55591" w:rsidP="00060282">
      <w:pPr>
        <w:pStyle w:val="SB1"/>
      </w:pPr>
      <w:r>
        <w:t>RA</w:t>
      </w:r>
      <w:r w:rsidR="00060282">
        <w:t xml:space="preserve"> s</w:t>
      </w:r>
      <w:r w:rsidR="00060282" w:rsidRPr="00180B5B">
        <w:t>kill level</w:t>
      </w:r>
      <w:r w:rsidR="00060282">
        <w:t xml:space="preserve"> and schedule</w:t>
      </w:r>
    </w:p>
    <w:p w14:paraId="4A9CB86C" w14:textId="77777777" w:rsidR="00060282" w:rsidRDefault="00060282" w:rsidP="00060282">
      <w:pPr>
        <w:pStyle w:val="SB1"/>
      </w:pPr>
      <w:r>
        <w:t>Program code</w:t>
      </w:r>
    </w:p>
    <w:p w14:paraId="795BD24F" w14:textId="77777777" w:rsidR="00060282" w:rsidRDefault="00060282" w:rsidP="00060282">
      <w:pPr>
        <w:pStyle w:val="SB1"/>
      </w:pPr>
      <w:r>
        <w:t>Employer account</w:t>
      </w:r>
    </w:p>
    <w:p w14:paraId="52A0210D" w14:textId="77777777" w:rsidR="00060282" w:rsidRDefault="00060282" w:rsidP="00060282">
      <w:pPr>
        <w:pStyle w:val="SB1"/>
      </w:pPr>
      <w:r>
        <w:t>Issue</w:t>
      </w:r>
    </w:p>
    <w:p w14:paraId="6420CF67" w14:textId="77777777" w:rsidR="00060282" w:rsidRDefault="00060282" w:rsidP="00060282">
      <w:pPr>
        <w:pStyle w:val="SB1"/>
      </w:pPr>
      <w:r>
        <w:t>Priority</w:t>
      </w:r>
    </w:p>
    <w:p w14:paraId="59C1A0E5" w14:textId="77777777" w:rsidR="00060282" w:rsidRDefault="00060282" w:rsidP="00060282">
      <w:pPr>
        <w:pStyle w:val="SB1"/>
      </w:pPr>
      <w:r>
        <w:t>C</w:t>
      </w:r>
      <w:r w:rsidRPr="00180B5B">
        <w:t>ase age</w:t>
      </w:r>
    </w:p>
    <w:p w14:paraId="74466268" w14:textId="77777777" w:rsidR="00060282" w:rsidRDefault="00060282" w:rsidP="00060282">
      <w:pPr>
        <w:pStyle w:val="SB1"/>
      </w:pPr>
      <w:r>
        <w:t>T</w:t>
      </w:r>
      <w:r w:rsidRPr="00180B5B">
        <w:t>ime off</w:t>
      </w:r>
    </w:p>
    <w:p w14:paraId="4B3A1B3A" w14:textId="77777777" w:rsidR="00060282" w:rsidRDefault="00060282" w:rsidP="00060282">
      <w:pPr>
        <w:pStyle w:val="SB1"/>
      </w:pPr>
      <w:r>
        <w:t>Accommodations</w:t>
      </w:r>
    </w:p>
    <w:p w14:paraId="0F336C32" w14:textId="77777777" w:rsidR="00060282" w:rsidRDefault="00060282" w:rsidP="00060282">
      <w:pPr>
        <w:pStyle w:val="SB1"/>
      </w:pPr>
      <w:r>
        <w:t>Language</w:t>
      </w:r>
    </w:p>
    <w:p w14:paraId="42CA71C3" w14:textId="77777777" w:rsidR="00060282" w:rsidRDefault="00060282" w:rsidP="00060282">
      <w:pPr>
        <w:pStyle w:val="SB1"/>
      </w:pPr>
      <w:r>
        <w:lastRenderedPageBreak/>
        <w:t>Criteria set during appeal processing</w:t>
      </w:r>
    </w:p>
    <w:p w14:paraId="6B7B1722" w14:textId="77777777" w:rsidR="00060282" w:rsidRDefault="00060282" w:rsidP="00060282">
      <w:pPr>
        <w:pStyle w:val="SB1"/>
      </w:pPr>
      <w:r>
        <w:t>Etc.</w:t>
      </w:r>
    </w:p>
    <w:p w14:paraId="12A00091" w14:textId="77777777" w:rsidR="000A2FB1" w:rsidRDefault="000A2FB1" w:rsidP="00E16D2D">
      <w:pPr>
        <w:pStyle w:val="LB1"/>
      </w:pPr>
      <w:r>
        <w:t>System must notify all parties of scheduled hearings</w:t>
      </w:r>
    </w:p>
    <w:p w14:paraId="6C3376A0" w14:textId="28D2982D" w:rsidR="00060282" w:rsidRDefault="00060282" w:rsidP="00E16D2D">
      <w:pPr>
        <w:pStyle w:val="LB1"/>
      </w:pPr>
      <w:r>
        <w:t xml:space="preserve">System must verify that all required documentation exists </w:t>
      </w:r>
      <w:r w:rsidR="005A37FD">
        <w:t>in the CMS</w:t>
      </w:r>
      <w:r>
        <w:t xml:space="preserve"> prior to scheduling</w:t>
      </w:r>
    </w:p>
    <w:p w14:paraId="0D5ABAF5" w14:textId="21A4E73E" w:rsidR="00060282" w:rsidRDefault="00060282" w:rsidP="00116640">
      <w:pPr>
        <w:pStyle w:val="LB1"/>
      </w:pPr>
      <w:r>
        <w:t xml:space="preserve">System must transmit hearing data to </w:t>
      </w:r>
      <w:r w:rsidR="009A077F">
        <w:t xml:space="preserve">the telephone </w:t>
      </w:r>
      <w:r>
        <w:t xml:space="preserve">conferencing system and </w:t>
      </w:r>
      <w:r w:rsidR="00A55591">
        <w:t>CA</w:t>
      </w:r>
      <w:r>
        <w:t xml:space="preserve"> programs such as</w:t>
      </w:r>
    </w:p>
    <w:p w14:paraId="6CC312F5" w14:textId="77777777" w:rsidR="00060282" w:rsidRDefault="00060282" w:rsidP="00F82166">
      <w:pPr>
        <w:pStyle w:val="OB1"/>
      </w:pPr>
      <w:r>
        <w:t>Hearing date</w:t>
      </w:r>
    </w:p>
    <w:p w14:paraId="12BB2590" w14:textId="77777777" w:rsidR="00060282" w:rsidRDefault="00060282" w:rsidP="00F82166">
      <w:pPr>
        <w:pStyle w:val="OB1"/>
      </w:pPr>
      <w:r>
        <w:t>Hearing time</w:t>
      </w:r>
    </w:p>
    <w:p w14:paraId="309CAFCC" w14:textId="77777777" w:rsidR="00060282" w:rsidRDefault="00060282">
      <w:pPr>
        <w:pStyle w:val="OB1"/>
      </w:pPr>
      <w:r>
        <w:t>Hearing Officer name and phone number</w:t>
      </w:r>
    </w:p>
    <w:p w14:paraId="0610FE94" w14:textId="77777777" w:rsidR="00060282" w:rsidRDefault="00060282">
      <w:pPr>
        <w:pStyle w:val="OB1"/>
      </w:pPr>
      <w:r>
        <w:t>Case number</w:t>
      </w:r>
    </w:p>
    <w:p w14:paraId="55032298" w14:textId="77777777" w:rsidR="00060282" w:rsidRDefault="00060282">
      <w:pPr>
        <w:pStyle w:val="OB1"/>
      </w:pPr>
      <w:r>
        <w:t>Etc.</w:t>
      </w:r>
    </w:p>
    <w:p w14:paraId="74530F36" w14:textId="6638E206" w:rsidR="00060282" w:rsidRDefault="00060282">
      <w:pPr>
        <w:pStyle w:val="LB1"/>
      </w:pPr>
      <w:r>
        <w:t xml:space="preserve">System must generate a dashboard for the </w:t>
      </w:r>
      <w:r w:rsidR="00A55591">
        <w:t>RA</w:t>
      </w:r>
      <w:r>
        <w:t xml:space="preserve"> and management including caseload and time lapse information</w:t>
      </w:r>
    </w:p>
    <w:p w14:paraId="69840350" w14:textId="2143C6D6" w:rsidR="00060282" w:rsidRDefault="00060282">
      <w:pPr>
        <w:pStyle w:val="OB1"/>
      </w:pPr>
      <w:r>
        <w:t>System must capture metrics and generate management reports</w:t>
      </w:r>
    </w:p>
    <w:p w14:paraId="08800150" w14:textId="77777777" w:rsidR="00060282" w:rsidRDefault="00060282" w:rsidP="00060282"/>
    <w:p w14:paraId="31BF0718" w14:textId="78A8E407" w:rsidR="00060282" w:rsidRDefault="00060282" w:rsidP="00060282">
      <w:pPr>
        <w:rPr>
          <w:u w:val="single"/>
        </w:rPr>
      </w:pPr>
      <w:r w:rsidRPr="00060282">
        <w:rPr>
          <w:u w:val="single"/>
        </w:rPr>
        <w:t>Alternate Activities and Special Cases</w:t>
      </w:r>
    </w:p>
    <w:p w14:paraId="7462306A" w14:textId="77777777" w:rsidR="004F7DCA" w:rsidRDefault="004F7DCA" w:rsidP="004F7DCA">
      <w:r>
        <w:t>System must support the following alternate activities and special cases:</w:t>
      </w:r>
    </w:p>
    <w:p w14:paraId="088003EE" w14:textId="77777777" w:rsidR="00060282" w:rsidRDefault="00060282" w:rsidP="00E16D2D">
      <w:pPr>
        <w:pStyle w:val="LB1"/>
      </w:pPr>
      <w:r>
        <w:t>Reschedule</w:t>
      </w:r>
      <w:r w:rsidRPr="00180B5B">
        <w:t xml:space="preserve"> or </w:t>
      </w:r>
      <w:r>
        <w:t xml:space="preserve">unscheduled </w:t>
      </w:r>
      <w:r w:rsidRPr="00180B5B">
        <w:t>hearings/cases</w:t>
      </w:r>
      <w:r>
        <w:t xml:space="preserve"> </w:t>
      </w:r>
    </w:p>
    <w:p w14:paraId="32237DA1" w14:textId="77777777" w:rsidR="00060282" w:rsidRDefault="00060282" w:rsidP="00E16D2D">
      <w:pPr>
        <w:pStyle w:val="LB1"/>
      </w:pPr>
      <w:r>
        <w:t>Expedited</w:t>
      </w:r>
    </w:p>
    <w:p w14:paraId="16975DDC" w14:textId="77777777" w:rsidR="00060282" w:rsidRDefault="00060282" w:rsidP="00116640">
      <w:pPr>
        <w:pStyle w:val="LB1"/>
      </w:pPr>
      <w:r>
        <w:t>Multi-claims</w:t>
      </w:r>
    </w:p>
    <w:p w14:paraId="249E5BCF" w14:textId="0793C2E7" w:rsidR="00060282" w:rsidRDefault="00060282" w:rsidP="00F82166">
      <w:pPr>
        <w:pStyle w:val="LB1"/>
      </w:pPr>
      <w:r>
        <w:t>Companion cases</w:t>
      </w:r>
    </w:p>
    <w:p w14:paraId="6A34ED70" w14:textId="77777777" w:rsidR="00060282" w:rsidRDefault="00060282" w:rsidP="00060282"/>
    <w:p w14:paraId="3561BB03" w14:textId="79B0ABD6" w:rsidR="0038474B" w:rsidRDefault="0038474B" w:rsidP="0038474B">
      <w:pPr>
        <w:pStyle w:val="Heading4"/>
      </w:pPr>
      <w:r>
        <w:tab/>
      </w:r>
      <w:r w:rsidR="00060282">
        <w:t>Create and Send Hearing Notices</w:t>
      </w:r>
    </w:p>
    <w:p w14:paraId="0150400E" w14:textId="77777777" w:rsidR="0038474B" w:rsidRPr="00B0723C" w:rsidRDefault="0038474B" w:rsidP="0038474B">
      <w:r>
        <w:t>This process includes all activities required to generate and transmit reports.</w:t>
      </w:r>
    </w:p>
    <w:p w14:paraId="7EB60404" w14:textId="77777777" w:rsidR="0038474B" w:rsidRPr="003A23F0" w:rsidRDefault="0038474B" w:rsidP="0038474B">
      <w:pPr>
        <w:rPr>
          <w:u w:val="single"/>
        </w:rPr>
      </w:pPr>
      <w:r w:rsidRPr="003A23F0">
        <w:rPr>
          <w:u w:val="single"/>
        </w:rPr>
        <w:t>Actors</w:t>
      </w:r>
    </w:p>
    <w:p w14:paraId="27C510BB" w14:textId="77777777" w:rsidR="0038474B" w:rsidRDefault="0038474B" w:rsidP="00E16D2D">
      <w:pPr>
        <w:pStyle w:val="LB1"/>
      </w:pPr>
      <w:r>
        <w:t>Staff</w:t>
      </w:r>
    </w:p>
    <w:p w14:paraId="4E1F9DF0" w14:textId="77777777" w:rsidR="0038474B" w:rsidRPr="00DF6567" w:rsidRDefault="0038474B" w:rsidP="0038474B"/>
    <w:p w14:paraId="2DFAEF62" w14:textId="77777777" w:rsidR="0038474B" w:rsidRPr="003A23F0" w:rsidRDefault="0038474B" w:rsidP="0038474B">
      <w:pPr>
        <w:rPr>
          <w:u w:val="single"/>
        </w:rPr>
      </w:pPr>
      <w:r w:rsidRPr="003A23F0">
        <w:rPr>
          <w:u w:val="single"/>
        </w:rPr>
        <w:t>Main Activities</w:t>
      </w:r>
    </w:p>
    <w:p w14:paraId="38422736" w14:textId="18427DB7" w:rsidR="00060282" w:rsidRDefault="00060282" w:rsidP="00E16D2D">
      <w:pPr>
        <w:pStyle w:val="LB1"/>
      </w:pPr>
      <w:r>
        <w:t xml:space="preserve">System must generate required documentation </w:t>
      </w:r>
      <w:r w:rsidR="005A37FD">
        <w:t>in the CMS</w:t>
      </w:r>
      <w:r w:rsidR="00D95062">
        <w:t xml:space="preserve"> </w:t>
      </w:r>
      <w:r>
        <w:t>based on hearing schedule, instructions, issues, etc.</w:t>
      </w:r>
    </w:p>
    <w:p w14:paraId="5CE717F6" w14:textId="77777777" w:rsidR="00060282" w:rsidRDefault="00060282" w:rsidP="00E16D2D">
      <w:pPr>
        <w:pStyle w:val="LB1"/>
      </w:pPr>
      <w:bookmarkStart w:id="349" w:name="_Hlk512860236"/>
      <w:r>
        <w:t>System must allow Staff to add and associate documentation, including determination correspondence, to the appeals case for use in rehearing packets</w:t>
      </w:r>
    </w:p>
    <w:bookmarkEnd w:id="349"/>
    <w:p w14:paraId="288F1C53" w14:textId="77777777" w:rsidR="00060282" w:rsidRDefault="00060282" w:rsidP="00116640">
      <w:pPr>
        <w:pStyle w:val="LB1"/>
      </w:pPr>
      <w:r>
        <w:t>System must generate outgoing correspondence in English and Spanish</w:t>
      </w:r>
    </w:p>
    <w:p w14:paraId="153E5B78" w14:textId="00042EEE" w:rsidR="00060282" w:rsidRDefault="00060282" w:rsidP="00F82166">
      <w:pPr>
        <w:pStyle w:val="LB1"/>
      </w:pPr>
      <w:r>
        <w:t xml:space="preserve">System must retrieve required documentation </w:t>
      </w:r>
      <w:r w:rsidR="005A37FD">
        <w:t>from the CMS</w:t>
      </w:r>
    </w:p>
    <w:p w14:paraId="1447D0BB" w14:textId="5788EC6C" w:rsidR="00060282" w:rsidRDefault="00060282" w:rsidP="00F82166">
      <w:pPr>
        <w:pStyle w:val="LB1"/>
      </w:pPr>
      <w:r>
        <w:t xml:space="preserve">System must compile generated and retrieved documentation into a Notice of Rehearing Packet, annotate it with page numbers, and make the compiled document available in the </w:t>
      </w:r>
      <w:r w:rsidR="004B261D">
        <w:t>CMS</w:t>
      </w:r>
    </w:p>
    <w:p w14:paraId="221F4A03" w14:textId="77777777" w:rsidR="00060282" w:rsidRDefault="00060282" w:rsidP="00F82166">
      <w:pPr>
        <w:pStyle w:val="OB1"/>
      </w:pPr>
      <w:r>
        <w:lastRenderedPageBreak/>
        <w:t>Required documentation includes:</w:t>
      </w:r>
    </w:p>
    <w:p w14:paraId="256711C9" w14:textId="77777777" w:rsidR="00060282" w:rsidRDefault="00060282" w:rsidP="00D95062">
      <w:pPr>
        <w:pStyle w:val="SB1"/>
      </w:pPr>
      <w:r>
        <w:t>Rehearing Notice (case details, scheduling details, and issues)</w:t>
      </w:r>
    </w:p>
    <w:p w14:paraId="7E220470" w14:textId="77777777" w:rsidR="00060282" w:rsidRDefault="00060282" w:rsidP="00D95062">
      <w:pPr>
        <w:pStyle w:val="SB1"/>
      </w:pPr>
      <w:r>
        <w:t>Rehearing Instructions</w:t>
      </w:r>
    </w:p>
    <w:p w14:paraId="7A113445" w14:textId="77777777" w:rsidR="00060282" w:rsidRDefault="00060282" w:rsidP="00D95062">
      <w:pPr>
        <w:pStyle w:val="SB1"/>
      </w:pPr>
      <w:r>
        <w:t>Fact Finding Statements (questions and answers taken to adjudicate the claim at the benefits level)</w:t>
      </w:r>
    </w:p>
    <w:p w14:paraId="010F3760" w14:textId="77777777" w:rsidR="00060282" w:rsidRDefault="00060282" w:rsidP="00D95062">
      <w:pPr>
        <w:pStyle w:val="SB1"/>
      </w:pPr>
      <w:r>
        <w:t>Employer’s Response</w:t>
      </w:r>
    </w:p>
    <w:p w14:paraId="3FCC1E8A" w14:textId="77777777" w:rsidR="00060282" w:rsidRDefault="00060282" w:rsidP="00D95062">
      <w:pPr>
        <w:pStyle w:val="SB1"/>
      </w:pPr>
      <w:r>
        <w:t>Relevant Documents (interdepartmental and correspondence submitted by parties)</w:t>
      </w:r>
    </w:p>
    <w:p w14:paraId="14BC649C" w14:textId="77777777" w:rsidR="00060282" w:rsidRDefault="00060282" w:rsidP="00D95062">
      <w:pPr>
        <w:pStyle w:val="SB1"/>
      </w:pPr>
      <w:r>
        <w:t>Determinations</w:t>
      </w:r>
    </w:p>
    <w:p w14:paraId="1A6C76C3" w14:textId="77777777" w:rsidR="00060282" w:rsidRDefault="00060282" w:rsidP="00D95062">
      <w:pPr>
        <w:pStyle w:val="SB1"/>
      </w:pPr>
      <w:r>
        <w:t>Appeal Documents</w:t>
      </w:r>
    </w:p>
    <w:p w14:paraId="4E14D242" w14:textId="77777777" w:rsidR="00060282" w:rsidRDefault="00060282" w:rsidP="00D95062">
      <w:pPr>
        <w:pStyle w:val="SB1"/>
      </w:pPr>
      <w:r>
        <w:t>All prior higher authority and/or lower authority decisions</w:t>
      </w:r>
    </w:p>
    <w:p w14:paraId="0FD30964" w14:textId="236CF875" w:rsidR="00060282" w:rsidRDefault="00060282" w:rsidP="00E16D2D">
      <w:pPr>
        <w:pStyle w:val="LB1"/>
      </w:pPr>
      <w:r>
        <w:t>System must transmit Notice of Rehearing Packet to all parties using electronic correspondence, the ADC, as well as allow for local printing when needed, based on customer preferences</w:t>
      </w:r>
    </w:p>
    <w:p w14:paraId="6258A5B7" w14:textId="77777777" w:rsidR="00AC6977" w:rsidRDefault="00AC6977" w:rsidP="00E16D2D">
      <w:pPr>
        <w:pStyle w:val="OB1"/>
      </w:pPr>
      <w:r>
        <w:t>Allow for electronic and paper printing</w:t>
      </w:r>
    </w:p>
    <w:p w14:paraId="796FEE4E" w14:textId="77777777" w:rsidR="00AC6977" w:rsidRDefault="00AC6977" w:rsidP="00116640">
      <w:pPr>
        <w:pStyle w:val="OB1"/>
      </w:pPr>
      <w:r>
        <w:t>Allow Staff to choose which items are to be included in the Hearing Packet</w:t>
      </w:r>
    </w:p>
    <w:p w14:paraId="68A3852C" w14:textId="61A7CB75" w:rsidR="00AC6977" w:rsidRDefault="00AC6977" w:rsidP="00F82166">
      <w:pPr>
        <w:pStyle w:val="OB1"/>
      </w:pPr>
      <w:r>
        <w:t>Allow Staff to customize the item order</w:t>
      </w:r>
    </w:p>
    <w:p w14:paraId="05ED3EF2" w14:textId="77777777" w:rsidR="00060282" w:rsidRDefault="00060282" w:rsidP="00F82166">
      <w:pPr>
        <w:pStyle w:val="LB1"/>
      </w:pPr>
      <w:r>
        <w:t>System must update the UI data including:</w:t>
      </w:r>
    </w:p>
    <w:p w14:paraId="79947213" w14:textId="77777777" w:rsidR="00060282" w:rsidRDefault="00060282">
      <w:pPr>
        <w:pStyle w:val="OB1"/>
      </w:pPr>
      <w:r>
        <w:t>Document that correspondence was sent, method, and to whom</w:t>
      </w:r>
    </w:p>
    <w:p w14:paraId="4EE92A87" w14:textId="77777777" w:rsidR="00060282" w:rsidRDefault="00060282">
      <w:pPr>
        <w:pStyle w:val="OB1"/>
      </w:pPr>
      <w:r>
        <w:t>Update case information to reflect the scheduled hearing</w:t>
      </w:r>
    </w:p>
    <w:p w14:paraId="62115EF9" w14:textId="31064857" w:rsidR="00060282" w:rsidRDefault="00161BA3">
      <w:pPr>
        <w:pStyle w:val="LB1"/>
      </w:pPr>
      <w:r>
        <w:t>System must transmit Notice of Rehearing Packets to state printing agency, print, stuff, and mail envelopes</w:t>
      </w:r>
    </w:p>
    <w:p w14:paraId="4F755FCE" w14:textId="77777777" w:rsidR="00060282" w:rsidRDefault="00060282" w:rsidP="00060282"/>
    <w:p w14:paraId="64E94A82" w14:textId="0E2B2714" w:rsidR="00060282" w:rsidRDefault="00060282" w:rsidP="00060282">
      <w:pPr>
        <w:rPr>
          <w:u w:val="single"/>
        </w:rPr>
      </w:pPr>
      <w:r w:rsidRPr="00060282">
        <w:rPr>
          <w:u w:val="single"/>
        </w:rPr>
        <w:t>Alternate Activities and Special Cases</w:t>
      </w:r>
    </w:p>
    <w:p w14:paraId="797A1736" w14:textId="77777777" w:rsidR="004F7DCA" w:rsidRDefault="004F7DCA" w:rsidP="004F7DCA">
      <w:r>
        <w:t>System must support the following alternate activities and special cases:</w:t>
      </w:r>
    </w:p>
    <w:p w14:paraId="64DC53E9" w14:textId="77777777" w:rsidR="00060282" w:rsidRDefault="00060282" w:rsidP="00E16D2D">
      <w:pPr>
        <w:pStyle w:val="LB1"/>
      </w:pPr>
      <w:r>
        <w:t>Returned mail</w:t>
      </w:r>
    </w:p>
    <w:p w14:paraId="738C070E" w14:textId="77777777" w:rsidR="00060282" w:rsidRDefault="00060282" w:rsidP="00E16D2D">
      <w:pPr>
        <w:pStyle w:val="LB1"/>
      </w:pPr>
      <w:r>
        <w:t xml:space="preserve">Reprint Notice of Rehearing Packets </w:t>
      </w:r>
    </w:p>
    <w:p w14:paraId="5DF79620" w14:textId="77777777" w:rsidR="00060282" w:rsidRDefault="00060282" w:rsidP="00116640">
      <w:pPr>
        <w:pStyle w:val="LB1"/>
      </w:pPr>
      <w:r>
        <w:t>Corrected Notice of Rehearing Packet</w:t>
      </w:r>
    </w:p>
    <w:p w14:paraId="337BED49" w14:textId="1BE3E06F" w:rsidR="00BF58C8" w:rsidRDefault="00BF58C8" w:rsidP="00F82166">
      <w:pPr>
        <w:pStyle w:val="LB1"/>
      </w:pPr>
      <w:r>
        <w:t xml:space="preserve">Correction of documents included in the file </w:t>
      </w:r>
      <w:r w:rsidR="00091E06">
        <w:t>or correspondence</w:t>
      </w:r>
    </w:p>
    <w:p w14:paraId="344AE5C2" w14:textId="66C354A2" w:rsidR="00BF58C8" w:rsidRDefault="00BF58C8" w:rsidP="00F82166">
      <w:pPr>
        <w:pStyle w:val="OB1"/>
      </w:pPr>
      <w:r>
        <w:t>Ability to remove and move documents</w:t>
      </w:r>
      <w:r w:rsidR="00091E06" w:rsidRPr="00091E06">
        <w:t xml:space="preserve"> </w:t>
      </w:r>
      <w:r w:rsidR="00091E06">
        <w:t>or correspondence</w:t>
      </w:r>
    </w:p>
    <w:p w14:paraId="385D0DF5" w14:textId="77777777" w:rsidR="00BF58C8" w:rsidRDefault="00BF58C8">
      <w:pPr>
        <w:pStyle w:val="OB1"/>
      </w:pPr>
      <w:r>
        <w:t>Letters</w:t>
      </w:r>
    </w:p>
    <w:p w14:paraId="64ED389C" w14:textId="77777777" w:rsidR="00BF58C8" w:rsidRDefault="00BF58C8">
      <w:pPr>
        <w:pStyle w:val="OB1"/>
      </w:pPr>
      <w:r>
        <w:t>Tracking</w:t>
      </w:r>
    </w:p>
    <w:p w14:paraId="22E082DE" w14:textId="5114D323" w:rsidR="00060282" w:rsidRDefault="007E1277">
      <w:pPr>
        <w:pStyle w:val="OB1"/>
      </w:pPr>
      <w:r>
        <w:t>Edit metadata</w:t>
      </w:r>
    </w:p>
    <w:p w14:paraId="2B8A3118" w14:textId="13B34B11" w:rsidR="007E1277" w:rsidRDefault="007E1277">
      <w:pPr>
        <w:pStyle w:val="OB1"/>
      </w:pPr>
      <w:r>
        <w:t>Redacting</w:t>
      </w:r>
    </w:p>
    <w:p w14:paraId="1A093C3E" w14:textId="77777777" w:rsidR="00060282" w:rsidRDefault="00060282" w:rsidP="00060282"/>
    <w:p w14:paraId="24461F0A" w14:textId="55026928" w:rsidR="0038474B" w:rsidRDefault="0038474B" w:rsidP="0038474B">
      <w:pPr>
        <w:pStyle w:val="Heading4"/>
      </w:pPr>
      <w:r>
        <w:tab/>
      </w:r>
      <w:r w:rsidR="00060282">
        <w:t>Conduct Rehearing</w:t>
      </w:r>
    </w:p>
    <w:p w14:paraId="312184B9" w14:textId="43154315" w:rsidR="0038474B" w:rsidRPr="00B0723C" w:rsidRDefault="00060282" w:rsidP="0038474B">
      <w:r>
        <w:t>This process includes all activities required to conduct a rehearing</w:t>
      </w:r>
      <w:r w:rsidR="0038474B">
        <w:t>.</w:t>
      </w:r>
    </w:p>
    <w:p w14:paraId="6DED689F" w14:textId="77777777" w:rsidR="0038474B" w:rsidRPr="003A23F0" w:rsidRDefault="0038474B" w:rsidP="0038474B">
      <w:pPr>
        <w:rPr>
          <w:u w:val="single"/>
        </w:rPr>
      </w:pPr>
      <w:r w:rsidRPr="003A23F0">
        <w:rPr>
          <w:u w:val="single"/>
        </w:rPr>
        <w:t>Actors</w:t>
      </w:r>
    </w:p>
    <w:p w14:paraId="52A58F8E" w14:textId="77777777" w:rsidR="00060282" w:rsidRDefault="00060282" w:rsidP="00E16D2D">
      <w:pPr>
        <w:pStyle w:val="LB1"/>
      </w:pPr>
      <w:r>
        <w:lastRenderedPageBreak/>
        <w:t>Employers</w:t>
      </w:r>
    </w:p>
    <w:p w14:paraId="3481195F" w14:textId="77777777" w:rsidR="00060282" w:rsidRDefault="00060282" w:rsidP="00E16D2D">
      <w:pPr>
        <w:pStyle w:val="LB1"/>
      </w:pPr>
      <w:r>
        <w:t>Staff</w:t>
      </w:r>
    </w:p>
    <w:p w14:paraId="57B722BC" w14:textId="77777777" w:rsidR="00060282" w:rsidRDefault="00060282" w:rsidP="00116640">
      <w:pPr>
        <w:pStyle w:val="LB1"/>
      </w:pPr>
      <w:r>
        <w:t>Claimants</w:t>
      </w:r>
    </w:p>
    <w:p w14:paraId="27BC5C3E" w14:textId="77777777" w:rsidR="00060282" w:rsidRDefault="00060282" w:rsidP="00F82166">
      <w:pPr>
        <w:pStyle w:val="LB1"/>
      </w:pPr>
      <w:r>
        <w:t>Attorneys/Representatives</w:t>
      </w:r>
    </w:p>
    <w:p w14:paraId="30118843" w14:textId="77777777" w:rsidR="006C20CB" w:rsidRDefault="006C20CB" w:rsidP="00F82166">
      <w:pPr>
        <w:pStyle w:val="LB1"/>
      </w:pPr>
      <w:r>
        <w:t>Witnesses</w:t>
      </w:r>
    </w:p>
    <w:p w14:paraId="47D39D8A" w14:textId="6C69C0AC" w:rsidR="0038474B" w:rsidRDefault="00060282">
      <w:pPr>
        <w:pStyle w:val="LB1"/>
      </w:pPr>
      <w:r>
        <w:t>Interpreters</w:t>
      </w:r>
    </w:p>
    <w:p w14:paraId="1C4F81B0" w14:textId="77777777" w:rsidR="0038474B" w:rsidRPr="00DF6567" w:rsidRDefault="0038474B" w:rsidP="0038474B"/>
    <w:p w14:paraId="312F0C83" w14:textId="77777777" w:rsidR="0038474B" w:rsidRPr="003A23F0" w:rsidRDefault="0038474B" w:rsidP="0038474B">
      <w:pPr>
        <w:rPr>
          <w:u w:val="single"/>
        </w:rPr>
      </w:pPr>
      <w:r w:rsidRPr="003A23F0">
        <w:rPr>
          <w:u w:val="single"/>
        </w:rPr>
        <w:t>Main Activities</w:t>
      </w:r>
    </w:p>
    <w:p w14:paraId="74730FA5" w14:textId="350CBFD2" w:rsidR="00060282" w:rsidRDefault="00031CC9" w:rsidP="00E16D2D">
      <w:pPr>
        <w:pStyle w:val="LB1"/>
      </w:pPr>
      <w:r>
        <w:t xml:space="preserve">System must interface with Telephone Conferencing system </w:t>
      </w:r>
      <w:r w:rsidR="00060282">
        <w:t>(currently Clear2There) for conducting hearings or provide similar functionality</w:t>
      </w:r>
    </w:p>
    <w:p w14:paraId="7D2C238D" w14:textId="295167B6" w:rsidR="00060282" w:rsidRDefault="005857DA" w:rsidP="00E16D2D">
      <w:pPr>
        <w:pStyle w:val="OB1"/>
      </w:pPr>
      <w:r>
        <w:t>System must be able to</w:t>
      </w:r>
      <w:r w:rsidR="002E32BC">
        <w:t xml:space="preserve"> or alternatively allow for the integration of third party hearing software (e.g., </w:t>
      </w:r>
      <w:r w:rsidR="00D51C30">
        <w:t>Clear2There</w:t>
      </w:r>
      <w:r w:rsidR="002E32BC">
        <w:t>)</w:t>
      </w:r>
      <w:r>
        <w:t xml:space="preserve">: </w:t>
      </w:r>
    </w:p>
    <w:p w14:paraId="215CC6BE" w14:textId="77777777" w:rsidR="00060282" w:rsidRPr="00A16083" w:rsidRDefault="00060282" w:rsidP="00060282">
      <w:pPr>
        <w:pStyle w:val="SB1"/>
      </w:pPr>
      <w:r>
        <w:t>Record phone calls</w:t>
      </w:r>
    </w:p>
    <w:p w14:paraId="7F413DDD" w14:textId="77777777" w:rsidR="00060282" w:rsidRDefault="00060282" w:rsidP="00060282">
      <w:pPr>
        <w:pStyle w:val="SB1"/>
      </w:pPr>
      <w:r>
        <w:t>Playback at variable speeds</w:t>
      </w:r>
    </w:p>
    <w:p w14:paraId="04EF3522" w14:textId="77777777" w:rsidR="00060282" w:rsidRDefault="00060282" w:rsidP="00060282">
      <w:pPr>
        <w:pStyle w:val="SB1"/>
      </w:pPr>
      <w:r>
        <w:t>Provide online hearing registration</w:t>
      </w:r>
    </w:p>
    <w:p w14:paraId="67D617EA" w14:textId="77777777" w:rsidR="00060282" w:rsidRDefault="00060282" w:rsidP="00060282">
      <w:pPr>
        <w:pStyle w:val="SB1"/>
      </w:pPr>
      <w:r>
        <w:t>Perform incoming and outgoing hearing data transfer (date, time, names of parties, case number, proceeding number, length of recording, etc.)</w:t>
      </w:r>
    </w:p>
    <w:p w14:paraId="1B605F8D" w14:textId="77777777" w:rsidR="00060282" w:rsidRDefault="00060282" w:rsidP="00060282">
      <w:pPr>
        <w:pStyle w:val="SB1"/>
      </w:pPr>
      <w:r>
        <w:t>Store recordings (currently 4 years as defined by retention schedule)</w:t>
      </w:r>
    </w:p>
    <w:p w14:paraId="5B3E5B25" w14:textId="77777777" w:rsidR="00060282" w:rsidRDefault="00060282" w:rsidP="00060282">
      <w:pPr>
        <w:pStyle w:val="SB1"/>
      </w:pPr>
      <w:r>
        <w:t>Provide telephone conferencing service for unlimited parties and international phones, including disconnect, muting</w:t>
      </w:r>
    </w:p>
    <w:p w14:paraId="023B79C1" w14:textId="2B912794" w:rsidR="00060282" w:rsidRDefault="00E2460B" w:rsidP="00E16D2D">
      <w:pPr>
        <w:pStyle w:val="OB1"/>
      </w:pPr>
      <w:r>
        <w:t>System/Staff</w:t>
      </w:r>
      <w:r w:rsidR="00060282">
        <w:t xml:space="preserve"> must be able to</w:t>
      </w:r>
      <w:r w:rsidR="008E2C58">
        <w:t>:</w:t>
      </w:r>
      <w:r w:rsidR="00060282">
        <w:t xml:space="preserve"> </w:t>
      </w:r>
    </w:p>
    <w:p w14:paraId="3EBA9663" w14:textId="7FDE4FFF" w:rsidR="00060282" w:rsidRDefault="00060282" w:rsidP="00060282">
      <w:pPr>
        <w:pStyle w:val="SB1"/>
      </w:pPr>
      <w:r>
        <w:t xml:space="preserve">Create new entry for hearing in </w:t>
      </w:r>
      <w:r w:rsidR="009A077F">
        <w:t xml:space="preserve">the Telephone </w:t>
      </w:r>
      <w:r>
        <w:t>Conferencing system</w:t>
      </w:r>
    </w:p>
    <w:p w14:paraId="1728336E" w14:textId="77777777" w:rsidR="00060282" w:rsidRDefault="00060282" w:rsidP="00060282">
      <w:pPr>
        <w:pStyle w:val="SB1"/>
      </w:pPr>
      <w:r>
        <w:t>Add/edit participant details (name, job title, phone number, special instructions, registration information)</w:t>
      </w:r>
    </w:p>
    <w:p w14:paraId="7C49B6CF" w14:textId="77777777" w:rsidR="00060282" w:rsidRDefault="00060282" w:rsidP="00060282">
      <w:pPr>
        <w:pStyle w:val="SB1"/>
      </w:pPr>
      <w:r>
        <w:t>Add/edit case notes</w:t>
      </w:r>
    </w:p>
    <w:p w14:paraId="32F717B7" w14:textId="77777777" w:rsidR="00060282" w:rsidRDefault="00060282" w:rsidP="00060282">
      <w:pPr>
        <w:pStyle w:val="SB1"/>
      </w:pPr>
      <w:r>
        <w:t>Add/edit bookmarks</w:t>
      </w:r>
    </w:p>
    <w:p w14:paraId="4C558C57" w14:textId="42DBA739" w:rsidR="00060282" w:rsidRDefault="00060282" w:rsidP="00060282">
      <w:pPr>
        <w:pStyle w:val="SB1"/>
      </w:pPr>
      <w:r>
        <w:t>Search (</w:t>
      </w:r>
      <w:r w:rsidR="00930F59">
        <w:t>Claimant</w:t>
      </w:r>
      <w:r>
        <w:t xml:space="preserve">, name, SSN, hearing officer, date, </w:t>
      </w:r>
      <w:r w:rsidR="009521D7">
        <w:t xml:space="preserve">Employer </w:t>
      </w:r>
      <w:r>
        <w:t xml:space="preserve">account number, </w:t>
      </w:r>
      <w:r w:rsidR="009521D7">
        <w:t xml:space="preserve">Employer </w:t>
      </w:r>
      <w:r>
        <w:t>name, case number, proceeding number, hearing number)</w:t>
      </w:r>
    </w:p>
    <w:p w14:paraId="08F5BCAD" w14:textId="77777777" w:rsidR="00060282" w:rsidRDefault="00060282" w:rsidP="00060282">
      <w:pPr>
        <w:pStyle w:val="SB1"/>
      </w:pPr>
      <w:r>
        <w:t>Upload/clip/modify/download/burn recordings</w:t>
      </w:r>
    </w:p>
    <w:p w14:paraId="5653EEDF" w14:textId="77777777" w:rsidR="00060282" w:rsidRDefault="00060282" w:rsidP="00060282">
      <w:pPr>
        <w:pStyle w:val="SB1"/>
      </w:pPr>
      <w:r>
        <w:t>Associate recording with electronic case file</w:t>
      </w:r>
    </w:p>
    <w:p w14:paraId="6CFFB96D" w14:textId="7E9BB96D" w:rsidR="00060282" w:rsidRDefault="00B77980" w:rsidP="00E16D2D">
      <w:pPr>
        <w:pStyle w:val="LB1"/>
      </w:pPr>
      <w:r>
        <w:t xml:space="preserve">System must allow Staff to </w:t>
      </w:r>
      <w:r w:rsidR="00060282">
        <w:t>electronic</w:t>
      </w:r>
      <w:r>
        <w:t>ally</w:t>
      </w:r>
      <w:r w:rsidR="00060282">
        <w:t xml:space="preserve"> mark exhibits in the </w:t>
      </w:r>
      <w:r w:rsidR="00054DBA">
        <w:t>CMS</w:t>
      </w:r>
    </w:p>
    <w:p w14:paraId="29797153" w14:textId="77777777" w:rsidR="00060282" w:rsidRDefault="00060282" w:rsidP="00E16D2D">
      <w:pPr>
        <w:pStyle w:val="LB1"/>
      </w:pPr>
      <w:r>
        <w:t>System must allow Staff to view case information during the hearing</w:t>
      </w:r>
    </w:p>
    <w:p w14:paraId="32FD5831" w14:textId="77777777" w:rsidR="00060282" w:rsidRDefault="00060282" w:rsidP="00116640">
      <w:pPr>
        <w:pStyle w:val="OB1"/>
      </w:pPr>
      <w:r>
        <w:t>Electronic hearing packet</w:t>
      </w:r>
    </w:p>
    <w:p w14:paraId="3C2D1DE0" w14:textId="77777777" w:rsidR="00060282" w:rsidRDefault="00060282" w:rsidP="00F82166">
      <w:pPr>
        <w:pStyle w:val="OB1"/>
      </w:pPr>
      <w:r>
        <w:t>UI data as appropriate</w:t>
      </w:r>
    </w:p>
    <w:p w14:paraId="29DFFE8E" w14:textId="77777777" w:rsidR="00060282" w:rsidRDefault="00060282" w:rsidP="00060282">
      <w:pPr>
        <w:pStyle w:val="SB1"/>
      </w:pPr>
      <w:r>
        <w:t>Claim certifications</w:t>
      </w:r>
    </w:p>
    <w:p w14:paraId="113561CF" w14:textId="77777777" w:rsidR="00060282" w:rsidRDefault="00060282" w:rsidP="00060282">
      <w:pPr>
        <w:pStyle w:val="SB1"/>
      </w:pPr>
      <w:r>
        <w:t>Fact finding from other determinations</w:t>
      </w:r>
    </w:p>
    <w:p w14:paraId="47F5FBF8" w14:textId="77777777" w:rsidR="00060282" w:rsidRDefault="00060282" w:rsidP="00060282">
      <w:pPr>
        <w:pStyle w:val="SB1"/>
      </w:pPr>
      <w:r>
        <w:t>Liable accounts</w:t>
      </w:r>
    </w:p>
    <w:p w14:paraId="42D034A8" w14:textId="77777777" w:rsidR="00060282" w:rsidRDefault="00060282" w:rsidP="00060282">
      <w:pPr>
        <w:pStyle w:val="SB1"/>
      </w:pPr>
      <w:r>
        <w:lastRenderedPageBreak/>
        <w:t>Reported wages</w:t>
      </w:r>
    </w:p>
    <w:p w14:paraId="4880E985" w14:textId="77777777" w:rsidR="00060282" w:rsidRDefault="00060282" w:rsidP="00060282">
      <w:pPr>
        <w:pStyle w:val="SB1"/>
      </w:pPr>
      <w:r>
        <w:t>Etc.</w:t>
      </w:r>
    </w:p>
    <w:p w14:paraId="148B8104" w14:textId="77777777" w:rsidR="00060282" w:rsidRDefault="00060282" w:rsidP="00E16D2D">
      <w:pPr>
        <w:pStyle w:val="LB1"/>
      </w:pPr>
      <w:r>
        <w:t>System must allow Staff to exchange documentation during hearing between all participants</w:t>
      </w:r>
    </w:p>
    <w:p w14:paraId="46E126EE" w14:textId="77777777" w:rsidR="00060282" w:rsidRDefault="00060282" w:rsidP="00060282"/>
    <w:p w14:paraId="469F664E" w14:textId="2E646B1F" w:rsidR="00060282" w:rsidRDefault="00060282" w:rsidP="00060282">
      <w:pPr>
        <w:rPr>
          <w:u w:val="single"/>
        </w:rPr>
      </w:pPr>
      <w:r w:rsidRPr="00060282">
        <w:rPr>
          <w:u w:val="single"/>
        </w:rPr>
        <w:t>Alternate Activities and Special Cases</w:t>
      </w:r>
    </w:p>
    <w:p w14:paraId="4056E726" w14:textId="77777777" w:rsidR="004F7DCA" w:rsidRDefault="004F7DCA" w:rsidP="004F7DCA">
      <w:r>
        <w:t>System must support the following alternate activities and special cases:</w:t>
      </w:r>
    </w:p>
    <w:p w14:paraId="6C24A31D" w14:textId="77777777" w:rsidR="00060282" w:rsidRDefault="00060282" w:rsidP="00E16D2D">
      <w:pPr>
        <w:pStyle w:val="LB1"/>
      </w:pPr>
      <w:r>
        <w:t>No shows</w:t>
      </w:r>
    </w:p>
    <w:p w14:paraId="54927523" w14:textId="77777777" w:rsidR="00060282" w:rsidRDefault="00060282" w:rsidP="00E16D2D">
      <w:pPr>
        <w:pStyle w:val="LB1"/>
      </w:pPr>
      <w:r>
        <w:t>Withdrawals</w:t>
      </w:r>
    </w:p>
    <w:p w14:paraId="11A4A53F" w14:textId="0DCF960E" w:rsidR="00060282" w:rsidRDefault="00060282" w:rsidP="00116640">
      <w:pPr>
        <w:pStyle w:val="LB1"/>
      </w:pPr>
      <w:r>
        <w:t>Resets/</w:t>
      </w:r>
      <w:r w:rsidR="005857DA">
        <w:t>Continuances</w:t>
      </w:r>
      <w:r w:rsidR="00F96143">
        <w:t>/Reopenings</w:t>
      </w:r>
    </w:p>
    <w:p w14:paraId="74641A14" w14:textId="69A37A13" w:rsidR="00060282" w:rsidRDefault="00060282" w:rsidP="00F82166">
      <w:pPr>
        <w:pStyle w:val="LB1"/>
      </w:pPr>
      <w:r>
        <w:t xml:space="preserve">Hearing substitution/reassignment of scheduled hearing to another </w:t>
      </w:r>
      <w:r w:rsidR="00A55591">
        <w:t>RA</w:t>
      </w:r>
    </w:p>
    <w:p w14:paraId="3F497A4F" w14:textId="77777777" w:rsidR="00060282" w:rsidRDefault="00060282" w:rsidP="00F82166">
      <w:pPr>
        <w:pStyle w:val="LB1"/>
      </w:pPr>
      <w:r>
        <w:t>Backup system in case conference system unavailable</w:t>
      </w:r>
    </w:p>
    <w:p w14:paraId="00E60B16" w14:textId="77777777" w:rsidR="00060282" w:rsidRDefault="00060282">
      <w:pPr>
        <w:pStyle w:val="LB1"/>
      </w:pPr>
      <w:r>
        <w:t xml:space="preserve">Unscheduled Interpreter request </w:t>
      </w:r>
    </w:p>
    <w:p w14:paraId="1443EB11" w14:textId="77777777" w:rsidR="00060282" w:rsidRDefault="00060282">
      <w:pPr>
        <w:pStyle w:val="LB1"/>
      </w:pPr>
      <w:r>
        <w:t>Create UI/Fraud/Tax investigation based on testimony and evidence, examples include:</w:t>
      </w:r>
    </w:p>
    <w:p w14:paraId="0C9D94C4" w14:textId="77777777" w:rsidR="00060282" w:rsidRPr="00A16083" w:rsidRDefault="00060282">
      <w:pPr>
        <w:pStyle w:val="OB1"/>
      </w:pPr>
      <w:r>
        <w:t>Ineligibilities</w:t>
      </w:r>
    </w:p>
    <w:p w14:paraId="1460DAEA" w14:textId="77777777" w:rsidR="00060282" w:rsidRDefault="00060282">
      <w:pPr>
        <w:pStyle w:val="OB1"/>
      </w:pPr>
      <w:r>
        <w:t>SUTA dumping</w:t>
      </w:r>
    </w:p>
    <w:p w14:paraId="62BB0B93" w14:textId="77777777" w:rsidR="00060282" w:rsidRDefault="00060282">
      <w:pPr>
        <w:pStyle w:val="OB1"/>
      </w:pPr>
      <w:r>
        <w:t>Acting as an unlicensed PEO</w:t>
      </w:r>
    </w:p>
    <w:p w14:paraId="778B106A" w14:textId="77777777" w:rsidR="00060282" w:rsidRDefault="00060282" w:rsidP="00060282"/>
    <w:p w14:paraId="7D6D1CDD" w14:textId="07D2AD50" w:rsidR="0038474B" w:rsidRDefault="0038474B" w:rsidP="0038474B">
      <w:pPr>
        <w:pStyle w:val="Heading4"/>
      </w:pPr>
      <w:r>
        <w:tab/>
      </w:r>
      <w:r w:rsidR="00CD36BF">
        <w:t>Respond to Inquiries</w:t>
      </w:r>
    </w:p>
    <w:p w14:paraId="5DF93E0C" w14:textId="007E213A" w:rsidR="0038474B" w:rsidRPr="00B0723C" w:rsidRDefault="00CD36BF" w:rsidP="0038474B">
      <w:r>
        <w:t>This process includes all activities required to respond to inquiries</w:t>
      </w:r>
      <w:r w:rsidR="0038474B">
        <w:t>.</w:t>
      </w:r>
    </w:p>
    <w:p w14:paraId="3DCE44A0" w14:textId="77777777" w:rsidR="0038474B" w:rsidRPr="003A23F0" w:rsidRDefault="0038474B" w:rsidP="0038474B">
      <w:pPr>
        <w:rPr>
          <w:u w:val="single"/>
        </w:rPr>
      </w:pPr>
      <w:r w:rsidRPr="003A23F0">
        <w:rPr>
          <w:u w:val="single"/>
        </w:rPr>
        <w:t>Actors</w:t>
      </w:r>
    </w:p>
    <w:p w14:paraId="2D2B880A" w14:textId="77777777" w:rsidR="0038474B" w:rsidRDefault="0038474B" w:rsidP="00E16D2D">
      <w:pPr>
        <w:pStyle w:val="LB1"/>
      </w:pPr>
      <w:r>
        <w:t>Staff</w:t>
      </w:r>
    </w:p>
    <w:p w14:paraId="7A0EC045" w14:textId="77777777" w:rsidR="0038474B" w:rsidRPr="00DF6567" w:rsidRDefault="0038474B" w:rsidP="0038474B"/>
    <w:p w14:paraId="22F312B3" w14:textId="77777777" w:rsidR="0038474B" w:rsidRPr="003A23F0" w:rsidRDefault="0038474B" w:rsidP="0038474B">
      <w:pPr>
        <w:rPr>
          <w:u w:val="single"/>
        </w:rPr>
      </w:pPr>
      <w:r w:rsidRPr="003A23F0">
        <w:rPr>
          <w:u w:val="single"/>
        </w:rPr>
        <w:t>Main Activities</w:t>
      </w:r>
    </w:p>
    <w:p w14:paraId="2613C6E3" w14:textId="315AA35D" w:rsidR="00CD36BF" w:rsidRDefault="00CD36BF" w:rsidP="00E16D2D">
      <w:pPr>
        <w:pStyle w:val="LB1"/>
      </w:pPr>
      <w:r>
        <w:t xml:space="preserve">System must enable Staff to receive </w:t>
      </w:r>
      <w:r w:rsidR="002D3F43">
        <w:t>inquiries</w:t>
      </w:r>
    </w:p>
    <w:p w14:paraId="5FC1B899" w14:textId="77777777" w:rsidR="00CD36BF" w:rsidRDefault="00CD36BF" w:rsidP="00E16D2D">
      <w:pPr>
        <w:pStyle w:val="OB1"/>
      </w:pPr>
      <w:r>
        <w:t>Phone</w:t>
      </w:r>
    </w:p>
    <w:p w14:paraId="25D3A006" w14:textId="77777777" w:rsidR="00CD36BF" w:rsidRDefault="00CD36BF" w:rsidP="00116640">
      <w:pPr>
        <w:pStyle w:val="OB1"/>
      </w:pPr>
      <w:r>
        <w:t>Electronic (Email, chat, or secure messaging)</w:t>
      </w:r>
    </w:p>
    <w:p w14:paraId="42AEC2DF" w14:textId="77777777" w:rsidR="00CD36BF" w:rsidRDefault="00CD36BF" w:rsidP="00CD36BF">
      <w:pPr>
        <w:pStyle w:val="SB1"/>
      </w:pPr>
      <w:r>
        <w:t>Forms or templates available to capture identifying information</w:t>
      </w:r>
    </w:p>
    <w:p w14:paraId="4576C3CC" w14:textId="77777777" w:rsidR="00CD36BF" w:rsidRDefault="00CD36BF" w:rsidP="00E16D2D">
      <w:pPr>
        <w:pStyle w:val="OB1"/>
      </w:pPr>
      <w:r>
        <w:t>Mail</w:t>
      </w:r>
    </w:p>
    <w:p w14:paraId="78423A54" w14:textId="77777777" w:rsidR="00CD36BF" w:rsidRDefault="00CD36BF" w:rsidP="00E16D2D">
      <w:pPr>
        <w:pStyle w:val="OB1"/>
      </w:pPr>
      <w:r>
        <w:t>Verify n</w:t>
      </w:r>
      <w:r w:rsidRPr="008D5A7C">
        <w:t>ame</w:t>
      </w:r>
      <w:r>
        <w:t>, address,</w:t>
      </w:r>
      <w:r w:rsidRPr="008D5A7C">
        <w:t xml:space="preserve"> and SSN</w:t>
      </w:r>
      <w:r>
        <w:t>/Alternate ID of the Claimant</w:t>
      </w:r>
    </w:p>
    <w:p w14:paraId="1FC4A4D3" w14:textId="77777777" w:rsidR="00CD36BF" w:rsidRDefault="00CD36BF" w:rsidP="00116640">
      <w:pPr>
        <w:pStyle w:val="LB1"/>
      </w:pPr>
      <w:r>
        <w:t xml:space="preserve">System must enable Staff to research case information </w:t>
      </w:r>
    </w:p>
    <w:p w14:paraId="55F3F350" w14:textId="77777777" w:rsidR="00CD36BF" w:rsidRDefault="00CD36BF" w:rsidP="00F82166">
      <w:pPr>
        <w:pStyle w:val="LB1"/>
      </w:pPr>
      <w:r>
        <w:t>System must allow Staff to respond to inquiries</w:t>
      </w:r>
    </w:p>
    <w:p w14:paraId="0ACA3AE7" w14:textId="77777777" w:rsidR="00CD36BF" w:rsidRDefault="00CD36BF" w:rsidP="00F82166">
      <w:pPr>
        <w:pStyle w:val="OB1"/>
      </w:pPr>
      <w:r>
        <w:t>System must record summary of response</w:t>
      </w:r>
    </w:p>
    <w:p w14:paraId="0B42668B" w14:textId="08A525DD" w:rsidR="00CD36BF" w:rsidRDefault="00CD36BF" w:rsidP="00F82166">
      <w:pPr>
        <w:pStyle w:val="OB1"/>
      </w:pPr>
      <w:r>
        <w:t xml:space="preserve">Respond based on requestor’s </w:t>
      </w:r>
      <w:r w:rsidR="00BC7BCC">
        <w:t xml:space="preserve">preferred communication method </w:t>
      </w:r>
    </w:p>
    <w:p w14:paraId="0D64A5EF" w14:textId="77777777" w:rsidR="00CD36BF" w:rsidRDefault="00CD36BF">
      <w:pPr>
        <w:pStyle w:val="OB1"/>
      </w:pPr>
      <w:r>
        <w:t>Display/Insert context sensitive statements using preformatted text (e.g., how to file an appeal) depending on the contact method, editable by Business Staff</w:t>
      </w:r>
    </w:p>
    <w:p w14:paraId="693E8795" w14:textId="77777777" w:rsidR="00CD36BF" w:rsidRDefault="00CD36BF">
      <w:pPr>
        <w:pStyle w:val="LB1"/>
      </w:pPr>
      <w:r>
        <w:lastRenderedPageBreak/>
        <w:t>S</w:t>
      </w:r>
      <w:r w:rsidRPr="005D0497">
        <w:t>ystem must provide the ability to notify</w:t>
      </w:r>
      <w:r>
        <w:t xml:space="preserve"> all parties of a status change</w:t>
      </w:r>
    </w:p>
    <w:p w14:paraId="1EE43D17" w14:textId="77777777" w:rsidR="00CD36BF" w:rsidRDefault="00CD36BF">
      <w:pPr>
        <w:pStyle w:val="LB1"/>
      </w:pPr>
      <w:bookmarkStart w:id="350" w:name="_Hlk513714656"/>
      <w:r>
        <w:t>System must allow Staff to route an appeal between appropriate departments depending on user permissions</w:t>
      </w:r>
    </w:p>
    <w:bookmarkEnd w:id="350"/>
    <w:p w14:paraId="35086CA7" w14:textId="77777777" w:rsidR="00CD36BF" w:rsidRDefault="00CD36BF">
      <w:pPr>
        <w:pStyle w:val="OB1"/>
      </w:pPr>
      <w:r>
        <w:t>Lower Authority</w:t>
      </w:r>
    </w:p>
    <w:p w14:paraId="1F3D1F95" w14:textId="77777777" w:rsidR="00CD36BF" w:rsidRDefault="00CD36BF">
      <w:pPr>
        <w:pStyle w:val="OB1"/>
      </w:pPr>
      <w:r>
        <w:t>Higher Authority</w:t>
      </w:r>
    </w:p>
    <w:p w14:paraId="06F1539A" w14:textId="7FF2370D" w:rsidR="00CD36BF" w:rsidRDefault="00CD36BF">
      <w:pPr>
        <w:pStyle w:val="OB1"/>
      </w:pPr>
      <w:r>
        <w:t>T</w:t>
      </w:r>
      <w:r w:rsidR="00D51C30">
        <w:t>ele-Center</w:t>
      </w:r>
    </w:p>
    <w:p w14:paraId="7320DE75" w14:textId="77777777" w:rsidR="00CD36BF" w:rsidRDefault="00CD36BF">
      <w:pPr>
        <w:pStyle w:val="OB1"/>
      </w:pPr>
      <w:r>
        <w:t>Chargebacks</w:t>
      </w:r>
    </w:p>
    <w:p w14:paraId="4F033274" w14:textId="77777777" w:rsidR="00CD36BF" w:rsidRDefault="00CD36BF">
      <w:pPr>
        <w:pStyle w:val="OB1"/>
      </w:pPr>
      <w:r>
        <w:t>Special Hearings</w:t>
      </w:r>
    </w:p>
    <w:p w14:paraId="48B36109" w14:textId="77777777" w:rsidR="00CD36BF" w:rsidRDefault="00CD36BF">
      <w:pPr>
        <w:pStyle w:val="OB1"/>
      </w:pPr>
      <w:r>
        <w:t>Supervisor/Management</w:t>
      </w:r>
    </w:p>
    <w:p w14:paraId="249E6865" w14:textId="77777777" w:rsidR="00CD36BF" w:rsidRDefault="00CD36BF">
      <w:pPr>
        <w:pStyle w:val="OB1"/>
      </w:pPr>
      <w:r>
        <w:t>Other</w:t>
      </w:r>
    </w:p>
    <w:p w14:paraId="6C17A129" w14:textId="77777777" w:rsidR="00CD36BF" w:rsidRDefault="00CD36BF" w:rsidP="00CD36BF"/>
    <w:p w14:paraId="618EA41E" w14:textId="0F16D6E7" w:rsidR="00CD36BF" w:rsidRDefault="00CD36BF" w:rsidP="00CD36BF">
      <w:pPr>
        <w:rPr>
          <w:u w:val="single"/>
        </w:rPr>
      </w:pPr>
      <w:r w:rsidRPr="00CD36BF">
        <w:rPr>
          <w:u w:val="single"/>
        </w:rPr>
        <w:t>Alternate Activities and Special Cases</w:t>
      </w:r>
    </w:p>
    <w:p w14:paraId="0FA32394" w14:textId="77777777" w:rsidR="004F7DCA" w:rsidRDefault="004F7DCA" w:rsidP="004F7DCA">
      <w:r>
        <w:t>System must support the following alternate activities and special cases:</w:t>
      </w:r>
    </w:p>
    <w:p w14:paraId="383B076A" w14:textId="77777777" w:rsidR="00CD36BF" w:rsidRDefault="00CD36BF" w:rsidP="00E16D2D">
      <w:pPr>
        <w:pStyle w:val="LB1"/>
      </w:pPr>
      <w:r>
        <w:t>No appeal filed or on record</w:t>
      </w:r>
    </w:p>
    <w:p w14:paraId="4B98324B" w14:textId="77777777" w:rsidR="00CD36BF" w:rsidRDefault="00CD36BF" w:rsidP="00E16D2D">
      <w:pPr>
        <w:pStyle w:val="LB1"/>
      </w:pPr>
      <w:r>
        <w:t>Change of address</w:t>
      </w:r>
    </w:p>
    <w:p w14:paraId="28CE3759" w14:textId="77777777" w:rsidR="00CD36BF" w:rsidRDefault="00CD36BF" w:rsidP="00116640">
      <w:pPr>
        <w:pStyle w:val="LB1"/>
      </w:pPr>
      <w:r>
        <w:t>Withdrawal of an appeal</w:t>
      </w:r>
    </w:p>
    <w:p w14:paraId="0A2E0B7B" w14:textId="77777777" w:rsidR="00CD36BF" w:rsidRDefault="00CD36BF" w:rsidP="00F82166">
      <w:pPr>
        <w:pStyle w:val="LB1"/>
      </w:pPr>
      <w:r>
        <w:t>Submit case documentation</w:t>
      </w:r>
    </w:p>
    <w:p w14:paraId="237B1F5D" w14:textId="77777777" w:rsidR="00CD36BF" w:rsidRDefault="00CD36BF" w:rsidP="00F82166">
      <w:pPr>
        <w:pStyle w:val="LB1"/>
      </w:pPr>
      <w:r>
        <w:t>Complaint</w:t>
      </w:r>
    </w:p>
    <w:p w14:paraId="456EF6AC" w14:textId="77777777" w:rsidR="00CD36BF" w:rsidRDefault="00CD36BF">
      <w:pPr>
        <w:pStyle w:val="LB1"/>
      </w:pPr>
      <w:r>
        <w:t>Commissioner Vacancy</w:t>
      </w:r>
    </w:p>
    <w:p w14:paraId="4CF9EDB0" w14:textId="77777777" w:rsidR="00CD36BF" w:rsidRDefault="00CD36BF">
      <w:pPr>
        <w:pStyle w:val="LB1"/>
      </w:pPr>
      <w:r>
        <w:t>Postponement Request</w:t>
      </w:r>
    </w:p>
    <w:p w14:paraId="2B206489" w14:textId="77777777" w:rsidR="00CD36BF" w:rsidRDefault="00CD36BF">
      <w:pPr>
        <w:pStyle w:val="LB1"/>
      </w:pPr>
      <w:r>
        <w:t>Expedite Request</w:t>
      </w:r>
    </w:p>
    <w:p w14:paraId="14BDAF51" w14:textId="77777777" w:rsidR="00CD36BF" w:rsidRDefault="00CD36BF">
      <w:pPr>
        <w:pStyle w:val="LB1"/>
      </w:pPr>
      <w:r>
        <w:t>Scheduling requests</w:t>
      </w:r>
    </w:p>
    <w:p w14:paraId="4BFB7E35" w14:textId="77777777" w:rsidR="00CD36BF" w:rsidRDefault="00CD36BF">
      <w:pPr>
        <w:pStyle w:val="LB1"/>
      </w:pPr>
      <w:r>
        <w:t>Interpreter requests</w:t>
      </w:r>
    </w:p>
    <w:p w14:paraId="0A25918C" w14:textId="77777777" w:rsidR="00CD36BF" w:rsidRDefault="00CD36BF">
      <w:pPr>
        <w:pStyle w:val="LB1"/>
      </w:pPr>
      <w:r>
        <w:t>Ability to flag inquiries for a specific Staff member</w:t>
      </w:r>
    </w:p>
    <w:p w14:paraId="5E4D569D" w14:textId="77777777" w:rsidR="00CD36BF" w:rsidRDefault="00CD36BF">
      <w:pPr>
        <w:pStyle w:val="OB1"/>
      </w:pPr>
      <w:r>
        <w:t>Topic</w:t>
      </w:r>
    </w:p>
    <w:p w14:paraId="5800AC0F" w14:textId="77777777" w:rsidR="00CD36BF" w:rsidRDefault="00CD36BF">
      <w:pPr>
        <w:pStyle w:val="OB1"/>
      </w:pPr>
      <w:r>
        <w:t>Claimant</w:t>
      </w:r>
    </w:p>
    <w:p w14:paraId="2CD5B249" w14:textId="77777777" w:rsidR="00CD36BF" w:rsidRDefault="00CD36BF">
      <w:pPr>
        <w:pStyle w:val="OB1"/>
      </w:pPr>
      <w:r>
        <w:t>Employer</w:t>
      </w:r>
    </w:p>
    <w:p w14:paraId="1D257782" w14:textId="77777777" w:rsidR="00CD36BF" w:rsidRDefault="00CD36BF">
      <w:pPr>
        <w:pStyle w:val="OB1"/>
      </w:pPr>
      <w:r>
        <w:t>Etc.</w:t>
      </w:r>
    </w:p>
    <w:p w14:paraId="416679AA" w14:textId="77777777" w:rsidR="00CD36BF" w:rsidRDefault="00CD36BF" w:rsidP="00CD36BF">
      <w:pPr>
        <w:pStyle w:val="bb3blue"/>
        <w:numPr>
          <w:ilvl w:val="0"/>
          <w:numId w:val="0"/>
        </w:numPr>
      </w:pPr>
    </w:p>
    <w:p w14:paraId="642B2F8A" w14:textId="77777777" w:rsidR="0038474B" w:rsidRDefault="0038474B" w:rsidP="0038474B">
      <w:pPr>
        <w:pStyle w:val="Heading4"/>
      </w:pPr>
      <w:r>
        <w:tab/>
        <w:t>Generate Reports</w:t>
      </w:r>
    </w:p>
    <w:p w14:paraId="67CB9EF1" w14:textId="321FE98D" w:rsidR="0038474B" w:rsidRPr="00B0723C" w:rsidRDefault="00114C72" w:rsidP="0038474B">
      <w:r>
        <w:t>This process includes all activities required to generate and transmit reports for Commission Appeals</w:t>
      </w:r>
      <w:r w:rsidR="0038474B">
        <w:t>.</w:t>
      </w:r>
    </w:p>
    <w:p w14:paraId="099D6D47" w14:textId="77777777" w:rsidR="0038474B" w:rsidRPr="003A23F0" w:rsidRDefault="0038474B" w:rsidP="0038474B">
      <w:pPr>
        <w:rPr>
          <w:u w:val="single"/>
        </w:rPr>
      </w:pPr>
      <w:r w:rsidRPr="003A23F0">
        <w:rPr>
          <w:u w:val="single"/>
        </w:rPr>
        <w:t>Actors</w:t>
      </w:r>
    </w:p>
    <w:p w14:paraId="7775FB94" w14:textId="77777777" w:rsidR="0038474B" w:rsidRDefault="0038474B" w:rsidP="00E16D2D">
      <w:pPr>
        <w:pStyle w:val="LB1"/>
      </w:pPr>
      <w:r>
        <w:t>Staff</w:t>
      </w:r>
    </w:p>
    <w:p w14:paraId="04416537" w14:textId="77777777" w:rsidR="0038474B" w:rsidRPr="00DF6567" w:rsidRDefault="0038474B" w:rsidP="0038474B"/>
    <w:p w14:paraId="5BD4999D" w14:textId="77777777" w:rsidR="0038474B" w:rsidRPr="003A23F0" w:rsidRDefault="0038474B" w:rsidP="0038474B">
      <w:pPr>
        <w:rPr>
          <w:u w:val="single"/>
        </w:rPr>
      </w:pPr>
      <w:r w:rsidRPr="003A23F0">
        <w:rPr>
          <w:u w:val="single"/>
        </w:rPr>
        <w:t>Main Activities</w:t>
      </w:r>
    </w:p>
    <w:p w14:paraId="39AB02CB" w14:textId="77777777" w:rsidR="00114C72" w:rsidRDefault="00114C72" w:rsidP="00E16D2D">
      <w:pPr>
        <w:pStyle w:val="LB1"/>
      </w:pPr>
      <w:r>
        <w:t>DOL Reports</w:t>
      </w:r>
    </w:p>
    <w:p w14:paraId="7096FBE9" w14:textId="77777777" w:rsidR="00114C72" w:rsidRDefault="00114C72" w:rsidP="00E16D2D">
      <w:pPr>
        <w:pStyle w:val="OB1"/>
      </w:pPr>
      <w:r>
        <w:t>System must generate DOL reports</w:t>
      </w:r>
    </w:p>
    <w:p w14:paraId="6B4B1580" w14:textId="77777777" w:rsidR="00114C72" w:rsidRDefault="00114C72" w:rsidP="00116640">
      <w:pPr>
        <w:pStyle w:val="OB1"/>
      </w:pPr>
      <w:r>
        <w:lastRenderedPageBreak/>
        <w:t>System must distribute DOL reports to Appeals and Commission Appeals Management for approval</w:t>
      </w:r>
    </w:p>
    <w:p w14:paraId="3A84B315" w14:textId="71AE1424" w:rsidR="00114C72" w:rsidRDefault="00F67CDB" w:rsidP="00F82166">
      <w:pPr>
        <w:pStyle w:val="OB1"/>
      </w:pPr>
      <w:r>
        <w:t xml:space="preserve">System must allow Staff to </w:t>
      </w:r>
      <w:r w:rsidR="00114C72">
        <w:t>correct and modify DOL reports</w:t>
      </w:r>
    </w:p>
    <w:p w14:paraId="0FD6EF8B" w14:textId="77777777" w:rsidR="00114C72" w:rsidRDefault="00114C72" w:rsidP="00F82166">
      <w:pPr>
        <w:pStyle w:val="OB1"/>
      </w:pPr>
      <w:r>
        <w:t>System must upload reports to DOL</w:t>
      </w:r>
    </w:p>
    <w:p w14:paraId="43B062D7" w14:textId="77777777" w:rsidR="00114C72" w:rsidRDefault="00114C72">
      <w:pPr>
        <w:pStyle w:val="OB1"/>
      </w:pPr>
      <w:r>
        <w:t>System must integrate reports with dashboards for visual representation of data</w:t>
      </w:r>
    </w:p>
    <w:p w14:paraId="60CCA68C" w14:textId="77777777" w:rsidR="00114C72" w:rsidRDefault="00114C72">
      <w:pPr>
        <w:pStyle w:val="OB1"/>
      </w:pPr>
      <w:r>
        <w:t>System must store and index reports</w:t>
      </w:r>
    </w:p>
    <w:p w14:paraId="261E3DE6" w14:textId="77777777" w:rsidR="00114C72" w:rsidRDefault="00114C72">
      <w:pPr>
        <w:pStyle w:val="LB1"/>
      </w:pPr>
      <w:r>
        <w:t>Operations, Performance, and Management reports</w:t>
      </w:r>
    </w:p>
    <w:p w14:paraId="71396FC0" w14:textId="4254B8C7" w:rsidR="00114C72" w:rsidRDefault="00F67CDB">
      <w:pPr>
        <w:pStyle w:val="OB1"/>
      </w:pPr>
      <w:r>
        <w:t xml:space="preserve">System must allow Staff to </w:t>
      </w:r>
      <w:r w:rsidR="00114C72">
        <w:t>schedule reports to be generated automatically</w:t>
      </w:r>
    </w:p>
    <w:p w14:paraId="438118BA" w14:textId="1F14B705" w:rsidR="00114C72" w:rsidRDefault="00F67CDB">
      <w:pPr>
        <w:pStyle w:val="OB1"/>
      </w:pPr>
      <w:r>
        <w:t xml:space="preserve">System must allow Staff to </w:t>
      </w:r>
      <w:r w:rsidR="00114C72">
        <w:t>run reports on demand</w:t>
      </w:r>
    </w:p>
    <w:p w14:paraId="3B879658" w14:textId="29C4BDE5" w:rsidR="00114C72" w:rsidRDefault="00114C72">
      <w:pPr>
        <w:pStyle w:val="OB1"/>
      </w:pPr>
      <w:r>
        <w:t xml:space="preserve">System must be able to generate and distribute reports listed in </w:t>
      </w:r>
      <w:hyperlink w:anchor="_Attachment_8_–" w:history="1">
        <w:r w:rsidRPr="00FD6AAF">
          <w:rPr>
            <w:rStyle w:val="Hyperlink"/>
          </w:rPr>
          <w:t>Attachment 8</w:t>
        </w:r>
      </w:hyperlink>
    </w:p>
    <w:p w14:paraId="3CD60AC8" w14:textId="4C783B4B" w:rsidR="00114C72" w:rsidRDefault="00114C72">
      <w:pPr>
        <w:pStyle w:val="OB1"/>
      </w:pPr>
      <w:r>
        <w:t>System must allow Staff to develop and schedule ad hoc reports</w:t>
      </w:r>
    </w:p>
    <w:p w14:paraId="7A6867C1" w14:textId="77777777" w:rsidR="00114C72" w:rsidRDefault="00114C72">
      <w:pPr>
        <w:pStyle w:val="OB1"/>
      </w:pPr>
      <w:r>
        <w:t>System must integrate reports with dashboards for visual representation of data</w:t>
      </w:r>
    </w:p>
    <w:p w14:paraId="126153CC" w14:textId="77777777" w:rsidR="00114C72" w:rsidRDefault="00114C72">
      <w:pPr>
        <w:pStyle w:val="OB1"/>
      </w:pPr>
      <w:r>
        <w:t>System must store and index reports</w:t>
      </w:r>
    </w:p>
    <w:p w14:paraId="3F06A47C" w14:textId="6BB1D2CC" w:rsidR="00114C72" w:rsidRDefault="00114C72" w:rsidP="00114C72"/>
    <w:p w14:paraId="2FC736C3" w14:textId="5CADEDFF" w:rsidR="00DA1915" w:rsidRDefault="00DA1915" w:rsidP="00DA1915">
      <w:pPr>
        <w:pStyle w:val="Heading3"/>
      </w:pPr>
      <w:bookmarkStart w:id="351" w:name="_A6.5_Special_Hearings"/>
      <w:bookmarkStart w:id="352" w:name="_Toc13567496"/>
      <w:bookmarkEnd w:id="351"/>
      <w:r>
        <w:t>A6.5</w:t>
      </w:r>
      <w:r>
        <w:tab/>
        <w:t>Special Hearings</w:t>
      </w:r>
      <w:bookmarkEnd w:id="352"/>
    </w:p>
    <w:p w14:paraId="58DB6EAA" w14:textId="34A84DAB" w:rsidR="00BA71B9" w:rsidRDefault="00BA71B9" w:rsidP="00BA71B9">
      <w:pPr>
        <w:pStyle w:val="Heading4"/>
      </w:pPr>
      <w:r>
        <w:tab/>
        <w:t>File Request</w:t>
      </w:r>
    </w:p>
    <w:p w14:paraId="75316684" w14:textId="797395BC" w:rsidR="00BA71B9" w:rsidRPr="00B0723C" w:rsidRDefault="00BA71B9" w:rsidP="00BA71B9">
      <w:r>
        <w:t xml:space="preserve">This process includes all activities required to file a </w:t>
      </w:r>
      <w:r w:rsidR="008525F3">
        <w:t>Rule 13 Tax-</w:t>
      </w:r>
      <w:r>
        <w:t>Special Hearing</w:t>
      </w:r>
      <w:r w:rsidRPr="00511A0B">
        <w:t xml:space="preserve"> </w:t>
      </w:r>
      <w:r>
        <w:t>request.</w:t>
      </w:r>
    </w:p>
    <w:p w14:paraId="0336D257" w14:textId="77777777" w:rsidR="00BA71B9" w:rsidRPr="003A23F0" w:rsidRDefault="00BA71B9" w:rsidP="00BA71B9">
      <w:pPr>
        <w:rPr>
          <w:u w:val="single"/>
        </w:rPr>
      </w:pPr>
      <w:r w:rsidRPr="003A23F0">
        <w:rPr>
          <w:u w:val="single"/>
        </w:rPr>
        <w:t>Actors</w:t>
      </w:r>
    </w:p>
    <w:p w14:paraId="692FF4CC" w14:textId="77777777" w:rsidR="00BA71B9" w:rsidRDefault="00BA71B9" w:rsidP="00E16D2D">
      <w:pPr>
        <w:pStyle w:val="LB1"/>
      </w:pPr>
      <w:r>
        <w:t>Employers</w:t>
      </w:r>
    </w:p>
    <w:p w14:paraId="7852C70A" w14:textId="16288CDE" w:rsidR="00BA71B9" w:rsidRDefault="00BA71B9" w:rsidP="00E16D2D">
      <w:pPr>
        <w:pStyle w:val="LB1"/>
      </w:pPr>
      <w:r>
        <w:t>Attorneys/Representatives</w:t>
      </w:r>
    </w:p>
    <w:p w14:paraId="2CB0D660" w14:textId="7F10833F" w:rsidR="00BA71B9" w:rsidRDefault="00BA71B9" w:rsidP="00116640">
      <w:pPr>
        <w:pStyle w:val="LB1"/>
      </w:pPr>
      <w:r>
        <w:t>TWC Tax Representatives</w:t>
      </w:r>
    </w:p>
    <w:p w14:paraId="3787F608" w14:textId="7BFAD559" w:rsidR="008525F3" w:rsidRDefault="008525F3" w:rsidP="00F82166">
      <w:pPr>
        <w:pStyle w:val="LB1"/>
      </w:pPr>
      <w:r>
        <w:t>Special Hearings’ Staff</w:t>
      </w:r>
    </w:p>
    <w:p w14:paraId="1AAACDD6" w14:textId="77777777" w:rsidR="00BA71B9" w:rsidRPr="00DF6567" w:rsidRDefault="00BA71B9" w:rsidP="00BA71B9"/>
    <w:p w14:paraId="25A74051" w14:textId="77777777" w:rsidR="00BA71B9" w:rsidRPr="0038474B" w:rsidRDefault="00BA71B9" w:rsidP="00BA71B9">
      <w:pPr>
        <w:rPr>
          <w:u w:val="single"/>
        </w:rPr>
      </w:pPr>
      <w:r w:rsidRPr="0038474B">
        <w:rPr>
          <w:u w:val="single"/>
        </w:rPr>
        <w:t>Main Activities</w:t>
      </w:r>
    </w:p>
    <w:p w14:paraId="0A68B066" w14:textId="09A95FC2" w:rsidR="00BA71B9" w:rsidRDefault="00E92B91" w:rsidP="00E16D2D">
      <w:pPr>
        <w:pStyle w:val="LB1"/>
      </w:pPr>
      <w:r>
        <w:t xml:space="preserve">System must allow </w:t>
      </w:r>
      <w:r w:rsidR="00AC50E4">
        <w:t>Request</w:t>
      </w:r>
      <w:r w:rsidR="006C5B34">
        <w:t>s</w:t>
      </w:r>
      <w:r w:rsidR="00AC50E4">
        <w:t xml:space="preserve"> </w:t>
      </w:r>
      <w:r>
        <w:t xml:space="preserve">to </w:t>
      </w:r>
      <w:r w:rsidR="00BA71B9">
        <w:t>be filed via f</w:t>
      </w:r>
      <w:r w:rsidR="006C2104">
        <w:t>ax, mail, online, and in person</w:t>
      </w:r>
      <w:r w:rsidR="00B00E75">
        <w:t>; n</w:t>
      </w:r>
      <w:r w:rsidR="00BA71B9">
        <w:t>o specia</w:t>
      </w:r>
      <w:r w:rsidR="006C2104">
        <w:t xml:space="preserve">l form </w:t>
      </w:r>
      <w:r w:rsidR="00B00E75">
        <w:t xml:space="preserve">is </w:t>
      </w:r>
      <w:r w:rsidR="006C2104">
        <w:t>needed to file a</w:t>
      </w:r>
      <w:r w:rsidR="00AC50E4">
        <w:t xml:space="preserve"> Request</w:t>
      </w:r>
    </w:p>
    <w:p w14:paraId="6D43EA35" w14:textId="262B6F32" w:rsidR="00BA71B9" w:rsidRDefault="006C2104" w:rsidP="00E16D2D">
      <w:pPr>
        <w:pStyle w:val="LB1"/>
      </w:pPr>
      <w:r>
        <w:t xml:space="preserve">System must help direct </w:t>
      </w:r>
      <w:r w:rsidR="00914277">
        <w:t xml:space="preserve">Parties </w:t>
      </w:r>
      <w:r>
        <w:t>to Local TWC offices (Tax and Workforce) available for assistance when filing a Request</w:t>
      </w:r>
    </w:p>
    <w:p w14:paraId="617CD316" w14:textId="4232FDAD" w:rsidR="00BA71B9" w:rsidRPr="00184453" w:rsidRDefault="00AC50E4" w:rsidP="00116640">
      <w:pPr>
        <w:pStyle w:val="LB1"/>
      </w:pPr>
      <w:r>
        <w:t>System must capture the following Request data elements, at a minimum</w:t>
      </w:r>
      <w:r w:rsidR="00BA71B9" w:rsidRPr="00184453">
        <w:t>:</w:t>
      </w:r>
    </w:p>
    <w:p w14:paraId="0CBAD91F" w14:textId="77777777" w:rsidR="00BA71B9" w:rsidRPr="00184453" w:rsidRDefault="00BA71B9" w:rsidP="00F82166">
      <w:pPr>
        <w:pStyle w:val="OB1"/>
        <w:rPr>
          <w:lang w:val="en"/>
        </w:rPr>
      </w:pPr>
      <w:r>
        <w:rPr>
          <w:lang w:val="en"/>
        </w:rPr>
        <w:t>N</w:t>
      </w:r>
      <w:r w:rsidRPr="00184453">
        <w:rPr>
          <w:lang w:val="en"/>
        </w:rPr>
        <w:t>ame</w:t>
      </w:r>
    </w:p>
    <w:p w14:paraId="772843D7" w14:textId="77777777" w:rsidR="00BA71B9" w:rsidRPr="00395868" w:rsidRDefault="00BA71B9" w:rsidP="00F82166">
      <w:pPr>
        <w:pStyle w:val="OB1"/>
        <w:rPr>
          <w:lang w:val="en"/>
        </w:rPr>
      </w:pPr>
      <w:r>
        <w:t>Tax Number</w:t>
      </w:r>
    </w:p>
    <w:p w14:paraId="5EBF772E" w14:textId="77777777" w:rsidR="00BA71B9" w:rsidRPr="00184453" w:rsidRDefault="00BA71B9">
      <w:pPr>
        <w:pStyle w:val="OB1"/>
        <w:rPr>
          <w:lang w:val="en"/>
        </w:rPr>
      </w:pPr>
      <w:r>
        <w:rPr>
          <w:lang w:val="en"/>
        </w:rPr>
        <w:t>C</w:t>
      </w:r>
      <w:r w:rsidRPr="00184453">
        <w:rPr>
          <w:lang w:val="en"/>
        </w:rPr>
        <w:t>urrent address</w:t>
      </w:r>
    </w:p>
    <w:p w14:paraId="724C0516" w14:textId="77777777" w:rsidR="00BA71B9" w:rsidRPr="009D5C71" w:rsidRDefault="00BA71B9">
      <w:pPr>
        <w:pStyle w:val="OB1"/>
        <w:rPr>
          <w:lang w:val="en"/>
        </w:rPr>
      </w:pPr>
      <w:r>
        <w:rPr>
          <w:lang w:val="en"/>
        </w:rPr>
        <w:t>Date of adverse Tax determination</w:t>
      </w:r>
    </w:p>
    <w:p w14:paraId="696C13FA" w14:textId="77777777" w:rsidR="00BA71B9" w:rsidRDefault="00BA71B9">
      <w:pPr>
        <w:pStyle w:val="OB1"/>
        <w:rPr>
          <w:lang w:val="en"/>
        </w:rPr>
      </w:pPr>
      <w:r w:rsidRPr="00184453">
        <w:rPr>
          <w:lang w:val="en"/>
        </w:rPr>
        <w:t xml:space="preserve">Any dates on which </w:t>
      </w:r>
      <w:r>
        <w:rPr>
          <w:lang w:val="en"/>
        </w:rPr>
        <w:t>appellant</w:t>
      </w:r>
      <w:r w:rsidRPr="00184453">
        <w:rPr>
          <w:lang w:val="en"/>
        </w:rPr>
        <w:t xml:space="preserve"> will not be able to participate in a hearing</w:t>
      </w:r>
    </w:p>
    <w:p w14:paraId="724748BE" w14:textId="140BD9E2" w:rsidR="00BA71B9" w:rsidRDefault="00BA71B9">
      <w:pPr>
        <w:pStyle w:val="OB1"/>
        <w:rPr>
          <w:lang w:val="en"/>
        </w:rPr>
      </w:pPr>
      <w:r>
        <w:rPr>
          <w:lang w:val="en"/>
        </w:rPr>
        <w:t>Reason for Request</w:t>
      </w:r>
    </w:p>
    <w:p w14:paraId="25B27C9C" w14:textId="7CEB1EB5" w:rsidR="003430EA" w:rsidRPr="003430EA" w:rsidRDefault="003430EA">
      <w:pPr>
        <w:pStyle w:val="OB1"/>
        <w:rPr>
          <w:lang w:val="en"/>
        </w:rPr>
      </w:pPr>
      <w:r w:rsidRPr="003430EA">
        <w:rPr>
          <w:lang w:val="en"/>
        </w:rPr>
        <w:lastRenderedPageBreak/>
        <w:t>Accommodations, e.g. interpreter, in-person hearing, scheduling conflicts</w:t>
      </w:r>
    </w:p>
    <w:p w14:paraId="33BE8295" w14:textId="77777777" w:rsidR="00BA71B9" w:rsidRDefault="00BA71B9" w:rsidP="00BA71B9"/>
    <w:p w14:paraId="2EA454CA" w14:textId="7AC33370" w:rsidR="00BA71B9" w:rsidRDefault="00BA71B9" w:rsidP="00BA71B9">
      <w:pPr>
        <w:rPr>
          <w:u w:val="single"/>
        </w:rPr>
      </w:pPr>
      <w:bookmarkStart w:id="353" w:name="_Hlk525022805"/>
      <w:r w:rsidRPr="00BA71B9">
        <w:rPr>
          <w:u w:val="single"/>
        </w:rPr>
        <w:t>Alternate Activities and Special Cases</w:t>
      </w:r>
    </w:p>
    <w:p w14:paraId="4E8C85FD" w14:textId="77777777" w:rsidR="004F7DCA" w:rsidRDefault="004F7DCA" w:rsidP="004F7DCA">
      <w:r>
        <w:t>System must support the following alternate activities and special cases:</w:t>
      </w:r>
    </w:p>
    <w:p w14:paraId="5CC39ECF" w14:textId="7C775EDE" w:rsidR="008525F3" w:rsidRDefault="008525F3" w:rsidP="00E16D2D">
      <w:pPr>
        <w:pStyle w:val="LB1"/>
      </w:pPr>
      <w:r>
        <w:t>After Staff review of Rule 13 request</w:t>
      </w:r>
      <w:r w:rsidR="00C96AF0">
        <w:t xml:space="preserve">, </w:t>
      </w:r>
      <w:bookmarkStart w:id="354" w:name="_Hlk525023180"/>
      <w:r w:rsidR="00C96AF0">
        <w:t xml:space="preserve">System must allow Staff to </w:t>
      </w:r>
      <w:bookmarkEnd w:id="354"/>
      <w:r w:rsidR="00C96AF0">
        <w:t xml:space="preserve">route </w:t>
      </w:r>
    </w:p>
    <w:p w14:paraId="715587DF" w14:textId="51EEAF1C" w:rsidR="00BA71B9" w:rsidRDefault="00BA71B9" w:rsidP="00E16D2D">
      <w:pPr>
        <w:pStyle w:val="OB1"/>
      </w:pPr>
      <w:r>
        <w:t>B-27 Claimant</w:t>
      </w:r>
      <w:r w:rsidR="00C96AF0">
        <w:t>s</w:t>
      </w:r>
      <w:r>
        <w:t xml:space="preserve"> to Appeals</w:t>
      </w:r>
    </w:p>
    <w:p w14:paraId="794A6294" w14:textId="2C7113FE" w:rsidR="00BA71B9" w:rsidRDefault="00BA71B9" w:rsidP="00116640">
      <w:pPr>
        <w:pStyle w:val="OB1"/>
      </w:pPr>
      <w:r>
        <w:t>Rate protests to proposal and docket without hearing</w:t>
      </w:r>
    </w:p>
    <w:bookmarkEnd w:id="353"/>
    <w:p w14:paraId="088CB421" w14:textId="4348E257" w:rsidR="00DA1915" w:rsidRDefault="00DA1915" w:rsidP="00DA1915"/>
    <w:p w14:paraId="2A112EE6" w14:textId="7C7E132D" w:rsidR="00BA71B9" w:rsidRDefault="00BA71B9" w:rsidP="00BA71B9">
      <w:pPr>
        <w:pStyle w:val="Heading4"/>
      </w:pPr>
      <w:r>
        <w:tab/>
        <w:t>Receive and Route Request</w:t>
      </w:r>
    </w:p>
    <w:p w14:paraId="704102AC" w14:textId="360B0580" w:rsidR="00BA71B9" w:rsidRPr="00B0723C" w:rsidRDefault="00BA71B9" w:rsidP="00BA71B9">
      <w:r>
        <w:t>This process includes all activities required to receive and route a Special Hearing</w:t>
      </w:r>
      <w:r w:rsidRPr="00511A0B">
        <w:t xml:space="preserve"> </w:t>
      </w:r>
      <w:r>
        <w:t>request.</w:t>
      </w:r>
    </w:p>
    <w:p w14:paraId="09106784" w14:textId="77777777" w:rsidR="00BA71B9" w:rsidRPr="003A23F0" w:rsidRDefault="00BA71B9" w:rsidP="00BA71B9">
      <w:pPr>
        <w:rPr>
          <w:u w:val="single"/>
        </w:rPr>
      </w:pPr>
      <w:r w:rsidRPr="003A23F0">
        <w:rPr>
          <w:u w:val="single"/>
        </w:rPr>
        <w:t>Actors</w:t>
      </w:r>
    </w:p>
    <w:p w14:paraId="555FDD23" w14:textId="77777777" w:rsidR="00BA71B9" w:rsidRDefault="00BA71B9" w:rsidP="00E16D2D">
      <w:pPr>
        <w:pStyle w:val="LB1"/>
      </w:pPr>
      <w:r>
        <w:t>Staff</w:t>
      </w:r>
    </w:p>
    <w:p w14:paraId="59B36BAB" w14:textId="77777777" w:rsidR="00BA71B9" w:rsidRPr="00DF6567" w:rsidRDefault="00BA71B9" w:rsidP="00BA71B9"/>
    <w:p w14:paraId="533664CC" w14:textId="77777777" w:rsidR="00BA71B9" w:rsidRPr="003A23F0" w:rsidRDefault="00BA71B9" w:rsidP="00BA71B9">
      <w:pPr>
        <w:rPr>
          <w:u w:val="single"/>
        </w:rPr>
      </w:pPr>
      <w:bookmarkStart w:id="355" w:name="_Hlk525023156"/>
      <w:r w:rsidRPr="003A23F0">
        <w:rPr>
          <w:u w:val="single"/>
        </w:rPr>
        <w:t>Main Activities</w:t>
      </w:r>
    </w:p>
    <w:p w14:paraId="02B5BE1B" w14:textId="721FC5B3" w:rsidR="00BA71B9" w:rsidRDefault="00BA71B9" w:rsidP="00E16D2D">
      <w:pPr>
        <w:pStyle w:val="LB1"/>
      </w:pPr>
      <w:r>
        <w:t xml:space="preserve">System must ingest Request </w:t>
      </w:r>
      <w:r w:rsidR="005A37FD">
        <w:t>into the CMS</w:t>
      </w:r>
    </w:p>
    <w:p w14:paraId="114AB5ED" w14:textId="77777777" w:rsidR="00BA71B9" w:rsidRDefault="00BA71B9" w:rsidP="00E16D2D">
      <w:pPr>
        <w:pStyle w:val="OB1"/>
      </w:pPr>
      <w:r>
        <w:t>In person, fax, online, and mail</w:t>
      </w:r>
    </w:p>
    <w:p w14:paraId="6D44A39B" w14:textId="7DD7B742" w:rsidR="00BA71B9" w:rsidRDefault="004440D2" w:rsidP="00116640">
      <w:pPr>
        <w:pStyle w:val="LB1"/>
      </w:pPr>
      <w:r>
        <w:t>System</w:t>
      </w:r>
      <w:r w:rsidR="00982C98">
        <w:t>/</w:t>
      </w:r>
      <w:r>
        <w:t>Staff v</w:t>
      </w:r>
      <w:r w:rsidR="00BA71B9" w:rsidRPr="008D5A7C">
        <w:t>erif</w:t>
      </w:r>
      <w:r w:rsidR="00982C98">
        <w:t>ies</w:t>
      </w:r>
      <w:r w:rsidR="00BA71B9" w:rsidRPr="008D5A7C">
        <w:t xml:space="preserve"> </w:t>
      </w:r>
      <w:r w:rsidR="00BA71B9">
        <w:t>Tax Account Number</w:t>
      </w:r>
    </w:p>
    <w:p w14:paraId="7D455CD4" w14:textId="70193E67" w:rsidR="00BA71B9" w:rsidRDefault="00982C98" w:rsidP="00F82166">
      <w:pPr>
        <w:pStyle w:val="LB1"/>
      </w:pPr>
      <w:r>
        <w:t xml:space="preserve">System/Staff </w:t>
      </w:r>
      <w:r w:rsidR="004440D2">
        <w:t>r</w:t>
      </w:r>
      <w:r w:rsidR="00BA71B9">
        <w:t>oute</w:t>
      </w:r>
      <w:r>
        <w:t>s</w:t>
      </w:r>
      <w:r w:rsidR="00BA71B9">
        <w:t xml:space="preserve"> to appropriate department</w:t>
      </w:r>
    </w:p>
    <w:p w14:paraId="69072407" w14:textId="77777777" w:rsidR="00BA71B9" w:rsidRDefault="00BA71B9" w:rsidP="00F82166">
      <w:pPr>
        <w:pStyle w:val="OB1"/>
      </w:pPr>
      <w:r>
        <w:t>Tax</w:t>
      </w:r>
    </w:p>
    <w:p w14:paraId="51FE19DA" w14:textId="77777777" w:rsidR="00BA71B9" w:rsidRDefault="00BA71B9">
      <w:pPr>
        <w:pStyle w:val="OB1"/>
      </w:pPr>
      <w:r>
        <w:t>Special Hearings</w:t>
      </w:r>
    </w:p>
    <w:p w14:paraId="1C329CF6" w14:textId="77777777" w:rsidR="00BA71B9" w:rsidRDefault="00BA71B9" w:rsidP="00BA71B9">
      <w:pPr>
        <w:pStyle w:val="KBulletList2"/>
        <w:numPr>
          <w:ilvl w:val="0"/>
          <w:numId w:val="0"/>
        </w:numPr>
      </w:pPr>
    </w:p>
    <w:bookmarkEnd w:id="355"/>
    <w:p w14:paraId="5F767156" w14:textId="7D775898" w:rsidR="00DE79E4" w:rsidRDefault="00DE79E4" w:rsidP="00DE79E4">
      <w:pPr>
        <w:pStyle w:val="Heading4"/>
      </w:pPr>
      <w:r>
        <w:tab/>
      </w:r>
      <w:r w:rsidR="00434CAC">
        <w:t>Process</w:t>
      </w:r>
      <w:r>
        <w:t xml:space="preserve"> Request</w:t>
      </w:r>
    </w:p>
    <w:p w14:paraId="5DE6C92E" w14:textId="2934DD74" w:rsidR="00DE79E4" w:rsidRPr="00B0723C" w:rsidRDefault="00434CAC" w:rsidP="00DE79E4">
      <w:r>
        <w:t>This process includes all activities required to process a request</w:t>
      </w:r>
      <w:r w:rsidR="00DE79E4">
        <w:t>.</w:t>
      </w:r>
    </w:p>
    <w:p w14:paraId="79C0DAD9" w14:textId="77777777" w:rsidR="00DE79E4" w:rsidRPr="003A23F0" w:rsidRDefault="00DE79E4" w:rsidP="00DE79E4">
      <w:pPr>
        <w:rPr>
          <w:u w:val="single"/>
        </w:rPr>
      </w:pPr>
      <w:r w:rsidRPr="003A23F0">
        <w:rPr>
          <w:u w:val="single"/>
        </w:rPr>
        <w:t>Actors</w:t>
      </w:r>
    </w:p>
    <w:p w14:paraId="7698C1AC" w14:textId="77777777" w:rsidR="00DE79E4" w:rsidRDefault="00DE79E4" w:rsidP="00E16D2D">
      <w:pPr>
        <w:pStyle w:val="LB1"/>
      </w:pPr>
      <w:r>
        <w:t>Staff</w:t>
      </w:r>
    </w:p>
    <w:p w14:paraId="5D4AD3A7" w14:textId="77777777" w:rsidR="00DE79E4" w:rsidRPr="00DF6567" w:rsidRDefault="00DE79E4" w:rsidP="00DE79E4"/>
    <w:p w14:paraId="1AA6845D" w14:textId="77777777" w:rsidR="00DE79E4" w:rsidRPr="003A23F0" w:rsidRDefault="00DE79E4" w:rsidP="00DE79E4">
      <w:pPr>
        <w:rPr>
          <w:u w:val="single"/>
        </w:rPr>
      </w:pPr>
      <w:r w:rsidRPr="003A23F0">
        <w:rPr>
          <w:u w:val="single"/>
        </w:rPr>
        <w:t>Main Activities</w:t>
      </w:r>
    </w:p>
    <w:p w14:paraId="633268FD" w14:textId="2175C976" w:rsidR="00007ABB" w:rsidRDefault="00E2460B" w:rsidP="00E16D2D">
      <w:pPr>
        <w:pStyle w:val="LB1"/>
      </w:pPr>
      <w:r>
        <w:t>System/Staff</w:t>
      </w:r>
      <w:r w:rsidR="00007ABB">
        <w:t xml:space="preserve"> v</w:t>
      </w:r>
      <w:r w:rsidR="00007ABB" w:rsidRPr="008D5A7C">
        <w:t>erif</w:t>
      </w:r>
      <w:r w:rsidR="00007ABB">
        <w:t>ies</w:t>
      </w:r>
      <w:r w:rsidR="00007ABB" w:rsidRPr="008D5A7C">
        <w:t xml:space="preserve"> </w:t>
      </w:r>
      <w:r w:rsidR="00007ABB">
        <w:t>Tax account number</w:t>
      </w:r>
    </w:p>
    <w:p w14:paraId="1FF2ACCB" w14:textId="77777777" w:rsidR="00007ABB" w:rsidRDefault="00007ABB" w:rsidP="00E16D2D">
      <w:pPr>
        <w:pStyle w:val="LB1"/>
      </w:pPr>
      <w:r>
        <w:t xml:space="preserve">System displays </w:t>
      </w:r>
    </w:p>
    <w:p w14:paraId="3BDBBD64" w14:textId="77777777" w:rsidR="00007ABB" w:rsidRDefault="00007ABB" w:rsidP="00116640">
      <w:pPr>
        <w:pStyle w:val="OB1"/>
      </w:pPr>
      <w:r>
        <w:t>Existing Rule 13 cases</w:t>
      </w:r>
    </w:p>
    <w:p w14:paraId="77FD7067" w14:textId="77777777" w:rsidR="00007ABB" w:rsidRDefault="00007ABB" w:rsidP="00F82166">
      <w:pPr>
        <w:pStyle w:val="OB1"/>
      </w:pPr>
      <w:r>
        <w:t>Existing Tax information, including attachments associated to issues</w:t>
      </w:r>
    </w:p>
    <w:p w14:paraId="50CE1FC5" w14:textId="77777777" w:rsidR="00007ABB" w:rsidRDefault="00007ABB" w:rsidP="00F82166">
      <w:pPr>
        <w:pStyle w:val="OB1"/>
      </w:pPr>
      <w:r>
        <w:t>High-level summary for an Rule 13 hearing (e.g. Tax determinations, audit documents)</w:t>
      </w:r>
    </w:p>
    <w:p w14:paraId="0EA5A841" w14:textId="2A289D59" w:rsidR="00007ABB" w:rsidRDefault="00E2460B" w:rsidP="00F82166">
      <w:pPr>
        <w:pStyle w:val="LB1"/>
      </w:pPr>
      <w:r>
        <w:t>System/Staff</w:t>
      </w:r>
      <w:r w:rsidR="00C00E35">
        <w:t xml:space="preserve"> must</w:t>
      </w:r>
      <w:r w:rsidR="00007ABB">
        <w:t xml:space="preserve"> research adverse determinations and/or decisions</w:t>
      </w:r>
    </w:p>
    <w:p w14:paraId="0434775F" w14:textId="77777777" w:rsidR="00007ABB" w:rsidRDefault="00007ABB">
      <w:pPr>
        <w:pStyle w:val="LB1"/>
      </w:pPr>
      <w:r>
        <w:lastRenderedPageBreak/>
        <w:t>System routes to appropriate department, with limits based on user permissions</w:t>
      </w:r>
    </w:p>
    <w:p w14:paraId="6BD41C00" w14:textId="77777777" w:rsidR="00007ABB" w:rsidRDefault="00007ABB">
      <w:pPr>
        <w:pStyle w:val="OB1"/>
      </w:pPr>
      <w:r>
        <w:t>Tax</w:t>
      </w:r>
    </w:p>
    <w:p w14:paraId="43431773" w14:textId="77777777" w:rsidR="00007ABB" w:rsidRDefault="00007ABB">
      <w:pPr>
        <w:pStyle w:val="OB1"/>
      </w:pPr>
      <w:r>
        <w:t>Special Hearings</w:t>
      </w:r>
    </w:p>
    <w:p w14:paraId="7FE75C88" w14:textId="5C67912E" w:rsidR="00007ABB" w:rsidRDefault="00E2460B">
      <w:pPr>
        <w:pStyle w:val="LB1"/>
      </w:pPr>
      <w:r>
        <w:t>System/Staff</w:t>
      </w:r>
      <w:r w:rsidR="00007ABB">
        <w:t xml:space="preserve"> must be able to research exclusions of Claimants with existing UI claims and notify Appeals department as appropriate </w:t>
      </w:r>
    </w:p>
    <w:p w14:paraId="69D5D1BA" w14:textId="1C01DD45" w:rsidR="00007ABB" w:rsidRDefault="00E2460B">
      <w:pPr>
        <w:pStyle w:val="LB1"/>
      </w:pPr>
      <w:r>
        <w:t>System/Staff</w:t>
      </w:r>
      <w:r w:rsidR="00007ABB">
        <w:t xml:space="preserve"> creates new case or new appeal as appropriate </w:t>
      </w:r>
    </w:p>
    <w:p w14:paraId="4ADBC461" w14:textId="77777777" w:rsidR="00007ABB" w:rsidRDefault="00007ABB">
      <w:pPr>
        <w:pStyle w:val="OB1"/>
      </w:pPr>
      <w:r>
        <w:t>System generates case or appeal number or identifier</w:t>
      </w:r>
    </w:p>
    <w:p w14:paraId="6C09A815" w14:textId="61BFDD8C" w:rsidR="00007ABB" w:rsidRDefault="00E2460B">
      <w:pPr>
        <w:pStyle w:val="OB1"/>
      </w:pPr>
      <w:r>
        <w:t>System/Staff</w:t>
      </w:r>
      <w:r w:rsidR="00007ABB">
        <w:t xml:space="preserve"> inputs appeal data</w:t>
      </w:r>
    </w:p>
    <w:p w14:paraId="49822E95" w14:textId="77777777" w:rsidR="00007ABB" w:rsidRDefault="00007ABB" w:rsidP="00007ABB">
      <w:pPr>
        <w:pStyle w:val="SB1"/>
      </w:pPr>
      <w:r>
        <w:t>Appeal date</w:t>
      </w:r>
    </w:p>
    <w:p w14:paraId="2241D4D6" w14:textId="77777777" w:rsidR="00007ABB" w:rsidRDefault="00007ABB" w:rsidP="00007ABB">
      <w:pPr>
        <w:pStyle w:val="SB1"/>
      </w:pPr>
      <w:r>
        <w:t>Filing method</w:t>
      </w:r>
    </w:p>
    <w:p w14:paraId="528ECCE3" w14:textId="77777777" w:rsidR="00007ABB" w:rsidRDefault="00007ABB" w:rsidP="00007ABB">
      <w:pPr>
        <w:pStyle w:val="SB1"/>
      </w:pPr>
      <w:r>
        <w:t xml:space="preserve">Appellant </w:t>
      </w:r>
    </w:p>
    <w:p w14:paraId="4B5714AE" w14:textId="77777777" w:rsidR="00007ABB" w:rsidRDefault="00007ABB" w:rsidP="00007ABB">
      <w:pPr>
        <w:pStyle w:val="SB1"/>
      </w:pPr>
      <w:r>
        <w:t>Receipt date</w:t>
      </w:r>
    </w:p>
    <w:p w14:paraId="66C1267C" w14:textId="404548E1" w:rsidR="00007ABB" w:rsidRDefault="00007ABB" w:rsidP="00007ABB">
      <w:pPr>
        <w:pStyle w:val="SB1"/>
      </w:pPr>
      <w:r>
        <w:t xml:space="preserve">Accommodations (languages, type of </w:t>
      </w:r>
      <w:r w:rsidR="00930F59">
        <w:t>Employer</w:t>
      </w:r>
      <w:r>
        <w:t>, restrictions on availability, in person, etc.)</w:t>
      </w:r>
    </w:p>
    <w:p w14:paraId="1AEE43A2" w14:textId="7946AD0D" w:rsidR="00007ABB" w:rsidRDefault="00E2460B" w:rsidP="00E16D2D">
      <w:pPr>
        <w:pStyle w:val="OB1"/>
      </w:pPr>
      <w:r>
        <w:t>System/Staff</w:t>
      </w:r>
      <w:r w:rsidR="00007ABB">
        <w:t xml:space="preserve"> adds determinations to appeal as appropriate</w:t>
      </w:r>
    </w:p>
    <w:p w14:paraId="41A5567F" w14:textId="1F56EE61" w:rsidR="00007ABB" w:rsidRDefault="00007ABB" w:rsidP="00E16D2D">
      <w:pPr>
        <w:pStyle w:val="OB1"/>
      </w:pPr>
      <w:r>
        <w:t xml:space="preserve">System performs edit </w:t>
      </w:r>
      <w:r w:rsidR="00B03818">
        <w:t xml:space="preserve">checks (e.g., timeliness check, flagged Employer account numbers, </w:t>
      </w:r>
      <w:r w:rsidR="003430EA">
        <w:t xml:space="preserve">flagged Claimants for exclusions, </w:t>
      </w:r>
      <w:r w:rsidR="00B03818">
        <w:t>etc.) and displays customizable messages based on the edit checks</w:t>
      </w:r>
    </w:p>
    <w:p w14:paraId="7EF42C43" w14:textId="1622A4B6" w:rsidR="00007ABB" w:rsidRDefault="00E2460B" w:rsidP="00116640">
      <w:pPr>
        <w:pStyle w:val="OB1"/>
      </w:pPr>
      <w:r>
        <w:t>System/Staff</w:t>
      </w:r>
      <w:r w:rsidR="00007ABB">
        <w:t xml:space="preserve"> adds or removes</w:t>
      </w:r>
    </w:p>
    <w:p w14:paraId="7852F648" w14:textId="77777777" w:rsidR="00007ABB" w:rsidRDefault="00007ABB" w:rsidP="00007ABB">
      <w:pPr>
        <w:pStyle w:val="SB1"/>
      </w:pPr>
      <w:r>
        <w:t>Parties</w:t>
      </w:r>
    </w:p>
    <w:p w14:paraId="21BF1062" w14:textId="77777777" w:rsidR="00007ABB" w:rsidRDefault="00007ABB" w:rsidP="00007ABB">
      <w:pPr>
        <w:pStyle w:val="SB1"/>
      </w:pPr>
      <w:r>
        <w:t>Issues</w:t>
      </w:r>
    </w:p>
    <w:p w14:paraId="39E44C8E" w14:textId="77777777" w:rsidR="00007ABB" w:rsidRDefault="00007ABB" w:rsidP="00007ABB">
      <w:pPr>
        <w:pStyle w:val="SB1"/>
      </w:pPr>
      <w:r>
        <w:t>Special instructions</w:t>
      </w:r>
    </w:p>
    <w:p w14:paraId="0659ABF8" w14:textId="77777777" w:rsidR="00007ABB" w:rsidRDefault="00007ABB" w:rsidP="00007ABB">
      <w:pPr>
        <w:pStyle w:val="SB1"/>
      </w:pPr>
      <w:r>
        <w:t>Time zone instructions</w:t>
      </w:r>
    </w:p>
    <w:p w14:paraId="39270E67" w14:textId="77777777" w:rsidR="00007ABB" w:rsidRDefault="00007ABB" w:rsidP="00007ABB">
      <w:pPr>
        <w:pStyle w:val="SB1"/>
      </w:pPr>
      <w:r>
        <w:t>Addresses</w:t>
      </w:r>
    </w:p>
    <w:p w14:paraId="2A605FEF" w14:textId="77777777" w:rsidR="00007ABB" w:rsidRDefault="00007ABB" w:rsidP="00007ABB">
      <w:pPr>
        <w:pStyle w:val="SB1"/>
      </w:pPr>
      <w:r>
        <w:t>Scheduling Parameters</w:t>
      </w:r>
    </w:p>
    <w:p w14:paraId="4E4D177C" w14:textId="77777777" w:rsidR="00007ABB" w:rsidRDefault="00007ABB" w:rsidP="00E16D2D">
      <w:pPr>
        <w:pStyle w:val="DB1"/>
      </w:pPr>
      <w:r>
        <w:t>Hearing Officer s</w:t>
      </w:r>
      <w:r w:rsidRPr="00180B5B">
        <w:t>kill level</w:t>
      </w:r>
    </w:p>
    <w:p w14:paraId="7E8ACAB5" w14:textId="77777777" w:rsidR="00007ABB" w:rsidRDefault="00007ABB" w:rsidP="00E16D2D">
      <w:pPr>
        <w:pStyle w:val="DB1"/>
      </w:pPr>
      <w:r>
        <w:t>Assign/Exclude a specific Hearing Officer</w:t>
      </w:r>
    </w:p>
    <w:p w14:paraId="2D8F79B7" w14:textId="77777777" w:rsidR="00007ABB" w:rsidRDefault="00007ABB" w:rsidP="00116640">
      <w:pPr>
        <w:pStyle w:val="DB1"/>
      </w:pPr>
      <w:r>
        <w:t>Program code</w:t>
      </w:r>
    </w:p>
    <w:p w14:paraId="743D33F9" w14:textId="77777777" w:rsidR="00007ABB" w:rsidRDefault="00007ABB" w:rsidP="00F82166">
      <w:pPr>
        <w:pStyle w:val="DB1"/>
      </w:pPr>
      <w:r>
        <w:t>Employer account</w:t>
      </w:r>
    </w:p>
    <w:p w14:paraId="6AFFD722" w14:textId="77777777" w:rsidR="00007ABB" w:rsidRDefault="00007ABB" w:rsidP="00F82166">
      <w:pPr>
        <w:pStyle w:val="DB1"/>
      </w:pPr>
      <w:r>
        <w:t>Issue</w:t>
      </w:r>
    </w:p>
    <w:p w14:paraId="73ED20F8" w14:textId="77777777" w:rsidR="00007ABB" w:rsidRDefault="00007ABB">
      <w:pPr>
        <w:pStyle w:val="DB1"/>
      </w:pPr>
      <w:r>
        <w:t>Priority</w:t>
      </w:r>
    </w:p>
    <w:p w14:paraId="6B16C067" w14:textId="77777777" w:rsidR="00007ABB" w:rsidRDefault="00007ABB">
      <w:pPr>
        <w:pStyle w:val="DB1"/>
      </w:pPr>
      <w:r>
        <w:t>Accommodations</w:t>
      </w:r>
    </w:p>
    <w:p w14:paraId="62E0286D" w14:textId="77777777" w:rsidR="00007ABB" w:rsidRDefault="00007ABB">
      <w:pPr>
        <w:pStyle w:val="DB1"/>
      </w:pPr>
      <w:r>
        <w:t>Language</w:t>
      </w:r>
    </w:p>
    <w:p w14:paraId="4C7BC4EC" w14:textId="77777777" w:rsidR="00007ABB" w:rsidRDefault="00007ABB">
      <w:pPr>
        <w:pStyle w:val="DB1"/>
      </w:pPr>
      <w:r>
        <w:t>Type of business</w:t>
      </w:r>
    </w:p>
    <w:p w14:paraId="433E7E15" w14:textId="77777777" w:rsidR="00007ABB" w:rsidRDefault="00007ABB">
      <w:pPr>
        <w:pStyle w:val="LB1"/>
      </w:pPr>
      <w:r>
        <w:t>System updates status in self-service portal</w:t>
      </w:r>
    </w:p>
    <w:p w14:paraId="4F77B821" w14:textId="160C632A" w:rsidR="00007ABB" w:rsidRDefault="00026BFB">
      <w:pPr>
        <w:pStyle w:val="LB1"/>
      </w:pPr>
      <w:r>
        <w:t xml:space="preserve">System must include Case Management and Workflow functionality, described in General Process Descriptions, see </w:t>
      </w:r>
      <w:hyperlink w:anchor="_A6.9_General" w:history="1">
        <w:r>
          <w:rPr>
            <w:rStyle w:val="Hyperlink"/>
          </w:rPr>
          <w:t>Attachment A6.9</w:t>
        </w:r>
      </w:hyperlink>
    </w:p>
    <w:p w14:paraId="3EDFB549" w14:textId="77777777" w:rsidR="00007ABB" w:rsidRDefault="00007ABB" w:rsidP="00007ABB"/>
    <w:p w14:paraId="273A8F8E" w14:textId="22335B1C" w:rsidR="00007ABB" w:rsidRDefault="00007ABB" w:rsidP="00007ABB">
      <w:pPr>
        <w:rPr>
          <w:u w:val="single"/>
        </w:rPr>
      </w:pPr>
      <w:r w:rsidRPr="00007ABB">
        <w:rPr>
          <w:u w:val="single"/>
        </w:rPr>
        <w:t>Alternate Activities and Special Cases</w:t>
      </w:r>
    </w:p>
    <w:p w14:paraId="6AD87ED9" w14:textId="77777777" w:rsidR="004F7DCA" w:rsidRDefault="004F7DCA" w:rsidP="004F7DCA">
      <w:r>
        <w:lastRenderedPageBreak/>
        <w:t>System must support the following alternate activities and special cases:</w:t>
      </w:r>
    </w:p>
    <w:p w14:paraId="0CA212DB" w14:textId="2C18CE4B" w:rsidR="00007ABB" w:rsidRDefault="00007ABB" w:rsidP="00E16D2D">
      <w:pPr>
        <w:pStyle w:val="LB1"/>
      </w:pPr>
      <w:r>
        <w:t xml:space="preserve">Pend </w:t>
      </w:r>
      <w:r w:rsidR="001F0D31">
        <w:t xml:space="preserve">(suspend action on case and note account) </w:t>
      </w:r>
      <w:r>
        <w:t>for various reasons such as</w:t>
      </w:r>
    </w:p>
    <w:p w14:paraId="40BA0DFC" w14:textId="1D8AE833" w:rsidR="00007ABB" w:rsidRDefault="00007ABB" w:rsidP="00E16D2D">
      <w:pPr>
        <w:pStyle w:val="OB1"/>
      </w:pPr>
      <w:r>
        <w:t>OGC</w:t>
      </w:r>
      <w:r w:rsidR="001F0D31">
        <w:t xml:space="preserve"> (law suit or other action in a different forum)</w:t>
      </w:r>
    </w:p>
    <w:p w14:paraId="3CB75FC1" w14:textId="77777777" w:rsidR="00007ABB" w:rsidRDefault="00007ABB" w:rsidP="00116640">
      <w:pPr>
        <w:pStyle w:val="OB1"/>
      </w:pPr>
      <w:r>
        <w:t>Re-investigation</w:t>
      </w:r>
    </w:p>
    <w:p w14:paraId="61E13578" w14:textId="77777777" w:rsidR="00007ABB" w:rsidRDefault="00007ABB" w:rsidP="00F82166">
      <w:pPr>
        <w:pStyle w:val="LB1"/>
      </w:pPr>
      <w:r>
        <w:t>Delete case data (e.g., processed in error)</w:t>
      </w:r>
    </w:p>
    <w:p w14:paraId="351B6CE1" w14:textId="77777777" w:rsidR="00007ABB" w:rsidRDefault="00007ABB" w:rsidP="00F82166">
      <w:pPr>
        <w:pStyle w:val="LB1"/>
      </w:pPr>
      <w:r>
        <w:t>Companion cases</w:t>
      </w:r>
    </w:p>
    <w:p w14:paraId="782CD3A5" w14:textId="77777777" w:rsidR="00007ABB" w:rsidRDefault="00007ABB">
      <w:pPr>
        <w:pStyle w:val="LB1"/>
      </w:pPr>
      <w:r>
        <w:t xml:space="preserve">Resets </w:t>
      </w:r>
    </w:p>
    <w:p w14:paraId="6AC04DF6" w14:textId="77777777" w:rsidR="00007ABB" w:rsidRDefault="00007ABB">
      <w:pPr>
        <w:pStyle w:val="LB1"/>
      </w:pPr>
      <w:r>
        <w:t>Motions for Reconsideration</w:t>
      </w:r>
    </w:p>
    <w:p w14:paraId="6E7BBB4B" w14:textId="77777777" w:rsidR="00007ABB" w:rsidRDefault="00007ABB">
      <w:pPr>
        <w:pStyle w:val="LB1"/>
      </w:pPr>
      <w:r>
        <w:t>Continuances</w:t>
      </w:r>
    </w:p>
    <w:p w14:paraId="1BCD1FCA" w14:textId="77777777" w:rsidR="00007ABB" w:rsidRDefault="00007ABB">
      <w:pPr>
        <w:pStyle w:val="LB1"/>
      </w:pPr>
      <w:r>
        <w:t>Expedited</w:t>
      </w:r>
    </w:p>
    <w:p w14:paraId="27493F75" w14:textId="77777777" w:rsidR="00007ABB" w:rsidRDefault="00007ABB">
      <w:pPr>
        <w:pStyle w:val="LB1"/>
      </w:pPr>
      <w:r>
        <w:t xml:space="preserve">Withdrawals </w:t>
      </w:r>
    </w:p>
    <w:p w14:paraId="40143263" w14:textId="77777777" w:rsidR="00007ABB" w:rsidRDefault="00007ABB">
      <w:pPr>
        <w:pStyle w:val="LB1"/>
      </w:pPr>
      <w:r>
        <w:t>Generate correspondence</w:t>
      </w:r>
    </w:p>
    <w:p w14:paraId="61DDD35C" w14:textId="77777777" w:rsidR="00007ABB" w:rsidRDefault="00007ABB">
      <w:pPr>
        <w:pStyle w:val="OB1"/>
      </w:pPr>
      <w:r>
        <w:t>Request for information letter (representation, scheduling, etc.)</w:t>
      </w:r>
    </w:p>
    <w:p w14:paraId="22D27B30" w14:textId="552C2033" w:rsidR="00007ABB" w:rsidRDefault="00007ABB">
      <w:pPr>
        <w:pStyle w:val="OB1"/>
      </w:pPr>
      <w:r>
        <w:t>Refer to Appeals letter</w:t>
      </w:r>
    </w:p>
    <w:p w14:paraId="7A59D057" w14:textId="457436D3" w:rsidR="00BA71B9" w:rsidRDefault="00BA71B9" w:rsidP="00BA71B9"/>
    <w:p w14:paraId="1873ECF4" w14:textId="0AD6CB03" w:rsidR="00434CAC" w:rsidRDefault="00434CAC" w:rsidP="00434CAC">
      <w:pPr>
        <w:pStyle w:val="Heading4"/>
      </w:pPr>
      <w:r>
        <w:tab/>
      </w:r>
      <w:r w:rsidR="00B93722">
        <w:t>Submit Documentation</w:t>
      </w:r>
    </w:p>
    <w:p w14:paraId="325611CD" w14:textId="0FCCF061" w:rsidR="00434CAC" w:rsidRPr="00B0723C" w:rsidRDefault="00B93722" w:rsidP="00434CAC">
      <w:r>
        <w:t>This process includes all activities required to submit documentation</w:t>
      </w:r>
      <w:r w:rsidR="00434CAC">
        <w:t>.</w:t>
      </w:r>
    </w:p>
    <w:p w14:paraId="2AF5B20D" w14:textId="77777777" w:rsidR="00434CAC" w:rsidRPr="003A23F0" w:rsidRDefault="00434CAC" w:rsidP="00434CAC">
      <w:pPr>
        <w:rPr>
          <w:u w:val="single"/>
        </w:rPr>
      </w:pPr>
      <w:r w:rsidRPr="003A23F0">
        <w:rPr>
          <w:u w:val="single"/>
        </w:rPr>
        <w:t>Actors</w:t>
      </w:r>
    </w:p>
    <w:p w14:paraId="2EBC68A0" w14:textId="77777777" w:rsidR="00434CAC" w:rsidRDefault="00434CAC" w:rsidP="00E16D2D">
      <w:pPr>
        <w:pStyle w:val="LB1"/>
      </w:pPr>
      <w:r>
        <w:t>Staff</w:t>
      </w:r>
    </w:p>
    <w:p w14:paraId="0D069C0B" w14:textId="77777777" w:rsidR="00434CAC" w:rsidRPr="00DF6567" w:rsidRDefault="00434CAC" w:rsidP="00434CAC"/>
    <w:p w14:paraId="519D0446" w14:textId="77777777" w:rsidR="00434CAC" w:rsidRPr="003A23F0" w:rsidRDefault="00434CAC" w:rsidP="00434CAC">
      <w:pPr>
        <w:rPr>
          <w:u w:val="single"/>
        </w:rPr>
      </w:pPr>
      <w:r w:rsidRPr="003A23F0">
        <w:rPr>
          <w:u w:val="single"/>
        </w:rPr>
        <w:t>Main Activities</w:t>
      </w:r>
    </w:p>
    <w:p w14:paraId="36F42661" w14:textId="77777777" w:rsidR="00B93722" w:rsidRDefault="00B93722" w:rsidP="00E16D2D">
      <w:pPr>
        <w:pStyle w:val="LB1"/>
      </w:pPr>
      <w:r w:rsidRPr="005D0497">
        <w:t xml:space="preserve">System must receive and process all incoming correspondence and associate it with an electronic identifier (e.g., </w:t>
      </w:r>
      <w:r>
        <w:t>case number, Tax account number)</w:t>
      </w:r>
      <w:r w:rsidRPr="005D0497">
        <w:t xml:space="preserve"> </w:t>
      </w:r>
    </w:p>
    <w:p w14:paraId="4F7131C0" w14:textId="77777777" w:rsidR="00B93722" w:rsidRDefault="00B93722" w:rsidP="00E16D2D">
      <w:pPr>
        <w:pStyle w:val="OB1"/>
      </w:pPr>
      <w:r>
        <w:t>Mail</w:t>
      </w:r>
    </w:p>
    <w:p w14:paraId="448E7CC6" w14:textId="77777777" w:rsidR="00B93722" w:rsidRDefault="00B93722" w:rsidP="00116640">
      <w:pPr>
        <w:pStyle w:val="OB1"/>
      </w:pPr>
      <w:r>
        <w:t>Fax</w:t>
      </w:r>
    </w:p>
    <w:p w14:paraId="29559298" w14:textId="77777777" w:rsidR="00B93722" w:rsidRDefault="00B93722" w:rsidP="00F82166">
      <w:pPr>
        <w:pStyle w:val="OB1"/>
      </w:pPr>
      <w:r>
        <w:t>Online uploads</w:t>
      </w:r>
    </w:p>
    <w:p w14:paraId="52E5A2D1" w14:textId="181585A0" w:rsidR="00B93722" w:rsidRDefault="00B93722" w:rsidP="00F82166">
      <w:pPr>
        <w:pStyle w:val="OB1"/>
      </w:pPr>
      <w:r>
        <w:t>Email</w:t>
      </w:r>
    </w:p>
    <w:p w14:paraId="4EA3FE59" w14:textId="77777777" w:rsidR="00B93722" w:rsidRDefault="00B93722">
      <w:pPr>
        <w:pStyle w:val="OB1"/>
      </w:pPr>
      <w:r>
        <w:t>In person</w:t>
      </w:r>
    </w:p>
    <w:p w14:paraId="04616EAF" w14:textId="0E6D7E2D" w:rsidR="00B93722" w:rsidRDefault="00B93722">
      <w:pPr>
        <w:pStyle w:val="LB1"/>
      </w:pPr>
      <w:r>
        <w:t>S</w:t>
      </w:r>
      <w:r w:rsidRPr="005D0497">
        <w:t>ystem</w:t>
      </w:r>
      <w:r w:rsidR="00570F4E">
        <w:t xml:space="preserve"> must</w:t>
      </w:r>
      <w:r w:rsidRPr="005D0497">
        <w:t xml:space="preserve"> capture</w:t>
      </w:r>
      <w:r>
        <w:t xml:space="preserve"> (</w:t>
      </w:r>
      <w:r w:rsidR="007471AC">
        <w:t>e.g., OCR or similar</w:t>
      </w:r>
      <w:r>
        <w:t>)</w:t>
      </w:r>
      <w:r w:rsidRPr="005D0497">
        <w:t xml:space="preserve"> and store data from incoming documents (both electronic and paper) such as </w:t>
      </w:r>
    </w:p>
    <w:p w14:paraId="28DFD497" w14:textId="5B7FD76A" w:rsidR="00B93722" w:rsidRDefault="00B93722">
      <w:pPr>
        <w:pStyle w:val="OB1"/>
      </w:pPr>
      <w:r>
        <w:t>Date received</w:t>
      </w:r>
    </w:p>
    <w:p w14:paraId="2DEB745B" w14:textId="5D9B1FD3" w:rsidR="00B93722" w:rsidRDefault="00B93722">
      <w:pPr>
        <w:pStyle w:val="OB1"/>
      </w:pPr>
      <w:r w:rsidRPr="005D0497">
        <w:t xml:space="preserve">Method </w:t>
      </w:r>
      <w:r>
        <w:t>received (electronic or paper)</w:t>
      </w:r>
    </w:p>
    <w:p w14:paraId="3CDB962F" w14:textId="3E322F7E" w:rsidR="00B93722" w:rsidRDefault="00B93722">
      <w:pPr>
        <w:pStyle w:val="OB1"/>
      </w:pPr>
      <w:r>
        <w:t>Date postmarked and submitted</w:t>
      </w:r>
    </w:p>
    <w:p w14:paraId="4F1D5BB8" w14:textId="1C98C4F4" w:rsidR="00B93722" w:rsidRDefault="00B93722">
      <w:pPr>
        <w:pStyle w:val="OB1"/>
      </w:pPr>
      <w:r>
        <w:t>Document type</w:t>
      </w:r>
    </w:p>
    <w:p w14:paraId="34548919" w14:textId="476109CA" w:rsidR="00B93722" w:rsidRDefault="00B93722">
      <w:pPr>
        <w:pStyle w:val="OB1"/>
      </w:pPr>
      <w:r>
        <w:t>Sender information</w:t>
      </w:r>
    </w:p>
    <w:p w14:paraId="2A1C4319" w14:textId="77777777" w:rsidR="00B93722" w:rsidRDefault="00B93722">
      <w:pPr>
        <w:pStyle w:val="OB1"/>
      </w:pPr>
      <w:r>
        <w:t>Document text</w:t>
      </w:r>
    </w:p>
    <w:p w14:paraId="1946E6B5" w14:textId="489B9472" w:rsidR="00B93722" w:rsidRDefault="00B93722">
      <w:pPr>
        <w:pStyle w:val="OB1"/>
      </w:pPr>
      <w:r>
        <w:t>Etc.</w:t>
      </w:r>
    </w:p>
    <w:p w14:paraId="500D7250" w14:textId="720609E0" w:rsidR="00B93722" w:rsidRDefault="00F67CDB">
      <w:pPr>
        <w:pStyle w:val="LB1"/>
      </w:pPr>
      <w:r>
        <w:t xml:space="preserve">System must allow Staff to </w:t>
      </w:r>
      <w:r w:rsidR="00B93722" w:rsidRPr="005D0497">
        <w:t>manual</w:t>
      </w:r>
      <w:r w:rsidR="00B93722">
        <w:t>ly</w:t>
      </w:r>
      <w:r w:rsidR="00B93722" w:rsidRPr="005D0497">
        <w:t xml:space="preserve"> key</w:t>
      </w:r>
      <w:r w:rsidR="00B93722">
        <w:t xml:space="preserve"> entry of document information</w:t>
      </w:r>
    </w:p>
    <w:p w14:paraId="2EE7489F" w14:textId="77777777" w:rsidR="00B93722" w:rsidRDefault="00B93722">
      <w:pPr>
        <w:pStyle w:val="LB1"/>
      </w:pPr>
      <w:r>
        <w:lastRenderedPageBreak/>
        <w:t xml:space="preserve">System must </w:t>
      </w:r>
      <w:r w:rsidRPr="005D0497">
        <w:t xml:space="preserve">read bar codes or similar coding to support the automated processing of the item </w:t>
      </w:r>
      <w:r>
        <w:t>when returned by the recipient</w:t>
      </w:r>
    </w:p>
    <w:p w14:paraId="20B481BF" w14:textId="77777777" w:rsidR="00CB2709" w:rsidRDefault="00CB2709">
      <w:pPr>
        <w:pStyle w:val="LB1"/>
      </w:pPr>
      <w:r>
        <w:t>System must ingest document information into the CMS and begin workflow</w:t>
      </w:r>
    </w:p>
    <w:p w14:paraId="31FEA7FC" w14:textId="77777777" w:rsidR="00B93722" w:rsidRDefault="00B93722">
      <w:pPr>
        <w:pStyle w:val="OB1"/>
      </w:pPr>
      <w:r>
        <w:t>In person, fax, online, email, and mail</w:t>
      </w:r>
    </w:p>
    <w:p w14:paraId="117F3D00" w14:textId="77777777" w:rsidR="00B93722" w:rsidRDefault="00B93722">
      <w:pPr>
        <w:pStyle w:val="OB1"/>
      </w:pPr>
      <w:r>
        <w:t>I</w:t>
      </w:r>
      <w:r w:rsidRPr="005D0497">
        <w:t>ntra- and inter-departmental transfers</w:t>
      </w:r>
    </w:p>
    <w:p w14:paraId="6B078810" w14:textId="77777777" w:rsidR="00B00E75" w:rsidRDefault="00B00E75">
      <w:pPr>
        <w:pStyle w:val="LB1"/>
      </w:pPr>
      <w:r>
        <w:t>Goal is to associate documents with a case within two (2) hours of receipt</w:t>
      </w:r>
    </w:p>
    <w:p w14:paraId="5953E34B" w14:textId="77777777" w:rsidR="00B93722" w:rsidRDefault="00B93722" w:rsidP="00B93722">
      <w:pPr>
        <w:pStyle w:val="KBulletList2"/>
        <w:numPr>
          <w:ilvl w:val="0"/>
          <w:numId w:val="0"/>
        </w:numPr>
      </w:pPr>
    </w:p>
    <w:p w14:paraId="02439A3A" w14:textId="041196C7" w:rsidR="00B93722" w:rsidRDefault="00B93722" w:rsidP="00B93722">
      <w:pPr>
        <w:rPr>
          <w:u w:val="single"/>
        </w:rPr>
      </w:pPr>
      <w:r w:rsidRPr="00B93722">
        <w:rPr>
          <w:u w:val="single"/>
        </w:rPr>
        <w:t>Alternate Activities and Special Cases</w:t>
      </w:r>
    </w:p>
    <w:p w14:paraId="5145EB98" w14:textId="77777777" w:rsidR="004F7DCA" w:rsidRDefault="004F7DCA" w:rsidP="004F7DCA">
      <w:r>
        <w:t>System must support the following alternate activities and special cases:</w:t>
      </w:r>
    </w:p>
    <w:p w14:paraId="76805EB6" w14:textId="68955F03" w:rsidR="00B93722" w:rsidRDefault="000A5F4F" w:rsidP="00E16D2D">
      <w:pPr>
        <w:pStyle w:val="LB1"/>
      </w:pPr>
      <w:r>
        <w:t>R</w:t>
      </w:r>
      <w:r w:rsidR="00B93722">
        <w:t>eturned mail and bad addresses</w:t>
      </w:r>
    </w:p>
    <w:p w14:paraId="35BE5C70" w14:textId="77777777" w:rsidR="00B93722" w:rsidRDefault="00B93722" w:rsidP="00E16D2D">
      <w:pPr>
        <w:pStyle w:val="LB1"/>
      </w:pPr>
      <w:r>
        <w:t>Submitted documentation prior to Request processed</w:t>
      </w:r>
    </w:p>
    <w:p w14:paraId="3AA0EABC" w14:textId="77777777" w:rsidR="00B93722" w:rsidRDefault="00B93722" w:rsidP="00B93722"/>
    <w:p w14:paraId="575BF6E5" w14:textId="296B053F" w:rsidR="00434CAC" w:rsidRDefault="00434CAC" w:rsidP="00434CAC">
      <w:pPr>
        <w:pStyle w:val="Heading4"/>
      </w:pPr>
      <w:r>
        <w:tab/>
      </w:r>
      <w:r w:rsidR="00B51F29">
        <w:t>Schedule Hearing</w:t>
      </w:r>
    </w:p>
    <w:p w14:paraId="7E1B9936" w14:textId="6705F2AE" w:rsidR="00434CAC" w:rsidRPr="00B0723C" w:rsidRDefault="00434CAC" w:rsidP="00434CAC">
      <w:r>
        <w:t xml:space="preserve">This process includes all activities required to </w:t>
      </w:r>
      <w:r w:rsidR="002D225D">
        <w:t>schedule</w:t>
      </w:r>
      <w:r>
        <w:t xml:space="preserve"> a Special Hearing</w:t>
      </w:r>
      <w:r w:rsidRPr="00511A0B">
        <w:t xml:space="preserve"> </w:t>
      </w:r>
      <w:r>
        <w:t>request.</w:t>
      </w:r>
    </w:p>
    <w:p w14:paraId="03D1ADA6" w14:textId="77777777" w:rsidR="00434CAC" w:rsidRPr="003A23F0" w:rsidRDefault="00434CAC" w:rsidP="00434CAC">
      <w:pPr>
        <w:rPr>
          <w:u w:val="single"/>
        </w:rPr>
      </w:pPr>
      <w:r w:rsidRPr="003A23F0">
        <w:rPr>
          <w:u w:val="single"/>
        </w:rPr>
        <w:t>Actors</w:t>
      </w:r>
    </w:p>
    <w:p w14:paraId="1DFF64B1" w14:textId="77777777" w:rsidR="00434CAC" w:rsidRDefault="00434CAC" w:rsidP="00E16D2D">
      <w:pPr>
        <w:pStyle w:val="LB1"/>
      </w:pPr>
      <w:r>
        <w:t>Staff</w:t>
      </w:r>
    </w:p>
    <w:p w14:paraId="69C6944B" w14:textId="77777777" w:rsidR="00434CAC" w:rsidRPr="00DF6567" w:rsidRDefault="00434CAC" w:rsidP="00434CAC"/>
    <w:p w14:paraId="0233F1B8" w14:textId="77777777" w:rsidR="00434CAC" w:rsidRPr="003A23F0" w:rsidRDefault="00434CAC" w:rsidP="00434CAC">
      <w:pPr>
        <w:rPr>
          <w:u w:val="single"/>
        </w:rPr>
      </w:pPr>
      <w:r w:rsidRPr="003A23F0">
        <w:rPr>
          <w:u w:val="single"/>
        </w:rPr>
        <w:t>Main Activities</w:t>
      </w:r>
    </w:p>
    <w:p w14:paraId="4FF6B8A2" w14:textId="77777777" w:rsidR="00183B06" w:rsidRDefault="00183B06" w:rsidP="00E16D2D">
      <w:pPr>
        <w:pStyle w:val="LB1"/>
      </w:pPr>
      <w:r w:rsidRPr="00180B5B">
        <w:t>System must automatic</w:t>
      </w:r>
      <w:r>
        <w:t>ally</w:t>
      </w:r>
      <w:r w:rsidRPr="00180B5B">
        <w:t xml:space="preserve"> or manual</w:t>
      </w:r>
      <w:r>
        <w:t>ly</w:t>
      </w:r>
      <w:r w:rsidRPr="00180B5B">
        <w:t xml:space="preserve"> </w:t>
      </w:r>
      <w:r>
        <w:t>schedule or assign a request</w:t>
      </w:r>
    </w:p>
    <w:p w14:paraId="4715EE6D" w14:textId="77777777" w:rsidR="00183B06" w:rsidRDefault="00183B06" w:rsidP="00E16D2D">
      <w:pPr>
        <w:pStyle w:val="OB1"/>
      </w:pPr>
      <w:r w:rsidRPr="00180B5B">
        <w:t xml:space="preserve">Automatic scheduling must be based on business defined criteria </w:t>
      </w:r>
      <w:r>
        <w:t>including:</w:t>
      </w:r>
    </w:p>
    <w:p w14:paraId="2F68A1B1" w14:textId="77777777" w:rsidR="00183B06" w:rsidRDefault="00183B06" w:rsidP="00183B06">
      <w:pPr>
        <w:pStyle w:val="SB1"/>
      </w:pPr>
      <w:r>
        <w:t>Hearing officer s</w:t>
      </w:r>
      <w:r w:rsidRPr="00180B5B">
        <w:t>kill level</w:t>
      </w:r>
      <w:r>
        <w:t xml:space="preserve"> and schedule</w:t>
      </w:r>
    </w:p>
    <w:p w14:paraId="5C0FD1D3" w14:textId="77777777" w:rsidR="00183B06" w:rsidRDefault="00183B06" w:rsidP="00183B06">
      <w:pPr>
        <w:pStyle w:val="SB1"/>
      </w:pPr>
      <w:r>
        <w:t>Program code</w:t>
      </w:r>
    </w:p>
    <w:p w14:paraId="65F17347" w14:textId="77777777" w:rsidR="00183B06" w:rsidRDefault="00183B06" w:rsidP="00183B06">
      <w:pPr>
        <w:pStyle w:val="SB1"/>
      </w:pPr>
      <w:r>
        <w:t>Employer account</w:t>
      </w:r>
    </w:p>
    <w:p w14:paraId="7AE04CA5" w14:textId="77777777" w:rsidR="00183B06" w:rsidRDefault="00183B06" w:rsidP="00183B06">
      <w:pPr>
        <w:pStyle w:val="SB1"/>
      </w:pPr>
      <w:r>
        <w:t>Issue</w:t>
      </w:r>
    </w:p>
    <w:p w14:paraId="09E95EB0" w14:textId="77777777" w:rsidR="00183B06" w:rsidRDefault="00183B06" w:rsidP="00183B06">
      <w:pPr>
        <w:pStyle w:val="SB1"/>
      </w:pPr>
      <w:r>
        <w:t>Priority</w:t>
      </w:r>
    </w:p>
    <w:p w14:paraId="58E24C72" w14:textId="77777777" w:rsidR="00183B06" w:rsidRDefault="00183B06" w:rsidP="00183B06">
      <w:pPr>
        <w:pStyle w:val="SB1"/>
      </w:pPr>
      <w:r>
        <w:t>C</w:t>
      </w:r>
      <w:r w:rsidRPr="00180B5B">
        <w:t>ase age</w:t>
      </w:r>
    </w:p>
    <w:p w14:paraId="7C9B8854" w14:textId="77777777" w:rsidR="00183B06" w:rsidRDefault="00183B06" w:rsidP="00183B06">
      <w:pPr>
        <w:pStyle w:val="SB1"/>
      </w:pPr>
      <w:r>
        <w:t>T</w:t>
      </w:r>
      <w:r w:rsidRPr="00180B5B">
        <w:t>ime off</w:t>
      </w:r>
    </w:p>
    <w:p w14:paraId="75C9F353" w14:textId="77777777" w:rsidR="00183B06" w:rsidRDefault="00183B06" w:rsidP="00183B06">
      <w:pPr>
        <w:pStyle w:val="SB1"/>
      </w:pPr>
      <w:r>
        <w:t>Accommodations</w:t>
      </w:r>
    </w:p>
    <w:p w14:paraId="5F88BE3F" w14:textId="77777777" w:rsidR="00183B06" w:rsidRDefault="00183B06" w:rsidP="00183B06">
      <w:pPr>
        <w:pStyle w:val="SB1"/>
      </w:pPr>
      <w:r>
        <w:t>Language</w:t>
      </w:r>
    </w:p>
    <w:p w14:paraId="1BF763E9" w14:textId="77777777" w:rsidR="00183B06" w:rsidRDefault="00183B06" w:rsidP="00183B06">
      <w:pPr>
        <w:pStyle w:val="SB1"/>
      </w:pPr>
      <w:r>
        <w:t>Criteria set during request processing</w:t>
      </w:r>
    </w:p>
    <w:p w14:paraId="7CC0A022" w14:textId="77777777" w:rsidR="00183B06" w:rsidRDefault="00183B06" w:rsidP="00183B06">
      <w:pPr>
        <w:pStyle w:val="SB1"/>
      </w:pPr>
      <w:r>
        <w:t>Etc.</w:t>
      </w:r>
    </w:p>
    <w:p w14:paraId="1261F4DE" w14:textId="77777777" w:rsidR="000A2FB1" w:rsidRDefault="000A2FB1" w:rsidP="00E16D2D">
      <w:pPr>
        <w:pStyle w:val="LB1"/>
      </w:pPr>
      <w:r>
        <w:t>System must notify all parties of scheduled hearings</w:t>
      </w:r>
    </w:p>
    <w:p w14:paraId="04CC24ED" w14:textId="5DC63146" w:rsidR="00183B06" w:rsidRDefault="00183B06" w:rsidP="00E16D2D">
      <w:pPr>
        <w:pStyle w:val="LB1"/>
      </w:pPr>
      <w:r>
        <w:t xml:space="preserve">System must verify that all required documentation exists </w:t>
      </w:r>
      <w:r w:rsidR="005A37FD">
        <w:t>in the CMS</w:t>
      </w:r>
      <w:r>
        <w:t xml:space="preserve"> prior to scheduling</w:t>
      </w:r>
    </w:p>
    <w:p w14:paraId="26B15338" w14:textId="5D75F483" w:rsidR="00183B06" w:rsidRDefault="00183B06" w:rsidP="00E16D2D">
      <w:pPr>
        <w:pStyle w:val="LB1"/>
      </w:pPr>
      <w:r>
        <w:t xml:space="preserve">System must transmit hearing data </w:t>
      </w:r>
      <w:r w:rsidR="00566A8B">
        <w:t xml:space="preserve">to the telephone conferencing system </w:t>
      </w:r>
      <w:r>
        <w:t>such as</w:t>
      </w:r>
    </w:p>
    <w:p w14:paraId="7BD24AE1" w14:textId="77777777" w:rsidR="00183B06" w:rsidRDefault="00183B06" w:rsidP="00116640">
      <w:pPr>
        <w:pStyle w:val="OB1"/>
      </w:pPr>
      <w:r>
        <w:t>Hearing date</w:t>
      </w:r>
    </w:p>
    <w:p w14:paraId="4D8F9B24" w14:textId="77777777" w:rsidR="00183B06" w:rsidRDefault="00183B06" w:rsidP="00F82166">
      <w:pPr>
        <w:pStyle w:val="OB1"/>
      </w:pPr>
      <w:r>
        <w:lastRenderedPageBreak/>
        <w:t>Hearing time</w:t>
      </w:r>
    </w:p>
    <w:p w14:paraId="193F823B" w14:textId="77777777" w:rsidR="00183B06" w:rsidRDefault="00183B06" w:rsidP="00F82166">
      <w:pPr>
        <w:pStyle w:val="OB1"/>
      </w:pPr>
      <w:r>
        <w:t>Hearing Officer name and phone number</w:t>
      </w:r>
    </w:p>
    <w:p w14:paraId="3473D638" w14:textId="77777777" w:rsidR="00183B06" w:rsidRDefault="00183B06">
      <w:pPr>
        <w:pStyle w:val="OB1"/>
      </w:pPr>
      <w:r>
        <w:t>Case number</w:t>
      </w:r>
    </w:p>
    <w:p w14:paraId="5AEDF271" w14:textId="77777777" w:rsidR="00183B06" w:rsidRDefault="00183B06">
      <w:pPr>
        <w:pStyle w:val="OB1"/>
      </w:pPr>
      <w:r>
        <w:t>Etc.</w:t>
      </w:r>
    </w:p>
    <w:p w14:paraId="757AB98E" w14:textId="77777777" w:rsidR="00183B06" w:rsidRDefault="00183B06">
      <w:pPr>
        <w:pStyle w:val="LB1"/>
      </w:pPr>
      <w:r>
        <w:t>System must generate a dashboard for the Hearing Officer including caseload and time lapse information</w:t>
      </w:r>
    </w:p>
    <w:p w14:paraId="002D7AFF" w14:textId="77777777" w:rsidR="00183B06" w:rsidRDefault="00183B06">
      <w:pPr>
        <w:pStyle w:val="LB1"/>
      </w:pPr>
      <w:r>
        <w:t>System must capture metrics and generate management reports</w:t>
      </w:r>
    </w:p>
    <w:p w14:paraId="6BD4263B" w14:textId="77777777" w:rsidR="00183B06" w:rsidRDefault="00183B06" w:rsidP="00183B06"/>
    <w:p w14:paraId="44CB9BF9" w14:textId="4F2FE824" w:rsidR="00183B06" w:rsidRDefault="00183B06" w:rsidP="00183B06">
      <w:pPr>
        <w:rPr>
          <w:u w:val="single"/>
        </w:rPr>
      </w:pPr>
      <w:r w:rsidRPr="00183B06">
        <w:rPr>
          <w:u w:val="single"/>
        </w:rPr>
        <w:t>Alternate Activities and Special Cases</w:t>
      </w:r>
    </w:p>
    <w:p w14:paraId="6D66469B" w14:textId="77777777" w:rsidR="004F7DCA" w:rsidRDefault="004F7DCA" w:rsidP="004F7DCA">
      <w:r>
        <w:t>System must support the following alternate activities and special cases:</w:t>
      </w:r>
    </w:p>
    <w:p w14:paraId="522B6EF5" w14:textId="77777777" w:rsidR="00183B06" w:rsidRDefault="00183B06" w:rsidP="00E16D2D">
      <w:pPr>
        <w:pStyle w:val="LB1"/>
      </w:pPr>
      <w:r>
        <w:t>Reschedule</w:t>
      </w:r>
      <w:r w:rsidRPr="00180B5B">
        <w:t xml:space="preserve"> or </w:t>
      </w:r>
      <w:r>
        <w:t xml:space="preserve">unscheduled </w:t>
      </w:r>
      <w:r w:rsidRPr="00180B5B">
        <w:t>hearings/cases</w:t>
      </w:r>
      <w:r>
        <w:t xml:space="preserve"> </w:t>
      </w:r>
    </w:p>
    <w:p w14:paraId="674C7C20" w14:textId="77777777" w:rsidR="00183B06" w:rsidRDefault="00183B06" w:rsidP="00E16D2D">
      <w:pPr>
        <w:pStyle w:val="LB1"/>
      </w:pPr>
      <w:r>
        <w:t>Expedited</w:t>
      </w:r>
    </w:p>
    <w:p w14:paraId="7C42D0A1" w14:textId="77777777" w:rsidR="00183B06" w:rsidRDefault="00183B06" w:rsidP="00116640">
      <w:pPr>
        <w:pStyle w:val="LB1"/>
      </w:pPr>
      <w:r>
        <w:t>Multi-claims</w:t>
      </w:r>
    </w:p>
    <w:p w14:paraId="106BD0FA" w14:textId="51C9044A" w:rsidR="00183B06" w:rsidRDefault="00183B06" w:rsidP="00F82166">
      <w:pPr>
        <w:pStyle w:val="LB1"/>
      </w:pPr>
      <w:r>
        <w:t>Companion cases</w:t>
      </w:r>
    </w:p>
    <w:p w14:paraId="133CBF05" w14:textId="77777777" w:rsidR="00183B06" w:rsidRDefault="00183B06" w:rsidP="00183B06"/>
    <w:p w14:paraId="1412BDD7" w14:textId="771F33D8" w:rsidR="00434CAC" w:rsidRDefault="00434CAC" w:rsidP="00434CAC">
      <w:pPr>
        <w:pStyle w:val="Heading4"/>
      </w:pPr>
      <w:r>
        <w:tab/>
      </w:r>
      <w:r w:rsidR="00183B06">
        <w:t>Create and Send Hearing Notices</w:t>
      </w:r>
    </w:p>
    <w:p w14:paraId="2E099316" w14:textId="7971F353" w:rsidR="00434CAC" w:rsidRPr="00B0723C" w:rsidRDefault="00D421CA" w:rsidP="00434CAC">
      <w:r>
        <w:t>This process includes all activities required to create and send hearing notices</w:t>
      </w:r>
      <w:r w:rsidR="00434CAC">
        <w:t>.</w:t>
      </w:r>
    </w:p>
    <w:p w14:paraId="405C6C63" w14:textId="77777777" w:rsidR="00434CAC" w:rsidRPr="003A23F0" w:rsidRDefault="00434CAC" w:rsidP="00434CAC">
      <w:pPr>
        <w:rPr>
          <w:u w:val="single"/>
        </w:rPr>
      </w:pPr>
      <w:r w:rsidRPr="003A23F0">
        <w:rPr>
          <w:u w:val="single"/>
        </w:rPr>
        <w:t>Actors</w:t>
      </w:r>
    </w:p>
    <w:p w14:paraId="34B6F10D" w14:textId="77777777" w:rsidR="00434CAC" w:rsidRDefault="00434CAC" w:rsidP="00E16D2D">
      <w:pPr>
        <w:pStyle w:val="LB1"/>
      </w:pPr>
      <w:r>
        <w:t>Staff</w:t>
      </w:r>
    </w:p>
    <w:p w14:paraId="694A4674" w14:textId="77777777" w:rsidR="00434CAC" w:rsidRPr="00DF6567" w:rsidRDefault="00434CAC" w:rsidP="00434CAC"/>
    <w:p w14:paraId="617DBBF6" w14:textId="77777777" w:rsidR="00434CAC" w:rsidRPr="003A23F0" w:rsidRDefault="00434CAC" w:rsidP="00434CAC">
      <w:pPr>
        <w:rPr>
          <w:u w:val="single"/>
        </w:rPr>
      </w:pPr>
      <w:r w:rsidRPr="003A23F0">
        <w:rPr>
          <w:u w:val="single"/>
        </w:rPr>
        <w:t>Main Activities</w:t>
      </w:r>
    </w:p>
    <w:p w14:paraId="2C65C560" w14:textId="1758349D" w:rsidR="00D421CA" w:rsidRDefault="00D421CA" w:rsidP="00E16D2D">
      <w:pPr>
        <w:pStyle w:val="LB1"/>
      </w:pPr>
      <w:r>
        <w:t xml:space="preserve">System must generate required documentation </w:t>
      </w:r>
      <w:r w:rsidR="005A37FD">
        <w:t>in the CMS</w:t>
      </w:r>
      <w:r>
        <w:t xml:space="preserve"> based on hearing schedule, instructions, issues, etc.</w:t>
      </w:r>
    </w:p>
    <w:p w14:paraId="5751C28C" w14:textId="77777777" w:rsidR="00D421CA" w:rsidRDefault="00D421CA" w:rsidP="00E16D2D">
      <w:pPr>
        <w:pStyle w:val="LB1"/>
      </w:pPr>
      <w:r>
        <w:t>System must generate outgoing correspondence in English and Spanish</w:t>
      </w:r>
    </w:p>
    <w:p w14:paraId="76A16A6B" w14:textId="18969DC6" w:rsidR="00D421CA" w:rsidRDefault="00D421CA" w:rsidP="00116640">
      <w:pPr>
        <w:pStyle w:val="LB1"/>
      </w:pPr>
      <w:r>
        <w:t xml:space="preserve">System must retrieve required documentation </w:t>
      </w:r>
      <w:r w:rsidR="005A37FD">
        <w:t>from the CMS</w:t>
      </w:r>
      <w:r w:rsidR="00832936">
        <w:t xml:space="preserve"> including:</w:t>
      </w:r>
    </w:p>
    <w:p w14:paraId="29E789F7" w14:textId="77777777" w:rsidR="00D421CA" w:rsidRDefault="00D421CA" w:rsidP="00F82166">
      <w:pPr>
        <w:pStyle w:val="OB1"/>
      </w:pPr>
      <w:r>
        <w:t>Hearing Notice (case details, scheduling details, and issues)</w:t>
      </w:r>
    </w:p>
    <w:p w14:paraId="32A4881F" w14:textId="77777777" w:rsidR="00D421CA" w:rsidRDefault="00D421CA" w:rsidP="00F82166">
      <w:pPr>
        <w:pStyle w:val="OB1"/>
      </w:pPr>
      <w:r>
        <w:t>Hearing Instructions</w:t>
      </w:r>
    </w:p>
    <w:p w14:paraId="6D06DA5C" w14:textId="77777777" w:rsidR="00D421CA" w:rsidRDefault="00D421CA">
      <w:pPr>
        <w:pStyle w:val="OB1"/>
      </w:pPr>
      <w:r>
        <w:t>Relevant Documents (interdepartmental and correspondence submitted by parties)</w:t>
      </w:r>
    </w:p>
    <w:p w14:paraId="3AF3F81A" w14:textId="77777777" w:rsidR="00D421CA" w:rsidRDefault="00D421CA">
      <w:pPr>
        <w:pStyle w:val="OB1"/>
      </w:pPr>
      <w:r>
        <w:t>Determinations</w:t>
      </w:r>
    </w:p>
    <w:p w14:paraId="3C81E0E0" w14:textId="77777777" w:rsidR="00D421CA" w:rsidRDefault="00D421CA">
      <w:pPr>
        <w:pStyle w:val="OB1"/>
      </w:pPr>
      <w:r>
        <w:t>Request Documents</w:t>
      </w:r>
    </w:p>
    <w:p w14:paraId="5D9CCCA3" w14:textId="622354D1" w:rsidR="00D421CA" w:rsidRDefault="00D421CA">
      <w:pPr>
        <w:pStyle w:val="LB1"/>
      </w:pPr>
      <w:r>
        <w:t>System must transmit Notice of Hearing Packet to all parties using electronic correspondence, the ADC, as well as allow for local printing when needed, based on customer preferences</w:t>
      </w:r>
    </w:p>
    <w:p w14:paraId="63636C31" w14:textId="77777777" w:rsidR="00D421CA" w:rsidRDefault="00D421CA">
      <w:pPr>
        <w:pStyle w:val="OB1"/>
      </w:pPr>
      <w:r>
        <w:t>Electronic</w:t>
      </w:r>
    </w:p>
    <w:p w14:paraId="783A91FA" w14:textId="77777777" w:rsidR="00D421CA" w:rsidRDefault="00D421CA">
      <w:pPr>
        <w:pStyle w:val="OB1"/>
      </w:pPr>
      <w:r>
        <w:t xml:space="preserve">Paper </w:t>
      </w:r>
    </w:p>
    <w:p w14:paraId="79FF1F86" w14:textId="77777777" w:rsidR="00D421CA" w:rsidRDefault="00D421CA">
      <w:pPr>
        <w:pStyle w:val="LB1"/>
      </w:pPr>
      <w:r>
        <w:t>System must update the Tax data including:</w:t>
      </w:r>
    </w:p>
    <w:p w14:paraId="4B6953B0" w14:textId="77777777" w:rsidR="00D421CA" w:rsidRDefault="00D421CA">
      <w:pPr>
        <w:pStyle w:val="OB1"/>
      </w:pPr>
      <w:r>
        <w:t>Document that correspondence was sent, method, and to whom</w:t>
      </w:r>
    </w:p>
    <w:p w14:paraId="22BC5218" w14:textId="77777777" w:rsidR="00D421CA" w:rsidRDefault="00D421CA">
      <w:pPr>
        <w:pStyle w:val="OB1"/>
      </w:pPr>
      <w:r>
        <w:lastRenderedPageBreak/>
        <w:t>Update case information to reflect the scheduled hearing</w:t>
      </w:r>
    </w:p>
    <w:p w14:paraId="2DA61D50" w14:textId="3596E58D" w:rsidR="00D421CA" w:rsidRDefault="00D421CA">
      <w:pPr>
        <w:pStyle w:val="LB1"/>
      </w:pPr>
      <w:r>
        <w:t>ADC must mail Notice of Hearing Packets</w:t>
      </w:r>
    </w:p>
    <w:p w14:paraId="58BF618C" w14:textId="77777777" w:rsidR="00D421CA" w:rsidRDefault="00D421CA" w:rsidP="00D421CA"/>
    <w:p w14:paraId="410E2FBF" w14:textId="5BD0F7B1" w:rsidR="00D421CA" w:rsidRDefault="00D421CA" w:rsidP="004B261D">
      <w:pPr>
        <w:rPr>
          <w:u w:val="single"/>
        </w:rPr>
      </w:pPr>
      <w:r w:rsidRPr="004B261D">
        <w:rPr>
          <w:u w:val="single"/>
        </w:rPr>
        <w:t>Alternate Activities and Special Cases</w:t>
      </w:r>
    </w:p>
    <w:p w14:paraId="0B48AEB6" w14:textId="77777777" w:rsidR="004F7DCA" w:rsidRDefault="004F7DCA" w:rsidP="004F7DCA">
      <w:r>
        <w:t>System must support the following alternate activities and special cases:</w:t>
      </w:r>
    </w:p>
    <w:p w14:paraId="584A7DD7" w14:textId="77777777" w:rsidR="00D421CA" w:rsidRDefault="00D421CA" w:rsidP="00E16D2D">
      <w:pPr>
        <w:pStyle w:val="LB1"/>
      </w:pPr>
      <w:r>
        <w:t>Returned mail</w:t>
      </w:r>
    </w:p>
    <w:p w14:paraId="3CCA7793" w14:textId="77777777" w:rsidR="00D421CA" w:rsidRDefault="00D421CA" w:rsidP="00E16D2D">
      <w:pPr>
        <w:pStyle w:val="LB1"/>
      </w:pPr>
      <w:r>
        <w:t xml:space="preserve">Reprint Notice of Hearing Packets </w:t>
      </w:r>
    </w:p>
    <w:p w14:paraId="3E5A0D68" w14:textId="77777777" w:rsidR="00D421CA" w:rsidRDefault="00D421CA" w:rsidP="00116640">
      <w:pPr>
        <w:pStyle w:val="LB1"/>
      </w:pPr>
      <w:r>
        <w:t>Corrected Notice of Hearing Packet</w:t>
      </w:r>
    </w:p>
    <w:p w14:paraId="22A1B7F0" w14:textId="4D2489BD" w:rsidR="00BF58C8" w:rsidRDefault="00BF58C8" w:rsidP="00F82166">
      <w:pPr>
        <w:pStyle w:val="LB1"/>
      </w:pPr>
      <w:r>
        <w:t xml:space="preserve">Correction of documents included in the file </w:t>
      </w:r>
      <w:r w:rsidR="00091E06">
        <w:t>or correspondence</w:t>
      </w:r>
    </w:p>
    <w:p w14:paraId="311A2690" w14:textId="6B6B4E22" w:rsidR="00BF58C8" w:rsidRDefault="00BF58C8" w:rsidP="00F82166">
      <w:pPr>
        <w:pStyle w:val="OB1"/>
      </w:pPr>
      <w:r>
        <w:t>Ability to remove and move documents</w:t>
      </w:r>
      <w:r w:rsidR="00091E06" w:rsidRPr="00091E06">
        <w:t xml:space="preserve"> </w:t>
      </w:r>
      <w:r w:rsidR="00091E06">
        <w:t>or correspondence</w:t>
      </w:r>
    </w:p>
    <w:p w14:paraId="53463AE0" w14:textId="77777777" w:rsidR="00BF58C8" w:rsidRDefault="00BF58C8">
      <w:pPr>
        <w:pStyle w:val="OB1"/>
      </w:pPr>
      <w:r>
        <w:t>Letters</w:t>
      </w:r>
    </w:p>
    <w:p w14:paraId="484D980A" w14:textId="77777777" w:rsidR="00BF58C8" w:rsidRDefault="00BF58C8">
      <w:pPr>
        <w:pStyle w:val="OB1"/>
      </w:pPr>
      <w:r>
        <w:t>Tracking</w:t>
      </w:r>
    </w:p>
    <w:p w14:paraId="3491E2EE" w14:textId="26354696" w:rsidR="00D421CA" w:rsidRDefault="00BC7BCC">
      <w:pPr>
        <w:pStyle w:val="OB1"/>
      </w:pPr>
      <w:r>
        <w:t>Edit metadata</w:t>
      </w:r>
    </w:p>
    <w:p w14:paraId="27C2FBA3" w14:textId="061B5100" w:rsidR="00BC7BCC" w:rsidRDefault="00BC7BCC">
      <w:pPr>
        <w:pStyle w:val="OB1"/>
      </w:pPr>
      <w:r>
        <w:t>Redacting</w:t>
      </w:r>
    </w:p>
    <w:p w14:paraId="5BBB8BB7" w14:textId="77777777" w:rsidR="00D421CA" w:rsidRDefault="00D421CA" w:rsidP="00D421CA"/>
    <w:p w14:paraId="3E97F1FD" w14:textId="1BB42AEA" w:rsidR="00434CAC" w:rsidRDefault="00434CAC" w:rsidP="00434CAC">
      <w:pPr>
        <w:pStyle w:val="Heading4"/>
      </w:pPr>
      <w:r>
        <w:tab/>
      </w:r>
      <w:r w:rsidR="00445821">
        <w:t>Conduct Hearing</w:t>
      </w:r>
    </w:p>
    <w:p w14:paraId="662B5C49" w14:textId="27A08A13" w:rsidR="00434CAC" w:rsidRPr="00B0723C" w:rsidRDefault="00445821" w:rsidP="00434CAC">
      <w:r>
        <w:t>This process includes all activities required to conduct a hearing</w:t>
      </w:r>
      <w:r w:rsidR="00434CAC">
        <w:t>.</w:t>
      </w:r>
    </w:p>
    <w:p w14:paraId="28805382" w14:textId="77777777" w:rsidR="00434CAC" w:rsidRPr="003A23F0" w:rsidRDefault="00434CAC" w:rsidP="00434CAC">
      <w:pPr>
        <w:rPr>
          <w:u w:val="single"/>
        </w:rPr>
      </w:pPr>
      <w:r w:rsidRPr="003A23F0">
        <w:rPr>
          <w:u w:val="single"/>
        </w:rPr>
        <w:t>Actors</w:t>
      </w:r>
    </w:p>
    <w:p w14:paraId="09F3D79B" w14:textId="77777777" w:rsidR="00445821" w:rsidRDefault="00445821" w:rsidP="00E16D2D">
      <w:pPr>
        <w:pStyle w:val="LB1"/>
      </w:pPr>
      <w:r>
        <w:t>Employers</w:t>
      </w:r>
    </w:p>
    <w:p w14:paraId="6AA2FEBE" w14:textId="77777777" w:rsidR="00445821" w:rsidRDefault="00445821" w:rsidP="00E16D2D">
      <w:pPr>
        <w:pStyle w:val="LB1"/>
      </w:pPr>
      <w:r>
        <w:t>Staff</w:t>
      </w:r>
    </w:p>
    <w:p w14:paraId="0A13AA06" w14:textId="77777777" w:rsidR="00445821" w:rsidRDefault="00445821" w:rsidP="00116640">
      <w:pPr>
        <w:pStyle w:val="LB1"/>
      </w:pPr>
      <w:r>
        <w:t>Attorneys/Representatives</w:t>
      </w:r>
    </w:p>
    <w:p w14:paraId="2F6E6A58" w14:textId="77777777" w:rsidR="00445821" w:rsidRDefault="00445821" w:rsidP="00F82166">
      <w:pPr>
        <w:pStyle w:val="LB1"/>
      </w:pPr>
      <w:r>
        <w:t>Interpreters</w:t>
      </w:r>
    </w:p>
    <w:p w14:paraId="39F2745B" w14:textId="77777777" w:rsidR="00445821" w:rsidRPr="00DF6567" w:rsidRDefault="00445821" w:rsidP="00445821"/>
    <w:p w14:paraId="34516946" w14:textId="77777777" w:rsidR="00445821" w:rsidRPr="00445821" w:rsidRDefault="00445821" w:rsidP="00445821">
      <w:pPr>
        <w:rPr>
          <w:u w:val="single"/>
        </w:rPr>
      </w:pPr>
      <w:r w:rsidRPr="00445821">
        <w:rPr>
          <w:u w:val="single"/>
        </w:rPr>
        <w:t>Main Activities</w:t>
      </w:r>
    </w:p>
    <w:p w14:paraId="324079CC" w14:textId="7B45C741" w:rsidR="00445821" w:rsidRDefault="00445821" w:rsidP="00E16D2D">
      <w:pPr>
        <w:pStyle w:val="LB1"/>
      </w:pPr>
      <w:r>
        <w:t xml:space="preserve">System must interface with </w:t>
      </w:r>
      <w:r w:rsidR="00832936">
        <w:t xml:space="preserve">the telephone conferencing system </w:t>
      </w:r>
      <w:r>
        <w:t>(currently Clear2There) for conducting hearings or provide similar functionality</w:t>
      </w:r>
    </w:p>
    <w:p w14:paraId="6E8D5901" w14:textId="77777777" w:rsidR="00445821" w:rsidRPr="00A16083" w:rsidRDefault="00445821" w:rsidP="00E16D2D">
      <w:pPr>
        <w:pStyle w:val="OB1"/>
      </w:pPr>
      <w:r>
        <w:t>Recording phone calls</w:t>
      </w:r>
    </w:p>
    <w:p w14:paraId="3F9C69A8" w14:textId="77777777" w:rsidR="00445821" w:rsidRDefault="00445821" w:rsidP="00116640">
      <w:pPr>
        <w:pStyle w:val="OB1"/>
      </w:pPr>
      <w:r>
        <w:t>Provide online hearing registration</w:t>
      </w:r>
    </w:p>
    <w:p w14:paraId="6E8E3A41" w14:textId="77777777" w:rsidR="00445821" w:rsidRDefault="00445821" w:rsidP="00F82166">
      <w:pPr>
        <w:pStyle w:val="OB1"/>
      </w:pPr>
      <w:r>
        <w:t>Case notes</w:t>
      </w:r>
    </w:p>
    <w:p w14:paraId="615DC2DA" w14:textId="77777777" w:rsidR="00445821" w:rsidRDefault="00445821" w:rsidP="00F82166">
      <w:pPr>
        <w:pStyle w:val="OB1"/>
      </w:pPr>
      <w:r>
        <w:t>Incoming and outgoing hearing data transfer (date, time, names of parties, case number, proceeding number, length of recording, etc.)</w:t>
      </w:r>
    </w:p>
    <w:p w14:paraId="65090D1E" w14:textId="77777777" w:rsidR="00445821" w:rsidRDefault="00445821">
      <w:pPr>
        <w:pStyle w:val="OB1"/>
      </w:pPr>
      <w:r>
        <w:t>Stores recordings (currently four (4) years as defined by retention schedule)</w:t>
      </w:r>
    </w:p>
    <w:p w14:paraId="274935A1" w14:textId="77777777" w:rsidR="00445821" w:rsidRDefault="00445821">
      <w:pPr>
        <w:pStyle w:val="OB1"/>
      </w:pPr>
      <w:r>
        <w:t>Associate recording with electronic case file</w:t>
      </w:r>
    </w:p>
    <w:p w14:paraId="3E9B3363" w14:textId="77777777" w:rsidR="00445821" w:rsidRDefault="00445821">
      <w:pPr>
        <w:pStyle w:val="OB1"/>
      </w:pPr>
      <w:r>
        <w:t>Upload/clip/modify/download/burn recordings</w:t>
      </w:r>
    </w:p>
    <w:p w14:paraId="630F24E5" w14:textId="2139E238" w:rsidR="00445821" w:rsidRDefault="00445821">
      <w:pPr>
        <w:pStyle w:val="OB1"/>
      </w:pPr>
      <w:r>
        <w:t xml:space="preserve">Search (Hearing Officer, date, </w:t>
      </w:r>
      <w:r w:rsidR="009521D7">
        <w:t xml:space="preserve">Employer </w:t>
      </w:r>
      <w:r>
        <w:t xml:space="preserve">account number, </w:t>
      </w:r>
      <w:r w:rsidR="009521D7">
        <w:t xml:space="preserve">Employer </w:t>
      </w:r>
      <w:r>
        <w:t>name, case number, proceeding number, hearing number)</w:t>
      </w:r>
    </w:p>
    <w:p w14:paraId="57074D6A" w14:textId="77777777" w:rsidR="00445821" w:rsidRDefault="00445821">
      <w:pPr>
        <w:pStyle w:val="OB1"/>
      </w:pPr>
      <w:r>
        <w:t>Provide telephone conferencing service for unlimited parties and international phones, including disconnect, muting</w:t>
      </w:r>
    </w:p>
    <w:p w14:paraId="4E31CEBF" w14:textId="77777777" w:rsidR="00445821" w:rsidRDefault="00445821">
      <w:pPr>
        <w:pStyle w:val="OB1"/>
      </w:pPr>
      <w:r>
        <w:t>New case entry</w:t>
      </w:r>
    </w:p>
    <w:p w14:paraId="67D55D29" w14:textId="77777777" w:rsidR="00445821" w:rsidRDefault="00445821">
      <w:pPr>
        <w:pStyle w:val="OB1"/>
      </w:pPr>
      <w:r>
        <w:lastRenderedPageBreak/>
        <w:t>Add/edit participant details (name, job title, phone number, special instructions, registration information)</w:t>
      </w:r>
    </w:p>
    <w:p w14:paraId="7F63DDAF" w14:textId="77777777" w:rsidR="00445821" w:rsidRDefault="00445821">
      <w:pPr>
        <w:pStyle w:val="OB1"/>
      </w:pPr>
      <w:r>
        <w:t>Playback at variable speeds</w:t>
      </w:r>
    </w:p>
    <w:p w14:paraId="353C8314" w14:textId="6340F471" w:rsidR="00445821" w:rsidRDefault="00445821">
      <w:pPr>
        <w:pStyle w:val="OB1"/>
      </w:pPr>
      <w:r>
        <w:t>Add/edit bookmarks</w:t>
      </w:r>
    </w:p>
    <w:p w14:paraId="6D7D5D85" w14:textId="344060C7" w:rsidR="00445821" w:rsidRDefault="00445821">
      <w:pPr>
        <w:pStyle w:val="LB1"/>
      </w:pPr>
      <w:r>
        <w:t xml:space="preserve">System must allow </w:t>
      </w:r>
      <w:r w:rsidR="00832936">
        <w:t>Staff to electronically</w:t>
      </w:r>
      <w:r>
        <w:t xml:space="preserve"> mark exhibits in the </w:t>
      </w:r>
      <w:r w:rsidR="009450CD">
        <w:t>CMS</w:t>
      </w:r>
    </w:p>
    <w:p w14:paraId="7D79AD8D" w14:textId="77777777" w:rsidR="00445821" w:rsidRDefault="00445821">
      <w:pPr>
        <w:pStyle w:val="LB1"/>
      </w:pPr>
      <w:r>
        <w:t>System must allow Staff to view case information during the hearing</w:t>
      </w:r>
    </w:p>
    <w:p w14:paraId="4003EC57" w14:textId="77777777" w:rsidR="00445821" w:rsidRDefault="00445821">
      <w:pPr>
        <w:pStyle w:val="OB1"/>
      </w:pPr>
      <w:r>
        <w:t>Electronic hearing packet</w:t>
      </w:r>
    </w:p>
    <w:p w14:paraId="718E91A8" w14:textId="77777777" w:rsidR="00445821" w:rsidRDefault="00445821">
      <w:pPr>
        <w:pStyle w:val="OB1"/>
      </w:pPr>
      <w:r>
        <w:t>Tax data</w:t>
      </w:r>
    </w:p>
    <w:p w14:paraId="0576C1E3" w14:textId="0A047299" w:rsidR="00445821" w:rsidRDefault="00445821">
      <w:pPr>
        <w:pStyle w:val="LB1"/>
      </w:pPr>
      <w:r>
        <w:t xml:space="preserve">System must allow Staff to exchange documentation during hearing between </w:t>
      </w:r>
      <w:r w:rsidR="009521D7">
        <w:t xml:space="preserve">Staff </w:t>
      </w:r>
      <w:r>
        <w:t>and all participants</w:t>
      </w:r>
    </w:p>
    <w:p w14:paraId="37F8CBA6" w14:textId="77777777" w:rsidR="00445821" w:rsidRDefault="00445821" w:rsidP="00445821"/>
    <w:p w14:paraId="5EA98342" w14:textId="545551E0" w:rsidR="00445821" w:rsidRDefault="00445821" w:rsidP="00445821">
      <w:pPr>
        <w:rPr>
          <w:u w:val="single"/>
        </w:rPr>
      </w:pPr>
      <w:r w:rsidRPr="00445821">
        <w:rPr>
          <w:u w:val="single"/>
        </w:rPr>
        <w:t>Alternate Activities and Special Cases</w:t>
      </w:r>
    </w:p>
    <w:p w14:paraId="04DDDCBC" w14:textId="77777777" w:rsidR="004F7DCA" w:rsidRDefault="004F7DCA" w:rsidP="004F7DCA">
      <w:r>
        <w:t>System must support the following alternate activities and special cases:</w:t>
      </w:r>
    </w:p>
    <w:p w14:paraId="281D60A8" w14:textId="77777777" w:rsidR="00445821" w:rsidRDefault="00445821" w:rsidP="00E16D2D">
      <w:pPr>
        <w:pStyle w:val="LB1"/>
      </w:pPr>
      <w:r>
        <w:t>No shows</w:t>
      </w:r>
    </w:p>
    <w:p w14:paraId="0A11D32B" w14:textId="77777777" w:rsidR="00445821" w:rsidRDefault="00445821" w:rsidP="00E16D2D">
      <w:pPr>
        <w:pStyle w:val="LB1"/>
      </w:pPr>
      <w:r>
        <w:t>Withdrawals</w:t>
      </w:r>
    </w:p>
    <w:p w14:paraId="68DECCB2" w14:textId="77777777" w:rsidR="00445821" w:rsidRDefault="00445821" w:rsidP="00116640">
      <w:pPr>
        <w:pStyle w:val="LB1"/>
      </w:pPr>
      <w:r>
        <w:t xml:space="preserve">Resets/Continuances </w:t>
      </w:r>
    </w:p>
    <w:p w14:paraId="465FABB8" w14:textId="77777777" w:rsidR="00445821" w:rsidRDefault="00445821" w:rsidP="00F82166">
      <w:pPr>
        <w:pStyle w:val="LB1"/>
      </w:pPr>
      <w:r>
        <w:t>Hearing substitution/reassignment of scheduled hearing to another Hearing Officer</w:t>
      </w:r>
    </w:p>
    <w:p w14:paraId="5F4B90A0" w14:textId="77777777" w:rsidR="00445821" w:rsidRDefault="00445821" w:rsidP="00F82166">
      <w:pPr>
        <w:pStyle w:val="LB1"/>
      </w:pPr>
      <w:r>
        <w:t>Backup system in case conference system unavailable</w:t>
      </w:r>
    </w:p>
    <w:p w14:paraId="70F841B5" w14:textId="77777777" w:rsidR="00445821" w:rsidRDefault="00445821">
      <w:pPr>
        <w:pStyle w:val="LB1"/>
      </w:pPr>
      <w:r>
        <w:t xml:space="preserve">Unscheduled Interpreter request </w:t>
      </w:r>
    </w:p>
    <w:p w14:paraId="7EFDB90E" w14:textId="77777777" w:rsidR="00445821" w:rsidRDefault="00445821">
      <w:pPr>
        <w:pStyle w:val="LB1"/>
      </w:pPr>
      <w:r>
        <w:t>Create Tax investigation based on testimony and evidence</w:t>
      </w:r>
    </w:p>
    <w:p w14:paraId="66B15B79" w14:textId="77777777" w:rsidR="00445821" w:rsidRDefault="00445821">
      <w:pPr>
        <w:pStyle w:val="OB1"/>
      </w:pPr>
      <w:r>
        <w:t>SUTA dumping</w:t>
      </w:r>
    </w:p>
    <w:p w14:paraId="0979539B" w14:textId="6AD1883B" w:rsidR="00445821" w:rsidRDefault="00445821">
      <w:pPr>
        <w:pStyle w:val="OB1"/>
      </w:pPr>
      <w:r>
        <w:t>Acting as an unlicensed PEO</w:t>
      </w:r>
    </w:p>
    <w:p w14:paraId="0E8920A0" w14:textId="77777777" w:rsidR="00445821" w:rsidRDefault="00445821" w:rsidP="00445821"/>
    <w:p w14:paraId="5F8CA056" w14:textId="5B763090" w:rsidR="00434CAC" w:rsidRDefault="00434CAC" w:rsidP="00434CAC">
      <w:pPr>
        <w:pStyle w:val="Heading4"/>
      </w:pPr>
      <w:r>
        <w:tab/>
      </w:r>
      <w:r w:rsidR="007E0E3A">
        <w:t>Create Proposal</w:t>
      </w:r>
    </w:p>
    <w:p w14:paraId="30EFF5CF" w14:textId="47C5679A" w:rsidR="00434CAC" w:rsidRPr="00B0723C" w:rsidRDefault="007E0E3A" w:rsidP="00434CAC">
      <w:r>
        <w:t>This process includes all activities required to create a proposal</w:t>
      </w:r>
      <w:r w:rsidR="00DC41A8" w:rsidRPr="00DC41A8">
        <w:t xml:space="preserve"> </w:t>
      </w:r>
      <w:r w:rsidR="00DC41A8">
        <w:t>for Commission review</w:t>
      </w:r>
      <w:r w:rsidR="00434CAC">
        <w:t>.</w:t>
      </w:r>
    </w:p>
    <w:p w14:paraId="00B5D5A1" w14:textId="77777777" w:rsidR="00434CAC" w:rsidRPr="003A23F0" w:rsidRDefault="00434CAC" w:rsidP="00434CAC">
      <w:pPr>
        <w:rPr>
          <w:u w:val="single"/>
        </w:rPr>
      </w:pPr>
      <w:r w:rsidRPr="003A23F0">
        <w:rPr>
          <w:u w:val="single"/>
        </w:rPr>
        <w:t>Actors</w:t>
      </w:r>
    </w:p>
    <w:p w14:paraId="5AD12348" w14:textId="17127CF8" w:rsidR="00434CAC" w:rsidRDefault="00434CAC" w:rsidP="00E16D2D">
      <w:pPr>
        <w:pStyle w:val="LB1"/>
      </w:pPr>
      <w:r>
        <w:t>Staff</w:t>
      </w:r>
    </w:p>
    <w:p w14:paraId="3B50ED04" w14:textId="1E9B584B" w:rsidR="007E0E3A" w:rsidRDefault="007E0E3A" w:rsidP="00E16D2D">
      <w:pPr>
        <w:pStyle w:val="LB1"/>
      </w:pPr>
      <w:r>
        <w:t>Hearing Officers</w:t>
      </w:r>
    </w:p>
    <w:p w14:paraId="244357ED" w14:textId="77777777" w:rsidR="00434CAC" w:rsidRPr="00DF6567" w:rsidRDefault="00434CAC" w:rsidP="00434CAC"/>
    <w:p w14:paraId="4690EB13" w14:textId="6251105F" w:rsidR="00434CAC" w:rsidRDefault="00434CAC" w:rsidP="00434CAC">
      <w:pPr>
        <w:rPr>
          <w:u w:val="single"/>
        </w:rPr>
      </w:pPr>
      <w:r w:rsidRPr="003A23F0">
        <w:rPr>
          <w:u w:val="single"/>
        </w:rPr>
        <w:t>Main Activities</w:t>
      </w:r>
    </w:p>
    <w:p w14:paraId="2DE6599F" w14:textId="77777777" w:rsidR="00FC4CF8" w:rsidRDefault="00FC4CF8" w:rsidP="00E16D2D">
      <w:pPr>
        <w:pStyle w:val="LB1"/>
      </w:pPr>
      <w:r>
        <w:t xml:space="preserve">System must generate </w:t>
      </w:r>
      <w:r>
        <w:rPr>
          <w:rStyle w:val="LB1Char"/>
        </w:rPr>
        <w:t>hearing officer</w:t>
      </w:r>
      <w:r>
        <w:t xml:space="preserve"> dashboard</w:t>
      </w:r>
    </w:p>
    <w:p w14:paraId="7908F0FD" w14:textId="77777777" w:rsidR="00FC4CF8" w:rsidRDefault="00FC4CF8" w:rsidP="00E16D2D">
      <w:pPr>
        <w:pStyle w:val="OB1"/>
      </w:pPr>
      <w:r>
        <w:t>Case load</w:t>
      </w:r>
    </w:p>
    <w:p w14:paraId="67121E02" w14:textId="77777777" w:rsidR="00FC4CF8" w:rsidRDefault="00FC4CF8" w:rsidP="00116640">
      <w:pPr>
        <w:pStyle w:val="OB1"/>
      </w:pPr>
      <w:r>
        <w:t>Status by case</w:t>
      </w:r>
    </w:p>
    <w:p w14:paraId="3D16158F" w14:textId="77777777" w:rsidR="00FC4CF8" w:rsidRPr="003C2A99" w:rsidRDefault="00FC4CF8" w:rsidP="00116640">
      <w:pPr>
        <w:pStyle w:val="OB1"/>
      </w:pPr>
      <w:r>
        <w:t>Show the current cases and all prior assigned cases not yet mailed easily viewable on one screen</w:t>
      </w:r>
    </w:p>
    <w:p w14:paraId="1EA271E2" w14:textId="1ED6BE37" w:rsidR="00FC4CF8" w:rsidRDefault="00FC4CF8" w:rsidP="00F82166">
      <w:pPr>
        <w:pStyle w:val="LB1"/>
      </w:pPr>
      <w:r>
        <w:lastRenderedPageBreak/>
        <w:t>System must allow Hearing Officers to select a case and display tax information such as:</w:t>
      </w:r>
    </w:p>
    <w:p w14:paraId="58F7B37B" w14:textId="77777777" w:rsidR="00FC4CF8" w:rsidRDefault="00FC4CF8" w:rsidP="00F82166">
      <w:pPr>
        <w:pStyle w:val="OB1"/>
      </w:pPr>
      <w:r>
        <w:t>Account number</w:t>
      </w:r>
    </w:p>
    <w:p w14:paraId="31AD615B" w14:textId="4B3DD9BB" w:rsidR="00FC4CF8" w:rsidRDefault="00FC4CF8">
      <w:pPr>
        <w:pStyle w:val="OB1"/>
      </w:pPr>
      <w:r>
        <w:t>Case documentation</w:t>
      </w:r>
    </w:p>
    <w:p w14:paraId="637CBA92" w14:textId="77777777" w:rsidR="00FC4CF8" w:rsidRDefault="00FC4CF8">
      <w:pPr>
        <w:pStyle w:val="OB1"/>
      </w:pPr>
      <w:r>
        <w:t>Tax worksheet or other form</w:t>
      </w:r>
    </w:p>
    <w:p w14:paraId="430E5D10" w14:textId="77777777" w:rsidR="00FC4CF8" w:rsidRDefault="00FC4CF8">
      <w:pPr>
        <w:pStyle w:val="OB1"/>
      </w:pPr>
      <w:r>
        <w:t>Tax reports</w:t>
      </w:r>
    </w:p>
    <w:p w14:paraId="1915097A" w14:textId="77777777" w:rsidR="00FC4CF8" w:rsidRDefault="00FC4CF8">
      <w:pPr>
        <w:pStyle w:val="OB1"/>
      </w:pPr>
      <w:r>
        <w:t>Proposals are attorney work products and cannot be access by anyone other than certain Special Hearings</w:t>
      </w:r>
      <w:r w:rsidRPr="00511A0B">
        <w:t xml:space="preserve"> </w:t>
      </w:r>
      <w:r>
        <w:t>staff and Hearing Officers based on business rules</w:t>
      </w:r>
    </w:p>
    <w:p w14:paraId="57195EEB" w14:textId="77777777" w:rsidR="00FC4CF8" w:rsidRDefault="00FC4CF8">
      <w:pPr>
        <w:pStyle w:val="LB1"/>
      </w:pPr>
      <w:r>
        <w:t>System must allow Staff to generate case list for all Hearing Officers (e.g., using a dashboard):</w:t>
      </w:r>
    </w:p>
    <w:p w14:paraId="035B2FCC" w14:textId="77777777" w:rsidR="00FC4CF8" w:rsidRDefault="00FC4CF8">
      <w:pPr>
        <w:pStyle w:val="OB1"/>
      </w:pPr>
      <w:r>
        <w:t>Case load</w:t>
      </w:r>
    </w:p>
    <w:p w14:paraId="5C455117" w14:textId="77777777" w:rsidR="00FC4CF8" w:rsidRDefault="00FC4CF8">
      <w:pPr>
        <w:pStyle w:val="OB1"/>
      </w:pPr>
      <w:r>
        <w:t>Status by case</w:t>
      </w:r>
    </w:p>
    <w:p w14:paraId="6A44D118" w14:textId="77777777" w:rsidR="00FC4CF8" w:rsidRDefault="00FC4CF8">
      <w:pPr>
        <w:pStyle w:val="OB1"/>
      </w:pPr>
      <w:r>
        <w:t>Appeal Age at assignment</w:t>
      </w:r>
    </w:p>
    <w:p w14:paraId="6D167B94" w14:textId="77777777" w:rsidR="00FC4CF8" w:rsidRDefault="00FC4CF8">
      <w:pPr>
        <w:pStyle w:val="LB1"/>
      </w:pPr>
      <w:r>
        <w:t>System must include a Management Assignment Dashboard</w:t>
      </w:r>
    </w:p>
    <w:p w14:paraId="128FD242" w14:textId="77777777" w:rsidR="00FC4CF8" w:rsidRDefault="00FC4CF8">
      <w:pPr>
        <w:pStyle w:val="OB1"/>
      </w:pPr>
      <w:r>
        <w:t>Searchable</w:t>
      </w:r>
    </w:p>
    <w:p w14:paraId="3281DA43" w14:textId="77777777" w:rsidR="00FC4CF8" w:rsidRDefault="00FC4CF8">
      <w:pPr>
        <w:pStyle w:val="OB1"/>
      </w:pPr>
      <w:r>
        <w:t>Hearing date and docket number Sortable</w:t>
      </w:r>
    </w:p>
    <w:p w14:paraId="3A9EFD3A" w14:textId="77777777" w:rsidR="00FC4CF8" w:rsidRDefault="00FC4CF8">
      <w:pPr>
        <w:pStyle w:val="LB1"/>
      </w:pPr>
      <w:r>
        <w:t>System must generate hearing officer proposal documents based on templates with versioning including</w:t>
      </w:r>
    </w:p>
    <w:p w14:paraId="00657F74" w14:textId="77777777" w:rsidR="00FC4CF8" w:rsidRDefault="00FC4CF8">
      <w:pPr>
        <w:pStyle w:val="OB1"/>
      </w:pPr>
      <w:r>
        <w:t>Proposal</w:t>
      </w:r>
    </w:p>
    <w:p w14:paraId="50D72F66" w14:textId="77777777" w:rsidR="00FC4CF8" w:rsidRDefault="00FC4CF8" w:rsidP="00FC4CF8">
      <w:pPr>
        <w:pStyle w:val="SB1"/>
      </w:pPr>
      <w:r>
        <w:t>Case Number</w:t>
      </w:r>
    </w:p>
    <w:p w14:paraId="6A4246FA" w14:textId="77777777" w:rsidR="00FC4CF8" w:rsidRDefault="00FC4CF8" w:rsidP="00FC4CF8">
      <w:pPr>
        <w:pStyle w:val="SB1"/>
      </w:pPr>
      <w:r>
        <w:t>Tax account number</w:t>
      </w:r>
    </w:p>
    <w:p w14:paraId="0BA9D4C4" w14:textId="77777777" w:rsidR="00FC4CF8" w:rsidRDefault="00FC4CF8" w:rsidP="00FC4CF8">
      <w:pPr>
        <w:pStyle w:val="SB1"/>
      </w:pPr>
      <w:r>
        <w:t>Issues</w:t>
      </w:r>
    </w:p>
    <w:p w14:paraId="0D5424EB" w14:textId="77777777" w:rsidR="00FC4CF8" w:rsidRDefault="00FC4CF8" w:rsidP="00E16D2D">
      <w:pPr>
        <w:pStyle w:val="LB1"/>
      </w:pPr>
      <w:r>
        <w:t>System must generate Worksheet from template including</w:t>
      </w:r>
    </w:p>
    <w:p w14:paraId="0BAD68B8" w14:textId="77777777" w:rsidR="00FC4CF8" w:rsidRDefault="00FC4CF8" w:rsidP="00E16D2D">
      <w:pPr>
        <w:pStyle w:val="OB1"/>
      </w:pPr>
      <w:r>
        <w:t>Appearances</w:t>
      </w:r>
    </w:p>
    <w:p w14:paraId="1697239A" w14:textId="77777777" w:rsidR="00FC4CF8" w:rsidRDefault="00FC4CF8" w:rsidP="00116640">
      <w:pPr>
        <w:pStyle w:val="OB1"/>
      </w:pPr>
      <w:r>
        <w:t>Hearing Officer</w:t>
      </w:r>
    </w:p>
    <w:p w14:paraId="3F3D8CBC" w14:textId="77777777" w:rsidR="00FC4CF8" w:rsidRDefault="00FC4CF8" w:rsidP="00F82166">
      <w:pPr>
        <w:pStyle w:val="OB1"/>
      </w:pPr>
      <w:r>
        <w:t>Length of Hearing</w:t>
      </w:r>
    </w:p>
    <w:p w14:paraId="374CCE35" w14:textId="77777777" w:rsidR="00FC4CF8" w:rsidRDefault="00FC4CF8" w:rsidP="00F82166">
      <w:pPr>
        <w:pStyle w:val="OB1"/>
      </w:pPr>
      <w:r>
        <w:t>Subject Code</w:t>
      </w:r>
    </w:p>
    <w:p w14:paraId="188F8CCA" w14:textId="77777777" w:rsidR="00FC4CF8" w:rsidRDefault="00FC4CF8">
      <w:pPr>
        <w:pStyle w:val="OB1"/>
      </w:pPr>
      <w:r>
        <w:t>Insert information using preformatted text templates including retrieving data from UI/Appeals/Tax system</w:t>
      </w:r>
    </w:p>
    <w:p w14:paraId="6A7B933E" w14:textId="7DD23FA5" w:rsidR="003C192E" w:rsidRPr="003A23F0" w:rsidRDefault="00FC4CF8">
      <w:pPr>
        <w:pStyle w:val="OB1"/>
      </w:pPr>
      <w:r>
        <w:t>Additional distribution addresses</w:t>
      </w:r>
    </w:p>
    <w:p w14:paraId="29D1E838" w14:textId="04AA2EC9" w:rsidR="00434CAC" w:rsidRDefault="00434CAC" w:rsidP="00BA71B9"/>
    <w:p w14:paraId="5E50D3DB" w14:textId="2BA9D434" w:rsidR="00434CAC" w:rsidRDefault="00434CAC" w:rsidP="00434CAC">
      <w:pPr>
        <w:pStyle w:val="Heading4"/>
      </w:pPr>
      <w:r>
        <w:tab/>
      </w:r>
      <w:r w:rsidR="007E0E3A">
        <w:t>Docketing</w:t>
      </w:r>
    </w:p>
    <w:p w14:paraId="5DDC6F78" w14:textId="2106E8FB" w:rsidR="00434CAC" w:rsidRPr="00B0723C" w:rsidRDefault="005A5753" w:rsidP="00434CAC">
      <w:r>
        <w:t>This process includes all activities required to assign Rule 13 proposals to a docket including docketing, circulate summaries, pre-process docketed cases, document Commissioner vote, and post-process docketed cases</w:t>
      </w:r>
      <w:r w:rsidR="00434CAC">
        <w:t>.</w:t>
      </w:r>
    </w:p>
    <w:p w14:paraId="6CAD328C" w14:textId="77777777" w:rsidR="00434CAC" w:rsidRPr="003A23F0" w:rsidRDefault="00434CAC" w:rsidP="00434CAC">
      <w:pPr>
        <w:rPr>
          <w:u w:val="single"/>
        </w:rPr>
      </w:pPr>
      <w:r w:rsidRPr="003A23F0">
        <w:rPr>
          <w:u w:val="single"/>
        </w:rPr>
        <w:t>Actors</w:t>
      </w:r>
    </w:p>
    <w:p w14:paraId="4B790A89" w14:textId="77777777" w:rsidR="00434CAC" w:rsidRDefault="00434CAC" w:rsidP="00E16D2D">
      <w:pPr>
        <w:pStyle w:val="LB1"/>
      </w:pPr>
      <w:r>
        <w:t>Staff</w:t>
      </w:r>
    </w:p>
    <w:p w14:paraId="7D961656" w14:textId="77777777" w:rsidR="00434CAC" w:rsidRPr="00DF6567" w:rsidRDefault="00434CAC" w:rsidP="00434CAC"/>
    <w:p w14:paraId="2BD1DFC1" w14:textId="77777777" w:rsidR="005A5753" w:rsidRPr="005A5753" w:rsidRDefault="005A5753" w:rsidP="005A5753">
      <w:pPr>
        <w:rPr>
          <w:u w:val="single"/>
        </w:rPr>
      </w:pPr>
      <w:r w:rsidRPr="005A5753">
        <w:rPr>
          <w:u w:val="single"/>
        </w:rPr>
        <w:lastRenderedPageBreak/>
        <w:t>Main Activities - Docketing</w:t>
      </w:r>
    </w:p>
    <w:p w14:paraId="2D81C761" w14:textId="6C1C9CBF" w:rsidR="005A5753" w:rsidRDefault="00727B9C" w:rsidP="00E16D2D">
      <w:pPr>
        <w:pStyle w:val="LB1"/>
      </w:pPr>
      <w:r>
        <w:t xml:space="preserve">System must allow Staff to </w:t>
      </w:r>
      <w:r w:rsidR="005A5753">
        <w:t>assign case and associated documentation</w:t>
      </w:r>
      <w:r w:rsidR="00832936">
        <w:t>,</w:t>
      </w:r>
      <w:r w:rsidR="005A5753">
        <w:t xml:space="preserve"> Hearing File and proposal</w:t>
      </w:r>
      <w:r w:rsidR="00832936">
        <w:t>,</w:t>
      </w:r>
      <w:r w:rsidR="005A5753">
        <w:t xml:space="preserve"> to docket</w:t>
      </w:r>
    </w:p>
    <w:p w14:paraId="66CAAD07" w14:textId="77777777" w:rsidR="005A5753" w:rsidRDefault="005A5753" w:rsidP="00E16D2D">
      <w:pPr>
        <w:pStyle w:val="OB1"/>
      </w:pPr>
      <w:r>
        <w:t>Docket date</w:t>
      </w:r>
    </w:p>
    <w:p w14:paraId="085CC8C0" w14:textId="77777777" w:rsidR="005A5753" w:rsidRDefault="005A5753" w:rsidP="00116640">
      <w:pPr>
        <w:pStyle w:val="OB1"/>
      </w:pPr>
      <w:r>
        <w:t>Docket number</w:t>
      </w:r>
    </w:p>
    <w:p w14:paraId="6A8E341B" w14:textId="6105F0C7" w:rsidR="005A5753" w:rsidRDefault="00E2460B" w:rsidP="00F82166">
      <w:pPr>
        <w:pStyle w:val="LB1"/>
      </w:pPr>
      <w:r>
        <w:t>System/Staff</w:t>
      </w:r>
      <w:r w:rsidR="005A5753">
        <w:t xml:space="preserve"> makes copies of docket </w:t>
      </w:r>
      <w:r w:rsidR="00832936">
        <w:t>packets (cover sheet and proposals</w:t>
      </w:r>
      <w:r w:rsidR="005A5753">
        <w:t>)</w:t>
      </w:r>
    </w:p>
    <w:p w14:paraId="6C71DF26" w14:textId="77777777" w:rsidR="005A5753" w:rsidRDefault="005A5753" w:rsidP="00F82166">
      <w:pPr>
        <w:pStyle w:val="OB1"/>
      </w:pPr>
      <w:r>
        <w:t xml:space="preserve">Commissioners </w:t>
      </w:r>
    </w:p>
    <w:p w14:paraId="678AB1DC" w14:textId="59F19A5C" w:rsidR="005A5753" w:rsidRDefault="00E2460B">
      <w:pPr>
        <w:pStyle w:val="LB1"/>
      </w:pPr>
      <w:r>
        <w:t>System/Staff</w:t>
      </w:r>
      <w:r w:rsidR="005A5753">
        <w:t xml:space="preserve"> prepares lists of all cases on docket</w:t>
      </w:r>
    </w:p>
    <w:p w14:paraId="4ED624E8" w14:textId="77777777" w:rsidR="005A5753" w:rsidRDefault="005A5753">
      <w:pPr>
        <w:pStyle w:val="OB1"/>
      </w:pPr>
      <w:r>
        <w:t>Legal list – list of docketed cases by Tax case number</w:t>
      </w:r>
      <w:r w:rsidRPr="000D17A3">
        <w:t xml:space="preserve"> </w:t>
      </w:r>
      <w:r>
        <w:t>for publication by Secretary of State due to state law</w:t>
      </w:r>
    </w:p>
    <w:p w14:paraId="0852A5E9" w14:textId="29B7A5E0" w:rsidR="005A5753" w:rsidRDefault="005A5753">
      <w:pPr>
        <w:pStyle w:val="OB1"/>
      </w:pPr>
      <w:r>
        <w:t>Numeric list – list of docketed cases by case number</w:t>
      </w:r>
    </w:p>
    <w:p w14:paraId="0563509B" w14:textId="55377BB9" w:rsidR="003C192E" w:rsidRDefault="003C192E">
      <w:pPr>
        <w:pStyle w:val="LB1"/>
      </w:pPr>
      <w:r>
        <w:t xml:space="preserve">System must restrict access to docket to only certain </w:t>
      </w:r>
      <w:r w:rsidR="003E0A89">
        <w:t>Special Hearings</w:t>
      </w:r>
      <w:r w:rsidR="003E0A89" w:rsidRPr="00511A0B">
        <w:t xml:space="preserve"> </w:t>
      </w:r>
      <w:r>
        <w:t>Staff and Commission offices based on business rules</w:t>
      </w:r>
    </w:p>
    <w:p w14:paraId="65B39603" w14:textId="77777777" w:rsidR="005A5753" w:rsidRDefault="005A5753" w:rsidP="005A5753"/>
    <w:p w14:paraId="358EDE09" w14:textId="062BA011" w:rsidR="005A5753" w:rsidRDefault="005A5753" w:rsidP="005A5753">
      <w:pPr>
        <w:rPr>
          <w:u w:val="single"/>
        </w:rPr>
      </w:pPr>
      <w:r w:rsidRPr="005A5753">
        <w:rPr>
          <w:u w:val="single"/>
        </w:rPr>
        <w:t xml:space="preserve">Alternate Activities and Special Cases </w:t>
      </w:r>
      <w:r w:rsidR="004F7DCA">
        <w:rPr>
          <w:u w:val="single"/>
        </w:rPr>
        <w:t>–</w:t>
      </w:r>
      <w:r w:rsidRPr="005A5753">
        <w:rPr>
          <w:u w:val="single"/>
        </w:rPr>
        <w:t xml:space="preserve"> Docketing</w:t>
      </w:r>
    </w:p>
    <w:p w14:paraId="7412BC8C" w14:textId="77777777" w:rsidR="004F7DCA" w:rsidRDefault="004F7DCA" w:rsidP="004F7DCA">
      <w:r>
        <w:t>System must support the following alternate activities and special cases:</w:t>
      </w:r>
    </w:p>
    <w:p w14:paraId="44E8DD28" w14:textId="77777777" w:rsidR="005A5753" w:rsidRDefault="005A5753" w:rsidP="00E16D2D">
      <w:pPr>
        <w:pStyle w:val="LB1"/>
      </w:pPr>
      <w:r>
        <w:t>Removing a case from docket at any point in the workflow</w:t>
      </w:r>
    </w:p>
    <w:p w14:paraId="347911DC" w14:textId="77777777" w:rsidR="005A5753" w:rsidRDefault="005A5753" w:rsidP="00E16D2D">
      <w:pPr>
        <w:pStyle w:val="LB1"/>
      </w:pPr>
      <w:r>
        <w:t>Docket cancellation or rescheduling (keep docket number constant once assigned but allow docket date to change)</w:t>
      </w:r>
    </w:p>
    <w:p w14:paraId="23AF05F5" w14:textId="77777777" w:rsidR="005A5753" w:rsidRDefault="005A5753" w:rsidP="00116640">
      <w:pPr>
        <w:pStyle w:val="OB1"/>
      </w:pPr>
      <w:r>
        <w:t>Individual</w:t>
      </w:r>
    </w:p>
    <w:p w14:paraId="4935407C" w14:textId="559D6F86" w:rsidR="005A5753" w:rsidRDefault="005A5753" w:rsidP="00F82166">
      <w:pPr>
        <w:pStyle w:val="OB1"/>
      </w:pPr>
      <w:r>
        <w:t>In mass for situations such as a Commissioner vacancy</w:t>
      </w:r>
    </w:p>
    <w:p w14:paraId="1AF7A0E0" w14:textId="77777777" w:rsidR="005A5753" w:rsidRDefault="005A5753" w:rsidP="005A5753"/>
    <w:p w14:paraId="28E38453" w14:textId="77777777" w:rsidR="005A5753" w:rsidRPr="005A5753" w:rsidRDefault="005A5753" w:rsidP="005A5753">
      <w:pPr>
        <w:rPr>
          <w:u w:val="single"/>
        </w:rPr>
      </w:pPr>
      <w:r w:rsidRPr="005A5753">
        <w:rPr>
          <w:u w:val="single"/>
        </w:rPr>
        <w:t>Main Activities – Circulate Proposals</w:t>
      </w:r>
    </w:p>
    <w:p w14:paraId="3B581A8D" w14:textId="35F4AE1B" w:rsidR="005A5753" w:rsidRDefault="00E2460B" w:rsidP="00E16D2D">
      <w:pPr>
        <w:pStyle w:val="LB1"/>
      </w:pPr>
      <w:r>
        <w:t>System/Staff</w:t>
      </w:r>
      <w:r w:rsidR="005A5753">
        <w:t xml:space="preserve"> distributes copies to Commissioners</w:t>
      </w:r>
    </w:p>
    <w:p w14:paraId="3DFF681E" w14:textId="77777777" w:rsidR="005A5753" w:rsidRDefault="005A5753" w:rsidP="00E16D2D">
      <w:pPr>
        <w:pStyle w:val="LB1"/>
      </w:pPr>
      <w:r>
        <w:t>System must track proposal workflow including supplemental requests and distribution</w:t>
      </w:r>
    </w:p>
    <w:p w14:paraId="0A4A1906" w14:textId="77777777" w:rsidR="005A5753" w:rsidRDefault="005A5753" w:rsidP="005A5753"/>
    <w:p w14:paraId="57AEB1A7" w14:textId="59F172F3" w:rsidR="005A5753" w:rsidRDefault="005A5753" w:rsidP="005A5753">
      <w:pPr>
        <w:rPr>
          <w:u w:val="single"/>
        </w:rPr>
      </w:pPr>
      <w:r w:rsidRPr="005A5753">
        <w:rPr>
          <w:u w:val="single"/>
        </w:rPr>
        <w:t>Alternate Activities and Special Cases – Circulate Proposals</w:t>
      </w:r>
    </w:p>
    <w:p w14:paraId="1CDB62D6" w14:textId="77777777" w:rsidR="004F7DCA" w:rsidRDefault="004F7DCA" w:rsidP="004F7DCA">
      <w:r>
        <w:t>System must support the following alternate activities and special cases:</w:t>
      </w:r>
    </w:p>
    <w:p w14:paraId="63E22F87" w14:textId="7B2130D1" w:rsidR="005A5753" w:rsidRPr="008F47BA" w:rsidRDefault="005A5753" w:rsidP="00E16D2D">
      <w:pPr>
        <w:pStyle w:val="LB1"/>
      </w:pPr>
      <w:r>
        <w:t>Request for more information</w:t>
      </w:r>
      <w:r w:rsidR="00FC4CF8">
        <w:t>, other departments or program advice,</w:t>
      </w:r>
      <w:r>
        <w:t xml:space="preserve"> or correction to Proposals from Commissioners</w:t>
      </w:r>
    </w:p>
    <w:p w14:paraId="77464267" w14:textId="77777777" w:rsidR="005A5753" w:rsidRDefault="005A5753" w:rsidP="005A5753"/>
    <w:p w14:paraId="5D6E6CFE" w14:textId="77777777" w:rsidR="005A5753" w:rsidRPr="005A5753" w:rsidRDefault="005A5753" w:rsidP="005A5753">
      <w:pPr>
        <w:rPr>
          <w:u w:val="single"/>
        </w:rPr>
      </w:pPr>
      <w:r w:rsidRPr="005A5753">
        <w:rPr>
          <w:u w:val="single"/>
        </w:rPr>
        <w:t>Main Activities – Pre-Process Docketed Cases</w:t>
      </w:r>
    </w:p>
    <w:p w14:paraId="7058249C" w14:textId="681956A0" w:rsidR="005A5753" w:rsidRDefault="00E2460B" w:rsidP="00E16D2D">
      <w:pPr>
        <w:pStyle w:val="LB1"/>
      </w:pPr>
      <w:r>
        <w:t>System/Staff</w:t>
      </w:r>
      <w:r w:rsidR="005A5753">
        <w:t xml:space="preserve"> stores case files submitted to docket</w:t>
      </w:r>
      <w:r w:rsidR="00996657">
        <w:t xml:space="preserve"> with restricted access</w:t>
      </w:r>
    </w:p>
    <w:p w14:paraId="00817ACC" w14:textId="77777777" w:rsidR="005A5753" w:rsidRDefault="005A5753" w:rsidP="00E16D2D">
      <w:pPr>
        <w:pStyle w:val="OB1"/>
      </w:pPr>
      <w:r>
        <w:t>Electronic case files</w:t>
      </w:r>
    </w:p>
    <w:p w14:paraId="02509CFC" w14:textId="77777777" w:rsidR="005A5753" w:rsidRDefault="005A5753" w:rsidP="00116640">
      <w:pPr>
        <w:pStyle w:val="OB1"/>
      </w:pPr>
      <w:r>
        <w:t>Case documentation including privileged attorney/client work product</w:t>
      </w:r>
    </w:p>
    <w:p w14:paraId="69A31DDA" w14:textId="77777777" w:rsidR="005A5753" w:rsidRDefault="005A5753" w:rsidP="005A5753"/>
    <w:p w14:paraId="31BD2346" w14:textId="53556023" w:rsidR="005A5753" w:rsidRDefault="005A5753" w:rsidP="005A5753">
      <w:pPr>
        <w:rPr>
          <w:u w:val="single"/>
        </w:rPr>
      </w:pPr>
      <w:r w:rsidRPr="005A5753">
        <w:rPr>
          <w:u w:val="single"/>
        </w:rPr>
        <w:lastRenderedPageBreak/>
        <w:t>Alternate Activities and Special Cases – Pre-Process Docketed Cases</w:t>
      </w:r>
    </w:p>
    <w:p w14:paraId="079CB2DB" w14:textId="77777777" w:rsidR="004F7DCA" w:rsidRDefault="004F7DCA" w:rsidP="004F7DCA">
      <w:r>
        <w:t>System must support the following alternate activities and special cases:</w:t>
      </w:r>
    </w:p>
    <w:p w14:paraId="3FFF1550" w14:textId="77777777" w:rsidR="005A5753" w:rsidRDefault="005A5753" w:rsidP="00E16D2D">
      <w:pPr>
        <w:pStyle w:val="LB1"/>
      </w:pPr>
      <w:r>
        <w:t>Removing a case from docket</w:t>
      </w:r>
    </w:p>
    <w:p w14:paraId="5EF593C5" w14:textId="77777777" w:rsidR="005A5753" w:rsidRDefault="005A5753" w:rsidP="005A5753"/>
    <w:p w14:paraId="0E32DE03" w14:textId="77777777" w:rsidR="005A5753" w:rsidRPr="005A5753" w:rsidRDefault="005A5753" w:rsidP="005A5753">
      <w:pPr>
        <w:rPr>
          <w:u w:val="single"/>
        </w:rPr>
      </w:pPr>
      <w:r w:rsidRPr="005A5753">
        <w:rPr>
          <w:u w:val="single"/>
        </w:rPr>
        <w:t>Main Activities – Document Vote</w:t>
      </w:r>
    </w:p>
    <w:p w14:paraId="507BCCB7" w14:textId="12F7599E" w:rsidR="005A5753" w:rsidRDefault="00F86BB3" w:rsidP="00E16D2D">
      <w:pPr>
        <w:pStyle w:val="LB1"/>
      </w:pPr>
      <w:r>
        <w:t xml:space="preserve">System must allow </w:t>
      </w:r>
      <w:r w:rsidR="005A5753">
        <w:t xml:space="preserve">Staff </w:t>
      </w:r>
      <w:r>
        <w:t xml:space="preserve">to </w:t>
      </w:r>
      <w:r w:rsidR="005A5753">
        <w:t xml:space="preserve">record docket votes and </w:t>
      </w:r>
      <w:r w:rsidR="00FC4CF8">
        <w:t xml:space="preserve">long form and short form </w:t>
      </w:r>
      <w:r w:rsidR="005A5753">
        <w:t>dissents including notes associated with each case</w:t>
      </w:r>
    </w:p>
    <w:p w14:paraId="38696817" w14:textId="77777777" w:rsidR="005A5753" w:rsidRDefault="005A5753" w:rsidP="00E16D2D">
      <w:pPr>
        <w:pStyle w:val="LB1"/>
      </w:pPr>
      <w:r w:rsidRPr="00A93DCC">
        <w:t xml:space="preserve">System must support Commission voting processes during the </w:t>
      </w:r>
      <w:r>
        <w:t>workflow process of an appeal</w:t>
      </w:r>
    </w:p>
    <w:p w14:paraId="3ECB0B81" w14:textId="77777777" w:rsidR="005A5753" w:rsidRDefault="005A5753" w:rsidP="005A5753"/>
    <w:p w14:paraId="0E8522D7" w14:textId="14B0F6FA" w:rsidR="005A5753" w:rsidRDefault="005A5753" w:rsidP="005A5753">
      <w:pPr>
        <w:rPr>
          <w:u w:val="single"/>
        </w:rPr>
      </w:pPr>
      <w:r w:rsidRPr="005A5753">
        <w:rPr>
          <w:u w:val="single"/>
        </w:rPr>
        <w:t>Alternate Activities and Special Cases – Document Vote</w:t>
      </w:r>
    </w:p>
    <w:p w14:paraId="59752DF1" w14:textId="77777777" w:rsidR="004F7DCA" w:rsidRDefault="004F7DCA" w:rsidP="004F7DCA">
      <w:r>
        <w:t>System must support the following alternate activities and special cases:</w:t>
      </w:r>
    </w:p>
    <w:p w14:paraId="249656D1" w14:textId="0AF3F989" w:rsidR="005A5753" w:rsidRDefault="005A5753" w:rsidP="00E16D2D">
      <w:pPr>
        <w:pStyle w:val="LB1"/>
      </w:pPr>
      <w:r w:rsidRPr="00A93DCC">
        <w:t xml:space="preserve">Depending on the life cycle of </w:t>
      </w:r>
      <w:r>
        <w:t>a proposal,</w:t>
      </w:r>
      <w:r w:rsidRPr="00A93DCC">
        <w:t xml:space="preserve"> there may be multiple voting rounds each with different voting options and ou</w:t>
      </w:r>
      <w:r w:rsidR="00F86BB3">
        <w:t>tcomes as defined in Texas law</w:t>
      </w:r>
    </w:p>
    <w:p w14:paraId="679E52B6" w14:textId="77777777" w:rsidR="005A5753" w:rsidRDefault="005A5753" w:rsidP="005A5753"/>
    <w:p w14:paraId="3FD80E26" w14:textId="77777777" w:rsidR="005A5753" w:rsidRPr="005A5753" w:rsidRDefault="005A5753" w:rsidP="005A5753">
      <w:pPr>
        <w:rPr>
          <w:u w:val="single"/>
        </w:rPr>
      </w:pPr>
      <w:r w:rsidRPr="005A5753">
        <w:rPr>
          <w:u w:val="single"/>
        </w:rPr>
        <w:t>Main Activities – Post-Process Docketed Cases</w:t>
      </w:r>
    </w:p>
    <w:p w14:paraId="5EA38F36" w14:textId="0C77217F" w:rsidR="005A5753" w:rsidRDefault="00E2460B" w:rsidP="00E16D2D">
      <w:pPr>
        <w:pStyle w:val="LB1"/>
      </w:pPr>
      <w:r>
        <w:t>System/Staff</w:t>
      </w:r>
      <w:r w:rsidR="005A5753">
        <w:t xml:space="preserve"> </w:t>
      </w:r>
      <w:r w:rsidR="00F86BB3">
        <w:t xml:space="preserve">must </w:t>
      </w:r>
      <w:r w:rsidR="005A5753">
        <w:t>prepare and store final vote list of all docketed cases</w:t>
      </w:r>
    </w:p>
    <w:p w14:paraId="43B9E86D" w14:textId="3F0BD76B" w:rsidR="005A5753" w:rsidRDefault="00E2460B" w:rsidP="00E16D2D">
      <w:pPr>
        <w:pStyle w:val="LB1"/>
      </w:pPr>
      <w:r>
        <w:t>System/Staff</w:t>
      </w:r>
      <w:r w:rsidR="005A5753">
        <w:t xml:space="preserve"> </w:t>
      </w:r>
      <w:r w:rsidR="00F86BB3">
        <w:t xml:space="preserve">must </w:t>
      </w:r>
      <w:r w:rsidR="005A5753">
        <w:t>notif</w:t>
      </w:r>
      <w:r w:rsidR="00F86BB3">
        <w:t xml:space="preserve">y </w:t>
      </w:r>
      <w:r w:rsidR="005A5753">
        <w:t>Hearing Officer of action required based on docket votes</w:t>
      </w:r>
    </w:p>
    <w:p w14:paraId="4E168752" w14:textId="77777777" w:rsidR="005A5753" w:rsidRDefault="005A5753" w:rsidP="00116640">
      <w:pPr>
        <w:pStyle w:val="OB1"/>
      </w:pPr>
      <w:r>
        <w:t>Reversed, modified, and/or remanded proposals</w:t>
      </w:r>
    </w:p>
    <w:p w14:paraId="515239F1" w14:textId="77777777" w:rsidR="005A5753" w:rsidRDefault="005A5753" w:rsidP="00F82166">
      <w:pPr>
        <w:pStyle w:val="OB1"/>
      </w:pPr>
      <w:r>
        <w:t>Rehear cases</w:t>
      </w:r>
    </w:p>
    <w:p w14:paraId="5A85B4A1" w14:textId="77777777" w:rsidR="005A5753" w:rsidRDefault="005A5753" w:rsidP="00F82166">
      <w:pPr>
        <w:pStyle w:val="OB1"/>
      </w:pPr>
      <w:r>
        <w:t>Resubmit cases</w:t>
      </w:r>
    </w:p>
    <w:p w14:paraId="566F7BC6" w14:textId="3635CF33" w:rsidR="005A5753" w:rsidRDefault="005A5753">
      <w:pPr>
        <w:pStyle w:val="OB1"/>
      </w:pPr>
      <w:r>
        <w:t>Memo creation and distribution with interdepartmental tracking</w:t>
      </w:r>
    </w:p>
    <w:p w14:paraId="495AB856" w14:textId="781AAF45" w:rsidR="00FC4CF8" w:rsidRDefault="00FC4CF8">
      <w:pPr>
        <w:pStyle w:val="OB1"/>
      </w:pPr>
      <w:r>
        <w:t>Request for OGC guidance</w:t>
      </w:r>
    </w:p>
    <w:p w14:paraId="0DEC3B5E" w14:textId="429F7F74" w:rsidR="005A5753" w:rsidRDefault="00B77980">
      <w:pPr>
        <w:pStyle w:val="LB1"/>
      </w:pPr>
      <w:r>
        <w:t>System must c</w:t>
      </w:r>
      <w:r w:rsidR="005A5753">
        <w:t>irculate modified proposals to Commissioners for approval</w:t>
      </w:r>
    </w:p>
    <w:p w14:paraId="3AAE2FDC" w14:textId="03A1405F" w:rsidR="005A5753" w:rsidRDefault="00E2460B">
      <w:pPr>
        <w:pStyle w:val="LB1"/>
      </w:pPr>
      <w:r>
        <w:t>System/Staff</w:t>
      </w:r>
      <w:r w:rsidR="005A5753">
        <w:t xml:space="preserve"> </w:t>
      </w:r>
      <w:r w:rsidR="00F86BB3">
        <w:t xml:space="preserve">must </w:t>
      </w:r>
      <w:r w:rsidR="005A5753">
        <w:t>record</w:t>
      </w:r>
      <w:r w:rsidR="00B77980">
        <w:t xml:space="preserve"> proposals</w:t>
      </w:r>
      <w:r w:rsidR="005A5753">
        <w:t xml:space="preserve"> in the </w:t>
      </w:r>
      <w:r w:rsidR="005857DA">
        <w:t>CMS</w:t>
      </w:r>
    </w:p>
    <w:p w14:paraId="2A77EE7C" w14:textId="271F981C" w:rsidR="00F96143" w:rsidRDefault="00F96143">
      <w:pPr>
        <w:pStyle w:val="LB1"/>
      </w:pPr>
      <w:r>
        <w:t>System must allow Staff to search for past Rule 13 decisions</w:t>
      </w:r>
    </w:p>
    <w:p w14:paraId="476ED2EE" w14:textId="7286DBC7" w:rsidR="005A5753" w:rsidRDefault="00F86BB3">
      <w:pPr>
        <w:pStyle w:val="LB1"/>
      </w:pPr>
      <w:r>
        <w:t xml:space="preserve">System/Staff must </w:t>
      </w:r>
      <w:r w:rsidR="00F63E85">
        <w:t>p</w:t>
      </w:r>
      <w:r w:rsidR="005A5753">
        <w:t>rint, fold, and stuff envelopes for remaining decisions</w:t>
      </w:r>
    </w:p>
    <w:p w14:paraId="019EBD4C" w14:textId="0D8D7860" w:rsidR="005A5753" w:rsidRDefault="005A5753">
      <w:pPr>
        <w:pStyle w:val="OB1"/>
      </w:pPr>
      <w:r>
        <w:t>Include appeal rights with decision</w:t>
      </w:r>
    </w:p>
    <w:p w14:paraId="41D0AF00" w14:textId="6F3183C8" w:rsidR="005A5753" w:rsidRDefault="003E0A89">
      <w:pPr>
        <w:pStyle w:val="LB1"/>
      </w:pPr>
      <w:r>
        <w:t>Special Hearings</w:t>
      </w:r>
      <w:r w:rsidRPr="00511A0B">
        <w:t xml:space="preserve"> </w:t>
      </w:r>
      <w:r w:rsidR="00F63E85">
        <w:t>Staff m</w:t>
      </w:r>
      <w:r w:rsidR="005A5753">
        <w:t>ail</w:t>
      </w:r>
      <w:r w:rsidR="00F63E85">
        <w:t>s</w:t>
      </w:r>
      <w:r w:rsidR="005A5753">
        <w:t xml:space="preserve"> envelopes</w:t>
      </w:r>
    </w:p>
    <w:p w14:paraId="7DD67B26" w14:textId="77777777" w:rsidR="005A5753" w:rsidRDefault="005A5753" w:rsidP="005A5753"/>
    <w:p w14:paraId="1ECAE233" w14:textId="3243239F" w:rsidR="00434CAC" w:rsidRDefault="00434CAC" w:rsidP="00434CAC">
      <w:pPr>
        <w:pStyle w:val="Heading4"/>
      </w:pPr>
      <w:r>
        <w:tab/>
      </w:r>
      <w:r w:rsidR="00514126">
        <w:t>Issue Decision</w:t>
      </w:r>
    </w:p>
    <w:p w14:paraId="68548735" w14:textId="62B51CDC" w:rsidR="00434CAC" w:rsidRPr="00B0723C" w:rsidRDefault="00514126" w:rsidP="00434CAC">
      <w:r>
        <w:t>This process includes all activities required to issue a decision</w:t>
      </w:r>
      <w:r w:rsidR="00434CAC">
        <w:t>.</w:t>
      </w:r>
    </w:p>
    <w:p w14:paraId="0DD3DD70" w14:textId="77777777" w:rsidR="00434CAC" w:rsidRPr="003A23F0" w:rsidRDefault="00434CAC" w:rsidP="00454804">
      <w:pPr>
        <w:keepNext/>
        <w:rPr>
          <w:u w:val="single"/>
        </w:rPr>
      </w:pPr>
      <w:r w:rsidRPr="003A23F0">
        <w:rPr>
          <w:u w:val="single"/>
        </w:rPr>
        <w:t>Actors</w:t>
      </w:r>
    </w:p>
    <w:p w14:paraId="13E2DBB8" w14:textId="77777777" w:rsidR="00434CAC" w:rsidRDefault="00434CAC" w:rsidP="00F90A03">
      <w:pPr>
        <w:pStyle w:val="LB1"/>
      </w:pPr>
      <w:r>
        <w:t>Staff</w:t>
      </w:r>
    </w:p>
    <w:p w14:paraId="0113E702" w14:textId="77777777" w:rsidR="00434CAC" w:rsidRPr="00DF6567" w:rsidRDefault="00434CAC" w:rsidP="00434CAC"/>
    <w:p w14:paraId="7391DDF0" w14:textId="77777777" w:rsidR="00434CAC" w:rsidRPr="003A23F0" w:rsidRDefault="00434CAC" w:rsidP="00434CAC">
      <w:pPr>
        <w:rPr>
          <w:u w:val="single"/>
        </w:rPr>
      </w:pPr>
      <w:r w:rsidRPr="003A23F0">
        <w:rPr>
          <w:u w:val="single"/>
        </w:rPr>
        <w:t>Main Activities</w:t>
      </w:r>
    </w:p>
    <w:p w14:paraId="760E65B5" w14:textId="77777777" w:rsidR="005A5753" w:rsidRDefault="005A5753" w:rsidP="00E16D2D">
      <w:pPr>
        <w:pStyle w:val="LB1"/>
      </w:pPr>
      <w:r>
        <w:lastRenderedPageBreak/>
        <w:t>System must display cases assigned to Hearing Officer in case management software</w:t>
      </w:r>
    </w:p>
    <w:p w14:paraId="2160B755" w14:textId="77777777" w:rsidR="005A5753" w:rsidRDefault="005A5753" w:rsidP="00E16D2D">
      <w:pPr>
        <w:pStyle w:val="LB1"/>
      </w:pPr>
      <w:r>
        <w:t>System must allow Staff to search and select assigned hearing to issue a decision</w:t>
      </w:r>
    </w:p>
    <w:p w14:paraId="166604FC" w14:textId="77777777" w:rsidR="005A5753" w:rsidRDefault="005A5753" w:rsidP="00116640">
      <w:pPr>
        <w:pStyle w:val="LB1"/>
      </w:pPr>
      <w:r>
        <w:t>System must allow Staff to create decision in case management software</w:t>
      </w:r>
    </w:p>
    <w:p w14:paraId="62D9E780" w14:textId="77777777" w:rsidR="005A5753" w:rsidRDefault="005A5753" w:rsidP="00F82166">
      <w:pPr>
        <w:pStyle w:val="OB1"/>
      </w:pPr>
      <w:r>
        <w:t>Addresses</w:t>
      </w:r>
    </w:p>
    <w:p w14:paraId="5C92FCEE" w14:textId="57E3A15A" w:rsidR="005A5753" w:rsidRDefault="005A5753" w:rsidP="005A5753">
      <w:pPr>
        <w:pStyle w:val="SB1"/>
      </w:pPr>
      <w:r>
        <w:t xml:space="preserve">Edit </w:t>
      </w:r>
      <w:r w:rsidR="00DE059A">
        <w:t xml:space="preserve">and validate </w:t>
      </w:r>
      <w:r>
        <w:t>addresses if necessary</w:t>
      </w:r>
    </w:p>
    <w:p w14:paraId="0DFE11BA" w14:textId="77777777" w:rsidR="005A5753" w:rsidRDefault="005A5753" w:rsidP="005A5753">
      <w:pPr>
        <w:pStyle w:val="SB1"/>
      </w:pPr>
      <w:r>
        <w:t>Add recipients if necessary</w:t>
      </w:r>
    </w:p>
    <w:p w14:paraId="66FAC92F" w14:textId="77777777" w:rsidR="005A5753" w:rsidRDefault="005A5753" w:rsidP="00E16D2D">
      <w:pPr>
        <w:pStyle w:val="OB1"/>
      </w:pPr>
      <w:r>
        <w:t>Appearances</w:t>
      </w:r>
    </w:p>
    <w:p w14:paraId="3E050E41" w14:textId="15C65ABB" w:rsidR="005A5753" w:rsidRDefault="005A5753" w:rsidP="005A5753">
      <w:pPr>
        <w:pStyle w:val="SB1"/>
      </w:pPr>
      <w:r>
        <w:t xml:space="preserve">Import call ins/registrations from </w:t>
      </w:r>
      <w:r w:rsidR="009A077F">
        <w:t>the T</w:t>
      </w:r>
      <w:r>
        <w:t xml:space="preserve">elephone </w:t>
      </w:r>
      <w:r w:rsidR="009A077F">
        <w:t>C</w:t>
      </w:r>
      <w:r>
        <w:t>onferencing system</w:t>
      </w:r>
    </w:p>
    <w:p w14:paraId="6300A8F4" w14:textId="77777777" w:rsidR="005A5753" w:rsidRDefault="005A5753" w:rsidP="005A5753">
      <w:pPr>
        <w:pStyle w:val="SB1"/>
      </w:pPr>
      <w:r>
        <w:t>Add appearances</w:t>
      </w:r>
    </w:p>
    <w:p w14:paraId="2B5E9493" w14:textId="77777777" w:rsidR="005A5753" w:rsidRDefault="005A5753" w:rsidP="00E16D2D">
      <w:pPr>
        <w:pStyle w:val="OB1"/>
      </w:pPr>
      <w:r>
        <w:t xml:space="preserve">Case History </w:t>
      </w:r>
    </w:p>
    <w:p w14:paraId="66768F83" w14:textId="77777777" w:rsidR="005A5753" w:rsidRDefault="005A5753" w:rsidP="005A5753">
      <w:pPr>
        <w:pStyle w:val="SB1"/>
      </w:pPr>
      <w:r>
        <w:t>Automated insert of statements based on case criteria</w:t>
      </w:r>
    </w:p>
    <w:p w14:paraId="6D6C72B3" w14:textId="77777777" w:rsidR="005A5753" w:rsidRDefault="005A5753" w:rsidP="005A5753">
      <w:pPr>
        <w:pStyle w:val="SB1"/>
      </w:pPr>
      <w:r>
        <w:t>Insert statements using preformatted text templates including retrieving data from Tax system</w:t>
      </w:r>
    </w:p>
    <w:p w14:paraId="74791C42" w14:textId="77777777" w:rsidR="005A5753" w:rsidRDefault="005A5753" w:rsidP="00E16D2D">
      <w:pPr>
        <w:pStyle w:val="OB1"/>
      </w:pPr>
      <w:r>
        <w:t>Findings of fact</w:t>
      </w:r>
    </w:p>
    <w:p w14:paraId="183C0F41" w14:textId="77777777" w:rsidR="005A5753" w:rsidRDefault="005A5753" w:rsidP="005A5753">
      <w:pPr>
        <w:pStyle w:val="SB1"/>
      </w:pPr>
      <w:r>
        <w:t>Insert ad hoc text (e.g., narrative description of findings of fact)</w:t>
      </w:r>
    </w:p>
    <w:p w14:paraId="5321F64C" w14:textId="77777777" w:rsidR="005A5753" w:rsidRDefault="005A5753" w:rsidP="00E16D2D">
      <w:pPr>
        <w:pStyle w:val="OB1"/>
      </w:pPr>
      <w:r>
        <w:t>Issues</w:t>
      </w:r>
    </w:p>
    <w:p w14:paraId="58F2989A" w14:textId="77777777" w:rsidR="005A5753" w:rsidRDefault="005A5753" w:rsidP="005A5753">
      <w:pPr>
        <w:pStyle w:val="SB1"/>
      </w:pPr>
      <w:r>
        <w:t>Automated insert of statements based on case criteria (e.g., issue statements)</w:t>
      </w:r>
    </w:p>
    <w:p w14:paraId="6DD5215C" w14:textId="77777777" w:rsidR="005A5753" w:rsidRDefault="005A5753" w:rsidP="005A5753">
      <w:pPr>
        <w:pStyle w:val="SB1"/>
      </w:pPr>
      <w:r>
        <w:t>Insert statements using preformatted text</w:t>
      </w:r>
    </w:p>
    <w:p w14:paraId="246DC953" w14:textId="77777777" w:rsidR="005A5753" w:rsidRDefault="005A5753" w:rsidP="00E16D2D">
      <w:pPr>
        <w:pStyle w:val="OB1"/>
      </w:pPr>
      <w:r>
        <w:t>Conclusions</w:t>
      </w:r>
    </w:p>
    <w:p w14:paraId="22D13538" w14:textId="77777777" w:rsidR="005A5753" w:rsidRDefault="005A5753" w:rsidP="005A5753">
      <w:pPr>
        <w:pStyle w:val="SB1"/>
      </w:pPr>
      <w:r>
        <w:t>Automated insert of statements based on case criteria (e.g., sections of law)</w:t>
      </w:r>
    </w:p>
    <w:p w14:paraId="4EF3646F" w14:textId="1F2180EC" w:rsidR="005A5753" w:rsidRDefault="005A5753" w:rsidP="005A5753">
      <w:pPr>
        <w:pStyle w:val="SB1"/>
      </w:pPr>
      <w:r>
        <w:t>Insert statements using preformatted text (e.g., sections of law)</w:t>
      </w:r>
    </w:p>
    <w:p w14:paraId="6A60CDEA" w14:textId="77777777" w:rsidR="005A5753" w:rsidRDefault="005A5753" w:rsidP="005A5753">
      <w:pPr>
        <w:pStyle w:val="SB1"/>
      </w:pPr>
      <w:r>
        <w:t>Insert ad hoc text (e.g., narrative description of conclusions of law)</w:t>
      </w:r>
    </w:p>
    <w:p w14:paraId="1EC870D0" w14:textId="77777777" w:rsidR="005A5753" w:rsidRDefault="005A5753" w:rsidP="00E16D2D">
      <w:pPr>
        <w:pStyle w:val="OB1"/>
      </w:pPr>
      <w:r>
        <w:t xml:space="preserve">Decision </w:t>
      </w:r>
    </w:p>
    <w:p w14:paraId="0A9C9722" w14:textId="77777777" w:rsidR="005A5753" w:rsidRDefault="005A5753" w:rsidP="005A5753">
      <w:pPr>
        <w:pStyle w:val="SB1"/>
      </w:pPr>
      <w:r>
        <w:t>Automated insert of statements based on case criteria (e.g., decision rulings)</w:t>
      </w:r>
    </w:p>
    <w:p w14:paraId="345EB657" w14:textId="77777777" w:rsidR="005A5753" w:rsidRDefault="005A5753" w:rsidP="005A5753">
      <w:pPr>
        <w:pStyle w:val="SB1"/>
      </w:pPr>
      <w:r>
        <w:t>Insert statements using preformatted text (e.g., decision rulings)</w:t>
      </w:r>
    </w:p>
    <w:p w14:paraId="3085E9EB" w14:textId="77777777" w:rsidR="005A5753" w:rsidRDefault="005A5753" w:rsidP="005A5753">
      <w:pPr>
        <w:pStyle w:val="SB1"/>
      </w:pPr>
      <w:r>
        <w:t>Insert ad hoc text (e.g., customized decision ruling), may require supervisor approval</w:t>
      </w:r>
    </w:p>
    <w:p w14:paraId="1C6BACB2" w14:textId="27468D21" w:rsidR="005A5753" w:rsidRDefault="0023311B" w:rsidP="00E16D2D">
      <w:pPr>
        <w:pStyle w:val="LB1"/>
      </w:pPr>
      <w:r>
        <w:t>System must d</w:t>
      </w:r>
      <w:r w:rsidR="005A5753">
        <w:t>isplay complete decision and allow editing of all sections</w:t>
      </w:r>
    </w:p>
    <w:p w14:paraId="69CCF7B6" w14:textId="5A5B0E0E" w:rsidR="005A5753" w:rsidRDefault="0023311B" w:rsidP="00E16D2D">
      <w:pPr>
        <w:pStyle w:val="LB1"/>
      </w:pPr>
      <w:r>
        <w:t>System must s</w:t>
      </w:r>
      <w:r w:rsidR="005A5753">
        <w:t>ubmit decision for mailing</w:t>
      </w:r>
    </w:p>
    <w:p w14:paraId="7747F328" w14:textId="00FA0878" w:rsidR="005A5753" w:rsidRDefault="0023311B" w:rsidP="00116640">
      <w:pPr>
        <w:pStyle w:val="LB1"/>
      </w:pPr>
      <w:r>
        <w:t>System must a</w:t>
      </w:r>
      <w:r w:rsidR="005A5753">
        <w:t>dd mail date and appeal deadline</w:t>
      </w:r>
    </w:p>
    <w:p w14:paraId="1E4830E8" w14:textId="7F17EAF3" w:rsidR="005A5753" w:rsidRDefault="0023311B" w:rsidP="00F82166">
      <w:pPr>
        <w:pStyle w:val="LB1"/>
      </w:pPr>
      <w:r>
        <w:t>System must t</w:t>
      </w:r>
      <w:r w:rsidR="005A5753">
        <w:t>ransmit decision to state printing agency or local printers</w:t>
      </w:r>
    </w:p>
    <w:p w14:paraId="5288F2FF" w14:textId="2477FEEF" w:rsidR="005A5753" w:rsidRDefault="0023311B" w:rsidP="00F82166">
      <w:pPr>
        <w:pStyle w:val="LB1"/>
      </w:pPr>
      <w:r>
        <w:t xml:space="preserve">System must include </w:t>
      </w:r>
      <w:r w:rsidR="00A239E8">
        <w:t>English and Spanish</w:t>
      </w:r>
      <w:r w:rsidRPr="0023311B">
        <w:t xml:space="preserve"> </w:t>
      </w:r>
      <w:r>
        <w:t>templates</w:t>
      </w:r>
    </w:p>
    <w:p w14:paraId="6ADEFBBF" w14:textId="77B6320C" w:rsidR="005A5753" w:rsidRDefault="0023311B">
      <w:pPr>
        <w:pStyle w:val="LB1"/>
      </w:pPr>
      <w:r>
        <w:t>System must u</w:t>
      </w:r>
      <w:r w:rsidR="005A5753">
        <w:t xml:space="preserve">pload into </w:t>
      </w:r>
      <w:r w:rsidR="009450CD">
        <w:t>CMS</w:t>
      </w:r>
      <w:r>
        <w:t xml:space="preserve"> and </w:t>
      </w:r>
      <w:r w:rsidR="005A5753">
        <w:t>self-service portals</w:t>
      </w:r>
    </w:p>
    <w:p w14:paraId="35954B4A" w14:textId="77777777" w:rsidR="0023311B" w:rsidRDefault="0023311B">
      <w:pPr>
        <w:pStyle w:val="LB1"/>
      </w:pPr>
      <w:r>
        <w:t xml:space="preserve">System/Staff must print, fold, and stuff envelopes </w:t>
      </w:r>
    </w:p>
    <w:p w14:paraId="738650E0" w14:textId="157D9A91" w:rsidR="005A5753" w:rsidRDefault="0023311B">
      <w:pPr>
        <w:pStyle w:val="LB1"/>
      </w:pPr>
      <w:r>
        <w:lastRenderedPageBreak/>
        <w:t>System/Staff must m</w:t>
      </w:r>
      <w:r w:rsidR="005A5753">
        <w:t>ail decision based on business rules</w:t>
      </w:r>
    </w:p>
    <w:p w14:paraId="02D9A34E" w14:textId="77777777" w:rsidR="005A5753" w:rsidRDefault="005A5753" w:rsidP="005A5753"/>
    <w:p w14:paraId="725A999C" w14:textId="5305D10C" w:rsidR="005A5753" w:rsidRDefault="005A5753" w:rsidP="005A5753">
      <w:pPr>
        <w:rPr>
          <w:u w:val="single"/>
        </w:rPr>
      </w:pPr>
      <w:r w:rsidRPr="005A5753">
        <w:rPr>
          <w:u w:val="single"/>
        </w:rPr>
        <w:t>Alternate Activities and Special Cases</w:t>
      </w:r>
    </w:p>
    <w:p w14:paraId="0DFB9A51" w14:textId="77777777" w:rsidR="004F7DCA" w:rsidRDefault="004F7DCA" w:rsidP="004F7DCA">
      <w:r>
        <w:t>System must support the following alternate activities and special cases:</w:t>
      </w:r>
    </w:p>
    <w:p w14:paraId="18C3F14F" w14:textId="77777777" w:rsidR="005A5753" w:rsidRDefault="005A5753" w:rsidP="00E16D2D">
      <w:pPr>
        <w:pStyle w:val="LB1"/>
      </w:pPr>
      <w:r>
        <w:t>Form decisions (ability to issue a standardized decision with minimal data entry)</w:t>
      </w:r>
    </w:p>
    <w:p w14:paraId="300D2304" w14:textId="77777777" w:rsidR="005A5753" w:rsidRDefault="005A5753" w:rsidP="00E16D2D">
      <w:pPr>
        <w:pStyle w:val="OB1"/>
      </w:pPr>
      <w:r>
        <w:t>Non-appearance</w:t>
      </w:r>
    </w:p>
    <w:p w14:paraId="03051697" w14:textId="77777777" w:rsidR="005A5753" w:rsidRDefault="005A5753" w:rsidP="00116640">
      <w:pPr>
        <w:pStyle w:val="OB1"/>
      </w:pPr>
      <w:r>
        <w:t>Withdrawal</w:t>
      </w:r>
    </w:p>
    <w:p w14:paraId="754052ED" w14:textId="77777777" w:rsidR="005A5753" w:rsidRDefault="005A5753" w:rsidP="00F82166">
      <w:pPr>
        <w:pStyle w:val="OB1"/>
      </w:pPr>
      <w:r>
        <w:t>Timeliness</w:t>
      </w:r>
    </w:p>
    <w:p w14:paraId="3FBA5785" w14:textId="5BE2D967" w:rsidR="005A5753" w:rsidRDefault="005A5753" w:rsidP="00F82166">
      <w:pPr>
        <w:pStyle w:val="LB1"/>
      </w:pPr>
      <w:r>
        <w:t>Issue On-The-Record decisions</w:t>
      </w:r>
    </w:p>
    <w:p w14:paraId="6ABC58D0" w14:textId="77777777" w:rsidR="005A5753" w:rsidRDefault="005A5753">
      <w:pPr>
        <w:pStyle w:val="LB1"/>
      </w:pPr>
      <w:r>
        <w:t xml:space="preserve">Pulling decisions </w:t>
      </w:r>
    </w:p>
    <w:p w14:paraId="56A8190D" w14:textId="77777777" w:rsidR="005A5753" w:rsidRDefault="005A5753">
      <w:pPr>
        <w:pStyle w:val="OB1"/>
      </w:pPr>
      <w:r>
        <w:t>Removing a decision from printing/mailing/publishing queue</w:t>
      </w:r>
    </w:p>
    <w:p w14:paraId="09D5DA5F" w14:textId="77777777" w:rsidR="005A5753" w:rsidRDefault="005A5753">
      <w:pPr>
        <w:pStyle w:val="OB1"/>
      </w:pPr>
      <w:r>
        <w:t>Roll back data update</w:t>
      </w:r>
    </w:p>
    <w:p w14:paraId="6C272F66" w14:textId="77777777" w:rsidR="005A5753" w:rsidRDefault="005A5753">
      <w:pPr>
        <w:pStyle w:val="OB1"/>
      </w:pPr>
      <w:r>
        <w:t>Delete inserted document(s)</w:t>
      </w:r>
    </w:p>
    <w:p w14:paraId="3652416F" w14:textId="77777777" w:rsidR="005A5753" w:rsidRDefault="005A5753">
      <w:pPr>
        <w:pStyle w:val="LB1"/>
      </w:pPr>
      <w:r>
        <w:t>Decision review (e.g., for new hires or complicated issues)</w:t>
      </w:r>
    </w:p>
    <w:p w14:paraId="0CA51007" w14:textId="77777777" w:rsidR="005A5753" w:rsidRDefault="005A5753">
      <w:pPr>
        <w:pStyle w:val="LB1"/>
      </w:pPr>
      <w:r>
        <w:t>Foreign mail</w:t>
      </w:r>
    </w:p>
    <w:p w14:paraId="336481B5" w14:textId="77777777" w:rsidR="005A5753" w:rsidRDefault="005A5753">
      <w:pPr>
        <w:pStyle w:val="LB1"/>
      </w:pPr>
      <w:r>
        <w:t>Interoffice mail</w:t>
      </w:r>
    </w:p>
    <w:p w14:paraId="31D0DA31" w14:textId="77777777" w:rsidR="005A5753" w:rsidRDefault="005A5753">
      <w:pPr>
        <w:pStyle w:val="LB1"/>
      </w:pPr>
      <w:r>
        <w:t>Corrected decision</w:t>
      </w:r>
    </w:p>
    <w:p w14:paraId="344F50AF" w14:textId="22B1572A" w:rsidR="005A5753" w:rsidRDefault="005A5753">
      <w:pPr>
        <w:pStyle w:val="LB1"/>
      </w:pPr>
      <w:r>
        <w:t>Hearing officers using typists</w:t>
      </w:r>
    </w:p>
    <w:p w14:paraId="61D71CF8" w14:textId="77777777" w:rsidR="005A5753" w:rsidRDefault="005A5753" w:rsidP="005A5753"/>
    <w:p w14:paraId="454E0930" w14:textId="324A6CFC" w:rsidR="005A5753" w:rsidRDefault="005A5753" w:rsidP="005A5753">
      <w:pPr>
        <w:pStyle w:val="Heading4"/>
      </w:pPr>
      <w:r>
        <w:tab/>
      </w:r>
      <w:r w:rsidR="00514126">
        <w:t>Record</w:t>
      </w:r>
      <w:r>
        <w:t xml:space="preserve"> Decision</w:t>
      </w:r>
    </w:p>
    <w:p w14:paraId="5DC357D8" w14:textId="3259157C" w:rsidR="005A5753" w:rsidRPr="00B0723C" w:rsidRDefault="00514126" w:rsidP="005A5753">
      <w:r>
        <w:t>This process includes all activities required to record a decision</w:t>
      </w:r>
      <w:r w:rsidRPr="00EE5A48">
        <w:t xml:space="preserve"> </w:t>
      </w:r>
      <w:r>
        <w:t>in the UI system</w:t>
      </w:r>
      <w:r w:rsidR="005A5753">
        <w:t>.</w:t>
      </w:r>
    </w:p>
    <w:p w14:paraId="2A0DD868" w14:textId="77777777" w:rsidR="005A5753" w:rsidRPr="003A23F0" w:rsidRDefault="005A5753" w:rsidP="005A5753">
      <w:pPr>
        <w:rPr>
          <w:u w:val="single"/>
        </w:rPr>
      </w:pPr>
      <w:r w:rsidRPr="003A23F0">
        <w:rPr>
          <w:u w:val="single"/>
        </w:rPr>
        <w:t>Actors</w:t>
      </w:r>
    </w:p>
    <w:p w14:paraId="7033C693" w14:textId="3CA08060" w:rsidR="005A5753" w:rsidRDefault="005A5753" w:rsidP="00E16D2D">
      <w:pPr>
        <w:pStyle w:val="LB1"/>
      </w:pPr>
      <w:r>
        <w:t>Staff</w:t>
      </w:r>
    </w:p>
    <w:p w14:paraId="7469A602" w14:textId="01422457" w:rsidR="00514126" w:rsidRDefault="00514126" w:rsidP="00E16D2D">
      <w:pPr>
        <w:pStyle w:val="OB1"/>
      </w:pPr>
      <w:r>
        <w:t>Tax</w:t>
      </w:r>
    </w:p>
    <w:p w14:paraId="6178DA5F" w14:textId="7460B78D" w:rsidR="00514126" w:rsidRDefault="00514126" w:rsidP="00116640">
      <w:pPr>
        <w:pStyle w:val="OB1"/>
      </w:pPr>
      <w:r>
        <w:t>Special Hearings</w:t>
      </w:r>
    </w:p>
    <w:p w14:paraId="0D55E978" w14:textId="77777777" w:rsidR="005A5753" w:rsidRPr="00DF6567" w:rsidRDefault="005A5753" w:rsidP="005A5753"/>
    <w:p w14:paraId="33EA6202" w14:textId="77777777" w:rsidR="005A5753" w:rsidRPr="003A23F0" w:rsidRDefault="005A5753" w:rsidP="005A5753">
      <w:pPr>
        <w:rPr>
          <w:u w:val="single"/>
        </w:rPr>
      </w:pPr>
      <w:r w:rsidRPr="003A23F0">
        <w:rPr>
          <w:u w:val="single"/>
        </w:rPr>
        <w:t>Main Activities</w:t>
      </w:r>
    </w:p>
    <w:p w14:paraId="229A83B4" w14:textId="05E0A983" w:rsidR="00514126" w:rsidRDefault="00514126" w:rsidP="00E16D2D">
      <w:pPr>
        <w:pStyle w:val="LB1"/>
      </w:pPr>
      <w:r>
        <w:t>System must automatically capture</w:t>
      </w:r>
      <w:r w:rsidR="000B76AB">
        <w:t xml:space="preserve"> and record</w:t>
      </w:r>
      <w:r>
        <w:t xml:space="preserve"> decision/hearing properties (contingent on workflow approval in various departments)</w:t>
      </w:r>
    </w:p>
    <w:p w14:paraId="1CBB5195" w14:textId="77777777" w:rsidR="00514126" w:rsidRDefault="00514126" w:rsidP="00E16D2D">
      <w:pPr>
        <w:pStyle w:val="OB1"/>
      </w:pPr>
      <w:r>
        <w:t>Appearances</w:t>
      </w:r>
    </w:p>
    <w:p w14:paraId="593575A7" w14:textId="77777777" w:rsidR="00514126" w:rsidRDefault="00514126" w:rsidP="00116640">
      <w:pPr>
        <w:pStyle w:val="OB1"/>
      </w:pPr>
      <w:r>
        <w:t>Recording length</w:t>
      </w:r>
    </w:p>
    <w:p w14:paraId="72EF6E2B" w14:textId="77777777" w:rsidR="00514126" w:rsidRDefault="00514126" w:rsidP="00F82166">
      <w:pPr>
        <w:pStyle w:val="OB1"/>
      </w:pPr>
      <w:r>
        <w:t>Issues</w:t>
      </w:r>
    </w:p>
    <w:p w14:paraId="6662540A" w14:textId="77777777" w:rsidR="00514126" w:rsidRDefault="00514126" w:rsidP="00F82166">
      <w:pPr>
        <w:pStyle w:val="OB1"/>
      </w:pPr>
      <w:r>
        <w:t xml:space="preserve">Ruling </w:t>
      </w:r>
    </w:p>
    <w:p w14:paraId="653EFD8A" w14:textId="77777777" w:rsidR="00514126" w:rsidRDefault="00514126" w:rsidP="00514126">
      <w:pPr>
        <w:pStyle w:val="SB1"/>
      </w:pPr>
      <w:r>
        <w:t>Abatement</w:t>
      </w:r>
    </w:p>
    <w:p w14:paraId="3C918547" w14:textId="77777777" w:rsidR="00514126" w:rsidRDefault="00514126" w:rsidP="00514126">
      <w:pPr>
        <w:pStyle w:val="SB1"/>
      </w:pPr>
      <w:r>
        <w:t>Employee/independent contractor</w:t>
      </w:r>
    </w:p>
    <w:p w14:paraId="35B2CF15" w14:textId="77777777" w:rsidR="00514126" w:rsidRDefault="00514126" w:rsidP="00514126">
      <w:pPr>
        <w:pStyle w:val="SB1"/>
      </w:pPr>
      <w:r>
        <w:t>Tax rate protests</w:t>
      </w:r>
    </w:p>
    <w:p w14:paraId="27BF2DC0" w14:textId="77777777" w:rsidR="00514126" w:rsidRDefault="00514126" w:rsidP="00514126">
      <w:pPr>
        <w:pStyle w:val="SB1"/>
      </w:pPr>
      <w:r>
        <w:t>Date of liability</w:t>
      </w:r>
    </w:p>
    <w:p w14:paraId="6C4ADF69" w14:textId="77777777" w:rsidR="00514126" w:rsidRDefault="00514126" w:rsidP="00514126">
      <w:pPr>
        <w:pStyle w:val="SB1"/>
      </w:pPr>
      <w:r>
        <w:lastRenderedPageBreak/>
        <w:t>Etc.</w:t>
      </w:r>
    </w:p>
    <w:p w14:paraId="0F69B5FC" w14:textId="77777777" w:rsidR="00514126" w:rsidRPr="00514126" w:rsidRDefault="00514126" w:rsidP="00E16D2D">
      <w:pPr>
        <w:pStyle w:val="OB1"/>
      </w:pPr>
      <w:r w:rsidRPr="00514126">
        <w:t>Decision type</w:t>
      </w:r>
    </w:p>
    <w:p w14:paraId="65773B51" w14:textId="77777777" w:rsidR="00514126" w:rsidRPr="00514126" w:rsidRDefault="00514126" w:rsidP="00E16D2D">
      <w:pPr>
        <w:pStyle w:val="OB1"/>
      </w:pPr>
      <w:r w:rsidRPr="00514126">
        <w:t>Hearing officer</w:t>
      </w:r>
    </w:p>
    <w:p w14:paraId="63602AC6" w14:textId="6DC974A3" w:rsidR="00514126" w:rsidRPr="00514126" w:rsidRDefault="00514126" w:rsidP="00116640">
      <w:pPr>
        <w:pStyle w:val="OB1"/>
      </w:pPr>
      <w:r w:rsidRPr="00514126">
        <w:t>Date submitted and mailed</w:t>
      </w:r>
    </w:p>
    <w:p w14:paraId="7B55CCA3" w14:textId="77777777" w:rsidR="00514126" w:rsidRDefault="00514126" w:rsidP="00F82166">
      <w:pPr>
        <w:pStyle w:val="LB1"/>
      </w:pPr>
      <w:r>
        <w:t>System must allow Staff to manually correct decision properties if necessary</w:t>
      </w:r>
    </w:p>
    <w:p w14:paraId="259879D6" w14:textId="77777777" w:rsidR="00514126" w:rsidRDefault="00514126" w:rsidP="00F82166">
      <w:pPr>
        <w:pStyle w:val="LB1"/>
      </w:pPr>
      <w:r>
        <w:t>System must notify Appeals of decisions with exclusions so Appeals can take appropriate action</w:t>
      </w:r>
    </w:p>
    <w:p w14:paraId="6586BA84" w14:textId="77777777" w:rsidR="00514126" w:rsidRDefault="00514126">
      <w:pPr>
        <w:pStyle w:val="OB1"/>
      </w:pPr>
      <w:r>
        <w:t>System redacts identifying information and includes redacted attachment for Appeals use</w:t>
      </w:r>
    </w:p>
    <w:p w14:paraId="7CAE477F" w14:textId="0B634F10" w:rsidR="00514126" w:rsidRDefault="00F67CDB">
      <w:pPr>
        <w:pStyle w:val="OB1"/>
      </w:pPr>
      <w:r>
        <w:t xml:space="preserve">System must allow Staff to </w:t>
      </w:r>
      <w:r w:rsidR="00514126">
        <w:t>manually redact identifying information</w:t>
      </w:r>
    </w:p>
    <w:p w14:paraId="44F9C268" w14:textId="77777777" w:rsidR="00514126" w:rsidRDefault="00514126">
      <w:pPr>
        <w:pStyle w:val="LB1"/>
      </w:pPr>
      <w:r>
        <w:t>System must notify Tax of decisions issued each docket with all attachments available</w:t>
      </w:r>
    </w:p>
    <w:p w14:paraId="3CA3DF95" w14:textId="77777777" w:rsidR="00514126" w:rsidRDefault="00514126">
      <w:pPr>
        <w:pStyle w:val="LB1"/>
      </w:pPr>
      <w:r>
        <w:t xml:space="preserve">System must use decisions to take appropriate action to process adjustments based on business rules, including but not limited to: </w:t>
      </w:r>
    </w:p>
    <w:p w14:paraId="75C51BC3" w14:textId="77777777" w:rsidR="00514126" w:rsidRDefault="00514126">
      <w:pPr>
        <w:pStyle w:val="OB1"/>
      </w:pPr>
      <w:r>
        <w:t>Tax account adjustments</w:t>
      </w:r>
    </w:p>
    <w:p w14:paraId="25C6F05E" w14:textId="77777777" w:rsidR="00514126" w:rsidRDefault="00514126">
      <w:pPr>
        <w:pStyle w:val="OB1"/>
      </w:pPr>
      <w:r>
        <w:t>Etc.</w:t>
      </w:r>
    </w:p>
    <w:p w14:paraId="5C00089C" w14:textId="77777777" w:rsidR="00514126" w:rsidRDefault="00514126" w:rsidP="00514126"/>
    <w:p w14:paraId="085726EF" w14:textId="1677C2D2" w:rsidR="00514126" w:rsidRDefault="00514126" w:rsidP="00514126">
      <w:pPr>
        <w:rPr>
          <w:u w:val="single"/>
        </w:rPr>
      </w:pPr>
      <w:r w:rsidRPr="00514126">
        <w:rPr>
          <w:u w:val="single"/>
        </w:rPr>
        <w:t>Alternate Activities and Special Cases</w:t>
      </w:r>
    </w:p>
    <w:p w14:paraId="3353AD1D" w14:textId="77777777" w:rsidR="004F7DCA" w:rsidRDefault="004F7DCA" w:rsidP="004F7DCA">
      <w:r>
        <w:t>System must support the following alternate activities and special cases:</w:t>
      </w:r>
    </w:p>
    <w:p w14:paraId="127D65A2" w14:textId="77777777" w:rsidR="00514126" w:rsidRDefault="00514126" w:rsidP="00E16D2D">
      <w:pPr>
        <w:pStyle w:val="LB1"/>
      </w:pPr>
      <w:r>
        <w:t>Hearing officer using typist (record date dictated and date typed)</w:t>
      </w:r>
    </w:p>
    <w:p w14:paraId="6FB0C447" w14:textId="77777777" w:rsidR="00514126" w:rsidRDefault="00514126" w:rsidP="00E16D2D">
      <w:pPr>
        <w:pStyle w:val="LB1"/>
      </w:pPr>
      <w:r>
        <w:t>Corrected decision</w:t>
      </w:r>
    </w:p>
    <w:p w14:paraId="6B66BC1F" w14:textId="77777777" w:rsidR="00514126" w:rsidRDefault="00514126" w:rsidP="00514126"/>
    <w:p w14:paraId="4EFD182B" w14:textId="68084E0D" w:rsidR="00434CAC" w:rsidRDefault="00434CAC" w:rsidP="00434CAC">
      <w:pPr>
        <w:pStyle w:val="Heading4"/>
      </w:pPr>
      <w:r>
        <w:tab/>
      </w:r>
      <w:r w:rsidR="00514126">
        <w:t>Respond to Inquiries</w:t>
      </w:r>
    </w:p>
    <w:p w14:paraId="5E950ABA" w14:textId="6493E220" w:rsidR="00434CAC" w:rsidRPr="00B0723C" w:rsidRDefault="00F07C44" w:rsidP="00434CAC">
      <w:r>
        <w:t>This process includes all activities required to respond to inquiries</w:t>
      </w:r>
      <w:r w:rsidR="00434CAC">
        <w:t>.</w:t>
      </w:r>
    </w:p>
    <w:p w14:paraId="16C96AFF" w14:textId="77777777" w:rsidR="00434CAC" w:rsidRPr="003A23F0" w:rsidRDefault="00434CAC" w:rsidP="00434CAC">
      <w:pPr>
        <w:rPr>
          <w:u w:val="single"/>
        </w:rPr>
      </w:pPr>
      <w:r w:rsidRPr="003A23F0">
        <w:rPr>
          <w:u w:val="single"/>
        </w:rPr>
        <w:t>Actors</w:t>
      </w:r>
    </w:p>
    <w:p w14:paraId="481A81EB" w14:textId="77777777" w:rsidR="00434CAC" w:rsidRDefault="00434CAC" w:rsidP="00E16D2D">
      <w:pPr>
        <w:pStyle w:val="LB1"/>
      </w:pPr>
      <w:r>
        <w:t>Staff</w:t>
      </w:r>
    </w:p>
    <w:p w14:paraId="3BF6E093" w14:textId="77777777" w:rsidR="00434CAC" w:rsidRPr="00DF6567" w:rsidRDefault="00434CAC" w:rsidP="00434CAC"/>
    <w:p w14:paraId="091236D4" w14:textId="77777777" w:rsidR="00434CAC" w:rsidRPr="003A23F0" w:rsidRDefault="00434CAC" w:rsidP="00434CAC">
      <w:pPr>
        <w:rPr>
          <w:u w:val="single"/>
        </w:rPr>
      </w:pPr>
      <w:r w:rsidRPr="003A23F0">
        <w:rPr>
          <w:u w:val="single"/>
        </w:rPr>
        <w:t>Main Activities</w:t>
      </w:r>
    </w:p>
    <w:p w14:paraId="40C09774" w14:textId="0DC15629" w:rsidR="00F07C44" w:rsidRDefault="00F07C44" w:rsidP="00E16D2D">
      <w:pPr>
        <w:pStyle w:val="LB1"/>
      </w:pPr>
      <w:r>
        <w:t xml:space="preserve">System must </w:t>
      </w:r>
      <w:r w:rsidR="005428BA">
        <w:t xml:space="preserve">allow </w:t>
      </w:r>
      <w:r>
        <w:t xml:space="preserve">Staff to receive inquiry </w:t>
      </w:r>
    </w:p>
    <w:p w14:paraId="377F248B" w14:textId="77777777" w:rsidR="00F07C44" w:rsidRDefault="00F07C44" w:rsidP="00E16D2D">
      <w:pPr>
        <w:pStyle w:val="OB1"/>
      </w:pPr>
      <w:r>
        <w:t>Phone</w:t>
      </w:r>
    </w:p>
    <w:p w14:paraId="23A9B573" w14:textId="77777777" w:rsidR="00F07C44" w:rsidRDefault="00F07C44" w:rsidP="00116640">
      <w:pPr>
        <w:pStyle w:val="OB1"/>
      </w:pPr>
      <w:r>
        <w:t>Electronic (Email, chat, or secure messaging)</w:t>
      </w:r>
    </w:p>
    <w:p w14:paraId="40A2C529" w14:textId="77777777" w:rsidR="00F07C44" w:rsidRDefault="00F07C44" w:rsidP="00F07C44">
      <w:pPr>
        <w:pStyle w:val="SB1"/>
      </w:pPr>
      <w:r>
        <w:t>Forms or templates available to capture identifying information</w:t>
      </w:r>
    </w:p>
    <w:p w14:paraId="3F727B34" w14:textId="77777777" w:rsidR="00F07C44" w:rsidRDefault="00F07C44" w:rsidP="00E16D2D">
      <w:pPr>
        <w:pStyle w:val="OB1"/>
      </w:pPr>
      <w:r>
        <w:t>Mail</w:t>
      </w:r>
    </w:p>
    <w:p w14:paraId="25ED5468" w14:textId="77777777" w:rsidR="00F07C44" w:rsidRDefault="00F07C44" w:rsidP="00E16D2D">
      <w:pPr>
        <w:pStyle w:val="OB1"/>
      </w:pPr>
      <w:r>
        <w:t xml:space="preserve">Verify Employer identifying information </w:t>
      </w:r>
    </w:p>
    <w:p w14:paraId="1CCBDD72" w14:textId="277CACBE" w:rsidR="00F07C44" w:rsidRDefault="00F07C44" w:rsidP="00116640">
      <w:pPr>
        <w:pStyle w:val="LB1"/>
      </w:pPr>
      <w:r>
        <w:t xml:space="preserve">System must </w:t>
      </w:r>
      <w:r w:rsidR="005428BA">
        <w:t xml:space="preserve">allow </w:t>
      </w:r>
      <w:r>
        <w:t xml:space="preserve">Staff to research case information </w:t>
      </w:r>
    </w:p>
    <w:p w14:paraId="53FB12B7" w14:textId="77777777" w:rsidR="00F07C44" w:rsidRDefault="00F07C44" w:rsidP="00F82166">
      <w:pPr>
        <w:pStyle w:val="LB1"/>
      </w:pPr>
      <w:r>
        <w:t>System must allow Staff to respond to inquiries</w:t>
      </w:r>
    </w:p>
    <w:p w14:paraId="6209C813" w14:textId="77777777" w:rsidR="00F07C44" w:rsidRDefault="00F07C44" w:rsidP="00F82166">
      <w:pPr>
        <w:pStyle w:val="OB1"/>
      </w:pPr>
      <w:r>
        <w:t>System must record summary of response tied to an Employer and associated with a Case</w:t>
      </w:r>
    </w:p>
    <w:p w14:paraId="2C4D79B0" w14:textId="77777777" w:rsidR="00F07C44" w:rsidRDefault="00F07C44" w:rsidP="00F07C44">
      <w:pPr>
        <w:pStyle w:val="SB1"/>
      </w:pPr>
      <w:r>
        <w:lastRenderedPageBreak/>
        <w:t>Email</w:t>
      </w:r>
    </w:p>
    <w:p w14:paraId="33422749" w14:textId="77777777" w:rsidR="00F07C44" w:rsidRDefault="00F07C44" w:rsidP="00F07C44">
      <w:pPr>
        <w:pStyle w:val="SB1"/>
      </w:pPr>
      <w:r>
        <w:t>Phone number</w:t>
      </w:r>
    </w:p>
    <w:p w14:paraId="0BE9E6E7" w14:textId="77777777" w:rsidR="00F07C44" w:rsidRDefault="00F07C44" w:rsidP="00F07C44">
      <w:pPr>
        <w:pStyle w:val="SB1"/>
      </w:pPr>
      <w:r>
        <w:t>Time</w:t>
      </w:r>
    </w:p>
    <w:p w14:paraId="274BD50E" w14:textId="77777777" w:rsidR="00F07C44" w:rsidRDefault="00F07C44" w:rsidP="00F07C44">
      <w:pPr>
        <w:pStyle w:val="SB1"/>
      </w:pPr>
      <w:r>
        <w:t>Date</w:t>
      </w:r>
    </w:p>
    <w:p w14:paraId="23394936" w14:textId="77777777" w:rsidR="00F07C44" w:rsidRDefault="00F07C44" w:rsidP="00F07C44">
      <w:pPr>
        <w:pStyle w:val="SB1"/>
      </w:pPr>
      <w:r>
        <w:t>Topic</w:t>
      </w:r>
    </w:p>
    <w:p w14:paraId="67BA6F43" w14:textId="77777777" w:rsidR="00F07C44" w:rsidRDefault="00F07C44" w:rsidP="00F07C44">
      <w:pPr>
        <w:pStyle w:val="SB1"/>
      </w:pPr>
      <w:r>
        <w:t>Staff member</w:t>
      </w:r>
    </w:p>
    <w:p w14:paraId="764B4497" w14:textId="77777777" w:rsidR="00F07C44" w:rsidRDefault="00F07C44" w:rsidP="00F07C44">
      <w:pPr>
        <w:pStyle w:val="SB1"/>
      </w:pPr>
      <w:r>
        <w:t>Etc.</w:t>
      </w:r>
    </w:p>
    <w:p w14:paraId="40933A3C" w14:textId="4600BA22" w:rsidR="00F07C44" w:rsidRDefault="00F07C44" w:rsidP="00E16D2D">
      <w:pPr>
        <w:pStyle w:val="OB1"/>
      </w:pPr>
      <w:r>
        <w:t xml:space="preserve">Respond based on requestor’s </w:t>
      </w:r>
      <w:r w:rsidR="00BC7BCC">
        <w:t xml:space="preserve">preferred communication method </w:t>
      </w:r>
    </w:p>
    <w:p w14:paraId="6B2DE07E" w14:textId="77777777" w:rsidR="00F07C44" w:rsidRDefault="00F07C44" w:rsidP="00E16D2D">
      <w:pPr>
        <w:pStyle w:val="OB1"/>
      </w:pPr>
      <w:r>
        <w:t>Display/Insert context sensitive statements using preformatted text (e.g., how to file an appeal) depending on the contact method, editable by Business Staff</w:t>
      </w:r>
    </w:p>
    <w:p w14:paraId="5A0A33AA" w14:textId="77777777" w:rsidR="00F07C44" w:rsidRDefault="00F07C44" w:rsidP="00116640">
      <w:pPr>
        <w:pStyle w:val="LB1"/>
      </w:pPr>
      <w:r>
        <w:t>S</w:t>
      </w:r>
      <w:r w:rsidRPr="005D0497">
        <w:t>ystem must provide the ability to notify</w:t>
      </w:r>
      <w:r>
        <w:t xml:space="preserve"> all parties of a status change</w:t>
      </w:r>
    </w:p>
    <w:p w14:paraId="546CDE31" w14:textId="77777777" w:rsidR="00F07C44" w:rsidRDefault="00F07C44" w:rsidP="00F82166">
      <w:pPr>
        <w:pStyle w:val="LB1"/>
      </w:pPr>
      <w:r>
        <w:t xml:space="preserve">Route inquiries to appropriate department/Staff </w:t>
      </w:r>
    </w:p>
    <w:p w14:paraId="6F94EB0B" w14:textId="77777777" w:rsidR="00F07C44" w:rsidRDefault="00F07C44" w:rsidP="00F82166">
      <w:pPr>
        <w:pStyle w:val="OB1"/>
      </w:pPr>
      <w:r>
        <w:t>Lower Authority</w:t>
      </w:r>
    </w:p>
    <w:p w14:paraId="3F09FEC1" w14:textId="77777777" w:rsidR="00F07C44" w:rsidRDefault="00F07C44">
      <w:pPr>
        <w:pStyle w:val="OB1"/>
      </w:pPr>
      <w:r>
        <w:t>Higher Authority</w:t>
      </w:r>
    </w:p>
    <w:p w14:paraId="7D7F1265" w14:textId="33EB29C5" w:rsidR="00F07C44" w:rsidRDefault="00F07C44">
      <w:pPr>
        <w:pStyle w:val="OB1"/>
      </w:pPr>
      <w:r>
        <w:t>T</w:t>
      </w:r>
      <w:r w:rsidR="00D51C30">
        <w:t>ele-Center</w:t>
      </w:r>
    </w:p>
    <w:p w14:paraId="0EF19632" w14:textId="77777777" w:rsidR="00F07C44" w:rsidRDefault="00F07C44">
      <w:pPr>
        <w:pStyle w:val="OB1"/>
      </w:pPr>
      <w:r>
        <w:t>Chargebacks</w:t>
      </w:r>
    </w:p>
    <w:p w14:paraId="651BA60C" w14:textId="77777777" w:rsidR="00F07C44" w:rsidRDefault="00F07C44">
      <w:pPr>
        <w:pStyle w:val="OB1"/>
      </w:pPr>
      <w:r>
        <w:t>Special Hearings</w:t>
      </w:r>
    </w:p>
    <w:p w14:paraId="70BE08CD" w14:textId="77777777" w:rsidR="00F07C44" w:rsidRDefault="00F07C44">
      <w:pPr>
        <w:pStyle w:val="OB1"/>
      </w:pPr>
      <w:r>
        <w:t>Supervisor/Management</w:t>
      </w:r>
    </w:p>
    <w:p w14:paraId="456496A2" w14:textId="77777777" w:rsidR="00F07C44" w:rsidRDefault="00F07C44">
      <w:pPr>
        <w:pStyle w:val="OB1"/>
      </w:pPr>
      <w:r>
        <w:t>Other</w:t>
      </w:r>
    </w:p>
    <w:p w14:paraId="3EF3AFED" w14:textId="77777777" w:rsidR="00F07C44" w:rsidRDefault="00F07C44" w:rsidP="00F07C44"/>
    <w:p w14:paraId="25B0E03B" w14:textId="6366D690" w:rsidR="00F07C44" w:rsidRDefault="00F07C44" w:rsidP="00F07C44">
      <w:pPr>
        <w:rPr>
          <w:u w:val="single"/>
        </w:rPr>
      </w:pPr>
      <w:r w:rsidRPr="00F07C44">
        <w:rPr>
          <w:u w:val="single"/>
        </w:rPr>
        <w:t>Alternate Activities and Special Cases</w:t>
      </w:r>
    </w:p>
    <w:p w14:paraId="48086790" w14:textId="77777777" w:rsidR="004F7DCA" w:rsidRDefault="004F7DCA" w:rsidP="004F7DCA">
      <w:r>
        <w:t>System must support the following alternate activities and special cases:</w:t>
      </w:r>
    </w:p>
    <w:p w14:paraId="0D96F5B4" w14:textId="77777777" w:rsidR="00F07C44" w:rsidRDefault="00F07C44" w:rsidP="00E16D2D">
      <w:pPr>
        <w:pStyle w:val="LB1"/>
      </w:pPr>
      <w:r>
        <w:t>No Request filed or on record</w:t>
      </w:r>
    </w:p>
    <w:p w14:paraId="735CABB1" w14:textId="77777777" w:rsidR="00F07C44" w:rsidRDefault="00F07C44" w:rsidP="00E16D2D">
      <w:pPr>
        <w:pStyle w:val="LB1"/>
      </w:pPr>
      <w:r>
        <w:t>Change of address</w:t>
      </w:r>
    </w:p>
    <w:p w14:paraId="45339312" w14:textId="77777777" w:rsidR="00F07C44" w:rsidRDefault="00F07C44" w:rsidP="00116640">
      <w:pPr>
        <w:pStyle w:val="LB1"/>
      </w:pPr>
      <w:r>
        <w:t xml:space="preserve">Withdrawal of a Request </w:t>
      </w:r>
    </w:p>
    <w:p w14:paraId="669DF76C" w14:textId="77777777" w:rsidR="00F07C44" w:rsidRDefault="00F07C44" w:rsidP="00F82166">
      <w:pPr>
        <w:pStyle w:val="LB1"/>
      </w:pPr>
      <w:r>
        <w:t>Submit case documentation</w:t>
      </w:r>
    </w:p>
    <w:p w14:paraId="5529DAED" w14:textId="77777777" w:rsidR="00F07C44" w:rsidRDefault="00F07C44" w:rsidP="00F82166">
      <w:pPr>
        <w:pStyle w:val="LB1"/>
      </w:pPr>
      <w:r>
        <w:t>Complaint</w:t>
      </w:r>
    </w:p>
    <w:p w14:paraId="41C09721" w14:textId="77777777" w:rsidR="00F07C44" w:rsidRDefault="00F07C44" w:rsidP="00F82166">
      <w:pPr>
        <w:pStyle w:val="LB1"/>
      </w:pPr>
      <w:r>
        <w:t>Postponement request</w:t>
      </w:r>
    </w:p>
    <w:p w14:paraId="1472AF72" w14:textId="77777777" w:rsidR="00F07C44" w:rsidRDefault="00F07C44">
      <w:pPr>
        <w:pStyle w:val="LB1"/>
      </w:pPr>
      <w:r>
        <w:t>Expedite request</w:t>
      </w:r>
    </w:p>
    <w:p w14:paraId="0EC175D1" w14:textId="77777777" w:rsidR="00F07C44" w:rsidRDefault="00F07C44">
      <w:pPr>
        <w:pStyle w:val="LB1"/>
      </w:pPr>
      <w:r>
        <w:t>Scheduling requests</w:t>
      </w:r>
    </w:p>
    <w:p w14:paraId="2ED19EC1" w14:textId="77777777" w:rsidR="00F07C44" w:rsidRDefault="00F07C44">
      <w:pPr>
        <w:pStyle w:val="LB1"/>
      </w:pPr>
      <w:r>
        <w:t>Interpreter requests</w:t>
      </w:r>
    </w:p>
    <w:p w14:paraId="3AC4250F" w14:textId="77777777" w:rsidR="00F07C44" w:rsidRDefault="00F07C44">
      <w:pPr>
        <w:pStyle w:val="LB1"/>
      </w:pPr>
      <w:r>
        <w:t>Ability to flag inquiries for a specific Staff member</w:t>
      </w:r>
    </w:p>
    <w:p w14:paraId="11CE8D37" w14:textId="77777777" w:rsidR="00F07C44" w:rsidRDefault="00F07C44">
      <w:pPr>
        <w:pStyle w:val="OB1"/>
      </w:pPr>
      <w:r>
        <w:t>Topic</w:t>
      </w:r>
    </w:p>
    <w:p w14:paraId="3C0C2583" w14:textId="77777777" w:rsidR="00F07C44" w:rsidRDefault="00F07C44">
      <w:pPr>
        <w:pStyle w:val="OB1"/>
      </w:pPr>
      <w:r>
        <w:t>Employer</w:t>
      </w:r>
    </w:p>
    <w:p w14:paraId="3907E4B6" w14:textId="77777777" w:rsidR="00F07C44" w:rsidRDefault="00F07C44">
      <w:pPr>
        <w:pStyle w:val="OB1"/>
      </w:pPr>
      <w:r>
        <w:t xml:space="preserve">Etc. </w:t>
      </w:r>
    </w:p>
    <w:p w14:paraId="7EDDF6F3" w14:textId="77777777" w:rsidR="00F07C44" w:rsidRDefault="00F07C44">
      <w:pPr>
        <w:pStyle w:val="LB1"/>
      </w:pPr>
      <w:r>
        <w:t>Create UI/Fraud/Tax investigation based on status inquiry</w:t>
      </w:r>
    </w:p>
    <w:p w14:paraId="2457CA81" w14:textId="3C60AD2E" w:rsidR="00F07C44" w:rsidRDefault="00996657">
      <w:pPr>
        <w:pStyle w:val="OB1"/>
      </w:pPr>
      <w:r>
        <w:t>Other misclassified workers discovered</w:t>
      </w:r>
    </w:p>
    <w:p w14:paraId="57008503" w14:textId="1186F2E0" w:rsidR="00F07C44" w:rsidRDefault="00996657">
      <w:pPr>
        <w:pStyle w:val="OB1"/>
      </w:pPr>
      <w:r>
        <w:t>Other acquisition possible</w:t>
      </w:r>
    </w:p>
    <w:p w14:paraId="49FBAF3D" w14:textId="77777777" w:rsidR="00F07C44" w:rsidRDefault="00F07C44" w:rsidP="00F07C44"/>
    <w:p w14:paraId="027D1299" w14:textId="34629A9A" w:rsidR="00434CAC" w:rsidRDefault="00434CAC" w:rsidP="00434CAC">
      <w:pPr>
        <w:pStyle w:val="Heading4"/>
      </w:pPr>
      <w:r>
        <w:lastRenderedPageBreak/>
        <w:tab/>
      </w:r>
      <w:r w:rsidR="0079167A">
        <w:t xml:space="preserve">Generate </w:t>
      </w:r>
      <w:r w:rsidR="00514126">
        <w:t>Report</w:t>
      </w:r>
      <w:r w:rsidR="0079167A">
        <w:t>s</w:t>
      </w:r>
    </w:p>
    <w:p w14:paraId="133F231E" w14:textId="7FE40954" w:rsidR="00434CAC" w:rsidRPr="00B0723C" w:rsidRDefault="00F07C44" w:rsidP="00434CAC">
      <w:r>
        <w:t>This process includes all activities required to generate and transmit reports</w:t>
      </w:r>
      <w:r w:rsidR="00434CAC">
        <w:t>.</w:t>
      </w:r>
    </w:p>
    <w:p w14:paraId="7832FDD4" w14:textId="77777777" w:rsidR="00434CAC" w:rsidRPr="003A23F0" w:rsidRDefault="00434CAC" w:rsidP="00434CAC">
      <w:pPr>
        <w:rPr>
          <w:u w:val="single"/>
        </w:rPr>
      </w:pPr>
      <w:r w:rsidRPr="003A23F0">
        <w:rPr>
          <w:u w:val="single"/>
        </w:rPr>
        <w:t>Actors</w:t>
      </w:r>
    </w:p>
    <w:p w14:paraId="5740AD3E" w14:textId="77777777" w:rsidR="00434CAC" w:rsidRDefault="00434CAC" w:rsidP="00E16D2D">
      <w:pPr>
        <w:pStyle w:val="LB1"/>
      </w:pPr>
      <w:r>
        <w:t>Staff</w:t>
      </w:r>
    </w:p>
    <w:p w14:paraId="67430DD8" w14:textId="77777777" w:rsidR="00434CAC" w:rsidRPr="00DF6567" w:rsidRDefault="00434CAC" w:rsidP="00434CAC"/>
    <w:p w14:paraId="12770E02" w14:textId="77777777" w:rsidR="00434CAC" w:rsidRPr="003A23F0" w:rsidRDefault="00434CAC" w:rsidP="00434CAC">
      <w:pPr>
        <w:rPr>
          <w:u w:val="single"/>
        </w:rPr>
      </w:pPr>
      <w:r w:rsidRPr="003A23F0">
        <w:rPr>
          <w:u w:val="single"/>
        </w:rPr>
        <w:t>Main Activities</w:t>
      </w:r>
    </w:p>
    <w:p w14:paraId="2D6F0213" w14:textId="77777777" w:rsidR="00F07C44" w:rsidRDefault="00F07C44" w:rsidP="00E16D2D">
      <w:pPr>
        <w:pStyle w:val="LB1"/>
      </w:pPr>
      <w:r>
        <w:t>Operations, Performance, and Management reports</w:t>
      </w:r>
    </w:p>
    <w:p w14:paraId="16AF6866" w14:textId="31923296" w:rsidR="00F07C44" w:rsidRDefault="005428BA" w:rsidP="00E16D2D">
      <w:pPr>
        <w:pStyle w:val="OB1"/>
      </w:pPr>
      <w:r>
        <w:t>System must generate w</w:t>
      </w:r>
      <w:r w:rsidR="00F07C44">
        <w:t>eekly report with status of pending cases including current state and red flags</w:t>
      </w:r>
    </w:p>
    <w:p w14:paraId="6244CE32" w14:textId="2E228004" w:rsidR="00F07C44" w:rsidRDefault="00F67CDB" w:rsidP="00116640">
      <w:pPr>
        <w:pStyle w:val="OB1"/>
      </w:pPr>
      <w:r>
        <w:t xml:space="preserve">System must allow Staff to </w:t>
      </w:r>
      <w:r w:rsidR="00F07C44">
        <w:t>schedule reports to be generated automatically</w:t>
      </w:r>
    </w:p>
    <w:p w14:paraId="04A73666" w14:textId="63C0941D" w:rsidR="00F07C44" w:rsidRDefault="00F67CDB" w:rsidP="00F82166">
      <w:pPr>
        <w:pStyle w:val="OB1"/>
      </w:pPr>
      <w:r>
        <w:t xml:space="preserve">System must allow Staff to </w:t>
      </w:r>
      <w:r w:rsidR="00F07C44">
        <w:t>run reports on demand</w:t>
      </w:r>
    </w:p>
    <w:p w14:paraId="1DDE9F8E" w14:textId="270D608B" w:rsidR="00F07C44" w:rsidRDefault="00F07C44" w:rsidP="00F82166">
      <w:pPr>
        <w:pStyle w:val="OB1"/>
      </w:pPr>
      <w:r>
        <w:t xml:space="preserve">System must be able to </w:t>
      </w:r>
      <w:r w:rsidR="0079167A">
        <w:t xml:space="preserve">generate and distribute reports listed in </w:t>
      </w:r>
      <w:hyperlink w:anchor="_Attachment_8_–" w:history="1">
        <w:r w:rsidR="0079167A" w:rsidRPr="00FD6AAF">
          <w:rPr>
            <w:rStyle w:val="Hyperlink"/>
          </w:rPr>
          <w:t>Attachment 8</w:t>
        </w:r>
      </w:hyperlink>
    </w:p>
    <w:p w14:paraId="009BBC6B" w14:textId="77777777" w:rsidR="00F07C44" w:rsidRDefault="00F07C44">
      <w:pPr>
        <w:pStyle w:val="OB1"/>
      </w:pPr>
      <w:r>
        <w:t>System must allow Staff to develop and schedule ad hoc reports</w:t>
      </w:r>
    </w:p>
    <w:p w14:paraId="71980054" w14:textId="77777777" w:rsidR="00F07C44" w:rsidRDefault="00F07C44">
      <w:pPr>
        <w:pStyle w:val="OB1"/>
      </w:pPr>
      <w:r>
        <w:t>System must integrate reports with dashboards for visual representation of data</w:t>
      </w:r>
    </w:p>
    <w:p w14:paraId="24559911" w14:textId="788D5DBB" w:rsidR="00F07C44" w:rsidRDefault="00F07C44">
      <w:pPr>
        <w:pStyle w:val="OB1"/>
      </w:pPr>
      <w:r>
        <w:t>System must store and index reports</w:t>
      </w:r>
    </w:p>
    <w:p w14:paraId="02DDF3AD" w14:textId="77777777" w:rsidR="00F07C44" w:rsidRDefault="00F07C44" w:rsidP="00F07C44"/>
    <w:p w14:paraId="1F4F8D40" w14:textId="6C5BC0B0" w:rsidR="001A16E4" w:rsidRDefault="001A16E4" w:rsidP="001A16E4">
      <w:pPr>
        <w:pStyle w:val="Heading3"/>
      </w:pPr>
      <w:bookmarkStart w:id="356" w:name="_A6.6_Regulatory_Integrity"/>
      <w:bookmarkStart w:id="357" w:name="_Toc13567497"/>
      <w:bookmarkEnd w:id="356"/>
      <w:r>
        <w:t>A6.</w:t>
      </w:r>
      <w:r w:rsidR="00DA1915">
        <w:t>6</w:t>
      </w:r>
      <w:r>
        <w:tab/>
        <w:t>Regulatory Integrity Division</w:t>
      </w:r>
      <w:bookmarkEnd w:id="357"/>
      <w:r>
        <w:t xml:space="preserve"> </w:t>
      </w:r>
    </w:p>
    <w:p w14:paraId="2DB38B27" w14:textId="0CB19421" w:rsidR="00F92893" w:rsidRDefault="00F92893" w:rsidP="00F92893">
      <w:pPr>
        <w:pStyle w:val="Heading4"/>
      </w:pPr>
      <w:r>
        <w:tab/>
      </w:r>
      <w:r w:rsidR="001E5C55">
        <w:t>Prevent and Detect Fraud</w:t>
      </w:r>
    </w:p>
    <w:p w14:paraId="5BEE1A74" w14:textId="1220EB03" w:rsidR="00F92893" w:rsidRPr="00B0723C" w:rsidRDefault="001E5C55" w:rsidP="00F92893">
      <w:r>
        <w:t>This process includes all activities required to prevent and detect fraud</w:t>
      </w:r>
      <w:r w:rsidR="00F92893">
        <w:t>.</w:t>
      </w:r>
    </w:p>
    <w:p w14:paraId="5879B253" w14:textId="77777777" w:rsidR="00F92893" w:rsidRPr="003A23F0" w:rsidRDefault="00F92893" w:rsidP="00F92893">
      <w:pPr>
        <w:rPr>
          <w:u w:val="single"/>
        </w:rPr>
      </w:pPr>
      <w:r w:rsidRPr="003A23F0">
        <w:rPr>
          <w:u w:val="single"/>
        </w:rPr>
        <w:t>Actors</w:t>
      </w:r>
    </w:p>
    <w:p w14:paraId="47898229" w14:textId="77777777" w:rsidR="007253DF" w:rsidRDefault="007253DF" w:rsidP="00E16D2D">
      <w:pPr>
        <w:pStyle w:val="LB1"/>
      </w:pPr>
      <w:r>
        <w:t>Staff</w:t>
      </w:r>
    </w:p>
    <w:p w14:paraId="01534C98" w14:textId="77777777" w:rsidR="007253DF" w:rsidRDefault="007253DF" w:rsidP="00E16D2D">
      <w:pPr>
        <w:pStyle w:val="LB1"/>
      </w:pPr>
      <w:r>
        <w:t>Employers</w:t>
      </w:r>
    </w:p>
    <w:p w14:paraId="73AE13B2" w14:textId="2E234140" w:rsidR="007253DF" w:rsidRDefault="007253DF" w:rsidP="00116640">
      <w:pPr>
        <w:pStyle w:val="LB1"/>
      </w:pPr>
      <w:r>
        <w:t>Potential Fraudster</w:t>
      </w:r>
      <w:r w:rsidR="0040672F">
        <w:t>s</w:t>
      </w:r>
    </w:p>
    <w:p w14:paraId="78368182" w14:textId="77777777" w:rsidR="007253DF" w:rsidRDefault="007253DF" w:rsidP="00116640">
      <w:pPr>
        <w:pStyle w:val="LB1"/>
      </w:pPr>
      <w:r>
        <w:t>Legitimate SSN Holder</w:t>
      </w:r>
    </w:p>
    <w:p w14:paraId="4FBB005B" w14:textId="5E13488B" w:rsidR="00F92893" w:rsidRDefault="007253DF" w:rsidP="00F82166">
      <w:pPr>
        <w:pStyle w:val="LB1"/>
      </w:pPr>
      <w:r>
        <w:t>3</w:t>
      </w:r>
      <w:r w:rsidRPr="00BE1BE6">
        <w:rPr>
          <w:vertAlign w:val="superscript"/>
        </w:rPr>
        <w:t>rd</w:t>
      </w:r>
      <w:r>
        <w:t xml:space="preserve"> Parties (tips and leads)</w:t>
      </w:r>
    </w:p>
    <w:p w14:paraId="5409739B" w14:textId="77777777" w:rsidR="00F92893" w:rsidRPr="00DF6567" w:rsidRDefault="00F92893" w:rsidP="00F92893"/>
    <w:p w14:paraId="09A4E544" w14:textId="77777777" w:rsidR="00F92893" w:rsidRPr="003A23F0" w:rsidRDefault="00F92893" w:rsidP="00F92893">
      <w:pPr>
        <w:rPr>
          <w:u w:val="single"/>
        </w:rPr>
      </w:pPr>
      <w:r w:rsidRPr="003A23F0">
        <w:rPr>
          <w:u w:val="single"/>
        </w:rPr>
        <w:t>Main Activities</w:t>
      </w:r>
    </w:p>
    <w:p w14:paraId="6470D3D7" w14:textId="77777777" w:rsidR="00D22715" w:rsidRDefault="00D22715" w:rsidP="00E16D2D">
      <w:pPr>
        <w:pStyle w:val="LB1"/>
      </w:pPr>
      <w:bookmarkStart w:id="358" w:name="_Hlk531169423"/>
      <w:r w:rsidRPr="00BE1BE6">
        <w:t xml:space="preserve">System must allow for Nudges (behavioral economics) </w:t>
      </w:r>
      <w:r>
        <w:t xml:space="preserve">at various points in the claims process including just in time information. </w:t>
      </w:r>
      <w:r w:rsidRPr="00BE1BE6">
        <w:t>The Offeror must describe how their system</w:t>
      </w:r>
      <w:r>
        <w:t>:</w:t>
      </w:r>
      <w:r w:rsidRPr="00BE1BE6">
        <w:t xml:space="preserve"> </w:t>
      </w:r>
    </w:p>
    <w:p w14:paraId="577BDE42" w14:textId="77777777" w:rsidR="00D22715" w:rsidRDefault="00D22715" w:rsidP="00E16D2D">
      <w:pPr>
        <w:pStyle w:val="OB1"/>
      </w:pPr>
      <w:r>
        <w:t>N</w:t>
      </w:r>
      <w:r w:rsidRPr="00BE1BE6">
        <w:t xml:space="preserve">otifies </w:t>
      </w:r>
      <w:r>
        <w:t>Claimant</w:t>
      </w:r>
      <w:r w:rsidRPr="00BE1BE6">
        <w:t>s</w:t>
      </w:r>
      <w:r>
        <w:t xml:space="preserve"> and processes their responses</w:t>
      </w:r>
    </w:p>
    <w:p w14:paraId="460A6D2E" w14:textId="77777777" w:rsidR="00D22715" w:rsidRDefault="00D22715" w:rsidP="00116640">
      <w:pPr>
        <w:pStyle w:val="OB1"/>
      </w:pPr>
      <w:r>
        <w:t>F</w:t>
      </w:r>
      <w:r w:rsidRPr="00BE1BE6">
        <w:t>ilters the resp</w:t>
      </w:r>
      <w:r>
        <w:t>onses</w:t>
      </w:r>
    </w:p>
    <w:p w14:paraId="190B6A6F" w14:textId="77777777" w:rsidR="00D22715" w:rsidRDefault="00D22715" w:rsidP="00F82166">
      <w:pPr>
        <w:pStyle w:val="OB1"/>
      </w:pPr>
      <w:r>
        <w:t>Takes appropriate action</w:t>
      </w:r>
    </w:p>
    <w:p w14:paraId="65FEED4D" w14:textId="5596DA7C" w:rsidR="00D22715" w:rsidRDefault="00D22715" w:rsidP="00F82166">
      <w:pPr>
        <w:pStyle w:val="OB1"/>
      </w:pPr>
      <w:r>
        <w:t>A</w:t>
      </w:r>
      <w:r w:rsidRPr="00BE1BE6">
        <w:t>llows for online experimen</w:t>
      </w:r>
      <w:r>
        <w:t>ts (</w:t>
      </w:r>
      <w:r w:rsidR="00867701">
        <w:t xml:space="preserve">e.g., </w:t>
      </w:r>
      <w:r>
        <w:t>A/B and multivariate tests)</w:t>
      </w:r>
    </w:p>
    <w:bookmarkEnd w:id="358"/>
    <w:p w14:paraId="7FE2A006" w14:textId="77777777" w:rsidR="00D22715" w:rsidRDefault="00D22715">
      <w:pPr>
        <w:pStyle w:val="LB1"/>
      </w:pPr>
      <w:r>
        <w:t>System must perform cross-matches</w:t>
      </w:r>
    </w:p>
    <w:p w14:paraId="34220C74" w14:textId="77777777" w:rsidR="00D22715" w:rsidRDefault="00D22715">
      <w:pPr>
        <w:pStyle w:val="OB1"/>
      </w:pPr>
      <w:r>
        <w:lastRenderedPageBreak/>
        <w:t>Incarceration (currently Appriss and TDCJ)</w:t>
      </w:r>
    </w:p>
    <w:p w14:paraId="194484CD" w14:textId="77777777" w:rsidR="00D22715" w:rsidRDefault="00D22715">
      <w:pPr>
        <w:pStyle w:val="OB1"/>
      </w:pPr>
      <w:r>
        <w:t>Death (DSHS)</w:t>
      </w:r>
    </w:p>
    <w:p w14:paraId="74A76AF6" w14:textId="2C120172" w:rsidR="00D22715" w:rsidRDefault="007E5F3E">
      <w:pPr>
        <w:pStyle w:val="OB1"/>
      </w:pPr>
      <w:r>
        <w:t>SDNH (</w:t>
      </w:r>
      <w:r w:rsidR="00D22715">
        <w:t>OAG)</w:t>
      </w:r>
    </w:p>
    <w:p w14:paraId="55BF4BF0" w14:textId="7944DDD4" w:rsidR="00D22715" w:rsidRDefault="00D22715">
      <w:pPr>
        <w:pStyle w:val="OB1"/>
      </w:pPr>
      <w:r>
        <w:t>NDNH (</w:t>
      </w:r>
      <w:r w:rsidR="00A27981">
        <w:t>Office of Child Support Enforcement (</w:t>
      </w:r>
      <w:r>
        <w:t>OCSE)</w:t>
      </w:r>
      <w:r w:rsidR="00A27981">
        <w:t>)</w:t>
      </w:r>
    </w:p>
    <w:p w14:paraId="26D117AC" w14:textId="444158CA" w:rsidR="00D22715" w:rsidRDefault="00D22715">
      <w:pPr>
        <w:pStyle w:val="OB1"/>
      </w:pPr>
      <w:r>
        <w:t>Wage Benefit (UI Tax)</w:t>
      </w:r>
    </w:p>
    <w:p w14:paraId="19F810C8" w14:textId="41E8560E" w:rsidR="00A805DD" w:rsidRDefault="00A805DD">
      <w:pPr>
        <w:pStyle w:val="OB1"/>
      </w:pPr>
      <w:r>
        <w:t>Locked or Black lists</w:t>
      </w:r>
    </w:p>
    <w:p w14:paraId="3E85E106" w14:textId="77777777" w:rsidR="00D22715" w:rsidRDefault="00D22715">
      <w:pPr>
        <w:pStyle w:val="OB1"/>
      </w:pPr>
      <w:r>
        <w:t>Interstate Wage Benefit and Claims</w:t>
      </w:r>
    </w:p>
    <w:p w14:paraId="31167E38" w14:textId="77777777" w:rsidR="00D22715" w:rsidRDefault="00D22715">
      <w:pPr>
        <w:pStyle w:val="LB1"/>
      </w:pPr>
      <w:r>
        <w:t>System must analyze cross-matches to prioritize them and take appropriate action based on business rules, which may include the following (not an exhaustive list):</w:t>
      </w:r>
    </w:p>
    <w:p w14:paraId="46F4F86B" w14:textId="77777777" w:rsidR="00D22715" w:rsidRDefault="00D22715">
      <w:pPr>
        <w:pStyle w:val="OB1"/>
      </w:pPr>
      <w:r>
        <w:t>Automatically creating an investigation, if appropriate</w:t>
      </w:r>
    </w:p>
    <w:p w14:paraId="3EEB050D" w14:textId="77777777" w:rsidR="00D22715" w:rsidRDefault="00D22715">
      <w:pPr>
        <w:pStyle w:val="OB1"/>
      </w:pPr>
      <w:r>
        <w:t>Automatically send earnings verification letters to Employers and process returns and take appropriate action, if appropriate</w:t>
      </w:r>
    </w:p>
    <w:p w14:paraId="592D97F1" w14:textId="77777777" w:rsidR="00D22715" w:rsidRDefault="00D22715">
      <w:pPr>
        <w:pStyle w:val="OB1"/>
      </w:pPr>
      <w:r>
        <w:t>Automatically produce an overpayment, if appropriate</w:t>
      </w:r>
    </w:p>
    <w:p w14:paraId="452AD8AF" w14:textId="60A7244E" w:rsidR="00D22715" w:rsidRDefault="00D22715">
      <w:pPr>
        <w:pStyle w:val="LB1"/>
      </w:pPr>
      <w:bookmarkStart w:id="359" w:name="_Hlk536456854"/>
      <w:r>
        <w:t>System must analyze UI Benefits and system data to identify suspicious claim activity</w:t>
      </w:r>
      <w:r w:rsidR="004F4D3C">
        <w:t>,</w:t>
      </w:r>
      <w:r>
        <w:t xml:space="preserve"> such as fictitious Employers and identity theft</w:t>
      </w:r>
      <w:r w:rsidR="004F4D3C">
        <w:t>,</w:t>
      </w:r>
      <w:r>
        <w:t xml:space="preserve"> using predictive analysis/score</w:t>
      </w:r>
      <w:r w:rsidR="00D447E1">
        <w:t xml:space="preserve"> and fraud criteria</w:t>
      </w:r>
      <w:r>
        <w:t xml:space="preserve"> in a machine learning environment</w:t>
      </w:r>
    </w:p>
    <w:p w14:paraId="17C78D24" w14:textId="5B49239B" w:rsidR="00D22715" w:rsidRDefault="00D22715">
      <w:pPr>
        <w:pStyle w:val="OB1"/>
      </w:pPr>
      <w:r>
        <w:t xml:space="preserve">Based on </w:t>
      </w:r>
      <w:r w:rsidR="00D447E1">
        <w:t xml:space="preserve">fraud matrix </w:t>
      </w:r>
      <w:r>
        <w:t>score and business rules</w:t>
      </w:r>
    </w:p>
    <w:p w14:paraId="5D7E5034" w14:textId="77777777" w:rsidR="00D22715" w:rsidRDefault="00D22715">
      <w:pPr>
        <w:pStyle w:val="OB1"/>
      </w:pPr>
      <w:r>
        <w:t>Automatically create cases and issue contact requests</w:t>
      </w:r>
    </w:p>
    <w:p w14:paraId="51D7C896" w14:textId="77777777" w:rsidR="00D22715" w:rsidRDefault="00D22715">
      <w:pPr>
        <w:pStyle w:val="OB1"/>
      </w:pPr>
      <w:r>
        <w:t>Create, categorize, and prioritize fraud watch list</w:t>
      </w:r>
    </w:p>
    <w:p w14:paraId="5E36F955" w14:textId="77777777" w:rsidR="00D22715" w:rsidRDefault="00D22715">
      <w:pPr>
        <w:pStyle w:val="OB1"/>
      </w:pPr>
      <w:r>
        <w:t>Generate reports for Staff to review</w:t>
      </w:r>
    </w:p>
    <w:p w14:paraId="7E081FB8" w14:textId="77777777" w:rsidR="00D22715" w:rsidRDefault="00D22715" w:rsidP="004F4D3C">
      <w:pPr>
        <w:pStyle w:val="SB1"/>
      </w:pPr>
      <w:r>
        <w:t>Data visualization</w:t>
      </w:r>
    </w:p>
    <w:p w14:paraId="18B5E0FD" w14:textId="77777777" w:rsidR="00D22715" w:rsidRDefault="00D22715" w:rsidP="00E16D2D">
      <w:pPr>
        <w:pStyle w:val="OB1"/>
      </w:pPr>
      <w:r>
        <w:t>Manually create cases</w:t>
      </w:r>
    </w:p>
    <w:p w14:paraId="1485093A" w14:textId="77777777" w:rsidR="00D22715" w:rsidRDefault="00D22715" w:rsidP="004F4D3C">
      <w:pPr>
        <w:pStyle w:val="SB1"/>
      </w:pPr>
      <w:r>
        <w:t>Issues contact requests</w:t>
      </w:r>
    </w:p>
    <w:p w14:paraId="4EBFBC34" w14:textId="77777777" w:rsidR="00D22715" w:rsidRDefault="00D22715" w:rsidP="00E16D2D">
      <w:pPr>
        <w:pStyle w:val="OB1"/>
      </w:pPr>
      <w:r>
        <w:t xml:space="preserve">Assign cases to Staff </w:t>
      </w:r>
    </w:p>
    <w:p w14:paraId="2CA3F155" w14:textId="77777777" w:rsidR="00D22715" w:rsidRDefault="00D22715" w:rsidP="00E16D2D">
      <w:pPr>
        <w:pStyle w:val="OB1"/>
      </w:pPr>
      <w:r>
        <w:t>System automatically adjudicates based on business rules and case status/type</w:t>
      </w:r>
    </w:p>
    <w:p w14:paraId="286E0693" w14:textId="77777777" w:rsidR="00D22715" w:rsidRDefault="00D22715" w:rsidP="00116640">
      <w:pPr>
        <w:pStyle w:val="LB1"/>
      </w:pPr>
      <w:r>
        <w:t>System must detect high risk activity from internal TWC Staff</w:t>
      </w:r>
    </w:p>
    <w:p w14:paraId="1FFEEDD3" w14:textId="77777777" w:rsidR="00D22715" w:rsidRDefault="00D22715" w:rsidP="00116640">
      <w:pPr>
        <w:pStyle w:val="LB1"/>
      </w:pPr>
      <w:r>
        <w:t>System must process tips and leads submitted using TWC Hotline, email, or Staff</w:t>
      </w:r>
    </w:p>
    <w:p w14:paraId="11F688E1" w14:textId="67FA55D7" w:rsidR="00D22715" w:rsidRDefault="00D22715" w:rsidP="00F82166">
      <w:pPr>
        <w:pStyle w:val="LB1"/>
      </w:pPr>
      <w:r w:rsidRPr="00AC5ADA">
        <w:t xml:space="preserve">System must allow Staff to </w:t>
      </w:r>
      <w:r>
        <w:t>i</w:t>
      </w:r>
      <w:r w:rsidRPr="00AC5ADA">
        <w:t>dentify multi-</w:t>
      </w:r>
      <w:r>
        <w:t>Claimant</w:t>
      </w:r>
      <w:r w:rsidRPr="00AC5ADA">
        <w:t xml:space="preserve"> scheme</w:t>
      </w:r>
      <w:r>
        <w:t>s</w:t>
      </w:r>
      <w:r w:rsidR="00B81334">
        <w:t xml:space="preserve"> (e.g., identify multiple claims with the same bank account, address, IP address, same demographic features, etc.)</w:t>
      </w:r>
    </w:p>
    <w:p w14:paraId="39EDCF52" w14:textId="77777777" w:rsidR="00D22715" w:rsidRDefault="00D22715" w:rsidP="00F82166">
      <w:pPr>
        <w:pStyle w:val="OB1"/>
      </w:pPr>
      <w:r>
        <w:t>Relate associated claims</w:t>
      </w:r>
    </w:p>
    <w:p w14:paraId="73373D60" w14:textId="77777777" w:rsidR="00D22715" w:rsidRPr="00AC5ADA" w:rsidRDefault="00D22715">
      <w:pPr>
        <w:pStyle w:val="OB1"/>
      </w:pPr>
      <w:r>
        <w:t>Establish joint and several liability</w:t>
      </w:r>
    </w:p>
    <w:p w14:paraId="60003662" w14:textId="3ABF5C89" w:rsidR="00F17B71" w:rsidRPr="00D22715" w:rsidRDefault="00026BFB">
      <w:pPr>
        <w:pStyle w:val="LB1"/>
      </w:pPr>
      <w:bookmarkStart w:id="360" w:name="_Hlk531099460"/>
      <w:r>
        <w:t xml:space="preserve">System must include Case Management and Workflow functionality, described in General Process Descriptions, see </w:t>
      </w:r>
      <w:hyperlink w:anchor="_A6.9_General" w:history="1">
        <w:r>
          <w:rPr>
            <w:rStyle w:val="Hyperlink"/>
          </w:rPr>
          <w:t>Attachment A6.9</w:t>
        </w:r>
      </w:hyperlink>
    </w:p>
    <w:bookmarkEnd w:id="359"/>
    <w:bookmarkEnd w:id="360"/>
    <w:p w14:paraId="43AA0935" w14:textId="77777777" w:rsidR="00D22715" w:rsidRPr="00D22715" w:rsidRDefault="00D22715" w:rsidP="00D22715">
      <w:pPr>
        <w:pStyle w:val="KBulletList2"/>
        <w:numPr>
          <w:ilvl w:val="0"/>
          <w:numId w:val="0"/>
        </w:numPr>
        <w:ind w:left="720" w:hanging="360"/>
      </w:pPr>
    </w:p>
    <w:p w14:paraId="4CA84703" w14:textId="6651E577" w:rsidR="00F92893" w:rsidRDefault="00F92893" w:rsidP="00F92893">
      <w:pPr>
        <w:pStyle w:val="Heading4"/>
      </w:pPr>
      <w:r>
        <w:lastRenderedPageBreak/>
        <w:tab/>
      </w:r>
      <w:r w:rsidR="008F3BCA">
        <w:t>Investigate Potential Fraud</w:t>
      </w:r>
    </w:p>
    <w:p w14:paraId="6EB920FE" w14:textId="32DCC6BE" w:rsidR="00F92893" w:rsidRPr="00B0723C" w:rsidRDefault="008F3BCA" w:rsidP="00F92893">
      <w:r>
        <w:t>This process includes all activities required to investigate high risk activity and fraud</w:t>
      </w:r>
      <w:r w:rsidR="00F92893">
        <w:t>.</w:t>
      </w:r>
    </w:p>
    <w:p w14:paraId="4F33A77C" w14:textId="77777777" w:rsidR="00F92893" w:rsidRPr="003A23F0" w:rsidRDefault="00F92893" w:rsidP="00F92893">
      <w:pPr>
        <w:rPr>
          <w:u w:val="single"/>
        </w:rPr>
      </w:pPr>
      <w:r w:rsidRPr="003A23F0">
        <w:rPr>
          <w:u w:val="single"/>
        </w:rPr>
        <w:t>Actors</w:t>
      </w:r>
    </w:p>
    <w:p w14:paraId="7892FE60" w14:textId="77777777" w:rsidR="008F3BCA" w:rsidRDefault="008F3BCA" w:rsidP="00E16D2D">
      <w:pPr>
        <w:pStyle w:val="LB1"/>
      </w:pPr>
      <w:r>
        <w:t>Staff</w:t>
      </w:r>
    </w:p>
    <w:p w14:paraId="3A35B2F8" w14:textId="77777777" w:rsidR="008F3BCA" w:rsidRDefault="008F3BCA" w:rsidP="00E16D2D">
      <w:pPr>
        <w:pStyle w:val="LB1"/>
      </w:pPr>
      <w:r>
        <w:t>Claimants</w:t>
      </w:r>
    </w:p>
    <w:p w14:paraId="391FA4F1" w14:textId="77777777" w:rsidR="008F3BCA" w:rsidRDefault="008F3BCA" w:rsidP="00116640">
      <w:pPr>
        <w:pStyle w:val="LB1"/>
      </w:pPr>
      <w:r>
        <w:t>Employers and TPAs</w:t>
      </w:r>
    </w:p>
    <w:p w14:paraId="0E078B05" w14:textId="77777777" w:rsidR="008F3BCA" w:rsidRDefault="008F3BCA" w:rsidP="00F82166">
      <w:pPr>
        <w:pStyle w:val="LB1"/>
      </w:pPr>
      <w:r>
        <w:t>Potential Fraudster</w:t>
      </w:r>
    </w:p>
    <w:p w14:paraId="526CEDA5" w14:textId="77777777" w:rsidR="008F3BCA" w:rsidRDefault="008F3BCA" w:rsidP="00F82166">
      <w:pPr>
        <w:pStyle w:val="LB1"/>
      </w:pPr>
      <w:r>
        <w:t>Legitimate SSN Holder</w:t>
      </w:r>
    </w:p>
    <w:p w14:paraId="0BAD1997" w14:textId="427DD8A1" w:rsidR="00F92893" w:rsidRDefault="008F3BCA">
      <w:pPr>
        <w:pStyle w:val="LB1"/>
      </w:pPr>
      <w:r>
        <w:t>3</w:t>
      </w:r>
      <w:r w:rsidRPr="004E4077">
        <w:rPr>
          <w:vertAlign w:val="superscript"/>
        </w:rPr>
        <w:t>rd</w:t>
      </w:r>
      <w:r>
        <w:t xml:space="preserve"> Parties (Complainants, Banks, </w:t>
      </w:r>
      <w:r w:rsidR="00DB2144">
        <w:rPr>
          <w:rFonts w:cs="Arial"/>
          <w:snapToGrid w:val="0"/>
          <w:color w:val="000000"/>
          <w:szCs w:val="24"/>
        </w:rPr>
        <w:t>Office of Inspector General (</w:t>
      </w:r>
      <w:r>
        <w:t>OIG</w:t>
      </w:r>
      <w:r w:rsidR="00DB2144">
        <w:t>)</w:t>
      </w:r>
      <w:r>
        <w:t>, etc.)</w:t>
      </w:r>
    </w:p>
    <w:p w14:paraId="0ABB6BA8" w14:textId="77777777" w:rsidR="00F92893" w:rsidRPr="00DF6567" w:rsidRDefault="00F92893" w:rsidP="00F92893"/>
    <w:p w14:paraId="531DCF8A" w14:textId="77777777" w:rsidR="00F92893" w:rsidRPr="003A23F0" w:rsidRDefault="00F92893" w:rsidP="00F92893">
      <w:pPr>
        <w:rPr>
          <w:u w:val="single"/>
        </w:rPr>
      </w:pPr>
      <w:r w:rsidRPr="003A23F0">
        <w:rPr>
          <w:u w:val="single"/>
        </w:rPr>
        <w:t>Main Activities</w:t>
      </w:r>
    </w:p>
    <w:p w14:paraId="55D64B0A" w14:textId="77777777" w:rsidR="008F3BCA" w:rsidRDefault="008F3BCA" w:rsidP="00E16D2D">
      <w:pPr>
        <w:pStyle w:val="LB1"/>
      </w:pPr>
      <w:r>
        <w:t xml:space="preserve">System must perform cross-matches on New Hire and Wage Benefits. </w:t>
      </w:r>
      <w:r w:rsidRPr="00EA3DEB">
        <w:t xml:space="preserve">The Offeror must describe how their system notifies </w:t>
      </w:r>
      <w:r>
        <w:t>Employer</w:t>
      </w:r>
      <w:r w:rsidRPr="00EA3DEB">
        <w:t>s and processes their responses, filters the responses, and takes appropriate action</w:t>
      </w:r>
    </w:p>
    <w:p w14:paraId="1909A3CA" w14:textId="3911963A" w:rsidR="008F3BCA" w:rsidRDefault="007D3115" w:rsidP="00E16D2D">
      <w:pPr>
        <w:pStyle w:val="OB1"/>
      </w:pPr>
      <w:r>
        <w:t>Perform cross-match</w:t>
      </w:r>
      <w:r w:rsidR="004F4D3C">
        <w:t>es</w:t>
      </w:r>
    </w:p>
    <w:p w14:paraId="21DD381A" w14:textId="77777777" w:rsidR="008F3BCA" w:rsidRDefault="008F3BCA" w:rsidP="00116640">
      <w:pPr>
        <w:pStyle w:val="OB1"/>
      </w:pPr>
      <w:r>
        <w:t>Create non-monetary assignment based on business rules, including Business Staff to adjust threshold criteria</w:t>
      </w:r>
    </w:p>
    <w:p w14:paraId="3EBE0E5E" w14:textId="77777777" w:rsidR="008F3BCA" w:rsidRDefault="008F3BCA" w:rsidP="00F82166">
      <w:pPr>
        <w:pStyle w:val="OB1"/>
      </w:pPr>
      <w:r>
        <w:t xml:space="preserve">System must generate and distribute </w:t>
      </w:r>
    </w:p>
    <w:p w14:paraId="1C3A0C95" w14:textId="77777777" w:rsidR="008F3BCA" w:rsidRDefault="008F3BCA" w:rsidP="00FD669D">
      <w:pPr>
        <w:pStyle w:val="SB1"/>
      </w:pPr>
      <w:r>
        <w:t>Earnings Verification letter to Employer</w:t>
      </w:r>
    </w:p>
    <w:p w14:paraId="7A018133" w14:textId="77777777" w:rsidR="008F3BCA" w:rsidRDefault="008F3BCA" w:rsidP="00FD669D">
      <w:pPr>
        <w:pStyle w:val="SB1"/>
      </w:pPr>
      <w:r>
        <w:t>Potential Fraud Claimant Contact request</w:t>
      </w:r>
    </w:p>
    <w:p w14:paraId="4CF7A620" w14:textId="77777777" w:rsidR="001B153D" w:rsidRDefault="008F3BCA" w:rsidP="00E16D2D">
      <w:pPr>
        <w:pStyle w:val="OB1"/>
      </w:pPr>
      <w:r>
        <w:t xml:space="preserve">System must allow Employer to submit and process Earnings Verification response </w:t>
      </w:r>
      <w:r w:rsidR="001B153D">
        <w:t>for requested weeks and any subsequent weeks provided by Employer</w:t>
      </w:r>
    </w:p>
    <w:p w14:paraId="53ACFBA1" w14:textId="77777777" w:rsidR="001B153D" w:rsidRDefault="001B153D" w:rsidP="00E16D2D">
      <w:pPr>
        <w:pStyle w:val="OB1"/>
      </w:pPr>
      <w:r>
        <w:t>System must allow Employer to submit Earnings Verification response by type of earnings</w:t>
      </w:r>
    </w:p>
    <w:p w14:paraId="2E3E3FCF" w14:textId="77777777" w:rsidR="001B153D" w:rsidRDefault="001B153D" w:rsidP="001B153D">
      <w:pPr>
        <w:pStyle w:val="SB1"/>
      </w:pPr>
      <w:r>
        <w:t>Regular wages</w:t>
      </w:r>
    </w:p>
    <w:p w14:paraId="2522A664" w14:textId="7E3226DA" w:rsidR="001B153D" w:rsidRDefault="002D76D8" w:rsidP="001B153D">
      <w:pPr>
        <w:pStyle w:val="SB1"/>
      </w:pPr>
      <w:r>
        <w:t>Additional</w:t>
      </w:r>
      <w:r w:rsidR="001B153D">
        <w:t xml:space="preserve"> pay</w:t>
      </w:r>
    </w:p>
    <w:p w14:paraId="2BB03639" w14:textId="77777777" w:rsidR="001B153D" w:rsidRDefault="001B153D" w:rsidP="001B153D">
      <w:pPr>
        <w:pStyle w:val="SB1"/>
      </w:pPr>
      <w:r>
        <w:t>Vacation/Paid Time Off</w:t>
      </w:r>
    </w:p>
    <w:p w14:paraId="26C66FE6" w14:textId="6E361428" w:rsidR="008F3BCA" w:rsidRDefault="001B153D" w:rsidP="001B153D">
      <w:pPr>
        <w:pStyle w:val="SB1"/>
      </w:pPr>
      <w:r>
        <w:t>Etc.</w:t>
      </w:r>
    </w:p>
    <w:p w14:paraId="25BF9376" w14:textId="77777777" w:rsidR="008F3BCA" w:rsidRDefault="008F3BCA" w:rsidP="00E16D2D">
      <w:pPr>
        <w:pStyle w:val="OB1"/>
      </w:pPr>
      <w:r>
        <w:t>System must allow S</w:t>
      </w:r>
      <w:r w:rsidRPr="00BB4E9D">
        <w:t xml:space="preserve">taff to view earnings verification requests and responses that are processed through the SIDES interface </w:t>
      </w:r>
    </w:p>
    <w:p w14:paraId="340D2983" w14:textId="5C751E7B" w:rsidR="00DA3195" w:rsidRDefault="00DA3195" w:rsidP="00E16D2D">
      <w:pPr>
        <w:pStyle w:val="OB1"/>
      </w:pPr>
      <w:r>
        <w:t>System must convert unstructured payroll information into weekly earnings and populate an earnings verification response the SIDES interface can process</w:t>
      </w:r>
    </w:p>
    <w:p w14:paraId="424AC8E4" w14:textId="2A0E0675" w:rsidR="00025801" w:rsidRDefault="00025801" w:rsidP="00116640">
      <w:pPr>
        <w:pStyle w:val="OB1"/>
      </w:pPr>
      <w:r>
        <w:t>System must analyze data using predictive analysis/score and fraud criteria in a machine learning environment and provide a recommendation to be reviewed by Staff to accept, modify, or reject</w:t>
      </w:r>
    </w:p>
    <w:p w14:paraId="4EE71A40" w14:textId="23CC1B04" w:rsidR="00025801" w:rsidRDefault="00272226" w:rsidP="00F82166">
      <w:pPr>
        <w:pStyle w:val="OB1"/>
      </w:pPr>
      <w:r>
        <w:t>System must allow Supervisor to review Staff recommendation and accept, modify, or reject</w:t>
      </w:r>
    </w:p>
    <w:p w14:paraId="3BDCB5E3" w14:textId="021B2166" w:rsidR="008F3BCA" w:rsidRDefault="00EB2D8D" w:rsidP="00F82166">
      <w:pPr>
        <w:pStyle w:val="OB1"/>
      </w:pPr>
      <w:r>
        <w:lastRenderedPageBreak/>
        <w:t>System must c</w:t>
      </w:r>
      <w:r w:rsidR="008F3BCA">
        <w:t>ontact parties</w:t>
      </w:r>
    </w:p>
    <w:p w14:paraId="1D3A8BC0" w14:textId="0FD2F85F" w:rsidR="008F3BCA" w:rsidRDefault="00EB2D8D">
      <w:pPr>
        <w:pStyle w:val="OB1"/>
      </w:pPr>
      <w:r>
        <w:t>System must m</w:t>
      </w:r>
      <w:r w:rsidR="008F3BCA">
        <w:t>ake determinations and auto-adjudicate non-fraud earnings corrections</w:t>
      </w:r>
    </w:p>
    <w:p w14:paraId="6A1006C2" w14:textId="0D2AC5ED" w:rsidR="008F3BCA" w:rsidRDefault="00EB2D8D">
      <w:pPr>
        <w:pStyle w:val="OB1"/>
      </w:pPr>
      <w:r>
        <w:t>System must provide a fraud recommendation to be reviewed by Staff to accept, modify, or reject</w:t>
      </w:r>
    </w:p>
    <w:p w14:paraId="03E041A8" w14:textId="6BBAECD3" w:rsidR="008F3BCA" w:rsidRDefault="008F3BCA" w:rsidP="00FD669D">
      <w:pPr>
        <w:pStyle w:val="SB1"/>
      </w:pPr>
      <w:r>
        <w:t xml:space="preserve">If fraud, a </w:t>
      </w:r>
      <w:r w:rsidR="00EB2D8D">
        <w:t>Senior Investigator</w:t>
      </w:r>
      <w:r w:rsidR="00EB2D8D" w:rsidDel="00EB2D8D">
        <w:t xml:space="preserve"> </w:t>
      </w:r>
      <w:r>
        <w:t>review is required (second vote)</w:t>
      </w:r>
    </w:p>
    <w:p w14:paraId="46D0C04B" w14:textId="0447ADF8" w:rsidR="00272226" w:rsidRDefault="00272226" w:rsidP="00FD669D">
      <w:pPr>
        <w:pStyle w:val="SB1"/>
      </w:pPr>
      <w:r>
        <w:t>If vote is overturned</w:t>
      </w:r>
      <w:r w:rsidR="00EB2D8D">
        <w:t xml:space="preserve"> by the Senior Investigator</w:t>
      </w:r>
      <w:r>
        <w:t xml:space="preserve">, System must allow Supervisor </w:t>
      </w:r>
      <w:r w:rsidR="00EB2D8D">
        <w:t xml:space="preserve">to conduct </w:t>
      </w:r>
      <w:r>
        <w:t>final review</w:t>
      </w:r>
    </w:p>
    <w:p w14:paraId="4D438333" w14:textId="0D5CAA98" w:rsidR="008F3BCA" w:rsidRDefault="008F3BCA" w:rsidP="00E16D2D">
      <w:pPr>
        <w:pStyle w:val="OB1"/>
      </w:pPr>
      <w:r>
        <w:t xml:space="preserve">System/Staff </w:t>
      </w:r>
      <w:r w:rsidR="004F4D3C">
        <w:t xml:space="preserve">must </w:t>
      </w:r>
      <w:r>
        <w:t>establish overpayment</w:t>
      </w:r>
    </w:p>
    <w:p w14:paraId="320D2C12" w14:textId="77777777" w:rsidR="008F3BCA" w:rsidRDefault="008F3BCA" w:rsidP="00E16D2D">
      <w:pPr>
        <w:pStyle w:val="LB1"/>
      </w:pPr>
      <w:r>
        <w:t>System must perform cross-matches on Incarceration records</w:t>
      </w:r>
    </w:p>
    <w:p w14:paraId="7FE28393" w14:textId="19FC391C" w:rsidR="007D3115" w:rsidRDefault="007D3115" w:rsidP="00116640">
      <w:pPr>
        <w:pStyle w:val="OB1"/>
      </w:pPr>
      <w:r>
        <w:t>Perform cross-match</w:t>
      </w:r>
      <w:r w:rsidR="004F4D3C">
        <w:t>es</w:t>
      </w:r>
    </w:p>
    <w:p w14:paraId="175A0E8D" w14:textId="77777777" w:rsidR="008F3BCA" w:rsidRDefault="008F3BCA" w:rsidP="00F82166">
      <w:pPr>
        <w:pStyle w:val="OB1"/>
      </w:pPr>
      <w:r>
        <w:t>Staff validates incarceration using Justice Exchange</w:t>
      </w:r>
    </w:p>
    <w:p w14:paraId="74ED03DF" w14:textId="77777777" w:rsidR="008F3BCA" w:rsidRDefault="008F3BCA" w:rsidP="00F82166">
      <w:pPr>
        <w:pStyle w:val="OB1"/>
      </w:pPr>
      <w:r>
        <w:t>Contact parties if needed</w:t>
      </w:r>
    </w:p>
    <w:p w14:paraId="43BA7B3F" w14:textId="77777777" w:rsidR="008F3BCA" w:rsidRDefault="008F3BCA">
      <w:pPr>
        <w:pStyle w:val="OB1"/>
      </w:pPr>
      <w:r>
        <w:t>Make determinations</w:t>
      </w:r>
    </w:p>
    <w:p w14:paraId="6416F5D4" w14:textId="77777777" w:rsidR="008F3BCA" w:rsidRDefault="008F3BCA">
      <w:pPr>
        <w:pStyle w:val="OB1"/>
      </w:pPr>
      <w:r>
        <w:t>Determine fraud and no-fraud</w:t>
      </w:r>
    </w:p>
    <w:p w14:paraId="5FE1ACF7" w14:textId="77777777" w:rsidR="008F3BCA" w:rsidRDefault="008F3BCA" w:rsidP="00FD669D">
      <w:pPr>
        <w:pStyle w:val="SB1"/>
      </w:pPr>
      <w:r>
        <w:t>If fraud, a senior investigator review is required (second vote)</w:t>
      </w:r>
    </w:p>
    <w:p w14:paraId="6FB56F99" w14:textId="4E0BD925" w:rsidR="008F3BCA" w:rsidRDefault="008F3BCA" w:rsidP="00E16D2D">
      <w:pPr>
        <w:pStyle w:val="OB1"/>
      </w:pPr>
      <w:r>
        <w:t xml:space="preserve">System/Staff </w:t>
      </w:r>
      <w:r w:rsidR="004F4D3C">
        <w:t xml:space="preserve">must establish </w:t>
      </w:r>
      <w:r>
        <w:t>overpayment</w:t>
      </w:r>
    </w:p>
    <w:p w14:paraId="1E8721B1" w14:textId="77777777" w:rsidR="008F3BCA" w:rsidRDefault="008F3BCA" w:rsidP="00E16D2D">
      <w:pPr>
        <w:pStyle w:val="LB1"/>
      </w:pPr>
      <w:r>
        <w:t>System must perform cross-matches on Death records</w:t>
      </w:r>
    </w:p>
    <w:p w14:paraId="6D1836B5" w14:textId="0C32A1F9" w:rsidR="007D3115" w:rsidRDefault="007D3115" w:rsidP="00116640">
      <w:pPr>
        <w:pStyle w:val="OB1"/>
      </w:pPr>
      <w:r>
        <w:t>Perform cross-match</w:t>
      </w:r>
      <w:r w:rsidR="004F4D3C">
        <w:t>es</w:t>
      </w:r>
    </w:p>
    <w:p w14:paraId="27AC2711" w14:textId="77777777" w:rsidR="008F3BCA" w:rsidRDefault="008F3BCA" w:rsidP="00F82166">
      <w:pPr>
        <w:pStyle w:val="OB1"/>
      </w:pPr>
      <w:r>
        <w:t>Contact parties</w:t>
      </w:r>
    </w:p>
    <w:p w14:paraId="12638362" w14:textId="77777777" w:rsidR="008F3BCA" w:rsidRDefault="008F3BCA" w:rsidP="00F82166">
      <w:pPr>
        <w:pStyle w:val="OB1"/>
      </w:pPr>
      <w:r>
        <w:t>Make determinations</w:t>
      </w:r>
    </w:p>
    <w:p w14:paraId="0EB3EFAA" w14:textId="77777777" w:rsidR="008F3BCA" w:rsidRDefault="008F3BCA">
      <w:pPr>
        <w:pStyle w:val="OB1"/>
      </w:pPr>
      <w:r>
        <w:t>Determine fraud and no-fraud</w:t>
      </w:r>
    </w:p>
    <w:p w14:paraId="27FE14EA" w14:textId="77777777" w:rsidR="008F3BCA" w:rsidRDefault="008F3BCA" w:rsidP="00FD669D">
      <w:pPr>
        <w:pStyle w:val="SB1"/>
      </w:pPr>
      <w:r>
        <w:t>If fraud, a senior investigator review is required (second vote)</w:t>
      </w:r>
    </w:p>
    <w:p w14:paraId="59752BC6" w14:textId="28B96CEC" w:rsidR="008F3BCA" w:rsidRDefault="008F3BCA" w:rsidP="00E16D2D">
      <w:pPr>
        <w:pStyle w:val="OB1"/>
      </w:pPr>
      <w:r>
        <w:t xml:space="preserve">System/Staff </w:t>
      </w:r>
      <w:r w:rsidR="004F4D3C">
        <w:t xml:space="preserve">must establish </w:t>
      </w:r>
      <w:r>
        <w:t>overpayment</w:t>
      </w:r>
    </w:p>
    <w:p w14:paraId="454C98E8" w14:textId="284C73BC" w:rsidR="001B153D" w:rsidRDefault="001B153D" w:rsidP="00E16D2D">
      <w:pPr>
        <w:pStyle w:val="LB1"/>
      </w:pPr>
      <w:r>
        <w:t xml:space="preserve">System must flag claims where TWC has </w:t>
      </w:r>
      <w:r w:rsidR="00004379">
        <w:t xml:space="preserve">already </w:t>
      </w:r>
      <w:r>
        <w:t>determined that the Claimant did not work for a specific Employer (</w:t>
      </w:r>
      <w:r w:rsidR="00004379">
        <w:t xml:space="preserve">e.g., in </w:t>
      </w:r>
      <w:r>
        <w:t>ID theft</w:t>
      </w:r>
      <w:r w:rsidR="00004379">
        <w:t xml:space="preserve"> situations</w:t>
      </w:r>
      <w:r>
        <w:t>)</w:t>
      </w:r>
      <w:r w:rsidR="00004379">
        <w:t xml:space="preserve"> to prevent reinvestigation of the same issue</w:t>
      </w:r>
    </w:p>
    <w:p w14:paraId="7F1D31CD" w14:textId="37CCC273" w:rsidR="008F3BCA" w:rsidRDefault="008F3BCA" w:rsidP="00116640">
      <w:pPr>
        <w:pStyle w:val="LB1"/>
      </w:pPr>
      <w:r>
        <w:t>System must perform high-risk hits using predictive analysis/score for Identity Theft</w:t>
      </w:r>
    </w:p>
    <w:p w14:paraId="1E0C94BD" w14:textId="77777777" w:rsidR="008F3BCA" w:rsidRDefault="008F3BCA" w:rsidP="00F82166">
      <w:pPr>
        <w:pStyle w:val="OB1"/>
      </w:pPr>
      <w:r>
        <w:t>Verify identity of true SSN holder</w:t>
      </w:r>
    </w:p>
    <w:p w14:paraId="63B2D586" w14:textId="77777777" w:rsidR="008F3BCA" w:rsidRDefault="008F3BCA" w:rsidP="00F82166">
      <w:pPr>
        <w:pStyle w:val="OB1"/>
      </w:pPr>
      <w:r>
        <w:t>Make determinations</w:t>
      </w:r>
    </w:p>
    <w:p w14:paraId="5EB65EBA" w14:textId="77777777" w:rsidR="008F3BCA" w:rsidRDefault="008F3BCA" w:rsidP="00213BB1">
      <w:pPr>
        <w:pStyle w:val="SB1"/>
      </w:pPr>
      <w:r>
        <w:t>Identity Theft Claim</w:t>
      </w:r>
    </w:p>
    <w:p w14:paraId="155CF8BD" w14:textId="77777777" w:rsidR="008F3BCA" w:rsidRDefault="008F3BCA" w:rsidP="00E16D2D">
      <w:pPr>
        <w:pStyle w:val="DB1"/>
      </w:pPr>
      <w:r>
        <w:t>If payment made</w:t>
      </w:r>
    </w:p>
    <w:p w14:paraId="2ABF251B" w14:textId="77777777" w:rsidR="008F3BCA" w:rsidRDefault="008F3BCA" w:rsidP="00E16D2D">
      <w:pPr>
        <w:pStyle w:val="CB1"/>
      </w:pPr>
      <w:r>
        <w:t>Establish overpayment</w:t>
      </w:r>
    </w:p>
    <w:p w14:paraId="01FF4A5D" w14:textId="77777777" w:rsidR="008F3BCA" w:rsidRDefault="008F3BCA" w:rsidP="00116640">
      <w:pPr>
        <w:pStyle w:val="CB1"/>
      </w:pPr>
      <w:r>
        <w:t>Notify Collection</w:t>
      </w:r>
    </w:p>
    <w:p w14:paraId="39D48530" w14:textId="77777777" w:rsidR="008F3BCA" w:rsidRDefault="008F3BCA" w:rsidP="00F82166">
      <w:pPr>
        <w:pStyle w:val="CB1"/>
      </w:pPr>
      <w:r>
        <w:t xml:space="preserve">Lock account </w:t>
      </w:r>
    </w:p>
    <w:p w14:paraId="29064D25" w14:textId="77777777" w:rsidR="008F3BCA" w:rsidRDefault="008F3BCA" w:rsidP="00F82166">
      <w:pPr>
        <w:pStyle w:val="DB1"/>
      </w:pPr>
      <w:r>
        <w:t>If no payment made</w:t>
      </w:r>
    </w:p>
    <w:p w14:paraId="71CA5297" w14:textId="77777777" w:rsidR="008F3BCA" w:rsidRDefault="008F3BCA">
      <w:pPr>
        <w:pStyle w:val="CB1"/>
      </w:pPr>
      <w:r>
        <w:t>Lock account</w:t>
      </w:r>
    </w:p>
    <w:p w14:paraId="79CF5600" w14:textId="77777777" w:rsidR="008F3BCA" w:rsidRDefault="008F3BCA">
      <w:pPr>
        <w:pStyle w:val="DB1"/>
      </w:pPr>
      <w:r>
        <w:t>If Claimant responds timely</w:t>
      </w:r>
    </w:p>
    <w:p w14:paraId="2223349D" w14:textId="77777777" w:rsidR="008F3BCA" w:rsidRDefault="008F3BCA">
      <w:pPr>
        <w:pStyle w:val="CB1"/>
      </w:pPr>
      <w:r>
        <w:lastRenderedPageBreak/>
        <w:t>Verify identity of true SSN holder</w:t>
      </w:r>
    </w:p>
    <w:p w14:paraId="3BA63331" w14:textId="77777777" w:rsidR="008F3BCA" w:rsidRDefault="008F3BCA">
      <w:pPr>
        <w:pStyle w:val="CB1"/>
      </w:pPr>
      <w:r>
        <w:t>If Claimant verified</w:t>
      </w:r>
    </w:p>
    <w:p w14:paraId="7206B591" w14:textId="77777777" w:rsidR="008F3BCA" w:rsidRPr="00AD67DF" w:rsidRDefault="008F3BCA">
      <w:pPr>
        <w:pStyle w:val="DiaB1"/>
      </w:pPr>
      <w:r w:rsidRPr="00AD67DF">
        <w:t>Claim proceeds as usual</w:t>
      </w:r>
    </w:p>
    <w:p w14:paraId="0670628E" w14:textId="77777777" w:rsidR="008F3BCA" w:rsidRDefault="008F3BCA">
      <w:pPr>
        <w:pStyle w:val="CB1"/>
      </w:pPr>
      <w:r>
        <w:t>If Claimant not-verified</w:t>
      </w:r>
    </w:p>
    <w:p w14:paraId="2081A433" w14:textId="77777777" w:rsidR="008F3BCA" w:rsidRDefault="008F3BCA">
      <w:pPr>
        <w:pStyle w:val="DiaB1"/>
      </w:pPr>
      <w:r>
        <w:t>Establish overpayment if necessary</w:t>
      </w:r>
    </w:p>
    <w:p w14:paraId="2884FE5D" w14:textId="77777777" w:rsidR="008F3BCA" w:rsidRDefault="008F3BCA">
      <w:pPr>
        <w:pStyle w:val="DiaB1"/>
      </w:pPr>
      <w:r>
        <w:t xml:space="preserve">Lock account </w:t>
      </w:r>
    </w:p>
    <w:p w14:paraId="111EF45A" w14:textId="77777777" w:rsidR="008F3BCA" w:rsidRDefault="008F3BCA">
      <w:pPr>
        <w:pStyle w:val="DB1"/>
      </w:pPr>
      <w:r>
        <w:t>If Claimant fails to respond to contact request</w:t>
      </w:r>
    </w:p>
    <w:p w14:paraId="6B90EDDE" w14:textId="77777777" w:rsidR="008F3BCA" w:rsidRDefault="008F3BCA">
      <w:pPr>
        <w:pStyle w:val="CB1"/>
      </w:pPr>
      <w:r>
        <w:t>Open period of ineligibility issued</w:t>
      </w:r>
    </w:p>
    <w:p w14:paraId="3202614C" w14:textId="77777777" w:rsidR="008F3BCA" w:rsidRDefault="008F3BCA">
      <w:pPr>
        <w:pStyle w:val="CB1"/>
      </w:pPr>
      <w:r>
        <w:t>Issue a determination for failure to respond</w:t>
      </w:r>
    </w:p>
    <w:p w14:paraId="205B7FFF" w14:textId="77777777" w:rsidR="008F3BCA" w:rsidRDefault="008F3BCA">
      <w:pPr>
        <w:pStyle w:val="CB1"/>
      </w:pPr>
      <w:r>
        <w:t>If payment made</w:t>
      </w:r>
    </w:p>
    <w:p w14:paraId="714A15E0" w14:textId="77777777" w:rsidR="008F3BCA" w:rsidRDefault="008F3BCA">
      <w:pPr>
        <w:pStyle w:val="DiaB1"/>
      </w:pPr>
      <w:r>
        <w:t>Establish overpayment</w:t>
      </w:r>
    </w:p>
    <w:p w14:paraId="42363413" w14:textId="77777777" w:rsidR="008F3BCA" w:rsidRDefault="008F3BCA">
      <w:pPr>
        <w:pStyle w:val="DiaB1"/>
      </w:pPr>
      <w:r>
        <w:t>Lock account</w:t>
      </w:r>
    </w:p>
    <w:p w14:paraId="3478A6ED" w14:textId="77777777" w:rsidR="008F3BCA" w:rsidRDefault="008F3BCA">
      <w:pPr>
        <w:pStyle w:val="DB1"/>
      </w:pPr>
      <w:r>
        <w:t>If Claimant responds after open period established</w:t>
      </w:r>
    </w:p>
    <w:p w14:paraId="13A8ACC4" w14:textId="77777777" w:rsidR="008F3BCA" w:rsidRDefault="008F3BCA">
      <w:pPr>
        <w:pStyle w:val="CB1"/>
      </w:pPr>
      <w:r>
        <w:t>Verify identity of true SSN holder</w:t>
      </w:r>
    </w:p>
    <w:p w14:paraId="48F88670" w14:textId="77777777" w:rsidR="008F3BCA" w:rsidRDefault="008F3BCA">
      <w:pPr>
        <w:pStyle w:val="CB1"/>
      </w:pPr>
      <w:r>
        <w:t>Reverse or close open ineligibility</w:t>
      </w:r>
    </w:p>
    <w:p w14:paraId="014A491D" w14:textId="77777777" w:rsidR="008F3BCA" w:rsidRDefault="008F3BCA">
      <w:pPr>
        <w:pStyle w:val="DiaB1"/>
      </w:pPr>
      <w:r>
        <w:t>Remove overpayment</w:t>
      </w:r>
    </w:p>
    <w:p w14:paraId="19E38985" w14:textId="77777777" w:rsidR="008F3BCA" w:rsidRDefault="008F3BCA">
      <w:pPr>
        <w:pStyle w:val="CB1"/>
      </w:pPr>
      <w:r>
        <w:t>Unlock account</w:t>
      </w:r>
    </w:p>
    <w:p w14:paraId="491F7EB2" w14:textId="77777777" w:rsidR="008F3BCA" w:rsidRDefault="008F3BCA" w:rsidP="00213BB1">
      <w:pPr>
        <w:pStyle w:val="SB1"/>
      </w:pPr>
      <w:r>
        <w:t>Valid Claim</w:t>
      </w:r>
    </w:p>
    <w:p w14:paraId="584C4DAA" w14:textId="77777777" w:rsidR="008F3BCA" w:rsidRDefault="008F3BCA" w:rsidP="00E16D2D">
      <w:pPr>
        <w:pStyle w:val="CB1"/>
      </w:pPr>
      <w:r>
        <w:t>Claim proceeds as usual</w:t>
      </w:r>
    </w:p>
    <w:p w14:paraId="024C5092" w14:textId="77777777" w:rsidR="008F3BCA" w:rsidRDefault="008F3BCA" w:rsidP="00E16D2D">
      <w:pPr>
        <w:pStyle w:val="LB1"/>
      </w:pPr>
      <w:r>
        <w:t>System must allow Staff to investigate potential high-risk activity</w:t>
      </w:r>
    </w:p>
    <w:p w14:paraId="44BBB466" w14:textId="77777777" w:rsidR="008F3BCA" w:rsidRDefault="008F3BCA" w:rsidP="00116640">
      <w:pPr>
        <w:pStyle w:val="OB1"/>
      </w:pPr>
      <w:r>
        <w:t xml:space="preserve">Internal </w:t>
      </w:r>
    </w:p>
    <w:p w14:paraId="70049235" w14:textId="77777777" w:rsidR="008F3BCA" w:rsidRDefault="008F3BCA" w:rsidP="00213BB1">
      <w:pPr>
        <w:pStyle w:val="SB1"/>
      </w:pPr>
      <w:r>
        <w:t>Staff analyze data</w:t>
      </w:r>
    </w:p>
    <w:p w14:paraId="7A69F456" w14:textId="77777777" w:rsidR="008F3BCA" w:rsidRDefault="008F3BCA" w:rsidP="00213BB1">
      <w:pPr>
        <w:pStyle w:val="SB1"/>
      </w:pPr>
      <w:r>
        <w:t xml:space="preserve">Staff opens case if necessary </w:t>
      </w:r>
    </w:p>
    <w:p w14:paraId="4DCF7576" w14:textId="77777777" w:rsidR="008F3BCA" w:rsidRDefault="008F3BCA" w:rsidP="00E16D2D">
      <w:pPr>
        <w:pStyle w:val="DB1"/>
      </w:pPr>
      <w:r>
        <w:t>Contact parties</w:t>
      </w:r>
    </w:p>
    <w:p w14:paraId="2ADA1133" w14:textId="77777777" w:rsidR="008F3BCA" w:rsidRDefault="008F3BCA" w:rsidP="00E16D2D">
      <w:pPr>
        <w:pStyle w:val="DB1"/>
      </w:pPr>
      <w:r>
        <w:t>Create Report of Findings</w:t>
      </w:r>
    </w:p>
    <w:p w14:paraId="0AD2A97F" w14:textId="77777777" w:rsidR="008F3BCA" w:rsidRDefault="008F3BCA" w:rsidP="00116640">
      <w:pPr>
        <w:pStyle w:val="DB1"/>
      </w:pPr>
      <w:r>
        <w:t>Issue recommendations</w:t>
      </w:r>
    </w:p>
    <w:p w14:paraId="4EBD2A0E" w14:textId="77777777" w:rsidR="008F3BCA" w:rsidRDefault="008F3BCA" w:rsidP="00F82166">
      <w:pPr>
        <w:pStyle w:val="OB1"/>
      </w:pPr>
      <w:r>
        <w:t>Fictitious Employers</w:t>
      </w:r>
    </w:p>
    <w:p w14:paraId="4A032869" w14:textId="77777777" w:rsidR="008F3BCA" w:rsidRDefault="008F3BCA" w:rsidP="00213BB1">
      <w:pPr>
        <w:pStyle w:val="SB1"/>
      </w:pPr>
      <w:r>
        <w:t>Staff analyze data</w:t>
      </w:r>
    </w:p>
    <w:p w14:paraId="76322F5D" w14:textId="77777777" w:rsidR="008F3BCA" w:rsidRDefault="008F3BCA" w:rsidP="00213BB1">
      <w:pPr>
        <w:pStyle w:val="SB1"/>
      </w:pPr>
      <w:r>
        <w:t xml:space="preserve">Staff opens case if necessary </w:t>
      </w:r>
    </w:p>
    <w:p w14:paraId="7E500036" w14:textId="77777777" w:rsidR="008F3BCA" w:rsidRDefault="008F3BCA" w:rsidP="00E16D2D">
      <w:pPr>
        <w:pStyle w:val="DB1"/>
      </w:pPr>
      <w:r>
        <w:t>Contact parties</w:t>
      </w:r>
    </w:p>
    <w:p w14:paraId="5E251A84" w14:textId="77777777" w:rsidR="008F3BCA" w:rsidRDefault="008F3BCA" w:rsidP="00E16D2D">
      <w:pPr>
        <w:pStyle w:val="DB1"/>
      </w:pPr>
      <w:r>
        <w:t>Make determinations</w:t>
      </w:r>
    </w:p>
    <w:p w14:paraId="50772061" w14:textId="77777777" w:rsidR="008F3BCA" w:rsidRDefault="008F3BCA" w:rsidP="00116640">
      <w:pPr>
        <w:pStyle w:val="DB1"/>
      </w:pPr>
      <w:r>
        <w:t>Determine fraud and no-fraud</w:t>
      </w:r>
    </w:p>
    <w:p w14:paraId="7AF1F2B6" w14:textId="46536054" w:rsidR="00C54FFA" w:rsidRDefault="00C54FFA" w:rsidP="00F82166">
      <w:pPr>
        <w:pStyle w:val="DB1"/>
      </w:pPr>
      <w:r>
        <w:t>Relate associated claims to multi-</w:t>
      </w:r>
      <w:r w:rsidR="00930F59">
        <w:t>Claimant</w:t>
      </w:r>
      <w:r>
        <w:t>, fictitious employment/</w:t>
      </w:r>
      <w:r w:rsidR="00930F59">
        <w:t>Employer</w:t>
      </w:r>
      <w:r>
        <w:t>, and other schemes</w:t>
      </w:r>
    </w:p>
    <w:p w14:paraId="2EF92408" w14:textId="605FA3DD" w:rsidR="00C54FFA" w:rsidRDefault="00C54FFA" w:rsidP="00F82166">
      <w:pPr>
        <w:pStyle w:val="DB1"/>
      </w:pPr>
      <w:r>
        <w:t>Establish joint and several liability for court-ordered restitution on multi-</w:t>
      </w:r>
      <w:r w:rsidR="00930F59">
        <w:t>Claimant</w:t>
      </w:r>
      <w:r>
        <w:t>, fictitious employment/</w:t>
      </w:r>
      <w:r w:rsidR="00930F59">
        <w:t>Employer</w:t>
      </w:r>
      <w:r>
        <w:t>, and other schemes</w:t>
      </w:r>
    </w:p>
    <w:p w14:paraId="069A73E5" w14:textId="6D8ABA4E" w:rsidR="008F3BCA" w:rsidRPr="00AC5ADA" w:rsidRDefault="00C54FFA">
      <w:pPr>
        <w:pStyle w:val="DB1"/>
      </w:pPr>
      <w:bookmarkStart w:id="361" w:name="_Hlk532887185"/>
      <w:r>
        <w:t>Notify state and/or federal probation of collections by TWC through offset, absorption or the Treasury Offset Program, or other, for court ordered restitution</w:t>
      </w:r>
      <w:bookmarkEnd w:id="361"/>
    </w:p>
    <w:p w14:paraId="6E5CD8A1" w14:textId="77777777" w:rsidR="008F3BCA" w:rsidRDefault="008F3BCA">
      <w:pPr>
        <w:pStyle w:val="OB1"/>
      </w:pPr>
      <w:r>
        <w:lastRenderedPageBreak/>
        <w:t>Tips and Leads</w:t>
      </w:r>
    </w:p>
    <w:p w14:paraId="7AEF7A6B" w14:textId="77777777" w:rsidR="008F3BCA" w:rsidRDefault="008F3BCA" w:rsidP="00213BB1">
      <w:pPr>
        <w:pStyle w:val="SB1"/>
      </w:pPr>
      <w:r>
        <w:t>Staff analyze data</w:t>
      </w:r>
    </w:p>
    <w:p w14:paraId="5038444B" w14:textId="77777777" w:rsidR="008F3BCA" w:rsidRDefault="008F3BCA" w:rsidP="00213BB1">
      <w:pPr>
        <w:pStyle w:val="SB1"/>
      </w:pPr>
      <w:r>
        <w:t xml:space="preserve">Staff opens case if necessary </w:t>
      </w:r>
    </w:p>
    <w:p w14:paraId="19A0E0F8" w14:textId="77777777" w:rsidR="008F3BCA" w:rsidRDefault="008F3BCA" w:rsidP="00E16D2D">
      <w:pPr>
        <w:pStyle w:val="DB1"/>
      </w:pPr>
      <w:r>
        <w:t>Contact parties</w:t>
      </w:r>
    </w:p>
    <w:p w14:paraId="4BE336E7" w14:textId="77777777" w:rsidR="008F3BCA" w:rsidRDefault="008F3BCA" w:rsidP="00E16D2D">
      <w:pPr>
        <w:pStyle w:val="DB1"/>
      </w:pPr>
      <w:r>
        <w:t>Make determinations</w:t>
      </w:r>
    </w:p>
    <w:p w14:paraId="66BE0738" w14:textId="77777777" w:rsidR="008F3BCA" w:rsidRDefault="008F3BCA" w:rsidP="00116640">
      <w:pPr>
        <w:pStyle w:val="DB1"/>
      </w:pPr>
      <w:r>
        <w:t>Determine fraud and no-fraud</w:t>
      </w:r>
    </w:p>
    <w:p w14:paraId="2327DE3D" w14:textId="77777777" w:rsidR="008F3BCA" w:rsidRDefault="008F3BCA" w:rsidP="00F82166">
      <w:pPr>
        <w:pStyle w:val="CB1"/>
      </w:pPr>
      <w:r>
        <w:t>If fraud, a senior investigator review is required (second vote)</w:t>
      </w:r>
    </w:p>
    <w:p w14:paraId="4B859D68" w14:textId="77777777" w:rsidR="008F3BCA" w:rsidRDefault="008F3BCA" w:rsidP="00F82166">
      <w:pPr>
        <w:pStyle w:val="DB1"/>
      </w:pPr>
      <w:r>
        <w:t>Establish overpayment</w:t>
      </w:r>
    </w:p>
    <w:p w14:paraId="71524794" w14:textId="0F4503DB" w:rsidR="001B153D" w:rsidRDefault="001B153D">
      <w:pPr>
        <w:pStyle w:val="LB1"/>
      </w:pPr>
      <w:r>
        <w:t>For all fraud determinations, S</w:t>
      </w:r>
      <w:r w:rsidRPr="00FB1F22">
        <w:t>ystem must</w:t>
      </w:r>
      <w:r>
        <w:t>:</w:t>
      </w:r>
      <w:r w:rsidRPr="00FB1F22">
        <w:t xml:space="preserve"> </w:t>
      </w:r>
    </w:p>
    <w:p w14:paraId="7C90E256" w14:textId="1C0CC22C" w:rsidR="001B153D" w:rsidRDefault="001B153D">
      <w:pPr>
        <w:pStyle w:val="OB1"/>
      </w:pPr>
      <w:r>
        <w:t>Count the case for DOL case tracking</w:t>
      </w:r>
    </w:p>
    <w:p w14:paraId="5D47FAE5" w14:textId="12B4F8F6" w:rsidR="001B153D" w:rsidRDefault="001B153D">
      <w:pPr>
        <w:pStyle w:val="OB1"/>
      </w:pPr>
      <w:r>
        <w:t>E</w:t>
      </w:r>
      <w:r w:rsidRPr="00FB1F22">
        <w:t xml:space="preserve">stablish an additional fraud monetary penalty </w:t>
      </w:r>
      <w:r>
        <w:t xml:space="preserve">on willful fraud amount </w:t>
      </w:r>
      <w:r w:rsidRPr="00FB1F22">
        <w:t>and allow for allocation between funds based upon current law</w:t>
      </w:r>
    </w:p>
    <w:p w14:paraId="2D71148F" w14:textId="4650D3EC" w:rsidR="001B153D" w:rsidRDefault="001B153D">
      <w:pPr>
        <w:pStyle w:val="OB1"/>
      </w:pPr>
      <w:r>
        <w:t xml:space="preserve">Allow </w:t>
      </w:r>
      <w:r w:rsidR="00AB2A27">
        <w:t>Investigators to add additional</w:t>
      </w:r>
      <w:r>
        <w:t xml:space="preserve"> interested parties (one or more Employers)</w:t>
      </w:r>
    </w:p>
    <w:p w14:paraId="662E84F8" w14:textId="77777777" w:rsidR="001B153D" w:rsidRDefault="001B153D">
      <w:pPr>
        <w:pStyle w:val="OB1"/>
      </w:pPr>
      <w:r>
        <w:t>Determine willful and administrative earnings corrections based on business rules</w:t>
      </w:r>
    </w:p>
    <w:p w14:paraId="3FA1EA7F" w14:textId="4384C592" w:rsidR="008F3BCA" w:rsidRDefault="008F3BCA">
      <w:pPr>
        <w:pStyle w:val="LB1"/>
      </w:pPr>
      <w:r>
        <w:t>System must allow Claimant to address open issues in a real-time, interactive manner using messaging</w:t>
      </w:r>
      <w:r w:rsidR="002867A0">
        <w:t>,</w:t>
      </w:r>
      <w:r>
        <w:t xml:space="preserve"> </w:t>
      </w:r>
      <w:r w:rsidR="001B153D">
        <w:t xml:space="preserve">portals, </w:t>
      </w:r>
      <w:r>
        <w:t>predefined scripts</w:t>
      </w:r>
      <w:r w:rsidR="002867A0">
        <w:t>, and interactive fact-finding</w:t>
      </w:r>
      <w:r>
        <w:t>, including but not limited to:</w:t>
      </w:r>
    </w:p>
    <w:p w14:paraId="2ACC9384" w14:textId="77777777" w:rsidR="00DA3195" w:rsidRDefault="00DA3195">
      <w:pPr>
        <w:pStyle w:val="OB1"/>
      </w:pPr>
      <w:r>
        <w:t>Investigations</w:t>
      </w:r>
    </w:p>
    <w:p w14:paraId="41ADDDC2" w14:textId="4A6549C9" w:rsidR="008F3BCA" w:rsidRDefault="008F3BCA">
      <w:pPr>
        <w:pStyle w:val="OB1"/>
      </w:pPr>
      <w:r>
        <w:t>Cross-matches</w:t>
      </w:r>
    </w:p>
    <w:p w14:paraId="46212A3A" w14:textId="77777777" w:rsidR="008F3BCA" w:rsidRDefault="008F3BCA">
      <w:pPr>
        <w:pStyle w:val="OB1"/>
      </w:pPr>
      <w:r>
        <w:t>Availability</w:t>
      </w:r>
    </w:p>
    <w:p w14:paraId="015DC93E" w14:textId="4421F251" w:rsidR="008F3BCA" w:rsidRDefault="008F3BCA">
      <w:pPr>
        <w:pStyle w:val="OB1"/>
      </w:pPr>
      <w:r>
        <w:t>Earnings</w:t>
      </w:r>
    </w:p>
    <w:p w14:paraId="6559E40A" w14:textId="775C4FAF" w:rsidR="001B153D" w:rsidRDefault="001B153D">
      <w:pPr>
        <w:pStyle w:val="OB1"/>
      </w:pPr>
      <w:r>
        <w:t>Etc.</w:t>
      </w:r>
    </w:p>
    <w:p w14:paraId="7351CBF5" w14:textId="5164EC7A" w:rsidR="00AB2A27" w:rsidRDefault="00AB2A27">
      <w:pPr>
        <w:pStyle w:val="LB1"/>
      </w:pPr>
      <w:r>
        <w:t xml:space="preserve">System must notify </w:t>
      </w:r>
      <w:r w:rsidR="00EB35E2">
        <w:t>Staff when Claimant has out of s</w:t>
      </w:r>
      <w:r>
        <w:t xml:space="preserve">tate wages </w:t>
      </w:r>
    </w:p>
    <w:p w14:paraId="53772FCF" w14:textId="70EA2188" w:rsidR="00026BFB" w:rsidRPr="00EB2D8D" w:rsidRDefault="00026BFB">
      <w:pPr>
        <w:pStyle w:val="LB1"/>
        <w:rPr>
          <w:rStyle w:val="Hyperlink"/>
          <w:color w:val="auto"/>
          <w:u w:val="none"/>
        </w:rPr>
      </w:pPr>
      <w:r>
        <w:t xml:space="preserve">System must include Case Management and Workflow functionality, described in General Process Descriptions, see </w:t>
      </w:r>
      <w:hyperlink w:anchor="_A6.9_General" w:history="1">
        <w:r>
          <w:rPr>
            <w:rStyle w:val="Hyperlink"/>
          </w:rPr>
          <w:t>Attachment A6.9</w:t>
        </w:r>
      </w:hyperlink>
    </w:p>
    <w:p w14:paraId="61154E0C" w14:textId="11842C6E" w:rsidR="00EB2D8D" w:rsidRDefault="00EB2D8D">
      <w:pPr>
        <w:pStyle w:val="LB1"/>
      </w:pPr>
      <w:r w:rsidRPr="004D7A93">
        <w:t>When a case is remanded</w:t>
      </w:r>
      <w:r w:rsidR="00F21781" w:rsidRPr="004D7A93">
        <w:t xml:space="preserve"> or referred</w:t>
      </w:r>
      <w:r w:rsidRPr="004D7A93">
        <w:t xml:space="preserve">, System must create a work item to be researched </w:t>
      </w:r>
      <w:r w:rsidR="00F21781" w:rsidRPr="004D7A93">
        <w:t xml:space="preserve">by the appropriate party </w:t>
      </w:r>
      <w:r w:rsidRPr="004D7A93">
        <w:t>to gather additional information</w:t>
      </w:r>
      <w:r w:rsidR="00F21781" w:rsidRPr="004D7A93">
        <w:t xml:space="preserve">, </w:t>
      </w:r>
      <w:r w:rsidR="004D7A93">
        <w:t xml:space="preserve">track the work item, </w:t>
      </w:r>
      <w:r w:rsidR="00F21781" w:rsidRPr="004D7A93">
        <w:t xml:space="preserve">and </w:t>
      </w:r>
      <w:r w:rsidR="004D7A93">
        <w:t xml:space="preserve">return </w:t>
      </w:r>
      <w:r w:rsidR="00F21781" w:rsidRPr="004D7A93">
        <w:t>the response to the requestor</w:t>
      </w:r>
    </w:p>
    <w:p w14:paraId="7C1F302C" w14:textId="77777777" w:rsidR="008F3BCA" w:rsidRDefault="008F3BCA" w:rsidP="008F3BCA"/>
    <w:p w14:paraId="5387F5B6" w14:textId="2998A1BD" w:rsidR="008F3BCA" w:rsidRDefault="008F3BCA" w:rsidP="008F3BCA">
      <w:pPr>
        <w:rPr>
          <w:u w:val="single"/>
        </w:rPr>
      </w:pPr>
      <w:r w:rsidRPr="008F3BCA">
        <w:rPr>
          <w:u w:val="single"/>
        </w:rPr>
        <w:t>Alternate Activities and Special Cases</w:t>
      </w:r>
    </w:p>
    <w:p w14:paraId="0199AA07" w14:textId="77777777" w:rsidR="004F7DCA" w:rsidRDefault="004F7DCA" w:rsidP="004F7DCA">
      <w:r>
        <w:t>System must support the following alternate activities and special cases:</w:t>
      </w:r>
    </w:p>
    <w:p w14:paraId="21EA2D19" w14:textId="77777777" w:rsidR="008F3BCA" w:rsidRDefault="008F3BCA" w:rsidP="00E16D2D">
      <w:pPr>
        <w:pStyle w:val="LB1"/>
      </w:pPr>
      <w:r>
        <w:t>Special investigations</w:t>
      </w:r>
    </w:p>
    <w:p w14:paraId="2FD0D3BA" w14:textId="77777777" w:rsidR="008F3BCA" w:rsidRDefault="008F3BCA" w:rsidP="00E16D2D">
      <w:pPr>
        <w:pStyle w:val="LB1"/>
      </w:pPr>
      <w:r>
        <w:t>Multi-Claimant schemes</w:t>
      </w:r>
    </w:p>
    <w:p w14:paraId="5C241520" w14:textId="0A956E1F" w:rsidR="002867A0" w:rsidRDefault="002867A0" w:rsidP="00116640">
      <w:pPr>
        <w:pStyle w:val="LB1"/>
      </w:pPr>
      <w:r>
        <w:t>Code claims as part of a special investigation or multi-</w:t>
      </w:r>
      <w:r w:rsidR="00930F59">
        <w:t>Claimant</w:t>
      </w:r>
      <w:r>
        <w:t xml:space="preserve"> scheme for </w:t>
      </w:r>
      <w:r w:rsidR="00D51C30">
        <w:t xml:space="preserve">ETA </w:t>
      </w:r>
      <w:r>
        <w:t>227 reporting and historical purposes</w:t>
      </w:r>
    </w:p>
    <w:p w14:paraId="79575085" w14:textId="1E090C28" w:rsidR="008F3BCA" w:rsidRDefault="008F3BCA" w:rsidP="00F82166">
      <w:pPr>
        <w:pStyle w:val="LB1"/>
      </w:pPr>
      <w:r>
        <w:t>Former TWC employee files a non-liable Last Employing Unit (LEU) claim</w:t>
      </w:r>
    </w:p>
    <w:p w14:paraId="7BD4F502" w14:textId="48993F38" w:rsidR="00EB2D8D" w:rsidRDefault="00EB1765" w:rsidP="00F82166">
      <w:pPr>
        <w:pStyle w:val="LB1"/>
      </w:pPr>
      <w:r>
        <w:t>DUA claims-2 specific fraud decisions for DUA</w:t>
      </w:r>
    </w:p>
    <w:p w14:paraId="3A1B2A1A" w14:textId="1D88984E" w:rsidR="00F21781" w:rsidRDefault="00F21781">
      <w:pPr>
        <w:pStyle w:val="LB1"/>
      </w:pPr>
      <w:r>
        <w:t>TRA and/or TRX claims</w:t>
      </w:r>
    </w:p>
    <w:p w14:paraId="46A413A5" w14:textId="77777777" w:rsidR="008F3BCA" w:rsidRDefault="008F3BCA" w:rsidP="008F3BCA"/>
    <w:p w14:paraId="06A47C56" w14:textId="6F48C50B" w:rsidR="00F92893" w:rsidRDefault="00F92893" w:rsidP="00F92893">
      <w:pPr>
        <w:pStyle w:val="Heading4"/>
      </w:pPr>
      <w:r>
        <w:tab/>
      </w:r>
      <w:r w:rsidR="007D3115">
        <w:t>Investigate, Prepare, and Refer Cases for Criminal Prosecution</w:t>
      </w:r>
    </w:p>
    <w:p w14:paraId="6F4292FB" w14:textId="2988A9B7" w:rsidR="00F92893" w:rsidRPr="00B0723C" w:rsidRDefault="007D3115" w:rsidP="00F92893">
      <w:r>
        <w:t>This process includes all activities required to further investigate, prepare, and refer cases for criminal prosecution</w:t>
      </w:r>
      <w:r w:rsidR="00F92893">
        <w:t>.</w:t>
      </w:r>
    </w:p>
    <w:p w14:paraId="680D99AC" w14:textId="77777777" w:rsidR="00F92893" w:rsidRPr="003A23F0" w:rsidRDefault="00F92893" w:rsidP="00F92893">
      <w:pPr>
        <w:rPr>
          <w:u w:val="single"/>
        </w:rPr>
      </w:pPr>
      <w:r w:rsidRPr="003A23F0">
        <w:rPr>
          <w:u w:val="single"/>
        </w:rPr>
        <w:t>Actors</w:t>
      </w:r>
    </w:p>
    <w:p w14:paraId="6CCD4A4D" w14:textId="77777777" w:rsidR="00F92893" w:rsidRDefault="00F92893" w:rsidP="00E16D2D">
      <w:pPr>
        <w:pStyle w:val="LB1"/>
      </w:pPr>
      <w:r>
        <w:t>Staff</w:t>
      </w:r>
    </w:p>
    <w:p w14:paraId="1AA85E9E" w14:textId="77777777" w:rsidR="00F92893" w:rsidRPr="00DF6567" w:rsidRDefault="00F92893" w:rsidP="00F92893"/>
    <w:p w14:paraId="48428394" w14:textId="77777777" w:rsidR="00F92893" w:rsidRPr="003A23F0" w:rsidRDefault="00F92893" w:rsidP="00F92893">
      <w:pPr>
        <w:rPr>
          <w:u w:val="single"/>
        </w:rPr>
      </w:pPr>
      <w:r w:rsidRPr="003A23F0">
        <w:rPr>
          <w:u w:val="single"/>
        </w:rPr>
        <w:t>Main Activities</w:t>
      </w:r>
    </w:p>
    <w:p w14:paraId="4D377CFE" w14:textId="55FDD0C7" w:rsidR="007D3115" w:rsidRDefault="007D3115" w:rsidP="00E16D2D">
      <w:pPr>
        <w:pStyle w:val="LB1"/>
      </w:pPr>
      <w:r>
        <w:t xml:space="preserve">System must identify BPC </w:t>
      </w:r>
      <w:r w:rsidRPr="00CE32ED">
        <w:t>Earnings f</w:t>
      </w:r>
      <w:r>
        <w:t xml:space="preserve">raud determinations for use by Prosecutions unit, </w:t>
      </w:r>
      <w:r w:rsidRPr="00CE32ED">
        <w:t>based on business rules</w:t>
      </w:r>
      <w:r>
        <w:t xml:space="preserve">, and save them in the </w:t>
      </w:r>
      <w:r w:rsidR="00EB35E2">
        <w:t>CMS</w:t>
      </w:r>
      <w:r>
        <w:t>:</w:t>
      </w:r>
    </w:p>
    <w:p w14:paraId="64C2F7C2" w14:textId="77777777" w:rsidR="007D3115" w:rsidRDefault="007D3115" w:rsidP="00E16D2D">
      <w:pPr>
        <w:pStyle w:val="OB1"/>
      </w:pPr>
      <w:r>
        <w:t>Claim ID</w:t>
      </w:r>
    </w:p>
    <w:p w14:paraId="26A7C55D" w14:textId="77777777" w:rsidR="007D3115" w:rsidRDefault="007D3115" w:rsidP="00116640">
      <w:pPr>
        <w:pStyle w:val="OB1"/>
      </w:pPr>
      <w:r>
        <w:t>Claimant name and address</w:t>
      </w:r>
    </w:p>
    <w:p w14:paraId="0D4B4C3E" w14:textId="77777777" w:rsidR="007D3115" w:rsidRDefault="007D3115" w:rsidP="00F82166">
      <w:pPr>
        <w:pStyle w:val="OB1"/>
      </w:pPr>
      <w:r>
        <w:t>County</w:t>
      </w:r>
    </w:p>
    <w:p w14:paraId="1CB896A1" w14:textId="77777777" w:rsidR="007D3115" w:rsidRDefault="007D3115" w:rsidP="00F82166">
      <w:pPr>
        <w:pStyle w:val="OB1"/>
      </w:pPr>
      <w:r>
        <w:t>SSNs</w:t>
      </w:r>
    </w:p>
    <w:p w14:paraId="7077697D" w14:textId="77777777" w:rsidR="007D3115" w:rsidRDefault="007D3115">
      <w:pPr>
        <w:pStyle w:val="OB1"/>
      </w:pPr>
      <w:r>
        <w:t>Egregiousness level</w:t>
      </w:r>
    </w:p>
    <w:p w14:paraId="3016D9CC" w14:textId="77777777" w:rsidR="007D3115" w:rsidRDefault="007D3115" w:rsidP="007D3115">
      <w:pPr>
        <w:pStyle w:val="SB1"/>
      </w:pPr>
      <w:r>
        <w:t>Breakdown of willful fraud weeks and administrative forfeiture weeks</w:t>
      </w:r>
    </w:p>
    <w:p w14:paraId="77AE2479" w14:textId="77777777" w:rsidR="007D3115" w:rsidRDefault="007D3115" w:rsidP="00E16D2D">
      <w:pPr>
        <w:pStyle w:val="OB1"/>
      </w:pPr>
      <w:r>
        <w:t>Fraud determination date</w:t>
      </w:r>
    </w:p>
    <w:p w14:paraId="6EBA2D17" w14:textId="77777777" w:rsidR="007D3115" w:rsidRDefault="007D3115" w:rsidP="00E16D2D">
      <w:pPr>
        <w:pStyle w:val="OB1"/>
      </w:pPr>
      <w:r>
        <w:t>Form of payment (direct deposit or debit card)</w:t>
      </w:r>
    </w:p>
    <w:p w14:paraId="565A0B1C" w14:textId="40C0C8DB" w:rsidR="007D3115" w:rsidRPr="00CE32ED" w:rsidRDefault="007D3115" w:rsidP="00116640">
      <w:pPr>
        <w:pStyle w:val="OB1"/>
      </w:pPr>
      <w:r w:rsidRPr="00CE32ED">
        <w:t>Number of</w:t>
      </w:r>
      <w:r>
        <w:t xml:space="preserve"> List Employers involved during fraud period </w:t>
      </w:r>
    </w:p>
    <w:p w14:paraId="57691D98" w14:textId="5B936D36" w:rsidR="007D3115" w:rsidRDefault="007D3115" w:rsidP="00F82166">
      <w:pPr>
        <w:pStyle w:val="LB1"/>
      </w:pPr>
      <w:r>
        <w:t xml:space="preserve">System must send </w:t>
      </w:r>
      <w:r w:rsidRPr="00CE32ED">
        <w:t>N</w:t>
      </w:r>
      <w:r>
        <w:t>otice</w:t>
      </w:r>
      <w:r w:rsidRPr="00CE32ED">
        <w:t>s</w:t>
      </w:r>
      <w:r>
        <w:t xml:space="preserve"> of </w:t>
      </w:r>
      <w:r w:rsidRPr="00CE32ED">
        <w:t>Potential P</w:t>
      </w:r>
      <w:r>
        <w:t xml:space="preserve">rosecution based on prosecution status codes, templates and business rules. </w:t>
      </w:r>
    </w:p>
    <w:p w14:paraId="76A123B0" w14:textId="77777777" w:rsidR="007D3115" w:rsidRDefault="007D3115" w:rsidP="00F82166">
      <w:pPr>
        <w:pStyle w:val="LB1"/>
      </w:pPr>
      <w:r>
        <w:t>System must present Staff with a list of cases</w:t>
      </w:r>
      <w:r w:rsidRPr="00A55CAC">
        <w:t xml:space="preserve"> </w:t>
      </w:r>
      <w:r>
        <w:t>likely for prosecution</w:t>
      </w:r>
    </w:p>
    <w:p w14:paraId="1EE2FE1E" w14:textId="414ABE89" w:rsidR="007D3115" w:rsidRDefault="007D3115">
      <w:pPr>
        <w:pStyle w:val="OB1"/>
      </w:pPr>
      <w:r>
        <w:t xml:space="preserve">System must allow Staff to further investigate case and select the case for prosecution or instead move to </w:t>
      </w:r>
      <w:r w:rsidR="00EB35E2">
        <w:t xml:space="preserve">the </w:t>
      </w:r>
      <w:r>
        <w:t>collection path</w:t>
      </w:r>
    </w:p>
    <w:p w14:paraId="053B7D06" w14:textId="77777777" w:rsidR="007D3115" w:rsidRDefault="007D3115">
      <w:pPr>
        <w:pStyle w:val="OB1"/>
      </w:pPr>
      <w:r>
        <w:t>System must generate and send out subpoena notices on cases for prosecution based on templates</w:t>
      </w:r>
    </w:p>
    <w:p w14:paraId="56380487" w14:textId="77777777" w:rsidR="007D3115" w:rsidRDefault="007D3115">
      <w:pPr>
        <w:pStyle w:val="LB1"/>
      </w:pPr>
      <w:r>
        <w:t>System must allow Staff to deselect cases for prosecution</w:t>
      </w:r>
    </w:p>
    <w:p w14:paraId="3E129578" w14:textId="77777777" w:rsidR="007D3115" w:rsidRDefault="007D3115">
      <w:pPr>
        <w:pStyle w:val="OB1"/>
      </w:pPr>
      <w:r>
        <w:t xml:space="preserve">System must move the case to the collection path </w:t>
      </w:r>
      <w:r w:rsidRPr="00FD38B3">
        <w:t>and change Prosecutions monthly minimum payment (MMP) amount to the collections MMP amount</w:t>
      </w:r>
    </w:p>
    <w:p w14:paraId="69FD020B" w14:textId="77777777" w:rsidR="007D3115" w:rsidRDefault="007D3115">
      <w:pPr>
        <w:pStyle w:val="OB1"/>
      </w:pPr>
      <w:r>
        <w:t>System must replace the deselected case with the next likely case for prosecution</w:t>
      </w:r>
    </w:p>
    <w:p w14:paraId="2A445DF4" w14:textId="77777777" w:rsidR="007D3115" w:rsidRDefault="007D3115">
      <w:pPr>
        <w:pStyle w:val="LB1"/>
      </w:pPr>
      <w:r>
        <w:t>System must allow Staff to save case evidence in the CMS</w:t>
      </w:r>
    </w:p>
    <w:p w14:paraId="1BD51A15" w14:textId="77777777" w:rsidR="007D3115" w:rsidRDefault="007D3115">
      <w:pPr>
        <w:pStyle w:val="LB1"/>
      </w:pPr>
      <w:r>
        <w:t>System must allow Staff to create a Profit Analysis report</w:t>
      </w:r>
    </w:p>
    <w:p w14:paraId="59565332" w14:textId="77777777" w:rsidR="007D3115" w:rsidRDefault="007D3115">
      <w:pPr>
        <w:pStyle w:val="OB1"/>
      </w:pPr>
      <w:r>
        <w:t>Benefit week ending</w:t>
      </w:r>
    </w:p>
    <w:p w14:paraId="5FC28E83" w14:textId="77777777" w:rsidR="007D3115" w:rsidRDefault="007D3115">
      <w:pPr>
        <w:pStyle w:val="OB1"/>
      </w:pPr>
      <w:r>
        <w:t>File date</w:t>
      </w:r>
    </w:p>
    <w:p w14:paraId="45E22044" w14:textId="77777777" w:rsidR="007D3115" w:rsidRDefault="007D3115">
      <w:pPr>
        <w:pStyle w:val="OB1"/>
      </w:pPr>
      <w:r>
        <w:t>Earnings reported for claim week by Claimant</w:t>
      </w:r>
    </w:p>
    <w:p w14:paraId="0EFCA108" w14:textId="77777777" w:rsidR="007D3115" w:rsidRDefault="007D3115">
      <w:pPr>
        <w:pStyle w:val="OB1"/>
      </w:pPr>
      <w:r>
        <w:t>Benefits received</w:t>
      </w:r>
      <w:r w:rsidRPr="00A971DD">
        <w:t xml:space="preserve"> </w:t>
      </w:r>
      <w:r>
        <w:t>for claim</w:t>
      </w:r>
    </w:p>
    <w:p w14:paraId="0CBA5899" w14:textId="77777777" w:rsidR="007D3115" w:rsidRDefault="007D3115">
      <w:pPr>
        <w:pStyle w:val="OB1"/>
      </w:pPr>
      <w:r>
        <w:t>Actual earnings for Claimant from Employer</w:t>
      </w:r>
    </w:p>
    <w:p w14:paraId="63E58AE5" w14:textId="77777777" w:rsidR="007D3115" w:rsidRDefault="007D3115">
      <w:pPr>
        <w:pStyle w:val="OB1"/>
      </w:pPr>
      <w:r>
        <w:t>Amount would have received if truthful about earnings (the net amount)</w:t>
      </w:r>
    </w:p>
    <w:p w14:paraId="780E5E90" w14:textId="5EC9E41F" w:rsidR="007D3115" w:rsidRDefault="00F67CDB">
      <w:pPr>
        <w:pStyle w:val="OB1"/>
      </w:pPr>
      <w:r>
        <w:lastRenderedPageBreak/>
        <w:t xml:space="preserve">System must allow Staff to </w:t>
      </w:r>
      <w:r w:rsidR="007D3115">
        <w:t>modify report</w:t>
      </w:r>
    </w:p>
    <w:p w14:paraId="5A4E9F51" w14:textId="77777777" w:rsidR="007D3115" w:rsidRDefault="007D3115">
      <w:pPr>
        <w:pStyle w:val="LB1"/>
      </w:pPr>
      <w:r>
        <w:t>System must allow Staff to create an Identity Report based on template and business rules</w:t>
      </w:r>
    </w:p>
    <w:p w14:paraId="1542BA93" w14:textId="77777777" w:rsidR="007D3115" w:rsidRDefault="007D3115">
      <w:pPr>
        <w:pStyle w:val="OB1"/>
      </w:pPr>
      <w:r>
        <w:t>Attach evidence</w:t>
      </w:r>
    </w:p>
    <w:p w14:paraId="3BFC4C34" w14:textId="548B6C14" w:rsidR="007D3115" w:rsidRDefault="00F67CDB">
      <w:pPr>
        <w:pStyle w:val="OB1"/>
      </w:pPr>
      <w:r>
        <w:t xml:space="preserve">System must allow Staff to </w:t>
      </w:r>
      <w:r w:rsidR="007D3115">
        <w:t>modify report</w:t>
      </w:r>
    </w:p>
    <w:p w14:paraId="59044693" w14:textId="77777777" w:rsidR="007D3115" w:rsidRDefault="007D3115">
      <w:pPr>
        <w:pStyle w:val="LB1"/>
      </w:pPr>
      <w:r>
        <w:t>System must allow Staff to indicate when the investigation is complete</w:t>
      </w:r>
    </w:p>
    <w:p w14:paraId="14144D85" w14:textId="3448240A" w:rsidR="007D3115" w:rsidRDefault="007D3115">
      <w:pPr>
        <w:pStyle w:val="OB1"/>
      </w:pPr>
      <w:r>
        <w:t>Staff make</w:t>
      </w:r>
      <w:r w:rsidR="00EB35E2">
        <w:t>s</w:t>
      </w:r>
      <w:r>
        <w:t xml:space="preserve"> recommendation</w:t>
      </w:r>
    </w:p>
    <w:p w14:paraId="69EEB22B" w14:textId="77777777" w:rsidR="007D3115" w:rsidRDefault="007D3115">
      <w:pPr>
        <w:pStyle w:val="OB1"/>
      </w:pPr>
      <w:r>
        <w:t>Manager makes final decision</w:t>
      </w:r>
    </w:p>
    <w:p w14:paraId="05360712" w14:textId="0C2E6B36" w:rsidR="007D3115" w:rsidRDefault="00EB35E2">
      <w:pPr>
        <w:pStyle w:val="LB1"/>
      </w:pPr>
      <w:r>
        <w:t xml:space="preserve">System must create a Case Summary, </w:t>
      </w:r>
      <w:r w:rsidR="008434F6">
        <w:t xml:space="preserve">basically </w:t>
      </w:r>
      <w:r>
        <w:t xml:space="preserve">a </w:t>
      </w:r>
      <w:r w:rsidR="007D3115">
        <w:t>fraud storyline</w:t>
      </w:r>
      <w:r>
        <w:t>,</w:t>
      </w:r>
      <w:r w:rsidR="007D3115">
        <w:t xml:space="preserve"> based on case details, templates and business rules </w:t>
      </w:r>
    </w:p>
    <w:p w14:paraId="04BA0327" w14:textId="77777777" w:rsidR="007D3115" w:rsidRDefault="007D3115">
      <w:pPr>
        <w:pStyle w:val="OB1"/>
      </w:pPr>
      <w:r>
        <w:t>System must allow Staff to modify Case Summary details</w:t>
      </w:r>
    </w:p>
    <w:p w14:paraId="6F1798D3" w14:textId="6B2974D8" w:rsidR="007D3115" w:rsidRDefault="007D3115">
      <w:pPr>
        <w:pStyle w:val="OB1"/>
      </w:pPr>
      <w:r>
        <w:t xml:space="preserve">System must allow Staff to attach evidence, screen shots, electronic correspondence, etc. to Case </w:t>
      </w:r>
      <w:r w:rsidR="00F17B71">
        <w:t>Summaries</w:t>
      </w:r>
    </w:p>
    <w:p w14:paraId="774ED68D" w14:textId="2C91BF0B" w:rsidR="007D3115" w:rsidRDefault="007D3115">
      <w:pPr>
        <w:pStyle w:val="LB1"/>
      </w:pPr>
      <w:r>
        <w:t>System must be able to print or save electronically preselected UI benefit records in a specific order</w:t>
      </w:r>
    </w:p>
    <w:p w14:paraId="2689E1D3" w14:textId="642AB01E" w:rsidR="007D3115" w:rsidRDefault="007D3115">
      <w:pPr>
        <w:pStyle w:val="OB1"/>
      </w:pPr>
      <w:r>
        <w:t>Staff make</w:t>
      </w:r>
      <w:r w:rsidR="00EB35E2">
        <w:t>s</w:t>
      </w:r>
      <w:r>
        <w:t xml:space="preserve"> recommendation</w:t>
      </w:r>
    </w:p>
    <w:p w14:paraId="12A92636" w14:textId="3095948E" w:rsidR="007D3115" w:rsidRDefault="00F67CDB">
      <w:pPr>
        <w:pStyle w:val="OB1"/>
      </w:pPr>
      <w:r>
        <w:t xml:space="preserve">System must allow Staff to </w:t>
      </w:r>
      <w:r w:rsidR="007D3115">
        <w:t>modify report</w:t>
      </w:r>
    </w:p>
    <w:p w14:paraId="7E2B8ED3" w14:textId="77777777" w:rsidR="007D3115" w:rsidRDefault="007D3115">
      <w:pPr>
        <w:pStyle w:val="OB1"/>
      </w:pPr>
      <w:r>
        <w:t>Manager makes final decision</w:t>
      </w:r>
    </w:p>
    <w:p w14:paraId="6813311B" w14:textId="77777777" w:rsidR="007D3115" w:rsidRDefault="007D3115">
      <w:pPr>
        <w:pStyle w:val="LB1"/>
      </w:pPr>
      <w:r>
        <w:t>System must be able to output Case data</w:t>
      </w:r>
    </w:p>
    <w:p w14:paraId="434FCDC6" w14:textId="77777777" w:rsidR="007D3115" w:rsidRDefault="007D3115">
      <w:pPr>
        <w:pStyle w:val="OB1"/>
      </w:pPr>
      <w:r>
        <w:t>Print</w:t>
      </w:r>
    </w:p>
    <w:p w14:paraId="6795ED29" w14:textId="77777777" w:rsidR="007D3115" w:rsidRDefault="007D3115">
      <w:pPr>
        <w:pStyle w:val="OB1"/>
      </w:pPr>
      <w:r>
        <w:t>Electronic media</w:t>
      </w:r>
    </w:p>
    <w:p w14:paraId="7DB81BA0" w14:textId="77777777" w:rsidR="007D3115" w:rsidRDefault="007D3115">
      <w:pPr>
        <w:pStyle w:val="OB1"/>
      </w:pPr>
      <w:r>
        <w:t xml:space="preserve">Including Business Records Affidavit </w:t>
      </w:r>
      <w:r w:rsidRPr="00FD38B3">
        <w:t xml:space="preserve">based on business rules and templates </w:t>
      </w:r>
    </w:p>
    <w:p w14:paraId="1B08D23F" w14:textId="38EF2169" w:rsidR="007D3115" w:rsidRDefault="007D3115">
      <w:pPr>
        <w:pStyle w:val="LB1"/>
      </w:pPr>
      <w:r>
        <w:t xml:space="preserve">System must track when Case Summary </w:t>
      </w:r>
      <w:r w:rsidR="008434F6">
        <w:t xml:space="preserve">is </w:t>
      </w:r>
      <w:r>
        <w:t xml:space="preserve">sent to County for prosecution and </w:t>
      </w:r>
      <w:r w:rsidRPr="00E7323A">
        <w:t xml:space="preserve">the progress of the case within the Texas criminal justice system </w:t>
      </w:r>
    </w:p>
    <w:p w14:paraId="3C767DF3" w14:textId="77777777" w:rsidR="007D3115" w:rsidRPr="00E7323A" w:rsidRDefault="007D3115">
      <w:pPr>
        <w:pStyle w:val="LB1"/>
      </w:pPr>
      <w:r w:rsidRPr="00E7323A">
        <w:t>System must allow Staff to track/account for restitution ordered and paid in criminal prosecutions based on business rules</w:t>
      </w:r>
    </w:p>
    <w:p w14:paraId="28CA9C8F" w14:textId="77777777" w:rsidR="007D3115" w:rsidRPr="00E7323A" w:rsidRDefault="007D3115">
      <w:pPr>
        <w:pStyle w:val="LB1"/>
      </w:pPr>
      <w:r w:rsidRPr="00E7323A">
        <w:t>System must have connected functionality with other TWC Units so that a Prosecution case and related actions are placed on hold (and can alter be reactivated if appropriate) based on business rules</w:t>
      </w:r>
    </w:p>
    <w:p w14:paraId="7FE4E626" w14:textId="77777777" w:rsidR="007D3115" w:rsidRDefault="007D3115" w:rsidP="007D3115"/>
    <w:p w14:paraId="0B5E3598" w14:textId="6CB1C92C" w:rsidR="007D3115" w:rsidRDefault="007D3115" w:rsidP="007D3115">
      <w:pPr>
        <w:rPr>
          <w:u w:val="single"/>
        </w:rPr>
      </w:pPr>
      <w:r w:rsidRPr="007D3115">
        <w:rPr>
          <w:u w:val="single"/>
        </w:rPr>
        <w:t>Alternate Activities and Special Cases</w:t>
      </w:r>
    </w:p>
    <w:p w14:paraId="7EC4D60D" w14:textId="77777777" w:rsidR="004F7DCA" w:rsidRDefault="004F7DCA" w:rsidP="004F7DCA">
      <w:r>
        <w:t>System must support the following alternate activities and special cases:</w:t>
      </w:r>
    </w:p>
    <w:p w14:paraId="383AD060" w14:textId="77777777" w:rsidR="007D3115" w:rsidRDefault="007D3115" w:rsidP="00E16D2D">
      <w:pPr>
        <w:pStyle w:val="LB1"/>
      </w:pPr>
      <w:r>
        <w:t>Stop collection actions if Claimant enters into a payment plan and makes the minimum payment</w:t>
      </w:r>
    </w:p>
    <w:p w14:paraId="403C7F74" w14:textId="77777777" w:rsidR="007D3115" w:rsidRDefault="007D3115" w:rsidP="007D3115"/>
    <w:p w14:paraId="24A4DE7B" w14:textId="5A3A3CF8" w:rsidR="00F92893" w:rsidRDefault="00F92893" w:rsidP="00F92893">
      <w:pPr>
        <w:pStyle w:val="Heading4"/>
      </w:pPr>
      <w:r>
        <w:tab/>
      </w:r>
      <w:r w:rsidR="001158EC">
        <w:t>Collect Taxes</w:t>
      </w:r>
    </w:p>
    <w:p w14:paraId="63F7C9F5" w14:textId="723E807E" w:rsidR="00F92893" w:rsidRPr="00B0723C" w:rsidRDefault="001158EC" w:rsidP="00F92893">
      <w:r>
        <w:t>This process includes all activities required to collect taxes, penalties, interest, and other related Employer charges and fees</w:t>
      </w:r>
      <w:r w:rsidR="00F92893">
        <w:t>.</w:t>
      </w:r>
    </w:p>
    <w:p w14:paraId="340B9B77" w14:textId="77777777" w:rsidR="00F92893" w:rsidRPr="003A23F0" w:rsidRDefault="00F92893" w:rsidP="00F92893">
      <w:pPr>
        <w:rPr>
          <w:u w:val="single"/>
        </w:rPr>
      </w:pPr>
      <w:r w:rsidRPr="003A23F0">
        <w:rPr>
          <w:u w:val="single"/>
        </w:rPr>
        <w:t>Actors</w:t>
      </w:r>
    </w:p>
    <w:p w14:paraId="3C57E771" w14:textId="05B71765" w:rsidR="00F92893" w:rsidRDefault="00F92893" w:rsidP="00E16D2D">
      <w:pPr>
        <w:pStyle w:val="LB1"/>
      </w:pPr>
      <w:r>
        <w:lastRenderedPageBreak/>
        <w:t>Staff</w:t>
      </w:r>
    </w:p>
    <w:p w14:paraId="5C0942D9" w14:textId="10028F3F" w:rsidR="001158EC" w:rsidRDefault="001158EC" w:rsidP="00E16D2D">
      <w:pPr>
        <w:pStyle w:val="LB1"/>
      </w:pPr>
      <w:r>
        <w:t>Civil process servers</w:t>
      </w:r>
    </w:p>
    <w:p w14:paraId="1356B145" w14:textId="77777777" w:rsidR="00F92893" w:rsidRPr="00DF6567" w:rsidRDefault="00F92893" w:rsidP="00F92893"/>
    <w:p w14:paraId="7FDB6806" w14:textId="77777777" w:rsidR="00F92893" w:rsidRPr="003A23F0" w:rsidRDefault="00F92893" w:rsidP="00F92893">
      <w:pPr>
        <w:rPr>
          <w:u w:val="single"/>
        </w:rPr>
      </w:pPr>
      <w:r w:rsidRPr="003A23F0">
        <w:rPr>
          <w:u w:val="single"/>
        </w:rPr>
        <w:t>Main Activities</w:t>
      </w:r>
    </w:p>
    <w:p w14:paraId="287E4971" w14:textId="77777777" w:rsidR="001158EC" w:rsidRDefault="001158EC" w:rsidP="00E16D2D">
      <w:pPr>
        <w:pStyle w:val="LB1"/>
      </w:pPr>
      <w:r w:rsidRPr="00DB7BFD">
        <w:t>System must display debt owed by Employers, including breakdown by type of debt</w:t>
      </w:r>
    </w:p>
    <w:p w14:paraId="0FD43B63" w14:textId="77777777" w:rsidR="001158EC" w:rsidRDefault="001158EC" w:rsidP="00E16D2D">
      <w:pPr>
        <w:pStyle w:val="LB1"/>
      </w:pPr>
      <w:r>
        <w:t>System must generate and mail default notices to all liable parties</w:t>
      </w:r>
    </w:p>
    <w:p w14:paraId="5BF6F571" w14:textId="77777777" w:rsidR="001158EC" w:rsidRDefault="001158EC" w:rsidP="00116640">
      <w:pPr>
        <w:pStyle w:val="OB1"/>
      </w:pPr>
      <w:r>
        <w:t>Staff can correct errors and make changes to the document before it is generated</w:t>
      </w:r>
    </w:p>
    <w:p w14:paraId="2C32DDE6" w14:textId="77777777" w:rsidR="001158EC" w:rsidRDefault="001158EC" w:rsidP="00F82166">
      <w:pPr>
        <w:pStyle w:val="LB1"/>
      </w:pPr>
      <w:r>
        <w:t>System must generate and mail liens to county clerks to be recorded</w:t>
      </w:r>
    </w:p>
    <w:p w14:paraId="36777EF9" w14:textId="77777777" w:rsidR="001158EC" w:rsidRDefault="001158EC" w:rsidP="00F82166">
      <w:pPr>
        <w:pStyle w:val="OB1"/>
      </w:pPr>
      <w:r>
        <w:t>System must allow Staff to correct errors and make changes to the document before it is generated</w:t>
      </w:r>
    </w:p>
    <w:p w14:paraId="214ED5B3" w14:textId="77777777" w:rsidR="001158EC" w:rsidRDefault="001158EC">
      <w:pPr>
        <w:pStyle w:val="OB1"/>
      </w:pPr>
      <w:r>
        <w:t>System processes purchase orders</w:t>
      </w:r>
    </w:p>
    <w:p w14:paraId="6868F331" w14:textId="77777777" w:rsidR="001158EC" w:rsidRDefault="001158EC">
      <w:pPr>
        <w:pStyle w:val="OB1"/>
      </w:pPr>
      <w:r>
        <w:t>Finance aggregates all daily transactions by county</w:t>
      </w:r>
    </w:p>
    <w:p w14:paraId="1D467D5D" w14:textId="77777777" w:rsidR="001158EC" w:rsidRDefault="001158EC">
      <w:pPr>
        <w:pStyle w:val="LB1"/>
      </w:pPr>
      <w:r>
        <w:t>System must generate a copy of lien and notice of lien and mail to all liable parties</w:t>
      </w:r>
    </w:p>
    <w:p w14:paraId="3444151A" w14:textId="77777777" w:rsidR="001158EC" w:rsidRDefault="001158EC">
      <w:pPr>
        <w:pStyle w:val="OB1"/>
      </w:pPr>
      <w:r>
        <w:t>This happens a few weeks after lien has been issued to county</w:t>
      </w:r>
    </w:p>
    <w:p w14:paraId="32EA68C1" w14:textId="77777777" w:rsidR="001158EC" w:rsidRDefault="001158EC">
      <w:pPr>
        <w:pStyle w:val="LB1"/>
      </w:pPr>
      <w:r>
        <w:t>System must record lien fee against Employer account</w:t>
      </w:r>
    </w:p>
    <w:p w14:paraId="65C17393" w14:textId="3D4691B7" w:rsidR="001158EC" w:rsidRDefault="001158EC">
      <w:pPr>
        <w:pStyle w:val="LB1"/>
      </w:pPr>
      <w:r>
        <w:t>System must send notice to State Comptroller to initiate a Vendor Hold</w:t>
      </w:r>
      <w:r w:rsidR="00D15E69">
        <w:t xml:space="preserve"> (including lottery winnings, etc.)</w:t>
      </w:r>
    </w:p>
    <w:p w14:paraId="497BC8D6" w14:textId="77777777" w:rsidR="001158EC" w:rsidRDefault="001158EC">
      <w:pPr>
        <w:pStyle w:val="LB1"/>
      </w:pPr>
      <w:r>
        <w:t>System must generate a bank freeze candidates list</w:t>
      </w:r>
    </w:p>
    <w:p w14:paraId="2CD48BF1" w14:textId="77777777" w:rsidR="001158EC" w:rsidRDefault="001158EC">
      <w:pPr>
        <w:pStyle w:val="OB1"/>
      </w:pPr>
      <w:r>
        <w:t>Staff reviews list for accurate information (name, SSN, FEID, address, etc.)</w:t>
      </w:r>
    </w:p>
    <w:p w14:paraId="710959FD" w14:textId="77777777" w:rsidR="001158EC" w:rsidRDefault="001158EC">
      <w:pPr>
        <w:pStyle w:val="OB1"/>
      </w:pPr>
      <w:r>
        <w:t>Staff indicates correct amount and authorize system to generate a bank freeze to the specific bank(s) indicated</w:t>
      </w:r>
    </w:p>
    <w:p w14:paraId="0ECE3D05" w14:textId="77777777" w:rsidR="001158EC" w:rsidRDefault="001158EC">
      <w:pPr>
        <w:pStyle w:val="OB1"/>
      </w:pPr>
      <w:r>
        <w:t>System generates freeze documents</w:t>
      </w:r>
    </w:p>
    <w:p w14:paraId="190790E8" w14:textId="77777777" w:rsidR="001158EC" w:rsidRDefault="001158EC">
      <w:pPr>
        <w:pStyle w:val="OB1"/>
      </w:pPr>
      <w:r>
        <w:t>Staff mails/faxes freeze documents to bank(s)</w:t>
      </w:r>
    </w:p>
    <w:p w14:paraId="524ECE93" w14:textId="77777777" w:rsidR="001158EC" w:rsidRDefault="001158EC">
      <w:pPr>
        <w:pStyle w:val="LB1"/>
      </w:pPr>
      <w:r>
        <w:t>Based on results from bank, Staff authorizes the System to issue a levy</w:t>
      </w:r>
    </w:p>
    <w:p w14:paraId="3457C361" w14:textId="77777777" w:rsidR="001158EC" w:rsidRDefault="001158EC">
      <w:pPr>
        <w:pStyle w:val="OB1"/>
      </w:pPr>
      <w:r>
        <w:t>System generates levy</w:t>
      </w:r>
    </w:p>
    <w:p w14:paraId="25EF423F" w14:textId="77777777" w:rsidR="001158EC" w:rsidRDefault="001158EC">
      <w:pPr>
        <w:pStyle w:val="OB1"/>
      </w:pPr>
      <w:r>
        <w:t>Staff mails levy to bank(s)</w:t>
      </w:r>
    </w:p>
    <w:p w14:paraId="66CD34D7" w14:textId="77777777" w:rsidR="001158EC" w:rsidRDefault="001158EC">
      <w:pPr>
        <w:pStyle w:val="LB1"/>
      </w:pPr>
      <w:r w:rsidRPr="00DB7BFD">
        <w:t xml:space="preserve">System must be able to create work candidate reports based on dates and conditions of </w:t>
      </w:r>
      <w:r>
        <w:t>Employer</w:t>
      </w:r>
      <w:r w:rsidRPr="00DB7BFD">
        <w:t xml:space="preserve"> accounts</w:t>
      </w:r>
    </w:p>
    <w:p w14:paraId="697100A8" w14:textId="77777777" w:rsidR="001158EC" w:rsidRDefault="001158EC">
      <w:pPr>
        <w:pStyle w:val="LB1"/>
      </w:pPr>
      <w:r>
        <w:t>System must generate assessments candidate list</w:t>
      </w:r>
    </w:p>
    <w:p w14:paraId="2F332418" w14:textId="77777777" w:rsidR="001158EC" w:rsidRDefault="001158EC">
      <w:pPr>
        <w:pStyle w:val="OB1"/>
      </w:pPr>
      <w:r>
        <w:t>Assessments group reviews list for accurate information (name, SSN, FEID, address, etc.)</w:t>
      </w:r>
    </w:p>
    <w:p w14:paraId="57FC783F" w14:textId="77777777" w:rsidR="001158EC" w:rsidRDefault="001158EC">
      <w:pPr>
        <w:pStyle w:val="OB1"/>
      </w:pPr>
      <w:r>
        <w:t>Assessments group authorizes system to generate assessment packet</w:t>
      </w:r>
    </w:p>
    <w:p w14:paraId="0B9DE653" w14:textId="77777777" w:rsidR="001158EC" w:rsidRDefault="001158EC">
      <w:pPr>
        <w:pStyle w:val="OB1"/>
      </w:pPr>
      <w:r>
        <w:t>System generates notice of assessment packet</w:t>
      </w:r>
    </w:p>
    <w:p w14:paraId="4399C509" w14:textId="77777777" w:rsidR="001158EC" w:rsidRDefault="001158EC" w:rsidP="000F0154">
      <w:pPr>
        <w:pStyle w:val="SB1"/>
      </w:pPr>
      <w:r>
        <w:t>Purchase order</w:t>
      </w:r>
    </w:p>
    <w:p w14:paraId="7D28BDA9" w14:textId="77777777" w:rsidR="001158EC" w:rsidRDefault="001158EC" w:rsidP="000F0154">
      <w:pPr>
        <w:pStyle w:val="SB1"/>
      </w:pPr>
      <w:r>
        <w:t>Notice of assessment certification (for the Civil process server to sign notifying of results of service attempt)</w:t>
      </w:r>
    </w:p>
    <w:p w14:paraId="1F0102F8" w14:textId="77777777" w:rsidR="001158EC" w:rsidRDefault="001158EC" w:rsidP="000F0154">
      <w:pPr>
        <w:pStyle w:val="SB1"/>
      </w:pPr>
      <w:r>
        <w:t>Notice of assessment</w:t>
      </w:r>
    </w:p>
    <w:p w14:paraId="3D2EC1F3" w14:textId="77777777" w:rsidR="005857DA" w:rsidRDefault="005857DA" w:rsidP="00E16D2D">
      <w:pPr>
        <w:pStyle w:val="LB1"/>
      </w:pPr>
      <w:r>
        <w:lastRenderedPageBreak/>
        <w:t>Civil process server serves Employer with notice of assessment</w:t>
      </w:r>
    </w:p>
    <w:p w14:paraId="45D361B7" w14:textId="77777777" w:rsidR="005857DA" w:rsidRDefault="005857DA" w:rsidP="00E16D2D">
      <w:pPr>
        <w:pStyle w:val="OB1"/>
      </w:pPr>
      <w:r>
        <w:t>If successfully served, Staff generates abstract of assessment</w:t>
      </w:r>
    </w:p>
    <w:p w14:paraId="2CFB53D3" w14:textId="59588C89" w:rsidR="001158EC" w:rsidRDefault="005857DA" w:rsidP="00116640">
      <w:pPr>
        <w:pStyle w:val="OB1"/>
      </w:pPr>
      <w:r>
        <w:t>Staff files abstract of assessment with county clerk</w:t>
      </w:r>
    </w:p>
    <w:p w14:paraId="3B5C1123" w14:textId="79A22B2A" w:rsidR="00B81334" w:rsidRDefault="00B81334" w:rsidP="00F82166">
      <w:pPr>
        <w:pStyle w:val="LB1"/>
      </w:pPr>
      <w:r w:rsidRPr="005403AD">
        <w:t>System must be capable to process and secure FTI to allow Texas to participate in TOP</w:t>
      </w:r>
      <w:r>
        <w:t xml:space="preserve"> program</w:t>
      </w:r>
    </w:p>
    <w:p w14:paraId="560A4DDF" w14:textId="77777777" w:rsidR="00B81334" w:rsidRDefault="00B81334" w:rsidP="00F82166">
      <w:pPr>
        <w:pStyle w:val="LB1"/>
      </w:pPr>
      <w:r w:rsidRPr="005403AD">
        <w:t>System must be compliant with all TOP and IRS Publication 1075 security requirements</w:t>
      </w:r>
    </w:p>
    <w:p w14:paraId="645A3BE7" w14:textId="77777777" w:rsidR="00B81334" w:rsidRDefault="00B81334">
      <w:pPr>
        <w:pStyle w:val="LB1"/>
      </w:pPr>
      <w:r>
        <w:t>System must send/receive debt to IRS for TOP</w:t>
      </w:r>
    </w:p>
    <w:p w14:paraId="6F099466" w14:textId="56463086" w:rsidR="00B81334" w:rsidRDefault="00B81334">
      <w:pPr>
        <w:pStyle w:val="OB1"/>
      </w:pPr>
      <w:r>
        <w:t>Calculate amount to send to TOP</w:t>
      </w:r>
    </w:p>
    <w:p w14:paraId="40CB990C" w14:textId="326BDCFD" w:rsidR="001158EC" w:rsidRDefault="001158EC">
      <w:pPr>
        <w:pStyle w:val="LB1"/>
      </w:pPr>
      <w:r>
        <w:t>Depending on payment type (certified funds, electronic funds, check, credit card)</w:t>
      </w:r>
    </w:p>
    <w:p w14:paraId="5DBB4191" w14:textId="77777777" w:rsidR="001158EC" w:rsidRDefault="001158EC">
      <w:pPr>
        <w:pStyle w:val="OB1"/>
      </w:pPr>
      <w:r>
        <w:t>Staff can authorize immediate release of lien or assessment</w:t>
      </w:r>
    </w:p>
    <w:p w14:paraId="73CF3A34" w14:textId="39327C1B" w:rsidR="001158EC" w:rsidRDefault="001158EC">
      <w:pPr>
        <w:pStyle w:val="OB1"/>
      </w:pPr>
      <w:r>
        <w:t xml:space="preserve">System will generate lien or assessment release after 35 </w:t>
      </w:r>
      <w:r w:rsidR="00FD520C">
        <w:t xml:space="preserve">calendar </w:t>
      </w:r>
      <w:r>
        <w:t xml:space="preserve">days or 180 </w:t>
      </w:r>
      <w:r w:rsidR="00FD520C">
        <w:t xml:space="preserve">calendar </w:t>
      </w:r>
      <w:r>
        <w:t>days (credit cards)</w:t>
      </w:r>
    </w:p>
    <w:p w14:paraId="6FF8D79F" w14:textId="77777777" w:rsidR="001158EC" w:rsidRDefault="001158EC">
      <w:pPr>
        <w:pStyle w:val="OB1"/>
      </w:pPr>
      <w:r>
        <w:t>Staff mails lien or assessment release to Employer</w:t>
      </w:r>
    </w:p>
    <w:p w14:paraId="1663AE4C" w14:textId="0DD62041" w:rsidR="00096497" w:rsidRDefault="00096497">
      <w:pPr>
        <w:pStyle w:val="LB1"/>
      </w:pPr>
      <w:r>
        <w:t>System must allow Staff to enter surety bond amount</w:t>
      </w:r>
    </w:p>
    <w:p w14:paraId="3874DCFB" w14:textId="501AE263" w:rsidR="001158EC" w:rsidRDefault="001158EC">
      <w:pPr>
        <w:pStyle w:val="LB1"/>
      </w:pPr>
      <w:r w:rsidRPr="00DB7BFD">
        <w:t xml:space="preserve">System must maintain an order of precedence for applying repayments </w:t>
      </w:r>
      <w:r>
        <w:t>based on business rules</w:t>
      </w:r>
      <w:r w:rsidR="00B81334">
        <w:t xml:space="preserve"> and allow Staff to override</w:t>
      </w:r>
    </w:p>
    <w:p w14:paraId="764E6A83" w14:textId="77777777" w:rsidR="001158EC" w:rsidRDefault="001158EC">
      <w:pPr>
        <w:pStyle w:val="LB1"/>
      </w:pPr>
      <w:r>
        <w:t>If Employer protests and petitions to court</w:t>
      </w:r>
    </w:p>
    <w:p w14:paraId="395921EB" w14:textId="77777777" w:rsidR="001158EC" w:rsidRDefault="001158EC">
      <w:pPr>
        <w:pStyle w:val="OB1"/>
      </w:pPr>
      <w:r>
        <w:t>Staff updates Employer record and stops automated collection process if necessary</w:t>
      </w:r>
    </w:p>
    <w:p w14:paraId="2B7717CD" w14:textId="77777777" w:rsidR="001158EC" w:rsidRDefault="001158EC">
      <w:pPr>
        <w:pStyle w:val="LB1"/>
      </w:pPr>
      <w:bookmarkStart w:id="362" w:name="_Hlk515351586"/>
      <w:r>
        <w:t xml:space="preserve">Staff can </w:t>
      </w:r>
      <w:r>
        <w:rPr>
          <w:color w:val="000000"/>
        </w:rPr>
        <w:t xml:space="preserve">hold/override/stop/suspend </w:t>
      </w:r>
      <w:r>
        <w:t>the collection process at any time in the process</w:t>
      </w:r>
    </w:p>
    <w:p w14:paraId="12D8EEBD" w14:textId="52E4D16A" w:rsidR="001158EC" w:rsidRDefault="00F67CDB">
      <w:pPr>
        <w:pStyle w:val="OB1"/>
      </w:pPr>
      <w:r>
        <w:t xml:space="preserve">System must allow Staff to </w:t>
      </w:r>
      <w:r w:rsidR="001158EC">
        <w:t>record reason</w:t>
      </w:r>
    </w:p>
    <w:p w14:paraId="274B8547" w14:textId="77777777" w:rsidR="001158EC" w:rsidRDefault="001158EC">
      <w:pPr>
        <w:pStyle w:val="OB1"/>
      </w:pPr>
      <w:r>
        <w:t>System must prevent automatic collection activities based on certain conditions such as:</w:t>
      </w:r>
    </w:p>
    <w:p w14:paraId="1744CC9D" w14:textId="77777777" w:rsidR="001158EC" w:rsidRDefault="001158EC" w:rsidP="000F0154">
      <w:pPr>
        <w:pStyle w:val="SB1"/>
      </w:pPr>
      <w:r>
        <w:t>Bankruptcy</w:t>
      </w:r>
    </w:p>
    <w:p w14:paraId="456A5204" w14:textId="77777777" w:rsidR="001158EC" w:rsidRDefault="001158EC" w:rsidP="000F0154">
      <w:pPr>
        <w:pStyle w:val="SB1"/>
      </w:pPr>
      <w:r>
        <w:t>Rule 13 hearing (as defined in the TWC Rules)</w:t>
      </w:r>
    </w:p>
    <w:p w14:paraId="1AD93906" w14:textId="77777777" w:rsidR="001158EC" w:rsidRDefault="001158EC" w:rsidP="000F0154">
      <w:pPr>
        <w:pStyle w:val="SB1"/>
      </w:pPr>
      <w:r>
        <w:t>Etc.</w:t>
      </w:r>
      <w:bookmarkEnd w:id="362"/>
    </w:p>
    <w:p w14:paraId="1A6D5F4B" w14:textId="77777777" w:rsidR="001158EC" w:rsidRDefault="001158EC" w:rsidP="00E16D2D">
      <w:pPr>
        <w:pStyle w:val="LB1"/>
      </w:pPr>
      <w:r>
        <w:t>Staff can record comments regarding collections attached to Employer account</w:t>
      </w:r>
    </w:p>
    <w:p w14:paraId="70ED77FD" w14:textId="77777777" w:rsidR="001158EC" w:rsidRDefault="001158EC" w:rsidP="00E16D2D">
      <w:pPr>
        <w:pStyle w:val="OB1"/>
      </w:pPr>
      <w:r>
        <w:t>Collections comments contain confidential information and are segregated from other account comments</w:t>
      </w:r>
    </w:p>
    <w:p w14:paraId="61212A81" w14:textId="77777777" w:rsidR="001158EC" w:rsidRDefault="001158EC" w:rsidP="00116640">
      <w:pPr>
        <w:pStyle w:val="LB1"/>
      </w:pPr>
      <w:bookmarkStart w:id="363" w:name="_Hlk510712802"/>
      <w:r>
        <w:t>Bankruptcy</w:t>
      </w:r>
    </w:p>
    <w:p w14:paraId="506891F8" w14:textId="77777777" w:rsidR="001158EC" w:rsidRDefault="001158EC" w:rsidP="00F82166">
      <w:pPr>
        <w:pStyle w:val="OB1"/>
      </w:pPr>
      <w:r w:rsidRPr="005A7D89">
        <w:t xml:space="preserve">System must provide the ability to electronically interface with the U.S. Bankruptcy Courts Centralized Electronic Bankruptcy Notifying (EBN) system to receive notification and updates of bankruptcy filings for Texas </w:t>
      </w:r>
      <w:r>
        <w:t xml:space="preserve">debtors </w:t>
      </w:r>
    </w:p>
    <w:p w14:paraId="56B4C1A4" w14:textId="77777777" w:rsidR="001158EC" w:rsidRDefault="001158EC" w:rsidP="00F82166">
      <w:pPr>
        <w:pStyle w:val="OB1"/>
      </w:pPr>
      <w:r>
        <w:t>System automatically and daily identifies tax accounts and officers that have filed for bankruptcy through Public Access to Case Electronic Records (PACER) match program.</w:t>
      </w:r>
    </w:p>
    <w:p w14:paraId="6F7595A7" w14:textId="3AB4B64D" w:rsidR="001158EC" w:rsidRDefault="001158EC">
      <w:pPr>
        <w:pStyle w:val="OB1"/>
      </w:pPr>
      <w:r w:rsidRPr="00B4272D">
        <w:lastRenderedPageBreak/>
        <w:t xml:space="preserve">System must allow </w:t>
      </w:r>
      <w:r>
        <w:t>Staff</w:t>
      </w:r>
      <w:r w:rsidRPr="00B4272D">
        <w:t xml:space="preserve"> to electronically submit and alter a </w:t>
      </w:r>
      <w:r w:rsidR="008434F6">
        <w:t>POC</w:t>
      </w:r>
      <w:r w:rsidRPr="00B4272D">
        <w:t xml:space="preserve"> with associated attachments to PACER</w:t>
      </w:r>
    </w:p>
    <w:p w14:paraId="0CFB2926" w14:textId="77777777" w:rsidR="001158EC" w:rsidRDefault="001158EC">
      <w:pPr>
        <w:pStyle w:val="OB1"/>
      </w:pPr>
      <w:r w:rsidRPr="00B4272D">
        <w:t xml:space="preserve">System must allow </w:t>
      </w:r>
      <w:r>
        <w:t>Staff</w:t>
      </w:r>
      <w:r w:rsidRPr="00B4272D">
        <w:t xml:space="preserve"> to enter, update, and view bankruptcy cases as well as interface with court system</w:t>
      </w:r>
    </w:p>
    <w:p w14:paraId="1A66457D" w14:textId="77777777" w:rsidR="001158EC" w:rsidRDefault="001158EC">
      <w:pPr>
        <w:pStyle w:val="OB1"/>
      </w:pPr>
      <w:r>
        <w:t>System must flag Bankrupt tax accounts based on business rules</w:t>
      </w:r>
    </w:p>
    <w:p w14:paraId="6084861A" w14:textId="77777777" w:rsidR="001158EC" w:rsidRDefault="001158EC">
      <w:pPr>
        <w:pStyle w:val="OB1"/>
      </w:pPr>
      <w:r>
        <w:t>System must flag Bankrupt officers accounts based on business rules to stop collections and prevent any inadvertent violation of the bankruptcy stay</w:t>
      </w:r>
    </w:p>
    <w:p w14:paraId="57198E67" w14:textId="77777777" w:rsidR="001158EC" w:rsidRDefault="001158EC">
      <w:pPr>
        <w:pStyle w:val="OB1"/>
      </w:pPr>
      <w:r>
        <w:t>Accounts Examiners verify the validity of the tax debt, review the system to insure there has not been any collection action taken that may be in violation to Bankruptcy Code and send out field assignments to obtain any delinquent quarterly tax reports.</w:t>
      </w:r>
    </w:p>
    <w:p w14:paraId="0A78E208" w14:textId="3B2392D2" w:rsidR="001158EC" w:rsidRDefault="001158EC">
      <w:pPr>
        <w:pStyle w:val="OB1"/>
      </w:pPr>
      <w:r>
        <w:t xml:space="preserve">Upon completion of review of Employer or liable officer tax account, Staff will file a POC with the respective bankruptcy court through the Electronic Court Filing (ECF) system for certain cases (all pre-petition tax debt in Chapter 13 and Chapter 11 cases). </w:t>
      </w:r>
    </w:p>
    <w:p w14:paraId="5A8413DD" w14:textId="77777777" w:rsidR="001158EC" w:rsidRDefault="001158EC" w:rsidP="000F0154">
      <w:pPr>
        <w:pStyle w:val="SB1"/>
      </w:pPr>
      <w:r>
        <w:t xml:space="preserve">Staff monitors adherence to the plan under Chapter 11 in PACER. </w:t>
      </w:r>
    </w:p>
    <w:p w14:paraId="17FADFA7" w14:textId="77777777" w:rsidR="001158EC" w:rsidRDefault="001158EC" w:rsidP="000F0154">
      <w:pPr>
        <w:pStyle w:val="SB1"/>
      </w:pPr>
      <w:r>
        <w:t>Staff change tax balance to Uncollectable status (unless there is Officer Liability debt that can be pursued) for entities that have been fully liquidated under Chapter 7</w:t>
      </w:r>
    </w:p>
    <w:p w14:paraId="0E62BF65" w14:textId="77777777" w:rsidR="001158EC" w:rsidRDefault="001158EC" w:rsidP="000F0154">
      <w:pPr>
        <w:pStyle w:val="SB1"/>
      </w:pPr>
      <w:r>
        <w:t>Staff advises other departments to take appropriate action if Employer defaults on bankruptcy plan (Chapter 11) or after the plan is confirmed for post-petition debt (Chapter 13)</w:t>
      </w:r>
    </w:p>
    <w:p w14:paraId="7D55423B" w14:textId="77777777" w:rsidR="001158EC" w:rsidRDefault="001158EC" w:rsidP="00E16D2D">
      <w:pPr>
        <w:pStyle w:val="DB1"/>
      </w:pPr>
      <w:r>
        <w:t>Lien</w:t>
      </w:r>
    </w:p>
    <w:p w14:paraId="4ADAC8A5" w14:textId="77777777" w:rsidR="001158EC" w:rsidRDefault="001158EC" w:rsidP="00E16D2D">
      <w:pPr>
        <w:pStyle w:val="DB1"/>
      </w:pPr>
      <w:r>
        <w:t>Bank freeze</w:t>
      </w:r>
    </w:p>
    <w:p w14:paraId="46503B7B" w14:textId="77777777" w:rsidR="001158EC" w:rsidRDefault="001158EC" w:rsidP="00116640">
      <w:pPr>
        <w:pStyle w:val="DB1"/>
      </w:pPr>
      <w:r>
        <w:t>Etc.</w:t>
      </w:r>
    </w:p>
    <w:p w14:paraId="0F06B9D9" w14:textId="77777777" w:rsidR="001158EC" w:rsidRDefault="001158EC" w:rsidP="000F0154">
      <w:pPr>
        <w:pStyle w:val="SB1"/>
      </w:pPr>
      <w:r>
        <w:t>If the Employer does not default on the bankruptcy plan, Staff monitor bankruptcy case to ensure payment is received from the Employer in accordance with the court’s payment plan.</w:t>
      </w:r>
    </w:p>
    <w:p w14:paraId="10147D58" w14:textId="77777777" w:rsidR="001158EC" w:rsidRDefault="001158EC" w:rsidP="00E16D2D">
      <w:pPr>
        <w:pStyle w:val="LB1"/>
      </w:pPr>
      <w:r>
        <w:t>System must be able to generate operational, performance, and management reports</w:t>
      </w:r>
    </w:p>
    <w:p w14:paraId="7D1965B1" w14:textId="7DC2CC82" w:rsidR="001158EC" w:rsidRDefault="00F67CDB" w:rsidP="00E16D2D">
      <w:pPr>
        <w:pStyle w:val="OB1"/>
      </w:pPr>
      <w:r>
        <w:t xml:space="preserve">System must allow Staff to </w:t>
      </w:r>
      <w:r w:rsidR="001158EC">
        <w:t>schedule reports to be generated automatically</w:t>
      </w:r>
    </w:p>
    <w:p w14:paraId="525F3781" w14:textId="7894BDFE" w:rsidR="001158EC" w:rsidRDefault="00F67CDB" w:rsidP="00116640">
      <w:pPr>
        <w:pStyle w:val="OB1"/>
      </w:pPr>
      <w:r>
        <w:t xml:space="preserve">System must allow Staff to </w:t>
      </w:r>
      <w:r w:rsidR="001158EC">
        <w:t>run reports on demand</w:t>
      </w:r>
    </w:p>
    <w:p w14:paraId="29E1219D" w14:textId="7DEF0DC7" w:rsidR="001158EC" w:rsidRDefault="001158EC" w:rsidP="00116640">
      <w:pPr>
        <w:pStyle w:val="OB1"/>
      </w:pPr>
      <w:r>
        <w:t xml:space="preserve">System must be able to </w:t>
      </w:r>
      <w:r w:rsidR="000F0154">
        <w:t xml:space="preserve">generate and distribute reports listed in </w:t>
      </w:r>
      <w:hyperlink w:anchor="_Attachment_8_–" w:history="1">
        <w:r w:rsidR="000F0154" w:rsidRPr="00FD6AAF">
          <w:rPr>
            <w:rStyle w:val="Hyperlink"/>
          </w:rPr>
          <w:t>Attachment 8</w:t>
        </w:r>
      </w:hyperlink>
    </w:p>
    <w:p w14:paraId="3CD33E08" w14:textId="77777777" w:rsidR="001158EC" w:rsidRDefault="001158EC" w:rsidP="00F82166">
      <w:pPr>
        <w:pStyle w:val="OB1"/>
      </w:pPr>
      <w:r>
        <w:t>System must allow Staff to develop and schedule ad hoc reports</w:t>
      </w:r>
    </w:p>
    <w:p w14:paraId="0EFF8303" w14:textId="77777777" w:rsidR="001158EC" w:rsidRDefault="001158EC" w:rsidP="00F82166">
      <w:pPr>
        <w:pStyle w:val="OB1"/>
      </w:pPr>
      <w:r>
        <w:t>System must collect and track performance metrics</w:t>
      </w:r>
    </w:p>
    <w:p w14:paraId="7B51D637" w14:textId="77777777" w:rsidR="001158EC" w:rsidRDefault="001158EC">
      <w:pPr>
        <w:pStyle w:val="OB1"/>
      </w:pPr>
      <w:r>
        <w:t>System must integrate reports with dashboards for visual representation of data</w:t>
      </w:r>
    </w:p>
    <w:p w14:paraId="0D93EACE" w14:textId="77777777" w:rsidR="001158EC" w:rsidRDefault="001158EC">
      <w:pPr>
        <w:pStyle w:val="OB1"/>
      </w:pPr>
      <w:r>
        <w:t>System must store and index reports</w:t>
      </w:r>
    </w:p>
    <w:p w14:paraId="7EA386D2" w14:textId="77777777" w:rsidR="001158EC" w:rsidRDefault="001158EC" w:rsidP="001158EC"/>
    <w:bookmarkEnd w:id="363"/>
    <w:p w14:paraId="62782A03" w14:textId="15B2ACA4" w:rsidR="001158EC" w:rsidRDefault="001158EC" w:rsidP="000F0154">
      <w:pPr>
        <w:rPr>
          <w:u w:val="single"/>
        </w:rPr>
      </w:pPr>
      <w:r w:rsidRPr="000F0154">
        <w:rPr>
          <w:u w:val="single"/>
        </w:rPr>
        <w:t>Alternate Activities and Special Cases</w:t>
      </w:r>
    </w:p>
    <w:p w14:paraId="1C8A4DFD" w14:textId="77777777" w:rsidR="004F7DCA" w:rsidRDefault="004F7DCA" w:rsidP="004F7DCA">
      <w:r>
        <w:lastRenderedPageBreak/>
        <w:t>System must support the following alternate activities and special cases:</w:t>
      </w:r>
    </w:p>
    <w:p w14:paraId="36F09B85" w14:textId="77777777" w:rsidR="001158EC" w:rsidRDefault="001158EC" w:rsidP="00E16D2D">
      <w:pPr>
        <w:pStyle w:val="LB1"/>
      </w:pPr>
      <w:r>
        <w:t>Staff authorizes system to generate bank freeze release if the freeze was generated in error</w:t>
      </w:r>
    </w:p>
    <w:p w14:paraId="478AFC68" w14:textId="77777777" w:rsidR="001158EC" w:rsidRDefault="001158EC" w:rsidP="00E16D2D">
      <w:pPr>
        <w:pStyle w:val="LB1"/>
      </w:pPr>
      <w:r>
        <w:t>Staff authorizes system to generate lien release if the lien was generated in error</w:t>
      </w:r>
    </w:p>
    <w:p w14:paraId="3A01F960" w14:textId="77777777" w:rsidR="001158EC" w:rsidRDefault="001158EC" w:rsidP="00116640">
      <w:pPr>
        <w:pStyle w:val="LB1"/>
      </w:pPr>
      <w:r>
        <w:t>Staff can accelerate the collection process</w:t>
      </w:r>
    </w:p>
    <w:p w14:paraId="78C8984F" w14:textId="77777777" w:rsidR="001158EC" w:rsidRDefault="001158EC" w:rsidP="00F82166">
      <w:pPr>
        <w:pStyle w:val="OB1"/>
      </w:pPr>
      <w:r>
        <w:t xml:space="preserve">Fast path </w:t>
      </w:r>
    </w:p>
    <w:p w14:paraId="428816FE" w14:textId="77777777" w:rsidR="001158EC" w:rsidRDefault="001158EC" w:rsidP="000F0154">
      <w:pPr>
        <w:pStyle w:val="SB1"/>
      </w:pPr>
      <w:r>
        <w:t>Liens</w:t>
      </w:r>
    </w:p>
    <w:p w14:paraId="79E6F7B2" w14:textId="77777777" w:rsidR="001158EC" w:rsidRDefault="001158EC" w:rsidP="000F0154">
      <w:pPr>
        <w:pStyle w:val="SB1"/>
      </w:pPr>
      <w:r>
        <w:t>Default notices</w:t>
      </w:r>
    </w:p>
    <w:p w14:paraId="2CB9574F" w14:textId="77777777" w:rsidR="001158EC" w:rsidRDefault="001158EC" w:rsidP="000F0154">
      <w:pPr>
        <w:pStyle w:val="SB1"/>
      </w:pPr>
      <w:r>
        <w:t>Freezes</w:t>
      </w:r>
    </w:p>
    <w:p w14:paraId="5D573E0D" w14:textId="77777777" w:rsidR="001158EC" w:rsidRDefault="001158EC" w:rsidP="00E16D2D">
      <w:pPr>
        <w:pStyle w:val="OB1"/>
      </w:pPr>
      <w:r>
        <w:t>Additional liens and freezes</w:t>
      </w:r>
    </w:p>
    <w:p w14:paraId="76F45615" w14:textId="77777777" w:rsidR="001158EC" w:rsidRDefault="001158EC" w:rsidP="001158EC"/>
    <w:p w14:paraId="6C43992C" w14:textId="005D4572" w:rsidR="00F92893" w:rsidRDefault="00F92893" w:rsidP="00F92893">
      <w:pPr>
        <w:pStyle w:val="Heading4"/>
      </w:pPr>
      <w:r>
        <w:tab/>
      </w:r>
      <w:r w:rsidR="000F0154">
        <w:t>Collect Benefits Overpayments</w:t>
      </w:r>
    </w:p>
    <w:p w14:paraId="785817C1" w14:textId="6D668E35" w:rsidR="00F92893" w:rsidRPr="00B0723C" w:rsidRDefault="000F0154" w:rsidP="00F92893">
      <w:r>
        <w:t>This process includes all activities required to collect benefits overpayments</w:t>
      </w:r>
      <w:r w:rsidR="00F92893">
        <w:t>.</w:t>
      </w:r>
    </w:p>
    <w:p w14:paraId="6694412B" w14:textId="77777777" w:rsidR="00F92893" w:rsidRPr="003A23F0" w:rsidRDefault="00F92893" w:rsidP="00F92893">
      <w:pPr>
        <w:rPr>
          <w:u w:val="single"/>
        </w:rPr>
      </w:pPr>
      <w:r w:rsidRPr="003A23F0">
        <w:rPr>
          <w:u w:val="single"/>
        </w:rPr>
        <w:t>Actors</w:t>
      </w:r>
    </w:p>
    <w:p w14:paraId="60950AC7" w14:textId="77777777" w:rsidR="00F92893" w:rsidRDefault="00F92893" w:rsidP="00E16D2D">
      <w:pPr>
        <w:pStyle w:val="LB1"/>
      </w:pPr>
      <w:r>
        <w:t>Staff</w:t>
      </w:r>
    </w:p>
    <w:p w14:paraId="50CB4D4F" w14:textId="77777777" w:rsidR="00F92893" w:rsidRPr="00DF6567" w:rsidRDefault="00F92893" w:rsidP="00F92893"/>
    <w:p w14:paraId="2261A173" w14:textId="77777777" w:rsidR="00F92893" w:rsidRPr="003A23F0" w:rsidRDefault="00F92893" w:rsidP="00F92893">
      <w:pPr>
        <w:rPr>
          <w:u w:val="single"/>
        </w:rPr>
      </w:pPr>
      <w:r w:rsidRPr="003A23F0">
        <w:rPr>
          <w:u w:val="single"/>
        </w:rPr>
        <w:t>Main Activities</w:t>
      </w:r>
    </w:p>
    <w:p w14:paraId="1A6D8149" w14:textId="76F0BBAE" w:rsidR="00316559" w:rsidRDefault="00316559" w:rsidP="00E16D2D">
      <w:pPr>
        <w:pStyle w:val="LB1"/>
      </w:pPr>
      <w:r>
        <w:t xml:space="preserve">System must generate </w:t>
      </w:r>
      <w:r w:rsidR="00417EE8">
        <w:t xml:space="preserve">determinations </w:t>
      </w:r>
      <w:r>
        <w:t>with appeal rights as appropriate and send to Claimant</w:t>
      </w:r>
    </w:p>
    <w:p w14:paraId="2F40BE46" w14:textId="58C8CBD9" w:rsidR="00417EE8" w:rsidRDefault="00417EE8" w:rsidP="00E16D2D">
      <w:pPr>
        <w:pStyle w:val="LB1"/>
      </w:pPr>
      <w:r>
        <w:t>System must generate collection notices and send to Claimant</w:t>
      </w:r>
    </w:p>
    <w:p w14:paraId="76059AB1" w14:textId="77777777" w:rsidR="00316559" w:rsidRDefault="00316559" w:rsidP="00116640">
      <w:pPr>
        <w:pStyle w:val="LB1"/>
      </w:pPr>
      <w:r>
        <w:t>System must allow Staff to reissue a collection notice</w:t>
      </w:r>
      <w:r w:rsidRPr="00B73094">
        <w:t xml:space="preserve"> </w:t>
      </w:r>
      <w:r>
        <w:t>with appeal rights as appropriate and send to Claimant</w:t>
      </w:r>
    </w:p>
    <w:p w14:paraId="500C7BF3" w14:textId="77777777" w:rsidR="00316559" w:rsidRDefault="00316559" w:rsidP="00F82166">
      <w:pPr>
        <w:pStyle w:val="LB1"/>
      </w:pPr>
      <w:r>
        <w:t>Staff responds to Claimant inquiries</w:t>
      </w:r>
    </w:p>
    <w:p w14:paraId="09FBF8AA" w14:textId="77777777" w:rsidR="00316559" w:rsidRDefault="00316559" w:rsidP="00F82166">
      <w:pPr>
        <w:pStyle w:val="OB1"/>
      </w:pPr>
      <w:r>
        <w:t>Review system to relay reason for overpayment</w:t>
      </w:r>
    </w:p>
    <w:p w14:paraId="227F4E01" w14:textId="77777777" w:rsidR="00316559" w:rsidRDefault="00316559">
      <w:pPr>
        <w:pStyle w:val="OB1"/>
      </w:pPr>
      <w:r>
        <w:t>Set up repayment plans</w:t>
      </w:r>
    </w:p>
    <w:p w14:paraId="08E03157" w14:textId="77777777" w:rsidR="00316559" w:rsidRDefault="00316559">
      <w:pPr>
        <w:pStyle w:val="OB1"/>
      </w:pPr>
      <w:r>
        <w:t>Obtain copy of documents and send to Claimant</w:t>
      </w:r>
    </w:p>
    <w:p w14:paraId="166B4F77" w14:textId="65F31647" w:rsidR="0051618A" w:rsidRDefault="0051618A">
      <w:pPr>
        <w:pStyle w:val="LB1"/>
      </w:pPr>
      <w:r>
        <w:t>System must allow Claimant various options for payment submission including electronic payment (debit, credit, and EFT)</w:t>
      </w:r>
    </w:p>
    <w:p w14:paraId="1BD19A31" w14:textId="47294C92" w:rsidR="00316559" w:rsidRDefault="00316559">
      <w:pPr>
        <w:pStyle w:val="LB1"/>
      </w:pPr>
      <w:r>
        <w:t>System must automatically process absorptions and offsets</w:t>
      </w:r>
    </w:p>
    <w:p w14:paraId="574C9E0C" w14:textId="5DF2524C" w:rsidR="00B7673F" w:rsidRDefault="00B7673F">
      <w:pPr>
        <w:pStyle w:val="LB1"/>
      </w:pPr>
      <w:r>
        <w:t>System must track and store FTI data separately</w:t>
      </w:r>
    </w:p>
    <w:p w14:paraId="6C1966DA" w14:textId="2B8517D3" w:rsidR="00316559" w:rsidRDefault="00B7673F">
      <w:pPr>
        <w:pStyle w:val="OB1"/>
      </w:pPr>
      <w:bookmarkStart w:id="364" w:name="_Hlk533060108"/>
      <w:r>
        <w:t>System must follow FTI security and audit requirements (</w:t>
      </w:r>
      <w:r w:rsidR="004100F5">
        <w:t>IRS Publication 1075</w:t>
      </w:r>
      <w:r>
        <w:t>)</w:t>
      </w:r>
      <w:bookmarkStart w:id="365" w:name="_Hlk531184379"/>
      <w:bookmarkEnd w:id="364"/>
    </w:p>
    <w:p w14:paraId="258BB19B" w14:textId="77777777" w:rsidR="00316559" w:rsidRDefault="00316559">
      <w:pPr>
        <w:pStyle w:val="LB1"/>
      </w:pPr>
      <w:bookmarkStart w:id="366" w:name="_Hlk535229123"/>
      <w:bookmarkEnd w:id="365"/>
      <w:r>
        <w:t>System must track overpayment and recovery types and apply them correctly, in cases such as:</w:t>
      </w:r>
    </w:p>
    <w:p w14:paraId="7B295D40" w14:textId="6968550C" w:rsidR="00316559" w:rsidRDefault="00316559">
      <w:pPr>
        <w:pStyle w:val="OB1"/>
      </w:pPr>
      <w:r>
        <w:t>Claimant payments</w:t>
      </w:r>
    </w:p>
    <w:p w14:paraId="62939A61" w14:textId="00A4839C" w:rsidR="00431513" w:rsidRDefault="00417EE8">
      <w:pPr>
        <w:pStyle w:val="OB1"/>
      </w:pPr>
      <w:r>
        <w:t>Bankruptcy Trustee payments</w:t>
      </w:r>
    </w:p>
    <w:p w14:paraId="4259A8AD" w14:textId="4D7E075F" w:rsidR="00417EE8" w:rsidRDefault="00417EE8">
      <w:pPr>
        <w:pStyle w:val="OB1"/>
      </w:pPr>
      <w:r>
        <w:t>Title company payments</w:t>
      </w:r>
    </w:p>
    <w:p w14:paraId="76ED9D00" w14:textId="742C8FA6" w:rsidR="00417EE8" w:rsidRDefault="00417EE8">
      <w:pPr>
        <w:pStyle w:val="OB1"/>
      </w:pPr>
      <w:r>
        <w:lastRenderedPageBreak/>
        <w:t>Mortgage company payments</w:t>
      </w:r>
    </w:p>
    <w:p w14:paraId="7CEB4733" w14:textId="77777777" w:rsidR="00316559" w:rsidRDefault="00316559">
      <w:pPr>
        <w:pStyle w:val="OB1"/>
      </w:pPr>
      <w:r>
        <w:t>Offset/Absorption benefits</w:t>
      </w:r>
    </w:p>
    <w:p w14:paraId="69175F8B" w14:textId="77777777" w:rsidR="00316559" w:rsidRDefault="00316559">
      <w:pPr>
        <w:pStyle w:val="OB1"/>
      </w:pPr>
      <w:r>
        <w:t>Court ordered restitution</w:t>
      </w:r>
    </w:p>
    <w:p w14:paraId="40B9469D" w14:textId="77777777" w:rsidR="00316559" w:rsidRDefault="00316559">
      <w:pPr>
        <w:pStyle w:val="OB1"/>
      </w:pPr>
      <w:r>
        <w:t>Vendor Hold captures</w:t>
      </w:r>
    </w:p>
    <w:p w14:paraId="1ED6DD30" w14:textId="77777777" w:rsidR="00316559" w:rsidRDefault="00316559">
      <w:pPr>
        <w:pStyle w:val="OB1"/>
      </w:pPr>
      <w:r>
        <w:t>TOP captures</w:t>
      </w:r>
    </w:p>
    <w:p w14:paraId="33F04059" w14:textId="77777777" w:rsidR="00316559" w:rsidRDefault="00316559">
      <w:pPr>
        <w:pStyle w:val="OB1"/>
      </w:pPr>
      <w:r>
        <w:t>TOP payments from Claimant</w:t>
      </w:r>
    </w:p>
    <w:p w14:paraId="22E15BDE" w14:textId="7671B6C2" w:rsidR="00316559" w:rsidRDefault="00AE4DF9">
      <w:pPr>
        <w:pStyle w:val="OB1"/>
      </w:pPr>
      <w:r>
        <w:t>IRORA</w:t>
      </w:r>
    </w:p>
    <w:p w14:paraId="3A8E1CB4" w14:textId="77777777" w:rsidR="00316559" w:rsidRDefault="00316559">
      <w:pPr>
        <w:pStyle w:val="LB1"/>
      </w:pPr>
      <w:r w:rsidRPr="00DB7BFD">
        <w:t>System must be capable of notifying paying states</w:t>
      </w:r>
      <w:r>
        <w:t xml:space="preserve"> requesting the recoupment of a</w:t>
      </w:r>
      <w:r w:rsidRPr="00DB7BFD">
        <w:t xml:space="preserve"> Texas established overpayment</w:t>
      </w:r>
    </w:p>
    <w:bookmarkEnd w:id="366"/>
    <w:p w14:paraId="78F0030C" w14:textId="77777777" w:rsidR="00316559" w:rsidRDefault="00316559">
      <w:pPr>
        <w:pStyle w:val="LB1"/>
      </w:pPr>
      <w:r>
        <w:t>System must allow S</w:t>
      </w:r>
      <w:r w:rsidRPr="00552A4F">
        <w:t>taff to process repayments to be applied to outstanding overpayment from TOP</w:t>
      </w:r>
      <w:r>
        <w:t xml:space="preserve"> where needed and excluding TOP as appropriate</w:t>
      </w:r>
    </w:p>
    <w:p w14:paraId="2AB1E583" w14:textId="77777777" w:rsidR="00316559" w:rsidRPr="00BE16FD" w:rsidRDefault="00316559">
      <w:pPr>
        <w:pStyle w:val="LB1"/>
      </w:pPr>
      <w:r w:rsidRPr="00BE16FD">
        <w:t>System must track overpayment at the following levels</w:t>
      </w:r>
      <w:r>
        <w:t>:</w:t>
      </w:r>
    </w:p>
    <w:p w14:paraId="05BE99B3" w14:textId="77777777" w:rsidR="00316559" w:rsidRDefault="00316559">
      <w:pPr>
        <w:pStyle w:val="OB1"/>
      </w:pPr>
      <w:r>
        <w:t>Debt-type</w:t>
      </w:r>
    </w:p>
    <w:p w14:paraId="7C1B29F6" w14:textId="77777777" w:rsidR="00316559" w:rsidRDefault="00316559">
      <w:pPr>
        <w:pStyle w:val="OB1"/>
      </w:pPr>
      <w:r>
        <w:t>Claim</w:t>
      </w:r>
    </w:p>
    <w:p w14:paraId="3925BC93" w14:textId="77777777" w:rsidR="00316559" w:rsidRPr="00BE16FD" w:rsidRDefault="00316559">
      <w:pPr>
        <w:pStyle w:val="OB1"/>
      </w:pPr>
      <w:r>
        <w:t xml:space="preserve">Week </w:t>
      </w:r>
    </w:p>
    <w:p w14:paraId="77C03721" w14:textId="77777777" w:rsidR="00316559" w:rsidRPr="0094755B" w:rsidRDefault="00316559">
      <w:pPr>
        <w:pStyle w:val="LB1"/>
      </w:pPr>
      <w:r w:rsidRPr="0094755B">
        <w:t xml:space="preserve">System must </w:t>
      </w:r>
      <w:r>
        <w:t xml:space="preserve">allow Staff to scan </w:t>
      </w:r>
      <w:r w:rsidRPr="0094755B">
        <w:t xml:space="preserve">court </w:t>
      </w:r>
      <w:r>
        <w:t xml:space="preserve">judgements and court ordered restitutions </w:t>
      </w:r>
      <w:r w:rsidRPr="0094755B">
        <w:t>in FileNet or similar system</w:t>
      </w:r>
      <w:r>
        <w:t xml:space="preserve"> and link to Claimant(s) accounts</w:t>
      </w:r>
    </w:p>
    <w:p w14:paraId="240FE420" w14:textId="77777777" w:rsidR="00316559" w:rsidRPr="003B33E1" w:rsidRDefault="00316559">
      <w:pPr>
        <w:pStyle w:val="LB1"/>
        <w:rPr>
          <w:rFonts w:ascii="Calibri" w:hAnsi="Calibri"/>
        </w:rPr>
      </w:pPr>
      <w:r>
        <w:t>System must allow Staff to waive overpayments, cancel absorptions/offsets, put collection of overpayments on hold, transfer overpayments based on appeal or court ordered (jointly and severally), and issue refunds</w:t>
      </w:r>
    </w:p>
    <w:p w14:paraId="10AF7246" w14:textId="77777777" w:rsidR="00316559" w:rsidRDefault="00316559">
      <w:pPr>
        <w:pStyle w:val="OB1"/>
      </w:pPr>
      <w:r>
        <w:t>Process individually</w:t>
      </w:r>
    </w:p>
    <w:p w14:paraId="35BFA852" w14:textId="77777777" w:rsidR="00316559" w:rsidRDefault="00316559">
      <w:pPr>
        <w:pStyle w:val="OB1"/>
      </w:pPr>
      <w:r>
        <w:t>Process in mass</w:t>
      </w:r>
    </w:p>
    <w:p w14:paraId="14A910CF" w14:textId="77777777" w:rsidR="00316559" w:rsidRDefault="00316559">
      <w:pPr>
        <w:pStyle w:val="OB1"/>
      </w:pPr>
      <w:r>
        <w:t>C</w:t>
      </w:r>
      <w:r w:rsidRPr="00BA783D">
        <w:t>apture reason</w:t>
      </w:r>
      <w:r>
        <w:t xml:space="preserve"> for </w:t>
      </w:r>
      <w:r w:rsidRPr="00BA783D">
        <w:t>rejection/correction</w:t>
      </w:r>
    </w:p>
    <w:p w14:paraId="34F67F76" w14:textId="77777777" w:rsidR="00316559" w:rsidRDefault="00316559">
      <w:pPr>
        <w:pStyle w:val="OB1"/>
      </w:pPr>
      <w:r>
        <w:t>A</w:t>
      </w:r>
      <w:r w:rsidRPr="00BA783D">
        <w:t>djust overpayment balance accordingly</w:t>
      </w:r>
    </w:p>
    <w:p w14:paraId="6F84966D" w14:textId="630CC600" w:rsidR="00316559" w:rsidRDefault="00316559">
      <w:pPr>
        <w:pStyle w:val="OB1"/>
      </w:pPr>
      <w:r>
        <w:t>Process adjustments when a recovery exceeds debt based on business rules</w:t>
      </w:r>
    </w:p>
    <w:p w14:paraId="7C14D6AC" w14:textId="1A08C298" w:rsidR="00DA2BED" w:rsidRDefault="00632DAB">
      <w:pPr>
        <w:pStyle w:val="OB1"/>
      </w:pPr>
      <w:r>
        <w:t>Process</w:t>
      </w:r>
      <w:r w:rsidR="00DA2BED">
        <w:t xml:space="preserve"> TRA/TRX overpayment</w:t>
      </w:r>
      <w:r>
        <w:t xml:space="preserve"> waiver</w:t>
      </w:r>
      <w:r w:rsidR="00DA2BED">
        <w:t>s</w:t>
      </w:r>
      <w:r>
        <w:t xml:space="preserve"> per regulation</w:t>
      </w:r>
    </w:p>
    <w:p w14:paraId="4C8BB527" w14:textId="34A06FFA" w:rsidR="00316559" w:rsidRDefault="00316559">
      <w:pPr>
        <w:pStyle w:val="LB1"/>
      </w:pPr>
      <w:r w:rsidRPr="0077149E">
        <w:t>System must allow repayments to be accepted and applied to overpayments even after statute of limitation on overpayment collection has expired</w:t>
      </w:r>
      <w:r w:rsidR="00417EE8">
        <w:t xml:space="preserve"> and allow monthly overpayment statements to be generated</w:t>
      </w:r>
    </w:p>
    <w:p w14:paraId="26B18631" w14:textId="77777777" w:rsidR="00316559" w:rsidRDefault="00316559">
      <w:pPr>
        <w:pStyle w:val="LB1"/>
      </w:pPr>
      <w:r w:rsidRPr="00DB7BFD">
        <w:t>System must maintain an order of precedence for applying repayments and benefit offsets to overpayment debt</w:t>
      </w:r>
      <w:r>
        <w:t xml:space="preserve"> based on business rules</w:t>
      </w:r>
    </w:p>
    <w:p w14:paraId="0375C44C" w14:textId="77777777" w:rsidR="00316559" w:rsidRDefault="00316559">
      <w:pPr>
        <w:pStyle w:val="LB1"/>
      </w:pPr>
      <w:r>
        <w:t>System must allow a S</w:t>
      </w:r>
      <w:r w:rsidRPr="00BA783D">
        <w:t xml:space="preserve">taff user to manually override the default hierarchy for applying cash repayments to overpayments </w:t>
      </w:r>
    </w:p>
    <w:p w14:paraId="57F83774" w14:textId="77777777" w:rsidR="00316559" w:rsidRDefault="00316559">
      <w:pPr>
        <w:pStyle w:val="LB1"/>
      </w:pPr>
      <w:r>
        <w:t>System must automatically initiate Vendor Holds</w:t>
      </w:r>
    </w:p>
    <w:p w14:paraId="68743E8C" w14:textId="4911DF76" w:rsidR="00316559" w:rsidRDefault="00316559">
      <w:pPr>
        <w:pStyle w:val="LB1"/>
      </w:pPr>
      <w:r w:rsidRPr="005403AD">
        <w:t>System must be capable to process and secure FTI to allow Texas to participate in TOP</w:t>
      </w:r>
    </w:p>
    <w:p w14:paraId="4E905FCB" w14:textId="77777777" w:rsidR="00316559" w:rsidRDefault="00316559">
      <w:pPr>
        <w:pStyle w:val="LB1"/>
      </w:pPr>
      <w:bookmarkStart w:id="367" w:name="_Hlk531184391"/>
      <w:r w:rsidRPr="005403AD">
        <w:t>System must be compliant with all TOP and IRS Publication 1075 security requirements</w:t>
      </w:r>
    </w:p>
    <w:bookmarkEnd w:id="367"/>
    <w:p w14:paraId="13B7CDE8" w14:textId="77777777" w:rsidR="00316559" w:rsidRDefault="00316559">
      <w:pPr>
        <w:pStyle w:val="LB1"/>
      </w:pPr>
      <w:r>
        <w:t>System must send/receive debt to IRS for TOP</w:t>
      </w:r>
    </w:p>
    <w:p w14:paraId="0D630AFC" w14:textId="35B4EE8D" w:rsidR="00316559" w:rsidRDefault="00316559">
      <w:pPr>
        <w:pStyle w:val="OB1"/>
      </w:pPr>
      <w:r>
        <w:t>Calculate amount to send to TOP</w:t>
      </w:r>
    </w:p>
    <w:p w14:paraId="7FFA38D9" w14:textId="20D6FCA7" w:rsidR="00417EE8" w:rsidRPr="00417EE8" w:rsidRDefault="00417EE8" w:rsidP="00417EE8">
      <w:pPr>
        <w:pStyle w:val="SB1"/>
      </w:pPr>
      <w:r>
        <w:t>Single overpayment established</w:t>
      </w:r>
    </w:p>
    <w:p w14:paraId="79305AA8" w14:textId="2286F33E" w:rsidR="00417EE8" w:rsidRDefault="00417EE8" w:rsidP="00417EE8">
      <w:pPr>
        <w:pStyle w:val="SB1"/>
      </w:pPr>
      <w:r>
        <w:t>M</w:t>
      </w:r>
      <w:r w:rsidRPr="00417EE8">
        <w:t>ultiple</w:t>
      </w:r>
      <w:r>
        <w:t xml:space="preserve"> overpayments established </w:t>
      </w:r>
    </w:p>
    <w:p w14:paraId="2BA926E3" w14:textId="77777777" w:rsidR="00316559" w:rsidRDefault="00316559" w:rsidP="00E16D2D">
      <w:pPr>
        <w:pStyle w:val="OB1"/>
      </w:pPr>
      <w:r>
        <w:lastRenderedPageBreak/>
        <w:t>Generate notices to Claimant prior to referral to TOP</w:t>
      </w:r>
    </w:p>
    <w:p w14:paraId="134594EE" w14:textId="77777777" w:rsidR="00316559" w:rsidRDefault="00316559" w:rsidP="00E16D2D">
      <w:pPr>
        <w:pStyle w:val="OB1"/>
      </w:pPr>
      <w:r>
        <w:t>Send change transactions</w:t>
      </w:r>
    </w:p>
    <w:p w14:paraId="6F6F265B" w14:textId="77777777" w:rsidR="00316559" w:rsidRDefault="00316559" w:rsidP="00116640">
      <w:pPr>
        <w:pStyle w:val="OB1"/>
      </w:pPr>
      <w:r>
        <w:t>Process transmission errors identified by IRS</w:t>
      </w:r>
    </w:p>
    <w:p w14:paraId="161F5E3B" w14:textId="77777777" w:rsidR="00316559" w:rsidRDefault="00316559" w:rsidP="00F82166">
      <w:pPr>
        <w:pStyle w:val="OB1"/>
      </w:pPr>
      <w:r>
        <w:t>Track remaining balance</w:t>
      </w:r>
    </w:p>
    <w:p w14:paraId="4C6EC9EF" w14:textId="77777777" w:rsidR="00316559" w:rsidRDefault="00316559" w:rsidP="00F82166">
      <w:pPr>
        <w:pStyle w:val="OB1"/>
      </w:pPr>
      <w:r>
        <w:t>Process intercepts and reversals</w:t>
      </w:r>
    </w:p>
    <w:p w14:paraId="5145C11F" w14:textId="77777777" w:rsidR="00316559" w:rsidRDefault="00316559">
      <w:pPr>
        <w:pStyle w:val="OB1"/>
      </w:pPr>
      <w:r>
        <w:t>Process Agency Debt Extract file from TOP to synchronize/reconcile systems</w:t>
      </w:r>
    </w:p>
    <w:p w14:paraId="7C0EA04B" w14:textId="138648A5" w:rsidR="00316559" w:rsidRDefault="00316559">
      <w:pPr>
        <w:pStyle w:val="LB1"/>
      </w:pPr>
      <w:r>
        <w:t xml:space="preserve">System must send debt to </w:t>
      </w:r>
      <w:r w:rsidR="009B186F">
        <w:t xml:space="preserve">Texas </w:t>
      </w:r>
      <w:r>
        <w:t>Comptroller</w:t>
      </w:r>
    </w:p>
    <w:p w14:paraId="58285BE0" w14:textId="77777777" w:rsidR="00316559" w:rsidRDefault="00316559">
      <w:pPr>
        <w:pStyle w:val="OB1"/>
      </w:pPr>
      <w:r>
        <w:t>Process recoveries</w:t>
      </w:r>
    </w:p>
    <w:p w14:paraId="1F597951" w14:textId="77777777" w:rsidR="00316559" w:rsidRDefault="00316559">
      <w:pPr>
        <w:pStyle w:val="OB1"/>
      </w:pPr>
      <w:r>
        <w:t>Track remaining balance</w:t>
      </w:r>
    </w:p>
    <w:p w14:paraId="468FE334" w14:textId="77777777" w:rsidR="00316559" w:rsidRDefault="00316559">
      <w:pPr>
        <w:pStyle w:val="LB1"/>
      </w:pPr>
      <w:r>
        <w:t>System must allow Staff to view collection and payment history</w:t>
      </w:r>
    </w:p>
    <w:p w14:paraId="190C265F" w14:textId="77777777" w:rsidR="00316559" w:rsidRDefault="00316559">
      <w:pPr>
        <w:pStyle w:val="LB1"/>
      </w:pPr>
      <w:r>
        <w:t xml:space="preserve">System must allow Staff to initiate notices of assessment </w:t>
      </w:r>
    </w:p>
    <w:p w14:paraId="0228D43F" w14:textId="77777777" w:rsidR="00316559" w:rsidRDefault="00316559">
      <w:pPr>
        <w:pStyle w:val="OB1"/>
      </w:pPr>
      <w:r>
        <w:t>Assessments group reviews list for accurate information (name, SSN, address, etc.)</w:t>
      </w:r>
    </w:p>
    <w:p w14:paraId="73631E2B" w14:textId="77777777" w:rsidR="00316559" w:rsidRDefault="00316559">
      <w:pPr>
        <w:pStyle w:val="OB1"/>
      </w:pPr>
      <w:r>
        <w:t>Assessments group authorizes system to generate assessment packet</w:t>
      </w:r>
    </w:p>
    <w:p w14:paraId="3C895B0C" w14:textId="77777777" w:rsidR="00316559" w:rsidRDefault="00316559">
      <w:pPr>
        <w:pStyle w:val="OB1"/>
      </w:pPr>
      <w:r>
        <w:t>System generates notice of assessment packet</w:t>
      </w:r>
    </w:p>
    <w:p w14:paraId="7C76BCD6" w14:textId="77777777" w:rsidR="00316559" w:rsidRDefault="00316559" w:rsidP="009342D0">
      <w:pPr>
        <w:pStyle w:val="SB1"/>
      </w:pPr>
      <w:r>
        <w:t>Purchase order</w:t>
      </w:r>
    </w:p>
    <w:p w14:paraId="72376A01" w14:textId="77777777" w:rsidR="00316559" w:rsidRDefault="00316559" w:rsidP="009342D0">
      <w:pPr>
        <w:pStyle w:val="SB1"/>
      </w:pPr>
      <w:r>
        <w:t>Notice of assessment certification (for the Civil process server to sign notifying of results of service attempt)</w:t>
      </w:r>
    </w:p>
    <w:p w14:paraId="52EAA9C3" w14:textId="77777777" w:rsidR="00316559" w:rsidRDefault="00316559" w:rsidP="009342D0">
      <w:pPr>
        <w:pStyle w:val="SB1"/>
      </w:pPr>
      <w:r>
        <w:t>Notice of assessment</w:t>
      </w:r>
    </w:p>
    <w:p w14:paraId="0F7F925B" w14:textId="77777777" w:rsidR="00316559" w:rsidRDefault="00316559" w:rsidP="00E16D2D">
      <w:pPr>
        <w:pStyle w:val="LB1"/>
      </w:pPr>
      <w:r>
        <w:t>Civil process server serves Employer with notice of assessment</w:t>
      </w:r>
    </w:p>
    <w:p w14:paraId="2C1E71D8" w14:textId="77777777" w:rsidR="00316559" w:rsidRDefault="00316559" w:rsidP="00E16D2D">
      <w:pPr>
        <w:pStyle w:val="OB1"/>
      </w:pPr>
      <w:r>
        <w:t>If successfully served, Staff generates abstract of assessment</w:t>
      </w:r>
    </w:p>
    <w:p w14:paraId="27023B92" w14:textId="77777777" w:rsidR="00316559" w:rsidRDefault="00316559" w:rsidP="00116640">
      <w:pPr>
        <w:pStyle w:val="OB1"/>
      </w:pPr>
      <w:r>
        <w:t>Staff files abstract of assessment with county clerk</w:t>
      </w:r>
    </w:p>
    <w:p w14:paraId="1BB40A30" w14:textId="77777777" w:rsidR="00316559" w:rsidRDefault="00316559" w:rsidP="00F82166">
      <w:pPr>
        <w:pStyle w:val="LB1"/>
      </w:pPr>
      <w:r>
        <w:t>System must have the capability to report ill-gotten gains to IRS</w:t>
      </w:r>
    </w:p>
    <w:p w14:paraId="64F7851D" w14:textId="717C4579" w:rsidR="00316559" w:rsidRDefault="00316559" w:rsidP="00F82166">
      <w:pPr>
        <w:pStyle w:val="LB1"/>
      </w:pPr>
      <w:r w:rsidRPr="005A7D89">
        <w:t xml:space="preserve">System must provide the ability to electronically interface with the U.S. Bankruptcy Courts Centralized EBN system to receive notification and updates of bankruptcy filings </w:t>
      </w:r>
    </w:p>
    <w:p w14:paraId="06BA93CA" w14:textId="2262C31C" w:rsidR="00316559" w:rsidRDefault="00316559">
      <w:pPr>
        <w:pStyle w:val="LB1"/>
      </w:pPr>
      <w:r>
        <w:t>Upon completion of review of Claimant account, Staff will file a POC with the respective bankruptcy court through th</w:t>
      </w:r>
      <w:r w:rsidR="005623B6">
        <w:t>e ECF system for certain cases</w:t>
      </w:r>
    </w:p>
    <w:p w14:paraId="3EC44F3A" w14:textId="77777777" w:rsidR="00316559" w:rsidRDefault="00316559">
      <w:pPr>
        <w:pStyle w:val="LB1"/>
      </w:pPr>
      <w:r>
        <w:t>System must be able to generate operational, performance, and management reports</w:t>
      </w:r>
    </w:p>
    <w:p w14:paraId="0C20294F" w14:textId="3A53C8C2" w:rsidR="00316559" w:rsidRDefault="00F67CDB">
      <w:pPr>
        <w:pStyle w:val="OB1"/>
      </w:pPr>
      <w:r>
        <w:t xml:space="preserve">System must allow Staff to </w:t>
      </w:r>
      <w:r w:rsidR="00316559">
        <w:t>schedule reports to be generated automatically</w:t>
      </w:r>
    </w:p>
    <w:p w14:paraId="48DD68E1" w14:textId="5F2C8720" w:rsidR="00316559" w:rsidRDefault="00F67CDB">
      <w:pPr>
        <w:pStyle w:val="OB1"/>
      </w:pPr>
      <w:r>
        <w:t xml:space="preserve">System must allow Staff to </w:t>
      </w:r>
      <w:r w:rsidR="00316559">
        <w:t>run reports on demand</w:t>
      </w:r>
    </w:p>
    <w:p w14:paraId="710D6DE1" w14:textId="172C244D" w:rsidR="00316559" w:rsidRDefault="00316559">
      <w:pPr>
        <w:pStyle w:val="OB1"/>
      </w:pPr>
      <w:r>
        <w:t xml:space="preserve">System must be able to </w:t>
      </w:r>
      <w:r w:rsidR="009342D0">
        <w:t xml:space="preserve">generate and distribute reports listed in </w:t>
      </w:r>
      <w:hyperlink w:anchor="_Attachment_8_–" w:history="1">
        <w:r w:rsidR="009342D0" w:rsidRPr="00FD6AAF">
          <w:rPr>
            <w:rStyle w:val="Hyperlink"/>
          </w:rPr>
          <w:t>Attachment 8</w:t>
        </w:r>
      </w:hyperlink>
    </w:p>
    <w:p w14:paraId="2B3D5164" w14:textId="77777777" w:rsidR="00316559" w:rsidRDefault="00316559">
      <w:pPr>
        <w:pStyle w:val="OB1"/>
      </w:pPr>
      <w:r>
        <w:t>System must allow Staff to develop and schedule ad hoc reports</w:t>
      </w:r>
    </w:p>
    <w:p w14:paraId="6A683E85" w14:textId="77777777" w:rsidR="00316559" w:rsidRDefault="00316559">
      <w:pPr>
        <w:pStyle w:val="OB1"/>
      </w:pPr>
      <w:r>
        <w:t>System must collect and track performance metrics</w:t>
      </w:r>
    </w:p>
    <w:p w14:paraId="3C336250" w14:textId="77777777" w:rsidR="00316559" w:rsidRDefault="00316559">
      <w:pPr>
        <w:pStyle w:val="OB1"/>
      </w:pPr>
      <w:r>
        <w:t>System must integrate reports with dashboards for visual representation of data</w:t>
      </w:r>
    </w:p>
    <w:p w14:paraId="1A4F636B" w14:textId="77777777" w:rsidR="00316559" w:rsidRDefault="00316559">
      <w:pPr>
        <w:pStyle w:val="OB1"/>
      </w:pPr>
      <w:r>
        <w:t>System must store and index reports</w:t>
      </w:r>
    </w:p>
    <w:p w14:paraId="72A5B6DE" w14:textId="77777777" w:rsidR="00316559" w:rsidRDefault="00316559" w:rsidP="00316559"/>
    <w:p w14:paraId="5A6548ED" w14:textId="23EF8342" w:rsidR="00316559" w:rsidRDefault="00316559" w:rsidP="00316559">
      <w:pPr>
        <w:rPr>
          <w:u w:val="single"/>
        </w:rPr>
      </w:pPr>
      <w:r w:rsidRPr="00316559">
        <w:rPr>
          <w:u w:val="single"/>
        </w:rPr>
        <w:t>Alternate Activities and Special Cases</w:t>
      </w:r>
    </w:p>
    <w:p w14:paraId="45275BA9" w14:textId="77777777" w:rsidR="004F7DCA" w:rsidRDefault="004F7DCA" w:rsidP="004F7DCA">
      <w:r>
        <w:lastRenderedPageBreak/>
        <w:t>System must support the following alternate activities and special cases:</w:t>
      </w:r>
    </w:p>
    <w:p w14:paraId="7AAB83B0" w14:textId="02398E8E" w:rsidR="00316559" w:rsidRDefault="00316559" w:rsidP="00E16D2D">
      <w:pPr>
        <w:pStyle w:val="LB1"/>
      </w:pPr>
      <w:r>
        <w:t>Fraudsters who have never had a claim but committed fraud</w:t>
      </w:r>
    </w:p>
    <w:p w14:paraId="751E8751" w14:textId="7F14B548" w:rsidR="00A146C1" w:rsidRPr="007E43F4" w:rsidRDefault="00A146C1" w:rsidP="00E16D2D">
      <w:pPr>
        <w:pStyle w:val="OB1"/>
      </w:pPr>
      <w:r w:rsidRPr="007E43F4">
        <w:t>Restitution</w:t>
      </w:r>
    </w:p>
    <w:p w14:paraId="0844344A" w14:textId="716A731E" w:rsidR="00A146C1" w:rsidRDefault="00A146C1" w:rsidP="00116640">
      <w:pPr>
        <w:pStyle w:val="OB1"/>
      </w:pPr>
      <w:r>
        <w:t xml:space="preserve">Collections </w:t>
      </w:r>
    </w:p>
    <w:p w14:paraId="1BCF4CB2" w14:textId="323C56CC" w:rsidR="00E85973" w:rsidRDefault="00E85973" w:rsidP="00F82166">
      <w:pPr>
        <w:pStyle w:val="OB1"/>
      </w:pPr>
      <w:r>
        <w:t xml:space="preserve">Notify state and/or federal probation of collections by TWC through offset, absorption or the Treasury Offset Program, or other, for court ordered </w:t>
      </w:r>
      <w:r w:rsidR="00386BEF">
        <w:t>restitution</w:t>
      </w:r>
    </w:p>
    <w:p w14:paraId="20E7DDBE" w14:textId="72D21035" w:rsidR="00316559" w:rsidRDefault="00316559" w:rsidP="00316559"/>
    <w:p w14:paraId="174E4DD0" w14:textId="2C9E4E83" w:rsidR="006705D8" w:rsidRDefault="006705D8" w:rsidP="006705D8">
      <w:pPr>
        <w:pStyle w:val="Heading4"/>
      </w:pPr>
      <w:bookmarkStart w:id="368" w:name="_Hlk536449087"/>
      <w:r>
        <w:tab/>
        <w:t>IRORA</w:t>
      </w:r>
    </w:p>
    <w:p w14:paraId="320BD33E" w14:textId="1779413C" w:rsidR="006705D8" w:rsidRPr="00B0723C" w:rsidRDefault="006705D8" w:rsidP="006705D8">
      <w:r>
        <w:t>This process includes all activities required to perform interstate reciprocal requests for overpaid benefits.</w:t>
      </w:r>
    </w:p>
    <w:p w14:paraId="0AB3D196" w14:textId="77777777" w:rsidR="006705D8" w:rsidRPr="003A23F0" w:rsidRDefault="006705D8" w:rsidP="006705D8">
      <w:pPr>
        <w:rPr>
          <w:u w:val="single"/>
        </w:rPr>
      </w:pPr>
      <w:r w:rsidRPr="003A23F0">
        <w:rPr>
          <w:u w:val="single"/>
        </w:rPr>
        <w:t>Actors</w:t>
      </w:r>
    </w:p>
    <w:p w14:paraId="2F7C15B9" w14:textId="1F3D027B" w:rsidR="006705D8" w:rsidRDefault="006705D8" w:rsidP="00E16D2D">
      <w:pPr>
        <w:pStyle w:val="LB1"/>
      </w:pPr>
      <w:r>
        <w:t>Staff</w:t>
      </w:r>
    </w:p>
    <w:p w14:paraId="0294FDF5" w14:textId="1D7A2533" w:rsidR="006705D8" w:rsidRDefault="006705D8" w:rsidP="00E16D2D">
      <w:pPr>
        <w:pStyle w:val="LB1"/>
      </w:pPr>
      <w:r>
        <w:t>Non-Texas Staff making requests</w:t>
      </w:r>
    </w:p>
    <w:p w14:paraId="465A36D1" w14:textId="77777777" w:rsidR="006705D8" w:rsidRPr="00DF6567" w:rsidRDefault="006705D8" w:rsidP="006705D8"/>
    <w:p w14:paraId="0DF5DD40" w14:textId="446BB5EE" w:rsidR="006705D8" w:rsidRPr="009342D0" w:rsidRDefault="006705D8" w:rsidP="006705D8">
      <w:pPr>
        <w:keepNext/>
        <w:rPr>
          <w:u w:val="single"/>
        </w:rPr>
      </w:pPr>
      <w:r>
        <w:rPr>
          <w:u w:val="single"/>
        </w:rPr>
        <w:t>Main Activities</w:t>
      </w:r>
    </w:p>
    <w:p w14:paraId="36B0B1F9" w14:textId="69AFF99B" w:rsidR="006705D8" w:rsidRPr="00D22E9C" w:rsidRDefault="004B12A8" w:rsidP="00E16D2D">
      <w:pPr>
        <w:pStyle w:val="LB1"/>
      </w:pPr>
      <w:r>
        <w:t xml:space="preserve">System must allow for the for the </w:t>
      </w:r>
      <w:r w:rsidR="006705D8" w:rsidRPr="00D22E9C">
        <w:t>recoupment of an overpayment from another state</w:t>
      </w:r>
    </w:p>
    <w:p w14:paraId="33A866D0" w14:textId="353D3C68" w:rsidR="006705D8" w:rsidRPr="006705D8" w:rsidRDefault="004B12A8" w:rsidP="00E16D2D">
      <w:pPr>
        <w:pStyle w:val="LB1"/>
      </w:pPr>
      <w:r>
        <w:t>System must a</w:t>
      </w:r>
      <w:r w:rsidR="006705D8" w:rsidRPr="006705D8">
        <w:t xml:space="preserve">llow </w:t>
      </w:r>
      <w:r>
        <w:t>S</w:t>
      </w:r>
      <w:r w:rsidR="006705D8" w:rsidRPr="006705D8">
        <w:t>taff to request recoupment of an overpayment from another state</w:t>
      </w:r>
    </w:p>
    <w:p w14:paraId="5E7D0CBB" w14:textId="5C3542BA" w:rsidR="006705D8" w:rsidRPr="006705D8" w:rsidRDefault="004B12A8" w:rsidP="00116640">
      <w:pPr>
        <w:pStyle w:val="LB1"/>
      </w:pPr>
      <w:r>
        <w:t>System must s</w:t>
      </w:r>
      <w:r w:rsidR="006705D8" w:rsidRPr="006705D8">
        <w:t>end the recovering state a</w:t>
      </w:r>
      <w:r w:rsidR="00E148DA">
        <w:t>n</w:t>
      </w:r>
      <w:r w:rsidR="006705D8" w:rsidRPr="006705D8">
        <w:t xml:space="preserve"> </w:t>
      </w:r>
      <w:r w:rsidR="00E148DA">
        <w:t xml:space="preserve">electronic or </w:t>
      </w:r>
      <w:r w:rsidR="006705D8" w:rsidRPr="006705D8">
        <w:t>written request for overpayment recover</w:t>
      </w:r>
      <w:r>
        <w:t>y</w:t>
      </w:r>
      <w:r w:rsidR="006705D8" w:rsidRPr="006705D8">
        <w:t xml:space="preserve"> assistance </w:t>
      </w:r>
      <w:r>
        <w:t xml:space="preserve">based on business rules </w:t>
      </w:r>
      <w:r w:rsidR="006705D8" w:rsidRPr="006705D8">
        <w:t>and include the following:</w:t>
      </w:r>
    </w:p>
    <w:p w14:paraId="7E5E5399" w14:textId="77777777" w:rsidR="006705D8" w:rsidRPr="006705D8" w:rsidRDefault="006705D8" w:rsidP="00F82166">
      <w:pPr>
        <w:pStyle w:val="OB1"/>
      </w:pPr>
      <w:r w:rsidRPr="006705D8">
        <w:t>Certification that the overpayment is legally collectable under the requesting state’s law</w:t>
      </w:r>
    </w:p>
    <w:p w14:paraId="03BA037B" w14:textId="77777777" w:rsidR="006705D8" w:rsidRPr="006705D8" w:rsidRDefault="006705D8" w:rsidP="00F82166">
      <w:pPr>
        <w:pStyle w:val="OB1"/>
        <w:rPr>
          <w:rFonts w:ascii="Calibri" w:hAnsi="Calibri"/>
        </w:rPr>
      </w:pPr>
      <w:r w:rsidRPr="006705D8">
        <w:t>Certification that the determination is final and that any rights to postponement of recoupment have been exhausted or expired</w:t>
      </w:r>
    </w:p>
    <w:p w14:paraId="12243292" w14:textId="77777777" w:rsidR="006705D8" w:rsidRPr="006705D8" w:rsidRDefault="006705D8">
      <w:pPr>
        <w:pStyle w:val="OB1"/>
      </w:pPr>
      <w:r w:rsidRPr="006705D8">
        <w:t>A statement as to whether the State is a member of IRORA</w:t>
      </w:r>
    </w:p>
    <w:p w14:paraId="11B4B6F3" w14:textId="77777777" w:rsidR="006705D8" w:rsidRPr="006705D8" w:rsidRDefault="006705D8">
      <w:pPr>
        <w:pStyle w:val="OB1"/>
      </w:pPr>
      <w:r w:rsidRPr="006705D8">
        <w:t>Copy of the initial overpayment determination and a statement of the outstanding balance</w:t>
      </w:r>
    </w:p>
    <w:p w14:paraId="5CDB4CAF" w14:textId="0E9A54D8" w:rsidR="006705D8" w:rsidRDefault="004B12A8">
      <w:pPr>
        <w:pStyle w:val="LB1"/>
      </w:pPr>
      <w:r>
        <w:t>System must s</w:t>
      </w:r>
      <w:r w:rsidR="006705D8" w:rsidRPr="00D22E9C">
        <w:t>end the recovering state a new outstanding overpayment balance</w:t>
      </w:r>
      <w:r w:rsidR="00E148DA">
        <w:t>, either</w:t>
      </w:r>
      <w:r w:rsidR="00E148DA" w:rsidRPr="006705D8">
        <w:t xml:space="preserve"> </w:t>
      </w:r>
      <w:r w:rsidR="00E148DA">
        <w:t xml:space="preserve">electronic or </w:t>
      </w:r>
      <w:r w:rsidR="00E148DA" w:rsidRPr="006705D8">
        <w:t>written</w:t>
      </w:r>
      <w:r w:rsidR="00E148DA">
        <w:t xml:space="preserve">, </w:t>
      </w:r>
      <w:r w:rsidR="00E148DA" w:rsidRPr="00D22E9C">
        <w:t>whenever</w:t>
      </w:r>
      <w:r w:rsidR="006705D8" w:rsidRPr="00D22E9C">
        <w:t xml:space="preserve"> their state receives a payment from a source other than the recovering State</w:t>
      </w:r>
    </w:p>
    <w:p w14:paraId="12A5FCE3" w14:textId="5E2672B9" w:rsidR="00D22E9C" w:rsidRDefault="004B12A8">
      <w:pPr>
        <w:pStyle w:val="LB1"/>
      </w:pPr>
      <w:r>
        <w:t xml:space="preserve">System must notify Staff when an overpayment </w:t>
      </w:r>
      <w:r w:rsidR="00D22E9C">
        <w:t xml:space="preserve">balance goes to zero in </w:t>
      </w:r>
      <w:r>
        <w:t>Texas</w:t>
      </w:r>
    </w:p>
    <w:p w14:paraId="30888851" w14:textId="22F64564" w:rsidR="00D22E9C" w:rsidRDefault="00D22E9C">
      <w:pPr>
        <w:pStyle w:val="OB1"/>
      </w:pPr>
      <w:r>
        <w:t>Stop collecting benefits based on business rules</w:t>
      </w:r>
    </w:p>
    <w:p w14:paraId="5CD0D51C" w14:textId="623C7FC3" w:rsidR="004B12A8" w:rsidRPr="00D22E9C" w:rsidRDefault="004B12A8">
      <w:pPr>
        <w:pStyle w:val="OB1"/>
      </w:pPr>
      <w:r>
        <w:t>Notify the other state</w:t>
      </w:r>
    </w:p>
    <w:p w14:paraId="6419CF8E" w14:textId="7ED0604E" w:rsidR="006705D8" w:rsidRPr="00D22E9C" w:rsidRDefault="00E148DA">
      <w:pPr>
        <w:pStyle w:val="LB1"/>
      </w:pPr>
      <w:r>
        <w:t>System must send notification to the C</w:t>
      </w:r>
      <w:r w:rsidR="006705D8" w:rsidRPr="00D22E9C">
        <w:t>laimant that Texas is requesting assistance from the other state in the recovery of the overpayment</w:t>
      </w:r>
    </w:p>
    <w:p w14:paraId="6EF8DFA8" w14:textId="27E1B0D9" w:rsidR="006705D8" w:rsidRPr="006705D8" w:rsidRDefault="00E148DA">
      <w:pPr>
        <w:pStyle w:val="LB1"/>
      </w:pPr>
      <w:r>
        <w:lastRenderedPageBreak/>
        <w:t>System must automatically or allow Staff to manually c</w:t>
      </w:r>
      <w:r w:rsidR="0067648B">
        <w:t>reate and track</w:t>
      </w:r>
      <w:r w:rsidR="006705D8" w:rsidRPr="006705D8">
        <w:t xml:space="preserve"> work item</w:t>
      </w:r>
      <w:r>
        <w:t>s</w:t>
      </w:r>
      <w:r w:rsidR="006705D8" w:rsidRPr="006705D8">
        <w:t xml:space="preserve"> for </w:t>
      </w:r>
      <w:r>
        <w:t>S</w:t>
      </w:r>
      <w:r w:rsidR="006705D8" w:rsidRPr="006705D8">
        <w:t xml:space="preserve">taff to handle </w:t>
      </w:r>
      <w:r>
        <w:t xml:space="preserve">incoming and outgoing </w:t>
      </w:r>
      <w:r w:rsidR="006705D8" w:rsidRPr="006705D8">
        <w:t>recoupm</w:t>
      </w:r>
      <w:r>
        <w:t xml:space="preserve">ent requests </w:t>
      </w:r>
    </w:p>
    <w:p w14:paraId="5CA91389" w14:textId="17DB9F66" w:rsidR="006705D8" w:rsidRPr="006705D8" w:rsidRDefault="0067648B">
      <w:pPr>
        <w:pStyle w:val="LB1"/>
      </w:pPr>
      <w:r>
        <w:t>System must c</w:t>
      </w:r>
      <w:r w:rsidR="006705D8" w:rsidRPr="006705D8">
        <w:t>r</w:t>
      </w:r>
      <w:r>
        <w:t>eate an interstate overpayment C</w:t>
      </w:r>
      <w:r w:rsidR="006705D8" w:rsidRPr="006705D8">
        <w:t>laimant case file for each individual request</w:t>
      </w:r>
    </w:p>
    <w:p w14:paraId="2CB34BDC" w14:textId="72B35CE8" w:rsidR="006705D8" w:rsidRPr="006705D8" w:rsidRDefault="0067648B">
      <w:pPr>
        <w:pStyle w:val="LB1"/>
      </w:pPr>
      <w:r>
        <w:t>System must a</w:t>
      </w:r>
      <w:r w:rsidR="006705D8" w:rsidRPr="006705D8">
        <w:t xml:space="preserve">llow </w:t>
      </w:r>
      <w:r>
        <w:t>S</w:t>
      </w:r>
      <w:r w:rsidR="006705D8" w:rsidRPr="006705D8">
        <w:t>taff to unarchive or recreate old determinations</w:t>
      </w:r>
    </w:p>
    <w:p w14:paraId="75720F1C" w14:textId="7995ACD1" w:rsidR="006705D8" w:rsidRPr="006705D8" w:rsidRDefault="00FA276F">
      <w:pPr>
        <w:pStyle w:val="LB1"/>
      </w:pPr>
      <w:r>
        <w:t>System must i</w:t>
      </w:r>
      <w:r w:rsidR="006705D8" w:rsidRPr="006705D8">
        <w:t>dentify when an overpayment involves a CWC</w:t>
      </w:r>
    </w:p>
    <w:p w14:paraId="33BA9D5C" w14:textId="77777777" w:rsidR="006705D8" w:rsidRPr="006705D8" w:rsidRDefault="006705D8">
      <w:pPr>
        <w:pStyle w:val="OB1"/>
        <w:rPr>
          <w:rFonts w:ascii="Calibri" w:hAnsi="Calibri"/>
          <w:sz w:val="22"/>
        </w:rPr>
      </w:pPr>
      <w:r w:rsidRPr="006705D8">
        <w:t>Certify that the overpayment determination was not issued more than three years prior to the effective date of the CWC</w:t>
      </w:r>
    </w:p>
    <w:p w14:paraId="19339363" w14:textId="77777777" w:rsidR="006705D8" w:rsidRPr="006705D8" w:rsidRDefault="006705D8">
      <w:pPr>
        <w:pStyle w:val="OB1"/>
      </w:pPr>
      <w:r w:rsidRPr="006705D8">
        <w:t>Confirm the determination is final</w:t>
      </w:r>
    </w:p>
    <w:p w14:paraId="6AAA02F2" w14:textId="416C13D7" w:rsidR="006705D8" w:rsidRPr="006705D8" w:rsidRDefault="006705D8">
      <w:pPr>
        <w:pStyle w:val="OB1"/>
      </w:pPr>
      <w:r w:rsidRPr="006705D8">
        <w:t>Ensure repayment of the overpayment is legally required and enforceable under the law of the transferring state</w:t>
      </w:r>
      <w:r w:rsidR="00FA276F">
        <w:t xml:space="preserve"> based on business rules</w:t>
      </w:r>
    </w:p>
    <w:p w14:paraId="173FF0C8" w14:textId="77777777" w:rsidR="006705D8" w:rsidRPr="006705D8" w:rsidRDefault="006705D8">
      <w:pPr>
        <w:pStyle w:val="OB1"/>
      </w:pPr>
      <w:r w:rsidRPr="006705D8">
        <w:t>If there are two transferring states requesting recovery of an overpayment, the amount recovered shall be divided in proportion to the wages each State contributed to the monetary determination</w:t>
      </w:r>
    </w:p>
    <w:p w14:paraId="0B04ED98" w14:textId="1B000950" w:rsidR="006705D8" w:rsidRPr="006705D8" w:rsidRDefault="00FA276F">
      <w:pPr>
        <w:pStyle w:val="LB1"/>
        <w:rPr>
          <w:rFonts w:ascii="Calibri" w:hAnsi="Calibri"/>
        </w:rPr>
      </w:pPr>
      <w:r>
        <w:t>System must i</w:t>
      </w:r>
      <w:r w:rsidR="006705D8" w:rsidRPr="006705D8">
        <w:t xml:space="preserve">dentify and flag when a claim associated with an overpayment </w:t>
      </w:r>
      <w:r w:rsidR="006705D8" w:rsidRPr="00FA276F">
        <w:t xml:space="preserve">request </w:t>
      </w:r>
      <w:r w:rsidR="006705D8" w:rsidRPr="00FA276F">
        <w:rPr>
          <w:iCs/>
        </w:rPr>
        <w:t xml:space="preserve">is not in current pay status </w:t>
      </w:r>
      <w:r w:rsidR="006705D8" w:rsidRPr="00FA276F">
        <w:t>based on</w:t>
      </w:r>
      <w:r w:rsidR="006705D8" w:rsidRPr="006705D8">
        <w:t xml:space="preserve"> business rules</w:t>
      </w:r>
    </w:p>
    <w:p w14:paraId="571B97E4" w14:textId="7214D798" w:rsidR="006705D8" w:rsidRDefault="00FA276F">
      <w:pPr>
        <w:pStyle w:val="LB1"/>
      </w:pPr>
      <w:r>
        <w:t>System must send notification to S</w:t>
      </w:r>
      <w:r w:rsidR="006705D8" w:rsidRPr="006705D8">
        <w:t xml:space="preserve">taff when a claim associated with an overpayment request </w:t>
      </w:r>
      <w:r w:rsidR="006705D8" w:rsidRPr="00FA276F">
        <w:rPr>
          <w:iCs/>
        </w:rPr>
        <w:t>becomes payable</w:t>
      </w:r>
      <w:r w:rsidR="006705D8" w:rsidRPr="006705D8">
        <w:t xml:space="preserve"> based on business rules</w:t>
      </w:r>
    </w:p>
    <w:p w14:paraId="38512066" w14:textId="7168BE01" w:rsidR="00FA276F" w:rsidRDefault="00FA276F">
      <w:pPr>
        <w:pStyle w:val="LB1"/>
      </w:pPr>
      <w:r>
        <w:t xml:space="preserve">System must allow Staff to initiate the </w:t>
      </w:r>
      <w:r w:rsidRPr="006705D8">
        <w:t>recoupm</w:t>
      </w:r>
      <w:r>
        <w:t>ent transaction</w:t>
      </w:r>
    </w:p>
    <w:p w14:paraId="249FCC2B" w14:textId="010BAF4F" w:rsidR="00FA276F" w:rsidRDefault="00FA276F">
      <w:pPr>
        <w:pStyle w:val="LB1"/>
      </w:pPr>
      <w:r>
        <w:t>System must retain a history of all IRORA transactions</w:t>
      </w:r>
    </w:p>
    <w:p w14:paraId="2A143887" w14:textId="020C57A1" w:rsidR="00FA276F" w:rsidRDefault="00FA276F">
      <w:pPr>
        <w:pStyle w:val="LB1"/>
      </w:pPr>
      <w:r>
        <w:t>System must allow authorized Staff to make changes to IRORA transactions based on business rules</w:t>
      </w:r>
    </w:p>
    <w:p w14:paraId="1C8D8A67" w14:textId="70082987" w:rsidR="00D024D1" w:rsidRDefault="00D024D1">
      <w:pPr>
        <w:pStyle w:val="LB1"/>
      </w:pPr>
      <w:r>
        <w:t>System must allow Staff to process cancelled warrants (done in RTM)</w:t>
      </w:r>
    </w:p>
    <w:p w14:paraId="26D7B3D9" w14:textId="77777777" w:rsidR="00D024D1" w:rsidRDefault="00D024D1">
      <w:pPr>
        <w:pStyle w:val="OB1"/>
      </w:pPr>
      <w:r>
        <w:t>Cancel warrant</w:t>
      </w:r>
    </w:p>
    <w:p w14:paraId="774DA833" w14:textId="4536E1E9" w:rsidR="00D024D1" w:rsidRDefault="00D024D1">
      <w:pPr>
        <w:pStyle w:val="OB1"/>
      </w:pPr>
      <w:r>
        <w:t>Adjust balance</w:t>
      </w:r>
    </w:p>
    <w:p w14:paraId="04F2DE36" w14:textId="0EB28D5F" w:rsidR="00D024D1" w:rsidRDefault="00D024D1">
      <w:pPr>
        <w:pStyle w:val="OB1"/>
      </w:pPr>
      <w:r>
        <w:t>Reissue benefits to Claimant based on business rules</w:t>
      </w:r>
    </w:p>
    <w:p w14:paraId="2C60A2F2" w14:textId="77777777" w:rsidR="00D024D1" w:rsidRPr="006705D8" w:rsidRDefault="00D024D1" w:rsidP="00F5663E">
      <w:pPr>
        <w:pStyle w:val="LB1"/>
        <w:numPr>
          <w:ilvl w:val="0"/>
          <w:numId w:val="0"/>
        </w:numPr>
        <w:ind w:left="1080"/>
      </w:pPr>
    </w:p>
    <w:bookmarkEnd w:id="368"/>
    <w:p w14:paraId="38AD1CE0" w14:textId="54182606" w:rsidR="00F92893" w:rsidRDefault="00F92893" w:rsidP="00F92893">
      <w:pPr>
        <w:pStyle w:val="Heading4"/>
      </w:pPr>
      <w:r>
        <w:tab/>
      </w:r>
      <w:r w:rsidR="009342D0">
        <w:t>Statistical Sampling</w:t>
      </w:r>
    </w:p>
    <w:p w14:paraId="643984A1" w14:textId="1474130D" w:rsidR="00F92893" w:rsidRPr="00B0723C" w:rsidRDefault="009342D0" w:rsidP="00F92893">
      <w:r>
        <w:t>This process includes all activities required to perform federally mandated audits on the UI program (UI Benefits, UI Tax, and Data Validation)</w:t>
      </w:r>
      <w:r w:rsidR="00F92893">
        <w:t>.</w:t>
      </w:r>
    </w:p>
    <w:p w14:paraId="0DA20ABB" w14:textId="77777777" w:rsidR="00F92893" w:rsidRPr="003A23F0" w:rsidRDefault="00F92893" w:rsidP="00F92893">
      <w:pPr>
        <w:rPr>
          <w:u w:val="single"/>
        </w:rPr>
      </w:pPr>
      <w:r w:rsidRPr="003A23F0">
        <w:rPr>
          <w:u w:val="single"/>
        </w:rPr>
        <w:t>Actors</w:t>
      </w:r>
    </w:p>
    <w:p w14:paraId="1C824D2D" w14:textId="77777777" w:rsidR="00F92893" w:rsidRDefault="00F92893" w:rsidP="00E16D2D">
      <w:pPr>
        <w:pStyle w:val="LB1"/>
      </w:pPr>
      <w:r>
        <w:t>Staff</w:t>
      </w:r>
    </w:p>
    <w:p w14:paraId="4DD77563" w14:textId="77777777" w:rsidR="00F92893" w:rsidRPr="00DF6567" w:rsidRDefault="00F92893" w:rsidP="00F92893"/>
    <w:p w14:paraId="442C7291" w14:textId="77777777" w:rsidR="009342D0" w:rsidRPr="009342D0" w:rsidRDefault="009342D0" w:rsidP="00454804">
      <w:pPr>
        <w:keepNext/>
        <w:rPr>
          <w:u w:val="single"/>
        </w:rPr>
      </w:pPr>
      <w:r w:rsidRPr="009342D0">
        <w:rPr>
          <w:u w:val="single"/>
        </w:rPr>
        <w:t>Main Activities – Benefits Accuracy Measurement (BAM) Program</w:t>
      </w:r>
    </w:p>
    <w:p w14:paraId="7833EF73" w14:textId="77777777" w:rsidR="009342D0" w:rsidRDefault="009342D0" w:rsidP="00F90A03">
      <w:pPr>
        <w:pStyle w:val="LB1"/>
      </w:pPr>
      <w:r>
        <w:t>System must allow Staff to audit UI claims to determine payment and denial accuracy</w:t>
      </w:r>
    </w:p>
    <w:p w14:paraId="63E960A1" w14:textId="5EB2D1AA" w:rsidR="00BF4702" w:rsidRDefault="009342D0" w:rsidP="00E16D2D">
      <w:pPr>
        <w:pStyle w:val="LB1"/>
      </w:pPr>
      <w:r>
        <w:t xml:space="preserve">System </w:t>
      </w:r>
      <w:r w:rsidR="00C704DD">
        <w:t xml:space="preserve">must </w:t>
      </w:r>
      <w:r w:rsidR="00BF4702">
        <w:t xml:space="preserve">determine cases to audit based on DOL requirements </w:t>
      </w:r>
    </w:p>
    <w:p w14:paraId="7B76199E" w14:textId="35FF70F6" w:rsidR="009342D0" w:rsidRDefault="00BF4702" w:rsidP="00E16D2D">
      <w:pPr>
        <w:pStyle w:val="LB1"/>
      </w:pPr>
      <w:r>
        <w:t xml:space="preserve">System must </w:t>
      </w:r>
      <w:r w:rsidR="009342D0">
        <w:t>prepare data for audit</w:t>
      </w:r>
    </w:p>
    <w:p w14:paraId="672ED58D" w14:textId="4F422D90" w:rsidR="009342D0" w:rsidRDefault="009342D0" w:rsidP="00116640">
      <w:pPr>
        <w:pStyle w:val="LB1"/>
      </w:pPr>
      <w:r>
        <w:t xml:space="preserve">System must ensure data conforms to DOL format as defined in </w:t>
      </w:r>
      <w:r w:rsidR="00195B3A" w:rsidRPr="00D00905">
        <w:rPr>
          <w:rFonts w:cs="Arial"/>
          <w:snapToGrid w:val="0"/>
          <w:color w:val="000000"/>
          <w:szCs w:val="24"/>
        </w:rPr>
        <w:t>Employment and Training</w:t>
      </w:r>
      <w:r w:rsidR="00195B3A">
        <w:rPr>
          <w:rFonts w:cs="Arial"/>
          <w:snapToGrid w:val="0"/>
          <w:color w:val="000000"/>
          <w:szCs w:val="24"/>
        </w:rPr>
        <w:t xml:space="preserve"> (</w:t>
      </w:r>
      <w:r>
        <w:t>ET</w:t>
      </w:r>
      <w:r w:rsidR="00195B3A">
        <w:t>)</w:t>
      </w:r>
      <w:r>
        <w:t xml:space="preserve"> Handbook 395</w:t>
      </w:r>
    </w:p>
    <w:p w14:paraId="0AC36F3F" w14:textId="77777777" w:rsidR="009342D0" w:rsidRDefault="009342D0" w:rsidP="00F82166">
      <w:pPr>
        <w:pStyle w:val="LB1"/>
      </w:pPr>
      <w:r>
        <w:lastRenderedPageBreak/>
        <w:t xml:space="preserve">Staff assigns cases to Auditors in DOL SUN system </w:t>
      </w:r>
    </w:p>
    <w:p w14:paraId="27575570" w14:textId="77777777" w:rsidR="005623B6" w:rsidRDefault="009342D0" w:rsidP="00F82166">
      <w:pPr>
        <w:pStyle w:val="LB1"/>
      </w:pPr>
      <w:r>
        <w:t xml:space="preserve">System must automatically create snapshot of a claim including screen shots </w:t>
      </w:r>
      <w:r w:rsidR="007519EB">
        <w:t xml:space="preserve">(e.g., PDF) </w:t>
      </w:r>
      <w:r>
        <w:t xml:space="preserve">from UI Benefits and </w:t>
      </w:r>
      <w:r w:rsidR="00054DBA">
        <w:t>WIT</w:t>
      </w:r>
    </w:p>
    <w:p w14:paraId="068F8261" w14:textId="4C832B7D" w:rsidR="009342D0" w:rsidRDefault="009342D0">
      <w:pPr>
        <w:pStyle w:val="LB1"/>
      </w:pPr>
      <w:r>
        <w:t>System must allow Staff to manually</w:t>
      </w:r>
      <w:r w:rsidR="005623B6">
        <w:t xml:space="preserve"> edit the snap shot if required</w:t>
      </w:r>
    </w:p>
    <w:p w14:paraId="031A80A9" w14:textId="77777777" w:rsidR="005623B6" w:rsidRDefault="009342D0">
      <w:pPr>
        <w:pStyle w:val="LB1"/>
      </w:pPr>
      <w:r>
        <w:t>S</w:t>
      </w:r>
      <w:r w:rsidR="00C704DD">
        <w:t>ystem must support S</w:t>
      </w:r>
      <w:r>
        <w:t>taff conduct</w:t>
      </w:r>
      <w:r w:rsidR="00C704DD">
        <w:t>ing</w:t>
      </w:r>
      <w:r>
        <w:t xml:space="preserve"> </w:t>
      </w:r>
      <w:r w:rsidR="00F67CDB">
        <w:t xml:space="preserve">an </w:t>
      </w:r>
      <w:r w:rsidR="005623B6">
        <w:t xml:space="preserve">audit </w:t>
      </w:r>
    </w:p>
    <w:p w14:paraId="4A898972" w14:textId="67E9E94E" w:rsidR="009342D0" w:rsidRDefault="005623B6">
      <w:pPr>
        <w:pStyle w:val="OB1"/>
      </w:pPr>
      <w:r>
        <w:t>Must follow 20 CFR Part 602</w:t>
      </w:r>
    </w:p>
    <w:p w14:paraId="196ABBD3" w14:textId="77777777" w:rsidR="009342D0" w:rsidRDefault="009342D0">
      <w:pPr>
        <w:pStyle w:val="OB1"/>
      </w:pPr>
      <w:r>
        <w:t>Must follow ET Handbook 395</w:t>
      </w:r>
    </w:p>
    <w:p w14:paraId="2EB44639" w14:textId="77777777" w:rsidR="009342D0" w:rsidRDefault="009342D0">
      <w:pPr>
        <w:pStyle w:val="OB1"/>
      </w:pPr>
      <w:r>
        <w:t>Must follow DOL mandated questionnaire</w:t>
      </w:r>
    </w:p>
    <w:p w14:paraId="54F6D7DD" w14:textId="77777777" w:rsidR="009342D0" w:rsidRDefault="009342D0">
      <w:pPr>
        <w:pStyle w:val="OB1"/>
      </w:pPr>
      <w:r>
        <w:t>Interview both Employers and Claimants</w:t>
      </w:r>
    </w:p>
    <w:p w14:paraId="1CC42D5A" w14:textId="77777777" w:rsidR="009342D0" w:rsidRDefault="009342D0" w:rsidP="009342D0">
      <w:pPr>
        <w:pStyle w:val="SB1"/>
      </w:pPr>
      <w:r>
        <w:t>Phone, fax, mail, email, etc.</w:t>
      </w:r>
    </w:p>
    <w:p w14:paraId="2D0C9709" w14:textId="77777777" w:rsidR="009342D0" w:rsidRDefault="009342D0" w:rsidP="009342D0">
      <w:pPr>
        <w:pStyle w:val="SB1"/>
      </w:pPr>
      <w:r>
        <w:t>Quarterly wages, base period wages, etc.</w:t>
      </w:r>
    </w:p>
    <w:p w14:paraId="570AF6BB" w14:textId="0CCFBD2C" w:rsidR="009342D0" w:rsidRDefault="00F67CDB" w:rsidP="00E16D2D">
      <w:pPr>
        <w:pStyle w:val="OB1"/>
      </w:pPr>
      <w:r>
        <w:t>R</w:t>
      </w:r>
      <w:r w:rsidR="009342D0">
        <w:t>eadily access claim history</w:t>
      </w:r>
    </w:p>
    <w:p w14:paraId="5AA84231" w14:textId="77777777" w:rsidR="009342D0" w:rsidRDefault="009342D0" w:rsidP="00E16D2D">
      <w:pPr>
        <w:pStyle w:val="OB1"/>
      </w:pPr>
      <w:r>
        <w:t>Investigate issues such as</w:t>
      </w:r>
    </w:p>
    <w:p w14:paraId="04003EFA" w14:textId="77777777" w:rsidR="009342D0" w:rsidRDefault="009342D0" w:rsidP="009342D0">
      <w:pPr>
        <w:pStyle w:val="SB1"/>
      </w:pPr>
      <w:r>
        <w:t>Job separation</w:t>
      </w:r>
    </w:p>
    <w:p w14:paraId="187CA2E3" w14:textId="77777777" w:rsidR="009342D0" w:rsidRDefault="009342D0" w:rsidP="009342D0">
      <w:pPr>
        <w:pStyle w:val="SB1"/>
      </w:pPr>
      <w:r>
        <w:t>Non-monetary issues</w:t>
      </w:r>
    </w:p>
    <w:p w14:paraId="00819C6F" w14:textId="77777777" w:rsidR="009342D0" w:rsidRDefault="009342D0" w:rsidP="009342D0">
      <w:pPr>
        <w:pStyle w:val="SB1"/>
      </w:pPr>
      <w:r>
        <w:t>Monetary issues</w:t>
      </w:r>
    </w:p>
    <w:p w14:paraId="075B0A1F" w14:textId="77777777" w:rsidR="009342D0" w:rsidRDefault="009342D0" w:rsidP="009342D0">
      <w:pPr>
        <w:pStyle w:val="SB1"/>
      </w:pPr>
      <w:r>
        <w:t>Eligibility issues</w:t>
      </w:r>
    </w:p>
    <w:p w14:paraId="4A9FF8CA" w14:textId="77777777" w:rsidR="009342D0" w:rsidRDefault="009342D0" w:rsidP="00E16D2D">
      <w:pPr>
        <w:pStyle w:val="DB1"/>
      </w:pPr>
      <w:r>
        <w:t>Work searches</w:t>
      </w:r>
    </w:p>
    <w:p w14:paraId="76184531" w14:textId="77777777" w:rsidR="009342D0" w:rsidRDefault="009342D0" w:rsidP="00E16D2D">
      <w:pPr>
        <w:pStyle w:val="DB1"/>
      </w:pPr>
      <w:r>
        <w:t>Availability</w:t>
      </w:r>
    </w:p>
    <w:p w14:paraId="1C236F3A" w14:textId="77777777" w:rsidR="009342D0" w:rsidRDefault="009342D0" w:rsidP="00116640">
      <w:pPr>
        <w:pStyle w:val="DB1"/>
      </w:pPr>
      <w:r>
        <w:t>Work registration</w:t>
      </w:r>
    </w:p>
    <w:p w14:paraId="166EB274" w14:textId="77777777" w:rsidR="009342D0" w:rsidRDefault="009342D0" w:rsidP="009342D0">
      <w:pPr>
        <w:pStyle w:val="SB1"/>
      </w:pPr>
      <w:r>
        <w:t>Benefit year earnings</w:t>
      </w:r>
    </w:p>
    <w:p w14:paraId="2FC0D054" w14:textId="77777777" w:rsidR="009342D0" w:rsidRDefault="009342D0" w:rsidP="00E16D2D">
      <w:pPr>
        <w:pStyle w:val="OB1"/>
      </w:pPr>
      <w:r>
        <w:t>Summarize findings</w:t>
      </w:r>
    </w:p>
    <w:p w14:paraId="1304E53C" w14:textId="77777777" w:rsidR="009342D0" w:rsidRDefault="009342D0" w:rsidP="00E16D2D">
      <w:pPr>
        <w:pStyle w:val="OB1"/>
      </w:pPr>
      <w:r>
        <w:t>Complete Data Collection Instrument (DCI) and enter data into DOL SUN System</w:t>
      </w:r>
    </w:p>
    <w:p w14:paraId="3DDAE38C" w14:textId="434DAE1B" w:rsidR="009342D0" w:rsidRDefault="009342D0" w:rsidP="00116640">
      <w:pPr>
        <w:pStyle w:val="LB1"/>
      </w:pPr>
      <w:r>
        <w:t xml:space="preserve">System must store all audit documents including correspondence, both incoming and outgoing, in </w:t>
      </w:r>
      <w:r w:rsidR="00D93CBC">
        <w:t>a c</w:t>
      </w:r>
      <w:r>
        <w:t xml:space="preserve">ase </w:t>
      </w:r>
      <w:r w:rsidR="00D93CBC">
        <w:t>m</w:t>
      </w:r>
      <w:r>
        <w:t xml:space="preserve">anagement </w:t>
      </w:r>
      <w:r w:rsidR="00D93CBC">
        <w:t>s</w:t>
      </w:r>
      <w:r>
        <w:t>ystem</w:t>
      </w:r>
    </w:p>
    <w:p w14:paraId="115846E8" w14:textId="191049B7" w:rsidR="009342D0" w:rsidRDefault="009342D0" w:rsidP="00F82166">
      <w:pPr>
        <w:pStyle w:val="LB1"/>
      </w:pPr>
      <w:r>
        <w:t>System must create a log of all correspondence, both incoming and outgoing, and incorporate with ALL Benefits correspondence logs for both Employers and Claimants</w:t>
      </w:r>
    </w:p>
    <w:p w14:paraId="3C44ABDB" w14:textId="666F94FE" w:rsidR="007E43F4" w:rsidRPr="00C704DD" w:rsidRDefault="007E43F4" w:rsidP="00F82166">
      <w:pPr>
        <w:pStyle w:val="LB1"/>
        <w:rPr>
          <w:rStyle w:val="Hyperlink"/>
          <w:color w:val="auto"/>
          <w:u w:val="none"/>
        </w:rPr>
      </w:pPr>
      <w:r>
        <w:t>System must include Case Management</w:t>
      </w:r>
      <w:r w:rsidR="00C704DD">
        <w:t xml:space="preserve">, Dashboards, </w:t>
      </w:r>
      <w:r w:rsidR="00B37FD4">
        <w:t xml:space="preserve">Generate Reports, </w:t>
      </w:r>
      <w:r w:rsidR="00C704DD">
        <w:t>Workflow</w:t>
      </w:r>
      <w:r>
        <w:t xml:space="preserve"> and Correspondence functionality, described in General Process Descriptions, see </w:t>
      </w:r>
      <w:hyperlink w:anchor="_A6.9_General" w:history="1">
        <w:r>
          <w:rPr>
            <w:rStyle w:val="Hyperlink"/>
          </w:rPr>
          <w:t>Attachment A6.9</w:t>
        </w:r>
      </w:hyperlink>
    </w:p>
    <w:p w14:paraId="1CDB538E" w14:textId="5C11901C" w:rsidR="00C704DD" w:rsidRDefault="00C704DD">
      <w:pPr>
        <w:pStyle w:val="LB1"/>
      </w:pPr>
      <w:r>
        <w:t>System must</w:t>
      </w:r>
      <w:r w:rsidR="00AE50B2">
        <w:t xml:space="preserve"> include the ability to:</w:t>
      </w:r>
    </w:p>
    <w:p w14:paraId="28D26E98" w14:textId="1E1DE004" w:rsidR="00AE50B2" w:rsidRDefault="00AE50B2">
      <w:pPr>
        <w:pStyle w:val="OB1"/>
      </w:pPr>
      <w:r>
        <w:t>Schedule mailings in each audit</w:t>
      </w:r>
    </w:p>
    <w:p w14:paraId="7B27C4D4" w14:textId="40D6AA01" w:rsidR="00AE50B2" w:rsidRDefault="00AE50B2">
      <w:pPr>
        <w:pStyle w:val="OB1"/>
      </w:pPr>
      <w:r>
        <w:t>Set reminder messages for auditors to perform certain tasks in each audit</w:t>
      </w:r>
    </w:p>
    <w:p w14:paraId="5A845C95" w14:textId="77777777" w:rsidR="00D81046" w:rsidRDefault="00AE50B2">
      <w:pPr>
        <w:pStyle w:val="OB1"/>
      </w:pPr>
      <w:r>
        <w:t>Create reports</w:t>
      </w:r>
    </w:p>
    <w:p w14:paraId="7F2A5053" w14:textId="78F03CBA" w:rsidR="00AE50B2" w:rsidRDefault="00D81046" w:rsidP="00D81046">
      <w:pPr>
        <w:pStyle w:val="SB1"/>
      </w:pPr>
      <w:r>
        <w:t>I</w:t>
      </w:r>
      <w:r w:rsidR="00AE50B2">
        <w:t>ndividual auditor’s timely completion of audits</w:t>
      </w:r>
    </w:p>
    <w:p w14:paraId="104D9CC8" w14:textId="65943F92" w:rsidR="00AE50B2" w:rsidRDefault="00D81046" w:rsidP="00D81046">
      <w:pPr>
        <w:pStyle w:val="SB1"/>
      </w:pPr>
      <w:r>
        <w:t>G</w:t>
      </w:r>
      <w:r w:rsidR="00AE50B2">
        <w:t>eneral number of audits completed</w:t>
      </w:r>
    </w:p>
    <w:p w14:paraId="0F7B8926" w14:textId="3083690B" w:rsidR="00D81046" w:rsidRDefault="00D81046" w:rsidP="00D81046">
      <w:pPr>
        <w:pStyle w:val="SB1"/>
      </w:pPr>
      <w:r>
        <w:t>Ad hoc using any item off of the DCI</w:t>
      </w:r>
    </w:p>
    <w:p w14:paraId="670DC999" w14:textId="77777777" w:rsidR="00D81046" w:rsidRDefault="00BE401C" w:rsidP="00E16D2D">
      <w:pPr>
        <w:pStyle w:val="OB1"/>
      </w:pPr>
      <w:r>
        <w:t xml:space="preserve">Provide </w:t>
      </w:r>
      <w:r w:rsidR="00D81046">
        <w:t>audit results</w:t>
      </w:r>
      <w:r>
        <w:t xml:space="preserve"> to affected departments </w:t>
      </w:r>
    </w:p>
    <w:p w14:paraId="19DF9A7B" w14:textId="140D2AAA" w:rsidR="00D81046" w:rsidRDefault="00D81046" w:rsidP="00D81046">
      <w:pPr>
        <w:pStyle w:val="SB1"/>
      </w:pPr>
      <w:r>
        <w:lastRenderedPageBreak/>
        <w:t>Manage workflow for those departments to take action</w:t>
      </w:r>
    </w:p>
    <w:p w14:paraId="43A09499" w14:textId="27B41B4D" w:rsidR="00BE401C" w:rsidRDefault="00D81046" w:rsidP="00D81046">
      <w:pPr>
        <w:pStyle w:val="SB1"/>
      </w:pPr>
      <w:r>
        <w:t>Allow departments to communicate with BAM to discuss audit results</w:t>
      </w:r>
    </w:p>
    <w:p w14:paraId="02A4EBFB" w14:textId="77777777" w:rsidR="009342D0" w:rsidRDefault="009342D0" w:rsidP="009342D0">
      <w:pPr>
        <w:pStyle w:val="KBulletList2"/>
        <w:numPr>
          <w:ilvl w:val="0"/>
          <w:numId w:val="0"/>
        </w:numPr>
      </w:pPr>
    </w:p>
    <w:p w14:paraId="0BFDAA6B" w14:textId="4CE6B5E8" w:rsidR="009342D0" w:rsidRDefault="009342D0" w:rsidP="009342D0">
      <w:pPr>
        <w:rPr>
          <w:u w:val="single"/>
        </w:rPr>
      </w:pPr>
      <w:r w:rsidRPr="009342D0">
        <w:rPr>
          <w:u w:val="single"/>
        </w:rPr>
        <w:t>Alternate Activities and Special Cases – BAM Program</w:t>
      </w:r>
    </w:p>
    <w:p w14:paraId="4394A30B" w14:textId="77777777" w:rsidR="004F7DCA" w:rsidRDefault="004F7DCA" w:rsidP="004F7DCA">
      <w:r>
        <w:t>System must support the following alternate activities and special cases:</w:t>
      </w:r>
    </w:p>
    <w:p w14:paraId="1D7F8120" w14:textId="77777777" w:rsidR="009342D0" w:rsidRDefault="009342D0" w:rsidP="00E16D2D">
      <w:pPr>
        <w:pStyle w:val="LB1"/>
      </w:pPr>
      <w:r>
        <w:t>Refer discrepancies or issues to BPC, Benefits, or Tax to investigate</w:t>
      </w:r>
    </w:p>
    <w:p w14:paraId="3F896036" w14:textId="77777777" w:rsidR="009342D0" w:rsidRDefault="009342D0" w:rsidP="00E16D2D">
      <w:pPr>
        <w:pStyle w:val="LB1"/>
      </w:pPr>
      <w:r>
        <w:t>Issue open period of ineligibility if the Claimant doesn’t respond within timeframe</w:t>
      </w:r>
    </w:p>
    <w:p w14:paraId="7E6B5DFB" w14:textId="77777777" w:rsidR="009342D0" w:rsidRDefault="009342D0" w:rsidP="009342D0">
      <w:pPr>
        <w:pStyle w:val="KBulletList2"/>
        <w:numPr>
          <w:ilvl w:val="0"/>
          <w:numId w:val="0"/>
        </w:numPr>
      </w:pPr>
    </w:p>
    <w:p w14:paraId="78016688" w14:textId="77777777" w:rsidR="009342D0" w:rsidRPr="009342D0" w:rsidRDefault="009342D0" w:rsidP="009342D0">
      <w:pPr>
        <w:rPr>
          <w:u w:val="single"/>
        </w:rPr>
      </w:pPr>
      <w:r w:rsidRPr="009342D0">
        <w:rPr>
          <w:u w:val="single"/>
        </w:rPr>
        <w:t>Main Activities – Tax Performance System Program (TPS)</w:t>
      </w:r>
    </w:p>
    <w:p w14:paraId="68C77573" w14:textId="77777777" w:rsidR="009342D0" w:rsidRDefault="009342D0" w:rsidP="00E16D2D">
      <w:pPr>
        <w:pStyle w:val="LB1"/>
      </w:pPr>
      <w:r>
        <w:t>System must ensure data conforms to DOL format as defined in ET Handbook 407</w:t>
      </w:r>
    </w:p>
    <w:p w14:paraId="46F1BB55" w14:textId="77777777" w:rsidR="009342D0" w:rsidRDefault="009342D0" w:rsidP="00E16D2D">
      <w:pPr>
        <w:pStyle w:val="LB1"/>
      </w:pPr>
      <w:r>
        <w:t xml:space="preserve">System must allow Staff to review the following within Tax </w:t>
      </w:r>
    </w:p>
    <w:p w14:paraId="42AC7DB3" w14:textId="77777777" w:rsidR="009342D0" w:rsidRDefault="009342D0" w:rsidP="00116640">
      <w:pPr>
        <w:pStyle w:val="OB1"/>
      </w:pPr>
      <w:r>
        <w:t>New Status determinations</w:t>
      </w:r>
    </w:p>
    <w:p w14:paraId="6E5F235A" w14:textId="77777777" w:rsidR="009342D0" w:rsidRDefault="009342D0" w:rsidP="00F82166">
      <w:pPr>
        <w:pStyle w:val="OB1"/>
      </w:pPr>
      <w:r>
        <w:t>Successor status determinations</w:t>
      </w:r>
    </w:p>
    <w:p w14:paraId="52DC200A" w14:textId="77777777" w:rsidR="009342D0" w:rsidRDefault="009342D0" w:rsidP="00F82166">
      <w:pPr>
        <w:pStyle w:val="OB1"/>
      </w:pPr>
      <w:r>
        <w:t>Inactivation status determinations</w:t>
      </w:r>
    </w:p>
    <w:p w14:paraId="61C612A5" w14:textId="77777777" w:rsidR="009342D0" w:rsidRDefault="009342D0">
      <w:pPr>
        <w:pStyle w:val="OB1"/>
      </w:pPr>
      <w:r>
        <w:t>Field audit</w:t>
      </w:r>
    </w:p>
    <w:p w14:paraId="06C63D2E" w14:textId="77777777" w:rsidR="009342D0" w:rsidRDefault="009342D0">
      <w:pPr>
        <w:pStyle w:val="OB1"/>
      </w:pPr>
      <w:r>
        <w:t>Tax collections</w:t>
      </w:r>
    </w:p>
    <w:p w14:paraId="7E25BD23" w14:textId="77777777" w:rsidR="009342D0" w:rsidRDefault="009342D0">
      <w:pPr>
        <w:pStyle w:val="OB1"/>
      </w:pPr>
      <w:r>
        <w:t>Contribution report processing</w:t>
      </w:r>
    </w:p>
    <w:p w14:paraId="08D5E719" w14:textId="77777777" w:rsidR="009342D0" w:rsidRDefault="009342D0">
      <w:pPr>
        <w:pStyle w:val="OB1"/>
      </w:pPr>
      <w:r>
        <w:t>Debits &amp; billings contributory</w:t>
      </w:r>
    </w:p>
    <w:p w14:paraId="110F5578" w14:textId="77777777" w:rsidR="009342D0" w:rsidRDefault="009342D0">
      <w:pPr>
        <w:pStyle w:val="OB1"/>
      </w:pPr>
      <w:r>
        <w:t>Debits &amp; billings reimbursing</w:t>
      </w:r>
    </w:p>
    <w:p w14:paraId="144E9697" w14:textId="77777777" w:rsidR="009342D0" w:rsidRDefault="009342D0">
      <w:pPr>
        <w:pStyle w:val="OB1"/>
      </w:pPr>
      <w:r>
        <w:t>Report delinquency</w:t>
      </w:r>
    </w:p>
    <w:p w14:paraId="25F3E8F6" w14:textId="77777777" w:rsidR="009342D0" w:rsidRDefault="009342D0">
      <w:pPr>
        <w:pStyle w:val="OB1"/>
      </w:pPr>
      <w:r>
        <w:t>Credits &amp; refunds</w:t>
      </w:r>
    </w:p>
    <w:p w14:paraId="193CF17F" w14:textId="77777777" w:rsidR="009342D0" w:rsidRDefault="009342D0">
      <w:pPr>
        <w:pStyle w:val="OB1"/>
      </w:pPr>
      <w:r>
        <w:t>Employer charging</w:t>
      </w:r>
    </w:p>
    <w:p w14:paraId="52095D97" w14:textId="77777777" w:rsidR="009342D0" w:rsidRDefault="009342D0">
      <w:pPr>
        <w:pStyle w:val="OB1"/>
      </w:pPr>
      <w:r>
        <w:t>Tax rates</w:t>
      </w:r>
    </w:p>
    <w:p w14:paraId="4C585C7F" w14:textId="77777777" w:rsidR="009342D0" w:rsidRDefault="009342D0">
      <w:pPr>
        <w:pStyle w:val="OB1"/>
      </w:pPr>
      <w:r>
        <w:t xml:space="preserve">Cashiering </w:t>
      </w:r>
    </w:p>
    <w:p w14:paraId="74E14A87" w14:textId="77777777" w:rsidR="009342D0" w:rsidRDefault="009342D0">
      <w:pPr>
        <w:pStyle w:val="LB1"/>
      </w:pPr>
      <w:r>
        <w:t>System selects universe, then selects samples from the universe based on random numbers provided by DOL</w:t>
      </w:r>
    </w:p>
    <w:p w14:paraId="01F50772" w14:textId="77777777" w:rsidR="009342D0" w:rsidRDefault="009342D0">
      <w:pPr>
        <w:pStyle w:val="LB1"/>
      </w:pPr>
      <w:r>
        <w:t>System retrieves source documents and Employer account information for Staff to review and compare</w:t>
      </w:r>
    </w:p>
    <w:p w14:paraId="302B5132" w14:textId="77777777" w:rsidR="009342D0" w:rsidRDefault="009342D0">
      <w:pPr>
        <w:pStyle w:val="OB1"/>
      </w:pPr>
      <w:r>
        <w:t xml:space="preserve">Must be able to search, sort, and filter </w:t>
      </w:r>
    </w:p>
    <w:p w14:paraId="08D6A829" w14:textId="77777777" w:rsidR="009342D0" w:rsidRDefault="009342D0" w:rsidP="009342D0">
      <w:pPr>
        <w:pStyle w:val="SB1"/>
      </w:pPr>
      <w:r>
        <w:t xml:space="preserve">Employer account information </w:t>
      </w:r>
    </w:p>
    <w:p w14:paraId="2DFDF1D4" w14:textId="77777777" w:rsidR="009342D0" w:rsidRDefault="009342D0" w:rsidP="009342D0">
      <w:pPr>
        <w:pStyle w:val="SB1"/>
      </w:pPr>
      <w:r>
        <w:t>Collection actions</w:t>
      </w:r>
    </w:p>
    <w:p w14:paraId="0233300E" w14:textId="77777777" w:rsidR="009342D0" w:rsidRDefault="009342D0" w:rsidP="009342D0">
      <w:pPr>
        <w:pStyle w:val="SB1"/>
      </w:pPr>
      <w:r>
        <w:t>Liens</w:t>
      </w:r>
    </w:p>
    <w:p w14:paraId="00C73AFE" w14:textId="77777777" w:rsidR="009342D0" w:rsidRDefault="009342D0" w:rsidP="009342D0">
      <w:pPr>
        <w:pStyle w:val="SB1"/>
      </w:pPr>
      <w:r>
        <w:t>Quarterly reports</w:t>
      </w:r>
    </w:p>
    <w:p w14:paraId="762ED4B3" w14:textId="77777777" w:rsidR="009342D0" w:rsidRDefault="009342D0" w:rsidP="009342D0">
      <w:pPr>
        <w:pStyle w:val="SB1"/>
      </w:pPr>
      <w:r>
        <w:t>Payments</w:t>
      </w:r>
    </w:p>
    <w:p w14:paraId="7DA2D13A" w14:textId="77777777" w:rsidR="009342D0" w:rsidRDefault="009342D0" w:rsidP="009342D0">
      <w:pPr>
        <w:pStyle w:val="SB1"/>
      </w:pPr>
      <w:r>
        <w:t>Debt memorandums</w:t>
      </w:r>
    </w:p>
    <w:p w14:paraId="6A4194FB" w14:textId="77777777" w:rsidR="009342D0" w:rsidRDefault="009342D0" w:rsidP="009342D0">
      <w:pPr>
        <w:pStyle w:val="SB1"/>
      </w:pPr>
      <w:r>
        <w:t>Billing notices</w:t>
      </w:r>
    </w:p>
    <w:p w14:paraId="70FD4536" w14:textId="77777777" w:rsidR="009342D0" w:rsidRDefault="009342D0" w:rsidP="009342D0">
      <w:pPr>
        <w:pStyle w:val="SB1"/>
      </w:pPr>
      <w:r>
        <w:t>Benefit charge statements</w:t>
      </w:r>
    </w:p>
    <w:p w14:paraId="3F551543" w14:textId="77777777" w:rsidR="009342D0" w:rsidRDefault="009342D0" w:rsidP="009342D0">
      <w:pPr>
        <w:pStyle w:val="SB1"/>
      </w:pPr>
      <w:r>
        <w:t>TPA transmission and payment data (e.g., Intuit)</w:t>
      </w:r>
    </w:p>
    <w:p w14:paraId="3E1D93DE" w14:textId="77777777" w:rsidR="009342D0" w:rsidRDefault="009342D0" w:rsidP="009342D0">
      <w:pPr>
        <w:pStyle w:val="SB1"/>
      </w:pPr>
      <w:r>
        <w:lastRenderedPageBreak/>
        <w:t>Monetary allocations</w:t>
      </w:r>
    </w:p>
    <w:p w14:paraId="0FBE6E0A" w14:textId="77777777" w:rsidR="009342D0" w:rsidRDefault="009342D0" w:rsidP="009342D0">
      <w:pPr>
        <w:pStyle w:val="SB1"/>
      </w:pPr>
      <w:r>
        <w:t>Etc.</w:t>
      </w:r>
    </w:p>
    <w:p w14:paraId="74133EFA" w14:textId="6CF50324" w:rsidR="00102666" w:rsidRDefault="00102666" w:rsidP="00E16D2D">
      <w:pPr>
        <w:pStyle w:val="LB1"/>
      </w:pPr>
      <w:bookmarkStart w:id="369" w:name="_Hlk7439631"/>
      <w:r>
        <w:t>System must track audit progress and notify auditor when all audit requirements are met</w:t>
      </w:r>
    </w:p>
    <w:bookmarkEnd w:id="369"/>
    <w:p w14:paraId="5607DF33" w14:textId="3F4FD10A" w:rsidR="00B37FD4" w:rsidRPr="00C704DD" w:rsidRDefault="00B37FD4" w:rsidP="00E16D2D">
      <w:pPr>
        <w:pStyle w:val="LB1"/>
        <w:rPr>
          <w:rStyle w:val="Hyperlink"/>
          <w:color w:val="auto"/>
          <w:u w:val="none"/>
        </w:rPr>
      </w:pPr>
      <w:r>
        <w:t xml:space="preserve">System must include Case Management, Dashboards, Generate Reports, Workflow and Correspondence functionality, described in General Process Descriptions, see </w:t>
      </w:r>
      <w:hyperlink w:anchor="_A6.9_General" w:history="1">
        <w:r>
          <w:rPr>
            <w:rStyle w:val="Hyperlink"/>
          </w:rPr>
          <w:t>Attachment A6.9</w:t>
        </w:r>
      </w:hyperlink>
    </w:p>
    <w:p w14:paraId="17902690" w14:textId="77777777" w:rsidR="009342D0" w:rsidRDefault="009342D0" w:rsidP="009342D0">
      <w:pPr>
        <w:pStyle w:val="KBulletList2"/>
        <w:numPr>
          <w:ilvl w:val="0"/>
          <w:numId w:val="0"/>
        </w:numPr>
      </w:pPr>
    </w:p>
    <w:p w14:paraId="10242D3E" w14:textId="77777777" w:rsidR="009342D0" w:rsidRPr="009342D0" w:rsidRDefault="009342D0" w:rsidP="009342D0">
      <w:pPr>
        <w:rPr>
          <w:u w:val="single"/>
        </w:rPr>
      </w:pPr>
      <w:r w:rsidRPr="009342D0">
        <w:rPr>
          <w:u w:val="single"/>
        </w:rPr>
        <w:t>Main Activities – Data Validation Program</w:t>
      </w:r>
    </w:p>
    <w:p w14:paraId="56E86F93" w14:textId="58F5B83F" w:rsidR="009342D0" w:rsidRDefault="009342D0" w:rsidP="00E16D2D">
      <w:pPr>
        <w:pStyle w:val="LB1"/>
      </w:pPr>
      <w:r>
        <w:t>System must ensure data conforms to DOL format as defined in ET Handbook 361</w:t>
      </w:r>
    </w:p>
    <w:p w14:paraId="65AA3E86" w14:textId="7DD83089" w:rsidR="00533095" w:rsidRDefault="00533095" w:rsidP="00E16D2D">
      <w:pPr>
        <w:pStyle w:val="LB1"/>
      </w:pPr>
      <w:r>
        <w:t>System must allow Staff to enter search parameters</w:t>
      </w:r>
    </w:p>
    <w:p w14:paraId="2E0D4241" w14:textId="77777777" w:rsidR="009342D0" w:rsidRDefault="009342D0" w:rsidP="00116640">
      <w:pPr>
        <w:pStyle w:val="LB1"/>
      </w:pPr>
      <w:r>
        <w:t>System must create extract files and load into DOL SUN system</w:t>
      </w:r>
    </w:p>
    <w:p w14:paraId="4DB38803" w14:textId="77777777" w:rsidR="009342D0" w:rsidRDefault="009342D0" w:rsidP="00F82166">
      <w:pPr>
        <w:pStyle w:val="LB1"/>
      </w:pPr>
      <w:r>
        <w:t>System must attempt to verify contents in sample transactions; those that can’t be System verified will be sent to Staff</w:t>
      </w:r>
    </w:p>
    <w:p w14:paraId="7B75B11B" w14:textId="77777777" w:rsidR="009342D0" w:rsidRDefault="009342D0" w:rsidP="00F82166">
      <w:pPr>
        <w:pStyle w:val="LB1"/>
      </w:pPr>
      <w:r>
        <w:t>System must allow Staff to review sample transactions in file to verify contents</w:t>
      </w:r>
    </w:p>
    <w:p w14:paraId="6D1846BA" w14:textId="77777777" w:rsidR="009342D0" w:rsidRDefault="009342D0">
      <w:pPr>
        <w:pStyle w:val="OB1"/>
      </w:pPr>
      <w:r>
        <w:t xml:space="preserve">Best scenario is for System to assemble all contents used in verification with current history first </w:t>
      </w:r>
    </w:p>
    <w:p w14:paraId="0424D637" w14:textId="77777777" w:rsidR="00B37FD4" w:rsidRPr="00C704DD" w:rsidRDefault="00B37FD4">
      <w:pPr>
        <w:pStyle w:val="LB1"/>
        <w:rPr>
          <w:rStyle w:val="Hyperlink"/>
          <w:color w:val="auto"/>
          <w:u w:val="none"/>
        </w:rPr>
      </w:pPr>
      <w:r>
        <w:t xml:space="preserve">System must include Case Management, Dashboards, Generate Reports, Workflow and Correspondence functionality, described in General Process Descriptions, see </w:t>
      </w:r>
      <w:hyperlink w:anchor="_A6.9_General" w:history="1">
        <w:r>
          <w:rPr>
            <w:rStyle w:val="Hyperlink"/>
          </w:rPr>
          <w:t>Attachment A6.9</w:t>
        </w:r>
      </w:hyperlink>
    </w:p>
    <w:p w14:paraId="575E3964" w14:textId="75242A6F" w:rsidR="009342D0" w:rsidRDefault="009342D0" w:rsidP="009342D0"/>
    <w:p w14:paraId="5A489F75" w14:textId="1DD86CB4" w:rsidR="00DA1915" w:rsidRDefault="00DA1915" w:rsidP="00DA1915">
      <w:pPr>
        <w:pStyle w:val="Heading3"/>
      </w:pPr>
      <w:bookmarkStart w:id="370" w:name="_A6.7_Revenue_and"/>
      <w:bookmarkStart w:id="371" w:name="_Toc13567498"/>
      <w:bookmarkEnd w:id="370"/>
      <w:r>
        <w:t>A6.7</w:t>
      </w:r>
      <w:r>
        <w:tab/>
        <w:t>Revenue and Trust Management</w:t>
      </w:r>
      <w:bookmarkEnd w:id="371"/>
      <w:r>
        <w:t xml:space="preserve"> </w:t>
      </w:r>
    </w:p>
    <w:p w14:paraId="19118CFF" w14:textId="1C63B7EC" w:rsidR="00966BD9" w:rsidRDefault="00966BD9" w:rsidP="00966BD9">
      <w:pPr>
        <w:pStyle w:val="Heading4"/>
      </w:pPr>
      <w:r>
        <w:tab/>
        <w:t>Perform Reconciliations</w:t>
      </w:r>
    </w:p>
    <w:p w14:paraId="515AD579" w14:textId="05651F40" w:rsidR="00966BD9" w:rsidRPr="00B0723C" w:rsidRDefault="00966BD9" w:rsidP="00966BD9">
      <w:r>
        <w:t>This process includes all activities required to perform reconciliations.</w:t>
      </w:r>
    </w:p>
    <w:p w14:paraId="24BC5DB2" w14:textId="77777777" w:rsidR="00966BD9" w:rsidRPr="003A23F0" w:rsidRDefault="00966BD9" w:rsidP="00966BD9">
      <w:pPr>
        <w:rPr>
          <w:u w:val="single"/>
        </w:rPr>
      </w:pPr>
      <w:r w:rsidRPr="003A23F0">
        <w:rPr>
          <w:u w:val="single"/>
        </w:rPr>
        <w:t>Actors</w:t>
      </w:r>
    </w:p>
    <w:p w14:paraId="62385414" w14:textId="77777777" w:rsidR="00966BD9" w:rsidRDefault="00966BD9" w:rsidP="00E16D2D">
      <w:pPr>
        <w:pStyle w:val="LB1"/>
      </w:pPr>
      <w:r>
        <w:t>Staff</w:t>
      </w:r>
    </w:p>
    <w:p w14:paraId="25FE6606" w14:textId="77777777" w:rsidR="00966BD9" w:rsidRPr="00DF6567" w:rsidRDefault="00966BD9" w:rsidP="00966BD9"/>
    <w:p w14:paraId="2B9CB718" w14:textId="77777777" w:rsidR="00966BD9" w:rsidRPr="003A23F0" w:rsidRDefault="00966BD9" w:rsidP="00966BD9">
      <w:pPr>
        <w:rPr>
          <w:u w:val="single"/>
        </w:rPr>
      </w:pPr>
      <w:r w:rsidRPr="003A23F0">
        <w:rPr>
          <w:u w:val="single"/>
        </w:rPr>
        <w:t>Main Activities</w:t>
      </w:r>
    </w:p>
    <w:p w14:paraId="7FDE9F8F" w14:textId="77777777" w:rsidR="00966BD9" w:rsidRDefault="00966BD9" w:rsidP="00E16D2D">
      <w:pPr>
        <w:pStyle w:val="LB1"/>
      </w:pPr>
      <w:bookmarkStart w:id="372" w:name="_A6.8_General"/>
      <w:bookmarkEnd w:id="372"/>
      <w:r>
        <w:t xml:space="preserve">System must compare all accounting transactions </w:t>
      </w:r>
    </w:p>
    <w:p w14:paraId="1A9C2FA8" w14:textId="77777777" w:rsidR="00966BD9" w:rsidRDefault="00966BD9" w:rsidP="00E16D2D">
      <w:pPr>
        <w:pStyle w:val="OB1"/>
      </w:pPr>
      <w:r>
        <w:t>Between Comptroller and System</w:t>
      </w:r>
    </w:p>
    <w:p w14:paraId="74DCF980" w14:textId="77777777" w:rsidR="00966BD9" w:rsidRDefault="00966BD9" w:rsidP="00116640">
      <w:pPr>
        <w:pStyle w:val="OB1"/>
      </w:pPr>
      <w:r>
        <w:t>Within System</w:t>
      </w:r>
    </w:p>
    <w:p w14:paraId="5C5C898D" w14:textId="4F492F83" w:rsidR="00966BD9" w:rsidRDefault="00966BD9" w:rsidP="00116640">
      <w:pPr>
        <w:pStyle w:val="LB1"/>
      </w:pPr>
      <w:r>
        <w:t>System must notify Staff of any errors and allow Staff to correct the errors</w:t>
      </w:r>
    </w:p>
    <w:p w14:paraId="45B09566" w14:textId="412BBC30" w:rsidR="0028161D" w:rsidRDefault="0028161D" w:rsidP="00F82166">
      <w:pPr>
        <w:pStyle w:val="LB1"/>
      </w:pPr>
      <w:r>
        <w:t xml:space="preserve">System must provide a secure print solution that meets </w:t>
      </w:r>
      <w:r w:rsidRPr="005403AD">
        <w:t xml:space="preserve">IRS Publication 1075 </w:t>
      </w:r>
      <w:r>
        <w:t>security requirements to print reports containing FTI.</w:t>
      </w:r>
      <w:r w:rsidR="00EE5622">
        <w:t xml:space="preserve"> </w:t>
      </w:r>
      <w:r>
        <w:t>Currently it is a workstation with software that facilitates secure print from the mainframe.</w:t>
      </w:r>
    </w:p>
    <w:p w14:paraId="6515CF58" w14:textId="77777777" w:rsidR="00966BD9" w:rsidRDefault="00966BD9" w:rsidP="00966BD9"/>
    <w:p w14:paraId="6285DEEF" w14:textId="280E9B9C" w:rsidR="002C6386" w:rsidRDefault="002C6386" w:rsidP="002C6386">
      <w:pPr>
        <w:pStyle w:val="Heading4"/>
      </w:pPr>
      <w:r>
        <w:lastRenderedPageBreak/>
        <w:tab/>
        <w:t>Process Criminal Court Ordered Restitutions</w:t>
      </w:r>
    </w:p>
    <w:p w14:paraId="44C65250" w14:textId="1B5E2DCB" w:rsidR="002C6386" w:rsidRPr="00B0723C" w:rsidRDefault="002C6386" w:rsidP="002C6386">
      <w:r>
        <w:t>This process includes all activities required to process criminal court ordered restitutions.</w:t>
      </w:r>
    </w:p>
    <w:p w14:paraId="07509897" w14:textId="77777777" w:rsidR="002C6386" w:rsidRPr="003A23F0" w:rsidRDefault="002C6386" w:rsidP="002C6386">
      <w:pPr>
        <w:rPr>
          <w:u w:val="single"/>
        </w:rPr>
      </w:pPr>
      <w:r w:rsidRPr="003A23F0">
        <w:rPr>
          <w:u w:val="single"/>
        </w:rPr>
        <w:t>Actors</w:t>
      </w:r>
    </w:p>
    <w:p w14:paraId="39FA7DF2" w14:textId="77777777" w:rsidR="002C6386" w:rsidRDefault="002C6386" w:rsidP="00E16D2D">
      <w:pPr>
        <w:pStyle w:val="LB1"/>
      </w:pPr>
      <w:r>
        <w:t>Staff</w:t>
      </w:r>
    </w:p>
    <w:p w14:paraId="59BE8361" w14:textId="77777777" w:rsidR="002C6386" w:rsidRPr="00DF6567" w:rsidRDefault="002C6386" w:rsidP="002C6386"/>
    <w:p w14:paraId="7CC3119A" w14:textId="77777777" w:rsidR="002C6386" w:rsidRPr="003A23F0" w:rsidRDefault="002C6386" w:rsidP="002C6386">
      <w:pPr>
        <w:rPr>
          <w:u w:val="single"/>
        </w:rPr>
      </w:pPr>
      <w:r w:rsidRPr="003A23F0">
        <w:rPr>
          <w:u w:val="single"/>
        </w:rPr>
        <w:t>Main Activities</w:t>
      </w:r>
    </w:p>
    <w:p w14:paraId="45E59A10" w14:textId="77777777" w:rsidR="002C6386" w:rsidRDefault="002C6386" w:rsidP="00E16D2D">
      <w:pPr>
        <w:pStyle w:val="LB1"/>
      </w:pPr>
      <w:r>
        <w:t>System must allow Staff to key restitutions based on business rules</w:t>
      </w:r>
    </w:p>
    <w:p w14:paraId="14542C42" w14:textId="77777777" w:rsidR="002C6386" w:rsidRDefault="002C6386" w:rsidP="00E16D2D">
      <w:pPr>
        <w:pStyle w:val="OB1"/>
      </w:pPr>
      <w:r>
        <w:t>Individual account</w:t>
      </w:r>
    </w:p>
    <w:p w14:paraId="7C32AEA6" w14:textId="77777777" w:rsidR="002C6386" w:rsidRDefault="002C6386" w:rsidP="00116640">
      <w:pPr>
        <w:pStyle w:val="OB1"/>
      </w:pPr>
      <w:r>
        <w:t>Joint and several liability</w:t>
      </w:r>
    </w:p>
    <w:p w14:paraId="3F630BDE" w14:textId="77777777" w:rsidR="002C6386" w:rsidRDefault="002C6386" w:rsidP="00F82166">
      <w:pPr>
        <w:pStyle w:val="OB1"/>
      </w:pPr>
      <w:r>
        <w:t>All accounting entries</w:t>
      </w:r>
    </w:p>
    <w:p w14:paraId="3CE01EB7" w14:textId="104C2A5F" w:rsidR="002C6386" w:rsidRDefault="002C6386" w:rsidP="00966BD9"/>
    <w:p w14:paraId="36BF3049" w14:textId="1AA14BD8" w:rsidR="002C6386" w:rsidRDefault="002C6386" w:rsidP="002C6386">
      <w:pPr>
        <w:pStyle w:val="Heading4"/>
      </w:pPr>
      <w:r>
        <w:tab/>
        <w:t>Issue Refunds</w:t>
      </w:r>
    </w:p>
    <w:p w14:paraId="5FAC3470" w14:textId="7FA8C6AD" w:rsidR="002C6386" w:rsidRPr="00B0723C" w:rsidRDefault="009A5A60" w:rsidP="002C6386">
      <w:r>
        <w:t>This process includes all activities required to issue refunds</w:t>
      </w:r>
      <w:r w:rsidR="002C6386">
        <w:t>.</w:t>
      </w:r>
    </w:p>
    <w:p w14:paraId="6C64974F" w14:textId="77777777" w:rsidR="002C6386" w:rsidRPr="003A23F0" w:rsidRDefault="002C6386" w:rsidP="002C6386">
      <w:pPr>
        <w:rPr>
          <w:u w:val="single"/>
        </w:rPr>
      </w:pPr>
      <w:r w:rsidRPr="003A23F0">
        <w:rPr>
          <w:u w:val="single"/>
        </w:rPr>
        <w:t>Actors</w:t>
      </w:r>
    </w:p>
    <w:p w14:paraId="6A0D9DBE" w14:textId="77777777" w:rsidR="002C6386" w:rsidRDefault="002C6386" w:rsidP="00E16D2D">
      <w:pPr>
        <w:pStyle w:val="LB1"/>
      </w:pPr>
      <w:r>
        <w:t>Staff</w:t>
      </w:r>
    </w:p>
    <w:p w14:paraId="27697F88" w14:textId="77777777" w:rsidR="002C6386" w:rsidRPr="00DF6567" w:rsidRDefault="002C6386" w:rsidP="002C6386"/>
    <w:p w14:paraId="154E4167" w14:textId="77777777" w:rsidR="002C6386" w:rsidRPr="003A23F0" w:rsidRDefault="002C6386" w:rsidP="00454804">
      <w:pPr>
        <w:keepNext/>
        <w:rPr>
          <w:u w:val="single"/>
        </w:rPr>
      </w:pPr>
      <w:r w:rsidRPr="003A23F0">
        <w:rPr>
          <w:u w:val="single"/>
        </w:rPr>
        <w:t>Main Activities</w:t>
      </w:r>
    </w:p>
    <w:p w14:paraId="0F047D1E" w14:textId="77777777" w:rsidR="005121CE" w:rsidRDefault="005121CE" w:rsidP="00E16D2D">
      <w:pPr>
        <w:pStyle w:val="LB1"/>
      </w:pPr>
      <w:r>
        <w:t>System must create a list of authorized refunds to Staff</w:t>
      </w:r>
    </w:p>
    <w:p w14:paraId="3A40AB56" w14:textId="77777777" w:rsidR="005121CE" w:rsidRDefault="005121CE" w:rsidP="00E16D2D">
      <w:pPr>
        <w:pStyle w:val="OB1"/>
      </w:pPr>
      <w:r>
        <w:t>Over $1,000 (need a TIN)</w:t>
      </w:r>
    </w:p>
    <w:p w14:paraId="5DF9C800" w14:textId="77777777" w:rsidR="005121CE" w:rsidRDefault="005121CE" w:rsidP="00116640">
      <w:pPr>
        <w:pStyle w:val="OB1"/>
      </w:pPr>
      <w:r>
        <w:t>Under $1,000</w:t>
      </w:r>
    </w:p>
    <w:p w14:paraId="527A85F6" w14:textId="77777777" w:rsidR="005121CE" w:rsidRDefault="005121CE" w:rsidP="00F82166">
      <w:pPr>
        <w:pStyle w:val="LB1"/>
      </w:pPr>
      <w:r>
        <w:t>System must allow Staff to approve vouchers</w:t>
      </w:r>
    </w:p>
    <w:p w14:paraId="4171FFAA" w14:textId="77777777" w:rsidR="005121CE" w:rsidRDefault="005121CE" w:rsidP="00F82166">
      <w:pPr>
        <w:pStyle w:val="LB1"/>
      </w:pPr>
      <w:r>
        <w:t>System must verify funds balance for Tax (not needed for Benefits)</w:t>
      </w:r>
    </w:p>
    <w:p w14:paraId="4D69F9AB" w14:textId="77777777" w:rsidR="005121CE" w:rsidRDefault="005121CE">
      <w:pPr>
        <w:pStyle w:val="OB1"/>
      </w:pPr>
      <w:r>
        <w:t>Move money if necessary</w:t>
      </w:r>
    </w:p>
    <w:p w14:paraId="759BF7F3" w14:textId="77777777" w:rsidR="005121CE" w:rsidRDefault="005121CE">
      <w:pPr>
        <w:pStyle w:val="LB1"/>
      </w:pPr>
      <w:r>
        <w:t>System must create journal vouchers</w:t>
      </w:r>
    </w:p>
    <w:p w14:paraId="7B841584" w14:textId="77777777" w:rsidR="005121CE" w:rsidRDefault="005121CE">
      <w:pPr>
        <w:pStyle w:val="LB1"/>
      </w:pPr>
      <w:r>
        <w:t>System must update Claimant and Employer accounts as appropriate based on business rules</w:t>
      </w:r>
    </w:p>
    <w:p w14:paraId="153A6D0E" w14:textId="77777777" w:rsidR="005121CE" w:rsidRDefault="005121CE">
      <w:pPr>
        <w:pStyle w:val="OB1"/>
      </w:pPr>
      <w:r>
        <w:t>Warrant number</w:t>
      </w:r>
    </w:p>
    <w:p w14:paraId="7D766E8D" w14:textId="77777777" w:rsidR="005121CE" w:rsidRDefault="005121CE">
      <w:pPr>
        <w:pStyle w:val="OB1"/>
      </w:pPr>
      <w:r>
        <w:t>Amount</w:t>
      </w:r>
    </w:p>
    <w:p w14:paraId="437C0777" w14:textId="77777777" w:rsidR="005121CE" w:rsidRDefault="005121CE">
      <w:pPr>
        <w:pStyle w:val="OB1"/>
      </w:pPr>
      <w:r>
        <w:t>Date</w:t>
      </w:r>
    </w:p>
    <w:p w14:paraId="08373DF8" w14:textId="77777777" w:rsidR="005121CE" w:rsidRDefault="005121CE">
      <w:pPr>
        <w:pStyle w:val="OB1"/>
      </w:pPr>
      <w:r>
        <w:t>Etc.</w:t>
      </w:r>
    </w:p>
    <w:p w14:paraId="4A510F7C" w14:textId="77777777" w:rsidR="005121CE" w:rsidRDefault="005121CE">
      <w:pPr>
        <w:pStyle w:val="LB1"/>
      </w:pPr>
      <w:r>
        <w:t>System must generate warrants</w:t>
      </w:r>
    </w:p>
    <w:p w14:paraId="22CBF153" w14:textId="192ACFE9" w:rsidR="005121CE" w:rsidRDefault="005121CE">
      <w:pPr>
        <w:pStyle w:val="OB1"/>
      </w:pPr>
      <w:r>
        <w:t>Interface with USAS/</w:t>
      </w:r>
      <w:r w:rsidR="004B14BD" w:rsidRPr="008C2C58">
        <w:rPr>
          <w:rFonts w:cs="Arial"/>
          <w:snapToGrid w:val="0"/>
          <w:color w:val="000000"/>
          <w:szCs w:val="24"/>
        </w:rPr>
        <w:t>Centralized Accounting and Payroll/Personnel System</w:t>
      </w:r>
      <w:r w:rsidR="004B14BD">
        <w:t xml:space="preserve"> (</w:t>
      </w:r>
      <w:r>
        <w:t>CAPPS</w:t>
      </w:r>
      <w:r w:rsidR="004B14BD">
        <w:t>)</w:t>
      </w:r>
      <w:r>
        <w:t xml:space="preserve"> for Benefits and Tax refunds</w:t>
      </w:r>
    </w:p>
    <w:p w14:paraId="04F5B880" w14:textId="77777777" w:rsidR="005121CE" w:rsidRDefault="005121CE">
      <w:pPr>
        <w:pStyle w:val="OB1"/>
      </w:pPr>
      <w:r>
        <w:t>Local printing for Benefits warrants</w:t>
      </w:r>
    </w:p>
    <w:p w14:paraId="61B3B494" w14:textId="77777777" w:rsidR="005121CE" w:rsidRDefault="005121CE">
      <w:pPr>
        <w:pStyle w:val="LB1"/>
      </w:pPr>
      <w:r>
        <w:t>System must notify Staff of any errors in processing</w:t>
      </w:r>
    </w:p>
    <w:p w14:paraId="462386CE" w14:textId="77777777" w:rsidR="005121CE" w:rsidRDefault="005121CE">
      <w:pPr>
        <w:pStyle w:val="LB1"/>
      </w:pPr>
      <w:r>
        <w:lastRenderedPageBreak/>
        <w:t>System must allow Staff to cancel/pull refunds and reverse all accounting entries</w:t>
      </w:r>
    </w:p>
    <w:p w14:paraId="5BF75C09" w14:textId="77777777" w:rsidR="005121CE" w:rsidRDefault="005121CE">
      <w:pPr>
        <w:pStyle w:val="LB1"/>
      </w:pPr>
      <w:r>
        <w:t>System must allow Staff to mail USAS/CAPPS refunds for Benefits and Tax</w:t>
      </w:r>
    </w:p>
    <w:p w14:paraId="3B929EE2" w14:textId="77777777" w:rsidR="005121CE" w:rsidRDefault="005121CE">
      <w:pPr>
        <w:pStyle w:val="LB1"/>
      </w:pPr>
      <w:r>
        <w:t>System must allow Staff to query, sort, view, and filter all refunds</w:t>
      </w:r>
    </w:p>
    <w:p w14:paraId="02E6273C" w14:textId="77777777" w:rsidR="005121CE" w:rsidRDefault="005121CE">
      <w:pPr>
        <w:pStyle w:val="LB1"/>
      </w:pPr>
      <w:r>
        <w:t>System must generate correspondence</w:t>
      </w:r>
    </w:p>
    <w:p w14:paraId="527BE82F" w14:textId="77777777" w:rsidR="005121CE" w:rsidRDefault="005121CE">
      <w:pPr>
        <w:pStyle w:val="OB1"/>
      </w:pPr>
      <w:r>
        <w:t>Benefits and Tax refunds</w:t>
      </w:r>
    </w:p>
    <w:p w14:paraId="7687468A" w14:textId="77777777" w:rsidR="005121CE" w:rsidRDefault="005121CE">
      <w:pPr>
        <w:pStyle w:val="OB1"/>
      </w:pPr>
      <w:r>
        <w:t>Benefits warrants</w:t>
      </w:r>
    </w:p>
    <w:p w14:paraId="3EAA0974" w14:textId="77777777" w:rsidR="005121CE" w:rsidRDefault="005121CE">
      <w:pPr>
        <w:pStyle w:val="LB1"/>
      </w:pPr>
      <w:r>
        <w:t>System must notify TOP of any refunds of IRS money</w:t>
      </w:r>
    </w:p>
    <w:p w14:paraId="1C398195" w14:textId="77777777" w:rsidR="005121CE" w:rsidRDefault="005121CE" w:rsidP="005121CE"/>
    <w:p w14:paraId="27F18133" w14:textId="2C355810" w:rsidR="002C6386" w:rsidRDefault="002C6386" w:rsidP="002C6386">
      <w:pPr>
        <w:pStyle w:val="Heading4"/>
      </w:pPr>
      <w:r>
        <w:tab/>
      </w:r>
      <w:r w:rsidR="008E607F">
        <w:t>Process Accounting Transactions</w:t>
      </w:r>
    </w:p>
    <w:p w14:paraId="76F63B25" w14:textId="00E2F93B" w:rsidR="002C6386" w:rsidRPr="00B0723C" w:rsidRDefault="008E607F" w:rsidP="002C6386">
      <w:r>
        <w:t>This process includes all activities required to process accounting transactions</w:t>
      </w:r>
      <w:r w:rsidR="002C6386">
        <w:t>.</w:t>
      </w:r>
    </w:p>
    <w:p w14:paraId="5F47EE6E" w14:textId="77777777" w:rsidR="002C6386" w:rsidRPr="003A23F0" w:rsidRDefault="002C6386" w:rsidP="002C6386">
      <w:pPr>
        <w:rPr>
          <w:u w:val="single"/>
        </w:rPr>
      </w:pPr>
      <w:r w:rsidRPr="003A23F0">
        <w:rPr>
          <w:u w:val="single"/>
        </w:rPr>
        <w:t>Actors</w:t>
      </w:r>
    </w:p>
    <w:p w14:paraId="04DB3EBC" w14:textId="77777777" w:rsidR="008E607F" w:rsidRDefault="008E607F" w:rsidP="00E16D2D">
      <w:pPr>
        <w:pStyle w:val="LB1"/>
      </w:pPr>
      <w:r>
        <w:t>Staff</w:t>
      </w:r>
    </w:p>
    <w:p w14:paraId="6A026F70" w14:textId="77777777" w:rsidR="008E607F" w:rsidRDefault="008E607F" w:rsidP="00E16D2D">
      <w:pPr>
        <w:pStyle w:val="LB1"/>
      </w:pPr>
      <w:r>
        <w:t>State Comptroller</w:t>
      </w:r>
    </w:p>
    <w:p w14:paraId="7A79FDEA" w14:textId="77777777" w:rsidR="008E607F" w:rsidRDefault="008E607F" w:rsidP="00116640">
      <w:pPr>
        <w:pStyle w:val="LB1"/>
      </w:pPr>
      <w:r>
        <w:t>Texas.gov</w:t>
      </w:r>
    </w:p>
    <w:p w14:paraId="350EFF3B" w14:textId="77777777" w:rsidR="008E607F" w:rsidRDefault="008E607F" w:rsidP="00F82166">
      <w:pPr>
        <w:pStyle w:val="LB1"/>
      </w:pPr>
      <w:r>
        <w:t>Claimants</w:t>
      </w:r>
    </w:p>
    <w:p w14:paraId="1B6252C7" w14:textId="77777777" w:rsidR="008E607F" w:rsidRDefault="008E607F" w:rsidP="00F82166">
      <w:pPr>
        <w:pStyle w:val="LB1"/>
      </w:pPr>
      <w:r>
        <w:t>Employers</w:t>
      </w:r>
    </w:p>
    <w:p w14:paraId="6592D2B1" w14:textId="260E55B1" w:rsidR="002C6386" w:rsidRDefault="008E607F">
      <w:pPr>
        <w:pStyle w:val="LB1"/>
      </w:pPr>
      <w:r>
        <w:t>TPAs</w:t>
      </w:r>
    </w:p>
    <w:p w14:paraId="4CA9BD3F" w14:textId="77777777" w:rsidR="002C6386" w:rsidRPr="00DF6567" w:rsidRDefault="002C6386" w:rsidP="002C6386"/>
    <w:p w14:paraId="27F78FE0" w14:textId="77777777" w:rsidR="008E607F" w:rsidRPr="008E607F" w:rsidRDefault="008E607F" w:rsidP="00454804">
      <w:pPr>
        <w:keepNext/>
        <w:rPr>
          <w:u w:val="single"/>
        </w:rPr>
      </w:pPr>
      <w:r w:rsidRPr="008E607F">
        <w:rPr>
          <w:u w:val="single"/>
        </w:rPr>
        <w:t>Main Activities – Receive and Process Tax Payments</w:t>
      </w:r>
    </w:p>
    <w:p w14:paraId="5F57494F" w14:textId="77777777" w:rsidR="008E607F" w:rsidRPr="00AD0B58" w:rsidRDefault="008E607F" w:rsidP="00E16D2D">
      <w:pPr>
        <w:pStyle w:val="LB1"/>
      </w:pPr>
      <w:r>
        <w:t>System must accept and validate</w:t>
      </w:r>
      <w:r w:rsidRPr="00AD0B58">
        <w:t xml:space="preserve"> </w:t>
      </w:r>
      <w:r>
        <w:t xml:space="preserve">payments </w:t>
      </w:r>
      <w:r w:rsidRPr="00AD0B58">
        <w:t>from Employers</w:t>
      </w:r>
    </w:p>
    <w:p w14:paraId="32A439BC" w14:textId="77777777" w:rsidR="008E607F" w:rsidRDefault="008E607F" w:rsidP="00E16D2D">
      <w:pPr>
        <w:pStyle w:val="LB1"/>
      </w:pPr>
      <w:r>
        <w:t>System must be able to allocate payments based on business rules</w:t>
      </w:r>
    </w:p>
    <w:p w14:paraId="6147B990" w14:textId="1C8E8B62" w:rsidR="008E607F" w:rsidRDefault="008E607F" w:rsidP="00116640">
      <w:pPr>
        <w:pStyle w:val="LB1"/>
      </w:pPr>
      <w:r w:rsidRPr="00083661">
        <w:t>System must be able to flag a</w:t>
      </w:r>
      <w:r>
        <w:t>n</w:t>
      </w:r>
      <w:r w:rsidRPr="00083661">
        <w:t xml:space="preserve"> </w:t>
      </w:r>
      <w:r w:rsidR="009521D7">
        <w:t xml:space="preserve">Employer </w:t>
      </w:r>
      <w:r w:rsidRPr="00083661">
        <w:t xml:space="preserve">who is permitted to </w:t>
      </w:r>
      <w:r>
        <w:t>submit</w:t>
      </w:r>
      <w:r w:rsidRPr="00083661">
        <w:t xml:space="preserve"> </w:t>
      </w:r>
      <w:r>
        <w:t>non-electronic tax</w:t>
      </w:r>
      <w:r w:rsidRPr="00083661">
        <w:t xml:space="preserve"> payments (electronic hardship), and must automatically provide paper </w:t>
      </w:r>
      <w:r>
        <w:t>voucher</w:t>
      </w:r>
      <w:r w:rsidRPr="00083661">
        <w:t xml:space="preserve"> to those </w:t>
      </w:r>
      <w:r w:rsidR="009521D7">
        <w:t>Employers</w:t>
      </w:r>
    </w:p>
    <w:p w14:paraId="17A6A21B" w14:textId="77777777" w:rsidR="008E607F" w:rsidRDefault="008E607F" w:rsidP="00F82166">
      <w:pPr>
        <w:pStyle w:val="LB1"/>
      </w:pPr>
      <w:r>
        <w:t>System must allow Staff to perform robust search, filter and sort of payment history</w:t>
      </w:r>
    </w:p>
    <w:p w14:paraId="6EA5A2A6" w14:textId="77777777" w:rsidR="008E607F" w:rsidRDefault="008E607F" w:rsidP="00F82166">
      <w:pPr>
        <w:pStyle w:val="OB1"/>
      </w:pPr>
      <w:r>
        <w:t>Dollar amount</w:t>
      </w:r>
    </w:p>
    <w:p w14:paraId="635DA706" w14:textId="77777777" w:rsidR="008E607F" w:rsidRDefault="008E607F">
      <w:pPr>
        <w:pStyle w:val="OB1"/>
      </w:pPr>
      <w:r>
        <w:t>Check number</w:t>
      </w:r>
    </w:p>
    <w:p w14:paraId="1ADD809A" w14:textId="77777777" w:rsidR="008E607F" w:rsidRDefault="008E607F">
      <w:pPr>
        <w:pStyle w:val="OB1"/>
      </w:pPr>
      <w:r>
        <w:t>Date range</w:t>
      </w:r>
    </w:p>
    <w:p w14:paraId="3E9B4B3E" w14:textId="77777777" w:rsidR="008E607F" w:rsidRDefault="008E607F">
      <w:pPr>
        <w:pStyle w:val="OB1"/>
      </w:pPr>
      <w:r>
        <w:t>Payment type (ACH, EFT, credit card, check, etc.)</w:t>
      </w:r>
    </w:p>
    <w:p w14:paraId="66A2654F" w14:textId="77777777" w:rsidR="008E607F" w:rsidRDefault="008E607F">
      <w:pPr>
        <w:pStyle w:val="OB1"/>
      </w:pPr>
      <w:r>
        <w:t>Etc.</w:t>
      </w:r>
    </w:p>
    <w:p w14:paraId="7F157517" w14:textId="77777777" w:rsidR="008E607F" w:rsidRDefault="008E607F">
      <w:pPr>
        <w:pStyle w:val="LB1"/>
      </w:pPr>
      <w:r w:rsidRPr="0038358F">
        <w:t>System must comply with Texas Comptro</w:t>
      </w:r>
      <w:r>
        <w:t xml:space="preserve">ller EFT rules and regulations currently </w:t>
      </w:r>
      <w:r w:rsidRPr="0038358F">
        <w:t>TexNet</w:t>
      </w:r>
      <w:r>
        <w:t xml:space="preserve"> (</w:t>
      </w:r>
      <w:hyperlink r:id="rId79" w:history="1">
        <w:r w:rsidRPr="003D2F77">
          <w:rPr>
            <w:rStyle w:val="Hyperlink"/>
          </w:rPr>
          <w:t>https://texnet.cpa.state.tx.us/</w:t>
        </w:r>
      </w:hyperlink>
      <w:r w:rsidRPr="0038358F">
        <w:t>)</w:t>
      </w:r>
    </w:p>
    <w:p w14:paraId="7539FB0C" w14:textId="77777777" w:rsidR="008E607F" w:rsidRDefault="008E607F">
      <w:pPr>
        <w:pStyle w:val="LB1"/>
      </w:pPr>
      <w:r>
        <w:t>System must process TexNet files (EFT transactions) and notify Staff of errors</w:t>
      </w:r>
    </w:p>
    <w:p w14:paraId="4C60F9C3" w14:textId="77777777" w:rsidR="008E607F" w:rsidRPr="00AD0B58" w:rsidRDefault="008E607F" w:rsidP="008E607F">
      <w:pPr>
        <w:pStyle w:val="KBulletList1"/>
        <w:numPr>
          <w:ilvl w:val="0"/>
          <w:numId w:val="0"/>
        </w:numPr>
        <w:ind w:left="360" w:hanging="360"/>
        <w:rPr>
          <w:szCs w:val="20"/>
        </w:rPr>
      </w:pPr>
    </w:p>
    <w:p w14:paraId="3F5A982A" w14:textId="77777777" w:rsidR="008E607F" w:rsidRPr="008E607F" w:rsidRDefault="008E607F" w:rsidP="008E607F">
      <w:pPr>
        <w:rPr>
          <w:u w:val="single"/>
        </w:rPr>
      </w:pPr>
      <w:r w:rsidRPr="008E607F">
        <w:rPr>
          <w:u w:val="single"/>
        </w:rPr>
        <w:t>Main Activities – Process Deposits</w:t>
      </w:r>
    </w:p>
    <w:p w14:paraId="118C536F" w14:textId="77777777" w:rsidR="008E607F" w:rsidRDefault="008E607F" w:rsidP="00E16D2D">
      <w:pPr>
        <w:pStyle w:val="LB1"/>
      </w:pPr>
      <w:r>
        <w:t>System must post items received by mail to the correct account</w:t>
      </w:r>
    </w:p>
    <w:p w14:paraId="4F698A70" w14:textId="77777777" w:rsidR="008E607F" w:rsidRDefault="008E607F" w:rsidP="00E16D2D">
      <w:pPr>
        <w:pStyle w:val="LB1"/>
      </w:pPr>
      <w:r>
        <w:t>System must ensure posted items were posted to the correct account</w:t>
      </w:r>
    </w:p>
    <w:p w14:paraId="1EF0BE9C" w14:textId="77777777" w:rsidR="008E607F" w:rsidRDefault="008E607F" w:rsidP="00116640">
      <w:pPr>
        <w:pStyle w:val="LB1"/>
      </w:pPr>
      <w:r>
        <w:t>System must notify Staff of errors in posting</w:t>
      </w:r>
    </w:p>
    <w:p w14:paraId="14CD2AEF" w14:textId="77777777" w:rsidR="008E607F" w:rsidRDefault="008E607F" w:rsidP="00F82166">
      <w:pPr>
        <w:pStyle w:val="LB1"/>
      </w:pPr>
      <w:r>
        <w:lastRenderedPageBreak/>
        <w:t>System must allow Staff to perform manual overrides when necessary</w:t>
      </w:r>
    </w:p>
    <w:p w14:paraId="1DF4D883" w14:textId="77777777" w:rsidR="008E607F" w:rsidRDefault="008E607F" w:rsidP="00F82166">
      <w:pPr>
        <w:pStyle w:val="OB1"/>
      </w:pPr>
      <w:r>
        <w:t>Includes deposit corrections</w:t>
      </w:r>
    </w:p>
    <w:p w14:paraId="5522CA38" w14:textId="77777777" w:rsidR="008E607F" w:rsidRDefault="008E607F">
      <w:pPr>
        <w:pStyle w:val="LB1"/>
      </w:pPr>
      <w:r>
        <w:t>System must compare USAS/CAPPS history with TWC deposit and notify Staff of errors</w:t>
      </w:r>
    </w:p>
    <w:p w14:paraId="32B49BC3" w14:textId="77777777" w:rsidR="008E607F" w:rsidRDefault="008E607F">
      <w:pPr>
        <w:pStyle w:val="OB1"/>
      </w:pPr>
      <w:r>
        <w:t>This occurs one business day after the deposit</w:t>
      </w:r>
    </w:p>
    <w:p w14:paraId="55C86460" w14:textId="77777777" w:rsidR="008E607F" w:rsidRDefault="008E607F">
      <w:pPr>
        <w:pStyle w:val="LB1"/>
      </w:pPr>
      <w:r>
        <w:t>System must allow Staff to process paper checks and documents (Captiva)</w:t>
      </w:r>
    </w:p>
    <w:p w14:paraId="03BF9D3B" w14:textId="77777777" w:rsidR="008E607F" w:rsidRDefault="008E607F">
      <w:pPr>
        <w:pStyle w:val="OB1"/>
      </w:pPr>
      <w:r>
        <w:t>Single payment to single account</w:t>
      </w:r>
    </w:p>
    <w:p w14:paraId="68FF988D" w14:textId="77777777" w:rsidR="008E607F" w:rsidRDefault="008E607F">
      <w:pPr>
        <w:pStyle w:val="OB1"/>
      </w:pPr>
      <w:r>
        <w:t>Single payment to multiple accounts</w:t>
      </w:r>
    </w:p>
    <w:p w14:paraId="308C5B4D" w14:textId="77777777" w:rsidR="008E607F" w:rsidRDefault="008E607F">
      <w:pPr>
        <w:pStyle w:val="LB1"/>
      </w:pPr>
      <w:r>
        <w:t>System must allow Staff to upload and correct information from Comptroller after posting to Employer accounts</w:t>
      </w:r>
    </w:p>
    <w:p w14:paraId="1397590A" w14:textId="77777777" w:rsidR="008E607F" w:rsidRDefault="008E607F" w:rsidP="008E607F"/>
    <w:p w14:paraId="303F93B9" w14:textId="77777777" w:rsidR="008E607F" w:rsidRPr="008E607F" w:rsidRDefault="008E607F" w:rsidP="008E607F">
      <w:pPr>
        <w:rPr>
          <w:u w:val="single"/>
        </w:rPr>
      </w:pPr>
      <w:r w:rsidRPr="008E607F">
        <w:rPr>
          <w:u w:val="single"/>
        </w:rPr>
        <w:t>Main Activities – Process Refunds</w:t>
      </w:r>
    </w:p>
    <w:p w14:paraId="1212F7CD" w14:textId="77777777" w:rsidR="008E607F" w:rsidRDefault="008E607F" w:rsidP="00E16D2D">
      <w:pPr>
        <w:pStyle w:val="LB1"/>
      </w:pPr>
      <w:r>
        <w:t xml:space="preserve">System must notify Staff of pending refunds </w:t>
      </w:r>
    </w:p>
    <w:p w14:paraId="7CB933E8" w14:textId="77777777" w:rsidR="008E607F" w:rsidRDefault="008E607F" w:rsidP="00E16D2D">
      <w:pPr>
        <w:pStyle w:val="LB1"/>
      </w:pPr>
      <w:r>
        <w:t>System must allow Staff to process refunds</w:t>
      </w:r>
    </w:p>
    <w:p w14:paraId="68095393" w14:textId="77777777" w:rsidR="008E607F" w:rsidRDefault="008E607F" w:rsidP="00116640">
      <w:pPr>
        <w:pStyle w:val="OB1"/>
      </w:pPr>
      <w:r>
        <w:t>Cancel the refund</w:t>
      </w:r>
    </w:p>
    <w:p w14:paraId="48D817D4" w14:textId="5931DAB2" w:rsidR="008E607F" w:rsidRDefault="008E607F" w:rsidP="008E607F">
      <w:pPr>
        <w:pStyle w:val="SB1"/>
      </w:pPr>
      <w:r>
        <w:t>P</w:t>
      </w:r>
      <w:r w:rsidR="00F42241">
        <w:t>ut the credit back on the E</w:t>
      </w:r>
      <w:r>
        <w:t xml:space="preserve">mployer or </w:t>
      </w:r>
      <w:r w:rsidR="00F42241">
        <w:t>C</w:t>
      </w:r>
      <w:r>
        <w:t>laimant account</w:t>
      </w:r>
    </w:p>
    <w:p w14:paraId="2516E94C" w14:textId="77777777" w:rsidR="008E607F" w:rsidRDefault="008E607F" w:rsidP="00E16D2D">
      <w:pPr>
        <w:pStyle w:val="OB1"/>
      </w:pPr>
      <w:r>
        <w:t>Interface with USAS/CAPPS to cut the warrant</w:t>
      </w:r>
    </w:p>
    <w:p w14:paraId="7B00D4CF" w14:textId="50D40854" w:rsidR="008E607F" w:rsidRDefault="008E607F" w:rsidP="00E16D2D">
      <w:pPr>
        <w:pStyle w:val="OB1"/>
      </w:pPr>
      <w:r>
        <w:t xml:space="preserve">Generate letter to </w:t>
      </w:r>
      <w:r w:rsidR="00F42241">
        <w:t xml:space="preserve">Employer </w:t>
      </w:r>
      <w:r>
        <w:t xml:space="preserve">or </w:t>
      </w:r>
      <w:r w:rsidR="00F42241">
        <w:t xml:space="preserve">Claimant </w:t>
      </w:r>
      <w:r>
        <w:t>explaining the refund</w:t>
      </w:r>
    </w:p>
    <w:p w14:paraId="69F0FEFC" w14:textId="12ED3117" w:rsidR="008E607F" w:rsidRDefault="008E607F" w:rsidP="00116640">
      <w:pPr>
        <w:pStyle w:val="LB1"/>
      </w:pPr>
      <w:r w:rsidRPr="00694BD0">
        <w:t xml:space="preserve">System must allow payments to be issued with no connection to a </w:t>
      </w:r>
      <w:r w:rsidR="00930F59">
        <w:t>Claimant</w:t>
      </w:r>
      <w:r w:rsidRPr="00694BD0">
        <w:t>’s eligibility amount for a given week. (e.g. USAS payments, Overpayment Credit balance release.)</w:t>
      </w:r>
    </w:p>
    <w:p w14:paraId="5D72F811" w14:textId="77777777" w:rsidR="008E607F" w:rsidRDefault="008E607F" w:rsidP="00F82166">
      <w:pPr>
        <w:pStyle w:val="LB1"/>
      </w:pPr>
      <w:r>
        <w:t>System must allow Staff to process unclaimed property for Benefits</w:t>
      </w:r>
    </w:p>
    <w:p w14:paraId="1EA37AF2" w14:textId="241F5071" w:rsidR="008E607F" w:rsidRDefault="00F42241" w:rsidP="00F82166">
      <w:pPr>
        <w:pStyle w:val="OB1"/>
      </w:pPr>
      <w:r>
        <w:t>Send to state C</w:t>
      </w:r>
      <w:r w:rsidR="008E607F">
        <w:t>omptroller</w:t>
      </w:r>
    </w:p>
    <w:p w14:paraId="00B0566E" w14:textId="77777777" w:rsidR="008E607F" w:rsidRDefault="008E607F" w:rsidP="008E607F"/>
    <w:p w14:paraId="07F07C80" w14:textId="77777777" w:rsidR="008E607F" w:rsidRPr="008E607F" w:rsidRDefault="008E607F" w:rsidP="008E607F">
      <w:pPr>
        <w:rPr>
          <w:u w:val="single"/>
        </w:rPr>
      </w:pPr>
      <w:r w:rsidRPr="008E607F">
        <w:rPr>
          <w:u w:val="single"/>
        </w:rPr>
        <w:t>Main Activities – Post Adjustments/Corrections</w:t>
      </w:r>
    </w:p>
    <w:p w14:paraId="2FE4F95E" w14:textId="77777777" w:rsidR="008E607F" w:rsidRDefault="008E607F" w:rsidP="00E16D2D">
      <w:pPr>
        <w:pStyle w:val="LB1"/>
      </w:pPr>
      <w:r>
        <w:t xml:space="preserve">State Comptroller notifies Staff of correction(s) required </w:t>
      </w:r>
    </w:p>
    <w:p w14:paraId="7E3F5955" w14:textId="77777777" w:rsidR="008E607F" w:rsidRDefault="008E607F" w:rsidP="00E16D2D">
      <w:pPr>
        <w:pStyle w:val="OB1"/>
      </w:pPr>
      <w:r>
        <w:t>Transfer</w:t>
      </w:r>
    </w:p>
    <w:p w14:paraId="5F5313B1" w14:textId="77777777" w:rsidR="008E607F" w:rsidRDefault="008E607F" w:rsidP="00116640">
      <w:pPr>
        <w:pStyle w:val="OB1"/>
      </w:pPr>
      <w:r>
        <w:t xml:space="preserve">Returned items (e.g., NSFs) </w:t>
      </w:r>
    </w:p>
    <w:p w14:paraId="11274EA3" w14:textId="77777777" w:rsidR="008E607F" w:rsidRDefault="008E607F" w:rsidP="00F82166">
      <w:pPr>
        <w:pStyle w:val="OB1"/>
      </w:pPr>
      <w:r>
        <w:t>Posting corrections</w:t>
      </w:r>
    </w:p>
    <w:p w14:paraId="2C0074D2" w14:textId="77777777" w:rsidR="008E607F" w:rsidRDefault="008E607F" w:rsidP="00F82166">
      <w:pPr>
        <w:pStyle w:val="LB1"/>
      </w:pPr>
      <w:r>
        <w:t>System must allow Staff to post all corrections</w:t>
      </w:r>
    </w:p>
    <w:p w14:paraId="288E5935" w14:textId="77777777" w:rsidR="008E607F" w:rsidRDefault="008E607F">
      <w:pPr>
        <w:pStyle w:val="OB1"/>
      </w:pPr>
      <w:r>
        <w:t>Benefits</w:t>
      </w:r>
    </w:p>
    <w:p w14:paraId="78011394" w14:textId="77777777" w:rsidR="008E607F" w:rsidRDefault="008E607F">
      <w:pPr>
        <w:pStyle w:val="OB1"/>
      </w:pPr>
      <w:r>
        <w:t>Tax</w:t>
      </w:r>
    </w:p>
    <w:p w14:paraId="5C58FFFD" w14:textId="77777777" w:rsidR="008E607F" w:rsidRDefault="008E607F">
      <w:pPr>
        <w:pStyle w:val="OB1"/>
      </w:pPr>
      <w:r>
        <w:t>TOP</w:t>
      </w:r>
    </w:p>
    <w:p w14:paraId="5D61640D" w14:textId="77777777" w:rsidR="008E607F" w:rsidRDefault="008E607F">
      <w:pPr>
        <w:pStyle w:val="OB1"/>
      </w:pPr>
      <w:r>
        <w:t>Including full audit trail with rationale/notes where applicable</w:t>
      </w:r>
    </w:p>
    <w:p w14:paraId="7C482A13" w14:textId="77777777" w:rsidR="008E607F" w:rsidRDefault="008E607F" w:rsidP="008E607F">
      <w:pPr>
        <w:pStyle w:val="SB1"/>
      </w:pPr>
      <w:r>
        <w:t>Add to field tax comments</w:t>
      </w:r>
    </w:p>
    <w:p w14:paraId="7783158F" w14:textId="77777777" w:rsidR="008E607F" w:rsidRDefault="008E607F" w:rsidP="00E16D2D">
      <w:pPr>
        <w:pStyle w:val="OB1"/>
      </w:pPr>
      <w:r>
        <w:t>Change postmark date</w:t>
      </w:r>
    </w:p>
    <w:p w14:paraId="7ADEF61F" w14:textId="77777777" w:rsidR="008E607F" w:rsidRDefault="008E607F" w:rsidP="00E16D2D">
      <w:pPr>
        <w:pStyle w:val="LB1"/>
      </w:pPr>
      <w:r>
        <w:t>System must post corrections based on business rules</w:t>
      </w:r>
    </w:p>
    <w:p w14:paraId="5695081C" w14:textId="77777777" w:rsidR="008E607F" w:rsidRDefault="008E607F" w:rsidP="00116640">
      <w:pPr>
        <w:pStyle w:val="LB1"/>
      </w:pPr>
      <w:r>
        <w:t>System must notify Staff of errors in posting corrections</w:t>
      </w:r>
    </w:p>
    <w:p w14:paraId="22411635" w14:textId="77777777" w:rsidR="00B22B88" w:rsidRDefault="00B22B88" w:rsidP="00F82166">
      <w:pPr>
        <w:pStyle w:val="LB1"/>
      </w:pPr>
      <w:r>
        <w:lastRenderedPageBreak/>
        <w:t>System must allow Staff to perform transfers between various TWC programs</w:t>
      </w:r>
    </w:p>
    <w:p w14:paraId="35FDBFBA" w14:textId="3495E6B2" w:rsidR="00B22B88" w:rsidRDefault="00B22B88" w:rsidP="00F82166">
      <w:pPr>
        <w:pStyle w:val="OB1"/>
      </w:pPr>
      <w:r>
        <w:t>Create and automatically post summary transactions in USAS/</w:t>
      </w:r>
      <w:r w:rsidR="008C6D5F">
        <w:t>WRAPS</w:t>
      </w:r>
    </w:p>
    <w:p w14:paraId="45F94448" w14:textId="025118D0" w:rsidR="00B22B88" w:rsidRDefault="00B22B88">
      <w:pPr>
        <w:pStyle w:val="LB1"/>
      </w:pPr>
      <w:r>
        <w:t>System must allow data to be imported to a database via ODBC link or other equivalent</w:t>
      </w:r>
    </w:p>
    <w:p w14:paraId="1BA21B64" w14:textId="77777777" w:rsidR="008E607F" w:rsidRDefault="008E607F" w:rsidP="008E607F"/>
    <w:p w14:paraId="35017D02" w14:textId="3F0C9622" w:rsidR="008E607F" w:rsidRDefault="008E607F" w:rsidP="008E607F">
      <w:pPr>
        <w:rPr>
          <w:u w:val="single"/>
        </w:rPr>
      </w:pPr>
      <w:r w:rsidRPr="008E607F">
        <w:rPr>
          <w:u w:val="single"/>
        </w:rPr>
        <w:t>Alternate Activities and Special Cases</w:t>
      </w:r>
    </w:p>
    <w:p w14:paraId="67CBEC37" w14:textId="77777777" w:rsidR="004F7DCA" w:rsidRDefault="004F7DCA" w:rsidP="004F7DCA">
      <w:r>
        <w:t>System must support the following alternate activities and special cases:</w:t>
      </w:r>
    </w:p>
    <w:p w14:paraId="1525799D" w14:textId="77777777" w:rsidR="008E607F" w:rsidRDefault="008E607F" w:rsidP="00E16D2D">
      <w:pPr>
        <w:pStyle w:val="LB1"/>
      </w:pPr>
      <w:r>
        <w:t>Joint and Severally court ordered restitution for individuals or schemes</w:t>
      </w:r>
    </w:p>
    <w:p w14:paraId="59B7453D" w14:textId="7D674AD4" w:rsidR="008E607F" w:rsidRDefault="008E607F" w:rsidP="00E16D2D">
      <w:pPr>
        <w:pStyle w:val="LB1"/>
      </w:pPr>
      <w:r w:rsidRPr="005B6B4E">
        <w:t xml:space="preserve">System must associate offsets, repayments, NSF transactions to overpayments so that </w:t>
      </w:r>
      <w:r w:rsidR="009521D7">
        <w:t xml:space="preserve">Staff </w:t>
      </w:r>
      <w:r w:rsidRPr="005B6B4E">
        <w:t>understand how overpayments were reduced/increased and how the reimbursement was applied</w:t>
      </w:r>
    </w:p>
    <w:p w14:paraId="66E820C1" w14:textId="62BA87A0" w:rsidR="008E607F" w:rsidRDefault="008E607F" w:rsidP="00116640">
      <w:pPr>
        <w:pStyle w:val="LB1"/>
      </w:pPr>
      <w:r w:rsidRPr="003242C7">
        <w:t>System must provide a general ledger capability that is searchable and can be filtered (e.g., by date, program type, daily batch)</w:t>
      </w:r>
    </w:p>
    <w:p w14:paraId="3D4B5BF6" w14:textId="77777777" w:rsidR="008E607F" w:rsidRDefault="008E607F" w:rsidP="008E607F"/>
    <w:p w14:paraId="1405BA5F" w14:textId="57A88E1E" w:rsidR="002C6386" w:rsidRDefault="002C6386" w:rsidP="002C6386">
      <w:pPr>
        <w:pStyle w:val="Heading4"/>
      </w:pPr>
      <w:r>
        <w:tab/>
      </w:r>
      <w:r w:rsidR="00FE443A">
        <w:t>Reimbursing</w:t>
      </w:r>
      <w:r w:rsidR="006E3C9A">
        <w:t xml:space="preserve"> State Agencies</w:t>
      </w:r>
    </w:p>
    <w:p w14:paraId="3ACB879C" w14:textId="0B44611C" w:rsidR="002C6386" w:rsidRPr="00B0723C" w:rsidRDefault="006E3C9A" w:rsidP="002C6386">
      <w:r>
        <w:t>This process includes all activities required to reimburse state agencies</w:t>
      </w:r>
      <w:r w:rsidR="002C6386">
        <w:t>.</w:t>
      </w:r>
    </w:p>
    <w:p w14:paraId="2D1E45E3" w14:textId="77777777" w:rsidR="002C6386" w:rsidRPr="003A23F0" w:rsidRDefault="002C6386" w:rsidP="002C6386">
      <w:pPr>
        <w:rPr>
          <w:u w:val="single"/>
        </w:rPr>
      </w:pPr>
      <w:r w:rsidRPr="003A23F0">
        <w:rPr>
          <w:u w:val="single"/>
        </w:rPr>
        <w:t>Actors</w:t>
      </w:r>
    </w:p>
    <w:p w14:paraId="7D6BE39D" w14:textId="4442E911" w:rsidR="002C6386" w:rsidRDefault="002C6386" w:rsidP="00E16D2D">
      <w:pPr>
        <w:pStyle w:val="LB1"/>
      </w:pPr>
      <w:r>
        <w:t>Staff</w:t>
      </w:r>
    </w:p>
    <w:p w14:paraId="55F402EC" w14:textId="38983BBA" w:rsidR="006E3C9A" w:rsidRDefault="006E3C9A" w:rsidP="00E16D2D">
      <w:pPr>
        <w:pStyle w:val="LB1"/>
      </w:pPr>
      <w:r>
        <w:t>State Agencies</w:t>
      </w:r>
    </w:p>
    <w:p w14:paraId="2F07E92F" w14:textId="77777777" w:rsidR="002C6386" w:rsidRPr="00DF6567" w:rsidRDefault="002C6386" w:rsidP="002C6386"/>
    <w:p w14:paraId="5D898052" w14:textId="77777777" w:rsidR="002C6386" w:rsidRPr="003A23F0" w:rsidRDefault="002C6386" w:rsidP="002C6386">
      <w:pPr>
        <w:rPr>
          <w:u w:val="single"/>
        </w:rPr>
      </w:pPr>
      <w:r w:rsidRPr="003A23F0">
        <w:rPr>
          <w:u w:val="single"/>
        </w:rPr>
        <w:t>Main Activities</w:t>
      </w:r>
    </w:p>
    <w:p w14:paraId="3D63C7F7" w14:textId="7A12D73D" w:rsidR="006E3C9A" w:rsidRDefault="006E3C9A" w:rsidP="00E16D2D">
      <w:pPr>
        <w:pStyle w:val="LB1"/>
      </w:pPr>
      <w:r>
        <w:t>System must send fund source statement (breakout by revenue funding such as local, federal, etc.) and reimbursable funds statement (listing of all the Claimants that were paid UI benefits for that agency) to the appropriate state agencies</w:t>
      </w:r>
    </w:p>
    <w:p w14:paraId="37FB31B6" w14:textId="77777777" w:rsidR="006E3C9A" w:rsidRDefault="006E3C9A" w:rsidP="00E16D2D">
      <w:pPr>
        <w:pStyle w:val="OB1"/>
      </w:pPr>
      <w:r>
        <w:t>Quarterly</w:t>
      </w:r>
    </w:p>
    <w:p w14:paraId="3AAEEAEF" w14:textId="77777777" w:rsidR="006E3C9A" w:rsidRDefault="006E3C9A" w:rsidP="00116640">
      <w:pPr>
        <w:pStyle w:val="LB1"/>
      </w:pPr>
      <w:r>
        <w:t>System must allow State Agency Staff to log in and make adjustments and automatically calculate the amount due</w:t>
      </w:r>
    </w:p>
    <w:p w14:paraId="6377A82A" w14:textId="32368F8B" w:rsidR="006E3C9A" w:rsidRDefault="006E3C9A" w:rsidP="00F82166">
      <w:pPr>
        <w:pStyle w:val="LB1"/>
      </w:pPr>
      <w:r>
        <w:t>System must reconcile USAS/</w:t>
      </w:r>
      <w:r w:rsidR="0021287A">
        <w:t xml:space="preserve">WRAPS </w:t>
      </w:r>
      <w:r>
        <w:t>history extract file with payments posted</w:t>
      </w:r>
    </w:p>
    <w:p w14:paraId="007B4F32" w14:textId="77777777" w:rsidR="006E3C9A" w:rsidRDefault="006E3C9A" w:rsidP="00F82166">
      <w:pPr>
        <w:pStyle w:val="LB1"/>
      </w:pPr>
      <w:r>
        <w:t>System must allow Staff to manually adjust when necessary</w:t>
      </w:r>
    </w:p>
    <w:p w14:paraId="1599CEEA" w14:textId="77777777" w:rsidR="006E3C9A" w:rsidRDefault="006E3C9A">
      <w:pPr>
        <w:pStyle w:val="LB1"/>
      </w:pPr>
      <w:r>
        <w:t>System must send out delinquency notices to State Agencies</w:t>
      </w:r>
    </w:p>
    <w:p w14:paraId="48A39EC1" w14:textId="77777777" w:rsidR="006E3C9A" w:rsidRDefault="006E3C9A">
      <w:pPr>
        <w:pStyle w:val="LB1"/>
      </w:pPr>
      <w:r>
        <w:t>System must allow Staff to query, sort, and filter data</w:t>
      </w:r>
    </w:p>
    <w:p w14:paraId="480E3CD9" w14:textId="77777777" w:rsidR="006E3C9A" w:rsidRDefault="006E3C9A">
      <w:pPr>
        <w:pStyle w:val="LB1"/>
      </w:pPr>
      <w:r>
        <w:t>System must generate report of payments received</w:t>
      </w:r>
    </w:p>
    <w:p w14:paraId="6541342F" w14:textId="77777777" w:rsidR="006E3C9A" w:rsidRDefault="006E3C9A" w:rsidP="006E3C9A">
      <w:pPr>
        <w:pStyle w:val="KBulletList2"/>
        <w:numPr>
          <w:ilvl w:val="0"/>
          <w:numId w:val="0"/>
        </w:numPr>
        <w:ind w:left="720" w:hanging="360"/>
      </w:pPr>
    </w:p>
    <w:p w14:paraId="1A33C2EC" w14:textId="56C34547" w:rsidR="002C6386" w:rsidRDefault="002C6386" w:rsidP="002C6386">
      <w:pPr>
        <w:pStyle w:val="Heading4"/>
      </w:pPr>
      <w:r>
        <w:tab/>
      </w:r>
      <w:r w:rsidR="006E3C9A">
        <w:t>Post Remittances</w:t>
      </w:r>
    </w:p>
    <w:p w14:paraId="4EC9A0B7" w14:textId="5D49D83E" w:rsidR="002C6386" w:rsidRPr="00B0723C" w:rsidRDefault="006E3C9A" w:rsidP="002C6386">
      <w:r>
        <w:t>This process includes all activities required to post remittances</w:t>
      </w:r>
      <w:r w:rsidR="002C6386">
        <w:t>.</w:t>
      </w:r>
    </w:p>
    <w:p w14:paraId="28277A2D" w14:textId="77777777" w:rsidR="002C6386" w:rsidRPr="003A23F0" w:rsidRDefault="002C6386" w:rsidP="002C6386">
      <w:pPr>
        <w:rPr>
          <w:u w:val="single"/>
        </w:rPr>
      </w:pPr>
      <w:r w:rsidRPr="003A23F0">
        <w:rPr>
          <w:u w:val="single"/>
        </w:rPr>
        <w:t>Actors</w:t>
      </w:r>
    </w:p>
    <w:p w14:paraId="0D86E731" w14:textId="2DD5CA04" w:rsidR="002C6386" w:rsidRDefault="002C6386" w:rsidP="00E16D2D">
      <w:pPr>
        <w:pStyle w:val="LB1"/>
      </w:pPr>
      <w:r>
        <w:lastRenderedPageBreak/>
        <w:t>Staff</w:t>
      </w:r>
    </w:p>
    <w:p w14:paraId="7DB3B67E" w14:textId="329E6AFA" w:rsidR="006E3C9A" w:rsidRDefault="006E3C9A" w:rsidP="00E16D2D">
      <w:pPr>
        <w:pStyle w:val="LB1"/>
      </w:pPr>
      <w:r>
        <w:t>State Agencies</w:t>
      </w:r>
    </w:p>
    <w:p w14:paraId="0B600A49" w14:textId="77777777" w:rsidR="002C6386" w:rsidRPr="00DF6567" w:rsidRDefault="002C6386" w:rsidP="002C6386"/>
    <w:p w14:paraId="7E7750EE" w14:textId="77777777" w:rsidR="002C6386" w:rsidRPr="006E3C9A" w:rsidRDefault="002C6386" w:rsidP="006E3C9A">
      <w:pPr>
        <w:rPr>
          <w:u w:val="single"/>
        </w:rPr>
      </w:pPr>
      <w:r w:rsidRPr="006E3C9A">
        <w:rPr>
          <w:u w:val="single"/>
        </w:rPr>
        <w:t>Main Activities</w:t>
      </w:r>
    </w:p>
    <w:p w14:paraId="081069CF" w14:textId="77777777" w:rsidR="006E3C9A" w:rsidRDefault="006E3C9A" w:rsidP="00E16D2D">
      <w:pPr>
        <w:pStyle w:val="LB1"/>
      </w:pPr>
      <w:r>
        <w:t>System must receive TexNet deposit file from Comptroller and automatically post remittances based on business rules</w:t>
      </w:r>
    </w:p>
    <w:p w14:paraId="78B7E517" w14:textId="77777777" w:rsidR="006E3C9A" w:rsidRDefault="006E3C9A" w:rsidP="00E16D2D">
      <w:pPr>
        <w:pStyle w:val="LB1"/>
      </w:pPr>
      <w:r>
        <w:t>System must receive and automatically post remittances based on business rules</w:t>
      </w:r>
    </w:p>
    <w:p w14:paraId="41DC9AB7" w14:textId="77777777" w:rsidR="006E3C9A" w:rsidRDefault="006E3C9A" w:rsidP="00116640">
      <w:pPr>
        <w:pStyle w:val="OB1"/>
      </w:pPr>
      <w:r>
        <w:t>Warrant holds from Comptroller</w:t>
      </w:r>
    </w:p>
    <w:p w14:paraId="472845F5" w14:textId="77777777" w:rsidR="006E3C9A" w:rsidRDefault="006E3C9A" w:rsidP="00F82166">
      <w:pPr>
        <w:pStyle w:val="OB1"/>
      </w:pPr>
      <w:r>
        <w:t>TOP remittances from IRS</w:t>
      </w:r>
    </w:p>
    <w:p w14:paraId="6F109BEC" w14:textId="77777777" w:rsidR="006E3C9A" w:rsidRDefault="006E3C9A" w:rsidP="00F82166">
      <w:pPr>
        <w:pStyle w:val="OB1"/>
      </w:pPr>
      <w:r>
        <w:t>Credit cards</w:t>
      </w:r>
    </w:p>
    <w:p w14:paraId="6B3A975B" w14:textId="77777777" w:rsidR="006E3C9A" w:rsidRDefault="006E3C9A">
      <w:pPr>
        <w:pStyle w:val="OB1"/>
      </w:pPr>
      <w:r>
        <w:t>Cash</w:t>
      </w:r>
    </w:p>
    <w:p w14:paraId="41CD6A2E" w14:textId="77777777" w:rsidR="006E3C9A" w:rsidRDefault="006E3C9A">
      <w:pPr>
        <w:pStyle w:val="OB1"/>
      </w:pPr>
      <w:r>
        <w:t>Checks (personal, cashiers, etc.)</w:t>
      </w:r>
    </w:p>
    <w:p w14:paraId="006F44C0" w14:textId="77777777" w:rsidR="006E3C9A" w:rsidRDefault="006E3C9A">
      <w:pPr>
        <w:pStyle w:val="OB1"/>
      </w:pPr>
      <w:r>
        <w:t>Money Orders</w:t>
      </w:r>
    </w:p>
    <w:p w14:paraId="47AD2BA7" w14:textId="77777777" w:rsidR="006E3C9A" w:rsidRDefault="006E3C9A">
      <w:pPr>
        <w:pStyle w:val="OB1"/>
      </w:pPr>
      <w:r>
        <w:t>Etc.</w:t>
      </w:r>
    </w:p>
    <w:p w14:paraId="59707E75" w14:textId="77777777" w:rsidR="006E3C9A" w:rsidRDefault="006E3C9A">
      <w:pPr>
        <w:pStyle w:val="LB1"/>
      </w:pPr>
      <w:r>
        <w:t>System must receive TOP remittance file from IRS and automatically post remittances based on business rules</w:t>
      </w:r>
    </w:p>
    <w:p w14:paraId="4BB03D2C" w14:textId="77777777" w:rsidR="006E3C9A" w:rsidRDefault="006E3C9A">
      <w:pPr>
        <w:pStyle w:val="LB1"/>
      </w:pPr>
      <w:r>
        <w:t>System must allow Staff to post remittances from Claimants and Employers</w:t>
      </w:r>
    </w:p>
    <w:p w14:paraId="4327A5B0" w14:textId="77777777" w:rsidR="006E3C9A" w:rsidRDefault="006E3C9A">
      <w:pPr>
        <w:pStyle w:val="OB1"/>
      </w:pPr>
      <w:r>
        <w:t>System must validate that the remittance is tied to a valid account</w:t>
      </w:r>
    </w:p>
    <w:p w14:paraId="630C2F92" w14:textId="77777777" w:rsidR="006E3C9A" w:rsidRDefault="006E3C9A">
      <w:pPr>
        <w:pStyle w:val="OB1"/>
      </w:pPr>
      <w:r>
        <w:t>System must process remittance regardless of whether it matches the outstanding balance and notify Program area that an assignment is needed</w:t>
      </w:r>
    </w:p>
    <w:p w14:paraId="6589DDB0" w14:textId="77777777" w:rsidR="006E3C9A" w:rsidRDefault="006E3C9A" w:rsidP="006E3C9A">
      <w:pPr>
        <w:pStyle w:val="SB1"/>
      </w:pPr>
      <w:r>
        <w:t>Overpayments</w:t>
      </w:r>
    </w:p>
    <w:p w14:paraId="750A871F" w14:textId="77777777" w:rsidR="006E3C9A" w:rsidRDefault="006E3C9A" w:rsidP="006E3C9A">
      <w:pPr>
        <w:pStyle w:val="SB1"/>
      </w:pPr>
      <w:r>
        <w:t>Underpayments</w:t>
      </w:r>
    </w:p>
    <w:p w14:paraId="2FEE9677" w14:textId="77777777" w:rsidR="006E3C9A" w:rsidRDefault="006E3C9A" w:rsidP="00E16D2D">
      <w:pPr>
        <w:pStyle w:val="LB1"/>
      </w:pPr>
      <w:r>
        <w:t>System must allow Staff to manually adjust when necessary</w:t>
      </w:r>
    </w:p>
    <w:p w14:paraId="6F0F23C7" w14:textId="77777777" w:rsidR="006E3C9A" w:rsidRDefault="006E3C9A" w:rsidP="00E16D2D">
      <w:pPr>
        <w:pStyle w:val="LB1"/>
      </w:pPr>
      <w:r>
        <w:t>System must send list of valid TWC Employer account numbers to Comptroller</w:t>
      </w:r>
    </w:p>
    <w:p w14:paraId="32DC6D40" w14:textId="77777777" w:rsidR="006E3C9A" w:rsidRDefault="006E3C9A" w:rsidP="006E3C9A">
      <w:pPr>
        <w:pStyle w:val="KBulletList2"/>
        <w:numPr>
          <w:ilvl w:val="0"/>
          <w:numId w:val="0"/>
        </w:numPr>
        <w:ind w:left="720" w:hanging="360"/>
      </w:pPr>
    </w:p>
    <w:p w14:paraId="0C8F5A7A" w14:textId="0DE67195" w:rsidR="002C6386" w:rsidRDefault="002C6386" w:rsidP="002C6386">
      <w:pPr>
        <w:pStyle w:val="Heading4"/>
      </w:pPr>
      <w:bookmarkStart w:id="373" w:name="_Process_Correspondence/Reports"/>
      <w:bookmarkEnd w:id="373"/>
      <w:r>
        <w:tab/>
      </w:r>
      <w:r w:rsidR="006E3C9A">
        <w:t>Process Correspondence</w:t>
      </w:r>
      <w:r w:rsidR="00FE443A">
        <w:t>/Reports</w:t>
      </w:r>
    </w:p>
    <w:p w14:paraId="728EB2D0" w14:textId="7E145A4B" w:rsidR="002C6386" w:rsidRPr="00B0723C" w:rsidRDefault="009A5A60" w:rsidP="002C6386">
      <w:r>
        <w:t>This process includes all activities required to process correspondence</w:t>
      </w:r>
      <w:r w:rsidR="00FE443A">
        <w:t>/reports</w:t>
      </w:r>
      <w:r w:rsidR="002C6386">
        <w:t>.</w:t>
      </w:r>
    </w:p>
    <w:p w14:paraId="676ED41D" w14:textId="77777777" w:rsidR="002C6386" w:rsidRPr="003A23F0" w:rsidRDefault="002C6386" w:rsidP="002C6386">
      <w:pPr>
        <w:rPr>
          <w:u w:val="single"/>
        </w:rPr>
      </w:pPr>
      <w:r w:rsidRPr="003A23F0">
        <w:rPr>
          <w:u w:val="single"/>
        </w:rPr>
        <w:t>Actors</w:t>
      </w:r>
    </w:p>
    <w:p w14:paraId="21CC54CC" w14:textId="77777777" w:rsidR="002C6386" w:rsidRDefault="002C6386" w:rsidP="00E16D2D">
      <w:pPr>
        <w:pStyle w:val="LB1"/>
      </w:pPr>
      <w:r>
        <w:t>Staff</w:t>
      </w:r>
    </w:p>
    <w:p w14:paraId="36DDDE0B" w14:textId="77777777" w:rsidR="002C6386" w:rsidRPr="00DF6567" w:rsidRDefault="002C6386" w:rsidP="002C6386"/>
    <w:p w14:paraId="789C0DDB" w14:textId="77777777" w:rsidR="002C6386" w:rsidRPr="003A23F0" w:rsidRDefault="002C6386" w:rsidP="002C6386">
      <w:pPr>
        <w:rPr>
          <w:u w:val="single"/>
        </w:rPr>
      </w:pPr>
      <w:r w:rsidRPr="003A23F0">
        <w:rPr>
          <w:u w:val="single"/>
        </w:rPr>
        <w:t>Main Activities</w:t>
      </w:r>
    </w:p>
    <w:p w14:paraId="5F7880EB" w14:textId="77777777" w:rsidR="006E3C9A" w:rsidRDefault="006E3C9A" w:rsidP="00E16D2D">
      <w:pPr>
        <w:pStyle w:val="LB1"/>
      </w:pPr>
      <w:r>
        <w:t>System must automatically send correspondence to Claimants and Employers based on business rules</w:t>
      </w:r>
    </w:p>
    <w:p w14:paraId="2CF6B1A8" w14:textId="77777777" w:rsidR="006E3C9A" w:rsidRDefault="006E3C9A" w:rsidP="00E16D2D">
      <w:pPr>
        <w:pStyle w:val="OB1"/>
      </w:pPr>
      <w:r>
        <w:t>Notice of Change (for incorrect banking information)</w:t>
      </w:r>
    </w:p>
    <w:p w14:paraId="0F0A3E4B" w14:textId="77777777" w:rsidR="006E3C9A" w:rsidRDefault="006E3C9A" w:rsidP="00E16D2D">
      <w:pPr>
        <w:pStyle w:val="OB1"/>
      </w:pPr>
      <w:r>
        <w:t>NSF Notices</w:t>
      </w:r>
    </w:p>
    <w:p w14:paraId="170488EF" w14:textId="77777777" w:rsidR="006E3C9A" w:rsidRDefault="006E3C9A" w:rsidP="00116640">
      <w:pPr>
        <w:pStyle w:val="OB1"/>
      </w:pPr>
      <w:r>
        <w:t>ACH Return Notice</w:t>
      </w:r>
    </w:p>
    <w:p w14:paraId="2405E974" w14:textId="77777777" w:rsidR="006E3C9A" w:rsidRDefault="006E3C9A" w:rsidP="00F82166">
      <w:pPr>
        <w:pStyle w:val="OB1"/>
      </w:pPr>
      <w:r>
        <w:t xml:space="preserve">Etc. </w:t>
      </w:r>
    </w:p>
    <w:p w14:paraId="11D9DC90" w14:textId="77777777" w:rsidR="006E3C9A" w:rsidRDefault="006E3C9A" w:rsidP="00F82166">
      <w:pPr>
        <w:pStyle w:val="LB1"/>
      </w:pPr>
      <w:r>
        <w:t>System must allow Staff to reissue correspondence</w:t>
      </w:r>
    </w:p>
    <w:p w14:paraId="6DEF367C" w14:textId="77777777" w:rsidR="006E3C9A" w:rsidRDefault="006E3C9A">
      <w:pPr>
        <w:pStyle w:val="LB1"/>
      </w:pPr>
      <w:r>
        <w:lastRenderedPageBreak/>
        <w:t xml:space="preserve">System must allow authorized business Staff to </w:t>
      </w:r>
    </w:p>
    <w:p w14:paraId="0D0A1967" w14:textId="77777777" w:rsidR="006E3C9A" w:rsidRDefault="006E3C9A">
      <w:pPr>
        <w:pStyle w:val="OB1"/>
      </w:pPr>
      <w:r>
        <w:t>Scan letters</w:t>
      </w:r>
    </w:p>
    <w:p w14:paraId="577D3CB0" w14:textId="77777777" w:rsidR="006E3C9A" w:rsidRDefault="006E3C9A">
      <w:pPr>
        <w:pStyle w:val="OB1"/>
      </w:pPr>
      <w:r>
        <w:t>Scan and endorse checks</w:t>
      </w:r>
    </w:p>
    <w:p w14:paraId="288930B4" w14:textId="478234D3" w:rsidR="00FE443A" w:rsidRDefault="00FE443A">
      <w:pPr>
        <w:pStyle w:val="LB1"/>
      </w:pPr>
      <w:r>
        <w:t>System must allow Staff to manually override/make adjustments to properly prepare reports and annual IRS filing requirements</w:t>
      </w:r>
    </w:p>
    <w:p w14:paraId="7A8E1595" w14:textId="496DC972" w:rsidR="006E3C9A" w:rsidRDefault="00FE443A">
      <w:pPr>
        <w:pStyle w:val="LB1"/>
      </w:pPr>
      <w:r>
        <w:t>System must allow Staff to upload data to weekly/monthly/annual federal reports</w:t>
      </w:r>
    </w:p>
    <w:p w14:paraId="684F4536" w14:textId="77777777" w:rsidR="00FE443A" w:rsidRDefault="00FE443A" w:rsidP="006E3C9A"/>
    <w:p w14:paraId="508BA333" w14:textId="68A271E7" w:rsidR="00805852" w:rsidRDefault="00805852" w:rsidP="00805852">
      <w:pPr>
        <w:pStyle w:val="Heading4"/>
      </w:pPr>
      <w:bookmarkStart w:id="374" w:name="_Bill_External_Customers"/>
      <w:bookmarkEnd w:id="374"/>
      <w:r>
        <w:tab/>
        <w:t>Bill External Customers</w:t>
      </w:r>
    </w:p>
    <w:p w14:paraId="1800C99A" w14:textId="24A212EA" w:rsidR="00805852" w:rsidRPr="00B0723C" w:rsidRDefault="00805852" w:rsidP="00805852">
      <w:r>
        <w:t>This process includes all activities required to bill external customers for data sharing agreements.</w:t>
      </w:r>
    </w:p>
    <w:p w14:paraId="7142DCE7" w14:textId="77777777" w:rsidR="00805852" w:rsidRPr="003A23F0" w:rsidRDefault="00805852" w:rsidP="00805852">
      <w:pPr>
        <w:rPr>
          <w:u w:val="single"/>
        </w:rPr>
      </w:pPr>
      <w:r w:rsidRPr="003A23F0">
        <w:rPr>
          <w:u w:val="single"/>
        </w:rPr>
        <w:t>Actors</w:t>
      </w:r>
    </w:p>
    <w:p w14:paraId="2D218075" w14:textId="13E8567F" w:rsidR="00805852" w:rsidRDefault="00805852" w:rsidP="00E16D2D">
      <w:pPr>
        <w:pStyle w:val="LB1"/>
      </w:pPr>
      <w:r>
        <w:t>Staff</w:t>
      </w:r>
    </w:p>
    <w:p w14:paraId="534B018E" w14:textId="5F0F8C6F" w:rsidR="00805852" w:rsidRDefault="00805852" w:rsidP="00E16D2D">
      <w:pPr>
        <w:pStyle w:val="LB1"/>
      </w:pPr>
      <w:r>
        <w:t>External Entities (state agencies, law enforcement etc.)</w:t>
      </w:r>
    </w:p>
    <w:p w14:paraId="7949C9C3" w14:textId="77777777" w:rsidR="00805852" w:rsidRPr="00DF6567" w:rsidRDefault="00805852" w:rsidP="00805852"/>
    <w:p w14:paraId="1ECE4610" w14:textId="77777777" w:rsidR="00805852" w:rsidRPr="003A23F0" w:rsidRDefault="00805852" w:rsidP="00805852">
      <w:pPr>
        <w:rPr>
          <w:u w:val="single"/>
        </w:rPr>
      </w:pPr>
      <w:r w:rsidRPr="003A23F0">
        <w:rPr>
          <w:u w:val="single"/>
        </w:rPr>
        <w:t>Main Activities</w:t>
      </w:r>
    </w:p>
    <w:p w14:paraId="36EDFBC0" w14:textId="53F6C9B8" w:rsidR="00805852" w:rsidRDefault="00805852" w:rsidP="00E16D2D">
      <w:pPr>
        <w:pStyle w:val="LB1"/>
      </w:pPr>
      <w:r>
        <w:t>System must allow outside entities to have limited access to TWC data</w:t>
      </w:r>
    </w:p>
    <w:p w14:paraId="62DFD09C" w14:textId="751C2893" w:rsidR="00805852" w:rsidRDefault="00805852" w:rsidP="00E16D2D">
      <w:pPr>
        <w:pStyle w:val="LB1"/>
      </w:pPr>
      <w:r>
        <w:t>System must track usage by each entity or user ID</w:t>
      </w:r>
    </w:p>
    <w:p w14:paraId="3F52E509" w14:textId="77777777" w:rsidR="00805852" w:rsidRDefault="00805852" w:rsidP="00116640">
      <w:pPr>
        <w:pStyle w:val="LB1"/>
      </w:pPr>
      <w:r>
        <w:t>System must notify TWC of any attempts to view or access data not covered by data sharing agreements</w:t>
      </w:r>
    </w:p>
    <w:p w14:paraId="6A29677A" w14:textId="71FDCC95" w:rsidR="00805852" w:rsidRDefault="00805852" w:rsidP="00F82166">
      <w:pPr>
        <w:pStyle w:val="LB1"/>
      </w:pPr>
      <w:r>
        <w:t>System must allow Staff to track programming time due to changes in contracts by contract number or another unique identifier</w:t>
      </w:r>
      <w:r w:rsidR="00EE5622">
        <w:t xml:space="preserve"> </w:t>
      </w:r>
    </w:p>
    <w:p w14:paraId="5173B206" w14:textId="77777777" w:rsidR="00805852" w:rsidRDefault="00805852" w:rsidP="00F82166">
      <w:pPr>
        <w:pStyle w:val="LB1"/>
      </w:pPr>
      <w:r>
        <w:t>System must allow updates due to contract changes and amendments</w:t>
      </w:r>
    </w:p>
    <w:p w14:paraId="5E816FF0" w14:textId="1E9466ED" w:rsidR="00805852" w:rsidRDefault="00805852">
      <w:pPr>
        <w:pStyle w:val="LB1"/>
      </w:pPr>
      <w:r>
        <w:t>System must allow Staff to query information to accurately bill external entities</w:t>
      </w:r>
    </w:p>
    <w:p w14:paraId="26B02946" w14:textId="112EF43F" w:rsidR="00805852" w:rsidRDefault="00805852">
      <w:pPr>
        <w:pStyle w:val="LB1"/>
      </w:pPr>
      <w:r>
        <w:t>System must allow Staff to generate bills to external entities</w:t>
      </w:r>
    </w:p>
    <w:p w14:paraId="6A628FFA" w14:textId="40A9C8D5" w:rsidR="00805852" w:rsidRDefault="00805852">
      <w:pPr>
        <w:pStyle w:val="LB1"/>
      </w:pPr>
      <w:r>
        <w:t>System must allow Staff to reconcile payments received back to the original billing</w:t>
      </w:r>
    </w:p>
    <w:p w14:paraId="5CD48896" w14:textId="3FB8B022" w:rsidR="00805852" w:rsidRDefault="00805852" w:rsidP="00966BD9"/>
    <w:p w14:paraId="16E1D0BF" w14:textId="44474DE1" w:rsidR="00177DA9" w:rsidRDefault="00177DA9" w:rsidP="00177DA9">
      <w:pPr>
        <w:pStyle w:val="Heading3"/>
      </w:pPr>
      <w:bookmarkStart w:id="375" w:name="_A6.8_General_1"/>
      <w:bookmarkStart w:id="376" w:name="_A6.8_Performance_Evaluations"/>
      <w:bookmarkStart w:id="377" w:name="_Toc13567499"/>
      <w:bookmarkEnd w:id="375"/>
      <w:bookmarkEnd w:id="376"/>
      <w:r>
        <w:t>A6.8</w:t>
      </w:r>
      <w:r>
        <w:tab/>
        <w:t>Performance Evaluations</w:t>
      </w:r>
      <w:bookmarkEnd w:id="377"/>
    </w:p>
    <w:p w14:paraId="0464037C" w14:textId="0CB2E43F" w:rsidR="0059721B" w:rsidRDefault="0059721B" w:rsidP="0059721B">
      <w:pPr>
        <w:pStyle w:val="Heading4"/>
      </w:pPr>
      <w:r>
        <w:tab/>
      </w:r>
      <w:r w:rsidR="00267E12">
        <w:t>Perform Quality Reviews</w:t>
      </w:r>
    </w:p>
    <w:p w14:paraId="20EE1DB7" w14:textId="5433B348" w:rsidR="0059721B" w:rsidRDefault="00267E12" w:rsidP="0059721B">
      <w:pPr>
        <w:rPr>
          <w:color w:val="000000"/>
        </w:rPr>
      </w:pPr>
      <w:r w:rsidRPr="00705769">
        <w:rPr>
          <w:color w:val="000000"/>
        </w:rPr>
        <w:t>This process includes all activities required to perform quality reviews both Federal and In-Hous</w:t>
      </w:r>
      <w:r>
        <w:rPr>
          <w:color w:val="000000"/>
        </w:rPr>
        <w:t>e.</w:t>
      </w:r>
    </w:p>
    <w:p w14:paraId="1FBA1CB7" w14:textId="77777777" w:rsidR="00267E12" w:rsidRPr="003A23F0" w:rsidRDefault="00267E12" w:rsidP="00267E12">
      <w:pPr>
        <w:rPr>
          <w:u w:val="single"/>
        </w:rPr>
      </w:pPr>
      <w:r w:rsidRPr="003A23F0">
        <w:rPr>
          <w:u w:val="single"/>
        </w:rPr>
        <w:t>Actors</w:t>
      </w:r>
    </w:p>
    <w:p w14:paraId="41EC4CC8" w14:textId="77777777" w:rsidR="00267E12" w:rsidRDefault="00267E12" w:rsidP="00E16D2D">
      <w:pPr>
        <w:pStyle w:val="LB1"/>
      </w:pPr>
      <w:r>
        <w:t>Staff</w:t>
      </w:r>
    </w:p>
    <w:p w14:paraId="7658919D" w14:textId="18396EF6" w:rsidR="00267E12" w:rsidRDefault="00267E12" w:rsidP="00E16D2D">
      <w:pPr>
        <w:pStyle w:val="LB1"/>
      </w:pPr>
      <w:r>
        <w:t>DOL</w:t>
      </w:r>
    </w:p>
    <w:p w14:paraId="3ED725C7" w14:textId="77777777" w:rsidR="00267E12" w:rsidRPr="00DF6567" w:rsidRDefault="00267E12" w:rsidP="00267E12"/>
    <w:p w14:paraId="5ED112F1" w14:textId="5ACF58B6" w:rsidR="00267E12" w:rsidRPr="003A23F0" w:rsidRDefault="00267E12" w:rsidP="00267E12">
      <w:pPr>
        <w:rPr>
          <w:u w:val="single"/>
        </w:rPr>
      </w:pPr>
      <w:r w:rsidRPr="003A23F0">
        <w:rPr>
          <w:u w:val="single"/>
        </w:rPr>
        <w:t>Main Activities</w:t>
      </w:r>
      <w:r>
        <w:rPr>
          <w:u w:val="single"/>
        </w:rPr>
        <w:t xml:space="preserve"> – BTQ Quarterly Reviews</w:t>
      </w:r>
    </w:p>
    <w:p w14:paraId="01305962" w14:textId="77777777" w:rsidR="00267E12" w:rsidRDefault="00267E12" w:rsidP="00E16D2D">
      <w:pPr>
        <w:pStyle w:val="LB1"/>
      </w:pPr>
      <w:r>
        <w:lastRenderedPageBreak/>
        <w:t>System must allow Staff to enter random numbers provided by DOL into System</w:t>
      </w:r>
    </w:p>
    <w:p w14:paraId="36E1BF6C" w14:textId="4705FBA1" w:rsidR="00267E12" w:rsidRDefault="00267E12" w:rsidP="00E16D2D">
      <w:pPr>
        <w:pStyle w:val="LB1"/>
      </w:pPr>
      <w:r>
        <w:t xml:space="preserve">System </w:t>
      </w:r>
      <w:r w:rsidR="00BA7683">
        <w:t xml:space="preserve">must </w:t>
      </w:r>
      <w:r>
        <w:t xml:space="preserve">select universe, then select quarterly sample cases from the universe based on </w:t>
      </w:r>
      <w:r w:rsidR="001E784C">
        <w:t>random numbers provided by DOL</w:t>
      </w:r>
    </w:p>
    <w:p w14:paraId="0D795C45" w14:textId="0480F1B2" w:rsidR="00267E12" w:rsidRDefault="00267E12" w:rsidP="00116640">
      <w:pPr>
        <w:pStyle w:val="LB1"/>
      </w:pPr>
      <w:r>
        <w:t>System must ensure sample data conforms to DOL methodology as defined in ET Handbook 3</w:t>
      </w:r>
      <w:r w:rsidR="001E784C">
        <w:t>01</w:t>
      </w:r>
    </w:p>
    <w:p w14:paraId="03D56D54" w14:textId="77777777" w:rsidR="00267E12" w:rsidRDefault="00267E12" w:rsidP="00F82166">
      <w:pPr>
        <w:pStyle w:val="LB1"/>
      </w:pPr>
      <w:r>
        <w:t>System must upload sample data into DOL SUN system</w:t>
      </w:r>
    </w:p>
    <w:p w14:paraId="2DCFF414" w14:textId="221C7AE1" w:rsidR="00267E12" w:rsidRDefault="00267E12" w:rsidP="00F82166">
      <w:pPr>
        <w:pStyle w:val="LB1"/>
      </w:pPr>
      <w:r>
        <w:t xml:space="preserve">System </w:t>
      </w:r>
      <w:r w:rsidR="004C02F1">
        <w:t xml:space="preserve">must </w:t>
      </w:r>
      <w:r>
        <w:t>retrieve ALL source documents such as</w:t>
      </w:r>
      <w:r w:rsidR="001E784C">
        <w:t>:</w:t>
      </w:r>
    </w:p>
    <w:p w14:paraId="1DD35E76" w14:textId="77777777" w:rsidR="00267E12" w:rsidRDefault="00267E12">
      <w:pPr>
        <w:pStyle w:val="OB1"/>
      </w:pPr>
      <w:r>
        <w:t>Case specific information</w:t>
      </w:r>
    </w:p>
    <w:p w14:paraId="50DB9B60" w14:textId="77777777" w:rsidR="00267E12" w:rsidRDefault="00267E12">
      <w:pPr>
        <w:pStyle w:val="OB1"/>
      </w:pPr>
      <w:r>
        <w:t>Claimant and Employer claim information</w:t>
      </w:r>
    </w:p>
    <w:p w14:paraId="13E488CB" w14:textId="77777777" w:rsidR="00267E12" w:rsidRDefault="00267E12">
      <w:pPr>
        <w:pStyle w:val="OB1"/>
      </w:pPr>
      <w:r>
        <w:t>Etc.</w:t>
      </w:r>
    </w:p>
    <w:p w14:paraId="4160A232" w14:textId="77777777" w:rsidR="00267E12" w:rsidRDefault="00267E12">
      <w:pPr>
        <w:pStyle w:val="LB1"/>
      </w:pPr>
      <w:r>
        <w:t>System must allow Staff to select source documents and print as needed</w:t>
      </w:r>
    </w:p>
    <w:p w14:paraId="333B38D3" w14:textId="77777777" w:rsidR="00267E12" w:rsidRDefault="00267E12">
      <w:pPr>
        <w:pStyle w:val="LB1"/>
      </w:pPr>
      <w:r>
        <w:t xml:space="preserve">System must allow Staff to view the sample including all sample cases and conduct reviews </w:t>
      </w:r>
    </w:p>
    <w:p w14:paraId="01FFB645" w14:textId="77777777" w:rsidR="00267E12" w:rsidRDefault="00267E12">
      <w:pPr>
        <w:pStyle w:val="OB1"/>
      </w:pPr>
      <w:r>
        <w:t>View sample list</w:t>
      </w:r>
    </w:p>
    <w:p w14:paraId="4A0030B6" w14:textId="77777777" w:rsidR="00267E12" w:rsidRDefault="00267E12">
      <w:pPr>
        <w:pStyle w:val="OB1"/>
      </w:pPr>
      <w:r>
        <w:t>View all cases</w:t>
      </w:r>
    </w:p>
    <w:p w14:paraId="04598014" w14:textId="77777777" w:rsidR="00267E12" w:rsidRDefault="00267E12">
      <w:pPr>
        <w:pStyle w:val="OB1"/>
      </w:pPr>
      <w:r>
        <w:t>Review all documents</w:t>
      </w:r>
    </w:p>
    <w:p w14:paraId="78932E18" w14:textId="77777777" w:rsidR="00267E12" w:rsidRDefault="00267E12" w:rsidP="001E784C">
      <w:pPr>
        <w:pStyle w:val="SB1"/>
      </w:pPr>
      <w:r>
        <w:t xml:space="preserve">Review fact finding </w:t>
      </w:r>
    </w:p>
    <w:p w14:paraId="415C3CB7" w14:textId="77777777" w:rsidR="00267E12" w:rsidRDefault="00267E12" w:rsidP="001E784C">
      <w:pPr>
        <w:pStyle w:val="SB1"/>
      </w:pPr>
      <w:r>
        <w:t>Employer response information</w:t>
      </w:r>
    </w:p>
    <w:p w14:paraId="0A9204D6" w14:textId="77777777" w:rsidR="00267E12" w:rsidRDefault="00267E12" w:rsidP="001E784C">
      <w:pPr>
        <w:pStyle w:val="SB1"/>
      </w:pPr>
      <w:r>
        <w:t>Claimant information</w:t>
      </w:r>
    </w:p>
    <w:p w14:paraId="1ED03CBE" w14:textId="77777777" w:rsidR="00267E12" w:rsidRDefault="00267E12" w:rsidP="001E784C">
      <w:pPr>
        <w:pStyle w:val="SB1"/>
      </w:pPr>
      <w:r>
        <w:t>Claim history</w:t>
      </w:r>
    </w:p>
    <w:p w14:paraId="35B704F0" w14:textId="6F9E5F29" w:rsidR="00267E12" w:rsidRDefault="00267E12" w:rsidP="001E784C">
      <w:pPr>
        <w:pStyle w:val="SB1"/>
      </w:pPr>
      <w:r>
        <w:t>Address (</w:t>
      </w:r>
      <w:r w:rsidR="00930F59">
        <w:t>Claimant</w:t>
      </w:r>
      <w:r>
        <w:t xml:space="preserve"> and </w:t>
      </w:r>
      <w:r w:rsidR="00930F59">
        <w:t>Employer</w:t>
      </w:r>
      <w:r>
        <w:t>) history</w:t>
      </w:r>
    </w:p>
    <w:p w14:paraId="494542B4" w14:textId="3233D7F4" w:rsidR="00267E12" w:rsidRDefault="00267E12" w:rsidP="001E784C">
      <w:pPr>
        <w:pStyle w:val="SB1"/>
      </w:pPr>
      <w:r>
        <w:t>Correspondence (</w:t>
      </w:r>
      <w:r w:rsidR="00930F59">
        <w:t>Claimant</w:t>
      </w:r>
      <w:r>
        <w:t xml:space="preserve"> and </w:t>
      </w:r>
      <w:r w:rsidR="00930F59">
        <w:t>Employer</w:t>
      </w:r>
      <w:r>
        <w:t>)</w:t>
      </w:r>
    </w:p>
    <w:p w14:paraId="011CD33A" w14:textId="77777777" w:rsidR="00267E12" w:rsidRDefault="00267E12" w:rsidP="001E784C">
      <w:pPr>
        <w:pStyle w:val="SB1"/>
      </w:pPr>
      <w:r>
        <w:t>Etc.</w:t>
      </w:r>
    </w:p>
    <w:p w14:paraId="49E017C2" w14:textId="77777777" w:rsidR="00267E12" w:rsidRDefault="00267E12" w:rsidP="00E16D2D">
      <w:pPr>
        <w:pStyle w:val="OB1"/>
      </w:pPr>
      <w:r>
        <w:t>Search, sort, and filter sample data and source documents</w:t>
      </w:r>
    </w:p>
    <w:p w14:paraId="34FC5674" w14:textId="3E03436B" w:rsidR="00267E12" w:rsidRDefault="00267E12" w:rsidP="00E16D2D">
      <w:pPr>
        <w:pStyle w:val="LB1"/>
      </w:pPr>
      <w:r>
        <w:t xml:space="preserve">System must allow Staff to record review results on an online/in-system </w:t>
      </w:r>
      <w:r w:rsidR="002D7D4E">
        <w:t>DCI evaluation form</w:t>
      </w:r>
    </w:p>
    <w:p w14:paraId="4F8D7170" w14:textId="77777777" w:rsidR="00267E12" w:rsidRDefault="00267E12" w:rsidP="00116640">
      <w:pPr>
        <w:pStyle w:val="LB1"/>
      </w:pPr>
      <w:r>
        <w:t>System must be able to produce DCIs for all reviewed cases and allow Staff to print as needed</w:t>
      </w:r>
    </w:p>
    <w:p w14:paraId="0045B29A" w14:textId="77777777" w:rsidR="00267E12" w:rsidRDefault="00267E12" w:rsidP="00F82166">
      <w:pPr>
        <w:pStyle w:val="LB1"/>
      </w:pPr>
      <w:r>
        <w:t>System must perform validations and calculate final score</w:t>
      </w:r>
    </w:p>
    <w:p w14:paraId="0CE17A6A" w14:textId="438214A6" w:rsidR="00267E12" w:rsidRDefault="00267E12" w:rsidP="00F82166">
      <w:pPr>
        <w:pStyle w:val="LB1"/>
      </w:pPr>
      <w:r>
        <w:t xml:space="preserve">System must upload </w:t>
      </w:r>
      <w:r w:rsidR="002D7D4E">
        <w:t xml:space="preserve">DCI </w:t>
      </w:r>
      <w:r>
        <w:t>review results into the DOL SUN system</w:t>
      </w:r>
    </w:p>
    <w:p w14:paraId="4121FE64" w14:textId="77777777" w:rsidR="00267E12" w:rsidRDefault="00267E12">
      <w:pPr>
        <w:pStyle w:val="OB1"/>
      </w:pPr>
      <w:r>
        <w:t>System must provide notification and take appropriate action when:</w:t>
      </w:r>
    </w:p>
    <w:p w14:paraId="502907ED" w14:textId="77777777" w:rsidR="00267E12" w:rsidRDefault="00267E12" w:rsidP="001E784C">
      <w:pPr>
        <w:pStyle w:val="SB1"/>
      </w:pPr>
      <w:r>
        <w:t>An error occurs entering evaluation results</w:t>
      </w:r>
    </w:p>
    <w:p w14:paraId="5121F633" w14:textId="77777777" w:rsidR="00267E12" w:rsidRDefault="00267E12" w:rsidP="001E784C">
      <w:pPr>
        <w:pStyle w:val="SB1"/>
      </w:pPr>
      <w:r>
        <w:t>An error occurs when uploading sample</w:t>
      </w:r>
    </w:p>
    <w:p w14:paraId="1EEED9F9" w14:textId="77777777" w:rsidR="00267E12" w:rsidRDefault="00267E12" w:rsidP="00E16D2D">
      <w:pPr>
        <w:pStyle w:val="LB1"/>
      </w:pPr>
      <w:r>
        <w:t>System must retain history of all BTQ reviews based on business rules</w:t>
      </w:r>
    </w:p>
    <w:p w14:paraId="4C2CD7F5" w14:textId="77777777" w:rsidR="00267E12" w:rsidRDefault="00267E12" w:rsidP="00E16D2D">
      <w:pPr>
        <w:pStyle w:val="LB1"/>
      </w:pPr>
      <w:r>
        <w:t>Operations, Performance, and Management reports</w:t>
      </w:r>
    </w:p>
    <w:p w14:paraId="6F65BC2D" w14:textId="7F315A50" w:rsidR="00267E12" w:rsidRDefault="00F67CDB" w:rsidP="00E16D2D">
      <w:pPr>
        <w:pStyle w:val="OB1"/>
      </w:pPr>
      <w:r>
        <w:t xml:space="preserve">System must allow Staff to </w:t>
      </w:r>
      <w:r w:rsidR="00267E12">
        <w:t>schedule reports to be generated automatically</w:t>
      </w:r>
    </w:p>
    <w:p w14:paraId="2CF0F2F3" w14:textId="621F4C31" w:rsidR="00267E12" w:rsidRDefault="00F67CDB" w:rsidP="00116640">
      <w:pPr>
        <w:pStyle w:val="OB1"/>
      </w:pPr>
      <w:r>
        <w:t xml:space="preserve">System must allow Staff to </w:t>
      </w:r>
      <w:r w:rsidR="00267E12">
        <w:t>run reports on demand</w:t>
      </w:r>
    </w:p>
    <w:p w14:paraId="32A51DA2" w14:textId="60FADC8C" w:rsidR="00267E12" w:rsidRDefault="00267E12" w:rsidP="00F82166">
      <w:pPr>
        <w:pStyle w:val="OB1"/>
      </w:pPr>
      <w:r>
        <w:t xml:space="preserve">System must be able to generate and distribute reports listed in </w:t>
      </w:r>
      <w:hyperlink w:anchor="_Attachment_8_–" w:history="1">
        <w:r w:rsidRPr="001E784C">
          <w:rPr>
            <w:rStyle w:val="Hyperlink"/>
          </w:rPr>
          <w:t xml:space="preserve">Attachment </w:t>
        </w:r>
        <w:r w:rsidR="001E784C" w:rsidRPr="001E784C">
          <w:rPr>
            <w:rStyle w:val="Hyperlink"/>
          </w:rPr>
          <w:t>8</w:t>
        </w:r>
      </w:hyperlink>
    </w:p>
    <w:p w14:paraId="036EA307" w14:textId="77777777" w:rsidR="00267E12" w:rsidRDefault="00267E12" w:rsidP="00F82166">
      <w:pPr>
        <w:pStyle w:val="OB1"/>
      </w:pPr>
      <w:r>
        <w:lastRenderedPageBreak/>
        <w:t>System must allow Staff to develop and schedule ad hoc reports</w:t>
      </w:r>
    </w:p>
    <w:p w14:paraId="4670E87C" w14:textId="77777777" w:rsidR="00267E12" w:rsidRDefault="00267E12">
      <w:pPr>
        <w:pStyle w:val="OB1"/>
      </w:pPr>
      <w:r>
        <w:t>System must collect and track performance metrics</w:t>
      </w:r>
    </w:p>
    <w:p w14:paraId="3CDC2D72" w14:textId="77777777" w:rsidR="00425709" w:rsidRDefault="00267E12">
      <w:pPr>
        <w:pStyle w:val="OB1"/>
      </w:pPr>
      <w:r>
        <w:t>System must integrate reports with dashboards for visual representation of data</w:t>
      </w:r>
    </w:p>
    <w:p w14:paraId="15D0849D" w14:textId="7C680030" w:rsidR="00267E12" w:rsidRDefault="00267E12">
      <w:pPr>
        <w:pStyle w:val="OB1"/>
      </w:pPr>
      <w:r>
        <w:t>System must store and index reports</w:t>
      </w:r>
    </w:p>
    <w:p w14:paraId="5E71B123" w14:textId="31299690" w:rsidR="00267E12" w:rsidRDefault="00267E12" w:rsidP="0059721B"/>
    <w:p w14:paraId="1DAD6547" w14:textId="757888B4" w:rsidR="001E784C" w:rsidRPr="003A23F0" w:rsidRDefault="001E784C" w:rsidP="001E784C">
      <w:pPr>
        <w:rPr>
          <w:u w:val="single"/>
        </w:rPr>
      </w:pPr>
      <w:r w:rsidRPr="003A23F0">
        <w:rPr>
          <w:u w:val="single"/>
        </w:rPr>
        <w:t>Main Activities</w:t>
      </w:r>
      <w:r>
        <w:rPr>
          <w:u w:val="single"/>
        </w:rPr>
        <w:t xml:space="preserve"> – DOL Program Audit Reviews (i.e., DUA, TRA, etc.)</w:t>
      </w:r>
    </w:p>
    <w:p w14:paraId="13401376" w14:textId="0834E9AF" w:rsidR="001E784C" w:rsidRDefault="001E784C" w:rsidP="00E16D2D">
      <w:pPr>
        <w:pStyle w:val="LB1"/>
      </w:pPr>
      <w:r>
        <w:t>System must allow Staff to enter random numbers based upon criteria provided by DOL for DOL program audit</w:t>
      </w:r>
    </w:p>
    <w:p w14:paraId="1C374BAB" w14:textId="147D0DA7" w:rsidR="001E784C" w:rsidRDefault="001E784C" w:rsidP="00E16D2D">
      <w:pPr>
        <w:pStyle w:val="LB1"/>
      </w:pPr>
      <w:r>
        <w:t>System must select universe, then select sample cases from the universe based on the provided criteria and/or numbers provided by DOL or Staff</w:t>
      </w:r>
    </w:p>
    <w:p w14:paraId="105EA2A2" w14:textId="6A4B2A03" w:rsidR="001E784C" w:rsidRDefault="001E784C" w:rsidP="00116640">
      <w:pPr>
        <w:pStyle w:val="LB1"/>
      </w:pPr>
      <w:r>
        <w:t xml:space="preserve">System </w:t>
      </w:r>
      <w:r w:rsidR="004C02F1">
        <w:t xml:space="preserve">must </w:t>
      </w:r>
      <w:r>
        <w:t>retrieve ALL source documents such as</w:t>
      </w:r>
    </w:p>
    <w:p w14:paraId="1991ED95" w14:textId="77777777" w:rsidR="001E784C" w:rsidRDefault="001E784C" w:rsidP="00F82166">
      <w:pPr>
        <w:pStyle w:val="OB1"/>
      </w:pPr>
      <w:r>
        <w:t>Claim specific information</w:t>
      </w:r>
    </w:p>
    <w:p w14:paraId="0E54209C" w14:textId="77777777" w:rsidR="001E784C" w:rsidRDefault="001E784C" w:rsidP="00F82166">
      <w:pPr>
        <w:pStyle w:val="OB1"/>
      </w:pPr>
      <w:r>
        <w:t>Case specific information</w:t>
      </w:r>
    </w:p>
    <w:p w14:paraId="4C73ABFB" w14:textId="77777777" w:rsidR="001E784C" w:rsidRDefault="001E784C">
      <w:pPr>
        <w:pStyle w:val="OB1"/>
      </w:pPr>
      <w:r>
        <w:t>Claimant and Employer claim information</w:t>
      </w:r>
    </w:p>
    <w:p w14:paraId="0C999594" w14:textId="77777777" w:rsidR="001E784C" w:rsidRDefault="001E784C">
      <w:pPr>
        <w:pStyle w:val="OB1"/>
      </w:pPr>
      <w:r>
        <w:t>Etc.</w:t>
      </w:r>
    </w:p>
    <w:p w14:paraId="7B0BF6A0" w14:textId="77777777" w:rsidR="001E784C" w:rsidRDefault="001E784C">
      <w:pPr>
        <w:pStyle w:val="LB1"/>
      </w:pPr>
      <w:r>
        <w:t>System must allow Staff to select source documents and print as needed</w:t>
      </w:r>
    </w:p>
    <w:p w14:paraId="15014A3E" w14:textId="77777777" w:rsidR="001E784C" w:rsidRDefault="001E784C">
      <w:pPr>
        <w:pStyle w:val="LB1"/>
      </w:pPr>
      <w:r>
        <w:t xml:space="preserve">System must allow Staff to view the sample including all sample cases and conduct reviews </w:t>
      </w:r>
    </w:p>
    <w:p w14:paraId="6D89F893" w14:textId="77777777" w:rsidR="001E784C" w:rsidRDefault="001E784C">
      <w:pPr>
        <w:pStyle w:val="OB1"/>
      </w:pPr>
      <w:r>
        <w:t>View sample list</w:t>
      </w:r>
    </w:p>
    <w:p w14:paraId="61120740" w14:textId="77777777" w:rsidR="001E784C" w:rsidRDefault="001E784C">
      <w:pPr>
        <w:pStyle w:val="OB1"/>
      </w:pPr>
      <w:r>
        <w:t>View all cases</w:t>
      </w:r>
    </w:p>
    <w:p w14:paraId="0BAD192A" w14:textId="77777777" w:rsidR="001E784C" w:rsidRDefault="001E784C">
      <w:pPr>
        <w:pStyle w:val="OB1"/>
      </w:pPr>
      <w:r>
        <w:t>Review all documents</w:t>
      </w:r>
    </w:p>
    <w:p w14:paraId="0AAB1DDA" w14:textId="2A3CAE35" w:rsidR="001E784C" w:rsidRDefault="001E784C" w:rsidP="001E784C">
      <w:pPr>
        <w:pStyle w:val="SB1"/>
      </w:pPr>
      <w:r>
        <w:t>Review fact finding (</w:t>
      </w:r>
      <w:r w:rsidR="00930F59">
        <w:t>Claimant</w:t>
      </w:r>
      <w:r>
        <w:t xml:space="preserve">, </w:t>
      </w:r>
      <w:r w:rsidR="00930F59">
        <w:t>Employer</w:t>
      </w:r>
      <w:r>
        <w:t xml:space="preserve"> or other party statements)</w:t>
      </w:r>
    </w:p>
    <w:p w14:paraId="61A4F382" w14:textId="77777777" w:rsidR="001E784C" w:rsidRDefault="001E784C" w:rsidP="001E784C">
      <w:pPr>
        <w:pStyle w:val="SB1"/>
      </w:pPr>
      <w:r>
        <w:t>Employer response information</w:t>
      </w:r>
    </w:p>
    <w:p w14:paraId="101EAEBA" w14:textId="77777777" w:rsidR="001E784C" w:rsidRDefault="001E784C" w:rsidP="001E784C">
      <w:pPr>
        <w:pStyle w:val="SB1"/>
      </w:pPr>
      <w:r>
        <w:t>Claimant information</w:t>
      </w:r>
    </w:p>
    <w:p w14:paraId="0421C9A6" w14:textId="77777777" w:rsidR="001E784C" w:rsidRDefault="001E784C" w:rsidP="001E784C">
      <w:pPr>
        <w:pStyle w:val="SB1"/>
      </w:pPr>
      <w:r>
        <w:t>Claim history</w:t>
      </w:r>
    </w:p>
    <w:p w14:paraId="1F41A200" w14:textId="27619C3D" w:rsidR="001E784C" w:rsidRDefault="001E784C" w:rsidP="001E784C">
      <w:pPr>
        <w:pStyle w:val="SB1"/>
      </w:pPr>
      <w:r>
        <w:t>Address (</w:t>
      </w:r>
      <w:r w:rsidR="00930F59">
        <w:t>Claimant</w:t>
      </w:r>
      <w:r>
        <w:t xml:space="preserve"> and </w:t>
      </w:r>
      <w:r w:rsidR="00930F59">
        <w:t>Employer</w:t>
      </w:r>
      <w:r>
        <w:t>) history</w:t>
      </w:r>
    </w:p>
    <w:p w14:paraId="33F0926C" w14:textId="73C68B19" w:rsidR="001E784C" w:rsidRDefault="001E784C" w:rsidP="001E784C">
      <w:pPr>
        <w:pStyle w:val="SB1"/>
      </w:pPr>
      <w:r>
        <w:t>Correspondence (</w:t>
      </w:r>
      <w:r w:rsidR="00930F59">
        <w:t>Claimant</w:t>
      </w:r>
      <w:r>
        <w:t xml:space="preserve"> and </w:t>
      </w:r>
      <w:r w:rsidR="00930F59">
        <w:t>Employer</w:t>
      </w:r>
      <w:r>
        <w:t>)</w:t>
      </w:r>
    </w:p>
    <w:p w14:paraId="2F2E0A75" w14:textId="77777777" w:rsidR="001E784C" w:rsidRDefault="001E784C" w:rsidP="001E784C">
      <w:pPr>
        <w:pStyle w:val="SB1"/>
      </w:pPr>
      <w:r>
        <w:t>Wage Records</w:t>
      </w:r>
    </w:p>
    <w:p w14:paraId="14540073" w14:textId="77777777" w:rsidR="001E784C" w:rsidRDefault="001E784C" w:rsidP="001E784C">
      <w:pPr>
        <w:pStyle w:val="SB1"/>
      </w:pPr>
      <w:r>
        <w:t>Etc.</w:t>
      </w:r>
    </w:p>
    <w:p w14:paraId="75A1FC5D" w14:textId="77777777" w:rsidR="001E784C" w:rsidRDefault="001E784C" w:rsidP="00E16D2D">
      <w:pPr>
        <w:pStyle w:val="OB1"/>
      </w:pPr>
      <w:r>
        <w:t>Search, sort, and filter source documents</w:t>
      </w:r>
    </w:p>
    <w:p w14:paraId="625B6BA7" w14:textId="77777777" w:rsidR="001E784C" w:rsidRDefault="001E784C" w:rsidP="00E16D2D">
      <w:pPr>
        <w:pStyle w:val="LB1"/>
      </w:pPr>
      <w:r>
        <w:t>Operations, Performance, and Management reports</w:t>
      </w:r>
    </w:p>
    <w:p w14:paraId="683DC6D9" w14:textId="4ED22CD3" w:rsidR="001E784C" w:rsidRDefault="00F67CDB" w:rsidP="00116640">
      <w:pPr>
        <w:pStyle w:val="OB1"/>
      </w:pPr>
      <w:r>
        <w:t xml:space="preserve">System must allow Staff to </w:t>
      </w:r>
      <w:r w:rsidR="001E784C">
        <w:t>schedule reports to be generated automatically</w:t>
      </w:r>
    </w:p>
    <w:p w14:paraId="2502633A" w14:textId="46E23057" w:rsidR="001E784C" w:rsidRDefault="00F67CDB" w:rsidP="00F82166">
      <w:pPr>
        <w:pStyle w:val="OB1"/>
      </w:pPr>
      <w:r>
        <w:t xml:space="preserve">System must allow Staff to </w:t>
      </w:r>
      <w:r w:rsidR="001E784C">
        <w:t>run reports on demand</w:t>
      </w:r>
    </w:p>
    <w:p w14:paraId="67A56D3A" w14:textId="5B761687" w:rsidR="001E784C" w:rsidRDefault="001E6FDE" w:rsidP="00F82166">
      <w:pPr>
        <w:pStyle w:val="OB1"/>
      </w:pPr>
      <w:r>
        <w:t xml:space="preserve">System must be able to generate and distribute reports listed in </w:t>
      </w:r>
      <w:hyperlink w:anchor="_Attachment_8_–" w:history="1">
        <w:r w:rsidRPr="001E784C">
          <w:rPr>
            <w:rStyle w:val="Hyperlink"/>
          </w:rPr>
          <w:t>Attachment 8</w:t>
        </w:r>
      </w:hyperlink>
    </w:p>
    <w:p w14:paraId="505C3D02" w14:textId="77777777" w:rsidR="001E784C" w:rsidRDefault="001E784C" w:rsidP="00F82166">
      <w:pPr>
        <w:pStyle w:val="OB1"/>
      </w:pPr>
      <w:r>
        <w:t>System must allow Staff to develop and schedule ad hoc reports</w:t>
      </w:r>
    </w:p>
    <w:p w14:paraId="7D9D67FD" w14:textId="77777777" w:rsidR="001E784C" w:rsidRDefault="001E784C">
      <w:pPr>
        <w:pStyle w:val="OB1"/>
      </w:pPr>
      <w:r>
        <w:t>System must collect and track performance metrics</w:t>
      </w:r>
    </w:p>
    <w:p w14:paraId="58A66029" w14:textId="77777777" w:rsidR="00425709" w:rsidRDefault="001E784C">
      <w:pPr>
        <w:pStyle w:val="OB1"/>
      </w:pPr>
      <w:r>
        <w:t>System must integrate reports with dashboards for visual representation of data</w:t>
      </w:r>
    </w:p>
    <w:p w14:paraId="20131E3A" w14:textId="0E9A8328" w:rsidR="001E784C" w:rsidRDefault="001E784C">
      <w:pPr>
        <w:pStyle w:val="OB1"/>
      </w:pPr>
      <w:r>
        <w:lastRenderedPageBreak/>
        <w:t>System must store and index reports</w:t>
      </w:r>
    </w:p>
    <w:p w14:paraId="2381D05B" w14:textId="1DBD445E" w:rsidR="001E784C" w:rsidRDefault="001E784C" w:rsidP="0059721B"/>
    <w:p w14:paraId="24DE5476" w14:textId="5BB0B634" w:rsidR="001530F6" w:rsidRPr="003A23F0" w:rsidRDefault="001530F6" w:rsidP="001530F6">
      <w:pPr>
        <w:rPr>
          <w:u w:val="single"/>
        </w:rPr>
      </w:pPr>
      <w:r w:rsidRPr="003A23F0">
        <w:rPr>
          <w:u w:val="single"/>
        </w:rPr>
        <w:t>Main Activities</w:t>
      </w:r>
      <w:r>
        <w:rPr>
          <w:u w:val="single"/>
        </w:rPr>
        <w:t xml:space="preserve"> – </w:t>
      </w:r>
      <w:r w:rsidR="004C02F1">
        <w:rPr>
          <w:u w:val="single"/>
        </w:rPr>
        <w:t>Tele-Center</w:t>
      </w:r>
      <w:r>
        <w:rPr>
          <w:u w:val="single"/>
        </w:rPr>
        <w:t xml:space="preserve"> Monthly Audit Reviews (Score the Scorer)</w:t>
      </w:r>
    </w:p>
    <w:p w14:paraId="7915F7F2" w14:textId="77777777" w:rsidR="001530F6" w:rsidRDefault="001530F6" w:rsidP="00E16D2D">
      <w:pPr>
        <w:pStyle w:val="LB1"/>
      </w:pPr>
      <w:r>
        <w:t xml:space="preserve">System must allow Staff to enter sample selection criteria provided by Staff into System </w:t>
      </w:r>
    </w:p>
    <w:p w14:paraId="5AD6009D" w14:textId="58A31AF5" w:rsidR="001530F6" w:rsidRDefault="001530F6" w:rsidP="00E16D2D">
      <w:pPr>
        <w:pStyle w:val="LB1"/>
      </w:pPr>
      <w:r>
        <w:t xml:space="preserve">System </w:t>
      </w:r>
      <w:r w:rsidR="004C02F1">
        <w:t xml:space="preserve">must </w:t>
      </w:r>
      <w:r>
        <w:t>select universe, then select monthly sample evaluations from the universe</w:t>
      </w:r>
    </w:p>
    <w:p w14:paraId="5EE2710F" w14:textId="52F75816" w:rsidR="001530F6" w:rsidRDefault="001530F6" w:rsidP="00116640">
      <w:pPr>
        <w:pStyle w:val="LB1"/>
      </w:pPr>
      <w:r>
        <w:t xml:space="preserve">System </w:t>
      </w:r>
      <w:r w:rsidR="004C02F1">
        <w:t xml:space="preserve">must </w:t>
      </w:r>
      <w:r>
        <w:t>retrieve sample evaluation forms</w:t>
      </w:r>
    </w:p>
    <w:p w14:paraId="3018271D" w14:textId="739CD70F" w:rsidR="001530F6" w:rsidRDefault="001530F6" w:rsidP="00F82166">
      <w:pPr>
        <w:pStyle w:val="LB1"/>
      </w:pPr>
      <w:r>
        <w:t xml:space="preserve">System </w:t>
      </w:r>
      <w:r w:rsidR="004C02F1">
        <w:t xml:space="preserve">must </w:t>
      </w:r>
      <w:r>
        <w:t>retrieve ALL source documents for cases associated with sample evaluations such as</w:t>
      </w:r>
    </w:p>
    <w:p w14:paraId="29A15522" w14:textId="77777777" w:rsidR="001530F6" w:rsidRDefault="001530F6" w:rsidP="00F82166">
      <w:pPr>
        <w:pStyle w:val="OB1"/>
      </w:pPr>
      <w:r>
        <w:t>Case specific information</w:t>
      </w:r>
    </w:p>
    <w:p w14:paraId="2D4BCBC6" w14:textId="77777777" w:rsidR="001530F6" w:rsidRDefault="001530F6">
      <w:pPr>
        <w:pStyle w:val="OB1"/>
      </w:pPr>
      <w:r>
        <w:t>Claimant and Employer claim information</w:t>
      </w:r>
    </w:p>
    <w:p w14:paraId="4FD53D46" w14:textId="77777777" w:rsidR="001530F6" w:rsidRDefault="001530F6">
      <w:pPr>
        <w:pStyle w:val="OB1"/>
      </w:pPr>
      <w:r>
        <w:t>Etc.</w:t>
      </w:r>
    </w:p>
    <w:p w14:paraId="429C982C" w14:textId="77777777" w:rsidR="001530F6" w:rsidRDefault="001530F6">
      <w:pPr>
        <w:pStyle w:val="LB1"/>
      </w:pPr>
      <w:r>
        <w:t xml:space="preserve">System must allow Staff to view the sample including all sample evaluations and cases and conduct reviews </w:t>
      </w:r>
    </w:p>
    <w:p w14:paraId="0C869F7D" w14:textId="77777777" w:rsidR="001530F6" w:rsidRDefault="001530F6">
      <w:pPr>
        <w:pStyle w:val="OB1"/>
      </w:pPr>
      <w:r>
        <w:t>View sample list</w:t>
      </w:r>
    </w:p>
    <w:p w14:paraId="23A1272C" w14:textId="77777777" w:rsidR="001530F6" w:rsidRDefault="001530F6">
      <w:pPr>
        <w:pStyle w:val="OB1"/>
      </w:pPr>
      <w:r>
        <w:t>View all evaluation forms</w:t>
      </w:r>
    </w:p>
    <w:p w14:paraId="786895A1" w14:textId="77777777" w:rsidR="001530F6" w:rsidRDefault="001530F6">
      <w:pPr>
        <w:pStyle w:val="OB1"/>
      </w:pPr>
      <w:r>
        <w:t>View all cases associated with sample evaluations</w:t>
      </w:r>
    </w:p>
    <w:p w14:paraId="5F4128BD" w14:textId="77777777" w:rsidR="001530F6" w:rsidRDefault="001530F6">
      <w:pPr>
        <w:pStyle w:val="OB1"/>
      </w:pPr>
      <w:r>
        <w:t>Review all documents</w:t>
      </w:r>
    </w:p>
    <w:p w14:paraId="61C4C030" w14:textId="77777777" w:rsidR="001530F6" w:rsidRDefault="001530F6" w:rsidP="001530F6">
      <w:pPr>
        <w:pStyle w:val="SB1"/>
      </w:pPr>
      <w:r>
        <w:t>Review fact finding</w:t>
      </w:r>
    </w:p>
    <w:p w14:paraId="540DCFFF" w14:textId="77777777" w:rsidR="001530F6" w:rsidRDefault="001530F6" w:rsidP="001530F6">
      <w:pPr>
        <w:pStyle w:val="SB1"/>
      </w:pPr>
      <w:r>
        <w:t>Employer response information</w:t>
      </w:r>
    </w:p>
    <w:p w14:paraId="30F14C52" w14:textId="77777777" w:rsidR="001530F6" w:rsidRDefault="001530F6" w:rsidP="001530F6">
      <w:pPr>
        <w:pStyle w:val="SB1"/>
      </w:pPr>
      <w:r>
        <w:t>Claimant information</w:t>
      </w:r>
    </w:p>
    <w:p w14:paraId="3409A1BC" w14:textId="77777777" w:rsidR="001530F6" w:rsidRDefault="001530F6" w:rsidP="001530F6">
      <w:pPr>
        <w:pStyle w:val="SB1"/>
      </w:pPr>
      <w:r>
        <w:t>Claim history</w:t>
      </w:r>
    </w:p>
    <w:p w14:paraId="708E68C2" w14:textId="336090E7" w:rsidR="001530F6" w:rsidRDefault="001530F6" w:rsidP="001530F6">
      <w:pPr>
        <w:pStyle w:val="SB1"/>
      </w:pPr>
      <w:r>
        <w:t>Address (</w:t>
      </w:r>
      <w:r w:rsidR="00930F59">
        <w:t>Claimant</w:t>
      </w:r>
      <w:r>
        <w:t xml:space="preserve"> and </w:t>
      </w:r>
      <w:r w:rsidR="00930F59">
        <w:t>Employer</w:t>
      </w:r>
      <w:r>
        <w:t>) history</w:t>
      </w:r>
    </w:p>
    <w:p w14:paraId="127DBA6A" w14:textId="22F1640C" w:rsidR="007F7E75" w:rsidRDefault="001530F6" w:rsidP="001530F6">
      <w:pPr>
        <w:pStyle w:val="SB1"/>
      </w:pPr>
      <w:r>
        <w:t>Correspondence (</w:t>
      </w:r>
      <w:r w:rsidR="00930F59">
        <w:t>Claimant</w:t>
      </w:r>
      <w:r>
        <w:t xml:space="preserve"> and </w:t>
      </w:r>
      <w:r w:rsidR="00930F59">
        <w:t>Employer</w:t>
      </w:r>
      <w:r>
        <w:t xml:space="preserve">) </w:t>
      </w:r>
    </w:p>
    <w:p w14:paraId="2255D4E9" w14:textId="00E2A918" w:rsidR="001530F6" w:rsidRDefault="001530F6" w:rsidP="001530F6">
      <w:pPr>
        <w:pStyle w:val="SB1"/>
      </w:pPr>
      <w:r>
        <w:t>Etc.</w:t>
      </w:r>
    </w:p>
    <w:p w14:paraId="51D5C0FD" w14:textId="77777777" w:rsidR="001530F6" w:rsidRDefault="001530F6" w:rsidP="00E16D2D">
      <w:pPr>
        <w:pStyle w:val="OB1"/>
      </w:pPr>
      <w:r>
        <w:t>Search, sort, and filter source documents</w:t>
      </w:r>
    </w:p>
    <w:p w14:paraId="10599BA8" w14:textId="77777777" w:rsidR="001530F6" w:rsidRDefault="001530F6" w:rsidP="00E16D2D">
      <w:pPr>
        <w:pStyle w:val="LB1"/>
      </w:pPr>
      <w:r>
        <w:t>System must allow Staff to record review results on an online/in-system evaluation form</w:t>
      </w:r>
      <w:r w:rsidRPr="00B97887">
        <w:t xml:space="preserve"> </w:t>
      </w:r>
    </w:p>
    <w:p w14:paraId="58B5252A" w14:textId="77777777" w:rsidR="001530F6" w:rsidRDefault="001530F6" w:rsidP="00116640">
      <w:pPr>
        <w:pStyle w:val="OB1"/>
      </w:pPr>
      <w:r>
        <w:t>System must perform validations and calculate final score</w:t>
      </w:r>
    </w:p>
    <w:p w14:paraId="385FB1BF" w14:textId="77777777" w:rsidR="001530F6" w:rsidRDefault="001530F6" w:rsidP="00F82166">
      <w:pPr>
        <w:pStyle w:val="LB1"/>
      </w:pPr>
      <w:r>
        <w:t>System must be able to produce evaluation forms for all reviewed evaluations and allow staff to:</w:t>
      </w:r>
    </w:p>
    <w:p w14:paraId="4A32BF08" w14:textId="77777777" w:rsidR="001530F6" w:rsidRDefault="001530F6" w:rsidP="00F82166">
      <w:pPr>
        <w:pStyle w:val="OB1"/>
      </w:pPr>
      <w:r>
        <w:t>View</w:t>
      </w:r>
    </w:p>
    <w:p w14:paraId="17D77D29" w14:textId="77777777" w:rsidR="001530F6" w:rsidRDefault="001530F6">
      <w:pPr>
        <w:pStyle w:val="OB1"/>
      </w:pPr>
      <w:r>
        <w:t>Modify (based on permissions)</w:t>
      </w:r>
    </w:p>
    <w:p w14:paraId="40E94CE9" w14:textId="77777777" w:rsidR="001530F6" w:rsidRDefault="001530F6">
      <w:pPr>
        <w:pStyle w:val="OB1"/>
      </w:pPr>
      <w:r>
        <w:t>Print as needed</w:t>
      </w:r>
    </w:p>
    <w:p w14:paraId="51385744" w14:textId="77777777" w:rsidR="001530F6" w:rsidRDefault="001530F6">
      <w:pPr>
        <w:pStyle w:val="LB1"/>
      </w:pPr>
      <w:r>
        <w:t>System must retain history of all Audit reviews based on business rules</w:t>
      </w:r>
    </w:p>
    <w:p w14:paraId="7978B69F" w14:textId="77777777" w:rsidR="001530F6" w:rsidRDefault="001530F6">
      <w:pPr>
        <w:pStyle w:val="LB1"/>
      </w:pPr>
      <w:r>
        <w:t>System must allow Staff to request a review of the evaluation results.</w:t>
      </w:r>
    </w:p>
    <w:p w14:paraId="2702F9AF" w14:textId="09BA6D3E" w:rsidR="001530F6" w:rsidRDefault="001530F6">
      <w:pPr>
        <w:pStyle w:val="OB1"/>
      </w:pPr>
      <w:r>
        <w:t>System must provide a place for the requestor to provide an explanation for the review request</w:t>
      </w:r>
    </w:p>
    <w:p w14:paraId="3831753B" w14:textId="1ECF8ECB" w:rsidR="001530F6" w:rsidRDefault="001530F6">
      <w:pPr>
        <w:pStyle w:val="OB1"/>
      </w:pPr>
      <w:r>
        <w:lastRenderedPageBreak/>
        <w:t>System must send the request to designated staff</w:t>
      </w:r>
    </w:p>
    <w:p w14:paraId="5C6B3D49" w14:textId="1D1B07DC" w:rsidR="001530F6" w:rsidRDefault="001530F6">
      <w:pPr>
        <w:pStyle w:val="OB1"/>
      </w:pPr>
      <w:r>
        <w:t>System must allow staff to respond to requestor</w:t>
      </w:r>
    </w:p>
    <w:p w14:paraId="191B0618" w14:textId="77777777" w:rsidR="001530F6" w:rsidRDefault="001530F6">
      <w:pPr>
        <w:pStyle w:val="OB1"/>
      </w:pPr>
      <w:r>
        <w:t xml:space="preserve">System must allow staff to change the original score or disregard the evaluation results (i.e. coaching) </w:t>
      </w:r>
    </w:p>
    <w:p w14:paraId="3CC581C3" w14:textId="77777777" w:rsidR="001530F6" w:rsidRDefault="001530F6">
      <w:pPr>
        <w:pStyle w:val="LB1"/>
      </w:pPr>
      <w:r>
        <w:t>Operations, Performance, and Management reports</w:t>
      </w:r>
    </w:p>
    <w:p w14:paraId="000FF4C7" w14:textId="66461D74" w:rsidR="001530F6" w:rsidRDefault="00F67CDB">
      <w:pPr>
        <w:pStyle w:val="OB1"/>
      </w:pPr>
      <w:r>
        <w:t xml:space="preserve">System must allow Staff to </w:t>
      </w:r>
      <w:r w:rsidR="001530F6">
        <w:t>schedule reports to be generated automatically</w:t>
      </w:r>
    </w:p>
    <w:p w14:paraId="7F2E2F16" w14:textId="4CFC64AF" w:rsidR="001530F6" w:rsidRDefault="00F67CDB">
      <w:pPr>
        <w:pStyle w:val="OB1"/>
      </w:pPr>
      <w:r>
        <w:t xml:space="preserve">System must allow Staff to </w:t>
      </w:r>
      <w:r w:rsidR="001530F6">
        <w:t>run reports on demand</w:t>
      </w:r>
    </w:p>
    <w:p w14:paraId="29D1530F" w14:textId="2E228FAF" w:rsidR="001530F6" w:rsidRDefault="001530F6">
      <w:pPr>
        <w:pStyle w:val="OB1"/>
      </w:pPr>
      <w:r>
        <w:t xml:space="preserve">System must be able to generate and distribute reports listed in </w:t>
      </w:r>
      <w:hyperlink w:anchor="_Attachment_8_–" w:history="1">
        <w:r w:rsidRPr="001E784C">
          <w:rPr>
            <w:rStyle w:val="Hyperlink"/>
          </w:rPr>
          <w:t>Attachment 8</w:t>
        </w:r>
      </w:hyperlink>
    </w:p>
    <w:p w14:paraId="5E6C357F" w14:textId="77777777" w:rsidR="001530F6" w:rsidRDefault="001530F6">
      <w:pPr>
        <w:pStyle w:val="OB1"/>
      </w:pPr>
      <w:r>
        <w:t>System must allow Staff to develop and schedule ad hoc reports</w:t>
      </w:r>
    </w:p>
    <w:p w14:paraId="784D3B2D" w14:textId="77777777" w:rsidR="001530F6" w:rsidRDefault="001530F6">
      <w:pPr>
        <w:pStyle w:val="OB1"/>
      </w:pPr>
      <w:r>
        <w:t>System must collect and track performance metrics</w:t>
      </w:r>
    </w:p>
    <w:p w14:paraId="135A0A02" w14:textId="77777777" w:rsidR="001530F6" w:rsidRDefault="001530F6">
      <w:pPr>
        <w:pStyle w:val="OB1"/>
      </w:pPr>
      <w:r>
        <w:t>System must integrate reports with dashboards for visual representation of data</w:t>
      </w:r>
    </w:p>
    <w:p w14:paraId="00F49442" w14:textId="5EC7000E" w:rsidR="001530F6" w:rsidRDefault="001530F6">
      <w:pPr>
        <w:pStyle w:val="OB1"/>
      </w:pPr>
      <w:r>
        <w:t>System must store and index reports</w:t>
      </w:r>
    </w:p>
    <w:p w14:paraId="2689E97A" w14:textId="33F47A86" w:rsidR="001530F6" w:rsidRDefault="001530F6" w:rsidP="001530F6"/>
    <w:p w14:paraId="0616CA13" w14:textId="61593B56" w:rsidR="001530F6" w:rsidRPr="003A23F0" w:rsidRDefault="001530F6" w:rsidP="001530F6">
      <w:pPr>
        <w:rPr>
          <w:u w:val="single"/>
        </w:rPr>
      </w:pPr>
      <w:r w:rsidRPr="003A23F0">
        <w:rPr>
          <w:u w:val="single"/>
        </w:rPr>
        <w:t>Main Activities</w:t>
      </w:r>
      <w:r>
        <w:rPr>
          <w:u w:val="single"/>
        </w:rPr>
        <w:t xml:space="preserve"> – </w:t>
      </w:r>
      <w:r w:rsidR="004C02F1">
        <w:rPr>
          <w:u w:val="single"/>
        </w:rPr>
        <w:t>Tele-Center</w:t>
      </w:r>
      <w:r w:rsidR="00511467">
        <w:rPr>
          <w:u w:val="single"/>
        </w:rPr>
        <w:t>/Special Program Monthly Non-Monetary Evaluation Reviews</w:t>
      </w:r>
    </w:p>
    <w:p w14:paraId="0DBAED83" w14:textId="77777777" w:rsidR="00511467" w:rsidRDefault="00511467" w:rsidP="00E16D2D">
      <w:pPr>
        <w:pStyle w:val="LB1"/>
      </w:pPr>
      <w:r>
        <w:t xml:space="preserve">System must allow Staff to enter sample selection criteria provided by Staff into System </w:t>
      </w:r>
    </w:p>
    <w:p w14:paraId="57366E11" w14:textId="67EF2C34" w:rsidR="00511467" w:rsidRDefault="00511467" w:rsidP="00E16D2D">
      <w:pPr>
        <w:pStyle w:val="LB1"/>
      </w:pPr>
      <w:r>
        <w:t xml:space="preserve">System </w:t>
      </w:r>
      <w:r w:rsidR="004C02F1">
        <w:t xml:space="preserve">must </w:t>
      </w:r>
      <w:r>
        <w:t>select universe, then randomly select monthly sample cases from the universe based on sample selection criteria provided by Staff</w:t>
      </w:r>
    </w:p>
    <w:p w14:paraId="5E2953D9" w14:textId="227D4261" w:rsidR="00511467" w:rsidRDefault="00511467" w:rsidP="00116640">
      <w:pPr>
        <w:pStyle w:val="LB1"/>
      </w:pPr>
      <w:r>
        <w:t xml:space="preserve">System </w:t>
      </w:r>
      <w:r w:rsidR="004C02F1">
        <w:t xml:space="preserve">must </w:t>
      </w:r>
      <w:r>
        <w:t>retrieve ALL source documents such as</w:t>
      </w:r>
    </w:p>
    <w:p w14:paraId="72828538" w14:textId="77777777" w:rsidR="00511467" w:rsidRDefault="00511467" w:rsidP="00F82166">
      <w:pPr>
        <w:pStyle w:val="OB1"/>
      </w:pPr>
      <w:r>
        <w:t>Case specific information</w:t>
      </w:r>
    </w:p>
    <w:p w14:paraId="143DA9EF" w14:textId="77777777" w:rsidR="00511467" w:rsidRDefault="00511467" w:rsidP="00F82166">
      <w:pPr>
        <w:pStyle w:val="OB1"/>
      </w:pPr>
      <w:r>
        <w:t>Claimant and Employer claim information</w:t>
      </w:r>
    </w:p>
    <w:p w14:paraId="1CAD0194" w14:textId="77777777" w:rsidR="00511467" w:rsidRDefault="00511467">
      <w:pPr>
        <w:pStyle w:val="OB1"/>
      </w:pPr>
      <w:r>
        <w:t>Etc.</w:t>
      </w:r>
    </w:p>
    <w:p w14:paraId="342256BE" w14:textId="77777777" w:rsidR="00511467" w:rsidRDefault="00511467">
      <w:pPr>
        <w:pStyle w:val="LB1"/>
      </w:pPr>
      <w:r>
        <w:t xml:space="preserve">System must allow Staff to view the sample including all sample cases and conduct reviews </w:t>
      </w:r>
    </w:p>
    <w:p w14:paraId="246697E8" w14:textId="77777777" w:rsidR="00511467" w:rsidRDefault="00511467">
      <w:pPr>
        <w:pStyle w:val="OB1"/>
      </w:pPr>
      <w:r>
        <w:t>View sample list</w:t>
      </w:r>
    </w:p>
    <w:p w14:paraId="0EDE73CE" w14:textId="77777777" w:rsidR="00511467" w:rsidRDefault="00511467">
      <w:pPr>
        <w:pStyle w:val="OB1"/>
      </w:pPr>
      <w:r>
        <w:t>View all cases</w:t>
      </w:r>
    </w:p>
    <w:p w14:paraId="070D551F" w14:textId="77777777" w:rsidR="00511467" w:rsidRDefault="00511467">
      <w:pPr>
        <w:pStyle w:val="OB1"/>
      </w:pPr>
      <w:r>
        <w:t>Review all documents</w:t>
      </w:r>
    </w:p>
    <w:p w14:paraId="25872AFB" w14:textId="77777777" w:rsidR="00511467" w:rsidRDefault="00511467" w:rsidP="00511467">
      <w:pPr>
        <w:pStyle w:val="SB1"/>
      </w:pPr>
      <w:r>
        <w:t>Review fact finding</w:t>
      </w:r>
    </w:p>
    <w:p w14:paraId="4D8892CF" w14:textId="77777777" w:rsidR="00511467" w:rsidRDefault="00511467" w:rsidP="00511467">
      <w:pPr>
        <w:pStyle w:val="SB1"/>
      </w:pPr>
      <w:r>
        <w:t>Employer response information</w:t>
      </w:r>
    </w:p>
    <w:p w14:paraId="0B74EED0" w14:textId="77777777" w:rsidR="00511467" w:rsidRDefault="00511467" w:rsidP="00511467">
      <w:pPr>
        <w:pStyle w:val="SB1"/>
      </w:pPr>
      <w:r>
        <w:t>Claimant information</w:t>
      </w:r>
    </w:p>
    <w:p w14:paraId="1FFA4C59" w14:textId="77777777" w:rsidR="00511467" w:rsidRDefault="00511467" w:rsidP="00511467">
      <w:pPr>
        <w:pStyle w:val="SB1"/>
      </w:pPr>
      <w:r>
        <w:t>Claim history</w:t>
      </w:r>
    </w:p>
    <w:p w14:paraId="604FC14E" w14:textId="5D378083" w:rsidR="00511467" w:rsidRDefault="00511467" w:rsidP="00511467">
      <w:pPr>
        <w:pStyle w:val="SB1"/>
      </w:pPr>
      <w:r>
        <w:t>Address (</w:t>
      </w:r>
      <w:r w:rsidR="00930F59">
        <w:t>Claimant</w:t>
      </w:r>
      <w:r>
        <w:t xml:space="preserve"> and </w:t>
      </w:r>
      <w:r w:rsidR="00930F59">
        <w:t>Employer</w:t>
      </w:r>
      <w:r>
        <w:t>) history</w:t>
      </w:r>
    </w:p>
    <w:p w14:paraId="6EB7B868" w14:textId="52CC0CC4" w:rsidR="00511467" w:rsidRDefault="00511467" w:rsidP="00511467">
      <w:pPr>
        <w:pStyle w:val="SB1"/>
      </w:pPr>
      <w:r>
        <w:t>Correspondence (</w:t>
      </w:r>
      <w:r w:rsidR="00930F59">
        <w:t>Claimant</w:t>
      </w:r>
      <w:r>
        <w:t xml:space="preserve"> and </w:t>
      </w:r>
      <w:r w:rsidR="00930F59">
        <w:t>Employer</w:t>
      </w:r>
      <w:r>
        <w:t>)</w:t>
      </w:r>
    </w:p>
    <w:p w14:paraId="192A5D47" w14:textId="77777777" w:rsidR="00511467" w:rsidRDefault="00511467" w:rsidP="00511467">
      <w:pPr>
        <w:pStyle w:val="SB1"/>
      </w:pPr>
      <w:r>
        <w:t>Etc.</w:t>
      </w:r>
    </w:p>
    <w:p w14:paraId="09492B10" w14:textId="77777777" w:rsidR="00511467" w:rsidRDefault="00511467" w:rsidP="00E16D2D">
      <w:pPr>
        <w:pStyle w:val="OB1"/>
      </w:pPr>
      <w:r>
        <w:t>Search, sort, and filter source documents</w:t>
      </w:r>
    </w:p>
    <w:p w14:paraId="5705B61D" w14:textId="77777777" w:rsidR="00511467" w:rsidRDefault="00511467" w:rsidP="00E16D2D">
      <w:pPr>
        <w:pStyle w:val="LB1"/>
      </w:pPr>
      <w:r>
        <w:t>System must allow Staff to record review results on an online/in-system evaluation form.</w:t>
      </w:r>
    </w:p>
    <w:p w14:paraId="1128644F" w14:textId="77777777" w:rsidR="00511467" w:rsidRDefault="00511467" w:rsidP="00116640">
      <w:pPr>
        <w:pStyle w:val="OB1"/>
      </w:pPr>
      <w:r>
        <w:lastRenderedPageBreak/>
        <w:t>System must perform validations and calculate final score</w:t>
      </w:r>
    </w:p>
    <w:p w14:paraId="559CE225" w14:textId="77777777" w:rsidR="00511467" w:rsidRDefault="00511467" w:rsidP="00F82166">
      <w:pPr>
        <w:pStyle w:val="LB1"/>
      </w:pPr>
      <w:r>
        <w:t>System must be able to produce evaluation forms for all reviewed cases and allow staff to:</w:t>
      </w:r>
    </w:p>
    <w:p w14:paraId="7E9C8F29" w14:textId="77777777" w:rsidR="00511467" w:rsidRDefault="00511467" w:rsidP="00F82166">
      <w:pPr>
        <w:pStyle w:val="OB1"/>
      </w:pPr>
      <w:r>
        <w:t>View</w:t>
      </w:r>
    </w:p>
    <w:p w14:paraId="572D2369" w14:textId="77777777" w:rsidR="00511467" w:rsidRDefault="00511467">
      <w:pPr>
        <w:pStyle w:val="OB1"/>
      </w:pPr>
      <w:r>
        <w:t>Modify (based on permissions)</w:t>
      </w:r>
    </w:p>
    <w:p w14:paraId="79B4555F" w14:textId="77777777" w:rsidR="00511467" w:rsidRDefault="00511467">
      <w:pPr>
        <w:pStyle w:val="OB1"/>
      </w:pPr>
      <w:r>
        <w:t>Print as needed</w:t>
      </w:r>
    </w:p>
    <w:p w14:paraId="163C22BD" w14:textId="77777777" w:rsidR="00511467" w:rsidRDefault="00511467">
      <w:pPr>
        <w:pStyle w:val="LB1"/>
      </w:pPr>
      <w:r>
        <w:t>System must retain history of all evaluations based on business rules</w:t>
      </w:r>
    </w:p>
    <w:p w14:paraId="1C0D5EA4" w14:textId="77777777" w:rsidR="00511467" w:rsidRDefault="00511467">
      <w:pPr>
        <w:pStyle w:val="LB1"/>
      </w:pPr>
      <w:r>
        <w:t>System must allow Staff to request a review of the evaluation results.</w:t>
      </w:r>
    </w:p>
    <w:p w14:paraId="47F472F9" w14:textId="5DE9AF84" w:rsidR="00511467" w:rsidRDefault="00511467">
      <w:pPr>
        <w:pStyle w:val="OB1"/>
      </w:pPr>
      <w:r>
        <w:t>System must provide a place for the requestor to provide an explanation for the review request</w:t>
      </w:r>
    </w:p>
    <w:p w14:paraId="07EB998B" w14:textId="711F8628" w:rsidR="00511467" w:rsidRDefault="00511467">
      <w:pPr>
        <w:pStyle w:val="OB1"/>
      </w:pPr>
      <w:r>
        <w:t>System must send the request to designated staff</w:t>
      </w:r>
    </w:p>
    <w:p w14:paraId="746E303A" w14:textId="62E874FC" w:rsidR="00511467" w:rsidRDefault="00511467">
      <w:pPr>
        <w:pStyle w:val="OB1"/>
      </w:pPr>
      <w:r>
        <w:t>System must allow staff to respond to requestor</w:t>
      </w:r>
    </w:p>
    <w:p w14:paraId="423D0CE4" w14:textId="77777777" w:rsidR="00511467" w:rsidRDefault="00511467">
      <w:pPr>
        <w:pStyle w:val="OB1"/>
      </w:pPr>
      <w:r>
        <w:t xml:space="preserve">System must allow staff to change the original score or disregard the evaluation results (i.e. coaching) </w:t>
      </w:r>
    </w:p>
    <w:p w14:paraId="3B246F5B" w14:textId="77777777" w:rsidR="00511467" w:rsidRDefault="00511467">
      <w:pPr>
        <w:pStyle w:val="LB1"/>
      </w:pPr>
      <w:r>
        <w:t>Operations, Performance, and Management reports</w:t>
      </w:r>
    </w:p>
    <w:p w14:paraId="7FD0B871" w14:textId="5DE7E678" w:rsidR="00511467" w:rsidRDefault="00F67CDB">
      <w:pPr>
        <w:pStyle w:val="OB1"/>
      </w:pPr>
      <w:r>
        <w:t xml:space="preserve">System must allow Staff to </w:t>
      </w:r>
      <w:r w:rsidR="00511467">
        <w:t>schedule reports to be generated automatically</w:t>
      </w:r>
    </w:p>
    <w:p w14:paraId="0540C4B6" w14:textId="093B2FA7" w:rsidR="00511467" w:rsidRDefault="00F67CDB">
      <w:pPr>
        <w:pStyle w:val="OB1"/>
      </w:pPr>
      <w:r>
        <w:t xml:space="preserve">System must allow Staff to </w:t>
      </w:r>
      <w:r w:rsidR="00511467">
        <w:t>run reports on demand</w:t>
      </w:r>
    </w:p>
    <w:p w14:paraId="20C71EC2" w14:textId="5373888A" w:rsidR="00511467" w:rsidRDefault="00511467">
      <w:pPr>
        <w:pStyle w:val="OB1"/>
      </w:pPr>
      <w:r>
        <w:t xml:space="preserve">System must be able to generate and distribute reports listed in </w:t>
      </w:r>
      <w:hyperlink w:anchor="_Attachment_8_–" w:history="1">
        <w:r w:rsidRPr="001E784C">
          <w:rPr>
            <w:rStyle w:val="Hyperlink"/>
          </w:rPr>
          <w:t>Attachment 8</w:t>
        </w:r>
      </w:hyperlink>
    </w:p>
    <w:p w14:paraId="11F3CB80" w14:textId="77777777" w:rsidR="00511467" w:rsidRDefault="00511467">
      <w:pPr>
        <w:pStyle w:val="OB1"/>
      </w:pPr>
      <w:r>
        <w:t>System must allow Staff to develop and schedule ad hoc reports</w:t>
      </w:r>
    </w:p>
    <w:p w14:paraId="50D2AADE" w14:textId="77777777" w:rsidR="00511467" w:rsidRDefault="00511467">
      <w:pPr>
        <w:pStyle w:val="OB1"/>
      </w:pPr>
      <w:r>
        <w:t>System must collect and track performance metrics</w:t>
      </w:r>
    </w:p>
    <w:p w14:paraId="6C370263" w14:textId="77777777" w:rsidR="00511467" w:rsidRDefault="00511467">
      <w:pPr>
        <w:pStyle w:val="OB1"/>
      </w:pPr>
      <w:r>
        <w:t>System must integrate reports with dashboards for visual representation of data</w:t>
      </w:r>
    </w:p>
    <w:p w14:paraId="450D2F6F" w14:textId="5AD65991" w:rsidR="001530F6" w:rsidRDefault="00511467">
      <w:pPr>
        <w:pStyle w:val="OB1"/>
      </w:pPr>
      <w:r>
        <w:t>System must store and index reports</w:t>
      </w:r>
    </w:p>
    <w:p w14:paraId="29F7D94A" w14:textId="6483131E" w:rsidR="001530F6" w:rsidRDefault="001530F6" w:rsidP="001530F6"/>
    <w:p w14:paraId="320B5155" w14:textId="6E092974" w:rsidR="001530F6" w:rsidRPr="003A23F0" w:rsidRDefault="001530F6" w:rsidP="001530F6">
      <w:pPr>
        <w:rPr>
          <w:u w:val="single"/>
        </w:rPr>
      </w:pPr>
      <w:r w:rsidRPr="003A23F0">
        <w:rPr>
          <w:u w:val="single"/>
        </w:rPr>
        <w:t>Main Activities</w:t>
      </w:r>
      <w:r>
        <w:rPr>
          <w:u w:val="single"/>
        </w:rPr>
        <w:t xml:space="preserve"> – </w:t>
      </w:r>
      <w:r w:rsidR="004C02F1">
        <w:rPr>
          <w:u w:val="single"/>
        </w:rPr>
        <w:t>Tele-Center</w:t>
      </w:r>
      <w:r w:rsidR="00511467">
        <w:rPr>
          <w:u w:val="single"/>
        </w:rPr>
        <w:t>/Special Program Monthly Call Evaluation Reviews</w:t>
      </w:r>
    </w:p>
    <w:p w14:paraId="5D3EA9CF" w14:textId="2146A676" w:rsidR="00511467" w:rsidRDefault="00511467" w:rsidP="00E16D2D">
      <w:pPr>
        <w:pStyle w:val="LB1"/>
      </w:pPr>
      <w:r>
        <w:t>System must allow Staff to record review results on an online/in-system evaluation form</w:t>
      </w:r>
    </w:p>
    <w:p w14:paraId="48054AA2" w14:textId="77777777" w:rsidR="00511467" w:rsidRDefault="00511467" w:rsidP="00E16D2D">
      <w:pPr>
        <w:pStyle w:val="OB1"/>
      </w:pPr>
      <w:r>
        <w:t>System must perform validations and calculate final score</w:t>
      </w:r>
    </w:p>
    <w:p w14:paraId="0E0CF9ED" w14:textId="77777777" w:rsidR="00511467" w:rsidRDefault="00511467" w:rsidP="00116640">
      <w:pPr>
        <w:pStyle w:val="LB1"/>
      </w:pPr>
      <w:r>
        <w:t>System must be able to produce evaluation forms for all reviewed cases and allow staff to:</w:t>
      </w:r>
    </w:p>
    <w:p w14:paraId="22DCC11B" w14:textId="77777777" w:rsidR="00511467" w:rsidRDefault="00511467" w:rsidP="00F82166">
      <w:pPr>
        <w:pStyle w:val="OB1"/>
      </w:pPr>
      <w:r>
        <w:t>View</w:t>
      </w:r>
    </w:p>
    <w:p w14:paraId="09E8F1A4" w14:textId="77777777" w:rsidR="00511467" w:rsidRDefault="00511467" w:rsidP="00F82166">
      <w:pPr>
        <w:pStyle w:val="OB1"/>
      </w:pPr>
      <w:r>
        <w:t>Modify (based on permissions)</w:t>
      </w:r>
    </w:p>
    <w:p w14:paraId="488AE955" w14:textId="77777777" w:rsidR="00511467" w:rsidRDefault="00511467">
      <w:pPr>
        <w:pStyle w:val="OB1"/>
      </w:pPr>
      <w:r>
        <w:t>Print as needed</w:t>
      </w:r>
    </w:p>
    <w:p w14:paraId="14264A08" w14:textId="0FFF4756" w:rsidR="00511467" w:rsidRDefault="00511467">
      <w:pPr>
        <w:pStyle w:val="LB1"/>
      </w:pPr>
      <w:r>
        <w:t>System must retain history of all evaluations based on business rules</w:t>
      </w:r>
    </w:p>
    <w:p w14:paraId="1BF2DAD1" w14:textId="0BC32663" w:rsidR="00511467" w:rsidRDefault="00511467">
      <w:pPr>
        <w:pStyle w:val="LB1"/>
      </w:pPr>
      <w:r>
        <w:t>System must allow Staff to request a r</w:t>
      </w:r>
      <w:r w:rsidR="00A813F3">
        <w:t>eview of the evaluation results</w:t>
      </w:r>
    </w:p>
    <w:p w14:paraId="4EC14975" w14:textId="30281DFE" w:rsidR="00511467" w:rsidRDefault="00511467">
      <w:pPr>
        <w:pStyle w:val="OB1"/>
      </w:pPr>
      <w:r>
        <w:t>System must provide a place for the requestor to provide an exp</w:t>
      </w:r>
      <w:r w:rsidR="00A813F3">
        <w:t>lanation for the review request</w:t>
      </w:r>
    </w:p>
    <w:p w14:paraId="682BFCEC" w14:textId="4019DCA8" w:rsidR="00511467" w:rsidRDefault="00511467">
      <w:pPr>
        <w:pStyle w:val="OB1"/>
      </w:pPr>
      <w:r>
        <w:t xml:space="preserve">System must send </w:t>
      </w:r>
      <w:r w:rsidR="00A813F3">
        <w:t>the request to designated staff</w:t>
      </w:r>
    </w:p>
    <w:p w14:paraId="7A92C764" w14:textId="3815F628" w:rsidR="00511467" w:rsidRDefault="00511467">
      <w:pPr>
        <w:pStyle w:val="OB1"/>
      </w:pPr>
      <w:r>
        <w:t>System must allo</w:t>
      </w:r>
      <w:r w:rsidR="00A813F3">
        <w:t>w staff to respond to requestor</w:t>
      </w:r>
    </w:p>
    <w:p w14:paraId="6BF8497A" w14:textId="77777777" w:rsidR="00511467" w:rsidRDefault="00511467">
      <w:pPr>
        <w:pStyle w:val="OB1"/>
      </w:pPr>
      <w:r>
        <w:lastRenderedPageBreak/>
        <w:t xml:space="preserve">System must allow staff to change the original score or disregard the evaluation results (i.e. coaching) </w:t>
      </w:r>
    </w:p>
    <w:p w14:paraId="2F27BACB" w14:textId="77777777" w:rsidR="00511467" w:rsidRDefault="00511467">
      <w:pPr>
        <w:pStyle w:val="LB1"/>
      </w:pPr>
      <w:r>
        <w:t>Operations, Performance, and Management reports</w:t>
      </w:r>
    </w:p>
    <w:p w14:paraId="2235BFC3" w14:textId="14FCA3A8" w:rsidR="00511467" w:rsidRDefault="00F67CDB">
      <w:pPr>
        <w:pStyle w:val="OB1"/>
      </w:pPr>
      <w:r>
        <w:t xml:space="preserve">System must allow Staff to </w:t>
      </w:r>
      <w:r w:rsidR="00511467">
        <w:t>schedule reports to be generated automatically</w:t>
      </w:r>
    </w:p>
    <w:p w14:paraId="030A504B" w14:textId="7389BC90" w:rsidR="00511467" w:rsidRDefault="00F67CDB">
      <w:pPr>
        <w:pStyle w:val="OB1"/>
      </w:pPr>
      <w:r>
        <w:t xml:space="preserve">System must allow Staff to </w:t>
      </w:r>
      <w:r w:rsidR="00511467">
        <w:t>run reports on demand</w:t>
      </w:r>
    </w:p>
    <w:p w14:paraId="3DB7066B" w14:textId="248F13FD" w:rsidR="00511467" w:rsidRDefault="00A813F3">
      <w:pPr>
        <w:pStyle w:val="OB1"/>
      </w:pPr>
      <w:r>
        <w:t xml:space="preserve">System must be able to generate and distribute reports listed in </w:t>
      </w:r>
      <w:hyperlink w:anchor="_Attachment_8_–" w:history="1">
        <w:r w:rsidRPr="001E784C">
          <w:rPr>
            <w:rStyle w:val="Hyperlink"/>
          </w:rPr>
          <w:t>Attachment 8</w:t>
        </w:r>
      </w:hyperlink>
    </w:p>
    <w:p w14:paraId="317E010E" w14:textId="77777777" w:rsidR="00511467" w:rsidRDefault="00511467">
      <w:pPr>
        <w:pStyle w:val="OB1"/>
      </w:pPr>
      <w:r>
        <w:t>System must allow Staff to develop and schedule ad hoc reports</w:t>
      </w:r>
    </w:p>
    <w:p w14:paraId="49FB39D2" w14:textId="77777777" w:rsidR="00511467" w:rsidRDefault="00511467">
      <w:pPr>
        <w:pStyle w:val="OB1"/>
      </w:pPr>
      <w:r>
        <w:t>System must collect and track performance metrics</w:t>
      </w:r>
    </w:p>
    <w:p w14:paraId="25310DA6" w14:textId="77777777" w:rsidR="00511467" w:rsidRDefault="00511467">
      <w:pPr>
        <w:pStyle w:val="OB1"/>
      </w:pPr>
      <w:r>
        <w:t>System must integrate reports with dashboards for visual representation of data</w:t>
      </w:r>
    </w:p>
    <w:p w14:paraId="13816295" w14:textId="61D0E012" w:rsidR="001530F6" w:rsidRDefault="00511467">
      <w:pPr>
        <w:pStyle w:val="OB1"/>
      </w:pPr>
      <w:r>
        <w:t>System must store and index reports</w:t>
      </w:r>
    </w:p>
    <w:p w14:paraId="03496F79" w14:textId="13753EC1" w:rsidR="001530F6" w:rsidRDefault="001530F6" w:rsidP="001530F6"/>
    <w:p w14:paraId="7B6C106B" w14:textId="7EF122FB" w:rsidR="001530F6" w:rsidRPr="003A23F0" w:rsidRDefault="001530F6" w:rsidP="001530F6">
      <w:pPr>
        <w:rPr>
          <w:u w:val="single"/>
        </w:rPr>
      </w:pPr>
      <w:r w:rsidRPr="003A23F0">
        <w:rPr>
          <w:u w:val="single"/>
        </w:rPr>
        <w:t>Main Activities</w:t>
      </w:r>
      <w:r>
        <w:rPr>
          <w:u w:val="single"/>
        </w:rPr>
        <w:t xml:space="preserve"> – </w:t>
      </w:r>
      <w:r w:rsidR="004C02F1">
        <w:rPr>
          <w:u w:val="single"/>
        </w:rPr>
        <w:t>Tele-Center</w:t>
      </w:r>
      <w:r w:rsidR="003E7FC9">
        <w:rPr>
          <w:u w:val="single"/>
        </w:rPr>
        <w:t>/Special Program Monthly Claims Actions Review</w:t>
      </w:r>
    </w:p>
    <w:p w14:paraId="6D4DFF20" w14:textId="77777777" w:rsidR="003E7FC9" w:rsidRDefault="003E7FC9" w:rsidP="00E16D2D">
      <w:pPr>
        <w:pStyle w:val="LB1"/>
      </w:pPr>
      <w:r>
        <w:t xml:space="preserve">System must allow Staff to enter sample selection criteria provided by Staff into System </w:t>
      </w:r>
    </w:p>
    <w:p w14:paraId="64415C3E" w14:textId="146B69CA" w:rsidR="003E7FC9" w:rsidRDefault="003E7FC9" w:rsidP="00E16D2D">
      <w:pPr>
        <w:pStyle w:val="LB1"/>
      </w:pPr>
      <w:r>
        <w:t xml:space="preserve">System </w:t>
      </w:r>
      <w:r w:rsidR="004C02F1">
        <w:t xml:space="preserve">must </w:t>
      </w:r>
      <w:r>
        <w:t>select universe, then randomly select monthly sample cases from the universe based on sample selection criteria provided by Staff</w:t>
      </w:r>
    </w:p>
    <w:p w14:paraId="3A7CACD6" w14:textId="05AD4B9C" w:rsidR="003E7FC9" w:rsidRDefault="003E7FC9" w:rsidP="00116640">
      <w:pPr>
        <w:pStyle w:val="LB1"/>
      </w:pPr>
      <w:r>
        <w:t xml:space="preserve">System </w:t>
      </w:r>
      <w:r w:rsidR="004C02F1">
        <w:t xml:space="preserve">must </w:t>
      </w:r>
      <w:r>
        <w:t>retrieve ALL source documents such as</w:t>
      </w:r>
    </w:p>
    <w:p w14:paraId="5BFF6050" w14:textId="77777777" w:rsidR="003E7FC9" w:rsidRDefault="003E7FC9" w:rsidP="00F82166">
      <w:pPr>
        <w:pStyle w:val="OB1"/>
      </w:pPr>
      <w:r>
        <w:t>Case specific information</w:t>
      </w:r>
    </w:p>
    <w:p w14:paraId="6F1EBD58" w14:textId="77777777" w:rsidR="003E7FC9" w:rsidRDefault="003E7FC9" w:rsidP="00F82166">
      <w:pPr>
        <w:pStyle w:val="OB1"/>
      </w:pPr>
      <w:r>
        <w:t>Claimant claim information</w:t>
      </w:r>
    </w:p>
    <w:p w14:paraId="0952C279" w14:textId="77777777" w:rsidR="003E7FC9" w:rsidRDefault="003E7FC9">
      <w:pPr>
        <w:pStyle w:val="OB1"/>
      </w:pPr>
      <w:r>
        <w:t>Etc.</w:t>
      </w:r>
    </w:p>
    <w:p w14:paraId="46FB45D8" w14:textId="77777777" w:rsidR="003E7FC9" w:rsidRDefault="003E7FC9">
      <w:pPr>
        <w:pStyle w:val="LB1"/>
      </w:pPr>
      <w:r>
        <w:t xml:space="preserve">System must allow Staff to view the sample including all sample cases and conduct reviews </w:t>
      </w:r>
    </w:p>
    <w:p w14:paraId="30B3378D" w14:textId="77777777" w:rsidR="003E7FC9" w:rsidRDefault="003E7FC9">
      <w:pPr>
        <w:pStyle w:val="OB1"/>
      </w:pPr>
      <w:r>
        <w:t>View sample list</w:t>
      </w:r>
    </w:p>
    <w:p w14:paraId="6666EC05" w14:textId="77777777" w:rsidR="003E7FC9" w:rsidRDefault="003E7FC9">
      <w:pPr>
        <w:pStyle w:val="OB1"/>
      </w:pPr>
      <w:r>
        <w:t>View all cases</w:t>
      </w:r>
    </w:p>
    <w:p w14:paraId="157966D1" w14:textId="77777777" w:rsidR="003E7FC9" w:rsidRDefault="003E7FC9">
      <w:pPr>
        <w:pStyle w:val="OB1"/>
      </w:pPr>
      <w:r>
        <w:t>Review all documents</w:t>
      </w:r>
    </w:p>
    <w:p w14:paraId="6D6A2216" w14:textId="77777777" w:rsidR="003E7FC9" w:rsidRDefault="003E7FC9" w:rsidP="003E7FC9">
      <w:pPr>
        <w:pStyle w:val="SB1"/>
      </w:pPr>
      <w:r>
        <w:t>Review fact finding</w:t>
      </w:r>
    </w:p>
    <w:p w14:paraId="1BAA8EBF" w14:textId="77777777" w:rsidR="003E7FC9" w:rsidRDefault="003E7FC9" w:rsidP="003E7FC9">
      <w:pPr>
        <w:pStyle w:val="SB1"/>
      </w:pPr>
      <w:r>
        <w:t>Claimant information</w:t>
      </w:r>
    </w:p>
    <w:p w14:paraId="7932E676" w14:textId="77777777" w:rsidR="003E7FC9" w:rsidRDefault="003E7FC9" w:rsidP="003E7FC9">
      <w:pPr>
        <w:pStyle w:val="SB1"/>
      </w:pPr>
      <w:r>
        <w:t>Claim history</w:t>
      </w:r>
    </w:p>
    <w:p w14:paraId="30C03C19" w14:textId="0FACFE4C" w:rsidR="003E7FC9" w:rsidRDefault="003E7FC9" w:rsidP="003E7FC9">
      <w:pPr>
        <w:pStyle w:val="SB1"/>
      </w:pPr>
      <w:r>
        <w:t>Address (</w:t>
      </w:r>
      <w:r w:rsidR="00930F59">
        <w:t>Claimant</w:t>
      </w:r>
      <w:r>
        <w:t>) history</w:t>
      </w:r>
    </w:p>
    <w:p w14:paraId="59CE4F0A" w14:textId="3A02BFD8" w:rsidR="003E7FC9" w:rsidRDefault="003E7FC9" w:rsidP="003E7FC9">
      <w:pPr>
        <w:pStyle w:val="SB1"/>
      </w:pPr>
      <w:r>
        <w:t>Correspondence (</w:t>
      </w:r>
      <w:r w:rsidR="00930F59">
        <w:t>Claimant</w:t>
      </w:r>
      <w:r>
        <w:t>)</w:t>
      </w:r>
    </w:p>
    <w:p w14:paraId="5ABB292B" w14:textId="77777777" w:rsidR="003E7FC9" w:rsidRDefault="003E7FC9" w:rsidP="003E7FC9">
      <w:pPr>
        <w:pStyle w:val="SB1"/>
      </w:pPr>
      <w:r>
        <w:t>Etc.</w:t>
      </w:r>
    </w:p>
    <w:p w14:paraId="59273E19" w14:textId="77777777" w:rsidR="003E7FC9" w:rsidRDefault="003E7FC9" w:rsidP="00E16D2D">
      <w:pPr>
        <w:pStyle w:val="OB1"/>
      </w:pPr>
      <w:r>
        <w:t>Search, sort, and filter source documents</w:t>
      </w:r>
    </w:p>
    <w:p w14:paraId="51861900" w14:textId="6FCEC176" w:rsidR="003E7FC9" w:rsidRDefault="003E7FC9" w:rsidP="00E16D2D">
      <w:pPr>
        <w:pStyle w:val="LB1"/>
      </w:pPr>
      <w:r>
        <w:t>System must allow Staff to record review results on an online/in-system evaluation form</w:t>
      </w:r>
    </w:p>
    <w:p w14:paraId="2079FFA0" w14:textId="77777777" w:rsidR="003E7FC9" w:rsidRDefault="003E7FC9" w:rsidP="00E16D2D">
      <w:pPr>
        <w:pStyle w:val="OB1"/>
      </w:pPr>
      <w:r>
        <w:t>System must perform validations and calculate final score</w:t>
      </w:r>
    </w:p>
    <w:p w14:paraId="035062D0" w14:textId="77777777" w:rsidR="003E7FC9" w:rsidRDefault="003E7FC9" w:rsidP="00116640">
      <w:pPr>
        <w:pStyle w:val="OB1"/>
      </w:pPr>
      <w:r>
        <w:t>System must be able to produce evaluation forms for all reviewed cases and allow staff to:</w:t>
      </w:r>
    </w:p>
    <w:p w14:paraId="3DEB7631" w14:textId="77777777" w:rsidR="003E7FC9" w:rsidRDefault="003E7FC9" w:rsidP="003E7FC9">
      <w:pPr>
        <w:pStyle w:val="SB1"/>
      </w:pPr>
      <w:r>
        <w:t>View</w:t>
      </w:r>
    </w:p>
    <w:p w14:paraId="0D220B3A" w14:textId="77777777" w:rsidR="003E7FC9" w:rsidRDefault="003E7FC9" w:rsidP="003E7FC9">
      <w:pPr>
        <w:pStyle w:val="SB1"/>
      </w:pPr>
      <w:r>
        <w:lastRenderedPageBreak/>
        <w:t>Modify (based on permissions)</w:t>
      </w:r>
    </w:p>
    <w:p w14:paraId="6E1556E1" w14:textId="77777777" w:rsidR="003E7FC9" w:rsidRDefault="003E7FC9" w:rsidP="003E7FC9">
      <w:pPr>
        <w:pStyle w:val="SB1"/>
      </w:pPr>
      <w:r>
        <w:t>Print as needed</w:t>
      </w:r>
    </w:p>
    <w:p w14:paraId="43B2F963" w14:textId="77777777" w:rsidR="003E7FC9" w:rsidRDefault="003E7FC9" w:rsidP="00E16D2D">
      <w:pPr>
        <w:pStyle w:val="LB1"/>
      </w:pPr>
      <w:r>
        <w:t>System must retain history of all evaluations based on business rules</w:t>
      </w:r>
    </w:p>
    <w:p w14:paraId="44162A59" w14:textId="3F803CB5" w:rsidR="003E7FC9" w:rsidRDefault="003E7FC9" w:rsidP="00E16D2D">
      <w:pPr>
        <w:pStyle w:val="LB1"/>
      </w:pPr>
      <w:r>
        <w:t>System must allow Staff to request a review of the evaluation results</w:t>
      </w:r>
    </w:p>
    <w:p w14:paraId="21637AF1" w14:textId="2FC00F88" w:rsidR="003E7FC9" w:rsidRDefault="003E7FC9" w:rsidP="00116640">
      <w:pPr>
        <w:pStyle w:val="OB1"/>
      </w:pPr>
      <w:r>
        <w:t>System must provide a place for the requestor to provide an explanation for the review request</w:t>
      </w:r>
    </w:p>
    <w:p w14:paraId="00702487" w14:textId="7EEC6543" w:rsidR="003E7FC9" w:rsidRDefault="003E7FC9" w:rsidP="00F82166">
      <w:pPr>
        <w:pStyle w:val="OB1"/>
      </w:pPr>
      <w:r>
        <w:t>System must send the request to designated staff</w:t>
      </w:r>
    </w:p>
    <w:p w14:paraId="693612A0" w14:textId="62796F3E" w:rsidR="003E7FC9" w:rsidRDefault="003E7FC9" w:rsidP="00F82166">
      <w:pPr>
        <w:pStyle w:val="OB1"/>
      </w:pPr>
      <w:r>
        <w:t>System must allow staff to respond to requestor</w:t>
      </w:r>
    </w:p>
    <w:p w14:paraId="5A757E2F" w14:textId="77777777" w:rsidR="003E7FC9" w:rsidRDefault="003E7FC9">
      <w:pPr>
        <w:pStyle w:val="OB1"/>
      </w:pPr>
      <w:r>
        <w:t>System must allow staff to change the original score or disregard the evaluation results (i.e. coaching)</w:t>
      </w:r>
    </w:p>
    <w:p w14:paraId="6876B241" w14:textId="77777777" w:rsidR="003E7FC9" w:rsidRDefault="003E7FC9">
      <w:pPr>
        <w:pStyle w:val="LB1"/>
      </w:pPr>
      <w:r>
        <w:t>Operations, Performance, and Management reports</w:t>
      </w:r>
    </w:p>
    <w:p w14:paraId="2CA15802" w14:textId="281C9AA0" w:rsidR="003E7FC9" w:rsidRDefault="00F67CDB">
      <w:pPr>
        <w:pStyle w:val="OB1"/>
      </w:pPr>
      <w:r>
        <w:t xml:space="preserve">System must allow Staff to </w:t>
      </w:r>
      <w:r w:rsidR="003E7FC9">
        <w:t>schedule reports to be generated automatically</w:t>
      </w:r>
    </w:p>
    <w:p w14:paraId="44BA09E3" w14:textId="5952C60E" w:rsidR="003E7FC9" w:rsidRDefault="00F67CDB">
      <w:pPr>
        <w:pStyle w:val="OB1"/>
      </w:pPr>
      <w:r>
        <w:t xml:space="preserve">System must allow Staff to </w:t>
      </w:r>
      <w:r w:rsidR="003E7FC9">
        <w:t>run reports on demand</w:t>
      </w:r>
    </w:p>
    <w:p w14:paraId="301A160B" w14:textId="5785BA5D" w:rsidR="003E7FC9" w:rsidRDefault="003E7FC9">
      <w:pPr>
        <w:pStyle w:val="OB1"/>
      </w:pPr>
      <w:r>
        <w:t xml:space="preserve">System must be able to generate and distribute reports listed in </w:t>
      </w:r>
      <w:hyperlink w:anchor="_Attachment_8_–" w:history="1">
        <w:r w:rsidRPr="001E784C">
          <w:rPr>
            <w:rStyle w:val="Hyperlink"/>
          </w:rPr>
          <w:t>Attachment 8</w:t>
        </w:r>
      </w:hyperlink>
    </w:p>
    <w:p w14:paraId="73CC6FE5" w14:textId="77777777" w:rsidR="003E7FC9" w:rsidRDefault="003E7FC9">
      <w:pPr>
        <w:pStyle w:val="OB1"/>
      </w:pPr>
      <w:r>
        <w:t>System must allow Staff to develop and schedule ad hoc reports</w:t>
      </w:r>
    </w:p>
    <w:p w14:paraId="04EDA479" w14:textId="77777777" w:rsidR="003E7FC9" w:rsidRDefault="003E7FC9">
      <w:pPr>
        <w:pStyle w:val="OB1"/>
      </w:pPr>
      <w:r>
        <w:t>System must collect and track performance metrics</w:t>
      </w:r>
    </w:p>
    <w:p w14:paraId="2BCB683C" w14:textId="77777777" w:rsidR="003E7FC9" w:rsidRDefault="003E7FC9">
      <w:pPr>
        <w:pStyle w:val="OB1"/>
      </w:pPr>
      <w:r>
        <w:t>System must integrate reports with dashboards for visual representation of data</w:t>
      </w:r>
    </w:p>
    <w:p w14:paraId="13F51CAD" w14:textId="03C6BF24" w:rsidR="001530F6" w:rsidRDefault="003E7FC9">
      <w:pPr>
        <w:pStyle w:val="OB1"/>
      </w:pPr>
      <w:r>
        <w:t>System must store and index reports</w:t>
      </w:r>
    </w:p>
    <w:p w14:paraId="4264D0BE" w14:textId="77777777" w:rsidR="001530F6" w:rsidRPr="00B0723C" w:rsidRDefault="001530F6" w:rsidP="001530F6"/>
    <w:p w14:paraId="010E7D04" w14:textId="3BDB9816" w:rsidR="00FC12B2" w:rsidRDefault="00FC12B2" w:rsidP="00FC12B2">
      <w:pPr>
        <w:pStyle w:val="Heading4"/>
      </w:pPr>
      <w:bookmarkStart w:id="378" w:name="_A6.9_General"/>
      <w:bookmarkEnd w:id="378"/>
      <w:r>
        <w:tab/>
        <w:t>Lower Authority Appeals Quality Reviews</w:t>
      </w:r>
    </w:p>
    <w:p w14:paraId="23DEB050" w14:textId="77777777" w:rsidR="00FC12B2" w:rsidRPr="00B0723C" w:rsidRDefault="00FC12B2" w:rsidP="00FC12B2">
      <w:r>
        <w:t>This process includes all activities required to perform both internal and DOL-required quality reviews of hearings and decisions.</w:t>
      </w:r>
    </w:p>
    <w:p w14:paraId="311EA6D6" w14:textId="77777777" w:rsidR="00FC12B2" w:rsidRPr="003A23F0" w:rsidRDefault="00FC12B2" w:rsidP="00FC12B2">
      <w:pPr>
        <w:rPr>
          <w:u w:val="single"/>
        </w:rPr>
      </w:pPr>
      <w:r w:rsidRPr="003A23F0">
        <w:rPr>
          <w:u w:val="single"/>
        </w:rPr>
        <w:t>Actors</w:t>
      </w:r>
    </w:p>
    <w:p w14:paraId="7FF32070" w14:textId="77777777" w:rsidR="00FC12B2" w:rsidRDefault="00FC12B2" w:rsidP="00E16D2D">
      <w:pPr>
        <w:pStyle w:val="LB1"/>
      </w:pPr>
      <w:r>
        <w:t>Staff</w:t>
      </w:r>
    </w:p>
    <w:p w14:paraId="2D307631" w14:textId="77777777" w:rsidR="00FC12B2" w:rsidRPr="00DF6567" w:rsidRDefault="00FC12B2" w:rsidP="00FC12B2"/>
    <w:p w14:paraId="3732FDA8" w14:textId="77777777" w:rsidR="00FC12B2" w:rsidRPr="003A23F0" w:rsidRDefault="00FC12B2" w:rsidP="00FC12B2">
      <w:pPr>
        <w:rPr>
          <w:u w:val="single"/>
        </w:rPr>
      </w:pPr>
      <w:r w:rsidRPr="003A23F0">
        <w:rPr>
          <w:u w:val="single"/>
        </w:rPr>
        <w:t>Main Activities</w:t>
      </w:r>
    </w:p>
    <w:p w14:paraId="3A39F74A" w14:textId="77777777" w:rsidR="00FC12B2" w:rsidRDefault="00FC12B2" w:rsidP="00E16D2D">
      <w:pPr>
        <w:pStyle w:val="LB1"/>
      </w:pPr>
      <w:r>
        <w:t>System must select a random sample of 40 cases per quarter to evaluate in accordance with ETA Handbook 382 (DOL reviews)</w:t>
      </w:r>
    </w:p>
    <w:p w14:paraId="5CD0A2E1" w14:textId="77777777" w:rsidR="00FC12B2" w:rsidRPr="00CB7B83" w:rsidRDefault="00FC12B2" w:rsidP="00E16D2D">
      <w:pPr>
        <w:pStyle w:val="LB1"/>
      </w:pPr>
      <w:r w:rsidRPr="00CB7B83">
        <w:t>System must select a random sample of cases to review per internal review select</w:t>
      </w:r>
      <w:r>
        <w:t>ion criteria (internal reviews)</w:t>
      </w:r>
      <w:r w:rsidRPr="00CB7B83">
        <w:t xml:space="preserve"> </w:t>
      </w:r>
    </w:p>
    <w:p w14:paraId="4B057924" w14:textId="69A80CC9" w:rsidR="00FC12B2" w:rsidRPr="00CB7B83" w:rsidRDefault="00FC12B2" w:rsidP="00116640">
      <w:pPr>
        <w:pStyle w:val="LB1"/>
      </w:pPr>
      <w:r w:rsidRPr="00CB7B83">
        <w:t xml:space="preserve">System must provide for an integrated workflow and approval process for DOL and internal reviews </w:t>
      </w:r>
    </w:p>
    <w:p w14:paraId="2C052708" w14:textId="77777777" w:rsidR="00FC12B2" w:rsidRPr="00CB7B83" w:rsidRDefault="00FC12B2" w:rsidP="00F82166">
      <w:pPr>
        <w:pStyle w:val="LB1"/>
      </w:pPr>
      <w:r w:rsidRPr="00CB7B83">
        <w:t>System must allow</w:t>
      </w:r>
      <w:r>
        <w:t xml:space="preserve"> staff to record review results</w:t>
      </w:r>
      <w:r w:rsidRPr="00CB7B83">
        <w:t xml:space="preserve"> </w:t>
      </w:r>
    </w:p>
    <w:p w14:paraId="5CB72649" w14:textId="77777777" w:rsidR="00FC12B2" w:rsidRPr="00CB7B83" w:rsidRDefault="00FC12B2" w:rsidP="00F82166">
      <w:pPr>
        <w:pStyle w:val="LB1"/>
      </w:pPr>
      <w:r w:rsidRPr="00CB7B83">
        <w:t>System must perform data validations, calculate score, and allow th</w:t>
      </w:r>
      <w:r>
        <w:t>e attachment of review comments</w:t>
      </w:r>
    </w:p>
    <w:p w14:paraId="7944AA30" w14:textId="77777777" w:rsidR="00FC12B2" w:rsidRPr="00CB7B83" w:rsidRDefault="00FC12B2" w:rsidP="00F82166">
      <w:pPr>
        <w:pStyle w:val="LB1"/>
      </w:pPr>
      <w:r w:rsidRPr="00CB7B83">
        <w:t>System must allow staff to print or distribu</w:t>
      </w:r>
      <w:r>
        <w:t>te reviews as needed</w:t>
      </w:r>
    </w:p>
    <w:p w14:paraId="5A41F450" w14:textId="77777777" w:rsidR="00FC12B2" w:rsidRPr="00CB7B83" w:rsidRDefault="00FC12B2">
      <w:pPr>
        <w:pStyle w:val="LB1"/>
      </w:pPr>
      <w:r w:rsidRPr="00CB7B83">
        <w:t xml:space="preserve">System must retain a history of all DOL and internal </w:t>
      </w:r>
      <w:r>
        <w:t>reviews based on business rules</w:t>
      </w:r>
    </w:p>
    <w:p w14:paraId="2F468B16" w14:textId="77777777" w:rsidR="00FC12B2" w:rsidRPr="00CB7B83" w:rsidRDefault="00FC12B2">
      <w:pPr>
        <w:pStyle w:val="LB1"/>
      </w:pPr>
      <w:r w:rsidRPr="00CB7B83">
        <w:lastRenderedPageBreak/>
        <w:t>System must be able to generate operational, performance, and management report</w:t>
      </w:r>
      <w:r>
        <w:t>s based on the case review data</w:t>
      </w:r>
      <w:r w:rsidRPr="00CB7B83">
        <w:t xml:space="preserve"> </w:t>
      </w:r>
    </w:p>
    <w:p w14:paraId="4052A5A8" w14:textId="77777777" w:rsidR="00FC12B2" w:rsidRDefault="00FC12B2">
      <w:pPr>
        <w:pStyle w:val="LB1"/>
      </w:pPr>
      <w:r w:rsidRPr="00CB7B83">
        <w:t>System must allow for Staff to upload DOL review results into the DOL SUN system</w:t>
      </w:r>
    </w:p>
    <w:p w14:paraId="3DA9EFA1" w14:textId="77777777" w:rsidR="00FC12B2" w:rsidRDefault="00FC12B2" w:rsidP="00FC12B2"/>
    <w:p w14:paraId="7393DAE9" w14:textId="109BFFD5" w:rsidR="001A16E4" w:rsidRDefault="001A16E4" w:rsidP="001A16E4">
      <w:pPr>
        <w:pStyle w:val="Heading3"/>
      </w:pPr>
      <w:bookmarkStart w:id="379" w:name="_Toc13567500"/>
      <w:r>
        <w:t>A6.</w:t>
      </w:r>
      <w:r w:rsidR="00177DA9">
        <w:t>9</w:t>
      </w:r>
      <w:r>
        <w:tab/>
      </w:r>
      <w:r w:rsidR="00DA1915">
        <w:t>General</w:t>
      </w:r>
      <w:bookmarkEnd w:id="379"/>
    </w:p>
    <w:p w14:paraId="4BB24DB1" w14:textId="3BF2C5D3" w:rsidR="00016531" w:rsidRPr="00016531" w:rsidRDefault="00016531" w:rsidP="00016531">
      <w:r>
        <w:t>These UI Process Descriptions apply to all UI and IT Program Areas.</w:t>
      </w:r>
    </w:p>
    <w:p w14:paraId="45A83E6C" w14:textId="5B521D33" w:rsidR="003838FD" w:rsidRDefault="003838FD" w:rsidP="003838FD">
      <w:pPr>
        <w:pStyle w:val="Heading4"/>
      </w:pPr>
      <w:bookmarkStart w:id="380" w:name="_Correspondence"/>
      <w:bookmarkEnd w:id="380"/>
      <w:r>
        <w:tab/>
        <w:t>Correspondence</w:t>
      </w:r>
    </w:p>
    <w:p w14:paraId="626F9C1D" w14:textId="5DB10836" w:rsidR="003838FD" w:rsidRPr="00B0723C" w:rsidRDefault="00C92570" w:rsidP="003838FD">
      <w:r>
        <w:t>The System must</w:t>
      </w:r>
      <w:r w:rsidR="00A90C1D" w:rsidRPr="00847A4F">
        <w:t xml:space="preserve"> include </w:t>
      </w:r>
      <w:r w:rsidR="00A90C1D">
        <w:t>all functionality necessary to generate and distribute outgoing correspondence as well as receive and process correspondence</w:t>
      </w:r>
      <w:r w:rsidR="003838FD">
        <w:t>.</w:t>
      </w:r>
    </w:p>
    <w:p w14:paraId="6EC4DE12" w14:textId="77777777" w:rsidR="003838FD" w:rsidRPr="003A23F0" w:rsidRDefault="003838FD" w:rsidP="003838FD">
      <w:pPr>
        <w:rPr>
          <w:u w:val="single"/>
        </w:rPr>
      </w:pPr>
      <w:r w:rsidRPr="003A23F0">
        <w:rPr>
          <w:u w:val="single"/>
        </w:rPr>
        <w:t>Actors</w:t>
      </w:r>
    </w:p>
    <w:p w14:paraId="11885B11" w14:textId="3D6DCD80" w:rsidR="003838FD" w:rsidRDefault="003838FD" w:rsidP="00E16D2D">
      <w:pPr>
        <w:pStyle w:val="LB1"/>
      </w:pPr>
      <w:r>
        <w:t>Staff</w:t>
      </w:r>
    </w:p>
    <w:p w14:paraId="38717C05" w14:textId="62858F6A" w:rsidR="00A90C1D" w:rsidRDefault="00A90C1D" w:rsidP="00E16D2D">
      <w:pPr>
        <w:pStyle w:val="LB1"/>
      </w:pPr>
      <w:r>
        <w:t>Claimants</w:t>
      </w:r>
    </w:p>
    <w:p w14:paraId="38DBADED" w14:textId="4967AEF5" w:rsidR="00A90C1D" w:rsidRDefault="00A90C1D" w:rsidP="00116640">
      <w:pPr>
        <w:pStyle w:val="LB1"/>
      </w:pPr>
      <w:r>
        <w:t>Employers</w:t>
      </w:r>
    </w:p>
    <w:p w14:paraId="29AFBFF4" w14:textId="2CD29673" w:rsidR="00A90C1D" w:rsidRDefault="00A90C1D" w:rsidP="00F82166">
      <w:pPr>
        <w:pStyle w:val="LB1"/>
      </w:pPr>
      <w:r>
        <w:t>TPAs</w:t>
      </w:r>
    </w:p>
    <w:p w14:paraId="371A5ED6" w14:textId="77777777" w:rsidR="003838FD" w:rsidRPr="00DF6567" w:rsidRDefault="003838FD" w:rsidP="003838FD"/>
    <w:p w14:paraId="09B51269" w14:textId="77777777" w:rsidR="003838FD" w:rsidRPr="003A23F0" w:rsidRDefault="003838FD" w:rsidP="003838FD">
      <w:pPr>
        <w:rPr>
          <w:u w:val="single"/>
        </w:rPr>
      </w:pPr>
      <w:r w:rsidRPr="003A23F0">
        <w:rPr>
          <w:u w:val="single"/>
        </w:rPr>
        <w:t>Main Activities</w:t>
      </w:r>
    </w:p>
    <w:p w14:paraId="76992EE7" w14:textId="77777777" w:rsidR="00AD5D01" w:rsidRDefault="00A90C1D" w:rsidP="00E16D2D">
      <w:pPr>
        <w:pStyle w:val="LB1"/>
      </w:pPr>
      <w:bookmarkStart w:id="381" w:name="_Hlk11747731"/>
      <w:r w:rsidRPr="001D66D5">
        <w:t xml:space="preserve">System must </w:t>
      </w:r>
      <w:r>
        <w:t xml:space="preserve">allow authorized Staff </w:t>
      </w:r>
      <w:r w:rsidRPr="001D66D5">
        <w:t>to create and modify templates and automatically generate both printed and electronic correspondence based on defined events. The Offeror must describe how their system prepopulates templates with data from the system and keeps a histor</w:t>
      </w:r>
      <w:r w:rsidR="00AD5D01">
        <w:t>y of all template versions</w:t>
      </w:r>
    </w:p>
    <w:p w14:paraId="100BE50B" w14:textId="4E29EB58" w:rsidR="00A90C1D" w:rsidRDefault="00A90C1D" w:rsidP="00E16D2D">
      <w:pPr>
        <w:pStyle w:val="LB1"/>
      </w:pPr>
      <w:r w:rsidRPr="001D66D5">
        <w:t>System must be able to (re)generate correspondence in English, Spanish, and other languages by law or business rules</w:t>
      </w:r>
    </w:p>
    <w:p w14:paraId="3C556A27" w14:textId="3AAFE43B" w:rsidR="00AD5D01" w:rsidRDefault="00A90C1D" w:rsidP="00116640">
      <w:pPr>
        <w:pStyle w:val="LB1"/>
      </w:pPr>
      <w:r w:rsidRPr="00847902">
        <w:t>System must be able to generate correspondence based on a triggering event</w:t>
      </w:r>
      <w:r w:rsidR="00B61976">
        <w:t>, for example:</w:t>
      </w:r>
      <w:r w:rsidRPr="00847902">
        <w:t xml:space="preserve"> </w:t>
      </w:r>
    </w:p>
    <w:p w14:paraId="2A17AEB1" w14:textId="77777777" w:rsidR="00AD5D01" w:rsidRDefault="00AD5D01" w:rsidP="00F82166">
      <w:pPr>
        <w:pStyle w:val="OB1"/>
      </w:pPr>
      <w:r>
        <w:t>Fact finding</w:t>
      </w:r>
    </w:p>
    <w:p w14:paraId="335E7FFC" w14:textId="21305FC0" w:rsidR="00A90C1D" w:rsidRDefault="00AD5D01" w:rsidP="00F82166">
      <w:pPr>
        <w:pStyle w:val="OB1"/>
      </w:pPr>
      <w:r>
        <w:t>A</w:t>
      </w:r>
      <w:r w:rsidR="00A90C1D" w:rsidRPr="00847902">
        <w:t xml:space="preserve"> subpoena being iss</w:t>
      </w:r>
      <w:r>
        <w:t>ued once a hearing is scheduled</w:t>
      </w:r>
    </w:p>
    <w:p w14:paraId="57D6170D" w14:textId="5E0630D0" w:rsidR="00AD5D01" w:rsidRDefault="00AD5D01">
      <w:pPr>
        <w:pStyle w:val="OB1"/>
      </w:pPr>
      <w:r>
        <w:t>Etc.</w:t>
      </w:r>
    </w:p>
    <w:p w14:paraId="4B60A7BC" w14:textId="77777777" w:rsidR="00A90C1D" w:rsidRDefault="00A90C1D">
      <w:pPr>
        <w:pStyle w:val="LB1"/>
      </w:pPr>
      <w:r>
        <w:t>System</w:t>
      </w:r>
      <w:r w:rsidRPr="001D6201">
        <w:t xml:space="preserve"> </w:t>
      </w:r>
      <w:r>
        <w:t>must include Correspondence Templates/Forms/Emails:</w:t>
      </w:r>
    </w:p>
    <w:p w14:paraId="560FB22F" w14:textId="7B94BC6E" w:rsidR="00A90C1D" w:rsidRDefault="00A90C1D">
      <w:pPr>
        <w:pStyle w:val="OB1"/>
      </w:pPr>
      <w:r>
        <w:t>Allow authorized Staff to create and maintain correspondence templates</w:t>
      </w:r>
      <w:r w:rsidR="006C20CB">
        <w:t xml:space="preserve"> with minimal need to seek outside programming assistance</w:t>
      </w:r>
    </w:p>
    <w:p w14:paraId="140DD1FB" w14:textId="58CDBCB2" w:rsidR="002B6AB0" w:rsidRDefault="00CB5CA8">
      <w:pPr>
        <w:pStyle w:val="OB1"/>
      </w:pPr>
      <w:r>
        <w:t xml:space="preserve">Allow authorized Staff </w:t>
      </w:r>
      <w:r w:rsidRPr="001D66D5">
        <w:t>to create and modify template</w:t>
      </w:r>
      <w:r>
        <w:t xml:space="preserve"> header</w:t>
      </w:r>
      <w:r w:rsidRPr="001D66D5">
        <w:t>s</w:t>
      </w:r>
      <w:r>
        <w:t xml:space="preserve"> and footers to include information such as logos, addresses, phone numbers, URLs, and </w:t>
      </w:r>
      <w:r w:rsidRPr="002813B3">
        <w:t>Equal Emp</w:t>
      </w:r>
      <w:r>
        <w:t>loyment Opportunity Commission l</w:t>
      </w:r>
      <w:r w:rsidRPr="002813B3">
        <w:t>anguag</w:t>
      </w:r>
      <w:r>
        <w:t>e</w:t>
      </w:r>
    </w:p>
    <w:p w14:paraId="33339B94" w14:textId="77777777" w:rsidR="00A90C1D" w:rsidRDefault="00A90C1D">
      <w:pPr>
        <w:pStyle w:val="OB1"/>
      </w:pPr>
      <w:r>
        <w:t>Prepopulate templates based on requirements</w:t>
      </w:r>
    </w:p>
    <w:p w14:paraId="5DE442D2" w14:textId="77777777" w:rsidR="00A90C1D" w:rsidRDefault="00A90C1D">
      <w:pPr>
        <w:pStyle w:val="OB1"/>
      </w:pPr>
      <w:r>
        <w:t>Provide ability to add variable text to prepopulated templates</w:t>
      </w:r>
    </w:p>
    <w:p w14:paraId="18E46C20" w14:textId="77777777" w:rsidR="00A90C1D" w:rsidRDefault="00A90C1D">
      <w:pPr>
        <w:pStyle w:val="OB1"/>
      </w:pPr>
      <w:r>
        <w:t>Provide ability to recreate/regenerate</w:t>
      </w:r>
    </w:p>
    <w:p w14:paraId="0E14C871" w14:textId="77777777" w:rsidR="00A90C1D" w:rsidRDefault="00A90C1D">
      <w:pPr>
        <w:pStyle w:val="OB1"/>
      </w:pPr>
      <w:r>
        <w:lastRenderedPageBreak/>
        <w:t>Store templates and data (i.e., variable data, applicable template version) in centralized location</w:t>
      </w:r>
    </w:p>
    <w:p w14:paraId="4E5A4F19" w14:textId="12D6AF3C" w:rsidR="00A90C1D" w:rsidRDefault="00A90C1D">
      <w:pPr>
        <w:pStyle w:val="LB1"/>
      </w:pPr>
      <w:r w:rsidRPr="001D6201">
        <w:t>System must include all functionality necessary to receive and process all incoming correspondence and associate it with an electronic identifier (e.g., SSN, Entity ID, alternate ID).</w:t>
      </w:r>
      <w:r w:rsidR="00EE5622">
        <w:t xml:space="preserve"> </w:t>
      </w:r>
      <w:r w:rsidRPr="001D6201">
        <w:t xml:space="preserve">The Offeror must describe how their system captures and stores data from incoming documents (both electronic and paper) such as date received, method received (electronic or paper), date postmarked and submitted, document type, sender information, etc.; </w:t>
      </w:r>
      <w:r>
        <w:t xml:space="preserve">scans for viruses; </w:t>
      </w:r>
      <w:r w:rsidRPr="001D6201">
        <w:t xml:space="preserve">allows manual key entry of document information; reads bar codes or similar coding to support the automated processing of the item when returned by the recipient; automatically OCRs forms; handles returned mail and bad addresses; allows incoming correspondence to enter System and other workflow processes including intra- and inter-departmental transfers; and interface with </w:t>
      </w:r>
      <w:r w:rsidR="009450CD">
        <w:t>CMS</w:t>
      </w:r>
      <w:r w:rsidRPr="001D6201">
        <w:t>, such as FileNet, based on business rules</w:t>
      </w:r>
    </w:p>
    <w:bookmarkEnd w:id="381"/>
    <w:p w14:paraId="799946D3" w14:textId="07C9F354" w:rsidR="00A90C1D" w:rsidRDefault="00A90C1D">
      <w:pPr>
        <w:pStyle w:val="LB1"/>
      </w:pPr>
      <w:r w:rsidRPr="001D6201">
        <w:t xml:space="preserve">System must include all functionality necessary to produce all outgoing correspondence and associate it with an electronic identifier. The Offeror must describe how their system produces both electronic (with verification of read and receipt) and paper correspondence; </w:t>
      </w:r>
      <w:r>
        <w:t xml:space="preserve">prefills data; </w:t>
      </w:r>
      <w:r w:rsidRPr="001D6201">
        <w:t>includes bar codes or some other identification technology to support the automated processing of the item when returned by the recipient; accounts for postal holidays and Saturday printing;</w:t>
      </w:r>
      <w:r w:rsidR="00EE5622">
        <w:t xml:space="preserve"> </w:t>
      </w:r>
      <w:r w:rsidRPr="001D6201">
        <w:t xml:space="preserve">queues correspondence for batch processing if needed; consolidates mailings to the same address (e.g., Mailstream); </w:t>
      </w:r>
      <w:r w:rsidR="00AD5D01">
        <w:t xml:space="preserve">and </w:t>
      </w:r>
      <w:r w:rsidRPr="001D6201">
        <w:t xml:space="preserve">interface with </w:t>
      </w:r>
      <w:r w:rsidR="009450CD">
        <w:t>CMS</w:t>
      </w:r>
      <w:r w:rsidRPr="001D6201">
        <w:t xml:space="preserve"> based on business rules</w:t>
      </w:r>
    </w:p>
    <w:p w14:paraId="083EF734" w14:textId="4C197657" w:rsidR="00A90C1D" w:rsidRDefault="00A90C1D">
      <w:pPr>
        <w:pStyle w:val="LB1"/>
      </w:pPr>
      <w:r>
        <w:t>System</w:t>
      </w:r>
      <w:r w:rsidRPr="001D6201">
        <w:t xml:space="preserve"> must include the ability to generate </w:t>
      </w:r>
      <w:r w:rsidR="00AD5D01">
        <w:t xml:space="preserve">electronic (e.g., </w:t>
      </w:r>
      <w:r w:rsidRPr="001D6201">
        <w:t>email</w:t>
      </w:r>
      <w:r w:rsidR="00AD5D01">
        <w:t>, text messages, etc.)</w:t>
      </w:r>
      <w:r w:rsidRPr="001D6201">
        <w:t xml:space="preserve"> and USPS correspondence configurable by TWC</w:t>
      </w:r>
    </w:p>
    <w:p w14:paraId="3CC0892A" w14:textId="77777777" w:rsidR="00A90C1D" w:rsidRDefault="00A90C1D">
      <w:pPr>
        <w:pStyle w:val="LB1"/>
      </w:pPr>
      <w:r>
        <w:t>System must allow S</w:t>
      </w:r>
      <w:r w:rsidRPr="001D66D5">
        <w:t>taff to hold or override the generation and distribution of correspondence for a specific electronic identifier, groups, or all correspondence based on business rules</w:t>
      </w:r>
    </w:p>
    <w:p w14:paraId="415ADD36" w14:textId="77777777" w:rsidR="00A90C1D" w:rsidRDefault="00A90C1D">
      <w:pPr>
        <w:pStyle w:val="LB1"/>
      </w:pPr>
      <w:r w:rsidRPr="001D66D5">
        <w:t>System must interface with the onsite and offsite printing facilities for all correspondence</w:t>
      </w:r>
    </w:p>
    <w:p w14:paraId="55E528FF" w14:textId="77777777" w:rsidR="00A90C1D" w:rsidRPr="00AD5D01" w:rsidRDefault="00A90C1D">
      <w:pPr>
        <w:pStyle w:val="LB1"/>
      </w:pPr>
      <w:r w:rsidRPr="00AD5D01">
        <w:t>System must make all outgoing physical correspondence available as electronic correspondence</w:t>
      </w:r>
    </w:p>
    <w:p w14:paraId="0AD80B97" w14:textId="10FF6017" w:rsidR="005662A0" w:rsidRDefault="005662A0">
      <w:pPr>
        <w:pStyle w:val="LB1"/>
      </w:pPr>
      <w:bookmarkStart w:id="382" w:name="_Hlk532807720"/>
      <w:bookmarkStart w:id="383" w:name="_Hlk851912"/>
      <w:r>
        <w:t>System must incorporate secure messaging (email, chat, etc.)</w:t>
      </w:r>
      <w:r w:rsidR="005A2809">
        <w:t xml:space="preserve"> functionality</w:t>
      </w:r>
    </w:p>
    <w:p w14:paraId="6393D204" w14:textId="26296DE2" w:rsidR="009E2650" w:rsidRDefault="009E2650">
      <w:pPr>
        <w:pStyle w:val="OB1"/>
      </w:pPr>
      <w:r>
        <w:t>Send and receive messages</w:t>
      </w:r>
    </w:p>
    <w:p w14:paraId="1E693046" w14:textId="13ADF3EF" w:rsidR="00AA3136" w:rsidRDefault="00AA3136">
      <w:pPr>
        <w:pStyle w:val="OB1"/>
      </w:pPr>
      <w:r>
        <w:t>Send “You have mail” email notifications to users</w:t>
      </w:r>
    </w:p>
    <w:p w14:paraId="1373C708" w14:textId="045E110E" w:rsidR="00AA3136" w:rsidRDefault="00AA3136" w:rsidP="00AA3136">
      <w:pPr>
        <w:pStyle w:val="SB1"/>
      </w:pPr>
      <w:r>
        <w:t>Maintain a log of correspondence</w:t>
      </w:r>
    </w:p>
    <w:p w14:paraId="27C0FC30" w14:textId="1E9822D1" w:rsidR="00AA3136" w:rsidRDefault="00AA3136" w:rsidP="00AA3136">
      <w:pPr>
        <w:pStyle w:val="SB1"/>
      </w:pPr>
      <w:r>
        <w:t>Notifications and log searchable by Staff</w:t>
      </w:r>
    </w:p>
    <w:p w14:paraId="6C917F2A" w14:textId="4003DA6D" w:rsidR="009E2650" w:rsidRDefault="009E2650" w:rsidP="00E16D2D">
      <w:pPr>
        <w:pStyle w:val="OB1"/>
      </w:pPr>
      <w:r>
        <w:t>New message notifications</w:t>
      </w:r>
      <w:r w:rsidR="008D25ED">
        <w:t xml:space="preserve"> (email, text, etc.)</w:t>
      </w:r>
    </w:p>
    <w:p w14:paraId="49DC1F2F" w14:textId="4586B5A9" w:rsidR="009E2650" w:rsidRDefault="008D25ED" w:rsidP="00E16D2D">
      <w:pPr>
        <w:pStyle w:val="OB1"/>
      </w:pPr>
      <w:r>
        <w:t>Retain and a</w:t>
      </w:r>
      <w:r w:rsidR="009E2650">
        <w:t>rchive messages</w:t>
      </w:r>
      <w:r>
        <w:t xml:space="preserve"> based on business rules and record retention schedules</w:t>
      </w:r>
    </w:p>
    <w:p w14:paraId="2A90D8D3" w14:textId="55765C37" w:rsidR="009E2650" w:rsidRDefault="009E2650" w:rsidP="00116640">
      <w:pPr>
        <w:pStyle w:val="OB1"/>
      </w:pPr>
      <w:r>
        <w:t>Attach correspondence</w:t>
      </w:r>
      <w:r w:rsidR="005A2809">
        <w:t>/communication</w:t>
      </w:r>
      <w:r>
        <w:t xml:space="preserve"> to customer’s record and case file</w:t>
      </w:r>
    </w:p>
    <w:p w14:paraId="38BC871E" w14:textId="582D0184" w:rsidR="008D25ED" w:rsidRDefault="008D25ED" w:rsidP="00F82166">
      <w:pPr>
        <w:pStyle w:val="OB1"/>
      </w:pPr>
      <w:r>
        <w:t>Include “click to call”</w:t>
      </w:r>
    </w:p>
    <w:p w14:paraId="519FFD38" w14:textId="53DAB5DF" w:rsidR="008D25ED" w:rsidRDefault="00C54FFA" w:rsidP="00F82166">
      <w:pPr>
        <w:pStyle w:val="OB1"/>
      </w:pPr>
      <w:bookmarkStart w:id="384" w:name="_Hlk532886910"/>
      <w:r>
        <w:lastRenderedPageBreak/>
        <w:t>P</w:t>
      </w:r>
      <w:r w:rsidR="008D25ED">
        <w:t>rovid</w:t>
      </w:r>
      <w:r>
        <w:t>e</w:t>
      </w:r>
      <w:r w:rsidR="008D25ED">
        <w:t xml:space="preserve"> chat transcripts</w:t>
      </w:r>
      <w:r w:rsidR="00CB2FF6">
        <w:t xml:space="preserve"> to customers, agency records, etc</w:t>
      </w:r>
      <w:bookmarkEnd w:id="384"/>
      <w:r w:rsidR="00CB2FF6">
        <w:t>.</w:t>
      </w:r>
      <w:r>
        <w:t>, based on business rules</w:t>
      </w:r>
    </w:p>
    <w:p w14:paraId="2128A401" w14:textId="442679C0" w:rsidR="008D25ED" w:rsidRDefault="008D25ED" w:rsidP="00F82166">
      <w:pPr>
        <w:pStyle w:val="OB1"/>
      </w:pPr>
      <w:r>
        <w:t>Include prohibited word filtering</w:t>
      </w:r>
    </w:p>
    <w:p w14:paraId="13198754" w14:textId="2B03CAAD" w:rsidR="005B226A" w:rsidRDefault="005B226A">
      <w:pPr>
        <w:pStyle w:val="OB1"/>
      </w:pPr>
      <w:r>
        <w:t>Upload documents</w:t>
      </w:r>
      <w:r w:rsidR="007341D7">
        <w:t xml:space="preserve"> </w:t>
      </w:r>
    </w:p>
    <w:p w14:paraId="761B4418" w14:textId="60681386" w:rsidR="007341D7" w:rsidRDefault="007341D7" w:rsidP="008715BA">
      <w:pPr>
        <w:pStyle w:val="SB1"/>
      </w:pPr>
      <w:r>
        <w:t xml:space="preserve">Document formats include </w:t>
      </w:r>
      <w:r w:rsidRPr="00701F98">
        <w:t>Word, Excel, PDF, aud</w:t>
      </w:r>
      <w:r>
        <w:t xml:space="preserve">io, images, video, and other formats </w:t>
      </w:r>
    </w:p>
    <w:p w14:paraId="39C3F4D1" w14:textId="3697BC30" w:rsidR="008715BA" w:rsidRDefault="008715BA" w:rsidP="008715BA">
      <w:pPr>
        <w:pStyle w:val="SB1"/>
      </w:pPr>
      <w:r>
        <w:t>Scan for viruses</w:t>
      </w:r>
    </w:p>
    <w:p w14:paraId="705CEF08" w14:textId="35FAA4A8" w:rsidR="008715BA" w:rsidRDefault="008715BA" w:rsidP="008715BA">
      <w:pPr>
        <w:pStyle w:val="SB1"/>
      </w:pPr>
      <w:r>
        <w:t>Notify user if errors</w:t>
      </w:r>
    </w:p>
    <w:p w14:paraId="050D6E4B" w14:textId="269C0C4D" w:rsidR="008715BA" w:rsidRDefault="008715BA" w:rsidP="008715BA">
      <w:pPr>
        <w:pStyle w:val="SB1"/>
      </w:pPr>
      <w:r>
        <w:t>Provide upload confirmation</w:t>
      </w:r>
    </w:p>
    <w:p w14:paraId="4B90A849" w14:textId="62A3E9A8" w:rsidR="008715BA" w:rsidRDefault="008715BA" w:rsidP="008715BA">
      <w:pPr>
        <w:pStyle w:val="SB1"/>
      </w:pPr>
      <w:r>
        <w:t>Store documents and associate them with account</w:t>
      </w:r>
    </w:p>
    <w:bookmarkEnd w:id="382"/>
    <w:p w14:paraId="557CB207" w14:textId="12F33C87" w:rsidR="005662A0" w:rsidRDefault="005662A0" w:rsidP="00E16D2D">
      <w:pPr>
        <w:pStyle w:val="LB1"/>
      </w:pPr>
      <w:r>
        <w:t>System must allow users to consent to text messaging</w:t>
      </w:r>
    </w:p>
    <w:p w14:paraId="2BC6AAAF" w14:textId="0AE3C9CF" w:rsidR="005662A0" w:rsidRDefault="005662A0" w:rsidP="00E16D2D">
      <w:pPr>
        <w:pStyle w:val="LB1"/>
      </w:pPr>
      <w:r>
        <w:t>System</w:t>
      </w:r>
      <w:r w:rsidRPr="001D6201">
        <w:t xml:space="preserve"> </w:t>
      </w:r>
      <w:r w:rsidRPr="001D66D5">
        <w:t xml:space="preserve">must maintain a log of correspondence sent to </w:t>
      </w:r>
      <w:r w:rsidR="00AA3136">
        <w:t>ALL</w:t>
      </w:r>
      <w:r w:rsidRPr="001D66D5">
        <w:t xml:space="preserve"> entities, including information such as template version, variable data, date distributed, and proof of receipt when applicable</w:t>
      </w:r>
    </w:p>
    <w:bookmarkEnd w:id="383"/>
    <w:p w14:paraId="1A69253A" w14:textId="0716C378" w:rsidR="00131B5D" w:rsidRPr="00AD5D01" w:rsidRDefault="00A90C1D" w:rsidP="00116640">
      <w:pPr>
        <w:pStyle w:val="LB1"/>
      </w:pPr>
      <w:r w:rsidRPr="00AD5D01">
        <w:t xml:space="preserve">System must </w:t>
      </w:r>
      <w:r w:rsidR="00881D11">
        <w:t>allow Staff</w:t>
      </w:r>
      <w:r w:rsidRPr="00AD5D01">
        <w:t xml:space="preserve"> to view outgoing and incoming correspondence attached to the Claimant, Employer, Claim, etc.</w:t>
      </w:r>
    </w:p>
    <w:p w14:paraId="031CE527" w14:textId="59728B77" w:rsidR="00C10A50" w:rsidRDefault="00C10A50" w:rsidP="00131B5D">
      <w:pPr>
        <w:rPr>
          <w:highlight w:val="yellow"/>
        </w:rPr>
      </w:pPr>
    </w:p>
    <w:p w14:paraId="0BF9E1BD" w14:textId="77777777" w:rsidR="006B553E" w:rsidRDefault="006B553E" w:rsidP="006B553E">
      <w:pPr>
        <w:pStyle w:val="Heading4"/>
      </w:pPr>
      <w:bookmarkStart w:id="385" w:name="_Case_Management"/>
      <w:bookmarkEnd w:id="385"/>
      <w:r>
        <w:tab/>
      </w:r>
      <w:bookmarkStart w:id="386" w:name="_Hlk528589143"/>
      <w:r>
        <w:t>Case Management</w:t>
      </w:r>
      <w:bookmarkEnd w:id="386"/>
    </w:p>
    <w:p w14:paraId="2B41BAE0" w14:textId="6D3ED1C0" w:rsidR="005C696B" w:rsidRPr="00B0723C" w:rsidRDefault="00C92570" w:rsidP="005C696B">
      <w:r>
        <w:t>The System must</w:t>
      </w:r>
      <w:r w:rsidR="00A4256E" w:rsidRPr="00847A4F">
        <w:t xml:space="preserve"> include </w:t>
      </w:r>
      <w:r w:rsidR="00A4256E">
        <w:t xml:space="preserve">all functionality </w:t>
      </w:r>
      <w:r w:rsidR="00733761">
        <w:t>necessary</w:t>
      </w:r>
      <w:r w:rsidR="005C696B">
        <w:t xml:space="preserve"> to </w:t>
      </w:r>
      <w:r w:rsidR="00A4256E">
        <w:t>manage cases</w:t>
      </w:r>
      <w:r w:rsidR="005C696B">
        <w:t>.</w:t>
      </w:r>
    </w:p>
    <w:p w14:paraId="13AAF2BA" w14:textId="77777777" w:rsidR="005C696B" w:rsidRPr="003A23F0" w:rsidRDefault="005C696B" w:rsidP="005C696B">
      <w:pPr>
        <w:rPr>
          <w:u w:val="single"/>
        </w:rPr>
      </w:pPr>
      <w:r w:rsidRPr="003A23F0">
        <w:rPr>
          <w:u w:val="single"/>
        </w:rPr>
        <w:t>Actors</w:t>
      </w:r>
    </w:p>
    <w:p w14:paraId="202E8AC3" w14:textId="77777777" w:rsidR="005C696B" w:rsidRDefault="005C696B" w:rsidP="00E16D2D">
      <w:pPr>
        <w:pStyle w:val="LB1"/>
      </w:pPr>
      <w:r>
        <w:t>Staff</w:t>
      </w:r>
    </w:p>
    <w:p w14:paraId="348E0F5E" w14:textId="77777777" w:rsidR="005C696B" w:rsidRPr="00DF6567" w:rsidRDefault="005C696B" w:rsidP="005C696B"/>
    <w:p w14:paraId="48F04949" w14:textId="77777777" w:rsidR="005C696B" w:rsidRPr="003A23F0" w:rsidRDefault="005C696B" w:rsidP="005C696B">
      <w:pPr>
        <w:rPr>
          <w:u w:val="single"/>
        </w:rPr>
      </w:pPr>
      <w:r w:rsidRPr="003A23F0">
        <w:rPr>
          <w:u w:val="single"/>
        </w:rPr>
        <w:t>Main Activities</w:t>
      </w:r>
    </w:p>
    <w:p w14:paraId="40886CD7" w14:textId="77777777" w:rsidR="008F6C3F" w:rsidRDefault="008F6C3F" w:rsidP="00E16D2D">
      <w:pPr>
        <w:pStyle w:val="LB1"/>
      </w:pPr>
      <w:r w:rsidRPr="00701F98">
        <w:t>System must provide an electronic case management system that is intuiti</w:t>
      </w:r>
      <w:r>
        <w:t>ve, intelligent, and proactive. At a minimum, the following features are required:</w:t>
      </w:r>
    </w:p>
    <w:p w14:paraId="4CC459A2" w14:textId="7B1BEE1D" w:rsidR="008F6C3F" w:rsidRDefault="008F6C3F" w:rsidP="00E16D2D">
      <w:pPr>
        <w:pStyle w:val="OB1"/>
      </w:pPr>
      <w:r>
        <w:t>P</w:t>
      </w:r>
      <w:r w:rsidRPr="00701F98">
        <w:t>repopulate</w:t>
      </w:r>
      <w:r w:rsidR="006D09D2">
        <w:t xml:space="preserve"> and allow</w:t>
      </w:r>
      <w:r w:rsidR="009521D7">
        <w:t xml:space="preserve"> S</w:t>
      </w:r>
      <w:r>
        <w:t>taff to manually add case data</w:t>
      </w:r>
    </w:p>
    <w:p w14:paraId="23AF7A6A" w14:textId="2B06BF96" w:rsidR="008F6C3F" w:rsidRDefault="008F6C3F" w:rsidP="00116640">
      <w:pPr>
        <w:pStyle w:val="OB1"/>
      </w:pPr>
      <w:r>
        <w:t>Collect and manage case notes</w:t>
      </w:r>
    </w:p>
    <w:p w14:paraId="1DF7F0D4" w14:textId="77777777" w:rsidR="008F6C3F" w:rsidRDefault="008F6C3F" w:rsidP="008F6C3F">
      <w:pPr>
        <w:pStyle w:val="SB1"/>
      </w:pPr>
      <w:r>
        <w:t>Associate with a case</w:t>
      </w:r>
    </w:p>
    <w:p w14:paraId="4BDEB0F5" w14:textId="77777777" w:rsidR="008F6C3F" w:rsidRDefault="008F6C3F" w:rsidP="008F6C3F">
      <w:pPr>
        <w:pStyle w:val="SB1"/>
      </w:pPr>
      <w:r>
        <w:t>Allow for filtering, sorting, and searching</w:t>
      </w:r>
    </w:p>
    <w:p w14:paraId="39378CD5" w14:textId="77777777" w:rsidR="008F6C3F" w:rsidRDefault="008F6C3F" w:rsidP="008F6C3F">
      <w:pPr>
        <w:pStyle w:val="SB1"/>
      </w:pPr>
      <w:r>
        <w:t>Threaded (e.g., message board)</w:t>
      </w:r>
    </w:p>
    <w:p w14:paraId="23229B73" w14:textId="77777777" w:rsidR="008F6C3F" w:rsidRDefault="008F6C3F" w:rsidP="008F6C3F">
      <w:pPr>
        <w:pStyle w:val="SB1"/>
      </w:pPr>
      <w:r>
        <w:t>P</w:t>
      </w:r>
      <w:r w:rsidRPr="00CD0D1A">
        <w:t xml:space="preserve">ermission based </w:t>
      </w:r>
      <w:r>
        <w:t xml:space="preserve">access </w:t>
      </w:r>
      <w:r w:rsidRPr="00CD0D1A">
        <w:t>(e.g., ID theft investi</w:t>
      </w:r>
      <w:r>
        <w:t>gation) based on business rules</w:t>
      </w:r>
    </w:p>
    <w:p w14:paraId="01B25CFA" w14:textId="77777777" w:rsidR="008F6C3F" w:rsidRDefault="008F6C3F" w:rsidP="008F6C3F">
      <w:pPr>
        <w:pStyle w:val="SB1"/>
      </w:pPr>
      <w:r w:rsidRPr="00CD0D1A">
        <w:t>Once notes are captured, they can or cannot be</w:t>
      </w:r>
      <w:r>
        <w:t xml:space="preserve"> edited/deleted based on business rules</w:t>
      </w:r>
    </w:p>
    <w:p w14:paraId="32A5A043" w14:textId="77777777" w:rsidR="008F6C3F" w:rsidRDefault="008F6C3F" w:rsidP="008F6C3F">
      <w:pPr>
        <w:pStyle w:val="SB1"/>
      </w:pPr>
      <w:r w:rsidRPr="00CD0D1A">
        <w:t>Notes must have a full audit trail</w:t>
      </w:r>
      <w:r>
        <w:t xml:space="preserve"> including deletes and reason for deletion</w:t>
      </w:r>
    </w:p>
    <w:p w14:paraId="17020216" w14:textId="77777777" w:rsidR="008F6C3F" w:rsidRDefault="008F6C3F" w:rsidP="008F6C3F">
      <w:pPr>
        <w:pStyle w:val="SB1"/>
      </w:pPr>
      <w:r w:rsidRPr="00130880">
        <w:t xml:space="preserve">System must provide the ability to automatically generate </w:t>
      </w:r>
      <w:r>
        <w:t xml:space="preserve">case </w:t>
      </w:r>
      <w:r w:rsidRPr="00130880">
        <w:t>notes based on system events using configurable templates</w:t>
      </w:r>
    </w:p>
    <w:p w14:paraId="4316C502" w14:textId="04D2DB6F" w:rsidR="008F6C3F" w:rsidRDefault="008F6C3F" w:rsidP="00E16D2D">
      <w:pPr>
        <w:pStyle w:val="OB1"/>
      </w:pPr>
      <w:r>
        <w:lastRenderedPageBreak/>
        <w:t xml:space="preserve">Attach, retrieve, and remove </w:t>
      </w:r>
      <w:r w:rsidRPr="00701F98">
        <w:t>files (Word, Excel, PDF, aud</w:t>
      </w:r>
      <w:r>
        <w:t>io, images, video, and other formats) to/from a case</w:t>
      </w:r>
    </w:p>
    <w:p w14:paraId="5B90AE59" w14:textId="2C935820" w:rsidR="008F6C3F" w:rsidRDefault="008F6C3F" w:rsidP="00E16D2D">
      <w:pPr>
        <w:pStyle w:val="OB1"/>
      </w:pPr>
      <w:r>
        <w:t xml:space="preserve">Allow authorized </w:t>
      </w:r>
      <w:r w:rsidR="009521D7">
        <w:t>Staff</w:t>
      </w:r>
      <w:r>
        <w:t xml:space="preserve"> to manage attached files (deleting, duplicating, re-associating data, etc.)</w:t>
      </w:r>
    </w:p>
    <w:p w14:paraId="587D7741" w14:textId="68CA384F" w:rsidR="008F6C3F" w:rsidRDefault="008F6C3F" w:rsidP="00116640">
      <w:pPr>
        <w:pStyle w:val="OB1"/>
      </w:pPr>
      <w:r>
        <w:t xml:space="preserve">System or </w:t>
      </w:r>
      <w:r w:rsidR="009521D7">
        <w:t>Staff</w:t>
      </w:r>
      <w:r>
        <w:t xml:space="preserve"> can (re)assign or present cases/issues (electronic or paper) based on: </w:t>
      </w:r>
    </w:p>
    <w:p w14:paraId="6054DA2B" w14:textId="77777777" w:rsidR="008F6C3F" w:rsidRDefault="008F6C3F" w:rsidP="008F6C3F">
      <w:pPr>
        <w:pStyle w:val="SB1"/>
      </w:pPr>
      <w:r>
        <w:t>Skills</w:t>
      </w:r>
    </w:p>
    <w:p w14:paraId="3242907E" w14:textId="77777777" w:rsidR="008F6C3F" w:rsidRDefault="008F6C3F" w:rsidP="008F6C3F">
      <w:pPr>
        <w:pStyle w:val="SB1"/>
      </w:pPr>
      <w:r>
        <w:t>Issue type and issue reason identification</w:t>
      </w:r>
    </w:p>
    <w:p w14:paraId="3EAE08B1" w14:textId="77777777" w:rsidR="008F6C3F" w:rsidRDefault="008F6C3F" w:rsidP="008F6C3F">
      <w:pPr>
        <w:pStyle w:val="SB1"/>
      </w:pPr>
      <w:r>
        <w:t>Language</w:t>
      </w:r>
    </w:p>
    <w:p w14:paraId="35903CC0" w14:textId="77777777" w:rsidR="008F6C3F" w:rsidRDefault="008F6C3F" w:rsidP="008F6C3F">
      <w:pPr>
        <w:pStyle w:val="SB1"/>
      </w:pPr>
      <w:r>
        <w:t>Staff availability (vacation, holiday, sick, etc.)</w:t>
      </w:r>
    </w:p>
    <w:p w14:paraId="79777268" w14:textId="77777777" w:rsidR="008F6C3F" w:rsidRDefault="008F6C3F" w:rsidP="008F6C3F">
      <w:pPr>
        <w:pStyle w:val="SB1"/>
      </w:pPr>
      <w:r>
        <w:t>Priority</w:t>
      </w:r>
    </w:p>
    <w:p w14:paraId="766CE5C1" w14:textId="77777777" w:rsidR="008F6C3F" w:rsidRDefault="008F6C3F" w:rsidP="008F6C3F">
      <w:pPr>
        <w:pStyle w:val="SB1"/>
      </w:pPr>
      <w:r>
        <w:t>Pending or no action pending</w:t>
      </w:r>
    </w:p>
    <w:p w14:paraId="4AB7258F" w14:textId="0022E81A" w:rsidR="008F6C3F" w:rsidRDefault="008F6C3F" w:rsidP="00E16D2D">
      <w:pPr>
        <w:pStyle w:val="OB1"/>
      </w:pPr>
      <w:r>
        <w:t>Manage and track case status</w:t>
      </w:r>
    </w:p>
    <w:p w14:paraId="6F28AFF2" w14:textId="77777777" w:rsidR="008F6C3F" w:rsidRDefault="008F6C3F" w:rsidP="008F6C3F">
      <w:pPr>
        <w:pStyle w:val="SB1"/>
      </w:pPr>
      <w:r>
        <w:t>Timeliness</w:t>
      </w:r>
    </w:p>
    <w:p w14:paraId="06F2BE52" w14:textId="77777777" w:rsidR="008F6C3F" w:rsidRDefault="008F6C3F" w:rsidP="008F6C3F">
      <w:pPr>
        <w:pStyle w:val="SB1"/>
      </w:pPr>
      <w:r>
        <w:t>Deadlines</w:t>
      </w:r>
    </w:p>
    <w:p w14:paraId="297BF661" w14:textId="77777777" w:rsidR="008F6C3F" w:rsidRDefault="008F6C3F" w:rsidP="008F6C3F">
      <w:pPr>
        <w:pStyle w:val="SB1"/>
      </w:pPr>
      <w:r>
        <w:t>Due dates</w:t>
      </w:r>
    </w:p>
    <w:p w14:paraId="13A7AF9F" w14:textId="77777777" w:rsidR="008F6C3F" w:rsidRDefault="008F6C3F" w:rsidP="008F6C3F">
      <w:pPr>
        <w:pStyle w:val="SB1"/>
      </w:pPr>
      <w:r>
        <w:t>Events and configurable conditions</w:t>
      </w:r>
    </w:p>
    <w:p w14:paraId="23092C13" w14:textId="77777777" w:rsidR="008F6C3F" w:rsidRDefault="008F6C3F" w:rsidP="008F6C3F">
      <w:pPr>
        <w:pStyle w:val="SB1"/>
      </w:pPr>
      <w:r>
        <w:t>Establish/Update date TWC knew about the issue (issue detection date)</w:t>
      </w:r>
    </w:p>
    <w:p w14:paraId="31EC890E" w14:textId="31DEC6EA" w:rsidR="008F6C3F" w:rsidRDefault="006B553E" w:rsidP="00E16D2D">
      <w:pPr>
        <w:pStyle w:val="OB1"/>
      </w:pPr>
      <w:r>
        <w:t>Perform edits and updates to multiple records at the same time</w:t>
      </w:r>
      <w:r w:rsidR="008F6C3F">
        <w:t>, for example:</w:t>
      </w:r>
    </w:p>
    <w:p w14:paraId="5081919E" w14:textId="77777777" w:rsidR="006B553E" w:rsidRDefault="006B553E" w:rsidP="006B553E">
      <w:pPr>
        <w:pStyle w:val="SB1"/>
      </w:pPr>
      <w:r>
        <w:t xml:space="preserve">Void multiple </w:t>
      </w:r>
      <w:r w:rsidRPr="006B553E">
        <w:t>mass</w:t>
      </w:r>
      <w:r>
        <w:t xml:space="preserve"> claims</w:t>
      </w:r>
    </w:p>
    <w:p w14:paraId="2F13F70D" w14:textId="77777777" w:rsidR="008F6C3F" w:rsidRDefault="008F6C3F" w:rsidP="00E16D2D">
      <w:pPr>
        <w:pStyle w:val="OB1"/>
      </w:pPr>
      <w:r>
        <w:t xml:space="preserve">Issue determinations on multiple Claimants </w:t>
      </w:r>
    </w:p>
    <w:p w14:paraId="2BF97F52" w14:textId="4BCF50B8" w:rsidR="008F6C3F" w:rsidRDefault="006D09D2" w:rsidP="00E16D2D">
      <w:pPr>
        <w:pStyle w:val="OB1"/>
      </w:pPr>
      <w:r>
        <w:t xml:space="preserve">Make </w:t>
      </w:r>
      <w:r w:rsidR="008F6C3F">
        <w:t>Case/Issue documentation available for other d</w:t>
      </w:r>
      <w:r w:rsidR="008A6EA1">
        <w:t>epartments such as Appeals and O</w:t>
      </w:r>
      <w:r w:rsidR="008F6C3F">
        <w:t xml:space="preserve">pen </w:t>
      </w:r>
      <w:r w:rsidR="008A6EA1">
        <w:t>R</w:t>
      </w:r>
      <w:r w:rsidR="008F6C3F">
        <w:t>ecords based on business rules</w:t>
      </w:r>
    </w:p>
    <w:p w14:paraId="1D963F36" w14:textId="61805423" w:rsidR="008F6C3F" w:rsidRDefault="008F6C3F" w:rsidP="00116640">
      <w:pPr>
        <w:pStyle w:val="OB1"/>
      </w:pPr>
      <w:r>
        <w:t>Record case history</w:t>
      </w:r>
    </w:p>
    <w:p w14:paraId="2803CCF7" w14:textId="3B095C6A" w:rsidR="008F6C3F" w:rsidRDefault="008F6C3F" w:rsidP="00F82166">
      <w:pPr>
        <w:pStyle w:val="OB1"/>
      </w:pPr>
      <w:r>
        <w:t>P</w:t>
      </w:r>
      <w:r w:rsidRPr="00701F98">
        <w:t>rovide</w:t>
      </w:r>
      <w:r>
        <w:t xml:space="preserve"> a customizable case dashboard</w:t>
      </w:r>
    </w:p>
    <w:p w14:paraId="34DAEB1C" w14:textId="356A040F" w:rsidR="008F6C3F" w:rsidRDefault="008F6C3F" w:rsidP="00F82166">
      <w:pPr>
        <w:pStyle w:val="OB1"/>
      </w:pPr>
      <w:r>
        <w:t>Include metrics, productivity, and management reporting</w:t>
      </w:r>
    </w:p>
    <w:p w14:paraId="4D7A60AC" w14:textId="354AC1E9" w:rsidR="008F6C3F" w:rsidRDefault="008F6C3F">
      <w:pPr>
        <w:pStyle w:val="OB1"/>
      </w:pPr>
      <w:r>
        <w:t>Track outcomes</w:t>
      </w:r>
    </w:p>
    <w:p w14:paraId="6ADB759B" w14:textId="20024C93" w:rsidR="008F6C3F" w:rsidRDefault="008F6C3F">
      <w:pPr>
        <w:pStyle w:val="OB1"/>
      </w:pPr>
      <w:r>
        <w:t xml:space="preserve">Allow for </w:t>
      </w:r>
      <w:r w:rsidR="00CD2E35">
        <w:rPr>
          <w:szCs w:val="24"/>
        </w:rPr>
        <w:t>q</w:t>
      </w:r>
      <w:r w:rsidR="008A2B25">
        <w:rPr>
          <w:szCs w:val="24"/>
        </w:rPr>
        <w:t xml:space="preserve">uality </w:t>
      </w:r>
      <w:r w:rsidR="00CD2E35">
        <w:rPr>
          <w:szCs w:val="24"/>
        </w:rPr>
        <w:t>a</w:t>
      </w:r>
      <w:r w:rsidR="008A2B25">
        <w:rPr>
          <w:szCs w:val="24"/>
        </w:rPr>
        <w:t>ssurance</w:t>
      </w:r>
      <w:r w:rsidR="008A2B25">
        <w:t xml:space="preserve"> (</w:t>
      </w:r>
      <w:r>
        <w:t>QA</w:t>
      </w:r>
      <w:r w:rsidR="008A2B25">
        <w:t>)</w:t>
      </w:r>
      <w:r>
        <w:t xml:space="preserve"> sampling</w:t>
      </w:r>
    </w:p>
    <w:p w14:paraId="003BB452" w14:textId="3265ABFF" w:rsidR="008F6C3F" w:rsidRPr="00701F98" w:rsidRDefault="008F6C3F">
      <w:pPr>
        <w:pStyle w:val="OB1"/>
      </w:pPr>
      <w:r>
        <w:t>G</w:t>
      </w:r>
      <w:r w:rsidRPr="00701F98">
        <w:t>enerate standard and ad hoc reports</w:t>
      </w:r>
    </w:p>
    <w:p w14:paraId="0D816EC1" w14:textId="4FD8F3DE" w:rsidR="008F6C3F" w:rsidRDefault="008F6C3F">
      <w:pPr>
        <w:pStyle w:val="OB1"/>
      </w:pPr>
      <w:r>
        <w:t>M</w:t>
      </w:r>
      <w:r w:rsidRPr="00701F98">
        <w:t>anage, search,</w:t>
      </w:r>
      <w:r>
        <w:t xml:space="preserve"> and display case information</w:t>
      </w:r>
    </w:p>
    <w:p w14:paraId="3982A819" w14:textId="14827DFB" w:rsidR="008F6C3F" w:rsidRDefault="008F6C3F">
      <w:pPr>
        <w:pStyle w:val="OB1"/>
      </w:pPr>
      <w:r>
        <w:t>Notif</w:t>
      </w:r>
      <w:r w:rsidR="006D09D2">
        <w:t>y</w:t>
      </w:r>
      <w:r w:rsidRPr="00701F98">
        <w:t xml:space="preserve"> </w:t>
      </w:r>
      <w:r w:rsidR="009521D7">
        <w:t>Staff</w:t>
      </w:r>
      <w:r w:rsidRPr="00701F98">
        <w:t xml:space="preserve"> of the next best</w:t>
      </w:r>
      <w:r>
        <w:t xml:space="preserve"> action</w:t>
      </w:r>
    </w:p>
    <w:p w14:paraId="6477A1F3" w14:textId="2FDCAF1C" w:rsidR="008F6C3F" w:rsidRDefault="008F6C3F">
      <w:pPr>
        <w:pStyle w:val="OB1"/>
      </w:pPr>
      <w:r>
        <w:t>N</w:t>
      </w:r>
      <w:r w:rsidRPr="00701F98">
        <w:t>otif</w:t>
      </w:r>
      <w:r w:rsidR="006D09D2">
        <w:t>y</w:t>
      </w:r>
      <w:r>
        <w:t xml:space="preserve"> </w:t>
      </w:r>
      <w:r w:rsidR="009521D7">
        <w:t>Staff</w:t>
      </w:r>
      <w:r>
        <w:t xml:space="preserve"> of pending deadlines</w:t>
      </w:r>
    </w:p>
    <w:p w14:paraId="5C8CD5A5" w14:textId="114A37BA" w:rsidR="008F6C3F" w:rsidRDefault="008F6C3F">
      <w:pPr>
        <w:pStyle w:val="OB1"/>
      </w:pPr>
      <w:r>
        <w:t xml:space="preserve">Present </w:t>
      </w:r>
      <w:r w:rsidR="009521D7">
        <w:t>Staff</w:t>
      </w:r>
      <w:r>
        <w:t xml:space="preserve"> with next case to handle based on business rules and priority</w:t>
      </w:r>
    </w:p>
    <w:p w14:paraId="21ED0A23" w14:textId="01B49C10" w:rsidR="008F6C3F" w:rsidRDefault="008F6C3F">
      <w:pPr>
        <w:pStyle w:val="OB1"/>
      </w:pPr>
      <w:r>
        <w:t>I</w:t>
      </w:r>
      <w:r w:rsidRPr="00701F98">
        <w:t xml:space="preserve">ntegrate with TWC's </w:t>
      </w:r>
      <w:r>
        <w:t>email system and stores emails</w:t>
      </w:r>
    </w:p>
    <w:p w14:paraId="1DAAA979" w14:textId="0A73E218" w:rsidR="008F6C3F" w:rsidRDefault="008F6C3F">
      <w:pPr>
        <w:pStyle w:val="OB1"/>
      </w:pPr>
      <w:r>
        <w:t>L</w:t>
      </w:r>
      <w:r w:rsidRPr="00701F98">
        <w:t>og</w:t>
      </w:r>
      <w:r>
        <w:t xml:space="preserve"> phone calls, mail, and electronic correspondence (emails, chat, etc.)</w:t>
      </w:r>
    </w:p>
    <w:p w14:paraId="373448BF" w14:textId="55D35EAA" w:rsidR="008F6C3F" w:rsidRDefault="008F6C3F">
      <w:pPr>
        <w:pStyle w:val="OB1"/>
      </w:pPr>
      <w:r>
        <w:t>R</w:t>
      </w:r>
      <w:r w:rsidRPr="00701F98">
        <w:t xml:space="preserve">ecord </w:t>
      </w:r>
      <w:r>
        <w:t xml:space="preserve">active task </w:t>
      </w:r>
      <w:r w:rsidRPr="00701F98">
        <w:t>time</w:t>
      </w:r>
      <w:r>
        <w:t xml:space="preserve"> and duration (start to finish)</w:t>
      </w:r>
      <w:r w:rsidRPr="00701F98">
        <w:t>, logs activ</w:t>
      </w:r>
      <w:r>
        <w:t>ities, and links to Finance</w:t>
      </w:r>
    </w:p>
    <w:p w14:paraId="6BD78D4B" w14:textId="13BE4328" w:rsidR="008F6C3F" w:rsidRDefault="008F6C3F">
      <w:pPr>
        <w:pStyle w:val="OB1"/>
      </w:pPr>
      <w:r>
        <w:t>A</w:t>
      </w:r>
      <w:r w:rsidRPr="00701F98">
        <w:t>ll</w:t>
      </w:r>
      <w:r>
        <w:t>ow for customizable workflows (including across departments), ad hoc tasks, customizable workflow templates based on business rules</w:t>
      </w:r>
    </w:p>
    <w:p w14:paraId="47546225" w14:textId="7032B589" w:rsidR="008F6C3F" w:rsidRDefault="008F6C3F">
      <w:pPr>
        <w:pStyle w:val="OB1"/>
      </w:pPr>
      <w:r>
        <w:t>M</w:t>
      </w:r>
      <w:r w:rsidRPr="00701F98">
        <w:t xml:space="preserve">anage tasks </w:t>
      </w:r>
      <w:r>
        <w:t>and deadlines including alerts</w:t>
      </w:r>
    </w:p>
    <w:p w14:paraId="0B45EE80" w14:textId="7628FFF5" w:rsidR="008F6C3F" w:rsidRDefault="008F6C3F">
      <w:pPr>
        <w:pStyle w:val="OB1"/>
      </w:pPr>
      <w:r>
        <w:lastRenderedPageBreak/>
        <w:t>I</w:t>
      </w:r>
      <w:r w:rsidRPr="00701F98">
        <w:t>ncl</w:t>
      </w:r>
      <w:r>
        <w:t>ude automated task scheduling</w:t>
      </w:r>
    </w:p>
    <w:p w14:paraId="14DB5BCD" w14:textId="60635D90" w:rsidR="008F6C3F" w:rsidRDefault="008F6C3F">
      <w:pPr>
        <w:pStyle w:val="OB1"/>
      </w:pPr>
      <w:r>
        <w:t>A</w:t>
      </w:r>
      <w:r w:rsidRPr="00701F98">
        <w:t>llow author</w:t>
      </w:r>
      <w:r>
        <w:t>ized users to view information</w:t>
      </w:r>
    </w:p>
    <w:p w14:paraId="3E5D7CE6" w14:textId="6FD470C8" w:rsidR="008F6C3F" w:rsidRDefault="008A6EA1">
      <w:pPr>
        <w:pStyle w:val="LB1"/>
      </w:pPr>
      <w:r w:rsidRPr="00380BD0">
        <w:t>System must capture all updates made to cases</w:t>
      </w:r>
      <w:r>
        <w:t xml:space="preserve">, </w:t>
      </w:r>
      <w:r w:rsidRPr="00380BD0">
        <w:t>claims</w:t>
      </w:r>
      <w:r>
        <w:t xml:space="preserve">, and </w:t>
      </w:r>
      <w:r w:rsidRPr="00380BD0">
        <w:t>appeal</w:t>
      </w:r>
      <w:r>
        <w:t>s</w:t>
      </w:r>
      <w:r w:rsidRPr="00380BD0">
        <w:t xml:space="preserve"> (e.g., when an interested party fails to attend the appeal hearing) in the </w:t>
      </w:r>
      <w:r>
        <w:t>CMS</w:t>
      </w:r>
    </w:p>
    <w:p w14:paraId="35C99FE7" w14:textId="2AAE2038" w:rsidR="00B77980" w:rsidRDefault="00B77980">
      <w:pPr>
        <w:pStyle w:val="LB1"/>
      </w:pPr>
      <w:bookmarkStart w:id="387" w:name="_Hlk535923197"/>
      <w:r w:rsidRPr="0094562E">
        <w:t xml:space="preserve">System must </w:t>
      </w:r>
      <w:r>
        <w:t xml:space="preserve">interface with TWC’s CMS, currently FileNet, or </w:t>
      </w:r>
      <w:r w:rsidRPr="0094562E">
        <w:t xml:space="preserve">include all functionality necessary to store </w:t>
      </w:r>
      <w:r w:rsidR="0034765B" w:rsidRPr="0034765B">
        <w:t>documents, correspondence, and related materials</w:t>
      </w:r>
      <w:r w:rsidR="0034765B">
        <w:t xml:space="preserve"> </w:t>
      </w:r>
      <w:r w:rsidRPr="0094562E">
        <w:t xml:space="preserve">in a </w:t>
      </w:r>
      <w:r>
        <w:t>CMS</w:t>
      </w:r>
    </w:p>
    <w:bookmarkEnd w:id="387"/>
    <w:p w14:paraId="7E733DD2" w14:textId="77777777" w:rsidR="008F6C3F" w:rsidRDefault="008F6C3F" w:rsidP="008F6C3F"/>
    <w:p w14:paraId="0F96BB4F" w14:textId="6D2A134B" w:rsidR="005C696B" w:rsidRDefault="005C696B" w:rsidP="005C696B">
      <w:pPr>
        <w:pStyle w:val="Heading4"/>
      </w:pPr>
      <w:bookmarkStart w:id="388" w:name="_Code_Tables"/>
      <w:bookmarkStart w:id="389" w:name="_Code_or_Lookup"/>
      <w:bookmarkEnd w:id="388"/>
      <w:bookmarkEnd w:id="389"/>
      <w:r>
        <w:tab/>
      </w:r>
      <w:r w:rsidR="001A4872">
        <w:t>Code or Lookup Tables and Business Rules</w:t>
      </w:r>
    </w:p>
    <w:p w14:paraId="249C9234" w14:textId="0624068C" w:rsidR="005C696B" w:rsidRPr="00B0723C" w:rsidRDefault="00C92570" w:rsidP="005C696B">
      <w:r>
        <w:t>The System must</w:t>
      </w:r>
      <w:r w:rsidR="00733761" w:rsidRPr="00847A4F">
        <w:t xml:space="preserve"> include </w:t>
      </w:r>
      <w:r w:rsidR="00733761">
        <w:t>all functionality necessary to enter and update solution code tables</w:t>
      </w:r>
      <w:r w:rsidR="008F22D2">
        <w:t xml:space="preserve"> and business rules</w:t>
      </w:r>
      <w:r w:rsidR="005C696B">
        <w:t>.</w:t>
      </w:r>
    </w:p>
    <w:p w14:paraId="25A199D4" w14:textId="77777777" w:rsidR="005C696B" w:rsidRPr="003A23F0" w:rsidRDefault="005C696B" w:rsidP="005C696B">
      <w:pPr>
        <w:rPr>
          <w:u w:val="single"/>
        </w:rPr>
      </w:pPr>
      <w:r w:rsidRPr="003A23F0">
        <w:rPr>
          <w:u w:val="single"/>
        </w:rPr>
        <w:t>Actors</w:t>
      </w:r>
    </w:p>
    <w:p w14:paraId="439711B0" w14:textId="77777777" w:rsidR="005C696B" w:rsidRDefault="005C696B" w:rsidP="00E16D2D">
      <w:pPr>
        <w:pStyle w:val="LB1"/>
      </w:pPr>
      <w:r>
        <w:t>Staff</w:t>
      </w:r>
    </w:p>
    <w:p w14:paraId="158E6535" w14:textId="77777777" w:rsidR="005C696B" w:rsidRPr="00DF6567" w:rsidRDefault="005C696B" w:rsidP="005C696B"/>
    <w:p w14:paraId="12CD54AF" w14:textId="77777777" w:rsidR="005C696B" w:rsidRPr="003A23F0" w:rsidRDefault="005C696B" w:rsidP="005C696B">
      <w:pPr>
        <w:rPr>
          <w:u w:val="single"/>
        </w:rPr>
      </w:pPr>
      <w:r w:rsidRPr="003A23F0">
        <w:rPr>
          <w:u w:val="single"/>
        </w:rPr>
        <w:t>Main Activities</w:t>
      </w:r>
    </w:p>
    <w:p w14:paraId="392AFE0F" w14:textId="639ECA96" w:rsidR="00733761" w:rsidRDefault="00733761" w:rsidP="00E16D2D">
      <w:pPr>
        <w:pStyle w:val="LB1"/>
      </w:pPr>
      <w:bookmarkStart w:id="390" w:name="_Hlk524011093"/>
      <w:r>
        <w:t xml:space="preserve">System must allow authorized </w:t>
      </w:r>
      <w:r w:rsidR="009521D7">
        <w:t>Staff</w:t>
      </w:r>
      <w:r>
        <w:t xml:space="preserve"> to maintain code tables</w:t>
      </w:r>
      <w:r w:rsidR="00C35CDE">
        <w:t>, examples include:</w:t>
      </w:r>
    </w:p>
    <w:p w14:paraId="41615A58" w14:textId="2D4B5972" w:rsidR="00733761" w:rsidRDefault="00733761" w:rsidP="00E16D2D">
      <w:pPr>
        <w:pStyle w:val="OB1"/>
      </w:pPr>
      <w:r>
        <w:t xml:space="preserve">NAICS codes from </w:t>
      </w:r>
      <w:r w:rsidR="00CF5283">
        <w:t>Bureau of Labor Statistics (</w:t>
      </w:r>
      <w:r>
        <w:t>BLS</w:t>
      </w:r>
      <w:r w:rsidR="00CF5283">
        <w:t>)</w:t>
      </w:r>
    </w:p>
    <w:p w14:paraId="4EEBC88D" w14:textId="4DD92AAA" w:rsidR="00C35CDE" w:rsidRDefault="00646C12" w:rsidP="00116640">
      <w:pPr>
        <w:pStyle w:val="OB1"/>
      </w:pPr>
      <w:r>
        <w:t>DUA program codes</w:t>
      </w:r>
    </w:p>
    <w:p w14:paraId="7C76296E" w14:textId="081B1C0A" w:rsidR="00646C12" w:rsidRDefault="00646C12" w:rsidP="00F82166">
      <w:pPr>
        <w:pStyle w:val="OB1"/>
      </w:pPr>
      <w:r>
        <w:t>Etc.</w:t>
      </w:r>
    </w:p>
    <w:bookmarkEnd w:id="390"/>
    <w:p w14:paraId="4ED3B417" w14:textId="1F605A15" w:rsidR="00733761" w:rsidRDefault="00733761" w:rsidP="00F82166">
      <w:pPr>
        <w:pStyle w:val="LB1"/>
      </w:pPr>
      <w:r>
        <w:t xml:space="preserve">System must allow authorized </w:t>
      </w:r>
      <w:r w:rsidR="009521D7">
        <w:t>Staff</w:t>
      </w:r>
      <w:r>
        <w:t xml:space="preserve"> to maintain code table values, examples include:</w:t>
      </w:r>
    </w:p>
    <w:p w14:paraId="2AB0B331" w14:textId="77777777" w:rsidR="00733761" w:rsidRDefault="00733761">
      <w:pPr>
        <w:pStyle w:val="OB1"/>
      </w:pPr>
      <w:r>
        <w:t>Work search thresholds</w:t>
      </w:r>
    </w:p>
    <w:p w14:paraId="57D73AA9" w14:textId="77777777" w:rsidR="00733761" w:rsidRDefault="00733761">
      <w:pPr>
        <w:pStyle w:val="OB1"/>
      </w:pPr>
      <w:r>
        <w:t>Display messages</w:t>
      </w:r>
    </w:p>
    <w:p w14:paraId="61B6A0E3" w14:textId="71BC2BEF" w:rsidR="005C696B" w:rsidRDefault="00733761">
      <w:pPr>
        <w:pStyle w:val="LB1"/>
      </w:pPr>
      <w:r w:rsidRPr="00C31F0B">
        <w:t xml:space="preserve">System must allow authorized business </w:t>
      </w:r>
      <w:r>
        <w:t>Staff</w:t>
      </w:r>
      <w:r w:rsidRPr="00C31F0B">
        <w:t xml:space="preserve"> to create and edit code tables, preformatted text segments, and templates to the greatest extent possible. The Offeror must describe how code tables are configured, parameter-based, and available for selection by </w:t>
      </w:r>
      <w:r>
        <w:t>Staff</w:t>
      </w:r>
    </w:p>
    <w:p w14:paraId="5AEE6EFA" w14:textId="74C01E69" w:rsidR="008F22D2" w:rsidRDefault="008F22D2">
      <w:pPr>
        <w:pStyle w:val="LB1"/>
      </w:pPr>
      <w:r w:rsidRPr="008F22D2">
        <w:t xml:space="preserve">System must allow authorized business </w:t>
      </w:r>
      <w:r>
        <w:t>Staff</w:t>
      </w:r>
      <w:r w:rsidRPr="008F22D2">
        <w:t xml:space="preserve"> to create and edit business rules to the greatest extent possible. The Offeror must describe how business rules are configured and parameter-based.</w:t>
      </w:r>
    </w:p>
    <w:p w14:paraId="095B9922" w14:textId="6EF40BFD" w:rsidR="00456B62" w:rsidRDefault="00456B62">
      <w:pPr>
        <w:pStyle w:val="LB1"/>
      </w:pPr>
      <w:r w:rsidRPr="00456B62">
        <w:t>System must allow authorized business Staff to enter and designate working/non-working days, mail/no-mail days, and process/no process payment days, into the system. System must factor in working/non-working days as well as mail/no-mail days when calculating due dates such as response times for fact finding. System must be able to recalculate previously issued due dates, which have not yet expired, when changes made to working/non-working days and/or mail/no-mail days after issuance that fall after issuance and before expiration.</w:t>
      </w:r>
    </w:p>
    <w:p w14:paraId="30916C50" w14:textId="77777777" w:rsidR="00733761" w:rsidRDefault="00733761" w:rsidP="00733761"/>
    <w:p w14:paraId="2953B231" w14:textId="435A6CAA" w:rsidR="005C696B" w:rsidRDefault="005C696B" w:rsidP="005C696B">
      <w:pPr>
        <w:pStyle w:val="Heading4"/>
      </w:pPr>
      <w:bookmarkStart w:id="391" w:name="_Dashboards"/>
      <w:bookmarkEnd w:id="391"/>
      <w:r>
        <w:lastRenderedPageBreak/>
        <w:tab/>
        <w:t>Dashboards</w:t>
      </w:r>
    </w:p>
    <w:p w14:paraId="0AE7BEB9" w14:textId="7D6E516D" w:rsidR="005C696B" w:rsidRPr="00B0723C" w:rsidRDefault="00C92570" w:rsidP="005C696B">
      <w:r>
        <w:t>The System must</w:t>
      </w:r>
      <w:r w:rsidR="00B02B50" w:rsidRPr="00847A4F">
        <w:t xml:space="preserve"> include </w:t>
      </w:r>
      <w:r w:rsidR="00B02B50">
        <w:t>all functionality necessary to</w:t>
      </w:r>
      <w:r w:rsidR="009E4CE1">
        <w:t xml:space="preserve"> graphically present information for decision making</w:t>
      </w:r>
      <w:r w:rsidR="005C696B">
        <w:t>.</w:t>
      </w:r>
    </w:p>
    <w:p w14:paraId="778C662B" w14:textId="77777777" w:rsidR="005C696B" w:rsidRPr="003A23F0" w:rsidRDefault="005C696B" w:rsidP="005C696B">
      <w:pPr>
        <w:rPr>
          <w:u w:val="single"/>
        </w:rPr>
      </w:pPr>
      <w:r w:rsidRPr="003A23F0">
        <w:rPr>
          <w:u w:val="single"/>
        </w:rPr>
        <w:t>Actors</w:t>
      </w:r>
    </w:p>
    <w:p w14:paraId="60386AD8" w14:textId="77777777" w:rsidR="005C696B" w:rsidRDefault="005C696B" w:rsidP="00E16D2D">
      <w:pPr>
        <w:pStyle w:val="LB1"/>
      </w:pPr>
      <w:r>
        <w:t>Staff</w:t>
      </w:r>
    </w:p>
    <w:p w14:paraId="6F67B79C" w14:textId="77777777" w:rsidR="005C696B" w:rsidRPr="00DF6567" w:rsidRDefault="005C696B" w:rsidP="005C696B"/>
    <w:p w14:paraId="78FBBF06" w14:textId="77777777" w:rsidR="005C696B" w:rsidRPr="003A23F0" w:rsidRDefault="005C696B" w:rsidP="005C696B">
      <w:pPr>
        <w:rPr>
          <w:u w:val="single"/>
        </w:rPr>
      </w:pPr>
      <w:r w:rsidRPr="003A23F0">
        <w:rPr>
          <w:u w:val="single"/>
        </w:rPr>
        <w:t>Main Activities</w:t>
      </w:r>
    </w:p>
    <w:p w14:paraId="3168A480" w14:textId="77777777" w:rsidR="009567C8" w:rsidRDefault="009567C8" w:rsidP="00E16D2D">
      <w:pPr>
        <w:pStyle w:val="LB1"/>
      </w:pPr>
      <w:r>
        <w:t>System must present information clearly</w:t>
      </w:r>
    </w:p>
    <w:p w14:paraId="167B8F61" w14:textId="77777777" w:rsidR="009567C8" w:rsidRDefault="009567C8" w:rsidP="00E16D2D">
      <w:pPr>
        <w:pStyle w:val="OB1"/>
      </w:pPr>
      <w:r>
        <w:t>Text</w:t>
      </w:r>
    </w:p>
    <w:p w14:paraId="1D383DA7" w14:textId="77777777" w:rsidR="009567C8" w:rsidRDefault="009567C8" w:rsidP="00116640">
      <w:pPr>
        <w:pStyle w:val="OB1"/>
      </w:pPr>
      <w:r>
        <w:t>Charts</w:t>
      </w:r>
    </w:p>
    <w:p w14:paraId="11A1F91A" w14:textId="77777777" w:rsidR="009567C8" w:rsidRDefault="009567C8" w:rsidP="00F82166">
      <w:pPr>
        <w:pStyle w:val="OB1"/>
      </w:pPr>
      <w:r>
        <w:t>Graphs</w:t>
      </w:r>
    </w:p>
    <w:p w14:paraId="0DDE0E39" w14:textId="77777777" w:rsidR="009567C8" w:rsidRDefault="009567C8" w:rsidP="00F82166">
      <w:pPr>
        <w:pStyle w:val="OB1"/>
      </w:pPr>
      <w:r>
        <w:t>Tables</w:t>
      </w:r>
    </w:p>
    <w:p w14:paraId="1AD467E4" w14:textId="77777777" w:rsidR="009567C8" w:rsidRDefault="009567C8">
      <w:pPr>
        <w:pStyle w:val="OB1"/>
      </w:pPr>
      <w:r>
        <w:t>Alerts</w:t>
      </w:r>
    </w:p>
    <w:p w14:paraId="61A25EBB" w14:textId="77777777" w:rsidR="009567C8" w:rsidRDefault="009567C8">
      <w:pPr>
        <w:pStyle w:val="OB1"/>
      </w:pPr>
      <w:r>
        <w:t>Workflow status</w:t>
      </w:r>
    </w:p>
    <w:p w14:paraId="2D192206" w14:textId="77777777" w:rsidR="009567C8" w:rsidRDefault="009567C8">
      <w:pPr>
        <w:pStyle w:val="OB1"/>
      </w:pPr>
      <w:r>
        <w:t xml:space="preserve">Metrics </w:t>
      </w:r>
    </w:p>
    <w:p w14:paraId="383AFDD9" w14:textId="77777777" w:rsidR="009567C8" w:rsidRDefault="009567C8">
      <w:pPr>
        <w:pStyle w:val="LB1"/>
      </w:pPr>
      <w:r>
        <w:t>System must allow users to customize their dashboards</w:t>
      </w:r>
    </w:p>
    <w:p w14:paraId="4A29341D" w14:textId="77777777" w:rsidR="009567C8" w:rsidRDefault="009567C8">
      <w:pPr>
        <w:pStyle w:val="OB1"/>
      </w:pPr>
      <w:r>
        <w:t>Layout and Design</w:t>
      </w:r>
    </w:p>
    <w:p w14:paraId="29C124E9" w14:textId="77777777" w:rsidR="009567C8" w:rsidRDefault="009567C8" w:rsidP="009567C8">
      <w:pPr>
        <w:pStyle w:val="SB1"/>
      </w:pPr>
      <w:r>
        <w:t>Grouping</w:t>
      </w:r>
    </w:p>
    <w:p w14:paraId="71B1D974" w14:textId="77777777" w:rsidR="009567C8" w:rsidRDefault="009567C8" w:rsidP="009567C8">
      <w:pPr>
        <w:pStyle w:val="SB1"/>
      </w:pPr>
      <w:r>
        <w:t>Relationships</w:t>
      </w:r>
    </w:p>
    <w:p w14:paraId="4EF03D09" w14:textId="77777777" w:rsidR="009567C8" w:rsidRDefault="009567C8" w:rsidP="00E16D2D">
      <w:pPr>
        <w:pStyle w:val="OB1"/>
      </w:pPr>
      <w:r>
        <w:t>Flow</w:t>
      </w:r>
    </w:p>
    <w:p w14:paraId="716272E2" w14:textId="77777777" w:rsidR="009567C8" w:rsidRDefault="009567C8" w:rsidP="00E16D2D">
      <w:pPr>
        <w:pStyle w:val="OB1"/>
      </w:pPr>
      <w:r>
        <w:t>At a glance simplicity</w:t>
      </w:r>
    </w:p>
    <w:p w14:paraId="2E39167E" w14:textId="31B797DA" w:rsidR="008C4363" w:rsidRDefault="008C4363" w:rsidP="00116640">
      <w:pPr>
        <w:pStyle w:val="LB1"/>
      </w:pPr>
      <w:bookmarkStart w:id="392" w:name="_Hlk524077774"/>
      <w:r>
        <w:t>System must collect and report on data for root cause analysis to answer questions such as:</w:t>
      </w:r>
    </w:p>
    <w:p w14:paraId="5F209B91" w14:textId="77777777" w:rsidR="008C4363" w:rsidRDefault="008C4363" w:rsidP="00F82166">
      <w:pPr>
        <w:pStyle w:val="OB1"/>
      </w:pPr>
      <w:r>
        <w:t>Why are we not meeting our timeliness measures?</w:t>
      </w:r>
    </w:p>
    <w:p w14:paraId="00FCE192" w14:textId="77777777" w:rsidR="008C4363" w:rsidRDefault="008C4363" w:rsidP="008C4363">
      <w:pPr>
        <w:pStyle w:val="SB1"/>
      </w:pPr>
      <w:r>
        <w:t>Filtered by claim types</w:t>
      </w:r>
    </w:p>
    <w:p w14:paraId="006653FE" w14:textId="77777777" w:rsidR="008C4363" w:rsidRDefault="008C4363" w:rsidP="008C4363">
      <w:pPr>
        <w:pStyle w:val="SB1"/>
      </w:pPr>
      <w:r>
        <w:t>Filtered by Staff who worked the claim</w:t>
      </w:r>
    </w:p>
    <w:p w14:paraId="1EA59B32" w14:textId="0CB0B167" w:rsidR="001D317A" w:rsidRDefault="001D317A" w:rsidP="00E16D2D">
      <w:pPr>
        <w:pStyle w:val="OB1"/>
      </w:pPr>
      <w:r>
        <w:t xml:space="preserve">Why is a </w:t>
      </w:r>
      <w:r w:rsidR="009B186F">
        <w:t>Claims Examiner (</w:t>
      </w:r>
      <w:r>
        <w:t>CE</w:t>
      </w:r>
      <w:r w:rsidR="009B186F">
        <w:t>)</w:t>
      </w:r>
      <w:r>
        <w:t xml:space="preserve"> closing too few cases?</w:t>
      </w:r>
    </w:p>
    <w:p w14:paraId="70B0E25B" w14:textId="7A68B99C" w:rsidR="008C4363" w:rsidRDefault="008C4363" w:rsidP="00E16D2D">
      <w:pPr>
        <w:pStyle w:val="OB1"/>
      </w:pPr>
      <w:r>
        <w:t>Etc.</w:t>
      </w:r>
    </w:p>
    <w:bookmarkEnd w:id="392"/>
    <w:p w14:paraId="68DE4887" w14:textId="77777777" w:rsidR="009567C8" w:rsidRDefault="009567C8" w:rsidP="00116640">
      <w:pPr>
        <w:pStyle w:val="LB1"/>
      </w:pPr>
      <w:r>
        <w:t>System dashboards must include the following features</w:t>
      </w:r>
    </w:p>
    <w:p w14:paraId="329149C5" w14:textId="0B53DF2C" w:rsidR="009567C8" w:rsidRDefault="009567C8" w:rsidP="00F82166">
      <w:pPr>
        <w:pStyle w:val="OB1"/>
      </w:pPr>
      <w:r w:rsidRPr="009567C8">
        <w:rPr>
          <w:b/>
        </w:rPr>
        <w:t>Drill down</w:t>
      </w:r>
      <w:r w:rsidRPr="00CE6896">
        <w:t xml:space="preserve">: </w:t>
      </w:r>
      <w:r>
        <w:t xml:space="preserve">System </w:t>
      </w:r>
      <w:r w:rsidR="00C60CD7">
        <w:t xml:space="preserve">must </w:t>
      </w:r>
      <w:r>
        <w:t>include the a</w:t>
      </w:r>
      <w:r w:rsidRPr="00CE6896">
        <w:t>bility to go from a summary metric or view to additional detail that provides more context and/or</w:t>
      </w:r>
      <w:r>
        <w:t xml:space="preserve"> breakout of the information</w:t>
      </w:r>
    </w:p>
    <w:p w14:paraId="0AC7E588" w14:textId="14A5E3CD" w:rsidR="009567C8" w:rsidRDefault="009567C8" w:rsidP="00F82166">
      <w:pPr>
        <w:pStyle w:val="OB1"/>
      </w:pPr>
      <w:r w:rsidRPr="009567C8">
        <w:rPr>
          <w:b/>
        </w:rPr>
        <w:t>Filters</w:t>
      </w:r>
      <w:r w:rsidRPr="00CE6896">
        <w:t xml:space="preserve">: </w:t>
      </w:r>
      <w:r>
        <w:t xml:space="preserve">System </w:t>
      </w:r>
      <w:r w:rsidR="00C60CD7">
        <w:t xml:space="preserve">must </w:t>
      </w:r>
      <w:r>
        <w:t>allow Staff</w:t>
      </w:r>
      <w:r w:rsidRPr="00CE6896">
        <w:t xml:space="preserve"> to deﬁne the scope of the data in the dashboard to reﬂect their needs.</w:t>
      </w:r>
      <w:r w:rsidR="00EE5622">
        <w:t xml:space="preserve"> </w:t>
      </w:r>
      <w:r w:rsidRPr="00CE6896">
        <w:t>Filters can either be global (reﬁning scope for the entire dashboard) or local (reﬁning scope for a spec</w:t>
      </w:r>
      <w:r>
        <w:t>iﬁc chart or metric or view)</w:t>
      </w:r>
    </w:p>
    <w:p w14:paraId="5ABB5DF0" w14:textId="72CC4BB1" w:rsidR="00C60CD7" w:rsidRPr="00C60CD7" w:rsidRDefault="00C60CD7">
      <w:pPr>
        <w:pStyle w:val="OB1"/>
      </w:pPr>
      <w:r>
        <w:rPr>
          <w:b/>
        </w:rPr>
        <w:t>Time</w:t>
      </w:r>
      <w:r w:rsidRPr="00CE6896">
        <w:t xml:space="preserve">: </w:t>
      </w:r>
      <w:r>
        <w:t>System must include the a</w:t>
      </w:r>
      <w:r w:rsidRPr="00CE6896">
        <w:t xml:space="preserve">bility to </w:t>
      </w:r>
      <w:r>
        <w:t>select different time scales including real-time, daily, weekly, monthly, quarterly, and yearly</w:t>
      </w:r>
    </w:p>
    <w:p w14:paraId="31BD5984" w14:textId="3E071235" w:rsidR="009567C8" w:rsidRDefault="009567C8">
      <w:pPr>
        <w:pStyle w:val="OB1"/>
      </w:pPr>
      <w:r w:rsidRPr="009567C8">
        <w:rPr>
          <w:b/>
        </w:rPr>
        <w:lastRenderedPageBreak/>
        <w:t>Comparison</w:t>
      </w:r>
      <w:r w:rsidRPr="00CE6896">
        <w:t xml:space="preserve">: </w:t>
      </w:r>
      <w:r>
        <w:t xml:space="preserve">System </w:t>
      </w:r>
      <w:r w:rsidR="00C60CD7">
        <w:t xml:space="preserve">must </w:t>
      </w:r>
      <w:r>
        <w:t>include the a</w:t>
      </w:r>
      <w:r w:rsidRPr="00CE6896">
        <w:t>bility to see two or more subsets of the data side-by-side. A line chart, for example, may let the user view two geographic regi</w:t>
      </w:r>
      <w:r>
        <w:t>ons as separate lines</w:t>
      </w:r>
    </w:p>
    <w:p w14:paraId="481FDEE4" w14:textId="3CD67C48" w:rsidR="009567C8" w:rsidRDefault="009567C8">
      <w:pPr>
        <w:pStyle w:val="OB1"/>
      </w:pPr>
      <w:r w:rsidRPr="009567C8">
        <w:rPr>
          <w:b/>
        </w:rPr>
        <w:t>Actionable</w:t>
      </w:r>
      <w:r>
        <w:t xml:space="preserve">: Dashboards </w:t>
      </w:r>
      <w:r w:rsidR="00C60CD7">
        <w:t xml:space="preserve">must </w:t>
      </w:r>
      <w:r>
        <w:t>clearly identify the source of the problem or necessary actions for Staff to take when the metric goes up, down, flat or off-target</w:t>
      </w:r>
    </w:p>
    <w:p w14:paraId="09B6A4AD" w14:textId="214590CD" w:rsidR="009567C8" w:rsidRDefault="009567C8">
      <w:pPr>
        <w:pStyle w:val="OB1"/>
      </w:pPr>
      <w:r w:rsidRPr="009567C8">
        <w:rPr>
          <w:b/>
        </w:rPr>
        <w:t>Alerts</w:t>
      </w:r>
      <w:r>
        <w:t xml:space="preserve">: Dashboards </w:t>
      </w:r>
      <w:r w:rsidR="00C60CD7">
        <w:t xml:space="preserve">must </w:t>
      </w:r>
      <w:r>
        <w:t>h</w:t>
      </w:r>
      <w:r w:rsidRPr="00CE6896">
        <w:t xml:space="preserve">ighlight information </w:t>
      </w:r>
      <w:r>
        <w:t xml:space="preserve">and generate alerts </w:t>
      </w:r>
      <w:r w:rsidRPr="00CE6896">
        <w:t>based on pre-deﬁned criteria. The alert may be activated when a metric goes out</w:t>
      </w:r>
      <w:r>
        <w:t>side of a particular threshold</w:t>
      </w:r>
    </w:p>
    <w:p w14:paraId="3ED83E24" w14:textId="473D63CB" w:rsidR="009567C8" w:rsidRDefault="009567C8">
      <w:pPr>
        <w:pStyle w:val="OB1"/>
      </w:pPr>
      <w:r w:rsidRPr="009567C8">
        <w:rPr>
          <w:b/>
        </w:rPr>
        <w:t>Export/Print</w:t>
      </w:r>
      <w:r w:rsidRPr="00CE6896">
        <w:t xml:space="preserve">: </w:t>
      </w:r>
      <w:r>
        <w:t xml:space="preserve">System </w:t>
      </w:r>
      <w:r w:rsidR="00C60CD7">
        <w:t xml:space="preserve">must </w:t>
      </w:r>
      <w:r>
        <w:t>allow Staff</w:t>
      </w:r>
      <w:r w:rsidRPr="00CE6896">
        <w:t xml:space="preserve"> the ability to pull information out of a dashboard</w:t>
      </w:r>
      <w:r>
        <w:t xml:space="preserve"> in format</w:t>
      </w:r>
      <w:r w:rsidR="00E03AAD">
        <w:t xml:space="preserve">s including but not limited to csv, xls, </w:t>
      </w:r>
      <w:r>
        <w:t xml:space="preserve">txt, xml, </w:t>
      </w:r>
      <w:r w:rsidR="00E03AAD">
        <w:t xml:space="preserve">html, </w:t>
      </w:r>
      <w:r>
        <w:t xml:space="preserve">and pdf </w:t>
      </w:r>
    </w:p>
    <w:p w14:paraId="08D4B4E3" w14:textId="1C37DBCF" w:rsidR="009567C8" w:rsidRDefault="009567C8">
      <w:pPr>
        <w:pStyle w:val="OB1"/>
      </w:pPr>
      <w:r w:rsidRPr="009567C8">
        <w:rPr>
          <w:b/>
        </w:rPr>
        <w:t>Advanced visualizations</w:t>
      </w:r>
      <w:r w:rsidRPr="00CE6896">
        <w:t xml:space="preserve">: </w:t>
      </w:r>
      <w:r>
        <w:t xml:space="preserve">When needing </w:t>
      </w:r>
      <w:r w:rsidRPr="00CE6896">
        <w:t xml:space="preserve">to show more complex data in the dashboard, </w:t>
      </w:r>
      <w:r>
        <w:t xml:space="preserve">System </w:t>
      </w:r>
      <w:r w:rsidR="00C60CD7">
        <w:t xml:space="preserve">must </w:t>
      </w:r>
      <w:r>
        <w:t xml:space="preserve">allow Staff to select from </w:t>
      </w:r>
      <w:r w:rsidRPr="00CE6896">
        <w:t xml:space="preserve">a variety of advanced visualizations </w:t>
      </w:r>
      <w:r>
        <w:t xml:space="preserve">such as </w:t>
      </w:r>
      <w:r w:rsidRPr="00CE6896">
        <w:t>geographic map</w:t>
      </w:r>
      <w:r>
        <w:t>s</w:t>
      </w:r>
      <w:r w:rsidRPr="00CE6896">
        <w:t>, tree map</w:t>
      </w:r>
      <w:r>
        <w:t>s</w:t>
      </w:r>
      <w:r w:rsidRPr="00CE6896">
        <w:t>, network diagram</w:t>
      </w:r>
      <w:r>
        <w:t>s</w:t>
      </w:r>
      <w:r w:rsidRPr="00CE6896">
        <w:t>, tag cloud</w:t>
      </w:r>
      <w:r>
        <w:t>s</w:t>
      </w:r>
      <w:r w:rsidRPr="00CE6896">
        <w:t>, scatterplots</w:t>
      </w:r>
      <w:r>
        <w:t>,</w:t>
      </w:r>
      <w:r w:rsidRPr="00CE6896">
        <w:t xml:space="preserve"> and bubble ch</w:t>
      </w:r>
      <w:r w:rsidR="000370BA">
        <w:t>arts</w:t>
      </w:r>
    </w:p>
    <w:p w14:paraId="632C18B8" w14:textId="4DC15FFA" w:rsidR="009567C8" w:rsidRDefault="009567C8">
      <w:pPr>
        <w:pStyle w:val="LB1"/>
      </w:pPr>
      <w:r>
        <w:t xml:space="preserve">System dashboards must meet TWC Accessibility Guidelines as defined in </w:t>
      </w:r>
      <w:hyperlink w:anchor="_6.9_Electronic_Information" w:history="1">
        <w:r w:rsidRPr="009567C8">
          <w:rPr>
            <w:rStyle w:val="Hyperlink"/>
          </w:rPr>
          <w:t>Section 6.9</w:t>
        </w:r>
      </w:hyperlink>
    </w:p>
    <w:p w14:paraId="4DDB9E92" w14:textId="54DAAD66" w:rsidR="005C696B" w:rsidRDefault="005C696B" w:rsidP="005C696B"/>
    <w:p w14:paraId="3E0BBE51" w14:textId="426B5F63" w:rsidR="005C696B" w:rsidRDefault="005C696B" w:rsidP="005C696B">
      <w:pPr>
        <w:pStyle w:val="Heading4"/>
      </w:pPr>
      <w:bookmarkStart w:id="393" w:name="_LMCI"/>
      <w:bookmarkEnd w:id="393"/>
      <w:r>
        <w:tab/>
        <w:t>LMCI</w:t>
      </w:r>
    </w:p>
    <w:p w14:paraId="63910BE1" w14:textId="06E34FD1" w:rsidR="005C696B" w:rsidRPr="00B0723C" w:rsidRDefault="00C92570" w:rsidP="005C696B">
      <w:r>
        <w:t>The System must</w:t>
      </w:r>
      <w:r w:rsidR="00895F40" w:rsidRPr="00847A4F">
        <w:t xml:space="preserve"> include </w:t>
      </w:r>
      <w:r w:rsidR="00895F40">
        <w:t>all functionality necessary to</w:t>
      </w:r>
      <w:r w:rsidR="00895F40" w:rsidRPr="00895F40">
        <w:t xml:space="preserve"> </w:t>
      </w:r>
      <w:r w:rsidR="00895F40">
        <w:t>support the functions of the Labor Market and Career Information department</w:t>
      </w:r>
      <w:r w:rsidR="005C696B">
        <w:t>.</w:t>
      </w:r>
    </w:p>
    <w:p w14:paraId="4E81AA80" w14:textId="77777777" w:rsidR="005C696B" w:rsidRPr="003A23F0" w:rsidRDefault="005C696B" w:rsidP="005C696B">
      <w:pPr>
        <w:rPr>
          <w:u w:val="single"/>
        </w:rPr>
      </w:pPr>
      <w:r w:rsidRPr="003A23F0">
        <w:rPr>
          <w:u w:val="single"/>
        </w:rPr>
        <w:t>Actors</w:t>
      </w:r>
    </w:p>
    <w:p w14:paraId="5F76E2B0" w14:textId="77777777" w:rsidR="005C696B" w:rsidRDefault="005C696B" w:rsidP="00E16D2D">
      <w:pPr>
        <w:pStyle w:val="LB1"/>
      </w:pPr>
      <w:r>
        <w:t>Staff</w:t>
      </w:r>
    </w:p>
    <w:p w14:paraId="6EE3733E" w14:textId="77777777" w:rsidR="005C696B" w:rsidRPr="00DF6567" w:rsidRDefault="005C696B" w:rsidP="005C696B"/>
    <w:p w14:paraId="26C914A6" w14:textId="77777777" w:rsidR="005C696B" w:rsidRPr="003A23F0" w:rsidRDefault="005C696B" w:rsidP="005C696B">
      <w:pPr>
        <w:rPr>
          <w:u w:val="single"/>
        </w:rPr>
      </w:pPr>
      <w:r w:rsidRPr="003A23F0">
        <w:rPr>
          <w:u w:val="single"/>
        </w:rPr>
        <w:t>Main Activities</w:t>
      </w:r>
    </w:p>
    <w:p w14:paraId="7EEE155F" w14:textId="26B306BF" w:rsidR="00895F40" w:rsidRDefault="00ED5914" w:rsidP="00E16D2D">
      <w:pPr>
        <w:pStyle w:val="LB1"/>
      </w:pPr>
      <w:r>
        <w:t xml:space="preserve">System must support the </w:t>
      </w:r>
      <w:r w:rsidR="00895F40">
        <w:t>Quarterly Census of Employment and Wages (QCEW)</w:t>
      </w:r>
      <w:r>
        <w:t xml:space="preserve"> process</w:t>
      </w:r>
    </w:p>
    <w:p w14:paraId="0EB6E429" w14:textId="77777777" w:rsidR="00895F40" w:rsidRDefault="00895F40" w:rsidP="00E16D2D">
      <w:pPr>
        <w:pStyle w:val="OB1"/>
      </w:pPr>
      <w:r>
        <w:t>NAICS Codes</w:t>
      </w:r>
    </w:p>
    <w:p w14:paraId="195BBC1C" w14:textId="18C0FA3F" w:rsidR="00895F40" w:rsidRDefault="00895F40" w:rsidP="00895F40">
      <w:pPr>
        <w:pStyle w:val="SB1"/>
      </w:pPr>
      <w:r>
        <w:t xml:space="preserve">System must identify Employers without an assigned NAICS code </w:t>
      </w:r>
      <w:r w:rsidR="00C624FD">
        <w:t xml:space="preserve">and who have provided a written description of their business </w:t>
      </w:r>
      <w:r>
        <w:t xml:space="preserve">and allow Staff to assign a NAICS code </w:t>
      </w:r>
    </w:p>
    <w:p w14:paraId="6F4C2F06" w14:textId="77777777" w:rsidR="00895F40" w:rsidRDefault="00895F40" w:rsidP="00E16D2D">
      <w:pPr>
        <w:pStyle w:val="DB1"/>
      </w:pPr>
      <w:r>
        <w:t>On screen</w:t>
      </w:r>
    </w:p>
    <w:p w14:paraId="58B4E380" w14:textId="77777777" w:rsidR="00895F40" w:rsidRDefault="00895F40" w:rsidP="00E16D2D">
      <w:pPr>
        <w:pStyle w:val="DB1"/>
      </w:pPr>
      <w:r>
        <w:t>In a report</w:t>
      </w:r>
    </w:p>
    <w:p w14:paraId="2E889C1D" w14:textId="506DD2CE" w:rsidR="00895F40" w:rsidRDefault="00895F40" w:rsidP="00895F40">
      <w:pPr>
        <w:pStyle w:val="SB1"/>
      </w:pPr>
      <w:r>
        <w:t xml:space="preserve">System must allow Staff to input NAICS code when an </w:t>
      </w:r>
      <w:r w:rsidR="009521D7">
        <w:t xml:space="preserve">Employer </w:t>
      </w:r>
      <w:r>
        <w:t xml:space="preserve">initially </w:t>
      </w:r>
      <w:r w:rsidRPr="00895F40">
        <w:t>registers</w:t>
      </w:r>
      <w:r>
        <w:t xml:space="preserve"> with TWC</w:t>
      </w:r>
    </w:p>
    <w:p w14:paraId="49D9CC9E" w14:textId="77777777" w:rsidR="00895F40" w:rsidRDefault="00895F40" w:rsidP="00895F40">
      <w:pPr>
        <w:pStyle w:val="SB1"/>
      </w:pPr>
      <w:r>
        <w:t xml:space="preserve">System must allow Staff to complete annual refiling survey </w:t>
      </w:r>
    </w:p>
    <w:p w14:paraId="438B9932" w14:textId="1C995239" w:rsidR="00895F40" w:rsidRDefault="00895F40" w:rsidP="00E16D2D">
      <w:pPr>
        <w:pStyle w:val="DB1"/>
      </w:pPr>
      <w:r>
        <w:t>Currently</w:t>
      </w:r>
      <w:r w:rsidR="00337F00">
        <w:t xml:space="preserve">, the </w:t>
      </w:r>
      <w:r>
        <w:t xml:space="preserve">System updates NAICS codes from </w:t>
      </w:r>
      <w:r w:rsidR="00807C1E">
        <w:t xml:space="preserve">the BLS </w:t>
      </w:r>
      <w:r w:rsidR="00807C1E" w:rsidRPr="00807C1E">
        <w:t>Exportable ES-202 system</w:t>
      </w:r>
      <w:r>
        <w:t xml:space="preserve"> and batch updates the UI Tax system</w:t>
      </w:r>
    </w:p>
    <w:p w14:paraId="5D80FE29" w14:textId="77777777" w:rsidR="00895F40" w:rsidRDefault="00895F40" w:rsidP="00E16D2D">
      <w:pPr>
        <w:pStyle w:val="OB1"/>
      </w:pPr>
      <w:r>
        <w:lastRenderedPageBreak/>
        <w:t>Large Quarterly Extracts (Tax data)</w:t>
      </w:r>
    </w:p>
    <w:p w14:paraId="38A3536C" w14:textId="4908F70B" w:rsidR="00895F40" w:rsidRDefault="00895F40" w:rsidP="00895F40">
      <w:pPr>
        <w:pStyle w:val="SB1"/>
      </w:pPr>
      <w:r>
        <w:t xml:space="preserve">System </w:t>
      </w:r>
      <w:r w:rsidR="00807C1E">
        <w:t xml:space="preserve">must </w:t>
      </w:r>
      <w:r>
        <w:t xml:space="preserve">interface with </w:t>
      </w:r>
      <w:r w:rsidR="00807C1E">
        <w:t xml:space="preserve">the BLS </w:t>
      </w:r>
      <w:r w:rsidR="00807C1E" w:rsidRPr="00807C1E">
        <w:rPr>
          <w:szCs w:val="22"/>
        </w:rPr>
        <w:t>Exportable ES-202 system</w:t>
      </w:r>
    </w:p>
    <w:p w14:paraId="6CC4189E" w14:textId="4B6319AF" w:rsidR="00895F40" w:rsidRDefault="00895F40" w:rsidP="00E16D2D">
      <w:pPr>
        <w:pStyle w:val="OB1"/>
      </w:pPr>
      <w:r>
        <w:t xml:space="preserve">System must interface with </w:t>
      </w:r>
      <w:r w:rsidR="00807C1E">
        <w:t xml:space="preserve">the BLS </w:t>
      </w:r>
      <w:r w:rsidR="00807C1E" w:rsidRPr="00807C1E">
        <w:t>Exportable ES-202 system</w:t>
      </w:r>
      <w:r w:rsidR="00807C1E">
        <w:t xml:space="preserve"> </w:t>
      </w:r>
      <w:r w:rsidR="00C624FD">
        <w:t>and/</w:t>
      </w:r>
      <w:r>
        <w:t>or new QUEST system as defined by BLS</w:t>
      </w:r>
      <w:r w:rsidR="00C624FD">
        <w:t xml:space="preserve"> (depending on the timing of BLS QUEST development)</w:t>
      </w:r>
    </w:p>
    <w:p w14:paraId="39F1630E" w14:textId="77777777" w:rsidR="00895F40" w:rsidRDefault="00895F40" w:rsidP="00E16D2D">
      <w:pPr>
        <w:pStyle w:val="OB1"/>
      </w:pPr>
      <w:r>
        <w:t>System must allow Authorized Staff to view Tax data</w:t>
      </w:r>
    </w:p>
    <w:p w14:paraId="7C71DB16" w14:textId="4052E109" w:rsidR="00895F40" w:rsidRDefault="00ED5914" w:rsidP="00116640">
      <w:pPr>
        <w:pStyle w:val="LB1"/>
      </w:pPr>
      <w:bookmarkStart w:id="394" w:name="_Hlk511986356"/>
      <w:r>
        <w:t xml:space="preserve">System must support the </w:t>
      </w:r>
      <w:r w:rsidR="00895F40">
        <w:t>Local Area Unemployment Statistics (LAUS)</w:t>
      </w:r>
      <w:r>
        <w:t xml:space="preserve"> process</w:t>
      </w:r>
    </w:p>
    <w:p w14:paraId="36EED460" w14:textId="77777777" w:rsidR="00895F40" w:rsidRDefault="00895F40" w:rsidP="00F82166">
      <w:pPr>
        <w:pStyle w:val="OB1"/>
      </w:pPr>
      <w:r>
        <w:t>System must extract weekly claims data as an input to the LAUS process</w:t>
      </w:r>
    </w:p>
    <w:p w14:paraId="03564A9C" w14:textId="7E5BEA9E" w:rsidR="00895F40" w:rsidRDefault="00895F40" w:rsidP="00895F40">
      <w:pPr>
        <w:pStyle w:val="SB1"/>
      </w:pPr>
      <w:r>
        <w:t>Current job</w:t>
      </w:r>
      <w:r w:rsidR="00B075EE">
        <w:t>s</w:t>
      </w:r>
      <w:r>
        <w:t xml:space="preserve"> are: </w:t>
      </w:r>
    </w:p>
    <w:p w14:paraId="2078ED15" w14:textId="202BC28B" w:rsidR="00895F40" w:rsidRDefault="00895F40" w:rsidP="00E16D2D">
      <w:pPr>
        <w:pStyle w:val="DB1"/>
      </w:pPr>
      <w:r>
        <w:t xml:space="preserve">LMCI Extract of Benefits Claims </w:t>
      </w:r>
      <w:r w:rsidR="00337F00">
        <w:t>Data</w:t>
      </w:r>
      <w:r w:rsidR="00337F00" w:rsidRPr="00243E29">
        <w:t xml:space="preserve"> </w:t>
      </w:r>
      <w:r w:rsidR="00337F00">
        <w:t>which e</w:t>
      </w:r>
      <w:r w:rsidRPr="00243E29">
        <w:t>xtracts initia</w:t>
      </w:r>
      <w:r w:rsidR="00337F00">
        <w:t>l claims, continued claims and E</w:t>
      </w:r>
      <w:r w:rsidRPr="00243E29">
        <w:t>xhaustee data</w:t>
      </w:r>
    </w:p>
    <w:p w14:paraId="5A2C1120" w14:textId="55CC7076" w:rsidR="00895F40" w:rsidRDefault="00895F40" w:rsidP="00E16D2D">
      <w:pPr>
        <w:pStyle w:val="DB1"/>
      </w:pPr>
      <w:r>
        <w:t>Liable Agent Data Transfer (LADT) Extract</w:t>
      </w:r>
      <w:r w:rsidRPr="00243E29">
        <w:t xml:space="preserve"> </w:t>
      </w:r>
      <w:r w:rsidR="00337F00">
        <w:t>which e</w:t>
      </w:r>
      <w:r>
        <w:t>xtracts initial claims, additional claims and reopen claims from other states via the LADT interface</w:t>
      </w:r>
    </w:p>
    <w:p w14:paraId="6799D1F0" w14:textId="77777777" w:rsidR="00895F40" w:rsidRDefault="00895F40" w:rsidP="00337F00">
      <w:pPr>
        <w:pStyle w:val="SB1"/>
      </w:pPr>
      <w:r>
        <w:t>Flat text file format</w:t>
      </w:r>
    </w:p>
    <w:bookmarkEnd w:id="394"/>
    <w:p w14:paraId="1C911F45" w14:textId="1A906117" w:rsidR="00895F40" w:rsidRDefault="00ED5914" w:rsidP="00E16D2D">
      <w:pPr>
        <w:pStyle w:val="LB1"/>
      </w:pPr>
      <w:r>
        <w:t>System must allow Staff to run Extracts on demand</w:t>
      </w:r>
      <w:r w:rsidR="00807C1E">
        <w:t xml:space="preserve"> including</w:t>
      </w:r>
    </w:p>
    <w:p w14:paraId="131B04CA" w14:textId="77777777" w:rsidR="00895F40" w:rsidRDefault="00895F40" w:rsidP="00E16D2D">
      <w:pPr>
        <w:pStyle w:val="OB1"/>
      </w:pPr>
      <w:r>
        <w:t xml:space="preserve">Email addresses </w:t>
      </w:r>
    </w:p>
    <w:p w14:paraId="0E936FB6" w14:textId="7E00B3B5" w:rsidR="00895F40" w:rsidRDefault="00895F40" w:rsidP="00116640">
      <w:pPr>
        <w:pStyle w:val="OB1"/>
      </w:pPr>
      <w:r>
        <w:t xml:space="preserve">Wage records </w:t>
      </w:r>
    </w:p>
    <w:p w14:paraId="7BFB0FA6" w14:textId="61F43051" w:rsidR="005550F2" w:rsidRDefault="005550F2" w:rsidP="00807C1E">
      <w:pPr>
        <w:pStyle w:val="SB1"/>
      </w:pPr>
      <w:r>
        <w:t>Push job quarterly for most recent six (6) quarters</w:t>
      </w:r>
    </w:p>
    <w:p w14:paraId="6FEE8B3C" w14:textId="2E01DAB9" w:rsidR="005550F2" w:rsidRDefault="005550F2" w:rsidP="00807C1E">
      <w:pPr>
        <w:pStyle w:val="SB1"/>
      </w:pPr>
      <w:r>
        <w:t>On demand extract for current and prior quarter</w:t>
      </w:r>
    </w:p>
    <w:p w14:paraId="493140AE" w14:textId="77777777" w:rsidR="00895F40" w:rsidRDefault="00895F40" w:rsidP="00E16D2D">
      <w:pPr>
        <w:pStyle w:val="OB1"/>
      </w:pPr>
      <w:r>
        <w:t>Etc.</w:t>
      </w:r>
    </w:p>
    <w:p w14:paraId="7F498429" w14:textId="68C50556" w:rsidR="005C696B" w:rsidRPr="00807C1E" w:rsidRDefault="00895F40" w:rsidP="00E16D2D">
      <w:pPr>
        <w:pStyle w:val="LB1"/>
        <w:rPr>
          <w:rFonts w:cs="Arial"/>
          <w:snapToGrid w:val="0"/>
          <w:color w:val="000000"/>
          <w:szCs w:val="24"/>
        </w:rPr>
      </w:pPr>
      <w:r>
        <w:t xml:space="preserve">System must allow Staff to run ad hoc </w:t>
      </w:r>
      <w:r w:rsidR="00354F4E">
        <w:rPr>
          <w:rFonts w:cs="Arial"/>
          <w:snapToGrid w:val="0"/>
          <w:color w:val="000000"/>
          <w:szCs w:val="24"/>
        </w:rPr>
        <w:t>Structured Query Language</w:t>
      </w:r>
      <w:r w:rsidR="00354F4E">
        <w:t xml:space="preserve"> (</w:t>
      </w:r>
      <w:r>
        <w:t>SQL</w:t>
      </w:r>
      <w:r w:rsidR="00354F4E">
        <w:t>)</w:t>
      </w:r>
      <w:r>
        <w:t xml:space="preserve"> queries</w:t>
      </w:r>
      <w:r w:rsidR="00807C1E">
        <w:t xml:space="preserve"> described in </w:t>
      </w:r>
      <w:hyperlink w:anchor="_Database_Queries" w:history="1">
        <w:r w:rsidR="00807C1E" w:rsidRPr="00807C1E">
          <w:rPr>
            <w:rStyle w:val="Hyperlink"/>
            <w:rFonts w:cs="Arial"/>
            <w:snapToGrid w:val="0"/>
            <w:szCs w:val="24"/>
          </w:rPr>
          <w:t>Attachment A6.9 Database Queries</w:t>
        </w:r>
      </w:hyperlink>
    </w:p>
    <w:p w14:paraId="345BABE6" w14:textId="72F277EE" w:rsidR="00337F00" w:rsidRPr="00807C1E" w:rsidRDefault="00337F00" w:rsidP="00337F00">
      <w:pPr>
        <w:rPr>
          <w:rFonts w:cs="Arial"/>
          <w:snapToGrid w:val="0"/>
          <w:color w:val="000000"/>
          <w:szCs w:val="24"/>
        </w:rPr>
      </w:pPr>
    </w:p>
    <w:p w14:paraId="70C33B9D" w14:textId="4C8951A7" w:rsidR="005C696B" w:rsidRDefault="005C696B" w:rsidP="005C696B">
      <w:pPr>
        <w:pStyle w:val="Heading4"/>
      </w:pPr>
      <w:bookmarkStart w:id="395" w:name="_Notes"/>
      <w:bookmarkEnd w:id="395"/>
      <w:r>
        <w:tab/>
        <w:t>Notes</w:t>
      </w:r>
    </w:p>
    <w:p w14:paraId="0CD2E60E" w14:textId="3ADE2E0A" w:rsidR="005C696B" w:rsidRPr="00B0723C" w:rsidRDefault="00C92570" w:rsidP="0093304C">
      <w:r>
        <w:t>The System must</w:t>
      </w:r>
      <w:r w:rsidR="0093304C" w:rsidRPr="00847A4F">
        <w:t xml:space="preserve"> include </w:t>
      </w:r>
      <w:r w:rsidR="0093304C">
        <w:t>all functionality necessary to capture and display Claimant and Employer account notes</w:t>
      </w:r>
      <w:r w:rsidR="005C696B">
        <w:t>.</w:t>
      </w:r>
    </w:p>
    <w:p w14:paraId="11D06FD8" w14:textId="77777777" w:rsidR="005C696B" w:rsidRPr="003A23F0" w:rsidRDefault="005C696B" w:rsidP="005C696B">
      <w:pPr>
        <w:rPr>
          <w:u w:val="single"/>
        </w:rPr>
      </w:pPr>
      <w:r w:rsidRPr="003A23F0">
        <w:rPr>
          <w:u w:val="single"/>
        </w:rPr>
        <w:t>Actors</w:t>
      </w:r>
    </w:p>
    <w:p w14:paraId="045F7342" w14:textId="77777777" w:rsidR="005C696B" w:rsidRDefault="005C696B" w:rsidP="00E16D2D">
      <w:pPr>
        <w:pStyle w:val="LB1"/>
      </w:pPr>
      <w:r>
        <w:t>Staff</w:t>
      </w:r>
    </w:p>
    <w:p w14:paraId="5CD570E2" w14:textId="77777777" w:rsidR="005C696B" w:rsidRPr="00DF6567" w:rsidRDefault="005C696B" w:rsidP="005C696B"/>
    <w:p w14:paraId="03587A01" w14:textId="77777777" w:rsidR="005C696B" w:rsidRPr="003A23F0" w:rsidRDefault="005C696B" w:rsidP="005C696B">
      <w:pPr>
        <w:rPr>
          <w:u w:val="single"/>
        </w:rPr>
      </w:pPr>
      <w:r w:rsidRPr="003A23F0">
        <w:rPr>
          <w:u w:val="single"/>
        </w:rPr>
        <w:t>Main Activities</w:t>
      </w:r>
    </w:p>
    <w:p w14:paraId="69B89922" w14:textId="77777777" w:rsidR="0093304C" w:rsidRDefault="0093304C" w:rsidP="00E16D2D">
      <w:pPr>
        <w:pStyle w:val="LB1"/>
      </w:pPr>
      <w:r w:rsidRPr="00130880">
        <w:t xml:space="preserve">System must provide all the ability to </w:t>
      </w:r>
      <w:r>
        <w:t>capture</w:t>
      </w:r>
      <w:r w:rsidRPr="00130880">
        <w:t xml:space="preserve"> and display notes (e.g., customer service notes) with the option for drop down lists. </w:t>
      </w:r>
      <w:r>
        <w:t>At a minimum, the following features are required:</w:t>
      </w:r>
    </w:p>
    <w:p w14:paraId="69D791FA" w14:textId="77777777" w:rsidR="0093304C" w:rsidRDefault="0093304C" w:rsidP="00E16D2D">
      <w:pPr>
        <w:pStyle w:val="OB1"/>
      </w:pPr>
      <w:r>
        <w:t>Capture notes (where and when notes are captured?)</w:t>
      </w:r>
    </w:p>
    <w:p w14:paraId="0E0821DA" w14:textId="77777777" w:rsidR="0093304C" w:rsidRDefault="0093304C" w:rsidP="00116640">
      <w:pPr>
        <w:pStyle w:val="OB1"/>
      </w:pPr>
      <w:r>
        <w:t xml:space="preserve">Display notes </w:t>
      </w:r>
    </w:p>
    <w:p w14:paraId="69076F9A" w14:textId="77777777" w:rsidR="0093304C" w:rsidRDefault="0093304C" w:rsidP="00F82166">
      <w:pPr>
        <w:pStyle w:val="OB1"/>
      </w:pPr>
      <w:r>
        <w:t>Associate notes with a customer</w:t>
      </w:r>
    </w:p>
    <w:p w14:paraId="5D5144C1" w14:textId="77777777" w:rsidR="0093304C" w:rsidRDefault="0093304C" w:rsidP="00F82166">
      <w:pPr>
        <w:pStyle w:val="OB1"/>
      </w:pPr>
      <w:r>
        <w:t>Allow for filtering, sorting, and searching</w:t>
      </w:r>
    </w:p>
    <w:p w14:paraId="11C789D7" w14:textId="77777777" w:rsidR="0093304C" w:rsidRDefault="0093304C" w:rsidP="00F82166">
      <w:pPr>
        <w:pStyle w:val="OB1"/>
      </w:pPr>
      <w:r>
        <w:lastRenderedPageBreak/>
        <w:t>Threaded (e.g., message board)</w:t>
      </w:r>
    </w:p>
    <w:p w14:paraId="2EFFBBE6" w14:textId="77777777" w:rsidR="0093304C" w:rsidRDefault="0093304C">
      <w:pPr>
        <w:pStyle w:val="OB1"/>
      </w:pPr>
      <w:r>
        <w:t>P</w:t>
      </w:r>
      <w:r w:rsidRPr="00CD0D1A">
        <w:t xml:space="preserve">ermission based </w:t>
      </w:r>
      <w:r>
        <w:t xml:space="preserve">access </w:t>
      </w:r>
      <w:r w:rsidRPr="00CD0D1A">
        <w:t>(e.g., ID theft investi</w:t>
      </w:r>
      <w:r>
        <w:t>gation) based on business rules</w:t>
      </w:r>
    </w:p>
    <w:p w14:paraId="23D82246" w14:textId="77777777" w:rsidR="0093304C" w:rsidRDefault="0093304C">
      <w:pPr>
        <w:pStyle w:val="OB1"/>
      </w:pPr>
      <w:r w:rsidRPr="00CD0D1A">
        <w:t>Once notes are captured, they can or cannot be</w:t>
      </w:r>
      <w:r>
        <w:t xml:space="preserve"> edited/deleted based on business rules</w:t>
      </w:r>
    </w:p>
    <w:p w14:paraId="35A7A85A" w14:textId="77777777" w:rsidR="0093304C" w:rsidRDefault="0093304C">
      <w:pPr>
        <w:pStyle w:val="OB1"/>
      </w:pPr>
      <w:r w:rsidRPr="00CD0D1A">
        <w:t>Notes must have a full audit trail</w:t>
      </w:r>
    </w:p>
    <w:p w14:paraId="7BF26520" w14:textId="00B1CE0A" w:rsidR="0093304C" w:rsidRDefault="0093304C">
      <w:pPr>
        <w:pStyle w:val="LB1"/>
      </w:pPr>
      <w:r w:rsidRPr="00130880">
        <w:t>System must provide the ability to automatically generate notes based on system even</w:t>
      </w:r>
      <w:r>
        <w:t>ts using configurable templates</w:t>
      </w:r>
    </w:p>
    <w:p w14:paraId="2B098932" w14:textId="7FCCD79E" w:rsidR="005C696B" w:rsidRDefault="005C696B" w:rsidP="005C696B"/>
    <w:p w14:paraId="6270AB6B" w14:textId="390E4C15" w:rsidR="005C696B" w:rsidRDefault="005C696B" w:rsidP="005C696B">
      <w:pPr>
        <w:pStyle w:val="Heading4"/>
      </w:pPr>
      <w:bookmarkStart w:id="396" w:name="_Other_State_UI"/>
      <w:bookmarkEnd w:id="396"/>
      <w:r>
        <w:tab/>
        <w:t>Other State UI Agencies</w:t>
      </w:r>
    </w:p>
    <w:p w14:paraId="176D01F0" w14:textId="381CDF9E" w:rsidR="005C696B" w:rsidRPr="00B0723C" w:rsidRDefault="00C92570" w:rsidP="005C696B">
      <w:r>
        <w:t>The System must</w:t>
      </w:r>
      <w:r w:rsidR="00226EBE" w:rsidRPr="00847A4F">
        <w:t xml:space="preserve"> include </w:t>
      </w:r>
      <w:r w:rsidR="005C696B">
        <w:t xml:space="preserve">all functionality </w:t>
      </w:r>
      <w:r w:rsidR="00226EBE">
        <w:t>necessary</w:t>
      </w:r>
      <w:r w:rsidR="005C696B">
        <w:t xml:space="preserve"> to allow other state UI agencies to use the solution.</w:t>
      </w:r>
    </w:p>
    <w:p w14:paraId="4BF01467" w14:textId="77777777" w:rsidR="005C696B" w:rsidRPr="003A23F0" w:rsidRDefault="005C696B" w:rsidP="005C696B">
      <w:pPr>
        <w:rPr>
          <w:u w:val="single"/>
        </w:rPr>
      </w:pPr>
      <w:r w:rsidRPr="003A23F0">
        <w:rPr>
          <w:u w:val="single"/>
        </w:rPr>
        <w:t>Actors</w:t>
      </w:r>
    </w:p>
    <w:p w14:paraId="544B8071" w14:textId="53D12303" w:rsidR="005C696B" w:rsidRDefault="005C696B" w:rsidP="00E16D2D">
      <w:pPr>
        <w:pStyle w:val="LB1"/>
      </w:pPr>
      <w:r>
        <w:t>Staff</w:t>
      </w:r>
    </w:p>
    <w:p w14:paraId="19391B4F" w14:textId="4A4A08AF" w:rsidR="00226EBE" w:rsidRDefault="00226EBE" w:rsidP="00E16D2D">
      <w:pPr>
        <w:pStyle w:val="LB1"/>
      </w:pPr>
      <w:r>
        <w:t>Other state UI agency Staff</w:t>
      </w:r>
    </w:p>
    <w:p w14:paraId="6F8B64C3" w14:textId="77777777" w:rsidR="005C696B" w:rsidRPr="00DF6567" w:rsidRDefault="005C696B" w:rsidP="005C696B"/>
    <w:p w14:paraId="51A57464" w14:textId="77777777" w:rsidR="005C696B" w:rsidRPr="003A23F0" w:rsidRDefault="005C696B" w:rsidP="005C696B">
      <w:pPr>
        <w:rPr>
          <w:u w:val="single"/>
        </w:rPr>
      </w:pPr>
      <w:r w:rsidRPr="003A23F0">
        <w:rPr>
          <w:u w:val="single"/>
        </w:rPr>
        <w:t>Main Activities</w:t>
      </w:r>
    </w:p>
    <w:p w14:paraId="5D955B1B" w14:textId="77777777" w:rsidR="005C696B" w:rsidRDefault="005C696B" w:rsidP="00E16D2D">
      <w:pPr>
        <w:pStyle w:val="LB1"/>
      </w:pPr>
      <w:r>
        <w:t>System must be designed for multiple user types, e.g., internal users and external users (Employers, Claimants, TPAs, other state agency users, etc.)</w:t>
      </w:r>
    </w:p>
    <w:p w14:paraId="45D51158" w14:textId="77777777" w:rsidR="005C696B" w:rsidRDefault="005C696B" w:rsidP="00E16D2D">
      <w:pPr>
        <w:pStyle w:val="LB1"/>
      </w:pPr>
      <w:r>
        <w:t>System must be designed to allow other state UI agencies to use the System</w:t>
      </w:r>
    </w:p>
    <w:p w14:paraId="1A074473" w14:textId="77777777" w:rsidR="005C696B" w:rsidRDefault="005C696B" w:rsidP="00116640">
      <w:pPr>
        <w:pStyle w:val="OB1"/>
      </w:pPr>
      <w:r>
        <w:t>System must ensure that State data is not comingled with the Contractor’s and/or Subcontractor’s other clients’ data, and the data of each of the state is not comingled with the data of other states, through the proper application of compartmentalization security measures</w:t>
      </w:r>
    </w:p>
    <w:p w14:paraId="23D99D56" w14:textId="77777777" w:rsidR="005C696B" w:rsidRDefault="005C696B" w:rsidP="00F82166">
      <w:pPr>
        <w:pStyle w:val="OB1"/>
      </w:pPr>
      <w:r>
        <w:t>System must be</w:t>
      </w:r>
      <w:r w:rsidRPr="00756CC0">
        <w:t xml:space="preserve"> sufficiently scalable to accommodate the future addition of other states </w:t>
      </w:r>
    </w:p>
    <w:p w14:paraId="6E75B080" w14:textId="3257832E" w:rsidR="005C696B" w:rsidRDefault="005C696B" w:rsidP="00F82166">
      <w:pPr>
        <w:pStyle w:val="OB1"/>
      </w:pPr>
      <w:r>
        <w:t>If multiple states are using the system:</w:t>
      </w:r>
    </w:p>
    <w:p w14:paraId="34010A8C" w14:textId="77777777" w:rsidR="005C696B" w:rsidRDefault="005C696B" w:rsidP="005C696B">
      <w:pPr>
        <w:pStyle w:val="SB1"/>
      </w:pPr>
      <w:r w:rsidRPr="00F5124C">
        <w:t>Each state must be able to test and implement the release independent of the other states witho</w:t>
      </w:r>
      <w:r>
        <w:t>ut affecting the other states’ S</w:t>
      </w:r>
      <w:r w:rsidRPr="00F5124C">
        <w:t>ystem availability and operations</w:t>
      </w:r>
    </w:p>
    <w:p w14:paraId="26FE7401" w14:textId="77777777" w:rsidR="005C696B" w:rsidRDefault="005C696B" w:rsidP="005C696B">
      <w:pPr>
        <w:pStyle w:val="SB1"/>
      </w:pPr>
      <w:r>
        <w:t>The S</w:t>
      </w:r>
      <w:r w:rsidRPr="00F5124C">
        <w:t xml:space="preserve">ystem </w:t>
      </w:r>
      <w:r>
        <w:t xml:space="preserve">must </w:t>
      </w:r>
      <w:r w:rsidRPr="00F5124C">
        <w:t>support diverse</w:t>
      </w:r>
      <w:r w:rsidRPr="00275A3B">
        <w:t xml:space="preserve"> business rules for each state, and any state is able to process the</w:t>
      </w:r>
      <w:r>
        <w:t>ir</w:t>
      </w:r>
      <w:r w:rsidRPr="00275A3B">
        <w:t xml:space="preserve"> unique business rules without impacting the other states</w:t>
      </w:r>
    </w:p>
    <w:p w14:paraId="0AB5075C" w14:textId="6360C715" w:rsidR="005C696B" w:rsidRPr="00F904DB" w:rsidRDefault="005C696B" w:rsidP="005C696B">
      <w:pPr>
        <w:pStyle w:val="SB1"/>
      </w:pPr>
      <w:r w:rsidRPr="00F904DB">
        <w:t xml:space="preserve">The </w:t>
      </w:r>
      <w:r w:rsidR="009C75F7">
        <w:t>S</w:t>
      </w:r>
      <w:r w:rsidR="009C75F7" w:rsidRPr="00F5124C">
        <w:t xml:space="preserve">ystem </w:t>
      </w:r>
      <w:r w:rsidR="00E816C9">
        <w:t xml:space="preserve">must </w:t>
      </w:r>
      <w:r w:rsidRPr="00F904DB">
        <w:t>ensure that each state’s backups are segregated from other state’s backups</w:t>
      </w:r>
    </w:p>
    <w:p w14:paraId="3F122717" w14:textId="646B51E3" w:rsidR="005C696B" w:rsidRDefault="005C696B" w:rsidP="005C696B">
      <w:pPr>
        <w:pStyle w:val="SB1"/>
      </w:pPr>
      <w:r w:rsidRPr="00F904DB">
        <w:t xml:space="preserve">The </w:t>
      </w:r>
      <w:r w:rsidR="009C75F7">
        <w:t>S</w:t>
      </w:r>
      <w:r w:rsidR="009C75F7" w:rsidRPr="00F5124C">
        <w:t xml:space="preserve">ystem </w:t>
      </w:r>
      <w:r w:rsidR="00E816C9">
        <w:t xml:space="preserve">must </w:t>
      </w:r>
      <w:r w:rsidRPr="00F904DB">
        <w:t>ensure that one state’s sensitive security credentials are not exposed to other states</w:t>
      </w:r>
    </w:p>
    <w:p w14:paraId="6E4AE5ED" w14:textId="77777777" w:rsidR="00E13B3A" w:rsidRDefault="00E13B3A" w:rsidP="00E13B3A"/>
    <w:p w14:paraId="6955C552" w14:textId="391FB1F2" w:rsidR="005C696B" w:rsidRDefault="00226EBE" w:rsidP="005C696B">
      <w:pPr>
        <w:pStyle w:val="Heading4"/>
      </w:pPr>
      <w:bookmarkStart w:id="397" w:name="_Search_and_Lookup"/>
      <w:bookmarkEnd w:id="397"/>
      <w:r>
        <w:lastRenderedPageBreak/>
        <w:tab/>
        <w:t>Search and Look</w:t>
      </w:r>
      <w:r w:rsidR="005C696B">
        <w:t>up</w:t>
      </w:r>
    </w:p>
    <w:p w14:paraId="1A7FBA07" w14:textId="7EB0BDDB" w:rsidR="005C696B" w:rsidRPr="00B0723C" w:rsidRDefault="00C92570" w:rsidP="005C696B">
      <w:r>
        <w:t>The System must</w:t>
      </w:r>
      <w:r w:rsidR="0057692D" w:rsidRPr="00847A4F">
        <w:t xml:space="preserve"> include </w:t>
      </w:r>
      <w:r w:rsidR="0057692D">
        <w:t>all functionality necessary to conduct system searches and view the results</w:t>
      </w:r>
      <w:r w:rsidR="005C696B">
        <w:t>.</w:t>
      </w:r>
    </w:p>
    <w:p w14:paraId="31104CDA" w14:textId="77777777" w:rsidR="005C696B" w:rsidRPr="003A23F0" w:rsidRDefault="005C696B" w:rsidP="005C696B">
      <w:pPr>
        <w:rPr>
          <w:u w:val="single"/>
        </w:rPr>
      </w:pPr>
      <w:r w:rsidRPr="003A23F0">
        <w:rPr>
          <w:u w:val="single"/>
        </w:rPr>
        <w:t>Actors</w:t>
      </w:r>
    </w:p>
    <w:p w14:paraId="59610469" w14:textId="77777777" w:rsidR="005C696B" w:rsidRDefault="005C696B" w:rsidP="00E16D2D">
      <w:pPr>
        <w:pStyle w:val="LB1"/>
      </w:pPr>
      <w:r>
        <w:t>Staff</w:t>
      </w:r>
    </w:p>
    <w:p w14:paraId="79F31957" w14:textId="77777777" w:rsidR="005C696B" w:rsidRPr="00DF6567" w:rsidRDefault="005C696B" w:rsidP="005C696B"/>
    <w:p w14:paraId="7E201FB4" w14:textId="77777777" w:rsidR="005C696B" w:rsidRPr="003A23F0" w:rsidRDefault="005C696B" w:rsidP="005C696B">
      <w:pPr>
        <w:rPr>
          <w:u w:val="single"/>
        </w:rPr>
      </w:pPr>
      <w:r w:rsidRPr="003A23F0">
        <w:rPr>
          <w:u w:val="single"/>
        </w:rPr>
        <w:t>Main Activities</w:t>
      </w:r>
    </w:p>
    <w:p w14:paraId="46026589" w14:textId="0243C95B" w:rsidR="0057692D" w:rsidRDefault="0057692D" w:rsidP="00E16D2D">
      <w:pPr>
        <w:pStyle w:val="LB1"/>
      </w:pPr>
      <w:r w:rsidRPr="00643FAC">
        <w:t xml:space="preserve">System must </w:t>
      </w:r>
      <w:r>
        <w:t>allow Staff</w:t>
      </w:r>
      <w:r w:rsidRPr="00643FAC">
        <w:t xml:space="preserve"> to search content across all functional areas and data repositories. The Offeror must describe all ways that users can search including partial searches, </w:t>
      </w:r>
      <w:r w:rsidR="009B186F" w:rsidRPr="00643FAC">
        <w:t>Boolean</w:t>
      </w:r>
      <w:r w:rsidRPr="00643FAC">
        <w:t xml:space="preserve"> searches, and multiple criteria; </w:t>
      </w:r>
      <w:r>
        <w:t xml:space="preserve">filter results; </w:t>
      </w:r>
      <w:r w:rsidRPr="00643FAC">
        <w:t>save searches; based on user permissions</w:t>
      </w:r>
    </w:p>
    <w:p w14:paraId="64FE0652" w14:textId="77777777" w:rsidR="0057692D" w:rsidRDefault="0057692D" w:rsidP="00E16D2D">
      <w:pPr>
        <w:pStyle w:val="LB1"/>
      </w:pPr>
      <w:r w:rsidRPr="00643FAC">
        <w:t xml:space="preserve">System must </w:t>
      </w:r>
      <w:r>
        <w:t>allow Staff</w:t>
      </w:r>
      <w:r w:rsidRPr="00643FAC">
        <w:t xml:space="preserve"> to navigate to the selected record within the context of the search</w:t>
      </w:r>
    </w:p>
    <w:p w14:paraId="252AB0FA" w14:textId="75CB5788" w:rsidR="00E469C0" w:rsidRDefault="00E469C0" w:rsidP="00116640">
      <w:pPr>
        <w:pStyle w:val="LB1"/>
      </w:pPr>
      <w:r w:rsidRPr="00643FAC">
        <w:t xml:space="preserve">System must </w:t>
      </w:r>
      <w:r>
        <w:t xml:space="preserve">allow authorized Staff </w:t>
      </w:r>
      <w:r w:rsidRPr="00643FAC">
        <w:t xml:space="preserve">to </w:t>
      </w:r>
      <w:r>
        <w:t>search for TWC Staff</w:t>
      </w:r>
    </w:p>
    <w:p w14:paraId="730EAA34" w14:textId="5AD3FC84" w:rsidR="00E469C0" w:rsidRDefault="00E469C0" w:rsidP="00F82166">
      <w:pPr>
        <w:pStyle w:val="OB1"/>
      </w:pPr>
      <w:r>
        <w:t>Multiple ways to search</w:t>
      </w:r>
    </w:p>
    <w:p w14:paraId="118B4194" w14:textId="6CE9D981" w:rsidR="00E469C0" w:rsidRDefault="00E469C0" w:rsidP="00876153">
      <w:pPr>
        <w:pStyle w:val="SB1"/>
      </w:pPr>
      <w:r>
        <w:t>User ID</w:t>
      </w:r>
    </w:p>
    <w:p w14:paraId="624A177B" w14:textId="218DA5D9" w:rsidR="00E469C0" w:rsidRDefault="00E469C0" w:rsidP="00876153">
      <w:pPr>
        <w:pStyle w:val="SB1"/>
      </w:pPr>
      <w:r>
        <w:t>Name</w:t>
      </w:r>
    </w:p>
    <w:p w14:paraId="7FDF800F" w14:textId="52A5BC99" w:rsidR="00E469C0" w:rsidRDefault="00E469C0" w:rsidP="00876153">
      <w:pPr>
        <w:pStyle w:val="SB1"/>
      </w:pPr>
      <w:r>
        <w:t>Phone Number</w:t>
      </w:r>
    </w:p>
    <w:p w14:paraId="14EA0168" w14:textId="31A070A8" w:rsidR="00E469C0" w:rsidRDefault="00E469C0" w:rsidP="00E16D2D">
      <w:pPr>
        <w:pStyle w:val="OB1"/>
      </w:pPr>
      <w:r>
        <w:t>General contact information</w:t>
      </w:r>
    </w:p>
    <w:p w14:paraId="5C6F4D48" w14:textId="3DCB35F6" w:rsidR="00E469C0" w:rsidRDefault="00E469C0" w:rsidP="00E16D2D">
      <w:pPr>
        <w:pStyle w:val="OB1"/>
      </w:pPr>
      <w:r>
        <w:t>Current assigned workflow items</w:t>
      </w:r>
    </w:p>
    <w:p w14:paraId="0045518F" w14:textId="3C07EFC5" w:rsidR="0057692D" w:rsidRDefault="0057692D" w:rsidP="00116640">
      <w:pPr>
        <w:pStyle w:val="LB1"/>
      </w:pPr>
      <w:r w:rsidRPr="00643FAC">
        <w:t xml:space="preserve">System must </w:t>
      </w:r>
      <w:r>
        <w:t xml:space="preserve">allow authorized Staff </w:t>
      </w:r>
      <w:r w:rsidRPr="00643FAC">
        <w:t>to execute and export the search results in multiple formats</w:t>
      </w:r>
      <w:r w:rsidR="00E03AAD">
        <w:t>, including but not limited to csv, xls, txt, xml, html, and pdf</w:t>
      </w:r>
    </w:p>
    <w:p w14:paraId="7E567F49" w14:textId="77777777" w:rsidR="0057692D" w:rsidRDefault="0057692D" w:rsidP="00F82166">
      <w:pPr>
        <w:pStyle w:val="LB1"/>
      </w:pPr>
      <w:r w:rsidRPr="00643FAC">
        <w:t>System must provide support for tracking suspicious search activity</w:t>
      </w:r>
    </w:p>
    <w:p w14:paraId="575E1765" w14:textId="77777777" w:rsidR="0057692D" w:rsidRDefault="0057692D" w:rsidP="00F82166">
      <w:pPr>
        <w:pStyle w:val="LB1"/>
      </w:pPr>
      <w:r w:rsidRPr="00643FAC">
        <w:t xml:space="preserve">System must </w:t>
      </w:r>
      <w:r>
        <w:t xml:space="preserve">allow authorized Staff </w:t>
      </w:r>
      <w:r w:rsidRPr="00643FAC">
        <w:t>the ability to search all data within the data retention period</w:t>
      </w:r>
    </w:p>
    <w:p w14:paraId="4FB459ED" w14:textId="77777777" w:rsidR="0057692D" w:rsidRDefault="0057692D">
      <w:pPr>
        <w:pStyle w:val="LB1"/>
      </w:pPr>
      <w:r w:rsidRPr="00643FAC">
        <w:t>System must proactively determine if additional search elements are needed</w:t>
      </w:r>
    </w:p>
    <w:p w14:paraId="54EAC9F0" w14:textId="77777777" w:rsidR="0057692D" w:rsidRDefault="0057692D">
      <w:pPr>
        <w:pStyle w:val="LB1"/>
      </w:pPr>
      <w:r w:rsidRPr="00643FAC">
        <w:t xml:space="preserve">System must </w:t>
      </w:r>
      <w:r>
        <w:t xml:space="preserve">allow authorized Staff </w:t>
      </w:r>
      <w:r w:rsidRPr="00643FAC">
        <w:t>to search for reports</w:t>
      </w:r>
    </w:p>
    <w:p w14:paraId="4C207559" w14:textId="6E898B84" w:rsidR="005C696B" w:rsidRDefault="0057692D">
      <w:pPr>
        <w:pStyle w:val="LB1"/>
      </w:pPr>
      <w:r w:rsidRPr="00643FAC">
        <w:t>System must ensure that system searches do not degrade system performance</w:t>
      </w:r>
    </w:p>
    <w:p w14:paraId="2DBA3AB8" w14:textId="77777777" w:rsidR="0057692D" w:rsidRDefault="0057692D" w:rsidP="0057692D"/>
    <w:p w14:paraId="2808839E" w14:textId="0A8A04D1" w:rsidR="005C696B" w:rsidRDefault="005C696B" w:rsidP="005C696B">
      <w:pPr>
        <w:pStyle w:val="Heading4"/>
      </w:pPr>
      <w:bookmarkStart w:id="398" w:name="_System_Security"/>
      <w:bookmarkEnd w:id="398"/>
      <w:r>
        <w:tab/>
      </w:r>
      <w:r w:rsidR="00CD4425">
        <w:t xml:space="preserve">System </w:t>
      </w:r>
      <w:r>
        <w:t>Security</w:t>
      </w:r>
    </w:p>
    <w:p w14:paraId="69AE14CB" w14:textId="79676F68" w:rsidR="005C696B" w:rsidRPr="00B0723C" w:rsidRDefault="00C92570" w:rsidP="005C696B">
      <w:r>
        <w:t>The System must</w:t>
      </w:r>
      <w:r w:rsidR="00CD4425" w:rsidRPr="00847A4F">
        <w:t xml:space="preserve"> include </w:t>
      </w:r>
      <w:r w:rsidR="00CD4425">
        <w:t xml:space="preserve">all functionality necessary to </w:t>
      </w:r>
      <w:r w:rsidR="00F86CF0">
        <w:t xml:space="preserve">securely configure access </w:t>
      </w:r>
      <w:r w:rsidR="00CD4425">
        <w:t>to the UI solution</w:t>
      </w:r>
      <w:r w:rsidR="005C696B">
        <w:t>.</w:t>
      </w:r>
    </w:p>
    <w:p w14:paraId="5660AC20" w14:textId="77777777" w:rsidR="005C696B" w:rsidRPr="003A23F0" w:rsidRDefault="005C696B" w:rsidP="005C696B">
      <w:pPr>
        <w:rPr>
          <w:u w:val="single"/>
        </w:rPr>
      </w:pPr>
      <w:r w:rsidRPr="003A23F0">
        <w:rPr>
          <w:u w:val="single"/>
        </w:rPr>
        <w:t>Actors</w:t>
      </w:r>
    </w:p>
    <w:p w14:paraId="463534E0" w14:textId="77777777" w:rsidR="00CD4425" w:rsidRDefault="00CD4425" w:rsidP="00E16D2D">
      <w:pPr>
        <w:pStyle w:val="LB1"/>
      </w:pPr>
      <w:r>
        <w:t>Claimants</w:t>
      </w:r>
    </w:p>
    <w:p w14:paraId="38C775AB" w14:textId="77777777" w:rsidR="00CD4425" w:rsidRDefault="00CD4425" w:rsidP="00E16D2D">
      <w:pPr>
        <w:pStyle w:val="LB1"/>
      </w:pPr>
      <w:r>
        <w:t>Employers</w:t>
      </w:r>
    </w:p>
    <w:p w14:paraId="4F2620A7" w14:textId="77777777" w:rsidR="00CD4425" w:rsidRDefault="00CD4425" w:rsidP="00116640">
      <w:pPr>
        <w:pStyle w:val="LB1"/>
      </w:pPr>
      <w:r>
        <w:t>TPAs</w:t>
      </w:r>
    </w:p>
    <w:p w14:paraId="04BF73B3" w14:textId="77777777" w:rsidR="00CD4425" w:rsidRDefault="00CD4425" w:rsidP="00F82166">
      <w:pPr>
        <w:pStyle w:val="LB1"/>
      </w:pPr>
      <w:r>
        <w:t>Attorneys/Representatives</w:t>
      </w:r>
    </w:p>
    <w:p w14:paraId="549D421E" w14:textId="3FC64303" w:rsidR="00CD4425" w:rsidRDefault="00CD4425" w:rsidP="00F82166">
      <w:pPr>
        <w:pStyle w:val="LB1"/>
      </w:pPr>
      <w:r>
        <w:t>Other external parties</w:t>
      </w:r>
    </w:p>
    <w:p w14:paraId="53985F60" w14:textId="77777777" w:rsidR="00CD4425" w:rsidRDefault="00CD4425">
      <w:pPr>
        <w:pStyle w:val="LB1"/>
      </w:pPr>
      <w:r>
        <w:t>Staff</w:t>
      </w:r>
    </w:p>
    <w:p w14:paraId="16EB013F" w14:textId="77777777" w:rsidR="005C696B" w:rsidRPr="00DF6567" w:rsidRDefault="005C696B" w:rsidP="005C696B"/>
    <w:p w14:paraId="509B8901" w14:textId="77777777" w:rsidR="005C696B" w:rsidRPr="003A23F0" w:rsidRDefault="005C696B" w:rsidP="005C696B">
      <w:pPr>
        <w:rPr>
          <w:u w:val="single"/>
        </w:rPr>
      </w:pPr>
      <w:r w:rsidRPr="003A23F0">
        <w:rPr>
          <w:u w:val="single"/>
        </w:rPr>
        <w:t>Main Activities</w:t>
      </w:r>
    </w:p>
    <w:p w14:paraId="02AA1E7B" w14:textId="139E11FF" w:rsidR="00CD4425" w:rsidRDefault="00CD4425" w:rsidP="00E16D2D">
      <w:pPr>
        <w:pStyle w:val="LB1"/>
      </w:pPr>
      <w:r>
        <w:t xml:space="preserve">System must allow authorized Staff to create roles, define role-based access, assign permissions </w:t>
      </w:r>
      <w:r w:rsidR="00023894">
        <w:t>down to</w:t>
      </w:r>
      <w:r>
        <w:t xml:space="preserve"> the field </w:t>
      </w:r>
      <w:r w:rsidR="00023894">
        <w:t>level</w:t>
      </w:r>
      <w:r w:rsidR="00EB2DE6">
        <w:t>, and provide a description of permissions:</w:t>
      </w:r>
    </w:p>
    <w:p w14:paraId="7D55AA4D" w14:textId="2A29F9E6" w:rsidR="00023894" w:rsidRDefault="00023894" w:rsidP="00E16D2D">
      <w:pPr>
        <w:pStyle w:val="OB1"/>
      </w:pPr>
      <w:r>
        <w:t xml:space="preserve">Access </w:t>
      </w:r>
      <w:r w:rsidR="00CD4425">
        <w:t>includ</w:t>
      </w:r>
      <w:r>
        <w:t>es</w:t>
      </w:r>
      <w:r w:rsidR="00CD4425">
        <w:t xml:space="preserve"> read only, read and write, full access, </w:t>
      </w:r>
      <w:r>
        <w:t>at a minimum</w:t>
      </w:r>
      <w:r w:rsidR="00CD4425">
        <w:t xml:space="preserve"> </w:t>
      </w:r>
    </w:p>
    <w:p w14:paraId="3032E5F7" w14:textId="2857696C" w:rsidR="00CD4425" w:rsidRDefault="00023894" w:rsidP="00116640">
      <w:pPr>
        <w:pStyle w:val="OB1"/>
      </w:pPr>
      <w:r>
        <w:t>Role e</w:t>
      </w:r>
      <w:r w:rsidR="00CD4425">
        <w:t>xamples include</w:t>
      </w:r>
      <w:r>
        <w:t>:</w:t>
      </w:r>
    </w:p>
    <w:p w14:paraId="2BAD0EDF" w14:textId="290CFAE3" w:rsidR="00CD4425" w:rsidRDefault="00CD4425" w:rsidP="00023894">
      <w:pPr>
        <w:pStyle w:val="SB1"/>
      </w:pPr>
      <w:r>
        <w:t xml:space="preserve">Role for Business administrators who can modify </w:t>
      </w:r>
      <w:r w:rsidR="00023894">
        <w:t>workflow</w:t>
      </w:r>
    </w:p>
    <w:p w14:paraId="29204832" w14:textId="701C2FD3" w:rsidR="00CD4425" w:rsidRDefault="00CD4425" w:rsidP="00023894">
      <w:pPr>
        <w:pStyle w:val="SB1"/>
      </w:pPr>
      <w:r>
        <w:t xml:space="preserve">Role for Staff who </w:t>
      </w:r>
      <w:r w:rsidR="00023894">
        <w:t>have read</w:t>
      </w:r>
      <w:r>
        <w:t xml:space="preserve"> only </w:t>
      </w:r>
      <w:r w:rsidR="00023894">
        <w:t>permission</w:t>
      </w:r>
    </w:p>
    <w:p w14:paraId="567E6F11" w14:textId="75CA00CE" w:rsidR="00CD4425" w:rsidRDefault="00CD4425" w:rsidP="00E16D2D">
      <w:pPr>
        <w:pStyle w:val="LB1"/>
      </w:pPr>
      <w:r>
        <w:t>System must allow authorized Staff</w:t>
      </w:r>
      <w:r w:rsidR="00023894">
        <w:t xml:space="preserve"> the</w:t>
      </w:r>
      <w:r>
        <w:t xml:space="preserve"> ability to reset </w:t>
      </w:r>
      <w:r w:rsidR="009B186F">
        <w:t xml:space="preserve">user </w:t>
      </w:r>
      <w:r w:rsidR="00023894">
        <w:t>accounts</w:t>
      </w:r>
    </w:p>
    <w:p w14:paraId="4B77D543" w14:textId="2F43F03C" w:rsidR="00CD4425" w:rsidRDefault="00023894" w:rsidP="00E16D2D">
      <w:pPr>
        <w:pStyle w:val="LB1"/>
      </w:pPr>
      <w:r>
        <w:t>System must allow authorized Staff to</w:t>
      </w:r>
      <w:r w:rsidR="00CD4425">
        <w:t xml:space="preserve"> immediately revoke </w:t>
      </w:r>
      <w:r w:rsidR="009B186F">
        <w:t xml:space="preserve">user </w:t>
      </w:r>
      <w:r w:rsidR="00CD4425">
        <w:t>and Staff access</w:t>
      </w:r>
    </w:p>
    <w:p w14:paraId="2F47B67E" w14:textId="77777777" w:rsidR="00946735" w:rsidRDefault="00946735" w:rsidP="00946735">
      <w:pPr>
        <w:pStyle w:val="LB1"/>
      </w:pPr>
      <w:r>
        <w:t xml:space="preserve">System must allow authorized Staff </w:t>
      </w:r>
      <w:r w:rsidRPr="00FD507E">
        <w:t xml:space="preserve">to </w:t>
      </w:r>
      <w:r>
        <w:t>c</w:t>
      </w:r>
      <w:r w:rsidRPr="00FD507E">
        <w:t>hange t</w:t>
      </w:r>
      <w:r>
        <w:t>he</w:t>
      </w:r>
      <w:r w:rsidRPr="00FD507E">
        <w:t xml:space="preserve"> access rights </w:t>
      </w:r>
      <w:r>
        <w:t xml:space="preserve">for </w:t>
      </w:r>
      <w:r w:rsidRPr="00FD507E">
        <w:t>users and groups to take effect at a designated time, as well as real time</w:t>
      </w:r>
    </w:p>
    <w:p w14:paraId="438912A1" w14:textId="07B337E3" w:rsidR="00EB2DE6" w:rsidRDefault="00EB2DE6" w:rsidP="00116640">
      <w:pPr>
        <w:pStyle w:val="LB1"/>
      </w:pPr>
      <w:r>
        <w:t>System must allow authorized Staff to generate a report detailing permissions</w:t>
      </w:r>
    </w:p>
    <w:p w14:paraId="0F45624D" w14:textId="73120FDF" w:rsidR="00DA4BCA" w:rsidRDefault="00DA4BCA" w:rsidP="00F82166">
      <w:pPr>
        <w:pStyle w:val="LB1"/>
      </w:pPr>
      <w:r w:rsidRPr="00D4193A">
        <w:t>System must capture and geolocate (including but not limited to country, region, city, latitude, longitude, zip code, time zone, ISP, domain, net speed, area code, weather, mobile, elevation, port), Internet Protocol (IP) addresses in all versions (including but not limited to IPv4 and IPv6) associ</w:t>
      </w:r>
      <w:r>
        <w:t>ated with self-service to assist S</w:t>
      </w:r>
      <w:r w:rsidRPr="00D4193A">
        <w:t>taff in detecting fraudulent schemes</w:t>
      </w:r>
    </w:p>
    <w:p w14:paraId="7109E76E" w14:textId="61EB96B5" w:rsidR="009A32C9" w:rsidRDefault="009A32C9" w:rsidP="00F82166">
      <w:pPr>
        <w:pStyle w:val="LB1"/>
      </w:pPr>
      <w:r>
        <w:t>System must capture user’s computer system information</w:t>
      </w:r>
    </w:p>
    <w:p w14:paraId="0173B0C6" w14:textId="32EAB40B" w:rsidR="00DA4BCA" w:rsidRDefault="00B72EF4">
      <w:pPr>
        <w:pStyle w:val="LB1"/>
      </w:pPr>
      <w:r>
        <w:t>System must have a full audit trail on any access and changes to UI data</w:t>
      </w:r>
    </w:p>
    <w:p w14:paraId="247A24D0" w14:textId="3F63FEC8" w:rsidR="009A32C9" w:rsidRDefault="00B72EF4">
      <w:pPr>
        <w:pStyle w:val="OB1"/>
      </w:pPr>
      <w:r>
        <w:t>User phone number</w:t>
      </w:r>
      <w:r w:rsidR="009A32C9" w:rsidRPr="009A32C9">
        <w:t xml:space="preserve"> </w:t>
      </w:r>
      <w:r w:rsidR="009A32C9">
        <w:t>and computer’s system information</w:t>
      </w:r>
    </w:p>
    <w:p w14:paraId="063F941D" w14:textId="696E8F9B" w:rsidR="002E1A7F" w:rsidRDefault="002E1A7F">
      <w:pPr>
        <w:pStyle w:val="OB1"/>
      </w:pPr>
      <w:r>
        <w:t>Time and date stamp</w:t>
      </w:r>
    </w:p>
    <w:p w14:paraId="08D8D82F" w14:textId="77777777" w:rsidR="002E1A7F" w:rsidRDefault="002E1A7F">
      <w:pPr>
        <w:pStyle w:val="OB1"/>
      </w:pPr>
      <w:r>
        <w:t>Claimant or Employer ID</w:t>
      </w:r>
    </w:p>
    <w:p w14:paraId="518810F6" w14:textId="15006646" w:rsidR="002E1A7F" w:rsidRDefault="002E1A7F">
      <w:pPr>
        <w:pStyle w:val="OB1"/>
      </w:pPr>
      <w:r>
        <w:t>Actions taken</w:t>
      </w:r>
    </w:p>
    <w:p w14:paraId="4B604E91" w14:textId="0F330E17" w:rsidR="002E1A7F" w:rsidRDefault="002E1A7F" w:rsidP="001B153D">
      <w:pPr>
        <w:pStyle w:val="SB1"/>
      </w:pPr>
      <w:r>
        <w:t>Records reviewed</w:t>
      </w:r>
    </w:p>
    <w:p w14:paraId="34B03B75" w14:textId="12DDADA0" w:rsidR="002E1A7F" w:rsidRDefault="002E1A7F" w:rsidP="001B153D">
      <w:pPr>
        <w:pStyle w:val="SB1"/>
      </w:pPr>
      <w:r>
        <w:t>Fields updated</w:t>
      </w:r>
    </w:p>
    <w:p w14:paraId="5D5AA0F9" w14:textId="2AD2DDA2" w:rsidR="002E1A7F" w:rsidRDefault="002E1A7F" w:rsidP="001B153D">
      <w:pPr>
        <w:pStyle w:val="SB1"/>
      </w:pPr>
      <w:r>
        <w:t>Etc.</w:t>
      </w:r>
    </w:p>
    <w:p w14:paraId="2580F2EE" w14:textId="106E3555" w:rsidR="002E1A7F" w:rsidRDefault="002E1A7F" w:rsidP="00E16D2D">
      <w:pPr>
        <w:pStyle w:val="OB1"/>
      </w:pPr>
      <w:r>
        <w:t>Etc.</w:t>
      </w:r>
    </w:p>
    <w:p w14:paraId="5A71C5C0" w14:textId="06B9DD74" w:rsidR="002E1A7F" w:rsidRDefault="002E1A7F" w:rsidP="00E16D2D">
      <w:pPr>
        <w:pStyle w:val="LB1"/>
      </w:pPr>
      <w:r>
        <w:t xml:space="preserve">System must allow authorized </w:t>
      </w:r>
      <w:r w:rsidR="00946735">
        <w:t xml:space="preserve">Staff </w:t>
      </w:r>
      <w:r>
        <w:t xml:space="preserve">to search </w:t>
      </w:r>
      <w:r w:rsidR="000C010A">
        <w:t xml:space="preserve">and retrieve </w:t>
      </w:r>
      <w:r>
        <w:t>audit trail</w:t>
      </w:r>
    </w:p>
    <w:p w14:paraId="092145A5" w14:textId="0AF3C207" w:rsidR="005C696B" w:rsidRDefault="005C696B" w:rsidP="005C696B"/>
    <w:p w14:paraId="4F9AEFF0" w14:textId="452A58BC" w:rsidR="005C696B" w:rsidRDefault="005C696B" w:rsidP="005C696B">
      <w:pPr>
        <w:pStyle w:val="Heading4"/>
      </w:pPr>
      <w:bookmarkStart w:id="399" w:name="_Self-Service"/>
      <w:bookmarkStart w:id="400" w:name="_Hlk534892797"/>
      <w:bookmarkEnd w:id="399"/>
      <w:r>
        <w:tab/>
        <w:t>Self-Service</w:t>
      </w:r>
    </w:p>
    <w:p w14:paraId="05F3A72D" w14:textId="179BF371" w:rsidR="005C696B" w:rsidRPr="00B0723C" w:rsidRDefault="00C92570" w:rsidP="005C696B">
      <w:r>
        <w:t>The System must</w:t>
      </w:r>
      <w:r w:rsidR="009E6C2C" w:rsidRPr="00847A4F">
        <w:t xml:space="preserve"> include </w:t>
      </w:r>
      <w:r w:rsidR="009E6C2C">
        <w:t>all functionality necessary to allow Employers, Claimants, TPAs, and other external parties to use UI services independent of the involvement of Staff</w:t>
      </w:r>
      <w:r w:rsidR="005C696B">
        <w:t>.</w:t>
      </w:r>
    </w:p>
    <w:p w14:paraId="6F612CC8" w14:textId="77777777" w:rsidR="005C696B" w:rsidRPr="003A23F0" w:rsidRDefault="005C696B" w:rsidP="005C696B">
      <w:pPr>
        <w:rPr>
          <w:u w:val="single"/>
        </w:rPr>
      </w:pPr>
      <w:r w:rsidRPr="003A23F0">
        <w:rPr>
          <w:u w:val="single"/>
        </w:rPr>
        <w:t>Actors</w:t>
      </w:r>
    </w:p>
    <w:p w14:paraId="69B0DF72" w14:textId="77777777" w:rsidR="009E6C2C" w:rsidRDefault="009E6C2C" w:rsidP="00E16D2D">
      <w:pPr>
        <w:pStyle w:val="LB1"/>
      </w:pPr>
      <w:r>
        <w:t>Claimants</w:t>
      </w:r>
    </w:p>
    <w:p w14:paraId="77D40F79" w14:textId="77777777" w:rsidR="009E6C2C" w:rsidRDefault="009E6C2C" w:rsidP="00E16D2D">
      <w:pPr>
        <w:pStyle w:val="LB1"/>
      </w:pPr>
      <w:r>
        <w:t>Employers</w:t>
      </w:r>
    </w:p>
    <w:p w14:paraId="65F36667" w14:textId="77777777" w:rsidR="009E6C2C" w:rsidRDefault="009E6C2C" w:rsidP="00116640">
      <w:pPr>
        <w:pStyle w:val="LB1"/>
      </w:pPr>
      <w:r>
        <w:lastRenderedPageBreak/>
        <w:t>TPAs</w:t>
      </w:r>
    </w:p>
    <w:p w14:paraId="45AC5C47" w14:textId="77777777" w:rsidR="009E6C2C" w:rsidRDefault="009E6C2C" w:rsidP="00F82166">
      <w:pPr>
        <w:pStyle w:val="LB1"/>
      </w:pPr>
      <w:r>
        <w:t>Attorneys/Representatives</w:t>
      </w:r>
    </w:p>
    <w:p w14:paraId="7DFFE0C6" w14:textId="5A4BF3D2" w:rsidR="005C696B" w:rsidRDefault="009E6C2C" w:rsidP="00F82166">
      <w:pPr>
        <w:pStyle w:val="LB1"/>
      </w:pPr>
      <w:r>
        <w:t>Other external parties</w:t>
      </w:r>
    </w:p>
    <w:p w14:paraId="5C5F1054" w14:textId="77777777" w:rsidR="005C696B" w:rsidRPr="00DF6567" w:rsidRDefault="005C696B" w:rsidP="005C696B"/>
    <w:p w14:paraId="46023EDB" w14:textId="77777777" w:rsidR="005C696B" w:rsidRPr="003A23F0" w:rsidRDefault="005C696B" w:rsidP="005C696B">
      <w:pPr>
        <w:rPr>
          <w:u w:val="single"/>
        </w:rPr>
      </w:pPr>
      <w:r w:rsidRPr="003A23F0">
        <w:rPr>
          <w:u w:val="single"/>
        </w:rPr>
        <w:t>Main Activities</w:t>
      </w:r>
    </w:p>
    <w:p w14:paraId="3AFB3F84" w14:textId="4D385FD6" w:rsidR="009E6C2C" w:rsidRDefault="009E6C2C" w:rsidP="00E16D2D">
      <w:pPr>
        <w:pStyle w:val="LB1"/>
      </w:pPr>
      <w:r>
        <w:t xml:space="preserve">System </w:t>
      </w:r>
      <w:r w:rsidRPr="00B862B7">
        <w:t xml:space="preserve">must provide the ability for </w:t>
      </w:r>
      <w:r w:rsidRPr="00DD5706">
        <w:t xml:space="preserve">secure online </w:t>
      </w:r>
      <w:r w:rsidRPr="00B862B7">
        <w:t xml:space="preserve">self-service access to </w:t>
      </w:r>
      <w:r w:rsidR="00787136">
        <w:t xml:space="preserve">all </w:t>
      </w:r>
      <w:r w:rsidRPr="00B862B7">
        <w:t xml:space="preserve">required functionality </w:t>
      </w:r>
      <w:r w:rsidR="00787136">
        <w:t xml:space="preserve">so that </w:t>
      </w:r>
      <w:r w:rsidRPr="00B862B7">
        <w:t xml:space="preserve">users </w:t>
      </w:r>
      <w:r w:rsidR="00787136">
        <w:t xml:space="preserve">can </w:t>
      </w:r>
      <w:r>
        <w:t>conduct unemployment business</w:t>
      </w:r>
      <w:r w:rsidRPr="00B862B7">
        <w:t xml:space="preserve">. The Offeror must describe self-service features for </w:t>
      </w:r>
      <w:r w:rsidR="009521D7">
        <w:t>Claimants</w:t>
      </w:r>
      <w:r w:rsidRPr="00B862B7">
        <w:t xml:space="preserve">, </w:t>
      </w:r>
      <w:r w:rsidR="009521D7">
        <w:t>Employers</w:t>
      </w:r>
      <w:r w:rsidRPr="00B862B7">
        <w:t>, TPAs, other users and partners</w:t>
      </w:r>
    </w:p>
    <w:p w14:paraId="53C07894" w14:textId="77777777" w:rsidR="009E6C2C" w:rsidRDefault="009E6C2C" w:rsidP="00E16D2D">
      <w:pPr>
        <w:pStyle w:val="OB1"/>
      </w:pPr>
      <w:r>
        <w:t>Register</w:t>
      </w:r>
    </w:p>
    <w:p w14:paraId="19DEA680" w14:textId="77777777" w:rsidR="009E6C2C" w:rsidRDefault="009E6C2C" w:rsidP="00116640">
      <w:pPr>
        <w:pStyle w:val="OB1"/>
      </w:pPr>
      <w:r>
        <w:t>Reset account (passwords, PINs, etc.)</w:t>
      </w:r>
    </w:p>
    <w:p w14:paraId="0DA64316" w14:textId="77777777" w:rsidR="009E6C2C" w:rsidRDefault="009E6C2C" w:rsidP="00F82166">
      <w:pPr>
        <w:pStyle w:val="OB1"/>
      </w:pPr>
      <w:r>
        <w:t>File claims</w:t>
      </w:r>
    </w:p>
    <w:p w14:paraId="3E685A84" w14:textId="77777777" w:rsidR="009E6C2C" w:rsidRDefault="009E6C2C" w:rsidP="00F82166">
      <w:pPr>
        <w:pStyle w:val="OB1"/>
      </w:pPr>
      <w:r>
        <w:t>Upload documents</w:t>
      </w:r>
    </w:p>
    <w:p w14:paraId="4D7772E6" w14:textId="77777777" w:rsidR="002A0B84" w:rsidRDefault="002A0B84" w:rsidP="002A0B84">
      <w:pPr>
        <w:pStyle w:val="SB1"/>
      </w:pPr>
      <w:r>
        <w:t>Scan for viruses</w:t>
      </w:r>
    </w:p>
    <w:p w14:paraId="7A7FCEDF" w14:textId="77777777" w:rsidR="002A0B84" w:rsidRDefault="002A0B84" w:rsidP="002A0B84">
      <w:pPr>
        <w:pStyle w:val="SB1"/>
      </w:pPr>
      <w:r>
        <w:t>Notify user if errors</w:t>
      </w:r>
    </w:p>
    <w:p w14:paraId="143041BE" w14:textId="77777777" w:rsidR="002A0B84" w:rsidRDefault="002A0B84" w:rsidP="002A0B84">
      <w:pPr>
        <w:pStyle w:val="SB1"/>
      </w:pPr>
      <w:r>
        <w:t>Provide upload confirmation</w:t>
      </w:r>
    </w:p>
    <w:p w14:paraId="44654448" w14:textId="1A56CBE6" w:rsidR="009E6C2C" w:rsidRDefault="002A0B84" w:rsidP="002A0B84">
      <w:pPr>
        <w:pStyle w:val="SB1"/>
      </w:pPr>
      <w:r>
        <w:t>Store documents and associate them with account</w:t>
      </w:r>
    </w:p>
    <w:p w14:paraId="63E6AA09" w14:textId="6A193567" w:rsidR="009E6C2C" w:rsidRDefault="009E6C2C" w:rsidP="00E16D2D">
      <w:pPr>
        <w:pStyle w:val="OB1"/>
      </w:pPr>
      <w:r>
        <w:t xml:space="preserve">Assign and revoke </w:t>
      </w:r>
      <w:r w:rsidR="00314276">
        <w:t xml:space="preserve">POA </w:t>
      </w:r>
      <w:r>
        <w:t>access</w:t>
      </w:r>
    </w:p>
    <w:p w14:paraId="7BF95F2F" w14:textId="77777777" w:rsidR="009E6C2C" w:rsidRDefault="009E6C2C" w:rsidP="00E16D2D">
      <w:pPr>
        <w:pStyle w:val="OB1"/>
      </w:pPr>
      <w:r>
        <w:t>Etc.</w:t>
      </w:r>
    </w:p>
    <w:bookmarkEnd w:id="400"/>
    <w:p w14:paraId="4ABA46D9" w14:textId="3F2B50EB" w:rsidR="005C696B" w:rsidRDefault="005C696B" w:rsidP="005C696B"/>
    <w:p w14:paraId="64369A7E" w14:textId="77777777" w:rsidR="00EA263D" w:rsidRDefault="00EA263D" w:rsidP="00EA263D">
      <w:pPr>
        <w:pStyle w:val="Heading4"/>
      </w:pPr>
      <w:bookmarkStart w:id="401" w:name="_Workflow"/>
      <w:bookmarkStart w:id="402" w:name="_Allow_External_Agencies"/>
      <w:bookmarkStart w:id="403" w:name="_Hlk1636087"/>
      <w:bookmarkEnd w:id="401"/>
      <w:bookmarkEnd w:id="402"/>
      <w:r>
        <w:tab/>
      </w:r>
      <w:bookmarkStart w:id="404" w:name="_Hlk528678168"/>
      <w:r>
        <w:t>Allow External Agencies and Law Enforcement Access</w:t>
      </w:r>
    </w:p>
    <w:p w14:paraId="1DD1B602" w14:textId="46B889B1" w:rsidR="00EA263D" w:rsidRPr="00B0723C" w:rsidRDefault="00C92570" w:rsidP="00EA263D">
      <w:r>
        <w:t>The System must</w:t>
      </w:r>
      <w:r w:rsidR="00450217" w:rsidRPr="00847A4F">
        <w:t xml:space="preserve"> </w:t>
      </w:r>
      <w:r w:rsidR="00EA263D">
        <w:t xml:space="preserve">include all </w:t>
      </w:r>
      <w:r w:rsidR="00450217">
        <w:t>functionality necessary</w:t>
      </w:r>
      <w:r w:rsidR="00EA263D">
        <w:t xml:space="preserve"> to allow external agencies and law enforcement agencies to access UI data, similar to the current EAGLE system.</w:t>
      </w:r>
    </w:p>
    <w:p w14:paraId="1140233A" w14:textId="77777777" w:rsidR="00EA263D" w:rsidRPr="003A23F0" w:rsidRDefault="00EA263D" w:rsidP="00EA263D">
      <w:pPr>
        <w:rPr>
          <w:u w:val="single"/>
        </w:rPr>
      </w:pPr>
      <w:r w:rsidRPr="003A23F0">
        <w:rPr>
          <w:u w:val="single"/>
        </w:rPr>
        <w:t>Actors</w:t>
      </w:r>
    </w:p>
    <w:p w14:paraId="649419E5" w14:textId="77777777" w:rsidR="00EA263D" w:rsidRDefault="00EA263D" w:rsidP="00E16D2D">
      <w:pPr>
        <w:pStyle w:val="LB1"/>
      </w:pPr>
      <w:r>
        <w:t>Authorized Staff</w:t>
      </w:r>
    </w:p>
    <w:p w14:paraId="20B25E61" w14:textId="77777777" w:rsidR="00EA263D" w:rsidRDefault="00EA263D" w:rsidP="00E16D2D">
      <w:pPr>
        <w:pStyle w:val="LB1"/>
      </w:pPr>
      <w:r>
        <w:t>External Agencies</w:t>
      </w:r>
    </w:p>
    <w:p w14:paraId="75DB7033" w14:textId="77777777" w:rsidR="00EA263D" w:rsidRDefault="00EA263D" w:rsidP="00116640">
      <w:pPr>
        <w:pStyle w:val="LB1"/>
      </w:pPr>
      <w:r>
        <w:t>Law Enforcement</w:t>
      </w:r>
    </w:p>
    <w:p w14:paraId="7E6C40DF" w14:textId="77777777" w:rsidR="00EA263D" w:rsidRPr="00DF6567" w:rsidRDefault="00EA263D" w:rsidP="00EA263D"/>
    <w:p w14:paraId="1A019E07" w14:textId="77777777" w:rsidR="00EA263D" w:rsidRPr="003A23F0" w:rsidRDefault="00EA263D" w:rsidP="00EA263D">
      <w:pPr>
        <w:rPr>
          <w:u w:val="single"/>
        </w:rPr>
      </w:pPr>
      <w:r w:rsidRPr="003A23F0">
        <w:rPr>
          <w:u w:val="single"/>
        </w:rPr>
        <w:t>Main Activities</w:t>
      </w:r>
    </w:p>
    <w:p w14:paraId="4B18457D" w14:textId="77777777" w:rsidR="00EA263D" w:rsidRDefault="00EA263D" w:rsidP="00E16D2D">
      <w:pPr>
        <w:pStyle w:val="LB1"/>
      </w:pPr>
      <w:r>
        <w:t xml:space="preserve">System must allow external agencies and law enforcement to access UI data </w:t>
      </w:r>
    </w:p>
    <w:p w14:paraId="7D2EA92B" w14:textId="77777777" w:rsidR="00EA263D" w:rsidRDefault="00EA263D" w:rsidP="00E16D2D">
      <w:pPr>
        <w:pStyle w:val="OB1"/>
      </w:pPr>
      <w:r>
        <w:t>Based on roles and groups</w:t>
      </w:r>
    </w:p>
    <w:p w14:paraId="021CD1E2" w14:textId="77777777" w:rsidR="00EA263D" w:rsidRDefault="00EA263D" w:rsidP="00116640">
      <w:pPr>
        <w:pStyle w:val="OB1"/>
      </w:pPr>
      <w:r>
        <w:t>Granted default and optional permissions</w:t>
      </w:r>
    </w:p>
    <w:p w14:paraId="26AC76F0" w14:textId="77777777" w:rsidR="00EA263D" w:rsidRDefault="00EA263D" w:rsidP="00F82166">
      <w:pPr>
        <w:pStyle w:val="OB1"/>
      </w:pPr>
      <w:r>
        <w:t>Read only access to data</w:t>
      </w:r>
    </w:p>
    <w:p w14:paraId="415B92A2" w14:textId="77777777" w:rsidR="00EA263D" w:rsidRDefault="00EA263D" w:rsidP="00F82166">
      <w:pPr>
        <w:pStyle w:val="OB1"/>
      </w:pPr>
      <w:r>
        <w:t>Record and retain full audit trail of all activities</w:t>
      </w:r>
    </w:p>
    <w:p w14:paraId="7115193B" w14:textId="77777777" w:rsidR="00EA263D" w:rsidRDefault="00EA263D">
      <w:pPr>
        <w:pStyle w:val="LB1"/>
      </w:pPr>
      <w:r>
        <w:t>System must allow authorized Staff to invite a user, via email, to register for an account</w:t>
      </w:r>
    </w:p>
    <w:p w14:paraId="5175D81B" w14:textId="77777777" w:rsidR="00EA263D" w:rsidRDefault="00EA263D">
      <w:pPr>
        <w:pStyle w:val="LB1"/>
      </w:pPr>
      <w:r>
        <w:t>System must allow authorized Staff to revoke a user’s access</w:t>
      </w:r>
    </w:p>
    <w:p w14:paraId="0470F08A" w14:textId="13A3BD04" w:rsidR="009C1FF4" w:rsidRDefault="00EA263D">
      <w:pPr>
        <w:pStyle w:val="LB1"/>
      </w:pPr>
      <w:r>
        <w:lastRenderedPageBreak/>
        <w:t xml:space="preserve">System must allow external agencies and law enforcement to </w:t>
      </w:r>
      <w:r w:rsidR="009C1FF4">
        <w:t>search for up to</w:t>
      </w:r>
      <w:r>
        <w:t xml:space="preserve"> 50 SSN</w:t>
      </w:r>
      <w:r w:rsidRPr="00DF26F4">
        <w:t>s at a ti</w:t>
      </w:r>
      <w:r w:rsidR="009C1FF4">
        <w:t xml:space="preserve">me </w:t>
      </w:r>
    </w:p>
    <w:p w14:paraId="30F05E66" w14:textId="0B71D76D" w:rsidR="00EA263D" w:rsidRDefault="00EA263D">
      <w:pPr>
        <w:pStyle w:val="LB1"/>
      </w:pPr>
      <w:r>
        <w:t>System must retain full audit trail for e</w:t>
      </w:r>
      <w:r w:rsidR="007B7CF4">
        <w:t xml:space="preserve">ach SSNs </w:t>
      </w:r>
      <w:r w:rsidR="009C1FF4">
        <w:t>searched</w:t>
      </w:r>
    </w:p>
    <w:p w14:paraId="106239B0" w14:textId="4536D7B7" w:rsidR="00EA263D" w:rsidRDefault="00EA263D">
      <w:pPr>
        <w:pStyle w:val="LB1"/>
      </w:pPr>
      <w:r>
        <w:t xml:space="preserve">System must allow “Big Users” (those with 100+ individual accounts; e.g., </w:t>
      </w:r>
      <w:r w:rsidR="002E714B" w:rsidRPr="0062572A">
        <w:rPr>
          <w:rFonts w:cs="Calibri"/>
          <w:color w:val="000000"/>
          <w:szCs w:val="24"/>
        </w:rPr>
        <w:t>Health &amp; Human Services Commission</w:t>
      </w:r>
      <w:r w:rsidR="002E714B">
        <w:t xml:space="preserve"> (</w:t>
      </w:r>
      <w:r>
        <w:t>HHSC</w:t>
      </w:r>
      <w:r w:rsidR="002E714B">
        <w:t>)</w:t>
      </w:r>
      <w:r>
        <w:t xml:space="preserve">, OAG, </w:t>
      </w:r>
      <w:r w:rsidR="0052357B">
        <w:rPr>
          <w:rFonts w:cs="Arial"/>
          <w:snapToGrid w:val="0"/>
          <w:color w:val="000000"/>
          <w:szCs w:val="24"/>
        </w:rPr>
        <w:t>Department of Public Safety (</w:t>
      </w:r>
      <w:r>
        <w:t>DPS</w:t>
      </w:r>
      <w:r w:rsidR="0052357B">
        <w:t>)</w:t>
      </w:r>
      <w:r>
        <w:t>) to have dedicated Administrators with create, rea</w:t>
      </w:r>
      <w:r w:rsidR="009C1FF4">
        <w:t>d, update and delete privileges</w:t>
      </w:r>
    </w:p>
    <w:p w14:paraId="234BC51E" w14:textId="77777777" w:rsidR="00EA263D" w:rsidRDefault="00EA263D" w:rsidP="00EA263D"/>
    <w:p w14:paraId="3E6E61AF" w14:textId="5024AAD9" w:rsidR="005C696B" w:rsidRDefault="005C696B" w:rsidP="005C696B">
      <w:pPr>
        <w:pStyle w:val="Heading4"/>
      </w:pPr>
      <w:bookmarkStart w:id="405" w:name="_Workflow_1"/>
      <w:bookmarkEnd w:id="403"/>
      <w:bookmarkEnd w:id="404"/>
      <w:bookmarkEnd w:id="405"/>
      <w:r>
        <w:tab/>
        <w:t>Workflow</w:t>
      </w:r>
    </w:p>
    <w:p w14:paraId="2BA65D9A" w14:textId="7AEB998D" w:rsidR="005C696B" w:rsidRPr="00B0723C" w:rsidRDefault="00C92570" w:rsidP="005C696B">
      <w:r>
        <w:t>The System must</w:t>
      </w:r>
      <w:r w:rsidR="009E6C2C" w:rsidRPr="00847A4F">
        <w:t xml:space="preserve"> include </w:t>
      </w:r>
      <w:r w:rsidR="009E6C2C">
        <w:t xml:space="preserve">all functionality necessary to </w:t>
      </w:r>
      <w:r w:rsidR="00053752">
        <w:t>process work from initiation to completion</w:t>
      </w:r>
      <w:r w:rsidR="005C696B">
        <w:t>.</w:t>
      </w:r>
    </w:p>
    <w:p w14:paraId="2861AD6C" w14:textId="77777777" w:rsidR="005C696B" w:rsidRPr="003A23F0" w:rsidRDefault="005C696B" w:rsidP="005C696B">
      <w:pPr>
        <w:rPr>
          <w:u w:val="single"/>
        </w:rPr>
      </w:pPr>
      <w:r w:rsidRPr="003A23F0">
        <w:rPr>
          <w:u w:val="single"/>
        </w:rPr>
        <w:t>Actors</w:t>
      </w:r>
    </w:p>
    <w:p w14:paraId="4646BEDB" w14:textId="77777777" w:rsidR="005C696B" w:rsidRDefault="005C696B" w:rsidP="00E16D2D">
      <w:pPr>
        <w:pStyle w:val="LB1"/>
      </w:pPr>
      <w:r>
        <w:t>Staff</w:t>
      </w:r>
    </w:p>
    <w:p w14:paraId="2314C15C" w14:textId="77777777" w:rsidR="005C696B" w:rsidRPr="00DF6567" w:rsidRDefault="005C696B" w:rsidP="005C696B"/>
    <w:p w14:paraId="6E4AAC2D" w14:textId="77777777" w:rsidR="005C696B" w:rsidRPr="003A23F0" w:rsidRDefault="005C696B" w:rsidP="005C696B">
      <w:pPr>
        <w:rPr>
          <w:u w:val="single"/>
        </w:rPr>
      </w:pPr>
      <w:r w:rsidRPr="003A23F0">
        <w:rPr>
          <w:u w:val="single"/>
        </w:rPr>
        <w:t>Main Activities</w:t>
      </w:r>
    </w:p>
    <w:p w14:paraId="28ADF5F5" w14:textId="77777777" w:rsidR="00053752" w:rsidRDefault="00053752" w:rsidP="00E16D2D">
      <w:pPr>
        <w:pStyle w:val="LB1"/>
      </w:pPr>
      <w:r w:rsidRPr="0099796E">
        <w:t>System must support integrated workflow management capabilit</w:t>
      </w:r>
      <w:r>
        <w:t>ies that allow authorized S</w:t>
      </w:r>
      <w:r w:rsidRPr="0099796E">
        <w:t>taff to select, create and/or modify workflows, templates, and processes for business processes as appropriate. The Offeror must describe how Staff can create and modify with minimal programming changes</w:t>
      </w:r>
    </w:p>
    <w:p w14:paraId="614D1B4F" w14:textId="0583249D" w:rsidR="00053752" w:rsidRDefault="00053752" w:rsidP="00E16D2D">
      <w:pPr>
        <w:pStyle w:val="LB1"/>
      </w:pPr>
      <w:r w:rsidRPr="0099796E">
        <w:t xml:space="preserve">System must provide an administrative tool for </w:t>
      </w:r>
      <w:r>
        <w:t>S</w:t>
      </w:r>
      <w:r w:rsidRPr="0099796E">
        <w:t xml:space="preserve">taff </w:t>
      </w:r>
      <w:r>
        <w:t>S</w:t>
      </w:r>
      <w:r w:rsidRPr="0099796E">
        <w:t xml:space="preserve">upervisors to distribute work items and automatically assign/reassign/reopen, to groups, individuals and queues, selected work items based on </w:t>
      </w:r>
      <w:r w:rsidR="009B186F" w:rsidRPr="0099796E">
        <w:t>skill</w:t>
      </w:r>
      <w:r w:rsidR="009B186F">
        <w:t>-</w:t>
      </w:r>
      <w:r w:rsidRPr="0099796E">
        <w:t>based routing, balancing workload, and business rules</w:t>
      </w:r>
    </w:p>
    <w:p w14:paraId="301EA0E9" w14:textId="77777777" w:rsidR="00ED2A88" w:rsidRDefault="00053752" w:rsidP="00116640">
      <w:pPr>
        <w:pStyle w:val="LB1"/>
      </w:pPr>
      <w:r w:rsidRPr="0099796E">
        <w:t>System must provide real-time and on demand status updates and reminders (including on</w:t>
      </w:r>
      <w:r w:rsidR="00ED2A88">
        <w:t>-</w:t>
      </w:r>
      <w:r w:rsidRPr="0099796E">
        <w:t>screen and email alerts) and track time at the activity level up t</w:t>
      </w:r>
      <w:r>
        <w:t>o and including the entire work</w:t>
      </w:r>
      <w:r w:rsidRPr="0099796E">
        <w:t xml:space="preserve">flow. The Offeror must describe how updates and reminders are sent </w:t>
      </w:r>
      <w:r>
        <w:t xml:space="preserve">individually and </w:t>
      </w:r>
      <w:r w:rsidRPr="0099796E">
        <w:t xml:space="preserve">to groups </w:t>
      </w:r>
    </w:p>
    <w:p w14:paraId="547833CF" w14:textId="77777777" w:rsidR="00053752" w:rsidRDefault="00053752" w:rsidP="00F82166">
      <w:pPr>
        <w:pStyle w:val="LB1"/>
      </w:pPr>
      <w:r w:rsidRPr="002D7A16">
        <w:t>System must allow Staff to flag specific attributes including cases and issues, and be notified when the status changes</w:t>
      </w:r>
    </w:p>
    <w:p w14:paraId="226871CE" w14:textId="77777777" w:rsidR="00053752" w:rsidRDefault="00053752" w:rsidP="00F82166">
      <w:pPr>
        <w:pStyle w:val="LB1"/>
      </w:pPr>
      <w:r w:rsidRPr="002D7A16">
        <w:t>System must identify and prevent duplicate work items from being entered into the system according to business rules</w:t>
      </w:r>
    </w:p>
    <w:p w14:paraId="5BFAE7AA" w14:textId="454CE358" w:rsidR="00C047EC" w:rsidRDefault="00C047EC">
      <w:pPr>
        <w:pStyle w:val="LB1"/>
      </w:pPr>
      <w:r>
        <w:t>System must allow Staff to create workflow items and route to the appropriate work group, including but not limited to:</w:t>
      </w:r>
    </w:p>
    <w:p w14:paraId="60DC2D87" w14:textId="77777777" w:rsidR="00C047EC" w:rsidRDefault="00C047EC">
      <w:pPr>
        <w:pStyle w:val="OB1"/>
      </w:pPr>
      <w:r>
        <w:t>BAM audit results</w:t>
      </w:r>
    </w:p>
    <w:p w14:paraId="0AC6C23D" w14:textId="004CCD5D" w:rsidR="00C047EC" w:rsidRDefault="00C047EC">
      <w:pPr>
        <w:pStyle w:val="OB1"/>
      </w:pPr>
      <w:r>
        <w:t>Potential eligibility issues discovered by Appeals</w:t>
      </w:r>
    </w:p>
    <w:p w14:paraId="1D6F142C" w14:textId="7E3B5391" w:rsidR="00C047EC" w:rsidRDefault="00C047EC">
      <w:pPr>
        <w:pStyle w:val="OB1"/>
      </w:pPr>
      <w:r>
        <w:t>Commission directives</w:t>
      </w:r>
    </w:p>
    <w:p w14:paraId="4501D6F0" w14:textId="1C53B995" w:rsidR="00730566" w:rsidRDefault="00730566">
      <w:pPr>
        <w:pStyle w:val="OB1"/>
      </w:pPr>
      <w:r>
        <w:t>UI expert support</w:t>
      </w:r>
    </w:p>
    <w:p w14:paraId="01A03B1D" w14:textId="0516C879" w:rsidR="00C047EC" w:rsidRDefault="00C047EC">
      <w:pPr>
        <w:pStyle w:val="OB1"/>
      </w:pPr>
      <w:r>
        <w:t xml:space="preserve">Etc. </w:t>
      </w:r>
    </w:p>
    <w:p w14:paraId="1BE2AB01" w14:textId="57A21F86" w:rsidR="00053752" w:rsidRDefault="00053752">
      <w:pPr>
        <w:pStyle w:val="LB1"/>
      </w:pPr>
      <w:r w:rsidRPr="0099796E">
        <w:t>System must provide all data to Staff necessary to complete a work item, eliminating the need to gather information from outside sources by centralizing data on one customizable screen</w:t>
      </w:r>
    </w:p>
    <w:p w14:paraId="4E6D92F9" w14:textId="408D1AF7" w:rsidR="00ED2A88" w:rsidRDefault="00ED2A88">
      <w:pPr>
        <w:pStyle w:val="LB1"/>
      </w:pPr>
      <w:r w:rsidRPr="00F63682">
        <w:lastRenderedPageBreak/>
        <w:t>System must determine if there is a companion case(s) and adjust workflow as needed for the particular process</w:t>
      </w:r>
    </w:p>
    <w:p w14:paraId="1C482F88" w14:textId="555487FF" w:rsidR="00ED2A88" w:rsidRDefault="00ED2A88">
      <w:pPr>
        <w:pStyle w:val="LB1"/>
      </w:pPr>
      <w:r w:rsidRPr="00F63682">
        <w:t xml:space="preserve">System must integrate workflow functionality with other system services (e.g., </w:t>
      </w:r>
      <w:r w:rsidR="00054DBA">
        <w:t>WIT</w:t>
      </w:r>
      <w:r w:rsidRPr="00F63682">
        <w:t xml:space="preserve">, </w:t>
      </w:r>
      <w:r w:rsidR="008A6EA1">
        <w:t>CMS</w:t>
      </w:r>
      <w:r w:rsidRPr="00F63682">
        <w:t>, etc.) as appropriate</w:t>
      </w:r>
    </w:p>
    <w:p w14:paraId="38743FBC" w14:textId="5D45A1DA" w:rsidR="00ED2A88" w:rsidRDefault="00ED2A88">
      <w:pPr>
        <w:pStyle w:val="LB1"/>
      </w:pPr>
      <w:r w:rsidRPr="00F63682">
        <w:t xml:space="preserve">System must provide visual dashboards and comprehensive standard reports on workflow as well as ad hoc reporting tools to manage </w:t>
      </w:r>
      <w:r w:rsidR="009521D7">
        <w:t>Staff</w:t>
      </w:r>
      <w:r w:rsidRPr="00F63682">
        <w:t xml:space="preserve"> and</w:t>
      </w:r>
      <w:r>
        <w:t xml:space="preserve"> measure productivity (metrics)</w:t>
      </w:r>
    </w:p>
    <w:p w14:paraId="7F81B7CA" w14:textId="49133127" w:rsidR="00053752" w:rsidRDefault="00053752">
      <w:pPr>
        <w:pStyle w:val="LB1"/>
      </w:pPr>
      <w:bookmarkStart w:id="406" w:name="_Hlk528820591"/>
      <w:bookmarkStart w:id="407" w:name="_Hlk527385284"/>
      <w:r w:rsidRPr="0099796E">
        <w:t>System must provide the ability to associate objects a</w:t>
      </w:r>
      <w:r w:rsidR="000370BA">
        <w:t>nd metadata with workflow tasks,</w:t>
      </w:r>
      <w:r w:rsidRPr="0099796E">
        <w:t xml:space="preserve"> </w:t>
      </w:r>
      <w:r w:rsidR="000370BA">
        <w:t>f</w:t>
      </w:r>
      <w:r w:rsidR="0093697D" w:rsidRPr="0099796E">
        <w:t xml:space="preserve">or example, tagging </w:t>
      </w:r>
      <w:r w:rsidR="0093697D" w:rsidRPr="0093697D">
        <w:t xml:space="preserve">a claim or claim workflow </w:t>
      </w:r>
      <w:r w:rsidR="0093697D" w:rsidRPr="0099796E">
        <w:t>with additional properties</w:t>
      </w:r>
      <w:r w:rsidR="0093697D">
        <w:t xml:space="preserve"> such as </w:t>
      </w:r>
      <w:r w:rsidR="0093697D" w:rsidRPr="0093697D">
        <w:t xml:space="preserve">Splunk data to provide </w:t>
      </w:r>
      <w:r w:rsidR="0093697D">
        <w:t>enhanced information to</w:t>
      </w:r>
      <w:r w:rsidR="0093697D" w:rsidRPr="0093697D">
        <w:t xml:space="preserve"> Investigator</w:t>
      </w:r>
      <w:r w:rsidR="0093697D">
        <w:t>s</w:t>
      </w:r>
      <w:bookmarkEnd w:id="406"/>
    </w:p>
    <w:p w14:paraId="00518288" w14:textId="4A1F80DB" w:rsidR="00D02050" w:rsidRDefault="00D02050">
      <w:pPr>
        <w:pStyle w:val="LB1"/>
      </w:pPr>
      <w:r>
        <w:t>System must allow Staff to</w:t>
      </w:r>
      <w:r w:rsidRPr="00D02050">
        <w:t xml:space="preserve"> </w:t>
      </w:r>
      <w:r>
        <w:t>access claim and account data in the system directly from the workflow items</w:t>
      </w:r>
    </w:p>
    <w:bookmarkEnd w:id="407"/>
    <w:p w14:paraId="07AC81EF" w14:textId="3A64F666" w:rsidR="005C696B" w:rsidRDefault="005C696B" w:rsidP="005C696B"/>
    <w:p w14:paraId="13869E77" w14:textId="12C956EC" w:rsidR="005C696B" w:rsidRDefault="005C696B" w:rsidP="005C696B">
      <w:pPr>
        <w:pStyle w:val="Heading4"/>
      </w:pPr>
      <w:bookmarkStart w:id="408" w:name="_Database_Queries"/>
      <w:bookmarkEnd w:id="408"/>
      <w:r>
        <w:tab/>
        <w:t>Database Queries</w:t>
      </w:r>
    </w:p>
    <w:p w14:paraId="2E79F84C" w14:textId="7E277B8B" w:rsidR="005C696B" w:rsidRPr="00B0723C" w:rsidRDefault="00C92570" w:rsidP="005C696B">
      <w:r>
        <w:t>The System must</w:t>
      </w:r>
      <w:r w:rsidR="009E6C2C" w:rsidRPr="00847A4F">
        <w:t xml:space="preserve"> include </w:t>
      </w:r>
      <w:r w:rsidR="009E6C2C">
        <w:t xml:space="preserve">all functionality necessary to </w:t>
      </w:r>
      <w:r w:rsidR="00ED2A88">
        <w:t>perform database queries</w:t>
      </w:r>
      <w:r w:rsidR="005C696B">
        <w:t>.</w:t>
      </w:r>
    </w:p>
    <w:p w14:paraId="183756E0" w14:textId="77777777" w:rsidR="005C696B" w:rsidRPr="003A23F0" w:rsidRDefault="005C696B" w:rsidP="005C696B">
      <w:pPr>
        <w:rPr>
          <w:u w:val="single"/>
        </w:rPr>
      </w:pPr>
      <w:r w:rsidRPr="003A23F0">
        <w:rPr>
          <w:u w:val="single"/>
        </w:rPr>
        <w:t>Actors</w:t>
      </w:r>
    </w:p>
    <w:p w14:paraId="1E0C8BFF" w14:textId="77777777" w:rsidR="005C696B" w:rsidRDefault="005C696B" w:rsidP="00E16D2D">
      <w:pPr>
        <w:pStyle w:val="LB1"/>
      </w:pPr>
      <w:r>
        <w:t>Staff</w:t>
      </w:r>
    </w:p>
    <w:p w14:paraId="62636716" w14:textId="77777777" w:rsidR="005C696B" w:rsidRPr="00DF6567" w:rsidRDefault="005C696B" w:rsidP="005C696B"/>
    <w:p w14:paraId="1A76B2B4" w14:textId="4F70A636" w:rsidR="005C696B" w:rsidRPr="003A23F0" w:rsidRDefault="005C696B" w:rsidP="005C696B">
      <w:pPr>
        <w:rPr>
          <w:u w:val="single"/>
        </w:rPr>
      </w:pPr>
      <w:r w:rsidRPr="003A23F0">
        <w:rPr>
          <w:u w:val="single"/>
        </w:rPr>
        <w:t xml:space="preserve">Main </w:t>
      </w:r>
      <w:r w:rsidR="00183AB8" w:rsidRPr="003A23F0">
        <w:rPr>
          <w:u w:val="single"/>
        </w:rPr>
        <w:t>Activities</w:t>
      </w:r>
    </w:p>
    <w:p w14:paraId="4C5B2BBC" w14:textId="2195A15D" w:rsidR="00ED2A88" w:rsidRDefault="00ED2A88" w:rsidP="00E16D2D">
      <w:pPr>
        <w:pStyle w:val="LB1"/>
      </w:pPr>
      <w:r>
        <w:t xml:space="preserve">System must allow Staff to run </w:t>
      </w:r>
      <w:r w:rsidR="00A30FAB">
        <w:t xml:space="preserve">pre-defined and </w:t>
      </w:r>
      <w:r>
        <w:t>ad hoc queries</w:t>
      </w:r>
    </w:p>
    <w:p w14:paraId="60A9ABE1" w14:textId="5EC79B7C" w:rsidR="00ED2A88" w:rsidRDefault="00ED2A88" w:rsidP="00E16D2D">
      <w:pPr>
        <w:pStyle w:val="OB1"/>
      </w:pPr>
      <w:r>
        <w:t>All environments including production, training, test, and development</w:t>
      </w:r>
    </w:p>
    <w:p w14:paraId="2AA4DC62" w14:textId="7C7A0FE6" w:rsidR="00D02050" w:rsidRDefault="00D02050" w:rsidP="00116640">
      <w:pPr>
        <w:pStyle w:val="OB1"/>
      </w:pPr>
      <w:r>
        <w:t>Without denigrating performance in the production environment</w:t>
      </w:r>
    </w:p>
    <w:p w14:paraId="2042A3A7" w14:textId="290E1929" w:rsidR="008A61C0" w:rsidRDefault="008A61C0" w:rsidP="008A61C0">
      <w:pPr>
        <w:pStyle w:val="LB1"/>
      </w:pPr>
      <w:bookmarkStart w:id="409" w:name="_Hlk518566525"/>
      <w:r>
        <w:t>S</w:t>
      </w:r>
      <w:r w:rsidRPr="008A61C0">
        <w:t>ystem must provide a wizard capability for creating queries</w:t>
      </w:r>
    </w:p>
    <w:p w14:paraId="1CE80ABF" w14:textId="0631C9EF" w:rsidR="008A61C0" w:rsidRDefault="008A61C0" w:rsidP="008A61C0">
      <w:pPr>
        <w:pStyle w:val="LB1"/>
      </w:pPr>
      <w:r>
        <w:t>S</w:t>
      </w:r>
      <w:r w:rsidRPr="008A61C0">
        <w:t xml:space="preserve">ystem must run queries on a scheduled or user designated basis, and present output in a user defined manner for authorized </w:t>
      </w:r>
      <w:r>
        <w:t>Staff</w:t>
      </w:r>
    </w:p>
    <w:p w14:paraId="6833B5BF" w14:textId="56A20264" w:rsidR="00ED2A88" w:rsidRDefault="00ED2A88" w:rsidP="008A61C0">
      <w:pPr>
        <w:pStyle w:val="LB1"/>
      </w:pPr>
      <w:r>
        <w:t>System must restrict Staff access based on user role and permissions when running ad hoc SQL queries</w:t>
      </w:r>
      <w:bookmarkEnd w:id="409"/>
    </w:p>
    <w:p w14:paraId="33A92099" w14:textId="457D8EAD" w:rsidR="00840146" w:rsidRDefault="00840146" w:rsidP="00F82166">
      <w:pPr>
        <w:pStyle w:val="LB1"/>
      </w:pPr>
      <w:r w:rsidRPr="00643FAC">
        <w:t xml:space="preserve">System must </w:t>
      </w:r>
      <w:r>
        <w:t xml:space="preserve">allow authorized Staff </w:t>
      </w:r>
      <w:r w:rsidRPr="00643FAC">
        <w:t xml:space="preserve">to execute and export the </w:t>
      </w:r>
      <w:r>
        <w:t>query</w:t>
      </w:r>
      <w:r w:rsidRPr="00643FAC">
        <w:t xml:space="preserve"> results in multiple formats</w:t>
      </w:r>
      <w:r>
        <w:t>, including but not limited to csv, xls, txt, xml, html, and pdf</w:t>
      </w:r>
    </w:p>
    <w:p w14:paraId="22D04684" w14:textId="77777777" w:rsidR="00ED2A88" w:rsidRDefault="00ED2A88" w:rsidP="00F82166">
      <w:pPr>
        <w:pStyle w:val="LB1"/>
      </w:pPr>
      <w:r>
        <w:t>Offeror must disclose any costs associated with queries</w:t>
      </w:r>
    </w:p>
    <w:p w14:paraId="287C070C" w14:textId="6D56AC92" w:rsidR="005C696B" w:rsidRDefault="005C696B" w:rsidP="005C696B"/>
    <w:p w14:paraId="333B0466" w14:textId="2A0994B7" w:rsidR="009F1EDE" w:rsidRDefault="005237CD" w:rsidP="009F1EDE">
      <w:pPr>
        <w:pStyle w:val="Heading4"/>
      </w:pPr>
      <w:bookmarkStart w:id="410" w:name="_Generate__Reports"/>
      <w:bookmarkStart w:id="411" w:name="_Generate_Reports"/>
      <w:bookmarkStart w:id="412" w:name="_Hlk529963808"/>
      <w:bookmarkStart w:id="413" w:name="_Hlk525295129"/>
      <w:bookmarkEnd w:id="410"/>
      <w:bookmarkEnd w:id="411"/>
      <w:r>
        <w:tab/>
      </w:r>
      <w:r w:rsidR="009F1EDE">
        <w:t>Generate Reports</w:t>
      </w:r>
    </w:p>
    <w:p w14:paraId="7A24825C" w14:textId="29DDF032" w:rsidR="009F1EDE" w:rsidRPr="00B0723C" w:rsidRDefault="00C92570" w:rsidP="009F1EDE">
      <w:r>
        <w:t>The System must</w:t>
      </w:r>
      <w:r w:rsidR="009F1EDE" w:rsidRPr="00847A4F">
        <w:t xml:space="preserve"> include </w:t>
      </w:r>
      <w:r w:rsidR="009F1EDE">
        <w:t>all functionality necessary to generate and transmit reports.</w:t>
      </w:r>
    </w:p>
    <w:p w14:paraId="65AA044C" w14:textId="77777777" w:rsidR="009F1EDE" w:rsidRPr="003A23F0" w:rsidRDefault="009F1EDE" w:rsidP="009F1EDE">
      <w:pPr>
        <w:rPr>
          <w:u w:val="single"/>
        </w:rPr>
      </w:pPr>
      <w:r w:rsidRPr="003A23F0">
        <w:rPr>
          <w:u w:val="single"/>
        </w:rPr>
        <w:t>Actors</w:t>
      </w:r>
    </w:p>
    <w:p w14:paraId="4673C1A2" w14:textId="77777777" w:rsidR="009F1EDE" w:rsidRDefault="009F1EDE" w:rsidP="00E16D2D">
      <w:pPr>
        <w:pStyle w:val="LB1"/>
      </w:pPr>
      <w:r>
        <w:t>Staff</w:t>
      </w:r>
    </w:p>
    <w:p w14:paraId="61D83E83" w14:textId="77777777" w:rsidR="009F1EDE" w:rsidRPr="00DF6567" w:rsidRDefault="009F1EDE" w:rsidP="009F1EDE"/>
    <w:p w14:paraId="3FE31F8D" w14:textId="77777777" w:rsidR="009F1EDE" w:rsidRPr="003A23F0" w:rsidRDefault="009F1EDE" w:rsidP="009F1EDE">
      <w:pPr>
        <w:rPr>
          <w:u w:val="single"/>
        </w:rPr>
      </w:pPr>
      <w:r w:rsidRPr="003A23F0">
        <w:rPr>
          <w:u w:val="single"/>
        </w:rPr>
        <w:lastRenderedPageBreak/>
        <w:t>Main Activities</w:t>
      </w:r>
    </w:p>
    <w:p w14:paraId="073E36A6" w14:textId="77777777" w:rsidR="009F1EDE" w:rsidRDefault="009F1EDE" w:rsidP="00E16D2D">
      <w:pPr>
        <w:pStyle w:val="LB1"/>
      </w:pPr>
      <w:r>
        <w:t>DOL Reports</w:t>
      </w:r>
    </w:p>
    <w:p w14:paraId="78C32A49" w14:textId="77777777" w:rsidR="009F1EDE" w:rsidRDefault="009F1EDE" w:rsidP="00E16D2D">
      <w:pPr>
        <w:pStyle w:val="OB1"/>
      </w:pPr>
      <w:r>
        <w:t>System must generate DOL reports</w:t>
      </w:r>
    </w:p>
    <w:p w14:paraId="723A2442" w14:textId="7A50A3AD" w:rsidR="009F1EDE" w:rsidRDefault="009F1EDE" w:rsidP="00116640">
      <w:pPr>
        <w:pStyle w:val="OB1"/>
      </w:pPr>
      <w:r>
        <w:t xml:space="preserve">System must distribute </w:t>
      </w:r>
      <w:r w:rsidR="009A237C">
        <w:t xml:space="preserve">appeals-related </w:t>
      </w:r>
      <w:r>
        <w:t>DOL reports to Appeals and Commission Appeals Management for approval</w:t>
      </w:r>
    </w:p>
    <w:p w14:paraId="3B8DEDFD" w14:textId="4D325F58" w:rsidR="009F1EDE" w:rsidRDefault="00F67CDB" w:rsidP="00F82166">
      <w:pPr>
        <w:pStyle w:val="OB1"/>
      </w:pPr>
      <w:r>
        <w:t xml:space="preserve">System must allow Staff to </w:t>
      </w:r>
      <w:r w:rsidR="009F1EDE">
        <w:t>correct and modify DOL reports</w:t>
      </w:r>
    </w:p>
    <w:p w14:paraId="4EEFE00C" w14:textId="77777777" w:rsidR="009F1EDE" w:rsidRDefault="009F1EDE" w:rsidP="00F82166">
      <w:pPr>
        <w:pStyle w:val="OB1"/>
      </w:pPr>
      <w:r>
        <w:t>System must upload reports to DOL</w:t>
      </w:r>
    </w:p>
    <w:p w14:paraId="6372FDBB" w14:textId="3CE73A6E" w:rsidR="009F1EDE" w:rsidRDefault="009F1EDE" w:rsidP="00F82166">
      <w:pPr>
        <w:pStyle w:val="OB1"/>
      </w:pPr>
      <w:r>
        <w:t>System must integrate reports with dashboards for visual representation of data</w:t>
      </w:r>
      <w:r w:rsidR="00C60E77">
        <w:t xml:space="preserve"> and other capabilities such as aggregates, drill down, trend analysis, regression, variance, sub reports, ranking, and </w:t>
      </w:r>
      <w:r w:rsidR="0085110D">
        <w:t>parameter-based</w:t>
      </w:r>
      <w:r w:rsidR="00C60E77">
        <w:t xml:space="preserve"> reports</w:t>
      </w:r>
    </w:p>
    <w:p w14:paraId="4D7CD2D0" w14:textId="77777777" w:rsidR="009F1EDE" w:rsidRDefault="009F1EDE">
      <w:pPr>
        <w:pStyle w:val="OB1"/>
      </w:pPr>
      <w:r>
        <w:t>System must store and index reports</w:t>
      </w:r>
    </w:p>
    <w:p w14:paraId="48B05446" w14:textId="77777777" w:rsidR="009F1EDE" w:rsidRDefault="009F1EDE">
      <w:pPr>
        <w:pStyle w:val="LB1"/>
      </w:pPr>
      <w:r>
        <w:t>Operations, Performance, and Management reports</w:t>
      </w:r>
    </w:p>
    <w:p w14:paraId="2F9DCBAF" w14:textId="72E4B3D4" w:rsidR="009F1EDE" w:rsidRDefault="00F67CDB">
      <w:pPr>
        <w:pStyle w:val="OB1"/>
      </w:pPr>
      <w:r>
        <w:t xml:space="preserve">System must allow Staff to </w:t>
      </w:r>
      <w:r w:rsidR="009F1EDE">
        <w:t>schedule reports to be generated automatically</w:t>
      </w:r>
    </w:p>
    <w:p w14:paraId="539BD2A3" w14:textId="5C685177" w:rsidR="009F1EDE" w:rsidRDefault="00F67CDB">
      <w:pPr>
        <w:pStyle w:val="OB1"/>
      </w:pPr>
      <w:r>
        <w:t xml:space="preserve">System must allow Staff to </w:t>
      </w:r>
      <w:r w:rsidR="009F1EDE">
        <w:t>run reports on demand</w:t>
      </w:r>
    </w:p>
    <w:p w14:paraId="1BEC9DCB" w14:textId="77777777" w:rsidR="009F1EDE" w:rsidRDefault="009F1EDE">
      <w:pPr>
        <w:pStyle w:val="OB1"/>
      </w:pPr>
      <w:r>
        <w:t xml:space="preserve">System must be able to generate and distribute reports listed in </w:t>
      </w:r>
      <w:hyperlink w:anchor="_Attachment_8_–" w:history="1">
        <w:r w:rsidRPr="00FD6AAF">
          <w:rPr>
            <w:rStyle w:val="Hyperlink"/>
          </w:rPr>
          <w:t>Attachment 8</w:t>
        </w:r>
      </w:hyperlink>
    </w:p>
    <w:p w14:paraId="5F6E41C5" w14:textId="77777777" w:rsidR="009F1EDE" w:rsidRDefault="009F1EDE">
      <w:pPr>
        <w:pStyle w:val="OB1"/>
      </w:pPr>
      <w:r>
        <w:t>System must allow Staff to develop and schedule ad hoc reports</w:t>
      </w:r>
    </w:p>
    <w:p w14:paraId="152F8DF8" w14:textId="349010F2" w:rsidR="00C60E77" w:rsidRDefault="00C60E77">
      <w:pPr>
        <w:pStyle w:val="OB1"/>
      </w:pPr>
      <w:r>
        <w:t xml:space="preserve">System must integrate reports with dashboards for visual representation of data and other capabilities such as aggregates, drill down, trend analysis, regression, variance, sub reports, ranking, and </w:t>
      </w:r>
      <w:r w:rsidR="0085110D">
        <w:t>parameter-based</w:t>
      </w:r>
      <w:r>
        <w:t xml:space="preserve"> reports</w:t>
      </w:r>
    </w:p>
    <w:p w14:paraId="1A564359" w14:textId="2067814A" w:rsidR="009F1EDE" w:rsidRDefault="009F1EDE">
      <w:pPr>
        <w:pStyle w:val="OB1"/>
      </w:pPr>
      <w:r>
        <w:t>System must store and index reports</w:t>
      </w:r>
    </w:p>
    <w:p w14:paraId="5F72AF7A" w14:textId="11EDB6F9" w:rsidR="00E03AAD" w:rsidRDefault="00E03AAD">
      <w:pPr>
        <w:pStyle w:val="LB1"/>
      </w:pPr>
      <w:r>
        <w:t>Offeror must describe the</w:t>
      </w:r>
      <w:r w:rsidRPr="00E03AAD">
        <w:t xml:space="preserve"> </w:t>
      </w:r>
      <w:r>
        <w:t xml:space="preserve">types of ad hoc reporting capabilities in the solution including features </w:t>
      </w:r>
      <w:r w:rsidR="001B3B36">
        <w:t>such as</w:t>
      </w:r>
      <w:r>
        <w:t xml:space="preserve"> designing, customizing, testing, saving, maintaining, sharing, scheduling, and distributing reports</w:t>
      </w:r>
    </w:p>
    <w:p w14:paraId="46E00485" w14:textId="70F6AC58" w:rsidR="00E03AAD" w:rsidRDefault="00E03AAD">
      <w:pPr>
        <w:pStyle w:val="LB1"/>
      </w:pPr>
      <w:r>
        <w:t>Offeror must describe the</w:t>
      </w:r>
      <w:r w:rsidRPr="00E03AAD">
        <w:t xml:space="preserve"> </w:t>
      </w:r>
      <w:r>
        <w:t>end user experience with development and ease of use of querying tools</w:t>
      </w:r>
    </w:p>
    <w:p w14:paraId="429678BB" w14:textId="36CFDD89" w:rsidR="00301503" w:rsidRDefault="00301503">
      <w:pPr>
        <w:pStyle w:val="LB1"/>
      </w:pPr>
      <w:r>
        <w:t>Offeror must describe the skills and level of knowledge required to use the reporting features for both standard and ad hoc feature</w:t>
      </w:r>
    </w:p>
    <w:p w14:paraId="3DD7C4F5" w14:textId="3C988797" w:rsidR="00301503" w:rsidRDefault="00301503">
      <w:pPr>
        <w:pStyle w:val="LB1"/>
      </w:pPr>
      <w:r>
        <w:t>Offeror must describe the training methods and materials proposed for training of standard and ad hoc reporting features</w:t>
      </w:r>
    </w:p>
    <w:p w14:paraId="7A6261DB" w14:textId="77777777" w:rsidR="009F1EDE" w:rsidRDefault="009F1EDE" w:rsidP="009F1EDE"/>
    <w:p w14:paraId="7B1F470C" w14:textId="726C1672" w:rsidR="005237CD" w:rsidRDefault="007C78F0" w:rsidP="005237CD">
      <w:pPr>
        <w:pStyle w:val="Heading4"/>
      </w:pPr>
      <w:bookmarkStart w:id="414" w:name="_Data_Validation"/>
      <w:bookmarkEnd w:id="412"/>
      <w:bookmarkEnd w:id="414"/>
      <w:r>
        <w:tab/>
      </w:r>
      <w:r w:rsidR="00082768">
        <w:t xml:space="preserve">Data </w:t>
      </w:r>
      <w:r w:rsidR="005237CD">
        <w:t>V</w:t>
      </w:r>
      <w:r w:rsidR="00082768">
        <w:t>alidation</w:t>
      </w:r>
    </w:p>
    <w:p w14:paraId="79F58B32" w14:textId="7563BC07" w:rsidR="005237CD" w:rsidRPr="00B0723C" w:rsidRDefault="00C92570" w:rsidP="005237CD">
      <w:r>
        <w:t>The System must</w:t>
      </w:r>
      <w:r w:rsidR="005237CD" w:rsidRPr="00847A4F">
        <w:t xml:space="preserve"> include </w:t>
      </w:r>
      <w:r w:rsidR="00082768">
        <w:t xml:space="preserve">all </w:t>
      </w:r>
      <w:r w:rsidR="005237CD">
        <w:t xml:space="preserve">functionality necessary to validate </w:t>
      </w:r>
      <w:r w:rsidR="00082768">
        <w:t xml:space="preserve">entered or selected data to ensure solution operates on </w:t>
      </w:r>
      <w:r w:rsidR="00AA3727">
        <w:t xml:space="preserve">and with </w:t>
      </w:r>
      <w:r w:rsidR="00082768">
        <w:t>clean, correct, and useful data</w:t>
      </w:r>
      <w:r w:rsidR="005237CD">
        <w:t>.</w:t>
      </w:r>
    </w:p>
    <w:p w14:paraId="5BE9F679" w14:textId="77777777" w:rsidR="005237CD" w:rsidRPr="003A23F0" w:rsidRDefault="005237CD" w:rsidP="005237CD">
      <w:pPr>
        <w:rPr>
          <w:u w:val="single"/>
        </w:rPr>
      </w:pPr>
      <w:r w:rsidRPr="003A23F0">
        <w:rPr>
          <w:u w:val="single"/>
        </w:rPr>
        <w:t>Actors</w:t>
      </w:r>
    </w:p>
    <w:p w14:paraId="39A15CCB" w14:textId="753FFB3B" w:rsidR="005237CD" w:rsidRDefault="00082768" w:rsidP="00E16D2D">
      <w:pPr>
        <w:pStyle w:val="LB1"/>
      </w:pPr>
      <w:r>
        <w:t>System</w:t>
      </w:r>
    </w:p>
    <w:p w14:paraId="7E71B39B" w14:textId="77777777" w:rsidR="005237CD" w:rsidRPr="00DF6567" w:rsidRDefault="005237CD" w:rsidP="005237CD"/>
    <w:p w14:paraId="6B0435AC" w14:textId="188BC789" w:rsidR="005237CD" w:rsidRPr="003A23F0" w:rsidRDefault="005237CD" w:rsidP="005237CD">
      <w:pPr>
        <w:rPr>
          <w:u w:val="single"/>
        </w:rPr>
      </w:pPr>
      <w:r w:rsidRPr="003A23F0">
        <w:rPr>
          <w:u w:val="single"/>
        </w:rPr>
        <w:t>Main Activities</w:t>
      </w:r>
      <w:r w:rsidR="007C78F0">
        <w:rPr>
          <w:u w:val="single"/>
        </w:rPr>
        <w:t xml:space="preserve"> – General </w:t>
      </w:r>
    </w:p>
    <w:p w14:paraId="49574D70" w14:textId="2F738D59" w:rsidR="005237CD" w:rsidRDefault="00082768" w:rsidP="00E16D2D">
      <w:pPr>
        <w:pStyle w:val="LB1"/>
      </w:pPr>
      <w:r>
        <w:lastRenderedPageBreak/>
        <w:t xml:space="preserve">System </w:t>
      </w:r>
      <w:r w:rsidR="005237CD">
        <w:t xml:space="preserve">must </w:t>
      </w:r>
      <w:r>
        <w:t>validate that data is entered or selected into a field correctly,</w:t>
      </w:r>
      <w:r w:rsidR="00AA3727">
        <w:t xml:space="preserve"> based on the characteristics and validations for the specific field and type,</w:t>
      </w:r>
      <w:r>
        <w:t xml:space="preserve"> including but not limited to:</w:t>
      </w:r>
    </w:p>
    <w:p w14:paraId="24023D4D" w14:textId="1F3A3955" w:rsidR="00082768" w:rsidRDefault="00082768" w:rsidP="00E16D2D">
      <w:pPr>
        <w:pStyle w:val="OB1"/>
      </w:pPr>
      <w:r>
        <w:t>Demographic data (addresses, phone numbers, etc.)</w:t>
      </w:r>
    </w:p>
    <w:p w14:paraId="04F66F25" w14:textId="77777777" w:rsidR="00082768" w:rsidRDefault="00082768" w:rsidP="00116640">
      <w:pPr>
        <w:pStyle w:val="OB1"/>
      </w:pPr>
      <w:r>
        <w:t>SSN</w:t>
      </w:r>
    </w:p>
    <w:p w14:paraId="7D128C72" w14:textId="77777777" w:rsidR="00082768" w:rsidRDefault="00082768" w:rsidP="00F82166">
      <w:pPr>
        <w:pStyle w:val="OB1"/>
      </w:pPr>
      <w:r>
        <w:t>Dates</w:t>
      </w:r>
    </w:p>
    <w:p w14:paraId="4BA2DF7C" w14:textId="77777777" w:rsidR="00082768" w:rsidRDefault="00082768" w:rsidP="00F82166">
      <w:pPr>
        <w:pStyle w:val="OB1"/>
      </w:pPr>
      <w:r>
        <w:t>Amounts</w:t>
      </w:r>
    </w:p>
    <w:p w14:paraId="65527A1E" w14:textId="05F8DB71" w:rsidR="00082768" w:rsidRDefault="00082768">
      <w:pPr>
        <w:pStyle w:val="OB1"/>
      </w:pPr>
      <w:r>
        <w:t>Coded values based on business rules (e.g., reason for separation)</w:t>
      </w:r>
    </w:p>
    <w:p w14:paraId="370742FC" w14:textId="6FF32EA9" w:rsidR="00082768" w:rsidRDefault="00082768">
      <w:pPr>
        <w:pStyle w:val="OB1"/>
      </w:pPr>
      <w:r>
        <w:t xml:space="preserve">Etc. </w:t>
      </w:r>
    </w:p>
    <w:p w14:paraId="5F520EC4" w14:textId="4305BDE1" w:rsidR="00082768" w:rsidRDefault="00082768">
      <w:pPr>
        <w:pStyle w:val="LB1"/>
      </w:pPr>
      <w:r>
        <w:t>Offeror must describe all routines, validation rules, and other mechanisms that check for correctness</w:t>
      </w:r>
      <w:r w:rsidR="0005775C">
        <w:t>, reasonableness,</w:t>
      </w:r>
      <w:r>
        <w:t xml:space="preserve"> or meaningfulness of data that are input into the solution</w:t>
      </w:r>
      <w:r w:rsidR="0032509A">
        <w:t xml:space="preserve"> such as:</w:t>
      </w:r>
    </w:p>
    <w:p w14:paraId="748E582C" w14:textId="542A29B6" w:rsidR="0005775C" w:rsidRDefault="0005775C">
      <w:pPr>
        <w:pStyle w:val="OB1"/>
      </w:pPr>
      <w:r>
        <w:t>Data type checks</w:t>
      </w:r>
    </w:p>
    <w:p w14:paraId="708F070D" w14:textId="0FA88BFC" w:rsidR="0005775C" w:rsidRDefault="0005775C">
      <w:pPr>
        <w:pStyle w:val="OB1"/>
      </w:pPr>
      <w:r>
        <w:t>Range checks</w:t>
      </w:r>
    </w:p>
    <w:p w14:paraId="500EF87F" w14:textId="391F864F" w:rsidR="0005775C" w:rsidRDefault="0005775C">
      <w:pPr>
        <w:pStyle w:val="OB1"/>
      </w:pPr>
      <w:r>
        <w:t>Limit checks</w:t>
      </w:r>
    </w:p>
    <w:p w14:paraId="09704897" w14:textId="74FE2B27" w:rsidR="0005775C" w:rsidRDefault="0005775C">
      <w:pPr>
        <w:pStyle w:val="OB1"/>
      </w:pPr>
      <w:r>
        <w:t>Presence checks</w:t>
      </w:r>
    </w:p>
    <w:p w14:paraId="55CA7FFC" w14:textId="0E7EF4D9" w:rsidR="0005775C" w:rsidRDefault="0005775C">
      <w:pPr>
        <w:pStyle w:val="OB1"/>
      </w:pPr>
      <w:r>
        <w:t>Etc.</w:t>
      </w:r>
    </w:p>
    <w:p w14:paraId="3783ED3E" w14:textId="6DF7E30E" w:rsidR="00532FD1" w:rsidRDefault="00532FD1">
      <w:pPr>
        <w:pStyle w:val="LB1"/>
      </w:pPr>
      <w:r>
        <w:t>System must</w:t>
      </w:r>
      <w:r w:rsidRPr="00532FD1">
        <w:t xml:space="preserve"> </w:t>
      </w:r>
      <w:r>
        <w:t xml:space="preserve">provide logical business rule validation checks (e.g., Claimant </w:t>
      </w:r>
      <w:r w:rsidR="00123C19">
        <w:t>PIN cannot equal their SSN or street address</w:t>
      </w:r>
      <w:r>
        <w:t>)</w:t>
      </w:r>
    </w:p>
    <w:p w14:paraId="3542ABA3" w14:textId="77777777" w:rsidR="005237CD" w:rsidRDefault="005237CD" w:rsidP="005237CD"/>
    <w:p w14:paraId="27DBE415" w14:textId="369EF6CC" w:rsidR="007C78F0" w:rsidRPr="003A23F0" w:rsidRDefault="007C78F0" w:rsidP="007C78F0">
      <w:pPr>
        <w:rPr>
          <w:u w:val="single"/>
        </w:rPr>
      </w:pPr>
      <w:bookmarkStart w:id="415" w:name="_Hlk529965186"/>
      <w:bookmarkEnd w:id="413"/>
      <w:r w:rsidRPr="003A23F0">
        <w:rPr>
          <w:u w:val="single"/>
        </w:rPr>
        <w:t>Main Activities</w:t>
      </w:r>
      <w:r>
        <w:rPr>
          <w:u w:val="single"/>
        </w:rPr>
        <w:t xml:space="preserve"> - Addresses</w:t>
      </w:r>
    </w:p>
    <w:p w14:paraId="4AA20F40" w14:textId="7B7DB2B9" w:rsidR="007C78F0" w:rsidRDefault="007C78F0" w:rsidP="00E16D2D">
      <w:pPr>
        <w:pStyle w:val="LB1"/>
      </w:pPr>
      <w:bookmarkStart w:id="416" w:name="_Hlk529962360"/>
      <w:bookmarkStart w:id="417" w:name="_Hlk529963032"/>
      <w:r>
        <w:t xml:space="preserve">System must verify addresses in real-time during address entry to ensure valid addresses are captured. </w:t>
      </w:r>
      <w:r w:rsidRPr="008E4EC3">
        <w:t>As a</w:t>
      </w:r>
      <w:r>
        <w:t xml:space="preserve">n address </w:t>
      </w:r>
      <w:r w:rsidRPr="008E4EC3">
        <w:t xml:space="preserve">is </w:t>
      </w:r>
      <w:r>
        <w:t xml:space="preserve">being </w:t>
      </w:r>
      <w:r w:rsidRPr="008E4EC3">
        <w:t xml:space="preserve">typed, suggestions to auto-complete the address </w:t>
      </w:r>
      <w:r>
        <w:t>must be</w:t>
      </w:r>
      <w:r w:rsidRPr="008E4EC3">
        <w:t xml:space="preserve"> provided</w:t>
      </w:r>
      <w:bookmarkEnd w:id="416"/>
      <w:r w:rsidRPr="00574C57">
        <w:t xml:space="preserve"> </w:t>
      </w:r>
      <w:r w:rsidRPr="008E4EC3">
        <w:t>immediately</w:t>
      </w:r>
      <w:bookmarkEnd w:id="417"/>
    </w:p>
    <w:p w14:paraId="4085B6DB" w14:textId="34A826D3" w:rsidR="0021264F" w:rsidRDefault="0021264F" w:rsidP="00E16D2D">
      <w:pPr>
        <w:pStyle w:val="LB1"/>
      </w:pPr>
      <w:r>
        <w:t>System must accept addresses for domestic and international destinations</w:t>
      </w:r>
    </w:p>
    <w:p w14:paraId="39C9CDC6" w14:textId="064FDAB3" w:rsidR="007C78F0" w:rsidRDefault="007C78F0" w:rsidP="00116640">
      <w:pPr>
        <w:pStyle w:val="LB1"/>
      </w:pPr>
      <w:r>
        <w:t>System must require periodic verifications of mailing addresses by Claimants, Employers, and TPAs</w:t>
      </w:r>
    </w:p>
    <w:p w14:paraId="0945EF5E" w14:textId="1D7A2CE5" w:rsidR="007C78F0" w:rsidRDefault="007C78F0" w:rsidP="00F82166">
      <w:pPr>
        <w:pStyle w:val="LB1"/>
      </w:pPr>
      <w:r>
        <w:t>System must accept multiple addresses for Employers</w:t>
      </w:r>
    </w:p>
    <w:p w14:paraId="73191738" w14:textId="4E2BFC9B" w:rsidR="007C78F0" w:rsidRDefault="007C78F0" w:rsidP="00F82166">
      <w:pPr>
        <w:pStyle w:val="OB1"/>
      </w:pPr>
      <w:r>
        <w:t>Information is required if the Employer has multiple offices, stores, etc.</w:t>
      </w:r>
    </w:p>
    <w:p w14:paraId="08869CBE" w14:textId="31A9CC1D" w:rsidR="007C78F0" w:rsidRDefault="007C78F0">
      <w:pPr>
        <w:pStyle w:val="LB1"/>
      </w:pPr>
      <w:r>
        <w:t>System must incorporate checks and refinements (Such as NCOA, Code-1, and Delivery verification) on existing addresses prior to mailing and at time of new address entry</w:t>
      </w:r>
    </w:p>
    <w:p w14:paraId="01B2F234" w14:textId="74A6BF9F" w:rsidR="007C78F0" w:rsidRDefault="007C78F0">
      <w:pPr>
        <w:pStyle w:val="LB1"/>
      </w:pPr>
      <w:r>
        <w:t xml:space="preserve">System must advise Staff if the address </w:t>
      </w:r>
      <w:r w:rsidR="0021264F">
        <w:t>b</w:t>
      </w:r>
      <w:r>
        <w:t xml:space="preserve">eing </w:t>
      </w:r>
      <w:r w:rsidR="0021264F">
        <w:t>entered</w:t>
      </w:r>
      <w:r>
        <w:t xml:space="preserve"> for a customer has be</w:t>
      </w:r>
      <w:r w:rsidR="0021264F">
        <w:t>e</w:t>
      </w:r>
      <w:r>
        <w:t>n returned in the past</w:t>
      </w:r>
    </w:p>
    <w:p w14:paraId="2ACA3DC2" w14:textId="61EC1DD5" w:rsidR="004C731D" w:rsidRDefault="004C731D">
      <w:pPr>
        <w:pStyle w:val="LB1"/>
        <w:rPr>
          <w:sz w:val="20"/>
        </w:rPr>
      </w:pPr>
      <w:r>
        <w:t xml:space="preserve">System must “learn” what addresses are not successful than others over time and ensure that information is easily and readily available to staff </w:t>
      </w:r>
    </w:p>
    <w:p w14:paraId="3C122056" w14:textId="6BBC411B" w:rsidR="004C731D" w:rsidRDefault="004C731D">
      <w:pPr>
        <w:pStyle w:val="LB1"/>
      </w:pPr>
      <w:r>
        <w:t>System must capture addresses broken down by operational mailing categories, such as Tax, UI claims, billing, training, leadership communications, labor-market surveys, investigations, collections, etc.</w:t>
      </w:r>
    </w:p>
    <w:p w14:paraId="0A2677D7" w14:textId="28862739" w:rsidR="007C78F0" w:rsidRDefault="007C78F0">
      <w:pPr>
        <w:pStyle w:val="LB1"/>
      </w:pPr>
      <w:r>
        <w:t>System must include a process for</w:t>
      </w:r>
      <w:r w:rsidR="0021264F">
        <w:t xml:space="preserve"> </w:t>
      </w:r>
      <w:r>
        <w:t>handling return mail, i</w:t>
      </w:r>
      <w:r w:rsidR="0021264F">
        <w:t>ncluding an escalation process that requires customer input</w:t>
      </w:r>
    </w:p>
    <w:p w14:paraId="3D9B76AC" w14:textId="569665D5" w:rsidR="00D1020C" w:rsidRDefault="00D1020C">
      <w:pPr>
        <w:pStyle w:val="OB1"/>
      </w:pPr>
      <w:r>
        <w:lastRenderedPageBreak/>
        <w:t>Return mail must include reason for return such as insufficient address; no such street number, missing suite number, etc.</w:t>
      </w:r>
    </w:p>
    <w:p w14:paraId="2956E713" w14:textId="77777777" w:rsidR="005353DC" w:rsidRDefault="0021264F">
      <w:pPr>
        <w:pStyle w:val="LB1"/>
      </w:pPr>
      <w:r>
        <w:t>System must display a warning message to Staff and customers regarding the ramifications of accepting</w:t>
      </w:r>
    </w:p>
    <w:p w14:paraId="7EF6D156" w14:textId="494A0132" w:rsidR="0021264F" w:rsidRDefault="005353DC">
      <w:pPr>
        <w:pStyle w:val="OB1"/>
      </w:pPr>
      <w:r>
        <w:t>A domestic</w:t>
      </w:r>
      <w:r w:rsidR="0021264F">
        <w:t xml:space="preserve"> address that is not the USPS standardized address</w:t>
      </w:r>
    </w:p>
    <w:p w14:paraId="371CAD10" w14:textId="670E26A6" w:rsidR="005353DC" w:rsidRDefault="005353DC">
      <w:pPr>
        <w:pStyle w:val="OB1"/>
      </w:pPr>
      <w:r>
        <w:t>An international address that is not in the correct format</w:t>
      </w:r>
    </w:p>
    <w:p w14:paraId="24EDAD9C" w14:textId="317D1DB8" w:rsidR="00706CD7" w:rsidRDefault="00706CD7">
      <w:pPr>
        <w:pStyle w:val="OB1"/>
      </w:pPr>
      <w:r>
        <w:t>A known invalid/bad address due to return mail</w:t>
      </w:r>
    </w:p>
    <w:p w14:paraId="62A21931" w14:textId="36F7140E" w:rsidR="008B595B" w:rsidRDefault="008B595B" w:rsidP="008B595B">
      <w:pPr>
        <w:ind w:left="0"/>
        <w:rPr>
          <w:highlight w:val="yellow"/>
        </w:rPr>
      </w:pPr>
    </w:p>
    <w:bookmarkEnd w:id="415"/>
    <w:p w14:paraId="3FC935A7" w14:textId="3C4A7C52" w:rsidR="007C78F0" w:rsidRDefault="007C78F0" w:rsidP="008B595B">
      <w:pPr>
        <w:ind w:left="0"/>
        <w:rPr>
          <w:highlight w:val="yellow"/>
        </w:rPr>
      </w:pPr>
    </w:p>
    <w:p w14:paraId="10902092" w14:textId="77777777" w:rsidR="007C78F0" w:rsidRDefault="007C78F0" w:rsidP="008B595B">
      <w:pPr>
        <w:ind w:left="0"/>
        <w:rPr>
          <w:highlight w:val="yellow"/>
        </w:rPr>
        <w:sectPr w:rsidR="007C78F0" w:rsidSect="00C6186B">
          <w:headerReference w:type="default" r:id="rId80"/>
          <w:footerReference w:type="default" r:id="rId81"/>
          <w:pgSz w:w="12240" w:h="15840" w:code="1"/>
          <w:pgMar w:top="720" w:right="720" w:bottom="720" w:left="720" w:header="720" w:footer="432" w:gutter="0"/>
          <w:cols w:space="720"/>
          <w:docGrid w:linePitch="326"/>
        </w:sectPr>
      </w:pPr>
    </w:p>
    <w:p w14:paraId="379EA8C2" w14:textId="490D29C4" w:rsidR="00131B5D" w:rsidRPr="008259A9" w:rsidRDefault="00131B5D" w:rsidP="00131B5D">
      <w:pPr>
        <w:pStyle w:val="Heading2"/>
        <w:rPr>
          <w:lang w:eastAsia="en-AU"/>
        </w:rPr>
      </w:pPr>
      <w:bookmarkStart w:id="418" w:name="_Attachment_7_–"/>
      <w:bookmarkStart w:id="419" w:name="_Toc13567501"/>
      <w:bookmarkEnd w:id="418"/>
      <w:r w:rsidRPr="008259A9">
        <w:rPr>
          <w:lang w:eastAsia="en-AU"/>
        </w:rPr>
        <w:lastRenderedPageBreak/>
        <w:t xml:space="preserve">Attachment </w:t>
      </w:r>
      <w:r w:rsidR="00C10A50">
        <w:rPr>
          <w:lang w:eastAsia="en-AU"/>
        </w:rPr>
        <w:t>7</w:t>
      </w:r>
      <w:r w:rsidRPr="008259A9">
        <w:rPr>
          <w:lang w:eastAsia="en-AU"/>
        </w:rPr>
        <w:t xml:space="preserve"> – </w:t>
      </w:r>
      <w:r w:rsidR="00CC154A">
        <w:rPr>
          <w:lang w:eastAsia="en-AU"/>
        </w:rPr>
        <w:t>UI</w:t>
      </w:r>
      <w:r w:rsidRPr="008259A9">
        <w:rPr>
          <w:lang w:eastAsia="en-AU"/>
        </w:rPr>
        <w:t xml:space="preserve"> </w:t>
      </w:r>
      <w:r w:rsidR="00C10A50">
        <w:rPr>
          <w:lang w:eastAsia="en-AU"/>
        </w:rPr>
        <w:t>Interface Summary</w:t>
      </w:r>
      <w:bookmarkEnd w:id="419"/>
    </w:p>
    <w:p w14:paraId="2C8FCE7A" w14:textId="57B7CC20" w:rsidR="004C09A9" w:rsidRDefault="002B6FF0" w:rsidP="008B5CCE">
      <w:r>
        <w:t>The table</w:t>
      </w:r>
      <w:r w:rsidR="006D5082">
        <w:t>s</w:t>
      </w:r>
      <w:r>
        <w:t xml:space="preserve"> below contain a list of current UI interfaces. </w:t>
      </w:r>
      <w:r w:rsidR="00D10EDE">
        <w:t xml:space="preserve">Awarded </w:t>
      </w:r>
      <w:r w:rsidR="008B5CCE">
        <w:t xml:space="preserve">Vendor </w:t>
      </w:r>
      <w:r w:rsidR="006D5082">
        <w:t>must</w:t>
      </w:r>
      <w:r w:rsidR="008B5CCE">
        <w:t xml:space="preserve"> develop all interfaces</w:t>
      </w:r>
      <w:r w:rsidR="00D10EDE">
        <w:t xml:space="preserve"> includ</w:t>
      </w:r>
      <w:r>
        <w:t>ing</w:t>
      </w:r>
      <w:r w:rsidR="00D10EDE">
        <w:t xml:space="preserve"> </w:t>
      </w:r>
      <w:r w:rsidR="00A1450F">
        <w:t xml:space="preserve">those </w:t>
      </w:r>
      <w:r w:rsidR="006D5082">
        <w:t>not listed in these tables, either</w:t>
      </w:r>
      <w:r w:rsidR="00B47897">
        <w:t xml:space="preserve"> </w:t>
      </w:r>
      <w:r>
        <w:t>implemented</w:t>
      </w:r>
      <w:r w:rsidR="00B47897">
        <w:t xml:space="preserve"> after this RFO </w:t>
      </w:r>
      <w:r>
        <w:t>is</w:t>
      </w:r>
      <w:r w:rsidR="00B47897">
        <w:t xml:space="preserve"> posted or accidentally omitted</w:t>
      </w:r>
      <w:r w:rsidR="008B5CCE">
        <w:t>.</w:t>
      </w:r>
      <w:r w:rsidR="00532EEB">
        <w:t xml:space="preserve"> TWC has made every effort to be inclusive but the</w:t>
      </w:r>
      <w:r w:rsidR="00A119DB">
        <w:t>re is always the</w:t>
      </w:r>
      <w:r w:rsidR="00532EEB">
        <w:t xml:space="preserve"> possibility of oversight</w:t>
      </w:r>
      <w:r w:rsidR="00A119DB">
        <w:t xml:space="preserve">. </w:t>
      </w:r>
      <w:r w:rsidR="004C09A9">
        <w:t>Offeror must describe all interfaces that are included as part of the base system.</w:t>
      </w:r>
    </w:p>
    <w:p w14:paraId="4529D4B0" w14:textId="5CF48B45" w:rsidR="008B5CCE" w:rsidRDefault="003E474A" w:rsidP="008B5CCE">
      <w:r>
        <w:t xml:space="preserve">Awarded Vendor must develop interfaces to systems that are modernized after the posting of this RFO and before </w:t>
      </w:r>
      <w:r w:rsidR="00A8096D">
        <w:t xml:space="preserve">the Awarded Vendor’s proposed </w:t>
      </w:r>
      <w:r>
        <w:t xml:space="preserve">system </w:t>
      </w:r>
      <w:r w:rsidR="00A8096D">
        <w:t xml:space="preserve">is fully </w:t>
      </w:r>
      <w:r>
        <w:t>implementation including, but not limited to, WIT and TWIST.</w:t>
      </w:r>
    </w:p>
    <w:p w14:paraId="0FD6F697" w14:textId="678D2B92" w:rsidR="00C10A50" w:rsidRDefault="00C10A50" w:rsidP="002B6FF0">
      <w:pPr>
        <w:pStyle w:val="Heading3"/>
      </w:pPr>
      <w:bookmarkStart w:id="420" w:name="_Toc13567502"/>
      <w:r>
        <w:t>A</w:t>
      </w:r>
      <w:r w:rsidR="0042030E">
        <w:t>7</w:t>
      </w:r>
      <w:r>
        <w:t>.1</w:t>
      </w:r>
      <w:r>
        <w:tab/>
        <w:t>Tax</w:t>
      </w:r>
      <w:bookmarkEnd w:id="420"/>
    </w:p>
    <w:tbl>
      <w:tblPr>
        <w:tblStyle w:val="TableGrid"/>
        <w:tblW w:w="14467" w:type="dxa"/>
        <w:tblInd w:w="-72" w:type="dxa"/>
        <w:tblLayout w:type="fixed"/>
        <w:tblLook w:val="04A0" w:firstRow="1" w:lastRow="0" w:firstColumn="1" w:lastColumn="0" w:noHBand="0" w:noVBand="1"/>
        <w:tblDescription w:val="Table of Tax interfaces"/>
      </w:tblPr>
      <w:tblGrid>
        <w:gridCol w:w="877"/>
        <w:gridCol w:w="1530"/>
        <w:gridCol w:w="1710"/>
        <w:gridCol w:w="2430"/>
        <w:gridCol w:w="2160"/>
        <w:gridCol w:w="5760"/>
      </w:tblGrid>
      <w:tr w:rsidR="00F12319" w:rsidRPr="0086041E" w14:paraId="495F6EE6" w14:textId="77777777" w:rsidTr="002D499A">
        <w:trPr>
          <w:tblHeader/>
        </w:trPr>
        <w:tc>
          <w:tcPr>
            <w:tcW w:w="877" w:type="dxa"/>
            <w:shd w:val="clear" w:color="auto" w:fill="DEEAF6" w:themeFill="accent1" w:themeFillTint="33"/>
            <w:vAlign w:val="center"/>
          </w:tcPr>
          <w:p w14:paraId="002FF135" w14:textId="77777777" w:rsidR="00F12319" w:rsidRPr="00B47897" w:rsidRDefault="00F12319" w:rsidP="00AA6384">
            <w:pPr>
              <w:spacing w:after="0"/>
              <w:ind w:left="0"/>
              <w:jc w:val="center"/>
              <w:rPr>
                <w:b/>
                <w:i/>
                <w:color w:val="1F3864" w:themeColor="accent5" w:themeShade="80"/>
              </w:rPr>
            </w:pPr>
            <w:r w:rsidRPr="00B47897">
              <w:rPr>
                <w:rFonts w:cs="Arial"/>
                <w:b/>
                <w:color w:val="1F3864" w:themeColor="accent5" w:themeShade="80"/>
              </w:rPr>
              <w:t>#</w:t>
            </w:r>
          </w:p>
        </w:tc>
        <w:tc>
          <w:tcPr>
            <w:tcW w:w="1530" w:type="dxa"/>
            <w:shd w:val="clear" w:color="auto" w:fill="DEEAF6" w:themeFill="accent1" w:themeFillTint="33"/>
            <w:vAlign w:val="center"/>
          </w:tcPr>
          <w:p w14:paraId="4A45243E" w14:textId="77777777" w:rsidR="00F12319" w:rsidRPr="00B47897" w:rsidRDefault="00F12319" w:rsidP="00B47897">
            <w:pPr>
              <w:spacing w:after="0"/>
              <w:ind w:left="0"/>
              <w:rPr>
                <w:b/>
                <w:i/>
                <w:color w:val="1F3864" w:themeColor="accent5" w:themeShade="80"/>
              </w:rPr>
            </w:pPr>
            <w:r w:rsidRPr="00B47897">
              <w:rPr>
                <w:rFonts w:cs="Arial"/>
                <w:b/>
                <w:color w:val="1F3864" w:themeColor="accent5" w:themeShade="80"/>
              </w:rPr>
              <w:t>Direction</w:t>
            </w:r>
          </w:p>
        </w:tc>
        <w:tc>
          <w:tcPr>
            <w:tcW w:w="1710" w:type="dxa"/>
            <w:shd w:val="clear" w:color="auto" w:fill="DEEAF6" w:themeFill="accent1" w:themeFillTint="33"/>
            <w:vAlign w:val="center"/>
          </w:tcPr>
          <w:p w14:paraId="598C3BE2" w14:textId="77777777" w:rsidR="00F12319" w:rsidRPr="00B47897" w:rsidRDefault="00F12319" w:rsidP="00B47897">
            <w:pPr>
              <w:spacing w:after="0"/>
              <w:ind w:left="0"/>
              <w:rPr>
                <w:b/>
                <w:i/>
                <w:color w:val="1F3864" w:themeColor="accent5" w:themeShade="80"/>
              </w:rPr>
            </w:pPr>
            <w:r w:rsidRPr="00B47897">
              <w:rPr>
                <w:rFonts w:cs="Arial"/>
                <w:b/>
                <w:color w:val="1F3864" w:themeColor="accent5" w:themeShade="80"/>
              </w:rPr>
              <w:t>Mode / Frequency</w:t>
            </w:r>
          </w:p>
        </w:tc>
        <w:tc>
          <w:tcPr>
            <w:tcW w:w="2430" w:type="dxa"/>
            <w:shd w:val="clear" w:color="auto" w:fill="DEEAF6" w:themeFill="accent1" w:themeFillTint="33"/>
            <w:vAlign w:val="center"/>
          </w:tcPr>
          <w:p w14:paraId="73E241C3" w14:textId="77777777" w:rsidR="00F12319" w:rsidRPr="00B47897" w:rsidRDefault="00F12319" w:rsidP="00B47897">
            <w:pPr>
              <w:spacing w:after="0"/>
              <w:ind w:left="0"/>
              <w:rPr>
                <w:b/>
                <w:i/>
                <w:color w:val="1F3864" w:themeColor="accent5" w:themeShade="80"/>
              </w:rPr>
            </w:pPr>
            <w:r w:rsidRPr="00B47897">
              <w:rPr>
                <w:rFonts w:cs="Arial"/>
                <w:b/>
                <w:color w:val="1F3864" w:themeColor="accent5" w:themeShade="80"/>
              </w:rPr>
              <w:t>System</w:t>
            </w:r>
          </w:p>
        </w:tc>
        <w:tc>
          <w:tcPr>
            <w:tcW w:w="2160" w:type="dxa"/>
            <w:shd w:val="clear" w:color="auto" w:fill="DEEAF6" w:themeFill="accent1" w:themeFillTint="33"/>
            <w:vAlign w:val="center"/>
          </w:tcPr>
          <w:p w14:paraId="4A01CEEC" w14:textId="77777777" w:rsidR="00F12319" w:rsidRPr="00B47897" w:rsidRDefault="00F12319" w:rsidP="00B47897">
            <w:pPr>
              <w:spacing w:after="0"/>
              <w:ind w:left="0"/>
              <w:rPr>
                <w:b/>
                <w:i/>
                <w:color w:val="1F3864" w:themeColor="accent5" w:themeShade="80"/>
              </w:rPr>
            </w:pPr>
            <w:r w:rsidRPr="00B47897">
              <w:rPr>
                <w:rFonts w:cs="Arial"/>
                <w:b/>
                <w:color w:val="1F3864" w:themeColor="accent5" w:themeShade="80"/>
              </w:rPr>
              <w:t>Name</w:t>
            </w:r>
          </w:p>
        </w:tc>
        <w:tc>
          <w:tcPr>
            <w:tcW w:w="5760" w:type="dxa"/>
            <w:shd w:val="clear" w:color="auto" w:fill="DEEAF6" w:themeFill="accent1" w:themeFillTint="33"/>
            <w:vAlign w:val="center"/>
          </w:tcPr>
          <w:p w14:paraId="426C21F4" w14:textId="77777777" w:rsidR="00F12319" w:rsidRPr="00B47897" w:rsidRDefault="00F12319" w:rsidP="00B47897">
            <w:pPr>
              <w:spacing w:after="0"/>
              <w:ind w:left="0"/>
              <w:rPr>
                <w:b/>
                <w:i/>
                <w:color w:val="1F3864" w:themeColor="accent5" w:themeShade="80"/>
              </w:rPr>
            </w:pPr>
            <w:r w:rsidRPr="00B47897">
              <w:rPr>
                <w:rFonts w:cs="Arial"/>
                <w:b/>
                <w:color w:val="1F3864" w:themeColor="accent5" w:themeShade="80"/>
              </w:rPr>
              <w:t>Overview</w:t>
            </w:r>
          </w:p>
        </w:tc>
      </w:tr>
      <w:tr w:rsidR="00F12319" w:rsidRPr="005625A5" w14:paraId="47427EE2" w14:textId="77777777" w:rsidTr="00EB23D7">
        <w:tc>
          <w:tcPr>
            <w:tcW w:w="877" w:type="dxa"/>
            <w:vAlign w:val="center"/>
          </w:tcPr>
          <w:p w14:paraId="6D2E3E8D" w14:textId="7885455C" w:rsidR="00F12319" w:rsidRPr="00CC5DCF" w:rsidRDefault="00F12319" w:rsidP="00F12319">
            <w:pPr>
              <w:ind w:left="0"/>
              <w:jc w:val="center"/>
            </w:pPr>
            <w:r>
              <w:rPr>
                <w:color w:val="000000"/>
                <w:szCs w:val="22"/>
              </w:rPr>
              <w:t>1</w:t>
            </w:r>
          </w:p>
        </w:tc>
        <w:tc>
          <w:tcPr>
            <w:tcW w:w="1530" w:type="dxa"/>
            <w:vAlign w:val="center"/>
          </w:tcPr>
          <w:p w14:paraId="22228EA0" w14:textId="77777777" w:rsidR="00F12319" w:rsidRPr="00CC5DCF" w:rsidRDefault="00F12319" w:rsidP="00F12319">
            <w:pPr>
              <w:ind w:left="0"/>
            </w:pPr>
            <w:r w:rsidRPr="00CC5DCF">
              <w:rPr>
                <w:rFonts w:cs="Calibri"/>
                <w:color w:val="000000"/>
                <w:szCs w:val="22"/>
              </w:rPr>
              <w:t>Receive</w:t>
            </w:r>
          </w:p>
        </w:tc>
        <w:tc>
          <w:tcPr>
            <w:tcW w:w="1710" w:type="dxa"/>
            <w:vAlign w:val="center"/>
          </w:tcPr>
          <w:p w14:paraId="22C65D14" w14:textId="77777777" w:rsidR="00F12319" w:rsidRPr="00CC5DCF" w:rsidRDefault="00F12319" w:rsidP="00F12319">
            <w:pPr>
              <w:ind w:left="0"/>
            </w:pPr>
            <w:r w:rsidRPr="00CC5DCF">
              <w:rPr>
                <w:rFonts w:cs="Calibri"/>
                <w:color w:val="000000"/>
                <w:szCs w:val="22"/>
              </w:rPr>
              <w:t>Offline / Quarterly</w:t>
            </w:r>
          </w:p>
        </w:tc>
        <w:tc>
          <w:tcPr>
            <w:tcW w:w="2430" w:type="dxa"/>
            <w:vAlign w:val="center"/>
          </w:tcPr>
          <w:p w14:paraId="2EED90A6" w14:textId="77777777" w:rsidR="00F12319" w:rsidRPr="00CC5DCF" w:rsidRDefault="00F12319" w:rsidP="00F12319">
            <w:pPr>
              <w:ind w:left="0"/>
            </w:pPr>
            <w:r w:rsidRPr="00CC5DCF">
              <w:rPr>
                <w:rFonts w:cs="Calibri"/>
                <w:color w:val="000000"/>
                <w:szCs w:val="22"/>
              </w:rPr>
              <w:t>Abacus Payroll Service</w:t>
            </w:r>
          </w:p>
        </w:tc>
        <w:tc>
          <w:tcPr>
            <w:tcW w:w="2160" w:type="dxa"/>
            <w:vAlign w:val="center"/>
          </w:tcPr>
          <w:p w14:paraId="6AD2F59C" w14:textId="77777777" w:rsidR="00F12319" w:rsidRPr="00CC5DCF" w:rsidRDefault="00F12319" w:rsidP="00F12319">
            <w:pPr>
              <w:ind w:left="0"/>
            </w:pPr>
            <w:r w:rsidRPr="00CC5DCF">
              <w:rPr>
                <w:rFonts w:cs="Calibri"/>
                <w:color w:val="000000"/>
                <w:szCs w:val="22"/>
              </w:rPr>
              <w:t>C3 &amp; C4 Filing</w:t>
            </w:r>
          </w:p>
        </w:tc>
        <w:tc>
          <w:tcPr>
            <w:tcW w:w="5760" w:type="dxa"/>
            <w:vAlign w:val="center"/>
          </w:tcPr>
          <w:p w14:paraId="3A25628D" w14:textId="77777777" w:rsidR="00F12319" w:rsidRPr="00CC5DCF" w:rsidRDefault="00F12319" w:rsidP="00F12319">
            <w:pPr>
              <w:ind w:left="0"/>
            </w:pPr>
            <w:r w:rsidRPr="00CC5DCF">
              <w:rPr>
                <w:rFonts w:cs="Calibri"/>
                <w:color w:val="000000"/>
                <w:szCs w:val="22"/>
              </w:rPr>
              <w:t xml:space="preserve">Receives </w:t>
            </w:r>
            <w:r w:rsidRPr="003D2D23">
              <w:rPr>
                <w:rFonts w:cs="Calibri"/>
                <w:color w:val="000000"/>
                <w:szCs w:val="22"/>
              </w:rPr>
              <w:t>one (1)</w:t>
            </w:r>
            <w:r>
              <w:rPr>
                <w:rFonts w:cs="Calibri"/>
                <w:color w:val="000000"/>
                <w:szCs w:val="22"/>
              </w:rPr>
              <w:t xml:space="preserve"> </w:t>
            </w:r>
            <w:r w:rsidRPr="00CC5DCF">
              <w:rPr>
                <w:rFonts w:cs="Calibri"/>
                <w:color w:val="000000"/>
                <w:szCs w:val="22"/>
              </w:rPr>
              <w:t>file</w:t>
            </w:r>
          </w:p>
        </w:tc>
      </w:tr>
      <w:tr w:rsidR="00F12319" w14:paraId="0C46667C" w14:textId="77777777" w:rsidTr="00EB23D7">
        <w:tc>
          <w:tcPr>
            <w:tcW w:w="877" w:type="dxa"/>
            <w:vAlign w:val="center"/>
          </w:tcPr>
          <w:p w14:paraId="5D0A7EC3" w14:textId="6EEDAAFD" w:rsidR="00F12319" w:rsidRPr="00CC5DCF" w:rsidRDefault="00F12319" w:rsidP="00F12319">
            <w:pPr>
              <w:ind w:left="0"/>
              <w:jc w:val="center"/>
            </w:pPr>
            <w:r>
              <w:rPr>
                <w:szCs w:val="22"/>
              </w:rPr>
              <w:t>2</w:t>
            </w:r>
          </w:p>
        </w:tc>
        <w:tc>
          <w:tcPr>
            <w:tcW w:w="1530" w:type="dxa"/>
            <w:vAlign w:val="center"/>
          </w:tcPr>
          <w:p w14:paraId="76ADF6CC" w14:textId="77777777" w:rsidR="00F12319" w:rsidRPr="00CC5DCF" w:rsidRDefault="00F12319" w:rsidP="00F12319">
            <w:pPr>
              <w:ind w:left="0"/>
            </w:pPr>
            <w:r w:rsidRPr="00CC5DCF">
              <w:rPr>
                <w:rFonts w:cs="Calibri"/>
                <w:color w:val="000000"/>
                <w:szCs w:val="22"/>
              </w:rPr>
              <w:t>Both</w:t>
            </w:r>
          </w:p>
        </w:tc>
        <w:tc>
          <w:tcPr>
            <w:tcW w:w="1710" w:type="dxa"/>
            <w:vAlign w:val="center"/>
          </w:tcPr>
          <w:p w14:paraId="0AE1E8E6" w14:textId="77777777" w:rsidR="00F12319" w:rsidRPr="00CC5DCF" w:rsidRDefault="00F12319" w:rsidP="00F12319">
            <w:pPr>
              <w:ind w:left="0"/>
            </w:pPr>
            <w:r w:rsidRPr="00CC5DCF">
              <w:rPr>
                <w:rFonts w:cs="Calibri"/>
                <w:color w:val="000000"/>
                <w:szCs w:val="22"/>
              </w:rPr>
              <w:t>Offline / Quarterly</w:t>
            </w:r>
          </w:p>
        </w:tc>
        <w:tc>
          <w:tcPr>
            <w:tcW w:w="2430" w:type="dxa"/>
            <w:vAlign w:val="center"/>
          </w:tcPr>
          <w:p w14:paraId="17B06B8A" w14:textId="77777777" w:rsidR="00F12319" w:rsidRPr="00CC5DCF" w:rsidRDefault="00F12319" w:rsidP="00F12319">
            <w:pPr>
              <w:ind w:left="0"/>
            </w:pPr>
            <w:r w:rsidRPr="00CC5DCF">
              <w:rPr>
                <w:rFonts w:cs="Calibri"/>
                <w:color w:val="000000"/>
                <w:szCs w:val="22"/>
              </w:rPr>
              <w:t>ADP</w:t>
            </w:r>
          </w:p>
        </w:tc>
        <w:tc>
          <w:tcPr>
            <w:tcW w:w="2160" w:type="dxa"/>
            <w:vAlign w:val="center"/>
          </w:tcPr>
          <w:p w14:paraId="661A5882" w14:textId="77777777" w:rsidR="00F12319" w:rsidRPr="00CC5DCF" w:rsidRDefault="00F12319" w:rsidP="00F12319">
            <w:pPr>
              <w:ind w:left="0"/>
            </w:pPr>
            <w:r w:rsidRPr="00CC5DCF">
              <w:rPr>
                <w:rFonts w:cs="Calibri"/>
                <w:color w:val="000000"/>
                <w:szCs w:val="22"/>
              </w:rPr>
              <w:t>ADP Chargebacks</w:t>
            </w:r>
          </w:p>
        </w:tc>
        <w:tc>
          <w:tcPr>
            <w:tcW w:w="5760" w:type="dxa"/>
            <w:vAlign w:val="center"/>
          </w:tcPr>
          <w:p w14:paraId="1BC26917" w14:textId="77777777" w:rsidR="00F12319" w:rsidRPr="00CC5DCF" w:rsidRDefault="00F12319" w:rsidP="00F12319">
            <w:pPr>
              <w:ind w:left="0"/>
            </w:pPr>
            <w:r w:rsidRPr="00CC5DCF">
              <w:rPr>
                <w:rFonts w:cs="Calibri"/>
                <w:color w:val="000000"/>
                <w:szCs w:val="22"/>
              </w:rPr>
              <w:t>Employer request</w:t>
            </w:r>
          </w:p>
        </w:tc>
      </w:tr>
      <w:tr w:rsidR="00F12319" w14:paraId="45E44C81" w14:textId="77777777" w:rsidTr="00EB23D7">
        <w:tc>
          <w:tcPr>
            <w:tcW w:w="877" w:type="dxa"/>
            <w:vAlign w:val="center"/>
          </w:tcPr>
          <w:p w14:paraId="03D64F55" w14:textId="6D74A838" w:rsidR="00F12319" w:rsidRPr="00CC5DCF" w:rsidRDefault="00F12319" w:rsidP="00F12319">
            <w:pPr>
              <w:ind w:left="0"/>
              <w:jc w:val="center"/>
              <w:rPr>
                <w:rFonts w:cs="Calibri"/>
                <w:color w:val="000000"/>
              </w:rPr>
            </w:pPr>
            <w:r>
              <w:rPr>
                <w:color w:val="000000"/>
                <w:szCs w:val="22"/>
              </w:rPr>
              <w:t>3</w:t>
            </w:r>
          </w:p>
        </w:tc>
        <w:tc>
          <w:tcPr>
            <w:tcW w:w="1530" w:type="dxa"/>
            <w:vAlign w:val="center"/>
          </w:tcPr>
          <w:p w14:paraId="4FAE30C4" w14:textId="77777777" w:rsidR="00F12319" w:rsidRPr="00CC5DCF" w:rsidRDefault="00F12319" w:rsidP="00F12319">
            <w:pPr>
              <w:ind w:left="0"/>
              <w:rPr>
                <w:rFonts w:cs="Calibri"/>
                <w:color w:val="000000"/>
              </w:rPr>
            </w:pPr>
            <w:r>
              <w:rPr>
                <w:rFonts w:cs="Calibri"/>
                <w:color w:val="000000"/>
              </w:rPr>
              <w:t>Receive</w:t>
            </w:r>
          </w:p>
        </w:tc>
        <w:tc>
          <w:tcPr>
            <w:tcW w:w="1710" w:type="dxa"/>
            <w:vAlign w:val="center"/>
          </w:tcPr>
          <w:p w14:paraId="6891B494" w14:textId="77777777" w:rsidR="00F12319" w:rsidRPr="00CC5DCF" w:rsidRDefault="00F12319" w:rsidP="00F12319">
            <w:pPr>
              <w:ind w:left="0"/>
              <w:rPr>
                <w:rFonts w:cs="Calibri"/>
                <w:color w:val="000000"/>
              </w:rPr>
            </w:pPr>
            <w:r>
              <w:rPr>
                <w:rFonts w:cs="Calibri"/>
                <w:color w:val="000000"/>
              </w:rPr>
              <w:t>Offline / Daily</w:t>
            </w:r>
          </w:p>
        </w:tc>
        <w:tc>
          <w:tcPr>
            <w:tcW w:w="2430" w:type="dxa"/>
            <w:vAlign w:val="center"/>
          </w:tcPr>
          <w:p w14:paraId="38C988C1" w14:textId="77777777" w:rsidR="00F12319" w:rsidRPr="00CC5DCF" w:rsidRDefault="00F12319" w:rsidP="00F12319">
            <w:pPr>
              <w:ind w:left="0"/>
              <w:rPr>
                <w:rFonts w:cs="Calibri"/>
                <w:color w:val="000000"/>
              </w:rPr>
            </w:pPr>
            <w:r>
              <w:rPr>
                <w:rFonts w:cs="Calibri"/>
                <w:color w:val="000000"/>
              </w:rPr>
              <w:t>ADP</w:t>
            </w:r>
          </w:p>
        </w:tc>
        <w:tc>
          <w:tcPr>
            <w:tcW w:w="2160" w:type="dxa"/>
            <w:vAlign w:val="center"/>
          </w:tcPr>
          <w:p w14:paraId="269018AD" w14:textId="77777777" w:rsidR="00F12319" w:rsidRPr="00CC5DCF" w:rsidRDefault="00F12319" w:rsidP="00F12319">
            <w:pPr>
              <w:ind w:left="0"/>
              <w:rPr>
                <w:rFonts w:cs="Calibri"/>
                <w:color w:val="000000"/>
              </w:rPr>
            </w:pPr>
            <w:r>
              <w:rPr>
                <w:rFonts w:cs="Calibri"/>
                <w:color w:val="000000"/>
              </w:rPr>
              <w:t>C7 Wage Record Adjustments</w:t>
            </w:r>
          </w:p>
        </w:tc>
        <w:tc>
          <w:tcPr>
            <w:tcW w:w="5760" w:type="dxa"/>
            <w:vAlign w:val="center"/>
          </w:tcPr>
          <w:p w14:paraId="010F600C" w14:textId="77777777" w:rsidR="00F12319" w:rsidRPr="00CC5DCF" w:rsidRDefault="00F12319" w:rsidP="00F12319">
            <w:pPr>
              <w:ind w:left="0"/>
              <w:rPr>
                <w:rFonts w:cs="Calibri"/>
                <w:color w:val="000000"/>
              </w:rPr>
            </w:pPr>
            <w:r>
              <w:rPr>
                <w:rFonts w:cs="Calibri"/>
                <w:color w:val="000000"/>
              </w:rPr>
              <w:t xml:space="preserve">Receives </w:t>
            </w:r>
            <w:r w:rsidRPr="003D2D23">
              <w:rPr>
                <w:rFonts w:cs="Calibri"/>
                <w:color w:val="000000"/>
                <w:szCs w:val="22"/>
              </w:rPr>
              <w:t>one (1)</w:t>
            </w:r>
            <w:r>
              <w:rPr>
                <w:rFonts w:cs="Calibri"/>
                <w:color w:val="000000"/>
                <w:szCs w:val="22"/>
              </w:rPr>
              <w:t xml:space="preserve"> </w:t>
            </w:r>
            <w:r>
              <w:rPr>
                <w:rFonts w:cs="Calibri"/>
                <w:color w:val="000000"/>
              </w:rPr>
              <w:t>file via FTP</w:t>
            </w:r>
          </w:p>
        </w:tc>
      </w:tr>
      <w:tr w:rsidR="00F12319" w14:paraId="5F90CA7C" w14:textId="77777777" w:rsidTr="00EB23D7">
        <w:tc>
          <w:tcPr>
            <w:tcW w:w="877" w:type="dxa"/>
            <w:vAlign w:val="center"/>
          </w:tcPr>
          <w:p w14:paraId="6257C7C8" w14:textId="0300DAFE" w:rsidR="00F12319" w:rsidRPr="00CC5DCF" w:rsidRDefault="00F12319" w:rsidP="00F12319">
            <w:pPr>
              <w:ind w:left="0"/>
              <w:jc w:val="center"/>
            </w:pPr>
            <w:r>
              <w:rPr>
                <w:szCs w:val="22"/>
              </w:rPr>
              <w:t>4</w:t>
            </w:r>
          </w:p>
        </w:tc>
        <w:tc>
          <w:tcPr>
            <w:tcW w:w="1530" w:type="dxa"/>
            <w:vAlign w:val="center"/>
          </w:tcPr>
          <w:p w14:paraId="5C981D92" w14:textId="77777777" w:rsidR="00F12319" w:rsidRPr="00CC5DCF" w:rsidRDefault="00F12319" w:rsidP="00F12319">
            <w:pPr>
              <w:ind w:left="0"/>
            </w:pPr>
            <w:r w:rsidRPr="00CC5DCF">
              <w:rPr>
                <w:rFonts w:cs="Calibri"/>
                <w:color w:val="000000"/>
                <w:szCs w:val="22"/>
              </w:rPr>
              <w:t>Receive</w:t>
            </w:r>
          </w:p>
        </w:tc>
        <w:tc>
          <w:tcPr>
            <w:tcW w:w="1710" w:type="dxa"/>
            <w:vAlign w:val="center"/>
          </w:tcPr>
          <w:p w14:paraId="52B342AE" w14:textId="77777777" w:rsidR="00F12319" w:rsidRPr="00CC5DCF" w:rsidRDefault="00F12319" w:rsidP="00F12319">
            <w:pPr>
              <w:ind w:left="0"/>
            </w:pPr>
            <w:r w:rsidRPr="00CC5DCF">
              <w:rPr>
                <w:rFonts w:cs="Calibri"/>
                <w:color w:val="000000"/>
                <w:szCs w:val="22"/>
              </w:rPr>
              <w:t xml:space="preserve">Offline / </w:t>
            </w:r>
            <w:r w:rsidRPr="00CC5DCF">
              <w:rPr>
                <w:rFonts w:cs="Calibri"/>
                <w:color w:val="000000"/>
                <w:szCs w:val="22"/>
              </w:rPr>
              <w:br/>
              <w:t>Daily (M-F)</w:t>
            </w:r>
          </w:p>
        </w:tc>
        <w:tc>
          <w:tcPr>
            <w:tcW w:w="2430" w:type="dxa"/>
            <w:vAlign w:val="center"/>
          </w:tcPr>
          <w:p w14:paraId="4211E27B" w14:textId="77777777" w:rsidR="00F12319" w:rsidRPr="00CC5DCF" w:rsidRDefault="00F12319" w:rsidP="00F12319">
            <w:pPr>
              <w:ind w:left="0"/>
            </w:pPr>
            <w:r w:rsidRPr="00CC5DCF">
              <w:rPr>
                <w:rFonts w:cs="Calibri"/>
                <w:color w:val="000000"/>
                <w:szCs w:val="22"/>
              </w:rPr>
              <w:t>ADP</w:t>
            </w:r>
          </w:p>
        </w:tc>
        <w:tc>
          <w:tcPr>
            <w:tcW w:w="2160" w:type="dxa"/>
            <w:vAlign w:val="center"/>
          </w:tcPr>
          <w:p w14:paraId="432A5749" w14:textId="77777777" w:rsidR="00F12319" w:rsidRPr="00CC5DCF" w:rsidRDefault="00F12319" w:rsidP="00F12319">
            <w:pPr>
              <w:ind w:left="0"/>
            </w:pPr>
            <w:r w:rsidRPr="00CC5DCF">
              <w:rPr>
                <w:rFonts w:cs="Calibri"/>
                <w:color w:val="000000"/>
                <w:szCs w:val="22"/>
              </w:rPr>
              <w:t>Form 8850 FTP</w:t>
            </w:r>
          </w:p>
        </w:tc>
        <w:tc>
          <w:tcPr>
            <w:tcW w:w="5760" w:type="dxa"/>
            <w:vAlign w:val="center"/>
          </w:tcPr>
          <w:p w14:paraId="4A6353C0" w14:textId="77777777" w:rsidR="00F12319" w:rsidRPr="00CC5DCF" w:rsidRDefault="00F12319" w:rsidP="00F12319">
            <w:pPr>
              <w:ind w:left="0"/>
            </w:pPr>
            <w:r>
              <w:rPr>
                <w:rFonts w:cs="Calibri"/>
                <w:color w:val="000000"/>
                <w:szCs w:val="22"/>
              </w:rPr>
              <w:t>Secure t</w:t>
            </w:r>
            <w:r w:rsidRPr="00CC5DCF">
              <w:rPr>
                <w:rFonts w:cs="Calibri"/>
                <w:color w:val="000000"/>
                <w:szCs w:val="22"/>
              </w:rPr>
              <w:t xml:space="preserve">ransfer of </w:t>
            </w:r>
            <w:r>
              <w:rPr>
                <w:rFonts w:cs="Calibri"/>
                <w:color w:val="000000"/>
                <w:szCs w:val="22"/>
              </w:rPr>
              <w:t>d</w:t>
            </w:r>
            <w:r w:rsidRPr="00CC5DCF">
              <w:rPr>
                <w:rFonts w:cs="Calibri"/>
                <w:color w:val="000000"/>
                <w:szCs w:val="22"/>
              </w:rPr>
              <w:t>ata</w:t>
            </w:r>
          </w:p>
        </w:tc>
      </w:tr>
      <w:tr w:rsidR="00F12319" w14:paraId="17C830CC" w14:textId="77777777" w:rsidTr="00EB23D7">
        <w:tc>
          <w:tcPr>
            <w:tcW w:w="877" w:type="dxa"/>
            <w:vAlign w:val="center"/>
          </w:tcPr>
          <w:p w14:paraId="50B4D9CD" w14:textId="28F5AF3E" w:rsidR="00F12319" w:rsidRPr="00CC5DCF" w:rsidRDefault="00F12319" w:rsidP="00F12319">
            <w:pPr>
              <w:ind w:left="0"/>
              <w:jc w:val="center"/>
            </w:pPr>
            <w:r>
              <w:rPr>
                <w:color w:val="000000"/>
                <w:szCs w:val="22"/>
              </w:rPr>
              <w:t>5</w:t>
            </w:r>
          </w:p>
        </w:tc>
        <w:tc>
          <w:tcPr>
            <w:tcW w:w="1530" w:type="dxa"/>
            <w:vAlign w:val="center"/>
          </w:tcPr>
          <w:p w14:paraId="451476BF" w14:textId="77777777" w:rsidR="00F12319" w:rsidRPr="00CC5DCF" w:rsidRDefault="00F12319" w:rsidP="00F12319">
            <w:pPr>
              <w:ind w:left="0"/>
            </w:pPr>
            <w:r w:rsidRPr="00CC5DCF">
              <w:rPr>
                <w:rFonts w:cs="Calibri"/>
                <w:color w:val="000000"/>
                <w:szCs w:val="22"/>
              </w:rPr>
              <w:t>Receive</w:t>
            </w:r>
          </w:p>
        </w:tc>
        <w:tc>
          <w:tcPr>
            <w:tcW w:w="1710" w:type="dxa"/>
            <w:vAlign w:val="center"/>
          </w:tcPr>
          <w:p w14:paraId="3D1C5F18" w14:textId="77777777" w:rsidR="00F12319" w:rsidRPr="00CC5DCF" w:rsidRDefault="00F12319" w:rsidP="00F12319">
            <w:pPr>
              <w:ind w:left="0"/>
            </w:pPr>
            <w:r w:rsidRPr="00CC5DCF">
              <w:rPr>
                <w:rFonts w:cs="Calibri"/>
                <w:color w:val="000000"/>
                <w:szCs w:val="22"/>
              </w:rPr>
              <w:t>Offline / Quarterly</w:t>
            </w:r>
          </w:p>
        </w:tc>
        <w:tc>
          <w:tcPr>
            <w:tcW w:w="2430" w:type="dxa"/>
            <w:vAlign w:val="center"/>
          </w:tcPr>
          <w:p w14:paraId="0478F02B" w14:textId="77777777" w:rsidR="00F12319" w:rsidRPr="00CC5DCF" w:rsidRDefault="00F12319" w:rsidP="00F12319">
            <w:pPr>
              <w:ind w:left="0"/>
            </w:pPr>
            <w:r w:rsidRPr="00CC5DCF">
              <w:rPr>
                <w:rFonts w:cs="Calibri"/>
                <w:color w:val="000000"/>
                <w:szCs w:val="22"/>
              </w:rPr>
              <w:t>ADP Quarterly Tax</w:t>
            </w:r>
          </w:p>
        </w:tc>
        <w:tc>
          <w:tcPr>
            <w:tcW w:w="2160" w:type="dxa"/>
            <w:vAlign w:val="center"/>
          </w:tcPr>
          <w:p w14:paraId="2EA249EF" w14:textId="77777777" w:rsidR="00F12319" w:rsidRPr="00CC5DCF" w:rsidRDefault="00F12319" w:rsidP="00F12319">
            <w:pPr>
              <w:ind w:left="0"/>
            </w:pPr>
            <w:r w:rsidRPr="00CC5DCF">
              <w:rPr>
                <w:rFonts w:cs="Calibri"/>
                <w:color w:val="000000"/>
                <w:szCs w:val="22"/>
              </w:rPr>
              <w:t>C3 &amp; C4 Filing</w:t>
            </w:r>
          </w:p>
        </w:tc>
        <w:tc>
          <w:tcPr>
            <w:tcW w:w="5760" w:type="dxa"/>
            <w:vAlign w:val="center"/>
          </w:tcPr>
          <w:p w14:paraId="22FB2507" w14:textId="77777777" w:rsidR="00F12319" w:rsidRPr="00CC5DCF" w:rsidRDefault="00F12319" w:rsidP="00F12319">
            <w:pPr>
              <w:ind w:left="0"/>
            </w:pPr>
            <w:r w:rsidRPr="00CC5DCF">
              <w:rPr>
                <w:rFonts w:cs="Calibri"/>
                <w:color w:val="000000"/>
                <w:szCs w:val="22"/>
              </w:rPr>
              <w:t xml:space="preserve">Receives </w:t>
            </w:r>
            <w:r w:rsidRPr="003D2D23">
              <w:rPr>
                <w:rFonts w:cs="Calibri"/>
                <w:color w:val="000000"/>
                <w:szCs w:val="22"/>
              </w:rPr>
              <w:t>one (1)</w:t>
            </w:r>
            <w:r>
              <w:rPr>
                <w:rFonts w:cs="Calibri"/>
                <w:color w:val="000000"/>
                <w:szCs w:val="22"/>
              </w:rPr>
              <w:t xml:space="preserve"> </w:t>
            </w:r>
            <w:r w:rsidRPr="00CC5DCF">
              <w:rPr>
                <w:rFonts w:cs="Calibri"/>
                <w:color w:val="000000"/>
                <w:szCs w:val="22"/>
              </w:rPr>
              <w:t>file</w:t>
            </w:r>
            <w:r>
              <w:rPr>
                <w:rFonts w:cs="Calibri"/>
                <w:color w:val="000000"/>
                <w:szCs w:val="22"/>
              </w:rPr>
              <w:t xml:space="preserve"> via FTP, plus stragglers</w:t>
            </w:r>
          </w:p>
        </w:tc>
      </w:tr>
      <w:tr w:rsidR="00F12319" w14:paraId="100F65CA" w14:textId="77777777" w:rsidTr="00EB23D7">
        <w:tc>
          <w:tcPr>
            <w:tcW w:w="877" w:type="dxa"/>
            <w:vAlign w:val="center"/>
          </w:tcPr>
          <w:p w14:paraId="7604BEE0" w14:textId="575DBF0B" w:rsidR="00F12319" w:rsidRPr="00CC5DCF" w:rsidRDefault="00F12319" w:rsidP="00F12319">
            <w:pPr>
              <w:ind w:left="0"/>
              <w:jc w:val="center"/>
            </w:pPr>
            <w:r>
              <w:rPr>
                <w:szCs w:val="22"/>
              </w:rPr>
              <w:t>6</w:t>
            </w:r>
          </w:p>
        </w:tc>
        <w:tc>
          <w:tcPr>
            <w:tcW w:w="1530" w:type="dxa"/>
            <w:vAlign w:val="center"/>
          </w:tcPr>
          <w:p w14:paraId="2F1B7D21" w14:textId="77777777" w:rsidR="00F12319" w:rsidRPr="00CC5DCF" w:rsidRDefault="00F12319" w:rsidP="00F12319">
            <w:pPr>
              <w:ind w:left="0"/>
            </w:pPr>
            <w:r w:rsidRPr="00CC5DCF">
              <w:rPr>
                <w:rFonts w:cs="Calibri"/>
                <w:color w:val="000000"/>
                <w:szCs w:val="22"/>
              </w:rPr>
              <w:t>Receive</w:t>
            </w:r>
          </w:p>
        </w:tc>
        <w:tc>
          <w:tcPr>
            <w:tcW w:w="1710" w:type="dxa"/>
            <w:vAlign w:val="center"/>
          </w:tcPr>
          <w:p w14:paraId="4C9C283D" w14:textId="77777777" w:rsidR="00F12319" w:rsidRPr="00CC5DCF" w:rsidRDefault="00F12319" w:rsidP="00F12319">
            <w:pPr>
              <w:ind w:left="0"/>
            </w:pPr>
            <w:r w:rsidRPr="00CC5DCF">
              <w:rPr>
                <w:rFonts w:cs="Calibri"/>
                <w:color w:val="000000"/>
                <w:szCs w:val="22"/>
              </w:rPr>
              <w:t>Offline / Daily</w:t>
            </w:r>
          </w:p>
        </w:tc>
        <w:tc>
          <w:tcPr>
            <w:tcW w:w="2430" w:type="dxa"/>
            <w:vAlign w:val="center"/>
          </w:tcPr>
          <w:p w14:paraId="1DC0906B" w14:textId="77777777" w:rsidR="00F12319" w:rsidRPr="00CC5DCF" w:rsidRDefault="00F12319" w:rsidP="00F12319">
            <w:pPr>
              <w:ind w:left="0"/>
            </w:pPr>
            <w:r w:rsidRPr="00CC5DCF">
              <w:rPr>
                <w:rFonts w:cs="Calibri"/>
                <w:color w:val="000000"/>
                <w:szCs w:val="22"/>
              </w:rPr>
              <w:t>Alliance Payroll</w:t>
            </w:r>
          </w:p>
        </w:tc>
        <w:tc>
          <w:tcPr>
            <w:tcW w:w="2160" w:type="dxa"/>
            <w:vAlign w:val="center"/>
          </w:tcPr>
          <w:p w14:paraId="7F710DB1" w14:textId="77777777" w:rsidR="00F12319" w:rsidRPr="00CC5DCF" w:rsidRDefault="00F12319" w:rsidP="00F12319">
            <w:pPr>
              <w:ind w:left="0"/>
            </w:pPr>
            <w:r w:rsidRPr="00CC5DCF">
              <w:rPr>
                <w:rFonts w:cs="Calibri"/>
                <w:color w:val="000000"/>
                <w:szCs w:val="22"/>
              </w:rPr>
              <w:t>WOTC FTP 8850</w:t>
            </w:r>
          </w:p>
        </w:tc>
        <w:tc>
          <w:tcPr>
            <w:tcW w:w="5760" w:type="dxa"/>
            <w:vAlign w:val="center"/>
          </w:tcPr>
          <w:p w14:paraId="2F2741AD" w14:textId="77777777" w:rsidR="00F12319" w:rsidRPr="00CC5DCF" w:rsidRDefault="00F12319" w:rsidP="00F12319">
            <w:pPr>
              <w:ind w:left="0"/>
            </w:pPr>
            <w:r w:rsidRPr="00CC5DCF">
              <w:rPr>
                <w:rFonts w:cs="Calibri"/>
                <w:color w:val="000000"/>
                <w:szCs w:val="22"/>
              </w:rPr>
              <w:t>Secure transfer of PII</w:t>
            </w:r>
            <w:r w:rsidRPr="00CC5DCF">
              <w:rPr>
                <w:rFonts w:ascii="Arial" w:hAnsi="Arial" w:cs="Arial"/>
                <w:color w:val="000000"/>
                <w:szCs w:val="22"/>
              </w:rPr>
              <w:t>​</w:t>
            </w:r>
          </w:p>
        </w:tc>
      </w:tr>
      <w:tr w:rsidR="00F12319" w14:paraId="16F6DE74" w14:textId="77777777" w:rsidTr="00EB23D7">
        <w:tc>
          <w:tcPr>
            <w:tcW w:w="877" w:type="dxa"/>
            <w:vAlign w:val="center"/>
          </w:tcPr>
          <w:p w14:paraId="39C0A4FD" w14:textId="66B7F41A" w:rsidR="00F12319" w:rsidRPr="003B41C6" w:rsidRDefault="00F12319" w:rsidP="00F12319">
            <w:pPr>
              <w:ind w:left="0"/>
              <w:jc w:val="center"/>
              <w:rPr>
                <w:rFonts w:cs="Calibri"/>
                <w:color w:val="000000"/>
                <w:szCs w:val="22"/>
              </w:rPr>
            </w:pPr>
            <w:r>
              <w:rPr>
                <w:color w:val="000000"/>
                <w:szCs w:val="22"/>
              </w:rPr>
              <w:t>7</w:t>
            </w:r>
          </w:p>
        </w:tc>
        <w:tc>
          <w:tcPr>
            <w:tcW w:w="1530" w:type="dxa"/>
            <w:vAlign w:val="center"/>
          </w:tcPr>
          <w:p w14:paraId="2E865700" w14:textId="77777777" w:rsidR="00F12319" w:rsidRPr="00CC5DCF" w:rsidRDefault="00F12319" w:rsidP="00F12319">
            <w:pPr>
              <w:ind w:left="0"/>
            </w:pPr>
            <w:r w:rsidRPr="00CC5DCF">
              <w:rPr>
                <w:rFonts w:cs="Calibri"/>
                <w:color w:val="000000"/>
                <w:szCs w:val="22"/>
              </w:rPr>
              <w:t>Receive</w:t>
            </w:r>
          </w:p>
        </w:tc>
        <w:tc>
          <w:tcPr>
            <w:tcW w:w="1710" w:type="dxa"/>
            <w:vAlign w:val="center"/>
          </w:tcPr>
          <w:p w14:paraId="72C473B6" w14:textId="77777777" w:rsidR="00F12319" w:rsidRPr="00CC5DCF" w:rsidRDefault="00F12319" w:rsidP="00F12319">
            <w:pPr>
              <w:ind w:left="0"/>
            </w:pPr>
            <w:r w:rsidRPr="00CC5DCF">
              <w:rPr>
                <w:rFonts w:cs="Calibri"/>
                <w:color w:val="000000"/>
                <w:szCs w:val="22"/>
              </w:rPr>
              <w:t>Offline / Quarterly</w:t>
            </w:r>
          </w:p>
        </w:tc>
        <w:tc>
          <w:tcPr>
            <w:tcW w:w="2430" w:type="dxa"/>
            <w:vAlign w:val="center"/>
          </w:tcPr>
          <w:p w14:paraId="75980FB7" w14:textId="77777777" w:rsidR="00F12319" w:rsidRPr="00CC5DCF" w:rsidRDefault="00F12319" w:rsidP="00F12319">
            <w:pPr>
              <w:ind w:left="0"/>
            </w:pPr>
            <w:r w:rsidRPr="00CC5DCF">
              <w:rPr>
                <w:rFonts w:cs="Calibri"/>
                <w:color w:val="000000"/>
                <w:szCs w:val="22"/>
              </w:rPr>
              <w:t>Alliance Payroll Services</w:t>
            </w:r>
          </w:p>
        </w:tc>
        <w:tc>
          <w:tcPr>
            <w:tcW w:w="2160" w:type="dxa"/>
            <w:vAlign w:val="center"/>
          </w:tcPr>
          <w:p w14:paraId="659FD065" w14:textId="77777777" w:rsidR="00F12319" w:rsidRPr="00CC5DCF" w:rsidRDefault="00F12319" w:rsidP="00F12319">
            <w:pPr>
              <w:ind w:left="0"/>
            </w:pPr>
            <w:r w:rsidRPr="00CC5DCF">
              <w:rPr>
                <w:rFonts w:cs="Calibri"/>
                <w:color w:val="000000"/>
                <w:szCs w:val="22"/>
              </w:rPr>
              <w:t>C3 &amp; C4 Filing</w:t>
            </w:r>
          </w:p>
        </w:tc>
        <w:tc>
          <w:tcPr>
            <w:tcW w:w="5760" w:type="dxa"/>
            <w:vAlign w:val="center"/>
          </w:tcPr>
          <w:p w14:paraId="3F0AA8B4" w14:textId="77777777" w:rsidR="00F12319" w:rsidRPr="00CC5DCF" w:rsidRDefault="00F12319" w:rsidP="00F12319">
            <w:pPr>
              <w:ind w:left="0"/>
            </w:pPr>
            <w:r w:rsidRPr="00CC5DCF">
              <w:rPr>
                <w:rFonts w:cs="Calibri"/>
                <w:color w:val="000000"/>
                <w:szCs w:val="22"/>
              </w:rPr>
              <w:t xml:space="preserve">Receives </w:t>
            </w:r>
            <w:r w:rsidRPr="003D2D23">
              <w:rPr>
                <w:rFonts w:cs="Calibri"/>
                <w:color w:val="000000"/>
                <w:szCs w:val="22"/>
              </w:rPr>
              <w:t>one (1)</w:t>
            </w:r>
            <w:r>
              <w:rPr>
                <w:rFonts w:cs="Calibri"/>
                <w:color w:val="000000"/>
                <w:szCs w:val="22"/>
              </w:rPr>
              <w:t xml:space="preserve"> </w:t>
            </w:r>
            <w:r w:rsidRPr="00CC5DCF">
              <w:rPr>
                <w:rFonts w:cs="Calibri"/>
                <w:color w:val="000000"/>
                <w:szCs w:val="22"/>
              </w:rPr>
              <w:t>file</w:t>
            </w:r>
          </w:p>
        </w:tc>
      </w:tr>
      <w:tr w:rsidR="00F12319" w14:paraId="15F969F1" w14:textId="77777777" w:rsidTr="00EB23D7">
        <w:tc>
          <w:tcPr>
            <w:tcW w:w="877" w:type="dxa"/>
            <w:vAlign w:val="center"/>
          </w:tcPr>
          <w:p w14:paraId="17C0D28C" w14:textId="6F8F6860" w:rsidR="00F12319" w:rsidRPr="003B41C6" w:rsidRDefault="00F12319" w:rsidP="00F12319">
            <w:pPr>
              <w:ind w:left="0"/>
              <w:jc w:val="center"/>
              <w:rPr>
                <w:rFonts w:cs="Calibri"/>
                <w:color w:val="000000"/>
                <w:szCs w:val="22"/>
              </w:rPr>
            </w:pPr>
            <w:r>
              <w:rPr>
                <w:szCs w:val="22"/>
              </w:rPr>
              <w:lastRenderedPageBreak/>
              <w:t>8</w:t>
            </w:r>
          </w:p>
        </w:tc>
        <w:tc>
          <w:tcPr>
            <w:tcW w:w="1530" w:type="dxa"/>
            <w:vAlign w:val="center"/>
          </w:tcPr>
          <w:p w14:paraId="5B5A067F" w14:textId="77777777" w:rsidR="00F12319" w:rsidRPr="003B41C6" w:rsidRDefault="00F12319" w:rsidP="00F12319">
            <w:pPr>
              <w:ind w:left="0"/>
              <w:rPr>
                <w:rFonts w:cs="Calibri"/>
                <w:color w:val="000000"/>
                <w:szCs w:val="22"/>
              </w:rPr>
            </w:pPr>
            <w:r w:rsidRPr="003B41C6">
              <w:rPr>
                <w:rFonts w:cs="Calibri"/>
                <w:color w:val="000000"/>
                <w:szCs w:val="22"/>
              </w:rPr>
              <w:t>Receive</w:t>
            </w:r>
          </w:p>
        </w:tc>
        <w:tc>
          <w:tcPr>
            <w:tcW w:w="1710" w:type="dxa"/>
            <w:vAlign w:val="center"/>
          </w:tcPr>
          <w:p w14:paraId="27B81479" w14:textId="77777777" w:rsidR="00F12319" w:rsidRPr="00194F03" w:rsidRDefault="00F12319" w:rsidP="00F12319">
            <w:pPr>
              <w:ind w:left="0"/>
              <w:rPr>
                <w:rFonts w:cs="Calibri"/>
                <w:color w:val="000000"/>
                <w:szCs w:val="22"/>
              </w:rPr>
            </w:pPr>
            <w:r w:rsidRPr="00194F03">
              <w:rPr>
                <w:rFonts w:cs="Calibri"/>
                <w:color w:val="000000"/>
                <w:szCs w:val="22"/>
              </w:rPr>
              <w:t>Offline / Daily (M-F)</w:t>
            </w:r>
          </w:p>
        </w:tc>
        <w:tc>
          <w:tcPr>
            <w:tcW w:w="2430" w:type="dxa"/>
            <w:vAlign w:val="center"/>
          </w:tcPr>
          <w:p w14:paraId="5BF633BB" w14:textId="77777777" w:rsidR="00F12319" w:rsidRPr="00194F03" w:rsidRDefault="00F12319" w:rsidP="00F12319">
            <w:pPr>
              <w:ind w:left="0"/>
              <w:rPr>
                <w:rFonts w:cs="Calibri"/>
                <w:color w:val="000000"/>
                <w:szCs w:val="22"/>
              </w:rPr>
            </w:pPr>
            <w:r w:rsidRPr="00194F03">
              <w:rPr>
                <w:rFonts w:cs="Calibri"/>
                <w:color w:val="000000"/>
                <w:szCs w:val="22"/>
              </w:rPr>
              <w:t>Buc-ee</w:t>
            </w:r>
            <w:r>
              <w:rPr>
                <w:rFonts w:cs="Calibri"/>
                <w:color w:val="000000"/>
                <w:szCs w:val="22"/>
              </w:rPr>
              <w:t>’</w:t>
            </w:r>
            <w:r w:rsidRPr="00194F03">
              <w:rPr>
                <w:rFonts w:cs="Calibri"/>
                <w:color w:val="000000"/>
                <w:szCs w:val="22"/>
              </w:rPr>
              <w:t>s</w:t>
            </w:r>
          </w:p>
        </w:tc>
        <w:tc>
          <w:tcPr>
            <w:tcW w:w="2160" w:type="dxa"/>
            <w:vAlign w:val="center"/>
          </w:tcPr>
          <w:p w14:paraId="0F2B7B9B" w14:textId="77777777" w:rsidR="00F12319" w:rsidRPr="00194F03" w:rsidRDefault="00F12319" w:rsidP="00F12319">
            <w:pPr>
              <w:ind w:left="0"/>
              <w:rPr>
                <w:rFonts w:cs="Calibri"/>
                <w:color w:val="000000"/>
                <w:szCs w:val="22"/>
              </w:rPr>
            </w:pPr>
            <w:r w:rsidRPr="00194F03">
              <w:rPr>
                <w:rFonts w:cs="Calibri"/>
                <w:color w:val="000000"/>
                <w:szCs w:val="22"/>
              </w:rPr>
              <w:t xml:space="preserve">Form 8850 FTP </w:t>
            </w:r>
          </w:p>
        </w:tc>
        <w:tc>
          <w:tcPr>
            <w:tcW w:w="5760" w:type="dxa"/>
            <w:vAlign w:val="center"/>
          </w:tcPr>
          <w:p w14:paraId="1231A7A7" w14:textId="77777777" w:rsidR="00F12319" w:rsidRPr="00194F03" w:rsidRDefault="00F12319" w:rsidP="00F12319">
            <w:pPr>
              <w:ind w:left="0"/>
              <w:rPr>
                <w:rFonts w:cs="Calibri"/>
                <w:color w:val="000000"/>
                <w:szCs w:val="22"/>
              </w:rPr>
            </w:pPr>
            <w:r w:rsidRPr="00194F03">
              <w:rPr>
                <w:rFonts w:ascii="Arial" w:hAnsi="Arial" w:cs="Arial"/>
                <w:color w:val="000000"/>
                <w:szCs w:val="22"/>
              </w:rPr>
              <w:t>​</w:t>
            </w:r>
            <w:r w:rsidRPr="00194F03">
              <w:rPr>
                <w:rFonts w:cs="Calibri"/>
                <w:color w:val="000000"/>
                <w:szCs w:val="22"/>
              </w:rPr>
              <w:t>Secure transfer of data</w:t>
            </w:r>
          </w:p>
        </w:tc>
      </w:tr>
      <w:tr w:rsidR="00F12319" w14:paraId="61071F85" w14:textId="77777777" w:rsidTr="00EB23D7">
        <w:tc>
          <w:tcPr>
            <w:tcW w:w="877" w:type="dxa"/>
            <w:vAlign w:val="center"/>
          </w:tcPr>
          <w:p w14:paraId="1C6205D7" w14:textId="1437EE77" w:rsidR="00F12319" w:rsidRPr="003B41C6" w:rsidRDefault="00F12319" w:rsidP="00F12319">
            <w:pPr>
              <w:ind w:left="0"/>
              <w:jc w:val="center"/>
              <w:rPr>
                <w:rFonts w:cs="Calibri"/>
                <w:color w:val="000000"/>
                <w:szCs w:val="22"/>
              </w:rPr>
            </w:pPr>
            <w:r>
              <w:rPr>
                <w:color w:val="000000"/>
                <w:szCs w:val="22"/>
              </w:rPr>
              <w:t>9</w:t>
            </w:r>
          </w:p>
        </w:tc>
        <w:tc>
          <w:tcPr>
            <w:tcW w:w="1530" w:type="dxa"/>
            <w:vAlign w:val="center"/>
          </w:tcPr>
          <w:p w14:paraId="7786C0ED" w14:textId="77777777" w:rsidR="00F12319" w:rsidRPr="003B41C6" w:rsidRDefault="00F12319" w:rsidP="00F12319">
            <w:pPr>
              <w:ind w:left="0"/>
              <w:rPr>
                <w:rFonts w:cs="Calibri"/>
                <w:color w:val="000000"/>
                <w:szCs w:val="22"/>
              </w:rPr>
            </w:pPr>
            <w:r w:rsidRPr="003B41C6">
              <w:rPr>
                <w:rFonts w:cs="Calibri"/>
                <w:color w:val="000000"/>
                <w:szCs w:val="22"/>
              </w:rPr>
              <w:t>Send</w:t>
            </w:r>
          </w:p>
        </w:tc>
        <w:tc>
          <w:tcPr>
            <w:tcW w:w="1710" w:type="dxa"/>
            <w:vAlign w:val="center"/>
          </w:tcPr>
          <w:p w14:paraId="07A42A4E" w14:textId="77777777" w:rsidR="00F12319" w:rsidRPr="00194F03" w:rsidRDefault="00F12319" w:rsidP="00F12319">
            <w:pPr>
              <w:ind w:left="0"/>
              <w:rPr>
                <w:rFonts w:cs="Calibri"/>
                <w:color w:val="000000"/>
                <w:szCs w:val="22"/>
              </w:rPr>
            </w:pPr>
            <w:r w:rsidRPr="00194F03">
              <w:rPr>
                <w:rFonts w:cs="Calibri"/>
                <w:color w:val="000000"/>
                <w:szCs w:val="22"/>
              </w:rPr>
              <w:t>Offline / Quarterly</w:t>
            </w:r>
          </w:p>
        </w:tc>
        <w:tc>
          <w:tcPr>
            <w:tcW w:w="2430" w:type="dxa"/>
            <w:vAlign w:val="center"/>
          </w:tcPr>
          <w:p w14:paraId="3FF79C85" w14:textId="77777777" w:rsidR="00F12319" w:rsidRPr="00194F03" w:rsidRDefault="00F12319" w:rsidP="00F12319">
            <w:pPr>
              <w:ind w:left="0"/>
              <w:rPr>
                <w:rFonts w:cs="Calibri"/>
                <w:color w:val="000000"/>
                <w:szCs w:val="22"/>
              </w:rPr>
            </w:pPr>
            <w:r w:rsidRPr="00194F03">
              <w:rPr>
                <w:rFonts w:cs="Calibri"/>
                <w:color w:val="000000"/>
                <w:szCs w:val="22"/>
              </w:rPr>
              <w:t>Ceridian Payroll</w:t>
            </w:r>
          </w:p>
        </w:tc>
        <w:tc>
          <w:tcPr>
            <w:tcW w:w="2160" w:type="dxa"/>
            <w:vAlign w:val="center"/>
          </w:tcPr>
          <w:p w14:paraId="193C7E46" w14:textId="77777777" w:rsidR="00F12319" w:rsidRPr="00194F03" w:rsidRDefault="00F12319" w:rsidP="00F12319">
            <w:pPr>
              <w:ind w:left="0"/>
              <w:rPr>
                <w:rFonts w:cs="Calibri"/>
                <w:color w:val="000000"/>
                <w:szCs w:val="22"/>
              </w:rPr>
            </w:pPr>
            <w:r w:rsidRPr="00194F03">
              <w:rPr>
                <w:rFonts w:cs="Calibri"/>
                <w:color w:val="000000"/>
                <w:szCs w:val="22"/>
              </w:rPr>
              <w:t>C3 &amp; C4 Filing</w:t>
            </w:r>
          </w:p>
        </w:tc>
        <w:tc>
          <w:tcPr>
            <w:tcW w:w="5760" w:type="dxa"/>
            <w:vAlign w:val="center"/>
          </w:tcPr>
          <w:p w14:paraId="40C502BF" w14:textId="77777777" w:rsidR="00F12319" w:rsidRPr="00194F03" w:rsidRDefault="00F12319" w:rsidP="00F12319">
            <w:pPr>
              <w:ind w:left="0"/>
              <w:rPr>
                <w:rFonts w:cs="Calibri"/>
                <w:color w:val="000000"/>
                <w:szCs w:val="22"/>
              </w:rPr>
            </w:pPr>
            <w:r w:rsidRPr="00194F03">
              <w:rPr>
                <w:rFonts w:cs="Calibri"/>
                <w:color w:val="000000"/>
                <w:szCs w:val="22"/>
              </w:rPr>
              <w:t xml:space="preserve">To receive C3 &amp; C4 files via </w:t>
            </w:r>
            <w:r w:rsidRPr="008C2C58">
              <w:rPr>
                <w:rFonts w:cs="Arial"/>
                <w:snapToGrid w:val="0"/>
                <w:color w:val="000000"/>
                <w:szCs w:val="24"/>
              </w:rPr>
              <w:t>Secure File Transfer Protocol</w:t>
            </w:r>
            <w:r w:rsidRPr="00194F03">
              <w:rPr>
                <w:rFonts w:cs="Calibri"/>
                <w:color w:val="000000"/>
                <w:szCs w:val="22"/>
              </w:rPr>
              <w:t xml:space="preserve"> </w:t>
            </w:r>
            <w:r>
              <w:rPr>
                <w:rFonts w:cs="Calibri"/>
                <w:color w:val="000000"/>
                <w:szCs w:val="22"/>
              </w:rPr>
              <w:t>(</w:t>
            </w:r>
            <w:r w:rsidRPr="00194F03">
              <w:rPr>
                <w:rFonts w:cs="Calibri"/>
                <w:color w:val="000000"/>
                <w:szCs w:val="22"/>
              </w:rPr>
              <w:t>SFTP</w:t>
            </w:r>
            <w:r w:rsidRPr="00194F03">
              <w:rPr>
                <w:rFonts w:ascii="Arial" w:hAnsi="Arial" w:cs="Arial"/>
                <w:color w:val="000000"/>
                <w:szCs w:val="22"/>
              </w:rPr>
              <w:t>​</w:t>
            </w:r>
            <w:r>
              <w:rPr>
                <w:rFonts w:ascii="Arial" w:hAnsi="Arial" w:cs="Arial"/>
                <w:color w:val="000000"/>
                <w:szCs w:val="22"/>
              </w:rPr>
              <w:t>)</w:t>
            </w:r>
          </w:p>
        </w:tc>
      </w:tr>
      <w:tr w:rsidR="00F12319" w14:paraId="523BA063" w14:textId="77777777" w:rsidTr="00EB23D7">
        <w:tc>
          <w:tcPr>
            <w:tcW w:w="877" w:type="dxa"/>
            <w:vAlign w:val="center"/>
          </w:tcPr>
          <w:p w14:paraId="69510BC1" w14:textId="3962BF30" w:rsidR="00F12319" w:rsidRPr="003B41C6" w:rsidRDefault="00F12319" w:rsidP="00F12319">
            <w:pPr>
              <w:ind w:left="0"/>
              <w:jc w:val="center"/>
              <w:rPr>
                <w:rFonts w:cs="Calibri"/>
                <w:color w:val="000000"/>
                <w:szCs w:val="22"/>
              </w:rPr>
            </w:pPr>
            <w:r>
              <w:rPr>
                <w:szCs w:val="22"/>
              </w:rPr>
              <w:t>10</w:t>
            </w:r>
          </w:p>
        </w:tc>
        <w:tc>
          <w:tcPr>
            <w:tcW w:w="1530" w:type="dxa"/>
            <w:vAlign w:val="center"/>
          </w:tcPr>
          <w:p w14:paraId="653CCE2B" w14:textId="77777777" w:rsidR="00F12319" w:rsidRPr="003B41C6" w:rsidRDefault="00F12319" w:rsidP="00F12319">
            <w:pPr>
              <w:ind w:left="0"/>
              <w:rPr>
                <w:rFonts w:cs="Calibri"/>
                <w:color w:val="000000"/>
                <w:szCs w:val="22"/>
              </w:rPr>
            </w:pPr>
            <w:r w:rsidRPr="003B41C6">
              <w:rPr>
                <w:rFonts w:cs="Calibri"/>
                <w:color w:val="000000"/>
                <w:szCs w:val="22"/>
              </w:rPr>
              <w:t>Receive</w:t>
            </w:r>
          </w:p>
        </w:tc>
        <w:tc>
          <w:tcPr>
            <w:tcW w:w="1710" w:type="dxa"/>
            <w:vAlign w:val="center"/>
          </w:tcPr>
          <w:p w14:paraId="68BE2667" w14:textId="77777777" w:rsidR="00F12319" w:rsidRPr="00194F03" w:rsidRDefault="00F12319" w:rsidP="00F12319">
            <w:pPr>
              <w:ind w:left="0"/>
              <w:rPr>
                <w:rFonts w:cs="Calibri"/>
                <w:color w:val="000000"/>
                <w:szCs w:val="22"/>
              </w:rPr>
            </w:pPr>
            <w:r w:rsidRPr="00194F03">
              <w:rPr>
                <w:rFonts w:cs="Calibri"/>
                <w:color w:val="000000"/>
                <w:szCs w:val="22"/>
              </w:rPr>
              <w:t xml:space="preserve">Offline / </w:t>
            </w:r>
            <w:r>
              <w:rPr>
                <w:rFonts w:cs="Calibri"/>
                <w:color w:val="000000"/>
                <w:szCs w:val="22"/>
              </w:rPr>
              <w:t>Daily, Multiple Times</w:t>
            </w:r>
          </w:p>
        </w:tc>
        <w:tc>
          <w:tcPr>
            <w:tcW w:w="2430" w:type="dxa"/>
            <w:vAlign w:val="center"/>
          </w:tcPr>
          <w:p w14:paraId="61D43500" w14:textId="77777777" w:rsidR="00F12319" w:rsidRPr="00194F03" w:rsidRDefault="00F12319" w:rsidP="00F12319">
            <w:pPr>
              <w:ind w:left="0"/>
              <w:rPr>
                <w:rFonts w:cs="Calibri"/>
                <w:color w:val="000000"/>
                <w:szCs w:val="22"/>
              </w:rPr>
            </w:pPr>
            <w:r w:rsidRPr="00194F03">
              <w:rPr>
                <w:rFonts w:cs="Calibri"/>
                <w:color w:val="000000"/>
                <w:szCs w:val="22"/>
              </w:rPr>
              <w:t>COMPAS</w:t>
            </w:r>
          </w:p>
        </w:tc>
        <w:tc>
          <w:tcPr>
            <w:tcW w:w="2160" w:type="dxa"/>
            <w:vAlign w:val="center"/>
          </w:tcPr>
          <w:p w14:paraId="25023D4F" w14:textId="77777777" w:rsidR="00F12319" w:rsidRPr="00194F03" w:rsidRDefault="00F12319" w:rsidP="00F12319">
            <w:pPr>
              <w:ind w:left="0"/>
              <w:rPr>
                <w:rFonts w:cs="Calibri"/>
                <w:color w:val="000000"/>
                <w:szCs w:val="22"/>
              </w:rPr>
            </w:pPr>
            <w:r>
              <w:rPr>
                <w:rFonts w:cs="Calibri"/>
                <w:color w:val="000000"/>
                <w:szCs w:val="22"/>
              </w:rPr>
              <w:t>Tax Audit Upload</w:t>
            </w:r>
          </w:p>
        </w:tc>
        <w:tc>
          <w:tcPr>
            <w:tcW w:w="5760" w:type="dxa"/>
            <w:vAlign w:val="center"/>
          </w:tcPr>
          <w:p w14:paraId="61F6C049" w14:textId="77777777" w:rsidR="00F12319" w:rsidRPr="00194F03" w:rsidRDefault="00F12319" w:rsidP="00F12319">
            <w:pPr>
              <w:ind w:left="0"/>
              <w:rPr>
                <w:rFonts w:cs="Calibri"/>
                <w:color w:val="000000"/>
                <w:szCs w:val="22"/>
              </w:rPr>
            </w:pPr>
            <w:r>
              <w:rPr>
                <w:rFonts w:cs="Calibri"/>
                <w:color w:val="000000"/>
                <w:szCs w:val="22"/>
              </w:rPr>
              <w:t>Pass audit result transactions from the COMPAS system to mainframe batch process</w:t>
            </w:r>
          </w:p>
        </w:tc>
      </w:tr>
      <w:tr w:rsidR="00F12319" w14:paraId="16858259" w14:textId="77777777" w:rsidTr="00EB23D7">
        <w:tc>
          <w:tcPr>
            <w:tcW w:w="877" w:type="dxa"/>
            <w:vAlign w:val="center"/>
          </w:tcPr>
          <w:p w14:paraId="5484D712" w14:textId="5E4AD0F8" w:rsidR="00F12319" w:rsidRPr="003B41C6" w:rsidRDefault="00F12319" w:rsidP="00F12319">
            <w:pPr>
              <w:ind w:left="0"/>
              <w:jc w:val="center"/>
              <w:rPr>
                <w:rFonts w:cs="Calibri"/>
                <w:color w:val="000000"/>
                <w:szCs w:val="22"/>
              </w:rPr>
            </w:pPr>
            <w:r>
              <w:rPr>
                <w:color w:val="000000"/>
                <w:szCs w:val="22"/>
              </w:rPr>
              <w:t>11</w:t>
            </w:r>
          </w:p>
        </w:tc>
        <w:tc>
          <w:tcPr>
            <w:tcW w:w="1530" w:type="dxa"/>
            <w:vAlign w:val="center"/>
          </w:tcPr>
          <w:p w14:paraId="073BB6F8" w14:textId="77777777" w:rsidR="00F12319" w:rsidRPr="003B41C6" w:rsidRDefault="00F12319" w:rsidP="00F12319">
            <w:pPr>
              <w:ind w:left="0"/>
              <w:rPr>
                <w:rFonts w:cs="Calibri"/>
                <w:color w:val="000000"/>
                <w:szCs w:val="22"/>
              </w:rPr>
            </w:pPr>
            <w:r w:rsidRPr="003B41C6">
              <w:rPr>
                <w:rFonts w:cs="Calibri"/>
                <w:color w:val="000000"/>
                <w:szCs w:val="22"/>
              </w:rPr>
              <w:t>Receive</w:t>
            </w:r>
          </w:p>
        </w:tc>
        <w:tc>
          <w:tcPr>
            <w:tcW w:w="1710" w:type="dxa"/>
            <w:vAlign w:val="center"/>
          </w:tcPr>
          <w:p w14:paraId="18E6EB03" w14:textId="77777777" w:rsidR="00F12319" w:rsidRPr="00194F03" w:rsidRDefault="00F12319" w:rsidP="00F12319">
            <w:pPr>
              <w:ind w:left="0"/>
              <w:rPr>
                <w:rFonts w:cs="Calibri"/>
                <w:color w:val="000000"/>
                <w:szCs w:val="22"/>
              </w:rPr>
            </w:pPr>
            <w:r w:rsidRPr="00194F03">
              <w:rPr>
                <w:rFonts w:cs="Calibri"/>
                <w:color w:val="000000"/>
                <w:szCs w:val="22"/>
              </w:rPr>
              <w:t>Offline / Quarterly</w:t>
            </w:r>
          </w:p>
        </w:tc>
        <w:tc>
          <w:tcPr>
            <w:tcW w:w="2430" w:type="dxa"/>
            <w:vAlign w:val="center"/>
          </w:tcPr>
          <w:p w14:paraId="6DD29E4A" w14:textId="77777777" w:rsidR="00F12319" w:rsidRPr="00194F03" w:rsidRDefault="00F12319" w:rsidP="00F12319">
            <w:pPr>
              <w:ind w:left="0"/>
              <w:rPr>
                <w:rFonts w:cs="Calibri"/>
                <w:color w:val="000000"/>
                <w:szCs w:val="22"/>
              </w:rPr>
            </w:pPr>
            <w:r w:rsidRPr="00194F03">
              <w:rPr>
                <w:rFonts w:cs="Calibri"/>
                <w:color w:val="000000"/>
                <w:szCs w:val="22"/>
              </w:rPr>
              <w:t>Compupay</w:t>
            </w:r>
          </w:p>
        </w:tc>
        <w:tc>
          <w:tcPr>
            <w:tcW w:w="2160" w:type="dxa"/>
            <w:vAlign w:val="center"/>
          </w:tcPr>
          <w:p w14:paraId="440F72AC" w14:textId="77777777" w:rsidR="00F12319" w:rsidRPr="00194F03" w:rsidRDefault="00F12319" w:rsidP="00F12319">
            <w:pPr>
              <w:ind w:left="0"/>
              <w:rPr>
                <w:rFonts w:cs="Calibri"/>
                <w:color w:val="000000"/>
                <w:szCs w:val="22"/>
              </w:rPr>
            </w:pPr>
            <w:r w:rsidRPr="00194F03">
              <w:rPr>
                <w:rFonts w:cs="Calibri"/>
                <w:color w:val="000000"/>
                <w:szCs w:val="22"/>
              </w:rPr>
              <w:t>C3 &amp; C4 Filing</w:t>
            </w:r>
          </w:p>
        </w:tc>
        <w:tc>
          <w:tcPr>
            <w:tcW w:w="5760" w:type="dxa"/>
            <w:vAlign w:val="center"/>
          </w:tcPr>
          <w:p w14:paraId="1FAEF8A5" w14:textId="77777777" w:rsidR="00F12319" w:rsidRPr="00194F03" w:rsidRDefault="00F12319" w:rsidP="00F12319">
            <w:pPr>
              <w:ind w:left="0"/>
              <w:rPr>
                <w:rFonts w:cs="Calibri"/>
                <w:color w:val="000000"/>
                <w:szCs w:val="22"/>
              </w:rPr>
            </w:pPr>
            <w:r w:rsidRPr="00194F03">
              <w:rPr>
                <w:rFonts w:cs="Calibri"/>
                <w:color w:val="000000"/>
                <w:szCs w:val="22"/>
              </w:rPr>
              <w:t xml:space="preserve">Receives </w:t>
            </w:r>
            <w:r w:rsidRPr="003D2D23">
              <w:rPr>
                <w:rFonts w:cs="Calibri"/>
                <w:color w:val="000000"/>
                <w:szCs w:val="22"/>
              </w:rPr>
              <w:t>one (1)</w:t>
            </w:r>
            <w:r>
              <w:rPr>
                <w:rFonts w:cs="Calibri"/>
                <w:color w:val="000000"/>
                <w:szCs w:val="22"/>
              </w:rPr>
              <w:t xml:space="preserve"> </w:t>
            </w:r>
            <w:r w:rsidRPr="00194F03">
              <w:rPr>
                <w:rFonts w:cs="Calibri"/>
                <w:color w:val="000000"/>
                <w:szCs w:val="22"/>
              </w:rPr>
              <w:t>file</w:t>
            </w:r>
          </w:p>
        </w:tc>
      </w:tr>
      <w:tr w:rsidR="00F12319" w14:paraId="3A0D7256" w14:textId="77777777" w:rsidTr="00EB23D7">
        <w:tc>
          <w:tcPr>
            <w:tcW w:w="877" w:type="dxa"/>
            <w:vAlign w:val="center"/>
          </w:tcPr>
          <w:p w14:paraId="1AE650D9" w14:textId="5DEA002F" w:rsidR="00F12319" w:rsidRPr="00CC5DCF" w:rsidRDefault="00F12319" w:rsidP="00F12319">
            <w:pPr>
              <w:ind w:left="0"/>
              <w:jc w:val="center"/>
            </w:pPr>
            <w:r>
              <w:rPr>
                <w:szCs w:val="22"/>
              </w:rPr>
              <w:t>12</w:t>
            </w:r>
          </w:p>
        </w:tc>
        <w:tc>
          <w:tcPr>
            <w:tcW w:w="1530" w:type="dxa"/>
            <w:vAlign w:val="center"/>
          </w:tcPr>
          <w:p w14:paraId="10B8575F" w14:textId="77777777" w:rsidR="00F12319" w:rsidRPr="00CC5DCF" w:rsidRDefault="00F12319" w:rsidP="00F12319">
            <w:pPr>
              <w:ind w:left="0"/>
            </w:pPr>
            <w:r w:rsidRPr="00CC5DCF">
              <w:rPr>
                <w:rFonts w:cs="Calibri"/>
                <w:color w:val="000000"/>
                <w:szCs w:val="22"/>
              </w:rPr>
              <w:t>Send</w:t>
            </w:r>
          </w:p>
        </w:tc>
        <w:tc>
          <w:tcPr>
            <w:tcW w:w="1710" w:type="dxa"/>
            <w:vAlign w:val="center"/>
          </w:tcPr>
          <w:p w14:paraId="0AFC9661" w14:textId="77777777" w:rsidR="00F12319" w:rsidRPr="00CC5DCF" w:rsidRDefault="00F12319" w:rsidP="00F12319">
            <w:pPr>
              <w:ind w:left="0"/>
            </w:pPr>
            <w:r w:rsidRPr="00CC5DCF">
              <w:rPr>
                <w:rFonts w:cs="Calibri"/>
                <w:color w:val="000000"/>
                <w:szCs w:val="22"/>
              </w:rPr>
              <w:t>Offline / Quarterly</w:t>
            </w:r>
          </w:p>
        </w:tc>
        <w:tc>
          <w:tcPr>
            <w:tcW w:w="2430" w:type="dxa"/>
            <w:vAlign w:val="center"/>
          </w:tcPr>
          <w:p w14:paraId="1721C9ED" w14:textId="77777777" w:rsidR="00F12319" w:rsidRPr="00CC5DCF" w:rsidRDefault="00F12319" w:rsidP="00F12319">
            <w:pPr>
              <w:ind w:left="0"/>
            </w:pPr>
            <w:r>
              <w:rPr>
                <w:rFonts w:cs="Calibri"/>
                <w:color w:val="000000"/>
                <w:szCs w:val="22"/>
              </w:rPr>
              <w:t>Conduent, Inc.</w:t>
            </w:r>
          </w:p>
        </w:tc>
        <w:tc>
          <w:tcPr>
            <w:tcW w:w="2160" w:type="dxa"/>
            <w:vAlign w:val="center"/>
          </w:tcPr>
          <w:p w14:paraId="064C55E7" w14:textId="77777777" w:rsidR="00F12319" w:rsidRPr="00CC5DCF" w:rsidRDefault="00F12319" w:rsidP="00F12319">
            <w:pPr>
              <w:ind w:left="0"/>
            </w:pPr>
            <w:r w:rsidRPr="00CC5DCF">
              <w:rPr>
                <w:rFonts w:cs="Calibri"/>
                <w:color w:val="000000"/>
                <w:szCs w:val="22"/>
              </w:rPr>
              <w:t xml:space="preserve">Wage Record SSN's (6 </w:t>
            </w:r>
            <w:r>
              <w:rPr>
                <w:rFonts w:cs="Calibri"/>
                <w:color w:val="000000"/>
                <w:szCs w:val="22"/>
              </w:rPr>
              <w:t>quarters</w:t>
            </w:r>
            <w:r w:rsidRPr="00CC5DCF">
              <w:rPr>
                <w:rFonts w:cs="Calibri"/>
                <w:color w:val="000000"/>
                <w:szCs w:val="22"/>
              </w:rPr>
              <w:t>) WRIS DDBI</w:t>
            </w:r>
          </w:p>
        </w:tc>
        <w:tc>
          <w:tcPr>
            <w:tcW w:w="5760" w:type="dxa"/>
            <w:vAlign w:val="center"/>
          </w:tcPr>
          <w:p w14:paraId="3988395D" w14:textId="77777777" w:rsidR="00F12319" w:rsidRPr="00CC5DCF" w:rsidRDefault="00F12319" w:rsidP="00F12319">
            <w:pPr>
              <w:ind w:left="0"/>
            </w:pPr>
            <w:r w:rsidRPr="00CC5DCF">
              <w:rPr>
                <w:rFonts w:cs="Calibri"/>
                <w:color w:val="000000"/>
                <w:szCs w:val="22"/>
              </w:rPr>
              <w:t xml:space="preserve">Contract </w:t>
            </w:r>
          </w:p>
        </w:tc>
      </w:tr>
      <w:tr w:rsidR="00F12319" w14:paraId="21142925" w14:textId="77777777" w:rsidTr="00EB23D7">
        <w:tc>
          <w:tcPr>
            <w:tcW w:w="877" w:type="dxa"/>
            <w:vAlign w:val="center"/>
          </w:tcPr>
          <w:p w14:paraId="30E82702" w14:textId="6577259B" w:rsidR="00F12319" w:rsidRPr="003B41C6" w:rsidRDefault="00F12319" w:rsidP="00F12319">
            <w:pPr>
              <w:ind w:left="0"/>
              <w:jc w:val="center"/>
              <w:rPr>
                <w:rFonts w:cs="Calibri"/>
                <w:color w:val="000000"/>
                <w:szCs w:val="22"/>
              </w:rPr>
            </w:pPr>
            <w:r>
              <w:rPr>
                <w:color w:val="000000"/>
                <w:szCs w:val="22"/>
              </w:rPr>
              <w:t>13</w:t>
            </w:r>
          </w:p>
        </w:tc>
        <w:tc>
          <w:tcPr>
            <w:tcW w:w="1530" w:type="dxa"/>
            <w:vAlign w:val="center"/>
          </w:tcPr>
          <w:p w14:paraId="552D426E" w14:textId="77777777" w:rsidR="00F12319" w:rsidRPr="003B41C6" w:rsidRDefault="00F12319" w:rsidP="00F12319">
            <w:pPr>
              <w:ind w:left="0"/>
              <w:rPr>
                <w:rFonts w:cs="Calibri"/>
                <w:color w:val="000000"/>
                <w:szCs w:val="22"/>
              </w:rPr>
            </w:pPr>
            <w:r w:rsidRPr="003B41C6">
              <w:rPr>
                <w:rFonts w:cs="Calibri"/>
                <w:color w:val="000000"/>
                <w:szCs w:val="22"/>
              </w:rPr>
              <w:t>Send</w:t>
            </w:r>
          </w:p>
        </w:tc>
        <w:tc>
          <w:tcPr>
            <w:tcW w:w="1710" w:type="dxa"/>
            <w:vAlign w:val="center"/>
          </w:tcPr>
          <w:p w14:paraId="445A5379" w14:textId="77777777" w:rsidR="00F12319" w:rsidRPr="00194F03" w:rsidRDefault="00F12319" w:rsidP="00F12319">
            <w:pPr>
              <w:ind w:left="0"/>
              <w:rPr>
                <w:rFonts w:cs="Calibri"/>
                <w:color w:val="000000"/>
                <w:szCs w:val="22"/>
              </w:rPr>
            </w:pPr>
            <w:r>
              <w:rPr>
                <w:rFonts w:cs="Calibri"/>
                <w:color w:val="000000"/>
                <w:szCs w:val="22"/>
              </w:rPr>
              <w:t>Offline / Annual</w:t>
            </w:r>
          </w:p>
        </w:tc>
        <w:tc>
          <w:tcPr>
            <w:tcW w:w="2430" w:type="dxa"/>
            <w:vAlign w:val="center"/>
          </w:tcPr>
          <w:p w14:paraId="584116CE" w14:textId="77777777" w:rsidR="00F12319" w:rsidRPr="00194F03" w:rsidRDefault="00F12319" w:rsidP="00F12319">
            <w:pPr>
              <w:ind w:left="0"/>
              <w:rPr>
                <w:rFonts w:cs="Calibri"/>
                <w:color w:val="000000"/>
                <w:szCs w:val="22"/>
              </w:rPr>
            </w:pPr>
            <w:r>
              <w:rPr>
                <w:rFonts w:cs="Calibri"/>
                <w:color w:val="000000"/>
                <w:szCs w:val="22"/>
              </w:rPr>
              <w:t>DOL SPARCstation</w:t>
            </w:r>
          </w:p>
        </w:tc>
        <w:tc>
          <w:tcPr>
            <w:tcW w:w="2160" w:type="dxa"/>
            <w:vAlign w:val="center"/>
          </w:tcPr>
          <w:p w14:paraId="5414D279" w14:textId="77777777" w:rsidR="00F12319" w:rsidRPr="00194F03" w:rsidRDefault="00F12319" w:rsidP="00F12319">
            <w:pPr>
              <w:ind w:left="0"/>
              <w:rPr>
                <w:rFonts w:cs="Calibri"/>
                <w:color w:val="000000"/>
                <w:szCs w:val="22"/>
              </w:rPr>
            </w:pPr>
            <w:r w:rsidRPr="00194F03">
              <w:rPr>
                <w:rFonts w:cs="Calibri"/>
                <w:color w:val="000000"/>
                <w:szCs w:val="22"/>
              </w:rPr>
              <w:t xml:space="preserve">Annual </w:t>
            </w:r>
            <w:r>
              <w:rPr>
                <w:rFonts w:cs="Calibri"/>
                <w:color w:val="000000"/>
                <w:szCs w:val="22"/>
              </w:rPr>
              <w:t xml:space="preserve">Domestics </w:t>
            </w:r>
            <w:r w:rsidRPr="00194F03">
              <w:rPr>
                <w:rFonts w:cs="Calibri"/>
                <w:color w:val="000000"/>
                <w:szCs w:val="22"/>
              </w:rPr>
              <w:t>Rates Job</w:t>
            </w:r>
          </w:p>
        </w:tc>
        <w:tc>
          <w:tcPr>
            <w:tcW w:w="5760" w:type="dxa"/>
            <w:vAlign w:val="center"/>
          </w:tcPr>
          <w:p w14:paraId="3DDB4C8A" w14:textId="77777777" w:rsidR="00F12319" w:rsidRPr="00194F03" w:rsidRDefault="00F12319" w:rsidP="00F12319">
            <w:pPr>
              <w:ind w:left="0"/>
              <w:rPr>
                <w:rFonts w:cs="Calibri"/>
                <w:color w:val="000000"/>
                <w:szCs w:val="22"/>
              </w:rPr>
            </w:pPr>
            <w:r>
              <w:rPr>
                <w:rFonts w:cs="Calibri"/>
                <w:color w:val="000000"/>
                <w:szCs w:val="22"/>
              </w:rPr>
              <w:t>ES204 data for DOL</w:t>
            </w:r>
            <w:r>
              <w:rPr>
                <w:rFonts w:cs="Calibri"/>
                <w:color w:val="000000"/>
                <w:szCs w:val="22"/>
              </w:rPr>
              <w:br/>
              <w:t>TXAR0300/305</w:t>
            </w:r>
          </w:p>
        </w:tc>
      </w:tr>
      <w:tr w:rsidR="00F12319" w14:paraId="606A93AD" w14:textId="77777777" w:rsidTr="00EB23D7">
        <w:tc>
          <w:tcPr>
            <w:tcW w:w="877" w:type="dxa"/>
            <w:vAlign w:val="center"/>
          </w:tcPr>
          <w:p w14:paraId="1D7B3035" w14:textId="12AE9EAE" w:rsidR="00F12319" w:rsidRPr="003B41C6" w:rsidRDefault="00F12319" w:rsidP="00F12319">
            <w:pPr>
              <w:ind w:left="0"/>
              <w:jc w:val="center"/>
              <w:rPr>
                <w:rFonts w:cs="Calibri"/>
                <w:color w:val="000000"/>
                <w:szCs w:val="22"/>
              </w:rPr>
            </w:pPr>
            <w:r>
              <w:rPr>
                <w:szCs w:val="22"/>
              </w:rPr>
              <w:t>14</w:t>
            </w:r>
          </w:p>
        </w:tc>
        <w:tc>
          <w:tcPr>
            <w:tcW w:w="1530" w:type="dxa"/>
            <w:vAlign w:val="center"/>
          </w:tcPr>
          <w:p w14:paraId="19F52AD6" w14:textId="77777777" w:rsidR="00F12319" w:rsidRPr="003B41C6" w:rsidRDefault="00F12319" w:rsidP="00F12319">
            <w:pPr>
              <w:ind w:left="0"/>
              <w:rPr>
                <w:rFonts w:cs="Calibri"/>
                <w:color w:val="000000"/>
                <w:szCs w:val="22"/>
              </w:rPr>
            </w:pPr>
            <w:r w:rsidRPr="003B41C6">
              <w:rPr>
                <w:rFonts w:cs="Calibri"/>
                <w:color w:val="000000"/>
                <w:szCs w:val="22"/>
              </w:rPr>
              <w:t>Send</w:t>
            </w:r>
          </w:p>
        </w:tc>
        <w:tc>
          <w:tcPr>
            <w:tcW w:w="1710" w:type="dxa"/>
            <w:vAlign w:val="center"/>
          </w:tcPr>
          <w:p w14:paraId="6D791574" w14:textId="77777777" w:rsidR="00F12319" w:rsidRPr="00194F03" w:rsidRDefault="00F12319" w:rsidP="00F12319">
            <w:pPr>
              <w:ind w:left="0"/>
              <w:rPr>
                <w:rFonts w:cs="Calibri"/>
                <w:color w:val="000000"/>
                <w:szCs w:val="22"/>
              </w:rPr>
            </w:pPr>
            <w:r w:rsidRPr="00194F03">
              <w:rPr>
                <w:rFonts w:cs="Calibri"/>
                <w:color w:val="000000"/>
                <w:szCs w:val="22"/>
              </w:rPr>
              <w:t>Offline / Quarterly</w:t>
            </w:r>
          </w:p>
        </w:tc>
        <w:tc>
          <w:tcPr>
            <w:tcW w:w="2430" w:type="dxa"/>
            <w:vAlign w:val="center"/>
          </w:tcPr>
          <w:p w14:paraId="5938E871" w14:textId="77777777" w:rsidR="00F12319" w:rsidRPr="00194F03" w:rsidRDefault="00F12319" w:rsidP="00F12319">
            <w:pPr>
              <w:ind w:left="0"/>
              <w:rPr>
                <w:rFonts w:cs="Calibri"/>
                <w:color w:val="000000"/>
                <w:szCs w:val="22"/>
              </w:rPr>
            </w:pPr>
            <w:r>
              <w:rPr>
                <w:rFonts w:cs="Calibri"/>
                <w:color w:val="000000"/>
                <w:szCs w:val="22"/>
              </w:rPr>
              <w:t>DOL SPARCstation</w:t>
            </w:r>
          </w:p>
        </w:tc>
        <w:tc>
          <w:tcPr>
            <w:tcW w:w="2160" w:type="dxa"/>
            <w:vAlign w:val="center"/>
          </w:tcPr>
          <w:p w14:paraId="773A2711" w14:textId="77777777" w:rsidR="00F12319" w:rsidRPr="00194F03" w:rsidRDefault="00F12319" w:rsidP="00F12319">
            <w:pPr>
              <w:ind w:left="0"/>
              <w:rPr>
                <w:rFonts w:cs="Calibri"/>
                <w:color w:val="000000"/>
                <w:szCs w:val="22"/>
              </w:rPr>
            </w:pPr>
            <w:r>
              <w:rPr>
                <w:rFonts w:cs="Calibri"/>
                <w:color w:val="000000"/>
                <w:szCs w:val="22"/>
              </w:rPr>
              <w:t xml:space="preserve">ETA </w:t>
            </w:r>
            <w:r w:rsidRPr="00194F03">
              <w:rPr>
                <w:rFonts w:cs="Calibri"/>
                <w:color w:val="000000"/>
                <w:szCs w:val="22"/>
              </w:rPr>
              <w:t>581 data for DOL</w:t>
            </w:r>
          </w:p>
        </w:tc>
        <w:tc>
          <w:tcPr>
            <w:tcW w:w="5760" w:type="dxa"/>
            <w:vAlign w:val="center"/>
          </w:tcPr>
          <w:p w14:paraId="0CF9A639" w14:textId="77777777" w:rsidR="00F12319" w:rsidRPr="00194F03" w:rsidRDefault="00F12319" w:rsidP="00F12319">
            <w:pPr>
              <w:ind w:left="0"/>
              <w:rPr>
                <w:rFonts w:cs="Calibri"/>
                <w:color w:val="000000"/>
                <w:szCs w:val="22"/>
              </w:rPr>
            </w:pPr>
            <w:r>
              <w:rPr>
                <w:rFonts w:cs="Calibri"/>
                <w:color w:val="000000"/>
                <w:szCs w:val="22"/>
              </w:rPr>
              <w:t xml:space="preserve">Uploads ETA </w:t>
            </w:r>
            <w:r w:rsidRPr="00194F03">
              <w:rPr>
                <w:rFonts w:cs="Calibri"/>
                <w:color w:val="000000"/>
                <w:szCs w:val="22"/>
              </w:rPr>
              <w:t xml:space="preserve">581 </w:t>
            </w:r>
            <w:r>
              <w:rPr>
                <w:rFonts w:cs="Calibri"/>
                <w:color w:val="000000"/>
                <w:szCs w:val="22"/>
              </w:rPr>
              <w:t xml:space="preserve">data file to </w:t>
            </w:r>
            <w:r w:rsidRPr="00194F03">
              <w:rPr>
                <w:rFonts w:cs="Calibri"/>
                <w:color w:val="000000"/>
                <w:szCs w:val="22"/>
              </w:rPr>
              <w:t xml:space="preserve">DOL </w:t>
            </w:r>
            <w:r>
              <w:rPr>
                <w:rFonts w:cs="Calibri"/>
                <w:color w:val="000000"/>
                <w:szCs w:val="22"/>
              </w:rPr>
              <w:t xml:space="preserve">SPARCstation </w:t>
            </w:r>
            <w:r>
              <w:rPr>
                <w:rFonts w:cs="Calibri"/>
                <w:color w:val="000000"/>
                <w:szCs w:val="22"/>
              </w:rPr>
              <w:br/>
              <w:t>TXQT0004</w:t>
            </w:r>
          </w:p>
        </w:tc>
      </w:tr>
      <w:tr w:rsidR="00F12319" w14:paraId="1B3091F1" w14:textId="77777777" w:rsidTr="00EB23D7">
        <w:tc>
          <w:tcPr>
            <w:tcW w:w="877" w:type="dxa"/>
            <w:vAlign w:val="center"/>
          </w:tcPr>
          <w:p w14:paraId="73B02BD0" w14:textId="331BD9B2" w:rsidR="00F12319" w:rsidRPr="003B41C6" w:rsidRDefault="00F12319" w:rsidP="00F12319">
            <w:pPr>
              <w:ind w:left="0"/>
              <w:jc w:val="center"/>
              <w:rPr>
                <w:rFonts w:cs="Calibri"/>
                <w:color w:val="000000"/>
                <w:szCs w:val="22"/>
              </w:rPr>
            </w:pPr>
            <w:r>
              <w:rPr>
                <w:color w:val="000000"/>
                <w:szCs w:val="22"/>
              </w:rPr>
              <w:t>15</w:t>
            </w:r>
          </w:p>
        </w:tc>
        <w:tc>
          <w:tcPr>
            <w:tcW w:w="1530" w:type="dxa"/>
            <w:vAlign w:val="center"/>
          </w:tcPr>
          <w:p w14:paraId="488DADD8" w14:textId="77777777" w:rsidR="00F12319" w:rsidRPr="00E5198F" w:rsidRDefault="00F12319" w:rsidP="00F12319">
            <w:pPr>
              <w:ind w:left="0"/>
              <w:rPr>
                <w:rFonts w:cs="Calibri"/>
                <w:color w:val="000000"/>
                <w:szCs w:val="22"/>
              </w:rPr>
            </w:pPr>
            <w:r w:rsidRPr="00E5198F">
              <w:rPr>
                <w:rFonts w:cs="Calibri"/>
                <w:color w:val="000000"/>
                <w:szCs w:val="22"/>
              </w:rPr>
              <w:t>Receive</w:t>
            </w:r>
          </w:p>
        </w:tc>
        <w:tc>
          <w:tcPr>
            <w:tcW w:w="1710" w:type="dxa"/>
            <w:vAlign w:val="center"/>
          </w:tcPr>
          <w:p w14:paraId="7E5304DE" w14:textId="77777777" w:rsidR="00F12319" w:rsidRPr="00E5198F" w:rsidRDefault="00F12319" w:rsidP="00F12319">
            <w:pPr>
              <w:ind w:left="0"/>
              <w:rPr>
                <w:rFonts w:cs="Calibri"/>
                <w:color w:val="000000"/>
                <w:szCs w:val="22"/>
              </w:rPr>
            </w:pPr>
            <w:r w:rsidRPr="00E5198F">
              <w:rPr>
                <w:rFonts w:cs="Calibri"/>
                <w:color w:val="000000"/>
                <w:szCs w:val="22"/>
              </w:rPr>
              <w:t>Offline / Daily</w:t>
            </w:r>
          </w:p>
        </w:tc>
        <w:tc>
          <w:tcPr>
            <w:tcW w:w="2430" w:type="dxa"/>
            <w:vAlign w:val="center"/>
          </w:tcPr>
          <w:p w14:paraId="51EEAAD7" w14:textId="77777777" w:rsidR="00F12319" w:rsidRPr="00E5198F" w:rsidRDefault="00F12319" w:rsidP="00F12319">
            <w:pPr>
              <w:ind w:left="0"/>
              <w:rPr>
                <w:rFonts w:cs="Calibri"/>
                <w:color w:val="000000"/>
                <w:szCs w:val="22"/>
              </w:rPr>
            </w:pPr>
            <w:r w:rsidRPr="00E5198F">
              <w:rPr>
                <w:rFonts w:cs="Calibri"/>
                <w:color w:val="000000"/>
                <w:szCs w:val="22"/>
              </w:rPr>
              <w:t>Efficient Forms</w:t>
            </w:r>
          </w:p>
        </w:tc>
        <w:tc>
          <w:tcPr>
            <w:tcW w:w="2160" w:type="dxa"/>
            <w:vAlign w:val="center"/>
          </w:tcPr>
          <w:p w14:paraId="4C1CCD0D" w14:textId="77777777" w:rsidR="00F12319" w:rsidRPr="00E5198F" w:rsidRDefault="00F12319" w:rsidP="00F12319">
            <w:pPr>
              <w:ind w:left="0"/>
              <w:rPr>
                <w:rFonts w:cs="Calibri"/>
                <w:color w:val="000000"/>
                <w:szCs w:val="22"/>
              </w:rPr>
            </w:pPr>
            <w:r w:rsidRPr="00E5198F">
              <w:rPr>
                <w:rFonts w:cs="Calibri"/>
                <w:color w:val="000000"/>
                <w:szCs w:val="22"/>
              </w:rPr>
              <w:t>Form 8850 FTP</w:t>
            </w:r>
          </w:p>
        </w:tc>
        <w:tc>
          <w:tcPr>
            <w:tcW w:w="5760" w:type="dxa"/>
            <w:vAlign w:val="center"/>
          </w:tcPr>
          <w:p w14:paraId="07F3487D" w14:textId="77777777" w:rsidR="00F12319" w:rsidRPr="00E5198F" w:rsidRDefault="00F12319" w:rsidP="00F12319">
            <w:pPr>
              <w:ind w:left="0"/>
              <w:rPr>
                <w:rFonts w:cs="Calibri"/>
                <w:color w:val="000000"/>
                <w:szCs w:val="22"/>
              </w:rPr>
            </w:pPr>
            <w:r w:rsidRPr="00E5198F">
              <w:rPr>
                <w:rFonts w:ascii="Arial" w:hAnsi="Arial" w:cs="Arial"/>
                <w:color w:val="000000"/>
                <w:szCs w:val="22"/>
              </w:rPr>
              <w:t>​</w:t>
            </w:r>
            <w:r w:rsidRPr="00E5198F">
              <w:rPr>
                <w:rFonts w:cs="Calibri"/>
                <w:color w:val="000000"/>
                <w:szCs w:val="22"/>
              </w:rPr>
              <w:t>Secure transfer of data</w:t>
            </w:r>
          </w:p>
        </w:tc>
      </w:tr>
      <w:tr w:rsidR="00F12319" w14:paraId="74386FFD" w14:textId="77777777" w:rsidTr="00EB23D7">
        <w:tc>
          <w:tcPr>
            <w:tcW w:w="877" w:type="dxa"/>
            <w:vAlign w:val="center"/>
          </w:tcPr>
          <w:p w14:paraId="315B9CAC" w14:textId="6A41DA43" w:rsidR="00F12319" w:rsidRPr="003B41C6" w:rsidRDefault="00F12319" w:rsidP="00F12319">
            <w:pPr>
              <w:ind w:left="0"/>
              <w:jc w:val="center"/>
              <w:rPr>
                <w:rFonts w:cs="Calibri"/>
                <w:color w:val="000000"/>
                <w:szCs w:val="22"/>
              </w:rPr>
            </w:pPr>
            <w:r>
              <w:rPr>
                <w:szCs w:val="22"/>
              </w:rPr>
              <w:t>16</w:t>
            </w:r>
          </w:p>
        </w:tc>
        <w:tc>
          <w:tcPr>
            <w:tcW w:w="1530" w:type="dxa"/>
            <w:vAlign w:val="center"/>
          </w:tcPr>
          <w:p w14:paraId="22964F53" w14:textId="77777777" w:rsidR="00F12319" w:rsidRPr="00E5198F" w:rsidRDefault="00F12319" w:rsidP="00F12319">
            <w:pPr>
              <w:ind w:left="0"/>
              <w:rPr>
                <w:rFonts w:cs="Calibri"/>
                <w:color w:val="000000"/>
                <w:szCs w:val="22"/>
              </w:rPr>
            </w:pPr>
            <w:r w:rsidRPr="00E5198F">
              <w:rPr>
                <w:rFonts w:cs="Calibri"/>
                <w:color w:val="000000"/>
                <w:szCs w:val="22"/>
              </w:rPr>
              <w:t>Receive</w:t>
            </w:r>
          </w:p>
        </w:tc>
        <w:tc>
          <w:tcPr>
            <w:tcW w:w="1710" w:type="dxa"/>
            <w:vAlign w:val="center"/>
          </w:tcPr>
          <w:p w14:paraId="7B6DD8A6" w14:textId="77777777" w:rsidR="00F12319" w:rsidRPr="00E5198F" w:rsidRDefault="00F12319" w:rsidP="00F12319">
            <w:pPr>
              <w:ind w:left="0"/>
              <w:rPr>
                <w:rFonts w:cs="Calibri"/>
                <w:color w:val="000000"/>
                <w:szCs w:val="22"/>
              </w:rPr>
            </w:pPr>
            <w:r w:rsidRPr="00E5198F">
              <w:rPr>
                <w:rFonts w:cs="Calibri"/>
                <w:color w:val="000000"/>
                <w:szCs w:val="22"/>
              </w:rPr>
              <w:t>Offline / Quarterly</w:t>
            </w:r>
          </w:p>
        </w:tc>
        <w:tc>
          <w:tcPr>
            <w:tcW w:w="2430" w:type="dxa"/>
            <w:vAlign w:val="center"/>
          </w:tcPr>
          <w:p w14:paraId="401D4CAB" w14:textId="77777777" w:rsidR="00F12319" w:rsidRPr="00E5198F" w:rsidRDefault="00F12319" w:rsidP="00F12319">
            <w:pPr>
              <w:ind w:left="0"/>
              <w:rPr>
                <w:rFonts w:cs="Calibri"/>
                <w:color w:val="000000"/>
                <w:szCs w:val="22"/>
              </w:rPr>
            </w:pPr>
            <w:r w:rsidRPr="00E5198F">
              <w:rPr>
                <w:rFonts w:cs="Calibri"/>
                <w:color w:val="000000"/>
                <w:szCs w:val="22"/>
              </w:rPr>
              <w:t>Employers Edge</w:t>
            </w:r>
          </w:p>
        </w:tc>
        <w:tc>
          <w:tcPr>
            <w:tcW w:w="2160" w:type="dxa"/>
            <w:vAlign w:val="center"/>
          </w:tcPr>
          <w:p w14:paraId="3F131968" w14:textId="77777777" w:rsidR="00F12319" w:rsidRPr="00E5198F" w:rsidRDefault="00F12319" w:rsidP="00F12319">
            <w:pPr>
              <w:ind w:left="0"/>
              <w:rPr>
                <w:rFonts w:cs="Calibri"/>
                <w:color w:val="000000"/>
                <w:szCs w:val="22"/>
              </w:rPr>
            </w:pPr>
            <w:r w:rsidRPr="00E5198F">
              <w:rPr>
                <w:rFonts w:cs="Calibri"/>
                <w:color w:val="000000"/>
                <w:szCs w:val="22"/>
              </w:rPr>
              <w:t>Chargebacks</w:t>
            </w:r>
          </w:p>
        </w:tc>
        <w:tc>
          <w:tcPr>
            <w:tcW w:w="5760" w:type="dxa"/>
            <w:vAlign w:val="center"/>
          </w:tcPr>
          <w:p w14:paraId="5AC28A17" w14:textId="77777777" w:rsidR="00F12319" w:rsidRPr="00E5198F" w:rsidRDefault="00F12319" w:rsidP="00F12319">
            <w:pPr>
              <w:ind w:left="0"/>
              <w:rPr>
                <w:rFonts w:cs="Calibri"/>
                <w:color w:val="000000"/>
                <w:szCs w:val="22"/>
              </w:rPr>
            </w:pPr>
            <w:r w:rsidRPr="00E5198F">
              <w:rPr>
                <w:rFonts w:cs="Calibri"/>
                <w:color w:val="000000"/>
                <w:szCs w:val="22"/>
              </w:rPr>
              <w:t>Rece</w:t>
            </w:r>
            <w:r>
              <w:rPr>
                <w:rFonts w:cs="Calibri"/>
                <w:color w:val="000000"/>
                <w:szCs w:val="22"/>
              </w:rPr>
              <w:t xml:space="preserve">ives </w:t>
            </w:r>
            <w:r w:rsidRPr="003D2D23">
              <w:rPr>
                <w:rFonts w:cs="Calibri"/>
                <w:color w:val="000000"/>
                <w:szCs w:val="22"/>
              </w:rPr>
              <w:t>one (1)</w:t>
            </w:r>
            <w:r>
              <w:rPr>
                <w:rFonts w:cs="Calibri"/>
                <w:color w:val="000000"/>
                <w:szCs w:val="22"/>
              </w:rPr>
              <w:t xml:space="preserve"> file and s</w:t>
            </w:r>
            <w:r w:rsidRPr="00E5198F">
              <w:rPr>
                <w:rFonts w:cs="Calibri"/>
                <w:color w:val="000000"/>
                <w:szCs w:val="22"/>
              </w:rPr>
              <w:t xml:space="preserve">ends </w:t>
            </w:r>
            <w:r w:rsidRPr="003D2D23">
              <w:rPr>
                <w:rFonts w:cs="Calibri"/>
                <w:color w:val="000000"/>
                <w:szCs w:val="22"/>
              </w:rPr>
              <w:t>one (1)</w:t>
            </w:r>
            <w:r>
              <w:rPr>
                <w:rFonts w:cs="Calibri"/>
                <w:color w:val="000000"/>
                <w:szCs w:val="22"/>
              </w:rPr>
              <w:t xml:space="preserve"> </w:t>
            </w:r>
            <w:r w:rsidRPr="00E5198F">
              <w:rPr>
                <w:rFonts w:cs="Calibri"/>
                <w:color w:val="000000"/>
                <w:szCs w:val="22"/>
              </w:rPr>
              <w:t>file</w:t>
            </w:r>
          </w:p>
        </w:tc>
      </w:tr>
      <w:tr w:rsidR="00F12319" w14:paraId="01D7617B" w14:textId="77777777" w:rsidTr="00EB23D7">
        <w:tc>
          <w:tcPr>
            <w:tcW w:w="877" w:type="dxa"/>
            <w:vAlign w:val="center"/>
          </w:tcPr>
          <w:p w14:paraId="342D42BC" w14:textId="0CBCD38A" w:rsidR="00F12319" w:rsidRPr="003B41C6" w:rsidRDefault="00F12319" w:rsidP="00F12319">
            <w:pPr>
              <w:ind w:left="0"/>
              <w:jc w:val="center"/>
              <w:rPr>
                <w:rFonts w:cs="Calibri"/>
                <w:color w:val="000000"/>
                <w:szCs w:val="22"/>
              </w:rPr>
            </w:pPr>
            <w:r>
              <w:rPr>
                <w:color w:val="000000"/>
                <w:szCs w:val="22"/>
              </w:rPr>
              <w:lastRenderedPageBreak/>
              <w:t>17</w:t>
            </w:r>
          </w:p>
        </w:tc>
        <w:tc>
          <w:tcPr>
            <w:tcW w:w="1530" w:type="dxa"/>
            <w:vAlign w:val="center"/>
          </w:tcPr>
          <w:p w14:paraId="4765E9A8" w14:textId="77777777" w:rsidR="00F12319" w:rsidRPr="00E5198F" w:rsidRDefault="00F12319" w:rsidP="00F12319">
            <w:pPr>
              <w:ind w:left="0"/>
              <w:rPr>
                <w:rFonts w:cs="Calibri"/>
                <w:color w:val="000000"/>
                <w:szCs w:val="22"/>
              </w:rPr>
            </w:pPr>
            <w:r w:rsidRPr="00E5198F">
              <w:rPr>
                <w:rFonts w:cs="Calibri"/>
                <w:color w:val="000000"/>
                <w:szCs w:val="22"/>
              </w:rPr>
              <w:t>Receive</w:t>
            </w:r>
          </w:p>
        </w:tc>
        <w:tc>
          <w:tcPr>
            <w:tcW w:w="1710" w:type="dxa"/>
            <w:vAlign w:val="center"/>
          </w:tcPr>
          <w:p w14:paraId="2BC1B730" w14:textId="77777777" w:rsidR="00F12319" w:rsidRPr="00E5198F" w:rsidRDefault="00F12319" w:rsidP="00F12319">
            <w:pPr>
              <w:ind w:left="0"/>
              <w:rPr>
                <w:rFonts w:cs="Calibri"/>
                <w:color w:val="000000"/>
                <w:szCs w:val="22"/>
              </w:rPr>
            </w:pPr>
            <w:r w:rsidRPr="00E5198F">
              <w:rPr>
                <w:rFonts w:cs="Calibri"/>
                <w:color w:val="000000"/>
                <w:szCs w:val="22"/>
              </w:rPr>
              <w:t>Offline / Quarterly</w:t>
            </w:r>
          </w:p>
        </w:tc>
        <w:tc>
          <w:tcPr>
            <w:tcW w:w="2430" w:type="dxa"/>
            <w:vAlign w:val="center"/>
          </w:tcPr>
          <w:p w14:paraId="419D6828" w14:textId="77777777" w:rsidR="00F12319" w:rsidRPr="00E5198F" w:rsidRDefault="00F12319" w:rsidP="00F12319">
            <w:pPr>
              <w:ind w:left="0"/>
              <w:rPr>
                <w:rFonts w:cs="Calibri"/>
                <w:color w:val="000000"/>
                <w:szCs w:val="22"/>
              </w:rPr>
            </w:pPr>
            <w:r w:rsidRPr="00E5198F">
              <w:rPr>
                <w:rFonts w:cs="Calibri"/>
                <w:color w:val="000000"/>
                <w:szCs w:val="22"/>
              </w:rPr>
              <w:t>Encore Restaurants</w:t>
            </w:r>
          </w:p>
        </w:tc>
        <w:tc>
          <w:tcPr>
            <w:tcW w:w="2160" w:type="dxa"/>
            <w:vAlign w:val="center"/>
          </w:tcPr>
          <w:p w14:paraId="4EB19774" w14:textId="77777777" w:rsidR="00F12319" w:rsidRPr="00E5198F" w:rsidRDefault="00F12319" w:rsidP="00F12319">
            <w:pPr>
              <w:ind w:left="0"/>
              <w:rPr>
                <w:rFonts w:cs="Calibri"/>
                <w:color w:val="000000"/>
                <w:szCs w:val="22"/>
              </w:rPr>
            </w:pPr>
            <w:r w:rsidRPr="00E5198F">
              <w:rPr>
                <w:rFonts w:cs="Calibri"/>
                <w:color w:val="000000"/>
                <w:szCs w:val="22"/>
              </w:rPr>
              <w:t>C3 &amp; C4 Filing</w:t>
            </w:r>
          </w:p>
        </w:tc>
        <w:tc>
          <w:tcPr>
            <w:tcW w:w="5760" w:type="dxa"/>
            <w:vAlign w:val="center"/>
          </w:tcPr>
          <w:p w14:paraId="0E0C1D94" w14:textId="77777777" w:rsidR="00F12319" w:rsidRPr="00E5198F" w:rsidRDefault="00F12319" w:rsidP="00F12319">
            <w:pPr>
              <w:ind w:left="0"/>
              <w:rPr>
                <w:rFonts w:cs="Calibri"/>
                <w:color w:val="000000"/>
                <w:szCs w:val="22"/>
              </w:rPr>
            </w:pPr>
            <w:r w:rsidRPr="00E5198F">
              <w:rPr>
                <w:rFonts w:ascii="Arial" w:hAnsi="Arial" w:cs="Arial"/>
                <w:color w:val="000000"/>
                <w:szCs w:val="22"/>
              </w:rPr>
              <w:t>​</w:t>
            </w:r>
            <w:r w:rsidRPr="00E5198F">
              <w:rPr>
                <w:rFonts w:cs="Calibri"/>
                <w:color w:val="000000"/>
                <w:szCs w:val="22"/>
              </w:rPr>
              <w:t>Secure transfer of data</w:t>
            </w:r>
          </w:p>
        </w:tc>
      </w:tr>
      <w:tr w:rsidR="00F12319" w14:paraId="2C1D44C6" w14:textId="77777777" w:rsidTr="00EB23D7">
        <w:tc>
          <w:tcPr>
            <w:tcW w:w="877" w:type="dxa"/>
            <w:vAlign w:val="center"/>
          </w:tcPr>
          <w:p w14:paraId="3EC34D54" w14:textId="3DFE2E00" w:rsidR="00F12319" w:rsidRPr="003B41C6" w:rsidRDefault="00F12319" w:rsidP="00F12319">
            <w:pPr>
              <w:ind w:left="0"/>
              <w:jc w:val="center"/>
              <w:rPr>
                <w:rFonts w:cs="Calibri"/>
                <w:color w:val="000000"/>
                <w:szCs w:val="22"/>
              </w:rPr>
            </w:pPr>
            <w:r>
              <w:rPr>
                <w:szCs w:val="22"/>
              </w:rPr>
              <w:t>18</w:t>
            </w:r>
          </w:p>
        </w:tc>
        <w:tc>
          <w:tcPr>
            <w:tcW w:w="1530" w:type="dxa"/>
            <w:vAlign w:val="center"/>
          </w:tcPr>
          <w:p w14:paraId="657A5859" w14:textId="77777777" w:rsidR="00F12319" w:rsidRPr="00E5198F" w:rsidRDefault="00F12319" w:rsidP="00F12319">
            <w:pPr>
              <w:ind w:left="0"/>
              <w:rPr>
                <w:rFonts w:cs="Calibri"/>
                <w:color w:val="000000"/>
                <w:szCs w:val="22"/>
              </w:rPr>
            </w:pPr>
            <w:r w:rsidRPr="00E5198F">
              <w:rPr>
                <w:rFonts w:cs="Calibri"/>
                <w:color w:val="000000"/>
                <w:szCs w:val="22"/>
              </w:rPr>
              <w:t>Receive</w:t>
            </w:r>
          </w:p>
        </w:tc>
        <w:tc>
          <w:tcPr>
            <w:tcW w:w="1710" w:type="dxa"/>
            <w:vAlign w:val="center"/>
          </w:tcPr>
          <w:p w14:paraId="219C2E18" w14:textId="77777777" w:rsidR="00F12319" w:rsidRPr="00E5198F" w:rsidRDefault="00F12319" w:rsidP="00F12319">
            <w:pPr>
              <w:ind w:left="0"/>
              <w:rPr>
                <w:rFonts w:cs="Calibri"/>
                <w:color w:val="000000"/>
                <w:szCs w:val="22"/>
              </w:rPr>
            </w:pPr>
            <w:r w:rsidRPr="00E5198F">
              <w:rPr>
                <w:rFonts w:cs="Calibri"/>
                <w:color w:val="000000"/>
                <w:szCs w:val="22"/>
              </w:rPr>
              <w:t>Offline / Quarterly</w:t>
            </w:r>
          </w:p>
        </w:tc>
        <w:tc>
          <w:tcPr>
            <w:tcW w:w="2430" w:type="dxa"/>
            <w:vAlign w:val="center"/>
          </w:tcPr>
          <w:p w14:paraId="7FA10770" w14:textId="77777777" w:rsidR="00F12319" w:rsidRPr="00E5198F" w:rsidRDefault="00F12319" w:rsidP="00F12319">
            <w:pPr>
              <w:ind w:left="0"/>
              <w:rPr>
                <w:rFonts w:cs="Calibri"/>
                <w:color w:val="000000"/>
                <w:szCs w:val="22"/>
              </w:rPr>
            </w:pPr>
            <w:r w:rsidRPr="00E5198F">
              <w:rPr>
                <w:rFonts w:cs="Calibri"/>
                <w:color w:val="000000"/>
                <w:szCs w:val="22"/>
              </w:rPr>
              <w:t>Equifax</w:t>
            </w:r>
          </w:p>
        </w:tc>
        <w:tc>
          <w:tcPr>
            <w:tcW w:w="2160" w:type="dxa"/>
            <w:vAlign w:val="center"/>
          </w:tcPr>
          <w:p w14:paraId="5FA740C8" w14:textId="77777777" w:rsidR="00F12319" w:rsidRPr="00E5198F" w:rsidRDefault="00F12319" w:rsidP="00F12319">
            <w:pPr>
              <w:ind w:left="0"/>
              <w:rPr>
                <w:rFonts w:cs="Calibri"/>
                <w:color w:val="000000"/>
                <w:szCs w:val="22"/>
              </w:rPr>
            </w:pPr>
            <w:r w:rsidRPr="00E5198F">
              <w:rPr>
                <w:rFonts w:cs="Calibri"/>
                <w:color w:val="000000"/>
                <w:szCs w:val="22"/>
              </w:rPr>
              <w:t>C3 &amp; C4 Filing</w:t>
            </w:r>
          </w:p>
        </w:tc>
        <w:tc>
          <w:tcPr>
            <w:tcW w:w="5760" w:type="dxa"/>
            <w:vAlign w:val="center"/>
          </w:tcPr>
          <w:p w14:paraId="2E6D247B" w14:textId="77777777" w:rsidR="00F12319" w:rsidRPr="00E5198F" w:rsidRDefault="00F12319" w:rsidP="00F12319">
            <w:pPr>
              <w:ind w:left="0"/>
              <w:rPr>
                <w:rFonts w:cs="Calibri"/>
                <w:color w:val="000000"/>
                <w:szCs w:val="22"/>
              </w:rPr>
            </w:pPr>
            <w:r w:rsidRPr="00E5198F">
              <w:rPr>
                <w:rFonts w:cs="Calibri"/>
                <w:color w:val="000000"/>
                <w:szCs w:val="22"/>
              </w:rPr>
              <w:t xml:space="preserve">Receives </w:t>
            </w:r>
            <w:r w:rsidRPr="003D2D23">
              <w:rPr>
                <w:rFonts w:cs="Calibri"/>
                <w:color w:val="000000"/>
                <w:szCs w:val="22"/>
              </w:rPr>
              <w:t>one (1)</w:t>
            </w:r>
            <w:r>
              <w:rPr>
                <w:rFonts w:cs="Calibri"/>
                <w:color w:val="000000"/>
                <w:szCs w:val="22"/>
              </w:rPr>
              <w:t xml:space="preserve"> </w:t>
            </w:r>
            <w:r w:rsidRPr="00E5198F">
              <w:rPr>
                <w:rFonts w:cs="Calibri"/>
                <w:color w:val="000000"/>
                <w:szCs w:val="22"/>
              </w:rPr>
              <w:t>file</w:t>
            </w:r>
          </w:p>
        </w:tc>
      </w:tr>
      <w:tr w:rsidR="00F12319" w14:paraId="4E7CFDC6" w14:textId="77777777" w:rsidTr="00EB23D7">
        <w:tc>
          <w:tcPr>
            <w:tcW w:w="877" w:type="dxa"/>
            <w:vAlign w:val="center"/>
          </w:tcPr>
          <w:p w14:paraId="79E41B58" w14:textId="7F67A7D3" w:rsidR="00F12319" w:rsidRPr="00194F03" w:rsidRDefault="00F12319" w:rsidP="00F12319">
            <w:pPr>
              <w:ind w:left="0"/>
              <w:jc w:val="center"/>
              <w:rPr>
                <w:rFonts w:cs="Calibri"/>
                <w:color w:val="000000"/>
                <w:szCs w:val="22"/>
              </w:rPr>
            </w:pPr>
            <w:r>
              <w:rPr>
                <w:color w:val="000000"/>
                <w:szCs w:val="22"/>
              </w:rPr>
              <w:t>19</w:t>
            </w:r>
          </w:p>
        </w:tc>
        <w:tc>
          <w:tcPr>
            <w:tcW w:w="1530" w:type="dxa"/>
            <w:vAlign w:val="center"/>
          </w:tcPr>
          <w:p w14:paraId="3EFA00BF" w14:textId="77777777" w:rsidR="00F12319" w:rsidRPr="00E5198F" w:rsidRDefault="00F12319" w:rsidP="00F12319">
            <w:pPr>
              <w:ind w:left="0"/>
              <w:rPr>
                <w:rFonts w:cs="Calibri"/>
                <w:color w:val="000000"/>
                <w:szCs w:val="22"/>
              </w:rPr>
            </w:pPr>
            <w:r w:rsidRPr="00E5198F">
              <w:rPr>
                <w:rFonts w:cs="Calibri"/>
                <w:color w:val="000000"/>
                <w:szCs w:val="22"/>
              </w:rPr>
              <w:t>Receive</w:t>
            </w:r>
          </w:p>
        </w:tc>
        <w:tc>
          <w:tcPr>
            <w:tcW w:w="1710" w:type="dxa"/>
            <w:vAlign w:val="center"/>
          </w:tcPr>
          <w:p w14:paraId="17FB69F1" w14:textId="77777777" w:rsidR="00F12319" w:rsidRPr="00E5198F" w:rsidRDefault="00F12319" w:rsidP="00F12319">
            <w:pPr>
              <w:ind w:left="0"/>
              <w:rPr>
                <w:rFonts w:cs="Calibri"/>
                <w:color w:val="000000"/>
                <w:szCs w:val="22"/>
              </w:rPr>
            </w:pPr>
            <w:r w:rsidRPr="00E5198F">
              <w:rPr>
                <w:rFonts w:cs="Calibri"/>
                <w:color w:val="000000"/>
                <w:szCs w:val="22"/>
              </w:rPr>
              <w:t>Offline / Daily (M-F)</w:t>
            </w:r>
          </w:p>
        </w:tc>
        <w:tc>
          <w:tcPr>
            <w:tcW w:w="2430" w:type="dxa"/>
            <w:vAlign w:val="center"/>
          </w:tcPr>
          <w:p w14:paraId="231C1220" w14:textId="77777777" w:rsidR="00F12319" w:rsidRPr="00E5198F" w:rsidRDefault="00F12319" w:rsidP="00F12319">
            <w:pPr>
              <w:ind w:left="0"/>
              <w:rPr>
                <w:rFonts w:cs="Calibri"/>
                <w:color w:val="000000"/>
                <w:szCs w:val="22"/>
              </w:rPr>
            </w:pPr>
            <w:r w:rsidRPr="00E5198F">
              <w:rPr>
                <w:rFonts w:cs="Calibri"/>
                <w:color w:val="000000"/>
                <w:szCs w:val="22"/>
              </w:rPr>
              <w:t>Ernst &amp; Young</w:t>
            </w:r>
          </w:p>
        </w:tc>
        <w:tc>
          <w:tcPr>
            <w:tcW w:w="2160" w:type="dxa"/>
            <w:vAlign w:val="center"/>
          </w:tcPr>
          <w:p w14:paraId="06F02BB9" w14:textId="77777777" w:rsidR="00F12319" w:rsidRPr="00E5198F" w:rsidRDefault="00F12319" w:rsidP="00F12319">
            <w:pPr>
              <w:ind w:left="0"/>
              <w:rPr>
                <w:rFonts w:cs="Calibri"/>
                <w:color w:val="000000"/>
                <w:szCs w:val="22"/>
              </w:rPr>
            </w:pPr>
            <w:r w:rsidRPr="00E5198F">
              <w:rPr>
                <w:rFonts w:cs="Calibri"/>
                <w:color w:val="000000"/>
                <w:szCs w:val="22"/>
              </w:rPr>
              <w:t>Form 8850 FTP</w:t>
            </w:r>
          </w:p>
        </w:tc>
        <w:tc>
          <w:tcPr>
            <w:tcW w:w="5760" w:type="dxa"/>
            <w:vAlign w:val="center"/>
          </w:tcPr>
          <w:p w14:paraId="46CA005E" w14:textId="77777777" w:rsidR="00F12319" w:rsidRPr="00E5198F" w:rsidRDefault="00F12319" w:rsidP="00F12319">
            <w:pPr>
              <w:ind w:left="0"/>
              <w:rPr>
                <w:rFonts w:cs="Calibri"/>
                <w:color w:val="000000"/>
                <w:szCs w:val="22"/>
              </w:rPr>
            </w:pPr>
            <w:r w:rsidRPr="00E5198F">
              <w:rPr>
                <w:rFonts w:ascii="Arial" w:hAnsi="Arial" w:cs="Arial"/>
                <w:color w:val="000000"/>
                <w:szCs w:val="22"/>
              </w:rPr>
              <w:t>​</w:t>
            </w:r>
            <w:r w:rsidRPr="00E5198F">
              <w:rPr>
                <w:rFonts w:cs="Calibri"/>
                <w:color w:val="000000"/>
                <w:szCs w:val="22"/>
              </w:rPr>
              <w:t>Secure transfer of data</w:t>
            </w:r>
          </w:p>
        </w:tc>
      </w:tr>
      <w:tr w:rsidR="00F12319" w14:paraId="5278922D" w14:textId="77777777" w:rsidTr="00EB23D7">
        <w:tc>
          <w:tcPr>
            <w:tcW w:w="877" w:type="dxa"/>
            <w:vAlign w:val="center"/>
          </w:tcPr>
          <w:p w14:paraId="2C2076CA" w14:textId="3F22C3B9" w:rsidR="00F12319" w:rsidRPr="00194F03" w:rsidRDefault="00F12319" w:rsidP="00F12319">
            <w:pPr>
              <w:ind w:left="0"/>
              <w:jc w:val="center"/>
              <w:rPr>
                <w:rFonts w:cs="Calibri"/>
                <w:color w:val="000000"/>
                <w:szCs w:val="22"/>
              </w:rPr>
            </w:pPr>
            <w:r>
              <w:rPr>
                <w:szCs w:val="22"/>
              </w:rPr>
              <w:t>20</w:t>
            </w:r>
          </w:p>
        </w:tc>
        <w:tc>
          <w:tcPr>
            <w:tcW w:w="1530" w:type="dxa"/>
            <w:vAlign w:val="center"/>
          </w:tcPr>
          <w:p w14:paraId="7479DF66" w14:textId="77777777" w:rsidR="00F12319" w:rsidRPr="00E5198F" w:rsidRDefault="00F12319" w:rsidP="00F12319">
            <w:pPr>
              <w:ind w:left="0"/>
              <w:rPr>
                <w:rFonts w:cs="Calibri"/>
                <w:color w:val="000000"/>
                <w:szCs w:val="22"/>
              </w:rPr>
            </w:pPr>
            <w:r w:rsidRPr="00E5198F">
              <w:rPr>
                <w:rFonts w:cs="Calibri"/>
                <w:color w:val="000000"/>
                <w:szCs w:val="22"/>
              </w:rPr>
              <w:t>Both</w:t>
            </w:r>
          </w:p>
        </w:tc>
        <w:tc>
          <w:tcPr>
            <w:tcW w:w="1710" w:type="dxa"/>
            <w:vAlign w:val="center"/>
          </w:tcPr>
          <w:p w14:paraId="027C38DB" w14:textId="77777777" w:rsidR="00F12319" w:rsidRPr="00E5198F" w:rsidRDefault="00F12319" w:rsidP="00F12319">
            <w:pPr>
              <w:ind w:left="0"/>
              <w:rPr>
                <w:rFonts w:cs="Calibri"/>
                <w:color w:val="000000"/>
                <w:szCs w:val="22"/>
              </w:rPr>
            </w:pPr>
            <w:r w:rsidRPr="00E5198F">
              <w:rPr>
                <w:rFonts w:cs="Calibri"/>
                <w:color w:val="000000"/>
                <w:szCs w:val="22"/>
              </w:rPr>
              <w:t>Offline / Quarterly</w:t>
            </w:r>
          </w:p>
        </w:tc>
        <w:tc>
          <w:tcPr>
            <w:tcW w:w="2430" w:type="dxa"/>
            <w:vAlign w:val="center"/>
          </w:tcPr>
          <w:p w14:paraId="729DD324" w14:textId="77777777" w:rsidR="00F12319" w:rsidRPr="00E5198F" w:rsidRDefault="00F12319" w:rsidP="00F12319">
            <w:pPr>
              <w:ind w:left="0"/>
              <w:rPr>
                <w:rFonts w:cs="Calibri"/>
                <w:color w:val="000000"/>
                <w:szCs w:val="22"/>
              </w:rPr>
            </w:pPr>
            <w:r w:rsidRPr="00E5198F">
              <w:rPr>
                <w:rFonts w:cs="Calibri"/>
                <w:color w:val="000000"/>
                <w:szCs w:val="22"/>
              </w:rPr>
              <w:t>ERS</w:t>
            </w:r>
          </w:p>
        </w:tc>
        <w:tc>
          <w:tcPr>
            <w:tcW w:w="2160" w:type="dxa"/>
            <w:vAlign w:val="center"/>
          </w:tcPr>
          <w:p w14:paraId="2BBA0504" w14:textId="77777777" w:rsidR="00F12319" w:rsidRPr="00E5198F" w:rsidRDefault="00F12319" w:rsidP="00F12319">
            <w:pPr>
              <w:ind w:left="0"/>
              <w:rPr>
                <w:rFonts w:cs="Calibri"/>
                <w:color w:val="000000"/>
                <w:szCs w:val="22"/>
              </w:rPr>
            </w:pPr>
            <w:r w:rsidRPr="00E5198F">
              <w:rPr>
                <w:rFonts w:cs="Calibri"/>
                <w:color w:val="000000"/>
                <w:szCs w:val="22"/>
              </w:rPr>
              <w:t>ERS Wage Records</w:t>
            </w:r>
          </w:p>
        </w:tc>
        <w:tc>
          <w:tcPr>
            <w:tcW w:w="5760" w:type="dxa"/>
            <w:vAlign w:val="center"/>
          </w:tcPr>
          <w:p w14:paraId="1A5F3B74" w14:textId="77777777" w:rsidR="00F12319" w:rsidRPr="00E5198F" w:rsidRDefault="00F12319" w:rsidP="00F12319">
            <w:pPr>
              <w:ind w:left="0"/>
              <w:rPr>
                <w:rFonts w:cs="Calibri"/>
                <w:color w:val="000000"/>
                <w:szCs w:val="22"/>
              </w:rPr>
            </w:pPr>
            <w:r w:rsidRPr="00E5198F">
              <w:rPr>
                <w:rFonts w:cs="Calibri"/>
                <w:color w:val="000000"/>
                <w:szCs w:val="22"/>
              </w:rPr>
              <w:t xml:space="preserve">Receives and puts </w:t>
            </w:r>
            <w:r w:rsidRPr="003D2D23">
              <w:rPr>
                <w:rFonts w:cs="Calibri"/>
                <w:color w:val="000000"/>
                <w:szCs w:val="22"/>
              </w:rPr>
              <w:t>one (1)</w:t>
            </w:r>
            <w:r>
              <w:rPr>
                <w:rFonts w:cs="Calibri"/>
                <w:color w:val="000000"/>
                <w:szCs w:val="22"/>
              </w:rPr>
              <w:t xml:space="preserve"> </w:t>
            </w:r>
            <w:r w:rsidRPr="00E5198F">
              <w:rPr>
                <w:rFonts w:cs="Calibri"/>
                <w:color w:val="000000"/>
                <w:szCs w:val="22"/>
              </w:rPr>
              <w:t>file</w:t>
            </w:r>
          </w:p>
        </w:tc>
      </w:tr>
      <w:tr w:rsidR="00F12319" w14:paraId="0B16C231" w14:textId="77777777" w:rsidTr="00EB23D7">
        <w:tc>
          <w:tcPr>
            <w:tcW w:w="877" w:type="dxa"/>
            <w:vAlign w:val="center"/>
          </w:tcPr>
          <w:p w14:paraId="768CBBA9" w14:textId="378CC3C8" w:rsidR="00F12319" w:rsidRPr="00194F03" w:rsidRDefault="00F12319" w:rsidP="00F12319">
            <w:pPr>
              <w:ind w:left="0"/>
              <w:jc w:val="center"/>
              <w:rPr>
                <w:rFonts w:cs="Calibri"/>
                <w:color w:val="000000"/>
                <w:szCs w:val="22"/>
              </w:rPr>
            </w:pPr>
            <w:r>
              <w:rPr>
                <w:color w:val="000000"/>
                <w:szCs w:val="22"/>
              </w:rPr>
              <w:t>21</w:t>
            </w:r>
          </w:p>
        </w:tc>
        <w:tc>
          <w:tcPr>
            <w:tcW w:w="1530" w:type="dxa"/>
            <w:vAlign w:val="center"/>
          </w:tcPr>
          <w:p w14:paraId="10083124" w14:textId="77777777" w:rsidR="00F12319" w:rsidRPr="00E5198F" w:rsidRDefault="00F12319" w:rsidP="00F12319">
            <w:pPr>
              <w:ind w:left="0"/>
              <w:rPr>
                <w:rFonts w:cs="Calibri"/>
                <w:color w:val="000000"/>
                <w:szCs w:val="22"/>
              </w:rPr>
            </w:pPr>
            <w:r w:rsidRPr="00E5198F">
              <w:rPr>
                <w:rFonts w:cs="Calibri"/>
                <w:color w:val="000000"/>
                <w:szCs w:val="22"/>
              </w:rPr>
              <w:t>Both</w:t>
            </w:r>
          </w:p>
        </w:tc>
        <w:tc>
          <w:tcPr>
            <w:tcW w:w="1710" w:type="dxa"/>
            <w:vAlign w:val="center"/>
          </w:tcPr>
          <w:p w14:paraId="2551F78A" w14:textId="77777777" w:rsidR="00F12319" w:rsidRPr="00E5198F" w:rsidRDefault="00F12319" w:rsidP="00F12319">
            <w:pPr>
              <w:ind w:left="0"/>
              <w:rPr>
                <w:rFonts w:cs="Calibri"/>
                <w:color w:val="000000"/>
                <w:szCs w:val="22"/>
              </w:rPr>
            </w:pPr>
            <w:r w:rsidRPr="00E5198F">
              <w:rPr>
                <w:rFonts w:cs="Calibri"/>
                <w:color w:val="000000"/>
                <w:szCs w:val="22"/>
              </w:rPr>
              <w:t>Offline / Annually</w:t>
            </w:r>
          </w:p>
        </w:tc>
        <w:tc>
          <w:tcPr>
            <w:tcW w:w="2430" w:type="dxa"/>
            <w:vAlign w:val="center"/>
          </w:tcPr>
          <w:p w14:paraId="54922B38" w14:textId="77777777" w:rsidR="00F12319" w:rsidRPr="00E5198F" w:rsidRDefault="00F12319" w:rsidP="00F12319">
            <w:pPr>
              <w:ind w:left="0"/>
              <w:rPr>
                <w:rFonts w:cs="Calibri"/>
                <w:color w:val="000000"/>
                <w:szCs w:val="22"/>
              </w:rPr>
            </w:pPr>
            <w:r w:rsidRPr="00E5198F">
              <w:rPr>
                <w:rFonts w:cs="Calibri"/>
                <w:color w:val="000000"/>
                <w:szCs w:val="22"/>
              </w:rPr>
              <w:t>Fed-Internal Revenue Service</w:t>
            </w:r>
          </w:p>
        </w:tc>
        <w:tc>
          <w:tcPr>
            <w:tcW w:w="2160" w:type="dxa"/>
            <w:vAlign w:val="center"/>
          </w:tcPr>
          <w:p w14:paraId="0690E521" w14:textId="77777777" w:rsidR="00F12319" w:rsidRPr="00E5198F" w:rsidRDefault="00F12319" w:rsidP="00F12319">
            <w:pPr>
              <w:ind w:left="0"/>
              <w:rPr>
                <w:rFonts w:cs="Calibri"/>
                <w:color w:val="000000"/>
                <w:szCs w:val="22"/>
              </w:rPr>
            </w:pPr>
            <w:r w:rsidRPr="00E5198F">
              <w:rPr>
                <w:rFonts w:cs="Calibri"/>
                <w:color w:val="000000"/>
                <w:szCs w:val="22"/>
              </w:rPr>
              <w:t>FUTA Annual Return (control file)</w:t>
            </w:r>
          </w:p>
        </w:tc>
        <w:tc>
          <w:tcPr>
            <w:tcW w:w="5760" w:type="dxa"/>
            <w:vAlign w:val="center"/>
          </w:tcPr>
          <w:p w14:paraId="7FB2D809" w14:textId="77777777" w:rsidR="00F12319" w:rsidRPr="00E5198F" w:rsidRDefault="00F12319" w:rsidP="00F12319">
            <w:pPr>
              <w:ind w:left="0"/>
              <w:rPr>
                <w:rFonts w:cs="Calibri"/>
                <w:color w:val="000000"/>
                <w:szCs w:val="22"/>
              </w:rPr>
            </w:pPr>
            <w:r>
              <w:rPr>
                <w:rFonts w:cs="Calibri"/>
                <w:color w:val="000000"/>
                <w:szCs w:val="22"/>
              </w:rPr>
              <w:t>One</w:t>
            </w:r>
            <w:r w:rsidRPr="00E5198F">
              <w:rPr>
                <w:rFonts w:cs="Calibri"/>
                <w:color w:val="000000"/>
                <w:szCs w:val="22"/>
              </w:rPr>
              <w:t xml:space="preserve"> </w:t>
            </w:r>
            <w:r>
              <w:rPr>
                <w:rFonts w:cs="Calibri"/>
                <w:color w:val="000000"/>
                <w:szCs w:val="22"/>
              </w:rPr>
              <w:t xml:space="preserve">(1) </w:t>
            </w:r>
            <w:r w:rsidRPr="00E5198F">
              <w:rPr>
                <w:rFonts w:cs="Calibri"/>
                <w:color w:val="000000"/>
                <w:szCs w:val="22"/>
              </w:rPr>
              <w:t xml:space="preserve">of </w:t>
            </w:r>
            <w:r w:rsidRPr="003D2D23">
              <w:rPr>
                <w:rFonts w:cs="Calibri"/>
                <w:color w:val="000000"/>
                <w:szCs w:val="22"/>
              </w:rPr>
              <w:t xml:space="preserve">two (2) </w:t>
            </w:r>
            <w:r w:rsidRPr="00E5198F">
              <w:rPr>
                <w:rFonts w:cs="Calibri"/>
                <w:color w:val="000000"/>
                <w:szCs w:val="22"/>
              </w:rPr>
              <w:t>files returned December/</w:t>
            </w:r>
            <w:r>
              <w:rPr>
                <w:rFonts w:cs="Calibri"/>
                <w:color w:val="000000"/>
                <w:szCs w:val="22"/>
              </w:rPr>
              <w:t>January timeframe</w:t>
            </w:r>
          </w:p>
        </w:tc>
      </w:tr>
      <w:tr w:rsidR="00F12319" w14:paraId="0BC6A1A4" w14:textId="77777777" w:rsidTr="00EB23D7">
        <w:tc>
          <w:tcPr>
            <w:tcW w:w="877" w:type="dxa"/>
            <w:vAlign w:val="center"/>
          </w:tcPr>
          <w:p w14:paraId="03247B17" w14:textId="5BEE97F4" w:rsidR="00F12319" w:rsidRPr="00194F03" w:rsidRDefault="00F12319" w:rsidP="00F12319">
            <w:pPr>
              <w:ind w:left="0"/>
              <w:jc w:val="center"/>
              <w:rPr>
                <w:rFonts w:cs="Calibri"/>
                <w:color w:val="000000"/>
                <w:szCs w:val="22"/>
              </w:rPr>
            </w:pPr>
            <w:r>
              <w:rPr>
                <w:szCs w:val="22"/>
              </w:rPr>
              <w:t>22</w:t>
            </w:r>
          </w:p>
        </w:tc>
        <w:tc>
          <w:tcPr>
            <w:tcW w:w="1530" w:type="dxa"/>
            <w:vAlign w:val="center"/>
          </w:tcPr>
          <w:p w14:paraId="2992D80E" w14:textId="77777777" w:rsidR="00F12319" w:rsidRPr="00E5198F" w:rsidRDefault="00F12319" w:rsidP="00F12319">
            <w:pPr>
              <w:ind w:left="0"/>
              <w:rPr>
                <w:rFonts w:cs="Calibri"/>
                <w:color w:val="000000"/>
                <w:szCs w:val="22"/>
              </w:rPr>
            </w:pPr>
            <w:r w:rsidRPr="00E5198F">
              <w:rPr>
                <w:rFonts w:cs="Calibri"/>
                <w:color w:val="000000"/>
                <w:szCs w:val="22"/>
              </w:rPr>
              <w:t>Both</w:t>
            </w:r>
          </w:p>
        </w:tc>
        <w:tc>
          <w:tcPr>
            <w:tcW w:w="1710" w:type="dxa"/>
            <w:vAlign w:val="center"/>
          </w:tcPr>
          <w:p w14:paraId="01775B7F" w14:textId="77777777" w:rsidR="00F12319" w:rsidRPr="00E5198F" w:rsidRDefault="00F12319" w:rsidP="00F12319">
            <w:pPr>
              <w:ind w:left="0"/>
              <w:rPr>
                <w:rFonts w:cs="Calibri"/>
                <w:color w:val="000000"/>
                <w:szCs w:val="22"/>
              </w:rPr>
            </w:pPr>
            <w:r w:rsidRPr="00E5198F">
              <w:rPr>
                <w:rFonts w:cs="Calibri"/>
                <w:color w:val="000000"/>
                <w:szCs w:val="22"/>
              </w:rPr>
              <w:t>Offline / Annually</w:t>
            </w:r>
          </w:p>
        </w:tc>
        <w:tc>
          <w:tcPr>
            <w:tcW w:w="2430" w:type="dxa"/>
            <w:vAlign w:val="center"/>
          </w:tcPr>
          <w:p w14:paraId="5AFDC96A" w14:textId="77777777" w:rsidR="00F12319" w:rsidRPr="00E5198F" w:rsidRDefault="00F12319" w:rsidP="00F12319">
            <w:pPr>
              <w:ind w:left="0"/>
              <w:rPr>
                <w:rFonts w:cs="Calibri"/>
                <w:color w:val="000000"/>
                <w:szCs w:val="22"/>
              </w:rPr>
            </w:pPr>
            <w:r w:rsidRPr="00E5198F">
              <w:rPr>
                <w:rFonts w:cs="Calibri"/>
                <w:color w:val="000000"/>
                <w:szCs w:val="22"/>
              </w:rPr>
              <w:t>Fed-Internal Revenue Service</w:t>
            </w:r>
          </w:p>
        </w:tc>
        <w:tc>
          <w:tcPr>
            <w:tcW w:w="2160" w:type="dxa"/>
            <w:vAlign w:val="center"/>
          </w:tcPr>
          <w:p w14:paraId="5524BCC7" w14:textId="77777777" w:rsidR="00F12319" w:rsidRPr="00E5198F" w:rsidRDefault="00F12319" w:rsidP="00F12319">
            <w:pPr>
              <w:ind w:left="0"/>
              <w:rPr>
                <w:rFonts w:cs="Calibri"/>
                <w:color w:val="000000"/>
                <w:szCs w:val="22"/>
              </w:rPr>
            </w:pPr>
            <w:r w:rsidRPr="00E5198F">
              <w:rPr>
                <w:rFonts w:cs="Calibri"/>
                <w:color w:val="000000"/>
                <w:szCs w:val="22"/>
              </w:rPr>
              <w:t>FUTA Annual Return (data file)</w:t>
            </w:r>
          </w:p>
        </w:tc>
        <w:tc>
          <w:tcPr>
            <w:tcW w:w="5760" w:type="dxa"/>
            <w:vAlign w:val="center"/>
          </w:tcPr>
          <w:p w14:paraId="7D6AF85A" w14:textId="77777777" w:rsidR="00F12319" w:rsidRPr="00E5198F" w:rsidRDefault="00F12319" w:rsidP="00F12319">
            <w:pPr>
              <w:ind w:left="0"/>
              <w:rPr>
                <w:rFonts w:cs="Calibri"/>
                <w:color w:val="000000"/>
                <w:szCs w:val="22"/>
              </w:rPr>
            </w:pPr>
            <w:r>
              <w:rPr>
                <w:rFonts w:cs="Calibri"/>
                <w:color w:val="000000"/>
                <w:szCs w:val="22"/>
              </w:rPr>
              <w:t>O</w:t>
            </w:r>
            <w:r w:rsidRPr="003D2D23">
              <w:rPr>
                <w:rFonts w:cs="Calibri"/>
                <w:color w:val="000000"/>
                <w:szCs w:val="22"/>
              </w:rPr>
              <w:t>ne (1)</w:t>
            </w:r>
            <w:r>
              <w:rPr>
                <w:rFonts w:cs="Calibri"/>
                <w:color w:val="000000"/>
                <w:szCs w:val="22"/>
              </w:rPr>
              <w:t xml:space="preserve"> </w:t>
            </w:r>
            <w:r w:rsidRPr="00E5198F">
              <w:rPr>
                <w:rFonts w:cs="Calibri"/>
                <w:color w:val="000000"/>
                <w:szCs w:val="22"/>
              </w:rPr>
              <w:t xml:space="preserve">of </w:t>
            </w:r>
            <w:r w:rsidRPr="003D2D23">
              <w:rPr>
                <w:rFonts w:cs="Calibri"/>
                <w:color w:val="000000"/>
                <w:szCs w:val="22"/>
              </w:rPr>
              <w:t xml:space="preserve">two (2) </w:t>
            </w:r>
            <w:r w:rsidRPr="00E5198F">
              <w:rPr>
                <w:rFonts w:cs="Calibri"/>
                <w:color w:val="000000"/>
                <w:szCs w:val="22"/>
              </w:rPr>
              <w:t>files retu</w:t>
            </w:r>
            <w:r>
              <w:rPr>
                <w:rFonts w:cs="Calibri"/>
                <w:color w:val="000000"/>
                <w:szCs w:val="22"/>
              </w:rPr>
              <w:t>rned December/January timeframe</w:t>
            </w:r>
          </w:p>
        </w:tc>
      </w:tr>
      <w:tr w:rsidR="00F12319" w:rsidRPr="00E5198F" w14:paraId="1DC03CA1" w14:textId="77777777" w:rsidTr="00EB23D7">
        <w:tc>
          <w:tcPr>
            <w:tcW w:w="877" w:type="dxa"/>
            <w:vAlign w:val="center"/>
          </w:tcPr>
          <w:p w14:paraId="5E33B751" w14:textId="50505DD4" w:rsidR="00F12319" w:rsidRPr="00194F03" w:rsidRDefault="00F12319" w:rsidP="00F12319">
            <w:pPr>
              <w:ind w:left="0"/>
              <w:jc w:val="center"/>
              <w:rPr>
                <w:rFonts w:cs="Calibri"/>
                <w:color w:val="000000"/>
              </w:rPr>
            </w:pPr>
            <w:r>
              <w:rPr>
                <w:color w:val="000000"/>
                <w:szCs w:val="22"/>
              </w:rPr>
              <w:t>23</w:t>
            </w:r>
          </w:p>
        </w:tc>
        <w:tc>
          <w:tcPr>
            <w:tcW w:w="1530" w:type="dxa"/>
            <w:vAlign w:val="center"/>
          </w:tcPr>
          <w:p w14:paraId="010C74BF" w14:textId="77777777" w:rsidR="00F12319" w:rsidRPr="00E5198F" w:rsidRDefault="00F12319" w:rsidP="00F12319">
            <w:pPr>
              <w:ind w:left="0"/>
              <w:rPr>
                <w:rFonts w:cs="Calibri"/>
                <w:color w:val="000000"/>
              </w:rPr>
            </w:pPr>
            <w:r>
              <w:rPr>
                <w:rFonts w:cs="Calibri"/>
                <w:color w:val="000000"/>
              </w:rPr>
              <w:t>Send</w:t>
            </w:r>
          </w:p>
        </w:tc>
        <w:tc>
          <w:tcPr>
            <w:tcW w:w="1710" w:type="dxa"/>
            <w:vAlign w:val="center"/>
          </w:tcPr>
          <w:p w14:paraId="55E78074" w14:textId="77777777" w:rsidR="00F12319" w:rsidRPr="00E5198F" w:rsidRDefault="00F12319" w:rsidP="00F12319">
            <w:pPr>
              <w:ind w:left="0"/>
              <w:rPr>
                <w:rFonts w:cs="Calibri"/>
                <w:color w:val="000000"/>
              </w:rPr>
            </w:pPr>
            <w:r>
              <w:rPr>
                <w:rFonts w:cs="Calibri"/>
                <w:color w:val="000000"/>
              </w:rPr>
              <w:t>Offline / Annually</w:t>
            </w:r>
          </w:p>
        </w:tc>
        <w:tc>
          <w:tcPr>
            <w:tcW w:w="2430" w:type="dxa"/>
            <w:vAlign w:val="center"/>
          </w:tcPr>
          <w:p w14:paraId="2D37BD68" w14:textId="77777777" w:rsidR="00F12319" w:rsidRPr="00E5198F" w:rsidRDefault="00F12319" w:rsidP="00F12319">
            <w:pPr>
              <w:ind w:left="0"/>
              <w:rPr>
                <w:rFonts w:cs="Calibri"/>
                <w:color w:val="000000"/>
              </w:rPr>
            </w:pPr>
            <w:r>
              <w:rPr>
                <w:rFonts w:cs="Calibri"/>
                <w:color w:val="000000"/>
              </w:rPr>
              <w:t>Fed-Internal Revenue Service</w:t>
            </w:r>
          </w:p>
        </w:tc>
        <w:tc>
          <w:tcPr>
            <w:tcW w:w="2160" w:type="dxa"/>
            <w:vAlign w:val="center"/>
          </w:tcPr>
          <w:p w14:paraId="4E6A06DD" w14:textId="77777777" w:rsidR="00F12319" w:rsidRPr="00E5198F" w:rsidRDefault="00F12319" w:rsidP="00F12319">
            <w:pPr>
              <w:ind w:left="0"/>
              <w:rPr>
                <w:rFonts w:cs="Calibri"/>
                <w:color w:val="000000"/>
              </w:rPr>
            </w:pPr>
            <w:r>
              <w:rPr>
                <w:rFonts w:cs="Calibri"/>
                <w:color w:val="000000"/>
              </w:rPr>
              <w:t>FUTA Certification Program File</w:t>
            </w:r>
          </w:p>
        </w:tc>
        <w:tc>
          <w:tcPr>
            <w:tcW w:w="5760" w:type="dxa"/>
            <w:vAlign w:val="center"/>
          </w:tcPr>
          <w:p w14:paraId="54961C15" w14:textId="77777777" w:rsidR="00F12319" w:rsidRPr="00E5198F" w:rsidRDefault="00F12319" w:rsidP="00F12319">
            <w:pPr>
              <w:ind w:left="0"/>
              <w:rPr>
                <w:rFonts w:cs="Calibri"/>
                <w:color w:val="000000"/>
              </w:rPr>
            </w:pPr>
            <w:r>
              <w:rPr>
                <w:rFonts w:cs="Calibri"/>
                <w:color w:val="000000"/>
              </w:rPr>
              <w:t>IRS Secure Data Transfer (SDT) in January</w:t>
            </w:r>
          </w:p>
        </w:tc>
      </w:tr>
      <w:tr w:rsidR="00F12319" w14:paraId="2FF7DE79" w14:textId="77777777" w:rsidTr="00EB23D7">
        <w:tc>
          <w:tcPr>
            <w:tcW w:w="877" w:type="dxa"/>
            <w:vAlign w:val="center"/>
          </w:tcPr>
          <w:p w14:paraId="72E2AEA6" w14:textId="5F45DD7D" w:rsidR="00F12319" w:rsidRPr="00194F03" w:rsidRDefault="00F12319" w:rsidP="00F12319">
            <w:pPr>
              <w:ind w:left="0"/>
              <w:jc w:val="center"/>
              <w:rPr>
                <w:rFonts w:cs="Calibri"/>
                <w:color w:val="000000"/>
                <w:szCs w:val="22"/>
              </w:rPr>
            </w:pPr>
            <w:r>
              <w:rPr>
                <w:szCs w:val="22"/>
              </w:rPr>
              <w:t>24</w:t>
            </w:r>
          </w:p>
        </w:tc>
        <w:tc>
          <w:tcPr>
            <w:tcW w:w="1530" w:type="dxa"/>
            <w:vAlign w:val="center"/>
          </w:tcPr>
          <w:p w14:paraId="7D52FF0D" w14:textId="77777777" w:rsidR="00F12319" w:rsidRPr="00E5198F" w:rsidRDefault="00F12319" w:rsidP="00F12319">
            <w:pPr>
              <w:ind w:left="0"/>
              <w:rPr>
                <w:rFonts w:cs="Calibri"/>
                <w:color w:val="000000"/>
                <w:szCs w:val="22"/>
              </w:rPr>
            </w:pPr>
            <w:r w:rsidRPr="00E5198F">
              <w:rPr>
                <w:rFonts w:cs="Calibri"/>
                <w:color w:val="000000"/>
                <w:szCs w:val="22"/>
              </w:rPr>
              <w:t>Receive</w:t>
            </w:r>
          </w:p>
        </w:tc>
        <w:tc>
          <w:tcPr>
            <w:tcW w:w="1710" w:type="dxa"/>
            <w:vAlign w:val="center"/>
          </w:tcPr>
          <w:p w14:paraId="740F9386" w14:textId="77777777" w:rsidR="00F12319" w:rsidRPr="00E5198F" w:rsidRDefault="00F12319" w:rsidP="00F12319">
            <w:pPr>
              <w:ind w:left="0"/>
              <w:rPr>
                <w:rFonts w:cs="Calibri"/>
                <w:color w:val="000000"/>
                <w:szCs w:val="22"/>
              </w:rPr>
            </w:pPr>
            <w:r w:rsidRPr="00E5198F">
              <w:rPr>
                <w:rFonts w:cs="Calibri"/>
                <w:color w:val="000000"/>
                <w:szCs w:val="22"/>
              </w:rPr>
              <w:t>Offline / Quarterly</w:t>
            </w:r>
          </w:p>
        </w:tc>
        <w:tc>
          <w:tcPr>
            <w:tcW w:w="2430" w:type="dxa"/>
            <w:vAlign w:val="center"/>
          </w:tcPr>
          <w:p w14:paraId="149B7AFC" w14:textId="77777777" w:rsidR="00F12319" w:rsidRPr="00E5198F" w:rsidRDefault="00F12319" w:rsidP="00F12319">
            <w:pPr>
              <w:ind w:left="0"/>
              <w:rPr>
                <w:rFonts w:cs="Calibri"/>
                <w:color w:val="000000"/>
                <w:szCs w:val="22"/>
              </w:rPr>
            </w:pPr>
            <w:r w:rsidRPr="00E5198F">
              <w:rPr>
                <w:rFonts w:cs="Calibri"/>
                <w:color w:val="000000"/>
                <w:szCs w:val="22"/>
              </w:rPr>
              <w:t>Fed-Internal Revenue Service</w:t>
            </w:r>
          </w:p>
        </w:tc>
        <w:tc>
          <w:tcPr>
            <w:tcW w:w="2160" w:type="dxa"/>
            <w:vAlign w:val="center"/>
          </w:tcPr>
          <w:p w14:paraId="2BC9E067" w14:textId="77777777" w:rsidR="00F12319" w:rsidRPr="00E5198F" w:rsidRDefault="00F12319" w:rsidP="00F12319">
            <w:pPr>
              <w:ind w:left="0"/>
              <w:rPr>
                <w:rFonts w:cs="Calibri"/>
                <w:color w:val="000000"/>
                <w:szCs w:val="22"/>
              </w:rPr>
            </w:pPr>
            <w:r w:rsidRPr="00E5198F">
              <w:rPr>
                <w:rFonts w:cs="Calibri"/>
                <w:color w:val="000000"/>
                <w:szCs w:val="22"/>
              </w:rPr>
              <w:t>FUTA Quarterly (control file)</w:t>
            </w:r>
          </w:p>
        </w:tc>
        <w:tc>
          <w:tcPr>
            <w:tcW w:w="5760" w:type="dxa"/>
            <w:vAlign w:val="center"/>
          </w:tcPr>
          <w:p w14:paraId="7AB29480" w14:textId="77777777" w:rsidR="00F12319" w:rsidRPr="00E5198F" w:rsidRDefault="00F12319" w:rsidP="00F12319">
            <w:pPr>
              <w:ind w:left="0"/>
              <w:rPr>
                <w:rFonts w:cs="Calibri"/>
                <w:color w:val="000000"/>
                <w:szCs w:val="22"/>
              </w:rPr>
            </w:pPr>
            <w:r>
              <w:rPr>
                <w:rFonts w:cs="Calibri"/>
                <w:color w:val="000000"/>
                <w:szCs w:val="22"/>
              </w:rPr>
              <w:t>Comes with data file</w:t>
            </w:r>
          </w:p>
        </w:tc>
      </w:tr>
      <w:tr w:rsidR="00F12319" w14:paraId="4BB90116" w14:textId="77777777" w:rsidTr="00EB23D7">
        <w:tc>
          <w:tcPr>
            <w:tcW w:w="877" w:type="dxa"/>
            <w:vAlign w:val="center"/>
          </w:tcPr>
          <w:p w14:paraId="531E980E" w14:textId="6E8262F3" w:rsidR="00F12319" w:rsidRPr="00194F03" w:rsidRDefault="00F12319" w:rsidP="00F12319">
            <w:pPr>
              <w:ind w:left="0"/>
              <w:jc w:val="center"/>
              <w:rPr>
                <w:rFonts w:cs="Calibri"/>
                <w:color w:val="000000"/>
                <w:szCs w:val="22"/>
              </w:rPr>
            </w:pPr>
            <w:r>
              <w:rPr>
                <w:color w:val="000000"/>
                <w:szCs w:val="22"/>
              </w:rPr>
              <w:t>25</w:t>
            </w:r>
          </w:p>
        </w:tc>
        <w:tc>
          <w:tcPr>
            <w:tcW w:w="1530" w:type="dxa"/>
            <w:vAlign w:val="center"/>
          </w:tcPr>
          <w:p w14:paraId="57BC3198" w14:textId="77777777" w:rsidR="00F12319" w:rsidRPr="00E5198F" w:rsidRDefault="00F12319" w:rsidP="00F12319">
            <w:pPr>
              <w:ind w:left="0"/>
              <w:rPr>
                <w:rFonts w:cs="Calibri"/>
                <w:color w:val="000000"/>
                <w:szCs w:val="22"/>
              </w:rPr>
            </w:pPr>
            <w:r w:rsidRPr="00E5198F">
              <w:rPr>
                <w:rFonts w:cs="Calibri"/>
                <w:color w:val="000000"/>
                <w:szCs w:val="22"/>
              </w:rPr>
              <w:t>Receive</w:t>
            </w:r>
          </w:p>
        </w:tc>
        <w:tc>
          <w:tcPr>
            <w:tcW w:w="1710" w:type="dxa"/>
            <w:vAlign w:val="center"/>
          </w:tcPr>
          <w:p w14:paraId="69C76C42" w14:textId="77777777" w:rsidR="00F12319" w:rsidRPr="00E5198F" w:rsidRDefault="00F12319" w:rsidP="00F12319">
            <w:pPr>
              <w:ind w:left="0"/>
              <w:rPr>
                <w:rFonts w:cs="Calibri"/>
                <w:color w:val="000000"/>
                <w:szCs w:val="22"/>
              </w:rPr>
            </w:pPr>
            <w:r w:rsidRPr="00E5198F">
              <w:rPr>
                <w:rFonts w:cs="Calibri"/>
                <w:color w:val="000000"/>
                <w:szCs w:val="22"/>
              </w:rPr>
              <w:t>Offline / Quarterly</w:t>
            </w:r>
          </w:p>
        </w:tc>
        <w:tc>
          <w:tcPr>
            <w:tcW w:w="2430" w:type="dxa"/>
            <w:vAlign w:val="center"/>
          </w:tcPr>
          <w:p w14:paraId="22910A3A" w14:textId="77777777" w:rsidR="00F12319" w:rsidRPr="00E5198F" w:rsidRDefault="00F12319" w:rsidP="00F12319">
            <w:pPr>
              <w:ind w:left="0"/>
              <w:rPr>
                <w:rFonts w:cs="Calibri"/>
                <w:color w:val="000000"/>
                <w:szCs w:val="22"/>
              </w:rPr>
            </w:pPr>
            <w:r w:rsidRPr="00E5198F">
              <w:rPr>
                <w:rFonts w:cs="Calibri"/>
                <w:color w:val="000000"/>
                <w:szCs w:val="22"/>
              </w:rPr>
              <w:t>Fed-Internal Revenue Service</w:t>
            </w:r>
          </w:p>
        </w:tc>
        <w:tc>
          <w:tcPr>
            <w:tcW w:w="2160" w:type="dxa"/>
            <w:vAlign w:val="center"/>
          </w:tcPr>
          <w:p w14:paraId="31421C47" w14:textId="77777777" w:rsidR="00F12319" w:rsidRPr="00E5198F" w:rsidRDefault="00F12319" w:rsidP="00F12319">
            <w:pPr>
              <w:ind w:left="0"/>
              <w:rPr>
                <w:rFonts w:cs="Calibri"/>
                <w:color w:val="000000"/>
                <w:szCs w:val="22"/>
              </w:rPr>
            </w:pPr>
            <w:r w:rsidRPr="00E5198F">
              <w:rPr>
                <w:rFonts w:cs="Calibri"/>
                <w:color w:val="000000"/>
                <w:szCs w:val="22"/>
              </w:rPr>
              <w:t>FUTA Quarterly (data file)</w:t>
            </w:r>
          </w:p>
        </w:tc>
        <w:tc>
          <w:tcPr>
            <w:tcW w:w="5760" w:type="dxa"/>
            <w:vAlign w:val="center"/>
          </w:tcPr>
          <w:p w14:paraId="50439507" w14:textId="77777777" w:rsidR="00F12319" w:rsidRPr="00E5198F" w:rsidRDefault="00F12319" w:rsidP="00F12319">
            <w:pPr>
              <w:ind w:left="0"/>
              <w:rPr>
                <w:rFonts w:cs="Calibri"/>
                <w:color w:val="000000"/>
                <w:szCs w:val="22"/>
              </w:rPr>
            </w:pPr>
            <w:r>
              <w:rPr>
                <w:rFonts w:cs="Calibri"/>
                <w:color w:val="000000"/>
                <w:szCs w:val="22"/>
              </w:rPr>
              <w:t>Comes with control file</w:t>
            </w:r>
          </w:p>
        </w:tc>
      </w:tr>
      <w:tr w:rsidR="00F12319" w14:paraId="5986B2F2" w14:textId="77777777" w:rsidTr="00EB23D7">
        <w:tc>
          <w:tcPr>
            <w:tcW w:w="877" w:type="dxa"/>
            <w:vAlign w:val="center"/>
          </w:tcPr>
          <w:p w14:paraId="136B9724" w14:textId="737417DD" w:rsidR="00F12319" w:rsidRPr="00194F03" w:rsidRDefault="00F12319" w:rsidP="00F12319">
            <w:pPr>
              <w:ind w:left="0"/>
              <w:jc w:val="center"/>
              <w:rPr>
                <w:rFonts w:cs="Calibri"/>
                <w:color w:val="000000"/>
                <w:szCs w:val="22"/>
              </w:rPr>
            </w:pPr>
            <w:r>
              <w:rPr>
                <w:szCs w:val="22"/>
              </w:rPr>
              <w:t>26</w:t>
            </w:r>
          </w:p>
        </w:tc>
        <w:tc>
          <w:tcPr>
            <w:tcW w:w="1530" w:type="dxa"/>
            <w:vAlign w:val="center"/>
          </w:tcPr>
          <w:p w14:paraId="2191F401" w14:textId="77777777" w:rsidR="00F12319" w:rsidRPr="00E5198F" w:rsidRDefault="00F12319" w:rsidP="00F12319">
            <w:pPr>
              <w:ind w:left="0"/>
              <w:rPr>
                <w:rFonts w:cs="Calibri"/>
                <w:color w:val="000000"/>
                <w:szCs w:val="22"/>
              </w:rPr>
            </w:pPr>
            <w:r w:rsidRPr="00E5198F">
              <w:rPr>
                <w:rFonts w:cs="Calibri"/>
                <w:color w:val="000000"/>
                <w:szCs w:val="22"/>
              </w:rPr>
              <w:t>Receive/</w:t>
            </w:r>
            <w:r>
              <w:rPr>
                <w:rFonts w:cs="Calibri"/>
                <w:color w:val="000000"/>
                <w:szCs w:val="22"/>
              </w:rPr>
              <w:t xml:space="preserve"> </w:t>
            </w:r>
            <w:r w:rsidRPr="00E5198F">
              <w:rPr>
                <w:rFonts w:cs="Calibri"/>
                <w:color w:val="000000"/>
                <w:szCs w:val="22"/>
              </w:rPr>
              <w:t>Send</w:t>
            </w:r>
          </w:p>
        </w:tc>
        <w:tc>
          <w:tcPr>
            <w:tcW w:w="1710" w:type="dxa"/>
            <w:vAlign w:val="center"/>
          </w:tcPr>
          <w:p w14:paraId="774A9F7B" w14:textId="77777777" w:rsidR="00F12319" w:rsidRPr="00E5198F" w:rsidRDefault="00F12319" w:rsidP="00F12319">
            <w:pPr>
              <w:ind w:left="0"/>
              <w:rPr>
                <w:rFonts w:cs="Calibri"/>
                <w:color w:val="000000"/>
                <w:szCs w:val="22"/>
              </w:rPr>
            </w:pPr>
            <w:r w:rsidRPr="00E5198F">
              <w:rPr>
                <w:rFonts w:cs="Calibri"/>
                <w:color w:val="000000"/>
                <w:szCs w:val="22"/>
              </w:rPr>
              <w:t xml:space="preserve">Offline / </w:t>
            </w:r>
            <w:r>
              <w:rPr>
                <w:rFonts w:cs="Calibri"/>
                <w:color w:val="000000"/>
                <w:szCs w:val="22"/>
              </w:rPr>
              <w:br/>
            </w:r>
            <w:r w:rsidRPr="00E5198F">
              <w:rPr>
                <w:rFonts w:cs="Calibri"/>
                <w:color w:val="000000"/>
                <w:szCs w:val="22"/>
              </w:rPr>
              <w:t>On Request</w:t>
            </w:r>
          </w:p>
        </w:tc>
        <w:tc>
          <w:tcPr>
            <w:tcW w:w="2430" w:type="dxa"/>
            <w:vAlign w:val="center"/>
          </w:tcPr>
          <w:p w14:paraId="04D518B7" w14:textId="77777777" w:rsidR="00F12319" w:rsidRPr="00E5198F" w:rsidRDefault="00F12319" w:rsidP="00F12319">
            <w:pPr>
              <w:ind w:left="0"/>
              <w:rPr>
                <w:rFonts w:cs="Calibri"/>
                <w:color w:val="000000"/>
                <w:szCs w:val="22"/>
              </w:rPr>
            </w:pPr>
            <w:r w:rsidRPr="00E5198F">
              <w:rPr>
                <w:rFonts w:cs="Calibri"/>
                <w:color w:val="000000"/>
                <w:szCs w:val="22"/>
              </w:rPr>
              <w:t>Fed-Railroad Retirement Board</w:t>
            </w:r>
          </w:p>
        </w:tc>
        <w:tc>
          <w:tcPr>
            <w:tcW w:w="2160" w:type="dxa"/>
            <w:vAlign w:val="center"/>
          </w:tcPr>
          <w:p w14:paraId="7E21CEA9" w14:textId="77777777" w:rsidR="00F12319" w:rsidRPr="00E5198F" w:rsidRDefault="00F12319" w:rsidP="00F12319">
            <w:pPr>
              <w:ind w:left="0"/>
              <w:rPr>
                <w:rFonts w:cs="Calibri"/>
                <w:color w:val="000000"/>
                <w:szCs w:val="22"/>
              </w:rPr>
            </w:pPr>
            <w:r>
              <w:rPr>
                <w:rFonts w:cs="Calibri"/>
                <w:color w:val="000000"/>
                <w:szCs w:val="22"/>
              </w:rPr>
              <w:t>SSN Match</w:t>
            </w:r>
            <w:r w:rsidRPr="00E5198F">
              <w:rPr>
                <w:rFonts w:cs="Calibri"/>
                <w:color w:val="000000"/>
                <w:szCs w:val="22"/>
              </w:rPr>
              <w:t>/</w:t>
            </w:r>
            <w:r>
              <w:rPr>
                <w:rFonts w:cs="Calibri"/>
                <w:color w:val="000000"/>
                <w:szCs w:val="22"/>
              </w:rPr>
              <w:t xml:space="preserve"> </w:t>
            </w:r>
            <w:r w:rsidRPr="00E5198F">
              <w:rPr>
                <w:rFonts w:cs="Calibri"/>
                <w:color w:val="000000"/>
                <w:szCs w:val="22"/>
              </w:rPr>
              <w:t>W</w:t>
            </w:r>
            <w:r>
              <w:rPr>
                <w:rFonts w:cs="Calibri"/>
                <w:color w:val="000000"/>
                <w:szCs w:val="22"/>
              </w:rPr>
              <w:t>ages</w:t>
            </w:r>
            <w:r w:rsidRPr="00E5198F">
              <w:rPr>
                <w:rFonts w:cs="Calibri"/>
                <w:color w:val="000000"/>
                <w:szCs w:val="22"/>
              </w:rPr>
              <w:t>/</w:t>
            </w:r>
            <w:r>
              <w:rPr>
                <w:rFonts w:cs="Calibri"/>
                <w:color w:val="000000"/>
                <w:szCs w:val="22"/>
              </w:rPr>
              <w:t xml:space="preserve"> </w:t>
            </w:r>
            <w:r w:rsidRPr="00E5198F">
              <w:rPr>
                <w:rFonts w:cs="Calibri"/>
                <w:color w:val="000000"/>
                <w:szCs w:val="22"/>
              </w:rPr>
              <w:t>B</w:t>
            </w:r>
            <w:r>
              <w:rPr>
                <w:rFonts w:cs="Calibri"/>
                <w:color w:val="000000"/>
                <w:szCs w:val="22"/>
              </w:rPr>
              <w:t>enefits</w:t>
            </w:r>
          </w:p>
        </w:tc>
        <w:tc>
          <w:tcPr>
            <w:tcW w:w="5760" w:type="dxa"/>
            <w:vAlign w:val="center"/>
          </w:tcPr>
          <w:p w14:paraId="720233B6" w14:textId="77777777" w:rsidR="00F12319" w:rsidRPr="00E5198F" w:rsidRDefault="00F12319" w:rsidP="00F12319">
            <w:pPr>
              <w:ind w:left="0"/>
              <w:rPr>
                <w:rFonts w:cs="Calibri"/>
                <w:color w:val="000000"/>
                <w:szCs w:val="22"/>
              </w:rPr>
            </w:pPr>
            <w:r w:rsidRPr="00E5198F">
              <w:rPr>
                <w:rFonts w:cs="Calibri"/>
                <w:color w:val="000000"/>
                <w:szCs w:val="22"/>
              </w:rPr>
              <w:t xml:space="preserve">Retrieve SSN wage/UI </w:t>
            </w:r>
            <w:r>
              <w:rPr>
                <w:rFonts w:cs="Calibri"/>
                <w:color w:val="000000"/>
                <w:szCs w:val="22"/>
              </w:rPr>
              <w:t>Benefits</w:t>
            </w:r>
          </w:p>
        </w:tc>
      </w:tr>
      <w:tr w:rsidR="00F12319" w14:paraId="5BE24E5A" w14:textId="77777777" w:rsidTr="00EB23D7">
        <w:tc>
          <w:tcPr>
            <w:tcW w:w="877" w:type="dxa"/>
            <w:vAlign w:val="center"/>
          </w:tcPr>
          <w:p w14:paraId="1F8BC210" w14:textId="552DFC56" w:rsidR="00F12319" w:rsidRPr="00194F03" w:rsidRDefault="00F12319" w:rsidP="00F12319">
            <w:pPr>
              <w:ind w:left="0"/>
              <w:jc w:val="center"/>
              <w:rPr>
                <w:rFonts w:cs="Calibri"/>
                <w:color w:val="000000"/>
                <w:szCs w:val="22"/>
              </w:rPr>
            </w:pPr>
            <w:r>
              <w:rPr>
                <w:color w:val="000000"/>
                <w:szCs w:val="22"/>
              </w:rPr>
              <w:lastRenderedPageBreak/>
              <w:t>27</w:t>
            </w:r>
          </w:p>
        </w:tc>
        <w:tc>
          <w:tcPr>
            <w:tcW w:w="1530" w:type="dxa"/>
            <w:vAlign w:val="center"/>
          </w:tcPr>
          <w:p w14:paraId="4FA0929D" w14:textId="77777777" w:rsidR="00F12319" w:rsidRPr="00E5198F" w:rsidRDefault="00F12319" w:rsidP="00F12319">
            <w:pPr>
              <w:ind w:left="0"/>
              <w:rPr>
                <w:rFonts w:cs="Calibri"/>
                <w:color w:val="000000"/>
                <w:szCs w:val="22"/>
              </w:rPr>
            </w:pPr>
            <w:r w:rsidRPr="00E5198F">
              <w:rPr>
                <w:rFonts w:cs="Calibri"/>
                <w:color w:val="000000"/>
                <w:szCs w:val="22"/>
              </w:rPr>
              <w:t>Receive</w:t>
            </w:r>
          </w:p>
        </w:tc>
        <w:tc>
          <w:tcPr>
            <w:tcW w:w="1710" w:type="dxa"/>
            <w:vAlign w:val="center"/>
          </w:tcPr>
          <w:p w14:paraId="5E2570B8" w14:textId="77777777" w:rsidR="00F12319" w:rsidRPr="00E5198F" w:rsidRDefault="00F12319" w:rsidP="00F12319">
            <w:pPr>
              <w:ind w:left="0"/>
              <w:rPr>
                <w:rFonts w:cs="Calibri"/>
                <w:color w:val="000000"/>
                <w:szCs w:val="22"/>
              </w:rPr>
            </w:pPr>
            <w:r w:rsidRPr="00E5198F">
              <w:rPr>
                <w:rFonts w:cs="Calibri"/>
                <w:color w:val="000000"/>
                <w:szCs w:val="22"/>
              </w:rPr>
              <w:t>Offline / Daily (M-F)</w:t>
            </w:r>
          </w:p>
        </w:tc>
        <w:tc>
          <w:tcPr>
            <w:tcW w:w="2430" w:type="dxa"/>
            <w:vAlign w:val="center"/>
          </w:tcPr>
          <w:p w14:paraId="5D621AF5" w14:textId="77777777" w:rsidR="00F12319" w:rsidRPr="00E5198F" w:rsidRDefault="00F12319" w:rsidP="00F12319">
            <w:pPr>
              <w:ind w:left="0"/>
              <w:rPr>
                <w:rFonts w:cs="Calibri"/>
                <w:color w:val="000000"/>
                <w:szCs w:val="22"/>
              </w:rPr>
            </w:pPr>
            <w:r w:rsidRPr="00E5198F">
              <w:rPr>
                <w:rFonts w:cs="Calibri"/>
                <w:color w:val="000000"/>
                <w:szCs w:val="22"/>
              </w:rPr>
              <w:t>First Advantage Corporation</w:t>
            </w:r>
          </w:p>
        </w:tc>
        <w:tc>
          <w:tcPr>
            <w:tcW w:w="2160" w:type="dxa"/>
            <w:vAlign w:val="center"/>
          </w:tcPr>
          <w:p w14:paraId="17B11A39" w14:textId="77777777" w:rsidR="00F12319" w:rsidRPr="00E5198F" w:rsidRDefault="00F12319" w:rsidP="00F12319">
            <w:pPr>
              <w:ind w:left="0"/>
              <w:rPr>
                <w:rFonts w:cs="Calibri"/>
                <w:color w:val="000000"/>
                <w:szCs w:val="22"/>
              </w:rPr>
            </w:pPr>
            <w:r w:rsidRPr="00E5198F">
              <w:rPr>
                <w:rFonts w:cs="Calibri"/>
                <w:color w:val="000000"/>
                <w:szCs w:val="22"/>
              </w:rPr>
              <w:t>Form 8850 FTP</w:t>
            </w:r>
          </w:p>
        </w:tc>
        <w:tc>
          <w:tcPr>
            <w:tcW w:w="5760" w:type="dxa"/>
            <w:vAlign w:val="center"/>
          </w:tcPr>
          <w:p w14:paraId="0047C1CC" w14:textId="77777777" w:rsidR="00F12319" w:rsidRPr="00E5198F" w:rsidRDefault="00F12319" w:rsidP="00F12319">
            <w:pPr>
              <w:ind w:left="0"/>
              <w:rPr>
                <w:rFonts w:cs="Calibri"/>
                <w:color w:val="000000"/>
                <w:szCs w:val="22"/>
              </w:rPr>
            </w:pPr>
            <w:r w:rsidRPr="00E5198F">
              <w:rPr>
                <w:rFonts w:ascii="Arial" w:hAnsi="Arial" w:cs="Arial"/>
                <w:color w:val="000000"/>
                <w:szCs w:val="22"/>
              </w:rPr>
              <w:t>​</w:t>
            </w:r>
            <w:r w:rsidRPr="003D2D23">
              <w:rPr>
                <w:rFonts w:cs="Calibri"/>
                <w:color w:val="000000"/>
                <w:szCs w:val="22"/>
              </w:rPr>
              <w:t>Secure transfer of data</w:t>
            </w:r>
          </w:p>
        </w:tc>
      </w:tr>
      <w:tr w:rsidR="00F12319" w14:paraId="33185A83" w14:textId="77777777" w:rsidTr="00EB23D7">
        <w:tc>
          <w:tcPr>
            <w:tcW w:w="877" w:type="dxa"/>
            <w:vAlign w:val="center"/>
          </w:tcPr>
          <w:p w14:paraId="13E4C916" w14:textId="1C70A9E2" w:rsidR="00F12319" w:rsidRPr="00194F03" w:rsidRDefault="00F12319" w:rsidP="00F12319">
            <w:pPr>
              <w:ind w:left="0"/>
              <w:jc w:val="center"/>
              <w:rPr>
                <w:rFonts w:cs="Calibri"/>
                <w:color w:val="000000"/>
                <w:szCs w:val="22"/>
              </w:rPr>
            </w:pPr>
            <w:r>
              <w:rPr>
                <w:szCs w:val="22"/>
              </w:rPr>
              <w:t>28</w:t>
            </w:r>
          </w:p>
        </w:tc>
        <w:tc>
          <w:tcPr>
            <w:tcW w:w="1530" w:type="dxa"/>
            <w:vAlign w:val="center"/>
          </w:tcPr>
          <w:p w14:paraId="4B03128E" w14:textId="77777777" w:rsidR="00F12319" w:rsidRPr="00E5198F" w:rsidRDefault="00F12319" w:rsidP="00F12319">
            <w:pPr>
              <w:ind w:left="0"/>
              <w:rPr>
                <w:rFonts w:cs="Calibri"/>
                <w:color w:val="000000"/>
                <w:szCs w:val="22"/>
              </w:rPr>
            </w:pPr>
            <w:r w:rsidRPr="00E5198F">
              <w:rPr>
                <w:rFonts w:cs="Calibri"/>
                <w:color w:val="000000"/>
                <w:szCs w:val="22"/>
              </w:rPr>
              <w:t>Receive</w:t>
            </w:r>
          </w:p>
        </w:tc>
        <w:tc>
          <w:tcPr>
            <w:tcW w:w="1710" w:type="dxa"/>
            <w:vAlign w:val="center"/>
          </w:tcPr>
          <w:p w14:paraId="4FEBA8F4" w14:textId="77777777" w:rsidR="00F12319" w:rsidRPr="00E5198F" w:rsidRDefault="00F12319" w:rsidP="00F12319">
            <w:pPr>
              <w:ind w:left="0"/>
              <w:rPr>
                <w:rFonts w:cs="Calibri"/>
                <w:color w:val="000000"/>
                <w:szCs w:val="22"/>
              </w:rPr>
            </w:pPr>
            <w:r w:rsidRPr="00E5198F">
              <w:rPr>
                <w:rFonts w:cs="Calibri"/>
                <w:color w:val="000000"/>
                <w:szCs w:val="22"/>
              </w:rPr>
              <w:t>Offline / Quarterly</w:t>
            </w:r>
          </w:p>
        </w:tc>
        <w:tc>
          <w:tcPr>
            <w:tcW w:w="2430" w:type="dxa"/>
            <w:vAlign w:val="center"/>
          </w:tcPr>
          <w:p w14:paraId="1EBD6A8A" w14:textId="77777777" w:rsidR="00F12319" w:rsidRPr="00E5198F" w:rsidRDefault="00F12319" w:rsidP="00F12319">
            <w:pPr>
              <w:ind w:left="0"/>
              <w:rPr>
                <w:rFonts w:cs="Calibri"/>
                <w:color w:val="000000"/>
                <w:szCs w:val="22"/>
              </w:rPr>
            </w:pPr>
            <w:r w:rsidRPr="00E5198F">
              <w:rPr>
                <w:rFonts w:cs="Calibri"/>
                <w:color w:val="000000"/>
                <w:szCs w:val="22"/>
              </w:rPr>
              <w:t>Florida Hospital</w:t>
            </w:r>
            <w:r>
              <w:rPr>
                <w:rFonts w:cs="Calibri"/>
                <w:color w:val="000000"/>
                <w:szCs w:val="22"/>
              </w:rPr>
              <w:t xml:space="preserve"> (aka Adventist Healthcare)</w:t>
            </w:r>
          </w:p>
        </w:tc>
        <w:tc>
          <w:tcPr>
            <w:tcW w:w="2160" w:type="dxa"/>
            <w:vAlign w:val="center"/>
          </w:tcPr>
          <w:p w14:paraId="63ACF810" w14:textId="77777777" w:rsidR="00F12319" w:rsidRPr="00E5198F" w:rsidRDefault="00F12319" w:rsidP="00F12319">
            <w:pPr>
              <w:ind w:left="0"/>
              <w:rPr>
                <w:rFonts w:cs="Calibri"/>
                <w:color w:val="000000"/>
                <w:szCs w:val="22"/>
              </w:rPr>
            </w:pPr>
            <w:r w:rsidRPr="00E5198F">
              <w:rPr>
                <w:rFonts w:cs="Calibri"/>
                <w:color w:val="000000"/>
                <w:szCs w:val="22"/>
              </w:rPr>
              <w:t>C3 &amp; C4 Filing</w:t>
            </w:r>
          </w:p>
        </w:tc>
        <w:tc>
          <w:tcPr>
            <w:tcW w:w="5760" w:type="dxa"/>
            <w:vAlign w:val="center"/>
          </w:tcPr>
          <w:p w14:paraId="7DB56609" w14:textId="77777777" w:rsidR="00F12319" w:rsidRPr="00E5198F" w:rsidRDefault="00F12319" w:rsidP="00F12319">
            <w:pPr>
              <w:ind w:left="0"/>
              <w:rPr>
                <w:rFonts w:cs="Calibri"/>
                <w:color w:val="000000"/>
                <w:szCs w:val="22"/>
              </w:rPr>
            </w:pPr>
            <w:r w:rsidRPr="00E5198F">
              <w:rPr>
                <w:rFonts w:cs="Calibri"/>
                <w:color w:val="000000"/>
                <w:szCs w:val="22"/>
              </w:rPr>
              <w:t xml:space="preserve">Receives </w:t>
            </w:r>
            <w:r w:rsidRPr="003D2D23">
              <w:rPr>
                <w:rFonts w:cs="Calibri"/>
                <w:color w:val="000000"/>
                <w:szCs w:val="22"/>
              </w:rPr>
              <w:t>one (1)</w:t>
            </w:r>
            <w:r>
              <w:rPr>
                <w:rFonts w:cs="Calibri"/>
                <w:color w:val="000000"/>
                <w:szCs w:val="22"/>
              </w:rPr>
              <w:t xml:space="preserve"> </w:t>
            </w:r>
            <w:r w:rsidRPr="00E5198F">
              <w:rPr>
                <w:rFonts w:cs="Calibri"/>
                <w:color w:val="000000"/>
                <w:szCs w:val="22"/>
              </w:rPr>
              <w:t>file</w:t>
            </w:r>
          </w:p>
        </w:tc>
      </w:tr>
      <w:tr w:rsidR="00F12319" w14:paraId="19A80C45" w14:textId="77777777" w:rsidTr="00EB23D7">
        <w:tc>
          <w:tcPr>
            <w:tcW w:w="877" w:type="dxa"/>
            <w:vAlign w:val="center"/>
          </w:tcPr>
          <w:p w14:paraId="48551527" w14:textId="7E572BB7" w:rsidR="00F12319" w:rsidRPr="00194F03" w:rsidRDefault="00F12319" w:rsidP="00F12319">
            <w:pPr>
              <w:ind w:left="0"/>
              <w:jc w:val="center"/>
              <w:rPr>
                <w:rFonts w:cs="Calibri"/>
                <w:color w:val="000000"/>
                <w:szCs w:val="22"/>
              </w:rPr>
            </w:pPr>
            <w:r>
              <w:rPr>
                <w:color w:val="000000"/>
                <w:szCs w:val="22"/>
              </w:rPr>
              <w:t>29</w:t>
            </w:r>
          </w:p>
        </w:tc>
        <w:tc>
          <w:tcPr>
            <w:tcW w:w="1530" w:type="dxa"/>
            <w:vAlign w:val="center"/>
          </w:tcPr>
          <w:p w14:paraId="0319508A" w14:textId="77777777" w:rsidR="00F12319" w:rsidRPr="003D2D23" w:rsidRDefault="00F12319" w:rsidP="00F12319">
            <w:pPr>
              <w:ind w:left="0"/>
              <w:rPr>
                <w:rFonts w:cs="Calibri"/>
                <w:color w:val="000000"/>
                <w:szCs w:val="22"/>
              </w:rPr>
            </w:pPr>
            <w:r w:rsidRPr="003D2D23">
              <w:rPr>
                <w:rFonts w:cs="Calibri"/>
                <w:color w:val="000000"/>
                <w:szCs w:val="22"/>
              </w:rPr>
              <w:t>Receive</w:t>
            </w:r>
          </w:p>
        </w:tc>
        <w:tc>
          <w:tcPr>
            <w:tcW w:w="1710" w:type="dxa"/>
            <w:vAlign w:val="center"/>
          </w:tcPr>
          <w:p w14:paraId="7D3369AA" w14:textId="77777777" w:rsidR="00F12319" w:rsidRPr="003D2D23" w:rsidRDefault="00F12319" w:rsidP="00F12319">
            <w:pPr>
              <w:ind w:left="0"/>
              <w:rPr>
                <w:rFonts w:cs="Calibri"/>
                <w:color w:val="000000"/>
                <w:szCs w:val="22"/>
              </w:rPr>
            </w:pPr>
            <w:r w:rsidRPr="003D2D23">
              <w:rPr>
                <w:rFonts w:cs="Calibri"/>
                <w:color w:val="000000"/>
                <w:szCs w:val="22"/>
              </w:rPr>
              <w:t>Offline / Daily</w:t>
            </w:r>
          </w:p>
        </w:tc>
        <w:tc>
          <w:tcPr>
            <w:tcW w:w="2430" w:type="dxa"/>
            <w:vAlign w:val="center"/>
          </w:tcPr>
          <w:p w14:paraId="38698D0E" w14:textId="77777777" w:rsidR="00F12319" w:rsidRPr="003D2D23" w:rsidRDefault="00F12319" w:rsidP="00F12319">
            <w:pPr>
              <w:ind w:left="0"/>
              <w:rPr>
                <w:rFonts w:cs="Calibri"/>
                <w:color w:val="000000"/>
                <w:szCs w:val="22"/>
              </w:rPr>
            </w:pPr>
            <w:r w:rsidRPr="003D2D23">
              <w:rPr>
                <w:rFonts w:cs="Calibri"/>
                <w:color w:val="000000"/>
                <w:szCs w:val="22"/>
              </w:rPr>
              <w:t>Free Inc.</w:t>
            </w:r>
          </w:p>
        </w:tc>
        <w:tc>
          <w:tcPr>
            <w:tcW w:w="2160" w:type="dxa"/>
            <w:vAlign w:val="center"/>
          </w:tcPr>
          <w:p w14:paraId="44552B07" w14:textId="77777777" w:rsidR="00F12319" w:rsidRPr="003D2D23" w:rsidRDefault="00F12319" w:rsidP="00F12319">
            <w:pPr>
              <w:ind w:left="0"/>
              <w:rPr>
                <w:rFonts w:cs="Calibri"/>
                <w:color w:val="000000"/>
                <w:szCs w:val="22"/>
              </w:rPr>
            </w:pPr>
            <w:r w:rsidRPr="003D2D23">
              <w:rPr>
                <w:rFonts w:cs="Calibri"/>
                <w:color w:val="000000"/>
                <w:szCs w:val="22"/>
              </w:rPr>
              <w:t>Form 8850 FTP</w:t>
            </w:r>
          </w:p>
        </w:tc>
        <w:tc>
          <w:tcPr>
            <w:tcW w:w="5760" w:type="dxa"/>
            <w:vAlign w:val="center"/>
          </w:tcPr>
          <w:p w14:paraId="12607653" w14:textId="77777777" w:rsidR="00F12319" w:rsidRPr="003D2D23" w:rsidRDefault="00F12319" w:rsidP="00F12319">
            <w:pPr>
              <w:ind w:left="0"/>
              <w:rPr>
                <w:rFonts w:cs="Calibri"/>
                <w:color w:val="000000"/>
                <w:szCs w:val="22"/>
              </w:rPr>
            </w:pPr>
            <w:r w:rsidRPr="003D2D23">
              <w:rPr>
                <w:rFonts w:ascii="Arial" w:hAnsi="Arial" w:cs="Arial"/>
                <w:color w:val="000000"/>
                <w:szCs w:val="22"/>
              </w:rPr>
              <w:t>​</w:t>
            </w:r>
            <w:r w:rsidRPr="003D2D23">
              <w:rPr>
                <w:rFonts w:cs="Calibri"/>
                <w:color w:val="000000"/>
                <w:szCs w:val="22"/>
              </w:rPr>
              <w:t>Secure transfer of data</w:t>
            </w:r>
          </w:p>
        </w:tc>
      </w:tr>
      <w:tr w:rsidR="00F12319" w14:paraId="096AE9B2" w14:textId="77777777" w:rsidTr="00EB23D7">
        <w:tc>
          <w:tcPr>
            <w:tcW w:w="877" w:type="dxa"/>
            <w:vAlign w:val="center"/>
          </w:tcPr>
          <w:p w14:paraId="5EEB7CCB" w14:textId="1C9D986C" w:rsidR="00F12319" w:rsidRPr="00194F03" w:rsidRDefault="00F12319" w:rsidP="00F12319">
            <w:pPr>
              <w:ind w:left="0"/>
              <w:jc w:val="center"/>
              <w:rPr>
                <w:rFonts w:cs="Calibri"/>
                <w:color w:val="000000"/>
                <w:szCs w:val="22"/>
              </w:rPr>
            </w:pPr>
            <w:r>
              <w:rPr>
                <w:szCs w:val="22"/>
              </w:rPr>
              <w:t>30</w:t>
            </w:r>
          </w:p>
        </w:tc>
        <w:tc>
          <w:tcPr>
            <w:tcW w:w="1530" w:type="dxa"/>
            <w:vAlign w:val="center"/>
          </w:tcPr>
          <w:p w14:paraId="0B1F6DC3" w14:textId="77777777" w:rsidR="00F12319" w:rsidRPr="003D2D23" w:rsidRDefault="00F12319" w:rsidP="00F12319">
            <w:pPr>
              <w:ind w:left="0"/>
              <w:rPr>
                <w:rFonts w:cs="Calibri"/>
                <w:color w:val="000000"/>
                <w:szCs w:val="22"/>
              </w:rPr>
            </w:pPr>
            <w:r w:rsidRPr="003D2D23">
              <w:rPr>
                <w:rFonts w:cs="Calibri"/>
                <w:color w:val="000000"/>
                <w:szCs w:val="22"/>
              </w:rPr>
              <w:t>Receive</w:t>
            </w:r>
          </w:p>
        </w:tc>
        <w:tc>
          <w:tcPr>
            <w:tcW w:w="1710" w:type="dxa"/>
            <w:vAlign w:val="center"/>
          </w:tcPr>
          <w:p w14:paraId="4FC28889" w14:textId="77777777" w:rsidR="00F12319" w:rsidRPr="003D2D23" w:rsidRDefault="00F12319" w:rsidP="00F12319">
            <w:pPr>
              <w:ind w:left="0"/>
              <w:rPr>
                <w:rFonts w:cs="Calibri"/>
                <w:color w:val="000000"/>
                <w:szCs w:val="22"/>
              </w:rPr>
            </w:pPr>
            <w:r w:rsidRPr="003D2D23">
              <w:rPr>
                <w:rFonts w:cs="Calibri"/>
                <w:color w:val="000000"/>
                <w:szCs w:val="22"/>
              </w:rPr>
              <w:t>Offline / Quarterly</w:t>
            </w:r>
          </w:p>
        </w:tc>
        <w:tc>
          <w:tcPr>
            <w:tcW w:w="2430" w:type="dxa"/>
            <w:vAlign w:val="center"/>
          </w:tcPr>
          <w:p w14:paraId="74FCE089" w14:textId="77777777" w:rsidR="00F12319" w:rsidRPr="003D2D23" w:rsidRDefault="00F12319" w:rsidP="00F12319">
            <w:pPr>
              <w:ind w:left="0"/>
              <w:rPr>
                <w:rFonts w:cs="Calibri"/>
                <w:color w:val="000000"/>
                <w:szCs w:val="22"/>
              </w:rPr>
            </w:pPr>
            <w:r w:rsidRPr="003D2D23">
              <w:rPr>
                <w:rFonts w:cs="Calibri"/>
                <w:color w:val="000000"/>
                <w:szCs w:val="22"/>
              </w:rPr>
              <w:t>Grocers Supply</w:t>
            </w:r>
          </w:p>
        </w:tc>
        <w:tc>
          <w:tcPr>
            <w:tcW w:w="2160" w:type="dxa"/>
            <w:vAlign w:val="center"/>
          </w:tcPr>
          <w:p w14:paraId="243ECFC6" w14:textId="77777777" w:rsidR="00F12319" w:rsidRPr="003D2D23" w:rsidRDefault="00F12319" w:rsidP="00F12319">
            <w:pPr>
              <w:ind w:left="0"/>
              <w:rPr>
                <w:rFonts w:cs="Calibri"/>
                <w:color w:val="000000"/>
                <w:szCs w:val="22"/>
              </w:rPr>
            </w:pPr>
            <w:r w:rsidRPr="003D2D23">
              <w:rPr>
                <w:rFonts w:cs="Calibri"/>
                <w:color w:val="000000"/>
                <w:szCs w:val="22"/>
              </w:rPr>
              <w:t>C3 &amp; C4 Filing</w:t>
            </w:r>
          </w:p>
        </w:tc>
        <w:tc>
          <w:tcPr>
            <w:tcW w:w="5760" w:type="dxa"/>
            <w:vAlign w:val="center"/>
          </w:tcPr>
          <w:p w14:paraId="18B596E7" w14:textId="77777777" w:rsidR="00F12319" w:rsidRPr="003D2D23" w:rsidRDefault="00F12319" w:rsidP="00F12319">
            <w:pPr>
              <w:ind w:left="0"/>
              <w:rPr>
                <w:rFonts w:cs="Calibri"/>
                <w:color w:val="000000"/>
                <w:szCs w:val="22"/>
              </w:rPr>
            </w:pPr>
            <w:r w:rsidRPr="003D2D23">
              <w:rPr>
                <w:rFonts w:cs="Calibri"/>
                <w:color w:val="000000"/>
                <w:szCs w:val="22"/>
              </w:rPr>
              <w:t>Receives one (1)</w:t>
            </w:r>
            <w:r>
              <w:rPr>
                <w:rFonts w:cs="Calibri"/>
                <w:color w:val="000000"/>
                <w:szCs w:val="22"/>
              </w:rPr>
              <w:t xml:space="preserve"> </w:t>
            </w:r>
            <w:r w:rsidRPr="003D2D23">
              <w:rPr>
                <w:rFonts w:cs="Calibri"/>
                <w:color w:val="000000"/>
                <w:szCs w:val="22"/>
              </w:rPr>
              <w:t>file</w:t>
            </w:r>
          </w:p>
        </w:tc>
      </w:tr>
      <w:tr w:rsidR="00F12319" w14:paraId="630383A4" w14:textId="77777777" w:rsidTr="00EB23D7">
        <w:tc>
          <w:tcPr>
            <w:tcW w:w="877" w:type="dxa"/>
            <w:vAlign w:val="center"/>
          </w:tcPr>
          <w:p w14:paraId="659419F8" w14:textId="79936DDA" w:rsidR="00F12319" w:rsidRPr="00194F03" w:rsidRDefault="00F12319" w:rsidP="00F12319">
            <w:pPr>
              <w:ind w:left="0"/>
              <w:jc w:val="center"/>
              <w:rPr>
                <w:rFonts w:cs="Calibri"/>
                <w:color w:val="000000"/>
                <w:szCs w:val="22"/>
              </w:rPr>
            </w:pPr>
            <w:r>
              <w:rPr>
                <w:color w:val="000000"/>
                <w:szCs w:val="22"/>
              </w:rPr>
              <w:t>31</w:t>
            </w:r>
          </w:p>
        </w:tc>
        <w:tc>
          <w:tcPr>
            <w:tcW w:w="1530" w:type="dxa"/>
            <w:vAlign w:val="center"/>
          </w:tcPr>
          <w:p w14:paraId="7DB523CB" w14:textId="77777777" w:rsidR="00F12319" w:rsidRPr="003D2D23" w:rsidRDefault="00F12319" w:rsidP="00F12319">
            <w:pPr>
              <w:ind w:left="0"/>
              <w:rPr>
                <w:rFonts w:cs="Calibri"/>
                <w:color w:val="000000"/>
                <w:szCs w:val="22"/>
              </w:rPr>
            </w:pPr>
            <w:r w:rsidRPr="003D2D23">
              <w:rPr>
                <w:rFonts w:cs="Calibri"/>
                <w:color w:val="000000"/>
                <w:szCs w:val="22"/>
              </w:rPr>
              <w:t>Receive</w:t>
            </w:r>
          </w:p>
        </w:tc>
        <w:tc>
          <w:tcPr>
            <w:tcW w:w="1710" w:type="dxa"/>
            <w:vAlign w:val="center"/>
          </w:tcPr>
          <w:p w14:paraId="292B27BF" w14:textId="77777777" w:rsidR="00F12319" w:rsidRPr="003D2D23" w:rsidRDefault="00F12319" w:rsidP="00F12319">
            <w:pPr>
              <w:ind w:left="0"/>
              <w:rPr>
                <w:rFonts w:cs="Calibri"/>
                <w:color w:val="000000"/>
                <w:szCs w:val="22"/>
              </w:rPr>
            </w:pPr>
            <w:r w:rsidRPr="003D2D23">
              <w:rPr>
                <w:rFonts w:cs="Calibri"/>
                <w:color w:val="000000"/>
                <w:szCs w:val="22"/>
              </w:rPr>
              <w:t>Offline / Quarterly</w:t>
            </w:r>
          </w:p>
        </w:tc>
        <w:tc>
          <w:tcPr>
            <w:tcW w:w="2430" w:type="dxa"/>
            <w:vAlign w:val="center"/>
          </w:tcPr>
          <w:p w14:paraId="77A08DBF" w14:textId="77777777" w:rsidR="00F12319" w:rsidRPr="003D2D23" w:rsidRDefault="00F12319" w:rsidP="00F12319">
            <w:pPr>
              <w:ind w:left="0"/>
              <w:rPr>
                <w:rFonts w:cs="Calibri"/>
                <w:color w:val="000000"/>
                <w:szCs w:val="22"/>
              </w:rPr>
            </w:pPr>
            <w:r w:rsidRPr="003D2D23">
              <w:rPr>
                <w:rFonts w:cs="Calibri"/>
                <w:color w:val="000000"/>
                <w:szCs w:val="22"/>
              </w:rPr>
              <w:t>Harris County Auditor's Office</w:t>
            </w:r>
          </w:p>
        </w:tc>
        <w:tc>
          <w:tcPr>
            <w:tcW w:w="2160" w:type="dxa"/>
            <w:vAlign w:val="center"/>
          </w:tcPr>
          <w:p w14:paraId="656ABD8A" w14:textId="77777777" w:rsidR="00F12319" w:rsidRPr="003D2D23" w:rsidRDefault="00F12319" w:rsidP="00F12319">
            <w:pPr>
              <w:ind w:left="0"/>
              <w:rPr>
                <w:rFonts w:cs="Calibri"/>
                <w:color w:val="000000"/>
                <w:szCs w:val="22"/>
              </w:rPr>
            </w:pPr>
            <w:r w:rsidRPr="003D2D23">
              <w:rPr>
                <w:rFonts w:cs="Calibri"/>
                <w:color w:val="000000"/>
                <w:szCs w:val="22"/>
              </w:rPr>
              <w:t>C3 &amp; C4 Filing</w:t>
            </w:r>
          </w:p>
        </w:tc>
        <w:tc>
          <w:tcPr>
            <w:tcW w:w="5760" w:type="dxa"/>
            <w:vAlign w:val="center"/>
          </w:tcPr>
          <w:p w14:paraId="4AF6395D" w14:textId="77777777" w:rsidR="00F12319" w:rsidRPr="003D2D23" w:rsidRDefault="00F12319" w:rsidP="00F12319">
            <w:pPr>
              <w:ind w:left="0"/>
              <w:rPr>
                <w:rFonts w:cs="Calibri"/>
                <w:color w:val="000000"/>
                <w:szCs w:val="22"/>
              </w:rPr>
            </w:pPr>
            <w:r w:rsidRPr="003D2D23">
              <w:rPr>
                <w:rFonts w:cs="Calibri"/>
                <w:color w:val="000000"/>
                <w:szCs w:val="22"/>
              </w:rPr>
              <w:t>Receives one (1)</w:t>
            </w:r>
            <w:r>
              <w:rPr>
                <w:rFonts w:cs="Calibri"/>
                <w:color w:val="000000"/>
                <w:szCs w:val="22"/>
              </w:rPr>
              <w:t xml:space="preserve"> </w:t>
            </w:r>
            <w:r w:rsidRPr="003D2D23">
              <w:rPr>
                <w:rFonts w:cs="Calibri"/>
                <w:color w:val="000000"/>
                <w:szCs w:val="22"/>
              </w:rPr>
              <w:t>file</w:t>
            </w:r>
          </w:p>
        </w:tc>
      </w:tr>
      <w:tr w:rsidR="00F12319" w14:paraId="22673262" w14:textId="77777777" w:rsidTr="00EB23D7">
        <w:tc>
          <w:tcPr>
            <w:tcW w:w="877" w:type="dxa"/>
            <w:vAlign w:val="center"/>
          </w:tcPr>
          <w:p w14:paraId="18DE2922" w14:textId="60129D07" w:rsidR="00F12319" w:rsidRPr="00194F03" w:rsidRDefault="00F12319" w:rsidP="00F12319">
            <w:pPr>
              <w:ind w:left="0"/>
              <w:jc w:val="center"/>
              <w:rPr>
                <w:rFonts w:cs="Calibri"/>
                <w:color w:val="000000"/>
                <w:szCs w:val="22"/>
              </w:rPr>
            </w:pPr>
            <w:r>
              <w:rPr>
                <w:szCs w:val="22"/>
              </w:rPr>
              <w:t>32</w:t>
            </w:r>
          </w:p>
        </w:tc>
        <w:tc>
          <w:tcPr>
            <w:tcW w:w="1530" w:type="dxa"/>
            <w:vAlign w:val="center"/>
          </w:tcPr>
          <w:p w14:paraId="1DDCCF2D" w14:textId="77777777" w:rsidR="00F12319" w:rsidRPr="003D2D23" w:rsidRDefault="00F12319" w:rsidP="00F12319">
            <w:pPr>
              <w:ind w:left="0"/>
              <w:rPr>
                <w:rFonts w:cs="Calibri"/>
                <w:color w:val="000000"/>
                <w:szCs w:val="22"/>
              </w:rPr>
            </w:pPr>
            <w:r w:rsidRPr="003D2D23">
              <w:rPr>
                <w:rFonts w:cs="Calibri"/>
                <w:color w:val="000000"/>
                <w:szCs w:val="22"/>
              </w:rPr>
              <w:t>Receive</w:t>
            </w:r>
          </w:p>
        </w:tc>
        <w:tc>
          <w:tcPr>
            <w:tcW w:w="1710" w:type="dxa"/>
            <w:vAlign w:val="center"/>
          </w:tcPr>
          <w:p w14:paraId="3B04B250" w14:textId="77777777" w:rsidR="00F12319" w:rsidRPr="003D2D23" w:rsidRDefault="00F12319" w:rsidP="00F12319">
            <w:pPr>
              <w:ind w:left="0"/>
              <w:rPr>
                <w:rFonts w:cs="Calibri"/>
                <w:color w:val="000000"/>
                <w:szCs w:val="22"/>
              </w:rPr>
            </w:pPr>
            <w:r w:rsidRPr="003D2D23">
              <w:rPr>
                <w:rFonts w:cs="Calibri"/>
                <w:color w:val="000000"/>
                <w:szCs w:val="22"/>
              </w:rPr>
              <w:t>Offline / Quarterly</w:t>
            </w:r>
          </w:p>
        </w:tc>
        <w:tc>
          <w:tcPr>
            <w:tcW w:w="2430" w:type="dxa"/>
            <w:vAlign w:val="center"/>
          </w:tcPr>
          <w:p w14:paraId="3E396D0C" w14:textId="77777777" w:rsidR="00F12319" w:rsidRPr="003D2D23" w:rsidRDefault="00F12319" w:rsidP="00F12319">
            <w:pPr>
              <w:ind w:left="0"/>
              <w:rPr>
                <w:rFonts w:cs="Calibri"/>
                <w:color w:val="000000"/>
                <w:szCs w:val="22"/>
              </w:rPr>
            </w:pPr>
            <w:r w:rsidRPr="003D2D23">
              <w:rPr>
                <w:rFonts w:cs="Calibri"/>
                <w:color w:val="000000"/>
                <w:szCs w:val="22"/>
              </w:rPr>
              <w:t>HCA Healthcare</w:t>
            </w:r>
          </w:p>
        </w:tc>
        <w:tc>
          <w:tcPr>
            <w:tcW w:w="2160" w:type="dxa"/>
            <w:vAlign w:val="center"/>
          </w:tcPr>
          <w:p w14:paraId="3C1931DD" w14:textId="77777777" w:rsidR="00F12319" w:rsidRPr="003D2D23" w:rsidRDefault="00F12319" w:rsidP="00F12319">
            <w:pPr>
              <w:ind w:left="0"/>
              <w:rPr>
                <w:rFonts w:cs="Calibri"/>
                <w:color w:val="000000"/>
                <w:szCs w:val="22"/>
              </w:rPr>
            </w:pPr>
            <w:r w:rsidRPr="003D2D23">
              <w:rPr>
                <w:rFonts w:cs="Calibri"/>
                <w:color w:val="000000"/>
                <w:szCs w:val="22"/>
              </w:rPr>
              <w:t>C3 &amp; C4 Filing</w:t>
            </w:r>
          </w:p>
        </w:tc>
        <w:tc>
          <w:tcPr>
            <w:tcW w:w="5760" w:type="dxa"/>
            <w:vAlign w:val="center"/>
          </w:tcPr>
          <w:p w14:paraId="2D9AB038" w14:textId="77777777" w:rsidR="00F12319" w:rsidRPr="003D2D23" w:rsidRDefault="00F12319" w:rsidP="00F12319">
            <w:pPr>
              <w:ind w:left="0"/>
              <w:rPr>
                <w:rFonts w:cs="Calibri"/>
                <w:color w:val="000000"/>
                <w:szCs w:val="22"/>
              </w:rPr>
            </w:pPr>
            <w:r w:rsidRPr="003D2D23">
              <w:rPr>
                <w:rFonts w:cs="Calibri"/>
                <w:color w:val="000000"/>
                <w:szCs w:val="22"/>
              </w:rPr>
              <w:t>Receives one (1)</w:t>
            </w:r>
            <w:r>
              <w:rPr>
                <w:rFonts w:cs="Calibri"/>
                <w:color w:val="000000"/>
                <w:szCs w:val="22"/>
              </w:rPr>
              <w:t xml:space="preserve"> </w:t>
            </w:r>
            <w:r w:rsidRPr="003D2D23">
              <w:rPr>
                <w:rFonts w:cs="Calibri"/>
                <w:color w:val="000000"/>
                <w:szCs w:val="22"/>
              </w:rPr>
              <w:t>file</w:t>
            </w:r>
          </w:p>
        </w:tc>
      </w:tr>
      <w:tr w:rsidR="00F12319" w14:paraId="14390333" w14:textId="77777777" w:rsidTr="00EB23D7">
        <w:tc>
          <w:tcPr>
            <w:tcW w:w="877" w:type="dxa"/>
            <w:vAlign w:val="center"/>
          </w:tcPr>
          <w:p w14:paraId="6C048B80" w14:textId="4EBE352E" w:rsidR="00F12319" w:rsidRPr="00194F03" w:rsidRDefault="00F12319" w:rsidP="00F12319">
            <w:pPr>
              <w:ind w:left="0"/>
              <w:jc w:val="center"/>
              <w:rPr>
                <w:rFonts w:cs="Calibri"/>
                <w:color w:val="000000"/>
                <w:szCs w:val="22"/>
              </w:rPr>
            </w:pPr>
            <w:r>
              <w:rPr>
                <w:color w:val="000000"/>
                <w:szCs w:val="22"/>
              </w:rPr>
              <w:t>33</w:t>
            </w:r>
          </w:p>
        </w:tc>
        <w:tc>
          <w:tcPr>
            <w:tcW w:w="1530" w:type="dxa"/>
            <w:vAlign w:val="center"/>
          </w:tcPr>
          <w:p w14:paraId="0568ACA8" w14:textId="77777777" w:rsidR="00F12319" w:rsidRPr="003D2D23" w:rsidRDefault="00F12319" w:rsidP="00F12319">
            <w:pPr>
              <w:ind w:left="0"/>
              <w:rPr>
                <w:rFonts w:cs="Calibri"/>
                <w:color w:val="000000"/>
                <w:szCs w:val="22"/>
              </w:rPr>
            </w:pPr>
            <w:r w:rsidRPr="003D2D23">
              <w:rPr>
                <w:rFonts w:cs="Calibri"/>
                <w:color w:val="000000"/>
                <w:szCs w:val="22"/>
              </w:rPr>
              <w:t>Send</w:t>
            </w:r>
          </w:p>
        </w:tc>
        <w:tc>
          <w:tcPr>
            <w:tcW w:w="1710" w:type="dxa"/>
            <w:vAlign w:val="center"/>
          </w:tcPr>
          <w:p w14:paraId="1BB465F3" w14:textId="77777777" w:rsidR="00F12319" w:rsidRPr="003D2D23" w:rsidRDefault="00F12319" w:rsidP="00F12319">
            <w:pPr>
              <w:ind w:left="0"/>
              <w:rPr>
                <w:rFonts w:cs="Calibri"/>
                <w:color w:val="000000"/>
                <w:szCs w:val="22"/>
              </w:rPr>
            </w:pPr>
            <w:r w:rsidRPr="003D2D23">
              <w:rPr>
                <w:rFonts w:cs="Calibri"/>
                <w:color w:val="000000"/>
                <w:szCs w:val="22"/>
              </w:rPr>
              <w:t>Offline / On Request</w:t>
            </w:r>
          </w:p>
        </w:tc>
        <w:tc>
          <w:tcPr>
            <w:tcW w:w="2430" w:type="dxa"/>
            <w:vAlign w:val="center"/>
          </w:tcPr>
          <w:p w14:paraId="72B7E89A" w14:textId="77777777" w:rsidR="00F12319" w:rsidRPr="003D2D23" w:rsidRDefault="00F12319" w:rsidP="00F12319">
            <w:pPr>
              <w:ind w:left="0"/>
              <w:rPr>
                <w:rFonts w:cs="Calibri"/>
                <w:color w:val="000000"/>
                <w:szCs w:val="22"/>
              </w:rPr>
            </w:pPr>
            <w:r>
              <w:rPr>
                <w:rFonts w:cs="Calibri"/>
                <w:color w:val="000000"/>
                <w:szCs w:val="22"/>
              </w:rPr>
              <w:t>HHSC</w:t>
            </w:r>
          </w:p>
        </w:tc>
        <w:tc>
          <w:tcPr>
            <w:tcW w:w="2160" w:type="dxa"/>
            <w:vAlign w:val="center"/>
          </w:tcPr>
          <w:p w14:paraId="1463472C" w14:textId="77777777" w:rsidR="00F12319" w:rsidRPr="003D2D23" w:rsidRDefault="00F12319" w:rsidP="00F12319">
            <w:pPr>
              <w:ind w:left="0"/>
              <w:rPr>
                <w:rFonts w:cs="Calibri"/>
                <w:color w:val="000000"/>
                <w:szCs w:val="22"/>
              </w:rPr>
            </w:pPr>
            <w:r w:rsidRPr="003D2D23">
              <w:rPr>
                <w:rFonts w:cs="Calibri"/>
                <w:color w:val="000000"/>
                <w:szCs w:val="22"/>
              </w:rPr>
              <w:t>HHSC Tiers SSN Match</w:t>
            </w:r>
          </w:p>
        </w:tc>
        <w:tc>
          <w:tcPr>
            <w:tcW w:w="5760" w:type="dxa"/>
            <w:vAlign w:val="center"/>
          </w:tcPr>
          <w:p w14:paraId="3FAE13C3" w14:textId="77777777" w:rsidR="00F12319" w:rsidRPr="003D2D23" w:rsidRDefault="00F12319" w:rsidP="00F12319">
            <w:pPr>
              <w:ind w:left="0"/>
              <w:rPr>
                <w:rFonts w:cs="Calibri"/>
                <w:color w:val="000000"/>
                <w:szCs w:val="22"/>
              </w:rPr>
            </w:pPr>
            <w:r w:rsidRPr="003D2D23">
              <w:rPr>
                <w:rFonts w:cs="Calibri"/>
                <w:color w:val="000000"/>
                <w:szCs w:val="22"/>
              </w:rPr>
              <w:t>HHSC contract</w:t>
            </w:r>
          </w:p>
        </w:tc>
      </w:tr>
      <w:tr w:rsidR="00F12319" w14:paraId="097023EB" w14:textId="77777777" w:rsidTr="00EB23D7">
        <w:tc>
          <w:tcPr>
            <w:tcW w:w="877" w:type="dxa"/>
            <w:vAlign w:val="center"/>
          </w:tcPr>
          <w:p w14:paraId="6A3C6975" w14:textId="297C4719" w:rsidR="00F12319" w:rsidRPr="00194F03" w:rsidRDefault="00F12319" w:rsidP="00F12319">
            <w:pPr>
              <w:ind w:left="0"/>
              <w:jc w:val="center"/>
              <w:rPr>
                <w:rFonts w:cs="Calibri"/>
                <w:color w:val="000000"/>
                <w:szCs w:val="22"/>
              </w:rPr>
            </w:pPr>
            <w:r>
              <w:rPr>
                <w:szCs w:val="22"/>
              </w:rPr>
              <w:t>34</w:t>
            </w:r>
          </w:p>
        </w:tc>
        <w:tc>
          <w:tcPr>
            <w:tcW w:w="1530" w:type="dxa"/>
            <w:vAlign w:val="center"/>
          </w:tcPr>
          <w:p w14:paraId="2AA6949B" w14:textId="77777777" w:rsidR="00F12319" w:rsidRPr="003D2D23" w:rsidRDefault="00F12319" w:rsidP="00F12319">
            <w:pPr>
              <w:ind w:left="0"/>
              <w:rPr>
                <w:rFonts w:cs="Calibri"/>
                <w:color w:val="000000"/>
                <w:szCs w:val="22"/>
              </w:rPr>
            </w:pPr>
            <w:r w:rsidRPr="003D2D23">
              <w:rPr>
                <w:rFonts w:cs="Calibri"/>
                <w:color w:val="000000"/>
                <w:szCs w:val="22"/>
              </w:rPr>
              <w:t>Send</w:t>
            </w:r>
          </w:p>
        </w:tc>
        <w:tc>
          <w:tcPr>
            <w:tcW w:w="1710" w:type="dxa"/>
            <w:vAlign w:val="center"/>
          </w:tcPr>
          <w:p w14:paraId="539FD5C0" w14:textId="77777777" w:rsidR="00F12319" w:rsidRPr="003D2D23" w:rsidRDefault="00F12319" w:rsidP="00F12319">
            <w:pPr>
              <w:ind w:left="0"/>
              <w:rPr>
                <w:rFonts w:cs="Calibri"/>
                <w:color w:val="000000"/>
                <w:szCs w:val="22"/>
              </w:rPr>
            </w:pPr>
            <w:r w:rsidRPr="003D2D23">
              <w:rPr>
                <w:rFonts w:cs="Calibri"/>
                <w:color w:val="000000"/>
                <w:szCs w:val="22"/>
              </w:rPr>
              <w:t>Offline / On Request</w:t>
            </w:r>
          </w:p>
        </w:tc>
        <w:tc>
          <w:tcPr>
            <w:tcW w:w="2430" w:type="dxa"/>
            <w:vAlign w:val="center"/>
          </w:tcPr>
          <w:p w14:paraId="35D7FF9E" w14:textId="77777777" w:rsidR="00F12319" w:rsidRPr="003D2D23" w:rsidRDefault="00F12319" w:rsidP="00F12319">
            <w:pPr>
              <w:ind w:left="0"/>
              <w:rPr>
                <w:rFonts w:cs="Calibri"/>
                <w:color w:val="000000"/>
                <w:szCs w:val="22"/>
              </w:rPr>
            </w:pPr>
            <w:r>
              <w:rPr>
                <w:rFonts w:cs="Calibri"/>
                <w:color w:val="000000"/>
                <w:szCs w:val="22"/>
              </w:rPr>
              <w:t>HHSC</w:t>
            </w:r>
          </w:p>
        </w:tc>
        <w:tc>
          <w:tcPr>
            <w:tcW w:w="2160" w:type="dxa"/>
            <w:vAlign w:val="center"/>
          </w:tcPr>
          <w:p w14:paraId="3A761436" w14:textId="77777777" w:rsidR="00F12319" w:rsidRPr="003D2D23" w:rsidRDefault="00F12319" w:rsidP="00F12319">
            <w:pPr>
              <w:ind w:left="0"/>
              <w:rPr>
                <w:rFonts w:cs="Calibri"/>
                <w:color w:val="000000"/>
                <w:szCs w:val="22"/>
              </w:rPr>
            </w:pPr>
            <w:r w:rsidRPr="003D2D23">
              <w:rPr>
                <w:rFonts w:cs="Calibri"/>
                <w:color w:val="000000"/>
                <w:szCs w:val="22"/>
              </w:rPr>
              <w:t>OAG Absent Parent File</w:t>
            </w:r>
          </w:p>
        </w:tc>
        <w:tc>
          <w:tcPr>
            <w:tcW w:w="5760" w:type="dxa"/>
            <w:vAlign w:val="center"/>
          </w:tcPr>
          <w:p w14:paraId="5EF21DDA" w14:textId="77777777" w:rsidR="00F12319" w:rsidRPr="003D2D23" w:rsidRDefault="00F12319" w:rsidP="00F12319">
            <w:pPr>
              <w:ind w:left="0"/>
              <w:rPr>
                <w:rFonts w:cs="Calibri"/>
                <w:color w:val="000000"/>
                <w:szCs w:val="22"/>
              </w:rPr>
            </w:pPr>
            <w:r>
              <w:rPr>
                <w:rFonts w:cs="Calibri"/>
                <w:color w:val="000000"/>
                <w:szCs w:val="22"/>
              </w:rPr>
              <w:t>P</w:t>
            </w:r>
            <w:r w:rsidRPr="003D2D23">
              <w:rPr>
                <w:rFonts w:cs="Calibri"/>
                <w:color w:val="000000"/>
                <w:szCs w:val="22"/>
              </w:rPr>
              <w:t>uts one (1)</w:t>
            </w:r>
            <w:r>
              <w:rPr>
                <w:rFonts w:cs="Calibri"/>
                <w:color w:val="000000"/>
                <w:szCs w:val="22"/>
              </w:rPr>
              <w:t xml:space="preserve"> </w:t>
            </w:r>
            <w:r w:rsidRPr="003D2D23">
              <w:rPr>
                <w:rFonts w:cs="Calibri"/>
                <w:color w:val="000000"/>
                <w:szCs w:val="22"/>
              </w:rPr>
              <w:t>file</w:t>
            </w:r>
          </w:p>
        </w:tc>
      </w:tr>
      <w:tr w:rsidR="00F12319" w14:paraId="47D758B1" w14:textId="77777777" w:rsidTr="00EB23D7">
        <w:tc>
          <w:tcPr>
            <w:tcW w:w="877" w:type="dxa"/>
            <w:vAlign w:val="center"/>
          </w:tcPr>
          <w:p w14:paraId="2E1E9B2E" w14:textId="2E9E9642" w:rsidR="00F12319" w:rsidRPr="00194F03" w:rsidRDefault="00F12319" w:rsidP="00F12319">
            <w:pPr>
              <w:ind w:left="0"/>
              <w:jc w:val="center"/>
              <w:rPr>
                <w:rFonts w:cs="Calibri"/>
                <w:color w:val="000000"/>
                <w:szCs w:val="22"/>
              </w:rPr>
            </w:pPr>
            <w:r>
              <w:rPr>
                <w:color w:val="000000"/>
                <w:szCs w:val="22"/>
              </w:rPr>
              <w:t>35</w:t>
            </w:r>
          </w:p>
        </w:tc>
        <w:tc>
          <w:tcPr>
            <w:tcW w:w="1530" w:type="dxa"/>
            <w:vAlign w:val="center"/>
          </w:tcPr>
          <w:p w14:paraId="6733FF03" w14:textId="77777777" w:rsidR="00F12319" w:rsidRPr="003D2D23" w:rsidRDefault="00F12319" w:rsidP="00F12319">
            <w:pPr>
              <w:ind w:left="0"/>
              <w:rPr>
                <w:rFonts w:cs="Calibri"/>
                <w:color w:val="000000"/>
                <w:szCs w:val="22"/>
              </w:rPr>
            </w:pPr>
            <w:r w:rsidRPr="003D2D23">
              <w:rPr>
                <w:rFonts w:cs="Calibri"/>
                <w:color w:val="000000"/>
                <w:szCs w:val="22"/>
              </w:rPr>
              <w:t>Send</w:t>
            </w:r>
          </w:p>
        </w:tc>
        <w:tc>
          <w:tcPr>
            <w:tcW w:w="1710" w:type="dxa"/>
            <w:vAlign w:val="center"/>
          </w:tcPr>
          <w:p w14:paraId="50CB04FC" w14:textId="77777777" w:rsidR="00F12319" w:rsidRPr="003D2D23" w:rsidRDefault="00F12319" w:rsidP="00F12319">
            <w:pPr>
              <w:ind w:left="0"/>
              <w:rPr>
                <w:rFonts w:cs="Calibri"/>
                <w:color w:val="000000"/>
                <w:szCs w:val="22"/>
              </w:rPr>
            </w:pPr>
            <w:r w:rsidRPr="003D2D23">
              <w:rPr>
                <w:rFonts w:cs="Calibri"/>
                <w:color w:val="000000"/>
                <w:szCs w:val="22"/>
              </w:rPr>
              <w:t>Offline / On Request</w:t>
            </w:r>
          </w:p>
        </w:tc>
        <w:tc>
          <w:tcPr>
            <w:tcW w:w="2430" w:type="dxa"/>
            <w:vAlign w:val="center"/>
          </w:tcPr>
          <w:p w14:paraId="178B0ACC" w14:textId="77777777" w:rsidR="00F12319" w:rsidRPr="003D2D23" w:rsidRDefault="00F12319" w:rsidP="00F12319">
            <w:pPr>
              <w:ind w:left="0"/>
              <w:rPr>
                <w:rFonts w:cs="Calibri"/>
                <w:color w:val="000000"/>
                <w:szCs w:val="22"/>
              </w:rPr>
            </w:pPr>
            <w:r>
              <w:rPr>
                <w:rFonts w:cs="Calibri"/>
                <w:color w:val="000000"/>
                <w:szCs w:val="22"/>
              </w:rPr>
              <w:t>HHSC</w:t>
            </w:r>
          </w:p>
        </w:tc>
        <w:tc>
          <w:tcPr>
            <w:tcW w:w="2160" w:type="dxa"/>
            <w:vAlign w:val="center"/>
          </w:tcPr>
          <w:p w14:paraId="4C29E004" w14:textId="77777777" w:rsidR="00F12319" w:rsidRPr="003D2D23" w:rsidRDefault="00F12319" w:rsidP="00F12319">
            <w:pPr>
              <w:ind w:left="0"/>
              <w:rPr>
                <w:rFonts w:cs="Calibri"/>
                <w:color w:val="000000"/>
                <w:szCs w:val="22"/>
              </w:rPr>
            </w:pPr>
            <w:r w:rsidRPr="003D2D23">
              <w:rPr>
                <w:rFonts w:cs="Calibri"/>
                <w:color w:val="000000"/>
                <w:szCs w:val="22"/>
              </w:rPr>
              <w:t>Wage Records</w:t>
            </w:r>
          </w:p>
        </w:tc>
        <w:tc>
          <w:tcPr>
            <w:tcW w:w="5760" w:type="dxa"/>
            <w:vAlign w:val="center"/>
          </w:tcPr>
          <w:p w14:paraId="7D83E439" w14:textId="77777777" w:rsidR="00F12319" w:rsidRPr="003D2D23" w:rsidRDefault="00F12319" w:rsidP="00F12319">
            <w:pPr>
              <w:ind w:left="0"/>
              <w:rPr>
                <w:rFonts w:cs="Calibri"/>
                <w:color w:val="000000"/>
                <w:szCs w:val="22"/>
              </w:rPr>
            </w:pPr>
            <w:r w:rsidRPr="003D2D23">
              <w:rPr>
                <w:rFonts w:cs="Calibri"/>
                <w:color w:val="000000"/>
                <w:szCs w:val="22"/>
              </w:rPr>
              <w:t xml:space="preserve">Put </w:t>
            </w:r>
            <w:r>
              <w:rPr>
                <w:rFonts w:cs="Calibri"/>
                <w:color w:val="000000"/>
                <w:szCs w:val="22"/>
              </w:rPr>
              <w:t>wage/claim data;</w:t>
            </w:r>
            <w:r w:rsidRPr="003D2D23">
              <w:rPr>
                <w:rFonts w:cs="Calibri"/>
                <w:color w:val="000000"/>
                <w:szCs w:val="22"/>
              </w:rPr>
              <w:t xml:space="preserve"> </w:t>
            </w:r>
            <w:r>
              <w:rPr>
                <w:rFonts w:cs="Calibri"/>
                <w:color w:val="000000"/>
                <w:szCs w:val="22"/>
              </w:rPr>
              <w:t>b</w:t>
            </w:r>
            <w:r w:rsidRPr="003D2D23">
              <w:rPr>
                <w:rFonts w:cs="Calibri"/>
                <w:color w:val="000000"/>
                <w:szCs w:val="22"/>
              </w:rPr>
              <w:t>oth benefit and wage data is exchanged on weekly, monthly, and quarterly intervals</w:t>
            </w:r>
          </w:p>
        </w:tc>
      </w:tr>
      <w:tr w:rsidR="00F12319" w14:paraId="2452ACC6" w14:textId="77777777" w:rsidTr="00EB23D7">
        <w:tc>
          <w:tcPr>
            <w:tcW w:w="877" w:type="dxa"/>
            <w:vAlign w:val="center"/>
          </w:tcPr>
          <w:p w14:paraId="2B724D0D" w14:textId="6A37A42F" w:rsidR="00F12319" w:rsidRPr="003B41C6" w:rsidRDefault="00F12319" w:rsidP="00F12319">
            <w:pPr>
              <w:ind w:left="0"/>
              <w:jc w:val="center"/>
              <w:rPr>
                <w:rFonts w:cs="Calibri"/>
                <w:color w:val="000000"/>
                <w:szCs w:val="22"/>
              </w:rPr>
            </w:pPr>
            <w:r>
              <w:rPr>
                <w:szCs w:val="22"/>
              </w:rPr>
              <w:t>36</w:t>
            </w:r>
          </w:p>
        </w:tc>
        <w:tc>
          <w:tcPr>
            <w:tcW w:w="1530" w:type="dxa"/>
            <w:vAlign w:val="center"/>
          </w:tcPr>
          <w:p w14:paraId="5B02C1E4" w14:textId="77777777" w:rsidR="00F12319" w:rsidRPr="00194F03" w:rsidRDefault="00F12319" w:rsidP="00F12319">
            <w:pPr>
              <w:ind w:left="0"/>
              <w:rPr>
                <w:rFonts w:cs="Calibri"/>
                <w:color w:val="000000"/>
                <w:szCs w:val="22"/>
              </w:rPr>
            </w:pPr>
            <w:r w:rsidRPr="00194F03">
              <w:rPr>
                <w:rFonts w:cs="Calibri"/>
                <w:color w:val="000000"/>
                <w:szCs w:val="22"/>
              </w:rPr>
              <w:t>Both</w:t>
            </w:r>
          </w:p>
        </w:tc>
        <w:tc>
          <w:tcPr>
            <w:tcW w:w="1710" w:type="dxa"/>
            <w:vAlign w:val="center"/>
          </w:tcPr>
          <w:p w14:paraId="13D51D53" w14:textId="77777777" w:rsidR="00F12319" w:rsidRPr="00194F03" w:rsidRDefault="00F12319" w:rsidP="00F12319">
            <w:pPr>
              <w:ind w:left="0"/>
              <w:rPr>
                <w:rFonts w:cs="Calibri"/>
                <w:color w:val="000000"/>
                <w:szCs w:val="22"/>
              </w:rPr>
            </w:pPr>
            <w:r w:rsidRPr="00194F03">
              <w:rPr>
                <w:rFonts w:cs="Calibri"/>
                <w:color w:val="000000"/>
                <w:szCs w:val="22"/>
              </w:rPr>
              <w:t>Offline / On Request</w:t>
            </w:r>
          </w:p>
        </w:tc>
        <w:tc>
          <w:tcPr>
            <w:tcW w:w="2430" w:type="dxa"/>
            <w:vAlign w:val="center"/>
          </w:tcPr>
          <w:p w14:paraId="71D2B64B" w14:textId="77777777" w:rsidR="00F12319" w:rsidRPr="00194F03" w:rsidRDefault="00F12319" w:rsidP="00F12319">
            <w:pPr>
              <w:ind w:left="0"/>
              <w:rPr>
                <w:rFonts w:cs="Calibri"/>
                <w:color w:val="000000"/>
                <w:szCs w:val="22"/>
              </w:rPr>
            </w:pPr>
            <w:r>
              <w:rPr>
                <w:rFonts w:cs="Calibri"/>
                <w:color w:val="000000"/>
                <w:szCs w:val="22"/>
              </w:rPr>
              <w:t>HHSC</w:t>
            </w:r>
          </w:p>
        </w:tc>
        <w:tc>
          <w:tcPr>
            <w:tcW w:w="2160" w:type="dxa"/>
            <w:vAlign w:val="center"/>
          </w:tcPr>
          <w:p w14:paraId="3BA83D7A" w14:textId="77777777" w:rsidR="00F12319" w:rsidRPr="00194F03" w:rsidRDefault="00F12319" w:rsidP="00F12319">
            <w:pPr>
              <w:ind w:left="0"/>
              <w:rPr>
                <w:rFonts w:cs="Calibri"/>
                <w:color w:val="000000"/>
                <w:szCs w:val="22"/>
              </w:rPr>
            </w:pPr>
            <w:r w:rsidRPr="00194F03">
              <w:rPr>
                <w:rFonts w:cs="Calibri"/>
                <w:color w:val="000000"/>
                <w:szCs w:val="22"/>
              </w:rPr>
              <w:t>Wage Records Request</w:t>
            </w:r>
          </w:p>
        </w:tc>
        <w:tc>
          <w:tcPr>
            <w:tcW w:w="5760" w:type="dxa"/>
            <w:vAlign w:val="center"/>
          </w:tcPr>
          <w:p w14:paraId="404B5041" w14:textId="77777777" w:rsidR="00F12319" w:rsidRPr="00194F03" w:rsidRDefault="00F12319" w:rsidP="00F12319">
            <w:pPr>
              <w:ind w:left="0"/>
              <w:rPr>
                <w:rFonts w:cs="Calibri"/>
                <w:color w:val="000000"/>
                <w:szCs w:val="22"/>
              </w:rPr>
            </w:pPr>
            <w:r w:rsidRPr="00194F03">
              <w:rPr>
                <w:rFonts w:ascii="Arial" w:hAnsi="Arial" w:cs="Arial"/>
                <w:color w:val="000000"/>
                <w:szCs w:val="22"/>
              </w:rPr>
              <w:t>​</w:t>
            </w:r>
            <w:r>
              <w:rPr>
                <w:rFonts w:cs="Calibri"/>
                <w:color w:val="000000"/>
                <w:szCs w:val="22"/>
              </w:rPr>
              <w:t>To transfer PII s</w:t>
            </w:r>
            <w:r w:rsidRPr="00194F03">
              <w:rPr>
                <w:rFonts w:cs="Calibri"/>
                <w:color w:val="000000"/>
                <w:szCs w:val="22"/>
              </w:rPr>
              <w:t>ecurely</w:t>
            </w:r>
          </w:p>
        </w:tc>
      </w:tr>
      <w:tr w:rsidR="00F12319" w14:paraId="524A7F3E" w14:textId="77777777" w:rsidTr="00EB23D7">
        <w:tc>
          <w:tcPr>
            <w:tcW w:w="877" w:type="dxa"/>
            <w:vAlign w:val="center"/>
          </w:tcPr>
          <w:p w14:paraId="12BAF5A2" w14:textId="3E75131B" w:rsidR="00F12319" w:rsidRPr="00194F03" w:rsidRDefault="00F12319" w:rsidP="00F12319">
            <w:pPr>
              <w:ind w:left="0"/>
              <w:jc w:val="center"/>
              <w:rPr>
                <w:rFonts w:cs="Calibri"/>
                <w:color w:val="000000"/>
                <w:szCs w:val="22"/>
              </w:rPr>
            </w:pPr>
            <w:r>
              <w:rPr>
                <w:color w:val="000000"/>
                <w:szCs w:val="22"/>
              </w:rPr>
              <w:t>37</w:t>
            </w:r>
          </w:p>
        </w:tc>
        <w:tc>
          <w:tcPr>
            <w:tcW w:w="1530" w:type="dxa"/>
            <w:vAlign w:val="center"/>
          </w:tcPr>
          <w:p w14:paraId="296E0931" w14:textId="77777777" w:rsidR="00F12319" w:rsidRPr="003D2D23" w:rsidRDefault="00F12319" w:rsidP="00F12319">
            <w:pPr>
              <w:ind w:left="0"/>
              <w:rPr>
                <w:rFonts w:cs="Calibri"/>
                <w:color w:val="000000"/>
                <w:szCs w:val="22"/>
              </w:rPr>
            </w:pPr>
            <w:r w:rsidRPr="003D2D23">
              <w:rPr>
                <w:rFonts w:cs="Calibri"/>
                <w:color w:val="000000"/>
                <w:szCs w:val="22"/>
              </w:rPr>
              <w:t>Receive</w:t>
            </w:r>
          </w:p>
        </w:tc>
        <w:tc>
          <w:tcPr>
            <w:tcW w:w="1710" w:type="dxa"/>
            <w:vAlign w:val="center"/>
          </w:tcPr>
          <w:p w14:paraId="7D635F42" w14:textId="77777777" w:rsidR="00F12319" w:rsidRPr="003D2D23" w:rsidRDefault="00F12319" w:rsidP="00F12319">
            <w:pPr>
              <w:ind w:left="0"/>
              <w:rPr>
                <w:rFonts w:cs="Calibri"/>
                <w:color w:val="000000"/>
                <w:szCs w:val="22"/>
              </w:rPr>
            </w:pPr>
            <w:r w:rsidRPr="003D2D23">
              <w:rPr>
                <w:rFonts w:cs="Calibri"/>
                <w:color w:val="000000"/>
                <w:szCs w:val="22"/>
              </w:rPr>
              <w:t>Offline / Daily (M-F)</w:t>
            </w:r>
          </w:p>
        </w:tc>
        <w:tc>
          <w:tcPr>
            <w:tcW w:w="2430" w:type="dxa"/>
            <w:vAlign w:val="center"/>
          </w:tcPr>
          <w:p w14:paraId="684A6B99" w14:textId="77777777" w:rsidR="00F12319" w:rsidRPr="003D2D23" w:rsidRDefault="00F12319" w:rsidP="00F12319">
            <w:pPr>
              <w:ind w:left="0"/>
              <w:rPr>
                <w:rFonts w:cs="Calibri"/>
                <w:color w:val="000000"/>
                <w:szCs w:val="22"/>
              </w:rPr>
            </w:pPr>
            <w:r w:rsidRPr="003D2D23">
              <w:rPr>
                <w:rFonts w:cs="Calibri"/>
                <w:color w:val="000000"/>
                <w:szCs w:val="22"/>
              </w:rPr>
              <w:t>HireTech</w:t>
            </w:r>
          </w:p>
        </w:tc>
        <w:tc>
          <w:tcPr>
            <w:tcW w:w="2160" w:type="dxa"/>
            <w:vAlign w:val="center"/>
          </w:tcPr>
          <w:p w14:paraId="0A0EB9E8" w14:textId="77777777" w:rsidR="00F12319" w:rsidRPr="003D2D23" w:rsidRDefault="00F12319" w:rsidP="00F12319">
            <w:pPr>
              <w:ind w:left="0"/>
              <w:rPr>
                <w:rFonts w:cs="Calibri"/>
                <w:color w:val="000000"/>
                <w:szCs w:val="22"/>
              </w:rPr>
            </w:pPr>
            <w:r w:rsidRPr="003D2D23">
              <w:rPr>
                <w:rFonts w:cs="Calibri"/>
                <w:color w:val="000000"/>
                <w:szCs w:val="22"/>
              </w:rPr>
              <w:t>Form 8850 FTP</w:t>
            </w:r>
          </w:p>
        </w:tc>
        <w:tc>
          <w:tcPr>
            <w:tcW w:w="5760" w:type="dxa"/>
            <w:vAlign w:val="center"/>
          </w:tcPr>
          <w:p w14:paraId="71FEAD47" w14:textId="77777777" w:rsidR="00F12319" w:rsidRPr="003D2D23" w:rsidRDefault="00F12319" w:rsidP="00F12319">
            <w:pPr>
              <w:ind w:left="0"/>
              <w:rPr>
                <w:rFonts w:cs="Calibri"/>
                <w:color w:val="000000"/>
                <w:szCs w:val="22"/>
              </w:rPr>
            </w:pPr>
            <w:r w:rsidRPr="003D2D23">
              <w:rPr>
                <w:rFonts w:cs="Calibri"/>
                <w:color w:val="000000"/>
                <w:szCs w:val="22"/>
              </w:rPr>
              <w:t>Secure transfer of data</w:t>
            </w:r>
            <w:r w:rsidRPr="003D2D23">
              <w:rPr>
                <w:rFonts w:ascii="Arial" w:hAnsi="Arial" w:cs="Arial"/>
                <w:color w:val="000000"/>
                <w:szCs w:val="22"/>
              </w:rPr>
              <w:t xml:space="preserve"> ​</w:t>
            </w:r>
          </w:p>
        </w:tc>
      </w:tr>
      <w:tr w:rsidR="00F12319" w14:paraId="1096F71B" w14:textId="77777777" w:rsidTr="00EB23D7">
        <w:tc>
          <w:tcPr>
            <w:tcW w:w="877" w:type="dxa"/>
            <w:vAlign w:val="center"/>
          </w:tcPr>
          <w:p w14:paraId="0F005082" w14:textId="18E64638" w:rsidR="00F12319" w:rsidRPr="00194F03" w:rsidRDefault="00F12319" w:rsidP="00F12319">
            <w:pPr>
              <w:ind w:left="0"/>
              <w:jc w:val="center"/>
              <w:rPr>
                <w:rFonts w:cs="Calibri"/>
                <w:color w:val="000000"/>
                <w:szCs w:val="22"/>
              </w:rPr>
            </w:pPr>
            <w:r>
              <w:rPr>
                <w:szCs w:val="22"/>
              </w:rPr>
              <w:lastRenderedPageBreak/>
              <w:t>38</w:t>
            </w:r>
          </w:p>
        </w:tc>
        <w:tc>
          <w:tcPr>
            <w:tcW w:w="1530" w:type="dxa"/>
            <w:vAlign w:val="center"/>
          </w:tcPr>
          <w:p w14:paraId="1A1D3CAF" w14:textId="77777777" w:rsidR="00F12319" w:rsidRPr="003D2D23" w:rsidRDefault="00F12319" w:rsidP="00F12319">
            <w:pPr>
              <w:ind w:left="0"/>
              <w:rPr>
                <w:rFonts w:cs="Calibri"/>
                <w:color w:val="000000"/>
                <w:szCs w:val="22"/>
              </w:rPr>
            </w:pPr>
            <w:r w:rsidRPr="003D2D23">
              <w:rPr>
                <w:rFonts w:cs="Calibri"/>
                <w:color w:val="000000"/>
                <w:szCs w:val="22"/>
              </w:rPr>
              <w:t>Receive</w:t>
            </w:r>
          </w:p>
        </w:tc>
        <w:tc>
          <w:tcPr>
            <w:tcW w:w="1710" w:type="dxa"/>
            <w:vAlign w:val="center"/>
          </w:tcPr>
          <w:p w14:paraId="6EADB48D" w14:textId="77777777" w:rsidR="00F12319" w:rsidRPr="003D2D23" w:rsidRDefault="00F12319" w:rsidP="00F12319">
            <w:pPr>
              <w:ind w:left="0"/>
              <w:rPr>
                <w:rFonts w:cs="Calibri"/>
                <w:color w:val="000000"/>
                <w:szCs w:val="22"/>
              </w:rPr>
            </w:pPr>
            <w:r w:rsidRPr="003D2D23">
              <w:rPr>
                <w:rFonts w:cs="Calibri"/>
                <w:color w:val="000000"/>
                <w:szCs w:val="22"/>
              </w:rPr>
              <w:t>Offline / Daily</w:t>
            </w:r>
          </w:p>
        </w:tc>
        <w:tc>
          <w:tcPr>
            <w:tcW w:w="2430" w:type="dxa"/>
            <w:vAlign w:val="center"/>
          </w:tcPr>
          <w:p w14:paraId="18F48128" w14:textId="77777777" w:rsidR="00F12319" w:rsidRPr="003D2D23" w:rsidRDefault="00F12319" w:rsidP="00F12319">
            <w:pPr>
              <w:ind w:left="0"/>
              <w:rPr>
                <w:rFonts w:cs="Calibri"/>
                <w:color w:val="000000"/>
                <w:szCs w:val="22"/>
              </w:rPr>
            </w:pPr>
            <w:r w:rsidRPr="003D2D23">
              <w:rPr>
                <w:rFonts w:cs="Calibri"/>
                <w:color w:val="000000"/>
                <w:szCs w:val="22"/>
              </w:rPr>
              <w:t>Hiring Incentives</w:t>
            </w:r>
          </w:p>
        </w:tc>
        <w:tc>
          <w:tcPr>
            <w:tcW w:w="2160" w:type="dxa"/>
            <w:vAlign w:val="center"/>
          </w:tcPr>
          <w:p w14:paraId="770B9FCA" w14:textId="77777777" w:rsidR="00F12319" w:rsidRPr="003D2D23" w:rsidRDefault="00F12319" w:rsidP="00F12319">
            <w:pPr>
              <w:ind w:left="0"/>
              <w:rPr>
                <w:rFonts w:cs="Calibri"/>
                <w:color w:val="000000"/>
                <w:szCs w:val="22"/>
              </w:rPr>
            </w:pPr>
            <w:r w:rsidRPr="003D2D23">
              <w:rPr>
                <w:rFonts w:cs="Calibri"/>
                <w:color w:val="000000"/>
                <w:szCs w:val="22"/>
              </w:rPr>
              <w:t>Form 8850 FTP</w:t>
            </w:r>
          </w:p>
        </w:tc>
        <w:tc>
          <w:tcPr>
            <w:tcW w:w="5760" w:type="dxa"/>
            <w:vAlign w:val="center"/>
          </w:tcPr>
          <w:p w14:paraId="13FDF46F" w14:textId="77777777" w:rsidR="00F12319" w:rsidRPr="003D2D23" w:rsidRDefault="00F12319" w:rsidP="00F12319">
            <w:pPr>
              <w:ind w:left="0"/>
              <w:rPr>
                <w:rFonts w:cs="Calibri"/>
                <w:color w:val="000000"/>
                <w:szCs w:val="22"/>
              </w:rPr>
            </w:pPr>
            <w:r w:rsidRPr="003D2D23">
              <w:rPr>
                <w:rFonts w:ascii="Arial" w:hAnsi="Arial" w:cs="Arial"/>
                <w:color w:val="000000"/>
                <w:szCs w:val="22"/>
              </w:rPr>
              <w:t>​</w:t>
            </w:r>
            <w:r w:rsidRPr="003D2D23">
              <w:rPr>
                <w:rFonts w:cs="Calibri"/>
                <w:color w:val="000000"/>
                <w:szCs w:val="22"/>
              </w:rPr>
              <w:t>Secure transfer of data</w:t>
            </w:r>
          </w:p>
        </w:tc>
      </w:tr>
      <w:tr w:rsidR="00F12319" w14:paraId="7AB49CFD" w14:textId="77777777" w:rsidTr="00EB23D7">
        <w:tc>
          <w:tcPr>
            <w:tcW w:w="877" w:type="dxa"/>
            <w:vAlign w:val="center"/>
          </w:tcPr>
          <w:p w14:paraId="0A9283CE" w14:textId="5ED9B702" w:rsidR="00F12319" w:rsidRPr="00194F03" w:rsidRDefault="00F12319" w:rsidP="00F12319">
            <w:pPr>
              <w:ind w:left="0"/>
              <w:jc w:val="center"/>
              <w:rPr>
                <w:rFonts w:cs="Calibri"/>
                <w:color w:val="000000"/>
                <w:szCs w:val="22"/>
              </w:rPr>
            </w:pPr>
            <w:r>
              <w:rPr>
                <w:color w:val="000000"/>
                <w:szCs w:val="22"/>
              </w:rPr>
              <w:t>39</w:t>
            </w:r>
          </w:p>
        </w:tc>
        <w:tc>
          <w:tcPr>
            <w:tcW w:w="1530" w:type="dxa"/>
            <w:vAlign w:val="center"/>
          </w:tcPr>
          <w:p w14:paraId="31D723C5" w14:textId="77777777" w:rsidR="00F12319" w:rsidRPr="003D2D23" w:rsidRDefault="00F12319" w:rsidP="00F12319">
            <w:pPr>
              <w:ind w:left="0"/>
              <w:rPr>
                <w:rFonts w:cs="Calibri"/>
                <w:color w:val="000000"/>
                <w:szCs w:val="22"/>
              </w:rPr>
            </w:pPr>
            <w:r w:rsidRPr="003D2D23">
              <w:rPr>
                <w:rFonts w:cs="Calibri"/>
                <w:color w:val="000000"/>
                <w:szCs w:val="22"/>
              </w:rPr>
              <w:t>Receive</w:t>
            </w:r>
          </w:p>
        </w:tc>
        <w:tc>
          <w:tcPr>
            <w:tcW w:w="1710" w:type="dxa"/>
            <w:vAlign w:val="center"/>
          </w:tcPr>
          <w:p w14:paraId="2583FD4E" w14:textId="77777777" w:rsidR="00F12319" w:rsidRPr="003D2D23" w:rsidRDefault="00F12319" w:rsidP="00F12319">
            <w:pPr>
              <w:ind w:left="0"/>
              <w:rPr>
                <w:rFonts w:cs="Calibri"/>
                <w:color w:val="000000"/>
                <w:szCs w:val="22"/>
              </w:rPr>
            </w:pPr>
            <w:r w:rsidRPr="003D2D23">
              <w:rPr>
                <w:rFonts w:cs="Calibri"/>
                <w:color w:val="000000"/>
                <w:szCs w:val="22"/>
              </w:rPr>
              <w:t>Offline / Daily</w:t>
            </w:r>
          </w:p>
        </w:tc>
        <w:tc>
          <w:tcPr>
            <w:tcW w:w="2430" w:type="dxa"/>
            <w:vAlign w:val="center"/>
          </w:tcPr>
          <w:p w14:paraId="539970C7" w14:textId="77777777" w:rsidR="00F12319" w:rsidRPr="003D2D23" w:rsidRDefault="00F12319" w:rsidP="00F12319">
            <w:pPr>
              <w:ind w:left="0"/>
              <w:rPr>
                <w:rFonts w:cs="Calibri"/>
                <w:color w:val="000000"/>
                <w:szCs w:val="22"/>
              </w:rPr>
            </w:pPr>
            <w:r w:rsidRPr="003D2D23">
              <w:rPr>
                <w:rFonts w:cs="Calibri"/>
                <w:color w:val="000000"/>
                <w:szCs w:val="22"/>
              </w:rPr>
              <w:t>Honkamp, Krueger and Co., P.C.</w:t>
            </w:r>
          </w:p>
        </w:tc>
        <w:tc>
          <w:tcPr>
            <w:tcW w:w="2160" w:type="dxa"/>
            <w:vAlign w:val="center"/>
          </w:tcPr>
          <w:p w14:paraId="40885B29" w14:textId="77777777" w:rsidR="00F12319" w:rsidRPr="003D2D23" w:rsidRDefault="00F12319" w:rsidP="00F12319">
            <w:pPr>
              <w:ind w:left="0"/>
              <w:rPr>
                <w:rFonts w:cs="Calibri"/>
                <w:color w:val="000000"/>
                <w:szCs w:val="22"/>
              </w:rPr>
            </w:pPr>
            <w:r w:rsidRPr="003D2D23">
              <w:rPr>
                <w:rFonts w:cs="Calibri"/>
                <w:color w:val="000000"/>
                <w:szCs w:val="22"/>
              </w:rPr>
              <w:t>Form 8850 FTP</w:t>
            </w:r>
          </w:p>
        </w:tc>
        <w:tc>
          <w:tcPr>
            <w:tcW w:w="5760" w:type="dxa"/>
            <w:vAlign w:val="center"/>
          </w:tcPr>
          <w:p w14:paraId="4A1DF7B4" w14:textId="77777777" w:rsidR="00F12319" w:rsidRPr="003D2D23" w:rsidRDefault="00F12319" w:rsidP="00F12319">
            <w:pPr>
              <w:ind w:left="0"/>
              <w:rPr>
                <w:rFonts w:cs="Calibri"/>
                <w:color w:val="000000"/>
                <w:szCs w:val="22"/>
              </w:rPr>
            </w:pPr>
            <w:r w:rsidRPr="003D2D23">
              <w:rPr>
                <w:rFonts w:ascii="Arial" w:hAnsi="Arial" w:cs="Arial"/>
                <w:color w:val="000000"/>
                <w:szCs w:val="22"/>
              </w:rPr>
              <w:t>​</w:t>
            </w:r>
            <w:r w:rsidRPr="003D2D23">
              <w:rPr>
                <w:rFonts w:cs="Calibri"/>
                <w:color w:val="000000"/>
                <w:szCs w:val="22"/>
              </w:rPr>
              <w:t>Secure transfer of data</w:t>
            </w:r>
          </w:p>
        </w:tc>
      </w:tr>
      <w:tr w:rsidR="00F12319" w14:paraId="453B395F" w14:textId="77777777" w:rsidTr="00EB23D7">
        <w:tc>
          <w:tcPr>
            <w:tcW w:w="877" w:type="dxa"/>
            <w:vAlign w:val="center"/>
          </w:tcPr>
          <w:p w14:paraId="7DF785A0" w14:textId="21510113" w:rsidR="00F12319" w:rsidRPr="00194F03" w:rsidRDefault="00F12319" w:rsidP="00F12319">
            <w:pPr>
              <w:ind w:left="0"/>
              <w:jc w:val="center"/>
              <w:rPr>
                <w:rFonts w:cs="Calibri"/>
                <w:color w:val="000000"/>
                <w:szCs w:val="22"/>
              </w:rPr>
            </w:pPr>
            <w:r>
              <w:rPr>
                <w:szCs w:val="22"/>
              </w:rPr>
              <w:t>40</w:t>
            </w:r>
          </w:p>
        </w:tc>
        <w:tc>
          <w:tcPr>
            <w:tcW w:w="1530" w:type="dxa"/>
            <w:vAlign w:val="center"/>
          </w:tcPr>
          <w:p w14:paraId="1BCE44BC" w14:textId="77777777" w:rsidR="00F12319" w:rsidRPr="003D2D23" w:rsidRDefault="00F12319" w:rsidP="00F12319">
            <w:pPr>
              <w:ind w:left="0"/>
              <w:rPr>
                <w:rFonts w:cs="Calibri"/>
                <w:color w:val="000000"/>
                <w:szCs w:val="22"/>
              </w:rPr>
            </w:pPr>
            <w:r w:rsidRPr="003D2D23">
              <w:rPr>
                <w:rFonts w:cs="Calibri"/>
                <w:color w:val="000000"/>
                <w:szCs w:val="22"/>
              </w:rPr>
              <w:t>Receive</w:t>
            </w:r>
          </w:p>
        </w:tc>
        <w:tc>
          <w:tcPr>
            <w:tcW w:w="1710" w:type="dxa"/>
            <w:vAlign w:val="center"/>
          </w:tcPr>
          <w:p w14:paraId="532FB2A4" w14:textId="77777777" w:rsidR="00F12319" w:rsidRPr="003D2D23" w:rsidRDefault="00F12319" w:rsidP="00F12319">
            <w:pPr>
              <w:ind w:left="0"/>
              <w:rPr>
                <w:rFonts w:cs="Calibri"/>
                <w:color w:val="000000"/>
                <w:szCs w:val="22"/>
              </w:rPr>
            </w:pPr>
            <w:r w:rsidRPr="003D2D23">
              <w:rPr>
                <w:rFonts w:cs="Calibri"/>
                <w:color w:val="000000"/>
                <w:szCs w:val="22"/>
              </w:rPr>
              <w:t>Offline / Quarterly</w:t>
            </w:r>
          </w:p>
        </w:tc>
        <w:tc>
          <w:tcPr>
            <w:tcW w:w="2430" w:type="dxa"/>
            <w:vAlign w:val="center"/>
          </w:tcPr>
          <w:p w14:paraId="67E52F51" w14:textId="77777777" w:rsidR="00F12319" w:rsidRPr="003D2D23" w:rsidRDefault="00F12319" w:rsidP="00F12319">
            <w:pPr>
              <w:ind w:left="0"/>
              <w:rPr>
                <w:rFonts w:cs="Calibri"/>
                <w:color w:val="000000"/>
                <w:szCs w:val="22"/>
              </w:rPr>
            </w:pPr>
            <w:r w:rsidRPr="003D2D23">
              <w:rPr>
                <w:rFonts w:cs="Calibri"/>
                <w:color w:val="000000"/>
                <w:szCs w:val="22"/>
              </w:rPr>
              <w:t>Howard Payne University</w:t>
            </w:r>
          </w:p>
        </w:tc>
        <w:tc>
          <w:tcPr>
            <w:tcW w:w="2160" w:type="dxa"/>
            <w:vAlign w:val="center"/>
          </w:tcPr>
          <w:p w14:paraId="5E552C49" w14:textId="77777777" w:rsidR="00F12319" w:rsidRPr="003D2D23" w:rsidRDefault="00F12319" w:rsidP="00F12319">
            <w:pPr>
              <w:ind w:left="0"/>
              <w:rPr>
                <w:rFonts w:cs="Calibri"/>
                <w:color w:val="000000"/>
                <w:szCs w:val="22"/>
              </w:rPr>
            </w:pPr>
            <w:r w:rsidRPr="003D2D23">
              <w:rPr>
                <w:rFonts w:cs="Calibri"/>
                <w:color w:val="000000"/>
                <w:szCs w:val="22"/>
              </w:rPr>
              <w:t>C3 &amp; C4 Filing</w:t>
            </w:r>
          </w:p>
        </w:tc>
        <w:tc>
          <w:tcPr>
            <w:tcW w:w="5760" w:type="dxa"/>
            <w:vAlign w:val="center"/>
          </w:tcPr>
          <w:p w14:paraId="0490E203" w14:textId="77777777" w:rsidR="00F12319" w:rsidRPr="003D2D23" w:rsidRDefault="00F12319" w:rsidP="00F12319">
            <w:pPr>
              <w:ind w:left="0"/>
              <w:rPr>
                <w:rFonts w:cs="Calibri"/>
                <w:color w:val="000000"/>
                <w:szCs w:val="22"/>
              </w:rPr>
            </w:pPr>
            <w:r w:rsidRPr="003D2D23">
              <w:rPr>
                <w:rFonts w:cs="Calibri"/>
                <w:color w:val="000000"/>
                <w:szCs w:val="22"/>
              </w:rPr>
              <w:t>Receives one (1)</w:t>
            </w:r>
            <w:r>
              <w:rPr>
                <w:rFonts w:cs="Calibri"/>
                <w:color w:val="000000"/>
                <w:szCs w:val="22"/>
              </w:rPr>
              <w:t xml:space="preserve"> </w:t>
            </w:r>
            <w:r w:rsidRPr="003D2D23">
              <w:rPr>
                <w:rFonts w:cs="Calibri"/>
                <w:color w:val="000000"/>
                <w:szCs w:val="22"/>
              </w:rPr>
              <w:t>file</w:t>
            </w:r>
          </w:p>
        </w:tc>
      </w:tr>
      <w:tr w:rsidR="00F12319" w14:paraId="2C5E1F6D" w14:textId="77777777" w:rsidTr="00EB23D7">
        <w:tc>
          <w:tcPr>
            <w:tcW w:w="877" w:type="dxa"/>
            <w:vAlign w:val="center"/>
          </w:tcPr>
          <w:p w14:paraId="0C14D8C4" w14:textId="7486B868" w:rsidR="00F12319" w:rsidRPr="00194F03" w:rsidRDefault="00F12319" w:rsidP="00F12319">
            <w:pPr>
              <w:ind w:left="0"/>
              <w:jc w:val="center"/>
              <w:rPr>
                <w:rFonts w:cs="Calibri"/>
                <w:color w:val="000000"/>
                <w:szCs w:val="22"/>
              </w:rPr>
            </w:pPr>
            <w:r>
              <w:rPr>
                <w:color w:val="000000"/>
                <w:szCs w:val="22"/>
              </w:rPr>
              <w:t>41</w:t>
            </w:r>
          </w:p>
        </w:tc>
        <w:tc>
          <w:tcPr>
            <w:tcW w:w="1530" w:type="dxa"/>
            <w:vAlign w:val="center"/>
          </w:tcPr>
          <w:p w14:paraId="16CC9638" w14:textId="77777777" w:rsidR="00F12319" w:rsidRPr="003D2D23" w:rsidRDefault="00F12319" w:rsidP="00F12319">
            <w:pPr>
              <w:ind w:left="0"/>
              <w:rPr>
                <w:rFonts w:cs="Calibri"/>
                <w:color w:val="000000"/>
                <w:szCs w:val="22"/>
              </w:rPr>
            </w:pPr>
            <w:r w:rsidRPr="003D2D23">
              <w:rPr>
                <w:rFonts w:cs="Calibri"/>
                <w:color w:val="000000"/>
                <w:szCs w:val="22"/>
              </w:rPr>
              <w:t>Both</w:t>
            </w:r>
          </w:p>
        </w:tc>
        <w:tc>
          <w:tcPr>
            <w:tcW w:w="1710" w:type="dxa"/>
            <w:vAlign w:val="center"/>
          </w:tcPr>
          <w:p w14:paraId="41ABB2F8" w14:textId="77777777" w:rsidR="00F12319" w:rsidRPr="003D2D23" w:rsidRDefault="00F12319" w:rsidP="00F12319">
            <w:pPr>
              <w:ind w:left="0"/>
              <w:rPr>
                <w:rFonts w:cs="Calibri"/>
                <w:color w:val="000000"/>
                <w:szCs w:val="22"/>
              </w:rPr>
            </w:pPr>
            <w:r w:rsidRPr="003D2D23">
              <w:rPr>
                <w:rFonts w:cs="Calibri"/>
                <w:color w:val="000000"/>
                <w:szCs w:val="22"/>
              </w:rPr>
              <w:t>Offline / Quarterly</w:t>
            </w:r>
          </w:p>
        </w:tc>
        <w:tc>
          <w:tcPr>
            <w:tcW w:w="2430" w:type="dxa"/>
            <w:vAlign w:val="center"/>
          </w:tcPr>
          <w:p w14:paraId="72FD98A6" w14:textId="77777777" w:rsidR="00F12319" w:rsidRPr="003D2D23" w:rsidRDefault="00F12319" w:rsidP="00F12319">
            <w:pPr>
              <w:ind w:left="0"/>
              <w:rPr>
                <w:rFonts w:cs="Calibri"/>
                <w:color w:val="000000"/>
                <w:szCs w:val="22"/>
              </w:rPr>
            </w:pPr>
            <w:r w:rsidRPr="003D2D23">
              <w:rPr>
                <w:rFonts w:cs="Calibri"/>
                <w:color w:val="000000"/>
                <w:szCs w:val="22"/>
              </w:rPr>
              <w:t>HP</w:t>
            </w:r>
          </w:p>
        </w:tc>
        <w:tc>
          <w:tcPr>
            <w:tcW w:w="2160" w:type="dxa"/>
            <w:vAlign w:val="center"/>
          </w:tcPr>
          <w:p w14:paraId="05D6203A" w14:textId="77777777" w:rsidR="00F12319" w:rsidRPr="003D2D23" w:rsidRDefault="00F12319" w:rsidP="00F12319">
            <w:pPr>
              <w:ind w:left="0"/>
              <w:rPr>
                <w:rFonts w:cs="Calibri"/>
                <w:color w:val="000000"/>
                <w:szCs w:val="22"/>
              </w:rPr>
            </w:pPr>
            <w:r w:rsidRPr="003D2D23">
              <w:rPr>
                <w:rFonts w:cs="Calibri"/>
                <w:color w:val="000000"/>
                <w:szCs w:val="22"/>
              </w:rPr>
              <w:t>Chargebacks</w:t>
            </w:r>
          </w:p>
        </w:tc>
        <w:tc>
          <w:tcPr>
            <w:tcW w:w="5760" w:type="dxa"/>
            <w:vAlign w:val="center"/>
          </w:tcPr>
          <w:p w14:paraId="029F17BB" w14:textId="77777777" w:rsidR="00F12319" w:rsidRPr="003D2D23" w:rsidRDefault="00F12319" w:rsidP="00F12319">
            <w:pPr>
              <w:ind w:left="0"/>
              <w:rPr>
                <w:rFonts w:cs="Calibri"/>
                <w:color w:val="000000"/>
                <w:szCs w:val="22"/>
              </w:rPr>
            </w:pPr>
            <w:r>
              <w:rPr>
                <w:rFonts w:cs="Calibri"/>
                <w:color w:val="000000"/>
                <w:szCs w:val="22"/>
              </w:rPr>
              <w:t>S</w:t>
            </w:r>
            <w:r w:rsidRPr="003D2D23">
              <w:rPr>
                <w:rFonts w:cs="Calibri"/>
                <w:color w:val="000000"/>
                <w:szCs w:val="22"/>
              </w:rPr>
              <w:t>end and receive one (1)</w:t>
            </w:r>
            <w:r>
              <w:rPr>
                <w:rFonts w:cs="Calibri"/>
                <w:color w:val="000000"/>
                <w:szCs w:val="22"/>
              </w:rPr>
              <w:t xml:space="preserve"> </w:t>
            </w:r>
            <w:r w:rsidRPr="003D2D23">
              <w:rPr>
                <w:rFonts w:cs="Calibri"/>
                <w:color w:val="000000"/>
                <w:szCs w:val="22"/>
              </w:rPr>
              <w:t>file</w:t>
            </w:r>
          </w:p>
        </w:tc>
      </w:tr>
      <w:tr w:rsidR="00F12319" w14:paraId="7816C8FD" w14:textId="77777777" w:rsidTr="00EB23D7">
        <w:tc>
          <w:tcPr>
            <w:tcW w:w="877" w:type="dxa"/>
            <w:vAlign w:val="center"/>
          </w:tcPr>
          <w:p w14:paraId="31E85ECF" w14:textId="6CECBE54" w:rsidR="00F12319" w:rsidRPr="00194F03" w:rsidRDefault="00F12319" w:rsidP="00F12319">
            <w:pPr>
              <w:ind w:left="0"/>
              <w:jc w:val="center"/>
              <w:rPr>
                <w:rFonts w:cs="Calibri"/>
                <w:color w:val="000000"/>
              </w:rPr>
            </w:pPr>
            <w:r>
              <w:rPr>
                <w:szCs w:val="22"/>
              </w:rPr>
              <w:t>42</w:t>
            </w:r>
          </w:p>
        </w:tc>
        <w:tc>
          <w:tcPr>
            <w:tcW w:w="1530" w:type="dxa"/>
            <w:vAlign w:val="center"/>
          </w:tcPr>
          <w:p w14:paraId="3A89FD3F" w14:textId="77777777" w:rsidR="00F12319" w:rsidRPr="003D2D23" w:rsidRDefault="00F12319" w:rsidP="00F12319">
            <w:pPr>
              <w:ind w:left="0"/>
              <w:rPr>
                <w:rFonts w:cs="Calibri"/>
                <w:color w:val="000000"/>
              </w:rPr>
            </w:pPr>
            <w:r>
              <w:rPr>
                <w:rFonts w:cs="Calibri"/>
                <w:color w:val="000000"/>
              </w:rPr>
              <w:t>Both</w:t>
            </w:r>
          </w:p>
        </w:tc>
        <w:tc>
          <w:tcPr>
            <w:tcW w:w="1710" w:type="dxa"/>
            <w:vAlign w:val="center"/>
          </w:tcPr>
          <w:p w14:paraId="5AC52FC1" w14:textId="77777777" w:rsidR="00F12319" w:rsidRPr="003D2D23" w:rsidRDefault="00F12319" w:rsidP="00F12319">
            <w:pPr>
              <w:ind w:left="0"/>
              <w:rPr>
                <w:rFonts w:cs="Calibri"/>
                <w:color w:val="000000"/>
              </w:rPr>
            </w:pPr>
            <w:r w:rsidRPr="003D2D23">
              <w:rPr>
                <w:rFonts w:cs="Calibri"/>
                <w:color w:val="000000"/>
                <w:szCs w:val="22"/>
              </w:rPr>
              <w:t>Offline / Daily</w:t>
            </w:r>
          </w:p>
        </w:tc>
        <w:tc>
          <w:tcPr>
            <w:tcW w:w="2430" w:type="dxa"/>
            <w:vAlign w:val="center"/>
          </w:tcPr>
          <w:p w14:paraId="59C5DF18" w14:textId="77777777" w:rsidR="00F12319" w:rsidRPr="003D2D23" w:rsidRDefault="00F12319" w:rsidP="00F12319">
            <w:pPr>
              <w:ind w:left="0"/>
              <w:rPr>
                <w:rFonts w:cs="Calibri"/>
                <w:color w:val="000000"/>
              </w:rPr>
            </w:pPr>
            <w:r>
              <w:t>Integrity Data Hub</w:t>
            </w:r>
          </w:p>
        </w:tc>
        <w:tc>
          <w:tcPr>
            <w:tcW w:w="2160" w:type="dxa"/>
            <w:vAlign w:val="center"/>
          </w:tcPr>
          <w:p w14:paraId="170C8FB6" w14:textId="77777777" w:rsidR="00F12319" w:rsidRPr="003D2D23" w:rsidRDefault="00F12319" w:rsidP="00F12319">
            <w:pPr>
              <w:ind w:left="0"/>
              <w:rPr>
                <w:rFonts w:cs="Calibri"/>
                <w:color w:val="000000"/>
              </w:rPr>
            </w:pPr>
            <w:r>
              <w:t>Suspicious Actor Repository and UI Claim Data</w:t>
            </w:r>
          </w:p>
        </w:tc>
        <w:tc>
          <w:tcPr>
            <w:tcW w:w="5760" w:type="dxa"/>
            <w:vAlign w:val="center"/>
          </w:tcPr>
          <w:p w14:paraId="57F1F37C" w14:textId="77777777" w:rsidR="00F12319" w:rsidRPr="003D2D23" w:rsidRDefault="00F12319" w:rsidP="00F12319">
            <w:pPr>
              <w:ind w:left="0"/>
              <w:rPr>
                <w:rFonts w:cs="Calibri"/>
                <w:color w:val="000000"/>
              </w:rPr>
            </w:pPr>
            <w:r w:rsidRPr="003D2D23">
              <w:rPr>
                <w:rFonts w:cs="Calibri"/>
                <w:color w:val="000000"/>
                <w:szCs w:val="22"/>
              </w:rPr>
              <w:t>Secure transfer of data</w:t>
            </w:r>
          </w:p>
        </w:tc>
      </w:tr>
      <w:tr w:rsidR="00F12319" w14:paraId="0F71A854" w14:textId="77777777" w:rsidTr="00EB23D7">
        <w:tc>
          <w:tcPr>
            <w:tcW w:w="877" w:type="dxa"/>
            <w:vAlign w:val="center"/>
          </w:tcPr>
          <w:p w14:paraId="1D299629" w14:textId="4CF3B237" w:rsidR="00F12319" w:rsidRPr="00194F03" w:rsidRDefault="00F12319" w:rsidP="00F12319">
            <w:pPr>
              <w:ind w:left="0"/>
              <w:jc w:val="center"/>
              <w:rPr>
                <w:rFonts w:cs="Calibri"/>
                <w:color w:val="000000"/>
                <w:szCs w:val="22"/>
              </w:rPr>
            </w:pPr>
            <w:r>
              <w:rPr>
                <w:color w:val="000000"/>
                <w:szCs w:val="22"/>
              </w:rPr>
              <w:t>43</w:t>
            </w:r>
          </w:p>
        </w:tc>
        <w:tc>
          <w:tcPr>
            <w:tcW w:w="1530" w:type="dxa"/>
            <w:vAlign w:val="center"/>
          </w:tcPr>
          <w:p w14:paraId="5F726D4C" w14:textId="77777777" w:rsidR="00F12319" w:rsidRPr="003D2D23" w:rsidRDefault="00F12319" w:rsidP="00F12319">
            <w:pPr>
              <w:ind w:left="0"/>
              <w:rPr>
                <w:rFonts w:cs="Calibri"/>
                <w:color w:val="000000"/>
                <w:szCs w:val="22"/>
              </w:rPr>
            </w:pPr>
            <w:r w:rsidRPr="003D2D23">
              <w:rPr>
                <w:rFonts w:cs="Calibri"/>
                <w:color w:val="000000"/>
                <w:szCs w:val="22"/>
              </w:rPr>
              <w:t>Receive</w:t>
            </w:r>
          </w:p>
        </w:tc>
        <w:tc>
          <w:tcPr>
            <w:tcW w:w="1710" w:type="dxa"/>
            <w:vAlign w:val="center"/>
          </w:tcPr>
          <w:p w14:paraId="43D7E49C" w14:textId="77777777" w:rsidR="00F12319" w:rsidRPr="003D2D23" w:rsidRDefault="00F12319" w:rsidP="00F12319">
            <w:pPr>
              <w:ind w:left="0"/>
              <w:rPr>
                <w:rFonts w:cs="Calibri"/>
                <w:color w:val="000000"/>
                <w:szCs w:val="22"/>
              </w:rPr>
            </w:pPr>
            <w:r w:rsidRPr="003D2D23">
              <w:rPr>
                <w:rFonts w:cs="Calibri"/>
                <w:color w:val="000000"/>
                <w:szCs w:val="22"/>
              </w:rPr>
              <w:t>Offline / Continuous (real-time)</w:t>
            </w:r>
          </w:p>
        </w:tc>
        <w:tc>
          <w:tcPr>
            <w:tcW w:w="2430" w:type="dxa"/>
            <w:vAlign w:val="center"/>
          </w:tcPr>
          <w:p w14:paraId="4C6A1302" w14:textId="77777777" w:rsidR="00F12319" w:rsidRPr="003D2D23" w:rsidRDefault="00F12319" w:rsidP="00F12319">
            <w:pPr>
              <w:ind w:left="0"/>
              <w:rPr>
                <w:rFonts w:cs="Calibri"/>
                <w:color w:val="000000"/>
                <w:szCs w:val="22"/>
              </w:rPr>
            </w:pPr>
            <w:r w:rsidRPr="003D2D23">
              <w:rPr>
                <w:rFonts w:cs="Calibri"/>
                <w:color w:val="000000"/>
                <w:szCs w:val="22"/>
              </w:rPr>
              <w:t>Intuit</w:t>
            </w:r>
          </w:p>
        </w:tc>
        <w:tc>
          <w:tcPr>
            <w:tcW w:w="2160" w:type="dxa"/>
            <w:vAlign w:val="center"/>
          </w:tcPr>
          <w:p w14:paraId="1C680181" w14:textId="77777777" w:rsidR="00F12319" w:rsidRPr="003D2D23" w:rsidRDefault="00F12319" w:rsidP="00F12319">
            <w:pPr>
              <w:ind w:left="0"/>
              <w:rPr>
                <w:rFonts w:cs="Calibri"/>
                <w:color w:val="000000"/>
                <w:szCs w:val="22"/>
              </w:rPr>
            </w:pPr>
            <w:r w:rsidRPr="003D2D23">
              <w:rPr>
                <w:rFonts w:cs="Calibri"/>
                <w:color w:val="000000"/>
                <w:szCs w:val="22"/>
              </w:rPr>
              <w:t>Intuit C3 &amp; C4 filing and tax payments</w:t>
            </w:r>
          </w:p>
        </w:tc>
        <w:tc>
          <w:tcPr>
            <w:tcW w:w="5760" w:type="dxa"/>
            <w:vAlign w:val="center"/>
          </w:tcPr>
          <w:p w14:paraId="5D0E7A2B" w14:textId="77777777" w:rsidR="00F12319" w:rsidRPr="003D2D23" w:rsidRDefault="00F12319" w:rsidP="00F12319">
            <w:pPr>
              <w:ind w:left="0"/>
              <w:rPr>
                <w:rFonts w:cs="Calibri"/>
                <w:color w:val="000000"/>
                <w:szCs w:val="22"/>
              </w:rPr>
            </w:pPr>
            <w:r w:rsidRPr="003D2D23">
              <w:rPr>
                <w:rFonts w:ascii="Arial" w:hAnsi="Arial" w:cs="Arial"/>
                <w:color w:val="000000"/>
                <w:szCs w:val="22"/>
              </w:rPr>
              <w:t>​</w:t>
            </w:r>
            <w:r w:rsidRPr="003D2D23">
              <w:rPr>
                <w:rFonts w:cs="Calibri"/>
                <w:color w:val="000000"/>
                <w:szCs w:val="22"/>
              </w:rPr>
              <w:t>Intuit can automatically submit payments and filings</w:t>
            </w:r>
          </w:p>
        </w:tc>
      </w:tr>
      <w:tr w:rsidR="00F12319" w14:paraId="52BA73EF" w14:textId="77777777" w:rsidTr="00EB23D7">
        <w:tc>
          <w:tcPr>
            <w:tcW w:w="877" w:type="dxa"/>
            <w:vAlign w:val="center"/>
          </w:tcPr>
          <w:p w14:paraId="165356CA" w14:textId="3793005E" w:rsidR="00F12319" w:rsidRPr="00194F03" w:rsidRDefault="00F12319" w:rsidP="00F12319">
            <w:pPr>
              <w:ind w:left="0"/>
              <w:jc w:val="center"/>
              <w:rPr>
                <w:rFonts w:cs="Calibri"/>
                <w:color w:val="000000"/>
                <w:szCs w:val="22"/>
              </w:rPr>
            </w:pPr>
            <w:r>
              <w:rPr>
                <w:szCs w:val="22"/>
              </w:rPr>
              <w:t>44</w:t>
            </w:r>
          </w:p>
        </w:tc>
        <w:tc>
          <w:tcPr>
            <w:tcW w:w="1530" w:type="dxa"/>
            <w:vAlign w:val="center"/>
          </w:tcPr>
          <w:p w14:paraId="163546AC" w14:textId="77777777" w:rsidR="00F12319" w:rsidRPr="003D2D23" w:rsidRDefault="00F12319" w:rsidP="00F12319">
            <w:pPr>
              <w:ind w:left="0"/>
              <w:rPr>
                <w:rFonts w:cs="Calibri"/>
                <w:color w:val="000000"/>
                <w:szCs w:val="22"/>
              </w:rPr>
            </w:pPr>
            <w:r w:rsidRPr="003D2D23">
              <w:rPr>
                <w:rFonts w:cs="Calibri"/>
                <w:color w:val="000000"/>
                <w:szCs w:val="22"/>
              </w:rPr>
              <w:t>Receive</w:t>
            </w:r>
          </w:p>
        </w:tc>
        <w:tc>
          <w:tcPr>
            <w:tcW w:w="1710" w:type="dxa"/>
            <w:vAlign w:val="center"/>
          </w:tcPr>
          <w:p w14:paraId="14E4EC4F" w14:textId="77777777" w:rsidR="00F12319" w:rsidRPr="003D2D23" w:rsidRDefault="00F12319" w:rsidP="00F12319">
            <w:pPr>
              <w:ind w:left="0"/>
              <w:rPr>
                <w:rFonts w:cs="Calibri"/>
                <w:color w:val="000000"/>
                <w:szCs w:val="22"/>
              </w:rPr>
            </w:pPr>
            <w:r w:rsidRPr="003D2D23">
              <w:rPr>
                <w:rFonts w:cs="Calibri"/>
                <w:color w:val="000000"/>
                <w:szCs w:val="22"/>
              </w:rPr>
              <w:t>Offline / Daily</w:t>
            </w:r>
          </w:p>
        </w:tc>
        <w:tc>
          <w:tcPr>
            <w:tcW w:w="2430" w:type="dxa"/>
            <w:vAlign w:val="center"/>
          </w:tcPr>
          <w:p w14:paraId="2D4A528A" w14:textId="77777777" w:rsidR="00F12319" w:rsidRPr="003D2D23" w:rsidRDefault="00F12319" w:rsidP="00F12319">
            <w:pPr>
              <w:ind w:left="0"/>
              <w:rPr>
                <w:rFonts w:cs="Calibri"/>
                <w:color w:val="000000"/>
                <w:szCs w:val="22"/>
              </w:rPr>
            </w:pPr>
            <w:r w:rsidRPr="003D2D23">
              <w:rPr>
                <w:rFonts w:cs="Calibri"/>
                <w:color w:val="000000"/>
                <w:szCs w:val="22"/>
              </w:rPr>
              <w:t>Labor Law</w:t>
            </w:r>
          </w:p>
        </w:tc>
        <w:tc>
          <w:tcPr>
            <w:tcW w:w="2160" w:type="dxa"/>
            <w:vAlign w:val="center"/>
          </w:tcPr>
          <w:p w14:paraId="174D48AF" w14:textId="77777777" w:rsidR="00F12319" w:rsidRPr="003D2D23" w:rsidRDefault="00F12319" w:rsidP="00F12319">
            <w:pPr>
              <w:ind w:left="0"/>
              <w:rPr>
                <w:rFonts w:cs="Calibri"/>
                <w:color w:val="000000"/>
                <w:szCs w:val="22"/>
              </w:rPr>
            </w:pPr>
            <w:r w:rsidRPr="003D2D23">
              <w:rPr>
                <w:rFonts w:cs="Calibri"/>
                <w:color w:val="000000"/>
                <w:szCs w:val="22"/>
              </w:rPr>
              <w:t>Neubus Data</w:t>
            </w:r>
          </w:p>
        </w:tc>
        <w:tc>
          <w:tcPr>
            <w:tcW w:w="5760" w:type="dxa"/>
            <w:vAlign w:val="center"/>
          </w:tcPr>
          <w:p w14:paraId="0AEA1F2B" w14:textId="77777777" w:rsidR="00F12319" w:rsidRPr="003D2D23" w:rsidRDefault="00F12319" w:rsidP="00F12319">
            <w:pPr>
              <w:ind w:left="0"/>
              <w:rPr>
                <w:rFonts w:cs="Calibri"/>
                <w:color w:val="000000"/>
                <w:szCs w:val="22"/>
              </w:rPr>
            </w:pPr>
            <w:r>
              <w:rPr>
                <w:rFonts w:cs="Calibri"/>
                <w:color w:val="000000"/>
                <w:szCs w:val="22"/>
              </w:rPr>
              <w:t>G</w:t>
            </w:r>
            <w:r w:rsidRPr="003D2D23">
              <w:rPr>
                <w:rFonts w:cs="Calibri"/>
                <w:color w:val="000000"/>
                <w:szCs w:val="22"/>
              </w:rPr>
              <w:t>ets one file, same script file for PDDBTEST, PDDB400P and PDDB406P</w:t>
            </w:r>
          </w:p>
        </w:tc>
      </w:tr>
      <w:tr w:rsidR="00F12319" w14:paraId="0A87284F" w14:textId="77777777" w:rsidTr="00EB23D7">
        <w:tc>
          <w:tcPr>
            <w:tcW w:w="877" w:type="dxa"/>
            <w:vAlign w:val="center"/>
          </w:tcPr>
          <w:p w14:paraId="55FE8452" w14:textId="1A0F0F0C" w:rsidR="00F12319" w:rsidRPr="00194F03" w:rsidRDefault="00F12319" w:rsidP="00F12319">
            <w:pPr>
              <w:ind w:left="0"/>
              <w:jc w:val="center"/>
              <w:rPr>
                <w:rFonts w:cs="Calibri"/>
                <w:color w:val="000000"/>
                <w:szCs w:val="22"/>
              </w:rPr>
            </w:pPr>
            <w:r>
              <w:rPr>
                <w:color w:val="000000"/>
                <w:szCs w:val="22"/>
              </w:rPr>
              <w:t>45</w:t>
            </w:r>
          </w:p>
        </w:tc>
        <w:tc>
          <w:tcPr>
            <w:tcW w:w="1530" w:type="dxa"/>
            <w:vAlign w:val="center"/>
          </w:tcPr>
          <w:p w14:paraId="2027183B" w14:textId="77777777" w:rsidR="00F12319" w:rsidRPr="003D2D23" w:rsidRDefault="00F12319" w:rsidP="00F12319">
            <w:pPr>
              <w:ind w:left="0"/>
              <w:rPr>
                <w:rFonts w:cs="Calibri"/>
                <w:color w:val="000000"/>
                <w:szCs w:val="22"/>
              </w:rPr>
            </w:pPr>
            <w:r w:rsidRPr="003D2D23">
              <w:rPr>
                <w:rFonts w:cs="Calibri"/>
                <w:color w:val="000000"/>
                <w:szCs w:val="22"/>
              </w:rPr>
              <w:t>Receive</w:t>
            </w:r>
          </w:p>
        </w:tc>
        <w:tc>
          <w:tcPr>
            <w:tcW w:w="1710" w:type="dxa"/>
            <w:vAlign w:val="center"/>
          </w:tcPr>
          <w:p w14:paraId="16D94C21" w14:textId="77777777" w:rsidR="00F12319" w:rsidRPr="003D2D23" w:rsidRDefault="00F12319" w:rsidP="00F12319">
            <w:pPr>
              <w:ind w:left="0"/>
              <w:rPr>
                <w:rFonts w:cs="Calibri"/>
                <w:color w:val="000000"/>
                <w:szCs w:val="22"/>
              </w:rPr>
            </w:pPr>
            <w:r w:rsidRPr="003D2D23">
              <w:rPr>
                <w:rFonts w:cs="Calibri"/>
                <w:color w:val="000000"/>
                <w:szCs w:val="22"/>
              </w:rPr>
              <w:t>Offline / Daily (M-F)</w:t>
            </w:r>
          </w:p>
        </w:tc>
        <w:tc>
          <w:tcPr>
            <w:tcW w:w="2430" w:type="dxa"/>
            <w:vAlign w:val="center"/>
          </w:tcPr>
          <w:p w14:paraId="294A4669" w14:textId="77777777" w:rsidR="00F12319" w:rsidRPr="003D2D23" w:rsidRDefault="00F12319" w:rsidP="00F12319">
            <w:pPr>
              <w:ind w:left="0"/>
              <w:rPr>
                <w:rFonts w:cs="Calibri"/>
                <w:color w:val="000000"/>
                <w:szCs w:val="22"/>
              </w:rPr>
            </w:pPr>
            <w:r w:rsidRPr="003D2D23">
              <w:rPr>
                <w:rFonts w:cs="Calibri"/>
                <w:color w:val="000000"/>
                <w:szCs w:val="22"/>
              </w:rPr>
              <w:t>Mars Stout</w:t>
            </w:r>
          </w:p>
        </w:tc>
        <w:tc>
          <w:tcPr>
            <w:tcW w:w="2160" w:type="dxa"/>
            <w:vAlign w:val="center"/>
          </w:tcPr>
          <w:p w14:paraId="217BFB5E" w14:textId="77777777" w:rsidR="00F12319" w:rsidRPr="003D2D23" w:rsidRDefault="00F12319" w:rsidP="00F12319">
            <w:pPr>
              <w:ind w:left="0"/>
              <w:rPr>
                <w:rFonts w:cs="Calibri"/>
                <w:color w:val="000000"/>
                <w:szCs w:val="22"/>
              </w:rPr>
            </w:pPr>
            <w:r w:rsidRPr="003D2D23">
              <w:rPr>
                <w:rFonts w:cs="Calibri"/>
                <w:color w:val="000000"/>
                <w:szCs w:val="22"/>
              </w:rPr>
              <w:t>Form 8850 FTP</w:t>
            </w:r>
          </w:p>
        </w:tc>
        <w:tc>
          <w:tcPr>
            <w:tcW w:w="5760" w:type="dxa"/>
            <w:vAlign w:val="center"/>
          </w:tcPr>
          <w:p w14:paraId="2C671B18" w14:textId="77777777" w:rsidR="00F12319" w:rsidRPr="003D2D23" w:rsidRDefault="00F12319" w:rsidP="00F12319">
            <w:pPr>
              <w:ind w:left="0"/>
              <w:rPr>
                <w:rFonts w:cs="Calibri"/>
                <w:color w:val="000000"/>
                <w:szCs w:val="22"/>
              </w:rPr>
            </w:pPr>
            <w:r w:rsidRPr="003D2D23">
              <w:rPr>
                <w:rFonts w:ascii="Arial" w:hAnsi="Arial" w:cs="Arial"/>
                <w:color w:val="000000"/>
                <w:szCs w:val="22"/>
              </w:rPr>
              <w:t>​</w:t>
            </w:r>
            <w:r w:rsidRPr="003D2D23">
              <w:rPr>
                <w:rFonts w:cs="Calibri"/>
                <w:color w:val="000000"/>
                <w:szCs w:val="22"/>
              </w:rPr>
              <w:t>Secure transfer of data</w:t>
            </w:r>
          </w:p>
        </w:tc>
      </w:tr>
      <w:tr w:rsidR="00F12319" w14:paraId="566D5C41" w14:textId="77777777" w:rsidTr="00EB23D7">
        <w:tc>
          <w:tcPr>
            <w:tcW w:w="877" w:type="dxa"/>
            <w:vAlign w:val="center"/>
          </w:tcPr>
          <w:p w14:paraId="7E222833" w14:textId="5AE8F0A5" w:rsidR="00F12319" w:rsidRPr="00194F03" w:rsidRDefault="00F12319" w:rsidP="00F12319">
            <w:pPr>
              <w:ind w:left="0"/>
              <w:jc w:val="center"/>
              <w:rPr>
                <w:rFonts w:cs="Calibri"/>
                <w:color w:val="000000"/>
                <w:szCs w:val="22"/>
              </w:rPr>
            </w:pPr>
            <w:r>
              <w:rPr>
                <w:szCs w:val="22"/>
              </w:rPr>
              <w:t>46</w:t>
            </w:r>
          </w:p>
        </w:tc>
        <w:tc>
          <w:tcPr>
            <w:tcW w:w="1530" w:type="dxa"/>
            <w:vAlign w:val="center"/>
          </w:tcPr>
          <w:p w14:paraId="7F6D33FF" w14:textId="77777777" w:rsidR="00F12319" w:rsidRPr="003D2D23" w:rsidRDefault="00F12319" w:rsidP="00F12319">
            <w:pPr>
              <w:ind w:left="0"/>
              <w:rPr>
                <w:rFonts w:cs="Calibri"/>
                <w:color w:val="000000"/>
                <w:szCs w:val="22"/>
              </w:rPr>
            </w:pPr>
            <w:r w:rsidRPr="003D2D23">
              <w:rPr>
                <w:rFonts w:cs="Calibri"/>
                <w:color w:val="000000"/>
                <w:szCs w:val="22"/>
              </w:rPr>
              <w:t>Receive</w:t>
            </w:r>
          </w:p>
        </w:tc>
        <w:tc>
          <w:tcPr>
            <w:tcW w:w="1710" w:type="dxa"/>
            <w:vAlign w:val="center"/>
          </w:tcPr>
          <w:p w14:paraId="1B70A710" w14:textId="77777777" w:rsidR="00F12319" w:rsidRPr="003D2D23" w:rsidRDefault="00F12319" w:rsidP="00F12319">
            <w:pPr>
              <w:ind w:left="0"/>
              <w:rPr>
                <w:rFonts w:cs="Calibri"/>
                <w:color w:val="000000"/>
                <w:szCs w:val="22"/>
              </w:rPr>
            </w:pPr>
            <w:r w:rsidRPr="003D2D23">
              <w:rPr>
                <w:rFonts w:cs="Calibri"/>
                <w:color w:val="000000"/>
                <w:szCs w:val="22"/>
              </w:rPr>
              <w:t>Offline / Daily (M-F)</w:t>
            </w:r>
          </w:p>
        </w:tc>
        <w:tc>
          <w:tcPr>
            <w:tcW w:w="2430" w:type="dxa"/>
            <w:vAlign w:val="center"/>
          </w:tcPr>
          <w:p w14:paraId="4BC5DA2B" w14:textId="77777777" w:rsidR="00F12319" w:rsidRPr="003D2D23" w:rsidRDefault="00F12319" w:rsidP="00F12319">
            <w:pPr>
              <w:ind w:left="0"/>
              <w:rPr>
                <w:rFonts w:cs="Calibri"/>
                <w:color w:val="000000"/>
                <w:szCs w:val="22"/>
              </w:rPr>
            </w:pPr>
            <w:r w:rsidRPr="003D2D23">
              <w:rPr>
                <w:rFonts w:cs="Calibri"/>
                <w:color w:val="000000"/>
                <w:szCs w:val="22"/>
              </w:rPr>
              <w:t>Maximus</w:t>
            </w:r>
          </w:p>
        </w:tc>
        <w:tc>
          <w:tcPr>
            <w:tcW w:w="2160" w:type="dxa"/>
            <w:vAlign w:val="center"/>
          </w:tcPr>
          <w:p w14:paraId="004F76CC" w14:textId="77777777" w:rsidR="00F12319" w:rsidRPr="003D2D23" w:rsidRDefault="00F12319" w:rsidP="00F12319">
            <w:pPr>
              <w:ind w:left="0"/>
              <w:rPr>
                <w:rFonts w:cs="Calibri"/>
                <w:color w:val="000000"/>
                <w:szCs w:val="22"/>
              </w:rPr>
            </w:pPr>
            <w:r w:rsidRPr="003D2D23">
              <w:rPr>
                <w:rFonts w:cs="Calibri"/>
                <w:color w:val="000000"/>
                <w:szCs w:val="22"/>
              </w:rPr>
              <w:t>Form 8850 FTP</w:t>
            </w:r>
          </w:p>
        </w:tc>
        <w:tc>
          <w:tcPr>
            <w:tcW w:w="5760" w:type="dxa"/>
            <w:vAlign w:val="center"/>
          </w:tcPr>
          <w:p w14:paraId="038D150E" w14:textId="77777777" w:rsidR="00F12319" w:rsidRPr="003D2D23" w:rsidRDefault="00F12319" w:rsidP="00F12319">
            <w:pPr>
              <w:ind w:left="0"/>
              <w:rPr>
                <w:rFonts w:cs="Calibri"/>
                <w:color w:val="000000"/>
                <w:szCs w:val="22"/>
              </w:rPr>
            </w:pPr>
            <w:r w:rsidRPr="003D2D23">
              <w:rPr>
                <w:rFonts w:ascii="Arial" w:hAnsi="Arial" w:cs="Arial"/>
                <w:color w:val="000000"/>
                <w:szCs w:val="22"/>
              </w:rPr>
              <w:t>​</w:t>
            </w:r>
            <w:r w:rsidRPr="003D2D23">
              <w:rPr>
                <w:rFonts w:cs="Calibri"/>
                <w:color w:val="000000"/>
                <w:szCs w:val="22"/>
              </w:rPr>
              <w:t>Secure transfer of data</w:t>
            </w:r>
          </w:p>
        </w:tc>
      </w:tr>
      <w:tr w:rsidR="00F12319" w14:paraId="7ABD87E0" w14:textId="77777777" w:rsidTr="00EB23D7">
        <w:tc>
          <w:tcPr>
            <w:tcW w:w="877" w:type="dxa"/>
            <w:vAlign w:val="center"/>
          </w:tcPr>
          <w:p w14:paraId="3C790B3B" w14:textId="799754B5" w:rsidR="00F12319" w:rsidRPr="00194F03" w:rsidRDefault="00F12319" w:rsidP="00F12319">
            <w:pPr>
              <w:ind w:left="0"/>
              <w:jc w:val="center"/>
              <w:rPr>
                <w:rFonts w:cs="Calibri"/>
                <w:color w:val="000000"/>
                <w:szCs w:val="22"/>
              </w:rPr>
            </w:pPr>
            <w:r>
              <w:rPr>
                <w:color w:val="000000"/>
                <w:szCs w:val="22"/>
              </w:rPr>
              <w:t>47</w:t>
            </w:r>
          </w:p>
        </w:tc>
        <w:tc>
          <w:tcPr>
            <w:tcW w:w="1530" w:type="dxa"/>
            <w:vAlign w:val="center"/>
          </w:tcPr>
          <w:p w14:paraId="0AB0B36C" w14:textId="77777777" w:rsidR="00F12319" w:rsidRPr="003D2D23" w:rsidRDefault="00F12319" w:rsidP="00F12319">
            <w:pPr>
              <w:ind w:left="0"/>
              <w:rPr>
                <w:rFonts w:cs="Calibri"/>
                <w:color w:val="000000"/>
                <w:szCs w:val="22"/>
              </w:rPr>
            </w:pPr>
            <w:r w:rsidRPr="003D2D23">
              <w:rPr>
                <w:rFonts w:cs="Calibri"/>
                <w:color w:val="000000"/>
                <w:szCs w:val="22"/>
              </w:rPr>
              <w:t>Receive</w:t>
            </w:r>
          </w:p>
        </w:tc>
        <w:tc>
          <w:tcPr>
            <w:tcW w:w="1710" w:type="dxa"/>
            <w:vAlign w:val="center"/>
          </w:tcPr>
          <w:p w14:paraId="37DFF9AC" w14:textId="77777777" w:rsidR="00F12319" w:rsidRPr="003D2D23" w:rsidRDefault="00F12319" w:rsidP="00F12319">
            <w:pPr>
              <w:ind w:left="0"/>
              <w:rPr>
                <w:rFonts w:cs="Calibri"/>
                <w:color w:val="000000"/>
                <w:szCs w:val="22"/>
              </w:rPr>
            </w:pPr>
            <w:r w:rsidRPr="003D2D23">
              <w:rPr>
                <w:rFonts w:cs="Calibri"/>
                <w:color w:val="000000"/>
                <w:szCs w:val="22"/>
              </w:rPr>
              <w:t>Offline / Daily</w:t>
            </w:r>
          </w:p>
        </w:tc>
        <w:tc>
          <w:tcPr>
            <w:tcW w:w="2430" w:type="dxa"/>
            <w:vAlign w:val="center"/>
          </w:tcPr>
          <w:p w14:paraId="267A013F" w14:textId="77777777" w:rsidR="00F12319" w:rsidRPr="003D2D23" w:rsidRDefault="00F12319" w:rsidP="00F12319">
            <w:pPr>
              <w:ind w:left="0"/>
              <w:rPr>
                <w:rFonts w:cs="Calibri"/>
                <w:color w:val="000000"/>
                <w:szCs w:val="22"/>
              </w:rPr>
            </w:pPr>
            <w:r w:rsidRPr="003D2D23">
              <w:rPr>
                <w:rFonts w:cs="Calibri"/>
                <w:color w:val="000000"/>
                <w:szCs w:val="22"/>
              </w:rPr>
              <w:t>Neubus</w:t>
            </w:r>
          </w:p>
        </w:tc>
        <w:tc>
          <w:tcPr>
            <w:tcW w:w="2160" w:type="dxa"/>
            <w:vAlign w:val="center"/>
          </w:tcPr>
          <w:p w14:paraId="318E857C" w14:textId="77777777" w:rsidR="00F12319" w:rsidRPr="003D2D23" w:rsidRDefault="00F12319" w:rsidP="00F12319">
            <w:pPr>
              <w:ind w:left="0"/>
              <w:rPr>
                <w:rFonts w:cs="Calibri"/>
                <w:color w:val="000000"/>
                <w:szCs w:val="22"/>
              </w:rPr>
            </w:pPr>
            <w:r w:rsidRPr="003D2D23">
              <w:rPr>
                <w:rFonts w:cs="Calibri"/>
                <w:color w:val="000000"/>
                <w:szCs w:val="22"/>
              </w:rPr>
              <w:t>Labor Law</w:t>
            </w:r>
          </w:p>
        </w:tc>
        <w:tc>
          <w:tcPr>
            <w:tcW w:w="5760" w:type="dxa"/>
            <w:vAlign w:val="center"/>
          </w:tcPr>
          <w:p w14:paraId="43A3B758" w14:textId="77777777" w:rsidR="00F12319" w:rsidRPr="003D2D23" w:rsidRDefault="00F12319" w:rsidP="00F12319">
            <w:pPr>
              <w:ind w:left="0"/>
              <w:rPr>
                <w:rFonts w:cs="Calibri"/>
                <w:color w:val="000000"/>
                <w:szCs w:val="22"/>
              </w:rPr>
            </w:pPr>
            <w:r w:rsidRPr="003D2D23">
              <w:rPr>
                <w:rFonts w:cs="Calibri"/>
                <w:color w:val="000000"/>
                <w:szCs w:val="22"/>
              </w:rPr>
              <w:t>Deletes dataset from Neubus</w:t>
            </w:r>
          </w:p>
        </w:tc>
      </w:tr>
      <w:tr w:rsidR="00F12319" w14:paraId="322A31E7" w14:textId="77777777" w:rsidTr="00EB23D7">
        <w:tc>
          <w:tcPr>
            <w:tcW w:w="877" w:type="dxa"/>
            <w:vAlign w:val="center"/>
          </w:tcPr>
          <w:p w14:paraId="5412A591" w14:textId="49C9649C" w:rsidR="00F12319" w:rsidRPr="00194F03" w:rsidRDefault="00F12319" w:rsidP="00F12319">
            <w:pPr>
              <w:ind w:left="0"/>
              <w:jc w:val="center"/>
              <w:rPr>
                <w:rFonts w:cs="Calibri"/>
                <w:color w:val="000000"/>
                <w:szCs w:val="22"/>
              </w:rPr>
            </w:pPr>
            <w:r>
              <w:rPr>
                <w:szCs w:val="22"/>
              </w:rPr>
              <w:lastRenderedPageBreak/>
              <w:t>48</w:t>
            </w:r>
          </w:p>
        </w:tc>
        <w:tc>
          <w:tcPr>
            <w:tcW w:w="1530" w:type="dxa"/>
            <w:vAlign w:val="center"/>
          </w:tcPr>
          <w:p w14:paraId="6A669BFE" w14:textId="77777777" w:rsidR="00F12319" w:rsidRPr="003D2D23" w:rsidRDefault="00F12319" w:rsidP="00F12319">
            <w:pPr>
              <w:ind w:left="0"/>
              <w:rPr>
                <w:rFonts w:cs="Calibri"/>
                <w:color w:val="000000"/>
                <w:szCs w:val="22"/>
              </w:rPr>
            </w:pPr>
            <w:r w:rsidRPr="003D2D23">
              <w:rPr>
                <w:rFonts w:cs="Calibri"/>
                <w:color w:val="000000"/>
                <w:szCs w:val="22"/>
              </w:rPr>
              <w:t>Receive</w:t>
            </w:r>
          </w:p>
        </w:tc>
        <w:tc>
          <w:tcPr>
            <w:tcW w:w="1710" w:type="dxa"/>
            <w:vAlign w:val="center"/>
          </w:tcPr>
          <w:p w14:paraId="7D7B43D3" w14:textId="77777777" w:rsidR="00F12319" w:rsidRPr="003D2D23" w:rsidRDefault="00F12319" w:rsidP="00F12319">
            <w:pPr>
              <w:ind w:left="0"/>
              <w:rPr>
                <w:rFonts w:cs="Calibri"/>
                <w:color w:val="000000"/>
                <w:szCs w:val="22"/>
              </w:rPr>
            </w:pPr>
            <w:r w:rsidRPr="003D2D23">
              <w:rPr>
                <w:rFonts w:cs="Calibri"/>
                <w:color w:val="000000"/>
                <w:szCs w:val="22"/>
              </w:rPr>
              <w:t>Offline / Quarterly</w:t>
            </w:r>
          </w:p>
        </w:tc>
        <w:tc>
          <w:tcPr>
            <w:tcW w:w="2430" w:type="dxa"/>
            <w:vAlign w:val="center"/>
          </w:tcPr>
          <w:p w14:paraId="7CE5ECB6" w14:textId="77777777" w:rsidR="00F12319" w:rsidRPr="003D2D23" w:rsidRDefault="00F12319" w:rsidP="00F12319">
            <w:pPr>
              <w:ind w:left="0"/>
              <w:rPr>
                <w:rFonts w:cs="Calibri"/>
                <w:color w:val="000000"/>
                <w:szCs w:val="22"/>
              </w:rPr>
            </w:pPr>
            <w:r w:rsidRPr="003D2D23">
              <w:rPr>
                <w:rFonts w:cs="Calibri"/>
                <w:color w:val="000000"/>
                <w:szCs w:val="22"/>
              </w:rPr>
              <w:t>Northeast ISD</w:t>
            </w:r>
          </w:p>
        </w:tc>
        <w:tc>
          <w:tcPr>
            <w:tcW w:w="2160" w:type="dxa"/>
            <w:vAlign w:val="center"/>
          </w:tcPr>
          <w:p w14:paraId="1BB6F416" w14:textId="77777777" w:rsidR="00F12319" w:rsidRPr="003D2D23" w:rsidRDefault="00F12319" w:rsidP="00F12319">
            <w:pPr>
              <w:ind w:left="0"/>
              <w:rPr>
                <w:rFonts w:cs="Calibri"/>
                <w:color w:val="000000"/>
                <w:szCs w:val="22"/>
              </w:rPr>
            </w:pPr>
            <w:r w:rsidRPr="003D2D23">
              <w:rPr>
                <w:rFonts w:cs="Calibri"/>
                <w:color w:val="000000"/>
                <w:szCs w:val="22"/>
              </w:rPr>
              <w:t>C3 &amp; C4 Filing</w:t>
            </w:r>
          </w:p>
        </w:tc>
        <w:tc>
          <w:tcPr>
            <w:tcW w:w="5760" w:type="dxa"/>
            <w:vAlign w:val="center"/>
          </w:tcPr>
          <w:p w14:paraId="54BEAE1B" w14:textId="77777777" w:rsidR="00F12319" w:rsidRPr="003D2D23" w:rsidRDefault="00F12319" w:rsidP="00F12319">
            <w:pPr>
              <w:ind w:left="0"/>
              <w:rPr>
                <w:rFonts w:cs="Calibri"/>
                <w:color w:val="000000"/>
                <w:szCs w:val="22"/>
              </w:rPr>
            </w:pPr>
            <w:r w:rsidRPr="003D2D23">
              <w:rPr>
                <w:rFonts w:cs="Calibri"/>
                <w:color w:val="000000"/>
                <w:szCs w:val="22"/>
              </w:rPr>
              <w:t>Receives one (1)</w:t>
            </w:r>
            <w:r>
              <w:rPr>
                <w:rFonts w:cs="Calibri"/>
                <w:color w:val="000000"/>
                <w:szCs w:val="22"/>
              </w:rPr>
              <w:t xml:space="preserve"> </w:t>
            </w:r>
            <w:r w:rsidRPr="003D2D23">
              <w:rPr>
                <w:rFonts w:cs="Calibri"/>
                <w:color w:val="000000"/>
                <w:szCs w:val="22"/>
              </w:rPr>
              <w:t>file</w:t>
            </w:r>
          </w:p>
        </w:tc>
      </w:tr>
      <w:tr w:rsidR="00F12319" w14:paraId="741C4A2F" w14:textId="77777777" w:rsidTr="00EB23D7">
        <w:tc>
          <w:tcPr>
            <w:tcW w:w="877" w:type="dxa"/>
            <w:vAlign w:val="center"/>
          </w:tcPr>
          <w:p w14:paraId="17C93A92" w14:textId="13B913AB" w:rsidR="00F12319" w:rsidRPr="00194F03" w:rsidRDefault="00F12319" w:rsidP="00F12319">
            <w:pPr>
              <w:ind w:left="0"/>
              <w:jc w:val="center"/>
              <w:rPr>
                <w:rFonts w:cs="Calibri"/>
                <w:color w:val="000000"/>
                <w:szCs w:val="22"/>
              </w:rPr>
            </w:pPr>
            <w:r>
              <w:rPr>
                <w:color w:val="000000"/>
                <w:szCs w:val="22"/>
              </w:rPr>
              <w:t>49</w:t>
            </w:r>
          </w:p>
        </w:tc>
        <w:tc>
          <w:tcPr>
            <w:tcW w:w="1530" w:type="dxa"/>
            <w:vAlign w:val="center"/>
          </w:tcPr>
          <w:p w14:paraId="1DD8A9BD" w14:textId="77777777" w:rsidR="00F12319" w:rsidRPr="003D2D23" w:rsidRDefault="00F12319" w:rsidP="00F12319">
            <w:pPr>
              <w:ind w:left="0"/>
              <w:rPr>
                <w:rFonts w:cs="Calibri"/>
                <w:color w:val="000000"/>
                <w:szCs w:val="22"/>
              </w:rPr>
            </w:pPr>
            <w:r w:rsidRPr="003D2D23">
              <w:rPr>
                <w:rFonts w:cs="Calibri"/>
                <w:color w:val="000000"/>
                <w:szCs w:val="22"/>
              </w:rPr>
              <w:t>Receive</w:t>
            </w:r>
          </w:p>
        </w:tc>
        <w:tc>
          <w:tcPr>
            <w:tcW w:w="1710" w:type="dxa"/>
            <w:vAlign w:val="center"/>
          </w:tcPr>
          <w:p w14:paraId="1BF48211" w14:textId="77777777" w:rsidR="00F12319" w:rsidRPr="003D2D23" w:rsidRDefault="00F12319" w:rsidP="00F12319">
            <w:pPr>
              <w:ind w:left="0"/>
              <w:rPr>
                <w:rFonts w:cs="Calibri"/>
                <w:color w:val="000000"/>
                <w:szCs w:val="22"/>
              </w:rPr>
            </w:pPr>
            <w:r w:rsidRPr="003D2D23">
              <w:rPr>
                <w:rFonts w:cs="Calibri"/>
                <w:color w:val="000000"/>
                <w:szCs w:val="22"/>
              </w:rPr>
              <w:t>Offline / Daily</w:t>
            </w:r>
          </w:p>
        </w:tc>
        <w:tc>
          <w:tcPr>
            <w:tcW w:w="2430" w:type="dxa"/>
            <w:vAlign w:val="center"/>
          </w:tcPr>
          <w:p w14:paraId="0E2E87D1" w14:textId="77777777" w:rsidR="00F12319" w:rsidRPr="003D2D23" w:rsidRDefault="00F12319" w:rsidP="00F12319">
            <w:pPr>
              <w:ind w:left="0"/>
              <w:rPr>
                <w:rFonts w:cs="Calibri"/>
                <w:color w:val="000000"/>
                <w:szCs w:val="22"/>
              </w:rPr>
            </w:pPr>
            <w:r w:rsidRPr="003D2D23">
              <w:rPr>
                <w:rFonts w:cs="Calibri"/>
                <w:color w:val="000000"/>
                <w:szCs w:val="22"/>
              </w:rPr>
              <w:t>NTC USA</w:t>
            </w:r>
          </w:p>
        </w:tc>
        <w:tc>
          <w:tcPr>
            <w:tcW w:w="2160" w:type="dxa"/>
            <w:vAlign w:val="center"/>
          </w:tcPr>
          <w:p w14:paraId="2A1D14E6" w14:textId="77777777" w:rsidR="00F12319" w:rsidRPr="003D2D23" w:rsidRDefault="00F12319" w:rsidP="00F12319">
            <w:pPr>
              <w:ind w:left="0"/>
              <w:rPr>
                <w:rFonts w:cs="Calibri"/>
                <w:color w:val="000000"/>
                <w:szCs w:val="22"/>
              </w:rPr>
            </w:pPr>
            <w:r w:rsidRPr="003D2D23">
              <w:rPr>
                <w:rFonts w:cs="Calibri"/>
                <w:color w:val="000000"/>
                <w:szCs w:val="22"/>
              </w:rPr>
              <w:t>Form 8850 FTP</w:t>
            </w:r>
          </w:p>
        </w:tc>
        <w:tc>
          <w:tcPr>
            <w:tcW w:w="5760" w:type="dxa"/>
            <w:vAlign w:val="center"/>
          </w:tcPr>
          <w:p w14:paraId="38B78955" w14:textId="77777777" w:rsidR="00F12319" w:rsidRPr="003D2D23" w:rsidRDefault="00F12319" w:rsidP="00F12319">
            <w:pPr>
              <w:ind w:left="0"/>
              <w:rPr>
                <w:rFonts w:cs="Calibri"/>
                <w:color w:val="000000"/>
                <w:szCs w:val="22"/>
              </w:rPr>
            </w:pPr>
            <w:r w:rsidRPr="003D2D23">
              <w:rPr>
                <w:rFonts w:ascii="Arial" w:hAnsi="Arial" w:cs="Arial"/>
                <w:color w:val="000000"/>
                <w:szCs w:val="22"/>
              </w:rPr>
              <w:t>​</w:t>
            </w:r>
            <w:r w:rsidRPr="003D2D23">
              <w:rPr>
                <w:rFonts w:cs="Calibri"/>
                <w:color w:val="000000"/>
                <w:szCs w:val="22"/>
              </w:rPr>
              <w:t>Secure transfer of data</w:t>
            </w:r>
          </w:p>
        </w:tc>
      </w:tr>
      <w:tr w:rsidR="00F12319" w14:paraId="3B6B16CB" w14:textId="77777777" w:rsidTr="00EB23D7">
        <w:tc>
          <w:tcPr>
            <w:tcW w:w="877" w:type="dxa"/>
            <w:vAlign w:val="center"/>
          </w:tcPr>
          <w:p w14:paraId="7C56D1C6" w14:textId="7500AE05" w:rsidR="00F12319" w:rsidRPr="00194F03" w:rsidRDefault="00F12319" w:rsidP="00F12319">
            <w:pPr>
              <w:ind w:left="0"/>
              <w:jc w:val="center"/>
              <w:rPr>
                <w:rFonts w:cs="Calibri"/>
                <w:color w:val="000000"/>
                <w:szCs w:val="22"/>
              </w:rPr>
            </w:pPr>
            <w:r>
              <w:rPr>
                <w:szCs w:val="22"/>
              </w:rPr>
              <w:t>50</w:t>
            </w:r>
          </w:p>
        </w:tc>
        <w:tc>
          <w:tcPr>
            <w:tcW w:w="1530" w:type="dxa"/>
            <w:vAlign w:val="center"/>
          </w:tcPr>
          <w:p w14:paraId="29BA9DEE" w14:textId="77777777" w:rsidR="00F12319" w:rsidRPr="003D2D23" w:rsidRDefault="00F12319" w:rsidP="00F12319">
            <w:pPr>
              <w:ind w:left="0"/>
              <w:rPr>
                <w:rFonts w:cs="Calibri"/>
                <w:color w:val="000000"/>
                <w:szCs w:val="22"/>
              </w:rPr>
            </w:pPr>
            <w:r w:rsidRPr="003D2D23">
              <w:rPr>
                <w:rFonts w:cs="Calibri"/>
                <w:color w:val="000000"/>
                <w:szCs w:val="22"/>
              </w:rPr>
              <w:t>Send</w:t>
            </w:r>
          </w:p>
        </w:tc>
        <w:tc>
          <w:tcPr>
            <w:tcW w:w="1710" w:type="dxa"/>
            <w:vAlign w:val="center"/>
          </w:tcPr>
          <w:p w14:paraId="774976D2" w14:textId="77777777" w:rsidR="00F12319" w:rsidRPr="003D2D23" w:rsidRDefault="00F12319" w:rsidP="00F12319">
            <w:pPr>
              <w:ind w:left="0"/>
              <w:rPr>
                <w:rFonts w:cs="Calibri"/>
                <w:color w:val="000000"/>
                <w:szCs w:val="22"/>
              </w:rPr>
            </w:pPr>
            <w:r w:rsidRPr="003D2D23">
              <w:rPr>
                <w:rFonts w:cs="Calibri"/>
                <w:color w:val="000000"/>
                <w:szCs w:val="22"/>
              </w:rPr>
              <w:t>Offline / Quarterly</w:t>
            </w:r>
          </w:p>
        </w:tc>
        <w:tc>
          <w:tcPr>
            <w:tcW w:w="2430" w:type="dxa"/>
            <w:vAlign w:val="center"/>
          </w:tcPr>
          <w:p w14:paraId="58603B71" w14:textId="77777777" w:rsidR="00F12319" w:rsidRPr="003D2D23" w:rsidRDefault="00F12319" w:rsidP="00F12319">
            <w:pPr>
              <w:ind w:left="0"/>
              <w:rPr>
                <w:rFonts w:cs="Calibri"/>
                <w:color w:val="000000"/>
                <w:szCs w:val="22"/>
              </w:rPr>
            </w:pPr>
            <w:r w:rsidRPr="003D2D23">
              <w:rPr>
                <w:rFonts w:cs="Calibri"/>
                <w:color w:val="000000"/>
                <w:szCs w:val="22"/>
              </w:rPr>
              <w:t>Office of the Attorney General</w:t>
            </w:r>
          </w:p>
        </w:tc>
        <w:tc>
          <w:tcPr>
            <w:tcW w:w="2160" w:type="dxa"/>
            <w:vAlign w:val="center"/>
          </w:tcPr>
          <w:p w14:paraId="7ED54047" w14:textId="77777777" w:rsidR="00F12319" w:rsidRPr="003D2D23" w:rsidRDefault="00F12319" w:rsidP="00F12319">
            <w:pPr>
              <w:ind w:left="0"/>
              <w:rPr>
                <w:rFonts w:cs="Calibri"/>
                <w:color w:val="000000"/>
                <w:szCs w:val="22"/>
              </w:rPr>
            </w:pPr>
            <w:r w:rsidRPr="003D2D23">
              <w:rPr>
                <w:rFonts w:cs="Calibri"/>
                <w:color w:val="000000"/>
                <w:szCs w:val="22"/>
              </w:rPr>
              <w:t>OAG CS Base Period Wages</w:t>
            </w:r>
          </w:p>
        </w:tc>
        <w:tc>
          <w:tcPr>
            <w:tcW w:w="5760" w:type="dxa"/>
            <w:vAlign w:val="center"/>
          </w:tcPr>
          <w:p w14:paraId="560FE904" w14:textId="77777777" w:rsidR="00F12319" w:rsidRPr="003D2D23" w:rsidRDefault="00F12319" w:rsidP="00F12319">
            <w:pPr>
              <w:ind w:left="0"/>
              <w:rPr>
                <w:rFonts w:cs="Calibri"/>
                <w:color w:val="000000"/>
                <w:szCs w:val="22"/>
              </w:rPr>
            </w:pPr>
            <w:r w:rsidRPr="003D2D23">
              <w:rPr>
                <w:rFonts w:cs="Calibri"/>
                <w:color w:val="000000"/>
                <w:szCs w:val="22"/>
              </w:rPr>
              <w:t>Creates one (1) file of wage data from the five (5) most recently completed wage q</w:t>
            </w:r>
            <w:r>
              <w:rPr>
                <w:rFonts w:cs="Calibri"/>
                <w:color w:val="000000"/>
                <w:szCs w:val="22"/>
              </w:rPr>
              <w:t>uarters for the OAG CS Division</w:t>
            </w:r>
          </w:p>
        </w:tc>
      </w:tr>
      <w:tr w:rsidR="00F12319" w14:paraId="7FC817EE" w14:textId="77777777" w:rsidTr="00EB23D7">
        <w:tc>
          <w:tcPr>
            <w:tcW w:w="877" w:type="dxa"/>
            <w:vAlign w:val="center"/>
          </w:tcPr>
          <w:p w14:paraId="16564982" w14:textId="2588BDCF" w:rsidR="00F12319" w:rsidRPr="00194F03" w:rsidRDefault="00F12319" w:rsidP="00F12319">
            <w:pPr>
              <w:ind w:left="0"/>
              <w:jc w:val="center"/>
              <w:rPr>
                <w:rFonts w:cs="Calibri"/>
                <w:color w:val="000000"/>
                <w:szCs w:val="22"/>
              </w:rPr>
            </w:pPr>
            <w:r>
              <w:rPr>
                <w:color w:val="000000"/>
                <w:szCs w:val="22"/>
              </w:rPr>
              <w:t>51</w:t>
            </w:r>
          </w:p>
        </w:tc>
        <w:tc>
          <w:tcPr>
            <w:tcW w:w="1530" w:type="dxa"/>
            <w:vAlign w:val="center"/>
          </w:tcPr>
          <w:p w14:paraId="074EB8F3" w14:textId="77777777" w:rsidR="00F12319" w:rsidRPr="003D2D23" w:rsidRDefault="00F12319" w:rsidP="00F12319">
            <w:pPr>
              <w:ind w:left="0"/>
              <w:rPr>
                <w:rFonts w:cs="Calibri"/>
                <w:color w:val="000000"/>
                <w:szCs w:val="22"/>
              </w:rPr>
            </w:pPr>
            <w:r w:rsidRPr="003D2D23">
              <w:rPr>
                <w:rFonts w:cs="Calibri"/>
                <w:color w:val="000000"/>
                <w:szCs w:val="22"/>
              </w:rPr>
              <w:t>Send</w:t>
            </w:r>
          </w:p>
        </w:tc>
        <w:tc>
          <w:tcPr>
            <w:tcW w:w="1710" w:type="dxa"/>
            <w:vAlign w:val="center"/>
          </w:tcPr>
          <w:p w14:paraId="721A0902" w14:textId="77777777" w:rsidR="00F12319" w:rsidRPr="003D2D23" w:rsidRDefault="00F12319" w:rsidP="00F12319">
            <w:pPr>
              <w:ind w:left="0"/>
              <w:rPr>
                <w:rFonts w:cs="Calibri"/>
                <w:color w:val="000000"/>
                <w:szCs w:val="22"/>
              </w:rPr>
            </w:pPr>
            <w:r w:rsidRPr="003D2D23">
              <w:rPr>
                <w:rFonts w:cs="Calibri"/>
                <w:color w:val="000000"/>
                <w:szCs w:val="22"/>
              </w:rPr>
              <w:t>Offline / Weekly</w:t>
            </w:r>
          </w:p>
        </w:tc>
        <w:tc>
          <w:tcPr>
            <w:tcW w:w="2430" w:type="dxa"/>
            <w:vAlign w:val="center"/>
          </w:tcPr>
          <w:p w14:paraId="6BD87D8C" w14:textId="77777777" w:rsidR="00F12319" w:rsidRPr="003D2D23" w:rsidRDefault="00F12319" w:rsidP="00F12319">
            <w:pPr>
              <w:ind w:left="0"/>
              <w:rPr>
                <w:rFonts w:cs="Calibri"/>
                <w:color w:val="000000"/>
                <w:szCs w:val="22"/>
              </w:rPr>
            </w:pPr>
            <w:r w:rsidRPr="003D2D23">
              <w:rPr>
                <w:rFonts w:cs="Calibri"/>
                <w:color w:val="000000"/>
                <w:szCs w:val="22"/>
              </w:rPr>
              <w:t>Office of the Attorney General</w:t>
            </w:r>
          </w:p>
        </w:tc>
        <w:tc>
          <w:tcPr>
            <w:tcW w:w="2160" w:type="dxa"/>
            <w:vAlign w:val="center"/>
          </w:tcPr>
          <w:p w14:paraId="6B554C62" w14:textId="77777777" w:rsidR="00F12319" w:rsidRPr="003D2D23" w:rsidRDefault="00F12319" w:rsidP="00F12319">
            <w:pPr>
              <w:ind w:left="0"/>
              <w:rPr>
                <w:rFonts w:cs="Calibri"/>
                <w:color w:val="000000"/>
                <w:szCs w:val="22"/>
              </w:rPr>
            </w:pPr>
            <w:r w:rsidRPr="003D2D23">
              <w:rPr>
                <w:rFonts w:cs="Calibri"/>
                <w:color w:val="000000"/>
                <w:szCs w:val="22"/>
              </w:rPr>
              <w:t>OAG CS Current Wages &amp; Employer info</w:t>
            </w:r>
          </w:p>
        </w:tc>
        <w:tc>
          <w:tcPr>
            <w:tcW w:w="5760" w:type="dxa"/>
            <w:vAlign w:val="center"/>
          </w:tcPr>
          <w:p w14:paraId="4260346D" w14:textId="77777777" w:rsidR="00F12319" w:rsidRPr="003D2D23" w:rsidRDefault="00F12319" w:rsidP="00F12319">
            <w:pPr>
              <w:ind w:left="0"/>
              <w:rPr>
                <w:rFonts w:cs="Calibri"/>
                <w:color w:val="000000"/>
                <w:szCs w:val="22"/>
              </w:rPr>
            </w:pPr>
            <w:r w:rsidRPr="003D2D23">
              <w:rPr>
                <w:rFonts w:cs="Calibri"/>
                <w:color w:val="000000"/>
                <w:szCs w:val="22"/>
              </w:rPr>
              <w:t>TWC '</w:t>
            </w:r>
            <w:r>
              <w:rPr>
                <w:rFonts w:cs="Calibri"/>
                <w:color w:val="000000"/>
                <w:szCs w:val="22"/>
              </w:rPr>
              <w:t>put</w:t>
            </w:r>
            <w:r w:rsidRPr="003D2D23">
              <w:rPr>
                <w:rFonts w:cs="Calibri"/>
                <w:color w:val="000000"/>
                <w:szCs w:val="22"/>
              </w:rPr>
              <w:t>' of one (1) up-to-date, weekly wage file of the most recent available wage data</w:t>
            </w:r>
            <w:r>
              <w:rPr>
                <w:rFonts w:cs="Calibri"/>
                <w:color w:val="000000"/>
                <w:szCs w:val="22"/>
              </w:rPr>
              <w:t xml:space="preserve"> for the OAG to forward to OCSE;</w:t>
            </w:r>
            <w:r w:rsidRPr="003D2D23">
              <w:rPr>
                <w:rFonts w:cs="Calibri"/>
                <w:color w:val="000000"/>
                <w:szCs w:val="22"/>
              </w:rPr>
              <w:t xml:space="preserve"> OCSE returns an error file to the OAG who the</w:t>
            </w:r>
            <w:r>
              <w:rPr>
                <w:rFonts w:cs="Calibri"/>
                <w:color w:val="000000"/>
                <w:szCs w:val="22"/>
              </w:rPr>
              <w:t>n returns the error file to TWC</w:t>
            </w:r>
          </w:p>
        </w:tc>
      </w:tr>
      <w:tr w:rsidR="00F12319" w14:paraId="63D279CB" w14:textId="77777777" w:rsidTr="00EB23D7">
        <w:tc>
          <w:tcPr>
            <w:tcW w:w="877" w:type="dxa"/>
            <w:vAlign w:val="center"/>
          </w:tcPr>
          <w:p w14:paraId="3A4AF99A" w14:textId="6A45ED17" w:rsidR="00F12319" w:rsidRPr="00194F03" w:rsidRDefault="00F12319" w:rsidP="00F12319">
            <w:pPr>
              <w:ind w:left="0"/>
              <w:jc w:val="center"/>
              <w:rPr>
                <w:rFonts w:cs="Calibri"/>
                <w:color w:val="000000"/>
                <w:szCs w:val="22"/>
              </w:rPr>
            </w:pPr>
            <w:r>
              <w:rPr>
                <w:szCs w:val="22"/>
              </w:rPr>
              <w:t>52</w:t>
            </w:r>
          </w:p>
        </w:tc>
        <w:tc>
          <w:tcPr>
            <w:tcW w:w="1530" w:type="dxa"/>
            <w:vAlign w:val="center"/>
          </w:tcPr>
          <w:p w14:paraId="69565166" w14:textId="77777777" w:rsidR="00F12319" w:rsidRPr="003D2D23" w:rsidRDefault="00F12319" w:rsidP="00F12319">
            <w:pPr>
              <w:ind w:left="0"/>
              <w:rPr>
                <w:rFonts w:cs="Calibri"/>
                <w:color w:val="000000"/>
                <w:szCs w:val="22"/>
              </w:rPr>
            </w:pPr>
            <w:r w:rsidRPr="003D2D23">
              <w:rPr>
                <w:rFonts w:cs="Calibri"/>
                <w:color w:val="000000"/>
                <w:szCs w:val="22"/>
              </w:rPr>
              <w:t>Send</w:t>
            </w:r>
          </w:p>
        </w:tc>
        <w:tc>
          <w:tcPr>
            <w:tcW w:w="1710" w:type="dxa"/>
            <w:vAlign w:val="center"/>
          </w:tcPr>
          <w:p w14:paraId="2F7DA8B2" w14:textId="77777777" w:rsidR="00F12319" w:rsidRPr="003D2D23" w:rsidRDefault="00F12319" w:rsidP="00F12319">
            <w:pPr>
              <w:ind w:left="0"/>
              <w:rPr>
                <w:rFonts w:cs="Calibri"/>
                <w:color w:val="000000"/>
                <w:szCs w:val="22"/>
              </w:rPr>
            </w:pPr>
            <w:r w:rsidRPr="003D2D23">
              <w:rPr>
                <w:rFonts w:cs="Calibri"/>
                <w:color w:val="000000"/>
                <w:szCs w:val="22"/>
              </w:rPr>
              <w:t>Offline / Quarterly</w:t>
            </w:r>
          </w:p>
        </w:tc>
        <w:tc>
          <w:tcPr>
            <w:tcW w:w="2430" w:type="dxa"/>
            <w:vAlign w:val="center"/>
          </w:tcPr>
          <w:p w14:paraId="02BD8B0F" w14:textId="77777777" w:rsidR="00F12319" w:rsidRPr="003D2D23" w:rsidRDefault="00F12319" w:rsidP="00F12319">
            <w:pPr>
              <w:ind w:left="0"/>
              <w:rPr>
                <w:rFonts w:cs="Calibri"/>
                <w:color w:val="000000"/>
                <w:szCs w:val="22"/>
              </w:rPr>
            </w:pPr>
            <w:r w:rsidRPr="003D2D23">
              <w:rPr>
                <w:rFonts w:cs="Calibri"/>
                <w:color w:val="000000"/>
                <w:szCs w:val="22"/>
              </w:rPr>
              <w:t>Office of the Attorney General</w:t>
            </w:r>
          </w:p>
        </w:tc>
        <w:tc>
          <w:tcPr>
            <w:tcW w:w="2160" w:type="dxa"/>
            <w:vAlign w:val="center"/>
          </w:tcPr>
          <w:p w14:paraId="3C8C827C" w14:textId="77777777" w:rsidR="00F12319" w:rsidRPr="003D2D23" w:rsidRDefault="00F12319" w:rsidP="00F12319">
            <w:pPr>
              <w:ind w:left="0"/>
              <w:rPr>
                <w:rFonts w:cs="Calibri"/>
                <w:color w:val="000000"/>
                <w:szCs w:val="22"/>
              </w:rPr>
            </w:pPr>
            <w:r w:rsidRPr="003D2D23">
              <w:rPr>
                <w:rFonts w:cs="Calibri"/>
                <w:color w:val="000000"/>
                <w:szCs w:val="22"/>
              </w:rPr>
              <w:t>OAG CS Last Qtr. Wages &amp; Employer info</w:t>
            </w:r>
          </w:p>
        </w:tc>
        <w:tc>
          <w:tcPr>
            <w:tcW w:w="5760" w:type="dxa"/>
            <w:vAlign w:val="center"/>
          </w:tcPr>
          <w:p w14:paraId="7576A630" w14:textId="77777777" w:rsidR="00F12319" w:rsidRPr="003D2D23" w:rsidRDefault="00F12319" w:rsidP="00F12319">
            <w:pPr>
              <w:ind w:left="0"/>
              <w:rPr>
                <w:rFonts w:cs="Calibri"/>
                <w:color w:val="000000"/>
                <w:szCs w:val="22"/>
              </w:rPr>
            </w:pPr>
            <w:r w:rsidRPr="003D2D23">
              <w:rPr>
                <w:rFonts w:cs="Calibri"/>
                <w:color w:val="000000"/>
                <w:szCs w:val="22"/>
              </w:rPr>
              <w:t xml:space="preserve">Creates multiple files of up-to-date quarterly wage data from the most recent, available wage quarter plus </w:t>
            </w:r>
            <w:r>
              <w:rPr>
                <w:rFonts w:cs="Calibri"/>
                <w:color w:val="000000"/>
                <w:szCs w:val="22"/>
              </w:rPr>
              <w:t xml:space="preserve">Employer </w:t>
            </w:r>
            <w:r w:rsidRPr="003D2D23">
              <w:rPr>
                <w:rFonts w:cs="Calibri"/>
                <w:color w:val="000000"/>
                <w:szCs w:val="22"/>
              </w:rPr>
              <w:t>info</w:t>
            </w:r>
            <w:r>
              <w:rPr>
                <w:rFonts w:cs="Calibri"/>
                <w:color w:val="000000"/>
                <w:szCs w:val="22"/>
              </w:rPr>
              <w:t>rmation for the OAG CS Division</w:t>
            </w:r>
          </w:p>
        </w:tc>
      </w:tr>
      <w:tr w:rsidR="00F12319" w14:paraId="353861F5" w14:textId="77777777" w:rsidTr="00EB23D7">
        <w:tc>
          <w:tcPr>
            <w:tcW w:w="877" w:type="dxa"/>
            <w:vAlign w:val="center"/>
          </w:tcPr>
          <w:p w14:paraId="1C97526A" w14:textId="4197C4C6" w:rsidR="00F12319" w:rsidRPr="00194F03" w:rsidRDefault="00F12319" w:rsidP="00F12319">
            <w:pPr>
              <w:ind w:left="0"/>
              <w:jc w:val="center"/>
              <w:rPr>
                <w:rFonts w:cs="Calibri"/>
                <w:color w:val="000000"/>
                <w:szCs w:val="22"/>
              </w:rPr>
            </w:pPr>
            <w:r>
              <w:rPr>
                <w:color w:val="000000"/>
                <w:szCs w:val="22"/>
              </w:rPr>
              <w:t>53</w:t>
            </w:r>
          </w:p>
        </w:tc>
        <w:tc>
          <w:tcPr>
            <w:tcW w:w="1530" w:type="dxa"/>
            <w:vAlign w:val="center"/>
          </w:tcPr>
          <w:p w14:paraId="74417509" w14:textId="77777777" w:rsidR="00F12319" w:rsidRPr="003D2D23" w:rsidRDefault="00F12319" w:rsidP="00F12319">
            <w:pPr>
              <w:ind w:left="0"/>
              <w:rPr>
                <w:rFonts w:cs="Calibri"/>
                <w:color w:val="000000"/>
                <w:szCs w:val="22"/>
              </w:rPr>
            </w:pPr>
            <w:r w:rsidRPr="003D2D23">
              <w:rPr>
                <w:rFonts w:cs="Calibri"/>
                <w:color w:val="000000"/>
                <w:szCs w:val="22"/>
              </w:rPr>
              <w:t>Send</w:t>
            </w:r>
          </w:p>
        </w:tc>
        <w:tc>
          <w:tcPr>
            <w:tcW w:w="1710" w:type="dxa"/>
            <w:vAlign w:val="center"/>
          </w:tcPr>
          <w:p w14:paraId="0E33D3E2" w14:textId="77777777" w:rsidR="00F12319" w:rsidRPr="003D2D23" w:rsidRDefault="00F12319" w:rsidP="00F12319">
            <w:pPr>
              <w:ind w:left="0"/>
              <w:rPr>
                <w:rFonts w:cs="Calibri"/>
                <w:color w:val="000000"/>
                <w:szCs w:val="22"/>
              </w:rPr>
            </w:pPr>
            <w:r w:rsidRPr="003D2D23">
              <w:rPr>
                <w:rFonts w:cs="Calibri"/>
                <w:color w:val="000000"/>
                <w:szCs w:val="22"/>
              </w:rPr>
              <w:t>Offline / Weekly</w:t>
            </w:r>
          </w:p>
        </w:tc>
        <w:tc>
          <w:tcPr>
            <w:tcW w:w="2430" w:type="dxa"/>
            <w:vAlign w:val="center"/>
          </w:tcPr>
          <w:p w14:paraId="75543115" w14:textId="77777777" w:rsidR="00F12319" w:rsidRPr="003D2D23" w:rsidRDefault="00F12319" w:rsidP="00F12319">
            <w:pPr>
              <w:ind w:left="0"/>
              <w:rPr>
                <w:rFonts w:cs="Calibri"/>
                <w:color w:val="000000"/>
                <w:szCs w:val="22"/>
              </w:rPr>
            </w:pPr>
            <w:r w:rsidRPr="003D2D23">
              <w:rPr>
                <w:rFonts w:cs="Calibri"/>
                <w:color w:val="000000"/>
                <w:szCs w:val="22"/>
              </w:rPr>
              <w:t>Office of the Attorney General</w:t>
            </w:r>
          </w:p>
        </w:tc>
        <w:tc>
          <w:tcPr>
            <w:tcW w:w="2160" w:type="dxa"/>
            <w:vAlign w:val="center"/>
          </w:tcPr>
          <w:p w14:paraId="39EBE45F" w14:textId="77777777" w:rsidR="00F12319" w:rsidRPr="003D2D23" w:rsidRDefault="00F12319" w:rsidP="00F12319">
            <w:pPr>
              <w:ind w:left="0"/>
              <w:rPr>
                <w:rFonts w:cs="Calibri"/>
                <w:color w:val="000000"/>
                <w:szCs w:val="22"/>
              </w:rPr>
            </w:pPr>
            <w:r w:rsidRPr="003D2D23">
              <w:rPr>
                <w:rFonts w:cs="Calibri"/>
                <w:color w:val="000000"/>
                <w:szCs w:val="22"/>
              </w:rPr>
              <w:t>OAG New Hire Employers</w:t>
            </w:r>
          </w:p>
        </w:tc>
        <w:tc>
          <w:tcPr>
            <w:tcW w:w="5760" w:type="dxa"/>
            <w:vAlign w:val="center"/>
          </w:tcPr>
          <w:p w14:paraId="29A4E02A" w14:textId="77777777" w:rsidR="00F12319" w:rsidRPr="003D2D23" w:rsidRDefault="00F12319" w:rsidP="00F12319">
            <w:pPr>
              <w:ind w:left="0"/>
              <w:rPr>
                <w:rFonts w:cs="Calibri"/>
                <w:color w:val="000000"/>
                <w:szCs w:val="22"/>
              </w:rPr>
            </w:pPr>
            <w:r w:rsidRPr="003D2D23">
              <w:rPr>
                <w:rFonts w:cs="Calibri"/>
                <w:color w:val="000000"/>
                <w:szCs w:val="22"/>
              </w:rPr>
              <w:t>TWC '</w:t>
            </w:r>
            <w:r>
              <w:rPr>
                <w:rFonts w:cs="Calibri"/>
                <w:color w:val="000000"/>
                <w:szCs w:val="22"/>
              </w:rPr>
              <w:t>put</w:t>
            </w:r>
            <w:r w:rsidRPr="003D2D23">
              <w:rPr>
                <w:rFonts w:cs="Calibri"/>
                <w:color w:val="000000"/>
                <w:szCs w:val="22"/>
              </w:rPr>
              <w:t xml:space="preserve">' of one (1) file of Employer Contact Information for new and reopened Tax accounts that will receive New Hire Packets to </w:t>
            </w:r>
            <w:r>
              <w:rPr>
                <w:rFonts w:cs="Calibri"/>
                <w:color w:val="000000"/>
                <w:szCs w:val="22"/>
              </w:rPr>
              <w:t>OAG</w:t>
            </w:r>
          </w:p>
        </w:tc>
      </w:tr>
      <w:tr w:rsidR="00F12319" w14:paraId="326E0286" w14:textId="77777777" w:rsidTr="00EB23D7">
        <w:tc>
          <w:tcPr>
            <w:tcW w:w="877" w:type="dxa"/>
            <w:vAlign w:val="center"/>
          </w:tcPr>
          <w:p w14:paraId="4F12BE68" w14:textId="0F5D4195" w:rsidR="00F12319" w:rsidRPr="00194F03" w:rsidRDefault="00F12319" w:rsidP="00F12319">
            <w:pPr>
              <w:ind w:left="0"/>
              <w:jc w:val="center"/>
              <w:rPr>
                <w:rFonts w:cs="Calibri"/>
                <w:color w:val="000000"/>
                <w:szCs w:val="22"/>
              </w:rPr>
            </w:pPr>
            <w:r>
              <w:rPr>
                <w:szCs w:val="22"/>
              </w:rPr>
              <w:t>54</w:t>
            </w:r>
          </w:p>
        </w:tc>
        <w:tc>
          <w:tcPr>
            <w:tcW w:w="1530" w:type="dxa"/>
            <w:vAlign w:val="center"/>
          </w:tcPr>
          <w:p w14:paraId="1D1F83C9" w14:textId="77777777" w:rsidR="00F12319" w:rsidRPr="003D2D23" w:rsidRDefault="00F12319" w:rsidP="00F12319">
            <w:pPr>
              <w:ind w:left="0"/>
              <w:rPr>
                <w:rFonts w:cs="Calibri"/>
                <w:color w:val="000000"/>
                <w:szCs w:val="22"/>
              </w:rPr>
            </w:pPr>
            <w:r w:rsidRPr="003D2D23">
              <w:rPr>
                <w:rFonts w:cs="Calibri"/>
                <w:color w:val="000000"/>
                <w:szCs w:val="22"/>
              </w:rPr>
              <w:t>Receive</w:t>
            </w:r>
          </w:p>
        </w:tc>
        <w:tc>
          <w:tcPr>
            <w:tcW w:w="1710" w:type="dxa"/>
            <w:vAlign w:val="center"/>
          </w:tcPr>
          <w:p w14:paraId="5D0F6DFD" w14:textId="77777777" w:rsidR="00F12319" w:rsidRPr="003D2D23" w:rsidRDefault="00F12319" w:rsidP="00F12319">
            <w:pPr>
              <w:ind w:left="0"/>
              <w:rPr>
                <w:rFonts w:cs="Calibri"/>
                <w:color w:val="000000"/>
                <w:szCs w:val="22"/>
              </w:rPr>
            </w:pPr>
            <w:r w:rsidRPr="003D2D23">
              <w:rPr>
                <w:rFonts w:cs="Calibri"/>
                <w:color w:val="000000"/>
                <w:szCs w:val="22"/>
              </w:rPr>
              <w:t>Offline / Quarterly</w:t>
            </w:r>
          </w:p>
        </w:tc>
        <w:tc>
          <w:tcPr>
            <w:tcW w:w="2430" w:type="dxa"/>
            <w:vAlign w:val="center"/>
          </w:tcPr>
          <w:p w14:paraId="33FB770D" w14:textId="77777777" w:rsidR="00F12319" w:rsidRPr="003D2D23" w:rsidRDefault="00F12319" w:rsidP="00F12319">
            <w:pPr>
              <w:ind w:left="0"/>
              <w:rPr>
                <w:rFonts w:cs="Calibri"/>
                <w:color w:val="000000"/>
                <w:szCs w:val="22"/>
              </w:rPr>
            </w:pPr>
            <w:r w:rsidRPr="003D2D23">
              <w:rPr>
                <w:rFonts w:cs="Calibri"/>
                <w:color w:val="000000"/>
                <w:szCs w:val="22"/>
              </w:rPr>
              <w:t>Orchestrate HR</w:t>
            </w:r>
          </w:p>
        </w:tc>
        <w:tc>
          <w:tcPr>
            <w:tcW w:w="2160" w:type="dxa"/>
            <w:vAlign w:val="center"/>
          </w:tcPr>
          <w:p w14:paraId="5112F607" w14:textId="77777777" w:rsidR="00F12319" w:rsidRPr="003D2D23" w:rsidRDefault="00F12319" w:rsidP="00F12319">
            <w:pPr>
              <w:ind w:left="0"/>
              <w:rPr>
                <w:rFonts w:cs="Calibri"/>
                <w:color w:val="000000"/>
                <w:szCs w:val="22"/>
              </w:rPr>
            </w:pPr>
            <w:r w:rsidRPr="003D2D23">
              <w:rPr>
                <w:rFonts w:cs="Calibri"/>
                <w:color w:val="000000"/>
                <w:szCs w:val="22"/>
              </w:rPr>
              <w:t>C3 &amp; C4 Filing</w:t>
            </w:r>
          </w:p>
        </w:tc>
        <w:tc>
          <w:tcPr>
            <w:tcW w:w="5760" w:type="dxa"/>
            <w:vAlign w:val="center"/>
          </w:tcPr>
          <w:p w14:paraId="5F754F3F" w14:textId="77777777" w:rsidR="00F12319" w:rsidRPr="003D2D23" w:rsidRDefault="00F12319" w:rsidP="00F12319">
            <w:pPr>
              <w:ind w:left="0"/>
              <w:rPr>
                <w:rFonts w:cs="Calibri"/>
                <w:color w:val="000000"/>
                <w:szCs w:val="22"/>
              </w:rPr>
            </w:pPr>
            <w:r w:rsidRPr="003D2D23">
              <w:rPr>
                <w:rFonts w:cs="Calibri"/>
                <w:color w:val="000000"/>
                <w:szCs w:val="22"/>
              </w:rPr>
              <w:t>To transfer tax filing via SFTP</w:t>
            </w:r>
            <w:r w:rsidRPr="003D2D23">
              <w:rPr>
                <w:rFonts w:ascii="Arial" w:hAnsi="Arial" w:cs="Arial"/>
                <w:color w:val="000000"/>
                <w:szCs w:val="22"/>
              </w:rPr>
              <w:t>​</w:t>
            </w:r>
          </w:p>
        </w:tc>
      </w:tr>
      <w:tr w:rsidR="00F12319" w14:paraId="477408A2" w14:textId="77777777" w:rsidTr="00EB23D7">
        <w:tc>
          <w:tcPr>
            <w:tcW w:w="877" w:type="dxa"/>
            <w:vAlign w:val="center"/>
          </w:tcPr>
          <w:p w14:paraId="416391F7" w14:textId="1078F2DE" w:rsidR="00F12319" w:rsidRPr="00194F03" w:rsidRDefault="00F12319" w:rsidP="00F12319">
            <w:pPr>
              <w:ind w:left="0"/>
              <w:jc w:val="center"/>
              <w:rPr>
                <w:rFonts w:cs="Calibri"/>
                <w:color w:val="000000"/>
                <w:szCs w:val="22"/>
              </w:rPr>
            </w:pPr>
            <w:r>
              <w:rPr>
                <w:color w:val="000000"/>
                <w:szCs w:val="22"/>
              </w:rPr>
              <w:t>55</w:t>
            </w:r>
          </w:p>
        </w:tc>
        <w:tc>
          <w:tcPr>
            <w:tcW w:w="1530" w:type="dxa"/>
            <w:vAlign w:val="center"/>
          </w:tcPr>
          <w:p w14:paraId="23E38EEB" w14:textId="77777777" w:rsidR="00F12319" w:rsidRPr="003D2D23" w:rsidRDefault="00F12319" w:rsidP="00F12319">
            <w:pPr>
              <w:ind w:left="0"/>
              <w:rPr>
                <w:rFonts w:cs="Calibri"/>
                <w:color w:val="000000"/>
                <w:szCs w:val="22"/>
              </w:rPr>
            </w:pPr>
            <w:r w:rsidRPr="003D2D23">
              <w:rPr>
                <w:rFonts w:cs="Calibri"/>
                <w:color w:val="000000"/>
                <w:szCs w:val="22"/>
              </w:rPr>
              <w:t>Receive</w:t>
            </w:r>
          </w:p>
        </w:tc>
        <w:tc>
          <w:tcPr>
            <w:tcW w:w="1710" w:type="dxa"/>
            <w:vAlign w:val="center"/>
          </w:tcPr>
          <w:p w14:paraId="6BEE8D35" w14:textId="77777777" w:rsidR="00F12319" w:rsidRPr="003D2D23" w:rsidRDefault="00F12319" w:rsidP="00F12319">
            <w:pPr>
              <w:ind w:left="0"/>
              <w:rPr>
                <w:rFonts w:cs="Calibri"/>
                <w:color w:val="000000"/>
                <w:szCs w:val="22"/>
              </w:rPr>
            </w:pPr>
            <w:r w:rsidRPr="003D2D23">
              <w:rPr>
                <w:rFonts w:cs="Calibri"/>
                <w:color w:val="000000"/>
                <w:szCs w:val="22"/>
              </w:rPr>
              <w:t>Offline / Quarterly</w:t>
            </w:r>
          </w:p>
        </w:tc>
        <w:tc>
          <w:tcPr>
            <w:tcW w:w="2430" w:type="dxa"/>
            <w:vAlign w:val="center"/>
          </w:tcPr>
          <w:p w14:paraId="39AC212A" w14:textId="77777777" w:rsidR="00F12319" w:rsidRPr="003D2D23" w:rsidRDefault="00F12319" w:rsidP="00F12319">
            <w:pPr>
              <w:ind w:left="0"/>
              <w:rPr>
                <w:rFonts w:cs="Calibri"/>
                <w:color w:val="000000"/>
                <w:szCs w:val="22"/>
              </w:rPr>
            </w:pPr>
            <w:r w:rsidRPr="003D2D23">
              <w:rPr>
                <w:rFonts w:cs="Calibri"/>
                <w:color w:val="000000"/>
                <w:szCs w:val="22"/>
              </w:rPr>
              <w:t>Paychex</w:t>
            </w:r>
          </w:p>
        </w:tc>
        <w:tc>
          <w:tcPr>
            <w:tcW w:w="2160" w:type="dxa"/>
            <w:vAlign w:val="center"/>
          </w:tcPr>
          <w:p w14:paraId="1B812C4A" w14:textId="77777777" w:rsidR="00F12319" w:rsidRPr="003D2D23" w:rsidRDefault="00F12319" w:rsidP="00F12319">
            <w:pPr>
              <w:ind w:left="0"/>
              <w:rPr>
                <w:rFonts w:cs="Calibri"/>
                <w:color w:val="000000"/>
                <w:szCs w:val="22"/>
              </w:rPr>
            </w:pPr>
            <w:r w:rsidRPr="003D2D23">
              <w:rPr>
                <w:rFonts w:cs="Calibri"/>
                <w:color w:val="000000"/>
                <w:szCs w:val="22"/>
              </w:rPr>
              <w:t>C3 &amp; C4 Filing</w:t>
            </w:r>
          </w:p>
        </w:tc>
        <w:tc>
          <w:tcPr>
            <w:tcW w:w="5760" w:type="dxa"/>
            <w:vAlign w:val="center"/>
          </w:tcPr>
          <w:p w14:paraId="458CD92A" w14:textId="77777777" w:rsidR="00F12319" w:rsidRPr="003D2D23" w:rsidRDefault="00F12319" w:rsidP="00F12319">
            <w:pPr>
              <w:ind w:left="0"/>
              <w:rPr>
                <w:rFonts w:cs="Calibri"/>
                <w:color w:val="000000"/>
                <w:szCs w:val="22"/>
              </w:rPr>
            </w:pPr>
            <w:r w:rsidRPr="003D2D23">
              <w:rPr>
                <w:rFonts w:cs="Calibri"/>
                <w:color w:val="000000"/>
                <w:szCs w:val="22"/>
              </w:rPr>
              <w:t>Receives one (1)</w:t>
            </w:r>
            <w:r>
              <w:rPr>
                <w:rFonts w:cs="Calibri"/>
                <w:color w:val="000000"/>
                <w:szCs w:val="22"/>
              </w:rPr>
              <w:t xml:space="preserve"> </w:t>
            </w:r>
            <w:r w:rsidRPr="003D2D23">
              <w:rPr>
                <w:rFonts w:cs="Calibri"/>
                <w:color w:val="000000"/>
                <w:szCs w:val="22"/>
              </w:rPr>
              <w:t>file</w:t>
            </w:r>
          </w:p>
        </w:tc>
      </w:tr>
      <w:tr w:rsidR="00F12319" w14:paraId="70027389" w14:textId="77777777" w:rsidTr="00EB23D7">
        <w:tc>
          <w:tcPr>
            <w:tcW w:w="877" w:type="dxa"/>
            <w:vAlign w:val="center"/>
          </w:tcPr>
          <w:p w14:paraId="497C09AA" w14:textId="1351CD07" w:rsidR="00F12319" w:rsidRPr="00194F03" w:rsidRDefault="00F12319" w:rsidP="00F12319">
            <w:pPr>
              <w:ind w:left="0"/>
              <w:jc w:val="center"/>
              <w:rPr>
                <w:rFonts w:cs="Calibri"/>
                <w:color w:val="000000"/>
                <w:szCs w:val="22"/>
              </w:rPr>
            </w:pPr>
            <w:r>
              <w:rPr>
                <w:szCs w:val="22"/>
              </w:rPr>
              <w:lastRenderedPageBreak/>
              <w:t>56</w:t>
            </w:r>
          </w:p>
        </w:tc>
        <w:tc>
          <w:tcPr>
            <w:tcW w:w="1530" w:type="dxa"/>
            <w:vAlign w:val="center"/>
          </w:tcPr>
          <w:p w14:paraId="368B9E4B" w14:textId="77777777" w:rsidR="00F12319" w:rsidRPr="003D2D23" w:rsidRDefault="00F12319" w:rsidP="00F12319">
            <w:pPr>
              <w:ind w:left="0"/>
              <w:rPr>
                <w:rFonts w:cs="Calibri"/>
                <w:color w:val="000000"/>
                <w:szCs w:val="22"/>
              </w:rPr>
            </w:pPr>
            <w:r w:rsidRPr="003D2D23">
              <w:rPr>
                <w:rFonts w:cs="Calibri"/>
                <w:color w:val="000000"/>
                <w:szCs w:val="22"/>
              </w:rPr>
              <w:t>Receive</w:t>
            </w:r>
          </w:p>
        </w:tc>
        <w:tc>
          <w:tcPr>
            <w:tcW w:w="1710" w:type="dxa"/>
            <w:vAlign w:val="center"/>
          </w:tcPr>
          <w:p w14:paraId="25446D6D" w14:textId="77777777" w:rsidR="00F12319" w:rsidRPr="003D2D23" w:rsidRDefault="00F12319" w:rsidP="00F12319">
            <w:pPr>
              <w:ind w:left="0"/>
              <w:rPr>
                <w:rFonts w:cs="Calibri"/>
                <w:color w:val="000000"/>
                <w:szCs w:val="22"/>
              </w:rPr>
            </w:pPr>
            <w:r w:rsidRPr="003D2D23">
              <w:rPr>
                <w:rFonts w:cs="Calibri"/>
                <w:color w:val="000000"/>
                <w:szCs w:val="22"/>
              </w:rPr>
              <w:t>Offline / Quarterly</w:t>
            </w:r>
          </w:p>
        </w:tc>
        <w:tc>
          <w:tcPr>
            <w:tcW w:w="2430" w:type="dxa"/>
            <w:vAlign w:val="center"/>
          </w:tcPr>
          <w:p w14:paraId="4D26C1B1" w14:textId="77777777" w:rsidR="00F12319" w:rsidRPr="003D2D23" w:rsidRDefault="00F12319" w:rsidP="00F12319">
            <w:pPr>
              <w:ind w:left="0"/>
              <w:rPr>
                <w:rFonts w:cs="Calibri"/>
                <w:color w:val="000000"/>
                <w:szCs w:val="22"/>
              </w:rPr>
            </w:pPr>
            <w:r w:rsidRPr="003D2D23">
              <w:rPr>
                <w:rFonts w:cs="Calibri"/>
                <w:color w:val="000000"/>
                <w:szCs w:val="22"/>
              </w:rPr>
              <w:t>Paycom</w:t>
            </w:r>
          </w:p>
        </w:tc>
        <w:tc>
          <w:tcPr>
            <w:tcW w:w="2160" w:type="dxa"/>
            <w:vAlign w:val="center"/>
          </w:tcPr>
          <w:p w14:paraId="62E18DFF" w14:textId="77777777" w:rsidR="00F12319" w:rsidRPr="003D2D23" w:rsidRDefault="00F12319" w:rsidP="00F12319">
            <w:pPr>
              <w:ind w:left="0"/>
              <w:rPr>
                <w:rFonts w:cs="Calibri"/>
                <w:color w:val="000000"/>
                <w:szCs w:val="22"/>
              </w:rPr>
            </w:pPr>
            <w:r w:rsidRPr="003D2D23">
              <w:rPr>
                <w:rFonts w:cs="Calibri"/>
                <w:color w:val="000000"/>
                <w:szCs w:val="22"/>
              </w:rPr>
              <w:t>C3 &amp; C4 Filing</w:t>
            </w:r>
          </w:p>
        </w:tc>
        <w:tc>
          <w:tcPr>
            <w:tcW w:w="5760" w:type="dxa"/>
            <w:vAlign w:val="center"/>
          </w:tcPr>
          <w:p w14:paraId="021162A8" w14:textId="77777777" w:rsidR="00F12319" w:rsidRPr="003D2D23" w:rsidRDefault="00F12319" w:rsidP="00F12319">
            <w:pPr>
              <w:ind w:left="0"/>
              <w:rPr>
                <w:rFonts w:cs="Calibri"/>
                <w:color w:val="000000"/>
                <w:szCs w:val="22"/>
              </w:rPr>
            </w:pPr>
            <w:r w:rsidRPr="003D2D23">
              <w:rPr>
                <w:rFonts w:cs="Calibri"/>
                <w:color w:val="000000"/>
                <w:szCs w:val="22"/>
              </w:rPr>
              <w:t>Receives one (1)</w:t>
            </w:r>
            <w:r>
              <w:rPr>
                <w:rFonts w:cs="Calibri"/>
                <w:color w:val="000000"/>
                <w:szCs w:val="22"/>
              </w:rPr>
              <w:t xml:space="preserve"> </w:t>
            </w:r>
            <w:r w:rsidRPr="003D2D23">
              <w:rPr>
                <w:rFonts w:cs="Calibri"/>
                <w:color w:val="000000"/>
                <w:szCs w:val="22"/>
              </w:rPr>
              <w:t>file</w:t>
            </w:r>
          </w:p>
        </w:tc>
      </w:tr>
      <w:tr w:rsidR="00F12319" w14:paraId="757B62E7" w14:textId="77777777" w:rsidTr="00EB23D7">
        <w:tc>
          <w:tcPr>
            <w:tcW w:w="877" w:type="dxa"/>
            <w:vAlign w:val="center"/>
          </w:tcPr>
          <w:p w14:paraId="29174AEE" w14:textId="7C530428" w:rsidR="00F12319" w:rsidRPr="00194F03" w:rsidRDefault="00F12319" w:rsidP="00F12319">
            <w:pPr>
              <w:ind w:left="0"/>
              <w:jc w:val="center"/>
              <w:rPr>
                <w:rFonts w:cs="Calibri"/>
                <w:color w:val="000000"/>
                <w:szCs w:val="22"/>
              </w:rPr>
            </w:pPr>
            <w:r>
              <w:rPr>
                <w:color w:val="000000"/>
                <w:szCs w:val="22"/>
              </w:rPr>
              <w:t>57</w:t>
            </w:r>
          </w:p>
        </w:tc>
        <w:tc>
          <w:tcPr>
            <w:tcW w:w="1530" w:type="dxa"/>
            <w:vAlign w:val="center"/>
          </w:tcPr>
          <w:p w14:paraId="7DA2561D" w14:textId="77777777" w:rsidR="00F12319" w:rsidRPr="003D2D23" w:rsidRDefault="00F12319" w:rsidP="00F12319">
            <w:pPr>
              <w:ind w:left="0"/>
              <w:rPr>
                <w:rFonts w:cs="Calibri"/>
                <w:color w:val="000000"/>
                <w:szCs w:val="22"/>
              </w:rPr>
            </w:pPr>
            <w:r w:rsidRPr="003D2D23">
              <w:rPr>
                <w:rFonts w:cs="Calibri"/>
                <w:color w:val="000000"/>
                <w:szCs w:val="22"/>
              </w:rPr>
              <w:t>Receive</w:t>
            </w:r>
          </w:p>
        </w:tc>
        <w:tc>
          <w:tcPr>
            <w:tcW w:w="1710" w:type="dxa"/>
            <w:vAlign w:val="center"/>
          </w:tcPr>
          <w:p w14:paraId="57CE8594" w14:textId="77777777" w:rsidR="00F12319" w:rsidRPr="003D2D23" w:rsidRDefault="00F12319" w:rsidP="00F12319">
            <w:pPr>
              <w:ind w:left="0"/>
              <w:rPr>
                <w:rFonts w:cs="Calibri"/>
                <w:color w:val="000000"/>
                <w:szCs w:val="22"/>
              </w:rPr>
            </w:pPr>
            <w:r w:rsidRPr="003D2D23">
              <w:rPr>
                <w:rFonts w:cs="Calibri"/>
                <w:color w:val="000000"/>
                <w:szCs w:val="22"/>
              </w:rPr>
              <w:t>Offline / Quarterly</w:t>
            </w:r>
          </w:p>
        </w:tc>
        <w:tc>
          <w:tcPr>
            <w:tcW w:w="2430" w:type="dxa"/>
            <w:vAlign w:val="center"/>
          </w:tcPr>
          <w:p w14:paraId="28E76019" w14:textId="77777777" w:rsidR="00F12319" w:rsidRPr="003D2D23" w:rsidRDefault="00F12319" w:rsidP="00F12319">
            <w:pPr>
              <w:ind w:left="0"/>
              <w:rPr>
                <w:rFonts w:cs="Calibri"/>
                <w:color w:val="000000"/>
                <w:szCs w:val="22"/>
              </w:rPr>
            </w:pPr>
            <w:r w:rsidRPr="003D2D23">
              <w:rPr>
                <w:rFonts w:cs="Calibri"/>
                <w:color w:val="000000"/>
                <w:szCs w:val="22"/>
              </w:rPr>
              <w:t>Paycor</w:t>
            </w:r>
          </w:p>
        </w:tc>
        <w:tc>
          <w:tcPr>
            <w:tcW w:w="2160" w:type="dxa"/>
            <w:vAlign w:val="center"/>
          </w:tcPr>
          <w:p w14:paraId="4F5E770C" w14:textId="77777777" w:rsidR="00F12319" w:rsidRPr="003D2D23" w:rsidRDefault="00F12319" w:rsidP="00F12319">
            <w:pPr>
              <w:ind w:left="0"/>
              <w:rPr>
                <w:rFonts w:cs="Calibri"/>
                <w:color w:val="000000"/>
                <w:szCs w:val="22"/>
              </w:rPr>
            </w:pPr>
            <w:r w:rsidRPr="003D2D23">
              <w:rPr>
                <w:rFonts w:cs="Calibri"/>
                <w:color w:val="000000"/>
                <w:szCs w:val="22"/>
              </w:rPr>
              <w:t>C3 &amp; C4 Filing</w:t>
            </w:r>
          </w:p>
        </w:tc>
        <w:tc>
          <w:tcPr>
            <w:tcW w:w="5760" w:type="dxa"/>
            <w:vAlign w:val="center"/>
          </w:tcPr>
          <w:p w14:paraId="7609EAA3" w14:textId="77777777" w:rsidR="00F12319" w:rsidRPr="003D2D23" w:rsidRDefault="00F12319" w:rsidP="00F12319">
            <w:pPr>
              <w:ind w:left="0"/>
              <w:rPr>
                <w:rFonts w:cs="Calibri"/>
                <w:color w:val="000000"/>
                <w:szCs w:val="22"/>
              </w:rPr>
            </w:pPr>
            <w:r w:rsidRPr="003D2D23">
              <w:rPr>
                <w:rFonts w:cs="Calibri"/>
                <w:color w:val="000000"/>
                <w:szCs w:val="22"/>
              </w:rPr>
              <w:t>Receives one (1)</w:t>
            </w:r>
            <w:r>
              <w:rPr>
                <w:rFonts w:cs="Calibri"/>
                <w:color w:val="000000"/>
                <w:szCs w:val="22"/>
              </w:rPr>
              <w:t xml:space="preserve"> </w:t>
            </w:r>
            <w:r w:rsidRPr="003D2D23">
              <w:rPr>
                <w:rFonts w:cs="Calibri"/>
                <w:color w:val="000000"/>
                <w:szCs w:val="22"/>
              </w:rPr>
              <w:t>file</w:t>
            </w:r>
          </w:p>
        </w:tc>
      </w:tr>
      <w:tr w:rsidR="00F12319" w14:paraId="44BD2B27" w14:textId="77777777" w:rsidTr="00EB23D7">
        <w:tc>
          <w:tcPr>
            <w:tcW w:w="877" w:type="dxa"/>
            <w:vAlign w:val="center"/>
          </w:tcPr>
          <w:p w14:paraId="198E2325" w14:textId="2635E46D" w:rsidR="00F12319" w:rsidRPr="00194F03" w:rsidRDefault="00F12319" w:rsidP="00F12319">
            <w:pPr>
              <w:ind w:left="0"/>
              <w:jc w:val="center"/>
              <w:rPr>
                <w:rFonts w:cs="Calibri"/>
                <w:color w:val="000000"/>
                <w:szCs w:val="22"/>
              </w:rPr>
            </w:pPr>
            <w:r>
              <w:rPr>
                <w:szCs w:val="22"/>
              </w:rPr>
              <w:t>58</w:t>
            </w:r>
          </w:p>
        </w:tc>
        <w:tc>
          <w:tcPr>
            <w:tcW w:w="1530" w:type="dxa"/>
            <w:vAlign w:val="center"/>
          </w:tcPr>
          <w:p w14:paraId="7CE6F337" w14:textId="77777777" w:rsidR="00F12319" w:rsidRPr="003D2D23" w:rsidRDefault="00F12319" w:rsidP="00F12319">
            <w:pPr>
              <w:ind w:left="0"/>
              <w:rPr>
                <w:rFonts w:cs="Calibri"/>
                <w:color w:val="000000"/>
                <w:szCs w:val="22"/>
              </w:rPr>
            </w:pPr>
            <w:r w:rsidRPr="003D2D23">
              <w:rPr>
                <w:rFonts w:cs="Calibri"/>
                <w:color w:val="000000"/>
                <w:szCs w:val="22"/>
              </w:rPr>
              <w:t>Receive</w:t>
            </w:r>
          </w:p>
        </w:tc>
        <w:tc>
          <w:tcPr>
            <w:tcW w:w="1710" w:type="dxa"/>
            <w:vAlign w:val="center"/>
          </w:tcPr>
          <w:p w14:paraId="430D8EB3" w14:textId="77777777" w:rsidR="00F12319" w:rsidRPr="003D2D23" w:rsidRDefault="00F12319" w:rsidP="00F12319">
            <w:pPr>
              <w:ind w:left="0"/>
              <w:rPr>
                <w:rFonts w:cs="Calibri"/>
                <w:color w:val="000000"/>
                <w:szCs w:val="22"/>
              </w:rPr>
            </w:pPr>
            <w:r w:rsidRPr="003D2D23">
              <w:rPr>
                <w:rFonts w:cs="Calibri"/>
                <w:color w:val="000000"/>
                <w:szCs w:val="22"/>
              </w:rPr>
              <w:t>Offline / Quarterly</w:t>
            </w:r>
          </w:p>
        </w:tc>
        <w:tc>
          <w:tcPr>
            <w:tcW w:w="2430" w:type="dxa"/>
            <w:vAlign w:val="center"/>
          </w:tcPr>
          <w:p w14:paraId="7A283D78" w14:textId="77777777" w:rsidR="00F12319" w:rsidRPr="003D2D23" w:rsidRDefault="00F12319" w:rsidP="00F12319">
            <w:pPr>
              <w:ind w:left="0"/>
              <w:rPr>
                <w:rFonts w:cs="Calibri"/>
                <w:color w:val="000000"/>
                <w:szCs w:val="22"/>
              </w:rPr>
            </w:pPr>
            <w:r w:rsidRPr="003D2D23">
              <w:rPr>
                <w:rFonts w:cs="Calibri"/>
                <w:color w:val="000000"/>
                <w:szCs w:val="22"/>
              </w:rPr>
              <w:t>Payday Pro</w:t>
            </w:r>
          </w:p>
        </w:tc>
        <w:tc>
          <w:tcPr>
            <w:tcW w:w="2160" w:type="dxa"/>
            <w:vAlign w:val="center"/>
          </w:tcPr>
          <w:p w14:paraId="74CB19A1" w14:textId="77777777" w:rsidR="00F12319" w:rsidRPr="003D2D23" w:rsidRDefault="00F12319" w:rsidP="00F12319">
            <w:pPr>
              <w:ind w:left="0"/>
              <w:rPr>
                <w:rFonts w:cs="Calibri"/>
                <w:color w:val="000000"/>
                <w:szCs w:val="22"/>
              </w:rPr>
            </w:pPr>
            <w:r w:rsidRPr="003D2D23">
              <w:rPr>
                <w:rFonts w:cs="Calibri"/>
                <w:color w:val="000000"/>
                <w:szCs w:val="22"/>
              </w:rPr>
              <w:t>C3 &amp; C4 Filing</w:t>
            </w:r>
          </w:p>
        </w:tc>
        <w:tc>
          <w:tcPr>
            <w:tcW w:w="5760" w:type="dxa"/>
            <w:vAlign w:val="center"/>
          </w:tcPr>
          <w:p w14:paraId="2EA32B34" w14:textId="77777777" w:rsidR="00F12319" w:rsidRPr="003D2D23" w:rsidRDefault="00F12319" w:rsidP="00F12319">
            <w:pPr>
              <w:ind w:left="0"/>
              <w:rPr>
                <w:rFonts w:cs="Calibri"/>
                <w:color w:val="000000"/>
                <w:szCs w:val="22"/>
              </w:rPr>
            </w:pPr>
            <w:r w:rsidRPr="003D2D23">
              <w:rPr>
                <w:rFonts w:cs="Calibri"/>
                <w:color w:val="000000"/>
                <w:szCs w:val="22"/>
              </w:rPr>
              <w:t>Receives one (1)</w:t>
            </w:r>
            <w:r>
              <w:rPr>
                <w:rFonts w:cs="Calibri"/>
                <w:color w:val="000000"/>
                <w:szCs w:val="22"/>
              </w:rPr>
              <w:t xml:space="preserve"> </w:t>
            </w:r>
            <w:r w:rsidRPr="003D2D23">
              <w:rPr>
                <w:rFonts w:cs="Calibri"/>
                <w:color w:val="000000"/>
                <w:szCs w:val="22"/>
              </w:rPr>
              <w:t>file</w:t>
            </w:r>
          </w:p>
        </w:tc>
      </w:tr>
      <w:tr w:rsidR="00F12319" w14:paraId="09C7E1F9" w14:textId="77777777" w:rsidTr="00EB23D7">
        <w:tc>
          <w:tcPr>
            <w:tcW w:w="877" w:type="dxa"/>
            <w:vAlign w:val="center"/>
          </w:tcPr>
          <w:p w14:paraId="282D5907" w14:textId="2A8488D7" w:rsidR="00F12319" w:rsidRPr="00194F03" w:rsidRDefault="00F12319" w:rsidP="00F12319">
            <w:pPr>
              <w:ind w:left="0"/>
              <w:jc w:val="center"/>
              <w:rPr>
                <w:rFonts w:cs="Calibri"/>
                <w:color w:val="000000"/>
                <w:szCs w:val="22"/>
              </w:rPr>
            </w:pPr>
            <w:r>
              <w:rPr>
                <w:color w:val="000000"/>
                <w:szCs w:val="22"/>
              </w:rPr>
              <w:t>59</w:t>
            </w:r>
          </w:p>
        </w:tc>
        <w:tc>
          <w:tcPr>
            <w:tcW w:w="1530" w:type="dxa"/>
            <w:vAlign w:val="center"/>
          </w:tcPr>
          <w:p w14:paraId="6EBD1D8F" w14:textId="77777777" w:rsidR="00F12319" w:rsidRPr="003D2D23" w:rsidRDefault="00F12319" w:rsidP="00F12319">
            <w:pPr>
              <w:ind w:left="0"/>
              <w:rPr>
                <w:rFonts w:cs="Calibri"/>
                <w:color w:val="000000"/>
                <w:szCs w:val="22"/>
              </w:rPr>
            </w:pPr>
            <w:r w:rsidRPr="003D2D23">
              <w:rPr>
                <w:rFonts w:cs="Calibri"/>
                <w:color w:val="000000"/>
                <w:szCs w:val="22"/>
              </w:rPr>
              <w:t>Receive</w:t>
            </w:r>
          </w:p>
        </w:tc>
        <w:tc>
          <w:tcPr>
            <w:tcW w:w="1710" w:type="dxa"/>
            <w:vAlign w:val="center"/>
          </w:tcPr>
          <w:p w14:paraId="6823E3BE" w14:textId="77777777" w:rsidR="00F12319" w:rsidRPr="003D2D23" w:rsidRDefault="00F12319" w:rsidP="00F12319">
            <w:pPr>
              <w:ind w:left="0"/>
              <w:rPr>
                <w:rFonts w:cs="Calibri"/>
                <w:color w:val="000000"/>
                <w:szCs w:val="22"/>
              </w:rPr>
            </w:pPr>
            <w:r w:rsidRPr="003D2D23">
              <w:rPr>
                <w:rFonts w:cs="Calibri"/>
                <w:color w:val="000000"/>
                <w:szCs w:val="22"/>
              </w:rPr>
              <w:t>Offline / Quarterly</w:t>
            </w:r>
          </w:p>
        </w:tc>
        <w:tc>
          <w:tcPr>
            <w:tcW w:w="2430" w:type="dxa"/>
            <w:vAlign w:val="center"/>
          </w:tcPr>
          <w:p w14:paraId="43E4E656" w14:textId="77777777" w:rsidR="00F12319" w:rsidRPr="003D2D23" w:rsidRDefault="00F12319" w:rsidP="00F12319">
            <w:pPr>
              <w:ind w:left="0"/>
              <w:rPr>
                <w:rFonts w:cs="Calibri"/>
                <w:color w:val="000000"/>
                <w:szCs w:val="22"/>
              </w:rPr>
            </w:pPr>
            <w:r w:rsidRPr="003D2D23">
              <w:rPr>
                <w:rFonts w:cs="Calibri"/>
                <w:color w:val="000000"/>
                <w:szCs w:val="22"/>
              </w:rPr>
              <w:t>Payroll Tax Management</w:t>
            </w:r>
          </w:p>
        </w:tc>
        <w:tc>
          <w:tcPr>
            <w:tcW w:w="2160" w:type="dxa"/>
            <w:vAlign w:val="center"/>
          </w:tcPr>
          <w:p w14:paraId="3F6543D0" w14:textId="77777777" w:rsidR="00F12319" w:rsidRPr="003D2D23" w:rsidRDefault="00F12319" w:rsidP="00F12319">
            <w:pPr>
              <w:ind w:left="0"/>
              <w:rPr>
                <w:rFonts w:cs="Calibri"/>
                <w:color w:val="000000"/>
                <w:szCs w:val="22"/>
              </w:rPr>
            </w:pPr>
            <w:r w:rsidRPr="003D2D23">
              <w:rPr>
                <w:rFonts w:cs="Calibri"/>
                <w:color w:val="000000"/>
                <w:szCs w:val="22"/>
              </w:rPr>
              <w:t>C3 &amp; C4 filing</w:t>
            </w:r>
          </w:p>
        </w:tc>
        <w:tc>
          <w:tcPr>
            <w:tcW w:w="5760" w:type="dxa"/>
            <w:vAlign w:val="center"/>
          </w:tcPr>
          <w:p w14:paraId="2AE762D9" w14:textId="77777777" w:rsidR="00F12319" w:rsidRPr="003D2D23" w:rsidRDefault="00F12319" w:rsidP="00F12319">
            <w:pPr>
              <w:ind w:left="0"/>
              <w:rPr>
                <w:rFonts w:cs="Calibri"/>
                <w:color w:val="000000"/>
                <w:szCs w:val="22"/>
              </w:rPr>
            </w:pPr>
            <w:r w:rsidRPr="003D2D23">
              <w:rPr>
                <w:rFonts w:ascii="Arial" w:hAnsi="Arial" w:cs="Arial"/>
                <w:color w:val="000000"/>
                <w:szCs w:val="22"/>
              </w:rPr>
              <w:t>​</w:t>
            </w:r>
            <w:r w:rsidRPr="003D2D23">
              <w:rPr>
                <w:rFonts w:cs="Calibri"/>
                <w:color w:val="000000"/>
                <w:szCs w:val="22"/>
              </w:rPr>
              <w:t>Secure transfer of PII</w:t>
            </w:r>
          </w:p>
        </w:tc>
      </w:tr>
      <w:tr w:rsidR="00F12319" w14:paraId="6786FBD0" w14:textId="77777777" w:rsidTr="00EB23D7">
        <w:tc>
          <w:tcPr>
            <w:tcW w:w="877" w:type="dxa"/>
            <w:vAlign w:val="center"/>
          </w:tcPr>
          <w:p w14:paraId="5434B757" w14:textId="5DFA45AC" w:rsidR="00F12319" w:rsidRPr="00194F03" w:rsidRDefault="00F12319" w:rsidP="00F12319">
            <w:pPr>
              <w:ind w:left="0"/>
              <w:jc w:val="center"/>
              <w:rPr>
                <w:rFonts w:cs="Calibri"/>
                <w:color w:val="000000"/>
                <w:szCs w:val="22"/>
              </w:rPr>
            </w:pPr>
            <w:r>
              <w:rPr>
                <w:szCs w:val="22"/>
              </w:rPr>
              <w:t>60</w:t>
            </w:r>
          </w:p>
        </w:tc>
        <w:tc>
          <w:tcPr>
            <w:tcW w:w="1530" w:type="dxa"/>
            <w:vAlign w:val="center"/>
          </w:tcPr>
          <w:p w14:paraId="056A730E" w14:textId="77777777" w:rsidR="00F12319" w:rsidRPr="003D2D23" w:rsidRDefault="00F12319" w:rsidP="00F12319">
            <w:pPr>
              <w:ind w:left="0"/>
              <w:rPr>
                <w:rFonts w:cs="Calibri"/>
                <w:color w:val="000000"/>
                <w:szCs w:val="22"/>
              </w:rPr>
            </w:pPr>
            <w:r w:rsidRPr="003D2D23">
              <w:rPr>
                <w:rFonts w:cs="Calibri"/>
                <w:color w:val="000000"/>
                <w:szCs w:val="22"/>
              </w:rPr>
              <w:t>Both</w:t>
            </w:r>
          </w:p>
        </w:tc>
        <w:tc>
          <w:tcPr>
            <w:tcW w:w="1710" w:type="dxa"/>
            <w:vAlign w:val="center"/>
          </w:tcPr>
          <w:p w14:paraId="5FCC8985" w14:textId="77777777" w:rsidR="00F12319" w:rsidRPr="003D2D23" w:rsidRDefault="00F12319" w:rsidP="00F12319">
            <w:pPr>
              <w:ind w:left="0"/>
              <w:rPr>
                <w:rFonts w:cs="Calibri"/>
                <w:color w:val="000000"/>
                <w:szCs w:val="22"/>
              </w:rPr>
            </w:pPr>
            <w:r w:rsidRPr="003D2D23">
              <w:rPr>
                <w:rFonts w:cs="Calibri"/>
                <w:color w:val="000000"/>
                <w:szCs w:val="22"/>
              </w:rPr>
              <w:t>Offline / Quarterly</w:t>
            </w:r>
          </w:p>
        </w:tc>
        <w:tc>
          <w:tcPr>
            <w:tcW w:w="2430" w:type="dxa"/>
            <w:vAlign w:val="center"/>
          </w:tcPr>
          <w:p w14:paraId="44C49E50" w14:textId="77777777" w:rsidR="00F12319" w:rsidRPr="003D2D23" w:rsidRDefault="00F12319" w:rsidP="00F12319">
            <w:pPr>
              <w:ind w:left="0"/>
              <w:rPr>
                <w:rFonts w:cs="Calibri"/>
                <w:color w:val="000000"/>
                <w:szCs w:val="22"/>
              </w:rPr>
            </w:pPr>
            <w:r w:rsidRPr="003D2D23">
              <w:rPr>
                <w:rFonts w:cs="Calibri"/>
                <w:color w:val="000000"/>
                <w:szCs w:val="22"/>
              </w:rPr>
              <w:t>People Systems</w:t>
            </w:r>
          </w:p>
        </w:tc>
        <w:tc>
          <w:tcPr>
            <w:tcW w:w="2160" w:type="dxa"/>
            <w:vAlign w:val="center"/>
          </w:tcPr>
          <w:p w14:paraId="45FA4B96" w14:textId="77777777" w:rsidR="00F12319" w:rsidRPr="003D2D23" w:rsidRDefault="00F12319" w:rsidP="00F12319">
            <w:pPr>
              <w:ind w:left="0"/>
              <w:rPr>
                <w:rFonts w:cs="Calibri"/>
                <w:color w:val="000000"/>
                <w:szCs w:val="22"/>
              </w:rPr>
            </w:pPr>
            <w:r w:rsidRPr="003D2D23">
              <w:rPr>
                <w:rFonts w:cs="Calibri"/>
                <w:color w:val="000000"/>
                <w:szCs w:val="22"/>
              </w:rPr>
              <w:t>C3 &amp; C4 Filing</w:t>
            </w:r>
          </w:p>
        </w:tc>
        <w:tc>
          <w:tcPr>
            <w:tcW w:w="5760" w:type="dxa"/>
            <w:vAlign w:val="center"/>
          </w:tcPr>
          <w:p w14:paraId="2E32A23E" w14:textId="77777777" w:rsidR="00F12319" w:rsidRPr="003D2D23" w:rsidRDefault="00F12319" w:rsidP="00F12319">
            <w:pPr>
              <w:ind w:left="0"/>
              <w:rPr>
                <w:rFonts w:cs="Calibri"/>
                <w:color w:val="000000"/>
                <w:szCs w:val="22"/>
              </w:rPr>
            </w:pPr>
            <w:r w:rsidRPr="003D2D23">
              <w:rPr>
                <w:rFonts w:cs="Calibri"/>
                <w:color w:val="000000"/>
                <w:szCs w:val="22"/>
              </w:rPr>
              <w:t>Receives one (1)</w:t>
            </w:r>
            <w:r>
              <w:rPr>
                <w:rFonts w:cs="Calibri"/>
                <w:color w:val="000000"/>
                <w:szCs w:val="22"/>
              </w:rPr>
              <w:t xml:space="preserve"> </w:t>
            </w:r>
            <w:r w:rsidRPr="003D2D23">
              <w:rPr>
                <w:rFonts w:cs="Calibri"/>
                <w:color w:val="000000"/>
                <w:szCs w:val="22"/>
              </w:rPr>
              <w:t>file and sends two (2)</w:t>
            </w:r>
          </w:p>
        </w:tc>
      </w:tr>
      <w:tr w:rsidR="00F12319" w14:paraId="1BECC6A7" w14:textId="77777777" w:rsidTr="00EB23D7">
        <w:tc>
          <w:tcPr>
            <w:tcW w:w="877" w:type="dxa"/>
            <w:vAlign w:val="center"/>
          </w:tcPr>
          <w:p w14:paraId="40774BDB" w14:textId="3CC89508" w:rsidR="00F12319" w:rsidRPr="00194F03" w:rsidRDefault="00F12319" w:rsidP="00F12319">
            <w:pPr>
              <w:ind w:left="0"/>
              <w:jc w:val="center"/>
              <w:rPr>
                <w:rFonts w:cs="Calibri"/>
                <w:color w:val="000000"/>
                <w:szCs w:val="22"/>
              </w:rPr>
            </w:pPr>
            <w:r>
              <w:rPr>
                <w:color w:val="000000"/>
                <w:szCs w:val="22"/>
              </w:rPr>
              <w:t>61</w:t>
            </w:r>
          </w:p>
        </w:tc>
        <w:tc>
          <w:tcPr>
            <w:tcW w:w="1530" w:type="dxa"/>
            <w:vAlign w:val="center"/>
          </w:tcPr>
          <w:p w14:paraId="3BA5DC9D" w14:textId="77777777" w:rsidR="00F12319" w:rsidRPr="003D2D23" w:rsidRDefault="00F12319" w:rsidP="00F12319">
            <w:pPr>
              <w:ind w:left="0"/>
              <w:rPr>
                <w:rFonts w:cs="Calibri"/>
                <w:color w:val="000000"/>
                <w:szCs w:val="22"/>
              </w:rPr>
            </w:pPr>
            <w:r w:rsidRPr="003D2D23">
              <w:rPr>
                <w:rFonts w:cs="Calibri"/>
                <w:color w:val="000000"/>
                <w:szCs w:val="22"/>
              </w:rPr>
              <w:t>Receive</w:t>
            </w:r>
          </w:p>
        </w:tc>
        <w:tc>
          <w:tcPr>
            <w:tcW w:w="1710" w:type="dxa"/>
            <w:vAlign w:val="center"/>
          </w:tcPr>
          <w:p w14:paraId="650D3485" w14:textId="77777777" w:rsidR="00F12319" w:rsidRPr="003D2D23" w:rsidRDefault="00F12319" w:rsidP="00F12319">
            <w:pPr>
              <w:ind w:left="0"/>
              <w:rPr>
                <w:rFonts w:cs="Calibri"/>
                <w:color w:val="000000"/>
                <w:szCs w:val="22"/>
              </w:rPr>
            </w:pPr>
            <w:r w:rsidRPr="003D2D23">
              <w:rPr>
                <w:rFonts w:cs="Calibri"/>
                <w:color w:val="000000"/>
                <w:szCs w:val="22"/>
              </w:rPr>
              <w:t>Offline / Quarterly</w:t>
            </w:r>
          </w:p>
        </w:tc>
        <w:tc>
          <w:tcPr>
            <w:tcW w:w="2430" w:type="dxa"/>
            <w:vAlign w:val="center"/>
          </w:tcPr>
          <w:p w14:paraId="46A4C914" w14:textId="77777777" w:rsidR="00F12319" w:rsidRPr="003D2D23" w:rsidRDefault="00F12319" w:rsidP="00F12319">
            <w:pPr>
              <w:ind w:left="0"/>
              <w:rPr>
                <w:rFonts w:cs="Calibri"/>
                <w:color w:val="000000"/>
                <w:szCs w:val="22"/>
              </w:rPr>
            </w:pPr>
            <w:r w:rsidRPr="003D2D23">
              <w:rPr>
                <w:rFonts w:cs="Calibri"/>
                <w:color w:val="000000"/>
                <w:szCs w:val="22"/>
              </w:rPr>
              <w:t>Primepay1</w:t>
            </w:r>
          </w:p>
        </w:tc>
        <w:tc>
          <w:tcPr>
            <w:tcW w:w="2160" w:type="dxa"/>
            <w:vAlign w:val="center"/>
          </w:tcPr>
          <w:p w14:paraId="3AC2DA49" w14:textId="77777777" w:rsidR="00F12319" w:rsidRPr="003D2D23" w:rsidRDefault="00F12319" w:rsidP="00F12319">
            <w:pPr>
              <w:ind w:left="0"/>
              <w:rPr>
                <w:rFonts w:cs="Calibri"/>
                <w:color w:val="000000"/>
                <w:szCs w:val="22"/>
              </w:rPr>
            </w:pPr>
            <w:r w:rsidRPr="003D2D23">
              <w:rPr>
                <w:rFonts w:cs="Calibri"/>
                <w:color w:val="000000"/>
                <w:szCs w:val="22"/>
              </w:rPr>
              <w:t>C3 &amp; C4 Filing</w:t>
            </w:r>
          </w:p>
        </w:tc>
        <w:tc>
          <w:tcPr>
            <w:tcW w:w="5760" w:type="dxa"/>
            <w:vAlign w:val="center"/>
          </w:tcPr>
          <w:p w14:paraId="603CEA13" w14:textId="77777777" w:rsidR="00F12319" w:rsidRPr="003D2D23" w:rsidRDefault="00F12319" w:rsidP="00F12319">
            <w:pPr>
              <w:ind w:left="0"/>
              <w:rPr>
                <w:rFonts w:cs="Calibri"/>
                <w:color w:val="000000"/>
                <w:szCs w:val="22"/>
              </w:rPr>
            </w:pPr>
            <w:r w:rsidRPr="003D2D23">
              <w:rPr>
                <w:rFonts w:cs="Calibri"/>
                <w:color w:val="000000"/>
                <w:szCs w:val="22"/>
              </w:rPr>
              <w:t>Receives one (1)</w:t>
            </w:r>
            <w:r>
              <w:rPr>
                <w:rFonts w:cs="Calibri"/>
                <w:color w:val="000000"/>
                <w:szCs w:val="22"/>
              </w:rPr>
              <w:t xml:space="preserve"> </w:t>
            </w:r>
            <w:r w:rsidRPr="003D2D23">
              <w:rPr>
                <w:rFonts w:cs="Calibri"/>
                <w:color w:val="000000"/>
                <w:szCs w:val="22"/>
              </w:rPr>
              <w:t>file</w:t>
            </w:r>
          </w:p>
        </w:tc>
      </w:tr>
      <w:tr w:rsidR="00F12319" w14:paraId="10C4139E" w14:textId="77777777" w:rsidTr="00EB23D7">
        <w:tc>
          <w:tcPr>
            <w:tcW w:w="877" w:type="dxa"/>
            <w:vAlign w:val="center"/>
          </w:tcPr>
          <w:p w14:paraId="658DAFC9" w14:textId="005E807E" w:rsidR="00F12319" w:rsidRPr="00194F03" w:rsidRDefault="00F12319" w:rsidP="00F12319">
            <w:pPr>
              <w:ind w:left="0"/>
              <w:jc w:val="center"/>
              <w:rPr>
                <w:rFonts w:cs="Calibri"/>
                <w:color w:val="000000"/>
                <w:szCs w:val="22"/>
              </w:rPr>
            </w:pPr>
            <w:r>
              <w:rPr>
                <w:szCs w:val="22"/>
              </w:rPr>
              <w:t>62</w:t>
            </w:r>
          </w:p>
        </w:tc>
        <w:tc>
          <w:tcPr>
            <w:tcW w:w="1530" w:type="dxa"/>
            <w:vAlign w:val="center"/>
          </w:tcPr>
          <w:p w14:paraId="079D97ED" w14:textId="77777777" w:rsidR="00F12319" w:rsidRPr="003D2D23" w:rsidRDefault="00F12319" w:rsidP="00F12319">
            <w:pPr>
              <w:ind w:left="0"/>
              <w:rPr>
                <w:rFonts w:cs="Calibri"/>
                <w:color w:val="000000"/>
                <w:szCs w:val="22"/>
              </w:rPr>
            </w:pPr>
            <w:r w:rsidRPr="003D2D23">
              <w:rPr>
                <w:rFonts w:cs="Calibri"/>
                <w:color w:val="000000"/>
                <w:szCs w:val="22"/>
              </w:rPr>
              <w:t>Receive</w:t>
            </w:r>
          </w:p>
        </w:tc>
        <w:tc>
          <w:tcPr>
            <w:tcW w:w="1710" w:type="dxa"/>
            <w:vAlign w:val="center"/>
          </w:tcPr>
          <w:p w14:paraId="43DA13C6" w14:textId="77777777" w:rsidR="00F12319" w:rsidRPr="003D2D23" w:rsidRDefault="00F12319" w:rsidP="00F12319">
            <w:pPr>
              <w:ind w:left="0"/>
              <w:rPr>
                <w:rFonts w:cs="Calibri"/>
                <w:color w:val="000000"/>
                <w:szCs w:val="22"/>
              </w:rPr>
            </w:pPr>
            <w:r w:rsidRPr="003D2D23">
              <w:rPr>
                <w:rFonts w:cs="Calibri"/>
                <w:color w:val="000000"/>
                <w:szCs w:val="22"/>
              </w:rPr>
              <w:t>Offline / Quarterly</w:t>
            </w:r>
          </w:p>
        </w:tc>
        <w:tc>
          <w:tcPr>
            <w:tcW w:w="2430" w:type="dxa"/>
            <w:vAlign w:val="center"/>
          </w:tcPr>
          <w:p w14:paraId="20356102" w14:textId="77777777" w:rsidR="00F12319" w:rsidRPr="003D2D23" w:rsidRDefault="00F12319" w:rsidP="00F12319">
            <w:pPr>
              <w:ind w:left="0"/>
              <w:rPr>
                <w:rFonts w:cs="Calibri"/>
                <w:color w:val="000000"/>
                <w:szCs w:val="22"/>
              </w:rPr>
            </w:pPr>
            <w:r w:rsidRPr="003D2D23">
              <w:rPr>
                <w:rFonts w:cs="Calibri"/>
                <w:color w:val="000000"/>
                <w:szCs w:val="22"/>
              </w:rPr>
              <w:t>Primepay3 (1 - 6)</w:t>
            </w:r>
          </w:p>
        </w:tc>
        <w:tc>
          <w:tcPr>
            <w:tcW w:w="2160" w:type="dxa"/>
            <w:vAlign w:val="center"/>
          </w:tcPr>
          <w:p w14:paraId="3AD7478B" w14:textId="77777777" w:rsidR="00F12319" w:rsidRPr="003D2D23" w:rsidRDefault="00F12319" w:rsidP="00F12319">
            <w:pPr>
              <w:ind w:left="0"/>
              <w:rPr>
                <w:rFonts w:cs="Calibri"/>
                <w:color w:val="000000"/>
                <w:szCs w:val="22"/>
              </w:rPr>
            </w:pPr>
            <w:r w:rsidRPr="003D2D23">
              <w:rPr>
                <w:rFonts w:cs="Calibri"/>
                <w:color w:val="000000"/>
                <w:szCs w:val="22"/>
              </w:rPr>
              <w:t>C3 &amp; C4 Filing</w:t>
            </w:r>
          </w:p>
        </w:tc>
        <w:tc>
          <w:tcPr>
            <w:tcW w:w="5760" w:type="dxa"/>
            <w:vAlign w:val="center"/>
          </w:tcPr>
          <w:p w14:paraId="6FE073B7" w14:textId="77777777" w:rsidR="00F12319" w:rsidRPr="003D2D23" w:rsidRDefault="00F12319" w:rsidP="00F12319">
            <w:pPr>
              <w:ind w:left="0"/>
              <w:rPr>
                <w:rFonts w:cs="Calibri"/>
                <w:color w:val="000000"/>
                <w:szCs w:val="22"/>
              </w:rPr>
            </w:pPr>
            <w:r w:rsidRPr="003D2D23">
              <w:rPr>
                <w:rFonts w:cs="Calibri"/>
                <w:color w:val="000000"/>
                <w:szCs w:val="22"/>
              </w:rPr>
              <w:t>Receives one (1)</w:t>
            </w:r>
            <w:r>
              <w:rPr>
                <w:rFonts w:cs="Calibri"/>
                <w:color w:val="000000"/>
                <w:szCs w:val="22"/>
              </w:rPr>
              <w:t xml:space="preserve"> </w:t>
            </w:r>
            <w:r w:rsidRPr="003D2D23">
              <w:rPr>
                <w:rFonts w:cs="Calibri"/>
                <w:color w:val="000000"/>
                <w:szCs w:val="22"/>
              </w:rPr>
              <w:t>file</w:t>
            </w:r>
          </w:p>
        </w:tc>
      </w:tr>
      <w:tr w:rsidR="00F12319" w14:paraId="24A76108" w14:textId="77777777" w:rsidTr="00EB23D7">
        <w:tc>
          <w:tcPr>
            <w:tcW w:w="877" w:type="dxa"/>
            <w:vAlign w:val="center"/>
          </w:tcPr>
          <w:p w14:paraId="4D3149AC" w14:textId="34998756" w:rsidR="00F12319" w:rsidRPr="00194F03" w:rsidRDefault="00F12319" w:rsidP="00F12319">
            <w:pPr>
              <w:ind w:left="0"/>
              <w:jc w:val="center"/>
              <w:rPr>
                <w:rFonts w:cs="Calibri"/>
                <w:color w:val="000000"/>
                <w:szCs w:val="22"/>
              </w:rPr>
            </w:pPr>
            <w:r>
              <w:rPr>
                <w:color w:val="000000"/>
                <w:szCs w:val="22"/>
              </w:rPr>
              <w:t>63</w:t>
            </w:r>
          </w:p>
        </w:tc>
        <w:tc>
          <w:tcPr>
            <w:tcW w:w="1530" w:type="dxa"/>
            <w:vAlign w:val="center"/>
          </w:tcPr>
          <w:p w14:paraId="76E42AF1" w14:textId="77777777" w:rsidR="00F12319" w:rsidRPr="003D2D23" w:rsidRDefault="00F12319" w:rsidP="00F12319">
            <w:pPr>
              <w:ind w:left="0"/>
              <w:rPr>
                <w:rFonts w:cs="Calibri"/>
                <w:color w:val="000000"/>
                <w:szCs w:val="22"/>
              </w:rPr>
            </w:pPr>
            <w:r w:rsidRPr="003D2D23">
              <w:rPr>
                <w:rFonts w:cs="Calibri"/>
                <w:color w:val="000000"/>
                <w:szCs w:val="22"/>
              </w:rPr>
              <w:t>Receive</w:t>
            </w:r>
          </w:p>
        </w:tc>
        <w:tc>
          <w:tcPr>
            <w:tcW w:w="1710" w:type="dxa"/>
            <w:vAlign w:val="center"/>
          </w:tcPr>
          <w:p w14:paraId="2A504920" w14:textId="77777777" w:rsidR="00F12319" w:rsidRPr="003D2D23" w:rsidRDefault="00F12319" w:rsidP="00F12319">
            <w:pPr>
              <w:ind w:left="0"/>
              <w:rPr>
                <w:rFonts w:cs="Calibri"/>
                <w:color w:val="000000"/>
                <w:szCs w:val="22"/>
              </w:rPr>
            </w:pPr>
            <w:r w:rsidRPr="003D2D23">
              <w:rPr>
                <w:rFonts w:cs="Calibri"/>
                <w:color w:val="000000"/>
                <w:szCs w:val="22"/>
              </w:rPr>
              <w:t>Offline / Daily (M-F)</w:t>
            </w:r>
          </w:p>
        </w:tc>
        <w:tc>
          <w:tcPr>
            <w:tcW w:w="2430" w:type="dxa"/>
            <w:vAlign w:val="center"/>
          </w:tcPr>
          <w:p w14:paraId="651227EA" w14:textId="77777777" w:rsidR="00F12319" w:rsidRPr="003D2D23" w:rsidRDefault="00F12319" w:rsidP="00F12319">
            <w:pPr>
              <w:ind w:left="0"/>
              <w:rPr>
                <w:rFonts w:cs="Calibri"/>
                <w:color w:val="000000"/>
                <w:szCs w:val="22"/>
              </w:rPr>
            </w:pPr>
            <w:r w:rsidRPr="003D2D23">
              <w:rPr>
                <w:rFonts w:cs="Calibri"/>
                <w:color w:val="000000"/>
                <w:szCs w:val="22"/>
              </w:rPr>
              <w:t>RetroTax</w:t>
            </w:r>
          </w:p>
        </w:tc>
        <w:tc>
          <w:tcPr>
            <w:tcW w:w="2160" w:type="dxa"/>
            <w:vAlign w:val="center"/>
          </w:tcPr>
          <w:p w14:paraId="04922D4E" w14:textId="77777777" w:rsidR="00F12319" w:rsidRPr="003D2D23" w:rsidRDefault="00F12319" w:rsidP="00F12319">
            <w:pPr>
              <w:ind w:left="0"/>
              <w:rPr>
                <w:rFonts w:cs="Calibri"/>
                <w:color w:val="000000"/>
                <w:szCs w:val="22"/>
              </w:rPr>
            </w:pPr>
            <w:r w:rsidRPr="003D2D23">
              <w:rPr>
                <w:rFonts w:cs="Calibri"/>
                <w:color w:val="000000"/>
                <w:szCs w:val="22"/>
              </w:rPr>
              <w:t>Form 8850 FTP</w:t>
            </w:r>
          </w:p>
        </w:tc>
        <w:tc>
          <w:tcPr>
            <w:tcW w:w="5760" w:type="dxa"/>
            <w:vAlign w:val="center"/>
          </w:tcPr>
          <w:p w14:paraId="76E0AF06" w14:textId="77777777" w:rsidR="00F12319" w:rsidRPr="003D2D23" w:rsidRDefault="00F12319" w:rsidP="00F12319">
            <w:pPr>
              <w:ind w:left="0"/>
              <w:rPr>
                <w:rFonts w:cs="Calibri"/>
                <w:color w:val="000000"/>
                <w:szCs w:val="22"/>
              </w:rPr>
            </w:pPr>
            <w:r w:rsidRPr="003D2D23">
              <w:rPr>
                <w:rFonts w:ascii="Arial" w:hAnsi="Arial" w:cs="Arial"/>
                <w:color w:val="000000"/>
                <w:szCs w:val="22"/>
              </w:rPr>
              <w:t>​</w:t>
            </w:r>
            <w:r w:rsidRPr="003D2D23">
              <w:rPr>
                <w:rFonts w:cs="Calibri"/>
                <w:color w:val="000000"/>
                <w:szCs w:val="22"/>
              </w:rPr>
              <w:t>Secure transfer of data</w:t>
            </w:r>
          </w:p>
        </w:tc>
      </w:tr>
      <w:tr w:rsidR="00F12319" w:rsidRPr="00830684" w14:paraId="030A689D" w14:textId="77777777" w:rsidTr="00EB23D7">
        <w:tc>
          <w:tcPr>
            <w:tcW w:w="877" w:type="dxa"/>
            <w:vAlign w:val="center"/>
          </w:tcPr>
          <w:p w14:paraId="44424074" w14:textId="24E9D114" w:rsidR="00F12319" w:rsidRPr="00194F03" w:rsidRDefault="00F12319" w:rsidP="00F12319">
            <w:pPr>
              <w:ind w:left="0"/>
              <w:jc w:val="center"/>
              <w:rPr>
                <w:rFonts w:cs="Calibri"/>
                <w:color w:val="000000"/>
              </w:rPr>
            </w:pPr>
            <w:r>
              <w:rPr>
                <w:szCs w:val="22"/>
              </w:rPr>
              <w:t>64</w:t>
            </w:r>
          </w:p>
        </w:tc>
        <w:tc>
          <w:tcPr>
            <w:tcW w:w="1530" w:type="dxa"/>
            <w:vAlign w:val="center"/>
          </w:tcPr>
          <w:p w14:paraId="3CAF8618" w14:textId="77777777" w:rsidR="00F12319" w:rsidRPr="003D2D23" w:rsidRDefault="00F12319" w:rsidP="00F12319">
            <w:pPr>
              <w:ind w:left="0"/>
              <w:rPr>
                <w:rFonts w:cs="Calibri"/>
                <w:color w:val="000000"/>
              </w:rPr>
            </w:pPr>
            <w:r>
              <w:rPr>
                <w:rFonts w:cs="Calibri"/>
                <w:color w:val="000000"/>
              </w:rPr>
              <w:t>Both</w:t>
            </w:r>
          </w:p>
        </w:tc>
        <w:tc>
          <w:tcPr>
            <w:tcW w:w="1710" w:type="dxa"/>
            <w:vAlign w:val="center"/>
          </w:tcPr>
          <w:p w14:paraId="34B82C66" w14:textId="77777777" w:rsidR="00F12319" w:rsidRPr="003D2D23" w:rsidRDefault="00F12319" w:rsidP="00F12319">
            <w:pPr>
              <w:ind w:left="0"/>
              <w:rPr>
                <w:rFonts w:cs="Calibri"/>
                <w:color w:val="000000"/>
              </w:rPr>
            </w:pPr>
            <w:r>
              <w:rPr>
                <w:rFonts w:cs="Calibri"/>
                <w:color w:val="000000"/>
              </w:rPr>
              <w:t>Offline / Quarterly</w:t>
            </w:r>
          </w:p>
        </w:tc>
        <w:tc>
          <w:tcPr>
            <w:tcW w:w="2430" w:type="dxa"/>
            <w:vAlign w:val="center"/>
          </w:tcPr>
          <w:p w14:paraId="188C0B31" w14:textId="77777777" w:rsidR="00F12319" w:rsidRPr="003D2D23" w:rsidRDefault="00F12319" w:rsidP="00F12319">
            <w:pPr>
              <w:ind w:left="0"/>
              <w:rPr>
                <w:rFonts w:cs="Calibri"/>
                <w:color w:val="000000"/>
              </w:rPr>
            </w:pPr>
            <w:r>
              <w:rPr>
                <w:rFonts w:cs="Calibri"/>
                <w:color w:val="000000"/>
              </w:rPr>
              <w:t>SDDS</w:t>
            </w:r>
          </w:p>
        </w:tc>
        <w:tc>
          <w:tcPr>
            <w:tcW w:w="2160" w:type="dxa"/>
            <w:vAlign w:val="center"/>
          </w:tcPr>
          <w:p w14:paraId="4F960AE0" w14:textId="77777777" w:rsidR="00F12319" w:rsidRPr="003D2D23" w:rsidRDefault="00F12319" w:rsidP="00F12319">
            <w:pPr>
              <w:ind w:left="0"/>
              <w:rPr>
                <w:rFonts w:cs="Calibri"/>
                <w:color w:val="000000"/>
              </w:rPr>
            </w:pPr>
            <w:r>
              <w:rPr>
                <w:rFonts w:cs="Calibri"/>
                <w:color w:val="000000"/>
              </w:rPr>
              <w:t>US Department of Labor</w:t>
            </w:r>
          </w:p>
        </w:tc>
        <w:tc>
          <w:tcPr>
            <w:tcW w:w="5760" w:type="dxa"/>
            <w:vAlign w:val="center"/>
          </w:tcPr>
          <w:p w14:paraId="4A2C166E" w14:textId="77777777" w:rsidR="00F12319" w:rsidRDefault="00F12319" w:rsidP="00F12319">
            <w:pPr>
              <w:autoSpaceDE w:val="0"/>
              <w:autoSpaceDN w:val="0"/>
              <w:spacing w:after="0"/>
              <w:ind w:left="0"/>
              <w:rPr>
                <w:rFonts w:cs="Segoe UI"/>
                <w:szCs w:val="24"/>
              </w:rPr>
            </w:pPr>
            <w:r>
              <w:rPr>
                <w:rFonts w:cs="Segoe UI"/>
                <w:szCs w:val="24"/>
              </w:rPr>
              <w:t>ETA – Office of Workforce Security</w:t>
            </w:r>
          </w:p>
          <w:p w14:paraId="186558BF" w14:textId="77777777" w:rsidR="00F12319" w:rsidRPr="00830684" w:rsidRDefault="006D43BC" w:rsidP="00F12319">
            <w:pPr>
              <w:ind w:left="0"/>
              <w:rPr>
                <w:rFonts w:cs="Calibri"/>
                <w:color w:val="000000"/>
              </w:rPr>
            </w:pPr>
            <w:hyperlink r:id="rId82" w:history="1">
              <w:r w:rsidR="00F12319" w:rsidRPr="00B246FF">
                <w:rPr>
                  <w:rStyle w:val="Hyperlink"/>
                  <w:rFonts w:cs="Segoe UI"/>
                  <w:szCs w:val="24"/>
                </w:rPr>
                <w:t>http://twc4avsuta/SUTAv3/login.aspx</w:t>
              </w:r>
            </w:hyperlink>
          </w:p>
        </w:tc>
      </w:tr>
      <w:tr w:rsidR="00F12319" w14:paraId="13CC738C" w14:textId="77777777" w:rsidTr="00EB23D7">
        <w:tc>
          <w:tcPr>
            <w:tcW w:w="877" w:type="dxa"/>
            <w:vAlign w:val="center"/>
          </w:tcPr>
          <w:p w14:paraId="415BFE9D" w14:textId="4F280DD1" w:rsidR="00F12319" w:rsidRPr="00194F03" w:rsidRDefault="00F12319" w:rsidP="00F12319">
            <w:pPr>
              <w:ind w:left="0"/>
              <w:jc w:val="center"/>
              <w:rPr>
                <w:rFonts w:cs="Calibri"/>
                <w:color w:val="000000"/>
                <w:szCs w:val="22"/>
              </w:rPr>
            </w:pPr>
            <w:r>
              <w:rPr>
                <w:color w:val="000000"/>
                <w:szCs w:val="22"/>
              </w:rPr>
              <w:t>65</w:t>
            </w:r>
          </w:p>
        </w:tc>
        <w:tc>
          <w:tcPr>
            <w:tcW w:w="1530" w:type="dxa"/>
            <w:vAlign w:val="center"/>
          </w:tcPr>
          <w:p w14:paraId="0143B3FE" w14:textId="77777777" w:rsidR="00F12319" w:rsidRPr="003D2D23" w:rsidRDefault="00F12319" w:rsidP="00F12319">
            <w:pPr>
              <w:ind w:left="0"/>
              <w:rPr>
                <w:rFonts w:cs="Calibri"/>
                <w:color w:val="000000"/>
                <w:szCs w:val="22"/>
              </w:rPr>
            </w:pPr>
            <w:r w:rsidRPr="003D2D23">
              <w:rPr>
                <w:rFonts w:cs="Calibri"/>
                <w:color w:val="000000"/>
                <w:szCs w:val="22"/>
              </w:rPr>
              <w:t>Receive</w:t>
            </w:r>
          </w:p>
        </w:tc>
        <w:tc>
          <w:tcPr>
            <w:tcW w:w="1710" w:type="dxa"/>
            <w:vAlign w:val="center"/>
          </w:tcPr>
          <w:p w14:paraId="1D5CD16C" w14:textId="77777777" w:rsidR="00F12319" w:rsidRPr="003D2D23" w:rsidRDefault="00F12319" w:rsidP="00F12319">
            <w:pPr>
              <w:ind w:left="0"/>
              <w:rPr>
                <w:rFonts w:cs="Calibri"/>
                <w:color w:val="000000"/>
                <w:szCs w:val="22"/>
              </w:rPr>
            </w:pPr>
            <w:r w:rsidRPr="003D2D23">
              <w:rPr>
                <w:rFonts w:cs="Calibri"/>
                <w:color w:val="000000"/>
                <w:szCs w:val="22"/>
              </w:rPr>
              <w:t>Offline / Quarterly</w:t>
            </w:r>
          </w:p>
        </w:tc>
        <w:tc>
          <w:tcPr>
            <w:tcW w:w="2430" w:type="dxa"/>
            <w:vAlign w:val="center"/>
          </w:tcPr>
          <w:p w14:paraId="0CDACDEB" w14:textId="77777777" w:rsidR="00F12319" w:rsidRPr="003D2D23" w:rsidRDefault="00F12319" w:rsidP="00F12319">
            <w:pPr>
              <w:ind w:left="0"/>
              <w:rPr>
                <w:rFonts w:cs="Calibri"/>
                <w:color w:val="000000"/>
                <w:szCs w:val="22"/>
              </w:rPr>
            </w:pPr>
            <w:r w:rsidRPr="003D2D23">
              <w:rPr>
                <w:rFonts w:cs="Calibri"/>
                <w:color w:val="000000"/>
                <w:szCs w:val="22"/>
              </w:rPr>
              <w:t>Slaton Financial</w:t>
            </w:r>
          </w:p>
        </w:tc>
        <w:tc>
          <w:tcPr>
            <w:tcW w:w="2160" w:type="dxa"/>
            <w:vAlign w:val="center"/>
          </w:tcPr>
          <w:p w14:paraId="411A5965" w14:textId="77777777" w:rsidR="00F12319" w:rsidRPr="003D2D23" w:rsidRDefault="00F12319" w:rsidP="00F12319">
            <w:pPr>
              <w:ind w:left="0"/>
              <w:rPr>
                <w:rFonts w:cs="Calibri"/>
                <w:color w:val="000000"/>
                <w:szCs w:val="22"/>
              </w:rPr>
            </w:pPr>
            <w:r w:rsidRPr="003D2D23">
              <w:rPr>
                <w:rFonts w:cs="Calibri"/>
                <w:color w:val="000000"/>
                <w:szCs w:val="22"/>
              </w:rPr>
              <w:t>C3 &amp; C4 Filing</w:t>
            </w:r>
          </w:p>
        </w:tc>
        <w:tc>
          <w:tcPr>
            <w:tcW w:w="5760" w:type="dxa"/>
            <w:vAlign w:val="center"/>
          </w:tcPr>
          <w:p w14:paraId="2AE44F8C" w14:textId="77777777" w:rsidR="00F12319" w:rsidRPr="003D2D23" w:rsidRDefault="00F12319" w:rsidP="00F12319">
            <w:pPr>
              <w:ind w:left="0"/>
              <w:rPr>
                <w:rFonts w:cs="Calibri"/>
                <w:color w:val="000000"/>
                <w:szCs w:val="22"/>
              </w:rPr>
            </w:pPr>
            <w:r w:rsidRPr="003D2D23">
              <w:rPr>
                <w:rFonts w:cs="Calibri"/>
                <w:color w:val="000000"/>
                <w:szCs w:val="22"/>
              </w:rPr>
              <w:t>Receives one (1)</w:t>
            </w:r>
            <w:r>
              <w:rPr>
                <w:rFonts w:cs="Calibri"/>
                <w:color w:val="000000"/>
                <w:szCs w:val="22"/>
              </w:rPr>
              <w:t xml:space="preserve"> </w:t>
            </w:r>
            <w:r w:rsidRPr="003D2D23">
              <w:rPr>
                <w:rFonts w:cs="Calibri"/>
                <w:color w:val="000000"/>
                <w:szCs w:val="22"/>
              </w:rPr>
              <w:t>file</w:t>
            </w:r>
          </w:p>
        </w:tc>
      </w:tr>
      <w:tr w:rsidR="00F12319" w14:paraId="3C9ED7C7" w14:textId="77777777" w:rsidTr="00EB23D7">
        <w:tc>
          <w:tcPr>
            <w:tcW w:w="877" w:type="dxa"/>
            <w:vAlign w:val="center"/>
          </w:tcPr>
          <w:p w14:paraId="2579727D" w14:textId="73276A6F" w:rsidR="00F12319" w:rsidRPr="00194F03" w:rsidRDefault="00F12319" w:rsidP="00F12319">
            <w:pPr>
              <w:ind w:left="0"/>
              <w:jc w:val="center"/>
              <w:rPr>
                <w:rFonts w:cs="Calibri"/>
                <w:color w:val="000000"/>
                <w:szCs w:val="22"/>
              </w:rPr>
            </w:pPr>
            <w:r>
              <w:rPr>
                <w:szCs w:val="22"/>
              </w:rPr>
              <w:t>66</w:t>
            </w:r>
          </w:p>
        </w:tc>
        <w:tc>
          <w:tcPr>
            <w:tcW w:w="1530" w:type="dxa"/>
            <w:vAlign w:val="center"/>
          </w:tcPr>
          <w:p w14:paraId="3F29FAD4" w14:textId="77777777" w:rsidR="00F12319" w:rsidRPr="003D2D23" w:rsidRDefault="00F12319" w:rsidP="00F12319">
            <w:pPr>
              <w:ind w:left="0"/>
              <w:rPr>
                <w:rFonts w:cs="Calibri"/>
                <w:color w:val="000000"/>
                <w:szCs w:val="22"/>
              </w:rPr>
            </w:pPr>
            <w:r w:rsidRPr="003D2D23">
              <w:rPr>
                <w:rFonts w:cs="Calibri"/>
                <w:color w:val="000000"/>
                <w:szCs w:val="22"/>
              </w:rPr>
              <w:t>Receive</w:t>
            </w:r>
          </w:p>
        </w:tc>
        <w:tc>
          <w:tcPr>
            <w:tcW w:w="1710" w:type="dxa"/>
            <w:vAlign w:val="center"/>
          </w:tcPr>
          <w:p w14:paraId="4888738D" w14:textId="77777777" w:rsidR="00F12319" w:rsidRPr="003D2D23" w:rsidRDefault="00F12319" w:rsidP="00F12319">
            <w:pPr>
              <w:ind w:left="0"/>
              <w:rPr>
                <w:rFonts w:cs="Calibri"/>
                <w:color w:val="000000"/>
                <w:szCs w:val="22"/>
              </w:rPr>
            </w:pPr>
            <w:r w:rsidRPr="003D2D23">
              <w:rPr>
                <w:rFonts w:cs="Calibri"/>
                <w:color w:val="000000"/>
                <w:szCs w:val="22"/>
              </w:rPr>
              <w:t>Offline / Daily (M-F)</w:t>
            </w:r>
          </w:p>
        </w:tc>
        <w:tc>
          <w:tcPr>
            <w:tcW w:w="2430" w:type="dxa"/>
            <w:vAlign w:val="center"/>
          </w:tcPr>
          <w:p w14:paraId="35C5CE93" w14:textId="77777777" w:rsidR="00F12319" w:rsidRPr="003D2D23" w:rsidRDefault="00F12319" w:rsidP="00F12319">
            <w:pPr>
              <w:ind w:left="0"/>
              <w:rPr>
                <w:rFonts w:cs="Calibri"/>
                <w:color w:val="000000"/>
                <w:szCs w:val="22"/>
              </w:rPr>
            </w:pPr>
            <w:r w:rsidRPr="003D2D23">
              <w:rPr>
                <w:rFonts w:cs="Calibri"/>
                <w:color w:val="000000"/>
                <w:szCs w:val="22"/>
              </w:rPr>
              <w:t>TALX Corporation</w:t>
            </w:r>
          </w:p>
        </w:tc>
        <w:tc>
          <w:tcPr>
            <w:tcW w:w="2160" w:type="dxa"/>
            <w:vAlign w:val="center"/>
          </w:tcPr>
          <w:p w14:paraId="0092BBE4" w14:textId="77777777" w:rsidR="00F12319" w:rsidRPr="003D2D23" w:rsidRDefault="00F12319" w:rsidP="00F12319">
            <w:pPr>
              <w:ind w:left="0"/>
              <w:rPr>
                <w:rFonts w:cs="Calibri"/>
                <w:color w:val="000000"/>
                <w:szCs w:val="22"/>
              </w:rPr>
            </w:pPr>
            <w:r w:rsidRPr="003D2D23">
              <w:rPr>
                <w:rFonts w:cs="Calibri"/>
                <w:color w:val="000000"/>
                <w:szCs w:val="22"/>
              </w:rPr>
              <w:t>Form 8850 FTP</w:t>
            </w:r>
          </w:p>
        </w:tc>
        <w:tc>
          <w:tcPr>
            <w:tcW w:w="5760" w:type="dxa"/>
            <w:vAlign w:val="center"/>
          </w:tcPr>
          <w:p w14:paraId="183ECF2E" w14:textId="77777777" w:rsidR="00F12319" w:rsidRPr="003D2D23" w:rsidRDefault="00F12319" w:rsidP="00F12319">
            <w:pPr>
              <w:ind w:left="0"/>
              <w:rPr>
                <w:rFonts w:cs="Calibri"/>
                <w:color w:val="000000"/>
                <w:szCs w:val="22"/>
              </w:rPr>
            </w:pPr>
            <w:r w:rsidRPr="003D2D23">
              <w:rPr>
                <w:rFonts w:ascii="Arial" w:hAnsi="Arial" w:cs="Arial"/>
                <w:color w:val="000000"/>
                <w:szCs w:val="22"/>
              </w:rPr>
              <w:t>​</w:t>
            </w:r>
            <w:r w:rsidRPr="003D2D23">
              <w:rPr>
                <w:rFonts w:cs="Calibri"/>
                <w:color w:val="000000"/>
                <w:szCs w:val="22"/>
              </w:rPr>
              <w:t>Secure transfer of data</w:t>
            </w:r>
          </w:p>
        </w:tc>
      </w:tr>
      <w:tr w:rsidR="00F12319" w14:paraId="06B239AF" w14:textId="77777777" w:rsidTr="00EB23D7">
        <w:tc>
          <w:tcPr>
            <w:tcW w:w="877" w:type="dxa"/>
            <w:vAlign w:val="center"/>
          </w:tcPr>
          <w:p w14:paraId="34C8B7E3" w14:textId="71E35ADB" w:rsidR="00F12319" w:rsidRPr="00194F03" w:rsidRDefault="00F12319" w:rsidP="00F12319">
            <w:pPr>
              <w:ind w:left="0"/>
              <w:jc w:val="center"/>
              <w:rPr>
                <w:rFonts w:cs="Calibri"/>
                <w:color w:val="000000"/>
                <w:szCs w:val="22"/>
              </w:rPr>
            </w:pPr>
            <w:r>
              <w:rPr>
                <w:color w:val="000000"/>
                <w:szCs w:val="22"/>
              </w:rPr>
              <w:t>67</w:t>
            </w:r>
          </w:p>
        </w:tc>
        <w:tc>
          <w:tcPr>
            <w:tcW w:w="1530" w:type="dxa"/>
            <w:vAlign w:val="center"/>
          </w:tcPr>
          <w:p w14:paraId="13433F4F" w14:textId="77777777" w:rsidR="00F12319" w:rsidRPr="003D2D23" w:rsidRDefault="00F12319" w:rsidP="00F12319">
            <w:pPr>
              <w:ind w:left="0"/>
              <w:rPr>
                <w:rFonts w:cs="Calibri"/>
                <w:color w:val="000000"/>
                <w:szCs w:val="22"/>
              </w:rPr>
            </w:pPr>
            <w:r w:rsidRPr="003D2D23">
              <w:rPr>
                <w:rFonts w:cs="Calibri"/>
                <w:color w:val="000000"/>
                <w:szCs w:val="22"/>
              </w:rPr>
              <w:t>Receive</w:t>
            </w:r>
          </w:p>
        </w:tc>
        <w:tc>
          <w:tcPr>
            <w:tcW w:w="1710" w:type="dxa"/>
            <w:vAlign w:val="center"/>
          </w:tcPr>
          <w:p w14:paraId="15E063E3" w14:textId="77777777" w:rsidR="00F12319" w:rsidRPr="003D2D23" w:rsidRDefault="00F12319" w:rsidP="00F12319">
            <w:pPr>
              <w:ind w:left="0"/>
              <w:rPr>
                <w:rFonts w:cs="Calibri"/>
                <w:color w:val="000000"/>
                <w:szCs w:val="22"/>
              </w:rPr>
            </w:pPr>
            <w:r w:rsidRPr="003D2D23">
              <w:rPr>
                <w:rFonts w:cs="Calibri"/>
                <w:color w:val="000000"/>
                <w:szCs w:val="22"/>
              </w:rPr>
              <w:t>Offline / Quarterly</w:t>
            </w:r>
          </w:p>
        </w:tc>
        <w:tc>
          <w:tcPr>
            <w:tcW w:w="2430" w:type="dxa"/>
            <w:vAlign w:val="center"/>
          </w:tcPr>
          <w:p w14:paraId="5C64B90E" w14:textId="77777777" w:rsidR="00F12319" w:rsidRPr="003D2D23" w:rsidRDefault="00F12319" w:rsidP="00F12319">
            <w:pPr>
              <w:ind w:left="0"/>
              <w:rPr>
                <w:rFonts w:cs="Calibri"/>
                <w:color w:val="000000"/>
                <w:szCs w:val="22"/>
              </w:rPr>
            </w:pPr>
            <w:r w:rsidRPr="003D2D23">
              <w:rPr>
                <w:rFonts w:cs="Calibri"/>
                <w:color w:val="000000"/>
                <w:szCs w:val="22"/>
              </w:rPr>
              <w:t>Target</w:t>
            </w:r>
          </w:p>
        </w:tc>
        <w:tc>
          <w:tcPr>
            <w:tcW w:w="2160" w:type="dxa"/>
            <w:vAlign w:val="center"/>
          </w:tcPr>
          <w:p w14:paraId="1F1C33C4" w14:textId="77777777" w:rsidR="00F12319" w:rsidRPr="003D2D23" w:rsidRDefault="00F12319" w:rsidP="00F12319">
            <w:pPr>
              <w:ind w:left="0"/>
              <w:rPr>
                <w:rFonts w:cs="Calibri"/>
                <w:color w:val="000000"/>
                <w:szCs w:val="22"/>
              </w:rPr>
            </w:pPr>
            <w:r w:rsidRPr="003D2D23">
              <w:rPr>
                <w:rFonts w:cs="Calibri"/>
                <w:color w:val="000000"/>
                <w:szCs w:val="22"/>
              </w:rPr>
              <w:t>C3 &amp; C4 Filing</w:t>
            </w:r>
          </w:p>
        </w:tc>
        <w:tc>
          <w:tcPr>
            <w:tcW w:w="5760" w:type="dxa"/>
            <w:vAlign w:val="center"/>
          </w:tcPr>
          <w:p w14:paraId="17FAAC57" w14:textId="77777777" w:rsidR="00F12319" w:rsidRPr="003D2D23" w:rsidRDefault="00F12319" w:rsidP="00F12319">
            <w:pPr>
              <w:ind w:left="0"/>
              <w:rPr>
                <w:rFonts w:cs="Calibri"/>
                <w:color w:val="000000"/>
                <w:szCs w:val="22"/>
              </w:rPr>
            </w:pPr>
            <w:r w:rsidRPr="003D2D23">
              <w:rPr>
                <w:rFonts w:cs="Calibri"/>
                <w:color w:val="000000"/>
                <w:szCs w:val="22"/>
              </w:rPr>
              <w:t>Receives one (1)</w:t>
            </w:r>
            <w:r>
              <w:rPr>
                <w:rFonts w:cs="Calibri"/>
                <w:color w:val="000000"/>
                <w:szCs w:val="22"/>
              </w:rPr>
              <w:t xml:space="preserve"> </w:t>
            </w:r>
            <w:r w:rsidRPr="003D2D23">
              <w:rPr>
                <w:rFonts w:cs="Calibri"/>
                <w:color w:val="000000"/>
                <w:szCs w:val="22"/>
              </w:rPr>
              <w:t>file</w:t>
            </w:r>
          </w:p>
        </w:tc>
      </w:tr>
      <w:tr w:rsidR="00F12319" w14:paraId="2CCA95E2" w14:textId="77777777" w:rsidTr="00EB23D7">
        <w:tc>
          <w:tcPr>
            <w:tcW w:w="877" w:type="dxa"/>
            <w:vAlign w:val="center"/>
          </w:tcPr>
          <w:p w14:paraId="7E5BAB43" w14:textId="3275456A" w:rsidR="00F12319" w:rsidRPr="00194F03" w:rsidRDefault="00F12319" w:rsidP="00F12319">
            <w:pPr>
              <w:ind w:left="0"/>
              <w:jc w:val="center"/>
              <w:rPr>
                <w:rFonts w:cs="Calibri"/>
                <w:color w:val="000000"/>
                <w:szCs w:val="22"/>
              </w:rPr>
            </w:pPr>
            <w:r>
              <w:rPr>
                <w:szCs w:val="22"/>
              </w:rPr>
              <w:lastRenderedPageBreak/>
              <w:t>68</w:t>
            </w:r>
          </w:p>
        </w:tc>
        <w:tc>
          <w:tcPr>
            <w:tcW w:w="1530" w:type="dxa"/>
            <w:vAlign w:val="center"/>
          </w:tcPr>
          <w:p w14:paraId="1DC62E7D" w14:textId="77777777" w:rsidR="00F12319" w:rsidRPr="003D2D23" w:rsidRDefault="00F12319" w:rsidP="00F12319">
            <w:pPr>
              <w:ind w:left="0"/>
              <w:rPr>
                <w:rFonts w:cs="Calibri"/>
                <w:color w:val="000000"/>
                <w:szCs w:val="22"/>
              </w:rPr>
            </w:pPr>
            <w:r w:rsidRPr="003D2D23">
              <w:rPr>
                <w:rFonts w:cs="Calibri"/>
                <w:color w:val="000000"/>
                <w:szCs w:val="22"/>
              </w:rPr>
              <w:t>Receive</w:t>
            </w:r>
          </w:p>
        </w:tc>
        <w:tc>
          <w:tcPr>
            <w:tcW w:w="1710" w:type="dxa"/>
            <w:vAlign w:val="center"/>
          </w:tcPr>
          <w:p w14:paraId="56F242B5" w14:textId="77777777" w:rsidR="00F12319" w:rsidRPr="003D2D23" w:rsidRDefault="00F12319" w:rsidP="00F12319">
            <w:pPr>
              <w:ind w:left="0"/>
              <w:rPr>
                <w:rFonts w:cs="Calibri"/>
                <w:color w:val="000000"/>
                <w:szCs w:val="22"/>
              </w:rPr>
            </w:pPr>
            <w:r w:rsidRPr="003D2D23">
              <w:rPr>
                <w:rFonts w:cs="Calibri"/>
                <w:color w:val="000000"/>
                <w:szCs w:val="22"/>
              </w:rPr>
              <w:t>Offline / Quarterly</w:t>
            </w:r>
          </w:p>
        </w:tc>
        <w:tc>
          <w:tcPr>
            <w:tcW w:w="2430" w:type="dxa"/>
            <w:vAlign w:val="center"/>
          </w:tcPr>
          <w:p w14:paraId="26F5F6AB" w14:textId="77777777" w:rsidR="00F12319" w:rsidRPr="003D2D23" w:rsidRDefault="00F12319" w:rsidP="00F12319">
            <w:pPr>
              <w:ind w:left="0"/>
              <w:rPr>
                <w:rFonts w:cs="Calibri"/>
                <w:color w:val="000000"/>
                <w:szCs w:val="22"/>
              </w:rPr>
            </w:pPr>
            <w:r w:rsidRPr="003D2D23">
              <w:rPr>
                <w:rFonts w:cs="Calibri"/>
                <w:color w:val="000000"/>
                <w:szCs w:val="22"/>
              </w:rPr>
              <w:t>Tarrant County</w:t>
            </w:r>
          </w:p>
        </w:tc>
        <w:tc>
          <w:tcPr>
            <w:tcW w:w="2160" w:type="dxa"/>
            <w:vAlign w:val="center"/>
          </w:tcPr>
          <w:p w14:paraId="4504BA97" w14:textId="77777777" w:rsidR="00F12319" w:rsidRPr="003D2D23" w:rsidRDefault="00F12319" w:rsidP="00F12319">
            <w:pPr>
              <w:ind w:left="0"/>
              <w:rPr>
                <w:rFonts w:cs="Calibri"/>
                <w:color w:val="000000"/>
                <w:szCs w:val="22"/>
              </w:rPr>
            </w:pPr>
            <w:r w:rsidRPr="003D2D23">
              <w:rPr>
                <w:rFonts w:cs="Calibri"/>
                <w:color w:val="000000"/>
                <w:szCs w:val="22"/>
              </w:rPr>
              <w:t>C3 &amp; C4 Filing</w:t>
            </w:r>
          </w:p>
        </w:tc>
        <w:tc>
          <w:tcPr>
            <w:tcW w:w="5760" w:type="dxa"/>
            <w:vAlign w:val="center"/>
          </w:tcPr>
          <w:p w14:paraId="6176FCBC" w14:textId="77777777" w:rsidR="00F12319" w:rsidRPr="003D2D23" w:rsidRDefault="00F12319" w:rsidP="00F12319">
            <w:pPr>
              <w:ind w:left="0"/>
              <w:rPr>
                <w:rFonts w:cs="Calibri"/>
                <w:color w:val="000000"/>
                <w:szCs w:val="22"/>
              </w:rPr>
            </w:pPr>
            <w:r w:rsidRPr="003D2D23">
              <w:rPr>
                <w:rFonts w:cs="Calibri"/>
                <w:color w:val="000000"/>
                <w:szCs w:val="22"/>
              </w:rPr>
              <w:t>Receives one (1)</w:t>
            </w:r>
            <w:r>
              <w:rPr>
                <w:rFonts w:cs="Calibri"/>
                <w:color w:val="000000"/>
                <w:szCs w:val="22"/>
              </w:rPr>
              <w:t xml:space="preserve"> </w:t>
            </w:r>
            <w:r w:rsidRPr="003D2D23">
              <w:rPr>
                <w:rFonts w:cs="Calibri"/>
                <w:color w:val="000000"/>
                <w:szCs w:val="22"/>
              </w:rPr>
              <w:t>file</w:t>
            </w:r>
          </w:p>
        </w:tc>
      </w:tr>
      <w:tr w:rsidR="00F12319" w14:paraId="65D794CD" w14:textId="77777777" w:rsidTr="00EB23D7">
        <w:tc>
          <w:tcPr>
            <w:tcW w:w="877" w:type="dxa"/>
            <w:vAlign w:val="center"/>
          </w:tcPr>
          <w:p w14:paraId="72E4D3EB" w14:textId="6265E44F" w:rsidR="00F12319" w:rsidRPr="00194F03" w:rsidRDefault="00F12319" w:rsidP="00F12319">
            <w:pPr>
              <w:ind w:left="0"/>
              <w:jc w:val="center"/>
              <w:rPr>
                <w:rFonts w:cs="Calibri"/>
                <w:color w:val="000000"/>
                <w:szCs w:val="22"/>
              </w:rPr>
            </w:pPr>
            <w:r>
              <w:rPr>
                <w:color w:val="000000"/>
                <w:szCs w:val="22"/>
              </w:rPr>
              <w:t>69</w:t>
            </w:r>
          </w:p>
        </w:tc>
        <w:tc>
          <w:tcPr>
            <w:tcW w:w="1530" w:type="dxa"/>
            <w:vAlign w:val="center"/>
          </w:tcPr>
          <w:p w14:paraId="4FA2CFE3" w14:textId="77777777" w:rsidR="00F12319" w:rsidRPr="003D2D23" w:rsidRDefault="00F12319" w:rsidP="00F12319">
            <w:pPr>
              <w:ind w:left="0"/>
              <w:rPr>
                <w:rFonts w:cs="Calibri"/>
                <w:color w:val="000000"/>
                <w:szCs w:val="22"/>
              </w:rPr>
            </w:pPr>
            <w:r w:rsidRPr="003D2D23">
              <w:rPr>
                <w:rFonts w:cs="Calibri"/>
                <w:color w:val="000000"/>
                <w:szCs w:val="22"/>
              </w:rPr>
              <w:t>Both</w:t>
            </w:r>
          </w:p>
        </w:tc>
        <w:tc>
          <w:tcPr>
            <w:tcW w:w="1710" w:type="dxa"/>
            <w:vAlign w:val="center"/>
          </w:tcPr>
          <w:p w14:paraId="340E187F" w14:textId="77777777" w:rsidR="00F12319" w:rsidRPr="003D2D23" w:rsidRDefault="00F12319" w:rsidP="00F12319">
            <w:pPr>
              <w:ind w:left="0"/>
              <w:rPr>
                <w:rFonts w:cs="Calibri"/>
                <w:color w:val="000000"/>
                <w:szCs w:val="22"/>
              </w:rPr>
            </w:pPr>
            <w:r w:rsidRPr="003D2D23">
              <w:rPr>
                <w:rFonts w:cs="Calibri"/>
                <w:color w:val="000000"/>
                <w:szCs w:val="22"/>
              </w:rPr>
              <w:t>Offline / On Request</w:t>
            </w:r>
          </w:p>
        </w:tc>
        <w:tc>
          <w:tcPr>
            <w:tcW w:w="2430" w:type="dxa"/>
            <w:vAlign w:val="center"/>
          </w:tcPr>
          <w:p w14:paraId="1BCEA298" w14:textId="77777777" w:rsidR="00F12319" w:rsidRPr="003D2D23" w:rsidRDefault="00F12319" w:rsidP="00F12319">
            <w:pPr>
              <w:ind w:left="0"/>
              <w:rPr>
                <w:rFonts w:cs="Calibri"/>
                <w:color w:val="000000"/>
                <w:szCs w:val="22"/>
              </w:rPr>
            </w:pPr>
            <w:r w:rsidRPr="003D2D23">
              <w:rPr>
                <w:rFonts w:cs="Calibri"/>
                <w:color w:val="000000"/>
                <w:szCs w:val="22"/>
              </w:rPr>
              <w:t>TASB</w:t>
            </w:r>
          </w:p>
        </w:tc>
        <w:tc>
          <w:tcPr>
            <w:tcW w:w="2160" w:type="dxa"/>
            <w:vAlign w:val="center"/>
          </w:tcPr>
          <w:p w14:paraId="61406E9E" w14:textId="77777777" w:rsidR="00F12319" w:rsidRPr="003D2D23" w:rsidRDefault="00F12319" w:rsidP="00F12319">
            <w:pPr>
              <w:ind w:left="0"/>
              <w:rPr>
                <w:rFonts w:cs="Calibri"/>
                <w:color w:val="000000"/>
                <w:szCs w:val="22"/>
              </w:rPr>
            </w:pPr>
            <w:r w:rsidRPr="003D2D23">
              <w:rPr>
                <w:rFonts w:cs="Calibri"/>
                <w:color w:val="000000"/>
                <w:szCs w:val="22"/>
              </w:rPr>
              <w:t>TASB Wage Records</w:t>
            </w:r>
          </w:p>
        </w:tc>
        <w:tc>
          <w:tcPr>
            <w:tcW w:w="5760" w:type="dxa"/>
            <w:vAlign w:val="center"/>
          </w:tcPr>
          <w:p w14:paraId="7FE09596" w14:textId="77777777" w:rsidR="00F12319" w:rsidRPr="003D2D23" w:rsidRDefault="00F12319" w:rsidP="00F12319">
            <w:pPr>
              <w:ind w:left="0"/>
              <w:rPr>
                <w:rFonts w:cs="Calibri"/>
                <w:color w:val="000000"/>
                <w:szCs w:val="22"/>
              </w:rPr>
            </w:pPr>
            <w:r w:rsidRPr="003D2D23">
              <w:rPr>
                <w:rFonts w:cs="Calibri"/>
                <w:color w:val="000000"/>
                <w:szCs w:val="22"/>
              </w:rPr>
              <w:t>Secure transfer of PII, inbound and outbound</w:t>
            </w:r>
            <w:r w:rsidRPr="003D2D23">
              <w:rPr>
                <w:rFonts w:ascii="Arial" w:hAnsi="Arial" w:cs="Arial"/>
                <w:color w:val="000000"/>
                <w:szCs w:val="22"/>
              </w:rPr>
              <w:t>​</w:t>
            </w:r>
          </w:p>
        </w:tc>
      </w:tr>
      <w:tr w:rsidR="00F12319" w14:paraId="1D6ACC72" w14:textId="77777777" w:rsidTr="00EB23D7">
        <w:tc>
          <w:tcPr>
            <w:tcW w:w="877" w:type="dxa"/>
            <w:vAlign w:val="center"/>
          </w:tcPr>
          <w:p w14:paraId="1A745950" w14:textId="365C3EFC" w:rsidR="00F12319" w:rsidRPr="00194F03" w:rsidRDefault="00F12319" w:rsidP="00F12319">
            <w:pPr>
              <w:ind w:left="0"/>
              <w:jc w:val="center"/>
              <w:rPr>
                <w:rFonts w:cs="Calibri"/>
                <w:color w:val="000000"/>
                <w:szCs w:val="22"/>
              </w:rPr>
            </w:pPr>
            <w:r>
              <w:rPr>
                <w:szCs w:val="22"/>
              </w:rPr>
              <w:t>70</w:t>
            </w:r>
          </w:p>
        </w:tc>
        <w:tc>
          <w:tcPr>
            <w:tcW w:w="1530" w:type="dxa"/>
            <w:vAlign w:val="center"/>
          </w:tcPr>
          <w:p w14:paraId="7C93078F" w14:textId="77777777" w:rsidR="00F12319" w:rsidRPr="003D2D23" w:rsidRDefault="00F12319" w:rsidP="00F12319">
            <w:pPr>
              <w:ind w:left="0"/>
              <w:rPr>
                <w:rFonts w:cs="Calibri"/>
                <w:color w:val="000000"/>
                <w:szCs w:val="22"/>
              </w:rPr>
            </w:pPr>
            <w:r w:rsidRPr="003D2D23">
              <w:rPr>
                <w:rFonts w:cs="Calibri"/>
                <w:color w:val="000000"/>
                <w:szCs w:val="22"/>
              </w:rPr>
              <w:t>Both</w:t>
            </w:r>
          </w:p>
        </w:tc>
        <w:tc>
          <w:tcPr>
            <w:tcW w:w="1710" w:type="dxa"/>
            <w:vAlign w:val="center"/>
          </w:tcPr>
          <w:p w14:paraId="2F95ED50" w14:textId="77777777" w:rsidR="00F12319" w:rsidRPr="003D2D23" w:rsidRDefault="00F12319" w:rsidP="00F12319">
            <w:pPr>
              <w:ind w:left="0"/>
              <w:rPr>
                <w:rFonts w:cs="Calibri"/>
                <w:color w:val="000000"/>
                <w:szCs w:val="22"/>
              </w:rPr>
            </w:pPr>
            <w:r w:rsidRPr="003D2D23">
              <w:rPr>
                <w:rFonts w:cs="Calibri"/>
                <w:color w:val="000000"/>
                <w:szCs w:val="22"/>
              </w:rPr>
              <w:t>Offline / On Request</w:t>
            </w:r>
          </w:p>
        </w:tc>
        <w:tc>
          <w:tcPr>
            <w:tcW w:w="2430" w:type="dxa"/>
            <w:vAlign w:val="center"/>
          </w:tcPr>
          <w:p w14:paraId="25BDF35A" w14:textId="77777777" w:rsidR="00F12319" w:rsidRPr="003D2D23" w:rsidRDefault="00F12319" w:rsidP="00F12319">
            <w:pPr>
              <w:ind w:left="0"/>
              <w:rPr>
                <w:rFonts w:cs="Calibri"/>
                <w:color w:val="000000"/>
                <w:szCs w:val="22"/>
              </w:rPr>
            </w:pPr>
            <w:r w:rsidRPr="003D2D23">
              <w:rPr>
                <w:rFonts w:cs="Calibri"/>
                <w:color w:val="000000"/>
                <w:szCs w:val="22"/>
              </w:rPr>
              <w:t>TASB</w:t>
            </w:r>
          </w:p>
        </w:tc>
        <w:tc>
          <w:tcPr>
            <w:tcW w:w="2160" w:type="dxa"/>
            <w:vAlign w:val="center"/>
          </w:tcPr>
          <w:p w14:paraId="032D7CA5" w14:textId="77777777" w:rsidR="00F12319" w:rsidRPr="003D2D23" w:rsidRDefault="00F12319" w:rsidP="00F12319">
            <w:pPr>
              <w:ind w:left="0"/>
              <w:rPr>
                <w:rFonts w:cs="Calibri"/>
                <w:color w:val="000000"/>
                <w:szCs w:val="22"/>
              </w:rPr>
            </w:pPr>
            <w:r w:rsidRPr="003D2D23">
              <w:rPr>
                <w:rFonts w:cs="Calibri"/>
                <w:color w:val="000000"/>
                <w:szCs w:val="22"/>
              </w:rPr>
              <w:t>TASB Wage Records Request</w:t>
            </w:r>
          </w:p>
        </w:tc>
        <w:tc>
          <w:tcPr>
            <w:tcW w:w="5760" w:type="dxa"/>
            <w:vAlign w:val="center"/>
          </w:tcPr>
          <w:p w14:paraId="03137B38" w14:textId="77777777" w:rsidR="00F12319" w:rsidRPr="003D2D23" w:rsidRDefault="00F12319" w:rsidP="00F12319">
            <w:pPr>
              <w:ind w:left="0"/>
              <w:rPr>
                <w:rFonts w:cs="Calibri"/>
                <w:color w:val="000000"/>
                <w:szCs w:val="22"/>
              </w:rPr>
            </w:pPr>
            <w:r w:rsidRPr="003D2D23">
              <w:rPr>
                <w:rFonts w:cs="Calibri"/>
                <w:color w:val="000000"/>
                <w:szCs w:val="22"/>
              </w:rPr>
              <w:t>Secure transfer of inbound and outbound data</w:t>
            </w:r>
            <w:r w:rsidRPr="003D2D23">
              <w:rPr>
                <w:rFonts w:ascii="Arial" w:hAnsi="Arial" w:cs="Arial"/>
                <w:color w:val="000000"/>
                <w:szCs w:val="22"/>
              </w:rPr>
              <w:t>​</w:t>
            </w:r>
          </w:p>
        </w:tc>
      </w:tr>
      <w:tr w:rsidR="00F12319" w14:paraId="3448AA79" w14:textId="77777777" w:rsidTr="00EB23D7">
        <w:tc>
          <w:tcPr>
            <w:tcW w:w="877" w:type="dxa"/>
            <w:vAlign w:val="center"/>
          </w:tcPr>
          <w:p w14:paraId="2531E543" w14:textId="083EF2D1" w:rsidR="00F12319" w:rsidRPr="00194F03" w:rsidRDefault="00F12319" w:rsidP="00F12319">
            <w:pPr>
              <w:ind w:left="0"/>
              <w:jc w:val="center"/>
              <w:rPr>
                <w:rFonts w:cs="Calibri"/>
                <w:color w:val="000000"/>
                <w:szCs w:val="22"/>
              </w:rPr>
            </w:pPr>
            <w:r>
              <w:rPr>
                <w:color w:val="000000"/>
                <w:szCs w:val="22"/>
              </w:rPr>
              <w:t>71</w:t>
            </w:r>
          </w:p>
        </w:tc>
        <w:tc>
          <w:tcPr>
            <w:tcW w:w="1530" w:type="dxa"/>
            <w:vAlign w:val="center"/>
          </w:tcPr>
          <w:p w14:paraId="063501DA" w14:textId="77777777" w:rsidR="00F12319" w:rsidRPr="003D2D23" w:rsidRDefault="00F12319" w:rsidP="00F12319">
            <w:pPr>
              <w:ind w:left="0"/>
              <w:rPr>
                <w:rFonts w:cs="Calibri"/>
                <w:color w:val="000000"/>
                <w:szCs w:val="22"/>
              </w:rPr>
            </w:pPr>
            <w:r w:rsidRPr="003D2D23">
              <w:rPr>
                <w:rFonts w:cs="Calibri"/>
                <w:color w:val="000000"/>
                <w:szCs w:val="22"/>
              </w:rPr>
              <w:t>Receive</w:t>
            </w:r>
          </w:p>
        </w:tc>
        <w:tc>
          <w:tcPr>
            <w:tcW w:w="1710" w:type="dxa"/>
            <w:vAlign w:val="center"/>
          </w:tcPr>
          <w:p w14:paraId="3A94B8C0" w14:textId="77777777" w:rsidR="00F12319" w:rsidRPr="003D2D23" w:rsidRDefault="00F12319" w:rsidP="00F12319">
            <w:pPr>
              <w:ind w:left="0"/>
              <w:rPr>
                <w:rFonts w:cs="Calibri"/>
                <w:color w:val="000000"/>
                <w:szCs w:val="22"/>
              </w:rPr>
            </w:pPr>
            <w:r w:rsidRPr="003D2D23">
              <w:rPr>
                <w:rFonts w:cs="Calibri"/>
                <w:color w:val="000000"/>
                <w:szCs w:val="22"/>
              </w:rPr>
              <w:t>Offline / Daily (M-F)</w:t>
            </w:r>
          </w:p>
        </w:tc>
        <w:tc>
          <w:tcPr>
            <w:tcW w:w="2430" w:type="dxa"/>
            <w:vAlign w:val="center"/>
          </w:tcPr>
          <w:p w14:paraId="76806C32" w14:textId="77777777" w:rsidR="00F12319" w:rsidRPr="003D2D23" w:rsidRDefault="00F12319" w:rsidP="00F12319">
            <w:pPr>
              <w:ind w:left="0"/>
              <w:rPr>
                <w:rFonts w:cs="Calibri"/>
                <w:color w:val="000000"/>
                <w:szCs w:val="22"/>
              </w:rPr>
            </w:pPr>
            <w:r w:rsidRPr="003D2D23">
              <w:rPr>
                <w:rFonts w:cs="Calibri"/>
                <w:color w:val="000000"/>
                <w:szCs w:val="22"/>
              </w:rPr>
              <w:t>Tax Break</w:t>
            </w:r>
          </w:p>
        </w:tc>
        <w:tc>
          <w:tcPr>
            <w:tcW w:w="2160" w:type="dxa"/>
            <w:vAlign w:val="center"/>
          </w:tcPr>
          <w:p w14:paraId="37C3C130" w14:textId="77777777" w:rsidR="00F12319" w:rsidRPr="003D2D23" w:rsidRDefault="00F12319" w:rsidP="00F12319">
            <w:pPr>
              <w:ind w:left="0"/>
              <w:rPr>
                <w:rFonts w:cs="Calibri"/>
                <w:color w:val="000000"/>
                <w:szCs w:val="22"/>
              </w:rPr>
            </w:pPr>
            <w:r w:rsidRPr="003D2D23">
              <w:rPr>
                <w:rFonts w:cs="Calibri"/>
                <w:color w:val="000000"/>
                <w:szCs w:val="22"/>
              </w:rPr>
              <w:t>Form 8850 FTP</w:t>
            </w:r>
          </w:p>
        </w:tc>
        <w:tc>
          <w:tcPr>
            <w:tcW w:w="5760" w:type="dxa"/>
            <w:vAlign w:val="center"/>
          </w:tcPr>
          <w:p w14:paraId="6BD70E33" w14:textId="77777777" w:rsidR="00F12319" w:rsidRPr="003D2D23" w:rsidRDefault="00F12319" w:rsidP="00F12319">
            <w:pPr>
              <w:ind w:left="0"/>
              <w:rPr>
                <w:rFonts w:cs="Calibri"/>
                <w:color w:val="000000"/>
                <w:szCs w:val="22"/>
              </w:rPr>
            </w:pPr>
            <w:r w:rsidRPr="003D2D23">
              <w:rPr>
                <w:rFonts w:ascii="Arial" w:hAnsi="Arial" w:cs="Arial"/>
                <w:color w:val="000000"/>
                <w:szCs w:val="22"/>
              </w:rPr>
              <w:t>​</w:t>
            </w:r>
            <w:r w:rsidRPr="003D2D23">
              <w:rPr>
                <w:rFonts w:cs="Calibri"/>
                <w:color w:val="000000"/>
                <w:szCs w:val="22"/>
              </w:rPr>
              <w:t>Secure transfer of data</w:t>
            </w:r>
          </w:p>
        </w:tc>
      </w:tr>
      <w:tr w:rsidR="00F12319" w14:paraId="3BE71FBE" w14:textId="77777777" w:rsidTr="00EB23D7">
        <w:tc>
          <w:tcPr>
            <w:tcW w:w="877" w:type="dxa"/>
            <w:vAlign w:val="center"/>
          </w:tcPr>
          <w:p w14:paraId="62C0A5D1" w14:textId="017864E8" w:rsidR="00F12319" w:rsidRPr="00194F03" w:rsidRDefault="00F12319" w:rsidP="00F12319">
            <w:pPr>
              <w:ind w:left="0"/>
              <w:jc w:val="center"/>
              <w:rPr>
                <w:rFonts w:cs="Calibri"/>
                <w:color w:val="000000"/>
                <w:szCs w:val="22"/>
              </w:rPr>
            </w:pPr>
            <w:r>
              <w:rPr>
                <w:szCs w:val="22"/>
              </w:rPr>
              <w:t>72</w:t>
            </w:r>
          </w:p>
        </w:tc>
        <w:tc>
          <w:tcPr>
            <w:tcW w:w="1530" w:type="dxa"/>
            <w:vAlign w:val="center"/>
          </w:tcPr>
          <w:p w14:paraId="13A6362B" w14:textId="77777777" w:rsidR="00F12319" w:rsidRPr="003D2D23" w:rsidRDefault="00F12319" w:rsidP="00F12319">
            <w:pPr>
              <w:ind w:left="0"/>
              <w:rPr>
                <w:rFonts w:cs="Calibri"/>
                <w:color w:val="000000"/>
                <w:szCs w:val="22"/>
              </w:rPr>
            </w:pPr>
            <w:r w:rsidRPr="003D2D23">
              <w:rPr>
                <w:rFonts w:cs="Calibri"/>
                <w:color w:val="000000"/>
                <w:szCs w:val="22"/>
              </w:rPr>
              <w:t>Both</w:t>
            </w:r>
          </w:p>
        </w:tc>
        <w:tc>
          <w:tcPr>
            <w:tcW w:w="1710" w:type="dxa"/>
            <w:vAlign w:val="center"/>
          </w:tcPr>
          <w:p w14:paraId="6A78D108" w14:textId="77777777" w:rsidR="00F12319" w:rsidRPr="003D2D23" w:rsidRDefault="00F12319" w:rsidP="00F12319">
            <w:pPr>
              <w:ind w:left="0"/>
              <w:rPr>
                <w:rFonts w:cs="Calibri"/>
                <w:color w:val="000000"/>
                <w:szCs w:val="22"/>
              </w:rPr>
            </w:pPr>
            <w:r w:rsidRPr="003D2D23">
              <w:rPr>
                <w:rFonts w:cs="Calibri"/>
                <w:color w:val="000000"/>
                <w:szCs w:val="22"/>
              </w:rPr>
              <w:t>Offline / Daily</w:t>
            </w:r>
          </w:p>
        </w:tc>
        <w:tc>
          <w:tcPr>
            <w:tcW w:w="2430" w:type="dxa"/>
            <w:vAlign w:val="center"/>
          </w:tcPr>
          <w:p w14:paraId="37F80FB3" w14:textId="77777777" w:rsidR="00F12319" w:rsidRPr="003D2D23" w:rsidRDefault="00F12319" w:rsidP="00F12319">
            <w:pPr>
              <w:ind w:left="0"/>
              <w:rPr>
                <w:rFonts w:cs="Calibri"/>
                <w:color w:val="000000"/>
                <w:szCs w:val="22"/>
              </w:rPr>
            </w:pPr>
            <w:r w:rsidRPr="003D2D23">
              <w:rPr>
                <w:rFonts w:cs="Calibri"/>
                <w:color w:val="000000"/>
                <w:szCs w:val="22"/>
              </w:rPr>
              <w:t>Tax Credit</w:t>
            </w:r>
          </w:p>
        </w:tc>
        <w:tc>
          <w:tcPr>
            <w:tcW w:w="2160" w:type="dxa"/>
            <w:vAlign w:val="center"/>
          </w:tcPr>
          <w:p w14:paraId="427F202B" w14:textId="77777777" w:rsidR="00F12319" w:rsidRPr="003D2D23" w:rsidRDefault="00F12319" w:rsidP="00F12319">
            <w:pPr>
              <w:ind w:left="0"/>
              <w:rPr>
                <w:rFonts w:cs="Calibri"/>
                <w:color w:val="000000"/>
                <w:szCs w:val="22"/>
              </w:rPr>
            </w:pPr>
            <w:r w:rsidRPr="003D2D23">
              <w:rPr>
                <w:rFonts w:cs="Calibri"/>
                <w:color w:val="000000"/>
                <w:szCs w:val="22"/>
              </w:rPr>
              <w:t>Form 8850 FTP</w:t>
            </w:r>
          </w:p>
        </w:tc>
        <w:tc>
          <w:tcPr>
            <w:tcW w:w="5760" w:type="dxa"/>
            <w:vAlign w:val="center"/>
          </w:tcPr>
          <w:p w14:paraId="2201D8CE" w14:textId="77777777" w:rsidR="00F12319" w:rsidRPr="003D2D23" w:rsidRDefault="00F12319" w:rsidP="00F12319">
            <w:pPr>
              <w:ind w:left="0"/>
              <w:rPr>
                <w:rFonts w:cs="Calibri"/>
                <w:color w:val="000000"/>
                <w:szCs w:val="22"/>
              </w:rPr>
            </w:pPr>
            <w:r w:rsidRPr="003D2D23">
              <w:rPr>
                <w:rFonts w:cs="Calibri"/>
                <w:color w:val="000000"/>
                <w:szCs w:val="22"/>
              </w:rPr>
              <w:t>Secure transfer of data</w:t>
            </w:r>
            <w:r w:rsidRPr="003D2D23">
              <w:rPr>
                <w:rFonts w:ascii="Arial" w:hAnsi="Arial" w:cs="Arial"/>
                <w:color w:val="000000"/>
                <w:szCs w:val="22"/>
              </w:rPr>
              <w:t>​</w:t>
            </w:r>
          </w:p>
        </w:tc>
      </w:tr>
      <w:tr w:rsidR="00F12319" w14:paraId="51DC4FDE" w14:textId="77777777" w:rsidTr="00EB23D7">
        <w:tc>
          <w:tcPr>
            <w:tcW w:w="877" w:type="dxa"/>
            <w:vAlign w:val="center"/>
          </w:tcPr>
          <w:p w14:paraId="2CB98BC0" w14:textId="2C27A641" w:rsidR="00F12319" w:rsidRPr="00194F03" w:rsidRDefault="00F12319" w:rsidP="00F12319">
            <w:pPr>
              <w:ind w:left="0"/>
              <w:jc w:val="center"/>
              <w:rPr>
                <w:rFonts w:cs="Calibri"/>
                <w:color w:val="000000"/>
                <w:szCs w:val="22"/>
              </w:rPr>
            </w:pPr>
            <w:r>
              <w:rPr>
                <w:color w:val="000000"/>
                <w:szCs w:val="22"/>
              </w:rPr>
              <w:t>73</w:t>
            </w:r>
          </w:p>
        </w:tc>
        <w:tc>
          <w:tcPr>
            <w:tcW w:w="1530" w:type="dxa"/>
            <w:vAlign w:val="center"/>
          </w:tcPr>
          <w:p w14:paraId="6533026A" w14:textId="77777777" w:rsidR="00F12319" w:rsidRPr="003D2D23" w:rsidRDefault="00F12319" w:rsidP="00F12319">
            <w:pPr>
              <w:ind w:left="0"/>
              <w:rPr>
                <w:rFonts w:cs="Calibri"/>
                <w:color w:val="000000"/>
                <w:szCs w:val="22"/>
              </w:rPr>
            </w:pPr>
            <w:r w:rsidRPr="003D2D23">
              <w:rPr>
                <w:rFonts w:cs="Calibri"/>
                <w:color w:val="000000"/>
                <w:szCs w:val="22"/>
              </w:rPr>
              <w:t>Receive</w:t>
            </w:r>
          </w:p>
        </w:tc>
        <w:tc>
          <w:tcPr>
            <w:tcW w:w="1710" w:type="dxa"/>
            <w:vAlign w:val="center"/>
          </w:tcPr>
          <w:p w14:paraId="70F08927" w14:textId="77777777" w:rsidR="00F12319" w:rsidRPr="003D2D23" w:rsidRDefault="00F12319" w:rsidP="00F12319">
            <w:pPr>
              <w:ind w:left="0"/>
              <w:rPr>
                <w:rFonts w:cs="Calibri"/>
                <w:color w:val="000000"/>
                <w:szCs w:val="22"/>
              </w:rPr>
            </w:pPr>
            <w:r w:rsidRPr="003D2D23">
              <w:rPr>
                <w:rFonts w:cs="Calibri"/>
                <w:color w:val="000000"/>
                <w:szCs w:val="22"/>
              </w:rPr>
              <w:t>Offline / Daily</w:t>
            </w:r>
          </w:p>
        </w:tc>
        <w:tc>
          <w:tcPr>
            <w:tcW w:w="2430" w:type="dxa"/>
            <w:vAlign w:val="center"/>
          </w:tcPr>
          <w:p w14:paraId="56CA858B" w14:textId="77777777" w:rsidR="00F12319" w:rsidRPr="003D2D23" w:rsidRDefault="00F12319" w:rsidP="00F12319">
            <w:pPr>
              <w:ind w:left="0"/>
              <w:rPr>
                <w:rFonts w:cs="Calibri"/>
                <w:color w:val="000000"/>
                <w:szCs w:val="22"/>
              </w:rPr>
            </w:pPr>
            <w:r w:rsidRPr="003D2D23">
              <w:rPr>
                <w:rFonts w:cs="Calibri"/>
                <w:color w:val="000000"/>
                <w:szCs w:val="22"/>
              </w:rPr>
              <w:t>Tax Credit Services</w:t>
            </w:r>
          </w:p>
        </w:tc>
        <w:tc>
          <w:tcPr>
            <w:tcW w:w="2160" w:type="dxa"/>
            <w:vAlign w:val="center"/>
          </w:tcPr>
          <w:p w14:paraId="32720063" w14:textId="77777777" w:rsidR="00F12319" w:rsidRPr="003D2D23" w:rsidRDefault="00F12319" w:rsidP="00F12319">
            <w:pPr>
              <w:ind w:left="0"/>
              <w:rPr>
                <w:rFonts w:cs="Calibri"/>
                <w:color w:val="000000"/>
                <w:szCs w:val="22"/>
              </w:rPr>
            </w:pPr>
            <w:r w:rsidRPr="003D2D23">
              <w:rPr>
                <w:rFonts w:cs="Calibri"/>
                <w:color w:val="000000"/>
                <w:szCs w:val="22"/>
              </w:rPr>
              <w:t>Form 8850 FTP</w:t>
            </w:r>
          </w:p>
        </w:tc>
        <w:tc>
          <w:tcPr>
            <w:tcW w:w="5760" w:type="dxa"/>
            <w:vAlign w:val="center"/>
          </w:tcPr>
          <w:p w14:paraId="5A85961A" w14:textId="77777777" w:rsidR="00F12319" w:rsidRPr="003D2D23" w:rsidRDefault="00F12319" w:rsidP="00F12319">
            <w:pPr>
              <w:ind w:left="0"/>
              <w:rPr>
                <w:rFonts w:cs="Calibri"/>
                <w:color w:val="000000"/>
                <w:szCs w:val="22"/>
              </w:rPr>
            </w:pPr>
            <w:r w:rsidRPr="003D2D23">
              <w:rPr>
                <w:rFonts w:ascii="Arial" w:hAnsi="Arial" w:cs="Arial"/>
                <w:color w:val="000000"/>
                <w:szCs w:val="22"/>
              </w:rPr>
              <w:t>​</w:t>
            </w:r>
            <w:r w:rsidRPr="003D2D23">
              <w:rPr>
                <w:rFonts w:cs="Calibri"/>
                <w:color w:val="000000"/>
                <w:szCs w:val="22"/>
              </w:rPr>
              <w:t>Secure transfer of data</w:t>
            </w:r>
          </w:p>
        </w:tc>
      </w:tr>
      <w:tr w:rsidR="00F12319" w14:paraId="149A4054" w14:textId="77777777" w:rsidTr="00EB23D7">
        <w:tc>
          <w:tcPr>
            <w:tcW w:w="877" w:type="dxa"/>
            <w:vAlign w:val="center"/>
          </w:tcPr>
          <w:p w14:paraId="0BF0CB1F" w14:textId="16A766AC" w:rsidR="00F12319" w:rsidRPr="00194F03" w:rsidRDefault="00F12319" w:rsidP="00F12319">
            <w:pPr>
              <w:ind w:left="0"/>
              <w:jc w:val="center"/>
              <w:rPr>
                <w:rFonts w:cs="Calibri"/>
                <w:color w:val="000000"/>
                <w:szCs w:val="22"/>
              </w:rPr>
            </w:pPr>
            <w:r>
              <w:rPr>
                <w:szCs w:val="22"/>
              </w:rPr>
              <w:t>74</w:t>
            </w:r>
          </w:p>
        </w:tc>
        <w:tc>
          <w:tcPr>
            <w:tcW w:w="1530" w:type="dxa"/>
            <w:vAlign w:val="center"/>
          </w:tcPr>
          <w:p w14:paraId="2FAD2513" w14:textId="77777777" w:rsidR="00F12319" w:rsidRPr="003D2D23" w:rsidRDefault="00F12319" w:rsidP="00F12319">
            <w:pPr>
              <w:ind w:left="0"/>
              <w:rPr>
                <w:rFonts w:cs="Calibri"/>
                <w:color w:val="000000"/>
                <w:szCs w:val="22"/>
              </w:rPr>
            </w:pPr>
            <w:r w:rsidRPr="003D2D23">
              <w:rPr>
                <w:rFonts w:cs="Calibri"/>
                <w:color w:val="000000"/>
                <w:szCs w:val="22"/>
              </w:rPr>
              <w:t>Send</w:t>
            </w:r>
          </w:p>
        </w:tc>
        <w:tc>
          <w:tcPr>
            <w:tcW w:w="1710" w:type="dxa"/>
            <w:vAlign w:val="center"/>
          </w:tcPr>
          <w:p w14:paraId="20742850" w14:textId="77777777" w:rsidR="00F12319" w:rsidRPr="003D2D23" w:rsidRDefault="00F12319" w:rsidP="00F12319">
            <w:pPr>
              <w:ind w:left="0"/>
              <w:rPr>
                <w:rFonts w:cs="Calibri"/>
                <w:color w:val="000000"/>
                <w:szCs w:val="22"/>
              </w:rPr>
            </w:pPr>
            <w:r w:rsidRPr="003D2D23">
              <w:rPr>
                <w:rFonts w:cs="Calibri"/>
                <w:color w:val="000000"/>
                <w:szCs w:val="22"/>
              </w:rPr>
              <w:t>Offline / On Request</w:t>
            </w:r>
          </w:p>
        </w:tc>
        <w:tc>
          <w:tcPr>
            <w:tcW w:w="2430" w:type="dxa"/>
            <w:vAlign w:val="center"/>
          </w:tcPr>
          <w:p w14:paraId="233B59CF" w14:textId="77777777" w:rsidR="00F12319" w:rsidRPr="003D2D23" w:rsidRDefault="00F12319" w:rsidP="00F12319">
            <w:pPr>
              <w:ind w:left="0"/>
              <w:rPr>
                <w:rFonts w:cs="Calibri"/>
                <w:color w:val="000000"/>
                <w:szCs w:val="22"/>
              </w:rPr>
            </w:pPr>
            <w:r w:rsidRPr="003D2D23">
              <w:rPr>
                <w:rFonts w:cs="Calibri"/>
                <w:color w:val="000000"/>
                <w:szCs w:val="22"/>
              </w:rPr>
              <w:t>Texas A &amp; M University</w:t>
            </w:r>
          </w:p>
        </w:tc>
        <w:tc>
          <w:tcPr>
            <w:tcW w:w="2160" w:type="dxa"/>
            <w:vAlign w:val="center"/>
          </w:tcPr>
          <w:p w14:paraId="36F11E63" w14:textId="77777777" w:rsidR="00F12319" w:rsidRPr="003D2D23" w:rsidRDefault="00F12319" w:rsidP="00F12319">
            <w:pPr>
              <w:ind w:left="0"/>
              <w:rPr>
                <w:rFonts w:cs="Calibri"/>
                <w:color w:val="000000"/>
                <w:szCs w:val="22"/>
              </w:rPr>
            </w:pPr>
            <w:r w:rsidRPr="003D2D23">
              <w:rPr>
                <w:rFonts w:cs="Calibri"/>
                <w:color w:val="000000"/>
                <w:szCs w:val="22"/>
              </w:rPr>
              <w:t>Texas A &amp; M University TWIC Data</w:t>
            </w:r>
          </w:p>
        </w:tc>
        <w:tc>
          <w:tcPr>
            <w:tcW w:w="5760" w:type="dxa"/>
            <w:vAlign w:val="center"/>
          </w:tcPr>
          <w:p w14:paraId="5B277AAE" w14:textId="77777777" w:rsidR="00F12319" w:rsidRPr="003D2D23" w:rsidRDefault="00F12319" w:rsidP="00F12319">
            <w:pPr>
              <w:ind w:left="0"/>
              <w:rPr>
                <w:rFonts w:cs="Calibri"/>
                <w:color w:val="000000"/>
                <w:szCs w:val="22"/>
              </w:rPr>
            </w:pPr>
            <w:r w:rsidRPr="003D2D23">
              <w:rPr>
                <w:rFonts w:ascii="Arial" w:hAnsi="Arial" w:cs="Arial"/>
                <w:color w:val="000000"/>
                <w:szCs w:val="22"/>
              </w:rPr>
              <w:t>​</w:t>
            </w:r>
            <w:r w:rsidRPr="003D2D23">
              <w:rPr>
                <w:rFonts w:cs="Calibri"/>
                <w:color w:val="000000"/>
                <w:szCs w:val="22"/>
              </w:rPr>
              <w:t>Request for Employer data approved by</w:t>
            </w:r>
            <w:r w:rsidRPr="003D2D23">
              <w:rPr>
                <w:rFonts w:cs="Verdana"/>
                <w:color w:val="000000"/>
                <w:szCs w:val="22"/>
              </w:rPr>
              <w:t> </w:t>
            </w:r>
            <w:r w:rsidRPr="003D2D23">
              <w:rPr>
                <w:rFonts w:cs="Calibri"/>
                <w:color w:val="000000"/>
                <w:szCs w:val="22"/>
              </w:rPr>
              <w:t>Open Records</w:t>
            </w:r>
          </w:p>
        </w:tc>
      </w:tr>
      <w:tr w:rsidR="00F12319" w14:paraId="79811215" w14:textId="77777777" w:rsidTr="00EB23D7">
        <w:tc>
          <w:tcPr>
            <w:tcW w:w="877" w:type="dxa"/>
            <w:vAlign w:val="center"/>
          </w:tcPr>
          <w:p w14:paraId="7CA28531" w14:textId="2858E48B" w:rsidR="00F12319" w:rsidRPr="00194F03" w:rsidRDefault="00F12319" w:rsidP="00F12319">
            <w:pPr>
              <w:ind w:left="0"/>
              <w:jc w:val="center"/>
              <w:rPr>
                <w:rFonts w:cs="Calibri"/>
                <w:color w:val="000000"/>
                <w:szCs w:val="22"/>
              </w:rPr>
            </w:pPr>
            <w:r>
              <w:rPr>
                <w:color w:val="000000"/>
                <w:szCs w:val="22"/>
              </w:rPr>
              <w:t>75</w:t>
            </w:r>
          </w:p>
        </w:tc>
        <w:tc>
          <w:tcPr>
            <w:tcW w:w="1530" w:type="dxa"/>
            <w:vAlign w:val="center"/>
          </w:tcPr>
          <w:p w14:paraId="01DCAF3A" w14:textId="77777777" w:rsidR="00F12319" w:rsidRPr="003D2D23" w:rsidRDefault="00F12319" w:rsidP="00F12319">
            <w:pPr>
              <w:ind w:left="0"/>
              <w:rPr>
                <w:rFonts w:cs="Calibri"/>
                <w:color w:val="000000"/>
                <w:szCs w:val="22"/>
              </w:rPr>
            </w:pPr>
            <w:r w:rsidRPr="003D2D23">
              <w:rPr>
                <w:rFonts w:cs="Calibri"/>
                <w:color w:val="000000"/>
                <w:szCs w:val="22"/>
              </w:rPr>
              <w:t>Both</w:t>
            </w:r>
          </w:p>
        </w:tc>
        <w:tc>
          <w:tcPr>
            <w:tcW w:w="1710" w:type="dxa"/>
            <w:vAlign w:val="center"/>
          </w:tcPr>
          <w:p w14:paraId="0A3AF274" w14:textId="77777777" w:rsidR="00F12319" w:rsidRPr="003D2D23" w:rsidRDefault="00F12319" w:rsidP="00F12319">
            <w:pPr>
              <w:ind w:left="0"/>
              <w:rPr>
                <w:rFonts w:cs="Calibri"/>
                <w:color w:val="000000"/>
                <w:szCs w:val="22"/>
              </w:rPr>
            </w:pPr>
            <w:r w:rsidRPr="003D2D23">
              <w:rPr>
                <w:rFonts w:cs="Calibri"/>
                <w:color w:val="000000"/>
                <w:szCs w:val="22"/>
              </w:rPr>
              <w:t>Offline / On Request</w:t>
            </w:r>
          </w:p>
        </w:tc>
        <w:tc>
          <w:tcPr>
            <w:tcW w:w="2430" w:type="dxa"/>
            <w:vAlign w:val="center"/>
          </w:tcPr>
          <w:p w14:paraId="12741055" w14:textId="77777777" w:rsidR="00F12319" w:rsidRPr="003D2D23" w:rsidRDefault="00F12319" w:rsidP="00F12319">
            <w:pPr>
              <w:ind w:left="0"/>
              <w:rPr>
                <w:rFonts w:cs="Calibri"/>
                <w:color w:val="000000"/>
                <w:szCs w:val="22"/>
              </w:rPr>
            </w:pPr>
            <w:r w:rsidRPr="003D2D23">
              <w:rPr>
                <w:rFonts w:cs="Calibri"/>
                <w:color w:val="000000"/>
                <w:szCs w:val="22"/>
              </w:rPr>
              <w:t>Texas A &amp; M University</w:t>
            </w:r>
          </w:p>
        </w:tc>
        <w:tc>
          <w:tcPr>
            <w:tcW w:w="2160" w:type="dxa"/>
            <w:vAlign w:val="center"/>
          </w:tcPr>
          <w:p w14:paraId="09A33C3A" w14:textId="77777777" w:rsidR="00F12319" w:rsidRPr="003D2D23" w:rsidRDefault="00F12319" w:rsidP="00F12319">
            <w:pPr>
              <w:ind w:left="0"/>
              <w:rPr>
                <w:rFonts w:cs="Calibri"/>
                <w:color w:val="000000"/>
                <w:szCs w:val="22"/>
              </w:rPr>
            </w:pPr>
            <w:r w:rsidRPr="003D2D23">
              <w:rPr>
                <w:rFonts w:cs="Calibri"/>
                <w:color w:val="000000"/>
                <w:szCs w:val="22"/>
              </w:rPr>
              <w:t>Wage Records Request</w:t>
            </w:r>
          </w:p>
        </w:tc>
        <w:tc>
          <w:tcPr>
            <w:tcW w:w="5760" w:type="dxa"/>
            <w:vAlign w:val="center"/>
          </w:tcPr>
          <w:p w14:paraId="564A3FDE" w14:textId="77777777" w:rsidR="00F12319" w:rsidRPr="003D2D23" w:rsidRDefault="00F12319" w:rsidP="00F12319">
            <w:pPr>
              <w:ind w:left="0"/>
              <w:rPr>
                <w:rFonts w:cs="Calibri"/>
                <w:color w:val="000000"/>
                <w:szCs w:val="22"/>
              </w:rPr>
            </w:pPr>
            <w:r w:rsidRPr="003D2D23">
              <w:rPr>
                <w:rFonts w:ascii="Arial" w:hAnsi="Arial" w:cs="Arial"/>
                <w:color w:val="000000"/>
                <w:szCs w:val="22"/>
              </w:rPr>
              <w:t>​</w:t>
            </w:r>
            <w:r w:rsidRPr="003D2D23">
              <w:rPr>
                <w:rFonts w:cs="Calibri"/>
                <w:color w:val="000000"/>
                <w:szCs w:val="22"/>
              </w:rPr>
              <w:t>Securely transfer data to and from Texas A&amp;M</w:t>
            </w:r>
          </w:p>
        </w:tc>
      </w:tr>
      <w:tr w:rsidR="00F12319" w14:paraId="6B7A846C" w14:textId="77777777" w:rsidTr="00EB23D7">
        <w:tc>
          <w:tcPr>
            <w:tcW w:w="877" w:type="dxa"/>
            <w:vAlign w:val="center"/>
          </w:tcPr>
          <w:p w14:paraId="679F9D79" w14:textId="5FD76405" w:rsidR="00F12319" w:rsidRPr="00194F03" w:rsidRDefault="00F12319" w:rsidP="00F12319">
            <w:pPr>
              <w:ind w:left="0"/>
              <w:jc w:val="center"/>
              <w:rPr>
                <w:rFonts w:cs="Calibri"/>
                <w:color w:val="000000"/>
                <w:szCs w:val="22"/>
              </w:rPr>
            </w:pPr>
            <w:r>
              <w:rPr>
                <w:szCs w:val="22"/>
              </w:rPr>
              <w:t>76</w:t>
            </w:r>
          </w:p>
        </w:tc>
        <w:tc>
          <w:tcPr>
            <w:tcW w:w="1530" w:type="dxa"/>
            <w:vAlign w:val="center"/>
          </w:tcPr>
          <w:p w14:paraId="71690FE2" w14:textId="77777777" w:rsidR="00F12319" w:rsidRPr="003D2D23" w:rsidRDefault="00F12319" w:rsidP="00F12319">
            <w:pPr>
              <w:ind w:left="0"/>
              <w:rPr>
                <w:rFonts w:cs="Calibri"/>
                <w:color w:val="000000"/>
                <w:szCs w:val="22"/>
              </w:rPr>
            </w:pPr>
            <w:r w:rsidRPr="003D2D23">
              <w:rPr>
                <w:rFonts w:cs="Calibri"/>
                <w:color w:val="000000"/>
                <w:szCs w:val="22"/>
              </w:rPr>
              <w:t>Send</w:t>
            </w:r>
          </w:p>
        </w:tc>
        <w:tc>
          <w:tcPr>
            <w:tcW w:w="1710" w:type="dxa"/>
            <w:vAlign w:val="center"/>
          </w:tcPr>
          <w:p w14:paraId="669344A4" w14:textId="77777777" w:rsidR="00F12319" w:rsidRPr="003D2D23" w:rsidRDefault="00F12319" w:rsidP="00F12319">
            <w:pPr>
              <w:ind w:left="0"/>
              <w:rPr>
                <w:rFonts w:cs="Calibri"/>
                <w:color w:val="000000"/>
                <w:szCs w:val="22"/>
              </w:rPr>
            </w:pPr>
            <w:r w:rsidRPr="003D2D23">
              <w:rPr>
                <w:rFonts w:cs="Calibri"/>
                <w:color w:val="000000"/>
                <w:szCs w:val="22"/>
              </w:rPr>
              <w:t>Offline / On Request</w:t>
            </w:r>
          </w:p>
        </w:tc>
        <w:tc>
          <w:tcPr>
            <w:tcW w:w="2430" w:type="dxa"/>
            <w:vAlign w:val="center"/>
          </w:tcPr>
          <w:p w14:paraId="3ABD2504" w14:textId="77777777" w:rsidR="00F12319" w:rsidRPr="003D2D23" w:rsidRDefault="00F12319" w:rsidP="00F12319">
            <w:pPr>
              <w:ind w:left="0"/>
              <w:rPr>
                <w:rFonts w:cs="Calibri"/>
                <w:color w:val="000000"/>
                <w:szCs w:val="22"/>
              </w:rPr>
            </w:pPr>
            <w:r w:rsidRPr="003D2D23">
              <w:rPr>
                <w:rFonts w:cs="Calibri"/>
                <w:color w:val="000000"/>
                <w:szCs w:val="22"/>
              </w:rPr>
              <w:t>Texas Legislative Council</w:t>
            </w:r>
          </w:p>
        </w:tc>
        <w:tc>
          <w:tcPr>
            <w:tcW w:w="2160" w:type="dxa"/>
            <w:vAlign w:val="center"/>
          </w:tcPr>
          <w:p w14:paraId="0541D157" w14:textId="77777777" w:rsidR="00F12319" w:rsidRPr="003D2D23" w:rsidRDefault="00F12319" w:rsidP="00F12319">
            <w:pPr>
              <w:ind w:left="0"/>
              <w:rPr>
                <w:rFonts w:cs="Calibri"/>
                <w:color w:val="000000"/>
                <w:szCs w:val="22"/>
              </w:rPr>
            </w:pPr>
            <w:r w:rsidRPr="003D2D23">
              <w:rPr>
                <w:rFonts w:cs="Calibri"/>
                <w:color w:val="000000"/>
                <w:szCs w:val="22"/>
              </w:rPr>
              <w:t>TLC EQUIFILE</w:t>
            </w:r>
          </w:p>
        </w:tc>
        <w:tc>
          <w:tcPr>
            <w:tcW w:w="5760" w:type="dxa"/>
            <w:vAlign w:val="center"/>
          </w:tcPr>
          <w:p w14:paraId="4908A3A3" w14:textId="77777777" w:rsidR="00F12319" w:rsidRPr="003D2D23" w:rsidRDefault="00F12319" w:rsidP="00F12319">
            <w:pPr>
              <w:ind w:left="0"/>
              <w:rPr>
                <w:rFonts w:cs="Calibri"/>
                <w:color w:val="000000"/>
                <w:szCs w:val="22"/>
              </w:rPr>
            </w:pPr>
            <w:r w:rsidRPr="003D2D23">
              <w:rPr>
                <w:rFonts w:ascii="Arial" w:hAnsi="Arial" w:cs="Arial"/>
                <w:color w:val="000000"/>
                <w:szCs w:val="22"/>
              </w:rPr>
              <w:t>​</w:t>
            </w:r>
            <w:r w:rsidRPr="003D2D23">
              <w:rPr>
                <w:rFonts w:cs="Calibri"/>
                <w:color w:val="000000"/>
                <w:szCs w:val="22"/>
              </w:rPr>
              <w:t>Contract 2915NFA007</w:t>
            </w:r>
          </w:p>
        </w:tc>
      </w:tr>
      <w:tr w:rsidR="00F12319" w14:paraId="717D83EC" w14:textId="77777777" w:rsidTr="00EB23D7">
        <w:tc>
          <w:tcPr>
            <w:tcW w:w="877" w:type="dxa"/>
            <w:vAlign w:val="center"/>
          </w:tcPr>
          <w:p w14:paraId="563705C4" w14:textId="58F6E713" w:rsidR="00F12319" w:rsidRPr="00194F03" w:rsidRDefault="00F12319" w:rsidP="00F12319">
            <w:pPr>
              <w:ind w:left="0"/>
              <w:jc w:val="center"/>
              <w:rPr>
                <w:rFonts w:cs="Calibri"/>
                <w:color w:val="000000"/>
                <w:szCs w:val="22"/>
              </w:rPr>
            </w:pPr>
            <w:r>
              <w:rPr>
                <w:color w:val="000000"/>
                <w:szCs w:val="22"/>
              </w:rPr>
              <w:t>77</w:t>
            </w:r>
          </w:p>
        </w:tc>
        <w:tc>
          <w:tcPr>
            <w:tcW w:w="1530" w:type="dxa"/>
            <w:vAlign w:val="center"/>
          </w:tcPr>
          <w:p w14:paraId="17E504A6" w14:textId="77777777" w:rsidR="00F12319" w:rsidRPr="003D2D23" w:rsidRDefault="00F12319" w:rsidP="00F12319">
            <w:pPr>
              <w:ind w:left="0"/>
              <w:rPr>
                <w:rFonts w:cs="Calibri"/>
                <w:color w:val="000000"/>
                <w:szCs w:val="22"/>
              </w:rPr>
            </w:pPr>
            <w:r w:rsidRPr="003D2D23">
              <w:rPr>
                <w:rFonts w:cs="Calibri"/>
                <w:color w:val="000000"/>
                <w:szCs w:val="22"/>
              </w:rPr>
              <w:t>Both</w:t>
            </w:r>
          </w:p>
        </w:tc>
        <w:tc>
          <w:tcPr>
            <w:tcW w:w="1710" w:type="dxa"/>
            <w:vAlign w:val="center"/>
          </w:tcPr>
          <w:p w14:paraId="47F022FB" w14:textId="77777777" w:rsidR="00F12319" w:rsidRPr="003D2D23" w:rsidRDefault="00F12319" w:rsidP="00F12319">
            <w:pPr>
              <w:ind w:left="0"/>
              <w:rPr>
                <w:rFonts w:cs="Calibri"/>
                <w:color w:val="000000"/>
                <w:szCs w:val="22"/>
              </w:rPr>
            </w:pPr>
            <w:r w:rsidRPr="003D2D23">
              <w:rPr>
                <w:rFonts w:cs="Calibri"/>
                <w:color w:val="000000"/>
                <w:szCs w:val="22"/>
              </w:rPr>
              <w:t>Offline / Quarterly</w:t>
            </w:r>
          </w:p>
        </w:tc>
        <w:tc>
          <w:tcPr>
            <w:tcW w:w="2430" w:type="dxa"/>
            <w:vAlign w:val="center"/>
          </w:tcPr>
          <w:p w14:paraId="627AC662" w14:textId="77777777" w:rsidR="00F12319" w:rsidRPr="003D2D23" w:rsidRDefault="00F12319" w:rsidP="00F12319">
            <w:pPr>
              <w:ind w:left="0"/>
              <w:rPr>
                <w:rFonts w:cs="Calibri"/>
                <w:color w:val="000000"/>
                <w:szCs w:val="22"/>
              </w:rPr>
            </w:pPr>
            <w:r w:rsidRPr="003D2D23">
              <w:rPr>
                <w:rFonts w:cs="Calibri"/>
                <w:color w:val="000000"/>
                <w:szCs w:val="22"/>
              </w:rPr>
              <w:t>Texas State Technical College</w:t>
            </w:r>
          </w:p>
        </w:tc>
        <w:tc>
          <w:tcPr>
            <w:tcW w:w="2160" w:type="dxa"/>
            <w:vAlign w:val="center"/>
          </w:tcPr>
          <w:p w14:paraId="1B197738" w14:textId="77777777" w:rsidR="00F12319" w:rsidRPr="003D2D23" w:rsidRDefault="00F12319" w:rsidP="00F12319">
            <w:pPr>
              <w:ind w:left="0"/>
              <w:rPr>
                <w:rFonts w:cs="Calibri"/>
                <w:color w:val="000000"/>
                <w:szCs w:val="22"/>
              </w:rPr>
            </w:pPr>
            <w:r w:rsidRPr="003D2D23">
              <w:rPr>
                <w:rFonts w:cs="Calibri"/>
                <w:color w:val="000000"/>
                <w:szCs w:val="22"/>
              </w:rPr>
              <w:t>Quarterly wage match</w:t>
            </w:r>
          </w:p>
        </w:tc>
        <w:tc>
          <w:tcPr>
            <w:tcW w:w="5760" w:type="dxa"/>
            <w:vAlign w:val="center"/>
          </w:tcPr>
          <w:p w14:paraId="3AFF5C1C" w14:textId="77777777" w:rsidR="00F12319" w:rsidRPr="003D2D23" w:rsidRDefault="00F12319" w:rsidP="00F12319">
            <w:pPr>
              <w:ind w:left="0"/>
              <w:rPr>
                <w:rFonts w:cs="Calibri"/>
                <w:color w:val="000000"/>
                <w:szCs w:val="22"/>
              </w:rPr>
            </w:pPr>
            <w:r>
              <w:rPr>
                <w:rFonts w:cs="Calibri"/>
                <w:color w:val="000000"/>
                <w:szCs w:val="22"/>
              </w:rPr>
              <w:t>S</w:t>
            </w:r>
            <w:r w:rsidRPr="003D2D23">
              <w:rPr>
                <w:rFonts w:cs="Calibri"/>
                <w:color w:val="000000"/>
                <w:szCs w:val="22"/>
              </w:rPr>
              <w:t>end and receive one</w:t>
            </w:r>
            <w:r>
              <w:rPr>
                <w:rFonts w:cs="Calibri"/>
                <w:color w:val="000000"/>
                <w:szCs w:val="22"/>
              </w:rPr>
              <w:t xml:space="preserve"> (1) </w:t>
            </w:r>
            <w:r w:rsidRPr="003D2D23">
              <w:rPr>
                <w:rFonts w:cs="Calibri"/>
                <w:color w:val="000000"/>
                <w:szCs w:val="22"/>
              </w:rPr>
              <w:t>file</w:t>
            </w:r>
          </w:p>
        </w:tc>
      </w:tr>
      <w:tr w:rsidR="00F12319" w14:paraId="4B8773B3" w14:textId="77777777" w:rsidTr="00EB23D7">
        <w:tc>
          <w:tcPr>
            <w:tcW w:w="877" w:type="dxa"/>
            <w:vAlign w:val="center"/>
          </w:tcPr>
          <w:p w14:paraId="773AE832" w14:textId="431EEC1F" w:rsidR="00F12319" w:rsidRPr="00194F03" w:rsidRDefault="00F12319" w:rsidP="00F12319">
            <w:pPr>
              <w:ind w:left="0"/>
              <w:jc w:val="center"/>
              <w:rPr>
                <w:rFonts w:cs="Calibri"/>
                <w:color w:val="000000"/>
                <w:szCs w:val="22"/>
              </w:rPr>
            </w:pPr>
            <w:r>
              <w:rPr>
                <w:szCs w:val="22"/>
              </w:rPr>
              <w:lastRenderedPageBreak/>
              <w:t>78</w:t>
            </w:r>
          </w:p>
        </w:tc>
        <w:tc>
          <w:tcPr>
            <w:tcW w:w="1530" w:type="dxa"/>
            <w:vAlign w:val="center"/>
          </w:tcPr>
          <w:p w14:paraId="29EAC2EC" w14:textId="77777777" w:rsidR="00F12319" w:rsidRPr="003D2D23" w:rsidRDefault="00F12319" w:rsidP="00F12319">
            <w:pPr>
              <w:ind w:left="0"/>
              <w:rPr>
                <w:rFonts w:cs="Calibri"/>
                <w:color w:val="000000"/>
                <w:szCs w:val="22"/>
              </w:rPr>
            </w:pPr>
            <w:r w:rsidRPr="003D2D23">
              <w:rPr>
                <w:rFonts w:cs="Calibri"/>
                <w:color w:val="000000"/>
                <w:szCs w:val="22"/>
              </w:rPr>
              <w:t>Both</w:t>
            </w:r>
          </w:p>
        </w:tc>
        <w:tc>
          <w:tcPr>
            <w:tcW w:w="1710" w:type="dxa"/>
            <w:vAlign w:val="center"/>
          </w:tcPr>
          <w:p w14:paraId="2E449BD8" w14:textId="77777777" w:rsidR="00F12319" w:rsidRPr="003D2D23" w:rsidRDefault="00F12319" w:rsidP="00F12319">
            <w:pPr>
              <w:ind w:left="0"/>
              <w:rPr>
                <w:rFonts w:cs="Calibri"/>
                <w:color w:val="000000"/>
                <w:szCs w:val="22"/>
              </w:rPr>
            </w:pPr>
            <w:r w:rsidRPr="003D2D23">
              <w:rPr>
                <w:rFonts w:cs="Calibri"/>
                <w:color w:val="000000"/>
                <w:szCs w:val="22"/>
              </w:rPr>
              <w:t>One-time/ad hoc / Daily</w:t>
            </w:r>
          </w:p>
        </w:tc>
        <w:tc>
          <w:tcPr>
            <w:tcW w:w="2430" w:type="dxa"/>
            <w:vAlign w:val="center"/>
          </w:tcPr>
          <w:p w14:paraId="191B8B95" w14:textId="77777777" w:rsidR="00F12319" w:rsidRPr="003D2D23" w:rsidRDefault="00F12319" w:rsidP="00F12319">
            <w:pPr>
              <w:ind w:left="0"/>
              <w:rPr>
                <w:rFonts w:cs="Calibri"/>
                <w:color w:val="000000"/>
                <w:szCs w:val="22"/>
              </w:rPr>
            </w:pPr>
            <w:r w:rsidRPr="003D2D23">
              <w:rPr>
                <w:rFonts w:cs="Calibri"/>
                <w:color w:val="000000"/>
                <w:szCs w:val="22"/>
              </w:rPr>
              <w:t>Thomas and Company</w:t>
            </w:r>
          </w:p>
        </w:tc>
        <w:tc>
          <w:tcPr>
            <w:tcW w:w="2160" w:type="dxa"/>
            <w:vAlign w:val="center"/>
          </w:tcPr>
          <w:p w14:paraId="50C68C00" w14:textId="77777777" w:rsidR="00F12319" w:rsidRPr="003D2D23" w:rsidRDefault="00F12319" w:rsidP="00F12319">
            <w:pPr>
              <w:ind w:left="0"/>
              <w:rPr>
                <w:rFonts w:cs="Calibri"/>
                <w:color w:val="000000"/>
                <w:szCs w:val="22"/>
              </w:rPr>
            </w:pPr>
            <w:r w:rsidRPr="003D2D23">
              <w:rPr>
                <w:rFonts w:cs="Calibri"/>
                <w:color w:val="000000"/>
                <w:szCs w:val="22"/>
              </w:rPr>
              <w:t>Chargebacks</w:t>
            </w:r>
          </w:p>
        </w:tc>
        <w:tc>
          <w:tcPr>
            <w:tcW w:w="5760" w:type="dxa"/>
            <w:vAlign w:val="center"/>
          </w:tcPr>
          <w:p w14:paraId="6BF5B0AB" w14:textId="77777777" w:rsidR="00F12319" w:rsidRPr="003D2D23" w:rsidRDefault="00F12319" w:rsidP="00F12319">
            <w:pPr>
              <w:ind w:left="0"/>
              <w:rPr>
                <w:rFonts w:cs="Calibri"/>
                <w:color w:val="000000"/>
                <w:szCs w:val="22"/>
              </w:rPr>
            </w:pPr>
            <w:r w:rsidRPr="003D2D23">
              <w:rPr>
                <w:rFonts w:ascii="Arial" w:hAnsi="Arial" w:cs="Arial"/>
                <w:color w:val="000000"/>
                <w:szCs w:val="22"/>
              </w:rPr>
              <w:t>​</w:t>
            </w:r>
            <w:r w:rsidRPr="003D2D23">
              <w:rPr>
                <w:rFonts w:cs="Calibri"/>
                <w:color w:val="000000"/>
                <w:szCs w:val="22"/>
              </w:rPr>
              <w:t>Secure transfer of data</w:t>
            </w:r>
          </w:p>
        </w:tc>
      </w:tr>
      <w:tr w:rsidR="00F12319" w14:paraId="531B68B0" w14:textId="77777777" w:rsidTr="00EB23D7">
        <w:tc>
          <w:tcPr>
            <w:tcW w:w="877" w:type="dxa"/>
            <w:vAlign w:val="center"/>
          </w:tcPr>
          <w:p w14:paraId="266E834E" w14:textId="25759E5C" w:rsidR="00F12319" w:rsidRPr="00194F03" w:rsidRDefault="00F12319" w:rsidP="00F12319">
            <w:pPr>
              <w:ind w:left="0"/>
              <w:jc w:val="center"/>
              <w:rPr>
                <w:rFonts w:cs="Calibri"/>
                <w:color w:val="000000"/>
                <w:szCs w:val="22"/>
              </w:rPr>
            </w:pPr>
            <w:r>
              <w:rPr>
                <w:color w:val="000000"/>
                <w:szCs w:val="22"/>
              </w:rPr>
              <w:t>79</w:t>
            </w:r>
          </w:p>
        </w:tc>
        <w:tc>
          <w:tcPr>
            <w:tcW w:w="1530" w:type="dxa"/>
            <w:vAlign w:val="center"/>
          </w:tcPr>
          <w:p w14:paraId="78B002AD" w14:textId="77777777" w:rsidR="00F12319" w:rsidRPr="003D2D23" w:rsidRDefault="00F12319" w:rsidP="00F12319">
            <w:pPr>
              <w:ind w:left="0"/>
              <w:rPr>
                <w:rFonts w:cs="Calibri"/>
                <w:color w:val="000000"/>
                <w:szCs w:val="22"/>
              </w:rPr>
            </w:pPr>
            <w:r w:rsidRPr="003D2D23">
              <w:rPr>
                <w:rFonts w:cs="Calibri"/>
                <w:color w:val="000000"/>
                <w:szCs w:val="22"/>
              </w:rPr>
              <w:t>Send</w:t>
            </w:r>
          </w:p>
        </w:tc>
        <w:tc>
          <w:tcPr>
            <w:tcW w:w="1710" w:type="dxa"/>
            <w:vAlign w:val="center"/>
          </w:tcPr>
          <w:p w14:paraId="1363A1A8" w14:textId="77777777" w:rsidR="00F12319" w:rsidRPr="003D2D23" w:rsidRDefault="00F12319" w:rsidP="00F12319">
            <w:pPr>
              <w:ind w:left="0"/>
              <w:rPr>
                <w:rFonts w:cs="Calibri"/>
                <w:color w:val="000000"/>
                <w:szCs w:val="22"/>
              </w:rPr>
            </w:pPr>
            <w:r w:rsidRPr="003D2D23">
              <w:rPr>
                <w:rFonts w:cs="Calibri"/>
                <w:color w:val="000000"/>
                <w:szCs w:val="22"/>
              </w:rPr>
              <w:t>Offline / Daily</w:t>
            </w:r>
          </w:p>
        </w:tc>
        <w:tc>
          <w:tcPr>
            <w:tcW w:w="2430" w:type="dxa"/>
            <w:vAlign w:val="center"/>
          </w:tcPr>
          <w:p w14:paraId="703D78C7" w14:textId="77777777" w:rsidR="00F12319" w:rsidRPr="003D2D23" w:rsidRDefault="00F12319" w:rsidP="00F12319">
            <w:pPr>
              <w:ind w:left="0"/>
              <w:rPr>
                <w:rFonts w:cs="Calibri"/>
                <w:color w:val="000000"/>
                <w:szCs w:val="22"/>
              </w:rPr>
            </w:pPr>
            <w:r w:rsidRPr="003D2D23">
              <w:rPr>
                <w:rFonts w:cs="Calibri"/>
                <w:color w:val="000000"/>
                <w:szCs w:val="22"/>
              </w:rPr>
              <w:t>TMI</w:t>
            </w:r>
          </w:p>
        </w:tc>
        <w:tc>
          <w:tcPr>
            <w:tcW w:w="2160" w:type="dxa"/>
            <w:vAlign w:val="center"/>
          </w:tcPr>
          <w:p w14:paraId="014F66D4" w14:textId="77777777" w:rsidR="00F12319" w:rsidRPr="003D2D23" w:rsidRDefault="00F12319" w:rsidP="00F12319">
            <w:pPr>
              <w:ind w:left="0"/>
              <w:rPr>
                <w:rFonts w:cs="Calibri"/>
                <w:color w:val="000000"/>
                <w:szCs w:val="22"/>
              </w:rPr>
            </w:pPr>
            <w:r w:rsidRPr="003D2D23">
              <w:rPr>
                <w:rFonts w:cs="Calibri"/>
                <w:color w:val="000000"/>
                <w:szCs w:val="22"/>
              </w:rPr>
              <w:t>C3 &amp; C4 Filing</w:t>
            </w:r>
          </w:p>
        </w:tc>
        <w:tc>
          <w:tcPr>
            <w:tcW w:w="5760" w:type="dxa"/>
            <w:vAlign w:val="center"/>
          </w:tcPr>
          <w:p w14:paraId="5E28824B" w14:textId="77777777" w:rsidR="00F12319" w:rsidRPr="003D2D23" w:rsidRDefault="00F12319" w:rsidP="00F12319">
            <w:pPr>
              <w:ind w:left="0"/>
              <w:rPr>
                <w:rFonts w:cs="Calibri"/>
                <w:color w:val="000000"/>
                <w:szCs w:val="22"/>
              </w:rPr>
            </w:pPr>
            <w:r w:rsidRPr="003D2D23">
              <w:rPr>
                <w:rFonts w:cs="Calibri"/>
                <w:color w:val="000000"/>
                <w:szCs w:val="22"/>
              </w:rPr>
              <w:t>Sends two (2) files from two (2) jobs</w:t>
            </w:r>
          </w:p>
        </w:tc>
      </w:tr>
      <w:tr w:rsidR="00F12319" w14:paraId="15E43C9F" w14:textId="77777777" w:rsidTr="00EB23D7">
        <w:tc>
          <w:tcPr>
            <w:tcW w:w="877" w:type="dxa"/>
            <w:vAlign w:val="center"/>
          </w:tcPr>
          <w:p w14:paraId="5D8C0D64" w14:textId="06547F47" w:rsidR="00F12319" w:rsidRPr="00194F03" w:rsidRDefault="00F12319" w:rsidP="00F12319">
            <w:pPr>
              <w:ind w:left="0"/>
              <w:jc w:val="center"/>
              <w:rPr>
                <w:rFonts w:cs="Calibri"/>
                <w:color w:val="000000"/>
                <w:szCs w:val="22"/>
              </w:rPr>
            </w:pPr>
            <w:r>
              <w:rPr>
                <w:szCs w:val="22"/>
              </w:rPr>
              <w:t>80</w:t>
            </w:r>
          </w:p>
        </w:tc>
        <w:tc>
          <w:tcPr>
            <w:tcW w:w="1530" w:type="dxa"/>
            <w:vAlign w:val="center"/>
          </w:tcPr>
          <w:p w14:paraId="60EA8CEB" w14:textId="77777777" w:rsidR="00F12319" w:rsidRPr="003D2D23" w:rsidRDefault="00F12319" w:rsidP="00F12319">
            <w:pPr>
              <w:ind w:left="0"/>
              <w:rPr>
                <w:rFonts w:cs="Calibri"/>
                <w:color w:val="000000"/>
                <w:szCs w:val="22"/>
              </w:rPr>
            </w:pPr>
            <w:r w:rsidRPr="003D2D23">
              <w:rPr>
                <w:rFonts w:cs="Calibri"/>
                <w:color w:val="000000"/>
                <w:szCs w:val="22"/>
              </w:rPr>
              <w:t>Receive</w:t>
            </w:r>
          </w:p>
        </w:tc>
        <w:tc>
          <w:tcPr>
            <w:tcW w:w="1710" w:type="dxa"/>
            <w:vAlign w:val="center"/>
          </w:tcPr>
          <w:p w14:paraId="212CFA2D" w14:textId="77777777" w:rsidR="00F12319" w:rsidRPr="003D2D23" w:rsidRDefault="00F12319" w:rsidP="00F12319">
            <w:pPr>
              <w:ind w:left="0"/>
              <w:rPr>
                <w:rFonts w:cs="Calibri"/>
                <w:color w:val="000000"/>
                <w:szCs w:val="22"/>
              </w:rPr>
            </w:pPr>
            <w:r w:rsidRPr="003D2D23">
              <w:rPr>
                <w:rFonts w:cs="Calibri"/>
                <w:color w:val="000000"/>
                <w:szCs w:val="22"/>
              </w:rPr>
              <w:t>Offline / Daily (M-F)</w:t>
            </w:r>
          </w:p>
        </w:tc>
        <w:tc>
          <w:tcPr>
            <w:tcW w:w="2430" w:type="dxa"/>
            <w:vAlign w:val="center"/>
          </w:tcPr>
          <w:p w14:paraId="55864BEA" w14:textId="77777777" w:rsidR="00F12319" w:rsidRPr="003D2D23" w:rsidRDefault="00F12319" w:rsidP="00F12319">
            <w:pPr>
              <w:ind w:left="0"/>
              <w:rPr>
                <w:rFonts w:cs="Calibri"/>
                <w:color w:val="000000"/>
                <w:szCs w:val="22"/>
              </w:rPr>
            </w:pPr>
            <w:r w:rsidRPr="003D2D23">
              <w:rPr>
                <w:rFonts w:cs="Calibri"/>
                <w:color w:val="000000"/>
                <w:szCs w:val="22"/>
              </w:rPr>
              <w:t>Trust Consulting Group</w:t>
            </w:r>
          </w:p>
        </w:tc>
        <w:tc>
          <w:tcPr>
            <w:tcW w:w="2160" w:type="dxa"/>
            <w:vAlign w:val="center"/>
          </w:tcPr>
          <w:p w14:paraId="1C1B395C" w14:textId="77777777" w:rsidR="00F12319" w:rsidRPr="003D2D23" w:rsidRDefault="00F12319" w:rsidP="00F12319">
            <w:pPr>
              <w:ind w:left="0"/>
              <w:rPr>
                <w:rFonts w:cs="Calibri"/>
                <w:color w:val="000000"/>
                <w:szCs w:val="22"/>
              </w:rPr>
            </w:pPr>
            <w:r w:rsidRPr="003D2D23">
              <w:rPr>
                <w:rFonts w:cs="Calibri"/>
                <w:color w:val="000000"/>
                <w:szCs w:val="22"/>
              </w:rPr>
              <w:t>Form 8850 FTP</w:t>
            </w:r>
          </w:p>
        </w:tc>
        <w:tc>
          <w:tcPr>
            <w:tcW w:w="5760" w:type="dxa"/>
            <w:vAlign w:val="center"/>
          </w:tcPr>
          <w:p w14:paraId="5B7440BB" w14:textId="77777777" w:rsidR="00F12319" w:rsidRPr="003D2D23" w:rsidRDefault="00F12319" w:rsidP="00F12319">
            <w:pPr>
              <w:ind w:left="0"/>
              <w:rPr>
                <w:rFonts w:cs="Calibri"/>
                <w:color w:val="000000"/>
                <w:szCs w:val="22"/>
              </w:rPr>
            </w:pPr>
            <w:r w:rsidRPr="003D2D23">
              <w:rPr>
                <w:rFonts w:cs="Calibri"/>
                <w:color w:val="000000"/>
                <w:szCs w:val="22"/>
              </w:rPr>
              <w:t>Secure transfer of data</w:t>
            </w:r>
            <w:r w:rsidRPr="003D2D23">
              <w:rPr>
                <w:rFonts w:ascii="Arial" w:hAnsi="Arial" w:cs="Arial"/>
                <w:color w:val="000000"/>
                <w:szCs w:val="22"/>
              </w:rPr>
              <w:t>​</w:t>
            </w:r>
          </w:p>
        </w:tc>
      </w:tr>
      <w:tr w:rsidR="00F12319" w14:paraId="1449A0C9" w14:textId="77777777" w:rsidTr="00EB23D7">
        <w:tc>
          <w:tcPr>
            <w:tcW w:w="877" w:type="dxa"/>
            <w:vAlign w:val="center"/>
          </w:tcPr>
          <w:p w14:paraId="6FF66ECF" w14:textId="054E7277" w:rsidR="00F12319" w:rsidRPr="00194F03" w:rsidRDefault="00F12319" w:rsidP="00F12319">
            <w:pPr>
              <w:ind w:left="0"/>
              <w:jc w:val="center"/>
              <w:rPr>
                <w:rFonts w:cs="Calibri"/>
                <w:color w:val="000000"/>
                <w:szCs w:val="22"/>
              </w:rPr>
            </w:pPr>
            <w:r>
              <w:rPr>
                <w:color w:val="000000"/>
                <w:szCs w:val="22"/>
              </w:rPr>
              <w:t>81</w:t>
            </w:r>
          </w:p>
        </w:tc>
        <w:tc>
          <w:tcPr>
            <w:tcW w:w="1530" w:type="dxa"/>
            <w:vAlign w:val="center"/>
          </w:tcPr>
          <w:p w14:paraId="5C05ED3D" w14:textId="77777777" w:rsidR="00F12319" w:rsidRPr="003D2D23" w:rsidRDefault="00F12319" w:rsidP="00F12319">
            <w:pPr>
              <w:ind w:left="0"/>
              <w:rPr>
                <w:rFonts w:cs="Calibri"/>
                <w:color w:val="000000"/>
                <w:szCs w:val="22"/>
              </w:rPr>
            </w:pPr>
            <w:r w:rsidRPr="003D2D23">
              <w:rPr>
                <w:rFonts w:cs="Calibri"/>
                <w:color w:val="000000"/>
                <w:szCs w:val="22"/>
              </w:rPr>
              <w:t>Both</w:t>
            </w:r>
          </w:p>
        </w:tc>
        <w:tc>
          <w:tcPr>
            <w:tcW w:w="1710" w:type="dxa"/>
            <w:vAlign w:val="center"/>
          </w:tcPr>
          <w:p w14:paraId="6A6B28AE" w14:textId="77777777" w:rsidR="00F12319" w:rsidRPr="003D2D23" w:rsidRDefault="00F12319" w:rsidP="00F12319">
            <w:pPr>
              <w:ind w:left="0"/>
              <w:rPr>
                <w:rFonts w:cs="Calibri"/>
                <w:color w:val="000000"/>
                <w:szCs w:val="22"/>
              </w:rPr>
            </w:pPr>
            <w:r w:rsidRPr="003D2D23">
              <w:rPr>
                <w:rFonts w:cs="Calibri"/>
                <w:color w:val="000000"/>
                <w:szCs w:val="22"/>
              </w:rPr>
              <w:t>Offline / On Request</w:t>
            </w:r>
          </w:p>
        </w:tc>
        <w:tc>
          <w:tcPr>
            <w:tcW w:w="2430" w:type="dxa"/>
            <w:vAlign w:val="center"/>
          </w:tcPr>
          <w:p w14:paraId="2C048E27" w14:textId="77777777" w:rsidR="00F12319" w:rsidRPr="003D2D23" w:rsidRDefault="00F12319" w:rsidP="00F12319">
            <w:pPr>
              <w:ind w:left="0"/>
              <w:rPr>
                <w:rFonts w:cs="Calibri"/>
                <w:color w:val="000000"/>
                <w:szCs w:val="22"/>
              </w:rPr>
            </w:pPr>
            <w:r>
              <w:rPr>
                <w:rFonts w:cs="Calibri"/>
                <w:color w:val="000000"/>
                <w:szCs w:val="22"/>
              </w:rPr>
              <w:t>TWC (</w:t>
            </w:r>
            <w:r w:rsidRPr="003D2D23">
              <w:rPr>
                <w:rFonts w:cs="Calibri"/>
                <w:color w:val="000000"/>
                <w:szCs w:val="22"/>
              </w:rPr>
              <w:t>TX Rehabilitation Commission</w:t>
            </w:r>
            <w:r>
              <w:rPr>
                <w:rFonts w:cs="Calibri"/>
                <w:color w:val="000000"/>
                <w:szCs w:val="22"/>
              </w:rPr>
              <w:t xml:space="preserve"> interface)</w:t>
            </w:r>
          </w:p>
        </w:tc>
        <w:tc>
          <w:tcPr>
            <w:tcW w:w="2160" w:type="dxa"/>
            <w:vAlign w:val="center"/>
          </w:tcPr>
          <w:p w14:paraId="45CE3A12" w14:textId="77777777" w:rsidR="00F12319" w:rsidRPr="003D2D23" w:rsidRDefault="00F12319" w:rsidP="00F12319">
            <w:pPr>
              <w:ind w:left="0"/>
              <w:rPr>
                <w:rFonts w:cs="Calibri"/>
                <w:color w:val="000000"/>
                <w:szCs w:val="22"/>
              </w:rPr>
            </w:pPr>
            <w:r w:rsidRPr="003D2D23">
              <w:rPr>
                <w:rFonts w:cs="Calibri"/>
                <w:color w:val="000000"/>
                <w:szCs w:val="22"/>
              </w:rPr>
              <w:t>Wage Records</w:t>
            </w:r>
          </w:p>
        </w:tc>
        <w:tc>
          <w:tcPr>
            <w:tcW w:w="5760" w:type="dxa"/>
            <w:vAlign w:val="center"/>
          </w:tcPr>
          <w:p w14:paraId="13969E75" w14:textId="77777777" w:rsidR="00F12319" w:rsidRPr="003D2D23" w:rsidRDefault="00F12319" w:rsidP="00F12319">
            <w:pPr>
              <w:ind w:left="0"/>
              <w:rPr>
                <w:rFonts w:cs="Calibri"/>
                <w:color w:val="000000"/>
                <w:szCs w:val="22"/>
              </w:rPr>
            </w:pPr>
            <w:r>
              <w:rPr>
                <w:rFonts w:cs="Calibri"/>
                <w:color w:val="000000"/>
                <w:szCs w:val="22"/>
              </w:rPr>
              <w:t>G</w:t>
            </w:r>
            <w:r w:rsidRPr="003D2D23">
              <w:rPr>
                <w:rFonts w:cs="Calibri"/>
                <w:color w:val="000000"/>
                <w:szCs w:val="22"/>
              </w:rPr>
              <w:t>ets one (1)</w:t>
            </w:r>
            <w:r>
              <w:rPr>
                <w:rFonts w:cs="Calibri"/>
                <w:color w:val="000000"/>
                <w:szCs w:val="22"/>
              </w:rPr>
              <w:t xml:space="preserve"> </w:t>
            </w:r>
            <w:r w:rsidRPr="003D2D23">
              <w:rPr>
                <w:rFonts w:cs="Calibri"/>
                <w:color w:val="000000"/>
                <w:szCs w:val="22"/>
              </w:rPr>
              <w:t>file and puts one (1)</w:t>
            </w:r>
            <w:r>
              <w:rPr>
                <w:rFonts w:cs="Calibri"/>
                <w:color w:val="000000"/>
                <w:szCs w:val="22"/>
              </w:rPr>
              <w:t xml:space="preserve"> </w:t>
            </w:r>
            <w:r w:rsidRPr="003D2D23">
              <w:rPr>
                <w:rFonts w:cs="Calibri"/>
                <w:color w:val="000000"/>
                <w:szCs w:val="22"/>
              </w:rPr>
              <w:t>file</w:t>
            </w:r>
          </w:p>
        </w:tc>
      </w:tr>
      <w:tr w:rsidR="00F12319" w14:paraId="3C7C1D3A" w14:textId="77777777" w:rsidTr="00EB23D7">
        <w:tc>
          <w:tcPr>
            <w:tcW w:w="877" w:type="dxa"/>
            <w:vAlign w:val="center"/>
          </w:tcPr>
          <w:p w14:paraId="67A9EDEC" w14:textId="20DD53AB" w:rsidR="00F12319" w:rsidRPr="00194F03" w:rsidRDefault="00F12319" w:rsidP="00F12319">
            <w:pPr>
              <w:ind w:left="0"/>
              <w:jc w:val="center"/>
              <w:rPr>
                <w:rFonts w:cs="Calibri"/>
                <w:color w:val="000000"/>
                <w:szCs w:val="22"/>
              </w:rPr>
            </w:pPr>
            <w:r>
              <w:rPr>
                <w:szCs w:val="22"/>
              </w:rPr>
              <w:t>82</w:t>
            </w:r>
          </w:p>
        </w:tc>
        <w:tc>
          <w:tcPr>
            <w:tcW w:w="1530" w:type="dxa"/>
            <w:vAlign w:val="center"/>
          </w:tcPr>
          <w:p w14:paraId="7D196BB2" w14:textId="77777777" w:rsidR="00F12319" w:rsidRPr="003D2D23" w:rsidRDefault="00F12319" w:rsidP="00F12319">
            <w:pPr>
              <w:ind w:left="0"/>
              <w:rPr>
                <w:rFonts w:cs="Calibri"/>
                <w:color w:val="000000"/>
                <w:szCs w:val="22"/>
              </w:rPr>
            </w:pPr>
            <w:r w:rsidRPr="003D2D23">
              <w:rPr>
                <w:rFonts w:cs="Calibri"/>
                <w:color w:val="000000"/>
                <w:szCs w:val="22"/>
              </w:rPr>
              <w:t>Both</w:t>
            </w:r>
          </w:p>
        </w:tc>
        <w:tc>
          <w:tcPr>
            <w:tcW w:w="1710" w:type="dxa"/>
            <w:vAlign w:val="center"/>
          </w:tcPr>
          <w:p w14:paraId="53457A42" w14:textId="77777777" w:rsidR="00F12319" w:rsidRPr="003D2D23" w:rsidRDefault="00F12319" w:rsidP="00F12319">
            <w:pPr>
              <w:ind w:left="0"/>
              <w:rPr>
                <w:rFonts w:cs="Calibri"/>
                <w:color w:val="000000"/>
                <w:szCs w:val="22"/>
              </w:rPr>
            </w:pPr>
            <w:r w:rsidRPr="003D2D23">
              <w:rPr>
                <w:rFonts w:cs="Calibri"/>
                <w:color w:val="000000"/>
                <w:szCs w:val="22"/>
              </w:rPr>
              <w:t>Offline / On Request</w:t>
            </w:r>
          </w:p>
        </w:tc>
        <w:tc>
          <w:tcPr>
            <w:tcW w:w="2430" w:type="dxa"/>
            <w:vAlign w:val="center"/>
          </w:tcPr>
          <w:p w14:paraId="2B7013B7" w14:textId="77777777" w:rsidR="00F12319" w:rsidRPr="003D2D23" w:rsidRDefault="00F12319" w:rsidP="00F12319">
            <w:pPr>
              <w:ind w:left="0"/>
              <w:rPr>
                <w:rFonts w:cs="Calibri"/>
                <w:color w:val="000000"/>
                <w:szCs w:val="22"/>
              </w:rPr>
            </w:pPr>
            <w:r>
              <w:rPr>
                <w:rFonts w:cs="Calibri"/>
                <w:color w:val="000000"/>
                <w:szCs w:val="22"/>
              </w:rPr>
              <w:t>TWC (</w:t>
            </w:r>
            <w:r w:rsidRPr="003D2D23">
              <w:rPr>
                <w:rFonts w:cs="Calibri"/>
                <w:color w:val="000000"/>
                <w:szCs w:val="22"/>
              </w:rPr>
              <w:t>TX Rehabilitation Commission</w:t>
            </w:r>
            <w:r>
              <w:rPr>
                <w:rFonts w:cs="Calibri"/>
                <w:color w:val="000000"/>
                <w:szCs w:val="22"/>
              </w:rPr>
              <w:t xml:space="preserve"> interface)</w:t>
            </w:r>
          </w:p>
        </w:tc>
        <w:tc>
          <w:tcPr>
            <w:tcW w:w="2160" w:type="dxa"/>
            <w:vAlign w:val="center"/>
          </w:tcPr>
          <w:p w14:paraId="05B10FE0" w14:textId="77777777" w:rsidR="00F12319" w:rsidRPr="003D2D23" w:rsidRDefault="00F12319" w:rsidP="00F12319">
            <w:pPr>
              <w:ind w:left="0"/>
              <w:rPr>
                <w:rFonts w:cs="Calibri"/>
                <w:color w:val="000000"/>
                <w:szCs w:val="22"/>
              </w:rPr>
            </w:pPr>
            <w:r w:rsidRPr="003D2D23">
              <w:rPr>
                <w:rFonts w:cs="Calibri"/>
                <w:color w:val="000000"/>
                <w:szCs w:val="22"/>
              </w:rPr>
              <w:t>Wage Records</w:t>
            </w:r>
          </w:p>
        </w:tc>
        <w:tc>
          <w:tcPr>
            <w:tcW w:w="5760" w:type="dxa"/>
            <w:vAlign w:val="center"/>
          </w:tcPr>
          <w:p w14:paraId="74BAC748" w14:textId="77777777" w:rsidR="00F12319" w:rsidRPr="003D2D23" w:rsidRDefault="00F12319" w:rsidP="00F12319">
            <w:pPr>
              <w:ind w:left="0"/>
              <w:rPr>
                <w:rFonts w:cs="Calibri"/>
                <w:color w:val="000000"/>
                <w:szCs w:val="22"/>
              </w:rPr>
            </w:pPr>
            <w:r>
              <w:rPr>
                <w:rFonts w:cs="Calibri"/>
                <w:color w:val="000000"/>
                <w:szCs w:val="22"/>
              </w:rPr>
              <w:t>G</w:t>
            </w:r>
            <w:r w:rsidRPr="003D2D23">
              <w:rPr>
                <w:rFonts w:cs="Calibri"/>
                <w:color w:val="000000"/>
                <w:szCs w:val="22"/>
              </w:rPr>
              <w:t>ets one (1)</w:t>
            </w:r>
            <w:r>
              <w:rPr>
                <w:rFonts w:cs="Calibri"/>
                <w:color w:val="000000"/>
                <w:szCs w:val="22"/>
              </w:rPr>
              <w:t xml:space="preserve"> </w:t>
            </w:r>
            <w:r w:rsidRPr="003D2D23">
              <w:rPr>
                <w:rFonts w:cs="Calibri"/>
                <w:color w:val="000000"/>
                <w:szCs w:val="22"/>
              </w:rPr>
              <w:t>seed file and puts one (1)</w:t>
            </w:r>
            <w:r>
              <w:rPr>
                <w:rFonts w:cs="Calibri"/>
                <w:color w:val="000000"/>
                <w:szCs w:val="22"/>
              </w:rPr>
              <w:t xml:space="preserve"> </w:t>
            </w:r>
            <w:r w:rsidRPr="003D2D23">
              <w:rPr>
                <w:rFonts w:cs="Calibri"/>
                <w:color w:val="000000"/>
                <w:szCs w:val="22"/>
              </w:rPr>
              <w:t>file</w:t>
            </w:r>
          </w:p>
        </w:tc>
      </w:tr>
      <w:tr w:rsidR="00F12319" w14:paraId="46BF2DE7" w14:textId="77777777" w:rsidTr="00EB23D7">
        <w:tc>
          <w:tcPr>
            <w:tcW w:w="877" w:type="dxa"/>
            <w:vAlign w:val="center"/>
          </w:tcPr>
          <w:p w14:paraId="007A0E85" w14:textId="4C8E2D4D" w:rsidR="00F12319" w:rsidRPr="00194F03" w:rsidRDefault="00F12319" w:rsidP="00F12319">
            <w:pPr>
              <w:ind w:left="0"/>
              <w:jc w:val="center"/>
              <w:rPr>
                <w:rFonts w:cs="Calibri"/>
                <w:color w:val="000000"/>
                <w:szCs w:val="22"/>
              </w:rPr>
            </w:pPr>
            <w:r>
              <w:rPr>
                <w:color w:val="000000"/>
                <w:szCs w:val="22"/>
              </w:rPr>
              <w:t>83</w:t>
            </w:r>
          </w:p>
        </w:tc>
        <w:tc>
          <w:tcPr>
            <w:tcW w:w="1530" w:type="dxa"/>
            <w:vAlign w:val="center"/>
          </w:tcPr>
          <w:p w14:paraId="658BACA0" w14:textId="77777777" w:rsidR="00F12319" w:rsidRPr="003D2D23" w:rsidRDefault="00F12319" w:rsidP="00F12319">
            <w:pPr>
              <w:ind w:left="0"/>
              <w:rPr>
                <w:rFonts w:cs="Calibri"/>
                <w:color w:val="000000"/>
                <w:szCs w:val="22"/>
              </w:rPr>
            </w:pPr>
            <w:r w:rsidRPr="003D2D23">
              <w:rPr>
                <w:rFonts w:cs="Calibri"/>
                <w:color w:val="000000"/>
                <w:szCs w:val="22"/>
              </w:rPr>
              <w:t>Send</w:t>
            </w:r>
          </w:p>
        </w:tc>
        <w:tc>
          <w:tcPr>
            <w:tcW w:w="1710" w:type="dxa"/>
            <w:vAlign w:val="center"/>
          </w:tcPr>
          <w:p w14:paraId="3A6A6BB0" w14:textId="77777777" w:rsidR="00F12319" w:rsidRPr="003D2D23" w:rsidRDefault="00F12319" w:rsidP="00F12319">
            <w:pPr>
              <w:ind w:left="0"/>
              <w:rPr>
                <w:rFonts w:cs="Calibri"/>
                <w:color w:val="000000"/>
                <w:szCs w:val="22"/>
              </w:rPr>
            </w:pPr>
            <w:r w:rsidRPr="003D2D23">
              <w:rPr>
                <w:rFonts w:cs="Calibri"/>
                <w:color w:val="000000"/>
                <w:szCs w:val="22"/>
              </w:rPr>
              <w:t>Offline / Quarterly</w:t>
            </w:r>
          </w:p>
        </w:tc>
        <w:tc>
          <w:tcPr>
            <w:tcW w:w="2430" w:type="dxa"/>
            <w:vAlign w:val="center"/>
          </w:tcPr>
          <w:p w14:paraId="1FB22405" w14:textId="77777777" w:rsidR="00F12319" w:rsidRPr="003D2D23" w:rsidRDefault="00F12319" w:rsidP="00F12319">
            <w:pPr>
              <w:ind w:left="0"/>
              <w:rPr>
                <w:rFonts w:cs="Calibri"/>
                <w:color w:val="000000"/>
                <w:szCs w:val="22"/>
              </w:rPr>
            </w:pPr>
            <w:r w:rsidRPr="003D2D23">
              <w:rPr>
                <w:rFonts w:cs="Calibri"/>
                <w:color w:val="000000"/>
                <w:szCs w:val="22"/>
              </w:rPr>
              <w:t xml:space="preserve">TWC </w:t>
            </w:r>
            <w:r>
              <w:rPr>
                <w:rFonts w:cs="Calibri"/>
                <w:color w:val="000000"/>
                <w:szCs w:val="22"/>
              </w:rPr>
              <w:t>LMCI</w:t>
            </w:r>
          </w:p>
        </w:tc>
        <w:tc>
          <w:tcPr>
            <w:tcW w:w="2160" w:type="dxa"/>
            <w:vAlign w:val="center"/>
          </w:tcPr>
          <w:p w14:paraId="101C8892" w14:textId="77777777" w:rsidR="00F12319" w:rsidRPr="003D2D23" w:rsidRDefault="00F12319" w:rsidP="00F12319">
            <w:pPr>
              <w:ind w:left="0"/>
              <w:rPr>
                <w:rFonts w:cs="Calibri"/>
                <w:color w:val="000000"/>
                <w:szCs w:val="22"/>
              </w:rPr>
            </w:pPr>
            <w:r w:rsidRPr="003D2D23">
              <w:rPr>
                <w:rFonts w:cs="Calibri"/>
                <w:color w:val="000000"/>
                <w:szCs w:val="22"/>
              </w:rPr>
              <w:t>Wage Records</w:t>
            </w:r>
          </w:p>
        </w:tc>
        <w:tc>
          <w:tcPr>
            <w:tcW w:w="5760" w:type="dxa"/>
            <w:vAlign w:val="center"/>
          </w:tcPr>
          <w:p w14:paraId="31AFF7B8" w14:textId="77777777" w:rsidR="00F12319" w:rsidRPr="003D2D23" w:rsidRDefault="00F12319" w:rsidP="00F12319">
            <w:pPr>
              <w:ind w:left="0"/>
              <w:rPr>
                <w:rFonts w:cs="Calibri"/>
                <w:color w:val="000000"/>
                <w:szCs w:val="22"/>
              </w:rPr>
            </w:pPr>
            <w:r>
              <w:rPr>
                <w:rFonts w:cs="Calibri"/>
                <w:color w:val="000000"/>
                <w:szCs w:val="22"/>
              </w:rPr>
              <w:t>Put to LMCI;</w:t>
            </w:r>
            <w:r w:rsidRPr="003D2D23">
              <w:rPr>
                <w:rFonts w:cs="Calibri"/>
                <w:color w:val="000000"/>
                <w:szCs w:val="22"/>
              </w:rPr>
              <w:t xml:space="preserve"> </w:t>
            </w:r>
            <w:r>
              <w:rPr>
                <w:rFonts w:cs="Calibri"/>
                <w:color w:val="000000"/>
                <w:szCs w:val="22"/>
              </w:rPr>
              <w:t>t</w:t>
            </w:r>
            <w:r w:rsidRPr="003D2D23">
              <w:rPr>
                <w:rFonts w:cs="Calibri"/>
                <w:color w:val="000000"/>
                <w:szCs w:val="22"/>
              </w:rPr>
              <w:t xml:space="preserve">his job creates an individual wage item record for each of the </w:t>
            </w:r>
            <w:r>
              <w:rPr>
                <w:rFonts w:cs="Calibri"/>
                <w:color w:val="000000"/>
                <w:szCs w:val="22"/>
              </w:rPr>
              <w:t>six (6)</w:t>
            </w:r>
            <w:r w:rsidRPr="003D2D23">
              <w:rPr>
                <w:rFonts w:cs="Calibri"/>
                <w:color w:val="000000"/>
                <w:szCs w:val="22"/>
              </w:rPr>
              <w:t xml:space="preserve"> q</w:t>
            </w:r>
            <w:r>
              <w:rPr>
                <w:rFonts w:cs="Calibri"/>
                <w:color w:val="000000"/>
                <w:szCs w:val="22"/>
              </w:rPr>
              <w:t>uarters of the wage record file;</w:t>
            </w:r>
            <w:r w:rsidRPr="003D2D23">
              <w:rPr>
                <w:rFonts w:cs="Calibri"/>
                <w:color w:val="000000"/>
                <w:szCs w:val="22"/>
              </w:rPr>
              <w:t xml:space="preserve"> </w:t>
            </w:r>
            <w:r>
              <w:rPr>
                <w:rFonts w:cs="Calibri"/>
                <w:color w:val="000000"/>
                <w:szCs w:val="22"/>
              </w:rPr>
              <w:t>w</w:t>
            </w:r>
            <w:r w:rsidRPr="003D2D23">
              <w:rPr>
                <w:rFonts w:cs="Calibri"/>
                <w:color w:val="000000"/>
                <w:szCs w:val="22"/>
              </w:rPr>
              <w:t xml:space="preserve">age items with other than one </w:t>
            </w:r>
            <w:r>
              <w:rPr>
                <w:rFonts w:cs="Calibri"/>
                <w:color w:val="000000"/>
                <w:szCs w:val="22"/>
              </w:rPr>
              <w:t xml:space="preserve">(1) </w:t>
            </w:r>
            <w:r w:rsidRPr="003D2D23">
              <w:rPr>
                <w:rFonts w:cs="Calibri"/>
                <w:color w:val="000000"/>
                <w:szCs w:val="22"/>
              </w:rPr>
              <w:t xml:space="preserve">of the </w:t>
            </w:r>
            <w:r>
              <w:rPr>
                <w:rFonts w:cs="Calibri"/>
                <w:color w:val="000000"/>
                <w:szCs w:val="22"/>
              </w:rPr>
              <w:t>six (6)</w:t>
            </w:r>
            <w:r w:rsidRPr="003D2D23">
              <w:rPr>
                <w:rFonts w:cs="Calibri"/>
                <w:color w:val="000000"/>
                <w:szCs w:val="22"/>
              </w:rPr>
              <w:t xml:space="preserve"> legitimate quarters or with an incorrect account number will be recorded on a</w:t>
            </w:r>
            <w:r>
              <w:rPr>
                <w:rFonts w:cs="Calibri"/>
                <w:color w:val="000000"/>
                <w:szCs w:val="22"/>
              </w:rPr>
              <w:t>n error file</w:t>
            </w:r>
          </w:p>
        </w:tc>
      </w:tr>
      <w:tr w:rsidR="00F12319" w14:paraId="59728061" w14:textId="77777777" w:rsidTr="00EB23D7">
        <w:tc>
          <w:tcPr>
            <w:tcW w:w="877" w:type="dxa"/>
            <w:vAlign w:val="center"/>
          </w:tcPr>
          <w:p w14:paraId="2F50CB83" w14:textId="384C40F5" w:rsidR="00F12319" w:rsidRPr="00194F03" w:rsidRDefault="00F12319" w:rsidP="00F12319">
            <w:pPr>
              <w:ind w:left="0"/>
              <w:jc w:val="center"/>
              <w:rPr>
                <w:rFonts w:cs="Calibri"/>
                <w:color w:val="000000"/>
                <w:szCs w:val="22"/>
              </w:rPr>
            </w:pPr>
            <w:r>
              <w:rPr>
                <w:szCs w:val="22"/>
              </w:rPr>
              <w:t>84</w:t>
            </w:r>
          </w:p>
        </w:tc>
        <w:tc>
          <w:tcPr>
            <w:tcW w:w="1530" w:type="dxa"/>
            <w:vAlign w:val="center"/>
          </w:tcPr>
          <w:p w14:paraId="499C3D33" w14:textId="77777777" w:rsidR="00F12319" w:rsidRPr="003D2D23" w:rsidRDefault="00F12319" w:rsidP="00F12319">
            <w:pPr>
              <w:ind w:left="0"/>
              <w:rPr>
                <w:rFonts w:cs="Calibri"/>
                <w:color w:val="000000"/>
                <w:szCs w:val="22"/>
              </w:rPr>
            </w:pPr>
            <w:r w:rsidRPr="003D2D23">
              <w:rPr>
                <w:rFonts w:cs="Calibri"/>
                <w:color w:val="000000"/>
                <w:szCs w:val="22"/>
              </w:rPr>
              <w:t>Send</w:t>
            </w:r>
          </w:p>
        </w:tc>
        <w:tc>
          <w:tcPr>
            <w:tcW w:w="1710" w:type="dxa"/>
            <w:vAlign w:val="center"/>
          </w:tcPr>
          <w:p w14:paraId="09E4BADA" w14:textId="77777777" w:rsidR="00F12319" w:rsidRPr="003D2D23" w:rsidRDefault="00F12319" w:rsidP="00F12319">
            <w:pPr>
              <w:ind w:left="0"/>
              <w:rPr>
                <w:rFonts w:cs="Calibri"/>
                <w:color w:val="000000"/>
                <w:szCs w:val="22"/>
              </w:rPr>
            </w:pPr>
            <w:r w:rsidRPr="003D2D23">
              <w:rPr>
                <w:rFonts w:cs="Calibri"/>
                <w:color w:val="000000"/>
                <w:szCs w:val="22"/>
              </w:rPr>
              <w:t>Offline / Daily</w:t>
            </w:r>
          </w:p>
        </w:tc>
        <w:tc>
          <w:tcPr>
            <w:tcW w:w="2430" w:type="dxa"/>
            <w:vAlign w:val="center"/>
          </w:tcPr>
          <w:p w14:paraId="26E0F133" w14:textId="77777777" w:rsidR="00F12319" w:rsidRPr="003D2D23" w:rsidRDefault="00F12319" w:rsidP="00F12319">
            <w:pPr>
              <w:ind w:left="0"/>
              <w:rPr>
                <w:rFonts w:cs="Calibri"/>
                <w:color w:val="000000"/>
                <w:szCs w:val="22"/>
              </w:rPr>
            </w:pPr>
            <w:r>
              <w:rPr>
                <w:rFonts w:cs="Calibri"/>
                <w:color w:val="000000"/>
                <w:szCs w:val="22"/>
              </w:rPr>
              <w:t>TWC</w:t>
            </w:r>
            <w:r w:rsidRPr="003D2D23">
              <w:rPr>
                <w:rFonts w:cs="Calibri"/>
                <w:color w:val="000000"/>
                <w:szCs w:val="22"/>
              </w:rPr>
              <w:t xml:space="preserve"> Peoplesoft</w:t>
            </w:r>
          </w:p>
        </w:tc>
        <w:tc>
          <w:tcPr>
            <w:tcW w:w="2160" w:type="dxa"/>
            <w:vAlign w:val="center"/>
          </w:tcPr>
          <w:p w14:paraId="1E91E741" w14:textId="77777777" w:rsidR="00F12319" w:rsidRPr="003D2D23" w:rsidRDefault="00F12319" w:rsidP="00F12319">
            <w:pPr>
              <w:ind w:left="0"/>
              <w:rPr>
                <w:rFonts w:cs="Calibri"/>
                <w:color w:val="000000"/>
                <w:szCs w:val="22"/>
              </w:rPr>
            </w:pPr>
            <w:r w:rsidRPr="003D2D23">
              <w:rPr>
                <w:rFonts w:cs="Calibri"/>
                <w:color w:val="000000"/>
                <w:szCs w:val="22"/>
              </w:rPr>
              <w:t>Peoplesoft Vendor load file</w:t>
            </w:r>
          </w:p>
        </w:tc>
        <w:tc>
          <w:tcPr>
            <w:tcW w:w="5760" w:type="dxa"/>
            <w:vAlign w:val="center"/>
          </w:tcPr>
          <w:p w14:paraId="5E616527" w14:textId="77777777" w:rsidR="00F12319" w:rsidRPr="003D2D23" w:rsidRDefault="00F12319" w:rsidP="00F12319">
            <w:pPr>
              <w:ind w:left="0"/>
              <w:rPr>
                <w:rFonts w:cs="Calibri"/>
                <w:color w:val="000000"/>
                <w:szCs w:val="22"/>
              </w:rPr>
            </w:pPr>
            <w:r>
              <w:rPr>
                <w:rFonts w:cs="Calibri"/>
                <w:color w:val="000000"/>
                <w:szCs w:val="22"/>
              </w:rPr>
              <w:t>S</w:t>
            </w:r>
            <w:r w:rsidRPr="003D2D23">
              <w:rPr>
                <w:rFonts w:cs="Calibri"/>
                <w:color w:val="000000"/>
                <w:szCs w:val="22"/>
              </w:rPr>
              <w:t xml:space="preserve">end vendor data file to </w:t>
            </w:r>
            <w:r>
              <w:rPr>
                <w:rFonts w:cs="Calibri"/>
                <w:color w:val="000000"/>
                <w:szCs w:val="22"/>
              </w:rPr>
              <w:t>TWC Peoplesoft;</w:t>
            </w:r>
            <w:r w:rsidRPr="003D2D23">
              <w:rPr>
                <w:rFonts w:cs="Calibri"/>
                <w:color w:val="000000"/>
                <w:szCs w:val="22"/>
              </w:rPr>
              <w:t xml:space="preserve"> </w:t>
            </w:r>
            <w:r>
              <w:rPr>
                <w:rFonts w:cs="Calibri"/>
                <w:color w:val="000000"/>
                <w:szCs w:val="22"/>
              </w:rPr>
              <w:t>f</w:t>
            </w:r>
            <w:r w:rsidRPr="003D2D23">
              <w:rPr>
                <w:rFonts w:cs="Calibri"/>
                <w:color w:val="000000"/>
                <w:szCs w:val="22"/>
              </w:rPr>
              <w:t>ile is a comb</w:t>
            </w:r>
            <w:r>
              <w:rPr>
                <w:rFonts w:cs="Calibri"/>
                <w:color w:val="000000"/>
                <w:szCs w:val="22"/>
              </w:rPr>
              <w:t>ination of LL, TAX and BN files</w:t>
            </w:r>
          </w:p>
        </w:tc>
      </w:tr>
      <w:tr w:rsidR="00F12319" w14:paraId="3FE0B46D" w14:textId="77777777" w:rsidTr="00EB23D7">
        <w:tc>
          <w:tcPr>
            <w:tcW w:w="877" w:type="dxa"/>
            <w:vAlign w:val="center"/>
          </w:tcPr>
          <w:p w14:paraId="18B3E2B5" w14:textId="175378A4" w:rsidR="00F12319" w:rsidRPr="00194F03" w:rsidRDefault="00F12319" w:rsidP="00F12319">
            <w:pPr>
              <w:ind w:left="0"/>
              <w:jc w:val="center"/>
              <w:rPr>
                <w:rFonts w:cs="Calibri"/>
                <w:color w:val="000000"/>
                <w:szCs w:val="22"/>
              </w:rPr>
            </w:pPr>
            <w:r>
              <w:rPr>
                <w:color w:val="000000"/>
                <w:szCs w:val="22"/>
              </w:rPr>
              <w:lastRenderedPageBreak/>
              <w:t>85</w:t>
            </w:r>
          </w:p>
        </w:tc>
        <w:tc>
          <w:tcPr>
            <w:tcW w:w="1530" w:type="dxa"/>
            <w:vAlign w:val="center"/>
          </w:tcPr>
          <w:p w14:paraId="480CE895" w14:textId="77777777" w:rsidR="00F12319" w:rsidRPr="003D2D23" w:rsidRDefault="00F12319" w:rsidP="00F12319">
            <w:pPr>
              <w:ind w:left="0"/>
              <w:rPr>
                <w:rFonts w:cs="Calibri"/>
                <w:color w:val="000000"/>
                <w:szCs w:val="22"/>
              </w:rPr>
            </w:pPr>
            <w:r w:rsidRPr="003D2D23">
              <w:rPr>
                <w:rFonts w:cs="Calibri"/>
                <w:color w:val="000000"/>
                <w:szCs w:val="22"/>
              </w:rPr>
              <w:t>Both</w:t>
            </w:r>
          </w:p>
        </w:tc>
        <w:tc>
          <w:tcPr>
            <w:tcW w:w="1710" w:type="dxa"/>
            <w:vAlign w:val="center"/>
          </w:tcPr>
          <w:p w14:paraId="32438A20" w14:textId="77777777" w:rsidR="00F12319" w:rsidRPr="003D2D23" w:rsidRDefault="00F12319" w:rsidP="00F12319">
            <w:pPr>
              <w:ind w:left="0"/>
              <w:rPr>
                <w:rFonts w:cs="Calibri"/>
                <w:color w:val="000000"/>
                <w:szCs w:val="22"/>
              </w:rPr>
            </w:pPr>
            <w:r w:rsidRPr="003D2D23">
              <w:rPr>
                <w:rFonts w:cs="Calibri"/>
                <w:color w:val="000000"/>
                <w:szCs w:val="22"/>
              </w:rPr>
              <w:t>Offline / On Request</w:t>
            </w:r>
          </w:p>
        </w:tc>
        <w:tc>
          <w:tcPr>
            <w:tcW w:w="2430" w:type="dxa"/>
            <w:vAlign w:val="center"/>
          </w:tcPr>
          <w:p w14:paraId="6416B9FA" w14:textId="77777777" w:rsidR="00F12319" w:rsidRPr="003D2D23" w:rsidRDefault="00F12319" w:rsidP="00F12319">
            <w:pPr>
              <w:ind w:left="0"/>
              <w:rPr>
                <w:rFonts w:cs="Calibri"/>
                <w:color w:val="000000"/>
                <w:szCs w:val="22"/>
              </w:rPr>
            </w:pPr>
            <w:r w:rsidRPr="003D2D23">
              <w:rPr>
                <w:rFonts w:cs="Calibri"/>
                <w:color w:val="000000"/>
                <w:szCs w:val="22"/>
              </w:rPr>
              <w:t>TX Association of School Boards</w:t>
            </w:r>
          </w:p>
        </w:tc>
        <w:tc>
          <w:tcPr>
            <w:tcW w:w="2160" w:type="dxa"/>
            <w:vAlign w:val="center"/>
          </w:tcPr>
          <w:p w14:paraId="56E9892E" w14:textId="77777777" w:rsidR="00F12319" w:rsidRPr="003D2D23" w:rsidRDefault="00F12319" w:rsidP="00F12319">
            <w:pPr>
              <w:ind w:left="0"/>
              <w:rPr>
                <w:rFonts w:cs="Calibri"/>
                <w:color w:val="000000"/>
                <w:szCs w:val="22"/>
              </w:rPr>
            </w:pPr>
            <w:r w:rsidRPr="003D2D23">
              <w:rPr>
                <w:rFonts w:cs="Calibri"/>
                <w:color w:val="000000"/>
                <w:szCs w:val="22"/>
              </w:rPr>
              <w:t>C3 Wages for six quarters</w:t>
            </w:r>
          </w:p>
        </w:tc>
        <w:tc>
          <w:tcPr>
            <w:tcW w:w="5760" w:type="dxa"/>
            <w:vAlign w:val="center"/>
          </w:tcPr>
          <w:p w14:paraId="58408FFD" w14:textId="77777777" w:rsidR="00F12319" w:rsidRPr="003D2D23" w:rsidRDefault="00F12319" w:rsidP="00F12319">
            <w:pPr>
              <w:ind w:left="0"/>
              <w:rPr>
                <w:rFonts w:cs="Calibri"/>
                <w:color w:val="000000"/>
                <w:szCs w:val="22"/>
              </w:rPr>
            </w:pPr>
            <w:r w:rsidRPr="003D2D23">
              <w:rPr>
                <w:rFonts w:cs="Calibri"/>
                <w:color w:val="000000"/>
                <w:szCs w:val="22"/>
              </w:rPr>
              <w:t xml:space="preserve">Wage records for </w:t>
            </w:r>
            <w:r>
              <w:rPr>
                <w:rFonts w:cs="Calibri"/>
                <w:color w:val="000000"/>
                <w:szCs w:val="22"/>
              </w:rPr>
              <w:t>six (6)</w:t>
            </w:r>
            <w:r w:rsidRPr="003D2D23">
              <w:rPr>
                <w:rFonts w:cs="Calibri"/>
                <w:color w:val="000000"/>
                <w:szCs w:val="22"/>
              </w:rPr>
              <w:t xml:space="preserve"> quarters</w:t>
            </w:r>
          </w:p>
        </w:tc>
      </w:tr>
      <w:tr w:rsidR="00F12319" w14:paraId="78DE7A89" w14:textId="77777777" w:rsidTr="00EB23D7">
        <w:tc>
          <w:tcPr>
            <w:tcW w:w="877" w:type="dxa"/>
            <w:vAlign w:val="center"/>
          </w:tcPr>
          <w:p w14:paraId="2A76996F" w14:textId="7CA03B93" w:rsidR="00F12319" w:rsidRPr="00194F03" w:rsidRDefault="00F12319" w:rsidP="00F12319">
            <w:pPr>
              <w:ind w:left="0"/>
              <w:jc w:val="center"/>
              <w:rPr>
                <w:rFonts w:cs="Calibri"/>
                <w:color w:val="000000"/>
                <w:szCs w:val="22"/>
              </w:rPr>
            </w:pPr>
            <w:r>
              <w:rPr>
                <w:szCs w:val="22"/>
              </w:rPr>
              <w:t>86</w:t>
            </w:r>
          </w:p>
        </w:tc>
        <w:tc>
          <w:tcPr>
            <w:tcW w:w="1530" w:type="dxa"/>
            <w:vAlign w:val="center"/>
          </w:tcPr>
          <w:p w14:paraId="22E8F704" w14:textId="77777777" w:rsidR="00F12319" w:rsidRPr="003D2D23" w:rsidRDefault="00F12319" w:rsidP="00F12319">
            <w:pPr>
              <w:ind w:left="0"/>
              <w:rPr>
                <w:rFonts w:cs="Calibri"/>
                <w:color w:val="000000"/>
                <w:szCs w:val="22"/>
              </w:rPr>
            </w:pPr>
            <w:r w:rsidRPr="003D2D23">
              <w:rPr>
                <w:rFonts w:cs="Calibri"/>
                <w:color w:val="000000"/>
                <w:szCs w:val="22"/>
              </w:rPr>
              <w:t>Both</w:t>
            </w:r>
          </w:p>
        </w:tc>
        <w:tc>
          <w:tcPr>
            <w:tcW w:w="1710" w:type="dxa"/>
            <w:vAlign w:val="center"/>
          </w:tcPr>
          <w:p w14:paraId="5E591710" w14:textId="77777777" w:rsidR="00F12319" w:rsidRPr="003D2D23" w:rsidRDefault="00F12319" w:rsidP="00F12319">
            <w:pPr>
              <w:ind w:left="0"/>
              <w:rPr>
                <w:rFonts w:cs="Calibri"/>
                <w:color w:val="000000"/>
                <w:szCs w:val="22"/>
              </w:rPr>
            </w:pPr>
            <w:r w:rsidRPr="003D2D23">
              <w:rPr>
                <w:rFonts w:cs="Calibri"/>
                <w:color w:val="000000"/>
                <w:szCs w:val="22"/>
              </w:rPr>
              <w:t>Offline / On Request</w:t>
            </w:r>
          </w:p>
        </w:tc>
        <w:tc>
          <w:tcPr>
            <w:tcW w:w="2430" w:type="dxa"/>
            <w:vAlign w:val="center"/>
          </w:tcPr>
          <w:p w14:paraId="1AD6AD03" w14:textId="77777777" w:rsidR="00F12319" w:rsidRPr="003D2D23" w:rsidRDefault="00F12319" w:rsidP="00F12319">
            <w:pPr>
              <w:ind w:left="0"/>
              <w:rPr>
                <w:rFonts w:cs="Calibri"/>
                <w:color w:val="000000"/>
                <w:szCs w:val="22"/>
              </w:rPr>
            </w:pPr>
            <w:r w:rsidRPr="003D2D23">
              <w:rPr>
                <w:rFonts w:cs="Calibri"/>
                <w:color w:val="000000"/>
                <w:szCs w:val="22"/>
              </w:rPr>
              <w:t>TX Association of School Boards</w:t>
            </w:r>
          </w:p>
        </w:tc>
        <w:tc>
          <w:tcPr>
            <w:tcW w:w="2160" w:type="dxa"/>
            <w:vAlign w:val="center"/>
          </w:tcPr>
          <w:p w14:paraId="38B80AA8" w14:textId="77777777" w:rsidR="00F12319" w:rsidRPr="003D2D23" w:rsidRDefault="00F12319" w:rsidP="00F12319">
            <w:pPr>
              <w:ind w:left="0"/>
              <w:rPr>
                <w:rFonts w:cs="Calibri"/>
                <w:color w:val="000000"/>
                <w:szCs w:val="22"/>
              </w:rPr>
            </w:pPr>
            <w:r w:rsidRPr="003D2D23">
              <w:rPr>
                <w:rFonts w:cs="Calibri"/>
                <w:color w:val="000000"/>
                <w:szCs w:val="22"/>
              </w:rPr>
              <w:t>C58s for a specific quarter</w:t>
            </w:r>
          </w:p>
        </w:tc>
        <w:tc>
          <w:tcPr>
            <w:tcW w:w="5760" w:type="dxa"/>
            <w:vAlign w:val="center"/>
          </w:tcPr>
          <w:p w14:paraId="077D9C36" w14:textId="77777777" w:rsidR="00F12319" w:rsidRPr="003D2D23" w:rsidRDefault="00F12319" w:rsidP="00F12319">
            <w:pPr>
              <w:ind w:left="0"/>
              <w:rPr>
                <w:rFonts w:cs="Calibri"/>
                <w:color w:val="000000"/>
                <w:szCs w:val="22"/>
              </w:rPr>
            </w:pPr>
            <w:r w:rsidRPr="003D2D23">
              <w:rPr>
                <w:rFonts w:cs="Calibri"/>
                <w:color w:val="000000"/>
                <w:szCs w:val="22"/>
              </w:rPr>
              <w:t xml:space="preserve">Request is for C58 &amp; C66 records for </w:t>
            </w:r>
            <w:r>
              <w:rPr>
                <w:rFonts w:cs="Calibri"/>
                <w:color w:val="000000"/>
                <w:szCs w:val="22"/>
              </w:rPr>
              <w:t xml:space="preserve">a </w:t>
            </w:r>
            <w:r w:rsidRPr="003D2D23">
              <w:rPr>
                <w:rFonts w:cs="Calibri"/>
                <w:color w:val="000000"/>
                <w:szCs w:val="22"/>
              </w:rPr>
              <w:t>specified quarter</w:t>
            </w:r>
          </w:p>
        </w:tc>
      </w:tr>
      <w:tr w:rsidR="00F12319" w14:paraId="4BC16CD6" w14:textId="77777777" w:rsidTr="00EB23D7">
        <w:tc>
          <w:tcPr>
            <w:tcW w:w="877" w:type="dxa"/>
            <w:vAlign w:val="center"/>
          </w:tcPr>
          <w:p w14:paraId="0A0FDF72" w14:textId="5610D55D" w:rsidR="00F12319" w:rsidRPr="00194F03" w:rsidRDefault="00F12319" w:rsidP="00F12319">
            <w:pPr>
              <w:ind w:left="0"/>
              <w:jc w:val="center"/>
              <w:rPr>
                <w:rFonts w:cs="Calibri"/>
                <w:color w:val="000000"/>
                <w:szCs w:val="22"/>
              </w:rPr>
            </w:pPr>
            <w:r>
              <w:rPr>
                <w:color w:val="000000"/>
                <w:szCs w:val="22"/>
              </w:rPr>
              <w:t>87</w:t>
            </w:r>
          </w:p>
        </w:tc>
        <w:tc>
          <w:tcPr>
            <w:tcW w:w="1530" w:type="dxa"/>
            <w:vAlign w:val="center"/>
          </w:tcPr>
          <w:p w14:paraId="1DFBCDB1" w14:textId="77777777" w:rsidR="00F12319" w:rsidRPr="003D2D23" w:rsidRDefault="00F12319" w:rsidP="00F12319">
            <w:pPr>
              <w:ind w:left="0"/>
              <w:rPr>
                <w:rFonts w:cs="Calibri"/>
                <w:color w:val="000000"/>
                <w:szCs w:val="22"/>
              </w:rPr>
            </w:pPr>
            <w:r w:rsidRPr="003D2D23">
              <w:rPr>
                <w:rFonts w:cs="Calibri"/>
                <w:color w:val="000000"/>
                <w:szCs w:val="22"/>
              </w:rPr>
              <w:t>Receive</w:t>
            </w:r>
          </w:p>
        </w:tc>
        <w:tc>
          <w:tcPr>
            <w:tcW w:w="1710" w:type="dxa"/>
            <w:vAlign w:val="center"/>
          </w:tcPr>
          <w:p w14:paraId="600EB865" w14:textId="77777777" w:rsidR="00F12319" w:rsidRPr="003D2D23" w:rsidRDefault="00F12319" w:rsidP="00F12319">
            <w:pPr>
              <w:ind w:left="0"/>
              <w:rPr>
                <w:rFonts w:cs="Calibri"/>
                <w:color w:val="000000"/>
                <w:szCs w:val="22"/>
              </w:rPr>
            </w:pPr>
            <w:r w:rsidRPr="003D2D23">
              <w:rPr>
                <w:rFonts w:cs="Calibri"/>
                <w:color w:val="000000"/>
                <w:szCs w:val="22"/>
              </w:rPr>
              <w:t>Offline / Quarterly</w:t>
            </w:r>
          </w:p>
        </w:tc>
        <w:tc>
          <w:tcPr>
            <w:tcW w:w="2430" w:type="dxa"/>
            <w:vAlign w:val="center"/>
          </w:tcPr>
          <w:p w14:paraId="2FC4E444" w14:textId="159E61B9" w:rsidR="00F12319" w:rsidRPr="003D2D23" w:rsidRDefault="003479D8" w:rsidP="00F12319">
            <w:pPr>
              <w:ind w:left="0"/>
              <w:rPr>
                <w:rFonts w:cs="Calibri"/>
                <w:color w:val="000000"/>
                <w:szCs w:val="22"/>
              </w:rPr>
            </w:pPr>
            <w:r>
              <w:rPr>
                <w:rFonts w:cs="Calibri"/>
                <w:color w:val="000000"/>
                <w:szCs w:val="22"/>
              </w:rPr>
              <w:t>CPA</w:t>
            </w:r>
          </w:p>
        </w:tc>
        <w:tc>
          <w:tcPr>
            <w:tcW w:w="2160" w:type="dxa"/>
            <w:vAlign w:val="center"/>
          </w:tcPr>
          <w:p w14:paraId="2F75DBEC" w14:textId="77777777" w:rsidR="00F12319" w:rsidRPr="003D2D23" w:rsidRDefault="00F12319" w:rsidP="00F12319">
            <w:pPr>
              <w:ind w:left="0"/>
              <w:rPr>
                <w:rFonts w:cs="Calibri"/>
                <w:color w:val="000000"/>
                <w:szCs w:val="22"/>
              </w:rPr>
            </w:pPr>
            <w:r>
              <w:rPr>
                <w:rFonts w:cs="Calibri"/>
                <w:color w:val="000000"/>
                <w:szCs w:val="22"/>
              </w:rPr>
              <w:t xml:space="preserve">Comptroller 920 </w:t>
            </w:r>
            <w:r w:rsidRPr="003D2D23">
              <w:rPr>
                <w:rFonts w:cs="Calibri"/>
                <w:color w:val="000000"/>
                <w:szCs w:val="22"/>
              </w:rPr>
              <w:t>Report</w:t>
            </w:r>
          </w:p>
        </w:tc>
        <w:tc>
          <w:tcPr>
            <w:tcW w:w="5760" w:type="dxa"/>
            <w:vAlign w:val="center"/>
          </w:tcPr>
          <w:p w14:paraId="5782B0B1" w14:textId="77777777" w:rsidR="00F12319" w:rsidRPr="003D2D23" w:rsidRDefault="00F12319" w:rsidP="00F12319">
            <w:pPr>
              <w:ind w:left="0"/>
              <w:rPr>
                <w:rFonts w:cs="Calibri"/>
                <w:color w:val="000000"/>
                <w:szCs w:val="22"/>
              </w:rPr>
            </w:pPr>
            <w:r w:rsidRPr="003D2D23">
              <w:rPr>
                <w:rFonts w:cs="Calibri"/>
                <w:color w:val="000000"/>
                <w:szCs w:val="22"/>
              </w:rPr>
              <w:t xml:space="preserve">Get USPS </w:t>
            </w:r>
            <w:r>
              <w:rPr>
                <w:rFonts w:cs="Calibri"/>
                <w:color w:val="000000"/>
                <w:szCs w:val="22"/>
              </w:rPr>
              <w:t>quarterly</w:t>
            </w:r>
            <w:r w:rsidRPr="003D2D23">
              <w:rPr>
                <w:rFonts w:cs="Calibri"/>
                <w:color w:val="000000"/>
                <w:szCs w:val="22"/>
              </w:rPr>
              <w:t xml:space="preserve"> summary report file for mag media</w:t>
            </w:r>
          </w:p>
        </w:tc>
      </w:tr>
      <w:tr w:rsidR="00F12319" w14:paraId="0BA31D0E" w14:textId="77777777" w:rsidTr="00EB23D7">
        <w:tc>
          <w:tcPr>
            <w:tcW w:w="877" w:type="dxa"/>
            <w:vAlign w:val="center"/>
          </w:tcPr>
          <w:p w14:paraId="56793538" w14:textId="59142EF6" w:rsidR="00F12319" w:rsidRPr="00194F03" w:rsidRDefault="00F12319" w:rsidP="00F12319">
            <w:pPr>
              <w:ind w:left="0"/>
              <w:jc w:val="center"/>
              <w:rPr>
                <w:rFonts w:cs="Calibri"/>
                <w:color w:val="000000"/>
                <w:szCs w:val="22"/>
              </w:rPr>
            </w:pPr>
            <w:r>
              <w:rPr>
                <w:szCs w:val="22"/>
              </w:rPr>
              <w:t>88</w:t>
            </w:r>
          </w:p>
        </w:tc>
        <w:tc>
          <w:tcPr>
            <w:tcW w:w="1530" w:type="dxa"/>
            <w:vAlign w:val="center"/>
          </w:tcPr>
          <w:p w14:paraId="02FB7944" w14:textId="77777777" w:rsidR="00F12319" w:rsidRPr="003D2D23" w:rsidRDefault="00F12319" w:rsidP="00F12319">
            <w:pPr>
              <w:ind w:left="0"/>
              <w:rPr>
                <w:rFonts w:cs="Calibri"/>
                <w:color w:val="000000"/>
                <w:szCs w:val="22"/>
              </w:rPr>
            </w:pPr>
            <w:r w:rsidRPr="003D2D23">
              <w:rPr>
                <w:rFonts w:cs="Calibri"/>
                <w:color w:val="000000"/>
                <w:szCs w:val="22"/>
              </w:rPr>
              <w:t>Receive</w:t>
            </w:r>
          </w:p>
        </w:tc>
        <w:tc>
          <w:tcPr>
            <w:tcW w:w="1710" w:type="dxa"/>
            <w:vAlign w:val="center"/>
          </w:tcPr>
          <w:p w14:paraId="0467E9F7" w14:textId="77777777" w:rsidR="00F12319" w:rsidRPr="003D2D23" w:rsidRDefault="00F12319" w:rsidP="00F12319">
            <w:pPr>
              <w:ind w:left="0"/>
              <w:rPr>
                <w:rFonts w:cs="Calibri"/>
                <w:color w:val="000000"/>
                <w:szCs w:val="22"/>
              </w:rPr>
            </w:pPr>
            <w:r w:rsidRPr="003D2D23">
              <w:rPr>
                <w:rFonts w:cs="Calibri"/>
                <w:color w:val="000000"/>
                <w:szCs w:val="22"/>
              </w:rPr>
              <w:t>Offline / Monthly</w:t>
            </w:r>
          </w:p>
        </w:tc>
        <w:tc>
          <w:tcPr>
            <w:tcW w:w="2430" w:type="dxa"/>
            <w:vAlign w:val="center"/>
          </w:tcPr>
          <w:p w14:paraId="21876E6B" w14:textId="46FAF74C" w:rsidR="00F12319" w:rsidRPr="003D2D23" w:rsidRDefault="003479D8" w:rsidP="00F12319">
            <w:pPr>
              <w:ind w:left="0"/>
              <w:rPr>
                <w:rFonts w:cs="Calibri"/>
                <w:color w:val="000000"/>
                <w:szCs w:val="22"/>
              </w:rPr>
            </w:pPr>
            <w:r>
              <w:rPr>
                <w:rFonts w:cs="Calibri"/>
                <w:color w:val="000000"/>
                <w:szCs w:val="22"/>
              </w:rPr>
              <w:t>CPA</w:t>
            </w:r>
          </w:p>
        </w:tc>
        <w:tc>
          <w:tcPr>
            <w:tcW w:w="2160" w:type="dxa"/>
            <w:vAlign w:val="center"/>
          </w:tcPr>
          <w:p w14:paraId="63A3C67E" w14:textId="77777777" w:rsidR="00F12319" w:rsidRPr="003D2D23" w:rsidRDefault="00F12319" w:rsidP="00F12319">
            <w:pPr>
              <w:ind w:left="0"/>
              <w:rPr>
                <w:rFonts w:cs="Calibri"/>
                <w:color w:val="000000"/>
                <w:szCs w:val="22"/>
              </w:rPr>
            </w:pPr>
            <w:r w:rsidRPr="003D2D23">
              <w:rPr>
                <w:rFonts w:cs="Calibri"/>
                <w:color w:val="000000"/>
                <w:szCs w:val="22"/>
              </w:rPr>
              <w:t>Comptroller C1'S</w:t>
            </w:r>
          </w:p>
        </w:tc>
        <w:tc>
          <w:tcPr>
            <w:tcW w:w="5760" w:type="dxa"/>
            <w:vAlign w:val="center"/>
          </w:tcPr>
          <w:p w14:paraId="1D02B33E" w14:textId="77777777" w:rsidR="00F12319" w:rsidRPr="003D2D23" w:rsidRDefault="00F12319" w:rsidP="00F12319">
            <w:pPr>
              <w:ind w:left="0"/>
              <w:rPr>
                <w:rFonts w:cs="Calibri"/>
                <w:color w:val="000000"/>
                <w:szCs w:val="22"/>
              </w:rPr>
            </w:pPr>
            <w:r>
              <w:rPr>
                <w:rFonts w:cs="Calibri"/>
                <w:color w:val="000000"/>
                <w:szCs w:val="22"/>
              </w:rPr>
              <w:t>G</w:t>
            </w:r>
            <w:r w:rsidRPr="003D2D23">
              <w:rPr>
                <w:rFonts w:cs="Calibri"/>
                <w:color w:val="000000"/>
                <w:szCs w:val="22"/>
              </w:rPr>
              <w:t>ets one (1)</w:t>
            </w:r>
            <w:r>
              <w:rPr>
                <w:rFonts w:cs="Calibri"/>
                <w:color w:val="000000"/>
                <w:szCs w:val="22"/>
              </w:rPr>
              <w:t xml:space="preserve"> </w:t>
            </w:r>
            <w:r w:rsidRPr="003D2D23">
              <w:rPr>
                <w:rFonts w:cs="Calibri"/>
                <w:color w:val="000000"/>
                <w:szCs w:val="22"/>
              </w:rPr>
              <w:t>file</w:t>
            </w:r>
          </w:p>
        </w:tc>
      </w:tr>
      <w:tr w:rsidR="00F12319" w14:paraId="3B826AB9" w14:textId="77777777" w:rsidTr="00EB23D7">
        <w:tc>
          <w:tcPr>
            <w:tcW w:w="877" w:type="dxa"/>
            <w:vAlign w:val="center"/>
          </w:tcPr>
          <w:p w14:paraId="0B9E5929" w14:textId="05DA3EE7" w:rsidR="00F12319" w:rsidRPr="00194F03" w:rsidRDefault="00F12319" w:rsidP="00F12319">
            <w:pPr>
              <w:ind w:left="0"/>
              <w:jc w:val="center"/>
              <w:rPr>
                <w:rFonts w:cs="Calibri"/>
                <w:color w:val="000000"/>
                <w:szCs w:val="22"/>
              </w:rPr>
            </w:pPr>
            <w:r>
              <w:rPr>
                <w:color w:val="000000"/>
                <w:szCs w:val="22"/>
              </w:rPr>
              <w:t>89</w:t>
            </w:r>
          </w:p>
        </w:tc>
        <w:tc>
          <w:tcPr>
            <w:tcW w:w="1530" w:type="dxa"/>
            <w:vAlign w:val="center"/>
          </w:tcPr>
          <w:p w14:paraId="54CF40C7" w14:textId="77777777" w:rsidR="00F12319" w:rsidRPr="003D2D23" w:rsidRDefault="00F12319" w:rsidP="00F12319">
            <w:pPr>
              <w:ind w:left="0"/>
              <w:rPr>
                <w:rFonts w:cs="Calibri"/>
                <w:color w:val="000000"/>
                <w:szCs w:val="22"/>
              </w:rPr>
            </w:pPr>
            <w:r w:rsidRPr="003D2D23">
              <w:rPr>
                <w:rFonts w:cs="Calibri"/>
                <w:color w:val="000000"/>
                <w:szCs w:val="22"/>
              </w:rPr>
              <w:t>Send</w:t>
            </w:r>
          </w:p>
        </w:tc>
        <w:tc>
          <w:tcPr>
            <w:tcW w:w="1710" w:type="dxa"/>
            <w:vAlign w:val="center"/>
          </w:tcPr>
          <w:p w14:paraId="2DF4E5B1" w14:textId="77777777" w:rsidR="00F12319" w:rsidRPr="003D2D23" w:rsidRDefault="00F12319" w:rsidP="00F12319">
            <w:pPr>
              <w:ind w:left="0"/>
              <w:rPr>
                <w:rFonts w:cs="Calibri"/>
                <w:color w:val="000000"/>
                <w:szCs w:val="22"/>
              </w:rPr>
            </w:pPr>
            <w:r w:rsidRPr="003D2D23">
              <w:rPr>
                <w:rFonts w:cs="Calibri"/>
                <w:color w:val="000000"/>
                <w:szCs w:val="22"/>
              </w:rPr>
              <w:t>Offline / Daily</w:t>
            </w:r>
          </w:p>
        </w:tc>
        <w:tc>
          <w:tcPr>
            <w:tcW w:w="2430" w:type="dxa"/>
            <w:vAlign w:val="center"/>
          </w:tcPr>
          <w:p w14:paraId="271C7126" w14:textId="3AB52741" w:rsidR="00F12319" w:rsidRPr="003D2D23" w:rsidRDefault="003479D8" w:rsidP="00F12319">
            <w:pPr>
              <w:ind w:left="0"/>
              <w:rPr>
                <w:rFonts w:cs="Calibri"/>
                <w:color w:val="000000"/>
                <w:szCs w:val="22"/>
              </w:rPr>
            </w:pPr>
            <w:r>
              <w:rPr>
                <w:rFonts w:cs="Calibri"/>
                <w:color w:val="000000"/>
                <w:szCs w:val="22"/>
              </w:rPr>
              <w:t>CPA</w:t>
            </w:r>
          </w:p>
        </w:tc>
        <w:tc>
          <w:tcPr>
            <w:tcW w:w="2160" w:type="dxa"/>
            <w:vAlign w:val="center"/>
          </w:tcPr>
          <w:p w14:paraId="092D7AFA" w14:textId="77777777" w:rsidR="00F12319" w:rsidRPr="003D2D23" w:rsidRDefault="00F12319" w:rsidP="00F12319">
            <w:pPr>
              <w:ind w:left="0"/>
              <w:rPr>
                <w:rFonts w:cs="Calibri"/>
                <w:color w:val="000000"/>
                <w:szCs w:val="22"/>
              </w:rPr>
            </w:pPr>
            <w:r w:rsidRPr="003D2D23">
              <w:rPr>
                <w:rFonts w:cs="Calibri"/>
                <w:color w:val="000000"/>
                <w:szCs w:val="22"/>
              </w:rPr>
              <w:t>CPA Refund Requests</w:t>
            </w:r>
          </w:p>
        </w:tc>
        <w:tc>
          <w:tcPr>
            <w:tcW w:w="5760" w:type="dxa"/>
            <w:vAlign w:val="center"/>
          </w:tcPr>
          <w:p w14:paraId="30D376D4" w14:textId="77777777" w:rsidR="00F12319" w:rsidRPr="003D2D23" w:rsidRDefault="00F12319" w:rsidP="00F12319">
            <w:pPr>
              <w:ind w:left="0"/>
              <w:rPr>
                <w:rFonts w:cs="Calibri"/>
                <w:color w:val="000000"/>
                <w:szCs w:val="22"/>
              </w:rPr>
            </w:pPr>
            <w:r>
              <w:rPr>
                <w:rFonts w:cs="Calibri"/>
                <w:color w:val="000000"/>
                <w:szCs w:val="22"/>
              </w:rPr>
              <w:t>P</w:t>
            </w:r>
            <w:r w:rsidRPr="003D2D23">
              <w:rPr>
                <w:rFonts w:cs="Calibri"/>
                <w:color w:val="000000"/>
                <w:szCs w:val="22"/>
              </w:rPr>
              <w:t>uts one (1) file of refund requests to CPA daily</w:t>
            </w:r>
          </w:p>
        </w:tc>
      </w:tr>
      <w:tr w:rsidR="00F12319" w14:paraId="7A2109DF" w14:textId="77777777" w:rsidTr="00EB23D7">
        <w:tc>
          <w:tcPr>
            <w:tcW w:w="877" w:type="dxa"/>
            <w:vAlign w:val="center"/>
          </w:tcPr>
          <w:p w14:paraId="15450E88" w14:textId="7E1970D7" w:rsidR="00F12319" w:rsidRPr="00194F03" w:rsidRDefault="00F12319" w:rsidP="00F12319">
            <w:pPr>
              <w:ind w:left="0"/>
              <w:jc w:val="center"/>
              <w:rPr>
                <w:rFonts w:cs="Calibri"/>
                <w:color w:val="000000"/>
                <w:szCs w:val="22"/>
              </w:rPr>
            </w:pPr>
            <w:r>
              <w:rPr>
                <w:szCs w:val="22"/>
              </w:rPr>
              <w:t>90</w:t>
            </w:r>
          </w:p>
        </w:tc>
        <w:tc>
          <w:tcPr>
            <w:tcW w:w="1530" w:type="dxa"/>
            <w:vAlign w:val="center"/>
          </w:tcPr>
          <w:p w14:paraId="154B2A49" w14:textId="77777777" w:rsidR="00F12319" w:rsidRPr="003D2D23" w:rsidRDefault="00F12319" w:rsidP="00F12319">
            <w:pPr>
              <w:ind w:left="0"/>
              <w:rPr>
                <w:rFonts w:cs="Calibri"/>
                <w:color w:val="000000"/>
                <w:szCs w:val="22"/>
              </w:rPr>
            </w:pPr>
            <w:r w:rsidRPr="003D2D23">
              <w:rPr>
                <w:rFonts w:cs="Calibri"/>
                <w:color w:val="000000"/>
                <w:szCs w:val="22"/>
              </w:rPr>
              <w:t>Receive</w:t>
            </w:r>
          </w:p>
        </w:tc>
        <w:tc>
          <w:tcPr>
            <w:tcW w:w="1710" w:type="dxa"/>
            <w:vAlign w:val="center"/>
          </w:tcPr>
          <w:p w14:paraId="7FA1F2CE" w14:textId="77777777" w:rsidR="00F12319" w:rsidRPr="003D2D23" w:rsidRDefault="00F12319" w:rsidP="00F12319">
            <w:pPr>
              <w:ind w:left="0"/>
              <w:rPr>
                <w:rFonts w:cs="Calibri"/>
                <w:color w:val="000000"/>
                <w:szCs w:val="22"/>
              </w:rPr>
            </w:pPr>
            <w:r w:rsidRPr="003D2D23">
              <w:rPr>
                <w:rFonts w:cs="Calibri"/>
                <w:color w:val="000000"/>
                <w:szCs w:val="22"/>
              </w:rPr>
              <w:t>Offline / Daily</w:t>
            </w:r>
          </w:p>
        </w:tc>
        <w:tc>
          <w:tcPr>
            <w:tcW w:w="2430" w:type="dxa"/>
            <w:vAlign w:val="center"/>
          </w:tcPr>
          <w:p w14:paraId="02ECC333" w14:textId="2B201AF2" w:rsidR="00F12319" w:rsidRPr="003D2D23" w:rsidRDefault="003479D8" w:rsidP="00F12319">
            <w:pPr>
              <w:ind w:left="0"/>
              <w:rPr>
                <w:rFonts w:cs="Calibri"/>
                <w:color w:val="000000"/>
                <w:szCs w:val="22"/>
              </w:rPr>
            </w:pPr>
            <w:r>
              <w:rPr>
                <w:rFonts w:cs="Calibri"/>
                <w:color w:val="000000"/>
                <w:szCs w:val="22"/>
              </w:rPr>
              <w:t>CPA</w:t>
            </w:r>
          </w:p>
        </w:tc>
        <w:tc>
          <w:tcPr>
            <w:tcW w:w="2160" w:type="dxa"/>
            <w:vAlign w:val="center"/>
          </w:tcPr>
          <w:p w14:paraId="50092077" w14:textId="77777777" w:rsidR="00F12319" w:rsidRPr="003D2D23" w:rsidRDefault="00F12319" w:rsidP="00F12319">
            <w:pPr>
              <w:ind w:left="0"/>
              <w:rPr>
                <w:rFonts w:cs="Calibri"/>
                <w:color w:val="000000"/>
                <w:szCs w:val="22"/>
              </w:rPr>
            </w:pPr>
            <w:r w:rsidRPr="003D2D23">
              <w:rPr>
                <w:rFonts w:cs="Calibri"/>
                <w:color w:val="000000"/>
                <w:szCs w:val="22"/>
              </w:rPr>
              <w:t>CPA Surplus Credit</w:t>
            </w:r>
          </w:p>
        </w:tc>
        <w:tc>
          <w:tcPr>
            <w:tcW w:w="5760" w:type="dxa"/>
            <w:vAlign w:val="center"/>
          </w:tcPr>
          <w:p w14:paraId="092F6421" w14:textId="77777777" w:rsidR="00F12319" w:rsidRPr="003D2D23" w:rsidRDefault="00F12319" w:rsidP="00F12319">
            <w:pPr>
              <w:ind w:left="0"/>
              <w:rPr>
                <w:rFonts w:cs="Calibri"/>
                <w:color w:val="000000"/>
                <w:szCs w:val="22"/>
              </w:rPr>
            </w:pPr>
            <w:r w:rsidRPr="003D2D23">
              <w:rPr>
                <w:rFonts w:cs="Calibri"/>
                <w:color w:val="000000"/>
                <w:szCs w:val="22"/>
              </w:rPr>
              <w:t>Gets 1 file of surplus credit warrant data from the CPA daily</w:t>
            </w:r>
          </w:p>
        </w:tc>
      </w:tr>
      <w:tr w:rsidR="00F12319" w14:paraId="4335F820" w14:textId="77777777" w:rsidTr="00EB23D7">
        <w:tc>
          <w:tcPr>
            <w:tcW w:w="877" w:type="dxa"/>
            <w:vAlign w:val="center"/>
          </w:tcPr>
          <w:p w14:paraId="60849F94" w14:textId="08684881" w:rsidR="00F12319" w:rsidRPr="00194F03" w:rsidRDefault="00F12319" w:rsidP="00F12319">
            <w:pPr>
              <w:ind w:left="0"/>
              <w:jc w:val="center"/>
              <w:rPr>
                <w:rFonts w:cs="Calibri"/>
                <w:color w:val="000000"/>
                <w:szCs w:val="22"/>
              </w:rPr>
            </w:pPr>
            <w:r>
              <w:rPr>
                <w:color w:val="000000"/>
                <w:szCs w:val="22"/>
              </w:rPr>
              <w:t>91</w:t>
            </w:r>
          </w:p>
        </w:tc>
        <w:tc>
          <w:tcPr>
            <w:tcW w:w="1530" w:type="dxa"/>
            <w:vAlign w:val="center"/>
          </w:tcPr>
          <w:p w14:paraId="5AEADC70" w14:textId="77777777" w:rsidR="00F12319" w:rsidRPr="003D2D23" w:rsidRDefault="00F12319" w:rsidP="00F12319">
            <w:pPr>
              <w:ind w:left="0"/>
              <w:rPr>
                <w:rFonts w:cs="Calibri"/>
                <w:color w:val="000000"/>
                <w:szCs w:val="22"/>
              </w:rPr>
            </w:pPr>
            <w:r w:rsidRPr="003D2D23">
              <w:rPr>
                <w:rFonts w:cs="Calibri"/>
                <w:color w:val="000000"/>
                <w:szCs w:val="22"/>
              </w:rPr>
              <w:t>Receive</w:t>
            </w:r>
          </w:p>
        </w:tc>
        <w:tc>
          <w:tcPr>
            <w:tcW w:w="1710" w:type="dxa"/>
            <w:vAlign w:val="center"/>
          </w:tcPr>
          <w:p w14:paraId="7F178F33" w14:textId="77777777" w:rsidR="00F12319" w:rsidRPr="003D2D23" w:rsidRDefault="00F12319" w:rsidP="00F12319">
            <w:pPr>
              <w:ind w:left="0"/>
              <w:rPr>
                <w:rFonts w:cs="Calibri"/>
                <w:color w:val="000000"/>
                <w:szCs w:val="22"/>
              </w:rPr>
            </w:pPr>
            <w:r w:rsidRPr="003D2D23">
              <w:rPr>
                <w:rFonts w:cs="Calibri"/>
                <w:color w:val="000000"/>
                <w:szCs w:val="22"/>
              </w:rPr>
              <w:t>Offline / Daily</w:t>
            </w:r>
          </w:p>
        </w:tc>
        <w:tc>
          <w:tcPr>
            <w:tcW w:w="2430" w:type="dxa"/>
            <w:vAlign w:val="center"/>
          </w:tcPr>
          <w:p w14:paraId="45DD818D" w14:textId="01AE38B4" w:rsidR="00F12319" w:rsidRPr="003D2D23" w:rsidRDefault="003479D8" w:rsidP="00F12319">
            <w:pPr>
              <w:ind w:left="0"/>
              <w:rPr>
                <w:rFonts w:cs="Calibri"/>
                <w:color w:val="000000"/>
                <w:szCs w:val="22"/>
              </w:rPr>
            </w:pPr>
            <w:r>
              <w:rPr>
                <w:rFonts w:cs="Calibri"/>
                <w:color w:val="000000"/>
                <w:szCs w:val="22"/>
              </w:rPr>
              <w:t>CPA</w:t>
            </w:r>
          </w:p>
        </w:tc>
        <w:tc>
          <w:tcPr>
            <w:tcW w:w="2160" w:type="dxa"/>
            <w:vAlign w:val="center"/>
          </w:tcPr>
          <w:p w14:paraId="5DBFD8F6" w14:textId="77777777" w:rsidR="00F12319" w:rsidRPr="003D2D23" w:rsidRDefault="00F12319" w:rsidP="00F12319">
            <w:pPr>
              <w:ind w:left="0"/>
              <w:rPr>
                <w:rFonts w:cs="Calibri"/>
                <w:color w:val="000000"/>
                <w:szCs w:val="22"/>
              </w:rPr>
            </w:pPr>
            <w:r w:rsidRPr="003D2D23">
              <w:rPr>
                <w:rFonts w:cs="Calibri"/>
                <w:color w:val="000000"/>
                <w:szCs w:val="22"/>
              </w:rPr>
              <w:t>Credit Card Transactions and Payments</w:t>
            </w:r>
          </w:p>
        </w:tc>
        <w:tc>
          <w:tcPr>
            <w:tcW w:w="5760" w:type="dxa"/>
            <w:vAlign w:val="center"/>
          </w:tcPr>
          <w:p w14:paraId="23F32DEF" w14:textId="77777777" w:rsidR="00F12319" w:rsidRPr="003D2D23" w:rsidRDefault="00F12319" w:rsidP="00F12319">
            <w:pPr>
              <w:ind w:left="0"/>
              <w:rPr>
                <w:rFonts w:cs="Calibri"/>
                <w:color w:val="000000"/>
                <w:szCs w:val="22"/>
              </w:rPr>
            </w:pPr>
            <w:r w:rsidRPr="003D2D23">
              <w:rPr>
                <w:rFonts w:cs="Calibri"/>
                <w:color w:val="000000"/>
                <w:szCs w:val="22"/>
              </w:rPr>
              <w:t>TWC get of two (2) credit card transaction and payment files (raw and turnaround) at 2pm</w:t>
            </w:r>
            <w:r>
              <w:rPr>
                <w:rFonts w:cs="Calibri"/>
                <w:color w:val="000000"/>
                <w:szCs w:val="22"/>
              </w:rPr>
              <w:t xml:space="preserve"> every day from the Comptroller</w:t>
            </w:r>
          </w:p>
        </w:tc>
      </w:tr>
      <w:tr w:rsidR="00F12319" w14:paraId="7011EA31" w14:textId="77777777" w:rsidTr="00EB23D7">
        <w:tc>
          <w:tcPr>
            <w:tcW w:w="877" w:type="dxa"/>
            <w:vAlign w:val="center"/>
          </w:tcPr>
          <w:p w14:paraId="087CB659" w14:textId="06D2A153" w:rsidR="00F12319" w:rsidRPr="00194F03" w:rsidRDefault="00F12319" w:rsidP="00F12319">
            <w:pPr>
              <w:ind w:left="0"/>
              <w:jc w:val="center"/>
              <w:rPr>
                <w:rFonts w:cs="Calibri"/>
                <w:color w:val="000000"/>
                <w:szCs w:val="22"/>
              </w:rPr>
            </w:pPr>
            <w:r>
              <w:rPr>
                <w:szCs w:val="22"/>
              </w:rPr>
              <w:t>92</w:t>
            </w:r>
          </w:p>
        </w:tc>
        <w:tc>
          <w:tcPr>
            <w:tcW w:w="1530" w:type="dxa"/>
            <w:vAlign w:val="center"/>
          </w:tcPr>
          <w:p w14:paraId="336C3C30" w14:textId="77777777" w:rsidR="00F12319" w:rsidRPr="003D2D23" w:rsidRDefault="00F12319" w:rsidP="00F12319">
            <w:pPr>
              <w:ind w:left="0"/>
              <w:rPr>
                <w:rFonts w:cs="Calibri"/>
                <w:color w:val="000000"/>
                <w:szCs w:val="22"/>
              </w:rPr>
            </w:pPr>
            <w:r w:rsidRPr="003D2D23">
              <w:rPr>
                <w:rFonts w:cs="Calibri"/>
                <w:color w:val="000000"/>
                <w:szCs w:val="22"/>
              </w:rPr>
              <w:t>Send</w:t>
            </w:r>
          </w:p>
        </w:tc>
        <w:tc>
          <w:tcPr>
            <w:tcW w:w="1710" w:type="dxa"/>
            <w:vAlign w:val="center"/>
          </w:tcPr>
          <w:p w14:paraId="5A4DDEB1" w14:textId="77777777" w:rsidR="00F12319" w:rsidRPr="003D2D23" w:rsidRDefault="00F12319" w:rsidP="00F12319">
            <w:pPr>
              <w:ind w:left="0"/>
              <w:rPr>
                <w:rFonts w:cs="Calibri"/>
                <w:color w:val="000000"/>
                <w:szCs w:val="22"/>
              </w:rPr>
            </w:pPr>
            <w:r w:rsidRPr="003D2D23">
              <w:rPr>
                <w:rFonts w:cs="Calibri"/>
                <w:color w:val="000000"/>
                <w:szCs w:val="22"/>
              </w:rPr>
              <w:t>Offline / Quarterly</w:t>
            </w:r>
          </w:p>
        </w:tc>
        <w:tc>
          <w:tcPr>
            <w:tcW w:w="2430" w:type="dxa"/>
            <w:vAlign w:val="center"/>
          </w:tcPr>
          <w:p w14:paraId="786523A9" w14:textId="0EB863AC" w:rsidR="00F12319" w:rsidRPr="003D2D23" w:rsidRDefault="003479D8" w:rsidP="00F12319">
            <w:pPr>
              <w:ind w:left="0"/>
              <w:rPr>
                <w:rFonts w:cs="Calibri"/>
                <w:color w:val="000000"/>
                <w:szCs w:val="22"/>
              </w:rPr>
            </w:pPr>
            <w:r>
              <w:rPr>
                <w:rFonts w:cs="Calibri"/>
                <w:color w:val="000000"/>
                <w:szCs w:val="22"/>
              </w:rPr>
              <w:t>CPA</w:t>
            </w:r>
          </w:p>
        </w:tc>
        <w:tc>
          <w:tcPr>
            <w:tcW w:w="2160" w:type="dxa"/>
            <w:vAlign w:val="center"/>
          </w:tcPr>
          <w:p w14:paraId="5B15F1CB" w14:textId="77777777" w:rsidR="00F12319" w:rsidRPr="003D2D23" w:rsidRDefault="00F12319" w:rsidP="00F12319">
            <w:pPr>
              <w:ind w:left="0"/>
              <w:rPr>
                <w:rFonts w:cs="Calibri"/>
                <w:color w:val="000000"/>
                <w:szCs w:val="22"/>
              </w:rPr>
            </w:pPr>
            <w:r w:rsidRPr="003D2D23">
              <w:rPr>
                <w:rFonts w:cs="Calibri"/>
                <w:color w:val="000000"/>
                <w:szCs w:val="22"/>
              </w:rPr>
              <w:t>DB2 Tax Table Entire File Transfer</w:t>
            </w:r>
          </w:p>
        </w:tc>
        <w:tc>
          <w:tcPr>
            <w:tcW w:w="5760" w:type="dxa"/>
            <w:vAlign w:val="center"/>
          </w:tcPr>
          <w:p w14:paraId="73E9EC0F" w14:textId="77777777" w:rsidR="00F12319" w:rsidRPr="003D2D23" w:rsidRDefault="00F12319" w:rsidP="00F12319">
            <w:pPr>
              <w:ind w:left="0"/>
              <w:rPr>
                <w:rFonts w:cs="Calibri"/>
                <w:color w:val="000000"/>
                <w:szCs w:val="22"/>
              </w:rPr>
            </w:pPr>
            <w:r>
              <w:rPr>
                <w:rFonts w:cs="Calibri"/>
                <w:color w:val="000000"/>
                <w:szCs w:val="22"/>
              </w:rPr>
              <w:t>Interagency agreement</w:t>
            </w:r>
          </w:p>
        </w:tc>
      </w:tr>
      <w:tr w:rsidR="00F12319" w14:paraId="1E7E929C" w14:textId="77777777" w:rsidTr="00EB23D7">
        <w:tc>
          <w:tcPr>
            <w:tcW w:w="877" w:type="dxa"/>
            <w:vAlign w:val="center"/>
          </w:tcPr>
          <w:p w14:paraId="7A52459F" w14:textId="281544EA" w:rsidR="00F12319" w:rsidRPr="00194F03" w:rsidRDefault="00F12319" w:rsidP="00F12319">
            <w:pPr>
              <w:ind w:left="0"/>
              <w:jc w:val="center"/>
              <w:rPr>
                <w:rFonts w:cs="Calibri"/>
                <w:color w:val="000000"/>
                <w:szCs w:val="22"/>
              </w:rPr>
            </w:pPr>
            <w:r>
              <w:rPr>
                <w:color w:val="000000"/>
                <w:szCs w:val="22"/>
              </w:rPr>
              <w:t>93</w:t>
            </w:r>
          </w:p>
        </w:tc>
        <w:tc>
          <w:tcPr>
            <w:tcW w:w="1530" w:type="dxa"/>
            <w:vAlign w:val="center"/>
          </w:tcPr>
          <w:p w14:paraId="4145CD49" w14:textId="77777777" w:rsidR="00F12319" w:rsidRPr="003D2D23" w:rsidRDefault="00F12319" w:rsidP="00F12319">
            <w:pPr>
              <w:ind w:left="0"/>
              <w:rPr>
                <w:rFonts w:cs="Calibri"/>
                <w:color w:val="000000"/>
                <w:szCs w:val="22"/>
              </w:rPr>
            </w:pPr>
            <w:r w:rsidRPr="003D2D23">
              <w:rPr>
                <w:rFonts w:cs="Calibri"/>
                <w:color w:val="000000"/>
                <w:szCs w:val="22"/>
              </w:rPr>
              <w:t>Send</w:t>
            </w:r>
          </w:p>
        </w:tc>
        <w:tc>
          <w:tcPr>
            <w:tcW w:w="1710" w:type="dxa"/>
            <w:vAlign w:val="center"/>
          </w:tcPr>
          <w:p w14:paraId="2DE15258" w14:textId="77777777" w:rsidR="00F12319" w:rsidRPr="003D2D23" w:rsidRDefault="00F12319" w:rsidP="00F12319">
            <w:pPr>
              <w:ind w:left="0"/>
              <w:rPr>
                <w:rFonts w:cs="Calibri"/>
                <w:color w:val="000000"/>
                <w:szCs w:val="22"/>
              </w:rPr>
            </w:pPr>
            <w:r w:rsidRPr="003D2D23">
              <w:rPr>
                <w:rFonts w:cs="Calibri"/>
                <w:color w:val="000000"/>
                <w:szCs w:val="22"/>
              </w:rPr>
              <w:t>Offline / Daily</w:t>
            </w:r>
          </w:p>
        </w:tc>
        <w:tc>
          <w:tcPr>
            <w:tcW w:w="2430" w:type="dxa"/>
            <w:vAlign w:val="center"/>
          </w:tcPr>
          <w:p w14:paraId="3820D83B" w14:textId="1F3F2411" w:rsidR="00F12319" w:rsidRPr="003D2D23" w:rsidRDefault="003479D8" w:rsidP="00F12319">
            <w:pPr>
              <w:ind w:left="0"/>
              <w:rPr>
                <w:rFonts w:cs="Calibri"/>
                <w:color w:val="000000"/>
                <w:szCs w:val="22"/>
              </w:rPr>
            </w:pPr>
            <w:r>
              <w:rPr>
                <w:rFonts w:cs="Calibri"/>
                <w:color w:val="000000"/>
                <w:szCs w:val="22"/>
              </w:rPr>
              <w:t>CPA</w:t>
            </w:r>
          </w:p>
        </w:tc>
        <w:tc>
          <w:tcPr>
            <w:tcW w:w="2160" w:type="dxa"/>
            <w:vAlign w:val="center"/>
          </w:tcPr>
          <w:p w14:paraId="5F14163D" w14:textId="77777777" w:rsidR="00F12319" w:rsidRPr="003D2D23" w:rsidRDefault="00F12319" w:rsidP="00F12319">
            <w:pPr>
              <w:ind w:left="0"/>
              <w:rPr>
                <w:rFonts w:cs="Calibri"/>
                <w:color w:val="000000"/>
                <w:szCs w:val="22"/>
              </w:rPr>
            </w:pPr>
            <w:r w:rsidRPr="003D2D23">
              <w:rPr>
                <w:rFonts w:cs="Calibri"/>
                <w:color w:val="000000"/>
                <w:szCs w:val="22"/>
              </w:rPr>
              <w:t>Deposit &amp; USAS files</w:t>
            </w:r>
          </w:p>
        </w:tc>
        <w:tc>
          <w:tcPr>
            <w:tcW w:w="5760" w:type="dxa"/>
            <w:vAlign w:val="center"/>
          </w:tcPr>
          <w:p w14:paraId="20A614F4" w14:textId="77777777" w:rsidR="00F12319" w:rsidRPr="003D2D23" w:rsidRDefault="00F12319" w:rsidP="00F12319">
            <w:pPr>
              <w:ind w:left="0"/>
              <w:rPr>
                <w:rFonts w:cs="Calibri"/>
                <w:color w:val="000000"/>
                <w:szCs w:val="22"/>
              </w:rPr>
            </w:pPr>
            <w:r w:rsidRPr="003D2D23">
              <w:rPr>
                <w:rFonts w:cs="Calibri"/>
                <w:color w:val="000000"/>
                <w:szCs w:val="22"/>
              </w:rPr>
              <w:t>TWC put of two (2) ACH Deposi</w:t>
            </w:r>
            <w:r>
              <w:rPr>
                <w:rFonts w:cs="Calibri"/>
                <w:color w:val="000000"/>
                <w:szCs w:val="22"/>
              </w:rPr>
              <w:t>t and USAS files to Comptroller</w:t>
            </w:r>
          </w:p>
        </w:tc>
      </w:tr>
      <w:tr w:rsidR="00F12319" w14:paraId="5688E257" w14:textId="77777777" w:rsidTr="00EB23D7">
        <w:tc>
          <w:tcPr>
            <w:tcW w:w="877" w:type="dxa"/>
            <w:vAlign w:val="center"/>
          </w:tcPr>
          <w:p w14:paraId="78CB2676" w14:textId="7DB6B957" w:rsidR="00F12319" w:rsidRPr="00194F03" w:rsidRDefault="00F12319" w:rsidP="00F12319">
            <w:pPr>
              <w:ind w:left="0"/>
              <w:jc w:val="center"/>
              <w:rPr>
                <w:rFonts w:cs="Calibri"/>
                <w:color w:val="000000"/>
                <w:szCs w:val="22"/>
              </w:rPr>
            </w:pPr>
            <w:r>
              <w:rPr>
                <w:szCs w:val="22"/>
              </w:rPr>
              <w:t>94</w:t>
            </w:r>
          </w:p>
        </w:tc>
        <w:tc>
          <w:tcPr>
            <w:tcW w:w="1530" w:type="dxa"/>
            <w:vAlign w:val="center"/>
          </w:tcPr>
          <w:p w14:paraId="248F7B20" w14:textId="77777777" w:rsidR="00F12319" w:rsidRPr="003D2D23" w:rsidRDefault="00F12319" w:rsidP="00F12319">
            <w:pPr>
              <w:ind w:left="0"/>
              <w:rPr>
                <w:rFonts w:cs="Calibri"/>
                <w:color w:val="000000"/>
                <w:szCs w:val="22"/>
              </w:rPr>
            </w:pPr>
            <w:r w:rsidRPr="003D2D23">
              <w:rPr>
                <w:rFonts w:cs="Calibri"/>
                <w:color w:val="000000"/>
                <w:szCs w:val="22"/>
              </w:rPr>
              <w:t>Send</w:t>
            </w:r>
          </w:p>
        </w:tc>
        <w:tc>
          <w:tcPr>
            <w:tcW w:w="1710" w:type="dxa"/>
            <w:vAlign w:val="center"/>
          </w:tcPr>
          <w:p w14:paraId="2F7330A6" w14:textId="77777777" w:rsidR="00F12319" w:rsidRPr="003D2D23" w:rsidRDefault="00F12319" w:rsidP="00F12319">
            <w:pPr>
              <w:ind w:left="0"/>
              <w:rPr>
                <w:rFonts w:cs="Calibri"/>
                <w:color w:val="000000"/>
                <w:szCs w:val="22"/>
              </w:rPr>
            </w:pPr>
            <w:r w:rsidRPr="003D2D23">
              <w:rPr>
                <w:rFonts w:cs="Calibri"/>
                <w:color w:val="000000"/>
                <w:szCs w:val="22"/>
              </w:rPr>
              <w:t>Offline / On Request</w:t>
            </w:r>
          </w:p>
        </w:tc>
        <w:tc>
          <w:tcPr>
            <w:tcW w:w="2430" w:type="dxa"/>
            <w:vAlign w:val="center"/>
          </w:tcPr>
          <w:p w14:paraId="711E28B8" w14:textId="64496F0C" w:rsidR="00F12319" w:rsidRPr="003D2D23" w:rsidRDefault="003479D8" w:rsidP="00F12319">
            <w:pPr>
              <w:ind w:left="0"/>
              <w:rPr>
                <w:rFonts w:cs="Calibri"/>
                <w:color w:val="000000"/>
                <w:szCs w:val="22"/>
              </w:rPr>
            </w:pPr>
            <w:r>
              <w:rPr>
                <w:rFonts w:cs="Calibri"/>
                <w:color w:val="000000"/>
                <w:szCs w:val="22"/>
              </w:rPr>
              <w:t>CPA</w:t>
            </w:r>
          </w:p>
        </w:tc>
        <w:tc>
          <w:tcPr>
            <w:tcW w:w="2160" w:type="dxa"/>
            <w:vAlign w:val="center"/>
          </w:tcPr>
          <w:p w14:paraId="2D0D0192" w14:textId="77777777" w:rsidR="00F12319" w:rsidRPr="003D2D23" w:rsidRDefault="00F12319" w:rsidP="00F12319">
            <w:pPr>
              <w:ind w:left="0"/>
              <w:rPr>
                <w:rFonts w:cs="Calibri"/>
                <w:color w:val="000000"/>
                <w:szCs w:val="22"/>
              </w:rPr>
            </w:pPr>
            <w:r>
              <w:rPr>
                <w:rFonts w:cs="Calibri"/>
                <w:color w:val="000000"/>
                <w:szCs w:val="22"/>
              </w:rPr>
              <w:t>EQUI Data</w:t>
            </w:r>
          </w:p>
        </w:tc>
        <w:tc>
          <w:tcPr>
            <w:tcW w:w="5760" w:type="dxa"/>
            <w:vAlign w:val="center"/>
          </w:tcPr>
          <w:p w14:paraId="67021913" w14:textId="77777777" w:rsidR="00F12319" w:rsidRPr="003D2D23" w:rsidRDefault="00F12319" w:rsidP="00F12319">
            <w:pPr>
              <w:ind w:left="0"/>
              <w:rPr>
                <w:rFonts w:cs="Calibri"/>
                <w:color w:val="000000"/>
                <w:szCs w:val="22"/>
              </w:rPr>
            </w:pPr>
            <w:r w:rsidRPr="003D2D23">
              <w:rPr>
                <w:rFonts w:cs="Calibri"/>
                <w:color w:val="000000"/>
                <w:szCs w:val="22"/>
              </w:rPr>
              <w:t xml:space="preserve">TWC put of one (1) file of ‘EQUI’ data (originally es202 data), or </w:t>
            </w:r>
            <w:r>
              <w:rPr>
                <w:rFonts w:cs="Calibri"/>
                <w:color w:val="000000"/>
                <w:szCs w:val="22"/>
              </w:rPr>
              <w:t xml:space="preserve">employer </w:t>
            </w:r>
            <w:r w:rsidRPr="003D2D23">
              <w:rPr>
                <w:rFonts w:cs="Calibri"/>
                <w:color w:val="000000"/>
                <w:szCs w:val="22"/>
              </w:rPr>
              <w:t xml:space="preserve">demographic information such as location, </w:t>
            </w:r>
            <w:r w:rsidRPr="003D2D23">
              <w:rPr>
                <w:rFonts w:cs="Calibri"/>
                <w:color w:val="000000"/>
                <w:szCs w:val="22"/>
              </w:rPr>
              <w:lastRenderedPageBreak/>
              <w:t>number of employees, industry and owner</w:t>
            </w:r>
            <w:r>
              <w:rPr>
                <w:rFonts w:cs="Calibri"/>
                <w:color w:val="000000"/>
                <w:szCs w:val="22"/>
              </w:rPr>
              <w:t>ship information to Comptroller</w:t>
            </w:r>
          </w:p>
        </w:tc>
      </w:tr>
      <w:tr w:rsidR="00F12319" w14:paraId="7E1BB7C9" w14:textId="77777777" w:rsidTr="00EB23D7">
        <w:tc>
          <w:tcPr>
            <w:tcW w:w="877" w:type="dxa"/>
            <w:vAlign w:val="center"/>
          </w:tcPr>
          <w:p w14:paraId="5C6007C8" w14:textId="72B000C5" w:rsidR="00F12319" w:rsidRPr="00194F03" w:rsidRDefault="00F12319" w:rsidP="00F12319">
            <w:pPr>
              <w:ind w:left="0"/>
              <w:jc w:val="center"/>
              <w:rPr>
                <w:rFonts w:cs="Calibri"/>
                <w:color w:val="000000"/>
              </w:rPr>
            </w:pPr>
            <w:r>
              <w:rPr>
                <w:color w:val="000000"/>
                <w:szCs w:val="22"/>
              </w:rPr>
              <w:lastRenderedPageBreak/>
              <w:t>95</w:t>
            </w:r>
          </w:p>
        </w:tc>
        <w:tc>
          <w:tcPr>
            <w:tcW w:w="1530" w:type="dxa"/>
            <w:vAlign w:val="center"/>
          </w:tcPr>
          <w:p w14:paraId="6B177E3D" w14:textId="77777777" w:rsidR="00F12319" w:rsidRPr="003D2D23" w:rsidRDefault="00F12319" w:rsidP="00F12319">
            <w:pPr>
              <w:ind w:left="0"/>
              <w:rPr>
                <w:rFonts w:cs="Calibri"/>
                <w:color w:val="000000"/>
              </w:rPr>
            </w:pPr>
            <w:r>
              <w:rPr>
                <w:color w:val="000000"/>
              </w:rPr>
              <w:t>Receive</w:t>
            </w:r>
          </w:p>
        </w:tc>
        <w:tc>
          <w:tcPr>
            <w:tcW w:w="1710" w:type="dxa"/>
            <w:vAlign w:val="center"/>
          </w:tcPr>
          <w:p w14:paraId="7F52CA4A" w14:textId="77777777" w:rsidR="00F12319" w:rsidRPr="003D2D23" w:rsidRDefault="00F12319" w:rsidP="00F12319">
            <w:pPr>
              <w:ind w:left="0"/>
              <w:rPr>
                <w:rFonts w:cs="Calibri"/>
                <w:color w:val="000000"/>
              </w:rPr>
            </w:pPr>
            <w:r>
              <w:rPr>
                <w:color w:val="000000"/>
              </w:rPr>
              <w:t>Daily</w:t>
            </w:r>
          </w:p>
        </w:tc>
        <w:tc>
          <w:tcPr>
            <w:tcW w:w="2430" w:type="dxa"/>
            <w:vAlign w:val="center"/>
          </w:tcPr>
          <w:p w14:paraId="26277AE3" w14:textId="119175AE" w:rsidR="00F12319" w:rsidRPr="003D2D23" w:rsidRDefault="003479D8" w:rsidP="00F12319">
            <w:pPr>
              <w:ind w:left="0"/>
              <w:rPr>
                <w:rFonts w:cs="Calibri"/>
                <w:color w:val="000000"/>
              </w:rPr>
            </w:pPr>
            <w:r>
              <w:rPr>
                <w:color w:val="000000"/>
              </w:rPr>
              <w:t>CPA</w:t>
            </w:r>
          </w:p>
        </w:tc>
        <w:tc>
          <w:tcPr>
            <w:tcW w:w="2160" w:type="dxa"/>
            <w:vAlign w:val="center"/>
          </w:tcPr>
          <w:p w14:paraId="53A20FA2" w14:textId="77777777" w:rsidR="00F12319" w:rsidRPr="003D2D23" w:rsidRDefault="00F12319" w:rsidP="00F12319">
            <w:pPr>
              <w:ind w:left="0"/>
              <w:rPr>
                <w:rFonts w:cs="Calibri"/>
                <w:color w:val="000000"/>
              </w:rPr>
            </w:pPr>
            <w:r>
              <w:t>PROD.USA.AGY320.HX</w:t>
            </w:r>
          </w:p>
        </w:tc>
        <w:tc>
          <w:tcPr>
            <w:tcW w:w="5760" w:type="dxa"/>
            <w:vAlign w:val="center"/>
          </w:tcPr>
          <w:p w14:paraId="0B3EAA66" w14:textId="77777777" w:rsidR="00F12319" w:rsidRPr="003D2D23" w:rsidRDefault="00F12319" w:rsidP="00F12319">
            <w:pPr>
              <w:ind w:left="0"/>
              <w:rPr>
                <w:rFonts w:cs="Calibri"/>
                <w:color w:val="000000"/>
              </w:rPr>
            </w:pPr>
            <w:r>
              <w:t>Refund Warrants Mailed; this file contains information about warrants generated by CPA for our refund processing; TWC posts this data to our system so that it shows that the refunds were mailed</w:t>
            </w:r>
          </w:p>
        </w:tc>
      </w:tr>
      <w:tr w:rsidR="00F12319" w14:paraId="6A7FFB7B" w14:textId="77777777" w:rsidTr="00EB23D7">
        <w:tc>
          <w:tcPr>
            <w:tcW w:w="877" w:type="dxa"/>
            <w:vAlign w:val="center"/>
          </w:tcPr>
          <w:p w14:paraId="086684B9" w14:textId="4279EBB2" w:rsidR="00F12319" w:rsidRPr="00194F03" w:rsidRDefault="00F12319" w:rsidP="00F12319">
            <w:pPr>
              <w:ind w:left="0"/>
              <w:jc w:val="center"/>
              <w:rPr>
                <w:rFonts w:cs="Calibri"/>
                <w:color w:val="000000"/>
                <w:szCs w:val="22"/>
              </w:rPr>
            </w:pPr>
            <w:r>
              <w:rPr>
                <w:szCs w:val="22"/>
              </w:rPr>
              <w:t>96</w:t>
            </w:r>
          </w:p>
        </w:tc>
        <w:tc>
          <w:tcPr>
            <w:tcW w:w="1530" w:type="dxa"/>
            <w:vAlign w:val="center"/>
          </w:tcPr>
          <w:p w14:paraId="5FFE537E" w14:textId="77777777" w:rsidR="00F12319" w:rsidRPr="003D2D23" w:rsidRDefault="00F12319" w:rsidP="00F12319">
            <w:pPr>
              <w:ind w:left="0"/>
              <w:rPr>
                <w:rFonts w:cs="Calibri"/>
                <w:color w:val="000000"/>
                <w:szCs w:val="22"/>
              </w:rPr>
            </w:pPr>
            <w:r w:rsidRPr="003D2D23">
              <w:rPr>
                <w:rFonts w:cs="Calibri"/>
                <w:color w:val="000000"/>
                <w:szCs w:val="22"/>
              </w:rPr>
              <w:t>Receive</w:t>
            </w:r>
          </w:p>
        </w:tc>
        <w:tc>
          <w:tcPr>
            <w:tcW w:w="1710" w:type="dxa"/>
            <w:vAlign w:val="center"/>
          </w:tcPr>
          <w:p w14:paraId="3AD60202" w14:textId="77777777" w:rsidR="00F12319" w:rsidRPr="003D2D23" w:rsidRDefault="00F12319" w:rsidP="00F12319">
            <w:pPr>
              <w:ind w:left="0"/>
              <w:rPr>
                <w:rFonts w:cs="Calibri"/>
                <w:color w:val="000000"/>
                <w:szCs w:val="22"/>
              </w:rPr>
            </w:pPr>
            <w:r w:rsidRPr="003D2D23">
              <w:rPr>
                <w:rFonts w:cs="Calibri"/>
                <w:color w:val="000000"/>
                <w:szCs w:val="22"/>
              </w:rPr>
              <w:t>Offline / Quarterly</w:t>
            </w:r>
          </w:p>
        </w:tc>
        <w:tc>
          <w:tcPr>
            <w:tcW w:w="2430" w:type="dxa"/>
            <w:vAlign w:val="center"/>
          </w:tcPr>
          <w:p w14:paraId="3F17DC85" w14:textId="66F62A48" w:rsidR="00F12319" w:rsidRPr="003D2D23" w:rsidRDefault="003479D8" w:rsidP="00F12319">
            <w:pPr>
              <w:ind w:left="0"/>
              <w:rPr>
                <w:rFonts w:cs="Calibri"/>
                <w:color w:val="000000"/>
                <w:szCs w:val="22"/>
              </w:rPr>
            </w:pPr>
            <w:r>
              <w:rPr>
                <w:rFonts w:cs="Calibri"/>
                <w:color w:val="000000"/>
                <w:szCs w:val="22"/>
              </w:rPr>
              <w:t>CPA</w:t>
            </w:r>
          </w:p>
        </w:tc>
        <w:tc>
          <w:tcPr>
            <w:tcW w:w="2160" w:type="dxa"/>
            <w:vAlign w:val="center"/>
          </w:tcPr>
          <w:p w14:paraId="1173B356" w14:textId="77777777" w:rsidR="00F12319" w:rsidRPr="003D2D23" w:rsidRDefault="00F12319" w:rsidP="00F12319">
            <w:pPr>
              <w:ind w:left="0"/>
              <w:rPr>
                <w:rFonts w:cs="Calibri"/>
                <w:color w:val="000000"/>
                <w:szCs w:val="22"/>
              </w:rPr>
            </w:pPr>
            <w:r w:rsidRPr="003D2D23">
              <w:rPr>
                <w:rFonts w:cs="Calibri"/>
                <w:color w:val="000000"/>
                <w:szCs w:val="22"/>
              </w:rPr>
              <w:t>Reimbursement; fund source data from State Comptroller</w:t>
            </w:r>
          </w:p>
        </w:tc>
        <w:tc>
          <w:tcPr>
            <w:tcW w:w="5760" w:type="dxa"/>
            <w:vAlign w:val="center"/>
          </w:tcPr>
          <w:p w14:paraId="1EB395A1" w14:textId="77777777" w:rsidR="00F12319" w:rsidRPr="003D2D23" w:rsidRDefault="00F12319" w:rsidP="00F12319">
            <w:pPr>
              <w:ind w:left="0"/>
              <w:rPr>
                <w:rFonts w:cs="Calibri"/>
                <w:color w:val="000000"/>
                <w:szCs w:val="22"/>
              </w:rPr>
            </w:pPr>
            <w:r w:rsidRPr="003D2D23">
              <w:rPr>
                <w:rFonts w:cs="Calibri"/>
                <w:color w:val="000000"/>
                <w:szCs w:val="22"/>
              </w:rPr>
              <w:t>CPA fund source data for C5</w:t>
            </w:r>
            <w:r>
              <w:rPr>
                <w:rFonts w:cs="Calibri"/>
                <w:color w:val="000000"/>
                <w:szCs w:val="22"/>
              </w:rPr>
              <w:t>8R’s; tape coming back from CPA;</w:t>
            </w:r>
            <w:r w:rsidRPr="003D2D23">
              <w:rPr>
                <w:rFonts w:cs="Calibri"/>
                <w:color w:val="000000"/>
                <w:szCs w:val="22"/>
              </w:rPr>
              <w:t xml:space="preserve"> </w:t>
            </w:r>
            <w:r>
              <w:rPr>
                <w:rFonts w:cs="Calibri"/>
                <w:color w:val="000000"/>
                <w:szCs w:val="22"/>
              </w:rPr>
              <w:t>t</w:t>
            </w:r>
            <w:r w:rsidRPr="003D2D23">
              <w:rPr>
                <w:rFonts w:cs="Calibri"/>
                <w:color w:val="000000"/>
                <w:szCs w:val="22"/>
              </w:rPr>
              <w:t xml:space="preserve">he V9 tape is sent to CPA </w:t>
            </w:r>
            <w:r>
              <w:rPr>
                <w:rFonts w:cs="Calibri"/>
                <w:color w:val="000000"/>
                <w:szCs w:val="22"/>
              </w:rPr>
              <w:t>by job BNQE100A once a quarter;</w:t>
            </w:r>
            <w:r w:rsidRPr="003D2D23">
              <w:rPr>
                <w:rFonts w:cs="Calibri"/>
                <w:color w:val="000000"/>
                <w:szCs w:val="22"/>
              </w:rPr>
              <w:t xml:space="preserve"> CPA adds stuff to it and sends it back for us to process and create C58R2’s, Reimbursing </w:t>
            </w:r>
            <w:r>
              <w:rPr>
                <w:rFonts w:cs="Calibri"/>
                <w:color w:val="000000"/>
                <w:szCs w:val="22"/>
              </w:rPr>
              <w:t>Accounts Fund Source statements</w:t>
            </w:r>
          </w:p>
        </w:tc>
      </w:tr>
      <w:tr w:rsidR="00F12319" w14:paraId="116DFD13" w14:textId="77777777" w:rsidTr="00EB23D7">
        <w:tc>
          <w:tcPr>
            <w:tcW w:w="877" w:type="dxa"/>
            <w:vAlign w:val="center"/>
          </w:tcPr>
          <w:p w14:paraId="4ADF8E27" w14:textId="5DBE0CDF" w:rsidR="00F12319" w:rsidRPr="00194F03" w:rsidRDefault="00F12319" w:rsidP="00F12319">
            <w:pPr>
              <w:ind w:left="0"/>
              <w:jc w:val="center"/>
              <w:rPr>
                <w:rFonts w:cs="Calibri"/>
                <w:color w:val="000000"/>
              </w:rPr>
            </w:pPr>
            <w:r w:rsidRPr="00E45811">
              <w:rPr>
                <w:color w:val="000000"/>
                <w:szCs w:val="22"/>
              </w:rPr>
              <w:t>97</w:t>
            </w:r>
          </w:p>
        </w:tc>
        <w:tc>
          <w:tcPr>
            <w:tcW w:w="1530" w:type="dxa"/>
            <w:vAlign w:val="center"/>
          </w:tcPr>
          <w:p w14:paraId="7D5D3A4B" w14:textId="77777777" w:rsidR="00F12319" w:rsidRPr="003D2D23" w:rsidRDefault="00F12319" w:rsidP="00F12319">
            <w:pPr>
              <w:ind w:left="0"/>
              <w:rPr>
                <w:rFonts w:cs="Calibri"/>
                <w:color w:val="000000"/>
              </w:rPr>
            </w:pPr>
            <w:r>
              <w:rPr>
                <w:color w:val="000000"/>
              </w:rPr>
              <w:t>Send</w:t>
            </w:r>
          </w:p>
        </w:tc>
        <w:tc>
          <w:tcPr>
            <w:tcW w:w="1710" w:type="dxa"/>
            <w:vAlign w:val="center"/>
          </w:tcPr>
          <w:p w14:paraId="7C923E10" w14:textId="77777777" w:rsidR="00F12319" w:rsidRPr="003D2D23" w:rsidRDefault="00F12319" w:rsidP="00F12319">
            <w:pPr>
              <w:ind w:left="0"/>
              <w:rPr>
                <w:rFonts w:cs="Calibri"/>
                <w:color w:val="000000"/>
              </w:rPr>
            </w:pPr>
            <w:r>
              <w:rPr>
                <w:color w:val="000000"/>
              </w:rPr>
              <w:t>Quarterly</w:t>
            </w:r>
          </w:p>
        </w:tc>
        <w:tc>
          <w:tcPr>
            <w:tcW w:w="2430" w:type="dxa"/>
            <w:vAlign w:val="center"/>
          </w:tcPr>
          <w:p w14:paraId="1163DE88" w14:textId="4C2BF549" w:rsidR="00F12319" w:rsidRPr="003D2D23" w:rsidRDefault="003479D8" w:rsidP="00F12319">
            <w:pPr>
              <w:ind w:left="0"/>
              <w:rPr>
                <w:rFonts w:cs="Calibri"/>
                <w:color w:val="000000"/>
              </w:rPr>
            </w:pPr>
            <w:r>
              <w:rPr>
                <w:color w:val="000000"/>
              </w:rPr>
              <w:t>CPA</w:t>
            </w:r>
          </w:p>
        </w:tc>
        <w:tc>
          <w:tcPr>
            <w:tcW w:w="2160" w:type="dxa"/>
            <w:vAlign w:val="center"/>
          </w:tcPr>
          <w:p w14:paraId="3F5CBE7B" w14:textId="77777777" w:rsidR="00F12319" w:rsidRPr="003D2D23" w:rsidRDefault="00F12319" w:rsidP="00F12319">
            <w:pPr>
              <w:ind w:left="0"/>
              <w:rPr>
                <w:rFonts w:cs="Calibri"/>
                <w:color w:val="000000"/>
              </w:rPr>
            </w:pPr>
            <w:r>
              <w:t>TXQS0032</w:t>
            </w:r>
          </w:p>
        </w:tc>
        <w:tc>
          <w:tcPr>
            <w:tcW w:w="5760" w:type="dxa"/>
            <w:vAlign w:val="center"/>
          </w:tcPr>
          <w:p w14:paraId="64043B90" w14:textId="77777777" w:rsidR="00F12319" w:rsidRPr="003D2D23" w:rsidRDefault="00F12319" w:rsidP="00F12319">
            <w:pPr>
              <w:ind w:left="0"/>
              <w:rPr>
                <w:rFonts w:cs="Calibri"/>
                <w:color w:val="000000"/>
              </w:rPr>
            </w:pPr>
            <w:r>
              <w:t>File containing Employer ID, Employer Name, and ZIP code for all active employers</w:t>
            </w:r>
          </w:p>
        </w:tc>
      </w:tr>
      <w:tr w:rsidR="00F12319" w14:paraId="69C81BD8" w14:textId="77777777" w:rsidTr="00EB23D7">
        <w:tc>
          <w:tcPr>
            <w:tcW w:w="877" w:type="dxa"/>
            <w:vAlign w:val="center"/>
          </w:tcPr>
          <w:p w14:paraId="43927BBF" w14:textId="3A40CDAA" w:rsidR="00F12319" w:rsidRPr="00194F03" w:rsidRDefault="00F12319" w:rsidP="00F12319">
            <w:pPr>
              <w:ind w:left="0"/>
              <w:jc w:val="center"/>
              <w:rPr>
                <w:rFonts w:cs="Calibri"/>
                <w:color w:val="000000"/>
              </w:rPr>
            </w:pPr>
            <w:r w:rsidRPr="00B11D4E">
              <w:rPr>
                <w:color w:val="000000"/>
                <w:szCs w:val="22"/>
              </w:rPr>
              <w:t>98</w:t>
            </w:r>
          </w:p>
        </w:tc>
        <w:tc>
          <w:tcPr>
            <w:tcW w:w="1530" w:type="dxa"/>
            <w:vAlign w:val="center"/>
          </w:tcPr>
          <w:p w14:paraId="65A230EA" w14:textId="77777777" w:rsidR="00F12319" w:rsidRPr="003D2D23" w:rsidRDefault="00F12319" w:rsidP="00F12319">
            <w:pPr>
              <w:ind w:left="0"/>
              <w:rPr>
                <w:rFonts w:cs="Calibri"/>
                <w:color w:val="000000"/>
              </w:rPr>
            </w:pPr>
            <w:r>
              <w:rPr>
                <w:rFonts w:cs="Calibri"/>
                <w:color w:val="000000"/>
              </w:rPr>
              <w:t>Both</w:t>
            </w:r>
          </w:p>
        </w:tc>
        <w:tc>
          <w:tcPr>
            <w:tcW w:w="1710" w:type="dxa"/>
            <w:vAlign w:val="center"/>
          </w:tcPr>
          <w:p w14:paraId="1A3B7BBE" w14:textId="77777777" w:rsidR="00F12319" w:rsidRPr="003D2D23" w:rsidRDefault="00F12319" w:rsidP="00F12319">
            <w:pPr>
              <w:ind w:left="0"/>
              <w:rPr>
                <w:rFonts w:cs="Calibri"/>
                <w:color w:val="000000"/>
              </w:rPr>
            </w:pPr>
            <w:r>
              <w:rPr>
                <w:rFonts w:cs="Calibri"/>
                <w:color w:val="000000"/>
              </w:rPr>
              <w:t>Offline / Daily</w:t>
            </w:r>
          </w:p>
        </w:tc>
        <w:tc>
          <w:tcPr>
            <w:tcW w:w="2430" w:type="dxa"/>
            <w:vAlign w:val="center"/>
          </w:tcPr>
          <w:p w14:paraId="7706EFBA" w14:textId="348A4DA6" w:rsidR="00F12319" w:rsidRPr="003D2D23" w:rsidRDefault="003479D8" w:rsidP="00F12319">
            <w:pPr>
              <w:ind w:left="0"/>
              <w:rPr>
                <w:rFonts w:cs="Calibri"/>
                <w:color w:val="000000"/>
              </w:rPr>
            </w:pPr>
            <w:r>
              <w:rPr>
                <w:rFonts w:cs="Calibri"/>
                <w:color w:val="000000"/>
              </w:rPr>
              <w:t>CPA</w:t>
            </w:r>
          </w:p>
        </w:tc>
        <w:tc>
          <w:tcPr>
            <w:tcW w:w="2160" w:type="dxa"/>
            <w:vAlign w:val="center"/>
          </w:tcPr>
          <w:p w14:paraId="6027AC41" w14:textId="77777777" w:rsidR="00F12319" w:rsidRPr="003D2D23" w:rsidRDefault="00F12319" w:rsidP="00F12319">
            <w:pPr>
              <w:ind w:left="0"/>
              <w:rPr>
                <w:rFonts w:cs="Calibri"/>
                <w:color w:val="000000"/>
              </w:rPr>
            </w:pPr>
            <w:r>
              <w:rPr>
                <w:rFonts w:cs="Calibri"/>
                <w:color w:val="000000"/>
              </w:rPr>
              <w:t>USAS</w:t>
            </w:r>
          </w:p>
        </w:tc>
        <w:tc>
          <w:tcPr>
            <w:tcW w:w="5760" w:type="dxa"/>
            <w:vAlign w:val="center"/>
          </w:tcPr>
          <w:p w14:paraId="6D0812DA" w14:textId="77777777" w:rsidR="00F12319" w:rsidRDefault="00F12319" w:rsidP="00F12319">
            <w:pPr>
              <w:ind w:left="0"/>
              <w:rPr>
                <w:rFonts w:cs="Calibri"/>
                <w:color w:val="000000"/>
              </w:rPr>
            </w:pPr>
            <w:r>
              <w:rPr>
                <w:rFonts w:cs="Calibri"/>
                <w:color w:val="000000"/>
              </w:rPr>
              <w:t>TWC UI Tax refund warrants &lt;=$1000.00 with TWC auto generated Payee ID + Mail Code</w:t>
            </w:r>
          </w:p>
        </w:tc>
      </w:tr>
      <w:tr w:rsidR="00F12319" w14:paraId="531F324E" w14:textId="77777777" w:rsidTr="00EB23D7">
        <w:tc>
          <w:tcPr>
            <w:tcW w:w="877" w:type="dxa"/>
            <w:vAlign w:val="center"/>
          </w:tcPr>
          <w:p w14:paraId="3CE127FA" w14:textId="2E5709DE" w:rsidR="00F12319" w:rsidRDefault="00F12319" w:rsidP="00F12319">
            <w:pPr>
              <w:ind w:left="0"/>
              <w:jc w:val="center"/>
              <w:rPr>
                <w:rFonts w:cs="Calibri"/>
                <w:color w:val="000000"/>
              </w:rPr>
            </w:pPr>
            <w:r>
              <w:rPr>
                <w:szCs w:val="22"/>
              </w:rPr>
              <w:t>99</w:t>
            </w:r>
          </w:p>
        </w:tc>
        <w:tc>
          <w:tcPr>
            <w:tcW w:w="1530" w:type="dxa"/>
            <w:vAlign w:val="center"/>
          </w:tcPr>
          <w:p w14:paraId="24C77AFD" w14:textId="77777777" w:rsidR="00F12319" w:rsidRDefault="00F12319" w:rsidP="00F12319">
            <w:pPr>
              <w:ind w:left="0"/>
              <w:rPr>
                <w:rFonts w:cs="Calibri"/>
                <w:color w:val="000000"/>
              </w:rPr>
            </w:pPr>
            <w:r>
              <w:rPr>
                <w:rFonts w:cs="Calibri"/>
                <w:color w:val="000000"/>
              </w:rPr>
              <w:t>Both</w:t>
            </w:r>
          </w:p>
        </w:tc>
        <w:tc>
          <w:tcPr>
            <w:tcW w:w="1710" w:type="dxa"/>
            <w:vAlign w:val="center"/>
          </w:tcPr>
          <w:p w14:paraId="13C5F53C" w14:textId="77777777" w:rsidR="00F12319" w:rsidRDefault="00F12319" w:rsidP="00F12319">
            <w:pPr>
              <w:ind w:left="0"/>
              <w:rPr>
                <w:rFonts w:cs="Calibri"/>
                <w:color w:val="000000"/>
              </w:rPr>
            </w:pPr>
            <w:r>
              <w:rPr>
                <w:rFonts w:cs="Calibri"/>
                <w:color w:val="000000"/>
              </w:rPr>
              <w:t>Offline / Daily</w:t>
            </w:r>
          </w:p>
        </w:tc>
        <w:tc>
          <w:tcPr>
            <w:tcW w:w="2430" w:type="dxa"/>
            <w:vAlign w:val="center"/>
          </w:tcPr>
          <w:p w14:paraId="2C5DB08D" w14:textId="082AD8D7" w:rsidR="00F12319" w:rsidRDefault="003479D8" w:rsidP="00F12319">
            <w:pPr>
              <w:ind w:left="0"/>
              <w:rPr>
                <w:rFonts w:cs="Calibri"/>
                <w:color w:val="000000"/>
              </w:rPr>
            </w:pPr>
            <w:r>
              <w:rPr>
                <w:rFonts w:cs="Calibri"/>
                <w:color w:val="000000"/>
              </w:rPr>
              <w:t>CPA</w:t>
            </w:r>
          </w:p>
        </w:tc>
        <w:tc>
          <w:tcPr>
            <w:tcW w:w="2160" w:type="dxa"/>
            <w:vAlign w:val="center"/>
          </w:tcPr>
          <w:p w14:paraId="214ADC14" w14:textId="77777777" w:rsidR="00F12319" w:rsidRDefault="00F12319" w:rsidP="00F12319">
            <w:pPr>
              <w:ind w:left="0"/>
              <w:rPr>
                <w:rFonts w:cs="Calibri"/>
                <w:color w:val="000000"/>
              </w:rPr>
            </w:pPr>
            <w:r>
              <w:rPr>
                <w:rFonts w:cs="Calibri"/>
                <w:color w:val="000000"/>
              </w:rPr>
              <w:t>USAS</w:t>
            </w:r>
          </w:p>
        </w:tc>
        <w:tc>
          <w:tcPr>
            <w:tcW w:w="5760" w:type="dxa"/>
            <w:vAlign w:val="center"/>
          </w:tcPr>
          <w:p w14:paraId="4FE9B059" w14:textId="77777777" w:rsidR="00F12319" w:rsidRDefault="00F12319" w:rsidP="00F12319">
            <w:pPr>
              <w:ind w:left="0"/>
              <w:rPr>
                <w:rFonts w:cs="Calibri"/>
                <w:color w:val="000000"/>
              </w:rPr>
            </w:pPr>
            <w:r>
              <w:rPr>
                <w:rFonts w:cs="Calibri"/>
                <w:color w:val="000000"/>
              </w:rPr>
              <w:t>TWC UI Tax refund warrants &gt;$1000.00 with manually input Payee ID + Mail Code</w:t>
            </w:r>
          </w:p>
        </w:tc>
      </w:tr>
      <w:tr w:rsidR="005F402B" w14:paraId="406A9E8F" w14:textId="77777777" w:rsidTr="00EB23D7">
        <w:tc>
          <w:tcPr>
            <w:tcW w:w="877" w:type="dxa"/>
            <w:vAlign w:val="center"/>
          </w:tcPr>
          <w:p w14:paraId="6ED9AA5B" w14:textId="2F0A5BAD" w:rsidR="005F402B" w:rsidRPr="00194F03" w:rsidRDefault="005F402B" w:rsidP="005F402B">
            <w:pPr>
              <w:ind w:left="0"/>
              <w:jc w:val="center"/>
              <w:rPr>
                <w:rFonts w:cs="Calibri"/>
                <w:color w:val="000000"/>
                <w:szCs w:val="22"/>
              </w:rPr>
            </w:pPr>
            <w:r>
              <w:t>100</w:t>
            </w:r>
          </w:p>
        </w:tc>
        <w:tc>
          <w:tcPr>
            <w:tcW w:w="1530" w:type="dxa"/>
            <w:vAlign w:val="center"/>
          </w:tcPr>
          <w:p w14:paraId="2F6964F6" w14:textId="77777777" w:rsidR="005F402B" w:rsidRPr="003D2D23" w:rsidRDefault="005F402B" w:rsidP="005F402B">
            <w:pPr>
              <w:ind w:left="0"/>
              <w:rPr>
                <w:rFonts w:cs="Calibri"/>
                <w:color w:val="000000"/>
                <w:szCs w:val="22"/>
              </w:rPr>
            </w:pPr>
            <w:r w:rsidRPr="003D2D23">
              <w:rPr>
                <w:rFonts w:cs="Calibri"/>
                <w:color w:val="000000"/>
                <w:szCs w:val="22"/>
              </w:rPr>
              <w:t>Receive</w:t>
            </w:r>
          </w:p>
        </w:tc>
        <w:tc>
          <w:tcPr>
            <w:tcW w:w="1710" w:type="dxa"/>
            <w:vAlign w:val="center"/>
          </w:tcPr>
          <w:p w14:paraId="79530D9A" w14:textId="77777777" w:rsidR="005F402B" w:rsidRPr="003D2D23" w:rsidRDefault="005F402B" w:rsidP="005F402B">
            <w:pPr>
              <w:ind w:left="0"/>
              <w:rPr>
                <w:rFonts w:cs="Calibri"/>
                <w:color w:val="000000"/>
                <w:szCs w:val="22"/>
              </w:rPr>
            </w:pPr>
            <w:r w:rsidRPr="003D2D23">
              <w:rPr>
                <w:rFonts w:cs="Calibri"/>
                <w:color w:val="000000"/>
                <w:szCs w:val="22"/>
              </w:rPr>
              <w:t>Offline / Daily</w:t>
            </w:r>
          </w:p>
        </w:tc>
        <w:tc>
          <w:tcPr>
            <w:tcW w:w="2430" w:type="dxa"/>
            <w:vAlign w:val="center"/>
          </w:tcPr>
          <w:p w14:paraId="023DBDCB" w14:textId="0F29FB14" w:rsidR="005F402B" w:rsidRPr="003D2D23" w:rsidRDefault="005F402B" w:rsidP="005F402B">
            <w:pPr>
              <w:ind w:left="0"/>
              <w:rPr>
                <w:rFonts w:cs="Calibri"/>
                <w:color w:val="000000"/>
                <w:szCs w:val="22"/>
              </w:rPr>
            </w:pPr>
            <w:r>
              <w:rPr>
                <w:rFonts w:cs="Calibri"/>
                <w:color w:val="000000"/>
              </w:rPr>
              <w:t>CPA</w:t>
            </w:r>
          </w:p>
        </w:tc>
        <w:tc>
          <w:tcPr>
            <w:tcW w:w="2160" w:type="dxa"/>
            <w:vAlign w:val="center"/>
          </w:tcPr>
          <w:p w14:paraId="15A6B724" w14:textId="77777777" w:rsidR="005F402B" w:rsidRPr="003D2D23" w:rsidRDefault="005F402B" w:rsidP="005F402B">
            <w:pPr>
              <w:ind w:left="0"/>
              <w:rPr>
                <w:rFonts w:cs="Calibri"/>
                <w:color w:val="000000"/>
                <w:szCs w:val="22"/>
              </w:rPr>
            </w:pPr>
            <w:r w:rsidRPr="003D2D23">
              <w:rPr>
                <w:rFonts w:cs="Calibri"/>
                <w:color w:val="000000"/>
                <w:szCs w:val="22"/>
              </w:rPr>
              <w:t>Voucher Info</w:t>
            </w:r>
          </w:p>
        </w:tc>
        <w:tc>
          <w:tcPr>
            <w:tcW w:w="5760" w:type="dxa"/>
            <w:vAlign w:val="center"/>
          </w:tcPr>
          <w:p w14:paraId="37CCA1DE" w14:textId="77777777" w:rsidR="005F402B" w:rsidRPr="003D2D23" w:rsidRDefault="005F402B" w:rsidP="005F402B">
            <w:pPr>
              <w:ind w:left="0"/>
              <w:rPr>
                <w:rFonts w:cs="Calibri"/>
                <w:color w:val="000000"/>
                <w:szCs w:val="22"/>
              </w:rPr>
            </w:pPr>
            <w:r w:rsidRPr="003D2D23">
              <w:rPr>
                <w:rFonts w:cs="Calibri"/>
                <w:color w:val="000000"/>
                <w:szCs w:val="22"/>
              </w:rPr>
              <w:t>TWC get of one (1) USA</w:t>
            </w:r>
            <w:r>
              <w:rPr>
                <w:rFonts w:cs="Calibri"/>
                <w:color w:val="000000"/>
                <w:szCs w:val="22"/>
              </w:rPr>
              <w:t>S Voucher file from Comptroller</w:t>
            </w:r>
          </w:p>
        </w:tc>
      </w:tr>
      <w:tr w:rsidR="00F12319" w14:paraId="51AD3382" w14:textId="77777777" w:rsidTr="00EB23D7">
        <w:tc>
          <w:tcPr>
            <w:tcW w:w="877" w:type="dxa"/>
            <w:vAlign w:val="center"/>
          </w:tcPr>
          <w:p w14:paraId="5551B6C7" w14:textId="32FA3239" w:rsidR="00F12319" w:rsidRPr="00194F03" w:rsidRDefault="00F12319" w:rsidP="00F12319">
            <w:pPr>
              <w:ind w:left="0"/>
              <w:jc w:val="center"/>
              <w:rPr>
                <w:rFonts w:cs="Calibri"/>
                <w:color w:val="000000"/>
                <w:szCs w:val="22"/>
              </w:rPr>
            </w:pPr>
            <w:r>
              <w:rPr>
                <w:color w:val="000000"/>
              </w:rPr>
              <w:t>101</w:t>
            </w:r>
          </w:p>
        </w:tc>
        <w:tc>
          <w:tcPr>
            <w:tcW w:w="1530" w:type="dxa"/>
            <w:vAlign w:val="center"/>
          </w:tcPr>
          <w:p w14:paraId="3ADDE089" w14:textId="77777777" w:rsidR="00F12319" w:rsidRPr="003D2D23" w:rsidRDefault="00F12319" w:rsidP="00F12319">
            <w:pPr>
              <w:ind w:left="0"/>
              <w:rPr>
                <w:rFonts w:cs="Calibri"/>
                <w:color w:val="000000"/>
                <w:szCs w:val="22"/>
              </w:rPr>
            </w:pPr>
            <w:r w:rsidRPr="003D2D23">
              <w:rPr>
                <w:rFonts w:cs="Calibri"/>
                <w:color w:val="000000"/>
                <w:szCs w:val="22"/>
              </w:rPr>
              <w:t>Send</w:t>
            </w:r>
          </w:p>
        </w:tc>
        <w:tc>
          <w:tcPr>
            <w:tcW w:w="1710" w:type="dxa"/>
            <w:vAlign w:val="center"/>
          </w:tcPr>
          <w:p w14:paraId="6CFBC55A" w14:textId="77777777" w:rsidR="00F12319" w:rsidRPr="003D2D23" w:rsidRDefault="00F12319" w:rsidP="00F12319">
            <w:pPr>
              <w:ind w:left="0"/>
              <w:rPr>
                <w:rFonts w:cs="Calibri"/>
                <w:color w:val="000000"/>
                <w:szCs w:val="22"/>
              </w:rPr>
            </w:pPr>
            <w:r w:rsidRPr="003D2D23">
              <w:rPr>
                <w:rFonts w:cs="Calibri"/>
                <w:color w:val="000000"/>
                <w:szCs w:val="22"/>
              </w:rPr>
              <w:t>Offline / Monthly</w:t>
            </w:r>
          </w:p>
        </w:tc>
        <w:tc>
          <w:tcPr>
            <w:tcW w:w="2430" w:type="dxa"/>
            <w:vAlign w:val="center"/>
          </w:tcPr>
          <w:p w14:paraId="11CF08E1" w14:textId="77777777" w:rsidR="00F12319" w:rsidRPr="003D2D23" w:rsidRDefault="00F12319" w:rsidP="00F12319">
            <w:pPr>
              <w:ind w:left="0"/>
              <w:rPr>
                <w:rFonts w:cs="Calibri"/>
                <w:color w:val="000000"/>
                <w:szCs w:val="22"/>
              </w:rPr>
            </w:pPr>
            <w:r w:rsidRPr="003D2D23">
              <w:rPr>
                <w:rFonts w:cs="Calibri"/>
                <w:color w:val="000000"/>
                <w:szCs w:val="22"/>
              </w:rPr>
              <w:t>TX Department of Information Resources</w:t>
            </w:r>
          </w:p>
        </w:tc>
        <w:tc>
          <w:tcPr>
            <w:tcW w:w="2160" w:type="dxa"/>
            <w:vAlign w:val="center"/>
          </w:tcPr>
          <w:p w14:paraId="4E946AE4" w14:textId="77777777" w:rsidR="00F12319" w:rsidRPr="003D2D23" w:rsidRDefault="00F12319" w:rsidP="00F12319">
            <w:pPr>
              <w:ind w:left="0"/>
              <w:rPr>
                <w:rFonts w:cs="Calibri"/>
                <w:color w:val="000000"/>
                <w:szCs w:val="22"/>
              </w:rPr>
            </w:pPr>
            <w:r w:rsidRPr="003D2D23">
              <w:rPr>
                <w:rFonts w:cs="Calibri"/>
                <w:color w:val="000000"/>
                <w:szCs w:val="22"/>
              </w:rPr>
              <w:t>TWC Phone Calls</w:t>
            </w:r>
          </w:p>
        </w:tc>
        <w:tc>
          <w:tcPr>
            <w:tcW w:w="5760" w:type="dxa"/>
            <w:vAlign w:val="center"/>
          </w:tcPr>
          <w:p w14:paraId="2ED58DC9" w14:textId="77777777" w:rsidR="00F12319" w:rsidRPr="003D2D23" w:rsidRDefault="00F12319" w:rsidP="00F12319">
            <w:pPr>
              <w:ind w:left="0"/>
              <w:rPr>
                <w:rFonts w:cs="Calibri"/>
                <w:color w:val="000000"/>
                <w:szCs w:val="22"/>
              </w:rPr>
            </w:pPr>
            <w:r w:rsidRPr="003D2D23">
              <w:rPr>
                <w:rFonts w:cs="Calibri"/>
                <w:color w:val="000000"/>
                <w:szCs w:val="22"/>
              </w:rPr>
              <w:t>Provides monthly phone data for TWC</w:t>
            </w:r>
          </w:p>
        </w:tc>
      </w:tr>
      <w:tr w:rsidR="00F12319" w14:paraId="000EAFEA" w14:textId="77777777" w:rsidTr="00EB23D7">
        <w:tc>
          <w:tcPr>
            <w:tcW w:w="877" w:type="dxa"/>
            <w:vAlign w:val="center"/>
          </w:tcPr>
          <w:p w14:paraId="7C9DD3BF" w14:textId="282ED8A6" w:rsidR="00F12319" w:rsidRPr="00194F03" w:rsidRDefault="00F12319" w:rsidP="00F12319">
            <w:pPr>
              <w:ind w:left="0"/>
              <w:jc w:val="center"/>
              <w:rPr>
                <w:rFonts w:cs="Calibri"/>
                <w:color w:val="000000"/>
                <w:szCs w:val="22"/>
              </w:rPr>
            </w:pPr>
            <w:r>
              <w:rPr>
                <w:szCs w:val="22"/>
              </w:rPr>
              <w:lastRenderedPageBreak/>
              <w:t>102</w:t>
            </w:r>
          </w:p>
        </w:tc>
        <w:tc>
          <w:tcPr>
            <w:tcW w:w="1530" w:type="dxa"/>
            <w:vAlign w:val="center"/>
          </w:tcPr>
          <w:p w14:paraId="4DD13834" w14:textId="77777777" w:rsidR="00F12319" w:rsidRPr="003D2D23" w:rsidRDefault="00F12319" w:rsidP="00F12319">
            <w:pPr>
              <w:ind w:left="0"/>
              <w:rPr>
                <w:rFonts w:cs="Calibri"/>
                <w:color w:val="000000"/>
                <w:szCs w:val="22"/>
              </w:rPr>
            </w:pPr>
            <w:r w:rsidRPr="003D2D23">
              <w:rPr>
                <w:rFonts w:cs="Calibri"/>
                <w:color w:val="000000"/>
                <w:szCs w:val="22"/>
              </w:rPr>
              <w:t>Receive</w:t>
            </w:r>
          </w:p>
        </w:tc>
        <w:tc>
          <w:tcPr>
            <w:tcW w:w="1710" w:type="dxa"/>
            <w:vAlign w:val="center"/>
          </w:tcPr>
          <w:p w14:paraId="6E65F96E" w14:textId="77777777" w:rsidR="00F12319" w:rsidRPr="003D2D23" w:rsidRDefault="00F12319" w:rsidP="00F12319">
            <w:pPr>
              <w:ind w:left="0"/>
              <w:rPr>
                <w:rFonts w:cs="Calibri"/>
                <w:color w:val="000000"/>
                <w:szCs w:val="22"/>
              </w:rPr>
            </w:pPr>
            <w:r w:rsidRPr="003D2D23">
              <w:rPr>
                <w:rFonts w:cs="Calibri"/>
                <w:color w:val="000000"/>
                <w:szCs w:val="22"/>
              </w:rPr>
              <w:t>Offline / Weekly</w:t>
            </w:r>
          </w:p>
        </w:tc>
        <w:tc>
          <w:tcPr>
            <w:tcW w:w="2430" w:type="dxa"/>
            <w:vAlign w:val="center"/>
          </w:tcPr>
          <w:p w14:paraId="591EE94B" w14:textId="77777777" w:rsidR="00F12319" w:rsidRPr="003D2D23" w:rsidRDefault="00F12319" w:rsidP="00F12319">
            <w:pPr>
              <w:ind w:left="0"/>
              <w:rPr>
                <w:rFonts w:cs="Calibri"/>
                <w:color w:val="000000"/>
                <w:szCs w:val="22"/>
              </w:rPr>
            </w:pPr>
            <w:r w:rsidRPr="003D2D23">
              <w:rPr>
                <w:rFonts w:cs="Calibri"/>
                <w:color w:val="000000"/>
                <w:szCs w:val="22"/>
              </w:rPr>
              <w:t>TX Department of Public Safety</w:t>
            </w:r>
          </w:p>
        </w:tc>
        <w:tc>
          <w:tcPr>
            <w:tcW w:w="2160" w:type="dxa"/>
            <w:vAlign w:val="center"/>
          </w:tcPr>
          <w:p w14:paraId="11E8D7A9" w14:textId="77777777" w:rsidR="00F12319" w:rsidRPr="003D2D23" w:rsidRDefault="00F12319" w:rsidP="00F12319">
            <w:pPr>
              <w:ind w:left="0"/>
              <w:rPr>
                <w:rFonts w:cs="Calibri"/>
                <w:color w:val="000000"/>
                <w:szCs w:val="22"/>
              </w:rPr>
            </w:pPr>
            <w:r>
              <w:rPr>
                <w:rFonts w:cs="Calibri"/>
                <w:color w:val="000000"/>
                <w:szCs w:val="22"/>
              </w:rPr>
              <w:t>TxDPS Driver License download</w:t>
            </w:r>
          </w:p>
        </w:tc>
        <w:tc>
          <w:tcPr>
            <w:tcW w:w="5760" w:type="dxa"/>
            <w:vAlign w:val="center"/>
          </w:tcPr>
          <w:p w14:paraId="2CA63A13" w14:textId="77777777" w:rsidR="00F12319" w:rsidRPr="003D2D23" w:rsidRDefault="00F12319" w:rsidP="00F12319">
            <w:pPr>
              <w:ind w:left="0"/>
              <w:rPr>
                <w:rFonts w:cs="Calibri"/>
                <w:color w:val="000000"/>
                <w:szCs w:val="22"/>
              </w:rPr>
            </w:pPr>
            <w:r>
              <w:rPr>
                <w:rFonts w:cs="Calibri"/>
                <w:color w:val="000000"/>
                <w:szCs w:val="22"/>
              </w:rPr>
              <w:t>Weekly update of Driver License table</w:t>
            </w:r>
          </w:p>
        </w:tc>
      </w:tr>
      <w:tr w:rsidR="00F12319" w14:paraId="6A304786" w14:textId="77777777" w:rsidTr="00EB23D7">
        <w:tc>
          <w:tcPr>
            <w:tcW w:w="877" w:type="dxa"/>
            <w:vAlign w:val="center"/>
          </w:tcPr>
          <w:p w14:paraId="4E7F62A6" w14:textId="57F0D1A9" w:rsidR="00F12319" w:rsidRPr="00194F03" w:rsidRDefault="00F12319" w:rsidP="00F12319">
            <w:pPr>
              <w:ind w:left="0"/>
              <w:jc w:val="center"/>
              <w:rPr>
                <w:rFonts w:cs="Calibri"/>
                <w:color w:val="000000"/>
                <w:szCs w:val="22"/>
              </w:rPr>
            </w:pPr>
            <w:r>
              <w:t>103</w:t>
            </w:r>
          </w:p>
        </w:tc>
        <w:tc>
          <w:tcPr>
            <w:tcW w:w="1530" w:type="dxa"/>
            <w:vAlign w:val="center"/>
          </w:tcPr>
          <w:p w14:paraId="07F84E74" w14:textId="77777777" w:rsidR="00F12319" w:rsidRPr="003D2D23" w:rsidRDefault="00F12319" w:rsidP="00F12319">
            <w:pPr>
              <w:ind w:left="0"/>
              <w:rPr>
                <w:rFonts w:cs="Calibri"/>
                <w:color w:val="000000"/>
                <w:szCs w:val="22"/>
              </w:rPr>
            </w:pPr>
            <w:r w:rsidRPr="003D2D23">
              <w:rPr>
                <w:rFonts w:cs="Calibri"/>
                <w:color w:val="000000"/>
                <w:szCs w:val="22"/>
              </w:rPr>
              <w:t>Both</w:t>
            </w:r>
          </w:p>
        </w:tc>
        <w:tc>
          <w:tcPr>
            <w:tcW w:w="1710" w:type="dxa"/>
            <w:vAlign w:val="center"/>
          </w:tcPr>
          <w:p w14:paraId="5BE67894" w14:textId="77777777" w:rsidR="00F12319" w:rsidRPr="003D2D23" w:rsidRDefault="00F12319" w:rsidP="00F12319">
            <w:pPr>
              <w:ind w:left="0"/>
              <w:rPr>
                <w:rFonts w:cs="Calibri"/>
                <w:color w:val="000000"/>
                <w:szCs w:val="22"/>
              </w:rPr>
            </w:pPr>
            <w:r w:rsidRPr="003D2D23">
              <w:rPr>
                <w:rFonts w:cs="Calibri"/>
                <w:color w:val="000000"/>
                <w:szCs w:val="22"/>
              </w:rPr>
              <w:t>Offline / Quarterly</w:t>
            </w:r>
          </w:p>
        </w:tc>
        <w:tc>
          <w:tcPr>
            <w:tcW w:w="2430" w:type="dxa"/>
            <w:vAlign w:val="center"/>
          </w:tcPr>
          <w:p w14:paraId="33ACA7B3" w14:textId="77777777" w:rsidR="00F12319" w:rsidRPr="003D2D23" w:rsidRDefault="00F12319" w:rsidP="00F12319">
            <w:pPr>
              <w:ind w:left="0"/>
              <w:rPr>
                <w:rFonts w:cs="Calibri"/>
                <w:color w:val="000000"/>
                <w:szCs w:val="22"/>
              </w:rPr>
            </w:pPr>
            <w:r w:rsidRPr="003D2D23">
              <w:rPr>
                <w:rFonts w:cs="Calibri"/>
                <w:color w:val="000000"/>
                <w:szCs w:val="22"/>
              </w:rPr>
              <w:t>TX Guaranteed Student Loan Corp</w:t>
            </w:r>
          </w:p>
        </w:tc>
        <w:tc>
          <w:tcPr>
            <w:tcW w:w="2160" w:type="dxa"/>
            <w:vAlign w:val="center"/>
          </w:tcPr>
          <w:p w14:paraId="01AA4104" w14:textId="77777777" w:rsidR="00F12319" w:rsidRPr="003D2D23" w:rsidRDefault="00F12319" w:rsidP="00F12319">
            <w:pPr>
              <w:ind w:left="0"/>
              <w:rPr>
                <w:rFonts w:cs="Calibri"/>
                <w:color w:val="000000"/>
                <w:szCs w:val="22"/>
              </w:rPr>
            </w:pPr>
            <w:r w:rsidRPr="003D2D23">
              <w:rPr>
                <w:rFonts w:cs="Calibri"/>
                <w:color w:val="000000"/>
                <w:szCs w:val="22"/>
              </w:rPr>
              <w:t>Wage records</w:t>
            </w:r>
          </w:p>
        </w:tc>
        <w:tc>
          <w:tcPr>
            <w:tcW w:w="5760" w:type="dxa"/>
            <w:vAlign w:val="center"/>
          </w:tcPr>
          <w:p w14:paraId="7B8CF8C3" w14:textId="77777777" w:rsidR="00F12319" w:rsidRPr="003D2D23" w:rsidRDefault="00F12319" w:rsidP="00F12319">
            <w:pPr>
              <w:ind w:left="0"/>
              <w:rPr>
                <w:rFonts w:cs="Calibri"/>
                <w:color w:val="000000"/>
                <w:szCs w:val="22"/>
              </w:rPr>
            </w:pPr>
            <w:r w:rsidRPr="003D2D23">
              <w:rPr>
                <w:rFonts w:cs="Calibri"/>
                <w:color w:val="000000"/>
                <w:szCs w:val="22"/>
              </w:rPr>
              <w:t>To provide TGSLC with wage records f</w:t>
            </w:r>
            <w:r>
              <w:rPr>
                <w:rFonts w:cs="Calibri"/>
                <w:color w:val="000000"/>
                <w:szCs w:val="22"/>
              </w:rPr>
              <w:t>or their collections activities</w:t>
            </w:r>
          </w:p>
        </w:tc>
      </w:tr>
      <w:tr w:rsidR="00F12319" w14:paraId="0F1E06DD" w14:textId="77777777" w:rsidTr="00EB23D7">
        <w:tc>
          <w:tcPr>
            <w:tcW w:w="877" w:type="dxa"/>
            <w:vAlign w:val="center"/>
          </w:tcPr>
          <w:p w14:paraId="5934E0A1" w14:textId="69E90B9C" w:rsidR="00F12319" w:rsidRPr="00194F03" w:rsidRDefault="00F12319" w:rsidP="00F12319">
            <w:pPr>
              <w:ind w:left="0"/>
              <w:jc w:val="center"/>
              <w:rPr>
                <w:rFonts w:cs="Calibri"/>
                <w:color w:val="000000"/>
                <w:szCs w:val="22"/>
              </w:rPr>
            </w:pPr>
            <w:r>
              <w:t>104</w:t>
            </w:r>
          </w:p>
        </w:tc>
        <w:tc>
          <w:tcPr>
            <w:tcW w:w="1530" w:type="dxa"/>
            <w:vAlign w:val="center"/>
          </w:tcPr>
          <w:p w14:paraId="5C9A717B" w14:textId="77777777" w:rsidR="00F12319" w:rsidRPr="003D2D23" w:rsidRDefault="00F12319" w:rsidP="00F12319">
            <w:pPr>
              <w:ind w:left="0"/>
              <w:rPr>
                <w:rFonts w:cs="Calibri"/>
                <w:color w:val="000000"/>
                <w:szCs w:val="22"/>
              </w:rPr>
            </w:pPr>
            <w:r w:rsidRPr="003D2D23">
              <w:rPr>
                <w:rFonts w:cs="Calibri"/>
                <w:color w:val="000000"/>
                <w:szCs w:val="22"/>
              </w:rPr>
              <w:t>Both</w:t>
            </w:r>
          </w:p>
        </w:tc>
        <w:tc>
          <w:tcPr>
            <w:tcW w:w="1710" w:type="dxa"/>
            <w:vAlign w:val="center"/>
          </w:tcPr>
          <w:p w14:paraId="2C00523A" w14:textId="77777777" w:rsidR="00F12319" w:rsidRPr="003D2D23" w:rsidRDefault="00F12319" w:rsidP="00F12319">
            <w:pPr>
              <w:ind w:left="0"/>
              <w:rPr>
                <w:rFonts w:cs="Calibri"/>
                <w:color w:val="000000"/>
                <w:szCs w:val="22"/>
              </w:rPr>
            </w:pPr>
            <w:r w:rsidRPr="003D2D23">
              <w:rPr>
                <w:rFonts w:cs="Calibri"/>
                <w:color w:val="000000"/>
                <w:szCs w:val="22"/>
              </w:rPr>
              <w:t>Offline / Quarterly</w:t>
            </w:r>
          </w:p>
        </w:tc>
        <w:tc>
          <w:tcPr>
            <w:tcW w:w="2430" w:type="dxa"/>
            <w:vAlign w:val="center"/>
          </w:tcPr>
          <w:p w14:paraId="235F4D0B" w14:textId="77777777" w:rsidR="00F12319" w:rsidRPr="003D2D23" w:rsidRDefault="00F12319" w:rsidP="00F12319">
            <w:pPr>
              <w:ind w:left="0"/>
              <w:rPr>
                <w:rFonts w:cs="Calibri"/>
                <w:color w:val="000000"/>
                <w:szCs w:val="22"/>
              </w:rPr>
            </w:pPr>
            <w:r w:rsidRPr="003D2D23">
              <w:rPr>
                <w:rFonts w:cs="Calibri"/>
                <w:color w:val="000000"/>
                <w:szCs w:val="22"/>
              </w:rPr>
              <w:t>TX Higher Education Coordinating Board</w:t>
            </w:r>
          </w:p>
        </w:tc>
        <w:tc>
          <w:tcPr>
            <w:tcW w:w="2160" w:type="dxa"/>
            <w:vAlign w:val="center"/>
          </w:tcPr>
          <w:p w14:paraId="1A1B6DE6" w14:textId="77777777" w:rsidR="00F12319" w:rsidRPr="003D2D23" w:rsidRDefault="00F12319" w:rsidP="00F12319">
            <w:pPr>
              <w:ind w:left="0"/>
              <w:rPr>
                <w:rFonts w:cs="Calibri"/>
                <w:color w:val="000000"/>
                <w:szCs w:val="22"/>
              </w:rPr>
            </w:pPr>
            <w:r w:rsidRPr="003D2D23">
              <w:rPr>
                <w:rFonts w:cs="Calibri"/>
                <w:color w:val="000000"/>
                <w:szCs w:val="22"/>
              </w:rPr>
              <w:t>Wage Records</w:t>
            </w:r>
          </w:p>
        </w:tc>
        <w:tc>
          <w:tcPr>
            <w:tcW w:w="5760" w:type="dxa"/>
            <w:vAlign w:val="center"/>
          </w:tcPr>
          <w:p w14:paraId="2953CE4C" w14:textId="77777777" w:rsidR="00F12319" w:rsidRPr="003D2D23" w:rsidRDefault="00F12319" w:rsidP="00F12319">
            <w:pPr>
              <w:ind w:left="0"/>
              <w:rPr>
                <w:rFonts w:cs="Calibri"/>
                <w:color w:val="000000"/>
                <w:szCs w:val="22"/>
              </w:rPr>
            </w:pPr>
            <w:r>
              <w:rPr>
                <w:rFonts w:cs="Calibri"/>
                <w:color w:val="000000"/>
                <w:szCs w:val="22"/>
              </w:rPr>
              <w:br/>
              <w:t>Open Records contract</w:t>
            </w:r>
          </w:p>
        </w:tc>
      </w:tr>
      <w:tr w:rsidR="00F12319" w14:paraId="419EC7C2" w14:textId="77777777" w:rsidTr="00EB23D7">
        <w:tc>
          <w:tcPr>
            <w:tcW w:w="877" w:type="dxa"/>
            <w:vAlign w:val="center"/>
          </w:tcPr>
          <w:p w14:paraId="0DFA0A2E" w14:textId="46C9910A" w:rsidR="00F12319" w:rsidRPr="00194F03" w:rsidRDefault="00F12319" w:rsidP="00F12319">
            <w:pPr>
              <w:ind w:left="0"/>
              <w:jc w:val="center"/>
              <w:rPr>
                <w:rFonts w:cs="Calibri"/>
                <w:color w:val="000000"/>
                <w:szCs w:val="22"/>
              </w:rPr>
            </w:pPr>
            <w:r>
              <w:t>105</w:t>
            </w:r>
          </w:p>
        </w:tc>
        <w:tc>
          <w:tcPr>
            <w:tcW w:w="1530" w:type="dxa"/>
            <w:vAlign w:val="center"/>
          </w:tcPr>
          <w:p w14:paraId="4C653B89" w14:textId="77777777" w:rsidR="00F12319" w:rsidRPr="003D2D23" w:rsidRDefault="00F12319" w:rsidP="00F12319">
            <w:pPr>
              <w:ind w:left="0"/>
              <w:rPr>
                <w:rFonts w:cs="Calibri"/>
                <w:color w:val="000000"/>
                <w:szCs w:val="22"/>
              </w:rPr>
            </w:pPr>
            <w:r w:rsidRPr="003D2D23">
              <w:rPr>
                <w:rFonts w:cs="Calibri"/>
                <w:color w:val="000000"/>
                <w:szCs w:val="22"/>
              </w:rPr>
              <w:t>Receive</w:t>
            </w:r>
          </w:p>
        </w:tc>
        <w:tc>
          <w:tcPr>
            <w:tcW w:w="1710" w:type="dxa"/>
            <w:vAlign w:val="center"/>
          </w:tcPr>
          <w:p w14:paraId="62A9D2C8" w14:textId="77777777" w:rsidR="00F12319" w:rsidRPr="003D2D23" w:rsidRDefault="00F12319" w:rsidP="00F12319">
            <w:pPr>
              <w:ind w:left="0"/>
              <w:rPr>
                <w:rFonts w:cs="Calibri"/>
                <w:color w:val="000000"/>
                <w:szCs w:val="22"/>
              </w:rPr>
            </w:pPr>
            <w:r w:rsidRPr="003D2D23">
              <w:rPr>
                <w:rFonts w:cs="Calibri"/>
                <w:color w:val="000000"/>
                <w:szCs w:val="22"/>
              </w:rPr>
              <w:t>Offline / Weekly</w:t>
            </w:r>
          </w:p>
        </w:tc>
        <w:tc>
          <w:tcPr>
            <w:tcW w:w="2430" w:type="dxa"/>
            <w:vAlign w:val="center"/>
          </w:tcPr>
          <w:p w14:paraId="28081E98" w14:textId="77777777" w:rsidR="00F12319" w:rsidRPr="003D2D23" w:rsidRDefault="00F12319" w:rsidP="00F12319">
            <w:pPr>
              <w:ind w:left="0"/>
              <w:rPr>
                <w:rFonts w:cs="Calibri"/>
                <w:color w:val="000000"/>
                <w:szCs w:val="22"/>
              </w:rPr>
            </w:pPr>
            <w:r w:rsidRPr="003D2D23">
              <w:rPr>
                <w:rFonts w:cs="Calibri"/>
                <w:color w:val="000000"/>
                <w:szCs w:val="22"/>
              </w:rPr>
              <w:t>TX Secretary of State</w:t>
            </w:r>
          </w:p>
        </w:tc>
        <w:tc>
          <w:tcPr>
            <w:tcW w:w="2160" w:type="dxa"/>
            <w:vAlign w:val="center"/>
          </w:tcPr>
          <w:p w14:paraId="5A8A8230" w14:textId="77777777" w:rsidR="00F12319" w:rsidRPr="003D2D23" w:rsidRDefault="00F12319" w:rsidP="00F12319">
            <w:pPr>
              <w:ind w:left="0"/>
              <w:rPr>
                <w:rFonts w:cs="Calibri"/>
                <w:color w:val="000000"/>
                <w:szCs w:val="22"/>
              </w:rPr>
            </w:pPr>
            <w:r w:rsidRPr="003D2D23">
              <w:rPr>
                <w:rFonts w:cs="Calibri"/>
                <w:color w:val="000000"/>
                <w:szCs w:val="22"/>
              </w:rPr>
              <w:t>Prospect File/ SOS Corporate Weekly File</w:t>
            </w:r>
          </w:p>
        </w:tc>
        <w:tc>
          <w:tcPr>
            <w:tcW w:w="5760" w:type="dxa"/>
            <w:vAlign w:val="center"/>
          </w:tcPr>
          <w:p w14:paraId="0EB14488" w14:textId="77777777" w:rsidR="00F12319" w:rsidRPr="003D2D23" w:rsidRDefault="00F12319" w:rsidP="00F12319">
            <w:pPr>
              <w:ind w:left="0"/>
              <w:rPr>
                <w:rFonts w:cs="Calibri"/>
                <w:color w:val="000000"/>
                <w:szCs w:val="22"/>
              </w:rPr>
            </w:pPr>
            <w:r>
              <w:rPr>
                <w:rFonts w:cs="Calibri"/>
                <w:color w:val="000000"/>
                <w:szCs w:val="22"/>
              </w:rPr>
              <w:t>Tax</w:t>
            </w:r>
          </w:p>
        </w:tc>
      </w:tr>
      <w:tr w:rsidR="00F12319" w14:paraId="790C23F7" w14:textId="77777777" w:rsidTr="00EB23D7">
        <w:tc>
          <w:tcPr>
            <w:tcW w:w="877" w:type="dxa"/>
            <w:vAlign w:val="center"/>
          </w:tcPr>
          <w:p w14:paraId="036239B8" w14:textId="248A79BE" w:rsidR="00F12319" w:rsidRPr="00194F03" w:rsidRDefault="00F12319" w:rsidP="00F12319">
            <w:pPr>
              <w:ind w:left="0"/>
              <w:jc w:val="center"/>
              <w:rPr>
                <w:rFonts w:cs="Calibri"/>
                <w:color w:val="000000"/>
                <w:szCs w:val="22"/>
              </w:rPr>
            </w:pPr>
            <w:r>
              <w:t>106</w:t>
            </w:r>
          </w:p>
        </w:tc>
        <w:tc>
          <w:tcPr>
            <w:tcW w:w="1530" w:type="dxa"/>
            <w:vAlign w:val="center"/>
          </w:tcPr>
          <w:p w14:paraId="6A4CEBF5" w14:textId="77777777" w:rsidR="00F12319" w:rsidRPr="003D2D23" w:rsidRDefault="00F12319" w:rsidP="00F12319">
            <w:pPr>
              <w:ind w:left="0"/>
              <w:rPr>
                <w:rFonts w:cs="Calibri"/>
                <w:color w:val="000000"/>
                <w:szCs w:val="22"/>
              </w:rPr>
            </w:pPr>
            <w:r w:rsidRPr="003D2D23">
              <w:rPr>
                <w:rFonts w:cs="Calibri"/>
                <w:color w:val="000000"/>
                <w:szCs w:val="22"/>
              </w:rPr>
              <w:t>Receive</w:t>
            </w:r>
          </w:p>
        </w:tc>
        <w:tc>
          <w:tcPr>
            <w:tcW w:w="1710" w:type="dxa"/>
            <w:vAlign w:val="center"/>
          </w:tcPr>
          <w:p w14:paraId="240504FA" w14:textId="77777777" w:rsidR="00F12319" w:rsidRPr="003D2D23" w:rsidRDefault="00F12319" w:rsidP="00F12319">
            <w:pPr>
              <w:ind w:left="0"/>
              <w:rPr>
                <w:rFonts w:cs="Calibri"/>
                <w:color w:val="000000"/>
                <w:szCs w:val="22"/>
              </w:rPr>
            </w:pPr>
            <w:r w:rsidRPr="003D2D23">
              <w:rPr>
                <w:rFonts w:cs="Calibri"/>
                <w:color w:val="000000"/>
                <w:szCs w:val="22"/>
              </w:rPr>
              <w:t>Offline / Quarterly</w:t>
            </w:r>
          </w:p>
        </w:tc>
        <w:tc>
          <w:tcPr>
            <w:tcW w:w="2430" w:type="dxa"/>
            <w:vAlign w:val="center"/>
          </w:tcPr>
          <w:p w14:paraId="6F9C9EAB" w14:textId="77777777" w:rsidR="00F12319" w:rsidRPr="003D2D23" w:rsidRDefault="00F12319" w:rsidP="00F12319">
            <w:pPr>
              <w:ind w:left="0"/>
              <w:rPr>
                <w:rFonts w:cs="Calibri"/>
                <w:color w:val="000000"/>
                <w:szCs w:val="22"/>
              </w:rPr>
            </w:pPr>
            <w:r w:rsidRPr="003D2D23">
              <w:rPr>
                <w:rFonts w:cs="Calibri"/>
                <w:color w:val="000000"/>
                <w:szCs w:val="22"/>
              </w:rPr>
              <w:t>UMC Healthcare</w:t>
            </w:r>
          </w:p>
        </w:tc>
        <w:tc>
          <w:tcPr>
            <w:tcW w:w="2160" w:type="dxa"/>
            <w:vAlign w:val="center"/>
          </w:tcPr>
          <w:p w14:paraId="667FFAA2" w14:textId="77777777" w:rsidR="00F12319" w:rsidRPr="003D2D23" w:rsidRDefault="00F12319" w:rsidP="00F12319">
            <w:pPr>
              <w:ind w:left="0"/>
              <w:rPr>
                <w:rFonts w:cs="Calibri"/>
                <w:color w:val="000000"/>
                <w:szCs w:val="22"/>
              </w:rPr>
            </w:pPr>
            <w:r w:rsidRPr="003D2D23">
              <w:rPr>
                <w:rFonts w:cs="Calibri"/>
                <w:color w:val="000000"/>
                <w:szCs w:val="22"/>
              </w:rPr>
              <w:t>C3 &amp; C4 receipt</w:t>
            </w:r>
          </w:p>
        </w:tc>
        <w:tc>
          <w:tcPr>
            <w:tcW w:w="5760" w:type="dxa"/>
            <w:vAlign w:val="center"/>
          </w:tcPr>
          <w:p w14:paraId="56BF0413" w14:textId="77777777" w:rsidR="00F12319" w:rsidRPr="003D2D23" w:rsidRDefault="00F12319" w:rsidP="00F12319">
            <w:pPr>
              <w:ind w:left="0"/>
              <w:rPr>
                <w:rFonts w:cs="Calibri"/>
                <w:color w:val="000000"/>
                <w:szCs w:val="22"/>
              </w:rPr>
            </w:pPr>
            <w:r w:rsidRPr="003D2D23">
              <w:rPr>
                <w:rFonts w:cs="Calibri"/>
                <w:color w:val="000000"/>
                <w:szCs w:val="22"/>
              </w:rPr>
              <w:t>Secure transfer of PII between the customer and TWC</w:t>
            </w:r>
            <w:r w:rsidRPr="003D2D23">
              <w:rPr>
                <w:rFonts w:ascii="Arial" w:hAnsi="Arial" w:cs="Arial"/>
                <w:color w:val="000000"/>
                <w:szCs w:val="22"/>
              </w:rPr>
              <w:t>​</w:t>
            </w:r>
          </w:p>
        </w:tc>
      </w:tr>
      <w:tr w:rsidR="00F12319" w14:paraId="440641D2" w14:textId="77777777" w:rsidTr="00EB23D7">
        <w:tc>
          <w:tcPr>
            <w:tcW w:w="877" w:type="dxa"/>
            <w:vAlign w:val="center"/>
          </w:tcPr>
          <w:p w14:paraId="61CCBD7B" w14:textId="4B2C0055" w:rsidR="00F12319" w:rsidRPr="00194F03" w:rsidRDefault="00F12319" w:rsidP="00F12319">
            <w:pPr>
              <w:ind w:left="0"/>
              <w:jc w:val="center"/>
              <w:rPr>
                <w:rFonts w:cs="Calibri"/>
                <w:color w:val="000000"/>
                <w:szCs w:val="22"/>
              </w:rPr>
            </w:pPr>
            <w:r>
              <w:t>107</w:t>
            </w:r>
          </w:p>
        </w:tc>
        <w:tc>
          <w:tcPr>
            <w:tcW w:w="1530" w:type="dxa"/>
            <w:vAlign w:val="center"/>
          </w:tcPr>
          <w:p w14:paraId="068DF02E" w14:textId="77777777" w:rsidR="00F12319" w:rsidRPr="003D2D23" w:rsidRDefault="00F12319" w:rsidP="00F12319">
            <w:pPr>
              <w:ind w:left="0"/>
              <w:rPr>
                <w:rFonts w:cs="Calibri"/>
                <w:color w:val="000000"/>
                <w:szCs w:val="22"/>
              </w:rPr>
            </w:pPr>
            <w:r w:rsidRPr="003D2D23">
              <w:rPr>
                <w:rFonts w:cs="Calibri"/>
                <w:color w:val="000000"/>
                <w:szCs w:val="22"/>
              </w:rPr>
              <w:t>Send</w:t>
            </w:r>
          </w:p>
        </w:tc>
        <w:tc>
          <w:tcPr>
            <w:tcW w:w="1710" w:type="dxa"/>
            <w:vAlign w:val="center"/>
          </w:tcPr>
          <w:p w14:paraId="0E43B5AF" w14:textId="77777777" w:rsidR="00F12319" w:rsidRPr="003D2D23" w:rsidRDefault="00F12319" w:rsidP="00F12319">
            <w:pPr>
              <w:ind w:left="0"/>
              <w:rPr>
                <w:rFonts w:cs="Calibri"/>
                <w:color w:val="000000"/>
                <w:szCs w:val="22"/>
              </w:rPr>
            </w:pPr>
            <w:r w:rsidRPr="003D2D23">
              <w:rPr>
                <w:rFonts w:cs="Calibri"/>
                <w:color w:val="000000"/>
                <w:szCs w:val="22"/>
              </w:rPr>
              <w:t>Offline / Quarterly</w:t>
            </w:r>
          </w:p>
        </w:tc>
        <w:tc>
          <w:tcPr>
            <w:tcW w:w="2430" w:type="dxa"/>
            <w:vAlign w:val="center"/>
          </w:tcPr>
          <w:p w14:paraId="569DAB0D" w14:textId="77777777" w:rsidR="00F12319" w:rsidRPr="003D2D23" w:rsidRDefault="00F12319" w:rsidP="00F12319">
            <w:pPr>
              <w:ind w:left="0"/>
              <w:rPr>
                <w:rFonts w:cs="Calibri"/>
                <w:color w:val="000000"/>
                <w:szCs w:val="22"/>
              </w:rPr>
            </w:pPr>
            <w:r w:rsidRPr="003D2D23">
              <w:rPr>
                <w:rFonts w:cs="Calibri"/>
                <w:color w:val="000000"/>
                <w:szCs w:val="22"/>
              </w:rPr>
              <w:t>University of TX Ray Marshall Center</w:t>
            </w:r>
          </w:p>
        </w:tc>
        <w:tc>
          <w:tcPr>
            <w:tcW w:w="2160" w:type="dxa"/>
            <w:vAlign w:val="center"/>
          </w:tcPr>
          <w:p w14:paraId="79B7FF90" w14:textId="77777777" w:rsidR="00F12319" w:rsidRPr="003D2D23" w:rsidRDefault="00F12319" w:rsidP="00F12319">
            <w:pPr>
              <w:ind w:left="0"/>
              <w:rPr>
                <w:rFonts w:cs="Calibri"/>
                <w:color w:val="000000"/>
                <w:szCs w:val="22"/>
              </w:rPr>
            </w:pPr>
            <w:r w:rsidRPr="003D2D23">
              <w:rPr>
                <w:rFonts w:cs="Calibri"/>
                <w:color w:val="000000"/>
                <w:szCs w:val="22"/>
              </w:rPr>
              <w:t>Wage Entire File Transfer by Qtr.</w:t>
            </w:r>
          </w:p>
        </w:tc>
        <w:tc>
          <w:tcPr>
            <w:tcW w:w="5760" w:type="dxa"/>
            <w:vAlign w:val="center"/>
          </w:tcPr>
          <w:p w14:paraId="22D44275" w14:textId="77777777" w:rsidR="00F12319" w:rsidRPr="003D2D23" w:rsidRDefault="00F12319" w:rsidP="00F12319">
            <w:pPr>
              <w:ind w:left="0"/>
              <w:rPr>
                <w:rFonts w:cs="Calibri"/>
                <w:color w:val="000000"/>
                <w:szCs w:val="22"/>
              </w:rPr>
            </w:pPr>
            <w:r w:rsidRPr="003D2D23">
              <w:rPr>
                <w:rFonts w:cs="Calibri"/>
                <w:color w:val="000000"/>
                <w:szCs w:val="22"/>
              </w:rPr>
              <w:t xml:space="preserve">Wage Record transfer of entire quarterly file for a specified </w:t>
            </w:r>
            <w:r>
              <w:rPr>
                <w:rFonts w:cs="Calibri"/>
                <w:color w:val="000000"/>
                <w:szCs w:val="22"/>
              </w:rPr>
              <w:t>wage quarter</w:t>
            </w:r>
          </w:p>
        </w:tc>
      </w:tr>
      <w:tr w:rsidR="00F12319" w14:paraId="5D47C9D9" w14:textId="77777777" w:rsidTr="00EB23D7">
        <w:tc>
          <w:tcPr>
            <w:tcW w:w="877" w:type="dxa"/>
            <w:vAlign w:val="center"/>
          </w:tcPr>
          <w:p w14:paraId="3F17DB6C" w14:textId="4177A030" w:rsidR="00F12319" w:rsidRPr="00194F03" w:rsidRDefault="00F12319" w:rsidP="00F12319">
            <w:pPr>
              <w:ind w:left="0"/>
              <w:jc w:val="center"/>
              <w:rPr>
                <w:rFonts w:cs="Calibri"/>
                <w:color w:val="000000"/>
                <w:szCs w:val="22"/>
              </w:rPr>
            </w:pPr>
            <w:r>
              <w:t>108</w:t>
            </w:r>
          </w:p>
        </w:tc>
        <w:tc>
          <w:tcPr>
            <w:tcW w:w="1530" w:type="dxa"/>
            <w:vAlign w:val="center"/>
          </w:tcPr>
          <w:p w14:paraId="114998AD" w14:textId="77777777" w:rsidR="00F12319" w:rsidRPr="003D2D23" w:rsidRDefault="00F12319" w:rsidP="00F12319">
            <w:pPr>
              <w:ind w:left="0"/>
              <w:rPr>
                <w:rFonts w:cs="Calibri"/>
                <w:color w:val="000000"/>
                <w:szCs w:val="22"/>
              </w:rPr>
            </w:pPr>
            <w:r w:rsidRPr="003D2D23">
              <w:rPr>
                <w:rFonts w:cs="Calibri"/>
                <w:color w:val="000000"/>
                <w:szCs w:val="22"/>
              </w:rPr>
              <w:t>Send</w:t>
            </w:r>
          </w:p>
        </w:tc>
        <w:tc>
          <w:tcPr>
            <w:tcW w:w="1710" w:type="dxa"/>
            <w:vAlign w:val="center"/>
          </w:tcPr>
          <w:p w14:paraId="4F72E18A" w14:textId="77777777" w:rsidR="00F12319" w:rsidRPr="003D2D23" w:rsidRDefault="00F12319" w:rsidP="00F12319">
            <w:pPr>
              <w:ind w:left="0"/>
              <w:rPr>
                <w:rFonts w:cs="Calibri"/>
                <w:color w:val="000000"/>
                <w:szCs w:val="22"/>
              </w:rPr>
            </w:pPr>
            <w:r w:rsidRPr="003D2D23">
              <w:rPr>
                <w:rFonts w:cs="Calibri"/>
                <w:color w:val="000000"/>
                <w:szCs w:val="22"/>
              </w:rPr>
              <w:t>Online / On Request</w:t>
            </w:r>
          </w:p>
        </w:tc>
        <w:tc>
          <w:tcPr>
            <w:tcW w:w="2430" w:type="dxa"/>
            <w:vAlign w:val="center"/>
          </w:tcPr>
          <w:p w14:paraId="054349EC" w14:textId="77777777" w:rsidR="00F12319" w:rsidRPr="003D2D23" w:rsidRDefault="00F12319" w:rsidP="00F12319">
            <w:pPr>
              <w:ind w:left="0"/>
              <w:rPr>
                <w:rFonts w:cs="Calibri"/>
                <w:color w:val="000000"/>
                <w:szCs w:val="22"/>
              </w:rPr>
            </w:pPr>
            <w:r w:rsidRPr="003D2D23">
              <w:rPr>
                <w:rFonts w:cs="Calibri"/>
                <w:color w:val="000000"/>
                <w:szCs w:val="22"/>
              </w:rPr>
              <w:t>Various Agencies</w:t>
            </w:r>
          </w:p>
        </w:tc>
        <w:tc>
          <w:tcPr>
            <w:tcW w:w="2160" w:type="dxa"/>
            <w:vAlign w:val="center"/>
          </w:tcPr>
          <w:p w14:paraId="01778D99" w14:textId="77777777" w:rsidR="00F12319" w:rsidRPr="003D2D23" w:rsidRDefault="00F12319" w:rsidP="00F12319">
            <w:pPr>
              <w:ind w:left="0"/>
              <w:rPr>
                <w:rFonts w:cs="Calibri"/>
                <w:color w:val="000000"/>
                <w:szCs w:val="22"/>
              </w:rPr>
            </w:pPr>
            <w:r w:rsidRPr="003D2D23">
              <w:rPr>
                <w:rFonts w:cs="Calibri"/>
                <w:color w:val="000000"/>
                <w:szCs w:val="22"/>
              </w:rPr>
              <w:t>Wages by SSN</w:t>
            </w:r>
          </w:p>
        </w:tc>
        <w:tc>
          <w:tcPr>
            <w:tcW w:w="5760" w:type="dxa"/>
            <w:vAlign w:val="center"/>
          </w:tcPr>
          <w:p w14:paraId="627FD629" w14:textId="77777777" w:rsidR="00F12319" w:rsidRPr="003D2D23" w:rsidRDefault="00F12319" w:rsidP="00F12319">
            <w:pPr>
              <w:ind w:left="0"/>
              <w:rPr>
                <w:rFonts w:cs="Calibri"/>
                <w:color w:val="000000"/>
                <w:szCs w:val="22"/>
              </w:rPr>
            </w:pPr>
            <w:r w:rsidRPr="003D2D23">
              <w:rPr>
                <w:rFonts w:cs="Calibri"/>
                <w:color w:val="000000"/>
                <w:szCs w:val="22"/>
              </w:rPr>
              <w:t>Wage reco</w:t>
            </w:r>
            <w:r>
              <w:rPr>
                <w:rFonts w:cs="Calibri"/>
                <w:color w:val="000000"/>
                <w:szCs w:val="22"/>
              </w:rPr>
              <w:t>rds, typically for universities</w:t>
            </w:r>
          </w:p>
        </w:tc>
      </w:tr>
      <w:tr w:rsidR="00F12319" w14:paraId="7D2EBA00" w14:textId="77777777" w:rsidTr="00EB23D7">
        <w:tc>
          <w:tcPr>
            <w:tcW w:w="877" w:type="dxa"/>
            <w:vAlign w:val="center"/>
          </w:tcPr>
          <w:p w14:paraId="26175ECD" w14:textId="035E90D9" w:rsidR="00F12319" w:rsidRPr="00194F03" w:rsidRDefault="00F12319" w:rsidP="00F12319">
            <w:pPr>
              <w:ind w:left="0"/>
              <w:jc w:val="center"/>
              <w:rPr>
                <w:rFonts w:cs="Calibri"/>
                <w:color w:val="000000"/>
                <w:szCs w:val="22"/>
              </w:rPr>
            </w:pPr>
            <w:r>
              <w:t>109</w:t>
            </w:r>
          </w:p>
        </w:tc>
        <w:tc>
          <w:tcPr>
            <w:tcW w:w="1530" w:type="dxa"/>
            <w:vAlign w:val="center"/>
          </w:tcPr>
          <w:p w14:paraId="699CB78F" w14:textId="77777777" w:rsidR="00F12319" w:rsidRPr="003D2D23" w:rsidRDefault="00F12319" w:rsidP="00F12319">
            <w:pPr>
              <w:ind w:left="0"/>
              <w:rPr>
                <w:rFonts w:cs="Calibri"/>
                <w:color w:val="000000"/>
                <w:szCs w:val="22"/>
              </w:rPr>
            </w:pPr>
            <w:r w:rsidRPr="003D2D23">
              <w:rPr>
                <w:rFonts w:cs="Calibri"/>
                <w:color w:val="000000"/>
                <w:szCs w:val="22"/>
              </w:rPr>
              <w:t>Receive</w:t>
            </w:r>
          </w:p>
        </w:tc>
        <w:tc>
          <w:tcPr>
            <w:tcW w:w="1710" w:type="dxa"/>
            <w:vAlign w:val="center"/>
          </w:tcPr>
          <w:p w14:paraId="3C3AE807" w14:textId="77777777" w:rsidR="00F12319" w:rsidRPr="003D2D23" w:rsidRDefault="00F12319" w:rsidP="00F12319">
            <w:pPr>
              <w:ind w:left="0"/>
              <w:rPr>
                <w:rFonts w:cs="Calibri"/>
                <w:color w:val="000000"/>
                <w:szCs w:val="22"/>
              </w:rPr>
            </w:pPr>
            <w:r w:rsidRPr="003D2D23">
              <w:rPr>
                <w:rFonts w:cs="Calibri"/>
                <w:color w:val="000000"/>
                <w:szCs w:val="22"/>
              </w:rPr>
              <w:t>Offline / Quarterly</w:t>
            </w:r>
          </w:p>
        </w:tc>
        <w:tc>
          <w:tcPr>
            <w:tcW w:w="2430" w:type="dxa"/>
            <w:vAlign w:val="center"/>
          </w:tcPr>
          <w:p w14:paraId="3AE430C8" w14:textId="77777777" w:rsidR="00F12319" w:rsidRPr="003D2D23" w:rsidRDefault="00F12319" w:rsidP="00F12319">
            <w:pPr>
              <w:ind w:left="0"/>
              <w:rPr>
                <w:rFonts w:cs="Calibri"/>
                <w:color w:val="000000"/>
                <w:szCs w:val="22"/>
              </w:rPr>
            </w:pPr>
            <w:r w:rsidRPr="003D2D23">
              <w:rPr>
                <w:rFonts w:cs="Calibri"/>
                <w:color w:val="000000"/>
                <w:szCs w:val="22"/>
              </w:rPr>
              <w:t>Walmart</w:t>
            </w:r>
          </w:p>
        </w:tc>
        <w:tc>
          <w:tcPr>
            <w:tcW w:w="2160" w:type="dxa"/>
            <w:vAlign w:val="center"/>
          </w:tcPr>
          <w:p w14:paraId="5F303322" w14:textId="77777777" w:rsidR="00F12319" w:rsidRPr="003D2D23" w:rsidRDefault="00F12319" w:rsidP="00F12319">
            <w:pPr>
              <w:ind w:left="0"/>
              <w:rPr>
                <w:rFonts w:cs="Calibri"/>
                <w:color w:val="000000"/>
                <w:szCs w:val="22"/>
              </w:rPr>
            </w:pPr>
            <w:r w:rsidRPr="003D2D23">
              <w:rPr>
                <w:rFonts w:cs="Calibri"/>
                <w:color w:val="000000"/>
                <w:szCs w:val="22"/>
              </w:rPr>
              <w:t>C3 &amp; C4 Filing</w:t>
            </w:r>
          </w:p>
        </w:tc>
        <w:tc>
          <w:tcPr>
            <w:tcW w:w="5760" w:type="dxa"/>
            <w:vAlign w:val="center"/>
          </w:tcPr>
          <w:p w14:paraId="57268E52" w14:textId="77777777" w:rsidR="00F12319" w:rsidRPr="003D2D23" w:rsidRDefault="00F12319" w:rsidP="00F12319">
            <w:pPr>
              <w:ind w:left="0"/>
              <w:rPr>
                <w:rFonts w:cs="Calibri"/>
                <w:color w:val="000000"/>
                <w:szCs w:val="22"/>
              </w:rPr>
            </w:pPr>
            <w:r w:rsidRPr="003D2D23">
              <w:rPr>
                <w:rFonts w:cs="Calibri"/>
                <w:color w:val="000000"/>
                <w:szCs w:val="22"/>
              </w:rPr>
              <w:t>Receives one (1)</w:t>
            </w:r>
            <w:r>
              <w:rPr>
                <w:rFonts w:cs="Calibri"/>
                <w:color w:val="000000"/>
                <w:szCs w:val="22"/>
              </w:rPr>
              <w:t xml:space="preserve"> </w:t>
            </w:r>
            <w:r w:rsidRPr="003D2D23">
              <w:rPr>
                <w:rFonts w:cs="Calibri"/>
                <w:color w:val="000000"/>
                <w:szCs w:val="22"/>
              </w:rPr>
              <w:t>file</w:t>
            </w:r>
          </w:p>
        </w:tc>
      </w:tr>
      <w:tr w:rsidR="00F12319" w14:paraId="6342BA22" w14:textId="77777777" w:rsidTr="00EB23D7">
        <w:tc>
          <w:tcPr>
            <w:tcW w:w="877" w:type="dxa"/>
            <w:vAlign w:val="center"/>
          </w:tcPr>
          <w:p w14:paraId="04A28684" w14:textId="164851AB" w:rsidR="00F12319" w:rsidRPr="00194F03" w:rsidRDefault="00F12319" w:rsidP="00F12319">
            <w:pPr>
              <w:ind w:left="0"/>
              <w:jc w:val="center"/>
              <w:rPr>
                <w:rFonts w:cs="Calibri"/>
                <w:color w:val="000000"/>
                <w:szCs w:val="22"/>
              </w:rPr>
            </w:pPr>
            <w:r>
              <w:t>110</w:t>
            </w:r>
          </w:p>
        </w:tc>
        <w:tc>
          <w:tcPr>
            <w:tcW w:w="1530" w:type="dxa"/>
            <w:vAlign w:val="center"/>
          </w:tcPr>
          <w:p w14:paraId="6A0F3ACF" w14:textId="77777777" w:rsidR="00F12319" w:rsidRPr="003D2D23" w:rsidRDefault="00F12319" w:rsidP="00F12319">
            <w:pPr>
              <w:ind w:left="0"/>
              <w:rPr>
                <w:rFonts w:cs="Calibri"/>
                <w:color w:val="000000"/>
                <w:szCs w:val="22"/>
              </w:rPr>
            </w:pPr>
            <w:r w:rsidRPr="003D2D23">
              <w:rPr>
                <w:rFonts w:cs="Calibri"/>
                <w:color w:val="000000"/>
                <w:szCs w:val="22"/>
              </w:rPr>
              <w:t>Receive</w:t>
            </w:r>
          </w:p>
        </w:tc>
        <w:tc>
          <w:tcPr>
            <w:tcW w:w="1710" w:type="dxa"/>
            <w:vAlign w:val="center"/>
          </w:tcPr>
          <w:p w14:paraId="655014A1" w14:textId="77777777" w:rsidR="00F12319" w:rsidRPr="003D2D23" w:rsidRDefault="00F12319" w:rsidP="00F12319">
            <w:pPr>
              <w:ind w:left="0"/>
              <w:rPr>
                <w:rFonts w:cs="Calibri"/>
                <w:color w:val="000000"/>
                <w:szCs w:val="22"/>
              </w:rPr>
            </w:pPr>
            <w:r w:rsidRPr="003D2D23">
              <w:rPr>
                <w:rFonts w:cs="Calibri"/>
                <w:color w:val="000000"/>
                <w:szCs w:val="22"/>
              </w:rPr>
              <w:t>Offline / Daily</w:t>
            </w:r>
          </w:p>
        </w:tc>
        <w:tc>
          <w:tcPr>
            <w:tcW w:w="2430" w:type="dxa"/>
            <w:vAlign w:val="center"/>
          </w:tcPr>
          <w:p w14:paraId="4C3440E0" w14:textId="77777777" w:rsidR="00F12319" w:rsidRPr="003D2D23" w:rsidRDefault="00F12319" w:rsidP="00F12319">
            <w:pPr>
              <w:ind w:left="0"/>
              <w:rPr>
                <w:rFonts w:cs="Calibri"/>
                <w:color w:val="000000"/>
                <w:szCs w:val="22"/>
              </w:rPr>
            </w:pPr>
            <w:r w:rsidRPr="003D2D23">
              <w:rPr>
                <w:rFonts w:cs="Calibri"/>
                <w:color w:val="000000"/>
                <w:szCs w:val="22"/>
              </w:rPr>
              <w:t>Walton Management</w:t>
            </w:r>
          </w:p>
        </w:tc>
        <w:tc>
          <w:tcPr>
            <w:tcW w:w="2160" w:type="dxa"/>
            <w:vAlign w:val="center"/>
          </w:tcPr>
          <w:p w14:paraId="0BA9A9CB" w14:textId="77777777" w:rsidR="00F12319" w:rsidRPr="003D2D23" w:rsidRDefault="00F12319" w:rsidP="00F12319">
            <w:pPr>
              <w:ind w:left="0"/>
              <w:rPr>
                <w:rFonts w:cs="Calibri"/>
                <w:color w:val="000000"/>
                <w:szCs w:val="22"/>
              </w:rPr>
            </w:pPr>
            <w:r w:rsidRPr="003D2D23">
              <w:rPr>
                <w:rFonts w:cs="Calibri"/>
                <w:color w:val="000000"/>
                <w:szCs w:val="22"/>
              </w:rPr>
              <w:t>Form 8850 FTP</w:t>
            </w:r>
          </w:p>
        </w:tc>
        <w:tc>
          <w:tcPr>
            <w:tcW w:w="5760" w:type="dxa"/>
            <w:vAlign w:val="center"/>
          </w:tcPr>
          <w:p w14:paraId="06E3911D" w14:textId="77777777" w:rsidR="00F12319" w:rsidRPr="003D2D23" w:rsidRDefault="00F12319" w:rsidP="00F12319">
            <w:pPr>
              <w:ind w:left="0"/>
              <w:rPr>
                <w:rFonts w:cs="Calibri"/>
                <w:color w:val="000000"/>
                <w:szCs w:val="22"/>
              </w:rPr>
            </w:pPr>
            <w:r w:rsidRPr="003D2D23">
              <w:rPr>
                <w:rFonts w:ascii="Arial" w:hAnsi="Arial" w:cs="Arial"/>
                <w:color w:val="000000"/>
                <w:szCs w:val="22"/>
              </w:rPr>
              <w:t>​</w:t>
            </w:r>
            <w:r w:rsidRPr="003D2D23">
              <w:rPr>
                <w:rFonts w:cs="Calibri"/>
                <w:color w:val="000000"/>
                <w:szCs w:val="22"/>
              </w:rPr>
              <w:t>Secure transfer of data</w:t>
            </w:r>
          </w:p>
        </w:tc>
      </w:tr>
      <w:tr w:rsidR="00F12319" w14:paraId="77EC697F" w14:textId="77777777" w:rsidTr="00EB23D7">
        <w:tc>
          <w:tcPr>
            <w:tcW w:w="877" w:type="dxa"/>
            <w:vAlign w:val="center"/>
          </w:tcPr>
          <w:p w14:paraId="11EB97D3" w14:textId="7A527B1D" w:rsidR="00F12319" w:rsidRPr="00194F03" w:rsidRDefault="00F12319" w:rsidP="00F12319">
            <w:pPr>
              <w:ind w:left="0"/>
              <w:jc w:val="center"/>
              <w:rPr>
                <w:rFonts w:cs="Calibri"/>
                <w:color w:val="000000"/>
                <w:szCs w:val="22"/>
              </w:rPr>
            </w:pPr>
            <w:r>
              <w:lastRenderedPageBreak/>
              <w:t>111</w:t>
            </w:r>
          </w:p>
        </w:tc>
        <w:tc>
          <w:tcPr>
            <w:tcW w:w="1530" w:type="dxa"/>
            <w:vAlign w:val="center"/>
          </w:tcPr>
          <w:p w14:paraId="162C3B98" w14:textId="77777777" w:rsidR="00F12319" w:rsidRPr="003D2D23" w:rsidRDefault="00F12319" w:rsidP="00F12319">
            <w:pPr>
              <w:ind w:left="0"/>
              <w:rPr>
                <w:rFonts w:cs="Calibri"/>
                <w:color w:val="000000"/>
                <w:szCs w:val="22"/>
              </w:rPr>
            </w:pPr>
            <w:r w:rsidRPr="003D2D23">
              <w:rPr>
                <w:rFonts w:cs="Calibri"/>
                <w:color w:val="000000"/>
                <w:szCs w:val="22"/>
              </w:rPr>
              <w:t>Receive</w:t>
            </w:r>
          </w:p>
        </w:tc>
        <w:tc>
          <w:tcPr>
            <w:tcW w:w="1710" w:type="dxa"/>
            <w:vAlign w:val="center"/>
          </w:tcPr>
          <w:p w14:paraId="39F6E3B3" w14:textId="77777777" w:rsidR="00F12319" w:rsidRPr="003D2D23" w:rsidRDefault="00F12319" w:rsidP="00F12319">
            <w:pPr>
              <w:ind w:left="0"/>
              <w:rPr>
                <w:rFonts w:cs="Calibri"/>
                <w:color w:val="000000"/>
                <w:szCs w:val="22"/>
              </w:rPr>
            </w:pPr>
            <w:r w:rsidRPr="003D2D23">
              <w:rPr>
                <w:rFonts w:cs="Calibri"/>
                <w:color w:val="000000"/>
                <w:szCs w:val="22"/>
              </w:rPr>
              <w:t>Offline / Quarterly</w:t>
            </w:r>
          </w:p>
        </w:tc>
        <w:tc>
          <w:tcPr>
            <w:tcW w:w="2430" w:type="dxa"/>
            <w:vAlign w:val="center"/>
          </w:tcPr>
          <w:p w14:paraId="4F8A2DAE" w14:textId="77777777" w:rsidR="00F12319" w:rsidRPr="003D2D23" w:rsidRDefault="00F12319" w:rsidP="00F12319">
            <w:pPr>
              <w:ind w:left="0"/>
              <w:rPr>
                <w:rFonts w:cs="Calibri"/>
                <w:color w:val="000000"/>
                <w:szCs w:val="22"/>
              </w:rPr>
            </w:pPr>
            <w:r w:rsidRPr="003D2D23">
              <w:rPr>
                <w:rFonts w:cs="Calibri"/>
                <w:color w:val="000000"/>
                <w:szCs w:val="22"/>
              </w:rPr>
              <w:t>West Gulf Maritime</w:t>
            </w:r>
          </w:p>
        </w:tc>
        <w:tc>
          <w:tcPr>
            <w:tcW w:w="2160" w:type="dxa"/>
            <w:vAlign w:val="center"/>
          </w:tcPr>
          <w:p w14:paraId="03075C62" w14:textId="77777777" w:rsidR="00F12319" w:rsidRPr="003D2D23" w:rsidRDefault="00F12319" w:rsidP="00F12319">
            <w:pPr>
              <w:ind w:left="0"/>
              <w:rPr>
                <w:rFonts w:cs="Calibri"/>
                <w:color w:val="000000"/>
                <w:szCs w:val="22"/>
              </w:rPr>
            </w:pPr>
            <w:r w:rsidRPr="003D2D23">
              <w:rPr>
                <w:rFonts w:cs="Calibri"/>
                <w:color w:val="000000"/>
                <w:szCs w:val="22"/>
              </w:rPr>
              <w:t>C3 &amp; C4 Filing</w:t>
            </w:r>
          </w:p>
        </w:tc>
        <w:tc>
          <w:tcPr>
            <w:tcW w:w="5760" w:type="dxa"/>
            <w:vAlign w:val="center"/>
          </w:tcPr>
          <w:p w14:paraId="4C6FCBDB" w14:textId="77777777" w:rsidR="00F12319" w:rsidRPr="003D2D23" w:rsidRDefault="00F12319" w:rsidP="00F12319">
            <w:pPr>
              <w:ind w:left="0"/>
              <w:rPr>
                <w:rFonts w:cs="Calibri"/>
                <w:color w:val="000000"/>
                <w:szCs w:val="22"/>
              </w:rPr>
            </w:pPr>
            <w:r w:rsidRPr="003D2D23">
              <w:rPr>
                <w:rFonts w:cs="Calibri"/>
                <w:color w:val="000000"/>
                <w:szCs w:val="22"/>
              </w:rPr>
              <w:t>Receives one (1)</w:t>
            </w:r>
            <w:r>
              <w:rPr>
                <w:rFonts w:cs="Calibri"/>
                <w:color w:val="000000"/>
                <w:szCs w:val="22"/>
              </w:rPr>
              <w:t xml:space="preserve"> </w:t>
            </w:r>
            <w:r w:rsidRPr="003D2D23">
              <w:rPr>
                <w:rFonts w:cs="Calibri"/>
                <w:color w:val="000000"/>
                <w:szCs w:val="22"/>
              </w:rPr>
              <w:t>file</w:t>
            </w:r>
          </w:p>
        </w:tc>
      </w:tr>
      <w:tr w:rsidR="00F12319" w14:paraId="79FD62E8" w14:textId="77777777" w:rsidTr="00EB23D7">
        <w:tc>
          <w:tcPr>
            <w:tcW w:w="877" w:type="dxa"/>
            <w:vAlign w:val="center"/>
          </w:tcPr>
          <w:p w14:paraId="43983548" w14:textId="35884CE5" w:rsidR="00F12319" w:rsidRPr="00194F03" w:rsidRDefault="00F12319" w:rsidP="00F12319">
            <w:pPr>
              <w:ind w:left="0"/>
              <w:jc w:val="center"/>
              <w:rPr>
                <w:rFonts w:cs="Calibri"/>
                <w:color w:val="000000"/>
                <w:szCs w:val="22"/>
              </w:rPr>
            </w:pPr>
            <w:r>
              <w:t>112</w:t>
            </w:r>
          </w:p>
        </w:tc>
        <w:tc>
          <w:tcPr>
            <w:tcW w:w="1530" w:type="dxa"/>
            <w:vAlign w:val="center"/>
          </w:tcPr>
          <w:p w14:paraId="4140E6A5" w14:textId="77777777" w:rsidR="00F12319" w:rsidRPr="003D2D23" w:rsidRDefault="00F12319" w:rsidP="00F12319">
            <w:pPr>
              <w:ind w:left="0"/>
              <w:rPr>
                <w:rFonts w:cs="Calibri"/>
                <w:color w:val="000000"/>
                <w:szCs w:val="22"/>
              </w:rPr>
            </w:pPr>
            <w:r w:rsidRPr="003D2D23">
              <w:rPr>
                <w:rFonts w:cs="Calibri"/>
                <w:color w:val="000000"/>
                <w:szCs w:val="22"/>
              </w:rPr>
              <w:t>Both</w:t>
            </w:r>
          </w:p>
        </w:tc>
        <w:tc>
          <w:tcPr>
            <w:tcW w:w="1710" w:type="dxa"/>
            <w:vAlign w:val="center"/>
          </w:tcPr>
          <w:p w14:paraId="71DD1976" w14:textId="77777777" w:rsidR="00F12319" w:rsidRPr="003D2D23" w:rsidRDefault="00F12319" w:rsidP="00F12319">
            <w:pPr>
              <w:ind w:left="0"/>
              <w:rPr>
                <w:rFonts w:cs="Calibri"/>
                <w:color w:val="000000"/>
                <w:szCs w:val="22"/>
              </w:rPr>
            </w:pPr>
            <w:r w:rsidRPr="003D2D23">
              <w:rPr>
                <w:rFonts w:cs="Calibri"/>
                <w:color w:val="000000"/>
                <w:szCs w:val="22"/>
              </w:rPr>
              <w:t>Offline / On Request</w:t>
            </w:r>
          </w:p>
        </w:tc>
        <w:tc>
          <w:tcPr>
            <w:tcW w:w="2430" w:type="dxa"/>
            <w:vAlign w:val="center"/>
          </w:tcPr>
          <w:p w14:paraId="4A26B5AF" w14:textId="77777777" w:rsidR="00F12319" w:rsidRPr="003D2D23" w:rsidRDefault="00F12319" w:rsidP="00F12319">
            <w:pPr>
              <w:ind w:left="0"/>
              <w:rPr>
                <w:rFonts w:cs="Calibri"/>
                <w:color w:val="000000"/>
                <w:szCs w:val="22"/>
              </w:rPr>
            </w:pPr>
            <w:r w:rsidRPr="003D2D23">
              <w:rPr>
                <w:rFonts w:cs="Calibri"/>
                <w:color w:val="000000"/>
                <w:szCs w:val="22"/>
              </w:rPr>
              <w:t>West Texas A &amp; M</w:t>
            </w:r>
          </w:p>
        </w:tc>
        <w:tc>
          <w:tcPr>
            <w:tcW w:w="2160" w:type="dxa"/>
            <w:vAlign w:val="center"/>
          </w:tcPr>
          <w:p w14:paraId="4A14D11E" w14:textId="77777777" w:rsidR="00F12319" w:rsidRPr="003D2D23" w:rsidRDefault="00F12319" w:rsidP="00F12319">
            <w:pPr>
              <w:ind w:left="0"/>
              <w:rPr>
                <w:rFonts w:cs="Calibri"/>
                <w:color w:val="000000"/>
                <w:szCs w:val="22"/>
              </w:rPr>
            </w:pPr>
            <w:r w:rsidRPr="003D2D23">
              <w:rPr>
                <w:rFonts w:cs="Calibri"/>
                <w:color w:val="000000"/>
                <w:szCs w:val="22"/>
              </w:rPr>
              <w:t>Wage Records</w:t>
            </w:r>
          </w:p>
        </w:tc>
        <w:tc>
          <w:tcPr>
            <w:tcW w:w="5760" w:type="dxa"/>
            <w:vAlign w:val="center"/>
          </w:tcPr>
          <w:p w14:paraId="1BA73DDF" w14:textId="77777777" w:rsidR="00F12319" w:rsidRPr="003D2D23" w:rsidRDefault="00F12319" w:rsidP="00F12319">
            <w:pPr>
              <w:ind w:left="0"/>
              <w:rPr>
                <w:rFonts w:cs="Calibri"/>
                <w:color w:val="000000"/>
                <w:szCs w:val="22"/>
              </w:rPr>
            </w:pPr>
            <w:r w:rsidRPr="003D2D23">
              <w:rPr>
                <w:rFonts w:ascii="Arial" w:hAnsi="Arial" w:cs="Arial"/>
                <w:color w:val="000000"/>
                <w:szCs w:val="22"/>
              </w:rPr>
              <w:t>​</w:t>
            </w:r>
            <w:r w:rsidRPr="003D2D23">
              <w:rPr>
                <w:rFonts w:cs="Calibri"/>
                <w:color w:val="000000"/>
                <w:szCs w:val="22"/>
              </w:rPr>
              <w:t>Secure transfer</w:t>
            </w:r>
            <w:r>
              <w:rPr>
                <w:rFonts w:cs="Calibri"/>
                <w:color w:val="000000"/>
                <w:szCs w:val="22"/>
              </w:rPr>
              <w:t xml:space="preserve"> of</w:t>
            </w:r>
            <w:r w:rsidRPr="003D2D23">
              <w:rPr>
                <w:rFonts w:cs="Calibri"/>
                <w:color w:val="000000"/>
                <w:szCs w:val="22"/>
              </w:rPr>
              <w:t xml:space="preserve"> data</w:t>
            </w:r>
          </w:p>
        </w:tc>
      </w:tr>
    </w:tbl>
    <w:p w14:paraId="110BC52F" w14:textId="77777777" w:rsidR="00B47897" w:rsidRDefault="00B47897" w:rsidP="00C10A50"/>
    <w:p w14:paraId="44BEAEBC" w14:textId="0C265E74" w:rsidR="00C10A50" w:rsidRDefault="0042030E" w:rsidP="00C10A50">
      <w:pPr>
        <w:pStyle w:val="Heading3"/>
      </w:pPr>
      <w:bookmarkStart w:id="421" w:name="_Toc13567503"/>
      <w:r>
        <w:t>A7</w:t>
      </w:r>
      <w:r w:rsidR="00C10A50">
        <w:t>.2</w:t>
      </w:r>
      <w:r w:rsidR="00C10A50">
        <w:tab/>
        <w:t>Benefits</w:t>
      </w:r>
      <w:bookmarkEnd w:id="421"/>
    </w:p>
    <w:tbl>
      <w:tblPr>
        <w:tblStyle w:val="TableGrid"/>
        <w:tblW w:w="14557" w:type="dxa"/>
        <w:tblInd w:w="-72" w:type="dxa"/>
        <w:tblLayout w:type="fixed"/>
        <w:tblLook w:val="04A0" w:firstRow="1" w:lastRow="0" w:firstColumn="1" w:lastColumn="0" w:noHBand="0" w:noVBand="1"/>
        <w:tblDescription w:val="Table of Benefits interfaces"/>
      </w:tblPr>
      <w:tblGrid>
        <w:gridCol w:w="877"/>
        <w:gridCol w:w="1530"/>
        <w:gridCol w:w="1620"/>
        <w:gridCol w:w="2430"/>
        <w:gridCol w:w="2160"/>
        <w:gridCol w:w="5940"/>
      </w:tblGrid>
      <w:tr w:rsidR="00762F45" w:rsidRPr="0062572A" w14:paraId="78545F41" w14:textId="77777777" w:rsidTr="0062572A">
        <w:trPr>
          <w:tblHeader/>
        </w:trPr>
        <w:tc>
          <w:tcPr>
            <w:tcW w:w="877" w:type="dxa"/>
            <w:shd w:val="clear" w:color="auto" w:fill="DEEAF6" w:themeFill="accent1" w:themeFillTint="33"/>
            <w:vAlign w:val="center"/>
          </w:tcPr>
          <w:p w14:paraId="3643DF97" w14:textId="77777777" w:rsidR="00762F45" w:rsidRPr="00CA7C99" w:rsidRDefault="00762F45" w:rsidP="00CA7C99">
            <w:pPr>
              <w:spacing w:after="0"/>
              <w:ind w:left="0"/>
              <w:jc w:val="center"/>
              <w:rPr>
                <w:b/>
                <w:i/>
                <w:color w:val="1F3864" w:themeColor="accent5" w:themeShade="80"/>
                <w:szCs w:val="24"/>
              </w:rPr>
            </w:pPr>
            <w:r w:rsidRPr="00CA7C99">
              <w:rPr>
                <w:rFonts w:cs="Arial"/>
                <w:b/>
                <w:color w:val="1F3864" w:themeColor="accent5" w:themeShade="80"/>
                <w:szCs w:val="24"/>
              </w:rPr>
              <w:t>#</w:t>
            </w:r>
          </w:p>
        </w:tc>
        <w:tc>
          <w:tcPr>
            <w:tcW w:w="1530" w:type="dxa"/>
            <w:shd w:val="clear" w:color="auto" w:fill="DEEAF6" w:themeFill="accent1" w:themeFillTint="33"/>
            <w:vAlign w:val="center"/>
          </w:tcPr>
          <w:p w14:paraId="64E57AEC" w14:textId="77777777" w:rsidR="00762F45" w:rsidRPr="00CA7C99" w:rsidRDefault="00762F45" w:rsidP="00EF1D26">
            <w:pPr>
              <w:spacing w:after="0"/>
              <w:ind w:left="0"/>
              <w:rPr>
                <w:b/>
                <w:i/>
                <w:color w:val="1F3864" w:themeColor="accent5" w:themeShade="80"/>
                <w:szCs w:val="24"/>
              </w:rPr>
            </w:pPr>
            <w:r w:rsidRPr="00CA7C99">
              <w:rPr>
                <w:rFonts w:cs="Arial"/>
                <w:b/>
                <w:color w:val="1F3864" w:themeColor="accent5" w:themeShade="80"/>
                <w:szCs w:val="24"/>
              </w:rPr>
              <w:t>Direction</w:t>
            </w:r>
          </w:p>
        </w:tc>
        <w:tc>
          <w:tcPr>
            <w:tcW w:w="1620" w:type="dxa"/>
            <w:shd w:val="clear" w:color="auto" w:fill="DEEAF6" w:themeFill="accent1" w:themeFillTint="33"/>
            <w:vAlign w:val="center"/>
          </w:tcPr>
          <w:p w14:paraId="52A98C1F" w14:textId="77777777" w:rsidR="00762F45" w:rsidRPr="00CA7C99" w:rsidRDefault="00762F45" w:rsidP="00EF1D26">
            <w:pPr>
              <w:spacing w:after="0"/>
              <w:ind w:left="0"/>
              <w:rPr>
                <w:b/>
                <w:i/>
                <w:color w:val="1F3864" w:themeColor="accent5" w:themeShade="80"/>
                <w:szCs w:val="24"/>
              </w:rPr>
            </w:pPr>
            <w:r w:rsidRPr="00CA7C99">
              <w:rPr>
                <w:rFonts w:cs="Arial"/>
                <w:b/>
                <w:color w:val="1F3864" w:themeColor="accent5" w:themeShade="80"/>
                <w:szCs w:val="24"/>
              </w:rPr>
              <w:t>Mode / Frequency</w:t>
            </w:r>
          </w:p>
        </w:tc>
        <w:tc>
          <w:tcPr>
            <w:tcW w:w="2430" w:type="dxa"/>
            <w:shd w:val="clear" w:color="auto" w:fill="DEEAF6" w:themeFill="accent1" w:themeFillTint="33"/>
            <w:vAlign w:val="center"/>
          </w:tcPr>
          <w:p w14:paraId="4D7159AD" w14:textId="77777777" w:rsidR="00762F45" w:rsidRPr="00CA7C99" w:rsidRDefault="00762F45" w:rsidP="00EF1D26">
            <w:pPr>
              <w:spacing w:after="0"/>
              <w:ind w:left="0"/>
              <w:rPr>
                <w:b/>
                <w:i/>
                <w:color w:val="1F3864" w:themeColor="accent5" w:themeShade="80"/>
                <w:szCs w:val="24"/>
              </w:rPr>
            </w:pPr>
            <w:r w:rsidRPr="00CA7C99">
              <w:rPr>
                <w:rFonts w:cs="Arial"/>
                <w:b/>
                <w:color w:val="1F3864" w:themeColor="accent5" w:themeShade="80"/>
                <w:szCs w:val="24"/>
              </w:rPr>
              <w:t>System</w:t>
            </w:r>
          </w:p>
        </w:tc>
        <w:tc>
          <w:tcPr>
            <w:tcW w:w="2160" w:type="dxa"/>
            <w:shd w:val="clear" w:color="auto" w:fill="DEEAF6" w:themeFill="accent1" w:themeFillTint="33"/>
            <w:vAlign w:val="center"/>
          </w:tcPr>
          <w:p w14:paraId="108A2894" w14:textId="77777777" w:rsidR="00762F45" w:rsidRPr="00CA7C99" w:rsidRDefault="00762F45" w:rsidP="00EF1D26">
            <w:pPr>
              <w:spacing w:after="0"/>
              <w:ind w:left="0"/>
              <w:rPr>
                <w:b/>
                <w:i/>
                <w:color w:val="1F3864" w:themeColor="accent5" w:themeShade="80"/>
                <w:szCs w:val="24"/>
              </w:rPr>
            </w:pPr>
            <w:r w:rsidRPr="00CA7C99">
              <w:rPr>
                <w:rFonts w:cs="Arial"/>
                <w:b/>
                <w:color w:val="1F3864" w:themeColor="accent5" w:themeShade="80"/>
                <w:szCs w:val="24"/>
              </w:rPr>
              <w:t>Name</w:t>
            </w:r>
          </w:p>
        </w:tc>
        <w:tc>
          <w:tcPr>
            <w:tcW w:w="5940" w:type="dxa"/>
            <w:shd w:val="clear" w:color="auto" w:fill="DEEAF6" w:themeFill="accent1" w:themeFillTint="33"/>
            <w:vAlign w:val="center"/>
          </w:tcPr>
          <w:p w14:paraId="1F436A5E" w14:textId="77777777" w:rsidR="00762F45" w:rsidRPr="00CA7C99" w:rsidRDefault="00762F45" w:rsidP="00EF1D26">
            <w:pPr>
              <w:spacing w:after="0"/>
              <w:ind w:left="0"/>
              <w:rPr>
                <w:b/>
                <w:i/>
                <w:color w:val="1F3864" w:themeColor="accent5" w:themeShade="80"/>
                <w:szCs w:val="24"/>
              </w:rPr>
            </w:pPr>
            <w:r w:rsidRPr="00CA7C99">
              <w:rPr>
                <w:rFonts w:cs="Arial"/>
                <w:b/>
                <w:color w:val="1F3864" w:themeColor="accent5" w:themeShade="80"/>
                <w:szCs w:val="24"/>
              </w:rPr>
              <w:t>Overview</w:t>
            </w:r>
          </w:p>
        </w:tc>
      </w:tr>
      <w:tr w:rsidR="00F3314C" w:rsidRPr="0062572A" w14:paraId="04D45BCB" w14:textId="77777777" w:rsidTr="005204B9">
        <w:tc>
          <w:tcPr>
            <w:tcW w:w="877" w:type="dxa"/>
            <w:vAlign w:val="center"/>
          </w:tcPr>
          <w:p w14:paraId="57D728EA" w14:textId="777C2324" w:rsidR="00F3314C" w:rsidRPr="0062572A" w:rsidRDefault="00F3314C" w:rsidP="00F3314C">
            <w:pPr>
              <w:spacing w:after="0"/>
              <w:ind w:left="0"/>
              <w:jc w:val="center"/>
              <w:rPr>
                <w:rFonts w:cs="Calibri"/>
                <w:color w:val="000000"/>
                <w:szCs w:val="24"/>
              </w:rPr>
            </w:pPr>
            <w:r>
              <w:rPr>
                <w:color w:val="000000"/>
                <w:szCs w:val="22"/>
              </w:rPr>
              <w:t>1</w:t>
            </w:r>
          </w:p>
        </w:tc>
        <w:tc>
          <w:tcPr>
            <w:tcW w:w="1530" w:type="dxa"/>
            <w:vAlign w:val="center"/>
          </w:tcPr>
          <w:p w14:paraId="74496CDA" w14:textId="77777777" w:rsidR="00F3314C" w:rsidRPr="0062572A" w:rsidRDefault="00F3314C" w:rsidP="00F3314C">
            <w:pPr>
              <w:spacing w:after="0"/>
              <w:ind w:left="0"/>
              <w:rPr>
                <w:szCs w:val="24"/>
              </w:rPr>
            </w:pPr>
            <w:r>
              <w:rPr>
                <w:rFonts w:cs="Calibri"/>
                <w:color w:val="000000"/>
                <w:szCs w:val="24"/>
              </w:rPr>
              <w:t>Both</w:t>
            </w:r>
          </w:p>
        </w:tc>
        <w:tc>
          <w:tcPr>
            <w:tcW w:w="1620" w:type="dxa"/>
            <w:vAlign w:val="center"/>
          </w:tcPr>
          <w:p w14:paraId="3FE1CADA" w14:textId="77777777" w:rsidR="00F3314C" w:rsidRPr="0062572A" w:rsidRDefault="00F3314C" w:rsidP="00F3314C">
            <w:pPr>
              <w:spacing w:after="0"/>
              <w:ind w:left="0"/>
              <w:rPr>
                <w:szCs w:val="24"/>
              </w:rPr>
            </w:pPr>
            <w:r w:rsidRPr="0062572A">
              <w:rPr>
                <w:rFonts w:cs="Calibri"/>
                <w:color w:val="000000"/>
                <w:szCs w:val="24"/>
              </w:rPr>
              <w:t>Batch / Weekly</w:t>
            </w:r>
          </w:p>
        </w:tc>
        <w:tc>
          <w:tcPr>
            <w:tcW w:w="2430" w:type="dxa"/>
            <w:vAlign w:val="center"/>
          </w:tcPr>
          <w:p w14:paraId="542FD726" w14:textId="77777777" w:rsidR="00F3314C" w:rsidRPr="0062572A" w:rsidRDefault="00F3314C" w:rsidP="00F3314C">
            <w:pPr>
              <w:spacing w:after="0"/>
              <w:ind w:left="0"/>
              <w:rPr>
                <w:szCs w:val="24"/>
              </w:rPr>
            </w:pPr>
            <w:r w:rsidRPr="0062572A">
              <w:rPr>
                <w:rFonts w:cs="Calibri"/>
                <w:color w:val="000000"/>
                <w:szCs w:val="24"/>
              </w:rPr>
              <w:t>APPRISS</w:t>
            </w:r>
          </w:p>
        </w:tc>
        <w:tc>
          <w:tcPr>
            <w:tcW w:w="2160" w:type="dxa"/>
            <w:vAlign w:val="center"/>
          </w:tcPr>
          <w:p w14:paraId="4A5DB15C" w14:textId="77777777" w:rsidR="00F3314C" w:rsidRPr="0062572A" w:rsidRDefault="00F3314C" w:rsidP="00F3314C">
            <w:pPr>
              <w:spacing w:after="0"/>
              <w:ind w:left="0"/>
              <w:rPr>
                <w:szCs w:val="24"/>
              </w:rPr>
            </w:pPr>
            <w:r w:rsidRPr="0062572A">
              <w:rPr>
                <w:rFonts w:cs="Calibri"/>
                <w:color w:val="000000"/>
                <w:szCs w:val="24"/>
              </w:rPr>
              <w:t>APPRISS Data</w:t>
            </w:r>
          </w:p>
        </w:tc>
        <w:tc>
          <w:tcPr>
            <w:tcW w:w="5940" w:type="dxa"/>
            <w:vAlign w:val="center"/>
          </w:tcPr>
          <w:p w14:paraId="0769E720" w14:textId="4CF426CC" w:rsidR="00F3314C" w:rsidRPr="0062572A" w:rsidRDefault="004A5E8A" w:rsidP="00F3314C">
            <w:pPr>
              <w:spacing w:after="0"/>
              <w:ind w:left="0"/>
              <w:rPr>
                <w:szCs w:val="24"/>
              </w:rPr>
            </w:pPr>
            <w:r>
              <w:t>APPRISS data used to prevent claimants from receiving UI benefits while unavailable for work (incarcerated)</w:t>
            </w:r>
          </w:p>
        </w:tc>
      </w:tr>
      <w:tr w:rsidR="00F3314C" w:rsidRPr="0062572A" w14:paraId="0268E33B" w14:textId="77777777" w:rsidTr="005204B9">
        <w:tc>
          <w:tcPr>
            <w:tcW w:w="877" w:type="dxa"/>
            <w:vAlign w:val="center"/>
          </w:tcPr>
          <w:p w14:paraId="61D231D1" w14:textId="3FE77E55" w:rsidR="00F3314C" w:rsidRPr="0062572A" w:rsidRDefault="00F3314C" w:rsidP="00F3314C">
            <w:pPr>
              <w:spacing w:after="0"/>
              <w:ind w:left="0"/>
              <w:jc w:val="center"/>
              <w:rPr>
                <w:szCs w:val="24"/>
              </w:rPr>
            </w:pPr>
            <w:r>
              <w:rPr>
                <w:szCs w:val="22"/>
              </w:rPr>
              <w:t>2</w:t>
            </w:r>
          </w:p>
        </w:tc>
        <w:tc>
          <w:tcPr>
            <w:tcW w:w="1530" w:type="dxa"/>
            <w:vAlign w:val="center"/>
          </w:tcPr>
          <w:p w14:paraId="57CE0C2C" w14:textId="77777777" w:rsidR="00F3314C" w:rsidRPr="0062572A" w:rsidRDefault="00F3314C" w:rsidP="00F3314C">
            <w:pPr>
              <w:spacing w:after="0"/>
              <w:ind w:left="0"/>
              <w:rPr>
                <w:szCs w:val="24"/>
              </w:rPr>
            </w:pPr>
            <w:r w:rsidRPr="0062572A">
              <w:rPr>
                <w:rFonts w:cs="Calibri"/>
                <w:color w:val="000000"/>
                <w:szCs w:val="24"/>
              </w:rPr>
              <w:t>Receive</w:t>
            </w:r>
          </w:p>
        </w:tc>
        <w:tc>
          <w:tcPr>
            <w:tcW w:w="1620" w:type="dxa"/>
            <w:vAlign w:val="center"/>
          </w:tcPr>
          <w:p w14:paraId="16B5C762" w14:textId="77777777" w:rsidR="00F3314C" w:rsidRPr="0062572A" w:rsidRDefault="00F3314C" w:rsidP="00F3314C">
            <w:pPr>
              <w:spacing w:after="0"/>
              <w:ind w:left="0"/>
              <w:rPr>
                <w:szCs w:val="24"/>
              </w:rPr>
            </w:pPr>
            <w:r w:rsidRPr="0062572A">
              <w:rPr>
                <w:rFonts w:cs="Calibri"/>
                <w:color w:val="000000"/>
                <w:szCs w:val="24"/>
              </w:rPr>
              <w:t>Online /</w:t>
            </w:r>
            <w:r>
              <w:rPr>
                <w:rFonts w:cs="Calibri"/>
                <w:color w:val="000000"/>
                <w:szCs w:val="24"/>
              </w:rPr>
              <w:t xml:space="preserve"> Daily / </w:t>
            </w:r>
            <w:r w:rsidRPr="0062572A">
              <w:rPr>
                <w:rFonts w:cs="Calibri"/>
                <w:color w:val="000000"/>
                <w:szCs w:val="24"/>
              </w:rPr>
              <w:t>Weekly</w:t>
            </w:r>
          </w:p>
        </w:tc>
        <w:tc>
          <w:tcPr>
            <w:tcW w:w="2430" w:type="dxa"/>
            <w:vAlign w:val="center"/>
          </w:tcPr>
          <w:p w14:paraId="56AEB472" w14:textId="77777777" w:rsidR="00F3314C" w:rsidRPr="0062572A" w:rsidRDefault="00F3314C" w:rsidP="00F3314C">
            <w:pPr>
              <w:spacing w:after="0"/>
              <w:ind w:left="0"/>
              <w:rPr>
                <w:szCs w:val="24"/>
              </w:rPr>
            </w:pPr>
            <w:r w:rsidRPr="0062572A">
              <w:rPr>
                <w:rFonts w:cs="Calibri"/>
                <w:color w:val="000000"/>
                <w:szCs w:val="24"/>
              </w:rPr>
              <w:t>AT&amp;T</w:t>
            </w:r>
          </w:p>
        </w:tc>
        <w:tc>
          <w:tcPr>
            <w:tcW w:w="2160" w:type="dxa"/>
            <w:vAlign w:val="center"/>
          </w:tcPr>
          <w:p w14:paraId="074D5BF3" w14:textId="09BFFB4C" w:rsidR="00F3314C" w:rsidRPr="0062572A" w:rsidRDefault="00F3314C" w:rsidP="00F3314C">
            <w:pPr>
              <w:spacing w:after="0"/>
              <w:ind w:left="0"/>
              <w:rPr>
                <w:szCs w:val="24"/>
              </w:rPr>
            </w:pPr>
            <w:r w:rsidRPr="0062572A">
              <w:rPr>
                <w:rFonts w:cs="Calibri"/>
                <w:color w:val="000000"/>
                <w:szCs w:val="24"/>
              </w:rPr>
              <w:t xml:space="preserve">BO330 </w:t>
            </w:r>
            <w:r w:rsidR="006E7704" w:rsidRPr="0062572A">
              <w:rPr>
                <w:rFonts w:cs="Calibri"/>
                <w:color w:val="000000"/>
                <w:szCs w:val="24"/>
              </w:rPr>
              <w:t>response from AT&amp;T T</w:t>
            </w:r>
            <w:r w:rsidR="006E7704">
              <w:rPr>
                <w:rFonts w:cs="Calibri"/>
                <w:color w:val="000000"/>
                <w:szCs w:val="24"/>
              </w:rPr>
              <w:t>TEC</w:t>
            </w:r>
            <w:r w:rsidR="006E7704" w:rsidRPr="0062572A">
              <w:rPr>
                <w:rFonts w:cs="Calibri"/>
                <w:color w:val="000000"/>
                <w:szCs w:val="24"/>
              </w:rPr>
              <w:t xml:space="preserve"> phone calls</w:t>
            </w:r>
          </w:p>
        </w:tc>
        <w:tc>
          <w:tcPr>
            <w:tcW w:w="5940" w:type="dxa"/>
            <w:vAlign w:val="center"/>
          </w:tcPr>
          <w:p w14:paraId="3DCD2749" w14:textId="746F0929" w:rsidR="00F3314C" w:rsidRPr="0062572A" w:rsidRDefault="006E7704" w:rsidP="00F3314C">
            <w:pPr>
              <w:spacing w:after="0"/>
              <w:ind w:left="0"/>
              <w:rPr>
                <w:szCs w:val="24"/>
              </w:rPr>
            </w:pPr>
            <w:r>
              <w:rPr>
                <w:rFonts w:cs="Calibri"/>
                <w:color w:val="000000"/>
                <w:szCs w:val="24"/>
              </w:rPr>
              <w:t>Claimant responses from AT&amp;T;</w:t>
            </w:r>
            <w:r w:rsidR="00F3314C" w:rsidRPr="0062572A">
              <w:rPr>
                <w:rFonts w:cs="Verdana"/>
                <w:color w:val="000000"/>
                <w:szCs w:val="24"/>
              </w:rPr>
              <w:t> </w:t>
            </w:r>
            <w:r w:rsidR="00F3314C" w:rsidRPr="0062572A">
              <w:rPr>
                <w:rFonts w:cs="Calibri"/>
                <w:color w:val="000000"/>
                <w:szCs w:val="24"/>
              </w:rPr>
              <w:t>AT</w:t>
            </w:r>
            <w:r w:rsidR="00F3314C">
              <w:rPr>
                <w:rFonts w:cs="Calibri"/>
                <w:color w:val="000000"/>
                <w:szCs w:val="24"/>
              </w:rPr>
              <w:t>&amp;</w:t>
            </w:r>
            <w:r w:rsidR="00F3314C" w:rsidRPr="0062572A">
              <w:rPr>
                <w:rFonts w:cs="Calibri"/>
                <w:color w:val="000000"/>
                <w:szCs w:val="24"/>
              </w:rPr>
              <w:t>T</w:t>
            </w:r>
            <w:r w:rsidR="00F3314C">
              <w:rPr>
                <w:rFonts w:cs="Calibri"/>
                <w:color w:val="000000"/>
                <w:szCs w:val="24"/>
              </w:rPr>
              <w:t xml:space="preserve"> </w:t>
            </w:r>
            <w:r w:rsidR="00F3314C" w:rsidRPr="0062572A">
              <w:rPr>
                <w:rFonts w:cs="Calibri"/>
                <w:color w:val="000000"/>
                <w:szCs w:val="24"/>
              </w:rPr>
              <w:t>(T</w:t>
            </w:r>
            <w:r w:rsidR="00F3314C">
              <w:rPr>
                <w:rFonts w:cs="Calibri"/>
                <w:color w:val="000000"/>
                <w:szCs w:val="24"/>
              </w:rPr>
              <w:t>TEC</w:t>
            </w:r>
            <w:r w:rsidR="00F3314C" w:rsidRPr="0062572A">
              <w:rPr>
                <w:rFonts w:cs="Calibri"/>
                <w:color w:val="000000"/>
                <w:szCs w:val="24"/>
              </w:rPr>
              <w:t>) tak</w:t>
            </w:r>
            <w:r w:rsidR="00F3314C">
              <w:rPr>
                <w:rFonts w:cs="Calibri"/>
                <w:color w:val="000000"/>
                <w:szCs w:val="24"/>
              </w:rPr>
              <w:t>es</w:t>
            </w:r>
            <w:r w:rsidR="00F3314C" w:rsidRPr="0062572A">
              <w:rPr>
                <w:rFonts w:cs="Calibri"/>
                <w:color w:val="000000"/>
                <w:szCs w:val="24"/>
              </w:rPr>
              <w:t xml:space="preserve"> TOP phone calls</w:t>
            </w:r>
            <w:r w:rsidR="00F3314C" w:rsidRPr="0062572A">
              <w:rPr>
                <w:rFonts w:ascii="Arial" w:hAnsi="Arial" w:cs="Arial"/>
                <w:color w:val="000000"/>
                <w:szCs w:val="24"/>
              </w:rPr>
              <w:t>​</w:t>
            </w:r>
            <w:r w:rsidR="00F3314C">
              <w:rPr>
                <w:rFonts w:ascii="Arial" w:hAnsi="Arial" w:cs="Arial"/>
                <w:color w:val="000000"/>
                <w:szCs w:val="24"/>
              </w:rPr>
              <w:t xml:space="preserve"> and sends 60-day le</w:t>
            </w:r>
            <w:r>
              <w:rPr>
                <w:rFonts w:ascii="Arial" w:hAnsi="Arial" w:cs="Arial"/>
                <w:color w:val="000000"/>
                <w:szCs w:val="24"/>
              </w:rPr>
              <w:t>tter information to AT&amp;T weekly</w:t>
            </w:r>
          </w:p>
        </w:tc>
      </w:tr>
      <w:tr w:rsidR="00F3314C" w:rsidRPr="0062572A" w14:paraId="0643C7DA" w14:textId="77777777" w:rsidTr="005204B9">
        <w:tc>
          <w:tcPr>
            <w:tcW w:w="877" w:type="dxa"/>
            <w:vAlign w:val="center"/>
          </w:tcPr>
          <w:p w14:paraId="0CE1FB65" w14:textId="57C781C5" w:rsidR="00F3314C" w:rsidRPr="0062572A" w:rsidRDefault="00F3314C" w:rsidP="00F3314C">
            <w:pPr>
              <w:spacing w:after="0"/>
              <w:ind w:left="0"/>
              <w:jc w:val="center"/>
              <w:rPr>
                <w:rFonts w:cs="Calibri"/>
                <w:color w:val="000000"/>
                <w:szCs w:val="24"/>
              </w:rPr>
            </w:pPr>
            <w:r>
              <w:rPr>
                <w:color w:val="000000"/>
                <w:szCs w:val="22"/>
              </w:rPr>
              <w:t>3</w:t>
            </w:r>
          </w:p>
        </w:tc>
        <w:tc>
          <w:tcPr>
            <w:tcW w:w="1530" w:type="dxa"/>
            <w:vAlign w:val="center"/>
          </w:tcPr>
          <w:p w14:paraId="54760492" w14:textId="77777777" w:rsidR="00F3314C" w:rsidRPr="0062572A" w:rsidRDefault="00F3314C" w:rsidP="00F3314C">
            <w:pPr>
              <w:spacing w:after="0"/>
              <w:ind w:left="0"/>
              <w:rPr>
                <w:szCs w:val="24"/>
              </w:rPr>
            </w:pPr>
            <w:r w:rsidRPr="0062572A">
              <w:rPr>
                <w:rFonts w:cs="Calibri"/>
                <w:color w:val="000000"/>
                <w:szCs w:val="24"/>
              </w:rPr>
              <w:t>Send</w:t>
            </w:r>
          </w:p>
        </w:tc>
        <w:tc>
          <w:tcPr>
            <w:tcW w:w="1620" w:type="dxa"/>
            <w:vAlign w:val="center"/>
          </w:tcPr>
          <w:p w14:paraId="4E9A2C52" w14:textId="77777777" w:rsidR="00F3314C" w:rsidRPr="0062572A" w:rsidRDefault="00F3314C" w:rsidP="00F3314C">
            <w:pPr>
              <w:spacing w:after="0"/>
              <w:ind w:left="0"/>
              <w:rPr>
                <w:szCs w:val="24"/>
              </w:rPr>
            </w:pPr>
            <w:r w:rsidRPr="0062572A">
              <w:rPr>
                <w:rFonts w:cs="Calibri"/>
                <w:color w:val="000000"/>
                <w:szCs w:val="24"/>
              </w:rPr>
              <w:t>Offline / Weekly</w:t>
            </w:r>
          </w:p>
        </w:tc>
        <w:tc>
          <w:tcPr>
            <w:tcW w:w="2430" w:type="dxa"/>
            <w:vAlign w:val="center"/>
          </w:tcPr>
          <w:p w14:paraId="0BA327CC" w14:textId="77777777" w:rsidR="00F3314C" w:rsidRPr="0062572A" w:rsidRDefault="00F3314C" w:rsidP="00F3314C">
            <w:pPr>
              <w:spacing w:after="0"/>
              <w:ind w:left="0"/>
              <w:rPr>
                <w:szCs w:val="24"/>
              </w:rPr>
            </w:pPr>
            <w:r w:rsidRPr="0062572A">
              <w:rPr>
                <w:rFonts w:cs="Calibri"/>
                <w:color w:val="000000"/>
                <w:szCs w:val="24"/>
              </w:rPr>
              <w:t>AWARE</w:t>
            </w:r>
          </w:p>
        </w:tc>
        <w:tc>
          <w:tcPr>
            <w:tcW w:w="2160" w:type="dxa"/>
            <w:vAlign w:val="center"/>
          </w:tcPr>
          <w:p w14:paraId="0D3A8711" w14:textId="77777777" w:rsidR="00F3314C" w:rsidRPr="0062572A" w:rsidRDefault="00F3314C" w:rsidP="00F3314C">
            <w:pPr>
              <w:spacing w:after="0"/>
              <w:ind w:left="0"/>
              <w:rPr>
                <w:szCs w:val="24"/>
              </w:rPr>
            </w:pPr>
            <w:r w:rsidRPr="0062572A">
              <w:rPr>
                <w:rFonts w:cs="Calibri"/>
                <w:color w:val="000000"/>
                <w:szCs w:val="24"/>
              </w:rPr>
              <w:t>UI data for AWARE</w:t>
            </w:r>
          </w:p>
        </w:tc>
        <w:tc>
          <w:tcPr>
            <w:tcW w:w="5940" w:type="dxa"/>
            <w:vAlign w:val="center"/>
          </w:tcPr>
          <w:p w14:paraId="195C555E" w14:textId="313D8DCD" w:rsidR="00F3314C" w:rsidRPr="0062572A" w:rsidRDefault="004A5E8A" w:rsidP="00F3314C">
            <w:pPr>
              <w:spacing w:after="0"/>
              <w:ind w:left="0"/>
              <w:rPr>
                <w:szCs w:val="24"/>
              </w:rPr>
            </w:pPr>
            <w:r w:rsidRPr="005D3C24">
              <w:t>Data is used t</w:t>
            </w:r>
            <w:r w:rsidR="006E7704">
              <w:t>o support the AWARE application</w:t>
            </w:r>
          </w:p>
        </w:tc>
      </w:tr>
      <w:tr w:rsidR="00F3314C" w:rsidRPr="0062572A" w14:paraId="6C33A7B0" w14:textId="77777777" w:rsidTr="005204B9">
        <w:tc>
          <w:tcPr>
            <w:tcW w:w="877" w:type="dxa"/>
            <w:vAlign w:val="center"/>
          </w:tcPr>
          <w:p w14:paraId="71569B5B" w14:textId="3CC0824F" w:rsidR="00F3314C" w:rsidRPr="0062572A" w:rsidRDefault="00F3314C" w:rsidP="00F3314C">
            <w:pPr>
              <w:spacing w:after="0"/>
              <w:ind w:left="0"/>
              <w:jc w:val="center"/>
              <w:rPr>
                <w:szCs w:val="24"/>
              </w:rPr>
            </w:pPr>
            <w:r>
              <w:rPr>
                <w:szCs w:val="22"/>
              </w:rPr>
              <w:t>4</w:t>
            </w:r>
          </w:p>
        </w:tc>
        <w:tc>
          <w:tcPr>
            <w:tcW w:w="1530" w:type="dxa"/>
            <w:vAlign w:val="center"/>
          </w:tcPr>
          <w:p w14:paraId="2292F5DC" w14:textId="77777777" w:rsidR="00F3314C" w:rsidRPr="00936B73" w:rsidRDefault="00F3314C" w:rsidP="00F3314C">
            <w:pPr>
              <w:spacing w:after="0"/>
              <w:ind w:left="0"/>
              <w:rPr>
                <w:rFonts w:cs="Calibri"/>
                <w:color w:val="000000"/>
                <w:szCs w:val="24"/>
              </w:rPr>
            </w:pPr>
            <w:r w:rsidRPr="00936B73">
              <w:rPr>
                <w:rFonts w:cs="Calibri"/>
                <w:color w:val="000000"/>
                <w:szCs w:val="24"/>
              </w:rPr>
              <w:t>Receive</w:t>
            </w:r>
          </w:p>
        </w:tc>
        <w:tc>
          <w:tcPr>
            <w:tcW w:w="1620" w:type="dxa"/>
            <w:shd w:val="clear" w:color="auto" w:fill="auto"/>
            <w:vAlign w:val="center"/>
          </w:tcPr>
          <w:p w14:paraId="7AEEBFE0" w14:textId="77777777" w:rsidR="00F3314C" w:rsidRPr="00936B73" w:rsidRDefault="00F3314C" w:rsidP="00F3314C">
            <w:pPr>
              <w:spacing w:after="0"/>
              <w:ind w:left="0"/>
              <w:rPr>
                <w:rFonts w:cs="Calibri"/>
                <w:color w:val="000000"/>
                <w:szCs w:val="24"/>
              </w:rPr>
            </w:pPr>
            <w:r w:rsidRPr="00936B73">
              <w:rPr>
                <w:rFonts w:cs="Calibri"/>
                <w:color w:val="000000"/>
                <w:szCs w:val="24"/>
              </w:rPr>
              <w:t xml:space="preserve">Pseudo </w:t>
            </w:r>
            <w:r>
              <w:rPr>
                <w:rFonts w:cs="Calibri"/>
                <w:color w:val="000000"/>
                <w:szCs w:val="24"/>
              </w:rPr>
              <w:t>Batch</w:t>
            </w:r>
            <w:r w:rsidRPr="00936B73">
              <w:rPr>
                <w:rFonts w:cs="Calibri"/>
                <w:color w:val="000000"/>
                <w:szCs w:val="24"/>
              </w:rPr>
              <w:t>/ Daily</w:t>
            </w:r>
          </w:p>
        </w:tc>
        <w:tc>
          <w:tcPr>
            <w:tcW w:w="2430" w:type="dxa"/>
            <w:vAlign w:val="center"/>
          </w:tcPr>
          <w:p w14:paraId="3443F51A" w14:textId="77777777" w:rsidR="00F3314C" w:rsidRPr="00936B73" w:rsidRDefault="00F3314C" w:rsidP="00F3314C">
            <w:pPr>
              <w:spacing w:after="0"/>
              <w:ind w:left="0"/>
              <w:rPr>
                <w:rFonts w:cs="Calibri"/>
                <w:color w:val="000000"/>
                <w:szCs w:val="24"/>
              </w:rPr>
            </w:pPr>
            <w:r w:rsidRPr="00936B73">
              <w:rPr>
                <w:rFonts w:cs="Calibri"/>
                <w:color w:val="000000"/>
                <w:szCs w:val="24"/>
              </w:rPr>
              <w:t>Computer Science Corporation</w:t>
            </w:r>
          </w:p>
        </w:tc>
        <w:tc>
          <w:tcPr>
            <w:tcW w:w="2160" w:type="dxa"/>
            <w:vAlign w:val="center"/>
          </w:tcPr>
          <w:p w14:paraId="2E1EC2AF" w14:textId="77777777" w:rsidR="00F3314C" w:rsidRPr="00936B73" w:rsidRDefault="00F3314C" w:rsidP="00F3314C">
            <w:pPr>
              <w:spacing w:after="0"/>
              <w:ind w:left="0"/>
              <w:rPr>
                <w:rFonts w:cs="Calibri"/>
                <w:color w:val="000000"/>
                <w:szCs w:val="24"/>
              </w:rPr>
            </w:pPr>
            <w:r w:rsidRPr="00936B73">
              <w:rPr>
                <w:rFonts w:cs="Calibri"/>
                <w:color w:val="000000"/>
                <w:szCs w:val="24"/>
              </w:rPr>
              <w:t>Alien ID Verification (SAVE)</w:t>
            </w:r>
          </w:p>
        </w:tc>
        <w:tc>
          <w:tcPr>
            <w:tcW w:w="5940" w:type="dxa"/>
            <w:vAlign w:val="center"/>
          </w:tcPr>
          <w:p w14:paraId="6D1F7E0D" w14:textId="77777777" w:rsidR="00F3314C" w:rsidRPr="00083AC3" w:rsidRDefault="00F3314C" w:rsidP="00F3314C">
            <w:pPr>
              <w:spacing w:after="0"/>
              <w:ind w:left="0"/>
              <w:rPr>
                <w:rFonts w:cs="Calibri"/>
                <w:color w:val="000000"/>
                <w:szCs w:val="24"/>
              </w:rPr>
            </w:pPr>
            <w:r>
              <w:rPr>
                <w:rFonts w:cs="Calibri"/>
                <w:color w:val="000000"/>
                <w:szCs w:val="24"/>
              </w:rPr>
              <w:t>Retrieve responses from alien ID verification</w:t>
            </w:r>
          </w:p>
        </w:tc>
      </w:tr>
      <w:tr w:rsidR="00F3314C" w:rsidRPr="0062572A" w14:paraId="573A6BDD" w14:textId="77777777" w:rsidTr="005204B9">
        <w:tc>
          <w:tcPr>
            <w:tcW w:w="877" w:type="dxa"/>
            <w:vAlign w:val="center"/>
          </w:tcPr>
          <w:p w14:paraId="14B50B98" w14:textId="6F50B6AE" w:rsidR="00F3314C" w:rsidRPr="0062572A" w:rsidRDefault="00F3314C" w:rsidP="00F3314C">
            <w:pPr>
              <w:spacing w:after="0"/>
              <w:ind w:left="0"/>
              <w:jc w:val="center"/>
              <w:rPr>
                <w:szCs w:val="24"/>
              </w:rPr>
            </w:pPr>
            <w:r>
              <w:rPr>
                <w:color w:val="000000"/>
                <w:szCs w:val="22"/>
              </w:rPr>
              <w:t>5</w:t>
            </w:r>
          </w:p>
        </w:tc>
        <w:tc>
          <w:tcPr>
            <w:tcW w:w="1530" w:type="dxa"/>
            <w:vAlign w:val="center"/>
          </w:tcPr>
          <w:p w14:paraId="008A750E" w14:textId="77777777" w:rsidR="00F3314C" w:rsidRPr="00936B73" w:rsidRDefault="00F3314C" w:rsidP="00F3314C">
            <w:pPr>
              <w:spacing w:after="0"/>
              <w:ind w:left="0"/>
              <w:rPr>
                <w:rFonts w:cs="Calibri"/>
                <w:color w:val="000000"/>
                <w:szCs w:val="24"/>
              </w:rPr>
            </w:pPr>
            <w:r w:rsidRPr="00936B73">
              <w:rPr>
                <w:rFonts w:cs="Calibri"/>
                <w:color w:val="000000"/>
                <w:szCs w:val="24"/>
              </w:rPr>
              <w:t>Send</w:t>
            </w:r>
          </w:p>
        </w:tc>
        <w:tc>
          <w:tcPr>
            <w:tcW w:w="1620" w:type="dxa"/>
            <w:vAlign w:val="center"/>
          </w:tcPr>
          <w:p w14:paraId="5AB93B5A" w14:textId="77777777" w:rsidR="00F3314C" w:rsidRPr="0062572A" w:rsidRDefault="00F3314C" w:rsidP="00F3314C">
            <w:pPr>
              <w:spacing w:after="0"/>
              <w:ind w:left="0"/>
              <w:rPr>
                <w:szCs w:val="24"/>
                <w:highlight w:val="yellow"/>
              </w:rPr>
            </w:pPr>
            <w:r w:rsidRPr="00936B73">
              <w:rPr>
                <w:rFonts w:cs="Calibri"/>
                <w:color w:val="000000"/>
                <w:szCs w:val="24"/>
              </w:rPr>
              <w:t xml:space="preserve">Pseudo </w:t>
            </w:r>
            <w:r>
              <w:rPr>
                <w:rFonts w:cs="Calibri"/>
                <w:color w:val="000000"/>
                <w:szCs w:val="24"/>
              </w:rPr>
              <w:t>Batch</w:t>
            </w:r>
            <w:r w:rsidRPr="00936B73">
              <w:rPr>
                <w:rFonts w:cs="Calibri"/>
                <w:color w:val="000000"/>
                <w:szCs w:val="24"/>
              </w:rPr>
              <w:t>/ Daily</w:t>
            </w:r>
          </w:p>
        </w:tc>
        <w:tc>
          <w:tcPr>
            <w:tcW w:w="2430" w:type="dxa"/>
            <w:vAlign w:val="center"/>
          </w:tcPr>
          <w:p w14:paraId="0F26DE6A" w14:textId="77777777" w:rsidR="00F3314C" w:rsidRPr="00936B73" w:rsidRDefault="00F3314C" w:rsidP="00F3314C">
            <w:pPr>
              <w:spacing w:after="0"/>
              <w:ind w:left="0"/>
              <w:rPr>
                <w:rFonts w:cs="Calibri"/>
                <w:color w:val="000000"/>
                <w:szCs w:val="24"/>
              </w:rPr>
            </w:pPr>
            <w:r w:rsidRPr="00936B73">
              <w:rPr>
                <w:rFonts w:cs="Calibri"/>
                <w:color w:val="000000"/>
                <w:szCs w:val="24"/>
              </w:rPr>
              <w:t>Computer Science Corporation</w:t>
            </w:r>
          </w:p>
        </w:tc>
        <w:tc>
          <w:tcPr>
            <w:tcW w:w="2160" w:type="dxa"/>
            <w:vAlign w:val="center"/>
          </w:tcPr>
          <w:p w14:paraId="612F4AF8" w14:textId="77777777" w:rsidR="00F3314C" w:rsidRPr="00083AC3" w:rsidRDefault="00F3314C" w:rsidP="00F3314C">
            <w:pPr>
              <w:spacing w:after="0"/>
              <w:ind w:left="0"/>
              <w:rPr>
                <w:rFonts w:cs="Calibri"/>
                <w:color w:val="000000"/>
                <w:szCs w:val="24"/>
              </w:rPr>
            </w:pPr>
            <w:r w:rsidRPr="00083AC3">
              <w:rPr>
                <w:rFonts w:cs="Calibri"/>
                <w:color w:val="000000"/>
                <w:szCs w:val="24"/>
              </w:rPr>
              <w:t>Alien ID Verification (SAVE)</w:t>
            </w:r>
          </w:p>
        </w:tc>
        <w:tc>
          <w:tcPr>
            <w:tcW w:w="5940" w:type="dxa"/>
            <w:vAlign w:val="center"/>
          </w:tcPr>
          <w:p w14:paraId="6E5BEA5A" w14:textId="77777777" w:rsidR="00F3314C" w:rsidRPr="00083AC3" w:rsidRDefault="00F3314C" w:rsidP="00F3314C">
            <w:pPr>
              <w:spacing w:after="0"/>
              <w:ind w:left="0"/>
              <w:rPr>
                <w:rFonts w:cs="Calibri"/>
                <w:color w:val="000000"/>
                <w:szCs w:val="24"/>
              </w:rPr>
            </w:pPr>
            <w:r>
              <w:rPr>
                <w:rFonts w:cs="Calibri"/>
                <w:color w:val="000000"/>
                <w:szCs w:val="24"/>
              </w:rPr>
              <w:t>Send alien IDs from claims taken for verification</w:t>
            </w:r>
          </w:p>
        </w:tc>
      </w:tr>
      <w:tr w:rsidR="00F3314C" w:rsidRPr="0062572A" w14:paraId="596CBDF5" w14:textId="77777777" w:rsidTr="005204B9">
        <w:tc>
          <w:tcPr>
            <w:tcW w:w="877" w:type="dxa"/>
            <w:vAlign w:val="center"/>
          </w:tcPr>
          <w:p w14:paraId="7748F026" w14:textId="0A6D91D0" w:rsidR="00F3314C" w:rsidRPr="0062572A" w:rsidRDefault="00F3314C" w:rsidP="00F3314C">
            <w:pPr>
              <w:spacing w:after="0"/>
              <w:ind w:left="0"/>
              <w:jc w:val="center"/>
              <w:rPr>
                <w:szCs w:val="24"/>
              </w:rPr>
            </w:pPr>
            <w:r>
              <w:rPr>
                <w:szCs w:val="22"/>
              </w:rPr>
              <w:t>6</w:t>
            </w:r>
          </w:p>
        </w:tc>
        <w:tc>
          <w:tcPr>
            <w:tcW w:w="1530" w:type="dxa"/>
            <w:vAlign w:val="center"/>
          </w:tcPr>
          <w:p w14:paraId="4431CD1A" w14:textId="77777777" w:rsidR="00F3314C" w:rsidRPr="0062572A" w:rsidRDefault="00F3314C" w:rsidP="00F3314C">
            <w:pPr>
              <w:spacing w:after="0"/>
              <w:ind w:left="0"/>
              <w:rPr>
                <w:szCs w:val="24"/>
              </w:rPr>
            </w:pPr>
            <w:r w:rsidRPr="0062572A">
              <w:rPr>
                <w:rFonts w:cs="Calibri"/>
                <w:color w:val="000000"/>
                <w:szCs w:val="24"/>
              </w:rPr>
              <w:t>Send</w:t>
            </w:r>
          </w:p>
        </w:tc>
        <w:tc>
          <w:tcPr>
            <w:tcW w:w="1620" w:type="dxa"/>
            <w:vAlign w:val="center"/>
          </w:tcPr>
          <w:p w14:paraId="45963C7B" w14:textId="77777777" w:rsidR="00F3314C" w:rsidRPr="0062572A" w:rsidRDefault="00F3314C" w:rsidP="00F3314C">
            <w:pPr>
              <w:spacing w:after="0"/>
              <w:ind w:left="0"/>
              <w:rPr>
                <w:szCs w:val="24"/>
              </w:rPr>
            </w:pPr>
            <w:r w:rsidRPr="0062572A">
              <w:rPr>
                <w:rFonts w:cs="Calibri"/>
                <w:color w:val="000000"/>
                <w:szCs w:val="24"/>
              </w:rPr>
              <w:t>Batch / Daily</w:t>
            </w:r>
          </w:p>
        </w:tc>
        <w:tc>
          <w:tcPr>
            <w:tcW w:w="2430" w:type="dxa"/>
            <w:vAlign w:val="center"/>
          </w:tcPr>
          <w:p w14:paraId="2F9B12F3" w14:textId="77777777" w:rsidR="00F3314C" w:rsidRPr="0062572A" w:rsidRDefault="00F3314C" w:rsidP="00F3314C">
            <w:pPr>
              <w:spacing w:after="0"/>
              <w:ind w:left="0"/>
              <w:rPr>
                <w:szCs w:val="24"/>
              </w:rPr>
            </w:pPr>
            <w:r>
              <w:rPr>
                <w:rFonts w:cs="Calibri"/>
                <w:color w:val="000000"/>
                <w:szCs w:val="24"/>
              </w:rPr>
              <w:t>Debit Card Vendor (currently US Bank)</w:t>
            </w:r>
          </w:p>
        </w:tc>
        <w:tc>
          <w:tcPr>
            <w:tcW w:w="2160" w:type="dxa"/>
            <w:vAlign w:val="center"/>
          </w:tcPr>
          <w:p w14:paraId="6B32CD11" w14:textId="77777777" w:rsidR="00F3314C" w:rsidRPr="0062572A" w:rsidRDefault="00F3314C" w:rsidP="00F3314C">
            <w:pPr>
              <w:spacing w:after="0"/>
              <w:ind w:left="0"/>
              <w:rPr>
                <w:szCs w:val="24"/>
              </w:rPr>
            </w:pPr>
            <w:r w:rsidRPr="0062572A">
              <w:rPr>
                <w:rFonts w:cs="Calibri"/>
                <w:color w:val="000000"/>
                <w:szCs w:val="24"/>
              </w:rPr>
              <w:t>Debit card enrollment</w:t>
            </w:r>
          </w:p>
        </w:tc>
        <w:tc>
          <w:tcPr>
            <w:tcW w:w="5940" w:type="dxa"/>
            <w:vAlign w:val="center"/>
          </w:tcPr>
          <w:p w14:paraId="16F1E862" w14:textId="77777777" w:rsidR="00F3314C" w:rsidRPr="0062572A" w:rsidRDefault="00F3314C" w:rsidP="00F3314C">
            <w:pPr>
              <w:spacing w:after="0"/>
              <w:ind w:left="0"/>
              <w:rPr>
                <w:szCs w:val="24"/>
              </w:rPr>
            </w:pPr>
            <w:r>
              <w:rPr>
                <w:rFonts w:cs="Calibri"/>
                <w:color w:val="000000"/>
                <w:szCs w:val="24"/>
              </w:rPr>
              <w:t>Enrollment and address maintenance data shared with debit card vendor to establish accounts and keep addresses current</w:t>
            </w:r>
          </w:p>
        </w:tc>
      </w:tr>
      <w:tr w:rsidR="00F3314C" w:rsidRPr="0062572A" w14:paraId="5A139AAB" w14:textId="77777777" w:rsidTr="005204B9">
        <w:tc>
          <w:tcPr>
            <w:tcW w:w="877" w:type="dxa"/>
            <w:vAlign w:val="center"/>
          </w:tcPr>
          <w:p w14:paraId="3BC04F59" w14:textId="3FB6529B" w:rsidR="00F3314C" w:rsidRPr="0062572A" w:rsidRDefault="00F3314C" w:rsidP="00F3314C">
            <w:pPr>
              <w:spacing w:after="0"/>
              <w:ind w:left="0"/>
              <w:jc w:val="center"/>
              <w:rPr>
                <w:rFonts w:cs="Calibri"/>
                <w:color w:val="000000"/>
                <w:szCs w:val="24"/>
              </w:rPr>
            </w:pPr>
            <w:r>
              <w:rPr>
                <w:color w:val="000000"/>
                <w:szCs w:val="22"/>
              </w:rPr>
              <w:lastRenderedPageBreak/>
              <w:t>7</w:t>
            </w:r>
          </w:p>
        </w:tc>
        <w:tc>
          <w:tcPr>
            <w:tcW w:w="1530" w:type="dxa"/>
            <w:vAlign w:val="center"/>
          </w:tcPr>
          <w:p w14:paraId="5BB0E006" w14:textId="77777777" w:rsidR="00F3314C" w:rsidRPr="0062572A" w:rsidRDefault="00F3314C" w:rsidP="00F3314C">
            <w:pPr>
              <w:spacing w:after="0"/>
              <w:ind w:left="0"/>
              <w:rPr>
                <w:szCs w:val="24"/>
              </w:rPr>
            </w:pPr>
            <w:r>
              <w:rPr>
                <w:rFonts w:cs="Calibri"/>
                <w:color w:val="000000"/>
                <w:szCs w:val="24"/>
              </w:rPr>
              <w:t>Receive</w:t>
            </w:r>
          </w:p>
        </w:tc>
        <w:tc>
          <w:tcPr>
            <w:tcW w:w="1620" w:type="dxa"/>
            <w:vAlign w:val="center"/>
          </w:tcPr>
          <w:p w14:paraId="2B8F2617" w14:textId="77777777" w:rsidR="00F3314C" w:rsidRPr="0062572A" w:rsidRDefault="00F3314C" w:rsidP="00F3314C">
            <w:pPr>
              <w:spacing w:after="0"/>
              <w:ind w:left="0"/>
              <w:rPr>
                <w:szCs w:val="24"/>
              </w:rPr>
            </w:pPr>
            <w:r>
              <w:rPr>
                <w:rFonts w:cs="Calibri"/>
                <w:color w:val="000000"/>
                <w:szCs w:val="24"/>
              </w:rPr>
              <w:t>Batch</w:t>
            </w:r>
          </w:p>
        </w:tc>
        <w:tc>
          <w:tcPr>
            <w:tcW w:w="2430" w:type="dxa"/>
            <w:vAlign w:val="center"/>
          </w:tcPr>
          <w:p w14:paraId="2DB50704" w14:textId="568B4B17" w:rsidR="00F3314C" w:rsidRPr="0062572A" w:rsidRDefault="00150C74" w:rsidP="00F3314C">
            <w:pPr>
              <w:spacing w:after="0"/>
              <w:ind w:left="0"/>
              <w:rPr>
                <w:szCs w:val="24"/>
              </w:rPr>
            </w:pPr>
            <w:r>
              <w:rPr>
                <w:rFonts w:cs="Calibri"/>
                <w:color w:val="000000"/>
                <w:szCs w:val="24"/>
              </w:rPr>
              <w:t>Debit Card Vendor</w:t>
            </w:r>
          </w:p>
        </w:tc>
        <w:tc>
          <w:tcPr>
            <w:tcW w:w="2160" w:type="dxa"/>
            <w:vAlign w:val="center"/>
          </w:tcPr>
          <w:p w14:paraId="14DAE2F2" w14:textId="77777777" w:rsidR="00F3314C" w:rsidRPr="0062572A" w:rsidRDefault="00F3314C" w:rsidP="00F3314C">
            <w:pPr>
              <w:spacing w:after="0"/>
              <w:ind w:left="0"/>
              <w:rPr>
                <w:szCs w:val="24"/>
              </w:rPr>
            </w:pPr>
            <w:r>
              <w:rPr>
                <w:rFonts w:cs="Calibri"/>
                <w:color w:val="000000"/>
                <w:szCs w:val="24"/>
              </w:rPr>
              <w:t>Debit Card Report</w:t>
            </w:r>
          </w:p>
        </w:tc>
        <w:tc>
          <w:tcPr>
            <w:tcW w:w="5940" w:type="dxa"/>
            <w:vAlign w:val="center"/>
          </w:tcPr>
          <w:p w14:paraId="2C412420" w14:textId="77777777" w:rsidR="00F3314C" w:rsidRPr="00253C43" w:rsidRDefault="00F3314C" w:rsidP="00F3314C">
            <w:pPr>
              <w:spacing w:after="0"/>
              <w:ind w:left="0"/>
              <w:rPr>
                <w:rFonts w:cs="Calibri"/>
                <w:color w:val="000000"/>
                <w:szCs w:val="24"/>
              </w:rPr>
            </w:pPr>
            <w:r w:rsidRPr="00253C43">
              <w:rPr>
                <w:rFonts w:cs="Calibri"/>
                <w:color w:val="000000"/>
                <w:szCs w:val="24"/>
              </w:rPr>
              <w:t xml:space="preserve">Various reports generated by debit card vendor </w:t>
            </w:r>
          </w:p>
        </w:tc>
      </w:tr>
      <w:tr w:rsidR="00150C74" w:rsidRPr="0062572A" w14:paraId="1C1F7DC6" w14:textId="77777777" w:rsidTr="005204B9">
        <w:tc>
          <w:tcPr>
            <w:tcW w:w="877" w:type="dxa"/>
            <w:vAlign w:val="center"/>
          </w:tcPr>
          <w:p w14:paraId="3D21710E" w14:textId="2317EF7C" w:rsidR="00150C74" w:rsidRPr="0062572A" w:rsidRDefault="00150C74" w:rsidP="00150C74">
            <w:pPr>
              <w:spacing w:after="0"/>
              <w:ind w:left="0"/>
              <w:jc w:val="center"/>
              <w:rPr>
                <w:szCs w:val="24"/>
              </w:rPr>
            </w:pPr>
            <w:r>
              <w:rPr>
                <w:szCs w:val="22"/>
              </w:rPr>
              <w:t>8</w:t>
            </w:r>
          </w:p>
        </w:tc>
        <w:tc>
          <w:tcPr>
            <w:tcW w:w="1530" w:type="dxa"/>
            <w:vAlign w:val="center"/>
          </w:tcPr>
          <w:p w14:paraId="46FB053F" w14:textId="77777777" w:rsidR="00150C74" w:rsidRPr="00083AC3" w:rsidRDefault="00150C74" w:rsidP="00150C74">
            <w:pPr>
              <w:spacing w:after="0"/>
              <w:ind w:left="0"/>
              <w:rPr>
                <w:rFonts w:cs="Calibri"/>
                <w:color w:val="000000"/>
                <w:szCs w:val="24"/>
              </w:rPr>
            </w:pPr>
            <w:r w:rsidRPr="00083AC3">
              <w:rPr>
                <w:rFonts w:cs="Calibri"/>
                <w:color w:val="000000"/>
                <w:szCs w:val="24"/>
              </w:rPr>
              <w:t>Receive</w:t>
            </w:r>
          </w:p>
        </w:tc>
        <w:tc>
          <w:tcPr>
            <w:tcW w:w="1620" w:type="dxa"/>
            <w:vAlign w:val="center"/>
          </w:tcPr>
          <w:p w14:paraId="27050F97" w14:textId="77777777" w:rsidR="00150C74" w:rsidRPr="00083AC3" w:rsidRDefault="00150C74" w:rsidP="00150C74">
            <w:pPr>
              <w:spacing w:after="0"/>
              <w:ind w:left="0"/>
              <w:rPr>
                <w:rFonts w:cs="Calibri"/>
                <w:color w:val="000000"/>
                <w:szCs w:val="24"/>
              </w:rPr>
            </w:pPr>
            <w:r>
              <w:rPr>
                <w:rFonts w:cs="Calibri"/>
                <w:color w:val="000000"/>
                <w:szCs w:val="24"/>
              </w:rPr>
              <w:t>Pending Batch</w:t>
            </w:r>
            <w:r w:rsidRPr="00083AC3">
              <w:rPr>
                <w:rFonts w:cs="Calibri"/>
                <w:color w:val="000000"/>
                <w:szCs w:val="24"/>
              </w:rPr>
              <w:t>/ Daily</w:t>
            </w:r>
          </w:p>
        </w:tc>
        <w:tc>
          <w:tcPr>
            <w:tcW w:w="2430" w:type="dxa"/>
            <w:vAlign w:val="center"/>
          </w:tcPr>
          <w:p w14:paraId="0833D532" w14:textId="0856E6B8" w:rsidR="00150C74" w:rsidRPr="00083AC3" w:rsidRDefault="00150C74" w:rsidP="00150C74">
            <w:pPr>
              <w:spacing w:after="0"/>
              <w:ind w:left="0"/>
              <w:rPr>
                <w:rFonts w:cs="Calibri"/>
                <w:color w:val="000000"/>
                <w:szCs w:val="24"/>
              </w:rPr>
            </w:pPr>
            <w:r>
              <w:rPr>
                <w:rFonts w:cs="Calibri"/>
                <w:color w:val="000000"/>
                <w:szCs w:val="24"/>
              </w:rPr>
              <w:t>Debit Card Vendor</w:t>
            </w:r>
          </w:p>
        </w:tc>
        <w:tc>
          <w:tcPr>
            <w:tcW w:w="2160" w:type="dxa"/>
            <w:vAlign w:val="center"/>
          </w:tcPr>
          <w:p w14:paraId="4786A1A0" w14:textId="77777777" w:rsidR="00150C74" w:rsidRPr="00083AC3" w:rsidRDefault="00150C74" w:rsidP="00150C74">
            <w:pPr>
              <w:spacing w:after="0"/>
              <w:ind w:left="0"/>
              <w:rPr>
                <w:rFonts w:cs="Calibri"/>
                <w:color w:val="000000"/>
                <w:szCs w:val="24"/>
              </w:rPr>
            </w:pPr>
            <w:r w:rsidRPr="00083AC3">
              <w:rPr>
                <w:rFonts w:cs="Calibri"/>
                <w:color w:val="000000"/>
                <w:szCs w:val="24"/>
              </w:rPr>
              <w:t>Debit card void by statute process</w:t>
            </w:r>
          </w:p>
        </w:tc>
        <w:tc>
          <w:tcPr>
            <w:tcW w:w="5940" w:type="dxa"/>
            <w:vAlign w:val="center"/>
          </w:tcPr>
          <w:p w14:paraId="12F35563" w14:textId="77777777" w:rsidR="00150C74" w:rsidRPr="00083AC3" w:rsidRDefault="00150C74" w:rsidP="00150C74">
            <w:pPr>
              <w:spacing w:after="0"/>
              <w:ind w:left="0"/>
              <w:rPr>
                <w:rFonts w:cs="Calibri"/>
                <w:color w:val="000000"/>
                <w:szCs w:val="24"/>
              </w:rPr>
            </w:pPr>
            <w:r w:rsidRPr="00936B73">
              <w:rPr>
                <w:rFonts w:cs="Calibri"/>
                <w:color w:val="000000"/>
                <w:szCs w:val="24"/>
              </w:rPr>
              <w:t xml:space="preserve">Process </w:t>
            </w:r>
            <w:r>
              <w:rPr>
                <w:rFonts w:cs="Calibri"/>
                <w:color w:val="000000"/>
                <w:szCs w:val="24"/>
              </w:rPr>
              <w:t>debit card payments for cards not activated at the one-year anniversary of issuance</w:t>
            </w:r>
          </w:p>
        </w:tc>
      </w:tr>
      <w:tr w:rsidR="00150C74" w:rsidRPr="0062572A" w14:paraId="5849E534" w14:textId="77777777" w:rsidTr="005204B9">
        <w:tc>
          <w:tcPr>
            <w:tcW w:w="877" w:type="dxa"/>
            <w:vAlign w:val="center"/>
          </w:tcPr>
          <w:p w14:paraId="7F28E15A" w14:textId="26B33B1A" w:rsidR="00150C74" w:rsidRPr="0062572A" w:rsidRDefault="00150C74" w:rsidP="00150C74">
            <w:pPr>
              <w:spacing w:after="0"/>
              <w:ind w:left="0"/>
              <w:jc w:val="center"/>
              <w:rPr>
                <w:szCs w:val="24"/>
              </w:rPr>
            </w:pPr>
            <w:r>
              <w:rPr>
                <w:color w:val="000000"/>
                <w:szCs w:val="22"/>
              </w:rPr>
              <w:t>9</w:t>
            </w:r>
          </w:p>
        </w:tc>
        <w:tc>
          <w:tcPr>
            <w:tcW w:w="1530" w:type="dxa"/>
            <w:vAlign w:val="center"/>
          </w:tcPr>
          <w:p w14:paraId="5E5A4463" w14:textId="77777777" w:rsidR="00150C74" w:rsidRPr="004C5185" w:rsidRDefault="00150C74" w:rsidP="00150C74">
            <w:pPr>
              <w:spacing w:after="0"/>
              <w:ind w:left="0"/>
              <w:rPr>
                <w:rFonts w:cs="Calibri"/>
                <w:color w:val="000000"/>
                <w:szCs w:val="24"/>
              </w:rPr>
            </w:pPr>
            <w:r>
              <w:rPr>
                <w:rFonts w:cs="Calibri"/>
                <w:color w:val="000000"/>
                <w:szCs w:val="24"/>
              </w:rPr>
              <w:t>Both</w:t>
            </w:r>
          </w:p>
        </w:tc>
        <w:tc>
          <w:tcPr>
            <w:tcW w:w="1620" w:type="dxa"/>
            <w:vAlign w:val="center"/>
          </w:tcPr>
          <w:p w14:paraId="47FE6C32" w14:textId="77777777" w:rsidR="00150C74" w:rsidRPr="0062572A" w:rsidRDefault="00150C74" w:rsidP="00150C74">
            <w:pPr>
              <w:spacing w:after="0"/>
              <w:ind w:left="0"/>
              <w:rPr>
                <w:szCs w:val="24"/>
              </w:rPr>
            </w:pPr>
            <w:r w:rsidRPr="0062572A">
              <w:rPr>
                <w:rFonts w:cs="Calibri"/>
                <w:color w:val="000000"/>
                <w:szCs w:val="24"/>
              </w:rPr>
              <w:t>Batch / Daily</w:t>
            </w:r>
          </w:p>
        </w:tc>
        <w:tc>
          <w:tcPr>
            <w:tcW w:w="2430" w:type="dxa"/>
            <w:vAlign w:val="center"/>
          </w:tcPr>
          <w:p w14:paraId="06899907" w14:textId="1687D04B" w:rsidR="00150C74" w:rsidRPr="0062572A" w:rsidRDefault="00150C74" w:rsidP="00150C74">
            <w:pPr>
              <w:spacing w:after="0"/>
              <w:ind w:left="0"/>
              <w:rPr>
                <w:szCs w:val="24"/>
              </w:rPr>
            </w:pPr>
            <w:r>
              <w:rPr>
                <w:rFonts w:cs="Calibri"/>
                <w:color w:val="000000"/>
                <w:szCs w:val="24"/>
              </w:rPr>
              <w:t>Debit Card Vendor</w:t>
            </w:r>
          </w:p>
        </w:tc>
        <w:tc>
          <w:tcPr>
            <w:tcW w:w="2160" w:type="dxa"/>
            <w:vAlign w:val="center"/>
          </w:tcPr>
          <w:p w14:paraId="67C0535E" w14:textId="77777777" w:rsidR="00150C74" w:rsidRPr="0062572A" w:rsidRDefault="00150C74" w:rsidP="00150C74">
            <w:pPr>
              <w:spacing w:after="0"/>
              <w:ind w:left="0"/>
              <w:rPr>
                <w:szCs w:val="24"/>
              </w:rPr>
            </w:pPr>
            <w:r w:rsidRPr="0062572A">
              <w:rPr>
                <w:rFonts w:cs="Calibri"/>
                <w:color w:val="000000"/>
                <w:szCs w:val="24"/>
              </w:rPr>
              <w:t>Enrollment File Respons</w:t>
            </w:r>
            <w:r>
              <w:rPr>
                <w:rFonts w:cs="Calibri"/>
                <w:color w:val="000000"/>
                <w:szCs w:val="24"/>
              </w:rPr>
              <w:t>e</w:t>
            </w:r>
          </w:p>
        </w:tc>
        <w:tc>
          <w:tcPr>
            <w:tcW w:w="5940" w:type="dxa"/>
            <w:vAlign w:val="center"/>
          </w:tcPr>
          <w:p w14:paraId="584B3555" w14:textId="77777777" w:rsidR="00150C74" w:rsidRPr="0062572A" w:rsidRDefault="00150C74" w:rsidP="00150C74">
            <w:pPr>
              <w:spacing w:after="0"/>
              <w:ind w:left="0"/>
              <w:rPr>
                <w:szCs w:val="24"/>
              </w:rPr>
            </w:pPr>
            <w:r>
              <w:rPr>
                <w:rFonts w:cs="Calibri"/>
                <w:color w:val="000000"/>
                <w:szCs w:val="24"/>
              </w:rPr>
              <w:t>Retrieve account numbers established and verification of address updates</w:t>
            </w:r>
          </w:p>
        </w:tc>
      </w:tr>
      <w:tr w:rsidR="00150C74" w:rsidRPr="0062572A" w14:paraId="6ADCA78C" w14:textId="77777777" w:rsidTr="005204B9">
        <w:tc>
          <w:tcPr>
            <w:tcW w:w="877" w:type="dxa"/>
            <w:vAlign w:val="center"/>
          </w:tcPr>
          <w:p w14:paraId="25EAE83D" w14:textId="221B0E62" w:rsidR="00150C74" w:rsidRPr="0062572A" w:rsidRDefault="00150C74" w:rsidP="00150C74">
            <w:pPr>
              <w:spacing w:after="0"/>
              <w:ind w:left="0"/>
              <w:jc w:val="center"/>
              <w:rPr>
                <w:szCs w:val="24"/>
              </w:rPr>
            </w:pPr>
            <w:r>
              <w:rPr>
                <w:szCs w:val="22"/>
              </w:rPr>
              <w:t>10</w:t>
            </w:r>
          </w:p>
        </w:tc>
        <w:tc>
          <w:tcPr>
            <w:tcW w:w="1530" w:type="dxa"/>
            <w:vAlign w:val="center"/>
          </w:tcPr>
          <w:p w14:paraId="3FDC38AA" w14:textId="77777777" w:rsidR="00150C74" w:rsidRPr="0062572A" w:rsidRDefault="00150C74" w:rsidP="00150C74">
            <w:pPr>
              <w:spacing w:after="0"/>
              <w:ind w:left="0"/>
              <w:rPr>
                <w:szCs w:val="24"/>
                <w:highlight w:val="yellow"/>
              </w:rPr>
            </w:pPr>
            <w:r w:rsidRPr="0062572A">
              <w:rPr>
                <w:rFonts w:cs="Calibri"/>
                <w:color w:val="000000"/>
                <w:szCs w:val="24"/>
              </w:rPr>
              <w:t>Send</w:t>
            </w:r>
          </w:p>
        </w:tc>
        <w:tc>
          <w:tcPr>
            <w:tcW w:w="1620" w:type="dxa"/>
            <w:vAlign w:val="center"/>
          </w:tcPr>
          <w:p w14:paraId="7E7696B0" w14:textId="77777777" w:rsidR="00150C74" w:rsidRPr="0062572A" w:rsidRDefault="00150C74" w:rsidP="00150C74">
            <w:pPr>
              <w:spacing w:after="0"/>
              <w:ind w:left="0"/>
              <w:rPr>
                <w:szCs w:val="24"/>
                <w:highlight w:val="yellow"/>
              </w:rPr>
            </w:pPr>
            <w:r>
              <w:rPr>
                <w:rFonts w:cs="Calibri"/>
                <w:color w:val="000000"/>
                <w:szCs w:val="24"/>
              </w:rPr>
              <w:t>Batch</w:t>
            </w:r>
            <w:r w:rsidRPr="0062572A">
              <w:rPr>
                <w:rFonts w:cs="Calibri"/>
                <w:color w:val="000000"/>
                <w:szCs w:val="24"/>
              </w:rPr>
              <w:t>/ Daily</w:t>
            </w:r>
          </w:p>
        </w:tc>
        <w:tc>
          <w:tcPr>
            <w:tcW w:w="2430" w:type="dxa"/>
            <w:vAlign w:val="center"/>
          </w:tcPr>
          <w:p w14:paraId="267FE256" w14:textId="77777777" w:rsidR="00150C74" w:rsidRPr="00083AC3" w:rsidRDefault="00150C74" w:rsidP="00150C74">
            <w:pPr>
              <w:spacing w:after="0"/>
              <w:ind w:left="0"/>
              <w:rPr>
                <w:rFonts w:cs="Calibri"/>
                <w:color w:val="000000"/>
                <w:szCs w:val="24"/>
              </w:rPr>
            </w:pPr>
            <w:r w:rsidRPr="0062572A">
              <w:rPr>
                <w:rFonts w:cs="Calibri"/>
                <w:color w:val="000000"/>
                <w:szCs w:val="24"/>
              </w:rPr>
              <w:t>Dept. of Army Economic Manpower</w:t>
            </w:r>
          </w:p>
        </w:tc>
        <w:tc>
          <w:tcPr>
            <w:tcW w:w="2160" w:type="dxa"/>
            <w:vAlign w:val="center"/>
          </w:tcPr>
          <w:p w14:paraId="131AD596" w14:textId="77777777" w:rsidR="00150C74" w:rsidRPr="0062572A" w:rsidRDefault="00150C74" w:rsidP="00150C74">
            <w:pPr>
              <w:spacing w:after="0"/>
              <w:ind w:left="0"/>
              <w:rPr>
                <w:szCs w:val="24"/>
                <w:highlight w:val="yellow"/>
              </w:rPr>
            </w:pPr>
            <w:r w:rsidRPr="0062572A">
              <w:rPr>
                <w:rFonts w:cs="Calibri"/>
                <w:color w:val="000000"/>
                <w:szCs w:val="24"/>
              </w:rPr>
              <w:t>Electronic version of BD610/615</w:t>
            </w:r>
          </w:p>
        </w:tc>
        <w:tc>
          <w:tcPr>
            <w:tcW w:w="5940" w:type="dxa"/>
            <w:vAlign w:val="center"/>
          </w:tcPr>
          <w:p w14:paraId="078094E4" w14:textId="721209D9" w:rsidR="00150C74" w:rsidRPr="0062572A" w:rsidRDefault="00150C74" w:rsidP="00150C74">
            <w:pPr>
              <w:spacing w:after="0"/>
              <w:ind w:left="0"/>
              <w:rPr>
                <w:szCs w:val="24"/>
                <w:highlight w:val="yellow"/>
              </w:rPr>
            </w:pPr>
            <w:r w:rsidRPr="0062572A">
              <w:rPr>
                <w:rFonts w:cs="Calibri"/>
                <w:color w:val="000000"/>
                <w:szCs w:val="24"/>
              </w:rPr>
              <w:t xml:space="preserve">Electronic Version of </w:t>
            </w:r>
            <w:r>
              <w:rPr>
                <w:rFonts w:cs="Calibri"/>
                <w:color w:val="000000"/>
                <w:szCs w:val="24"/>
              </w:rPr>
              <w:t>notification of application for unemployment benefits (initial claim) and request for work separation information (additional claim)</w:t>
            </w:r>
          </w:p>
        </w:tc>
      </w:tr>
      <w:tr w:rsidR="00150C74" w:rsidRPr="0062572A" w14:paraId="5F68D86B" w14:textId="77777777" w:rsidTr="005204B9">
        <w:tc>
          <w:tcPr>
            <w:tcW w:w="877" w:type="dxa"/>
            <w:vAlign w:val="center"/>
          </w:tcPr>
          <w:p w14:paraId="2E1492F5" w14:textId="3745E611" w:rsidR="00150C74" w:rsidRPr="0062572A" w:rsidRDefault="00150C74" w:rsidP="00150C74">
            <w:pPr>
              <w:spacing w:after="0"/>
              <w:ind w:left="0"/>
              <w:jc w:val="center"/>
              <w:rPr>
                <w:szCs w:val="24"/>
              </w:rPr>
            </w:pPr>
            <w:r>
              <w:rPr>
                <w:color w:val="000000"/>
                <w:szCs w:val="22"/>
              </w:rPr>
              <w:t>11</w:t>
            </w:r>
          </w:p>
        </w:tc>
        <w:tc>
          <w:tcPr>
            <w:tcW w:w="1530" w:type="dxa"/>
            <w:vAlign w:val="center"/>
          </w:tcPr>
          <w:p w14:paraId="66568676" w14:textId="77777777" w:rsidR="00150C74" w:rsidRPr="0062572A" w:rsidRDefault="00150C74" w:rsidP="00150C74">
            <w:pPr>
              <w:spacing w:after="0"/>
              <w:ind w:left="0"/>
              <w:rPr>
                <w:szCs w:val="24"/>
              </w:rPr>
            </w:pPr>
            <w:r w:rsidRPr="0062572A">
              <w:rPr>
                <w:rFonts w:cs="Calibri"/>
                <w:color w:val="000000"/>
                <w:szCs w:val="24"/>
              </w:rPr>
              <w:t>Send</w:t>
            </w:r>
          </w:p>
        </w:tc>
        <w:tc>
          <w:tcPr>
            <w:tcW w:w="1620" w:type="dxa"/>
            <w:vAlign w:val="center"/>
          </w:tcPr>
          <w:p w14:paraId="20714552" w14:textId="090FEFEF" w:rsidR="00150C74" w:rsidRPr="0062572A" w:rsidRDefault="00150C74" w:rsidP="00150C74">
            <w:pPr>
              <w:spacing w:after="0"/>
              <w:ind w:left="0"/>
              <w:rPr>
                <w:szCs w:val="24"/>
              </w:rPr>
            </w:pPr>
            <w:r w:rsidRPr="0062572A">
              <w:rPr>
                <w:rFonts w:cs="Calibri"/>
                <w:color w:val="000000"/>
                <w:szCs w:val="24"/>
              </w:rPr>
              <w:t>Manual</w:t>
            </w:r>
          </w:p>
        </w:tc>
        <w:tc>
          <w:tcPr>
            <w:tcW w:w="2430" w:type="dxa"/>
            <w:vAlign w:val="center"/>
          </w:tcPr>
          <w:p w14:paraId="347D1635" w14:textId="77777777" w:rsidR="00150C74" w:rsidRPr="0062572A" w:rsidRDefault="00150C74" w:rsidP="00150C74">
            <w:pPr>
              <w:spacing w:after="0"/>
              <w:ind w:left="0"/>
              <w:rPr>
                <w:szCs w:val="24"/>
              </w:rPr>
            </w:pPr>
            <w:r w:rsidRPr="0062572A">
              <w:rPr>
                <w:rFonts w:cs="Calibri"/>
                <w:color w:val="000000"/>
                <w:szCs w:val="24"/>
              </w:rPr>
              <w:t>Dept. of Army Economic Manpower</w:t>
            </w:r>
          </w:p>
        </w:tc>
        <w:tc>
          <w:tcPr>
            <w:tcW w:w="2160" w:type="dxa"/>
            <w:vAlign w:val="center"/>
          </w:tcPr>
          <w:p w14:paraId="3DC9CAAB" w14:textId="77777777" w:rsidR="00150C74" w:rsidRPr="0062572A" w:rsidRDefault="00150C74" w:rsidP="00150C74">
            <w:pPr>
              <w:spacing w:after="0"/>
              <w:ind w:left="0"/>
              <w:rPr>
                <w:szCs w:val="24"/>
              </w:rPr>
            </w:pPr>
            <w:r w:rsidRPr="0062572A">
              <w:rPr>
                <w:rFonts w:cs="Calibri"/>
                <w:color w:val="000000"/>
                <w:szCs w:val="24"/>
              </w:rPr>
              <w:t>Electronic version of BE515E/F</w:t>
            </w:r>
          </w:p>
        </w:tc>
        <w:tc>
          <w:tcPr>
            <w:tcW w:w="5940" w:type="dxa"/>
            <w:vAlign w:val="center"/>
          </w:tcPr>
          <w:p w14:paraId="0170CCAE" w14:textId="77777777" w:rsidR="00150C74" w:rsidRPr="0062572A" w:rsidRDefault="00150C74" w:rsidP="00150C74">
            <w:pPr>
              <w:spacing w:after="0"/>
              <w:ind w:left="0"/>
              <w:rPr>
                <w:szCs w:val="24"/>
              </w:rPr>
            </w:pPr>
            <w:r w:rsidRPr="0062572A">
              <w:rPr>
                <w:rFonts w:cs="Calibri"/>
                <w:color w:val="000000"/>
                <w:szCs w:val="24"/>
              </w:rPr>
              <w:t xml:space="preserve">Electronic Version of </w:t>
            </w:r>
            <w:r>
              <w:rPr>
                <w:rFonts w:cs="Calibri"/>
                <w:color w:val="000000"/>
                <w:szCs w:val="24"/>
              </w:rPr>
              <w:t>Quarterly detail of benefits paid to former federal employees</w:t>
            </w:r>
          </w:p>
        </w:tc>
      </w:tr>
      <w:tr w:rsidR="00150C74" w:rsidRPr="0062572A" w14:paraId="1B7FF1F5" w14:textId="77777777" w:rsidTr="005204B9">
        <w:tc>
          <w:tcPr>
            <w:tcW w:w="877" w:type="dxa"/>
            <w:vAlign w:val="center"/>
          </w:tcPr>
          <w:p w14:paraId="54437D54" w14:textId="5405FFCA" w:rsidR="00150C74" w:rsidRPr="0062572A" w:rsidRDefault="00150C74" w:rsidP="00150C74">
            <w:pPr>
              <w:spacing w:after="0"/>
              <w:ind w:left="0"/>
              <w:jc w:val="center"/>
              <w:rPr>
                <w:rFonts w:cs="Calibri"/>
                <w:color w:val="000000"/>
                <w:szCs w:val="24"/>
              </w:rPr>
            </w:pPr>
            <w:r>
              <w:rPr>
                <w:szCs w:val="22"/>
              </w:rPr>
              <w:t>12</w:t>
            </w:r>
          </w:p>
        </w:tc>
        <w:tc>
          <w:tcPr>
            <w:tcW w:w="1530" w:type="dxa"/>
            <w:vAlign w:val="center"/>
          </w:tcPr>
          <w:p w14:paraId="3C2BD981" w14:textId="77777777" w:rsidR="00150C74" w:rsidRPr="0062572A" w:rsidRDefault="00150C74" w:rsidP="00150C74">
            <w:pPr>
              <w:spacing w:after="0"/>
              <w:ind w:left="0"/>
              <w:rPr>
                <w:szCs w:val="24"/>
              </w:rPr>
            </w:pPr>
            <w:r w:rsidRPr="0062572A">
              <w:rPr>
                <w:rFonts w:cs="Calibri"/>
                <w:color w:val="000000"/>
                <w:szCs w:val="24"/>
              </w:rPr>
              <w:t>Send</w:t>
            </w:r>
          </w:p>
        </w:tc>
        <w:tc>
          <w:tcPr>
            <w:tcW w:w="1620" w:type="dxa"/>
            <w:vAlign w:val="center"/>
          </w:tcPr>
          <w:p w14:paraId="79440978" w14:textId="77777777" w:rsidR="00150C74" w:rsidRPr="0062572A" w:rsidRDefault="00150C74" w:rsidP="00150C74">
            <w:pPr>
              <w:spacing w:after="0"/>
              <w:ind w:left="0"/>
              <w:rPr>
                <w:szCs w:val="24"/>
              </w:rPr>
            </w:pPr>
            <w:r w:rsidRPr="0062572A">
              <w:rPr>
                <w:rFonts w:cs="Calibri"/>
                <w:color w:val="000000"/>
                <w:szCs w:val="24"/>
              </w:rPr>
              <w:t>Batch / Sunday</w:t>
            </w:r>
          </w:p>
        </w:tc>
        <w:tc>
          <w:tcPr>
            <w:tcW w:w="2430" w:type="dxa"/>
            <w:vAlign w:val="center"/>
          </w:tcPr>
          <w:p w14:paraId="422C381B" w14:textId="77777777" w:rsidR="00150C74" w:rsidRPr="0062572A" w:rsidRDefault="00150C74" w:rsidP="00150C74">
            <w:pPr>
              <w:spacing w:after="0"/>
              <w:ind w:left="0"/>
              <w:rPr>
                <w:szCs w:val="24"/>
              </w:rPr>
            </w:pPr>
            <w:r w:rsidRPr="0062572A">
              <w:rPr>
                <w:rFonts w:cs="Calibri"/>
                <w:color w:val="000000"/>
                <w:szCs w:val="24"/>
              </w:rPr>
              <w:t>DOL</w:t>
            </w:r>
          </w:p>
        </w:tc>
        <w:tc>
          <w:tcPr>
            <w:tcW w:w="2160" w:type="dxa"/>
            <w:vAlign w:val="center"/>
          </w:tcPr>
          <w:p w14:paraId="357132DC" w14:textId="77777777" w:rsidR="00150C74" w:rsidRPr="0062572A" w:rsidRDefault="00150C74" w:rsidP="00150C74">
            <w:pPr>
              <w:spacing w:after="0"/>
              <w:ind w:left="0"/>
              <w:rPr>
                <w:szCs w:val="24"/>
              </w:rPr>
            </w:pPr>
            <w:r w:rsidRPr="0062572A">
              <w:rPr>
                <w:rFonts w:cs="Calibri"/>
                <w:color w:val="000000"/>
                <w:szCs w:val="24"/>
              </w:rPr>
              <w:t>ETA 563 Report</w:t>
            </w:r>
          </w:p>
        </w:tc>
        <w:tc>
          <w:tcPr>
            <w:tcW w:w="5940" w:type="dxa"/>
            <w:vAlign w:val="center"/>
          </w:tcPr>
          <w:p w14:paraId="52B8ED99" w14:textId="77777777" w:rsidR="00150C74" w:rsidRPr="0062572A" w:rsidRDefault="00150C74" w:rsidP="00150C74">
            <w:pPr>
              <w:spacing w:after="0"/>
              <w:ind w:left="0"/>
              <w:rPr>
                <w:szCs w:val="24"/>
              </w:rPr>
            </w:pPr>
            <w:r>
              <w:rPr>
                <w:rFonts w:cs="Calibri"/>
                <w:color w:val="000000"/>
                <w:szCs w:val="24"/>
              </w:rPr>
              <w:t xml:space="preserve">Generates the </w:t>
            </w:r>
            <w:r w:rsidRPr="0062572A">
              <w:rPr>
                <w:rFonts w:cs="Calibri"/>
                <w:color w:val="000000"/>
                <w:szCs w:val="24"/>
              </w:rPr>
              <w:t>ETA 563 Report</w:t>
            </w:r>
          </w:p>
        </w:tc>
      </w:tr>
      <w:tr w:rsidR="00150C74" w:rsidRPr="0062572A" w14:paraId="3002FA46" w14:textId="77777777" w:rsidTr="005204B9">
        <w:tc>
          <w:tcPr>
            <w:tcW w:w="877" w:type="dxa"/>
            <w:vAlign w:val="center"/>
          </w:tcPr>
          <w:p w14:paraId="167202A6" w14:textId="0A20760D" w:rsidR="00150C74" w:rsidRPr="0062572A" w:rsidRDefault="00150C74" w:rsidP="00150C74">
            <w:pPr>
              <w:spacing w:after="0"/>
              <w:ind w:left="0"/>
              <w:jc w:val="center"/>
              <w:rPr>
                <w:rFonts w:cs="Calibri"/>
                <w:color w:val="000000"/>
                <w:szCs w:val="24"/>
              </w:rPr>
            </w:pPr>
            <w:r>
              <w:rPr>
                <w:color w:val="000000"/>
                <w:szCs w:val="22"/>
              </w:rPr>
              <w:t>13</w:t>
            </w:r>
          </w:p>
        </w:tc>
        <w:tc>
          <w:tcPr>
            <w:tcW w:w="1530" w:type="dxa"/>
            <w:vAlign w:val="center"/>
          </w:tcPr>
          <w:p w14:paraId="2EDC4816" w14:textId="77777777" w:rsidR="00150C74" w:rsidRPr="0062572A" w:rsidRDefault="00150C74" w:rsidP="00150C74">
            <w:pPr>
              <w:spacing w:after="0"/>
              <w:ind w:left="0"/>
              <w:rPr>
                <w:szCs w:val="24"/>
              </w:rPr>
            </w:pPr>
            <w:r w:rsidRPr="0062572A">
              <w:rPr>
                <w:rFonts w:cs="Calibri"/>
                <w:color w:val="000000"/>
                <w:szCs w:val="24"/>
              </w:rPr>
              <w:t>Send</w:t>
            </w:r>
          </w:p>
        </w:tc>
        <w:tc>
          <w:tcPr>
            <w:tcW w:w="1620" w:type="dxa"/>
            <w:vAlign w:val="center"/>
          </w:tcPr>
          <w:p w14:paraId="53C64D28" w14:textId="77777777" w:rsidR="00150C74" w:rsidRPr="0062572A" w:rsidRDefault="00150C74" w:rsidP="00150C74">
            <w:pPr>
              <w:spacing w:after="0"/>
              <w:ind w:left="0"/>
              <w:rPr>
                <w:szCs w:val="24"/>
              </w:rPr>
            </w:pPr>
            <w:r w:rsidRPr="0062572A">
              <w:rPr>
                <w:rFonts w:cs="Calibri"/>
                <w:color w:val="000000"/>
                <w:szCs w:val="24"/>
              </w:rPr>
              <w:t>Batch / Quarterly</w:t>
            </w:r>
          </w:p>
        </w:tc>
        <w:tc>
          <w:tcPr>
            <w:tcW w:w="2430" w:type="dxa"/>
            <w:vAlign w:val="center"/>
          </w:tcPr>
          <w:p w14:paraId="798AD736" w14:textId="77777777" w:rsidR="00150C74" w:rsidRPr="0062572A" w:rsidRDefault="00150C74" w:rsidP="00150C74">
            <w:pPr>
              <w:spacing w:after="0"/>
              <w:ind w:left="0"/>
              <w:rPr>
                <w:szCs w:val="24"/>
              </w:rPr>
            </w:pPr>
            <w:r w:rsidRPr="0062572A">
              <w:rPr>
                <w:rFonts w:cs="Calibri"/>
                <w:color w:val="000000"/>
                <w:szCs w:val="24"/>
              </w:rPr>
              <w:t>DOL</w:t>
            </w:r>
          </w:p>
        </w:tc>
        <w:tc>
          <w:tcPr>
            <w:tcW w:w="2160" w:type="dxa"/>
            <w:vAlign w:val="center"/>
          </w:tcPr>
          <w:p w14:paraId="5E6F3118" w14:textId="77777777" w:rsidR="00150C74" w:rsidRPr="0062572A" w:rsidRDefault="00150C74" w:rsidP="00150C74">
            <w:pPr>
              <w:spacing w:after="0"/>
              <w:ind w:left="0"/>
              <w:rPr>
                <w:szCs w:val="24"/>
              </w:rPr>
            </w:pPr>
            <w:r w:rsidRPr="0062572A">
              <w:rPr>
                <w:rFonts w:cs="Calibri"/>
                <w:color w:val="000000"/>
                <w:szCs w:val="24"/>
              </w:rPr>
              <w:t>QUARTERLY ETA 563 REPORT</w:t>
            </w:r>
          </w:p>
        </w:tc>
        <w:tc>
          <w:tcPr>
            <w:tcW w:w="5940" w:type="dxa"/>
            <w:vAlign w:val="center"/>
          </w:tcPr>
          <w:p w14:paraId="6ABB56EF" w14:textId="77777777" w:rsidR="00150C74" w:rsidRPr="0062572A" w:rsidRDefault="00150C74" w:rsidP="00150C74">
            <w:pPr>
              <w:spacing w:after="0"/>
              <w:ind w:left="0"/>
              <w:rPr>
                <w:szCs w:val="24"/>
              </w:rPr>
            </w:pPr>
            <w:r w:rsidRPr="0062572A">
              <w:rPr>
                <w:rFonts w:cs="Calibri"/>
                <w:color w:val="000000"/>
                <w:szCs w:val="24"/>
              </w:rPr>
              <w:t>Generates the quarterly ETA 5</w:t>
            </w:r>
            <w:r>
              <w:rPr>
                <w:rFonts w:cs="Calibri"/>
                <w:color w:val="000000"/>
                <w:szCs w:val="24"/>
              </w:rPr>
              <w:t>63</w:t>
            </w:r>
            <w:r w:rsidRPr="0062572A">
              <w:rPr>
                <w:rFonts w:cs="Calibri"/>
                <w:color w:val="000000"/>
                <w:szCs w:val="24"/>
              </w:rPr>
              <w:t xml:space="preserve"> Report</w:t>
            </w:r>
          </w:p>
        </w:tc>
      </w:tr>
      <w:tr w:rsidR="00150C74" w:rsidRPr="0062572A" w14:paraId="26605627" w14:textId="77777777" w:rsidTr="005204B9">
        <w:tc>
          <w:tcPr>
            <w:tcW w:w="877" w:type="dxa"/>
            <w:vAlign w:val="center"/>
          </w:tcPr>
          <w:p w14:paraId="7D481509" w14:textId="1168E168" w:rsidR="00150C74" w:rsidRPr="0062572A" w:rsidRDefault="00150C74" w:rsidP="00150C74">
            <w:pPr>
              <w:spacing w:after="0"/>
              <w:ind w:left="0"/>
              <w:jc w:val="center"/>
              <w:rPr>
                <w:rFonts w:cs="Calibri"/>
                <w:color w:val="000000"/>
                <w:szCs w:val="24"/>
              </w:rPr>
            </w:pPr>
            <w:r>
              <w:rPr>
                <w:szCs w:val="22"/>
              </w:rPr>
              <w:t>14</w:t>
            </w:r>
          </w:p>
        </w:tc>
        <w:tc>
          <w:tcPr>
            <w:tcW w:w="1530" w:type="dxa"/>
            <w:vAlign w:val="center"/>
          </w:tcPr>
          <w:p w14:paraId="515BF0A8" w14:textId="77777777" w:rsidR="00150C74" w:rsidRPr="0062572A" w:rsidRDefault="00150C74" w:rsidP="00150C74">
            <w:pPr>
              <w:spacing w:after="0"/>
              <w:ind w:left="0"/>
              <w:rPr>
                <w:szCs w:val="24"/>
              </w:rPr>
            </w:pPr>
            <w:r w:rsidRPr="0062572A">
              <w:rPr>
                <w:rFonts w:cs="Calibri"/>
                <w:color w:val="000000"/>
                <w:szCs w:val="24"/>
              </w:rPr>
              <w:t>Send</w:t>
            </w:r>
          </w:p>
        </w:tc>
        <w:tc>
          <w:tcPr>
            <w:tcW w:w="1620" w:type="dxa"/>
            <w:vAlign w:val="center"/>
          </w:tcPr>
          <w:p w14:paraId="4F2C3692" w14:textId="77777777" w:rsidR="00150C74" w:rsidRPr="0062572A" w:rsidRDefault="00150C74" w:rsidP="00150C74">
            <w:pPr>
              <w:spacing w:after="0"/>
              <w:ind w:left="0"/>
              <w:rPr>
                <w:szCs w:val="24"/>
              </w:rPr>
            </w:pPr>
            <w:r w:rsidRPr="0062572A">
              <w:rPr>
                <w:rFonts w:cs="Calibri"/>
                <w:color w:val="000000"/>
                <w:szCs w:val="24"/>
              </w:rPr>
              <w:t>Batch / Quarterly</w:t>
            </w:r>
          </w:p>
        </w:tc>
        <w:tc>
          <w:tcPr>
            <w:tcW w:w="2430" w:type="dxa"/>
            <w:vAlign w:val="center"/>
          </w:tcPr>
          <w:p w14:paraId="6E365B33" w14:textId="77777777" w:rsidR="00150C74" w:rsidRPr="0062572A" w:rsidRDefault="00150C74" w:rsidP="00150C74">
            <w:pPr>
              <w:spacing w:after="0"/>
              <w:ind w:left="0"/>
              <w:rPr>
                <w:szCs w:val="24"/>
              </w:rPr>
            </w:pPr>
            <w:r w:rsidRPr="0062572A">
              <w:rPr>
                <w:rFonts w:cs="Calibri"/>
                <w:color w:val="000000"/>
                <w:szCs w:val="24"/>
              </w:rPr>
              <w:t>DOL</w:t>
            </w:r>
          </w:p>
        </w:tc>
        <w:tc>
          <w:tcPr>
            <w:tcW w:w="2160" w:type="dxa"/>
            <w:vAlign w:val="center"/>
          </w:tcPr>
          <w:p w14:paraId="36559D67" w14:textId="77777777" w:rsidR="00150C74" w:rsidRPr="0062572A" w:rsidRDefault="00150C74" w:rsidP="00150C74">
            <w:pPr>
              <w:spacing w:after="0"/>
              <w:ind w:left="0"/>
              <w:rPr>
                <w:szCs w:val="24"/>
              </w:rPr>
            </w:pPr>
            <w:r w:rsidRPr="0062572A">
              <w:rPr>
                <w:rFonts w:cs="Calibri"/>
                <w:color w:val="000000"/>
                <w:szCs w:val="24"/>
              </w:rPr>
              <w:t>QUARTERLY ETA 586 REPORT</w:t>
            </w:r>
          </w:p>
        </w:tc>
        <w:tc>
          <w:tcPr>
            <w:tcW w:w="5940" w:type="dxa"/>
            <w:vAlign w:val="center"/>
          </w:tcPr>
          <w:p w14:paraId="0D844539" w14:textId="77777777" w:rsidR="00150C74" w:rsidRPr="0062572A" w:rsidRDefault="00150C74" w:rsidP="00150C74">
            <w:pPr>
              <w:spacing w:after="0"/>
              <w:ind w:left="0"/>
              <w:rPr>
                <w:szCs w:val="24"/>
              </w:rPr>
            </w:pPr>
            <w:r w:rsidRPr="0062572A">
              <w:rPr>
                <w:rFonts w:cs="Calibri"/>
                <w:color w:val="000000"/>
                <w:szCs w:val="24"/>
              </w:rPr>
              <w:t xml:space="preserve">ETA </w:t>
            </w:r>
            <w:r>
              <w:rPr>
                <w:rFonts w:cs="Calibri"/>
                <w:color w:val="000000"/>
                <w:szCs w:val="24"/>
              </w:rPr>
              <w:t xml:space="preserve">586 </w:t>
            </w:r>
            <w:r w:rsidRPr="0062572A">
              <w:rPr>
                <w:rFonts w:cs="Calibri"/>
                <w:color w:val="000000"/>
                <w:szCs w:val="24"/>
              </w:rPr>
              <w:t>Repo</w:t>
            </w:r>
            <w:r>
              <w:rPr>
                <w:rFonts w:cs="Calibri"/>
                <w:color w:val="000000"/>
                <w:szCs w:val="24"/>
              </w:rPr>
              <w:t>rt: CWC quarterly counts</w:t>
            </w:r>
          </w:p>
        </w:tc>
      </w:tr>
      <w:tr w:rsidR="00150C74" w:rsidRPr="0062572A" w14:paraId="1B78161E" w14:textId="77777777" w:rsidTr="005204B9">
        <w:tc>
          <w:tcPr>
            <w:tcW w:w="877" w:type="dxa"/>
            <w:vAlign w:val="center"/>
          </w:tcPr>
          <w:p w14:paraId="58D5E3B8" w14:textId="2396F663" w:rsidR="00150C74" w:rsidRPr="0062572A" w:rsidRDefault="00150C74" w:rsidP="00150C74">
            <w:pPr>
              <w:spacing w:after="0"/>
              <w:ind w:left="0"/>
              <w:jc w:val="center"/>
              <w:rPr>
                <w:rFonts w:cs="Calibri"/>
                <w:color w:val="000000"/>
                <w:szCs w:val="24"/>
              </w:rPr>
            </w:pPr>
            <w:r>
              <w:rPr>
                <w:color w:val="000000"/>
                <w:szCs w:val="22"/>
              </w:rPr>
              <w:t>15</w:t>
            </w:r>
          </w:p>
        </w:tc>
        <w:tc>
          <w:tcPr>
            <w:tcW w:w="1530" w:type="dxa"/>
            <w:vAlign w:val="center"/>
          </w:tcPr>
          <w:p w14:paraId="208DE39C" w14:textId="77777777" w:rsidR="00150C74" w:rsidRPr="0062572A" w:rsidRDefault="00150C74" w:rsidP="00150C74">
            <w:pPr>
              <w:spacing w:after="0"/>
              <w:ind w:left="0"/>
              <w:rPr>
                <w:szCs w:val="24"/>
              </w:rPr>
            </w:pPr>
            <w:r w:rsidRPr="0062572A">
              <w:rPr>
                <w:rFonts w:cs="Calibri"/>
                <w:color w:val="000000"/>
                <w:szCs w:val="24"/>
              </w:rPr>
              <w:t>Send</w:t>
            </w:r>
          </w:p>
        </w:tc>
        <w:tc>
          <w:tcPr>
            <w:tcW w:w="1620" w:type="dxa"/>
            <w:vAlign w:val="center"/>
          </w:tcPr>
          <w:p w14:paraId="7E61A25F" w14:textId="77777777" w:rsidR="00150C74" w:rsidRPr="0062572A" w:rsidRDefault="00150C74" w:rsidP="00150C74">
            <w:pPr>
              <w:spacing w:after="0"/>
              <w:ind w:left="0"/>
              <w:rPr>
                <w:szCs w:val="24"/>
              </w:rPr>
            </w:pPr>
            <w:r w:rsidRPr="0062572A">
              <w:rPr>
                <w:rFonts w:cs="Calibri"/>
                <w:color w:val="000000"/>
                <w:szCs w:val="24"/>
              </w:rPr>
              <w:t>Batch / Daily</w:t>
            </w:r>
          </w:p>
        </w:tc>
        <w:tc>
          <w:tcPr>
            <w:tcW w:w="2430" w:type="dxa"/>
            <w:vAlign w:val="center"/>
          </w:tcPr>
          <w:p w14:paraId="029F1A64" w14:textId="77777777" w:rsidR="00150C74" w:rsidRPr="0062572A" w:rsidRDefault="00150C74" w:rsidP="00150C74">
            <w:pPr>
              <w:spacing w:after="0"/>
              <w:ind w:left="0"/>
              <w:rPr>
                <w:szCs w:val="24"/>
              </w:rPr>
            </w:pPr>
            <w:r w:rsidRPr="0062572A">
              <w:rPr>
                <w:rFonts w:cs="Calibri"/>
                <w:color w:val="000000"/>
                <w:szCs w:val="24"/>
              </w:rPr>
              <w:t>EDI Trading partners (Equifax)</w:t>
            </w:r>
          </w:p>
        </w:tc>
        <w:tc>
          <w:tcPr>
            <w:tcW w:w="2160" w:type="dxa"/>
            <w:vAlign w:val="center"/>
          </w:tcPr>
          <w:p w14:paraId="2CC415D1" w14:textId="02A3EDAD" w:rsidR="00150C74" w:rsidRPr="0062572A" w:rsidRDefault="00150C74" w:rsidP="00150C74">
            <w:pPr>
              <w:spacing w:after="0"/>
              <w:ind w:left="0"/>
              <w:rPr>
                <w:szCs w:val="24"/>
              </w:rPr>
            </w:pPr>
            <w:r w:rsidRPr="0062572A">
              <w:rPr>
                <w:rFonts w:cs="Calibri"/>
                <w:color w:val="000000"/>
                <w:szCs w:val="24"/>
              </w:rPr>
              <w:t xml:space="preserve">EDI </w:t>
            </w:r>
            <w:r>
              <w:rPr>
                <w:rFonts w:cs="Calibri"/>
                <w:color w:val="000000"/>
                <w:szCs w:val="24"/>
              </w:rPr>
              <w:t>d</w:t>
            </w:r>
            <w:r w:rsidRPr="0062572A">
              <w:rPr>
                <w:rFonts w:cs="Calibri"/>
                <w:color w:val="000000"/>
                <w:szCs w:val="24"/>
              </w:rPr>
              <w:t xml:space="preserve">ata </w:t>
            </w:r>
            <w:r>
              <w:rPr>
                <w:rFonts w:cs="Calibri"/>
                <w:color w:val="000000"/>
                <w:szCs w:val="24"/>
              </w:rPr>
              <w:t>o</w:t>
            </w:r>
            <w:r w:rsidRPr="0062572A">
              <w:rPr>
                <w:rFonts w:cs="Calibri"/>
                <w:color w:val="000000"/>
                <w:szCs w:val="24"/>
              </w:rPr>
              <w:t xml:space="preserve">utbound to </w:t>
            </w:r>
            <w:r>
              <w:rPr>
                <w:rFonts w:cs="Calibri"/>
                <w:color w:val="000000"/>
                <w:szCs w:val="24"/>
              </w:rPr>
              <w:t>E</w:t>
            </w:r>
            <w:r w:rsidRPr="0062572A">
              <w:rPr>
                <w:rFonts w:cs="Calibri"/>
                <w:color w:val="000000"/>
                <w:szCs w:val="24"/>
              </w:rPr>
              <w:t>quifax</w:t>
            </w:r>
          </w:p>
        </w:tc>
        <w:tc>
          <w:tcPr>
            <w:tcW w:w="5940" w:type="dxa"/>
            <w:vAlign w:val="center"/>
          </w:tcPr>
          <w:p w14:paraId="7985C233" w14:textId="7241DB87" w:rsidR="00150C74" w:rsidRPr="0062572A" w:rsidRDefault="00150C74" w:rsidP="00150C74">
            <w:pPr>
              <w:spacing w:after="0"/>
              <w:ind w:left="0"/>
              <w:rPr>
                <w:szCs w:val="24"/>
              </w:rPr>
            </w:pPr>
            <w:r>
              <w:rPr>
                <w:rFonts w:cs="Calibri"/>
                <w:color w:val="000000"/>
                <w:szCs w:val="24"/>
              </w:rPr>
              <w:t>Sends EDI files to trading partners</w:t>
            </w:r>
          </w:p>
        </w:tc>
      </w:tr>
      <w:tr w:rsidR="00150C74" w:rsidRPr="0062572A" w14:paraId="44BBB997" w14:textId="77777777" w:rsidTr="005204B9">
        <w:tc>
          <w:tcPr>
            <w:tcW w:w="877" w:type="dxa"/>
            <w:vAlign w:val="center"/>
          </w:tcPr>
          <w:p w14:paraId="68F52C7A" w14:textId="7BD891DB" w:rsidR="00150C74" w:rsidRPr="0062572A" w:rsidRDefault="00150C74" w:rsidP="00150C74">
            <w:pPr>
              <w:spacing w:after="0"/>
              <w:ind w:left="0"/>
              <w:jc w:val="center"/>
              <w:rPr>
                <w:szCs w:val="24"/>
              </w:rPr>
            </w:pPr>
            <w:r>
              <w:rPr>
                <w:szCs w:val="22"/>
              </w:rPr>
              <w:t>16</w:t>
            </w:r>
          </w:p>
        </w:tc>
        <w:tc>
          <w:tcPr>
            <w:tcW w:w="1530" w:type="dxa"/>
            <w:vAlign w:val="center"/>
          </w:tcPr>
          <w:p w14:paraId="20B82B46" w14:textId="77777777" w:rsidR="00150C74" w:rsidRPr="0062572A" w:rsidRDefault="00150C74" w:rsidP="00150C74">
            <w:pPr>
              <w:spacing w:after="0"/>
              <w:ind w:left="0"/>
              <w:rPr>
                <w:szCs w:val="24"/>
              </w:rPr>
            </w:pPr>
            <w:r w:rsidRPr="0062572A">
              <w:rPr>
                <w:rFonts w:cs="Calibri"/>
                <w:color w:val="000000"/>
                <w:szCs w:val="24"/>
              </w:rPr>
              <w:t>Receive</w:t>
            </w:r>
          </w:p>
        </w:tc>
        <w:tc>
          <w:tcPr>
            <w:tcW w:w="1620" w:type="dxa"/>
            <w:vAlign w:val="center"/>
          </w:tcPr>
          <w:p w14:paraId="5460E5EF" w14:textId="77777777" w:rsidR="00150C74" w:rsidRPr="0062572A" w:rsidRDefault="00150C74" w:rsidP="00150C74">
            <w:pPr>
              <w:spacing w:after="0"/>
              <w:ind w:left="0"/>
              <w:rPr>
                <w:szCs w:val="24"/>
              </w:rPr>
            </w:pPr>
            <w:r w:rsidRPr="0062572A">
              <w:rPr>
                <w:rFonts w:cs="Calibri"/>
                <w:color w:val="000000"/>
                <w:szCs w:val="24"/>
              </w:rPr>
              <w:t>Batch / Daily</w:t>
            </w:r>
          </w:p>
        </w:tc>
        <w:tc>
          <w:tcPr>
            <w:tcW w:w="2430" w:type="dxa"/>
            <w:vAlign w:val="center"/>
          </w:tcPr>
          <w:p w14:paraId="2461E2EF" w14:textId="77777777" w:rsidR="00150C74" w:rsidRPr="0062572A" w:rsidRDefault="00150C74" w:rsidP="00150C74">
            <w:pPr>
              <w:spacing w:after="0"/>
              <w:ind w:left="0"/>
              <w:rPr>
                <w:szCs w:val="24"/>
              </w:rPr>
            </w:pPr>
            <w:r w:rsidRPr="0062572A">
              <w:rPr>
                <w:rFonts w:cs="Calibri"/>
                <w:color w:val="000000"/>
                <w:szCs w:val="24"/>
              </w:rPr>
              <w:t>Equifax</w:t>
            </w:r>
          </w:p>
        </w:tc>
        <w:tc>
          <w:tcPr>
            <w:tcW w:w="2160" w:type="dxa"/>
            <w:vAlign w:val="center"/>
          </w:tcPr>
          <w:p w14:paraId="5A4BADE2" w14:textId="77777777" w:rsidR="00150C74" w:rsidRPr="0062572A" w:rsidRDefault="00150C74" w:rsidP="00150C74">
            <w:pPr>
              <w:spacing w:after="0"/>
              <w:ind w:left="0"/>
              <w:rPr>
                <w:szCs w:val="24"/>
              </w:rPr>
            </w:pPr>
            <w:r w:rsidRPr="0062572A">
              <w:rPr>
                <w:rFonts w:cs="Calibri"/>
                <w:color w:val="000000"/>
                <w:szCs w:val="24"/>
              </w:rPr>
              <w:t>EDI File Transfer HFS to Mainframe</w:t>
            </w:r>
          </w:p>
        </w:tc>
        <w:tc>
          <w:tcPr>
            <w:tcW w:w="5940" w:type="dxa"/>
            <w:vAlign w:val="center"/>
          </w:tcPr>
          <w:p w14:paraId="245AA6BF" w14:textId="4CD13668" w:rsidR="00150C74" w:rsidRPr="0062572A" w:rsidRDefault="00150C74" w:rsidP="00150C74">
            <w:pPr>
              <w:spacing w:after="0"/>
              <w:ind w:left="0"/>
              <w:rPr>
                <w:szCs w:val="24"/>
              </w:rPr>
            </w:pPr>
            <w:r>
              <w:rPr>
                <w:rFonts w:cs="Calibri"/>
                <w:color w:val="000000"/>
                <w:szCs w:val="24"/>
              </w:rPr>
              <w:t>Receiving EDI c</w:t>
            </w:r>
            <w:r w:rsidRPr="0062572A">
              <w:rPr>
                <w:rFonts w:cs="Calibri"/>
                <w:color w:val="000000"/>
                <w:szCs w:val="24"/>
              </w:rPr>
              <w:t xml:space="preserve">hargeback </w:t>
            </w:r>
            <w:r>
              <w:rPr>
                <w:rFonts w:cs="Calibri"/>
                <w:color w:val="000000"/>
                <w:szCs w:val="24"/>
              </w:rPr>
              <w:t>r</w:t>
            </w:r>
            <w:r w:rsidRPr="0062572A">
              <w:rPr>
                <w:rFonts w:cs="Calibri"/>
                <w:color w:val="000000"/>
                <w:szCs w:val="24"/>
              </w:rPr>
              <w:t>e</w:t>
            </w:r>
            <w:r>
              <w:rPr>
                <w:rFonts w:cs="Calibri"/>
                <w:color w:val="000000"/>
                <w:szCs w:val="24"/>
              </w:rPr>
              <w:t>s</w:t>
            </w:r>
            <w:r w:rsidRPr="0062572A">
              <w:rPr>
                <w:rFonts w:cs="Calibri"/>
                <w:color w:val="000000"/>
                <w:szCs w:val="24"/>
              </w:rPr>
              <w:t xml:space="preserve">ponses and </w:t>
            </w:r>
            <w:r>
              <w:rPr>
                <w:rFonts w:cs="Calibri"/>
                <w:color w:val="000000"/>
                <w:szCs w:val="24"/>
              </w:rPr>
              <w:t>a</w:t>
            </w:r>
            <w:r w:rsidRPr="0062572A">
              <w:rPr>
                <w:rFonts w:cs="Calibri"/>
                <w:color w:val="000000"/>
                <w:szCs w:val="24"/>
              </w:rPr>
              <w:t>cknowledgements from Equifax</w:t>
            </w:r>
          </w:p>
        </w:tc>
      </w:tr>
      <w:tr w:rsidR="00150C74" w:rsidRPr="0062572A" w14:paraId="5CDB2675" w14:textId="77777777" w:rsidTr="005204B9">
        <w:tc>
          <w:tcPr>
            <w:tcW w:w="877" w:type="dxa"/>
            <w:vAlign w:val="center"/>
          </w:tcPr>
          <w:p w14:paraId="70CBA547" w14:textId="1417712E" w:rsidR="00150C74" w:rsidRPr="0062572A" w:rsidRDefault="00150C74" w:rsidP="00150C74">
            <w:pPr>
              <w:spacing w:after="0"/>
              <w:ind w:left="0"/>
              <w:jc w:val="center"/>
              <w:rPr>
                <w:szCs w:val="24"/>
              </w:rPr>
            </w:pPr>
            <w:r>
              <w:rPr>
                <w:color w:val="000000"/>
                <w:szCs w:val="22"/>
              </w:rPr>
              <w:lastRenderedPageBreak/>
              <w:t>17</w:t>
            </w:r>
          </w:p>
        </w:tc>
        <w:tc>
          <w:tcPr>
            <w:tcW w:w="1530" w:type="dxa"/>
            <w:vAlign w:val="center"/>
          </w:tcPr>
          <w:p w14:paraId="4F908350" w14:textId="77777777" w:rsidR="00150C74" w:rsidRPr="0062572A" w:rsidRDefault="00150C74" w:rsidP="00150C74">
            <w:pPr>
              <w:spacing w:after="0"/>
              <w:ind w:left="0"/>
              <w:rPr>
                <w:szCs w:val="24"/>
              </w:rPr>
            </w:pPr>
            <w:r w:rsidRPr="0062572A">
              <w:rPr>
                <w:rFonts w:cs="Calibri"/>
                <w:color w:val="000000"/>
                <w:szCs w:val="24"/>
              </w:rPr>
              <w:t>Send</w:t>
            </w:r>
          </w:p>
        </w:tc>
        <w:tc>
          <w:tcPr>
            <w:tcW w:w="1620" w:type="dxa"/>
            <w:vAlign w:val="center"/>
          </w:tcPr>
          <w:p w14:paraId="760A6AE7" w14:textId="77777777" w:rsidR="00150C74" w:rsidRPr="0062572A" w:rsidRDefault="00150C74" w:rsidP="00150C74">
            <w:pPr>
              <w:spacing w:after="0"/>
              <w:ind w:left="0"/>
              <w:rPr>
                <w:szCs w:val="24"/>
              </w:rPr>
            </w:pPr>
            <w:r w:rsidRPr="0062572A">
              <w:rPr>
                <w:rFonts w:cs="Calibri"/>
                <w:color w:val="000000"/>
                <w:szCs w:val="24"/>
              </w:rPr>
              <w:t>Batch / Daily</w:t>
            </w:r>
          </w:p>
        </w:tc>
        <w:tc>
          <w:tcPr>
            <w:tcW w:w="2430" w:type="dxa"/>
            <w:vAlign w:val="center"/>
          </w:tcPr>
          <w:p w14:paraId="08B40DC4" w14:textId="77777777" w:rsidR="00150C74" w:rsidRPr="0062572A" w:rsidRDefault="00150C74" w:rsidP="00150C74">
            <w:pPr>
              <w:spacing w:after="0"/>
              <w:ind w:left="0"/>
              <w:rPr>
                <w:szCs w:val="24"/>
              </w:rPr>
            </w:pPr>
            <w:r w:rsidRPr="0062572A">
              <w:rPr>
                <w:rFonts w:cs="Calibri"/>
                <w:color w:val="000000"/>
                <w:szCs w:val="24"/>
              </w:rPr>
              <w:t>Equifax</w:t>
            </w:r>
          </w:p>
        </w:tc>
        <w:tc>
          <w:tcPr>
            <w:tcW w:w="2160" w:type="dxa"/>
            <w:vAlign w:val="center"/>
          </w:tcPr>
          <w:p w14:paraId="7E80D6C4" w14:textId="77777777" w:rsidR="00150C74" w:rsidRPr="0062572A" w:rsidRDefault="00150C74" w:rsidP="00150C74">
            <w:pPr>
              <w:spacing w:after="0"/>
              <w:ind w:left="0"/>
              <w:rPr>
                <w:szCs w:val="24"/>
              </w:rPr>
            </w:pPr>
            <w:r w:rsidRPr="0062572A">
              <w:rPr>
                <w:rFonts w:cs="Calibri"/>
                <w:color w:val="000000"/>
                <w:szCs w:val="24"/>
              </w:rPr>
              <w:t>EDI File Transfer to Equifax</w:t>
            </w:r>
          </w:p>
        </w:tc>
        <w:tc>
          <w:tcPr>
            <w:tcW w:w="5940" w:type="dxa"/>
            <w:vAlign w:val="center"/>
          </w:tcPr>
          <w:p w14:paraId="2FBC10BE" w14:textId="467783A7" w:rsidR="00150C74" w:rsidRPr="0062572A" w:rsidRDefault="00150C74" w:rsidP="00150C74">
            <w:pPr>
              <w:spacing w:after="0"/>
              <w:ind w:left="0"/>
              <w:rPr>
                <w:szCs w:val="24"/>
              </w:rPr>
            </w:pPr>
            <w:r w:rsidRPr="0062572A">
              <w:rPr>
                <w:rFonts w:cs="Calibri"/>
                <w:color w:val="000000"/>
                <w:szCs w:val="24"/>
              </w:rPr>
              <w:t>Run</w:t>
            </w:r>
            <w:r>
              <w:rPr>
                <w:rFonts w:cs="Calibri"/>
                <w:color w:val="000000"/>
                <w:szCs w:val="24"/>
              </w:rPr>
              <w:t>s daily depending on number of t</w:t>
            </w:r>
            <w:r w:rsidRPr="0062572A">
              <w:rPr>
                <w:rFonts w:cs="Calibri"/>
                <w:color w:val="000000"/>
                <w:szCs w:val="24"/>
              </w:rPr>
              <w:t xml:space="preserve">rading </w:t>
            </w:r>
            <w:r>
              <w:rPr>
                <w:rFonts w:cs="Calibri"/>
                <w:color w:val="000000"/>
                <w:szCs w:val="24"/>
              </w:rPr>
              <w:t>p</w:t>
            </w:r>
            <w:r w:rsidRPr="0062572A">
              <w:rPr>
                <w:rFonts w:cs="Calibri"/>
                <w:color w:val="000000"/>
                <w:szCs w:val="24"/>
              </w:rPr>
              <w:t>artners on Benefits systems</w:t>
            </w:r>
            <w:r>
              <w:rPr>
                <w:rFonts w:cs="Calibri"/>
                <w:color w:val="000000"/>
                <w:szCs w:val="24"/>
              </w:rPr>
              <w:t xml:space="preserve">; </w:t>
            </w:r>
            <w:r w:rsidRPr="0062572A">
              <w:rPr>
                <w:rFonts w:cs="Calibri"/>
                <w:color w:val="000000"/>
                <w:szCs w:val="24"/>
              </w:rPr>
              <w:t xml:space="preserve">One job for each </w:t>
            </w:r>
            <w:r>
              <w:rPr>
                <w:rFonts w:cs="Calibri"/>
                <w:color w:val="000000"/>
                <w:szCs w:val="24"/>
              </w:rPr>
              <w:t>t</w:t>
            </w:r>
            <w:r w:rsidRPr="0062572A">
              <w:rPr>
                <w:rFonts w:cs="Calibri"/>
                <w:color w:val="000000"/>
                <w:szCs w:val="24"/>
              </w:rPr>
              <w:t xml:space="preserve">rading </w:t>
            </w:r>
            <w:r>
              <w:rPr>
                <w:rFonts w:cs="Calibri"/>
                <w:color w:val="000000"/>
                <w:szCs w:val="24"/>
              </w:rPr>
              <w:t>partner</w:t>
            </w:r>
            <w:r w:rsidRPr="0062572A">
              <w:rPr>
                <w:rFonts w:cs="Calibri"/>
                <w:color w:val="000000"/>
                <w:szCs w:val="24"/>
              </w:rPr>
              <w:t xml:space="preserve"> to send ACK file</w:t>
            </w:r>
            <w:r>
              <w:rPr>
                <w:rFonts w:cs="Calibri"/>
                <w:color w:val="000000"/>
                <w:szCs w:val="24"/>
              </w:rPr>
              <w:t xml:space="preserve"> to them and payload to TWC/HFS</w:t>
            </w:r>
          </w:p>
        </w:tc>
      </w:tr>
      <w:tr w:rsidR="00150C74" w:rsidRPr="0062572A" w14:paraId="7E1CA8D7" w14:textId="77777777" w:rsidTr="005204B9">
        <w:tc>
          <w:tcPr>
            <w:tcW w:w="877" w:type="dxa"/>
            <w:vAlign w:val="center"/>
          </w:tcPr>
          <w:p w14:paraId="5E5F43BF" w14:textId="3EF88434" w:rsidR="00150C74" w:rsidRPr="0062572A" w:rsidRDefault="00150C74" w:rsidP="00150C74">
            <w:pPr>
              <w:spacing w:after="0"/>
              <w:ind w:left="0"/>
              <w:jc w:val="center"/>
              <w:rPr>
                <w:szCs w:val="24"/>
              </w:rPr>
            </w:pPr>
            <w:r>
              <w:rPr>
                <w:szCs w:val="22"/>
              </w:rPr>
              <w:t>18</w:t>
            </w:r>
          </w:p>
        </w:tc>
        <w:tc>
          <w:tcPr>
            <w:tcW w:w="1530" w:type="dxa"/>
            <w:vAlign w:val="center"/>
          </w:tcPr>
          <w:p w14:paraId="07B6F026" w14:textId="77777777" w:rsidR="00150C74" w:rsidRPr="0062572A" w:rsidRDefault="00150C74" w:rsidP="00150C74">
            <w:pPr>
              <w:spacing w:after="0"/>
              <w:ind w:left="0"/>
              <w:rPr>
                <w:szCs w:val="24"/>
              </w:rPr>
            </w:pPr>
            <w:r w:rsidRPr="0062572A">
              <w:rPr>
                <w:rFonts w:cs="Calibri"/>
                <w:color w:val="000000"/>
                <w:szCs w:val="24"/>
              </w:rPr>
              <w:t>Send</w:t>
            </w:r>
          </w:p>
        </w:tc>
        <w:tc>
          <w:tcPr>
            <w:tcW w:w="1620" w:type="dxa"/>
            <w:vAlign w:val="center"/>
          </w:tcPr>
          <w:p w14:paraId="10279BA7" w14:textId="77777777" w:rsidR="00150C74" w:rsidRPr="0062572A" w:rsidRDefault="00150C74" w:rsidP="00150C74">
            <w:pPr>
              <w:spacing w:after="0"/>
              <w:ind w:left="0"/>
              <w:rPr>
                <w:szCs w:val="24"/>
              </w:rPr>
            </w:pPr>
            <w:r w:rsidRPr="0062572A">
              <w:rPr>
                <w:rFonts w:cs="Calibri"/>
                <w:color w:val="000000"/>
                <w:szCs w:val="24"/>
              </w:rPr>
              <w:t>Batch / Daily</w:t>
            </w:r>
          </w:p>
        </w:tc>
        <w:tc>
          <w:tcPr>
            <w:tcW w:w="2430" w:type="dxa"/>
            <w:vAlign w:val="center"/>
          </w:tcPr>
          <w:p w14:paraId="5A8B11D6" w14:textId="77777777" w:rsidR="00150C74" w:rsidRPr="0062572A" w:rsidRDefault="00150C74" w:rsidP="00150C74">
            <w:pPr>
              <w:spacing w:after="0"/>
              <w:ind w:left="0"/>
              <w:rPr>
                <w:szCs w:val="24"/>
              </w:rPr>
            </w:pPr>
            <w:r w:rsidRPr="0062572A">
              <w:rPr>
                <w:rFonts w:cs="Calibri"/>
                <w:color w:val="000000"/>
                <w:szCs w:val="24"/>
              </w:rPr>
              <w:t>Equifax</w:t>
            </w:r>
          </w:p>
        </w:tc>
        <w:tc>
          <w:tcPr>
            <w:tcW w:w="2160" w:type="dxa"/>
            <w:vAlign w:val="center"/>
          </w:tcPr>
          <w:p w14:paraId="2438131D" w14:textId="77777777" w:rsidR="00150C74" w:rsidRPr="0062572A" w:rsidRDefault="00150C74" w:rsidP="00150C74">
            <w:pPr>
              <w:spacing w:after="0"/>
              <w:ind w:left="0"/>
              <w:rPr>
                <w:szCs w:val="24"/>
              </w:rPr>
            </w:pPr>
            <w:r w:rsidRPr="0062572A">
              <w:rPr>
                <w:rFonts w:cs="Calibri"/>
                <w:color w:val="000000"/>
                <w:szCs w:val="24"/>
              </w:rPr>
              <w:t>EDI Resend</w:t>
            </w:r>
          </w:p>
        </w:tc>
        <w:tc>
          <w:tcPr>
            <w:tcW w:w="5940" w:type="dxa"/>
            <w:vAlign w:val="center"/>
          </w:tcPr>
          <w:p w14:paraId="1642073F" w14:textId="398963B6" w:rsidR="00150C74" w:rsidRPr="0062572A" w:rsidRDefault="00150C74" w:rsidP="00150C74">
            <w:pPr>
              <w:spacing w:after="0"/>
              <w:ind w:left="0"/>
              <w:rPr>
                <w:szCs w:val="24"/>
              </w:rPr>
            </w:pPr>
            <w:r>
              <w:rPr>
                <w:rFonts w:cs="Calibri"/>
                <w:color w:val="000000"/>
                <w:szCs w:val="24"/>
              </w:rPr>
              <w:t>Builds d</w:t>
            </w:r>
            <w:r w:rsidRPr="0062572A">
              <w:rPr>
                <w:rFonts w:cs="Calibri"/>
                <w:color w:val="000000"/>
                <w:szCs w:val="24"/>
              </w:rPr>
              <w:t xml:space="preserve">ynamic FTP </w:t>
            </w:r>
            <w:r w:rsidRPr="008C2C58">
              <w:rPr>
                <w:rFonts w:cs="Arial"/>
                <w:snapToGrid w:val="0"/>
                <w:color w:val="000000"/>
                <w:szCs w:val="24"/>
              </w:rPr>
              <w:t>Job Control Language</w:t>
            </w:r>
            <w:r w:rsidRPr="0062572A">
              <w:rPr>
                <w:rFonts w:cs="Calibri"/>
                <w:color w:val="000000"/>
                <w:szCs w:val="24"/>
              </w:rPr>
              <w:t xml:space="preserve"> </w:t>
            </w:r>
            <w:r>
              <w:rPr>
                <w:rFonts w:cs="Calibri"/>
                <w:color w:val="000000"/>
                <w:szCs w:val="24"/>
              </w:rPr>
              <w:t>(</w:t>
            </w:r>
            <w:r w:rsidRPr="0062572A">
              <w:rPr>
                <w:rFonts w:cs="Calibri"/>
                <w:color w:val="000000"/>
                <w:szCs w:val="24"/>
              </w:rPr>
              <w:t>JCL</w:t>
            </w:r>
            <w:r>
              <w:rPr>
                <w:rFonts w:cs="Calibri"/>
                <w:color w:val="000000"/>
                <w:szCs w:val="24"/>
              </w:rPr>
              <w:t>) jobs</w:t>
            </w:r>
          </w:p>
        </w:tc>
      </w:tr>
      <w:tr w:rsidR="00150C74" w:rsidRPr="0062572A" w14:paraId="54412B85" w14:textId="77777777" w:rsidTr="005204B9">
        <w:tc>
          <w:tcPr>
            <w:tcW w:w="877" w:type="dxa"/>
            <w:vAlign w:val="center"/>
          </w:tcPr>
          <w:p w14:paraId="2C863FB6" w14:textId="67497E7A" w:rsidR="00150C74" w:rsidRPr="0062572A" w:rsidRDefault="00150C74" w:rsidP="00150C74">
            <w:pPr>
              <w:spacing w:after="0"/>
              <w:ind w:left="0"/>
              <w:jc w:val="center"/>
              <w:rPr>
                <w:szCs w:val="24"/>
              </w:rPr>
            </w:pPr>
            <w:r>
              <w:rPr>
                <w:color w:val="000000"/>
                <w:szCs w:val="22"/>
              </w:rPr>
              <w:t>19</w:t>
            </w:r>
          </w:p>
        </w:tc>
        <w:tc>
          <w:tcPr>
            <w:tcW w:w="1530" w:type="dxa"/>
            <w:vAlign w:val="center"/>
          </w:tcPr>
          <w:p w14:paraId="3546E97B" w14:textId="77777777" w:rsidR="00150C74" w:rsidRPr="0062572A" w:rsidRDefault="00150C74" w:rsidP="00150C74">
            <w:pPr>
              <w:spacing w:after="0"/>
              <w:ind w:left="0"/>
              <w:rPr>
                <w:szCs w:val="24"/>
              </w:rPr>
            </w:pPr>
            <w:r w:rsidRPr="0062572A">
              <w:rPr>
                <w:rFonts w:cs="Calibri"/>
                <w:color w:val="000000"/>
                <w:szCs w:val="24"/>
              </w:rPr>
              <w:t>Send</w:t>
            </w:r>
          </w:p>
        </w:tc>
        <w:tc>
          <w:tcPr>
            <w:tcW w:w="1620" w:type="dxa"/>
            <w:vAlign w:val="center"/>
          </w:tcPr>
          <w:p w14:paraId="7C77EEA5" w14:textId="77777777" w:rsidR="00150C74" w:rsidRPr="0062572A" w:rsidRDefault="00150C74" w:rsidP="00150C74">
            <w:pPr>
              <w:spacing w:after="0"/>
              <w:ind w:left="0"/>
              <w:rPr>
                <w:szCs w:val="24"/>
              </w:rPr>
            </w:pPr>
            <w:r w:rsidRPr="0062572A">
              <w:rPr>
                <w:rFonts w:cs="Calibri"/>
                <w:color w:val="000000"/>
                <w:szCs w:val="24"/>
              </w:rPr>
              <w:t>Batch / Daily</w:t>
            </w:r>
          </w:p>
        </w:tc>
        <w:tc>
          <w:tcPr>
            <w:tcW w:w="2430" w:type="dxa"/>
            <w:vAlign w:val="center"/>
          </w:tcPr>
          <w:p w14:paraId="200B1D6A" w14:textId="77777777" w:rsidR="00150C74" w:rsidRPr="0062572A" w:rsidRDefault="00150C74" w:rsidP="00150C74">
            <w:pPr>
              <w:spacing w:after="0"/>
              <w:ind w:left="0"/>
              <w:rPr>
                <w:szCs w:val="24"/>
              </w:rPr>
            </w:pPr>
            <w:r w:rsidRPr="0062572A">
              <w:rPr>
                <w:rFonts w:cs="Calibri"/>
                <w:color w:val="000000"/>
                <w:szCs w:val="24"/>
              </w:rPr>
              <w:t>Equifax</w:t>
            </w:r>
          </w:p>
        </w:tc>
        <w:tc>
          <w:tcPr>
            <w:tcW w:w="2160" w:type="dxa"/>
            <w:vAlign w:val="center"/>
          </w:tcPr>
          <w:p w14:paraId="65742D85" w14:textId="165C9FAB" w:rsidR="00150C74" w:rsidRPr="0062572A" w:rsidRDefault="00150C74" w:rsidP="00150C74">
            <w:pPr>
              <w:spacing w:after="0"/>
              <w:ind w:left="0"/>
              <w:rPr>
                <w:szCs w:val="24"/>
              </w:rPr>
            </w:pPr>
            <w:r w:rsidRPr="0062572A">
              <w:rPr>
                <w:rFonts w:cs="Calibri"/>
                <w:color w:val="000000"/>
                <w:szCs w:val="24"/>
              </w:rPr>
              <w:t>Employer chargeback</w:t>
            </w:r>
          </w:p>
        </w:tc>
        <w:tc>
          <w:tcPr>
            <w:tcW w:w="5940" w:type="dxa"/>
            <w:vAlign w:val="center"/>
          </w:tcPr>
          <w:p w14:paraId="35032221" w14:textId="77777777" w:rsidR="00150C74" w:rsidRPr="0062572A" w:rsidRDefault="00150C74" w:rsidP="00150C74">
            <w:pPr>
              <w:spacing w:after="0"/>
              <w:ind w:left="0"/>
              <w:rPr>
                <w:szCs w:val="24"/>
              </w:rPr>
            </w:pPr>
            <w:r w:rsidRPr="0062572A">
              <w:rPr>
                <w:rFonts w:cs="Calibri"/>
                <w:color w:val="000000"/>
                <w:szCs w:val="24"/>
              </w:rPr>
              <w:t>EDI - FTP Chargeback notifications.</w:t>
            </w:r>
          </w:p>
        </w:tc>
      </w:tr>
      <w:tr w:rsidR="00150C74" w:rsidRPr="0062572A" w14:paraId="72E273D7" w14:textId="77777777" w:rsidTr="005204B9">
        <w:tc>
          <w:tcPr>
            <w:tcW w:w="877" w:type="dxa"/>
            <w:vAlign w:val="center"/>
          </w:tcPr>
          <w:p w14:paraId="632F7DDB" w14:textId="731F47EE" w:rsidR="00150C74" w:rsidRPr="0062572A" w:rsidRDefault="00150C74" w:rsidP="00150C74">
            <w:pPr>
              <w:spacing w:after="0"/>
              <w:ind w:left="0"/>
              <w:jc w:val="center"/>
              <w:rPr>
                <w:szCs w:val="24"/>
              </w:rPr>
            </w:pPr>
            <w:r>
              <w:rPr>
                <w:szCs w:val="22"/>
              </w:rPr>
              <w:t>20</w:t>
            </w:r>
          </w:p>
        </w:tc>
        <w:tc>
          <w:tcPr>
            <w:tcW w:w="1530" w:type="dxa"/>
            <w:vAlign w:val="center"/>
          </w:tcPr>
          <w:p w14:paraId="2FFC3405" w14:textId="77777777" w:rsidR="00150C74" w:rsidRPr="0062572A" w:rsidRDefault="00150C74" w:rsidP="00150C74">
            <w:pPr>
              <w:spacing w:after="0"/>
              <w:ind w:left="0"/>
              <w:rPr>
                <w:szCs w:val="24"/>
              </w:rPr>
            </w:pPr>
            <w:r w:rsidRPr="0062572A">
              <w:rPr>
                <w:rFonts w:cs="Calibri"/>
                <w:color w:val="000000"/>
                <w:szCs w:val="24"/>
              </w:rPr>
              <w:t>Send</w:t>
            </w:r>
          </w:p>
        </w:tc>
        <w:tc>
          <w:tcPr>
            <w:tcW w:w="1620" w:type="dxa"/>
            <w:vAlign w:val="center"/>
          </w:tcPr>
          <w:p w14:paraId="79646826" w14:textId="77777777" w:rsidR="00150C74" w:rsidRPr="0062572A" w:rsidRDefault="00150C74" w:rsidP="00150C74">
            <w:pPr>
              <w:spacing w:after="0"/>
              <w:ind w:left="0"/>
              <w:rPr>
                <w:szCs w:val="24"/>
              </w:rPr>
            </w:pPr>
            <w:r w:rsidRPr="0062572A">
              <w:rPr>
                <w:rFonts w:cs="Calibri"/>
                <w:color w:val="000000"/>
                <w:szCs w:val="24"/>
              </w:rPr>
              <w:t>Batch / Monthly</w:t>
            </w:r>
          </w:p>
        </w:tc>
        <w:tc>
          <w:tcPr>
            <w:tcW w:w="2430" w:type="dxa"/>
            <w:vAlign w:val="center"/>
          </w:tcPr>
          <w:p w14:paraId="1BFC6CD2" w14:textId="133C2AD7" w:rsidR="00150C74" w:rsidRPr="0062572A" w:rsidRDefault="00150C74" w:rsidP="00150C74">
            <w:pPr>
              <w:spacing w:after="0"/>
              <w:ind w:left="0"/>
              <w:rPr>
                <w:szCs w:val="24"/>
              </w:rPr>
            </w:pPr>
            <w:r w:rsidRPr="0062572A">
              <w:rPr>
                <w:rFonts w:cs="Calibri"/>
                <w:color w:val="000000"/>
                <w:szCs w:val="24"/>
              </w:rPr>
              <w:t>DOL</w:t>
            </w:r>
          </w:p>
        </w:tc>
        <w:tc>
          <w:tcPr>
            <w:tcW w:w="2160" w:type="dxa"/>
            <w:vAlign w:val="center"/>
          </w:tcPr>
          <w:p w14:paraId="3DE7873C" w14:textId="661ADF54" w:rsidR="00150C74" w:rsidRPr="0062572A" w:rsidRDefault="00150C74" w:rsidP="00150C74">
            <w:pPr>
              <w:spacing w:after="0"/>
              <w:ind w:left="0"/>
              <w:rPr>
                <w:szCs w:val="24"/>
              </w:rPr>
            </w:pPr>
            <w:r w:rsidRPr="0062572A">
              <w:rPr>
                <w:rFonts w:cs="Calibri"/>
                <w:color w:val="000000"/>
                <w:szCs w:val="24"/>
              </w:rPr>
              <w:t>ETA 203 report</w:t>
            </w:r>
          </w:p>
        </w:tc>
        <w:tc>
          <w:tcPr>
            <w:tcW w:w="5940" w:type="dxa"/>
            <w:vAlign w:val="center"/>
          </w:tcPr>
          <w:p w14:paraId="763BE58E" w14:textId="0CC85708" w:rsidR="00150C74" w:rsidRPr="0062572A" w:rsidRDefault="00150C74" w:rsidP="00150C74">
            <w:pPr>
              <w:spacing w:after="0"/>
              <w:ind w:left="0"/>
              <w:rPr>
                <w:szCs w:val="24"/>
              </w:rPr>
            </w:pPr>
            <w:r>
              <w:rPr>
                <w:rFonts w:cs="Calibri"/>
                <w:color w:val="000000"/>
                <w:szCs w:val="24"/>
              </w:rPr>
              <w:t xml:space="preserve">Two files: Characteristics of Insured </w:t>
            </w:r>
            <w:r w:rsidR="00CB7D87">
              <w:rPr>
                <w:rFonts w:cs="Calibri"/>
                <w:color w:val="000000"/>
                <w:szCs w:val="24"/>
              </w:rPr>
              <w:t xml:space="preserve">Unemployed </w:t>
            </w:r>
            <w:r>
              <w:rPr>
                <w:rFonts w:cs="Calibri"/>
                <w:color w:val="000000"/>
                <w:szCs w:val="24"/>
              </w:rPr>
              <w:t>report</w:t>
            </w:r>
          </w:p>
        </w:tc>
      </w:tr>
      <w:tr w:rsidR="00150C74" w:rsidRPr="0062572A" w14:paraId="58DBB17B" w14:textId="77777777" w:rsidTr="005204B9">
        <w:tc>
          <w:tcPr>
            <w:tcW w:w="877" w:type="dxa"/>
            <w:vAlign w:val="center"/>
          </w:tcPr>
          <w:p w14:paraId="7482F7AA" w14:textId="2A209FE3" w:rsidR="00150C74" w:rsidRPr="0062572A" w:rsidRDefault="00150C74" w:rsidP="00150C74">
            <w:pPr>
              <w:spacing w:after="0"/>
              <w:ind w:left="0"/>
              <w:jc w:val="center"/>
              <w:rPr>
                <w:szCs w:val="24"/>
              </w:rPr>
            </w:pPr>
            <w:r>
              <w:rPr>
                <w:color w:val="000000"/>
                <w:szCs w:val="22"/>
              </w:rPr>
              <w:t>21</w:t>
            </w:r>
          </w:p>
        </w:tc>
        <w:tc>
          <w:tcPr>
            <w:tcW w:w="1530" w:type="dxa"/>
            <w:vAlign w:val="center"/>
          </w:tcPr>
          <w:p w14:paraId="5F6418A3" w14:textId="77777777" w:rsidR="00150C74" w:rsidRPr="0062572A" w:rsidRDefault="00150C74" w:rsidP="00150C74">
            <w:pPr>
              <w:spacing w:after="0"/>
              <w:ind w:left="0"/>
              <w:rPr>
                <w:szCs w:val="24"/>
              </w:rPr>
            </w:pPr>
            <w:r w:rsidRPr="0062572A">
              <w:rPr>
                <w:rFonts w:cs="Calibri"/>
                <w:color w:val="000000"/>
                <w:szCs w:val="24"/>
              </w:rPr>
              <w:t>Send</w:t>
            </w:r>
          </w:p>
        </w:tc>
        <w:tc>
          <w:tcPr>
            <w:tcW w:w="1620" w:type="dxa"/>
            <w:vAlign w:val="center"/>
          </w:tcPr>
          <w:p w14:paraId="1E120400" w14:textId="77777777" w:rsidR="00150C74" w:rsidRPr="0062572A" w:rsidRDefault="00150C74" w:rsidP="00150C74">
            <w:pPr>
              <w:spacing w:after="0"/>
              <w:ind w:left="0"/>
              <w:rPr>
                <w:szCs w:val="24"/>
              </w:rPr>
            </w:pPr>
            <w:r w:rsidRPr="0062572A">
              <w:rPr>
                <w:rFonts w:cs="Calibri"/>
                <w:color w:val="000000"/>
                <w:szCs w:val="24"/>
              </w:rPr>
              <w:t>Batch / Quarterly</w:t>
            </w:r>
          </w:p>
        </w:tc>
        <w:tc>
          <w:tcPr>
            <w:tcW w:w="2430" w:type="dxa"/>
            <w:vAlign w:val="center"/>
          </w:tcPr>
          <w:p w14:paraId="34304539" w14:textId="7803D63A" w:rsidR="00150C74" w:rsidRPr="0062572A" w:rsidRDefault="00150C74" w:rsidP="00150C74">
            <w:pPr>
              <w:spacing w:after="0"/>
              <w:ind w:left="0"/>
              <w:rPr>
                <w:szCs w:val="24"/>
              </w:rPr>
            </w:pPr>
            <w:r w:rsidRPr="0062572A">
              <w:rPr>
                <w:rFonts w:cs="Calibri"/>
                <w:color w:val="000000"/>
                <w:szCs w:val="24"/>
              </w:rPr>
              <w:t>DOL</w:t>
            </w:r>
          </w:p>
        </w:tc>
        <w:tc>
          <w:tcPr>
            <w:tcW w:w="2160" w:type="dxa"/>
            <w:vAlign w:val="center"/>
          </w:tcPr>
          <w:p w14:paraId="3ADC71A7" w14:textId="381BB7FD" w:rsidR="00150C74" w:rsidRPr="0062572A" w:rsidRDefault="00150C74" w:rsidP="00150C74">
            <w:pPr>
              <w:spacing w:after="0"/>
              <w:ind w:left="0"/>
              <w:rPr>
                <w:szCs w:val="24"/>
              </w:rPr>
            </w:pPr>
            <w:r w:rsidRPr="0062572A">
              <w:rPr>
                <w:rFonts w:cs="Calibri"/>
                <w:color w:val="000000"/>
                <w:szCs w:val="24"/>
              </w:rPr>
              <w:t>ETA 207 report</w:t>
            </w:r>
          </w:p>
        </w:tc>
        <w:tc>
          <w:tcPr>
            <w:tcW w:w="5940" w:type="dxa"/>
            <w:vAlign w:val="center"/>
          </w:tcPr>
          <w:p w14:paraId="3600D442" w14:textId="16DBED9E" w:rsidR="00150C74" w:rsidRPr="0062572A" w:rsidRDefault="00150C74" w:rsidP="00150C74">
            <w:pPr>
              <w:spacing w:after="0"/>
              <w:ind w:left="0"/>
              <w:rPr>
                <w:szCs w:val="24"/>
              </w:rPr>
            </w:pPr>
            <w:r>
              <w:rPr>
                <w:rFonts w:cs="Calibri"/>
                <w:color w:val="000000"/>
                <w:szCs w:val="24"/>
              </w:rPr>
              <w:t>Two files: Summary of non-monetary determination activities for a specific month</w:t>
            </w:r>
          </w:p>
        </w:tc>
      </w:tr>
      <w:tr w:rsidR="00150C74" w:rsidRPr="0062572A" w14:paraId="4E1AFC77" w14:textId="77777777" w:rsidTr="005204B9">
        <w:tc>
          <w:tcPr>
            <w:tcW w:w="877" w:type="dxa"/>
            <w:vAlign w:val="center"/>
          </w:tcPr>
          <w:p w14:paraId="7F349CCA" w14:textId="3797BB97" w:rsidR="00150C74" w:rsidRPr="0062572A" w:rsidRDefault="00150C74" w:rsidP="00150C74">
            <w:pPr>
              <w:spacing w:after="0"/>
              <w:ind w:left="0"/>
              <w:jc w:val="center"/>
              <w:rPr>
                <w:szCs w:val="24"/>
              </w:rPr>
            </w:pPr>
            <w:r>
              <w:rPr>
                <w:szCs w:val="22"/>
              </w:rPr>
              <w:t>22</w:t>
            </w:r>
          </w:p>
        </w:tc>
        <w:tc>
          <w:tcPr>
            <w:tcW w:w="1530" w:type="dxa"/>
            <w:vAlign w:val="center"/>
          </w:tcPr>
          <w:p w14:paraId="206FDACF" w14:textId="77777777" w:rsidR="00150C74" w:rsidRPr="0062572A" w:rsidRDefault="00150C74" w:rsidP="00150C74">
            <w:pPr>
              <w:spacing w:after="0"/>
              <w:ind w:left="0"/>
              <w:rPr>
                <w:szCs w:val="24"/>
              </w:rPr>
            </w:pPr>
            <w:r w:rsidRPr="0062572A">
              <w:rPr>
                <w:rFonts w:cs="Calibri"/>
                <w:color w:val="000000"/>
                <w:szCs w:val="24"/>
              </w:rPr>
              <w:t>Send</w:t>
            </w:r>
          </w:p>
        </w:tc>
        <w:tc>
          <w:tcPr>
            <w:tcW w:w="1620" w:type="dxa"/>
            <w:vAlign w:val="center"/>
          </w:tcPr>
          <w:p w14:paraId="7E2A008D" w14:textId="77777777" w:rsidR="00150C74" w:rsidRPr="0062572A" w:rsidRDefault="00150C74" w:rsidP="00150C74">
            <w:pPr>
              <w:spacing w:after="0"/>
              <w:ind w:left="0"/>
              <w:rPr>
                <w:szCs w:val="24"/>
              </w:rPr>
            </w:pPr>
            <w:r w:rsidRPr="0062572A">
              <w:rPr>
                <w:rFonts w:cs="Calibri"/>
                <w:color w:val="000000"/>
                <w:szCs w:val="24"/>
              </w:rPr>
              <w:t>Batch / Quarterly</w:t>
            </w:r>
          </w:p>
        </w:tc>
        <w:tc>
          <w:tcPr>
            <w:tcW w:w="2430" w:type="dxa"/>
            <w:vAlign w:val="center"/>
          </w:tcPr>
          <w:p w14:paraId="2C641AC2" w14:textId="5480A6BD" w:rsidR="00150C74" w:rsidRPr="0062572A" w:rsidRDefault="00150C74" w:rsidP="00150C74">
            <w:pPr>
              <w:spacing w:after="0"/>
              <w:ind w:left="0"/>
              <w:rPr>
                <w:szCs w:val="24"/>
              </w:rPr>
            </w:pPr>
            <w:r w:rsidRPr="0062572A">
              <w:rPr>
                <w:rFonts w:cs="Calibri"/>
                <w:color w:val="000000"/>
                <w:szCs w:val="24"/>
              </w:rPr>
              <w:t>DOL</w:t>
            </w:r>
          </w:p>
        </w:tc>
        <w:tc>
          <w:tcPr>
            <w:tcW w:w="2160" w:type="dxa"/>
            <w:vAlign w:val="center"/>
          </w:tcPr>
          <w:p w14:paraId="17634FEF" w14:textId="53E9292A" w:rsidR="00150C74" w:rsidRPr="0062572A" w:rsidRDefault="00150C74" w:rsidP="00150C74">
            <w:pPr>
              <w:spacing w:after="0"/>
              <w:ind w:left="0"/>
              <w:rPr>
                <w:szCs w:val="24"/>
              </w:rPr>
            </w:pPr>
            <w:r w:rsidRPr="0062572A">
              <w:rPr>
                <w:rFonts w:cs="Calibri"/>
                <w:color w:val="000000"/>
                <w:szCs w:val="24"/>
              </w:rPr>
              <w:t>ETA 218 report</w:t>
            </w:r>
          </w:p>
        </w:tc>
        <w:tc>
          <w:tcPr>
            <w:tcW w:w="5940" w:type="dxa"/>
            <w:vAlign w:val="center"/>
          </w:tcPr>
          <w:p w14:paraId="57FE33ED" w14:textId="77777777" w:rsidR="00150C74" w:rsidRPr="0062572A" w:rsidRDefault="00150C74" w:rsidP="00150C74">
            <w:pPr>
              <w:spacing w:after="0"/>
              <w:ind w:left="0"/>
              <w:rPr>
                <w:szCs w:val="24"/>
              </w:rPr>
            </w:pPr>
            <w:r>
              <w:rPr>
                <w:rFonts w:cs="Calibri"/>
                <w:color w:val="000000"/>
                <w:szCs w:val="24"/>
              </w:rPr>
              <w:t>Two files: Summary of payment activity for a specific quarter</w:t>
            </w:r>
          </w:p>
        </w:tc>
      </w:tr>
      <w:tr w:rsidR="00150C74" w:rsidRPr="0062572A" w14:paraId="0EA8D631" w14:textId="77777777" w:rsidTr="005204B9">
        <w:tc>
          <w:tcPr>
            <w:tcW w:w="877" w:type="dxa"/>
            <w:vAlign w:val="center"/>
          </w:tcPr>
          <w:p w14:paraId="7C54343F" w14:textId="69C8154F" w:rsidR="00150C74" w:rsidRPr="0062572A" w:rsidRDefault="00150C74" w:rsidP="00150C74">
            <w:pPr>
              <w:spacing w:after="0"/>
              <w:ind w:left="0"/>
              <w:jc w:val="center"/>
              <w:rPr>
                <w:szCs w:val="24"/>
              </w:rPr>
            </w:pPr>
            <w:r>
              <w:rPr>
                <w:color w:val="000000"/>
                <w:szCs w:val="22"/>
              </w:rPr>
              <w:t>23</w:t>
            </w:r>
          </w:p>
        </w:tc>
        <w:tc>
          <w:tcPr>
            <w:tcW w:w="1530" w:type="dxa"/>
            <w:vAlign w:val="center"/>
          </w:tcPr>
          <w:p w14:paraId="45655EFB" w14:textId="77777777" w:rsidR="00150C74" w:rsidRPr="0062572A" w:rsidRDefault="00150C74" w:rsidP="00150C74">
            <w:pPr>
              <w:spacing w:after="0"/>
              <w:ind w:left="0"/>
              <w:rPr>
                <w:szCs w:val="24"/>
              </w:rPr>
            </w:pPr>
            <w:r w:rsidRPr="0062572A">
              <w:rPr>
                <w:rFonts w:cs="Calibri"/>
                <w:color w:val="000000"/>
                <w:szCs w:val="24"/>
              </w:rPr>
              <w:t>Send</w:t>
            </w:r>
          </w:p>
        </w:tc>
        <w:tc>
          <w:tcPr>
            <w:tcW w:w="1620" w:type="dxa"/>
            <w:vAlign w:val="center"/>
          </w:tcPr>
          <w:p w14:paraId="5CF99408" w14:textId="77777777" w:rsidR="00150C74" w:rsidRPr="0062572A" w:rsidRDefault="00150C74" w:rsidP="00150C74">
            <w:pPr>
              <w:spacing w:after="0"/>
              <w:ind w:left="0"/>
              <w:rPr>
                <w:szCs w:val="24"/>
              </w:rPr>
            </w:pPr>
            <w:r w:rsidRPr="0062572A">
              <w:rPr>
                <w:rFonts w:cs="Calibri"/>
                <w:color w:val="000000"/>
                <w:szCs w:val="24"/>
              </w:rPr>
              <w:t>Batch / Quarterly</w:t>
            </w:r>
          </w:p>
        </w:tc>
        <w:tc>
          <w:tcPr>
            <w:tcW w:w="2430" w:type="dxa"/>
            <w:vAlign w:val="center"/>
          </w:tcPr>
          <w:p w14:paraId="6DB0D05E" w14:textId="431BFD84" w:rsidR="00150C74" w:rsidRPr="0062572A" w:rsidRDefault="00150C74" w:rsidP="00150C74">
            <w:pPr>
              <w:spacing w:after="0"/>
              <w:ind w:left="0"/>
              <w:rPr>
                <w:szCs w:val="24"/>
              </w:rPr>
            </w:pPr>
            <w:r w:rsidRPr="0062572A">
              <w:rPr>
                <w:rFonts w:cs="Calibri"/>
                <w:color w:val="000000"/>
                <w:szCs w:val="24"/>
              </w:rPr>
              <w:t>DOL</w:t>
            </w:r>
          </w:p>
        </w:tc>
        <w:tc>
          <w:tcPr>
            <w:tcW w:w="2160" w:type="dxa"/>
            <w:vAlign w:val="center"/>
          </w:tcPr>
          <w:p w14:paraId="3336A1B5" w14:textId="3D2EE5DF" w:rsidR="00150C74" w:rsidRPr="0062572A" w:rsidRDefault="00150C74" w:rsidP="00150C74">
            <w:pPr>
              <w:spacing w:after="0"/>
              <w:ind w:left="0"/>
              <w:rPr>
                <w:szCs w:val="24"/>
              </w:rPr>
            </w:pPr>
            <w:r w:rsidRPr="0062572A">
              <w:rPr>
                <w:rFonts w:cs="Calibri"/>
                <w:color w:val="000000"/>
                <w:szCs w:val="24"/>
              </w:rPr>
              <w:t>ETA 227 report</w:t>
            </w:r>
          </w:p>
        </w:tc>
        <w:tc>
          <w:tcPr>
            <w:tcW w:w="5940" w:type="dxa"/>
            <w:vAlign w:val="center"/>
          </w:tcPr>
          <w:p w14:paraId="51E66476" w14:textId="77777777" w:rsidR="00150C74" w:rsidRPr="0062572A" w:rsidRDefault="00150C74" w:rsidP="00150C74">
            <w:pPr>
              <w:spacing w:after="0"/>
              <w:ind w:left="0"/>
              <w:rPr>
                <w:szCs w:val="24"/>
              </w:rPr>
            </w:pPr>
            <w:r>
              <w:rPr>
                <w:rFonts w:cs="Calibri"/>
                <w:color w:val="000000"/>
                <w:szCs w:val="24"/>
              </w:rPr>
              <w:t>Two files: Summary of overpayments for a specific quarter or month</w:t>
            </w:r>
          </w:p>
        </w:tc>
      </w:tr>
      <w:tr w:rsidR="00150C74" w:rsidRPr="0062572A" w14:paraId="0C540DAF" w14:textId="77777777" w:rsidTr="005204B9">
        <w:tc>
          <w:tcPr>
            <w:tcW w:w="877" w:type="dxa"/>
            <w:vAlign w:val="center"/>
          </w:tcPr>
          <w:p w14:paraId="7E2DC8AC" w14:textId="131CCFE5" w:rsidR="00150C74" w:rsidRPr="0062572A" w:rsidRDefault="00150C74" w:rsidP="00150C74">
            <w:pPr>
              <w:spacing w:after="0"/>
              <w:ind w:left="0"/>
              <w:jc w:val="center"/>
              <w:rPr>
                <w:szCs w:val="24"/>
              </w:rPr>
            </w:pPr>
            <w:r>
              <w:rPr>
                <w:szCs w:val="22"/>
              </w:rPr>
              <w:t>24</w:t>
            </w:r>
          </w:p>
        </w:tc>
        <w:tc>
          <w:tcPr>
            <w:tcW w:w="1530" w:type="dxa"/>
            <w:vAlign w:val="center"/>
          </w:tcPr>
          <w:p w14:paraId="3D787B80" w14:textId="77777777" w:rsidR="00150C74" w:rsidRPr="0062572A" w:rsidRDefault="00150C74" w:rsidP="00150C74">
            <w:pPr>
              <w:spacing w:after="0"/>
              <w:ind w:left="0"/>
              <w:rPr>
                <w:szCs w:val="24"/>
              </w:rPr>
            </w:pPr>
            <w:r w:rsidRPr="0062572A">
              <w:rPr>
                <w:rFonts w:cs="Calibri"/>
                <w:color w:val="000000"/>
                <w:szCs w:val="24"/>
              </w:rPr>
              <w:t>Send</w:t>
            </w:r>
          </w:p>
        </w:tc>
        <w:tc>
          <w:tcPr>
            <w:tcW w:w="1620" w:type="dxa"/>
            <w:vAlign w:val="center"/>
          </w:tcPr>
          <w:p w14:paraId="5226B1A5" w14:textId="77777777" w:rsidR="00150C74" w:rsidRPr="0062572A" w:rsidRDefault="00150C74" w:rsidP="00150C74">
            <w:pPr>
              <w:spacing w:after="0"/>
              <w:ind w:left="0"/>
              <w:rPr>
                <w:szCs w:val="24"/>
              </w:rPr>
            </w:pPr>
            <w:r w:rsidRPr="0062572A">
              <w:rPr>
                <w:rFonts w:cs="Calibri"/>
                <w:color w:val="000000"/>
                <w:szCs w:val="24"/>
              </w:rPr>
              <w:t>Batch / Weekly</w:t>
            </w:r>
          </w:p>
        </w:tc>
        <w:tc>
          <w:tcPr>
            <w:tcW w:w="2430" w:type="dxa"/>
            <w:vAlign w:val="center"/>
          </w:tcPr>
          <w:p w14:paraId="3179E01B" w14:textId="05EEACAB" w:rsidR="00150C74" w:rsidRPr="0062572A" w:rsidRDefault="00150C74" w:rsidP="00150C74">
            <w:pPr>
              <w:spacing w:after="0"/>
              <w:ind w:left="0"/>
              <w:rPr>
                <w:szCs w:val="24"/>
              </w:rPr>
            </w:pPr>
            <w:r w:rsidRPr="0062572A">
              <w:rPr>
                <w:rFonts w:cs="Calibri"/>
                <w:color w:val="000000"/>
                <w:szCs w:val="24"/>
              </w:rPr>
              <w:t>DOL</w:t>
            </w:r>
          </w:p>
        </w:tc>
        <w:tc>
          <w:tcPr>
            <w:tcW w:w="2160" w:type="dxa"/>
            <w:vAlign w:val="center"/>
          </w:tcPr>
          <w:p w14:paraId="2B974B7E" w14:textId="0E9391CC" w:rsidR="00150C74" w:rsidRPr="0062572A" w:rsidRDefault="00150C74" w:rsidP="00150C74">
            <w:pPr>
              <w:spacing w:after="0"/>
              <w:ind w:left="0"/>
              <w:rPr>
                <w:szCs w:val="24"/>
              </w:rPr>
            </w:pPr>
            <w:r w:rsidRPr="0062572A">
              <w:rPr>
                <w:rFonts w:cs="Calibri"/>
                <w:color w:val="000000"/>
                <w:szCs w:val="24"/>
              </w:rPr>
              <w:t>ETA 538 data to the SUN system</w:t>
            </w:r>
          </w:p>
        </w:tc>
        <w:tc>
          <w:tcPr>
            <w:tcW w:w="5940" w:type="dxa"/>
            <w:vAlign w:val="center"/>
          </w:tcPr>
          <w:p w14:paraId="6637F8E3" w14:textId="77777777" w:rsidR="00150C74" w:rsidRPr="0062572A" w:rsidRDefault="00150C74" w:rsidP="00150C74">
            <w:pPr>
              <w:spacing w:after="0"/>
              <w:ind w:left="0"/>
              <w:rPr>
                <w:szCs w:val="24"/>
              </w:rPr>
            </w:pPr>
            <w:r w:rsidRPr="0062572A">
              <w:rPr>
                <w:rFonts w:cs="Calibri"/>
                <w:color w:val="000000"/>
                <w:szCs w:val="24"/>
              </w:rPr>
              <w:t>ETA Data 538 to SUN System</w:t>
            </w:r>
            <w:r>
              <w:rPr>
                <w:rFonts w:cs="Calibri"/>
                <w:color w:val="000000"/>
                <w:szCs w:val="24"/>
              </w:rPr>
              <w:t>: report of claims counts for a specific week</w:t>
            </w:r>
          </w:p>
        </w:tc>
      </w:tr>
      <w:tr w:rsidR="00150C74" w:rsidRPr="0062572A" w14:paraId="65F033CF" w14:textId="77777777" w:rsidTr="005204B9">
        <w:tc>
          <w:tcPr>
            <w:tcW w:w="877" w:type="dxa"/>
            <w:vAlign w:val="center"/>
          </w:tcPr>
          <w:p w14:paraId="0F9DB7A9" w14:textId="2F8632CD" w:rsidR="00150C74" w:rsidRPr="0062572A" w:rsidRDefault="00150C74" w:rsidP="00150C74">
            <w:pPr>
              <w:spacing w:after="0"/>
              <w:ind w:left="0"/>
              <w:jc w:val="center"/>
              <w:rPr>
                <w:szCs w:val="24"/>
              </w:rPr>
            </w:pPr>
            <w:r>
              <w:rPr>
                <w:color w:val="000000"/>
                <w:szCs w:val="22"/>
              </w:rPr>
              <w:t>25</w:t>
            </w:r>
          </w:p>
        </w:tc>
        <w:tc>
          <w:tcPr>
            <w:tcW w:w="1530" w:type="dxa"/>
            <w:vAlign w:val="center"/>
          </w:tcPr>
          <w:p w14:paraId="309B9401" w14:textId="77777777" w:rsidR="00150C74" w:rsidRPr="0062572A" w:rsidRDefault="00150C74" w:rsidP="00150C74">
            <w:pPr>
              <w:spacing w:after="0"/>
              <w:ind w:left="0"/>
              <w:rPr>
                <w:szCs w:val="24"/>
              </w:rPr>
            </w:pPr>
            <w:r w:rsidRPr="0062572A">
              <w:rPr>
                <w:rFonts w:cs="Calibri"/>
                <w:color w:val="000000"/>
                <w:szCs w:val="24"/>
              </w:rPr>
              <w:t>Send</w:t>
            </w:r>
          </w:p>
        </w:tc>
        <w:tc>
          <w:tcPr>
            <w:tcW w:w="1620" w:type="dxa"/>
            <w:vAlign w:val="center"/>
          </w:tcPr>
          <w:p w14:paraId="5B89BA63" w14:textId="77777777" w:rsidR="00150C74" w:rsidRPr="0062572A" w:rsidRDefault="00150C74" w:rsidP="00150C74">
            <w:pPr>
              <w:spacing w:after="0"/>
              <w:ind w:left="0"/>
              <w:rPr>
                <w:szCs w:val="24"/>
              </w:rPr>
            </w:pPr>
            <w:r w:rsidRPr="0062572A">
              <w:rPr>
                <w:rFonts w:cs="Calibri"/>
                <w:color w:val="000000"/>
                <w:szCs w:val="24"/>
              </w:rPr>
              <w:t>Batch / Monthly</w:t>
            </w:r>
          </w:p>
        </w:tc>
        <w:tc>
          <w:tcPr>
            <w:tcW w:w="2430" w:type="dxa"/>
            <w:vAlign w:val="center"/>
          </w:tcPr>
          <w:p w14:paraId="4DC04181" w14:textId="4F78D528" w:rsidR="00150C74" w:rsidRPr="0062572A" w:rsidRDefault="00150C74" w:rsidP="00150C74">
            <w:pPr>
              <w:spacing w:after="0"/>
              <w:ind w:left="0"/>
              <w:rPr>
                <w:szCs w:val="24"/>
              </w:rPr>
            </w:pPr>
            <w:r w:rsidRPr="0062572A">
              <w:rPr>
                <w:rFonts w:cs="Calibri"/>
                <w:color w:val="000000"/>
                <w:szCs w:val="24"/>
              </w:rPr>
              <w:t>DOL</w:t>
            </w:r>
          </w:p>
        </w:tc>
        <w:tc>
          <w:tcPr>
            <w:tcW w:w="2160" w:type="dxa"/>
            <w:vAlign w:val="center"/>
          </w:tcPr>
          <w:p w14:paraId="639DCE06" w14:textId="07F11644" w:rsidR="00150C74" w:rsidRPr="0062572A" w:rsidRDefault="00150C74" w:rsidP="00150C74">
            <w:pPr>
              <w:spacing w:after="0"/>
              <w:ind w:left="0"/>
              <w:rPr>
                <w:szCs w:val="24"/>
              </w:rPr>
            </w:pPr>
            <w:r w:rsidRPr="0062572A">
              <w:rPr>
                <w:rFonts w:cs="Calibri"/>
                <w:color w:val="000000"/>
                <w:szCs w:val="24"/>
              </w:rPr>
              <w:t>ETA reports</w:t>
            </w:r>
          </w:p>
        </w:tc>
        <w:tc>
          <w:tcPr>
            <w:tcW w:w="5940" w:type="dxa"/>
            <w:vAlign w:val="center"/>
          </w:tcPr>
          <w:p w14:paraId="37F5A60E" w14:textId="77777777" w:rsidR="00150C74" w:rsidRPr="0062572A" w:rsidRDefault="00150C74" w:rsidP="00150C74">
            <w:pPr>
              <w:spacing w:after="0"/>
              <w:ind w:left="0"/>
              <w:rPr>
                <w:szCs w:val="24"/>
              </w:rPr>
            </w:pPr>
            <w:r>
              <w:rPr>
                <w:rFonts w:cs="Calibri"/>
                <w:color w:val="000000"/>
                <w:szCs w:val="24"/>
              </w:rPr>
              <w:t>Three files: claim counts for a specific month</w:t>
            </w:r>
          </w:p>
        </w:tc>
      </w:tr>
      <w:tr w:rsidR="00150C74" w:rsidRPr="0062572A" w14:paraId="79C3BE94" w14:textId="77777777" w:rsidTr="005204B9">
        <w:tc>
          <w:tcPr>
            <w:tcW w:w="877" w:type="dxa"/>
            <w:vAlign w:val="center"/>
          </w:tcPr>
          <w:p w14:paraId="4B008C67" w14:textId="1F67E2B3" w:rsidR="00150C74" w:rsidRPr="0062572A" w:rsidRDefault="00150C74" w:rsidP="00150C74">
            <w:pPr>
              <w:spacing w:after="0"/>
              <w:ind w:left="0"/>
              <w:jc w:val="center"/>
              <w:rPr>
                <w:szCs w:val="24"/>
              </w:rPr>
            </w:pPr>
            <w:r>
              <w:rPr>
                <w:szCs w:val="22"/>
              </w:rPr>
              <w:t>26</w:t>
            </w:r>
          </w:p>
        </w:tc>
        <w:tc>
          <w:tcPr>
            <w:tcW w:w="1530" w:type="dxa"/>
            <w:vAlign w:val="center"/>
          </w:tcPr>
          <w:p w14:paraId="6F171D16" w14:textId="77777777" w:rsidR="00150C74" w:rsidRPr="0062572A" w:rsidRDefault="00150C74" w:rsidP="00150C74">
            <w:pPr>
              <w:spacing w:after="0"/>
              <w:ind w:left="0"/>
              <w:rPr>
                <w:szCs w:val="24"/>
              </w:rPr>
            </w:pPr>
            <w:r w:rsidRPr="0062572A">
              <w:rPr>
                <w:rFonts w:cs="Calibri"/>
                <w:color w:val="000000"/>
                <w:szCs w:val="24"/>
              </w:rPr>
              <w:t>Send</w:t>
            </w:r>
          </w:p>
        </w:tc>
        <w:tc>
          <w:tcPr>
            <w:tcW w:w="1620" w:type="dxa"/>
            <w:vAlign w:val="center"/>
          </w:tcPr>
          <w:p w14:paraId="64C3D4BE" w14:textId="77777777" w:rsidR="00150C74" w:rsidRPr="0062572A" w:rsidRDefault="00150C74" w:rsidP="00150C74">
            <w:pPr>
              <w:spacing w:after="0"/>
              <w:ind w:left="0"/>
              <w:rPr>
                <w:szCs w:val="24"/>
              </w:rPr>
            </w:pPr>
            <w:r w:rsidRPr="0062572A">
              <w:rPr>
                <w:rFonts w:cs="Calibri"/>
                <w:color w:val="000000"/>
                <w:szCs w:val="24"/>
              </w:rPr>
              <w:t>Batch / Weekly</w:t>
            </w:r>
          </w:p>
        </w:tc>
        <w:tc>
          <w:tcPr>
            <w:tcW w:w="2430" w:type="dxa"/>
            <w:vAlign w:val="center"/>
          </w:tcPr>
          <w:p w14:paraId="47C571B0" w14:textId="09FFD625" w:rsidR="00150C74" w:rsidRPr="0062572A" w:rsidRDefault="00150C74" w:rsidP="00150C74">
            <w:pPr>
              <w:spacing w:after="0"/>
              <w:ind w:left="0"/>
              <w:rPr>
                <w:szCs w:val="24"/>
              </w:rPr>
            </w:pPr>
            <w:r w:rsidRPr="0062572A">
              <w:rPr>
                <w:rFonts w:cs="Calibri"/>
                <w:color w:val="000000"/>
                <w:szCs w:val="24"/>
              </w:rPr>
              <w:t>DOL</w:t>
            </w:r>
          </w:p>
        </w:tc>
        <w:tc>
          <w:tcPr>
            <w:tcW w:w="2160" w:type="dxa"/>
            <w:vAlign w:val="center"/>
          </w:tcPr>
          <w:p w14:paraId="7CA73FA8" w14:textId="6CD8DEFB" w:rsidR="00150C74" w:rsidRPr="0062572A" w:rsidRDefault="00150C74" w:rsidP="00150C74">
            <w:pPr>
              <w:spacing w:after="0"/>
              <w:ind w:left="0"/>
              <w:rPr>
                <w:szCs w:val="24"/>
              </w:rPr>
            </w:pPr>
            <w:r w:rsidRPr="0062572A">
              <w:rPr>
                <w:rFonts w:cs="Calibri"/>
                <w:color w:val="000000"/>
                <w:szCs w:val="24"/>
              </w:rPr>
              <w:t>QC sample extract</w:t>
            </w:r>
          </w:p>
        </w:tc>
        <w:tc>
          <w:tcPr>
            <w:tcW w:w="5940" w:type="dxa"/>
            <w:vAlign w:val="center"/>
          </w:tcPr>
          <w:p w14:paraId="3741FE40" w14:textId="77777777" w:rsidR="00150C74" w:rsidRPr="0062572A" w:rsidRDefault="00150C74" w:rsidP="00150C74">
            <w:pPr>
              <w:spacing w:after="0"/>
              <w:ind w:left="0"/>
              <w:rPr>
                <w:szCs w:val="24"/>
              </w:rPr>
            </w:pPr>
            <w:r>
              <w:rPr>
                <w:rFonts w:cs="Calibri"/>
                <w:color w:val="000000"/>
                <w:szCs w:val="24"/>
              </w:rPr>
              <w:t>Three files: QC sample HIT file and additional extract information</w:t>
            </w:r>
          </w:p>
        </w:tc>
      </w:tr>
      <w:tr w:rsidR="00150C74" w:rsidRPr="0062572A" w14:paraId="59EA5D6A" w14:textId="77777777" w:rsidTr="005204B9">
        <w:tc>
          <w:tcPr>
            <w:tcW w:w="877" w:type="dxa"/>
            <w:vAlign w:val="center"/>
          </w:tcPr>
          <w:p w14:paraId="65733218" w14:textId="4FD59A82" w:rsidR="00150C74" w:rsidRPr="0062572A" w:rsidRDefault="00150C74" w:rsidP="00150C74">
            <w:pPr>
              <w:spacing w:after="0"/>
              <w:ind w:left="0"/>
              <w:jc w:val="center"/>
              <w:rPr>
                <w:szCs w:val="24"/>
              </w:rPr>
            </w:pPr>
            <w:r>
              <w:rPr>
                <w:color w:val="000000"/>
                <w:szCs w:val="22"/>
              </w:rPr>
              <w:t>27</w:t>
            </w:r>
          </w:p>
        </w:tc>
        <w:tc>
          <w:tcPr>
            <w:tcW w:w="1530" w:type="dxa"/>
            <w:vAlign w:val="center"/>
          </w:tcPr>
          <w:p w14:paraId="0F55A627" w14:textId="77777777" w:rsidR="00150C74" w:rsidRPr="0062572A" w:rsidRDefault="00150C74" w:rsidP="00150C74">
            <w:pPr>
              <w:spacing w:after="0"/>
              <w:ind w:left="0"/>
              <w:rPr>
                <w:szCs w:val="24"/>
              </w:rPr>
            </w:pPr>
            <w:r w:rsidRPr="0062572A">
              <w:rPr>
                <w:rFonts w:cs="Calibri"/>
                <w:color w:val="000000"/>
                <w:szCs w:val="24"/>
              </w:rPr>
              <w:t>Send</w:t>
            </w:r>
          </w:p>
        </w:tc>
        <w:tc>
          <w:tcPr>
            <w:tcW w:w="1620" w:type="dxa"/>
            <w:vAlign w:val="center"/>
          </w:tcPr>
          <w:p w14:paraId="63D3DB11" w14:textId="77777777" w:rsidR="00150C74" w:rsidRPr="0062572A" w:rsidRDefault="00150C74" w:rsidP="00150C74">
            <w:pPr>
              <w:spacing w:after="0"/>
              <w:ind w:left="0"/>
              <w:rPr>
                <w:szCs w:val="24"/>
              </w:rPr>
            </w:pPr>
            <w:r w:rsidRPr="0062572A">
              <w:rPr>
                <w:rFonts w:cs="Calibri"/>
                <w:color w:val="000000"/>
                <w:szCs w:val="24"/>
              </w:rPr>
              <w:t>Online / Annually</w:t>
            </w:r>
          </w:p>
        </w:tc>
        <w:tc>
          <w:tcPr>
            <w:tcW w:w="2430" w:type="dxa"/>
            <w:vAlign w:val="center"/>
          </w:tcPr>
          <w:p w14:paraId="5187FE28" w14:textId="738E6F54" w:rsidR="00150C74" w:rsidRPr="0062572A" w:rsidRDefault="00150C74" w:rsidP="00150C74">
            <w:pPr>
              <w:spacing w:after="0"/>
              <w:ind w:left="0"/>
              <w:rPr>
                <w:szCs w:val="24"/>
              </w:rPr>
            </w:pPr>
            <w:r w:rsidRPr="0062572A">
              <w:rPr>
                <w:rFonts w:cs="Calibri"/>
                <w:color w:val="000000"/>
                <w:szCs w:val="24"/>
              </w:rPr>
              <w:t>IRS</w:t>
            </w:r>
          </w:p>
        </w:tc>
        <w:tc>
          <w:tcPr>
            <w:tcW w:w="2160" w:type="dxa"/>
            <w:vAlign w:val="center"/>
          </w:tcPr>
          <w:p w14:paraId="692E1C58" w14:textId="5E20907D" w:rsidR="00150C74" w:rsidRPr="0062572A" w:rsidRDefault="00150C74" w:rsidP="00150C74">
            <w:pPr>
              <w:spacing w:after="0"/>
              <w:ind w:left="0"/>
              <w:rPr>
                <w:szCs w:val="24"/>
              </w:rPr>
            </w:pPr>
            <w:r>
              <w:rPr>
                <w:rFonts w:cs="Calibri"/>
                <w:color w:val="000000"/>
                <w:szCs w:val="24"/>
              </w:rPr>
              <w:t>Annual 1099-G f</w:t>
            </w:r>
            <w:r w:rsidRPr="0062572A">
              <w:rPr>
                <w:rFonts w:cs="Calibri"/>
                <w:color w:val="000000"/>
                <w:szCs w:val="24"/>
              </w:rPr>
              <w:t>ile to IRS</w:t>
            </w:r>
          </w:p>
        </w:tc>
        <w:tc>
          <w:tcPr>
            <w:tcW w:w="5940" w:type="dxa"/>
            <w:vAlign w:val="center"/>
          </w:tcPr>
          <w:p w14:paraId="290257AD" w14:textId="5BA5E689" w:rsidR="00150C74" w:rsidRPr="0062572A" w:rsidRDefault="00150C74" w:rsidP="00150C74">
            <w:pPr>
              <w:spacing w:after="0"/>
              <w:ind w:left="0"/>
              <w:rPr>
                <w:szCs w:val="24"/>
              </w:rPr>
            </w:pPr>
            <w:r>
              <w:rPr>
                <w:rFonts w:cs="Calibri"/>
                <w:color w:val="000000"/>
                <w:szCs w:val="24"/>
              </w:rPr>
              <w:t>Filing 1099-G to IRS</w:t>
            </w:r>
          </w:p>
        </w:tc>
      </w:tr>
      <w:tr w:rsidR="00150C74" w:rsidRPr="0062572A" w14:paraId="5FD2003A" w14:textId="77777777" w:rsidTr="005204B9">
        <w:tc>
          <w:tcPr>
            <w:tcW w:w="877" w:type="dxa"/>
            <w:vAlign w:val="center"/>
          </w:tcPr>
          <w:p w14:paraId="0F0E95FC" w14:textId="09D428DA" w:rsidR="00150C74" w:rsidRPr="0062572A" w:rsidRDefault="00150C74" w:rsidP="00150C74">
            <w:pPr>
              <w:spacing w:after="0"/>
              <w:ind w:left="0"/>
              <w:jc w:val="center"/>
              <w:rPr>
                <w:szCs w:val="24"/>
              </w:rPr>
            </w:pPr>
            <w:r>
              <w:rPr>
                <w:szCs w:val="22"/>
              </w:rPr>
              <w:t>28</w:t>
            </w:r>
          </w:p>
        </w:tc>
        <w:tc>
          <w:tcPr>
            <w:tcW w:w="1530" w:type="dxa"/>
            <w:vAlign w:val="center"/>
          </w:tcPr>
          <w:p w14:paraId="3D9C9C4B" w14:textId="77777777" w:rsidR="00150C74" w:rsidRPr="0062572A" w:rsidRDefault="00150C74" w:rsidP="00150C74">
            <w:pPr>
              <w:spacing w:after="0"/>
              <w:ind w:left="0"/>
              <w:rPr>
                <w:szCs w:val="24"/>
              </w:rPr>
            </w:pPr>
            <w:r w:rsidRPr="0062572A">
              <w:rPr>
                <w:rFonts w:cs="Calibri"/>
                <w:color w:val="000000"/>
                <w:szCs w:val="24"/>
              </w:rPr>
              <w:t>Both</w:t>
            </w:r>
          </w:p>
        </w:tc>
        <w:tc>
          <w:tcPr>
            <w:tcW w:w="1620" w:type="dxa"/>
            <w:vAlign w:val="center"/>
          </w:tcPr>
          <w:p w14:paraId="3C24C87B" w14:textId="77777777" w:rsidR="00150C74" w:rsidRPr="0062572A" w:rsidRDefault="00150C74" w:rsidP="00150C74">
            <w:pPr>
              <w:spacing w:after="0"/>
              <w:ind w:left="0"/>
              <w:rPr>
                <w:szCs w:val="24"/>
              </w:rPr>
            </w:pPr>
            <w:r w:rsidRPr="0062572A">
              <w:rPr>
                <w:rFonts w:cs="Calibri"/>
                <w:color w:val="000000"/>
                <w:szCs w:val="24"/>
              </w:rPr>
              <w:t>Batch / Weekly</w:t>
            </w:r>
          </w:p>
        </w:tc>
        <w:tc>
          <w:tcPr>
            <w:tcW w:w="2430" w:type="dxa"/>
            <w:vAlign w:val="center"/>
          </w:tcPr>
          <w:p w14:paraId="6A2BEB5A" w14:textId="77777777" w:rsidR="00150C74" w:rsidRPr="0062572A" w:rsidRDefault="00150C74" w:rsidP="00150C74">
            <w:pPr>
              <w:spacing w:after="0"/>
              <w:ind w:left="0"/>
              <w:rPr>
                <w:szCs w:val="24"/>
              </w:rPr>
            </w:pPr>
            <w:r w:rsidRPr="0062572A">
              <w:rPr>
                <w:rFonts w:cs="Calibri"/>
                <w:color w:val="000000"/>
                <w:szCs w:val="24"/>
              </w:rPr>
              <w:t>General Motors</w:t>
            </w:r>
          </w:p>
        </w:tc>
        <w:tc>
          <w:tcPr>
            <w:tcW w:w="2160" w:type="dxa"/>
            <w:vAlign w:val="center"/>
          </w:tcPr>
          <w:p w14:paraId="31F0BF47" w14:textId="77777777" w:rsidR="00150C74" w:rsidRPr="0062572A" w:rsidRDefault="00150C74" w:rsidP="00150C74">
            <w:pPr>
              <w:spacing w:after="0"/>
              <w:ind w:left="0"/>
              <w:rPr>
                <w:szCs w:val="24"/>
              </w:rPr>
            </w:pPr>
            <w:r w:rsidRPr="0062572A">
              <w:rPr>
                <w:rFonts w:cs="Calibri"/>
                <w:color w:val="000000"/>
                <w:szCs w:val="24"/>
              </w:rPr>
              <w:t xml:space="preserve">General Motors </w:t>
            </w:r>
            <w:r>
              <w:rPr>
                <w:rFonts w:cs="Calibri"/>
                <w:color w:val="000000"/>
                <w:szCs w:val="24"/>
              </w:rPr>
              <w:t xml:space="preserve">Claimant </w:t>
            </w:r>
            <w:r w:rsidRPr="0062572A">
              <w:rPr>
                <w:rFonts w:cs="Calibri"/>
                <w:color w:val="000000"/>
                <w:szCs w:val="24"/>
              </w:rPr>
              <w:t>crossmatch</w:t>
            </w:r>
          </w:p>
        </w:tc>
        <w:tc>
          <w:tcPr>
            <w:tcW w:w="5940" w:type="dxa"/>
            <w:vAlign w:val="center"/>
          </w:tcPr>
          <w:p w14:paraId="7BE6C9A0" w14:textId="52714C05" w:rsidR="00150C74" w:rsidRPr="0062572A" w:rsidRDefault="00150C74" w:rsidP="00150C74">
            <w:pPr>
              <w:spacing w:after="0"/>
              <w:ind w:left="0"/>
              <w:rPr>
                <w:szCs w:val="24"/>
              </w:rPr>
            </w:pPr>
            <w:r>
              <w:rPr>
                <w:rFonts w:cs="Calibri"/>
                <w:color w:val="000000"/>
                <w:szCs w:val="24"/>
              </w:rPr>
              <w:t>GM mass layoff for crossmatch</w:t>
            </w:r>
          </w:p>
        </w:tc>
      </w:tr>
      <w:tr w:rsidR="00150C74" w14:paraId="21C5E688" w14:textId="77777777" w:rsidTr="005204B9">
        <w:tc>
          <w:tcPr>
            <w:tcW w:w="877" w:type="dxa"/>
            <w:vAlign w:val="center"/>
          </w:tcPr>
          <w:p w14:paraId="165F89B7" w14:textId="679FE6EE" w:rsidR="00150C74" w:rsidRDefault="00150C74" w:rsidP="00150C74">
            <w:pPr>
              <w:spacing w:after="0"/>
              <w:ind w:left="0"/>
              <w:jc w:val="center"/>
              <w:rPr>
                <w:rFonts w:cs="Calibri"/>
                <w:color w:val="000000"/>
                <w:szCs w:val="24"/>
              </w:rPr>
            </w:pPr>
            <w:r>
              <w:rPr>
                <w:color w:val="000000"/>
                <w:szCs w:val="22"/>
              </w:rPr>
              <w:lastRenderedPageBreak/>
              <w:t>29</w:t>
            </w:r>
          </w:p>
        </w:tc>
        <w:tc>
          <w:tcPr>
            <w:tcW w:w="1530" w:type="dxa"/>
            <w:vAlign w:val="center"/>
          </w:tcPr>
          <w:p w14:paraId="6A32E062" w14:textId="77777777" w:rsidR="00150C74" w:rsidRDefault="00150C74" w:rsidP="00150C74">
            <w:pPr>
              <w:spacing w:after="0"/>
              <w:ind w:left="0"/>
              <w:rPr>
                <w:rFonts w:cs="Calibri"/>
                <w:color w:val="000000"/>
                <w:szCs w:val="24"/>
              </w:rPr>
            </w:pPr>
            <w:r>
              <w:rPr>
                <w:rFonts w:cs="Calibri"/>
                <w:color w:val="000000"/>
                <w:szCs w:val="24"/>
              </w:rPr>
              <w:t>Both</w:t>
            </w:r>
          </w:p>
        </w:tc>
        <w:tc>
          <w:tcPr>
            <w:tcW w:w="1620" w:type="dxa"/>
            <w:vAlign w:val="center"/>
          </w:tcPr>
          <w:p w14:paraId="3CD70491" w14:textId="77777777" w:rsidR="00150C74" w:rsidRDefault="00150C74" w:rsidP="00150C74">
            <w:pPr>
              <w:spacing w:after="0"/>
              <w:ind w:left="0"/>
              <w:rPr>
                <w:rFonts w:cs="Calibri"/>
                <w:color w:val="000000"/>
                <w:szCs w:val="24"/>
              </w:rPr>
            </w:pPr>
            <w:r>
              <w:rPr>
                <w:rFonts w:cs="Calibri"/>
                <w:color w:val="000000"/>
                <w:szCs w:val="24"/>
              </w:rPr>
              <w:t>Online</w:t>
            </w:r>
          </w:p>
        </w:tc>
        <w:tc>
          <w:tcPr>
            <w:tcW w:w="2430" w:type="dxa"/>
            <w:vAlign w:val="center"/>
          </w:tcPr>
          <w:p w14:paraId="1FD6F6E9" w14:textId="77777777" w:rsidR="00150C74" w:rsidRDefault="00150C74" w:rsidP="00150C74">
            <w:pPr>
              <w:spacing w:after="0"/>
              <w:ind w:left="0"/>
              <w:rPr>
                <w:rFonts w:cs="Calibri"/>
                <w:color w:val="000000"/>
                <w:szCs w:val="24"/>
              </w:rPr>
            </w:pPr>
            <w:r>
              <w:rPr>
                <w:rFonts w:cs="Calibri"/>
                <w:color w:val="000000"/>
                <w:szCs w:val="24"/>
              </w:rPr>
              <w:t>Hosted IVR</w:t>
            </w:r>
          </w:p>
        </w:tc>
        <w:tc>
          <w:tcPr>
            <w:tcW w:w="2160" w:type="dxa"/>
            <w:vAlign w:val="center"/>
          </w:tcPr>
          <w:p w14:paraId="14CB0005" w14:textId="77777777" w:rsidR="00150C74" w:rsidRDefault="00150C74" w:rsidP="00150C74">
            <w:pPr>
              <w:spacing w:after="0"/>
              <w:ind w:left="0"/>
              <w:rPr>
                <w:rFonts w:cs="Calibri"/>
                <w:color w:val="000000"/>
                <w:szCs w:val="24"/>
              </w:rPr>
            </w:pPr>
            <w:r w:rsidRPr="001A4872">
              <w:rPr>
                <w:rFonts w:cs="Calibri"/>
                <w:color w:val="000000"/>
                <w:szCs w:val="24"/>
              </w:rPr>
              <w:t>RPC/BN11/CALLNAT</w:t>
            </w:r>
          </w:p>
        </w:tc>
        <w:tc>
          <w:tcPr>
            <w:tcW w:w="5940" w:type="dxa"/>
            <w:vAlign w:val="center"/>
          </w:tcPr>
          <w:p w14:paraId="4ACC7C35" w14:textId="3E60406B" w:rsidR="00150C74" w:rsidRDefault="00150C74" w:rsidP="00150C74">
            <w:pPr>
              <w:spacing w:after="0"/>
              <w:ind w:left="0"/>
              <w:rPr>
                <w:rFonts w:cs="Calibri"/>
                <w:color w:val="000000"/>
                <w:szCs w:val="24"/>
              </w:rPr>
            </w:pPr>
            <w:r>
              <w:rPr>
                <w:rFonts w:cs="Calibri"/>
                <w:color w:val="000000"/>
                <w:szCs w:val="24"/>
              </w:rPr>
              <w:t>Web service to exchange data with AT&amp;T/TTEC hosted IVR; differs from data connection for TOP IVR application</w:t>
            </w:r>
          </w:p>
        </w:tc>
      </w:tr>
      <w:tr w:rsidR="00150C74" w:rsidRPr="0062572A" w14:paraId="7728609B" w14:textId="77777777" w:rsidTr="005204B9">
        <w:tc>
          <w:tcPr>
            <w:tcW w:w="877" w:type="dxa"/>
            <w:vAlign w:val="center"/>
          </w:tcPr>
          <w:p w14:paraId="4029AAC0" w14:textId="364D3BBE" w:rsidR="00150C74" w:rsidRPr="0062572A" w:rsidRDefault="00150C74" w:rsidP="00150C74">
            <w:pPr>
              <w:spacing w:after="0"/>
              <w:ind w:left="0"/>
              <w:jc w:val="center"/>
              <w:rPr>
                <w:rFonts w:cs="Calibri"/>
                <w:color w:val="000000"/>
                <w:szCs w:val="24"/>
              </w:rPr>
            </w:pPr>
            <w:r>
              <w:rPr>
                <w:szCs w:val="22"/>
              </w:rPr>
              <w:t>30</w:t>
            </w:r>
          </w:p>
        </w:tc>
        <w:tc>
          <w:tcPr>
            <w:tcW w:w="1530" w:type="dxa"/>
            <w:vAlign w:val="center"/>
          </w:tcPr>
          <w:p w14:paraId="19885C32" w14:textId="77777777" w:rsidR="00150C74" w:rsidRPr="0062572A" w:rsidRDefault="00150C74" w:rsidP="00150C74">
            <w:pPr>
              <w:spacing w:after="0"/>
              <w:ind w:left="0"/>
              <w:rPr>
                <w:szCs w:val="24"/>
              </w:rPr>
            </w:pPr>
            <w:r w:rsidRPr="0062572A">
              <w:rPr>
                <w:rFonts w:cs="Calibri"/>
                <w:color w:val="000000"/>
                <w:szCs w:val="24"/>
              </w:rPr>
              <w:t>Send</w:t>
            </w:r>
          </w:p>
        </w:tc>
        <w:tc>
          <w:tcPr>
            <w:tcW w:w="1620" w:type="dxa"/>
            <w:vAlign w:val="center"/>
          </w:tcPr>
          <w:p w14:paraId="1F45B8D7" w14:textId="77777777" w:rsidR="00150C74" w:rsidRPr="0062572A" w:rsidRDefault="00150C74" w:rsidP="00150C74">
            <w:pPr>
              <w:spacing w:after="0"/>
              <w:ind w:left="0"/>
              <w:rPr>
                <w:szCs w:val="24"/>
              </w:rPr>
            </w:pPr>
            <w:r w:rsidRPr="0062572A">
              <w:rPr>
                <w:rFonts w:cs="Calibri"/>
                <w:color w:val="000000"/>
                <w:szCs w:val="24"/>
              </w:rPr>
              <w:t>Batch / Quarterly</w:t>
            </w:r>
          </w:p>
        </w:tc>
        <w:tc>
          <w:tcPr>
            <w:tcW w:w="2430" w:type="dxa"/>
            <w:vAlign w:val="center"/>
          </w:tcPr>
          <w:p w14:paraId="50D0DF4E" w14:textId="5ACD522F" w:rsidR="00150C74" w:rsidRPr="0062572A" w:rsidRDefault="00150C74" w:rsidP="00150C74">
            <w:pPr>
              <w:spacing w:after="0"/>
              <w:ind w:left="0"/>
              <w:rPr>
                <w:szCs w:val="24"/>
              </w:rPr>
            </w:pPr>
            <w:r>
              <w:rPr>
                <w:rFonts w:cs="Calibri"/>
                <w:color w:val="000000"/>
                <w:szCs w:val="24"/>
              </w:rPr>
              <w:t>ICON system to Q d</w:t>
            </w:r>
            <w:r w:rsidRPr="0062572A">
              <w:rPr>
                <w:rFonts w:cs="Calibri"/>
                <w:color w:val="000000"/>
                <w:szCs w:val="24"/>
              </w:rPr>
              <w:t>rive then to MSDES (Milita</w:t>
            </w:r>
            <w:r>
              <w:rPr>
                <w:rFonts w:cs="Calibri"/>
                <w:color w:val="000000"/>
                <w:szCs w:val="24"/>
              </w:rPr>
              <w:t>ry State Data Exchange System) w</w:t>
            </w:r>
            <w:r w:rsidRPr="0062572A">
              <w:rPr>
                <w:rFonts w:cs="Calibri"/>
                <w:color w:val="000000"/>
                <w:szCs w:val="24"/>
              </w:rPr>
              <w:t>ebsite</w:t>
            </w:r>
          </w:p>
        </w:tc>
        <w:tc>
          <w:tcPr>
            <w:tcW w:w="2160" w:type="dxa"/>
            <w:vAlign w:val="center"/>
          </w:tcPr>
          <w:p w14:paraId="78138CF2" w14:textId="3C1F6ACA" w:rsidR="00150C74" w:rsidRPr="0062572A" w:rsidRDefault="00150C74" w:rsidP="00150C74">
            <w:pPr>
              <w:spacing w:after="0"/>
              <w:ind w:left="0"/>
              <w:rPr>
                <w:szCs w:val="24"/>
              </w:rPr>
            </w:pPr>
            <w:r w:rsidRPr="0062572A">
              <w:rPr>
                <w:rFonts w:cs="Calibri"/>
                <w:color w:val="000000"/>
                <w:szCs w:val="24"/>
              </w:rPr>
              <w:t>UCX (military) quarterly billing file</w:t>
            </w:r>
          </w:p>
        </w:tc>
        <w:tc>
          <w:tcPr>
            <w:tcW w:w="5940" w:type="dxa"/>
            <w:vAlign w:val="center"/>
          </w:tcPr>
          <w:p w14:paraId="21132969" w14:textId="4C7BC6E2" w:rsidR="00150C74" w:rsidRPr="0062572A" w:rsidRDefault="00150C74" w:rsidP="00150C74">
            <w:pPr>
              <w:spacing w:after="0"/>
              <w:ind w:left="0"/>
              <w:rPr>
                <w:szCs w:val="24"/>
              </w:rPr>
            </w:pPr>
            <w:r w:rsidRPr="0062572A">
              <w:rPr>
                <w:rFonts w:cs="Calibri"/>
                <w:color w:val="000000"/>
                <w:szCs w:val="24"/>
              </w:rPr>
              <w:t xml:space="preserve">Quarterly </w:t>
            </w:r>
            <w:r>
              <w:rPr>
                <w:rFonts w:cs="Calibri"/>
                <w:color w:val="000000"/>
                <w:szCs w:val="24"/>
              </w:rPr>
              <w:t>m</w:t>
            </w:r>
            <w:r w:rsidRPr="0062572A">
              <w:rPr>
                <w:rFonts w:cs="Calibri"/>
                <w:color w:val="000000"/>
                <w:szCs w:val="24"/>
              </w:rPr>
              <w:t xml:space="preserve">ilitary </w:t>
            </w:r>
            <w:r>
              <w:rPr>
                <w:rFonts w:cs="Calibri"/>
                <w:color w:val="000000"/>
                <w:szCs w:val="24"/>
              </w:rPr>
              <w:t>b</w:t>
            </w:r>
            <w:r w:rsidRPr="0062572A">
              <w:rPr>
                <w:rFonts w:cs="Calibri"/>
                <w:color w:val="000000"/>
                <w:szCs w:val="24"/>
              </w:rPr>
              <w:t xml:space="preserve">ill to </w:t>
            </w:r>
            <w:r>
              <w:rPr>
                <w:rFonts w:cs="Calibri"/>
                <w:color w:val="000000"/>
                <w:szCs w:val="24"/>
              </w:rPr>
              <w:t>f</w:t>
            </w:r>
            <w:r w:rsidRPr="0062572A">
              <w:rPr>
                <w:rFonts w:cs="Calibri"/>
                <w:color w:val="000000"/>
                <w:szCs w:val="24"/>
              </w:rPr>
              <w:t xml:space="preserve">ederal </w:t>
            </w:r>
            <w:r>
              <w:rPr>
                <w:rFonts w:cs="Calibri"/>
                <w:color w:val="000000"/>
                <w:szCs w:val="24"/>
              </w:rPr>
              <w:t>w</w:t>
            </w:r>
            <w:r w:rsidRPr="0062572A">
              <w:rPr>
                <w:rFonts w:cs="Calibri"/>
                <w:color w:val="000000"/>
                <w:szCs w:val="24"/>
              </w:rPr>
              <w:t>ebsite for TWC reimbursement</w:t>
            </w:r>
          </w:p>
        </w:tc>
      </w:tr>
      <w:tr w:rsidR="00150C74" w:rsidRPr="0062572A" w14:paraId="41BE12CB" w14:textId="77777777" w:rsidTr="005204B9">
        <w:tc>
          <w:tcPr>
            <w:tcW w:w="877" w:type="dxa"/>
            <w:vAlign w:val="center"/>
          </w:tcPr>
          <w:p w14:paraId="630F14BD" w14:textId="48A3008B" w:rsidR="00150C74" w:rsidRPr="0062572A" w:rsidRDefault="00150C74" w:rsidP="00150C74">
            <w:pPr>
              <w:spacing w:after="0"/>
              <w:ind w:left="0"/>
              <w:jc w:val="center"/>
              <w:rPr>
                <w:rFonts w:cs="Calibri"/>
                <w:color w:val="000000"/>
                <w:szCs w:val="24"/>
              </w:rPr>
            </w:pPr>
            <w:r>
              <w:rPr>
                <w:color w:val="000000"/>
                <w:szCs w:val="22"/>
              </w:rPr>
              <w:t>31</w:t>
            </w:r>
          </w:p>
        </w:tc>
        <w:tc>
          <w:tcPr>
            <w:tcW w:w="1530" w:type="dxa"/>
            <w:vAlign w:val="center"/>
          </w:tcPr>
          <w:p w14:paraId="549B8F5E" w14:textId="77777777" w:rsidR="00150C74" w:rsidRPr="0062572A" w:rsidRDefault="00150C74" w:rsidP="00150C74">
            <w:pPr>
              <w:spacing w:after="0"/>
              <w:ind w:left="0"/>
              <w:rPr>
                <w:szCs w:val="24"/>
              </w:rPr>
            </w:pPr>
            <w:r w:rsidRPr="0062572A">
              <w:rPr>
                <w:rFonts w:cs="Calibri"/>
                <w:color w:val="000000"/>
                <w:szCs w:val="24"/>
              </w:rPr>
              <w:t>Send</w:t>
            </w:r>
          </w:p>
        </w:tc>
        <w:tc>
          <w:tcPr>
            <w:tcW w:w="1620" w:type="dxa"/>
            <w:vAlign w:val="center"/>
          </w:tcPr>
          <w:p w14:paraId="6ED7FAE3" w14:textId="77777777" w:rsidR="00150C74" w:rsidRPr="0062572A" w:rsidRDefault="00150C74" w:rsidP="00150C74">
            <w:pPr>
              <w:spacing w:after="0"/>
              <w:ind w:left="0"/>
              <w:rPr>
                <w:szCs w:val="24"/>
              </w:rPr>
            </w:pPr>
            <w:r w:rsidRPr="0062572A">
              <w:rPr>
                <w:rFonts w:cs="Calibri"/>
                <w:color w:val="000000"/>
                <w:szCs w:val="24"/>
              </w:rPr>
              <w:t>Online / Run by conditions</w:t>
            </w:r>
          </w:p>
        </w:tc>
        <w:tc>
          <w:tcPr>
            <w:tcW w:w="2430" w:type="dxa"/>
            <w:vAlign w:val="center"/>
          </w:tcPr>
          <w:p w14:paraId="6EC0CC53" w14:textId="77777777" w:rsidR="00150C74" w:rsidRPr="0062572A" w:rsidRDefault="00150C74" w:rsidP="00150C74">
            <w:pPr>
              <w:spacing w:after="0"/>
              <w:ind w:left="0"/>
              <w:rPr>
                <w:szCs w:val="24"/>
              </w:rPr>
            </w:pPr>
            <w:r w:rsidRPr="0062572A">
              <w:rPr>
                <w:rFonts w:cs="Calibri"/>
                <w:color w:val="000000"/>
                <w:szCs w:val="24"/>
              </w:rPr>
              <w:t>IRS</w:t>
            </w:r>
          </w:p>
        </w:tc>
        <w:tc>
          <w:tcPr>
            <w:tcW w:w="2160" w:type="dxa"/>
            <w:vAlign w:val="center"/>
          </w:tcPr>
          <w:p w14:paraId="756B81B6" w14:textId="7E716443" w:rsidR="00150C74" w:rsidRPr="0062572A" w:rsidRDefault="00150C74" w:rsidP="00150C74">
            <w:pPr>
              <w:spacing w:after="0"/>
              <w:ind w:left="0"/>
              <w:rPr>
                <w:szCs w:val="24"/>
              </w:rPr>
            </w:pPr>
            <w:r w:rsidRPr="0062572A">
              <w:rPr>
                <w:rFonts w:cs="Calibri"/>
                <w:color w:val="000000"/>
                <w:szCs w:val="24"/>
              </w:rPr>
              <w:t>Ove</w:t>
            </w:r>
            <w:r>
              <w:rPr>
                <w:rFonts w:cs="Calibri"/>
                <w:color w:val="000000"/>
                <w:szCs w:val="24"/>
              </w:rPr>
              <w:t>rpayment Treasury t</w:t>
            </w:r>
            <w:r w:rsidRPr="0062572A">
              <w:rPr>
                <w:rFonts w:cs="Calibri"/>
                <w:color w:val="000000"/>
                <w:szCs w:val="24"/>
              </w:rPr>
              <w:t>ransmission to IRS</w:t>
            </w:r>
          </w:p>
        </w:tc>
        <w:tc>
          <w:tcPr>
            <w:tcW w:w="5940" w:type="dxa"/>
            <w:vAlign w:val="center"/>
          </w:tcPr>
          <w:p w14:paraId="385C232C" w14:textId="491C713C" w:rsidR="00150C74" w:rsidRPr="0062572A" w:rsidRDefault="00150C74" w:rsidP="00150C74">
            <w:pPr>
              <w:spacing w:after="0"/>
              <w:ind w:left="0"/>
              <w:rPr>
                <w:szCs w:val="24"/>
              </w:rPr>
            </w:pPr>
            <w:r w:rsidRPr="0062572A">
              <w:rPr>
                <w:rFonts w:cs="Calibri"/>
                <w:color w:val="000000"/>
                <w:szCs w:val="24"/>
              </w:rPr>
              <w:t xml:space="preserve">For IRS to intercept overpayments of </w:t>
            </w:r>
            <w:r>
              <w:rPr>
                <w:rFonts w:cs="Calibri"/>
                <w:color w:val="000000"/>
                <w:szCs w:val="24"/>
              </w:rPr>
              <w:t xml:space="preserve">Claimants, </w:t>
            </w:r>
            <w:r>
              <w:t>send an email with transmission file information, and receive an error file of any transmission errors from IRS</w:t>
            </w:r>
          </w:p>
        </w:tc>
      </w:tr>
      <w:tr w:rsidR="00150C74" w:rsidRPr="0062572A" w14:paraId="5BEB5615" w14:textId="77777777" w:rsidTr="005204B9">
        <w:tc>
          <w:tcPr>
            <w:tcW w:w="877" w:type="dxa"/>
            <w:vAlign w:val="center"/>
          </w:tcPr>
          <w:p w14:paraId="33E3DE59" w14:textId="3058A1E6" w:rsidR="00150C74" w:rsidRPr="00AE79C1" w:rsidRDefault="00150C74" w:rsidP="00150C74">
            <w:pPr>
              <w:spacing w:after="0"/>
              <w:ind w:left="0"/>
              <w:jc w:val="center"/>
              <w:rPr>
                <w:rFonts w:cs="Calibri"/>
                <w:color w:val="000000"/>
                <w:szCs w:val="24"/>
              </w:rPr>
            </w:pPr>
            <w:r>
              <w:rPr>
                <w:szCs w:val="22"/>
              </w:rPr>
              <w:t>32</w:t>
            </w:r>
          </w:p>
        </w:tc>
        <w:tc>
          <w:tcPr>
            <w:tcW w:w="1530" w:type="dxa"/>
            <w:vAlign w:val="center"/>
          </w:tcPr>
          <w:p w14:paraId="47D5C5B0" w14:textId="77777777" w:rsidR="00150C74" w:rsidRPr="0062572A" w:rsidRDefault="00150C74" w:rsidP="00150C74">
            <w:pPr>
              <w:spacing w:after="0"/>
              <w:ind w:left="0"/>
              <w:rPr>
                <w:rFonts w:cs="Calibri"/>
                <w:color w:val="000000"/>
                <w:szCs w:val="24"/>
              </w:rPr>
            </w:pPr>
            <w:r>
              <w:rPr>
                <w:rFonts w:cs="Calibri"/>
                <w:color w:val="000000"/>
                <w:szCs w:val="24"/>
              </w:rPr>
              <w:t>Receive</w:t>
            </w:r>
          </w:p>
        </w:tc>
        <w:tc>
          <w:tcPr>
            <w:tcW w:w="1620" w:type="dxa"/>
            <w:vAlign w:val="center"/>
          </w:tcPr>
          <w:p w14:paraId="6F0DC41B" w14:textId="77777777" w:rsidR="00150C74" w:rsidRPr="0062572A" w:rsidRDefault="00150C74" w:rsidP="00150C74">
            <w:pPr>
              <w:spacing w:after="0"/>
              <w:ind w:left="0"/>
              <w:rPr>
                <w:rFonts w:cs="Calibri"/>
                <w:color w:val="000000"/>
                <w:szCs w:val="24"/>
              </w:rPr>
            </w:pPr>
            <w:r>
              <w:rPr>
                <w:rFonts w:cs="Calibri"/>
                <w:color w:val="000000"/>
                <w:szCs w:val="24"/>
              </w:rPr>
              <w:t>Tied to Transmission</w:t>
            </w:r>
          </w:p>
        </w:tc>
        <w:tc>
          <w:tcPr>
            <w:tcW w:w="2430" w:type="dxa"/>
            <w:vAlign w:val="center"/>
          </w:tcPr>
          <w:p w14:paraId="7E293179" w14:textId="77777777" w:rsidR="00150C74" w:rsidRPr="0062572A" w:rsidRDefault="00150C74" w:rsidP="00150C74">
            <w:pPr>
              <w:spacing w:after="0"/>
              <w:ind w:left="0"/>
              <w:rPr>
                <w:rFonts w:cs="Calibri"/>
                <w:color w:val="000000"/>
                <w:szCs w:val="24"/>
              </w:rPr>
            </w:pPr>
            <w:r>
              <w:rPr>
                <w:rFonts w:cs="Calibri"/>
                <w:color w:val="000000"/>
                <w:szCs w:val="24"/>
              </w:rPr>
              <w:t>IRS</w:t>
            </w:r>
          </w:p>
        </w:tc>
        <w:tc>
          <w:tcPr>
            <w:tcW w:w="2160" w:type="dxa"/>
            <w:vAlign w:val="center"/>
          </w:tcPr>
          <w:p w14:paraId="0D5BDDEE" w14:textId="18770987" w:rsidR="00150C74" w:rsidRPr="0062572A" w:rsidRDefault="00150C74" w:rsidP="00150C74">
            <w:pPr>
              <w:spacing w:after="0"/>
              <w:ind w:left="0"/>
              <w:rPr>
                <w:rFonts w:cs="Calibri"/>
                <w:color w:val="000000"/>
                <w:szCs w:val="24"/>
              </w:rPr>
            </w:pPr>
            <w:r>
              <w:rPr>
                <w:rFonts w:cs="Calibri"/>
                <w:color w:val="000000"/>
                <w:szCs w:val="24"/>
              </w:rPr>
              <w:t>TOP transmission error file</w:t>
            </w:r>
          </w:p>
        </w:tc>
        <w:tc>
          <w:tcPr>
            <w:tcW w:w="5940" w:type="dxa"/>
            <w:vAlign w:val="center"/>
          </w:tcPr>
          <w:p w14:paraId="185DA764" w14:textId="3FB4A0A3" w:rsidR="00150C74" w:rsidRDefault="00150C74" w:rsidP="00150C74">
            <w:pPr>
              <w:spacing w:after="0"/>
              <w:ind w:left="0"/>
              <w:rPr>
                <w:rFonts w:cs="Calibri"/>
                <w:color w:val="000000"/>
                <w:szCs w:val="24"/>
              </w:rPr>
            </w:pPr>
            <w:r>
              <w:rPr>
                <w:rFonts w:cs="Calibri"/>
                <w:color w:val="000000"/>
                <w:szCs w:val="24"/>
              </w:rPr>
              <w:t>IRS validates our transmission file and generates an error file we process</w:t>
            </w:r>
          </w:p>
        </w:tc>
      </w:tr>
      <w:tr w:rsidR="00150C74" w:rsidRPr="0062572A" w14:paraId="7EAA52E2" w14:textId="77777777" w:rsidTr="005204B9">
        <w:tc>
          <w:tcPr>
            <w:tcW w:w="877" w:type="dxa"/>
            <w:vAlign w:val="center"/>
          </w:tcPr>
          <w:p w14:paraId="6E524AA7" w14:textId="02AC428D" w:rsidR="00150C74" w:rsidRPr="0062572A" w:rsidRDefault="00150C74" w:rsidP="00150C74">
            <w:pPr>
              <w:spacing w:after="0"/>
              <w:ind w:left="0"/>
              <w:jc w:val="center"/>
              <w:rPr>
                <w:rFonts w:cs="Calibri"/>
                <w:color w:val="000000"/>
                <w:szCs w:val="24"/>
              </w:rPr>
            </w:pPr>
            <w:r>
              <w:rPr>
                <w:color w:val="000000"/>
                <w:szCs w:val="22"/>
              </w:rPr>
              <w:t>33</w:t>
            </w:r>
          </w:p>
        </w:tc>
        <w:tc>
          <w:tcPr>
            <w:tcW w:w="1530" w:type="dxa"/>
            <w:vAlign w:val="center"/>
          </w:tcPr>
          <w:p w14:paraId="6606DF81" w14:textId="77777777" w:rsidR="00150C74" w:rsidRPr="0062572A" w:rsidRDefault="00150C74" w:rsidP="00150C74">
            <w:pPr>
              <w:spacing w:after="0"/>
              <w:ind w:left="0"/>
              <w:rPr>
                <w:szCs w:val="24"/>
              </w:rPr>
            </w:pPr>
            <w:r w:rsidRPr="0062572A">
              <w:rPr>
                <w:rFonts w:cs="Calibri"/>
                <w:color w:val="000000"/>
                <w:szCs w:val="24"/>
              </w:rPr>
              <w:t>Receive</w:t>
            </w:r>
          </w:p>
        </w:tc>
        <w:tc>
          <w:tcPr>
            <w:tcW w:w="1620" w:type="dxa"/>
            <w:vAlign w:val="center"/>
          </w:tcPr>
          <w:p w14:paraId="30B93500" w14:textId="77777777" w:rsidR="00150C74" w:rsidRPr="0062572A" w:rsidRDefault="00150C74" w:rsidP="00150C74">
            <w:pPr>
              <w:spacing w:after="0"/>
              <w:ind w:left="0"/>
              <w:rPr>
                <w:szCs w:val="24"/>
              </w:rPr>
            </w:pPr>
            <w:r w:rsidRPr="0062572A">
              <w:rPr>
                <w:rFonts w:cs="Calibri"/>
                <w:color w:val="000000"/>
                <w:szCs w:val="24"/>
              </w:rPr>
              <w:t>Online / Run by trigger file</w:t>
            </w:r>
          </w:p>
        </w:tc>
        <w:tc>
          <w:tcPr>
            <w:tcW w:w="2430" w:type="dxa"/>
            <w:vAlign w:val="center"/>
          </w:tcPr>
          <w:p w14:paraId="4C33125F" w14:textId="77777777" w:rsidR="00150C74" w:rsidRPr="0062572A" w:rsidRDefault="00150C74" w:rsidP="00150C74">
            <w:pPr>
              <w:spacing w:after="0"/>
              <w:ind w:left="0"/>
              <w:rPr>
                <w:szCs w:val="24"/>
              </w:rPr>
            </w:pPr>
            <w:r w:rsidRPr="0062572A">
              <w:rPr>
                <w:rFonts w:cs="Calibri"/>
                <w:color w:val="000000"/>
                <w:szCs w:val="24"/>
              </w:rPr>
              <w:t>IRS</w:t>
            </w:r>
          </w:p>
        </w:tc>
        <w:tc>
          <w:tcPr>
            <w:tcW w:w="2160" w:type="dxa"/>
            <w:vAlign w:val="center"/>
          </w:tcPr>
          <w:p w14:paraId="5E54AA64" w14:textId="54C24648" w:rsidR="00150C74" w:rsidRPr="0062572A" w:rsidRDefault="00150C74" w:rsidP="00150C74">
            <w:pPr>
              <w:spacing w:after="0"/>
              <w:ind w:left="0"/>
              <w:rPr>
                <w:szCs w:val="24"/>
              </w:rPr>
            </w:pPr>
            <w:r w:rsidRPr="0062572A">
              <w:rPr>
                <w:rFonts w:cs="Calibri"/>
                <w:color w:val="000000"/>
                <w:szCs w:val="24"/>
              </w:rPr>
              <w:t xml:space="preserve">TOP weekly eligible debt extract </w:t>
            </w:r>
          </w:p>
        </w:tc>
        <w:tc>
          <w:tcPr>
            <w:tcW w:w="5940" w:type="dxa"/>
            <w:vAlign w:val="center"/>
          </w:tcPr>
          <w:p w14:paraId="71199D09" w14:textId="77777777" w:rsidR="00150C74" w:rsidRPr="0062572A" w:rsidRDefault="00150C74" w:rsidP="00150C74">
            <w:pPr>
              <w:spacing w:after="0"/>
              <w:ind w:left="0"/>
              <w:rPr>
                <w:szCs w:val="24"/>
              </w:rPr>
            </w:pPr>
            <w:r w:rsidRPr="0062572A">
              <w:rPr>
                <w:rFonts w:cs="Calibri"/>
                <w:color w:val="000000"/>
                <w:szCs w:val="24"/>
              </w:rPr>
              <w:t>Receive IRS weekly intercept file</w:t>
            </w:r>
          </w:p>
        </w:tc>
      </w:tr>
      <w:tr w:rsidR="00150C74" w:rsidRPr="0062572A" w14:paraId="39FE37B6" w14:textId="77777777" w:rsidTr="005204B9">
        <w:tc>
          <w:tcPr>
            <w:tcW w:w="877" w:type="dxa"/>
            <w:vAlign w:val="center"/>
          </w:tcPr>
          <w:p w14:paraId="673AA89A" w14:textId="005395A9" w:rsidR="00150C74" w:rsidRPr="0062572A" w:rsidRDefault="00150C74" w:rsidP="00150C74">
            <w:pPr>
              <w:spacing w:after="0"/>
              <w:ind w:left="0"/>
              <w:jc w:val="center"/>
              <w:rPr>
                <w:rFonts w:cs="Calibri"/>
                <w:color w:val="000000"/>
                <w:szCs w:val="24"/>
              </w:rPr>
            </w:pPr>
            <w:r>
              <w:rPr>
                <w:szCs w:val="22"/>
              </w:rPr>
              <w:t>34</w:t>
            </w:r>
          </w:p>
        </w:tc>
        <w:tc>
          <w:tcPr>
            <w:tcW w:w="1530" w:type="dxa"/>
            <w:vAlign w:val="center"/>
          </w:tcPr>
          <w:p w14:paraId="50630991" w14:textId="77777777" w:rsidR="00150C74" w:rsidRPr="0062572A" w:rsidRDefault="00150C74" w:rsidP="00150C74">
            <w:pPr>
              <w:spacing w:after="0"/>
              <w:ind w:left="0"/>
              <w:rPr>
                <w:szCs w:val="24"/>
              </w:rPr>
            </w:pPr>
            <w:r w:rsidRPr="0062572A">
              <w:rPr>
                <w:rFonts w:cs="Calibri"/>
                <w:color w:val="000000"/>
                <w:szCs w:val="24"/>
              </w:rPr>
              <w:t>Receive</w:t>
            </w:r>
          </w:p>
        </w:tc>
        <w:tc>
          <w:tcPr>
            <w:tcW w:w="1620" w:type="dxa"/>
            <w:vAlign w:val="center"/>
          </w:tcPr>
          <w:p w14:paraId="0272CF8E" w14:textId="77777777" w:rsidR="00150C74" w:rsidRPr="0062572A" w:rsidRDefault="00150C74" w:rsidP="00150C74">
            <w:pPr>
              <w:spacing w:after="0"/>
              <w:ind w:left="0"/>
              <w:rPr>
                <w:szCs w:val="24"/>
              </w:rPr>
            </w:pPr>
            <w:r w:rsidRPr="0062572A">
              <w:rPr>
                <w:rFonts w:cs="Calibri"/>
                <w:color w:val="000000"/>
                <w:szCs w:val="24"/>
              </w:rPr>
              <w:t>Online / Weekly</w:t>
            </w:r>
          </w:p>
        </w:tc>
        <w:tc>
          <w:tcPr>
            <w:tcW w:w="2430" w:type="dxa"/>
            <w:vAlign w:val="center"/>
          </w:tcPr>
          <w:p w14:paraId="09911FD4" w14:textId="77777777" w:rsidR="00150C74" w:rsidRPr="0062572A" w:rsidRDefault="00150C74" w:rsidP="00150C74">
            <w:pPr>
              <w:spacing w:after="0"/>
              <w:ind w:left="0"/>
              <w:rPr>
                <w:szCs w:val="24"/>
              </w:rPr>
            </w:pPr>
            <w:r w:rsidRPr="0062572A">
              <w:rPr>
                <w:rFonts w:cs="Calibri"/>
                <w:color w:val="000000"/>
                <w:szCs w:val="24"/>
              </w:rPr>
              <w:t>IRS</w:t>
            </w:r>
          </w:p>
        </w:tc>
        <w:tc>
          <w:tcPr>
            <w:tcW w:w="2160" w:type="dxa"/>
            <w:vAlign w:val="center"/>
          </w:tcPr>
          <w:p w14:paraId="1F7EC610" w14:textId="15B53E48" w:rsidR="00150C74" w:rsidRPr="0062572A" w:rsidRDefault="00150C74" w:rsidP="00150C74">
            <w:pPr>
              <w:spacing w:after="0"/>
              <w:ind w:left="0"/>
              <w:rPr>
                <w:szCs w:val="24"/>
              </w:rPr>
            </w:pPr>
            <w:r w:rsidRPr="0062572A">
              <w:rPr>
                <w:rFonts w:cs="Calibri"/>
                <w:color w:val="000000"/>
                <w:szCs w:val="24"/>
              </w:rPr>
              <w:t>TOP weekly intercept</w:t>
            </w:r>
          </w:p>
        </w:tc>
        <w:tc>
          <w:tcPr>
            <w:tcW w:w="5940" w:type="dxa"/>
            <w:vAlign w:val="center"/>
          </w:tcPr>
          <w:p w14:paraId="5D810734" w14:textId="144CEE62" w:rsidR="00150C74" w:rsidRPr="00BC6097" w:rsidRDefault="00150C74" w:rsidP="00150C74">
            <w:pPr>
              <w:spacing w:after="0"/>
              <w:ind w:left="0"/>
              <w:rPr>
                <w:rFonts w:cs="Calibri"/>
                <w:color w:val="000000"/>
                <w:szCs w:val="24"/>
              </w:rPr>
            </w:pPr>
            <w:r>
              <w:rPr>
                <w:rFonts w:cs="Calibri"/>
                <w:color w:val="000000"/>
                <w:szCs w:val="24"/>
              </w:rPr>
              <w:t>TOP overpayment intercept</w:t>
            </w:r>
          </w:p>
        </w:tc>
      </w:tr>
      <w:tr w:rsidR="00150C74" w:rsidRPr="0062572A" w14:paraId="197FDCFB" w14:textId="77777777" w:rsidTr="005204B9">
        <w:tc>
          <w:tcPr>
            <w:tcW w:w="877" w:type="dxa"/>
            <w:vAlign w:val="center"/>
          </w:tcPr>
          <w:p w14:paraId="68AC0CCB" w14:textId="21A13728" w:rsidR="00150C74" w:rsidRPr="00AE79C1" w:rsidRDefault="00150C74" w:rsidP="00150C74">
            <w:pPr>
              <w:spacing w:after="0"/>
              <w:ind w:left="0"/>
              <w:jc w:val="center"/>
              <w:rPr>
                <w:rFonts w:cs="Calibri"/>
                <w:color w:val="000000"/>
                <w:szCs w:val="24"/>
              </w:rPr>
            </w:pPr>
            <w:bookmarkStart w:id="422" w:name="_Hlk509303997"/>
            <w:r>
              <w:rPr>
                <w:color w:val="000000"/>
                <w:szCs w:val="22"/>
              </w:rPr>
              <w:t>35</w:t>
            </w:r>
          </w:p>
        </w:tc>
        <w:tc>
          <w:tcPr>
            <w:tcW w:w="1530" w:type="dxa"/>
            <w:vAlign w:val="center"/>
          </w:tcPr>
          <w:p w14:paraId="2B73B31F" w14:textId="77777777" w:rsidR="00150C74" w:rsidRPr="0062572A" w:rsidRDefault="00150C74" w:rsidP="00150C74">
            <w:pPr>
              <w:spacing w:after="0"/>
              <w:ind w:left="0"/>
              <w:rPr>
                <w:rFonts w:cs="Calibri"/>
                <w:color w:val="000000"/>
                <w:szCs w:val="24"/>
              </w:rPr>
            </w:pPr>
            <w:r>
              <w:rPr>
                <w:rFonts w:cs="Calibri"/>
                <w:color w:val="000000"/>
                <w:szCs w:val="24"/>
              </w:rPr>
              <w:t>Send</w:t>
            </w:r>
          </w:p>
        </w:tc>
        <w:tc>
          <w:tcPr>
            <w:tcW w:w="1620" w:type="dxa"/>
            <w:vAlign w:val="center"/>
          </w:tcPr>
          <w:p w14:paraId="10AB6AE8" w14:textId="77777777" w:rsidR="00150C74" w:rsidRPr="0062572A" w:rsidRDefault="00150C74" w:rsidP="00150C74">
            <w:pPr>
              <w:spacing w:after="0"/>
              <w:ind w:left="0"/>
              <w:rPr>
                <w:rFonts w:cs="Calibri"/>
                <w:color w:val="000000"/>
                <w:szCs w:val="24"/>
              </w:rPr>
            </w:pPr>
            <w:r>
              <w:rPr>
                <w:rFonts w:cs="Calibri"/>
                <w:color w:val="000000"/>
                <w:szCs w:val="24"/>
              </w:rPr>
              <w:t>Email</w:t>
            </w:r>
          </w:p>
        </w:tc>
        <w:tc>
          <w:tcPr>
            <w:tcW w:w="2430" w:type="dxa"/>
            <w:vAlign w:val="center"/>
          </w:tcPr>
          <w:p w14:paraId="1B30F411" w14:textId="77777777" w:rsidR="00150C74" w:rsidRPr="0062572A" w:rsidRDefault="00150C74" w:rsidP="00150C74">
            <w:pPr>
              <w:spacing w:after="0"/>
              <w:ind w:left="0"/>
              <w:rPr>
                <w:rFonts w:cs="Calibri"/>
                <w:color w:val="000000"/>
                <w:szCs w:val="24"/>
              </w:rPr>
            </w:pPr>
            <w:r>
              <w:rPr>
                <w:rFonts w:cs="Calibri"/>
                <w:color w:val="000000"/>
                <w:szCs w:val="24"/>
              </w:rPr>
              <w:t>IRS</w:t>
            </w:r>
          </w:p>
        </w:tc>
        <w:tc>
          <w:tcPr>
            <w:tcW w:w="2160" w:type="dxa"/>
            <w:vAlign w:val="center"/>
          </w:tcPr>
          <w:p w14:paraId="400FE2FA" w14:textId="77777777" w:rsidR="00150C74" w:rsidRPr="0062572A" w:rsidRDefault="00150C74" w:rsidP="00150C74">
            <w:pPr>
              <w:spacing w:after="0"/>
              <w:ind w:left="0"/>
              <w:rPr>
                <w:rFonts w:cs="Calibri"/>
                <w:color w:val="000000"/>
                <w:szCs w:val="24"/>
              </w:rPr>
            </w:pPr>
            <w:r>
              <w:rPr>
                <w:rFonts w:cs="Calibri"/>
                <w:color w:val="000000"/>
                <w:szCs w:val="24"/>
              </w:rPr>
              <w:t xml:space="preserve">Transmission file details </w:t>
            </w:r>
          </w:p>
        </w:tc>
        <w:tc>
          <w:tcPr>
            <w:tcW w:w="5940" w:type="dxa"/>
            <w:vAlign w:val="center"/>
          </w:tcPr>
          <w:p w14:paraId="3C837081" w14:textId="2BD08745" w:rsidR="00150C74" w:rsidRPr="0062572A" w:rsidRDefault="00150C74" w:rsidP="00150C74">
            <w:pPr>
              <w:spacing w:after="0"/>
              <w:ind w:left="0"/>
              <w:rPr>
                <w:rFonts w:cs="Calibri"/>
                <w:color w:val="000000"/>
                <w:szCs w:val="24"/>
              </w:rPr>
            </w:pPr>
            <w:r>
              <w:rPr>
                <w:rFonts w:cs="Calibri"/>
                <w:color w:val="000000"/>
                <w:szCs w:val="24"/>
              </w:rPr>
              <w:t>IRS requires that specific information associated with our transmission file is sent before transmission</w:t>
            </w:r>
          </w:p>
        </w:tc>
      </w:tr>
      <w:tr w:rsidR="00150C74" w:rsidRPr="0062572A" w14:paraId="56BE7517" w14:textId="77777777" w:rsidTr="005204B9">
        <w:tc>
          <w:tcPr>
            <w:tcW w:w="877" w:type="dxa"/>
            <w:vAlign w:val="center"/>
          </w:tcPr>
          <w:p w14:paraId="594D5409" w14:textId="3249EE0C" w:rsidR="00150C74" w:rsidRPr="0062572A" w:rsidRDefault="00150C74" w:rsidP="00150C74">
            <w:pPr>
              <w:spacing w:after="0"/>
              <w:ind w:left="0"/>
              <w:jc w:val="center"/>
              <w:rPr>
                <w:szCs w:val="24"/>
              </w:rPr>
            </w:pPr>
            <w:r>
              <w:rPr>
                <w:szCs w:val="22"/>
              </w:rPr>
              <w:t>36</w:t>
            </w:r>
          </w:p>
        </w:tc>
        <w:tc>
          <w:tcPr>
            <w:tcW w:w="1530" w:type="dxa"/>
            <w:vAlign w:val="center"/>
          </w:tcPr>
          <w:p w14:paraId="069DC8B8" w14:textId="77777777" w:rsidR="00150C74" w:rsidRPr="0062572A" w:rsidRDefault="00150C74" w:rsidP="00150C74">
            <w:pPr>
              <w:spacing w:after="0"/>
              <w:ind w:left="0"/>
              <w:rPr>
                <w:szCs w:val="24"/>
              </w:rPr>
            </w:pPr>
            <w:r w:rsidRPr="0062572A">
              <w:rPr>
                <w:rFonts w:cs="Calibri"/>
                <w:color w:val="000000"/>
                <w:szCs w:val="24"/>
              </w:rPr>
              <w:t>Send</w:t>
            </w:r>
          </w:p>
        </w:tc>
        <w:tc>
          <w:tcPr>
            <w:tcW w:w="1620" w:type="dxa"/>
            <w:vAlign w:val="center"/>
          </w:tcPr>
          <w:p w14:paraId="6E2A0073" w14:textId="77777777" w:rsidR="00150C74" w:rsidRPr="0062572A" w:rsidRDefault="00150C74" w:rsidP="00150C74">
            <w:pPr>
              <w:spacing w:after="0"/>
              <w:ind w:left="0"/>
              <w:rPr>
                <w:szCs w:val="24"/>
              </w:rPr>
            </w:pPr>
            <w:r w:rsidRPr="0062572A">
              <w:rPr>
                <w:rFonts w:cs="Calibri"/>
                <w:color w:val="000000"/>
                <w:szCs w:val="24"/>
              </w:rPr>
              <w:t>Batch / Weekly</w:t>
            </w:r>
          </w:p>
        </w:tc>
        <w:tc>
          <w:tcPr>
            <w:tcW w:w="2430" w:type="dxa"/>
            <w:vAlign w:val="center"/>
          </w:tcPr>
          <w:p w14:paraId="5C60322A" w14:textId="132F6F81" w:rsidR="00150C74" w:rsidRPr="0062572A" w:rsidRDefault="00150C74" w:rsidP="00150C74">
            <w:pPr>
              <w:spacing w:after="0"/>
              <w:ind w:left="0"/>
              <w:rPr>
                <w:szCs w:val="24"/>
              </w:rPr>
            </w:pPr>
            <w:r w:rsidRPr="0062572A">
              <w:rPr>
                <w:rFonts w:cs="Calibri"/>
                <w:color w:val="000000"/>
                <w:szCs w:val="24"/>
              </w:rPr>
              <w:t>LM</w:t>
            </w:r>
            <w:r>
              <w:rPr>
                <w:rFonts w:cs="Calibri"/>
                <w:color w:val="000000"/>
                <w:szCs w:val="24"/>
              </w:rPr>
              <w:t>C</w:t>
            </w:r>
            <w:r w:rsidRPr="0062572A">
              <w:rPr>
                <w:rFonts w:cs="Calibri"/>
                <w:color w:val="000000"/>
                <w:szCs w:val="24"/>
              </w:rPr>
              <w:t>I</w:t>
            </w:r>
          </w:p>
        </w:tc>
        <w:tc>
          <w:tcPr>
            <w:tcW w:w="2160" w:type="dxa"/>
            <w:vAlign w:val="center"/>
          </w:tcPr>
          <w:p w14:paraId="71714ECB" w14:textId="06D6954F" w:rsidR="00150C74" w:rsidRPr="0062572A" w:rsidRDefault="00150C74" w:rsidP="00150C74">
            <w:pPr>
              <w:spacing w:after="0"/>
              <w:ind w:left="0"/>
              <w:rPr>
                <w:szCs w:val="24"/>
              </w:rPr>
            </w:pPr>
            <w:r w:rsidRPr="0062572A">
              <w:rPr>
                <w:rFonts w:cs="Calibri"/>
                <w:color w:val="000000"/>
                <w:szCs w:val="24"/>
              </w:rPr>
              <w:t>Claim extract process</w:t>
            </w:r>
          </w:p>
        </w:tc>
        <w:tc>
          <w:tcPr>
            <w:tcW w:w="5940" w:type="dxa"/>
            <w:vAlign w:val="center"/>
          </w:tcPr>
          <w:p w14:paraId="22E8C446" w14:textId="77777777" w:rsidR="00150C74" w:rsidRPr="0062572A" w:rsidRDefault="00150C74" w:rsidP="00150C74">
            <w:pPr>
              <w:spacing w:after="0"/>
              <w:ind w:left="0"/>
              <w:rPr>
                <w:szCs w:val="24"/>
              </w:rPr>
            </w:pPr>
            <w:r>
              <w:rPr>
                <w:rFonts w:cs="Calibri"/>
                <w:color w:val="000000"/>
                <w:szCs w:val="24"/>
              </w:rPr>
              <w:t>Extracts of claims, continued claims and exhaustee data</w:t>
            </w:r>
          </w:p>
        </w:tc>
      </w:tr>
      <w:bookmarkEnd w:id="422"/>
      <w:tr w:rsidR="00150C74" w:rsidRPr="0062572A" w14:paraId="29F1B392" w14:textId="77777777" w:rsidTr="005204B9">
        <w:tc>
          <w:tcPr>
            <w:tcW w:w="877" w:type="dxa"/>
            <w:vAlign w:val="center"/>
          </w:tcPr>
          <w:p w14:paraId="639ECE04" w14:textId="3C4B9F0A" w:rsidR="00150C74" w:rsidRPr="0062572A" w:rsidRDefault="00150C74" w:rsidP="00150C74">
            <w:pPr>
              <w:spacing w:after="0"/>
              <w:ind w:left="0"/>
              <w:jc w:val="center"/>
              <w:rPr>
                <w:szCs w:val="24"/>
              </w:rPr>
            </w:pPr>
            <w:r>
              <w:rPr>
                <w:color w:val="000000"/>
                <w:szCs w:val="22"/>
              </w:rPr>
              <w:t>37</w:t>
            </w:r>
          </w:p>
        </w:tc>
        <w:tc>
          <w:tcPr>
            <w:tcW w:w="1530" w:type="dxa"/>
            <w:vAlign w:val="center"/>
          </w:tcPr>
          <w:p w14:paraId="5E526769" w14:textId="77777777" w:rsidR="00150C74" w:rsidRPr="0062572A" w:rsidRDefault="00150C74" w:rsidP="00150C74">
            <w:pPr>
              <w:spacing w:after="0"/>
              <w:ind w:left="0"/>
              <w:rPr>
                <w:szCs w:val="24"/>
              </w:rPr>
            </w:pPr>
            <w:r w:rsidRPr="0062572A">
              <w:rPr>
                <w:rFonts w:cs="Calibri"/>
                <w:color w:val="000000"/>
                <w:szCs w:val="24"/>
              </w:rPr>
              <w:t>Send</w:t>
            </w:r>
          </w:p>
        </w:tc>
        <w:tc>
          <w:tcPr>
            <w:tcW w:w="1620" w:type="dxa"/>
            <w:vAlign w:val="center"/>
          </w:tcPr>
          <w:p w14:paraId="1A561FEE" w14:textId="77777777" w:rsidR="00150C74" w:rsidRPr="0062572A" w:rsidRDefault="00150C74" w:rsidP="00150C74">
            <w:pPr>
              <w:spacing w:after="0"/>
              <w:ind w:left="0"/>
              <w:rPr>
                <w:szCs w:val="24"/>
              </w:rPr>
            </w:pPr>
            <w:r w:rsidRPr="0062572A">
              <w:rPr>
                <w:rFonts w:cs="Calibri"/>
                <w:color w:val="000000"/>
                <w:szCs w:val="24"/>
              </w:rPr>
              <w:t>Batch / Weekly</w:t>
            </w:r>
          </w:p>
        </w:tc>
        <w:tc>
          <w:tcPr>
            <w:tcW w:w="2430" w:type="dxa"/>
            <w:vAlign w:val="center"/>
          </w:tcPr>
          <w:p w14:paraId="7513BFCE" w14:textId="58B25F20" w:rsidR="00150C74" w:rsidRPr="0062572A" w:rsidRDefault="00150C74" w:rsidP="00150C74">
            <w:pPr>
              <w:spacing w:after="0"/>
              <w:ind w:left="0"/>
              <w:rPr>
                <w:szCs w:val="24"/>
              </w:rPr>
            </w:pPr>
            <w:r w:rsidRPr="0062572A">
              <w:rPr>
                <w:rFonts w:cs="Calibri"/>
                <w:color w:val="000000"/>
                <w:szCs w:val="24"/>
              </w:rPr>
              <w:t>LM</w:t>
            </w:r>
            <w:r>
              <w:rPr>
                <w:rFonts w:cs="Calibri"/>
                <w:color w:val="000000"/>
                <w:szCs w:val="24"/>
              </w:rPr>
              <w:t>C</w:t>
            </w:r>
            <w:r w:rsidRPr="0062572A">
              <w:rPr>
                <w:rFonts w:cs="Calibri"/>
                <w:color w:val="000000"/>
                <w:szCs w:val="24"/>
              </w:rPr>
              <w:t>I</w:t>
            </w:r>
          </w:p>
        </w:tc>
        <w:tc>
          <w:tcPr>
            <w:tcW w:w="2160" w:type="dxa"/>
            <w:vAlign w:val="center"/>
          </w:tcPr>
          <w:p w14:paraId="11B23395" w14:textId="11F2515A" w:rsidR="00150C74" w:rsidRPr="0062572A" w:rsidRDefault="00150C74" w:rsidP="00150C74">
            <w:pPr>
              <w:spacing w:after="0"/>
              <w:ind w:left="0"/>
              <w:rPr>
                <w:szCs w:val="24"/>
              </w:rPr>
            </w:pPr>
            <w:r w:rsidRPr="0062572A">
              <w:rPr>
                <w:rFonts w:cs="Calibri"/>
                <w:color w:val="000000"/>
                <w:szCs w:val="24"/>
              </w:rPr>
              <w:t>LADT IC, AC, RO update process</w:t>
            </w:r>
          </w:p>
        </w:tc>
        <w:tc>
          <w:tcPr>
            <w:tcW w:w="5940" w:type="dxa"/>
            <w:vAlign w:val="center"/>
          </w:tcPr>
          <w:p w14:paraId="7C718469" w14:textId="20A86F04" w:rsidR="00150C74" w:rsidRPr="0062572A" w:rsidRDefault="00150C74" w:rsidP="00150C74">
            <w:pPr>
              <w:spacing w:after="0"/>
              <w:ind w:left="0"/>
              <w:rPr>
                <w:szCs w:val="24"/>
              </w:rPr>
            </w:pPr>
            <w:r>
              <w:rPr>
                <w:rFonts w:cs="Calibri"/>
                <w:color w:val="000000"/>
                <w:szCs w:val="24"/>
              </w:rPr>
              <w:t>Report of LADT IC, AC and RO claims established</w:t>
            </w:r>
          </w:p>
        </w:tc>
      </w:tr>
      <w:tr w:rsidR="00150C74" w:rsidRPr="0062572A" w14:paraId="5F7AA7B5" w14:textId="77777777" w:rsidTr="005204B9">
        <w:tc>
          <w:tcPr>
            <w:tcW w:w="877" w:type="dxa"/>
            <w:vAlign w:val="center"/>
          </w:tcPr>
          <w:p w14:paraId="3882B298" w14:textId="5CFAC361" w:rsidR="00150C74" w:rsidRPr="0062572A" w:rsidRDefault="00150C74" w:rsidP="00150C74">
            <w:pPr>
              <w:spacing w:after="0"/>
              <w:ind w:left="0"/>
              <w:jc w:val="center"/>
              <w:rPr>
                <w:szCs w:val="24"/>
              </w:rPr>
            </w:pPr>
            <w:r>
              <w:rPr>
                <w:szCs w:val="22"/>
              </w:rPr>
              <w:lastRenderedPageBreak/>
              <w:t>38</w:t>
            </w:r>
          </w:p>
        </w:tc>
        <w:tc>
          <w:tcPr>
            <w:tcW w:w="1530" w:type="dxa"/>
            <w:vAlign w:val="center"/>
          </w:tcPr>
          <w:p w14:paraId="090A40CC" w14:textId="77777777" w:rsidR="00150C74" w:rsidRPr="0062572A" w:rsidRDefault="00150C74" w:rsidP="00150C74">
            <w:pPr>
              <w:spacing w:after="0"/>
              <w:ind w:left="0"/>
              <w:rPr>
                <w:szCs w:val="24"/>
              </w:rPr>
            </w:pPr>
            <w:r w:rsidRPr="0062572A">
              <w:rPr>
                <w:rFonts w:cs="Calibri"/>
                <w:color w:val="000000"/>
                <w:szCs w:val="24"/>
              </w:rPr>
              <w:t>Send</w:t>
            </w:r>
          </w:p>
        </w:tc>
        <w:tc>
          <w:tcPr>
            <w:tcW w:w="1620" w:type="dxa"/>
            <w:vAlign w:val="center"/>
          </w:tcPr>
          <w:p w14:paraId="696481D6" w14:textId="77777777" w:rsidR="00150C74" w:rsidRPr="0062572A" w:rsidRDefault="00150C74" w:rsidP="00150C74">
            <w:pPr>
              <w:spacing w:after="0"/>
              <w:ind w:left="0"/>
              <w:rPr>
                <w:szCs w:val="24"/>
              </w:rPr>
            </w:pPr>
            <w:r w:rsidRPr="0062572A">
              <w:rPr>
                <w:rFonts w:cs="Calibri"/>
                <w:color w:val="000000"/>
                <w:szCs w:val="24"/>
              </w:rPr>
              <w:t>Batch / Monthly</w:t>
            </w:r>
          </w:p>
        </w:tc>
        <w:tc>
          <w:tcPr>
            <w:tcW w:w="2430" w:type="dxa"/>
            <w:vAlign w:val="center"/>
          </w:tcPr>
          <w:p w14:paraId="4FD5E3A1" w14:textId="77777777" w:rsidR="00150C74" w:rsidRPr="0062572A" w:rsidRDefault="00150C74" w:rsidP="00150C74">
            <w:pPr>
              <w:spacing w:after="0"/>
              <w:ind w:left="0"/>
              <w:rPr>
                <w:szCs w:val="24"/>
              </w:rPr>
            </w:pPr>
            <w:r>
              <w:rPr>
                <w:rFonts w:cs="Calibri"/>
                <w:color w:val="000000"/>
                <w:szCs w:val="24"/>
              </w:rPr>
              <w:t>Lockheed M</w:t>
            </w:r>
            <w:r w:rsidRPr="0062572A">
              <w:rPr>
                <w:rFonts w:cs="Calibri"/>
                <w:color w:val="000000"/>
                <w:szCs w:val="24"/>
              </w:rPr>
              <w:t>artin</w:t>
            </w:r>
          </w:p>
        </w:tc>
        <w:tc>
          <w:tcPr>
            <w:tcW w:w="2160" w:type="dxa"/>
            <w:vAlign w:val="center"/>
          </w:tcPr>
          <w:p w14:paraId="5B8A7F1D" w14:textId="01062813" w:rsidR="00150C74" w:rsidRPr="0062572A" w:rsidRDefault="00150C74" w:rsidP="00150C74">
            <w:pPr>
              <w:spacing w:after="0"/>
              <w:ind w:left="0"/>
              <w:rPr>
                <w:szCs w:val="24"/>
              </w:rPr>
            </w:pPr>
            <w:r w:rsidRPr="0062572A">
              <w:rPr>
                <w:rFonts w:cs="Calibri"/>
                <w:color w:val="000000"/>
                <w:szCs w:val="24"/>
              </w:rPr>
              <w:t>ETA 902 report</w:t>
            </w:r>
          </w:p>
        </w:tc>
        <w:tc>
          <w:tcPr>
            <w:tcW w:w="5940" w:type="dxa"/>
            <w:vAlign w:val="center"/>
          </w:tcPr>
          <w:p w14:paraId="6B3B5D64" w14:textId="77777777" w:rsidR="00150C74" w:rsidRPr="0062572A" w:rsidRDefault="00150C74" w:rsidP="00150C74">
            <w:pPr>
              <w:spacing w:after="0"/>
              <w:ind w:left="0"/>
              <w:rPr>
                <w:szCs w:val="24"/>
              </w:rPr>
            </w:pPr>
            <w:r>
              <w:rPr>
                <w:rFonts w:cs="Calibri"/>
                <w:color w:val="000000"/>
                <w:szCs w:val="24"/>
              </w:rPr>
              <w:t>DUA claim monthly report</w:t>
            </w:r>
          </w:p>
        </w:tc>
      </w:tr>
      <w:tr w:rsidR="00150C74" w:rsidRPr="0062572A" w14:paraId="66AD4252" w14:textId="77777777" w:rsidTr="005204B9">
        <w:tc>
          <w:tcPr>
            <w:tcW w:w="877" w:type="dxa"/>
            <w:vAlign w:val="center"/>
          </w:tcPr>
          <w:p w14:paraId="7F80B79F" w14:textId="25273C16" w:rsidR="00150C74" w:rsidRPr="0062572A" w:rsidRDefault="00150C74" w:rsidP="00150C74">
            <w:pPr>
              <w:spacing w:after="0"/>
              <w:ind w:left="0"/>
              <w:jc w:val="center"/>
              <w:rPr>
                <w:szCs w:val="24"/>
              </w:rPr>
            </w:pPr>
            <w:r>
              <w:rPr>
                <w:color w:val="000000"/>
                <w:szCs w:val="22"/>
              </w:rPr>
              <w:t>39</w:t>
            </w:r>
          </w:p>
        </w:tc>
        <w:tc>
          <w:tcPr>
            <w:tcW w:w="1530" w:type="dxa"/>
            <w:vAlign w:val="center"/>
          </w:tcPr>
          <w:p w14:paraId="08114C0C" w14:textId="77777777" w:rsidR="00150C74" w:rsidRPr="0062572A" w:rsidRDefault="00150C74" w:rsidP="00150C74">
            <w:pPr>
              <w:spacing w:after="0"/>
              <w:ind w:left="0"/>
              <w:rPr>
                <w:szCs w:val="24"/>
              </w:rPr>
            </w:pPr>
            <w:r w:rsidRPr="0062572A">
              <w:rPr>
                <w:rFonts w:cs="Calibri"/>
                <w:color w:val="000000"/>
                <w:szCs w:val="24"/>
              </w:rPr>
              <w:t>Send</w:t>
            </w:r>
          </w:p>
        </w:tc>
        <w:tc>
          <w:tcPr>
            <w:tcW w:w="1620" w:type="dxa"/>
            <w:vAlign w:val="center"/>
          </w:tcPr>
          <w:p w14:paraId="1A9F1073" w14:textId="77777777" w:rsidR="00150C74" w:rsidRPr="0062572A" w:rsidRDefault="00150C74" w:rsidP="00150C74">
            <w:pPr>
              <w:spacing w:after="0"/>
              <w:ind w:left="0"/>
              <w:rPr>
                <w:szCs w:val="24"/>
              </w:rPr>
            </w:pPr>
            <w:r w:rsidRPr="0062572A">
              <w:rPr>
                <w:rFonts w:cs="Calibri"/>
                <w:color w:val="000000"/>
                <w:szCs w:val="24"/>
              </w:rPr>
              <w:t>Batch / Monthly</w:t>
            </w:r>
          </w:p>
        </w:tc>
        <w:tc>
          <w:tcPr>
            <w:tcW w:w="2430" w:type="dxa"/>
            <w:vAlign w:val="center"/>
          </w:tcPr>
          <w:p w14:paraId="6346C612" w14:textId="77777777" w:rsidR="00150C74" w:rsidRPr="0062572A" w:rsidRDefault="00150C74" w:rsidP="00150C74">
            <w:pPr>
              <w:spacing w:after="0"/>
              <w:ind w:left="0"/>
              <w:rPr>
                <w:szCs w:val="24"/>
              </w:rPr>
            </w:pPr>
            <w:r>
              <w:rPr>
                <w:rFonts w:cs="Calibri"/>
                <w:color w:val="000000"/>
                <w:szCs w:val="24"/>
              </w:rPr>
              <w:t>Lockheed M</w:t>
            </w:r>
            <w:r w:rsidRPr="0062572A">
              <w:rPr>
                <w:rFonts w:cs="Calibri"/>
                <w:color w:val="000000"/>
                <w:szCs w:val="24"/>
              </w:rPr>
              <w:t>artin</w:t>
            </w:r>
          </w:p>
        </w:tc>
        <w:tc>
          <w:tcPr>
            <w:tcW w:w="2160" w:type="dxa"/>
            <w:vAlign w:val="center"/>
          </w:tcPr>
          <w:p w14:paraId="2D298685" w14:textId="150B9871" w:rsidR="00150C74" w:rsidRPr="0062572A" w:rsidRDefault="00150C74" w:rsidP="00150C74">
            <w:pPr>
              <w:spacing w:after="0"/>
              <w:ind w:left="0"/>
              <w:rPr>
                <w:szCs w:val="24"/>
              </w:rPr>
            </w:pPr>
            <w:r>
              <w:rPr>
                <w:rFonts w:cs="Calibri"/>
                <w:color w:val="000000"/>
                <w:szCs w:val="24"/>
              </w:rPr>
              <w:t>Non-M</w:t>
            </w:r>
            <w:r w:rsidRPr="0062572A">
              <w:rPr>
                <w:rFonts w:cs="Calibri"/>
                <w:color w:val="000000"/>
                <w:szCs w:val="24"/>
              </w:rPr>
              <w:t>on lapse report</w:t>
            </w:r>
          </w:p>
        </w:tc>
        <w:tc>
          <w:tcPr>
            <w:tcW w:w="5940" w:type="dxa"/>
            <w:vAlign w:val="center"/>
          </w:tcPr>
          <w:p w14:paraId="2D1A57F6" w14:textId="77777777" w:rsidR="00150C74" w:rsidRPr="0062572A" w:rsidRDefault="00150C74" w:rsidP="00150C74">
            <w:pPr>
              <w:spacing w:after="0"/>
              <w:ind w:left="0"/>
              <w:rPr>
                <w:szCs w:val="24"/>
              </w:rPr>
            </w:pPr>
            <w:r>
              <w:rPr>
                <w:rFonts w:cs="Calibri"/>
                <w:color w:val="000000"/>
                <w:szCs w:val="24"/>
              </w:rPr>
              <w:t xml:space="preserve">Two files: non-monetary time lapse report </w:t>
            </w:r>
          </w:p>
        </w:tc>
      </w:tr>
      <w:tr w:rsidR="00150C74" w:rsidRPr="0062572A" w14:paraId="310B130F" w14:textId="77777777" w:rsidTr="005204B9">
        <w:tc>
          <w:tcPr>
            <w:tcW w:w="877" w:type="dxa"/>
            <w:vAlign w:val="center"/>
          </w:tcPr>
          <w:p w14:paraId="1FD62858" w14:textId="389498BD" w:rsidR="00150C74" w:rsidRPr="0062572A" w:rsidRDefault="00150C74" w:rsidP="00150C74">
            <w:pPr>
              <w:spacing w:after="0"/>
              <w:ind w:left="0"/>
              <w:jc w:val="center"/>
              <w:rPr>
                <w:szCs w:val="24"/>
              </w:rPr>
            </w:pPr>
            <w:bookmarkStart w:id="423" w:name="_Hlk529450798"/>
            <w:r>
              <w:rPr>
                <w:szCs w:val="22"/>
              </w:rPr>
              <w:t>40</w:t>
            </w:r>
          </w:p>
        </w:tc>
        <w:tc>
          <w:tcPr>
            <w:tcW w:w="1530" w:type="dxa"/>
            <w:vAlign w:val="center"/>
          </w:tcPr>
          <w:p w14:paraId="75D688AA" w14:textId="77777777" w:rsidR="00150C74" w:rsidRPr="0062572A" w:rsidRDefault="00150C74" w:rsidP="00150C74">
            <w:pPr>
              <w:spacing w:after="0"/>
              <w:ind w:left="0"/>
              <w:rPr>
                <w:szCs w:val="24"/>
              </w:rPr>
            </w:pPr>
            <w:r w:rsidRPr="0062572A">
              <w:rPr>
                <w:rFonts w:cs="Calibri"/>
                <w:color w:val="000000"/>
                <w:szCs w:val="24"/>
              </w:rPr>
              <w:t>Receive</w:t>
            </w:r>
          </w:p>
        </w:tc>
        <w:tc>
          <w:tcPr>
            <w:tcW w:w="1620" w:type="dxa"/>
            <w:vAlign w:val="center"/>
          </w:tcPr>
          <w:p w14:paraId="4245D3A6" w14:textId="77777777" w:rsidR="00150C74" w:rsidRPr="0062572A" w:rsidRDefault="00150C74" w:rsidP="00150C74">
            <w:pPr>
              <w:spacing w:after="0"/>
              <w:ind w:left="0"/>
              <w:rPr>
                <w:szCs w:val="24"/>
              </w:rPr>
            </w:pPr>
            <w:r w:rsidRPr="0062572A">
              <w:rPr>
                <w:rFonts w:cs="Calibri"/>
                <w:color w:val="000000"/>
                <w:szCs w:val="24"/>
              </w:rPr>
              <w:t>Ad Hoc / Daily</w:t>
            </w:r>
          </w:p>
        </w:tc>
        <w:tc>
          <w:tcPr>
            <w:tcW w:w="2430" w:type="dxa"/>
            <w:vAlign w:val="center"/>
          </w:tcPr>
          <w:p w14:paraId="0BD564BE" w14:textId="3B9BB6BA" w:rsidR="00150C74" w:rsidRPr="0062572A" w:rsidRDefault="00150C74" w:rsidP="00150C74">
            <w:pPr>
              <w:spacing w:after="0"/>
              <w:ind w:left="0"/>
              <w:rPr>
                <w:szCs w:val="24"/>
              </w:rPr>
            </w:pPr>
            <w:r w:rsidRPr="0062572A">
              <w:rPr>
                <w:rFonts w:cs="Calibri"/>
                <w:color w:val="000000"/>
                <w:szCs w:val="24"/>
              </w:rPr>
              <w:t xml:space="preserve">Louisiana </w:t>
            </w:r>
            <w:r>
              <w:rPr>
                <w:rFonts w:cs="Calibri"/>
                <w:color w:val="000000"/>
                <w:szCs w:val="24"/>
              </w:rPr>
              <w:t xml:space="preserve">and Mississippi </w:t>
            </w:r>
            <w:r w:rsidRPr="0062572A">
              <w:rPr>
                <w:rFonts w:cs="Calibri"/>
                <w:color w:val="000000"/>
                <w:szCs w:val="24"/>
              </w:rPr>
              <w:t>Workforce</w:t>
            </w:r>
          </w:p>
        </w:tc>
        <w:tc>
          <w:tcPr>
            <w:tcW w:w="2160" w:type="dxa"/>
            <w:vAlign w:val="center"/>
          </w:tcPr>
          <w:p w14:paraId="148693E9" w14:textId="240B3FA5" w:rsidR="00150C74" w:rsidRPr="0062572A" w:rsidRDefault="00150C74" w:rsidP="00150C74">
            <w:pPr>
              <w:spacing w:after="0"/>
              <w:ind w:left="0"/>
              <w:rPr>
                <w:szCs w:val="24"/>
              </w:rPr>
            </w:pPr>
            <w:r w:rsidRPr="0062572A">
              <w:rPr>
                <w:rFonts w:cs="Calibri"/>
                <w:color w:val="000000"/>
                <w:szCs w:val="24"/>
              </w:rPr>
              <w:t>Incoming work registration verification requests from another state</w:t>
            </w:r>
          </w:p>
        </w:tc>
        <w:tc>
          <w:tcPr>
            <w:tcW w:w="5940" w:type="dxa"/>
            <w:vAlign w:val="center"/>
          </w:tcPr>
          <w:p w14:paraId="09E4FEAE" w14:textId="77777777" w:rsidR="00150C74" w:rsidRPr="0062572A" w:rsidRDefault="00150C74" w:rsidP="00150C74">
            <w:pPr>
              <w:spacing w:after="0"/>
              <w:ind w:left="0"/>
              <w:rPr>
                <w:szCs w:val="24"/>
              </w:rPr>
            </w:pPr>
            <w:r w:rsidRPr="0062572A">
              <w:rPr>
                <w:rFonts w:cs="Calibri"/>
                <w:color w:val="000000"/>
                <w:szCs w:val="24"/>
              </w:rPr>
              <w:t xml:space="preserve">File to be verified for another state if </w:t>
            </w:r>
            <w:r>
              <w:rPr>
                <w:rFonts w:cs="Calibri"/>
                <w:color w:val="000000"/>
                <w:szCs w:val="24"/>
              </w:rPr>
              <w:t xml:space="preserve">Claimant </w:t>
            </w:r>
            <w:r w:rsidRPr="0062572A">
              <w:rPr>
                <w:rFonts w:cs="Calibri"/>
                <w:color w:val="000000"/>
                <w:szCs w:val="24"/>
              </w:rPr>
              <w:t>is registered in WIT</w:t>
            </w:r>
          </w:p>
        </w:tc>
      </w:tr>
      <w:tr w:rsidR="00150C74" w:rsidRPr="0062572A" w14:paraId="3CF6F24F" w14:textId="77777777" w:rsidTr="005204B9">
        <w:tc>
          <w:tcPr>
            <w:tcW w:w="877" w:type="dxa"/>
            <w:vAlign w:val="center"/>
          </w:tcPr>
          <w:p w14:paraId="10E6E29F" w14:textId="1D2D236F" w:rsidR="00150C74" w:rsidRPr="0062572A" w:rsidRDefault="00150C74" w:rsidP="00150C74">
            <w:pPr>
              <w:spacing w:after="0"/>
              <w:ind w:left="0"/>
              <w:jc w:val="center"/>
              <w:rPr>
                <w:szCs w:val="24"/>
              </w:rPr>
            </w:pPr>
            <w:r>
              <w:rPr>
                <w:color w:val="000000"/>
                <w:szCs w:val="22"/>
              </w:rPr>
              <w:t>41</w:t>
            </w:r>
          </w:p>
        </w:tc>
        <w:tc>
          <w:tcPr>
            <w:tcW w:w="1530" w:type="dxa"/>
            <w:vAlign w:val="center"/>
          </w:tcPr>
          <w:p w14:paraId="04909BC6" w14:textId="77777777" w:rsidR="00150C74" w:rsidRPr="0062572A" w:rsidRDefault="00150C74" w:rsidP="00150C74">
            <w:pPr>
              <w:spacing w:after="0"/>
              <w:ind w:left="0"/>
              <w:rPr>
                <w:szCs w:val="24"/>
              </w:rPr>
            </w:pPr>
            <w:r w:rsidRPr="0062572A">
              <w:rPr>
                <w:rFonts w:cs="Calibri"/>
                <w:color w:val="000000"/>
                <w:szCs w:val="24"/>
              </w:rPr>
              <w:t>Send</w:t>
            </w:r>
          </w:p>
        </w:tc>
        <w:tc>
          <w:tcPr>
            <w:tcW w:w="1620" w:type="dxa"/>
            <w:vAlign w:val="center"/>
          </w:tcPr>
          <w:p w14:paraId="3AB49C46" w14:textId="77777777" w:rsidR="00150C74" w:rsidRPr="0062572A" w:rsidRDefault="00150C74" w:rsidP="00150C74">
            <w:pPr>
              <w:spacing w:after="0"/>
              <w:ind w:left="0"/>
              <w:rPr>
                <w:szCs w:val="24"/>
              </w:rPr>
            </w:pPr>
            <w:r w:rsidRPr="0062572A">
              <w:rPr>
                <w:rFonts w:cs="Calibri"/>
                <w:color w:val="000000"/>
                <w:szCs w:val="24"/>
              </w:rPr>
              <w:t>Online / Daily</w:t>
            </w:r>
          </w:p>
        </w:tc>
        <w:tc>
          <w:tcPr>
            <w:tcW w:w="2430" w:type="dxa"/>
            <w:vAlign w:val="center"/>
          </w:tcPr>
          <w:p w14:paraId="3DDBFCC0" w14:textId="578A79E1" w:rsidR="00150C74" w:rsidRPr="0062572A" w:rsidRDefault="00150C74" w:rsidP="00150C74">
            <w:pPr>
              <w:spacing w:after="0"/>
              <w:ind w:left="0"/>
              <w:rPr>
                <w:szCs w:val="24"/>
              </w:rPr>
            </w:pPr>
            <w:r w:rsidRPr="0062572A">
              <w:rPr>
                <w:rFonts w:cs="Calibri"/>
                <w:color w:val="000000"/>
                <w:szCs w:val="24"/>
              </w:rPr>
              <w:t xml:space="preserve">Louisiana </w:t>
            </w:r>
            <w:r>
              <w:rPr>
                <w:rFonts w:cs="Calibri"/>
                <w:color w:val="000000"/>
                <w:szCs w:val="24"/>
              </w:rPr>
              <w:t xml:space="preserve">and Mississippi </w:t>
            </w:r>
            <w:r w:rsidRPr="0062572A">
              <w:rPr>
                <w:rFonts w:cs="Calibri"/>
                <w:color w:val="000000"/>
                <w:szCs w:val="24"/>
              </w:rPr>
              <w:t>Workforce</w:t>
            </w:r>
          </w:p>
        </w:tc>
        <w:tc>
          <w:tcPr>
            <w:tcW w:w="2160" w:type="dxa"/>
            <w:vAlign w:val="center"/>
          </w:tcPr>
          <w:p w14:paraId="3B7C2AFD" w14:textId="380DAC2D" w:rsidR="00150C74" w:rsidRPr="0062572A" w:rsidRDefault="00150C74" w:rsidP="00150C74">
            <w:pPr>
              <w:spacing w:after="0"/>
              <w:ind w:left="0"/>
              <w:rPr>
                <w:szCs w:val="24"/>
              </w:rPr>
            </w:pPr>
            <w:r w:rsidRPr="0062572A">
              <w:rPr>
                <w:rFonts w:cs="Calibri"/>
                <w:color w:val="000000"/>
                <w:szCs w:val="24"/>
              </w:rPr>
              <w:t>Outgoing work registration verification requests to another state</w:t>
            </w:r>
          </w:p>
        </w:tc>
        <w:tc>
          <w:tcPr>
            <w:tcW w:w="5940" w:type="dxa"/>
            <w:vAlign w:val="center"/>
          </w:tcPr>
          <w:p w14:paraId="258A1290" w14:textId="77777777" w:rsidR="00150C74" w:rsidRPr="0062572A" w:rsidRDefault="00150C74" w:rsidP="00150C74">
            <w:pPr>
              <w:spacing w:after="0"/>
              <w:ind w:left="0"/>
              <w:rPr>
                <w:szCs w:val="24"/>
              </w:rPr>
            </w:pPr>
            <w:r w:rsidRPr="0062572A">
              <w:rPr>
                <w:rFonts w:cs="Calibri"/>
                <w:color w:val="000000"/>
                <w:szCs w:val="24"/>
              </w:rPr>
              <w:t>Verified response file</w:t>
            </w:r>
          </w:p>
        </w:tc>
      </w:tr>
      <w:tr w:rsidR="00150C74" w:rsidRPr="0062572A" w14:paraId="047FE19B" w14:textId="77777777" w:rsidTr="005204B9">
        <w:tc>
          <w:tcPr>
            <w:tcW w:w="877" w:type="dxa"/>
            <w:vAlign w:val="center"/>
          </w:tcPr>
          <w:p w14:paraId="68BA8BED" w14:textId="2B8A3A2D" w:rsidR="00150C74" w:rsidRPr="0062572A" w:rsidRDefault="00150C74" w:rsidP="00150C74">
            <w:pPr>
              <w:spacing w:after="0"/>
              <w:ind w:left="0"/>
              <w:jc w:val="center"/>
              <w:rPr>
                <w:szCs w:val="24"/>
              </w:rPr>
            </w:pPr>
            <w:r>
              <w:rPr>
                <w:szCs w:val="22"/>
              </w:rPr>
              <w:t>42</w:t>
            </w:r>
          </w:p>
        </w:tc>
        <w:tc>
          <w:tcPr>
            <w:tcW w:w="1530" w:type="dxa"/>
            <w:vAlign w:val="center"/>
          </w:tcPr>
          <w:p w14:paraId="5796EB06" w14:textId="77777777" w:rsidR="00150C74" w:rsidRPr="0062572A" w:rsidRDefault="00150C74" w:rsidP="00150C74">
            <w:pPr>
              <w:spacing w:after="0"/>
              <w:ind w:left="0"/>
              <w:rPr>
                <w:szCs w:val="24"/>
              </w:rPr>
            </w:pPr>
            <w:r w:rsidRPr="0062572A">
              <w:rPr>
                <w:rFonts w:cs="Calibri"/>
                <w:color w:val="000000"/>
                <w:szCs w:val="24"/>
              </w:rPr>
              <w:t>Receive</w:t>
            </w:r>
          </w:p>
        </w:tc>
        <w:tc>
          <w:tcPr>
            <w:tcW w:w="1620" w:type="dxa"/>
            <w:vAlign w:val="center"/>
          </w:tcPr>
          <w:p w14:paraId="53C31C8C" w14:textId="77777777" w:rsidR="00150C74" w:rsidRPr="0062572A" w:rsidRDefault="00150C74" w:rsidP="00150C74">
            <w:pPr>
              <w:spacing w:after="0"/>
              <w:ind w:left="0"/>
              <w:rPr>
                <w:szCs w:val="24"/>
              </w:rPr>
            </w:pPr>
            <w:r w:rsidRPr="0062572A">
              <w:rPr>
                <w:rFonts w:cs="Calibri"/>
                <w:color w:val="000000"/>
                <w:szCs w:val="24"/>
              </w:rPr>
              <w:t>Online / Daily</w:t>
            </w:r>
          </w:p>
        </w:tc>
        <w:tc>
          <w:tcPr>
            <w:tcW w:w="2430" w:type="dxa"/>
            <w:vAlign w:val="center"/>
          </w:tcPr>
          <w:p w14:paraId="7F2AF8C1" w14:textId="6D2C6C1C" w:rsidR="00150C74" w:rsidRPr="0062572A" w:rsidRDefault="00150C74" w:rsidP="00150C74">
            <w:pPr>
              <w:spacing w:after="0"/>
              <w:ind w:left="0"/>
              <w:rPr>
                <w:szCs w:val="24"/>
              </w:rPr>
            </w:pPr>
            <w:r w:rsidRPr="0062572A">
              <w:rPr>
                <w:rFonts w:cs="Calibri"/>
                <w:color w:val="000000"/>
                <w:szCs w:val="24"/>
              </w:rPr>
              <w:t xml:space="preserve">Louisiana </w:t>
            </w:r>
            <w:r>
              <w:rPr>
                <w:rFonts w:cs="Calibri"/>
                <w:color w:val="000000"/>
                <w:szCs w:val="24"/>
              </w:rPr>
              <w:t xml:space="preserve">and Mississippi </w:t>
            </w:r>
            <w:r w:rsidRPr="0062572A">
              <w:rPr>
                <w:rFonts w:cs="Calibri"/>
                <w:color w:val="000000"/>
                <w:szCs w:val="24"/>
              </w:rPr>
              <w:t>Workforce</w:t>
            </w:r>
          </w:p>
        </w:tc>
        <w:tc>
          <w:tcPr>
            <w:tcW w:w="2160" w:type="dxa"/>
            <w:vAlign w:val="center"/>
          </w:tcPr>
          <w:p w14:paraId="2E95F269" w14:textId="263E579E" w:rsidR="00150C74" w:rsidRPr="0062572A" w:rsidRDefault="00150C74" w:rsidP="00150C74">
            <w:pPr>
              <w:spacing w:after="0"/>
              <w:ind w:left="0"/>
              <w:rPr>
                <w:szCs w:val="24"/>
              </w:rPr>
            </w:pPr>
            <w:r w:rsidRPr="0062572A">
              <w:rPr>
                <w:rFonts w:cs="Calibri"/>
                <w:color w:val="000000"/>
                <w:szCs w:val="24"/>
              </w:rPr>
              <w:t>Return file-Work registration verification incom</w:t>
            </w:r>
            <w:r>
              <w:rPr>
                <w:rFonts w:cs="Calibri"/>
                <w:color w:val="000000"/>
                <w:szCs w:val="24"/>
              </w:rPr>
              <w:t xml:space="preserve">ing response file </w:t>
            </w:r>
          </w:p>
        </w:tc>
        <w:tc>
          <w:tcPr>
            <w:tcW w:w="5940" w:type="dxa"/>
            <w:vAlign w:val="center"/>
          </w:tcPr>
          <w:p w14:paraId="49816802" w14:textId="77777777" w:rsidR="00150C74" w:rsidRPr="0062572A" w:rsidRDefault="00150C74" w:rsidP="00150C74">
            <w:pPr>
              <w:spacing w:after="0"/>
              <w:ind w:left="0"/>
              <w:rPr>
                <w:szCs w:val="24"/>
              </w:rPr>
            </w:pPr>
            <w:r w:rsidRPr="0062572A">
              <w:rPr>
                <w:rFonts w:cs="Calibri"/>
                <w:color w:val="000000"/>
                <w:szCs w:val="24"/>
              </w:rPr>
              <w:t xml:space="preserve">Response file of verified TX </w:t>
            </w:r>
            <w:r>
              <w:rPr>
                <w:rFonts w:cs="Calibri"/>
                <w:color w:val="000000"/>
                <w:szCs w:val="24"/>
              </w:rPr>
              <w:t>Claimants</w:t>
            </w:r>
          </w:p>
        </w:tc>
      </w:tr>
      <w:tr w:rsidR="00150C74" w:rsidRPr="0062572A" w14:paraId="7AF88279" w14:textId="77777777" w:rsidTr="005204B9">
        <w:tc>
          <w:tcPr>
            <w:tcW w:w="877" w:type="dxa"/>
            <w:vAlign w:val="center"/>
          </w:tcPr>
          <w:p w14:paraId="38FEB8B9" w14:textId="5908288B" w:rsidR="00150C74" w:rsidRPr="0062572A" w:rsidRDefault="00150C74" w:rsidP="00150C74">
            <w:pPr>
              <w:spacing w:after="0"/>
              <w:ind w:left="0"/>
              <w:jc w:val="center"/>
              <w:rPr>
                <w:szCs w:val="24"/>
              </w:rPr>
            </w:pPr>
            <w:r>
              <w:rPr>
                <w:color w:val="000000"/>
                <w:szCs w:val="22"/>
              </w:rPr>
              <w:t>43</w:t>
            </w:r>
          </w:p>
        </w:tc>
        <w:tc>
          <w:tcPr>
            <w:tcW w:w="1530" w:type="dxa"/>
            <w:vAlign w:val="center"/>
          </w:tcPr>
          <w:p w14:paraId="1F015AA4" w14:textId="77777777" w:rsidR="00150C74" w:rsidRPr="0062572A" w:rsidRDefault="00150C74" w:rsidP="00150C74">
            <w:pPr>
              <w:spacing w:after="0"/>
              <w:ind w:left="0"/>
              <w:rPr>
                <w:szCs w:val="24"/>
              </w:rPr>
            </w:pPr>
            <w:r w:rsidRPr="0062572A">
              <w:rPr>
                <w:rFonts w:cs="Calibri"/>
                <w:color w:val="000000"/>
                <w:szCs w:val="24"/>
              </w:rPr>
              <w:t>Send</w:t>
            </w:r>
          </w:p>
        </w:tc>
        <w:tc>
          <w:tcPr>
            <w:tcW w:w="1620" w:type="dxa"/>
            <w:vAlign w:val="center"/>
          </w:tcPr>
          <w:p w14:paraId="11FEF95B" w14:textId="77777777" w:rsidR="00150C74" w:rsidRPr="0062572A" w:rsidRDefault="00150C74" w:rsidP="00150C74">
            <w:pPr>
              <w:spacing w:after="0"/>
              <w:ind w:left="0"/>
              <w:rPr>
                <w:szCs w:val="24"/>
              </w:rPr>
            </w:pPr>
            <w:r w:rsidRPr="0062572A">
              <w:rPr>
                <w:rFonts w:cs="Calibri"/>
                <w:color w:val="000000"/>
                <w:szCs w:val="24"/>
              </w:rPr>
              <w:t>Batch / Daily</w:t>
            </w:r>
          </w:p>
        </w:tc>
        <w:tc>
          <w:tcPr>
            <w:tcW w:w="2430" w:type="dxa"/>
            <w:vAlign w:val="center"/>
          </w:tcPr>
          <w:p w14:paraId="7DB0DF3D" w14:textId="0A39333B" w:rsidR="00150C74" w:rsidRPr="0062572A" w:rsidRDefault="00150C74" w:rsidP="00150C74">
            <w:pPr>
              <w:spacing w:after="0"/>
              <w:ind w:left="0"/>
              <w:rPr>
                <w:szCs w:val="24"/>
              </w:rPr>
            </w:pPr>
            <w:r w:rsidRPr="0062572A">
              <w:rPr>
                <w:rFonts w:cs="Calibri"/>
                <w:color w:val="000000"/>
                <w:szCs w:val="24"/>
              </w:rPr>
              <w:t xml:space="preserve">Louisiana </w:t>
            </w:r>
            <w:r>
              <w:rPr>
                <w:rFonts w:cs="Calibri"/>
                <w:color w:val="000000"/>
                <w:szCs w:val="24"/>
              </w:rPr>
              <w:t xml:space="preserve">and Mississippi </w:t>
            </w:r>
            <w:r w:rsidRPr="0062572A">
              <w:rPr>
                <w:rFonts w:cs="Calibri"/>
                <w:color w:val="000000"/>
                <w:szCs w:val="24"/>
              </w:rPr>
              <w:t>Workforce</w:t>
            </w:r>
          </w:p>
        </w:tc>
        <w:tc>
          <w:tcPr>
            <w:tcW w:w="2160" w:type="dxa"/>
            <w:vAlign w:val="center"/>
          </w:tcPr>
          <w:p w14:paraId="0571166F" w14:textId="0C703019" w:rsidR="00150C74" w:rsidRPr="0062572A" w:rsidRDefault="00150C74" w:rsidP="00150C74">
            <w:pPr>
              <w:spacing w:after="0"/>
              <w:ind w:left="0"/>
              <w:rPr>
                <w:szCs w:val="24"/>
              </w:rPr>
            </w:pPr>
            <w:r w:rsidRPr="0062572A">
              <w:rPr>
                <w:rFonts w:cs="Calibri"/>
                <w:color w:val="000000"/>
                <w:szCs w:val="24"/>
              </w:rPr>
              <w:t>Work registra</w:t>
            </w:r>
            <w:r>
              <w:rPr>
                <w:rFonts w:cs="Calibri"/>
                <w:color w:val="000000"/>
                <w:szCs w:val="24"/>
              </w:rPr>
              <w:t>tion verification outgoing file</w:t>
            </w:r>
          </w:p>
        </w:tc>
        <w:tc>
          <w:tcPr>
            <w:tcW w:w="5940" w:type="dxa"/>
            <w:vAlign w:val="center"/>
          </w:tcPr>
          <w:p w14:paraId="5E7649C2" w14:textId="1E15C163" w:rsidR="00150C74" w:rsidRPr="0062572A" w:rsidRDefault="00150C74" w:rsidP="00150C74">
            <w:pPr>
              <w:spacing w:after="0"/>
              <w:ind w:left="0"/>
              <w:rPr>
                <w:szCs w:val="24"/>
              </w:rPr>
            </w:pPr>
            <w:r w:rsidRPr="0062572A">
              <w:rPr>
                <w:rFonts w:cs="Calibri"/>
                <w:color w:val="000000"/>
                <w:szCs w:val="24"/>
              </w:rPr>
              <w:t>Verify if registered for work search: SSN, verifying st</w:t>
            </w:r>
            <w:r>
              <w:rPr>
                <w:rFonts w:cs="Calibri"/>
                <w:color w:val="000000"/>
                <w:szCs w:val="24"/>
              </w:rPr>
              <w:t>atus</w:t>
            </w:r>
          </w:p>
        </w:tc>
      </w:tr>
      <w:bookmarkEnd w:id="423"/>
      <w:tr w:rsidR="00150C74" w:rsidRPr="0062572A" w14:paraId="187BD43E" w14:textId="77777777" w:rsidTr="005204B9">
        <w:tc>
          <w:tcPr>
            <w:tcW w:w="877" w:type="dxa"/>
            <w:vAlign w:val="center"/>
          </w:tcPr>
          <w:p w14:paraId="2AB2447C" w14:textId="3D8636FB" w:rsidR="00150C74" w:rsidRPr="0062572A" w:rsidRDefault="00150C74" w:rsidP="00150C74">
            <w:pPr>
              <w:spacing w:after="0"/>
              <w:ind w:left="0"/>
              <w:jc w:val="center"/>
              <w:rPr>
                <w:szCs w:val="24"/>
              </w:rPr>
            </w:pPr>
            <w:r>
              <w:rPr>
                <w:szCs w:val="22"/>
              </w:rPr>
              <w:t>44</w:t>
            </w:r>
          </w:p>
        </w:tc>
        <w:tc>
          <w:tcPr>
            <w:tcW w:w="1530" w:type="dxa"/>
            <w:vAlign w:val="center"/>
          </w:tcPr>
          <w:p w14:paraId="13FA0B83" w14:textId="77777777" w:rsidR="00150C74" w:rsidRPr="0062572A" w:rsidRDefault="00150C74" w:rsidP="00150C74">
            <w:pPr>
              <w:spacing w:after="0"/>
              <w:ind w:left="0"/>
              <w:rPr>
                <w:szCs w:val="24"/>
              </w:rPr>
            </w:pPr>
            <w:r w:rsidRPr="0062572A">
              <w:rPr>
                <w:rFonts w:cs="Calibri"/>
                <w:color w:val="000000"/>
                <w:szCs w:val="24"/>
              </w:rPr>
              <w:t>Receive</w:t>
            </w:r>
          </w:p>
        </w:tc>
        <w:tc>
          <w:tcPr>
            <w:tcW w:w="1620" w:type="dxa"/>
            <w:vAlign w:val="center"/>
          </w:tcPr>
          <w:p w14:paraId="7A98587C" w14:textId="77777777" w:rsidR="00150C74" w:rsidRPr="0062572A" w:rsidRDefault="00150C74" w:rsidP="00150C74">
            <w:pPr>
              <w:spacing w:after="0"/>
              <w:ind w:left="0"/>
              <w:rPr>
                <w:szCs w:val="24"/>
              </w:rPr>
            </w:pPr>
            <w:r w:rsidRPr="0062572A">
              <w:rPr>
                <w:rFonts w:cs="Calibri"/>
                <w:color w:val="000000"/>
                <w:szCs w:val="24"/>
              </w:rPr>
              <w:t>Online / Daily</w:t>
            </w:r>
          </w:p>
        </w:tc>
        <w:tc>
          <w:tcPr>
            <w:tcW w:w="2430" w:type="dxa"/>
            <w:vAlign w:val="center"/>
          </w:tcPr>
          <w:p w14:paraId="41877A38" w14:textId="77777777" w:rsidR="00150C74" w:rsidRPr="0062572A" w:rsidRDefault="00150C74" w:rsidP="00150C74">
            <w:pPr>
              <w:spacing w:after="0"/>
              <w:ind w:left="0"/>
              <w:rPr>
                <w:szCs w:val="24"/>
              </w:rPr>
            </w:pPr>
            <w:r w:rsidRPr="0062572A">
              <w:rPr>
                <w:rFonts w:cs="Calibri"/>
                <w:color w:val="000000"/>
                <w:szCs w:val="24"/>
              </w:rPr>
              <w:t>Nearstar</w:t>
            </w:r>
          </w:p>
        </w:tc>
        <w:tc>
          <w:tcPr>
            <w:tcW w:w="2160" w:type="dxa"/>
            <w:vAlign w:val="center"/>
          </w:tcPr>
          <w:p w14:paraId="056882D9" w14:textId="005E7F1E" w:rsidR="00150C74" w:rsidRPr="0062572A" w:rsidRDefault="00150C74" w:rsidP="00150C74">
            <w:pPr>
              <w:spacing w:after="0"/>
              <w:ind w:left="0"/>
              <w:rPr>
                <w:szCs w:val="24"/>
              </w:rPr>
            </w:pPr>
            <w:r w:rsidRPr="0062572A">
              <w:rPr>
                <w:rFonts w:cs="Calibri"/>
                <w:color w:val="000000"/>
                <w:szCs w:val="24"/>
              </w:rPr>
              <w:t>Nearstar pdf verification update</w:t>
            </w:r>
          </w:p>
        </w:tc>
        <w:tc>
          <w:tcPr>
            <w:tcW w:w="5940" w:type="dxa"/>
            <w:vAlign w:val="center"/>
          </w:tcPr>
          <w:p w14:paraId="157083C5" w14:textId="74DF57A6" w:rsidR="00150C74" w:rsidRPr="0062572A" w:rsidRDefault="00150C74" w:rsidP="00150C74">
            <w:pPr>
              <w:spacing w:after="0"/>
              <w:ind w:left="0"/>
              <w:rPr>
                <w:szCs w:val="24"/>
              </w:rPr>
            </w:pPr>
            <w:r w:rsidRPr="0062572A">
              <w:rPr>
                <w:rFonts w:cs="Calibri"/>
                <w:color w:val="000000"/>
                <w:szCs w:val="24"/>
              </w:rPr>
              <w:t>Nearstar pdf verification update</w:t>
            </w:r>
          </w:p>
        </w:tc>
      </w:tr>
      <w:tr w:rsidR="00150C74" w:rsidRPr="0062572A" w14:paraId="453F36D1" w14:textId="77777777" w:rsidTr="005204B9">
        <w:tc>
          <w:tcPr>
            <w:tcW w:w="877" w:type="dxa"/>
            <w:vAlign w:val="center"/>
          </w:tcPr>
          <w:p w14:paraId="618A006D" w14:textId="270F2714" w:rsidR="00150C74" w:rsidRPr="0062572A" w:rsidRDefault="00150C74" w:rsidP="00150C74">
            <w:pPr>
              <w:spacing w:after="0"/>
              <w:ind w:left="0"/>
              <w:jc w:val="center"/>
              <w:rPr>
                <w:szCs w:val="24"/>
              </w:rPr>
            </w:pPr>
            <w:r>
              <w:rPr>
                <w:color w:val="000000"/>
                <w:szCs w:val="22"/>
              </w:rPr>
              <w:lastRenderedPageBreak/>
              <w:t>45</w:t>
            </w:r>
          </w:p>
        </w:tc>
        <w:tc>
          <w:tcPr>
            <w:tcW w:w="1530" w:type="dxa"/>
            <w:vAlign w:val="center"/>
          </w:tcPr>
          <w:p w14:paraId="063F2E64" w14:textId="7CC67F6B" w:rsidR="00150C74" w:rsidRPr="0062572A" w:rsidRDefault="00150C74" w:rsidP="00150C74">
            <w:pPr>
              <w:spacing w:after="0"/>
              <w:ind w:left="0"/>
              <w:rPr>
                <w:szCs w:val="24"/>
              </w:rPr>
            </w:pPr>
            <w:r>
              <w:rPr>
                <w:szCs w:val="24"/>
              </w:rPr>
              <w:t>Both</w:t>
            </w:r>
          </w:p>
        </w:tc>
        <w:tc>
          <w:tcPr>
            <w:tcW w:w="1620" w:type="dxa"/>
            <w:vAlign w:val="center"/>
          </w:tcPr>
          <w:p w14:paraId="40E36F2C" w14:textId="345F3217" w:rsidR="00150C74" w:rsidRPr="0062572A" w:rsidRDefault="00150C74" w:rsidP="00150C74">
            <w:pPr>
              <w:spacing w:after="0"/>
              <w:ind w:left="0"/>
              <w:rPr>
                <w:szCs w:val="24"/>
              </w:rPr>
            </w:pPr>
            <w:r>
              <w:rPr>
                <w:szCs w:val="24"/>
              </w:rPr>
              <w:t>Every 10 minutes, 24/7</w:t>
            </w:r>
          </w:p>
        </w:tc>
        <w:tc>
          <w:tcPr>
            <w:tcW w:w="2430" w:type="dxa"/>
            <w:vAlign w:val="center"/>
          </w:tcPr>
          <w:p w14:paraId="702CB157" w14:textId="77777777" w:rsidR="00150C74" w:rsidRPr="0062572A" w:rsidRDefault="00150C74" w:rsidP="00150C74">
            <w:pPr>
              <w:spacing w:after="0"/>
              <w:ind w:left="0"/>
              <w:rPr>
                <w:szCs w:val="24"/>
              </w:rPr>
            </w:pPr>
            <w:r w:rsidRPr="0062572A">
              <w:rPr>
                <w:rFonts w:cs="Calibri"/>
                <w:color w:val="000000"/>
                <w:szCs w:val="24"/>
              </w:rPr>
              <w:t>SIDES</w:t>
            </w:r>
          </w:p>
        </w:tc>
        <w:tc>
          <w:tcPr>
            <w:tcW w:w="2160" w:type="dxa"/>
            <w:vAlign w:val="center"/>
          </w:tcPr>
          <w:p w14:paraId="7D9C45F2" w14:textId="19F3AB3C" w:rsidR="00150C74" w:rsidRPr="0062572A" w:rsidRDefault="00150C74" w:rsidP="00150C74">
            <w:pPr>
              <w:spacing w:after="0"/>
              <w:ind w:left="0"/>
              <w:rPr>
                <w:szCs w:val="24"/>
              </w:rPr>
            </w:pPr>
            <w:r>
              <w:rPr>
                <w:szCs w:val="24"/>
              </w:rPr>
              <w:t>UI SIDES</w:t>
            </w:r>
          </w:p>
        </w:tc>
        <w:tc>
          <w:tcPr>
            <w:tcW w:w="5940" w:type="dxa"/>
            <w:vAlign w:val="center"/>
          </w:tcPr>
          <w:p w14:paraId="6F34521E" w14:textId="073C8707" w:rsidR="00150C74" w:rsidRPr="0062572A" w:rsidRDefault="00150C74" w:rsidP="00150C74">
            <w:pPr>
              <w:spacing w:after="0"/>
              <w:ind w:left="0"/>
              <w:rPr>
                <w:szCs w:val="24"/>
              </w:rPr>
            </w:pPr>
            <w:r>
              <w:rPr>
                <w:szCs w:val="24"/>
              </w:rPr>
              <w:t>Provides Claimant (employee) information from the Employer between states for use in determining benefit entitlement</w:t>
            </w:r>
          </w:p>
        </w:tc>
      </w:tr>
      <w:tr w:rsidR="00150C74" w:rsidRPr="0062572A" w14:paraId="36D70154" w14:textId="77777777" w:rsidTr="005204B9">
        <w:tc>
          <w:tcPr>
            <w:tcW w:w="877" w:type="dxa"/>
            <w:vAlign w:val="center"/>
          </w:tcPr>
          <w:p w14:paraId="2526DBC0" w14:textId="3C99DE6A" w:rsidR="00150C74" w:rsidRPr="0062572A" w:rsidRDefault="00150C74" w:rsidP="00150C74">
            <w:pPr>
              <w:spacing w:after="0"/>
              <w:ind w:left="0"/>
              <w:jc w:val="center"/>
              <w:rPr>
                <w:rFonts w:cs="Calibri"/>
                <w:color w:val="000000"/>
                <w:szCs w:val="24"/>
              </w:rPr>
            </w:pPr>
            <w:r>
              <w:rPr>
                <w:szCs w:val="22"/>
              </w:rPr>
              <w:t>46</w:t>
            </w:r>
          </w:p>
        </w:tc>
        <w:tc>
          <w:tcPr>
            <w:tcW w:w="1530" w:type="dxa"/>
            <w:vAlign w:val="center"/>
          </w:tcPr>
          <w:p w14:paraId="5EC916D6" w14:textId="77777777" w:rsidR="00150C74" w:rsidRPr="0062572A" w:rsidRDefault="00150C74" w:rsidP="00150C74">
            <w:pPr>
              <w:spacing w:after="0"/>
              <w:ind w:left="0"/>
              <w:rPr>
                <w:szCs w:val="24"/>
              </w:rPr>
            </w:pPr>
            <w:r w:rsidRPr="0062572A">
              <w:rPr>
                <w:rFonts w:cs="Calibri"/>
                <w:color w:val="000000"/>
                <w:szCs w:val="24"/>
              </w:rPr>
              <w:t>Send</w:t>
            </w:r>
          </w:p>
        </w:tc>
        <w:tc>
          <w:tcPr>
            <w:tcW w:w="1620" w:type="dxa"/>
            <w:vAlign w:val="center"/>
          </w:tcPr>
          <w:p w14:paraId="637DF186" w14:textId="77777777" w:rsidR="00150C74" w:rsidRPr="0062572A" w:rsidRDefault="00150C74" w:rsidP="00150C74">
            <w:pPr>
              <w:spacing w:after="0"/>
              <w:ind w:left="0"/>
              <w:rPr>
                <w:szCs w:val="24"/>
              </w:rPr>
            </w:pPr>
            <w:r w:rsidRPr="0062572A">
              <w:rPr>
                <w:rFonts w:cs="Calibri"/>
                <w:color w:val="000000"/>
                <w:szCs w:val="24"/>
              </w:rPr>
              <w:t>Batch / Monthly</w:t>
            </w:r>
          </w:p>
        </w:tc>
        <w:tc>
          <w:tcPr>
            <w:tcW w:w="2430" w:type="dxa"/>
            <w:vAlign w:val="center"/>
          </w:tcPr>
          <w:p w14:paraId="71A77D17" w14:textId="77777777" w:rsidR="00150C74" w:rsidRPr="0062572A" w:rsidRDefault="00150C74" w:rsidP="00150C74">
            <w:pPr>
              <w:spacing w:after="0"/>
              <w:ind w:left="0"/>
              <w:rPr>
                <w:color w:val="FF0000"/>
                <w:szCs w:val="24"/>
              </w:rPr>
            </w:pPr>
            <w:r w:rsidRPr="0062572A">
              <w:rPr>
                <w:rFonts w:cs="Calibri"/>
                <w:color w:val="000000"/>
                <w:szCs w:val="24"/>
              </w:rPr>
              <w:t>SUN SPARC</w:t>
            </w:r>
          </w:p>
        </w:tc>
        <w:tc>
          <w:tcPr>
            <w:tcW w:w="2160" w:type="dxa"/>
            <w:vAlign w:val="center"/>
          </w:tcPr>
          <w:p w14:paraId="4176CC46" w14:textId="65953ADC" w:rsidR="00150C74" w:rsidRPr="0062572A" w:rsidRDefault="00150C74" w:rsidP="00150C74">
            <w:pPr>
              <w:spacing w:after="0"/>
              <w:ind w:left="0"/>
              <w:rPr>
                <w:szCs w:val="24"/>
              </w:rPr>
            </w:pPr>
            <w:r>
              <w:rPr>
                <w:rFonts w:cs="Calibri"/>
                <w:color w:val="000000"/>
                <w:szCs w:val="24"/>
              </w:rPr>
              <w:t>ETA r</w:t>
            </w:r>
            <w:r w:rsidRPr="0062572A">
              <w:rPr>
                <w:rFonts w:cs="Calibri"/>
                <w:color w:val="000000"/>
                <w:szCs w:val="24"/>
              </w:rPr>
              <w:t>eports</w:t>
            </w:r>
          </w:p>
        </w:tc>
        <w:tc>
          <w:tcPr>
            <w:tcW w:w="5940" w:type="dxa"/>
            <w:vAlign w:val="center"/>
          </w:tcPr>
          <w:p w14:paraId="05876915" w14:textId="44550767" w:rsidR="00150C74" w:rsidRPr="0062572A" w:rsidRDefault="00150C74" w:rsidP="00150C74">
            <w:pPr>
              <w:spacing w:after="0"/>
              <w:ind w:left="0"/>
              <w:rPr>
                <w:color w:val="FF0000"/>
                <w:szCs w:val="24"/>
              </w:rPr>
            </w:pPr>
            <w:r>
              <w:rPr>
                <w:rFonts w:cs="Calibri"/>
                <w:color w:val="000000"/>
                <w:szCs w:val="24"/>
              </w:rPr>
              <w:t>Puts one file</w:t>
            </w:r>
          </w:p>
        </w:tc>
      </w:tr>
      <w:tr w:rsidR="00150C74" w:rsidRPr="0062572A" w14:paraId="2E1F6651" w14:textId="77777777" w:rsidTr="005204B9">
        <w:tc>
          <w:tcPr>
            <w:tcW w:w="877" w:type="dxa"/>
            <w:vAlign w:val="center"/>
          </w:tcPr>
          <w:p w14:paraId="715ABDEB" w14:textId="069B13DB" w:rsidR="00150C74" w:rsidRPr="0062572A" w:rsidRDefault="00150C74" w:rsidP="00150C74">
            <w:pPr>
              <w:spacing w:after="0"/>
              <w:ind w:left="0"/>
              <w:jc w:val="center"/>
              <w:rPr>
                <w:rFonts w:cs="Calibri"/>
                <w:color w:val="000000"/>
                <w:szCs w:val="24"/>
              </w:rPr>
            </w:pPr>
            <w:r>
              <w:rPr>
                <w:color w:val="000000"/>
                <w:szCs w:val="22"/>
              </w:rPr>
              <w:t>47</w:t>
            </w:r>
          </w:p>
        </w:tc>
        <w:tc>
          <w:tcPr>
            <w:tcW w:w="1530" w:type="dxa"/>
            <w:vAlign w:val="center"/>
          </w:tcPr>
          <w:p w14:paraId="4134C85F" w14:textId="77777777" w:rsidR="00150C74" w:rsidRPr="0062572A" w:rsidRDefault="00150C74" w:rsidP="00150C74">
            <w:pPr>
              <w:spacing w:after="0"/>
              <w:ind w:left="0"/>
              <w:rPr>
                <w:szCs w:val="24"/>
                <w:highlight w:val="yellow"/>
              </w:rPr>
            </w:pPr>
            <w:r w:rsidRPr="0062572A">
              <w:rPr>
                <w:rFonts w:cs="Calibri"/>
                <w:color w:val="000000"/>
                <w:szCs w:val="24"/>
              </w:rPr>
              <w:t>Receive</w:t>
            </w:r>
          </w:p>
        </w:tc>
        <w:tc>
          <w:tcPr>
            <w:tcW w:w="1620" w:type="dxa"/>
            <w:vAlign w:val="center"/>
          </w:tcPr>
          <w:p w14:paraId="20F7C2D9" w14:textId="77777777" w:rsidR="00150C74" w:rsidRPr="0062572A" w:rsidRDefault="00150C74" w:rsidP="00150C74">
            <w:pPr>
              <w:spacing w:after="0"/>
              <w:ind w:left="0"/>
              <w:rPr>
                <w:szCs w:val="24"/>
                <w:highlight w:val="yellow"/>
              </w:rPr>
            </w:pPr>
            <w:r w:rsidRPr="0062572A">
              <w:rPr>
                <w:rFonts w:cs="Calibri"/>
                <w:color w:val="000000"/>
                <w:szCs w:val="24"/>
              </w:rPr>
              <w:t>Batch / Weekly</w:t>
            </w:r>
          </w:p>
        </w:tc>
        <w:tc>
          <w:tcPr>
            <w:tcW w:w="2430" w:type="dxa"/>
            <w:vAlign w:val="center"/>
          </w:tcPr>
          <w:p w14:paraId="5BFACC9B" w14:textId="77777777" w:rsidR="00150C74" w:rsidRPr="0062572A" w:rsidRDefault="00150C74" w:rsidP="00150C74">
            <w:pPr>
              <w:spacing w:after="0"/>
              <w:ind w:left="0"/>
              <w:rPr>
                <w:szCs w:val="24"/>
                <w:highlight w:val="yellow"/>
              </w:rPr>
            </w:pPr>
            <w:r w:rsidRPr="0062572A">
              <w:rPr>
                <w:rFonts w:cs="Calibri"/>
                <w:color w:val="000000"/>
                <w:szCs w:val="24"/>
              </w:rPr>
              <w:t>TDI</w:t>
            </w:r>
          </w:p>
        </w:tc>
        <w:tc>
          <w:tcPr>
            <w:tcW w:w="2160" w:type="dxa"/>
            <w:vAlign w:val="center"/>
          </w:tcPr>
          <w:p w14:paraId="3F8844FA" w14:textId="45971AC0" w:rsidR="00150C74" w:rsidRPr="0062572A" w:rsidRDefault="00150C74" w:rsidP="00150C74">
            <w:pPr>
              <w:spacing w:after="0"/>
              <w:ind w:left="0"/>
              <w:rPr>
                <w:szCs w:val="24"/>
                <w:highlight w:val="yellow"/>
              </w:rPr>
            </w:pPr>
            <w:r w:rsidRPr="0062572A">
              <w:rPr>
                <w:rFonts w:cs="Calibri"/>
                <w:color w:val="000000"/>
                <w:szCs w:val="24"/>
              </w:rPr>
              <w:t>TDI crossmatch data retrieval</w:t>
            </w:r>
          </w:p>
        </w:tc>
        <w:tc>
          <w:tcPr>
            <w:tcW w:w="5940" w:type="dxa"/>
            <w:vAlign w:val="center"/>
          </w:tcPr>
          <w:p w14:paraId="69CB0F86" w14:textId="70C05249" w:rsidR="00150C74" w:rsidRPr="0062572A" w:rsidRDefault="00150C74" w:rsidP="00150C74">
            <w:pPr>
              <w:spacing w:after="0"/>
              <w:ind w:left="0"/>
              <w:rPr>
                <w:color w:val="FF0000"/>
                <w:szCs w:val="24"/>
                <w:highlight w:val="yellow"/>
              </w:rPr>
            </w:pPr>
            <w:r w:rsidRPr="0062572A">
              <w:rPr>
                <w:rFonts w:cs="Calibri"/>
                <w:color w:val="000000"/>
                <w:szCs w:val="24"/>
              </w:rPr>
              <w:t>To retrieve the most rece</w:t>
            </w:r>
            <w:r>
              <w:rPr>
                <w:rFonts w:cs="Calibri"/>
                <w:color w:val="000000"/>
                <w:szCs w:val="24"/>
              </w:rPr>
              <w:t>nt TDI crossmatch file from TDI</w:t>
            </w:r>
          </w:p>
        </w:tc>
      </w:tr>
      <w:tr w:rsidR="00150C74" w:rsidRPr="0062572A" w14:paraId="250C3323" w14:textId="77777777" w:rsidTr="005204B9">
        <w:tc>
          <w:tcPr>
            <w:tcW w:w="877" w:type="dxa"/>
            <w:vAlign w:val="center"/>
          </w:tcPr>
          <w:p w14:paraId="05A4F4B7" w14:textId="150A735C" w:rsidR="00150C74" w:rsidRPr="00AE79C1" w:rsidRDefault="00150C74" w:rsidP="00150C74">
            <w:pPr>
              <w:spacing w:after="0"/>
              <w:ind w:left="0"/>
              <w:jc w:val="center"/>
              <w:rPr>
                <w:rFonts w:cs="Calibri"/>
                <w:color w:val="000000"/>
                <w:szCs w:val="24"/>
              </w:rPr>
            </w:pPr>
            <w:r>
              <w:rPr>
                <w:szCs w:val="22"/>
              </w:rPr>
              <w:t>48</w:t>
            </w:r>
          </w:p>
        </w:tc>
        <w:tc>
          <w:tcPr>
            <w:tcW w:w="1530" w:type="dxa"/>
            <w:vAlign w:val="center"/>
          </w:tcPr>
          <w:p w14:paraId="244CC84E" w14:textId="77777777" w:rsidR="00150C74" w:rsidRPr="0062572A" w:rsidRDefault="00150C74" w:rsidP="00150C74">
            <w:pPr>
              <w:spacing w:after="0"/>
              <w:ind w:left="0"/>
              <w:rPr>
                <w:rFonts w:cs="Calibri"/>
                <w:color w:val="000000"/>
                <w:szCs w:val="24"/>
              </w:rPr>
            </w:pPr>
            <w:r>
              <w:rPr>
                <w:rFonts w:cs="Calibri"/>
                <w:color w:val="000000"/>
                <w:szCs w:val="24"/>
              </w:rPr>
              <w:t>Both</w:t>
            </w:r>
          </w:p>
        </w:tc>
        <w:tc>
          <w:tcPr>
            <w:tcW w:w="1620" w:type="dxa"/>
            <w:vAlign w:val="center"/>
          </w:tcPr>
          <w:p w14:paraId="30AD182D" w14:textId="77777777" w:rsidR="00150C74" w:rsidRPr="0062572A" w:rsidRDefault="00150C74" w:rsidP="00150C74">
            <w:pPr>
              <w:spacing w:after="0"/>
              <w:ind w:left="0"/>
              <w:rPr>
                <w:rFonts w:cs="Calibri"/>
                <w:color w:val="000000"/>
                <w:szCs w:val="24"/>
              </w:rPr>
            </w:pPr>
            <w:r>
              <w:rPr>
                <w:rFonts w:cs="Calibri"/>
                <w:color w:val="000000"/>
                <w:szCs w:val="24"/>
              </w:rPr>
              <w:t>Online</w:t>
            </w:r>
          </w:p>
        </w:tc>
        <w:tc>
          <w:tcPr>
            <w:tcW w:w="2430" w:type="dxa"/>
            <w:vAlign w:val="center"/>
          </w:tcPr>
          <w:p w14:paraId="7B8546E4" w14:textId="77777777" w:rsidR="00150C74" w:rsidRPr="0062572A" w:rsidRDefault="00150C74" w:rsidP="00150C74">
            <w:pPr>
              <w:spacing w:after="0"/>
              <w:ind w:left="0"/>
              <w:rPr>
                <w:rFonts w:cs="Calibri"/>
                <w:color w:val="000000"/>
                <w:szCs w:val="24"/>
              </w:rPr>
            </w:pPr>
            <w:r>
              <w:rPr>
                <w:rFonts w:cs="Calibri"/>
                <w:color w:val="000000"/>
                <w:szCs w:val="24"/>
              </w:rPr>
              <w:t>Tele-Serv IVR</w:t>
            </w:r>
          </w:p>
        </w:tc>
        <w:tc>
          <w:tcPr>
            <w:tcW w:w="2160" w:type="dxa"/>
            <w:vAlign w:val="center"/>
          </w:tcPr>
          <w:p w14:paraId="42FDA325" w14:textId="77777777" w:rsidR="00150C74" w:rsidRPr="0062572A" w:rsidRDefault="00150C74" w:rsidP="00150C74">
            <w:pPr>
              <w:spacing w:after="0"/>
              <w:ind w:left="0"/>
              <w:rPr>
                <w:rFonts w:cs="Calibri"/>
                <w:color w:val="000000"/>
                <w:szCs w:val="24"/>
              </w:rPr>
            </w:pPr>
            <w:r>
              <w:rPr>
                <w:rFonts w:cs="Calibri"/>
                <w:color w:val="000000"/>
                <w:szCs w:val="24"/>
              </w:rPr>
              <w:t>BNV4,BNV5,BNV6,BNV7,BNV8,EMP1</w:t>
            </w:r>
          </w:p>
        </w:tc>
        <w:tc>
          <w:tcPr>
            <w:tcW w:w="5940" w:type="dxa"/>
            <w:vAlign w:val="center"/>
          </w:tcPr>
          <w:p w14:paraId="1768A846" w14:textId="0EA70EB2" w:rsidR="00150C74" w:rsidRPr="0062572A" w:rsidRDefault="00150C74" w:rsidP="00150C74">
            <w:pPr>
              <w:spacing w:after="0"/>
              <w:ind w:left="0"/>
              <w:rPr>
                <w:rFonts w:cs="Calibri"/>
                <w:color w:val="000000"/>
                <w:szCs w:val="24"/>
              </w:rPr>
            </w:pPr>
            <w:r>
              <w:rPr>
                <w:rFonts w:cs="Calibri"/>
                <w:color w:val="000000"/>
                <w:szCs w:val="24"/>
              </w:rPr>
              <w:t>Benefits systems TN3270 screens used to screen scrape data between Benefits system and IVR</w:t>
            </w:r>
          </w:p>
        </w:tc>
      </w:tr>
      <w:tr w:rsidR="00150C74" w:rsidRPr="0062572A" w14:paraId="31C96D5C" w14:textId="77777777" w:rsidTr="005204B9">
        <w:tc>
          <w:tcPr>
            <w:tcW w:w="877" w:type="dxa"/>
            <w:vAlign w:val="center"/>
          </w:tcPr>
          <w:p w14:paraId="601297E9" w14:textId="6D0C4C4F" w:rsidR="00150C74" w:rsidRPr="0062572A" w:rsidRDefault="00150C74" w:rsidP="00150C74">
            <w:pPr>
              <w:spacing w:after="0"/>
              <w:ind w:left="0"/>
              <w:jc w:val="center"/>
              <w:rPr>
                <w:rFonts w:cs="Calibri"/>
                <w:color w:val="000000"/>
                <w:szCs w:val="24"/>
              </w:rPr>
            </w:pPr>
            <w:r>
              <w:rPr>
                <w:color w:val="000000"/>
                <w:szCs w:val="22"/>
              </w:rPr>
              <w:t>49</w:t>
            </w:r>
          </w:p>
        </w:tc>
        <w:tc>
          <w:tcPr>
            <w:tcW w:w="1530" w:type="dxa"/>
            <w:vAlign w:val="center"/>
          </w:tcPr>
          <w:p w14:paraId="445AA973" w14:textId="77777777" w:rsidR="00150C74" w:rsidRPr="0062572A" w:rsidRDefault="00150C74" w:rsidP="00150C74">
            <w:pPr>
              <w:spacing w:after="0"/>
              <w:ind w:left="0"/>
              <w:rPr>
                <w:szCs w:val="24"/>
              </w:rPr>
            </w:pPr>
            <w:r w:rsidRPr="0062572A">
              <w:rPr>
                <w:rFonts w:cs="Calibri"/>
                <w:color w:val="000000"/>
                <w:szCs w:val="24"/>
              </w:rPr>
              <w:t>Send</w:t>
            </w:r>
          </w:p>
        </w:tc>
        <w:tc>
          <w:tcPr>
            <w:tcW w:w="1620" w:type="dxa"/>
            <w:vAlign w:val="center"/>
          </w:tcPr>
          <w:p w14:paraId="65237884" w14:textId="77777777" w:rsidR="00150C74" w:rsidRPr="0062572A" w:rsidRDefault="00150C74" w:rsidP="00150C74">
            <w:pPr>
              <w:spacing w:after="0"/>
              <w:ind w:left="0"/>
              <w:rPr>
                <w:szCs w:val="24"/>
              </w:rPr>
            </w:pPr>
            <w:r w:rsidRPr="0062572A">
              <w:rPr>
                <w:rFonts w:cs="Calibri"/>
                <w:color w:val="000000"/>
                <w:szCs w:val="24"/>
              </w:rPr>
              <w:t>Online / Daily</w:t>
            </w:r>
          </w:p>
        </w:tc>
        <w:tc>
          <w:tcPr>
            <w:tcW w:w="2430" w:type="dxa"/>
            <w:vAlign w:val="center"/>
          </w:tcPr>
          <w:p w14:paraId="1CD354B2" w14:textId="48FAC082" w:rsidR="00150C74" w:rsidRPr="0062572A" w:rsidRDefault="00150C74" w:rsidP="00150C74">
            <w:pPr>
              <w:spacing w:after="0"/>
              <w:ind w:left="0"/>
              <w:rPr>
                <w:szCs w:val="24"/>
              </w:rPr>
            </w:pPr>
            <w:r w:rsidRPr="0062572A">
              <w:rPr>
                <w:rFonts w:cs="Calibri"/>
                <w:color w:val="000000"/>
                <w:szCs w:val="24"/>
              </w:rPr>
              <w:t>TWIST</w:t>
            </w:r>
          </w:p>
        </w:tc>
        <w:tc>
          <w:tcPr>
            <w:tcW w:w="2160" w:type="dxa"/>
            <w:vAlign w:val="center"/>
          </w:tcPr>
          <w:p w14:paraId="7264E3FD" w14:textId="5935903D" w:rsidR="00150C74" w:rsidRPr="0062572A" w:rsidRDefault="00150C74" w:rsidP="00150C74">
            <w:pPr>
              <w:spacing w:after="0"/>
              <w:ind w:left="0"/>
              <w:rPr>
                <w:szCs w:val="24"/>
              </w:rPr>
            </w:pPr>
            <w:r>
              <w:rPr>
                <w:rFonts w:cs="Calibri"/>
                <w:color w:val="000000"/>
                <w:szCs w:val="24"/>
              </w:rPr>
              <w:t>BNDQ520A daily IC n</w:t>
            </w:r>
            <w:r w:rsidRPr="0062572A">
              <w:rPr>
                <w:rFonts w:cs="Calibri"/>
                <w:color w:val="000000"/>
                <w:szCs w:val="24"/>
              </w:rPr>
              <w:t xml:space="preserve">ew Claimant to TWIST </w:t>
            </w:r>
          </w:p>
        </w:tc>
        <w:tc>
          <w:tcPr>
            <w:tcW w:w="5940" w:type="dxa"/>
            <w:vAlign w:val="center"/>
          </w:tcPr>
          <w:p w14:paraId="238B4B03" w14:textId="33B35F9D" w:rsidR="00150C74" w:rsidRPr="0062572A" w:rsidRDefault="00150C74" w:rsidP="00150C74">
            <w:pPr>
              <w:spacing w:after="0"/>
              <w:ind w:left="0"/>
              <w:rPr>
                <w:szCs w:val="24"/>
              </w:rPr>
            </w:pPr>
            <w:r w:rsidRPr="0062572A">
              <w:rPr>
                <w:rFonts w:cs="Calibri"/>
                <w:color w:val="000000"/>
                <w:szCs w:val="24"/>
              </w:rPr>
              <w:t>TWIST new claim data</w:t>
            </w:r>
          </w:p>
        </w:tc>
      </w:tr>
      <w:tr w:rsidR="00150C74" w:rsidRPr="0062572A" w14:paraId="03F1EB33" w14:textId="77777777" w:rsidTr="005204B9">
        <w:tc>
          <w:tcPr>
            <w:tcW w:w="877" w:type="dxa"/>
            <w:vAlign w:val="center"/>
          </w:tcPr>
          <w:p w14:paraId="17752FE7" w14:textId="068C7E66" w:rsidR="00150C74" w:rsidRPr="0062572A" w:rsidRDefault="00150C74" w:rsidP="00150C74">
            <w:pPr>
              <w:spacing w:after="0"/>
              <w:ind w:left="0"/>
              <w:jc w:val="center"/>
              <w:rPr>
                <w:szCs w:val="24"/>
              </w:rPr>
            </w:pPr>
            <w:r>
              <w:rPr>
                <w:szCs w:val="22"/>
              </w:rPr>
              <w:t>50</w:t>
            </w:r>
          </w:p>
        </w:tc>
        <w:tc>
          <w:tcPr>
            <w:tcW w:w="1530" w:type="dxa"/>
            <w:vAlign w:val="center"/>
          </w:tcPr>
          <w:p w14:paraId="05BB5D5B" w14:textId="77777777" w:rsidR="00150C74" w:rsidRPr="0062572A" w:rsidRDefault="00150C74" w:rsidP="00150C74">
            <w:pPr>
              <w:spacing w:after="0"/>
              <w:ind w:left="0"/>
              <w:rPr>
                <w:szCs w:val="24"/>
              </w:rPr>
            </w:pPr>
            <w:r w:rsidRPr="0062572A">
              <w:rPr>
                <w:rFonts w:cs="Calibri"/>
                <w:color w:val="000000"/>
                <w:szCs w:val="24"/>
              </w:rPr>
              <w:t>Receive</w:t>
            </w:r>
          </w:p>
        </w:tc>
        <w:tc>
          <w:tcPr>
            <w:tcW w:w="1620" w:type="dxa"/>
            <w:vAlign w:val="center"/>
          </w:tcPr>
          <w:p w14:paraId="7FF91484" w14:textId="77777777" w:rsidR="00150C74" w:rsidRPr="0062572A" w:rsidRDefault="00150C74" w:rsidP="00150C74">
            <w:pPr>
              <w:spacing w:after="0"/>
              <w:ind w:left="0"/>
              <w:rPr>
                <w:szCs w:val="24"/>
              </w:rPr>
            </w:pPr>
            <w:r w:rsidRPr="0062572A">
              <w:rPr>
                <w:rFonts w:cs="Calibri"/>
                <w:color w:val="000000"/>
                <w:szCs w:val="24"/>
              </w:rPr>
              <w:t>Batch / Daily</w:t>
            </w:r>
          </w:p>
        </w:tc>
        <w:tc>
          <w:tcPr>
            <w:tcW w:w="2430" w:type="dxa"/>
            <w:vAlign w:val="center"/>
          </w:tcPr>
          <w:p w14:paraId="11950F75" w14:textId="39F7F0A9" w:rsidR="00150C74" w:rsidRPr="0062572A" w:rsidRDefault="00150C74" w:rsidP="00150C74">
            <w:pPr>
              <w:spacing w:after="0"/>
              <w:ind w:left="0"/>
              <w:rPr>
                <w:szCs w:val="24"/>
              </w:rPr>
            </w:pPr>
            <w:r w:rsidRPr="0062572A">
              <w:rPr>
                <w:rFonts w:cs="Calibri"/>
                <w:color w:val="000000"/>
                <w:szCs w:val="24"/>
              </w:rPr>
              <w:t>TWIST</w:t>
            </w:r>
          </w:p>
        </w:tc>
        <w:tc>
          <w:tcPr>
            <w:tcW w:w="2160" w:type="dxa"/>
            <w:vAlign w:val="center"/>
          </w:tcPr>
          <w:p w14:paraId="1E7EA697" w14:textId="741DB3E5" w:rsidR="00150C74" w:rsidRPr="0062572A" w:rsidRDefault="00150C74" w:rsidP="00150C74">
            <w:pPr>
              <w:spacing w:after="0"/>
              <w:ind w:left="0"/>
              <w:rPr>
                <w:szCs w:val="24"/>
              </w:rPr>
            </w:pPr>
            <w:r>
              <w:rPr>
                <w:rFonts w:cs="Calibri"/>
                <w:color w:val="000000"/>
                <w:szCs w:val="24"/>
              </w:rPr>
              <w:t>Code-</w:t>
            </w:r>
            <w:r w:rsidRPr="0062572A">
              <w:rPr>
                <w:rFonts w:cs="Calibri"/>
                <w:color w:val="000000"/>
                <w:szCs w:val="24"/>
              </w:rPr>
              <w:t>1 address validation for TWIST</w:t>
            </w:r>
          </w:p>
        </w:tc>
        <w:tc>
          <w:tcPr>
            <w:tcW w:w="5940" w:type="dxa"/>
            <w:vAlign w:val="center"/>
          </w:tcPr>
          <w:p w14:paraId="7BC9B356" w14:textId="26B7F20D" w:rsidR="00150C74" w:rsidRPr="0062572A" w:rsidRDefault="00150C74" w:rsidP="00150C74">
            <w:pPr>
              <w:spacing w:after="0"/>
              <w:ind w:left="0"/>
              <w:rPr>
                <w:szCs w:val="24"/>
              </w:rPr>
            </w:pPr>
            <w:r w:rsidRPr="0062572A">
              <w:rPr>
                <w:rFonts w:cs="Calibri"/>
                <w:color w:val="000000"/>
                <w:szCs w:val="24"/>
              </w:rPr>
              <w:t>2/11/05-Updated per TWIST batch unit</w:t>
            </w:r>
          </w:p>
        </w:tc>
      </w:tr>
      <w:tr w:rsidR="00150C74" w:rsidRPr="0062572A" w14:paraId="3C1F6859" w14:textId="77777777" w:rsidTr="005204B9">
        <w:tc>
          <w:tcPr>
            <w:tcW w:w="877" w:type="dxa"/>
            <w:vAlign w:val="center"/>
          </w:tcPr>
          <w:p w14:paraId="72D8A7DD" w14:textId="792E626A" w:rsidR="00150C74" w:rsidRPr="0062572A" w:rsidRDefault="00150C74" w:rsidP="00150C74">
            <w:pPr>
              <w:spacing w:after="0"/>
              <w:ind w:left="0"/>
              <w:jc w:val="center"/>
              <w:rPr>
                <w:szCs w:val="24"/>
              </w:rPr>
            </w:pPr>
            <w:r>
              <w:rPr>
                <w:color w:val="000000"/>
                <w:szCs w:val="22"/>
              </w:rPr>
              <w:t>51</w:t>
            </w:r>
          </w:p>
        </w:tc>
        <w:tc>
          <w:tcPr>
            <w:tcW w:w="1530" w:type="dxa"/>
            <w:vAlign w:val="center"/>
          </w:tcPr>
          <w:p w14:paraId="7CACCD28" w14:textId="77777777" w:rsidR="00150C74" w:rsidRPr="0062572A" w:rsidRDefault="00150C74" w:rsidP="00150C74">
            <w:pPr>
              <w:spacing w:after="0"/>
              <w:ind w:left="0"/>
              <w:rPr>
                <w:szCs w:val="24"/>
              </w:rPr>
            </w:pPr>
            <w:r w:rsidRPr="0062572A">
              <w:rPr>
                <w:rFonts w:cs="Calibri"/>
                <w:color w:val="000000"/>
                <w:szCs w:val="24"/>
              </w:rPr>
              <w:t>Receive</w:t>
            </w:r>
          </w:p>
        </w:tc>
        <w:tc>
          <w:tcPr>
            <w:tcW w:w="1620" w:type="dxa"/>
            <w:vAlign w:val="center"/>
          </w:tcPr>
          <w:p w14:paraId="0C476BC0" w14:textId="77777777" w:rsidR="00150C74" w:rsidRPr="0062572A" w:rsidRDefault="00150C74" w:rsidP="00150C74">
            <w:pPr>
              <w:spacing w:after="0"/>
              <w:ind w:left="0"/>
              <w:rPr>
                <w:szCs w:val="24"/>
              </w:rPr>
            </w:pPr>
            <w:r w:rsidRPr="0062572A">
              <w:rPr>
                <w:rFonts w:cs="Calibri"/>
                <w:color w:val="000000"/>
                <w:szCs w:val="24"/>
              </w:rPr>
              <w:t>Batch / Daily</w:t>
            </w:r>
          </w:p>
        </w:tc>
        <w:tc>
          <w:tcPr>
            <w:tcW w:w="2430" w:type="dxa"/>
            <w:vAlign w:val="center"/>
          </w:tcPr>
          <w:p w14:paraId="2AFD4DBD" w14:textId="064CF60A" w:rsidR="00150C74" w:rsidRPr="0062572A" w:rsidRDefault="00150C74" w:rsidP="00150C74">
            <w:pPr>
              <w:spacing w:after="0"/>
              <w:ind w:left="0"/>
              <w:rPr>
                <w:szCs w:val="24"/>
              </w:rPr>
            </w:pPr>
            <w:r w:rsidRPr="0062572A">
              <w:rPr>
                <w:rFonts w:cs="Calibri"/>
                <w:color w:val="000000"/>
                <w:szCs w:val="24"/>
              </w:rPr>
              <w:t>TWIST</w:t>
            </w:r>
          </w:p>
        </w:tc>
        <w:tc>
          <w:tcPr>
            <w:tcW w:w="2160" w:type="dxa"/>
            <w:vAlign w:val="center"/>
          </w:tcPr>
          <w:p w14:paraId="529C0CD9" w14:textId="77777777" w:rsidR="00150C74" w:rsidRPr="0062572A" w:rsidRDefault="00150C74" w:rsidP="00150C74">
            <w:pPr>
              <w:spacing w:after="0"/>
              <w:ind w:left="0"/>
              <w:rPr>
                <w:szCs w:val="24"/>
              </w:rPr>
            </w:pPr>
            <w:r w:rsidRPr="0062572A">
              <w:rPr>
                <w:rFonts w:cs="Calibri"/>
                <w:color w:val="000000"/>
                <w:szCs w:val="24"/>
              </w:rPr>
              <w:t>Interface to UI for HCTC</w:t>
            </w:r>
          </w:p>
        </w:tc>
        <w:tc>
          <w:tcPr>
            <w:tcW w:w="5940" w:type="dxa"/>
            <w:vAlign w:val="center"/>
          </w:tcPr>
          <w:p w14:paraId="47A5BBB8" w14:textId="63615642" w:rsidR="00150C74" w:rsidRPr="0062572A" w:rsidRDefault="00150C74" w:rsidP="00150C74">
            <w:pPr>
              <w:spacing w:after="0"/>
              <w:ind w:left="0"/>
              <w:rPr>
                <w:szCs w:val="24"/>
              </w:rPr>
            </w:pPr>
            <w:r w:rsidRPr="0062572A">
              <w:rPr>
                <w:rFonts w:cs="Calibri"/>
                <w:color w:val="000000"/>
                <w:szCs w:val="24"/>
              </w:rPr>
              <w:t>2/11/05-Added per TWIST batch unit</w:t>
            </w:r>
          </w:p>
        </w:tc>
      </w:tr>
      <w:tr w:rsidR="00150C74" w:rsidRPr="0062572A" w14:paraId="61A6DBC4" w14:textId="77777777" w:rsidTr="005204B9">
        <w:tc>
          <w:tcPr>
            <w:tcW w:w="877" w:type="dxa"/>
            <w:vAlign w:val="center"/>
          </w:tcPr>
          <w:p w14:paraId="1BF2E464" w14:textId="3E5096CD" w:rsidR="00150C74" w:rsidRPr="0062572A" w:rsidRDefault="00150C74" w:rsidP="00150C74">
            <w:pPr>
              <w:spacing w:after="0"/>
              <w:ind w:left="0"/>
              <w:jc w:val="center"/>
              <w:rPr>
                <w:szCs w:val="24"/>
              </w:rPr>
            </w:pPr>
            <w:r>
              <w:rPr>
                <w:szCs w:val="22"/>
              </w:rPr>
              <w:t>52</w:t>
            </w:r>
          </w:p>
        </w:tc>
        <w:tc>
          <w:tcPr>
            <w:tcW w:w="1530" w:type="dxa"/>
            <w:vAlign w:val="center"/>
          </w:tcPr>
          <w:p w14:paraId="5030A3CC" w14:textId="77777777" w:rsidR="00150C74" w:rsidRPr="0062572A" w:rsidRDefault="00150C74" w:rsidP="00150C74">
            <w:pPr>
              <w:spacing w:after="0"/>
              <w:ind w:left="0"/>
              <w:rPr>
                <w:szCs w:val="24"/>
              </w:rPr>
            </w:pPr>
            <w:r w:rsidRPr="0062572A">
              <w:rPr>
                <w:rFonts w:cs="Calibri"/>
                <w:color w:val="000000"/>
                <w:szCs w:val="24"/>
              </w:rPr>
              <w:t>Send</w:t>
            </w:r>
          </w:p>
        </w:tc>
        <w:tc>
          <w:tcPr>
            <w:tcW w:w="1620" w:type="dxa"/>
            <w:vAlign w:val="center"/>
          </w:tcPr>
          <w:p w14:paraId="7508B048" w14:textId="77777777" w:rsidR="00150C74" w:rsidRPr="0062572A" w:rsidRDefault="00150C74" w:rsidP="00150C74">
            <w:pPr>
              <w:spacing w:after="0"/>
              <w:ind w:left="0"/>
              <w:rPr>
                <w:szCs w:val="24"/>
              </w:rPr>
            </w:pPr>
            <w:r w:rsidRPr="0062572A">
              <w:rPr>
                <w:rFonts w:cs="Calibri"/>
                <w:color w:val="000000"/>
                <w:szCs w:val="24"/>
              </w:rPr>
              <w:t>Batch / Daily</w:t>
            </w:r>
          </w:p>
        </w:tc>
        <w:tc>
          <w:tcPr>
            <w:tcW w:w="2430" w:type="dxa"/>
            <w:vAlign w:val="center"/>
          </w:tcPr>
          <w:p w14:paraId="695FBEED" w14:textId="5D4EC92F" w:rsidR="00150C74" w:rsidRPr="0062572A" w:rsidRDefault="00150C74" w:rsidP="00150C74">
            <w:pPr>
              <w:spacing w:after="0"/>
              <w:ind w:left="0"/>
              <w:rPr>
                <w:szCs w:val="24"/>
              </w:rPr>
            </w:pPr>
            <w:r w:rsidRPr="0062572A">
              <w:rPr>
                <w:rFonts w:cs="Calibri"/>
                <w:color w:val="000000"/>
                <w:szCs w:val="24"/>
              </w:rPr>
              <w:t>TWIST</w:t>
            </w:r>
          </w:p>
        </w:tc>
        <w:tc>
          <w:tcPr>
            <w:tcW w:w="2160" w:type="dxa"/>
            <w:vAlign w:val="center"/>
          </w:tcPr>
          <w:p w14:paraId="192C8535" w14:textId="07433B70" w:rsidR="00150C74" w:rsidRPr="0062572A" w:rsidRDefault="00150C74" w:rsidP="00150C74">
            <w:pPr>
              <w:spacing w:after="0"/>
              <w:ind w:left="0"/>
              <w:rPr>
                <w:szCs w:val="24"/>
              </w:rPr>
            </w:pPr>
            <w:r w:rsidRPr="0062572A">
              <w:rPr>
                <w:rFonts w:cs="Calibri"/>
                <w:color w:val="000000"/>
                <w:szCs w:val="24"/>
              </w:rPr>
              <w:t xml:space="preserve">New claims </w:t>
            </w:r>
            <w:r>
              <w:rPr>
                <w:rFonts w:cs="Calibri"/>
                <w:color w:val="000000"/>
                <w:szCs w:val="24"/>
              </w:rPr>
              <w:t>in l</w:t>
            </w:r>
            <w:r w:rsidRPr="0062572A">
              <w:rPr>
                <w:rFonts w:cs="Calibri"/>
                <w:color w:val="000000"/>
                <w:szCs w:val="24"/>
              </w:rPr>
              <w:t xml:space="preserve">ast 11 </w:t>
            </w:r>
            <w:r>
              <w:rPr>
                <w:rFonts w:cs="Calibri"/>
                <w:color w:val="000000"/>
                <w:szCs w:val="24"/>
              </w:rPr>
              <w:t>weeks</w:t>
            </w:r>
          </w:p>
        </w:tc>
        <w:tc>
          <w:tcPr>
            <w:tcW w:w="5940" w:type="dxa"/>
            <w:vAlign w:val="center"/>
          </w:tcPr>
          <w:p w14:paraId="5BFF0670" w14:textId="391A3B4B" w:rsidR="00150C74" w:rsidRPr="0062572A" w:rsidRDefault="00150C74" w:rsidP="00150C74">
            <w:pPr>
              <w:spacing w:after="0"/>
              <w:ind w:left="0"/>
              <w:rPr>
                <w:szCs w:val="24"/>
              </w:rPr>
            </w:pPr>
            <w:r w:rsidRPr="0062572A">
              <w:rPr>
                <w:rFonts w:cs="Calibri"/>
                <w:color w:val="000000"/>
                <w:szCs w:val="24"/>
              </w:rPr>
              <w:t>Daily TWIST n</w:t>
            </w:r>
            <w:r>
              <w:rPr>
                <w:rFonts w:cs="Calibri"/>
                <w:color w:val="000000"/>
                <w:szCs w:val="24"/>
              </w:rPr>
              <w:t>ew claims reformat and transfer</w:t>
            </w:r>
          </w:p>
        </w:tc>
      </w:tr>
      <w:tr w:rsidR="0007600E" w:rsidRPr="0062572A" w14:paraId="55A6FFD6" w14:textId="77777777" w:rsidTr="005204B9">
        <w:tc>
          <w:tcPr>
            <w:tcW w:w="877" w:type="dxa"/>
            <w:vAlign w:val="center"/>
          </w:tcPr>
          <w:p w14:paraId="438525BD" w14:textId="1E0F6E6B" w:rsidR="0007600E" w:rsidRPr="0062572A" w:rsidRDefault="0007600E" w:rsidP="0007600E">
            <w:pPr>
              <w:spacing w:after="0"/>
              <w:ind w:left="0"/>
              <w:jc w:val="center"/>
              <w:rPr>
                <w:szCs w:val="24"/>
              </w:rPr>
            </w:pPr>
            <w:r>
              <w:rPr>
                <w:color w:val="000000"/>
                <w:szCs w:val="22"/>
              </w:rPr>
              <w:t>53</w:t>
            </w:r>
          </w:p>
        </w:tc>
        <w:tc>
          <w:tcPr>
            <w:tcW w:w="1530" w:type="dxa"/>
            <w:vAlign w:val="center"/>
          </w:tcPr>
          <w:p w14:paraId="6605A3B7" w14:textId="77777777" w:rsidR="0007600E" w:rsidRPr="0062572A" w:rsidRDefault="0007600E" w:rsidP="0007600E">
            <w:pPr>
              <w:spacing w:after="0"/>
              <w:ind w:left="0"/>
              <w:rPr>
                <w:szCs w:val="24"/>
              </w:rPr>
            </w:pPr>
            <w:r w:rsidRPr="0062572A">
              <w:rPr>
                <w:rFonts w:cs="Calibri"/>
                <w:color w:val="000000"/>
                <w:szCs w:val="24"/>
              </w:rPr>
              <w:t>Send</w:t>
            </w:r>
          </w:p>
        </w:tc>
        <w:tc>
          <w:tcPr>
            <w:tcW w:w="1620" w:type="dxa"/>
            <w:vAlign w:val="center"/>
          </w:tcPr>
          <w:p w14:paraId="01669E71" w14:textId="77777777" w:rsidR="0007600E" w:rsidRPr="0062572A" w:rsidRDefault="0007600E" w:rsidP="0007600E">
            <w:pPr>
              <w:spacing w:after="0"/>
              <w:ind w:left="0"/>
              <w:rPr>
                <w:szCs w:val="24"/>
              </w:rPr>
            </w:pPr>
            <w:r w:rsidRPr="0062572A">
              <w:rPr>
                <w:rFonts w:cs="Calibri"/>
                <w:color w:val="000000"/>
                <w:szCs w:val="24"/>
              </w:rPr>
              <w:t>Batch / Daily</w:t>
            </w:r>
          </w:p>
        </w:tc>
        <w:tc>
          <w:tcPr>
            <w:tcW w:w="2430" w:type="dxa"/>
            <w:vAlign w:val="center"/>
          </w:tcPr>
          <w:p w14:paraId="58D90B4C" w14:textId="51178265" w:rsidR="0007600E" w:rsidRPr="0062572A" w:rsidRDefault="003479D8" w:rsidP="0007600E">
            <w:pPr>
              <w:spacing w:after="0"/>
              <w:ind w:left="0"/>
              <w:rPr>
                <w:szCs w:val="24"/>
              </w:rPr>
            </w:pPr>
            <w:r>
              <w:rPr>
                <w:rFonts w:cs="Calibri"/>
                <w:color w:val="000000"/>
                <w:szCs w:val="24"/>
              </w:rPr>
              <w:t>CPA</w:t>
            </w:r>
          </w:p>
        </w:tc>
        <w:tc>
          <w:tcPr>
            <w:tcW w:w="2160" w:type="dxa"/>
            <w:vAlign w:val="center"/>
          </w:tcPr>
          <w:p w14:paraId="19934FEF" w14:textId="77777777" w:rsidR="0007600E" w:rsidRPr="00253C43" w:rsidRDefault="0007600E" w:rsidP="0007600E">
            <w:pPr>
              <w:spacing w:after="0"/>
              <w:ind w:left="0"/>
              <w:rPr>
                <w:rFonts w:cs="Calibri"/>
                <w:color w:val="000000"/>
                <w:szCs w:val="24"/>
              </w:rPr>
            </w:pPr>
            <w:r>
              <w:rPr>
                <w:rFonts w:cs="Calibri"/>
                <w:color w:val="000000"/>
                <w:szCs w:val="24"/>
              </w:rPr>
              <w:t>ACH payment transmission</w:t>
            </w:r>
          </w:p>
        </w:tc>
        <w:tc>
          <w:tcPr>
            <w:tcW w:w="5940" w:type="dxa"/>
            <w:vAlign w:val="center"/>
          </w:tcPr>
          <w:p w14:paraId="436E434A" w14:textId="6180F1DD" w:rsidR="0007600E" w:rsidRPr="00253C43" w:rsidRDefault="0007600E" w:rsidP="0007600E">
            <w:pPr>
              <w:spacing w:after="0"/>
              <w:ind w:left="0"/>
              <w:rPr>
                <w:rFonts w:cs="Calibri"/>
                <w:color w:val="000000"/>
                <w:szCs w:val="24"/>
              </w:rPr>
            </w:pPr>
            <w:r w:rsidRPr="0062572A">
              <w:rPr>
                <w:rFonts w:cs="Calibri"/>
                <w:color w:val="000000"/>
                <w:szCs w:val="24"/>
              </w:rPr>
              <w:t xml:space="preserve">ACH </w:t>
            </w:r>
            <w:r>
              <w:rPr>
                <w:rFonts w:cs="Calibri"/>
                <w:color w:val="000000"/>
                <w:szCs w:val="24"/>
              </w:rPr>
              <w:t xml:space="preserve">payment </w:t>
            </w:r>
            <w:r w:rsidRPr="0062572A">
              <w:rPr>
                <w:rFonts w:cs="Calibri"/>
                <w:color w:val="000000"/>
                <w:szCs w:val="24"/>
              </w:rPr>
              <w:t xml:space="preserve">file </w:t>
            </w:r>
            <w:r>
              <w:rPr>
                <w:rFonts w:cs="Calibri"/>
                <w:color w:val="000000"/>
                <w:szCs w:val="24"/>
              </w:rPr>
              <w:t>sent to Comptroller;</w:t>
            </w:r>
          </w:p>
          <w:p w14:paraId="781841F3" w14:textId="15F38313" w:rsidR="0007600E" w:rsidRPr="00253C43" w:rsidRDefault="0007600E" w:rsidP="0007600E">
            <w:pPr>
              <w:spacing w:after="0"/>
              <w:ind w:left="0"/>
              <w:rPr>
                <w:rFonts w:cs="Calibri"/>
                <w:color w:val="000000"/>
                <w:szCs w:val="24"/>
              </w:rPr>
            </w:pPr>
            <w:r w:rsidRPr="00253C43">
              <w:rPr>
                <w:rFonts w:cs="Calibri"/>
                <w:color w:val="000000"/>
                <w:szCs w:val="24"/>
              </w:rPr>
              <w:t>RTM requests the release</w:t>
            </w:r>
            <w:r>
              <w:rPr>
                <w:rFonts w:cs="Calibri"/>
                <w:color w:val="000000"/>
                <w:szCs w:val="24"/>
              </w:rPr>
              <w:t xml:space="preserve"> of this job</w:t>
            </w:r>
          </w:p>
        </w:tc>
      </w:tr>
      <w:tr w:rsidR="0007600E" w:rsidRPr="0062572A" w14:paraId="63CCC7BE" w14:textId="77777777" w:rsidTr="005204B9">
        <w:tc>
          <w:tcPr>
            <w:tcW w:w="877" w:type="dxa"/>
            <w:vAlign w:val="center"/>
          </w:tcPr>
          <w:p w14:paraId="02B198A0" w14:textId="4BBCAFDD" w:rsidR="0007600E" w:rsidRPr="0062572A" w:rsidRDefault="0007600E" w:rsidP="0007600E">
            <w:pPr>
              <w:spacing w:after="0"/>
              <w:ind w:left="0"/>
              <w:jc w:val="center"/>
              <w:rPr>
                <w:rFonts w:cs="Calibri"/>
                <w:color w:val="000000"/>
                <w:szCs w:val="24"/>
              </w:rPr>
            </w:pPr>
            <w:r>
              <w:rPr>
                <w:szCs w:val="22"/>
              </w:rPr>
              <w:t>54</w:t>
            </w:r>
          </w:p>
        </w:tc>
        <w:tc>
          <w:tcPr>
            <w:tcW w:w="1530" w:type="dxa"/>
            <w:vAlign w:val="center"/>
          </w:tcPr>
          <w:p w14:paraId="7238EA78" w14:textId="77777777" w:rsidR="0007600E" w:rsidRPr="0062572A" w:rsidRDefault="0007600E" w:rsidP="0007600E">
            <w:pPr>
              <w:spacing w:after="0"/>
              <w:ind w:left="0"/>
              <w:rPr>
                <w:rFonts w:cs="Calibri"/>
                <w:color w:val="000000"/>
                <w:szCs w:val="24"/>
              </w:rPr>
            </w:pPr>
            <w:r w:rsidRPr="0062572A">
              <w:rPr>
                <w:rFonts w:cs="Calibri"/>
                <w:color w:val="000000"/>
                <w:szCs w:val="24"/>
              </w:rPr>
              <w:t>Receive</w:t>
            </w:r>
          </w:p>
        </w:tc>
        <w:tc>
          <w:tcPr>
            <w:tcW w:w="1620" w:type="dxa"/>
            <w:vAlign w:val="center"/>
          </w:tcPr>
          <w:p w14:paraId="0C87EE37" w14:textId="77777777" w:rsidR="0007600E" w:rsidRPr="0062572A" w:rsidRDefault="0007600E" w:rsidP="0007600E">
            <w:pPr>
              <w:spacing w:after="0"/>
              <w:ind w:left="0"/>
              <w:rPr>
                <w:rFonts w:cs="Calibri"/>
                <w:color w:val="000000"/>
                <w:szCs w:val="24"/>
              </w:rPr>
            </w:pPr>
            <w:r w:rsidRPr="0062572A">
              <w:rPr>
                <w:rFonts w:cs="Calibri"/>
                <w:color w:val="000000"/>
                <w:szCs w:val="24"/>
              </w:rPr>
              <w:t>Batch / Daily</w:t>
            </w:r>
          </w:p>
        </w:tc>
        <w:tc>
          <w:tcPr>
            <w:tcW w:w="2430" w:type="dxa"/>
            <w:vAlign w:val="center"/>
          </w:tcPr>
          <w:p w14:paraId="55CA7EAF" w14:textId="0A5F567A" w:rsidR="0007600E" w:rsidRPr="0062572A" w:rsidRDefault="003479D8" w:rsidP="0007600E">
            <w:pPr>
              <w:spacing w:after="0"/>
              <w:ind w:left="0"/>
              <w:rPr>
                <w:rFonts w:cs="Calibri"/>
                <w:color w:val="000000"/>
                <w:szCs w:val="24"/>
              </w:rPr>
            </w:pPr>
            <w:r>
              <w:rPr>
                <w:rFonts w:cs="Calibri"/>
                <w:color w:val="000000"/>
                <w:szCs w:val="24"/>
              </w:rPr>
              <w:t>CPA</w:t>
            </w:r>
          </w:p>
        </w:tc>
        <w:tc>
          <w:tcPr>
            <w:tcW w:w="2160" w:type="dxa"/>
            <w:vAlign w:val="center"/>
          </w:tcPr>
          <w:p w14:paraId="546ADD15" w14:textId="215DA1F7" w:rsidR="0007600E" w:rsidRPr="0062572A" w:rsidRDefault="0007600E" w:rsidP="0007600E">
            <w:pPr>
              <w:spacing w:after="0"/>
              <w:ind w:left="0"/>
              <w:rPr>
                <w:rFonts w:cs="Calibri"/>
                <w:color w:val="000000"/>
                <w:szCs w:val="24"/>
              </w:rPr>
            </w:pPr>
            <w:r>
              <w:rPr>
                <w:rFonts w:cs="Calibri"/>
                <w:color w:val="000000"/>
                <w:szCs w:val="24"/>
              </w:rPr>
              <w:t>ACH return</w:t>
            </w:r>
          </w:p>
        </w:tc>
        <w:tc>
          <w:tcPr>
            <w:tcW w:w="5940" w:type="dxa"/>
            <w:vAlign w:val="center"/>
          </w:tcPr>
          <w:p w14:paraId="22B062D8" w14:textId="2C6639B0" w:rsidR="0007600E" w:rsidRPr="0062572A" w:rsidRDefault="0007600E" w:rsidP="0007600E">
            <w:pPr>
              <w:spacing w:after="0"/>
              <w:ind w:left="0"/>
              <w:rPr>
                <w:rFonts w:cs="Calibri"/>
                <w:color w:val="000000"/>
                <w:szCs w:val="24"/>
              </w:rPr>
            </w:pPr>
            <w:r>
              <w:rPr>
                <w:rFonts w:cs="Calibri"/>
                <w:color w:val="000000"/>
                <w:szCs w:val="24"/>
              </w:rPr>
              <w:t>ACH r</w:t>
            </w:r>
            <w:r w:rsidRPr="0062572A">
              <w:rPr>
                <w:rFonts w:cs="Calibri"/>
                <w:color w:val="000000"/>
                <w:szCs w:val="24"/>
              </w:rPr>
              <w:t>eturn file</w:t>
            </w:r>
            <w:r>
              <w:rPr>
                <w:rFonts w:cs="Calibri"/>
                <w:color w:val="000000"/>
                <w:szCs w:val="24"/>
              </w:rPr>
              <w:t xml:space="preserve"> (rejected accounts)</w:t>
            </w:r>
            <w:r w:rsidRPr="0062572A">
              <w:rPr>
                <w:rFonts w:cs="Calibri"/>
                <w:color w:val="000000"/>
                <w:szCs w:val="24"/>
              </w:rPr>
              <w:t xml:space="preserve"> with name, amount</w:t>
            </w:r>
            <w:r>
              <w:rPr>
                <w:rFonts w:cs="Calibri"/>
                <w:color w:val="000000"/>
                <w:szCs w:val="24"/>
              </w:rPr>
              <w:t>,</w:t>
            </w:r>
            <w:r w:rsidRPr="0062572A">
              <w:rPr>
                <w:rFonts w:cs="Calibri"/>
                <w:color w:val="000000"/>
                <w:szCs w:val="24"/>
              </w:rPr>
              <w:t xml:space="preserve"> and</w:t>
            </w:r>
            <w:r>
              <w:rPr>
                <w:rFonts w:cs="Calibri"/>
                <w:color w:val="000000"/>
                <w:szCs w:val="24"/>
              </w:rPr>
              <w:t xml:space="preserve"> account info from Comptroller</w:t>
            </w:r>
          </w:p>
        </w:tc>
      </w:tr>
      <w:tr w:rsidR="0007600E" w:rsidRPr="0062572A" w14:paraId="358190BB" w14:textId="77777777" w:rsidTr="005204B9">
        <w:tc>
          <w:tcPr>
            <w:tcW w:w="877" w:type="dxa"/>
            <w:vAlign w:val="center"/>
          </w:tcPr>
          <w:p w14:paraId="4217A49B" w14:textId="20CAF4DF" w:rsidR="0007600E" w:rsidRPr="0062572A" w:rsidRDefault="0007600E" w:rsidP="0007600E">
            <w:pPr>
              <w:spacing w:after="0"/>
              <w:ind w:left="0"/>
              <w:jc w:val="center"/>
              <w:rPr>
                <w:szCs w:val="24"/>
              </w:rPr>
            </w:pPr>
            <w:r>
              <w:rPr>
                <w:color w:val="000000"/>
                <w:szCs w:val="22"/>
              </w:rPr>
              <w:t>55</w:t>
            </w:r>
          </w:p>
        </w:tc>
        <w:tc>
          <w:tcPr>
            <w:tcW w:w="1530" w:type="dxa"/>
            <w:vAlign w:val="center"/>
          </w:tcPr>
          <w:p w14:paraId="2012AD52" w14:textId="77777777" w:rsidR="0007600E" w:rsidRPr="0062572A" w:rsidRDefault="0007600E" w:rsidP="0007600E">
            <w:pPr>
              <w:spacing w:after="0"/>
              <w:ind w:left="0"/>
              <w:rPr>
                <w:szCs w:val="24"/>
              </w:rPr>
            </w:pPr>
            <w:r w:rsidRPr="0062572A">
              <w:rPr>
                <w:rFonts w:cs="Calibri"/>
                <w:color w:val="000000"/>
                <w:szCs w:val="24"/>
              </w:rPr>
              <w:t>Send</w:t>
            </w:r>
          </w:p>
        </w:tc>
        <w:tc>
          <w:tcPr>
            <w:tcW w:w="1620" w:type="dxa"/>
            <w:vAlign w:val="center"/>
          </w:tcPr>
          <w:p w14:paraId="078FE28F" w14:textId="77777777" w:rsidR="0007600E" w:rsidRPr="0062572A" w:rsidRDefault="0007600E" w:rsidP="0007600E">
            <w:pPr>
              <w:spacing w:after="0"/>
              <w:ind w:left="0"/>
              <w:rPr>
                <w:szCs w:val="24"/>
              </w:rPr>
            </w:pPr>
            <w:r w:rsidRPr="0062572A">
              <w:rPr>
                <w:rFonts w:cs="Calibri"/>
                <w:color w:val="000000"/>
                <w:szCs w:val="24"/>
              </w:rPr>
              <w:t>Batch / Quarterly</w:t>
            </w:r>
          </w:p>
        </w:tc>
        <w:tc>
          <w:tcPr>
            <w:tcW w:w="2430" w:type="dxa"/>
            <w:vAlign w:val="center"/>
          </w:tcPr>
          <w:p w14:paraId="35F32B2B" w14:textId="1652A69A" w:rsidR="0007600E" w:rsidRPr="0062572A" w:rsidRDefault="003479D8" w:rsidP="0007600E">
            <w:pPr>
              <w:spacing w:after="0"/>
              <w:ind w:left="0"/>
              <w:rPr>
                <w:szCs w:val="24"/>
              </w:rPr>
            </w:pPr>
            <w:r>
              <w:rPr>
                <w:rFonts w:cs="Calibri"/>
                <w:color w:val="000000"/>
                <w:szCs w:val="24"/>
              </w:rPr>
              <w:t>CPA</w:t>
            </w:r>
          </w:p>
        </w:tc>
        <w:tc>
          <w:tcPr>
            <w:tcW w:w="2160" w:type="dxa"/>
            <w:vAlign w:val="center"/>
          </w:tcPr>
          <w:p w14:paraId="4CCBD255" w14:textId="4CB81DC3" w:rsidR="0007600E" w:rsidRPr="0062572A" w:rsidRDefault="0007600E" w:rsidP="0007600E">
            <w:pPr>
              <w:spacing w:after="0"/>
              <w:ind w:left="0"/>
              <w:rPr>
                <w:szCs w:val="24"/>
              </w:rPr>
            </w:pPr>
            <w:r w:rsidRPr="0062572A">
              <w:rPr>
                <w:rFonts w:cs="Calibri"/>
                <w:color w:val="000000"/>
                <w:szCs w:val="24"/>
              </w:rPr>
              <w:t>Chargeback/</w:t>
            </w:r>
            <w:r>
              <w:rPr>
                <w:rFonts w:cs="Calibri"/>
                <w:color w:val="000000"/>
                <w:szCs w:val="24"/>
              </w:rPr>
              <w:t xml:space="preserve"> </w:t>
            </w:r>
            <w:r w:rsidRPr="0062572A">
              <w:rPr>
                <w:rFonts w:cs="Calibri"/>
                <w:color w:val="000000"/>
                <w:szCs w:val="24"/>
              </w:rPr>
              <w:t xml:space="preserve">payment information for </w:t>
            </w:r>
            <w:r w:rsidRPr="0062572A">
              <w:rPr>
                <w:rFonts w:cs="Calibri"/>
                <w:color w:val="000000"/>
                <w:szCs w:val="24"/>
              </w:rPr>
              <w:lastRenderedPageBreak/>
              <w:t>all state agency accounts</w:t>
            </w:r>
          </w:p>
        </w:tc>
        <w:tc>
          <w:tcPr>
            <w:tcW w:w="5940" w:type="dxa"/>
            <w:vAlign w:val="center"/>
          </w:tcPr>
          <w:p w14:paraId="4250EC2F" w14:textId="5941667C" w:rsidR="0007600E" w:rsidRPr="0062572A" w:rsidRDefault="0007600E" w:rsidP="0007600E">
            <w:pPr>
              <w:spacing w:after="0"/>
              <w:ind w:left="0"/>
              <w:rPr>
                <w:szCs w:val="24"/>
              </w:rPr>
            </w:pPr>
            <w:r w:rsidRPr="0062572A">
              <w:rPr>
                <w:rFonts w:cs="Calibri"/>
                <w:color w:val="000000"/>
                <w:szCs w:val="24"/>
              </w:rPr>
              <w:lastRenderedPageBreak/>
              <w:t>Quarterly chargebacks/payment</w:t>
            </w:r>
            <w:r>
              <w:rPr>
                <w:rFonts w:cs="Calibri"/>
                <w:color w:val="000000"/>
                <w:szCs w:val="24"/>
              </w:rPr>
              <w:t xml:space="preserve">s all state agency accounts to </w:t>
            </w:r>
            <w:r w:rsidRPr="0062572A">
              <w:rPr>
                <w:rFonts w:cs="Calibri"/>
                <w:color w:val="000000"/>
                <w:szCs w:val="24"/>
              </w:rPr>
              <w:t>CPA</w:t>
            </w:r>
          </w:p>
        </w:tc>
      </w:tr>
      <w:tr w:rsidR="0007600E" w:rsidRPr="0062572A" w14:paraId="4647191A" w14:textId="77777777" w:rsidTr="005204B9">
        <w:tc>
          <w:tcPr>
            <w:tcW w:w="877" w:type="dxa"/>
            <w:vAlign w:val="center"/>
          </w:tcPr>
          <w:p w14:paraId="469A1E9D" w14:textId="771C6CB2" w:rsidR="0007600E" w:rsidRPr="0062572A" w:rsidRDefault="0007600E" w:rsidP="0007600E">
            <w:pPr>
              <w:spacing w:after="0"/>
              <w:ind w:left="0"/>
              <w:jc w:val="center"/>
              <w:rPr>
                <w:szCs w:val="24"/>
              </w:rPr>
            </w:pPr>
            <w:r>
              <w:rPr>
                <w:szCs w:val="22"/>
              </w:rPr>
              <w:t>56</w:t>
            </w:r>
          </w:p>
        </w:tc>
        <w:tc>
          <w:tcPr>
            <w:tcW w:w="1530" w:type="dxa"/>
            <w:vAlign w:val="center"/>
          </w:tcPr>
          <w:p w14:paraId="21954E38" w14:textId="77777777" w:rsidR="0007600E" w:rsidRPr="0062572A" w:rsidRDefault="0007600E" w:rsidP="0007600E">
            <w:pPr>
              <w:spacing w:after="0"/>
              <w:ind w:left="0"/>
              <w:rPr>
                <w:szCs w:val="24"/>
              </w:rPr>
            </w:pPr>
            <w:r w:rsidRPr="0062572A">
              <w:rPr>
                <w:rFonts w:cs="Calibri"/>
                <w:color w:val="000000"/>
                <w:szCs w:val="24"/>
              </w:rPr>
              <w:t>Send</w:t>
            </w:r>
          </w:p>
        </w:tc>
        <w:tc>
          <w:tcPr>
            <w:tcW w:w="1620" w:type="dxa"/>
            <w:vAlign w:val="center"/>
          </w:tcPr>
          <w:p w14:paraId="77E6845F" w14:textId="77777777" w:rsidR="0007600E" w:rsidRPr="0062572A" w:rsidRDefault="0007600E" w:rsidP="0007600E">
            <w:pPr>
              <w:spacing w:after="0"/>
              <w:ind w:left="0"/>
              <w:rPr>
                <w:szCs w:val="24"/>
              </w:rPr>
            </w:pPr>
            <w:r w:rsidRPr="0062572A">
              <w:rPr>
                <w:rFonts w:cs="Calibri"/>
                <w:color w:val="000000"/>
                <w:szCs w:val="24"/>
              </w:rPr>
              <w:t>Batch / Annually</w:t>
            </w:r>
          </w:p>
        </w:tc>
        <w:tc>
          <w:tcPr>
            <w:tcW w:w="2430" w:type="dxa"/>
            <w:vAlign w:val="center"/>
          </w:tcPr>
          <w:p w14:paraId="61711C08" w14:textId="7FCEF17D" w:rsidR="0007600E" w:rsidRPr="0062572A" w:rsidRDefault="003479D8" w:rsidP="0007600E">
            <w:pPr>
              <w:spacing w:after="0"/>
              <w:ind w:left="0"/>
              <w:rPr>
                <w:szCs w:val="24"/>
              </w:rPr>
            </w:pPr>
            <w:r>
              <w:rPr>
                <w:rFonts w:cs="Calibri"/>
                <w:color w:val="000000"/>
                <w:szCs w:val="24"/>
              </w:rPr>
              <w:t>CPA</w:t>
            </w:r>
          </w:p>
        </w:tc>
        <w:tc>
          <w:tcPr>
            <w:tcW w:w="2160" w:type="dxa"/>
            <w:vAlign w:val="center"/>
          </w:tcPr>
          <w:p w14:paraId="4B4D51EC" w14:textId="12A3A758" w:rsidR="0007600E" w:rsidRPr="0062572A" w:rsidRDefault="0007600E" w:rsidP="0007600E">
            <w:pPr>
              <w:spacing w:after="0"/>
              <w:ind w:left="0"/>
              <w:rPr>
                <w:szCs w:val="24"/>
              </w:rPr>
            </w:pPr>
            <w:r w:rsidRPr="0062572A">
              <w:rPr>
                <w:rFonts w:cs="Calibri"/>
                <w:color w:val="000000"/>
                <w:szCs w:val="24"/>
              </w:rPr>
              <w:t>Format quarterly C58-R2 tape (3</w:t>
            </w:r>
            <w:r>
              <w:rPr>
                <w:rFonts w:cs="Calibri"/>
                <w:color w:val="000000"/>
                <w:szCs w:val="24"/>
              </w:rPr>
              <w:t>rd</w:t>
            </w:r>
            <w:r w:rsidRPr="0062572A">
              <w:rPr>
                <w:rFonts w:cs="Calibri"/>
                <w:color w:val="000000"/>
                <w:szCs w:val="24"/>
              </w:rPr>
              <w:t xml:space="preserve"> </w:t>
            </w:r>
            <w:r>
              <w:rPr>
                <w:rFonts w:cs="Calibri"/>
                <w:color w:val="000000"/>
                <w:szCs w:val="24"/>
              </w:rPr>
              <w:t>quarter run only</w:t>
            </w:r>
            <w:r w:rsidRPr="0062572A">
              <w:rPr>
                <w:rFonts w:cs="Calibri"/>
                <w:color w:val="000000"/>
                <w:szCs w:val="24"/>
              </w:rPr>
              <w:t>)</w:t>
            </w:r>
          </w:p>
        </w:tc>
        <w:tc>
          <w:tcPr>
            <w:tcW w:w="5940" w:type="dxa"/>
            <w:vAlign w:val="center"/>
          </w:tcPr>
          <w:p w14:paraId="704C9D9A" w14:textId="671FFFA1" w:rsidR="0007600E" w:rsidRPr="0062572A" w:rsidRDefault="0007600E" w:rsidP="0007600E">
            <w:pPr>
              <w:spacing w:after="0"/>
              <w:ind w:left="0"/>
              <w:rPr>
                <w:szCs w:val="24"/>
              </w:rPr>
            </w:pPr>
            <w:r w:rsidRPr="0062572A">
              <w:rPr>
                <w:rFonts w:cs="Calibri"/>
                <w:color w:val="000000"/>
                <w:szCs w:val="24"/>
              </w:rPr>
              <w:t>T</w:t>
            </w:r>
            <w:r>
              <w:rPr>
                <w:rFonts w:cs="Calibri"/>
                <w:color w:val="000000"/>
                <w:szCs w:val="24"/>
              </w:rPr>
              <w:t>ax</w:t>
            </w:r>
            <w:r w:rsidRPr="0062572A">
              <w:rPr>
                <w:rFonts w:cs="Calibri"/>
                <w:color w:val="000000"/>
                <w:szCs w:val="24"/>
              </w:rPr>
              <w:t xml:space="preserve"> C58-R2 reimb</w:t>
            </w:r>
            <w:r>
              <w:rPr>
                <w:rFonts w:cs="Calibri"/>
                <w:color w:val="000000"/>
                <w:szCs w:val="24"/>
              </w:rPr>
              <w:t>urse</w:t>
            </w:r>
            <w:r w:rsidRPr="0062572A">
              <w:rPr>
                <w:rFonts w:cs="Calibri"/>
                <w:color w:val="000000"/>
                <w:szCs w:val="24"/>
              </w:rPr>
              <w:t xml:space="preserve"> state agency </w:t>
            </w:r>
            <w:r>
              <w:rPr>
                <w:rFonts w:cs="Calibri"/>
                <w:color w:val="000000"/>
                <w:szCs w:val="24"/>
              </w:rPr>
              <w:t>c</w:t>
            </w:r>
            <w:r w:rsidRPr="0062572A">
              <w:rPr>
                <w:rFonts w:cs="Calibri"/>
                <w:color w:val="000000"/>
                <w:szCs w:val="24"/>
              </w:rPr>
              <w:t>hargeback summary</w:t>
            </w:r>
          </w:p>
        </w:tc>
      </w:tr>
      <w:tr w:rsidR="0007600E" w:rsidRPr="0062572A" w14:paraId="5E8AA8D5" w14:textId="77777777" w:rsidTr="005204B9">
        <w:tc>
          <w:tcPr>
            <w:tcW w:w="877" w:type="dxa"/>
            <w:vAlign w:val="center"/>
          </w:tcPr>
          <w:p w14:paraId="309AD389" w14:textId="7199997A" w:rsidR="0007600E" w:rsidRPr="00936B73" w:rsidRDefault="0007600E" w:rsidP="0007600E">
            <w:pPr>
              <w:spacing w:after="0"/>
              <w:ind w:left="0"/>
              <w:jc w:val="center"/>
              <w:rPr>
                <w:szCs w:val="24"/>
              </w:rPr>
            </w:pPr>
            <w:r>
              <w:rPr>
                <w:color w:val="000000"/>
                <w:szCs w:val="22"/>
              </w:rPr>
              <w:t>57</w:t>
            </w:r>
          </w:p>
        </w:tc>
        <w:tc>
          <w:tcPr>
            <w:tcW w:w="1530" w:type="dxa"/>
            <w:vAlign w:val="center"/>
          </w:tcPr>
          <w:p w14:paraId="3EB2077C" w14:textId="77777777" w:rsidR="0007600E" w:rsidRPr="00936B73" w:rsidRDefault="0007600E" w:rsidP="0007600E">
            <w:pPr>
              <w:spacing w:after="0"/>
              <w:ind w:left="0"/>
              <w:rPr>
                <w:rFonts w:cs="Calibri"/>
                <w:color w:val="000000"/>
                <w:szCs w:val="24"/>
              </w:rPr>
            </w:pPr>
            <w:r>
              <w:rPr>
                <w:rFonts w:cs="Calibri"/>
                <w:color w:val="000000"/>
                <w:szCs w:val="24"/>
              </w:rPr>
              <w:t>Receive</w:t>
            </w:r>
          </w:p>
        </w:tc>
        <w:tc>
          <w:tcPr>
            <w:tcW w:w="1620" w:type="dxa"/>
            <w:vAlign w:val="center"/>
          </w:tcPr>
          <w:p w14:paraId="4ED5FC48" w14:textId="77777777" w:rsidR="0007600E" w:rsidRPr="00936B73" w:rsidRDefault="0007600E" w:rsidP="0007600E">
            <w:pPr>
              <w:spacing w:after="0"/>
              <w:ind w:left="0"/>
              <w:rPr>
                <w:szCs w:val="24"/>
              </w:rPr>
            </w:pPr>
            <w:r w:rsidRPr="00936B73">
              <w:rPr>
                <w:rFonts w:cs="Calibri"/>
                <w:color w:val="000000"/>
                <w:szCs w:val="24"/>
              </w:rPr>
              <w:t>Batch / Daily</w:t>
            </w:r>
          </w:p>
        </w:tc>
        <w:tc>
          <w:tcPr>
            <w:tcW w:w="2430" w:type="dxa"/>
            <w:vAlign w:val="center"/>
          </w:tcPr>
          <w:p w14:paraId="023C4701" w14:textId="68C0CCE8" w:rsidR="0007600E" w:rsidRPr="00936B73" w:rsidRDefault="003479D8" w:rsidP="0007600E">
            <w:pPr>
              <w:spacing w:after="0"/>
              <w:ind w:left="0"/>
              <w:rPr>
                <w:rFonts w:cs="Calibri"/>
                <w:color w:val="000000"/>
                <w:szCs w:val="24"/>
              </w:rPr>
            </w:pPr>
            <w:r>
              <w:rPr>
                <w:rFonts w:cs="Calibri"/>
                <w:color w:val="000000"/>
                <w:szCs w:val="24"/>
              </w:rPr>
              <w:t>CPA</w:t>
            </w:r>
          </w:p>
        </w:tc>
        <w:tc>
          <w:tcPr>
            <w:tcW w:w="2160" w:type="dxa"/>
            <w:vAlign w:val="center"/>
          </w:tcPr>
          <w:p w14:paraId="5D7C939B" w14:textId="64E0576D" w:rsidR="0007600E" w:rsidRPr="00936B73" w:rsidRDefault="0007600E" w:rsidP="0007600E">
            <w:pPr>
              <w:spacing w:after="0"/>
              <w:ind w:left="0"/>
              <w:rPr>
                <w:szCs w:val="24"/>
              </w:rPr>
            </w:pPr>
            <w:r w:rsidRPr="00936B73">
              <w:rPr>
                <w:rFonts w:cs="Calibri"/>
                <w:color w:val="000000"/>
                <w:szCs w:val="24"/>
              </w:rPr>
              <w:t>Void warrant process</w:t>
            </w:r>
          </w:p>
        </w:tc>
        <w:tc>
          <w:tcPr>
            <w:tcW w:w="5940" w:type="dxa"/>
            <w:shd w:val="clear" w:color="auto" w:fill="auto"/>
            <w:vAlign w:val="center"/>
          </w:tcPr>
          <w:p w14:paraId="0F377B87" w14:textId="77777777" w:rsidR="0007600E" w:rsidRPr="00936B73" w:rsidRDefault="0007600E" w:rsidP="0007600E">
            <w:pPr>
              <w:spacing w:after="0"/>
              <w:ind w:left="0"/>
              <w:rPr>
                <w:rFonts w:cs="Calibri"/>
                <w:color w:val="000000"/>
                <w:szCs w:val="24"/>
              </w:rPr>
            </w:pPr>
            <w:r w:rsidRPr="00936B73">
              <w:rPr>
                <w:rFonts w:cs="Calibri"/>
                <w:color w:val="000000"/>
                <w:szCs w:val="24"/>
              </w:rPr>
              <w:t>Process void</w:t>
            </w:r>
            <w:r>
              <w:rPr>
                <w:rFonts w:cs="Calibri"/>
                <w:color w:val="000000"/>
                <w:szCs w:val="24"/>
              </w:rPr>
              <w:t>s uncashed w</w:t>
            </w:r>
            <w:r w:rsidRPr="00936B73">
              <w:rPr>
                <w:rFonts w:cs="Calibri"/>
                <w:color w:val="000000"/>
                <w:szCs w:val="24"/>
              </w:rPr>
              <w:t>arrants</w:t>
            </w:r>
            <w:r>
              <w:rPr>
                <w:rFonts w:cs="Calibri"/>
                <w:color w:val="000000"/>
                <w:szCs w:val="24"/>
              </w:rPr>
              <w:t xml:space="preserve"> at the one-year anniversary of issuance</w:t>
            </w:r>
          </w:p>
        </w:tc>
      </w:tr>
      <w:tr w:rsidR="0007600E" w:rsidRPr="0062572A" w14:paraId="1436F77D" w14:textId="77777777" w:rsidTr="005204B9">
        <w:tc>
          <w:tcPr>
            <w:tcW w:w="877" w:type="dxa"/>
            <w:vAlign w:val="center"/>
          </w:tcPr>
          <w:p w14:paraId="087BD577" w14:textId="593D8988" w:rsidR="0007600E" w:rsidRPr="0062572A" w:rsidRDefault="0007600E" w:rsidP="0007600E">
            <w:pPr>
              <w:spacing w:after="0"/>
              <w:ind w:left="0"/>
              <w:jc w:val="center"/>
              <w:rPr>
                <w:rFonts w:cs="Calibri"/>
                <w:color w:val="000000"/>
                <w:szCs w:val="24"/>
              </w:rPr>
            </w:pPr>
            <w:r>
              <w:rPr>
                <w:szCs w:val="22"/>
              </w:rPr>
              <w:t>58</w:t>
            </w:r>
          </w:p>
        </w:tc>
        <w:tc>
          <w:tcPr>
            <w:tcW w:w="1530" w:type="dxa"/>
            <w:vAlign w:val="center"/>
          </w:tcPr>
          <w:p w14:paraId="11B8E0CB" w14:textId="77777777" w:rsidR="0007600E" w:rsidRPr="0062572A" w:rsidRDefault="0007600E" w:rsidP="0007600E">
            <w:pPr>
              <w:spacing w:after="0"/>
              <w:ind w:left="0"/>
              <w:rPr>
                <w:szCs w:val="24"/>
              </w:rPr>
            </w:pPr>
            <w:r w:rsidRPr="00083AC3">
              <w:rPr>
                <w:rFonts w:cs="Calibri"/>
                <w:color w:val="000000"/>
                <w:szCs w:val="24"/>
              </w:rPr>
              <w:t>Receive</w:t>
            </w:r>
          </w:p>
        </w:tc>
        <w:tc>
          <w:tcPr>
            <w:tcW w:w="1620" w:type="dxa"/>
            <w:vAlign w:val="center"/>
          </w:tcPr>
          <w:p w14:paraId="7C9485D0" w14:textId="77777777" w:rsidR="0007600E" w:rsidRPr="0062572A" w:rsidRDefault="0007600E" w:rsidP="0007600E">
            <w:pPr>
              <w:spacing w:after="0"/>
              <w:ind w:left="0"/>
              <w:rPr>
                <w:szCs w:val="24"/>
              </w:rPr>
            </w:pPr>
            <w:r>
              <w:rPr>
                <w:rFonts w:cs="Calibri"/>
                <w:color w:val="000000"/>
                <w:szCs w:val="24"/>
              </w:rPr>
              <w:t>Batch</w:t>
            </w:r>
            <w:r w:rsidRPr="00083AC3">
              <w:rPr>
                <w:rFonts w:cs="Calibri"/>
                <w:color w:val="000000"/>
                <w:szCs w:val="24"/>
              </w:rPr>
              <w:t>/ Daily</w:t>
            </w:r>
          </w:p>
        </w:tc>
        <w:tc>
          <w:tcPr>
            <w:tcW w:w="2430" w:type="dxa"/>
            <w:vAlign w:val="center"/>
          </w:tcPr>
          <w:p w14:paraId="68DE73FF" w14:textId="06CAB8AC" w:rsidR="0007600E" w:rsidRPr="0062572A" w:rsidRDefault="003479D8" w:rsidP="0007600E">
            <w:pPr>
              <w:spacing w:after="0"/>
              <w:ind w:left="0"/>
              <w:rPr>
                <w:szCs w:val="24"/>
              </w:rPr>
            </w:pPr>
            <w:r>
              <w:rPr>
                <w:rFonts w:cs="Calibri"/>
                <w:color w:val="000000"/>
                <w:szCs w:val="24"/>
              </w:rPr>
              <w:t>CPA</w:t>
            </w:r>
          </w:p>
        </w:tc>
        <w:tc>
          <w:tcPr>
            <w:tcW w:w="2160" w:type="dxa"/>
            <w:vAlign w:val="center"/>
          </w:tcPr>
          <w:p w14:paraId="3914EC28" w14:textId="77777777" w:rsidR="0007600E" w:rsidRPr="0062572A" w:rsidRDefault="0007600E" w:rsidP="0007600E">
            <w:pPr>
              <w:spacing w:after="0"/>
              <w:ind w:left="0"/>
              <w:rPr>
                <w:szCs w:val="24"/>
              </w:rPr>
            </w:pPr>
            <w:r>
              <w:rPr>
                <w:rFonts w:cs="Calibri"/>
                <w:color w:val="000000"/>
                <w:szCs w:val="24"/>
              </w:rPr>
              <w:t>Warrant cancellation</w:t>
            </w:r>
          </w:p>
        </w:tc>
        <w:tc>
          <w:tcPr>
            <w:tcW w:w="5940" w:type="dxa"/>
            <w:vAlign w:val="center"/>
          </w:tcPr>
          <w:p w14:paraId="72B4914C" w14:textId="77777777" w:rsidR="0007600E" w:rsidRPr="0062572A" w:rsidRDefault="0007600E" w:rsidP="0007600E">
            <w:pPr>
              <w:spacing w:after="0"/>
              <w:ind w:left="0"/>
              <w:rPr>
                <w:szCs w:val="24"/>
              </w:rPr>
            </w:pPr>
            <w:r>
              <w:rPr>
                <w:rFonts w:cs="Calibri"/>
                <w:color w:val="000000"/>
                <w:szCs w:val="24"/>
              </w:rPr>
              <w:t>Receive response to warrant cancel request</w:t>
            </w:r>
          </w:p>
        </w:tc>
      </w:tr>
      <w:tr w:rsidR="0007600E" w:rsidRPr="0062572A" w14:paraId="75940264" w14:textId="77777777" w:rsidTr="005204B9">
        <w:tc>
          <w:tcPr>
            <w:tcW w:w="877" w:type="dxa"/>
            <w:vAlign w:val="center"/>
          </w:tcPr>
          <w:p w14:paraId="1BC13906" w14:textId="1C435858" w:rsidR="0007600E" w:rsidRPr="0062572A" w:rsidRDefault="0007600E" w:rsidP="0007600E">
            <w:pPr>
              <w:spacing w:after="0"/>
              <w:ind w:left="0"/>
              <w:jc w:val="center"/>
              <w:rPr>
                <w:rFonts w:cs="Calibri"/>
                <w:color w:val="000000"/>
                <w:szCs w:val="24"/>
              </w:rPr>
            </w:pPr>
            <w:r>
              <w:rPr>
                <w:color w:val="000000"/>
                <w:szCs w:val="22"/>
              </w:rPr>
              <w:t>59</w:t>
            </w:r>
          </w:p>
        </w:tc>
        <w:tc>
          <w:tcPr>
            <w:tcW w:w="1530" w:type="dxa"/>
            <w:vAlign w:val="center"/>
          </w:tcPr>
          <w:p w14:paraId="5EB56103" w14:textId="77777777" w:rsidR="0007600E" w:rsidRPr="0062572A" w:rsidRDefault="0007600E" w:rsidP="0007600E">
            <w:pPr>
              <w:spacing w:after="0"/>
              <w:ind w:left="0"/>
              <w:rPr>
                <w:szCs w:val="24"/>
              </w:rPr>
            </w:pPr>
            <w:r>
              <w:rPr>
                <w:rFonts w:cs="Calibri"/>
                <w:color w:val="000000"/>
                <w:szCs w:val="24"/>
              </w:rPr>
              <w:t>Send</w:t>
            </w:r>
          </w:p>
        </w:tc>
        <w:tc>
          <w:tcPr>
            <w:tcW w:w="1620" w:type="dxa"/>
            <w:vAlign w:val="center"/>
          </w:tcPr>
          <w:p w14:paraId="6F579504" w14:textId="77777777" w:rsidR="0007600E" w:rsidRPr="0062572A" w:rsidRDefault="0007600E" w:rsidP="0007600E">
            <w:pPr>
              <w:spacing w:after="0"/>
              <w:ind w:left="0"/>
              <w:rPr>
                <w:szCs w:val="24"/>
              </w:rPr>
            </w:pPr>
            <w:r>
              <w:rPr>
                <w:rFonts w:cs="Calibri"/>
                <w:color w:val="000000"/>
                <w:szCs w:val="24"/>
              </w:rPr>
              <w:t>Batch</w:t>
            </w:r>
            <w:r w:rsidRPr="00083AC3">
              <w:rPr>
                <w:rFonts w:cs="Calibri"/>
                <w:color w:val="000000"/>
                <w:szCs w:val="24"/>
              </w:rPr>
              <w:t>/ Daily</w:t>
            </w:r>
          </w:p>
        </w:tc>
        <w:tc>
          <w:tcPr>
            <w:tcW w:w="2430" w:type="dxa"/>
            <w:vAlign w:val="center"/>
          </w:tcPr>
          <w:p w14:paraId="0DFCADFF" w14:textId="429C267D" w:rsidR="0007600E" w:rsidRPr="0062572A" w:rsidRDefault="003479D8" w:rsidP="0007600E">
            <w:pPr>
              <w:spacing w:after="0"/>
              <w:ind w:left="0"/>
              <w:rPr>
                <w:szCs w:val="24"/>
              </w:rPr>
            </w:pPr>
            <w:r>
              <w:rPr>
                <w:rFonts w:cs="Calibri"/>
                <w:color w:val="000000"/>
                <w:szCs w:val="24"/>
              </w:rPr>
              <w:t>CPA</w:t>
            </w:r>
          </w:p>
        </w:tc>
        <w:tc>
          <w:tcPr>
            <w:tcW w:w="2160" w:type="dxa"/>
            <w:vAlign w:val="center"/>
          </w:tcPr>
          <w:p w14:paraId="31ABC6B6" w14:textId="77777777" w:rsidR="0007600E" w:rsidRPr="0062572A" w:rsidRDefault="0007600E" w:rsidP="0007600E">
            <w:pPr>
              <w:spacing w:after="0"/>
              <w:ind w:left="0"/>
              <w:rPr>
                <w:szCs w:val="24"/>
              </w:rPr>
            </w:pPr>
            <w:r>
              <w:rPr>
                <w:rFonts w:cs="Calibri"/>
                <w:color w:val="000000"/>
                <w:szCs w:val="24"/>
              </w:rPr>
              <w:t>Warrant cancellation</w:t>
            </w:r>
          </w:p>
        </w:tc>
        <w:tc>
          <w:tcPr>
            <w:tcW w:w="5940" w:type="dxa"/>
            <w:vAlign w:val="center"/>
          </w:tcPr>
          <w:p w14:paraId="25F2FB00" w14:textId="77777777" w:rsidR="0007600E" w:rsidRPr="0062572A" w:rsidRDefault="0007600E" w:rsidP="0007600E">
            <w:pPr>
              <w:spacing w:after="0"/>
              <w:ind w:left="0"/>
              <w:rPr>
                <w:szCs w:val="24"/>
              </w:rPr>
            </w:pPr>
            <w:r>
              <w:rPr>
                <w:rFonts w:cs="Calibri"/>
                <w:color w:val="000000"/>
                <w:szCs w:val="24"/>
              </w:rPr>
              <w:t>Send request to cancel a warrant</w:t>
            </w:r>
          </w:p>
        </w:tc>
      </w:tr>
      <w:tr w:rsidR="0007600E" w14:paraId="34238907" w14:textId="77777777" w:rsidTr="005204B9">
        <w:tc>
          <w:tcPr>
            <w:tcW w:w="877" w:type="dxa"/>
            <w:vAlign w:val="center"/>
          </w:tcPr>
          <w:p w14:paraId="4A2CBCE6" w14:textId="5EF234D9" w:rsidR="0007600E" w:rsidRDefault="0007600E" w:rsidP="0007600E">
            <w:pPr>
              <w:spacing w:after="0"/>
              <w:ind w:left="0"/>
              <w:jc w:val="center"/>
              <w:rPr>
                <w:rFonts w:cs="Calibri"/>
                <w:color w:val="000000"/>
                <w:szCs w:val="24"/>
              </w:rPr>
            </w:pPr>
            <w:r>
              <w:rPr>
                <w:szCs w:val="22"/>
              </w:rPr>
              <w:t>60</w:t>
            </w:r>
          </w:p>
        </w:tc>
        <w:tc>
          <w:tcPr>
            <w:tcW w:w="1530" w:type="dxa"/>
            <w:vAlign w:val="center"/>
          </w:tcPr>
          <w:p w14:paraId="3157A616" w14:textId="77777777" w:rsidR="0007600E" w:rsidRDefault="0007600E" w:rsidP="0007600E">
            <w:pPr>
              <w:spacing w:after="0"/>
              <w:ind w:left="0"/>
              <w:rPr>
                <w:rFonts w:cs="Calibri"/>
                <w:color w:val="000000"/>
                <w:szCs w:val="24"/>
              </w:rPr>
            </w:pPr>
            <w:r w:rsidRPr="0062572A">
              <w:rPr>
                <w:rFonts w:cs="Calibri"/>
                <w:color w:val="000000"/>
                <w:szCs w:val="24"/>
              </w:rPr>
              <w:t>Send</w:t>
            </w:r>
          </w:p>
        </w:tc>
        <w:tc>
          <w:tcPr>
            <w:tcW w:w="1620" w:type="dxa"/>
            <w:vAlign w:val="center"/>
          </w:tcPr>
          <w:p w14:paraId="0A8B6E5D" w14:textId="77777777" w:rsidR="0007600E" w:rsidRDefault="0007600E" w:rsidP="0007600E">
            <w:pPr>
              <w:spacing w:after="0"/>
              <w:ind w:left="0"/>
              <w:rPr>
                <w:rFonts w:cs="Calibri"/>
                <w:color w:val="000000"/>
                <w:szCs w:val="24"/>
              </w:rPr>
            </w:pPr>
            <w:r w:rsidRPr="0062572A">
              <w:rPr>
                <w:rFonts w:cs="Calibri"/>
                <w:color w:val="000000"/>
                <w:szCs w:val="24"/>
              </w:rPr>
              <w:t>Batch / Daily</w:t>
            </w:r>
          </w:p>
        </w:tc>
        <w:tc>
          <w:tcPr>
            <w:tcW w:w="2430" w:type="dxa"/>
            <w:vAlign w:val="center"/>
          </w:tcPr>
          <w:p w14:paraId="2215AD7E" w14:textId="72FF7C76" w:rsidR="0007600E" w:rsidRDefault="003479D8" w:rsidP="0007600E">
            <w:pPr>
              <w:spacing w:after="0"/>
              <w:ind w:left="0"/>
              <w:rPr>
                <w:rFonts w:cs="Calibri"/>
                <w:color w:val="000000"/>
                <w:szCs w:val="24"/>
              </w:rPr>
            </w:pPr>
            <w:r>
              <w:rPr>
                <w:rFonts w:cs="Calibri"/>
                <w:color w:val="000000"/>
                <w:szCs w:val="24"/>
              </w:rPr>
              <w:t>CPA</w:t>
            </w:r>
          </w:p>
        </w:tc>
        <w:tc>
          <w:tcPr>
            <w:tcW w:w="2160" w:type="dxa"/>
            <w:vAlign w:val="center"/>
          </w:tcPr>
          <w:p w14:paraId="34AD8E18" w14:textId="77777777" w:rsidR="0007600E" w:rsidRPr="001A4872" w:rsidRDefault="0007600E" w:rsidP="0007600E">
            <w:pPr>
              <w:spacing w:after="0"/>
              <w:ind w:left="0"/>
              <w:rPr>
                <w:rFonts w:cs="Calibri"/>
                <w:color w:val="000000"/>
                <w:szCs w:val="24"/>
              </w:rPr>
            </w:pPr>
            <w:r>
              <w:rPr>
                <w:rFonts w:cs="Calibri"/>
                <w:color w:val="000000"/>
                <w:szCs w:val="24"/>
              </w:rPr>
              <w:t>Warrant Hold</w:t>
            </w:r>
          </w:p>
        </w:tc>
        <w:tc>
          <w:tcPr>
            <w:tcW w:w="5940" w:type="dxa"/>
            <w:vAlign w:val="center"/>
          </w:tcPr>
          <w:p w14:paraId="510B28A8" w14:textId="4A441B1F" w:rsidR="0007600E" w:rsidRPr="004046DA" w:rsidRDefault="0007600E" w:rsidP="0007600E">
            <w:pPr>
              <w:spacing w:after="0"/>
              <w:ind w:left="0"/>
              <w:rPr>
                <w:rFonts w:cs="Calibri"/>
                <w:color w:val="000000" w:themeColor="text1"/>
              </w:rPr>
            </w:pPr>
            <w:r w:rsidRPr="00C50E7B">
              <w:rPr>
                <w:rFonts w:cs="Calibri"/>
                <w:color w:val="000000"/>
                <w:szCs w:val="22"/>
              </w:rPr>
              <w:t>TWC Debt t</w:t>
            </w:r>
            <w:r>
              <w:rPr>
                <w:rFonts w:cs="Calibri"/>
                <w:color w:val="000000"/>
                <w:szCs w:val="22"/>
              </w:rPr>
              <w:t xml:space="preserve">o be recovered by intercepting </w:t>
            </w:r>
            <w:r w:rsidRPr="00C50E7B">
              <w:rPr>
                <w:rFonts w:cs="Calibri"/>
                <w:color w:val="000000"/>
                <w:szCs w:val="22"/>
              </w:rPr>
              <w:t>CPA Warrants</w:t>
            </w:r>
          </w:p>
        </w:tc>
      </w:tr>
      <w:tr w:rsidR="0007600E" w:rsidRPr="0062572A" w14:paraId="7111DE53" w14:textId="77777777" w:rsidTr="005204B9">
        <w:tc>
          <w:tcPr>
            <w:tcW w:w="877" w:type="dxa"/>
            <w:vAlign w:val="center"/>
          </w:tcPr>
          <w:p w14:paraId="524CA83C" w14:textId="615518F0" w:rsidR="0007600E" w:rsidRPr="0062572A" w:rsidRDefault="0007600E" w:rsidP="0007600E">
            <w:pPr>
              <w:spacing w:after="0"/>
              <w:ind w:left="0"/>
              <w:jc w:val="center"/>
              <w:rPr>
                <w:szCs w:val="24"/>
              </w:rPr>
            </w:pPr>
            <w:r>
              <w:rPr>
                <w:color w:val="000000"/>
                <w:szCs w:val="22"/>
              </w:rPr>
              <w:t>61</w:t>
            </w:r>
          </w:p>
        </w:tc>
        <w:tc>
          <w:tcPr>
            <w:tcW w:w="1530" w:type="dxa"/>
            <w:vAlign w:val="center"/>
          </w:tcPr>
          <w:p w14:paraId="61DEE5B4" w14:textId="77777777" w:rsidR="0007600E" w:rsidRPr="0062572A" w:rsidRDefault="0007600E" w:rsidP="0007600E">
            <w:pPr>
              <w:spacing w:after="0"/>
              <w:ind w:left="0"/>
              <w:rPr>
                <w:szCs w:val="24"/>
              </w:rPr>
            </w:pPr>
            <w:r w:rsidRPr="0062572A">
              <w:rPr>
                <w:rFonts w:cs="Calibri"/>
                <w:color w:val="000000"/>
                <w:szCs w:val="24"/>
              </w:rPr>
              <w:t>Send</w:t>
            </w:r>
          </w:p>
        </w:tc>
        <w:tc>
          <w:tcPr>
            <w:tcW w:w="1620" w:type="dxa"/>
            <w:vAlign w:val="center"/>
          </w:tcPr>
          <w:p w14:paraId="3F1F1769" w14:textId="77777777" w:rsidR="0007600E" w:rsidRPr="0062572A" w:rsidRDefault="0007600E" w:rsidP="0007600E">
            <w:pPr>
              <w:spacing w:after="0"/>
              <w:ind w:left="0"/>
              <w:rPr>
                <w:szCs w:val="24"/>
              </w:rPr>
            </w:pPr>
            <w:r w:rsidRPr="0062572A">
              <w:rPr>
                <w:rFonts w:cs="Calibri"/>
                <w:color w:val="000000"/>
                <w:szCs w:val="24"/>
              </w:rPr>
              <w:t>Batch / Daily</w:t>
            </w:r>
          </w:p>
        </w:tc>
        <w:tc>
          <w:tcPr>
            <w:tcW w:w="2430" w:type="dxa"/>
            <w:vAlign w:val="center"/>
          </w:tcPr>
          <w:p w14:paraId="26D1FC00" w14:textId="0B595933" w:rsidR="0007600E" w:rsidRPr="0062572A" w:rsidRDefault="003479D8" w:rsidP="0007600E">
            <w:pPr>
              <w:spacing w:after="0"/>
              <w:ind w:left="0"/>
              <w:rPr>
                <w:szCs w:val="24"/>
              </w:rPr>
            </w:pPr>
            <w:r>
              <w:rPr>
                <w:rFonts w:cs="Calibri"/>
                <w:color w:val="000000"/>
                <w:szCs w:val="24"/>
              </w:rPr>
              <w:t>CPA</w:t>
            </w:r>
          </w:p>
        </w:tc>
        <w:tc>
          <w:tcPr>
            <w:tcW w:w="2160" w:type="dxa"/>
            <w:vAlign w:val="center"/>
          </w:tcPr>
          <w:p w14:paraId="60BD5235" w14:textId="77777777" w:rsidR="0007600E" w:rsidRPr="0062572A" w:rsidRDefault="0007600E" w:rsidP="0007600E">
            <w:pPr>
              <w:spacing w:after="0"/>
              <w:ind w:left="0"/>
              <w:rPr>
                <w:szCs w:val="24"/>
              </w:rPr>
            </w:pPr>
            <w:r w:rsidRPr="0062572A">
              <w:rPr>
                <w:rFonts w:cs="Calibri"/>
                <w:color w:val="000000"/>
                <w:szCs w:val="24"/>
              </w:rPr>
              <w:t>Warrant register and payments</w:t>
            </w:r>
          </w:p>
        </w:tc>
        <w:tc>
          <w:tcPr>
            <w:tcW w:w="5940" w:type="dxa"/>
            <w:vAlign w:val="center"/>
          </w:tcPr>
          <w:p w14:paraId="5A079CA9" w14:textId="6F1D0E50" w:rsidR="0007600E" w:rsidRPr="0062572A" w:rsidRDefault="0007600E" w:rsidP="0007600E">
            <w:pPr>
              <w:spacing w:after="0"/>
              <w:ind w:left="0"/>
              <w:rPr>
                <w:szCs w:val="24"/>
              </w:rPr>
            </w:pPr>
            <w:r w:rsidRPr="0062572A">
              <w:rPr>
                <w:rFonts w:cs="Calibri"/>
                <w:color w:val="000000"/>
                <w:szCs w:val="24"/>
              </w:rPr>
              <w:t xml:space="preserve">Comptroller </w:t>
            </w:r>
            <w:r>
              <w:rPr>
                <w:rFonts w:cs="Calibri"/>
                <w:color w:val="000000"/>
                <w:szCs w:val="24"/>
              </w:rPr>
              <w:t>get</w:t>
            </w:r>
            <w:r w:rsidRPr="0062572A">
              <w:rPr>
                <w:rFonts w:cs="Calibri"/>
                <w:color w:val="000000"/>
                <w:szCs w:val="24"/>
              </w:rPr>
              <w:t xml:space="preserve"> of two (2) Warrant Register Report and two (2) </w:t>
            </w:r>
            <w:r>
              <w:rPr>
                <w:rFonts w:cs="Calibri"/>
                <w:color w:val="000000"/>
                <w:szCs w:val="24"/>
              </w:rPr>
              <w:t>d</w:t>
            </w:r>
            <w:r w:rsidRPr="0062572A">
              <w:rPr>
                <w:rFonts w:cs="Calibri"/>
                <w:color w:val="000000"/>
                <w:szCs w:val="24"/>
              </w:rPr>
              <w:t xml:space="preserve">aily </w:t>
            </w:r>
            <w:r>
              <w:rPr>
                <w:rFonts w:cs="Calibri"/>
                <w:color w:val="000000"/>
                <w:szCs w:val="24"/>
              </w:rPr>
              <w:t>p</w:t>
            </w:r>
            <w:r w:rsidRPr="0062572A">
              <w:rPr>
                <w:rFonts w:cs="Calibri"/>
                <w:color w:val="000000"/>
                <w:szCs w:val="24"/>
              </w:rPr>
              <w:t xml:space="preserve">ayment </w:t>
            </w:r>
            <w:r>
              <w:rPr>
                <w:rFonts w:cs="Calibri"/>
                <w:color w:val="000000"/>
                <w:szCs w:val="24"/>
              </w:rPr>
              <w:t>issuance files from TWC</w:t>
            </w:r>
          </w:p>
        </w:tc>
      </w:tr>
      <w:tr w:rsidR="0007600E" w:rsidRPr="0062572A" w14:paraId="5D66F7E9" w14:textId="77777777" w:rsidTr="005204B9">
        <w:tc>
          <w:tcPr>
            <w:tcW w:w="877" w:type="dxa"/>
            <w:vAlign w:val="center"/>
          </w:tcPr>
          <w:p w14:paraId="558B1BAC" w14:textId="6194007F" w:rsidR="0007600E" w:rsidRPr="0062572A" w:rsidRDefault="0007600E" w:rsidP="0007600E">
            <w:pPr>
              <w:spacing w:after="0"/>
              <w:ind w:left="0"/>
              <w:jc w:val="center"/>
              <w:rPr>
                <w:szCs w:val="24"/>
              </w:rPr>
            </w:pPr>
            <w:r>
              <w:rPr>
                <w:szCs w:val="22"/>
              </w:rPr>
              <w:t>62</w:t>
            </w:r>
          </w:p>
        </w:tc>
        <w:tc>
          <w:tcPr>
            <w:tcW w:w="1530" w:type="dxa"/>
            <w:vAlign w:val="center"/>
          </w:tcPr>
          <w:p w14:paraId="54B189B2" w14:textId="77777777" w:rsidR="0007600E" w:rsidRPr="0062572A" w:rsidRDefault="0007600E" w:rsidP="0007600E">
            <w:pPr>
              <w:spacing w:after="0"/>
              <w:ind w:left="0"/>
              <w:rPr>
                <w:szCs w:val="24"/>
              </w:rPr>
            </w:pPr>
            <w:r w:rsidRPr="0062572A">
              <w:rPr>
                <w:rFonts w:cs="Calibri"/>
                <w:color w:val="000000"/>
                <w:szCs w:val="24"/>
              </w:rPr>
              <w:t>Receive</w:t>
            </w:r>
          </w:p>
        </w:tc>
        <w:tc>
          <w:tcPr>
            <w:tcW w:w="1620" w:type="dxa"/>
            <w:vAlign w:val="center"/>
          </w:tcPr>
          <w:p w14:paraId="39FC674D" w14:textId="77777777" w:rsidR="0007600E" w:rsidRPr="0062572A" w:rsidRDefault="0007600E" w:rsidP="0007600E">
            <w:pPr>
              <w:spacing w:after="0"/>
              <w:ind w:left="0"/>
              <w:rPr>
                <w:szCs w:val="24"/>
              </w:rPr>
            </w:pPr>
            <w:r w:rsidRPr="0062572A">
              <w:rPr>
                <w:rFonts w:cs="Calibri"/>
                <w:color w:val="000000"/>
                <w:szCs w:val="24"/>
              </w:rPr>
              <w:t>Batch / Weekly on Tuesday</w:t>
            </w:r>
          </w:p>
        </w:tc>
        <w:tc>
          <w:tcPr>
            <w:tcW w:w="2430" w:type="dxa"/>
            <w:vAlign w:val="center"/>
          </w:tcPr>
          <w:p w14:paraId="2313D58F" w14:textId="29F1B3F2" w:rsidR="0007600E" w:rsidRPr="0062572A" w:rsidRDefault="0007600E" w:rsidP="0007600E">
            <w:pPr>
              <w:spacing w:after="0"/>
              <w:ind w:left="0"/>
              <w:rPr>
                <w:szCs w:val="24"/>
              </w:rPr>
            </w:pPr>
            <w:r>
              <w:rPr>
                <w:rFonts w:cs="Calibri"/>
                <w:color w:val="000000"/>
                <w:szCs w:val="24"/>
              </w:rPr>
              <w:t>TDCJ</w:t>
            </w:r>
          </w:p>
        </w:tc>
        <w:tc>
          <w:tcPr>
            <w:tcW w:w="2160" w:type="dxa"/>
            <w:vAlign w:val="center"/>
          </w:tcPr>
          <w:p w14:paraId="4AF48798" w14:textId="141BB02C" w:rsidR="0007600E" w:rsidRPr="0062572A" w:rsidRDefault="0007600E" w:rsidP="0007600E">
            <w:pPr>
              <w:spacing w:after="0"/>
              <w:ind w:left="0"/>
              <w:rPr>
                <w:szCs w:val="24"/>
              </w:rPr>
            </w:pPr>
            <w:r w:rsidRPr="0062572A">
              <w:rPr>
                <w:rFonts w:cs="Calibri"/>
                <w:color w:val="000000"/>
                <w:szCs w:val="24"/>
              </w:rPr>
              <w:t>T</w:t>
            </w:r>
            <w:r>
              <w:rPr>
                <w:rFonts w:cs="Calibri"/>
                <w:color w:val="000000"/>
                <w:szCs w:val="24"/>
              </w:rPr>
              <w:t>exas Dept. of Criminal Justice c</w:t>
            </w:r>
            <w:r w:rsidRPr="0062572A">
              <w:rPr>
                <w:rFonts w:cs="Calibri"/>
                <w:color w:val="000000"/>
                <w:szCs w:val="24"/>
              </w:rPr>
              <w:t>rossmatch</w:t>
            </w:r>
          </w:p>
        </w:tc>
        <w:tc>
          <w:tcPr>
            <w:tcW w:w="5940" w:type="dxa"/>
            <w:vAlign w:val="center"/>
          </w:tcPr>
          <w:p w14:paraId="2202B859" w14:textId="7BA712BA" w:rsidR="0007600E" w:rsidRPr="0062572A" w:rsidRDefault="0007600E" w:rsidP="0007600E">
            <w:pPr>
              <w:spacing w:after="0"/>
              <w:ind w:left="0"/>
              <w:rPr>
                <w:szCs w:val="24"/>
              </w:rPr>
            </w:pPr>
            <w:r w:rsidRPr="000F0394">
              <w:rPr>
                <w:rFonts w:cs="Calibri"/>
                <w:color w:val="000000"/>
                <w:szCs w:val="24"/>
              </w:rPr>
              <w:t>TDCJ data used to prevent claimants from receiving UI benefits while unavailable for work (incarcerated)</w:t>
            </w:r>
          </w:p>
        </w:tc>
      </w:tr>
      <w:tr w:rsidR="0007600E" w:rsidRPr="0062572A" w14:paraId="50A2B892" w14:textId="77777777" w:rsidTr="005204B9">
        <w:tc>
          <w:tcPr>
            <w:tcW w:w="877" w:type="dxa"/>
            <w:vAlign w:val="center"/>
          </w:tcPr>
          <w:p w14:paraId="52418DB8" w14:textId="1696F4FF" w:rsidR="0007600E" w:rsidRPr="0062572A" w:rsidRDefault="0007600E" w:rsidP="0007600E">
            <w:pPr>
              <w:spacing w:after="0"/>
              <w:ind w:left="0"/>
              <w:jc w:val="center"/>
              <w:rPr>
                <w:rFonts w:cs="Calibri"/>
                <w:color w:val="000000"/>
                <w:szCs w:val="24"/>
              </w:rPr>
            </w:pPr>
            <w:r>
              <w:rPr>
                <w:color w:val="000000"/>
                <w:szCs w:val="22"/>
              </w:rPr>
              <w:t>63</w:t>
            </w:r>
          </w:p>
        </w:tc>
        <w:tc>
          <w:tcPr>
            <w:tcW w:w="1530" w:type="dxa"/>
            <w:vAlign w:val="center"/>
          </w:tcPr>
          <w:p w14:paraId="37E6B126" w14:textId="77777777" w:rsidR="0007600E" w:rsidRPr="0062572A" w:rsidRDefault="0007600E" w:rsidP="0007600E">
            <w:pPr>
              <w:spacing w:after="0"/>
              <w:ind w:left="0"/>
              <w:rPr>
                <w:szCs w:val="24"/>
              </w:rPr>
            </w:pPr>
            <w:r w:rsidRPr="0062572A">
              <w:rPr>
                <w:rFonts w:cs="Calibri"/>
                <w:color w:val="000000"/>
                <w:szCs w:val="24"/>
              </w:rPr>
              <w:t>Send</w:t>
            </w:r>
          </w:p>
        </w:tc>
        <w:tc>
          <w:tcPr>
            <w:tcW w:w="1620" w:type="dxa"/>
            <w:vAlign w:val="center"/>
          </w:tcPr>
          <w:p w14:paraId="2826C876" w14:textId="77777777" w:rsidR="0007600E" w:rsidRPr="0062572A" w:rsidRDefault="0007600E" w:rsidP="0007600E">
            <w:pPr>
              <w:spacing w:after="0"/>
              <w:ind w:left="0"/>
              <w:rPr>
                <w:szCs w:val="24"/>
              </w:rPr>
            </w:pPr>
            <w:r w:rsidRPr="0062572A">
              <w:rPr>
                <w:rFonts w:cs="Calibri"/>
                <w:color w:val="000000"/>
                <w:szCs w:val="24"/>
              </w:rPr>
              <w:t>Batch / Bi-Weekly</w:t>
            </w:r>
          </w:p>
        </w:tc>
        <w:tc>
          <w:tcPr>
            <w:tcW w:w="2430" w:type="dxa"/>
            <w:vAlign w:val="center"/>
          </w:tcPr>
          <w:p w14:paraId="72E51F8B" w14:textId="77777777" w:rsidR="0007600E" w:rsidRPr="0062572A" w:rsidRDefault="0007600E" w:rsidP="0007600E">
            <w:pPr>
              <w:spacing w:after="0"/>
              <w:ind w:left="0"/>
              <w:rPr>
                <w:szCs w:val="24"/>
              </w:rPr>
            </w:pPr>
            <w:r w:rsidRPr="0062572A">
              <w:rPr>
                <w:rFonts w:cs="Calibri"/>
                <w:color w:val="000000"/>
                <w:szCs w:val="24"/>
              </w:rPr>
              <w:t>TX DSHS</w:t>
            </w:r>
          </w:p>
        </w:tc>
        <w:tc>
          <w:tcPr>
            <w:tcW w:w="2160" w:type="dxa"/>
            <w:vAlign w:val="center"/>
          </w:tcPr>
          <w:p w14:paraId="5AF81F0A" w14:textId="77777777" w:rsidR="0007600E" w:rsidRPr="0062572A" w:rsidRDefault="0007600E" w:rsidP="0007600E">
            <w:pPr>
              <w:spacing w:after="0"/>
              <w:ind w:left="0"/>
              <w:rPr>
                <w:szCs w:val="24"/>
              </w:rPr>
            </w:pPr>
            <w:r w:rsidRPr="0062572A">
              <w:rPr>
                <w:rFonts w:cs="Calibri"/>
                <w:color w:val="000000"/>
                <w:szCs w:val="24"/>
              </w:rPr>
              <w:t>BNDEASEN (UI IC/CC data to DSHS for death cross match)</w:t>
            </w:r>
          </w:p>
        </w:tc>
        <w:tc>
          <w:tcPr>
            <w:tcW w:w="5940" w:type="dxa"/>
            <w:vAlign w:val="center"/>
          </w:tcPr>
          <w:p w14:paraId="7BCBB319" w14:textId="77777777" w:rsidR="0007600E" w:rsidRPr="0062572A" w:rsidRDefault="0007600E" w:rsidP="0007600E">
            <w:pPr>
              <w:spacing w:after="0"/>
              <w:ind w:left="0"/>
              <w:rPr>
                <w:szCs w:val="24"/>
              </w:rPr>
            </w:pPr>
            <w:r>
              <w:rPr>
                <w:rFonts w:cs="Calibri"/>
                <w:color w:val="000000"/>
                <w:szCs w:val="24"/>
              </w:rPr>
              <w:t>S</w:t>
            </w:r>
            <w:r w:rsidRPr="0062572A">
              <w:rPr>
                <w:rFonts w:cs="Calibri"/>
                <w:color w:val="000000"/>
                <w:szCs w:val="24"/>
              </w:rPr>
              <w:t xml:space="preserve">end UI IC/CC data to DSHS for death cross match </w:t>
            </w:r>
          </w:p>
        </w:tc>
      </w:tr>
      <w:tr w:rsidR="0007600E" w:rsidRPr="0062572A" w14:paraId="5FC93B56" w14:textId="77777777" w:rsidTr="005204B9">
        <w:tc>
          <w:tcPr>
            <w:tcW w:w="877" w:type="dxa"/>
            <w:vAlign w:val="center"/>
          </w:tcPr>
          <w:p w14:paraId="0D8FA7DD" w14:textId="4A037185" w:rsidR="0007600E" w:rsidRPr="0062572A" w:rsidRDefault="0007600E" w:rsidP="0007600E">
            <w:pPr>
              <w:spacing w:after="0"/>
              <w:ind w:left="0"/>
              <w:jc w:val="center"/>
              <w:rPr>
                <w:szCs w:val="24"/>
              </w:rPr>
            </w:pPr>
            <w:r>
              <w:rPr>
                <w:szCs w:val="22"/>
              </w:rPr>
              <w:t>64</w:t>
            </w:r>
          </w:p>
        </w:tc>
        <w:tc>
          <w:tcPr>
            <w:tcW w:w="1530" w:type="dxa"/>
            <w:vAlign w:val="center"/>
          </w:tcPr>
          <w:p w14:paraId="5B276F33" w14:textId="77777777" w:rsidR="0007600E" w:rsidRPr="0062572A" w:rsidRDefault="0007600E" w:rsidP="0007600E">
            <w:pPr>
              <w:spacing w:after="0"/>
              <w:ind w:left="0"/>
              <w:rPr>
                <w:szCs w:val="24"/>
              </w:rPr>
            </w:pPr>
            <w:r w:rsidRPr="0062572A">
              <w:rPr>
                <w:rFonts w:cs="Calibri"/>
                <w:color w:val="000000"/>
                <w:szCs w:val="24"/>
              </w:rPr>
              <w:t>Receive</w:t>
            </w:r>
          </w:p>
        </w:tc>
        <w:tc>
          <w:tcPr>
            <w:tcW w:w="1620" w:type="dxa"/>
            <w:vAlign w:val="center"/>
          </w:tcPr>
          <w:p w14:paraId="12E1CDEC" w14:textId="77777777" w:rsidR="0007600E" w:rsidRPr="0062572A" w:rsidRDefault="0007600E" w:rsidP="0007600E">
            <w:pPr>
              <w:spacing w:after="0"/>
              <w:ind w:left="0"/>
              <w:rPr>
                <w:szCs w:val="24"/>
              </w:rPr>
            </w:pPr>
            <w:r w:rsidRPr="0062572A">
              <w:rPr>
                <w:rFonts w:cs="Calibri"/>
                <w:color w:val="000000"/>
                <w:szCs w:val="24"/>
              </w:rPr>
              <w:t>Batch / Bi-Weekly</w:t>
            </w:r>
          </w:p>
        </w:tc>
        <w:tc>
          <w:tcPr>
            <w:tcW w:w="2430" w:type="dxa"/>
            <w:vAlign w:val="center"/>
          </w:tcPr>
          <w:p w14:paraId="7BA59AC4" w14:textId="77777777" w:rsidR="0007600E" w:rsidRPr="0062572A" w:rsidRDefault="0007600E" w:rsidP="0007600E">
            <w:pPr>
              <w:spacing w:after="0"/>
              <w:ind w:left="0"/>
              <w:rPr>
                <w:szCs w:val="24"/>
              </w:rPr>
            </w:pPr>
            <w:r w:rsidRPr="0062572A">
              <w:rPr>
                <w:rFonts w:cs="Calibri"/>
                <w:color w:val="000000"/>
                <w:szCs w:val="24"/>
              </w:rPr>
              <w:t>TX DSHS</w:t>
            </w:r>
          </w:p>
        </w:tc>
        <w:tc>
          <w:tcPr>
            <w:tcW w:w="2160" w:type="dxa"/>
            <w:vAlign w:val="center"/>
          </w:tcPr>
          <w:p w14:paraId="1B2F4EB6" w14:textId="77777777" w:rsidR="0007600E" w:rsidRPr="0062572A" w:rsidRDefault="0007600E" w:rsidP="0007600E">
            <w:pPr>
              <w:spacing w:after="0"/>
              <w:ind w:left="0"/>
              <w:rPr>
                <w:szCs w:val="24"/>
              </w:rPr>
            </w:pPr>
            <w:r w:rsidRPr="0062572A">
              <w:rPr>
                <w:rFonts w:cs="Calibri"/>
                <w:color w:val="000000"/>
                <w:szCs w:val="24"/>
              </w:rPr>
              <w:t>Death match file from DSHS</w:t>
            </w:r>
          </w:p>
        </w:tc>
        <w:tc>
          <w:tcPr>
            <w:tcW w:w="5940" w:type="dxa"/>
            <w:vAlign w:val="center"/>
          </w:tcPr>
          <w:p w14:paraId="00EB5930" w14:textId="77777777" w:rsidR="0007600E" w:rsidRPr="0062572A" w:rsidRDefault="0007600E" w:rsidP="0007600E">
            <w:pPr>
              <w:spacing w:after="0"/>
              <w:ind w:left="0"/>
              <w:rPr>
                <w:szCs w:val="24"/>
              </w:rPr>
            </w:pPr>
            <w:r>
              <w:rPr>
                <w:rFonts w:cs="Calibri"/>
                <w:color w:val="000000"/>
                <w:szCs w:val="24"/>
              </w:rPr>
              <w:t>D</w:t>
            </w:r>
            <w:r w:rsidRPr="0062572A">
              <w:rPr>
                <w:rFonts w:cs="Calibri"/>
                <w:color w:val="000000"/>
                <w:szCs w:val="24"/>
              </w:rPr>
              <w:t>eath cross match response file from DSHS</w:t>
            </w:r>
          </w:p>
        </w:tc>
      </w:tr>
      <w:tr w:rsidR="0007600E" w:rsidRPr="0062572A" w14:paraId="1498F5E7" w14:textId="77777777" w:rsidTr="005204B9">
        <w:tc>
          <w:tcPr>
            <w:tcW w:w="877" w:type="dxa"/>
            <w:vAlign w:val="center"/>
          </w:tcPr>
          <w:p w14:paraId="45F63539" w14:textId="4AFFC35D" w:rsidR="0007600E" w:rsidRPr="0062572A" w:rsidRDefault="0007600E" w:rsidP="0007600E">
            <w:pPr>
              <w:spacing w:after="0"/>
              <w:ind w:left="0"/>
              <w:jc w:val="center"/>
              <w:rPr>
                <w:szCs w:val="24"/>
              </w:rPr>
            </w:pPr>
            <w:r>
              <w:rPr>
                <w:color w:val="000000"/>
                <w:szCs w:val="22"/>
              </w:rPr>
              <w:lastRenderedPageBreak/>
              <w:t>65</w:t>
            </w:r>
          </w:p>
        </w:tc>
        <w:tc>
          <w:tcPr>
            <w:tcW w:w="1530" w:type="dxa"/>
            <w:vAlign w:val="center"/>
          </w:tcPr>
          <w:p w14:paraId="1164AEFD" w14:textId="77777777" w:rsidR="0007600E" w:rsidRPr="0062572A" w:rsidRDefault="0007600E" w:rsidP="0007600E">
            <w:pPr>
              <w:spacing w:after="0"/>
              <w:ind w:left="0"/>
              <w:rPr>
                <w:szCs w:val="24"/>
              </w:rPr>
            </w:pPr>
            <w:r w:rsidRPr="0062572A">
              <w:rPr>
                <w:rFonts w:cs="Calibri"/>
                <w:color w:val="000000"/>
                <w:szCs w:val="24"/>
              </w:rPr>
              <w:t>Receive</w:t>
            </w:r>
          </w:p>
        </w:tc>
        <w:tc>
          <w:tcPr>
            <w:tcW w:w="1620" w:type="dxa"/>
            <w:vAlign w:val="center"/>
          </w:tcPr>
          <w:p w14:paraId="5E99ED3C" w14:textId="77777777" w:rsidR="0007600E" w:rsidRPr="0062572A" w:rsidRDefault="0007600E" w:rsidP="0007600E">
            <w:pPr>
              <w:spacing w:after="0"/>
              <w:ind w:left="0"/>
              <w:rPr>
                <w:szCs w:val="24"/>
              </w:rPr>
            </w:pPr>
            <w:r w:rsidRPr="0062572A">
              <w:rPr>
                <w:rFonts w:cs="Calibri"/>
                <w:color w:val="000000"/>
                <w:szCs w:val="24"/>
              </w:rPr>
              <w:t>Batch / Monthly</w:t>
            </w:r>
          </w:p>
        </w:tc>
        <w:tc>
          <w:tcPr>
            <w:tcW w:w="2430" w:type="dxa"/>
            <w:vAlign w:val="center"/>
          </w:tcPr>
          <w:p w14:paraId="522F0205" w14:textId="77777777" w:rsidR="0007600E" w:rsidRPr="0062572A" w:rsidRDefault="0007600E" w:rsidP="0007600E">
            <w:pPr>
              <w:spacing w:after="0"/>
              <w:ind w:left="0"/>
              <w:rPr>
                <w:szCs w:val="24"/>
              </w:rPr>
            </w:pPr>
            <w:r w:rsidRPr="0062572A">
              <w:rPr>
                <w:rFonts w:cs="Calibri"/>
                <w:color w:val="000000"/>
                <w:szCs w:val="24"/>
              </w:rPr>
              <w:t>TX Guarantee Student Loan Corp</w:t>
            </w:r>
          </w:p>
        </w:tc>
        <w:tc>
          <w:tcPr>
            <w:tcW w:w="2160" w:type="dxa"/>
            <w:vAlign w:val="center"/>
          </w:tcPr>
          <w:p w14:paraId="706D50E1" w14:textId="77777777" w:rsidR="0007600E" w:rsidRPr="0062572A" w:rsidRDefault="0007600E" w:rsidP="0007600E">
            <w:pPr>
              <w:spacing w:after="0"/>
              <w:ind w:left="0"/>
              <w:rPr>
                <w:szCs w:val="24"/>
              </w:rPr>
            </w:pPr>
            <w:r w:rsidRPr="0062572A">
              <w:rPr>
                <w:rFonts w:cs="Calibri"/>
                <w:color w:val="000000"/>
                <w:szCs w:val="24"/>
              </w:rPr>
              <w:t>(Deactivated) Texas Guaranteed Student Loan</w:t>
            </w:r>
          </w:p>
        </w:tc>
        <w:tc>
          <w:tcPr>
            <w:tcW w:w="5940" w:type="dxa"/>
            <w:vAlign w:val="center"/>
          </w:tcPr>
          <w:p w14:paraId="2CC4CA7D" w14:textId="014ECA32" w:rsidR="0007600E" w:rsidRPr="0062572A" w:rsidRDefault="0007600E" w:rsidP="0007600E">
            <w:pPr>
              <w:spacing w:after="0"/>
              <w:ind w:left="0"/>
              <w:rPr>
                <w:szCs w:val="24"/>
              </w:rPr>
            </w:pPr>
            <w:r w:rsidRPr="0062572A">
              <w:rPr>
                <w:rFonts w:cs="Calibri"/>
                <w:color w:val="000000"/>
                <w:szCs w:val="24"/>
              </w:rPr>
              <w:t>TGSL data exchange</w:t>
            </w:r>
          </w:p>
        </w:tc>
      </w:tr>
      <w:tr w:rsidR="0007600E" w:rsidRPr="0062572A" w14:paraId="57AF0D1D" w14:textId="77777777" w:rsidTr="005204B9">
        <w:tc>
          <w:tcPr>
            <w:tcW w:w="877" w:type="dxa"/>
            <w:vAlign w:val="center"/>
          </w:tcPr>
          <w:p w14:paraId="4B1E6640" w14:textId="2354368B" w:rsidR="0007600E" w:rsidRPr="0062572A" w:rsidRDefault="0007600E" w:rsidP="0007600E">
            <w:pPr>
              <w:spacing w:after="0"/>
              <w:ind w:left="0"/>
              <w:jc w:val="center"/>
              <w:rPr>
                <w:szCs w:val="24"/>
              </w:rPr>
            </w:pPr>
            <w:r>
              <w:rPr>
                <w:szCs w:val="22"/>
              </w:rPr>
              <w:t>66</w:t>
            </w:r>
          </w:p>
        </w:tc>
        <w:tc>
          <w:tcPr>
            <w:tcW w:w="1530" w:type="dxa"/>
            <w:vAlign w:val="center"/>
          </w:tcPr>
          <w:p w14:paraId="68457C17" w14:textId="77777777" w:rsidR="0007600E" w:rsidRPr="0062572A" w:rsidRDefault="0007600E" w:rsidP="0007600E">
            <w:pPr>
              <w:spacing w:after="0"/>
              <w:ind w:left="0"/>
              <w:rPr>
                <w:szCs w:val="24"/>
              </w:rPr>
            </w:pPr>
            <w:r w:rsidRPr="0062572A">
              <w:rPr>
                <w:rFonts w:cs="Calibri"/>
                <w:color w:val="000000"/>
                <w:szCs w:val="24"/>
              </w:rPr>
              <w:t>Send</w:t>
            </w:r>
          </w:p>
        </w:tc>
        <w:tc>
          <w:tcPr>
            <w:tcW w:w="1620" w:type="dxa"/>
            <w:vAlign w:val="center"/>
          </w:tcPr>
          <w:p w14:paraId="4CB66C33" w14:textId="77777777" w:rsidR="0007600E" w:rsidRPr="0062572A" w:rsidRDefault="0007600E" w:rsidP="0007600E">
            <w:pPr>
              <w:spacing w:after="0"/>
              <w:ind w:left="0"/>
              <w:rPr>
                <w:szCs w:val="24"/>
              </w:rPr>
            </w:pPr>
            <w:r w:rsidRPr="0062572A">
              <w:rPr>
                <w:rFonts w:cs="Calibri"/>
                <w:color w:val="000000"/>
                <w:szCs w:val="24"/>
              </w:rPr>
              <w:t>Batch / Monthly</w:t>
            </w:r>
          </w:p>
        </w:tc>
        <w:tc>
          <w:tcPr>
            <w:tcW w:w="2430" w:type="dxa"/>
            <w:vAlign w:val="center"/>
          </w:tcPr>
          <w:p w14:paraId="0D61C54F" w14:textId="77777777" w:rsidR="0007600E" w:rsidRPr="0062572A" w:rsidRDefault="0007600E" w:rsidP="0007600E">
            <w:pPr>
              <w:spacing w:after="0"/>
              <w:ind w:left="0"/>
              <w:rPr>
                <w:szCs w:val="24"/>
              </w:rPr>
            </w:pPr>
            <w:r w:rsidRPr="0062572A">
              <w:rPr>
                <w:rFonts w:cs="Calibri"/>
                <w:color w:val="000000"/>
                <w:szCs w:val="24"/>
              </w:rPr>
              <w:t>TX Guaranteed Student Loan Corp</w:t>
            </w:r>
          </w:p>
        </w:tc>
        <w:tc>
          <w:tcPr>
            <w:tcW w:w="2160" w:type="dxa"/>
            <w:vAlign w:val="center"/>
          </w:tcPr>
          <w:p w14:paraId="7ADB26EF" w14:textId="77777777" w:rsidR="0007600E" w:rsidRPr="0062572A" w:rsidRDefault="0007600E" w:rsidP="0007600E">
            <w:pPr>
              <w:spacing w:after="0"/>
              <w:ind w:left="0"/>
              <w:rPr>
                <w:szCs w:val="24"/>
              </w:rPr>
            </w:pPr>
            <w:r w:rsidRPr="0062572A">
              <w:rPr>
                <w:rFonts w:cs="Calibri"/>
                <w:color w:val="000000"/>
                <w:szCs w:val="24"/>
              </w:rPr>
              <w:t>(Deactivated) Texas Guaranteed Student Loan</w:t>
            </w:r>
          </w:p>
        </w:tc>
        <w:tc>
          <w:tcPr>
            <w:tcW w:w="5940" w:type="dxa"/>
            <w:vAlign w:val="center"/>
          </w:tcPr>
          <w:p w14:paraId="4471AAB7" w14:textId="3D1713D3" w:rsidR="0007600E" w:rsidRPr="0062572A" w:rsidRDefault="0007600E" w:rsidP="0007600E">
            <w:pPr>
              <w:spacing w:after="0"/>
              <w:ind w:left="0"/>
              <w:rPr>
                <w:szCs w:val="24"/>
              </w:rPr>
            </w:pPr>
            <w:r>
              <w:rPr>
                <w:rFonts w:cs="Calibri"/>
                <w:color w:val="000000"/>
                <w:szCs w:val="24"/>
              </w:rPr>
              <w:t>P</w:t>
            </w:r>
            <w:r w:rsidRPr="0062572A">
              <w:rPr>
                <w:rFonts w:cs="Calibri"/>
                <w:color w:val="000000"/>
                <w:szCs w:val="24"/>
              </w:rPr>
              <w:t>uts one file</w:t>
            </w:r>
            <w:r>
              <w:rPr>
                <w:rFonts w:cs="Calibri"/>
                <w:color w:val="000000"/>
                <w:szCs w:val="24"/>
              </w:rPr>
              <w:t xml:space="preserve"> return to TGSL Corp of matches</w:t>
            </w:r>
          </w:p>
        </w:tc>
      </w:tr>
      <w:tr w:rsidR="0007600E" w:rsidRPr="0062572A" w14:paraId="24693C95" w14:textId="77777777" w:rsidTr="005204B9">
        <w:tc>
          <w:tcPr>
            <w:tcW w:w="877" w:type="dxa"/>
            <w:vAlign w:val="center"/>
          </w:tcPr>
          <w:p w14:paraId="7196FB2E" w14:textId="26DBEB4C" w:rsidR="0007600E" w:rsidRPr="0062572A" w:rsidRDefault="0007600E" w:rsidP="0007600E">
            <w:pPr>
              <w:spacing w:after="0"/>
              <w:ind w:left="0"/>
              <w:jc w:val="center"/>
              <w:rPr>
                <w:szCs w:val="24"/>
              </w:rPr>
            </w:pPr>
            <w:r>
              <w:rPr>
                <w:color w:val="000000"/>
                <w:szCs w:val="22"/>
              </w:rPr>
              <w:t>67</w:t>
            </w:r>
          </w:p>
        </w:tc>
        <w:tc>
          <w:tcPr>
            <w:tcW w:w="1530" w:type="dxa"/>
            <w:vAlign w:val="center"/>
          </w:tcPr>
          <w:p w14:paraId="482F1842" w14:textId="77777777" w:rsidR="0007600E" w:rsidRPr="0062572A" w:rsidRDefault="0007600E" w:rsidP="0007600E">
            <w:pPr>
              <w:spacing w:after="0"/>
              <w:ind w:left="0"/>
              <w:rPr>
                <w:szCs w:val="24"/>
              </w:rPr>
            </w:pPr>
            <w:r w:rsidRPr="0062572A">
              <w:rPr>
                <w:rFonts w:cs="Calibri"/>
                <w:color w:val="000000"/>
                <w:szCs w:val="24"/>
              </w:rPr>
              <w:t>Receive</w:t>
            </w:r>
          </w:p>
        </w:tc>
        <w:tc>
          <w:tcPr>
            <w:tcW w:w="1620" w:type="dxa"/>
            <w:vAlign w:val="center"/>
          </w:tcPr>
          <w:p w14:paraId="51C28241" w14:textId="77777777" w:rsidR="0007600E" w:rsidRPr="0062572A" w:rsidRDefault="0007600E" w:rsidP="0007600E">
            <w:pPr>
              <w:spacing w:after="0"/>
              <w:ind w:left="0"/>
              <w:rPr>
                <w:rFonts w:cs="Calibri"/>
                <w:color w:val="000000"/>
                <w:szCs w:val="24"/>
              </w:rPr>
            </w:pPr>
            <w:r w:rsidRPr="0062572A">
              <w:rPr>
                <w:rFonts w:cs="Calibri"/>
                <w:color w:val="000000"/>
                <w:szCs w:val="24"/>
              </w:rPr>
              <w:t>Offline / Monthly Annual - year-end report</w:t>
            </w:r>
          </w:p>
        </w:tc>
        <w:tc>
          <w:tcPr>
            <w:tcW w:w="2430" w:type="dxa"/>
            <w:vAlign w:val="center"/>
          </w:tcPr>
          <w:p w14:paraId="2E0BCF22" w14:textId="21CEB405" w:rsidR="0007600E" w:rsidRPr="0062572A" w:rsidRDefault="0007600E" w:rsidP="0007600E">
            <w:pPr>
              <w:spacing w:after="0"/>
              <w:ind w:left="0"/>
              <w:rPr>
                <w:szCs w:val="24"/>
              </w:rPr>
            </w:pPr>
            <w:r>
              <w:rPr>
                <w:rFonts w:cs="Calibri"/>
                <w:color w:val="000000"/>
                <w:szCs w:val="22"/>
              </w:rPr>
              <w:t>HHSC</w:t>
            </w:r>
          </w:p>
        </w:tc>
        <w:tc>
          <w:tcPr>
            <w:tcW w:w="2160" w:type="dxa"/>
            <w:vAlign w:val="center"/>
          </w:tcPr>
          <w:p w14:paraId="161604D3" w14:textId="5860C17F" w:rsidR="0007600E" w:rsidRPr="0062572A" w:rsidRDefault="0007600E" w:rsidP="0007600E">
            <w:pPr>
              <w:spacing w:after="0"/>
              <w:ind w:left="0"/>
              <w:rPr>
                <w:szCs w:val="24"/>
              </w:rPr>
            </w:pPr>
            <w:r w:rsidRPr="0062572A">
              <w:rPr>
                <w:rFonts w:cs="Calibri"/>
                <w:color w:val="000000"/>
                <w:szCs w:val="24"/>
              </w:rPr>
              <w:t xml:space="preserve">FS log file also </w:t>
            </w:r>
            <w:r>
              <w:rPr>
                <w:rFonts w:cs="Calibri"/>
                <w:color w:val="000000"/>
                <w:szCs w:val="24"/>
              </w:rPr>
              <w:t>known as Batch Interface- SNAP l</w:t>
            </w:r>
            <w:r w:rsidRPr="0062572A">
              <w:rPr>
                <w:rFonts w:cs="Calibri"/>
                <w:color w:val="000000"/>
                <w:szCs w:val="24"/>
              </w:rPr>
              <w:t>og file</w:t>
            </w:r>
          </w:p>
        </w:tc>
        <w:tc>
          <w:tcPr>
            <w:tcW w:w="5940" w:type="dxa"/>
            <w:vAlign w:val="center"/>
          </w:tcPr>
          <w:p w14:paraId="65C3D257" w14:textId="77777777" w:rsidR="0007600E" w:rsidRPr="0062572A" w:rsidRDefault="0007600E" w:rsidP="0007600E">
            <w:pPr>
              <w:spacing w:after="0"/>
              <w:ind w:left="0"/>
              <w:rPr>
                <w:szCs w:val="24"/>
              </w:rPr>
            </w:pPr>
            <w:r>
              <w:rPr>
                <w:rFonts w:cs="Calibri"/>
                <w:color w:val="000000"/>
                <w:szCs w:val="24"/>
              </w:rPr>
              <w:t>U</w:t>
            </w:r>
            <w:r w:rsidRPr="0062572A">
              <w:rPr>
                <w:rFonts w:cs="Calibri"/>
                <w:color w:val="000000"/>
                <w:szCs w:val="24"/>
              </w:rPr>
              <w:t>sed for allocation of benefits on a monthly basis and for recipient characteristics for the annual SNAP plan </w:t>
            </w:r>
          </w:p>
        </w:tc>
      </w:tr>
      <w:tr w:rsidR="0007600E" w:rsidRPr="0062572A" w14:paraId="07993F78" w14:textId="77777777" w:rsidTr="005204B9">
        <w:tc>
          <w:tcPr>
            <w:tcW w:w="877" w:type="dxa"/>
            <w:vAlign w:val="center"/>
          </w:tcPr>
          <w:p w14:paraId="7445E5F6" w14:textId="3F9ABFA8" w:rsidR="0007600E" w:rsidRPr="0062572A" w:rsidRDefault="0007600E" w:rsidP="0007600E">
            <w:pPr>
              <w:spacing w:after="0"/>
              <w:ind w:left="0"/>
              <w:jc w:val="center"/>
              <w:rPr>
                <w:szCs w:val="24"/>
              </w:rPr>
            </w:pPr>
            <w:r>
              <w:rPr>
                <w:szCs w:val="22"/>
              </w:rPr>
              <w:t>68</w:t>
            </w:r>
          </w:p>
        </w:tc>
        <w:tc>
          <w:tcPr>
            <w:tcW w:w="1530" w:type="dxa"/>
            <w:vAlign w:val="center"/>
          </w:tcPr>
          <w:p w14:paraId="3893F34C" w14:textId="77777777" w:rsidR="0007600E" w:rsidRPr="0062572A" w:rsidRDefault="0007600E" w:rsidP="0007600E">
            <w:pPr>
              <w:spacing w:after="0"/>
              <w:ind w:left="0"/>
              <w:rPr>
                <w:szCs w:val="24"/>
              </w:rPr>
            </w:pPr>
            <w:r w:rsidRPr="0062572A">
              <w:rPr>
                <w:rFonts w:cs="Calibri"/>
                <w:color w:val="000000"/>
                <w:szCs w:val="24"/>
              </w:rPr>
              <w:t>Receive</w:t>
            </w:r>
          </w:p>
        </w:tc>
        <w:tc>
          <w:tcPr>
            <w:tcW w:w="1620" w:type="dxa"/>
            <w:vAlign w:val="center"/>
          </w:tcPr>
          <w:p w14:paraId="1EE977DD" w14:textId="77777777" w:rsidR="0007600E" w:rsidRPr="0062572A" w:rsidRDefault="0007600E" w:rsidP="0007600E">
            <w:pPr>
              <w:spacing w:after="0"/>
              <w:ind w:left="0"/>
              <w:rPr>
                <w:szCs w:val="24"/>
              </w:rPr>
            </w:pPr>
            <w:r w:rsidRPr="0062572A">
              <w:rPr>
                <w:rFonts w:cs="Calibri"/>
                <w:color w:val="000000"/>
                <w:szCs w:val="24"/>
              </w:rPr>
              <w:t>Batch / Monthly</w:t>
            </w:r>
          </w:p>
        </w:tc>
        <w:tc>
          <w:tcPr>
            <w:tcW w:w="2430" w:type="dxa"/>
            <w:vAlign w:val="center"/>
          </w:tcPr>
          <w:p w14:paraId="7DA8172C" w14:textId="253D3829" w:rsidR="0007600E" w:rsidRPr="0062572A" w:rsidRDefault="0007600E" w:rsidP="0007600E">
            <w:pPr>
              <w:spacing w:after="0"/>
              <w:ind w:left="0"/>
              <w:rPr>
                <w:szCs w:val="24"/>
              </w:rPr>
            </w:pPr>
            <w:r>
              <w:rPr>
                <w:rFonts w:cs="Calibri"/>
                <w:color w:val="000000"/>
                <w:szCs w:val="22"/>
              </w:rPr>
              <w:t>HHSC</w:t>
            </w:r>
          </w:p>
        </w:tc>
        <w:tc>
          <w:tcPr>
            <w:tcW w:w="2160" w:type="dxa"/>
            <w:vAlign w:val="center"/>
          </w:tcPr>
          <w:p w14:paraId="348DF489" w14:textId="4D986637" w:rsidR="0007600E" w:rsidRPr="0062572A" w:rsidRDefault="0007600E" w:rsidP="0007600E">
            <w:pPr>
              <w:spacing w:after="0"/>
              <w:ind w:left="0"/>
              <w:rPr>
                <w:szCs w:val="24"/>
              </w:rPr>
            </w:pPr>
            <w:r w:rsidRPr="0062572A">
              <w:rPr>
                <w:rFonts w:cs="Calibri"/>
                <w:color w:val="000000"/>
                <w:szCs w:val="24"/>
              </w:rPr>
              <w:t>HHSC monthly claim information request</w:t>
            </w:r>
          </w:p>
        </w:tc>
        <w:tc>
          <w:tcPr>
            <w:tcW w:w="5940" w:type="dxa"/>
            <w:vAlign w:val="center"/>
          </w:tcPr>
          <w:p w14:paraId="44EB07DB" w14:textId="21A1B1DA" w:rsidR="0007600E" w:rsidRPr="0062572A" w:rsidRDefault="0007600E" w:rsidP="0007600E">
            <w:pPr>
              <w:spacing w:after="0"/>
              <w:ind w:left="0"/>
              <w:rPr>
                <w:szCs w:val="24"/>
              </w:rPr>
            </w:pPr>
            <w:r>
              <w:rPr>
                <w:rFonts w:cs="Calibri"/>
                <w:color w:val="000000"/>
                <w:szCs w:val="24"/>
              </w:rPr>
              <w:t>HHSC sends SSN</w:t>
            </w:r>
            <w:r w:rsidRPr="0062572A">
              <w:rPr>
                <w:rFonts w:cs="Calibri"/>
                <w:color w:val="000000"/>
                <w:szCs w:val="24"/>
              </w:rPr>
              <w:t>s requesting claim information</w:t>
            </w:r>
          </w:p>
        </w:tc>
      </w:tr>
      <w:tr w:rsidR="0007600E" w:rsidRPr="0062572A" w14:paraId="44B3D979" w14:textId="77777777" w:rsidTr="005204B9">
        <w:tc>
          <w:tcPr>
            <w:tcW w:w="877" w:type="dxa"/>
            <w:vAlign w:val="center"/>
          </w:tcPr>
          <w:p w14:paraId="1D248915" w14:textId="4E3A181D" w:rsidR="0007600E" w:rsidRPr="0062572A" w:rsidRDefault="0007600E" w:rsidP="0007600E">
            <w:pPr>
              <w:spacing w:after="0"/>
              <w:ind w:left="0"/>
              <w:jc w:val="center"/>
              <w:rPr>
                <w:szCs w:val="24"/>
              </w:rPr>
            </w:pPr>
            <w:r>
              <w:rPr>
                <w:color w:val="000000"/>
                <w:szCs w:val="22"/>
              </w:rPr>
              <w:t>69</w:t>
            </w:r>
          </w:p>
        </w:tc>
        <w:tc>
          <w:tcPr>
            <w:tcW w:w="1530" w:type="dxa"/>
            <w:vAlign w:val="center"/>
          </w:tcPr>
          <w:p w14:paraId="1DAB9DBC" w14:textId="77777777" w:rsidR="0007600E" w:rsidRPr="0062572A" w:rsidRDefault="0007600E" w:rsidP="0007600E">
            <w:pPr>
              <w:spacing w:after="0"/>
              <w:ind w:left="0"/>
              <w:rPr>
                <w:szCs w:val="24"/>
              </w:rPr>
            </w:pPr>
            <w:r w:rsidRPr="0062572A">
              <w:rPr>
                <w:rFonts w:cs="Calibri"/>
                <w:color w:val="000000"/>
                <w:szCs w:val="24"/>
              </w:rPr>
              <w:t>Send</w:t>
            </w:r>
          </w:p>
        </w:tc>
        <w:tc>
          <w:tcPr>
            <w:tcW w:w="1620" w:type="dxa"/>
            <w:vAlign w:val="center"/>
          </w:tcPr>
          <w:p w14:paraId="5BCEE420" w14:textId="77777777" w:rsidR="0007600E" w:rsidRPr="0062572A" w:rsidRDefault="0007600E" w:rsidP="0007600E">
            <w:pPr>
              <w:spacing w:after="0"/>
              <w:ind w:left="0"/>
              <w:rPr>
                <w:szCs w:val="24"/>
              </w:rPr>
            </w:pPr>
            <w:r w:rsidRPr="0062572A">
              <w:rPr>
                <w:rFonts w:cs="Calibri"/>
                <w:color w:val="000000"/>
                <w:szCs w:val="24"/>
              </w:rPr>
              <w:t>Batch / Weekly</w:t>
            </w:r>
          </w:p>
        </w:tc>
        <w:tc>
          <w:tcPr>
            <w:tcW w:w="2430" w:type="dxa"/>
            <w:vAlign w:val="center"/>
          </w:tcPr>
          <w:p w14:paraId="2B128D9F" w14:textId="20EBDE26" w:rsidR="0007600E" w:rsidRPr="0062572A" w:rsidRDefault="0007600E" w:rsidP="0007600E">
            <w:pPr>
              <w:spacing w:after="0"/>
              <w:ind w:left="0"/>
              <w:rPr>
                <w:szCs w:val="24"/>
              </w:rPr>
            </w:pPr>
            <w:r>
              <w:rPr>
                <w:rFonts w:cs="Calibri"/>
                <w:color w:val="000000"/>
                <w:szCs w:val="22"/>
              </w:rPr>
              <w:t>HHSC</w:t>
            </w:r>
          </w:p>
        </w:tc>
        <w:tc>
          <w:tcPr>
            <w:tcW w:w="2160" w:type="dxa"/>
            <w:vAlign w:val="center"/>
          </w:tcPr>
          <w:p w14:paraId="01CFD91E" w14:textId="1C182FA8" w:rsidR="0007600E" w:rsidRPr="0062572A" w:rsidRDefault="0007600E" w:rsidP="0007600E">
            <w:pPr>
              <w:spacing w:after="0"/>
              <w:ind w:left="0"/>
              <w:rPr>
                <w:szCs w:val="24"/>
              </w:rPr>
            </w:pPr>
            <w:r>
              <w:rPr>
                <w:rFonts w:cs="Calibri"/>
                <w:color w:val="000000"/>
                <w:szCs w:val="24"/>
              </w:rPr>
              <w:t>NDNH r</w:t>
            </w:r>
            <w:r w:rsidRPr="0062572A">
              <w:rPr>
                <w:rFonts w:cs="Calibri"/>
                <w:color w:val="000000"/>
                <w:szCs w:val="24"/>
              </w:rPr>
              <w:t>equest file</w:t>
            </w:r>
          </w:p>
        </w:tc>
        <w:tc>
          <w:tcPr>
            <w:tcW w:w="5940" w:type="dxa"/>
            <w:vAlign w:val="center"/>
          </w:tcPr>
          <w:p w14:paraId="1DC90AE6" w14:textId="59D82F87" w:rsidR="0007600E" w:rsidRPr="0062572A" w:rsidRDefault="0007600E" w:rsidP="0007600E">
            <w:pPr>
              <w:spacing w:after="0"/>
              <w:ind w:left="0"/>
              <w:rPr>
                <w:szCs w:val="24"/>
              </w:rPr>
            </w:pPr>
            <w:r>
              <w:rPr>
                <w:rFonts w:cs="Calibri"/>
                <w:color w:val="000000"/>
                <w:szCs w:val="24"/>
              </w:rPr>
              <w:t>File sent to DHS to be compared with NDNH</w:t>
            </w:r>
          </w:p>
        </w:tc>
      </w:tr>
      <w:tr w:rsidR="0007600E" w:rsidRPr="0062572A" w14:paraId="0B0207B8" w14:textId="77777777" w:rsidTr="005204B9">
        <w:tc>
          <w:tcPr>
            <w:tcW w:w="877" w:type="dxa"/>
            <w:vAlign w:val="center"/>
          </w:tcPr>
          <w:p w14:paraId="42AABF1D" w14:textId="3554B3F6" w:rsidR="0007600E" w:rsidRPr="0062572A" w:rsidRDefault="0007600E" w:rsidP="0007600E">
            <w:pPr>
              <w:spacing w:after="0"/>
              <w:ind w:left="0"/>
              <w:jc w:val="center"/>
              <w:rPr>
                <w:szCs w:val="24"/>
              </w:rPr>
            </w:pPr>
            <w:r>
              <w:rPr>
                <w:szCs w:val="22"/>
              </w:rPr>
              <w:t>70</w:t>
            </w:r>
          </w:p>
        </w:tc>
        <w:tc>
          <w:tcPr>
            <w:tcW w:w="1530" w:type="dxa"/>
            <w:vAlign w:val="center"/>
          </w:tcPr>
          <w:p w14:paraId="2B72924E" w14:textId="77777777" w:rsidR="0007600E" w:rsidRPr="0062572A" w:rsidRDefault="0007600E" w:rsidP="0007600E">
            <w:pPr>
              <w:spacing w:after="0"/>
              <w:ind w:left="0"/>
              <w:rPr>
                <w:szCs w:val="24"/>
              </w:rPr>
            </w:pPr>
            <w:r w:rsidRPr="0062572A">
              <w:rPr>
                <w:rFonts w:cs="Calibri"/>
                <w:color w:val="000000"/>
                <w:szCs w:val="24"/>
              </w:rPr>
              <w:t>Receive</w:t>
            </w:r>
          </w:p>
        </w:tc>
        <w:tc>
          <w:tcPr>
            <w:tcW w:w="1620" w:type="dxa"/>
            <w:vAlign w:val="center"/>
          </w:tcPr>
          <w:p w14:paraId="65637AD9" w14:textId="77777777" w:rsidR="0007600E" w:rsidRPr="0062572A" w:rsidRDefault="0007600E" w:rsidP="0007600E">
            <w:pPr>
              <w:spacing w:after="0"/>
              <w:ind w:left="0"/>
              <w:rPr>
                <w:szCs w:val="24"/>
              </w:rPr>
            </w:pPr>
            <w:r w:rsidRPr="0062572A">
              <w:rPr>
                <w:rFonts w:cs="Calibri"/>
                <w:color w:val="000000"/>
                <w:szCs w:val="24"/>
              </w:rPr>
              <w:t>Batch / Sunday</w:t>
            </w:r>
          </w:p>
        </w:tc>
        <w:tc>
          <w:tcPr>
            <w:tcW w:w="2430" w:type="dxa"/>
            <w:vAlign w:val="center"/>
          </w:tcPr>
          <w:p w14:paraId="346CBFBC" w14:textId="4218E5BD" w:rsidR="0007600E" w:rsidRPr="0062572A" w:rsidRDefault="0007600E" w:rsidP="0007600E">
            <w:pPr>
              <w:spacing w:after="0"/>
              <w:ind w:left="0"/>
              <w:rPr>
                <w:szCs w:val="24"/>
              </w:rPr>
            </w:pPr>
            <w:r>
              <w:rPr>
                <w:rFonts w:cs="Calibri"/>
                <w:color w:val="000000"/>
                <w:szCs w:val="22"/>
              </w:rPr>
              <w:t>HHSC</w:t>
            </w:r>
          </w:p>
        </w:tc>
        <w:tc>
          <w:tcPr>
            <w:tcW w:w="2160" w:type="dxa"/>
            <w:vAlign w:val="center"/>
          </w:tcPr>
          <w:p w14:paraId="4B044E29" w14:textId="648B5DFC" w:rsidR="0007600E" w:rsidRPr="0062572A" w:rsidRDefault="0007600E" w:rsidP="0007600E">
            <w:pPr>
              <w:spacing w:after="0"/>
              <w:ind w:left="0"/>
              <w:rPr>
                <w:szCs w:val="24"/>
              </w:rPr>
            </w:pPr>
            <w:r w:rsidRPr="0062572A">
              <w:rPr>
                <w:rFonts w:cs="Calibri"/>
                <w:color w:val="000000"/>
                <w:szCs w:val="24"/>
              </w:rPr>
              <w:t>New hire audit</w:t>
            </w:r>
          </w:p>
        </w:tc>
        <w:tc>
          <w:tcPr>
            <w:tcW w:w="5940" w:type="dxa"/>
            <w:vAlign w:val="center"/>
          </w:tcPr>
          <w:p w14:paraId="7F3763F1" w14:textId="5D2F007F" w:rsidR="0007600E" w:rsidRPr="0062572A" w:rsidRDefault="0007600E" w:rsidP="0007600E">
            <w:pPr>
              <w:spacing w:after="0"/>
              <w:ind w:left="0"/>
              <w:rPr>
                <w:szCs w:val="24"/>
              </w:rPr>
            </w:pPr>
            <w:r>
              <w:rPr>
                <w:rFonts w:cs="Calibri"/>
                <w:color w:val="000000"/>
                <w:szCs w:val="24"/>
              </w:rPr>
              <w:t>Matches a</w:t>
            </w:r>
            <w:r w:rsidRPr="0062572A">
              <w:rPr>
                <w:rFonts w:cs="Calibri"/>
                <w:color w:val="000000"/>
                <w:szCs w:val="24"/>
              </w:rPr>
              <w:t xml:space="preserve">gainst </w:t>
            </w:r>
            <w:r>
              <w:rPr>
                <w:rFonts w:cs="Calibri"/>
                <w:color w:val="000000"/>
                <w:szCs w:val="24"/>
              </w:rPr>
              <w:t>NDNH</w:t>
            </w:r>
          </w:p>
        </w:tc>
      </w:tr>
      <w:tr w:rsidR="0007600E" w:rsidRPr="0062572A" w14:paraId="2570A7C7" w14:textId="77777777" w:rsidTr="005204B9">
        <w:tc>
          <w:tcPr>
            <w:tcW w:w="877" w:type="dxa"/>
            <w:vAlign w:val="center"/>
          </w:tcPr>
          <w:p w14:paraId="67EED85C" w14:textId="510A1388" w:rsidR="0007600E" w:rsidRPr="0062572A" w:rsidRDefault="0007600E" w:rsidP="0007600E">
            <w:pPr>
              <w:spacing w:after="0"/>
              <w:ind w:left="0"/>
              <w:jc w:val="center"/>
              <w:rPr>
                <w:szCs w:val="24"/>
              </w:rPr>
            </w:pPr>
            <w:r>
              <w:rPr>
                <w:color w:val="000000"/>
                <w:szCs w:val="22"/>
              </w:rPr>
              <w:t>71</w:t>
            </w:r>
          </w:p>
        </w:tc>
        <w:tc>
          <w:tcPr>
            <w:tcW w:w="1530" w:type="dxa"/>
            <w:vAlign w:val="center"/>
          </w:tcPr>
          <w:p w14:paraId="50EF3C4E" w14:textId="77777777" w:rsidR="0007600E" w:rsidRPr="0062572A" w:rsidRDefault="0007600E" w:rsidP="0007600E">
            <w:pPr>
              <w:spacing w:after="0"/>
              <w:ind w:left="0"/>
              <w:rPr>
                <w:szCs w:val="24"/>
                <w:highlight w:val="yellow"/>
              </w:rPr>
            </w:pPr>
            <w:r w:rsidRPr="0062572A">
              <w:rPr>
                <w:rFonts w:cs="Calibri"/>
                <w:color w:val="000000"/>
                <w:szCs w:val="24"/>
              </w:rPr>
              <w:t>Send</w:t>
            </w:r>
          </w:p>
        </w:tc>
        <w:tc>
          <w:tcPr>
            <w:tcW w:w="1620" w:type="dxa"/>
            <w:vAlign w:val="center"/>
          </w:tcPr>
          <w:p w14:paraId="04E951FC" w14:textId="77777777" w:rsidR="0007600E" w:rsidRPr="0062572A" w:rsidRDefault="0007600E" w:rsidP="0007600E">
            <w:pPr>
              <w:spacing w:after="0"/>
              <w:ind w:left="0"/>
              <w:rPr>
                <w:szCs w:val="24"/>
                <w:highlight w:val="yellow"/>
              </w:rPr>
            </w:pPr>
            <w:r w:rsidRPr="0062572A">
              <w:rPr>
                <w:rFonts w:cs="Calibri"/>
                <w:color w:val="000000"/>
                <w:szCs w:val="24"/>
              </w:rPr>
              <w:t>Online / Monthly</w:t>
            </w:r>
          </w:p>
        </w:tc>
        <w:tc>
          <w:tcPr>
            <w:tcW w:w="2430" w:type="dxa"/>
            <w:vAlign w:val="center"/>
          </w:tcPr>
          <w:p w14:paraId="05FAD544" w14:textId="406A6713" w:rsidR="0007600E" w:rsidRPr="0062572A" w:rsidRDefault="0007600E" w:rsidP="0007600E">
            <w:pPr>
              <w:spacing w:after="0"/>
              <w:ind w:left="0"/>
              <w:rPr>
                <w:szCs w:val="24"/>
                <w:highlight w:val="yellow"/>
              </w:rPr>
            </w:pPr>
            <w:r>
              <w:rPr>
                <w:rFonts w:cs="Calibri"/>
                <w:color w:val="000000"/>
                <w:szCs w:val="22"/>
              </w:rPr>
              <w:t>HHSC</w:t>
            </w:r>
          </w:p>
        </w:tc>
        <w:tc>
          <w:tcPr>
            <w:tcW w:w="2160" w:type="dxa"/>
            <w:vAlign w:val="center"/>
          </w:tcPr>
          <w:p w14:paraId="02D44555" w14:textId="01CF50D5" w:rsidR="0007600E" w:rsidRPr="0062572A" w:rsidRDefault="0007600E" w:rsidP="0007600E">
            <w:pPr>
              <w:spacing w:after="0"/>
              <w:ind w:left="0"/>
              <w:rPr>
                <w:szCs w:val="24"/>
                <w:highlight w:val="yellow"/>
              </w:rPr>
            </w:pPr>
            <w:r w:rsidRPr="0062572A">
              <w:rPr>
                <w:rFonts w:cs="Calibri"/>
                <w:color w:val="000000"/>
                <w:szCs w:val="24"/>
              </w:rPr>
              <w:t>Return claim information request to HHSC</w:t>
            </w:r>
          </w:p>
        </w:tc>
        <w:tc>
          <w:tcPr>
            <w:tcW w:w="5940" w:type="dxa"/>
            <w:vAlign w:val="center"/>
          </w:tcPr>
          <w:p w14:paraId="24748720" w14:textId="77777777" w:rsidR="0007600E" w:rsidRPr="0062572A" w:rsidRDefault="0007600E" w:rsidP="0007600E">
            <w:pPr>
              <w:spacing w:after="0"/>
              <w:ind w:left="0"/>
              <w:rPr>
                <w:szCs w:val="24"/>
                <w:highlight w:val="yellow"/>
              </w:rPr>
            </w:pPr>
            <w:r w:rsidRPr="0062572A">
              <w:rPr>
                <w:rFonts w:cs="Calibri"/>
                <w:color w:val="000000"/>
                <w:szCs w:val="24"/>
              </w:rPr>
              <w:t>Returning claim Information requested by HHSC</w:t>
            </w:r>
          </w:p>
        </w:tc>
      </w:tr>
      <w:tr w:rsidR="0007600E" w:rsidRPr="0062572A" w14:paraId="173D8474" w14:textId="77777777" w:rsidTr="005204B9">
        <w:tc>
          <w:tcPr>
            <w:tcW w:w="877" w:type="dxa"/>
            <w:vAlign w:val="center"/>
          </w:tcPr>
          <w:p w14:paraId="6DE13CE8" w14:textId="21AFAA03" w:rsidR="0007600E" w:rsidRPr="0062572A" w:rsidRDefault="0007600E" w:rsidP="0007600E">
            <w:pPr>
              <w:spacing w:after="0"/>
              <w:ind w:left="0"/>
              <w:jc w:val="center"/>
              <w:rPr>
                <w:szCs w:val="24"/>
              </w:rPr>
            </w:pPr>
            <w:r>
              <w:rPr>
                <w:szCs w:val="22"/>
              </w:rPr>
              <w:t>72</w:t>
            </w:r>
          </w:p>
        </w:tc>
        <w:tc>
          <w:tcPr>
            <w:tcW w:w="1530" w:type="dxa"/>
            <w:vAlign w:val="center"/>
          </w:tcPr>
          <w:p w14:paraId="74EA7249" w14:textId="77777777" w:rsidR="0007600E" w:rsidRPr="00BC6097" w:rsidRDefault="0007600E" w:rsidP="0007600E">
            <w:pPr>
              <w:spacing w:after="0"/>
              <w:ind w:left="0"/>
              <w:rPr>
                <w:rFonts w:cs="Calibri"/>
                <w:color w:val="000000"/>
                <w:szCs w:val="24"/>
              </w:rPr>
            </w:pPr>
            <w:r w:rsidRPr="00BC6097">
              <w:rPr>
                <w:rFonts w:cs="Calibri"/>
                <w:color w:val="000000"/>
                <w:szCs w:val="24"/>
              </w:rPr>
              <w:t>Receive</w:t>
            </w:r>
          </w:p>
        </w:tc>
        <w:tc>
          <w:tcPr>
            <w:tcW w:w="1620" w:type="dxa"/>
            <w:vAlign w:val="center"/>
          </w:tcPr>
          <w:p w14:paraId="612F4AD6" w14:textId="77777777" w:rsidR="0007600E" w:rsidRPr="00BC6097" w:rsidRDefault="0007600E" w:rsidP="0007600E">
            <w:pPr>
              <w:spacing w:after="0"/>
              <w:ind w:left="0"/>
              <w:rPr>
                <w:rFonts w:cs="Calibri"/>
                <w:color w:val="000000"/>
                <w:szCs w:val="24"/>
              </w:rPr>
            </w:pPr>
            <w:r w:rsidRPr="00BC6097">
              <w:rPr>
                <w:rFonts w:cs="Calibri"/>
                <w:color w:val="000000"/>
                <w:szCs w:val="24"/>
              </w:rPr>
              <w:t>Online / Daily (M-F)</w:t>
            </w:r>
          </w:p>
        </w:tc>
        <w:tc>
          <w:tcPr>
            <w:tcW w:w="2430" w:type="dxa"/>
            <w:vAlign w:val="center"/>
          </w:tcPr>
          <w:p w14:paraId="6E56D85E" w14:textId="6B490672" w:rsidR="0007600E" w:rsidRPr="0062572A" w:rsidRDefault="0007600E" w:rsidP="0007600E">
            <w:pPr>
              <w:spacing w:after="0"/>
              <w:ind w:left="0"/>
              <w:rPr>
                <w:szCs w:val="24"/>
              </w:rPr>
            </w:pPr>
            <w:r>
              <w:rPr>
                <w:rFonts w:cs="Calibri"/>
                <w:color w:val="000000"/>
                <w:szCs w:val="22"/>
              </w:rPr>
              <w:t>HHSC</w:t>
            </w:r>
          </w:p>
        </w:tc>
        <w:tc>
          <w:tcPr>
            <w:tcW w:w="2160" w:type="dxa"/>
            <w:vAlign w:val="center"/>
          </w:tcPr>
          <w:p w14:paraId="14B78C2E" w14:textId="40842B27" w:rsidR="0007600E" w:rsidRPr="0062572A" w:rsidRDefault="0007600E" w:rsidP="0007600E">
            <w:pPr>
              <w:spacing w:after="0"/>
              <w:ind w:left="0"/>
              <w:rPr>
                <w:szCs w:val="24"/>
              </w:rPr>
            </w:pPr>
            <w:r>
              <w:rPr>
                <w:rFonts w:cs="Calibri"/>
                <w:color w:val="000000"/>
                <w:szCs w:val="24"/>
              </w:rPr>
              <w:t>SSN v</w:t>
            </w:r>
            <w:r w:rsidRPr="0062572A">
              <w:rPr>
                <w:rFonts w:cs="Calibri"/>
                <w:color w:val="000000"/>
                <w:szCs w:val="24"/>
              </w:rPr>
              <w:t>erification</w:t>
            </w:r>
          </w:p>
        </w:tc>
        <w:tc>
          <w:tcPr>
            <w:tcW w:w="5940" w:type="dxa"/>
            <w:vAlign w:val="center"/>
          </w:tcPr>
          <w:p w14:paraId="60898844" w14:textId="77777777" w:rsidR="0007600E" w:rsidRPr="0062572A" w:rsidRDefault="0007600E" w:rsidP="0007600E">
            <w:pPr>
              <w:spacing w:after="0"/>
              <w:ind w:left="0"/>
              <w:rPr>
                <w:szCs w:val="24"/>
              </w:rPr>
            </w:pPr>
            <w:r>
              <w:rPr>
                <w:rFonts w:cs="Calibri"/>
                <w:color w:val="000000"/>
                <w:szCs w:val="24"/>
              </w:rPr>
              <w:t>Response file SVES format</w:t>
            </w:r>
          </w:p>
        </w:tc>
      </w:tr>
      <w:tr w:rsidR="0007600E" w:rsidRPr="0062572A" w14:paraId="5475E86E" w14:textId="77777777" w:rsidTr="005204B9">
        <w:tc>
          <w:tcPr>
            <w:tcW w:w="877" w:type="dxa"/>
            <w:vAlign w:val="center"/>
          </w:tcPr>
          <w:p w14:paraId="2E0F1143" w14:textId="5CE789BE" w:rsidR="0007600E" w:rsidRPr="0062572A" w:rsidRDefault="0007600E" w:rsidP="0007600E">
            <w:pPr>
              <w:spacing w:after="0"/>
              <w:ind w:left="0"/>
              <w:jc w:val="center"/>
              <w:rPr>
                <w:rFonts w:cs="Calibri"/>
                <w:color w:val="000000"/>
                <w:szCs w:val="24"/>
              </w:rPr>
            </w:pPr>
            <w:r>
              <w:rPr>
                <w:color w:val="000000"/>
                <w:szCs w:val="22"/>
              </w:rPr>
              <w:lastRenderedPageBreak/>
              <w:t>73</w:t>
            </w:r>
          </w:p>
        </w:tc>
        <w:tc>
          <w:tcPr>
            <w:tcW w:w="1530" w:type="dxa"/>
            <w:vAlign w:val="center"/>
          </w:tcPr>
          <w:p w14:paraId="1315F6E2" w14:textId="77777777" w:rsidR="0007600E" w:rsidRPr="0062572A" w:rsidRDefault="0007600E" w:rsidP="0007600E">
            <w:pPr>
              <w:spacing w:after="0"/>
              <w:ind w:left="0"/>
              <w:rPr>
                <w:szCs w:val="24"/>
              </w:rPr>
            </w:pPr>
            <w:r w:rsidRPr="0062572A">
              <w:rPr>
                <w:rFonts w:cs="Calibri"/>
                <w:color w:val="000000"/>
                <w:szCs w:val="24"/>
              </w:rPr>
              <w:t>Send</w:t>
            </w:r>
          </w:p>
        </w:tc>
        <w:tc>
          <w:tcPr>
            <w:tcW w:w="1620" w:type="dxa"/>
            <w:vAlign w:val="center"/>
          </w:tcPr>
          <w:p w14:paraId="4CACF0C7" w14:textId="77777777" w:rsidR="0007600E" w:rsidRPr="0062572A" w:rsidRDefault="0007600E" w:rsidP="0007600E">
            <w:pPr>
              <w:spacing w:after="0"/>
              <w:ind w:left="0"/>
              <w:rPr>
                <w:szCs w:val="24"/>
              </w:rPr>
            </w:pPr>
            <w:r w:rsidRPr="0062572A">
              <w:rPr>
                <w:rFonts w:cs="Calibri"/>
                <w:color w:val="000000"/>
                <w:szCs w:val="24"/>
              </w:rPr>
              <w:t>Batch / Daily</w:t>
            </w:r>
          </w:p>
        </w:tc>
        <w:tc>
          <w:tcPr>
            <w:tcW w:w="2430" w:type="dxa"/>
            <w:vAlign w:val="center"/>
          </w:tcPr>
          <w:p w14:paraId="219DD05F" w14:textId="338F39FF" w:rsidR="0007600E" w:rsidRPr="0062572A" w:rsidRDefault="0007600E" w:rsidP="0007600E">
            <w:pPr>
              <w:spacing w:after="0"/>
              <w:ind w:left="0"/>
              <w:rPr>
                <w:szCs w:val="24"/>
              </w:rPr>
            </w:pPr>
            <w:r>
              <w:rPr>
                <w:rFonts w:cs="Calibri"/>
                <w:color w:val="000000"/>
                <w:szCs w:val="22"/>
              </w:rPr>
              <w:t>HHSC</w:t>
            </w:r>
          </w:p>
        </w:tc>
        <w:tc>
          <w:tcPr>
            <w:tcW w:w="2160" w:type="dxa"/>
            <w:vAlign w:val="center"/>
          </w:tcPr>
          <w:p w14:paraId="3E4F8A54" w14:textId="619DA52E" w:rsidR="0007600E" w:rsidRPr="0062572A" w:rsidRDefault="0007600E" w:rsidP="0007600E">
            <w:pPr>
              <w:spacing w:after="0"/>
              <w:ind w:left="0"/>
              <w:rPr>
                <w:szCs w:val="24"/>
              </w:rPr>
            </w:pPr>
            <w:r>
              <w:rPr>
                <w:rFonts w:cs="Calibri"/>
                <w:color w:val="000000"/>
                <w:szCs w:val="24"/>
              </w:rPr>
              <w:t>SSN v</w:t>
            </w:r>
            <w:r w:rsidRPr="0062572A">
              <w:rPr>
                <w:rFonts w:cs="Calibri"/>
                <w:color w:val="000000"/>
                <w:szCs w:val="24"/>
              </w:rPr>
              <w:t>erification</w:t>
            </w:r>
          </w:p>
        </w:tc>
        <w:tc>
          <w:tcPr>
            <w:tcW w:w="5940" w:type="dxa"/>
            <w:vAlign w:val="center"/>
          </w:tcPr>
          <w:p w14:paraId="0C7A8CBD" w14:textId="77777777" w:rsidR="0007600E" w:rsidRPr="0062572A" w:rsidRDefault="0007600E" w:rsidP="0007600E">
            <w:pPr>
              <w:spacing w:after="0"/>
              <w:ind w:left="0"/>
              <w:rPr>
                <w:szCs w:val="24"/>
              </w:rPr>
            </w:pPr>
            <w:r>
              <w:rPr>
                <w:rFonts w:cs="Calibri"/>
                <w:color w:val="000000"/>
                <w:szCs w:val="24"/>
              </w:rPr>
              <w:t>Verify SSNs on new Texas claims or individual changes (DOB, etc.) sent to HHSC (Texas’ Hub to SSA) SVES format</w:t>
            </w:r>
          </w:p>
        </w:tc>
      </w:tr>
      <w:tr w:rsidR="0007600E" w:rsidRPr="0062572A" w14:paraId="760944E4" w14:textId="77777777" w:rsidTr="005204B9">
        <w:tc>
          <w:tcPr>
            <w:tcW w:w="877" w:type="dxa"/>
            <w:vAlign w:val="center"/>
          </w:tcPr>
          <w:p w14:paraId="4A629F86" w14:textId="3554BF0F" w:rsidR="0007600E" w:rsidRPr="0062572A" w:rsidRDefault="0007600E" w:rsidP="0007600E">
            <w:pPr>
              <w:spacing w:after="0"/>
              <w:ind w:left="0"/>
              <w:jc w:val="center"/>
              <w:rPr>
                <w:szCs w:val="24"/>
              </w:rPr>
            </w:pPr>
            <w:r>
              <w:rPr>
                <w:szCs w:val="22"/>
              </w:rPr>
              <w:t>74</w:t>
            </w:r>
          </w:p>
        </w:tc>
        <w:tc>
          <w:tcPr>
            <w:tcW w:w="1530" w:type="dxa"/>
            <w:vAlign w:val="center"/>
          </w:tcPr>
          <w:p w14:paraId="448EB02C" w14:textId="77777777" w:rsidR="0007600E" w:rsidRPr="0062572A" w:rsidRDefault="0007600E" w:rsidP="0007600E">
            <w:pPr>
              <w:spacing w:after="0"/>
              <w:ind w:left="0"/>
              <w:rPr>
                <w:szCs w:val="24"/>
              </w:rPr>
            </w:pPr>
            <w:r w:rsidRPr="0062572A">
              <w:rPr>
                <w:rFonts w:cs="Calibri"/>
                <w:color w:val="000000"/>
                <w:szCs w:val="24"/>
              </w:rPr>
              <w:t>Send</w:t>
            </w:r>
          </w:p>
        </w:tc>
        <w:tc>
          <w:tcPr>
            <w:tcW w:w="1620" w:type="dxa"/>
            <w:vAlign w:val="center"/>
          </w:tcPr>
          <w:p w14:paraId="31094F51" w14:textId="77777777" w:rsidR="0007600E" w:rsidRPr="0062572A" w:rsidRDefault="0007600E" w:rsidP="0007600E">
            <w:pPr>
              <w:spacing w:after="0"/>
              <w:ind w:left="0"/>
              <w:rPr>
                <w:szCs w:val="24"/>
              </w:rPr>
            </w:pPr>
            <w:r w:rsidRPr="0062572A">
              <w:rPr>
                <w:rFonts w:cs="Calibri"/>
                <w:color w:val="000000"/>
                <w:szCs w:val="24"/>
              </w:rPr>
              <w:t>Batch / Quarterly</w:t>
            </w:r>
          </w:p>
        </w:tc>
        <w:tc>
          <w:tcPr>
            <w:tcW w:w="2430" w:type="dxa"/>
            <w:vAlign w:val="center"/>
          </w:tcPr>
          <w:p w14:paraId="4D34AD44" w14:textId="5D71E7DD" w:rsidR="0007600E" w:rsidRPr="0062572A" w:rsidRDefault="0007600E" w:rsidP="0007600E">
            <w:pPr>
              <w:spacing w:after="0"/>
              <w:ind w:left="0"/>
              <w:rPr>
                <w:szCs w:val="24"/>
              </w:rPr>
            </w:pPr>
            <w:r>
              <w:rPr>
                <w:rFonts w:cs="Calibri"/>
                <w:color w:val="000000"/>
                <w:szCs w:val="22"/>
              </w:rPr>
              <w:t>HHSC</w:t>
            </w:r>
          </w:p>
        </w:tc>
        <w:tc>
          <w:tcPr>
            <w:tcW w:w="2160" w:type="dxa"/>
            <w:vAlign w:val="center"/>
          </w:tcPr>
          <w:p w14:paraId="78E7F78B" w14:textId="621F841D" w:rsidR="0007600E" w:rsidRPr="0062572A" w:rsidRDefault="0007600E" w:rsidP="0007600E">
            <w:pPr>
              <w:spacing w:after="0"/>
              <w:ind w:left="0"/>
              <w:rPr>
                <w:szCs w:val="24"/>
              </w:rPr>
            </w:pPr>
            <w:r>
              <w:rPr>
                <w:rFonts w:cs="Calibri"/>
                <w:color w:val="000000"/>
                <w:szCs w:val="24"/>
              </w:rPr>
              <w:t>New hire benefit extract</w:t>
            </w:r>
            <w:r w:rsidRPr="0062572A">
              <w:rPr>
                <w:rFonts w:cs="Calibri"/>
                <w:color w:val="FF0000"/>
                <w:szCs w:val="24"/>
              </w:rPr>
              <w:t xml:space="preserve"> </w:t>
            </w:r>
          </w:p>
        </w:tc>
        <w:tc>
          <w:tcPr>
            <w:tcW w:w="5940" w:type="dxa"/>
            <w:vAlign w:val="center"/>
          </w:tcPr>
          <w:p w14:paraId="76109AA3" w14:textId="77777777" w:rsidR="0007600E" w:rsidRPr="0062572A" w:rsidRDefault="0007600E" w:rsidP="0007600E">
            <w:pPr>
              <w:spacing w:after="0"/>
              <w:ind w:left="0"/>
              <w:rPr>
                <w:szCs w:val="24"/>
              </w:rPr>
            </w:pPr>
            <w:r>
              <w:rPr>
                <w:rFonts w:cs="Calibri"/>
                <w:color w:val="000000"/>
                <w:szCs w:val="24"/>
              </w:rPr>
              <w:t>Benefits information extra for new hire child support enforcement and DFPS</w:t>
            </w:r>
          </w:p>
        </w:tc>
      </w:tr>
      <w:tr w:rsidR="0007600E" w:rsidRPr="0062572A" w14:paraId="2BBB5482" w14:textId="77777777" w:rsidTr="005204B9">
        <w:tc>
          <w:tcPr>
            <w:tcW w:w="877" w:type="dxa"/>
            <w:vAlign w:val="center"/>
          </w:tcPr>
          <w:p w14:paraId="5CA4CB66" w14:textId="1F722D93" w:rsidR="0007600E" w:rsidRPr="0062572A" w:rsidRDefault="0007600E" w:rsidP="0007600E">
            <w:pPr>
              <w:spacing w:after="0"/>
              <w:ind w:left="0"/>
              <w:jc w:val="center"/>
              <w:rPr>
                <w:rFonts w:cs="Calibri"/>
                <w:color w:val="000000"/>
                <w:szCs w:val="24"/>
              </w:rPr>
            </w:pPr>
            <w:r>
              <w:rPr>
                <w:color w:val="000000"/>
                <w:szCs w:val="22"/>
              </w:rPr>
              <w:t>75</w:t>
            </w:r>
          </w:p>
        </w:tc>
        <w:tc>
          <w:tcPr>
            <w:tcW w:w="1530" w:type="dxa"/>
            <w:vAlign w:val="center"/>
          </w:tcPr>
          <w:p w14:paraId="391BE98A" w14:textId="77777777" w:rsidR="0007600E" w:rsidRPr="0062572A" w:rsidRDefault="0007600E" w:rsidP="0007600E">
            <w:pPr>
              <w:spacing w:after="0"/>
              <w:ind w:left="0"/>
              <w:rPr>
                <w:szCs w:val="24"/>
              </w:rPr>
            </w:pPr>
            <w:r w:rsidRPr="0062572A">
              <w:rPr>
                <w:rFonts w:cs="Calibri"/>
                <w:color w:val="000000"/>
                <w:szCs w:val="24"/>
              </w:rPr>
              <w:t>Receive</w:t>
            </w:r>
          </w:p>
        </w:tc>
        <w:tc>
          <w:tcPr>
            <w:tcW w:w="1620" w:type="dxa"/>
            <w:vAlign w:val="center"/>
          </w:tcPr>
          <w:p w14:paraId="7EDB12AB" w14:textId="77777777" w:rsidR="0007600E" w:rsidRPr="0062572A" w:rsidRDefault="0007600E" w:rsidP="0007600E">
            <w:pPr>
              <w:spacing w:after="0"/>
              <w:ind w:left="0"/>
              <w:rPr>
                <w:szCs w:val="24"/>
              </w:rPr>
            </w:pPr>
            <w:r w:rsidRPr="0062572A">
              <w:rPr>
                <w:rFonts w:cs="Calibri"/>
                <w:color w:val="000000"/>
                <w:szCs w:val="24"/>
              </w:rPr>
              <w:t>Batch / Weekly</w:t>
            </w:r>
          </w:p>
        </w:tc>
        <w:tc>
          <w:tcPr>
            <w:tcW w:w="2430" w:type="dxa"/>
            <w:vAlign w:val="center"/>
          </w:tcPr>
          <w:p w14:paraId="35682B86" w14:textId="77777777" w:rsidR="0007600E" w:rsidRPr="0062572A" w:rsidRDefault="0007600E" w:rsidP="0007600E">
            <w:pPr>
              <w:spacing w:after="0"/>
              <w:ind w:left="0"/>
              <w:rPr>
                <w:szCs w:val="24"/>
              </w:rPr>
            </w:pPr>
            <w:r w:rsidRPr="0062572A">
              <w:rPr>
                <w:rFonts w:cs="Calibri"/>
                <w:color w:val="000000"/>
                <w:szCs w:val="24"/>
              </w:rPr>
              <w:t>TX Office of Attorney General</w:t>
            </w:r>
          </w:p>
        </w:tc>
        <w:tc>
          <w:tcPr>
            <w:tcW w:w="2160" w:type="dxa"/>
            <w:vAlign w:val="center"/>
          </w:tcPr>
          <w:p w14:paraId="785A81D4" w14:textId="5C6D0CC5" w:rsidR="0007600E" w:rsidRPr="0062572A" w:rsidRDefault="0007600E" w:rsidP="0007600E">
            <w:pPr>
              <w:spacing w:after="0"/>
              <w:ind w:left="0"/>
              <w:rPr>
                <w:szCs w:val="24"/>
              </w:rPr>
            </w:pPr>
            <w:r w:rsidRPr="0062572A">
              <w:rPr>
                <w:rFonts w:cs="Calibri"/>
                <w:color w:val="000000"/>
                <w:szCs w:val="24"/>
              </w:rPr>
              <w:t>OAG CS intercept load</w:t>
            </w:r>
          </w:p>
        </w:tc>
        <w:tc>
          <w:tcPr>
            <w:tcW w:w="5940" w:type="dxa"/>
            <w:vAlign w:val="center"/>
          </w:tcPr>
          <w:p w14:paraId="43338D2A" w14:textId="53063E05" w:rsidR="0007600E" w:rsidRPr="0062572A" w:rsidRDefault="0007600E" w:rsidP="0007600E">
            <w:pPr>
              <w:spacing w:after="0"/>
              <w:ind w:left="0"/>
              <w:rPr>
                <w:szCs w:val="24"/>
              </w:rPr>
            </w:pPr>
            <w:r>
              <w:rPr>
                <w:rFonts w:cs="Calibri"/>
                <w:color w:val="000000"/>
                <w:szCs w:val="24"/>
              </w:rPr>
              <w:t>Child s</w:t>
            </w:r>
            <w:r w:rsidRPr="0062572A">
              <w:rPr>
                <w:rFonts w:cs="Calibri"/>
                <w:color w:val="000000"/>
                <w:szCs w:val="24"/>
              </w:rPr>
              <w:t xml:space="preserve">upport payment intercept data to be used in the UI Benefits weekly run on Friday. </w:t>
            </w:r>
          </w:p>
        </w:tc>
      </w:tr>
      <w:tr w:rsidR="0007600E" w:rsidRPr="0062572A" w14:paraId="4802264D" w14:textId="77777777" w:rsidTr="005204B9">
        <w:tc>
          <w:tcPr>
            <w:tcW w:w="877" w:type="dxa"/>
            <w:vAlign w:val="center"/>
          </w:tcPr>
          <w:p w14:paraId="4CA5C74F" w14:textId="2E5A63FF" w:rsidR="0007600E" w:rsidRPr="0062572A" w:rsidRDefault="0007600E" w:rsidP="0007600E">
            <w:pPr>
              <w:spacing w:after="0"/>
              <w:ind w:left="0"/>
              <w:jc w:val="center"/>
              <w:rPr>
                <w:szCs w:val="24"/>
              </w:rPr>
            </w:pPr>
            <w:r>
              <w:rPr>
                <w:szCs w:val="22"/>
              </w:rPr>
              <w:t>76</w:t>
            </w:r>
          </w:p>
        </w:tc>
        <w:tc>
          <w:tcPr>
            <w:tcW w:w="1530" w:type="dxa"/>
            <w:vAlign w:val="center"/>
          </w:tcPr>
          <w:p w14:paraId="0EDBF180" w14:textId="77777777" w:rsidR="0007600E" w:rsidRPr="0062572A" w:rsidRDefault="0007600E" w:rsidP="0007600E">
            <w:pPr>
              <w:spacing w:after="0"/>
              <w:ind w:left="0"/>
              <w:rPr>
                <w:szCs w:val="24"/>
              </w:rPr>
            </w:pPr>
            <w:r w:rsidRPr="0062572A">
              <w:rPr>
                <w:rFonts w:cs="Calibri"/>
                <w:color w:val="000000"/>
                <w:szCs w:val="24"/>
              </w:rPr>
              <w:t>Send</w:t>
            </w:r>
          </w:p>
        </w:tc>
        <w:tc>
          <w:tcPr>
            <w:tcW w:w="1620" w:type="dxa"/>
            <w:vAlign w:val="center"/>
          </w:tcPr>
          <w:p w14:paraId="26CC8023" w14:textId="77777777" w:rsidR="0007600E" w:rsidRPr="0062572A" w:rsidRDefault="0007600E" w:rsidP="0007600E">
            <w:pPr>
              <w:spacing w:after="0"/>
              <w:ind w:left="0"/>
              <w:rPr>
                <w:szCs w:val="24"/>
              </w:rPr>
            </w:pPr>
            <w:r w:rsidRPr="0062572A">
              <w:rPr>
                <w:rFonts w:cs="Calibri"/>
                <w:color w:val="000000"/>
                <w:szCs w:val="24"/>
              </w:rPr>
              <w:t>Batch / Quarterly</w:t>
            </w:r>
          </w:p>
        </w:tc>
        <w:tc>
          <w:tcPr>
            <w:tcW w:w="2430" w:type="dxa"/>
            <w:vAlign w:val="center"/>
          </w:tcPr>
          <w:p w14:paraId="0E5C80E1" w14:textId="77777777" w:rsidR="0007600E" w:rsidRPr="0062572A" w:rsidRDefault="0007600E" w:rsidP="0007600E">
            <w:pPr>
              <w:spacing w:after="0"/>
              <w:ind w:left="0"/>
              <w:rPr>
                <w:szCs w:val="24"/>
              </w:rPr>
            </w:pPr>
            <w:r w:rsidRPr="0062572A">
              <w:rPr>
                <w:rFonts w:cs="Calibri"/>
                <w:color w:val="000000"/>
                <w:szCs w:val="24"/>
              </w:rPr>
              <w:t>TX Office of Attorney General</w:t>
            </w:r>
          </w:p>
        </w:tc>
        <w:tc>
          <w:tcPr>
            <w:tcW w:w="2160" w:type="dxa"/>
            <w:vAlign w:val="center"/>
          </w:tcPr>
          <w:p w14:paraId="0DC8FA21" w14:textId="51783F78" w:rsidR="0007600E" w:rsidRPr="0062572A" w:rsidRDefault="0007600E" w:rsidP="0007600E">
            <w:pPr>
              <w:spacing w:after="0"/>
              <w:ind w:left="0"/>
              <w:rPr>
                <w:szCs w:val="24"/>
              </w:rPr>
            </w:pPr>
            <w:r w:rsidRPr="0062572A">
              <w:rPr>
                <w:rFonts w:cs="Calibri"/>
                <w:color w:val="000000"/>
                <w:szCs w:val="24"/>
              </w:rPr>
              <w:t>OAG CS new hire wage extract</w:t>
            </w:r>
          </w:p>
        </w:tc>
        <w:tc>
          <w:tcPr>
            <w:tcW w:w="5940" w:type="dxa"/>
            <w:vAlign w:val="center"/>
          </w:tcPr>
          <w:p w14:paraId="723074EA" w14:textId="77777777" w:rsidR="0007600E" w:rsidRPr="0062572A" w:rsidRDefault="0007600E" w:rsidP="0007600E">
            <w:pPr>
              <w:spacing w:after="0"/>
              <w:ind w:left="0"/>
              <w:rPr>
                <w:szCs w:val="24"/>
              </w:rPr>
            </w:pPr>
            <w:r>
              <w:rPr>
                <w:rFonts w:cs="Calibri"/>
                <w:color w:val="000000"/>
                <w:szCs w:val="24"/>
              </w:rPr>
              <w:t>Extract of quarterly wages for OAG</w:t>
            </w:r>
          </w:p>
        </w:tc>
      </w:tr>
      <w:tr w:rsidR="0007600E" w:rsidRPr="0062572A" w14:paraId="585DA902" w14:textId="77777777" w:rsidTr="005204B9">
        <w:tc>
          <w:tcPr>
            <w:tcW w:w="877" w:type="dxa"/>
            <w:vAlign w:val="center"/>
          </w:tcPr>
          <w:p w14:paraId="15842407" w14:textId="0C433A34" w:rsidR="0007600E" w:rsidRPr="0062572A" w:rsidRDefault="0007600E" w:rsidP="0007600E">
            <w:pPr>
              <w:spacing w:after="0"/>
              <w:ind w:left="0"/>
              <w:jc w:val="center"/>
              <w:rPr>
                <w:rFonts w:cs="Calibri"/>
                <w:color w:val="000000"/>
                <w:szCs w:val="24"/>
              </w:rPr>
            </w:pPr>
            <w:r>
              <w:rPr>
                <w:color w:val="000000"/>
                <w:szCs w:val="22"/>
              </w:rPr>
              <w:t>77</w:t>
            </w:r>
          </w:p>
        </w:tc>
        <w:tc>
          <w:tcPr>
            <w:tcW w:w="1530" w:type="dxa"/>
            <w:vAlign w:val="center"/>
          </w:tcPr>
          <w:p w14:paraId="0966E209" w14:textId="77777777" w:rsidR="0007600E" w:rsidRPr="0062572A" w:rsidRDefault="0007600E" w:rsidP="0007600E">
            <w:pPr>
              <w:spacing w:after="0"/>
              <w:ind w:left="0"/>
              <w:rPr>
                <w:szCs w:val="24"/>
              </w:rPr>
            </w:pPr>
            <w:r w:rsidRPr="0062572A">
              <w:rPr>
                <w:rFonts w:cs="Calibri"/>
                <w:color w:val="000000"/>
                <w:szCs w:val="24"/>
              </w:rPr>
              <w:t>Send</w:t>
            </w:r>
          </w:p>
        </w:tc>
        <w:tc>
          <w:tcPr>
            <w:tcW w:w="1620" w:type="dxa"/>
            <w:vAlign w:val="center"/>
          </w:tcPr>
          <w:p w14:paraId="4AFA1D4E" w14:textId="77777777" w:rsidR="0007600E" w:rsidRPr="0062572A" w:rsidRDefault="0007600E" w:rsidP="0007600E">
            <w:pPr>
              <w:spacing w:after="0"/>
              <w:ind w:left="0"/>
              <w:rPr>
                <w:szCs w:val="24"/>
              </w:rPr>
            </w:pPr>
            <w:r w:rsidRPr="0062572A">
              <w:rPr>
                <w:rFonts w:cs="Calibri"/>
                <w:color w:val="000000"/>
                <w:szCs w:val="24"/>
              </w:rPr>
              <w:t>Batch / Daily</w:t>
            </w:r>
          </w:p>
        </w:tc>
        <w:tc>
          <w:tcPr>
            <w:tcW w:w="2430" w:type="dxa"/>
            <w:vAlign w:val="center"/>
          </w:tcPr>
          <w:p w14:paraId="78430F5A" w14:textId="77777777" w:rsidR="0007600E" w:rsidRPr="0062572A" w:rsidRDefault="0007600E" w:rsidP="0007600E">
            <w:pPr>
              <w:spacing w:after="0"/>
              <w:ind w:left="0"/>
              <w:rPr>
                <w:szCs w:val="24"/>
              </w:rPr>
            </w:pPr>
            <w:r w:rsidRPr="0062572A">
              <w:rPr>
                <w:rFonts w:cs="Calibri"/>
                <w:color w:val="000000"/>
                <w:szCs w:val="24"/>
              </w:rPr>
              <w:t>TX Office of Attorney General</w:t>
            </w:r>
          </w:p>
        </w:tc>
        <w:tc>
          <w:tcPr>
            <w:tcW w:w="2160" w:type="dxa"/>
            <w:vAlign w:val="center"/>
          </w:tcPr>
          <w:p w14:paraId="3FB0DD9E" w14:textId="0807E1A5" w:rsidR="0007600E" w:rsidRPr="0062572A" w:rsidRDefault="0007600E" w:rsidP="0007600E">
            <w:pPr>
              <w:spacing w:after="0"/>
              <w:ind w:left="0"/>
              <w:rPr>
                <w:szCs w:val="24"/>
              </w:rPr>
            </w:pPr>
            <w:r w:rsidRPr="0062572A">
              <w:rPr>
                <w:rFonts w:cs="Calibri"/>
                <w:color w:val="000000"/>
                <w:szCs w:val="24"/>
              </w:rPr>
              <w:t>OAG CS payment intercept</w:t>
            </w:r>
          </w:p>
        </w:tc>
        <w:tc>
          <w:tcPr>
            <w:tcW w:w="5940" w:type="dxa"/>
            <w:vAlign w:val="center"/>
          </w:tcPr>
          <w:p w14:paraId="7F32BBDA" w14:textId="77777777" w:rsidR="0007600E" w:rsidRPr="0062572A" w:rsidRDefault="0007600E" w:rsidP="0007600E">
            <w:pPr>
              <w:spacing w:after="0"/>
              <w:ind w:left="0"/>
              <w:rPr>
                <w:szCs w:val="24"/>
              </w:rPr>
            </w:pPr>
            <w:r>
              <w:rPr>
                <w:rFonts w:cs="Calibri"/>
                <w:color w:val="000000"/>
                <w:szCs w:val="24"/>
              </w:rPr>
              <w:t>Daily child support intercept detail for OAG</w:t>
            </w:r>
            <w:r w:rsidRPr="0062572A">
              <w:rPr>
                <w:rFonts w:cs="Calibri"/>
                <w:color w:val="000000"/>
                <w:szCs w:val="24"/>
              </w:rPr>
              <w:t xml:space="preserve"> </w:t>
            </w:r>
          </w:p>
        </w:tc>
      </w:tr>
      <w:tr w:rsidR="0007600E" w:rsidRPr="0062572A" w14:paraId="66CE8698" w14:textId="77777777" w:rsidTr="005204B9">
        <w:tc>
          <w:tcPr>
            <w:tcW w:w="877" w:type="dxa"/>
            <w:vAlign w:val="center"/>
          </w:tcPr>
          <w:p w14:paraId="1C2993A9" w14:textId="08564FBC" w:rsidR="0007600E" w:rsidRPr="0062572A" w:rsidRDefault="0007600E" w:rsidP="0007600E">
            <w:pPr>
              <w:spacing w:after="0"/>
              <w:ind w:left="0"/>
              <w:jc w:val="center"/>
              <w:rPr>
                <w:szCs w:val="24"/>
              </w:rPr>
            </w:pPr>
            <w:r>
              <w:rPr>
                <w:szCs w:val="22"/>
              </w:rPr>
              <w:t>78</w:t>
            </w:r>
          </w:p>
        </w:tc>
        <w:tc>
          <w:tcPr>
            <w:tcW w:w="1530" w:type="dxa"/>
            <w:vAlign w:val="center"/>
          </w:tcPr>
          <w:p w14:paraId="02127D62" w14:textId="77777777" w:rsidR="0007600E" w:rsidRPr="0062572A" w:rsidRDefault="0007600E" w:rsidP="0007600E">
            <w:pPr>
              <w:spacing w:after="0"/>
              <w:ind w:left="0"/>
              <w:rPr>
                <w:szCs w:val="24"/>
              </w:rPr>
            </w:pPr>
            <w:r w:rsidRPr="0062572A">
              <w:rPr>
                <w:rFonts w:cs="Calibri"/>
                <w:color w:val="000000"/>
                <w:szCs w:val="24"/>
              </w:rPr>
              <w:t>Receive</w:t>
            </w:r>
          </w:p>
        </w:tc>
        <w:tc>
          <w:tcPr>
            <w:tcW w:w="1620" w:type="dxa"/>
            <w:vAlign w:val="center"/>
          </w:tcPr>
          <w:p w14:paraId="1A60DAEA" w14:textId="77777777" w:rsidR="0007600E" w:rsidRPr="0062572A" w:rsidRDefault="0007600E" w:rsidP="0007600E">
            <w:pPr>
              <w:spacing w:after="0"/>
              <w:ind w:left="0"/>
              <w:rPr>
                <w:color w:val="FF0000"/>
                <w:szCs w:val="24"/>
              </w:rPr>
            </w:pPr>
            <w:r w:rsidRPr="0062572A">
              <w:rPr>
                <w:rFonts w:cs="Calibri"/>
                <w:color w:val="000000"/>
                <w:szCs w:val="24"/>
              </w:rPr>
              <w:t>Batch / Daily</w:t>
            </w:r>
          </w:p>
        </w:tc>
        <w:tc>
          <w:tcPr>
            <w:tcW w:w="2430" w:type="dxa"/>
            <w:vAlign w:val="center"/>
          </w:tcPr>
          <w:p w14:paraId="10BB1356" w14:textId="77777777" w:rsidR="0007600E" w:rsidRPr="0062572A" w:rsidRDefault="0007600E" w:rsidP="0007600E">
            <w:pPr>
              <w:spacing w:after="0"/>
              <w:ind w:left="0"/>
              <w:rPr>
                <w:szCs w:val="24"/>
              </w:rPr>
            </w:pPr>
            <w:r w:rsidRPr="0062572A">
              <w:rPr>
                <w:rFonts w:cs="Calibri"/>
                <w:color w:val="000000"/>
                <w:szCs w:val="24"/>
              </w:rPr>
              <w:t>TX Office of Attorney General</w:t>
            </w:r>
          </w:p>
        </w:tc>
        <w:tc>
          <w:tcPr>
            <w:tcW w:w="2160" w:type="dxa"/>
            <w:vAlign w:val="center"/>
          </w:tcPr>
          <w:p w14:paraId="73E189EE" w14:textId="54015EFC" w:rsidR="0007600E" w:rsidRPr="0062572A" w:rsidRDefault="0007600E" w:rsidP="0007600E">
            <w:pPr>
              <w:spacing w:after="0"/>
              <w:ind w:left="0"/>
              <w:rPr>
                <w:color w:val="FF0000"/>
                <w:szCs w:val="24"/>
              </w:rPr>
            </w:pPr>
            <w:r w:rsidRPr="0062572A">
              <w:rPr>
                <w:rFonts w:cs="Calibri"/>
                <w:color w:val="000000"/>
                <w:szCs w:val="24"/>
              </w:rPr>
              <w:t>OAG daily new hire audit</w:t>
            </w:r>
          </w:p>
        </w:tc>
        <w:tc>
          <w:tcPr>
            <w:tcW w:w="5940" w:type="dxa"/>
            <w:vAlign w:val="center"/>
          </w:tcPr>
          <w:p w14:paraId="2E755870" w14:textId="77777777" w:rsidR="0007600E" w:rsidRPr="0062572A" w:rsidRDefault="0007600E" w:rsidP="0007600E">
            <w:pPr>
              <w:spacing w:after="0"/>
              <w:ind w:left="0"/>
              <w:rPr>
                <w:color w:val="FF0000"/>
                <w:szCs w:val="24"/>
              </w:rPr>
            </w:pPr>
            <w:r w:rsidRPr="0062572A">
              <w:rPr>
                <w:rFonts w:cs="Calibri"/>
                <w:color w:val="000000"/>
                <w:szCs w:val="24"/>
              </w:rPr>
              <w:t xml:space="preserve">New hire audit </w:t>
            </w:r>
          </w:p>
        </w:tc>
      </w:tr>
      <w:tr w:rsidR="0007600E" w:rsidRPr="0062572A" w14:paraId="75617656" w14:textId="77777777" w:rsidTr="005204B9">
        <w:tc>
          <w:tcPr>
            <w:tcW w:w="877" w:type="dxa"/>
            <w:vAlign w:val="center"/>
          </w:tcPr>
          <w:p w14:paraId="1C0E611E" w14:textId="3D689C4B" w:rsidR="0007600E" w:rsidRPr="0062572A" w:rsidRDefault="0007600E" w:rsidP="0007600E">
            <w:pPr>
              <w:spacing w:after="0"/>
              <w:ind w:left="0"/>
              <w:jc w:val="center"/>
              <w:rPr>
                <w:szCs w:val="24"/>
              </w:rPr>
            </w:pPr>
            <w:r>
              <w:rPr>
                <w:color w:val="000000"/>
                <w:szCs w:val="22"/>
              </w:rPr>
              <w:t>79</w:t>
            </w:r>
          </w:p>
        </w:tc>
        <w:tc>
          <w:tcPr>
            <w:tcW w:w="1530" w:type="dxa"/>
            <w:vAlign w:val="center"/>
          </w:tcPr>
          <w:p w14:paraId="6EB084F3" w14:textId="77777777" w:rsidR="0007600E" w:rsidRPr="0062572A" w:rsidRDefault="0007600E" w:rsidP="0007600E">
            <w:pPr>
              <w:spacing w:after="0"/>
              <w:ind w:left="0"/>
              <w:rPr>
                <w:szCs w:val="24"/>
              </w:rPr>
            </w:pPr>
            <w:r w:rsidRPr="0062572A">
              <w:rPr>
                <w:rFonts w:cs="Calibri"/>
                <w:color w:val="000000"/>
                <w:szCs w:val="24"/>
              </w:rPr>
              <w:t>Receive</w:t>
            </w:r>
          </w:p>
        </w:tc>
        <w:tc>
          <w:tcPr>
            <w:tcW w:w="1620" w:type="dxa"/>
            <w:vAlign w:val="center"/>
          </w:tcPr>
          <w:p w14:paraId="04E9624E" w14:textId="77777777" w:rsidR="0007600E" w:rsidRPr="0062572A" w:rsidRDefault="0007600E" w:rsidP="0007600E">
            <w:pPr>
              <w:spacing w:after="0"/>
              <w:ind w:left="0"/>
              <w:rPr>
                <w:szCs w:val="24"/>
              </w:rPr>
            </w:pPr>
            <w:r w:rsidRPr="0062572A">
              <w:rPr>
                <w:rFonts w:cs="Calibri"/>
                <w:color w:val="000000"/>
                <w:szCs w:val="24"/>
              </w:rPr>
              <w:t>Batch / Weekly</w:t>
            </w:r>
          </w:p>
        </w:tc>
        <w:tc>
          <w:tcPr>
            <w:tcW w:w="2430" w:type="dxa"/>
            <w:vAlign w:val="center"/>
          </w:tcPr>
          <w:p w14:paraId="086CFFEA" w14:textId="77777777" w:rsidR="0007600E" w:rsidRPr="0062572A" w:rsidRDefault="0007600E" w:rsidP="0007600E">
            <w:pPr>
              <w:spacing w:after="0"/>
              <w:ind w:left="0"/>
              <w:rPr>
                <w:szCs w:val="24"/>
              </w:rPr>
            </w:pPr>
            <w:r w:rsidRPr="0062572A">
              <w:rPr>
                <w:rFonts w:cs="Calibri"/>
                <w:color w:val="000000"/>
                <w:szCs w:val="24"/>
              </w:rPr>
              <w:t>TX Office of Attorney General</w:t>
            </w:r>
          </w:p>
        </w:tc>
        <w:tc>
          <w:tcPr>
            <w:tcW w:w="2160" w:type="dxa"/>
            <w:vAlign w:val="center"/>
          </w:tcPr>
          <w:p w14:paraId="58A2629D" w14:textId="63AC6884" w:rsidR="0007600E" w:rsidRPr="0062572A" w:rsidRDefault="0007600E" w:rsidP="0007600E">
            <w:pPr>
              <w:spacing w:after="0"/>
              <w:ind w:left="0"/>
              <w:rPr>
                <w:szCs w:val="24"/>
              </w:rPr>
            </w:pPr>
            <w:r w:rsidRPr="0062572A">
              <w:rPr>
                <w:rFonts w:cs="Calibri"/>
                <w:color w:val="000000"/>
                <w:szCs w:val="24"/>
              </w:rPr>
              <w:t>OAG new hire</w:t>
            </w:r>
          </w:p>
        </w:tc>
        <w:tc>
          <w:tcPr>
            <w:tcW w:w="5940" w:type="dxa"/>
            <w:vAlign w:val="center"/>
          </w:tcPr>
          <w:p w14:paraId="68ADFA1F" w14:textId="77777777" w:rsidR="0007600E" w:rsidRPr="0062572A" w:rsidRDefault="0007600E" w:rsidP="0007600E">
            <w:pPr>
              <w:spacing w:after="0"/>
              <w:ind w:left="0"/>
              <w:rPr>
                <w:szCs w:val="24"/>
              </w:rPr>
            </w:pPr>
            <w:r>
              <w:rPr>
                <w:rFonts w:cs="Calibri"/>
                <w:color w:val="000000"/>
                <w:szCs w:val="24"/>
              </w:rPr>
              <w:t>State new hire data</w:t>
            </w:r>
          </w:p>
        </w:tc>
      </w:tr>
      <w:tr w:rsidR="0007600E" w:rsidRPr="0062572A" w14:paraId="426074A2" w14:textId="77777777" w:rsidTr="005204B9">
        <w:tc>
          <w:tcPr>
            <w:tcW w:w="877" w:type="dxa"/>
            <w:vAlign w:val="center"/>
          </w:tcPr>
          <w:p w14:paraId="3705C3D8" w14:textId="5D9168C4" w:rsidR="0007600E" w:rsidRPr="0062572A" w:rsidRDefault="0007600E" w:rsidP="0007600E">
            <w:pPr>
              <w:spacing w:after="0"/>
              <w:ind w:left="0"/>
              <w:jc w:val="center"/>
              <w:rPr>
                <w:szCs w:val="24"/>
              </w:rPr>
            </w:pPr>
            <w:r>
              <w:rPr>
                <w:szCs w:val="22"/>
              </w:rPr>
              <w:t>80</w:t>
            </w:r>
          </w:p>
        </w:tc>
        <w:tc>
          <w:tcPr>
            <w:tcW w:w="1530" w:type="dxa"/>
            <w:vAlign w:val="center"/>
          </w:tcPr>
          <w:p w14:paraId="73370005" w14:textId="77777777" w:rsidR="0007600E" w:rsidRPr="0062572A" w:rsidRDefault="0007600E" w:rsidP="0007600E">
            <w:pPr>
              <w:spacing w:after="0"/>
              <w:ind w:left="0"/>
              <w:rPr>
                <w:szCs w:val="24"/>
              </w:rPr>
            </w:pPr>
            <w:r w:rsidRPr="0062572A">
              <w:rPr>
                <w:rFonts w:cs="Calibri"/>
                <w:color w:val="000000"/>
                <w:szCs w:val="24"/>
              </w:rPr>
              <w:t>Send</w:t>
            </w:r>
          </w:p>
        </w:tc>
        <w:tc>
          <w:tcPr>
            <w:tcW w:w="1620" w:type="dxa"/>
            <w:vAlign w:val="center"/>
          </w:tcPr>
          <w:p w14:paraId="2008B5C1" w14:textId="77777777" w:rsidR="0007600E" w:rsidRPr="0062572A" w:rsidRDefault="0007600E" w:rsidP="0007600E">
            <w:pPr>
              <w:spacing w:after="0"/>
              <w:ind w:left="0"/>
              <w:rPr>
                <w:szCs w:val="24"/>
              </w:rPr>
            </w:pPr>
            <w:r w:rsidRPr="0062572A">
              <w:rPr>
                <w:rFonts w:cs="Calibri"/>
                <w:color w:val="000000"/>
                <w:szCs w:val="24"/>
              </w:rPr>
              <w:t>Online / Annually</w:t>
            </w:r>
          </w:p>
        </w:tc>
        <w:tc>
          <w:tcPr>
            <w:tcW w:w="2430" w:type="dxa"/>
            <w:vAlign w:val="center"/>
          </w:tcPr>
          <w:p w14:paraId="0931835C" w14:textId="77777777" w:rsidR="0007600E" w:rsidRPr="0062572A" w:rsidRDefault="0007600E" w:rsidP="0007600E">
            <w:pPr>
              <w:spacing w:after="0"/>
              <w:ind w:left="0"/>
              <w:rPr>
                <w:szCs w:val="24"/>
              </w:rPr>
            </w:pPr>
            <w:r w:rsidRPr="0062572A">
              <w:rPr>
                <w:rFonts w:cs="Calibri"/>
                <w:color w:val="000000"/>
                <w:szCs w:val="24"/>
              </w:rPr>
              <w:t>TX State Auditor Office</w:t>
            </w:r>
          </w:p>
        </w:tc>
        <w:tc>
          <w:tcPr>
            <w:tcW w:w="2160" w:type="dxa"/>
            <w:vAlign w:val="center"/>
          </w:tcPr>
          <w:p w14:paraId="4B891685" w14:textId="77777777" w:rsidR="0007600E" w:rsidRPr="0062572A" w:rsidRDefault="0007600E" w:rsidP="0007600E">
            <w:pPr>
              <w:spacing w:after="0"/>
              <w:ind w:left="0"/>
              <w:rPr>
                <w:color w:val="FF0000"/>
                <w:szCs w:val="24"/>
              </w:rPr>
            </w:pPr>
            <w:r w:rsidRPr="0062572A">
              <w:rPr>
                <w:rFonts w:cs="Calibri"/>
                <w:color w:val="000000"/>
                <w:szCs w:val="24"/>
              </w:rPr>
              <w:t>Annual Fiscal 1099-G to State Auditor Office</w:t>
            </w:r>
          </w:p>
        </w:tc>
        <w:tc>
          <w:tcPr>
            <w:tcW w:w="5940" w:type="dxa"/>
            <w:vAlign w:val="center"/>
          </w:tcPr>
          <w:p w14:paraId="6531CBB3" w14:textId="77777777" w:rsidR="0007600E" w:rsidRPr="0062572A" w:rsidRDefault="0007600E" w:rsidP="0007600E">
            <w:pPr>
              <w:spacing w:after="0"/>
              <w:ind w:left="0"/>
              <w:rPr>
                <w:szCs w:val="24"/>
              </w:rPr>
            </w:pPr>
            <w:r>
              <w:rPr>
                <w:rFonts w:cs="Calibri"/>
                <w:color w:val="000000"/>
                <w:szCs w:val="24"/>
              </w:rPr>
              <w:t xml:space="preserve">Extract of claimant 1099 data for the fiscal year: </w:t>
            </w:r>
            <w:r w:rsidRPr="0062572A">
              <w:rPr>
                <w:rFonts w:cs="Calibri"/>
                <w:color w:val="000000"/>
                <w:szCs w:val="24"/>
              </w:rPr>
              <w:t xml:space="preserve">Requested by Director of Accounting Services and </w:t>
            </w:r>
            <w:r>
              <w:rPr>
                <w:rFonts w:cs="Calibri"/>
                <w:color w:val="000000"/>
                <w:szCs w:val="24"/>
              </w:rPr>
              <w:t>RTM</w:t>
            </w:r>
          </w:p>
        </w:tc>
      </w:tr>
      <w:tr w:rsidR="0007600E" w:rsidRPr="0062572A" w14:paraId="584C909E" w14:textId="77777777" w:rsidTr="005204B9">
        <w:tc>
          <w:tcPr>
            <w:tcW w:w="877" w:type="dxa"/>
            <w:vAlign w:val="center"/>
          </w:tcPr>
          <w:p w14:paraId="09674631" w14:textId="276ECD6D" w:rsidR="0007600E" w:rsidRPr="0062572A" w:rsidRDefault="0007600E" w:rsidP="0007600E">
            <w:pPr>
              <w:spacing w:after="0"/>
              <w:ind w:left="0"/>
              <w:jc w:val="center"/>
              <w:rPr>
                <w:szCs w:val="24"/>
              </w:rPr>
            </w:pPr>
            <w:r>
              <w:rPr>
                <w:color w:val="000000"/>
                <w:szCs w:val="22"/>
              </w:rPr>
              <w:t>81</w:t>
            </w:r>
          </w:p>
        </w:tc>
        <w:tc>
          <w:tcPr>
            <w:tcW w:w="1530" w:type="dxa"/>
            <w:vAlign w:val="center"/>
          </w:tcPr>
          <w:p w14:paraId="59FC8963" w14:textId="77777777" w:rsidR="0007600E" w:rsidRPr="0062572A" w:rsidRDefault="0007600E" w:rsidP="0007600E">
            <w:pPr>
              <w:spacing w:after="0"/>
              <w:ind w:left="0"/>
              <w:rPr>
                <w:szCs w:val="24"/>
              </w:rPr>
            </w:pPr>
            <w:r w:rsidRPr="0062572A">
              <w:rPr>
                <w:rFonts w:cs="Calibri"/>
                <w:color w:val="000000"/>
                <w:szCs w:val="24"/>
              </w:rPr>
              <w:t>Receive</w:t>
            </w:r>
          </w:p>
        </w:tc>
        <w:tc>
          <w:tcPr>
            <w:tcW w:w="1620" w:type="dxa"/>
            <w:vAlign w:val="center"/>
          </w:tcPr>
          <w:p w14:paraId="482F6EA9" w14:textId="77777777" w:rsidR="0007600E" w:rsidRPr="0062572A" w:rsidRDefault="0007600E" w:rsidP="0007600E">
            <w:pPr>
              <w:spacing w:after="0"/>
              <w:ind w:left="0"/>
              <w:rPr>
                <w:szCs w:val="24"/>
              </w:rPr>
            </w:pPr>
            <w:r w:rsidRPr="0062572A">
              <w:rPr>
                <w:rFonts w:cs="Calibri"/>
                <w:color w:val="000000"/>
                <w:szCs w:val="24"/>
              </w:rPr>
              <w:t>Batch / Weekly</w:t>
            </w:r>
          </w:p>
        </w:tc>
        <w:tc>
          <w:tcPr>
            <w:tcW w:w="2430" w:type="dxa"/>
            <w:vAlign w:val="center"/>
          </w:tcPr>
          <w:p w14:paraId="5EB51F1C" w14:textId="77777777" w:rsidR="0007600E" w:rsidRPr="0062572A" w:rsidRDefault="0007600E" w:rsidP="0007600E">
            <w:pPr>
              <w:spacing w:after="0"/>
              <w:ind w:left="0"/>
              <w:rPr>
                <w:szCs w:val="24"/>
              </w:rPr>
            </w:pPr>
            <w:r w:rsidRPr="0062572A">
              <w:rPr>
                <w:rFonts w:cs="Calibri"/>
                <w:color w:val="000000"/>
                <w:szCs w:val="24"/>
              </w:rPr>
              <w:t>TX Workers Compensation Commission</w:t>
            </w:r>
          </w:p>
        </w:tc>
        <w:tc>
          <w:tcPr>
            <w:tcW w:w="2160" w:type="dxa"/>
            <w:vAlign w:val="center"/>
          </w:tcPr>
          <w:p w14:paraId="65776D94" w14:textId="7ED1E544" w:rsidR="0007600E" w:rsidRPr="0062572A" w:rsidRDefault="0007600E" w:rsidP="0007600E">
            <w:pPr>
              <w:spacing w:after="0"/>
              <w:ind w:left="0"/>
              <w:rPr>
                <w:szCs w:val="24"/>
              </w:rPr>
            </w:pPr>
            <w:r w:rsidRPr="0062572A">
              <w:rPr>
                <w:rFonts w:cs="Calibri"/>
                <w:color w:val="000000"/>
                <w:szCs w:val="24"/>
              </w:rPr>
              <w:t>TWCC crossmatch data retrieval and extract</w:t>
            </w:r>
          </w:p>
        </w:tc>
        <w:tc>
          <w:tcPr>
            <w:tcW w:w="5940" w:type="dxa"/>
            <w:vAlign w:val="center"/>
          </w:tcPr>
          <w:p w14:paraId="31B3C2FF" w14:textId="5974EF22" w:rsidR="0007600E" w:rsidRPr="0062572A" w:rsidRDefault="0007600E" w:rsidP="0007600E">
            <w:pPr>
              <w:spacing w:after="0"/>
              <w:ind w:left="0"/>
              <w:rPr>
                <w:szCs w:val="24"/>
              </w:rPr>
            </w:pPr>
            <w:r w:rsidRPr="0062572A">
              <w:rPr>
                <w:rFonts w:cs="Calibri"/>
                <w:color w:val="000000"/>
                <w:szCs w:val="24"/>
              </w:rPr>
              <w:t>Overpayment fraud</w:t>
            </w:r>
            <w:r>
              <w:rPr>
                <w:rFonts w:cs="Calibri"/>
                <w:color w:val="000000"/>
                <w:szCs w:val="24"/>
              </w:rPr>
              <w:t xml:space="preserve">; </w:t>
            </w:r>
            <w:r w:rsidRPr="0062572A">
              <w:rPr>
                <w:rFonts w:cs="Calibri"/>
                <w:color w:val="000000"/>
                <w:szCs w:val="24"/>
              </w:rPr>
              <w:t>TWCC crossmatch data retrieval and extract</w:t>
            </w:r>
          </w:p>
        </w:tc>
      </w:tr>
      <w:tr w:rsidR="0007600E" w:rsidRPr="0062572A" w14:paraId="08F8931D" w14:textId="77777777" w:rsidTr="005204B9">
        <w:tc>
          <w:tcPr>
            <w:tcW w:w="877" w:type="dxa"/>
            <w:vAlign w:val="center"/>
          </w:tcPr>
          <w:p w14:paraId="0C54F164" w14:textId="7FE1642B" w:rsidR="0007600E" w:rsidRPr="0062572A" w:rsidRDefault="0007600E" w:rsidP="0007600E">
            <w:pPr>
              <w:spacing w:after="0"/>
              <w:ind w:left="0"/>
              <w:jc w:val="center"/>
              <w:rPr>
                <w:szCs w:val="24"/>
              </w:rPr>
            </w:pPr>
            <w:r>
              <w:rPr>
                <w:szCs w:val="22"/>
              </w:rPr>
              <w:t>82</w:t>
            </w:r>
          </w:p>
        </w:tc>
        <w:tc>
          <w:tcPr>
            <w:tcW w:w="1530" w:type="dxa"/>
            <w:vAlign w:val="center"/>
          </w:tcPr>
          <w:p w14:paraId="31BD43B3" w14:textId="77777777" w:rsidR="0007600E" w:rsidRPr="0062572A" w:rsidRDefault="0007600E" w:rsidP="0007600E">
            <w:pPr>
              <w:spacing w:after="0"/>
              <w:ind w:left="0"/>
              <w:rPr>
                <w:szCs w:val="24"/>
              </w:rPr>
            </w:pPr>
            <w:r w:rsidRPr="0062572A">
              <w:rPr>
                <w:rFonts w:cs="Calibri"/>
                <w:color w:val="000000"/>
                <w:szCs w:val="24"/>
              </w:rPr>
              <w:t>Send</w:t>
            </w:r>
          </w:p>
        </w:tc>
        <w:tc>
          <w:tcPr>
            <w:tcW w:w="1620" w:type="dxa"/>
            <w:vAlign w:val="center"/>
          </w:tcPr>
          <w:p w14:paraId="44DAF09C" w14:textId="77777777" w:rsidR="0007600E" w:rsidRPr="0062572A" w:rsidRDefault="0007600E" w:rsidP="0007600E">
            <w:pPr>
              <w:spacing w:after="0"/>
              <w:ind w:left="0"/>
              <w:rPr>
                <w:szCs w:val="24"/>
              </w:rPr>
            </w:pPr>
            <w:r w:rsidRPr="0062572A">
              <w:rPr>
                <w:rFonts w:cs="Calibri"/>
                <w:color w:val="000000"/>
                <w:szCs w:val="24"/>
              </w:rPr>
              <w:t>Batch / Monthly</w:t>
            </w:r>
          </w:p>
        </w:tc>
        <w:tc>
          <w:tcPr>
            <w:tcW w:w="2430" w:type="dxa"/>
            <w:vAlign w:val="center"/>
          </w:tcPr>
          <w:p w14:paraId="1E4D6E8F" w14:textId="309A44CB" w:rsidR="0007600E" w:rsidRPr="0062572A" w:rsidRDefault="0007600E" w:rsidP="0007600E">
            <w:pPr>
              <w:spacing w:after="0"/>
              <w:ind w:left="0"/>
              <w:rPr>
                <w:szCs w:val="24"/>
              </w:rPr>
            </w:pPr>
            <w:r w:rsidRPr="0062572A">
              <w:rPr>
                <w:rFonts w:cs="Calibri"/>
                <w:color w:val="000000"/>
                <w:szCs w:val="24"/>
              </w:rPr>
              <w:t>DOL</w:t>
            </w:r>
          </w:p>
        </w:tc>
        <w:tc>
          <w:tcPr>
            <w:tcW w:w="2160" w:type="dxa"/>
            <w:vAlign w:val="center"/>
          </w:tcPr>
          <w:p w14:paraId="1B972E48" w14:textId="7516A846" w:rsidR="0007600E" w:rsidRPr="0062572A" w:rsidRDefault="0007600E" w:rsidP="0007600E">
            <w:pPr>
              <w:spacing w:after="0"/>
              <w:ind w:left="0"/>
              <w:rPr>
                <w:szCs w:val="24"/>
              </w:rPr>
            </w:pPr>
            <w:r w:rsidRPr="0062572A">
              <w:rPr>
                <w:rFonts w:cs="Calibri"/>
                <w:color w:val="000000"/>
                <w:szCs w:val="24"/>
              </w:rPr>
              <w:t>ETA9051</w:t>
            </w:r>
            <w:r>
              <w:rPr>
                <w:rFonts w:cs="Calibri"/>
                <w:color w:val="000000"/>
                <w:szCs w:val="24"/>
              </w:rPr>
              <w:br/>
            </w:r>
            <w:r w:rsidRPr="0062572A">
              <w:rPr>
                <w:rFonts w:cs="Calibri"/>
                <w:color w:val="000000"/>
                <w:szCs w:val="24"/>
              </w:rPr>
              <w:t xml:space="preserve">Continued weeks’ time lapse data </w:t>
            </w:r>
          </w:p>
        </w:tc>
        <w:tc>
          <w:tcPr>
            <w:tcW w:w="5940" w:type="dxa"/>
            <w:vAlign w:val="center"/>
          </w:tcPr>
          <w:p w14:paraId="11D73AD4" w14:textId="6A6BC35B" w:rsidR="0007600E" w:rsidRPr="0062572A" w:rsidRDefault="0007600E" w:rsidP="0007600E">
            <w:pPr>
              <w:spacing w:after="0"/>
              <w:ind w:left="0"/>
              <w:rPr>
                <w:szCs w:val="24"/>
              </w:rPr>
            </w:pPr>
            <w:r>
              <w:rPr>
                <w:rFonts w:cs="Calibri"/>
                <w:color w:val="000000"/>
                <w:szCs w:val="24"/>
              </w:rPr>
              <w:t>Monthly i</w:t>
            </w:r>
            <w:r w:rsidRPr="0062572A">
              <w:rPr>
                <w:rFonts w:cs="Calibri"/>
                <w:color w:val="000000"/>
                <w:szCs w:val="24"/>
              </w:rPr>
              <w:t xml:space="preserve">nternal </w:t>
            </w:r>
            <w:r>
              <w:rPr>
                <w:rFonts w:cs="Calibri"/>
                <w:color w:val="000000"/>
                <w:szCs w:val="24"/>
              </w:rPr>
              <w:t>r</w:t>
            </w:r>
            <w:r w:rsidRPr="0062572A">
              <w:rPr>
                <w:rFonts w:cs="Calibri"/>
                <w:color w:val="000000"/>
                <w:szCs w:val="24"/>
              </w:rPr>
              <w:t>eports</w:t>
            </w:r>
            <w:r>
              <w:rPr>
                <w:rFonts w:cs="Calibri"/>
                <w:color w:val="000000"/>
                <w:szCs w:val="24"/>
              </w:rPr>
              <w:t>, continued claims time lapse: ETA9051 to USDOL</w:t>
            </w:r>
          </w:p>
        </w:tc>
      </w:tr>
      <w:tr w:rsidR="0007600E" w:rsidRPr="0062572A" w14:paraId="6E1B19E5" w14:textId="77777777" w:rsidTr="005204B9">
        <w:tc>
          <w:tcPr>
            <w:tcW w:w="877" w:type="dxa"/>
            <w:vAlign w:val="center"/>
          </w:tcPr>
          <w:p w14:paraId="43306693" w14:textId="3BE2A306" w:rsidR="0007600E" w:rsidRPr="0062572A" w:rsidRDefault="0007600E" w:rsidP="0007600E">
            <w:pPr>
              <w:spacing w:after="0"/>
              <w:ind w:left="0"/>
              <w:jc w:val="center"/>
              <w:rPr>
                <w:szCs w:val="24"/>
              </w:rPr>
            </w:pPr>
            <w:r>
              <w:rPr>
                <w:color w:val="000000"/>
                <w:szCs w:val="22"/>
              </w:rPr>
              <w:lastRenderedPageBreak/>
              <w:t>83</w:t>
            </w:r>
          </w:p>
        </w:tc>
        <w:tc>
          <w:tcPr>
            <w:tcW w:w="1530" w:type="dxa"/>
            <w:vAlign w:val="center"/>
          </w:tcPr>
          <w:p w14:paraId="32DBE13B" w14:textId="77777777" w:rsidR="0007600E" w:rsidRPr="0062572A" w:rsidRDefault="0007600E" w:rsidP="0007600E">
            <w:pPr>
              <w:spacing w:after="0"/>
              <w:ind w:left="0"/>
              <w:rPr>
                <w:szCs w:val="24"/>
              </w:rPr>
            </w:pPr>
            <w:r w:rsidRPr="0062572A">
              <w:rPr>
                <w:rFonts w:cs="Calibri"/>
                <w:color w:val="000000"/>
                <w:szCs w:val="24"/>
              </w:rPr>
              <w:t>Send</w:t>
            </w:r>
          </w:p>
        </w:tc>
        <w:tc>
          <w:tcPr>
            <w:tcW w:w="1620" w:type="dxa"/>
            <w:vAlign w:val="center"/>
          </w:tcPr>
          <w:p w14:paraId="385C6761" w14:textId="77777777" w:rsidR="0007600E" w:rsidRPr="0062572A" w:rsidRDefault="0007600E" w:rsidP="0007600E">
            <w:pPr>
              <w:spacing w:after="0"/>
              <w:ind w:left="0"/>
              <w:rPr>
                <w:szCs w:val="24"/>
              </w:rPr>
            </w:pPr>
            <w:r w:rsidRPr="0062572A">
              <w:rPr>
                <w:rFonts w:cs="Calibri"/>
                <w:color w:val="000000"/>
                <w:szCs w:val="24"/>
              </w:rPr>
              <w:t>Batch / Monthly</w:t>
            </w:r>
          </w:p>
        </w:tc>
        <w:tc>
          <w:tcPr>
            <w:tcW w:w="2430" w:type="dxa"/>
            <w:vAlign w:val="center"/>
          </w:tcPr>
          <w:p w14:paraId="4BF6D100" w14:textId="12F7C909" w:rsidR="0007600E" w:rsidRPr="0062572A" w:rsidRDefault="0007600E" w:rsidP="0007600E">
            <w:pPr>
              <w:spacing w:after="0"/>
              <w:ind w:left="0"/>
              <w:rPr>
                <w:szCs w:val="24"/>
              </w:rPr>
            </w:pPr>
            <w:r w:rsidRPr="0062572A">
              <w:rPr>
                <w:rFonts w:cs="Calibri"/>
                <w:color w:val="000000"/>
                <w:szCs w:val="24"/>
              </w:rPr>
              <w:t>DOL</w:t>
            </w:r>
          </w:p>
        </w:tc>
        <w:tc>
          <w:tcPr>
            <w:tcW w:w="2160" w:type="dxa"/>
            <w:vAlign w:val="center"/>
          </w:tcPr>
          <w:p w14:paraId="56BCC1E5" w14:textId="7972B22D" w:rsidR="0007600E" w:rsidRPr="0062572A" w:rsidRDefault="0007600E" w:rsidP="0007600E">
            <w:pPr>
              <w:spacing w:after="0"/>
              <w:ind w:left="0"/>
              <w:rPr>
                <w:szCs w:val="24"/>
              </w:rPr>
            </w:pPr>
            <w:r w:rsidRPr="0062572A">
              <w:rPr>
                <w:rFonts w:cs="Calibri"/>
                <w:color w:val="000000"/>
                <w:szCs w:val="24"/>
              </w:rPr>
              <w:t>ETA9050</w:t>
            </w:r>
            <w:r>
              <w:rPr>
                <w:rFonts w:cs="Calibri"/>
                <w:color w:val="000000"/>
                <w:szCs w:val="24"/>
              </w:rPr>
              <w:br/>
              <w:t>f</w:t>
            </w:r>
            <w:r w:rsidRPr="0062572A">
              <w:rPr>
                <w:rFonts w:cs="Calibri"/>
                <w:color w:val="000000"/>
                <w:szCs w:val="24"/>
              </w:rPr>
              <w:t xml:space="preserve">irst payment time lapse data </w:t>
            </w:r>
          </w:p>
        </w:tc>
        <w:tc>
          <w:tcPr>
            <w:tcW w:w="5940" w:type="dxa"/>
            <w:vAlign w:val="center"/>
          </w:tcPr>
          <w:p w14:paraId="22674051" w14:textId="4A8C7B6C" w:rsidR="0007600E" w:rsidRPr="0062572A" w:rsidRDefault="0007600E" w:rsidP="0007600E">
            <w:pPr>
              <w:spacing w:after="0"/>
              <w:ind w:left="0"/>
              <w:rPr>
                <w:szCs w:val="24"/>
              </w:rPr>
            </w:pPr>
            <w:r w:rsidRPr="0062572A">
              <w:rPr>
                <w:rFonts w:cs="Calibri"/>
                <w:color w:val="000000"/>
                <w:szCs w:val="24"/>
              </w:rPr>
              <w:t>Internal Reports</w:t>
            </w:r>
            <w:r>
              <w:rPr>
                <w:rFonts w:cs="Calibri"/>
                <w:color w:val="000000"/>
                <w:szCs w:val="24"/>
              </w:rPr>
              <w:t xml:space="preserve">: first payment time lapse data: </w:t>
            </w:r>
            <w:r w:rsidRPr="0062572A">
              <w:rPr>
                <w:rFonts w:cs="Calibri"/>
                <w:color w:val="000000"/>
                <w:szCs w:val="24"/>
              </w:rPr>
              <w:t>ETA9050 file to US/DOL/ETA</w:t>
            </w:r>
          </w:p>
        </w:tc>
      </w:tr>
      <w:tr w:rsidR="0007600E" w:rsidRPr="0062572A" w14:paraId="7BF9E217" w14:textId="77777777" w:rsidTr="005204B9">
        <w:tc>
          <w:tcPr>
            <w:tcW w:w="877" w:type="dxa"/>
            <w:vAlign w:val="center"/>
          </w:tcPr>
          <w:p w14:paraId="20BD686B" w14:textId="6E67E5E4" w:rsidR="0007600E" w:rsidRPr="0062572A" w:rsidRDefault="0007600E" w:rsidP="0007600E">
            <w:pPr>
              <w:spacing w:after="0"/>
              <w:ind w:left="0"/>
              <w:jc w:val="center"/>
              <w:rPr>
                <w:szCs w:val="24"/>
              </w:rPr>
            </w:pPr>
            <w:r>
              <w:rPr>
                <w:szCs w:val="22"/>
              </w:rPr>
              <w:t>84</w:t>
            </w:r>
          </w:p>
        </w:tc>
        <w:tc>
          <w:tcPr>
            <w:tcW w:w="1530" w:type="dxa"/>
            <w:vAlign w:val="center"/>
          </w:tcPr>
          <w:p w14:paraId="1D5B9F06" w14:textId="77777777" w:rsidR="0007600E" w:rsidRPr="0062572A" w:rsidRDefault="0007600E" w:rsidP="0007600E">
            <w:pPr>
              <w:spacing w:after="0"/>
              <w:ind w:left="0"/>
              <w:rPr>
                <w:szCs w:val="24"/>
              </w:rPr>
            </w:pPr>
            <w:r w:rsidRPr="0062572A">
              <w:rPr>
                <w:rFonts w:cs="Calibri"/>
                <w:color w:val="000000"/>
                <w:szCs w:val="24"/>
              </w:rPr>
              <w:t>Send</w:t>
            </w:r>
          </w:p>
        </w:tc>
        <w:tc>
          <w:tcPr>
            <w:tcW w:w="1620" w:type="dxa"/>
            <w:vAlign w:val="center"/>
          </w:tcPr>
          <w:p w14:paraId="5EF06DF6" w14:textId="77777777" w:rsidR="0007600E" w:rsidRPr="0062572A" w:rsidRDefault="0007600E" w:rsidP="0007600E">
            <w:pPr>
              <w:spacing w:after="0"/>
              <w:ind w:left="0"/>
              <w:rPr>
                <w:szCs w:val="24"/>
              </w:rPr>
            </w:pPr>
            <w:r w:rsidRPr="0062572A">
              <w:rPr>
                <w:rFonts w:cs="Calibri"/>
                <w:color w:val="000000"/>
                <w:szCs w:val="24"/>
              </w:rPr>
              <w:t>Batch / Daily</w:t>
            </w:r>
          </w:p>
        </w:tc>
        <w:tc>
          <w:tcPr>
            <w:tcW w:w="2430" w:type="dxa"/>
            <w:vAlign w:val="center"/>
          </w:tcPr>
          <w:p w14:paraId="48B76CD4" w14:textId="77777777" w:rsidR="0007600E" w:rsidRPr="0062572A" w:rsidRDefault="0007600E" w:rsidP="0007600E">
            <w:pPr>
              <w:spacing w:after="0"/>
              <w:ind w:left="0"/>
              <w:rPr>
                <w:szCs w:val="24"/>
              </w:rPr>
            </w:pPr>
            <w:r w:rsidRPr="0062572A">
              <w:rPr>
                <w:rFonts w:cs="Calibri"/>
                <w:color w:val="000000"/>
                <w:szCs w:val="24"/>
              </w:rPr>
              <w:t>Vendor of the federal ICON HUB contract</w:t>
            </w:r>
          </w:p>
        </w:tc>
        <w:tc>
          <w:tcPr>
            <w:tcW w:w="2160" w:type="dxa"/>
            <w:vAlign w:val="center"/>
          </w:tcPr>
          <w:p w14:paraId="3FD6E186" w14:textId="3696E586" w:rsidR="0007600E" w:rsidRPr="0062572A" w:rsidRDefault="0007600E" w:rsidP="0007600E">
            <w:pPr>
              <w:spacing w:after="0"/>
              <w:ind w:left="0"/>
              <w:rPr>
                <w:szCs w:val="24"/>
              </w:rPr>
            </w:pPr>
            <w:r w:rsidRPr="0062572A">
              <w:rPr>
                <w:rFonts w:cs="Calibri"/>
                <w:color w:val="000000"/>
                <w:szCs w:val="24"/>
              </w:rPr>
              <w:t>Exports responses</w:t>
            </w:r>
          </w:p>
        </w:tc>
        <w:tc>
          <w:tcPr>
            <w:tcW w:w="5940" w:type="dxa"/>
            <w:vAlign w:val="center"/>
          </w:tcPr>
          <w:p w14:paraId="3196A9B9" w14:textId="3FB5F245" w:rsidR="0007600E" w:rsidRPr="0062572A" w:rsidRDefault="0007600E" w:rsidP="0007600E">
            <w:pPr>
              <w:spacing w:after="0"/>
              <w:ind w:left="0"/>
              <w:rPr>
                <w:szCs w:val="24"/>
              </w:rPr>
            </w:pPr>
            <w:r>
              <w:rPr>
                <w:rFonts w:cs="Calibri"/>
                <w:color w:val="000000"/>
                <w:szCs w:val="24"/>
              </w:rPr>
              <w:t>ICON - n</w:t>
            </w:r>
            <w:r w:rsidRPr="0062572A">
              <w:rPr>
                <w:rFonts w:cs="Calibri"/>
                <w:color w:val="000000"/>
                <w:szCs w:val="24"/>
              </w:rPr>
              <w:t>o FTP</w:t>
            </w:r>
          </w:p>
        </w:tc>
      </w:tr>
      <w:tr w:rsidR="0007600E" w:rsidRPr="0062572A" w14:paraId="7A7292D3" w14:textId="77777777" w:rsidTr="005204B9">
        <w:tc>
          <w:tcPr>
            <w:tcW w:w="877" w:type="dxa"/>
            <w:vAlign w:val="center"/>
          </w:tcPr>
          <w:p w14:paraId="3C637BED" w14:textId="3764FC94" w:rsidR="0007600E" w:rsidRPr="0062572A" w:rsidRDefault="0007600E" w:rsidP="0007600E">
            <w:pPr>
              <w:spacing w:after="0"/>
              <w:ind w:left="0"/>
              <w:jc w:val="center"/>
              <w:rPr>
                <w:szCs w:val="24"/>
              </w:rPr>
            </w:pPr>
            <w:r>
              <w:rPr>
                <w:color w:val="000000"/>
                <w:szCs w:val="22"/>
              </w:rPr>
              <w:t>85</w:t>
            </w:r>
          </w:p>
        </w:tc>
        <w:tc>
          <w:tcPr>
            <w:tcW w:w="1530" w:type="dxa"/>
            <w:vAlign w:val="center"/>
          </w:tcPr>
          <w:p w14:paraId="4F95F868" w14:textId="77777777" w:rsidR="0007600E" w:rsidRPr="0062572A" w:rsidRDefault="0007600E" w:rsidP="0007600E">
            <w:pPr>
              <w:spacing w:after="0"/>
              <w:ind w:left="0"/>
              <w:rPr>
                <w:szCs w:val="24"/>
              </w:rPr>
            </w:pPr>
            <w:r w:rsidRPr="0062572A">
              <w:rPr>
                <w:rFonts w:cs="Calibri"/>
                <w:color w:val="000000"/>
                <w:szCs w:val="24"/>
              </w:rPr>
              <w:t>Send</w:t>
            </w:r>
          </w:p>
        </w:tc>
        <w:tc>
          <w:tcPr>
            <w:tcW w:w="1620" w:type="dxa"/>
            <w:vAlign w:val="center"/>
          </w:tcPr>
          <w:p w14:paraId="4767884B" w14:textId="77777777" w:rsidR="0007600E" w:rsidRPr="0062572A" w:rsidRDefault="0007600E" w:rsidP="0007600E">
            <w:pPr>
              <w:spacing w:after="0"/>
              <w:ind w:left="0"/>
              <w:rPr>
                <w:szCs w:val="24"/>
              </w:rPr>
            </w:pPr>
            <w:r w:rsidRPr="0062572A">
              <w:rPr>
                <w:rFonts w:cs="Calibri"/>
                <w:color w:val="000000"/>
                <w:szCs w:val="24"/>
              </w:rPr>
              <w:t>Batch / Daily</w:t>
            </w:r>
          </w:p>
        </w:tc>
        <w:tc>
          <w:tcPr>
            <w:tcW w:w="2430" w:type="dxa"/>
            <w:vAlign w:val="center"/>
          </w:tcPr>
          <w:p w14:paraId="69E48F44" w14:textId="77777777" w:rsidR="0007600E" w:rsidRPr="0062572A" w:rsidRDefault="0007600E" w:rsidP="0007600E">
            <w:pPr>
              <w:spacing w:after="0"/>
              <w:ind w:left="0"/>
              <w:rPr>
                <w:szCs w:val="24"/>
              </w:rPr>
            </w:pPr>
            <w:r w:rsidRPr="0062572A">
              <w:rPr>
                <w:rFonts w:cs="Calibri"/>
                <w:color w:val="000000"/>
                <w:szCs w:val="24"/>
              </w:rPr>
              <w:t>Vendor of the federal ICON HUB contract</w:t>
            </w:r>
          </w:p>
        </w:tc>
        <w:tc>
          <w:tcPr>
            <w:tcW w:w="2160" w:type="dxa"/>
            <w:vAlign w:val="center"/>
          </w:tcPr>
          <w:p w14:paraId="005924BC" w14:textId="72F59F2A" w:rsidR="0007600E" w:rsidRPr="0062572A" w:rsidRDefault="0007600E" w:rsidP="0007600E">
            <w:pPr>
              <w:spacing w:after="0"/>
              <w:ind w:left="0"/>
              <w:rPr>
                <w:szCs w:val="24"/>
              </w:rPr>
            </w:pPr>
            <w:r w:rsidRPr="0062572A">
              <w:rPr>
                <w:rFonts w:cs="Calibri"/>
                <w:color w:val="000000"/>
                <w:szCs w:val="24"/>
              </w:rPr>
              <w:t>FCCC initial claims</w:t>
            </w:r>
          </w:p>
        </w:tc>
        <w:tc>
          <w:tcPr>
            <w:tcW w:w="5940" w:type="dxa"/>
            <w:vAlign w:val="center"/>
          </w:tcPr>
          <w:p w14:paraId="76E2EB87" w14:textId="0050345B" w:rsidR="0007600E" w:rsidRPr="0062572A" w:rsidRDefault="0007600E" w:rsidP="0007600E">
            <w:pPr>
              <w:spacing w:after="0"/>
              <w:ind w:left="0"/>
              <w:rPr>
                <w:szCs w:val="24"/>
              </w:rPr>
            </w:pPr>
            <w:r>
              <w:rPr>
                <w:rFonts w:cs="Calibri"/>
                <w:color w:val="000000"/>
                <w:szCs w:val="24"/>
              </w:rPr>
              <w:t>ICON - n</w:t>
            </w:r>
            <w:r w:rsidRPr="0062572A">
              <w:rPr>
                <w:rFonts w:cs="Calibri"/>
                <w:color w:val="000000"/>
                <w:szCs w:val="24"/>
              </w:rPr>
              <w:t>o FTP</w:t>
            </w:r>
          </w:p>
        </w:tc>
      </w:tr>
      <w:tr w:rsidR="0007600E" w:rsidRPr="0062572A" w14:paraId="0A56C6C1" w14:textId="77777777" w:rsidTr="005204B9">
        <w:tc>
          <w:tcPr>
            <w:tcW w:w="877" w:type="dxa"/>
            <w:vAlign w:val="center"/>
          </w:tcPr>
          <w:p w14:paraId="1877AFC0" w14:textId="39CD5806" w:rsidR="0007600E" w:rsidRPr="0062572A" w:rsidRDefault="0007600E" w:rsidP="0007600E">
            <w:pPr>
              <w:spacing w:after="0"/>
              <w:ind w:left="0"/>
              <w:jc w:val="center"/>
              <w:rPr>
                <w:szCs w:val="24"/>
              </w:rPr>
            </w:pPr>
            <w:r>
              <w:rPr>
                <w:szCs w:val="22"/>
              </w:rPr>
              <w:t>86</w:t>
            </w:r>
          </w:p>
        </w:tc>
        <w:tc>
          <w:tcPr>
            <w:tcW w:w="1530" w:type="dxa"/>
            <w:vAlign w:val="center"/>
          </w:tcPr>
          <w:p w14:paraId="429E1F68" w14:textId="77777777" w:rsidR="0007600E" w:rsidRPr="0062572A" w:rsidRDefault="0007600E" w:rsidP="0007600E">
            <w:pPr>
              <w:spacing w:after="0"/>
              <w:ind w:left="0"/>
              <w:rPr>
                <w:szCs w:val="24"/>
              </w:rPr>
            </w:pPr>
            <w:r w:rsidRPr="0062572A">
              <w:rPr>
                <w:rFonts w:cs="Calibri"/>
                <w:color w:val="000000"/>
                <w:szCs w:val="24"/>
              </w:rPr>
              <w:t>Send</w:t>
            </w:r>
          </w:p>
        </w:tc>
        <w:tc>
          <w:tcPr>
            <w:tcW w:w="1620" w:type="dxa"/>
            <w:vAlign w:val="center"/>
          </w:tcPr>
          <w:p w14:paraId="4727BDA2" w14:textId="77777777" w:rsidR="0007600E" w:rsidRPr="0062572A" w:rsidRDefault="0007600E" w:rsidP="0007600E">
            <w:pPr>
              <w:spacing w:after="0"/>
              <w:ind w:left="0"/>
              <w:rPr>
                <w:szCs w:val="24"/>
              </w:rPr>
            </w:pPr>
            <w:r w:rsidRPr="0062572A">
              <w:rPr>
                <w:rFonts w:cs="Calibri"/>
                <w:color w:val="000000"/>
                <w:szCs w:val="24"/>
              </w:rPr>
              <w:t>Batch / Daily</w:t>
            </w:r>
          </w:p>
        </w:tc>
        <w:tc>
          <w:tcPr>
            <w:tcW w:w="2430" w:type="dxa"/>
            <w:vAlign w:val="center"/>
          </w:tcPr>
          <w:p w14:paraId="5AA2DC6C" w14:textId="77777777" w:rsidR="0007600E" w:rsidRPr="0062572A" w:rsidRDefault="0007600E" w:rsidP="0007600E">
            <w:pPr>
              <w:spacing w:after="0"/>
              <w:ind w:left="0"/>
              <w:rPr>
                <w:szCs w:val="24"/>
              </w:rPr>
            </w:pPr>
            <w:r w:rsidRPr="0062572A">
              <w:rPr>
                <w:rFonts w:cs="Calibri"/>
                <w:color w:val="000000"/>
                <w:szCs w:val="24"/>
              </w:rPr>
              <w:t>Vendor of the federal ICON HUB contract</w:t>
            </w:r>
          </w:p>
        </w:tc>
        <w:tc>
          <w:tcPr>
            <w:tcW w:w="2160" w:type="dxa"/>
            <w:vAlign w:val="center"/>
          </w:tcPr>
          <w:p w14:paraId="34EEFCA4" w14:textId="77777777" w:rsidR="0007600E" w:rsidRPr="0062572A" w:rsidRDefault="0007600E" w:rsidP="0007600E">
            <w:pPr>
              <w:spacing w:after="0"/>
              <w:ind w:left="0"/>
              <w:rPr>
                <w:szCs w:val="24"/>
              </w:rPr>
            </w:pPr>
            <w:r w:rsidRPr="0062572A">
              <w:rPr>
                <w:rFonts w:cs="Calibri"/>
                <w:color w:val="000000"/>
                <w:szCs w:val="24"/>
              </w:rPr>
              <w:t>IB13-CWC</w:t>
            </w:r>
          </w:p>
        </w:tc>
        <w:tc>
          <w:tcPr>
            <w:tcW w:w="5940" w:type="dxa"/>
            <w:vAlign w:val="center"/>
          </w:tcPr>
          <w:p w14:paraId="4F5EFE83" w14:textId="732D3E52" w:rsidR="0007600E" w:rsidRPr="0062572A" w:rsidRDefault="0007600E" w:rsidP="0007600E">
            <w:pPr>
              <w:spacing w:after="0"/>
              <w:ind w:left="0"/>
              <w:rPr>
                <w:szCs w:val="24"/>
              </w:rPr>
            </w:pPr>
            <w:r>
              <w:rPr>
                <w:rFonts w:cs="Calibri"/>
                <w:color w:val="000000"/>
                <w:szCs w:val="24"/>
              </w:rPr>
              <w:t>ICON - n</w:t>
            </w:r>
            <w:r w:rsidRPr="0062572A">
              <w:rPr>
                <w:rFonts w:cs="Calibri"/>
                <w:color w:val="000000"/>
                <w:szCs w:val="24"/>
              </w:rPr>
              <w:t>o FTP</w:t>
            </w:r>
          </w:p>
        </w:tc>
      </w:tr>
      <w:tr w:rsidR="0007600E" w:rsidRPr="0062572A" w14:paraId="1F17F2F9" w14:textId="77777777" w:rsidTr="005204B9">
        <w:tc>
          <w:tcPr>
            <w:tcW w:w="877" w:type="dxa"/>
            <w:vAlign w:val="center"/>
          </w:tcPr>
          <w:p w14:paraId="3E138173" w14:textId="1EC3FDB9" w:rsidR="0007600E" w:rsidRPr="0062572A" w:rsidRDefault="0007600E" w:rsidP="0007600E">
            <w:pPr>
              <w:spacing w:after="0"/>
              <w:ind w:left="0"/>
              <w:jc w:val="center"/>
              <w:rPr>
                <w:szCs w:val="24"/>
              </w:rPr>
            </w:pPr>
            <w:r>
              <w:rPr>
                <w:color w:val="000000"/>
                <w:szCs w:val="22"/>
              </w:rPr>
              <w:t>87</w:t>
            </w:r>
          </w:p>
        </w:tc>
        <w:tc>
          <w:tcPr>
            <w:tcW w:w="1530" w:type="dxa"/>
            <w:vAlign w:val="center"/>
          </w:tcPr>
          <w:p w14:paraId="0D5A007B" w14:textId="77777777" w:rsidR="0007600E" w:rsidRPr="0062572A" w:rsidRDefault="0007600E" w:rsidP="0007600E">
            <w:pPr>
              <w:spacing w:after="0"/>
              <w:ind w:left="0"/>
              <w:rPr>
                <w:szCs w:val="24"/>
              </w:rPr>
            </w:pPr>
            <w:r w:rsidRPr="0062572A">
              <w:rPr>
                <w:rFonts w:cs="Calibri"/>
                <w:color w:val="000000"/>
                <w:szCs w:val="24"/>
              </w:rPr>
              <w:t>Receive</w:t>
            </w:r>
          </w:p>
        </w:tc>
        <w:tc>
          <w:tcPr>
            <w:tcW w:w="1620" w:type="dxa"/>
            <w:vAlign w:val="center"/>
          </w:tcPr>
          <w:p w14:paraId="50D13125" w14:textId="77777777" w:rsidR="0007600E" w:rsidRPr="0062572A" w:rsidRDefault="0007600E" w:rsidP="0007600E">
            <w:pPr>
              <w:spacing w:after="0"/>
              <w:ind w:left="0"/>
              <w:rPr>
                <w:szCs w:val="24"/>
              </w:rPr>
            </w:pPr>
            <w:r w:rsidRPr="0062572A">
              <w:rPr>
                <w:rFonts w:cs="Calibri"/>
                <w:color w:val="000000"/>
                <w:szCs w:val="24"/>
              </w:rPr>
              <w:t>Batch / Daily</w:t>
            </w:r>
          </w:p>
        </w:tc>
        <w:tc>
          <w:tcPr>
            <w:tcW w:w="2430" w:type="dxa"/>
            <w:vAlign w:val="center"/>
          </w:tcPr>
          <w:p w14:paraId="045736B5" w14:textId="77777777" w:rsidR="0007600E" w:rsidRPr="0062572A" w:rsidRDefault="0007600E" w:rsidP="0007600E">
            <w:pPr>
              <w:spacing w:after="0"/>
              <w:ind w:left="0"/>
              <w:rPr>
                <w:szCs w:val="24"/>
              </w:rPr>
            </w:pPr>
            <w:r w:rsidRPr="0062572A">
              <w:rPr>
                <w:rFonts w:cs="Calibri"/>
                <w:color w:val="000000"/>
                <w:szCs w:val="24"/>
              </w:rPr>
              <w:t>Vendor of the federal ICON HUB contract</w:t>
            </w:r>
          </w:p>
        </w:tc>
        <w:tc>
          <w:tcPr>
            <w:tcW w:w="2160" w:type="dxa"/>
            <w:vAlign w:val="center"/>
          </w:tcPr>
          <w:p w14:paraId="20DA5E33" w14:textId="5BED8210" w:rsidR="0007600E" w:rsidRPr="0062572A" w:rsidRDefault="0007600E" w:rsidP="0007600E">
            <w:pPr>
              <w:spacing w:after="0"/>
              <w:ind w:left="0"/>
              <w:rPr>
                <w:szCs w:val="24"/>
              </w:rPr>
            </w:pPr>
            <w:r w:rsidRPr="0062572A">
              <w:rPr>
                <w:rFonts w:cs="Calibri"/>
                <w:color w:val="000000"/>
                <w:szCs w:val="24"/>
              </w:rPr>
              <w:t>IB6 discrepancy</w:t>
            </w:r>
          </w:p>
        </w:tc>
        <w:tc>
          <w:tcPr>
            <w:tcW w:w="5940" w:type="dxa"/>
            <w:vAlign w:val="center"/>
          </w:tcPr>
          <w:p w14:paraId="745C96F4" w14:textId="0D3CB0C1" w:rsidR="0007600E" w:rsidRPr="0062572A" w:rsidRDefault="0007600E" w:rsidP="0007600E">
            <w:pPr>
              <w:spacing w:after="0"/>
              <w:ind w:left="0"/>
              <w:rPr>
                <w:szCs w:val="24"/>
              </w:rPr>
            </w:pPr>
            <w:r>
              <w:rPr>
                <w:rFonts w:cs="Calibri"/>
                <w:color w:val="000000"/>
                <w:szCs w:val="24"/>
              </w:rPr>
              <w:t>ICON - n</w:t>
            </w:r>
            <w:r w:rsidRPr="0062572A">
              <w:rPr>
                <w:rFonts w:cs="Calibri"/>
                <w:color w:val="000000"/>
                <w:szCs w:val="24"/>
              </w:rPr>
              <w:t>o FTP</w:t>
            </w:r>
          </w:p>
        </w:tc>
      </w:tr>
      <w:tr w:rsidR="0007600E" w:rsidRPr="0062572A" w14:paraId="4D0D349F" w14:textId="77777777" w:rsidTr="005204B9">
        <w:tc>
          <w:tcPr>
            <w:tcW w:w="877" w:type="dxa"/>
            <w:vAlign w:val="center"/>
          </w:tcPr>
          <w:p w14:paraId="74D0F652" w14:textId="16C23E27" w:rsidR="0007600E" w:rsidRPr="0062572A" w:rsidRDefault="0007600E" w:rsidP="0007600E">
            <w:pPr>
              <w:spacing w:after="0"/>
              <w:ind w:left="0"/>
              <w:jc w:val="center"/>
              <w:rPr>
                <w:szCs w:val="24"/>
              </w:rPr>
            </w:pPr>
            <w:r>
              <w:rPr>
                <w:szCs w:val="22"/>
              </w:rPr>
              <w:t>88</w:t>
            </w:r>
          </w:p>
        </w:tc>
        <w:tc>
          <w:tcPr>
            <w:tcW w:w="1530" w:type="dxa"/>
            <w:vAlign w:val="center"/>
          </w:tcPr>
          <w:p w14:paraId="0F86AD04" w14:textId="77777777" w:rsidR="0007600E" w:rsidRPr="0062572A" w:rsidRDefault="0007600E" w:rsidP="0007600E">
            <w:pPr>
              <w:spacing w:after="0"/>
              <w:ind w:left="0"/>
              <w:rPr>
                <w:szCs w:val="24"/>
              </w:rPr>
            </w:pPr>
            <w:r w:rsidRPr="0062572A">
              <w:rPr>
                <w:rFonts w:cs="Calibri"/>
                <w:color w:val="000000"/>
                <w:szCs w:val="24"/>
              </w:rPr>
              <w:t>Send</w:t>
            </w:r>
          </w:p>
        </w:tc>
        <w:tc>
          <w:tcPr>
            <w:tcW w:w="1620" w:type="dxa"/>
            <w:vAlign w:val="center"/>
          </w:tcPr>
          <w:p w14:paraId="3CA8246E" w14:textId="77777777" w:rsidR="0007600E" w:rsidRPr="0062572A" w:rsidRDefault="0007600E" w:rsidP="0007600E">
            <w:pPr>
              <w:spacing w:after="0"/>
              <w:ind w:left="0"/>
              <w:rPr>
                <w:szCs w:val="24"/>
              </w:rPr>
            </w:pPr>
            <w:r w:rsidRPr="0062572A">
              <w:rPr>
                <w:rFonts w:cs="Calibri"/>
                <w:color w:val="000000"/>
                <w:szCs w:val="24"/>
              </w:rPr>
              <w:t>Batch / Weekly</w:t>
            </w:r>
          </w:p>
        </w:tc>
        <w:tc>
          <w:tcPr>
            <w:tcW w:w="2430" w:type="dxa"/>
            <w:vAlign w:val="center"/>
          </w:tcPr>
          <w:p w14:paraId="198A6FB9" w14:textId="77777777" w:rsidR="0007600E" w:rsidRPr="0062572A" w:rsidRDefault="0007600E" w:rsidP="0007600E">
            <w:pPr>
              <w:spacing w:after="0"/>
              <w:ind w:left="0"/>
              <w:rPr>
                <w:szCs w:val="24"/>
              </w:rPr>
            </w:pPr>
            <w:r w:rsidRPr="0062572A">
              <w:rPr>
                <w:rFonts w:cs="Calibri"/>
                <w:color w:val="000000"/>
                <w:szCs w:val="24"/>
              </w:rPr>
              <w:t>Vendor of the federal ICON HUB contract</w:t>
            </w:r>
          </w:p>
        </w:tc>
        <w:tc>
          <w:tcPr>
            <w:tcW w:w="2160" w:type="dxa"/>
            <w:vAlign w:val="center"/>
          </w:tcPr>
          <w:p w14:paraId="6EECC4ED" w14:textId="77777777" w:rsidR="0007600E" w:rsidRPr="0062572A" w:rsidRDefault="0007600E" w:rsidP="0007600E">
            <w:pPr>
              <w:spacing w:after="0"/>
              <w:ind w:left="0"/>
              <w:rPr>
                <w:szCs w:val="24"/>
              </w:rPr>
            </w:pPr>
            <w:r w:rsidRPr="0062572A">
              <w:rPr>
                <w:rFonts w:cs="Calibri"/>
                <w:color w:val="000000"/>
                <w:szCs w:val="24"/>
              </w:rPr>
              <w:t>ICON/LADT</w:t>
            </w:r>
          </w:p>
        </w:tc>
        <w:tc>
          <w:tcPr>
            <w:tcW w:w="5940" w:type="dxa"/>
            <w:vAlign w:val="center"/>
          </w:tcPr>
          <w:p w14:paraId="0C4BA532" w14:textId="2C18D7DA" w:rsidR="0007600E" w:rsidRPr="0062572A" w:rsidRDefault="0007600E" w:rsidP="0007600E">
            <w:pPr>
              <w:spacing w:after="0"/>
              <w:ind w:left="0"/>
              <w:rPr>
                <w:szCs w:val="24"/>
              </w:rPr>
            </w:pPr>
            <w:r>
              <w:rPr>
                <w:rFonts w:cs="Calibri"/>
                <w:color w:val="000000"/>
                <w:szCs w:val="24"/>
              </w:rPr>
              <w:t>ICON - n</w:t>
            </w:r>
            <w:r w:rsidRPr="0062572A">
              <w:rPr>
                <w:rFonts w:cs="Calibri"/>
                <w:color w:val="000000"/>
                <w:szCs w:val="24"/>
              </w:rPr>
              <w:t>o FTP</w:t>
            </w:r>
          </w:p>
        </w:tc>
      </w:tr>
      <w:tr w:rsidR="0007600E" w:rsidRPr="0062572A" w14:paraId="1CAD284C" w14:textId="77777777" w:rsidTr="005204B9">
        <w:tc>
          <w:tcPr>
            <w:tcW w:w="877" w:type="dxa"/>
            <w:vAlign w:val="center"/>
          </w:tcPr>
          <w:p w14:paraId="0EA8A037" w14:textId="3B67C61F" w:rsidR="0007600E" w:rsidRPr="0062572A" w:rsidRDefault="0007600E" w:rsidP="0007600E">
            <w:pPr>
              <w:spacing w:after="0"/>
              <w:ind w:left="0"/>
              <w:jc w:val="center"/>
              <w:rPr>
                <w:szCs w:val="24"/>
              </w:rPr>
            </w:pPr>
            <w:r>
              <w:rPr>
                <w:color w:val="000000"/>
                <w:szCs w:val="22"/>
              </w:rPr>
              <w:t>89</w:t>
            </w:r>
          </w:p>
        </w:tc>
        <w:tc>
          <w:tcPr>
            <w:tcW w:w="1530" w:type="dxa"/>
            <w:vAlign w:val="center"/>
          </w:tcPr>
          <w:p w14:paraId="76171965" w14:textId="77777777" w:rsidR="0007600E" w:rsidRPr="0062572A" w:rsidRDefault="0007600E" w:rsidP="0007600E">
            <w:pPr>
              <w:spacing w:after="0"/>
              <w:ind w:left="0"/>
              <w:rPr>
                <w:szCs w:val="24"/>
              </w:rPr>
            </w:pPr>
            <w:r w:rsidRPr="0062572A">
              <w:rPr>
                <w:rFonts w:cs="Calibri"/>
                <w:color w:val="000000"/>
                <w:szCs w:val="24"/>
              </w:rPr>
              <w:t>Receive</w:t>
            </w:r>
          </w:p>
        </w:tc>
        <w:tc>
          <w:tcPr>
            <w:tcW w:w="1620" w:type="dxa"/>
            <w:vAlign w:val="center"/>
          </w:tcPr>
          <w:p w14:paraId="6F363977" w14:textId="77777777" w:rsidR="0007600E" w:rsidRPr="0062572A" w:rsidRDefault="0007600E" w:rsidP="0007600E">
            <w:pPr>
              <w:spacing w:after="0"/>
              <w:ind w:left="0"/>
              <w:rPr>
                <w:szCs w:val="24"/>
              </w:rPr>
            </w:pPr>
            <w:r w:rsidRPr="0062572A">
              <w:rPr>
                <w:rFonts w:cs="Calibri"/>
                <w:color w:val="000000"/>
                <w:szCs w:val="24"/>
              </w:rPr>
              <w:t>Batch / Weekly</w:t>
            </w:r>
          </w:p>
        </w:tc>
        <w:tc>
          <w:tcPr>
            <w:tcW w:w="2430" w:type="dxa"/>
            <w:vAlign w:val="center"/>
          </w:tcPr>
          <w:p w14:paraId="0E477B27" w14:textId="77777777" w:rsidR="0007600E" w:rsidRPr="0062572A" w:rsidRDefault="0007600E" w:rsidP="0007600E">
            <w:pPr>
              <w:spacing w:after="0"/>
              <w:ind w:left="0"/>
              <w:rPr>
                <w:szCs w:val="24"/>
              </w:rPr>
            </w:pPr>
            <w:r w:rsidRPr="0062572A">
              <w:rPr>
                <w:rFonts w:cs="Calibri"/>
                <w:color w:val="000000"/>
                <w:szCs w:val="24"/>
              </w:rPr>
              <w:t>Vendor of the federal ICON HUB contract</w:t>
            </w:r>
          </w:p>
        </w:tc>
        <w:tc>
          <w:tcPr>
            <w:tcW w:w="2160" w:type="dxa"/>
            <w:vAlign w:val="center"/>
          </w:tcPr>
          <w:p w14:paraId="674C3074" w14:textId="5C8A2DC5" w:rsidR="0007600E" w:rsidRPr="0062572A" w:rsidRDefault="0007600E" w:rsidP="0007600E">
            <w:pPr>
              <w:spacing w:after="0"/>
              <w:ind w:left="0"/>
              <w:rPr>
                <w:szCs w:val="24"/>
              </w:rPr>
            </w:pPr>
            <w:r>
              <w:rPr>
                <w:rFonts w:cs="Calibri"/>
                <w:color w:val="000000"/>
                <w:szCs w:val="24"/>
              </w:rPr>
              <w:t>LADT d</w:t>
            </w:r>
            <w:r w:rsidRPr="0062572A">
              <w:rPr>
                <w:rFonts w:cs="Calibri"/>
                <w:color w:val="000000"/>
                <w:szCs w:val="24"/>
              </w:rPr>
              <w:t xml:space="preserve">ata from </w:t>
            </w:r>
            <w:r>
              <w:rPr>
                <w:rFonts w:cs="Calibri"/>
                <w:color w:val="000000"/>
                <w:szCs w:val="24"/>
              </w:rPr>
              <w:t>v</w:t>
            </w:r>
            <w:r w:rsidRPr="0062572A">
              <w:rPr>
                <w:rFonts w:cs="Calibri"/>
                <w:color w:val="000000"/>
                <w:szCs w:val="24"/>
              </w:rPr>
              <w:t>endor of the federal ICON HUB contract</w:t>
            </w:r>
          </w:p>
        </w:tc>
        <w:tc>
          <w:tcPr>
            <w:tcW w:w="5940" w:type="dxa"/>
            <w:vAlign w:val="center"/>
          </w:tcPr>
          <w:p w14:paraId="70EBAF33" w14:textId="77777777" w:rsidR="0007600E" w:rsidRPr="0062572A" w:rsidRDefault="0007600E" w:rsidP="0007600E">
            <w:pPr>
              <w:spacing w:after="0"/>
              <w:ind w:left="0"/>
              <w:rPr>
                <w:szCs w:val="24"/>
              </w:rPr>
            </w:pPr>
            <w:r w:rsidRPr="0062572A">
              <w:rPr>
                <w:rFonts w:cs="Calibri"/>
                <w:color w:val="000000"/>
                <w:szCs w:val="24"/>
              </w:rPr>
              <w:t>ICON</w:t>
            </w:r>
          </w:p>
        </w:tc>
      </w:tr>
      <w:tr w:rsidR="0007600E" w:rsidRPr="0062572A" w14:paraId="0D500EBF" w14:textId="77777777" w:rsidTr="005204B9">
        <w:tc>
          <w:tcPr>
            <w:tcW w:w="877" w:type="dxa"/>
            <w:vAlign w:val="center"/>
          </w:tcPr>
          <w:p w14:paraId="39EFAD52" w14:textId="02C948D3" w:rsidR="0007600E" w:rsidRPr="0062572A" w:rsidRDefault="0007600E" w:rsidP="0007600E">
            <w:pPr>
              <w:spacing w:after="0"/>
              <w:ind w:left="0"/>
              <w:jc w:val="center"/>
              <w:rPr>
                <w:szCs w:val="24"/>
              </w:rPr>
            </w:pPr>
            <w:r>
              <w:rPr>
                <w:szCs w:val="22"/>
              </w:rPr>
              <w:t>90</w:t>
            </w:r>
          </w:p>
        </w:tc>
        <w:tc>
          <w:tcPr>
            <w:tcW w:w="1530" w:type="dxa"/>
            <w:vAlign w:val="center"/>
          </w:tcPr>
          <w:p w14:paraId="3AD90818" w14:textId="77777777" w:rsidR="0007600E" w:rsidRPr="0062572A" w:rsidRDefault="0007600E" w:rsidP="0007600E">
            <w:pPr>
              <w:spacing w:after="0"/>
              <w:ind w:left="0"/>
              <w:rPr>
                <w:szCs w:val="24"/>
              </w:rPr>
            </w:pPr>
            <w:r w:rsidRPr="0062572A">
              <w:rPr>
                <w:rFonts w:cs="Calibri"/>
                <w:color w:val="000000"/>
                <w:szCs w:val="24"/>
              </w:rPr>
              <w:t>Send</w:t>
            </w:r>
          </w:p>
        </w:tc>
        <w:tc>
          <w:tcPr>
            <w:tcW w:w="1620" w:type="dxa"/>
            <w:vAlign w:val="center"/>
          </w:tcPr>
          <w:p w14:paraId="33184A60" w14:textId="77777777" w:rsidR="0007600E" w:rsidRPr="0062572A" w:rsidRDefault="0007600E" w:rsidP="0007600E">
            <w:pPr>
              <w:spacing w:after="0"/>
              <w:ind w:left="0"/>
              <w:rPr>
                <w:szCs w:val="24"/>
              </w:rPr>
            </w:pPr>
            <w:r w:rsidRPr="0062572A">
              <w:rPr>
                <w:rFonts w:cs="Calibri"/>
                <w:color w:val="000000"/>
                <w:szCs w:val="24"/>
              </w:rPr>
              <w:t>Batch / Daily</w:t>
            </w:r>
          </w:p>
        </w:tc>
        <w:tc>
          <w:tcPr>
            <w:tcW w:w="2430" w:type="dxa"/>
            <w:vAlign w:val="center"/>
          </w:tcPr>
          <w:p w14:paraId="45EA0D8E" w14:textId="77777777" w:rsidR="0007600E" w:rsidRPr="0062572A" w:rsidRDefault="0007600E" w:rsidP="0007600E">
            <w:pPr>
              <w:spacing w:after="0"/>
              <w:ind w:left="0"/>
              <w:rPr>
                <w:szCs w:val="24"/>
              </w:rPr>
            </w:pPr>
            <w:r w:rsidRPr="0062572A">
              <w:rPr>
                <w:rFonts w:cs="Calibri"/>
                <w:color w:val="000000"/>
                <w:szCs w:val="24"/>
              </w:rPr>
              <w:t>Vendor of the federal ICON HUB contract</w:t>
            </w:r>
          </w:p>
        </w:tc>
        <w:tc>
          <w:tcPr>
            <w:tcW w:w="2160" w:type="dxa"/>
            <w:vAlign w:val="center"/>
          </w:tcPr>
          <w:p w14:paraId="3F16E1C5" w14:textId="3B29800F" w:rsidR="0007600E" w:rsidRPr="0062572A" w:rsidRDefault="0007600E" w:rsidP="0007600E">
            <w:pPr>
              <w:spacing w:after="0"/>
              <w:ind w:left="0"/>
              <w:rPr>
                <w:szCs w:val="24"/>
              </w:rPr>
            </w:pPr>
            <w:r w:rsidRPr="0062572A">
              <w:rPr>
                <w:rFonts w:cs="Calibri"/>
                <w:color w:val="000000"/>
                <w:szCs w:val="24"/>
              </w:rPr>
              <w:t>Liable state IB-1</w:t>
            </w:r>
          </w:p>
        </w:tc>
        <w:tc>
          <w:tcPr>
            <w:tcW w:w="5940" w:type="dxa"/>
            <w:vAlign w:val="center"/>
          </w:tcPr>
          <w:p w14:paraId="6BE00C98" w14:textId="6DA102AF" w:rsidR="0007600E" w:rsidRPr="0062572A" w:rsidRDefault="0007600E" w:rsidP="0007600E">
            <w:pPr>
              <w:spacing w:after="0"/>
              <w:ind w:left="0"/>
              <w:rPr>
                <w:szCs w:val="24"/>
              </w:rPr>
            </w:pPr>
            <w:r>
              <w:rPr>
                <w:rFonts w:cs="Calibri"/>
                <w:color w:val="000000"/>
                <w:szCs w:val="24"/>
              </w:rPr>
              <w:t>ICON - n</w:t>
            </w:r>
            <w:r w:rsidRPr="0062572A">
              <w:rPr>
                <w:rFonts w:cs="Calibri"/>
                <w:color w:val="000000"/>
                <w:szCs w:val="24"/>
              </w:rPr>
              <w:t>o FTP</w:t>
            </w:r>
          </w:p>
        </w:tc>
      </w:tr>
      <w:tr w:rsidR="0007600E" w:rsidRPr="0062572A" w14:paraId="3C9FBAA5" w14:textId="77777777" w:rsidTr="005204B9">
        <w:tc>
          <w:tcPr>
            <w:tcW w:w="877" w:type="dxa"/>
            <w:vAlign w:val="center"/>
          </w:tcPr>
          <w:p w14:paraId="53525BAD" w14:textId="0DB1D663" w:rsidR="0007600E" w:rsidRPr="0062572A" w:rsidRDefault="0007600E" w:rsidP="0007600E">
            <w:pPr>
              <w:spacing w:after="0"/>
              <w:ind w:left="0"/>
              <w:jc w:val="center"/>
              <w:rPr>
                <w:rFonts w:cs="Calibri"/>
                <w:color w:val="000000"/>
                <w:szCs w:val="24"/>
              </w:rPr>
            </w:pPr>
            <w:r>
              <w:rPr>
                <w:color w:val="000000"/>
                <w:szCs w:val="22"/>
              </w:rPr>
              <w:t>91</w:t>
            </w:r>
          </w:p>
        </w:tc>
        <w:tc>
          <w:tcPr>
            <w:tcW w:w="1530" w:type="dxa"/>
            <w:vAlign w:val="center"/>
          </w:tcPr>
          <w:p w14:paraId="1993CEB9" w14:textId="77777777" w:rsidR="0007600E" w:rsidRPr="0062572A" w:rsidRDefault="0007600E" w:rsidP="0007600E">
            <w:pPr>
              <w:spacing w:after="0"/>
              <w:ind w:left="0"/>
              <w:rPr>
                <w:szCs w:val="24"/>
              </w:rPr>
            </w:pPr>
            <w:r w:rsidRPr="0062572A">
              <w:rPr>
                <w:rFonts w:cs="Calibri"/>
                <w:color w:val="000000"/>
                <w:szCs w:val="24"/>
              </w:rPr>
              <w:t>Both</w:t>
            </w:r>
          </w:p>
        </w:tc>
        <w:tc>
          <w:tcPr>
            <w:tcW w:w="1620" w:type="dxa"/>
            <w:vAlign w:val="center"/>
          </w:tcPr>
          <w:p w14:paraId="566E3EA3" w14:textId="77777777" w:rsidR="0007600E" w:rsidRPr="0062572A" w:rsidRDefault="0007600E" w:rsidP="0007600E">
            <w:pPr>
              <w:spacing w:after="0"/>
              <w:ind w:left="0"/>
              <w:rPr>
                <w:szCs w:val="24"/>
              </w:rPr>
            </w:pPr>
            <w:r w:rsidRPr="0062572A">
              <w:rPr>
                <w:rFonts w:cs="Calibri"/>
                <w:color w:val="000000"/>
                <w:szCs w:val="24"/>
              </w:rPr>
              <w:t>Online / Daily</w:t>
            </w:r>
          </w:p>
        </w:tc>
        <w:tc>
          <w:tcPr>
            <w:tcW w:w="2430" w:type="dxa"/>
            <w:vAlign w:val="center"/>
          </w:tcPr>
          <w:p w14:paraId="5E65CC3A" w14:textId="77777777" w:rsidR="0007600E" w:rsidRPr="0062572A" w:rsidRDefault="0007600E" w:rsidP="0007600E">
            <w:pPr>
              <w:spacing w:after="0"/>
              <w:ind w:left="0"/>
              <w:rPr>
                <w:szCs w:val="24"/>
              </w:rPr>
            </w:pPr>
            <w:r w:rsidRPr="0062572A">
              <w:rPr>
                <w:rFonts w:cs="Calibri"/>
                <w:color w:val="000000"/>
                <w:szCs w:val="24"/>
              </w:rPr>
              <w:t>Vendor of the federal ICON HUB contract</w:t>
            </w:r>
          </w:p>
        </w:tc>
        <w:tc>
          <w:tcPr>
            <w:tcW w:w="2160" w:type="dxa"/>
            <w:vAlign w:val="center"/>
          </w:tcPr>
          <w:p w14:paraId="0258C52F" w14:textId="77777777" w:rsidR="0007600E" w:rsidRPr="0062572A" w:rsidRDefault="0007600E" w:rsidP="0007600E">
            <w:pPr>
              <w:spacing w:after="0"/>
              <w:ind w:left="0"/>
              <w:rPr>
                <w:szCs w:val="24"/>
              </w:rPr>
            </w:pPr>
            <w:r w:rsidRPr="0062572A">
              <w:rPr>
                <w:rFonts w:cs="Calibri"/>
                <w:color w:val="000000"/>
                <w:szCs w:val="24"/>
              </w:rPr>
              <w:t>UI/Combined Wage Claim IB4</w:t>
            </w:r>
          </w:p>
        </w:tc>
        <w:tc>
          <w:tcPr>
            <w:tcW w:w="5940" w:type="dxa"/>
            <w:vAlign w:val="center"/>
          </w:tcPr>
          <w:p w14:paraId="22915612" w14:textId="50062156" w:rsidR="0007600E" w:rsidRPr="0062572A" w:rsidRDefault="0007600E" w:rsidP="0007600E">
            <w:pPr>
              <w:spacing w:after="0"/>
              <w:ind w:left="0"/>
              <w:rPr>
                <w:szCs w:val="24"/>
              </w:rPr>
            </w:pPr>
            <w:r>
              <w:rPr>
                <w:rFonts w:cs="Calibri"/>
                <w:color w:val="000000"/>
                <w:szCs w:val="24"/>
              </w:rPr>
              <w:t>ICON - n</w:t>
            </w:r>
            <w:r w:rsidRPr="0062572A">
              <w:rPr>
                <w:rFonts w:cs="Calibri"/>
                <w:color w:val="000000"/>
                <w:szCs w:val="24"/>
              </w:rPr>
              <w:t>o FTP</w:t>
            </w:r>
          </w:p>
        </w:tc>
      </w:tr>
      <w:tr w:rsidR="0007600E" w:rsidRPr="0062572A" w14:paraId="630662EE" w14:textId="77777777" w:rsidTr="005204B9">
        <w:tc>
          <w:tcPr>
            <w:tcW w:w="877" w:type="dxa"/>
            <w:vAlign w:val="center"/>
          </w:tcPr>
          <w:p w14:paraId="56C82F12" w14:textId="3EBA9B3E" w:rsidR="0007600E" w:rsidRPr="0062572A" w:rsidRDefault="0007600E" w:rsidP="0007600E">
            <w:pPr>
              <w:spacing w:after="0"/>
              <w:ind w:left="0"/>
              <w:jc w:val="center"/>
              <w:rPr>
                <w:rFonts w:cs="Calibri"/>
                <w:color w:val="000000"/>
                <w:szCs w:val="24"/>
              </w:rPr>
            </w:pPr>
            <w:r>
              <w:rPr>
                <w:szCs w:val="22"/>
              </w:rPr>
              <w:lastRenderedPageBreak/>
              <w:t>92</w:t>
            </w:r>
          </w:p>
        </w:tc>
        <w:tc>
          <w:tcPr>
            <w:tcW w:w="1530" w:type="dxa"/>
            <w:vAlign w:val="center"/>
          </w:tcPr>
          <w:p w14:paraId="58C2AB4A" w14:textId="77777777" w:rsidR="0007600E" w:rsidRPr="0062572A" w:rsidRDefault="0007600E" w:rsidP="0007600E">
            <w:pPr>
              <w:spacing w:after="0"/>
              <w:ind w:left="0"/>
              <w:rPr>
                <w:szCs w:val="24"/>
              </w:rPr>
            </w:pPr>
            <w:r w:rsidRPr="0062572A">
              <w:rPr>
                <w:rFonts w:cs="Calibri"/>
                <w:color w:val="000000"/>
                <w:szCs w:val="24"/>
              </w:rPr>
              <w:t>Both</w:t>
            </w:r>
          </w:p>
        </w:tc>
        <w:tc>
          <w:tcPr>
            <w:tcW w:w="1620" w:type="dxa"/>
            <w:vAlign w:val="center"/>
          </w:tcPr>
          <w:p w14:paraId="3F322959" w14:textId="77777777" w:rsidR="0007600E" w:rsidRPr="0062572A" w:rsidRDefault="0007600E" w:rsidP="0007600E">
            <w:pPr>
              <w:spacing w:after="0"/>
              <w:ind w:left="0"/>
              <w:rPr>
                <w:szCs w:val="24"/>
              </w:rPr>
            </w:pPr>
            <w:r w:rsidRPr="0062572A">
              <w:rPr>
                <w:rFonts w:cs="Calibri"/>
                <w:color w:val="000000"/>
                <w:szCs w:val="24"/>
              </w:rPr>
              <w:t>Batch / Daily</w:t>
            </w:r>
          </w:p>
        </w:tc>
        <w:tc>
          <w:tcPr>
            <w:tcW w:w="2430" w:type="dxa"/>
            <w:vAlign w:val="center"/>
          </w:tcPr>
          <w:p w14:paraId="026911A7" w14:textId="77777777" w:rsidR="0007600E" w:rsidRPr="0062572A" w:rsidRDefault="0007600E" w:rsidP="0007600E">
            <w:pPr>
              <w:spacing w:after="0"/>
              <w:ind w:left="0"/>
              <w:rPr>
                <w:szCs w:val="24"/>
              </w:rPr>
            </w:pPr>
            <w:r w:rsidRPr="0062572A">
              <w:rPr>
                <w:rFonts w:cs="Calibri"/>
                <w:color w:val="000000"/>
                <w:szCs w:val="24"/>
              </w:rPr>
              <w:t>Vendor of the federal ICON HUB contract</w:t>
            </w:r>
          </w:p>
        </w:tc>
        <w:tc>
          <w:tcPr>
            <w:tcW w:w="2160" w:type="dxa"/>
            <w:vAlign w:val="center"/>
          </w:tcPr>
          <w:p w14:paraId="13D6F0BD" w14:textId="77777777" w:rsidR="0007600E" w:rsidRPr="0062572A" w:rsidRDefault="0007600E" w:rsidP="0007600E">
            <w:pPr>
              <w:spacing w:after="0"/>
              <w:ind w:left="0"/>
              <w:rPr>
                <w:szCs w:val="24"/>
              </w:rPr>
            </w:pPr>
            <w:r w:rsidRPr="0062572A">
              <w:rPr>
                <w:rFonts w:cs="Calibri"/>
                <w:color w:val="000000"/>
                <w:szCs w:val="24"/>
              </w:rPr>
              <w:t>UI/CWC</w:t>
            </w:r>
          </w:p>
        </w:tc>
        <w:tc>
          <w:tcPr>
            <w:tcW w:w="5940" w:type="dxa"/>
            <w:vAlign w:val="center"/>
          </w:tcPr>
          <w:p w14:paraId="37DE3790" w14:textId="19E06346" w:rsidR="0007600E" w:rsidRPr="0062572A" w:rsidRDefault="0007600E" w:rsidP="0007600E">
            <w:pPr>
              <w:spacing w:after="0"/>
              <w:ind w:left="0"/>
              <w:rPr>
                <w:szCs w:val="24"/>
              </w:rPr>
            </w:pPr>
            <w:r>
              <w:rPr>
                <w:rFonts w:cs="Calibri"/>
                <w:color w:val="000000"/>
                <w:szCs w:val="24"/>
              </w:rPr>
              <w:t>ICON - n</w:t>
            </w:r>
            <w:r w:rsidRPr="0062572A">
              <w:rPr>
                <w:rFonts w:cs="Calibri"/>
                <w:color w:val="000000"/>
                <w:szCs w:val="24"/>
              </w:rPr>
              <w:t>o FTP</w:t>
            </w:r>
          </w:p>
        </w:tc>
      </w:tr>
      <w:tr w:rsidR="0007600E" w:rsidRPr="0062572A" w14:paraId="7054C5FC" w14:textId="77777777" w:rsidTr="005204B9">
        <w:tc>
          <w:tcPr>
            <w:tcW w:w="877" w:type="dxa"/>
            <w:vAlign w:val="center"/>
          </w:tcPr>
          <w:p w14:paraId="070E3994" w14:textId="64C41037" w:rsidR="0007600E" w:rsidRPr="0062572A" w:rsidRDefault="0007600E" w:rsidP="0007600E">
            <w:pPr>
              <w:spacing w:after="0"/>
              <w:ind w:left="0"/>
              <w:jc w:val="center"/>
              <w:rPr>
                <w:szCs w:val="24"/>
              </w:rPr>
            </w:pPr>
            <w:r>
              <w:rPr>
                <w:color w:val="000000"/>
                <w:szCs w:val="22"/>
              </w:rPr>
              <w:t>93</w:t>
            </w:r>
          </w:p>
        </w:tc>
        <w:tc>
          <w:tcPr>
            <w:tcW w:w="1530" w:type="dxa"/>
            <w:vAlign w:val="center"/>
          </w:tcPr>
          <w:p w14:paraId="47C39292" w14:textId="77777777" w:rsidR="0007600E" w:rsidRPr="0062572A" w:rsidRDefault="0007600E" w:rsidP="0007600E">
            <w:pPr>
              <w:spacing w:after="0"/>
              <w:ind w:left="0"/>
              <w:rPr>
                <w:szCs w:val="24"/>
              </w:rPr>
            </w:pPr>
            <w:r w:rsidRPr="0062572A">
              <w:rPr>
                <w:rFonts w:cs="Calibri"/>
                <w:color w:val="000000"/>
                <w:szCs w:val="24"/>
              </w:rPr>
              <w:t>Send</w:t>
            </w:r>
          </w:p>
        </w:tc>
        <w:tc>
          <w:tcPr>
            <w:tcW w:w="1620" w:type="dxa"/>
            <w:vAlign w:val="center"/>
          </w:tcPr>
          <w:p w14:paraId="34DAC089" w14:textId="77777777" w:rsidR="0007600E" w:rsidRPr="0062572A" w:rsidRDefault="0007600E" w:rsidP="0007600E">
            <w:pPr>
              <w:spacing w:after="0"/>
              <w:ind w:left="0"/>
              <w:rPr>
                <w:szCs w:val="24"/>
              </w:rPr>
            </w:pPr>
            <w:r w:rsidRPr="0062572A">
              <w:rPr>
                <w:rFonts w:cs="Calibri"/>
                <w:color w:val="000000"/>
                <w:szCs w:val="24"/>
              </w:rPr>
              <w:t>Batch / Daily</w:t>
            </w:r>
          </w:p>
        </w:tc>
        <w:tc>
          <w:tcPr>
            <w:tcW w:w="2430" w:type="dxa"/>
            <w:vAlign w:val="center"/>
          </w:tcPr>
          <w:p w14:paraId="471904E9" w14:textId="77777777" w:rsidR="0007600E" w:rsidRPr="0062572A" w:rsidRDefault="0007600E" w:rsidP="0007600E">
            <w:pPr>
              <w:spacing w:after="0"/>
              <w:ind w:left="0"/>
              <w:rPr>
                <w:szCs w:val="24"/>
              </w:rPr>
            </w:pPr>
            <w:r w:rsidRPr="0062572A">
              <w:rPr>
                <w:rFonts w:cs="Calibri"/>
                <w:color w:val="000000"/>
                <w:szCs w:val="24"/>
              </w:rPr>
              <w:t>Vendor of the federal ICON HUB contract</w:t>
            </w:r>
          </w:p>
        </w:tc>
        <w:tc>
          <w:tcPr>
            <w:tcW w:w="2160" w:type="dxa"/>
            <w:vAlign w:val="center"/>
          </w:tcPr>
          <w:p w14:paraId="25DE40E1" w14:textId="77777777" w:rsidR="0007600E" w:rsidRPr="0062572A" w:rsidRDefault="0007600E" w:rsidP="0007600E">
            <w:pPr>
              <w:spacing w:after="0"/>
              <w:ind w:left="0"/>
              <w:rPr>
                <w:szCs w:val="24"/>
              </w:rPr>
            </w:pPr>
            <w:r w:rsidRPr="0062572A">
              <w:rPr>
                <w:rFonts w:cs="Calibri"/>
                <w:color w:val="000000"/>
                <w:szCs w:val="24"/>
              </w:rPr>
              <w:t>UI-CWC</w:t>
            </w:r>
          </w:p>
        </w:tc>
        <w:tc>
          <w:tcPr>
            <w:tcW w:w="5940" w:type="dxa"/>
            <w:vAlign w:val="center"/>
          </w:tcPr>
          <w:p w14:paraId="5A6BB03C" w14:textId="5426315A" w:rsidR="0007600E" w:rsidRPr="0062572A" w:rsidRDefault="0007600E" w:rsidP="0007600E">
            <w:pPr>
              <w:spacing w:after="0"/>
              <w:ind w:left="0"/>
              <w:rPr>
                <w:szCs w:val="24"/>
              </w:rPr>
            </w:pPr>
            <w:r>
              <w:rPr>
                <w:rFonts w:cs="Calibri"/>
                <w:color w:val="000000"/>
                <w:szCs w:val="24"/>
              </w:rPr>
              <w:t>ICON - n</w:t>
            </w:r>
            <w:r w:rsidRPr="0062572A">
              <w:rPr>
                <w:rFonts w:cs="Calibri"/>
                <w:color w:val="000000"/>
                <w:szCs w:val="24"/>
              </w:rPr>
              <w:t>o FTP</w:t>
            </w:r>
          </w:p>
        </w:tc>
      </w:tr>
      <w:tr w:rsidR="0007600E" w:rsidRPr="0062572A" w14:paraId="3A4AB5B6" w14:textId="77777777" w:rsidTr="005204B9">
        <w:tc>
          <w:tcPr>
            <w:tcW w:w="877" w:type="dxa"/>
            <w:vAlign w:val="center"/>
          </w:tcPr>
          <w:p w14:paraId="7F3C4CBA" w14:textId="637E5840" w:rsidR="0007600E" w:rsidRPr="0062572A" w:rsidRDefault="0007600E" w:rsidP="0007600E">
            <w:pPr>
              <w:spacing w:after="0"/>
              <w:ind w:left="0"/>
              <w:jc w:val="center"/>
              <w:rPr>
                <w:rFonts w:cs="Calibri"/>
                <w:color w:val="000000"/>
                <w:szCs w:val="24"/>
              </w:rPr>
            </w:pPr>
            <w:r>
              <w:rPr>
                <w:szCs w:val="22"/>
              </w:rPr>
              <w:t>94</w:t>
            </w:r>
          </w:p>
        </w:tc>
        <w:tc>
          <w:tcPr>
            <w:tcW w:w="1530" w:type="dxa"/>
            <w:vAlign w:val="center"/>
          </w:tcPr>
          <w:p w14:paraId="47588942" w14:textId="77777777" w:rsidR="0007600E" w:rsidRPr="0062572A" w:rsidRDefault="0007600E" w:rsidP="0007600E">
            <w:pPr>
              <w:spacing w:after="0"/>
              <w:ind w:left="0"/>
              <w:rPr>
                <w:szCs w:val="24"/>
                <w:highlight w:val="yellow"/>
              </w:rPr>
            </w:pPr>
            <w:r w:rsidRPr="0062572A">
              <w:rPr>
                <w:rFonts w:cs="Calibri"/>
                <w:color w:val="000000"/>
                <w:szCs w:val="24"/>
              </w:rPr>
              <w:t>Send</w:t>
            </w:r>
          </w:p>
        </w:tc>
        <w:tc>
          <w:tcPr>
            <w:tcW w:w="1620" w:type="dxa"/>
            <w:vAlign w:val="center"/>
          </w:tcPr>
          <w:p w14:paraId="2A969566" w14:textId="77777777" w:rsidR="0007600E" w:rsidRPr="0062572A" w:rsidRDefault="0007600E" w:rsidP="0007600E">
            <w:pPr>
              <w:spacing w:after="0"/>
              <w:ind w:left="0"/>
              <w:rPr>
                <w:szCs w:val="24"/>
                <w:highlight w:val="yellow"/>
              </w:rPr>
            </w:pPr>
            <w:r w:rsidRPr="0062572A">
              <w:rPr>
                <w:rFonts w:cs="Calibri"/>
                <w:color w:val="000000"/>
                <w:szCs w:val="24"/>
              </w:rPr>
              <w:t>Batch / Daily</w:t>
            </w:r>
          </w:p>
        </w:tc>
        <w:tc>
          <w:tcPr>
            <w:tcW w:w="2430" w:type="dxa"/>
            <w:vAlign w:val="center"/>
          </w:tcPr>
          <w:p w14:paraId="6DEE3D86" w14:textId="77777777" w:rsidR="0007600E" w:rsidRPr="0062572A" w:rsidRDefault="0007600E" w:rsidP="0007600E">
            <w:pPr>
              <w:spacing w:after="0"/>
              <w:ind w:left="0"/>
              <w:rPr>
                <w:szCs w:val="24"/>
                <w:highlight w:val="yellow"/>
              </w:rPr>
            </w:pPr>
            <w:r w:rsidRPr="0062572A">
              <w:rPr>
                <w:rFonts w:cs="Calibri"/>
                <w:color w:val="000000"/>
                <w:szCs w:val="24"/>
              </w:rPr>
              <w:t>Vendor of the federal ICON HUB contract</w:t>
            </w:r>
          </w:p>
        </w:tc>
        <w:tc>
          <w:tcPr>
            <w:tcW w:w="2160" w:type="dxa"/>
            <w:vAlign w:val="center"/>
          </w:tcPr>
          <w:p w14:paraId="67BB24DB" w14:textId="6871C903" w:rsidR="0007600E" w:rsidRPr="0062572A" w:rsidRDefault="0007600E" w:rsidP="0007600E">
            <w:pPr>
              <w:spacing w:after="0"/>
              <w:ind w:left="0"/>
              <w:rPr>
                <w:szCs w:val="24"/>
                <w:highlight w:val="yellow"/>
              </w:rPr>
            </w:pPr>
            <w:r w:rsidRPr="0062572A">
              <w:rPr>
                <w:rFonts w:cs="Calibri"/>
                <w:color w:val="000000"/>
                <w:szCs w:val="24"/>
              </w:rPr>
              <w:t>Wage transfer req</w:t>
            </w:r>
            <w:r>
              <w:rPr>
                <w:rFonts w:cs="Calibri"/>
                <w:color w:val="000000"/>
                <w:szCs w:val="24"/>
              </w:rPr>
              <w:t>uest</w:t>
            </w:r>
          </w:p>
        </w:tc>
        <w:tc>
          <w:tcPr>
            <w:tcW w:w="5940" w:type="dxa"/>
            <w:vAlign w:val="center"/>
          </w:tcPr>
          <w:p w14:paraId="1181C40C" w14:textId="4E023EED" w:rsidR="0007600E" w:rsidRPr="0062572A" w:rsidRDefault="0007600E" w:rsidP="0007600E">
            <w:pPr>
              <w:spacing w:after="0"/>
              <w:ind w:left="0"/>
              <w:rPr>
                <w:rFonts w:cs="Calibri"/>
                <w:color w:val="000000"/>
                <w:szCs w:val="24"/>
                <w:highlight w:val="yellow"/>
              </w:rPr>
            </w:pPr>
            <w:r>
              <w:rPr>
                <w:rFonts w:cs="Calibri"/>
                <w:color w:val="000000"/>
                <w:szCs w:val="24"/>
              </w:rPr>
              <w:t>ICON - n</w:t>
            </w:r>
            <w:r w:rsidRPr="0062572A">
              <w:rPr>
                <w:rFonts w:cs="Calibri"/>
                <w:color w:val="000000"/>
                <w:szCs w:val="24"/>
              </w:rPr>
              <w:t>o FTP</w:t>
            </w:r>
          </w:p>
        </w:tc>
      </w:tr>
      <w:tr w:rsidR="0007600E" w:rsidRPr="0062572A" w14:paraId="3517DB0A" w14:textId="77777777" w:rsidTr="005204B9">
        <w:tc>
          <w:tcPr>
            <w:tcW w:w="877" w:type="dxa"/>
            <w:vAlign w:val="center"/>
          </w:tcPr>
          <w:p w14:paraId="5F29C72E" w14:textId="54F75FB7" w:rsidR="0007600E" w:rsidRPr="0062572A" w:rsidRDefault="0007600E" w:rsidP="0007600E">
            <w:pPr>
              <w:spacing w:after="0"/>
              <w:ind w:left="0"/>
              <w:jc w:val="center"/>
              <w:rPr>
                <w:rFonts w:cs="Calibri"/>
                <w:color w:val="000000"/>
                <w:szCs w:val="24"/>
              </w:rPr>
            </w:pPr>
            <w:r>
              <w:rPr>
                <w:color w:val="000000"/>
                <w:szCs w:val="22"/>
              </w:rPr>
              <w:t>95</w:t>
            </w:r>
          </w:p>
        </w:tc>
        <w:tc>
          <w:tcPr>
            <w:tcW w:w="1530" w:type="dxa"/>
            <w:vAlign w:val="center"/>
          </w:tcPr>
          <w:p w14:paraId="60CB152A" w14:textId="77777777" w:rsidR="0007600E" w:rsidRPr="0062572A" w:rsidRDefault="0007600E" w:rsidP="0007600E">
            <w:pPr>
              <w:spacing w:after="0"/>
              <w:ind w:left="0"/>
              <w:rPr>
                <w:szCs w:val="24"/>
              </w:rPr>
            </w:pPr>
            <w:r w:rsidRPr="0062572A">
              <w:rPr>
                <w:rFonts w:cs="Calibri"/>
                <w:color w:val="000000"/>
                <w:szCs w:val="24"/>
              </w:rPr>
              <w:t>Both</w:t>
            </w:r>
          </w:p>
        </w:tc>
        <w:tc>
          <w:tcPr>
            <w:tcW w:w="1620" w:type="dxa"/>
            <w:vAlign w:val="center"/>
          </w:tcPr>
          <w:p w14:paraId="69F7C3D9" w14:textId="77777777" w:rsidR="0007600E" w:rsidRPr="0062572A" w:rsidRDefault="0007600E" w:rsidP="0007600E">
            <w:pPr>
              <w:spacing w:after="0"/>
              <w:ind w:left="0"/>
              <w:rPr>
                <w:szCs w:val="24"/>
              </w:rPr>
            </w:pPr>
            <w:r w:rsidRPr="0062572A">
              <w:rPr>
                <w:rFonts w:cs="Calibri"/>
                <w:color w:val="000000"/>
                <w:szCs w:val="24"/>
              </w:rPr>
              <w:t>Batch / Daily</w:t>
            </w:r>
          </w:p>
        </w:tc>
        <w:tc>
          <w:tcPr>
            <w:tcW w:w="2430" w:type="dxa"/>
            <w:vAlign w:val="center"/>
          </w:tcPr>
          <w:p w14:paraId="612142A2" w14:textId="20811ABF" w:rsidR="0007600E" w:rsidRPr="0062572A" w:rsidRDefault="0007600E" w:rsidP="0007600E">
            <w:pPr>
              <w:spacing w:after="0"/>
              <w:ind w:left="0"/>
              <w:rPr>
                <w:szCs w:val="24"/>
              </w:rPr>
            </w:pPr>
            <w:r w:rsidRPr="0062572A">
              <w:rPr>
                <w:rFonts w:cs="Calibri"/>
                <w:color w:val="000000"/>
                <w:szCs w:val="24"/>
              </w:rPr>
              <w:t>Vendor of the federal ICON HUB contract Lockheed Martin</w:t>
            </w:r>
          </w:p>
        </w:tc>
        <w:tc>
          <w:tcPr>
            <w:tcW w:w="2160" w:type="dxa"/>
            <w:vAlign w:val="center"/>
          </w:tcPr>
          <w:p w14:paraId="540622C8" w14:textId="41C1EABE" w:rsidR="0007600E" w:rsidRPr="0062572A" w:rsidRDefault="0007600E" w:rsidP="0007600E">
            <w:pPr>
              <w:spacing w:after="0"/>
              <w:ind w:left="0"/>
              <w:rPr>
                <w:szCs w:val="24"/>
              </w:rPr>
            </w:pPr>
            <w:r w:rsidRPr="0062572A">
              <w:rPr>
                <w:rFonts w:cs="Calibri"/>
                <w:color w:val="000000"/>
                <w:szCs w:val="24"/>
              </w:rPr>
              <w:t>IB6 transactions</w:t>
            </w:r>
          </w:p>
        </w:tc>
        <w:tc>
          <w:tcPr>
            <w:tcW w:w="5940" w:type="dxa"/>
            <w:vAlign w:val="center"/>
          </w:tcPr>
          <w:p w14:paraId="0A713C02" w14:textId="488FCCE5" w:rsidR="0007600E" w:rsidRPr="0062572A" w:rsidRDefault="0007600E" w:rsidP="0007600E">
            <w:pPr>
              <w:spacing w:after="0"/>
              <w:ind w:left="0"/>
              <w:rPr>
                <w:szCs w:val="24"/>
              </w:rPr>
            </w:pPr>
            <w:r>
              <w:rPr>
                <w:rFonts w:cs="Calibri"/>
                <w:color w:val="000000"/>
                <w:szCs w:val="24"/>
              </w:rPr>
              <w:t>ICON - n</w:t>
            </w:r>
            <w:r w:rsidRPr="0062572A">
              <w:rPr>
                <w:rFonts w:cs="Calibri"/>
                <w:color w:val="000000"/>
                <w:szCs w:val="24"/>
              </w:rPr>
              <w:t>o FTP</w:t>
            </w:r>
          </w:p>
        </w:tc>
      </w:tr>
      <w:tr w:rsidR="0007600E" w:rsidRPr="0062572A" w14:paraId="0FA88FD1" w14:textId="77777777" w:rsidTr="005204B9">
        <w:tc>
          <w:tcPr>
            <w:tcW w:w="877" w:type="dxa"/>
            <w:vAlign w:val="center"/>
          </w:tcPr>
          <w:p w14:paraId="6F3ADEF4" w14:textId="2CF0DB1D" w:rsidR="0007600E" w:rsidRPr="00E45811" w:rsidRDefault="0007600E" w:rsidP="0007600E">
            <w:pPr>
              <w:spacing w:after="0"/>
              <w:ind w:left="0"/>
              <w:jc w:val="center"/>
              <w:rPr>
                <w:rFonts w:cs="Calibri"/>
                <w:color w:val="000000"/>
                <w:szCs w:val="24"/>
              </w:rPr>
            </w:pPr>
            <w:bookmarkStart w:id="424" w:name="_Hlk536689276"/>
            <w:r>
              <w:rPr>
                <w:szCs w:val="22"/>
              </w:rPr>
              <w:t>96</w:t>
            </w:r>
          </w:p>
        </w:tc>
        <w:tc>
          <w:tcPr>
            <w:tcW w:w="1530" w:type="dxa"/>
            <w:vAlign w:val="center"/>
          </w:tcPr>
          <w:p w14:paraId="40882C0E" w14:textId="77777777" w:rsidR="0007600E" w:rsidRPr="0062572A" w:rsidRDefault="0007600E" w:rsidP="0007600E">
            <w:pPr>
              <w:spacing w:after="0"/>
              <w:ind w:left="0"/>
              <w:rPr>
                <w:szCs w:val="24"/>
              </w:rPr>
            </w:pPr>
            <w:r w:rsidRPr="0062572A">
              <w:rPr>
                <w:rFonts w:cs="Calibri"/>
                <w:color w:val="000000"/>
                <w:szCs w:val="24"/>
              </w:rPr>
              <w:t>Send</w:t>
            </w:r>
          </w:p>
        </w:tc>
        <w:tc>
          <w:tcPr>
            <w:tcW w:w="1620" w:type="dxa"/>
            <w:vAlign w:val="center"/>
          </w:tcPr>
          <w:p w14:paraId="430EE0D7" w14:textId="77777777" w:rsidR="0007600E" w:rsidRPr="0062572A" w:rsidRDefault="0007600E" w:rsidP="0007600E">
            <w:pPr>
              <w:spacing w:after="0"/>
              <w:ind w:left="0"/>
              <w:rPr>
                <w:szCs w:val="24"/>
              </w:rPr>
            </w:pPr>
            <w:r w:rsidRPr="0062572A">
              <w:rPr>
                <w:rFonts w:cs="Calibri"/>
                <w:color w:val="000000"/>
                <w:szCs w:val="24"/>
              </w:rPr>
              <w:t>Batch / Daily</w:t>
            </w:r>
          </w:p>
        </w:tc>
        <w:tc>
          <w:tcPr>
            <w:tcW w:w="2430" w:type="dxa"/>
            <w:vAlign w:val="center"/>
          </w:tcPr>
          <w:p w14:paraId="2CD46416" w14:textId="77777777" w:rsidR="0007600E" w:rsidRPr="0062572A" w:rsidRDefault="0007600E" w:rsidP="0007600E">
            <w:pPr>
              <w:spacing w:after="0"/>
              <w:ind w:left="0"/>
              <w:rPr>
                <w:szCs w:val="24"/>
              </w:rPr>
            </w:pPr>
            <w:r>
              <w:rPr>
                <w:rFonts w:cs="Calibri"/>
                <w:color w:val="000000"/>
                <w:szCs w:val="24"/>
              </w:rPr>
              <w:t>WIT</w:t>
            </w:r>
          </w:p>
        </w:tc>
        <w:tc>
          <w:tcPr>
            <w:tcW w:w="2160" w:type="dxa"/>
            <w:vAlign w:val="center"/>
          </w:tcPr>
          <w:p w14:paraId="6B105A82" w14:textId="3357D2D3" w:rsidR="0007600E" w:rsidRPr="0062572A" w:rsidRDefault="0007600E" w:rsidP="0007600E">
            <w:pPr>
              <w:spacing w:after="0"/>
              <w:ind w:left="0"/>
              <w:rPr>
                <w:szCs w:val="24"/>
              </w:rPr>
            </w:pPr>
            <w:r w:rsidRPr="0062572A">
              <w:rPr>
                <w:rFonts w:cs="Calibri"/>
                <w:color w:val="000000"/>
                <w:szCs w:val="24"/>
              </w:rPr>
              <w:t>Automatic registration</w:t>
            </w:r>
          </w:p>
        </w:tc>
        <w:tc>
          <w:tcPr>
            <w:tcW w:w="5940" w:type="dxa"/>
            <w:vAlign w:val="center"/>
          </w:tcPr>
          <w:p w14:paraId="6D6D281B" w14:textId="09E149E8" w:rsidR="0007600E" w:rsidRPr="0062572A" w:rsidRDefault="0007600E" w:rsidP="0007600E">
            <w:pPr>
              <w:spacing w:after="0"/>
              <w:ind w:left="0"/>
              <w:rPr>
                <w:szCs w:val="24"/>
              </w:rPr>
            </w:pPr>
            <w:r w:rsidRPr="0062572A">
              <w:rPr>
                <w:rFonts w:cs="Calibri"/>
                <w:color w:val="000000"/>
                <w:szCs w:val="24"/>
              </w:rPr>
              <w:t xml:space="preserve">Most UI </w:t>
            </w:r>
            <w:r>
              <w:rPr>
                <w:rFonts w:cs="Calibri"/>
                <w:color w:val="000000"/>
                <w:szCs w:val="24"/>
              </w:rPr>
              <w:t>Claimants</w:t>
            </w:r>
            <w:r w:rsidRPr="0062572A">
              <w:rPr>
                <w:rFonts w:cs="Calibri"/>
                <w:color w:val="000000"/>
                <w:szCs w:val="24"/>
              </w:rPr>
              <w:t xml:space="preserve"> are required to register for work within </w:t>
            </w:r>
            <w:r>
              <w:rPr>
                <w:rFonts w:cs="Calibri"/>
                <w:color w:val="000000"/>
                <w:szCs w:val="24"/>
              </w:rPr>
              <w:t>three (</w:t>
            </w:r>
            <w:r w:rsidRPr="00E45811">
              <w:rPr>
                <w:rFonts w:cs="Calibri"/>
                <w:color w:val="000000"/>
                <w:szCs w:val="24"/>
              </w:rPr>
              <w:t>3</w:t>
            </w:r>
            <w:r>
              <w:rPr>
                <w:rFonts w:cs="Calibri"/>
                <w:color w:val="000000"/>
                <w:szCs w:val="24"/>
              </w:rPr>
              <w:t>)</w:t>
            </w:r>
            <w:r w:rsidRPr="00E45811">
              <w:rPr>
                <w:rFonts w:cs="Calibri"/>
                <w:color w:val="000000"/>
                <w:szCs w:val="24"/>
              </w:rPr>
              <w:t xml:space="preserve"> </w:t>
            </w:r>
            <w:r>
              <w:rPr>
                <w:rFonts w:cs="Calibri"/>
                <w:color w:val="000000"/>
                <w:szCs w:val="24"/>
              </w:rPr>
              <w:t>days of filing their UI claim;</w:t>
            </w:r>
            <w:r w:rsidRPr="0062572A">
              <w:rPr>
                <w:rFonts w:cs="Calibri"/>
                <w:color w:val="000000"/>
                <w:szCs w:val="24"/>
              </w:rPr>
              <w:t xml:space="preserve"> </w:t>
            </w:r>
            <w:r>
              <w:rPr>
                <w:rFonts w:cs="Calibri"/>
                <w:color w:val="000000"/>
                <w:szCs w:val="24"/>
              </w:rPr>
              <w:t>t</w:t>
            </w:r>
            <w:r w:rsidRPr="0062572A">
              <w:rPr>
                <w:rFonts w:cs="Calibri"/>
                <w:color w:val="000000"/>
                <w:szCs w:val="24"/>
              </w:rPr>
              <w:t xml:space="preserve">his interface provides automatically generated work registrations for all </w:t>
            </w:r>
            <w:r>
              <w:rPr>
                <w:rFonts w:cs="Calibri"/>
                <w:color w:val="000000"/>
                <w:szCs w:val="24"/>
              </w:rPr>
              <w:t>Claimants</w:t>
            </w:r>
            <w:r w:rsidRPr="0062572A">
              <w:rPr>
                <w:rFonts w:cs="Calibri"/>
                <w:color w:val="000000"/>
                <w:szCs w:val="24"/>
              </w:rPr>
              <w:t xml:space="preserve"> who failed to register withi</w:t>
            </w:r>
            <w:r>
              <w:rPr>
                <w:rFonts w:cs="Calibri"/>
                <w:color w:val="000000"/>
                <w:szCs w:val="24"/>
              </w:rPr>
              <w:t>n the first seven (</w:t>
            </w:r>
            <w:r w:rsidRPr="00E45811">
              <w:rPr>
                <w:rFonts w:cs="Calibri"/>
                <w:color w:val="000000"/>
                <w:szCs w:val="24"/>
              </w:rPr>
              <w:t>7</w:t>
            </w:r>
            <w:r>
              <w:rPr>
                <w:rFonts w:cs="Calibri"/>
                <w:color w:val="000000"/>
                <w:szCs w:val="24"/>
              </w:rPr>
              <w:t>)</w:t>
            </w:r>
            <w:r w:rsidRPr="00E45811">
              <w:rPr>
                <w:rFonts w:cs="Calibri"/>
                <w:color w:val="000000"/>
                <w:szCs w:val="24"/>
              </w:rPr>
              <w:t xml:space="preserve"> </w:t>
            </w:r>
            <w:r>
              <w:rPr>
                <w:rFonts w:cs="Calibri"/>
                <w:color w:val="000000"/>
                <w:szCs w:val="24"/>
              </w:rPr>
              <w:t>days after filing</w:t>
            </w:r>
          </w:p>
        </w:tc>
      </w:tr>
      <w:tr w:rsidR="0007600E" w:rsidRPr="0062572A" w14:paraId="25349584" w14:textId="77777777" w:rsidTr="005204B9">
        <w:tc>
          <w:tcPr>
            <w:tcW w:w="877" w:type="dxa"/>
            <w:vAlign w:val="center"/>
          </w:tcPr>
          <w:p w14:paraId="535BA1ED" w14:textId="7C803DD4" w:rsidR="0007600E" w:rsidRPr="00B11D4E" w:rsidRDefault="0007600E" w:rsidP="0007600E">
            <w:pPr>
              <w:spacing w:after="0"/>
              <w:ind w:left="0"/>
              <w:jc w:val="center"/>
              <w:rPr>
                <w:rFonts w:cs="Calibri"/>
                <w:color w:val="000000"/>
                <w:szCs w:val="24"/>
              </w:rPr>
            </w:pPr>
            <w:r w:rsidRPr="00E45811">
              <w:rPr>
                <w:color w:val="000000"/>
                <w:szCs w:val="22"/>
              </w:rPr>
              <w:t>97</w:t>
            </w:r>
          </w:p>
        </w:tc>
        <w:tc>
          <w:tcPr>
            <w:tcW w:w="1530" w:type="dxa"/>
            <w:vAlign w:val="center"/>
          </w:tcPr>
          <w:p w14:paraId="7D5FD038" w14:textId="791C3084" w:rsidR="0007600E" w:rsidRPr="00B11D4E" w:rsidRDefault="0007600E" w:rsidP="0007600E">
            <w:pPr>
              <w:spacing w:after="0"/>
              <w:ind w:left="0"/>
              <w:rPr>
                <w:rFonts w:cs="Calibri"/>
                <w:color w:val="000000"/>
                <w:szCs w:val="24"/>
              </w:rPr>
            </w:pPr>
            <w:r w:rsidRPr="00B11D4E">
              <w:rPr>
                <w:rFonts w:cs="Calibri"/>
                <w:color w:val="000000"/>
                <w:szCs w:val="24"/>
              </w:rPr>
              <w:t xml:space="preserve">Receive </w:t>
            </w:r>
          </w:p>
        </w:tc>
        <w:tc>
          <w:tcPr>
            <w:tcW w:w="1620" w:type="dxa"/>
            <w:vAlign w:val="center"/>
          </w:tcPr>
          <w:p w14:paraId="5FC3ED5A" w14:textId="77777777" w:rsidR="0007600E" w:rsidRPr="00B11D4E" w:rsidRDefault="0007600E" w:rsidP="0007600E">
            <w:pPr>
              <w:spacing w:after="0"/>
              <w:ind w:left="0"/>
              <w:rPr>
                <w:rFonts w:cs="Calibri"/>
                <w:color w:val="000000"/>
                <w:szCs w:val="24"/>
              </w:rPr>
            </w:pPr>
            <w:r w:rsidRPr="00B11D4E">
              <w:rPr>
                <w:rFonts w:cs="Calibri"/>
                <w:color w:val="000000"/>
                <w:szCs w:val="24"/>
              </w:rPr>
              <w:t>Daily</w:t>
            </w:r>
          </w:p>
        </w:tc>
        <w:tc>
          <w:tcPr>
            <w:tcW w:w="2430" w:type="dxa"/>
            <w:vAlign w:val="center"/>
          </w:tcPr>
          <w:p w14:paraId="7A757D05" w14:textId="77777777" w:rsidR="0007600E" w:rsidRPr="007824B3" w:rsidRDefault="0007600E" w:rsidP="0007600E">
            <w:pPr>
              <w:spacing w:after="0"/>
              <w:ind w:left="0"/>
              <w:rPr>
                <w:rFonts w:cs="Calibri"/>
                <w:color w:val="000000"/>
                <w:szCs w:val="24"/>
              </w:rPr>
            </w:pPr>
            <w:r w:rsidRPr="007824B3">
              <w:rPr>
                <w:rFonts w:cs="Calibri"/>
                <w:color w:val="000000"/>
                <w:szCs w:val="24"/>
              </w:rPr>
              <w:t>WIT</w:t>
            </w:r>
          </w:p>
        </w:tc>
        <w:tc>
          <w:tcPr>
            <w:tcW w:w="2160" w:type="dxa"/>
            <w:vAlign w:val="center"/>
          </w:tcPr>
          <w:p w14:paraId="084A152B" w14:textId="35DDB14C" w:rsidR="0007600E" w:rsidRPr="007824B3" w:rsidRDefault="0007600E" w:rsidP="0007600E">
            <w:pPr>
              <w:spacing w:after="0"/>
              <w:ind w:left="0"/>
              <w:rPr>
                <w:rFonts w:cs="Calibri"/>
                <w:color w:val="000000"/>
                <w:szCs w:val="24"/>
              </w:rPr>
            </w:pPr>
            <w:r w:rsidRPr="007824B3">
              <w:rPr>
                <w:rFonts w:cs="Calibri"/>
                <w:color w:val="000000"/>
                <w:szCs w:val="24"/>
              </w:rPr>
              <w:t>RESEA failure to attend</w:t>
            </w:r>
          </w:p>
        </w:tc>
        <w:tc>
          <w:tcPr>
            <w:tcW w:w="5940" w:type="dxa"/>
            <w:vAlign w:val="center"/>
          </w:tcPr>
          <w:p w14:paraId="1D1AB8E9" w14:textId="50A85749" w:rsidR="0007600E" w:rsidRPr="007824B3" w:rsidRDefault="0007600E" w:rsidP="0007600E">
            <w:pPr>
              <w:spacing w:after="0"/>
              <w:ind w:left="0"/>
              <w:rPr>
                <w:rFonts w:cs="Calibri"/>
                <w:color w:val="000000"/>
                <w:szCs w:val="24"/>
              </w:rPr>
            </w:pPr>
            <w:r w:rsidRPr="007824B3">
              <w:rPr>
                <w:rFonts w:cs="Calibri"/>
                <w:color w:val="000000"/>
                <w:szCs w:val="24"/>
              </w:rPr>
              <w:t xml:space="preserve">WIT notifies UI Benefits when claimants fail to attend </w:t>
            </w:r>
            <w:r w:rsidR="000C7B2B" w:rsidRPr="007824B3">
              <w:rPr>
                <w:rFonts w:cs="Calibri"/>
                <w:color w:val="000000"/>
                <w:szCs w:val="24"/>
              </w:rPr>
              <w:t xml:space="preserve">RESEA </w:t>
            </w:r>
            <w:r w:rsidRPr="007824B3">
              <w:rPr>
                <w:rFonts w:cs="Calibri"/>
                <w:color w:val="000000"/>
                <w:szCs w:val="24"/>
              </w:rPr>
              <w:t>mandatory meetings</w:t>
            </w:r>
          </w:p>
        </w:tc>
      </w:tr>
      <w:tr w:rsidR="0007600E" w:rsidRPr="0062572A" w14:paraId="60EEBF13" w14:textId="77777777" w:rsidTr="005204B9">
        <w:tc>
          <w:tcPr>
            <w:tcW w:w="877" w:type="dxa"/>
            <w:vAlign w:val="center"/>
          </w:tcPr>
          <w:p w14:paraId="6D58BEBE" w14:textId="116C3F5E" w:rsidR="0007600E" w:rsidRPr="00E45811" w:rsidRDefault="0007600E" w:rsidP="0007600E">
            <w:pPr>
              <w:spacing w:after="0"/>
              <w:ind w:left="0"/>
              <w:jc w:val="center"/>
              <w:rPr>
                <w:rFonts w:cs="Calibri"/>
                <w:color w:val="000000"/>
                <w:szCs w:val="24"/>
              </w:rPr>
            </w:pPr>
            <w:r w:rsidRPr="00B11D4E">
              <w:rPr>
                <w:color w:val="000000"/>
                <w:szCs w:val="22"/>
              </w:rPr>
              <w:t>98</w:t>
            </w:r>
          </w:p>
        </w:tc>
        <w:tc>
          <w:tcPr>
            <w:tcW w:w="1530" w:type="dxa"/>
            <w:vAlign w:val="center"/>
          </w:tcPr>
          <w:p w14:paraId="009A7E68" w14:textId="71303F5C" w:rsidR="0007600E" w:rsidRPr="007824B3" w:rsidRDefault="0007600E" w:rsidP="0007600E">
            <w:pPr>
              <w:spacing w:after="0"/>
              <w:ind w:left="0"/>
              <w:rPr>
                <w:szCs w:val="24"/>
              </w:rPr>
            </w:pPr>
            <w:r>
              <w:rPr>
                <w:rFonts w:cs="Calibri"/>
                <w:color w:val="000000"/>
                <w:szCs w:val="24"/>
              </w:rPr>
              <w:t>Send</w:t>
            </w:r>
          </w:p>
        </w:tc>
        <w:tc>
          <w:tcPr>
            <w:tcW w:w="1620" w:type="dxa"/>
            <w:vAlign w:val="center"/>
          </w:tcPr>
          <w:p w14:paraId="41F0072A" w14:textId="77777777" w:rsidR="0007600E" w:rsidRPr="007824B3" w:rsidRDefault="0007600E" w:rsidP="0007600E">
            <w:pPr>
              <w:spacing w:after="0"/>
              <w:ind w:left="0"/>
              <w:rPr>
                <w:szCs w:val="24"/>
              </w:rPr>
            </w:pPr>
            <w:r w:rsidRPr="007824B3">
              <w:rPr>
                <w:szCs w:val="24"/>
              </w:rPr>
              <w:t>Daily</w:t>
            </w:r>
          </w:p>
        </w:tc>
        <w:tc>
          <w:tcPr>
            <w:tcW w:w="2430" w:type="dxa"/>
            <w:vAlign w:val="center"/>
          </w:tcPr>
          <w:p w14:paraId="304FB69E" w14:textId="77777777" w:rsidR="0007600E" w:rsidRPr="007824B3" w:rsidRDefault="0007600E" w:rsidP="0007600E">
            <w:pPr>
              <w:spacing w:after="0"/>
              <w:ind w:left="0"/>
              <w:rPr>
                <w:rFonts w:cs="Calibri"/>
                <w:color w:val="000000"/>
                <w:szCs w:val="24"/>
              </w:rPr>
            </w:pPr>
            <w:r w:rsidRPr="007824B3">
              <w:rPr>
                <w:rFonts w:cs="Calibri"/>
                <w:color w:val="000000"/>
                <w:szCs w:val="24"/>
              </w:rPr>
              <w:t>WIT</w:t>
            </w:r>
          </w:p>
        </w:tc>
        <w:tc>
          <w:tcPr>
            <w:tcW w:w="2160" w:type="dxa"/>
            <w:vAlign w:val="center"/>
          </w:tcPr>
          <w:p w14:paraId="7D1DA0F7" w14:textId="475E6732" w:rsidR="0007600E" w:rsidRPr="007824B3" w:rsidRDefault="0007600E" w:rsidP="0007600E">
            <w:pPr>
              <w:spacing w:after="0"/>
              <w:ind w:left="0"/>
              <w:rPr>
                <w:rFonts w:cs="Calibri"/>
                <w:color w:val="000000"/>
                <w:szCs w:val="24"/>
              </w:rPr>
            </w:pPr>
            <w:r w:rsidRPr="007824B3">
              <w:rPr>
                <w:rFonts w:cs="Calibri"/>
                <w:color w:val="000000"/>
                <w:szCs w:val="24"/>
              </w:rPr>
              <w:t xml:space="preserve">RESEA </w:t>
            </w:r>
            <w:r>
              <w:rPr>
                <w:rFonts w:cs="Calibri"/>
                <w:color w:val="000000"/>
                <w:szCs w:val="24"/>
              </w:rPr>
              <w:t>r</w:t>
            </w:r>
            <w:r w:rsidRPr="007824B3">
              <w:rPr>
                <w:rFonts w:cs="Calibri"/>
                <w:color w:val="000000"/>
                <w:szCs w:val="24"/>
              </w:rPr>
              <w:t>escheduling</w:t>
            </w:r>
          </w:p>
        </w:tc>
        <w:tc>
          <w:tcPr>
            <w:tcW w:w="5940" w:type="dxa"/>
            <w:vAlign w:val="center"/>
          </w:tcPr>
          <w:p w14:paraId="74B50E33" w14:textId="77777777" w:rsidR="0007600E" w:rsidRPr="007824B3" w:rsidRDefault="0007600E" w:rsidP="0007600E">
            <w:pPr>
              <w:spacing w:after="0"/>
              <w:ind w:left="0"/>
              <w:rPr>
                <w:rFonts w:cs="Calibri"/>
                <w:color w:val="000000"/>
                <w:szCs w:val="24"/>
              </w:rPr>
            </w:pPr>
            <w:r w:rsidRPr="007824B3">
              <w:rPr>
                <w:rFonts w:cs="Calibri"/>
                <w:color w:val="000000"/>
                <w:szCs w:val="24"/>
              </w:rPr>
              <w:t>UI Benefit notifies WIT to reschedule RESEA orientation meetings for claimants who failed to attend</w:t>
            </w:r>
          </w:p>
        </w:tc>
      </w:tr>
      <w:tr w:rsidR="0007600E" w:rsidRPr="0062572A" w14:paraId="0EC17C9C" w14:textId="77777777" w:rsidTr="002018F4">
        <w:tc>
          <w:tcPr>
            <w:tcW w:w="877" w:type="dxa"/>
            <w:vAlign w:val="center"/>
          </w:tcPr>
          <w:p w14:paraId="513DB926" w14:textId="05957A8E" w:rsidR="0007600E" w:rsidRDefault="0007600E" w:rsidP="0007600E">
            <w:pPr>
              <w:spacing w:after="0"/>
              <w:ind w:left="0"/>
              <w:jc w:val="center"/>
            </w:pPr>
            <w:r>
              <w:rPr>
                <w:szCs w:val="22"/>
              </w:rPr>
              <w:t>99</w:t>
            </w:r>
          </w:p>
        </w:tc>
        <w:tc>
          <w:tcPr>
            <w:tcW w:w="1530" w:type="dxa"/>
            <w:vAlign w:val="center"/>
          </w:tcPr>
          <w:p w14:paraId="47F4C25E" w14:textId="77777777" w:rsidR="0007600E" w:rsidRDefault="0007600E" w:rsidP="0007600E">
            <w:pPr>
              <w:spacing w:after="0"/>
              <w:ind w:left="0"/>
            </w:pPr>
            <w:r w:rsidRPr="00BE3ECA">
              <w:t>Send</w:t>
            </w:r>
          </w:p>
        </w:tc>
        <w:tc>
          <w:tcPr>
            <w:tcW w:w="1620" w:type="dxa"/>
            <w:vAlign w:val="center"/>
          </w:tcPr>
          <w:p w14:paraId="13D168A4" w14:textId="77777777" w:rsidR="0007600E" w:rsidRDefault="0007600E" w:rsidP="0007600E">
            <w:pPr>
              <w:spacing w:after="0"/>
              <w:ind w:left="0"/>
            </w:pPr>
            <w:r w:rsidRPr="00BE3ECA">
              <w:t>Daily</w:t>
            </w:r>
          </w:p>
        </w:tc>
        <w:tc>
          <w:tcPr>
            <w:tcW w:w="2430" w:type="dxa"/>
            <w:vAlign w:val="center"/>
          </w:tcPr>
          <w:p w14:paraId="63A822E8" w14:textId="77777777" w:rsidR="0007600E" w:rsidRDefault="0007600E" w:rsidP="0007600E">
            <w:pPr>
              <w:spacing w:after="0"/>
              <w:ind w:left="0"/>
            </w:pPr>
            <w:r w:rsidRPr="00BE3ECA">
              <w:t>WIT</w:t>
            </w:r>
          </w:p>
        </w:tc>
        <w:tc>
          <w:tcPr>
            <w:tcW w:w="2160" w:type="dxa"/>
            <w:vAlign w:val="center"/>
          </w:tcPr>
          <w:p w14:paraId="44501B7D" w14:textId="77777777" w:rsidR="0007600E" w:rsidRDefault="0007600E" w:rsidP="0007600E">
            <w:pPr>
              <w:spacing w:after="0"/>
              <w:ind w:left="0"/>
            </w:pPr>
            <w:r w:rsidRPr="00BE3ECA">
              <w:t>RESEA Pool</w:t>
            </w:r>
          </w:p>
        </w:tc>
        <w:tc>
          <w:tcPr>
            <w:tcW w:w="5940" w:type="dxa"/>
            <w:vAlign w:val="center"/>
          </w:tcPr>
          <w:p w14:paraId="503B51E4" w14:textId="77777777" w:rsidR="0007600E" w:rsidRDefault="0007600E" w:rsidP="0007600E">
            <w:pPr>
              <w:spacing w:after="0"/>
              <w:ind w:left="0"/>
            </w:pPr>
            <w:r w:rsidRPr="00BE3ECA">
              <w:t>UI Benefits sends WIT new claimants to be scheduled for RESEA</w:t>
            </w:r>
          </w:p>
        </w:tc>
      </w:tr>
      <w:tr w:rsidR="0007600E" w:rsidRPr="0062572A" w14:paraId="06C440CE" w14:textId="77777777" w:rsidTr="005204B9">
        <w:tc>
          <w:tcPr>
            <w:tcW w:w="877" w:type="dxa"/>
            <w:vAlign w:val="center"/>
          </w:tcPr>
          <w:p w14:paraId="2FE56273" w14:textId="429738D2" w:rsidR="0007600E" w:rsidRDefault="0007600E" w:rsidP="0007600E">
            <w:pPr>
              <w:spacing w:after="0"/>
              <w:ind w:left="0"/>
              <w:jc w:val="center"/>
              <w:rPr>
                <w:color w:val="000000"/>
              </w:rPr>
            </w:pPr>
            <w:r>
              <w:t>100</w:t>
            </w:r>
          </w:p>
        </w:tc>
        <w:tc>
          <w:tcPr>
            <w:tcW w:w="1530" w:type="dxa"/>
            <w:vAlign w:val="center"/>
          </w:tcPr>
          <w:p w14:paraId="0DFE9FCF" w14:textId="449B0C72" w:rsidR="0007600E" w:rsidRDefault="0007600E" w:rsidP="0007600E">
            <w:pPr>
              <w:spacing w:after="0"/>
              <w:ind w:left="0"/>
              <w:rPr>
                <w:rFonts w:cs="Calibri"/>
                <w:color w:val="000000"/>
                <w:szCs w:val="24"/>
              </w:rPr>
            </w:pPr>
            <w:r>
              <w:t>Receive</w:t>
            </w:r>
          </w:p>
        </w:tc>
        <w:tc>
          <w:tcPr>
            <w:tcW w:w="1620" w:type="dxa"/>
            <w:vAlign w:val="center"/>
          </w:tcPr>
          <w:p w14:paraId="7C458D5B" w14:textId="0B3959CB" w:rsidR="0007600E" w:rsidRPr="007824B3" w:rsidRDefault="0007600E" w:rsidP="0007600E">
            <w:pPr>
              <w:spacing w:after="0"/>
              <w:ind w:left="0"/>
              <w:rPr>
                <w:rFonts w:cs="Calibri"/>
                <w:color w:val="000000"/>
                <w:szCs w:val="24"/>
              </w:rPr>
            </w:pPr>
            <w:r>
              <w:t>Batch/ Daily</w:t>
            </w:r>
          </w:p>
        </w:tc>
        <w:tc>
          <w:tcPr>
            <w:tcW w:w="2430" w:type="dxa"/>
            <w:vAlign w:val="center"/>
          </w:tcPr>
          <w:p w14:paraId="134CCF00" w14:textId="5DDC22F5" w:rsidR="0007600E" w:rsidRPr="007824B3" w:rsidRDefault="0007600E" w:rsidP="0007600E">
            <w:pPr>
              <w:spacing w:after="0"/>
              <w:ind w:left="0"/>
              <w:rPr>
                <w:rFonts w:cs="Calibri"/>
                <w:color w:val="000000"/>
                <w:szCs w:val="24"/>
              </w:rPr>
            </w:pPr>
            <w:r w:rsidRPr="007824B3">
              <w:rPr>
                <w:rFonts w:cs="Calibri"/>
                <w:color w:val="000000"/>
                <w:szCs w:val="24"/>
              </w:rPr>
              <w:t>WIT</w:t>
            </w:r>
          </w:p>
        </w:tc>
        <w:tc>
          <w:tcPr>
            <w:tcW w:w="2160" w:type="dxa"/>
            <w:vAlign w:val="center"/>
          </w:tcPr>
          <w:p w14:paraId="04ADFF0E" w14:textId="4EA919B2" w:rsidR="0007600E" w:rsidRDefault="0007600E" w:rsidP="0007600E">
            <w:pPr>
              <w:spacing w:after="0"/>
              <w:ind w:left="0"/>
            </w:pPr>
            <w:r>
              <w:t xml:space="preserve">RESEA - Letter Print Process - </w:t>
            </w:r>
            <w:r>
              <w:lastRenderedPageBreak/>
              <w:t>Receive Print Status</w:t>
            </w:r>
          </w:p>
        </w:tc>
        <w:tc>
          <w:tcPr>
            <w:tcW w:w="5940" w:type="dxa"/>
            <w:vAlign w:val="center"/>
          </w:tcPr>
          <w:p w14:paraId="221E7D93" w14:textId="1AC41111" w:rsidR="0007600E" w:rsidRPr="007824B3" w:rsidRDefault="0007600E" w:rsidP="0007600E">
            <w:pPr>
              <w:spacing w:after="0"/>
              <w:ind w:left="0"/>
              <w:rPr>
                <w:rFonts w:cs="Calibri"/>
                <w:color w:val="000000"/>
                <w:szCs w:val="24"/>
              </w:rPr>
            </w:pPr>
            <w:r>
              <w:lastRenderedPageBreak/>
              <w:t>Send metadata to UI Benefits system about RESEA scheduling to support ETA 9128 and ETA 9129 reports</w:t>
            </w:r>
          </w:p>
        </w:tc>
      </w:tr>
      <w:tr w:rsidR="0007600E" w:rsidRPr="0062572A" w14:paraId="46472171" w14:textId="77777777" w:rsidTr="005204B9">
        <w:tc>
          <w:tcPr>
            <w:tcW w:w="877" w:type="dxa"/>
            <w:vAlign w:val="center"/>
          </w:tcPr>
          <w:p w14:paraId="4225222E" w14:textId="44255D41" w:rsidR="0007600E" w:rsidRPr="007824B3" w:rsidRDefault="0007600E" w:rsidP="0007600E">
            <w:pPr>
              <w:spacing w:after="0"/>
              <w:ind w:left="0"/>
              <w:jc w:val="center"/>
              <w:rPr>
                <w:rFonts w:cs="Calibri"/>
                <w:color w:val="000000"/>
                <w:szCs w:val="24"/>
              </w:rPr>
            </w:pPr>
            <w:r>
              <w:rPr>
                <w:color w:val="000000"/>
              </w:rPr>
              <w:t>101</w:t>
            </w:r>
          </w:p>
        </w:tc>
        <w:tc>
          <w:tcPr>
            <w:tcW w:w="1530" w:type="dxa"/>
            <w:vAlign w:val="center"/>
          </w:tcPr>
          <w:p w14:paraId="259D163B" w14:textId="407024F6" w:rsidR="0007600E" w:rsidRPr="007824B3" w:rsidRDefault="0007600E" w:rsidP="0007600E">
            <w:pPr>
              <w:spacing w:after="0"/>
              <w:ind w:left="0"/>
              <w:rPr>
                <w:rFonts w:cs="Calibri"/>
                <w:color w:val="000000"/>
                <w:szCs w:val="24"/>
              </w:rPr>
            </w:pPr>
            <w:r>
              <w:rPr>
                <w:rFonts w:cs="Calibri"/>
                <w:color w:val="000000"/>
                <w:szCs w:val="24"/>
              </w:rPr>
              <w:t>Send</w:t>
            </w:r>
          </w:p>
        </w:tc>
        <w:tc>
          <w:tcPr>
            <w:tcW w:w="1620" w:type="dxa"/>
            <w:vAlign w:val="center"/>
          </w:tcPr>
          <w:p w14:paraId="166A8EE8" w14:textId="77777777" w:rsidR="0007600E" w:rsidRPr="007824B3" w:rsidRDefault="0007600E" w:rsidP="0007600E">
            <w:pPr>
              <w:spacing w:after="0"/>
              <w:ind w:left="0"/>
              <w:rPr>
                <w:rFonts w:cs="Calibri"/>
                <w:color w:val="000000"/>
                <w:szCs w:val="24"/>
              </w:rPr>
            </w:pPr>
            <w:r w:rsidRPr="007824B3">
              <w:rPr>
                <w:rFonts w:cs="Calibri"/>
                <w:color w:val="000000"/>
                <w:szCs w:val="24"/>
              </w:rPr>
              <w:t>Weekly</w:t>
            </w:r>
          </w:p>
        </w:tc>
        <w:tc>
          <w:tcPr>
            <w:tcW w:w="2430" w:type="dxa"/>
            <w:vAlign w:val="center"/>
          </w:tcPr>
          <w:p w14:paraId="10F919F9" w14:textId="77777777" w:rsidR="0007600E" w:rsidRPr="007824B3" w:rsidRDefault="0007600E" w:rsidP="0007600E">
            <w:pPr>
              <w:spacing w:after="0"/>
              <w:ind w:left="0"/>
              <w:rPr>
                <w:rFonts w:cs="Calibri"/>
                <w:color w:val="000000"/>
                <w:szCs w:val="24"/>
              </w:rPr>
            </w:pPr>
            <w:r w:rsidRPr="007824B3">
              <w:rPr>
                <w:rFonts w:cs="Calibri"/>
                <w:color w:val="000000"/>
                <w:szCs w:val="24"/>
              </w:rPr>
              <w:t>WIT</w:t>
            </w:r>
          </w:p>
        </w:tc>
        <w:tc>
          <w:tcPr>
            <w:tcW w:w="2160" w:type="dxa"/>
            <w:vAlign w:val="center"/>
          </w:tcPr>
          <w:p w14:paraId="3F662812" w14:textId="2D48C286" w:rsidR="0007600E" w:rsidRPr="007824B3" w:rsidRDefault="0007600E" w:rsidP="0007600E">
            <w:pPr>
              <w:spacing w:after="0"/>
              <w:ind w:left="0"/>
              <w:rPr>
                <w:rFonts w:cs="Calibri"/>
                <w:color w:val="000000"/>
                <w:szCs w:val="24"/>
              </w:rPr>
            </w:pPr>
            <w:r>
              <w:t>Rapid Reemployment Model</w:t>
            </w:r>
            <w:r w:rsidRPr="007824B3">
              <w:rPr>
                <w:rFonts w:cs="Calibri"/>
                <w:color w:val="000000"/>
                <w:szCs w:val="24"/>
              </w:rPr>
              <w:t xml:space="preserve"> </w:t>
            </w:r>
            <w:r>
              <w:rPr>
                <w:rFonts w:cs="Calibri"/>
                <w:color w:val="000000"/>
                <w:szCs w:val="24"/>
              </w:rPr>
              <w:t>(</w:t>
            </w:r>
            <w:r w:rsidRPr="007824B3">
              <w:rPr>
                <w:rFonts w:cs="Calibri"/>
                <w:color w:val="000000"/>
                <w:szCs w:val="24"/>
              </w:rPr>
              <w:t>RREM</w:t>
            </w:r>
            <w:r>
              <w:rPr>
                <w:rFonts w:cs="Calibri"/>
                <w:color w:val="000000"/>
                <w:szCs w:val="24"/>
              </w:rPr>
              <w:t>)</w:t>
            </w:r>
            <w:r w:rsidRPr="007824B3">
              <w:rPr>
                <w:rFonts w:cs="Calibri"/>
                <w:color w:val="000000"/>
                <w:szCs w:val="24"/>
              </w:rPr>
              <w:t xml:space="preserve"> </w:t>
            </w:r>
            <w:r>
              <w:rPr>
                <w:rFonts w:cs="Calibri"/>
                <w:color w:val="000000"/>
                <w:szCs w:val="24"/>
              </w:rPr>
              <w:t>s</w:t>
            </w:r>
            <w:r w:rsidRPr="007824B3">
              <w:rPr>
                <w:rFonts w:cs="Calibri"/>
                <w:color w:val="000000"/>
                <w:szCs w:val="24"/>
              </w:rPr>
              <w:t>coring</w:t>
            </w:r>
          </w:p>
        </w:tc>
        <w:tc>
          <w:tcPr>
            <w:tcW w:w="5940" w:type="dxa"/>
            <w:vAlign w:val="center"/>
          </w:tcPr>
          <w:p w14:paraId="4D1C005F" w14:textId="77777777" w:rsidR="0007600E" w:rsidRPr="007824B3" w:rsidRDefault="0007600E" w:rsidP="0007600E">
            <w:pPr>
              <w:spacing w:after="0"/>
              <w:ind w:left="0"/>
              <w:rPr>
                <w:rFonts w:cs="Calibri"/>
                <w:color w:val="000000"/>
                <w:szCs w:val="24"/>
              </w:rPr>
            </w:pPr>
            <w:r w:rsidRPr="007824B3">
              <w:rPr>
                <w:rFonts w:cs="Calibri"/>
                <w:color w:val="000000"/>
                <w:szCs w:val="24"/>
              </w:rPr>
              <w:t>UI Benefits sends RESEA scores to WIT</w:t>
            </w:r>
          </w:p>
        </w:tc>
      </w:tr>
      <w:tr w:rsidR="0007600E" w:rsidRPr="0062572A" w14:paraId="09BAC169" w14:textId="77777777" w:rsidTr="005204B9">
        <w:tc>
          <w:tcPr>
            <w:tcW w:w="877" w:type="dxa"/>
            <w:vAlign w:val="center"/>
          </w:tcPr>
          <w:p w14:paraId="31DAB93A" w14:textId="46C4B36D" w:rsidR="0007600E" w:rsidRPr="00DD1B75" w:rsidRDefault="0007600E" w:rsidP="0007600E">
            <w:pPr>
              <w:spacing w:after="0"/>
              <w:ind w:left="0"/>
              <w:jc w:val="center"/>
              <w:rPr>
                <w:szCs w:val="24"/>
              </w:rPr>
            </w:pPr>
            <w:r>
              <w:rPr>
                <w:szCs w:val="22"/>
              </w:rPr>
              <w:t>102</w:t>
            </w:r>
          </w:p>
        </w:tc>
        <w:tc>
          <w:tcPr>
            <w:tcW w:w="1530" w:type="dxa"/>
            <w:vAlign w:val="center"/>
          </w:tcPr>
          <w:p w14:paraId="2F00C35B" w14:textId="77777777" w:rsidR="0007600E" w:rsidRPr="00E45811" w:rsidRDefault="0007600E" w:rsidP="0007600E">
            <w:pPr>
              <w:spacing w:after="0"/>
              <w:ind w:left="0"/>
              <w:rPr>
                <w:szCs w:val="24"/>
              </w:rPr>
            </w:pPr>
            <w:r w:rsidRPr="00E45811">
              <w:rPr>
                <w:rFonts w:cs="Calibri"/>
                <w:color w:val="000000"/>
                <w:szCs w:val="24"/>
              </w:rPr>
              <w:t>Send</w:t>
            </w:r>
          </w:p>
        </w:tc>
        <w:tc>
          <w:tcPr>
            <w:tcW w:w="1620" w:type="dxa"/>
            <w:vAlign w:val="center"/>
          </w:tcPr>
          <w:p w14:paraId="4B53595E" w14:textId="380073D1" w:rsidR="0007600E" w:rsidRPr="00E45811" w:rsidRDefault="0007600E" w:rsidP="0007600E">
            <w:pPr>
              <w:spacing w:after="0"/>
              <w:ind w:left="0"/>
              <w:rPr>
                <w:szCs w:val="24"/>
              </w:rPr>
            </w:pPr>
            <w:r w:rsidRPr="00E45811">
              <w:rPr>
                <w:rFonts w:cs="Calibri"/>
                <w:color w:val="000000"/>
                <w:szCs w:val="24"/>
              </w:rPr>
              <w:t>Batch/ Daily</w:t>
            </w:r>
          </w:p>
        </w:tc>
        <w:tc>
          <w:tcPr>
            <w:tcW w:w="2430" w:type="dxa"/>
            <w:vAlign w:val="center"/>
          </w:tcPr>
          <w:p w14:paraId="579846C9" w14:textId="77777777" w:rsidR="0007600E" w:rsidRPr="00E45811" w:rsidRDefault="0007600E" w:rsidP="0007600E">
            <w:pPr>
              <w:spacing w:after="0"/>
              <w:ind w:left="0"/>
              <w:rPr>
                <w:szCs w:val="24"/>
              </w:rPr>
            </w:pPr>
            <w:r w:rsidRPr="00E45811">
              <w:rPr>
                <w:rFonts w:cs="Calibri"/>
                <w:color w:val="000000"/>
                <w:szCs w:val="24"/>
              </w:rPr>
              <w:t>WIT</w:t>
            </w:r>
          </w:p>
        </w:tc>
        <w:tc>
          <w:tcPr>
            <w:tcW w:w="2160" w:type="dxa"/>
            <w:vAlign w:val="center"/>
          </w:tcPr>
          <w:p w14:paraId="07E06C7B" w14:textId="45AD528A" w:rsidR="0007600E" w:rsidRPr="00E45811" w:rsidRDefault="0007600E" w:rsidP="0007600E">
            <w:pPr>
              <w:spacing w:after="0"/>
              <w:ind w:left="0"/>
              <w:rPr>
                <w:szCs w:val="24"/>
              </w:rPr>
            </w:pPr>
            <w:r w:rsidRPr="00E45811">
              <w:rPr>
                <w:rFonts w:cs="Calibri"/>
                <w:color w:val="000000"/>
                <w:szCs w:val="24"/>
              </w:rPr>
              <w:t>Unregistered claimants interface</w:t>
            </w:r>
          </w:p>
        </w:tc>
        <w:tc>
          <w:tcPr>
            <w:tcW w:w="5940" w:type="dxa"/>
            <w:vAlign w:val="center"/>
          </w:tcPr>
          <w:p w14:paraId="47AE6DE5" w14:textId="179881FC" w:rsidR="0007600E" w:rsidRPr="00E45811" w:rsidRDefault="0007600E" w:rsidP="0007600E">
            <w:pPr>
              <w:spacing w:after="0"/>
              <w:ind w:left="0"/>
              <w:rPr>
                <w:rFonts w:cs="Calibri"/>
                <w:color w:val="000000"/>
                <w:szCs w:val="24"/>
              </w:rPr>
            </w:pPr>
            <w:r w:rsidRPr="00E45811">
              <w:rPr>
                <w:rFonts w:cs="Calibri"/>
                <w:color w:val="000000"/>
                <w:szCs w:val="24"/>
              </w:rPr>
              <w:t xml:space="preserve">Most UI Claimants are required to register for work within </w:t>
            </w:r>
            <w:r>
              <w:rPr>
                <w:rFonts w:cs="Calibri"/>
                <w:color w:val="000000"/>
                <w:szCs w:val="24"/>
              </w:rPr>
              <w:t>three (</w:t>
            </w:r>
            <w:r w:rsidRPr="00E45811">
              <w:rPr>
                <w:rFonts w:cs="Calibri"/>
                <w:color w:val="000000"/>
                <w:szCs w:val="24"/>
              </w:rPr>
              <w:t>3</w:t>
            </w:r>
            <w:r>
              <w:rPr>
                <w:rFonts w:cs="Calibri"/>
                <w:color w:val="000000"/>
                <w:szCs w:val="24"/>
              </w:rPr>
              <w:t>)</w:t>
            </w:r>
            <w:r w:rsidRPr="00E45811">
              <w:rPr>
                <w:rFonts w:cs="Calibri"/>
                <w:color w:val="000000"/>
                <w:szCs w:val="24"/>
              </w:rPr>
              <w:t xml:space="preserve"> days of filing their UI claim; this interface creates transactions to be processed by the Automatic Registration interfaces, which automatically generates work registrations for all Claimants who failed to register within the first </w:t>
            </w:r>
            <w:r>
              <w:rPr>
                <w:rFonts w:cs="Calibri"/>
                <w:color w:val="000000"/>
                <w:szCs w:val="24"/>
              </w:rPr>
              <w:t>seven (</w:t>
            </w:r>
            <w:r w:rsidRPr="00E45811">
              <w:rPr>
                <w:rFonts w:cs="Calibri"/>
                <w:color w:val="000000"/>
                <w:szCs w:val="24"/>
              </w:rPr>
              <w:t>7</w:t>
            </w:r>
            <w:r>
              <w:rPr>
                <w:rFonts w:cs="Calibri"/>
                <w:color w:val="000000"/>
                <w:szCs w:val="24"/>
              </w:rPr>
              <w:t>)</w:t>
            </w:r>
            <w:r w:rsidRPr="00E45811">
              <w:rPr>
                <w:rFonts w:cs="Calibri"/>
                <w:color w:val="000000"/>
                <w:szCs w:val="24"/>
              </w:rPr>
              <w:t xml:space="preserve"> days after filing</w:t>
            </w:r>
          </w:p>
        </w:tc>
      </w:tr>
      <w:tr w:rsidR="0007600E" w:rsidRPr="0062572A" w14:paraId="0FCA7E4B" w14:textId="77777777" w:rsidTr="005204B9">
        <w:tc>
          <w:tcPr>
            <w:tcW w:w="877" w:type="dxa"/>
            <w:vAlign w:val="center"/>
          </w:tcPr>
          <w:p w14:paraId="624E77D6" w14:textId="1D5DAE7A" w:rsidR="0007600E" w:rsidRPr="00DD1B75" w:rsidRDefault="0007600E" w:rsidP="0007600E">
            <w:pPr>
              <w:spacing w:after="0"/>
              <w:ind w:left="0"/>
              <w:jc w:val="center"/>
            </w:pPr>
            <w:r>
              <w:t>103</w:t>
            </w:r>
          </w:p>
        </w:tc>
        <w:tc>
          <w:tcPr>
            <w:tcW w:w="1530" w:type="dxa"/>
            <w:vAlign w:val="center"/>
          </w:tcPr>
          <w:p w14:paraId="77583F74" w14:textId="387374ED" w:rsidR="0007600E" w:rsidRPr="00E45811" w:rsidRDefault="0007600E" w:rsidP="0007600E">
            <w:pPr>
              <w:spacing w:after="0"/>
              <w:ind w:left="0"/>
              <w:rPr>
                <w:rFonts w:cs="Calibri"/>
                <w:color w:val="000000"/>
                <w:szCs w:val="24"/>
              </w:rPr>
            </w:pPr>
            <w:r w:rsidRPr="00E45811">
              <w:t xml:space="preserve">Send </w:t>
            </w:r>
          </w:p>
        </w:tc>
        <w:tc>
          <w:tcPr>
            <w:tcW w:w="1620" w:type="dxa"/>
            <w:vAlign w:val="center"/>
          </w:tcPr>
          <w:p w14:paraId="0F8748DE" w14:textId="405982E9" w:rsidR="0007600E" w:rsidRPr="00E45811" w:rsidRDefault="0007600E" w:rsidP="0007600E">
            <w:pPr>
              <w:spacing w:after="0"/>
              <w:ind w:left="0"/>
              <w:rPr>
                <w:rFonts w:cs="Calibri"/>
                <w:color w:val="000000"/>
                <w:szCs w:val="24"/>
              </w:rPr>
            </w:pPr>
            <w:r w:rsidRPr="00E45811">
              <w:t>Daily/ Real time and Batch</w:t>
            </w:r>
          </w:p>
        </w:tc>
        <w:tc>
          <w:tcPr>
            <w:tcW w:w="2430" w:type="dxa"/>
            <w:vAlign w:val="center"/>
          </w:tcPr>
          <w:p w14:paraId="54032CB6" w14:textId="4500042E" w:rsidR="0007600E" w:rsidRPr="00E45811" w:rsidRDefault="0007600E" w:rsidP="0007600E">
            <w:pPr>
              <w:spacing w:after="0"/>
              <w:ind w:left="0"/>
              <w:rPr>
                <w:rFonts w:cs="Calibri"/>
                <w:color w:val="000000"/>
                <w:szCs w:val="24"/>
              </w:rPr>
            </w:pPr>
            <w:r w:rsidRPr="00E45811">
              <w:t>WIT</w:t>
            </w:r>
          </w:p>
        </w:tc>
        <w:tc>
          <w:tcPr>
            <w:tcW w:w="2160" w:type="dxa"/>
            <w:vAlign w:val="center"/>
          </w:tcPr>
          <w:p w14:paraId="18D72793" w14:textId="2CAD22E4" w:rsidR="0007600E" w:rsidRPr="00E45811" w:rsidRDefault="0007600E" w:rsidP="0007600E">
            <w:pPr>
              <w:spacing w:after="0"/>
              <w:ind w:left="0"/>
              <w:rPr>
                <w:rFonts w:cs="Calibri"/>
                <w:color w:val="000000"/>
                <w:szCs w:val="24"/>
              </w:rPr>
            </w:pPr>
            <w:r w:rsidRPr="00E45811">
              <w:t>UI Status at Registration</w:t>
            </w:r>
          </w:p>
        </w:tc>
        <w:tc>
          <w:tcPr>
            <w:tcW w:w="5940" w:type="dxa"/>
            <w:vAlign w:val="center"/>
          </w:tcPr>
          <w:p w14:paraId="1115E3A2" w14:textId="092057ED" w:rsidR="0007600E" w:rsidRPr="00E45811" w:rsidRDefault="0007600E" w:rsidP="0007600E">
            <w:pPr>
              <w:spacing w:after="0"/>
              <w:ind w:left="0"/>
              <w:rPr>
                <w:rFonts w:cs="Calibri"/>
                <w:color w:val="000000"/>
                <w:szCs w:val="24"/>
              </w:rPr>
            </w:pPr>
            <w:r w:rsidRPr="00E45811">
              <w:t>Provide claimant demographics to WIT for new work registration process and auto-registration</w:t>
            </w:r>
          </w:p>
        </w:tc>
      </w:tr>
      <w:tr w:rsidR="0007600E" w:rsidRPr="0062572A" w14:paraId="67FD9A37" w14:textId="77777777" w:rsidTr="005204B9">
        <w:tc>
          <w:tcPr>
            <w:tcW w:w="877" w:type="dxa"/>
            <w:vAlign w:val="center"/>
          </w:tcPr>
          <w:p w14:paraId="198AF900" w14:textId="1AC0501F" w:rsidR="0007600E" w:rsidRPr="00DD1B75" w:rsidRDefault="0007600E" w:rsidP="0007600E">
            <w:pPr>
              <w:spacing w:after="0"/>
              <w:ind w:left="0"/>
              <w:jc w:val="center"/>
            </w:pPr>
            <w:r>
              <w:t>104</w:t>
            </w:r>
          </w:p>
        </w:tc>
        <w:tc>
          <w:tcPr>
            <w:tcW w:w="1530" w:type="dxa"/>
            <w:vAlign w:val="center"/>
          </w:tcPr>
          <w:p w14:paraId="037F43F1" w14:textId="38D9E36F" w:rsidR="0007600E" w:rsidRPr="00E45811" w:rsidRDefault="0007600E" w:rsidP="0007600E">
            <w:pPr>
              <w:spacing w:after="0"/>
              <w:ind w:left="0"/>
              <w:rPr>
                <w:rFonts w:cs="Calibri"/>
                <w:color w:val="000000"/>
                <w:szCs w:val="24"/>
              </w:rPr>
            </w:pPr>
            <w:r w:rsidRPr="00E45811">
              <w:t xml:space="preserve">Send </w:t>
            </w:r>
          </w:p>
        </w:tc>
        <w:tc>
          <w:tcPr>
            <w:tcW w:w="1620" w:type="dxa"/>
            <w:vAlign w:val="center"/>
          </w:tcPr>
          <w:p w14:paraId="445E2298" w14:textId="19F6E5FA" w:rsidR="0007600E" w:rsidRPr="00E45811" w:rsidRDefault="0007600E" w:rsidP="0007600E">
            <w:pPr>
              <w:spacing w:after="0"/>
              <w:ind w:left="0"/>
              <w:rPr>
                <w:rFonts w:cs="Calibri"/>
                <w:color w:val="000000"/>
                <w:szCs w:val="24"/>
              </w:rPr>
            </w:pPr>
            <w:r w:rsidRPr="00E45811">
              <w:t>Batch/ Daily</w:t>
            </w:r>
          </w:p>
        </w:tc>
        <w:tc>
          <w:tcPr>
            <w:tcW w:w="2430" w:type="dxa"/>
            <w:vAlign w:val="center"/>
          </w:tcPr>
          <w:p w14:paraId="6A61FF97" w14:textId="2FE17AB1" w:rsidR="0007600E" w:rsidRPr="00E45811" w:rsidRDefault="0007600E" w:rsidP="0007600E">
            <w:pPr>
              <w:spacing w:after="0"/>
              <w:ind w:left="0"/>
              <w:rPr>
                <w:rFonts w:cs="Calibri"/>
                <w:color w:val="000000"/>
                <w:szCs w:val="24"/>
              </w:rPr>
            </w:pPr>
            <w:r w:rsidRPr="00E45811">
              <w:t>WIT</w:t>
            </w:r>
          </w:p>
        </w:tc>
        <w:tc>
          <w:tcPr>
            <w:tcW w:w="2160" w:type="dxa"/>
            <w:vAlign w:val="center"/>
          </w:tcPr>
          <w:p w14:paraId="4C972842" w14:textId="782CAE17" w:rsidR="0007600E" w:rsidRPr="00E45811" w:rsidRDefault="0007600E" w:rsidP="0007600E">
            <w:pPr>
              <w:spacing w:after="0"/>
              <w:ind w:left="0"/>
              <w:rPr>
                <w:rFonts w:cs="Calibri"/>
                <w:color w:val="000000"/>
                <w:szCs w:val="24"/>
              </w:rPr>
            </w:pPr>
            <w:r w:rsidRPr="00E45811">
              <w:t>Exhausted and Expired Claims</w:t>
            </w:r>
          </w:p>
        </w:tc>
        <w:tc>
          <w:tcPr>
            <w:tcW w:w="5940" w:type="dxa"/>
            <w:vAlign w:val="center"/>
          </w:tcPr>
          <w:p w14:paraId="5DF05519" w14:textId="32BE264F" w:rsidR="0007600E" w:rsidRPr="00E45811" w:rsidRDefault="0007600E" w:rsidP="0007600E">
            <w:pPr>
              <w:spacing w:after="0"/>
              <w:ind w:left="0"/>
              <w:rPr>
                <w:rFonts w:cs="Calibri"/>
                <w:color w:val="000000"/>
                <w:szCs w:val="24"/>
              </w:rPr>
            </w:pPr>
            <w:r w:rsidRPr="00E45811">
              <w:t>Notify WIT w</w:t>
            </w:r>
            <w:r>
              <w:t>hen a claim exhausts or expires;</w:t>
            </w:r>
            <w:r w:rsidRPr="00E45811">
              <w:t xml:space="preserve"> </w:t>
            </w:r>
            <w:r>
              <w:t>u</w:t>
            </w:r>
            <w:r w:rsidRPr="00E45811">
              <w:t xml:space="preserve">sed to update claimant status of job seeker in </w:t>
            </w:r>
            <w:r>
              <w:t>WIT</w:t>
            </w:r>
          </w:p>
        </w:tc>
      </w:tr>
      <w:tr w:rsidR="0007600E" w:rsidRPr="0062572A" w14:paraId="22E301A7" w14:textId="77777777" w:rsidTr="00D11B9E">
        <w:tc>
          <w:tcPr>
            <w:tcW w:w="877" w:type="dxa"/>
            <w:vAlign w:val="center"/>
          </w:tcPr>
          <w:p w14:paraId="732FEF73" w14:textId="301EE620" w:rsidR="0007600E" w:rsidRDefault="0007600E" w:rsidP="0007600E">
            <w:pPr>
              <w:spacing w:after="0"/>
              <w:ind w:left="0"/>
              <w:jc w:val="center"/>
            </w:pPr>
            <w:r>
              <w:t>105</w:t>
            </w:r>
          </w:p>
        </w:tc>
        <w:tc>
          <w:tcPr>
            <w:tcW w:w="1530" w:type="dxa"/>
            <w:vAlign w:val="center"/>
          </w:tcPr>
          <w:p w14:paraId="11020C5C" w14:textId="0A72A90C" w:rsidR="0007600E" w:rsidRPr="00E45811" w:rsidRDefault="0007600E" w:rsidP="0007600E">
            <w:pPr>
              <w:spacing w:after="0"/>
              <w:ind w:left="0"/>
              <w:rPr>
                <w:rFonts w:cs="Calibri"/>
                <w:color w:val="000000"/>
                <w:szCs w:val="24"/>
              </w:rPr>
            </w:pPr>
            <w:r w:rsidRPr="00E45811">
              <w:t>Send</w:t>
            </w:r>
          </w:p>
        </w:tc>
        <w:tc>
          <w:tcPr>
            <w:tcW w:w="1620" w:type="dxa"/>
            <w:vAlign w:val="center"/>
          </w:tcPr>
          <w:p w14:paraId="16A0E962" w14:textId="6BCBEB5A" w:rsidR="0007600E" w:rsidRPr="00E45811" w:rsidRDefault="0007600E" w:rsidP="0007600E">
            <w:pPr>
              <w:spacing w:after="0"/>
              <w:ind w:left="0"/>
              <w:rPr>
                <w:rFonts w:cs="Calibri"/>
                <w:color w:val="000000"/>
                <w:szCs w:val="24"/>
              </w:rPr>
            </w:pPr>
            <w:r w:rsidRPr="00E45811">
              <w:t>Batch/ Daily</w:t>
            </w:r>
          </w:p>
        </w:tc>
        <w:tc>
          <w:tcPr>
            <w:tcW w:w="2430" w:type="dxa"/>
          </w:tcPr>
          <w:p w14:paraId="362624C7" w14:textId="0910CC2B" w:rsidR="0007600E" w:rsidRPr="00E45811" w:rsidRDefault="0007600E" w:rsidP="0007600E">
            <w:pPr>
              <w:spacing w:after="0"/>
              <w:ind w:left="0"/>
              <w:rPr>
                <w:rFonts w:cs="Calibri"/>
                <w:color w:val="000000"/>
                <w:szCs w:val="24"/>
              </w:rPr>
            </w:pPr>
            <w:r w:rsidRPr="00E45811">
              <w:t>WIT</w:t>
            </w:r>
          </w:p>
        </w:tc>
        <w:tc>
          <w:tcPr>
            <w:tcW w:w="2160" w:type="dxa"/>
            <w:vAlign w:val="center"/>
          </w:tcPr>
          <w:p w14:paraId="705DA767" w14:textId="64753375" w:rsidR="0007600E" w:rsidRPr="00E45811" w:rsidRDefault="0007600E" w:rsidP="0007600E">
            <w:pPr>
              <w:spacing w:after="0"/>
              <w:ind w:left="0"/>
              <w:rPr>
                <w:rFonts w:cs="Calibri"/>
                <w:color w:val="000000"/>
                <w:szCs w:val="24"/>
              </w:rPr>
            </w:pPr>
            <w:r w:rsidRPr="00E45811">
              <w:t>UI to WIT Address Updates</w:t>
            </w:r>
          </w:p>
        </w:tc>
        <w:tc>
          <w:tcPr>
            <w:tcW w:w="5940" w:type="dxa"/>
            <w:vAlign w:val="center"/>
          </w:tcPr>
          <w:p w14:paraId="53EC14B3" w14:textId="7F44054A" w:rsidR="0007600E" w:rsidRPr="00E45811" w:rsidRDefault="0007600E" w:rsidP="0007600E">
            <w:pPr>
              <w:spacing w:after="0"/>
              <w:ind w:left="0"/>
              <w:rPr>
                <w:rFonts w:cs="Calibri"/>
                <w:color w:val="000000"/>
                <w:szCs w:val="24"/>
              </w:rPr>
            </w:pPr>
            <w:r w:rsidRPr="00E45811">
              <w:t>Notify WIT when claimant updates their address in UI Benefits system</w:t>
            </w:r>
          </w:p>
        </w:tc>
      </w:tr>
      <w:tr w:rsidR="0007600E" w:rsidRPr="0062572A" w14:paraId="699F6F8E" w14:textId="77777777" w:rsidTr="00D11B9E">
        <w:tc>
          <w:tcPr>
            <w:tcW w:w="877" w:type="dxa"/>
            <w:vAlign w:val="center"/>
          </w:tcPr>
          <w:p w14:paraId="317880A0" w14:textId="401EF906" w:rsidR="0007600E" w:rsidRDefault="0007600E" w:rsidP="0007600E">
            <w:pPr>
              <w:spacing w:after="0"/>
              <w:ind w:left="0"/>
              <w:jc w:val="center"/>
            </w:pPr>
            <w:r>
              <w:t>106</w:t>
            </w:r>
          </w:p>
        </w:tc>
        <w:tc>
          <w:tcPr>
            <w:tcW w:w="1530" w:type="dxa"/>
            <w:vAlign w:val="center"/>
          </w:tcPr>
          <w:p w14:paraId="76EB4B92" w14:textId="6F8BD666" w:rsidR="0007600E" w:rsidRPr="0062572A" w:rsidRDefault="0007600E" w:rsidP="0007600E">
            <w:pPr>
              <w:spacing w:after="0"/>
              <w:ind w:left="0"/>
              <w:rPr>
                <w:rFonts w:cs="Calibri"/>
                <w:color w:val="000000"/>
                <w:szCs w:val="24"/>
              </w:rPr>
            </w:pPr>
            <w:r>
              <w:t>Receive</w:t>
            </w:r>
          </w:p>
        </w:tc>
        <w:tc>
          <w:tcPr>
            <w:tcW w:w="1620" w:type="dxa"/>
            <w:vAlign w:val="center"/>
          </w:tcPr>
          <w:p w14:paraId="3BBF0AE3" w14:textId="62AD0442" w:rsidR="0007600E" w:rsidRPr="0062572A" w:rsidRDefault="0007600E" w:rsidP="0007600E">
            <w:pPr>
              <w:spacing w:after="0"/>
              <w:ind w:left="0"/>
              <w:rPr>
                <w:rFonts w:cs="Calibri"/>
                <w:color w:val="000000"/>
                <w:szCs w:val="24"/>
              </w:rPr>
            </w:pPr>
            <w:r>
              <w:t>Batch/ Daily</w:t>
            </w:r>
          </w:p>
        </w:tc>
        <w:tc>
          <w:tcPr>
            <w:tcW w:w="2430" w:type="dxa"/>
          </w:tcPr>
          <w:p w14:paraId="2B118134" w14:textId="228945E6" w:rsidR="0007600E" w:rsidRDefault="0007600E" w:rsidP="0007600E">
            <w:pPr>
              <w:spacing w:after="0"/>
              <w:ind w:left="0"/>
              <w:rPr>
                <w:rFonts w:cs="Calibri"/>
                <w:color w:val="000000"/>
                <w:szCs w:val="24"/>
              </w:rPr>
            </w:pPr>
            <w:r>
              <w:t>WIT</w:t>
            </w:r>
          </w:p>
        </w:tc>
        <w:tc>
          <w:tcPr>
            <w:tcW w:w="2160" w:type="dxa"/>
            <w:vAlign w:val="center"/>
          </w:tcPr>
          <w:p w14:paraId="59968074" w14:textId="074B4DF1" w:rsidR="0007600E" w:rsidRPr="0062572A" w:rsidRDefault="0007600E" w:rsidP="0007600E">
            <w:pPr>
              <w:spacing w:after="0"/>
              <w:ind w:left="0"/>
              <w:rPr>
                <w:rFonts w:cs="Calibri"/>
                <w:color w:val="000000"/>
                <w:szCs w:val="24"/>
              </w:rPr>
            </w:pPr>
            <w:r>
              <w:t>Job Match Alert - No Response</w:t>
            </w:r>
            <w:r>
              <w:rPr>
                <w:color w:val="000000"/>
              </w:rPr>
              <w:t xml:space="preserve"> </w:t>
            </w:r>
          </w:p>
        </w:tc>
        <w:tc>
          <w:tcPr>
            <w:tcW w:w="5940" w:type="dxa"/>
            <w:vAlign w:val="center"/>
          </w:tcPr>
          <w:p w14:paraId="7DCAD6CD" w14:textId="6EF9D1AB" w:rsidR="0007600E" w:rsidRPr="0062572A" w:rsidRDefault="0007600E" w:rsidP="0007600E">
            <w:pPr>
              <w:spacing w:after="0"/>
              <w:ind w:left="0"/>
              <w:rPr>
                <w:rFonts w:cs="Calibri"/>
                <w:color w:val="000000"/>
                <w:szCs w:val="24"/>
              </w:rPr>
            </w:pPr>
            <w:r>
              <w:t>WIT notifies UI Benefits that a claimant has failed to respond to job match alerts</w:t>
            </w:r>
          </w:p>
        </w:tc>
      </w:tr>
      <w:tr w:rsidR="0007600E" w:rsidRPr="0062572A" w14:paraId="00955F5B" w14:textId="77777777" w:rsidTr="00D11B9E">
        <w:tc>
          <w:tcPr>
            <w:tcW w:w="877" w:type="dxa"/>
            <w:vAlign w:val="center"/>
          </w:tcPr>
          <w:p w14:paraId="26B6CB31" w14:textId="7800437C" w:rsidR="0007600E" w:rsidRDefault="0007600E" w:rsidP="0007600E">
            <w:pPr>
              <w:spacing w:after="0"/>
              <w:ind w:left="0"/>
              <w:jc w:val="center"/>
            </w:pPr>
            <w:r>
              <w:t>107</w:t>
            </w:r>
          </w:p>
        </w:tc>
        <w:tc>
          <w:tcPr>
            <w:tcW w:w="1530" w:type="dxa"/>
            <w:vAlign w:val="center"/>
          </w:tcPr>
          <w:p w14:paraId="4D9DD298" w14:textId="00ED7307" w:rsidR="0007600E" w:rsidRPr="0062572A" w:rsidRDefault="0007600E" w:rsidP="0007600E">
            <w:pPr>
              <w:spacing w:after="0"/>
              <w:ind w:left="0"/>
              <w:rPr>
                <w:rFonts w:cs="Calibri"/>
                <w:color w:val="000000"/>
                <w:szCs w:val="24"/>
              </w:rPr>
            </w:pPr>
            <w:r>
              <w:t>Receive</w:t>
            </w:r>
          </w:p>
        </w:tc>
        <w:tc>
          <w:tcPr>
            <w:tcW w:w="1620" w:type="dxa"/>
            <w:vAlign w:val="center"/>
          </w:tcPr>
          <w:p w14:paraId="3AA4E91C" w14:textId="30628838" w:rsidR="0007600E" w:rsidRPr="0062572A" w:rsidRDefault="0007600E" w:rsidP="0007600E">
            <w:pPr>
              <w:spacing w:after="0"/>
              <w:ind w:left="0"/>
              <w:rPr>
                <w:rFonts w:cs="Calibri"/>
                <w:color w:val="000000"/>
                <w:szCs w:val="24"/>
              </w:rPr>
            </w:pPr>
            <w:r>
              <w:t>Batch/ Daily</w:t>
            </w:r>
          </w:p>
        </w:tc>
        <w:tc>
          <w:tcPr>
            <w:tcW w:w="2430" w:type="dxa"/>
          </w:tcPr>
          <w:p w14:paraId="638FB37B" w14:textId="4F109A6B" w:rsidR="0007600E" w:rsidRDefault="0007600E" w:rsidP="0007600E">
            <w:pPr>
              <w:spacing w:after="0"/>
              <w:ind w:left="0"/>
              <w:rPr>
                <w:rFonts w:cs="Calibri"/>
                <w:color w:val="000000"/>
                <w:szCs w:val="24"/>
              </w:rPr>
            </w:pPr>
            <w:r>
              <w:t>WIT</w:t>
            </w:r>
          </w:p>
        </w:tc>
        <w:tc>
          <w:tcPr>
            <w:tcW w:w="2160" w:type="dxa"/>
            <w:vAlign w:val="center"/>
          </w:tcPr>
          <w:p w14:paraId="1AE56D7F" w14:textId="4B00EA8D" w:rsidR="0007600E" w:rsidRPr="0062572A" w:rsidRDefault="0007600E" w:rsidP="0007600E">
            <w:pPr>
              <w:spacing w:after="0"/>
              <w:ind w:left="0"/>
              <w:rPr>
                <w:rFonts w:cs="Calibri"/>
                <w:color w:val="000000"/>
                <w:szCs w:val="24"/>
              </w:rPr>
            </w:pPr>
            <w:r>
              <w:t>Job Match Alert - Response</w:t>
            </w:r>
          </w:p>
        </w:tc>
        <w:tc>
          <w:tcPr>
            <w:tcW w:w="5940" w:type="dxa"/>
            <w:vAlign w:val="center"/>
          </w:tcPr>
          <w:p w14:paraId="6EA6659E" w14:textId="7D330620" w:rsidR="0007600E" w:rsidRPr="0062572A" w:rsidRDefault="0007600E" w:rsidP="0007600E">
            <w:pPr>
              <w:spacing w:after="0"/>
              <w:ind w:left="0"/>
              <w:rPr>
                <w:rFonts w:cs="Calibri"/>
                <w:color w:val="000000"/>
                <w:szCs w:val="24"/>
              </w:rPr>
            </w:pPr>
            <w:r>
              <w:t>WIT notifies UI Benefits of issues related to job match alerts, including work refusals and new hires</w:t>
            </w:r>
          </w:p>
        </w:tc>
      </w:tr>
      <w:tr w:rsidR="0007600E" w:rsidRPr="0062572A" w14:paraId="3A8C1BF4" w14:textId="77777777" w:rsidTr="00D11B9E">
        <w:tc>
          <w:tcPr>
            <w:tcW w:w="877" w:type="dxa"/>
            <w:vAlign w:val="center"/>
          </w:tcPr>
          <w:p w14:paraId="7DC6DB1B" w14:textId="09A7440A" w:rsidR="0007600E" w:rsidRDefault="0007600E" w:rsidP="0007600E">
            <w:pPr>
              <w:spacing w:after="0"/>
              <w:ind w:left="0"/>
              <w:jc w:val="center"/>
            </w:pPr>
            <w:r>
              <w:lastRenderedPageBreak/>
              <w:t>108</w:t>
            </w:r>
          </w:p>
        </w:tc>
        <w:tc>
          <w:tcPr>
            <w:tcW w:w="1530" w:type="dxa"/>
            <w:vAlign w:val="center"/>
          </w:tcPr>
          <w:p w14:paraId="50D09983" w14:textId="297EF0D6" w:rsidR="0007600E" w:rsidRPr="0062572A" w:rsidRDefault="0007600E" w:rsidP="0007600E">
            <w:pPr>
              <w:spacing w:after="0"/>
              <w:ind w:left="0"/>
              <w:rPr>
                <w:rFonts w:cs="Calibri"/>
                <w:color w:val="000000"/>
                <w:szCs w:val="24"/>
              </w:rPr>
            </w:pPr>
            <w:r>
              <w:t>Send</w:t>
            </w:r>
          </w:p>
        </w:tc>
        <w:tc>
          <w:tcPr>
            <w:tcW w:w="1620" w:type="dxa"/>
            <w:vAlign w:val="center"/>
          </w:tcPr>
          <w:p w14:paraId="6D9E166C" w14:textId="05EA1B49" w:rsidR="0007600E" w:rsidRPr="0062572A" w:rsidRDefault="0007600E" w:rsidP="0007600E">
            <w:pPr>
              <w:spacing w:after="0"/>
              <w:ind w:left="0"/>
              <w:rPr>
                <w:rFonts w:cs="Calibri"/>
                <w:color w:val="000000"/>
                <w:szCs w:val="24"/>
              </w:rPr>
            </w:pPr>
            <w:r>
              <w:t>Batch/ Daily</w:t>
            </w:r>
          </w:p>
        </w:tc>
        <w:tc>
          <w:tcPr>
            <w:tcW w:w="2430" w:type="dxa"/>
          </w:tcPr>
          <w:p w14:paraId="64CF1349" w14:textId="01257552" w:rsidR="0007600E" w:rsidRDefault="0007600E" w:rsidP="0007600E">
            <w:pPr>
              <w:spacing w:after="0"/>
              <w:ind w:left="0"/>
              <w:rPr>
                <w:rFonts w:cs="Calibri"/>
                <w:color w:val="000000"/>
                <w:szCs w:val="24"/>
              </w:rPr>
            </w:pPr>
            <w:r>
              <w:t>WIT</w:t>
            </w:r>
          </w:p>
        </w:tc>
        <w:tc>
          <w:tcPr>
            <w:tcW w:w="2160" w:type="dxa"/>
            <w:vAlign w:val="center"/>
          </w:tcPr>
          <w:p w14:paraId="7723C0A4" w14:textId="15128E4D" w:rsidR="0007600E" w:rsidRPr="0062572A" w:rsidRDefault="0007600E" w:rsidP="0007600E">
            <w:pPr>
              <w:spacing w:after="0"/>
              <w:ind w:left="0"/>
              <w:rPr>
                <w:rFonts w:cs="Calibri"/>
                <w:color w:val="000000"/>
                <w:szCs w:val="24"/>
              </w:rPr>
            </w:pPr>
            <w:r>
              <w:t>UI Status at Claim Filing</w:t>
            </w:r>
          </w:p>
        </w:tc>
        <w:tc>
          <w:tcPr>
            <w:tcW w:w="5940" w:type="dxa"/>
            <w:vAlign w:val="center"/>
          </w:tcPr>
          <w:p w14:paraId="31A24DB6" w14:textId="03E9ECB4" w:rsidR="0007600E" w:rsidRPr="0062572A" w:rsidRDefault="0007600E" w:rsidP="0007600E">
            <w:pPr>
              <w:spacing w:after="0"/>
              <w:ind w:left="0"/>
              <w:rPr>
                <w:rFonts w:cs="Calibri"/>
                <w:color w:val="000000"/>
                <w:szCs w:val="24"/>
              </w:rPr>
            </w:pPr>
            <w:r>
              <w:t>Notify WIT that a job seeker has an active UI claim</w:t>
            </w:r>
          </w:p>
        </w:tc>
      </w:tr>
      <w:tr w:rsidR="0007600E" w:rsidRPr="0062572A" w14:paraId="0DDEB140" w14:textId="77777777" w:rsidTr="00D11B9E">
        <w:tc>
          <w:tcPr>
            <w:tcW w:w="877" w:type="dxa"/>
            <w:vAlign w:val="center"/>
          </w:tcPr>
          <w:p w14:paraId="5CC63D4D" w14:textId="580C1213" w:rsidR="0007600E" w:rsidRDefault="0007600E" w:rsidP="0007600E">
            <w:pPr>
              <w:spacing w:after="0"/>
              <w:ind w:left="0"/>
              <w:jc w:val="center"/>
            </w:pPr>
            <w:r>
              <w:t>109</w:t>
            </w:r>
          </w:p>
        </w:tc>
        <w:tc>
          <w:tcPr>
            <w:tcW w:w="1530" w:type="dxa"/>
            <w:vAlign w:val="center"/>
          </w:tcPr>
          <w:p w14:paraId="3C2A95E1" w14:textId="34B1D6A1" w:rsidR="0007600E" w:rsidRPr="0062572A" w:rsidRDefault="0007600E" w:rsidP="0007600E">
            <w:pPr>
              <w:spacing w:after="0"/>
              <w:ind w:left="0"/>
              <w:rPr>
                <w:rFonts w:cs="Calibri"/>
                <w:color w:val="000000"/>
                <w:szCs w:val="24"/>
              </w:rPr>
            </w:pPr>
            <w:r>
              <w:t>Receive</w:t>
            </w:r>
          </w:p>
        </w:tc>
        <w:tc>
          <w:tcPr>
            <w:tcW w:w="1620" w:type="dxa"/>
            <w:vAlign w:val="center"/>
          </w:tcPr>
          <w:p w14:paraId="48C4A996" w14:textId="37BF1A78" w:rsidR="0007600E" w:rsidRPr="0062572A" w:rsidRDefault="0007600E" w:rsidP="0007600E">
            <w:pPr>
              <w:spacing w:after="0"/>
              <w:ind w:left="0"/>
              <w:rPr>
                <w:rFonts w:cs="Calibri"/>
                <w:color w:val="000000"/>
                <w:szCs w:val="24"/>
              </w:rPr>
            </w:pPr>
            <w:r>
              <w:rPr>
                <w:color w:val="000000"/>
              </w:rPr>
              <w:t xml:space="preserve">Real time </w:t>
            </w:r>
          </w:p>
        </w:tc>
        <w:tc>
          <w:tcPr>
            <w:tcW w:w="2430" w:type="dxa"/>
          </w:tcPr>
          <w:p w14:paraId="3BAAB8F5" w14:textId="3967475C" w:rsidR="0007600E" w:rsidRDefault="0007600E" w:rsidP="0007600E">
            <w:pPr>
              <w:spacing w:after="0"/>
              <w:ind w:left="0"/>
              <w:rPr>
                <w:rFonts w:cs="Calibri"/>
                <w:color w:val="000000"/>
                <w:szCs w:val="24"/>
              </w:rPr>
            </w:pPr>
            <w:r>
              <w:t>WIT</w:t>
            </w:r>
          </w:p>
        </w:tc>
        <w:tc>
          <w:tcPr>
            <w:tcW w:w="2160" w:type="dxa"/>
            <w:vAlign w:val="center"/>
          </w:tcPr>
          <w:p w14:paraId="1F866433" w14:textId="4A295F20" w:rsidR="0007600E" w:rsidRPr="0062572A" w:rsidRDefault="0007600E" w:rsidP="0007600E">
            <w:pPr>
              <w:spacing w:after="0"/>
              <w:ind w:left="0"/>
              <w:rPr>
                <w:rFonts w:cs="Calibri"/>
                <w:color w:val="000000"/>
                <w:szCs w:val="24"/>
              </w:rPr>
            </w:pPr>
            <w:r>
              <w:t>UI Tax - Employer Verification</w:t>
            </w:r>
          </w:p>
        </w:tc>
        <w:tc>
          <w:tcPr>
            <w:tcW w:w="5940" w:type="dxa"/>
            <w:vAlign w:val="center"/>
          </w:tcPr>
          <w:p w14:paraId="01BEC02A" w14:textId="24C3643A" w:rsidR="0007600E" w:rsidRPr="0062572A" w:rsidRDefault="0007600E" w:rsidP="0007600E">
            <w:pPr>
              <w:spacing w:after="0"/>
              <w:ind w:left="0"/>
              <w:rPr>
                <w:rFonts w:cs="Calibri"/>
                <w:color w:val="000000"/>
                <w:szCs w:val="24"/>
              </w:rPr>
            </w:pPr>
            <w:r>
              <w:t>WIT sends Federal Tax ID to UI Tax to get employer’s TWC account number; used during Employer Registration in WIT</w:t>
            </w:r>
          </w:p>
        </w:tc>
      </w:tr>
      <w:tr w:rsidR="0007600E" w:rsidRPr="0062572A" w14:paraId="12B2C333" w14:textId="77777777" w:rsidTr="005204B9">
        <w:tc>
          <w:tcPr>
            <w:tcW w:w="877" w:type="dxa"/>
            <w:vAlign w:val="center"/>
          </w:tcPr>
          <w:p w14:paraId="45AC5F5B" w14:textId="40EFA9F3" w:rsidR="0007600E" w:rsidRDefault="0007600E" w:rsidP="0007600E">
            <w:pPr>
              <w:spacing w:after="0"/>
              <w:ind w:left="0"/>
              <w:jc w:val="center"/>
            </w:pPr>
            <w:r>
              <w:t>110</w:t>
            </w:r>
          </w:p>
        </w:tc>
        <w:tc>
          <w:tcPr>
            <w:tcW w:w="1530" w:type="dxa"/>
            <w:vAlign w:val="center"/>
          </w:tcPr>
          <w:p w14:paraId="00D2F005" w14:textId="36310891" w:rsidR="0007600E" w:rsidRPr="0062572A" w:rsidRDefault="0007600E" w:rsidP="0007600E">
            <w:pPr>
              <w:spacing w:after="0"/>
              <w:ind w:left="0"/>
              <w:rPr>
                <w:rFonts w:cs="Calibri"/>
                <w:color w:val="000000"/>
                <w:szCs w:val="24"/>
              </w:rPr>
            </w:pPr>
            <w:r>
              <w:t>Receive</w:t>
            </w:r>
          </w:p>
        </w:tc>
        <w:tc>
          <w:tcPr>
            <w:tcW w:w="1620" w:type="dxa"/>
            <w:vAlign w:val="center"/>
          </w:tcPr>
          <w:p w14:paraId="374E9548" w14:textId="122271F4" w:rsidR="0007600E" w:rsidRPr="0062572A" w:rsidRDefault="0007600E" w:rsidP="0007600E">
            <w:pPr>
              <w:spacing w:after="0"/>
              <w:ind w:left="0"/>
              <w:rPr>
                <w:rFonts w:cs="Calibri"/>
                <w:color w:val="000000"/>
                <w:szCs w:val="24"/>
              </w:rPr>
            </w:pPr>
            <w:r>
              <w:t>Batch/ Daily</w:t>
            </w:r>
          </w:p>
        </w:tc>
        <w:tc>
          <w:tcPr>
            <w:tcW w:w="2430" w:type="dxa"/>
            <w:vAlign w:val="center"/>
          </w:tcPr>
          <w:p w14:paraId="5CC1BE1A" w14:textId="4E7A57DC" w:rsidR="0007600E" w:rsidRDefault="0007600E" w:rsidP="0007600E">
            <w:pPr>
              <w:spacing w:after="0"/>
              <w:ind w:left="0"/>
              <w:rPr>
                <w:rFonts w:cs="Calibri"/>
                <w:color w:val="000000"/>
                <w:szCs w:val="24"/>
              </w:rPr>
            </w:pPr>
            <w:r>
              <w:t>WIT</w:t>
            </w:r>
          </w:p>
        </w:tc>
        <w:tc>
          <w:tcPr>
            <w:tcW w:w="2160" w:type="dxa"/>
            <w:vAlign w:val="center"/>
          </w:tcPr>
          <w:p w14:paraId="0FA6D3AD" w14:textId="468971EE" w:rsidR="0007600E" w:rsidRPr="0062572A" w:rsidRDefault="0007600E" w:rsidP="0007600E">
            <w:pPr>
              <w:spacing w:after="0"/>
              <w:ind w:left="0"/>
              <w:rPr>
                <w:rFonts w:cs="Calibri"/>
                <w:color w:val="000000"/>
                <w:szCs w:val="24"/>
              </w:rPr>
            </w:pPr>
            <w:r>
              <w:t>UI Benefits - RESEA Notification – Failure to Respond</w:t>
            </w:r>
          </w:p>
        </w:tc>
        <w:tc>
          <w:tcPr>
            <w:tcW w:w="5940" w:type="dxa"/>
            <w:vAlign w:val="center"/>
          </w:tcPr>
          <w:p w14:paraId="0E133A5D" w14:textId="71AFA8F1" w:rsidR="0007600E" w:rsidRPr="0062572A" w:rsidRDefault="0007600E" w:rsidP="0007600E">
            <w:pPr>
              <w:spacing w:after="0"/>
              <w:ind w:left="0"/>
              <w:rPr>
                <w:rFonts w:cs="Calibri"/>
                <w:color w:val="000000"/>
                <w:szCs w:val="24"/>
              </w:rPr>
            </w:pPr>
            <w:r>
              <w:t>WIT notifies UI Benefits when claimants fail to attend RESEA orientation meetings</w:t>
            </w:r>
          </w:p>
        </w:tc>
      </w:tr>
      <w:tr w:rsidR="0007600E" w:rsidRPr="0062572A" w14:paraId="042BC62B" w14:textId="77777777" w:rsidTr="005204B9">
        <w:tc>
          <w:tcPr>
            <w:tcW w:w="877" w:type="dxa"/>
            <w:vAlign w:val="center"/>
          </w:tcPr>
          <w:p w14:paraId="0B888E63" w14:textId="4DF74178" w:rsidR="0007600E" w:rsidRDefault="0007600E" w:rsidP="0007600E">
            <w:pPr>
              <w:spacing w:after="0"/>
              <w:ind w:left="0"/>
              <w:jc w:val="center"/>
            </w:pPr>
            <w:r>
              <w:t>111</w:t>
            </w:r>
          </w:p>
        </w:tc>
        <w:tc>
          <w:tcPr>
            <w:tcW w:w="1530" w:type="dxa"/>
            <w:vAlign w:val="center"/>
          </w:tcPr>
          <w:p w14:paraId="10CB316D" w14:textId="5A7E736F" w:rsidR="0007600E" w:rsidRPr="0062572A" w:rsidRDefault="0007600E" w:rsidP="0007600E">
            <w:pPr>
              <w:spacing w:after="0"/>
              <w:ind w:left="0"/>
              <w:rPr>
                <w:rFonts w:cs="Calibri"/>
                <w:color w:val="000000"/>
                <w:szCs w:val="24"/>
              </w:rPr>
            </w:pPr>
            <w:r>
              <w:t>Receive</w:t>
            </w:r>
          </w:p>
        </w:tc>
        <w:tc>
          <w:tcPr>
            <w:tcW w:w="1620" w:type="dxa"/>
            <w:vAlign w:val="center"/>
          </w:tcPr>
          <w:p w14:paraId="5E33E4AF" w14:textId="401F5166" w:rsidR="0007600E" w:rsidRPr="0062572A" w:rsidRDefault="0007600E" w:rsidP="0007600E">
            <w:pPr>
              <w:spacing w:after="0"/>
              <w:ind w:left="0"/>
              <w:rPr>
                <w:rFonts w:cs="Calibri"/>
                <w:color w:val="000000"/>
                <w:szCs w:val="24"/>
              </w:rPr>
            </w:pPr>
            <w:r>
              <w:t>Batch/ Daily</w:t>
            </w:r>
          </w:p>
        </w:tc>
        <w:tc>
          <w:tcPr>
            <w:tcW w:w="2430" w:type="dxa"/>
            <w:vAlign w:val="center"/>
          </w:tcPr>
          <w:p w14:paraId="07D8EF5C" w14:textId="0C829B5C" w:rsidR="0007600E" w:rsidRDefault="0007600E" w:rsidP="0007600E">
            <w:pPr>
              <w:spacing w:after="0"/>
              <w:ind w:left="0"/>
              <w:rPr>
                <w:rFonts w:cs="Calibri"/>
                <w:color w:val="000000"/>
                <w:szCs w:val="24"/>
              </w:rPr>
            </w:pPr>
            <w:r>
              <w:t>WIT</w:t>
            </w:r>
          </w:p>
        </w:tc>
        <w:tc>
          <w:tcPr>
            <w:tcW w:w="2160" w:type="dxa"/>
            <w:vAlign w:val="center"/>
          </w:tcPr>
          <w:p w14:paraId="28635179" w14:textId="098EE214" w:rsidR="0007600E" w:rsidRPr="0062572A" w:rsidRDefault="0007600E" w:rsidP="0007600E">
            <w:pPr>
              <w:spacing w:after="0"/>
              <w:ind w:left="0"/>
              <w:rPr>
                <w:rFonts w:cs="Calibri"/>
                <w:color w:val="000000"/>
                <w:szCs w:val="24"/>
              </w:rPr>
            </w:pPr>
            <w:r>
              <w:t>UI - Job Match Alert – Send Letters</w:t>
            </w:r>
          </w:p>
        </w:tc>
        <w:tc>
          <w:tcPr>
            <w:tcW w:w="5940" w:type="dxa"/>
            <w:vAlign w:val="center"/>
          </w:tcPr>
          <w:p w14:paraId="05395984" w14:textId="20B364DF" w:rsidR="0007600E" w:rsidRPr="0062572A" w:rsidRDefault="0007600E" w:rsidP="0007600E">
            <w:pPr>
              <w:spacing w:after="0"/>
              <w:ind w:left="0"/>
              <w:rPr>
                <w:rFonts w:cs="Calibri"/>
                <w:color w:val="000000"/>
                <w:szCs w:val="24"/>
              </w:rPr>
            </w:pPr>
            <w:r>
              <w:t>Currently maintained by UI Tax; WIT sends print data</w:t>
            </w:r>
          </w:p>
        </w:tc>
      </w:tr>
      <w:tr w:rsidR="0007600E" w:rsidRPr="0062572A" w14:paraId="302BC24D" w14:textId="77777777" w:rsidTr="005204B9">
        <w:tc>
          <w:tcPr>
            <w:tcW w:w="877" w:type="dxa"/>
            <w:vAlign w:val="center"/>
          </w:tcPr>
          <w:p w14:paraId="1F94A62F" w14:textId="49502688" w:rsidR="0007600E" w:rsidRDefault="0007600E" w:rsidP="0007600E">
            <w:pPr>
              <w:spacing w:after="0"/>
              <w:ind w:left="0"/>
              <w:jc w:val="center"/>
            </w:pPr>
            <w:r>
              <w:t>112</w:t>
            </w:r>
          </w:p>
        </w:tc>
        <w:tc>
          <w:tcPr>
            <w:tcW w:w="1530" w:type="dxa"/>
            <w:vAlign w:val="center"/>
          </w:tcPr>
          <w:p w14:paraId="24B810BF" w14:textId="637FE218" w:rsidR="0007600E" w:rsidRPr="0062572A" w:rsidRDefault="0007600E" w:rsidP="0007600E">
            <w:pPr>
              <w:spacing w:after="0"/>
              <w:ind w:left="0"/>
              <w:rPr>
                <w:rFonts w:cs="Calibri"/>
                <w:color w:val="000000"/>
                <w:szCs w:val="24"/>
              </w:rPr>
            </w:pPr>
            <w:r>
              <w:t xml:space="preserve">Send </w:t>
            </w:r>
          </w:p>
        </w:tc>
        <w:tc>
          <w:tcPr>
            <w:tcW w:w="1620" w:type="dxa"/>
            <w:vAlign w:val="center"/>
          </w:tcPr>
          <w:p w14:paraId="446747A7" w14:textId="41543A4E" w:rsidR="0007600E" w:rsidRPr="0062572A" w:rsidRDefault="0007600E" w:rsidP="0007600E">
            <w:pPr>
              <w:spacing w:after="0"/>
              <w:ind w:left="0"/>
              <w:rPr>
                <w:rFonts w:cs="Calibri"/>
                <w:color w:val="000000"/>
                <w:szCs w:val="24"/>
              </w:rPr>
            </w:pPr>
            <w:r>
              <w:t>Batch/ Monthly</w:t>
            </w:r>
          </w:p>
        </w:tc>
        <w:tc>
          <w:tcPr>
            <w:tcW w:w="2430" w:type="dxa"/>
            <w:vAlign w:val="center"/>
          </w:tcPr>
          <w:p w14:paraId="4934AA75" w14:textId="0BAB54B3" w:rsidR="0007600E" w:rsidRDefault="0007600E" w:rsidP="0007600E">
            <w:pPr>
              <w:spacing w:after="0"/>
              <w:ind w:left="0"/>
              <w:rPr>
                <w:rFonts w:cs="Calibri"/>
                <w:color w:val="000000"/>
                <w:szCs w:val="24"/>
              </w:rPr>
            </w:pPr>
            <w:r>
              <w:t>WIT</w:t>
            </w:r>
          </w:p>
        </w:tc>
        <w:tc>
          <w:tcPr>
            <w:tcW w:w="2160" w:type="dxa"/>
            <w:vAlign w:val="center"/>
          </w:tcPr>
          <w:p w14:paraId="047C2DB7" w14:textId="46DCFD3E" w:rsidR="0007600E" w:rsidRPr="0062572A" w:rsidRDefault="0007600E" w:rsidP="0007600E">
            <w:pPr>
              <w:spacing w:after="0"/>
              <w:ind w:left="0"/>
              <w:rPr>
                <w:rFonts w:cs="Calibri"/>
                <w:color w:val="000000"/>
                <w:szCs w:val="24"/>
              </w:rPr>
            </w:pPr>
            <w:r>
              <w:t>UI Tax Placement Tracking Interface</w:t>
            </w:r>
          </w:p>
        </w:tc>
        <w:tc>
          <w:tcPr>
            <w:tcW w:w="5940" w:type="dxa"/>
            <w:vAlign w:val="center"/>
          </w:tcPr>
          <w:p w14:paraId="2AF2657A" w14:textId="26EBFF6D" w:rsidR="0007600E" w:rsidRPr="0062572A" w:rsidRDefault="0007600E" w:rsidP="0007600E">
            <w:pPr>
              <w:spacing w:after="0"/>
              <w:ind w:left="0"/>
              <w:rPr>
                <w:rFonts w:cs="Calibri"/>
                <w:color w:val="000000"/>
                <w:szCs w:val="24"/>
              </w:rPr>
            </w:pPr>
            <w:r>
              <w:t>WIT compares job referrals with UI Tax quarterly wage records to determine new hire statistics</w:t>
            </w:r>
          </w:p>
        </w:tc>
      </w:tr>
      <w:tr w:rsidR="0007600E" w:rsidRPr="0062572A" w14:paraId="4D6C1EBE" w14:textId="77777777" w:rsidTr="005204B9">
        <w:tc>
          <w:tcPr>
            <w:tcW w:w="877" w:type="dxa"/>
            <w:vAlign w:val="center"/>
          </w:tcPr>
          <w:p w14:paraId="2ABFE7F3" w14:textId="7B598262" w:rsidR="0007600E" w:rsidRDefault="0007600E" w:rsidP="0007600E">
            <w:pPr>
              <w:spacing w:after="0"/>
              <w:ind w:left="0"/>
              <w:jc w:val="center"/>
            </w:pPr>
            <w:r>
              <w:t>113</w:t>
            </w:r>
          </w:p>
        </w:tc>
        <w:tc>
          <w:tcPr>
            <w:tcW w:w="1530" w:type="dxa"/>
            <w:vAlign w:val="center"/>
          </w:tcPr>
          <w:p w14:paraId="1F322D8C" w14:textId="76F3D0A5" w:rsidR="0007600E" w:rsidRPr="00BE3ECA" w:rsidRDefault="0007600E" w:rsidP="0007600E">
            <w:pPr>
              <w:spacing w:after="0"/>
              <w:ind w:left="0"/>
              <w:rPr>
                <w:rFonts w:cs="Calibri"/>
                <w:color w:val="000000"/>
                <w:szCs w:val="24"/>
              </w:rPr>
            </w:pPr>
            <w:r w:rsidRPr="00BE3ECA">
              <w:t>Send</w:t>
            </w:r>
          </w:p>
        </w:tc>
        <w:tc>
          <w:tcPr>
            <w:tcW w:w="1620" w:type="dxa"/>
            <w:vAlign w:val="center"/>
          </w:tcPr>
          <w:p w14:paraId="630A0649" w14:textId="6A5C5AF4" w:rsidR="0007600E" w:rsidRPr="00BE3ECA" w:rsidRDefault="0007600E" w:rsidP="0007600E">
            <w:pPr>
              <w:spacing w:after="0"/>
              <w:ind w:left="0"/>
              <w:rPr>
                <w:rFonts w:cs="Calibri"/>
                <w:color w:val="000000"/>
                <w:szCs w:val="24"/>
              </w:rPr>
            </w:pPr>
            <w:r w:rsidRPr="00BE3ECA">
              <w:t>Batch/ Daily</w:t>
            </w:r>
          </w:p>
        </w:tc>
        <w:tc>
          <w:tcPr>
            <w:tcW w:w="2430" w:type="dxa"/>
            <w:vAlign w:val="center"/>
          </w:tcPr>
          <w:p w14:paraId="12A001BA" w14:textId="7A30E93F" w:rsidR="0007600E" w:rsidRPr="00BE3ECA" w:rsidRDefault="0007600E" w:rsidP="0007600E">
            <w:pPr>
              <w:spacing w:after="0"/>
              <w:ind w:left="0"/>
              <w:rPr>
                <w:rFonts w:cs="Calibri"/>
                <w:color w:val="000000"/>
                <w:szCs w:val="24"/>
              </w:rPr>
            </w:pPr>
            <w:r w:rsidRPr="00BE3ECA">
              <w:rPr>
                <w:rFonts w:cs="Calibri"/>
                <w:color w:val="000000"/>
                <w:szCs w:val="24"/>
              </w:rPr>
              <w:t>WIT</w:t>
            </w:r>
          </w:p>
        </w:tc>
        <w:tc>
          <w:tcPr>
            <w:tcW w:w="2160" w:type="dxa"/>
            <w:vAlign w:val="center"/>
          </w:tcPr>
          <w:p w14:paraId="1F6F02EE" w14:textId="0AAD8FAE" w:rsidR="0007600E" w:rsidRPr="00BE3ECA" w:rsidRDefault="0007600E" w:rsidP="0007600E">
            <w:pPr>
              <w:spacing w:after="0"/>
              <w:ind w:left="0"/>
              <w:rPr>
                <w:rFonts w:cs="Calibri"/>
                <w:color w:val="000000"/>
                <w:szCs w:val="24"/>
              </w:rPr>
            </w:pPr>
            <w:r w:rsidRPr="00BE3ECA">
              <w:t>UI to WIT Wage Demand</w:t>
            </w:r>
          </w:p>
        </w:tc>
        <w:tc>
          <w:tcPr>
            <w:tcW w:w="5940" w:type="dxa"/>
            <w:vAlign w:val="center"/>
          </w:tcPr>
          <w:p w14:paraId="00D02D72" w14:textId="23A33B6A" w:rsidR="0007600E" w:rsidRPr="00BE3ECA" w:rsidRDefault="0007600E" w:rsidP="0007600E">
            <w:pPr>
              <w:spacing w:after="0"/>
              <w:ind w:left="0"/>
              <w:rPr>
                <w:rFonts w:cs="Calibri"/>
                <w:color w:val="000000"/>
                <w:szCs w:val="24"/>
              </w:rPr>
            </w:pPr>
            <w:r w:rsidRPr="00BE3ECA">
              <w:t>Notify WIT of claimant wage demand; used for job matching purposes</w:t>
            </w:r>
          </w:p>
        </w:tc>
      </w:tr>
      <w:tr w:rsidR="0007600E" w:rsidRPr="0062572A" w14:paraId="66033B5E" w14:textId="77777777" w:rsidTr="005204B9">
        <w:tc>
          <w:tcPr>
            <w:tcW w:w="877" w:type="dxa"/>
            <w:vAlign w:val="center"/>
          </w:tcPr>
          <w:p w14:paraId="1EA29BFC" w14:textId="7AAF2A03" w:rsidR="0007600E" w:rsidRDefault="0007600E" w:rsidP="0007600E">
            <w:pPr>
              <w:spacing w:after="0"/>
              <w:ind w:left="0"/>
              <w:jc w:val="center"/>
            </w:pPr>
            <w:r>
              <w:t>114</w:t>
            </w:r>
          </w:p>
        </w:tc>
        <w:tc>
          <w:tcPr>
            <w:tcW w:w="1530" w:type="dxa"/>
            <w:vAlign w:val="center"/>
          </w:tcPr>
          <w:p w14:paraId="5F46DD66" w14:textId="7D6EE0B3" w:rsidR="0007600E" w:rsidRPr="0062572A" w:rsidRDefault="0007600E" w:rsidP="0007600E">
            <w:pPr>
              <w:spacing w:after="0"/>
              <w:ind w:left="0"/>
              <w:rPr>
                <w:rFonts w:cs="Calibri"/>
                <w:color w:val="000000"/>
                <w:szCs w:val="24"/>
              </w:rPr>
            </w:pPr>
            <w:r>
              <w:t>Receive</w:t>
            </w:r>
          </w:p>
        </w:tc>
        <w:tc>
          <w:tcPr>
            <w:tcW w:w="1620" w:type="dxa"/>
            <w:vAlign w:val="center"/>
          </w:tcPr>
          <w:p w14:paraId="3CA87D81" w14:textId="21AF27FE" w:rsidR="0007600E" w:rsidRPr="0062572A" w:rsidRDefault="0007600E" w:rsidP="0007600E">
            <w:pPr>
              <w:spacing w:after="0"/>
              <w:ind w:left="0"/>
              <w:rPr>
                <w:rFonts w:cs="Calibri"/>
                <w:color w:val="000000"/>
                <w:szCs w:val="24"/>
              </w:rPr>
            </w:pPr>
            <w:r>
              <w:t>Real Time/ Daily</w:t>
            </w:r>
          </w:p>
        </w:tc>
        <w:tc>
          <w:tcPr>
            <w:tcW w:w="2430" w:type="dxa"/>
            <w:vAlign w:val="center"/>
          </w:tcPr>
          <w:p w14:paraId="26E38379" w14:textId="579E0394" w:rsidR="0007600E" w:rsidRDefault="0007600E" w:rsidP="0007600E">
            <w:pPr>
              <w:spacing w:after="0"/>
              <w:ind w:left="0"/>
              <w:rPr>
                <w:rFonts w:cs="Calibri"/>
                <w:color w:val="000000"/>
                <w:szCs w:val="24"/>
              </w:rPr>
            </w:pPr>
            <w:r>
              <w:t>WIT</w:t>
            </w:r>
          </w:p>
        </w:tc>
        <w:tc>
          <w:tcPr>
            <w:tcW w:w="2160" w:type="dxa"/>
            <w:vAlign w:val="center"/>
          </w:tcPr>
          <w:p w14:paraId="013788FC" w14:textId="04480A7B" w:rsidR="0007600E" w:rsidRPr="0062572A" w:rsidRDefault="0007600E" w:rsidP="0007600E">
            <w:pPr>
              <w:spacing w:after="0"/>
              <w:ind w:left="0"/>
              <w:rPr>
                <w:rFonts w:cs="Calibri"/>
                <w:color w:val="000000"/>
                <w:szCs w:val="24"/>
              </w:rPr>
            </w:pPr>
            <w:r>
              <w:t>WIT Extract to UI - IVR</w:t>
            </w:r>
          </w:p>
        </w:tc>
        <w:tc>
          <w:tcPr>
            <w:tcW w:w="5940" w:type="dxa"/>
            <w:vAlign w:val="center"/>
          </w:tcPr>
          <w:p w14:paraId="4A8EDEB9" w14:textId="5BCFBF3A" w:rsidR="0007600E" w:rsidRPr="0062572A" w:rsidRDefault="0007600E" w:rsidP="0007600E">
            <w:pPr>
              <w:spacing w:after="0"/>
              <w:ind w:left="0"/>
              <w:rPr>
                <w:rFonts w:cs="Calibri"/>
                <w:color w:val="000000"/>
                <w:szCs w:val="24"/>
              </w:rPr>
            </w:pPr>
            <w:r>
              <w:t>Get number of job match alerts issued by WIT for the claimant in the past 90 days</w:t>
            </w:r>
          </w:p>
        </w:tc>
      </w:tr>
      <w:tr w:rsidR="0007600E" w:rsidRPr="0062572A" w14:paraId="571EBD56" w14:textId="77777777" w:rsidTr="005204B9">
        <w:tc>
          <w:tcPr>
            <w:tcW w:w="877" w:type="dxa"/>
            <w:vAlign w:val="center"/>
          </w:tcPr>
          <w:p w14:paraId="4F818B6B" w14:textId="6A68A67A" w:rsidR="0007600E" w:rsidRDefault="0007600E" w:rsidP="0007600E">
            <w:pPr>
              <w:spacing w:after="0"/>
              <w:ind w:left="0"/>
              <w:jc w:val="center"/>
            </w:pPr>
            <w:r>
              <w:t>115</w:t>
            </w:r>
          </w:p>
        </w:tc>
        <w:tc>
          <w:tcPr>
            <w:tcW w:w="1530" w:type="dxa"/>
            <w:vAlign w:val="center"/>
          </w:tcPr>
          <w:p w14:paraId="37CE7844" w14:textId="65948C15" w:rsidR="0007600E" w:rsidRPr="0062572A" w:rsidRDefault="0007600E" w:rsidP="0007600E">
            <w:pPr>
              <w:spacing w:after="0"/>
              <w:ind w:left="0"/>
              <w:rPr>
                <w:rFonts w:cs="Calibri"/>
                <w:color w:val="000000"/>
                <w:szCs w:val="24"/>
              </w:rPr>
            </w:pPr>
            <w:r>
              <w:t>Receive</w:t>
            </w:r>
          </w:p>
        </w:tc>
        <w:tc>
          <w:tcPr>
            <w:tcW w:w="1620" w:type="dxa"/>
            <w:vAlign w:val="center"/>
          </w:tcPr>
          <w:p w14:paraId="06E88DDE" w14:textId="1DFD5A08" w:rsidR="0007600E" w:rsidRPr="00BE3ECA" w:rsidRDefault="0007600E" w:rsidP="0007600E">
            <w:pPr>
              <w:spacing w:after="0"/>
              <w:ind w:left="0"/>
            </w:pPr>
            <w:r>
              <w:t>Batch/ Daily</w:t>
            </w:r>
          </w:p>
        </w:tc>
        <w:tc>
          <w:tcPr>
            <w:tcW w:w="2430" w:type="dxa"/>
            <w:vAlign w:val="center"/>
          </w:tcPr>
          <w:p w14:paraId="229723DD" w14:textId="1B73A4BF" w:rsidR="0007600E" w:rsidRPr="00BE3ECA" w:rsidRDefault="0007600E" w:rsidP="0007600E">
            <w:pPr>
              <w:spacing w:after="0"/>
              <w:ind w:left="0"/>
            </w:pPr>
            <w:r>
              <w:t>WIT</w:t>
            </w:r>
          </w:p>
        </w:tc>
        <w:tc>
          <w:tcPr>
            <w:tcW w:w="2160" w:type="dxa"/>
            <w:vAlign w:val="center"/>
          </w:tcPr>
          <w:p w14:paraId="1B47A131" w14:textId="75E1ED6C" w:rsidR="0007600E" w:rsidRPr="00BE3ECA" w:rsidRDefault="0007600E" w:rsidP="0007600E">
            <w:pPr>
              <w:spacing w:after="0"/>
              <w:ind w:left="0"/>
            </w:pPr>
            <w:r>
              <w:t>WIT Extract to UI - Out of State Registration Verification</w:t>
            </w:r>
          </w:p>
        </w:tc>
        <w:tc>
          <w:tcPr>
            <w:tcW w:w="5940" w:type="dxa"/>
            <w:vAlign w:val="center"/>
          </w:tcPr>
          <w:p w14:paraId="25FF885A" w14:textId="6997CBC7" w:rsidR="0007600E" w:rsidRPr="00BE3ECA" w:rsidRDefault="0007600E" w:rsidP="0007600E">
            <w:pPr>
              <w:spacing w:after="0"/>
              <w:ind w:left="0"/>
            </w:pPr>
            <w:r>
              <w:t>Check if WIT has a work registration on file for Texas claimants who reside in another state</w:t>
            </w:r>
          </w:p>
        </w:tc>
      </w:tr>
      <w:tr w:rsidR="002A1892" w:rsidRPr="0062572A" w14:paraId="375849E1" w14:textId="77777777" w:rsidTr="005204B9">
        <w:tc>
          <w:tcPr>
            <w:tcW w:w="877" w:type="dxa"/>
            <w:vAlign w:val="center"/>
          </w:tcPr>
          <w:p w14:paraId="68658F56" w14:textId="5E74CC35" w:rsidR="002A1892" w:rsidRDefault="002A1892" w:rsidP="002A1892">
            <w:pPr>
              <w:spacing w:after="0"/>
              <w:ind w:left="0"/>
              <w:jc w:val="center"/>
            </w:pPr>
            <w:r>
              <w:t>116</w:t>
            </w:r>
          </w:p>
        </w:tc>
        <w:tc>
          <w:tcPr>
            <w:tcW w:w="1530" w:type="dxa"/>
            <w:vAlign w:val="center"/>
          </w:tcPr>
          <w:p w14:paraId="1B38BAF3" w14:textId="35517443" w:rsidR="002A1892" w:rsidRDefault="002A1892" w:rsidP="002A1892">
            <w:pPr>
              <w:spacing w:after="0"/>
              <w:ind w:left="0"/>
            </w:pPr>
            <w:r w:rsidRPr="0062572A">
              <w:rPr>
                <w:rFonts w:cs="Calibri"/>
                <w:color w:val="000000"/>
                <w:szCs w:val="24"/>
              </w:rPr>
              <w:t>Send</w:t>
            </w:r>
          </w:p>
        </w:tc>
        <w:tc>
          <w:tcPr>
            <w:tcW w:w="1620" w:type="dxa"/>
            <w:vAlign w:val="center"/>
          </w:tcPr>
          <w:p w14:paraId="6A68B48C" w14:textId="10E60316" w:rsidR="002A1892" w:rsidRDefault="002A1892" w:rsidP="002A1892">
            <w:pPr>
              <w:spacing w:after="0"/>
              <w:ind w:left="0"/>
            </w:pPr>
            <w:r w:rsidRPr="0062572A">
              <w:rPr>
                <w:rFonts w:cs="Calibri"/>
                <w:color w:val="000000"/>
                <w:szCs w:val="24"/>
              </w:rPr>
              <w:t>Batch / Quarterly</w:t>
            </w:r>
          </w:p>
        </w:tc>
        <w:tc>
          <w:tcPr>
            <w:tcW w:w="2430" w:type="dxa"/>
            <w:vAlign w:val="center"/>
          </w:tcPr>
          <w:p w14:paraId="4DE34882" w14:textId="78E98A79" w:rsidR="002A1892" w:rsidRDefault="002A1892" w:rsidP="002A1892">
            <w:pPr>
              <w:spacing w:after="0"/>
              <w:ind w:left="0"/>
            </w:pPr>
            <w:r>
              <w:rPr>
                <w:rFonts w:cs="Calibri"/>
                <w:color w:val="000000"/>
                <w:szCs w:val="24"/>
              </w:rPr>
              <w:t>ICON system to Q drive then to F</w:t>
            </w:r>
            <w:r w:rsidRPr="0062572A">
              <w:rPr>
                <w:rFonts w:cs="Calibri"/>
                <w:color w:val="000000"/>
                <w:szCs w:val="24"/>
              </w:rPr>
              <w:t>SDES (</w:t>
            </w:r>
            <w:r>
              <w:rPr>
                <w:rFonts w:cs="Calibri"/>
                <w:color w:val="000000"/>
                <w:szCs w:val="24"/>
              </w:rPr>
              <w:t xml:space="preserve">Federal </w:t>
            </w:r>
            <w:r>
              <w:rPr>
                <w:rFonts w:cs="Calibri"/>
                <w:color w:val="000000"/>
                <w:szCs w:val="24"/>
              </w:rPr>
              <w:lastRenderedPageBreak/>
              <w:t>State Data Exchange System) w</w:t>
            </w:r>
            <w:r w:rsidRPr="0062572A">
              <w:rPr>
                <w:rFonts w:cs="Calibri"/>
                <w:color w:val="000000"/>
                <w:szCs w:val="24"/>
              </w:rPr>
              <w:t>ebsite</w:t>
            </w:r>
          </w:p>
        </w:tc>
        <w:tc>
          <w:tcPr>
            <w:tcW w:w="2160" w:type="dxa"/>
            <w:vAlign w:val="center"/>
          </w:tcPr>
          <w:p w14:paraId="2361816A" w14:textId="4C4892F9" w:rsidR="002A1892" w:rsidRDefault="002A1892" w:rsidP="002A1892">
            <w:pPr>
              <w:spacing w:after="0"/>
              <w:ind w:left="0"/>
            </w:pPr>
            <w:r w:rsidRPr="0062572A">
              <w:rPr>
                <w:rFonts w:cs="Calibri"/>
                <w:color w:val="000000"/>
                <w:szCs w:val="24"/>
              </w:rPr>
              <w:lastRenderedPageBreak/>
              <w:t>UC</w:t>
            </w:r>
            <w:r>
              <w:rPr>
                <w:rFonts w:cs="Calibri"/>
                <w:color w:val="000000"/>
                <w:szCs w:val="24"/>
              </w:rPr>
              <w:t>FE</w:t>
            </w:r>
            <w:r w:rsidRPr="0062572A">
              <w:rPr>
                <w:rFonts w:cs="Calibri"/>
                <w:color w:val="000000"/>
                <w:szCs w:val="24"/>
              </w:rPr>
              <w:t xml:space="preserve"> (</w:t>
            </w:r>
            <w:r>
              <w:rPr>
                <w:rFonts w:cs="Calibri"/>
                <w:color w:val="000000"/>
                <w:szCs w:val="24"/>
              </w:rPr>
              <w:t>Federal</w:t>
            </w:r>
            <w:r w:rsidRPr="0062572A">
              <w:rPr>
                <w:rFonts w:cs="Calibri"/>
                <w:color w:val="000000"/>
                <w:szCs w:val="24"/>
              </w:rPr>
              <w:t>) quarterly billing file</w:t>
            </w:r>
          </w:p>
        </w:tc>
        <w:tc>
          <w:tcPr>
            <w:tcW w:w="5940" w:type="dxa"/>
            <w:vAlign w:val="center"/>
          </w:tcPr>
          <w:p w14:paraId="6EAE7F58" w14:textId="5909A35A" w:rsidR="002A1892" w:rsidRDefault="002A1892" w:rsidP="002A1892">
            <w:pPr>
              <w:spacing w:after="0"/>
              <w:ind w:left="0"/>
            </w:pPr>
            <w:r w:rsidRPr="0062572A">
              <w:rPr>
                <w:rFonts w:cs="Calibri"/>
                <w:color w:val="000000"/>
                <w:szCs w:val="24"/>
              </w:rPr>
              <w:t xml:space="preserve">Quarterly </w:t>
            </w:r>
            <w:r>
              <w:rPr>
                <w:rFonts w:cs="Calibri"/>
                <w:color w:val="000000"/>
                <w:szCs w:val="24"/>
              </w:rPr>
              <w:t>b</w:t>
            </w:r>
            <w:r w:rsidRPr="0062572A">
              <w:rPr>
                <w:rFonts w:cs="Calibri"/>
                <w:color w:val="000000"/>
                <w:szCs w:val="24"/>
              </w:rPr>
              <w:t xml:space="preserve">ill to </w:t>
            </w:r>
            <w:r>
              <w:rPr>
                <w:rFonts w:cs="Calibri"/>
                <w:color w:val="000000"/>
                <w:szCs w:val="24"/>
              </w:rPr>
              <w:t>f</w:t>
            </w:r>
            <w:r w:rsidRPr="0062572A">
              <w:rPr>
                <w:rFonts w:cs="Calibri"/>
                <w:color w:val="000000"/>
                <w:szCs w:val="24"/>
              </w:rPr>
              <w:t xml:space="preserve">ederal </w:t>
            </w:r>
            <w:r>
              <w:rPr>
                <w:rFonts w:cs="Calibri"/>
                <w:color w:val="000000"/>
                <w:szCs w:val="24"/>
              </w:rPr>
              <w:t>w</w:t>
            </w:r>
            <w:r w:rsidRPr="0062572A">
              <w:rPr>
                <w:rFonts w:cs="Calibri"/>
                <w:color w:val="000000"/>
                <w:szCs w:val="24"/>
              </w:rPr>
              <w:t>ebsite for TWC reimbursement</w:t>
            </w:r>
          </w:p>
        </w:tc>
      </w:tr>
      <w:tr w:rsidR="00745CDB" w:rsidRPr="0062572A" w14:paraId="49FF1786" w14:textId="77777777" w:rsidTr="005204B9">
        <w:tc>
          <w:tcPr>
            <w:tcW w:w="877" w:type="dxa"/>
            <w:vAlign w:val="center"/>
          </w:tcPr>
          <w:p w14:paraId="5287C2AF" w14:textId="74D9F352" w:rsidR="00745CDB" w:rsidRDefault="00745CDB" w:rsidP="00745CDB">
            <w:pPr>
              <w:spacing w:after="0"/>
              <w:ind w:left="0"/>
              <w:jc w:val="center"/>
            </w:pPr>
            <w:r>
              <w:t>117</w:t>
            </w:r>
          </w:p>
        </w:tc>
        <w:tc>
          <w:tcPr>
            <w:tcW w:w="1530" w:type="dxa"/>
            <w:vAlign w:val="center"/>
          </w:tcPr>
          <w:p w14:paraId="3D449EB9" w14:textId="2C47F97A" w:rsidR="00745CDB" w:rsidRPr="0062572A" w:rsidRDefault="00745CDB" w:rsidP="00745CDB">
            <w:pPr>
              <w:spacing w:after="0"/>
              <w:ind w:left="0"/>
              <w:rPr>
                <w:rFonts w:cs="Calibri"/>
                <w:color w:val="000000"/>
                <w:szCs w:val="24"/>
              </w:rPr>
            </w:pPr>
            <w:r w:rsidRPr="0062572A">
              <w:rPr>
                <w:rFonts w:cs="Calibri"/>
                <w:color w:val="000000"/>
                <w:szCs w:val="24"/>
              </w:rPr>
              <w:t>Send</w:t>
            </w:r>
          </w:p>
        </w:tc>
        <w:tc>
          <w:tcPr>
            <w:tcW w:w="1620" w:type="dxa"/>
            <w:vAlign w:val="center"/>
          </w:tcPr>
          <w:p w14:paraId="0C89EF4F" w14:textId="40551DE7" w:rsidR="00745CDB" w:rsidRPr="0062572A" w:rsidRDefault="00745CDB" w:rsidP="00745CDB">
            <w:pPr>
              <w:spacing w:after="0"/>
              <w:ind w:left="0"/>
              <w:rPr>
                <w:rFonts w:cs="Calibri"/>
                <w:color w:val="000000"/>
                <w:szCs w:val="24"/>
              </w:rPr>
            </w:pPr>
            <w:r>
              <w:rPr>
                <w:rFonts w:cs="Calibri"/>
                <w:color w:val="000000"/>
                <w:szCs w:val="24"/>
              </w:rPr>
              <w:t>Real time</w:t>
            </w:r>
          </w:p>
        </w:tc>
        <w:tc>
          <w:tcPr>
            <w:tcW w:w="2430" w:type="dxa"/>
            <w:vAlign w:val="center"/>
          </w:tcPr>
          <w:p w14:paraId="22AE63D8" w14:textId="3DC3CB3F" w:rsidR="00745CDB" w:rsidRDefault="00745CDB" w:rsidP="00745CDB">
            <w:pPr>
              <w:spacing w:after="0"/>
              <w:ind w:left="0"/>
              <w:rPr>
                <w:rFonts w:cs="Calibri"/>
                <w:color w:val="000000"/>
                <w:szCs w:val="24"/>
              </w:rPr>
            </w:pPr>
            <w:r w:rsidRPr="0062572A">
              <w:rPr>
                <w:rFonts w:cs="Calibri"/>
                <w:color w:val="000000"/>
                <w:szCs w:val="24"/>
              </w:rPr>
              <w:t>Vendor of the federal ICON HUB contract</w:t>
            </w:r>
          </w:p>
        </w:tc>
        <w:tc>
          <w:tcPr>
            <w:tcW w:w="2160" w:type="dxa"/>
            <w:vAlign w:val="center"/>
          </w:tcPr>
          <w:p w14:paraId="17392D83" w14:textId="4878486C" w:rsidR="00745CDB" w:rsidRPr="0062572A" w:rsidRDefault="00745CDB" w:rsidP="00745CDB">
            <w:pPr>
              <w:spacing w:after="0"/>
              <w:ind w:left="0"/>
              <w:rPr>
                <w:rFonts w:cs="Calibri"/>
                <w:color w:val="000000"/>
                <w:szCs w:val="24"/>
              </w:rPr>
            </w:pPr>
            <w:r>
              <w:rPr>
                <w:rFonts w:cs="Calibri"/>
                <w:color w:val="000000"/>
                <w:szCs w:val="24"/>
              </w:rPr>
              <w:t>UI</w:t>
            </w:r>
            <w:r w:rsidR="00B32829">
              <w:rPr>
                <w:rFonts w:cs="Calibri"/>
                <w:color w:val="000000"/>
                <w:szCs w:val="24"/>
              </w:rPr>
              <w:t>Q</w:t>
            </w:r>
          </w:p>
        </w:tc>
        <w:tc>
          <w:tcPr>
            <w:tcW w:w="5940" w:type="dxa"/>
            <w:vAlign w:val="center"/>
          </w:tcPr>
          <w:p w14:paraId="0793BE7B" w14:textId="3AF711A5" w:rsidR="00745CDB" w:rsidRPr="0062572A" w:rsidRDefault="00745CDB" w:rsidP="00745CDB">
            <w:pPr>
              <w:spacing w:after="0"/>
              <w:ind w:left="0"/>
              <w:rPr>
                <w:rFonts w:cs="Calibri"/>
                <w:color w:val="000000"/>
                <w:szCs w:val="24"/>
              </w:rPr>
            </w:pPr>
            <w:r>
              <w:rPr>
                <w:rFonts w:cs="Calibri"/>
                <w:color w:val="000000"/>
                <w:szCs w:val="24"/>
              </w:rPr>
              <w:t>SSN validation</w:t>
            </w:r>
          </w:p>
        </w:tc>
      </w:tr>
      <w:tr w:rsidR="00745CDB" w:rsidRPr="0062572A" w14:paraId="225073E8" w14:textId="77777777" w:rsidTr="005204B9">
        <w:tc>
          <w:tcPr>
            <w:tcW w:w="877" w:type="dxa"/>
            <w:vAlign w:val="center"/>
          </w:tcPr>
          <w:p w14:paraId="7713287F" w14:textId="3D468632" w:rsidR="00745CDB" w:rsidRDefault="00745CDB" w:rsidP="00745CDB">
            <w:pPr>
              <w:spacing w:after="0"/>
              <w:ind w:left="0"/>
              <w:jc w:val="center"/>
            </w:pPr>
            <w:r>
              <w:t>118</w:t>
            </w:r>
          </w:p>
        </w:tc>
        <w:tc>
          <w:tcPr>
            <w:tcW w:w="1530" w:type="dxa"/>
            <w:vAlign w:val="center"/>
          </w:tcPr>
          <w:p w14:paraId="35058A59" w14:textId="0B7875B8" w:rsidR="00745CDB" w:rsidRPr="0062572A" w:rsidRDefault="00745CDB" w:rsidP="00745CDB">
            <w:pPr>
              <w:spacing w:after="0"/>
              <w:ind w:left="0"/>
              <w:rPr>
                <w:rFonts w:cs="Calibri"/>
                <w:color w:val="000000"/>
                <w:szCs w:val="24"/>
              </w:rPr>
            </w:pPr>
            <w:r w:rsidRPr="0062572A">
              <w:rPr>
                <w:rFonts w:cs="Calibri"/>
                <w:color w:val="000000"/>
                <w:szCs w:val="24"/>
              </w:rPr>
              <w:t>Send</w:t>
            </w:r>
          </w:p>
        </w:tc>
        <w:tc>
          <w:tcPr>
            <w:tcW w:w="1620" w:type="dxa"/>
            <w:vAlign w:val="center"/>
          </w:tcPr>
          <w:p w14:paraId="309935B3" w14:textId="4636F6D4" w:rsidR="00745CDB" w:rsidRPr="0062572A" w:rsidRDefault="00745CDB" w:rsidP="00745CDB">
            <w:pPr>
              <w:spacing w:after="0"/>
              <w:ind w:left="0"/>
              <w:rPr>
                <w:rFonts w:cs="Calibri"/>
                <w:color w:val="000000"/>
                <w:szCs w:val="24"/>
              </w:rPr>
            </w:pPr>
            <w:r>
              <w:rPr>
                <w:rFonts w:cs="Calibri"/>
                <w:color w:val="000000"/>
                <w:szCs w:val="24"/>
              </w:rPr>
              <w:t>Real time</w:t>
            </w:r>
          </w:p>
        </w:tc>
        <w:tc>
          <w:tcPr>
            <w:tcW w:w="2430" w:type="dxa"/>
            <w:vAlign w:val="center"/>
          </w:tcPr>
          <w:p w14:paraId="00ADE4CE" w14:textId="2C8F57EC" w:rsidR="00745CDB" w:rsidRPr="0062572A" w:rsidRDefault="00745CDB" w:rsidP="00745CDB">
            <w:pPr>
              <w:spacing w:after="0"/>
              <w:ind w:left="0"/>
              <w:rPr>
                <w:rFonts w:cs="Calibri"/>
                <w:color w:val="000000"/>
                <w:szCs w:val="24"/>
              </w:rPr>
            </w:pPr>
            <w:r w:rsidRPr="0062572A">
              <w:rPr>
                <w:rFonts w:cs="Calibri"/>
                <w:color w:val="000000"/>
                <w:szCs w:val="24"/>
              </w:rPr>
              <w:t>Vendor of the federal ICON HUB contract</w:t>
            </w:r>
          </w:p>
        </w:tc>
        <w:tc>
          <w:tcPr>
            <w:tcW w:w="2160" w:type="dxa"/>
            <w:vAlign w:val="center"/>
          </w:tcPr>
          <w:p w14:paraId="2A2F5EF8" w14:textId="6B822049" w:rsidR="00745CDB" w:rsidRDefault="00745CDB" w:rsidP="00745CDB">
            <w:pPr>
              <w:spacing w:after="0"/>
              <w:ind w:left="0"/>
              <w:rPr>
                <w:rFonts w:cs="Calibri"/>
                <w:color w:val="000000"/>
                <w:szCs w:val="24"/>
              </w:rPr>
            </w:pPr>
            <w:r>
              <w:t>SID/IBIQ</w:t>
            </w:r>
          </w:p>
        </w:tc>
        <w:tc>
          <w:tcPr>
            <w:tcW w:w="5940" w:type="dxa"/>
            <w:vAlign w:val="center"/>
          </w:tcPr>
          <w:p w14:paraId="765B2968" w14:textId="6308D0E8" w:rsidR="00745CDB" w:rsidRDefault="00745CDB" w:rsidP="00745CDB">
            <w:pPr>
              <w:spacing w:after="0"/>
              <w:ind w:left="0"/>
              <w:rPr>
                <w:rFonts w:cs="Calibri"/>
                <w:color w:val="000000"/>
                <w:szCs w:val="24"/>
              </w:rPr>
            </w:pPr>
            <w:r>
              <w:t>Search for wages in other states when taking an initial claim</w:t>
            </w:r>
          </w:p>
        </w:tc>
      </w:tr>
      <w:bookmarkEnd w:id="424"/>
    </w:tbl>
    <w:p w14:paraId="40121DAC" w14:textId="77777777" w:rsidR="00131B5D" w:rsidRDefault="00131B5D" w:rsidP="00131B5D"/>
    <w:p w14:paraId="22894E91" w14:textId="3CEDDB48" w:rsidR="005C2458" w:rsidRDefault="005C2458" w:rsidP="005C2458">
      <w:pPr>
        <w:pStyle w:val="Heading3"/>
      </w:pPr>
      <w:bookmarkStart w:id="425" w:name="_Toc13567504"/>
      <w:r>
        <w:t>A7.3</w:t>
      </w:r>
      <w:r>
        <w:tab/>
        <w:t>Appeals</w:t>
      </w:r>
      <w:bookmarkEnd w:id="425"/>
    </w:p>
    <w:tbl>
      <w:tblPr>
        <w:tblStyle w:val="TableGrid"/>
        <w:tblW w:w="14557" w:type="dxa"/>
        <w:tblInd w:w="-72" w:type="dxa"/>
        <w:tblLayout w:type="fixed"/>
        <w:tblLook w:val="04A0" w:firstRow="1" w:lastRow="0" w:firstColumn="1" w:lastColumn="0" w:noHBand="0" w:noVBand="1"/>
        <w:tblDescription w:val="Table of Appeals interfaces"/>
      </w:tblPr>
      <w:tblGrid>
        <w:gridCol w:w="877"/>
        <w:gridCol w:w="1530"/>
        <w:gridCol w:w="1620"/>
        <w:gridCol w:w="2430"/>
        <w:gridCol w:w="2160"/>
        <w:gridCol w:w="5940"/>
      </w:tblGrid>
      <w:tr w:rsidR="009A45F7" w:rsidRPr="005625A5" w14:paraId="275CF6FC" w14:textId="77777777" w:rsidTr="004F3555">
        <w:trPr>
          <w:tblHeader/>
        </w:trPr>
        <w:tc>
          <w:tcPr>
            <w:tcW w:w="877" w:type="dxa"/>
            <w:shd w:val="clear" w:color="auto" w:fill="DEEAF6" w:themeFill="accent1" w:themeFillTint="33"/>
            <w:vAlign w:val="center"/>
          </w:tcPr>
          <w:p w14:paraId="559C46A7" w14:textId="77777777" w:rsidR="009A45F7" w:rsidRPr="00CA7C99" w:rsidRDefault="009A45F7" w:rsidP="001A193D">
            <w:pPr>
              <w:spacing w:after="0"/>
              <w:ind w:left="0"/>
              <w:jc w:val="center"/>
              <w:rPr>
                <w:b/>
                <w:i/>
                <w:color w:val="1F3864" w:themeColor="accent5" w:themeShade="80"/>
              </w:rPr>
            </w:pPr>
            <w:r w:rsidRPr="00CA7C99">
              <w:rPr>
                <w:rFonts w:cs="Arial"/>
                <w:b/>
                <w:color w:val="1F3864" w:themeColor="accent5" w:themeShade="80"/>
              </w:rPr>
              <w:t>#</w:t>
            </w:r>
          </w:p>
        </w:tc>
        <w:tc>
          <w:tcPr>
            <w:tcW w:w="1530" w:type="dxa"/>
            <w:shd w:val="clear" w:color="auto" w:fill="DEEAF6" w:themeFill="accent1" w:themeFillTint="33"/>
            <w:vAlign w:val="center"/>
          </w:tcPr>
          <w:p w14:paraId="674F6775" w14:textId="77777777" w:rsidR="009A45F7" w:rsidRPr="00CA7C99" w:rsidRDefault="009A45F7" w:rsidP="004F3555">
            <w:pPr>
              <w:spacing w:after="0"/>
              <w:ind w:left="0"/>
              <w:rPr>
                <w:b/>
                <w:i/>
                <w:color w:val="1F3864" w:themeColor="accent5" w:themeShade="80"/>
              </w:rPr>
            </w:pPr>
            <w:r w:rsidRPr="00CA7C99">
              <w:rPr>
                <w:rFonts w:cs="Arial"/>
                <w:b/>
                <w:color w:val="1F3864" w:themeColor="accent5" w:themeShade="80"/>
              </w:rPr>
              <w:t>Direction</w:t>
            </w:r>
          </w:p>
        </w:tc>
        <w:tc>
          <w:tcPr>
            <w:tcW w:w="1620" w:type="dxa"/>
            <w:shd w:val="clear" w:color="auto" w:fill="DEEAF6" w:themeFill="accent1" w:themeFillTint="33"/>
            <w:vAlign w:val="center"/>
          </w:tcPr>
          <w:p w14:paraId="6C40D7D5" w14:textId="77777777" w:rsidR="009A45F7" w:rsidRPr="00CA7C99" w:rsidRDefault="009A45F7" w:rsidP="004F3555">
            <w:pPr>
              <w:spacing w:after="0"/>
              <w:ind w:left="0"/>
              <w:rPr>
                <w:b/>
                <w:i/>
                <w:color w:val="1F3864" w:themeColor="accent5" w:themeShade="80"/>
              </w:rPr>
            </w:pPr>
            <w:r w:rsidRPr="00CA7C99">
              <w:rPr>
                <w:rFonts w:cs="Arial"/>
                <w:b/>
                <w:color w:val="1F3864" w:themeColor="accent5" w:themeShade="80"/>
              </w:rPr>
              <w:t>Mode / Frequency</w:t>
            </w:r>
          </w:p>
        </w:tc>
        <w:tc>
          <w:tcPr>
            <w:tcW w:w="2430" w:type="dxa"/>
            <w:shd w:val="clear" w:color="auto" w:fill="DEEAF6" w:themeFill="accent1" w:themeFillTint="33"/>
            <w:vAlign w:val="center"/>
          </w:tcPr>
          <w:p w14:paraId="0EA4E88A" w14:textId="77777777" w:rsidR="009A45F7" w:rsidRPr="00CA7C99" w:rsidRDefault="009A45F7" w:rsidP="004F3555">
            <w:pPr>
              <w:spacing w:after="0"/>
              <w:ind w:left="0"/>
              <w:rPr>
                <w:b/>
                <w:i/>
                <w:color w:val="1F3864" w:themeColor="accent5" w:themeShade="80"/>
              </w:rPr>
            </w:pPr>
            <w:r w:rsidRPr="00CA7C99">
              <w:rPr>
                <w:rFonts w:cs="Arial"/>
                <w:b/>
                <w:color w:val="1F3864" w:themeColor="accent5" w:themeShade="80"/>
              </w:rPr>
              <w:t>System</w:t>
            </w:r>
          </w:p>
        </w:tc>
        <w:tc>
          <w:tcPr>
            <w:tcW w:w="2160" w:type="dxa"/>
            <w:shd w:val="clear" w:color="auto" w:fill="DEEAF6" w:themeFill="accent1" w:themeFillTint="33"/>
            <w:vAlign w:val="center"/>
          </w:tcPr>
          <w:p w14:paraId="6779A7CF" w14:textId="77777777" w:rsidR="009A45F7" w:rsidRPr="00CA7C99" w:rsidRDefault="009A45F7" w:rsidP="004F3555">
            <w:pPr>
              <w:spacing w:after="0"/>
              <w:ind w:left="0"/>
              <w:rPr>
                <w:b/>
                <w:i/>
                <w:color w:val="1F3864" w:themeColor="accent5" w:themeShade="80"/>
              </w:rPr>
            </w:pPr>
            <w:r w:rsidRPr="00CA7C99">
              <w:rPr>
                <w:rFonts w:cs="Arial"/>
                <w:b/>
                <w:color w:val="1F3864" w:themeColor="accent5" w:themeShade="80"/>
              </w:rPr>
              <w:t>Name</w:t>
            </w:r>
          </w:p>
        </w:tc>
        <w:tc>
          <w:tcPr>
            <w:tcW w:w="5940" w:type="dxa"/>
            <w:shd w:val="clear" w:color="auto" w:fill="DEEAF6" w:themeFill="accent1" w:themeFillTint="33"/>
            <w:vAlign w:val="center"/>
          </w:tcPr>
          <w:p w14:paraId="41279A73" w14:textId="77777777" w:rsidR="009A45F7" w:rsidRPr="00CA7C99" w:rsidRDefault="009A45F7" w:rsidP="004F3555">
            <w:pPr>
              <w:spacing w:after="0"/>
              <w:ind w:left="0"/>
              <w:rPr>
                <w:b/>
                <w:i/>
                <w:color w:val="1F3864" w:themeColor="accent5" w:themeShade="80"/>
              </w:rPr>
            </w:pPr>
            <w:r w:rsidRPr="00CA7C99">
              <w:rPr>
                <w:rFonts w:cs="Arial"/>
                <w:b/>
                <w:color w:val="1F3864" w:themeColor="accent5" w:themeShade="80"/>
              </w:rPr>
              <w:t>Overview</w:t>
            </w:r>
          </w:p>
        </w:tc>
      </w:tr>
      <w:tr w:rsidR="009A45F7" w:rsidRPr="00873442" w14:paraId="42BF8B49" w14:textId="77777777" w:rsidTr="004F3555">
        <w:tc>
          <w:tcPr>
            <w:tcW w:w="877" w:type="dxa"/>
            <w:vAlign w:val="center"/>
          </w:tcPr>
          <w:p w14:paraId="347BE6C8" w14:textId="77777777" w:rsidR="009A45F7" w:rsidRPr="004F3555" w:rsidRDefault="009A45F7" w:rsidP="001A193D">
            <w:pPr>
              <w:spacing w:after="0"/>
              <w:ind w:left="0"/>
              <w:jc w:val="center"/>
              <w:rPr>
                <w:rFonts w:cs="Calibri"/>
                <w:color w:val="000000"/>
                <w:szCs w:val="24"/>
              </w:rPr>
            </w:pPr>
            <w:r w:rsidRPr="004F3555">
              <w:rPr>
                <w:rFonts w:cs="Calibri"/>
                <w:color w:val="000000"/>
                <w:szCs w:val="24"/>
              </w:rPr>
              <w:t>1</w:t>
            </w:r>
          </w:p>
        </w:tc>
        <w:tc>
          <w:tcPr>
            <w:tcW w:w="1530" w:type="dxa"/>
            <w:vAlign w:val="center"/>
          </w:tcPr>
          <w:p w14:paraId="10515A34" w14:textId="77777777" w:rsidR="009A45F7" w:rsidRDefault="009A45F7" w:rsidP="004F3555">
            <w:pPr>
              <w:ind w:left="0"/>
            </w:pPr>
            <w:r>
              <w:t>Send</w:t>
            </w:r>
          </w:p>
        </w:tc>
        <w:tc>
          <w:tcPr>
            <w:tcW w:w="1620" w:type="dxa"/>
            <w:vAlign w:val="center"/>
          </w:tcPr>
          <w:p w14:paraId="1BFE44AD" w14:textId="60F3CF23" w:rsidR="009A45F7" w:rsidRDefault="009A45F7" w:rsidP="004F3555">
            <w:pPr>
              <w:ind w:left="0"/>
            </w:pPr>
            <w:r>
              <w:t>Batch</w:t>
            </w:r>
            <w:r w:rsidR="004F3555">
              <w:t>/</w:t>
            </w:r>
          </w:p>
          <w:p w14:paraId="049D54C7" w14:textId="7441556A" w:rsidR="009A45F7" w:rsidRDefault="009A45F7" w:rsidP="004F3555">
            <w:pPr>
              <w:ind w:left="0"/>
            </w:pPr>
            <w:r>
              <w:t>Daily</w:t>
            </w:r>
          </w:p>
        </w:tc>
        <w:tc>
          <w:tcPr>
            <w:tcW w:w="2430" w:type="dxa"/>
            <w:vAlign w:val="center"/>
          </w:tcPr>
          <w:p w14:paraId="22CA050D" w14:textId="0876C530" w:rsidR="009A45F7" w:rsidRDefault="008D55FE" w:rsidP="004F3555">
            <w:pPr>
              <w:ind w:left="0"/>
            </w:pPr>
            <w:r>
              <w:t>Clear2There</w:t>
            </w:r>
          </w:p>
        </w:tc>
        <w:tc>
          <w:tcPr>
            <w:tcW w:w="2160" w:type="dxa"/>
            <w:vAlign w:val="center"/>
          </w:tcPr>
          <w:p w14:paraId="3B308463" w14:textId="77777777" w:rsidR="009A45F7" w:rsidRDefault="009A45F7" w:rsidP="004F3555">
            <w:pPr>
              <w:ind w:left="0"/>
            </w:pPr>
            <w:r w:rsidRPr="006D57F2">
              <w:t>AP</w:t>
            </w:r>
            <w:r>
              <w:t>***</w:t>
            </w:r>
            <w:r w:rsidRPr="006D57F2">
              <w:t>204C</w:t>
            </w:r>
          </w:p>
        </w:tc>
        <w:tc>
          <w:tcPr>
            <w:tcW w:w="5940" w:type="dxa"/>
            <w:vAlign w:val="center"/>
          </w:tcPr>
          <w:p w14:paraId="555897AC" w14:textId="52384814" w:rsidR="009A45F7" w:rsidRPr="005625A5" w:rsidRDefault="009A45F7" w:rsidP="00150C74">
            <w:pPr>
              <w:ind w:left="0"/>
            </w:pPr>
            <w:r>
              <w:t xml:space="preserve">Sends hearing data to </w:t>
            </w:r>
            <w:r w:rsidR="00D51C30">
              <w:t>Clear2There</w:t>
            </w:r>
            <w:r w:rsidR="00D51C30" w:rsidDel="00D51C30">
              <w:t xml:space="preserve"> </w:t>
            </w:r>
            <w:r w:rsidR="008D55FE">
              <w:t>for hearing</w:t>
            </w:r>
            <w:r w:rsidR="00150C74">
              <w:t>; p</w:t>
            </w:r>
            <w:r>
              <w:t xml:space="preserve">uts three appeals files to </w:t>
            </w:r>
            <w:r w:rsidR="00D51C30">
              <w:t>Clear2There</w:t>
            </w:r>
            <w:r w:rsidR="00D51C30" w:rsidDel="00D51C30">
              <w:t xml:space="preserve"> </w:t>
            </w:r>
            <w:r w:rsidR="008D55FE">
              <w:t>FTP site</w:t>
            </w:r>
          </w:p>
        </w:tc>
      </w:tr>
      <w:tr w:rsidR="009A45F7" w:rsidRPr="00873442" w14:paraId="5AEF385F" w14:textId="77777777" w:rsidTr="004F3555">
        <w:tc>
          <w:tcPr>
            <w:tcW w:w="877" w:type="dxa"/>
            <w:vAlign w:val="center"/>
          </w:tcPr>
          <w:p w14:paraId="494F3547" w14:textId="77777777" w:rsidR="009A45F7" w:rsidRPr="004F3555" w:rsidRDefault="009A45F7" w:rsidP="001A193D">
            <w:pPr>
              <w:spacing w:after="0"/>
              <w:ind w:left="0"/>
              <w:jc w:val="center"/>
              <w:rPr>
                <w:rFonts w:cs="Calibri"/>
                <w:color w:val="000000"/>
                <w:szCs w:val="24"/>
              </w:rPr>
            </w:pPr>
            <w:r w:rsidRPr="004F3555">
              <w:rPr>
                <w:rFonts w:cs="Calibri"/>
                <w:color w:val="000000"/>
                <w:szCs w:val="24"/>
              </w:rPr>
              <w:t>2</w:t>
            </w:r>
          </w:p>
        </w:tc>
        <w:tc>
          <w:tcPr>
            <w:tcW w:w="1530" w:type="dxa"/>
            <w:vAlign w:val="center"/>
          </w:tcPr>
          <w:p w14:paraId="7EBBC2C0" w14:textId="77777777" w:rsidR="009A45F7" w:rsidRDefault="009A45F7" w:rsidP="004F3555">
            <w:pPr>
              <w:ind w:left="0"/>
            </w:pPr>
            <w:r>
              <w:t>Receive</w:t>
            </w:r>
          </w:p>
        </w:tc>
        <w:tc>
          <w:tcPr>
            <w:tcW w:w="1620" w:type="dxa"/>
            <w:vAlign w:val="center"/>
          </w:tcPr>
          <w:p w14:paraId="042B376A" w14:textId="73A802E4" w:rsidR="009A45F7" w:rsidRDefault="009A45F7" w:rsidP="004F3555">
            <w:pPr>
              <w:ind w:left="0"/>
            </w:pPr>
            <w:r>
              <w:t>Batch</w:t>
            </w:r>
            <w:r w:rsidR="004F3555">
              <w:t>/</w:t>
            </w:r>
          </w:p>
          <w:p w14:paraId="08F99422" w14:textId="77777777" w:rsidR="009A45F7" w:rsidRDefault="009A45F7" w:rsidP="004F3555">
            <w:pPr>
              <w:ind w:left="0"/>
            </w:pPr>
            <w:r>
              <w:t>Daily</w:t>
            </w:r>
          </w:p>
        </w:tc>
        <w:tc>
          <w:tcPr>
            <w:tcW w:w="2430" w:type="dxa"/>
            <w:vAlign w:val="center"/>
          </w:tcPr>
          <w:p w14:paraId="69B49FC9" w14:textId="28C6B647" w:rsidR="009A45F7" w:rsidRPr="005625A5" w:rsidRDefault="008D55FE" w:rsidP="004F3555">
            <w:pPr>
              <w:ind w:left="0"/>
            </w:pPr>
            <w:r>
              <w:t>Clear2There</w:t>
            </w:r>
          </w:p>
        </w:tc>
        <w:tc>
          <w:tcPr>
            <w:tcW w:w="2160" w:type="dxa"/>
            <w:vAlign w:val="center"/>
          </w:tcPr>
          <w:p w14:paraId="5162CE24" w14:textId="77777777" w:rsidR="009A45F7" w:rsidRPr="005625A5" w:rsidRDefault="009A45F7" w:rsidP="004F3555">
            <w:pPr>
              <w:ind w:left="0"/>
            </w:pPr>
            <w:r>
              <w:t>AP***204D</w:t>
            </w:r>
          </w:p>
        </w:tc>
        <w:tc>
          <w:tcPr>
            <w:tcW w:w="5940" w:type="dxa"/>
            <w:vAlign w:val="center"/>
          </w:tcPr>
          <w:p w14:paraId="314C65EE" w14:textId="780E8773" w:rsidR="009A45F7" w:rsidRPr="005625A5" w:rsidRDefault="009A45F7" w:rsidP="008D55FE">
            <w:pPr>
              <w:ind w:left="0"/>
            </w:pPr>
            <w:r>
              <w:t xml:space="preserve">Compares hearing data with data on </w:t>
            </w:r>
            <w:r w:rsidR="00D51C30">
              <w:t>Clear2There</w:t>
            </w:r>
            <w:r w:rsidR="00D51C30" w:rsidDel="00D51C30">
              <w:t xml:space="preserve"> </w:t>
            </w:r>
            <w:r w:rsidR="008D55FE">
              <w:t>to ensure accuracy; g</w:t>
            </w:r>
            <w:r>
              <w:t>et three files to compare with TWC ones that has transmitted.</w:t>
            </w:r>
          </w:p>
        </w:tc>
      </w:tr>
      <w:tr w:rsidR="009A45F7" w:rsidRPr="00873442" w14:paraId="43D3D2C4" w14:textId="77777777" w:rsidTr="004F3555">
        <w:tc>
          <w:tcPr>
            <w:tcW w:w="877" w:type="dxa"/>
            <w:vAlign w:val="center"/>
          </w:tcPr>
          <w:p w14:paraId="26527758" w14:textId="77777777" w:rsidR="009A45F7" w:rsidRPr="004F3555" w:rsidRDefault="009A45F7" w:rsidP="001A193D">
            <w:pPr>
              <w:spacing w:after="0"/>
              <w:ind w:left="0"/>
              <w:jc w:val="center"/>
              <w:rPr>
                <w:rFonts w:cs="Calibri"/>
                <w:color w:val="000000"/>
                <w:szCs w:val="24"/>
              </w:rPr>
            </w:pPr>
            <w:r w:rsidRPr="004F3555">
              <w:rPr>
                <w:rFonts w:cs="Calibri"/>
                <w:color w:val="000000"/>
                <w:szCs w:val="24"/>
              </w:rPr>
              <w:t>3</w:t>
            </w:r>
          </w:p>
        </w:tc>
        <w:tc>
          <w:tcPr>
            <w:tcW w:w="1530" w:type="dxa"/>
            <w:vAlign w:val="center"/>
          </w:tcPr>
          <w:p w14:paraId="44B934D9" w14:textId="77777777" w:rsidR="009A45F7" w:rsidRPr="00E731FB" w:rsidRDefault="009A45F7" w:rsidP="004F3555">
            <w:pPr>
              <w:ind w:left="0"/>
            </w:pPr>
            <w:r>
              <w:t>Receive</w:t>
            </w:r>
          </w:p>
        </w:tc>
        <w:tc>
          <w:tcPr>
            <w:tcW w:w="1620" w:type="dxa"/>
            <w:vAlign w:val="center"/>
          </w:tcPr>
          <w:p w14:paraId="102D466C" w14:textId="1BCF1BC6" w:rsidR="009A45F7" w:rsidRDefault="009A45F7" w:rsidP="004F3555">
            <w:pPr>
              <w:ind w:left="0"/>
            </w:pPr>
            <w:r>
              <w:t>Batch</w:t>
            </w:r>
            <w:r w:rsidR="004F3555">
              <w:t>/</w:t>
            </w:r>
          </w:p>
          <w:p w14:paraId="33F34BB1" w14:textId="77777777" w:rsidR="009A45F7" w:rsidRDefault="009A45F7" w:rsidP="004F3555">
            <w:pPr>
              <w:ind w:left="0"/>
            </w:pPr>
            <w:r>
              <w:t>Daily</w:t>
            </w:r>
          </w:p>
        </w:tc>
        <w:tc>
          <w:tcPr>
            <w:tcW w:w="2430" w:type="dxa"/>
            <w:vAlign w:val="center"/>
          </w:tcPr>
          <w:p w14:paraId="17AB9075" w14:textId="16FF5D9A" w:rsidR="009A45F7" w:rsidRDefault="008D55FE" w:rsidP="004F3555">
            <w:pPr>
              <w:ind w:left="0"/>
            </w:pPr>
            <w:r>
              <w:t>Clear2There</w:t>
            </w:r>
          </w:p>
        </w:tc>
        <w:tc>
          <w:tcPr>
            <w:tcW w:w="2160" w:type="dxa"/>
            <w:vAlign w:val="center"/>
          </w:tcPr>
          <w:p w14:paraId="2BD19319" w14:textId="77777777" w:rsidR="009A45F7" w:rsidRDefault="009A45F7" w:rsidP="004F3555">
            <w:pPr>
              <w:ind w:left="0"/>
            </w:pPr>
            <w:r>
              <w:t>AP***204E</w:t>
            </w:r>
          </w:p>
        </w:tc>
        <w:tc>
          <w:tcPr>
            <w:tcW w:w="5940" w:type="dxa"/>
            <w:vAlign w:val="center"/>
          </w:tcPr>
          <w:p w14:paraId="351A0F90" w14:textId="43D8DB75" w:rsidR="009A45F7" w:rsidRPr="005625A5" w:rsidRDefault="009A45F7" w:rsidP="00150C74">
            <w:pPr>
              <w:ind w:left="0"/>
            </w:pPr>
            <w:r>
              <w:t xml:space="preserve">Gets hearing data from </w:t>
            </w:r>
            <w:r w:rsidR="00D51C30">
              <w:t>Clear2There</w:t>
            </w:r>
            <w:r w:rsidR="00D51C30" w:rsidDel="00D51C30">
              <w:t xml:space="preserve"> </w:t>
            </w:r>
            <w:r>
              <w:t>after hearing to populate TWC database</w:t>
            </w:r>
            <w:r w:rsidR="008D55FE">
              <w:t>; g</w:t>
            </w:r>
            <w:r>
              <w:t xml:space="preserve">et three files from </w:t>
            </w:r>
            <w:r w:rsidR="00D51C30">
              <w:t>Clear2There</w:t>
            </w:r>
          </w:p>
        </w:tc>
      </w:tr>
    </w:tbl>
    <w:p w14:paraId="12092308" w14:textId="1D926DC7" w:rsidR="00131B5D" w:rsidRDefault="00131B5D" w:rsidP="00131B5D"/>
    <w:p w14:paraId="0391B1B1" w14:textId="77777777" w:rsidR="00131B5D" w:rsidRPr="00F36BE0" w:rsidRDefault="00131B5D" w:rsidP="00131B5D"/>
    <w:p w14:paraId="075A873B" w14:textId="77777777" w:rsidR="00131B5D" w:rsidRDefault="00131B5D" w:rsidP="00131B5D">
      <w:pPr>
        <w:rPr>
          <w:highlight w:val="yellow"/>
        </w:rPr>
        <w:sectPr w:rsidR="00131B5D" w:rsidSect="00B47897">
          <w:headerReference w:type="default" r:id="rId83"/>
          <w:footerReference w:type="default" r:id="rId84"/>
          <w:footerReference w:type="first" r:id="rId85"/>
          <w:pgSz w:w="15840" w:h="12240" w:orient="landscape" w:code="1"/>
          <w:pgMar w:top="720" w:right="720" w:bottom="720" w:left="720" w:header="720" w:footer="432" w:gutter="0"/>
          <w:cols w:space="720"/>
          <w:docGrid w:linePitch="326"/>
        </w:sectPr>
      </w:pPr>
    </w:p>
    <w:p w14:paraId="5CBCE601" w14:textId="0476A381" w:rsidR="00131B5D" w:rsidRDefault="00131B5D" w:rsidP="00131B5D">
      <w:pPr>
        <w:pStyle w:val="Heading2"/>
      </w:pPr>
      <w:bookmarkStart w:id="426" w:name="_Attachment_8_–"/>
      <w:bookmarkStart w:id="427" w:name="_Toc13567505"/>
      <w:bookmarkEnd w:id="426"/>
      <w:r w:rsidRPr="008259A9">
        <w:rPr>
          <w:lang w:eastAsia="en-AU"/>
        </w:rPr>
        <w:lastRenderedPageBreak/>
        <w:t xml:space="preserve">Attachment </w:t>
      </w:r>
      <w:r w:rsidR="00C10A50">
        <w:rPr>
          <w:lang w:eastAsia="en-AU"/>
        </w:rPr>
        <w:t>8</w:t>
      </w:r>
      <w:r w:rsidRPr="008259A9">
        <w:rPr>
          <w:lang w:eastAsia="en-AU"/>
        </w:rPr>
        <w:t xml:space="preserve"> – </w:t>
      </w:r>
      <w:r w:rsidR="00C10A50">
        <w:rPr>
          <w:lang w:eastAsia="en-AU"/>
        </w:rPr>
        <w:t>UI Report Summary</w:t>
      </w:r>
      <w:bookmarkEnd w:id="427"/>
    </w:p>
    <w:p w14:paraId="1757050C" w14:textId="281472D1" w:rsidR="00144432" w:rsidRDefault="005C2458" w:rsidP="0063413A">
      <w:bookmarkStart w:id="428" w:name="_Hlk525115098"/>
      <w:r>
        <w:t>The tables below contain a list of current reports</w:t>
      </w:r>
      <w:r w:rsidR="00443AE1">
        <w:t xml:space="preserve">. </w:t>
      </w:r>
      <w:r w:rsidR="00081E66">
        <w:t>Some reports are system workaround</w:t>
      </w:r>
      <w:r w:rsidR="00013198">
        <w:t>s</w:t>
      </w:r>
      <w:r w:rsidR="00081E66">
        <w:t xml:space="preserve"> due to lack of work queues and dashboards. Awarded Vendor must develop all reports</w:t>
      </w:r>
      <w:r w:rsidR="00743BF0">
        <w:t>, reengineer existing reports,</w:t>
      </w:r>
      <w:r w:rsidR="00081E66">
        <w:t xml:space="preserve"> or build equivalent functionality into their solution</w:t>
      </w:r>
      <w:r>
        <w:t xml:space="preserve">. </w:t>
      </w:r>
      <w:r w:rsidR="004C09A9">
        <w:t xml:space="preserve">Offeror </w:t>
      </w:r>
      <w:r w:rsidR="00144432">
        <w:t xml:space="preserve">must </w:t>
      </w:r>
      <w:r w:rsidR="004C09A9">
        <w:t>describe all system reports that are included as part of the base system.</w:t>
      </w:r>
    </w:p>
    <w:p w14:paraId="41C33C9D" w14:textId="623B4871" w:rsidR="00FE5C82" w:rsidRDefault="005C2458" w:rsidP="0063413A">
      <w:r>
        <w:t>Awarded Vendor must develop all reports including those not listed in these tables, either implemented after this RFO is posted or accidentally omitted.</w:t>
      </w:r>
      <w:bookmarkEnd w:id="428"/>
      <w:r w:rsidR="00B966EF">
        <w:t xml:space="preserve"> TWC has made every effort to be inclusive but there is always the possibility of oversight.</w:t>
      </w:r>
    </w:p>
    <w:p w14:paraId="23EEEB81" w14:textId="3ADFF52F" w:rsidR="005C2458" w:rsidRDefault="005C2458" w:rsidP="005C2458">
      <w:pPr>
        <w:pStyle w:val="Heading3"/>
      </w:pPr>
      <w:bookmarkStart w:id="429" w:name="_Toc13567506"/>
      <w:r>
        <w:t>A8.1</w:t>
      </w:r>
      <w:r>
        <w:tab/>
        <w:t>Tax</w:t>
      </w:r>
      <w:bookmarkEnd w:id="429"/>
    </w:p>
    <w:p w14:paraId="13B3993A" w14:textId="77777777" w:rsidR="00A244D2" w:rsidRPr="00A244D2" w:rsidRDefault="00A244D2" w:rsidP="00A244D2">
      <w:pPr>
        <w:rPr>
          <w:rFonts w:eastAsia="Verdana,Times New Roman" w:cs="Verdana,Times New Roman"/>
          <w:b/>
          <w:bCs/>
          <w:u w:val="single"/>
        </w:rPr>
      </w:pPr>
      <w:r w:rsidRPr="00A244D2">
        <w:rPr>
          <w:rFonts w:eastAsia="Verdana,Times New Roman" w:cs="Verdana,Times New Roman"/>
          <w:b/>
          <w:bCs/>
          <w:u w:val="single"/>
        </w:rPr>
        <w:t>Reports</w:t>
      </w:r>
    </w:p>
    <w:tbl>
      <w:tblPr>
        <w:tblStyle w:val="TableGrid"/>
        <w:tblW w:w="11099" w:type="dxa"/>
        <w:tblInd w:w="-72" w:type="dxa"/>
        <w:tblLayout w:type="fixed"/>
        <w:tblLook w:val="04A0" w:firstRow="1" w:lastRow="0" w:firstColumn="1" w:lastColumn="0" w:noHBand="0" w:noVBand="1"/>
        <w:tblDescription w:val="Table of Tax reports"/>
      </w:tblPr>
      <w:tblGrid>
        <w:gridCol w:w="684"/>
        <w:gridCol w:w="1677"/>
        <w:gridCol w:w="1775"/>
        <w:gridCol w:w="6963"/>
      </w:tblGrid>
      <w:tr w:rsidR="00103CFB" w:rsidRPr="005625A5" w14:paraId="0010C097" w14:textId="77777777" w:rsidTr="00A26011">
        <w:trPr>
          <w:trHeight w:val="258"/>
          <w:tblHeader/>
        </w:trPr>
        <w:tc>
          <w:tcPr>
            <w:tcW w:w="684" w:type="dxa"/>
            <w:shd w:val="clear" w:color="auto" w:fill="DEEAF6" w:themeFill="accent1" w:themeFillTint="33"/>
            <w:vAlign w:val="center"/>
          </w:tcPr>
          <w:p w14:paraId="66421A78" w14:textId="77777777" w:rsidR="00103CFB" w:rsidRPr="001A193D" w:rsidRDefault="00103CFB" w:rsidP="0052714F">
            <w:pPr>
              <w:spacing w:after="0"/>
              <w:ind w:left="0"/>
              <w:jc w:val="center"/>
              <w:rPr>
                <w:b/>
                <w:i/>
                <w:color w:val="1F3864" w:themeColor="accent5" w:themeShade="80"/>
              </w:rPr>
            </w:pPr>
            <w:r w:rsidRPr="001A193D">
              <w:rPr>
                <w:rFonts w:cs="Arial"/>
                <w:b/>
                <w:color w:val="1F3864" w:themeColor="accent5" w:themeShade="80"/>
              </w:rPr>
              <w:t>#</w:t>
            </w:r>
          </w:p>
        </w:tc>
        <w:tc>
          <w:tcPr>
            <w:tcW w:w="1677" w:type="dxa"/>
            <w:shd w:val="clear" w:color="auto" w:fill="DEEAF6" w:themeFill="accent1" w:themeFillTint="33"/>
            <w:vAlign w:val="center"/>
          </w:tcPr>
          <w:p w14:paraId="10FE6DCD" w14:textId="77777777" w:rsidR="00103CFB" w:rsidRPr="001A193D" w:rsidRDefault="00103CFB" w:rsidP="00A244D2">
            <w:pPr>
              <w:spacing w:after="0"/>
              <w:ind w:left="0"/>
              <w:rPr>
                <w:b/>
                <w:i/>
                <w:color w:val="1F3864" w:themeColor="accent5" w:themeShade="80"/>
              </w:rPr>
            </w:pPr>
            <w:r w:rsidRPr="001A193D">
              <w:rPr>
                <w:rFonts w:cs="Arial"/>
                <w:b/>
                <w:color w:val="1F3864" w:themeColor="accent5" w:themeShade="80"/>
              </w:rPr>
              <w:t>Frequency</w:t>
            </w:r>
          </w:p>
        </w:tc>
        <w:tc>
          <w:tcPr>
            <w:tcW w:w="1775" w:type="dxa"/>
            <w:shd w:val="clear" w:color="auto" w:fill="DEEAF6" w:themeFill="accent1" w:themeFillTint="33"/>
            <w:vAlign w:val="center"/>
          </w:tcPr>
          <w:p w14:paraId="0BC6FCC9" w14:textId="77777777" w:rsidR="00103CFB" w:rsidRPr="001A193D" w:rsidRDefault="00103CFB" w:rsidP="00A244D2">
            <w:pPr>
              <w:spacing w:after="0"/>
              <w:ind w:left="0"/>
              <w:rPr>
                <w:b/>
                <w:i/>
                <w:color w:val="1F3864" w:themeColor="accent5" w:themeShade="80"/>
              </w:rPr>
            </w:pPr>
            <w:r>
              <w:rPr>
                <w:rFonts w:cs="Arial"/>
                <w:b/>
                <w:color w:val="1F3864" w:themeColor="accent5" w:themeShade="80"/>
              </w:rPr>
              <w:t xml:space="preserve">Job </w:t>
            </w:r>
            <w:r w:rsidRPr="001A193D">
              <w:rPr>
                <w:rFonts w:cs="Arial"/>
                <w:b/>
                <w:color w:val="1F3864" w:themeColor="accent5" w:themeShade="80"/>
              </w:rPr>
              <w:t>Name</w:t>
            </w:r>
          </w:p>
        </w:tc>
        <w:tc>
          <w:tcPr>
            <w:tcW w:w="6963" w:type="dxa"/>
            <w:shd w:val="clear" w:color="auto" w:fill="DEEAF6" w:themeFill="accent1" w:themeFillTint="33"/>
            <w:vAlign w:val="center"/>
          </w:tcPr>
          <w:p w14:paraId="6BDC5E0B" w14:textId="77777777" w:rsidR="00103CFB" w:rsidRPr="001A193D" w:rsidRDefault="00103CFB" w:rsidP="00A244D2">
            <w:pPr>
              <w:spacing w:after="0"/>
              <w:ind w:left="0"/>
              <w:rPr>
                <w:b/>
                <w:i/>
                <w:color w:val="1F3864" w:themeColor="accent5" w:themeShade="80"/>
              </w:rPr>
            </w:pPr>
            <w:r w:rsidRPr="001A193D">
              <w:rPr>
                <w:rFonts w:cs="Arial"/>
                <w:b/>
                <w:color w:val="1F3864" w:themeColor="accent5" w:themeShade="80"/>
              </w:rPr>
              <w:t>Overview</w:t>
            </w:r>
          </w:p>
        </w:tc>
      </w:tr>
      <w:tr w:rsidR="00103CFB" w:rsidRPr="00293F5E" w14:paraId="7FAD7D5E" w14:textId="77777777" w:rsidTr="00A26011">
        <w:trPr>
          <w:trHeight w:val="300"/>
        </w:trPr>
        <w:tc>
          <w:tcPr>
            <w:tcW w:w="684" w:type="dxa"/>
            <w:noWrap/>
            <w:vAlign w:val="bottom"/>
            <w:hideMark/>
          </w:tcPr>
          <w:p w14:paraId="77C917F0" w14:textId="0255E362" w:rsidR="00103CFB" w:rsidRPr="00293F5E" w:rsidRDefault="00103CFB" w:rsidP="00103CFB">
            <w:pPr>
              <w:spacing w:after="0"/>
              <w:ind w:left="0"/>
              <w:jc w:val="center"/>
              <w:rPr>
                <w:rFonts w:ascii="Calibri" w:hAnsi="Calibri" w:cs="Calibri"/>
                <w:color w:val="000000"/>
                <w:szCs w:val="22"/>
              </w:rPr>
            </w:pPr>
            <w:r>
              <w:rPr>
                <w:color w:val="000000"/>
                <w:szCs w:val="22"/>
              </w:rPr>
              <w:t>1</w:t>
            </w:r>
          </w:p>
        </w:tc>
        <w:tc>
          <w:tcPr>
            <w:tcW w:w="1677" w:type="dxa"/>
            <w:noWrap/>
            <w:vAlign w:val="bottom"/>
          </w:tcPr>
          <w:p w14:paraId="78A85CBA"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6DFA463A" w14:textId="77777777" w:rsidR="00103CFB" w:rsidRPr="004B4E82" w:rsidRDefault="00103CFB" w:rsidP="00103CFB">
            <w:pPr>
              <w:spacing w:after="0"/>
              <w:ind w:left="0"/>
              <w:rPr>
                <w:color w:val="000000"/>
              </w:rPr>
            </w:pPr>
            <w:r>
              <w:rPr>
                <w:color w:val="000000"/>
              </w:rPr>
              <w:t>TSDM0180</w:t>
            </w:r>
          </w:p>
        </w:tc>
        <w:tc>
          <w:tcPr>
            <w:tcW w:w="6963" w:type="dxa"/>
            <w:vAlign w:val="bottom"/>
          </w:tcPr>
          <w:p w14:paraId="3565063F" w14:textId="77777777" w:rsidR="00103CFB" w:rsidRPr="004B4E82" w:rsidRDefault="00103CFB" w:rsidP="00103CFB">
            <w:pPr>
              <w:spacing w:after="0"/>
              <w:ind w:left="0"/>
              <w:rPr>
                <w:color w:val="000000"/>
              </w:rPr>
            </w:pPr>
            <w:r>
              <w:rPr>
                <w:color w:val="000000"/>
              </w:rPr>
              <w:t>DP Wage Adjustment Error Listing</w:t>
            </w:r>
          </w:p>
        </w:tc>
      </w:tr>
      <w:tr w:rsidR="00103CFB" w:rsidRPr="00293F5E" w14:paraId="46CD8566" w14:textId="77777777" w:rsidTr="00A26011">
        <w:trPr>
          <w:trHeight w:val="300"/>
        </w:trPr>
        <w:tc>
          <w:tcPr>
            <w:tcW w:w="684" w:type="dxa"/>
            <w:noWrap/>
            <w:vAlign w:val="bottom"/>
            <w:hideMark/>
          </w:tcPr>
          <w:p w14:paraId="3DAF8139" w14:textId="1EBB2E74" w:rsidR="00103CFB" w:rsidRPr="00293F5E" w:rsidRDefault="00103CFB" w:rsidP="00103CFB">
            <w:pPr>
              <w:spacing w:after="0"/>
              <w:ind w:left="0"/>
              <w:jc w:val="center"/>
              <w:rPr>
                <w:rFonts w:ascii="Calibri" w:hAnsi="Calibri" w:cs="Calibri"/>
                <w:color w:val="000000"/>
                <w:szCs w:val="22"/>
              </w:rPr>
            </w:pPr>
            <w:r>
              <w:rPr>
                <w:szCs w:val="22"/>
              </w:rPr>
              <w:t>2</w:t>
            </w:r>
          </w:p>
        </w:tc>
        <w:tc>
          <w:tcPr>
            <w:tcW w:w="1677" w:type="dxa"/>
            <w:noWrap/>
            <w:vAlign w:val="bottom"/>
          </w:tcPr>
          <w:p w14:paraId="10FD4E23"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60AB53CE" w14:textId="77777777" w:rsidR="00103CFB" w:rsidRPr="004B4E82" w:rsidRDefault="00103CFB" w:rsidP="00103CFB">
            <w:pPr>
              <w:spacing w:after="0"/>
              <w:ind w:left="0"/>
              <w:rPr>
                <w:color w:val="000000"/>
              </w:rPr>
            </w:pPr>
            <w:r>
              <w:rPr>
                <w:color w:val="000000"/>
              </w:rPr>
              <w:t>TXDC0010</w:t>
            </w:r>
          </w:p>
        </w:tc>
        <w:tc>
          <w:tcPr>
            <w:tcW w:w="6963" w:type="dxa"/>
            <w:vAlign w:val="bottom"/>
          </w:tcPr>
          <w:p w14:paraId="27BADD6E" w14:textId="77777777" w:rsidR="00103CFB" w:rsidRPr="004B4E82" w:rsidRDefault="00103CFB" w:rsidP="00103CFB">
            <w:pPr>
              <w:spacing w:after="0"/>
              <w:ind w:left="0"/>
              <w:rPr>
                <w:color w:val="000000"/>
              </w:rPr>
            </w:pPr>
            <w:r>
              <w:rPr>
                <w:color w:val="000000"/>
              </w:rPr>
              <w:t>FTD Assignment Report</w:t>
            </w:r>
          </w:p>
        </w:tc>
      </w:tr>
      <w:tr w:rsidR="00103CFB" w:rsidRPr="00293F5E" w14:paraId="0741EB83" w14:textId="77777777" w:rsidTr="00A26011">
        <w:trPr>
          <w:trHeight w:val="300"/>
        </w:trPr>
        <w:tc>
          <w:tcPr>
            <w:tcW w:w="684" w:type="dxa"/>
            <w:noWrap/>
            <w:vAlign w:val="bottom"/>
            <w:hideMark/>
          </w:tcPr>
          <w:p w14:paraId="55837BFC" w14:textId="10F7B43F" w:rsidR="00103CFB" w:rsidRPr="00293F5E" w:rsidRDefault="00103CFB" w:rsidP="00103CFB">
            <w:pPr>
              <w:spacing w:after="0"/>
              <w:ind w:left="0"/>
              <w:jc w:val="center"/>
              <w:rPr>
                <w:rFonts w:ascii="Calibri" w:hAnsi="Calibri" w:cs="Calibri"/>
                <w:color w:val="000000"/>
                <w:szCs w:val="22"/>
              </w:rPr>
            </w:pPr>
            <w:r>
              <w:rPr>
                <w:color w:val="000000"/>
                <w:szCs w:val="22"/>
              </w:rPr>
              <w:t>3</w:t>
            </w:r>
          </w:p>
        </w:tc>
        <w:tc>
          <w:tcPr>
            <w:tcW w:w="1677" w:type="dxa"/>
            <w:noWrap/>
            <w:vAlign w:val="bottom"/>
          </w:tcPr>
          <w:p w14:paraId="30385BE6"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7D2A48DD" w14:textId="77777777" w:rsidR="00103CFB" w:rsidRPr="004B4E82" w:rsidRDefault="00103CFB" w:rsidP="00103CFB">
            <w:pPr>
              <w:spacing w:after="0"/>
              <w:ind w:left="0"/>
              <w:rPr>
                <w:color w:val="000000"/>
              </w:rPr>
            </w:pPr>
            <w:r>
              <w:rPr>
                <w:color w:val="000000"/>
              </w:rPr>
              <w:t>TXDC0110</w:t>
            </w:r>
          </w:p>
        </w:tc>
        <w:tc>
          <w:tcPr>
            <w:tcW w:w="6963" w:type="dxa"/>
            <w:vAlign w:val="bottom"/>
          </w:tcPr>
          <w:p w14:paraId="5A3A3CF8" w14:textId="77777777" w:rsidR="00103CFB" w:rsidRPr="004B4E82" w:rsidRDefault="00103CFB" w:rsidP="00103CFB">
            <w:pPr>
              <w:spacing w:after="0"/>
              <w:ind w:left="0"/>
              <w:rPr>
                <w:color w:val="000000"/>
              </w:rPr>
            </w:pPr>
            <w:r>
              <w:rPr>
                <w:color w:val="000000"/>
              </w:rPr>
              <w:t>Rate Stops Released by AE's, MTD for Current Month</w:t>
            </w:r>
          </w:p>
        </w:tc>
      </w:tr>
      <w:tr w:rsidR="00103CFB" w:rsidRPr="00293F5E" w14:paraId="006F26D7" w14:textId="77777777" w:rsidTr="00A26011">
        <w:trPr>
          <w:trHeight w:val="300"/>
        </w:trPr>
        <w:tc>
          <w:tcPr>
            <w:tcW w:w="684" w:type="dxa"/>
            <w:noWrap/>
            <w:vAlign w:val="bottom"/>
            <w:hideMark/>
          </w:tcPr>
          <w:p w14:paraId="06F4A5E8" w14:textId="38DB7519" w:rsidR="00103CFB" w:rsidRPr="00293F5E" w:rsidRDefault="00103CFB" w:rsidP="00103CFB">
            <w:pPr>
              <w:spacing w:after="0"/>
              <w:ind w:left="0"/>
              <w:jc w:val="center"/>
              <w:rPr>
                <w:rFonts w:ascii="Calibri" w:hAnsi="Calibri" w:cs="Calibri"/>
                <w:color w:val="000000"/>
                <w:szCs w:val="22"/>
              </w:rPr>
            </w:pPr>
            <w:r>
              <w:rPr>
                <w:szCs w:val="22"/>
              </w:rPr>
              <w:t>4</w:t>
            </w:r>
          </w:p>
        </w:tc>
        <w:tc>
          <w:tcPr>
            <w:tcW w:w="1677" w:type="dxa"/>
            <w:noWrap/>
            <w:vAlign w:val="bottom"/>
          </w:tcPr>
          <w:p w14:paraId="728D7A4A" w14:textId="77777777" w:rsidR="00103CFB" w:rsidRPr="00293F5E" w:rsidRDefault="00103CFB" w:rsidP="00103CFB">
            <w:pPr>
              <w:spacing w:after="0"/>
              <w:ind w:left="0"/>
              <w:rPr>
                <w:rFonts w:ascii="Calibri" w:hAnsi="Calibri" w:cs="Calibri"/>
                <w:color w:val="000000"/>
                <w:szCs w:val="22"/>
              </w:rPr>
            </w:pPr>
            <w:r>
              <w:t>Daily</w:t>
            </w:r>
          </w:p>
        </w:tc>
        <w:tc>
          <w:tcPr>
            <w:tcW w:w="1775" w:type="dxa"/>
            <w:noWrap/>
            <w:vAlign w:val="bottom"/>
          </w:tcPr>
          <w:p w14:paraId="38994DE3" w14:textId="77777777" w:rsidR="00103CFB" w:rsidRPr="004B4E82" w:rsidRDefault="00103CFB" w:rsidP="00103CFB">
            <w:pPr>
              <w:spacing w:after="0"/>
              <w:ind w:left="0"/>
              <w:rPr>
                <w:color w:val="000000"/>
              </w:rPr>
            </w:pPr>
            <w:r w:rsidRPr="004B4E82">
              <w:rPr>
                <w:color w:val="000000"/>
              </w:rPr>
              <w:t>TXDC0560</w:t>
            </w:r>
          </w:p>
        </w:tc>
        <w:tc>
          <w:tcPr>
            <w:tcW w:w="6963" w:type="dxa"/>
            <w:vAlign w:val="bottom"/>
          </w:tcPr>
          <w:p w14:paraId="6C4DD19B" w14:textId="77777777" w:rsidR="00103CFB" w:rsidRPr="004B4E82" w:rsidRDefault="00103CFB" w:rsidP="00103CFB">
            <w:pPr>
              <w:spacing w:after="0"/>
              <w:ind w:left="0"/>
              <w:rPr>
                <w:color w:val="000000"/>
              </w:rPr>
            </w:pPr>
            <w:r w:rsidRPr="004B4E82">
              <w:rPr>
                <w:color w:val="000000"/>
              </w:rPr>
              <w:t>Statement of Account Update - Error List</w:t>
            </w:r>
          </w:p>
        </w:tc>
      </w:tr>
      <w:tr w:rsidR="00103CFB" w:rsidRPr="00293F5E" w14:paraId="6D105B22" w14:textId="77777777" w:rsidTr="00A26011">
        <w:trPr>
          <w:trHeight w:val="300"/>
        </w:trPr>
        <w:tc>
          <w:tcPr>
            <w:tcW w:w="684" w:type="dxa"/>
            <w:noWrap/>
            <w:vAlign w:val="bottom"/>
            <w:hideMark/>
          </w:tcPr>
          <w:p w14:paraId="4331BF93" w14:textId="597D5B2B" w:rsidR="00103CFB" w:rsidRPr="00293F5E" w:rsidRDefault="00103CFB" w:rsidP="00103CFB">
            <w:pPr>
              <w:spacing w:after="0"/>
              <w:ind w:left="0"/>
              <w:jc w:val="center"/>
              <w:rPr>
                <w:rFonts w:ascii="Calibri" w:hAnsi="Calibri" w:cs="Calibri"/>
                <w:color w:val="000000"/>
                <w:szCs w:val="22"/>
              </w:rPr>
            </w:pPr>
            <w:r>
              <w:rPr>
                <w:color w:val="000000"/>
                <w:szCs w:val="22"/>
              </w:rPr>
              <w:t>5</w:t>
            </w:r>
          </w:p>
        </w:tc>
        <w:tc>
          <w:tcPr>
            <w:tcW w:w="1677" w:type="dxa"/>
            <w:noWrap/>
            <w:vAlign w:val="bottom"/>
          </w:tcPr>
          <w:p w14:paraId="668F5074" w14:textId="77777777" w:rsidR="00103CFB" w:rsidRPr="00293F5E" w:rsidRDefault="00103CFB" w:rsidP="00103CFB">
            <w:pPr>
              <w:spacing w:after="0"/>
              <w:ind w:left="0"/>
              <w:rPr>
                <w:rFonts w:ascii="Calibri" w:hAnsi="Calibri" w:cs="Calibri"/>
                <w:color w:val="000000"/>
                <w:szCs w:val="22"/>
              </w:rPr>
            </w:pPr>
            <w:r>
              <w:t>Daily</w:t>
            </w:r>
          </w:p>
        </w:tc>
        <w:tc>
          <w:tcPr>
            <w:tcW w:w="1775" w:type="dxa"/>
            <w:noWrap/>
            <w:vAlign w:val="bottom"/>
          </w:tcPr>
          <w:p w14:paraId="230E6695" w14:textId="77777777" w:rsidR="00103CFB" w:rsidRPr="004B4E82" w:rsidRDefault="00103CFB" w:rsidP="00103CFB">
            <w:pPr>
              <w:spacing w:after="0"/>
              <w:ind w:left="0"/>
              <w:rPr>
                <w:color w:val="000000"/>
              </w:rPr>
            </w:pPr>
            <w:r w:rsidRPr="004B4E82">
              <w:rPr>
                <w:color w:val="000000"/>
              </w:rPr>
              <w:t>TXDDAILY</w:t>
            </w:r>
          </w:p>
        </w:tc>
        <w:tc>
          <w:tcPr>
            <w:tcW w:w="6963" w:type="dxa"/>
            <w:vAlign w:val="bottom"/>
          </w:tcPr>
          <w:p w14:paraId="7A821FF1" w14:textId="4DDB124A" w:rsidR="00103CFB" w:rsidRPr="004B4E82" w:rsidRDefault="0098693C" w:rsidP="00103CFB">
            <w:pPr>
              <w:spacing w:after="0"/>
              <w:ind w:left="0"/>
              <w:rPr>
                <w:color w:val="000000"/>
              </w:rPr>
            </w:pPr>
            <w:r>
              <w:rPr>
                <w:color w:val="000000"/>
              </w:rPr>
              <w:t>System Output</w:t>
            </w:r>
            <w:r w:rsidR="00103CFB" w:rsidRPr="004B4E82">
              <w:rPr>
                <w:color w:val="000000"/>
              </w:rPr>
              <w:t xml:space="preserve"> Messages</w:t>
            </w:r>
          </w:p>
        </w:tc>
      </w:tr>
      <w:tr w:rsidR="00103CFB" w:rsidRPr="00293F5E" w14:paraId="6E17F9E6" w14:textId="77777777" w:rsidTr="00A26011">
        <w:trPr>
          <w:trHeight w:val="315"/>
        </w:trPr>
        <w:tc>
          <w:tcPr>
            <w:tcW w:w="684" w:type="dxa"/>
            <w:noWrap/>
            <w:vAlign w:val="bottom"/>
          </w:tcPr>
          <w:p w14:paraId="2785077D" w14:textId="0242F987" w:rsidR="00103CFB" w:rsidRDefault="00103CFB" w:rsidP="00103CFB">
            <w:pPr>
              <w:spacing w:after="0"/>
              <w:ind w:left="0"/>
              <w:jc w:val="center"/>
              <w:rPr>
                <w:rFonts w:ascii="Calibri" w:hAnsi="Calibri" w:cs="Calibri"/>
                <w:color w:val="000000"/>
                <w:szCs w:val="22"/>
              </w:rPr>
            </w:pPr>
            <w:r>
              <w:rPr>
                <w:szCs w:val="22"/>
              </w:rPr>
              <w:t>6</w:t>
            </w:r>
          </w:p>
        </w:tc>
        <w:tc>
          <w:tcPr>
            <w:tcW w:w="1677" w:type="dxa"/>
            <w:noWrap/>
            <w:vAlign w:val="bottom"/>
          </w:tcPr>
          <w:p w14:paraId="357CFBAF" w14:textId="77777777" w:rsidR="00103CFB"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16D04809" w14:textId="77777777" w:rsidR="00103CFB" w:rsidRPr="00007760" w:rsidRDefault="00103CFB" w:rsidP="00103CFB">
            <w:pPr>
              <w:spacing w:after="0"/>
              <w:ind w:left="0"/>
              <w:rPr>
                <w:color w:val="000000"/>
              </w:rPr>
            </w:pPr>
            <w:r>
              <w:rPr>
                <w:color w:val="000000"/>
              </w:rPr>
              <w:t>TXDF0001</w:t>
            </w:r>
          </w:p>
        </w:tc>
        <w:tc>
          <w:tcPr>
            <w:tcW w:w="6963" w:type="dxa"/>
            <w:vAlign w:val="bottom"/>
          </w:tcPr>
          <w:p w14:paraId="4F68447B" w14:textId="47C7564E" w:rsidR="00103CFB" w:rsidRPr="00007760" w:rsidRDefault="00103CFB" w:rsidP="00103CFB">
            <w:pPr>
              <w:spacing w:after="0"/>
              <w:ind w:left="0"/>
              <w:rPr>
                <w:color w:val="000000"/>
              </w:rPr>
            </w:pPr>
            <w:r>
              <w:rPr>
                <w:color w:val="000000"/>
              </w:rPr>
              <w:t xml:space="preserve">Invalid FTK - </w:t>
            </w:r>
            <w:r w:rsidR="0098693C">
              <w:rPr>
                <w:color w:val="000000"/>
              </w:rPr>
              <w:t>System Output</w:t>
            </w:r>
            <w:r>
              <w:rPr>
                <w:color w:val="000000"/>
              </w:rPr>
              <w:t xml:space="preserve"> Message</w:t>
            </w:r>
          </w:p>
        </w:tc>
      </w:tr>
      <w:tr w:rsidR="00103CFB" w:rsidRPr="00293F5E" w14:paraId="2D6E0F48" w14:textId="77777777" w:rsidTr="00A26011">
        <w:trPr>
          <w:trHeight w:val="315"/>
        </w:trPr>
        <w:tc>
          <w:tcPr>
            <w:tcW w:w="684" w:type="dxa"/>
            <w:noWrap/>
            <w:vAlign w:val="bottom"/>
          </w:tcPr>
          <w:p w14:paraId="28DAD6E1" w14:textId="579F44F5" w:rsidR="00103CFB" w:rsidRDefault="00103CFB" w:rsidP="00103CFB">
            <w:pPr>
              <w:spacing w:after="0"/>
              <w:ind w:left="0"/>
              <w:jc w:val="center"/>
              <w:rPr>
                <w:rFonts w:ascii="Calibri" w:hAnsi="Calibri" w:cs="Calibri"/>
                <w:color w:val="000000"/>
                <w:szCs w:val="22"/>
              </w:rPr>
            </w:pPr>
            <w:r>
              <w:rPr>
                <w:color w:val="000000"/>
                <w:szCs w:val="22"/>
              </w:rPr>
              <w:t>7</w:t>
            </w:r>
          </w:p>
        </w:tc>
        <w:tc>
          <w:tcPr>
            <w:tcW w:w="1677" w:type="dxa"/>
            <w:noWrap/>
            <w:vAlign w:val="bottom"/>
          </w:tcPr>
          <w:p w14:paraId="6E7245FC" w14:textId="77777777" w:rsidR="00103CFB"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30F3C2FE" w14:textId="77777777" w:rsidR="00103CFB" w:rsidRPr="00007760" w:rsidRDefault="00103CFB" w:rsidP="00103CFB">
            <w:pPr>
              <w:spacing w:after="0"/>
              <w:ind w:left="0"/>
              <w:rPr>
                <w:color w:val="000000"/>
              </w:rPr>
            </w:pPr>
            <w:r>
              <w:rPr>
                <w:color w:val="000000"/>
              </w:rPr>
              <w:t>TXDF0001</w:t>
            </w:r>
          </w:p>
        </w:tc>
        <w:tc>
          <w:tcPr>
            <w:tcW w:w="6963" w:type="dxa"/>
            <w:vAlign w:val="bottom"/>
          </w:tcPr>
          <w:p w14:paraId="128C5A3A" w14:textId="7C105B48" w:rsidR="00103CFB" w:rsidRPr="00007760" w:rsidRDefault="00103CFB" w:rsidP="00103CFB">
            <w:pPr>
              <w:spacing w:after="0"/>
              <w:ind w:left="0"/>
              <w:rPr>
                <w:color w:val="000000"/>
              </w:rPr>
            </w:pPr>
            <w:r>
              <w:rPr>
                <w:color w:val="000000"/>
              </w:rPr>
              <w:t xml:space="preserve">Invalid UTS Users - </w:t>
            </w:r>
            <w:r w:rsidR="0098693C">
              <w:rPr>
                <w:color w:val="000000"/>
              </w:rPr>
              <w:t>System Output</w:t>
            </w:r>
            <w:r>
              <w:rPr>
                <w:color w:val="000000"/>
              </w:rPr>
              <w:t xml:space="preserve"> Message</w:t>
            </w:r>
          </w:p>
        </w:tc>
      </w:tr>
      <w:tr w:rsidR="00103CFB" w:rsidRPr="00293F5E" w14:paraId="353E4AB1" w14:textId="77777777" w:rsidTr="00A26011">
        <w:trPr>
          <w:trHeight w:val="315"/>
        </w:trPr>
        <w:tc>
          <w:tcPr>
            <w:tcW w:w="684" w:type="dxa"/>
            <w:noWrap/>
            <w:vAlign w:val="bottom"/>
          </w:tcPr>
          <w:p w14:paraId="724CF713" w14:textId="75E5B798" w:rsidR="00103CFB" w:rsidRDefault="00103CFB" w:rsidP="00103CFB">
            <w:pPr>
              <w:spacing w:after="0"/>
              <w:ind w:left="0"/>
              <w:jc w:val="center"/>
              <w:rPr>
                <w:rFonts w:ascii="Calibri" w:hAnsi="Calibri" w:cs="Calibri"/>
                <w:color w:val="000000"/>
                <w:szCs w:val="22"/>
              </w:rPr>
            </w:pPr>
            <w:r>
              <w:rPr>
                <w:szCs w:val="22"/>
              </w:rPr>
              <w:t>8</w:t>
            </w:r>
          </w:p>
        </w:tc>
        <w:tc>
          <w:tcPr>
            <w:tcW w:w="1677" w:type="dxa"/>
            <w:noWrap/>
            <w:vAlign w:val="bottom"/>
          </w:tcPr>
          <w:p w14:paraId="0DAF7D68" w14:textId="77777777" w:rsidR="00103CFB"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206AA8AB" w14:textId="77777777" w:rsidR="00103CFB" w:rsidRPr="00007760" w:rsidRDefault="00103CFB" w:rsidP="00103CFB">
            <w:pPr>
              <w:spacing w:after="0"/>
              <w:ind w:left="0"/>
              <w:rPr>
                <w:color w:val="000000"/>
              </w:rPr>
            </w:pPr>
            <w:r>
              <w:rPr>
                <w:color w:val="000000"/>
              </w:rPr>
              <w:t>TXDF0710</w:t>
            </w:r>
          </w:p>
        </w:tc>
        <w:tc>
          <w:tcPr>
            <w:tcW w:w="6963" w:type="dxa"/>
            <w:vAlign w:val="bottom"/>
          </w:tcPr>
          <w:p w14:paraId="36D57034" w14:textId="77777777" w:rsidR="00103CFB" w:rsidRPr="00007760" w:rsidRDefault="00103CFB" w:rsidP="00103CFB">
            <w:pPr>
              <w:spacing w:after="0"/>
              <w:ind w:left="0"/>
              <w:rPr>
                <w:color w:val="000000"/>
              </w:rPr>
            </w:pPr>
            <w:r>
              <w:rPr>
                <w:color w:val="000000"/>
              </w:rPr>
              <w:t>Run to Run Controls</w:t>
            </w:r>
          </w:p>
        </w:tc>
      </w:tr>
      <w:tr w:rsidR="00103CFB" w:rsidRPr="00293F5E" w14:paraId="1ADCB4BD" w14:textId="77777777" w:rsidTr="00A26011">
        <w:trPr>
          <w:trHeight w:val="315"/>
        </w:trPr>
        <w:tc>
          <w:tcPr>
            <w:tcW w:w="684" w:type="dxa"/>
            <w:noWrap/>
            <w:vAlign w:val="bottom"/>
          </w:tcPr>
          <w:p w14:paraId="31C42CF0" w14:textId="76A2B7A2" w:rsidR="00103CFB" w:rsidRDefault="00103CFB" w:rsidP="00103CFB">
            <w:pPr>
              <w:spacing w:after="0"/>
              <w:ind w:left="0"/>
              <w:jc w:val="center"/>
              <w:rPr>
                <w:rFonts w:ascii="Calibri" w:hAnsi="Calibri" w:cs="Calibri"/>
                <w:color w:val="000000"/>
                <w:szCs w:val="22"/>
              </w:rPr>
            </w:pPr>
            <w:r>
              <w:rPr>
                <w:color w:val="000000"/>
                <w:szCs w:val="22"/>
              </w:rPr>
              <w:t>9</w:t>
            </w:r>
          </w:p>
        </w:tc>
        <w:tc>
          <w:tcPr>
            <w:tcW w:w="1677" w:type="dxa"/>
            <w:noWrap/>
            <w:vAlign w:val="bottom"/>
          </w:tcPr>
          <w:p w14:paraId="4DFCB559" w14:textId="77777777" w:rsidR="00103CFB"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72C60014" w14:textId="77777777" w:rsidR="00103CFB" w:rsidRPr="00007760" w:rsidRDefault="00103CFB" w:rsidP="00103CFB">
            <w:pPr>
              <w:spacing w:after="0"/>
              <w:ind w:left="0"/>
              <w:rPr>
                <w:color w:val="000000"/>
              </w:rPr>
            </w:pPr>
            <w:r>
              <w:rPr>
                <w:color w:val="000000"/>
              </w:rPr>
              <w:t>TXDF0720</w:t>
            </w:r>
          </w:p>
        </w:tc>
        <w:tc>
          <w:tcPr>
            <w:tcW w:w="6963" w:type="dxa"/>
            <w:vAlign w:val="bottom"/>
          </w:tcPr>
          <w:p w14:paraId="30FDFCEC" w14:textId="77777777" w:rsidR="00103CFB" w:rsidRPr="00007760" w:rsidRDefault="00103CFB" w:rsidP="00103CFB">
            <w:pPr>
              <w:spacing w:after="0"/>
              <w:ind w:left="0"/>
              <w:rPr>
                <w:color w:val="000000"/>
              </w:rPr>
            </w:pPr>
            <w:r>
              <w:rPr>
                <w:color w:val="000000"/>
              </w:rPr>
              <w:t>Change Responsible Accounts Examiner</w:t>
            </w:r>
          </w:p>
        </w:tc>
      </w:tr>
      <w:tr w:rsidR="00103CFB" w:rsidRPr="00293F5E" w14:paraId="1D2F389F" w14:textId="77777777" w:rsidTr="00A26011">
        <w:trPr>
          <w:trHeight w:val="315"/>
        </w:trPr>
        <w:tc>
          <w:tcPr>
            <w:tcW w:w="684" w:type="dxa"/>
            <w:noWrap/>
            <w:vAlign w:val="bottom"/>
          </w:tcPr>
          <w:p w14:paraId="200E89AF" w14:textId="50877ED4" w:rsidR="00103CFB" w:rsidRDefault="00103CFB" w:rsidP="00103CFB">
            <w:pPr>
              <w:spacing w:after="0"/>
              <w:ind w:left="0"/>
              <w:jc w:val="center"/>
              <w:rPr>
                <w:rFonts w:ascii="Calibri" w:hAnsi="Calibri" w:cs="Calibri"/>
                <w:color w:val="000000"/>
                <w:szCs w:val="22"/>
              </w:rPr>
            </w:pPr>
            <w:r>
              <w:rPr>
                <w:szCs w:val="22"/>
              </w:rPr>
              <w:t>10</w:t>
            </w:r>
          </w:p>
        </w:tc>
        <w:tc>
          <w:tcPr>
            <w:tcW w:w="1677" w:type="dxa"/>
            <w:noWrap/>
            <w:vAlign w:val="bottom"/>
          </w:tcPr>
          <w:p w14:paraId="68C4BBF0" w14:textId="77777777" w:rsidR="00103CFB"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5E6ADD52" w14:textId="77777777" w:rsidR="00103CFB" w:rsidRPr="00007760" w:rsidRDefault="00103CFB" w:rsidP="00103CFB">
            <w:pPr>
              <w:spacing w:after="0"/>
              <w:ind w:left="0"/>
              <w:rPr>
                <w:color w:val="000000"/>
              </w:rPr>
            </w:pPr>
            <w:r>
              <w:rPr>
                <w:color w:val="000000"/>
              </w:rPr>
              <w:t>TXDF0762</w:t>
            </w:r>
          </w:p>
        </w:tc>
        <w:tc>
          <w:tcPr>
            <w:tcW w:w="6963" w:type="dxa"/>
            <w:vAlign w:val="bottom"/>
          </w:tcPr>
          <w:p w14:paraId="44B98BA6" w14:textId="77777777" w:rsidR="00103CFB" w:rsidRPr="00007760" w:rsidRDefault="00103CFB" w:rsidP="00103CFB">
            <w:pPr>
              <w:spacing w:after="0"/>
              <w:ind w:left="0"/>
              <w:rPr>
                <w:color w:val="000000"/>
              </w:rPr>
            </w:pPr>
            <w:r>
              <w:rPr>
                <w:color w:val="000000"/>
              </w:rPr>
              <w:t>Field Request Control Letter</w:t>
            </w:r>
          </w:p>
        </w:tc>
      </w:tr>
      <w:tr w:rsidR="00103CFB" w:rsidRPr="00293F5E" w14:paraId="516813C9" w14:textId="77777777" w:rsidTr="00103CFB">
        <w:trPr>
          <w:trHeight w:val="315"/>
        </w:trPr>
        <w:tc>
          <w:tcPr>
            <w:tcW w:w="684" w:type="dxa"/>
            <w:noWrap/>
            <w:vAlign w:val="bottom"/>
          </w:tcPr>
          <w:p w14:paraId="379BF305" w14:textId="5FFC832F" w:rsidR="00103CFB" w:rsidRDefault="00103CFB" w:rsidP="00103CFB">
            <w:pPr>
              <w:spacing w:after="0"/>
              <w:ind w:left="0"/>
              <w:jc w:val="center"/>
              <w:rPr>
                <w:color w:val="000000"/>
              </w:rPr>
            </w:pPr>
            <w:r>
              <w:rPr>
                <w:color w:val="000000"/>
                <w:szCs w:val="22"/>
              </w:rPr>
              <w:t>11</w:t>
            </w:r>
          </w:p>
        </w:tc>
        <w:tc>
          <w:tcPr>
            <w:tcW w:w="1677" w:type="dxa"/>
            <w:noWrap/>
            <w:vAlign w:val="center"/>
          </w:tcPr>
          <w:p w14:paraId="74C6D6B0" w14:textId="77777777" w:rsidR="00103CFB" w:rsidRDefault="00103CFB" w:rsidP="00103CFB">
            <w:pPr>
              <w:spacing w:after="0"/>
              <w:ind w:left="0"/>
              <w:rPr>
                <w:color w:val="000000"/>
              </w:rPr>
            </w:pPr>
            <w:r w:rsidRPr="00A26011">
              <w:rPr>
                <w:color w:val="000000"/>
              </w:rPr>
              <w:t>Daily</w:t>
            </w:r>
          </w:p>
        </w:tc>
        <w:tc>
          <w:tcPr>
            <w:tcW w:w="1775" w:type="dxa"/>
            <w:noWrap/>
            <w:vAlign w:val="center"/>
          </w:tcPr>
          <w:p w14:paraId="0B270FE8" w14:textId="77777777" w:rsidR="00103CFB" w:rsidRDefault="00103CFB" w:rsidP="00103CFB">
            <w:pPr>
              <w:spacing w:after="0"/>
              <w:ind w:left="0"/>
              <w:rPr>
                <w:color w:val="000000"/>
              </w:rPr>
            </w:pPr>
            <w:r w:rsidRPr="00A26011">
              <w:rPr>
                <w:color w:val="000000"/>
              </w:rPr>
              <w:t>TXDF888R</w:t>
            </w:r>
          </w:p>
        </w:tc>
        <w:tc>
          <w:tcPr>
            <w:tcW w:w="6963" w:type="dxa"/>
            <w:vAlign w:val="center"/>
          </w:tcPr>
          <w:p w14:paraId="7499F565" w14:textId="77777777" w:rsidR="00103CFB" w:rsidRDefault="00103CFB" w:rsidP="00103CFB">
            <w:pPr>
              <w:spacing w:after="0"/>
              <w:ind w:left="0"/>
              <w:rPr>
                <w:color w:val="000000"/>
              </w:rPr>
            </w:pPr>
            <w:r w:rsidRPr="00A26011">
              <w:rPr>
                <w:color w:val="000000"/>
              </w:rPr>
              <w:t>Document Imaging Submissions Report</w:t>
            </w:r>
          </w:p>
        </w:tc>
      </w:tr>
      <w:tr w:rsidR="00103CFB" w:rsidRPr="00293F5E" w14:paraId="71E52B1F" w14:textId="77777777" w:rsidTr="00A26011">
        <w:trPr>
          <w:trHeight w:val="300"/>
        </w:trPr>
        <w:tc>
          <w:tcPr>
            <w:tcW w:w="684" w:type="dxa"/>
            <w:noWrap/>
            <w:vAlign w:val="bottom"/>
            <w:hideMark/>
          </w:tcPr>
          <w:p w14:paraId="20CBD5AC" w14:textId="6E2FBB2D" w:rsidR="00103CFB" w:rsidRPr="00293F5E" w:rsidRDefault="00103CFB" w:rsidP="00103CFB">
            <w:pPr>
              <w:spacing w:after="0"/>
              <w:ind w:left="0"/>
              <w:jc w:val="center"/>
              <w:rPr>
                <w:rFonts w:ascii="Calibri" w:hAnsi="Calibri" w:cs="Calibri"/>
                <w:color w:val="000000"/>
                <w:szCs w:val="22"/>
              </w:rPr>
            </w:pPr>
            <w:r>
              <w:rPr>
                <w:szCs w:val="22"/>
              </w:rPr>
              <w:t>12</w:t>
            </w:r>
          </w:p>
        </w:tc>
        <w:tc>
          <w:tcPr>
            <w:tcW w:w="1677" w:type="dxa"/>
            <w:noWrap/>
            <w:vAlign w:val="bottom"/>
          </w:tcPr>
          <w:p w14:paraId="46D0DE2F"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55E87B7A" w14:textId="77777777" w:rsidR="00103CFB" w:rsidRPr="004B4E82" w:rsidRDefault="00103CFB" w:rsidP="00103CFB">
            <w:pPr>
              <w:spacing w:after="0"/>
              <w:ind w:left="0"/>
              <w:rPr>
                <w:color w:val="000000"/>
              </w:rPr>
            </w:pPr>
            <w:r>
              <w:rPr>
                <w:color w:val="000000"/>
              </w:rPr>
              <w:t>TXDM0191</w:t>
            </w:r>
          </w:p>
        </w:tc>
        <w:tc>
          <w:tcPr>
            <w:tcW w:w="6963" w:type="dxa"/>
            <w:vAlign w:val="bottom"/>
          </w:tcPr>
          <w:p w14:paraId="52D5DF52" w14:textId="77777777" w:rsidR="00103CFB" w:rsidRPr="004B4E82" w:rsidRDefault="00103CFB" w:rsidP="00103CFB">
            <w:pPr>
              <w:spacing w:after="0"/>
              <w:ind w:left="0"/>
              <w:rPr>
                <w:color w:val="000000"/>
              </w:rPr>
            </w:pPr>
            <w:r>
              <w:rPr>
                <w:color w:val="000000"/>
              </w:rPr>
              <w:t>Accounts - Wage Adjustment Error Listing</w:t>
            </w:r>
          </w:p>
        </w:tc>
      </w:tr>
      <w:tr w:rsidR="00103CFB" w:rsidRPr="00293F5E" w14:paraId="2623ACBD" w14:textId="77777777" w:rsidTr="00A26011">
        <w:trPr>
          <w:trHeight w:val="300"/>
        </w:trPr>
        <w:tc>
          <w:tcPr>
            <w:tcW w:w="684" w:type="dxa"/>
            <w:noWrap/>
            <w:vAlign w:val="bottom"/>
            <w:hideMark/>
          </w:tcPr>
          <w:p w14:paraId="7FB43866" w14:textId="20FFFA87" w:rsidR="00103CFB" w:rsidRPr="00293F5E" w:rsidRDefault="00103CFB" w:rsidP="00103CFB">
            <w:pPr>
              <w:spacing w:after="0"/>
              <w:ind w:left="0"/>
              <w:jc w:val="center"/>
              <w:rPr>
                <w:rFonts w:ascii="Calibri" w:hAnsi="Calibri" w:cs="Calibri"/>
                <w:color w:val="000000"/>
                <w:szCs w:val="22"/>
              </w:rPr>
            </w:pPr>
            <w:r>
              <w:rPr>
                <w:color w:val="000000"/>
                <w:szCs w:val="22"/>
              </w:rPr>
              <w:t>13</w:t>
            </w:r>
          </w:p>
        </w:tc>
        <w:tc>
          <w:tcPr>
            <w:tcW w:w="1677" w:type="dxa"/>
            <w:noWrap/>
            <w:vAlign w:val="bottom"/>
          </w:tcPr>
          <w:p w14:paraId="3FE48FE0"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3E7050BA" w14:textId="77777777" w:rsidR="00103CFB" w:rsidRPr="004B4E82" w:rsidRDefault="00103CFB" w:rsidP="00103CFB">
            <w:pPr>
              <w:spacing w:after="0"/>
              <w:ind w:left="0"/>
              <w:rPr>
                <w:color w:val="000000"/>
              </w:rPr>
            </w:pPr>
            <w:r>
              <w:rPr>
                <w:color w:val="000000"/>
              </w:rPr>
              <w:t>TXDM0191</w:t>
            </w:r>
          </w:p>
        </w:tc>
        <w:tc>
          <w:tcPr>
            <w:tcW w:w="6963" w:type="dxa"/>
            <w:vAlign w:val="bottom"/>
          </w:tcPr>
          <w:p w14:paraId="75D5CCEE" w14:textId="77777777" w:rsidR="00103CFB" w:rsidRPr="004B4E82" w:rsidRDefault="00103CFB" w:rsidP="00103CFB">
            <w:pPr>
              <w:spacing w:after="0"/>
              <w:ind w:left="0"/>
              <w:rPr>
                <w:color w:val="000000"/>
              </w:rPr>
            </w:pPr>
            <w:r>
              <w:rPr>
                <w:color w:val="000000"/>
              </w:rPr>
              <w:t>Reimbursements Owed Reduced to Zero</w:t>
            </w:r>
          </w:p>
        </w:tc>
      </w:tr>
      <w:tr w:rsidR="00103CFB" w:rsidRPr="00293F5E" w14:paraId="50562221" w14:textId="77777777" w:rsidTr="00A26011">
        <w:trPr>
          <w:trHeight w:val="300"/>
        </w:trPr>
        <w:tc>
          <w:tcPr>
            <w:tcW w:w="684" w:type="dxa"/>
            <w:noWrap/>
            <w:vAlign w:val="bottom"/>
            <w:hideMark/>
          </w:tcPr>
          <w:p w14:paraId="41A6A640" w14:textId="48CF6840" w:rsidR="00103CFB" w:rsidRPr="00293F5E" w:rsidRDefault="00103CFB" w:rsidP="00103CFB">
            <w:pPr>
              <w:spacing w:after="0"/>
              <w:ind w:left="0"/>
              <w:jc w:val="center"/>
              <w:rPr>
                <w:rFonts w:ascii="Calibri" w:hAnsi="Calibri" w:cs="Calibri"/>
                <w:color w:val="000000"/>
                <w:szCs w:val="22"/>
              </w:rPr>
            </w:pPr>
            <w:r>
              <w:rPr>
                <w:szCs w:val="22"/>
              </w:rPr>
              <w:t>14</w:t>
            </w:r>
          </w:p>
        </w:tc>
        <w:tc>
          <w:tcPr>
            <w:tcW w:w="1677" w:type="dxa"/>
            <w:noWrap/>
            <w:vAlign w:val="bottom"/>
          </w:tcPr>
          <w:p w14:paraId="3144CC0E"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3754F0A8" w14:textId="77777777" w:rsidR="00103CFB" w:rsidRPr="004B4E82" w:rsidRDefault="00103CFB" w:rsidP="00103CFB">
            <w:pPr>
              <w:spacing w:after="0"/>
              <w:ind w:left="0"/>
              <w:rPr>
                <w:color w:val="000000"/>
              </w:rPr>
            </w:pPr>
            <w:r>
              <w:rPr>
                <w:color w:val="000000"/>
              </w:rPr>
              <w:t>TXDM0202</w:t>
            </w:r>
          </w:p>
        </w:tc>
        <w:tc>
          <w:tcPr>
            <w:tcW w:w="6963" w:type="dxa"/>
            <w:vAlign w:val="bottom"/>
          </w:tcPr>
          <w:p w14:paraId="50A12004" w14:textId="77777777" w:rsidR="00103CFB" w:rsidRPr="004B4E82" w:rsidRDefault="00103CFB" w:rsidP="00103CFB">
            <w:pPr>
              <w:spacing w:after="0"/>
              <w:ind w:left="0"/>
              <w:rPr>
                <w:color w:val="000000"/>
              </w:rPr>
            </w:pPr>
            <w:r>
              <w:rPr>
                <w:color w:val="000000"/>
              </w:rPr>
              <w:t>C-5 Edited for Status Bankrupt/C-5 Edited for Status Code C, J, P, F, U</w:t>
            </w:r>
          </w:p>
        </w:tc>
      </w:tr>
      <w:tr w:rsidR="00103CFB" w:rsidRPr="00293F5E" w14:paraId="1A48A4EB" w14:textId="77777777" w:rsidTr="00A26011">
        <w:trPr>
          <w:trHeight w:val="300"/>
        </w:trPr>
        <w:tc>
          <w:tcPr>
            <w:tcW w:w="684" w:type="dxa"/>
            <w:noWrap/>
            <w:vAlign w:val="bottom"/>
            <w:hideMark/>
          </w:tcPr>
          <w:p w14:paraId="13681C51" w14:textId="27D4ED98" w:rsidR="00103CFB" w:rsidRPr="00293F5E" w:rsidRDefault="00103CFB" w:rsidP="00103CFB">
            <w:pPr>
              <w:spacing w:after="0"/>
              <w:ind w:left="0"/>
              <w:jc w:val="center"/>
              <w:rPr>
                <w:rFonts w:ascii="Calibri" w:hAnsi="Calibri" w:cs="Calibri"/>
                <w:color w:val="000000"/>
                <w:szCs w:val="22"/>
              </w:rPr>
            </w:pPr>
            <w:r>
              <w:rPr>
                <w:color w:val="000000"/>
                <w:szCs w:val="22"/>
              </w:rPr>
              <w:t>15</w:t>
            </w:r>
          </w:p>
        </w:tc>
        <w:tc>
          <w:tcPr>
            <w:tcW w:w="1677" w:type="dxa"/>
            <w:noWrap/>
            <w:vAlign w:val="bottom"/>
          </w:tcPr>
          <w:p w14:paraId="1C12F81D"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1EC53C37" w14:textId="77777777" w:rsidR="00103CFB" w:rsidRPr="004B4E82" w:rsidRDefault="00103CFB" w:rsidP="00103CFB">
            <w:pPr>
              <w:spacing w:after="0"/>
              <w:ind w:left="0"/>
              <w:rPr>
                <w:color w:val="000000"/>
              </w:rPr>
            </w:pPr>
            <w:r>
              <w:rPr>
                <w:color w:val="000000"/>
              </w:rPr>
              <w:t>TXDM0202</w:t>
            </w:r>
          </w:p>
        </w:tc>
        <w:tc>
          <w:tcPr>
            <w:tcW w:w="6963" w:type="dxa"/>
            <w:vAlign w:val="bottom"/>
          </w:tcPr>
          <w:p w14:paraId="0FA3CEFE" w14:textId="77777777" w:rsidR="00103CFB" w:rsidRPr="004B4E82" w:rsidRDefault="00103CFB" w:rsidP="00103CFB">
            <w:pPr>
              <w:spacing w:after="0"/>
              <w:ind w:left="0"/>
              <w:rPr>
                <w:color w:val="000000"/>
              </w:rPr>
            </w:pPr>
            <w:r>
              <w:rPr>
                <w:color w:val="000000"/>
              </w:rPr>
              <w:t>DP Batch Control Group Listing</w:t>
            </w:r>
          </w:p>
        </w:tc>
      </w:tr>
      <w:tr w:rsidR="00103CFB" w:rsidRPr="00293F5E" w14:paraId="440D1099" w14:textId="77777777" w:rsidTr="00A26011">
        <w:trPr>
          <w:trHeight w:val="300"/>
        </w:trPr>
        <w:tc>
          <w:tcPr>
            <w:tcW w:w="684" w:type="dxa"/>
            <w:noWrap/>
            <w:vAlign w:val="bottom"/>
            <w:hideMark/>
          </w:tcPr>
          <w:p w14:paraId="6FEB7926" w14:textId="07B280D0" w:rsidR="00103CFB" w:rsidRPr="00293F5E" w:rsidRDefault="00103CFB" w:rsidP="00103CFB">
            <w:pPr>
              <w:spacing w:after="0"/>
              <w:ind w:left="0"/>
              <w:jc w:val="center"/>
              <w:rPr>
                <w:rFonts w:ascii="Calibri" w:hAnsi="Calibri" w:cs="Calibri"/>
                <w:color w:val="000000"/>
                <w:szCs w:val="22"/>
              </w:rPr>
            </w:pPr>
            <w:r>
              <w:rPr>
                <w:szCs w:val="22"/>
              </w:rPr>
              <w:t>16</w:t>
            </w:r>
          </w:p>
        </w:tc>
        <w:tc>
          <w:tcPr>
            <w:tcW w:w="1677" w:type="dxa"/>
            <w:noWrap/>
            <w:vAlign w:val="bottom"/>
          </w:tcPr>
          <w:p w14:paraId="3793A655"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3660EAB7" w14:textId="77777777" w:rsidR="00103CFB" w:rsidRPr="004B4E82" w:rsidRDefault="00103CFB" w:rsidP="00103CFB">
            <w:pPr>
              <w:spacing w:after="0"/>
              <w:ind w:left="0"/>
              <w:rPr>
                <w:color w:val="000000"/>
              </w:rPr>
            </w:pPr>
            <w:r>
              <w:rPr>
                <w:color w:val="000000"/>
              </w:rPr>
              <w:t>TXDM0202</w:t>
            </w:r>
          </w:p>
        </w:tc>
        <w:tc>
          <w:tcPr>
            <w:tcW w:w="6963" w:type="dxa"/>
            <w:vAlign w:val="bottom"/>
          </w:tcPr>
          <w:p w14:paraId="3F192E2B" w14:textId="77777777" w:rsidR="00103CFB" w:rsidRPr="004B4E82" w:rsidRDefault="00103CFB" w:rsidP="00103CFB">
            <w:pPr>
              <w:spacing w:after="0"/>
              <w:ind w:left="0"/>
              <w:rPr>
                <w:color w:val="000000"/>
              </w:rPr>
            </w:pPr>
            <w:r>
              <w:rPr>
                <w:color w:val="000000"/>
              </w:rPr>
              <w:t>DP Data Entry Transaction Listing</w:t>
            </w:r>
          </w:p>
        </w:tc>
      </w:tr>
      <w:tr w:rsidR="00103CFB" w:rsidRPr="00293F5E" w14:paraId="7F5DC258" w14:textId="77777777" w:rsidTr="00A26011">
        <w:trPr>
          <w:trHeight w:val="300"/>
        </w:trPr>
        <w:tc>
          <w:tcPr>
            <w:tcW w:w="684" w:type="dxa"/>
            <w:noWrap/>
            <w:vAlign w:val="bottom"/>
            <w:hideMark/>
          </w:tcPr>
          <w:p w14:paraId="4442836A" w14:textId="520F252C" w:rsidR="00103CFB" w:rsidRPr="00293F5E" w:rsidRDefault="00103CFB" w:rsidP="00103CFB">
            <w:pPr>
              <w:spacing w:after="0"/>
              <w:ind w:left="0"/>
              <w:jc w:val="center"/>
              <w:rPr>
                <w:rFonts w:ascii="Calibri" w:hAnsi="Calibri" w:cs="Calibri"/>
                <w:color w:val="000000"/>
                <w:szCs w:val="22"/>
              </w:rPr>
            </w:pPr>
            <w:r>
              <w:rPr>
                <w:color w:val="000000"/>
                <w:szCs w:val="22"/>
              </w:rPr>
              <w:t>17</w:t>
            </w:r>
          </w:p>
        </w:tc>
        <w:tc>
          <w:tcPr>
            <w:tcW w:w="1677" w:type="dxa"/>
            <w:noWrap/>
            <w:vAlign w:val="bottom"/>
          </w:tcPr>
          <w:p w14:paraId="46B85E70"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2A0BBBDE" w14:textId="77777777" w:rsidR="00103CFB" w:rsidRPr="004B4E82" w:rsidRDefault="00103CFB" w:rsidP="00103CFB">
            <w:pPr>
              <w:spacing w:after="0"/>
              <w:ind w:left="0"/>
              <w:rPr>
                <w:color w:val="000000"/>
              </w:rPr>
            </w:pPr>
            <w:r>
              <w:rPr>
                <w:color w:val="000000"/>
              </w:rPr>
              <w:t>TXDM0202</w:t>
            </w:r>
          </w:p>
        </w:tc>
        <w:tc>
          <w:tcPr>
            <w:tcW w:w="6963" w:type="dxa"/>
            <w:vAlign w:val="bottom"/>
          </w:tcPr>
          <w:p w14:paraId="1F32EA93" w14:textId="77777777" w:rsidR="00103CFB" w:rsidRPr="004B4E82" w:rsidRDefault="00103CFB" w:rsidP="00103CFB">
            <w:pPr>
              <w:spacing w:after="0"/>
              <w:ind w:left="0"/>
              <w:rPr>
                <w:color w:val="000000"/>
              </w:rPr>
            </w:pPr>
            <w:r>
              <w:rPr>
                <w:color w:val="000000"/>
              </w:rPr>
              <w:t>Quarterly Report Error Listing</w:t>
            </w:r>
          </w:p>
        </w:tc>
      </w:tr>
      <w:tr w:rsidR="00103CFB" w:rsidRPr="00293F5E" w14:paraId="483C71AE" w14:textId="77777777" w:rsidTr="00A26011">
        <w:trPr>
          <w:trHeight w:val="300"/>
        </w:trPr>
        <w:tc>
          <w:tcPr>
            <w:tcW w:w="684" w:type="dxa"/>
            <w:noWrap/>
            <w:vAlign w:val="bottom"/>
            <w:hideMark/>
          </w:tcPr>
          <w:p w14:paraId="4AF5ABF8" w14:textId="0DA18E86" w:rsidR="00103CFB" w:rsidRPr="00293F5E" w:rsidRDefault="00103CFB" w:rsidP="00103CFB">
            <w:pPr>
              <w:spacing w:after="0"/>
              <w:ind w:left="0"/>
              <w:jc w:val="center"/>
              <w:rPr>
                <w:rFonts w:ascii="Calibri" w:hAnsi="Calibri" w:cs="Calibri"/>
                <w:color w:val="000000"/>
                <w:szCs w:val="22"/>
              </w:rPr>
            </w:pPr>
            <w:r>
              <w:rPr>
                <w:szCs w:val="22"/>
              </w:rPr>
              <w:t>18</w:t>
            </w:r>
          </w:p>
        </w:tc>
        <w:tc>
          <w:tcPr>
            <w:tcW w:w="1677" w:type="dxa"/>
            <w:noWrap/>
            <w:vAlign w:val="bottom"/>
          </w:tcPr>
          <w:p w14:paraId="4DD328A0"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38CA72AB" w14:textId="77777777" w:rsidR="00103CFB" w:rsidRPr="004B4E82" w:rsidRDefault="00103CFB" w:rsidP="00103CFB">
            <w:pPr>
              <w:spacing w:after="0"/>
              <w:ind w:left="0"/>
              <w:rPr>
                <w:color w:val="000000"/>
              </w:rPr>
            </w:pPr>
            <w:r>
              <w:rPr>
                <w:color w:val="000000"/>
              </w:rPr>
              <w:t>TXDM0202</w:t>
            </w:r>
          </w:p>
        </w:tc>
        <w:tc>
          <w:tcPr>
            <w:tcW w:w="6963" w:type="dxa"/>
            <w:vAlign w:val="bottom"/>
          </w:tcPr>
          <w:p w14:paraId="499DDD37" w14:textId="77777777" w:rsidR="00103CFB" w:rsidRPr="004B4E82" w:rsidRDefault="00103CFB" w:rsidP="00103CFB">
            <w:pPr>
              <w:spacing w:after="0"/>
              <w:ind w:left="0"/>
              <w:rPr>
                <w:color w:val="000000"/>
              </w:rPr>
            </w:pPr>
            <w:r>
              <w:rPr>
                <w:color w:val="000000"/>
              </w:rPr>
              <w:t>Supplemental Reports Transaction List</w:t>
            </w:r>
          </w:p>
        </w:tc>
      </w:tr>
      <w:tr w:rsidR="00103CFB" w:rsidRPr="00293F5E" w14:paraId="56F89D5E" w14:textId="77777777" w:rsidTr="00A26011">
        <w:trPr>
          <w:trHeight w:val="300"/>
        </w:trPr>
        <w:tc>
          <w:tcPr>
            <w:tcW w:w="684" w:type="dxa"/>
            <w:noWrap/>
            <w:vAlign w:val="bottom"/>
            <w:hideMark/>
          </w:tcPr>
          <w:p w14:paraId="51E1ECDD" w14:textId="3EBBDD51" w:rsidR="00103CFB" w:rsidRPr="00293F5E" w:rsidRDefault="00103CFB" w:rsidP="00103CFB">
            <w:pPr>
              <w:spacing w:after="0"/>
              <w:ind w:left="0"/>
              <w:jc w:val="center"/>
              <w:rPr>
                <w:rFonts w:ascii="Calibri" w:hAnsi="Calibri" w:cs="Calibri"/>
                <w:color w:val="000000"/>
                <w:szCs w:val="22"/>
              </w:rPr>
            </w:pPr>
            <w:r>
              <w:rPr>
                <w:color w:val="000000"/>
                <w:szCs w:val="22"/>
              </w:rPr>
              <w:t>19</w:t>
            </w:r>
          </w:p>
        </w:tc>
        <w:tc>
          <w:tcPr>
            <w:tcW w:w="1677" w:type="dxa"/>
            <w:noWrap/>
            <w:vAlign w:val="bottom"/>
          </w:tcPr>
          <w:p w14:paraId="6348AD27"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7627AD52" w14:textId="77777777" w:rsidR="00103CFB" w:rsidRPr="004B4E82" w:rsidRDefault="00103CFB" w:rsidP="00103CFB">
            <w:pPr>
              <w:spacing w:after="0"/>
              <w:ind w:left="0"/>
              <w:rPr>
                <w:color w:val="000000"/>
              </w:rPr>
            </w:pPr>
            <w:r>
              <w:rPr>
                <w:color w:val="000000"/>
              </w:rPr>
              <w:t>TXDM0202</w:t>
            </w:r>
          </w:p>
        </w:tc>
        <w:tc>
          <w:tcPr>
            <w:tcW w:w="6963" w:type="dxa"/>
            <w:vAlign w:val="bottom"/>
          </w:tcPr>
          <w:p w14:paraId="6B31222A" w14:textId="77777777" w:rsidR="00103CFB" w:rsidRPr="004B4E82" w:rsidRDefault="00103CFB" w:rsidP="00103CFB">
            <w:pPr>
              <w:spacing w:after="0"/>
              <w:ind w:left="0"/>
              <w:rPr>
                <w:color w:val="000000"/>
              </w:rPr>
            </w:pPr>
            <w:r>
              <w:rPr>
                <w:color w:val="000000"/>
              </w:rPr>
              <w:t>Supplemental Reports Transaction List - Bankrupt Accounts</w:t>
            </w:r>
          </w:p>
        </w:tc>
      </w:tr>
      <w:tr w:rsidR="00103CFB" w:rsidRPr="00293F5E" w14:paraId="62C34897" w14:textId="77777777" w:rsidTr="00A26011">
        <w:trPr>
          <w:trHeight w:val="300"/>
        </w:trPr>
        <w:tc>
          <w:tcPr>
            <w:tcW w:w="684" w:type="dxa"/>
            <w:noWrap/>
            <w:vAlign w:val="bottom"/>
            <w:hideMark/>
          </w:tcPr>
          <w:p w14:paraId="1AB9FF95" w14:textId="7ECA173A" w:rsidR="00103CFB" w:rsidRPr="00293F5E" w:rsidRDefault="00103CFB" w:rsidP="00103CFB">
            <w:pPr>
              <w:spacing w:after="0"/>
              <w:ind w:left="0"/>
              <w:jc w:val="center"/>
              <w:rPr>
                <w:rFonts w:ascii="Calibri" w:hAnsi="Calibri" w:cs="Calibri"/>
                <w:color w:val="000000"/>
                <w:szCs w:val="22"/>
              </w:rPr>
            </w:pPr>
            <w:r>
              <w:rPr>
                <w:szCs w:val="22"/>
              </w:rPr>
              <w:t>20</w:t>
            </w:r>
          </w:p>
        </w:tc>
        <w:tc>
          <w:tcPr>
            <w:tcW w:w="1677" w:type="dxa"/>
            <w:noWrap/>
            <w:vAlign w:val="bottom"/>
          </w:tcPr>
          <w:p w14:paraId="6C8EC833" w14:textId="77777777" w:rsidR="00103CFB" w:rsidRPr="00293F5E" w:rsidRDefault="00103CFB" w:rsidP="00103CFB">
            <w:pPr>
              <w:spacing w:after="0"/>
              <w:ind w:left="0"/>
              <w:rPr>
                <w:rFonts w:ascii="Calibri" w:hAnsi="Calibri" w:cs="Calibri"/>
                <w:color w:val="000000"/>
                <w:szCs w:val="22"/>
              </w:rPr>
            </w:pPr>
            <w:r>
              <w:rPr>
                <w:color w:val="000000"/>
              </w:rPr>
              <w:t xml:space="preserve">Daily </w:t>
            </w:r>
          </w:p>
        </w:tc>
        <w:tc>
          <w:tcPr>
            <w:tcW w:w="1775" w:type="dxa"/>
            <w:noWrap/>
            <w:vAlign w:val="bottom"/>
          </w:tcPr>
          <w:p w14:paraId="3CA33AE6" w14:textId="77777777" w:rsidR="00103CFB" w:rsidRPr="004B4E82" w:rsidRDefault="00103CFB" w:rsidP="00103CFB">
            <w:pPr>
              <w:spacing w:after="0"/>
              <w:ind w:left="0"/>
              <w:rPr>
                <w:color w:val="000000"/>
              </w:rPr>
            </w:pPr>
            <w:r>
              <w:rPr>
                <w:color w:val="000000"/>
              </w:rPr>
              <w:t>TXDM0202</w:t>
            </w:r>
          </w:p>
        </w:tc>
        <w:tc>
          <w:tcPr>
            <w:tcW w:w="6963" w:type="dxa"/>
            <w:vAlign w:val="bottom"/>
          </w:tcPr>
          <w:p w14:paraId="5D175275" w14:textId="77777777" w:rsidR="00103CFB" w:rsidRPr="004B4E82" w:rsidRDefault="00103CFB" w:rsidP="00103CFB">
            <w:pPr>
              <w:spacing w:after="0"/>
              <w:ind w:left="0"/>
              <w:rPr>
                <w:color w:val="000000"/>
              </w:rPr>
            </w:pPr>
            <w:r>
              <w:rPr>
                <w:color w:val="000000"/>
              </w:rPr>
              <w:t>Supplemental Reports Transaction List - Non-Duplicate and Non-Bankrupt Reports</w:t>
            </w:r>
          </w:p>
        </w:tc>
      </w:tr>
      <w:tr w:rsidR="00103CFB" w:rsidRPr="00293F5E" w14:paraId="1791FDFC" w14:textId="77777777" w:rsidTr="00A26011">
        <w:trPr>
          <w:trHeight w:val="300"/>
        </w:trPr>
        <w:tc>
          <w:tcPr>
            <w:tcW w:w="684" w:type="dxa"/>
            <w:noWrap/>
            <w:vAlign w:val="bottom"/>
            <w:hideMark/>
          </w:tcPr>
          <w:p w14:paraId="78C4ACE2" w14:textId="1111202F" w:rsidR="00103CFB" w:rsidRPr="00293F5E" w:rsidRDefault="00103CFB" w:rsidP="00103CFB">
            <w:pPr>
              <w:spacing w:after="0"/>
              <w:ind w:left="0"/>
              <w:jc w:val="center"/>
              <w:rPr>
                <w:rFonts w:ascii="Calibri" w:hAnsi="Calibri" w:cs="Calibri"/>
                <w:color w:val="000000"/>
                <w:szCs w:val="22"/>
              </w:rPr>
            </w:pPr>
            <w:r>
              <w:rPr>
                <w:color w:val="000000"/>
                <w:szCs w:val="22"/>
              </w:rPr>
              <w:t>21</w:t>
            </w:r>
          </w:p>
        </w:tc>
        <w:tc>
          <w:tcPr>
            <w:tcW w:w="1677" w:type="dxa"/>
            <w:noWrap/>
            <w:vAlign w:val="bottom"/>
          </w:tcPr>
          <w:p w14:paraId="2C2946C0"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468BF5E9" w14:textId="77777777" w:rsidR="00103CFB" w:rsidRPr="004B4E82" w:rsidRDefault="00103CFB" w:rsidP="00103CFB">
            <w:pPr>
              <w:spacing w:after="0"/>
              <w:ind w:left="0"/>
              <w:rPr>
                <w:color w:val="000000"/>
              </w:rPr>
            </w:pPr>
            <w:r>
              <w:rPr>
                <w:color w:val="000000"/>
              </w:rPr>
              <w:t>TXDM0203</w:t>
            </w:r>
          </w:p>
        </w:tc>
        <w:tc>
          <w:tcPr>
            <w:tcW w:w="6963" w:type="dxa"/>
            <w:vAlign w:val="bottom"/>
          </w:tcPr>
          <w:p w14:paraId="0265D466" w14:textId="77777777" w:rsidR="00103CFB" w:rsidRPr="004B4E82" w:rsidRDefault="00103CFB" w:rsidP="00103CFB">
            <w:pPr>
              <w:spacing w:after="0"/>
              <w:ind w:left="0"/>
              <w:rPr>
                <w:color w:val="000000"/>
              </w:rPr>
            </w:pPr>
            <w:r>
              <w:rPr>
                <w:color w:val="000000"/>
              </w:rPr>
              <w:t>Partial/Total Journal Entry Error List</w:t>
            </w:r>
          </w:p>
        </w:tc>
      </w:tr>
      <w:tr w:rsidR="00103CFB" w:rsidRPr="00293F5E" w14:paraId="23499E58" w14:textId="77777777" w:rsidTr="00A26011">
        <w:trPr>
          <w:trHeight w:val="300"/>
        </w:trPr>
        <w:tc>
          <w:tcPr>
            <w:tcW w:w="684" w:type="dxa"/>
            <w:noWrap/>
            <w:vAlign w:val="bottom"/>
            <w:hideMark/>
          </w:tcPr>
          <w:p w14:paraId="56C9777A" w14:textId="4D7117EA" w:rsidR="00103CFB" w:rsidRPr="00293F5E" w:rsidRDefault="00103CFB" w:rsidP="00103CFB">
            <w:pPr>
              <w:spacing w:after="0"/>
              <w:ind w:left="0"/>
              <w:jc w:val="center"/>
              <w:rPr>
                <w:rFonts w:ascii="Calibri" w:hAnsi="Calibri" w:cs="Calibri"/>
                <w:color w:val="000000"/>
                <w:szCs w:val="22"/>
              </w:rPr>
            </w:pPr>
            <w:r>
              <w:rPr>
                <w:szCs w:val="22"/>
              </w:rPr>
              <w:t>22</w:t>
            </w:r>
          </w:p>
        </w:tc>
        <w:tc>
          <w:tcPr>
            <w:tcW w:w="1677" w:type="dxa"/>
            <w:noWrap/>
            <w:vAlign w:val="bottom"/>
          </w:tcPr>
          <w:p w14:paraId="09F96661"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3FD94FA9" w14:textId="77777777" w:rsidR="00103CFB" w:rsidRPr="004B4E82" w:rsidRDefault="00103CFB" w:rsidP="00103CFB">
            <w:pPr>
              <w:spacing w:after="0"/>
              <w:ind w:left="0"/>
              <w:rPr>
                <w:color w:val="000000"/>
              </w:rPr>
            </w:pPr>
            <w:r>
              <w:rPr>
                <w:color w:val="000000"/>
              </w:rPr>
              <w:t>TXDM0203</w:t>
            </w:r>
          </w:p>
        </w:tc>
        <w:tc>
          <w:tcPr>
            <w:tcW w:w="6963" w:type="dxa"/>
            <w:vAlign w:val="bottom"/>
          </w:tcPr>
          <w:p w14:paraId="0ED1D79F" w14:textId="77777777" w:rsidR="00103CFB" w:rsidRPr="004B4E82" w:rsidRDefault="00103CFB" w:rsidP="00103CFB">
            <w:pPr>
              <w:spacing w:after="0"/>
              <w:ind w:left="0"/>
              <w:rPr>
                <w:color w:val="000000"/>
              </w:rPr>
            </w:pPr>
            <w:r>
              <w:rPr>
                <w:color w:val="000000"/>
              </w:rPr>
              <w:t>Total Acquisitions w/o Joint Application</w:t>
            </w:r>
          </w:p>
        </w:tc>
      </w:tr>
      <w:tr w:rsidR="00103CFB" w:rsidRPr="00293F5E" w14:paraId="295C5C6B" w14:textId="77777777" w:rsidTr="00A26011">
        <w:trPr>
          <w:trHeight w:val="300"/>
        </w:trPr>
        <w:tc>
          <w:tcPr>
            <w:tcW w:w="684" w:type="dxa"/>
            <w:noWrap/>
            <w:vAlign w:val="bottom"/>
            <w:hideMark/>
          </w:tcPr>
          <w:p w14:paraId="5A4C568E" w14:textId="10842010" w:rsidR="00103CFB" w:rsidRPr="00293F5E" w:rsidRDefault="00103CFB" w:rsidP="00103CFB">
            <w:pPr>
              <w:spacing w:after="0"/>
              <w:ind w:left="0"/>
              <w:jc w:val="center"/>
              <w:rPr>
                <w:rFonts w:ascii="Calibri" w:hAnsi="Calibri" w:cs="Calibri"/>
                <w:color w:val="000000"/>
                <w:szCs w:val="22"/>
              </w:rPr>
            </w:pPr>
            <w:r>
              <w:rPr>
                <w:color w:val="000000"/>
                <w:szCs w:val="22"/>
              </w:rPr>
              <w:t>23</w:t>
            </w:r>
          </w:p>
        </w:tc>
        <w:tc>
          <w:tcPr>
            <w:tcW w:w="1677" w:type="dxa"/>
            <w:noWrap/>
            <w:vAlign w:val="bottom"/>
          </w:tcPr>
          <w:p w14:paraId="3DA17574"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7623C43F" w14:textId="77777777" w:rsidR="00103CFB" w:rsidRPr="004B4E82" w:rsidRDefault="00103CFB" w:rsidP="00103CFB">
            <w:pPr>
              <w:spacing w:after="0"/>
              <w:ind w:left="0"/>
              <w:rPr>
                <w:color w:val="000000"/>
              </w:rPr>
            </w:pPr>
            <w:r>
              <w:rPr>
                <w:color w:val="000000"/>
              </w:rPr>
              <w:t>TXDM0211</w:t>
            </w:r>
          </w:p>
        </w:tc>
        <w:tc>
          <w:tcPr>
            <w:tcW w:w="6963" w:type="dxa"/>
            <w:vAlign w:val="bottom"/>
          </w:tcPr>
          <w:p w14:paraId="552C8E4F" w14:textId="77777777" w:rsidR="00103CFB" w:rsidRPr="004B4E82" w:rsidRDefault="00103CFB" w:rsidP="00103CFB">
            <w:pPr>
              <w:spacing w:after="0"/>
              <w:ind w:left="0"/>
              <w:rPr>
                <w:color w:val="000000"/>
              </w:rPr>
            </w:pPr>
            <w:r>
              <w:rPr>
                <w:color w:val="000000"/>
              </w:rPr>
              <w:t>Reverse Erroneous Credit Error Listing</w:t>
            </w:r>
          </w:p>
        </w:tc>
      </w:tr>
      <w:tr w:rsidR="00103CFB" w:rsidRPr="00293F5E" w14:paraId="7C06EB71" w14:textId="77777777" w:rsidTr="00A26011">
        <w:trPr>
          <w:trHeight w:val="300"/>
        </w:trPr>
        <w:tc>
          <w:tcPr>
            <w:tcW w:w="684" w:type="dxa"/>
            <w:noWrap/>
            <w:vAlign w:val="bottom"/>
            <w:hideMark/>
          </w:tcPr>
          <w:p w14:paraId="5752480A" w14:textId="11F1AEAF" w:rsidR="00103CFB" w:rsidRPr="00293F5E" w:rsidRDefault="00103CFB" w:rsidP="00103CFB">
            <w:pPr>
              <w:spacing w:after="0"/>
              <w:ind w:left="0"/>
              <w:jc w:val="center"/>
              <w:rPr>
                <w:rFonts w:ascii="Calibri" w:hAnsi="Calibri" w:cs="Calibri"/>
                <w:color w:val="000000"/>
                <w:szCs w:val="22"/>
              </w:rPr>
            </w:pPr>
            <w:r>
              <w:rPr>
                <w:szCs w:val="22"/>
              </w:rPr>
              <w:t>24</w:t>
            </w:r>
          </w:p>
        </w:tc>
        <w:tc>
          <w:tcPr>
            <w:tcW w:w="1677" w:type="dxa"/>
            <w:noWrap/>
            <w:vAlign w:val="bottom"/>
          </w:tcPr>
          <w:p w14:paraId="0AA2994D"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1ADFE781" w14:textId="77777777" w:rsidR="00103CFB" w:rsidRPr="004B4E82" w:rsidRDefault="00103CFB" w:rsidP="00103CFB">
            <w:pPr>
              <w:spacing w:after="0"/>
              <w:ind w:left="0"/>
              <w:rPr>
                <w:color w:val="000000"/>
              </w:rPr>
            </w:pPr>
            <w:r>
              <w:rPr>
                <w:color w:val="000000"/>
              </w:rPr>
              <w:t>TXDM0224</w:t>
            </w:r>
          </w:p>
        </w:tc>
        <w:tc>
          <w:tcPr>
            <w:tcW w:w="6963" w:type="dxa"/>
            <w:vAlign w:val="bottom"/>
          </w:tcPr>
          <w:p w14:paraId="1AC1131C" w14:textId="77777777" w:rsidR="00103CFB" w:rsidRPr="004B4E82" w:rsidRDefault="00103CFB" w:rsidP="00103CFB">
            <w:pPr>
              <w:spacing w:after="0"/>
              <w:ind w:left="0"/>
              <w:rPr>
                <w:color w:val="000000"/>
              </w:rPr>
            </w:pPr>
            <w:r>
              <w:rPr>
                <w:color w:val="000000"/>
              </w:rPr>
              <w:t>Adjustments to Quarterly Charges</w:t>
            </w:r>
          </w:p>
        </w:tc>
      </w:tr>
      <w:tr w:rsidR="00103CFB" w:rsidRPr="00293F5E" w14:paraId="2C3F0D70" w14:textId="77777777" w:rsidTr="00A26011">
        <w:trPr>
          <w:trHeight w:val="300"/>
        </w:trPr>
        <w:tc>
          <w:tcPr>
            <w:tcW w:w="684" w:type="dxa"/>
            <w:noWrap/>
            <w:vAlign w:val="bottom"/>
            <w:hideMark/>
          </w:tcPr>
          <w:p w14:paraId="308338D3" w14:textId="193EB15E" w:rsidR="00103CFB" w:rsidRPr="00293F5E" w:rsidRDefault="00103CFB" w:rsidP="00103CFB">
            <w:pPr>
              <w:spacing w:after="0"/>
              <w:ind w:left="0"/>
              <w:jc w:val="center"/>
              <w:rPr>
                <w:rFonts w:ascii="Calibri" w:hAnsi="Calibri" w:cs="Calibri"/>
                <w:color w:val="000000"/>
                <w:szCs w:val="22"/>
              </w:rPr>
            </w:pPr>
            <w:r>
              <w:rPr>
                <w:color w:val="000000"/>
                <w:szCs w:val="22"/>
              </w:rPr>
              <w:lastRenderedPageBreak/>
              <w:t>25</w:t>
            </w:r>
          </w:p>
        </w:tc>
        <w:tc>
          <w:tcPr>
            <w:tcW w:w="1677" w:type="dxa"/>
            <w:noWrap/>
            <w:vAlign w:val="bottom"/>
          </w:tcPr>
          <w:p w14:paraId="3527CA59"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528A8E0D" w14:textId="77777777" w:rsidR="00103CFB" w:rsidRPr="004B4E82" w:rsidRDefault="00103CFB" w:rsidP="00103CFB">
            <w:pPr>
              <w:spacing w:after="0"/>
              <w:ind w:left="0"/>
              <w:rPr>
                <w:color w:val="000000"/>
              </w:rPr>
            </w:pPr>
            <w:r>
              <w:rPr>
                <w:color w:val="000000"/>
              </w:rPr>
              <w:t>TXDM0231</w:t>
            </w:r>
          </w:p>
        </w:tc>
        <w:tc>
          <w:tcPr>
            <w:tcW w:w="6963" w:type="dxa"/>
            <w:vAlign w:val="bottom"/>
          </w:tcPr>
          <w:p w14:paraId="28785AC5" w14:textId="77777777" w:rsidR="00103CFB" w:rsidRPr="004B4E82" w:rsidRDefault="00103CFB" w:rsidP="00103CFB">
            <w:pPr>
              <w:spacing w:after="0"/>
              <w:ind w:left="0"/>
              <w:rPr>
                <w:color w:val="000000"/>
              </w:rPr>
            </w:pPr>
            <w:r>
              <w:rPr>
                <w:color w:val="000000"/>
              </w:rPr>
              <w:t>Allocate Remittance Error Listing</w:t>
            </w:r>
          </w:p>
        </w:tc>
      </w:tr>
      <w:tr w:rsidR="00103CFB" w:rsidRPr="00293F5E" w14:paraId="640B983F" w14:textId="77777777" w:rsidTr="00A26011">
        <w:trPr>
          <w:trHeight w:val="300"/>
        </w:trPr>
        <w:tc>
          <w:tcPr>
            <w:tcW w:w="684" w:type="dxa"/>
            <w:noWrap/>
            <w:vAlign w:val="bottom"/>
            <w:hideMark/>
          </w:tcPr>
          <w:p w14:paraId="09F33B50" w14:textId="180EC4A0" w:rsidR="00103CFB" w:rsidRPr="00293F5E" w:rsidRDefault="00103CFB" w:rsidP="00103CFB">
            <w:pPr>
              <w:spacing w:after="0"/>
              <w:ind w:left="0"/>
              <w:jc w:val="center"/>
              <w:rPr>
                <w:rFonts w:ascii="Calibri" w:hAnsi="Calibri" w:cs="Calibri"/>
                <w:color w:val="000000"/>
                <w:szCs w:val="22"/>
              </w:rPr>
            </w:pPr>
            <w:r>
              <w:rPr>
                <w:szCs w:val="22"/>
              </w:rPr>
              <w:t>26</w:t>
            </w:r>
          </w:p>
        </w:tc>
        <w:tc>
          <w:tcPr>
            <w:tcW w:w="1677" w:type="dxa"/>
            <w:noWrap/>
            <w:vAlign w:val="bottom"/>
          </w:tcPr>
          <w:p w14:paraId="53371353" w14:textId="77777777" w:rsidR="00103CFB" w:rsidRPr="00293F5E" w:rsidRDefault="00103CFB" w:rsidP="00103CFB">
            <w:pPr>
              <w:spacing w:after="0"/>
              <w:ind w:left="0"/>
              <w:rPr>
                <w:rFonts w:ascii="Calibri" w:hAnsi="Calibri" w:cs="Calibri"/>
                <w:color w:val="000000"/>
                <w:szCs w:val="22"/>
              </w:rPr>
            </w:pPr>
            <w:r>
              <w:rPr>
                <w:color w:val="000000"/>
              </w:rPr>
              <w:t xml:space="preserve">Daily </w:t>
            </w:r>
          </w:p>
        </w:tc>
        <w:tc>
          <w:tcPr>
            <w:tcW w:w="1775" w:type="dxa"/>
            <w:noWrap/>
            <w:vAlign w:val="bottom"/>
          </w:tcPr>
          <w:p w14:paraId="02ED37E4" w14:textId="77777777" w:rsidR="00103CFB" w:rsidRPr="004B4E82" w:rsidRDefault="00103CFB" w:rsidP="00103CFB">
            <w:pPr>
              <w:spacing w:after="0"/>
              <w:ind w:left="0"/>
              <w:rPr>
                <w:color w:val="000000"/>
              </w:rPr>
            </w:pPr>
            <w:r>
              <w:rPr>
                <w:color w:val="000000"/>
              </w:rPr>
              <w:t>TXDM0231</w:t>
            </w:r>
          </w:p>
        </w:tc>
        <w:tc>
          <w:tcPr>
            <w:tcW w:w="6963" w:type="dxa"/>
            <w:vAlign w:val="bottom"/>
          </w:tcPr>
          <w:p w14:paraId="6185C60C" w14:textId="77777777" w:rsidR="00103CFB" w:rsidRPr="004B4E82" w:rsidRDefault="00103CFB" w:rsidP="00103CFB">
            <w:pPr>
              <w:spacing w:after="0"/>
              <w:ind w:left="0"/>
              <w:rPr>
                <w:color w:val="000000"/>
              </w:rPr>
            </w:pPr>
            <w:r>
              <w:rPr>
                <w:color w:val="000000"/>
              </w:rPr>
              <w:t>Credit Transfer Error Listing</w:t>
            </w:r>
          </w:p>
        </w:tc>
      </w:tr>
      <w:tr w:rsidR="00103CFB" w:rsidRPr="00293F5E" w14:paraId="6307FF72" w14:textId="77777777" w:rsidTr="00A26011">
        <w:trPr>
          <w:trHeight w:val="300"/>
        </w:trPr>
        <w:tc>
          <w:tcPr>
            <w:tcW w:w="684" w:type="dxa"/>
            <w:noWrap/>
            <w:vAlign w:val="bottom"/>
            <w:hideMark/>
          </w:tcPr>
          <w:p w14:paraId="2BDC8A38" w14:textId="736A34D5" w:rsidR="00103CFB" w:rsidRPr="00293F5E" w:rsidRDefault="00103CFB" w:rsidP="00103CFB">
            <w:pPr>
              <w:spacing w:after="0"/>
              <w:ind w:left="0"/>
              <w:jc w:val="center"/>
              <w:rPr>
                <w:rFonts w:ascii="Calibri" w:hAnsi="Calibri" w:cs="Calibri"/>
                <w:color w:val="000000"/>
                <w:szCs w:val="22"/>
              </w:rPr>
            </w:pPr>
            <w:r>
              <w:rPr>
                <w:color w:val="000000"/>
                <w:szCs w:val="22"/>
              </w:rPr>
              <w:t>27</w:t>
            </w:r>
          </w:p>
        </w:tc>
        <w:tc>
          <w:tcPr>
            <w:tcW w:w="1677" w:type="dxa"/>
            <w:noWrap/>
            <w:vAlign w:val="bottom"/>
          </w:tcPr>
          <w:p w14:paraId="46AF5E4F"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50C1DFFA" w14:textId="77777777" w:rsidR="00103CFB" w:rsidRPr="004B4E82" w:rsidRDefault="00103CFB" w:rsidP="00103CFB">
            <w:pPr>
              <w:spacing w:after="0"/>
              <w:ind w:left="0"/>
              <w:rPr>
                <w:color w:val="000000"/>
              </w:rPr>
            </w:pPr>
            <w:r>
              <w:rPr>
                <w:color w:val="000000"/>
              </w:rPr>
              <w:t>TXDM0231</w:t>
            </w:r>
          </w:p>
        </w:tc>
        <w:tc>
          <w:tcPr>
            <w:tcW w:w="6963" w:type="dxa"/>
            <w:vAlign w:val="bottom"/>
          </w:tcPr>
          <w:p w14:paraId="38BA6D83" w14:textId="77777777" w:rsidR="00103CFB" w:rsidRPr="004B4E82" w:rsidRDefault="00103CFB" w:rsidP="00103CFB">
            <w:pPr>
              <w:spacing w:after="0"/>
              <w:ind w:left="0"/>
              <w:rPr>
                <w:color w:val="000000"/>
              </w:rPr>
            </w:pPr>
            <w:r>
              <w:rPr>
                <w:color w:val="000000"/>
              </w:rPr>
              <w:t>Reinstate Credit/Tolerance Error List</w:t>
            </w:r>
          </w:p>
        </w:tc>
      </w:tr>
      <w:tr w:rsidR="00103CFB" w:rsidRPr="00293F5E" w14:paraId="1BC2791D" w14:textId="77777777" w:rsidTr="00A26011">
        <w:trPr>
          <w:trHeight w:val="300"/>
        </w:trPr>
        <w:tc>
          <w:tcPr>
            <w:tcW w:w="684" w:type="dxa"/>
            <w:noWrap/>
            <w:vAlign w:val="bottom"/>
            <w:hideMark/>
          </w:tcPr>
          <w:p w14:paraId="44DFB5D8" w14:textId="77E3DB76" w:rsidR="00103CFB" w:rsidRPr="00293F5E" w:rsidRDefault="00103CFB" w:rsidP="00103CFB">
            <w:pPr>
              <w:spacing w:after="0"/>
              <w:ind w:left="0"/>
              <w:jc w:val="center"/>
              <w:rPr>
                <w:rFonts w:ascii="Calibri" w:hAnsi="Calibri" w:cs="Calibri"/>
                <w:color w:val="000000"/>
                <w:szCs w:val="22"/>
              </w:rPr>
            </w:pPr>
            <w:r>
              <w:rPr>
                <w:szCs w:val="22"/>
              </w:rPr>
              <w:t>28</w:t>
            </w:r>
          </w:p>
        </w:tc>
        <w:tc>
          <w:tcPr>
            <w:tcW w:w="1677" w:type="dxa"/>
            <w:noWrap/>
            <w:vAlign w:val="bottom"/>
          </w:tcPr>
          <w:p w14:paraId="554FFBDB"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vAlign w:val="bottom"/>
          </w:tcPr>
          <w:p w14:paraId="787DD8F9" w14:textId="77777777" w:rsidR="00103CFB" w:rsidRPr="004B4E82" w:rsidRDefault="00103CFB" w:rsidP="00103CFB">
            <w:pPr>
              <w:spacing w:after="0"/>
              <w:ind w:left="0"/>
              <w:rPr>
                <w:color w:val="000000"/>
              </w:rPr>
            </w:pPr>
            <w:r>
              <w:rPr>
                <w:color w:val="000000"/>
              </w:rPr>
              <w:t>TXDM0251</w:t>
            </w:r>
          </w:p>
        </w:tc>
        <w:tc>
          <w:tcPr>
            <w:tcW w:w="6963" w:type="dxa"/>
            <w:vAlign w:val="bottom"/>
          </w:tcPr>
          <w:p w14:paraId="0EF9AF30" w14:textId="77777777" w:rsidR="00103CFB" w:rsidRPr="004B4E82" w:rsidRDefault="00103CFB" w:rsidP="00103CFB">
            <w:pPr>
              <w:spacing w:after="0"/>
              <w:ind w:left="0"/>
              <w:rPr>
                <w:color w:val="000000"/>
              </w:rPr>
            </w:pPr>
            <w:r>
              <w:rPr>
                <w:color w:val="000000"/>
              </w:rPr>
              <w:t>Daily List of 940 Federal Certification</w:t>
            </w:r>
          </w:p>
        </w:tc>
      </w:tr>
      <w:tr w:rsidR="00103CFB" w:rsidRPr="00293F5E" w14:paraId="51E4FF24" w14:textId="77777777" w:rsidTr="00A26011">
        <w:trPr>
          <w:trHeight w:val="300"/>
        </w:trPr>
        <w:tc>
          <w:tcPr>
            <w:tcW w:w="684" w:type="dxa"/>
            <w:noWrap/>
            <w:vAlign w:val="bottom"/>
            <w:hideMark/>
          </w:tcPr>
          <w:p w14:paraId="0EAD1B9D" w14:textId="3ED9D77F" w:rsidR="00103CFB" w:rsidRPr="00293F5E" w:rsidRDefault="00103CFB" w:rsidP="00103CFB">
            <w:pPr>
              <w:spacing w:after="0"/>
              <w:ind w:left="0"/>
              <w:jc w:val="center"/>
              <w:rPr>
                <w:rFonts w:ascii="Calibri" w:hAnsi="Calibri" w:cs="Calibri"/>
                <w:color w:val="000000"/>
                <w:szCs w:val="22"/>
              </w:rPr>
            </w:pPr>
            <w:r>
              <w:rPr>
                <w:color w:val="000000"/>
                <w:szCs w:val="22"/>
              </w:rPr>
              <w:t>29</w:t>
            </w:r>
          </w:p>
        </w:tc>
        <w:tc>
          <w:tcPr>
            <w:tcW w:w="1677" w:type="dxa"/>
            <w:noWrap/>
            <w:vAlign w:val="bottom"/>
          </w:tcPr>
          <w:p w14:paraId="220913DA"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514B666A" w14:textId="77777777" w:rsidR="00103CFB" w:rsidRPr="004B4E82" w:rsidRDefault="00103CFB" w:rsidP="00103CFB">
            <w:pPr>
              <w:spacing w:after="0"/>
              <w:ind w:left="0"/>
              <w:rPr>
                <w:color w:val="000000"/>
              </w:rPr>
            </w:pPr>
            <w:r>
              <w:rPr>
                <w:color w:val="000000"/>
              </w:rPr>
              <w:t>TXDM0251</w:t>
            </w:r>
          </w:p>
        </w:tc>
        <w:tc>
          <w:tcPr>
            <w:tcW w:w="6963" w:type="dxa"/>
            <w:vAlign w:val="bottom"/>
          </w:tcPr>
          <w:p w14:paraId="54A4D0A4" w14:textId="77777777" w:rsidR="00103CFB" w:rsidRPr="004B4E82" w:rsidRDefault="00103CFB" w:rsidP="00103CFB">
            <w:pPr>
              <w:spacing w:after="0"/>
              <w:ind w:left="0"/>
              <w:rPr>
                <w:color w:val="000000"/>
              </w:rPr>
            </w:pPr>
            <w:r>
              <w:rPr>
                <w:color w:val="000000"/>
              </w:rPr>
              <w:t>FUTA Certification Error Report</w:t>
            </w:r>
          </w:p>
        </w:tc>
      </w:tr>
      <w:tr w:rsidR="00103CFB" w:rsidRPr="00293F5E" w14:paraId="435F27E9" w14:textId="77777777" w:rsidTr="00A26011">
        <w:trPr>
          <w:trHeight w:val="315"/>
        </w:trPr>
        <w:tc>
          <w:tcPr>
            <w:tcW w:w="684" w:type="dxa"/>
            <w:noWrap/>
            <w:vAlign w:val="bottom"/>
            <w:hideMark/>
          </w:tcPr>
          <w:p w14:paraId="591CE091" w14:textId="460BDED7" w:rsidR="00103CFB" w:rsidRPr="00293F5E" w:rsidRDefault="00103CFB" w:rsidP="00103CFB">
            <w:pPr>
              <w:spacing w:after="0"/>
              <w:ind w:left="0"/>
              <w:jc w:val="center"/>
              <w:rPr>
                <w:rFonts w:ascii="Calibri" w:hAnsi="Calibri" w:cs="Calibri"/>
                <w:color w:val="000000"/>
                <w:szCs w:val="22"/>
              </w:rPr>
            </w:pPr>
            <w:r>
              <w:rPr>
                <w:szCs w:val="22"/>
              </w:rPr>
              <w:t>30</w:t>
            </w:r>
          </w:p>
        </w:tc>
        <w:tc>
          <w:tcPr>
            <w:tcW w:w="1677" w:type="dxa"/>
            <w:noWrap/>
            <w:vAlign w:val="bottom"/>
          </w:tcPr>
          <w:p w14:paraId="43E0085F" w14:textId="77777777" w:rsidR="00103CFB" w:rsidRPr="00293F5E" w:rsidRDefault="00103CFB" w:rsidP="00103CFB">
            <w:pPr>
              <w:spacing w:after="0"/>
              <w:ind w:left="0"/>
              <w:rPr>
                <w:rFonts w:ascii="Calibri" w:hAnsi="Calibri" w:cs="Calibri"/>
                <w:color w:val="000000"/>
                <w:szCs w:val="22"/>
              </w:rPr>
            </w:pPr>
            <w:r>
              <w:rPr>
                <w:color w:val="000000"/>
              </w:rPr>
              <w:t xml:space="preserve">Daily </w:t>
            </w:r>
          </w:p>
        </w:tc>
        <w:tc>
          <w:tcPr>
            <w:tcW w:w="1775" w:type="dxa"/>
            <w:noWrap/>
            <w:vAlign w:val="bottom"/>
          </w:tcPr>
          <w:p w14:paraId="04ADFB5C" w14:textId="77777777" w:rsidR="00103CFB" w:rsidRPr="004B4E82" w:rsidRDefault="00103CFB" w:rsidP="00103CFB">
            <w:pPr>
              <w:spacing w:after="0"/>
              <w:ind w:left="0"/>
              <w:rPr>
                <w:color w:val="000000"/>
              </w:rPr>
            </w:pPr>
            <w:r>
              <w:rPr>
                <w:color w:val="000000"/>
              </w:rPr>
              <w:t>TXDM0271</w:t>
            </w:r>
          </w:p>
        </w:tc>
        <w:tc>
          <w:tcPr>
            <w:tcW w:w="6963" w:type="dxa"/>
            <w:vAlign w:val="bottom"/>
          </w:tcPr>
          <w:p w14:paraId="2190998B" w14:textId="77777777" w:rsidR="00103CFB" w:rsidRPr="004B4E82" w:rsidRDefault="00103CFB" w:rsidP="00103CFB">
            <w:pPr>
              <w:spacing w:after="0"/>
              <w:ind w:left="0"/>
              <w:rPr>
                <w:color w:val="000000"/>
              </w:rPr>
            </w:pPr>
            <w:r>
              <w:rPr>
                <w:color w:val="000000"/>
              </w:rPr>
              <w:t>Aged Refund Report - 45-59 Days Old</w:t>
            </w:r>
          </w:p>
        </w:tc>
      </w:tr>
      <w:tr w:rsidR="00103CFB" w:rsidRPr="00293F5E" w14:paraId="4A40CBDD" w14:textId="77777777" w:rsidTr="00A26011">
        <w:trPr>
          <w:trHeight w:val="300"/>
        </w:trPr>
        <w:tc>
          <w:tcPr>
            <w:tcW w:w="684" w:type="dxa"/>
            <w:noWrap/>
            <w:vAlign w:val="bottom"/>
            <w:hideMark/>
          </w:tcPr>
          <w:p w14:paraId="348AFB40" w14:textId="0CE66C44" w:rsidR="00103CFB" w:rsidRPr="00293F5E" w:rsidRDefault="00103CFB" w:rsidP="00103CFB">
            <w:pPr>
              <w:spacing w:after="0"/>
              <w:ind w:left="0"/>
              <w:jc w:val="center"/>
              <w:rPr>
                <w:rFonts w:ascii="Calibri" w:hAnsi="Calibri" w:cs="Calibri"/>
                <w:color w:val="000000"/>
                <w:szCs w:val="22"/>
              </w:rPr>
            </w:pPr>
            <w:r>
              <w:rPr>
                <w:color w:val="000000"/>
                <w:szCs w:val="22"/>
              </w:rPr>
              <w:t>31</w:t>
            </w:r>
          </w:p>
        </w:tc>
        <w:tc>
          <w:tcPr>
            <w:tcW w:w="1677" w:type="dxa"/>
            <w:noWrap/>
            <w:vAlign w:val="bottom"/>
          </w:tcPr>
          <w:p w14:paraId="52D5856A"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646C1211" w14:textId="77777777" w:rsidR="00103CFB" w:rsidRPr="004B4E82" w:rsidRDefault="00103CFB" w:rsidP="00103CFB">
            <w:pPr>
              <w:spacing w:after="0"/>
              <w:ind w:left="0"/>
              <w:rPr>
                <w:color w:val="000000"/>
              </w:rPr>
            </w:pPr>
            <w:r>
              <w:rPr>
                <w:color w:val="000000"/>
              </w:rPr>
              <w:t>TXDM0271</w:t>
            </w:r>
          </w:p>
        </w:tc>
        <w:tc>
          <w:tcPr>
            <w:tcW w:w="6963" w:type="dxa"/>
            <w:vAlign w:val="bottom"/>
          </w:tcPr>
          <w:p w14:paraId="20FDF8DC" w14:textId="77777777" w:rsidR="00103CFB" w:rsidRPr="004B4E82" w:rsidRDefault="00103CFB" w:rsidP="00103CFB">
            <w:pPr>
              <w:spacing w:after="0"/>
              <w:ind w:left="0"/>
              <w:rPr>
                <w:color w:val="000000"/>
              </w:rPr>
            </w:pPr>
            <w:r>
              <w:rPr>
                <w:color w:val="000000"/>
              </w:rPr>
              <w:t>Aged Refund Report (By Check Digit)</w:t>
            </w:r>
          </w:p>
        </w:tc>
      </w:tr>
      <w:tr w:rsidR="00103CFB" w:rsidRPr="00293F5E" w14:paraId="55474ADC" w14:textId="77777777" w:rsidTr="00A26011">
        <w:trPr>
          <w:trHeight w:val="300"/>
        </w:trPr>
        <w:tc>
          <w:tcPr>
            <w:tcW w:w="684" w:type="dxa"/>
            <w:noWrap/>
            <w:vAlign w:val="bottom"/>
            <w:hideMark/>
          </w:tcPr>
          <w:p w14:paraId="32D9C31D" w14:textId="2AC0D7F0" w:rsidR="00103CFB" w:rsidRPr="00293F5E" w:rsidRDefault="00103CFB" w:rsidP="00103CFB">
            <w:pPr>
              <w:spacing w:after="0"/>
              <w:ind w:left="0"/>
              <w:jc w:val="center"/>
              <w:rPr>
                <w:rFonts w:ascii="Calibri" w:hAnsi="Calibri" w:cs="Calibri"/>
                <w:color w:val="000000"/>
                <w:szCs w:val="22"/>
              </w:rPr>
            </w:pPr>
            <w:r>
              <w:rPr>
                <w:szCs w:val="22"/>
              </w:rPr>
              <w:t>32</w:t>
            </w:r>
          </w:p>
        </w:tc>
        <w:tc>
          <w:tcPr>
            <w:tcW w:w="1677" w:type="dxa"/>
            <w:noWrap/>
            <w:vAlign w:val="bottom"/>
          </w:tcPr>
          <w:p w14:paraId="671F039A"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2BDA2382" w14:textId="77777777" w:rsidR="00103CFB" w:rsidRPr="004B4E82" w:rsidRDefault="00103CFB" w:rsidP="00103CFB">
            <w:pPr>
              <w:spacing w:after="0"/>
              <w:ind w:left="0"/>
              <w:rPr>
                <w:color w:val="000000"/>
              </w:rPr>
            </w:pPr>
            <w:r>
              <w:rPr>
                <w:color w:val="000000"/>
              </w:rPr>
              <w:t>TXDM0271</w:t>
            </w:r>
          </w:p>
        </w:tc>
        <w:tc>
          <w:tcPr>
            <w:tcW w:w="6963" w:type="dxa"/>
            <w:vAlign w:val="bottom"/>
          </w:tcPr>
          <w:p w14:paraId="6A90EFAA" w14:textId="77777777" w:rsidR="00103CFB" w:rsidRPr="004B4E82" w:rsidRDefault="00103CFB" w:rsidP="00103CFB">
            <w:pPr>
              <w:spacing w:after="0"/>
              <w:ind w:left="0"/>
              <w:rPr>
                <w:color w:val="000000"/>
              </w:rPr>
            </w:pPr>
            <w:r>
              <w:rPr>
                <w:color w:val="000000"/>
              </w:rPr>
              <w:t>Aged Refund Report (By Date Entered)</w:t>
            </w:r>
          </w:p>
        </w:tc>
      </w:tr>
      <w:tr w:rsidR="00103CFB" w:rsidRPr="00293F5E" w14:paraId="06E78B5F" w14:textId="77777777" w:rsidTr="00A26011">
        <w:trPr>
          <w:trHeight w:val="300"/>
        </w:trPr>
        <w:tc>
          <w:tcPr>
            <w:tcW w:w="684" w:type="dxa"/>
            <w:noWrap/>
            <w:vAlign w:val="bottom"/>
            <w:hideMark/>
          </w:tcPr>
          <w:p w14:paraId="2B0FCEA9" w14:textId="0FD1C9CF" w:rsidR="00103CFB" w:rsidRPr="00293F5E" w:rsidRDefault="00103CFB" w:rsidP="00103CFB">
            <w:pPr>
              <w:spacing w:after="0"/>
              <w:ind w:left="0"/>
              <w:jc w:val="center"/>
              <w:rPr>
                <w:rFonts w:ascii="Calibri" w:hAnsi="Calibri" w:cs="Calibri"/>
                <w:color w:val="000000"/>
                <w:szCs w:val="22"/>
              </w:rPr>
            </w:pPr>
            <w:r>
              <w:rPr>
                <w:color w:val="000000"/>
                <w:szCs w:val="22"/>
              </w:rPr>
              <w:t>33</w:t>
            </w:r>
          </w:p>
        </w:tc>
        <w:tc>
          <w:tcPr>
            <w:tcW w:w="1677" w:type="dxa"/>
            <w:noWrap/>
            <w:vAlign w:val="bottom"/>
          </w:tcPr>
          <w:p w14:paraId="18780316"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4F1B26BA" w14:textId="77777777" w:rsidR="00103CFB" w:rsidRPr="004B4E82" w:rsidRDefault="00103CFB" w:rsidP="00103CFB">
            <w:pPr>
              <w:spacing w:after="0"/>
              <w:ind w:left="0"/>
              <w:rPr>
                <w:color w:val="000000"/>
              </w:rPr>
            </w:pPr>
            <w:r>
              <w:rPr>
                <w:color w:val="000000"/>
              </w:rPr>
              <w:t>TXDM0271</w:t>
            </w:r>
          </w:p>
        </w:tc>
        <w:tc>
          <w:tcPr>
            <w:tcW w:w="6963" w:type="dxa"/>
            <w:vAlign w:val="bottom"/>
          </w:tcPr>
          <w:p w14:paraId="5FA98F33" w14:textId="77777777" w:rsidR="00103CFB" w:rsidRPr="004B4E82" w:rsidRDefault="00103CFB" w:rsidP="00103CFB">
            <w:pPr>
              <w:spacing w:after="0"/>
              <w:ind w:left="0"/>
              <w:rPr>
                <w:color w:val="000000"/>
              </w:rPr>
            </w:pPr>
            <w:r>
              <w:rPr>
                <w:color w:val="000000"/>
              </w:rPr>
              <w:t>Refund Approval Error Listing</w:t>
            </w:r>
          </w:p>
        </w:tc>
      </w:tr>
      <w:tr w:rsidR="00103CFB" w:rsidRPr="00293F5E" w14:paraId="4761A190" w14:textId="77777777" w:rsidTr="00A26011">
        <w:trPr>
          <w:trHeight w:val="300"/>
        </w:trPr>
        <w:tc>
          <w:tcPr>
            <w:tcW w:w="684" w:type="dxa"/>
            <w:noWrap/>
            <w:vAlign w:val="bottom"/>
            <w:hideMark/>
          </w:tcPr>
          <w:p w14:paraId="7BDA67F1" w14:textId="3E71051F" w:rsidR="00103CFB" w:rsidRPr="00293F5E" w:rsidRDefault="00103CFB" w:rsidP="00103CFB">
            <w:pPr>
              <w:spacing w:after="0"/>
              <w:ind w:left="0"/>
              <w:jc w:val="center"/>
              <w:rPr>
                <w:rFonts w:ascii="Calibri" w:hAnsi="Calibri" w:cs="Calibri"/>
                <w:color w:val="000000"/>
                <w:szCs w:val="22"/>
              </w:rPr>
            </w:pPr>
            <w:r>
              <w:rPr>
                <w:szCs w:val="22"/>
              </w:rPr>
              <w:t>34</w:t>
            </w:r>
          </w:p>
        </w:tc>
        <w:tc>
          <w:tcPr>
            <w:tcW w:w="1677" w:type="dxa"/>
            <w:noWrap/>
            <w:vAlign w:val="bottom"/>
          </w:tcPr>
          <w:p w14:paraId="04D27DBE"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1A2E98CC" w14:textId="77777777" w:rsidR="00103CFB" w:rsidRPr="004B4E82" w:rsidRDefault="00103CFB" w:rsidP="00103CFB">
            <w:pPr>
              <w:spacing w:after="0"/>
              <w:ind w:left="0"/>
              <w:rPr>
                <w:color w:val="000000"/>
              </w:rPr>
            </w:pPr>
            <w:r>
              <w:rPr>
                <w:color w:val="000000"/>
              </w:rPr>
              <w:t>TXDM0271</w:t>
            </w:r>
          </w:p>
        </w:tc>
        <w:tc>
          <w:tcPr>
            <w:tcW w:w="6963" w:type="dxa"/>
            <w:vAlign w:val="bottom"/>
          </w:tcPr>
          <w:p w14:paraId="08A89B7C" w14:textId="77777777" w:rsidR="00103CFB" w:rsidRPr="004B4E82" w:rsidRDefault="00103CFB" w:rsidP="00103CFB">
            <w:pPr>
              <w:spacing w:after="0"/>
              <w:ind w:left="0"/>
              <w:rPr>
                <w:color w:val="000000"/>
              </w:rPr>
            </w:pPr>
            <w:r>
              <w:rPr>
                <w:color w:val="000000"/>
              </w:rPr>
              <w:t>Refund Batch Summary</w:t>
            </w:r>
          </w:p>
        </w:tc>
      </w:tr>
      <w:tr w:rsidR="00103CFB" w:rsidRPr="00293F5E" w14:paraId="0696A987" w14:textId="77777777" w:rsidTr="00A26011">
        <w:trPr>
          <w:trHeight w:val="300"/>
        </w:trPr>
        <w:tc>
          <w:tcPr>
            <w:tcW w:w="684" w:type="dxa"/>
            <w:noWrap/>
            <w:vAlign w:val="bottom"/>
            <w:hideMark/>
          </w:tcPr>
          <w:p w14:paraId="077FF007" w14:textId="38556DEA" w:rsidR="00103CFB" w:rsidRPr="00293F5E" w:rsidRDefault="00103CFB" w:rsidP="00103CFB">
            <w:pPr>
              <w:spacing w:after="0"/>
              <w:ind w:left="0"/>
              <w:jc w:val="center"/>
              <w:rPr>
                <w:rFonts w:ascii="Calibri" w:hAnsi="Calibri" w:cs="Calibri"/>
                <w:color w:val="000000"/>
                <w:szCs w:val="22"/>
              </w:rPr>
            </w:pPr>
            <w:r>
              <w:rPr>
                <w:color w:val="000000"/>
                <w:szCs w:val="22"/>
              </w:rPr>
              <w:t>35</w:t>
            </w:r>
          </w:p>
        </w:tc>
        <w:tc>
          <w:tcPr>
            <w:tcW w:w="1677" w:type="dxa"/>
            <w:noWrap/>
            <w:vAlign w:val="bottom"/>
          </w:tcPr>
          <w:p w14:paraId="5227E06F"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5ED9DC63" w14:textId="77777777" w:rsidR="00103CFB" w:rsidRPr="004B4E82" w:rsidRDefault="00103CFB" w:rsidP="00103CFB">
            <w:pPr>
              <w:spacing w:after="0"/>
              <w:ind w:left="0"/>
              <w:rPr>
                <w:color w:val="000000"/>
              </w:rPr>
            </w:pPr>
            <w:r>
              <w:rPr>
                <w:color w:val="000000"/>
              </w:rPr>
              <w:t>TXDM0281</w:t>
            </w:r>
          </w:p>
        </w:tc>
        <w:tc>
          <w:tcPr>
            <w:tcW w:w="6963" w:type="dxa"/>
            <w:vAlign w:val="bottom"/>
          </w:tcPr>
          <w:p w14:paraId="66E8A88A" w14:textId="77777777" w:rsidR="00103CFB" w:rsidRPr="004B4E82" w:rsidRDefault="00103CFB" w:rsidP="00103CFB">
            <w:pPr>
              <w:spacing w:after="0"/>
              <w:ind w:left="0"/>
              <w:rPr>
                <w:color w:val="000000"/>
              </w:rPr>
            </w:pPr>
            <w:r>
              <w:rPr>
                <w:color w:val="000000"/>
              </w:rPr>
              <w:t>Accounts Transaction Listing</w:t>
            </w:r>
          </w:p>
        </w:tc>
      </w:tr>
      <w:tr w:rsidR="00103CFB" w:rsidRPr="00293F5E" w14:paraId="0CEF39A0" w14:textId="77777777" w:rsidTr="00A26011">
        <w:trPr>
          <w:trHeight w:val="300"/>
        </w:trPr>
        <w:tc>
          <w:tcPr>
            <w:tcW w:w="684" w:type="dxa"/>
            <w:noWrap/>
            <w:vAlign w:val="bottom"/>
            <w:hideMark/>
          </w:tcPr>
          <w:p w14:paraId="5CF24907" w14:textId="39191F47" w:rsidR="00103CFB" w:rsidRPr="00293F5E" w:rsidRDefault="00103CFB" w:rsidP="00103CFB">
            <w:pPr>
              <w:spacing w:after="0"/>
              <w:ind w:left="0"/>
              <w:jc w:val="center"/>
              <w:rPr>
                <w:rFonts w:ascii="Calibri" w:hAnsi="Calibri" w:cs="Calibri"/>
                <w:color w:val="000000"/>
                <w:szCs w:val="22"/>
              </w:rPr>
            </w:pPr>
            <w:r>
              <w:rPr>
                <w:szCs w:val="22"/>
              </w:rPr>
              <w:t>36</w:t>
            </w:r>
          </w:p>
        </w:tc>
        <w:tc>
          <w:tcPr>
            <w:tcW w:w="1677" w:type="dxa"/>
            <w:noWrap/>
            <w:vAlign w:val="bottom"/>
          </w:tcPr>
          <w:p w14:paraId="55E87918"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527A689B" w14:textId="77777777" w:rsidR="00103CFB" w:rsidRPr="004B4E82" w:rsidRDefault="00103CFB" w:rsidP="00103CFB">
            <w:pPr>
              <w:spacing w:after="0"/>
              <w:ind w:left="0"/>
              <w:rPr>
                <w:color w:val="000000"/>
              </w:rPr>
            </w:pPr>
            <w:r>
              <w:rPr>
                <w:color w:val="000000"/>
              </w:rPr>
              <w:t>TXDM0281</w:t>
            </w:r>
          </w:p>
        </w:tc>
        <w:tc>
          <w:tcPr>
            <w:tcW w:w="6963" w:type="dxa"/>
            <w:vAlign w:val="bottom"/>
          </w:tcPr>
          <w:p w14:paraId="3D0BE8D0" w14:textId="77777777" w:rsidR="00103CFB" w:rsidRPr="004B4E82" w:rsidRDefault="00103CFB" w:rsidP="00103CFB">
            <w:pPr>
              <w:spacing w:after="0"/>
              <w:ind w:left="0"/>
              <w:rPr>
                <w:color w:val="000000"/>
              </w:rPr>
            </w:pPr>
            <w:r>
              <w:rPr>
                <w:color w:val="000000"/>
              </w:rPr>
              <w:t>System Allocation Transaction Listing</w:t>
            </w:r>
          </w:p>
        </w:tc>
      </w:tr>
      <w:tr w:rsidR="00103CFB" w:rsidRPr="00293F5E" w14:paraId="2D4B4210" w14:textId="77777777" w:rsidTr="00A26011">
        <w:trPr>
          <w:trHeight w:val="300"/>
        </w:trPr>
        <w:tc>
          <w:tcPr>
            <w:tcW w:w="684" w:type="dxa"/>
            <w:noWrap/>
            <w:vAlign w:val="bottom"/>
            <w:hideMark/>
          </w:tcPr>
          <w:p w14:paraId="50825C3B" w14:textId="71D4CD24" w:rsidR="00103CFB" w:rsidRPr="00293F5E" w:rsidRDefault="00103CFB" w:rsidP="00103CFB">
            <w:pPr>
              <w:spacing w:after="0"/>
              <w:ind w:left="0"/>
              <w:jc w:val="center"/>
              <w:rPr>
                <w:rFonts w:ascii="Calibri" w:hAnsi="Calibri" w:cs="Calibri"/>
                <w:color w:val="000000"/>
                <w:szCs w:val="22"/>
              </w:rPr>
            </w:pPr>
            <w:r>
              <w:rPr>
                <w:color w:val="000000"/>
                <w:szCs w:val="22"/>
              </w:rPr>
              <w:t>37</w:t>
            </w:r>
          </w:p>
        </w:tc>
        <w:tc>
          <w:tcPr>
            <w:tcW w:w="1677" w:type="dxa"/>
            <w:noWrap/>
            <w:vAlign w:val="bottom"/>
          </w:tcPr>
          <w:p w14:paraId="34192A9C"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44848115" w14:textId="77777777" w:rsidR="00103CFB" w:rsidRPr="004B4E82" w:rsidRDefault="00103CFB" w:rsidP="00103CFB">
            <w:pPr>
              <w:spacing w:after="0"/>
              <w:ind w:left="0"/>
              <w:rPr>
                <w:color w:val="000000"/>
              </w:rPr>
            </w:pPr>
            <w:r>
              <w:rPr>
                <w:color w:val="000000"/>
              </w:rPr>
              <w:t>TXDQ0011</w:t>
            </w:r>
          </w:p>
        </w:tc>
        <w:tc>
          <w:tcPr>
            <w:tcW w:w="6963" w:type="dxa"/>
            <w:vAlign w:val="bottom"/>
          </w:tcPr>
          <w:p w14:paraId="2A58D760" w14:textId="77777777" w:rsidR="00103CFB" w:rsidRPr="004B4E82" w:rsidRDefault="00103CFB" w:rsidP="00103CFB">
            <w:pPr>
              <w:spacing w:after="0"/>
              <w:ind w:left="0"/>
              <w:rPr>
                <w:color w:val="000000"/>
              </w:rPr>
            </w:pPr>
            <w:r>
              <w:rPr>
                <w:color w:val="000000"/>
              </w:rPr>
              <w:t>Deposit List</w:t>
            </w:r>
          </w:p>
        </w:tc>
      </w:tr>
      <w:tr w:rsidR="00103CFB" w:rsidRPr="00293F5E" w14:paraId="7A770575" w14:textId="77777777" w:rsidTr="00A26011">
        <w:trPr>
          <w:trHeight w:val="600"/>
        </w:trPr>
        <w:tc>
          <w:tcPr>
            <w:tcW w:w="684" w:type="dxa"/>
            <w:noWrap/>
            <w:vAlign w:val="bottom"/>
            <w:hideMark/>
          </w:tcPr>
          <w:p w14:paraId="3B321E87" w14:textId="178620AF" w:rsidR="00103CFB" w:rsidRPr="00293F5E" w:rsidRDefault="00103CFB" w:rsidP="00103CFB">
            <w:pPr>
              <w:spacing w:after="0"/>
              <w:ind w:left="0"/>
              <w:jc w:val="center"/>
              <w:rPr>
                <w:rFonts w:ascii="Calibri" w:hAnsi="Calibri" w:cs="Calibri"/>
                <w:color w:val="000000"/>
                <w:szCs w:val="22"/>
              </w:rPr>
            </w:pPr>
            <w:r>
              <w:rPr>
                <w:szCs w:val="22"/>
              </w:rPr>
              <w:t>38</w:t>
            </w:r>
          </w:p>
        </w:tc>
        <w:tc>
          <w:tcPr>
            <w:tcW w:w="1677" w:type="dxa"/>
            <w:noWrap/>
            <w:vAlign w:val="bottom"/>
          </w:tcPr>
          <w:p w14:paraId="0CC9FC29"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3BDB5F93" w14:textId="77777777" w:rsidR="00103CFB" w:rsidRPr="004B4E82" w:rsidRDefault="00103CFB" w:rsidP="00103CFB">
            <w:pPr>
              <w:spacing w:after="0"/>
              <w:ind w:left="0"/>
              <w:rPr>
                <w:color w:val="000000"/>
              </w:rPr>
            </w:pPr>
            <w:r>
              <w:rPr>
                <w:color w:val="000000"/>
              </w:rPr>
              <w:t>TXDQ0103</w:t>
            </w:r>
          </w:p>
        </w:tc>
        <w:tc>
          <w:tcPr>
            <w:tcW w:w="6963" w:type="dxa"/>
            <w:vAlign w:val="bottom"/>
          </w:tcPr>
          <w:p w14:paraId="69EE6A75" w14:textId="77777777" w:rsidR="00103CFB" w:rsidRPr="004B4E82" w:rsidRDefault="00103CFB" w:rsidP="00103CFB">
            <w:pPr>
              <w:spacing w:after="0"/>
              <w:ind w:left="0"/>
              <w:rPr>
                <w:color w:val="000000"/>
              </w:rPr>
            </w:pPr>
            <w:r>
              <w:rPr>
                <w:color w:val="000000"/>
              </w:rPr>
              <w:t>Non-Liable Remittances Posted to the Cash Journal</w:t>
            </w:r>
          </w:p>
        </w:tc>
      </w:tr>
      <w:tr w:rsidR="00103CFB" w:rsidRPr="00293F5E" w14:paraId="197D7F1F" w14:textId="77777777" w:rsidTr="00A26011">
        <w:trPr>
          <w:trHeight w:val="300"/>
        </w:trPr>
        <w:tc>
          <w:tcPr>
            <w:tcW w:w="684" w:type="dxa"/>
            <w:noWrap/>
            <w:vAlign w:val="bottom"/>
            <w:hideMark/>
          </w:tcPr>
          <w:p w14:paraId="43195C7B" w14:textId="218BACA4" w:rsidR="00103CFB" w:rsidRPr="00293F5E" w:rsidRDefault="00103CFB" w:rsidP="00103CFB">
            <w:pPr>
              <w:spacing w:after="0"/>
              <w:ind w:left="0"/>
              <w:jc w:val="center"/>
              <w:rPr>
                <w:rFonts w:ascii="Calibri" w:hAnsi="Calibri" w:cs="Calibri"/>
                <w:color w:val="000000"/>
                <w:szCs w:val="22"/>
              </w:rPr>
            </w:pPr>
            <w:r>
              <w:rPr>
                <w:color w:val="000000"/>
                <w:szCs w:val="22"/>
              </w:rPr>
              <w:t>39</w:t>
            </w:r>
          </w:p>
        </w:tc>
        <w:tc>
          <w:tcPr>
            <w:tcW w:w="1677" w:type="dxa"/>
            <w:noWrap/>
            <w:vAlign w:val="bottom"/>
          </w:tcPr>
          <w:p w14:paraId="3EFDA1A4"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232EEAF2" w14:textId="77777777" w:rsidR="00103CFB" w:rsidRPr="004B4E82" w:rsidRDefault="00103CFB" w:rsidP="00103CFB">
            <w:pPr>
              <w:spacing w:after="0"/>
              <w:ind w:left="0"/>
              <w:rPr>
                <w:color w:val="000000"/>
              </w:rPr>
            </w:pPr>
            <w:r>
              <w:rPr>
                <w:color w:val="000000"/>
              </w:rPr>
              <w:t>TXDQ0140</w:t>
            </w:r>
          </w:p>
        </w:tc>
        <w:tc>
          <w:tcPr>
            <w:tcW w:w="6963" w:type="dxa"/>
            <w:vAlign w:val="bottom"/>
          </w:tcPr>
          <w:p w14:paraId="59F7FBA3" w14:textId="77777777" w:rsidR="00103CFB" w:rsidRPr="004B4E82" w:rsidRDefault="00103CFB" w:rsidP="00103CFB">
            <w:pPr>
              <w:spacing w:after="0"/>
              <w:ind w:left="0"/>
              <w:rPr>
                <w:color w:val="000000"/>
              </w:rPr>
            </w:pPr>
            <w:r>
              <w:rPr>
                <w:color w:val="000000"/>
              </w:rPr>
              <w:t>Estimated Reports Errors</w:t>
            </w:r>
          </w:p>
        </w:tc>
      </w:tr>
      <w:tr w:rsidR="00103CFB" w:rsidRPr="00293F5E" w14:paraId="799DDB4B" w14:textId="77777777" w:rsidTr="00A26011">
        <w:trPr>
          <w:trHeight w:val="300"/>
        </w:trPr>
        <w:tc>
          <w:tcPr>
            <w:tcW w:w="684" w:type="dxa"/>
            <w:noWrap/>
            <w:vAlign w:val="bottom"/>
            <w:hideMark/>
          </w:tcPr>
          <w:p w14:paraId="7E82991B" w14:textId="4B9B414C" w:rsidR="00103CFB" w:rsidRPr="00293F5E" w:rsidRDefault="00103CFB" w:rsidP="00103CFB">
            <w:pPr>
              <w:spacing w:after="0"/>
              <w:ind w:left="0"/>
              <w:jc w:val="center"/>
              <w:rPr>
                <w:rFonts w:ascii="Calibri" w:hAnsi="Calibri" w:cs="Calibri"/>
                <w:color w:val="000000"/>
                <w:szCs w:val="22"/>
              </w:rPr>
            </w:pPr>
            <w:r>
              <w:rPr>
                <w:szCs w:val="22"/>
              </w:rPr>
              <w:t>40</w:t>
            </w:r>
          </w:p>
        </w:tc>
        <w:tc>
          <w:tcPr>
            <w:tcW w:w="1677" w:type="dxa"/>
            <w:noWrap/>
            <w:vAlign w:val="bottom"/>
          </w:tcPr>
          <w:p w14:paraId="7338A0A2"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5E77628F" w14:textId="77777777" w:rsidR="00103CFB" w:rsidRPr="004B4E82" w:rsidRDefault="00103CFB" w:rsidP="00103CFB">
            <w:pPr>
              <w:spacing w:after="0"/>
              <w:ind w:left="0"/>
              <w:rPr>
                <w:color w:val="000000"/>
              </w:rPr>
            </w:pPr>
            <w:r>
              <w:rPr>
                <w:color w:val="000000"/>
              </w:rPr>
              <w:t>TXDQ0261</w:t>
            </w:r>
          </w:p>
        </w:tc>
        <w:tc>
          <w:tcPr>
            <w:tcW w:w="6963" w:type="dxa"/>
            <w:vAlign w:val="bottom"/>
          </w:tcPr>
          <w:p w14:paraId="250CDD98" w14:textId="77777777" w:rsidR="00103CFB" w:rsidRPr="004B4E82" w:rsidRDefault="00103CFB" w:rsidP="00103CFB">
            <w:pPr>
              <w:spacing w:after="0"/>
              <w:ind w:left="0"/>
              <w:rPr>
                <w:color w:val="000000"/>
              </w:rPr>
            </w:pPr>
            <w:r>
              <w:rPr>
                <w:color w:val="000000"/>
              </w:rPr>
              <w:t>Controller Refund Audit Report</w:t>
            </w:r>
          </w:p>
        </w:tc>
      </w:tr>
      <w:tr w:rsidR="00103CFB" w:rsidRPr="00293F5E" w14:paraId="1E3D7C87" w14:textId="77777777" w:rsidTr="00A26011">
        <w:trPr>
          <w:trHeight w:val="300"/>
        </w:trPr>
        <w:tc>
          <w:tcPr>
            <w:tcW w:w="684" w:type="dxa"/>
            <w:noWrap/>
            <w:vAlign w:val="bottom"/>
            <w:hideMark/>
          </w:tcPr>
          <w:p w14:paraId="37F2CC99" w14:textId="07029DC6" w:rsidR="00103CFB" w:rsidRPr="00293F5E" w:rsidRDefault="00103CFB" w:rsidP="00103CFB">
            <w:pPr>
              <w:spacing w:after="0"/>
              <w:ind w:left="0"/>
              <w:jc w:val="center"/>
              <w:rPr>
                <w:rFonts w:ascii="Calibri" w:hAnsi="Calibri" w:cs="Calibri"/>
                <w:color w:val="000000"/>
                <w:szCs w:val="22"/>
              </w:rPr>
            </w:pPr>
            <w:r>
              <w:rPr>
                <w:color w:val="000000"/>
                <w:szCs w:val="22"/>
              </w:rPr>
              <w:t>41</w:t>
            </w:r>
          </w:p>
        </w:tc>
        <w:tc>
          <w:tcPr>
            <w:tcW w:w="1677" w:type="dxa"/>
            <w:noWrap/>
            <w:vAlign w:val="bottom"/>
          </w:tcPr>
          <w:p w14:paraId="789FE943"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29C4ADD2" w14:textId="77777777" w:rsidR="00103CFB" w:rsidRPr="004B4E82" w:rsidRDefault="00103CFB" w:rsidP="00103CFB">
            <w:pPr>
              <w:spacing w:after="0"/>
              <w:ind w:left="0"/>
              <w:rPr>
                <w:color w:val="000000"/>
              </w:rPr>
            </w:pPr>
            <w:r>
              <w:rPr>
                <w:color w:val="000000"/>
              </w:rPr>
              <w:t>TXDQ0261</w:t>
            </w:r>
          </w:p>
        </w:tc>
        <w:tc>
          <w:tcPr>
            <w:tcW w:w="6963" w:type="dxa"/>
            <w:vAlign w:val="bottom"/>
          </w:tcPr>
          <w:p w14:paraId="794D1C24" w14:textId="77777777" w:rsidR="00103CFB" w:rsidRPr="004B4E82" w:rsidRDefault="00103CFB" w:rsidP="00103CFB">
            <w:pPr>
              <w:spacing w:after="0"/>
              <w:ind w:left="0"/>
              <w:rPr>
                <w:color w:val="000000"/>
              </w:rPr>
            </w:pPr>
            <w:r>
              <w:rPr>
                <w:color w:val="000000"/>
              </w:rPr>
              <w:t>Refund Transaction Audit Report</w:t>
            </w:r>
          </w:p>
        </w:tc>
      </w:tr>
      <w:tr w:rsidR="00103CFB" w:rsidRPr="00293F5E" w14:paraId="5097B564" w14:textId="77777777" w:rsidTr="00A26011">
        <w:trPr>
          <w:trHeight w:val="300"/>
        </w:trPr>
        <w:tc>
          <w:tcPr>
            <w:tcW w:w="684" w:type="dxa"/>
            <w:noWrap/>
            <w:vAlign w:val="bottom"/>
            <w:hideMark/>
          </w:tcPr>
          <w:p w14:paraId="37DF0CCD" w14:textId="53386A7B" w:rsidR="00103CFB" w:rsidRPr="00293F5E" w:rsidRDefault="00103CFB" w:rsidP="00103CFB">
            <w:pPr>
              <w:spacing w:after="0"/>
              <w:ind w:left="0"/>
              <w:jc w:val="center"/>
              <w:rPr>
                <w:rFonts w:ascii="Calibri" w:hAnsi="Calibri" w:cs="Calibri"/>
                <w:color w:val="000000"/>
                <w:szCs w:val="22"/>
              </w:rPr>
            </w:pPr>
            <w:r>
              <w:rPr>
                <w:szCs w:val="22"/>
              </w:rPr>
              <w:t>42</w:t>
            </w:r>
          </w:p>
        </w:tc>
        <w:tc>
          <w:tcPr>
            <w:tcW w:w="1677" w:type="dxa"/>
            <w:noWrap/>
            <w:vAlign w:val="bottom"/>
          </w:tcPr>
          <w:p w14:paraId="02FAF270"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70335D9E" w14:textId="77777777" w:rsidR="00103CFB" w:rsidRPr="004B4E82" w:rsidRDefault="00103CFB" w:rsidP="00103CFB">
            <w:pPr>
              <w:spacing w:after="0"/>
              <w:ind w:left="0"/>
              <w:rPr>
                <w:color w:val="000000"/>
              </w:rPr>
            </w:pPr>
            <w:r>
              <w:rPr>
                <w:color w:val="000000"/>
              </w:rPr>
              <w:t>TXDQ1040</w:t>
            </w:r>
          </w:p>
        </w:tc>
        <w:tc>
          <w:tcPr>
            <w:tcW w:w="6963" w:type="dxa"/>
            <w:vAlign w:val="bottom"/>
          </w:tcPr>
          <w:p w14:paraId="7D9B79AC" w14:textId="77777777" w:rsidR="00103CFB" w:rsidRPr="004B4E82" w:rsidRDefault="00103CFB" w:rsidP="00103CFB">
            <w:pPr>
              <w:spacing w:after="0"/>
              <w:ind w:left="0"/>
              <w:rPr>
                <w:color w:val="000000"/>
              </w:rPr>
            </w:pPr>
            <w:r>
              <w:rPr>
                <w:color w:val="000000"/>
              </w:rPr>
              <w:t>Error List - Increasing Adjustments for Same Quarter and Same Tax Run</w:t>
            </w:r>
          </w:p>
        </w:tc>
      </w:tr>
      <w:tr w:rsidR="00103CFB" w:rsidRPr="00293F5E" w14:paraId="6E5FBA0A" w14:textId="77777777" w:rsidTr="00A26011">
        <w:trPr>
          <w:trHeight w:val="300"/>
        </w:trPr>
        <w:tc>
          <w:tcPr>
            <w:tcW w:w="684" w:type="dxa"/>
            <w:noWrap/>
            <w:vAlign w:val="bottom"/>
            <w:hideMark/>
          </w:tcPr>
          <w:p w14:paraId="6716AB8C" w14:textId="30420B41" w:rsidR="00103CFB" w:rsidRPr="00293F5E" w:rsidRDefault="00103CFB" w:rsidP="00103CFB">
            <w:pPr>
              <w:spacing w:after="0"/>
              <w:ind w:left="0"/>
              <w:jc w:val="center"/>
              <w:rPr>
                <w:rFonts w:ascii="Calibri" w:hAnsi="Calibri" w:cs="Calibri"/>
                <w:color w:val="000000"/>
                <w:szCs w:val="22"/>
              </w:rPr>
            </w:pPr>
            <w:r>
              <w:rPr>
                <w:color w:val="000000"/>
                <w:szCs w:val="22"/>
              </w:rPr>
              <w:t>43</w:t>
            </w:r>
          </w:p>
        </w:tc>
        <w:tc>
          <w:tcPr>
            <w:tcW w:w="1677" w:type="dxa"/>
            <w:noWrap/>
            <w:vAlign w:val="bottom"/>
          </w:tcPr>
          <w:p w14:paraId="6BBFFB1D"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3F117EE5" w14:textId="77777777" w:rsidR="00103CFB" w:rsidRPr="004B4E82" w:rsidRDefault="00103CFB" w:rsidP="00103CFB">
            <w:pPr>
              <w:spacing w:after="0"/>
              <w:ind w:left="0"/>
              <w:rPr>
                <w:color w:val="000000"/>
              </w:rPr>
            </w:pPr>
            <w:r>
              <w:rPr>
                <w:color w:val="000000"/>
              </w:rPr>
              <w:t>TXDQ1351</w:t>
            </w:r>
          </w:p>
        </w:tc>
        <w:tc>
          <w:tcPr>
            <w:tcW w:w="6963" w:type="dxa"/>
            <w:vAlign w:val="bottom"/>
          </w:tcPr>
          <w:p w14:paraId="1D3DFEAB" w14:textId="77777777" w:rsidR="00103CFB" w:rsidRPr="004B4E82" w:rsidRDefault="00103CFB" w:rsidP="00103CFB">
            <w:pPr>
              <w:spacing w:after="0"/>
              <w:ind w:left="0"/>
              <w:rPr>
                <w:color w:val="000000"/>
              </w:rPr>
            </w:pPr>
            <w:r>
              <w:rPr>
                <w:color w:val="000000"/>
              </w:rPr>
              <w:t>Service Agent Audit Report</w:t>
            </w:r>
          </w:p>
        </w:tc>
      </w:tr>
      <w:tr w:rsidR="00103CFB" w:rsidRPr="00293F5E" w14:paraId="77EAFE56" w14:textId="77777777" w:rsidTr="00A26011">
        <w:trPr>
          <w:trHeight w:val="300"/>
        </w:trPr>
        <w:tc>
          <w:tcPr>
            <w:tcW w:w="684" w:type="dxa"/>
            <w:noWrap/>
            <w:vAlign w:val="bottom"/>
            <w:hideMark/>
          </w:tcPr>
          <w:p w14:paraId="6970FC41" w14:textId="26AB5DD7" w:rsidR="00103CFB" w:rsidRPr="00293F5E" w:rsidRDefault="00103CFB" w:rsidP="00103CFB">
            <w:pPr>
              <w:spacing w:after="0"/>
              <w:ind w:left="0"/>
              <w:jc w:val="center"/>
              <w:rPr>
                <w:rFonts w:ascii="Calibri" w:hAnsi="Calibri" w:cs="Calibri"/>
                <w:color w:val="000000"/>
                <w:szCs w:val="22"/>
              </w:rPr>
            </w:pPr>
            <w:r>
              <w:rPr>
                <w:szCs w:val="22"/>
              </w:rPr>
              <w:t>44</w:t>
            </w:r>
          </w:p>
        </w:tc>
        <w:tc>
          <w:tcPr>
            <w:tcW w:w="1677" w:type="dxa"/>
            <w:noWrap/>
            <w:vAlign w:val="bottom"/>
          </w:tcPr>
          <w:p w14:paraId="2E8A35BC"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073C4B43" w14:textId="77777777" w:rsidR="00103CFB" w:rsidRPr="004B4E82" w:rsidRDefault="00103CFB" w:rsidP="00103CFB">
            <w:pPr>
              <w:spacing w:after="0"/>
              <w:ind w:left="0"/>
              <w:rPr>
                <w:color w:val="000000"/>
              </w:rPr>
            </w:pPr>
            <w:r>
              <w:rPr>
                <w:color w:val="000000"/>
              </w:rPr>
              <w:t>TXDQ1351</w:t>
            </w:r>
          </w:p>
        </w:tc>
        <w:tc>
          <w:tcPr>
            <w:tcW w:w="6963" w:type="dxa"/>
            <w:vAlign w:val="bottom"/>
          </w:tcPr>
          <w:p w14:paraId="2F1FF446" w14:textId="77777777" w:rsidR="00103CFB" w:rsidRPr="004B4E82" w:rsidRDefault="00103CFB" w:rsidP="00103CFB">
            <w:pPr>
              <w:spacing w:after="0"/>
              <w:ind w:left="0"/>
              <w:rPr>
                <w:color w:val="000000"/>
              </w:rPr>
            </w:pPr>
            <w:r>
              <w:rPr>
                <w:color w:val="000000"/>
              </w:rPr>
              <w:t>Service Agent Credit Report</w:t>
            </w:r>
          </w:p>
        </w:tc>
      </w:tr>
      <w:tr w:rsidR="00103CFB" w:rsidRPr="00293F5E" w14:paraId="5C0606FE" w14:textId="77777777" w:rsidTr="00A26011">
        <w:trPr>
          <w:trHeight w:val="300"/>
        </w:trPr>
        <w:tc>
          <w:tcPr>
            <w:tcW w:w="684" w:type="dxa"/>
            <w:noWrap/>
            <w:vAlign w:val="bottom"/>
            <w:hideMark/>
          </w:tcPr>
          <w:p w14:paraId="0D2C3270" w14:textId="6E2E88E0" w:rsidR="00103CFB" w:rsidRPr="00293F5E" w:rsidRDefault="00103CFB" w:rsidP="00103CFB">
            <w:pPr>
              <w:spacing w:after="0"/>
              <w:ind w:left="0"/>
              <w:jc w:val="center"/>
              <w:rPr>
                <w:rFonts w:ascii="Calibri" w:hAnsi="Calibri" w:cs="Calibri"/>
                <w:color w:val="000000"/>
                <w:szCs w:val="22"/>
              </w:rPr>
            </w:pPr>
            <w:r>
              <w:rPr>
                <w:color w:val="000000"/>
                <w:szCs w:val="22"/>
              </w:rPr>
              <w:t>45</w:t>
            </w:r>
          </w:p>
        </w:tc>
        <w:tc>
          <w:tcPr>
            <w:tcW w:w="1677" w:type="dxa"/>
            <w:noWrap/>
            <w:vAlign w:val="bottom"/>
          </w:tcPr>
          <w:p w14:paraId="7397BCA4"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1F2CC422" w14:textId="77777777" w:rsidR="00103CFB" w:rsidRPr="004B4E82" w:rsidRDefault="00103CFB" w:rsidP="00103CFB">
            <w:pPr>
              <w:spacing w:after="0"/>
              <w:ind w:left="0"/>
              <w:rPr>
                <w:color w:val="000000"/>
              </w:rPr>
            </w:pPr>
            <w:r>
              <w:rPr>
                <w:color w:val="000000"/>
              </w:rPr>
              <w:t>TXDR0330</w:t>
            </w:r>
          </w:p>
        </w:tc>
        <w:tc>
          <w:tcPr>
            <w:tcW w:w="6963" w:type="dxa"/>
            <w:vAlign w:val="bottom"/>
          </w:tcPr>
          <w:p w14:paraId="136D1D34" w14:textId="77777777" w:rsidR="00103CFB" w:rsidRPr="004B4E82" w:rsidRDefault="00103CFB" w:rsidP="00103CFB">
            <w:pPr>
              <w:spacing w:after="0"/>
              <w:ind w:left="0"/>
              <w:rPr>
                <w:color w:val="000000"/>
              </w:rPr>
            </w:pPr>
            <w:r>
              <w:rPr>
                <w:color w:val="000000"/>
              </w:rPr>
              <w:t>Processing EID Report</w:t>
            </w:r>
          </w:p>
        </w:tc>
      </w:tr>
      <w:tr w:rsidR="00103CFB" w:rsidRPr="00293F5E" w14:paraId="723E807E" w14:textId="77777777" w:rsidTr="00A26011">
        <w:trPr>
          <w:trHeight w:val="300"/>
        </w:trPr>
        <w:tc>
          <w:tcPr>
            <w:tcW w:w="684" w:type="dxa"/>
            <w:noWrap/>
            <w:vAlign w:val="bottom"/>
            <w:hideMark/>
          </w:tcPr>
          <w:p w14:paraId="6E471377" w14:textId="39E07060" w:rsidR="00103CFB" w:rsidRPr="00293F5E" w:rsidRDefault="00103CFB" w:rsidP="00103CFB">
            <w:pPr>
              <w:spacing w:after="0"/>
              <w:ind w:left="0"/>
              <w:jc w:val="center"/>
              <w:rPr>
                <w:rFonts w:ascii="Calibri" w:hAnsi="Calibri" w:cs="Calibri"/>
                <w:color w:val="000000"/>
                <w:szCs w:val="22"/>
              </w:rPr>
            </w:pPr>
            <w:r>
              <w:rPr>
                <w:szCs w:val="22"/>
              </w:rPr>
              <w:t>46</w:t>
            </w:r>
          </w:p>
        </w:tc>
        <w:tc>
          <w:tcPr>
            <w:tcW w:w="1677" w:type="dxa"/>
            <w:noWrap/>
            <w:vAlign w:val="bottom"/>
          </w:tcPr>
          <w:p w14:paraId="37C2AA3A"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42093F6C" w14:textId="77777777" w:rsidR="00103CFB" w:rsidRPr="004B4E82" w:rsidRDefault="00103CFB" w:rsidP="00103CFB">
            <w:pPr>
              <w:spacing w:after="0"/>
              <w:ind w:left="0"/>
              <w:rPr>
                <w:color w:val="000000"/>
              </w:rPr>
            </w:pPr>
            <w:r>
              <w:rPr>
                <w:color w:val="000000"/>
              </w:rPr>
              <w:t>TXDR0332</w:t>
            </w:r>
          </w:p>
        </w:tc>
        <w:tc>
          <w:tcPr>
            <w:tcW w:w="6963" w:type="dxa"/>
            <w:vAlign w:val="bottom"/>
          </w:tcPr>
          <w:p w14:paraId="77D2EF98" w14:textId="111E28B6" w:rsidR="00103CFB" w:rsidRPr="004B4E82" w:rsidRDefault="0098693C" w:rsidP="00103CFB">
            <w:pPr>
              <w:spacing w:after="0"/>
              <w:ind w:left="0"/>
              <w:rPr>
                <w:color w:val="000000"/>
              </w:rPr>
            </w:pPr>
            <w:r>
              <w:rPr>
                <w:color w:val="000000"/>
              </w:rPr>
              <w:t>System Output</w:t>
            </w:r>
            <w:r w:rsidR="00103CFB">
              <w:rPr>
                <w:color w:val="000000"/>
              </w:rPr>
              <w:t xml:space="preserve"> Message Report</w:t>
            </w:r>
          </w:p>
        </w:tc>
      </w:tr>
      <w:tr w:rsidR="00103CFB" w:rsidRPr="00293F5E" w14:paraId="2BD6F4EF" w14:textId="77777777" w:rsidTr="00A26011">
        <w:trPr>
          <w:trHeight w:val="300"/>
        </w:trPr>
        <w:tc>
          <w:tcPr>
            <w:tcW w:w="684" w:type="dxa"/>
            <w:noWrap/>
            <w:vAlign w:val="bottom"/>
            <w:hideMark/>
          </w:tcPr>
          <w:p w14:paraId="62D45FBA" w14:textId="31532BDF" w:rsidR="00103CFB" w:rsidRPr="00293F5E" w:rsidRDefault="00103CFB" w:rsidP="00103CFB">
            <w:pPr>
              <w:spacing w:after="0"/>
              <w:ind w:left="0"/>
              <w:jc w:val="center"/>
              <w:rPr>
                <w:rFonts w:ascii="Calibri" w:hAnsi="Calibri" w:cs="Calibri"/>
                <w:color w:val="000000"/>
                <w:szCs w:val="22"/>
              </w:rPr>
            </w:pPr>
            <w:r>
              <w:rPr>
                <w:color w:val="000000"/>
                <w:szCs w:val="22"/>
              </w:rPr>
              <w:t>47</w:t>
            </w:r>
          </w:p>
        </w:tc>
        <w:tc>
          <w:tcPr>
            <w:tcW w:w="1677" w:type="dxa"/>
            <w:noWrap/>
            <w:vAlign w:val="bottom"/>
          </w:tcPr>
          <w:p w14:paraId="08694973"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4A338350" w14:textId="77777777" w:rsidR="00103CFB" w:rsidRPr="004B4E82" w:rsidRDefault="00103CFB" w:rsidP="00103CFB">
            <w:pPr>
              <w:spacing w:after="0"/>
              <w:ind w:left="0"/>
              <w:rPr>
                <w:color w:val="000000"/>
              </w:rPr>
            </w:pPr>
            <w:r>
              <w:rPr>
                <w:color w:val="000000"/>
              </w:rPr>
              <w:t>TXDR0380</w:t>
            </w:r>
          </w:p>
        </w:tc>
        <w:tc>
          <w:tcPr>
            <w:tcW w:w="6963" w:type="dxa"/>
            <w:vAlign w:val="bottom"/>
          </w:tcPr>
          <w:p w14:paraId="3541794B" w14:textId="77777777" w:rsidR="00103CFB" w:rsidRPr="004B4E82" w:rsidRDefault="00103CFB" w:rsidP="00103CFB">
            <w:pPr>
              <w:spacing w:after="0"/>
              <w:ind w:left="0"/>
              <w:rPr>
                <w:color w:val="000000"/>
              </w:rPr>
            </w:pPr>
            <w:r>
              <w:rPr>
                <w:color w:val="000000"/>
              </w:rPr>
              <w:t>Accounts with Zero Rated Quarters</w:t>
            </w:r>
          </w:p>
        </w:tc>
      </w:tr>
      <w:tr w:rsidR="00103CFB" w:rsidRPr="00293F5E" w14:paraId="49D78B48" w14:textId="77777777" w:rsidTr="00A26011">
        <w:trPr>
          <w:trHeight w:val="300"/>
        </w:trPr>
        <w:tc>
          <w:tcPr>
            <w:tcW w:w="684" w:type="dxa"/>
            <w:noWrap/>
            <w:vAlign w:val="bottom"/>
            <w:hideMark/>
          </w:tcPr>
          <w:p w14:paraId="707F41A0" w14:textId="0D70C745" w:rsidR="00103CFB" w:rsidRPr="00293F5E" w:rsidRDefault="00103CFB" w:rsidP="00103CFB">
            <w:pPr>
              <w:spacing w:after="0"/>
              <w:ind w:left="0"/>
              <w:jc w:val="center"/>
              <w:rPr>
                <w:rFonts w:ascii="Calibri" w:hAnsi="Calibri" w:cs="Calibri"/>
                <w:color w:val="000000"/>
                <w:szCs w:val="22"/>
              </w:rPr>
            </w:pPr>
            <w:r>
              <w:rPr>
                <w:szCs w:val="22"/>
              </w:rPr>
              <w:t>48</w:t>
            </w:r>
          </w:p>
        </w:tc>
        <w:tc>
          <w:tcPr>
            <w:tcW w:w="1677" w:type="dxa"/>
            <w:noWrap/>
            <w:vAlign w:val="bottom"/>
          </w:tcPr>
          <w:p w14:paraId="5D0577EE"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35D6D960" w14:textId="77777777" w:rsidR="00103CFB" w:rsidRPr="004B4E82" w:rsidRDefault="00103CFB" w:rsidP="00103CFB">
            <w:pPr>
              <w:spacing w:after="0"/>
              <w:ind w:left="0"/>
              <w:rPr>
                <w:color w:val="000000"/>
              </w:rPr>
            </w:pPr>
            <w:r>
              <w:rPr>
                <w:color w:val="000000"/>
              </w:rPr>
              <w:t>TXDR0380</w:t>
            </w:r>
          </w:p>
        </w:tc>
        <w:tc>
          <w:tcPr>
            <w:tcW w:w="6963" w:type="dxa"/>
            <w:vAlign w:val="bottom"/>
          </w:tcPr>
          <w:p w14:paraId="0E5E11A4" w14:textId="77777777" w:rsidR="00103CFB" w:rsidRPr="004B4E82" w:rsidRDefault="00103CFB" w:rsidP="00103CFB">
            <w:pPr>
              <w:spacing w:after="0"/>
              <w:ind w:left="0"/>
              <w:rPr>
                <w:color w:val="000000"/>
              </w:rPr>
            </w:pPr>
            <w:r>
              <w:rPr>
                <w:color w:val="000000"/>
              </w:rPr>
              <w:t>Change of Contribution Rate</w:t>
            </w:r>
          </w:p>
        </w:tc>
      </w:tr>
      <w:tr w:rsidR="00103CFB" w:rsidRPr="00293F5E" w14:paraId="7CAC1CD9" w14:textId="77777777" w:rsidTr="00A26011">
        <w:trPr>
          <w:trHeight w:val="300"/>
        </w:trPr>
        <w:tc>
          <w:tcPr>
            <w:tcW w:w="684" w:type="dxa"/>
            <w:noWrap/>
            <w:vAlign w:val="bottom"/>
            <w:hideMark/>
          </w:tcPr>
          <w:p w14:paraId="6D0726AA" w14:textId="28090072" w:rsidR="00103CFB" w:rsidRPr="00293F5E" w:rsidRDefault="00103CFB" w:rsidP="00103CFB">
            <w:pPr>
              <w:spacing w:after="0"/>
              <w:ind w:left="0"/>
              <w:jc w:val="center"/>
              <w:rPr>
                <w:rFonts w:ascii="Calibri" w:hAnsi="Calibri" w:cs="Calibri"/>
                <w:color w:val="000000"/>
                <w:szCs w:val="22"/>
              </w:rPr>
            </w:pPr>
            <w:r>
              <w:rPr>
                <w:color w:val="000000"/>
                <w:szCs w:val="22"/>
              </w:rPr>
              <w:t>49</w:t>
            </w:r>
          </w:p>
        </w:tc>
        <w:tc>
          <w:tcPr>
            <w:tcW w:w="1677" w:type="dxa"/>
            <w:noWrap/>
            <w:vAlign w:val="bottom"/>
          </w:tcPr>
          <w:p w14:paraId="46633BF9"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68008ECE" w14:textId="77777777" w:rsidR="00103CFB" w:rsidRPr="004B4E82" w:rsidRDefault="00103CFB" w:rsidP="00103CFB">
            <w:pPr>
              <w:spacing w:after="0"/>
              <w:ind w:left="0"/>
              <w:rPr>
                <w:color w:val="000000"/>
              </w:rPr>
            </w:pPr>
            <w:r>
              <w:rPr>
                <w:color w:val="000000"/>
              </w:rPr>
              <w:t>TXDR0380</w:t>
            </w:r>
          </w:p>
        </w:tc>
        <w:tc>
          <w:tcPr>
            <w:tcW w:w="6963" w:type="dxa"/>
            <w:vAlign w:val="bottom"/>
          </w:tcPr>
          <w:p w14:paraId="78735C62" w14:textId="77777777" w:rsidR="00103CFB" w:rsidRPr="004B4E82" w:rsidRDefault="00103CFB" w:rsidP="00103CFB">
            <w:pPr>
              <w:spacing w:after="0"/>
              <w:ind w:left="0"/>
              <w:rPr>
                <w:color w:val="000000"/>
              </w:rPr>
            </w:pPr>
            <w:r>
              <w:rPr>
                <w:color w:val="000000"/>
              </w:rPr>
              <w:t>Status Error List</w:t>
            </w:r>
          </w:p>
        </w:tc>
      </w:tr>
      <w:tr w:rsidR="00103CFB" w:rsidRPr="00293F5E" w14:paraId="4EEC34DE" w14:textId="77777777" w:rsidTr="00A26011">
        <w:trPr>
          <w:trHeight w:val="315"/>
        </w:trPr>
        <w:tc>
          <w:tcPr>
            <w:tcW w:w="684" w:type="dxa"/>
            <w:noWrap/>
            <w:vAlign w:val="bottom"/>
            <w:hideMark/>
          </w:tcPr>
          <w:p w14:paraId="71DBBDC5" w14:textId="7711C9DB" w:rsidR="00103CFB" w:rsidRPr="00293F5E" w:rsidRDefault="00103CFB" w:rsidP="00103CFB">
            <w:pPr>
              <w:spacing w:after="0"/>
              <w:ind w:left="0"/>
              <w:jc w:val="center"/>
              <w:rPr>
                <w:rFonts w:ascii="Calibri" w:hAnsi="Calibri" w:cs="Calibri"/>
                <w:color w:val="000000"/>
                <w:szCs w:val="22"/>
              </w:rPr>
            </w:pPr>
            <w:r>
              <w:rPr>
                <w:szCs w:val="22"/>
              </w:rPr>
              <w:t>50</w:t>
            </w:r>
          </w:p>
        </w:tc>
        <w:tc>
          <w:tcPr>
            <w:tcW w:w="1677" w:type="dxa"/>
            <w:noWrap/>
            <w:vAlign w:val="bottom"/>
          </w:tcPr>
          <w:p w14:paraId="160C2209"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6A82634C" w14:textId="77777777" w:rsidR="00103CFB" w:rsidRPr="004B4E82" w:rsidRDefault="00103CFB" w:rsidP="00103CFB">
            <w:pPr>
              <w:spacing w:after="0"/>
              <w:ind w:left="0"/>
              <w:rPr>
                <w:color w:val="000000"/>
              </w:rPr>
            </w:pPr>
            <w:r>
              <w:rPr>
                <w:color w:val="000000"/>
              </w:rPr>
              <w:t>TXDR0390</w:t>
            </w:r>
          </w:p>
        </w:tc>
        <w:tc>
          <w:tcPr>
            <w:tcW w:w="6963" w:type="dxa"/>
            <w:vAlign w:val="bottom"/>
          </w:tcPr>
          <w:p w14:paraId="27284502" w14:textId="77777777" w:rsidR="00103CFB" w:rsidRPr="004B4E82" w:rsidRDefault="00103CFB" w:rsidP="00103CFB">
            <w:pPr>
              <w:spacing w:after="0"/>
              <w:ind w:left="0"/>
              <w:rPr>
                <w:color w:val="000000"/>
              </w:rPr>
            </w:pPr>
            <w:r>
              <w:rPr>
                <w:color w:val="000000"/>
              </w:rPr>
              <w:t>Daily Tax Rate Exception List</w:t>
            </w:r>
          </w:p>
        </w:tc>
      </w:tr>
      <w:tr w:rsidR="00103CFB" w:rsidRPr="00293F5E" w14:paraId="4E06799C" w14:textId="77777777" w:rsidTr="00A26011">
        <w:trPr>
          <w:trHeight w:val="315"/>
        </w:trPr>
        <w:tc>
          <w:tcPr>
            <w:tcW w:w="684" w:type="dxa"/>
            <w:noWrap/>
            <w:vAlign w:val="bottom"/>
          </w:tcPr>
          <w:p w14:paraId="56B50C01" w14:textId="5C61D1E6" w:rsidR="00103CFB" w:rsidRPr="00293F5E" w:rsidRDefault="00103CFB" w:rsidP="00103CFB">
            <w:pPr>
              <w:spacing w:after="0"/>
              <w:ind w:left="0"/>
              <w:jc w:val="center"/>
              <w:rPr>
                <w:rFonts w:ascii="Calibri" w:hAnsi="Calibri" w:cs="Calibri"/>
                <w:color w:val="000000"/>
                <w:szCs w:val="22"/>
              </w:rPr>
            </w:pPr>
            <w:r>
              <w:rPr>
                <w:color w:val="000000"/>
                <w:szCs w:val="22"/>
              </w:rPr>
              <w:t>51</w:t>
            </w:r>
          </w:p>
        </w:tc>
        <w:tc>
          <w:tcPr>
            <w:tcW w:w="1677" w:type="dxa"/>
            <w:noWrap/>
            <w:vAlign w:val="bottom"/>
          </w:tcPr>
          <w:p w14:paraId="7A9A56A8"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0DFB5223" w14:textId="77777777" w:rsidR="00103CFB" w:rsidRPr="004B4E82" w:rsidRDefault="00103CFB" w:rsidP="00103CFB">
            <w:pPr>
              <w:spacing w:after="0"/>
              <w:ind w:left="0"/>
              <w:rPr>
                <w:color w:val="000000"/>
              </w:rPr>
            </w:pPr>
            <w:r>
              <w:rPr>
                <w:color w:val="000000"/>
              </w:rPr>
              <w:t>TXDR0392</w:t>
            </w:r>
          </w:p>
        </w:tc>
        <w:tc>
          <w:tcPr>
            <w:tcW w:w="6963" w:type="dxa"/>
            <w:vAlign w:val="bottom"/>
          </w:tcPr>
          <w:p w14:paraId="7D8AB9CA" w14:textId="77777777" w:rsidR="00103CFB" w:rsidRPr="004B4E82" w:rsidRDefault="00103CFB" w:rsidP="00103CFB">
            <w:pPr>
              <w:spacing w:after="0"/>
              <w:ind w:left="0"/>
              <w:rPr>
                <w:color w:val="000000"/>
              </w:rPr>
            </w:pPr>
            <w:r>
              <w:rPr>
                <w:color w:val="000000"/>
              </w:rPr>
              <w:t>Collection Restricted Rate Changes</w:t>
            </w:r>
          </w:p>
        </w:tc>
      </w:tr>
      <w:tr w:rsidR="00103CFB" w:rsidRPr="00293F5E" w14:paraId="2365E2D4" w14:textId="77777777" w:rsidTr="00A26011">
        <w:trPr>
          <w:trHeight w:val="315"/>
        </w:trPr>
        <w:tc>
          <w:tcPr>
            <w:tcW w:w="684" w:type="dxa"/>
            <w:noWrap/>
            <w:vAlign w:val="bottom"/>
          </w:tcPr>
          <w:p w14:paraId="69743FFE" w14:textId="2FDFAC2A" w:rsidR="00103CFB" w:rsidRDefault="00103CFB" w:rsidP="00103CFB">
            <w:pPr>
              <w:spacing w:after="0"/>
              <w:ind w:left="0"/>
              <w:jc w:val="center"/>
              <w:rPr>
                <w:rFonts w:ascii="Calibri" w:hAnsi="Calibri" w:cs="Calibri"/>
                <w:color w:val="000000"/>
                <w:szCs w:val="22"/>
              </w:rPr>
            </w:pPr>
            <w:r>
              <w:rPr>
                <w:szCs w:val="22"/>
              </w:rPr>
              <w:t>52</w:t>
            </w:r>
          </w:p>
        </w:tc>
        <w:tc>
          <w:tcPr>
            <w:tcW w:w="1677" w:type="dxa"/>
            <w:noWrap/>
            <w:vAlign w:val="bottom"/>
          </w:tcPr>
          <w:p w14:paraId="2BC7E9D0" w14:textId="77777777" w:rsidR="00103CFB"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2F6191AD" w14:textId="77777777" w:rsidR="00103CFB" w:rsidRPr="004B4E82" w:rsidRDefault="00103CFB" w:rsidP="00103CFB">
            <w:pPr>
              <w:spacing w:after="0"/>
              <w:ind w:left="0"/>
              <w:rPr>
                <w:color w:val="000000"/>
              </w:rPr>
            </w:pPr>
            <w:r>
              <w:rPr>
                <w:color w:val="000000"/>
              </w:rPr>
              <w:t>TXDR0393</w:t>
            </w:r>
          </w:p>
        </w:tc>
        <w:tc>
          <w:tcPr>
            <w:tcW w:w="6963" w:type="dxa"/>
            <w:vAlign w:val="bottom"/>
          </w:tcPr>
          <w:p w14:paraId="4D1E6DC4" w14:textId="77777777" w:rsidR="00103CFB" w:rsidRPr="004B4E82" w:rsidRDefault="00103CFB" w:rsidP="00103CFB">
            <w:pPr>
              <w:spacing w:after="0"/>
              <w:ind w:left="0"/>
              <w:rPr>
                <w:color w:val="000000"/>
              </w:rPr>
            </w:pPr>
            <w:r>
              <w:rPr>
                <w:color w:val="000000"/>
              </w:rPr>
              <w:t>HB 3250 Daily Tax Rate Exception List</w:t>
            </w:r>
          </w:p>
        </w:tc>
      </w:tr>
      <w:tr w:rsidR="00103CFB" w:rsidRPr="00293F5E" w14:paraId="50D4083B" w14:textId="77777777" w:rsidTr="00A26011">
        <w:trPr>
          <w:trHeight w:val="315"/>
        </w:trPr>
        <w:tc>
          <w:tcPr>
            <w:tcW w:w="684" w:type="dxa"/>
            <w:noWrap/>
            <w:vAlign w:val="bottom"/>
          </w:tcPr>
          <w:p w14:paraId="16BBA4B4" w14:textId="555C4AE8" w:rsidR="00103CFB" w:rsidRDefault="00103CFB" w:rsidP="00103CFB">
            <w:pPr>
              <w:spacing w:after="0"/>
              <w:ind w:left="0"/>
              <w:jc w:val="center"/>
              <w:rPr>
                <w:rFonts w:ascii="Calibri" w:hAnsi="Calibri" w:cs="Calibri"/>
                <w:color w:val="000000"/>
                <w:szCs w:val="22"/>
              </w:rPr>
            </w:pPr>
            <w:r>
              <w:rPr>
                <w:color w:val="000000"/>
                <w:szCs w:val="22"/>
              </w:rPr>
              <w:t>53</w:t>
            </w:r>
          </w:p>
        </w:tc>
        <w:tc>
          <w:tcPr>
            <w:tcW w:w="1677" w:type="dxa"/>
            <w:noWrap/>
            <w:vAlign w:val="bottom"/>
          </w:tcPr>
          <w:p w14:paraId="37AA3E05" w14:textId="77777777" w:rsidR="00103CFB"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191A1B3D" w14:textId="77777777" w:rsidR="00103CFB" w:rsidRPr="004B4E82" w:rsidRDefault="00103CFB" w:rsidP="00103CFB">
            <w:pPr>
              <w:spacing w:after="0"/>
              <w:ind w:left="0"/>
              <w:rPr>
                <w:color w:val="000000"/>
              </w:rPr>
            </w:pPr>
            <w:r>
              <w:rPr>
                <w:color w:val="000000"/>
              </w:rPr>
              <w:t>TXDR0394</w:t>
            </w:r>
          </w:p>
        </w:tc>
        <w:tc>
          <w:tcPr>
            <w:tcW w:w="6963" w:type="dxa"/>
            <w:vAlign w:val="bottom"/>
          </w:tcPr>
          <w:p w14:paraId="1993A956" w14:textId="77777777" w:rsidR="00103CFB" w:rsidRPr="004B4E82" w:rsidRDefault="00103CFB" w:rsidP="00103CFB">
            <w:pPr>
              <w:spacing w:after="0"/>
              <w:ind w:left="0"/>
              <w:rPr>
                <w:color w:val="000000"/>
              </w:rPr>
            </w:pPr>
            <w:r>
              <w:rPr>
                <w:color w:val="000000"/>
              </w:rPr>
              <w:t>HB 3250 Daily Tax Rate Exception List (Master)</w:t>
            </w:r>
          </w:p>
        </w:tc>
      </w:tr>
      <w:tr w:rsidR="00103CFB" w:rsidRPr="00293F5E" w14:paraId="683CC3B9" w14:textId="77777777" w:rsidTr="00A26011">
        <w:trPr>
          <w:trHeight w:val="315"/>
        </w:trPr>
        <w:tc>
          <w:tcPr>
            <w:tcW w:w="684" w:type="dxa"/>
            <w:noWrap/>
            <w:vAlign w:val="bottom"/>
          </w:tcPr>
          <w:p w14:paraId="714C9DEA" w14:textId="6E81CD8C" w:rsidR="00103CFB" w:rsidRDefault="00103CFB" w:rsidP="00103CFB">
            <w:pPr>
              <w:spacing w:after="0"/>
              <w:ind w:left="0"/>
              <w:jc w:val="center"/>
              <w:rPr>
                <w:rFonts w:ascii="Calibri" w:hAnsi="Calibri" w:cs="Calibri"/>
                <w:color w:val="000000"/>
                <w:szCs w:val="22"/>
              </w:rPr>
            </w:pPr>
            <w:r>
              <w:rPr>
                <w:szCs w:val="22"/>
              </w:rPr>
              <w:t>54</w:t>
            </w:r>
          </w:p>
        </w:tc>
        <w:tc>
          <w:tcPr>
            <w:tcW w:w="1677" w:type="dxa"/>
            <w:noWrap/>
            <w:vAlign w:val="bottom"/>
          </w:tcPr>
          <w:p w14:paraId="23531C16" w14:textId="77777777" w:rsidR="00103CFB"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4669380E" w14:textId="77777777" w:rsidR="00103CFB" w:rsidRPr="004B4E82" w:rsidRDefault="00103CFB" w:rsidP="00103CFB">
            <w:pPr>
              <w:spacing w:after="0"/>
              <w:ind w:left="0"/>
              <w:rPr>
                <w:color w:val="000000"/>
              </w:rPr>
            </w:pPr>
            <w:r>
              <w:rPr>
                <w:color w:val="000000"/>
              </w:rPr>
              <w:t>TXDR0394</w:t>
            </w:r>
          </w:p>
        </w:tc>
        <w:tc>
          <w:tcPr>
            <w:tcW w:w="6963" w:type="dxa"/>
            <w:vAlign w:val="bottom"/>
          </w:tcPr>
          <w:p w14:paraId="4D98568A" w14:textId="77777777" w:rsidR="00103CFB" w:rsidRPr="004B4E82" w:rsidRDefault="00103CFB" w:rsidP="00103CFB">
            <w:pPr>
              <w:spacing w:after="0"/>
              <w:ind w:left="0"/>
              <w:rPr>
                <w:color w:val="000000"/>
              </w:rPr>
            </w:pPr>
            <w:r>
              <w:rPr>
                <w:color w:val="000000"/>
              </w:rPr>
              <w:t>HB 3250 Rate Activity List (Master)</w:t>
            </w:r>
          </w:p>
        </w:tc>
      </w:tr>
      <w:tr w:rsidR="00103CFB" w:rsidRPr="00293F5E" w14:paraId="398AAB39" w14:textId="77777777" w:rsidTr="00A26011">
        <w:trPr>
          <w:trHeight w:val="315"/>
        </w:trPr>
        <w:tc>
          <w:tcPr>
            <w:tcW w:w="684" w:type="dxa"/>
            <w:noWrap/>
            <w:vAlign w:val="bottom"/>
          </w:tcPr>
          <w:p w14:paraId="7E2D7701" w14:textId="0AB3352B" w:rsidR="00103CFB" w:rsidRDefault="00103CFB" w:rsidP="00103CFB">
            <w:pPr>
              <w:spacing w:after="0"/>
              <w:ind w:left="0"/>
              <w:jc w:val="center"/>
              <w:rPr>
                <w:rFonts w:ascii="Calibri" w:hAnsi="Calibri" w:cs="Calibri"/>
                <w:color w:val="000000"/>
                <w:szCs w:val="22"/>
              </w:rPr>
            </w:pPr>
            <w:r>
              <w:rPr>
                <w:color w:val="000000"/>
                <w:szCs w:val="22"/>
              </w:rPr>
              <w:t>55</w:t>
            </w:r>
          </w:p>
        </w:tc>
        <w:tc>
          <w:tcPr>
            <w:tcW w:w="1677" w:type="dxa"/>
            <w:noWrap/>
            <w:vAlign w:val="bottom"/>
          </w:tcPr>
          <w:p w14:paraId="313B69A9" w14:textId="77777777" w:rsidR="00103CFB"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4F513B74" w14:textId="77777777" w:rsidR="00103CFB" w:rsidRPr="004B4E82" w:rsidRDefault="00103CFB" w:rsidP="00103CFB">
            <w:pPr>
              <w:spacing w:after="0"/>
              <w:ind w:left="0"/>
              <w:rPr>
                <w:color w:val="000000"/>
              </w:rPr>
            </w:pPr>
            <w:r>
              <w:rPr>
                <w:color w:val="000000"/>
              </w:rPr>
              <w:t>TXDS0062</w:t>
            </w:r>
          </w:p>
        </w:tc>
        <w:tc>
          <w:tcPr>
            <w:tcW w:w="6963" w:type="dxa"/>
            <w:vAlign w:val="bottom"/>
          </w:tcPr>
          <w:p w14:paraId="7A62C0C8" w14:textId="77777777" w:rsidR="00103CFB" w:rsidRPr="004B4E82" w:rsidRDefault="00103CFB" w:rsidP="00103CFB">
            <w:pPr>
              <w:spacing w:after="0"/>
              <w:ind w:left="0"/>
              <w:rPr>
                <w:color w:val="000000"/>
              </w:rPr>
            </w:pPr>
            <w:r>
              <w:rPr>
                <w:color w:val="000000"/>
              </w:rPr>
              <w:t>Problem Predecessor/Successor Accounts</w:t>
            </w:r>
          </w:p>
        </w:tc>
      </w:tr>
      <w:tr w:rsidR="00103CFB" w:rsidRPr="00293F5E" w14:paraId="11FFEF14" w14:textId="77777777" w:rsidTr="00A26011">
        <w:trPr>
          <w:trHeight w:val="315"/>
        </w:trPr>
        <w:tc>
          <w:tcPr>
            <w:tcW w:w="684" w:type="dxa"/>
            <w:noWrap/>
            <w:vAlign w:val="bottom"/>
          </w:tcPr>
          <w:p w14:paraId="17D77935" w14:textId="0ADF61A9" w:rsidR="00103CFB" w:rsidRDefault="00103CFB" w:rsidP="00103CFB">
            <w:pPr>
              <w:spacing w:after="0"/>
              <w:ind w:left="0"/>
              <w:jc w:val="center"/>
              <w:rPr>
                <w:rFonts w:ascii="Calibri" w:hAnsi="Calibri" w:cs="Calibri"/>
                <w:color w:val="000000"/>
                <w:szCs w:val="22"/>
              </w:rPr>
            </w:pPr>
            <w:r>
              <w:rPr>
                <w:szCs w:val="22"/>
              </w:rPr>
              <w:t>56</w:t>
            </w:r>
          </w:p>
        </w:tc>
        <w:tc>
          <w:tcPr>
            <w:tcW w:w="1677" w:type="dxa"/>
            <w:noWrap/>
            <w:vAlign w:val="bottom"/>
          </w:tcPr>
          <w:p w14:paraId="4051B561" w14:textId="77777777" w:rsidR="00103CFB"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19A81CE3" w14:textId="77777777" w:rsidR="00103CFB" w:rsidRPr="004B4E82" w:rsidRDefault="00103CFB" w:rsidP="00103CFB">
            <w:pPr>
              <w:spacing w:after="0"/>
              <w:ind w:left="0"/>
              <w:rPr>
                <w:color w:val="000000"/>
              </w:rPr>
            </w:pPr>
            <w:r>
              <w:rPr>
                <w:color w:val="000000"/>
              </w:rPr>
              <w:t>TXDS0070</w:t>
            </w:r>
          </w:p>
        </w:tc>
        <w:tc>
          <w:tcPr>
            <w:tcW w:w="6963" w:type="dxa"/>
            <w:vAlign w:val="bottom"/>
          </w:tcPr>
          <w:p w14:paraId="6168F15A" w14:textId="77777777" w:rsidR="00103CFB" w:rsidRPr="004B4E82" w:rsidRDefault="00103CFB" w:rsidP="00103CFB">
            <w:pPr>
              <w:spacing w:after="0"/>
              <w:ind w:left="0"/>
              <w:rPr>
                <w:color w:val="000000"/>
              </w:rPr>
            </w:pPr>
            <w:r>
              <w:rPr>
                <w:color w:val="000000"/>
              </w:rPr>
              <w:t>Reopened Accounts</w:t>
            </w:r>
          </w:p>
        </w:tc>
      </w:tr>
      <w:tr w:rsidR="00103CFB" w:rsidRPr="00293F5E" w14:paraId="6FFC766D" w14:textId="77777777" w:rsidTr="00A26011">
        <w:trPr>
          <w:trHeight w:val="315"/>
        </w:trPr>
        <w:tc>
          <w:tcPr>
            <w:tcW w:w="684" w:type="dxa"/>
            <w:noWrap/>
            <w:vAlign w:val="bottom"/>
          </w:tcPr>
          <w:p w14:paraId="22837C87" w14:textId="6ED73FB5" w:rsidR="00103CFB" w:rsidRDefault="00103CFB" w:rsidP="00103CFB">
            <w:pPr>
              <w:spacing w:after="0"/>
              <w:ind w:left="0"/>
              <w:jc w:val="center"/>
              <w:rPr>
                <w:rFonts w:ascii="Calibri" w:hAnsi="Calibri" w:cs="Calibri"/>
                <w:color w:val="000000"/>
                <w:szCs w:val="22"/>
              </w:rPr>
            </w:pPr>
            <w:r>
              <w:rPr>
                <w:color w:val="000000"/>
                <w:szCs w:val="22"/>
              </w:rPr>
              <w:t>57</w:t>
            </w:r>
          </w:p>
        </w:tc>
        <w:tc>
          <w:tcPr>
            <w:tcW w:w="1677" w:type="dxa"/>
            <w:noWrap/>
            <w:vAlign w:val="bottom"/>
          </w:tcPr>
          <w:p w14:paraId="294D0B9B" w14:textId="77777777" w:rsidR="00103CFB"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0BC2F481" w14:textId="77777777" w:rsidR="00103CFB" w:rsidRPr="004B4E82" w:rsidRDefault="00103CFB" w:rsidP="00103CFB">
            <w:pPr>
              <w:spacing w:after="0"/>
              <w:ind w:left="0"/>
              <w:rPr>
                <w:color w:val="000000"/>
              </w:rPr>
            </w:pPr>
            <w:r>
              <w:rPr>
                <w:color w:val="000000"/>
              </w:rPr>
              <w:t>TXDS0070</w:t>
            </w:r>
          </w:p>
        </w:tc>
        <w:tc>
          <w:tcPr>
            <w:tcW w:w="6963" w:type="dxa"/>
            <w:vAlign w:val="bottom"/>
          </w:tcPr>
          <w:p w14:paraId="512ABF5F" w14:textId="77777777" w:rsidR="00103CFB" w:rsidRPr="004B4E82" w:rsidRDefault="00103CFB" w:rsidP="00103CFB">
            <w:pPr>
              <w:spacing w:after="0"/>
              <w:ind w:left="0"/>
              <w:rPr>
                <w:color w:val="000000"/>
              </w:rPr>
            </w:pPr>
            <w:r>
              <w:rPr>
                <w:color w:val="000000"/>
              </w:rPr>
              <w:t>Run to Run Controls for Political Subdivisions</w:t>
            </w:r>
          </w:p>
        </w:tc>
      </w:tr>
      <w:tr w:rsidR="00103CFB" w:rsidRPr="00293F5E" w14:paraId="441A842E" w14:textId="77777777" w:rsidTr="00A26011">
        <w:trPr>
          <w:trHeight w:val="315"/>
        </w:trPr>
        <w:tc>
          <w:tcPr>
            <w:tcW w:w="684" w:type="dxa"/>
            <w:noWrap/>
            <w:vAlign w:val="bottom"/>
          </w:tcPr>
          <w:p w14:paraId="43582869" w14:textId="5EC2A419" w:rsidR="00103CFB" w:rsidRDefault="00103CFB" w:rsidP="00103CFB">
            <w:pPr>
              <w:spacing w:after="0"/>
              <w:ind w:left="0"/>
              <w:jc w:val="center"/>
              <w:rPr>
                <w:rFonts w:ascii="Calibri" w:hAnsi="Calibri" w:cs="Calibri"/>
                <w:color w:val="000000"/>
                <w:szCs w:val="22"/>
              </w:rPr>
            </w:pPr>
            <w:r>
              <w:rPr>
                <w:szCs w:val="22"/>
              </w:rPr>
              <w:t>58</w:t>
            </w:r>
          </w:p>
        </w:tc>
        <w:tc>
          <w:tcPr>
            <w:tcW w:w="1677" w:type="dxa"/>
            <w:noWrap/>
            <w:vAlign w:val="bottom"/>
          </w:tcPr>
          <w:p w14:paraId="281324E1" w14:textId="77777777" w:rsidR="00103CFB"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017A9253" w14:textId="77777777" w:rsidR="00103CFB" w:rsidRPr="004B4E82" w:rsidRDefault="00103CFB" w:rsidP="00103CFB">
            <w:pPr>
              <w:spacing w:after="0"/>
              <w:ind w:left="0"/>
              <w:rPr>
                <w:color w:val="000000"/>
              </w:rPr>
            </w:pPr>
            <w:r>
              <w:rPr>
                <w:color w:val="000000"/>
              </w:rPr>
              <w:t>TXDS0071</w:t>
            </w:r>
          </w:p>
        </w:tc>
        <w:tc>
          <w:tcPr>
            <w:tcW w:w="6963" w:type="dxa"/>
            <w:vAlign w:val="bottom"/>
          </w:tcPr>
          <w:p w14:paraId="564C31AC" w14:textId="77777777" w:rsidR="00103CFB" w:rsidRPr="004B4E82" w:rsidRDefault="00103CFB" w:rsidP="00103CFB">
            <w:pPr>
              <w:spacing w:after="0"/>
              <w:ind w:left="0"/>
              <w:rPr>
                <w:color w:val="000000"/>
              </w:rPr>
            </w:pPr>
            <w:r>
              <w:rPr>
                <w:color w:val="000000"/>
              </w:rPr>
              <w:t>Accounts Changing to Liable</w:t>
            </w:r>
          </w:p>
        </w:tc>
      </w:tr>
      <w:tr w:rsidR="00103CFB" w:rsidRPr="00293F5E" w14:paraId="6B7C8CC3" w14:textId="77777777" w:rsidTr="00A26011">
        <w:trPr>
          <w:trHeight w:val="116"/>
        </w:trPr>
        <w:tc>
          <w:tcPr>
            <w:tcW w:w="684" w:type="dxa"/>
            <w:noWrap/>
            <w:vAlign w:val="bottom"/>
          </w:tcPr>
          <w:p w14:paraId="484D9ED8" w14:textId="5DA84027" w:rsidR="00103CFB" w:rsidRDefault="00103CFB" w:rsidP="00103CFB">
            <w:pPr>
              <w:spacing w:after="0"/>
              <w:ind w:left="0"/>
              <w:jc w:val="center"/>
              <w:rPr>
                <w:rFonts w:ascii="Calibri" w:hAnsi="Calibri" w:cs="Calibri"/>
                <w:color w:val="000000"/>
                <w:szCs w:val="22"/>
              </w:rPr>
            </w:pPr>
            <w:r>
              <w:rPr>
                <w:color w:val="000000"/>
                <w:szCs w:val="22"/>
              </w:rPr>
              <w:t>59</w:t>
            </w:r>
          </w:p>
        </w:tc>
        <w:tc>
          <w:tcPr>
            <w:tcW w:w="1677" w:type="dxa"/>
            <w:noWrap/>
            <w:vAlign w:val="bottom"/>
          </w:tcPr>
          <w:p w14:paraId="64D39EE8" w14:textId="77777777" w:rsidR="00103CFB"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25840D57" w14:textId="77777777" w:rsidR="00103CFB" w:rsidRPr="004B4E82" w:rsidRDefault="00103CFB" w:rsidP="00103CFB">
            <w:pPr>
              <w:spacing w:after="0"/>
              <w:ind w:left="0"/>
              <w:rPr>
                <w:color w:val="000000"/>
              </w:rPr>
            </w:pPr>
            <w:r>
              <w:rPr>
                <w:color w:val="000000"/>
              </w:rPr>
              <w:t>TXDS0071</w:t>
            </w:r>
          </w:p>
        </w:tc>
        <w:tc>
          <w:tcPr>
            <w:tcW w:w="6963" w:type="dxa"/>
            <w:vAlign w:val="bottom"/>
          </w:tcPr>
          <w:p w14:paraId="56007B07" w14:textId="77777777" w:rsidR="00103CFB" w:rsidRPr="004B4E82" w:rsidRDefault="00103CFB" w:rsidP="00103CFB">
            <w:pPr>
              <w:spacing w:after="0"/>
              <w:ind w:left="0"/>
              <w:rPr>
                <w:color w:val="000000"/>
              </w:rPr>
            </w:pPr>
            <w:r>
              <w:rPr>
                <w:color w:val="000000"/>
              </w:rPr>
              <w:t>Accounts with Possible FCQ Errors</w:t>
            </w:r>
          </w:p>
        </w:tc>
      </w:tr>
      <w:tr w:rsidR="00103CFB" w:rsidRPr="00293F5E" w14:paraId="455E7AB2" w14:textId="77777777" w:rsidTr="00A26011">
        <w:trPr>
          <w:trHeight w:val="315"/>
        </w:trPr>
        <w:tc>
          <w:tcPr>
            <w:tcW w:w="684" w:type="dxa"/>
            <w:noWrap/>
            <w:vAlign w:val="bottom"/>
          </w:tcPr>
          <w:p w14:paraId="24311126" w14:textId="3B529DB9" w:rsidR="00103CFB" w:rsidRDefault="00103CFB" w:rsidP="00103CFB">
            <w:pPr>
              <w:spacing w:after="0"/>
              <w:ind w:left="0"/>
              <w:jc w:val="center"/>
              <w:rPr>
                <w:rFonts w:ascii="Calibri" w:hAnsi="Calibri" w:cs="Calibri"/>
                <w:color w:val="000000"/>
                <w:szCs w:val="22"/>
              </w:rPr>
            </w:pPr>
            <w:r>
              <w:rPr>
                <w:szCs w:val="22"/>
              </w:rPr>
              <w:t>60</w:t>
            </w:r>
          </w:p>
        </w:tc>
        <w:tc>
          <w:tcPr>
            <w:tcW w:w="1677" w:type="dxa"/>
            <w:noWrap/>
            <w:vAlign w:val="bottom"/>
          </w:tcPr>
          <w:p w14:paraId="096B9F79" w14:textId="77777777" w:rsidR="00103CFB"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00D18F12" w14:textId="77777777" w:rsidR="00103CFB" w:rsidRPr="004B4E82" w:rsidRDefault="00103CFB" w:rsidP="00103CFB">
            <w:pPr>
              <w:spacing w:after="0"/>
              <w:ind w:left="0"/>
              <w:rPr>
                <w:color w:val="000000"/>
              </w:rPr>
            </w:pPr>
            <w:r>
              <w:rPr>
                <w:color w:val="000000"/>
              </w:rPr>
              <w:t>TXDS0071</w:t>
            </w:r>
          </w:p>
        </w:tc>
        <w:tc>
          <w:tcPr>
            <w:tcW w:w="6963" w:type="dxa"/>
            <w:vAlign w:val="bottom"/>
          </w:tcPr>
          <w:p w14:paraId="026A5C2A" w14:textId="366378D0" w:rsidR="00103CFB" w:rsidRPr="004B4E82" w:rsidRDefault="00103CFB" w:rsidP="00103CFB">
            <w:pPr>
              <w:spacing w:after="0"/>
              <w:ind w:left="0"/>
              <w:rPr>
                <w:color w:val="000000"/>
              </w:rPr>
            </w:pPr>
            <w:r>
              <w:rPr>
                <w:color w:val="000000"/>
              </w:rPr>
              <w:t xml:space="preserve">DB2 </w:t>
            </w:r>
            <w:r w:rsidR="0098693C">
              <w:rPr>
                <w:color w:val="000000"/>
              </w:rPr>
              <w:t>System Output</w:t>
            </w:r>
            <w:r>
              <w:rPr>
                <w:color w:val="000000"/>
              </w:rPr>
              <w:t xml:space="preserve"> Messages</w:t>
            </w:r>
          </w:p>
        </w:tc>
      </w:tr>
      <w:tr w:rsidR="00103CFB" w:rsidRPr="00293F5E" w14:paraId="37979D1E" w14:textId="77777777" w:rsidTr="00A26011">
        <w:trPr>
          <w:trHeight w:val="315"/>
        </w:trPr>
        <w:tc>
          <w:tcPr>
            <w:tcW w:w="684" w:type="dxa"/>
            <w:noWrap/>
            <w:vAlign w:val="bottom"/>
          </w:tcPr>
          <w:p w14:paraId="5495CFEC" w14:textId="30BDE88E" w:rsidR="00103CFB" w:rsidRDefault="00103CFB" w:rsidP="00103CFB">
            <w:pPr>
              <w:spacing w:after="0"/>
              <w:ind w:left="0"/>
              <w:jc w:val="center"/>
              <w:rPr>
                <w:rFonts w:ascii="Calibri" w:hAnsi="Calibri" w:cs="Calibri"/>
                <w:color w:val="000000"/>
                <w:szCs w:val="22"/>
              </w:rPr>
            </w:pPr>
            <w:r>
              <w:rPr>
                <w:color w:val="000000"/>
                <w:szCs w:val="22"/>
              </w:rPr>
              <w:t>61</w:t>
            </w:r>
          </w:p>
        </w:tc>
        <w:tc>
          <w:tcPr>
            <w:tcW w:w="1677" w:type="dxa"/>
            <w:noWrap/>
            <w:vAlign w:val="bottom"/>
          </w:tcPr>
          <w:p w14:paraId="12566661" w14:textId="77777777" w:rsidR="00103CFB"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17A26252" w14:textId="77777777" w:rsidR="00103CFB" w:rsidRDefault="00103CFB" w:rsidP="00103CFB">
            <w:pPr>
              <w:spacing w:after="0"/>
              <w:ind w:left="0"/>
              <w:rPr>
                <w:rFonts w:ascii="Calibri" w:hAnsi="Calibri" w:cs="Calibri"/>
                <w:color w:val="000000"/>
                <w:szCs w:val="24"/>
              </w:rPr>
            </w:pPr>
            <w:r>
              <w:rPr>
                <w:color w:val="000000"/>
              </w:rPr>
              <w:t>TXDS0071</w:t>
            </w:r>
          </w:p>
        </w:tc>
        <w:tc>
          <w:tcPr>
            <w:tcW w:w="6963" w:type="dxa"/>
            <w:vAlign w:val="bottom"/>
          </w:tcPr>
          <w:p w14:paraId="4BA2976A" w14:textId="77777777" w:rsidR="00103CFB" w:rsidRPr="00293F5E" w:rsidRDefault="00103CFB" w:rsidP="00103CFB">
            <w:pPr>
              <w:spacing w:after="0"/>
              <w:ind w:left="0"/>
              <w:rPr>
                <w:rFonts w:ascii="Calibri" w:hAnsi="Calibri" w:cs="Calibri"/>
                <w:color w:val="000000"/>
                <w:szCs w:val="22"/>
              </w:rPr>
            </w:pPr>
            <w:r>
              <w:rPr>
                <w:color w:val="000000"/>
              </w:rPr>
              <w:t>New Non-Profit Organizations</w:t>
            </w:r>
          </w:p>
        </w:tc>
      </w:tr>
      <w:tr w:rsidR="00103CFB" w:rsidRPr="00293F5E" w14:paraId="66188E31" w14:textId="77777777" w:rsidTr="00A26011">
        <w:trPr>
          <w:trHeight w:val="315"/>
        </w:trPr>
        <w:tc>
          <w:tcPr>
            <w:tcW w:w="684" w:type="dxa"/>
            <w:noWrap/>
            <w:vAlign w:val="bottom"/>
          </w:tcPr>
          <w:p w14:paraId="4E73590C" w14:textId="150677BA" w:rsidR="00103CFB" w:rsidRDefault="00103CFB" w:rsidP="00103CFB">
            <w:pPr>
              <w:spacing w:after="0"/>
              <w:ind w:left="0"/>
              <w:jc w:val="center"/>
              <w:rPr>
                <w:rFonts w:ascii="Calibri" w:hAnsi="Calibri" w:cs="Calibri"/>
                <w:color w:val="000000"/>
                <w:szCs w:val="22"/>
              </w:rPr>
            </w:pPr>
            <w:r>
              <w:rPr>
                <w:szCs w:val="22"/>
              </w:rPr>
              <w:lastRenderedPageBreak/>
              <w:t>62</w:t>
            </w:r>
          </w:p>
        </w:tc>
        <w:tc>
          <w:tcPr>
            <w:tcW w:w="1677" w:type="dxa"/>
            <w:noWrap/>
            <w:vAlign w:val="bottom"/>
          </w:tcPr>
          <w:p w14:paraId="3A2BF056" w14:textId="77777777" w:rsidR="00103CFB"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42AFD7F4" w14:textId="77777777" w:rsidR="00103CFB" w:rsidRPr="004B4E82" w:rsidRDefault="00103CFB" w:rsidP="00103CFB">
            <w:pPr>
              <w:spacing w:after="0"/>
              <w:ind w:left="0"/>
              <w:rPr>
                <w:color w:val="000000"/>
              </w:rPr>
            </w:pPr>
            <w:r>
              <w:rPr>
                <w:color w:val="000000"/>
              </w:rPr>
              <w:t>TXDS0071</w:t>
            </w:r>
          </w:p>
        </w:tc>
        <w:tc>
          <w:tcPr>
            <w:tcW w:w="6963" w:type="dxa"/>
            <w:vAlign w:val="bottom"/>
          </w:tcPr>
          <w:p w14:paraId="6EFC74C5" w14:textId="77777777" w:rsidR="00103CFB" w:rsidRPr="004B4E82" w:rsidRDefault="00103CFB" w:rsidP="00103CFB">
            <w:pPr>
              <w:spacing w:after="0"/>
              <w:ind w:left="0"/>
              <w:rPr>
                <w:color w:val="000000"/>
              </w:rPr>
            </w:pPr>
            <w:r>
              <w:rPr>
                <w:color w:val="000000"/>
              </w:rPr>
              <w:t>No Rerate Transaction for EID</w:t>
            </w:r>
          </w:p>
        </w:tc>
      </w:tr>
      <w:tr w:rsidR="00103CFB" w:rsidRPr="00293F5E" w14:paraId="5B64762E" w14:textId="77777777" w:rsidTr="00A26011">
        <w:trPr>
          <w:trHeight w:val="315"/>
        </w:trPr>
        <w:tc>
          <w:tcPr>
            <w:tcW w:w="684" w:type="dxa"/>
            <w:noWrap/>
            <w:vAlign w:val="bottom"/>
          </w:tcPr>
          <w:p w14:paraId="5713EBE7" w14:textId="10053A1B" w:rsidR="00103CFB" w:rsidRDefault="00103CFB" w:rsidP="00103CFB">
            <w:pPr>
              <w:spacing w:after="0"/>
              <w:ind w:left="0"/>
              <w:jc w:val="center"/>
              <w:rPr>
                <w:rFonts w:ascii="Calibri" w:hAnsi="Calibri" w:cs="Calibri"/>
                <w:color w:val="000000"/>
                <w:szCs w:val="22"/>
              </w:rPr>
            </w:pPr>
            <w:r>
              <w:rPr>
                <w:color w:val="000000"/>
                <w:szCs w:val="22"/>
              </w:rPr>
              <w:t>63</w:t>
            </w:r>
          </w:p>
        </w:tc>
        <w:tc>
          <w:tcPr>
            <w:tcW w:w="1677" w:type="dxa"/>
            <w:noWrap/>
            <w:vAlign w:val="bottom"/>
          </w:tcPr>
          <w:p w14:paraId="324DF1A8" w14:textId="77777777" w:rsidR="00103CFB"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733C93B8" w14:textId="77777777" w:rsidR="00103CFB" w:rsidRDefault="00103CFB" w:rsidP="00103CFB">
            <w:pPr>
              <w:spacing w:after="0"/>
              <w:ind w:left="0"/>
              <w:rPr>
                <w:rFonts w:ascii="Calibri" w:hAnsi="Calibri" w:cs="Calibri"/>
                <w:color w:val="000000"/>
                <w:szCs w:val="24"/>
              </w:rPr>
            </w:pPr>
            <w:r>
              <w:rPr>
                <w:color w:val="000000"/>
              </w:rPr>
              <w:t>TXDS0072</w:t>
            </w:r>
          </w:p>
        </w:tc>
        <w:tc>
          <w:tcPr>
            <w:tcW w:w="6963" w:type="dxa"/>
            <w:vAlign w:val="bottom"/>
          </w:tcPr>
          <w:p w14:paraId="75FBE3F0" w14:textId="77777777" w:rsidR="00103CFB" w:rsidRPr="00293F5E" w:rsidRDefault="00103CFB" w:rsidP="00103CFB">
            <w:pPr>
              <w:spacing w:after="0"/>
              <w:ind w:left="0"/>
              <w:rPr>
                <w:rFonts w:ascii="Calibri" w:hAnsi="Calibri" w:cs="Calibri"/>
                <w:color w:val="000000"/>
                <w:szCs w:val="22"/>
              </w:rPr>
            </w:pPr>
            <w:r>
              <w:rPr>
                <w:color w:val="000000"/>
              </w:rPr>
              <w:t>Accounts with Changes to 1st Wages Date Only</w:t>
            </w:r>
          </w:p>
        </w:tc>
      </w:tr>
      <w:tr w:rsidR="00103CFB" w:rsidRPr="00293F5E" w14:paraId="168B9D39" w14:textId="77777777" w:rsidTr="00A26011">
        <w:trPr>
          <w:trHeight w:val="300"/>
        </w:trPr>
        <w:tc>
          <w:tcPr>
            <w:tcW w:w="684" w:type="dxa"/>
            <w:noWrap/>
            <w:vAlign w:val="bottom"/>
            <w:hideMark/>
          </w:tcPr>
          <w:p w14:paraId="3816B6A0" w14:textId="21A34892" w:rsidR="00103CFB" w:rsidRPr="00293F5E" w:rsidRDefault="00103CFB" w:rsidP="00103CFB">
            <w:pPr>
              <w:spacing w:after="0"/>
              <w:ind w:left="0"/>
              <w:jc w:val="center"/>
              <w:rPr>
                <w:rFonts w:ascii="Calibri" w:hAnsi="Calibri" w:cs="Calibri"/>
                <w:color w:val="000000"/>
                <w:szCs w:val="22"/>
              </w:rPr>
            </w:pPr>
            <w:r>
              <w:rPr>
                <w:szCs w:val="22"/>
              </w:rPr>
              <w:t>64</w:t>
            </w:r>
          </w:p>
        </w:tc>
        <w:tc>
          <w:tcPr>
            <w:tcW w:w="1677" w:type="dxa"/>
            <w:noWrap/>
            <w:vAlign w:val="bottom"/>
          </w:tcPr>
          <w:p w14:paraId="5A68F1E3"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07148289" w14:textId="77777777" w:rsidR="00103CFB" w:rsidRPr="004B4E82" w:rsidRDefault="00103CFB" w:rsidP="00103CFB">
            <w:pPr>
              <w:spacing w:after="0"/>
              <w:ind w:left="0"/>
              <w:rPr>
                <w:color w:val="000000"/>
              </w:rPr>
            </w:pPr>
            <w:r>
              <w:rPr>
                <w:color w:val="000000"/>
              </w:rPr>
              <w:t xml:space="preserve">TXDS0081 </w:t>
            </w:r>
          </w:p>
        </w:tc>
        <w:tc>
          <w:tcPr>
            <w:tcW w:w="6963" w:type="dxa"/>
            <w:vAlign w:val="bottom"/>
          </w:tcPr>
          <w:p w14:paraId="38E078EB" w14:textId="77777777" w:rsidR="00103CFB" w:rsidRPr="004B4E82" w:rsidRDefault="00103CFB" w:rsidP="00103CFB">
            <w:pPr>
              <w:spacing w:after="0"/>
              <w:ind w:left="0"/>
              <w:rPr>
                <w:color w:val="000000"/>
              </w:rPr>
            </w:pPr>
            <w:r>
              <w:rPr>
                <w:color w:val="000000"/>
              </w:rPr>
              <w:t>Quarterly Report Errors from Status: Error (all account number series)</w:t>
            </w:r>
          </w:p>
        </w:tc>
      </w:tr>
      <w:tr w:rsidR="00103CFB" w:rsidRPr="00293F5E" w14:paraId="45B572F7" w14:textId="77777777" w:rsidTr="00A26011">
        <w:trPr>
          <w:trHeight w:val="300"/>
        </w:trPr>
        <w:tc>
          <w:tcPr>
            <w:tcW w:w="684" w:type="dxa"/>
            <w:noWrap/>
            <w:vAlign w:val="bottom"/>
            <w:hideMark/>
          </w:tcPr>
          <w:p w14:paraId="051B62FC" w14:textId="479AA353" w:rsidR="00103CFB" w:rsidRPr="00293F5E" w:rsidRDefault="00103CFB" w:rsidP="00103CFB">
            <w:pPr>
              <w:spacing w:after="0"/>
              <w:ind w:left="0"/>
              <w:jc w:val="center"/>
              <w:rPr>
                <w:rFonts w:ascii="Calibri" w:hAnsi="Calibri" w:cs="Calibri"/>
                <w:color w:val="000000"/>
                <w:szCs w:val="22"/>
              </w:rPr>
            </w:pPr>
            <w:r>
              <w:rPr>
                <w:color w:val="000000"/>
                <w:szCs w:val="22"/>
              </w:rPr>
              <w:t>65</w:t>
            </w:r>
          </w:p>
        </w:tc>
        <w:tc>
          <w:tcPr>
            <w:tcW w:w="1677" w:type="dxa"/>
            <w:noWrap/>
            <w:vAlign w:val="bottom"/>
          </w:tcPr>
          <w:p w14:paraId="06B117C5"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52E99936" w14:textId="77777777" w:rsidR="00103CFB" w:rsidRPr="004B4E82" w:rsidRDefault="00103CFB" w:rsidP="00103CFB">
            <w:pPr>
              <w:spacing w:after="0"/>
              <w:ind w:left="0"/>
              <w:rPr>
                <w:color w:val="000000"/>
              </w:rPr>
            </w:pPr>
            <w:r>
              <w:rPr>
                <w:color w:val="000000"/>
              </w:rPr>
              <w:t>TXDS0081</w:t>
            </w:r>
          </w:p>
        </w:tc>
        <w:tc>
          <w:tcPr>
            <w:tcW w:w="6963" w:type="dxa"/>
            <w:vAlign w:val="bottom"/>
          </w:tcPr>
          <w:p w14:paraId="66A792BE" w14:textId="77777777" w:rsidR="00103CFB" w:rsidRPr="004B4E82" w:rsidRDefault="00103CFB" w:rsidP="00103CFB">
            <w:pPr>
              <w:spacing w:after="0"/>
              <w:ind w:left="0"/>
              <w:rPr>
                <w:color w:val="000000"/>
              </w:rPr>
            </w:pPr>
            <w:r>
              <w:rPr>
                <w:color w:val="000000"/>
              </w:rPr>
              <w:t>Quarterly Report Errors from Status: Error (Number Series 00-09)</w:t>
            </w:r>
          </w:p>
        </w:tc>
      </w:tr>
      <w:tr w:rsidR="00103CFB" w:rsidRPr="00293F5E" w14:paraId="3F825301" w14:textId="77777777" w:rsidTr="00A26011">
        <w:trPr>
          <w:trHeight w:val="300"/>
        </w:trPr>
        <w:tc>
          <w:tcPr>
            <w:tcW w:w="684" w:type="dxa"/>
            <w:noWrap/>
            <w:vAlign w:val="bottom"/>
            <w:hideMark/>
          </w:tcPr>
          <w:p w14:paraId="5D0855CE" w14:textId="35A15EE8" w:rsidR="00103CFB" w:rsidRPr="00293F5E" w:rsidRDefault="00103CFB" w:rsidP="00103CFB">
            <w:pPr>
              <w:spacing w:after="0"/>
              <w:ind w:left="0"/>
              <w:jc w:val="center"/>
              <w:rPr>
                <w:rFonts w:ascii="Calibri" w:hAnsi="Calibri" w:cs="Calibri"/>
                <w:color w:val="000000"/>
                <w:szCs w:val="22"/>
              </w:rPr>
            </w:pPr>
            <w:r>
              <w:rPr>
                <w:szCs w:val="22"/>
              </w:rPr>
              <w:t>66</w:t>
            </w:r>
          </w:p>
        </w:tc>
        <w:tc>
          <w:tcPr>
            <w:tcW w:w="1677" w:type="dxa"/>
            <w:noWrap/>
            <w:vAlign w:val="bottom"/>
          </w:tcPr>
          <w:p w14:paraId="23D0A524"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165C1FBC" w14:textId="77777777" w:rsidR="00103CFB" w:rsidRPr="004B4E82" w:rsidRDefault="00103CFB" w:rsidP="00103CFB">
            <w:pPr>
              <w:spacing w:after="0"/>
              <w:ind w:left="0"/>
              <w:rPr>
                <w:color w:val="000000"/>
              </w:rPr>
            </w:pPr>
            <w:r>
              <w:rPr>
                <w:color w:val="000000"/>
              </w:rPr>
              <w:t>TXDS0081</w:t>
            </w:r>
          </w:p>
        </w:tc>
        <w:tc>
          <w:tcPr>
            <w:tcW w:w="6963" w:type="dxa"/>
            <w:vAlign w:val="bottom"/>
          </w:tcPr>
          <w:p w14:paraId="673A37FA" w14:textId="77777777" w:rsidR="00103CFB" w:rsidRPr="004B4E82" w:rsidRDefault="00103CFB" w:rsidP="00103CFB">
            <w:pPr>
              <w:spacing w:after="0"/>
              <w:ind w:left="0"/>
              <w:rPr>
                <w:color w:val="000000"/>
              </w:rPr>
            </w:pPr>
            <w:r>
              <w:rPr>
                <w:color w:val="000000"/>
              </w:rPr>
              <w:t>Quarterly Report Errors from Status: Error (Number Series 10-19)</w:t>
            </w:r>
          </w:p>
        </w:tc>
      </w:tr>
      <w:tr w:rsidR="00103CFB" w:rsidRPr="00293F5E" w14:paraId="55C44AE3" w14:textId="77777777" w:rsidTr="00A26011">
        <w:trPr>
          <w:trHeight w:val="300"/>
        </w:trPr>
        <w:tc>
          <w:tcPr>
            <w:tcW w:w="684" w:type="dxa"/>
            <w:noWrap/>
            <w:vAlign w:val="bottom"/>
            <w:hideMark/>
          </w:tcPr>
          <w:p w14:paraId="05B71765" w14:textId="6E439B69" w:rsidR="00103CFB" w:rsidRPr="00293F5E" w:rsidRDefault="00103CFB" w:rsidP="00103CFB">
            <w:pPr>
              <w:spacing w:after="0"/>
              <w:ind w:left="0"/>
              <w:jc w:val="center"/>
              <w:rPr>
                <w:rFonts w:ascii="Calibri" w:hAnsi="Calibri" w:cs="Calibri"/>
                <w:color w:val="000000"/>
                <w:szCs w:val="22"/>
              </w:rPr>
            </w:pPr>
            <w:r>
              <w:rPr>
                <w:color w:val="000000"/>
                <w:szCs w:val="22"/>
              </w:rPr>
              <w:t>67</w:t>
            </w:r>
          </w:p>
        </w:tc>
        <w:tc>
          <w:tcPr>
            <w:tcW w:w="1677" w:type="dxa"/>
            <w:noWrap/>
            <w:vAlign w:val="bottom"/>
          </w:tcPr>
          <w:p w14:paraId="6A5671C5"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115784D6" w14:textId="77777777" w:rsidR="00103CFB" w:rsidRPr="004B4E82" w:rsidRDefault="00103CFB" w:rsidP="00103CFB">
            <w:pPr>
              <w:spacing w:after="0"/>
              <w:ind w:left="0"/>
              <w:rPr>
                <w:color w:val="000000"/>
              </w:rPr>
            </w:pPr>
            <w:r>
              <w:rPr>
                <w:color w:val="000000"/>
              </w:rPr>
              <w:t>TXDS0081</w:t>
            </w:r>
          </w:p>
        </w:tc>
        <w:tc>
          <w:tcPr>
            <w:tcW w:w="6963" w:type="dxa"/>
            <w:vAlign w:val="bottom"/>
          </w:tcPr>
          <w:p w14:paraId="658FB94A" w14:textId="77777777" w:rsidR="00103CFB" w:rsidRPr="004B4E82" w:rsidRDefault="00103CFB" w:rsidP="00103CFB">
            <w:pPr>
              <w:spacing w:after="0"/>
              <w:ind w:left="0"/>
              <w:rPr>
                <w:color w:val="000000"/>
              </w:rPr>
            </w:pPr>
            <w:r>
              <w:rPr>
                <w:color w:val="000000"/>
              </w:rPr>
              <w:t>Quarterly Report Errors from Status: Error (Number Series 20-28)</w:t>
            </w:r>
          </w:p>
        </w:tc>
      </w:tr>
      <w:tr w:rsidR="00103CFB" w:rsidRPr="00293F5E" w14:paraId="32865EDF" w14:textId="77777777" w:rsidTr="00A26011">
        <w:trPr>
          <w:trHeight w:val="300"/>
        </w:trPr>
        <w:tc>
          <w:tcPr>
            <w:tcW w:w="684" w:type="dxa"/>
            <w:noWrap/>
            <w:vAlign w:val="bottom"/>
            <w:hideMark/>
          </w:tcPr>
          <w:p w14:paraId="6679BBBB" w14:textId="5A85E09C" w:rsidR="00103CFB" w:rsidRPr="00293F5E" w:rsidRDefault="00103CFB" w:rsidP="00103CFB">
            <w:pPr>
              <w:spacing w:after="0"/>
              <w:ind w:left="0"/>
              <w:jc w:val="center"/>
              <w:rPr>
                <w:rFonts w:ascii="Calibri" w:hAnsi="Calibri" w:cs="Calibri"/>
                <w:color w:val="000000"/>
                <w:szCs w:val="22"/>
              </w:rPr>
            </w:pPr>
            <w:r>
              <w:rPr>
                <w:szCs w:val="22"/>
              </w:rPr>
              <w:t>68</w:t>
            </w:r>
          </w:p>
        </w:tc>
        <w:tc>
          <w:tcPr>
            <w:tcW w:w="1677" w:type="dxa"/>
            <w:noWrap/>
            <w:vAlign w:val="bottom"/>
          </w:tcPr>
          <w:p w14:paraId="6723E9E5"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67D0E4C9" w14:textId="77777777" w:rsidR="00103CFB" w:rsidRPr="004B4E82" w:rsidRDefault="00103CFB" w:rsidP="00103CFB">
            <w:pPr>
              <w:spacing w:after="0"/>
              <w:ind w:left="0"/>
              <w:rPr>
                <w:color w:val="000000"/>
              </w:rPr>
            </w:pPr>
            <w:r>
              <w:rPr>
                <w:color w:val="000000"/>
              </w:rPr>
              <w:t>TXDS0081</w:t>
            </w:r>
          </w:p>
        </w:tc>
        <w:tc>
          <w:tcPr>
            <w:tcW w:w="6963" w:type="dxa"/>
            <w:vAlign w:val="bottom"/>
          </w:tcPr>
          <w:p w14:paraId="53E5D0C1" w14:textId="77777777" w:rsidR="00103CFB" w:rsidRPr="004B4E82" w:rsidRDefault="00103CFB" w:rsidP="00103CFB">
            <w:pPr>
              <w:spacing w:after="0"/>
              <w:ind w:left="0"/>
              <w:rPr>
                <w:color w:val="000000"/>
              </w:rPr>
            </w:pPr>
            <w:r>
              <w:rPr>
                <w:color w:val="000000"/>
              </w:rPr>
              <w:t>Quarterly Report Errors from Status: Error (Number Series 29-31)</w:t>
            </w:r>
          </w:p>
        </w:tc>
      </w:tr>
      <w:tr w:rsidR="00103CFB" w:rsidRPr="00293F5E" w14:paraId="5239D1C3" w14:textId="77777777" w:rsidTr="00A26011">
        <w:trPr>
          <w:trHeight w:val="300"/>
        </w:trPr>
        <w:tc>
          <w:tcPr>
            <w:tcW w:w="684" w:type="dxa"/>
            <w:noWrap/>
            <w:vAlign w:val="bottom"/>
            <w:hideMark/>
          </w:tcPr>
          <w:p w14:paraId="67F253EC" w14:textId="65FA105E" w:rsidR="00103CFB" w:rsidRPr="00293F5E" w:rsidRDefault="00103CFB" w:rsidP="00103CFB">
            <w:pPr>
              <w:spacing w:after="0"/>
              <w:ind w:left="0"/>
              <w:jc w:val="center"/>
              <w:rPr>
                <w:rFonts w:ascii="Calibri" w:hAnsi="Calibri" w:cs="Calibri"/>
                <w:color w:val="000000"/>
                <w:szCs w:val="22"/>
              </w:rPr>
            </w:pPr>
            <w:r>
              <w:rPr>
                <w:color w:val="000000"/>
                <w:szCs w:val="22"/>
              </w:rPr>
              <w:t>69</w:t>
            </w:r>
          </w:p>
        </w:tc>
        <w:tc>
          <w:tcPr>
            <w:tcW w:w="1677" w:type="dxa"/>
            <w:noWrap/>
            <w:vAlign w:val="bottom"/>
          </w:tcPr>
          <w:p w14:paraId="568A6671"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1688D17F" w14:textId="77777777" w:rsidR="00103CFB" w:rsidRPr="004B4E82" w:rsidRDefault="00103CFB" w:rsidP="00103CFB">
            <w:pPr>
              <w:spacing w:after="0"/>
              <w:ind w:left="0"/>
              <w:rPr>
                <w:color w:val="000000"/>
              </w:rPr>
            </w:pPr>
            <w:r>
              <w:rPr>
                <w:color w:val="000000"/>
              </w:rPr>
              <w:t>TXDS0081</w:t>
            </w:r>
          </w:p>
        </w:tc>
        <w:tc>
          <w:tcPr>
            <w:tcW w:w="6963" w:type="dxa"/>
            <w:vAlign w:val="bottom"/>
          </w:tcPr>
          <w:p w14:paraId="19D9C3D0" w14:textId="77777777" w:rsidR="00103CFB" w:rsidRPr="004B4E82" w:rsidRDefault="00103CFB" w:rsidP="00103CFB">
            <w:pPr>
              <w:spacing w:after="0"/>
              <w:ind w:left="0"/>
              <w:rPr>
                <w:color w:val="000000"/>
              </w:rPr>
            </w:pPr>
            <w:r>
              <w:rPr>
                <w:color w:val="000000"/>
              </w:rPr>
              <w:t>Quarterly Report Errors from Status: Error (Number Series 32-40)</w:t>
            </w:r>
          </w:p>
        </w:tc>
      </w:tr>
      <w:tr w:rsidR="00103CFB" w:rsidRPr="00293F5E" w14:paraId="471187A5" w14:textId="77777777" w:rsidTr="00A26011">
        <w:trPr>
          <w:trHeight w:val="300"/>
        </w:trPr>
        <w:tc>
          <w:tcPr>
            <w:tcW w:w="684" w:type="dxa"/>
            <w:noWrap/>
            <w:vAlign w:val="bottom"/>
            <w:hideMark/>
          </w:tcPr>
          <w:p w14:paraId="0F30FF75" w14:textId="12E9BB18" w:rsidR="00103CFB" w:rsidRPr="00293F5E" w:rsidRDefault="00103CFB" w:rsidP="00103CFB">
            <w:pPr>
              <w:spacing w:after="0"/>
              <w:ind w:left="0"/>
              <w:jc w:val="center"/>
              <w:rPr>
                <w:rFonts w:ascii="Calibri" w:hAnsi="Calibri" w:cs="Calibri"/>
                <w:color w:val="000000"/>
                <w:szCs w:val="22"/>
              </w:rPr>
            </w:pPr>
            <w:r>
              <w:rPr>
                <w:szCs w:val="22"/>
              </w:rPr>
              <w:t>70</w:t>
            </w:r>
          </w:p>
        </w:tc>
        <w:tc>
          <w:tcPr>
            <w:tcW w:w="1677" w:type="dxa"/>
            <w:noWrap/>
            <w:vAlign w:val="bottom"/>
          </w:tcPr>
          <w:p w14:paraId="65C4E845"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4E0F84D2" w14:textId="77777777" w:rsidR="00103CFB" w:rsidRPr="004B4E82" w:rsidRDefault="00103CFB" w:rsidP="00103CFB">
            <w:pPr>
              <w:spacing w:after="0"/>
              <w:ind w:left="0"/>
              <w:rPr>
                <w:color w:val="000000"/>
              </w:rPr>
            </w:pPr>
            <w:r>
              <w:rPr>
                <w:color w:val="000000"/>
              </w:rPr>
              <w:t>TXDS0081</w:t>
            </w:r>
          </w:p>
        </w:tc>
        <w:tc>
          <w:tcPr>
            <w:tcW w:w="6963" w:type="dxa"/>
            <w:vAlign w:val="bottom"/>
          </w:tcPr>
          <w:p w14:paraId="44673964" w14:textId="77777777" w:rsidR="00103CFB" w:rsidRPr="004B4E82" w:rsidRDefault="00103CFB" w:rsidP="00103CFB">
            <w:pPr>
              <w:spacing w:after="0"/>
              <w:ind w:left="0"/>
              <w:rPr>
                <w:color w:val="000000"/>
              </w:rPr>
            </w:pPr>
            <w:r>
              <w:rPr>
                <w:color w:val="000000"/>
              </w:rPr>
              <w:t>Quarterly Report Errors from Status: Error (Number Series 41-50)</w:t>
            </w:r>
          </w:p>
        </w:tc>
      </w:tr>
      <w:tr w:rsidR="00103CFB" w:rsidRPr="00293F5E" w14:paraId="42411736" w14:textId="77777777" w:rsidTr="00A26011">
        <w:trPr>
          <w:trHeight w:val="300"/>
        </w:trPr>
        <w:tc>
          <w:tcPr>
            <w:tcW w:w="684" w:type="dxa"/>
            <w:noWrap/>
            <w:vAlign w:val="bottom"/>
            <w:hideMark/>
          </w:tcPr>
          <w:p w14:paraId="068DA860" w14:textId="495C1904" w:rsidR="00103CFB" w:rsidRPr="00293F5E" w:rsidRDefault="00103CFB" w:rsidP="00103CFB">
            <w:pPr>
              <w:spacing w:after="0"/>
              <w:ind w:left="0"/>
              <w:jc w:val="center"/>
              <w:rPr>
                <w:rFonts w:ascii="Calibri" w:hAnsi="Calibri" w:cs="Calibri"/>
                <w:color w:val="000000"/>
                <w:szCs w:val="22"/>
              </w:rPr>
            </w:pPr>
            <w:r>
              <w:rPr>
                <w:color w:val="000000"/>
                <w:szCs w:val="22"/>
              </w:rPr>
              <w:t>71</w:t>
            </w:r>
          </w:p>
        </w:tc>
        <w:tc>
          <w:tcPr>
            <w:tcW w:w="1677" w:type="dxa"/>
            <w:noWrap/>
            <w:vAlign w:val="bottom"/>
          </w:tcPr>
          <w:p w14:paraId="03811FC7"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0BACD1EA" w14:textId="77777777" w:rsidR="00103CFB" w:rsidRPr="004B4E82" w:rsidRDefault="00103CFB" w:rsidP="00103CFB">
            <w:pPr>
              <w:spacing w:after="0"/>
              <w:ind w:left="0"/>
              <w:rPr>
                <w:color w:val="000000"/>
              </w:rPr>
            </w:pPr>
            <w:r>
              <w:rPr>
                <w:color w:val="000000"/>
              </w:rPr>
              <w:t>TXDS0081</w:t>
            </w:r>
          </w:p>
        </w:tc>
        <w:tc>
          <w:tcPr>
            <w:tcW w:w="6963" w:type="dxa"/>
            <w:vAlign w:val="bottom"/>
          </w:tcPr>
          <w:p w14:paraId="7FFDAF75" w14:textId="77777777" w:rsidR="00103CFB" w:rsidRPr="004B4E82" w:rsidRDefault="00103CFB" w:rsidP="00103CFB">
            <w:pPr>
              <w:spacing w:after="0"/>
              <w:ind w:left="0"/>
              <w:rPr>
                <w:color w:val="000000"/>
              </w:rPr>
            </w:pPr>
            <w:r>
              <w:rPr>
                <w:color w:val="000000"/>
              </w:rPr>
              <w:t>Quarterly Report Errors from Status: Error (Number Series 51-60)</w:t>
            </w:r>
          </w:p>
        </w:tc>
      </w:tr>
      <w:tr w:rsidR="00103CFB" w:rsidRPr="00293F5E" w14:paraId="5CAAB08D" w14:textId="77777777" w:rsidTr="00A26011">
        <w:trPr>
          <w:trHeight w:val="300"/>
        </w:trPr>
        <w:tc>
          <w:tcPr>
            <w:tcW w:w="684" w:type="dxa"/>
            <w:noWrap/>
            <w:vAlign w:val="bottom"/>
            <w:hideMark/>
          </w:tcPr>
          <w:p w14:paraId="56244842" w14:textId="2DB48CB4" w:rsidR="00103CFB" w:rsidRPr="00293F5E" w:rsidRDefault="00103CFB" w:rsidP="00103CFB">
            <w:pPr>
              <w:spacing w:after="0"/>
              <w:ind w:left="0"/>
              <w:jc w:val="center"/>
              <w:rPr>
                <w:rFonts w:ascii="Calibri" w:hAnsi="Calibri" w:cs="Calibri"/>
                <w:color w:val="000000"/>
                <w:szCs w:val="22"/>
              </w:rPr>
            </w:pPr>
            <w:r>
              <w:rPr>
                <w:szCs w:val="22"/>
              </w:rPr>
              <w:t>72</w:t>
            </w:r>
          </w:p>
        </w:tc>
        <w:tc>
          <w:tcPr>
            <w:tcW w:w="1677" w:type="dxa"/>
            <w:noWrap/>
            <w:vAlign w:val="bottom"/>
          </w:tcPr>
          <w:p w14:paraId="48F4FD6B"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79AACBDB" w14:textId="77777777" w:rsidR="00103CFB" w:rsidRPr="004B4E82" w:rsidRDefault="00103CFB" w:rsidP="00103CFB">
            <w:pPr>
              <w:spacing w:after="0"/>
              <w:ind w:left="0"/>
              <w:rPr>
                <w:color w:val="000000"/>
              </w:rPr>
            </w:pPr>
            <w:r>
              <w:rPr>
                <w:color w:val="000000"/>
              </w:rPr>
              <w:t>TXDS0081</w:t>
            </w:r>
          </w:p>
        </w:tc>
        <w:tc>
          <w:tcPr>
            <w:tcW w:w="6963" w:type="dxa"/>
            <w:vAlign w:val="bottom"/>
          </w:tcPr>
          <w:p w14:paraId="285B9688" w14:textId="77777777" w:rsidR="00103CFB" w:rsidRPr="004B4E82" w:rsidRDefault="00103CFB" w:rsidP="00103CFB">
            <w:pPr>
              <w:spacing w:after="0"/>
              <w:ind w:left="0"/>
              <w:rPr>
                <w:color w:val="000000"/>
              </w:rPr>
            </w:pPr>
            <w:r>
              <w:rPr>
                <w:color w:val="000000"/>
              </w:rPr>
              <w:t>Quarterly Report Errors from Status: Error (Number Series 61-70)</w:t>
            </w:r>
          </w:p>
        </w:tc>
      </w:tr>
      <w:tr w:rsidR="00103CFB" w:rsidRPr="00293F5E" w14:paraId="20EF672F" w14:textId="77777777" w:rsidTr="00A26011">
        <w:trPr>
          <w:trHeight w:val="300"/>
        </w:trPr>
        <w:tc>
          <w:tcPr>
            <w:tcW w:w="684" w:type="dxa"/>
            <w:noWrap/>
            <w:vAlign w:val="bottom"/>
            <w:hideMark/>
          </w:tcPr>
          <w:p w14:paraId="1B440690" w14:textId="01231CF5" w:rsidR="00103CFB" w:rsidRPr="00293F5E" w:rsidRDefault="00103CFB" w:rsidP="00103CFB">
            <w:pPr>
              <w:spacing w:after="0"/>
              <w:ind w:left="0"/>
              <w:jc w:val="center"/>
              <w:rPr>
                <w:rFonts w:ascii="Calibri" w:hAnsi="Calibri" w:cs="Calibri"/>
                <w:color w:val="000000"/>
                <w:szCs w:val="22"/>
              </w:rPr>
            </w:pPr>
            <w:r>
              <w:rPr>
                <w:color w:val="000000"/>
                <w:szCs w:val="22"/>
              </w:rPr>
              <w:t>73</w:t>
            </w:r>
          </w:p>
        </w:tc>
        <w:tc>
          <w:tcPr>
            <w:tcW w:w="1677" w:type="dxa"/>
            <w:noWrap/>
            <w:vAlign w:val="bottom"/>
          </w:tcPr>
          <w:p w14:paraId="1BBC8706"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2A94BA50" w14:textId="77777777" w:rsidR="00103CFB" w:rsidRPr="004B4E82" w:rsidRDefault="00103CFB" w:rsidP="00103CFB">
            <w:pPr>
              <w:spacing w:after="0"/>
              <w:ind w:left="0"/>
              <w:rPr>
                <w:color w:val="000000"/>
              </w:rPr>
            </w:pPr>
            <w:r>
              <w:rPr>
                <w:color w:val="000000"/>
              </w:rPr>
              <w:t>TXDS0081</w:t>
            </w:r>
          </w:p>
        </w:tc>
        <w:tc>
          <w:tcPr>
            <w:tcW w:w="6963" w:type="dxa"/>
            <w:vAlign w:val="bottom"/>
          </w:tcPr>
          <w:p w14:paraId="26BC4D54" w14:textId="77777777" w:rsidR="00103CFB" w:rsidRPr="004B4E82" w:rsidRDefault="00103CFB" w:rsidP="00103CFB">
            <w:pPr>
              <w:spacing w:after="0"/>
              <w:ind w:left="0"/>
              <w:rPr>
                <w:color w:val="000000"/>
              </w:rPr>
            </w:pPr>
            <w:r>
              <w:rPr>
                <w:color w:val="000000"/>
              </w:rPr>
              <w:t>Quarterly Report Errors from Status: Error (Number Series 71-80)</w:t>
            </w:r>
          </w:p>
        </w:tc>
      </w:tr>
      <w:tr w:rsidR="00103CFB" w:rsidRPr="00293F5E" w14:paraId="2FA3BDF7" w14:textId="77777777" w:rsidTr="00A26011">
        <w:trPr>
          <w:trHeight w:val="300"/>
        </w:trPr>
        <w:tc>
          <w:tcPr>
            <w:tcW w:w="684" w:type="dxa"/>
            <w:noWrap/>
            <w:vAlign w:val="bottom"/>
            <w:hideMark/>
          </w:tcPr>
          <w:p w14:paraId="1B563D7C" w14:textId="079E4340" w:rsidR="00103CFB" w:rsidRPr="00293F5E" w:rsidRDefault="00103CFB" w:rsidP="00103CFB">
            <w:pPr>
              <w:spacing w:after="0"/>
              <w:ind w:left="0"/>
              <w:jc w:val="center"/>
              <w:rPr>
                <w:rFonts w:ascii="Calibri" w:hAnsi="Calibri" w:cs="Calibri"/>
                <w:color w:val="000000"/>
                <w:szCs w:val="22"/>
              </w:rPr>
            </w:pPr>
            <w:r>
              <w:rPr>
                <w:szCs w:val="22"/>
              </w:rPr>
              <w:t>74</w:t>
            </w:r>
          </w:p>
        </w:tc>
        <w:tc>
          <w:tcPr>
            <w:tcW w:w="1677" w:type="dxa"/>
            <w:noWrap/>
            <w:vAlign w:val="bottom"/>
          </w:tcPr>
          <w:p w14:paraId="5681757E"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3F854C7F" w14:textId="77777777" w:rsidR="00103CFB" w:rsidRPr="004B4E82" w:rsidRDefault="00103CFB" w:rsidP="00103CFB">
            <w:pPr>
              <w:spacing w:after="0"/>
              <w:ind w:left="0"/>
              <w:rPr>
                <w:color w:val="000000"/>
              </w:rPr>
            </w:pPr>
            <w:r>
              <w:rPr>
                <w:color w:val="000000"/>
              </w:rPr>
              <w:t>TXDS0081</w:t>
            </w:r>
          </w:p>
        </w:tc>
        <w:tc>
          <w:tcPr>
            <w:tcW w:w="6963" w:type="dxa"/>
            <w:vAlign w:val="bottom"/>
          </w:tcPr>
          <w:p w14:paraId="77D48949" w14:textId="77777777" w:rsidR="00103CFB" w:rsidRPr="004B4E82" w:rsidRDefault="00103CFB" w:rsidP="00103CFB">
            <w:pPr>
              <w:spacing w:after="0"/>
              <w:ind w:left="0"/>
              <w:rPr>
                <w:color w:val="000000"/>
              </w:rPr>
            </w:pPr>
            <w:r>
              <w:rPr>
                <w:color w:val="000000"/>
              </w:rPr>
              <w:t>Quarterly Report Errors from Status: Error (Number Series 81-90)</w:t>
            </w:r>
          </w:p>
        </w:tc>
      </w:tr>
      <w:tr w:rsidR="00103CFB" w:rsidRPr="00293F5E" w14:paraId="50AEA480" w14:textId="77777777" w:rsidTr="00A26011">
        <w:trPr>
          <w:trHeight w:val="300"/>
        </w:trPr>
        <w:tc>
          <w:tcPr>
            <w:tcW w:w="684" w:type="dxa"/>
            <w:noWrap/>
            <w:vAlign w:val="bottom"/>
            <w:hideMark/>
          </w:tcPr>
          <w:p w14:paraId="37BB7DBB" w14:textId="12336005" w:rsidR="00103CFB" w:rsidRPr="00293F5E" w:rsidRDefault="00103CFB" w:rsidP="00103CFB">
            <w:pPr>
              <w:spacing w:after="0"/>
              <w:ind w:left="0"/>
              <w:jc w:val="center"/>
              <w:rPr>
                <w:rFonts w:ascii="Calibri" w:hAnsi="Calibri" w:cs="Calibri"/>
                <w:color w:val="000000"/>
                <w:szCs w:val="22"/>
              </w:rPr>
            </w:pPr>
            <w:r>
              <w:rPr>
                <w:color w:val="000000"/>
                <w:szCs w:val="22"/>
              </w:rPr>
              <w:t>75</w:t>
            </w:r>
          </w:p>
        </w:tc>
        <w:tc>
          <w:tcPr>
            <w:tcW w:w="1677" w:type="dxa"/>
            <w:noWrap/>
            <w:vAlign w:val="bottom"/>
          </w:tcPr>
          <w:p w14:paraId="2ED32FF9"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76E43068" w14:textId="77777777" w:rsidR="00103CFB" w:rsidRPr="004B4E82" w:rsidRDefault="00103CFB" w:rsidP="00103CFB">
            <w:pPr>
              <w:spacing w:after="0"/>
              <w:ind w:left="0"/>
              <w:rPr>
                <w:color w:val="000000"/>
              </w:rPr>
            </w:pPr>
            <w:r>
              <w:rPr>
                <w:color w:val="000000"/>
              </w:rPr>
              <w:t>TXDS0081</w:t>
            </w:r>
          </w:p>
        </w:tc>
        <w:tc>
          <w:tcPr>
            <w:tcW w:w="6963" w:type="dxa"/>
            <w:vAlign w:val="bottom"/>
          </w:tcPr>
          <w:p w14:paraId="2B21F487" w14:textId="77777777" w:rsidR="00103CFB" w:rsidRPr="004B4E82" w:rsidRDefault="00103CFB" w:rsidP="00103CFB">
            <w:pPr>
              <w:spacing w:after="0"/>
              <w:ind w:left="0"/>
              <w:rPr>
                <w:color w:val="000000"/>
              </w:rPr>
            </w:pPr>
            <w:r>
              <w:rPr>
                <w:color w:val="000000"/>
              </w:rPr>
              <w:t>Quarterly Report Errors from Status: Error (Number Series 91-99)</w:t>
            </w:r>
          </w:p>
        </w:tc>
      </w:tr>
      <w:tr w:rsidR="00103CFB" w:rsidRPr="00293F5E" w14:paraId="7DD7FFAD" w14:textId="77777777" w:rsidTr="00A26011">
        <w:trPr>
          <w:trHeight w:val="300"/>
        </w:trPr>
        <w:tc>
          <w:tcPr>
            <w:tcW w:w="684" w:type="dxa"/>
            <w:noWrap/>
            <w:vAlign w:val="bottom"/>
            <w:hideMark/>
          </w:tcPr>
          <w:p w14:paraId="56E9AAF3" w14:textId="47402A8A" w:rsidR="00103CFB" w:rsidRPr="00293F5E" w:rsidRDefault="00103CFB" w:rsidP="00103CFB">
            <w:pPr>
              <w:spacing w:after="0"/>
              <w:ind w:left="0"/>
              <w:jc w:val="center"/>
              <w:rPr>
                <w:rFonts w:ascii="Calibri" w:hAnsi="Calibri" w:cs="Calibri"/>
                <w:color w:val="000000"/>
                <w:szCs w:val="22"/>
              </w:rPr>
            </w:pPr>
            <w:r>
              <w:rPr>
                <w:szCs w:val="22"/>
              </w:rPr>
              <w:t>76</w:t>
            </w:r>
          </w:p>
        </w:tc>
        <w:tc>
          <w:tcPr>
            <w:tcW w:w="1677" w:type="dxa"/>
            <w:noWrap/>
            <w:vAlign w:val="bottom"/>
          </w:tcPr>
          <w:p w14:paraId="5D500E0F"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633830DC" w14:textId="77777777" w:rsidR="00103CFB" w:rsidRPr="004B4E82" w:rsidRDefault="00103CFB" w:rsidP="00103CFB">
            <w:pPr>
              <w:spacing w:after="0"/>
              <w:ind w:left="0"/>
              <w:rPr>
                <w:color w:val="000000"/>
              </w:rPr>
            </w:pPr>
            <w:r>
              <w:rPr>
                <w:color w:val="000000"/>
              </w:rPr>
              <w:t xml:space="preserve">TXDS0081 </w:t>
            </w:r>
          </w:p>
        </w:tc>
        <w:tc>
          <w:tcPr>
            <w:tcW w:w="6963" w:type="dxa"/>
            <w:vAlign w:val="bottom"/>
          </w:tcPr>
          <w:p w14:paraId="7DB758D6" w14:textId="77777777" w:rsidR="00103CFB" w:rsidRPr="004B4E82" w:rsidRDefault="00103CFB" w:rsidP="00103CFB">
            <w:pPr>
              <w:spacing w:after="0"/>
              <w:ind w:left="0"/>
              <w:rPr>
                <w:color w:val="000000"/>
              </w:rPr>
            </w:pPr>
            <w:r>
              <w:rPr>
                <w:color w:val="000000"/>
              </w:rPr>
              <w:t>Quarterly Report Errors from Status: Liable Active</w:t>
            </w:r>
          </w:p>
        </w:tc>
      </w:tr>
      <w:tr w:rsidR="00103CFB" w:rsidRPr="00293F5E" w14:paraId="0BFB12CE" w14:textId="77777777" w:rsidTr="00A26011">
        <w:trPr>
          <w:trHeight w:val="300"/>
        </w:trPr>
        <w:tc>
          <w:tcPr>
            <w:tcW w:w="684" w:type="dxa"/>
            <w:noWrap/>
            <w:vAlign w:val="bottom"/>
            <w:hideMark/>
          </w:tcPr>
          <w:p w14:paraId="62788C74" w14:textId="142105E9" w:rsidR="00103CFB" w:rsidRPr="00293F5E" w:rsidRDefault="00103CFB" w:rsidP="00103CFB">
            <w:pPr>
              <w:spacing w:after="0"/>
              <w:ind w:left="0"/>
              <w:jc w:val="center"/>
              <w:rPr>
                <w:rFonts w:ascii="Calibri" w:hAnsi="Calibri" w:cs="Calibri"/>
                <w:color w:val="000000"/>
                <w:szCs w:val="22"/>
              </w:rPr>
            </w:pPr>
            <w:r>
              <w:rPr>
                <w:color w:val="000000"/>
                <w:szCs w:val="22"/>
              </w:rPr>
              <w:t>77</w:t>
            </w:r>
          </w:p>
        </w:tc>
        <w:tc>
          <w:tcPr>
            <w:tcW w:w="1677" w:type="dxa"/>
            <w:noWrap/>
            <w:vAlign w:val="bottom"/>
          </w:tcPr>
          <w:p w14:paraId="45B11AAD"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36594533" w14:textId="77777777" w:rsidR="00103CFB" w:rsidRPr="004B4E82" w:rsidRDefault="00103CFB" w:rsidP="00103CFB">
            <w:pPr>
              <w:spacing w:after="0"/>
              <w:ind w:left="0"/>
              <w:rPr>
                <w:color w:val="000000"/>
              </w:rPr>
            </w:pPr>
            <w:r>
              <w:rPr>
                <w:color w:val="000000"/>
              </w:rPr>
              <w:t xml:space="preserve"> TXDS0081</w:t>
            </w:r>
          </w:p>
        </w:tc>
        <w:tc>
          <w:tcPr>
            <w:tcW w:w="6963" w:type="dxa"/>
            <w:vAlign w:val="bottom"/>
          </w:tcPr>
          <w:p w14:paraId="19C09404" w14:textId="77777777" w:rsidR="00103CFB" w:rsidRPr="004B4E82" w:rsidRDefault="00103CFB" w:rsidP="00103CFB">
            <w:pPr>
              <w:spacing w:after="0"/>
              <w:ind w:left="0"/>
              <w:rPr>
                <w:color w:val="000000"/>
              </w:rPr>
            </w:pPr>
            <w:r>
              <w:rPr>
                <w:color w:val="000000"/>
              </w:rPr>
              <w:t>Quarterly Report Errors from Status: Liable Inactive/Terminated</w:t>
            </w:r>
          </w:p>
        </w:tc>
      </w:tr>
      <w:tr w:rsidR="00103CFB" w:rsidRPr="00293F5E" w14:paraId="56F9F200" w14:textId="77777777" w:rsidTr="00A26011">
        <w:trPr>
          <w:trHeight w:val="300"/>
        </w:trPr>
        <w:tc>
          <w:tcPr>
            <w:tcW w:w="684" w:type="dxa"/>
            <w:noWrap/>
            <w:vAlign w:val="bottom"/>
            <w:hideMark/>
          </w:tcPr>
          <w:p w14:paraId="3A0D28E6" w14:textId="79A02534" w:rsidR="00103CFB" w:rsidRPr="00293F5E" w:rsidRDefault="00103CFB" w:rsidP="00103CFB">
            <w:pPr>
              <w:spacing w:after="0"/>
              <w:ind w:left="0"/>
              <w:jc w:val="center"/>
              <w:rPr>
                <w:rFonts w:ascii="Calibri" w:hAnsi="Calibri" w:cs="Calibri"/>
                <w:color w:val="000000"/>
                <w:szCs w:val="22"/>
              </w:rPr>
            </w:pPr>
            <w:r>
              <w:rPr>
                <w:szCs w:val="22"/>
              </w:rPr>
              <w:t>78</w:t>
            </w:r>
          </w:p>
        </w:tc>
        <w:tc>
          <w:tcPr>
            <w:tcW w:w="1677" w:type="dxa"/>
            <w:noWrap/>
            <w:vAlign w:val="bottom"/>
          </w:tcPr>
          <w:p w14:paraId="25E6E502"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25EC5552" w14:textId="77777777" w:rsidR="00103CFB" w:rsidRPr="004B4E82" w:rsidRDefault="00103CFB" w:rsidP="00103CFB">
            <w:pPr>
              <w:spacing w:after="0"/>
              <w:ind w:left="0"/>
              <w:rPr>
                <w:color w:val="000000"/>
              </w:rPr>
            </w:pPr>
            <w:r>
              <w:rPr>
                <w:color w:val="000000"/>
              </w:rPr>
              <w:t xml:space="preserve">TXDS0081 </w:t>
            </w:r>
          </w:p>
        </w:tc>
        <w:tc>
          <w:tcPr>
            <w:tcW w:w="6963" w:type="dxa"/>
            <w:vAlign w:val="bottom"/>
          </w:tcPr>
          <w:p w14:paraId="7691EB39" w14:textId="77777777" w:rsidR="00103CFB" w:rsidRPr="004B4E82" w:rsidRDefault="00103CFB" w:rsidP="00103CFB">
            <w:pPr>
              <w:spacing w:after="0"/>
              <w:ind w:left="0"/>
              <w:rPr>
                <w:color w:val="000000"/>
              </w:rPr>
            </w:pPr>
            <w:r>
              <w:rPr>
                <w:color w:val="000000"/>
              </w:rPr>
              <w:t>Quarterly Report Errors from Status: Pending/Not Liable</w:t>
            </w:r>
          </w:p>
        </w:tc>
      </w:tr>
      <w:tr w:rsidR="00103CFB" w:rsidRPr="00293F5E" w14:paraId="21A3AEFA" w14:textId="77777777" w:rsidTr="00A26011">
        <w:trPr>
          <w:trHeight w:val="315"/>
        </w:trPr>
        <w:tc>
          <w:tcPr>
            <w:tcW w:w="684" w:type="dxa"/>
            <w:noWrap/>
            <w:vAlign w:val="bottom"/>
          </w:tcPr>
          <w:p w14:paraId="4DC5D36C" w14:textId="59D198DD" w:rsidR="00103CFB" w:rsidRDefault="00103CFB" w:rsidP="00103CFB">
            <w:pPr>
              <w:spacing w:after="0"/>
              <w:ind w:left="0"/>
              <w:jc w:val="center"/>
              <w:rPr>
                <w:rFonts w:ascii="Calibri" w:hAnsi="Calibri" w:cs="Calibri"/>
                <w:color w:val="000000"/>
                <w:szCs w:val="22"/>
              </w:rPr>
            </w:pPr>
            <w:r>
              <w:rPr>
                <w:color w:val="000000"/>
                <w:szCs w:val="22"/>
              </w:rPr>
              <w:t>79</w:t>
            </w:r>
          </w:p>
        </w:tc>
        <w:tc>
          <w:tcPr>
            <w:tcW w:w="1677" w:type="dxa"/>
            <w:noWrap/>
            <w:vAlign w:val="bottom"/>
          </w:tcPr>
          <w:p w14:paraId="394CC5E1" w14:textId="77777777" w:rsidR="00103CFB"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515014F1" w14:textId="77777777" w:rsidR="00103CFB" w:rsidRPr="00007760" w:rsidRDefault="00103CFB" w:rsidP="00103CFB">
            <w:pPr>
              <w:spacing w:after="0"/>
              <w:ind w:left="0"/>
              <w:rPr>
                <w:color w:val="000000"/>
              </w:rPr>
            </w:pPr>
            <w:r>
              <w:rPr>
                <w:color w:val="000000"/>
              </w:rPr>
              <w:t>TXDS0082</w:t>
            </w:r>
          </w:p>
        </w:tc>
        <w:tc>
          <w:tcPr>
            <w:tcW w:w="6963" w:type="dxa"/>
            <w:vAlign w:val="bottom"/>
          </w:tcPr>
          <w:p w14:paraId="084030FA" w14:textId="77777777" w:rsidR="00103CFB" w:rsidRPr="00007760" w:rsidRDefault="00103CFB" w:rsidP="00103CFB">
            <w:pPr>
              <w:spacing w:after="0"/>
              <w:ind w:left="0"/>
              <w:rPr>
                <w:color w:val="000000"/>
              </w:rPr>
            </w:pPr>
            <w:r>
              <w:rPr>
                <w:color w:val="000000"/>
              </w:rPr>
              <w:t>C-3 Change Report</w:t>
            </w:r>
          </w:p>
        </w:tc>
      </w:tr>
      <w:tr w:rsidR="00103CFB" w:rsidRPr="00293F5E" w14:paraId="6109BF8A" w14:textId="77777777" w:rsidTr="00A26011">
        <w:trPr>
          <w:trHeight w:val="315"/>
        </w:trPr>
        <w:tc>
          <w:tcPr>
            <w:tcW w:w="684" w:type="dxa"/>
            <w:noWrap/>
            <w:vAlign w:val="bottom"/>
          </w:tcPr>
          <w:p w14:paraId="1F7C8397" w14:textId="7CA43C05" w:rsidR="00103CFB" w:rsidRDefault="00103CFB" w:rsidP="00103CFB">
            <w:pPr>
              <w:spacing w:after="0"/>
              <w:ind w:left="0"/>
              <w:jc w:val="center"/>
              <w:rPr>
                <w:rFonts w:ascii="Calibri" w:hAnsi="Calibri" w:cs="Calibri"/>
                <w:color w:val="000000"/>
                <w:szCs w:val="22"/>
              </w:rPr>
            </w:pPr>
            <w:r>
              <w:rPr>
                <w:szCs w:val="22"/>
              </w:rPr>
              <w:t>80</w:t>
            </w:r>
          </w:p>
        </w:tc>
        <w:tc>
          <w:tcPr>
            <w:tcW w:w="1677" w:type="dxa"/>
            <w:noWrap/>
            <w:vAlign w:val="bottom"/>
          </w:tcPr>
          <w:p w14:paraId="06D0F85F" w14:textId="77777777" w:rsidR="00103CFB"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19D5170D" w14:textId="77777777" w:rsidR="00103CFB" w:rsidRPr="00007760" w:rsidRDefault="00103CFB" w:rsidP="00103CFB">
            <w:pPr>
              <w:spacing w:after="0"/>
              <w:ind w:left="0"/>
              <w:rPr>
                <w:color w:val="000000"/>
              </w:rPr>
            </w:pPr>
            <w:r>
              <w:rPr>
                <w:color w:val="000000"/>
              </w:rPr>
              <w:t>TXDS0082</w:t>
            </w:r>
          </w:p>
        </w:tc>
        <w:tc>
          <w:tcPr>
            <w:tcW w:w="6963" w:type="dxa"/>
            <w:vAlign w:val="bottom"/>
          </w:tcPr>
          <w:p w14:paraId="1EE20C97" w14:textId="77777777" w:rsidR="00103CFB" w:rsidRPr="00007760" w:rsidRDefault="00103CFB" w:rsidP="00103CFB">
            <w:pPr>
              <w:spacing w:after="0"/>
              <w:ind w:left="0"/>
              <w:rPr>
                <w:color w:val="000000"/>
              </w:rPr>
            </w:pPr>
            <w:r>
              <w:rPr>
                <w:color w:val="000000"/>
              </w:rPr>
              <w:t>C-5 Adjust Total and/or Taxable Wages</w:t>
            </w:r>
          </w:p>
        </w:tc>
      </w:tr>
      <w:tr w:rsidR="00103CFB" w:rsidRPr="00293F5E" w14:paraId="28AFADB5" w14:textId="77777777" w:rsidTr="00A26011">
        <w:trPr>
          <w:trHeight w:val="315"/>
        </w:trPr>
        <w:tc>
          <w:tcPr>
            <w:tcW w:w="684" w:type="dxa"/>
            <w:noWrap/>
            <w:vAlign w:val="bottom"/>
          </w:tcPr>
          <w:p w14:paraId="4E06044C" w14:textId="5B2489A1" w:rsidR="00103CFB" w:rsidRDefault="00103CFB" w:rsidP="00103CFB">
            <w:pPr>
              <w:spacing w:after="0"/>
              <w:ind w:left="0"/>
              <w:jc w:val="center"/>
              <w:rPr>
                <w:rFonts w:ascii="Calibri" w:hAnsi="Calibri" w:cs="Calibri"/>
                <w:color w:val="000000"/>
                <w:szCs w:val="22"/>
              </w:rPr>
            </w:pPr>
            <w:r>
              <w:rPr>
                <w:color w:val="000000"/>
                <w:szCs w:val="22"/>
              </w:rPr>
              <w:t>81</w:t>
            </w:r>
          </w:p>
        </w:tc>
        <w:tc>
          <w:tcPr>
            <w:tcW w:w="1677" w:type="dxa"/>
            <w:noWrap/>
            <w:vAlign w:val="bottom"/>
          </w:tcPr>
          <w:p w14:paraId="57DFB86A" w14:textId="77777777" w:rsidR="00103CFB"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3CB2AE6C" w14:textId="77777777" w:rsidR="00103CFB" w:rsidRDefault="00103CFB" w:rsidP="00103CFB">
            <w:pPr>
              <w:spacing w:after="0"/>
              <w:ind w:left="0"/>
              <w:rPr>
                <w:rFonts w:ascii="Calibri" w:hAnsi="Calibri" w:cs="Calibri"/>
                <w:color w:val="000000"/>
                <w:szCs w:val="24"/>
              </w:rPr>
            </w:pPr>
            <w:r>
              <w:rPr>
                <w:color w:val="000000"/>
              </w:rPr>
              <w:t>TXDS0082</w:t>
            </w:r>
          </w:p>
        </w:tc>
        <w:tc>
          <w:tcPr>
            <w:tcW w:w="6963" w:type="dxa"/>
            <w:vAlign w:val="bottom"/>
          </w:tcPr>
          <w:p w14:paraId="2DDA3F00" w14:textId="77777777" w:rsidR="00103CFB" w:rsidRPr="00293F5E" w:rsidRDefault="00103CFB" w:rsidP="00103CFB">
            <w:pPr>
              <w:spacing w:after="0"/>
              <w:ind w:left="0"/>
              <w:rPr>
                <w:rFonts w:ascii="Calibri" w:hAnsi="Calibri" w:cs="Calibri"/>
                <w:color w:val="000000"/>
                <w:szCs w:val="22"/>
              </w:rPr>
            </w:pPr>
            <w:r>
              <w:rPr>
                <w:color w:val="000000"/>
              </w:rPr>
              <w:t>Quarterly Report Errors from Status: Error (all account number series)</w:t>
            </w:r>
          </w:p>
        </w:tc>
      </w:tr>
      <w:tr w:rsidR="00103CFB" w:rsidRPr="00293F5E" w14:paraId="55734AD6" w14:textId="77777777" w:rsidTr="00A26011">
        <w:trPr>
          <w:trHeight w:val="315"/>
        </w:trPr>
        <w:tc>
          <w:tcPr>
            <w:tcW w:w="684" w:type="dxa"/>
            <w:noWrap/>
            <w:vAlign w:val="bottom"/>
          </w:tcPr>
          <w:p w14:paraId="76A7AFE6" w14:textId="349869C4" w:rsidR="00103CFB" w:rsidRDefault="00103CFB" w:rsidP="00103CFB">
            <w:pPr>
              <w:spacing w:after="0"/>
              <w:ind w:left="0"/>
              <w:jc w:val="center"/>
              <w:rPr>
                <w:rFonts w:ascii="Calibri" w:hAnsi="Calibri" w:cs="Calibri"/>
                <w:color w:val="000000"/>
                <w:szCs w:val="22"/>
              </w:rPr>
            </w:pPr>
            <w:r>
              <w:rPr>
                <w:szCs w:val="22"/>
              </w:rPr>
              <w:t>82</w:t>
            </w:r>
          </w:p>
        </w:tc>
        <w:tc>
          <w:tcPr>
            <w:tcW w:w="1677" w:type="dxa"/>
            <w:noWrap/>
            <w:vAlign w:val="bottom"/>
          </w:tcPr>
          <w:p w14:paraId="1A13FEC5" w14:textId="77777777" w:rsidR="00103CFB"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0C219AEB" w14:textId="77777777" w:rsidR="00103CFB" w:rsidRDefault="00103CFB" w:rsidP="00103CFB">
            <w:pPr>
              <w:spacing w:after="0"/>
              <w:ind w:left="0"/>
              <w:rPr>
                <w:rFonts w:ascii="Calibri" w:hAnsi="Calibri" w:cs="Calibri"/>
                <w:color w:val="000000"/>
                <w:szCs w:val="24"/>
              </w:rPr>
            </w:pPr>
            <w:r>
              <w:rPr>
                <w:color w:val="000000"/>
              </w:rPr>
              <w:t>TXDS0082</w:t>
            </w:r>
          </w:p>
        </w:tc>
        <w:tc>
          <w:tcPr>
            <w:tcW w:w="6963" w:type="dxa"/>
            <w:vAlign w:val="bottom"/>
          </w:tcPr>
          <w:p w14:paraId="0040EA90" w14:textId="77777777" w:rsidR="00103CFB" w:rsidRPr="00293F5E" w:rsidRDefault="00103CFB" w:rsidP="00103CFB">
            <w:pPr>
              <w:spacing w:after="0"/>
              <w:ind w:left="0"/>
              <w:rPr>
                <w:rFonts w:ascii="Calibri" w:hAnsi="Calibri" w:cs="Calibri"/>
                <w:color w:val="000000"/>
                <w:szCs w:val="22"/>
              </w:rPr>
            </w:pPr>
            <w:r>
              <w:rPr>
                <w:color w:val="000000"/>
              </w:rPr>
              <w:t>Quarterly Report Errors from Status: Liable Active</w:t>
            </w:r>
          </w:p>
        </w:tc>
      </w:tr>
      <w:tr w:rsidR="00103CFB" w:rsidRPr="00293F5E" w14:paraId="03676CA3" w14:textId="77777777" w:rsidTr="00A26011">
        <w:trPr>
          <w:trHeight w:val="315"/>
        </w:trPr>
        <w:tc>
          <w:tcPr>
            <w:tcW w:w="684" w:type="dxa"/>
            <w:noWrap/>
            <w:vAlign w:val="bottom"/>
          </w:tcPr>
          <w:p w14:paraId="430ADA3F" w14:textId="64EE0A78" w:rsidR="00103CFB" w:rsidRDefault="00103CFB" w:rsidP="00103CFB">
            <w:pPr>
              <w:spacing w:after="0"/>
              <w:ind w:left="0"/>
              <w:jc w:val="center"/>
              <w:rPr>
                <w:rFonts w:ascii="Calibri" w:hAnsi="Calibri" w:cs="Calibri"/>
                <w:color w:val="000000"/>
                <w:szCs w:val="22"/>
              </w:rPr>
            </w:pPr>
            <w:r>
              <w:rPr>
                <w:color w:val="000000"/>
                <w:szCs w:val="22"/>
              </w:rPr>
              <w:t>83</w:t>
            </w:r>
          </w:p>
        </w:tc>
        <w:tc>
          <w:tcPr>
            <w:tcW w:w="1677" w:type="dxa"/>
            <w:noWrap/>
            <w:vAlign w:val="bottom"/>
          </w:tcPr>
          <w:p w14:paraId="12637756" w14:textId="77777777" w:rsidR="00103CFB"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0CE5C68F" w14:textId="77777777" w:rsidR="00103CFB" w:rsidRDefault="00103CFB" w:rsidP="00103CFB">
            <w:pPr>
              <w:spacing w:after="0"/>
              <w:ind w:left="0"/>
              <w:rPr>
                <w:rFonts w:ascii="Calibri" w:hAnsi="Calibri" w:cs="Calibri"/>
                <w:color w:val="000000"/>
                <w:szCs w:val="24"/>
              </w:rPr>
            </w:pPr>
            <w:r>
              <w:rPr>
                <w:color w:val="000000"/>
              </w:rPr>
              <w:t>TXDS0082</w:t>
            </w:r>
          </w:p>
        </w:tc>
        <w:tc>
          <w:tcPr>
            <w:tcW w:w="6963" w:type="dxa"/>
            <w:vAlign w:val="bottom"/>
          </w:tcPr>
          <w:p w14:paraId="65FF04C8" w14:textId="77777777" w:rsidR="00103CFB" w:rsidRPr="00293F5E" w:rsidRDefault="00103CFB" w:rsidP="00103CFB">
            <w:pPr>
              <w:spacing w:after="0"/>
              <w:ind w:left="0"/>
              <w:rPr>
                <w:rFonts w:ascii="Calibri" w:hAnsi="Calibri" w:cs="Calibri"/>
                <w:color w:val="000000"/>
                <w:szCs w:val="22"/>
              </w:rPr>
            </w:pPr>
            <w:r>
              <w:rPr>
                <w:color w:val="000000"/>
              </w:rPr>
              <w:t>Quarterly Report Errors from Status: Liable Inactive/Terminated</w:t>
            </w:r>
          </w:p>
        </w:tc>
      </w:tr>
      <w:tr w:rsidR="00103CFB" w:rsidRPr="00293F5E" w14:paraId="786283F4" w14:textId="77777777" w:rsidTr="00A26011">
        <w:trPr>
          <w:trHeight w:val="315"/>
        </w:trPr>
        <w:tc>
          <w:tcPr>
            <w:tcW w:w="684" w:type="dxa"/>
            <w:noWrap/>
            <w:vAlign w:val="bottom"/>
          </w:tcPr>
          <w:p w14:paraId="31BF65FC" w14:textId="7ECBA5BD" w:rsidR="00103CFB" w:rsidRDefault="00103CFB" w:rsidP="00103CFB">
            <w:pPr>
              <w:spacing w:after="0"/>
              <w:ind w:left="0"/>
              <w:jc w:val="center"/>
              <w:rPr>
                <w:rFonts w:ascii="Calibri" w:hAnsi="Calibri" w:cs="Calibri"/>
                <w:color w:val="000000"/>
                <w:szCs w:val="22"/>
              </w:rPr>
            </w:pPr>
            <w:r>
              <w:rPr>
                <w:szCs w:val="22"/>
              </w:rPr>
              <w:t>84</w:t>
            </w:r>
          </w:p>
        </w:tc>
        <w:tc>
          <w:tcPr>
            <w:tcW w:w="1677" w:type="dxa"/>
            <w:noWrap/>
            <w:vAlign w:val="bottom"/>
          </w:tcPr>
          <w:p w14:paraId="16B833F0" w14:textId="77777777" w:rsidR="00103CFB"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33AD4B4A" w14:textId="77777777" w:rsidR="00103CFB" w:rsidRDefault="00103CFB" w:rsidP="00103CFB">
            <w:pPr>
              <w:spacing w:after="0"/>
              <w:ind w:left="0"/>
              <w:rPr>
                <w:rFonts w:ascii="Calibri" w:hAnsi="Calibri" w:cs="Calibri"/>
                <w:color w:val="000000"/>
                <w:szCs w:val="24"/>
              </w:rPr>
            </w:pPr>
            <w:r>
              <w:rPr>
                <w:color w:val="000000"/>
              </w:rPr>
              <w:t>TXDS0082</w:t>
            </w:r>
          </w:p>
        </w:tc>
        <w:tc>
          <w:tcPr>
            <w:tcW w:w="6963" w:type="dxa"/>
            <w:vAlign w:val="bottom"/>
          </w:tcPr>
          <w:p w14:paraId="1A2E2C34" w14:textId="77777777" w:rsidR="00103CFB" w:rsidRPr="00293F5E" w:rsidRDefault="00103CFB" w:rsidP="00103CFB">
            <w:pPr>
              <w:spacing w:after="0"/>
              <w:ind w:left="0"/>
              <w:rPr>
                <w:rFonts w:ascii="Calibri" w:hAnsi="Calibri" w:cs="Calibri"/>
                <w:color w:val="000000"/>
                <w:szCs w:val="22"/>
              </w:rPr>
            </w:pPr>
            <w:r>
              <w:rPr>
                <w:color w:val="000000"/>
              </w:rPr>
              <w:t>Quarterly Report Errors from Status: Pending/Not Liable</w:t>
            </w:r>
          </w:p>
        </w:tc>
      </w:tr>
      <w:tr w:rsidR="00103CFB" w:rsidRPr="00293F5E" w14:paraId="5448C459" w14:textId="77777777" w:rsidTr="00A26011">
        <w:trPr>
          <w:trHeight w:val="315"/>
        </w:trPr>
        <w:tc>
          <w:tcPr>
            <w:tcW w:w="684" w:type="dxa"/>
            <w:noWrap/>
            <w:vAlign w:val="bottom"/>
          </w:tcPr>
          <w:p w14:paraId="766D2943" w14:textId="1B773974" w:rsidR="00103CFB" w:rsidRDefault="00103CFB" w:rsidP="00103CFB">
            <w:pPr>
              <w:spacing w:after="0"/>
              <w:ind w:left="0"/>
              <w:jc w:val="center"/>
              <w:rPr>
                <w:rFonts w:ascii="Calibri" w:hAnsi="Calibri" w:cs="Calibri"/>
                <w:color w:val="000000"/>
                <w:szCs w:val="22"/>
              </w:rPr>
            </w:pPr>
            <w:r>
              <w:rPr>
                <w:color w:val="000000"/>
                <w:szCs w:val="22"/>
              </w:rPr>
              <w:t>85</w:t>
            </w:r>
          </w:p>
        </w:tc>
        <w:tc>
          <w:tcPr>
            <w:tcW w:w="1677" w:type="dxa"/>
            <w:noWrap/>
            <w:vAlign w:val="bottom"/>
          </w:tcPr>
          <w:p w14:paraId="54D4F8D5" w14:textId="77777777" w:rsidR="00103CFB"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095AE936" w14:textId="77777777" w:rsidR="00103CFB" w:rsidRPr="00007760" w:rsidRDefault="00103CFB" w:rsidP="00103CFB">
            <w:pPr>
              <w:spacing w:after="0"/>
              <w:ind w:left="0"/>
              <w:rPr>
                <w:color w:val="000000"/>
              </w:rPr>
            </w:pPr>
            <w:r>
              <w:rPr>
                <w:color w:val="000000"/>
              </w:rPr>
              <w:t>TXDS0082</w:t>
            </w:r>
          </w:p>
        </w:tc>
        <w:tc>
          <w:tcPr>
            <w:tcW w:w="6963" w:type="dxa"/>
            <w:vAlign w:val="bottom"/>
          </w:tcPr>
          <w:p w14:paraId="7FB16A52" w14:textId="77777777" w:rsidR="00103CFB" w:rsidRPr="00007760" w:rsidRDefault="00103CFB" w:rsidP="00103CFB">
            <w:pPr>
              <w:spacing w:after="0"/>
              <w:ind w:left="0"/>
              <w:rPr>
                <w:color w:val="000000"/>
              </w:rPr>
            </w:pPr>
            <w:r>
              <w:rPr>
                <w:color w:val="000000"/>
              </w:rPr>
              <w:t>Refunds</w:t>
            </w:r>
          </w:p>
        </w:tc>
      </w:tr>
      <w:tr w:rsidR="00103CFB" w:rsidRPr="00293F5E" w14:paraId="2D1865F1" w14:textId="77777777" w:rsidTr="00A26011">
        <w:trPr>
          <w:trHeight w:val="315"/>
        </w:trPr>
        <w:tc>
          <w:tcPr>
            <w:tcW w:w="684" w:type="dxa"/>
            <w:noWrap/>
            <w:vAlign w:val="bottom"/>
          </w:tcPr>
          <w:p w14:paraId="06A16E37" w14:textId="0AE369ED" w:rsidR="00103CFB" w:rsidRDefault="00103CFB" w:rsidP="00103CFB">
            <w:pPr>
              <w:spacing w:after="0"/>
              <w:ind w:left="0"/>
              <w:jc w:val="center"/>
              <w:rPr>
                <w:rFonts w:ascii="Calibri" w:hAnsi="Calibri" w:cs="Calibri"/>
                <w:color w:val="000000"/>
                <w:szCs w:val="22"/>
              </w:rPr>
            </w:pPr>
            <w:r>
              <w:rPr>
                <w:szCs w:val="22"/>
              </w:rPr>
              <w:lastRenderedPageBreak/>
              <w:t>86</w:t>
            </w:r>
          </w:p>
        </w:tc>
        <w:tc>
          <w:tcPr>
            <w:tcW w:w="1677" w:type="dxa"/>
            <w:noWrap/>
            <w:vAlign w:val="bottom"/>
          </w:tcPr>
          <w:p w14:paraId="7A0DEC53" w14:textId="77777777" w:rsidR="00103CFB"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03301CC6" w14:textId="77777777" w:rsidR="00103CFB" w:rsidRPr="00007760" w:rsidRDefault="00103CFB" w:rsidP="00103CFB">
            <w:pPr>
              <w:spacing w:after="0"/>
              <w:ind w:left="0"/>
              <w:rPr>
                <w:color w:val="000000"/>
              </w:rPr>
            </w:pPr>
            <w:r>
              <w:rPr>
                <w:color w:val="000000"/>
              </w:rPr>
              <w:t>TXDS0090</w:t>
            </w:r>
          </w:p>
        </w:tc>
        <w:tc>
          <w:tcPr>
            <w:tcW w:w="6963" w:type="dxa"/>
            <w:vAlign w:val="bottom"/>
          </w:tcPr>
          <w:p w14:paraId="67CC8BB4" w14:textId="77777777" w:rsidR="00103CFB" w:rsidRPr="00007760" w:rsidRDefault="00103CFB" w:rsidP="00103CFB">
            <w:pPr>
              <w:spacing w:after="0"/>
              <w:ind w:left="0"/>
              <w:rPr>
                <w:color w:val="000000"/>
              </w:rPr>
            </w:pPr>
            <w:r>
              <w:rPr>
                <w:color w:val="000000"/>
              </w:rPr>
              <w:t>Assignment Groups</w:t>
            </w:r>
          </w:p>
        </w:tc>
      </w:tr>
      <w:tr w:rsidR="00103CFB" w:rsidRPr="00293F5E" w14:paraId="2C4E77C4" w14:textId="77777777" w:rsidTr="00A26011">
        <w:trPr>
          <w:trHeight w:val="315"/>
        </w:trPr>
        <w:tc>
          <w:tcPr>
            <w:tcW w:w="684" w:type="dxa"/>
            <w:noWrap/>
            <w:vAlign w:val="bottom"/>
          </w:tcPr>
          <w:p w14:paraId="1C0B8819" w14:textId="6A81B4FB" w:rsidR="00103CFB" w:rsidRDefault="00103CFB" w:rsidP="00103CFB">
            <w:pPr>
              <w:spacing w:after="0"/>
              <w:ind w:left="0"/>
              <w:jc w:val="center"/>
              <w:rPr>
                <w:rFonts w:ascii="Calibri" w:hAnsi="Calibri" w:cs="Calibri"/>
                <w:color w:val="000000"/>
                <w:szCs w:val="22"/>
              </w:rPr>
            </w:pPr>
            <w:r>
              <w:rPr>
                <w:color w:val="000000"/>
                <w:szCs w:val="22"/>
              </w:rPr>
              <w:t>87</w:t>
            </w:r>
          </w:p>
        </w:tc>
        <w:tc>
          <w:tcPr>
            <w:tcW w:w="1677" w:type="dxa"/>
            <w:noWrap/>
            <w:vAlign w:val="bottom"/>
          </w:tcPr>
          <w:p w14:paraId="0170EDBE" w14:textId="77777777" w:rsidR="00103CFB"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645D5083" w14:textId="77777777" w:rsidR="00103CFB" w:rsidRPr="00007760" w:rsidRDefault="00103CFB" w:rsidP="00103CFB">
            <w:pPr>
              <w:spacing w:after="0"/>
              <w:ind w:left="0"/>
              <w:rPr>
                <w:color w:val="000000"/>
              </w:rPr>
            </w:pPr>
            <w:r>
              <w:rPr>
                <w:color w:val="000000"/>
              </w:rPr>
              <w:t>TXDS0090</w:t>
            </w:r>
          </w:p>
        </w:tc>
        <w:tc>
          <w:tcPr>
            <w:tcW w:w="6963" w:type="dxa"/>
            <w:vAlign w:val="bottom"/>
          </w:tcPr>
          <w:p w14:paraId="6AE69E29" w14:textId="77777777" w:rsidR="00103CFB" w:rsidRPr="00007760" w:rsidRDefault="00103CFB" w:rsidP="00103CFB">
            <w:pPr>
              <w:spacing w:after="0"/>
              <w:ind w:left="0"/>
              <w:rPr>
                <w:color w:val="000000"/>
              </w:rPr>
            </w:pPr>
            <w:r>
              <w:rPr>
                <w:color w:val="000000"/>
              </w:rPr>
              <w:t>DLN Cross Reference</w:t>
            </w:r>
          </w:p>
        </w:tc>
      </w:tr>
      <w:tr w:rsidR="00103CFB" w:rsidRPr="00293F5E" w14:paraId="03C880CF" w14:textId="77777777" w:rsidTr="00A26011">
        <w:trPr>
          <w:trHeight w:val="315"/>
        </w:trPr>
        <w:tc>
          <w:tcPr>
            <w:tcW w:w="684" w:type="dxa"/>
            <w:noWrap/>
            <w:vAlign w:val="bottom"/>
          </w:tcPr>
          <w:p w14:paraId="59557132" w14:textId="28EF5988" w:rsidR="00103CFB" w:rsidRDefault="00103CFB" w:rsidP="00103CFB">
            <w:pPr>
              <w:spacing w:after="0"/>
              <w:ind w:left="0"/>
              <w:jc w:val="center"/>
              <w:rPr>
                <w:rFonts w:ascii="Calibri" w:hAnsi="Calibri" w:cs="Calibri"/>
                <w:color w:val="000000"/>
                <w:szCs w:val="22"/>
              </w:rPr>
            </w:pPr>
            <w:r>
              <w:rPr>
                <w:szCs w:val="22"/>
              </w:rPr>
              <w:t>88</w:t>
            </w:r>
          </w:p>
        </w:tc>
        <w:tc>
          <w:tcPr>
            <w:tcW w:w="1677" w:type="dxa"/>
            <w:noWrap/>
            <w:vAlign w:val="bottom"/>
          </w:tcPr>
          <w:p w14:paraId="3DE46095" w14:textId="77777777" w:rsidR="00103CFB"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7D5A10A9" w14:textId="77777777" w:rsidR="00103CFB" w:rsidRPr="00007760" w:rsidRDefault="00103CFB" w:rsidP="00103CFB">
            <w:pPr>
              <w:spacing w:after="0"/>
              <w:ind w:left="0"/>
              <w:rPr>
                <w:color w:val="000000"/>
              </w:rPr>
            </w:pPr>
            <w:r>
              <w:rPr>
                <w:color w:val="000000"/>
              </w:rPr>
              <w:t>TXDS0090</w:t>
            </w:r>
          </w:p>
        </w:tc>
        <w:tc>
          <w:tcPr>
            <w:tcW w:w="6963" w:type="dxa"/>
            <w:vAlign w:val="bottom"/>
          </w:tcPr>
          <w:p w14:paraId="033E301D" w14:textId="77777777" w:rsidR="00103CFB" w:rsidRPr="00007760" w:rsidRDefault="00103CFB" w:rsidP="00103CFB">
            <w:pPr>
              <w:spacing w:after="0"/>
              <w:ind w:left="0"/>
              <w:rPr>
                <w:color w:val="000000"/>
              </w:rPr>
            </w:pPr>
            <w:r>
              <w:rPr>
                <w:color w:val="000000"/>
              </w:rPr>
              <w:t>Itemized Discrepancy List</w:t>
            </w:r>
          </w:p>
        </w:tc>
      </w:tr>
      <w:tr w:rsidR="00103CFB" w:rsidRPr="00293F5E" w14:paraId="3A66CE2E" w14:textId="77777777" w:rsidTr="00A26011">
        <w:trPr>
          <w:trHeight w:val="315"/>
        </w:trPr>
        <w:tc>
          <w:tcPr>
            <w:tcW w:w="684" w:type="dxa"/>
            <w:noWrap/>
            <w:vAlign w:val="bottom"/>
          </w:tcPr>
          <w:p w14:paraId="3E02487D" w14:textId="241C779B" w:rsidR="00103CFB" w:rsidRDefault="00103CFB" w:rsidP="00103CFB">
            <w:pPr>
              <w:spacing w:after="0"/>
              <w:ind w:left="0"/>
              <w:jc w:val="center"/>
              <w:rPr>
                <w:rFonts w:ascii="Calibri" w:hAnsi="Calibri" w:cs="Calibri"/>
                <w:color w:val="000000"/>
                <w:szCs w:val="22"/>
              </w:rPr>
            </w:pPr>
            <w:r>
              <w:rPr>
                <w:color w:val="000000"/>
                <w:szCs w:val="22"/>
              </w:rPr>
              <w:t>89</w:t>
            </w:r>
          </w:p>
        </w:tc>
        <w:tc>
          <w:tcPr>
            <w:tcW w:w="1677" w:type="dxa"/>
            <w:noWrap/>
            <w:vAlign w:val="bottom"/>
          </w:tcPr>
          <w:p w14:paraId="78A3B239" w14:textId="77777777" w:rsidR="00103CFB"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3AF928EC" w14:textId="77777777" w:rsidR="00103CFB" w:rsidRPr="00007760" w:rsidRDefault="00103CFB" w:rsidP="00103CFB">
            <w:pPr>
              <w:spacing w:after="0"/>
              <w:ind w:left="0"/>
              <w:rPr>
                <w:color w:val="000000"/>
              </w:rPr>
            </w:pPr>
            <w:r>
              <w:rPr>
                <w:color w:val="000000"/>
              </w:rPr>
              <w:t>TXDS0090</w:t>
            </w:r>
          </w:p>
        </w:tc>
        <w:tc>
          <w:tcPr>
            <w:tcW w:w="6963" w:type="dxa"/>
            <w:vAlign w:val="bottom"/>
          </w:tcPr>
          <w:p w14:paraId="03A3B516" w14:textId="77777777" w:rsidR="00103CFB" w:rsidRPr="00007760" w:rsidRDefault="00103CFB" w:rsidP="00103CFB">
            <w:pPr>
              <w:spacing w:after="0"/>
              <w:ind w:left="0"/>
              <w:rPr>
                <w:color w:val="000000"/>
              </w:rPr>
            </w:pPr>
            <w:r>
              <w:rPr>
                <w:color w:val="000000"/>
              </w:rPr>
              <w:t>Released Documents by Control Group</w:t>
            </w:r>
          </w:p>
        </w:tc>
      </w:tr>
      <w:tr w:rsidR="00103CFB" w:rsidRPr="00293F5E" w14:paraId="6E7E17F9" w14:textId="77777777" w:rsidTr="00A26011">
        <w:trPr>
          <w:trHeight w:val="315"/>
        </w:trPr>
        <w:tc>
          <w:tcPr>
            <w:tcW w:w="684" w:type="dxa"/>
            <w:noWrap/>
            <w:vAlign w:val="bottom"/>
          </w:tcPr>
          <w:p w14:paraId="1500959A" w14:textId="74A0186C" w:rsidR="00103CFB" w:rsidRDefault="00103CFB" w:rsidP="00103CFB">
            <w:pPr>
              <w:spacing w:after="0"/>
              <w:ind w:left="0"/>
              <w:jc w:val="center"/>
              <w:rPr>
                <w:rFonts w:ascii="Calibri" w:hAnsi="Calibri" w:cs="Calibri"/>
                <w:color w:val="000000"/>
                <w:szCs w:val="22"/>
              </w:rPr>
            </w:pPr>
            <w:r>
              <w:rPr>
                <w:szCs w:val="22"/>
              </w:rPr>
              <w:t>90</w:t>
            </w:r>
          </w:p>
        </w:tc>
        <w:tc>
          <w:tcPr>
            <w:tcW w:w="1677" w:type="dxa"/>
            <w:noWrap/>
            <w:vAlign w:val="bottom"/>
          </w:tcPr>
          <w:p w14:paraId="5277F515" w14:textId="77777777" w:rsidR="00103CFB"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5F02130C" w14:textId="77777777" w:rsidR="00103CFB" w:rsidRPr="00007760" w:rsidRDefault="00103CFB" w:rsidP="00103CFB">
            <w:pPr>
              <w:spacing w:after="0"/>
              <w:ind w:left="0"/>
              <w:rPr>
                <w:color w:val="000000"/>
              </w:rPr>
            </w:pPr>
            <w:r>
              <w:rPr>
                <w:color w:val="000000"/>
              </w:rPr>
              <w:t>TXDS0090</w:t>
            </w:r>
          </w:p>
        </w:tc>
        <w:tc>
          <w:tcPr>
            <w:tcW w:w="6963" w:type="dxa"/>
            <w:vAlign w:val="bottom"/>
          </w:tcPr>
          <w:p w14:paraId="6DA1AD31" w14:textId="77777777" w:rsidR="00103CFB" w:rsidRPr="00007760" w:rsidRDefault="00103CFB" w:rsidP="00103CFB">
            <w:pPr>
              <w:spacing w:after="0"/>
              <w:ind w:left="0"/>
              <w:rPr>
                <w:color w:val="000000"/>
              </w:rPr>
            </w:pPr>
            <w:r>
              <w:rPr>
                <w:color w:val="000000"/>
              </w:rPr>
              <w:t>Status Transaction Errors</w:t>
            </w:r>
          </w:p>
        </w:tc>
      </w:tr>
      <w:tr w:rsidR="00103CFB" w:rsidRPr="00293F5E" w14:paraId="66A53583" w14:textId="77777777" w:rsidTr="00A26011">
        <w:trPr>
          <w:trHeight w:val="315"/>
        </w:trPr>
        <w:tc>
          <w:tcPr>
            <w:tcW w:w="684" w:type="dxa"/>
            <w:noWrap/>
            <w:vAlign w:val="bottom"/>
          </w:tcPr>
          <w:p w14:paraId="766AB04D" w14:textId="72CC6013" w:rsidR="00103CFB" w:rsidRDefault="00103CFB" w:rsidP="00103CFB">
            <w:pPr>
              <w:spacing w:after="0"/>
              <w:ind w:left="0"/>
              <w:jc w:val="center"/>
              <w:rPr>
                <w:rFonts w:ascii="Calibri" w:hAnsi="Calibri" w:cs="Calibri"/>
                <w:color w:val="000000"/>
                <w:szCs w:val="22"/>
              </w:rPr>
            </w:pPr>
            <w:r>
              <w:rPr>
                <w:color w:val="000000"/>
                <w:szCs w:val="22"/>
              </w:rPr>
              <w:t>91</w:t>
            </w:r>
          </w:p>
        </w:tc>
        <w:tc>
          <w:tcPr>
            <w:tcW w:w="1677" w:type="dxa"/>
            <w:noWrap/>
            <w:vAlign w:val="bottom"/>
          </w:tcPr>
          <w:p w14:paraId="75FA7C1F" w14:textId="77777777" w:rsidR="00103CFB"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25789EBC" w14:textId="77777777" w:rsidR="00103CFB" w:rsidRPr="00007760" w:rsidRDefault="00103CFB" w:rsidP="00103CFB">
            <w:pPr>
              <w:spacing w:after="0"/>
              <w:ind w:left="0"/>
              <w:rPr>
                <w:color w:val="000000"/>
              </w:rPr>
            </w:pPr>
            <w:r>
              <w:rPr>
                <w:color w:val="000000"/>
              </w:rPr>
              <w:t>TXDS0091</w:t>
            </w:r>
          </w:p>
        </w:tc>
        <w:tc>
          <w:tcPr>
            <w:tcW w:w="6963" w:type="dxa"/>
            <w:vAlign w:val="bottom"/>
          </w:tcPr>
          <w:p w14:paraId="1F6E5450" w14:textId="77777777" w:rsidR="00103CFB" w:rsidRPr="00007760" w:rsidRDefault="00103CFB" w:rsidP="00103CFB">
            <w:pPr>
              <w:spacing w:after="0"/>
              <w:ind w:left="0"/>
              <w:rPr>
                <w:color w:val="000000"/>
              </w:rPr>
            </w:pPr>
            <w:r>
              <w:rPr>
                <w:color w:val="000000"/>
              </w:rPr>
              <w:t>Accounts Changing to Error</w:t>
            </w:r>
          </w:p>
        </w:tc>
      </w:tr>
      <w:tr w:rsidR="00103CFB" w:rsidRPr="00293F5E" w14:paraId="006D2A55" w14:textId="77777777" w:rsidTr="00A26011">
        <w:trPr>
          <w:trHeight w:val="315"/>
        </w:trPr>
        <w:tc>
          <w:tcPr>
            <w:tcW w:w="684" w:type="dxa"/>
            <w:noWrap/>
            <w:vAlign w:val="bottom"/>
          </w:tcPr>
          <w:p w14:paraId="6B02C21F" w14:textId="6B5820E8" w:rsidR="00103CFB" w:rsidRDefault="00103CFB" w:rsidP="00103CFB">
            <w:pPr>
              <w:spacing w:after="0"/>
              <w:ind w:left="0"/>
              <w:jc w:val="center"/>
              <w:rPr>
                <w:rFonts w:ascii="Calibri" w:hAnsi="Calibri" w:cs="Calibri"/>
                <w:color w:val="000000"/>
                <w:szCs w:val="22"/>
              </w:rPr>
            </w:pPr>
            <w:r>
              <w:rPr>
                <w:szCs w:val="22"/>
              </w:rPr>
              <w:t>92</w:t>
            </w:r>
          </w:p>
        </w:tc>
        <w:tc>
          <w:tcPr>
            <w:tcW w:w="1677" w:type="dxa"/>
            <w:noWrap/>
            <w:vAlign w:val="bottom"/>
          </w:tcPr>
          <w:p w14:paraId="63DE0FCD" w14:textId="77777777" w:rsidR="00103CFB"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59112514" w14:textId="77777777" w:rsidR="00103CFB" w:rsidRPr="00007760" w:rsidRDefault="00103CFB" w:rsidP="00103CFB">
            <w:pPr>
              <w:spacing w:after="0"/>
              <w:ind w:left="0"/>
              <w:rPr>
                <w:color w:val="000000"/>
              </w:rPr>
            </w:pPr>
            <w:r>
              <w:rPr>
                <w:color w:val="000000"/>
              </w:rPr>
              <w:t>TXDS0091</w:t>
            </w:r>
          </w:p>
        </w:tc>
        <w:tc>
          <w:tcPr>
            <w:tcW w:w="6963" w:type="dxa"/>
            <w:vAlign w:val="bottom"/>
          </w:tcPr>
          <w:p w14:paraId="01C868E7" w14:textId="77777777" w:rsidR="00103CFB" w:rsidRPr="00007760" w:rsidRDefault="00103CFB" w:rsidP="00103CFB">
            <w:pPr>
              <w:spacing w:after="0"/>
              <w:ind w:left="0"/>
              <w:rPr>
                <w:color w:val="000000"/>
              </w:rPr>
            </w:pPr>
            <w:r>
              <w:rPr>
                <w:color w:val="000000"/>
              </w:rPr>
              <w:t>Month-To-Date Performance Measures Summary</w:t>
            </w:r>
          </w:p>
        </w:tc>
      </w:tr>
      <w:tr w:rsidR="00103CFB" w:rsidRPr="00293F5E" w14:paraId="30C5EA3D" w14:textId="77777777" w:rsidTr="00A26011">
        <w:trPr>
          <w:trHeight w:val="315"/>
        </w:trPr>
        <w:tc>
          <w:tcPr>
            <w:tcW w:w="684" w:type="dxa"/>
            <w:noWrap/>
            <w:vAlign w:val="bottom"/>
          </w:tcPr>
          <w:p w14:paraId="76FDAC23" w14:textId="47D0787C" w:rsidR="00103CFB" w:rsidRDefault="00103CFB" w:rsidP="00103CFB">
            <w:pPr>
              <w:spacing w:after="0"/>
              <w:ind w:left="0"/>
              <w:jc w:val="center"/>
              <w:rPr>
                <w:rFonts w:ascii="Calibri" w:hAnsi="Calibri" w:cs="Calibri"/>
                <w:color w:val="000000"/>
                <w:szCs w:val="22"/>
              </w:rPr>
            </w:pPr>
            <w:r>
              <w:rPr>
                <w:color w:val="000000"/>
                <w:szCs w:val="22"/>
              </w:rPr>
              <w:t>93</w:t>
            </w:r>
          </w:p>
        </w:tc>
        <w:tc>
          <w:tcPr>
            <w:tcW w:w="1677" w:type="dxa"/>
            <w:noWrap/>
            <w:vAlign w:val="bottom"/>
          </w:tcPr>
          <w:p w14:paraId="7CC1A075" w14:textId="77777777" w:rsidR="00103CFB"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2B35AF4D" w14:textId="77777777" w:rsidR="00103CFB" w:rsidRPr="00007760" w:rsidRDefault="00103CFB" w:rsidP="00103CFB">
            <w:pPr>
              <w:spacing w:after="0"/>
              <w:ind w:left="0"/>
              <w:rPr>
                <w:color w:val="000000"/>
              </w:rPr>
            </w:pPr>
            <w:r>
              <w:rPr>
                <w:color w:val="000000"/>
              </w:rPr>
              <w:t>TXDS0091</w:t>
            </w:r>
          </w:p>
        </w:tc>
        <w:tc>
          <w:tcPr>
            <w:tcW w:w="6963" w:type="dxa"/>
            <w:vAlign w:val="bottom"/>
          </w:tcPr>
          <w:p w14:paraId="4592EE1F" w14:textId="77777777" w:rsidR="00103CFB" w:rsidRPr="00007760" w:rsidRDefault="00103CFB" w:rsidP="00103CFB">
            <w:pPr>
              <w:spacing w:after="0"/>
              <w:ind w:left="0"/>
              <w:rPr>
                <w:color w:val="000000"/>
              </w:rPr>
            </w:pPr>
            <w:r>
              <w:rPr>
                <w:color w:val="000000"/>
              </w:rPr>
              <w:t>New Determinations - 180 Days</w:t>
            </w:r>
          </w:p>
        </w:tc>
      </w:tr>
      <w:tr w:rsidR="00103CFB" w:rsidRPr="00293F5E" w14:paraId="145F10A5" w14:textId="77777777" w:rsidTr="00A26011">
        <w:trPr>
          <w:trHeight w:val="315"/>
        </w:trPr>
        <w:tc>
          <w:tcPr>
            <w:tcW w:w="684" w:type="dxa"/>
            <w:noWrap/>
            <w:vAlign w:val="bottom"/>
          </w:tcPr>
          <w:p w14:paraId="33B7EADF" w14:textId="72EC275E" w:rsidR="00103CFB" w:rsidRDefault="00103CFB" w:rsidP="00103CFB">
            <w:pPr>
              <w:spacing w:after="0"/>
              <w:ind w:left="0"/>
              <w:jc w:val="center"/>
              <w:rPr>
                <w:rFonts w:ascii="Calibri" w:hAnsi="Calibri" w:cs="Calibri"/>
                <w:color w:val="000000"/>
                <w:szCs w:val="22"/>
              </w:rPr>
            </w:pPr>
            <w:r>
              <w:rPr>
                <w:szCs w:val="22"/>
              </w:rPr>
              <w:t>94</w:t>
            </w:r>
          </w:p>
        </w:tc>
        <w:tc>
          <w:tcPr>
            <w:tcW w:w="1677" w:type="dxa"/>
            <w:noWrap/>
            <w:vAlign w:val="bottom"/>
          </w:tcPr>
          <w:p w14:paraId="31BA3625" w14:textId="77777777" w:rsidR="00103CFB"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4FBBE7B5" w14:textId="77777777" w:rsidR="00103CFB" w:rsidRPr="00007760" w:rsidRDefault="00103CFB" w:rsidP="00103CFB">
            <w:pPr>
              <w:spacing w:after="0"/>
              <w:ind w:left="0"/>
              <w:rPr>
                <w:color w:val="000000"/>
              </w:rPr>
            </w:pPr>
            <w:r>
              <w:rPr>
                <w:color w:val="000000"/>
              </w:rPr>
              <w:t>TXDS0091</w:t>
            </w:r>
          </w:p>
        </w:tc>
        <w:tc>
          <w:tcPr>
            <w:tcW w:w="6963" w:type="dxa"/>
            <w:vAlign w:val="bottom"/>
          </w:tcPr>
          <w:p w14:paraId="76B4E26B" w14:textId="77777777" w:rsidR="00103CFB" w:rsidRPr="00007760" w:rsidRDefault="00103CFB" w:rsidP="00103CFB">
            <w:pPr>
              <w:spacing w:after="0"/>
              <w:ind w:left="0"/>
              <w:rPr>
                <w:color w:val="000000"/>
              </w:rPr>
            </w:pPr>
            <w:r>
              <w:rPr>
                <w:color w:val="000000"/>
              </w:rPr>
              <w:t>New Determinations - 90 Days</w:t>
            </w:r>
          </w:p>
        </w:tc>
      </w:tr>
      <w:tr w:rsidR="00103CFB" w:rsidRPr="00293F5E" w14:paraId="3577EDFB" w14:textId="77777777" w:rsidTr="00A26011">
        <w:trPr>
          <w:trHeight w:val="315"/>
        </w:trPr>
        <w:tc>
          <w:tcPr>
            <w:tcW w:w="684" w:type="dxa"/>
            <w:noWrap/>
            <w:vAlign w:val="bottom"/>
          </w:tcPr>
          <w:p w14:paraId="1E0E4177" w14:textId="248AE0F7" w:rsidR="00103CFB" w:rsidRDefault="00103CFB" w:rsidP="00103CFB">
            <w:pPr>
              <w:spacing w:after="0"/>
              <w:ind w:left="0"/>
              <w:jc w:val="center"/>
              <w:rPr>
                <w:rFonts w:ascii="Calibri" w:hAnsi="Calibri" w:cs="Calibri"/>
                <w:color w:val="000000"/>
                <w:szCs w:val="22"/>
              </w:rPr>
            </w:pPr>
            <w:r>
              <w:rPr>
                <w:color w:val="000000"/>
                <w:szCs w:val="22"/>
              </w:rPr>
              <w:t>95</w:t>
            </w:r>
          </w:p>
        </w:tc>
        <w:tc>
          <w:tcPr>
            <w:tcW w:w="1677" w:type="dxa"/>
            <w:noWrap/>
            <w:vAlign w:val="bottom"/>
          </w:tcPr>
          <w:p w14:paraId="23F23C90" w14:textId="77777777" w:rsidR="00103CFB"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1F0A1AFC" w14:textId="77777777" w:rsidR="00103CFB" w:rsidRPr="00007760" w:rsidRDefault="00103CFB" w:rsidP="00103CFB">
            <w:pPr>
              <w:spacing w:after="0"/>
              <w:ind w:left="0"/>
              <w:rPr>
                <w:color w:val="000000"/>
              </w:rPr>
            </w:pPr>
            <w:r>
              <w:rPr>
                <w:color w:val="000000"/>
              </w:rPr>
              <w:t>TXDS0091</w:t>
            </w:r>
          </w:p>
        </w:tc>
        <w:tc>
          <w:tcPr>
            <w:tcW w:w="6963" w:type="dxa"/>
            <w:vAlign w:val="bottom"/>
          </w:tcPr>
          <w:p w14:paraId="61B9F1A3" w14:textId="77777777" w:rsidR="00103CFB" w:rsidRPr="00007760" w:rsidRDefault="00103CFB" w:rsidP="00103CFB">
            <w:pPr>
              <w:spacing w:after="0"/>
              <w:ind w:left="0"/>
              <w:rPr>
                <w:color w:val="000000"/>
              </w:rPr>
            </w:pPr>
            <w:r>
              <w:rPr>
                <w:color w:val="000000"/>
              </w:rPr>
              <w:t>Successor Determinations - 180 Days</w:t>
            </w:r>
          </w:p>
        </w:tc>
      </w:tr>
      <w:tr w:rsidR="00103CFB" w:rsidRPr="00293F5E" w14:paraId="66BFFB98" w14:textId="77777777" w:rsidTr="00A26011">
        <w:trPr>
          <w:trHeight w:val="315"/>
        </w:trPr>
        <w:tc>
          <w:tcPr>
            <w:tcW w:w="684" w:type="dxa"/>
            <w:noWrap/>
            <w:vAlign w:val="bottom"/>
          </w:tcPr>
          <w:p w14:paraId="54F18203" w14:textId="3B0D807F" w:rsidR="00103CFB" w:rsidRDefault="00103CFB" w:rsidP="00103CFB">
            <w:pPr>
              <w:spacing w:after="0"/>
              <w:ind w:left="0"/>
              <w:jc w:val="center"/>
              <w:rPr>
                <w:rFonts w:ascii="Calibri" w:hAnsi="Calibri" w:cs="Calibri"/>
                <w:color w:val="000000"/>
                <w:szCs w:val="22"/>
              </w:rPr>
            </w:pPr>
            <w:r>
              <w:rPr>
                <w:szCs w:val="22"/>
              </w:rPr>
              <w:t>96</w:t>
            </w:r>
          </w:p>
        </w:tc>
        <w:tc>
          <w:tcPr>
            <w:tcW w:w="1677" w:type="dxa"/>
            <w:noWrap/>
            <w:vAlign w:val="bottom"/>
          </w:tcPr>
          <w:p w14:paraId="50158009" w14:textId="77777777" w:rsidR="00103CFB"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63DDB607" w14:textId="77777777" w:rsidR="00103CFB" w:rsidRPr="00007760" w:rsidRDefault="00103CFB" w:rsidP="00103CFB">
            <w:pPr>
              <w:spacing w:after="0"/>
              <w:ind w:left="0"/>
              <w:rPr>
                <w:color w:val="000000"/>
              </w:rPr>
            </w:pPr>
            <w:r>
              <w:rPr>
                <w:color w:val="000000"/>
              </w:rPr>
              <w:t>TXDS0091</w:t>
            </w:r>
          </w:p>
        </w:tc>
        <w:tc>
          <w:tcPr>
            <w:tcW w:w="6963" w:type="dxa"/>
            <w:vAlign w:val="bottom"/>
          </w:tcPr>
          <w:p w14:paraId="4B9D25CD" w14:textId="77777777" w:rsidR="00103CFB" w:rsidRPr="00007760" w:rsidRDefault="00103CFB" w:rsidP="00103CFB">
            <w:pPr>
              <w:spacing w:after="0"/>
              <w:ind w:left="0"/>
              <w:rPr>
                <w:color w:val="000000"/>
              </w:rPr>
            </w:pPr>
            <w:r>
              <w:rPr>
                <w:color w:val="000000"/>
              </w:rPr>
              <w:t>Successor Determinations - 90 Days</w:t>
            </w:r>
          </w:p>
        </w:tc>
      </w:tr>
      <w:tr w:rsidR="00103CFB" w:rsidRPr="00293F5E" w14:paraId="4B588E5C" w14:textId="77777777" w:rsidTr="00A26011">
        <w:trPr>
          <w:trHeight w:val="315"/>
        </w:trPr>
        <w:tc>
          <w:tcPr>
            <w:tcW w:w="684" w:type="dxa"/>
            <w:noWrap/>
            <w:vAlign w:val="bottom"/>
          </w:tcPr>
          <w:p w14:paraId="6E23D30D" w14:textId="0612C7D3" w:rsidR="00103CFB" w:rsidRDefault="00103CFB" w:rsidP="00103CFB">
            <w:pPr>
              <w:spacing w:after="0"/>
              <w:ind w:left="0"/>
              <w:jc w:val="center"/>
              <w:rPr>
                <w:rFonts w:ascii="Calibri" w:hAnsi="Calibri" w:cs="Calibri"/>
                <w:color w:val="000000"/>
                <w:szCs w:val="22"/>
              </w:rPr>
            </w:pPr>
            <w:r>
              <w:rPr>
                <w:color w:val="000000"/>
                <w:szCs w:val="22"/>
              </w:rPr>
              <w:t>97</w:t>
            </w:r>
          </w:p>
        </w:tc>
        <w:tc>
          <w:tcPr>
            <w:tcW w:w="1677" w:type="dxa"/>
            <w:noWrap/>
            <w:vAlign w:val="bottom"/>
          </w:tcPr>
          <w:p w14:paraId="6F649BF2" w14:textId="77777777" w:rsidR="00103CFB"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01BF876F" w14:textId="77777777" w:rsidR="00103CFB" w:rsidRPr="00007760" w:rsidRDefault="00103CFB" w:rsidP="00103CFB">
            <w:pPr>
              <w:spacing w:after="0"/>
              <w:ind w:left="0"/>
              <w:rPr>
                <w:color w:val="000000"/>
              </w:rPr>
            </w:pPr>
            <w:r>
              <w:rPr>
                <w:color w:val="000000"/>
              </w:rPr>
              <w:t>TXDS0100</w:t>
            </w:r>
          </w:p>
        </w:tc>
        <w:tc>
          <w:tcPr>
            <w:tcW w:w="6963" w:type="dxa"/>
            <w:vAlign w:val="bottom"/>
          </w:tcPr>
          <w:p w14:paraId="2BBB4BD2" w14:textId="77777777" w:rsidR="00103CFB" w:rsidRPr="00007760" w:rsidRDefault="00103CFB" w:rsidP="00103CFB">
            <w:pPr>
              <w:spacing w:after="0"/>
              <w:ind w:left="0"/>
              <w:rPr>
                <w:color w:val="000000"/>
              </w:rPr>
            </w:pPr>
            <w:r>
              <w:rPr>
                <w:color w:val="000000"/>
              </w:rPr>
              <w:t>Mag Tape C-3's Posted to Pending Account</w:t>
            </w:r>
          </w:p>
        </w:tc>
      </w:tr>
      <w:tr w:rsidR="00103CFB" w:rsidRPr="00293F5E" w14:paraId="2A772760" w14:textId="77777777" w:rsidTr="00A26011">
        <w:trPr>
          <w:trHeight w:val="315"/>
        </w:trPr>
        <w:tc>
          <w:tcPr>
            <w:tcW w:w="684" w:type="dxa"/>
            <w:noWrap/>
            <w:vAlign w:val="bottom"/>
          </w:tcPr>
          <w:p w14:paraId="1F5A2C73" w14:textId="288DD1D6" w:rsidR="00103CFB" w:rsidRDefault="00103CFB" w:rsidP="00103CFB">
            <w:pPr>
              <w:spacing w:after="0"/>
              <w:ind w:left="0"/>
              <w:jc w:val="center"/>
              <w:rPr>
                <w:rFonts w:ascii="Calibri" w:hAnsi="Calibri" w:cs="Calibri"/>
                <w:color w:val="000000"/>
                <w:szCs w:val="22"/>
              </w:rPr>
            </w:pPr>
            <w:r>
              <w:rPr>
                <w:szCs w:val="22"/>
              </w:rPr>
              <w:t>98</w:t>
            </w:r>
          </w:p>
        </w:tc>
        <w:tc>
          <w:tcPr>
            <w:tcW w:w="1677" w:type="dxa"/>
            <w:noWrap/>
            <w:vAlign w:val="bottom"/>
          </w:tcPr>
          <w:p w14:paraId="61680720" w14:textId="77777777" w:rsidR="00103CFB"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6EE63E2C" w14:textId="77777777" w:rsidR="00103CFB" w:rsidRPr="00007760" w:rsidRDefault="00103CFB" w:rsidP="00103CFB">
            <w:pPr>
              <w:spacing w:after="0"/>
              <w:ind w:left="0"/>
              <w:rPr>
                <w:color w:val="000000"/>
              </w:rPr>
            </w:pPr>
            <w:r>
              <w:rPr>
                <w:color w:val="000000"/>
              </w:rPr>
              <w:t>TXDS0100</w:t>
            </w:r>
          </w:p>
        </w:tc>
        <w:tc>
          <w:tcPr>
            <w:tcW w:w="6963" w:type="dxa"/>
            <w:vAlign w:val="bottom"/>
          </w:tcPr>
          <w:p w14:paraId="11EC1F3D" w14:textId="77777777" w:rsidR="00103CFB" w:rsidRPr="00007760" w:rsidRDefault="00103CFB" w:rsidP="00103CFB">
            <w:pPr>
              <w:spacing w:after="0"/>
              <w:ind w:left="0"/>
              <w:rPr>
                <w:color w:val="000000"/>
              </w:rPr>
            </w:pPr>
            <w:r>
              <w:rPr>
                <w:color w:val="000000"/>
              </w:rPr>
              <w:t>No Status Master File</w:t>
            </w:r>
          </w:p>
        </w:tc>
      </w:tr>
      <w:tr w:rsidR="00103CFB" w:rsidRPr="00293F5E" w14:paraId="36E1C001" w14:textId="77777777" w:rsidTr="00A26011">
        <w:trPr>
          <w:trHeight w:val="315"/>
        </w:trPr>
        <w:tc>
          <w:tcPr>
            <w:tcW w:w="684" w:type="dxa"/>
            <w:noWrap/>
            <w:vAlign w:val="bottom"/>
          </w:tcPr>
          <w:p w14:paraId="382E5AE7" w14:textId="1AE08D23" w:rsidR="00103CFB" w:rsidRDefault="00103CFB" w:rsidP="00103CFB">
            <w:pPr>
              <w:spacing w:after="0"/>
              <w:ind w:left="0"/>
              <w:jc w:val="center"/>
              <w:rPr>
                <w:rFonts w:ascii="Calibri" w:hAnsi="Calibri" w:cs="Calibri"/>
                <w:color w:val="000000"/>
                <w:szCs w:val="22"/>
              </w:rPr>
            </w:pPr>
            <w:r>
              <w:rPr>
                <w:color w:val="000000"/>
                <w:szCs w:val="22"/>
              </w:rPr>
              <w:t>99</w:t>
            </w:r>
          </w:p>
        </w:tc>
        <w:tc>
          <w:tcPr>
            <w:tcW w:w="1677" w:type="dxa"/>
            <w:noWrap/>
            <w:vAlign w:val="bottom"/>
          </w:tcPr>
          <w:p w14:paraId="65621F44" w14:textId="77777777" w:rsidR="00103CFB"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00565B42" w14:textId="77777777" w:rsidR="00103CFB" w:rsidRPr="00007760" w:rsidRDefault="00103CFB" w:rsidP="00103CFB">
            <w:pPr>
              <w:spacing w:after="0"/>
              <w:ind w:left="0"/>
              <w:rPr>
                <w:color w:val="000000"/>
              </w:rPr>
            </w:pPr>
            <w:r>
              <w:rPr>
                <w:color w:val="000000"/>
              </w:rPr>
              <w:t>TXDS0121</w:t>
            </w:r>
          </w:p>
        </w:tc>
        <w:tc>
          <w:tcPr>
            <w:tcW w:w="6963" w:type="dxa"/>
            <w:vAlign w:val="bottom"/>
          </w:tcPr>
          <w:p w14:paraId="0BF7A781" w14:textId="77777777" w:rsidR="00103CFB" w:rsidRPr="00007760" w:rsidRDefault="00103CFB" w:rsidP="00103CFB">
            <w:pPr>
              <w:spacing w:after="0"/>
              <w:ind w:left="0"/>
              <w:rPr>
                <w:color w:val="000000"/>
              </w:rPr>
            </w:pPr>
            <w:r>
              <w:rPr>
                <w:color w:val="000000"/>
              </w:rPr>
              <w:t>Power of Attorney Account Revoked</w:t>
            </w:r>
          </w:p>
        </w:tc>
      </w:tr>
      <w:tr w:rsidR="00103CFB" w:rsidRPr="00293F5E" w14:paraId="5A37D996" w14:textId="77777777" w:rsidTr="00A26011">
        <w:trPr>
          <w:trHeight w:val="315"/>
        </w:trPr>
        <w:tc>
          <w:tcPr>
            <w:tcW w:w="684" w:type="dxa"/>
            <w:noWrap/>
            <w:vAlign w:val="bottom"/>
          </w:tcPr>
          <w:p w14:paraId="0D8FBACD" w14:textId="31AD344D" w:rsidR="00103CFB" w:rsidRDefault="00103CFB" w:rsidP="00103CFB">
            <w:pPr>
              <w:spacing w:after="0"/>
              <w:ind w:left="0"/>
              <w:jc w:val="center"/>
              <w:rPr>
                <w:rFonts w:ascii="Calibri" w:hAnsi="Calibri" w:cs="Calibri"/>
                <w:color w:val="000000"/>
                <w:szCs w:val="22"/>
              </w:rPr>
            </w:pPr>
            <w:r>
              <w:rPr>
                <w:szCs w:val="22"/>
              </w:rPr>
              <w:t>100</w:t>
            </w:r>
          </w:p>
        </w:tc>
        <w:tc>
          <w:tcPr>
            <w:tcW w:w="1677" w:type="dxa"/>
            <w:noWrap/>
            <w:vAlign w:val="bottom"/>
          </w:tcPr>
          <w:p w14:paraId="5DFE09DC" w14:textId="77777777" w:rsidR="00103CFB"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75CD3062" w14:textId="77777777" w:rsidR="00103CFB" w:rsidRPr="00007760" w:rsidRDefault="00103CFB" w:rsidP="00103CFB">
            <w:pPr>
              <w:spacing w:after="0"/>
              <w:ind w:left="0"/>
              <w:rPr>
                <w:color w:val="000000"/>
              </w:rPr>
            </w:pPr>
            <w:r>
              <w:rPr>
                <w:color w:val="000000"/>
              </w:rPr>
              <w:t>TXDS0121</w:t>
            </w:r>
          </w:p>
        </w:tc>
        <w:tc>
          <w:tcPr>
            <w:tcW w:w="6963" w:type="dxa"/>
            <w:vAlign w:val="bottom"/>
          </w:tcPr>
          <w:p w14:paraId="5BC61C48" w14:textId="77777777" w:rsidR="00103CFB" w:rsidRPr="00007760" w:rsidRDefault="00103CFB" w:rsidP="00103CFB">
            <w:pPr>
              <w:spacing w:after="0"/>
              <w:ind w:left="0"/>
              <w:rPr>
                <w:color w:val="000000"/>
              </w:rPr>
            </w:pPr>
            <w:r>
              <w:rPr>
                <w:color w:val="000000"/>
              </w:rPr>
              <w:t>Power of Attorney Accounts Approved</w:t>
            </w:r>
          </w:p>
        </w:tc>
      </w:tr>
      <w:tr w:rsidR="00103CFB" w:rsidRPr="00293F5E" w14:paraId="313A3C1B" w14:textId="77777777" w:rsidTr="00A26011">
        <w:trPr>
          <w:trHeight w:val="315"/>
        </w:trPr>
        <w:tc>
          <w:tcPr>
            <w:tcW w:w="684" w:type="dxa"/>
            <w:noWrap/>
            <w:vAlign w:val="bottom"/>
          </w:tcPr>
          <w:p w14:paraId="2BA32AC2" w14:textId="39AF3B30" w:rsidR="00103CFB" w:rsidRDefault="00103CFB" w:rsidP="00103CFB">
            <w:pPr>
              <w:spacing w:after="0"/>
              <w:ind w:left="0"/>
              <w:jc w:val="center"/>
              <w:rPr>
                <w:rFonts w:ascii="Calibri" w:hAnsi="Calibri" w:cs="Calibri"/>
                <w:color w:val="000000"/>
                <w:szCs w:val="22"/>
              </w:rPr>
            </w:pPr>
            <w:r>
              <w:rPr>
                <w:color w:val="000000"/>
                <w:szCs w:val="22"/>
              </w:rPr>
              <w:t>101</w:t>
            </w:r>
          </w:p>
        </w:tc>
        <w:tc>
          <w:tcPr>
            <w:tcW w:w="1677" w:type="dxa"/>
            <w:noWrap/>
            <w:vAlign w:val="bottom"/>
          </w:tcPr>
          <w:p w14:paraId="2DAC1118" w14:textId="77777777" w:rsidR="00103CFB"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3D189D89" w14:textId="77777777" w:rsidR="00103CFB" w:rsidRPr="00007760" w:rsidRDefault="00103CFB" w:rsidP="00103CFB">
            <w:pPr>
              <w:spacing w:after="0"/>
              <w:ind w:left="0"/>
              <w:rPr>
                <w:color w:val="000000"/>
              </w:rPr>
            </w:pPr>
            <w:r>
              <w:rPr>
                <w:color w:val="000000"/>
              </w:rPr>
              <w:t>TXDS0801</w:t>
            </w:r>
          </w:p>
        </w:tc>
        <w:tc>
          <w:tcPr>
            <w:tcW w:w="6963" w:type="dxa"/>
            <w:vAlign w:val="bottom"/>
          </w:tcPr>
          <w:p w14:paraId="7460661C" w14:textId="77777777" w:rsidR="00103CFB" w:rsidRPr="00007760" w:rsidRDefault="00103CFB" w:rsidP="00103CFB">
            <w:pPr>
              <w:spacing w:after="0"/>
              <w:ind w:left="0"/>
              <w:rPr>
                <w:color w:val="000000"/>
              </w:rPr>
            </w:pPr>
            <w:r>
              <w:rPr>
                <w:color w:val="000000"/>
              </w:rPr>
              <w:t>C-198 Error Report</w:t>
            </w:r>
          </w:p>
        </w:tc>
      </w:tr>
      <w:tr w:rsidR="00103CFB" w:rsidRPr="00293F5E" w14:paraId="474CD6F3" w14:textId="77777777" w:rsidTr="00A26011">
        <w:trPr>
          <w:trHeight w:val="300"/>
        </w:trPr>
        <w:tc>
          <w:tcPr>
            <w:tcW w:w="684" w:type="dxa"/>
            <w:noWrap/>
            <w:vAlign w:val="bottom"/>
            <w:hideMark/>
          </w:tcPr>
          <w:p w14:paraId="22209C12" w14:textId="1AF1B2C6" w:rsidR="00103CFB" w:rsidRPr="00293F5E" w:rsidRDefault="00103CFB" w:rsidP="00103CFB">
            <w:pPr>
              <w:spacing w:after="0"/>
              <w:ind w:left="0"/>
              <w:jc w:val="center"/>
              <w:rPr>
                <w:rFonts w:ascii="Calibri" w:hAnsi="Calibri" w:cs="Calibri"/>
                <w:color w:val="000000"/>
                <w:szCs w:val="22"/>
              </w:rPr>
            </w:pPr>
            <w:r>
              <w:rPr>
                <w:szCs w:val="22"/>
              </w:rPr>
              <w:t>102</w:t>
            </w:r>
          </w:p>
        </w:tc>
        <w:tc>
          <w:tcPr>
            <w:tcW w:w="1677" w:type="dxa"/>
            <w:noWrap/>
            <w:vAlign w:val="bottom"/>
          </w:tcPr>
          <w:p w14:paraId="58102439"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7E4A75B2" w14:textId="77777777" w:rsidR="00103CFB" w:rsidRPr="004B4E82" w:rsidRDefault="00103CFB" w:rsidP="00103CFB">
            <w:pPr>
              <w:spacing w:after="0"/>
              <w:ind w:left="0"/>
              <w:rPr>
                <w:color w:val="000000"/>
              </w:rPr>
            </w:pPr>
            <w:r>
              <w:rPr>
                <w:color w:val="000000"/>
              </w:rPr>
              <w:t>TXDS0806</w:t>
            </w:r>
          </w:p>
        </w:tc>
        <w:tc>
          <w:tcPr>
            <w:tcW w:w="6963" w:type="dxa"/>
            <w:vAlign w:val="bottom"/>
          </w:tcPr>
          <w:p w14:paraId="09922973" w14:textId="77777777" w:rsidR="00103CFB" w:rsidRPr="004B4E82" w:rsidRDefault="00103CFB" w:rsidP="00103CFB">
            <w:pPr>
              <w:spacing w:after="0"/>
              <w:ind w:left="0"/>
              <w:rPr>
                <w:color w:val="000000"/>
              </w:rPr>
            </w:pPr>
            <w:r>
              <w:rPr>
                <w:color w:val="000000"/>
              </w:rPr>
              <w:t>Employer Statement of Reports Due</w:t>
            </w:r>
          </w:p>
        </w:tc>
      </w:tr>
      <w:tr w:rsidR="00103CFB" w:rsidRPr="00293F5E" w14:paraId="3EEB99D0" w14:textId="77777777" w:rsidTr="00A26011">
        <w:trPr>
          <w:trHeight w:val="315"/>
        </w:trPr>
        <w:tc>
          <w:tcPr>
            <w:tcW w:w="684" w:type="dxa"/>
            <w:noWrap/>
            <w:vAlign w:val="bottom"/>
          </w:tcPr>
          <w:p w14:paraId="69DF0EA1" w14:textId="2E64376E" w:rsidR="00103CFB" w:rsidRDefault="00103CFB" w:rsidP="00103CFB">
            <w:pPr>
              <w:spacing w:after="0"/>
              <w:ind w:left="0"/>
              <w:jc w:val="center"/>
              <w:rPr>
                <w:rFonts w:ascii="Calibri" w:hAnsi="Calibri" w:cs="Calibri"/>
                <w:color w:val="000000"/>
                <w:szCs w:val="22"/>
              </w:rPr>
            </w:pPr>
            <w:r>
              <w:rPr>
                <w:color w:val="000000"/>
                <w:szCs w:val="22"/>
              </w:rPr>
              <w:t>103</w:t>
            </w:r>
          </w:p>
        </w:tc>
        <w:tc>
          <w:tcPr>
            <w:tcW w:w="1677" w:type="dxa"/>
            <w:noWrap/>
            <w:vAlign w:val="bottom"/>
          </w:tcPr>
          <w:p w14:paraId="2D4114F9" w14:textId="77777777" w:rsidR="00103CFB"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34CE702C" w14:textId="77777777" w:rsidR="00103CFB" w:rsidRPr="00007760" w:rsidRDefault="00103CFB" w:rsidP="00103CFB">
            <w:pPr>
              <w:spacing w:after="0"/>
              <w:ind w:left="0"/>
              <w:rPr>
                <w:color w:val="000000"/>
              </w:rPr>
            </w:pPr>
            <w:r>
              <w:rPr>
                <w:color w:val="000000"/>
              </w:rPr>
              <w:t>TXDT0026</w:t>
            </w:r>
          </w:p>
        </w:tc>
        <w:tc>
          <w:tcPr>
            <w:tcW w:w="6963" w:type="dxa"/>
            <w:vAlign w:val="bottom"/>
          </w:tcPr>
          <w:p w14:paraId="6EB2080C" w14:textId="77777777" w:rsidR="00103CFB" w:rsidRPr="00007760" w:rsidRDefault="00103CFB" w:rsidP="00103CFB">
            <w:pPr>
              <w:spacing w:after="0"/>
              <w:ind w:left="0"/>
              <w:rPr>
                <w:color w:val="000000"/>
              </w:rPr>
            </w:pPr>
            <w:r>
              <w:rPr>
                <w:color w:val="000000"/>
              </w:rPr>
              <w:t>Invalid TDC Screen Data</w:t>
            </w:r>
          </w:p>
        </w:tc>
      </w:tr>
      <w:tr w:rsidR="00103CFB" w:rsidRPr="00293F5E" w14:paraId="733F1EBC" w14:textId="77777777" w:rsidTr="00A26011">
        <w:trPr>
          <w:trHeight w:val="315"/>
        </w:trPr>
        <w:tc>
          <w:tcPr>
            <w:tcW w:w="684" w:type="dxa"/>
            <w:noWrap/>
            <w:vAlign w:val="bottom"/>
          </w:tcPr>
          <w:p w14:paraId="6F78984D" w14:textId="416B1DC4" w:rsidR="00103CFB" w:rsidRDefault="00103CFB" w:rsidP="00103CFB">
            <w:pPr>
              <w:spacing w:after="0"/>
              <w:ind w:left="0"/>
              <w:jc w:val="center"/>
              <w:rPr>
                <w:rFonts w:ascii="Calibri" w:hAnsi="Calibri" w:cs="Calibri"/>
                <w:color w:val="000000"/>
                <w:szCs w:val="22"/>
              </w:rPr>
            </w:pPr>
            <w:r>
              <w:rPr>
                <w:szCs w:val="22"/>
              </w:rPr>
              <w:t>104</w:t>
            </w:r>
          </w:p>
        </w:tc>
        <w:tc>
          <w:tcPr>
            <w:tcW w:w="1677" w:type="dxa"/>
            <w:noWrap/>
            <w:vAlign w:val="bottom"/>
          </w:tcPr>
          <w:p w14:paraId="0077B6B7" w14:textId="77777777" w:rsidR="00103CFB"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0BA93DF6" w14:textId="77777777" w:rsidR="00103CFB" w:rsidRPr="00007760" w:rsidRDefault="00103CFB" w:rsidP="00103CFB">
            <w:pPr>
              <w:spacing w:after="0"/>
              <w:ind w:left="0"/>
              <w:rPr>
                <w:color w:val="000000"/>
              </w:rPr>
            </w:pPr>
            <w:r>
              <w:rPr>
                <w:color w:val="000000"/>
              </w:rPr>
              <w:t>TXDT0026</w:t>
            </w:r>
          </w:p>
        </w:tc>
        <w:tc>
          <w:tcPr>
            <w:tcW w:w="6963" w:type="dxa"/>
            <w:vAlign w:val="bottom"/>
          </w:tcPr>
          <w:p w14:paraId="76BAB1AD" w14:textId="77777777" w:rsidR="00103CFB" w:rsidRPr="00007760" w:rsidRDefault="00103CFB" w:rsidP="00103CFB">
            <w:pPr>
              <w:spacing w:after="0"/>
              <w:ind w:left="0"/>
              <w:rPr>
                <w:color w:val="000000"/>
              </w:rPr>
            </w:pPr>
            <w:r>
              <w:rPr>
                <w:color w:val="000000"/>
              </w:rPr>
              <w:t>Invalid TDE Screen Data</w:t>
            </w:r>
          </w:p>
        </w:tc>
      </w:tr>
      <w:tr w:rsidR="00103CFB" w:rsidRPr="00293F5E" w14:paraId="36FF8EE6" w14:textId="77777777" w:rsidTr="00A26011">
        <w:trPr>
          <w:trHeight w:val="315"/>
        </w:trPr>
        <w:tc>
          <w:tcPr>
            <w:tcW w:w="684" w:type="dxa"/>
            <w:noWrap/>
            <w:vAlign w:val="bottom"/>
          </w:tcPr>
          <w:p w14:paraId="578B15A5" w14:textId="525831ED" w:rsidR="00103CFB" w:rsidRDefault="00103CFB" w:rsidP="00103CFB">
            <w:pPr>
              <w:spacing w:after="0"/>
              <w:ind w:left="0"/>
              <w:jc w:val="center"/>
              <w:rPr>
                <w:rFonts w:ascii="Calibri" w:hAnsi="Calibri" w:cs="Calibri"/>
                <w:color w:val="000000"/>
                <w:szCs w:val="22"/>
              </w:rPr>
            </w:pPr>
            <w:r>
              <w:rPr>
                <w:color w:val="000000"/>
                <w:szCs w:val="22"/>
              </w:rPr>
              <w:t>105</w:t>
            </w:r>
          </w:p>
        </w:tc>
        <w:tc>
          <w:tcPr>
            <w:tcW w:w="1677" w:type="dxa"/>
            <w:noWrap/>
            <w:vAlign w:val="bottom"/>
          </w:tcPr>
          <w:p w14:paraId="0DCA44D2" w14:textId="77777777" w:rsidR="00103CFB"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23BED2A8" w14:textId="77777777" w:rsidR="00103CFB" w:rsidRPr="00007760" w:rsidRDefault="00103CFB" w:rsidP="00103CFB">
            <w:pPr>
              <w:spacing w:after="0"/>
              <w:ind w:left="0"/>
              <w:rPr>
                <w:color w:val="000000"/>
              </w:rPr>
            </w:pPr>
            <w:r>
              <w:rPr>
                <w:color w:val="000000"/>
              </w:rPr>
              <w:t>TXDT0031</w:t>
            </w:r>
          </w:p>
        </w:tc>
        <w:tc>
          <w:tcPr>
            <w:tcW w:w="6963" w:type="dxa"/>
            <w:vAlign w:val="bottom"/>
          </w:tcPr>
          <w:p w14:paraId="6AA42A81" w14:textId="77777777" w:rsidR="00103CFB" w:rsidRPr="00007760" w:rsidRDefault="00103CFB" w:rsidP="00103CFB">
            <w:pPr>
              <w:spacing w:after="0"/>
              <w:ind w:left="0"/>
              <w:rPr>
                <w:color w:val="000000"/>
              </w:rPr>
            </w:pPr>
            <w:r>
              <w:rPr>
                <w:color w:val="000000"/>
              </w:rPr>
              <w:t>City Deck Errors</w:t>
            </w:r>
          </w:p>
        </w:tc>
      </w:tr>
      <w:tr w:rsidR="00103CFB" w:rsidRPr="00293F5E" w14:paraId="25EECF18" w14:textId="77777777" w:rsidTr="00A26011">
        <w:trPr>
          <w:trHeight w:val="315"/>
        </w:trPr>
        <w:tc>
          <w:tcPr>
            <w:tcW w:w="684" w:type="dxa"/>
            <w:noWrap/>
            <w:vAlign w:val="bottom"/>
          </w:tcPr>
          <w:p w14:paraId="0519E6F3" w14:textId="7D26FD68" w:rsidR="00103CFB" w:rsidRDefault="00103CFB" w:rsidP="00103CFB">
            <w:pPr>
              <w:spacing w:after="0"/>
              <w:ind w:left="0"/>
              <w:jc w:val="center"/>
              <w:rPr>
                <w:rFonts w:ascii="Calibri" w:hAnsi="Calibri" w:cs="Calibri"/>
                <w:color w:val="000000"/>
                <w:szCs w:val="22"/>
              </w:rPr>
            </w:pPr>
            <w:r>
              <w:rPr>
                <w:szCs w:val="22"/>
              </w:rPr>
              <w:t>106</w:t>
            </w:r>
          </w:p>
        </w:tc>
        <w:tc>
          <w:tcPr>
            <w:tcW w:w="1677" w:type="dxa"/>
            <w:noWrap/>
            <w:vAlign w:val="bottom"/>
          </w:tcPr>
          <w:p w14:paraId="4DBDA024" w14:textId="77777777" w:rsidR="00103CFB"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7EB550D4" w14:textId="77777777" w:rsidR="00103CFB" w:rsidRPr="00007760" w:rsidRDefault="00103CFB" w:rsidP="00103CFB">
            <w:pPr>
              <w:spacing w:after="0"/>
              <w:ind w:left="0"/>
              <w:rPr>
                <w:color w:val="000000"/>
              </w:rPr>
            </w:pPr>
            <w:r>
              <w:rPr>
                <w:color w:val="000000"/>
              </w:rPr>
              <w:t>TXDT0120</w:t>
            </w:r>
          </w:p>
        </w:tc>
        <w:tc>
          <w:tcPr>
            <w:tcW w:w="6963" w:type="dxa"/>
            <w:vAlign w:val="bottom"/>
          </w:tcPr>
          <w:p w14:paraId="0CEAC75C" w14:textId="77777777" w:rsidR="00103CFB" w:rsidRPr="00007760" w:rsidRDefault="00103CFB" w:rsidP="00103CFB">
            <w:pPr>
              <w:spacing w:after="0"/>
              <w:ind w:left="0"/>
              <w:rPr>
                <w:color w:val="000000"/>
              </w:rPr>
            </w:pPr>
            <w:r>
              <w:rPr>
                <w:color w:val="000000"/>
              </w:rPr>
              <w:t>Status Code 1 Address Reject List</w:t>
            </w:r>
          </w:p>
        </w:tc>
      </w:tr>
      <w:tr w:rsidR="00103CFB" w:rsidRPr="00293F5E" w14:paraId="40E503F4" w14:textId="77777777" w:rsidTr="00A26011">
        <w:trPr>
          <w:trHeight w:val="315"/>
        </w:trPr>
        <w:tc>
          <w:tcPr>
            <w:tcW w:w="684" w:type="dxa"/>
            <w:noWrap/>
            <w:vAlign w:val="bottom"/>
          </w:tcPr>
          <w:p w14:paraId="558B87CF" w14:textId="010A2774" w:rsidR="00103CFB" w:rsidRDefault="00103CFB" w:rsidP="00103CFB">
            <w:pPr>
              <w:spacing w:after="0"/>
              <w:ind w:left="0"/>
              <w:jc w:val="center"/>
              <w:rPr>
                <w:rFonts w:ascii="Calibri" w:hAnsi="Calibri" w:cs="Calibri"/>
                <w:color w:val="000000"/>
                <w:szCs w:val="22"/>
              </w:rPr>
            </w:pPr>
            <w:r>
              <w:rPr>
                <w:color w:val="000000"/>
                <w:szCs w:val="22"/>
              </w:rPr>
              <w:t>107</w:t>
            </w:r>
          </w:p>
        </w:tc>
        <w:tc>
          <w:tcPr>
            <w:tcW w:w="1677" w:type="dxa"/>
            <w:noWrap/>
            <w:vAlign w:val="bottom"/>
          </w:tcPr>
          <w:p w14:paraId="64E603F6" w14:textId="77777777" w:rsidR="00103CFB"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6732E68E" w14:textId="77777777" w:rsidR="00103CFB" w:rsidRPr="00007760" w:rsidRDefault="00103CFB" w:rsidP="00103CFB">
            <w:pPr>
              <w:spacing w:after="0"/>
              <w:ind w:left="0"/>
              <w:rPr>
                <w:color w:val="000000"/>
              </w:rPr>
            </w:pPr>
            <w:r>
              <w:rPr>
                <w:color w:val="000000"/>
              </w:rPr>
              <w:t>TXDT0820</w:t>
            </w:r>
          </w:p>
        </w:tc>
        <w:tc>
          <w:tcPr>
            <w:tcW w:w="6963" w:type="dxa"/>
            <w:vAlign w:val="bottom"/>
          </w:tcPr>
          <w:p w14:paraId="26C3CEE6" w14:textId="77777777" w:rsidR="00103CFB" w:rsidRPr="00007760" w:rsidRDefault="00103CFB" w:rsidP="00103CFB">
            <w:pPr>
              <w:spacing w:after="0"/>
              <w:ind w:left="0"/>
              <w:rPr>
                <w:color w:val="000000"/>
              </w:rPr>
            </w:pPr>
            <w:r>
              <w:rPr>
                <w:color w:val="000000"/>
              </w:rPr>
              <w:t>Invalid Account on Image Viewer</w:t>
            </w:r>
          </w:p>
        </w:tc>
      </w:tr>
      <w:tr w:rsidR="00103CFB" w:rsidRPr="00293F5E" w14:paraId="6123FAC3" w14:textId="77777777" w:rsidTr="00A26011">
        <w:trPr>
          <w:trHeight w:val="300"/>
        </w:trPr>
        <w:tc>
          <w:tcPr>
            <w:tcW w:w="684" w:type="dxa"/>
            <w:noWrap/>
            <w:vAlign w:val="bottom"/>
            <w:hideMark/>
          </w:tcPr>
          <w:p w14:paraId="2CD57C89" w14:textId="567D8D5A" w:rsidR="00103CFB" w:rsidRPr="00293F5E" w:rsidRDefault="00103CFB" w:rsidP="00103CFB">
            <w:pPr>
              <w:spacing w:after="0"/>
              <w:ind w:left="0"/>
              <w:jc w:val="center"/>
              <w:rPr>
                <w:rFonts w:ascii="Calibri" w:hAnsi="Calibri" w:cs="Calibri"/>
                <w:color w:val="000000"/>
                <w:szCs w:val="22"/>
              </w:rPr>
            </w:pPr>
            <w:r>
              <w:rPr>
                <w:szCs w:val="22"/>
              </w:rPr>
              <w:t>108</w:t>
            </w:r>
          </w:p>
        </w:tc>
        <w:tc>
          <w:tcPr>
            <w:tcW w:w="1677" w:type="dxa"/>
            <w:noWrap/>
            <w:vAlign w:val="bottom"/>
          </w:tcPr>
          <w:p w14:paraId="151765E5"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3DACB8AA" w14:textId="77777777" w:rsidR="00103CFB" w:rsidRPr="004B4E82" w:rsidRDefault="00103CFB" w:rsidP="00103CFB">
            <w:pPr>
              <w:spacing w:after="0"/>
              <w:ind w:left="0"/>
              <w:rPr>
                <w:color w:val="000000"/>
              </w:rPr>
            </w:pPr>
            <w:r>
              <w:rPr>
                <w:color w:val="000000"/>
              </w:rPr>
              <w:t>TXDT1050</w:t>
            </w:r>
          </w:p>
        </w:tc>
        <w:tc>
          <w:tcPr>
            <w:tcW w:w="6963" w:type="dxa"/>
            <w:vAlign w:val="bottom"/>
          </w:tcPr>
          <w:p w14:paraId="26352D9F" w14:textId="77777777" w:rsidR="00103CFB" w:rsidRPr="004B4E82" w:rsidRDefault="00103CFB" w:rsidP="00103CFB">
            <w:pPr>
              <w:spacing w:after="0"/>
              <w:ind w:left="0"/>
              <w:rPr>
                <w:color w:val="000000"/>
              </w:rPr>
            </w:pPr>
            <w:r>
              <w:rPr>
                <w:color w:val="000000"/>
              </w:rPr>
              <w:t>Accounts with QuickFile Uploads Not Posted to EMF</w:t>
            </w:r>
          </w:p>
        </w:tc>
      </w:tr>
      <w:tr w:rsidR="00103CFB" w:rsidRPr="00293F5E" w14:paraId="281DDE5C" w14:textId="77777777" w:rsidTr="00A26011">
        <w:trPr>
          <w:trHeight w:val="300"/>
        </w:trPr>
        <w:tc>
          <w:tcPr>
            <w:tcW w:w="684" w:type="dxa"/>
            <w:noWrap/>
            <w:vAlign w:val="bottom"/>
            <w:hideMark/>
          </w:tcPr>
          <w:p w14:paraId="3C57E80D" w14:textId="2C70666C" w:rsidR="00103CFB" w:rsidRPr="00293F5E" w:rsidRDefault="00103CFB" w:rsidP="00103CFB">
            <w:pPr>
              <w:spacing w:after="0"/>
              <w:ind w:left="0"/>
              <w:jc w:val="center"/>
              <w:rPr>
                <w:rFonts w:ascii="Calibri" w:hAnsi="Calibri" w:cs="Calibri"/>
                <w:color w:val="000000"/>
                <w:szCs w:val="22"/>
              </w:rPr>
            </w:pPr>
            <w:r>
              <w:rPr>
                <w:color w:val="000000"/>
                <w:szCs w:val="22"/>
              </w:rPr>
              <w:t>109</w:t>
            </w:r>
          </w:p>
        </w:tc>
        <w:tc>
          <w:tcPr>
            <w:tcW w:w="1677" w:type="dxa"/>
            <w:noWrap/>
            <w:vAlign w:val="bottom"/>
          </w:tcPr>
          <w:p w14:paraId="136E1311"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00DE2C93" w14:textId="77777777" w:rsidR="00103CFB" w:rsidRPr="004B4E82" w:rsidRDefault="00103CFB" w:rsidP="00103CFB">
            <w:pPr>
              <w:spacing w:after="0"/>
              <w:ind w:left="0"/>
              <w:rPr>
                <w:color w:val="000000"/>
              </w:rPr>
            </w:pPr>
            <w:r>
              <w:rPr>
                <w:color w:val="000000"/>
              </w:rPr>
              <w:t>TXDW080A</w:t>
            </w:r>
          </w:p>
        </w:tc>
        <w:tc>
          <w:tcPr>
            <w:tcW w:w="6963" w:type="dxa"/>
            <w:vAlign w:val="bottom"/>
          </w:tcPr>
          <w:p w14:paraId="6660BC1F" w14:textId="77777777" w:rsidR="00103CFB" w:rsidRPr="004B4E82" w:rsidRDefault="00103CFB" w:rsidP="00103CFB">
            <w:pPr>
              <w:spacing w:after="0"/>
              <w:ind w:left="0"/>
              <w:rPr>
                <w:color w:val="000000"/>
              </w:rPr>
            </w:pPr>
            <w:r>
              <w:rPr>
                <w:color w:val="000000"/>
              </w:rPr>
              <w:t>FTP C-7 Change Log</w:t>
            </w:r>
          </w:p>
        </w:tc>
      </w:tr>
      <w:tr w:rsidR="00103CFB" w:rsidRPr="00293F5E" w14:paraId="2C8DF67D" w14:textId="77777777" w:rsidTr="00A26011">
        <w:trPr>
          <w:trHeight w:val="300"/>
        </w:trPr>
        <w:tc>
          <w:tcPr>
            <w:tcW w:w="684" w:type="dxa"/>
            <w:noWrap/>
            <w:vAlign w:val="bottom"/>
            <w:hideMark/>
          </w:tcPr>
          <w:p w14:paraId="1CE84059" w14:textId="3A162CE4" w:rsidR="00103CFB" w:rsidRPr="00293F5E" w:rsidRDefault="00103CFB" w:rsidP="00103CFB">
            <w:pPr>
              <w:spacing w:after="0"/>
              <w:ind w:left="0"/>
              <w:jc w:val="center"/>
              <w:rPr>
                <w:rFonts w:ascii="Calibri" w:hAnsi="Calibri" w:cs="Calibri"/>
                <w:color w:val="000000"/>
                <w:szCs w:val="22"/>
              </w:rPr>
            </w:pPr>
            <w:r>
              <w:rPr>
                <w:szCs w:val="22"/>
              </w:rPr>
              <w:t>110</w:t>
            </w:r>
          </w:p>
        </w:tc>
        <w:tc>
          <w:tcPr>
            <w:tcW w:w="1677" w:type="dxa"/>
            <w:noWrap/>
            <w:vAlign w:val="bottom"/>
          </w:tcPr>
          <w:p w14:paraId="14F95068"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3B8E507E" w14:textId="77777777" w:rsidR="00103CFB" w:rsidRPr="004B4E82" w:rsidRDefault="00103CFB" w:rsidP="00103CFB">
            <w:pPr>
              <w:spacing w:after="0"/>
              <w:ind w:left="0"/>
              <w:rPr>
                <w:color w:val="000000"/>
              </w:rPr>
            </w:pPr>
            <w:r>
              <w:rPr>
                <w:color w:val="000000"/>
              </w:rPr>
              <w:t>TXDW080A</w:t>
            </w:r>
          </w:p>
        </w:tc>
        <w:tc>
          <w:tcPr>
            <w:tcW w:w="6963" w:type="dxa"/>
            <w:vAlign w:val="bottom"/>
          </w:tcPr>
          <w:p w14:paraId="5DB2B9C7" w14:textId="77777777" w:rsidR="00103CFB" w:rsidRPr="004B4E82" w:rsidRDefault="00103CFB" w:rsidP="00103CFB">
            <w:pPr>
              <w:spacing w:after="0"/>
              <w:ind w:left="0"/>
              <w:rPr>
                <w:color w:val="000000"/>
              </w:rPr>
            </w:pPr>
            <w:r>
              <w:rPr>
                <w:color w:val="000000"/>
              </w:rPr>
              <w:t>FTP C-7 Wage Adjustments Not Processed</w:t>
            </w:r>
          </w:p>
        </w:tc>
      </w:tr>
      <w:tr w:rsidR="00103CFB" w:rsidRPr="00293F5E" w14:paraId="0F01B5B1" w14:textId="77777777" w:rsidTr="00A26011">
        <w:trPr>
          <w:trHeight w:val="300"/>
        </w:trPr>
        <w:tc>
          <w:tcPr>
            <w:tcW w:w="684" w:type="dxa"/>
            <w:noWrap/>
            <w:vAlign w:val="bottom"/>
            <w:hideMark/>
          </w:tcPr>
          <w:p w14:paraId="5D35E22A" w14:textId="41B20912" w:rsidR="00103CFB" w:rsidRPr="00293F5E" w:rsidRDefault="00103CFB" w:rsidP="00103CFB">
            <w:pPr>
              <w:spacing w:after="0"/>
              <w:ind w:left="0"/>
              <w:jc w:val="center"/>
              <w:rPr>
                <w:rFonts w:ascii="Calibri" w:hAnsi="Calibri" w:cs="Calibri"/>
                <w:color w:val="000000"/>
                <w:szCs w:val="22"/>
              </w:rPr>
            </w:pPr>
            <w:r>
              <w:rPr>
                <w:color w:val="000000"/>
                <w:szCs w:val="22"/>
              </w:rPr>
              <w:t>111</w:t>
            </w:r>
          </w:p>
        </w:tc>
        <w:tc>
          <w:tcPr>
            <w:tcW w:w="1677" w:type="dxa"/>
            <w:noWrap/>
            <w:vAlign w:val="bottom"/>
          </w:tcPr>
          <w:p w14:paraId="77324D68"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5FD07B0D" w14:textId="77777777" w:rsidR="00103CFB" w:rsidRPr="004B4E82" w:rsidRDefault="00103CFB" w:rsidP="00103CFB">
            <w:pPr>
              <w:spacing w:after="0"/>
              <w:ind w:left="0"/>
              <w:rPr>
                <w:color w:val="000000"/>
              </w:rPr>
            </w:pPr>
            <w:r>
              <w:rPr>
                <w:color w:val="000000"/>
              </w:rPr>
              <w:t>TXDW1020</w:t>
            </w:r>
          </w:p>
        </w:tc>
        <w:tc>
          <w:tcPr>
            <w:tcW w:w="6963" w:type="dxa"/>
            <w:vAlign w:val="bottom"/>
          </w:tcPr>
          <w:p w14:paraId="5C0D8DB1" w14:textId="77777777" w:rsidR="00103CFB" w:rsidRPr="004B4E82" w:rsidRDefault="00103CFB" w:rsidP="00103CFB">
            <w:pPr>
              <w:spacing w:after="0"/>
              <w:ind w:left="0"/>
              <w:rPr>
                <w:color w:val="000000"/>
              </w:rPr>
            </w:pPr>
            <w:r>
              <w:rPr>
                <w:color w:val="000000"/>
              </w:rPr>
              <w:t>Recap for Daily Assignment Run</w:t>
            </w:r>
          </w:p>
        </w:tc>
      </w:tr>
      <w:tr w:rsidR="00103CFB" w:rsidRPr="00293F5E" w14:paraId="68F6BEAF" w14:textId="77777777" w:rsidTr="00A26011">
        <w:trPr>
          <w:trHeight w:val="300"/>
        </w:trPr>
        <w:tc>
          <w:tcPr>
            <w:tcW w:w="684" w:type="dxa"/>
            <w:noWrap/>
            <w:vAlign w:val="bottom"/>
            <w:hideMark/>
          </w:tcPr>
          <w:p w14:paraId="4FA3FA7A" w14:textId="7CDA322E" w:rsidR="00103CFB" w:rsidRPr="00293F5E" w:rsidRDefault="00103CFB" w:rsidP="00103CFB">
            <w:pPr>
              <w:spacing w:after="0"/>
              <w:ind w:left="0"/>
              <w:jc w:val="center"/>
              <w:rPr>
                <w:rFonts w:ascii="Calibri" w:hAnsi="Calibri" w:cs="Calibri"/>
                <w:color w:val="000000"/>
                <w:szCs w:val="22"/>
              </w:rPr>
            </w:pPr>
            <w:r>
              <w:rPr>
                <w:szCs w:val="22"/>
              </w:rPr>
              <w:t>112</w:t>
            </w:r>
          </w:p>
        </w:tc>
        <w:tc>
          <w:tcPr>
            <w:tcW w:w="1677" w:type="dxa"/>
            <w:noWrap/>
            <w:vAlign w:val="bottom"/>
          </w:tcPr>
          <w:p w14:paraId="60CCF67B"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3218B68F" w14:textId="77777777" w:rsidR="00103CFB" w:rsidRPr="004B4E82" w:rsidRDefault="00103CFB" w:rsidP="00103CFB">
            <w:pPr>
              <w:spacing w:after="0"/>
              <w:ind w:left="0"/>
              <w:rPr>
                <w:color w:val="000000"/>
              </w:rPr>
            </w:pPr>
            <w:r>
              <w:rPr>
                <w:color w:val="000000"/>
              </w:rPr>
              <w:t>TXDW380P</w:t>
            </w:r>
          </w:p>
        </w:tc>
        <w:tc>
          <w:tcPr>
            <w:tcW w:w="6963" w:type="dxa"/>
            <w:vAlign w:val="bottom"/>
          </w:tcPr>
          <w:p w14:paraId="792058AC" w14:textId="77777777" w:rsidR="00103CFB" w:rsidRPr="004B4E82" w:rsidRDefault="00103CFB" w:rsidP="00103CFB">
            <w:pPr>
              <w:spacing w:after="0"/>
              <w:ind w:left="0"/>
              <w:rPr>
                <w:color w:val="000000"/>
              </w:rPr>
            </w:pPr>
            <w:r>
              <w:rPr>
                <w:color w:val="000000"/>
              </w:rPr>
              <w:t>Wages Not Loaded</w:t>
            </w:r>
          </w:p>
        </w:tc>
      </w:tr>
      <w:tr w:rsidR="00103CFB" w:rsidRPr="00293F5E" w14:paraId="10149551" w14:textId="77777777" w:rsidTr="00A26011">
        <w:trPr>
          <w:trHeight w:val="300"/>
        </w:trPr>
        <w:tc>
          <w:tcPr>
            <w:tcW w:w="684" w:type="dxa"/>
            <w:noWrap/>
            <w:vAlign w:val="bottom"/>
            <w:hideMark/>
          </w:tcPr>
          <w:p w14:paraId="5CFE37AF" w14:textId="5126BCA2" w:rsidR="00103CFB" w:rsidRPr="00293F5E" w:rsidRDefault="00103CFB" w:rsidP="00103CFB">
            <w:pPr>
              <w:spacing w:after="0"/>
              <w:ind w:left="0"/>
              <w:jc w:val="center"/>
              <w:rPr>
                <w:rFonts w:ascii="Calibri" w:hAnsi="Calibri" w:cs="Calibri"/>
                <w:color w:val="000000"/>
                <w:szCs w:val="22"/>
              </w:rPr>
            </w:pPr>
            <w:r>
              <w:rPr>
                <w:color w:val="000000"/>
                <w:szCs w:val="22"/>
              </w:rPr>
              <w:t>113</w:t>
            </w:r>
          </w:p>
        </w:tc>
        <w:tc>
          <w:tcPr>
            <w:tcW w:w="1677" w:type="dxa"/>
            <w:noWrap/>
            <w:vAlign w:val="bottom"/>
          </w:tcPr>
          <w:p w14:paraId="1FAB14EF"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014EDEEF" w14:textId="77777777" w:rsidR="00103CFB" w:rsidRPr="004B4E82" w:rsidRDefault="00103CFB" w:rsidP="00103CFB">
            <w:pPr>
              <w:spacing w:after="0"/>
              <w:ind w:left="0"/>
              <w:rPr>
                <w:color w:val="000000"/>
              </w:rPr>
            </w:pPr>
            <w:r>
              <w:rPr>
                <w:color w:val="000000"/>
              </w:rPr>
              <w:t>TXDZ0020</w:t>
            </w:r>
          </w:p>
        </w:tc>
        <w:tc>
          <w:tcPr>
            <w:tcW w:w="6963" w:type="dxa"/>
            <w:vAlign w:val="bottom"/>
          </w:tcPr>
          <w:p w14:paraId="49CB1C96" w14:textId="77777777" w:rsidR="00103CFB" w:rsidRPr="004B4E82" w:rsidRDefault="00103CFB" w:rsidP="00103CFB">
            <w:pPr>
              <w:spacing w:after="0"/>
              <w:ind w:left="0"/>
              <w:rPr>
                <w:color w:val="000000"/>
              </w:rPr>
            </w:pPr>
            <w:r>
              <w:rPr>
                <w:color w:val="000000"/>
              </w:rPr>
              <w:t>2008 Surplus Credit No TINs Number on Table (TXZB031U)</w:t>
            </w:r>
          </w:p>
        </w:tc>
      </w:tr>
      <w:tr w:rsidR="00103CFB" w:rsidRPr="00293F5E" w14:paraId="450E5124" w14:textId="77777777" w:rsidTr="00A26011">
        <w:trPr>
          <w:trHeight w:val="600"/>
        </w:trPr>
        <w:tc>
          <w:tcPr>
            <w:tcW w:w="684" w:type="dxa"/>
            <w:noWrap/>
            <w:vAlign w:val="bottom"/>
            <w:hideMark/>
          </w:tcPr>
          <w:p w14:paraId="00B0F5CF" w14:textId="10DB59FB" w:rsidR="00103CFB" w:rsidRPr="00293F5E" w:rsidRDefault="00103CFB" w:rsidP="00103CFB">
            <w:pPr>
              <w:spacing w:after="0"/>
              <w:ind w:left="0"/>
              <w:jc w:val="center"/>
              <w:rPr>
                <w:rFonts w:ascii="Calibri" w:hAnsi="Calibri" w:cs="Calibri"/>
                <w:color w:val="000000"/>
                <w:szCs w:val="22"/>
              </w:rPr>
            </w:pPr>
            <w:r>
              <w:rPr>
                <w:szCs w:val="22"/>
              </w:rPr>
              <w:t>114</w:t>
            </w:r>
          </w:p>
        </w:tc>
        <w:tc>
          <w:tcPr>
            <w:tcW w:w="1677" w:type="dxa"/>
            <w:noWrap/>
            <w:vAlign w:val="bottom"/>
          </w:tcPr>
          <w:p w14:paraId="1FD2AE37"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vAlign w:val="bottom"/>
          </w:tcPr>
          <w:p w14:paraId="7072274E" w14:textId="77777777" w:rsidR="00103CFB" w:rsidRPr="004B4E82" w:rsidRDefault="00103CFB" w:rsidP="00103CFB">
            <w:pPr>
              <w:spacing w:after="0"/>
              <w:ind w:left="0"/>
              <w:rPr>
                <w:color w:val="000000"/>
              </w:rPr>
            </w:pPr>
            <w:r>
              <w:rPr>
                <w:color w:val="000000"/>
              </w:rPr>
              <w:t>TXDZ0100</w:t>
            </w:r>
          </w:p>
        </w:tc>
        <w:tc>
          <w:tcPr>
            <w:tcW w:w="6963" w:type="dxa"/>
            <w:vAlign w:val="bottom"/>
          </w:tcPr>
          <w:p w14:paraId="665AD0EF" w14:textId="77777777" w:rsidR="00103CFB" w:rsidRPr="004B4E82" w:rsidRDefault="00103CFB" w:rsidP="00103CFB">
            <w:pPr>
              <w:spacing w:after="0"/>
              <w:ind w:left="0"/>
              <w:rPr>
                <w:color w:val="000000"/>
              </w:rPr>
            </w:pPr>
            <w:r>
              <w:rPr>
                <w:color w:val="000000"/>
              </w:rPr>
              <w:t>Surplus Credit Refund Records Sent to USAS</w:t>
            </w:r>
          </w:p>
        </w:tc>
      </w:tr>
      <w:tr w:rsidR="00103CFB" w:rsidRPr="00293F5E" w14:paraId="1FFF8466" w14:textId="77777777" w:rsidTr="00A26011">
        <w:trPr>
          <w:trHeight w:val="300"/>
        </w:trPr>
        <w:tc>
          <w:tcPr>
            <w:tcW w:w="684" w:type="dxa"/>
            <w:noWrap/>
            <w:vAlign w:val="bottom"/>
            <w:hideMark/>
          </w:tcPr>
          <w:p w14:paraId="514BB6A2" w14:textId="0A829BD1" w:rsidR="00103CFB" w:rsidRPr="00293F5E" w:rsidRDefault="00103CFB" w:rsidP="00103CFB">
            <w:pPr>
              <w:spacing w:after="0"/>
              <w:ind w:left="0"/>
              <w:jc w:val="center"/>
              <w:rPr>
                <w:rFonts w:ascii="Calibri" w:hAnsi="Calibri" w:cs="Calibri"/>
                <w:color w:val="000000"/>
                <w:szCs w:val="22"/>
              </w:rPr>
            </w:pPr>
            <w:r>
              <w:rPr>
                <w:color w:val="000000"/>
                <w:szCs w:val="22"/>
              </w:rPr>
              <w:t>115</w:t>
            </w:r>
          </w:p>
        </w:tc>
        <w:tc>
          <w:tcPr>
            <w:tcW w:w="1677" w:type="dxa"/>
            <w:noWrap/>
            <w:vAlign w:val="bottom"/>
          </w:tcPr>
          <w:p w14:paraId="60AA358C"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7CD52DBF" w14:textId="77777777" w:rsidR="00103CFB" w:rsidRPr="004B4E82" w:rsidRDefault="00103CFB" w:rsidP="00103CFB">
            <w:pPr>
              <w:spacing w:after="0"/>
              <w:ind w:left="0"/>
              <w:rPr>
                <w:color w:val="000000"/>
              </w:rPr>
            </w:pPr>
            <w:r>
              <w:rPr>
                <w:color w:val="000000"/>
              </w:rPr>
              <w:t>TXDZ0210</w:t>
            </w:r>
          </w:p>
        </w:tc>
        <w:tc>
          <w:tcPr>
            <w:tcW w:w="6963" w:type="dxa"/>
            <w:vAlign w:val="bottom"/>
          </w:tcPr>
          <w:p w14:paraId="1948FC30" w14:textId="77777777" w:rsidR="00103CFB" w:rsidRPr="004B4E82" w:rsidRDefault="00103CFB" w:rsidP="00103CFB">
            <w:pPr>
              <w:spacing w:after="0"/>
              <w:ind w:left="0"/>
              <w:rPr>
                <w:color w:val="000000"/>
              </w:rPr>
            </w:pPr>
            <w:r>
              <w:rPr>
                <w:color w:val="000000"/>
              </w:rPr>
              <w:t>Surplus Credit - 2007 Overpayments for MM-DD-YYYY</w:t>
            </w:r>
          </w:p>
        </w:tc>
      </w:tr>
      <w:tr w:rsidR="00103CFB" w:rsidRPr="00293F5E" w14:paraId="44AB4950" w14:textId="77777777" w:rsidTr="00A26011">
        <w:trPr>
          <w:trHeight w:val="300"/>
        </w:trPr>
        <w:tc>
          <w:tcPr>
            <w:tcW w:w="684" w:type="dxa"/>
            <w:noWrap/>
            <w:vAlign w:val="bottom"/>
            <w:hideMark/>
          </w:tcPr>
          <w:p w14:paraId="2886F10F" w14:textId="55DE1910" w:rsidR="00103CFB" w:rsidRPr="00293F5E" w:rsidRDefault="00103CFB" w:rsidP="00103CFB">
            <w:pPr>
              <w:spacing w:after="0"/>
              <w:ind w:left="0"/>
              <w:jc w:val="center"/>
              <w:rPr>
                <w:rFonts w:ascii="Calibri" w:hAnsi="Calibri" w:cs="Calibri"/>
                <w:color w:val="000000"/>
                <w:szCs w:val="22"/>
              </w:rPr>
            </w:pPr>
            <w:r>
              <w:rPr>
                <w:szCs w:val="22"/>
              </w:rPr>
              <w:t>116</w:t>
            </w:r>
          </w:p>
        </w:tc>
        <w:tc>
          <w:tcPr>
            <w:tcW w:w="1677" w:type="dxa"/>
            <w:noWrap/>
            <w:vAlign w:val="bottom"/>
          </w:tcPr>
          <w:p w14:paraId="5BDA822C"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68C0B4E3" w14:textId="77777777" w:rsidR="00103CFB" w:rsidRPr="004B4E82" w:rsidRDefault="00103CFB" w:rsidP="00103CFB">
            <w:pPr>
              <w:spacing w:after="0"/>
              <w:ind w:left="0"/>
              <w:rPr>
                <w:color w:val="000000"/>
              </w:rPr>
            </w:pPr>
            <w:r>
              <w:rPr>
                <w:color w:val="000000"/>
              </w:rPr>
              <w:t>TXDZ0210</w:t>
            </w:r>
          </w:p>
        </w:tc>
        <w:tc>
          <w:tcPr>
            <w:tcW w:w="6963" w:type="dxa"/>
            <w:vAlign w:val="bottom"/>
          </w:tcPr>
          <w:p w14:paraId="43E85FAD" w14:textId="77777777" w:rsidR="00103CFB" w:rsidRPr="004B4E82" w:rsidRDefault="00103CFB" w:rsidP="00103CFB">
            <w:pPr>
              <w:spacing w:after="0"/>
              <w:ind w:left="0"/>
              <w:rPr>
                <w:color w:val="000000"/>
              </w:rPr>
            </w:pPr>
            <w:r>
              <w:rPr>
                <w:color w:val="000000"/>
              </w:rPr>
              <w:t>Surplus Credit - 2008 Overpayments for MM-DD-YYYY</w:t>
            </w:r>
          </w:p>
        </w:tc>
      </w:tr>
      <w:tr w:rsidR="00103CFB" w:rsidRPr="00293F5E" w14:paraId="15AFFE49" w14:textId="77777777" w:rsidTr="00A26011">
        <w:trPr>
          <w:trHeight w:val="300"/>
        </w:trPr>
        <w:tc>
          <w:tcPr>
            <w:tcW w:w="684" w:type="dxa"/>
            <w:noWrap/>
            <w:vAlign w:val="bottom"/>
            <w:hideMark/>
          </w:tcPr>
          <w:p w14:paraId="7A285741" w14:textId="3DDD7C78" w:rsidR="00103CFB" w:rsidRPr="00293F5E" w:rsidRDefault="00103CFB" w:rsidP="00103CFB">
            <w:pPr>
              <w:spacing w:after="0"/>
              <w:ind w:left="0"/>
              <w:jc w:val="center"/>
              <w:rPr>
                <w:rFonts w:ascii="Calibri" w:hAnsi="Calibri" w:cs="Calibri"/>
                <w:color w:val="000000"/>
                <w:szCs w:val="22"/>
              </w:rPr>
            </w:pPr>
            <w:r>
              <w:rPr>
                <w:color w:val="000000"/>
                <w:szCs w:val="22"/>
              </w:rPr>
              <w:t>117</w:t>
            </w:r>
          </w:p>
        </w:tc>
        <w:tc>
          <w:tcPr>
            <w:tcW w:w="1677" w:type="dxa"/>
            <w:noWrap/>
            <w:vAlign w:val="bottom"/>
          </w:tcPr>
          <w:p w14:paraId="78A8469B"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6AA99B06" w14:textId="77777777" w:rsidR="00103CFB" w:rsidRPr="004B4E82" w:rsidRDefault="00103CFB" w:rsidP="00103CFB">
            <w:pPr>
              <w:spacing w:after="0"/>
              <w:ind w:left="0"/>
              <w:rPr>
                <w:color w:val="000000"/>
              </w:rPr>
            </w:pPr>
            <w:r>
              <w:rPr>
                <w:color w:val="000000"/>
              </w:rPr>
              <w:t>TXDZ0210</w:t>
            </w:r>
          </w:p>
        </w:tc>
        <w:tc>
          <w:tcPr>
            <w:tcW w:w="6963" w:type="dxa"/>
            <w:vAlign w:val="bottom"/>
          </w:tcPr>
          <w:p w14:paraId="07AD129E" w14:textId="77777777" w:rsidR="00103CFB" w:rsidRPr="004B4E82" w:rsidRDefault="00103CFB" w:rsidP="00103CFB">
            <w:pPr>
              <w:spacing w:after="0"/>
              <w:ind w:left="0"/>
              <w:rPr>
                <w:color w:val="000000"/>
              </w:rPr>
            </w:pPr>
            <w:r>
              <w:rPr>
                <w:color w:val="000000"/>
              </w:rPr>
              <w:t>Surplus Credit Refunds Returned on USAS HX File</w:t>
            </w:r>
          </w:p>
        </w:tc>
      </w:tr>
      <w:tr w:rsidR="00103CFB" w:rsidRPr="00293F5E" w14:paraId="656D7704" w14:textId="77777777" w:rsidTr="00A26011">
        <w:trPr>
          <w:trHeight w:val="300"/>
        </w:trPr>
        <w:tc>
          <w:tcPr>
            <w:tcW w:w="684" w:type="dxa"/>
            <w:noWrap/>
            <w:vAlign w:val="bottom"/>
            <w:hideMark/>
          </w:tcPr>
          <w:p w14:paraId="1BBAE38E" w14:textId="24EE0AA9" w:rsidR="00103CFB" w:rsidRPr="00293F5E" w:rsidRDefault="00103CFB" w:rsidP="00103CFB">
            <w:pPr>
              <w:spacing w:after="0"/>
              <w:ind w:left="0"/>
              <w:jc w:val="center"/>
              <w:rPr>
                <w:rFonts w:ascii="Calibri" w:hAnsi="Calibri" w:cs="Calibri"/>
                <w:color w:val="000000"/>
                <w:szCs w:val="22"/>
              </w:rPr>
            </w:pPr>
            <w:r>
              <w:rPr>
                <w:szCs w:val="22"/>
              </w:rPr>
              <w:t>118</w:t>
            </w:r>
          </w:p>
        </w:tc>
        <w:tc>
          <w:tcPr>
            <w:tcW w:w="1677" w:type="dxa"/>
            <w:noWrap/>
            <w:vAlign w:val="bottom"/>
          </w:tcPr>
          <w:p w14:paraId="6BB8786E"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1EF0F67E" w14:textId="77777777" w:rsidR="00103CFB" w:rsidRPr="004B4E82" w:rsidRDefault="00103CFB" w:rsidP="00103CFB">
            <w:pPr>
              <w:spacing w:after="0"/>
              <w:ind w:left="0"/>
              <w:rPr>
                <w:color w:val="000000"/>
              </w:rPr>
            </w:pPr>
            <w:r>
              <w:rPr>
                <w:color w:val="000000"/>
              </w:rPr>
              <w:t>TXDZ0300</w:t>
            </w:r>
          </w:p>
        </w:tc>
        <w:tc>
          <w:tcPr>
            <w:tcW w:w="6963" w:type="dxa"/>
            <w:vAlign w:val="bottom"/>
          </w:tcPr>
          <w:p w14:paraId="1D2D1438" w14:textId="77777777" w:rsidR="00103CFB" w:rsidRPr="004B4E82" w:rsidRDefault="00103CFB" w:rsidP="00103CFB">
            <w:pPr>
              <w:spacing w:after="0"/>
              <w:ind w:left="0"/>
              <w:rPr>
                <w:color w:val="000000"/>
              </w:rPr>
            </w:pPr>
            <w:r>
              <w:rPr>
                <w:color w:val="000000"/>
              </w:rPr>
              <w:t>Surplus Credit Refunds Requested from Tax that have not received payment for 7 or more days</w:t>
            </w:r>
          </w:p>
        </w:tc>
      </w:tr>
      <w:tr w:rsidR="00103CFB" w:rsidRPr="00293F5E" w14:paraId="76C50D9B" w14:textId="77777777" w:rsidTr="00A26011">
        <w:trPr>
          <w:trHeight w:val="300"/>
        </w:trPr>
        <w:tc>
          <w:tcPr>
            <w:tcW w:w="684" w:type="dxa"/>
            <w:noWrap/>
            <w:vAlign w:val="bottom"/>
            <w:hideMark/>
          </w:tcPr>
          <w:p w14:paraId="337BCA04" w14:textId="53579493" w:rsidR="00103CFB" w:rsidRPr="00293F5E" w:rsidRDefault="00103CFB" w:rsidP="00103CFB">
            <w:pPr>
              <w:spacing w:after="0"/>
              <w:ind w:left="0"/>
              <w:jc w:val="center"/>
              <w:rPr>
                <w:rFonts w:ascii="Calibri" w:hAnsi="Calibri" w:cs="Calibri"/>
                <w:color w:val="000000"/>
                <w:szCs w:val="22"/>
              </w:rPr>
            </w:pPr>
            <w:r>
              <w:rPr>
                <w:color w:val="000000"/>
                <w:szCs w:val="22"/>
              </w:rPr>
              <w:t>119</w:t>
            </w:r>
          </w:p>
        </w:tc>
        <w:tc>
          <w:tcPr>
            <w:tcW w:w="1677" w:type="dxa"/>
            <w:noWrap/>
            <w:vAlign w:val="bottom"/>
          </w:tcPr>
          <w:p w14:paraId="2F01D512" w14:textId="77777777" w:rsidR="00103CFB" w:rsidRPr="00293F5E" w:rsidRDefault="00103CFB" w:rsidP="00103CFB">
            <w:pPr>
              <w:spacing w:after="0"/>
              <w:ind w:left="0"/>
              <w:rPr>
                <w:rFonts w:ascii="Calibri" w:hAnsi="Calibri" w:cs="Calibri"/>
                <w:color w:val="000000"/>
                <w:szCs w:val="22"/>
              </w:rPr>
            </w:pPr>
            <w:r>
              <w:rPr>
                <w:color w:val="000000"/>
              </w:rPr>
              <w:t>Daily</w:t>
            </w:r>
          </w:p>
        </w:tc>
        <w:tc>
          <w:tcPr>
            <w:tcW w:w="1775" w:type="dxa"/>
            <w:noWrap/>
            <w:vAlign w:val="bottom"/>
          </w:tcPr>
          <w:p w14:paraId="7457D04E" w14:textId="77777777" w:rsidR="00103CFB" w:rsidRPr="004B4E82" w:rsidRDefault="00103CFB" w:rsidP="00103CFB">
            <w:pPr>
              <w:spacing w:after="0"/>
              <w:ind w:left="0"/>
              <w:rPr>
                <w:color w:val="000000"/>
              </w:rPr>
            </w:pPr>
            <w:r>
              <w:rPr>
                <w:color w:val="000000"/>
              </w:rPr>
              <w:t>TXQ100F1</w:t>
            </w:r>
          </w:p>
        </w:tc>
        <w:tc>
          <w:tcPr>
            <w:tcW w:w="6963" w:type="dxa"/>
            <w:vAlign w:val="bottom"/>
          </w:tcPr>
          <w:p w14:paraId="67DF2616" w14:textId="50C699A5" w:rsidR="00103CFB" w:rsidRPr="004B4E82" w:rsidRDefault="00103CFB" w:rsidP="00103CFB">
            <w:pPr>
              <w:spacing w:after="0"/>
              <w:ind w:left="0"/>
              <w:rPr>
                <w:color w:val="000000"/>
              </w:rPr>
            </w:pPr>
            <w:r>
              <w:rPr>
                <w:color w:val="000000"/>
              </w:rPr>
              <w:t xml:space="preserve">QuickFile </w:t>
            </w:r>
            <w:r w:rsidR="0098693C">
              <w:rPr>
                <w:color w:val="000000"/>
              </w:rPr>
              <w:t>System Output</w:t>
            </w:r>
            <w:r>
              <w:rPr>
                <w:color w:val="000000"/>
              </w:rPr>
              <w:t xml:space="preserve"> Messages</w:t>
            </w:r>
          </w:p>
        </w:tc>
      </w:tr>
      <w:tr w:rsidR="00103CFB" w:rsidRPr="00293F5E" w14:paraId="6AE86E54" w14:textId="77777777" w:rsidTr="00103CFB">
        <w:trPr>
          <w:trHeight w:val="315"/>
        </w:trPr>
        <w:tc>
          <w:tcPr>
            <w:tcW w:w="684" w:type="dxa"/>
            <w:noWrap/>
            <w:vAlign w:val="bottom"/>
          </w:tcPr>
          <w:p w14:paraId="6359304D" w14:textId="28574B63" w:rsidR="00103CFB" w:rsidRDefault="00103CFB" w:rsidP="00103CFB">
            <w:pPr>
              <w:spacing w:after="0"/>
              <w:ind w:left="0"/>
              <w:jc w:val="center"/>
              <w:rPr>
                <w:rFonts w:ascii="Calibri" w:hAnsi="Calibri" w:cs="Calibri"/>
                <w:color w:val="000000"/>
                <w:szCs w:val="22"/>
              </w:rPr>
            </w:pPr>
            <w:r>
              <w:rPr>
                <w:szCs w:val="22"/>
              </w:rPr>
              <w:t>120</w:t>
            </w:r>
          </w:p>
        </w:tc>
        <w:tc>
          <w:tcPr>
            <w:tcW w:w="1677" w:type="dxa"/>
            <w:noWrap/>
            <w:vAlign w:val="bottom"/>
          </w:tcPr>
          <w:p w14:paraId="6F9ED3BC" w14:textId="77777777" w:rsidR="00103CFB" w:rsidRDefault="00103CFB" w:rsidP="00103CFB">
            <w:pPr>
              <w:spacing w:after="0"/>
              <w:ind w:left="0"/>
              <w:rPr>
                <w:rFonts w:ascii="Calibri" w:hAnsi="Calibri" w:cs="Calibri"/>
                <w:color w:val="000000"/>
                <w:szCs w:val="22"/>
              </w:rPr>
            </w:pPr>
            <w:r>
              <w:rPr>
                <w:color w:val="000000"/>
              </w:rPr>
              <w:t>Weekly</w:t>
            </w:r>
          </w:p>
        </w:tc>
        <w:tc>
          <w:tcPr>
            <w:tcW w:w="1775" w:type="dxa"/>
            <w:noWrap/>
            <w:vAlign w:val="bottom"/>
          </w:tcPr>
          <w:p w14:paraId="3B2DC45D" w14:textId="77777777" w:rsidR="00103CFB" w:rsidRPr="00007760" w:rsidRDefault="00103CFB" w:rsidP="00103CFB">
            <w:pPr>
              <w:spacing w:after="0"/>
              <w:ind w:left="0"/>
              <w:rPr>
                <w:color w:val="000000"/>
              </w:rPr>
            </w:pPr>
            <w:r>
              <w:rPr>
                <w:color w:val="000000"/>
              </w:rPr>
              <w:t>TXWF0030</w:t>
            </w:r>
          </w:p>
        </w:tc>
        <w:tc>
          <w:tcPr>
            <w:tcW w:w="6963" w:type="dxa"/>
            <w:vAlign w:val="bottom"/>
          </w:tcPr>
          <w:p w14:paraId="65D3015E" w14:textId="77777777" w:rsidR="00103CFB" w:rsidRPr="00007760" w:rsidRDefault="00103CFB" w:rsidP="00103CFB">
            <w:pPr>
              <w:spacing w:after="0"/>
              <w:ind w:left="0"/>
              <w:rPr>
                <w:color w:val="000000"/>
              </w:rPr>
            </w:pPr>
            <w:r>
              <w:rPr>
                <w:color w:val="000000"/>
              </w:rPr>
              <w:t>Report Delinquency by Review Date</w:t>
            </w:r>
          </w:p>
        </w:tc>
      </w:tr>
      <w:tr w:rsidR="00103CFB" w:rsidRPr="00293F5E" w14:paraId="4B400ED6" w14:textId="77777777" w:rsidTr="00103CFB">
        <w:trPr>
          <w:trHeight w:val="315"/>
        </w:trPr>
        <w:tc>
          <w:tcPr>
            <w:tcW w:w="684" w:type="dxa"/>
            <w:noWrap/>
            <w:vAlign w:val="bottom"/>
          </w:tcPr>
          <w:p w14:paraId="71DD7E07" w14:textId="212648A7" w:rsidR="00103CFB" w:rsidRDefault="00103CFB" w:rsidP="00103CFB">
            <w:pPr>
              <w:spacing w:after="0"/>
              <w:ind w:left="0"/>
              <w:jc w:val="center"/>
              <w:rPr>
                <w:rFonts w:ascii="Calibri" w:hAnsi="Calibri" w:cs="Calibri"/>
                <w:color w:val="000000"/>
                <w:szCs w:val="22"/>
              </w:rPr>
            </w:pPr>
            <w:r>
              <w:rPr>
                <w:color w:val="000000"/>
                <w:szCs w:val="22"/>
              </w:rPr>
              <w:lastRenderedPageBreak/>
              <w:t>121</w:t>
            </w:r>
          </w:p>
        </w:tc>
        <w:tc>
          <w:tcPr>
            <w:tcW w:w="1677" w:type="dxa"/>
            <w:noWrap/>
            <w:vAlign w:val="bottom"/>
          </w:tcPr>
          <w:p w14:paraId="5938D9F0" w14:textId="77777777" w:rsidR="00103CFB" w:rsidRDefault="00103CFB" w:rsidP="00103CFB">
            <w:pPr>
              <w:spacing w:after="0"/>
              <w:ind w:left="0"/>
              <w:rPr>
                <w:rFonts w:ascii="Calibri" w:hAnsi="Calibri" w:cs="Calibri"/>
                <w:color w:val="000000"/>
                <w:szCs w:val="22"/>
              </w:rPr>
            </w:pPr>
            <w:r>
              <w:rPr>
                <w:color w:val="000000"/>
              </w:rPr>
              <w:t>Weekly</w:t>
            </w:r>
          </w:p>
        </w:tc>
        <w:tc>
          <w:tcPr>
            <w:tcW w:w="1775" w:type="dxa"/>
            <w:noWrap/>
            <w:vAlign w:val="bottom"/>
          </w:tcPr>
          <w:p w14:paraId="750DAEB7" w14:textId="77777777" w:rsidR="00103CFB" w:rsidRPr="00007760" w:rsidRDefault="00103CFB" w:rsidP="00103CFB">
            <w:pPr>
              <w:spacing w:after="0"/>
              <w:ind w:left="0"/>
              <w:rPr>
                <w:color w:val="000000"/>
              </w:rPr>
            </w:pPr>
            <w:r>
              <w:rPr>
                <w:color w:val="000000"/>
              </w:rPr>
              <w:t>TXWQ0060</w:t>
            </w:r>
          </w:p>
        </w:tc>
        <w:tc>
          <w:tcPr>
            <w:tcW w:w="6963" w:type="dxa"/>
            <w:vAlign w:val="bottom"/>
          </w:tcPr>
          <w:p w14:paraId="28F49D37" w14:textId="77777777" w:rsidR="00103CFB" w:rsidRPr="00007760" w:rsidRDefault="00103CFB" w:rsidP="00103CFB">
            <w:pPr>
              <w:spacing w:after="0"/>
              <w:ind w:left="0"/>
              <w:rPr>
                <w:color w:val="000000"/>
              </w:rPr>
            </w:pPr>
            <w:r>
              <w:rPr>
                <w:color w:val="000000"/>
              </w:rPr>
              <w:t>Aged Unallocated Remittances (7-13 Days, 14-20 Days, 21-28 Days, Over 28 Days)</w:t>
            </w:r>
          </w:p>
        </w:tc>
      </w:tr>
      <w:tr w:rsidR="00103CFB" w:rsidRPr="00293F5E" w14:paraId="4EFB1FA2" w14:textId="77777777" w:rsidTr="00103CFB">
        <w:trPr>
          <w:trHeight w:val="315"/>
        </w:trPr>
        <w:tc>
          <w:tcPr>
            <w:tcW w:w="684" w:type="dxa"/>
            <w:noWrap/>
            <w:vAlign w:val="bottom"/>
          </w:tcPr>
          <w:p w14:paraId="738608FF" w14:textId="15992019" w:rsidR="00103CFB" w:rsidRDefault="00103CFB" w:rsidP="00103CFB">
            <w:pPr>
              <w:spacing w:after="0"/>
              <w:ind w:left="0"/>
              <w:jc w:val="center"/>
              <w:rPr>
                <w:rFonts w:ascii="Calibri" w:hAnsi="Calibri" w:cs="Calibri"/>
                <w:color w:val="000000"/>
                <w:szCs w:val="22"/>
              </w:rPr>
            </w:pPr>
            <w:r>
              <w:rPr>
                <w:szCs w:val="22"/>
              </w:rPr>
              <w:t>122</w:t>
            </w:r>
          </w:p>
        </w:tc>
        <w:tc>
          <w:tcPr>
            <w:tcW w:w="1677" w:type="dxa"/>
            <w:noWrap/>
            <w:vAlign w:val="bottom"/>
          </w:tcPr>
          <w:p w14:paraId="781415FF" w14:textId="77777777" w:rsidR="00103CFB" w:rsidRDefault="00103CFB" w:rsidP="00103CFB">
            <w:pPr>
              <w:spacing w:after="0"/>
              <w:ind w:left="0"/>
              <w:rPr>
                <w:rFonts w:ascii="Calibri" w:hAnsi="Calibri" w:cs="Calibri"/>
                <w:color w:val="000000"/>
                <w:szCs w:val="22"/>
              </w:rPr>
            </w:pPr>
            <w:r>
              <w:rPr>
                <w:color w:val="000000"/>
              </w:rPr>
              <w:t>Weekly</w:t>
            </w:r>
          </w:p>
        </w:tc>
        <w:tc>
          <w:tcPr>
            <w:tcW w:w="1775" w:type="dxa"/>
            <w:noWrap/>
            <w:vAlign w:val="bottom"/>
          </w:tcPr>
          <w:p w14:paraId="359CBF1D" w14:textId="77777777" w:rsidR="00103CFB" w:rsidRPr="00007760" w:rsidRDefault="00103CFB" w:rsidP="00103CFB">
            <w:pPr>
              <w:spacing w:after="0"/>
              <w:ind w:left="0"/>
              <w:rPr>
                <w:color w:val="000000"/>
              </w:rPr>
            </w:pPr>
            <w:r>
              <w:rPr>
                <w:color w:val="000000"/>
              </w:rPr>
              <w:t>TXWQ0062</w:t>
            </w:r>
          </w:p>
        </w:tc>
        <w:tc>
          <w:tcPr>
            <w:tcW w:w="6963" w:type="dxa"/>
            <w:vAlign w:val="bottom"/>
          </w:tcPr>
          <w:p w14:paraId="595C8F87" w14:textId="77777777" w:rsidR="00103CFB" w:rsidRPr="00007760" w:rsidRDefault="00103CFB" w:rsidP="00103CFB">
            <w:pPr>
              <w:spacing w:after="0"/>
              <w:ind w:left="0"/>
              <w:rPr>
                <w:color w:val="000000"/>
              </w:rPr>
            </w:pPr>
            <w:r>
              <w:rPr>
                <w:color w:val="000000"/>
              </w:rPr>
              <w:t>Aged Unallocated Remittances (Over 28 Days)</w:t>
            </w:r>
          </w:p>
        </w:tc>
      </w:tr>
      <w:tr w:rsidR="00103CFB" w:rsidRPr="00293F5E" w14:paraId="39C91293" w14:textId="77777777" w:rsidTr="00103CFB">
        <w:trPr>
          <w:trHeight w:val="315"/>
        </w:trPr>
        <w:tc>
          <w:tcPr>
            <w:tcW w:w="684" w:type="dxa"/>
            <w:noWrap/>
            <w:vAlign w:val="bottom"/>
          </w:tcPr>
          <w:p w14:paraId="12F971C8" w14:textId="421E526A" w:rsidR="00103CFB" w:rsidRDefault="00103CFB" w:rsidP="00103CFB">
            <w:pPr>
              <w:spacing w:after="0"/>
              <w:ind w:left="0"/>
              <w:jc w:val="center"/>
              <w:rPr>
                <w:rFonts w:ascii="Calibri" w:hAnsi="Calibri" w:cs="Calibri"/>
                <w:color w:val="000000"/>
                <w:szCs w:val="22"/>
              </w:rPr>
            </w:pPr>
            <w:r>
              <w:rPr>
                <w:color w:val="000000"/>
                <w:szCs w:val="22"/>
              </w:rPr>
              <w:t>123</w:t>
            </w:r>
          </w:p>
        </w:tc>
        <w:tc>
          <w:tcPr>
            <w:tcW w:w="1677" w:type="dxa"/>
            <w:noWrap/>
            <w:vAlign w:val="bottom"/>
          </w:tcPr>
          <w:p w14:paraId="068EB6AA" w14:textId="77777777" w:rsidR="00103CFB" w:rsidRDefault="00103CFB" w:rsidP="00103CFB">
            <w:pPr>
              <w:spacing w:after="0"/>
              <w:ind w:left="0"/>
              <w:rPr>
                <w:rFonts w:ascii="Calibri" w:hAnsi="Calibri" w:cs="Calibri"/>
                <w:color w:val="000000"/>
                <w:szCs w:val="22"/>
              </w:rPr>
            </w:pPr>
            <w:r>
              <w:rPr>
                <w:color w:val="000000"/>
              </w:rPr>
              <w:t>Weekly</w:t>
            </w:r>
          </w:p>
        </w:tc>
        <w:tc>
          <w:tcPr>
            <w:tcW w:w="1775" w:type="dxa"/>
            <w:noWrap/>
            <w:vAlign w:val="bottom"/>
          </w:tcPr>
          <w:p w14:paraId="2C02434B" w14:textId="77777777" w:rsidR="00103CFB" w:rsidRPr="00007760" w:rsidRDefault="00103CFB" w:rsidP="00103CFB">
            <w:pPr>
              <w:spacing w:after="0"/>
              <w:ind w:left="0"/>
              <w:rPr>
                <w:color w:val="000000"/>
              </w:rPr>
            </w:pPr>
            <w:r>
              <w:rPr>
                <w:color w:val="000000"/>
              </w:rPr>
              <w:t>TXWS0010</w:t>
            </w:r>
          </w:p>
        </w:tc>
        <w:tc>
          <w:tcPr>
            <w:tcW w:w="6963" w:type="dxa"/>
            <w:vAlign w:val="bottom"/>
          </w:tcPr>
          <w:p w14:paraId="6DDC5C2D" w14:textId="77777777" w:rsidR="00103CFB" w:rsidRPr="00007760" w:rsidRDefault="00103CFB" w:rsidP="00103CFB">
            <w:pPr>
              <w:spacing w:after="0"/>
              <w:ind w:left="0"/>
              <w:rPr>
                <w:color w:val="000000"/>
              </w:rPr>
            </w:pPr>
            <w:r>
              <w:rPr>
                <w:color w:val="000000"/>
              </w:rPr>
              <w:t>Weekly Status Address Totals for Tax Examiners</w:t>
            </w:r>
          </w:p>
        </w:tc>
      </w:tr>
      <w:tr w:rsidR="00103CFB" w:rsidRPr="00293F5E" w14:paraId="3407EEA1" w14:textId="77777777" w:rsidTr="00103CFB">
        <w:trPr>
          <w:trHeight w:val="315"/>
        </w:trPr>
        <w:tc>
          <w:tcPr>
            <w:tcW w:w="684" w:type="dxa"/>
            <w:noWrap/>
            <w:vAlign w:val="bottom"/>
          </w:tcPr>
          <w:p w14:paraId="71DA5E5A" w14:textId="347A029B" w:rsidR="00103CFB" w:rsidRDefault="00103CFB" w:rsidP="00103CFB">
            <w:pPr>
              <w:spacing w:after="0"/>
              <w:ind w:left="0"/>
              <w:jc w:val="center"/>
              <w:rPr>
                <w:rFonts w:ascii="Calibri" w:hAnsi="Calibri" w:cs="Calibri"/>
                <w:color w:val="000000"/>
                <w:szCs w:val="22"/>
              </w:rPr>
            </w:pPr>
            <w:r>
              <w:rPr>
                <w:szCs w:val="22"/>
              </w:rPr>
              <w:t>124</w:t>
            </w:r>
          </w:p>
        </w:tc>
        <w:tc>
          <w:tcPr>
            <w:tcW w:w="1677" w:type="dxa"/>
            <w:noWrap/>
            <w:vAlign w:val="bottom"/>
          </w:tcPr>
          <w:p w14:paraId="61629170" w14:textId="77777777" w:rsidR="00103CFB" w:rsidRDefault="00103CFB" w:rsidP="00103CFB">
            <w:pPr>
              <w:spacing w:after="0"/>
              <w:ind w:left="0"/>
              <w:rPr>
                <w:rFonts w:ascii="Calibri" w:hAnsi="Calibri" w:cs="Calibri"/>
                <w:color w:val="000000"/>
                <w:szCs w:val="22"/>
              </w:rPr>
            </w:pPr>
            <w:r>
              <w:rPr>
                <w:color w:val="000000"/>
              </w:rPr>
              <w:t>Weekly</w:t>
            </w:r>
          </w:p>
        </w:tc>
        <w:tc>
          <w:tcPr>
            <w:tcW w:w="1775" w:type="dxa"/>
            <w:noWrap/>
            <w:vAlign w:val="bottom"/>
          </w:tcPr>
          <w:p w14:paraId="1D726183" w14:textId="77777777" w:rsidR="00103CFB" w:rsidRPr="00007760" w:rsidRDefault="00103CFB" w:rsidP="00103CFB">
            <w:pPr>
              <w:spacing w:after="0"/>
              <w:ind w:left="0"/>
              <w:rPr>
                <w:color w:val="000000"/>
              </w:rPr>
            </w:pPr>
            <w:r>
              <w:rPr>
                <w:color w:val="000000"/>
              </w:rPr>
              <w:t>TXWS0010</w:t>
            </w:r>
          </w:p>
        </w:tc>
        <w:tc>
          <w:tcPr>
            <w:tcW w:w="6963" w:type="dxa"/>
            <w:vAlign w:val="bottom"/>
          </w:tcPr>
          <w:p w14:paraId="4813A0AD" w14:textId="77777777" w:rsidR="00103CFB" w:rsidRPr="00007760" w:rsidRDefault="00103CFB" w:rsidP="00103CFB">
            <w:pPr>
              <w:spacing w:after="0"/>
              <w:ind w:left="0"/>
              <w:rPr>
                <w:color w:val="000000"/>
              </w:rPr>
            </w:pPr>
            <w:r>
              <w:rPr>
                <w:color w:val="000000"/>
              </w:rPr>
              <w:t>Weekly Status C10 Totals for Tax Examiners</w:t>
            </w:r>
          </w:p>
        </w:tc>
      </w:tr>
      <w:tr w:rsidR="00103CFB" w:rsidRPr="00293F5E" w14:paraId="4C0D7A06" w14:textId="77777777" w:rsidTr="00103CFB">
        <w:trPr>
          <w:trHeight w:val="315"/>
        </w:trPr>
        <w:tc>
          <w:tcPr>
            <w:tcW w:w="684" w:type="dxa"/>
            <w:noWrap/>
            <w:vAlign w:val="bottom"/>
          </w:tcPr>
          <w:p w14:paraId="2F5A71E7" w14:textId="16B361C2" w:rsidR="00103CFB" w:rsidRDefault="00103CFB" w:rsidP="00103CFB">
            <w:pPr>
              <w:spacing w:after="0"/>
              <w:ind w:left="0"/>
              <w:jc w:val="center"/>
              <w:rPr>
                <w:rFonts w:ascii="Calibri" w:hAnsi="Calibri" w:cs="Calibri"/>
                <w:color w:val="000000"/>
                <w:szCs w:val="22"/>
              </w:rPr>
            </w:pPr>
            <w:r>
              <w:rPr>
                <w:color w:val="000000"/>
                <w:szCs w:val="22"/>
              </w:rPr>
              <w:t>125</w:t>
            </w:r>
          </w:p>
        </w:tc>
        <w:tc>
          <w:tcPr>
            <w:tcW w:w="1677" w:type="dxa"/>
            <w:noWrap/>
            <w:vAlign w:val="bottom"/>
          </w:tcPr>
          <w:p w14:paraId="3BD07579" w14:textId="77777777" w:rsidR="00103CFB" w:rsidRDefault="00103CFB" w:rsidP="00103CFB">
            <w:pPr>
              <w:spacing w:after="0"/>
              <w:ind w:left="0"/>
              <w:rPr>
                <w:rFonts w:ascii="Calibri" w:hAnsi="Calibri" w:cs="Calibri"/>
                <w:color w:val="000000"/>
                <w:szCs w:val="22"/>
              </w:rPr>
            </w:pPr>
            <w:r>
              <w:rPr>
                <w:color w:val="000000"/>
              </w:rPr>
              <w:t>Weekly</w:t>
            </w:r>
          </w:p>
        </w:tc>
        <w:tc>
          <w:tcPr>
            <w:tcW w:w="1775" w:type="dxa"/>
            <w:noWrap/>
            <w:vAlign w:val="bottom"/>
          </w:tcPr>
          <w:p w14:paraId="47377288" w14:textId="77777777" w:rsidR="00103CFB" w:rsidRPr="00007760" w:rsidRDefault="00103CFB" w:rsidP="00103CFB">
            <w:pPr>
              <w:spacing w:after="0"/>
              <w:ind w:left="0"/>
              <w:rPr>
                <w:color w:val="000000"/>
              </w:rPr>
            </w:pPr>
            <w:r>
              <w:rPr>
                <w:color w:val="000000"/>
              </w:rPr>
              <w:t>TXWS0010</w:t>
            </w:r>
          </w:p>
        </w:tc>
        <w:tc>
          <w:tcPr>
            <w:tcW w:w="6963" w:type="dxa"/>
            <w:vAlign w:val="bottom"/>
          </w:tcPr>
          <w:p w14:paraId="3531A180" w14:textId="77777777" w:rsidR="00103CFB" w:rsidRPr="00007760" w:rsidRDefault="00103CFB" w:rsidP="00103CFB">
            <w:pPr>
              <w:spacing w:after="0"/>
              <w:ind w:left="0"/>
              <w:rPr>
                <w:color w:val="000000"/>
              </w:rPr>
            </w:pPr>
            <w:r>
              <w:rPr>
                <w:color w:val="000000"/>
              </w:rPr>
              <w:t>Weekly Status C10P Totals for Tax Examiners</w:t>
            </w:r>
          </w:p>
        </w:tc>
      </w:tr>
      <w:tr w:rsidR="00103CFB" w:rsidRPr="00293F5E" w14:paraId="379CD3AD" w14:textId="77777777" w:rsidTr="00103CFB">
        <w:trPr>
          <w:trHeight w:val="315"/>
        </w:trPr>
        <w:tc>
          <w:tcPr>
            <w:tcW w:w="684" w:type="dxa"/>
            <w:noWrap/>
            <w:vAlign w:val="bottom"/>
          </w:tcPr>
          <w:p w14:paraId="3C0F1FCE" w14:textId="4C46E55D" w:rsidR="00103CFB" w:rsidRDefault="00103CFB" w:rsidP="00103CFB">
            <w:pPr>
              <w:spacing w:after="0"/>
              <w:ind w:left="0"/>
              <w:jc w:val="center"/>
              <w:rPr>
                <w:rFonts w:ascii="Calibri" w:hAnsi="Calibri" w:cs="Calibri"/>
                <w:color w:val="000000"/>
                <w:szCs w:val="22"/>
              </w:rPr>
            </w:pPr>
            <w:r>
              <w:rPr>
                <w:szCs w:val="22"/>
              </w:rPr>
              <w:t>126</w:t>
            </w:r>
          </w:p>
        </w:tc>
        <w:tc>
          <w:tcPr>
            <w:tcW w:w="1677" w:type="dxa"/>
            <w:noWrap/>
            <w:vAlign w:val="bottom"/>
          </w:tcPr>
          <w:p w14:paraId="2B4403B2" w14:textId="77777777" w:rsidR="00103CFB" w:rsidRDefault="00103CFB" w:rsidP="00103CFB">
            <w:pPr>
              <w:spacing w:after="0"/>
              <w:ind w:left="0"/>
              <w:rPr>
                <w:rFonts w:ascii="Calibri" w:hAnsi="Calibri" w:cs="Calibri"/>
                <w:color w:val="000000"/>
                <w:szCs w:val="22"/>
              </w:rPr>
            </w:pPr>
            <w:r>
              <w:rPr>
                <w:color w:val="000000"/>
              </w:rPr>
              <w:t>Weekly</w:t>
            </w:r>
          </w:p>
        </w:tc>
        <w:tc>
          <w:tcPr>
            <w:tcW w:w="1775" w:type="dxa"/>
            <w:noWrap/>
            <w:vAlign w:val="bottom"/>
          </w:tcPr>
          <w:p w14:paraId="6B4E7FAE" w14:textId="77777777" w:rsidR="00103CFB" w:rsidRPr="00007760" w:rsidRDefault="00103CFB" w:rsidP="00103CFB">
            <w:pPr>
              <w:spacing w:after="0"/>
              <w:ind w:left="0"/>
              <w:rPr>
                <w:color w:val="000000"/>
              </w:rPr>
            </w:pPr>
            <w:r>
              <w:rPr>
                <w:color w:val="000000"/>
              </w:rPr>
              <w:t>TXWS0010</w:t>
            </w:r>
          </w:p>
        </w:tc>
        <w:tc>
          <w:tcPr>
            <w:tcW w:w="6963" w:type="dxa"/>
            <w:vAlign w:val="bottom"/>
          </w:tcPr>
          <w:p w14:paraId="3D852302" w14:textId="77777777" w:rsidR="00103CFB" w:rsidRPr="00007760" w:rsidRDefault="00103CFB" w:rsidP="00103CFB">
            <w:pPr>
              <w:spacing w:after="0"/>
              <w:ind w:left="0"/>
              <w:rPr>
                <w:color w:val="000000"/>
              </w:rPr>
            </w:pPr>
            <w:r>
              <w:rPr>
                <w:color w:val="000000"/>
              </w:rPr>
              <w:t>Weekly Status Suspend Totals for Tax Examiners</w:t>
            </w:r>
          </w:p>
        </w:tc>
      </w:tr>
      <w:tr w:rsidR="00103CFB" w:rsidRPr="00293F5E" w14:paraId="211F1098" w14:textId="77777777" w:rsidTr="00103CFB">
        <w:trPr>
          <w:trHeight w:val="315"/>
        </w:trPr>
        <w:tc>
          <w:tcPr>
            <w:tcW w:w="684" w:type="dxa"/>
            <w:noWrap/>
            <w:vAlign w:val="bottom"/>
          </w:tcPr>
          <w:p w14:paraId="1671666C" w14:textId="065BFC2D" w:rsidR="00103CFB" w:rsidRDefault="00103CFB" w:rsidP="00103CFB">
            <w:pPr>
              <w:spacing w:after="0"/>
              <w:ind w:left="0"/>
              <w:jc w:val="center"/>
              <w:rPr>
                <w:rFonts w:ascii="Calibri" w:hAnsi="Calibri" w:cs="Calibri"/>
                <w:color w:val="000000"/>
                <w:szCs w:val="22"/>
              </w:rPr>
            </w:pPr>
            <w:r>
              <w:rPr>
                <w:color w:val="000000"/>
                <w:szCs w:val="22"/>
              </w:rPr>
              <w:t>127</w:t>
            </w:r>
          </w:p>
        </w:tc>
        <w:tc>
          <w:tcPr>
            <w:tcW w:w="1677" w:type="dxa"/>
            <w:noWrap/>
            <w:vAlign w:val="bottom"/>
          </w:tcPr>
          <w:p w14:paraId="1772F728" w14:textId="77777777" w:rsidR="00103CFB" w:rsidRDefault="00103CFB" w:rsidP="00103CFB">
            <w:pPr>
              <w:spacing w:after="0"/>
              <w:ind w:left="0"/>
              <w:rPr>
                <w:rFonts w:ascii="Calibri" w:hAnsi="Calibri" w:cs="Calibri"/>
                <w:color w:val="000000"/>
                <w:szCs w:val="22"/>
              </w:rPr>
            </w:pPr>
            <w:r>
              <w:rPr>
                <w:color w:val="000000"/>
              </w:rPr>
              <w:t>Weekly</w:t>
            </w:r>
          </w:p>
        </w:tc>
        <w:tc>
          <w:tcPr>
            <w:tcW w:w="1775" w:type="dxa"/>
            <w:noWrap/>
            <w:vAlign w:val="bottom"/>
          </w:tcPr>
          <w:p w14:paraId="30807CAB" w14:textId="77777777" w:rsidR="00103CFB" w:rsidRPr="00007760" w:rsidRDefault="00103CFB" w:rsidP="00103CFB">
            <w:pPr>
              <w:spacing w:after="0"/>
              <w:ind w:left="0"/>
              <w:rPr>
                <w:color w:val="000000"/>
              </w:rPr>
            </w:pPr>
            <w:r>
              <w:rPr>
                <w:color w:val="000000"/>
              </w:rPr>
              <w:t>TXWS0020</w:t>
            </w:r>
          </w:p>
        </w:tc>
        <w:tc>
          <w:tcPr>
            <w:tcW w:w="6963" w:type="dxa"/>
            <w:vAlign w:val="bottom"/>
          </w:tcPr>
          <w:p w14:paraId="4C3B7C5E" w14:textId="77777777" w:rsidR="00103CFB" w:rsidRPr="00007760" w:rsidRDefault="00103CFB" w:rsidP="00103CFB">
            <w:pPr>
              <w:spacing w:after="0"/>
              <w:ind w:left="0"/>
              <w:rPr>
                <w:color w:val="000000"/>
              </w:rPr>
            </w:pPr>
            <w:r>
              <w:rPr>
                <w:color w:val="000000"/>
              </w:rPr>
              <w:t>DB2 Table Errors</w:t>
            </w:r>
          </w:p>
        </w:tc>
      </w:tr>
      <w:tr w:rsidR="00103CFB" w:rsidRPr="00293F5E" w14:paraId="10E8E980" w14:textId="77777777" w:rsidTr="00103CFB">
        <w:trPr>
          <w:trHeight w:val="315"/>
        </w:trPr>
        <w:tc>
          <w:tcPr>
            <w:tcW w:w="684" w:type="dxa"/>
            <w:noWrap/>
            <w:vAlign w:val="bottom"/>
          </w:tcPr>
          <w:p w14:paraId="3FCC6705" w14:textId="3F9D9572" w:rsidR="00103CFB" w:rsidRDefault="00103CFB" w:rsidP="00103CFB">
            <w:pPr>
              <w:spacing w:after="0"/>
              <w:ind w:left="0"/>
              <w:jc w:val="center"/>
              <w:rPr>
                <w:rFonts w:ascii="Calibri" w:hAnsi="Calibri" w:cs="Calibri"/>
                <w:color w:val="000000"/>
                <w:szCs w:val="22"/>
              </w:rPr>
            </w:pPr>
            <w:r>
              <w:rPr>
                <w:szCs w:val="22"/>
              </w:rPr>
              <w:t>128</w:t>
            </w:r>
          </w:p>
        </w:tc>
        <w:tc>
          <w:tcPr>
            <w:tcW w:w="1677" w:type="dxa"/>
            <w:noWrap/>
            <w:vAlign w:val="bottom"/>
          </w:tcPr>
          <w:p w14:paraId="1F98EF74" w14:textId="77777777" w:rsidR="00103CFB" w:rsidRDefault="00103CFB" w:rsidP="00103CFB">
            <w:pPr>
              <w:spacing w:after="0"/>
              <w:ind w:left="0"/>
              <w:rPr>
                <w:rFonts w:ascii="Calibri" w:hAnsi="Calibri" w:cs="Calibri"/>
                <w:color w:val="000000"/>
                <w:szCs w:val="22"/>
              </w:rPr>
            </w:pPr>
            <w:r>
              <w:rPr>
                <w:color w:val="000000"/>
              </w:rPr>
              <w:t>Weekly</w:t>
            </w:r>
          </w:p>
        </w:tc>
        <w:tc>
          <w:tcPr>
            <w:tcW w:w="1775" w:type="dxa"/>
            <w:noWrap/>
            <w:vAlign w:val="bottom"/>
          </w:tcPr>
          <w:p w14:paraId="4926F74D" w14:textId="77777777" w:rsidR="00103CFB" w:rsidRPr="00007760" w:rsidRDefault="00103CFB" w:rsidP="00103CFB">
            <w:pPr>
              <w:spacing w:after="0"/>
              <w:ind w:left="0"/>
              <w:rPr>
                <w:color w:val="000000"/>
              </w:rPr>
            </w:pPr>
            <w:r>
              <w:rPr>
                <w:color w:val="000000"/>
              </w:rPr>
              <w:t>TXWS0022</w:t>
            </w:r>
          </w:p>
        </w:tc>
        <w:tc>
          <w:tcPr>
            <w:tcW w:w="6963" w:type="dxa"/>
            <w:vAlign w:val="bottom"/>
          </w:tcPr>
          <w:p w14:paraId="76EA2DB8" w14:textId="77777777" w:rsidR="00103CFB" w:rsidRPr="00007760" w:rsidRDefault="00103CFB" w:rsidP="00103CFB">
            <w:pPr>
              <w:spacing w:after="0"/>
              <w:ind w:left="0"/>
              <w:rPr>
                <w:color w:val="000000"/>
              </w:rPr>
            </w:pPr>
            <w:r>
              <w:rPr>
                <w:color w:val="000000"/>
              </w:rPr>
              <w:t>AE User ID Conflict Report</w:t>
            </w:r>
          </w:p>
        </w:tc>
      </w:tr>
      <w:tr w:rsidR="00103CFB" w:rsidRPr="00293F5E" w14:paraId="778B40A9" w14:textId="77777777" w:rsidTr="00103CFB">
        <w:trPr>
          <w:trHeight w:val="315"/>
        </w:trPr>
        <w:tc>
          <w:tcPr>
            <w:tcW w:w="684" w:type="dxa"/>
            <w:noWrap/>
            <w:vAlign w:val="bottom"/>
          </w:tcPr>
          <w:p w14:paraId="52529E81" w14:textId="59D26ECE" w:rsidR="00103CFB" w:rsidRDefault="00103CFB" w:rsidP="00103CFB">
            <w:pPr>
              <w:spacing w:after="0"/>
              <w:ind w:left="0"/>
              <w:jc w:val="center"/>
              <w:rPr>
                <w:rFonts w:ascii="Calibri" w:hAnsi="Calibri" w:cs="Calibri"/>
                <w:color w:val="000000"/>
                <w:szCs w:val="22"/>
              </w:rPr>
            </w:pPr>
            <w:r>
              <w:rPr>
                <w:color w:val="000000"/>
                <w:szCs w:val="22"/>
              </w:rPr>
              <w:t>129</w:t>
            </w:r>
          </w:p>
        </w:tc>
        <w:tc>
          <w:tcPr>
            <w:tcW w:w="1677" w:type="dxa"/>
            <w:noWrap/>
            <w:vAlign w:val="bottom"/>
          </w:tcPr>
          <w:p w14:paraId="46978DE2" w14:textId="77777777" w:rsidR="00103CFB" w:rsidRDefault="00103CFB" w:rsidP="00103CFB">
            <w:pPr>
              <w:spacing w:after="0"/>
              <w:ind w:left="0"/>
              <w:rPr>
                <w:rFonts w:ascii="Calibri" w:hAnsi="Calibri" w:cs="Calibri"/>
                <w:color w:val="000000"/>
                <w:szCs w:val="22"/>
              </w:rPr>
            </w:pPr>
            <w:r>
              <w:rPr>
                <w:color w:val="000000"/>
              </w:rPr>
              <w:t>Weekly</w:t>
            </w:r>
          </w:p>
        </w:tc>
        <w:tc>
          <w:tcPr>
            <w:tcW w:w="1775" w:type="dxa"/>
            <w:noWrap/>
            <w:vAlign w:val="bottom"/>
          </w:tcPr>
          <w:p w14:paraId="3F2AFAD5" w14:textId="77777777" w:rsidR="00103CFB" w:rsidRPr="00007760" w:rsidRDefault="00103CFB" w:rsidP="00103CFB">
            <w:pPr>
              <w:spacing w:after="0"/>
              <w:ind w:left="0"/>
              <w:rPr>
                <w:color w:val="000000"/>
              </w:rPr>
            </w:pPr>
            <w:r>
              <w:rPr>
                <w:color w:val="000000"/>
              </w:rPr>
              <w:t>TXWT0013</w:t>
            </w:r>
          </w:p>
        </w:tc>
        <w:tc>
          <w:tcPr>
            <w:tcW w:w="6963" w:type="dxa"/>
            <w:vAlign w:val="bottom"/>
          </w:tcPr>
          <w:p w14:paraId="6EE58E26" w14:textId="77777777" w:rsidR="00103CFB" w:rsidRPr="00007760" w:rsidRDefault="00103CFB" w:rsidP="00103CFB">
            <w:pPr>
              <w:spacing w:after="0"/>
              <w:ind w:left="0"/>
              <w:rPr>
                <w:color w:val="000000"/>
              </w:rPr>
            </w:pPr>
            <w:r>
              <w:rPr>
                <w:color w:val="000000"/>
              </w:rPr>
              <w:t>Archive Retrieval Errors</w:t>
            </w:r>
          </w:p>
        </w:tc>
      </w:tr>
      <w:tr w:rsidR="00103CFB" w:rsidRPr="00293F5E" w14:paraId="1852A199" w14:textId="77777777" w:rsidTr="00103CFB">
        <w:trPr>
          <w:trHeight w:val="315"/>
        </w:trPr>
        <w:tc>
          <w:tcPr>
            <w:tcW w:w="684" w:type="dxa"/>
            <w:noWrap/>
            <w:vAlign w:val="bottom"/>
          </w:tcPr>
          <w:p w14:paraId="343C9326" w14:textId="6A14BC89" w:rsidR="00103CFB" w:rsidRDefault="00103CFB" w:rsidP="00103CFB">
            <w:pPr>
              <w:spacing w:after="0"/>
              <w:ind w:left="0"/>
              <w:jc w:val="center"/>
              <w:rPr>
                <w:rFonts w:ascii="Calibri" w:hAnsi="Calibri" w:cs="Calibri"/>
                <w:color w:val="000000"/>
                <w:szCs w:val="22"/>
              </w:rPr>
            </w:pPr>
            <w:r>
              <w:rPr>
                <w:szCs w:val="22"/>
              </w:rPr>
              <w:t>130</w:t>
            </w:r>
          </w:p>
        </w:tc>
        <w:tc>
          <w:tcPr>
            <w:tcW w:w="1677" w:type="dxa"/>
            <w:noWrap/>
            <w:vAlign w:val="bottom"/>
          </w:tcPr>
          <w:p w14:paraId="12E5E71C" w14:textId="77777777" w:rsidR="00103CFB" w:rsidRDefault="00103CFB" w:rsidP="00103CFB">
            <w:pPr>
              <w:spacing w:after="0"/>
              <w:ind w:left="0"/>
              <w:rPr>
                <w:rFonts w:ascii="Calibri" w:hAnsi="Calibri" w:cs="Calibri"/>
                <w:color w:val="000000"/>
                <w:szCs w:val="22"/>
              </w:rPr>
            </w:pPr>
            <w:r>
              <w:rPr>
                <w:color w:val="000000"/>
              </w:rPr>
              <w:t>Weekly</w:t>
            </w:r>
          </w:p>
        </w:tc>
        <w:tc>
          <w:tcPr>
            <w:tcW w:w="1775" w:type="dxa"/>
            <w:noWrap/>
            <w:vAlign w:val="bottom"/>
          </w:tcPr>
          <w:p w14:paraId="18DFC988" w14:textId="77777777" w:rsidR="00103CFB" w:rsidRPr="00007760" w:rsidRDefault="00103CFB" w:rsidP="00103CFB">
            <w:pPr>
              <w:spacing w:after="0"/>
              <w:ind w:left="0"/>
              <w:rPr>
                <w:color w:val="000000"/>
              </w:rPr>
            </w:pPr>
            <w:r>
              <w:rPr>
                <w:color w:val="000000"/>
              </w:rPr>
              <w:t>TXWT0025</w:t>
            </w:r>
          </w:p>
        </w:tc>
        <w:tc>
          <w:tcPr>
            <w:tcW w:w="6963" w:type="dxa"/>
            <w:vAlign w:val="bottom"/>
          </w:tcPr>
          <w:p w14:paraId="5C432E43" w14:textId="77777777" w:rsidR="00103CFB" w:rsidRPr="00007760" w:rsidRDefault="00103CFB" w:rsidP="00103CFB">
            <w:pPr>
              <w:spacing w:after="0"/>
              <w:ind w:left="0"/>
              <w:rPr>
                <w:color w:val="000000"/>
              </w:rPr>
            </w:pPr>
            <w:r>
              <w:rPr>
                <w:color w:val="000000"/>
              </w:rPr>
              <w:t>Accounts Being Reinstated</w:t>
            </w:r>
          </w:p>
        </w:tc>
      </w:tr>
      <w:tr w:rsidR="00103CFB" w:rsidRPr="00293F5E" w14:paraId="03E13934" w14:textId="77777777" w:rsidTr="00103CFB">
        <w:trPr>
          <w:trHeight w:val="315"/>
        </w:trPr>
        <w:tc>
          <w:tcPr>
            <w:tcW w:w="684" w:type="dxa"/>
            <w:noWrap/>
            <w:vAlign w:val="bottom"/>
          </w:tcPr>
          <w:p w14:paraId="350E3B95" w14:textId="4B786068" w:rsidR="00103CFB" w:rsidRDefault="00103CFB" w:rsidP="00103CFB">
            <w:pPr>
              <w:spacing w:after="0"/>
              <w:ind w:left="0"/>
              <w:jc w:val="center"/>
              <w:rPr>
                <w:rFonts w:ascii="Calibri" w:hAnsi="Calibri" w:cs="Calibri"/>
                <w:color w:val="000000"/>
                <w:szCs w:val="22"/>
              </w:rPr>
            </w:pPr>
            <w:r>
              <w:rPr>
                <w:color w:val="000000"/>
                <w:szCs w:val="22"/>
              </w:rPr>
              <w:t>131</w:t>
            </w:r>
          </w:p>
        </w:tc>
        <w:tc>
          <w:tcPr>
            <w:tcW w:w="1677" w:type="dxa"/>
            <w:noWrap/>
            <w:vAlign w:val="bottom"/>
          </w:tcPr>
          <w:p w14:paraId="7E10842A" w14:textId="77777777" w:rsidR="00103CFB" w:rsidRDefault="00103CFB" w:rsidP="00103CFB">
            <w:pPr>
              <w:spacing w:after="0"/>
              <w:ind w:left="0"/>
              <w:rPr>
                <w:rFonts w:ascii="Calibri" w:hAnsi="Calibri" w:cs="Calibri"/>
                <w:color w:val="000000"/>
                <w:szCs w:val="22"/>
              </w:rPr>
            </w:pPr>
            <w:r>
              <w:rPr>
                <w:color w:val="000000"/>
              </w:rPr>
              <w:t>Weekly</w:t>
            </w:r>
          </w:p>
        </w:tc>
        <w:tc>
          <w:tcPr>
            <w:tcW w:w="1775" w:type="dxa"/>
            <w:noWrap/>
            <w:vAlign w:val="bottom"/>
          </w:tcPr>
          <w:p w14:paraId="5AAB3292" w14:textId="77777777" w:rsidR="00103CFB" w:rsidRPr="00007760" w:rsidRDefault="00103CFB" w:rsidP="00103CFB">
            <w:pPr>
              <w:spacing w:after="0"/>
              <w:ind w:left="0"/>
              <w:rPr>
                <w:color w:val="000000"/>
              </w:rPr>
            </w:pPr>
            <w:r>
              <w:rPr>
                <w:color w:val="000000"/>
              </w:rPr>
              <w:t>TXWWTOTS</w:t>
            </w:r>
          </w:p>
        </w:tc>
        <w:tc>
          <w:tcPr>
            <w:tcW w:w="6963" w:type="dxa"/>
            <w:vAlign w:val="bottom"/>
          </w:tcPr>
          <w:p w14:paraId="74BFF9DB" w14:textId="77777777" w:rsidR="00103CFB" w:rsidRPr="00007760" w:rsidRDefault="00103CFB" w:rsidP="00103CFB">
            <w:pPr>
              <w:spacing w:after="0"/>
              <w:ind w:left="0"/>
              <w:rPr>
                <w:color w:val="000000"/>
              </w:rPr>
            </w:pPr>
            <w:r>
              <w:rPr>
                <w:color w:val="000000"/>
              </w:rPr>
              <w:t>Summarization of Weekly Wage Record Totals for the Week Ending</w:t>
            </w:r>
          </w:p>
        </w:tc>
      </w:tr>
      <w:tr w:rsidR="00103CFB" w:rsidRPr="00293F5E" w14:paraId="164271A2" w14:textId="77777777" w:rsidTr="00A26011">
        <w:trPr>
          <w:trHeight w:val="315"/>
        </w:trPr>
        <w:tc>
          <w:tcPr>
            <w:tcW w:w="684" w:type="dxa"/>
            <w:noWrap/>
            <w:vAlign w:val="bottom"/>
          </w:tcPr>
          <w:p w14:paraId="00A7D791" w14:textId="6F3382F7" w:rsidR="00103CFB" w:rsidRDefault="00103CFB" w:rsidP="00103CFB">
            <w:pPr>
              <w:spacing w:after="0"/>
              <w:ind w:left="0"/>
              <w:jc w:val="center"/>
              <w:rPr>
                <w:rFonts w:ascii="Calibri" w:hAnsi="Calibri" w:cs="Calibri"/>
                <w:color w:val="000000"/>
                <w:szCs w:val="22"/>
              </w:rPr>
            </w:pPr>
            <w:r>
              <w:rPr>
                <w:szCs w:val="22"/>
              </w:rPr>
              <w:t>132</w:t>
            </w:r>
          </w:p>
        </w:tc>
        <w:tc>
          <w:tcPr>
            <w:tcW w:w="1677" w:type="dxa"/>
            <w:noWrap/>
            <w:vAlign w:val="bottom"/>
          </w:tcPr>
          <w:p w14:paraId="42058AA6"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69A4EC41" w14:textId="77777777" w:rsidR="00103CFB" w:rsidRPr="00007760" w:rsidRDefault="00103CFB" w:rsidP="00103CFB">
            <w:pPr>
              <w:spacing w:after="0"/>
              <w:ind w:left="0"/>
              <w:rPr>
                <w:color w:val="000000"/>
              </w:rPr>
            </w:pPr>
            <w:r>
              <w:rPr>
                <w:color w:val="000000"/>
              </w:rPr>
              <w:t>QCM0001</w:t>
            </w:r>
          </w:p>
        </w:tc>
        <w:tc>
          <w:tcPr>
            <w:tcW w:w="6963" w:type="dxa"/>
            <w:vAlign w:val="bottom"/>
          </w:tcPr>
          <w:p w14:paraId="770858C5" w14:textId="77777777" w:rsidR="00103CFB" w:rsidRPr="00007760" w:rsidRDefault="00103CFB" w:rsidP="00103CFB">
            <w:pPr>
              <w:spacing w:after="0"/>
              <w:ind w:left="0"/>
              <w:rPr>
                <w:color w:val="000000"/>
              </w:rPr>
            </w:pPr>
            <w:r>
              <w:rPr>
                <w:color w:val="000000"/>
              </w:rPr>
              <w:t>Inactive Sampling Hit File Listing</w:t>
            </w:r>
          </w:p>
        </w:tc>
      </w:tr>
      <w:tr w:rsidR="00103CFB" w:rsidRPr="00293F5E" w14:paraId="04179110" w14:textId="77777777" w:rsidTr="00A26011">
        <w:trPr>
          <w:trHeight w:val="315"/>
        </w:trPr>
        <w:tc>
          <w:tcPr>
            <w:tcW w:w="684" w:type="dxa"/>
            <w:noWrap/>
            <w:vAlign w:val="bottom"/>
          </w:tcPr>
          <w:p w14:paraId="0E0E1544" w14:textId="385F0371" w:rsidR="00103CFB" w:rsidRDefault="00103CFB" w:rsidP="00103CFB">
            <w:pPr>
              <w:spacing w:after="0"/>
              <w:ind w:left="0"/>
              <w:jc w:val="center"/>
              <w:rPr>
                <w:rFonts w:ascii="Calibri" w:hAnsi="Calibri" w:cs="Calibri"/>
                <w:color w:val="000000"/>
                <w:szCs w:val="22"/>
              </w:rPr>
            </w:pPr>
            <w:r>
              <w:rPr>
                <w:color w:val="000000"/>
                <w:szCs w:val="22"/>
              </w:rPr>
              <w:t>133</w:t>
            </w:r>
          </w:p>
        </w:tc>
        <w:tc>
          <w:tcPr>
            <w:tcW w:w="1677" w:type="dxa"/>
            <w:noWrap/>
            <w:vAlign w:val="bottom"/>
          </w:tcPr>
          <w:p w14:paraId="4D529B22"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7516417D" w14:textId="77777777" w:rsidR="00103CFB" w:rsidRPr="00007760" w:rsidRDefault="00103CFB" w:rsidP="00103CFB">
            <w:pPr>
              <w:spacing w:after="0"/>
              <w:ind w:left="0"/>
              <w:rPr>
                <w:color w:val="000000"/>
              </w:rPr>
            </w:pPr>
            <w:r>
              <w:rPr>
                <w:color w:val="000000"/>
              </w:rPr>
              <w:t>QCM0001</w:t>
            </w:r>
          </w:p>
        </w:tc>
        <w:tc>
          <w:tcPr>
            <w:tcW w:w="6963" w:type="dxa"/>
            <w:vAlign w:val="bottom"/>
          </w:tcPr>
          <w:p w14:paraId="71DB45F4" w14:textId="77777777" w:rsidR="00103CFB" w:rsidRPr="00007760" w:rsidRDefault="00103CFB" w:rsidP="00103CFB">
            <w:pPr>
              <w:spacing w:after="0"/>
              <w:ind w:left="0"/>
              <w:rPr>
                <w:color w:val="000000"/>
              </w:rPr>
            </w:pPr>
            <w:r>
              <w:rPr>
                <w:color w:val="000000"/>
              </w:rPr>
              <w:t>New Sampling Hit File Listing</w:t>
            </w:r>
          </w:p>
        </w:tc>
      </w:tr>
      <w:tr w:rsidR="00103CFB" w:rsidRPr="00293F5E" w14:paraId="08109640" w14:textId="77777777" w:rsidTr="00A26011">
        <w:trPr>
          <w:trHeight w:val="315"/>
        </w:trPr>
        <w:tc>
          <w:tcPr>
            <w:tcW w:w="684" w:type="dxa"/>
            <w:noWrap/>
            <w:vAlign w:val="bottom"/>
          </w:tcPr>
          <w:p w14:paraId="1724CA30" w14:textId="03113B91" w:rsidR="00103CFB" w:rsidRDefault="00103CFB" w:rsidP="00103CFB">
            <w:pPr>
              <w:spacing w:after="0"/>
              <w:ind w:left="0"/>
              <w:jc w:val="center"/>
              <w:rPr>
                <w:rFonts w:ascii="Calibri" w:hAnsi="Calibri" w:cs="Calibri"/>
                <w:color w:val="000000"/>
                <w:szCs w:val="22"/>
              </w:rPr>
            </w:pPr>
            <w:r>
              <w:rPr>
                <w:szCs w:val="22"/>
              </w:rPr>
              <w:t>134</w:t>
            </w:r>
          </w:p>
        </w:tc>
        <w:tc>
          <w:tcPr>
            <w:tcW w:w="1677" w:type="dxa"/>
            <w:noWrap/>
            <w:vAlign w:val="bottom"/>
          </w:tcPr>
          <w:p w14:paraId="796D4FD4"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719C614A" w14:textId="77777777" w:rsidR="00103CFB" w:rsidRPr="00007760" w:rsidRDefault="00103CFB" w:rsidP="00103CFB">
            <w:pPr>
              <w:spacing w:after="0"/>
              <w:ind w:left="0"/>
              <w:rPr>
                <w:color w:val="000000"/>
              </w:rPr>
            </w:pPr>
            <w:r>
              <w:rPr>
                <w:color w:val="000000"/>
              </w:rPr>
              <w:t>QCM0001</w:t>
            </w:r>
          </w:p>
        </w:tc>
        <w:tc>
          <w:tcPr>
            <w:tcW w:w="6963" w:type="dxa"/>
            <w:vAlign w:val="bottom"/>
          </w:tcPr>
          <w:p w14:paraId="174D35AB" w14:textId="77777777" w:rsidR="00103CFB" w:rsidRPr="00007760" w:rsidRDefault="00103CFB" w:rsidP="00103CFB">
            <w:pPr>
              <w:spacing w:after="0"/>
              <w:ind w:left="0"/>
              <w:rPr>
                <w:color w:val="000000"/>
              </w:rPr>
            </w:pPr>
            <w:r>
              <w:rPr>
                <w:color w:val="000000"/>
              </w:rPr>
              <w:t>Successor Sampling Hit File Listing</w:t>
            </w:r>
          </w:p>
        </w:tc>
      </w:tr>
      <w:tr w:rsidR="00103CFB" w:rsidRPr="00293F5E" w14:paraId="01E40C7C" w14:textId="77777777" w:rsidTr="00A26011">
        <w:trPr>
          <w:trHeight w:val="315"/>
        </w:trPr>
        <w:tc>
          <w:tcPr>
            <w:tcW w:w="684" w:type="dxa"/>
            <w:noWrap/>
            <w:vAlign w:val="bottom"/>
          </w:tcPr>
          <w:p w14:paraId="7F60C068" w14:textId="3AB6BF0E" w:rsidR="00103CFB" w:rsidRDefault="00103CFB" w:rsidP="00103CFB">
            <w:pPr>
              <w:spacing w:after="0"/>
              <w:ind w:left="0"/>
              <w:jc w:val="center"/>
              <w:rPr>
                <w:rFonts w:ascii="Calibri" w:hAnsi="Calibri" w:cs="Calibri"/>
                <w:color w:val="000000"/>
                <w:szCs w:val="22"/>
              </w:rPr>
            </w:pPr>
            <w:r>
              <w:rPr>
                <w:color w:val="000000"/>
                <w:szCs w:val="22"/>
              </w:rPr>
              <w:t>135</w:t>
            </w:r>
          </w:p>
        </w:tc>
        <w:tc>
          <w:tcPr>
            <w:tcW w:w="1677" w:type="dxa"/>
            <w:noWrap/>
            <w:vAlign w:val="bottom"/>
          </w:tcPr>
          <w:p w14:paraId="3DC24799"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61418F1F" w14:textId="77777777" w:rsidR="00103CFB" w:rsidRPr="00007760" w:rsidRDefault="00103CFB" w:rsidP="00103CFB">
            <w:pPr>
              <w:spacing w:after="0"/>
              <w:ind w:left="0"/>
              <w:rPr>
                <w:color w:val="000000"/>
              </w:rPr>
            </w:pPr>
            <w:r>
              <w:rPr>
                <w:color w:val="000000"/>
              </w:rPr>
              <w:t>TXMC0110</w:t>
            </w:r>
          </w:p>
        </w:tc>
        <w:tc>
          <w:tcPr>
            <w:tcW w:w="6963" w:type="dxa"/>
            <w:vAlign w:val="bottom"/>
          </w:tcPr>
          <w:p w14:paraId="2B1C9099" w14:textId="77777777" w:rsidR="00103CFB" w:rsidRPr="00007760" w:rsidRDefault="00103CFB" w:rsidP="00103CFB">
            <w:pPr>
              <w:spacing w:after="0"/>
              <w:ind w:left="0"/>
              <w:rPr>
                <w:color w:val="000000"/>
              </w:rPr>
            </w:pPr>
            <w:r>
              <w:rPr>
                <w:color w:val="000000"/>
              </w:rPr>
              <w:t>Rates Stops Released by AE's, Prior Month</w:t>
            </w:r>
          </w:p>
        </w:tc>
      </w:tr>
      <w:tr w:rsidR="00103CFB" w:rsidRPr="00293F5E" w14:paraId="6A3FC814" w14:textId="77777777" w:rsidTr="00A26011">
        <w:trPr>
          <w:trHeight w:val="315"/>
        </w:trPr>
        <w:tc>
          <w:tcPr>
            <w:tcW w:w="684" w:type="dxa"/>
            <w:noWrap/>
            <w:vAlign w:val="bottom"/>
          </w:tcPr>
          <w:p w14:paraId="24BFAECA" w14:textId="2DE96CAF" w:rsidR="00103CFB" w:rsidRDefault="00103CFB" w:rsidP="00103CFB">
            <w:pPr>
              <w:spacing w:after="0"/>
              <w:ind w:left="0"/>
              <w:jc w:val="center"/>
              <w:rPr>
                <w:rFonts w:ascii="Calibri" w:hAnsi="Calibri" w:cs="Calibri"/>
                <w:color w:val="000000"/>
                <w:szCs w:val="22"/>
              </w:rPr>
            </w:pPr>
            <w:r>
              <w:rPr>
                <w:szCs w:val="22"/>
              </w:rPr>
              <w:t>136</w:t>
            </w:r>
          </w:p>
        </w:tc>
        <w:tc>
          <w:tcPr>
            <w:tcW w:w="1677" w:type="dxa"/>
            <w:noWrap/>
            <w:vAlign w:val="bottom"/>
          </w:tcPr>
          <w:p w14:paraId="68A148A2"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0E6C6A1D" w14:textId="77777777" w:rsidR="00103CFB" w:rsidRPr="00007760" w:rsidRDefault="00103CFB" w:rsidP="00103CFB">
            <w:pPr>
              <w:spacing w:after="0"/>
              <w:ind w:left="0"/>
              <w:rPr>
                <w:color w:val="000000"/>
              </w:rPr>
            </w:pPr>
            <w:r>
              <w:rPr>
                <w:color w:val="000000"/>
              </w:rPr>
              <w:t>TXMC0214</w:t>
            </w:r>
          </w:p>
        </w:tc>
        <w:tc>
          <w:tcPr>
            <w:tcW w:w="6963" w:type="dxa"/>
            <w:vAlign w:val="bottom"/>
          </w:tcPr>
          <w:p w14:paraId="702F864A" w14:textId="77777777" w:rsidR="00103CFB" w:rsidRPr="00007760" w:rsidRDefault="00103CFB" w:rsidP="00103CFB">
            <w:pPr>
              <w:spacing w:after="0"/>
              <w:ind w:left="0"/>
              <w:rPr>
                <w:color w:val="000000"/>
              </w:rPr>
            </w:pPr>
            <w:r>
              <w:rPr>
                <w:color w:val="000000"/>
              </w:rPr>
              <w:t>Tax Lien Activity</w:t>
            </w:r>
          </w:p>
        </w:tc>
      </w:tr>
      <w:tr w:rsidR="00103CFB" w:rsidRPr="00293F5E" w14:paraId="70B0DDFF" w14:textId="77777777" w:rsidTr="00A26011">
        <w:trPr>
          <w:trHeight w:val="315"/>
        </w:trPr>
        <w:tc>
          <w:tcPr>
            <w:tcW w:w="684" w:type="dxa"/>
            <w:noWrap/>
            <w:vAlign w:val="bottom"/>
          </w:tcPr>
          <w:p w14:paraId="2BEBA991" w14:textId="37E3810C" w:rsidR="00103CFB" w:rsidRDefault="00103CFB" w:rsidP="00103CFB">
            <w:pPr>
              <w:spacing w:after="0"/>
              <w:ind w:left="0"/>
              <w:jc w:val="center"/>
              <w:rPr>
                <w:rFonts w:ascii="Calibri" w:hAnsi="Calibri" w:cs="Calibri"/>
                <w:color w:val="000000"/>
                <w:szCs w:val="22"/>
              </w:rPr>
            </w:pPr>
            <w:r>
              <w:rPr>
                <w:color w:val="000000"/>
                <w:szCs w:val="22"/>
              </w:rPr>
              <w:t>137</w:t>
            </w:r>
          </w:p>
        </w:tc>
        <w:tc>
          <w:tcPr>
            <w:tcW w:w="1677" w:type="dxa"/>
            <w:noWrap/>
            <w:vAlign w:val="bottom"/>
          </w:tcPr>
          <w:p w14:paraId="0AD4F4A6"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26BA3708" w14:textId="77777777" w:rsidR="00103CFB" w:rsidRPr="00007760" w:rsidRDefault="00103CFB" w:rsidP="00103CFB">
            <w:pPr>
              <w:spacing w:after="0"/>
              <w:ind w:left="0"/>
              <w:rPr>
                <w:color w:val="000000"/>
              </w:rPr>
            </w:pPr>
            <w:r>
              <w:rPr>
                <w:color w:val="000000"/>
              </w:rPr>
              <w:t>TXMF0040</w:t>
            </w:r>
          </w:p>
        </w:tc>
        <w:tc>
          <w:tcPr>
            <w:tcW w:w="6963" w:type="dxa"/>
            <w:vAlign w:val="bottom"/>
          </w:tcPr>
          <w:p w14:paraId="50DE069F" w14:textId="77777777" w:rsidR="00103CFB" w:rsidRPr="00007760" w:rsidRDefault="00103CFB" w:rsidP="00103CFB">
            <w:pPr>
              <w:spacing w:after="0"/>
              <w:ind w:left="0"/>
              <w:rPr>
                <w:color w:val="000000"/>
              </w:rPr>
            </w:pPr>
            <w:r>
              <w:rPr>
                <w:color w:val="000000"/>
              </w:rPr>
              <w:t>Non-ACAP Assignments by Bill Code and Amount</w:t>
            </w:r>
          </w:p>
        </w:tc>
      </w:tr>
      <w:tr w:rsidR="00103CFB" w:rsidRPr="00293F5E" w14:paraId="026957FE" w14:textId="77777777" w:rsidTr="00A26011">
        <w:trPr>
          <w:trHeight w:val="315"/>
        </w:trPr>
        <w:tc>
          <w:tcPr>
            <w:tcW w:w="684" w:type="dxa"/>
            <w:noWrap/>
            <w:vAlign w:val="bottom"/>
          </w:tcPr>
          <w:p w14:paraId="4C41707A" w14:textId="2FE5AFDC" w:rsidR="00103CFB" w:rsidRDefault="00103CFB" w:rsidP="00103CFB">
            <w:pPr>
              <w:spacing w:after="0"/>
              <w:ind w:left="0"/>
              <w:jc w:val="center"/>
              <w:rPr>
                <w:rFonts w:ascii="Calibri" w:hAnsi="Calibri" w:cs="Calibri"/>
                <w:color w:val="000000"/>
                <w:szCs w:val="22"/>
              </w:rPr>
            </w:pPr>
            <w:r>
              <w:rPr>
                <w:szCs w:val="22"/>
              </w:rPr>
              <w:t>138</w:t>
            </w:r>
          </w:p>
        </w:tc>
        <w:tc>
          <w:tcPr>
            <w:tcW w:w="1677" w:type="dxa"/>
            <w:noWrap/>
            <w:vAlign w:val="bottom"/>
          </w:tcPr>
          <w:p w14:paraId="0584E771"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56AF9BD6" w14:textId="77777777" w:rsidR="00103CFB" w:rsidRPr="00007760" w:rsidRDefault="00103CFB" w:rsidP="00103CFB">
            <w:pPr>
              <w:spacing w:after="0"/>
              <w:ind w:left="0"/>
              <w:rPr>
                <w:color w:val="000000"/>
              </w:rPr>
            </w:pPr>
            <w:r>
              <w:rPr>
                <w:color w:val="000000"/>
              </w:rPr>
              <w:t>TXMF0040</w:t>
            </w:r>
          </w:p>
        </w:tc>
        <w:tc>
          <w:tcPr>
            <w:tcW w:w="6963" w:type="dxa"/>
            <w:vAlign w:val="bottom"/>
          </w:tcPr>
          <w:p w14:paraId="29FA4D04" w14:textId="77777777" w:rsidR="00103CFB" w:rsidRPr="00007760" w:rsidRDefault="00103CFB" w:rsidP="00103CFB">
            <w:pPr>
              <w:spacing w:after="0"/>
              <w:ind w:left="0"/>
              <w:rPr>
                <w:color w:val="000000"/>
              </w:rPr>
            </w:pPr>
            <w:r>
              <w:rPr>
                <w:color w:val="000000"/>
              </w:rPr>
              <w:t>Report Delinquency by Quarter and Bill Code</w:t>
            </w:r>
          </w:p>
        </w:tc>
      </w:tr>
      <w:tr w:rsidR="00103CFB" w:rsidRPr="00293F5E" w14:paraId="44A6733A" w14:textId="77777777" w:rsidTr="00A26011">
        <w:trPr>
          <w:trHeight w:val="315"/>
        </w:trPr>
        <w:tc>
          <w:tcPr>
            <w:tcW w:w="684" w:type="dxa"/>
            <w:noWrap/>
            <w:vAlign w:val="bottom"/>
          </w:tcPr>
          <w:p w14:paraId="1E614DF8" w14:textId="0516AD42" w:rsidR="00103CFB" w:rsidRDefault="00103CFB" w:rsidP="00103CFB">
            <w:pPr>
              <w:spacing w:after="0"/>
              <w:ind w:left="0"/>
              <w:jc w:val="center"/>
              <w:rPr>
                <w:rFonts w:ascii="Calibri" w:hAnsi="Calibri" w:cs="Calibri"/>
                <w:color w:val="000000"/>
                <w:szCs w:val="22"/>
              </w:rPr>
            </w:pPr>
            <w:r>
              <w:rPr>
                <w:color w:val="000000"/>
                <w:szCs w:val="22"/>
              </w:rPr>
              <w:t>139</w:t>
            </w:r>
          </w:p>
        </w:tc>
        <w:tc>
          <w:tcPr>
            <w:tcW w:w="1677" w:type="dxa"/>
            <w:noWrap/>
            <w:vAlign w:val="bottom"/>
          </w:tcPr>
          <w:p w14:paraId="15F8DA65"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06DF211F" w14:textId="77777777" w:rsidR="00103CFB" w:rsidRPr="00007760" w:rsidRDefault="00103CFB" w:rsidP="00103CFB">
            <w:pPr>
              <w:spacing w:after="0"/>
              <w:ind w:left="0"/>
              <w:rPr>
                <w:color w:val="000000"/>
              </w:rPr>
            </w:pPr>
            <w:r>
              <w:rPr>
                <w:color w:val="000000"/>
              </w:rPr>
              <w:t>TXMF0120</w:t>
            </w:r>
          </w:p>
        </w:tc>
        <w:tc>
          <w:tcPr>
            <w:tcW w:w="6963" w:type="dxa"/>
            <w:vAlign w:val="bottom"/>
          </w:tcPr>
          <w:p w14:paraId="3906603A" w14:textId="77777777" w:rsidR="00103CFB" w:rsidRPr="00007760" w:rsidRDefault="00103CFB" w:rsidP="00103CFB">
            <w:pPr>
              <w:spacing w:after="0"/>
              <w:ind w:left="0"/>
              <w:rPr>
                <w:color w:val="000000"/>
              </w:rPr>
            </w:pPr>
            <w:r>
              <w:rPr>
                <w:color w:val="000000"/>
              </w:rPr>
              <w:t>Exception Distribution Control Report</w:t>
            </w:r>
          </w:p>
        </w:tc>
      </w:tr>
      <w:tr w:rsidR="00103CFB" w:rsidRPr="00293F5E" w14:paraId="59A50D53" w14:textId="77777777" w:rsidTr="00A26011">
        <w:trPr>
          <w:trHeight w:val="315"/>
        </w:trPr>
        <w:tc>
          <w:tcPr>
            <w:tcW w:w="684" w:type="dxa"/>
            <w:noWrap/>
            <w:vAlign w:val="bottom"/>
          </w:tcPr>
          <w:p w14:paraId="409F4FF6" w14:textId="1D9CD44C" w:rsidR="00103CFB" w:rsidRDefault="00103CFB" w:rsidP="00103CFB">
            <w:pPr>
              <w:spacing w:after="0"/>
              <w:ind w:left="0"/>
              <w:jc w:val="center"/>
              <w:rPr>
                <w:rFonts w:ascii="Calibri" w:hAnsi="Calibri" w:cs="Calibri"/>
                <w:color w:val="000000"/>
                <w:szCs w:val="22"/>
              </w:rPr>
            </w:pPr>
            <w:r>
              <w:rPr>
                <w:szCs w:val="22"/>
              </w:rPr>
              <w:t>140</w:t>
            </w:r>
          </w:p>
        </w:tc>
        <w:tc>
          <w:tcPr>
            <w:tcW w:w="1677" w:type="dxa"/>
            <w:noWrap/>
            <w:vAlign w:val="bottom"/>
          </w:tcPr>
          <w:p w14:paraId="3ACB6CAE"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291520A9" w14:textId="77777777" w:rsidR="00103CFB" w:rsidRPr="00007760" w:rsidRDefault="00103CFB" w:rsidP="00103CFB">
            <w:pPr>
              <w:spacing w:after="0"/>
              <w:ind w:left="0"/>
              <w:rPr>
                <w:color w:val="000000"/>
              </w:rPr>
            </w:pPr>
            <w:r>
              <w:rPr>
                <w:color w:val="000000"/>
              </w:rPr>
              <w:t>TXMF0155</w:t>
            </w:r>
          </w:p>
        </w:tc>
        <w:tc>
          <w:tcPr>
            <w:tcW w:w="6963" w:type="dxa"/>
            <w:vAlign w:val="bottom"/>
          </w:tcPr>
          <w:p w14:paraId="2A92B7E1" w14:textId="77777777" w:rsidR="00103CFB" w:rsidRPr="00007760" w:rsidRDefault="00103CFB" w:rsidP="00103CFB">
            <w:pPr>
              <w:spacing w:after="0"/>
              <w:ind w:left="0"/>
              <w:rPr>
                <w:color w:val="000000"/>
              </w:rPr>
            </w:pPr>
            <w:r>
              <w:rPr>
                <w:color w:val="000000"/>
              </w:rPr>
              <w:t>Production Summary Report</w:t>
            </w:r>
          </w:p>
        </w:tc>
      </w:tr>
      <w:tr w:rsidR="00103CFB" w:rsidRPr="00293F5E" w14:paraId="04FBE72A" w14:textId="77777777" w:rsidTr="00A26011">
        <w:trPr>
          <w:trHeight w:val="315"/>
        </w:trPr>
        <w:tc>
          <w:tcPr>
            <w:tcW w:w="684" w:type="dxa"/>
            <w:noWrap/>
            <w:vAlign w:val="bottom"/>
          </w:tcPr>
          <w:p w14:paraId="2BFD1A25" w14:textId="3B70A633" w:rsidR="00103CFB" w:rsidRDefault="00103CFB" w:rsidP="00103CFB">
            <w:pPr>
              <w:spacing w:after="0"/>
              <w:ind w:left="0"/>
              <w:jc w:val="center"/>
              <w:rPr>
                <w:rFonts w:ascii="Calibri" w:hAnsi="Calibri" w:cs="Calibri"/>
                <w:color w:val="000000"/>
                <w:szCs w:val="22"/>
              </w:rPr>
            </w:pPr>
            <w:r>
              <w:rPr>
                <w:color w:val="000000"/>
                <w:szCs w:val="22"/>
              </w:rPr>
              <w:t>141</w:t>
            </w:r>
          </w:p>
        </w:tc>
        <w:tc>
          <w:tcPr>
            <w:tcW w:w="1677" w:type="dxa"/>
            <w:noWrap/>
            <w:vAlign w:val="bottom"/>
          </w:tcPr>
          <w:p w14:paraId="27E0D3FC"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77313C84" w14:textId="77777777" w:rsidR="00103CFB" w:rsidRPr="00007760" w:rsidRDefault="00103CFB" w:rsidP="00103CFB">
            <w:pPr>
              <w:spacing w:after="0"/>
              <w:ind w:left="0"/>
              <w:rPr>
                <w:color w:val="000000"/>
              </w:rPr>
            </w:pPr>
            <w:r>
              <w:rPr>
                <w:color w:val="000000"/>
              </w:rPr>
              <w:t>TXMF0190</w:t>
            </w:r>
          </w:p>
        </w:tc>
        <w:tc>
          <w:tcPr>
            <w:tcW w:w="6963" w:type="dxa"/>
            <w:vAlign w:val="bottom"/>
          </w:tcPr>
          <w:p w14:paraId="36EB8937" w14:textId="77777777" w:rsidR="00103CFB" w:rsidRPr="00007760" w:rsidRDefault="00103CFB" w:rsidP="00103CFB">
            <w:pPr>
              <w:spacing w:after="0"/>
              <w:ind w:left="0"/>
              <w:rPr>
                <w:color w:val="000000"/>
              </w:rPr>
            </w:pPr>
            <w:r>
              <w:rPr>
                <w:color w:val="000000"/>
              </w:rPr>
              <w:t>Address Changes by Tax Area</w:t>
            </w:r>
          </w:p>
        </w:tc>
      </w:tr>
      <w:tr w:rsidR="00103CFB" w:rsidRPr="00293F5E" w14:paraId="60936C3F" w14:textId="77777777" w:rsidTr="00A26011">
        <w:trPr>
          <w:trHeight w:val="315"/>
        </w:trPr>
        <w:tc>
          <w:tcPr>
            <w:tcW w:w="684" w:type="dxa"/>
            <w:noWrap/>
            <w:vAlign w:val="bottom"/>
          </w:tcPr>
          <w:p w14:paraId="4EDFE41D" w14:textId="2A0D9D2B" w:rsidR="00103CFB" w:rsidRDefault="00103CFB" w:rsidP="00103CFB">
            <w:pPr>
              <w:spacing w:after="0"/>
              <w:ind w:left="0"/>
              <w:jc w:val="center"/>
              <w:rPr>
                <w:rFonts w:ascii="Calibri" w:hAnsi="Calibri" w:cs="Calibri"/>
                <w:color w:val="000000"/>
                <w:szCs w:val="22"/>
              </w:rPr>
            </w:pPr>
            <w:r>
              <w:rPr>
                <w:szCs w:val="22"/>
              </w:rPr>
              <w:t>142</w:t>
            </w:r>
          </w:p>
        </w:tc>
        <w:tc>
          <w:tcPr>
            <w:tcW w:w="1677" w:type="dxa"/>
            <w:noWrap/>
            <w:vAlign w:val="bottom"/>
          </w:tcPr>
          <w:p w14:paraId="7E3F0CAA"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53D5D7AF" w14:textId="77777777" w:rsidR="00103CFB" w:rsidRPr="00007760" w:rsidRDefault="00103CFB" w:rsidP="00103CFB">
            <w:pPr>
              <w:spacing w:after="0"/>
              <w:ind w:left="0"/>
              <w:rPr>
                <w:color w:val="000000"/>
              </w:rPr>
            </w:pPr>
            <w:r>
              <w:rPr>
                <w:color w:val="000000"/>
              </w:rPr>
              <w:t>TXMF0241</w:t>
            </w:r>
          </w:p>
        </w:tc>
        <w:tc>
          <w:tcPr>
            <w:tcW w:w="6963" w:type="dxa"/>
            <w:vAlign w:val="bottom"/>
          </w:tcPr>
          <w:p w14:paraId="4DC02D37" w14:textId="77777777" w:rsidR="00103CFB" w:rsidRPr="00007760" w:rsidRDefault="00103CFB" w:rsidP="00103CFB">
            <w:pPr>
              <w:spacing w:after="0"/>
              <w:ind w:left="0"/>
              <w:rPr>
                <w:color w:val="000000"/>
              </w:rPr>
            </w:pPr>
            <w:r>
              <w:rPr>
                <w:color w:val="000000"/>
              </w:rPr>
              <w:t>Assignment Transfer Control Report</w:t>
            </w:r>
          </w:p>
        </w:tc>
      </w:tr>
      <w:tr w:rsidR="00103CFB" w:rsidRPr="00293F5E" w14:paraId="4D13AE46" w14:textId="77777777" w:rsidTr="00A26011">
        <w:trPr>
          <w:trHeight w:val="315"/>
        </w:trPr>
        <w:tc>
          <w:tcPr>
            <w:tcW w:w="684" w:type="dxa"/>
            <w:noWrap/>
            <w:vAlign w:val="bottom"/>
          </w:tcPr>
          <w:p w14:paraId="12ACA1DA" w14:textId="03210170" w:rsidR="00103CFB" w:rsidRDefault="00103CFB" w:rsidP="00103CFB">
            <w:pPr>
              <w:spacing w:after="0"/>
              <w:ind w:left="0"/>
              <w:jc w:val="center"/>
              <w:rPr>
                <w:rFonts w:ascii="Calibri" w:hAnsi="Calibri" w:cs="Calibri"/>
                <w:color w:val="000000"/>
                <w:szCs w:val="22"/>
              </w:rPr>
            </w:pPr>
            <w:r>
              <w:rPr>
                <w:color w:val="000000"/>
                <w:szCs w:val="22"/>
              </w:rPr>
              <w:t>143</w:t>
            </w:r>
          </w:p>
        </w:tc>
        <w:tc>
          <w:tcPr>
            <w:tcW w:w="1677" w:type="dxa"/>
            <w:noWrap/>
            <w:vAlign w:val="bottom"/>
          </w:tcPr>
          <w:p w14:paraId="03C9F06E"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75196354" w14:textId="77777777" w:rsidR="00103CFB" w:rsidRPr="00007760" w:rsidRDefault="00103CFB" w:rsidP="00103CFB">
            <w:pPr>
              <w:spacing w:after="0"/>
              <w:ind w:left="0"/>
              <w:rPr>
                <w:color w:val="000000"/>
              </w:rPr>
            </w:pPr>
            <w:r>
              <w:rPr>
                <w:color w:val="000000"/>
              </w:rPr>
              <w:t>TXMF0241</w:t>
            </w:r>
          </w:p>
        </w:tc>
        <w:tc>
          <w:tcPr>
            <w:tcW w:w="6963" w:type="dxa"/>
            <w:vAlign w:val="bottom"/>
          </w:tcPr>
          <w:p w14:paraId="6A0496A2" w14:textId="77777777" w:rsidR="00103CFB" w:rsidRPr="00007760" w:rsidRDefault="00103CFB" w:rsidP="00103CFB">
            <w:pPr>
              <w:spacing w:after="0"/>
              <w:ind w:left="0"/>
              <w:rPr>
                <w:color w:val="000000"/>
              </w:rPr>
            </w:pPr>
            <w:r>
              <w:rPr>
                <w:color w:val="000000"/>
              </w:rPr>
              <w:t>Unreleased Assignments</w:t>
            </w:r>
          </w:p>
        </w:tc>
      </w:tr>
      <w:tr w:rsidR="00103CFB" w:rsidRPr="00293F5E" w14:paraId="4174377C" w14:textId="77777777" w:rsidTr="00A26011">
        <w:trPr>
          <w:trHeight w:val="315"/>
        </w:trPr>
        <w:tc>
          <w:tcPr>
            <w:tcW w:w="684" w:type="dxa"/>
            <w:noWrap/>
            <w:vAlign w:val="bottom"/>
          </w:tcPr>
          <w:p w14:paraId="0711A314" w14:textId="693396C5" w:rsidR="00103CFB" w:rsidRDefault="00103CFB" w:rsidP="00103CFB">
            <w:pPr>
              <w:spacing w:after="0"/>
              <w:ind w:left="0"/>
              <w:jc w:val="center"/>
              <w:rPr>
                <w:rFonts w:ascii="Calibri" w:hAnsi="Calibri" w:cs="Calibri"/>
                <w:color w:val="000000"/>
                <w:szCs w:val="22"/>
              </w:rPr>
            </w:pPr>
            <w:r>
              <w:rPr>
                <w:szCs w:val="22"/>
              </w:rPr>
              <w:t>144</w:t>
            </w:r>
          </w:p>
        </w:tc>
        <w:tc>
          <w:tcPr>
            <w:tcW w:w="1677" w:type="dxa"/>
            <w:noWrap/>
            <w:vAlign w:val="bottom"/>
          </w:tcPr>
          <w:p w14:paraId="4AA9DC1B"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716DC73B" w14:textId="77777777" w:rsidR="00103CFB" w:rsidRPr="00007760" w:rsidRDefault="00103CFB" w:rsidP="00103CFB">
            <w:pPr>
              <w:spacing w:after="0"/>
              <w:ind w:left="0"/>
              <w:rPr>
                <w:color w:val="000000"/>
              </w:rPr>
            </w:pPr>
            <w:r>
              <w:rPr>
                <w:color w:val="000000"/>
              </w:rPr>
              <w:t>TXMF0250</w:t>
            </w:r>
          </w:p>
        </w:tc>
        <w:tc>
          <w:tcPr>
            <w:tcW w:w="6963" w:type="dxa"/>
            <w:vAlign w:val="bottom"/>
          </w:tcPr>
          <w:p w14:paraId="1B8110F5" w14:textId="77777777" w:rsidR="00103CFB" w:rsidRPr="00007760" w:rsidRDefault="00103CFB" w:rsidP="00103CFB">
            <w:pPr>
              <w:spacing w:after="0"/>
              <w:ind w:left="0"/>
              <w:rPr>
                <w:color w:val="000000"/>
              </w:rPr>
            </w:pPr>
            <w:r>
              <w:rPr>
                <w:color w:val="000000"/>
              </w:rPr>
              <w:t>Report Delinquency DLA Report</w:t>
            </w:r>
          </w:p>
        </w:tc>
      </w:tr>
      <w:tr w:rsidR="00103CFB" w:rsidRPr="00293F5E" w14:paraId="7B87F89D" w14:textId="77777777" w:rsidTr="00A26011">
        <w:trPr>
          <w:trHeight w:val="315"/>
        </w:trPr>
        <w:tc>
          <w:tcPr>
            <w:tcW w:w="684" w:type="dxa"/>
            <w:noWrap/>
            <w:vAlign w:val="bottom"/>
          </w:tcPr>
          <w:p w14:paraId="22815788" w14:textId="62C48C4C" w:rsidR="00103CFB" w:rsidRDefault="00103CFB" w:rsidP="00103CFB">
            <w:pPr>
              <w:spacing w:after="0"/>
              <w:ind w:left="0"/>
              <w:jc w:val="center"/>
              <w:rPr>
                <w:rFonts w:ascii="Calibri" w:hAnsi="Calibri" w:cs="Calibri"/>
                <w:color w:val="000000"/>
                <w:szCs w:val="22"/>
              </w:rPr>
            </w:pPr>
            <w:r>
              <w:rPr>
                <w:color w:val="000000"/>
                <w:szCs w:val="22"/>
              </w:rPr>
              <w:t>145</w:t>
            </w:r>
          </w:p>
        </w:tc>
        <w:tc>
          <w:tcPr>
            <w:tcW w:w="1677" w:type="dxa"/>
            <w:noWrap/>
            <w:vAlign w:val="bottom"/>
          </w:tcPr>
          <w:p w14:paraId="5707BAD2"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5E96EFE4" w14:textId="77777777" w:rsidR="00103CFB" w:rsidRPr="00007760" w:rsidRDefault="00103CFB" w:rsidP="00103CFB">
            <w:pPr>
              <w:spacing w:after="0"/>
              <w:ind w:left="0"/>
              <w:rPr>
                <w:color w:val="000000"/>
              </w:rPr>
            </w:pPr>
            <w:r>
              <w:rPr>
                <w:color w:val="000000"/>
              </w:rPr>
              <w:t>TXMF0250</w:t>
            </w:r>
          </w:p>
        </w:tc>
        <w:tc>
          <w:tcPr>
            <w:tcW w:w="6963" w:type="dxa"/>
            <w:vAlign w:val="bottom"/>
          </w:tcPr>
          <w:p w14:paraId="5F7DE35B" w14:textId="77777777" w:rsidR="00103CFB" w:rsidRPr="00007760" w:rsidRDefault="00103CFB" w:rsidP="00103CFB">
            <w:pPr>
              <w:spacing w:after="0"/>
              <w:ind w:left="0"/>
              <w:rPr>
                <w:color w:val="000000"/>
              </w:rPr>
            </w:pPr>
            <w:r>
              <w:rPr>
                <w:color w:val="000000"/>
              </w:rPr>
              <w:t>Statewide Delinquency DLA Report</w:t>
            </w:r>
          </w:p>
        </w:tc>
      </w:tr>
      <w:tr w:rsidR="00103CFB" w:rsidRPr="00293F5E" w14:paraId="1220703F" w14:textId="77777777" w:rsidTr="00A26011">
        <w:trPr>
          <w:trHeight w:val="315"/>
        </w:trPr>
        <w:tc>
          <w:tcPr>
            <w:tcW w:w="684" w:type="dxa"/>
            <w:noWrap/>
            <w:vAlign w:val="bottom"/>
          </w:tcPr>
          <w:p w14:paraId="2A59A815" w14:textId="29D5C95D" w:rsidR="00103CFB" w:rsidRDefault="00103CFB" w:rsidP="00103CFB">
            <w:pPr>
              <w:spacing w:after="0"/>
              <w:ind w:left="0"/>
              <w:jc w:val="center"/>
              <w:rPr>
                <w:rFonts w:ascii="Calibri" w:hAnsi="Calibri" w:cs="Calibri"/>
                <w:color w:val="000000"/>
                <w:szCs w:val="22"/>
              </w:rPr>
            </w:pPr>
            <w:r>
              <w:rPr>
                <w:szCs w:val="22"/>
              </w:rPr>
              <w:t>146</w:t>
            </w:r>
          </w:p>
        </w:tc>
        <w:tc>
          <w:tcPr>
            <w:tcW w:w="1677" w:type="dxa"/>
            <w:noWrap/>
            <w:vAlign w:val="bottom"/>
          </w:tcPr>
          <w:p w14:paraId="4C91E9A5"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14BD4BBE" w14:textId="77777777" w:rsidR="00103CFB" w:rsidRPr="00007760" w:rsidRDefault="00103CFB" w:rsidP="00103CFB">
            <w:pPr>
              <w:spacing w:after="0"/>
              <w:ind w:left="0"/>
              <w:rPr>
                <w:color w:val="000000"/>
              </w:rPr>
            </w:pPr>
            <w:r>
              <w:rPr>
                <w:color w:val="000000"/>
              </w:rPr>
              <w:t>TXMF0810</w:t>
            </w:r>
          </w:p>
        </w:tc>
        <w:tc>
          <w:tcPr>
            <w:tcW w:w="6963" w:type="dxa"/>
            <w:vAlign w:val="bottom"/>
          </w:tcPr>
          <w:p w14:paraId="3D0F619C" w14:textId="77777777" w:rsidR="00103CFB" w:rsidRPr="00007760" w:rsidRDefault="00103CFB" w:rsidP="00103CFB">
            <w:pPr>
              <w:spacing w:after="0"/>
              <w:ind w:left="0"/>
              <w:rPr>
                <w:color w:val="000000"/>
              </w:rPr>
            </w:pPr>
            <w:r>
              <w:rPr>
                <w:color w:val="000000"/>
              </w:rPr>
              <w:t>Audit Detail Listing</w:t>
            </w:r>
          </w:p>
        </w:tc>
      </w:tr>
      <w:tr w:rsidR="00103CFB" w:rsidRPr="00293F5E" w14:paraId="0E36FF64" w14:textId="77777777" w:rsidTr="00A26011">
        <w:trPr>
          <w:trHeight w:val="315"/>
        </w:trPr>
        <w:tc>
          <w:tcPr>
            <w:tcW w:w="684" w:type="dxa"/>
            <w:noWrap/>
            <w:vAlign w:val="bottom"/>
          </w:tcPr>
          <w:p w14:paraId="017EDACF" w14:textId="0E105A30" w:rsidR="00103CFB" w:rsidRDefault="00103CFB" w:rsidP="00103CFB">
            <w:pPr>
              <w:spacing w:after="0"/>
              <w:ind w:left="0"/>
              <w:jc w:val="center"/>
              <w:rPr>
                <w:rFonts w:ascii="Calibri" w:hAnsi="Calibri" w:cs="Calibri"/>
                <w:color w:val="000000"/>
                <w:szCs w:val="22"/>
              </w:rPr>
            </w:pPr>
            <w:r>
              <w:rPr>
                <w:color w:val="000000"/>
                <w:szCs w:val="22"/>
              </w:rPr>
              <w:t>147</w:t>
            </w:r>
          </w:p>
        </w:tc>
        <w:tc>
          <w:tcPr>
            <w:tcW w:w="1677" w:type="dxa"/>
            <w:noWrap/>
            <w:vAlign w:val="bottom"/>
          </w:tcPr>
          <w:p w14:paraId="7A9CFA55"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733C857D" w14:textId="77777777" w:rsidR="00103CFB" w:rsidRPr="00007760" w:rsidRDefault="00103CFB" w:rsidP="00103CFB">
            <w:pPr>
              <w:spacing w:after="0"/>
              <w:ind w:left="0"/>
              <w:rPr>
                <w:color w:val="000000"/>
              </w:rPr>
            </w:pPr>
            <w:r>
              <w:rPr>
                <w:color w:val="000000"/>
              </w:rPr>
              <w:t>TXMF1170</w:t>
            </w:r>
          </w:p>
        </w:tc>
        <w:tc>
          <w:tcPr>
            <w:tcW w:w="6963" w:type="dxa"/>
            <w:vAlign w:val="bottom"/>
          </w:tcPr>
          <w:p w14:paraId="73DA0677" w14:textId="77777777" w:rsidR="00103CFB" w:rsidRPr="00007760" w:rsidRDefault="00103CFB" w:rsidP="00103CFB">
            <w:pPr>
              <w:spacing w:after="0"/>
              <w:ind w:left="0"/>
              <w:rPr>
                <w:color w:val="000000"/>
              </w:rPr>
            </w:pPr>
            <w:r>
              <w:rPr>
                <w:color w:val="000000"/>
              </w:rPr>
              <w:t>Post Audit Response Letter Log</w:t>
            </w:r>
          </w:p>
        </w:tc>
      </w:tr>
      <w:tr w:rsidR="00103CFB" w:rsidRPr="00293F5E" w14:paraId="32506130" w14:textId="77777777" w:rsidTr="00A26011">
        <w:trPr>
          <w:trHeight w:val="315"/>
        </w:trPr>
        <w:tc>
          <w:tcPr>
            <w:tcW w:w="684" w:type="dxa"/>
            <w:noWrap/>
            <w:vAlign w:val="bottom"/>
          </w:tcPr>
          <w:p w14:paraId="6EF0520D" w14:textId="2787AC52" w:rsidR="00103CFB" w:rsidRDefault="00103CFB" w:rsidP="00103CFB">
            <w:pPr>
              <w:spacing w:after="0"/>
              <w:ind w:left="0"/>
              <w:jc w:val="center"/>
              <w:rPr>
                <w:rFonts w:ascii="Calibri" w:hAnsi="Calibri" w:cs="Calibri"/>
                <w:color w:val="000000"/>
                <w:szCs w:val="22"/>
              </w:rPr>
            </w:pPr>
            <w:r>
              <w:rPr>
                <w:szCs w:val="22"/>
              </w:rPr>
              <w:t>148</w:t>
            </w:r>
          </w:p>
        </w:tc>
        <w:tc>
          <w:tcPr>
            <w:tcW w:w="1677" w:type="dxa"/>
            <w:noWrap/>
            <w:vAlign w:val="bottom"/>
          </w:tcPr>
          <w:p w14:paraId="1488BBCE"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5C9983B5" w14:textId="77777777" w:rsidR="00103CFB" w:rsidRPr="00007760" w:rsidRDefault="00103CFB" w:rsidP="00103CFB">
            <w:pPr>
              <w:spacing w:after="0"/>
              <w:ind w:left="0"/>
              <w:rPr>
                <w:color w:val="000000"/>
              </w:rPr>
            </w:pPr>
            <w:r>
              <w:rPr>
                <w:color w:val="000000"/>
              </w:rPr>
              <w:t>TXMF1170</w:t>
            </w:r>
          </w:p>
        </w:tc>
        <w:tc>
          <w:tcPr>
            <w:tcW w:w="6963" w:type="dxa"/>
            <w:vAlign w:val="bottom"/>
          </w:tcPr>
          <w:p w14:paraId="085EA79A" w14:textId="77777777" w:rsidR="00103CFB" w:rsidRPr="00007760" w:rsidRDefault="00103CFB" w:rsidP="00103CFB">
            <w:pPr>
              <w:spacing w:after="0"/>
              <w:ind w:left="0"/>
              <w:rPr>
                <w:color w:val="000000"/>
              </w:rPr>
            </w:pPr>
            <w:r>
              <w:rPr>
                <w:color w:val="000000"/>
              </w:rPr>
              <w:t>Randomly Selected Audited Accounts</w:t>
            </w:r>
          </w:p>
        </w:tc>
      </w:tr>
      <w:tr w:rsidR="00103CFB" w:rsidRPr="00293F5E" w14:paraId="2B651682" w14:textId="77777777" w:rsidTr="00103CFB">
        <w:trPr>
          <w:trHeight w:val="315"/>
        </w:trPr>
        <w:tc>
          <w:tcPr>
            <w:tcW w:w="684" w:type="dxa"/>
            <w:noWrap/>
            <w:vAlign w:val="bottom"/>
          </w:tcPr>
          <w:p w14:paraId="50AD48A7" w14:textId="3400CBEC" w:rsidR="00103CFB" w:rsidRDefault="00103CFB" w:rsidP="00103CFB">
            <w:pPr>
              <w:spacing w:after="0"/>
              <w:ind w:left="0"/>
              <w:jc w:val="center"/>
              <w:rPr>
                <w:color w:val="000000"/>
              </w:rPr>
            </w:pPr>
            <w:r>
              <w:rPr>
                <w:color w:val="000000"/>
                <w:szCs w:val="22"/>
              </w:rPr>
              <w:t>149</w:t>
            </w:r>
          </w:p>
        </w:tc>
        <w:tc>
          <w:tcPr>
            <w:tcW w:w="1677" w:type="dxa"/>
            <w:noWrap/>
            <w:vAlign w:val="center"/>
          </w:tcPr>
          <w:p w14:paraId="22C8FCD2" w14:textId="77777777" w:rsidR="00103CFB" w:rsidRDefault="00103CFB" w:rsidP="00103CFB">
            <w:pPr>
              <w:spacing w:after="0"/>
              <w:ind w:left="0"/>
              <w:rPr>
                <w:color w:val="000000"/>
              </w:rPr>
            </w:pPr>
            <w:r w:rsidRPr="00A26011">
              <w:rPr>
                <w:color w:val="000000"/>
              </w:rPr>
              <w:t>Monthly</w:t>
            </w:r>
          </w:p>
        </w:tc>
        <w:tc>
          <w:tcPr>
            <w:tcW w:w="1775" w:type="dxa"/>
            <w:noWrap/>
            <w:vAlign w:val="center"/>
          </w:tcPr>
          <w:p w14:paraId="1397C914" w14:textId="77777777" w:rsidR="00103CFB" w:rsidRDefault="00103CFB" w:rsidP="00103CFB">
            <w:pPr>
              <w:spacing w:after="0"/>
              <w:ind w:left="0"/>
              <w:rPr>
                <w:color w:val="000000"/>
              </w:rPr>
            </w:pPr>
            <w:r w:rsidRPr="00A26011">
              <w:rPr>
                <w:color w:val="000000"/>
              </w:rPr>
              <w:t>TXMF888R</w:t>
            </w:r>
          </w:p>
        </w:tc>
        <w:tc>
          <w:tcPr>
            <w:tcW w:w="6963" w:type="dxa"/>
            <w:vAlign w:val="center"/>
          </w:tcPr>
          <w:p w14:paraId="4109AE00" w14:textId="77777777" w:rsidR="00103CFB" w:rsidRDefault="00103CFB" w:rsidP="00103CFB">
            <w:pPr>
              <w:spacing w:after="0"/>
              <w:ind w:left="0"/>
              <w:rPr>
                <w:color w:val="000000"/>
              </w:rPr>
            </w:pPr>
            <w:r w:rsidRPr="00A26011">
              <w:rPr>
                <w:color w:val="000000"/>
              </w:rPr>
              <w:t>Document Imaging Submissions Summary Report</w:t>
            </w:r>
          </w:p>
        </w:tc>
      </w:tr>
      <w:tr w:rsidR="00103CFB" w:rsidRPr="00293F5E" w14:paraId="483CC5B8" w14:textId="77777777" w:rsidTr="00A26011">
        <w:trPr>
          <w:trHeight w:val="315"/>
        </w:trPr>
        <w:tc>
          <w:tcPr>
            <w:tcW w:w="684" w:type="dxa"/>
            <w:noWrap/>
            <w:vAlign w:val="bottom"/>
          </w:tcPr>
          <w:p w14:paraId="601D5144" w14:textId="02B3FE10" w:rsidR="00103CFB" w:rsidRDefault="00103CFB" w:rsidP="00103CFB">
            <w:pPr>
              <w:spacing w:after="0"/>
              <w:ind w:left="0"/>
              <w:jc w:val="center"/>
              <w:rPr>
                <w:rFonts w:ascii="Calibri" w:hAnsi="Calibri" w:cs="Calibri"/>
                <w:color w:val="000000"/>
                <w:szCs w:val="22"/>
              </w:rPr>
            </w:pPr>
            <w:r>
              <w:rPr>
                <w:szCs w:val="22"/>
              </w:rPr>
              <w:t>150</w:t>
            </w:r>
          </w:p>
        </w:tc>
        <w:tc>
          <w:tcPr>
            <w:tcW w:w="1677" w:type="dxa"/>
            <w:noWrap/>
            <w:vAlign w:val="bottom"/>
          </w:tcPr>
          <w:p w14:paraId="5FC387F3"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6B4364D8" w14:textId="77777777" w:rsidR="00103CFB" w:rsidRPr="00007760" w:rsidRDefault="00103CFB" w:rsidP="00103CFB">
            <w:pPr>
              <w:spacing w:after="0"/>
              <w:ind w:left="0"/>
              <w:rPr>
                <w:color w:val="000000"/>
              </w:rPr>
            </w:pPr>
            <w:r>
              <w:rPr>
                <w:color w:val="000000"/>
              </w:rPr>
              <w:t>TXMM0010</w:t>
            </w:r>
          </w:p>
        </w:tc>
        <w:tc>
          <w:tcPr>
            <w:tcW w:w="6963" w:type="dxa"/>
            <w:vAlign w:val="bottom"/>
          </w:tcPr>
          <w:p w14:paraId="13809E12" w14:textId="77777777" w:rsidR="00103CFB" w:rsidRPr="00007760" w:rsidRDefault="00103CFB" w:rsidP="00103CFB">
            <w:pPr>
              <w:spacing w:after="0"/>
              <w:ind w:left="0"/>
              <w:rPr>
                <w:color w:val="000000"/>
              </w:rPr>
            </w:pPr>
            <w:r>
              <w:rPr>
                <w:color w:val="000000"/>
              </w:rPr>
              <w:t>Error Listing</w:t>
            </w:r>
          </w:p>
        </w:tc>
      </w:tr>
      <w:tr w:rsidR="00103CFB" w:rsidRPr="00293F5E" w14:paraId="50A1D091" w14:textId="77777777" w:rsidTr="00A26011">
        <w:trPr>
          <w:trHeight w:val="315"/>
        </w:trPr>
        <w:tc>
          <w:tcPr>
            <w:tcW w:w="684" w:type="dxa"/>
            <w:noWrap/>
            <w:vAlign w:val="bottom"/>
          </w:tcPr>
          <w:p w14:paraId="5E7A11FD" w14:textId="2FEBF987" w:rsidR="00103CFB" w:rsidRDefault="00103CFB" w:rsidP="00103CFB">
            <w:pPr>
              <w:spacing w:after="0"/>
              <w:ind w:left="0"/>
              <w:jc w:val="center"/>
              <w:rPr>
                <w:rFonts w:ascii="Calibri" w:hAnsi="Calibri" w:cs="Calibri"/>
                <w:color w:val="000000"/>
                <w:szCs w:val="22"/>
              </w:rPr>
            </w:pPr>
            <w:r>
              <w:rPr>
                <w:color w:val="000000"/>
                <w:szCs w:val="22"/>
              </w:rPr>
              <w:t>151</w:t>
            </w:r>
          </w:p>
        </w:tc>
        <w:tc>
          <w:tcPr>
            <w:tcW w:w="1677" w:type="dxa"/>
            <w:noWrap/>
            <w:vAlign w:val="bottom"/>
          </w:tcPr>
          <w:p w14:paraId="0C10F134"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010206A6" w14:textId="77777777" w:rsidR="00103CFB" w:rsidRPr="00007760" w:rsidRDefault="00103CFB" w:rsidP="00103CFB">
            <w:pPr>
              <w:spacing w:after="0"/>
              <w:ind w:left="0"/>
              <w:rPr>
                <w:color w:val="000000"/>
              </w:rPr>
            </w:pPr>
            <w:r>
              <w:rPr>
                <w:color w:val="000000"/>
              </w:rPr>
              <w:t>TXMM0010</w:t>
            </w:r>
          </w:p>
        </w:tc>
        <w:tc>
          <w:tcPr>
            <w:tcW w:w="6963" w:type="dxa"/>
            <w:vAlign w:val="bottom"/>
          </w:tcPr>
          <w:p w14:paraId="45C5CEF8" w14:textId="77777777" w:rsidR="00103CFB" w:rsidRPr="00007760" w:rsidRDefault="00103CFB" w:rsidP="00103CFB">
            <w:pPr>
              <w:spacing w:after="0"/>
              <w:ind w:left="0"/>
              <w:rPr>
                <w:color w:val="000000"/>
              </w:rPr>
            </w:pPr>
            <w:r>
              <w:rPr>
                <w:color w:val="000000"/>
              </w:rPr>
              <w:t>Monthly Management Report - Accounting Screen Actions by CTO Staff (also called Monthly Management Report Field Tax Operations by Group)</w:t>
            </w:r>
          </w:p>
        </w:tc>
      </w:tr>
      <w:tr w:rsidR="00103CFB" w:rsidRPr="00293F5E" w14:paraId="3928B14F" w14:textId="77777777" w:rsidTr="00A26011">
        <w:trPr>
          <w:trHeight w:val="315"/>
        </w:trPr>
        <w:tc>
          <w:tcPr>
            <w:tcW w:w="684" w:type="dxa"/>
            <w:noWrap/>
            <w:vAlign w:val="bottom"/>
          </w:tcPr>
          <w:p w14:paraId="6ACB3320" w14:textId="789D8A71" w:rsidR="00103CFB" w:rsidRDefault="00103CFB" w:rsidP="00103CFB">
            <w:pPr>
              <w:spacing w:after="0"/>
              <w:ind w:left="0"/>
              <w:jc w:val="center"/>
              <w:rPr>
                <w:rFonts w:ascii="Calibri" w:hAnsi="Calibri" w:cs="Calibri"/>
                <w:color w:val="000000"/>
                <w:szCs w:val="22"/>
              </w:rPr>
            </w:pPr>
            <w:r>
              <w:rPr>
                <w:szCs w:val="22"/>
              </w:rPr>
              <w:t>152</w:t>
            </w:r>
          </w:p>
        </w:tc>
        <w:tc>
          <w:tcPr>
            <w:tcW w:w="1677" w:type="dxa"/>
            <w:noWrap/>
            <w:vAlign w:val="bottom"/>
          </w:tcPr>
          <w:p w14:paraId="10753469"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7B685544" w14:textId="77777777" w:rsidR="00103CFB" w:rsidRPr="00007760" w:rsidRDefault="00103CFB" w:rsidP="00103CFB">
            <w:pPr>
              <w:spacing w:after="0"/>
              <w:ind w:left="0"/>
              <w:rPr>
                <w:color w:val="000000"/>
              </w:rPr>
            </w:pPr>
            <w:r>
              <w:rPr>
                <w:color w:val="000000"/>
              </w:rPr>
              <w:t>TXMM0010</w:t>
            </w:r>
          </w:p>
        </w:tc>
        <w:tc>
          <w:tcPr>
            <w:tcW w:w="6963" w:type="dxa"/>
            <w:vAlign w:val="bottom"/>
          </w:tcPr>
          <w:p w14:paraId="6C9C0996" w14:textId="77777777" w:rsidR="00103CFB" w:rsidRPr="00007760" w:rsidRDefault="00103CFB" w:rsidP="00103CFB">
            <w:pPr>
              <w:spacing w:after="0"/>
              <w:ind w:left="0"/>
              <w:rPr>
                <w:color w:val="000000"/>
              </w:rPr>
            </w:pPr>
            <w:r>
              <w:rPr>
                <w:color w:val="000000"/>
              </w:rPr>
              <w:t>Monthly Management Report - Collection Screen Actions (also called Monthly Management Report Collections Section by AE)</w:t>
            </w:r>
          </w:p>
        </w:tc>
      </w:tr>
      <w:tr w:rsidR="00103CFB" w:rsidRPr="00293F5E" w14:paraId="6BC6CE20" w14:textId="77777777" w:rsidTr="00A26011">
        <w:trPr>
          <w:trHeight w:val="315"/>
        </w:trPr>
        <w:tc>
          <w:tcPr>
            <w:tcW w:w="684" w:type="dxa"/>
            <w:noWrap/>
            <w:vAlign w:val="bottom"/>
          </w:tcPr>
          <w:p w14:paraId="6926FA3D" w14:textId="5C887904" w:rsidR="00103CFB" w:rsidRDefault="00103CFB" w:rsidP="00103CFB">
            <w:pPr>
              <w:spacing w:after="0"/>
              <w:ind w:left="0"/>
              <w:jc w:val="center"/>
              <w:rPr>
                <w:rFonts w:ascii="Calibri" w:hAnsi="Calibri" w:cs="Calibri"/>
                <w:color w:val="000000"/>
                <w:szCs w:val="22"/>
              </w:rPr>
            </w:pPr>
            <w:r>
              <w:rPr>
                <w:color w:val="000000"/>
                <w:szCs w:val="22"/>
              </w:rPr>
              <w:lastRenderedPageBreak/>
              <w:t>153</w:t>
            </w:r>
          </w:p>
        </w:tc>
        <w:tc>
          <w:tcPr>
            <w:tcW w:w="1677" w:type="dxa"/>
            <w:noWrap/>
            <w:vAlign w:val="bottom"/>
          </w:tcPr>
          <w:p w14:paraId="175AEE7F"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167C4D0A" w14:textId="77777777" w:rsidR="00103CFB" w:rsidRPr="00007760" w:rsidRDefault="00103CFB" w:rsidP="00103CFB">
            <w:pPr>
              <w:spacing w:after="0"/>
              <w:ind w:left="0"/>
              <w:rPr>
                <w:color w:val="000000"/>
              </w:rPr>
            </w:pPr>
            <w:r>
              <w:rPr>
                <w:color w:val="000000"/>
              </w:rPr>
              <w:t>TXMM0010</w:t>
            </w:r>
          </w:p>
        </w:tc>
        <w:tc>
          <w:tcPr>
            <w:tcW w:w="6963" w:type="dxa"/>
            <w:vAlign w:val="bottom"/>
          </w:tcPr>
          <w:p w14:paraId="39A43660" w14:textId="77777777" w:rsidR="00103CFB" w:rsidRPr="00007760" w:rsidRDefault="00103CFB" w:rsidP="00103CFB">
            <w:pPr>
              <w:spacing w:after="0"/>
              <w:ind w:left="0"/>
              <w:rPr>
                <w:color w:val="000000"/>
              </w:rPr>
            </w:pPr>
            <w:r>
              <w:rPr>
                <w:color w:val="000000"/>
              </w:rPr>
              <w:t>Monthly Management Report - Collections Actions by CTO Staff (also called Monthly Management Report Collections Section by Group)</w:t>
            </w:r>
          </w:p>
        </w:tc>
      </w:tr>
      <w:tr w:rsidR="00103CFB" w:rsidRPr="00293F5E" w14:paraId="4FF18C9F" w14:textId="77777777" w:rsidTr="00A26011">
        <w:trPr>
          <w:trHeight w:val="315"/>
        </w:trPr>
        <w:tc>
          <w:tcPr>
            <w:tcW w:w="684" w:type="dxa"/>
            <w:noWrap/>
            <w:vAlign w:val="bottom"/>
          </w:tcPr>
          <w:p w14:paraId="44DE85E1" w14:textId="1E0FF0D8" w:rsidR="00103CFB" w:rsidRDefault="00103CFB" w:rsidP="00103CFB">
            <w:pPr>
              <w:spacing w:after="0"/>
              <w:ind w:left="0"/>
              <w:jc w:val="center"/>
              <w:rPr>
                <w:rFonts w:ascii="Calibri" w:hAnsi="Calibri" w:cs="Calibri"/>
                <w:color w:val="000000"/>
                <w:szCs w:val="22"/>
              </w:rPr>
            </w:pPr>
            <w:r>
              <w:rPr>
                <w:szCs w:val="22"/>
              </w:rPr>
              <w:t>154</w:t>
            </w:r>
          </w:p>
        </w:tc>
        <w:tc>
          <w:tcPr>
            <w:tcW w:w="1677" w:type="dxa"/>
            <w:noWrap/>
            <w:vAlign w:val="bottom"/>
          </w:tcPr>
          <w:p w14:paraId="27C2E414"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7AB496D9" w14:textId="77777777" w:rsidR="00103CFB" w:rsidRPr="00007760" w:rsidRDefault="00103CFB" w:rsidP="00103CFB">
            <w:pPr>
              <w:spacing w:after="0"/>
              <w:ind w:left="0"/>
              <w:rPr>
                <w:color w:val="000000"/>
              </w:rPr>
            </w:pPr>
            <w:r>
              <w:rPr>
                <w:color w:val="000000"/>
              </w:rPr>
              <w:t>TXMM0100</w:t>
            </w:r>
          </w:p>
        </w:tc>
        <w:tc>
          <w:tcPr>
            <w:tcW w:w="6963" w:type="dxa"/>
            <w:vAlign w:val="bottom"/>
          </w:tcPr>
          <w:p w14:paraId="7D0BFCE3" w14:textId="77777777" w:rsidR="00103CFB" w:rsidRPr="00007760" w:rsidRDefault="00103CFB" w:rsidP="00103CFB">
            <w:pPr>
              <w:spacing w:after="0"/>
              <w:ind w:left="0"/>
              <w:rPr>
                <w:color w:val="000000"/>
              </w:rPr>
            </w:pPr>
            <w:r>
              <w:rPr>
                <w:color w:val="000000"/>
              </w:rPr>
              <w:t>Monthly Management Report Experience Rating</w:t>
            </w:r>
          </w:p>
        </w:tc>
      </w:tr>
      <w:tr w:rsidR="00103CFB" w:rsidRPr="00293F5E" w14:paraId="4842BDB0" w14:textId="77777777" w:rsidTr="00A26011">
        <w:trPr>
          <w:trHeight w:val="315"/>
        </w:trPr>
        <w:tc>
          <w:tcPr>
            <w:tcW w:w="684" w:type="dxa"/>
            <w:noWrap/>
            <w:vAlign w:val="bottom"/>
          </w:tcPr>
          <w:p w14:paraId="00AC88DB" w14:textId="19737678" w:rsidR="00103CFB" w:rsidRDefault="00103CFB" w:rsidP="00103CFB">
            <w:pPr>
              <w:spacing w:after="0"/>
              <w:ind w:left="0"/>
              <w:jc w:val="center"/>
              <w:rPr>
                <w:rFonts w:ascii="Calibri" w:hAnsi="Calibri" w:cs="Calibri"/>
                <w:color w:val="000000"/>
                <w:szCs w:val="22"/>
              </w:rPr>
            </w:pPr>
            <w:r>
              <w:rPr>
                <w:color w:val="000000"/>
                <w:szCs w:val="22"/>
              </w:rPr>
              <w:t>155</w:t>
            </w:r>
          </w:p>
        </w:tc>
        <w:tc>
          <w:tcPr>
            <w:tcW w:w="1677" w:type="dxa"/>
            <w:noWrap/>
            <w:vAlign w:val="bottom"/>
          </w:tcPr>
          <w:p w14:paraId="760AEBE8"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1C0925E3" w14:textId="77777777" w:rsidR="00103CFB" w:rsidRPr="00007760" w:rsidRDefault="00103CFB" w:rsidP="00103CFB">
            <w:pPr>
              <w:spacing w:after="0"/>
              <w:ind w:left="0"/>
              <w:rPr>
                <w:color w:val="000000"/>
              </w:rPr>
            </w:pPr>
            <w:r>
              <w:rPr>
                <w:color w:val="000000"/>
              </w:rPr>
              <w:t>TXMM0180</w:t>
            </w:r>
          </w:p>
        </w:tc>
        <w:tc>
          <w:tcPr>
            <w:tcW w:w="6963" w:type="dxa"/>
            <w:vAlign w:val="bottom"/>
          </w:tcPr>
          <w:p w14:paraId="25FF2532" w14:textId="77777777" w:rsidR="00103CFB" w:rsidRPr="00007760" w:rsidRDefault="00103CFB" w:rsidP="00103CFB">
            <w:pPr>
              <w:spacing w:after="0"/>
              <w:ind w:left="0"/>
              <w:rPr>
                <w:color w:val="000000"/>
              </w:rPr>
            </w:pPr>
            <w:r>
              <w:rPr>
                <w:color w:val="000000"/>
              </w:rPr>
              <w:t>Overpayment Detail Listing</w:t>
            </w:r>
          </w:p>
        </w:tc>
      </w:tr>
      <w:tr w:rsidR="00103CFB" w:rsidRPr="00293F5E" w14:paraId="7A29500E" w14:textId="77777777" w:rsidTr="00A26011">
        <w:trPr>
          <w:trHeight w:val="315"/>
        </w:trPr>
        <w:tc>
          <w:tcPr>
            <w:tcW w:w="684" w:type="dxa"/>
            <w:noWrap/>
            <w:vAlign w:val="bottom"/>
          </w:tcPr>
          <w:p w14:paraId="4373F090" w14:textId="482B2F3E" w:rsidR="00103CFB" w:rsidRDefault="00103CFB" w:rsidP="00103CFB">
            <w:pPr>
              <w:spacing w:after="0"/>
              <w:ind w:left="0"/>
              <w:jc w:val="center"/>
              <w:rPr>
                <w:rFonts w:ascii="Calibri" w:hAnsi="Calibri" w:cs="Calibri"/>
                <w:color w:val="000000"/>
                <w:szCs w:val="22"/>
              </w:rPr>
            </w:pPr>
            <w:r>
              <w:rPr>
                <w:szCs w:val="22"/>
              </w:rPr>
              <w:t>156</w:t>
            </w:r>
          </w:p>
        </w:tc>
        <w:tc>
          <w:tcPr>
            <w:tcW w:w="1677" w:type="dxa"/>
            <w:noWrap/>
            <w:vAlign w:val="bottom"/>
          </w:tcPr>
          <w:p w14:paraId="51E0A62B"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3253A201" w14:textId="77777777" w:rsidR="00103CFB" w:rsidRPr="00007760" w:rsidRDefault="00103CFB" w:rsidP="00103CFB">
            <w:pPr>
              <w:spacing w:after="0"/>
              <w:ind w:left="0"/>
              <w:rPr>
                <w:color w:val="000000"/>
              </w:rPr>
            </w:pPr>
            <w:r>
              <w:rPr>
                <w:color w:val="000000"/>
              </w:rPr>
              <w:t>TXMM0230</w:t>
            </w:r>
          </w:p>
        </w:tc>
        <w:tc>
          <w:tcPr>
            <w:tcW w:w="6963" w:type="dxa"/>
            <w:vAlign w:val="bottom"/>
          </w:tcPr>
          <w:p w14:paraId="4D7AC6CC" w14:textId="77777777" w:rsidR="00103CFB" w:rsidRPr="00007760" w:rsidRDefault="00103CFB" w:rsidP="00103CFB">
            <w:pPr>
              <w:spacing w:after="0"/>
              <w:ind w:left="0"/>
              <w:rPr>
                <w:color w:val="000000"/>
              </w:rPr>
            </w:pPr>
            <w:r>
              <w:rPr>
                <w:color w:val="000000"/>
              </w:rPr>
              <w:t>Monthly Refund Statistics by AE</w:t>
            </w:r>
          </w:p>
        </w:tc>
      </w:tr>
      <w:tr w:rsidR="00103CFB" w:rsidRPr="00293F5E" w14:paraId="5BBACFB9" w14:textId="77777777" w:rsidTr="00A26011">
        <w:trPr>
          <w:trHeight w:val="315"/>
        </w:trPr>
        <w:tc>
          <w:tcPr>
            <w:tcW w:w="684" w:type="dxa"/>
            <w:noWrap/>
            <w:vAlign w:val="bottom"/>
          </w:tcPr>
          <w:p w14:paraId="1DF12206" w14:textId="5A57A297" w:rsidR="00103CFB" w:rsidRPr="004B4E82" w:rsidRDefault="00103CFB" w:rsidP="00103CFB">
            <w:pPr>
              <w:spacing w:after="0"/>
              <w:ind w:left="0"/>
              <w:jc w:val="center"/>
              <w:rPr>
                <w:color w:val="000000"/>
                <w:szCs w:val="22"/>
              </w:rPr>
            </w:pPr>
            <w:r>
              <w:rPr>
                <w:color w:val="000000"/>
                <w:szCs w:val="22"/>
              </w:rPr>
              <w:t>157</w:t>
            </w:r>
          </w:p>
        </w:tc>
        <w:tc>
          <w:tcPr>
            <w:tcW w:w="1677" w:type="dxa"/>
            <w:noWrap/>
            <w:vAlign w:val="bottom"/>
          </w:tcPr>
          <w:p w14:paraId="46B2FA40"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5B373A52" w14:textId="77777777" w:rsidR="00103CFB" w:rsidRPr="00007760" w:rsidRDefault="00103CFB" w:rsidP="00103CFB">
            <w:pPr>
              <w:spacing w:after="0"/>
              <w:ind w:left="0"/>
              <w:rPr>
                <w:color w:val="000000"/>
              </w:rPr>
            </w:pPr>
            <w:r>
              <w:rPr>
                <w:color w:val="000000"/>
              </w:rPr>
              <w:t>TXMM0610</w:t>
            </w:r>
          </w:p>
        </w:tc>
        <w:tc>
          <w:tcPr>
            <w:tcW w:w="6963" w:type="dxa"/>
            <w:vAlign w:val="bottom"/>
          </w:tcPr>
          <w:p w14:paraId="70C54A28" w14:textId="77777777" w:rsidR="00103CFB" w:rsidRPr="00007760" w:rsidRDefault="00103CFB" w:rsidP="00103CFB">
            <w:pPr>
              <w:spacing w:after="0"/>
              <w:ind w:left="0"/>
              <w:rPr>
                <w:color w:val="000000"/>
              </w:rPr>
            </w:pPr>
            <w:r>
              <w:rPr>
                <w:color w:val="000000"/>
              </w:rPr>
              <w:t>Unemployment Tax Percentage of Tax Collected</w:t>
            </w:r>
          </w:p>
        </w:tc>
      </w:tr>
      <w:tr w:rsidR="00103CFB" w:rsidRPr="00293F5E" w14:paraId="4F82BF4A" w14:textId="77777777" w:rsidTr="00A26011">
        <w:trPr>
          <w:trHeight w:val="315"/>
        </w:trPr>
        <w:tc>
          <w:tcPr>
            <w:tcW w:w="684" w:type="dxa"/>
            <w:noWrap/>
            <w:vAlign w:val="bottom"/>
          </w:tcPr>
          <w:p w14:paraId="28BFDB54" w14:textId="3D74A0F8" w:rsidR="00103CFB" w:rsidRDefault="00103CFB" w:rsidP="00103CFB">
            <w:pPr>
              <w:spacing w:after="0"/>
              <w:ind w:left="0"/>
              <w:jc w:val="center"/>
              <w:rPr>
                <w:rFonts w:ascii="Calibri" w:hAnsi="Calibri" w:cs="Calibri"/>
                <w:color w:val="000000"/>
                <w:szCs w:val="22"/>
              </w:rPr>
            </w:pPr>
            <w:r>
              <w:rPr>
                <w:szCs w:val="22"/>
              </w:rPr>
              <w:t>158</w:t>
            </w:r>
          </w:p>
        </w:tc>
        <w:tc>
          <w:tcPr>
            <w:tcW w:w="1677" w:type="dxa"/>
            <w:noWrap/>
            <w:vAlign w:val="bottom"/>
          </w:tcPr>
          <w:p w14:paraId="634DE74D"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3EAF613F" w14:textId="77777777" w:rsidR="00103CFB" w:rsidRPr="00007760" w:rsidRDefault="00103CFB" w:rsidP="00103CFB">
            <w:pPr>
              <w:spacing w:after="0"/>
              <w:ind w:left="0"/>
              <w:rPr>
                <w:color w:val="000000"/>
              </w:rPr>
            </w:pPr>
            <w:r>
              <w:rPr>
                <w:color w:val="000000"/>
              </w:rPr>
              <w:t>TXMM0615</w:t>
            </w:r>
          </w:p>
        </w:tc>
        <w:tc>
          <w:tcPr>
            <w:tcW w:w="6963" w:type="dxa"/>
            <w:vAlign w:val="bottom"/>
          </w:tcPr>
          <w:p w14:paraId="6932736B" w14:textId="77777777" w:rsidR="00103CFB" w:rsidRPr="00007760" w:rsidRDefault="00103CFB" w:rsidP="00103CFB">
            <w:pPr>
              <w:spacing w:after="0"/>
              <w:ind w:left="0"/>
              <w:rPr>
                <w:color w:val="000000"/>
              </w:rPr>
            </w:pPr>
            <w:r>
              <w:rPr>
                <w:color w:val="000000"/>
              </w:rPr>
              <w:t>Pending QRM REF without Released REF Assignments</w:t>
            </w:r>
          </w:p>
        </w:tc>
      </w:tr>
      <w:tr w:rsidR="00103CFB" w:rsidRPr="00293F5E" w14:paraId="70B3FF8D" w14:textId="77777777" w:rsidTr="00A26011">
        <w:trPr>
          <w:trHeight w:val="315"/>
        </w:trPr>
        <w:tc>
          <w:tcPr>
            <w:tcW w:w="684" w:type="dxa"/>
            <w:noWrap/>
            <w:vAlign w:val="bottom"/>
          </w:tcPr>
          <w:p w14:paraId="65F1578B" w14:textId="2511C764" w:rsidR="00103CFB" w:rsidRDefault="00103CFB" w:rsidP="00103CFB">
            <w:pPr>
              <w:spacing w:after="0"/>
              <w:ind w:left="0"/>
              <w:jc w:val="center"/>
              <w:rPr>
                <w:rFonts w:ascii="Calibri" w:hAnsi="Calibri" w:cs="Calibri"/>
                <w:color w:val="000000"/>
                <w:szCs w:val="22"/>
              </w:rPr>
            </w:pPr>
            <w:r>
              <w:rPr>
                <w:color w:val="000000"/>
                <w:szCs w:val="22"/>
              </w:rPr>
              <w:t>159</w:t>
            </w:r>
          </w:p>
        </w:tc>
        <w:tc>
          <w:tcPr>
            <w:tcW w:w="1677" w:type="dxa"/>
            <w:noWrap/>
            <w:vAlign w:val="bottom"/>
          </w:tcPr>
          <w:p w14:paraId="76B84B48"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172CF68E" w14:textId="77777777" w:rsidR="00103CFB" w:rsidRPr="00007760" w:rsidRDefault="00103CFB" w:rsidP="00103CFB">
            <w:pPr>
              <w:spacing w:after="0"/>
              <w:ind w:left="0"/>
              <w:rPr>
                <w:color w:val="000000"/>
              </w:rPr>
            </w:pPr>
            <w:r>
              <w:rPr>
                <w:color w:val="000000"/>
              </w:rPr>
              <w:t>TXMQ0010</w:t>
            </w:r>
          </w:p>
        </w:tc>
        <w:tc>
          <w:tcPr>
            <w:tcW w:w="6963" w:type="dxa"/>
            <w:vAlign w:val="bottom"/>
          </w:tcPr>
          <w:p w14:paraId="32FB608E" w14:textId="77777777" w:rsidR="00103CFB" w:rsidRPr="00007760" w:rsidRDefault="00103CFB" w:rsidP="00103CFB">
            <w:pPr>
              <w:spacing w:after="0"/>
              <w:ind w:left="0"/>
              <w:rPr>
                <w:color w:val="000000"/>
              </w:rPr>
            </w:pPr>
            <w:r>
              <w:rPr>
                <w:color w:val="000000"/>
              </w:rPr>
              <w:t>Error Resolution Code Report</w:t>
            </w:r>
          </w:p>
        </w:tc>
      </w:tr>
      <w:tr w:rsidR="00103CFB" w:rsidRPr="00293F5E" w14:paraId="7B731A74" w14:textId="77777777" w:rsidTr="00A26011">
        <w:trPr>
          <w:trHeight w:val="315"/>
        </w:trPr>
        <w:tc>
          <w:tcPr>
            <w:tcW w:w="684" w:type="dxa"/>
            <w:noWrap/>
            <w:vAlign w:val="bottom"/>
          </w:tcPr>
          <w:p w14:paraId="445FA781" w14:textId="498983A8" w:rsidR="00103CFB" w:rsidRDefault="00103CFB" w:rsidP="00103CFB">
            <w:pPr>
              <w:spacing w:after="0"/>
              <w:ind w:left="0"/>
              <w:jc w:val="center"/>
              <w:rPr>
                <w:rFonts w:ascii="Calibri" w:hAnsi="Calibri" w:cs="Calibri"/>
                <w:color w:val="000000"/>
                <w:szCs w:val="22"/>
              </w:rPr>
            </w:pPr>
            <w:r>
              <w:rPr>
                <w:szCs w:val="22"/>
              </w:rPr>
              <w:t>160</w:t>
            </w:r>
          </w:p>
        </w:tc>
        <w:tc>
          <w:tcPr>
            <w:tcW w:w="1677" w:type="dxa"/>
            <w:noWrap/>
            <w:vAlign w:val="bottom"/>
          </w:tcPr>
          <w:p w14:paraId="24A9CD44"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21347588" w14:textId="77777777" w:rsidR="00103CFB" w:rsidRPr="00007760" w:rsidRDefault="00103CFB" w:rsidP="00103CFB">
            <w:pPr>
              <w:spacing w:after="0"/>
              <w:ind w:left="0"/>
              <w:rPr>
                <w:color w:val="000000"/>
              </w:rPr>
            </w:pPr>
            <w:r>
              <w:rPr>
                <w:color w:val="000000"/>
              </w:rPr>
              <w:t>TXMR0100</w:t>
            </w:r>
          </w:p>
        </w:tc>
        <w:tc>
          <w:tcPr>
            <w:tcW w:w="6963" w:type="dxa"/>
            <w:vAlign w:val="bottom"/>
          </w:tcPr>
          <w:p w14:paraId="748DB559" w14:textId="77777777" w:rsidR="00103CFB" w:rsidRPr="00007760" w:rsidRDefault="00103CFB" w:rsidP="00103CFB">
            <w:pPr>
              <w:spacing w:after="0"/>
              <w:ind w:left="0"/>
              <w:rPr>
                <w:color w:val="000000"/>
              </w:rPr>
            </w:pPr>
            <w:r>
              <w:rPr>
                <w:color w:val="000000"/>
              </w:rPr>
              <w:t>Monthly Chargeback Adjustments</w:t>
            </w:r>
          </w:p>
        </w:tc>
      </w:tr>
      <w:tr w:rsidR="00103CFB" w:rsidRPr="00293F5E" w14:paraId="0C718B22" w14:textId="77777777" w:rsidTr="00A26011">
        <w:trPr>
          <w:trHeight w:val="315"/>
        </w:trPr>
        <w:tc>
          <w:tcPr>
            <w:tcW w:w="684" w:type="dxa"/>
            <w:noWrap/>
            <w:vAlign w:val="bottom"/>
          </w:tcPr>
          <w:p w14:paraId="09CACF8D" w14:textId="1B4F542C" w:rsidR="00103CFB" w:rsidRDefault="00103CFB" w:rsidP="00103CFB">
            <w:pPr>
              <w:spacing w:after="0"/>
              <w:ind w:left="0"/>
              <w:jc w:val="center"/>
              <w:rPr>
                <w:rFonts w:ascii="Calibri" w:hAnsi="Calibri" w:cs="Calibri"/>
                <w:color w:val="000000"/>
                <w:szCs w:val="22"/>
              </w:rPr>
            </w:pPr>
            <w:r>
              <w:rPr>
                <w:color w:val="000000"/>
                <w:szCs w:val="22"/>
              </w:rPr>
              <w:t>161</w:t>
            </w:r>
          </w:p>
        </w:tc>
        <w:tc>
          <w:tcPr>
            <w:tcW w:w="1677" w:type="dxa"/>
            <w:noWrap/>
            <w:vAlign w:val="bottom"/>
          </w:tcPr>
          <w:p w14:paraId="44890DFE"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58EAA4D6" w14:textId="77777777" w:rsidR="00103CFB" w:rsidRPr="00007760" w:rsidRDefault="00103CFB" w:rsidP="00103CFB">
            <w:pPr>
              <w:spacing w:after="0"/>
              <w:ind w:left="0"/>
              <w:rPr>
                <w:color w:val="000000"/>
              </w:rPr>
            </w:pPr>
            <w:r>
              <w:rPr>
                <w:color w:val="000000"/>
              </w:rPr>
              <w:t>TXMR0242</w:t>
            </w:r>
          </w:p>
        </w:tc>
        <w:tc>
          <w:tcPr>
            <w:tcW w:w="6963" w:type="dxa"/>
            <w:vAlign w:val="bottom"/>
          </w:tcPr>
          <w:p w14:paraId="3CC27E3C" w14:textId="77777777" w:rsidR="00103CFB" w:rsidRPr="00007760" w:rsidRDefault="00103CFB" w:rsidP="00103CFB">
            <w:pPr>
              <w:spacing w:after="0"/>
              <w:ind w:left="0"/>
              <w:rPr>
                <w:color w:val="000000"/>
              </w:rPr>
            </w:pPr>
            <w:r>
              <w:rPr>
                <w:color w:val="000000"/>
              </w:rPr>
              <w:t>Assignment Type by Zip Listing for Month Ending</w:t>
            </w:r>
          </w:p>
        </w:tc>
      </w:tr>
      <w:tr w:rsidR="00103CFB" w:rsidRPr="00293F5E" w14:paraId="5BFADECC" w14:textId="77777777" w:rsidTr="00A26011">
        <w:trPr>
          <w:trHeight w:val="315"/>
        </w:trPr>
        <w:tc>
          <w:tcPr>
            <w:tcW w:w="684" w:type="dxa"/>
            <w:noWrap/>
            <w:vAlign w:val="bottom"/>
          </w:tcPr>
          <w:p w14:paraId="7AF347D4" w14:textId="7CAC723E" w:rsidR="00103CFB" w:rsidRDefault="00103CFB" w:rsidP="00103CFB">
            <w:pPr>
              <w:spacing w:after="0"/>
              <w:ind w:left="0"/>
              <w:jc w:val="center"/>
              <w:rPr>
                <w:rFonts w:ascii="Calibri" w:hAnsi="Calibri" w:cs="Calibri"/>
                <w:color w:val="000000"/>
                <w:szCs w:val="22"/>
              </w:rPr>
            </w:pPr>
            <w:r>
              <w:rPr>
                <w:szCs w:val="22"/>
              </w:rPr>
              <w:t>162</w:t>
            </w:r>
          </w:p>
        </w:tc>
        <w:tc>
          <w:tcPr>
            <w:tcW w:w="1677" w:type="dxa"/>
            <w:noWrap/>
            <w:vAlign w:val="bottom"/>
          </w:tcPr>
          <w:p w14:paraId="62177DDC"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3A4445DA" w14:textId="77777777" w:rsidR="00103CFB" w:rsidRPr="00007760" w:rsidRDefault="00103CFB" w:rsidP="00103CFB">
            <w:pPr>
              <w:spacing w:after="0"/>
              <w:ind w:left="0"/>
              <w:rPr>
                <w:color w:val="000000"/>
              </w:rPr>
            </w:pPr>
            <w:r>
              <w:rPr>
                <w:color w:val="000000"/>
              </w:rPr>
              <w:t>TXMR0242</w:t>
            </w:r>
          </w:p>
        </w:tc>
        <w:tc>
          <w:tcPr>
            <w:tcW w:w="6963" w:type="dxa"/>
            <w:vAlign w:val="bottom"/>
          </w:tcPr>
          <w:p w14:paraId="6838895F" w14:textId="77777777" w:rsidR="00103CFB" w:rsidRPr="00007760" w:rsidRDefault="00103CFB" w:rsidP="00103CFB">
            <w:pPr>
              <w:spacing w:after="0"/>
              <w:ind w:left="0"/>
              <w:rPr>
                <w:color w:val="000000"/>
              </w:rPr>
            </w:pPr>
            <w:r>
              <w:rPr>
                <w:color w:val="000000"/>
              </w:rPr>
              <w:t>Assignments by Origin and Type for Month Ending</w:t>
            </w:r>
          </w:p>
        </w:tc>
      </w:tr>
      <w:tr w:rsidR="00103CFB" w:rsidRPr="00293F5E" w14:paraId="3140E4C4" w14:textId="77777777" w:rsidTr="00A26011">
        <w:trPr>
          <w:trHeight w:val="315"/>
        </w:trPr>
        <w:tc>
          <w:tcPr>
            <w:tcW w:w="684" w:type="dxa"/>
            <w:noWrap/>
            <w:vAlign w:val="bottom"/>
          </w:tcPr>
          <w:p w14:paraId="4242176B" w14:textId="024E9B03" w:rsidR="00103CFB" w:rsidRPr="004B4E82" w:rsidRDefault="00103CFB" w:rsidP="00103CFB">
            <w:pPr>
              <w:spacing w:after="0"/>
              <w:ind w:left="0"/>
              <w:jc w:val="center"/>
              <w:rPr>
                <w:color w:val="000000"/>
                <w:szCs w:val="22"/>
              </w:rPr>
            </w:pPr>
            <w:r>
              <w:rPr>
                <w:color w:val="000000"/>
                <w:szCs w:val="22"/>
              </w:rPr>
              <w:t>163</w:t>
            </w:r>
          </w:p>
        </w:tc>
        <w:tc>
          <w:tcPr>
            <w:tcW w:w="1677" w:type="dxa"/>
            <w:noWrap/>
            <w:vAlign w:val="bottom"/>
          </w:tcPr>
          <w:p w14:paraId="7C893F81"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38563DB0" w14:textId="77777777" w:rsidR="00103CFB" w:rsidRPr="00007760" w:rsidRDefault="00103CFB" w:rsidP="00103CFB">
            <w:pPr>
              <w:spacing w:after="0"/>
              <w:ind w:left="0"/>
              <w:rPr>
                <w:color w:val="000000"/>
              </w:rPr>
            </w:pPr>
            <w:r>
              <w:rPr>
                <w:color w:val="000000"/>
              </w:rPr>
              <w:t>TXMS0010</w:t>
            </w:r>
          </w:p>
        </w:tc>
        <w:tc>
          <w:tcPr>
            <w:tcW w:w="6963" w:type="dxa"/>
            <w:vAlign w:val="bottom"/>
          </w:tcPr>
          <w:p w14:paraId="5F894C4C" w14:textId="77777777" w:rsidR="00103CFB" w:rsidRPr="00007760" w:rsidRDefault="00103CFB" w:rsidP="00103CFB">
            <w:pPr>
              <w:spacing w:after="0"/>
              <w:ind w:left="0"/>
              <w:rPr>
                <w:color w:val="000000"/>
              </w:rPr>
            </w:pPr>
            <w:r>
              <w:rPr>
                <w:color w:val="000000"/>
              </w:rPr>
              <w:t>Monthly My Assignments Report</w:t>
            </w:r>
          </w:p>
        </w:tc>
      </w:tr>
      <w:tr w:rsidR="00103CFB" w:rsidRPr="00293F5E" w14:paraId="49912F57" w14:textId="77777777" w:rsidTr="00A26011">
        <w:trPr>
          <w:trHeight w:val="315"/>
        </w:trPr>
        <w:tc>
          <w:tcPr>
            <w:tcW w:w="684" w:type="dxa"/>
            <w:noWrap/>
            <w:vAlign w:val="bottom"/>
          </w:tcPr>
          <w:p w14:paraId="2194EEEC" w14:textId="5F1E9413" w:rsidR="00103CFB" w:rsidRPr="004B4E82" w:rsidRDefault="00103CFB" w:rsidP="00103CFB">
            <w:pPr>
              <w:spacing w:after="0"/>
              <w:ind w:left="0"/>
              <w:jc w:val="center"/>
              <w:rPr>
                <w:color w:val="000000"/>
                <w:szCs w:val="22"/>
              </w:rPr>
            </w:pPr>
            <w:r>
              <w:rPr>
                <w:szCs w:val="22"/>
              </w:rPr>
              <w:t>164</w:t>
            </w:r>
          </w:p>
        </w:tc>
        <w:tc>
          <w:tcPr>
            <w:tcW w:w="1677" w:type="dxa"/>
            <w:noWrap/>
            <w:vAlign w:val="bottom"/>
          </w:tcPr>
          <w:p w14:paraId="699EA4A8"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061FA178" w14:textId="77777777" w:rsidR="00103CFB" w:rsidRPr="00007760" w:rsidRDefault="00103CFB" w:rsidP="00103CFB">
            <w:pPr>
              <w:spacing w:after="0"/>
              <w:ind w:left="0"/>
              <w:rPr>
                <w:color w:val="000000"/>
              </w:rPr>
            </w:pPr>
            <w:r>
              <w:rPr>
                <w:color w:val="000000"/>
              </w:rPr>
              <w:t>TXMS0010</w:t>
            </w:r>
          </w:p>
        </w:tc>
        <w:tc>
          <w:tcPr>
            <w:tcW w:w="6963" w:type="dxa"/>
            <w:vAlign w:val="bottom"/>
          </w:tcPr>
          <w:p w14:paraId="0682234F" w14:textId="77777777" w:rsidR="00103CFB" w:rsidRPr="00007760" w:rsidRDefault="00103CFB" w:rsidP="00103CFB">
            <w:pPr>
              <w:spacing w:after="0"/>
              <w:ind w:left="0"/>
              <w:rPr>
                <w:color w:val="000000"/>
              </w:rPr>
            </w:pPr>
            <w:r>
              <w:rPr>
                <w:color w:val="000000"/>
              </w:rPr>
              <w:t>Monthly My Registrations Report</w:t>
            </w:r>
          </w:p>
        </w:tc>
      </w:tr>
      <w:tr w:rsidR="00103CFB" w:rsidRPr="00293F5E" w14:paraId="0F3623EF" w14:textId="77777777" w:rsidTr="00A26011">
        <w:trPr>
          <w:trHeight w:val="315"/>
        </w:trPr>
        <w:tc>
          <w:tcPr>
            <w:tcW w:w="684" w:type="dxa"/>
            <w:noWrap/>
            <w:vAlign w:val="bottom"/>
          </w:tcPr>
          <w:p w14:paraId="61D20BCC" w14:textId="738EFD2F" w:rsidR="00103CFB" w:rsidRDefault="00103CFB" w:rsidP="00103CFB">
            <w:pPr>
              <w:spacing w:after="0"/>
              <w:ind w:left="0"/>
              <w:jc w:val="center"/>
              <w:rPr>
                <w:rFonts w:ascii="Calibri" w:hAnsi="Calibri" w:cs="Calibri"/>
                <w:color w:val="000000"/>
                <w:szCs w:val="22"/>
              </w:rPr>
            </w:pPr>
            <w:r>
              <w:rPr>
                <w:color w:val="000000"/>
                <w:szCs w:val="22"/>
              </w:rPr>
              <w:t>165</w:t>
            </w:r>
          </w:p>
        </w:tc>
        <w:tc>
          <w:tcPr>
            <w:tcW w:w="1677" w:type="dxa"/>
            <w:noWrap/>
            <w:vAlign w:val="bottom"/>
          </w:tcPr>
          <w:p w14:paraId="521B803A"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0413193A" w14:textId="77777777" w:rsidR="00103CFB" w:rsidRPr="00007760" w:rsidRDefault="00103CFB" w:rsidP="00103CFB">
            <w:pPr>
              <w:spacing w:after="0"/>
              <w:ind w:left="0"/>
              <w:rPr>
                <w:color w:val="000000"/>
              </w:rPr>
            </w:pPr>
            <w:r>
              <w:rPr>
                <w:color w:val="000000"/>
              </w:rPr>
              <w:t>TXMS0010</w:t>
            </w:r>
          </w:p>
        </w:tc>
        <w:tc>
          <w:tcPr>
            <w:tcW w:w="6963" w:type="dxa"/>
            <w:vAlign w:val="bottom"/>
          </w:tcPr>
          <w:p w14:paraId="6BBB659D" w14:textId="77777777" w:rsidR="00103CFB" w:rsidRPr="00007760" w:rsidRDefault="00103CFB" w:rsidP="00103CFB">
            <w:pPr>
              <w:spacing w:after="0"/>
              <w:ind w:left="0"/>
              <w:rPr>
                <w:color w:val="000000"/>
              </w:rPr>
            </w:pPr>
            <w:r>
              <w:rPr>
                <w:color w:val="000000"/>
              </w:rPr>
              <w:t>Monthly Status Address Totals for Tax Examiners</w:t>
            </w:r>
          </w:p>
        </w:tc>
      </w:tr>
      <w:tr w:rsidR="00103CFB" w:rsidRPr="00293F5E" w14:paraId="560FFDD5" w14:textId="77777777" w:rsidTr="00A26011">
        <w:trPr>
          <w:trHeight w:val="315"/>
        </w:trPr>
        <w:tc>
          <w:tcPr>
            <w:tcW w:w="684" w:type="dxa"/>
            <w:noWrap/>
            <w:vAlign w:val="bottom"/>
          </w:tcPr>
          <w:p w14:paraId="2B0D50E2" w14:textId="76C4DF81" w:rsidR="00103CFB" w:rsidRDefault="00103CFB" w:rsidP="00103CFB">
            <w:pPr>
              <w:spacing w:after="0"/>
              <w:ind w:left="0"/>
              <w:jc w:val="center"/>
              <w:rPr>
                <w:rFonts w:ascii="Calibri" w:hAnsi="Calibri" w:cs="Calibri"/>
                <w:color w:val="000000"/>
                <w:szCs w:val="22"/>
              </w:rPr>
            </w:pPr>
            <w:r>
              <w:rPr>
                <w:szCs w:val="22"/>
              </w:rPr>
              <w:t>166</w:t>
            </w:r>
          </w:p>
        </w:tc>
        <w:tc>
          <w:tcPr>
            <w:tcW w:w="1677" w:type="dxa"/>
            <w:noWrap/>
            <w:vAlign w:val="bottom"/>
          </w:tcPr>
          <w:p w14:paraId="38E4A566"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36AA15D8" w14:textId="77777777" w:rsidR="00103CFB" w:rsidRPr="00007760" w:rsidRDefault="00103CFB" w:rsidP="00103CFB">
            <w:pPr>
              <w:spacing w:after="0"/>
              <w:ind w:left="0"/>
              <w:rPr>
                <w:color w:val="000000"/>
              </w:rPr>
            </w:pPr>
            <w:r>
              <w:rPr>
                <w:color w:val="000000"/>
              </w:rPr>
              <w:t>TXMS0010</w:t>
            </w:r>
          </w:p>
        </w:tc>
        <w:tc>
          <w:tcPr>
            <w:tcW w:w="6963" w:type="dxa"/>
            <w:vAlign w:val="bottom"/>
          </w:tcPr>
          <w:p w14:paraId="3614C680" w14:textId="77777777" w:rsidR="00103CFB" w:rsidRPr="00007760" w:rsidRDefault="00103CFB" w:rsidP="00103CFB">
            <w:pPr>
              <w:spacing w:after="0"/>
              <w:ind w:left="0"/>
              <w:rPr>
                <w:color w:val="000000"/>
              </w:rPr>
            </w:pPr>
            <w:r>
              <w:rPr>
                <w:color w:val="000000"/>
              </w:rPr>
              <w:t>Monthly Status C10 Totals for Tax Examiners</w:t>
            </w:r>
          </w:p>
        </w:tc>
      </w:tr>
      <w:tr w:rsidR="00103CFB" w:rsidRPr="00293F5E" w14:paraId="111F0A32" w14:textId="77777777" w:rsidTr="00A26011">
        <w:trPr>
          <w:trHeight w:val="315"/>
        </w:trPr>
        <w:tc>
          <w:tcPr>
            <w:tcW w:w="684" w:type="dxa"/>
            <w:noWrap/>
            <w:vAlign w:val="bottom"/>
          </w:tcPr>
          <w:p w14:paraId="3E89AC58" w14:textId="3BA28182" w:rsidR="00103CFB" w:rsidRPr="004B4E82" w:rsidRDefault="00103CFB" w:rsidP="00103CFB">
            <w:pPr>
              <w:spacing w:after="0"/>
              <w:ind w:left="0"/>
              <w:jc w:val="center"/>
              <w:rPr>
                <w:color w:val="000000"/>
                <w:szCs w:val="22"/>
              </w:rPr>
            </w:pPr>
            <w:r>
              <w:rPr>
                <w:color w:val="000000"/>
                <w:szCs w:val="22"/>
              </w:rPr>
              <w:t>167</w:t>
            </w:r>
          </w:p>
        </w:tc>
        <w:tc>
          <w:tcPr>
            <w:tcW w:w="1677" w:type="dxa"/>
            <w:noWrap/>
            <w:vAlign w:val="bottom"/>
          </w:tcPr>
          <w:p w14:paraId="42A58F40"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64755793" w14:textId="77777777" w:rsidR="00103CFB" w:rsidRPr="00007760" w:rsidRDefault="00103CFB" w:rsidP="00103CFB">
            <w:pPr>
              <w:spacing w:after="0"/>
              <w:ind w:left="0"/>
              <w:rPr>
                <w:color w:val="000000"/>
              </w:rPr>
            </w:pPr>
            <w:r>
              <w:rPr>
                <w:color w:val="000000"/>
              </w:rPr>
              <w:t>TXMS0010</w:t>
            </w:r>
          </w:p>
        </w:tc>
        <w:tc>
          <w:tcPr>
            <w:tcW w:w="6963" w:type="dxa"/>
            <w:vAlign w:val="bottom"/>
          </w:tcPr>
          <w:p w14:paraId="04AD8DA1" w14:textId="77777777" w:rsidR="00103CFB" w:rsidRPr="00007760" w:rsidRDefault="00103CFB" w:rsidP="00103CFB">
            <w:pPr>
              <w:spacing w:after="0"/>
              <w:ind w:left="0"/>
              <w:rPr>
                <w:color w:val="000000"/>
              </w:rPr>
            </w:pPr>
            <w:r>
              <w:rPr>
                <w:color w:val="000000"/>
              </w:rPr>
              <w:t>Monthly Status C10P Totals for Tax Examiners</w:t>
            </w:r>
          </w:p>
        </w:tc>
      </w:tr>
      <w:tr w:rsidR="00103CFB" w:rsidRPr="00293F5E" w14:paraId="14BAAE23" w14:textId="77777777" w:rsidTr="00A26011">
        <w:trPr>
          <w:trHeight w:val="315"/>
        </w:trPr>
        <w:tc>
          <w:tcPr>
            <w:tcW w:w="684" w:type="dxa"/>
            <w:noWrap/>
            <w:vAlign w:val="bottom"/>
          </w:tcPr>
          <w:p w14:paraId="6ED6D62F" w14:textId="4CC20D8A" w:rsidR="00103CFB" w:rsidRDefault="00103CFB" w:rsidP="00103CFB">
            <w:pPr>
              <w:spacing w:after="0"/>
              <w:ind w:left="0"/>
              <w:jc w:val="center"/>
              <w:rPr>
                <w:rFonts w:ascii="Calibri" w:hAnsi="Calibri" w:cs="Calibri"/>
                <w:color w:val="000000"/>
                <w:szCs w:val="22"/>
              </w:rPr>
            </w:pPr>
            <w:r>
              <w:rPr>
                <w:szCs w:val="22"/>
              </w:rPr>
              <w:t>168</w:t>
            </w:r>
          </w:p>
        </w:tc>
        <w:tc>
          <w:tcPr>
            <w:tcW w:w="1677" w:type="dxa"/>
            <w:noWrap/>
            <w:vAlign w:val="bottom"/>
          </w:tcPr>
          <w:p w14:paraId="42E3C7DA"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3776DCEC" w14:textId="77777777" w:rsidR="00103CFB" w:rsidRPr="00007760" w:rsidRDefault="00103CFB" w:rsidP="00103CFB">
            <w:pPr>
              <w:spacing w:after="0"/>
              <w:ind w:left="0"/>
              <w:rPr>
                <w:color w:val="000000"/>
              </w:rPr>
            </w:pPr>
            <w:r>
              <w:rPr>
                <w:color w:val="000000"/>
              </w:rPr>
              <w:t>TXMS0010</w:t>
            </w:r>
          </w:p>
        </w:tc>
        <w:tc>
          <w:tcPr>
            <w:tcW w:w="6963" w:type="dxa"/>
            <w:vAlign w:val="bottom"/>
          </w:tcPr>
          <w:p w14:paraId="660624B2" w14:textId="77777777" w:rsidR="00103CFB" w:rsidRPr="00007760" w:rsidRDefault="00103CFB" w:rsidP="00103CFB">
            <w:pPr>
              <w:spacing w:after="0"/>
              <w:ind w:left="0"/>
              <w:rPr>
                <w:color w:val="000000"/>
              </w:rPr>
            </w:pPr>
            <w:r>
              <w:rPr>
                <w:color w:val="000000"/>
              </w:rPr>
              <w:t>Monthly Status Suspend Totals for Tax Examiners</w:t>
            </w:r>
          </w:p>
        </w:tc>
      </w:tr>
      <w:tr w:rsidR="00103CFB" w:rsidRPr="00293F5E" w14:paraId="74EA33EA" w14:textId="77777777" w:rsidTr="00A26011">
        <w:trPr>
          <w:trHeight w:val="315"/>
        </w:trPr>
        <w:tc>
          <w:tcPr>
            <w:tcW w:w="684" w:type="dxa"/>
            <w:noWrap/>
            <w:vAlign w:val="bottom"/>
          </w:tcPr>
          <w:p w14:paraId="58B736A7" w14:textId="29BBB503" w:rsidR="00103CFB" w:rsidRPr="004B4E82" w:rsidRDefault="00103CFB" w:rsidP="00103CFB">
            <w:pPr>
              <w:spacing w:after="0"/>
              <w:ind w:left="0"/>
              <w:jc w:val="center"/>
              <w:rPr>
                <w:color w:val="000000"/>
                <w:szCs w:val="22"/>
              </w:rPr>
            </w:pPr>
            <w:r>
              <w:rPr>
                <w:color w:val="000000"/>
                <w:szCs w:val="22"/>
              </w:rPr>
              <w:t>169</w:t>
            </w:r>
          </w:p>
        </w:tc>
        <w:tc>
          <w:tcPr>
            <w:tcW w:w="1677" w:type="dxa"/>
            <w:noWrap/>
            <w:vAlign w:val="bottom"/>
          </w:tcPr>
          <w:p w14:paraId="07B87884"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4AF41D3E" w14:textId="77777777" w:rsidR="00103CFB" w:rsidRPr="00007760" w:rsidRDefault="00103CFB" w:rsidP="00103CFB">
            <w:pPr>
              <w:spacing w:after="0"/>
              <w:ind w:left="0"/>
              <w:rPr>
                <w:color w:val="000000"/>
              </w:rPr>
            </w:pPr>
            <w:r>
              <w:rPr>
                <w:color w:val="000000"/>
              </w:rPr>
              <w:t>TXMS0010</w:t>
            </w:r>
          </w:p>
        </w:tc>
        <w:tc>
          <w:tcPr>
            <w:tcW w:w="6963" w:type="dxa"/>
            <w:vAlign w:val="bottom"/>
          </w:tcPr>
          <w:p w14:paraId="1212C3B2" w14:textId="77777777" w:rsidR="00103CFB" w:rsidRPr="00007760" w:rsidRDefault="00103CFB" w:rsidP="00103CFB">
            <w:pPr>
              <w:spacing w:after="0"/>
              <w:ind w:left="0"/>
              <w:rPr>
                <w:color w:val="000000"/>
              </w:rPr>
            </w:pPr>
            <w:r>
              <w:rPr>
                <w:color w:val="000000"/>
              </w:rPr>
              <w:t>Monthly Status Totals for Tax Examiners</w:t>
            </w:r>
          </w:p>
        </w:tc>
      </w:tr>
      <w:tr w:rsidR="00103CFB" w:rsidRPr="00293F5E" w14:paraId="13468490" w14:textId="77777777" w:rsidTr="00A26011">
        <w:trPr>
          <w:trHeight w:val="315"/>
        </w:trPr>
        <w:tc>
          <w:tcPr>
            <w:tcW w:w="684" w:type="dxa"/>
            <w:noWrap/>
            <w:vAlign w:val="bottom"/>
          </w:tcPr>
          <w:p w14:paraId="57D6974F" w14:textId="4A6C4ADC" w:rsidR="00103CFB" w:rsidRPr="004B4E82" w:rsidRDefault="00103CFB" w:rsidP="00103CFB">
            <w:pPr>
              <w:spacing w:after="0"/>
              <w:ind w:left="0"/>
              <w:jc w:val="center"/>
              <w:rPr>
                <w:color w:val="000000"/>
                <w:szCs w:val="22"/>
              </w:rPr>
            </w:pPr>
            <w:r>
              <w:rPr>
                <w:szCs w:val="22"/>
              </w:rPr>
              <w:t>170</w:t>
            </w:r>
          </w:p>
        </w:tc>
        <w:tc>
          <w:tcPr>
            <w:tcW w:w="1677" w:type="dxa"/>
            <w:noWrap/>
            <w:vAlign w:val="bottom"/>
          </w:tcPr>
          <w:p w14:paraId="5E77A2EA"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2EB1D675" w14:textId="77777777" w:rsidR="00103CFB" w:rsidRPr="00007760" w:rsidRDefault="00103CFB" w:rsidP="00103CFB">
            <w:pPr>
              <w:spacing w:after="0"/>
              <w:ind w:left="0"/>
              <w:rPr>
                <w:color w:val="000000"/>
              </w:rPr>
            </w:pPr>
            <w:r>
              <w:rPr>
                <w:color w:val="000000"/>
              </w:rPr>
              <w:t>TXMS0010</w:t>
            </w:r>
          </w:p>
        </w:tc>
        <w:tc>
          <w:tcPr>
            <w:tcW w:w="6963" w:type="dxa"/>
            <w:vAlign w:val="bottom"/>
          </w:tcPr>
          <w:p w14:paraId="777D0C1C" w14:textId="77777777" w:rsidR="00103CFB" w:rsidRPr="00007760" w:rsidRDefault="00103CFB" w:rsidP="00103CFB">
            <w:pPr>
              <w:spacing w:after="0"/>
              <w:ind w:left="0"/>
              <w:rPr>
                <w:color w:val="000000"/>
              </w:rPr>
            </w:pPr>
            <w:r>
              <w:rPr>
                <w:color w:val="000000"/>
              </w:rPr>
              <w:t>Total and Partial Transfer Activity Report</w:t>
            </w:r>
          </w:p>
        </w:tc>
      </w:tr>
      <w:tr w:rsidR="00103CFB" w:rsidRPr="00293F5E" w14:paraId="1F280723" w14:textId="77777777" w:rsidTr="00A26011">
        <w:trPr>
          <w:trHeight w:val="315"/>
        </w:trPr>
        <w:tc>
          <w:tcPr>
            <w:tcW w:w="684" w:type="dxa"/>
            <w:noWrap/>
            <w:vAlign w:val="bottom"/>
          </w:tcPr>
          <w:p w14:paraId="13583B7E" w14:textId="5FB0CF2F" w:rsidR="00103CFB" w:rsidRPr="004B4E82" w:rsidRDefault="00103CFB" w:rsidP="00103CFB">
            <w:pPr>
              <w:spacing w:after="0"/>
              <w:ind w:left="0"/>
              <w:jc w:val="center"/>
              <w:rPr>
                <w:color w:val="000000"/>
                <w:szCs w:val="22"/>
              </w:rPr>
            </w:pPr>
            <w:r>
              <w:rPr>
                <w:color w:val="000000"/>
                <w:szCs w:val="22"/>
              </w:rPr>
              <w:t>171</w:t>
            </w:r>
          </w:p>
        </w:tc>
        <w:tc>
          <w:tcPr>
            <w:tcW w:w="1677" w:type="dxa"/>
            <w:noWrap/>
            <w:vAlign w:val="bottom"/>
          </w:tcPr>
          <w:p w14:paraId="3AEF0693"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7EDBF8E9" w14:textId="77777777" w:rsidR="00103CFB" w:rsidRPr="00007760" w:rsidRDefault="00103CFB" w:rsidP="00103CFB">
            <w:pPr>
              <w:spacing w:after="0"/>
              <w:ind w:left="0"/>
              <w:rPr>
                <w:color w:val="000000"/>
              </w:rPr>
            </w:pPr>
            <w:r>
              <w:rPr>
                <w:color w:val="000000"/>
              </w:rPr>
              <w:t>TXMS0011</w:t>
            </w:r>
          </w:p>
        </w:tc>
        <w:tc>
          <w:tcPr>
            <w:tcW w:w="6963" w:type="dxa"/>
            <w:vAlign w:val="bottom"/>
          </w:tcPr>
          <w:p w14:paraId="57E8F5BC" w14:textId="77777777" w:rsidR="00103CFB" w:rsidRPr="00007760" w:rsidRDefault="00103CFB" w:rsidP="00103CFB">
            <w:pPr>
              <w:spacing w:after="0"/>
              <w:ind w:left="0"/>
              <w:rPr>
                <w:color w:val="000000"/>
              </w:rPr>
            </w:pPr>
            <w:r>
              <w:rPr>
                <w:color w:val="000000"/>
              </w:rPr>
              <w:t>Month to Date RQC Performance Measures</w:t>
            </w:r>
          </w:p>
        </w:tc>
      </w:tr>
      <w:tr w:rsidR="00103CFB" w:rsidRPr="00293F5E" w14:paraId="57724468" w14:textId="77777777" w:rsidTr="00A26011">
        <w:trPr>
          <w:trHeight w:val="315"/>
        </w:trPr>
        <w:tc>
          <w:tcPr>
            <w:tcW w:w="684" w:type="dxa"/>
            <w:noWrap/>
            <w:vAlign w:val="bottom"/>
          </w:tcPr>
          <w:p w14:paraId="5DA69B63" w14:textId="0137BA10" w:rsidR="00103CFB" w:rsidRPr="004B4E82" w:rsidRDefault="00103CFB" w:rsidP="00103CFB">
            <w:pPr>
              <w:spacing w:after="0"/>
              <w:ind w:left="0"/>
              <w:jc w:val="center"/>
              <w:rPr>
                <w:color w:val="000000"/>
                <w:szCs w:val="22"/>
              </w:rPr>
            </w:pPr>
            <w:r>
              <w:rPr>
                <w:szCs w:val="22"/>
              </w:rPr>
              <w:t>172</w:t>
            </w:r>
          </w:p>
        </w:tc>
        <w:tc>
          <w:tcPr>
            <w:tcW w:w="1677" w:type="dxa"/>
            <w:noWrap/>
            <w:vAlign w:val="bottom"/>
          </w:tcPr>
          <w:p w14:paraId="5BA3FE5A"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3D61B749" w14:textId="77777777" w:rsidR="00103CFB" w:rsidRPr="00007760" w:rsidRDefault="00103CFB" w:rsidP="00103CFB">
            <w:pPr>
              <w:spacing w:after="0"/>
              <w:ind w:left="0"/>
              <w:rPr>
                <w:color w:val="000000"/>
              </w:rPr>
            </w:pPr>
            <w:r>
              <w:rPr>
                <w:color w:val="000000"/>
              </w:rPr>
              <w:t>TXMS0031</w:t>
            </w:r>
          </w:p>
        </w:tc>
        <w:tc>
          <w:tcPr>
            <w:tcW w:w="6963" w:type="dxa"/>
            <w:vAlign w:val="bottom"/>
          </w:tcPr>
          <w:p w14:paraId="68C13745" w14:textId="77777777" w:rsidR="00103CFB" w:rsidRPr="00007760" w:rsidRDefault="00103CFB" w:rsidP="00103CFB">
            <w:pPr>
              <w:spacing w:after="0"/>
              <w:ind w:left="0"/>
              <w:rPr>
                <w:color w:val="000000"/>
              </w:rPr>
            </w:pPr>
            <w:r>
              <w:rPr>
                <w:color w:val="000000"/>
              </w:rPr>
              <w:t>Secretary of State Statistics</w:t>
            </w:r>
          </w:p>
        </w:tc>
      </w:tr>
      <w:tr w:rsidR="00103CFB" w:rsidRPr="00293F5E" w14:paraId="649F5110" w14:textId="77777777" w:rsidTr="00A26011">
        <w:trPr>
          <w:trHeight w:val="315"/>
        </w:trPr>
        <w:tc>
          <w:tcPr>
            <w:tcW w:w="684" w:type="dxa"/>
            <w:noWrap/>
            <w:vAlign w:val="bottom"/>
          </w:tcPr>
          <w:p w14:paraId="55B72AAA" w14:textId="0C4048DA" w:rsidR="00103CFB" w:rsidRDefault="00103CFB" w:rsidP="00103CFB">
            <w:pPr>
              <w:spacing w:after="0"/>
              <w:ind w:left="0"/>
              <w:jc w:val="center"/>
              <w:rPr>
                <w:rFonts w:ascii="Calibri" w:hAnsi="Calibri" w:cs="Calibri"/>
                <w:color w:val="000000"/>
                <w:szCs w:val="22"/>
              </w:rPr>
            </w:pPr>
            <w:r>
              <w:rPr>
                <w:color w:val="000000"/>
                <w:szCs w:val="22"/>
              </w:rPr>
              <w:t>173</w:t>
            </w:r>
          </w:p>
        </w:tc>
        <w:tc>
          <w:tcPr>
            <w:tcW w:w="1677" w:type="dxa"/>
            <w:noWrap/>
            <w:vAlign w:val="bottom"/>
          </w:tcPr>
          <w:p w14:paraId="6EEC9046"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0467C971" w14:textId="77777777" w:rsidR="00103CFB" w:rsidRPr="00007760" w:rsidRDefault="00103CFB" w:rsidP="00103CFB">
            <w:pPr>
              <w:spacing w:after="0"/>
              <w:ind w:left="0"/>
              <w:rPr>
                <w:color w:val="000000"/>
              </w:rPr>
            </w:pPr>
            <w:r>
              <w:rPr>
                <w:color w:val="000000"/>
              </w:rPr>
              <w:t>TXMS0040</w:t>
            </w:r>
          </w:p>
        </w:tc>
        <w:tc>
          <w:tcPr>
            <w:tcW w:w="6963" w:type="dxa"/>
            <w:vAlign w:val="bottom"/>
          </w:tcPr>
          <w:p w14:paraId="1CA798D8" w14:textId="77777777" w:rsidR="00103CFB" w:rsidRPr="00007760" w:rsidRDefault="00103CFB" w:rsidP="00103CFB">
            <w:pPr>
              <w:spacing w:after="0"/>
              <w:ind w:left="0"/>
              <w:rPr>
                <w:color w:val="000000"/>
              </w:rPr>
            </w:pPr>
            <w:r>
              <w:rPr>
                <w:color w:val="000000"/>
              </w:rPr>
              <w:t>Audit Rejects by Accounts Examiner</w:t>
            </w:r>
          </w:p>
        </w:tc>
      </w:tr>
      <w:tr w:rsidR="00103CFB" w:rsidRPr="00293F5E" w14:paraId="118FF629" w14:textId="77777777" w:rsidTr="00A26011">
        <w:trPr>
          <w:trHeight w:val="315"/>
        </w:trPr>
        <w:tc>
          <w:tcPr>
            <w:tcW w:w="684" w:type="dxa"/>
            <w:noWrap/>
            <w:vAlign w:val="bottom"/>
          </w:tcPr>
          <w:p w14:paraId="4EF5AE4D" w14:textId="044A0E3C" w:rsidR="00103CFB" w:rsidRDefault="00103CFB" w:rsidP="00103CFB">
            <w:pPr>
              <w:spacing w:after="0"/>
              <w:ind w:left="0"/>
              <w:jc w:val="center"/>
              <w:rPr>
                <w:rFonts w:ascii="Calibri" w:hAnsi="Calibri" w:cs="Calibri"/>
                <w:color w:val="000000"/>
                <w:szCs w:val="22"/>
              </w:rPr>
            </w:pPr>
            <w:r>
              <w:rPr>
                <w:szCs w:val="22"/>
              </w:rPr>
              <w:t>174</w:t>
            </w:r>
          </w:p>
        </w:tc>
        <w:tc>
          <w:tcPr>
            <w:tcW w:w="1677" w:type="dxa"/>
            <w:noWrap/>
            <w:vAlign w:val="bottom"/>
          </w:tcPr>
          <w:p w14:paraId="422C917F"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42D68097" w14:textId="77777777" w:rsidR="00103CFB" w:rsidRPr="00007760" w:rsidRDefault="00103CFB" w:rsidP="00103CFB">
            <w:pPr>
              <w:spacing w:after="0"/>
              <w:ind w:left="0"/>
              <w:rPr>
                <w:color w:val="000000"/>
              </w:rPr>
            </w:pPr>
            <w:r>
              <w:rPr>
                <w:color w:val="000000"/>
              </w:rPr>
              <w:t>TXMS0040</w:t>
            </w:r>
          </w:p>
        </w:tc>
        <w:tc>
          <w:tcPr>
            <w:tcW w:w="6963" w:type="dxa"/>
            <w:vAlign w:val="bottom"/>
          </w:tcPr>
          <w:p w14:paraId="3A0FF753" w14:textId="77777777" w:rsidR="00103CFB" w:rsidRPr="00007760" w:rsidRDefault="00103CFB" w:rsidP="00103CFB">
            <w:pPr>
              <w:spacing w:after="0"/>
              <w:ind w:left="0"/>
              <w:rPr>
                <w:color w:val="000000"/>
              </w:rPr>
            </w:pPr>
            <w:r>
              <w:rPr>
                <w:color w:val="000000"/>
              </w:rPr>
              <w:t>Monthly B27 Report</w:t>
            </w:r>
          </w:p>
        </w:tc>
      </w:tr>
      <w:tr w:rsidR="00103CFB" w:rsidRPr="00293F5E" w14:paraId="46E75CAD" w14:textId="77777777" w:rsidTr="00A26011">
        <w:trPr>
          <w:trHeight w:val="315"/>
        </w:trPr>
        <w:tc>
          <w:tcPr>
            <w:tcW w:w="684" w:type="dxa"/>
            <w:noWrap/>
            <w:vAlign w:val="bottom"/>
          </w:tcPr>
          <w:p w14:paraId="5AE32F8D" w14:textId="27633279" w:rsidR="00103CFB" w:rsidRDefault="00103CFB" w:rsidP="00103CFB">
            <w:pPr>
              <w:spacing w:after="0"/>
              <w:ind w:left="0"/>
              <w:jc w:val="center"/>
              <w:rPr>
                <w:rFonts w:ascii="Calibri" w:hAnsi="Calibri" w:cs="Calibri"/>
                <w:color w:val="000000"/>
                <w:szCs w:val="22"/>
              </w:rPr>
            </w:pPr>
            <w:r>
              <w:rPr>
                <w:color w:val="000000"/>
                <w:szCs w:val="22"/>
              </w:rPr>
              <w:t>175</w:t>
            </w:r>
          </w:p>
        </w:tc>
        <w:tc>
          <w:tcPr>
            <w:tcW w:w="1677" w:type="dxa"/>
            <w:noWrap/>
            <w:vAlign w:val="bottom"/>
          </w:tcPr>
          <w:p w14:paraId="58A417F3"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2A37BC6A" w14:textId="77777777" w:rsidR="00103CFB" w:rsidRPr="00007760" w:rsidRDefault="00103CFB" w:rsidP="00103CFB">
            <w:pPr>
              <w:spacing w:after="0"/>
              <w:ind w:left="0"/>
              <w:rPr>
                <w:color w:val="000000"/>
              </w:rPr>
            </w:pPr>
            <w:r>
              <w:rPr>
                <w:color w:val="000000"/>
              </w:rPr>
              <w:t>TXMS0040</w:t>
            </w:r>
          </w:p>
        </w:tc>
        <w:tc>
          <w:tcPr>
            <w:tcW w:w="6963" w:type="dxa"/>
            <w:vAlign w:val="bottom"/>
          </w:tcPr>
          <w:p w14:paraId="37440101" w14:textId="77777777" w:rsidR="00103CFB" w:rsidRPr="00007760" w:rsidRDefault="00103CFB" w:rsidP="00103CFB">
            <w:pPr>
              <w:spacing w:after="0"/>
              <w:ind w:left="0"/>
              <w:rPr>
                <w:color w:val="000000"/>
              </w:rPr>
            </w:pPr>
            <w:r>
              <w:rPr>
                <w:color w:val="000000"/>
              </w:rPr>
              <w:t>Monthly C1A Report</w:t>
            </w:r>
          </w:p>
        </w:tc>
      </w:tr>
      <w:tr w:rsidR="00103CFB" w:rsidRPr="00293F5E" w14:paraId="7C8B99CC" w14:textId="77777777" w:rsidTr="00A26011">
        <w:trPr>
          <w:trHeight w:val="315"/>
        </w:trPr>
        <w:tc>
          <w:tcPr>
            <w:tcW w:w="684" w:type="dxa"/>
            <w:noWrap/>
            <w:vAlign w:val="bottom"/>
          </w:tcPr>
          <w:p w14:paraId="34DB4678" w14:textId="03784BEF" w:rsidR="00103CFB" w:rsidRDefault="00103CFB" w:rsidP="00103CFB">
            <w:pPr>
              <w:spacing w:after="0"/>
              <w:ind w:left="0"/>
              <w:jc w:val="center"/>
              <w:rPr>
                <w:rFonts w:ascii="Calibri" w:hAnsi="Calibri" w:cs="Calibri"/>
                <w:color w:val="000000"/>
                <w:szCs w:val="22"/>
              </w:rPr>
            </w:pPr>
            <w:r w:rsidRPr="004B4E82">
              <w:rPr>
                <w:color w:val="000000"/>
                <w:szCs w:val="22"/>
              </w:rPr>
              <w:t>176</w:t>
            </w:r>
          </w:p>
        </w:tc>
        <w:tc>
          <w:tcPr>
            <w:tcW w:w="1677" w:type="dxa"/>
            <w:noWrap/>
            <w:vAlign w:val="bottom"/>
          </w:tcPr>
          <w:p w14:paraId="5B2B3977"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24487C33" w14:textId="77777777" w:rsidR="00103CFB" w:rsidRPr="00007760" w:rsidRDefault="00103CFB" w:rsidP="00103CFB">
            <w:pPr>
              <w:spacing w:after="0"/>
              <w:ind w:left="0"/>
              <w:rPr>
                <w:color w:val="000000"/>
              </w:rPr>
            </w:pPr>
            <w:r>
              <w:rPr>
                <w:color w:val="000000"/>
              </w:rPr>
              <w:t>TXMS0040</w:t>
            </w:r>
          </w:p>
        </w:tc>
        <w:tc>
          <w:tcPr>
            <w:tcW w:w="6963" w:type="dxa"/>
            <w:vAlign w:val="bottom"/>
          </w:tcPr>
          <w:p w14:paraId="0BD16E92" w14:textId="77777777" w:rsidR="00103CFB" w:rsidRPr="00007760" w:rsidRDefault="00103CFB" w:rsidP="00103CFB">
            <w:pPr>
              <w:spacing w:after="0"/>
              <w:ind w:left="0"/>
              <w:rPr>
                <w:color w:val="000000"/>
              </w:rPr>
            </w:pPr>
            <w:r>
              <w:rPr>
                <w:color w:val="000000"/>
              </w:rPr>
              <w:t>Monthly C1N Report</w:t>
            </w:r>
          </w:p>
        </w:tc>
      </w:tr>
      <w:tr w:rsidR="00103CFB" w:rsidRPr="00293F5E" w14:paraId="0617D246" w14:textId="77777777" w:rsidTr="00A26011">
        <w:trPr>
          <w:trHeight w:val="315"/>
        </w:trPr>
        <w:tc>
          <w:tcPr>
            <w:tcW w:w="684" w:type="dxa"/>
            <w:noWrap/>
            <w:vAlign w:val="bottom"/>
          </w:tcPr>
          <w:p w14:paraId="1298213F" w14:textId="2E61444A" w:rsidR="00103CFB" w:rsidRDefault="00103CFB" w:rsidP="00103CFB">
            <w:pPr>
              <w:spacing w:after="0"/>
              <w:ind w:left="0"/>
              <w:jc w:val="center"/>
              <w:rPr>
                <w:rFonts w:ascii="Calibri" w:hAnsi="Calibri" w:cs="Calibri"/>
                <w:color w:val="000000"/>
                <w:szCs w:val="22"/>
              </w:rPr>
            </w:pPr>
            <w:r>
              <w:rPr>
                <w:color w:val="000000"/>
                <w:szCs w:val="22"/>
              </w:rPr>
              <w:t>177</w:t>
            </w:r>
          </w:p>
        </w:tc>
        <w:tc>
          <w:tcPr>
            <w:tcW w:w="1677" w:type="dxa"/>
            <w:noWrap/>
            <w:vAlign w:val="bottom"/>
          </w:tcPr>
          <w:p w14:paraId="7140245B"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44BFB949" w14:textId="77777777" w:rsidR="00103CFB" w:rsidRPr="00007760" w:rsidRDefault="00103CFB" w:rsidP="00103CFB">
            <w:pPr>
              <w:spacing w:after="0"/>
              <w:ind w:left="0"/>
              <w:rPr>
                <w:color w:val="000000"/>
              </w:rPr>
            </w:pPr>
            <w:r>
              <w:rPr>
                <w:color w:val="000000"/>
              </w:rPr>
              <w:t>TXMS0040</w:t>
            </w:r>
          </w:p>
        </w:tc>
        <w:tc>
          <w:tcPr>
            <w:tcW w:w="6963" w:type="dxa"/>
            <w:vAlign w:val="bottom"/>
          </w:tcPr>
          <w:p w14:paraId="0A33F3AC" w14:textId="77777777" w:rsidR="00103CFB" w:rsidRPr="00007760" w:rsidRDefault="00103CFB" w:rsidP="00103CFB">
            <w:pPr>
              <w:spacing w:after="0"/>
              <w:ind w:left="0"/>
              <w:rPr>
                <w:color w:val="000000"/>
              </w:rPr>
            </w:pPr>
            <w:r>
              <w:rPr>
                <w:color w:val="000000"/>
              </w:rPr>
              <w:t>Monthly C3A Report</w:t>
            </w:r>
          </w:p>
        </w:tc>
      </w:tr>
      <w:tr w:rsidR="00103CFB" w:rsidRPr="00293F5E" w14:paraId="648B8001" w14:textId="77777777" w:rsidTr="00A26011">
        <w:trPr>
          <w:trHeight w:val="315"/>
        </w:trPr>
        <w:tc>
          <w:tcPr>
            <w:tcW w:w="684" w:type="dxa"/>
            <w:noWrap/>
            <w:vAlign w:val="bottom"/>
          </w:tcPr>
          <w:p w14:paraId="5AEA712A" w14:textId="766BFA9C" w:rsidR="00103CFB" w:rsidRDefault="00103CFB" w:rsidP="00103CFB">
            <w:pPr>
              <w:spacing w:after="0"/>
              <w:ind w:left="0"/>
              <w:jc w:val="center"/>
              <w:rPr>
                <w:rFonts w:ascii="Calibri" w:hAnsi="Calibri" w:cs="Calibri"/>
                <w:color w:val="000000"/>
                <w:szCs w:val="22"/>
              </w:rPr>
            </w:pPr>
            <w:r w:rsidRPr="004B4E82">
              <w:rPr>
                <w:color w:val="000000"/>
                <w:szCs w:val="22"/>
              </w:rPr>
              <w:t>178</w:t>
            </w:r>
          </w:p>
        </w:tc>
        <w:tc>
          <w:tcPr>
            <w:tcW w:w="1677" w:type="dxa"/>
            <w:noWrap/>
            <w:vAlign w:val="bottom"/>
          </w:tcPr>
          <w:p w14:paraId="6F0438C3"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10028F3F" w14:textId="77777777" w:rsidR="00103CFB" w:rsidRPr="00007760" w:rsidRDefault="00103CFB" w:rsidP="00103CFB">
            <w:pPr>
              <w:spacing w:after="0"/>
              <w:ind w:left="0"/>
              <w:rPr>
                <w:color w:val="000000"/>
              </w:rPr>
            </w:pPr>
            <w:r>
              <w:rPr>
                <w:color w:val="000000"/>
              </w:rPr>
              <w:t>TXMS0040</w:t>
            </w:r>
          </w:p>
        </w:tc>
        <w:tc>
          <w:tcPr>
            <w:tcW w:w="6963" w:type="dxa"/>
            <w:vAlign w:val="bottom"/>
          </w:tcPr>
          <w:p w14:paraId="4D3E27D9" w14:textId="77777777" w:rsidR="00103CFB" w:rsidRPr="00007760" w:rsidRDefault="00103CFB" w:rsidP="00103CFB">
            <w:pPr>
              <w:spacing w:after="0"/>
              <w:ind w:left="0"/>
              <w:rPr>
                <w:color w:val="000000"/>
              </w:rPr>
            </w:pPr>
            <w:r>
              <w:rPr>
                <w:color w:val="000000"/>
              </w:rPr>
              <w:t>Monthly C3C Report</w:t>
            </w:r>
          </w:p>
        </w:tc>
      </w:tr>
      <w:tr w:rsidR="00103CFB" w:rsidRPr="00293F5E" w14:paraId="2F05024F" w14:textId="77777777" w:rsidTr="00A26011">
        <w:trPr>
          <w:trHeight w:val="315"/>
        </w:trPr>
        <w:tc>
          <w:tcPr>
            <w:tcW w:w="684" w:type="dxa"/>
            <w:noWrap/>
            <w:vAlign w:val="bottom"/>
          </w:tcPr>
          <w:p w14:paraId="56BA8DD7" w14:textId="12CB520F" w:rsidR="00103CFB" w:rsidRDefault="00103CFB" w:rsidP="00103CFB">
            <w:pPr>
              <w:spacing w:after="0"/>
              <w:ind w:left="0"/>
              <w:jc w:val="center"/>
              <w:rPr>
                <w:rFonts w:ascii="Calibri" w:hAnsi="Calibri" w:cs="Calibri"/>
                <w:color w:val="000000"/>
                <w:szCs w:val="22"/>
              </w:rPr>
            </w:pPr>
            <w:r>
              <w:rPr>
                <w:color w:val="000000"/>
                <w:szCs w:val="22"/>
              </w:rPr>
              <w:t>179</w:t>
            </w:r>
          </w:p>
        </w:tc>
        <w:tc>
          <w:tcPr>
            <w:tcW w:w="1677" w:type="dxa"/>
            <w:noWrap/>
            <w:vAlign w:val="bottom"/>
          </w:tcPr>
          <w:p w14:paraId="4DE04506"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2FC4E1CE" w14:textId="77777777" w:rsidR="00103CFB" w:rsidRPr="00007760" w:rsidRDefault="00103CFB" w:rsidP="00103CFB">
            <w:pPr>
              <w:spacing w:after="0"/>
              <w:ind w:left="0"/>
              <w:rPr>
                <w:color w:val="000000"/>
              </w:rPr>
            </w:pPr>
            <w:r>
              <w:rPr>
                <w:color w:val="000000"/>
              </w:rPr>
              <w:t>TXMS0040</w:t>
            </w:r>
          </w:p>
        </w:tc>
        <w:tc>
          <w:tcPr>
            <w:tcW w:w="6963" w:type="dxa"/>
            <w:vAlign w:val="bottom"/>
          </w:tcPr>
          <w:p w14:paraId="2F176185" w14:textId="77777777" w:rsidR="00103CFB" w:rsidRPr="00007760" w:rsidRDefault="00103CFB" w:rsidP="00103CFB">
            <w:pPr>
              <w:spacing w:after="0"/>
              <w:ind w:left="0"/>
              <w:rPr>
                <w:color w:val="000000"/>
              </w:rPr>
            </w:pPr>
            <w:r>
              <w:rPr>
                <w:color w:val="000000"/>
              </w:rPr>
              <w:t>Monthly C3I Report</w:t>
            </w:r>
          </w:p>
        </w:tc>
      </w:tr>
      <w:tr w:rsidR="00103CFB" w:rsidRPr="00293F5E" w14:paraId="6D13967B" w14:textId="77777777" w:rsidTr="00A26011">
        <w:trPr>
          <w:trHeight w:val="315"/>
        </w:trPr>
        <w:tc>
          <w:tcPr>
            <w:tcW w:w="684" w:type="dxa"/>
            <w:noWrap/>
            <w:vAlign w:val="bottom"/>
          </w:tcPr>
          <w:p w14:paraId="6E36661D" w14:textId="3286C3F8" w:rsidR="00103CFB" w:rsidRDefault="00103CFB" w:rsidP="00103CFB">
            <w:pPr>
              <w:spacing w:after="0"/>
              <w:ind w:left="0"/>
              <w:jc w:val="center"/>
              <w:rPr>
                <w:rFonts w:ascii="Calibri" w:hAnsi="Calibri" w:cs="Calibri"/>
                <w:color w:val="000000"/>
                <w:szCs w:val="22"/>
              </w:rPr>
            </w:pPr>
            <w:r w:rsidRPr="004B4E82">
              <w:rPr>
                <w:color w:val="000000"/>
                <w:szCs w:val="22"/>
              </w:rPr>
              <w:t>180</w:t>
            </w:r>
          </w:p>
        </w:tc>
        <w:tc>
          <w:tcPr>
            <w:tcW w:w="1677" w:type="dxa"/>
            <w:noWrap/>
            <w:vAlign w:val="bottom"/>
          </w:tcPr>
          <w:p w14:paraId="37F86970"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4FF1ADC0" w14:textId="77777777" w:rsidR="00103CFB" w:rsidRPr="00007760" w:rsidRDefault="00103CFB" w:rsidP="00103CFB">
            <w:pPr>
              <w:spacing w:after="0"/>
              <w:ind w:left="0"/>
              <w:rPr>
                <w:color w:val="000000"/>
              </w:rPr>
            </w:pPr>
            <w:r>
              <w:rPr>
                <w:color w:val="000000"/>
              </w:rPr>
              <w:t>TXMS0040</w:t>
            </w:r>
          </w:p>
        </w:tc>
        <w:tc>
          <w:tcPr>
            <w:tcW w:w="6963" w:type="dxa"/>
            <w:vAlign w:val="bottom"/>
          </w:tcPr>
          <w:p w14:paraId="05A38435" w14:textId="77777777" w:rsidR="00103CFB" w:rsidRPr="00007760" w:rsidRDefault="00103CFB" w:rsidP="00103CFB">
            <w:pPr>
              <w:spacing w:after="0"/>
              <w:ind w:left="0"/>
              <w:rPr>
                <w:color w:val="000000"/>
              </w:rPr>
            </w:pPr>
            <w:r>
              <w:rPr>
                <w:color w:val="000000"/>
              </w:rPr>
              <w:t>Monthly CLR Report</w:t>
            </w:r>
          </w:p>
        </w:tc>
      </w:tr>
      <w:tr w:rsidR="00103CFB" w:rsidRPr="00293F5E" w14:paraId="0AC7D6F0" w14:textId="77777777" w:rsidTr="00A26011">
        <w:trPr>
          <w:trHeight w:val="315"/>
        </w:trPr>
        <w:tc>
          <w:tcPr>
            <w:tcW w:w="684" w:type="dxa"/>
            <w:noWrap/>
            <w:vAlign w:val="bottom"/>
          </w:tcPr>
          <w:p w14:paraId="2380D37D" w14:textId="0E82C0C9" w:rsidR="00103CFB" w:rsidRDefault="00103CFB" w:rsidP="00103CFB">
            <w:pPr>
              <w:spacing w:after="0"/>
              <w:ind w:left="0"/>
              <w:jc w:val="center"/>
              <w:rPr>
                <w:rFonts w:ascii="Calibri" w:hAnsi="Calibri" w:cs="Calibri"/>
                <w:color w:val="000000"/>
                <w:szCs w:val="22"/>
              </w:rPr>
            </w:pPr>
            <w:r>
              <w:rPr>
                <w:color w:val="000000"/>
                <w:szCs w:val="22"/>
              </w:rPr>
              <w:t>181</w:t>
            </w:r>
          </w:p>
        </w:tc>
        <w:tc>
          <w:tcPr>
            <w:tcW w:w="1677" w:type="dxa"/>
            <w:noWrap/>
            <w:vAlign w:val="bottom"/>
          </w:tcPr>
          <w:p w14:paraId="203E1DFB"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0A10E92C" w14:textId="77777777" w:rsidR="00103CFB" w:rsidRPr="00007760" w:rsidRDefault="00103CFB" w:rsidP="00103CFB">
            <w:pPr>
              <w:spacing w:after="0"/>
              <w:ind w:left="0"/>
              <w:rPr>
                <w:color w:val="000000"/>
              </w:rPr>
            </w:pPr>
            <w:r>
              <w:rPr>
                <w:color w:val="000000"/>
              </w:rPr>
              <w:t>TXMS0040</w:t>
            </w:r>
          </w:p>
        </w:tc>
        <w:tc>
          <w:tcPr>
            <w:tcW w:w="6963" w:type="dxa"/>
            <w:vAlign w:val="bottom"/>
          </w:tcPr>
          <w:p w14:paraId="45CDFF4C" w14:textId="77777777" w:rsidR="00103CFB" w:rsidRPr="00007760" w:rsidRDefault="00103CFB" w:rsidP="00103CFB">
            <w:pPr>
              <w:spacing w:after="0"/>
              <w:ind w:left="0"/>
              <w:rPr>
                <w:color w:val="000000"/>
              </w:rPr>
            </w:pPr>
            <w:r>
              <w:rPr>
                <w:color w:val="000000"/>
              </w:rPr>
              <w:t>Monthly FLD Report</w:t>
            </w:r>
          </w:p>
        </w:tc>
      </w:tr>
      <w:tr w:rsidR="00103CFB" w:rsidRPr="00293F5E" w14:paraId="77AA0259" w14:textId="77777777" w:rsidTr="00A26011">
        <w:trPr>
          <w:trHeight w:val="315"/>
        </w:trPr>
        <w:tc>
          <w:tcPr>
            <w:tcW w:w="684" w:type="dxa"/>
            <w:noWrap/>
            <w:vAlign w:val="bottom"/>
          </w:tcPr>
          <w:p w14:paraId="2F8D5DE0" w14:textId="026256E1" w:rsidR="00103CFB" w:rsidRDefault="00103CFB" w:rsidP="00103CFB">
            <w:pPr>
              <w:spacing w:after="0"/>
              <w:ind w:left="0"/>
              <w:jc w:val="center"/>
              <w:rPr>
                <w:rFonts w:ascii="Calibri" w:hAnsi="Calibri" w:cs="Calibri"/>
                <w:color w:val="000000"/>
                <w:szCs w:val="22"/>
              </w:rPr>
            </w:pPr>
            <w:r w:rsidRPr="004B4E82">
              <w:rPr>
                <w:color w:val="000000"/>
                <w:szCs w:val="22"/>
              </w:rPr>
              <w:t>182</w:t>
            </w:r>
          </w:p>
        </w:tc>
        <w:tc>
          <w:tcPr>
            <w:tcW w:w="1677" w:type="dxa"/>
            <w:noWrap/>
            <w:vAlign w:val="bottom"/>
          </w:tcPr>
          <w:p w14:paraId="5D57260D"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735BAC18" w14:textId="77777777" w:rsidR="00103CFB" w:rsidRPr="00007760" w:rsidRDefault="00103CFB" w:rsidP="00103CFB">
            <w:pPr>
              <w:spacing w:after="0"/>
              <w:ind w:left="0"/>
              <w:rPr>
                <w:color w:val="000000"/>
              </w:rPr>
            </w:pPr>
            <w:r>
              <w:rPr>
                <w:color w:val="000000"/>
              </w:rPr>
              <w:t>TXMS0040</w:t>
            </w:r>
          </w:p>
        </w:tc>
        <w:tc>
          <w:tcPr>
            <w:tcW w:w="6963" w:type="dxa"/>
            <w:vAlign w:val="bottom"/>
          </w:tcPr>
          <w:p w14:paraId="1EE5F9B9" w14:textId="77777777" w:rsidR="00103CFB" w:rsidRPr="00007760" w:rsidRDefault="00103CFB" w:rsidP="00103CFB">
            <w:pPr>
              <w:spacing w:after="0"/>
              <w:ind w:left="0"/>
              <w:rPr>
                <w:color w:val="000000"/>
              </w:rPr>
            </w:pPr>
            <w:r>
              <w:rPr>
                <w:color w:val="000000"/>
              </w:rPr>
              <w:t>Monthly OTR Report</w:t>
            </w:r>
          </w:p>
        </w:tc>
      </w:tr>
      <w:tr w:rsidR="00103CFB" w:rsidRPr="00293F5E" w14:paraId="1012FBA2" w14:textId="77777777" w:rsidTr="00A26011">
        <w:trPr>
          <w:trHeight w:val="315"/>
        </w:trPr>
        <w:tc>
          <w:tcPr>
            <w:tcW w:w="684" w:type="dxa"/>
            <w:noWrap/>
            <w:vAlign w:val="bottom"/>
          </w:tcPr>
          <w:p w14:paraId="50290FDC" w14:textId="02F1A45D" w:rsidR="00103CFB" w:rsidRDefault="00103CFB" w:rsidP="00103CFB">
            <w:pPr>
              <w:spacing w:after="0"/>
              <w:ind w:left="0"/>
              <w:jc w:val="center"/>
              <w:rPr>
                <w:rFonts w:ascii="Calibri" w:hAnsi="Calibri" w:cs="Calibri"/>
                <w:color w:val="000000"/>
                <w:szCs w:val="22"/>
              </w:rPr>
            </w:pPr>
            <w:r>
              <w:rPr>
                <w:color w:val="000000"/>
                <w:szCs w:val="22"/>
              </w:rPr>
              <w:t>183</w:t>
            </w:r>
          </w:p>
        </w:tc>
        <w:tc>
          <w:tcPr>
            <w:tcW w:w="1677" w:type="dxa"/>
            <w:noWrap/>
            <w:vAlign w:val="bottom"/>
          </w:tcPr>
          <w:p w14:paraId="52524AC1"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3A0AB42B" w14:textId="77777777" w:rsidR="00103CFB" w:rsidRPr="00007760" w:rsidRDefault="00103CFB" w:rsidP="00103CFB">
            <w:pPr>
              <w:spacing w:after="0"/>
              <w:ind w:left="0"/>
              <w:rPr>
                <w:color w:val="000000"/>
              </w:rPr>
            </w:pPr>
            <w:r>
              <w:rPr>
                <w:color w:val="000000"/>
              </w:rPr>
              <w:t>TXMS0040</w:t>
            </w:r>
          </w:p>
        </w:tc>
        <w:tc>
          <w:tcPr>
            <w:tcW w:w="6963" w:type="dxa"/>
            <w:vAlign w:val="bottom"/>
          </w:tcPr>
          <w:p w14:paraId="47AE983B" w14:textId="77777777" w:rsidR="00103CFB" w:rsidRPr="00007760" w:rsidRDefault="00103CFB" w:rsidP="00103CFB">
            <w:pPr>
              <w:spacing w:after="0"/>
              <w:ind w:left="0"/>
              <w:rPr>
                <w:color w:val="000000"/>
              </w:rPr>
            </w:pPr>
            <w:r>
              <w:rPr>
                <w:color w:val="000000"/>
              </w:rPr>
              <w:t>Monthly STA Report</w:t>
            </w:r>
          </w:p>
        </w:tc>
      </w:tr>
      <w:tr w:rsidR="00103CFB" w:rsidRPr="00293F5E" w14:paraId="3F9F5AE3" w14:textId="77777777" w:rsidTr="00A26011">
        <w:trPr>
          <w:trHeight w:val="315"/>
        </w:trPr>
        <w:tc>
          <w:tcPr>
            <w:tcW w:w="684" w:type="dxa"/>
            <w:noWrap/>
            <w:vAlign w:val="bottom"/>
          </w:tcPr>
          <w:p w14:paraId="434C346B" w14:textId="7A117385" w:rsidR="00103CFB" w:rsidRDefault="00103CFB" w:rsidP="00103CFB">
            <w:pPr>
              <w:spacing w:after="0"/>
              <w:ind w:left="0"/>
              <w:jc w:val="center"/>
              <w:rPr>
                <w:rFonts w:ascii="Calibri" w:hAnsi="Calibri" w:cs="Calibri"/>
                <w:color w:val="000000"/>
                <w:szCs w:val="22"/>
              </w:rPr>
            </w:pPr>
            <w:r w:rsidRPr="004B4E82">
              <w:rPr>
                <w:color w:val="000000"/>
                <w:szCs w:val="22"/>
              </w:rPr>
              <w:t>184</w:t>
            </w:r>
          </w:p>
        </w:tc>
        <w:tc>
          <w:tcPr>
            <w:tcW w:w="1677" w:type="dxa"/>
            <w:noWrap/>
            <w:vAlign w:val="bottom"/>
          </w:tcPr>
          <w:p w14:paraId="5D83BA0C"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21853BA6" w14:textId="77777777" w:rsidR="00103CFB" w:rsidRPr="00007760" w:rsidRDefault="00103CFB" w:rsidP="00103CFB">
            <w:pPr>
              <w:spacing w:after="0"/>
              <w:ind w:left="0"/>
              <w:rPr>
                <w:color w:val="000000"/>
              </w:rPr>
            </w:pPr>
            <w:r>
              <w:rPr>
                <w:color w:val="000000"/>
              </w:rPr>
              <w:t>TXMS0040</w:t>
            </w:r>
          </w:p>
        </w:tc>
        <w:tc>
          <w:tcPr>
            <w:tcW w:w="6963" w:type="dxa"/>
            <w:vAlign w:val="bottom"/>
          </w:tcPr>
          <w:p w14:paraId="0F4E0841" w14:textId="77777777" w:rsidR="00103CFB" w:rsidRPr="00007760" w:rsidRDefault="00103CFB" w:rsidP="00103CFB">
            <w:pPr>
              <w:spacing w:after="0"/>
              <w:ind w:left="0"/>
              <w:rPr>
                <w:color w:val="000000"/>
              </w:rPr>
            </w:pPr>
            <w:r>
              <w:rPr>
                <w:color w:val="000000"/>
              </w:rPr>
              <w:t>Monthly ZFQ Report</w:t>
            </w:r>
          </w:p>
        </w:tc>
      </w:tr>
      <w:tr w:rsidR="00103CFB" w:rsidRPr="00293F5E" w14:paraId="7786990D" w14:textId="77777777" w:rsidTr="00A26011">
        <w:trPr>
          <w:trHeight w:val="315"/>
        </w:trPr>
        <w:tc>
          <w:tcPr>
            <w:tcW w:w="684" w:type="dxa"/>
            <w:noWrap/>
            <w:vAlign w:val="bottom"/>
          </w:tcPr>
          <w:p w14:paraId="5F6E95EC" w14:textId="5E3939BE" w:rsidR="00103CFB" w:rsidRDefault="00103CFB" w:rsidP="00103CFB">
            <w:pPr>
              <w:spacing w:after="0"/>
              <w:ind w:left="0"/>
              <w:jc w:val="center"/>
              <w:rPr>
                <w:rFonts w:ascii="Calibri" w:hAnsi="Calibri" w:cs="Calibri"/>
                <w:color w:val="000000"/>
                <w:szCs w:val="22"/>
              </w:rPr>
            </w:pPr>
            <w:r>
              <w:rPr>
                <w:color w:val="000000"/>
                <w:szCs w:val="22"/>
              </w:rPr>
              <w:t>185</w:t>
            </w:r>
          </w:p>
        </w:tc>
        <w:tc>
          <w:tcPr>
            <w:tcW w:w="1677" w:type="dxa"/>
            <w:noWrap/>
            <w:vAlign w:val="bottom"/>
          </w:tcPr>
          <w:p w14:paraId="307A684F"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630075EA" w14:textId="77777777" w:rsidR="00103CFB" w:rsidRPr="00007760" w:rsidRDefault="00103CFB" w:rsidP="00103CFB">
            <w:pPr>
              <w:spacing w:after="0"/>
              <w:ind w:left="0"/>
              <w:rPr>
                <w:color w:val="000000"/>
              </w:rPr>
            </w:pPr>
            <w:r>
              <w:rPr>
                <w:color w:val="000000"/>
              </w:rPr>
              <w:t>TXMS0200</w:t>
            </w:r>
          </w:p>
        </w:tc>
        <w:tc>
          <w:tcPr>
            <w:tcW w:w="6963" w:type="dxa"/>
            <w:vAlign w:val="bottom"/>
          </w:tcPr>
          <w:p w14:paraId="23B87C55" w14:textId="77777777" w:rsidR="00103CFB" w:rsidRPr="00007760" w:rsidRDefault="00103CFB" w:rsidP="00103CFB">
            <w:pPr>
              <w:spacing w:after="0"/>
              <w:ind w:left="0"/>
              <w:rPr>
                <w:color w:val="000000"/>
              </w:rPr>
            </w:pPr>
            <w:r>
              <w:rPr>
                <w:color w:val="000000"/>
              </w:rPr>
              <w:t>Monthly Coverage Report</w:t>
            </w:r>
          </w:p>
        </w:tc>
      </w:tr>
      <w:tr w:rsidR="00103CFB" w:rsidRPr="00293F5E" w14:paraId="40C69D10" w14:textId="77777777" w:rsidTr="00A26011">
        <w:trPr>
          <w:trHeight w:val="315"/>
        </w:trPr>
        <w:tc>
          <w:tcPr>
            <w:tcW w:w="684" w:type="dxa"/>
            <w:noWrap/>
            <w:vAlign w:val="bottom"/>
          </w:tcPr>
          <w:p w14:paraId="01AA6F34" w14:textId="5E1D06E9" w:rsidR="00103CFB" w:rsidRPr="004B4E82" w:rsidRDefault="00103CFB" w:rsidP="00103CFB">
            <w:pPr>
              <w:spacing w:after="0"/>
              <w:ind w:left="0"/>
              <w:jc w:val="center"/>
              <w:rPr>
                <w:color w:val="000000"/>
                <w:szCs w:val="22"/>
              </w:rPr>
            </w:pPr>
            <w:r w:rsidRPr="004B4E82">
              <w:rPr>
                <w:color w:val="000000"/>
                <w:szCs w:val="22"/>
              </w:rPr>
              <w:t>186</w:t>
            </w:r>
          </w:p>
        </w:tc>
        <w:tc>
          <w:tcPr>
            <w:tcW w:w="1677" w:type="dxa"/>
            <w:noWrap/>
            <w:vAlign w:val="bottom"/>
          </w:tcPr>
          <w:p w14:paraId="0278CB87"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6F249EE8" w14:textId="77777777" w:rsidR="00103CFB" w:rsidRPr="00007760" w:rsidRDefault="00103CFB" w:rsidP="00103CFB">
            <w:pPr>
              <w:spacing w:after="0"/>
              <w:ind w:left="0"/>
              <w:rPr>
                <w:color w:val="000000"/>
              </w:rPr>
            </w:pPr>
            <w:r>
              <w:rPr>
                <w:color w:val="000000"/>
              </w:rPr>
              <w:t>TXMT0870</w:t>
            </w:r>
          </w:p>
        </w:tc>
        <w:tc>
          <w:tcPr>
            <w:tcW w:w="6963" w:type="dxa"/>
            <w:vAlign w:val="bottom"/>
          </w:tcPr>
          <w:p w14:paraId="6AF12934" w14:textId="77777777" w:rsidR="00103CFB" w:rsidRPr="00007760" w:rsidRDefault="00103CFB" w:rsidP="00103CFB">
            <w:pPr>
              <w:spacing w:after="0"/>
              <w:ind w:left="0"/>
              <w:rPr>
                <w:color w:val="000000"/>
              </w:rPr>
            </w:pPr>
            <w:r>
              <w:rPr>
                <w:color w:val="000000"/>
              </w:rPr>
              <w:t>Folder System Trace Report</w:t>
            </w:r>
          </w:p>
        </w:tc>
      </w:tr>
      <w:tr w:rsidR="00103CFB" w:rsidRPr="00293F5E" w14:paraId="3819105B" w14:textId="77777777" w:rsidTr="00103CFB">
        <w:trPr>
          <w:trHeight w:val="300"/>
        </w:trPr>
        <w:tc>
          <w:tcPr>
            <w:tcW w:w="684" w:type="dxa"/>
            <w:noWrap/>
            <w:vAlign w:val="bottom"/>
            <w:hideMark/>
          </w:tcPr>
          <w:p w14:paraId="1E843B51" w14:textId="60BA9A58" w:rsidR="00103CFB" w:rsidRPr="00C8400B" w:rsidRDefault="00103CFB" w:rsidP="00103CFB">
            <w:pPr>
              <w:spacing w:after="0"/>
              <w:ind w:left="0"/>
              <w:jc w:val="center"/>
              <w:rPr>
                <w:rFonts w:cs="Calibri"/>
                <w:color w:val="000000"/>
                <w:szCs w:val="24"/>
              </w:rPr>
            </w:pPr>
            <w:r>
              <w:rPr>
                <w:color w:val="000000"/>
                <w:szCs w:val="22"/>
              </w:rPr>
              <w:t>187</w:t>
            </w:r>
          </w:p>
        </w:tc>
        <w:tc>
          <w:tcPr>
            <w:tcW w:w="1677" w:type="dxa"/>
            <w:noWrap/>
            <w:vAlign w:val="center"/>
          </w:tcPr>
          <w:p w14:paraId="51E4575C" w14:textId="77777777" w:rsidR="00103CFB" w:rsidRPr="00293F5E" w:rsidRDefault="00103CFB" w:rsidP="00103CFB">
            <w:pPr>
              <w:spacing w:after="0"/>
              <w:ind w:left="0"/>
              <w:rPr>
                <w:rFonts w:ascii="Calibri" w:hAnsi="Calibri" w:cs="Calibri"/>
                <w:color w:val="000000"/>
                <w:szCs w:val="22"/>
              </w:rPr>
            </w:pPr>
            <w:r>
              <w:rPr>
                <w:color w:val="000000"/>
                <w:szCs w:val="24"/>
              </w:rPr>
              <w:t>Monthly</w:t>
            </w:r>
          </w:p>
        </w:tc>
        <w:tc>
          <w:tcPr>
            <w:tcW w:w="1775" w:type="dxa"/>
            <w:noWrap/>
            <w:vAlign w:val="center"/>
          </w:tcPr>
          <w:p w14:paraId="3FF84275" w14:textId="77777777" w:rsidR="00103CFB" w:rsidRPr="004B4E82" w:rsidRDefault="00103CFB" w:rsidP="00103CFB">
            <w:pPr>
              <w:spacing w:after="0"/>
              <w:ind w:left="0"/>
              <w:rPr>
                <w:color w:val="000000"/>
              </w:rPr>
            </w:pPr>
            <w:r>
              <w:rPr>
                <w:color w:val="000000"/>
                <w:szCs w:val="24"/>
              </w:rPr>
              <w:t>TXMT0875</w:t>
            </w:r>
          </w:p>
        </w:tc>
        <w:tc>
          <w:tcPr>
            <w:tcW w:w="6963" w:type="dxa"/>
            <w:vAlign w:val="center"/>
          </w:tcPr>
          <w:p w14:paraId="321A5AC5" w14:textId="55BE94CE" w:rsidR="00103CFB" w:rsidRPr="004B4E82" w:rsidRDefault="00CD7573" w:rsidP="00103CFB">
            <w:pPr>
              <w:spacing w:after="0"/>
              <w:ind w:left="0"/>
              <w:rPr>
                <w:color w:val="000000"/>
              </w:rPr>
            </w:pPr>
            <w:r>
              <w:rPr>
                <w:color w:val="000000"/>
              </w:rPr>
              <w:t>Tax Folder System Empty Request Report</w:t>
            </w:r>
          </w:p>
        </w:tc>
      </w:tr>
      <w:tr w:rsidR="00103CFB" w:rsidRPr="00293F5E" w14:paraId="7C71C998" w14:textId="77777777" w:rsidTr="00A26011">
        <w:trPr>
          <w:trHeight w:val="315"/>
        </w:trPr>
        <w:tc>
          <w:tcPr>
            <w:tcW w:w="684" w:type="dxa"/>
            <w:noWrap/>
            <w:vAlign w:val="bottom"/>
          </w:tcPr>
          <w:p w14:paraId="34955644" w14:textId="6F7F0B19" w:rsidR="00103CFB" w:rsidRPr="004B4E82" w:rsidRDefault="00103CFB" w:rsidP="00103CFB">
            <w:pPr>
              <w:spacing w:after="0"/>
              <w:ind w:left="0"/>
              <w:jc w:val="center"/>
              <w:rPr>
                <w:color w:val="000000"/>
                <w:szCs w:val="22"/>
              </w:rPr>
            </w:pPr>
            <w:r w:rsidRPr="004B4E82">
              <w:rPr>
                <w:color w:val="000000"/>
                <w:szCs w:val="22"/>
              </w:rPr>
              <w:t>188</w:t>
            </w:r>
          </w:p>
        </w:tc>
        <w:tc>
          <w:tcPr>
            <w:tcW w:w="1677" w:type="dxa"/>
            <w:noWrap/>
            <w:vAlign w:val="bottom"/>
          </w:tcPr>
          <w:p w14:paraId="601B350F"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0ECF6FCC" w14:textId="77777777" w:rsidR="00103CFB" w:rsidRPr="00007760" w:rsidRDefault="00103CFB" w:rsidP="00103CFB">
            <w:pPr>
              <w:spacing w:after="0"/>
              <w:ind w:left="0"/>
              <w:rPr>
                <w:color w:val="000000"/>
              </w:rPr>
            </w:pPr>
            <w:r>
              <w:rPr>
                <w:color w:val="000000"/>
              </w:rPr>
              <w:t>TXMT0972</w:t>
            </w:r>
          </w:p>
        </w:tc>
        <w:tc>
          <w:tcPr>
            <w:tcW w:w="6963" w:type="dxa"/>
            <w:vAlign w:val="bottom"/>
          </w:tcPr>
          <w:p w14:paraId="47009570" w14:textId="77777777" w:rsidR="00103CFB" w:rsidRPr="00007760" w:rsidRDefault="00103CFB" w:rsidP="00103CFB">
            <w:pPr>
              <w:spacing w:after="0"/>
              <w:ind w:left="0"/>
              <w:rPr>
                <w:color w:val="000000"/>
              </w:rPr>
            </w:pPr>
            <w:r>
              <w:rPr>
                <w:color w:val="000000"/>
              </w:rPr>
              <w:t>eCorrespondence Monthly Subscription Report</w:t>
            </w:r>
          </w:p>
        </w:tc>
      </w:tr>
      <w:tr w:rsidR="00103CFB" w:rsidRPr="00293F5E" w14:paraId="36B4585A" w14:textId="77777777" w:rsidTr="00103CFB">
        <w:trPr>
          <w:trHeight w:val="300"/>
        </w:trPr>
        <w:tc>
          <w:tcPr>
            <w:tcW w:w="684" w:type="dxa"/>
            <w:noWrap/>
            <w:vAlign w:val="bottom"/>
            <w:hideMark/>
          </w:tcPr>
          <w:p w14:paraId="344FB93E" w14:textId="75FB988F" w:rsidR="00103CFB" w:rsidRPr="00C8400B" w:rsidRDefault="00103CFB" w:rsidP="00103CFB">
            <w:pPr>
              <w:spacing w:after="0"/>
              <w:ind w:left="0"/>
              <w:jc w:val="center"/>
              <w:rPr>
                <w:rFonts w:cs="Calibri"/>
                <w:color w:val="000000"/>
                <w:szCs w:val="24"/>
              </w:rPr>
            </w:pPr>
            <w:r>
              <w:rPr>
                <w:color w:val="000000"/>
                <w:szCs w:val="22"/>
              </w:rPr>
              <w:lastRenderedPageBreak/>
              <w:t>189</w:t>
            </w:r>
          </w:p>
        </w:tc>
        <w:tc>
          <w:tcPr>
            <w:tcW w:w="1677" w:type="dxa"/>
            <w:noWrap/>
            <w:vAlign w:val="center"/>
          </w:tcPr>
          <w:p w14:paraId="71823E16" w14:textId="77777777" w:rsidR="00103CFB" w:rsidRPr="002F3FF5" w:rsidRDefault="00103CFB" w:rsidP="00103CFB">
            <w:pPr>
              <w:spacing w:after="0"/>
              <w:ind w:left="0"/>
              <w:rPr>
                <w:color w:val="000000"/>
                <w:szCs w:val="24"/>
              </w:rPr>
            </w:pPr>
            <w:r>
              <w:rPr>
                <w:color w:val="000000"/>
                <w:szCs w:val="24"/>
              </w:rPr>
              <w:t>Monthly</w:t>
            </w:r>
          </w:p>
        </w:tc>
        <w:tc>
          <w:tcPr>
            <w:tcW w:w="1775" w:type="dxa"/>
            <w:noWrap/>
            <w:vAlign w:val="center"/>
          </w:tcPr>
          <w:p w14:paraId="2C94C588" w14:textId="77777777" w:rsidR="00103CFB" w:rsidRPr="004B4E82" w:rsidRDefault="00103CFB" w:rsidP="00103CFB">
            <w:pPr>
              <w:spacing w:after="0"/>
              <w:ind w:left="0"/>
              <w:rPr>
                <w:color w:val="000000"/>
              </w:rPr>
            </w:pPr>
            <w:r>
              <w:rPr>
                <w:color w:val="000000"/>
                <w:szCs w:val="24"/>
              </w:rPr>
              <w:t>TXMW219M</w:t>
            </w:r>
          </w:p>
        </w:tc>
        <w:tc>
          <w:tcPr>
            <w:tcW w:w="6963" w:type="dxa"/>
            <w:vAlign w:val="center"/>
          </w:tcPr>
          <w:p w14:paraId="626ACFD7" w14:textId="2C0509DE" w:rsidR="00103CFB" w:rsidRPr="001B5823" w:rsidRDefault="00E95CF1" w:rsidP="00103CFB">
            <w:pPr>
              <w:spacing w:after="0"/>
              <w:ind w:left="0"/>
              <w:rPr>
                <w:color w:val="000000"/>
                <w:szCs w:val="24"/>
              </w:rPr>
            </w:pPr>
            <w:r>
              <w:rPr>
                <w:color w:val="000000"/>
              </w:rPr>
              <w:t>Monthly Wage Record Statistical Report</w:t>
            </w:r>
          </w:p>
        </w:tc>
      </w:tr>
      <w:tr w:rsidR="00103CFB" w:rsidRPr="00293F5E" w14:paraId="72D331CF" w14:textId="77777777" w:rsidTr="00A26011">
        <w:trPr>
          <w:trHeight w:val="315"/>
        </w:trPr>
        <w:tc>
          <w:tcPr>
            <w:tcW w:w="684" w:type="dxa"/>
            <w:noWrap/>
            <w:vAlign w:val="bottom"/>
          </w:tcPr>
          <w:p w14:paraId="3FAE4817" w14:textId="5AFBCB50" w:rsidR="00103CFB" w:rsidRPr="004B4E82" w:rsidRDefault="00103CFB" w:rsidP="00103CFB">
            <w:pPr>
              <w:spacing w:after="0"/>
              <w:ind w:left="0"/>
              <w:jc w:val="center"/>
              <w:rPr>
                <w:color w:val="000000"/>
                <w:szCs w:val="22"/>
              </w:rPr>
            </w:pPr>
            <w:r w:rsidRPr="004B4E82">
              <w:rPr>
                <w:color w:val="000000"/>
                <w:szCs w:val="22"/>
              </w:rPr>
              <w:t>190</w:t>
            </w:r>
          </w:p>
        </w:tc>
        <w:tc>
          <w:tcPr>
            <w:tcW w:w="1677" w:type="dxa"/>
            <w:noWrap/>
            <w:vAlign w:val="bottom"/>
          </w:tcPr>
          <w:p w14:paraId="1C107A91" w14:textId="77777777" w:rsidR="00103CFB" w:rsidRDefault="00103CFB" w:rsidP="00103CFB">
            <w:pPr>
              <w:spacing w:after="0"/>
              <w:ind w:left="0"/>
              <w:rPr>
                <w:rFonts w:ascii="Calibri" w:hAnsi="Calibri" w:cs="Calibri"/>
                <w:color w:val="000000"/>
                <w:szCs w:val="22"/>
              </w:rPr>
            </w:pPr>
            <w:r>
              <w:rPr>
                <w:color w:val="000000"/>
              </w:rPr>
              <w:t>Monthly</w:t>
            </w:r>
          </w:p>
        </w:tc>
        <w:tc>
          <w:tcPr>
            <w:tcW w:w="1775" w:type="dxa"/>
            <w:noWrap/>
            <w:vAlign w:val="bottom"/>
          </w:tcPr>
          <w:p w14:paraId="3F3AC8D8" w14:textId="77777777" w:rsidR="00103CFB" w:rsidRPr="00007760" w:rsidRDefault="00103CFB" w:rsidP="00103CFB">
            <w:pPr>
              <w:spacing w:after="0"/>
              <w:ind w:left="0"/>
              <w:rPr>
                <w:color w:val="000000"/>
              </w:rPr>
            </w:pPr>
            <w:r>
              <w:rPr>
                <w:color w:val="000000"/>
              </w:rPr>
              <w:t>TXSUSPCK</w:t>
            </w:r>
          </w:p>
        </w:tc>
        <w:tc>
          <w:tcPr>
            <w:tcW w:w="6963" w:type="dxa"/>
            <w:vAlign w:val="bottom"/>
          </w:tcPr>
          <w:p w14:paraId="4D37DAD6" w14:textId="77777777" w:rsidR="00103CFB" w:rsidRPr="00007760" w:rsidRDefault="00103CFB" w:rsidP="00103CFB">
            <w:pPr>
              <w:spacing w:after="0"/>
              <w:ind w:left="0"/>
              <w:rPr>
                <w:color w:val="000000"/>
              </w:rPr>
            </w:pPr>
            <w:r>
              <w:rPr>
                <w:color w:val="000000"/>
              </w:rPr>
              <w:t>Possible Duplicate Suspense</w:t>
            </w:r>
          </w:p>
        </w:tc>
      </w:tr>
      <w:tr w:rsidR="00103CFB" w:rsidRPr="00293F5E" w14:paraId="00A854B0" w14:textId="77777777" w:rsidTr="00A26011">
        <w:trPr>
          <w:trHeight w:val="315"/>
        </w:trPr>
        <w:tc>
          <w:tcPr>
            <w:tcW w:w="684" w:type="dxa"/>
            <w:noWrap/>
            <w:vAlign w:val="bottom"/>
          </w:tcPr>
          <w:p w14:paraId="2B2ACBE2" w14:textId="6E2B5DD6" w:rsidR="00103CFB" w:rsidRPr="004B4E82" w:rsidRDefault="00103CFB" w:rsidP="00103CFB">
            <w:pPr>
              <w:spacing w:after="0"/>
              <w:ind w:left="0"/>
              <w:jc w:val="center"/>
              <w:rPr>
                <w:color w:val="000000"/>
                <w:szCs w:val="22"/>
              </w:rPr>
            </w:pPr>
            <w:r>
              <w:rPr>
                <w:color w:val="000000"/>
                <w:szCs w:val="22"/>
              </w:rPr>
              <w:t>191</w:t>
            </w:r>
          </w:p>
        </w:tc>
        <w:tc>
          <w:tcPr>
            <w:tcW w:w="1677" w:type="dxa"/>
            <w:noWrap/>
            <w:vAlign w:val="bottom"/>
          </w:tcPr>
          <w:p w14:paraId="23DC7658"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bottom"/>
          </w:tcPr>
          <w:p w14:paraId="5BB4CE42" w14:textId="77777777" w:rsidR="00103CFB" w:rsidRPr="00007760" w:rsidRDefault="00103CFB" w:rsidP="00103CFB">
            <w:pPr>
              <w:spacing w:after="0"/>
              <w:ind w:left="0"/>
              <w:rPr>
                <w:color w:val="000000"/>
              </w:rPr>
            </w:pPr>
            <w:r>
              <w:rPr>
                <w:color w:val="000000"/>
              </w:rPr>
              <w:t>BNQE200S</w:t>
            </w:r>
          </w:p>
        </w:tc>
        <w:tc>
          <w:tcPr>
            <w:tcW w:w="6963" w:type="dxa"/>
            <w:vAlign w:val="bottom"/>
          </w:tcPr>
          <w:p w14:paraId="42598DF9" w14:textId="77777777" w:rsidR="00103CFB" w:rsidRPr="00007760" w:rsidRDefault="00103CFB" w:rsidP="00103CFB">
            <w:pPr>
              <w:spacing w:after="0"/>
              <w:ind w:left="0"/>
              <w:rPr>
                <w:color w:val="000000"/>
              </w:rPr>
            </w:pPr>
            <w:r>
              <w:rPr>
                <w:color w:val="000000"/>
              </w:rPr>
              <w:t>Prior Qtr Employer Chargeback Adjustment</w:t>
            </w:r>
          </w:p>
        </w:tc>
      </w:tr>
      <w:tr w:rsidR="00103CFB" w:rsidRPr="00293F5E" w14:paraId="2E0404E2" w14:textId="77777777" w:rsidTr="00A26011">
        <w:trPr>
          <w:trHeight w:val="315"/>
        </w:trPr>
        <w:tc>
          <w:tcPr>
            <w:tcW w:w="684" w:type="dxa"/>
            <w:noWrap/>
            <w:vAlign w:val="bottom"/>
          </w:tcPr>
          <w:p w14:paraId="54C5A580" w14:textId="0E6A0EAB" w:rsidR="00103CFB" w:rsidRPr="004B4E82" w:rsidRDefault="00103CFB" w:rsidP="00103CFB">
            <w:pPr>
              <w:spacing w:after="0"/>
              <w:ind w:left="0"/>
              <w:jc w:val="center"/>
              <w:rPr>
                <w:color w:val="000000"/>
                <w:szCs w:val="22"/>
              </w:rPr>
            </w:pPr>
            <w:r w:rsidRPr="004B4E82">
              <w:rPr>
                <w:color w:val="000000"/>
                <w:szCs w:val="22"/>
              </w:rPr>
              <w:t>192</w:t>
            </w:r>
          </w:p>
        </w:tc>
        <w:tc>
          <w:tcPr>
            <w:tcW w:w="1677" w:type="dxa"/>
            <w:noWrap/>
            <w:vAlign w:val="bottom"/>
          </w:tcPr>
          <w:p w14:paraId="3D6AF6DE"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bottom"/>
          </w:tcPr>
          <w:p w14:paraId="4B8D8002" w14:textId="77777777" w:rsidR="00103CFB" w:rsidRPr="00007760" w:rsidRDefault="00103CFB" w:rsidP="00103CFB">
            <w:pPr>
              <w:spacing w:after="0"/>
              <w:ind w:left="0"/>
              <w:rPr>
                <w:color w:val="000000"/>
              </w:rPr>
            </w:pPr>
            <w:r>
              <w:rPr>
                <w:color w:val="000000"/>
              </w:rPr>
              <w:t>BNQE200S</w:t>
            </w:r>
          </w:p>
        </w:tc>
        <w:tc>
          <w:tcPr>
            <w:tcW w:w="6963" w:type="dxa"/>
            <w:vAlign w:val="bottom"/>
          </w:tcPr>
          <w:p w14:paraId="0E74B302" w14:textId="77777777" w:rsidR="00103CFB" w:rsidRPr="00007760" w:rsidRDefault="00103CFB" w:rsidP="00103CFB">
            <w:pPr>
              <w:spacing w:after="0"/>
              <w:ind w:left="0"/>
              <w:rPr>
                <w:color w:val="000000"/>
              </w:rPr>
            </w:pPr>
            <w:r>
              <w:rPr>
                <w:color w:val="000000"/>
              </w:rPr>
              <w:t>Prior Qtr Employer Shared - Chargeback Adjustment</w:t>
            </w:r>
          </w:p>
        </w:tc>
      </w:tr>
      <w:tr w:rsidR="00103CFB" w:rsidRPr="00293F5E" w14:paraId="1DE669B3" w14:textId="77777777" w:rsidTr="00A26011">
        <w:trPr>
          <w:trHeight w:val="315"/>
        </w:trPr>
        <w:tc>
          <w:tcPr>
            <w:tcW w:w="684" w:type="dxa"/>
            <w:noWrap/>
            <w:vAlign w:val="bottom"/>
          </w:tcPr>
          <w:p w14:paraId="6B3C0B92" w14:textId="362E1914" w:rsidR="00103CFB" w:rsidRPr="004B4E82" w:rsidRDefault="00103CFB" w:rsidP="00103CFB">
            <w:pPr>
              <w:spacing w:after="0"/>
              <w:ind w:left="0"/>
              <w:jc w:val="center"/>
              <w:rPr>
                <w:color w:val="000000"/>
                <w:szCs w:val="22"/>
              </w:rPr>
            </w:pPr>
            <w:r>
              <w:rPr>
                <w:color w:val="000000"/>
                <w:szCs w:val="22"/>
              </w:rPr>
              <w:t>193</w:t>
            </w:r>
          </w:p>
        </w:tc>
        <w:tc>
          <w:tcPr>
            <w:tcW w:w="1677" w:type="dxa"/>
            <w:noWrap/>
            <w:vAlign w:val="bottom"/>
          </w:tcPr>
          <w:p w14:paraId="7994C617"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bottom"/>
          </w:tcPr>
          <w:p w14:paraId="5B80497A" w14:textId="77777777" w:rsidR="00103CFB" w:rsidRPr="00007760" w:rsidRDefault="00103CFB" w:rsidP="00103CFB">
            <w:pPr>
              <w:spacing w:after="0"/>
              <w:ind w:left="0"/>
              <w:rPr>
                <w:color w:val="000000"/>
              </w:rPr>
            </w:pPr>
            <w:r>
              <w:rPr>
                <w:color w:val="000000"/>
              </w:rPr>
              <w:t>BNQE200U</w:t>
            </w:r>
          </w:p>
        </w:tc>
        <w:tc>
          <w:tcPr>
            <w:tcW w:w="6963" w:type="dxa"/>
            <w:vAlign w:val="bottom"/>
          </w:tcPr>
          <w:p w14:paraId="638FC787" w14:textId="77777777" w:rsidR="00103CFB" w:rsidRPr="00007760" w:rsidRDefault="00103CFB" w:rsidP="00103CFB">
            <w:pPr>
              <w:spacing w:after="0"/>
              <w:ind w:left="0"/>
              <w:rPr>
                <w:color w:val="000000"/>
              </w:rPr>
            </w:pPr>
            <w:r>
              <w:rPr>
                <w:color w:val="000000"/>
              </w:rPr>
              <w:t>Charges Summary</w:t>
            </w:r>
          </w:p>
        </w:tc>
      </w:tr>
      <w:tr w:rsidR="00103CFB" w:rsidRPr="00293F5E" w14:paraId="53FCEDF9" w14:textId="77777777" w:rsidTr="00A26011">
        <w:trPr>
          <w:trHeight w:val="315"/>
        </w:trPr>
        <w:tc>
          <w:tcPr>
            <w:tcW w:w="684" w:type="dxa"/>
            <w:noWrap/>
            <w:vAlign w:val="bottom"/>
          </w:tcPr>
          <w:p w14:paraId="2B71C1D5" w14:textId="7F9062F1" w:rsidR="00103CFB" w:rsidRPr="004B4E82" w:rsidRDefault="00103CFB" w:rsidP="00103CFB">
            <w:pPr>
              <w:spacing w:after="0"/>
              <w:ind w:left="0"/>
              <w:jc w:val="center"/>
              <w:rPr>
                <w:color w:val="000000"/>
                <w:szCs w:val="22"/>
              </w:rPr>
            </w:pPr>
            <w:r w:rsidRPr="004B4E82">
              <w:rPr>
                <w:color w:val="000000"/>
                <w:szCs w:val="22"/>
              </w:rPr>
              <w:t>194</w:t>
            </w:r>
          </w:p>
        </w:tc>
        <w:tc>
          <w:tcPr>
            <w:tcW w:w="1677" w:type="dxa"/>
            <w:noWrap/>
            <w:vAlign w:val="bottom"/>
          </w:tcPr>
          <w:p w14:paraId="4625DEFF"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bottom"/>
          </w:tcPr>
          <w:p w14:paraId="35E8B594" w14:textId="77777777" w:rsidR="00103CFB" w:rsidRPr="00007760" w:rsidRDefault="00103CFB" w:rsidP="00103CFB">
            <w:pPr>
              <w:spacing w:after="0"/>
              <w:ind w:left="0"/>
              <w:rPr>
                <w:color w:val="000000"/>
              </w:rPr>
            </w:pPr>
            <w:r>
              <w:rPr>
                <w:color w:val="000000"/>
              </w:rPr>
              <w:t>BNQE200U</w:t>
            </w:r>
          </w:p>
        </w:tc>
        <w:tc>
          <w:tcPr>
            <w:tcW w:w="6963" w:type="dxa"/>
            <w:vAlign w:val="bottom"/>
          </w:tcPr>
          <w:p w14:paraId="3B8AB98B" w14:textId="77777777" w:rsidR="00103CFB" w:rsidRPr="00007760" w:rsidRDefault="00103CFB" w:rsidP="00103CFB">
            <w:pPr>
              <w:spacing w:after="0"/>
              <w:ind w:left="0"/>
              <w:rPr>
                <w:color w:val="000000"/>
              </w:rPr>
            </w:pPr>
            <w:r>
              <w:rPr>
                <w:color w:val="000000"/>
              </w:rPr>
              <w:t>SUTA Charges Summary</w:t>
            </w:r>
          </w:p>
        </w:tc>
      </w:tr>
      <w:tr w:rsidR="00103CFB" w:rsidRPr="00293F5E" w14:paraId="58A07014" w14:textId="77777777" w:rsidTr="00A26011">
        <w:trPr>
          <w:trHeight w:val="315"/>
        </w:trPr>
        <w:tc>
          <w:tcPr>
            <w:tcW w:w="684" w:type="dxa"/>
            <w:noWrap/>
            <w:vAlign w:val="bottom"/>
          </w:tcPr>
          <w:p w14:paraId="2942598D" w14:textId="21A4FFDD" w:rsidR="00103CFB" w:rsidRPr="004B4E82" w:rsidRDefault="00103CFB" w:rsidP="00103CFB">
            <w:pPr>
              <w:spacing w:after="0"/>
              <w:ind w:left="0"/>
              <w:jc w:val="center"/>
              <w:rPr>
                <w:color w:val="000000"/>
                <w:szCs w:val="22"/>
              </w:rPr>
            </w:pPr>
            <w:r>
              <w:rPr>
                <w:color w:val="000000"/>
                <w:szCs w:val="22"/>
              </w:rPr>
              <w:t>195</w:t>
            </w:r>
          </w:p>
        </w:tc>
        <w:tc>
          <w:tcPr>
            <w:tcW w:w="1677" w:type="dxa"/>
            <w:noWrap/>
            <w:vAlign w:val="bottom"/>
          </w:tcPr>
          <w:p w14:paraId="717245DE"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bottom"/>
          </w:tcPr>
          <w:p w14:paraId="47EF5913" w14:textId="77777777" w:rsidR="00103CFB" w:rsidRPr="00007760" w:rsidRDefault="00103CFB" w:rsidP="00103CFB">
            <w:pPr>
              <w:spacing w:after="0"/>
              <w:ind w:left="0"/>
              <w:rPr>
                <w:color w:val="000000"/>
              </w:rPr>
            </w:pPr>
            <w:r>
              <w:rPr>
                <w:color w:val="000000"/>
              </w:rPr>
              <w:t>BNQE200V</w:t>
            </w:r>
          </w:p>
        </w:tc>
        <w:tc>
          <w:tcPr>
            <w:tcW w:w="6963" w:type="dxa"/>
            <w:vAlign w:val="bottom"/>
          </w:tcPr>
          <w:p w14:paraId="4438F875" w14:textId="77777777" w:rsidR="00103CFB" w:rsidRPr="00007760" w:rsidRDefault="00103CFB" w:rsidP="00103CFB">
            <w:pPr>
              <w:spacing w:after="0"/>
              <w:ind w:left="0"/>
              <w:rPr>
                <w:color w:val="000000"/>
              </w:rPr>
            </w:pPr>
            <w:r>
              <w:rPr>
                <w:color w:val="000000"/>
              </w:rPr>
              <w:t>Non-Charge Summary</w:t>
            </w:r>
          </w:p>
        </w:tc>
      </w:tr>
      <w:tr w:rsidR="00103CFB" w:rsidRPr="00293F5E" w14:paraId="04DC0A4C" w14:textId="77777777" w:rsidTr="00A26011">
        <w:trPr>
          <w:trHeight w:val="315"/>
        </w:trPr>
        <w:tc>
          <w:tcPr>
            <w:tcW w:w="684" w:type="dxa"/>
            <w:noWrap/>
            <w:vAlign w:val="bottom"/>
          </w:tcPr>
          <w:p w14:paraId="1DF8855C" w14:textId="4795211E" w:rsidR="00103CFB" w:rsidRPr="004B4E82" w:rsidRDefault="00103CFB" w:rsidP="00103CFB">
            <w:pPr>
              <w:spacing w:after="0"/>
              <w:ind w:left="0"/>
              <w:jc w:val="center"/>
              <w:rPr>
                <w:color w:val="000000"/>
                <w:szCs w:val="22"/>
              </w:rPr>
            </w:pPr>
            <w:r w:rsidRPr="004B4E82">
              <w:rPr>
                <w:color w:val="000000"/>
                <w:szCs w:val="22"/>
              </w:rPr>
              <w:t>196</w:t>
            </w:r>
          </w:p>
        </w:tc>
        <w:tc>
          <w:tcPr>
            <w:tcW w:w="1677" w:type="dxa"/>
            <w:noWrap/>
            <w:vAlign w:val="bottom"/>
          </w:tcPr>
          <w:p w14:paraId="6220E8F2"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bottom"/>
          </w:tcPr>
          <w:p w14:paraId="2395738B" w14:textId="77777777" w:rsidR="00103CFB" w:rsidRPr="00007760" w:rsidRDefault="00103CFB" w:rsidP="00103CFB">
            <w:pPr>
              <w:spacing w:after="0"/>
              <w:ind w:left="0"/>
              <w:rPr>
                <w:color w:val="000000"/>
              </w:rPr>
            </w:pPr>
            <w:r>
              <w:rPr>
                <w:color w:val="000000"/>
              </w:rPr>
              <w:t>TXAB110R</w:t>
            </w:r>
          </w:p>
        </w:tc>
        <w:tc>
          <w:tcPr>
            <w:tcW w:w="6963" w:type="dxa"/>
            <w:vAlign w:val="bottom"/>
          </w:tcPr>
          <w:p w14:paraId="377E56FD" w14:textId="77777777" w:rsidR="00103CFB" w:rsidRPr="00007760" w:rsidRDefault="00103CFB" w:rsidP="00103CFB">
            <w:pPr>
              <w:spacing w:after="0"/>
              <w:ind w:left="0"/>
              <w:rPr>
                <w:color w:val="000000"/>
              </w:rPr>
            </w:pPr>
            <w:r>
              <w:rPr>
                <w:color w:val="000000"/>
              </w:rPr>
              <w:t>Surplus Credit - Refunds over $50 with No Taxable Wages Paid (2007)</w:t>
            </w:r>
          </w:p>
        </w:tc>
      </w:tr>
      <w:tr w:rsidR="00103CFB" w:rsidRPr="00293F5E" w14:paraId="1C5C5F17" w14:textId="77777777" w:rsidTr="00A26011">
        <w:trPr>
          <w:trHeight w:val="315"/>
        </w:trPr>
        <w:tc>
          <w:tcPr>
            <w:tcW w:w="684" w:type="dxa"/>
            <w:noWrap/>
            <w:vAlign w:val="bottom"/>
          </w:tcPr>
          <w:p w14:paraId="0883A5AF" w14:textId="719AD294" w:rsidR="00103CFB" w:rsidRPr="004B4E82" w:rsidRDefault="00103CFB" w:rsidP="00103CFB">
            <w:pPr>
              <w:spacing w:after="0"/>
              <w:ind w:left="0"/>
              <w:jc w:val="center"/>
              <w:rPr>
                <w:color w:val="000000"/>
                <w:szCs w:val="22"/>
              </w:rPr>
            </w:pPr>
            <w:r>
              <w:rPr>
                <w:color w:val="000000"/>
                <w:szCs w:val="22"/>
              </w:rPr>
              <w:t>197</w:t>
            </w:r>
          </w:p>
        </w:tc>
        <w:tc>
          <w:tcPr>
            <w:tcW w:w="1677" w:type="dxa"/>
            <w:noWrap/>
            <w:vAlign w:val="bottom"/>
          </w:tcPr>
          <w:p w14:paraId="3D77D429"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bottom"/>
          </w:tcPr>
          <w:p w14:paraId="3912FB77" w14:textId="77777777" w:rsidR="00103CFB" w:rsidRPr="00007760" w:rsidRDefault="00103CFB" w:rsidP="00103CFB">
            <w:pPr>
              <w:spacing w:after="0"/>
              <w:ind w:left="0"/>
              <w:rPr>
                <w:color w:val="000000"/>
              </w:rPr>
            </w:pPr>
            <w:r>
              <w:rPr>
                <w:color w:val="000000"/>
              </w:rPr>
              <w:t>TXAB110R</w:t>
            </w:r>
          </w:p>
        </w:tc>
        <w:tc>
          <w:tcPr>
            <w:tcW w:w="6963" w:type="dxa"/>
            <w:vAlign w:val="bottom"/>
          </w:tcPr>
          <w:p w14:paraId="2845E484" w14:textId="77777777" w:rsidR="00103CFB" w:rsidRPr="00007760" w:rsidRDefault="00103CFB" w:rsidP="00103CFB">
            <w:pPr>
              <w:spacing w:after="0"/>
              <w:ind w:left="0"/>
              <w:rPr>
                <w:color w:val="000000"/>
              </w:rPr>
            </w:pPr>
            <w:r>
              <w:rPr>
                <w:color w:val="000000"/>
              </w:rPr>
              <w:t>Surplus Credit - Refunds over $50 with No Taxable Wages Paid (2008)</w:t>
            </w:r>
          </w:p>
        </w:tc>
      </w:tr>
      <w:tr w:rsidR="00103CFB" w:rsidRPr="00293F5E" w14:paraId="6F66E549" w14:textId="77777777" w:rsidTr="00A26011">
        <w:trPr>
          <w:trHeight w:val="315"/>
        </w:trPr>
        <w:tc>
          <w:tcPr>
            <w:tcW w:w="684" w:type="dxa"/>
            <w:noWrap/>
            <w:vAlign w:val="bottom"/>
          </w:tcPr>
          <w:p w14:paraId="1EB8C59B" w14:textId="59DEFDD7" w:rsidR="00103CFB" w:rsidRPr="004B4E82" w:rsidRDefault="00103CFB" w:rsidP="00103CFB">
            <w:pPr>
              <w:spacing w:after="0"/>
              <w:ind w:left="0"/>
              <w:jc w:val="center"/>
              <w:rPr>
                <w:color w:val="000000"/>
                <w:szCs w:val="22"/>
              </w:rPr>
            </w:pPr>
            <w:r w:rsidRPr="004B4E82">
              <w:rPr>
                <w:color w:val="000000"/>
                <w:szCs w:val="22"/>
              </w:rPr>
              <w:t>198</w:t>
            </w:r>
          </w:p>
        </w:tc>
        <w:tc>
          <w:tcPr>
            <w:tcW w:w="1677" w:type="dxa"/>
            <w:noWrap/>
            <w:vAlign w:val="bottom"/>
          </w:tcPr>
          <w:p w14:paraId="31819364"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bottom"/>
          </w:tcPr>
          <w:p w14:paraId="53003320" w14:textId="77777777" w:rsidR="00103CFB" w:rsidRPr="00007760" w:rsidRDefault="00103CFB" w:rsidP="00103CFB">
            <w:pPr>
              <w:spacing w:after="0"/>
              <w:ind w:left="0"/>
              <w:rPr>
                <w:color w:val="000000"/>
              </w:rPr>
            </w:pPr>
            <w:r>
              <w:rPr>
                <w:color w:val="000000"/>
              </w:rPr>
              <w:t>TXB620R</w:t>
            </w:r>
          </w:p>
        </w:tc>
        <w:tc>
          <w:tcPr>
            <w:tcW w:w="6963" w:type="dxa"/>
            <w:vAlign w:val="bottom"/>
          </w:tcPr>
          <w:p w14:paraId="49B63D9F" w14:textId="77777777" w:rsidR="00103CFB" w:rsidRPr="00007760" w:rsidRDefault="00103CFB" w:rsidP="00103CFB">
            <w:pPr>
              <w:spacing w:after="0"/>
              <w:ind w:left="0"/>
              <w:rPr>
                <w:color w:val="000000"/>
              </w:rPr>
            </w:pPr>
            <w:r>
              <w:rPr>
                <w:color w:val="000000"/>
              </w:rPr>
              <w:t>Extended Due Date Corrections - Current Quarter</w:t>
            </w:r>
          </w:p>
        </w:tc>
      </w:tr>
      <w:tr w:rsidR="00103CFB" w:rsidRPr="00293F5E" w14:paraId="70B993B7" w14:textId="77777777" w:rsidTr="00A26011">
        <w:trPr>
          <w:trHeight w:val="315"/>
        </w:trPr>
        <w:tc>
          <w:tcPr>
            <w:tcW w:w="684" w:type="dxa"/>
            <w:noWrap/>
            <w:vAlign w:val="bottom"/>
          </w:tcPr>
          <w:p w14:paraId="59770A45" w14:textId="22E4DA32" w:rsidR="00103CFB" w:rsidRPr="004B4E82" w:rsidRDefault="00103CFB" w:rsidP="00103CFB">
            <w:pPr>
              <w:spacing w:after="0"/>
              <w:ind w:left="0"/>
              <w:jc w:val="center"/>
              <w:rPr>
                <w:color w:val="000000"/>
                <w:szCs w:val="22"/>
              </w:rPr>
            </w:pPr>
            <w:r>
              <w:rPr>
                <w:color w:val="000000"/>
                <w:szCs w:val="22"/>
              </w:rPr>
              <w:t>199</w:t>
            </w:r>
          </w:p>
        </w:tc>
        <w:tc>
          <w:tcPr>
            <w:tcW w:w="1677" w:type="dxa"/>
            <w:noWrap/>
            <w:vAlign w:val="bottom"/>
          </w:tcPr>
          <w:p w14:paraId="46D1D082"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bottom"/>
          </w:tcPr>
          <w:p w14:paraId="7A38E417" w14:textId="77777777" w:rsidR="00103CFB" w:rsidRPr="00007760" w:rsidRDefault="00103CFB" w:rsidP="00103CFB">
            <w:pPr>
              <w:spacing w:after="0"/>
              <w:ind w:left="0"/>
              <w:rPr>
                <w:color w:val="000000"/>
              </w:rPr>
            </w:pPr>
            <w:r>
              <w:rPr>
                <w:color w:val="000000"/>
              </w:rPr>
              <w:t>TXFR3001</w:t>
            </w:r>
          </w:p>
        </w:tc>
        <w:tc>
          <w:tcPr>
            <w:tcW w:w="6963" w:type="dxa"/>
            <w:vAlign w:val="bottom"/>
          </w:tcPr>
          <w:p w14:paraId="73933087" w14:textId="77777777" w:rsidR="00103CFB" w:rsidRPr="00007760" w:rsidRDefault="00103CFB" w:rsidP="00103CFB">
            <w:pPr>
              <w:spacing w:after="0"/>
              <w:ind w:left="0"/>
              <w:rPr>
                <w:color w:val="000000"/>
              </w:rPr>
            </w:pPr>
            <w:r>
              <w:rPr>
                <w:color w:val="000000"/>
              </w:rPr>
              <w:t>FTD Delinquent Letter Error Report</w:t>
            </w:r>
          </w:p>
        </w:tc>
      </w:tr>
      <w:tr w:rsidR="00103CFB" w:rsidRPr="00293F5E" w14:paraId="3352D948" w14:textId="77777777" w:rsidTr="00A26011">
        <w:trPr>
          <w:trHeight w:val="315"/>
        </w:trPr>
        <w:tc>
          <w:tcPr>
            <w:tcW w:w="684" w:type="dxa"/>
            <w:noWrap/>
            <w:vAlign w:val="bottom"/>
          </w:tcPr>
          <w:p w14:paraId="1A64CA3F" w14:textId="7303297F" w:rsidR="00103CFB" w:rsidRPr="004B4E82" w:rsidRDefault="00103CFB" w:rsidP="00103CFB">
            <w:pPr>
              <w:spacing w:after="0"/>
              <w:ind w:left="0"/>
              <w:jc w:val="center"/>
              <w:rPr>
                <w:color w:val="000000"/>
                <w:szCs w:val="22"/>
              </w:rPr>
            </w:pPr>
            <w:r w:rsidRPr="004B4E82">
              <w:rPr>
                <w:color w:val="000000"/>
                <w:szCs w:val="22"/>
              </w:rPr>
              <w:t>200</w:t>
            </w:r>
          </w:p>
        </w:tc>
        <w:tc>
          <w:tcPr>
            <w:tcW w:w="1677" w:type="dxa"/>
            <w:noWrap/>
            <w:vAlign w:val="bottom"/>
          </w:tcPr>
          <w:p w14:paraId="27AF829E"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bottom"/>
          </w:tcPr>
          <w:p w14:paraId="1332B5ED" w14:textId="77777777" w:rsidR="00103CFB" w:rsidRPr="00007760" w:rsidRDefault="00103CFB" w:rsidP="00103CFB">
            <w:pPr>
              <w:spacing w:after="0"/>
              <w:ind w:left="0"/>
              <w:rPr>
                <w:color w:val="000000"/>
              </w:rPr>
            </w:pPr>
            <w:r>
              <w:rPr>
                <w:color w:val="000000"/>
              </w:rPr>
              <w:t>TXIR0010</w:t>
            </w:r>
          </w:p>
        </w:tc>
        <w:tc>
          <w:tcPr>
            <w:tcW w:w="6963" w:type="dxa"/>
            <w:vAlign w:val="bottom"/>
          </w:tcPr>
          <w:p w14:paraId="1B7A065D" w14:textId="77777777" w:rsidR="00103CFB" w:rsidRPr="00007760" w:rsidRDefault="00103CFB" w:rsidP="00103CFB">
            <w:pPr>
              <w:spacing w:after="0"/>
              <w:ind w:left="0"/>
              <w:rPr>
                <w:color w:val="000000"/>
              </w:rPr>
            </w:pPr>
            <w:r>
              <w:rPr>
                <w:color w:val="000000"/>
              </w:rPr>
              <w:t>Rate Factors for PSD</w:t>
            </w:r>
          </w:p>
        </w:tc>
      </w:tr>
      <w:tr w:rsidR="00103CFB" w:rsidRPr="00293F5E" w14:paraId="33FCDB06" w14:textId="77777777" w:rsidTr="00A26011">
        <w:trPr>
          <w:trHeight w:val="315"/>
        </w:trPr>
        <w:tc>
          <w:tcPr>
            <w:tcW w:w="684" w:type="dxa"/>
            <w:noWrap/>
            <w:vAlign w:val="bottom"/>
          </w:tcPr>
          <w:p w14:paraId="0C665B2D" w14:textId="6D4BBB5A" w:rsidR="00103CFB" w:rsidRPr="004B4E82" w:rsidRDefault="00103CFB" w:rsidP="00103CFB">
            <w:pPr>
              <w:spacing w:after="0"/>
              <w:ind w:left="0"/>
              <w:jc w:val="center"/>
              <w:rPr>
                <w:color w:val="000000"/>
                <w:szCs w:val="22"/>
              </w:rPr>
            </w:pPr>
            <w:r>
              <w:rPr>
                <w:color w:val="000000"/>
                <w:szCs w:val="22"/>
              </w:rPr>
              <w:t>201</w:t>
            </w:r>
          </w:p>
        </w:tc>
        <w:tc>
          <w:tcPr>
            <w:tcW w:w="1677" w:type="dxa"/>
            <w:noWrap/>
            <w:vAlign w:val="bottom"/>
          </w:tcPr>
          <w:p w14:paraId="4DC493C8"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bottom"/>
          </w:tcPr>
          <w:p w14:paraId="09662F9C" w14:textId="77777777" w:rsidR="00103CFB" w:rsidRPr="00007760" w:rsidRDefault="00103CFB" w:rsidP="00103CFB">
            <w:pPr>
              <w:spacing w:after="0"/>
              <w:ind w:left="0"/>
              <w:rPr>
                <w:color w:val="000000"/>
              </w:rPr>
            </w:pPr>
            <w:r>
              <w:rPr>
                <w:color w:val="000000"/>
              </w:rPr>
              <w:t>TXIR0020</w:t>
            </w:r>
          </w:p>
        </w:tc>
        <w:tc>
          <w:tcPr>
            <w:tcW w:w="6963" w:type="dxa"/>
            <w:vAlign w:val="bottom"/>
          </w:tcPr>
          <w:p w14:paraId="303D1FE2" w14:textId="77777777" w:rsidR="00103CFB" w:rsidRPr="00007760" w:rsidRDefault="00103CFB" w:rsidP="00103CFB">
            <w:pPr>
              <w:spacing w:after="0"/>
              <w:ind w:left="0"/>
              <w:rPr>
                <w:color w:val="000000"/>
              </w:rPr>
            </w:pPr>
            <w:r>
              <w:rPr>
                <w:color w:val="000000"/>
              </w:rPr>
              <w:t>PSD Tax Rate Computations</w:t>
            </w:r>
          </w:p>
        </w:tc>
      </w:tr>
      <w:tr w:rsidR="00103CFB" w:rsidRPr="00293F5E" w14:paraId="0D7BEBFA" w14:textId="77777777" w:rsidTr="00A26011">
        <w:trPr>
          <w:trHeight w:val="315"/>
        </w:trPr>
        <w:tc>
          <w:tcPr>
            <w:tcW w:w="684" w:type="dxa"/>
            <w:noWrap/>
            <w:vAlign w:val="bottom"/>
          </w:tcPr>
          <w:p w14:paraId="066B3852" w14:textId="1EEC5D33" w:rsidR="00103CFB" w:rsidRPr="004B4E82" w:rsidRDefault="00103CFB" w:rsidP="00103CFB">
            <w:pPr>
              <w:spacing w:after="0"/>
              <w:ind w:left="0"/>
              <w:jc w:val="center"/>
              <w:rPr>
                <w:color w:val="000000"/>
                <w:szCs w:val="22"/>
              </w:rPr>
            </w:pPr>
            <w:r w:rsidRPr="004B4E82">
              <w:rPr>
                <w:color w:val="000000"/>
                <w:szCs w:val="22"/>
              </w:rPr>
              <w:t>202</w:t>
            </w:r>
          </w:p>
        </w:tc>
        <w:tc>
          <w:tcPr>
            <w:tcW w:w="1677" w:type="dxa"/>
            <w:noWrap/>
            <w:vAlign w:val="bottom"/>
          </w:tcPr>
          <w:p w14:paraId="5A5C4BAC"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bottom"/>
          </w:tcPr>
          <w:p w14:paraId="21CFF3EE" w14:textId="77777777" w:rsidR="00103CFB" w:rsidRPr="00007760" w:rsidRDefault="00103CFB" w:rsidP="00103CFB">
            <w:pPr>
              <w:spacing w:after="0"/>
              <w:ind w:left="0"/>
              <w:rPr>
                <w:color w:val="000000"/>
              </w:rPr>
            </w:pPr>
            <w:r>
              <w:rPr>
                <w:color w:val="000000"/>
              </w:rPr>
              <w:t>TXIR0030</w:t>
            </w:r>
          </w:p>
        </w:tc>
        <w:tc>
          <w:tcPr>
            <w:tcW w:w="6963" w:type="dxa"/>
            <w:vAlign w:val="bottom"/>
          </w:tcPr>
          <w:p w14:paraId="41CDC143" w14:textId="77777777" w:rsidR="00103CFB" w:rsidRPr="00007760" w:rsidRDefault="00103CFB" w:rsidP="00103CFB">
            <w:pPr>
              <w:spacing w:after="0"/>
              <w:ind w:left="0"/>
              <w:rPr>
                <w:color w:val="000000"/>
              </w:rPr>
            </w:pPr>
            <w:r>
              <w:rPr>
                <w:color w:val="000000"/>
              </w:rPr>
              <w:t>Interim Rate Run - Sysout Messages</w:t>
            </w:r>
          </w:p>
        </w:tc>
      </w:tr>
      <w:tr w:rsidR="00103CFB" w:rsidRPr="00293F5E" w14:paraId="5C3EDE11" w14:textId="77777777" w:rsidTr="00A26011">
        <w:trPr>
          <w:trHeight w:val="315"/>
        </w:trPr>
        <w:tc>
          <w:tcPr>
            <w:tcW w:w="684" w:type="dxa"/>
            <w:noWrap/>
            <w:vAlign w:val="bottom"/>
          </w:tcPr>
          <w:p w14:paraId="661897FB" w14:textId="25766A3B" w:rsidR="00103CFB" w:rsidRPr="004B4E82" w:rsidRDefault="00103CFB" w:rsidP="00103CFB">
            <w:pPr>
              <w:spacing w:after="0"/>
              <w:ind w:left="0"/>
              <w:jc w:val="center"/>
              <w:rPr>
                <w:color w:val="000000"/>
                <w:szCs w:val="22"/>
              </w:rPr>
            </w:pPr>
            <w:r>
              <w:rPr>
                <w:color w:val="000000"/>
                <w:szCs w:val="22"/>
              </w:rPr>
              <w:t>203</w:t>
            </w:r>
          </w:p>
        </w:tc>
        <w:tc>
          <w:tcPr>
            <w:tcW w:w="1677" w:type="dxa"/>
            <w:noWrap/>
            <w:vAlign w:val="bottom"/>
          </w:tcPr>
          <w:p w14:paraId="588B60EF"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bottom"/>
          </w:tcPr>
          <w:p w14:paraId="7612881D" w14:textId="77777777" w:rsidR="00103CFB" w:rsidRPr="00007760" w:rsidRDefault="00103CFB" w:rsidP="00103CFB">
            <w:pPr>
              <w:spacing w:after="0"/>
              <w:ind w:left="0"/>
              <w:rPr>
                <w:color w:val="000000"/>
              </w:rPr>
            </w:pPr>
            <w:r>
              <w:rPr>
                <w:color w:val="000000"/>
              </w:rPr>
              <w:t>TXIR0040</w:t>
            </w:r>
          </w:p>
        </w:tc>
        <w:tc>
          <w:tcPr>
            <w:tcW w:w="6963" w:type="dxa"/>
            <w:vAlign w:val="bottom"/>
          </w:tcPr>
          <w:p w14:paraId="3FFCB1D4" w14:textId="77777777" w:rsidR="00103CFB" w:rsidRPr="00007760" w:rsidRDefault="00103CFB" w:rsidP="00103CFB">
            <w:pPr>
              <w:spacing w:after="0"/>
              <w:ind w:left="0"/>
              <w:rPr>
                <w:color w:val="000000"/>
              </w:rPr>
            </w:pPr>
            <w:r>
              <w:rPr>
                <w:color w:val="000000"/>
              </w:rPr>
              <w:t>Late Payment Register</w:t>
            </w:r>
          </w:p>
        </w:tc>
      </w:tr>
      <w:tr w:rsidR="00103CFB" w:rsidRPr="00293F5E" w14:paraId="477175DB" w14:textId="77777777" w:rsidTr="00A26011">
        <w:trPr>
          <w:trHeight w:val="315"/>
        </w:trPr>
        <w:tc>
          <w:tcPr>
            <w:tcW w:w="684" w:type="dxa"/>
            <w:noWrap/>
            <w:vAlign w:val="bottom"/>
          </w:tcPr>
          <w:p w14:paraId="72DA1A06" w14:textId="13383B9C" w:rsidR="00103CFB" w:rsidRPr="004B4E82" w:rsidRDefault="00103CFB" w:rsidP="00103CFB">
            <w:pPr>
              <w:spacing w:after="0"/>
              <w:ind w:left="0"/>
              <w:jc w:val="center"/>
              <w:rPr>
                <w:color w:val="000000"/>
                <w:szCs w:val="22"/>
              </w:rPr>
            </w:pPr>
            <w:r w:rsidRPr="004B4E82">
              <w:rPr>
                <w:color w:val="000000"/>
                <w:szCs w:val="22"/>
              </w:rPr>
              <w:t>204</w:t>
            </w:r>
          </w:p>
        </w:tc>
        <w:tc>
          <w:tcPr>
            <w:tcW w:w="1677" w:type="dxa"/>
            <w:noWrap/>
            <w:vAlign w:val="bottom"/>
          </w:tcPr>
          <w:p w14:paraId="34254EF1"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bottom"/>
          </w:tcPr>
          <w:p w14:paraId="165249A5" w14:textId="77777777" w:rsidR="00103CFB" w:rsidRPr="00007760" w:rsidRDefault="00103CFB" w:rsidP="00103CFB">
            <w:pPr>
              <w:spacing w:after="0"/>
              <w:ind w:left="0"/>
              <w:rPr>
                <w:color w:val="000000"/>
              </w:rPr>
            </w:pPr>
            <w:r>
              <w:rPr>
                <w:color w:val="000000"/>
              </w:rPr>
              <w:t>TXIR0040</w:t>
            </w:r>
          </w:p>
        </w:tc>
        <w:tc>
          <w:tcPr>
            <w:tcW w:w="6963" w:type="dxa"/>
            <w:vAlign w:val="bottom"/>
          </w:tcPr>
          <w:p w14:paraId="6DE00D77" w14:textId="77777777" w:rsidR="00103CFB" w:rsidRPr="00007760" w:rsidRDefault="00103CFB" w:rsidP="00103CFB">
            <w:pPr>
              <w:spacing w:after="0"/>
              <w:ind w:left="0"/>
              <w:rPr>
                <w:color w:val="000000"/>
              </w:rPr>
            </w:pPr>
            <w:r>
              <w:rPr>
                <w:color w:val="000000"/>
              </w:rPr>
              <w:t>Rate Register Sample Report</w:t>
            </w:r>
          </w:p>
        </w:tc>
      </w:tr>
      <w:tr w:rsidR="00103CFB" w:rsidRPr="00293F5E" w14:paraId="282373D3" w14:textId="77777777" w:rsidTr="00A26011">
        <w:trPr>
          <w:trHeight w:val="315"/>
        </w:trPr>
        <w:tc>
          <w:tcPr>
            <w:tcW w:w="684" w:type="dxa"/>
            <w:noWrap/>
            <w:vAlign w:val="bottom"/>
          </w:tcPr>
          <w:p w14:paraId="66C3347D" w14:textId="72AA112A" w:rsidR="00103CFB" w:rsidRPr="004B4E82" w:rsidRDefault="00103CFB" w:rsidP="00103CFB">
            <w:pPr>
              <w:spacing w:after="0"/>
              <w:ind w:left="0"/>
              <w:jc w:val="center"/>
              <w:rPr>
                <w:color w:val="000000"/>
                <w:szCs w:val="22"/>
              </w:rPr>
            </w:pPr>
            <w:r>
              <w:rPr>
                <w:color w:val="000000"/>
                <w:szCs w:val="22"/>
              </w:rPr>
              <w:t>205</w:t>
            </w:r>
          </w:p>
        </w:tc>
        <w:tc>
          <w:tcPr>
            <w:tcW w:w="1677" w:type="dxa"/>
            <w:noWrap/>
            <w:vAlign w:val="bottom"/>
          </w:tcPr>
          <w:p w14:paraId="69C188C2"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center"/>
          </w:tcPr>
          <w:p w14:paraId="40A86327" w14:textId="77777777" w:rsidR="00103CFB" w:rsidRPr="00007760" w:rsidRDefault="00103CFB" w:rsidP="00103CFB">
            <w:pPr>
              <w:spacing w:after="0"/>
              <w:ind w:left="0"/>
              <w:rPr>
                <w:color w:val="000000"/>
              </w:rPr>
            </w:pPr>
            <w:r>
              <w:rPr>
                <w:color w:val="000000"/>
              </w:rPr>
              <w:t>TXQ100R1</w:t>
            </w:r>
          </w:p>
        </w:tc>
        <w:tc>
          <w:tcPr>
            <w:tcW w:w="6963" w:type="dxa"/>
            <w:vAlign w:val="bottom"/>
          </w:tcPr>
          <w:p w14:paraId="16F09F7E" w14:textId="77777777" w:rsidR="00103CFB" w:rsidRPr="00007760" w:rsidRDefault="00103CFB" w:rsidP="00103CFB">
            <w:pPr>
              <w:spacing w:after="0"/>
              <w:ind w:left="0"/>
              <w:rPr>
                <w:color w:val="000000"/>
              </w:rPr>
            </w:pPr>
            <w:r>
              <w:rPr>
                <w:color w:val="000000"/>
              </w:rPr>
              <w:t>Quarterly QuickFile Report by Quarter Filed</w:t>
            </w:r>
          </w:p>
        </w:tc>
      </w:tr>
      <w:tr w:rsidR="00103CFB" w:rsidRPr="00293F5E" w14:paraId="37AA3FB7" w14:textId="77777777" w:rsidTr="00A26011">
        <w:trPr>
          <w:trHeight w:val="315"/>
        </w:trPr>
        <w:tc>
          <w:tcPr>
            <w:tcW w:w="684" w:type="dxa"/>
            <w:noWrap/>
            <w:vAlign w:val="bottom"/>
          </w:tcPr>
          <w:p w14:paraId="731F3154" w14:textId="0F12C9C3" w:rsidR="00103CFB" w:rsidRPr="004B4E82" w:rsidRDefault="00103CFB" w:rsidP="00103CFB">
            <w:pPr>
              <w:spacing w:after="0"/>
              <w:ind w:left="0"/>
              <w:jc w:val="center"/>
              <w:rPr>
                <w:color w:val="000000"/>
                <w:szCs w:val="22"/>
              </w:rPr>
            </w:pPr>
            <w:r w:rsidRPr="004B4E82">
              <w:rPr>
                <w:color w:val="000000"/>
                <w:szCs w:val="22"/>
              </w:rPr>
              <w:t>206</w:t>
            </w:r>
          </w:p>
        </w:tc>
        <w:tc>
          <w:tcPr>
            <w:tcW w:w="1677" w:type="dxa"/>
            <w:noWrap/>
            <w:vAlign w:val="bottom"/>
          </w:tcPr>
          <w:p w14:paraId="0EB44EE4"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bottom"/>
          </w:tcPr>
          <w:p w14:paraId="36433F8B" w14:textId="77777777" w:rsidR="00103CFB" w:rsidRPr="00007760" w:rsidRDefault="00103CFB" w:rsidP="00103CFB">
            <w:pPr>
              <w:spacing w:after="0"/>
              <w:ind w:left="0"/>
              <w:rPr>
                <w:color w:val="000000"/>
              </w:rPr>
            </w:pPr>
            <w:r>
              <w:rPr>
                <w:color w:val="000000"/>
              </w:rPr>
              <w:t>TXQB153R</w:t>
            </w:r>
          </w:p>
        </w:tc>
        <w:tc>
          <w:tcPr>
            <w:tcW w:w="6963" w:type="dxa"/>
            <w:vAlign w:val="bottom"/>
          </w:tcPr>
          <w:p w14:paraId="4CE9929C" w14:textId="77777777" w:rsidR="00103CFB" w:rsidRPr="00007760" w:rsidRDefault="00103CFB" w:rsidP="00103CFB">
            <w:pPr>
              <w:spacing w:after="0"/>
              <w:ind w:left="0"/>
              <w:rPr>
                <w:color w:val="000000"/>
              </w:rPr>
            </w:pPr>
            <w:r>
              <w:rPr>
                <w:color w:val="000000"/>
              </w:rPr>
              <w:t>FTD Estimated Reports</w:t>
            </w:r>
          </w:p>
        </w:tc>
      </w:tr>
      <w:tr w:rsidR="00103CFB" w:rsidRPr="00293F5E" w14:paraId="2AC6DC45" w14:textId="77777777" w:rsidTr="00A26011">
        <w:trPr>
          <w:trHeight w:val="315"/>
        </w:trPr>
        <w:tc>
          <w:tcPr>
            <w:tcW w:w="684" w:type="dxa"/>
            <w:noWrap/>
            <w:vAlign w:val="bottom"/>
          </w:tcPr>
          <w:p w14:paraId="195B2F8B" w14:textId="5D722E3F" w:rsidR="00103CFB" w:rsidRPr="004B4E82" w:rsidRDefault="00103CFB" w:rsidP="00103CFB">
            <w:pPr>
              <w:spacing w:after="0"/>
              <w:ind w:left="0"/>
              <w:jc w:val="center"/>
              <w:rPr>
                <w:color w:val="000000"/>
                <w:szCs w:val="22"/>
              </w:rPr>
            </w:pPr>
            <w:r>
              <w:rPr>
                <w:color w:val="000000"/>
                <w:szCs w:val="22"/>
              </w:rPr>
              <w:t>207</w:t>
            </w:r>
          </w:p>
        </w:tc>
        <w:tc>
          <w:tcPr>
            <w:tcW w:w="1677" w:type="dxa"/>
            <w:noWrap/>
            <w:vAlign w:val="bottom"/>
          </w:tcPr>
          <w:p w14:paraId="5A3B95BA"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bottom"/>
          </w:tcPr>
          <w:p w14:paraId="3AEBDD2F" w14:textId="77777777" w:rsidR="00103CFB" w:rsidRPr="00007760" w:rsidRDefault="00103CFB" w:rsidP="00103CFB">
            <w:pPr>
              <w:spacing w:after="0"/>
              <w:ind w:left="0"/>
              <w:rPr>
                <w:color w:val="000000"/>
              </w:rPr>
            </w:pPr>
            <w:r>
              <w:rPr>
                <w:color w:val="000000"/>
              </w:rPr>
              <w:t>TXQF0090</w:t>
            </w:r>
          </w:p>
        </w:tc>
        <w:tc>
          <w:tcPr>
            <w:tcW w:w="6963" w:type="dxa"/>
            <w:vAlign w:val="bottom"/>
          </w:tcPr>
          <w:p w14:paraId="05911B09" w14:textId="77777777" w:rsidR="00103CFB" w:rsidRPr="00007760" w:rsidRDefault="00103CFB" w:rsidP="00103CFB">
            <w:pPr>
              <w:spacing w:after="0"/>
              <w:ind w:left="0"/>
              <w:rPr>
                <w:color w:val="000000"/>
              </w:rPr>
            </w:pPr>
            <w:r>
              <w:rPr>
                <w:color w:val="000000"/>
              </w:rPr>
              <w:t>Accounts Targeted for Audit - All Regions</w:t>
            </w:r>
          </w:p>
        </w:tc>
      </w:tr>
      <w:tr w:rsidR="00103CFB" w:rsidRPr="00293F5E" w14:paraId="56765D0B" w14:textId="77777777" w:rsidTr="00A26011">
        <w:trPr>
          <w:trHeight w:val="315"/>
        </w:trPr>
        <w:tc>
          <w:tcPr>
            <w:tcW w:w="684" w:type="dxa"/>
            <w:noWrap/>
            <w:vAlign w:val="bottom"/>
          </w:tcPr>
          <w:p w14:paraId="29FD1F28" w14:textId="3D529752" w:rsidR="00103CFB" w:rsidRPr="004B4E82" w:rsidRDefault="00103CFB" w:rsidP="00103CFB">
            <w:pPr>
              <w:spacing w:after="0"/>
              <w:ind w:left="0"/>
              <w:jc w:val="center"/>
              <w:rPr>
                <w:color w:val="000000"/>
                <w:szCs w:val="22"/>
              </w:rPr>
            </w:pPr>
            <w:r w:rsidRPr="004B4E82">
              <w:rPr>
                <w:color w:val="000000"/>
                <w:szCs w:val="22"/>
              </w:rPr>
              <w:t>208</w:t>
            </w:r>
          </w:p>
        </w:tc>
        <w:tc>
          <w:tcPr>
            <w:tcW w:w="1677" w:type="dxa"/>
            <w:noWrap/>
            <w:vAlign w:val="bottom"/>
          </w:tcPr>
          <w:p w14:paraId="6EA0FE12"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bottom"/>
          </w:tcPr>
          <w:p w14:paraId="313FEFC0" w14:textId="77777777" w:rsidR="00103CFB" w:rsidRPr="00007760" w:rsidRDefault="00103CFB" w:rsidP="00103CFB">
            <w:pPr>
              <w:spacing w:after="0"/>
              <w:ind w:left="0"/>
              <w:rPr>
                <w:color w:val="000000"/>
              </w:rPr>
            </w:pPr>
            <w:r>
              <w:rPr>
                <w:color w:val="000000"/>
              </w:rPr>
              <w:t>TXQF0090</w:t>
            </w:r>
          </w:p>
        </w:tc>
        <w:tc>
          <w:tcPr>
            <w:tcW w:w="6963" w:type="dxa"/>
            <w:vAlign w:val="bottom"/>
          </w:tcPr>
          <w:p w14:paraId="7CDD7249" w14:textId="77777777" w:rsidR="00103CFB" w:rsidRPr="00007760" w:rsidRDefault="00103CFB" w:rsidP="00103CFB">
            <w:pPr>
              <w:spacing w:after="0"/>
              <w:ind w:left="0"/>
              <w:rPr>
                <w:color w:val="000000"/>
              </w:rPr>
            </w:pPr>
            <w:r>
              <w:rPr>
                <w:color w:val="000000"/>
              </w:rPr>
              <w:t>Accounts Targeted for Audit - Region 13</w:t>
            </w:r>
          </w:p>
        </w:tc>
      </w:tr>
      <w:tr w:rsidR="00103CFB" w:rsidRPr="00293F5E" w14:paraId="47EF971D" w14:textId="77777777" w:rsidTr="00A26011">
        <w:trPr>
          <w:trHeight w:val="315"/>
        </w:trPr>
        <w:tc>
          <w:tcPr>
            <w:tcW w:w="684" w:type="dxa"/>
            <w:noWrap/>
            <w:vAlign w:val="bottom"/>
          </w:tcPr>
          <w:p w14:paraId="15DC5906" w14:textId="7702E416" w:rsidR="00103CFB" w:rsidRPr="004B4E82" w:rsidRDefault="00103CFB" w:rsidP="00103CFB">
            <w:pPr>
              <w:spacing w:after="0"/>
              <w:ind w:left="0"/>
              <w:jc w:val="center"/>
              <w:rPr>
                <w:color w:val="000000"/>
                <w:szCs w:val="22"/>
              </w:rPr>
            </w:pPr>
            <w:r>
              <w:rPr>
                <w:color w:val="000000"/>
                <w:szCs w:val="22"/>
              </w:rPr>
              <w:t>209</w:t>
            </w:r>
          </w:p>
        </w:tc>
        <w:tc>
          <w:tcPr>
            <w:tcW w:w="1677" w:type="dxa"/>
            <w:noWrap/>
            <w:vAlign w:val="bottom"/>
          </w:tcPr>
          <w:p w14:paraId="414FEF7B"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bottom"/>
          </w:tcPr>
          <w:p w14:paraId="32A31348" w14:textId="77777777" w:rsidR="00103CFB" w:rsidRPr="00007760" w:rsidRDefault="00103CFB" w:rsidP="00103CFB">
            <w:pPr>
              <w:spacing w:after="0"/>
              <w:ind w:left="0"/>
              <w:rPr>
                <w:color w:val="000000"/>
              </w:rPr>
            </w:pPr>
            <w:r>
              <w:rPr>
                <w:color w:val="000000"/>
              </w:rPr>
              <w:t>TXQF0090</w:t>
            </w:r>
          </w:p>
        </w:tc>
        <w:tc>
          <w:tcPr>
            <w:tcW w:w="6963" w:type="dxa"/>
            <w:vAlign w:val="bottom"/>
          </w:tcPr>
          <w:p w14:paraId="35278394" w14:textId="77777777" w:rsidR="00103CFB" w:rsidRPr="00007760" w:rsidRDefault="00103CFB" w:rsidP="00103CFB">
            <w:pPr>
              <w:spacing w:after="0"/>
              <w:ind w:left="0"/>
              <w:rPr>
                <w:color w:val="000000"/>
              </w:rPr>
            </w:pPr>
            <w:r>
              <w:rPr>
                <w:color w:val="000000"/>
              </w:rPr>
              <w:t>Accounts Targeted for Audit - Region 2</w:t>
            </w:r>
          </w:p>
        </w:tc>
      </w:tr>
      <w:tr w:rsidR="00103CFB" w:rsidRPr="00293F5E" w14:paraId="4F1392DC" w14:textId="77777777" w:rsidTr="00A26011">
        <w:trPr>
          <w:trHeight w:val="315"/>
        </w:trPr>
        <w:tc>
          <w:tcPr>
            <w:tcW w:w="684" w:type="dxa"/>
            <w:noWrap/>
            <w:vAlign w:val="bottom"/>
          </w:tcPr>
          <w:p w14:paraId="4D84FEEA" w14:textId="09DB5B9C" w:rsidR="00103CFB" w:rsidRPr="004B4E82" w:rsidRDefault="00103CFB" w:rsidP="00103CFB">
            <w:pPr>
              <w:spacing w:after="0"/>
              <w:ind w:left="0"/>
              <w:jc w:val="center"/>
              <w:rPr>
                <w:color w:val="000000"/>
                <w:szCs w:val="22"/>
              </w:rPr>
            </w:pPr>
            <w:r w:rsidRPr="004B4E82">
              <w:rPr>
                <w:color w:val="000000"/>
                <w:szCs w:val="22"/>
              </w:rPr>
              <w:t>210</w:t>
            </w:r>
          </w:p>
        </w:tc>
        <w:tc>
          <w:tcPr>
            <w:tcW w:w="1677" w:type="dxa"/>
            <w:noWrap/>
            <w:vAlign w:val="bottom"/>
          </w:tcPr>
          <w:p w14:paraId="02342683"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bottom"/>
          </w:tcPr>
          <w:p w14:paraId="25B6185A" w14:textId="77777777" w:rsidR="00103CFB" w:rsidRPr="00007760" w:rsidRDefault="00103CFB" w:rsidP="00103CFB">
            <w:pPr>
              <w:spacing w:after="0"/>
              <w:ind w:left="0"/>
              <w:rPr>
                <w:color w:val="000000"/>
              </w:rPr>
            </w:pPr>
            <w:r>
              <w:rPr>
                <w:color w:val="000000"/>
              </w:rPr>
              <w:t>TXQF0090</w:t>
            </w:r>
          </w:p>
        </w:tc>
        <w:tc>
          <w:tcPr>
            <w:tcW w:w="6963" w:type="dxa"/>
            <w:vAlign w:val="bottom"/>
          </w:tcPr>
          <w:p w14:paraId="55D10758" w14:textId="77777777" w:rsidR="00103CFB" w:rsidRPr="00007760" w:rsidRDefault="00103CFB" w:rsidP="00103CFB">
            <w:pPr>
              <w:spacing w:after="0"/>
              <w:ind w:left="0"/>
              <w:rPr>
                <w:color w:val="000000"/>
              </w:rPr>
            </w:pPr>
            <w:r>
              <w:rPr>
                <w:color w:val="000000"/>
              </w:rPr>
              <w:t>Accounts Targeted for Audit - Region 4</w:t>
            </w:r>
          </w:p>
        </w:tc>
      </w:tr>
      <w:tr w:rsidR="00103CFB" w:rsidRPr="00293F5E" w14:paraId="4D13F113" w14:textId="77777777" w:rsidTr="00A26011">
        <w:trPr>
          <w:trHeight w:val="315"/>
        </w:trPr>
        <w:tc>
          <w:tcPr>
            <w:tcW w:w="684" w:type="dxa"/>
            <w:noWrap/>
            <w:vAlign w:val="bottom"/>
          </w:tcPr>
          <w:p w14:paraId="3CF5DE3C" w14:textId="65336A1F" w:rsidR="00103CFB" w:rsidRPr="004B4E82" w:rsidRDefault="00103CFB" w:rsidP="00103CFB">
            <w:pPr>
              <w:spacing w:after="0"/>
              <w:ind w:left="0"/>
              <w:jc w:val="center"/>
              <w:rPr>
                <w:color w:val="000000"/>
                <w:szCs w:val="22"/>
              </w:rPr>
            </w:pPr>
            <w:r>
              <w:rPr>
                <w:color w:val="000000"/>
                <w:szCs w:val="22"/>
              </w:rPr>
              <w:t>211</w:t>
            </w:r>
          </w:p>
        </w:tc>
        <w:tc>
          <w:tcPr>
            <w:tcW w:w="1677" w:type="dxa"/>
            <w:noWrap/>
            <w:vAlign w:val="bottom"/>
          </w:tcPr>
          <w:p w14:paraId="3F5B753F"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bottom"/>
          </w:tcPr>
          <w:p w14:paraId="32ADB65F" w14:textId="77777777" w:rsidR="00103CFB" w:rsidRPr="00007760" w:rsidRDefault="00103CFB" w:rsidP="00103CFB">
            <w:pPr>
              <w:spacing w:after="0"/>
              <w:ind w:left="0"/>
              <w:rPr>
                <w:color w:val="000000"/>
              </w:rPr>
            </w:pPr>
            <w:r>
              <w:rPr>
                <w:color w:val="000000"/>
              </w:rPr>
              <w:t>TXQF0090</w:t>
            </w:r>
          </w:p>
        </w:tc>
        <w:tc>
          <w:tcPr>
            <w:tcW w:w="6963" w:type="dxa"/>
            <w:vAlign w:val="bottom"/>
          </w:tcPr>
          <w:p w14:paraId="4D3A3519" w14:textId="77777777" w:rsidR="00103CFB" w:rsidRPr="00007760" w:rsidRDefault="00103CFB" w:rsidP="00103CFB">
            <w:pPr>
              <w:spacing w:after="0"/>
              <w:ind w:left="0"/>
              <w:rPr>
                <w:color w:val="000000"/>
              </w:rPr>
            </w:pPr>
            <w:r>
              <w:rPr>
                <w:color w:val="000000"/>
              </w:rPr>
              <w:t>Accounts Targeted for Audit - Region 6</w:t>
            </w:r>
          </w:p>
        </w:tc>
      </w:tr>
      <w:tr w:rsidR="00103CFB" w:rsidRPr="00293F5E" w14:paraId="3A9CC695" w14:textId="77777777" w:rsidTr="00A26011">
        <w:trPr>
          <w:trHeight w:val="315"/>
        </w:trPr>
        <w:tc>
          <w:tcPr>
            <w:tcW w:w="684" w:type="dxa"/>
            <w:noWrap/>
            <w:vAlign w:val="bottom"/>
          </w:tcPr>
          <w:p w14:paraId="11143C73" w14:textId="0F91B2D0" w:rsidR="00103CFB" w:rsidRPr="004B4E82" w:rsidRDefault="00103CFB" w:rsidP="00103CFB">
            <w:pPr>
              <w:spacing w:after="0"/>
              <w:ind w:left="0"/>
              <w:jc w:val="center"/>
              <w:rPr>
                <w:color w:val="000000"/>
                <w:szCs w:val="22"/>
              </w:rPr>
            </w:pPr>
            <w:r w:rsidRPr="004B4E82">
              <w:rPr>
                <w:color w:val="000000"/>
                <w:szCs w:val="22"/>
              </w:rPr>
              <w:t>212</w:t>
            </w:r>
          </w:p>
        </w:tc>
        <w:tc>
          <w:tcPr>
            <w:tcW w:w="1677" w:type="dxa"/>
            <w:noWrap/>
            <w:vAlign w:val="bottom"/>
          </w:tcPr>
          <w:p w14:paraId="505FB363"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bottom"/>
          </w:tcPr>
          <w:p w14:paraId="0271ABDE" w14:textId="77777777" w:rsidR="00103CFB" w:rsidRPr="00007760" w:rsidRDefault="00103CFB" w:rsidP="00103CFB">
            <w:pPr>
              <w:spacing w:after="0"/>
              <w:ind w:left="0"/>
              <w:rPr>
                <w:color w:val="000000"/>
              </w:rPr>
            </w:pPr>
            <w:r>
              <w:rPr>
                <w:color w:val="000000"/>
              </w:rPr>
              <w:t>TXQF0090</w:t>
            </w:r>
          </w:p>
        </w:tc>
        <w:tc>
          <w:tcPr>
            <w:tcW w:w="6963" w:type="dxa"/>
            <w:vAlign w:val="bottom"/>
          </w:tcPr>
          <w:p w14:paraId="5DDB2163" w14:textId="77777777" w:rsidR="00103CFB" w:rsidRPr="00007760" w:rsidRDefault="00103CFB" w:rsidP="00103CFB">
            <w:pPr>
              <w:spacing w:after="0"/>
              <w:ind w:left="0"/>
              <w:rPr>
                <w:color w:val="000000"/>
              </w:rPr>
            </w:pPr>
            <w:r>
              <w:rPr>
                <w:color w:val="000000"/>
              </w:rPr>
              <w:t>Accounts Targeted for Audit - Region 7</w:t>
            </w:r>
          </w:p>
        </w:tc>
      </w:tr>
      <w:tr w:rsidR="00103CFB" w:rsidRPr="00293F5E" w14:paraId="2D9F65D0" w14:textId="77777777" w:rsidTr="00A26011">
        <w:trPr>
          <w:trHeight w:val="315"/>
        </w:trPr>
        <w:tc>
          <w:tcPr>
            <w:tcW w:w="684" w:type="dxa"/>
            <w:noWrap/>
            <w:vAlign w:val="bottom"/>
          </w:tcPr>
          <w:p w14:paraId="2B7B1706" w14:textId="1368D302" w:rsidR="00103CFB" w:rsidRPr="004B4E82" w:rsidRDefault="00103CFB" w:rsidP="00103CFB">
            <w:pPr>
              <w:spacing w:after="0"/>
              <w:ind w:left="0"/>
              <w:jc w:val="center"/>
              <w:rPr>
                <w:color w:val="000000"/>
                <w:szCs w:val="22"/>
              </w:rPr>
            </w:pPr>
            <w:r>
              <w:rPr>
                <w:color w:val="000000"/>
                <w:szCs w:val="22"/>
              </w:rPr>
              <w:t>213</w:t>
            </w:r>
          </w:p>
        </w:tc>
        <w:tc>
          <w:tcPr>
            <w:tcW w:w="1677" w:type="dxa"/>
            <w:noWrap/>
            <w:vAlign w:val="bottom"/>
          </w:tcPr>
          <w:p w14:paraId="2C2F134D"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bottom"/>
          </w:tcPr>
          <w:p w14:paraId="25044DD0" w14:textId="77777777" w:rsidR="00103CFB" w:rsidRPr="00007760" w:rsidRDefault="00103CFB" w:rsidP="00103CFB">
            <w:pPr>
              <w:spacing w:after="0"/>
              <w:ind w:left="0"/>
              <w:rPr>
                <w:color w:val="000000"/>
              </w:rPr>
            </w:pPr>
            <w:r>
              <w:rPr>
                <w:color w:val="000000"/>
              </w:rPr>
              <w:t>TXQF0090</w:t>
            </w:r>
          </w:p>
        </w:tc>
        <w:tc>
          <w:tcPr>
            <w:tcW w:w="6963" w:type="dxa"/>
            <w:vAlign w:val="bottom"/>
          </w:tcPr>
          <w:p w14:paraId="3129DA10" w14:textId="77777777" w:rsidR="00103CFB" w:rsidRPr="00007760" w:rsidRDefault="00103CFB" w:rsidP="00103CFB">
            <w:pPr>
              <w:spacing w:after="0"/>
              <w:ind w:left="0"/>
              <w:rPr>
                <w:color w:val="000000"/>
              </w:rPr>
            </w:pPr>
            <w:r>
              <w:rPr>
                <w:color w:val="000000"/>
              </w:rPr>
              <w:t>Accounts Targeted for Audit - Region 8</w:t>
            </w:r>
          </w:p>
        </w:tc>
      </w:tr>
      <w:tr w:rsidR="00103CFB" w:rsidRPr="00293F5E" w14:paraId="28D38565" w14:textId="77777777" w:rsidTr="00A26011">
        <w:trPr>
          <w:trHeight w:val="315"/>
        </w:trPr>
        <w:tc>
          <w:tcPr>
            <w:tcW w:w="684" w:type="dxa"/>
            <w:noWrap/>
            <w:vAlign w:val="bottom"/>
          </w:tcPr>
          <w:p w14:paraId="5711B9C6" w14:textId="6EAAFBFA" w:rsidR="00103CFB" w:rsidRPr="004B4E82" w:rsidRDefault="00103CFB" w:rsidP="00103CFB">
            <w:pPr>
              <w:spacing w:after="0"/>
              <w:ind w:left="0"/>
              <w:jc w:val="center"/>
              <w:rPr>
                <w:color w:val="000000"/>
                <w:szCs w:val="22"/>
              </w:rPr>
            </w:pPr>
            <w:r w:rsidRPr="004B4E82">
              <w:rPr>
                <w:color w:val="000000"/>
                <w:szCs w:val="22"/>
              </w:rPr>
              <w:t>214</w:t>
            </w:r>
          </w:p>
        </w:tc>
        <w:tc>
          <w:tcPr>
            <w:tcW w:w="1677" w:type="dxa"/>
            <w:noWrap/>
            <w:vAlign w:val="bottom"/>
          </w:tcPr>
          <w:p w14:paraId="5E10B945"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bottom"/>
          </w:tcPr>
          <w:p w14:paraId="42A06BD3" w14:textId="77777777" w:rsidR="00103CFB" w:rsidRPr="00007760" w:rsidRDefault="00103CFB" w:rsidP="00103CFB">
            <w:pPr>
              <w:spacing w:after="0"/>
              <w:ind w:left="0"/>
              <w:rPr>
                <w:color w:val="000000"/>
              </w:rPr>
            </w:pPr>
            <w:r>
              <w:rPr>
                <w:color w:val="000000"/>
              </w:rPr>
              <w:t>TXQF0090</w:t>
            </w:r>
          </w:p>
        </w:tc>
        <w:tc>
          <w:tcPr>
            <w:tcW w:w="6963" w:type="dxa"/>
            <w:vAlign w:val="bottom"/>
          </w:tcPr>
          <w:p w14:paraId="1F555CBD" w14:textId="77777777" w:rsidR="00103CFB" w:rsidRPr="00007760" w:rsidRDefault="00103CFB" w:rsidP="00103CFB">
            <w:pPr>
              <w:spacing w:after="0"/>
              <w:ind w:left="0"/>
              <w:rPr>
                <w:color w:val="000000"/>
              </w:rPr>
            </w:pPr>
            <w:r>
              <w:rPr>
                <w:color w:val="000000"/>
              </w:rPr>
              <w:t>Accounts Targeted for Audit - Region 9</w:t>
            </w:r>
          </w:p>
        </w:tc>
      </w:tr>
      <w:tr w:rsidR="00103CFB" w:rsidRPr="00293F5E" w14:paraId="16617E5D" w14:textId="77777777" w:rsidTr="00A26011">
        <w:trPr>
          <w:trHeight w:val="315"/>
        </w:trPr>
        <w:tc>
          <w:tcPr>
            <w:tcW w:w="684" w:type="dxa"/>
            <w:noWrap/>
            <w:vAlign w:val="bottom"/>
          </w:tcPr>
          <w:p w14:paraId="55B13926" w14:textId="5D61B419" w:rsidR="00103CFB" w:rsidRPr="004B4E82" w:rsidRDefault="00103CFB" w:rsidP="00103CFB">
            <w:pPr>
              <w:spacing w:after="0"/>
              <w:ind w:left="0"/>
              <w:jc w:val="center"/>
              <w:rPr>
                <w:color w:val="000000"/>
                <w:szCs w:val="22"/>
              </w:rPr>
            </w:pPr>
            <w:r>
              <w:rPr>
                <w:color w:val="000000"/>
                <w:szCs w:val="22"/>
              </w:rPr>
              <w:t>215</w:t>
            </w:r>
          </w:p>
        </w:tc>
        <w:tc>
          <w:tcPr>
            <w:tcW w:w="1677" w:type="dxa"/>
            <w:noWrap/>
            <w:vAlign w:val="bottom"/>
          </w:tcPr>
          <w:p w14:paraId="0AEA4F42"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center"/>
          </w:tcPr>
          <w:p w14:paraId="59EF5265" w14:textId="77777777" w:rsidR="00103CFB" w:rsidRPr="00007760" w:rsidRDefault="00103CFB" w:rsidP="00103CFB">
            <w:pPr>
              <w:spacing w:after="0"/>
              <w:ind w:left="0"/>
              <w:rPr>
                <w:color w:val="000000"/>
              </w:rPr>
            </w:pPr>
            <w:r>
              <w:rPr>
                <w:color w:val="000000"/>
              </w:rPr>
              <w:t>TXQF0110</w:t>
            </w:r>
          </w:p>
        </w:tc>
        <w:tc>
          <w:tcPr>
            <w:tcW w:w="6963" w:type="dxa"/>
            <w:vAlign w:val="bottom"/>
          </w:tcPr>
          <w:p w14:paraId="4D38C81A" w14:textId="77777777" w:rsidR="00103CFB" w:rsidRPr="00007760" w:rsidRDefault="00103CFB" w:rsidP="00103CFB">
            <w:pPr>
              <w:spacing w:after="0"/>
              <w:ind w:left="0"/>
              <w:rPr>
                <w:color w:val="000000"/>
              </w:rPr>
            </w:pPr>
            <w:r>
              <w:rPr>
                <w:color w:val="000000"/>
              </w:rPr>
              <w:t>Closed Accounts</w:t>
            </w:r>
          </w:p>
        </w:tc>
      </w:tr>
      <w:tr w:rsidR="00103CFB" w:rsidRPr="00293F5E" w14:paraId="7508AEC4" w14:textId="77777777" w:rsidTr="00A26011">
        <w:trPr>
          <w:trHeight w:val="315"/>
        </w:trPr>
        <w:tc>
          <w:tcPr>
            <w:tcW w:w="684" w:type="dxa"/>
            <w:noWrap/>
            <w:vAlign w:val="bottom"/>
          </w:tcPr>
          <w:p w14:paraId="3539855C" w14:textId="26BAD766" w:rsidR="00103CFB" w:rsidRPr="004B4E82" w:rsidRDefault="00103CFB" w:rsidP="00103CFB">
            <w:pPr>
              <w:spacing w:after="0"/>
              <w:ind w:left="0"/>
              <w:jc w:val="center"/>
              <w:rPr>
                <w:color w:val="000000"/>
                <w:szCs w:val="22"/>
              </w:rPr>
            </w:pPr>
            <w:r w:rsidRPr="004B4E82">
              <w:rPr>
                <w:color w:val="000000"/>
                <w:szCs w:val="22"/>
              </w:rPr>
              <w:t>216</w:t>
            </w:r>
          </w:p>
        </w:tc>
        <w:tc>
          <w:tcPr>
            <w:tcW w:w="1677" w:type="dxa"/>
            <w:noWrap/>
            <w:vAlign w:val="bottom"/>
          </w:tcPr>
          <w:p w14:paraId="7ABDF083"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center"/>
          </w:tcPr>
          <w:p w14:paraId="63C0C67A" w14:textId="77777777" w:rsidR="00103CFB" w:rsidRPr="00007760" w:rsidRDefault="00103CFB" w:rsidP="00103CFB">
            <w:pPr>
              <w:spacing w:after="0"/>
              <w:ind w:left="0"/>
              <w:rPr>
                <w:color w:val="000000"/>
              </w:rPr>
            </w:pPr>
            <w:r>
              <w:rPr>
                <w:color w:val="000000"/>
              </w:rPr>
              <w:t>TXQF0115</w:t>
            </w:r>
          </w:p>
        </w:tc>
        <w:tc>
          <w:tcPr>
            <w:tcW w:w="6963" w:type="dxa"/>
            <w:vAlign w:val="bottom"/>
          </w:tcPr>
          <w:p w14:paraId="758B1DF1" w14:textId="77777777" w:rsidR="00103CFB" w:rsidRPr="00007760" w:rsidRDefault="00103CFB" w:rsidP="00103CFB">
            <w:pPr>
              <w:spacing w:after="0"/>
              <w:ind w:left="0"/>
              <w:rPr>
                <w:color w:val="000000"/>
              </w:rPr>
            </w:pPr>
            <w:r>
              <w:rPr>
                <w:color w:val="000000"/>
              </w:rPr>
              <w:t>Closed Accounts - C3 Assign</w:t>
            </w:r>
          </w:p>
        </w:tc>
      </w:tr>
      <w:tr w:rsidR="00103CFB" w:rsidRPr="00293F5E" w14:paraId="3C4E079C" w14:textId="77777777" w:rsidTr="00A26011">
        <w:trPr>
          <w:trHeight w:val="315"/>
        </w:trPr>
        <w:tc>
          <w:tcPr>
            <w:tcW w:w="684" w:type="dxa"/>
            <w:noWrap/>
            <w:vAlign w:val="bottom"/>
          </w:tcPr>
          <w:p w14:paraId="69259E18" w14:textId="61EA427E" w:rsidR="00103CFB" w:rsidRPr="004B4E82" w:rsidRDefault="00103CFB" w:rsidP="00103CFB">
            <w:pPr>
              <w:spacing w:after="0"/>
              <w:ind w:left="0"/>
              <w:jc w:val="center"/>
              <w:rPr>
                <w:color w:val="000000"/>
                <w:szCs w:val="22"/>
              </w:rPr>
            </w:pPr>
            <w:r>
              <w:rPr>
                <w:color w:val="000000"/>
                <w:szCs w:val="22"/>
              </w:rPr>
              <w:t>217</w:t>
            </w:r>
          </w:p>
        </w:tc>
        <w:tc>
          <w:tcPr>
            <w:tcW w:w="1677" w:type="dxa"/>
            <w:noWrap/>
            <w:vAlign w:val="bottom"/>
          </w:tcPr>
          <w:p w14:paraId="632EF986"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bottom"/>
          </w:tcPr>
          <w:p w14:paraId="1C277EB8" w14:textId="77777777" w:rsidR="00103CFB" w:rsidRPr="00007760" w:rsidRDefault="00103CFB" w:rsidP="00103CFB">
            <w:pPr>
              <w:spacing w:after="0"/>
              <w:ind w:left="0"/>
              <w:rPr>
                <w:color w:val="000000"/>
              </w:rPr>
            </w:pPr>
            <w:r>
              <w:rPr>
                <w:color w:val="000000"/>
              </w:rPr>
              <w:t>TXQF0115</w:t>
            </w:r>
          </w:p>
        </w:tc>
        <w:tc>
          <w:tcPr>
            <w:tcW w:w="6963" w:type="dxa"/>
            <w:vAlign w:val="bottom"/>
          </w:tcPr>
          <w:p w14:paraId="3235280B" w14:textId="77777777" w:rsidR="00103CFB" w:rsidRPr="00007760" w:rsidRDefault="00103CFB" w:rsidP="00103CFB">
            <w:pPr>
              <w:spacing w:after="0"/>
              <w:ind w:left="0"/>
              <w:rPr>
                <w:color w:val="000000"/>
              </w:rPr>
            </w:pPr>
            <w:r>
              <w:rPr>
                <w:color w:val="000000"/>
              </w:rPr>
              <w:t>Inactivated FTD Accounts</w:t>
            </w:r>
          </w:p>
        </w:tc>
      </w:tr>
      <w:tr w:rsidR="00103CFB" w:rsidRPr="00293F5E" w14:paraId="4F9B9567" w14:textId="77777777" w:rsidTr="00A26011">
        <w:trPr>
          <w:trHeight w:val="315"/>
        </w:trPr>
        <w:tc>
          <w:tcPr>
            <w:tcW w:w="684" w:type="dxa"/>
            <w:noWrap/>
            <w:vAlign w:val="bottom"/>
          </w:tcPr>
          <w:p w14:paraId="1886CECE" w14:textId="419B8597" w:rsidR="00103CFB" w:rsidRPr="004B4E82" w:rsidRDefault="00103CFB" w:rsidP="00103CFB">
            <w:pPr>
              <w:spacing w:after="0"/>
              <w:ind w:left="0"/>
              <w:jc w:val="center"/>
              <w:rPr>
                <w:color w:val="000000"/>
                <w:szCs w:val="22"/>
              </w:rPr>
            </w:pPr>
            <w:r w:rsidRPr="004B4E82">
              <w:rPr>
                <w:color w:val="000000"/>
                <w:szCs w:val="22"/>
              </w:rPr>
              <w:t>218</w:t>
            </w:r>
          </w:p>
        </w:tc>
        <w:tc>
          <w:tcPr>
            <w:tcW w:w="1677" w:type="dxa"/>
            <w:noWrap/>
            <w:vAlign w:val="bottom"/>
          </w:tcPr>
          <w:p w14:paraId="06B8743B"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bottom"/>
          </w:tcPr>
          <w:p w14:paraId="6D4FA22B" w14:textId="77777777" w:rsidR="00103CFB" w:rsidRPr="00007760" w:rsidRDefault="00103CFB" w:rsidP="00103CFB">
            <w:pPr>
              <w:spacing w:after="0"/>
              <w:ind w:left="0"/>
              <w:rPr>
                <w:color w:val="000000"/>
              </w:rPr>
            </w:pPr>
            <w:r>
              <w:rPr>
                <w:color w:val="000000"/>
              </w:rPr>
              <w:t>TXQF0116</w:t>
            </w:r>
          </w:p>
        </w:tc>
        <w:tc>
          <w:tcPr>
            <w:tcW w:w="6963" w:type="dxa"/>
            <w:vAlign w:val="bottom"/>
          </w:tcPr>
          <w:p w14:paraId="230D484E" w14:textId="77777777" w:rsidR="00103CFB" w:rsidRPr="00007760" w:rsidRDefault="00103CFB" w:rsidP="00103CFB">
            <w:pPr>
              <w:spacing w:after="0"/>
              <w:ind w:left="0"/>
              <w:rPr>
                <w:color w:val="000000"/>
              </w:rPr>
            </w:pPr>
            <w:r>
              <w:rPr>
                <w:color w:val="000000"/>
              </w:rPr>
              <w:t>Waiver Report</w:t>
            </w:r>
          </w:p>
        </w:tc>
      </w:tr>
      <w:tr w:rsidR="00103CFB" w:rsidRPr="00293F5E" w14:paraId="558A9897" w14:textId="77777777" w:rsidTr="00A26011">
        <w:trPr>
          <w:trHeight w:val="315"/>
        </w:trPr>
        <w:tc>
          <w:tcPr>
            <w:tcW w:w="684" w:type="dxa"/>
            <w:noWrap/>
            <w:vAlign w:val="bottom"/>
          </w:tcPr>
          <w:p w14:paraId="1EBF6BAF" w14:textId="48B89140" w:rsidR="00103CFB" w:rsidRPr="004B4E82" w:rsidRDefault="00103CFB" w:rsidP="00103CFB">
            <w:pPr>
              <w:spacing w:after="0"/>
              <w:ind w:left="0"/>
              <w:jc w:val="center"/>
              <w:rPr>
                <w:color w:val="000000"/>
                <w:szCs w:val="22"/>
              </w:rPr>
            </w:pPr>
            <w:r>
              <w:rPr>
                <w:color w:val="000000"/>
                <w:szCs w:val="22"/>
              </w:rPr>
              <w:t>219</w:t>
            </w:r>
          </w:p>
        </w:tc>
        <w:tc>
          <w:tcPr>
            <w:tcW w:w="1677" w:type="dxa"/>
            <w:noWrap/>
            <w:vAlign w:val="bottom"/>
          </w:tcPr>
          <w:p w14:paraId="3092D531"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center"/>
          </w:tcPr>
          <w:p w14:paraId="0C09909F" w14:textId="77777777" w:rsidR="00103CFB" w:rsidRPr="00007760" w:rsidRDefault="00103CFB" w:rsidP="00103CFB">
            <w:pPr>
              <w:spacing w:after="0"/>
              <w:ind w:left="0"/>
              <w:rPr>
                <w:color w:val="000000"/>
              </w:rPr>
            </w:pPr>
            <w:r>
              <w:rPr>
                <w:color w:val="000000"/>
              </w:rPr>
              <w:t>TXQF0180</w:t>
            </w:r>
          </w:p>
        </w:tc>
        <w:tc>
          <w:tcPr>
            <w:tcW w:w="6963" w:type="dxa"/>
            <w:vAlign w:val="bottom"/>
          </w:tcPr>
          <w:p w14:paraId="65FDD2BD" w14:textId="77777777" w:rsidR="00103CFB" w:rsidRPr="00007760" w:rsidRDefault="00103CFB" w:rsidP="00103CFB">
            <w:pPr>
              <w:spacing w:after="0"/>
              <w:ind w:left="0"/>
              <w:rPr>
                <w:color w:val="000000"/>
              </w:rPr>
            </w:pPr>
            <w:r>
              <w:rPr>
                <w:color w:val="000000"/>
              </w:rPr>
              <w:t>Estimated Report Count</w:t>
            </w:r>
          </w:p>
        </w:tc>
      </w:tr>
      <w:tr w:rsidR="00103CFB" w:rsidRPr="00293F5E" w14:paraId="765293EF" w14:textId="77777777" w:rsidTr="00A26011">
        <w:trPr>
          <w:trHeight w:val="315"/>
        </w:trPr>
        <w:tc>
          <w:tcPr>
            <w:tcW w:w="684" w:type="dxa"/>
            <w:noWrap/>
            <w:vAlign w:val="bottom"/>
          </w:tcPr>
          <w:p w14:paraId="410CC354" w14:textId="550206DA" w:rsidR="00103CFB" w:rsidRPr="004B4E82" w:rsidRDefault="00103CFB" w:rsidP="00103CFB">
            <w:pPr>
              <w:spacing w:after="0"/>
              <w:ind w:left="0"/>
              <w:jc w:val="center"/>
              <w:rPr>
                <w:color w:val="000000"/>
                <w:szCs w:val="22"/>
              </w:rPr>
            </w:pPr>
            <w:r w:rsidRPr="004B4E82">
              <w:rPr>
                <w:color w:val="000000"/>
                <w:szCs w:val="22"/>
              </w:rPr>
              <w:t>220</w:t>
            </w:r>
          </w:p>
        </w:tc>
        <w:tc>
          <w:tcPr>
            <w:tcW w:w="1677" w:type="dxa"/>
            <w:noWrap/>
            <w:vAlign w:val="bottom"/>
          </w:tcPr>
          <w:p w14:paraId="21AE4BA1"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center"/>
          </w:tcPr>
          <w:p w14:paraId="3698185C" w14:textId="77777777" w:rsidR="00103CFB" w:rsidRPr="00007760" w:rsidRDefault="00103CFB" w:rsidP="00103CFB">
            <w:pPr>
              <w:spacing w:after="0"/>
              <w:ind w:left="0"/>
              <w:rPr>
                <w:color w:val="000000"/>
              </w:rPr>
            </w:pPr>
            <w:r>
              <w:rPr>
                <w:color w:val="000000"/>
              </w:rPr>
              <w:t>TXQF0340</w:t>
            </w:r>
          </w:p>
        </w:tc>
        <w:tc>
          <w:tcPr>
            <w:tcW w:w="6963" w:type="dxa"/>
            <w:vAlign w:val="bottom"/>
          </w:tcPr>
          <w:p w14:paraId="03EB5618" w14:textId="77777777" w:rsidR="00103CFB" w:rsidRPr="00007760" w:rsidRDefault="00103CFB" w:rsidP="00103CFB">
            <w:pPr>
              <w:spacing w:after="0"/>
              <w:ind w:left="0"/>
              <w:rPr>
                <w:color w:val="000000"/>
              </w:rPr>
            </w:pPr>
            <w:r>
              <w:rPr>
                <w:color w:val="000000"/>
              </w:rPr>
              <w:t>Employee Range Stratification Table</w:t>
            </w:r>
          </w:p>
        </w:tc>
      </w:tr>
      <w:tr w:rsidR="00103CFB" w:rsidRPr="00293F5E" w14:paraId="692C9721" w14:textId="77777777" w:rsidTr="00A26011">
        <w:trPr>
          <w:trHeight w:val="315"/>
        </w:trPr>
        <w:tc>
          <w:tcPr>
            <w:tcW w:w="684" w:type="dxa"/>
            <w:noWrap/>
            <w:vAlign w:val="bottom"/>
          </w:tcPr>
          <w:p w14:paraId="59022106" w14:textId="720CC0F1" w:rsidR="00103CFB" w:rsidRPr="004B4E82" w:rsidRDefault="00103CFB" w:rsidP="00103CFB">
            <w:pPr>
              <w:spacing w:after="0"/>
              <w:ind w:left="0"/>
              <w:jc w:val="center"/>
              <w:rPr>
                <w:color w:val="000000"/>
                <w:szCs w:val="22"/>
              </w:rPr>
            </w:pPr>
            <w:r>
              <w:rPr>
                <w:color w:val="000000"/>
                <w:szCs w:val="22"/>
              </w:rPr>
              <w:t>221</w:t>
            </w:r>
          </w:p>
        </w:tc>
        <w:tc>
          <w:tcPr>
            <w:tcW w:w="1677" w:type="dxa"/>
            <w:noWrap/>
            <w:vAlign w:val="bottom"/>
          </w:tcPr>
          <w:p w14:paraId="41B9BDEB"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center"/>
          </w:tcPr>
          <w:p w14:paraId="0DB7B8F1" w14:textId="77777777" w:rsidR="00103CFB" w:rsidRPr="00007760" w:rsidRDefault="00103CFB" w:rsidP="00103CFB">
            <w:pPr>
              <w:spacing w:after="0"/>
              <w:ind w:left="0"/>
              <w:rPr>
                <w:color w:val="000000"/>
              </w:rPr>
            </w:pPr>
            <w:r>
              <w:rPr>
                <w:color w:val="000000"/>
              </w:rPr>
              <w:t>TXQF0340</w:t>
            </w:r>
          </w:p>
        </w:tc>
        <w:tc>
          <w:tcPr>
            <w:tcW w:w="6963" w:type="dxa"/>
            <w:vAlign w:val="bottom"/>
          </w:tcPr>
          <w:p w14:paraId="5C3E9D7C" w14:textId="77777777" w:rsidR="00103CFB" w:rsidRPr="00007760" w:rsidRDefault="00103CFB" w:rsidP="00103CFB">
            <w:pPr>
              <w:spacing w:after="0"/>
              <w:ind w:left="0"/>
              <w:rPr>
                <w:color w:val="000000"/>
              </w:rPr>
            </w:pPr>
            <w:r>
              <w:rPr>
                <w:color w:val="000000"/>
              </w:rPr>
              <w:t>Employee Turnover Stratification Table</w:t>
            </w:r>
          </w:p>
        </w:tc>
      </w:tr>
      <w:tr w:rsidR="00103CFB" w:rsidRPr="00293F5E" w14:paraId="4DFB7613" w14:textId="77777777" w:rsidTr="00A26011">
        <w:trPr>
          <w:trHeight w:val="315"/>
        </w:trPr>
        <w:tc>
          <w:tcPr>
            <w:tcW w:w="684" w:type="dxa"/>
            <w:noWrap/>
            <w:vAlign w:val="bottom"/>
          </w:tcPr>
          <w:p w14:paraId="6EAEBB35" w14:textId="78E76B54" w:rsidR="00103CFB" w:rsidRPr="004B4E82" w:rsidRDefault="00103CFB" w:rsidP="00103CFB">
            <w:pPr>
              <w:spacing w:after="0"/>
              <w:ind w:left="0"/>
              <w:jc w:val="center"/>
              <w:rPr>
                <w:color w:val="000000"/>
                <w:szCs w:val="22"/>
              </w:rPr>
            </w:pPr>
            <w:r w:rsidRPr="004B4E82">
              <w:rPr>
                <w:color w:val="000000"/>
                <w:szCs w:val="22"/>
              </w:rPr>
              <w:t>222</w:t>
            </w:r>
          </w:p>
        </w:tc>
        <w:tc>
          <w:tcPr>
            <w:tcW w:w="1677" w:type="dxa"/>
            <w:noWrap/>
            <w:vAlign w:val="bottom"/>
          </w:tcPr>
          <w:p w14:paraId="4050C183"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center"/>
          </w:tcPr>
          <w:p w14:paraId="751C8FBC" w14:textId="77777777" w:rsidR="00103CFB" w:rsidRPr="00007760" w:rsidRDefault="00103CFB" w:rsidP="00103CFB">
            <w:pPr>
              <w:spacing w:after="0"/>
              <w:ind w:left="0"/>
              <w:rPr>
                <w:color w:val="000000"/>
              </w:rPr>
            </w:pPr>
            <w:r>
              <w:rPr>
                <w:color w:val="000000"/>
              </w:rPr>
              <w:t>TXQF0340</w:t>
            </w:r>
          </w:p>
        </w:tc>
        <w:tc>
          <w:tcPr>
            <w:tcW w:w="6963" w:type="dxa"/>
            <w:vAlign w:val="bottom"/>
          </w:tcPr>
          <w:p w14:paraId="63C314A2" w14:textId="77777777" w:rsidR="00103CFB" w:rsidRPr="00007760" w:rsidRDefault="00103CFB" w:rsidP="00103CFB">
            <w:pPr>
              <w:spacing w:after="0"/>
              <w:ind w:left="0"/>
              <w:rPr>
                <w:color w:val="000000"/>
              </w:rPr>
            </w:pPr>
            <w:r>
              <w:rPr>
                <w:color w:val="000000"/>
              </w:rPr>
              <w:t>NAICS Stratification Table</w:t>
            </w:r>
          </w:p>
        </w:tc>
      </w:tr>
      <w:tr w:rsidR="00103CFB" w:rsidRPr="00293F5E" w14:paraId="2B04CB2A" w14:textId="77777777" w:rsidTr="00A26011">
        <w:trPr>
          <w:trHeight w:val="315"/>
        </w:trPr>
        <w:tc>
          <w:tcPr>
            <w:tcW w:w="684" w:type="dxa"/>
            <w:noWrap/>
            <w:vAlign w:val="bottom"/>
          </w:tcPr>
          <w:p w14:paraId="42ED8DF8" w14:textId="59564906" w:rsidR="00103CFB" w:rsidRPr="004B4E82" w:rsidRDefault="00103CFB" w:rsidP="00103CFB">
            <w:pPr>
              <w:spacing w:after="0"/>
              <w:ind w:left="0"/>
              <w:jc w:val="center"/>
              <w:rPr>
                <w:color w:val="000000"/>
                <w:szCs w:val="22"/>
              </w:rPr>
            </w:pPr>
            <w:r>
              <w:rPr>
                <w:color w:val="000000"/>
                <w:szCs w:val="22"/>
              </w:rPr>
              <w:t>223</w:t>
            </w:r>
          </w:p>
        </w:tc>
        <w:tc>
          <w:tcPr>
            <w:tcW w:w="1677" w:type="dxa"/>
            <w:noWrap/>
            <w:vAlign w:val="bottom"/>
          </w:tcPr>
          <w:p w14:paraId="2E6C3F7B"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center"/>
          </w:tcPr>
          <w:p w14:paraId="09CC2A1A" w14:textId="77777777" w:rsidR="00103CFB" w:rsidRPr="00007760" w:rsidRDefault="00103CFB" w:rsidP="00103CFB">
            <w:pPr>
              <w:spacing w:after="0"/>
              <w:ind w:left="0"/>
              <w:rPr>
                <w:color w:val="000000"/>
              </w:rPr>
            </w:pPr>
            <w:r>
              <w:rPr>
                <w:color w:val="000000"/>
              </w:rPr>
              <w:t>TXQF0340</w:t>
            </w:r>
          </w:p>
        </w:tc>
        <w:tc>
          <w:tcPr>
            <w:tcW w:w="6963" w:type="dxa"/>
            <w:vAlign w:val="bottom"/>
          </w:tcPr>
          <w:p w14:paraId="7877E7CE" w14:textId="77777777" w:rsidR="00103CFB" w:rsidRPr="00007760" w:rsidRDefault="00103CFB" w:rsidP="00103CFB">
            <w:pPr>
              <w:spacing w:after="0"/>
              <w:ind w:left="0"/>
              <w:rPr>
                <w:color w:val="000000"/>
              </w:rPr>
            </w:pPr>
            <w:r>
              <w:rPr>
                <w:color w:val="000000"/>
              </w:rPr>
              <w:t>Number of Accounts Per Point Range Table</w:t>
            </w:r>
          </w:p>
        </w:tc>
      </w:tr>
      <w:tr w:rsidR="00103CFB" w:rsidRPr="00293F5E" w14:paraId="39C2C687" w14:textId="77777777" w:rsidTr="00A26011">
        <w:trPr>
          <w:trHeight w:val="315"/>
        </w:trPr>
        <w:tc>
          <w:tcPr>
            <w:tcW w:w="684" w:type="dxa"/>
            <w:noWrap/>
            <w:vAlign w:val="bottom"/>
          </w:tcPr>
          <w:p w14:paraId="71F2D183" w14:textId="4CA8DA87" w:rsidR="00103CFB" w:rsidRPr="004B4E82" w:rsidRDefault="00103CFB" w:rsidP="00103CFB">
            <w:pPr>
              <w:spacing w:after="0"/>
              <w:ind w:left="0"/>
              <w:jc w:val="center"/>
              <w:rPr>
                <w:color w:val="000000"/>
                <w:szCs w:val="22"/>
              </w:rPr>
            </w:pPr>
            <w:r w:rsidRPr="004B4E82">
              <w:rPr>
                <w:color w:val="000000"/>
                <w:szCs w:val="22"/>
              </w:rPr>
              <w:t>224</w:t>
            </w:r>
          </w:p>
        </w:tc>
        <w:tc>
          <w:tcPr>
            <w:tcW w:w="1677" w:type="dxa"/>
            <w:noWrap/>
            <w:vAlign w:val="bottom"/>
          </w:tcPr>
          <w:p w14:paraId="0B5C84D5"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center"/>
          </w:tcPr>
          <w:p w14:paraId="776084C4" w14:textId="77777777" w:rsidR="00103CFB" w:rsidRPr="00007760" w:rsidRDefault="00103CFB" w:rsidP="00103CFB">
            <w:pPr>
              <w:spacing w:after="0"/>
              <w:ind w:left="0"/>
              <w:rPr>
                <w:color w:val="000000"/>
              </w:rPr>
            </w:pPr>
            <w:r>
              <w:rPr>
                <w:color w:val="000000"/>
              </w:rPr>
              <w:t>TXQF0340</w:t>
            </w:r>
          </w:p>
        </w:tc>
        <w:tc>
          <w:tcPr>
            <w:tcW w:w="6963" w:type="dxa"/>
            <w:vAlign w:val="bottom"/>
          </w:tcPr>
          <w:p w14:paraId="4CD2458B" w14:textId="77777777" w:rsidR="00103CFB" w:rsidRPr="00007760" w:rsidRDefault="00103CFB" w:rsidP="00103CFB">
            <w:pPr>
              <w:spacing w:after="0"/>
              <w:ind w:left="0"/>
              <w:rPr>
                <w:color w:val="000000"/>
              </w:rPr>
            </w:pPr>
            <w:r>
              <w:rPr>
                <w:color w:val="000000"/>
              </w:rPr>
              <w:t>Tax Rate Stratification Table</w:t>
            </w:r>
          </w:p>
        </w:tc>
      </w:tr>
      <w:tr w:rsidR="00103CFB" w:rsidRPr="00293F5E" w14:paraId="661F3DCF" w14:textId="77777777" w:rsidTr="00A26011">
        <w:trPr>
          <w:trHeight w:val="315"/>
        </w:trPr>
        <w:tc>
          <w:tcPr>
            <w:tcW w:w="684" w:type="dxa"/>
            <w:noWrap/>
            <w:vAlign w:val="bottom"/>
          </w:tcPr>
          <w:p w14:paraId="00470B81" w14:textId="5D824B5A" w:rsidR="00103CFB" w:rsidRPr="004B4E82" w:rsidRDefault="00103CFB" w:rsidP="00103CFB">
            <w:pPr>
              <w:spacing w:after="0"/>
              <w:ind w:left="0"/>
              <w:jc w:val="center"/>
              <w:rPr>
                <w:color w:val="000000"/>
                <w:szCs w:val="22"/>
              </w:rPr>
            </w:pPr>
            <w:r>
              <w:rPr>
                <w:color w:val="000000"/>
                <w:szCs w:val="22"/>
              </w:rPr>
              <w:lastRenderedPageBreak/>
              <w:t>225</w:t>
            </w:r>
          </w:p>
        </w:tc>
        <w:tc>
          <w:tcPr>
            <w:tcW w:w="1677" w:type="dxa"/>
            <w:noWrap/>
            <w:vAlign w:val="bottom"/>
          </w:tcPr>
          <w:p w14:paraId="4090FAE7"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center"/>
          </w:tcPr>
          <w:p w14:paraId="14F63BC0" w14:textId="77777777" w:rsidR="00103CFB" w:rsidRPr="00007760" w:rsidRDefault="00103CFB" w:rsidP="00103CFB">
            <w:pPr>
              <w:spacing w:after="0"/>
              <w:ind w:left="0"/>
              <w:rPr>
                <w:color w:val="000000"/>
              </w:rPr>
            </w:pPr>
            <w:r>
              <w:rPr>
                <w:color w:val="000000"/>
              </w:rPr>
              <w:t>TXQF0500</w:t>
            </w:r>
          </w:p>
        </w:tc>
        <w:tc>
          <w:tcPr>
            <w:tcW w:w="6963" w:type="dxa"/>
            <w:vAlign w:val="bottom"/>
          </w:tcPr>
          <w:p w14:paraId="455EEFB8" w14:textId="77777777" w:rsidR="00103CFB" w:rsidRPr="00007760" w:rsidRDefault="00103CFB" w:rsidP="00103CFB">
            <w:pPr>
              <w:spacing w:after="0"/>
              <w:ind w:left="0"/>
              <w:rPr>
                <w:color w:val="000000"/>
              </w:rPr>
            </w:pPr>
            <w:r>
              <w:rPr>
                <w:color w:val="000000"/>
              </w:rPr>
              <w:t>LBB - Performance Measures</w:t>
            </w:r>
          </w:p>
        </w:tc>
      </w:tr>
      <w:tr w:rsidR="00103CFB" w:rsidRPr="00293F5E" w14:paraId="0103E55C" w14:textId="77777777" w:rsidTr="00A26011">
        <w:trPr>
          <w:trHeight w:val="315"/>
        </w:trPr>
        <w:tc>
          <w:tcPr>
            <w:tcW w:w="684" w:type="dxa"/>
            <w:noWrap/>
            <w:vAlign w:val="bottom"/>
          </w:tcPr>
          <w:p w14:paraId="5793117A" w14:textId="6FAC48B9" w:rsidR="00103CFB" w:rsidRPr="004B4E82" w:rsidRDefault="00103CFB" w:rsidP="00103CFB">
            <w:pPr>
              <w:spacing w:after="0"/>
              <w:ind w:left="0"/>
              <w:jc w:val="center"/>
              <w:rPr>
                <w:color w:val="000000"/>
                <w:szCs w:val="22"/>
              </w:rPr>
            </w:pPr>
            <w:r w:rsidRPr="004B4E82">
              <w:rPr>
                <w:color w:val="000000"/>
                <w:szCs w:val="22"/>
              </w:rPr>
              <w:t>226</w:t>
            </w:r>
          </w:p>
        </w:tc>
        <w:tc>
          <w:tcPr>
            <w:tcW w:w="1677" w:type="dxa"/>
            <w:noWrap/>
            <w:vAlign w:val="bottom"/>
          </w:tcPr>
          <w:p w14:paraId="40126903"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bottom"/>
          </w:tcPr>
          <w:p w14:paraId="1D535CF4" w14:textId="77777777" w:rsidR="00103CFB" w:rsidRPr="00007760" w:rsidRDefault="00103CFB" w:rsidP="00103CFB">
            <w:pPr>
              <w:spacing w:after="0"/>
              <w:ind w:left="0"/>
              <w:rPr>
                <w:color w:val="000000"/>
              </w:rPr>
            </w:pPr>
            <w:r>
              <w:rPr>
                <w:color w:val="000000"/>
              </w:rPr>
              <w:t>TXQF0645</w:t>
            </w:r>
          </w:p>
        </w:tc>
        <w:tc>
          <w:tcPr>
            <w:tcW w:w="6963" w:type="dxa"/>
            <w:vAlign w:val="bottom"/>
          </w:tcPr>
          <w:p w14:paraId="2221AD59" w14:textId="77777777" w:rsidR="00103CFB" w:rsidRPr="00007760" w:rsidRDefault="00103CFB" w:rsidP="00103CFB">
            <w:pPr>
              <w:spacing w:after="0"/>
              <w:ind w:left="0"/>
              <w:rPr>
                <w:color w:val="000000"/>
              </w:rPr>
            </w:pPr>
            <w:r>
              <w:rPr>
                <w:color w:val="000000"/>
              </w:rPr>
              <w:t>Employer Self-Elect 201.024 Review Report</w:t>
            </w:r>
          </w:p>
        </w:tc>
      </w:tr>
      <w:tr w:rsidR="00103CFB" w:rsidRPr="00293F5E" w14:paraId="1D02E3BF" w14:textId="77777777" w:rsidTr="00A26011">
        <w:trPr>
          <w:trHeight w:val="315"/>
        </w:trPr>
        <w:tc>
          <w:tcPr>
            <w:tcW w:w="684" w:type="dxa"/>
            <w:noWrap/>
            <w:vAlign w:val="bottom"/>
          </w:tcPr>
          <w:p w14:paraId="0D82AC7A" w14:textId="179A1B35" w:rsidR="00103CFB" w:rsidRPr="004B4E82" w:rsidRDefault="00103CFB" w:rsidP="00103CFB">
            <w:pPr>
              <w:spacing w:after="0"/>
              <w:ind w:left="0"/>
              <w:jc w:val="center"/>
              <w:rPr>
                <w:color w:val="000000"/>
                <w:szCs w:val="22"/>
              </w:rPr>
            </w:pPr>
            <w:r>
              <w:rPr>
                <w:color w:val="000000"/>
                <w:szCs w:val="22"/>
              </w:rPr>
              <w:t>227</w:t>
            </w:r>
          </w:p>
        </w:tc>
        <w:tc>
          <w:tcPr>
            <w:tcW w:w="1677" w:type="dxa"/>
            <w:noWrap/>
            <w:vAlign w:val="bottom"/>
          </w:tcPr>
          <w:p w14:paraId="691F84AF"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bottom"/>
          </w:tcPr>
          <w:p w14:paraId="79321409" w14:textId="77777777" w:rsidR="00103CFB" w:rsidRPr="00007760" w:rsidRDefault="00103CFB" w:rsidP="00103CFB">
            <w:pPr>
              <w:spacing w:after="0"/>
              <w:ind w:left="0"/>
              <w:rPr>
                <w:color w:val="000000"/>
              </w:rPr>
            </w:pPr>
            <w:r>
              <w:rPr>
                <w:color w:val="000000"/>
              </w:rPr>
              <w:t>TXQF0650</w:t>
            </w:r>
          </w:p>
        </w:tc>
        <w:tc>
          <w:tcPr>
            <w:tcW w:w="6963" w:type="dxa"/>
            <w:vAlign w:val="bottom"/>
          </w:tcPr>
          <w:p w14:paraId="1137995B" w14:textId="77777777" w:rsidR="00103CFB" w:rsidRPr="00007760" w:rsidRDefault="00103CFB" w:rsidP="00103CFB">
            <w:pPr>
              <w:spacing w:after="0"/>
              <w:ind w:left="0"/>
              <w:rPr>
                <w:color w:val="000000"/>
              </w:rPr>
            </w:pPr>
            <w:r>
              <w:rPr>
                <w:color w:val="000000"/>
              </w:rPr>
              <w:t>Quarterly FTD Count Report</w:t>
            </w:r>
          </w:p>
        </w:tc>
      </w:tr>
      <w:tr w:rsidR="00103CFB" w:rsidRPr="00293F5E" w14:paraId="549B7091" w14:textId="77777777" w:rsidTr="00A26011">
        <w:trPr>
          <w:trHeight w:val="315"/>
        </w:trPr>
        <w:tc>
          <w:tcPr>
            <w:tcW w:w="684" w:type="dxa"/>
            <w:noWrap/>
            <w:vAlign w:val="bottom"/>
          </w:tcPr>
          <w:p w14:paraId="12E7C5E5" w14:textId="7758A2CC" w:rsidR="00103CFB" w:rsidRPr="004B4E82" w:rsidRDefault="00103CFB" w:rsidP="00103CFB">
            <w:pPr>
              <w:spacing w:after="0"/>
              <w:ind w:left="0"/>
              <w:jc w:val="center"/>
              <w:rPr>
                <w:color w:val="000000"/>
                <w:szCs w:val="22"/>
              </w:rPr>
            </w:pPr>
            <w:r w:rsidRPr="004B4E82">
              <w:rPr>
                <w:color w:val="000000"/>
                <w:szCs w:val="22"/>
              </w:rPr>
              <w:t>228</w:t>
            </w:r>
          </w:p>
        </w:tc>
        <w:tc>
          <w:tcPr>
            <w:tcW w:w="1677" w:type="dxa"/>
            <w:noWrap/>
            <w:vAlign w:val="bottom"/>
          </w:tcPr>
          <w:p w14:paraId="609F9BCF"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bottom"/>
          </w:tcPr>
          <w:p w14:paraId="66294830" w14:textId="77777777" w:rsidR="00103CFB" w:rsidRPr="00007760" w:rsidRDefault="00103CFB" w:rsidP="00103CFB">
            <w:pPr>
              <w:spacing w:after="0"/>
              <w:ind w:left="0"/>
              <w:rPr>
                <w:color w:val="000000"/>
              </w:rPr>
            </w:pPr>
            <w:r>
              <w:rPr>
                <w:color w:val="000000"/>
              </w:rPr>
              <w:t>TXQF0655</w:t>
            </w:r>
          </w:p>
        </w:tc>
        <w:tc>
          <w:tcPr>
            <w:tcW w:w="6963" w:type="dxa"/>
            <w:vAlign w:val="bottom"/>
          </w:tcPr>
          <w:p w14:paraId="58C33A2B" w14:textId="77777777" w:rsidR="00103CFB" w:rsidRPr="00007760" w:rsidRDefault="00103CFB" w:rsidP="00103CFB">
            <w:pPr>
              <w:spacing w:after="0"/>
              <w:ind w:left="0"/>
              <w:rPr>
                <w:color w:val="000000"/>
              </w:rPr>
            </w:pPr>
            <w:r>
              <w:rPr>
                <w:color w:val="000000"/>
              </w:rPr>
              <w:t>FTD Exception Report</w:t>
            </w:r>
          </w:p>
        </w:tc>
      </w:tr>
      <w:tr w:rsidR="00103CFB" w:rsidRPr="00293F5E" w14:paraId="63E4C863" w14:textId="77777777" w:rsidTr="00A26011">
        <w:trPr>
          <w:trHeight w:val="315"/>
        </w:trPr>
        <w:tc>
          <w:tcPr>
            <w:tcW w:w="684" w:type="dxa"/>
            <w:noWrap/>
            <w:vAlign w:val="bottom"/>
          </w:tcPr>
          <w:p w14:paraId="6A3A488F" w14:textId="732BF1D8" w:rsidR="00103CFB" w:rsidRPr="004B4E82" w:rsidRDefault="00103CFB" w:rsidP="00103CFB">
            <w:pPr>
              <w:spacing w:after="0"/>
              <w:ind w:left="0"/>
              <w:jc w:val="center"/>
              <w:rPr>
                <w:color w:val="000000"/>
                <w:szCs w:val="22"/>
              </w:rPr>
            </w:pPr>
            <w:r>
              <w:rPr>
                <w:color w:val="000000"/>
                <w:szCs w:val="22"/>
              </w:rPr>
              <w:t>229</w:t>
            </w:r>
          </w:p>
        </w:tc>
        <w:tc>
          <w:tcPr>
            <w:tcW w:w="1677" w:type="dxa"/>
            <w:noWrap/>
            <w:vAlign w:val="bottom"/>
          </w:tcPr>
          <w:p w14:paraId="58FE86A4"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bottom"/>
          </w:tcPr>
          <w:p w14:paraId="3780229C" w14:textId="77777777" w:rsidR="00103CFB" w:rsidRPr="00007760" w:rsidRDefault="00103CFB" w:rsidP="00103CFB">
            <w:pPr>
              <w:spacing w:after="0"/>
              <w:ind w:left="0"/>
              <w:rPr>
                <w:color w:val="000000"/>
              </w:rPr>
            </w:pPr>
            <w:r>
              <w:rPr>
                <w:color w:val="000000"/>
              </w:rPr>
              <w:t>TXQM9921</w:t>
            </w:r>
          </w:p>
        </w:tc>
        <w:tc>
          <w:tcPr>
            <w:tcW w:w="6963" w:type="dxa"/>
            <w:vAlign w:val="bottom"/>
          </w:tcPr>
          <w:p w14:paraId="49BC9D21" w14:textId="77777777" w:rsidR="00103CFB" w:rsidRPr="00007760" w:rsidRDefault="00103CFB" w:rsidP="00103CFB">
            <w:pPr>
              <w:spacing w:after="0"/>
              <w:ind w:left="0"/>
              <w:rPr>
                <w:color w:val="000000"/>
              </w:rPr>
            </w:pPr>
            <w:r>
              <w:rPr>
                <w:color w:val="000000"/>
              </w:rPr>
              <w:t>Monthly Paid Taxable Wage Controls</w:t>
            </w:r>
          </w:p>
        </w:tc>
      </w:tr>
      <w:tr w:rsidR="00103CFB" w:rsidRPr="00293F5E" w14:paraId="6E494ACC" w14:textId="77777777" w:rsidTr="00A26011">
        <w:trPr>
          <w:trHeight w:val="315"/>
        </w:trPr>
        <w:tc>
          <w:tcPr>
            <w:tcW w:w="684" w:type="dxa"/>
            <w:noWrap/>
            <w:vAlign w:val="bottom"/>
          </w:tcPr>
          <w:p w14:paraId="5AE87027" w14:textId="636A9E29" w:rsidR="00103CFB" w:rsidRPr="004B4E82" w:rsidRDefault="00103CFB" w:rsidP="00103CFB">
            <w:pPr>
              <w:spacing w:after="0"/>
              <w:ind w:left="0"/>
              <w:jc w:val="center"/>
              <w:rPr>
                <w:color w:val="000000"/>
                <w:szCs w:val="22"/>
              </w:rPr>
            </w:pPr>
            <w:r w:rsidRPr="004B4E82">
              <w:rPr>
                <w:color w:val="000000"/>
                <w:szCs w:val="22"/>
              </w:rPr>
              <w:t>230</w:t>
            </w:r>
          </w:p>
        </w:tc>
        <w:tc>
          <w:tcPr>
            <w:tcW w:w="1677" w:type="dxa"/>
            <w:noWrap/>
            <w:vAlign w:val="bottom"/>
          </w:tcPr>
          <w:p w14:paraId="2223817B"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bottom"/>
          </w:tcPr>
          <w:p w14:paraId="472B0215" w14:textId="77777777" w:rsidR="00103CFB" w:rsidRPr="00007760" w:rsidRDefault="00103CFB" w:rsidP="00103CFB">
            <w:pPr>
              <w:spacing w:after="0"/>
              <w:ind w:left="0"/>
              <w:rPr>
                <w:color w:val="000000"/>
              </w:rPr>
            </w:pPr>
            <w:r>
              <w:rPr>
                <w:color w:val="000000"/>
              </w:rPr>
              <w:t>TXQR0080</w:t>
            </w:r>
          </w:p>
        </w:tc>
        <w:tc>
          <w:tcPr>
            <w:tcW w:w="6963" w:type="dxa"/>
            <w:vAlign w:val="bottom"/>
          </w:tcPr>
          <w:p w14:paraId="57FBB486" w14:textId="77777777" w:rsidR="00103CFB" w:rsidRPr="00007760" w:rsidRDefault="00103CFB" w:rsidP="00103CFB">
            <w:pPr>
              <w:spacing w:after="0"/>
              <w:ind w:left="0"/>
              <w:rPr>
                <w:color w:val="000000"/>
              </w:rPr>
            </w:pPr>
            <w:r>
              <w:rPr>
                <w:color w:val="000000"/>
              </w:rPr>
              <w:t>Chargeback Report</w:t>
            </w:r>
          </w:p>
        </w:tc>
      </w:tr>
      <w:tr w:rsidR="00103CFB" w:rsidRPr="00293F5E" w14:paraId="0D646AFA" w14:textId="77777777" w:rsidTr="00A26011">
        <w:trPr>
          <w:trHeight w:val="315"/>
        </w:trPr>
        <w:tc>
          <w:tcPr>
            <w:tcW w:w="684" w:type="dxa"/>
            <w:noWrap/>
            <w:vAlign w:val="bottom"/>
          </w:tcPr>
          <w:p w14:paraId="0CC77750" w14:textId="6A644EDD" w:rsidR="00103CFB" w:rsidRPr="004B4E82" w:rsidRDefault="00103CFB" w:rsidP="00103CFB">
            <w:pPr>
              <w:spacing w:after="0"/>
              <w:ind w:left="0"/>
              <w:jc w:val="center"/>
              <w:rPr>
                <w:color w:val="000000"/>
                <w:szCs w:val="22"/>
              </w:rPr>
            </w:pPr>
            <w:r>
              <w:rPr>
                <w:color w:val="000000"/>
                <w:szCs w:val="22"/>
              </w:rPr>
              <w:t>231</w:t>
            </w:r>
          </w:p>
        </w:tc>
        <w:tc>
          <w:tcPr>
            <w:tcW w:w="1677" w:type="dxa"/>
            <w:noWrap/>
            <w:vAlign w:val="bottom"/>
          </w:tcPr>
          <w:p w14:paraId="5B38EDA3"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bottom"/>
          </w:tcPr>
          <w:p w14:paraId="32015B2F" w14:textId="77777777" w:rsidR="00103CFB" w:rsidRPr="00007760" w:rsidRDefault="00103CFB" w:rsidP="00103CFB">
            <w:pPr>
              <w:spacing w:after="0"/>
              <w:ind w:left="0"/>
              <w:rPr>
                <w:color w:val="000000"/>
              </w:rPr>
            </w:pPr>
            <w:r>
              <w:rPr>
                <w:color w:val="000000"/>
              </w:rPr>
              <w:t>TXQR0084</w:t>
            </w:r>
          </w:p>
        </w:tc>
        <w:tc>
          <w:tcPr>
            <w:tcW w:w="6963" w:type="dxa"/>
            <w:vAlign w:val="bottom"/>
          </w:tcPr>
          <w:p w14:paraId="7913F329" w14:textId="77777777" w:rsidR="00103CFB" w:rsidRPr="00007760" w:rsidRDefault="00103CFB" w:rsidP="00103CFB">
            <w:pPr>
              <w:spacing w:after="0"/>
              <w:ind w:left="0"/>
              <w:rPr>
                <w:color w:val="000000"/>
              </w:rPr>
            </w:pPr>
            <w:r>
              <w:rPr>
                <w:color w:val="000000"/>
              </w:rPr>
              <w:t>Chargeback Controls</w:t>
            </w:r>
          </w:p>
        </w:tc>
      </w:tr>
      <w:tr w:rsidR="00103CFB" w:rsidRPr="00293F5E" w14:paraId="16B6788E" w14:textId="77777777" w:rsidTr="00A26011">
        <w:trPr>
          <w:trHeight w:val="315"/>
        </w:trPr>
        <w:tc>
          <w:tcPr>
            <w:tcW w:w="684" w:type="dxa"/>
            <w:noWrap/>
            <w:vAlign w:val="bottom"/>
          </w:tcPr>
          <w:p w14:paraId="6068AEB1" w14:textId="18479824" w:rsidR="00103CFB" w:rsidRPr="004B4E82" w:rsidRDefault="00103CFB" w:rsidP="00103CFB">
            <w:pPr>
              <w:spacing w:after="0"/>
              <w:ind w:left="0"/>
              <w:jc w:val="center"/>
              <w:rPr>
                <w:color w:val="000000"/>
                <w:szCs w:val="22"/>
              </w:rPr>
            </w:pPr>
            <w:r w:rsidRPr="004B4E82">
              <w:rPr>
                <w:color w:val="000000"/>
                <w:szCs w:val="22"/>
              </w:rPr>
              <w:t>232</w:t>
            </w:r>
          </w:p>
        </w:tc>
        <w:tc>
          <w:tcPr>
            <w:tcW w:w="1677" w:type="dxa"/>
            <w:noWrap/>
            <w:vAlign w:val="bottom"/>
          </w:tcPr>
          <w:p w14:paraId="2B02AD25"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bottom"/>
          </w:tcPr>
          <w:p w14:paraId="20B92D0D" w14:textId="77777777" w:rsidR="00103CFB" w:rsidRPr="00007760" w:rsidRDefault="00103CFB" w:rsidP="00103CFB">
            <w:pPr>
              <w:spacing w:after="0"/>
              <w:ind w:left="0"/>
              <w:rPr>
                <w:color w:val="000000"/>
              </w:rPr>
            </w:pPr>
            <w:r>
              <w:rPr>
                <w:color w:val="000000"/>
              </w:rPr>
              <w:t>TXQR0084</w:t>
            </w:r>
          </w:p>
        </w:tc>
        <w:tc>
          <w:tcPr>
            <w:tcW w:w="6963" w:type="dxa"/>
            <w:vAlign w:val="bottom"/>
          </w:tcPr>
          <w:p w14:paraId="7B01FF92" w14:textId="77777777" w:rsidR="00103CFB" w:rsidRPr="00007760" w:rsidRDefault="00103CFB" w:rsidP="00103CFB">
            <w:pPr>
              <w:spacing w:after="0"/>
              <w:ind w:left="0"/>
              <w:rPr>
                <w:color w:val="000000"/>
              </w:rPr>
            </w:pPr>
            <w:r>
              <w:rPr>
                <w:color w:val="000000"/>
              </w:rPr>
              <w:t>Chargeback Exception List</w:t>
            </w:r>
          </w:p>
        </w:tc>
      </w:tr>
      <w:tr w:rsidR="00103CFB" w:rsidRPr="00293F5E" w14:paraId="5272D026" w14:textId="77777777" w:rsidTr="00A26011">
        <w:trPr>
          <w:trHeight w:val="315"/>
        </w:trPr>
        <w:tc>
          <w:tcPr>
            <w:tcW w:w="684" w:type="dxa"/>
            <w:noWrap/>
            <w:vAlign w:val="bottom"/>
          </w:tcPr>
          <w:p w14:paraId="713BA471" w14:textId="762B8CCE" w:rsidR="00103CFB" w:rsidRPr="004B4E82" w:rsidRDefault="00103CFB" w:rsidP="00103CFB">
            <w:pPr>
              <w:spacing w:after="0"/>
              <w:ind w:left="0"/>
              <w:jc w:val="center"/>
              <w:rPr>
                <w:color w:val="000000"/>
                <w:szCs w:val="22"/>
              </w:rPr>
            </w:pPr>
            <w:r>
              <w:rPr>
                <w:color w:val="000000"/>
                <w:szCs w:val="22"/>
              </w:rPr>
              <w:t>233</w:t>
            </w:r>
          </w:p>
        </w:tc>
        <w:tc>
          <w:tcPr>
            <w:tcW w:w="1677" w:type="dxa"/>
            <w:noWrap/>
            <w:vAlign w:val="bottom"/>
          </w:tcPr>
          <w:p w14:paraId="1820807C"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bottom"/>
          </w:tcPr>
          <w:p w14:paraId="31EDCB39" w14:textId="77777777" w:rsidR="00103CFB" w:rsidRPr="00007760" w:rsidRDefault="00103CFB" w:rsidP="00103CFB">
            <w:pPr>
              <w:spacing w:after="0"/>
              <w:ind w:left="0"/>
              <w:rPr>
                <w:color w:val="000000"/>
              </w:rPr>
            </w:pPr>
            <w:r>
              <w:rPr>
                <w:color w:val="000000"/>
              </w:rPr>
              <w:t>TXQR0100</w:t>
            </w:r>
          </w:p>
        </w:tc>
        <w:tc>
          <w:tcPr>
            <w:tcW w:w="6963" w:type="dxa"/>
            <w:vAlign w:val="bottom"/>
          </w:tcPr>
          <w:p w14:paraId="0A9A09B3" w14:textId="77777777" w:rsidR="00103CFB" w:rsidRPr="00007760" w:rsidRDefault="00103CFB" w:rsidP="00103CFB">
            <w:pPr>
              <w:spacing w:after="0"/>
              <w:ind w:left="0"/>
              <w:rPr>
                <w:color w:val="000000"/>
              </w:rPr>
            </w:pPr>
            <w:r>
              <w:rPr>
                <w:color w:val="000000"/>
              </w:rPr>
              <w:t>Quarter Detail for Experience Rating Ratios</w:t>
            </w:r>
          </w:p>
        </w:tc>
      </w:tr>
      <w:tr w:rsidR="00103CFB" w:rsidRPr="00293F5E" w14:paraId="1A874BA2" w14:textId="77777777" w:rsidTr="00A26011">
        <w:trPr>
          <w:trHeight w:val="315"/>
        </w:trPr>
        <w:tc>
          <w:tcPr>
            <w:tcW w:w="684" w:type="dxa"/>
            <w:noWrap/>
            <w:vAlign w:val="bottom"/>
          </w:tcPr>
          <w:p w14:paraId="19A81D85" w14:textId="5BF0AB0E" w:rsidR="00103CFB" w:rsidRPr="004B4E82" w:rsidRDefault="00103CFB" w:rsidP="00103CFB">
            <w:pPr>
              <w:spacing w:after="0"/>
              <w:ind w:left="0"/>
              <w:jc w:val="center"/>
              <w:rPr>
                <w:color w:val="000000"/>
                <w:szCs w:val="22"/>
              </w:rPr>
            </w:pPr>
            <w:r w:rsidRPr="004B4E82">
              <w:rPr>
                <w:color w:val="000000"/>
                <w:szCs w:val="22"/>
              </w:rPr>
              <w:t>234</w:t>
            </w:r>
          </w:p>
        </w:tc>
        <w:tc>
          <w:tcPr>
            <w:tcW w:w="1677" w:type="dxa"/>
            <w:noWrap/>
            <w:vAlign w:val="bottom"/>
          </w:tcPr>
          <w:p w14:paraId="61813761"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bottom"/>
          </w:tcPr>
          <w:p w14:paraId="353669B1" w14:textId="77777777" w:rsidR="00103CFB" w:rsidRPr="00007760" w:rsidRDefault="00103CFB" w:rsidP="00103CFB">
            <w:pPr>
              <w:spacing w:after="0"/>
              <w:ind w:left="0"/>
              <w:rPr>
                <w:color w:val="000000"/>
              </w:rPr>
            </w:pPr>
            <w:r>
              <w:rPr>
                <w:color w:val="000000"/>
              </w:rPr>
              <w:t>TXQR0100</w:t>
            </w:r>
          </w:p>
        </w:tc>
        <w:tc>
          <w:tcPr>
            <w:tcW w:w="6963" w:type="dxa"/>
            <w:vAlign w:val="bottom"/>
          </w:tcPr>
          <w:p w14:paraId="038182E5" w14:textId="7CDF991E" w:rsidR="00103CFB" w:rsidRPr="00007760" w:rsidRDefault="00103CFB" w:rsidP="00103CFB">
            <w:pPr>
              <w:spacing w:after="0"/>
              <w:ind w:left="0"/>
              <w:rPr>
                <w:color w:val="000000"/>
              </w:rPr>
            </w:pPr>
            <w:r>
              <w:rPr>
                <w:color w:val="000000"/>
              </w:rPr>
              <w:t xml:space="preserve">Quarter Detail for Experience Rating Ratios - </w:t>
            </w:r>
            <w:r w:rsidR="0098693C">
              <w:rPr>
                <w:color w:val="000000"/>
              </w:rPr>
              <w:t>System Output</w:t>
            </w:r>
            <w:r>
              <w:rPr>
                <w:color w:val="000000"/>
              </w:rPr>
              <w:t xml:space="preserve"> Messages</w:t>
            </w:r>
          </w:p>
        </w:tc>
      </w:tr>
      <w:tr w:rsidR="00103CFB" w:rsidRPr="00293F5E" w14:paraId="2EEBC421" w14:textId="77777777" w:rsidTr="00A26011">
        <w:trPr>
          <w:trHeight w:val="315"/>
        </w:trPr>
        <w:tc>
          <w:tcPr>
            <w:tcW w:w="684" w:type="dxa"/>
            <w:noWrap/>
            <w:vAlign w:val="bottom"/>
          </w:tcPr>
          <w:p w14:paraId="536D416B" w14:textId="1E5199A5" w:rsidR="00103CFB" w:rsidRPr="004B4E82" w:rsidRDefault="00103CFB" w:rsidP="00103CFB">
            <w:pPr>
              <w:spacing w:after="0"/>
              <w:ind w:left="0"/>
              <w:jc w:val="center"/>
              <w:rPr>
                <w:color w:val="000000"/>
                <w:szCs w:val="22"/>
              </w:rPr>
            </w:pPr>
            <w:r>
              <w:rPr>
                <w:color w:val="000000"/>
                <w:szCs w:val="22"/>
              </w:rPr>
              <w:t>235</w:t>
            </w:r>
          </w:p>
        </w:tc>
        <w:tc>
          <w:tcPr>
            <w:tcW w:w="1677" w:type="dxa"/>
            <w:noWrap/>
            <w:vAlign w:val="bottom"/>
          </w:tcPr>
          <w:p w14:paraId="21738F39"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bottom"/>
          </w:tcPr>
          <w:p w14:paraId="694A4004" w14:textId="77777777" w:rsidR="00103CFB" w:rsidRPr="00007760" w:rsidRDefault="00103CFB" w:rsidP="00103CFB">
            <w:pPr>
              <w:spacing w:after="0"/>
              <w:ind w:left="0"/>
              <w:rPr>
                <w:color w:val="000000"/>
              </w:rPr>
            </w:pPr>
            <w:r>
              <w:rPr>
                <w:color w:val="000000"/>
              </w:rPr>
              <w:t>TXQS0010</w:t>
            </w:r>
          </w:p>
        </w:tc>
        <w:tc>
          <w:tcPr>
            <w:tcW w:w="6963" w:type="dxa"/>
            <w:vAlign w:val="bottom"/>
          </w:tcPr>
          <w:p w14:paraId="6086D023" w14:textId="77777777" w:rsidR="00103CFB" w:rsidRPr="00007760" w:rsidRDefault="00103CFB" w:rsidP="00103CFB">
            <w:pPr>
              <w:spacing w:after="0"/>
              <w:ind w:left="0"/>
              <w:rPr>
                <w:color w:val="000000"/>
              </w:rPr>
            </w:pPr>
            <w:r>
              <w:rPr>
                <w:color w:val="000000"/>
              </w:rPr>
              <w:t>System Inactivated Accounts</w:t>
            </w:r>
          </w:p>
        </w:tc>
      </w:tr>
      <w:tr w:rsidR="00103CFB" w:rsidRPr="00293F5E" w14:paraId="0ED3760A" w14:textId="77777777" w:rsidTr="00A26011">
        <w:trPr>
          <w:trHeight w:val="315"/>
        </w:trPr>
        <w:tc>
          <w:tcPr>
            <w:tcW w:w="684" w:type="dxa"/>
            <w:noWrap/>
            <w:vAlign w:val="bottom"/>
          </w:tcPr>
          <w:p w14:paraId="25CFF1AB" w14:textId="3DAC5DB6" w:rsidR="00103CFB" w:rsidRPr="004B4E82" w:rsidRDefault="00103CFB" w:rsidP="00103CFB">
            <w:pPr>
              <w:spacing w:after="0"/>
              <w:ind w:left="0"/>
              <w:jc w:val="center"/>
              <w:rPr>
                <w:color w:val="000000"/>
                <w:szCs w:val="22"/>
              </w:rPr>
            </w:pPr>
            <w:r w:rsidRPr="004B4E82">
              <w:rPr>
                <w:color w:val="000000"/>
                <w:szCs w:val="22"/>
              </w:rPr>
              <w:t>236</w:t>
            </w:r>
          </w:p>
        </w:tc>
        <w:tc>
          <w:tcPr>
            <w:tcW w:w="1677" w:type="dxa"/>
            <w:noWrap/>
            <w:vAlign w:val="bottom"/>
          </w:tcPr>
          <w:p w14:paraId="3576F222"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bottom"/>
          </w:tcPr>
          <w:p w14:paraId="2F33C0FE" w14:textId="77777777" w:rsidR="00103CFB" w:rsidRPr="00007760" w:rsidRDefault="00103CFB" w:rsidP="00103CFB">
            <w:pPr>
              <w:spacing w:after="0"/>
              <w:ind w:left="0"/>
              <w:rPr>
                <w:color w:val="000000"/>
              </w:rPr>
            </w:pPr>
            <w:r>
              <w:rPr>
                <w:color w:val="000000"/>
              </w:rPr>
              <w:t>TXQS0021</w:t>
            </w:r>
          </w:p>
        </w:tc>
        <w:tc>
          <w:tcPr>
            <w:tcW w:w="6963" w:type="dxa"/>
            <w:vAlign w:val="bottom"/>
          </w:tcPr>
          <w:p w14:paraId="6F7FA46A" w14:textId="77777777" w:rsidR="00103CFB" w:rsidRPr="00007760" w:rsidRDefault="00103CFB" w:rsidP="00103CFB">
            <w:pPr>
              <w:spacing w:after="0"/>
              <w:ind w:left="0"/>
              <w:rPr>
                <w:color w:val="000000"/>
              </w:rPr>
            </w:pPr>
            <w:r>
              <w:rPr>
                <w:color w:val="000000"/>
              </w:rPr>
              <w:t>IRS Letter Statistics</w:t>
            </w:r>
          </w:p>
        </w:tc>
      </w:tr>
      <w:tr w:rsidR="00103CFB" w:rsidRPr="00293F5E" w14:paraId="49ABD814" w14:textId="77777777" w:rsidTr="00A26011">
        <w:trPr>
          <w:trHeight w:val="315"/>
        </w:trPr>
        <w:tc>
          <w:tcPr>
            <w:tcW w:w="684" w:type="dxa"/>
            <w:noWrap/>
            <w:vAlign w:val="bottom"/>
          </w:tcPr>
          <w:p w14:paraId="6164171A" w14:textId="7A26B5A9" w:rsidR="00103CFB" w:rsidRPr="004B4E82" w:rsidRDefault="00103CFB" w:rsidP="00103CFB">
            <w:pPr>
              <w:spacing w:after="0"/>
              <w:ind w:left="0"/>
              <w:jc w:val="center"/>
              <w:rPr>
                <w:color w:val="000000"/>
                <w:szCs w:val="22"/>
              </w:rPr>
            </w:pPr>
            <w:r>
              <w:rPr>
                <w:color w:val="000000"/>
                <w:szCs w:val="22"/>
              </w:rPr>
              <w:t>237</w:t>
            </w:r>
          </w:p>
        </w:tc>
        <w:tc>
          <w:tcPr>
            <w:tcW w:w="1677" w:type="dxa"/>
            <w:noWrap/>
            <w:vAlign w:val="bottom"/>
          </w:tcPr>
          <w:p w14:paraId="57D7267F"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bottom"/>
          </w:tcPr>
          <w:p w14:paraId="73ECBF1C" w14:textId="77777777" w:rsidR="00103CFB" w:rsidRPr="00007760" w:rsidRDefault="00103CFB" w:rsidP="00103CFB">
            <w:pPr>
              <w:spacing w:after="0"/>
              <w:ind w:left="0"/>
              <w:rPr>
                <w:color w:val="000000"/>
              </w:rPr>
            </w:pPr>
            <w:r>
              <w:rPr>
                <w:color w:val="000000"/>
              </w:rPr>
              <w:t>TXQS0030</w:t>
            </w:r>
          </w:p>
        </w:tc>
        <w:tc>
          <w:tcPr>
            <w:tcW w:w="6963" w:type="dxa"/>
            <w:vAlign w:val="bottom"/>
          </w:tcPr>
          <w:p w14:paraId="5C6C815E" w14:textId="77777777" w:rsidR="00103CFB" w:rsidRPr="00007760" w:rsidRDefault="00103CFB" w:rsidP="00103CFB">
            <w:pPr>
              <w:spacing w:after="0"/>
              <w:ind w:left="0"/>
              <w:rPr>
                <w:color w:val="000000"/>
              </w:rPr>
            </w:pPr>
            <w:r>
              <w:rPr>
                <w:color w:val="000000"/>
              </w:rPr>
              <w:t>Quarterly RQC Performance Measures Summary</w:t>
            </w:r>
          </w:p>
        </w:tc>
      </w:tr>
      <w:tr w:rsidR="00103CFB" w:rsidRPr="00293F5E" w14:paraId="28073562" w14:textId="77777777" w:rsidTr="00A26011">
        <w:trPr>
          <w:trHeight w:val="315"/>
        </w:trPr>
        <w:tc>
          <w:tcPr>
            <w:tcW w:w="684" w:type="dxa"/>
            <w:noWrap/>
            <w:vAlign w:val="bottom"/>
          </w:tcPr>
          <w:p w14:paraId="608D4471" w14:textId="2DBD9678" w:rsidR="00103CFB" w:rsidRPr="004B4E82" w:rsidRDefault="00103CFB" w:rsidP="00103CFB">
            <w:pPr>
              <w:spacing w:after="0"/>
              <w:ind w:left="0"/>
              <w:jc w:val="center"/>
              <w:rPr>
                <w:color w:val="000000"/>
                <w:szCs w:val="22"/>
              </w:rPr>
            </w:pPr>
            <w:r w:rsidRPr="004B4E82">
              <w:rPr>
                <w:color w:val="000000"/>
                <w:szCs w:val="22"/>
              </w:rPr>
              <w:t>238</w:t>
            </w:r>
          </w:p>
        </w:tc>
        <w:tc>
          <w:tcPr>
            <w:tcW w:w="1677" w:type="dxa"/>
            <w:noWrap/>
            <w:vAlign w:val="bottom"/>
          </w:tcPr>
          <w:p w14:paraId="26878057"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bottom"/>
          </w:tcPr>
          <w:p w14:paraId="3753428D" w14:textId="77777777" w:rsidR="00103CFB" w:rsidRPr="00007760" w:rsidRDefault="00103CFB" w:rsidP="00103CFB">
            <w:pPr>
              <w:spacing w:after="0"/>
              <w:ind w:left="0"/>
              <w:rPr>
                <w:color w:val="000000"/>
              </w:rPr>
            </w:pPr>
            <w:r>
              <w:rPr>
                <w:color w:val="000000"/>
              </w:rPr>
              <w:t>TXQS0031</w:t>
            </w:r>
          </w:p>
        </w:tc>
        <w:tc>
          <w:tcPr>
            <w:tcW w:w="6963" w:type="dxa"/>
            <w:vAlign w:val="bottom"/>
          </w:tcPr>
          <w:p w14:paraId="102CF6DD" w14:textId="77777777" w:rsidR="00103CFB" w:rsidRPr="00007760" w:rsidRDefault="00103CFB" w:rsidP="00103CFB">
            <w:pPr>
              <w:spacing w:after="0"/>
              <w:ind w:left="0"/>
              <w:rPr>
                <w:color w:val="000000"/>
              </w:rPr>
            </w:pPr>
            <w:r>
              <w:rPr>
                <w:color w:val="000000"/>
              </w:rPr>
              <w:t>Balance File-ETA 581 Report - Sysout Messages</w:t>
            </w:r>
          </w:p>
        </w:tc>
      </w:tr>
      <w:tr w:rsidR="00103CFB" w:rsidRPr="00293F5E" w14:paraId="6295FA83" w14:textId="77777777" w:rsidTr="00A26011">
        <w:trPr>
          <w:trHeight w:val="315"/>
        </w:trPr>
        <w:tc>
          <w:tcPr>
            <w:tcW w:w="684" w:type="dxa"/>
            <w:noWrap/>
            <w:vAlign w:val="bottom"/>
          </w:tcPr>
          <w:p w14:paraId="3797B3D0" w14:textId="54EC3678" w:rsidR="00103CFB" w:rsidRPr="004B4E82" w:rsidRDefault="00103CFB" w:rsidP="00103CFB">
            <w:pPr>
              <w:spacing w:after="0"/>
              <w:ind w:left="0"/>
              <w:jc w:val="center"/>
              <w:rPr>
                <w:color w:val="000000"/>
                <w:szCs w:val="22"/>
              </w:rPr>
            </w:pPr>
            <w:r>
              <w:rPr>
                <w:color w:val="000000"/>
                <w:szCs w:val="22"/>
              </w:rPr>
              <w:t>239</w:t>
            </w:r>
          </w:p>
        </w:tc>
        <w:tc>
          <w:tcPr>
            <w:tcW w:w="1677" w:type="dxa"/>
            <w:noWrap/>
            <w:vAlign w:val="bottom"/>
          </w:tcPr>
          <w:p w14:paraId="51DA09C7"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bottom"/>
          </w:tcPr>
          <w:p w14:paraId="34B6019E" w14:textId="77777777" w:rsidR="00103CFB" w:rsidRPr="00007760" w:rsidRDefault="00103CFB" w:rsidP="00103CFB">
            <w:pPr>
              <w:spacing w:after="0"/>
              <w:ind w:left="0"/>
              <w:rPr>
                <w:color w:val="000000"/>
              </w:rPr>
            </w:pPr>
            <w:r>
              <w:rPr>
                <w:color w:val="000000"/>
              </w:rPr>
              <w:t>TXQS003P</w:t>
            </w:r>
          </w:p>
        </w:tc>
        <w:tc>
          <w:tcPr>
            <w:tcW w:w="6963" w:type="dxa"/>
            <w:vAlign w:val="bottom"/>
          </w:tcPr>
          <w:p w14:paraId="4568DA92" w14:textId="77777777" w:rsidR="00103CFB" w:rsidRPr="00007760" w:rsidRDefault="00103CFB" w:rsidP="00103CFB">
            <w:pPr>
              <w:spacing w:after="0"/>
              <w:ind w:left="0"/>
              <w:rPr>
                <w:color w:val="000000"/>
              </w:rPr>
            </w:pPr>
            <w:r>
              <w:rPr>
                <w:color w:val="000000"/>
              </w:rPr>
              <w:t>Inact Accts: Zero Totwgs in Final Wages Qtr</w:t>
            </w:r>
          </w:p>
        </w:tc>
      </w:tr>
      <w:tr w:rsidR="00103CFB" w:rsidRPr="00293F5E" w14:paraId="56C4CE05" w14:textId="77777777" w:rsidTr="00103CFB">
        <w:trPr>
          <w:trHeight w:val="300"/>
        </w:trPr>
        <w:tc>
          <w:tcPr>
            <w:tcW w:w="684" w:type="dxa"/>
            <w:noWrap/>
            <w:vAlign w:val="bottom"/>
            <w:hideMark/>
          </w:tcPr>
          <w:p w14:paraId="2EB86DE0" w14:textId="65938BDD" w:rsidR="00103CFB" w:rsidRPr="008234CC" w:rsidRDefault="00103CFB" w:rsidP="00103CFB">
            <w:pPr>
              <w:spacing w:after="0"/>
              <w:ind w:left="0"/>
              <w:jc w:val="center"/>
              <w:rPr>
                <w:rFonts w:cs="Calibri"/>
                <w:color w:val="000000"/>
                <w:szCs w:val="24"/>
              </w:rPr>
            </w:pPr>
            <w:r w:rsidRPr="004B4E82">
              <w:rPr>
                <w:color w:val="000000"/>
                <w:szCs w:val="22"/>
              </w:rPr>
              <w:t>240</w:t>
            </w:r>
          </w:p>
        </w:tc>
        <w:tc>
          <w:tcPr>
            <w:tcW w:w="1677" w:type="dxa"/>
            <w:noWrap/>
            <w:vAlign w:val="center"/>
          </w:tcPr>
          <w:p w14:paraId="745BEEA2" w14:textId="77777777" w:rsidR="00103CFB" w:rsidRPr="00293F5E" w:rsidRDefault="00103CFB" w:rsidP="00103CFB">
            <w:pPr>
              <w:spacing w:after="0"/>
              <w:ind w:left="0"/>
              <w:rPr>
                <w:rFonts w:ascii="Calibri" w:hAnsi="Calibri" w:cs="Calibri"/>
                <w:color w:val="000000"/>
                <w:szCs w:val="22"/>
              </w:rPr>
            </w:pPr>
            <w:r>
              <w:rPr>
                <w:color w:val="000000"/>
                <w:szCs w:val="24"/>
              </w:rPr>
              <w:t>Quarterly</w:t>
            </w:r>
          </w:p>
        </w:tc>
        <w:tc>
          <w:tcPr>
            <w:tcW w:w="1775" w:type="dxa"/>
            <w:noWrap/>
            <w:vAlign w:val="center"/>
          </w:tcPr>
          <w:p w14:paraId="05DEA8E7" w14:textId="77777777" w:rsidR="00103CFB" w:rsidRPr="004B4E82" w:rsidRDefault="00103CFB" w:rsidP="00103CFB">
            <w:pPr>
              <w:spacing w:after="0"/>
              <w:ind w:left="0"/>
              <w:rPr>
                <w:color w:val="000000"/>
              </w:rPr>
            </w:pPr>
            <w:r>
              <w:rPr>
                <w:color w:val="000000"/>
                <w:szCs w:val="24"/>
              </w:rPr>
              <w:t>TXQT0001</w:t>
            </w:r>
          </w:p>
        </w:tc>
        <w:tc>
          <w:tcPr>
            <w:tcW w:w="6963" w:type="dxa"/>
            <w:vAlign w:val="center"/>
          </w:tcPr>
          <w:p w14:paraId="4A0256B2" w14:textId="428D2EBD" w:rsidR="00103CFB" w:rsidRPr="002E0B23" w:rsidRDefault="00E95CF1" w:rsidP="00103CFB">
            <w:pPr>
              <w:spacing w:after="0"/>
              <w:ind w:left="0"/>
              <w:rPr>
                <w:color w:val="000000"/>
                <w:highlight w:val="yellow"/>
              </w:rPr>
            </w:pPr>
            <w:r>
              <w:rPr>
                <w:color w:val="000000"/>
              </w:rPr>
              <w:t>Quarterly ETA-581 Reports</w:t>
            </w:r>
          </w:p>
        </w:tc>
      </w:tr>
      <w:tr w:rsidR="00103CFB" w:rsidRPr="00293F5E" w14:paraId="6D3DCD8C" w14:textId="77777777" w:rsidTr="00A26011">
        <w:trPr>
          <w:trHeight w:val="315"/>
        </w:trPr>
        <w:tc>
          <w:tcPr>
            <w:tcW w:w="684" w:type="dxa"/>
            <w:noWrap/>
            <w:vAlign w:val="bottom"/>
          </w:tcPr>
          <w:p w14:paraId="57206A1C" w14:textId="3375DC7E" w:rsidR="00103CFB" w:rsidRPr="004B4E82" w:rsidRDefault="00103CFB" w:rsidP="00103CFB">
            <w:pPr>
              <w:spacing w:after="0"/>
              <w:ind w:left="0"/>
              <w:jc w:val="center"/>
              <w:rPr>
                <w:color w:val="000000"/>
                <w:szCs w:val="22"/>
              </w:rPr>
            </w:pPr>
            <w:r>
              <w:rPr>
                <w:color w:val="000000"/>
                <w:szCs w:val="22"/>
              </w:rPr>
              <w:t>241</w:t>
            </w:r>
          </w:p>
        </w:tc>
        <w:tc>
          <w:tcPr>
            <w:tcW w:w="1677" w:type="dxa"/>
            <w:noWrap/>
            <w:vAlign w:val="bottom"/>
          </w:tcPr>
          <w:p w14:paraId="11939B47"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bottom"/>
          </w:tcPr>
          <w:p w14:paraId="66B8A3DE" w14:textId="77777777" w:rsidR="00103CFB" w:rsidRPr="00007760" w:rsidRDefault="00103CFB" w:rsidP="00103CFB">
            <w:pPr>
              <w:spacing w:after="0"/>
              <w:ind w:left="0"/>
              <w:rPr>
                <w:color w:val="000000"/>
              </w:rPr>
            </w:pPr>
            <w:r>
              <w:rPr>
                <w:color w:val="000000"/>
              </w:rPr>
              <w:t>TXQT0010</w:t>
            </w:r>
          </w:p>
        </w:tc>
        <w:tc>
          <w:tcPr>
            <w:tcW w:w="6963" w:type="dxa"/>
            <w:vAlign w:val="bottom"/>
          </w:tcPr>
          <w:p w14:paraId="54737AE0" w14:textId="77777777" w:rsidR="00103CFB" w:rsidRPr="00007760" w:rsidRDefault="00103CFB" w:rsidP="00103CFB">
            <w:pPr>
              <w:spacing w:after="0"/>
              <w:ind w:left="0"/>
              <w:rPr>
                <w:color w:val="000000"/>
              </w:rPr>
            </w:pPr>
            <w:r>
              <w:rPr>
                <w:color w:val="000000"/>
              </w:rPr>
              <w:t>Taxable Wages and Tax by Quarter and Effective Rate</w:t>
            </w:r>
          </w:p>
        </w:tc>
      </w:tr>
      <w:tr w:rsidR="00103CFB" w:rsidRPr="00293F5E" w14:paraId="7E35E86A" w14:textId="77777777" w:rsidTr="00A26011">
        <w:trPr>
          <w:trHeight w:val="315"/>
        </w:trPr>
        <w:tc>
          <w:tcPr>
            <w:tcW w:w="684" w:type="dxa"/>
            <w:noWrap/>
            <w:vAlign w:val="bottom"/>
          </w:tcPr>
          <w:p w14:paraId="77035C75" w14:textId="39C4EAD2" w:rsidR="00103CFB" w:rsidRPr="004B4E82" w:rsidRDefault="00103CFB" w:rsidP="00103CFB">
            <w:pPr>
              <w:spacing w:after="0"/>
              <w:ind w:left="0"/>
              <w:jc w:val="center"/>
              <w:rPr>
                <w:color w:val="000000"/>
                <w:szCs w:val="22"/>
              </w:rPr>
            </w:pPr>
            <w:r w:rsidRPr="004B4E82">
              <w:rPr>
                <w:color w:val="000000"/>
                <w:szCs w:val="22"/>
              </w:rPr>
              <w:t>242</w:t>
            </w:r>
          </w:p>
        </w:tc>
        <w:tc>
          <w:tcPr>
            <w:tcW w:w="1677" w:type="dxa"/>
            <w:noWrap/>
            <w:vAlign w:val="bottom"/>
          </w:tcPr>
          <w:p w14:paraId="56FEE439"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center"/>
          </w:tcPr>
          <w:p w14:paraId="0B8631F5" w14:textId="77777777" w:rsidR="00103CFB" w:rsidRPr="00007760" w:rsidRDefault="00103CFB" w:rsidP="00103CFB">
            <w:pPr>
              <w:spacing w:after="0"/>
              <w:ind w:left="0"/>
              <w:rPr>
                <w:color w:val="000000"/>
              </w:rPr>
            </w:pPr>
            <w:r>
              <w:rPr>
                <w:color w:val="000000"/>
              </w:rPr>
              <w:t>TXQT0100</w:t>
            </w:r>
          </w:p>
        </w:tc>
        <w:tc>
          <w:tcPr>
            <w:tcW w:w="6963" w:type="dxa"/>
            <w:vAlign w:val="bottom"/>
          </w:tcPr>
          <w:p w14:paraId="36372FEA" w14:textId="77777777" w:rsidR="00103CFB" w:rsidRPr="00007760" w:rsidRDefault="00103CFB" w:rsidP="00103CFB">
            <w:pPr>
              <w:spacing w:after="0"/>
              <w:ind w:left="0"/>
              <w:rPr>
                <w:color w:val="000000"/>
              </w:rPr>
            </w:pPr>
            <w:r>
              <w:rPr>
                <w:color w:val="000000"/>
              </w:rPr>
              <w:t>TPS Sampling by Region - Audits</w:t>
            </w:r>
          </w:p>
        </w:tc>
      </w:tr>
      <w:tr w:rsidR="00103CFB" w:rsidRPr="00293F5E" w14:paraId="0A48FD8D" w14:textId="77777777" w:rsidTr="00A26011">
        <w:trPr>
          <w:trHeight w:val="315"/>
        </w:trPr>
        <w:tc>
          <w:tcPr>
            <w:tcW w:w="684" w:type="dxa"/>
            <w:noWrap/>
            <w:vAlign w:val="bottom"/>
          </w:tcPr>
          <w:p w14:paraId="7522247D" w14:textId="601CEE83" w:rsidR="00103CFB" w:rsidRPr="004B4E82" w:rsidRDefault="00103CFB" w:rsidP="00103CFB">
            <w:pPr>
              <w:spacing w:after="0"/>
              <w:ind w:left="0"/>
              <w:jc w:val="center"/>
              <w:rPr>
                <w:color w:val="000000"/>
                <w:szCs w:val="22"/>
              </w:rPr>
            </w:pPr>
            <w:r>
              <w:rPr>
                <w:color w:val="000000"/>
                <w:szCs w:val="22"/>
              </w:rPr>
              <w:t>243</w:t>
            </w:r>
          </w:p>
        </w:tc>
        <w:tc>
          <w:tcPr>
            <w:tcW w:w="1677" w:type="dxa"/>
            <w:noWrap/>
            <w:vAlign w:val="bottom"/>
          </w:tcPr>
          <w:p w14:paraId="39DEC486"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center"/>
          </w:tcPr>
          <w:p w14:paraId="32261EEC" w14:textId="77777777" w:rsidR="00103CFB" w:rsidRPr="00007760" w:rsidRDefault="00103CFB" w:rsidP="00103CFB">
            <w:pPr>
              <w:spacing w:after="0"/>
              <w:ind w:left="0"/>
              <w:rPr>
                <w:color w:val="000000"/>
              </w:rPr>
            </w:pPr>
            <w:r>
              <w:rPr>
                <w:color w:val="000000"/>
              </w:rPr>
              <w:t>TXQT0100</w:t>
            </w:r>
          </w:p>
        </w:tc>
        <w:tc>
          <w:tcPr>
            <w:tcW w:w="6963" w:type="dxa"/>
            <w:vAlign w:val="bottom"/>
          </w:tcPr>
          <w:p w14:paraId="7B7D2031" w14:textId="77777777" w:rsidR="00103CFB" w:rsidRPr="00007760" w:rsidRDefault="00103CFB" w:rsidP="00103CFB">
            <w:pPr>
              <w:spacing w:after="0"/>
              <w:ind w:left="0"/>
              <w:rPr>
                <w:color w:val="000000"/>
              </w:rPr>
            </w:pPr>
            <w:r>
              <w:rPr>
                <w:color w:val="000000"/>
              </w:rPr>
              <w:t>TPS Sampling by Region - Collections</w:t>
            </w:r>
          </w:p>
        </w:tc>
      </w:tr>
      <w:tr w:rsidR="00103CFB" w:rsidRPr="00293F5E" w14:paraId="3EE87860" w14:textId="77777777" w:rsidTr="00A26011">
        <w:trPr>
          <w:trHeight w:val="315"/>
        </w:trPr>
        <w:tc>
          <w:tcPr>
            <w:tcW w:w="684" w:type="dxa"/>
            <w:noWrap/>
            <w:vAlign w:val="bottom"/>
          </w:tcPr>
          <w:p w14:paraId="2D33C68B" w14:textId="30840D80" w:rsidR="00103CFB" w:rsidRPr="004B4E82" w:rsidRDefault="00103CFB" w:rsidP="00103CFB">
            <w:pPr>
              <w:spacing w:after="0"/>
              <w:ind w:left="0"/>
              <w:jc w:val="center"/>
              <w:rPr>
                <w:color w:val="000000"/>
                <w:szCs w:val="22"/>
              </w:rPr>
            </w:pPr>
            <w:r w:rsidRPr="004B4E82">
              <w:rPr>
                <w:color w:val="000000"/>
                <w:szCs w:val="22"/>
              </w:rPr>
              <w:t>244</w:t>
            </w:r>
          </w:p>
        </w:tc>
        <w:tc>
          <w:tcPr>
            <w:tcW w:w="1677" w:type="dxa"/>
            <w:noWrap/>
            <w:vAlign w:val="bottom"/>
          </w:tcPr>
          <w:p w14:paraId="36547E71"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center"/>
          </w:tcPr>
          <w:p w14:paraId="62837483" w14:textId="77777777" w:rsidR="00103CFB" w:rsidRPr="00007760" w:rsidRDefault="00103CFB" w:rsidP="00103CFB">
            <w:pPr>
              <w:spacing w:after="0"/>
              <w:ind w:left="0"/>
              <w:rPr>
                <w:color w:val="000000"/>
              </w:rPr>
            </w:pPr>
            <w:r>
              <w:rPr>
                <w:color w:val="000000"/>
              </w:rPr>
              <w:t>TXQT0100</w:t>
            </w:r>
          </w:p>
        </w:tc>
        <w:tc>
          <w:tcPr>
            <w:tcW w:w="6963" w:type="dxa"/>
            <w:vAlign w:val="bottom"/>
          </w:tcPr>
          <w:p w14:paraId="6819C005" w14:textId="77777777" w:rsidR="00103CFB" w:rsidRPr="00007760" w:rsidRDefault="00103CFB" w:rsidP="00103CFB">
            <w:pPr>
              <w:spacing w:after="0"/>
              <w:ind w:left="0"/>
              <w:rPr>
                <w:color w:val="000000"/>
              </w:rPr>
            </w:pPr>
            <w:r>
              <w:rPr>
                <w:color w:val="000000"/>
              </w:rPr>
              <w:t>TPS Sampling by Region - Report Due</w:t>
            </w:r>
          </w:p>
        </w:tc>
      </w:tr>
      <w:tr w:rsidR="00103CFB" w:rsidRPr="00293F5E" w14:paraId="368BE711" w14:textId="77777777" w:rsidTr="00A26011">
        <w:trPr>
          <w:trHeight w:val="315"/>
        </w:trPr>
        <w:tc>
          <w:tcPr>
            <w:tcW w:w="684" w:type="dxa"/>
            <w:noWrap/>
            <w:vAlign w:val="bottom"/>
          </w:tcPr>
          <w:p w14:paraId="775EDEAD" w14:textId="7C513983" w:rsidR="00103CFB" w:rsidRPr="004B4E82" w:rsidRDefault="00103CFB" w:rsidP="00103CFB">
            <w:pPr>
              <w:spacing w:after="0"/>
              <w:ind w:left="0"/>
              <w:jc w:val="center"/>
              <w:rPr>
                <w:color w:val="000000"/>
                <w:szCs w:val="22"/>
              </w:rPr>
            </w:pPr>
            <w:r>
              <w:rPr>
                <w:color w:val="000000"/>
                <w:szCs w:val="22"/>
              </w:rPr>
              <w:t>245</w:t>
            </w:r>
          </w:p>
        </w:tc>
        <w:tc>
          <w:tcPr>
            <w:tcW w:w="1677" w:type="dxa"/>
            <w:noWrap/>
            <w:vAlign w:val="bottom"/>
          </w:tcPr>
          <w:p w14:paraId="0D9190F5"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center"/>
          </w:tcPr>
          <w:p w14:paraId="2472AF18" w14:textId="77777777" w:rsidR="00103CFB" w:rsidRPr="00007760" w:rsidRDefault="00103CFB" w:rsidP="00103CFB">
            <w:pPr>
              <w:spacing w:after="0"/>
              <w:ind w:left="0"/>
              <w:rPr>
                <w:color w:val="000000"/>
              </w:rPr>
            </w:pPr>
            <w:r>
              <w:rPr>
                <w:color w:val="000000"/>
              </w:rPr>
              <w:t>TXQT0100</w:t>
            </w:r>
          </w:p>
        </w:tc>
        <w:tc>
          <w:tcPr>
            <w:tcW w:w="6963" w:type="dxa"/>
            <w:vAlign w:val="bottom"/>
          </w:tcPr>
          <w:p w14:paraId="5EB3E603" w14:textId="77777777" w:rsidR="00103CFB" w:rsidRPr="00007760" w:rsidRDefault="00103CFB" w:rsidP="00103CFB">
            <w:pPr>
              <w:spacing w:after="0"/>
              <w:ind w:left="0"/>
              <w:rPr>
                <w:color w:val="000000"/>
              </w:rPr>
            </w:pPr>
            <w:r>
              <w:rPr>
                <w:color w:val="000000"/>
              </w:rPr>
              <w:t>TPS Sampling by Region - Status Inactive</w:t>
            </w:r>
          </w:p>
        </w:tc>
      </w:tr>
      <w:tr w:rsidR="00103CFB" w:rsidRPr="00293F5E" w14:paraId="1E16C230" w14:textId="77777777" w:rsidTr="00A26011">
        <w:trPr>
          <w:trHeight w:val="315"/>
        </w:trPr>
        <w:tc>
          <w:tcPr>
            <w:tcW w:w="684" w:type="dxa"/>
            <w:noWrap/>
            <w:vAlign w:val="bottom"/>
          </w:tcPr>
          <w:p w14:paraId="302C592F" w14:textId="65737630" w:rsidR="00103CFB" w:rsidRPr="004B4E82" w:rsidRDefault="00103CFB" w:rsidP="00103CFB">
            <w:pPr>
              <w:spacing w:after="0"/>
              <w:ind w:left="0"/>
              <w:jc w:val="center"/>
              <w:rPr>
                <w:color w:val="000000"/>
                <w:szCs w:val="22"/>
              </w:rPr>
            </w:pPr>
            <w:r w:rsidRPr="004B4E82">
              <w:rPr>
                <w:color w:val="000000"/>
                <w:szCs w:val="22"/>
              </w:rPr>
              <w:t>246</w:t>
            </w:r>
          </w:p>
        </w:tc>
        <w:tc>
          <w:tcPr>
            <w:tcW w:w="1677" w:type="dxa"/>
            <w:noWrap/>
            <w:vAlign w:val="bottom"/>
          </w:tcPr>
          <w:p w14:paraId="30662A08"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center"/>
          </w:tcPr>
          <w:p w14:paraId="5A673318" w14:textId="77777777" w:rsidR="00103CFB" w:rsidRPr="00007760" w:rsidRDefault="00103CFB" w:rsidP="00103CFB">
            <w:pPr>
              <w:spacing w:after="0"/>
              <w:ind w:left="0"/>
              <w:rPr>
                <w:color w:val="000000"/>
              </w:rPr>
            </w:pPr>
            <w:r>
              <w:rPr>
                <w:color w:val="000000"/>
              </w:rPr>
              <w:t>TXQT0100</w:t>
            </w:r>
          </w:p>
        </w:tc>
        <w:tc>
          <w:tcPr>
            <w:tcW w:w="6963" w:type="dxa"/>
            <w:vAlign w:val="bottom"/>
          </w:tcPr>
          <w:p w14:paraId="442016C8" w14:textId="77777777" w:rsidR="00103CFB" w:rsidRPr="00007760" w:rsidRDefault="00103CFB" w:rsidP="00103CFB">
            <w:pPr>
              <w:spacing w:after="0"/>
              <w:ind w:left="0"/>
              <w:rPr>
                <w:color w:val="000000"/>
              </w:rPr>
            </w:pPr>
            <w:r>
              <w:rPr>
                <w:color w:val="000000"/>
              </w:rPr>
              <w:t>TPS Sampling by Region - Status New</w:t>
            </w:r>
          </w:p>
        </w:tc>
      </w:tr>
      <w:tr w:rsidR="00103CFB" w:rsidRPr="00293F5E" w14:paraId="6A9E5372" w14:textId="77777777" w:rsidTr="00A26011">
        <w:trPr>
          <w:trHeight w:val="315"/>
        </w:trPr>
        <w:tc>
          <w:tcPr>
            <w:tcW w:w="684" w:type="dxa"/>
            <w:noWrap/>
            <w:vAlign w:val="bottom"/>
          </w:tcPr>
          <w:p w14:paraId="6A246282" w14:textId="5C11AB97" w:rsidR="00103CFB" w:rsidRPr="004B4E82" w:rsidRDefault="00103CFB" w:rsidP="00103CFB">
            <w:pPr>
              <w:spacing w:after="0"/>
              <w:ind w:left="0"/>
              <w:jc w:val="center"/>
              <w:rPr>
                <w:color w:val="000000"/>
                <w:szCs w:val="22"/>
              </w:rPr>
            </w:pPr>
            <w:r>
              <w:rPr>
                <w:color w:val="000000"/>
                <w:szCs w:val="22"/>
              </w:rPr>
              <w:t>247</w:t>
            </w:r>
          </w:p>
        </w:tc>
        <w:tc>
          <w:tcPr>
            <w:tcW w:w="1677" w:type="dxa"/>
            <w:noWrap/>
            <w:vAlign w:val="bottom"/>
          </w:tcPr>
          <w:p w14:paraId="10E4027A"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center"/>
          </w:tcPr>
          <w:p w14:paraId="163FAF5B" w14:textId="77777777" w:rsidR="00103CFB" w:rsidRPr="00007760" w:rsidRDefault="00103CFB" w:rsidP="00103CFB">
            <w:pPr>
              <w:spacing w:after="0"/>
              <w:ind w:left="0"/>
              <w:rPr>
                <w:color w:val="000000"/>
              </w:rPr>
            </w:pPr>
            <w:r>
              <w:rPr>
                <w:color w:val="000000"/>
              </w:rPr>
              <w:t>TXQT0100</w:t>
            </w:r>
          </w:p>
        </w:tc>
        <w:tc>
          <w:tcPr>
            <w:tcW w:w="6963" w:type="dxa"/>
            <w:vAlign w:val="bottom"/>
          </w:tcPr>
          <w:p w14:paraId="2436EFE8" w14:textId="77777777" w:rsidR="00103CFB" w:rsidRPr="00007760" w:rsidRDefault="00103CFB" w:rsidP="00103CFB">
            <w:pPr>
              <w:spacing w:after="0"/>
              <w:ind w:left="0"/>
              <w:rPr>
                <w:color w:val="000000"/>
              </w:rPr>
            </w:pPr>
            <w:r>
              <w:rPr>
                <w:color w:val="000000"/>
              </w:rPr>
              <w:t>TPS Sampling by Region - Status Succ</w:t>
            </w:r>
          </w:p>
        </w:tc>
      </w:tr>
      <w:tr w:rsidR="00103CFB" w:rsidRPr="00293F5E" w14:paraId="30FFF3C1" w14:textId="77777777" w:rsidTr="00A26011">
        <w:trPr>
          <w:trHeight w:val="315"/>
        </w:trPr>
        <w:tc>
          <w:tcPr>
            <w:tcW w:w="684" w:type="dxa"/>
            <w:noWrap/>
            <w:vAlign w:val="bottom"/>
          </w:tcPr>
          <w:p w14:paraId="56F43725" w14:textId="28EB494F" w:rsidR="00103CFB" w:rsidRPr="004B4E82" w:rsidRDefault="00103CFB" w:rsidP="00103CFB">
            <w:pPr>
              <w:spacing w:after="0"/>
              <w:ind w:left="0"/>
              <w:jc w:val="center"/>
              <w:rPr>
                <w:color w:val="000000"/>
                <w:szCs w:val="22"/>
              </w:rPr>
            </w:pPr>
            <w:r w:rsidRPr="004B4E82">
              <w:rPr>
                <w:color w:val="000000"/>
                <w:szCs w:val="22"/>
              </w:rPr>
              <w:t>248</w:t>
            </w:r>
          </w:p>
        </w:tc>
        <w:tc>
          <w:tcPr>
            <w:tcW w:w="1677" w:type="dxa"/>
            <w:noWrap/>
            <w:vAlign w:val="bottom"/>
          </w:tcPr>
          <w:p w14:paraId="71F47482"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center"/>
          </w:tcPr>
          <w:p w14:paraId="4A2698E9" w14:textId="77777777" w:rsidR="00103CFB" w:rsidRPr="00007760" w:rsidRDefault="00103CFB" w:rsidP="00103CFB">
            <w:pPr>
              <w:spacing w:after="0"/>
              <w:ind w:left="0"/>
              <w:rPr>
                <w:color w:val="000000"/>
              </w:rPr>
            </w:pPr>
            <w:r>
              <w:rPr>
                <w:color w:val="000000"/>
              </w:rPr>
              <w:t>TXQT031F</w:t>
            </w:r>
          </w:p>
        </w:tc>
        <w:tc>
          <w:tcPr>
            <w:tcW w:w="6963" w:type="dxa"/>
            <w:vAlign w:val="bottom"/>
          </w:tcPr>
          <w:p w14:paraId="45C4FBE2" w14:textId="77777777" w:rsidR="00103CFB" w:rsidRPr="00007760" w:rsidRDefault="00103CFB" w:rsidP="00103CFB">
            <w:pPr>
              <w:spacing w:after="0"/>
              <w:ind w:left="0"/>
              <w:rPr>
                <w:color w:val="000000"/>
              </w:rPr>
            </w:pPr>
            <w:r>
              <w:rPr>
                <w:color w:val="000000"/>
              </w:rPr>
              <w:t>Quarterly IPO Purge</w:t>
            </w:r>
          </w:p>
        </w:tc>
      </w:tr>
      <w:tr w:rsidR="00103CFB" w:rsidRPr="00293F5E" w14:paraId="2CFA6F1F" w14:textId="77777777" w:rsidTr="00A26011">
        <w:trPr>
          <w:trHeight w:val="315"/>
        </w:trPr>
        <w:tc>
          <w:tcPr>
            <w:tcW w:w="684" w:type="dxa"/>
            <w:noWrap/>
            <w:vAlign w:val="bottom"/>
          </w:tcPr>
          <w:p w14:paraId="6637071B" w14:textId="648B1DF9" w:rsidR="00103CFB" w:rsidRPr="004B4E82" w:rsidRDefault="00103CFB" w:rsidP="00103CFB">
            <w:pPr>
              <w:spacing w:after="0"/>
              <w:ind w:left="0"/>
              <w:jc w:val="center"/>
              <w:rPr>
                <w:color w:val="000000"/>
                <w:szCs w:val="22"/>
              </w:rPr>
            </w:pPr>
            <w:r>
              <w:rPr>
                <w:color w:val="000000"/>
                <w:szCs w:val="22"/>
              </w:rPr>
              <w:t>249</w:t>
            </w:r>
          </w:p>
        </w:tc>
        <w:tc>
          <w:tcPr>
            <w:tcW w:w="1677" w:type="dxa"/>
            <w:noWrap/>
            <w:vAlign w:val="bottom"/>
          </w:tcPr>
          <w:p w14:paraId="68188866"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bottom"/>
          </w:tcPr>
          <w:p w14:paraId="103598FC" w14:textId="77777777" w:rsidR="00103CFB" w:rsidRPr="00007760" w:rsidRDefault="00103CFB" w:rsidP="00103CFB">
            <w:pPr>
              <w:spacing w:after="0"/>
              <w:ind w:left="0"/>
              <w:rPr>
                <w:color w:val="000000"/>
              </w:rPr>
            </w:pPr>
            <w:r>
              <w:rPr>
                <w:color w:val="000000"/>
              </w:rPr>
              <w:t>TXQT031S</w:t>
            </w:r>
          </w:p>
        </w:tc>
        <w:tc>
          <w:tcPr>
            <w:tcW w:w="6963" w:type="dxa"/>
            <w:vAlign w:val="bottom"/>
          </w:tcPr>
          <w:p w14:paraId="733AAC8C" w14:textId="77777777" w:rsidR="00103CFB" w:rsidRPr="00007760" w:rsidRDefault="00103CFB" w:rsidP="00103CFB">
            <w:pPr>
              <w:spacing w:after="0"/>
              <w:ind w:left="0"/>
              <w:rPr>
                <w:color w:val="000000"/>
              </w:rPr>
            </w:pPr>
            <w:r>
              <w:rPr>
                <w:color w:val="000000"/>
              </w:rPr>
              <w:t>Quarterly IPO Purge</w:t>
            </w:r>
          </w:p>
        </w:tc>
      </w:tr>
      <w:tr w:rsidR="00103CFB" w:rsidRPr="00293F5E" w14:paraId="79D5121A" w14:textId="77777777" w:rsidTr="00A26011">
        <w:trPr>
          <w:trHeight w:val="315"/>
        </w:trPr>
        <w:tc>
          <w:tcPr>
            <w:tcW w:w="684" w:type="dxa"/>
            <w:noWrap/>
            <w:vAlign w:val="bottom"/>
          </w:tcPr>
          <w:p w14:paraId="1E85C045" w14:textId="3BC7E763" w:rsidR="00103CFB" w:rsidRPr="004B4E82" w:rsidRDefault="00103CFB" w:rsidP="00103CFB">
            <w:pPr>
              <w:spacing w:after="0"/>
              <w:ind w:left="0"/>
              <w:jc w:val="center"/>
              <w:rPr>
                <w:color w:val="000000"/>
                <w:szCs w:val="22"/>
              </w:rPr>
            </w:pPr>
            <w:r w:rsidRPr="004B4E82">
              <w:rPr>
                <w:color w:val="000000"/>
                <w:szCs w:val="22"/>
              </w:rPr>
              <w:t>250</w:t>
            </w:r>
          </w:p>
        </w:tc>
        <w:tc>
          <w:tcPr>
            <w:tcW w:w="1677" w:type="dxa"/>
            <w:noWrap/>
            <w:vAlign w:val="bottom"/>
          </w:tcPr>
          <w:p w14:paraId="0C2DDFE6"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bottom"/>
          </w:tcPr>
          <w:p w14:paraId="56F3434F" w14:textId="77777777" w:rsidR="00103CFB" w:rsidRPr="00007760" w:rsidRDefault="00103CFB" w:rsidP="00103CFB">
            <w:pPr>
              <w:spacing w:after="0"/>
              <w:ind w:left="0"/>
              <w:rPr>
                <w:color w:val="000000"/>
              </w:rPr>
            </w:pPr>
            <w:r>
              <w:rPr>
                <w:color w:val="000000"/>
              </w:rPr>
              <w:t>TXQW018E</w:t>
            </w:r>
          </w:p>
        </w:tc>
        <w:tc>
          <w:tcPr>
            <w:tcW w:w="6963" w:type="dxa"/>
            <w:vAlign w:val="bottom"/>
          </w:tcPr>
          <w:p w14:paraId="4D6A15D9" w14:textId="77777777" w:rsidR="00103CFB" w:rsidRPr="00007760" w:rsidRDefault="00103CFB" w:rsidP="00103CFB">
            <w:pPr>
              <w:spacing w:after="0"/>
              <w:ind w:left="0"/>
              <w:rPr>
                <w:color w:val="000000"/>
              </w:rPr>
            </w:pPr>
            <w:r>
              <w:rPr>
                <w:color w:val="000000"/>
              </w:rPr>
              <w:t>Possible Problem Accounts Reporting C-4 Wages</w:t>
            </w:r>
          </w:p>
        </w:tc>
      </w:tr>
      <w:tr w:rsidR="00103CFB" w:rsidRPr="00293F5E" w14:paraId="06C1AC1E" w14:textId="77777777" w:rsidTr="00A26011">
        <w:trPr>
          <w:trHeight w:val="315"/>
        </w:trPr>
        <w:tc>
          <w:tcPr>
            <w:tcW w:w="684" w:type="dxa"/>
            <w:noWrap/>
            <w:vAlign w:val="bottom"/>
          </w:tcPr>
          <w:p w14:paraId="7E245B57" w14:textId="6F013F03" w:rsidR="00103CFB" w:rsidRPr="004B4E82" w:rsidRDefault="00103CFB" w:rsidP="00103CFB">
            <w:pPr>
              <w:spacing w:after="0"/>
              <w:ind w:left="0"/>
              <w:jc w:val="center"/>
              <w:rPr>
                <w:color w:val="000000"/>
                <w:szCs w:val="22"/>
              </w:rPr>
            </w:pPr>
            <w:r>
              <w:rPr>
                <w:color w:val="000000"/>
                <w:szCs w:val="22"/>
              </w:rPr>
              <w:t>251</w:t>
            </w:r>
          </w:p>
        </w:tc>
        <w:tc>
          <w:tcPr>
            <w:tcW w:w="1677" w:type="dxa"/>
            <w:noWrap/>
            <w:vAlign w:val="bottom"/>
          </w:tcPr>
          <w:p w14:paraId="53D10806"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center"/>
          </w:tcPr>
          <w:p w14:paraId="152DABEB" w14:textId="77777777" w:rsidR="00103CFB" w:rsidRPr="00007760" w:rsidRDefault="00103CFB" w:rsidP="00103CFB">
            <w:pPr>
              <w:spacing w:after="0"/>
              <w:ind w:left="0"/>
              <w:rPr>
                <w:color w:val="000000"/>
              </w:rPr>
            </w:pPr>
            <w:r>
              <w:rPr>
                <w:color w:val="000000"/>
              </w:rPr>
              <w:t>TXQW056U</w:t>
            </w:r>
          </w:p>
        </w:tc>
        <w:tc>
          <w:tcPr>
            <w:tcW w:w="6963" w:type="dxa"/>
            <w:vAlign w:val="bottom"/>
          </w:tcPr>
          <w:p w14:paraId="142912C4" w14:textId="77777777" w:rsidR="00103CFB" w:rsidRPr="00007760" w:rsidRDefault="00103CFB" w:rsidP="00103CFB">
            <w:pPr>
              <w:spacing w:after="0"/>
              <w:ind w:left="0"/>
              <w:rPr>
                <w:color w:val="000000"/>
              </w:rPr>
            </w:pPr>
            <w:r>
              <w:rPr>
                <w:color w:val="000000"/>
              </w:rPr>
              <w:t xml:space="preserve">Invalid SSNs Changed to Pseudo SSNs </w:t>
            </w:r>
          </w:p>
        </w:tc>
      </w:tr>
      <w:tr w:rsidR="00103CFB" w:rsidRPr="00293F5E" w14:paraId="3C37A0D1" w14:textId="77777777" w:rsidTr="00103CFB">
        <w:trPr>
          <w:trHeight w:val="300"/>
        </w:trPr>
        <w:tc>
          <w:tcPr>
            <w:tcW w:w="684" w:type="dxa"/>
            <w:noWrap/>
            <w:vAlign w:val="bottom"/>
            <w:hideMark/>
          </w:tcPr>
          <w:p w14:paraId="4EF4B63E" w14:textId="030E870C" w:rsidR="00103CFB" w:rsidRPr="00C8400B" w:rsidRDefault="00103CFB" w:rsidP="00103CFB">
            <w:pPr>
              <w:spacing w:after="0"/>
              <w:ind w:left="0"/>
              <w:jc w:val="center"/>
              <w:rPr>
                <w:rFonts w:cs="Calibri"/>
                <w:color w:val="000000"/>
                <w:szCs w:val="24"/>
              </w:rPr>
            </w:pPr>
            <w:r w:rsidRPr="004B4E82">
              <w:rPr>
                <w:color w:val="000000"/>
                <w:szCs w:val="22"/>
              </w:rPr>
              <w:t>252</w:t>
            </w:r>
          </w:p>
        </w:tc>
        <w:tc>
          <w:tcPr>
            <w:tcW w:w="1677" w:type="dxa"/>
            <w:noWrap/>
            <w:vAlign w:val="center"/>
          </w:tcPr>
          <w:p w14:paraId="1D003CF8" w14:textId="77777777" w:rsidR="00103CFB" w:rsidRPr="00293F5E" w:rsidRDefault="00103CFB" w:rsidP="00103CFB">
            <w:pPr>
              <w:spacing w:after="0"/>
              <w:ind w:left="0"/>
              <w:rPr>
                <w:rFonts w:ascii="Calibri" w:hAnsi="Calibri" w:cs="Calibri"/>
                <w:color w:val="000000"/>
                <w:szCs w:val="22"/>
              </w:rPr>
            </w:pPr>
            <w:r>
              <w:rPr>
                <w:color w:val="000000"/>
                <w:szCs w:val="24"/>
              </w:rPr>
              <w:t>Quarterly</w:t>
            </w:r>
          </w:p>
        </w:tc>
        <w:tc>
          <w:tcPr>
            <w:tcW w:w="1775" w:type="dxa"/>
            <w:noWrap/>
            <w:vAlign w:val="center"/>
          </w:tcPr>
          <w:p w14:paraId="2D2FC4C5" w14:textId="77777777" w:rsidR="00103CFB" w:rsidRPr="004B4E82" w:rsidRDefault="00103CFB" w:rsidP="00103CFB">
            <w:pPr>
              <w:spacing w:after="0"/>
              <w:ind w:left="0"/>
              <w:rPr>
                <w:color w:val="000000"/>
              </w:rPr>
            </w:pPr>
            <w:r>
              <w:rPr>
                <w:color w:val="000000"/>
                <w:szCs w:val="24"/>
              </w:rPr>
              <w:t>TXQW219Q</w:t>
            </w:r>
          </w:p>
        </w:tc>
        <w:tc>
          <w:tcPr>
            <w:tcW w:w="6963" w:type="dxa"/>
            <w:vAlign w:val="center"/>
          </w:tcPr>
          <w:p w14:paraId="1C9C88C5" w14:textId="45251349" w:rsidR="00103CFB" w:rsidRPr="004B4E82" w:rsidRDefault="00E95CF1" w:rsidP="00103CFB">
            <w:pPr>
              <w:spacing w:after="0"/>
              <w:ind w:left="0"/>
              <w:rPr>
                <w:color w:val="000000"/>
              </w:rPr>
            </w:pPr>
            <w:r>
              <w:rPr>
                <w:color w:val="000000"/>
              </w:rPr>
              <w:t>Quarterly Wage Record Statistical Report</w:t>
            </w:r>
          </w:p>
        </w:tc>
      </w:tr>
      <w:tr w:rsidR="00103CFB" w:rsidRPr="00293F5E" w14:paraId="5E675778" w14:textId="77777777" w:rsidTr="00A26011">
        <w:trPr>
          <w:trHeight w:val="315"/>
        </w:trPr>
        <w:tc>
          <w:tcPr>
            <w:tcW w:w="684" w:type="dxa"/>
            <w:noWrap/>
            <w:vAlign w:val="bottom"/>
          </w:tcPr>
          <w:p w14:paraId="3D21550E" w14:textId="70AE5648" w:rsidR="00103CFB" w:rsidRPr="004B4E82" w:rsidRDefault="00103CFB" w:rsidP="00103CFB">
            <w:pPr>
              <w:spacing w:after="0"/>
              <w:ind w:left="0"/>
              <w:jc w:val="center"/>
              <w:rPr>
                <w:color w:val="000000"/>
                <w:szCs w:val="22"/>
              </w:rPr>
            </w:pPr>
            <w:r>
              <w:rPr>
                <w:color w:val="000000"/>
                <w:szCs w:val="22"/>
              </w:rPr>
              <w:t>253</w:t>
            </w:r>
          </w:p>
        </w:tc>
        <w:tc>
          <w:tcPr>
            <w:tcW w:w="1677" w:type="dxa"/>
            <w:noWrap/>
            <w:vAlign w:val="bottom"/>
          </w:tcPr>
          <w:p w14:paraId="42C8DFD7" w14:textId="77777777" w:rsidR="00103CFB" w:rsidRDefault="00103CFB" w:rsidP="00103CFB">
            <w:pPr>
              <w:spacing w:after="0"/>
              <w:ind w:left="0"/>
              <w:rPr>
                <w:rFonts w:ascii="Calibri" w:hAnsi="Calibri" w:cs="Calibri"/>
                <w:color w:val="000000"/>
                <w:szCs w:val="22"/>
              </w:rPr>
            </w:pPr>
            <w:r>
              <w:rPr>
                <w:color w:val="000000"/>
              </w:rPr>
              <w:t>Quarterly</w:t>
            </w:r>
          </w:p>
        </w:tc>
        <w:tc>
          <w:tcPr>
            <w:tcW w:w="1775" w:type="dxa"/>
            <w:noWrap/>
            <w:vAlign w:val="center"/>
          </w:tcPr>
          <w:p w14:paraId="2F400835" w14:textId="77777777" w:rsidR="00103CFB" w:rsidRPr="00007760" w:rsidRDefault="00103CFB" w:rsidP="00103CFB">
            <w:pPr>
              <w:spacing w:after="0"/>
              <w:ind w:left="0"/>
              <w:rPr>
                <w:color w:val="000000"/>
              </w:rPr>
            </w:pPr>
            <w:r>
              <w:rPr>
                <w:color w:val="000000"/>
              </w:rPr>
              <w:t>TXQW240R</w:t>
            </w:r>
          </w:p>
        </w:tc>
        <w:tc>
          <w:tcPr>
            <w:tcW w:w="6963" w:type="dxa"/>
            <w:vAlign w:val="bottom"/>
          </w:tcPr>
          <w:p w14:paraId="4687AF92" w14:textId="77777777" w:rsidR="00103CFB" w:rsidRPr="00007760" w:rsidRDefault="00103CFB" w:rsidP="00103CFB">
            <w:pPr>
              <w:spacing w:after="0"/>
              <w:ind w:left="0"/>
              <w:rPr>
                <w:color w:val="000000"/>
              </w:rPr>
            </w:pPr>
            <w:r>
              <w:rPr>
                <w:color w:val="000000"/>
              </w:rPr>
              <w:t>Summary Report for X/XX Qtr of Duplicate Wages</w:t>
            </w:r>
          </w:p>
        </w:tc>
      </w:tr>
      <w:tr w:rsidR="00103CFB" w:rsidRPr="00293F5E" w14:paraId="462EB980" w14:textId="77777777" w:rsidTr="00103CFB">
        <w:trPr>
          <w:trHeight w:val="300"/>
        </w:trPr>
        <w:tc>
          <w:tcPr>
            <w:tcW w:w="684" w:type="dxa"/>
            <w:noWrap/>
            <w:vAlign w:val="bottom"/>
            <w:hideMark/>
          </w:tcPr>
          <w:p w14:paraId="744764D2" w14:textId="533741E0" w:rsidR="00103CFB" w:rsidRPr="00C8400B" w:rsidRDefault="00103CFB" w:rsidP="00103CFB">
            <w:pPr>
              <w:spacing w:after="0"/>
              <w:ind w:left="0"/>
              <w:jc w:val="center"/>
              <w:rPr>
                <w:rFonts w:cs="Calibri"/>
                <w:color w:val="000000"/>
                <w:szCs w:val="24"/>
              </w:rPr>
            </w:pPr>
            <w:r w:rsidRPr="004B4E82">
              <w:rPr>
                <w:color w:val="000000"/>
                <w:szCs w:val="22"/>
              </w:rPr>
              <w:t>254</w:t>
            </w:r>
          </w:p>
        </w:tc>
        <w:tc>
          <w:tcPr>
            <w:tcW w:w="1677" w:type="dxa"/>
            <w:noWrap/>
            <w:vAlign w:val="center"/>
          </w:tcPr>
          <w:p w14:paraId="71F3CE96" w14:textId="77777777" w:rsidR="00103CFB" w:rsidRPr="00293F5E" w:rsidRDefault="00103CFB" w:rsidP="00103CFB">
            <w:pPr>
              <w:spacing w:after="0"/>
              <w:ind w:left="0"/>
              <w:rPr>
                <w:rFonts w:ascii="Calibri" w:hAnsi="Calibri" w:cs="Calibri"/>
                <w:color w:val="000000"/>
                <w:szCs w:val="22"/>
              </w:rPr>
            </w:pPr>
            <w:r>
              <w:rPr>
                <w:color w:val="000000"/>
                <w:szCs w:val="24"/>
              </w:rPr>
              <w:t>Annual</w:t>
            </w:r>
          </w:p>
        </w:tc>
        <w:tc>
          <w:tcPr>
            <w:tcW w:w="1775" w:type="dxa"/>
            <w:noWrap/>
            <w:vAlign w:val="center"/>
          </w:tcPr>
          <w:p w14:paraId="31494BE6" w14:textId="77777777" w:rsidR="00103CFB" w:rsidRPr="004B4E82" w:rsidRDefault="00103CFB" w:rsidP="00103CFB">
            <w:pPr>
              <w:spacing w:after="0"/>
              <w:ind w:left="0"/>
              <w:rPr>
                <w:color w:val="000000"/>
              </w:rPr>
            </w:pPr>
            <w:r>
              <w:rPr>
                <w:color w:val="000000"/>
                <w:szCs w:val="24"/>
              </w:rPr>
              <w:t>TXAR0300</w:t>
            </w:r>
          </w:p>
        </w:tc>
        <w:tc>
          <w:tcPr>
            <w:tcW w:w="6963" w:type="dxa"/>
            <w:vAlign w:val="center"/>
          </w:tcPr>
          <w:p w14:paraId="63F196B0" w14:textId="18AC43CE" w:rsidR="00103CFB" w:rsidRPr="004B4E82" w:rsidRDefault="002805B0" w:rsidP="00103CFB">
            <w:pPr>
              <w:spacing w:after="0"/>
              <w:ind w:left="0"/>
              <w:rPr>
                <w:color w:val="000000"/>
              </w:rPr>
            </w:pPr>
            <w:r>
              <w:rPr>
                <w:color w:val="000000"/>
              </w:rPr>
              <w:t>Quarterly Interim ETA-204 Experience Rating Reports</w:t>
            </w:r>
          </w:p>
        </w:tc>
      </w:tr>
      <w:tr w:rsidR="00103CFB" w:rsidRPr="00293F5E" w14:paraId="17043F16" w14:textId="77777777" w:rsidTr="00103CFB">
        <w:trPr>
          <w:trHeight w:val="300"/>
        </w:trPr>
        <w:tc>
          <w:tcPr>
            <w:tcW w:w="684" w:type="dxa"/>
            <w:noWrap/>
            <w:vAlign w:val="bottom"/>
            <w:hideMark/>
          </w:tcPr>
          <w:p w14:paraId="098F3BFE" w14:textId="7FC2B12F" w:rsidR="00103CFB" w:rsidRPr="00C8400B" w:rsidRDefault="00103CFB" w:rsidP="00103CFB">
            <w:pPr>
              <w:spacing w:after="0"/>
              <w:ind w:left="0"/>
              <w:jc w:val="center"/>
              <w:rPr>
                <w:rFonts w:cs="Calibri"/>
                <w:color w:val="000000"/>
                <w:szCs w:val="24"/>
              </w:rPr>
            </w:pPr>
            <w:r>
              <w:rPr>
                <w:color w:val="000000"/>
                <w:szCs w:val="22"/>
              </w:rPr>
              <w:t>255</w:t>
            </w:r>
          </w:p>
        </w:tc>
        <w:tc>
          <w:tcPr>
            <w:tcW w:w="1677" w:type="dxa"/>
            <w:noWrap/>
            <w:vAlign w:val="center"/>
          </w:tcPr>
          <w:p w14:paraId="56FD469B" w14:textId="77777777" w:rsidR="00103CFB" w:rsidRPr="00293F5E" w:rsidRDefault="00103CFB" w:rsidP="00103CFB">
            <w:pPr>
              <w:spacing w:after="0"/>
              <w:ind w:left="0"/>
              <w:rPr>
                <w:rFonts w:ascii="Calibri" w:hAnsi="Calibri" w:cs="Calibri"/>
                <w:color w:val="000000"/>
                <w:szCs w:val="22"/>
              </w:rPr>
            </w:pPr>
            <w:r>
              <w:rPr>
                <w:color w:val="000000"/>
                <w:szCs w:val="24"/>
              </w:rPr>
              <w:t>Annual</w:t>
            </w:r>
          </w:p>
        </w:tc>
        <w:tc>
          <w:tcPr>
            <w:tcW w:w="1775" w:type="dxa"/>
            <w:noWrap/>
            <w:vAlign w:val="center"/>
          </w:tcPr>
          <w:p w14:paraId="4D8A7F26" w14:textId="77777777" w:rsidR="00103CFB" w:rsidRPr="004B4E82" w:rsidRDefault="00103CFB" w:rsidP="00103CFB">
            <w:pPr>
              <w:spacing w:after="0"/>
              <w:ind w:left="0"/>
              <w:rPr>
                <w:color w:val="000000"/>
              </w:rPr>
            </w:pPr>
            <w:r>
              <w:rPr>
                <w:color w:val="000000"/>
                <w:szCs w:val="24"/>
              </w:rPr>
              <w:t>TXIR0070</w:t>
            </w:r>
          </w:p>
        </w:tc>
        <w:tc>
          <w:tcPr>
            <w:tcW w:w="6963" w:type="dxa"/>
            <w:vAlign w:val="center"/>
          </w:tcPr>
          <w:p w14:paraId="553CC2A6" w14:textId="21B85913" w:rsidR="00103CFB" w:rsidRPr="004B4E82" w:rsidRDefault="002805B0" w:rsidP="00103CFB">
            <w:pPr>
              <w:spacing w:after="0"/>
              <w:ind w:left="0"/>
              <w:rPr>
                <w:color w:val="000000"/>
              </w:rPr>
            </w:pPr>
            <w:r>
              <w:rPr>
                <w:color w:val="000000"/>
              </w:rPr>
              <w:t>Political Subdivision Accounts</w:t>
            </w:r>
          </w:p>
        </w:tc>
      </w:tr>
      <w:tr w:rsidR="00103CFB" w:rsidRPr="00293F5E" w14:paraId="63038F99" w14:textId="77777777" w:rsidTr="00103CFB">
        <w:trPr>
          <w:trHeight w:val="315"/>
        </w:trPr>
        <w:tc>
          <w:tcPr>
            <w:tcW w:w="684" w:type="dxa"/>
            <w:noWrap/>
            <w:vAlign w:val="bottom"/>
          </w:tcPr>
          <w:p w14:paraId="18F4EE3C" w14:textId="045806E4" w:rsidR="00103CFB" w:rsidRDefault="00103CFB" w:rsidP="00103CFB">
            <w:pPr>
              <w:spacing w:after="0"/>
              <w:ind w:left="0"/>
              <w:jc w:val="center"/>
              <w:rPr>
                <w:color w:val="000000"/>
              </w:rPr>
            </w:pPr>
            <w:r w:rsidRPr="004B4E82">
              <w:rPr>
                <w:color w:val="000000"/>
                <w:szCs w:val="22"/>
              </w:rPr>
              <w:t>256</w:t>
            </w:r>
          </w:p>
        </w:tc>
        <w:tc>
          <w:tcPr>
            <w:tcW w:w="1677" w:type="dxa"/>
            <w:noWrap/>
            <w:vAlign w:val="center"/>
          </w:tcPr>
          <w:p w14:paraId="076432F7" w14:textId="77777777" w:rsidR="00103CFB" w:rsidRDefault="00103CFB" w:rsidP="00103CFB">
            <w:pPr>
              <w:spacing w:after="0"/>
              <w:ind w:left="0"/>
              <w:rPr>
                <w:color w:val="000000"/>
              </w:rPr>
            </w:pPr>
            <w:r w:rsidRPr="00A26011">
              <w:rPr>
                <w:color w:val="000000"/>
              </w:rPr>
              <w:t>Annually</w:t>
            </w:r>
          </w:p>
        </w:tc>
        <w:tc>
          <w:tcPr>
            <w:tcW w:w="1775" w:type="dxa"/>
            <w:noWrap/>
            <w:vAlign w:val="bottom"/>
          </w:tcPr>
          <w:p w14:paraId="2A03E5EE" w14:textId="77777777" w:rsidR="00103CFB" w:rsidRDefault="00103CFB" w:rsidP="00103CFB">
            <w:pPr>
              <w:spacing w:after="0"/>
              <w:ind w:left="0"/>
              <w:rPr>
                <w:color w:val="000000"/>
              </w:rPr>
            </w:pPr>
            <w:r w:rsidRPr="00A26011">
              <w:rPr>
                <w:color w:val="000000"/>
              </w:rPr>
              <w:t>aid_acct2.xlsx</w:t>
            </w:r>
          </w:p>
        </w:tc>
        <w:tc>
          <w:tcPr>
            <w:tcW w:w="6963" w:type="dxa"/>
            <w:vAlign w:val="center"/>
          </w:tcPr>
          <w:p w14:paraId="729897C7" w14:textId="77777777" w:rsidR="00103CFB" w:rsidRDefault="00103CFB" w:rsidP="00103CFB">
            <w:pPr>
              <w:spacing w:after="0"/>
              <w:ind w:left="0"/>
              <w:rPr>
                <w:color w:val="000000"/>
              </w:rPr>
            </w:pPr>
            <w:r w:rsidRPr="00A26011">
              <w:rPr>
                <w:color w:val="000000"/>
              </w:rPr>
              <w:t>Historical Rates Report</w:t>
            </w:r>
          </w:p>
        </w:tc>
      </w:tr>
      <w:tr w:rsidR="00103CFB" w:rsidRPr="00293F5E" w14:paraId="0F1C8FEA" w14:textId="77777777" w:rsidTr="00103CFB">
        <w:trPr>
          <w:trHeight w:val="315"/>
        </w:trPr>
        <w:tc>
          <w:tcPr>
            <w:tcW w:w="684" w:type="dxa"/>
            <w:noWrap/>
            <w:vAlign w:val="bottom"/>
          </w:tcPr>
          <w:p w14:paraId="1AA8C66A" w14:textId="50EB4F01" w:rsidR="00103CFB" w:rsidRPr="004B4E82" w:rsidRDefault="00103CFB" w:rsidP="00103CFB">
            <w:pPr>
              <w:spacing w:after="0"/>
              <w:ind w:left="0"/>
              <w:jc w:val="center"/>
              <w:rPr>
                <w:color w:val="000000"/>
                <w:szCs w:val="22"/>
              </w:rPr>
            </w:pPr>
            <w:r>
              <w:rPr>
                <w:color w:val="000000"/>
                <w:szCs w:val="22"/>
              </w:rPr>
              <w:t>257</w:t>
            </w:r>
          </w:p>
        </w:tc>
        <w:tc>
          <w:tcPr>
            <w:tcW w:w="1677" w:type="dxa"/>
            <w:noWrap/>
            <w:vAlign w:val="bottom"/>
          </w:tcPr>
          <w:p w14:paraId="57D07E37"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7486D62D" w14:textId="77777777" w:rsidR="00103CFB" w:rsidRPr="00007760" w:rsidRDefault="00103CFB" w:rsidP="00103CFB">
            <w:pPr>
              <w:spacing w:after="0"/>
              <w:ind w:left="0"/>
              <w:rPr>
                <w:color w:val="000000"/>
              </w:rPr>
            </w:pPr>
            <w:r>
              <w:rPr>
                <w:color w:val="000000"/>
              </w:rPr>
              <w:t>TXAC304S</w:t>
            </w:r>
          </w:p>
        </w:tc>
        <w:tc>
          <w:tcPr>
            <w:tcW w:w="6963" w:type="dxa"/>
            <w:vAlign w:val="bottom"/>
          </w:tcPr>
          <w:p w14:paraId="73D36026" w14:textId="77777777" w:rsidR="00103CFB" w:rsidRPr="00007760" w:rsidRDefault="00103CFB" w:rsidP="00103CFB">
            <w:pPr>
              <w:spacing w:after="0"/>
              <w:ind w:left="0"/>
              <w:rPr>
                <w:color w:val="000000"/>
              </w:rPr>
            </w:pPr>
            <w:r>
              <w:rPr>
                <w:color w:val="000000"/>
              </w:rPr>
              <w:t>Potential Audit Candidate - Taxable Wage Balancing a.k.a. Wage Comparison Employers w/Less Than 100 Employees</w:t>
            </w:r>
          </w:p>
        </w:tc>
      </w:tr>
      <w:tr w:rsidR="00103CFB" w:rsidRPr="00293F5E" w14:paraId="30D61ED9" w14:textId="77777777" w:rsidTr="00103CFB">
        <w:trPr>
          <w:trHeight w:val="315"/>
        </w:trPr>
        <w:tc>
          <w:tcPr>
            <w:tcW w:w="684" w:type="dxa"/>
            <w:noWrap/>
            <w:vAlign w:val="bottom"/>
          </w:tcPr>
          <w:p w14:paraId="55C9AC18" w14:textId="12E9C0A6" w:rsidR="00103CFB" w:rsidRPr="004B4E82" w:rsidRDefault="00103CFB" w:rsidP="00103CFB">
            <w:pPr>
              <w:spacing w:after="0"/>
              <w:ind w:left="0"/>
              <w:jc w:val="center"/>
              <w:rPr>
                <w:color w:val="000000"/>
                <w:szCs w:val="22"/>
              </w:rPr>
            </w:pPr>
            <w:r w:rsidRPr="004B4E82">
              <w:rPr>
                <w:color w:val="000000"/>
                <w:szCs w:val="22"/>
              </w:rPr>
              <w:t>258</w:t>
            </w:r>
          </w:p>
        </w:tc>
        <w:tc>
          <w:tcPr>
            <w:tcW w:w="1677" w:type="dxa"/>
            <w:noWrap/>
            <w:vAlign w:val="bottom"/>
          </w:tcPr>
          <w:p w14:paraId="34DBF561"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756149D9" w14:textId="77777777" w:rsidR="00103CFB" w:rsidRPr="00007760" w:rsidRDefault="00103CFB" w:rsidP="00103CFB">
            <w:pPr>
              <w:spacing w:after="0"/>
              <w:ind w:left="0"/>
              <w:rPr>
                <w:color w:val="000000"/>
              </w:rPr>
            </w:pPr>
            <w:r>
              <w:rPr>
                <w:color w:val="000000"/>
              </w:rPr>
              <w:t>TXAF0011</w:t>
            </w:r>
          </w:p>
        </w:tc>
        <w:tc>
          <w:tcPr>
            <w:tcW w:w="6963" w:type="dxa"/>
            <w:vAlign w:val="bottom"/>
          </w:tcPr>
          <w:p w14:paraId="305B1234" w14:textId="77777777" w:rsidR="00103CFB" w:rsidRPr="00007760" w:rsidRDefault="00103CFB" w:rsidP="00103CFB">
            <w:pPr>
              <w:spacing w:after="0"/>
              <w:ind w:left="0"/>
              <w:rPr>
                <w:color w:val="000000"/>
              </w:rPr>
            </w:pPr>
            <w:r>
              <w:rPr>
                <w:color w:val="000000"/>
              </w:rPr>
              <w:t>Assignment by Origin and Type</w:t>
            </w:r>
          </w:p>
        </w:tc>
      </w:tr>
      <w:tr w:rsidR="00103CFB" w:rsidRPr="00293F5E" w14:paraId="27612F77" w14:textId="77777777" w:rsidTr="00103CFB">
        <w:trPr>
          <w:trHeight w:val="315"/>
        </w:trPr>
        <w:tc>
          <w:tcPr>
            <w:tcW w:w="684" w:type="dxa"/>
            <w:noWrap/>
            <w:vAlign w:val="bottom"/>
          </w:tcPr>
          <w:p w14:paraId="216A2906" w14:textId="37D3F25D" w:rsidR="00103CFB" w:rsidRPr="004B4E82" w:rsidRDefault="00103CFB" w:rsidP="00103CFB">
            <w:pPr>
              <w:spacing w:after="0"/>
              <w:ind w:left="0"/>
              <w:jc w:val="center"/>
              <w:rPr>
                <w:color w:val="000000"/>
                <w:szCs w:val="22"/>
              </w:rPr>
            </w:pPr>
            <w:r>
              <w:rPr>
                <w:color w:val="000000"/>
                <w:szCs w:val="22"/>
              </w:rPr>
              <w:t>259</w:t>
            </w:r>
          </w:p>
        </w:tc>
        <w:tc>
          <w:tcPr>
            <w:tcW w:w="1677" w:type="dxa"/>
            <w:noWrap/>
            <w:vAlign w:val="bottom"/>
          </w:tcPr>
          <w:p w14:paraId="00B49BE2"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2BCCD244" w14:textId="77777777" w:rsidR="00103CFB" w:rsidRPr="00007760" w:rsidRDefault="00103CFB" w:rsidP="00103CFB">
            <w:pPr>
              <w:spacing w:after="0"/>
              <w:ind w:left="0"/>
              <w:rPr>
                <w:color w:val="000000"/>
              </w:rPr>
            </w:pPr>
            <w:r>
              <w:rPr>
                <w:color w:val="000000"/>
              </w:rPr>
              <w:t>TXAF0011</w:t>
            </w:r>
          </w:p>
        </w:tc>
        <w:tc>
          <w:tcPr>
            <w:tcW w:w="6963" w:type="dxa"/>
            <w:vAlign w:val="bottom"/>
          </w:tcPr>
          <w:p w14:paraId="6BAB5823" w14:textId="77777777" w:rsidR="00103CFB" w:rsidRPr="00007760" w:rsidRDefault="00103CFB" w:rsidP="00103CFB">
            <w:pPr>
              <w:spacing w:after="0"/>
              <w:ind w:left="0"/>
              <w:rPr>
                <w:color w:val="000000"/>
              </w:rPr>
            </w:pPr>
            <w:r>
              <w:rPr>
                <w:color w:val="000000"/>
              </w:rPr>
              <w:t>Assignment Types by Zip Code</w:t>
            </w:r>
          </w:p>
        </w:tc>
      </w:tr>
      <w:tr w:rsidR="00103CFB" w:rsidRPr="00293F5E" w14:paraId="14FBCB0F" w14:textId="77777777" w:rsidTr="00103CFB">
        <w:trPr>
          <w:trHeight w:val="315"/>
        </w:trPr>
        <w:tc>
          <w:tcPr>
            <w:tcW w:w="684" w:type="dxa"/>
            <w:noWrap/>
            <w:vAlign w:val="bottom"/>
          </w:tcPr>
          <w:p w14:paraId="5666A3F3" w14:textId="49E89CE2" w:rsidR="00103CFB" w:rsidRPr="004B4E82" w:rsidRDefault="00103CFB" w:rsidP="00103CFB">
            <w:pPr>
              <w:spacing w:after="0"/>
              <w:ind w:left="0"/>
              <w:jc w:val="center"/>
              <w:rPr>
                <w:color w:val="000000"/>
                <w:szCs w:val="22"/>
              </w:rPr>
            </w:pPr>
            <w:r w:rsidRPr="004B4E82">
              <w:rPr>
                <w:color w:val="000000"/>
                <w:szCs w:val="22"/>
              </w:rPr>
              <w:lastRenderedPageBreak/>
              <w:t>260</w:t>
            </w:r>
          </w:p>
        </w:tc>
        <w:tc>
          <w:tcPr>
            <w:tcW w:w="1677" w:type="dxa"/>
            <w:noWrap/>
            <w:vAlign w:val="bottom"/>
          </w:tcPr>
          <w:p w14:paraId="3AAC7233"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04A5EEF7" w14:textId="77777777" w:rsidR="00103CFB" w:rsidRPr="00007760" w:rsidRDefault="00103CFB" w:rsidP="00103CFB">
            <w:pPr>
              <w:spacing w:after="0"/>
              <w:ind w:left="0"/>
              <w:rPr>
                <w:color w:val="000000"/>
              </w:rPr>
            </w:pPr>
            <w:r>
              <w:rPr>
                <w:color w:val="000000"/>
              </w:rPr>
              <w:t>TXAF0211</w:t>
            </w:r>
          </w:p>
        </w:tc>
        <w:tc>
          <w:tcPr>
            <w:tcW w:w="6963" w:type="dxa"/>
            <w:vAlign w:val="bottom"/>
          </w:tcPr>
          <w:p w14:paraId="6CCD2470" w14:textId="77777777" w:rsidR="00103CFB" w:rsidRPr="00007760" w:rsidRDefault="00103CFB" w:rsidP="00103CFB">
            <w:pPr>
              <w:spacing w:after="0"/>
              <w:ind w:left="0"/>
              <w:rPr>
                <w:color w:val="000000"/>
              </w:rPr>
            </w:pPr>
            <w:r>
              <w:rPr>
                <w:color w:val="000000"/>
              </w:rPr>
              <w:t>940 Assignment Listing - Unreleased</w:t>
            </w:r>
          </w:p>
        </w:tc>
      </w:tr>
      <w:tr w:rsidR="00103CFB" w:rsidRPr="00293F5E" w14:paraId="7F486796" w14:textId="77777777" w:rsidTr="00103CFB">
        <w:trPr>
          <w:trHeight w:val="315"/>
        </w:trPr>
        <w:tc>
          <w:tcPr>
            <w:tcW w:w="684" w:type="dxa"/>
            <w:noWrap/>
            <w:vAlign w:val="bottom"/>
          </w:tcPr>
          <w:p w14:paraId="1AA9C75B" w14:textId="133E4DEA" w:rsidR="00103CFB" w:rsidRPr="004B4E82" w:rsidRDefault="00103CFB" w:rsidP="00103CFB">
            <w:pPr>
              <w:spacing w:after="0"/>
              <w:ind w:left="0"/>
              <w:jc w:val="center"/>
              <w:rPr>
                <w:color w:val="000000"/>
                <w:szCs w:val="22"/>
              </w:rPr>
            </w:pPr>
            <w:r>
              <w:rPr>
                <w:color w:val="000000"/>
                <w:szCs w:val="22"/>
              </w:rPr>
              <w:t>261</w:t>
            </w:r>
          </w:p>
        </w:tc>
        <w:tc>
          <w:tcPr>
            <w:tcW w:w="1677" w:type="dxa"/>
            <w:noWrap/>
            <w:vAlign w:val="bottom"/>
          </w:tcPr>
          <w:p w14:paraId="7E51BDC7"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20EA85B0" w14:textId="77777777" w:rsidR="00103CFB" w:rsidRPr="00007760" w:rsidRDefault="00103CFB" w:rsidP="00103CFB">
            <w:pPr>
              <w:spacing w:after="0"/>
              <w:ind w:left="0"/>
              <w:rPr>
                <w:color w:val="000000"/>
              </w:rPr>
            </w:pPr>
            <w:r>
              <w:rPr>
                <w:color w:val="000000"/>
              </w:rPr>
              <w:t>TXAF0220</w:t>
            </w:r>
          </w:p>
        </w:tc>
        <w:tc>
          <w:tcPr>
            <w:tcW w:w="6963" w:type="dxa"/>
            <w:vAlign w:val="bottom"/>
          </w:tcPr>
          <w:p w14:paraId="6017774B" w14:textId="77777777" w:rsidR="00103CFB" w:rsidRPr="00007760" w:rsidRDefault="00103CFB" w:rsidP="00103CFB">
            <w:pPr>
              <w:spacing w:after="0"/>
              <w:ind w:left="0"/>
              <w:rPr>
                <w:color w:val="000000"/>
              </w:rPr>
            </w:pPr>
            <w:r>
              <w:rPr>
                <w:color w:val="000000"/>
              </w:rPr>
              <w:t>940 Assignment Listing - Released After 6 Months</w:t>
            </w:r>
          </w:p>
        </w:tc>
      </w:tr>
      <w:tr w:rsidR="00103CFB" w:rsidRPr="00293F5E" w14:paraId="5E7D6DB9" w14:textId="77777777" w:rsidTr="00103CFB">
        <w:trPr>
          <w:trHeight w:val="315"/>
        </w:trPr>
        <w:tc>
          <w:tcPr>
            <w:tcW w:w="684" w:type="dxa"/>
            <w:noWrap/>
            <w:vAlign w:val="bottom"/>
          </w:tcPr>
          <w:p w14:paraId="17BAE28D" w14:textId="1F2A1D2C" w:rsidR="00103CFB" w:rsidRPr="004B4E82" w:rsidRDefault="00103CFB" w:rsidP="00103CFB">
            <w:pPr>
              <w:spacing w:after="0"/>
              <w:ind w:left="0"/>
              <w:jc w:val="center"/>
              <w:rPr>
                <w:color w:val="000000"/>
                <w:szCs w:val="22"/>
              </w:rPr>
            </w:pPr>
            <w:r w:rsidRPr="004B4E82">
              <w:rPr>
                <w:color w:val="000000"/>
                <w:szCs w:val="22"/>
              </w:rPr>
              <w:t>262</w:t>
            </w:r>
          </w:p>
        </w:tc>
        <w:tc>
          <w:tcPr>
            <w:tcW w:w="1677" w:type="dxa"/>
            <w:noWrap/>
            <w:vAlign w:val="bottom"/>
          </w:tcPr>
          <w:p w14:paraId="7791F4D7"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356AD018" w14:textId="77777777" w:rsidR="00103CFB" w:rsidRPr="00007760" w:rsidRDefault="00103CFB" w:rsidP="00103CFB">
            <w:pPr>
              <w:spacing w:after="0"/>
              <w:ind w:left="0"/>
              <w:rPr>
                <w:color w:val="000000"/>
              </w:rPr>
            </w:pPr>
            <w:r>
              <w:rPr>
                <w:color w:val="000000"/>
              </w:rPr>
              <w:t>TXAF0240</w:t>
            </w:r>
          </w:p>
        </w:tc>
        <w:tc>
          <w:tcPr>
            <w:tcW w:w="6963" w:type="dxa"/>
            <w:vAlign w:val="bottom"/>
          </w:tcPr>
          <w:p w14:paraId="5DBE0973" w14:textId="77777777" w:rsidR="00103CFB" w:rsidRPr="00007760" w:rsidRDefault="00103CFB" w:rsidP="00103CFB">
            <w:pPr>
              <w:spacing w:after="0"/>
              <w:ind w:left="0"/>
              <w:rPr>
                <w:color w:val="000000"/>
              </w:rPr>
            </w:pPr>
            <w:r>
              <w:rPr>
                <w:color w:val="000000"/>
              </w:rPr>
              <w:t>Serving Authority Listing</w:t>
            </w:r>
          </w:p>
        </w:tc>
      </w:tr>
      <w:tr w:rsidR="00103CFB" w:rsidRPr="00293F5E" w14:paraId="39358692" w14:textId="77777777" w:rsidTr="00103CFB">
        <w:trPr>
          <w:trHeight w:val="315"/>
        </w:trPr>
        <w:tc>
          <w:tcPr>
            <w:tcW w:w="684" w:type="dxa"/>
            <w:noWrap/>
            <w:vAlign w:val="bottom"/>
          </w:tcPr>
          <w:p w14:paraId="0CE73018" w14:textId="01A839F0" w:rsidR="00103CFB" w:rsidRPr="004B4E82" w:rsidRDefault="00103CFB" w:rsidP="00103CFB">
            <w:pPr>
              <w:spacing w:after="0"/>
              <w:ind w:left="0"/>
              <w:jc w:val="center"/>
              <w:rPr>
                <w:color w:val="000000"/>
                <w:szCs w:val="22"/>
              </w:rPr>
            </w:pPr>
            <w:r>
              <w:rPr>
                <w:color w:val="000000"/>
                <w:szCs w:val="22"/>
              </w:rPr>
              <w:t>263</w:t>
            </w:r>
          </w:p>
        </w:tc>
        <w:tc>
          <w:tcPr>
            <w:tcW w:w="1677" w:type="dxa"/>
            <w:noWrap/>
            <w:vAlign w:val="bottom"/>
          </w:tcPr>
          <w:p w14:paraId="1C2CD30D"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7EA95463" w14:textId="77777777" w:rsidR="00103CFB" w:rsidRPr="00007760" w:rsidRDefault="00103CFB" w:rsidP="00103CFB">
            <w:pPr>
              <w:spacing w:after="0"/>
              <w:ind w:left="0"/>
              <w:rPr>
                <w:color w:val="000000"/>
              </w:rPr>
            </w:pPr>
            <w:r>
              <w:rPr>
                <w:color w:val="000000"/>
              </w:rPr>
              <w:t>TXAF0320</w:t>
            </w:r>
          </w:p>
        </w:tc>
        <w:tc>
          <w:tcPr>
            <w:tcW w:w="6963" w:type="dxa"/>
            <w:vAlign w:val="bottom"/>
          </w:tcPr>
          <w:p w14:paraId="411762C9" w14:textId="77777777" w:rsidR="00103CFB" w:rsidRPr="00007760" w:rsidRDefault="00103CFB" w:rsidP="00103CFB">
            <w:pPr>
              <w:spacing w:after="0"/>
              <w:ind w:left="0"/>
              <w:rPr>
                <w:color w:val="000000"/>
              </w:rPr>
            </w:pPr>
            <w:r>
              <w:rPr>
                <w:color w:val="000000"/>
              </w:rPr>
              <w:t>Required Electronic Reporting Statistics</w:t>
            </w:r>
          </w:p>
        </w:tc>
      </w:tr>
      <w:tr w:rsidR="00103CFB" w:rsidRPr="00293F5E" w14:paraId="77D39E04" w14:textId="77777777" w:rsidTr="00103CFB">
        <w:trPr>
          <w:trHeight w:val="315"/>
        </w:trPr>
        <w:tc>
          <w:tcPr>
            <w:tcW w:w="684" w:type="dxa"/>
            <w:noWrap/>
            <w:vAlign w:val="bottom"/>
          </w:tcPr>
          <w:p w14:paraId="557868CD" w14:textId="3C424289" w:rsidR="00103CFB" w:rsidRPr="004B4E82" w:rsidRDefault="00103CFB" w:rsidP="00103CFB">
            <w:pPr>
              <w:spacing w:after="0"/>
              <w:ind w:left="0"/>
              <w:jc w:val="center"/>
              <w:rPr>
                <w:color w:val="000000"/>
                <w:szCs w:val="22"/>
              </w:rPr>
            </w:pPr>
            <w:r w:rsidRPr="004B4E82">
              <w:rPr>
                <w:color w:val="000000"/>
                <w:szCs w:val="22"/>
              </w:rPr>
              <w:t>264</w:t>
            </w:r>
          </w:p>
        </w:tc>
        <w:tc>
          <w:tcPr>
            <w:tcW w:w="1677" w:type="dxa"/>
            <w:noWrap/>
            <w:vAlign w:val="bottom"/>
          </w:tcPr>
          <w:p w14:paraId="0759718B"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0D6598A6" w14:textId="77777777" w:rsidR="00103CFB" w:rsidRPr="00007760" w:rsidRDefault="00103CFB" w:rsidP="00103CFB">
            <w:pPr>
              <w:spacing w:after="0"/>
              <w:ind w:left="0"/>
              <w:rPr>
                <w:color w:val="000000"/>
              </w:rPr>
            </w:pPr>
            <w:r>
              <w:rPr>
                <w:color w:val="000000"/>
              </w:rPr>
              <w:t>TXAF0580</w:t>
            </w:r>
          </w:p>
        </w:tc>
        <w:tc>
          <w:tcPr>
            <w:tcW w:w="6963" w:type="dxa"/>
            <w:vAlign w:val="bottom"/>
          </w:tcPr>
          <w:p w14:paraId="0D9DBFCC" w14:textId="77777777" w:rsidR="00103CFB" w:rsidRPr="00007760" w:rsidRDefault="00103CFB" w:rsidP="00103CFB">
            <w:pPr>
              <w:spacing w:after="0"/>
              <w:ind w:left="0"/>
              <w:rPr>
                <w:color w:val="000000"/>
              </w:rPr>
            </w:pPr>
            <w:r>
              <w:rPr>
                <w:color w:val="000000"/>
              </w:rPr>
              <w:t>NAICS - Misclassified Worker Audit Information</w:t>
            </w:r>
          </w:p>
        </w:tc>
      </w:tr>
      <w:tr w:rsidR="00103CFB" w:rsidRPr="00293F5E" w14:paraId="0B0AA645" w14:textId="77777777" w:rsidTr="00103CFB">
        <w:trPr>
          <w:trHeight w:val="315"/>
        </w:trPr>
        <w:tc>
          <w:tcPr>
            <w:tcW w:w="684" w:type="dxa"/>
            <w:noWrap/>
            <w:vAlign w:val="bottom"/>
          </w:tcPr>
          <w:p w14:paraId="0C620667" w14:textId="5FFEF8C2" w:rsidR="00103CFB" w:rsidRPr="004B4E82" w:rsidRDefault="00103CFB" w:rsidP="00103CFB">
            <w:pPr>
              <w:spacing w:after="0"/>
              <w:ind w:left="0"/>
              <w:jc w:val="center"/>
              <w:rPr>
                <w:color w:val="000000"/>
                <w:szCs w:val="22"/>
              </w:rPr>
            </w:pPr>
            <w:r>
              <w:rPr>
                <w:color w:val="000000"/>
                <w:szCs w:val="22"/>
              </w:rPr>
              <w:t>265</w:t>
            </w:r>
          </w:p>
        </w:tc>
        <w:tc>
          <w:tcPr>
            <w:tcW w:w="1677" w:type="dxa"/>
            <w:noWrap/>
            <w:vAlign w:val="bottom"/>
          </w:tcPr>
          <w:p w14:paraId="279C5624"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33A169D0" w14:textId="77777777" w:rsidR="00103CFB" w:rsidRPr="00007760" w:rsidRDefault="00103CFB" w:rsidP="00103CFB">
            <w:pPr>
              <w:spacing w:after="0"/>
              <w:ind w:left="0"/>
              <w:rPr>
                <w:color w:val="000000"/>
              </w:rPr>
            </w:pPr>
            <w:r>
              <w:rPr>
                <w:color w:val="000000"/>
              </w:rPr>
              <w:t>TXAF0585</w:t>
            </w:r>
          </w:p>
        </w:tc>
        <w:tc>
          <w:tcPr>
            <w:tcW w:w="6963" w:type="dxa"/>
            <w:vAlign w:val="bottom"/>
          </w:tcPr>
          <w:p w14:paraId="52651605" w14:textId="77777777" w:rsidR="00103CFB" w:rsidRPr="00007760" w:rsidRDefault="00103CFB" w:rsidP="00103CFB">
            <w:pPr>
              <w:spacing w:after="0"/>
              <w:ind w:left="0"/>
              <w:rPr>
                <w:color w:val="000000"/>
              </w:rPr>
            </w:pPr>
            <w:r>
              <w:rPr>
                <w:color w:val="000000"/>
              </w:rPr>
              <w:t>Small Employers - Total Wages &gt; $1M</w:t>
            </w:r>
          </w:p>
        </w:tc>
      </w:tr>
      <w:tr w:rsidR="00103CFB" w:rsidRPr="00293F5E" w14:paraId="3F9EB24B" w14:textId="77777777" w:rsidTr="00103CFB">
        <w:trPr>
          <w:trHeight w:val="315"/>
        </w:trPr>
        <w:tc>
          <w:tcPr>
            <w:tcW w:w="684" w:type="dxa"/>
            <w:noWrap/>
            <w:vAlign w:val="bottom"/>
          </w:tcPr>
          <w:p w14:paraId="3299607C" w14:textId="5B2DB4D9" w:rsidR="00103CFB" w:rsidRPr="004B4E82" w:rsidRDefault="00103CFB" w:rsidP="00103CFB">
            <w:pPr>
              <w:spacing w:after="0"/>
              <w:ind w:left="0"/>
              <w:jc w:val="center"/>
              <w:rPr>
                <w:color w:val="000000"/>
                <w:szCs w:val="22"/>
              </w:rPr>
            </w:pPr>
            <w:r w:rsidRPr="004B4E82">
              <w:rPr>
                <w:color w:val="000000"/>
                <w:szCs w:val="22"/>
              </w:rPr>
              <w:t>266</w:t>
            </w:r>
          </w:p>
        </w:tc>
        <w:tc>
          <w:tcPr>
            <w:tcW w:w="1677" w:type="dxa"/>
            <w:noWrap/>
            <w:vAlign w:val="bottom"/>
          </w:tcPr>
          <w:p w14:paraId="41175076"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3676896C" w14:textId="77777777" w:rsidR="00103CFB" w:rsidRPr="00007760" w:rsidRDefault="00103CFB" w:rsidP="00103CFB">
            <w:pPr>
              <w:spacing w:after="0"/>
              <w:ind w:left="0"/>
              <w:rPr>
                <w:color w:val="000000"/>
              </w:rPr>
            </w:pPr>
            <w:r>
              <w:rPr>
                <w:color w:val="000000"/>
              </w:rPr>
              <w:t>TXAF0585</w:t>
            </w:r>
          </w:p>
        </w:tc>
        <w:tc>
          <w:tcPr>
            <w:tcW w:w="6963" w:type="dxa"/>
            <w:vAlign w:val="bottom"/>
          </w:tcPr>
          <w:p w14:paraId="7C82C3CE" w14:textId="77777777" w:rsidR="00103CFB" w:rsidRPr="00007760" w:rsidRDefault="00103CFB" w:rsidP="00103CFB">
            <w:pPr>
              <w:spacing w:after="0"/>
              <w:ind w:left="0"/>
              <w:rPr>
                <w:color w:val="000000"/>
              </w:rPr>
            </w:pPr>
            <w:r>
              <w:rPr>
                <w:color w:val="000000"/>
              </w:rPr>
              <w:t>Small Employers - Total Wages &gt;$500K</w:t>
            </w:r>
          </w:p>
        </w:tc>
      </w:tr>
      <w:tr w:rsidR="00103CFB" w:rsidRPr="00293F5E" w14:paraId="78707A2D" w14:textId="77777777" w:rsidTr="00103CFB">
        <w:trPr>
          <w:trHeight w:val="315"/>
        </w:trPr>
        <w:tc>
          <w:tcPr>
            <w:tcW w:w="684" w:type="dxa"/>
            <w:noWrap/>
            <w:vAlign w:val="bottom"/>
          </w:tcPr>
          <w:p w14:paraId="462AB5D9" w14:textId="5AC02B19" w:rsidR="00103CFB" w:rsidRPr="004B4E82" w:rsidRDefault="00103CFB" w:rsidP="00103CFB">
            <w:pPr>
              <w:spacing w:after="0"/>
              <w:ind w:left="0"/>
              <w:jc w:val="center"/>
              <w:rPr>
                <w:color w:val="000000"/>
                <w:szCs w:val="22"/>
              </w:rPr>
            </w:pPr>
            <w:r>
              <w:rPr>
                <w:color w:val="000000"/>
                <w:szCs w:val="22"/>
              </w:rPr>
              <w:t>267</w:t>
            </w:r>
          </w:p>
        </w:tc>
        <w:tc>
          <w:tcPr>
            <w:tcW w:w="1677" w:type="dxa"/>
            <w:noWrap/>
            <w:vAlign w:val="bottom"/>
          </w:tcPr>
          <w:p w14:paraId="6F8F0E0F"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5E1B598C" w14:textId="77777777" w:rsidR="00103CFB" w:rsidRPr="00007760" w:rsidRDefault="00103CFB" w:rsidP="00103CFB">
            <w:pPr>
              <w:spacing w:after="0"/>
              <w:ind w:left="0"/>
              <w:rPr>
                <w:color w:val="000000"/>
              </w:rPr>
            </w:pPr>
            <w:r>
              <w:rPr>
                <w:color w:val="000000"/>
              </w:rPr>
              <w:t>TXAF0713</w:t>
            </w:r>
          </w:p>
        </w:tc>
        <w:tc>
          <w:tcPr>
            <w:tcW w:w="6963" w:type="dxa"/>
            <w:vAlign w:val="bottom"/>
          </w:tcPr>
          <w:p w14:paraId="5A4732B0" w14:textId="77777777" w:rsidR="00103CFB" w:rsidRPr="00007760" w:rsidRDefault="00103CFB" w:rsidP="00103CFB">
            <w:pPr>
              <w:spacing w:after="0"/>
              <w:ind w:left="0"/>
              <w:rPr>
                <w:color w:val="000000"/>
              </w:rPr>
            </w:pPr>
            <w:r>
              <w:rPr>
                <w:color w:val="000000"/>
              </w:rPr>
              <w:t>Audit Candidates by NAICS code</w:t>
            </w:r>
          </w:p>
        </w:tc>
      </w:tr>
      <w:tr w:rsidR="00103CFB" w:rsidRPr="00293F5E" w14:paraId="51ACF8ED" w14:textId="77777777" w:rsidTr="00103CFB">
        <w:trPr>
          <w:trHeight w:val="315"/>
        </w:trPr>
        <w:tc>
          <w:tcPr>
            <w:tcW w:w="684" w:type="dxa"/>
            <w:noWrap/>
            <w:vAlign w:val="bottom"/>
          </w:tcPr>
          <w:p w14:paraId="0E0C144D" w14:textId="1F8D0633" w:rsidR="00103CFB" w:rsidRPr="004B4E82" w:rsidRDefault="00103CFB" w:rsidP="00103CFB">
            <w:pPr>
              <w:spacing w:after="0"/>
              <w:ind w:left="0"/>
              <w:jc w:val="center"/>
              <w:rPr>
                <w:color w:val="000000"/>
                <w:szCs w:val="22"/>
              </w:rPr>
            </w:pPr>
            <w:r w:rsidRPr="004B4E82">
              <w:rPr>
                <w:color w:val="000000"/>
                <w:szCs w:val="22"/>
              </w:rPr>
              <w:t>268</w:t>
            </w:r>
          </w:p>
        </w:tc>
        <w:tc>
          <w:tcPr>
            <w:tcW w:w="1677" w:type="dxa"/>
            <w:noWrap/>
            <w:vAlign w:val="bottom"/>
          </w:tcPr>
          <w:p w14:paraId="00737C82"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697C32FC" w14:textId="77777777" w:rsidR="00103CFB" w:rsidRPr="00007760" w:rsidRDefault="00103CFB" w:rsidP="00103CFB">
            <w:pPr>
              <w:spacing w:after="0"/>
              <w:ind w:left="0"/>
              <w:rPr>
                <w:color w:val="000000"/>
              </w:rPr>
            </w:pPr>
            <w:r>
              <w:rPr>
                <w:color w:val="000000"/>
              </w:rPr>
              <w:t>TXAF0713</w:t>
            </w:r>
          </w:p>
        </w:tc>
        <w:tc>
          <w:tcPr>
            <w:tcW w:w="6963" w:type="dxa"/>
            <w:vAlign w:val="bottom"/>
          </w:tcPr>
          <w:p w14:paraId="5CBCCA62" w14:textId="77777777" w:rsidR="00103CFB" w:rsidRPr="00007760" w:rsidRDefault="00103CFB" w:rsidP="00103CFB">
            <w:pPr>
              <w:spacing w:after="0"/>
              <w:ind w:left="0"/>
              <w:rPr>
                <w:color w:val="000000"/>
              </w:rPr>
            </w:pPr>
            <w:r>
              <w:rPr>
                <w:color w:val="000000"/>
              </w:rPr>
              <w:t>Audit Candidates Created by Tax Area and NAICS Code</w:t>
            </w:r>
          </w:p>
        </w:tc>
      </w:tr>
      <w:tr w:rsidR="00103CFB" w:rsidRPr="00293F5E" w14:paraId="05545DAC" w14:textId="77777777" w:rsidTr="00103CFB">
        <w:trPr>
          <w:trHeight w:val="315"/>
        </w:trPr>
        <w:tc>
          <w:tcPr>
            <w:tcW w:w="684" w:type="dxa"/>
            <w:noWrap/>
            <w:vAlign w:val="bottom"/>
          </w:tcPr>
          <w:p w14:paraId="73D68871" w14:textId="53246BFC" w:rsidR="00103CFB" w:rsidRPr="004B4E82" w:rsidRDefault="00103CFB" w:rsidP="00103CFB">
            <w:pPr>
              <w:spacing w:after="0"/>
              <w:ind w:left="0"/>
              <w:jc w:val="center"/>
              <w:rPr>
                <w:color w:val="000000"/>
                <w:szCs w:val="22"/>
              </w:rPr>
            </w:pPr>
            <w:r>
              <w:rPr>
                <w:color w:val="000000"/>
                <w:szCs w:val="22"/>
              </w:rPr>
              <w:t>269</w:t>
            </w:r>
          </w:p>
        </w:tc>
        <w:tc>
          <w:tcPr>
            <w:tcW w:w="1677" w:type="dxa"/>
            <w:noWrap/>
            <w:vAlign w:val="bottom"/>
          </w:tcPr>
          <w:p w14:paraId="083D49EB"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32498162" w14:textId="77777777" w:rsidR="00103CFB" w:rsidRPr="00007760" w:rsidRDefault="00103CFB" w:rsidP="00103CFB">
            <w:pPr>
              <w:spacing w:after="0"/>
              <w:ind w:left="0"/>
              <w:rPr>
                <w:color w:val="000000"/>
              </w:rPr>
            </w:pPr>
            <w:r>
              <w:rPr>
                <w:color w:val="000000"/>
              </w:rPr>
              <w:t>TXAF991R</w:t>
            </w:r>
          </w:p>
        </w:tc>
        <w:tc>
          <w:tcPr>
            <w:tcW w:w="6963" w:type="dxa"/>
            <w:vAlign w:val="bottom"/>
          </w:tcPr>
          <w:p w14:paraId="48F54B3E" w14:textId="77777777" w:rsidR="00103CFB" w:rsidRPr="00007760" w:rsidRDefault="00103CFB" w:rsidP="00103CFB">
            <w:pPr>
              <w:spacing w:after="0"/>
              <w:ind w:left="0"/>
              <w:rPr>
                <w:color w:val="000000"/>
              </w:rPr>
            </w:pPr>
            <w:r>
              <w:rPr>
                <w:color w:val="000000"/>
              </w:rPr>
              <w:t>Annual EFT Eligible List</w:t>
            </w:r>
          </w:p>
        </w:tc>
      </w:tr>
      <w:tr w:rsidR="00103CFB" w:rsidRPr="00293F5E" w14:paraId="6D4E6136" w14:textId="77777777" w:rsidTr="00103CFB">
        <w:trPr>
          <w:trHeight w:val="315"/>
        </w:trPr>
        <w:tc>
          <w:tcPr>
            <w:tcW w:w="684" w:type="dxa"/>
            <w:noWrap/>
            <w:vAlign w:val="bottom"/>
          </w:tcPr>
          <w:p w14:paraId="109A424A" w14:textId="7EFC46AD" w:rsidR="00103CFB" w:rsidRPr="004B4E82" w:rsidRDefault="00103CFB" w:rsidP="00103CFB">
            <w:pPr>
              <w:spacing w:after="0"/>
              <w:ind w:left="0"/>
              <w:jc w:val="center"/>
              <w:rPr>
                <w:color w:val="000000"/>
                <w:szCs w:val="22"/>
              </w:rPr>
            </w:pPr>
            <w:r w:rsidRPr="004B4E82">
              <w:rPr>
                <w:color w:val="000000"/>
                <w:szCs w:val="22"/>
              </w:rPr>
              <w:t>270</w:t>
            </w:r>
          </w:p>
        </w:tc>
        <w:tc>
          <w:tcPr>
            <w:tcW w:w="1677" w:type="dxa"/>
            <w:noWrap/>
            <w:vAlign w:val="bottom"/>
          </w:tcPr>
          <w:p w14:paraId="08EDCA35"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25730502" w14:textId="77777777" w:rsidR="00103CFB" w:rsidRPr="00007760" w:rsidRDefault="00103CFB" w:rsidP="00103CFB">
            <w:pPr>
              <w:spacing w:after="0"/>
              <w:ind w:left="0"/>
              <w:rPr>
                <w:color w:val="000000"/>
              </w:rPr>
            </w:pPr>
            <w:r>
              <w:rPr>
                <w:color w:val="000000"/>
              </w:rPr>
              <w:t>TXAQ0111</w:t>
            </w:r>
          </w:p>
        </w:tc>
        <w:tc>
          <w:tcPr>
            <w:tcW w:w="6963" w:type="dxa"/>
            <w:vAlign w:val="bottom"/>
          </w:tcPr>
          <w:p w14:paraId="4893E894" w14:textId="77777777" w:rsidR="00103CFB" w:rsidRPr="00007760" w:rsidRDefault="00103CFB" w:rsidP="00103CFB">
            <w:pPr>
              <w:spacing w:after="0"/>
              <w:ind w:left="0"/>
              <w:rPr>
                <w:color w:val="000000"/>
              </w:rPr>
            </w:pPr>
            <w:r>
              <w:rPr>
                <w:color w:val="000000"/>
              </w:rPr>
              <w:t>Zero Taxable Wage 1st Quarter</w:t>
            </w:r>
          </w:p>
        </w:tc>
      </w:tr>
      <w:tr w:rsidR="00103CFB" w:rsidRPr="00293F5E" w14:paraId="6F1DA09B" w14:textId="77777777" w:rsidTr="00103CFB">
        <w:trPr>
          <w:trHeight w:val="315"/>
        </w:trPr>
        <w:tc>
          <w:tcPr>
            <w:tcW w:w="684" w:type="dxa"/>
            <w:noWrap/>
            <w:vAlign w:val="bottom"/>
          </w:tcPr>
          <w:p w14:paraId="72F44096" w14:textId="6B952550" w:rsidR="00103CFB" w:rsidRPr="004B4E82" w:rsidRDefault="00103CFB" w:rsidP="00103CFB">
            <w:pPr>
              <w:spacing w:after="0"/>
              <w:ind w:left="0"/>
              <w:jc w:val="center"/>
              <w:rPr>
                <w:color w:val="000000"/>
                <w:szCs w:val="22"/>
              </w:rPr>
            </w:pPr>
            <w:r>
              <w:rPr>
                <w:color w:val="000000"/>
                <w:szCs w:val="22"/>
              </w:rPr>
              <w:t>271</w:t>
            </w:r>
          </w:p>
        </w:tc>
        <w:tc>
          <w:tcPr>
            <w:tcW w:w="1677" w:type="dxa"/>
            <w:noWrap/>
            <w:vAlign w:val="bottom"/>
          </w:tcPr>
          <w:p w14:paraId="1F5EB0F5"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0EB7613A" w14:textId="77777777" w:rsidR="00103CFB" w:rsidRPr="00007760" w:rsidRDefault="00103CFB" w:rsidP="00103CFB">
            <w:pPr>
              <w:spacing w:after="0"/>
              <w:ind w:left="0"/>
              <w:rPr>
                <w:color w:val="000000"/>
              </w:rPr>
            </w:pPr>
            <w:r>
              <w:rPr>
                <w:color w:val="000000"/>
              </w:rPr>
              <w:t>TXAR0050</w:t>
            </w:r>
          </w:p>
        </w:tc>
        <w:tc>
          <w:tcPr>
            <w:tcW w:w="6963" w:type="dxa"/>
            <w:vAlign w:val="bottom"/>
          </w:tcPr>
          <w:p w14:paraId="2C19A6B8" w14:textId="77777777" w:rsidR="00103CFB" w:rsidRPr="00007760" w:rsidRDefault="00103CFB" w:rsidP="00103CFB">
            <w:pPr>
              <w:spacing w:after="0"/>
              <w:ind w:left="0"/>
              <w:rPr>
                <w:color w:val="000000"/>
              </w:rPr>
            </w:pPr>
            <w:r>
              <w:rPr>
                <w:color w:val="000000"/>
              </w:rPr>
              <w:t>NAICS 3-Digit Subsector Group Rate</w:t>
            </w:r>
          </w:p>
        </w:tc>
      </w:tr>
      <w:tr w:rsidR="00103CFB" w:rsidRPr="00293F5E" w14:paraId="7E81F9FA" w14:textId="77777777" w:rsidTr="00103CFB">
        <w:trPr>
          <w:trHeight w:val="315"/>
        </w:trPr>
        <w:tc>
          <w:tcPr>
            <w:tcW w:w="684" w:type="dxa"/>
            <w:noWrap/>
            <w:vAlign w:val="bottom"/>
          </w:tcPr>
          <w:p w14:paraId="5EA74A40" w14:textId="581B58C3" w:rsidR="00103CFB" w:rsidRPr="004B4E82" w:rsidRDefault="00103CFB" w:rsidP="00103CFB">
            <w:pPr>
              <w:spacing w:after="0"/>
              <w:ind w:left="0"/>
              <w:jc w:val="center"/>
              <w:rPr>
                <w:color w:val="000000"/>
                <w:szCs w:val="22"/>
              </w:rPr>
            </w:pPr>
            <w:r w:rsidRPr="004B4E82">
              <w:rPr>
                <w:color w:val="000000"/>
                <w:szCs w:val="22"/>
              </w:rPr>
              <w:t>272</w:t>
            </w:r>
          </w:p>
        </w:tc>
        <w:tc>
          <w:tcPr>
            <w:tcW w:w="1677" w:type="dxa"/>
            <w:noWrap/>
            <w:vAlign w:val="bottom"/>
          </w:tcPr>
          <w:p w14:paraId="52D86179"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52205232" w14:textId="77777777" w:rsidR="00103CFB" w:rsidRPr="00007760" w:rsidRDefault="00103CFB" w:rsidP="00103CFB">
            <w:pPr>
              <w:spacing w:after="0"/>
              <w:ind w:left="0"/>
              <w:rPr>
                <w:color w:val="000000"/>
              </w:rPr>
            </w:pPr>
            <w:r>
              <w:rPr>
                <w:color w:val="000000"/>
              </w:rPr>
              <w:t>TXAR0070</w:t>
            </w:r>
          </w:p>
        </w:tc>
        <w:tc>
          <w:tcPr>
            <w:tcW w:w="6963" w:type="dxa"/>
            <w:vAlign w:val="bottom"/>
          </w:tcPr>
          <w:p w14:paraId="3CFE2FF1" w14:textId="37C3549C" w:rsidR="00103CFB" w:rsidRPr="00007760" w:rsidRDefault="00103CFB" w:rsidP="00103CFB">
            <w:pPr>
              <w:spacing w:after="0"/>
              <w:ind w:left="0"/>
              <w:rPr>
                <w:color w:val="000000"/>
              </w:rPr>
            </w:pPr>
            <w:r>
              <w:rPr>
                <w:color w:val="000000"/>
              </w:rPr>
              <w:t xml:space="preserve">Quarter Detail for Experience Rating Ratios - </w:t>
            </w:r>
            <w:r w:rsidR="0098693C">
              <w:rPr>
                <w:color w:val="000000"/>
              </w:rPr>
              <w:t>System Output</w:t>
            </w:r>
            <w:r>
              <w:rPr>
                <w:color w:val="000000"/>
              </w:rPr>
              <w:t xml:space="preserve"> Messages</w:t>
            </w:r>
          </w:p>
        </w:tc>
      </w:tr>
      <w:tr w:rsidR="00103CFB" w:rsidRPr="00293F5E" w14:paraId="032A1747" w14:textId="77777777" w:rsidTr="00103CFB">
        <w:trPr>
          <w:trHeight w:val="315"/>
        </w:trPr>
        <w:tc>
          <w:tcPr>
            <w:tcW w:w="684" w:type="dxa"/>
            <w:noWrap/>
            <w:vAlign w:val="bottom"/>
          </w:tcPr>
          <w:p w14:paraId="5B5FEC52" w14:textId="3F549252" w:rsidR="00103CFB" w:rsidRPr="004B4E82" w:rsidRDefault="00103CFB" w:rsidP="00103CFB">
            <w:pPr>
              <w:spacing w:after="0"/>
              <w:ind w:left="0"/>
              <w:jc w:val="center"/>
              <w:rPr>
                <w:color w:val="000000"/>
                <w:szCs w:val="22"/>
              </w:rPr>
            </w:pPr>
            <w:r>
              <w:rPr>
                <w:color w:val="000000"/>
                <w:szCs w:val="22"/>
              </w:rPr>
              <w:t>273</w:t>
            </w:r>
          </w:p>
        </w:tc>
        <w:tc>
          <w:tcPr>
            <w:tcW w:w="1677" w:type="dxa"/>
            <w:noWrap/>
            <w:vAlign w:val="bottom"/>
          </w:tcPr>
          <w:p w14:paraId="09F9F36A"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54FBD304" w14:textId="77777777" w:rsidR="00103CFB" w:rsidRPr="00007760" w:rsidRDefault="00103CFB" w:rsidP="00103CFB">
            <w:pPr>
              <w:spacing w:after="0"/>
              <w:ind w:left="0"/>
              <w:rPr>
                <w:color w:val="000000"/>
              </w:rPr>
            </w:pPr>
            <w:r>
              <w:rPr>
                <w:color w:val="000000"/>
              </w:rPr>
              <w:t>TXAR0071</w:t>
            </w:r>
          </w:p>
        </w:tc>
        <w:tc>
          <w:tcPr>
            <w:tcW w:w="6963" w:type="dxa"/>
            <w:vAlign w:val="bottom"/>
          </w:tcPr>
          <w:p w14:paraId="5BDB326B" w14:textId="77777777" w:rsidR="00103CFB" w:rsidRPr="00007760" w:rsidRDefault="00103CFB" w:rsidP="00103CFB">
            <w:pPr>
              <w:spacing w:after="0"/>
              <w:ind w:left="0"/>
              <w:rPr>
                <w:color w:val="000000"/>
              </w:rPr>
            </w:pPr>
            <w:r>
              <w:rPr>
                <w:color w:val="000000"/>
              </w:rPr>
              <w:t>Charges Over Maximum Rate Detail</w:t>
            </w:r>
          </w:p>
        </w:tc>
      </w:tr>
      <w:tr w:rsidR="00103CFB" w:rsidRPr="00293F5E" w14:paraId="1C790B00" w14:textId="77777777" w:rsidTr="00103CFB">
        <w:trPr>
          <w:trHeight w:val="315"/>
        </w:trPr>
        <w:tc>
          <w:tcPr>
            <w:tcW w:w="684" w:type="dxa"/>
            <w:noWrap/>
            <w:vAlign w:val="bottom"/>
          </w:tcPr>
          <w:p w14:paraId="00CBC18F" w14:textId="4522313D" w:rsidR="00103CFB" w:rsidRPr="004B4E82" w:rsidRDefault="00103CFB" w:rsidP="00103CFB">
            <w:pPr>
              <w:spacing w:after="0"/>
              <w:ind w:left="0"/>
              <w:jc w:val="center"/>
              <w:rPr>
                <w:color w:val="000000"/>
                <w:szCs w:val="22"/>
              </w:rPr>
            </w:pPr>
            <w:r w:rsidRPr="004B4E82">
              <w:rPr>
                <w:color w:val="000000"/>
                <w:szCs w:val="22"/>
              </w:rPr>
              <w:t>274</w:t>
            </w:r>
          </w:p>
        </w:tc>
        <w:tc>
          <w:tcPr>
            <w:tcW w:w="1677" w:type="dxa"/>
            <w:noWrap/>
            <w:vAlign w:val="bottom"/>
          </w:tcPr>
          <w:p w14:paraId="23CD385C"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12F7EEBF" w14:textId="77777777" w:rsidR="00103CFB" w:rsidRPr="00007760" w:rsidRDefault="00103CFB" w:rsidP="00103CFB">
            <w:pPr>
              <w:spacing w:after="0"/>
              <w:ind w:left="0"/>
              <w:rPr>
                <w:color w:val="000000"/>
              </w:rPr>
            </w:pPr>
            <w:r>
              <w:rPr>
                <w:color w:val="000000"/>
              </w:rPr>
              <w:t>TXAR0071</w:t>
            </w:r>
          </w:p>
        </w:tc>
        <w:tc>
          <w:tcPr>
            <w:tcW w:w="6963" w:type="dxa"/>
            <w:vAlign w:val="bottom"/>
          </w:tcPr>
          <w:p w14:paraId="4C8EC71A" w14:textId="77777777" w:rsidR="00103CFB" w:rsidRPr="00007760" w:rsidRDefault="00103CFB" w:rsidP="00103CFB">
            <w:pPr>
              <w:spacing w:after="0"/>
              <w:ind w:left="0"/>
              <w:rPr>
                <w:color w:val="000000"/>
              </w:rPr>
            </w:pPr>
            <w:r>
              <w:rPr>
                <w:color w:val="000000"/>
              </w:rPr>
              <w:t>Charges Over Maximum Rate Summary</w:t>
            </w:r>
          </w:p>
        </w:tc>
      </w:tr>
      <w:tr w:rsidR="00103CFB" w:rsidRPr="00293F5E" w14:paraId="56B1FDF5" w14:textId="77777777" w:rsidTr="00103CFB">
        <w:trPr>
          <w:trHeight w:val="315"/>
        </w:trPr>
        <w:tc>
          <w:tcPr>
            <w:tcW w:w="684" w:type="dxa"/>
            <w:noWrap/>
            <w:vAlign w:val="bottom"/>
          </w:tcPr>
          <w:p w14:paraId="6AA7B2FF" w14:textId="4AFA2E37" w:rsidR="00103CFB" w:rsidRPr="004B4E82" w:rsidRDefault="00103CFB" w:rsidP="00103CFB">
            <w:pPr>
              <w:spacing w:after="0"/>
              <w:ind w:left="0"/>
              <w:jc w:val="center"/>
              <w:rPr>
                <w:color w:val="000000"/>
                <w:szCs w:val="22"/>
              </w:rPr>
            </w:pPr>
            <w:r>
              <w:rPr>
                <w:color w:val="000000"/>
                <w:szCs w:val="22"/>
              </w:rPr>
              <w:t>275</w:t>
            </w:r>
          </w:p>
        </w:tc>
        <w:tc>
          <w:tcPr>
            <w:tcW w:w="1677" w:type="dxa"/>
            <w:noWrap/>
            <w:vAlign w:val="bottom"/>
          </w:tcPr>
          <w:p w14:paraId="3E8AE316"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7136A5E5" w14:textId="77777777" w:rsidR="00103CFB" w:rsidRPr="00007760" w:rsidRDefault="00103CFB" w:rsidP="00103CFB">
            <w:pPr>
              <w:spacing w:after="0"/>
              <w:ind w:left="0"/>
              <w:rPr>
                <w:color w:val="000000"/>
              </w:rPr>
            </w:pPr>
            <w:r>
              <w:rPr>
                <w:color w:val="000000"/>
              </w:rPr>
              <w:t>TXAR0071</w:t>
            </w:r>
          </w:p>
        </w:tc>
        <w:tc>
          <w:tcPr>
            <w:tcW w:w="6963" w:type="dxa"/>
            <w:vAlign w:val="bottom"/>
          </w:tcPr>
          <w:p w14:paraId="58873967" w14:textId="77777777" w:rsidR="00103CFB" w:rsidRPr="00007760" w:rsidRDefault="00103CFB" w:rsidP="00103CFB">
            <w:pPr>
              <w:spacing w:after="0"/>
              <w:ind w:left="0"/>
              <w:rPr>
                <w:color w:val="000000"/>
              </w:rPr>
            </w:pPr>
            <w:r>
              <w:rPr>
                <w:color w:val="000000"/>
              </w:rPr>
              <w:t>Quarter Detail for Experience Rating Ratios</w:t>
            </w:r>
          </w:p>
        </w:tc>
      </w:tr>
      <w:tr w:rsidR="00103CFB" w:rsidRPr="00293F5E" w14:paraId="481FC47B" w14:textId="77777777" w:rsidTr="00103CFB">
        <w:trPr>
          <w:trHeight w:val="315"/>
        </w:trPr>
        <w:tc>
          <w:tcPr>
            <w:tcW w:w="684" w:type="dxa"/>
            <w:noWrap/>
            <w:vAlign w:val="bottom"/>
          </w:tcPr>
          <w:p w14:paraId="05687C2B" w14:textId="77562673" w:rsidR="00103CFB" w:rsidRPr="004B4E82" w:rsidRDefault="00103CFB" w:rsidP="00103CFB">
            <w:pPr>
              <w:spacing w:after="0"/>
              <w:ind w:left="0"/>
              <w:jc w:val="center"/>
              <w:rPr>
                <w:color w:val="000000"/>
                <w:szCs w:val="22"/>
              </w:rPr>
            </w:pPr>
            <w:r w:rsidRPr="004B4E82">
              <w:rPr>
                <w:color w:val="000000"/>
                <w:szCs w:val="22"/>
              </w:rPr>
              <w:t>276</w:t>
            </w:r>
          </w:p>
        </w:tc>
        <w:tc>
          <w:tcPr>
            <w:tcW w:w="1677" w:type="dxa"/>
            <w:noWrap/>
            <w:vAlign w:val="bottom"/>
          </w:tcPr>
          <w:p w14:paraId="14704122"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317F8214" w14:textId="77777777" w:rsidR="00103CFB" w:rsidRPr="00007760" w:rsidRDefault="00103CFB" w:rsidP="00103CFB">
            <w:pPr>
              <w:spacing w:after="0"/>
              <w:ind w:left="0"/>
              <w:rPr>
                <w:color w:val="000000"/>
              </w:rPr>
            </w:pPr>
            <w:r>
              <w:rPr>
                <w:color w:val="000000"/>
              </w:rPr>
              <w:t>TXAR0090</w:t>
            </w:r>
          </w:p>
        </w:tc>
        <w:tc>
          <w:tcPr>
            <w:tcW w:w="6963" w:type="dxa"/>
            <w:vAlign w:val="bottom"/>
          </w:tcPr>
          <w:p w14:paraId="03AE131C" w14:textId="77777777" w:rsidR="00103CFB" w:rsidRPr="00007760" w:rsidRDefault="00103CFB" w:rsidP="00103CFB">
            <w:pPr>
              <w:spacing w:after="0"/>
              <w:ind w:left="0"/>
              <w:rPr>
                <w:color w:val="000000"/>
              </w:rPr>
            </w:pPr>
            <w:r>
              <w:rPr>
                <w:color w:val="000000"/>
              </w:rPr>
              <w:t>Late Payment Register</w:t>
            </w:r>
          </w:p>
        </w:tc>
      </w:tr>
      <w:tr w:rsidR="00103CFB" w:rsidRPr="00293F5E" w14:paraId="685FD5E1" w14:textId="77777777" w:rsidTr="00103CFB">
        <w:trPr>
          <w:trHeight w:val="315"/>
        </w:trPr>
        <w:tc>
          <w:tcPr>
            <w:tcW w:w="684" w:type="dxa"/>
            <w:noWrap/>
            <w:vAlign w:val="bottom"/>
          </w:tcPr>
          <w:p w14:paraId="05C17C14" w14:textId="1800BB2D" w:rsidR="00103CFB" w:rsidRPr="004B4E82" w:rsidRDefault="00103CFB" w:rsidP="00103CFB">
            <w:pPr>
              <w:spacing w:after="0"/>
              <w:ind w:left="0"/>
              <w:jc w:val="center"/>
              <w:rPr>
                <w:color w:val="000000"/>
                <w:szCs w:val="22"/>
              </w:rPr>
            </w:pPr>
            <w:r>
              <w:rPr>
                <w:color w:val="000000"/>
                <w:szCs w:val="22"/>
              </w:rPr>
              <w:t>277</w:t>
            </w:r>
          </w:p>
        </w:tc>
        <w:tc>
          <w:tcPr>
            <w:tcW w:w="1677" w:type="dxa"/>
            <w:noWrap/>
            <w:vAlign w:val="bottom"/>
          </w:tcPr>
          <w:p w14:paraId="6AC1B320"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2401C4BE" w14:textId="77777777" w:rsidR="00103CFB" w:rsidRPr="00007760" w:rsidRDefault="00103CFB" w:rsidP="00103CFB">
            <w:pPr>
              <w:spacing w:after="0"/>
              <w:ind w:left="0"/>
              <w:rPr>
                <w:color w:val="000000"/>
              </w:rPr>
            </w:pPr>
            <w:r>
              <w:rPr>
                <w:color w:val="000000"/>
              </w:rPr>
              <w:t>TXAR0100</w:t>
            </w:r>
          </w:p>
        </w:tc>
        <w:tc>
          <w:tcPr>
            <w:tcW w:w="6963" w:type="dxa"/>
            <w:vAlign w:val="bottom"/>
          </w:tcPr>
          <w:p w14:paraId="72E578FF" w14:textId="77777777" w:rsidR="00103CFB" w:rsidRPr="00007760" w:rsidRDefault="00103CFB" w:rsidP="00103CFB">
            <w:pPr>
              <w:spacing w:after="0"/>
              <w:ind w:left="0"/>
              <w:rPr>
                <w:color w:val="000000"/>
              </w:rPr>
            </w:pPr>
            <w:r>
              <w:rPr>
                <w:color w:val="000000"/>
              </w:rPr>
              <w:t>Deficit Tax Table for Year</w:t>
            </w:r>
          </w:p>
        </w:tc>
      </w:tr>
      <w:tr w:rsidR="00103CFB" w:rsidRPr="00293F5E" w14:paraId="2343BEC6" w14:textId="77777777" w:rsidTr="00103CFB">
        <w:trPr>
          <w:trHeight w:val="315"/>
        </w:trPr>
        <w:tc>
          <w:tcPr>
            <w:tcW w:w="684" w:type="dxa"/>
            <w:noWrap/>
            <w:vAlign w:val="bottom"/>
          </w:tcPr>
          <w:p w14:paraId="3F9D13B2" w14:textId="3CB5640A" w:rsidR="00103CFB" w:rsidRPr="004B4E82" w:rsidRDefault="00103CFB" w:rsidP="00103CFB">
            <w:pPr>
              <w:spacing w:after="0"/>
              <w:ind w:left="0"/>
              <w:jc w:val="center"/>
              <w:rPr>
                <w:color w:val="000000"/>
                <w:szCs w:val="22"/>
              </w:rPr>
            </w:pPr>
            <w:r w:rsidRPr="004B4E82">
              <w:rPr>
                <w:color w:val="000000"/>
                <w:szCs w:val="22"/>
              </w:rPr>
              <w:t>278</w:t>
            </w:r>
          </w:p>
        </w:tc>
        <w:tc>
          <w:tcPr>
            <w:tcW w:w="1677" w:type="dxa"/>
            <w:noWrap/>
            <w:vAlign w:val="bottom"/>
          </w:tcPr>
          <w:p w14:paraId="08097047"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6D251ABF" w14:textId="77777777" w:rsidR="00103CFB" w:rsidRPr="00007760" w:rsidRDefault="00103CFB" w:rsidP="00103CFB">
            <w:pPr>
              <w:spacing w:after="0"/>
              <w:ind w:left="0"/>
              <w:rPr>
                <w:color w:val="000000"/>
              </w:rPr>
            </w:pPr>
            <w:r>
              <w:rPr>
                <w:color w:val="000000"/>
              </w:rPr>
              <w:t>TXAR0100</w:t>
            </w:r>
          </w:p>
        </w:tc>
        <w:tc>
          <w:tcPr>
            <w:tcW w:w="6963" w:type="dxa"/>
            <w:vAlign w:val="bottom"/>
          </w:tcPr>
          <w:p w14:paraId="4380121D" w14:textId="77777777" w:rsidR="00103CFB" w:rsidRPr="00007760" w:rsidRDefault="00103CFB" w:rsidP="00103CFB">
            <w:pPr>
              <w:spacing w:after="0"/>
              <w:ind w:left="0"/>
              <w:rPr>
                <w:color w:val="000000"/>
              </w:rPr>
            </w:pPr>
            <w:r>
              <w:rPr>
                <w:color w:val="000000"/>
              </w:rPr>
              <w:t>Obligation Assessment Rates</w:t>
            </w:r>
          </w:p>
        </w:tc>
      </w:tr>
      <w:tr w:rsidR="00103CFB" w:rsidRPr="00293F5E" w14:paraId="25B6A0C7" w14:textId="77777777" w:rsidTr="00103CFB">
        <w:trPr>
          <w:trHeight w:val="315"/>
        </w:trPr>
        <w:tc>
          <w:tcPr>
            <w:tcW w:w="684" w:type="dxa"/>
            <w:noWrap/>
            <w:vAlign w:val="bottom"/>
          </w:tcPr>
          <w:p w14:paraId="78FA7C68" w14:textId="408E9ADB" w:rsidR="00103CFB" w:rsidRPr="004B4E82" w:rsidRDefault="00103CFB" w:rsidP="00103CFB">
            <w:pPr>
              <w:spacing w:after="0"/>
              <w:ind w:left="0"/>
              <w:jc w:val="center"/>
              <w:rPr>
                <w:color w:val="000000"/>
                <w:szCs w:val="22"/>
              </w:rPr>
            </w:pPr>
            <w:r>
              <w:rPr>
                <w:color w:val="000000"/>
                <w:szCs w:val="22"/>
              </w:rPr>
              <w:t>279</w:t>
            </w:r>
          </w:p>
        </w:tc>
        <w:tc>
          <w:tcPr>
            <w:tcW w:w="1677" w:type="dxa"/>
            <w:noWrap/>
            <w:vAlign w:val="bottom"/>
          </w:tcPr>
          <w:p w14:paraId="3C8390C0"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1E54F00A" w14:textId="77777777" w:rsidR="00103CFB" w:rsidRPr="00007760" w:rsidRDefault="00103CFB" w:rsidP="00103CFB">
            <w:pPr>
              <w:spacing w:after="0"/>
              <w:ind w:left="0"/>
              <w:rPr>
                <w:color w:val="000000"/>
              </w:rPr>
            </w:pPr>
            <w:r>
              <w:rPr>
                <w:color w:val="000000"/>
              </w:rPr>
              <w:t>TXAR0100</w:t>
            </w:r>
          </w:p>
        </w:tc>
        <w:tc>
          <w:tcPr>
            <w:tcW w:w="6963" w:type="dxa"/>
            <w:vAlign w:val="bottom"/>
          </w:tcPr>
          <w:p w14:paraId="3B8984C0" w14:textId="77777777" w:rsidR="00103CFB" w:rsidRPr="00007760" w:rsidRDefault="00103CFB" w:rsidP="00103CFB">
            <w:pPr>
              <w:spacing w:after="0"/>
              <w:ind w:left="0"/>
              <w:rPr>
                <w:color w:val="000000"/>
              </w:rPr>
            </w:pPr>
            <w:r>
              <w:rPr>
                <w:color w:val="000000"/>
              </w:rPr>
              <w:t>Tax Table</w:t>
            </w:r>
          </w:p>
        </w:tc>
      </w:tr>
      <w:tr w:rsidR="00103CFB" w:rsidRPr="00293F5E" w14:paraId="49B57B55" w14:textId="77777777" w:rsidTr="00103CFB">
        <w:trPr>
          <w:trHeight w:val="315"/>
        </w:trPr>
        <w:tc>
          <w:tcPr>
            <w:tcW w:w="684" w:type="dxa"/>
            <w:noWrap/>
            <w:vAlign w:val="bottom"/>
          </w:tcPr>
          <w:p w14:paraId="6A42C2C4" w14:textId="1E9EB0A9" w:rsidR="00103CFB" w:rsidRPr="004B4E82" w:rsidRDefault="00103CFB" w:rsidP="00103CFB">
            <w:pPr>
              <w:spacing w:after="0"/>
              <w:ind w:left="0"/>
              <w:jc w:val="center"/>
              <w:rPr>
                <w:color w:val="000000"/>
                <w:szCs w:val="22"/>
              </w:rPr>
            </w:pPr>
            <w:r w:rsidRPr="004B4E82">
              <w:rPr>
                <w:color w:val="000000"/>
                <w:szCs w:val="22"/>
              </w:rPr>
              <w:t>280</w:t>
            </w:r>
          </w:p>
        </w:tc>
        <w:tc>
          <w:tcPr>
            <w:tcW w:w="1677" w:type="dxa"/>
            <w:noWrap/>
            <w:vAlign w:val="bottom"/>
          </w:tcPr>
          <w:p w14:paraId="1E36B631"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33F8393D" w14:textId="77777777" w:rsidR="00103CFB" w:rsidRPr="00007760" w:rsidRDefault="00103CFB" w:rsidP="00103CFB">
            <w:pPr>
              <w:spacing w:after="0"/>
              <w:ind w:left="0"/>
              <w:rPr>
                <w:color w:val="000000"/>
              </w:rPr>
            </w:pPr>
            <w:r>
              <w:rPr>
                <w:color w:val="000000"/>
              </w:rPr>
              <w:t>TXAR0110</w:t>
            </w:r>
          </w:p>
        </w:tc>
        <w:tc>
          <w:tcPr>
            <w:tcW w:w="6963" w:type="dxa"/>
            <w:vAlign w:val="bottom"/>
          </w:tcPr>
          <w:p w14:paraId="54B89EEB" w14:textId="35CC6571" w:rsidR="00103CFB" w:rsidRPr="00007760" w:rsidRDefault="00103CFB" w:rsidP="00103CFB">
            <w:pPr>
              <w:spacing w:after="0"/>
              <w:ind w:left="0"/>
              <w:rPr>
                <w:color w:val="000000"/>
              </w:rPr>
            </w:pPr>
            <w:r>
              <w:rPr>
                <w:color w:val="000000"/>
              </w:rPr>
              <w:t xml:space="preserve">Annual Rate Run - </w:t>
            </w:r>
            <w:r w:rsidR="0098693C">
              <w:rPr>
                <w:color w:val="000000"/>
              </w:rPr>
              <w:t>System Output</w:t>
            </w:r>
            <w:r>
              <w:rPr>
                <w:color w:val="000000"/>
              </w:rPr>
              <w:t xml:space="preserve"> Messages</w:t>
            </w:r>
          </w:p>
        </w:tc>
      </w:tr>
      <w:tr w:rsidR="00103CFB" w:rsidRPr="00293F5E" w14:paraId="289359DA" w14:textId="77777777" w:rsidTr="00103CFB">
        <w:trPr>
          <w:trHeight w:val="315"/>
        </w:trPr>
        <w:tc>
          <w:tcPr>
            <w:tcW w:w="684" w:type="dxa"/>
            <w:noWrap/>
            <w:vAlign w:val="bottom"/>
          </w:tcPr>
          <w:p w14:paraId="52493D2D" w14:textId="239DAA51" w:rsidR="00103CFB" w:rsidRPr="004B4E82" w:rsidRDefault="00103CFB" w:rsidP="00103CFB">
            <w:pPr>
              <w:spacing w:after="0"/>
              <w:ind w:left="0"/>
              <w:jc w:val="center"/>
              <w:rPr>
                <w:color w:val="000000"/>
                <w:szCs w:val="22"/>
              </w:rPr>
            </w:pPr>
            <w:r>
              <w:rPr>
                <w:color w:val="000000"/>
                <w:szCs w:val="22"/>
              </w:rPr>
              <w:t>281</w:t>
            </w:r>
          </w:p>
        </w:tc>
        <w:tc>
          <w:tcPr>
            <w:tcW w:w="1677" w:type="dxa"/>
            <w:noWrap/>
            <w:vAlign w:val="bottom"/>
          </w:tcPr>
          <w:p w14:paraId="5EBCC442"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0AC1FAD0" w14:textId="77777777" w:rsidR="00103CFB" w:rsidRPr="00007760" w:rsidRDefault="00103CFB" w:rsidP="00103CFB">
            <w:pPr>
              <w:spacing w:after="0"/>
              <w:ind w:left="0"/>
              <w:rPr>
                <w:color w:val="000000"/>
              </w:rPr>
            </w:pPr>
            <w:r>
              <w:rPr>
                <w:color w:val="000000"/>
              </w:rPr>
              <w:t>TXAR0120</w:t>
            </w:r>
          </w:p>
        </w:tc>
        <w:tc>
          <w:tcPr>
            <w:tcW w:w="6963" w:type="dxa"/>
            <w:vAlign w:val="bottom"/>
          </w:tcPr>
          <w:p w14:paraId="4EBFA114" w14:textId="77777777" w:rsidR="00103CFB" w:rsidRPr="00007760" w:rsidRDefault="00103CFB" w:rsidP="00103CFB">
            <w:pPr>
              <w:spacing w:after="0"/>
              <w:ind w:left="0"/>
              <w:rPr>
                <w:color w:val="000000"/>
              </w:rPr>
            </w:pPr>
            <w:r>
              <w:rPr>
                <w:color w:val="000000"/>
              </w:rPr>
              <w:t>Late Payment Register</w:t>
            </w:r>
          </w:p>
        </w:tc>
      </w:tr>
      <w:tr w:rsidR="00103CFB" w:rsidRPr="00293F5E" w14:paraId="26519153" w14:textId="77777777" w:rsidTr="00103CFB">
        <w:trPr>
          <w:trHeight w:val="315"/>
        </w:trPr>
        <w:tc>
          <w:tcPr>
            <w:tcW w:w="684" w:type="dxa"/>
            <w:noWrap/>
            <w:vAlign w:val="bottom"/>
          </w:tcPr>
          <w:p w14:paraId="37EAD504" w14:textId="5AF171CA" w:rsidR="00103CFB" w:rsidRPr="004B4E82" w:rsidRDefault="00103CFB" w:rsidP="00103CFB">
            <w:pPr>
              <w:spacing w:after="0"/>
              <w:ind w:left="0"/>
              <w:jc w:val="center"/>
              <w:rPr>
                <w:color w:val="000000"/>
                <w:szCs w:val="22"/>
              </w:rPr>
            </w:pPr>
            <w:r w:rsidRPr="004B4E82">
              <w:rPr>
                <w:color w:val="000000"/>
                <w:szCs w:val="22"/>
              </w:rPr>
              <w:t>282</w:t>
            </w:r>
          </w:p>
        </w:tc>
        <w:tc>
          <w:tcPr>
            <w:tcW w:w="1677" w:type="dxa"/>
            <w:noWrap/>
            <w:vAlign w:val="bottom"/>
          </w:tcPr>
          <w:p w14:paraId="46FAC59B"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1D7BAC45" w14:textId="77777777" w:rsidR="00103CFB" w:rsidRPr="00007760" w:rsidRDefault="00103CFB" w:rsidP="00103CFB">
            <w:pPr>
              <w:spacing w:after="0"/>
              <w:ind w:left="0"/>
              <w:rPr>
                <w:color w:val="000000"/>
              </w:rPr>
            </w:pPr>
            <w:r>
              <w:rPr>
                <w:color w:val="000000"/>
              </w:rPr>
              <w:t>TXAR0120</w:t>
            </w:r>
          </w:p>
        </w:tc>
        <w:tc>
          <w:tcPr>
            <w:tcW w:w="6963" w:type="dxa"/>
            <w:vAlign w:val="bottom"/>
          </w:tcPr>
          <w:p w14:paraId="2C8C8831" w14:textId="77777777" w:rsidR="00103CFB" w:rsidRPr="00007760" w:rsidRDefault="00103CFB" w:rsidP="00103CFB">
            <w:pPr>
              <w:spacing w:after="0"/>
              <w:ind w:left="0"/>
              <w:rPr>
                <w:color w:val="000000"/>
              </w:rPr>
            </w:pPr>
            <w:r>
              <w:rPr>
                <w:color w:val="000000"/>
              </w:rPr>
              <w:t>Rate Register Sample Report</w:t>
            </w:r>
          </w:p>
        </w:tc>
      </w:tr>
      <w:tr w:rsidR="00103CFB" w:rsidRPr="00293F5E" w14:paraId="70DC9F37" w14:textId="77777777" w:rsidTr="00103CFB">
        <w:trPr>
          <w:trHeight w:val="315"/>
        </w:trPr>
        <w:tc>
          <w:tcPr>
            <w:tcW w:w="684" w:type="dxa"/>
            <w:noWrap/>
            <w:vAlign w:val="bottom"/>
          </w:tcPr>
          <w:p w14:paraId="2240E89B" w14:textId="5918C434" w:rsidR="00103CFB" w:rsidRPr="004B4E82" w:rsidRDefault="00103CFB" w:rsidP="00103CFB">
            <w:pPr>
              <w:spacing w:after="0"/>
              <w:ind w:left="0"/>
              <w:jc w:val="center"/>
              <w:rPr>
                <w:color w:val="000000"/>
                <w:szCs w:val="22"/>
              </w:rPr>
            </w:pPr>
            <w:r>
              <w:rPr>
                <w:color w:val="000000"/>
                <w:szCs w:val="22"/>
              </w:rPr>
              <w:t>283</w:t>
            </w:r>
          </w:p>
        </w:tc>
        <w:tc>
          <w:tcPr>
            <w:tcW w:w="1677" w:type="dxa"/>
            <w:noWrap/>
            <w:vAlign w:val="bottom"/>
          </w:tcPr>
          <w:p w14:paraId="2F2858C7"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39E2954C" w14:textId="77777777" w:rsidR="00103CFB" w:rsidRPr="00007760" w:rsidRDefault="00103CFB" w:rsidP="00103CFB">
            <w:pPr>
              <w:spacing w:after="0"/>
              <w:ind w:left="0"/>
              <w:rPr>
                <w:color w:val="000000"/>
              </w:rPr>
            </w:pPr>
            <w:r>
              <w:rPr>
                <w:color w:val="000000"/>
              </w:rPr>
              <w:t>TXAR0131</w:t>
            </w:r>
          </w:p>
        </w:tc>
        <w:tc>
          <w:tcPr>
            <w:tcW w:w="6963" w:type="dxa"/>
            <w:vAlign w:val="bottom"/>
          </w:tcPr>
          <w:p w14:paraId="448657A1" w14:textId="77777777" w:rsidR="00103CFB" w:rsidRPr="00007760" w:rsidRDefault="00103CFB" w:rsidP="00103CFB">
            <w:pPr>
              <w:spacing w:after="0"/>
              <w:ind w:left="0"/>
              <w:rPr>
                <w:color w:val="000000"/>
              </w:rPr>
            </w:pPr>
            <w:r>
              <w:rPr>
                <w:color w:val="000000"/>
              </w:rPr>
              <w:t>Deficit Tax Rate by 3 Digit Industry</w:t>
            </w:r>
          </w:p>
        </w:tc>
      </w:tr>
      <w:tr w:rsidR="00103CFB" w:rsidRPr="00293F5E" w14:paraId="05A703D4" w14:textId="77777777" w:rsidTr="00103CFB">
        <w:trPr>
          <w:trHeight w:val="315"/>
        </w:trPr>
        <w:tc>
          <w:tcPr>
            <w:tcW w:w="684" w:type="dxa"/>
            <w:noWrap/>
            <w:vAlign w:val="bottom"/>
          </w:tcPr>
          <w:p w14:paraId="5AD4F81D" w14:textId="7C7F4015" w:rsidR="00103CFB" w:rsidRPr="004B4E82" w:rsidRDefault="00103CFB" w:rsidP="00103CFB">
            <w:pPr>
              <w:spacing w:after="0"/>
              <w:ind w:left="0"/>
              <w:jc w:val="center"/>
              <w:rPr>
                <w:color w:val="000000"/>
                <w:szCs w:val="22"/>
              </w:rPr>
            </w:pPr>
            <w:r w:rsidRPr="004B4E82">
              <w:rPr>
                <w:color w:val="000000"/>
                <w:szCs w:val="22"/>
              </w:rPr>
              <w:t>284</w:t>
            </w:r>
          </w:p>
        </w:tc>
        <w:tc>
          <w:tcPr>
            <w:tcW w:w="1677" w:type="dxa"/>
            <w:noWrap/>
            <w:vAlign w:val="bottom"/>
          </w:tcPr>
          <w:p w14:paraId="373F698C"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16C0E0C0" w14:textId="77777777" w:rsidR="00103CFB" w:rsidRPr="00007760" w:rsidRDefault="00103CFB" w:rsidP="00103CFB">
            <w:pPr>
              <w:spacing w:after="0"/>
              <w:ind w:left="0"/>
              <w:rPr>
                <w:color w:val="000000"/>
              </w:rPr>
            </w:pPr>
            <w:r>
              <w:rPr>
                <w:color w:val="000000"/>
              </w:rPr>
              <w:t>TXAR0131</w:t>
            </w:r>
          </w:p>
        </w:tc>
        <w:tc>
          <w:tcPr>
            <w:tcW w:w="6963" w:type="dxa"/>
            <w:vAlign w:val="bottom"/>
          </w:tcPr>
          <w:p w14:paraId="007AE4C5" w14:textId="77777777" w:rsidR="00103CFB" w:rsidRPr="00007760" w:rsidRDefault="00103CFB" w:rsidP="00103CFB">
            <w:pPr>
              <w:spacing w:after="0"/>
              <w:ind w:left="0"/>
              <w:rPr>
                <w:color w:val="000000"/>
              </w:rPr>
            </w:pPr>
            <w:r>
              <w:rPr>
                <w:color w:val="000000"/>
              </w:rPr>
              <w:t>Effective Tax Rate by 3 Digit Industry</w:t>
            </w:r>
          </w:p>
        </w:tc>
      </w:tr>
      <w:tr w:rsidR="00103CFB" w:rsidRPr="00293F5E" w14:paraId="1A7249E7" w14:textId="77777777" w:rsidTr="00103CFB">
        <w:trPr>
          <w:trHeight w:val="315"/>
        </w:trPr>
        <w:tc>
          <w:tcPr>
            <w:tcW w:w="684" w:type="dxa"/>
            <w:noWrap/>
            <w:vAlign w:val="bottom"/>
          </w:tcPr>
          <w:p w14:paraId="734AA093" w14:textId="484127A9" w:rsidR="00103CFB" w:rsidRPr="004B4E82" w:rsidRDefault="00103CFB" w:rsidP="00103CFB">
            <w:pPr>
              <w:spacing w:after="0"/>
              <w:ind w:left="0"/>
              <w:jc w:val="center"/>
              <w:rPr>
                <w:color w:val="000000"/>
                <w:szCs w:val="22"/>
              </w:rPr>
            </w:pPr>
            <w:r>
              <w:rPr>
                <w:color w:val="000000"/>
                <w:szCs w:val="22"/>
              </w:rPr>
              <w:t>285</w:t>
            </w:r>
          </w:p>
        </w:tc>
        <w:tc>
          <w:tcPr>
            <w:tcW w:w="1677" w:type="dxa"/>
            <w:noWrap/>
            <w:vAlign w:val="bottom"/>
          </w:tcPr>
          <w:p w14:paraId="10FF1476"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24C09A0F" w14:textId="77777777" w:rsidR="00103CFB" w:rsidRPr="00007760" w:rsidRDefault="00103CFB" w:rsidP="00103CFB">
            <w:pPr>
              <w:spacing w:after="0"/>
              <w:ind w:left="0"/>
              <w:rPr>
                <w:color w:val="000000"/>
              </w:rPr>
            </w:pPr>
            <w:r>
              <w:rPr>
                <w:color w:val="000000"/>
              </w:rPr>
              <w:t>TXAR0131</w:t>
            </w:r>
          </w:p>
        </w:tc>
        <w:tc>
          <w:tcPr>
            <w:tcW w:w="6963" w:type="dxa"/>
            <w:vAlign w:val="bottom"/>
          </w:tcPr>
          <w:p w14:paraId="0BE2E4DB" w14:textId="77777777" w:rsidR="00103CFB" w:rsidRPr="00007760" w:rsidRDefault="00103CFB" w:rsidP="00103CFB">
            <w:pPr>
              <w:spacing w:after="0"/>
              <w:ind w:left="0"/>
              <w:rPr>
                <w:color w:val="000000"/>
              </w:rPr>
            </w:pPr>
            <w:r>
              <w:rPr>
                <w:color w:val="000000"/>
              </w:rPr>
              <w:t>General Tax Rate by 3 Digit</w:t>
            </w:r>
          </w:p>
        </w:tc>
      </w:tr>
      <w:tr w:rsidR="00103CFB" w:rsidRPr="00293F5E" w14:paraId="7F08333B" w14:textId="77777777" w:rsidTr="00103CFB">
        <w:trPr>
          <w:trHeight w:val="315"/>
        </w:trPr>
        <w:tc>
          <w:tcPr>
            <w:tcW w:w="684" w:type="dxa"/>
            <w:noWrap/>
            <w:vAlign w:val="bottom"/>
          </w:tcPr>
          <w:p w14:paraId="2D89DA11" w14:textId="0F6CB4CB" w:rsidR="00103CFB" w:rsidRPr="004B4E82" w:rsidRDefault="00103CFB" w:rsidP="00103CFB">
            <w:pPr>
              <w:spacing w:after="0"/>
              <w:ind w:left="0"/>
              <w:jc w:val="center"/>
              <w:rPr>
                <w:color w:val="000000"/>
                <w:szCs w:val="22"/>
              </w:rPr>
            </w:pPr>
            <w:r w:rsidRPr="004B4E82">
              <w:rPr>
                <w:color w:val="000000"/>
                <w:szCs w:val="22"/>
              </w:rPr>
              <w:t>286</w:t>
            </w:r>
          </w:p>
        </w:tc>
        <w:tc>
          <w:tcPr>
            <w:tcW w:w="1677" w:type="dxa"/>
            <w:noWrap/>
            <w:vAlign w:val="bottom"/>
          </w:tcPr>
          <w:p w14:paraId="1C7F8C07"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642BB7D1" w14:textId="77777777" w:rsidR="00103CFB" w:rsidRPr="00007760" w:rsidRDefault="00103CFB" w:rsidP="00103CFB">
            <w:pPr>
              <w:spacing w:after="0"/>
              <w:ind w:left="0"/>
              <w:rPr>
                <w:color w:val="000000"/>
              </w:rPr>
            </w:pPr>
            <w:r>
              <w:rPr>
                <w:color w:val="000000"/>
              </w:rPr>
              <w:t>TXAR0131</w:t>
            </w:r>
          </w:p>
        </w:tc>
        <w:tc>
          <w:tcPr>
            <w:tcW w:w="6963" w:type="dxa"/>
            <w:vAlign w:val="bottom"/>
          </w:tcPr>
          <w:p w14:paraId="7C37AD81" w14:textId="77777777" w:rsidR="00103CFB" w:rsidRPr="00007760" w:rsidRDefault="00103CFB" w:rsidP="00103CFB">
            <w:pPr>
              <w:spacing w:after="0"/>
              <w:ind w:left="0"/>
              <w:rPr>
                <w:color w:val="000000"/>
              </w:rPr>
            </w:pPr>
            <w:r>
              <w:rPr>
                <w:color w:val="000000"/>
              </w:rPr>
              <w:t>Interest Tax Rate by 3 Digit Industry</w:t>
            </w:r>
          </w:p>
        </w:tc>
      </w:tr>
      <w:tr w:rsidR="00103CFB" w:rsidRPr="00293F5E" w14:paraId="0F73D962" w14:textId="77777777" w:rsidTr="00103CFB">
        <w:trPr>
          <w:trHeight w:val="315"/>
        </w:trPr>
        <w:tc>
          <w:tcPr>
            <w:tcW w:w="684" w:type="dxa"/>
            <w:noWrap/>
            <w:vAlign w:val="bottom"/>
          </w:tcPr>
          <w:p w14:paraId="78A26AEC" w14:textId="09E48FE4" w:rsidR="00103CFB" w:rsidRPr="004B4E82" w:rsidRDefault="00103CFB" w:rsidP="00103CFB">
            <w:pPr>
              <w:spacing w:after="0"/>
              <w:ind w:left="0"/>
              <w:jc w:val="center"/>
              <w:rPr>
                <w:color w:val="000000"/>
                <w:szCs w:val="22"/>
              </w:rPr>
            </w:pPr>
            <w:r>
              <w:rPr>
                <w:color w:val="000000"/>
                <w:szCs w:val="22"/>
              </w:rPr>
              <w:t>287</w:t>
            </w:r>
          </w:p>
        </w:tc>
        <w:tc>
          <w:tcPr>
            <w:tcW w:w="1677" w:type="dxa"/>
            <w:noWrap/>
            <w:vAlign w:val="bottom"/>
          </w:tcPr>
          <w:p w14:paraId="09ECCFC1"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5CEAE7DE" w14:textId="77777777" w:rsidR="00103CFB" w:rsidRPr="00007760" w:rsidRDefault="00103CFB" w:rsidP="00103CFB">
            <w:pPr>
              <w:spacing w:after="0"/>
              <w:ind w:left="0"/>
              <w:rPr>
                <w:color w:val="000000"/>
              </w:rPr>
            </w:pPr>
            <w:r>
              <w:rPr>
                <w:color w:val="000000"/>
              </w:rPr>
              <w:t>TXAR0131</w:t>
            </w:r>
          </w:p>
        </w:tc>
        <w:tc>
          <w:tcPr>
            <w:tcW w:w="6963" w:type="dxa"/>
            <w:vAlign w:val="bottom"/>
          </w:tcPr>
          <w:p w14:paraId="3ACE17CD" w14:textId="77777777" w:rsidR="00103CFB" w:rsidRPr="00007760" w:rsidRDefault="00103CFB" w:rsidP="00103CFB">
            <w:pPr>
              <w:spacing w:after="0"/>
              <w:ind w:left="0"/>
              <w:rPr>
                <w:color w:val="000000"/>
              </w:rPr>
            </w:pPr>
            <w:r>
              <w:rPr>
                <w:color w:val="000000"/>
              </w:rPr>
              <w:t>Recap by Rates for Deficit Tax Rate</w:t>
            </w:r>
          </w:p>
        </w:tc>
      </w:tr>
      <w:tr w:rsidR="00103CFB" w:rsidRPr="00293F5E" w14:paraId="3013E2F5" w14:textId="77777777" w:rsidTr="00103CFB">
        <w:trPr>
          <w:trHeight w:val="315"/>
        </w:trPr>
        <w:tc>
          <w:tcPr>
            <w:tcW w:w="684" w:type="dxa"/>
            <w:noWrap/>
            <w:vAlign w:val="bottom"/>
          </w:tcPr>
          <w:p w14:paraId="6A674A22" w14:textId="239BC931" w:rsidR="00103CFB" w:rsidRPr="004B4E82" w:rsidRDefault="00103CFB" w:rsidP="00103CFB">
            <w:pPr>
              <w:spacing w:after="0"/>
              <w:ind w:left="0"/>
              <w:jc w:val="center"/>
              <w:rPr>
                <w:color w:val="000000"/>
                <w:szCs w:val="22"/>
              </w:rPr>
            </w:pPr>
            <w:r w:rsidRPr="004B4E82">
              <w:rPr>
                <w:color w:val="000000"/>
                <w:szCs w:val="22"/>
              </w:rPr>
              <w:t>288</w:t>
            </w:r>
          </w:p>
        </w:tc>
        <w:tc>
          <w:tcPr>
            <w:tcW w:w="1677" w:type="dxa"/>
            <w:noWrap/>
            <w:vAlign w:val="bottom"/>
          </w:tcPr>
          <w:p w14:paraId="1793E9C6"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207C083B" w14:textId="77777777" w:rsidR="00103CFB" w:rsidRPr="00007760" w:rsidRDefault="00103CFB" w:rsidP="00103CFB">
            <w:pPr>
              <w:spacing w:after="0"/>
              <w:ind w:left="0"/>
              <w:rPr>
                <w:color w:val="000000"/>
              </w:rPr>
            </w:pPr>
            <w:r>
              <w:rPr>
                <w:color w:val="000000"/>
              </w:rPr>
              <w:t>TXAR0131</w:t>
            </w:r>
          </w:p>
        </w:tc>
        <w:tc>
          <w:tcPr>
            <w:tcW w:w="6963" w:type="dxa"/>
            <w:vAlign w:val="bottom"/>
          </w:tcPr>
          <w:p w14:paraId="515474DB" w14:textId="77777777" w:rsidR="00103CFB" w:rsidRPr="00007760" w:rsidRDefault="00103CFB" w:rsidP="00103CFB">
            <w:pPr>
              <w:spacing w:after="0"/>
              <w:ind w:left="0"/>
              <w:rPr>
                <w:color w:val="000000"/>
              </w:rPr>
            </w:pPr>
            <w:r>
              <w:rPr>
                <w:color w:val="000000"/>
              </w:rPr>
              <w:t>Recap by Rates for Effective Tax Rate</w:t>
            </w:r>
          </w:p>
        </w:tc>
      </w:tr>
      <w:tr w:rsidR="00103CFB" w:rsidRPr="00293F5E" w14:paraId="19981505" w14:textId="77777777" w:rsidTr="00103CFB">
        <w:trPr>
          <w:trHeight w:val="315"/>
        </w:trPr>
        <w:tc>
          <w:tcPr>
            <w:tcW w:w="684" w:type="dxa"/>
            <w:noWrap/>
            <w:vAlign w:val="bottom"/>
          </w:tcPr>
          <w:p w14:paraId="05F68BFA" w14:textId="5B9A5B3F" w:rsidR="00103CFB" w:rsidRPr="004B4E82" w:rsidRDefault="00103CFB" w:rsidP="00103CFB">
            <w:pPr>
              <w:spacing w:after="0"/>
              <w:ind w:left="0"/>
              <w:jc w:val="center"/>
              <w:rPr>
                <w:color w:val="000000"/>
                <w:szCs w:val="22"/>
              </w:rPr>
            </w:pPr>
            <w:r>
              <w:rPr>
                <w:color w:val="000000"/>
                <w:szCs w:val="22"/>
              </w:rPr>
              <w:t>289</w:t>
            </w:r>
          </w:p>
        </w:tc>
        <w:tc>
          <w:tcPr>
            <w:tcW w:w="1677" w:type="dxa"/>
            <w:noWrap/>
            <w:vAlign w:val="bottom"/>
          </w:tcPr>
          <w:p w14:paraId="5E64A76C"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5677BD83" w14:textId="77777777" w:rsidR="00103CFB" w:rsidRPr="00007760" w:rsidRDefault="00103CFB" w:rsidP="00103CFB">
            <w:pPr>
              <w:spacing w:after="0"/>
              <w:ind w:left="0"/>
              <w:rPr>
                <w:color w:val="000000"/>
              </w:rPr>
            </w:pPr>
            <w:r>
              <w:rPr>
                <w:color w:val="000000"/>
              </w:rPr>
              <w:t>TXAR0131</w:t>
            </w:r>
          </w:p>
        </w:tc>
        <w:tc>
          <w:tcPr>
            <w:tcW w:w="6963" w:type="dxa"/>
            <w:vAlign w:val="bottom"/>
          </w:tcPr>
          <w:p w14:paraId="4AAE3E47" w14:textId="77777777" w:rsidR="00103CFB" w:rsidRPr="00007760" w:rsidRDefault="00103CFB" w:rsidP="00103CFB">
            <w:pPr>
              <w:spacing w:after="0"/>
              <w:ind w:left="0"/>
              <w:rPr>
                <w:color w:val="000000"/>
              </w:rPr>
            </w:pPr>
            <w:r>
              <w:rPr>
                <w:color w:val="000000"/>
              </w:rPr>
              <w:t>Recap by Rates for General Tax Rate</w:t>
            </w:r>
          </w:p>
        </w:tc>
      </w:tr>
      <w:tr w:rsidR="00103CFB" w:rsidRPr="00293F5E" w14:paraId="56D43609" w14:textId="77777777" w:rsidTr="00103CFB">
        <w:trPr>
          <w:trHeight w:val="315"/>
        </w:trPr>
        <w:tc>
          <w:tcPr>
            <w:tcW w:w="684" w:type="dxa"/>
            <w:noWrap/>
            <w:vAlign w:val="bottom"/>
          </w:tcPr>
          <w:p w14:paraId="7A6B1184" w14:textId="0A80C502" w:rsidR="00103CFB" w:rsidRPr="004B4E82" w:rsidRDefault="00103CFB" w:rsidP="00103CFB">
            <w:pPr>
              <w:spacing w:after="0"/>
              <w:ind w:left="0"/>
              <w:jc w:val="center"/>
              <w:rPr>
                <w:color w:val="000000"/>
                <w:szCs w:val="22"/>
              </w:rPr>
            </w:pPr>
            <w:r w:rsidRPr="004B4E82">
              <w:rPr>
                <w:color w:val="000000"/>
                <w:szCs w:val="22"/>
              </w:rPr>
              <w:t>290</w:t>
            </w:r>
          </w:p>
        </w:tc>
        <w:tc>
          <w:tcPr>
            <w:tcW w:w="1677" w:type="dxa"/>
            <w:noWrap/>
            <w:vAlign w:val="bottom"/>
          </w:tcPr>
          <w:p w14:paraId="788BF7B3"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2CAA8CE2" w14:textId="77777777" w:rsidR="00103CFB" w:rsidRPr="00007760" w:rsidRDefault="00103CFB" w:rsidP="00103CFB">
            <w:pPr>
              <w:spacing w:after="0"/>
              <w:ind w:left="0"/>
              <w:rPr>
                <w:color w:val="000000"/>
              </w:rPr>
            </w:pPr>
            <w:r>
              <w:rPr>
                <w:color w:val="000000"/>
              </w:rPr>
              <w:t>TXAR0131</w:t>
            </w:r>
          </w:p>
        </w:tc>
        <w:tc>
          <w:tcPr>
            <w:tcW w:w="6963" w:type="dxa"/>
            <w:vAlign w:val="bottom"/>
          </w:tcPr>
          <w:p w14:paraId="25EB8183" w14:textId="77777777" w:rsidR="00103CFB" w:rsidRPr="00007760" w:rsidRDefault="00103CFB" w:rsidP="00103CFB">
            <w:pPr>
              <w:spacing w:after="0"/>
              <w:ind w:left="0"/>
              <w:rPr>
                <w:color w:val="000000"/>
              </w:rPr>
            </w:pPr>
            <w:r>
              <w:rPr>
                <w:color w:val="000000"/>
              </w:rPr>
              <w:t>Recap by Rates for Interest Tax Rate</w:t>
            </w:r>
          </w:p>
        </w:tc>
      </w:tr>
      <w:tr w:rsidR="00103CFB" w:rsidRPr="00293F5E" w14:paraId="6A4CA4C8" w14:textId="77777777" w:rsidTr="00103CFB">
        <w:trPr>
          <w:trHeight w:val="315"/>
        </w:trPr>
        <w:tc>
          <w:tcPr>
            <w:tcW w:w="684" w:type="dxa"/>
            <w:noWrap/>
            <w:vAlign w:val="bottom"/>
          </w:tcPr>
          <w:p w14:paraId="2629E0FF" w14:textId="2A89D058" w:rsidR="00103CFB" w:rsidRPr="004B4E82" w:rsidRDefault="00103CFB" w:rsidP="00103CFB">
            <w:pPr>
              <w:spacing w:after="0"/>
              <w:ind w:left="0"/>
              <w:jc w:val="center"/>
              <w:rPr>
                <w:color w:val="000000"/>
                <w:szCs w:val="22"/>
              </w:rPr>
            </w:pPr>
            <w:r>
              <w:rPr>
                <w:color w:val="000000"/>
                <w:szCs w:val="22"/>
              </w:rPr>
              <w:t>291</w:t>
            </w:r>
          </w:p>
        </w:tc>
        <w:tc>
          <w:tcPr>
            <w:tcW w:w="1677" w:type="dxa"/>
            <w:noWrap/>
            <w:vAlign w:val="bottom"/>
          </w:tcPr>
          <w:p w14:paraId="2FA9556E"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0E3F18AF" w14:textId="77777777" w:rsidR="00103CFB" w:rsidRPr="00007760" w:rsidRDefault="00103CFB" w:rsidP="00103CFB">
            <w:pPr>
              <w:spacing w:after="0"/>
              <w:ind w:left="0"/>
              <w:rPr>
                <w:color w:val="000000"/>
              </w:rPr>
            </w:pPr>
            <w:r>
              <w:rPr>
                <w:color w:val="000000"/>
              </w:rPr>
              <w:t>TXAR0131</w:t>
            </w:r>
          </w:p>
        </w:tc>
        <w:tc>
          <w:tcPr>
            <w:tcW w:w="6963" w:type="dxa"/>
            <w:vAlign w:val="bottom"/>
          </w:tcPr>
          <w:p w14:paraId="25A29C23" w14:textId="77777777" w:rsidR="00103CFB" w:rsidRPr="00007760" w:rsidRDefault="00103CFB" w:rsidP="00103CFB">
            <w:pPr>
              <w:spacing w:after="0"/>
              <w:ind w:left="0"/>
              <w:rPr>
                <w:color w:val="000000"/>
              </w:rPr>
            </w:pPr>
            <w:r>
              <w:rPr>
                <w:color w:val="000000"/>
              </w:rPr>
              <w:t>Recap by Rates for OA Tax Rate</w:t>
            </w:r>
          </w:p>
        </w:tc>
      </w:tr>
      <w:tr w:rsidR="00103CFB" w:rsidRPr="00293F5E" w14:paraId="63EB6422" w14:textId="77777777" w:rsidTr="00103CFB">
        <w:trPr>
          <w:trHeight w:val="315"/>
        </w:trPr>
        <w:tc>
          <w:tcPr>
            <w:tcW w:w="684" w:type="dxa"/>
            <w:noWrap/>
            <w:vAlign w:val="bottom"/>
          </w:tcPr>
          <w:p w14:paraId="195A8418" w14:textId="25F7C928" w:rsidR="00103CFB" w:rsidRPr="004B4E82" w:rsidRDefault="00103CFB" w:rsidP="00103CFB">
            <w:pPr>
              <w:spacing w:after="0"/>
              <w:ind w:left="0"/>
              <w:jc w:val="center"/>
              <w:rPr>
                <w:color w:val="000000"/>
                <w:szCs w:val="22"/>
              </w:rPr>
            </w:pPr>
            <w:r w:rsidRPr="004B4E82">
              <w:rPr>
                <w:color w:val="000000"/>
                <w:szCs w:val="22"/>
              </w:rPr>
              <w:t>292</w:t>
            </w:r>
          </w:p>
        </w:tc>
        <w:tc>
          <w:tcPr>
            <w:tcW w:w="1677" w:type="dxa"/>
            <w:noWrap/>
            <w:vAlign w:val="bottom"/>
          </w:tcPr>
          <w:p w14:paraId="408A54BA"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15E12C67" w14:textId="77777777" w:rsidR="00103CFB" w:rsidRPr="00007760" w:rsidRDefault="00103CFB" w:rsidP="00103CFB">
            <w:pPr>
              <w:spacing w:after="0"/>
              <w:ind w:left="0"/>
              <w:rPr>
                <w:color w:val="000000"/>
              </w:rPr>
            </w:pPr>
            <w:r>
              <w:rPr>
                <w:color w:val="000000"/>
              </w:rPr>
              <w:t>TXAR0131</w:t>
            </w:r>
          </w:p>
        </w:tc>
        <w:tc>
          <w:tcPr>
            <w:tcW w:w="6963" w:type="dxa"/>
            <w:vAlign w:val="bottom"/>
          </w:tcPr>
          <w:p w14:paraId="7A71342C" w14:textId="77777777" w:rsidR="00103CFB" w:rsidRPr="00007760" w:rsidRDefault="00103CFB" w:rsidP="00103CFB">
            <w:pPr>
              <w:spacing w:after="0"/>
              <w:ind w:left="0"/>
              <w:rPr>
                <w:color w:val="000000"/>
              </w:rPr>
            </w:pPr>
            <w:r>
              <w:rPr>
                <w:color w:val="000000"/>
              </w:rPr>
              <w:t>Recap by Rates for Replenishment Tax Rate</w:t>
            </w:r>
          </w:p>
        </w:tc>
      </w:tr>
      <w:tr w:rsidR="00103CFB" w:rsidRPr="00293F5E" w14:paraId="2B3BD716" w14:textId="77777777" w:rsidTr="00103CFB">
        <w:trPr>
          <w:trHeight w:val="315"/>
        </w:trPr>
        <w:tc>
          <w:tcPr>
            <w:tcW w:w="684" w:type="dxa"/>
            <w:noWrap/>
            <w:vAlign w:val="bottom"/>
          </w:tcPr>
          <w:p w14:paraId="586D58C6" w14:textId="716B88E6" w:rsidR="00103CFB" w:rsidRPr="004B4E82" w:rsidRDefault="00103CFB" w:rsidP="00103CFB">
            <w:pPr>
              <w:spacing w:after="0"/>
              <w:ind w:left="0"/>
              <w:jc w:val="center"/>
              <w:rPr>
                <w:color w:val="000000"/>
                <w:szCs w:val="22"/>
              </w:rPr>
            </w:pPr>
            <w:r>
              <w:rPr>
                <w:color w:val="000000"/>
                <w:szCs w:val="22"/>
              </w:rPr>
              <w:t>293</w:t>
            </w:r>
          </w:p>
        </w:tc>
        <w:tc>
          <w:tcPr>
            <w:tcW w:w="1677" w:type="dxa"/>
            <w:noWrap/>
            <w:vAlign w:val="bottom"/>
          </w:tcPr>
          <w:p w14:paraId="75F37766"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18386B3C" w14:textId="77777777" w:rsidR="00103CFB" w:rsidRPr="00007760" w:rsidRDefault="00103CFB" w:rsidP="00103CFB">
            <w:pPr>
              <w:spacing w:after="0"/>
              <w:ind w:left="0"/>
              <w:rPr>
                <w:color w:val="000000"/>
              </w:rPr>
            </w:pPr>
            <w:r>
              <w:rPr>
                <w:color w:val="000000"/>
              </w:rPr>
              <w:t>TXAR0131</w:t>
            </w:r>
          </w:p>
        </w:tc>
        <w:tc>
          <w:tcPr>
            <w:tcW w:w="6963" w:type="dxa"/>
            <w:vAlign w:val="bottom"/>
          </w:tcPr>
          <w:p w14:paraId="477694EB" w14:textId="77777777" w:rsidR="00103CFB" w:rsidRPr="00007760" w:rsidRDefault="00103CFB" w:rsidP="00103CFB">
            <w:pPr>
              <w:spacing w:after="0"/>
              <w:ind w:left="0"/>
              <w:rPr>
                <w:color w:val="000000"/>
              </w:rPr>
            </w:pPr>
            <w:r>
              <w:rPr>
                <w:color w:val="000000"/>
              </w:rPr>
              <w:t>Replenishment Rate by 3 Digit Industry</w:t>
            </w:r>
          </w:p>
        </w:tc>
      </w:tr>
      <w:tr w:rsidR="00103CFB" w:rsidRPr="00293F5E" w14:paraId="070488AA" w14:textId="77777777" w:rsidTr="00103CFB">
        <w:trPr>
          <w:trHeight w:val="315"/>
        </w:trPr>
        <w:tc>
          <w:tcPr>
            <w:tcW w:w="684" w:type="dxa"/>
            <w:noWrap/>
            <w:vAlign w:val="bottom"/>
          </w:tcPr>
          <w:p w14:paraId="31B7270F" w14:textId="6E35DAAD" w:rsidR="00103CFB" w:rsidRPr="004B4E82" w:rsidRDefault="00103CFB" w:rsidP="00103CFB">
            <w:pPr>
              <w:spacing w:after="0"/>
              <w:ind w:left="0"/>
              <w:jc w:val="center"/>
              <w:rPr>
                <w:color w:val="000000"/>
                <w:szCs w:val="22"/>
              </w:rPr>
            </w:pPr>
            <w:r w:rsidRPr="004B4E82">
              <w:rPr>
                <w:color w:val="000000"/>
                <w:szCs w:val="22"/>
              </w:rPr>
              <w:t>294</w:t>
            </w:r>
          </w:p>
        </w:tc>
        <w:tc>
          <w:tcPr>
            <w:tcW w:w="1677" w:type="dxa"/>
            <w:noWrap/>
            <w:vAlign w:val="bottom"/>
          </w:tcPr>
          <w:p w14:paraId="5A62298A"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02E06ABA" w14:textId="77777777" w:rsidR="00103CFB" w:rsidRPr="00007760" w:rsidRDefault="00103CFB" w:rsidP="00103CFB">
            <w:pPr>
              <w:spacing w:after="0"/>
              <w:ind w:left="0"/>
              <w:rPr>
                <w:color w:val="000000"/>
              </w:rPr>
            </w:pPr>
            <w:r>
              <w:rPr>
                <w:color w:val="000000"/>
              </w:rPr>
              <w:t>TXAR0131</w:t>
            </w:r>
          </w:p>
        </w:tc>
        <w:tc>
          <w:tcPr>
            <w:tcW w:w="6963" w:type="dxa"/>
            <w:vAlign w:val="bottom"/>
          </w:tcPr>
          <w:p w14:paraId="766B2201" w14:textId="77777777" w:rsidR="00103CFB" w:rsidRPr="00007760" w:rsidRDefault="00103CFB" w:rsidP="00103CFB">
            <w:pPr>
              <w:spacing w:after="0"/>
              <w:ind w:left="0"/>
              <w:rPr>
                <w:color w:val="000000"/>
              </w:rPr>
            </w:pPr>
            <w:r>
              <w:rPr>
                <w:color w:val="000000"/>
              </w:rPr>
              <w:t>Tax Rate Weighted Average</w:t>
            </w:r>
          </w:p>
        </w:tc>
      </w:tr>
      <w:tr w:rsidR="00103CFB" w:rsidRPr="00293F5E" w14:paraId="5C88D74A" w14:textId="77777777" w:rsidTr="00103CFB">
        <w:trPr>
          <w:trHeight w:val="315"/>
        </w:trPr>
        <w:tc>
          <w:tcPr>
            <w:tcW w:w="684" w:type="dxa"/>
            <w:noWrap/>
            <w:vAlign w:val="bottom"/>
          </w:tcPr>
          <w:p w14:paraId="53FB9562" w14:textId="2B0EDBEC" w:rsidR="00103CFB" w:rsidRPr="004B4E82" w:rsidRDefault="00103CFB" w:rsidP="00103CFB">
            <w:pPr>
              <w:spacing w:after="0"/>
              <w:ind w:left="0"/>
              <w:jc w:val="center"/>
              <w:rPr>
                <w:color w:val="000000"/>
                <w:szCs w:val="22"/>
              </w:rPr>
            </w:pPr>
            <w:r>
              <w:rPr>
                <w:color w:val="000000"/>
                <w:szCs w:val="22"/>
              </w:rPr>
              <w:t>295</w:t>
            </w:r>
          </w:p>
        </w:tc>
        <w:tc>
          <w:tcPr>
            <w:tcW w:w="1677" w:type="dxa"/>
            <w:noWrap/>
            <w:vAlign w:val="bottom"/>
          </w:tcPr>
          <w:p w14:paraId="759EB035"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63DAD8C3" w14:textId="77777777" w:rsidR="00103CFB" w:rsidRPr="00007760" w:rsidRDefault="00103CFB" w:rsidP="00103CFB">
            <w:pPr>
              <w:spacing w:after="0"/>
              <w:ind w:left="0"/>
              <w:rPr>
                <w:color w:val="000000"/>
              </w:rPr>
            </w:pPr>
            <w:r>
              <w:rPr>
                <w:color w:val="000000"/>
              </w:rPr>
              <w:t>TXAR0131</w:t>
            </w:r>
          </w:p>
        </w:tc>
        <w:tc>
          <w:tcPr>
            <w:tcW w:w="6963" w:type="dxa"/>
            <w:vAlign w:val="bottom"/>
          </w:tcPr>
          <w:p w14:paraId="5DBAA640" w14:textId="77777777" w:rsidR="00103CFB" w:rsidRPr="00007760" w:rsidRDefault="00103CFB" w:rsidP="00103CFB">
            <w:pPr>
              <w:spacing w:after="0"/>
              <w:ind w:left="0"/>
              <w:rPr>
                <w:color w:val="000000"/>
              </w:rPr>
            </w:pPr>
            <w:r>
              <w:rPr>
                <w:color w:val="000000"/>
              </w:rPr>
              <w:t>Three Year Benefit and Wages Statistics</w:t>
            </w:r>
          </w:p>
        </w:tc>
      </w:tr>
      <w:tr w:rsidR="00103CFB" w:rsidRPr="00293F5E" w14:paraId="05F22C15" w14:textId="77777777" w:rsidTr="00103CFB">
        <w:trPr>
          <w:trHeight w:val="315"/>
        </w:trPr>
        <w:tc>
          <w:tcPr>
            <w:tcW w:w="684" w:type="dxa"/>
            <w:noWrap/>
            <w:vAlign w:val="bottom"/>
          </w:tcPr>
          <w:p w14:paraId="08B81D42" w14:textId="4E57F084" w:rsidR="00103CFB" w:rsidRPr="004B4E82" w:rsidRDefault="00103CFB" w:rsidP="00103CFB">
            <w:pPr>
              <w:spacing w:after="0"/>
              <w:ind w:left="0"/>
              <w:jc w:val="center"/>
              <w:rPr>
                <w:color w:val="000000"/>
                <w:szCs w:val="22"/>
              </w:rPr>
            </w:pPr>
            <w:r w:rsidRPr="004B4E82">
              <w:rPr>
                <w:color w:val="000000"/>
                <w:szCs w:val="22"/>
              </w:rPr>
              <w:t>296</w:t>
            </w:r>
          </w:p>
        </w:tc>
        <w:tc>
          <w:tcPr>
            <w:tcW w:w="1677" w:type="dxa"/>
            <w:noWrap/>
            <w:vAlign w:val="bottom"/>
          </w:tcPr>
          <w:p w14:paraId="1A472B9F"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3761208B" w14:textId="77777777" w:rsidR="00103CFB" w:rsidRPr="00007760" w:rsidRDefault="00103CFB" w:rsidP="00103CFB">
            <w:pPr>
              <w:spacing w:after="0"/>
              <w:ind w:left="0"/>
              <w:rPr>
                <w:color w:val="000000"/>
              </w:rPr>
            </w:pPr>
            <w:r>
              <w:rPr>
                <w:color w:val="000000"/>
              </w:rPr>
              <w:t>TXAR0131</w:t>
            </w:r>
          </w:p>
        </w:tc>
        <w:tc>
          <w:tcPr>
            <w:tcW w:w="6963" w:type="dxa"/>
            <w:vAlign w:val="bottom"/>
          </w:tcPr>
          <w:p w14:paraId="242A4DAA" w14:textId="77777777" w:rsidR="00103CFB" w:rsidRPr="00007760" w:rsidRDefault="00103CFB" w:rsidP="00103CFB">
            <w:pPr>
              <w:spacing w:after="0"/>
              <w:ind w:left="0"/>
              <w:rPr>
                <w:color w:val="000000"/>
              </w:rPr>
            </w:pPr>
            <w:r>
              <w:rPr>
                <w:color w:val="000000"/>
              </w:rPr>
              <w:t>Three Year Benefits Recap</w:t>
            </w:r>
          </w:p>
        </w:tc>
      </w:tr>
      <w:tr w:rsidR="00103CFB" w:rsidRPr="00293F5E" w14:paraId="7A8DCD53" w14:textId="77777777" w:rsidTr="00103CFB">
        <w:trPr>
          <w:trHeight w:val="315"/>
        </w:trPr>
        <w:tc>
          <w:tcPr>
            <w:tcW w:w="684" w:type="dxa"/>
            <w:noWrap/>
            <w:vAlign w:val="bottom"/>
          </w:tcPr>
          <w:p w14:paraId="3691D362" w14:textId="4C2FF58A" w:rsidR="00103CFB" w:rsidRPr="004B4E82" w:rsidRDefault="00103CFB" w:rsidP="00103CFB">
            <w:pPr>
              <w:spacing w:after="0"/>
              <w:ind w:left="0"/>
              <w:jc w:val="center"/>
              <w:rPr>
                <w:color w:val="000000"/>
                <w:szCs w:val="22"/>
              </w:rPr>
            </w:pPr>
            <w:r>
              <w:rPr>
                <w:color w:val="000000"/>
                <w:szCs w:val="22"/>
              </w:rPr>
              <w:lastRenderedPageBreak/>
              <w:t>297</w:t>
            </w:r>
          </w:p>
        </w:tc>
        <w:tc>
          <w:tcPr>
            <w:tcW w:w="1677" w:type="dxa"/>
            <w:noWrap/>
            <w:vAlign w:val="bottom"/>
          </w:tcPr>
          <w:p w14:paraId="13672175"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767B4A96" w14:textId="77777777" w:rsidR="00103CFB" w:rsidRPr="00007760" w:rsidRDefault="00103CFB" w:rsidP="00103CFB">
            <w:pPr>
              <w:spacing w:after="0"/>
              <w:ind w:left="0"/>
              <w:rPr>
                <w:color w:val="000000"/>
              </w:rPr>
            </w:pPr>
            <w:r>
              <w:rPr>
                <w:color w:val="000000"/>
              </w:rPr>
              <w:t>TXAR0131</w:t>
            </w:r>
          </w:p>
        </w:tc>
        <w:tc>
          <w:tcPr>
            <w:tcW w:w="6963" w:type="dxa"/>
            <w:vAlign w:val="bottom"/>
          </w:tcPr>
          <w:p w14:paraId="72E94876" w14:textId="77777777" w:rsidR="00103CFB" w:rsidRPr="00007760" w:rsidRDefault="00103CFB" w:rsidP="00103CFB">
            <w:pPr>
              <w:spacing w:after="0"/>
              <w:ind w:left="0"/>
              <w:rPr>
                <w:color w:val="000000"/>
              </w:rPr>
            </w:pPr>
            <w:r>
              <w:rPr>
                <w:color w:val="000000"/>
              </w:rPr>
              <w:t>Three Year Taxable Wage Recap</w:t>
            </w:r>
          </w:p>
        </w:tc>
      </w:tr>
      <w:tr w:rsidR="00103CFB" w:rsidRPr="00293F5E" w14:paraId="02D87668" w14:textId="77777777" w:rsidTr="00103CFB">
        <w:trPr>
          <w:trHeight w:val="315"/>
        </w:trPr>
        <w:tc>
          <w:tcPr>
            <w:tcW w:w="684" w:type="dxa"/>
            <w:noWrap/>
            <w:vAlign w:val="bottom"/>
          </w:tcPr>
          <w:p w14:paraId="2D0AF01A" w14:textId="763FFB20" w:rsidR="00103CFB" w:rsidRPr="004B4E82" w:rsidRDefault="00103CFB" w:rsidP="00103CFB">
            <w:pPr>
              <w:spacing w:after="0"/>
              <w:ind w:left="0"/>
              <w:jc w:val="center"/>
              <w:rPr>
                <w:color w:val="000000"/>
                <w:szCs w:val="22"/>
              </w:rPr>
            </w:pPr>
            <w:r w:rsidRPr="004B4E82">
              <w:rPr>
                <w:color w:val="000000"/>
                <w:szCs w:val="22"/>
              </w:rPr>
              <w:t>298</w:t>
            </w:r>
          </w:p>
        </w:tc>
        <w:tc>
          <w:tcPr>
            <w:tcW w:w="1677" w:type="dxa"/>
            <w:noWrap/>
            <w:vAlign w:val="bottom"/>
          </w:tcPr>
          <w:p w14:paraId="17A9CE2B"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68570E5A" w14:textId="77777777" w:rsidR="00103CFB" w:rsidRPr="00007760" w:rsidRDefault="00103CFB" w:rsidP="00103CFB">
            <w:pPr>
              <w:spacing w:after="0"/>
              <w:ind w:left="0"/>
              <w:rPr>
                <w:color w:val="000000"/>
              </w:rPr>
            </w:pPr>
            <w:r>
              <w:rPr>
                <w:color w:val="000000"/>
              </w:rPr>
              <w:t>TXAR0150</w:t>
            </w:r>
          </w:p>
        </w:tc>
        <w:tc>
          <w:tcPr>
            <w:tcW w:w="6963" w:type="dxa"/>
            <w:vAlign w:val="bottom"/>
          </w:tcPr>
          <w:p w14:paraId="6ECE7E84" w14:textId="77777777" w:rsidR="00103CFB" w:rsidRPr="00007760" w:rsidRDefault="00103CFB" w:rsidP="00103CFB">
            <w:pPr>
              <w:spacing w:after="0"/>
              <w:ind w:left="0"/>
              <w:rPr>
                <w:color w:val="000000"/>
              </w:rPr>
            </w:pPr>
            <w:r>
              <w:rPr>
                <w:color w:val="000000"/>
              </w:rPr>
              <w:t>Annual Suppression List Sorted by AE &amp; EID</w:t>
            </w:r>
          </w:p>
        </w:tc>
      </w:tr>
      <w:tr w:rsidR="00103CFB" w:rsidRPr="00293F5E" w14:paraId="747EC1DD" w14:textId="77777777" w:rsidTr="00103CFB">
        <w:trPr>
          <w:trHeight w:val="315"/>
        </w:trPr>
        <w:tc>
          <w:tcPr>
            <w:tcW w:w="684" w:type="dxa"/>
            <w:noWrap/>
            <w:vAlign w:val="bottom"/>
          </w:tcPr>
          <w:p w14:paraId="45432F59" w14:textId="6B98C80F" w:rsidR="00103CFB" w:rsidRPr="004B4E82" w:rsidRDefault="00103CFB" w:rsidP="00103CFB">
            <w:pPr>
              <w:spacing w:after="0"/>
              <w:ind w:left="0"/>
              <w:jc w:val="center"/>
              <w:rPr>
                <w:color w:val="000000"/>
                <w:szCs w:val="22"/>
              </w:rPr>
            </w:pPr>
            <w:r>
              <w:rPr>
                <w:color w:val="000000"/>
                <w:szCs w:val="22"/>
              </w:rPr>
              <w:t>299</w:t>
            </w:r>
          </w:p>
        </w:tc>
        <w:tc>
          <w:tcPr>
            <w:tcW w:w="1677" w:type="dxa"/>
            <w:noWrap/>
            <w:vAlign w:val="bottom"/>
          </w:tcPr>
          <w:p w14:paraId="3D7C52AF"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657CDCE3" w14:textId="77777777" w:rsidR="00103CFB" w:rsidRPr="00007760" w:rsidRDefault="00103CFB" w:rsidP="00103CFB">
            <w:pPr>
              <w:spacing w:after="0"/>
              <w:ind w:left="0"/>
              <w:rPr>
                <w:color w:val="000000"/>
              </w:rPr>
            </w:pPr>
            <w:r>
              <w:rPr>
                <w:color w:val="000000"/>
              </w:rPr>
              <w:t>TXAR0150</w:t>
            </w:r>
          </w:p>
        </w:tc>
        <w:tc>
          <w:tcPr>
            <w:tcW w:w="6963" w:type="dxa"/>
            <w:vAlign w:val="bottom"/>
          </w:tcPr>
          <w:p w14:paraId="0232DE17" w14:textId="77777777" w:rsidR="00103CFB" w:rsidRPr="00007760" w:rsidRDefault="00103CFB" w:rsidP="00103CFB">
            <w:pPr>
              <w:spacing w:after="0"/>
              <w:ind w:left="0"/>
              <w:rPr>
                <w:color w:val="000000"/>
              </w:rPr>
            </w:pPr>
            <w:r>
              <w:rPr>
                <w:color w:val="000000"/>
              </w:rPr>
              <w:t>Annual Suppression List Sorted by EID</w:t>
            </w:r>
          </w:p>
        </w:tc>
      </w:tr>
      <w:tr w:rsidR="00103CFB" w:rsidRPr="00293F5E" w14:paraId="4B9880F7" w14:textId="77777777" w:rsidTr="00103CFB">
        <w:trPr>
          <w:trHeight w:val="315"/>
        </w:trPr>
        <w:tc>
          <w:tcPr>
            <w:tcW w:w="684" w:type="dxa"/>
            <w:noWrap/>
            <w:vAlign w:val="bottom"/>
          </w:tcPr>
          <w:p w14:paraId="3DE02D41" w14:textId="2CDB5A90" w:rsidR="00103CFB" w:rsidRPr="004B4E82" w:rsidRDefault="00103CFB" w:rsidP="00103CFB">
            <w:pPr>
              <w:spacing w:after="0"/>
              <w:ind w:left="0"/>
              <w:jc w:val="center"/>
              <w:rPr>
                <w:color w:val="000000"/>
                <w:szCs w:val="22"/>
              </w:rPr>
            </w:pPr>
            <w:r w:rsidRPr="004B4E82">
              <w:rPr>
                <w:color w:val="000000"/>
                <w:szCs w:val="22"/>
              </w:rPr>
              <w:t>300</w:t>
            </w:r>
          </w:p>
        </w:tc>
        <w:tc>
          <w:tcPr>
            <w:tcW w:w="1677" w:type="dxa"/>
            <w:noWrap/>
            <w:vAlign w:val="bottom"/>
          </w:tcPr>
          <w:p w14:paraId="5C34EBA8"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75416C16" w14:textId="77777777" w:rsidR="00103CFB" w:rsidRPr="00007760" w:rsidRDefault="00103CFB" w:rsidP="00103CFB">
            <w:pPr>
              <w:spacing w:after="0"/>
              <w:ind w:left="0"/>
              <w:rPr>
                <w:color w:val="000000"/>
              </w:rPr>
            </w:pPr>
            <w:r>
              <w:rPr>
                <w:color w:val="000000"/>
              </w:rPr>
              <w:t>TXAR0170</w:t>
            </w:r>
          </w:p>
        </w:tc>
        <w:tc>
          <w:tcPr>
            <w:tcW w:w="6963" w:type="dxa"/>
            <w:vAlign w:val="bottom"/>
          </w:tcPr>
          <w:p w14:paraId="69DC82F3" w14:textId="504B317E" w:rsidR="00103CFB" w:rsidRPr="00007760" w:rsidRDefault="00103CFB" w:rsidP="00103CFB">
            <w:pPr>
              <w:spacing w:after="0"/>
              <w:ind w:left="0"/>
              <w:rPr>
                <w:color w:val="000000"/>
              </w:rPr>
            </w:pPr>
            <w:r>
              <w:rPr>
                <w:color w:val="000000"/>
              </w:rPr>
              <w:t xml:space="preserve">Annual Correction Run - </w:t>
            </w:r>
            <w:r w:rsidR="0098693C">
              <w:rPr>
                <w:color w:val="000000"/>
              </w:rPr>
              <w:t>System Output</w:t>
            </w:r>
            <w:r>
              <w:rPr>
                <w:color w:val="000000"/>
              </w:rPr>
              <w:t xml:space="preserve"> messages</w:t>
            </w:r>
          </w:p>
        </w:tc>
      </w:tr>
      <w:tr w:rsidR="00103CFB" w:rsidRPr="00293F5E" w14:paraId="6BB8AD38" w14:textId="77777777" w:rsidTr="00103CFB">
        <w:trPr>
          <w:trHeight w:val="315"/>
        </w:trPr>
        <w:tc>
          <w:tcPr>
            <w:tcW w:w="684" w:type="dxa"/>
            <w:noWrap/>
            <w:vAlign w:val="bottom"/>
          </w:tcPr>
          <w:p w14:paraId="349851A8" w14:textId="61C27347" w:rsidR="00103CFB" w:rsidRPr="004B4E82" w:rsidRDefault="00103CFB" w:rsidP="00103CFB">
            <w:pPr>
              <w:spacing w:after="0"/>
              <w:ind w:left="0"/>
              <w:jc w:val="center"/>
              <w:rPr>
                <w:color w:val="000000"/>
                <w:szCs w:val="22"/>
              </w:rPr>
            </w:pPr>
            <w:r>
              <w:rPr>
                <w:color w:val="000000"/>
                <w:szCs w:val="22"/>
              </w:rPr>
              <w:t>301</w:t>
            </w:r>
          </w:p>
        </w:tc>
        <w:tc>
          <w:tcPr>
            <w:tcW w:w="1677" w:type="dxa"/>
            <w:noWrap/>
            <w:vAlign w:val="bottom"/>
          </w:tcPr>
          <w:p w14:paraId="52817046"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4ABD09E4" w14:textId="77777777" w:rsidR="00103CFB" w:rsidRPr="00007760" w:rsidRDefault="00103CFB" w:rsidP="00103CFB">
            <w:pPr>
              <w:spacing w:after="0"/>
              <w:ind w:left="0"/>
              <w:rPr>
                <w:color w:val="000000"/>
              </w:rPr>
            </w:pPr>
            <w:r>
              <w:rPr>
                <w:color w:val="000000"/>
              </w:rPr>
              <w:t>TXAR0190</w:t>
            </w:r>
          </w:p>
        </w:tc>
        <w:tc>
          <w:tcPr>
            <w:tcW w:w="6963" w:type="dxa"/>
            <w:vAlign w:val="bottom"/>
          </w:tcPr>
          <w:p w14:paraId="51314F36" w14:textId="77777777" w:rsidR="00103CFB" w:rsidRPr="00007760" w:rsidRDefault="00103CFB" w:rsidP="00103CFB">
            <w:pPr>
              <w:spacing w:after="0"/>
              <w:ind w:left="0"/>
              <w:rPr>
                <w:color w:val="000000"/>
              </w:rPr>
            </w:pPr>
            <w:r>
              <w:rPr>
                <w:color w:val="000000"/>
              </w:rPr>
              <w:t>Rate Update Error List</w:t>
            </w:r>
          </w:p>
        </w:tc>
      </w:tr>
      <w:tr w:rsidR="00103CFB" w:rsidRPr="00293F5E" w14:paraId="46A10594" w14:textId="77777777" w:rsidTr="00103CFB">
        <w:trPr>
          <w:trHeight w:val="315"/>
        </w:trPr>
        <w:tc>
          <w:tcPr>
            <w:tcW w:w="684" w:type="dxa"/>
            <w:noWrap/>
            <w:vAlign w:val="bottom"/>
          </w:tcPr>
          <w:p w14:paraId="26DA3F0C" w14:textId="1197556F" w:rsidR="00103CFB" w:rsidRPr="004B4E82" w:rsidRDefault="00103CFB" w:rsidP="00103CFB">
            <w:pPr>
              <w:spacing w:after="0"/>
              <w:ind w:left="0"/>
              <w:jc w:val="center"/>
              <w:rPr>
                <w:color w:val="000000"/>
                <w:szCs w:val="22"/>
              </w:rPr>
            </w:pPr>
            <w:r w:rsidRPr="004B4E82">
              <w:rPr>
                <w:color w:val="000000"/>
                <w:szCs w:val="22"/>
              </w:rPr>
              <w:t>302</w:t>
            </w:r>
          </w:p>
        </w:tc>
        <w:tc>
          <w:tcPr>
            <w:tcW w:w="1677" w:type="dxa"/>
            <w:noWrap/>
            <w:vAlign w:val="bottom"/>
          </w:tcPr>
          <w:p w14:paraId="1DB17306"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3B96617B" w14:textId="77777777" w:rsidR="00103CFB" w:rsidRPr="00007760" w:rsidRDefault="00103CFB" w:rsidP="00103CFB">
            <w:pPr>
              <w:spacing w:after="0"/>
              <w:ind w:left="0"/>
              <w:rPr>
                <w:color w:val="000000"/>
              </w:rPr>
            </w:pPr>
            <w:r>
              <w:rPr>
                <w:color w:val="000000"/>
              </w:rPr>
              <w:t>TXAR0200</w:t>
            </w:r>
          </w:p>
        </w:tc>
        <w:tc>
          <w:tcPr>
            <w:tcW w:w="6963" w:type="dxa"/>
            <w:vAlign w:val="bottom"/>
          </w:tcPr>
          <w:p w14:paraId="13267D49" w14:textId="77777777" w:rsidR="00103CFB" w:rsidRPr="00007760" w:rsidRDefault="00103CFB" w:rsidP="00103CFB">
            <w:pPr>
              <w:spacing w:after="0"/>
              <w:ind w:left="0"/>
              <w:rPr>
                <w:color w:val="000000"/>
              </w:rPr>
            </w:pPr>
            <w:r>
              <w:rPr>
                <w:color w:val="000000"/>
              </w:rPr>
              <w:t>Tax Rate Weighted Average Effective Rate - Final</w:t>
            </w:r>
          </w:p>
        </w:tc>
      </w:tr>
      <w:tr w:rsidR="00103CFB" w:rsidRPr="00293F5E" w14:paraId="1AC66158" w14:textId="77777777" w:rsidTr="00103CFB">
        <w:trPr>
          <w:trHeight w:val="315"/>
        </w:trPr>
        <w:tc>
          <w:tcPr>
            <w:tcW w:w="684" w:type="dxa"/>
            <w:noWrap/>
            <w:vAlign w:val="bottom"/>
          </w:tcPr>
          <w:p w14:paraId="2A5FD11D" w14:textId="45519925" w:rsidR="00103CFB" w:rsidRPr="004B4E82" w:rsidRDefault="00103CFB" w:rsidP="00103CFB">
            <w:pPr>
              <w:spacing w:after="0"/>
              <w:ind w:left="0"/>
              <w:jc w:val="center"/>
              <w:rPr>
                <w:color w:val="000000"/>
                <w:szCs w:val="22"/>
              </w:rPr>
            </w:pPr>
            <w:r>
              <w:rPr>
                <w:color w:val="000000"/>
                <w:szCs w:val="22"/>
              </w:rPr>
              <w:t>303</w:t>
            </w:r>
          </w:p>
        </w:tc>
        <w:tc>
          <w:tcPr>
            <w:tcW w:w="1677" w:type="dxa"/>
            <w:noWrap/>
            <w:vAlign w:val="bottom"/>
          </w:tcPr>
          <w:p w14:paraId="38E610EA"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6D23B081" w14:textId="77777777" w:rsidR="00103CFB" w:rsidRPr="00007760" w:rsidRDefault="00103CFB" w:rsidP="00103CFB">
            <w:pPr>
              <w:spacing w:after="0"/>
              <w:ind w:left="0"/>
              <w:rPr>
                <w:color w:val="000000"/>
              </w:rPr>
            </w:pPr>
            <w:r>
              <w:rPr>
                <w:color w:val="000000"/>
              </w:rPr>
              <w:t>TXAR0400</w:t>
            </w:r>
          </w:p>
        </w:tc>
        <w:tc>
          <w:tcPr>
            <w:tcW w:w="6963" w:type="dxa"/>
            <w:vAlign w:val="bottom"/>
          </w:tcPr>
          <w:p w14:paraId="0D373A5B" w14:textId="003FAA2B" w:rsidR="00103CFB" w:rsidRPr="00007760" w:rsidRDefault="00103CFB" w:rsidP="00103CFB">
            <w:pPr>
              <w:spacing w:after="0"/>
              <w:ind w:left="0"/>
              <w:rPr>
                <w:color w:val="000000"/>
              </w:rPr>
            </w:pPr>
            <w:r>
              <w:rPr>
                <w:color w:val="000000"/>
              </w:rPr>
              <w:t xml:space="preserve">Annual Domestic Rate Run - </w:t>
            </w:r>
            <w:r w:rsidR="0098693C">
              <w:rPr>
                <w:color w:val="000000"/>
              </w:rPr>
              <w:t>System Output</w:t>
            </w:r>
            <w:r>
              <w:rPr>
                <w:color w:val="000000"/>
              </w:rPr>
              <w:t xml:space="preserve"> Messages</w:t>
            </w:r>
          </w:p>
        </w:tc>
      </w:tr>
      <w:tr w:rsidR="00103CFB" w:rsidRPr="00293F5E" w14:paraId="0B9440D2" w14:textId="77777777" w:rsidTr="00103CFB">
        <w:trPr>
          <w:trHeight w:val="315"/>
        </w:trPr>
        <w:tc>
          <w:tcPr>
            <w:tcW w:w="684" w:type="dxa"/>
            <w:noWrap/>
            <w:vAlign w:val="bottom"/>
          </w:tcPr>
          <w:p w14:paraId="47912DDB" w14:textId="7B188CDD" w:rsidR="00103CFB" w:rsidRPr="004B4E82" w:rsidRDefault="00103CFB" w:rsidP="00103CFB">
            <w:pPr>
              <w:spacing w:after="0"/>
              <w:ind w:left="0"/>
              <w:jc w:val="center"/>
              <w:rPr>
                <w:color w:val="000000"/>
                <w:szCs w:val="22"/>
              </w:rPr>
            </w:pPr>
            <w:r w:rsidRPr="004B4E82">
              <w:rPr>
                <w:color w:val="000000"/>
                <w:szCs w:val="22"/>
              </w:rPr>
              <w:t>304</w:t>
            </w:r>
          </w:p>
        </w:tc>
        <w:tc>
          <w:tcPr>
            <w:tcW w:w="1677" w:type="dxa"/>
            <w:noWrap/>
            <w:vAlign w:val="bottom"/>
          </w:tcPr>
          <w:p w14:paraId="27990FF0"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36053AD0" w14:textId="77777777" w:rsidR="00103CFB" w:rsidRPr="00007760" w:rsidRDefault="00103CFB" w:rsidP="00103CFB">
            <w:pPr>
              <w:spacing w:after="0"/>
              <w:ind w:left="0"/>
              <w:rPr>
                <w:color w:val="000000"/>
              </w:rPr>
            </w:pPr>
            <w:r>
              <w:rPr>
                <w:color w:val="000000"/>
              </w:rPr>
              <w:t>TXAR0410</w:t>
            </w:r>
          </w:p>
        </w:tc>
        <w:tc>
          <w:tcPr>
            <w:tcW w:w="6963" w:type="dxa"/>
            <w:vAlign w:val="bottom"/>
          </w:tcPr>
          <w:p w14:paraId="01AE0220" w14:textId="77777777" w:rsidR="00103CFB" w:rsidRPr="00007760" w:rsidRDefault="00103CFB" w:rsidP="00103CFB">
            <w:pPr>
              <w:spacing w:after="0"/>
              <w:ind w:left="0"/>
              <w:rPr>
                <w:color w:val="000000"/>
              </w:rPr>
            </w:pPr>
            <w:r>
              <w:rPr>
                <w:color w:val="000000"/>
              </w:rPr>
              <w:t>Annual - Late Payment Register</w:t>
            </w:r>
          </w:p>
        </w:tc>
      </w:tr>
      <w:tr w:rsidR="00103CFB" w:rsidRPr="00293F5E" w14:paraId="75151206" w14:textId="77777777" w:rsidTr="00103CFB">
        <w:trPr>
          <w:trHeight w:val="315"/>
        </w:trPr>
        <w:tc>
          <w:tcPr>
            <w:tcW w:w="684" w:type="dxa"/>
            <w:noWrap/>
            <w:vAlign w:val="bottom"/>
          </w:tcPr>
          <w:p w14:paraId="51877ECC" w14:textId="0BA32E6C" w:rsidR="00103CFB" w:rsidRPr="004B4E82" w:rsidRDefault="00103CFB" w:rsidP="00103CFB">
            <w:pPr>
              <w:spacing w:after="0"/>
              <w:ind w:left="0"/>
              <w:jc w:val="center"/>
              <w:rPr>
                <w:color w:val="000000"/>
                <w:szCs w:val="22"/>
              </w:rPr>
            </w:pPr>
            <w:r>
              <w:rPr>
                <w:color w:val="000000"/>
                <w:szCs w:val="22"/>
              </w:rPr>
              <w:t>305</w:t>
            </w:r>
          </w:p>
        </w:tc>
        <w:tc>
          <w:tcPr>
            <w:tcW w:w="1677" w:type="dxa"/>
            <w:noWrap/>
            <w:vAlign w:val="bottom"/>
          </w:tcPr>
          <w:p w14:paraId="56184605"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7C430A46" w14:textId="77777777" w:rsidR="00103CFB" w:rsidRPr="00007760" w:rsidRDefault="00103CFB" w:rsidP="00103CFB">
            <w:pPr>
              <w:spacing w:after="0"/>
              <w:ind w:left="0"/>
              <w:rPr>
                <w:color w:val="000000"/>
              </w:rPr>
            </w:pPr>
            <w:r>
              <w:rPr>
                <w:color w:val="000000"/>
              </w:rPr>
              <w:t>TXAR0410</w:t>
            </w:r>
          </w:p>
        </w:tc>
        <w:tc>
          <w:tcPr>
            <w:tcW w:w="6963" w:type="dxa"/>
            <w:vAlign w:val="bottom"/>
          </w:tcPr>
          <w:p w14:paraId="32EE252E" w14:textId="77777777" w:rsidR="00103CFB" w:rsidRPr="00007760" w:rsidRDefault="00103CFB" w:rsidP="00103CFB">
            <w:pPr>
              <w:spacing w:after="0"/>
              <w:ind w:left="0"/>
              <w:rPr>
                <w:color w:val="000000"/>
              </w:rPr>
            </w:pPr>
            <w:r>
              <w:rPr>
                <w:color w:val="000000"/>
              </w:rPr>
              <w:t>Annual - Rate Register Sample Report</w:t>
            </w:r>
          </w:p>
        </w:tc>
      </w:tr>
      <w:tr w:rsidR="00103CFB" w:rsidRPr="00293F5E" w14:paraId="02578D68" w14:textId="77777777" w:rsidTr="00103CFB">
        <w:trPr>
          <w:trHeight w:val="315"/>
        </w:trPr>
        <w:tc>
          <w:tcPr>
            <w:tcW w:w="684" w:type="dxa"/>
            <w:noWrap/>
            <w:vAlign w:val="bottom"/>
          </w:tcPr>
          <w:p w14:paraId="446178D9" w14:textId="2B6719E1" w:rsidR="00103CFB" w:rsidRPr="004B4E82" w:rsidRDefault="00103CFB" w:rsidP="00103CFB">
            <w:pPr>
              <w:spacing w:after="0"/>
              <w:ind w:left="0"/>
              <w:jc w:val="center"/>
              <w:rPr>
                <w:color w:val="000000"/>
                <w:szCs w:val="22"/>
              </w:rPr>
            </w:pPr>
            <w:r w:rsidRPr="004B4E82">
              <w:rPr>
                <w:color w:val="000000"/>
                <w:szCs w:val="22"/>
              </w:rPr>
              <w:t>306</w:t>
            </w:r>
          </w:p>
        </w:tc>
        <w:tc>
          <w:tcPr>
            <w:tcW w:w="1677" w:type="dxa"/>
            <w:noWrap/>
            <w:vAlign w:val="bottom"/>
          </w:tcPr>
          <w:p w14:paraId="6A6602A8"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6680E176" w14:textId="77777777" w:rsidR="00103CFB" w:rsidRPr="00007760" w:rsidRDefault="00103CFB" w:rsidP="00103CFB">
            <w:pPr>
              <w:spacing w:after="0"/>
              <w:ind w:left="0"/>
              <w:rPr>
                <w:color w:val="000000"/>
              </w:rPr>
            </w:pPr>
            <w:r>
              <w:rPr>
                <w:color w:val="000000"/>
              </w:rPr>
              <w:t>TXAR0430</w:t>
            </w:r>
          </w:p>
        </w:tc>
        <w:tc>
          <w:tcPr>
            <w:tcW w:w="6963" w:type="dxa"/>
            <w:vAlign w:val="bottom"/>
          </w:tcPr>
          <w:p w14:paraId="7956646C" w14:textId="77777777" w:rsidR="00103CFB" w:rsidRPr="00007760" w:rsidRDefault="00103CFB" w:rsidP="00103CFB">
            <w:pPr>
              <w:spacing w:after="0"/>
              <w:ind w:left="0"/>
              <w:rPr>
                <w:color w:val="000000"/>
              </w:rPr>
            </w:pPr>
            <w:r>
              <w:rPr>
                <w:color w:val="000000"/>
              </w:rPr>
              <w:t>Annual - Rate Update Error List</w:t>
            </w:r>
          </w:p>
        </w:tc>
      </w:tr>
      <w:tr w:rsidR="00103CFB" w:rsidRPr="00293F5E" w14:paraId="5CDF0C92" w14:textId="77777777" w:rsidTr="00103CFB">
        <w:trPr>
          <w:trHeight w:val="315"/>
        </w:trPr>
        <w:tc>
          <w:tcPr>
            <w:tcW w:w="684" w:type="dxa"/>
            <w:noWrap/>
            <w:vAlign w:val="bottom"/>
          </w:tcPr>
          <w:p w14:paraId="73D88028" w14:textId="3957F757" w:rsidR="00103CFB" w:rsidRPr="004B4E82" w:rsidRDefault="00103CFB" w:rsidP="00103CFB">
            <w:pPr>
              <w:spacing w:after="0"/>
              <w:ind w:left="0"/>
              <w:jc w:val="center"/>
              <w:rPr>
                <w:color w:val="000000"/>
                <w:szCs w:val="22"/>
              </w:rPr>
            </w:pPr>
            <w:r>
              <w:rPr>
                <w:color w:val="000000"/>
                <w:szCs w:val="22"/>
              </w:rPr>
              <w:t>307</w:t>
            </w:r>
          </w:p>
        </w:tc>
        <w:tc>
          <w:tcPr>
            <w:tcW w:w="1677" w:type="dxa"/>
            <w:noWrap/>
            <w:vAlign w:val="bottom"/>
          </w:tcPr>
          <w:p w14:paraId="53B97345"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0C880ED6" w14:textId="77777777" w:rsidR="00103CFB" w:rsidRPr="00007760" w:rsidRDefault="00103CFB" w:rsidP="00103CFB">
            <w:pPr>
              <w:spacing w:after="0"/>
              <w:ind w:left="0"/>
              <w:rPr>
                <w:color w:val="000000"/>
              </w:rPr>
            </w:pPr>
            <w:r>
              <w:rPr>
                <w:color w:val="000000"/>
              </w:rPr>
              <w:t>TXAR0455</w:t>
            </w:r>
          </w:p>
        </w:tc>
        <w:tc>
          <w:tcPr>
            <w:tcW w:w="6963" w:type="dxa"/>
            <w:vAlign w:val="bottom"/>
          </w:tcPr>
          <w:p w14:paraId="5AADE961" w14:textId="77777777" w:rsidR="00103CFB" w:rsidRPr="00007760" w:rsidRDefault="00103CFB" w:rsidP="00103CFB">
            <w:pPr>
              <w:spacing w:after="0"/>
              <w:ind w:left="0"/>
              <w:rPr>
                <w:color w:val="000000"/>
              </w:rPr>
            </w:pPr>
            <w:r>
              <w:rPr>
                <w:color w:val="000000"/>
              </w:rPr>
              <w:t>Annual Suppression List Sorted by AE</w:t>
            </w:r>
          </w:p>
        </w:tc>
      </w:tr>
      <w:tr w:rsidR="00103CFB" w:rsidRPr="00293F5E" w14:paraId="199B37CD" w14:textId="77777777" w:rsidTr="00103CFB">
        <w:trPr>
          <w:trHeight w:val="315"/>
        </w:trPr>
        <w:tc>
          <w:tcPr>
            <w:tcW w:w="684" w:type="dxa"/>
            <w:noWrap/>
            <w:vAlign w:val="bottom"/>
          </w:tcPr>
          <w:p w14:paraId="73F2312D" w14:textId="0A729ACC" w:rsidR="00103CFB" w:rsidRPr="004B4E82" w:rsidRDefault="00103CFB" w:rsidP="00103CFB">
            <w:pPr>
              <w:spacing w:after="0"/>
              <w:ind w:left="0"/>
              <w:jc w:val="center"/>
              <w:rPr>
                <w:color w:val="000000"/>
                <w:szCs w:val="22"/>
              </w:rPr>
            </w:pPr>
            <w:r w:rsidRPr="004B4E82">
              <w:rPr>
                <w:color w:val="000000"/>
                <w:szCs w:val="22"/>
              </w:rPr>
              <w:t>308</w:t>
            </w:r>
          </w:p>
        </w:tc>
        <w:tc>
          <w:tcPr>
            <w:tcW w:w="1677" w:type="dxa"/>
            <w:noWrap/>
            <w:vAlign w:val="bottom"/>
          </w:tcPr>
          <w:p w14:paraId="2D557A05"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4336D03B" w14:textId="77777777" w:rsidR="00103CFB" w:rsidRPr="00007760" w:rsidRDefault="00103CFB" w:rsidP="00103CFB">
            <w:pPr>
              <w:spacing w:after="0"/>
              <w:ind w:left="0"/>
              <w:rPr>
                <w:color w:val="000000"/>
              </w:rPr>
            </w:pPr>
            <w:r>
              <w:rPr>
                <w:color w:val="000000"/>
              </w:rPr>
              <w:t>TXAR0455</w:t>
            </w:r>
          </w:p>
        </w:tc>
        <w:tc>
          <w:tcPr>
            <w:tcW w:w="6963" w:type="dxa"/>
            <w:vAlign w:val="bottom"/>
          </w:tcPr>
          <w:p w14:paraId="28DF4D0A" w14:textId="77777777" w:rsidR="00103CFB" w:rsidRPr="00007760" w:rsidRDefault="00103CFB" w:rsidP="00103CFB">
            <w:pPr>
              <w:spacing w:after="0"/>
              <w:ind w:left="0"/>
              <w:rPr>
                <w:color w:val="000000"/>
              </w:rPr>
            </w:pPr>
            <w:r>
              <w:rPr>
                <w:color w:val="000000"/>
              </w:rPr>
              <w:t>Annual Suppression List Sorted by AE &amp; EID</w:t>
            </w:r>
          </w:p>
        </w:tc>
      </w:tr>
      <w:tr w:rsidR="00103CFB" w:rsidRPr="00293F5E" w14:paraId="2A078A39" w14:textId="77777777" w:rsidTr="00103CFB">
        <w:trPr>
          <w:trHeight w:val="315"/>
        </w:trPr>
        <w:tc>
          <w:tcPr>
            <w:tcW w:w="684" w:type="dxa"/>
            <w:noWrap/>
            <w:vAlign w:val="bottom"/>
          </w:tcPr>
          <w:p w14:paraId="72B86BAB" w14:textId="1DEE2E56" w:rsidR="00103CFB" w:rsidRPr="004B4E82" w:rsidRDefault="00103CFB" w:rsidP="00103CFB">
            <w:pPr>
              <w:spacing w:after="0"/>
              <w:ind w:left="0"/>
              <w:jc w:val="center"/>
              <w:rPr>
                <w:color w:val="000000"/>
                <w:szCs w:val="22"/>
              </w:rPr>
            </w:pPr>
            <w:r>
              <w:rPr>
                <w:color w:val="000000"/>
                <w:szCs w:val="22"/>
              </w:rPr>
              <w:t>309</w:t>
            </w:r>
          </w:p>
        </w:tc>
        <w:tc>
          <w:tcPr>
            <w:tcW w:w="1677" w:type="dxa"/>
            <w:noWrap/>
            <w:vAlign w:val="bottom"/>
          </w:tcPr>
          <w:p w14:paraId="280761CE"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3E3FD7DB" w14:textId="77777777" w:rsidR="00103CFB" w:rsidRPr="00007760" w:rsidRDefault="00103CFB" w:rsidP="00103CFB">
            <w:pPr>
              <w:spacing w:after="0"/>
              <w:ind w:left="0"/>
              <w:rPr>
                <w:color w:val="000000"/>
              </w:rPr>
            </w:pPr>
            <w:r>
              <w:rPr>
                <w:color w:val="000000"/>
              </w:rPr>
              <w:t>TXAS0010</w:t>
            </w:r>
          </w:p>
        </w:tc>
        <w:tc>
          <w:tcPr>
            <w:tcW w:w="6963" w:type="dxa"/>
            <w:vAlign w:val="bottom"/>
          </w:tcPr>
          <w:p w14:paraId="3248B2FE" w14:textId="77777777" w:rsidR="00103CFB" w:rsidRPr="00007760" w:rsidRDefault="00103CFB" w:rsidP="00103CFB">
            <w:pPr>
              <w:spacing w:after="0"/>
              <w:ind w:left="0"/>
              <w:rPr>
                <w:color w:val="000000"/>
              </w:rPr>
            </w:pPr>
            <w:r>
              <w:rPr>
                <w:color w:val="000000"/>
              </w:rPr>
              <w:t>Active - Accounts Eligible for Termination under 8(C) 2</w:t>
            </w:r>
          </w:p>
        </w:tc>
      </w:tr>
      <w:tr w:rsidR="00103CFB" w:rsidRPr="00293F5E" w14:paraId="79674A17" w14:textId="77777777" w:rsidTr="00103CFB">
        <w:trPr>
          <w:trHeight w:val="315"/>
        </w:trPr>
        <w:tc>
          <w:tcPr>
            <w:tcW w:w="684" w:type="dxa"/>
            <w:noWrap/>
            <w:vAlign w:val="bottom"/>
          </w:tcPr>
          <w:p w14:paraId="7E4E7F46" w14:textId="6BC6A875" w:rsidR="00103CFB" w:rsidRPr="004B4E82" w:rsidRDefault="00103CFB" w:rsidP="00103CFB">
            <w:pPr>
              <w:spacing w:after="0"/>
              <w:ind w:left="0"/>
              <w:jc w:val="center"/>
              <w:rPr>
                <w:color w:val="000000"/>
                <w:szCs w:val="22"/>
              </w:rPr>
            </w:pPr>
            <w:r w:rsidRPr="004B4E82">
              <w:rPr>
                <w:color w:val="000000"/>
                <w:szCs w:val="22"/>
              </w:rPr>
              <w:t>310</w:t>
            </w:r>
          </w:p>
        </w:tc>
        <w:tc>
          <w:tcPr>
            <w:tcW w:w="1677" w:type="dxa"/>
            <w:noWrap/>
            <w:vAlign w:val="bottom"/>
          </w:tcPr>
          <w:p w14:paraId="2475A714"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50976D7A" w14:textId="77777777" w:rsidR="00103CFB" w:rsidRPr="00007760" w:rsidRDefault="00103CFB" w:rsidP="00103CFB">
            <w:pPr>
              <w:spacing w:after="0"/>
              <w:ind w:left="0"/>
              <w:rPr>
                <w:color w:val="000000"/>
              </w:rPr>
            </w:pPr>
            <w:r>
              <w:rPr>
                <w:color w:val="000000"/>
              </w:rPr>
              <w:t>TXAS0010</w:t>
            </w:r>
          </w:p>
        </w:tc>
        <w:tc>
          <w:tcPr>
            <w:tcW w:w="6963" w:type="dxa"/>
            <w:vAlign w:val="bottom"/>
          </w:tcPr>
          <w:p w14:paraId="5C4FB889" w14:textId="77777777" w:rsidR="00103CFB" w:rsidRPr="00007760" w:rsidRDefault="00103CFB" w:rsidP="00103CFB">
            <w:pPr>
              <w:spacing w:after="0"/>
              <w:ind w:left="0"/>
              <w:rPr>
                <w:color w:val="000000"/>
              </w:rPr>
            </w:pPr>
            <w:r>
              <w:rPr>
                <w:color w:val="000000"/>
              </w:rPr>
              <w:t>Delinquent - Accounts Eligible for Termination Under 8(C)2</w:t>
            </w:r>
          </w:p>
        </w:tc>
      </w:tr>
      <w:tr w:rsidR="00103CFB" w:rsidRPr="00293F5E" w14:paraId="12BCFA54" w14:textId="77777777" w:rsidTr="00103CFB">
        <w:trPr>
          <w:trHeight w:val="315"/>
        </w:trPr>
        <w:tc>
          <w:tcPr>
            <w:tcW w:w="684" w:type="dxa"/>
            <w:noWrap/>
            <w:vAlign w:val="bottom"/>
          </w:tcPr>
          <w:p w14:paraId="0A924AE5" w14:textId="1E7CC0FC" w:rsidR="00103CFB" w:rsidRPr="004B4E82" w:rsidRDefault="00103CFB" w:rsidP="00103CFB">
            <w:pPr>
              <w:spacing w:after="0"/>
              <w:ind w:left="0"/>
              <w:jc w:val="center"/>
              <w:rPr>
                <w:color w:val="000000"/>
                <w:szCs w:val="22"/>
              </w:rPr>
            </w:pPr>
            <w:r>
              <w:rPr>
                <w:color w:val="000000"/>
                <w:szCs w:val="22"/>
              </w:rPr>
              <w:t>311</w:t>
            </w:r>
          </w:p>
        </w:tc>
        <w:tc>
          <w:tcPr>
            <w:tcW w:w="1677" w:type="dxa"/>
            <w:noWrap/>
            <w:vAlign w:val="bottom"/>
          </w:tcPr>
          <w:p w14:paraId="294FF475"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7B61E7FE" w14:textId="77777777" w:rsidR="00103CFB" w:rsidRPr="00007760" w:rsidRDefault="00103CFB" w:rsidP="00103CFB">
            <w:pPr>
              <w:spacing w:after="0"/>
              <w:ind w:left="0"/>
              <w:rPr>
                <w:color w:val="000000"/>
              </w:rPr>
            </w:pPr>
            <w:r>
              <w:rPr>
                <w:color w:val="000000"/>
              </w:rPr>
              <w:t>TXAS0010</w:t>
            </w:r>
          </w:p>
        </w:tc>
        <w:tc>
          <w:tcPr>
            <w:tcW w:w="6963" w:type="dxa"/>
            <w:vAlign w:val="bottom"/>
          </w:tcPr>
          <w:p w14:paraId="760E0404" w14:textId="77777777" w:rsidR="00103CFB" w:rsidRPr="00007760" w:rsidRDefault="00103CFB" w:rsidP="00103CFB">
            <w:pPr>
              <w:spacing w:after="0"/>
              <w:ind w:left="0"/>
              <w:rPr>
                <w:color w:val="000000"/>
              </w:rPr>
            </w:pPr>
            <w:r>
              <w:rPr>
                <w:color w:val="000000"/>
              </w:rPr>
              <w:t>Total - Accounts Eligible for Termination Under 8(C)2</w:t>
            </w:r>
          </w:p>
        </w:tc>
      </w:tr>
      <w:tr w:rsidR="00103CFB" w:rsidRPr="00293F5E" w14:paraId="0C2D42EB" w14:textId="77777777" w:rsidTr="00103CFB">
        <w:trPr>
          <w:trHeight w:val="315"/>
        </w:trPr>
        <w:tc>
          <w:tcPr>
            <w:tcW w:w="684" w:type="dxa"/>
            <w:noWrap/>
            <w:vAlign w:val="bottom"/>
          </w:tcPr>
          <w:p w14:paraId="76DC1924" w14:textId="4BAB5802" w:rsidR="00103CFB" w:rsidRPr="004B4E82" w:rsidRDefault="00103CFB" w:rsidP="00103CFB">
            <w:pPr>
              <w:spacing w:after="0"/>
              <w:ind w:left="0"/>
              <w:jc w:val="center"/>
              <w:rPr>
                <w:color w:val="000000"/>
                <w:szCs w:val="22"/>
              </w:rPr>
            </w:pPr>
            <w:r>
              <w:rPr>
                <w:color w:val="000000"/>
                <w:szCs w:val="22"/>
              </w:rPr>
              <w:t>312</w:t>
            </w:r>
          </w:p>
        </w:tc>
        <w:tc>
          <w:tcPr>
            <w:tcW w:w="1677" w:type="dxa"/>
            <w:noWrap/>
            <w:vAlign w:val="bottom"/>
          </w:tcPr>
          <w:p w14:paraId="74BD75DB"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235F5576" w14:textId="77777777" w:rsidR="00103CFB" w:rsidRPr="00007760" w:rsidRDefault="00103CFB" w:rsidP="00103CFB">
            <w:pPr>
              <w:spacing w:after="0"/>
              <w:ind w:left="0"/>
              <w:rPr>
                <w:color w:val="000000"/>
              </w:rPr>
            </w:pPr>
            <w:r>
              <w:rPr>
                <w:color w:val="000000"/>
              </w:rPr>
              <w:t>TXAS0040</w:t>
            </w:r>
          </w:p>
        </w:tc>
        <w:tc>
          <w:tcPr>
            <w:tcW w:w="6963" w:type="dxa"/>
            <w:vAlign w:val="bottom"/>
          </w:tcPr>
          <w:p w14:paraId="1B5E4FEF" w14:textId="77777777" w:rsidR="00103CFB" w:rsidRPr="00007760" w:rsidRDefault="00103CFB" w:rsidP="00103CFB">
            <w:pPr>
              <w:spacing w:after="0"/>
              <w:ind w:left="0"/>
              <w:rPr>
                <w:color w:val="000000"/>
              </w:rPr>
            </w:pPr>
            <w:r>
              <w:rPr>
                <w:color w:val="000000"/>
              </w:rPr>
              <w:t>Internet Registration Deletions - Completes Older than Ten Years</w:t>
            </w:r>
          </w:p>
        </w:tc>
      </w:tr>
      <w:tr w:rsidR="00103CFB" w:rsidRPr="00293F5E" w14:paraId="511535CA" w14:textId="77777777" w:rsidTr="00103CFB">
        <w:trPr>
          <w:trHeight w:val="315"/>
        </w:trPr>
        <w:tc>
          <w:tcPr>
            <w:tcW w:w="684" w:type="dxa"/>
            <w:noWrap/>
            <w:vAlign w:val="bottom"/>
          </w:tcPr>
          <w:p w14:paraId="3F6CE299" w14:textId="7BD83A40" w:rsidR="00103CFB" w:rsidRPr="004B4E82" w:rsidRDefault="00103CFB" w:rsidP="00103CFB">
            <w:pPr>
              <w:spacing w:after="0"/>
              <w:ind w:left="0"/>
              <w:jc w:val="center"/>
              <w:rPr>
                <w:color w:val="000000"/>
                <w:szCs w:val="22"/>
              </w:rPr>
            </w:pPr>
            <w:r>
              <w:rPr>
                <w:szCs w:val="22"/>
              </w:rPr>
              <w:t>313</w:t>
            </w:r>
          </w:p>
        </w:tc>
        <w:tc>
          <w:tcPr>
            <w:tcW w:w="1677" w:type="dxa"/>
            <w:noWrap/>
            <w:vAlign w:val="bottom"/>
          </w:tcPr>
          <w:p w14:paraId="4F3DEE62"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15EF0789" w14:textId="77777777" w:rsidR="00103CFB" w:rsidRPr="00007760" w:rsidRDefault="00103CFB" w:rsidP="00103CFB">
            <w:pPr>
              <w:spacing w:after="0"/>
              <w:ind w:left="0"/>
              <w:rPr>
                <w:color w:val="000000"/>
              </w:rPr>
            </w:pPr>
            <w:r>
              <w:rPr>
                <w:color w:val="000000"/>
              </w:rPr>
              <w:t>TXAS0040</w:t>
            </w:r>
          </w:p>
        </w:tc>
        <w:tc>
          <w:tcPr>
            <w:tcW w:w="6963" w:type="dxa"/>
            <w:vAlign w:val="bottom"/>
          </w:tcPr>
          <w:p w14:paraId="0E00D5C2" w14:textId="77777777" w:rsidR="00103CFB" w:rsidRPr="00007760" w:rsidRDefault="00103CFB" w:rsidP="00103CFB">
            <w:pPr>
              <w:spacing w:after="0"/>
              <w:ind w:left="0"/>
              <w:rPr>
                <w:color w:val="000000"/>
              </w:rPr>
            </w:pPr>
            <w:r>
              <w:rPr>
                <w:color w:val="000000"/>
              </w:rPr>
              <w:t>Internet Registration Deletions - Incompletes Older than One Year</w:t>
            </w:r>
          </w:p>
        </w:tc>
      </w:tr>
      <w:tr w:rsidR="00103CFB" w:rsidRPr="00293F5E" w14:paraId="637BF45E" w14:textId="77777777" w:rsidTr="00103CFB">
        <w:trPr>
          <w:trHeight w:val="315"/>
        </w:trPr>
        <w:tc>
          <w:tcPr>
            <w:tcW w:w="684" w:type="dxa"/>
            <w:noWrap/>
            <w:vAlign w:val="bottom"/>
          </w:tcPr>
          <w:p w14:paraId="35BD56B5" w14:textId="40C686E3" w:rsidR="00103CFB" w:rsidRPr="004B4E82" w:rsidRDefault="00103CFB" w:rsidP="00103CFB">
            <w:pPr>
              <w:spacing w:after="0"/>
              <w:ind w:left="0"/>
              <w:jc w:val="center"/>
              <w:rPr>
                <w:color w:val="000000"/>
                <w:szCs w:val="22"/>
              </w:rPr>
            </w:pPr>
            <w:r>
              <w:rPr>
                <w:color w:val="000000"/>
                <w:szCs w:val="22"/>
              </w:rPr>
              <w:t>314</w:t>
            </w:r>
          </w:p>
        </w:tc>
        <w:tc>
          <w:tcPr>
            <w:tcW w:w="1677" w:type="dxa"/>
            <w:noWrap/>
            <w:vAlign w:val="bottom"/>
          </w:tcPr>
          <w:p w14:paraId="3BB42CCE"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0A27A684" w14:textId="77777777" w:rsidR="00103CFB" w:rsidRPr="00007760" w:rsidRDefault="00103CFB" w:rsidP="00103CFB">
            <w:pPr>
              <w:spacing w:after="0"/>
              <w:ind w:left="0"/>
              <w:rPr>
                <w:color w:val="000000"/>
              </w:rPr>
            </w:pPr>
            <w:r>
              <w:rPr>
                <w:color w:val="000000"/>
              </w:rPr>
              <w:t>TXAT0740</w:t>
            </w:r>
          </w:p>
        </w:tc>
        <w:tc>
          <w:tcPr>
            <w:tcW w:w="6963" w:type="dxa"/>
            <w:vAlign w:val="bottom"/>
          </w:tcPr>
          <w:p w14:paraId="2E2BDAF7" w14:textId="77777777" w:rsidR="00103CFB" w:rsidRPr="00007760" w:rsidRDefault="00103CFB" w:rsidP="00103CFB">
            <w:pPr>
              <w:spacing w:after="0"/>
              <w:ind w:left="0"/>
              <w:rPr>
                <w:color w:val="000000"/>
              </w:rPr>
            </w:pPr>
            <w:r>
              <w:rPr>
                <w:color w:val="000000"/>
              </w:rPr>
              <w:t>Eligible Accounts to Archive</w:t>
            </w:r>
          </w:p>
        </w:tc>
      </w:tr>
      <w:tr w:rsidR="00103CFB" w:rsidRPr="00293F5E" w14:paraId="10E0B822" w14:textId="77777777" w:rsidTr="00103CFB">
        <w:trPr>
          <w:trHeight w:val="315"/>
        </w:trPr>
        <w:tc>
          <w:tcPr>
            <w:tcW w:w="684" w:type="dxa"/>
            <w:noWrap/>
            <w:vAlign w:val="bottom"/>
          </w:tcPr>
          <w:p w14:paraId="255AB4A8" w14:textId="7C1AE538" w:rsidR="00103CFB" w:rsidRPr="004B4E82" w:rsidRDefault="00103CFB" w:rsidP="00103CFB">
            <w:pPr>
              <w:spacing w:after="0"/>
              <w:ind w:left="0"/>
              <w:jc w:val="center"/>
              <w:rPr>
                <w:color w:val="000000"/>
                <w:szCs w:val="22"/>
              </w:rPr>
            </w:pPr>
            <w:r>
              <w:rPr>
                <w:szCs w:val="22"/>
              </w:rPr>
              <w:t>315</w:t>
            </w:r>
          </w:p>
        </w:tc>
        <w:tc>
          <w:tcPr>
            <w:tcW w:w="1677" w:type="dxa"/>
            <w:noWrap/>
            <w:vAlign w:val="bottom"/>
          </w:tcPr>
          <w:p w14:paraId="23D16A33"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33E3DFD9" w14:textId="77777777" w:rsidR="00103CFB" w:rsidRPr="00007760" w:rsidRDefault="00103CFB" w:rsidP="00103CFB">
            <w:pPr>
              <w:spacing w:after="0"/>
              <w:ind w:left="0"/>
              <w:rPr>
                <w:color w:val="000000"/>
              </w:rPr>
            </w:pPr>
            <w:r>
              <w:rPr>
                <w:color w:val="000000"/>
              </w:rPr>
              <w:t>TXAT0740</w:t>
            </w:r>
          </w:p>
        </w:tc>
        <w:tc>
          <w:tcPr>
            <w:tcW w:w="6963" w:type="dxa"/>
            <w:vAlign w:val="bottom"/>
          </w:tcPr>
          <w:p w14:paraId="480F5FF3" w14:textId="77777777" w:rsidR="00103CFB" w:rsidRPr="00007760" w:rsidRDefault="00103CFB" w:rsidP="00103CFB">
            <w:pPr>
              <w:spacing w:after="0"/>
              <w:ind w:left="0"/>
              <w:rPr>
                <w:color w:val="000000"/>
              </w:rPr>
            </w:pPr>
            <w:r>
              <w:rPr>
                <w:color w:val="000000"/>
              </w:rPr>
              <w:t>Eligible Accounts to Archive Sorted by FEID</w:t>
            </w:r>
          </w:p>
        </w:tc>
      </w:tr>
      <w:tr w:rsidR="00103CFB" w:rsidRPr="00293F5E" w14:paraId="742E0E7D" w14:textId="77777777" w:rsidTr="00103CFB">
        <w:trPr>
          <w:trHeight w:val="315"/>
        </w:trPr>
        <w:tc>
          <w:tcPr>
            <w:tcW w:w="684" w:type="dxa"/>
            <w:noWrap/>
            <w:vAlign w:val="bottom"/>
          </w:tcPr>
          <w:p w14:paraId="1804B570" w14:textId="2AC2B2A1" w:rsidR="00103CFB" w:rsidRPr="004B4E82" w:rsidRDefault="00103CFB" w:rsidP="00103CFB">
            <w:pPr>
              <w:spacing w:after="0"/>
              <w:ind w:left="0"/>
              <w:jc w:val="center"/>
              <w:rPr>
                <w:color w:val="000000"/>
                <w:szCs w:val="22"/>
              </w:rPr>
            </w:pPr>
            <w:r>
              <w:rPr>
                <w:color w:val="000000"/>
                <w:szCs w:val="22"/>
              </w:rPr>
              <w:t>316</w:t>
            </w:r>
          </w:p>
        </w:tc>
        <w:tc>
          <w:tcPr>
            <w:tcW w:w="1677" w:type="dxa"/>
            <w:noWrap/>
            <w:vAlign w:val="bottom"/>
          </w:tcPr>
          <w:p w14:paraId="07B14F4D"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383BE6A2" w14:textId="77777777" w:rsidR="00103CFB" w:rsidRPr="00007760" w:rsidRDefault="00103CFB" w:rsidP="00103CFB">
            <w:pPr>
              <w:spacing w:after="0"/>
              <w:ind w:left="0"/>
              <w:rPr>
                <w:color w:val="000000"/>
              </w:rPr>
            </w:pPr>
            <w:r>
              <w:rPr>
                <w:color w:val="000000"/>
              </w:rPr>
              <w:t>TXAT9401</w:t>
            </w:r>
          </w:p>
        </w:tc>
        <w:tc>
          <w:tcPr>
            <w:tcW w:w="6963" w:type="dxa"/>
            <w:vAlign w:val="bottom"/>
          </w:tcPr>
          <w:p w14:paraId="6D0BAE63" w14:textId="77777777" w:rsidR="00103CFB" w:rsidRPr="00007760" w:rsidRDefault="00103CFB" w:rsidP="00103CFB">
            <w:pPr>
              <w:spacing w:after="0"/>
              <w:ind w:left="0"/>
              <w:rPr>
                <w:color w:val="000000"/>
              </w:rPr>
            </w:pPr>
            <w:r>
              <w:rPr>
                <w:color w:val="000000"/>
              </w:rPr>
              <w:t>FEIDs with 2 TWC Accounts - 1st Run</w:t>
            </w:r>
          </w:p>
        </w:tc>
      </w:tr>
      <w:tr w:rsidR="00103CFB" w:rsidRPr="00293F5E" w14:paraId="4216E5DB" w14:textId="77777777" w:rsidTr="00103CFB">
        <w:trPr>
          <w:trHeight w:val="315"/>
        </w:trPr>
        <w:tc>
          <w:tcPr>
            <w:tcW w:w="684" w:type="dxa"/>
            <w:noWrap/>
            <w:vAlign w:val="bottom"/>
          </w:tcPr>
          <w:p w14:paraId="25EEBB70" w14:textId="4072113A" w:rsidR="00103CFB" w:rsidRPr="004B4E82" w:rsidRDefault="00103CFB" w:rsidP="00103CFB">
            <w:pPr>
              <w:spacing w:after="0"/>
              <w:ind w:left="0"/>
              <w:jc w:val="center"/>
              <w:rPr>
                <w:color w:val="000000"/>
                <w:szCs w:val="22"/>
              </w:rPr>
            </w:pPr>
            <w:r>
              <w:rPr>
                <w:szCs w:val="22"/>
              </w:rPr>
              <w:t>317</w:t>
            </w:r>
          </w:p>
        </w:tc>
        <w:tc>
          <w:tcPr>
            <w:tcW w:w="1677" w:type="dxa"/>
            <w:noWrap/>
            <w:vAlign w:val="bottom"/>
          </w:tcPr>
          <w:p w14:paraId="52996C10"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62D37A60" w14:textId="77777777" w:rsidR="00103CFB" w:rsidRPr="00007760" w:rsidRDefault="00103CFB" w:rsidP="00103CFB">
            <w:pPr>
              <w:spacing w:after="0"/>
              <w:ind w:left="0"/>
              <w:rPr>
                <w:color w:val="000000"/>
              </w:rPr>
            </w:pPr>
            <w:r>
              <w:rPr>
                <w:color w:val="000000"/>
              </w:rPr>
              <w:t>TXAT9410</w:t>
            </w:r>
          </w:p>
        </w:tc>
        <w:tc>
          <w:tcPr>
            <w:tcW w:w="6963" w:type="dxa"/>
            <w:vAlign w:val="bottom"/>
          </w:tcPr>
          <w:p w14:paraId="660AA989" w14:textId="77777777" w:rsidR="00103CFB" w:rsidRPr="00007760" w:rsidRDefault="00103CFB" w:rsidP="00103CFB">
            <w:pPr>
              <w:spacing w:after="0"/>
              <w:ind w:left="0"/>
              <w:rPr>
                <w:color w:val="000000"/>
              </w:rPr>
            </w:pPr>
            <w:r>
              <w:rPr>
                <w:color w:val="000000"/>
              </w:rPr>
              <w:t>FEIDs with 2 TWC Accounts - 2nd Run</w:t>
            </w:r>
          </w:p>
        </w:tc>
      </w:tr>
      <w:tr w:rsidR="00103CFB" w:rsidRPr="00293F5E" w14:paraId="4EE75F69" w14:textId="77777777" w:rsidTr="00103CFB">
        <w:trPr>
          <w:trHeight w:val="315"/>
        </w:trPr>
        <w:tc>
          <w:tcPr>
            <w:tcW w:w="684" w:type="dxa"/>
            <w:noWrap/>
            <w:vAlign w:val="bottom"/>
          </w:tcPr>
          <w:p w14:paraId="037CCA6B" w14:textId="6DAD9C70" w:rsidR="00103CFB" w:rsidRPr="004B4E82" w:rsidRDefault="00103CFB" w:rsidP="00103CFB">
            <w:pPr>
              <w:spacing w:after="0"/>
              <w:ind w:left="0"/>
              <w:jc w:val="center"/>
              <w:rPr>
                <w:color w:val="000000"/>
                <w:szCs w:val="22"/>
              </w:rPr>
            </w:pPr>
            <w:r>
              <w:rPr>
                <w:color w:val="000000"/>
                <w:szCs w:val="22"/>
              </w:rPr>
              <w:t>318</w:t>
            </w:r>
          </w:p>
        </w:tc>
        <w:tc>
          <w:tcPr>
            <w:tcW w:w="1677" w:type="dxa"/>
            <w:noWrap/>
            <w:vAlign w:val="bottom"/>
          </w:tcPr>
          <w:p w14:paraId="656E25C3"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4DABA133" w14:textId="77777777" w:rsidR="00103CFB" w:rsidRPr="00007760" w:rsidRDefault="00103CFB" w:rsidP="00103CFB">
            <w:pPr>
              <w:spacing w:after="0"/>
              <w:ind w:left="0"/>
              <w:rPr>
                <w:color w:val="000000"/>
              </w:rPr>
            </w:pPr>
            <w:r>
              <w:rPr>
                <w:color w:val="000000"/>
              </w:rPr>
              <w:t>TXAT9420</w:t>
            </w:r>
          </w:p>
        </w:tc>
        <w:tc>
          <w:tcPr>
            <w:tcW w:w="6963" w:type="dxa"/>
            <w:vAlign w:val="bottom"/>
          </w:tcPr>
          <w:p w14:paraId="4C5408EE" w14:textId="47ABC0BA" w:rsidR="00103CFB" w:rsidRPr="00007760" w:rsidRDefault="00103CFB" w:rsidP="00103CFB">
            <w:pPr>
              <w:spacing w:after="0"/>
              <w:ind w:left="0"/>
              <w:rPr>
                <w:color w:val="000000"/>
              </w:rPr>
            </w:pPr>
            <w:r>
              <w:rPr>
                <w:color w:val="000000"/>
              </w:rPr>
              <w:t xml:space="preserve">Annual FUTA Certification </w:t>
            </w:r>
            <w:r w:rsidR="0098693C">
              <w:rPr>
                <w:color w:val="000000"/>
              </w:rPr>
              <w:t>System Output</w:t>
            </w:r>
            <w:r>
              <w:rPr>
                <w:color w:val="000000"/>
              </w:rPr>
              <w:t xml:space="preserve"> Messages (January)</w:t>
            </w:r>
          </w:p>
        </w:tc>
      </w:tr>
      <w:tr w:rsidR="00103CFB" w:rsidRPr="00293F5E" w14:paraId="61C4D061" w14:textId="77777777" w:rsidTr="00103CFB">
        <w:trPr>
          <w:trHeight w:val="315"/>
        </w:trPr>
        <w:tc>
          <w:tcPr>
            <w:tcW w:w="684" w:type="dxa"/>
            <w:noWrap/>
            <w:vAlign w:val="bottom"/>
          </w:tcPr>
          <w:p w14:paraId="1D442DE4" w14:textId="53DBAD3D" w:rsidR="00103CFB" w:rsidRPr="004B4E82" w:rsidRDefault="00103CFB" w:rsidP="00103CFB">
            <w:pPr>
              <w:spacing w:after="0"/>
              <w:ind w:left="0"/>
              <w:jc w:val="center"/>
              <w:rPr>
                <w:color w:val="000000"/>
                <w:szCs w:val="22"/>
              </w:rPr>
            </w:pPr>
            <w:r>
              <w:rPr>
                <w:szCs w:val="22"/>
              </w:rPr>
              <w:t>319</w:t>
            </w:r>
          </w:p>
        </w:tc>
        <w:tc>
          <w:tcPr>
            <w:tcW w:w="1677" w:type="dxa"/>
            <w:noWrap/>
            <w:vAlign w:val="bottom"/>
          </w:tcPr>
          <w:p w14:paraId="5BA14923"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557F9E3A" w14:textId="77777777" w:rsidR="00103CFB" w:rsidRPr="00007760" w:rsidRDefault="00103CFB" w:rsidP="00103CFB">
            <w:pPr>
              <w:spacing w:after="0"/>
              <w:ind w:left="0"/>
              <w:rPr>
                <w:color w:val="000000"/>
              </w:rPr>
            </w:pPr>
            <w:r>
              <w:rPr>
                <w:color w:val="000000"/>
              </w:rPr>
              <w:t>TXAT9421</w:t>
            </w:r>
          </w:p>
        </w:tc>
        <w:tc>
          <w:tcPr>
            <w:tcW w:w="6963" w:type="dxa"/>
            <w:vAlign w:val="bottom"/>
          </w:tcPr>
          <w:p w14:paraId="1BE60119" w14:textId="77777777" w:rsidR="00103CFB" w:rsidRPr="00007760" w:rsidRDefault="00103CFB" w:rsidP="00103CFB">
            <w:pPr>
              <w:spacing w:after="0"/>
              <w:ind w:left="0"/>
              <w:rPr>
                <w:color w:val="000000"/>
              </w:rPr>
            </w:pPr>
            <w:r>
              <w:rPr>
                <w:color w:val="000000"/>
              </w:rPr>
              <w:t>940 Certification Control Report</w:t>
            </w:r>
          </w:p>
        </w:tc>
      </w:tr>
      <w:tr w:rsidR="00103CFB" w:rsidRPr="00293F5E" w14:paraId="67940083" w14:textId="77777777" w:rsidTr="00103CFB">
        <w:trPr>
          <w:trHeight w:val="315"/>
        </w:trPr>
        <w:tc>
          <w:tcPr>
            <w:tcW w:w="684" w:type="dxa"/>
            <w:noWrap/>
            <w:vAlign w:val="bottom"/>
          </w:tcPr>
          <w:p w14:paraId="567B1133" w14:textId="4468EB51" w:rsidR="00103CFB" w:rsidRPr="004B4E82" w:rsidRDefault="00103CFB" w:rsidP="00103CFB">
            <w:pPr>
              <w:spacing w:after="0"/>
              <w:ind w:left="0"/>
              <w:jc w:val="center"/>
              <w:rPr>
                <w:color w:val="000000"/>
                <w:szCs w:val="22"/>
              </w:rPr>
            </w:pPr>
            <w:r>
              <w:rPr>
                <w:color w:val="000000"/>
                <w:szCs w:val="22"/>
              </w:rPr>
              <w:t>320</w:t>
            </w:r>
          </w:p>
        </w:tc>
        <w:tc>
          <w:tcPr>
            <w:tcW w:w="1677" w:type="dxa"/>
            <w:noWrap/>
            <w:vAlign w:val="bottom"/>
          </w:tcPr>
          <w:p w14:paraId="4A4FA3F3" w14:textId="77777777" w:rsidR="00103CFB" w:rsidRDefault="00103CFB" w:rsidP="00103CFB">
            <w:pPr>
              <w:spacing w:after="0"/>
              <w:ind w:left="0"/>
              <w:rPr>
                <w:rFonts w:ascii="Calibri" w:hAnsi="Calibri" w:cs="Calibri"/>
                <w:color w:val="000000"/>
                <w:szCs w:val="22"/>
              </w:rPr>
            </w:pPr>
            <w:r>
              <w:rPr>
                <w:color w:val="000000"/>
              </w:rPr>
              <w:t>Annually</w:t>
            </w:r>
          </w:p>
        </w:tc>
        <w:tc>
          <w:tcPr>
            <w:tcW w:w="1775" w:type="dxa"/>
            <w:noWrap/>
            <w:vAlign w:val="bottom"/>
          </w:tcPr>
          <w:p w14:paraId="6C51739F" w14:textId="77777777" w:rsidR="00103CFB" w:rsidRPr="00007760" w:rsidRDefault="00103CFB" w:rsidP="00103CFB">
            <w:pPr>
              <w:spacing w:after="0"/>
              <w:ind w:left="0"/>
              <w:rPr>
                <w:color w:val="000000"/>
              </w:rPr>
            </w:pPr>
            <w:r>
              <w:rPr>
                <w:color w:val="000000"/>
              </w:rPr>
              <w:t>TXAT9430</w:t>
            </w:r>
          </w:p>
        </w:tc>
        <w:tc>
          <w:tcPr>
            <w:tcW w:w="6963" w:type="dxa"/>
            <w:vAlign w:val="bottom"/>
          </w:tcPr>
          <w:p w14:paraId="0BCD8C82" w14:textId="77777777" w:rsidR="00103CFB" w:rsidRPr="00007760" w:rsidRDefault="00103CFB" w:rsidP="00103CFB">
            <w:pPr>
              <w:spacing w:after="0"/>
              <w:ind w:left="0"/>
              <w:rPr>
                <w:color w:val="000000"/>
              </w:rPr>
            </w:pPr>
            <w:r>
              <w:rPr>
                <w:color w:val="000000"/>
              </w:rPr>
              <w:t>IRS BFM FUTA Certification Data Exchange File</w:t>
            </w:r>
          </w:p>
        </w:tc>
      </w:tr>
      <w:tr w:rsidR="00103CFB" w:rsidRPr="00293F5E" w14:paraId="633FBE54" w14:textId="77777777" w:rsidTr="00103CFB">
        <w:trPr>
          <w:trHeight w:val="315"/>
        </w:trPr>
        <w:tc>
          <w:tcPr>
            <w:tcW w:w="684" w:type="dxa"/>
            <w:noWrap/>
            <w:vAlign w:val="bottom"/>
          </w:tcPr>
          <w:p w14:paraId="3D9371DB" w14:textId="40C44F58" w:rsidR="00103CFB" w:rsidRDefault="00103CFB" w:rsidP="00103CFB">
            <w:pPr>
              <w:spacing w:after="0"/>
              <w:ind w:left="0"/>
              <w:jc w:val="center"/>
              <w:rPr>
                <w:color w:val="000000"/>
              </w:rPr>
            </w:pPr>
            <w:r>
              <w:rPr>
                <w:szCs w:val="22"/>
              </w:rPr>
              <w:t>321</w:t>
            </w:r>
          </w:p>
        </w:tc>
        <w:tc>
          <w:tcPr>
            <w:tcW w:w="1677" w:type="dxa"/>
            <w:noWrap/>
            <w:vAlign w:val="center"/>
          </w:tcPr>
          <w:p w14:paraId="5C83C18A" w14:textId="77777777" w:rsidR="00103CFB" w:rsidRDefault="00103CFB" w:rsidP="00103CFB">
            <w:pPr>
              <w:spacing w:after="0"/>
              <w:ind w:left="0"/>
              <w:rPr>
                <w:color w:val="000000"/>
              </w:rPr>
            </w:pPr>
            <w:r w:rsidRPr="00A26011">
              <w:rPr>
                <w:color w:val="000000"/>
              </w:rPr>
              <w:t>Upon Request</w:t>
            </w:r>
          </w:p>
        </w:tc>
        <w:tc>
          <w:tcPr>
            <w:tcW w:w="1775" w:type="dxa"/>
            <w:noWrap/>
            <w:vAlign w:val="center"/>
          </w:tcPr>
          <w:p w14:paraId="45A4A2F3" w14:textId="77777777" w:rsidR="00103CFB" w:rsidRDefault="00103CFB" w:rsidP="00103CFB">
            <w:pPr>
              <w:spacing w:after="0"/>
              <w:ind w:left="0"/>
              <w:rPr>
                <w:color w:val="000000"/>
              </w:rPr>
            </w:pPr>
            <w:r w:rsidRPr="00A26011">
              <w:rPr>
                <w:color w:val="000000"/>
              </w:rPr>
              <w:t>TXRR0095</w:t>
            </w:r>
          </w:p>
        </w:tc>
        <w:tc>
          <w:tcPr>
            <w:tcW w:w="6963" w:type="dxa"/>
            <w:vAlign w:val="center"/>
          </w:tcPr>
          <w:p w14:paraId="580C199F" w14:textId="77777777" w:rsidR="00103CFB" w:rsidRDefault="00103CFB" w:rsidP="00103CFB">
            <w:pPr>
              <w:spacing w:after="0"/>
              <w:ind w:left="0"/>
              <w:rPr>
                <w:color w:val="000000"/>
              </w:rPr>
            </w:pPr>
            <w:r w:rsidRPr="00A26011">
              <w:rPr>
                <w:color w:val="000000"/>
              </w:rPr>
              <w:t>Rebuild Rates Subfile</w:t>
            </w:r>
          </w:p>
        </w:tc>
      </w:tr>
    </w:tbl>
    <w:p w14:paraId="50168B48" w14:textId="6917FF2E" w:rsidR="00FF6874" w:rsidRDefault="00FF6874" w:rsidP="00AC3758">
      <w:pPr>
        <w:ind w:left="0"/>
      </w:pPr>
    </w:p>
    <w:p w14:paraId="5F609630" w14:textId="17A39BDC" w:rsidR="005C2458" w:rsidRDefault="005C2458" w:rsidP="005C2458">
      <w:pPr>
        <w:pStyle w:val="Heading3"/>
      </w:pPr>
      <w:bookmarkStart w:id="430" w:name="_Toc13567507"/>
      <w:r>
        <w:t>A8.2</w:t>
      </w:r>
      <w:r>
        <w:tab/>
        <w:t>Benefits</w:t>
      </w:r>
      <w:bookmarkEnd w:id="430"/>
    </w:p>
    <w:p w14:paraId="21743320" w14:textId="5E82A8F3" w:rsidR="0067479A" w:rsidRDefault="004E128C" w:rsidP="0067479A">
      <w:pPr>
        <w:rPr>
          <w:rFonts w:eastAsia="Verdana,Times New Roman" w:cs="Verdana,Times New Roman"/>
          <w:b/>
          <w:bCs/>
          <w:u w:val="single"/>
        </w:rPr>
      </w:pPr>
      <w:r>
        <w:rPr>
          <w:rFonts w:eastAsia="Verdana,Times New Roman" w:cs="Verdana,Times New Roman"/>
          <w:b/>
          <w:bCs/>
          <w:u w:val="single"/>
        </w:rPr>
        <w:t>DOL</w:t>
      </w:r>
      <w:r w:rsidR="0067479A" w:rsidRPr="0067479A">
        <w:rPr>
          <w:rFonts w:eastAsia="Verdana,Times New Roman" w:cs="Verdana,Times New Roman"/>
          <w:b/>
          <w:bCs/>
          <w:u w:val="single"/>
        </w:rPr>
        <w:t xml:space="preserve"> Reports – ETA Reports</w:t>
      </w:r>
    </w:p>
    <w:tbl>
      <w:tblPr>
        <w:tblStyle w:val="TableGrid"/>
        <w:tblW w:w="11189" w:type="dxa"/>
        <w:tblInd w:w="-72" w:type="dxa"/>
        <w:tblLayout w:type="fixed"/>
        <w:tblLook w:val="04A0" w:firstRow="1" w:lastRow="0" w:firstColumn="1" w:lastColumn="0" w:noHBand="0" w:noVBand="1"/>
        <w:tblDescription w:val="Table of Benefits reports"/>
      </w:tblPr>
      <w:tblGrid>
        <w:gridCol w:w="691"/>
        <w:gridCol w:w="1627"/>
        <w:gridCol w:w="1800"/>
        <w:gridCol w:w="7071"/>
      </w:tblGrid>
      <w:tr w:rsidR="00605110" w:rsidRPr="005625A5" w14:paraId="678605ED" w14:textId="77777777" w:rsidTr="00605110">
        <w:trPr>
          <w:trHeight w:val="258"/>
          <w:tblHeader/>
        </w:trPr>
        <w:tc>
          <w:tcPr>
            <w:tcW w:w="691" w:type="dxa"/>
            <w:shd w:val="clear" w:color="auto" w:fill="DEEAF6" w:themeFill="accent1" w:themeFillTint="33"/>
            <w:vAlign w:val="center"/>
          </w:tcPr>
          <w:p w14:paraId="2BEB02AA" w14:textId="48566F43" w:rsidR="00605110" w:rsidRPr="001A193D" w:rsidRDefault="00605110" w:rsidP="00605110">
            <w:pPr>
              <w:spacing w:after="0"/>
              <w:ind w:left="0"/>
              <w:jc w:val="center"/>
              <w:rPr>
                <w:b/>
                <w:i/>
                <w:color w:val="1F3864" w:themeColor="accent5" w:themeShade="80"/>
              </w:rPr>
            </w:pPr>
            <w:r w:rsidRPr="001A193D">
              <w:rPr>
                <w:rFonts w:cs="Arial"/>
                <w:b/>
                <w:color w:val="1F3864" w:themeColor="accent5" w:themeShade="80"/>
              </w:rPr>
              <w:t>#</w:t>
            </w:r>
          </w:p>
        </w:tc>
        <w:tc>
          <w:tcPr>
            <w:tcW w:w="1627" w:type="dxa"/>
            <w:shd w:val="clear" w:color="auto" w:fill="DEEAF6" w:themeFill="accent1" w:themeFillTint="33"/>
            <w:vAlign w:val="center"/>
          </w:tcPr>
          <w:p w14:paraId="71D20128" w14:textId="77777777" w:rsidR="00605110" w:rsidRPr="001A193D" w:rsidRDefault="00605110" w:rsidP="00605110">
            <w:pPr>
              <w:spacing w:after="0"/>
              <w:ind w:left="0"/>
              <w:rPr>
                <w:b/>
                <w:i/>
                <w:color w:val="1F3864" w:themeColor="accent5" w:themeShade="80"/>
              </w:rPr>
            </w:pPr>
            <w:r w:rsidRPr="001A193D">
              <w:rPr>
                <w:rFonts w:cs="Arial"/>
                <w:b/>
                <w:color w:val="1F3864" w:themeColor="accent5" w:themeShade="80"/>
              </w:rPr>
              <w:t>Frequency</w:t>
            </w:r>
          </w:p>
        </w:tc>
        <w:tc>
          <w:tcPr>
            <w:tcW w:w="1800" w:type="dxa"/>
            <w:shd w:val="clear" w:color="auto" w:fill="DEEAF6" w:themeFill="accent1" w:themeFillTint="33"/>
            <w:vAlign w:val="center"/>
          </w:tcPr>
          <w:p w14:paraId="20834DB9" w14:textId="77777777" w:rsidR="00605110" w:rsidRPr="001A193D" w:rsidRDefault="00605110" w:rsidP="00605110">
            <w:pPr>
              <w:spacing w:after="0"/>
              <w:ind w:left="0"/>
              <w:rPr>
                <w:b/>
                <w:i/>
                <w:color w:val="1F3864" w:themeColor="accent5" w:themeShade="80"/>
              </w:rPr>
            </w:pPr>
            <w:r w:rsidRPr="001A193D">
              <w:rPr>
                <w:rFonts w:cs="Arial"/>
                <w:b/>
                <w:color w:val="1F3864" w:themeColor="accent5" w:themeShade="80"/>
              </w:rPr>
              <w:t>Name</w:t>
            </w:r>
          </w:p>
        </w:tc>
        <w:tc>
          <w:tcPr>
            <w:tcW w:w="7071" w:type="dxa"/>
            <w:shd w:val="clear" w:color="auto" w:fill="DEEAF6" w:themeFill="accent1" w:themeFillTint="33"/>
            <w:vAlign w:val="center"/>
          </w:tcPr>
          <w:p w14:paraId="68498527" w14:textId="77777777" w:rsidR="00605110" w:rsidRPr="001A193D" w:rsidRDefault="00605110" w:rsidP="00605110">
            <w:pPr>
              <w:spacing w:after="0"/>
              <w:ind w:left="0"/>
              <w:rPr>
                <w:b/>
                <w:i/>
                <w:color w:val="1F3864" w:themeColor="accent5" w:themeShade="80"/>
              </w:rPr>
            </w:pPr>
            <w:r w:rsidRPr="001A193D">
              <w:rPr>
                <w:rFonts w:cs="Arial"/>
                <w:b/>
                <w:color w:val="1F3864" w:themeColor="accent5" w:themeShade="80"/>
              </w:rPr>
              <w:t>Overview</w:t>
            </w:r>
          </w:p>
        </w:tc>
      </w:tr>
      <w:tr w:rsidR="00605110" w:rsidRPr="00293F5E" w14:paraId="33926735" w14:textId="77777777" w:rsidTr="006146A0">
        <w:trPr>
          <w:trHeight w:val="300"/>
        </w:trPr>
        <w:tc>
          <w:tcPr>
            <w:tcW w:w="691" w:type="dxa"/>
            <w:noWrap/>
            <w:vAlign w:val="center"/>
            <w:hideMark/>
          </w:tcPr>
          <w:p w14:paraId="1B9E505B" w14:textId="46B6353F" w:rsidR="00605110" w:rsidRPr="00007760" w:rsidRDefault="00605110" w:rsidP="00605110">
            <w:pPr>
              <w:spacing w:after="0"/>
              <w:ind w:left="0"/>
              <w:jc w:val="center"/>
              <w:rPr>
                <w:rFonts w:cs="Calibri"/>
                <w:color w:val="000000"/>
                <w:szCs w:val="24"/>
              </w:rPr>
            </w:pPr>
            <w:r w:rsidRPr="00007760">
              <w:rPr>
                <w:rFonts w:cs="Calibri"/>
                <w:color w:val="000000"/>
                <w:szCs w:val="24"/>
              </w:rPr>
              <w:t>1</w:t>
            </w:r>
          </w:p>
        </w:tc>
        <w:tc>
          <w:tcPr>
            <w:tcW w:w="1627" w:type="dxa"/>
            <w:noWrap/>
            <w:vAlign w:val="center"/>
            <w:hideMark/>
          </w:tcPr>
          <w:p w14:paraId="237D852F" w14:textId="284B29D2" w:rsidR="00605110" w:rsidRPr="00007760" w:rsidRDefault="00605110" w:rsidP="00605110">
            <w:pPr>
              <w:spacing w:after="0"/>
              <w:ind w:left="0"/>
              <w:rPr>
                <w:rFonts w:cs="Calibri"/>
                <w:color w:val="000000"/>
                <w:szCs w:val="24"/>
              </w:rPr>
            </w:pPr>
            <w:r w:rsidRPr="00007760">
              <w:rPr>
                <w:rFonts w:cs="Calibri"/>
                <w:color w:val="000000"/>
                <w:szCs w:val="24"/>
              </w:rPr>
              <w:t>Weekly</w:t>
            </w:r>
          </w:p>
        </w:tc>
        <w:tc>
          <w:tcPr>
            <w:tcW w:w="1800" w:type="dxa"/>
            <w:noWrap/>
            <w:vAlign w:val="center"/>
            <w:hideMark/>
          </w:tcPr>
          <w:p w14:paraId="216B128D" w14:textId="2870F0E9" w:rsidR="00605110" w:rsidRPr="00007760" w:rsidRDefault="00605110" w:rsidP="00605110">
            <w:pPr>
              <w:spacing w:after="0"/>
              <w:ind w:left="0"/>
              <w:rPr>
                <w:rFonts w:cs="Calibri"/>
                <w:color w:val="000000"/>
                <w:szCs w:val="24"/>
              </w:rPr>
            </w:pPr>
            <w:r w:rsidRPr="00007760">
              <w:rPr>
                <w:rFonts w:cs="Calibri"/>
                <w:color w:val="000000"/>
                <w:szCs w:val="24"/>
              </w:rPr>
              <w:t>538</w:t>
            </w:r>
          </w:p>
        </w:tc>
        <w:tc>
          <w:tcPr>
            <w:tcW w:w="7071" w:type="dxa"/>
            <w:vAlign w:val="center"/>
            <w:hideMark/>
          </w:tcPr>
          <w:p w14:paraId="23B360B9" w14:textId="704A9AA3" w:rsidR="00605110" w:rsidRPr="00007760" w:rsidRDefault="00605110" w:rsidP="00605110">
            <w:pPr>
              <w:spacing w:after="0"/>
              <w:ind w:left="0"/>
              <w:rPr>
                <w:rFonts w:cs="Calibri"/>
                <w:color w:val="000000"/>
                <w:szCs w:val="24"/>
              </w:rPr>
            </w:pPr>
            <w:r w:rsidRPr="00007760">
              <w:rPr>
                <w:rFonts w:cs="Calibri"/>
                <w:color w:val="000000"/>
                <w:szCs w:val="24"/>
              </w:rPr>
              <w:t>Advanced IC &amp; CC Report</w:t>
            </w:r>
          </w:p>
        </w:tc>
      </w:tr>
      <w:tr w:rsidR="00605110" w:rsidRPr="00293F5E" w14:paraId="377DBBA3" w14:textId="77777777" w:rsidTr="006146A0">
        <w:trPr>
          <w:trHeight w:val="600"/>
        </w:trPr>
        <w:tc>
          <w:tcPr>
            <w:tcW w:w="691" w:type="dxa"/>
            <w:noWrap/>
            <w:vAlign w:val="center"/>
            <w:hideMark/>
          </w:tcPr>
          <w:p w14:paraId="128E3978" w14:textId="559699F1" w:rsidR="00605110" w:rsidRPr="00007760" w:rsidRDefault="00605110" w:rsidP="00605110">
            <w:pPr>
              <w:spacing w:after="0"/>
              <w:ind w:left="0"/>
              <w:jc w:val="center"/>
              <w:rPr>
                <w:rFonts w:cs="Calibri"/>
                <w:color w:val="000000"/>
                <w:szCs w:val="24"/>
              </w:rPr>
            </w:pPr>
            <w:r w:rsidRPr="00007760">
              <w:rPr>
                <w:rFonts w:cs="Calibri"/>
                <w:color w:val="000000"/>
                <w:szCs w:val="24"/>
              </w:rPr>
              <w:t>2</w:t>
            </w:r>
          </w:p>
        </w:tc>
        <w:tc>
          <w:tcPr>
            <w:tcW w:w="1627" w:type="dxa"/>
            <w:noWrap/>
            <w:vAlign w:val="center"/>
            <w:hideMark/>
          </w:tcPr>
          <w:p w14:paraId="753F6291" w14:textId="4304DCAA" w:rsidR="00605110" w:rsidRPr="00007760" w:rsidRDefault="00605110" w:rsidP="00605110">
            <w:pPr>
              <w:spacing w:after="0"/>
              <w:ind w:left="0"/>
              <w:rPr>
                <w:rFonts w:cs="Calibri"/>
                <w:color w:val="000000"/>
                <w:szCs w:val="24"/>
              </w:rPr>
            </w:pPr>
            <w:r w:rsidRPr="00007760">
              <w:rPr>
                <w:rFonts w:cs="Calibri"/>
                <w:color w:val="000000"/>
                <w:szCs w:val="24"/>
              </w:rPr>
              <w:t>Weekly</w:t>
            </w:r>
          </w:p>
        </w:tc>
        <w:tc>
          <w:tcPr>
            <w:tcW w:w="1800" w:type="dxa"/>
            <w:noWrap/>
            <w:vAlign w:val="center"/>
            <w:hideMark/>
          </w:tcPr>
          <w:p w14:paraId="1BB55ACD" w14:textId="40889798" w:rsidR="00605110" w:rsidRPr="00007760" w:rsidRDefault="00605110" w:rsidP="00605110">
            <w:pPr>
              <w:spacing w:after="0"/>
              <w:ind w:left="0"/>
              <w:rPr>
                <w:rFonts w:cs="Calibri"/>
                <w:color w:val="000000"/>
                <w:szCs w:val="24"/>
              </w:rPr>
            </w:pPr>
            <w:r w:rsidRPr="00007760">
              <w:rPr>
                <w:rFonts w:cs="Calibri"/>
                <w:color w:val="000000"/>
                <w:szCs w:val="24"/>
              </w:rPr>
              <w:t>539</w:t>
            </w:r>
          </w:p>
        </w:tc>
        <w:tc>
          <w:tcPr>
            <w:tcW w:w="7071" w:type="dxa"/>
            <w:vAlign w:val="center"/>
            <w:hideMark/>
          </w:tcPr>
          <w:p w14:paraId="17692359" w14:textId="273CFF3F" w:rsidR="00605110" w:rsidRPr="00007760" w:rsidRDefault="00605110" w:rsidP="00605110">
            <w:pPr>
              <w:spacing w:after="0"/>
              <w:ind w:left="0"/>
              <w:rPr>
                <w:rFonts w:cs="Calibri"/>
                <w:color w:val="000000"/>
                <w:szCs w:val="24"/>
              </w:rPr>
            </w:pPr>
            <w:r w:rsidRPr="00007760">
              <w:rPr>
                <w:rFonts w:cs="Calibri"/>
                <w:color w:val="000000"/>
                <w:szCs w:val="24"/>
              </w:rPr>
              <w:t>Weekly Claims and Extended Benefits Trigger Data</w:t>
            </w:r>
          </w:p>
        </w:tc>
      </w:tr>
      <w:tr w:rsidR="00605110" w:rsidRPr="00293F5E" w14:paraId="2E844FF8" w14:textId="77777777" w:rsidTr="006146A0">
        <w:trPr>
          <w:trHeight w:val="300"/>
        </w:trPr>
        <w:tc>
          <w:tcPr>
            <w:tcW w:w="691" w:type="dxa"/>
            <w:noWrap/>
            <w:vAlign w:val="center"/>
            <w:hideMark/>
          </w:tcPr>
          <w:p w14:paraId="6D943FCB" w14:textId="4A04C706" w:rsidR="00605110" w:rsidRPr="00007760" w:rsidRDefault="00605110" w:rsidP="00605110">
            <w:pPr>
              <w:spacing w:after="0"/>
              <w:ind w:left="0"/>
              <w:jc w:val="center"/>
              <w:rPr>
                <w:rFonts w:cs="Calibri"/>
                <w:color w:val="000000"/>
                <w:szCs w:val="24"/>
              </w:rPr>
            </w:pPr>
            <w:r w:rsidRPr="00007760">
              <w:rPr>
                <w:rFonts w:cs="Calibri"/>
                <w:color w:val="000000"/>
                <w:szCs w:val="24"/>
              </w:rPr>
              <w:lastRenderedPageBreak/>
              <w:t>3</w:t>
            </w:r>
          </w:p>
        </w:tc>
        <w:tc>
          <w:tcPr>
            <w:tcW w:w="1627" w:type="dxa"/>
            <w:noWrap/>
            <w:vAlign w:val="center"/>
            <w:hideMark/>
          </w:tcPr>
          <w:p w14:paraId="6B6037F1" w14:textId="011A6835" w:rsidR="00605110" w:rsidRPr="00007760" w:rsidRDefault="00605110" w:rsidP="00605110">
            <w:pPr>
              <w:spacing w:after="0"/>
              <w:ind w:left="0"/>
              <w:rPr>
                <w:rFonts w:cs="Calibri"/>
                <w:color w:val="000000"/>
                <w:szCs w:val="24"/>
              </w:rPr>
            </w:pPr>
            <w:r w:rsidRPr="00007760">
              <w:rPr>
                <w:rFonts w:cs="Calibri"/>
                <w:color w:val="000000"/>
                <w:szCs w:val="24"/>
              </w:rPr>
              <w:t>Monthly</w:t>
            </w:r>
          </w:p>
        </w:tc>
        <w:tc>
          <w:tcPr>
            <w:tcW w:w="1800" w:type="dxa"/>
            <w:noWrap/>
            <w:vAlign w:val="center"/>
            <w:hideMark/>
          </w:tcPr>
          <w:p w14:paraId="654F19A6" w14:textId="6E242BA9" w:rsidR="00605110" w:rsidRPr="00007760" w:rsidRDefault="00605110" w:rsidP="00605110">
            <w:pPr>
              <w:spacing w:after="0"/>
              <w:ind w:left="0"/>
              <w:rPr>
                <w:rFonts w:cs="Calibri"/>
                <w:color w:val="000000"/>
                <w:szCs w:val="24"/>
              </w:rPr>
            </w:pPr>
            <w:r w:rsidRPr="00007760">
              <w:rPr>
                <w:rFonts w:cs="Calibri"/>
                <w:color w:val="000000"/>
                <w:szCs w:val="24"/>
              </w:rPr>
              <w:t>203 (ar)</w:t>
            </w:r>
          </w:p>
        </w:tc>
        <w:tc>
          <w:tcPr>
            <w:tcW w:w="7071" w:type="dxa"/>
            <w:vAlign w:val="center"/>
            <w:hideMark/>
          </w:tcPr>
          <w:p w14:paraId="2697F44F" w14:textId="543A85BB" w:rsidR="00605110" w:rsidRPr="00007760" w:rsidRDefault="00605110" w:rsidP="00605110">
            <w:pPr>
              <w:spacing w:after="0"/>
              <w:ind w:left="0"/>
              <w:rPr>
                <w:rFonts w:cs="Calibri"/>
                <w:color w:val="000000"/>
                <w:szCs w:val="24"/>
              </w:rPr>
            </w:pPr>
            <w:r w:rsidRPr="00007760">
              <w:rPr>
                <w:rFonts w:cs="Calibri"/>
                <w:color w:val="000000"/>
                <w:szCs w:val="24"/>
              </w:rPr>
              <w:t>Distribution of Characteristics of the Insured Unemployed</w:t>
            </w:r>
          </w:p>
        </w:tc>
      </w:tr>
      <w:tr w:rsidR="00605110" w:rsidRPr="00293F5E" w14:paraId="5B619F9E" w14:textId="77777777" w:rsidTr="006146A0">
        <w:trPr>
          <w:trHeight w:val="300"/>
        </w:trPr>
        <w:tc>
          <w:tcPr>
            <w:tcW w:w="691" w:type="dxa"/>
            <w:noWrap/>
            <w:vAlign w:val="center"/>
            <w:hideMark/>
          </w:tcPr>
          <w:p w14:paraId="24FCABB2" w14:textId="1A314E38" w:rsidR="00605110" w:rsidRPr="00007760" w:rsidRDefault="00605110" w:rsidP="00605110">
            <w:pPr>
              <w:spacing w:after="0"/>
              <w:ind w:left="0"/>
              <w:jc w:val="center"/>
              <w:rPr>
                <w:rFonts w:cs="Calibri"/>
                <w:color w:val="000000"/>
                <w:szCs w:val="24"/>
              </w:rPr>
            </w:pPr>
            <w:r w:rsidRPr="00007760">
              <w:rPr>
                <w:rFonts w:cs="Calibri"/>
                <w:color w:val="000000"/>
                <w:szCs w:val="24"/>
              </w:rPr>
              <w:t>4</w:t>
            </w:r>
          </w:p>
        </w:tc>
        <w:tc>
          <w:tcPr>
            <w:tcW w:w="1627" w:type="dxa"/>
            <w:noWrap/>
            <w:vAlign w:val="center"/>
            <w:hideMark/>
          </w:tcPr>
          <w:p w14:paraId="0C5393E6" w14:textId="761C9842" w:rsidR="00605110" w:rsidRPr="00007760" w:rsidRDefault="00605110" w:rsidP="00605110">
            <w:pPr>
              <w:spacing w:after="0"/>
              <w:ind w:left="0"/>
              <w:rPr>
                <w:rFonts w:cs="Calibri"/>
                <w:color w:val="000000"/>
                <w:szCs w:val="24"/>
              </w:rPr>
            </w:pPr>
            <w:r w:rsidRPr="00007760">
              <w:rPr>
                <w:rFonts w:cs="Calibri"/>
                <w:color w:val="000000"/>
                <w:szCs w:val="24"/>
              </w:rPr>
              <w:t>Monthly</w:t>
            </w:r>
          </w:p>
        </w:tc>
        <w:tc>
          <w:tcPr>
            <w:tcW w:w="1800" w:type="dxa"/>
            <w:noWrap/>
            <w:vAlign w:val="center"/>
            <w:hideMark/>
          </w:tcPr>
          <w:p w14:paraId="7D5D95EC" w14:textId="6892AB44" w:rsidR="00605110" w:rsidRPr="00007760" w:rsidRDefault="00605110" w:rsidP="00605110">
            <w:pPr>
              <w:spacing w:after="0"/>
              <w:ind w:left="0"/>
              <w:rPr>
                <w:rFonts w:cs="Calibri"/>
                <w:color w:val="000000"/>
                <w:szCs w:val="24"/>
              </w:rPr>
            </w:pPr>
            <w:r w:rsidRPr="00007760">
              <w:rPr>
                <w:rFonts w:cs="Calibri"/>
                <w:color w:val="000000"/>
                <w:szCs w:val="24"/>
              </w:rPr>
              <w:t>2112 (ar)</w:t>
            </w:r>
          </w:p>
        </w:tc>
        <w:tc>
          <w:tcPr>
            <w:tcW w:w="7071" w:type="dxa"/>
            <w:vAlign w:val="center"/>
            <w:hideMark/>
          </w:tcPr>
          <w:p w14:paraId="0A4D87DB" w14:textId="1D9112F6" w:rsidR="00605110" w:rsidRPr="00007760" w:rsidRDefault="00605110" w:rsidP="00605110">
            <w:pPr>
              <w:spacing w:after="0"/>
              <w:ind w:left="0"/>
              <w:rPr>
                <w:rFonts w:cs="Calibri"/>
                <w:color w:val="000000"/>
                <w:szCs w:val="24"/>
              </w:rPr>
            </w:pPr>
            <w:r w:rsidRPr="00007760">
              <w:rPr>
                <w:rFonts w:cs="Calibri"/>
                <w:color w:val="000000"/>
                <w:szCs w:val="24"/>
              </w:rPr>
              <w:t>UI Financial Transaction Summary Unemployment Fund</w:t>
            </w:r>
          </w:p>
        </w:tc>
      </w:tr>
      <w:tr w:rsidR="00605110" w:rsidRPr="00293F5E" w14:paraId="1EA945E1" w14:textId="77777777" w:rsidTr="006146A0">
        <w:trPr>
          <w:trHeight w:val="300"/>
        </w:trPr>
        <w:tc>
          <w:tcPr>
            <w:tcW w:w="691" w:type="dxa"/>
            <w:noWrap/>
            <w:vAlign w:val="center"/>
            <w:hideMark/>
          </w:tcPr>
          <w:p w14:paraId="4B35600B" w14:textId="3F8B606E" w:rsidR="00605110" w:rsidRPr="00007760" w:rsidRDefault="00605110" w:rsidP="00605110">
            <w:pPr>
              <w:spacing w:after="0"/>
              <w:ind w:left="0"/>
              <w:jc w:val="center"/>
              <w:rPr>
                <w:rFonts w:cs="Calibri"/>
                <w:color w:val="000000"/>
                <w:szCs w:val="24"/>
              </w:rPr>
            </w:pPr>
            <w:r w:rsidRPr="00007760">
              <w:rPr>
                <w:rFonts w:cs="Calibri"/>
                <w:color w:val="000000"/>
                <w:szCs w:val="24"/>
              </w:rPr>
              <w:t>5</w:t>
            </w:r>
          </w:p>
        </w:tc>
        <w:tc>
          <w:tcPr>
            <w:tcW w:w="1627" w:type="dxa"/>
            <w:noWrap/>
            <w:vAlign w:val="center"/>
            <w:hideMark/>
          </w:tcPr>
          <w:p w14:paraId="59B25232" w14:textId="19CDD81D" w:rsidR="00605110" w:rsidRPr="00007760" w:rsidRDefault="00605110" w:rsidP="00605110">
            <w:pPr>
              <w:spacing w:after="0"/>
              <w:ind w:left="0"/>
              <w:rPr>
                <w:rFonts w:cs="Calibri"/>
                <w:color w:val="000000"/>
                <w:szCs w:val="24"/>
              </w:rPr>
            </w:pPr>
            <w:r w:rsidRPr="00007760">
              <w:rPr>
                <w:rFonts w:cs="Calibri"/>
                <w:color w:val="000000"/>
                <w:szCs w:val="24"/>
              </w:rPr>
              <w:t>Monthly</w:t>
            </w:r>
          </w:p>
        </w:tc>
        <w:tc>
          <w:tcPr>
            <w:tcW w:w="1800" w:type="dxa"/>
            <w:noWrap/>
            <w:vAlign w:val="center"/>
            <w:hideMark/>
          </w:tcPr>
          <w:p w14:paraId="29083DF4" w14:textId="57C7FB21" w:rsidR="00605110" w:rsidRPr="00007760" w:rsidRDefault="00605110" w:rsidP="00605110">
            <w:pPr>
              <w:spacing w:after="0"/>
              <w:ind w:left="0"/>
              <w:rPr>
                <w:rFonts w:cs="Calibri"/>
                <w:color w:val="000000"/>
                <w:szCs w:val="24"/>
              </w:rPr>
            </w:pPr>
            <w:r w:rsidRPr="00007760">
              <w:rPr>
                <w:rFonts w:cs="Calibri"/>
                <w:color w:val="000000"/>
                <w:szCs w:val="24"/>
              </w:rPr>
              <w:t>5159 (ar,ae,aw)</w:t>
            </w:r>
          </w:p>
        </w:tc>
        <w:tc>
          <w:tcPr>
            <w:tcW w:w="7071" w:type="dxa"/>
            <w:vAlign w:val="center"/>
            <w:hideMark/>
          </w:tcPr>
          <w:p w14:paraId="3C3D81CC" w14:textId="7A4CC823" w:rsidR="00605110" w:rsidRPr="00007760" w:rsidRDefault="001F4E9B" w:rsidP="00605110">
            <w:pPr>
              <w:spacing w:after="0"/>
              <w:ind w:left="0"/>
              <w:rPr>
                <w:rFonts w:cs="Calibri"/>
                <w:color w:val="000000"/>
                <w:szCs w:val="24"/>
              </w:rPr>
            </w:pPr>
            <w:r>
              <w:rPr>
                <w:rFonts w:cs="Calibri"/>
                <w:color w:val="000000"/>
                <w:szCs w:val="24"/>
              </w:rPr>
              <w:t>Claims and Payment Activities</w:t>
            </w:r>
          </w:p>
        </w:tc>
      </w:tr>
      <w:tr w:rsidR="00605110" w:rsidRPr="00293F5E" w14:paraId="3380940E" w14:textId="77777777" w:rsidTr="006146A0">
        <w:trPr>
          <w:trHeight w:val="300"/>
        </w:trPr>
        <w:tc>
          <w:tcPr>
            <w:tcW w:w="691" w:type="dxa"/>
            <w:noWrap/>
            <w:vAlign w:val="center"/>
          </w:tcPr>
          <w:p w14:paraId="00C0560B" w14:textId="60FF41A3" w:rsidR="00605110" w:rsidRPr="00007760" w:rsidRDefault="00605110" w:rsidP="00605110">
            <w:pPr>
              <w:spacing w:after="0"/>
              <w:ind w:left="0"/>
              <w:jc w:val="center"/>
              <w:rPr>
                <w:rFonts w:cs="Calibri"/>
                <w:color w:val="000000"/>
                <w:szCs w:val="24"/>
              </w:rPr>
            </w:pPr>
            <w:r w:rsidRPr="00007760">
              <w:rPr>
                <w:rFonts w:cs="Calibri"/>
                <w:color w:val="000000"/>
                <w:szCs w:val="24"/>
              </w:rPr>
              <w:t>6</w:t>
            </w:r>
          </w:p>
        </w:tc>
        <w:tc>
          <w:tcPr>
            <w:tcW w:w="1627" w:type="dxa"/>
            <w:noWrap/>
            <w:vAlign w:val="center"/>
          </w:tcPr>
          <w:p w14:paraId="6DB19D04" w14:textId="08E89A1E" w:rsidR="00605110" w:rsidRPr="00007760" w:rsidRDefault="00605110" w:rsidP="00605110">
            <w:pPr>
              <w:spacing w:after="0"/>
              <w:ind w:left="0"/>
              <w:rPr>
                <w:rFonts w:cs="Calibri"/>
                <w:color w:val="000000"/>
                <w:szCs w:val="24"/>
              </w:rPr>
            </w:pPr>
            <w:r w:rsidRPr="00007760">
              <w:rPr>
                <w:rFonts w:cs="Calibri"/>
                <w:color w:val="000000"/>
                <w:szCs w:val="24"/>
              </w:rPr>
              <w:t>Monthly</w:t>
            </w:r>
          </w:p>
        </w:tc>
        <w:tc>
          <w:tcPr>
            <w:tcW w:w="1800" w:type="dxa"/>
            <w:noWrap/>
            <w:vAlign w:val="center"/>
          </w:tcPr>
          <w:p w14:paraId="51E1850F" w14:textId="2DFA1474" w:rsidR="00605110" w:rsidRPr="00007760" w:rsidRDefault="00605110" w:rsidP="00605110">
            <w:pPr>
              <w:spacing w:after="0"/>
              <w:ind w:left="0"/>
              <w:rPr>
                <w:rFonts w:cs="Calibri"/>
                <w:color w:val="000000"/>
                <w:szCs w:val="24"/>
              </w:rPr>
            </w:pPr>
            <w:r w:rsidRPr="00007760">
              <w:rPr>
                <w:rFonts w:cs="Calibri"/>
                <w:color w:val="000000"/>
                <w:szCs w:val="24"/>
              </w:rPr>
              <w:t>8401 (ar)</w:t>
            </w:r>
          </w:p>
        </w:tc>
        <w:tc>
          <w:tcPr>
            <w:tcW w:w="7071" w:type="dxa"/>
            <w:vAlign w:val="center"/>
          </w:tcPr>
          <w:p w14:paraId="53BA7753" w14:textId="59C2185C" w:rsidR="00605110" w:rsidRPr="00007760" w:rsidRDefault="00605110" w:rsidP="00605110">
            <w:pPr>
              <w:spacing w:after="0"/>
              <w:ind w:left="0"/>
              <w:rPr>
                <w:rFonts w:cs="Calibri"/>
                <w:color w:val="000000"/>
                <w:szCs w:val="24"/>
              </w:rPr>
            </w:pPr>
            <w:r w:rsidRPr="00007760">
              <w:rPr>
                <w:rFonts w:cs="Calibri"/>
                <w:color w:val="000000"/>
                <w:szCs w:val="24"/>
              </w:rPr>
              <w:t>Monthly Analysis of Benefit Payment Account</w:t>
            </w:r>
          </w:p>
        </w:tc>
      </w:tr>
      <w:tr w:rsidR="00605110" w:rsidRPr="00293F5E" w14:paraId="354A9EEF" w14:textId="77777777" w:rsidTr="006146A0">
        <w:trPr>
          <w:trHeight w:val="300"/>
        </w:trPr>
        <w:tc>
          <w:tcPr>
            <w:tcW w:w="691" w:type="dxa"/>
            <w:noWrap/>
            <w:vAlign w:val="center"/>
          </w:tcPr>
          <w:p w14:paraId="7537A53D" w14:textId="3B85F6B6" w:rsidR="00605110" w:rsidRPr="00007760" w:rsidRDefault="00605110" w:rsidP="00605110">
            <w:pPr>
              <w:spacing w:after="0"/>
              <w:ind w:left="0"/>
              <w:jc w:val="center"/>
              <w:rPr>
                <w:rFonts w:cs="Calibri"/>
                <w:color w:val="000000"/>
                <w:szCs w:val="24"/>
              </w:rPr>
            </w:pPr>
            <w:r w:rsidRPr="00007760">
              <w:rPr>
                <w:rFonts w:cs="Calibri"/>
                <w:color w:val="000000"/>
                <w:szCs w:val="24"/>
              </w:rPr>
              <w:t>7</w:t>
            </w:r>
          </w:p>
        </w:tc>
        <w:tc>
          <w:tcPr>
            <w:tcW w:w="1627" w:type="dxa"/>
            <w:noWrap/>
            <w:vAlign w:val="center"/>
          </w:tcPr>
          <w:p w14:paraId="72CB09BF" w14:textId="5E6D329C" w:rsidR="00605110" w:rsidRPr="00007760" w:rsidRDefault="00605110" w:rsidP="00605110">
            <w:pPr>
              <w:spacing w:after="0"/>
              <w:ind w:left="0"/>
              <w:rPr>
                <w:rFonts w:cs="Calibri"/>
                <w:color w:val="000000"/>
                <w:szCs w:val="24"/>
              </w:rPr>
            </w:pPr>
            <w:r w:rsidRPr="00007760">
              <w:rPr>
                <w:rFonts w:cs="Calibri"/>
                <w:color w:val="000000"/>
                <w:szCs w:val="24"/>
              </w:rPr>
              <w:t>Monthly</w:t>
            </w:r>
          </w:p>
        </w:tc>
        <w:tc>
          <w:tcPr>
            <w:tcW w:w="1800" w:type="dxa"/>
            <w:noWrap/>
            <w:vAlign w:val="center"/>
          </w:tcPr>
          <w:p w14:paraId="7241D680" w14:textId="6DEF7C75" w:rsidR="00605110" w:rsidRPr="00007760" w:rsidRDefault="00605110" w:rsidP="00605110">
            <w:pPr>
              <w:spacing w:after="0"/>
              <w:ind w:left="0"/>
              <w:rPr>
                <w:rFonts w:cs="Calibri"/>
                <w:color w:val="000000"/>
                <w:szCs w:val="24"/>
              </w:rPr>
            </w:pPr>
            <w:r w:rsidRPr="00007760">
              <w:rPr>
                <w:rFonts w:cs="Calibri"/>
                <w:color w:val="000000"/>
                <w:szCs w:val="24"/>
              </w:rPr>
              <w:t>8403 (mailed)</w:t>
            </w:r>
          </w:p>
        </w:tc>
        <w:tc>
          <w:tcPr>
            <w:tcW w:w="7071" w:type="dxa"/>
            <w:vAlign w:val="center"/>
          </w:tcPr>
          <w:p w14:paraId="62CEDEEA" w14:textId="062D5B0A" w:rsidR="00605110" w:rsidRPr="00007760" w:rsidRDefault="00605110" w:rsidP="00605110">
            <w:pPr>
              <w:spacing w:after="0"/>
              <w:ind w:left="0"/>
              <w:rPr>
                <w:rFonts w:cs="Calibri"/>
                <w:color w:val="000000"/>
                <w:szCs w:val="24"/>
              </w:rPr>
            </w:pPr>
            <w:r w:rsidRPr="00007760">
              <w:rPr>
                <w:rFonts w:cs="Calibri"/>
                <w:color w:val="000000"/>
                <w:szCs w:val="24"/>
              </w:rPr>
              <w:t>Summary of Financial Transactions - Title IX Funds (Reed Act Money)</w:t>
            </w:r>
          </w:p>
        </w:tc>
      </w:tr>
      <w:tr w:rsidR="00605110" w:rsidRPr="00293F5E" w14:paraId="2C31827D" w14:textId="77777777" w:rsidTr="006146A0">
        <w:trPr>
          <w:trHeight w:val="300"/>
        </w:trPr>
        <w:tc>
          <w:tcPr>
            <w:tcW w:w="691" w:type="dxa"/>
            <w:noWrap/>
            <w:vAlign w:val="center"/>
          </w:tcPr>
          <w:p w14:paraId="0879121D" w14:textId="1D567E8F" w:rsidR="00605110" w:rsidRPr="00007760" w:rsidRDefault="00605110" w:rsidP="00605110">
            <w:pPr>
              <w:spacing w:after="0"/>
              <w:ind w:left="0"/>
              <w:jc w:val="center"/>
              <w:rPr>
                <w:rFonts w:cs="Calibri"/>
                <w:color w:val="000000"/>
                <w:szCs w:val="24"/>
              </w:rPr>
            </w:pPr>
            <w:r w:rsidRPr="00007760">
              <w:rPr>
                <w:rFonts w:cs="Calibri"/>
                <w:color w:val="000000"/>
                <w:szCs w:val="24"/>
              </w:rPr>
              <w:t>8</w:t>
            </w:r>
          </w:p>
        </w:tc>
        <w:tc>
          <w:tcPr>
            <w:tcW w:w="1627" w:type="dxa"/>
            <w:noWrap/>
            <w:vAlign w:val="center"/>
          </w:tcPr>
          <w:p w14:paraId="27B89C3B" w14:textId="1E3B6FFA" w:rsidR="00605110" w:rsidRPr="00007760" w:rsidRDefault="00605110" w:rsidP="00605110">
            <w:pPr>
              <w:spacing w:after="0"/>
              <w:ind w:left="0"/>
              <w:rPr>
                <w:rFonts w:cs="Calibri"/>
                <w:color w:val="000000"/>
                <w:szCs w:val="24"/>
              </w:rPr>
            </w:pPr>
            <w:r w:rsidRPr="00007760">
              <w:rPr>
                <w:rFonts w:cs="Calibri"/>
                <w:color w:val="000000"/>
                <w:szCs w:val="24"/>
              </w:rPr>
              <w:t>Monthly</w:t>
            </w:r>
          </w:p>
        </w:tc>
        <w:tc>
          <w:tcPr>
            <w:tcW w:w="1800" w:type="dxa"/>
            <w:noWrap/>
            <w:vAlign w:val="center"/>
          </w:tcPr>
          <w:p w14:paraId="704E5806" w14:textId="178677F0" w:rsidR="00605110" w:rsidRPr="00007760" w:rsidRDefault="00605110" w:rsidP="00605110">
            <w:pPr>
              <w:spacing w:after="0"/>
              <w:ind w:left="0"/>
              <w:rPr>
                <w:rFonts w:cs="Calibri"/>
                <w:color w:val="000000"/>
                <w:szCs w:val="24"/>
              </w:rPr>
            </w:pPr>
            <w:r w:rsidRPr="00007760">
              <w:rPr>
                <w:rFonts w:cs="Calibri"/>
                <w:color w:val="000000"/>
                <w:szCs w:val="24"/>
              </w:rPr>
              <w:t>8405 (ar)</w:t>
            </w:r>
          </w:p>
        </w:tc>
        <w:tc>
          <w:tcPr>
            <w:tcW w:w="7071" w:type="dxa"/>
            <w:vAlign w:val="center"/>
          </w:tcPr>
          <w:p w14:paraId="0893E128" w14:textId="150A4B67" w:rsidR="00605110" w:rsidRPr="00007760" w:rsidRDefault="00605110" w:rsidP="00605110">
            <w:pPr>
              <w:spacing w:after="0"/>
              <w:ind w:left="0"/>
              <w:rPr>
                <w:rFonts w:cs="Calibri"/>
                <w:color w:val="000000"/>
                <w:szCs w:val="24"/>
              </w:rPr>
            </w:pPr>
            <w:r w:rsidRPr="00007760">
              <w:rPr>
                <w:rFonts w:cs="Calibri"/>
                <w:color w:val="000000"/>
                <w:szCs w:val="24"/>
              </w:rPr>
              <w:t xml:space="preserve">Monthly Analysis of Clearing Account </w:t>
            </w:r>
          </w:p>
        </w:tc>
      </w:tr>
      <w:tr w:rsidR="00605110" w:rsidRPr="00293F5E" w14:paraId="7ABBB069" w14:textId="77777777" w:rsidTr="006146A0">
        <w:trPr>
          <w:trHeight w:val="300"/>
        </w:trPr>
        <w:tc>
          <w:tcPr>
            <w:tcW w:w="691" w:type="dxa"/>
            <w:noWrap/>
            <w:vAlign w:val="center"/>
          </w:tcPr>
          <w:p w14:paraId="66B82D8F" w14:textId="1A41F0A5" w:rsidR="00605110" w:rsidRPr="00007760" w:rsidRDefault="00605110" w:rsidP="00605110">
            <w:pPr>
              <w:spacing w:after="0"/>
              <w:ind w:left="0"/>
              <w:jc w:val="center"/>
              <w:rPr>
                <w:rFonts w:cs="Calibri"/>
                <w:color w:val="000000"/>
                <w:szCs w:val="24"/>
              </w:rPr>
            </w:pPr>
            <w:r w:rsidRPr="00007760">
              <w:rPr>
                <w:rFonts w:cs="Calibri"/>
                <w:color w:val="000000"/>
                <w:szCs w:val="24"/>
              </w:rPr>
              <w:t>9</w:t>
            </w:r>
          </w:p>
        </w:tc>
        <w:tc>
          <w:tcPr>
            <w:tcW w:w="1627" w:type="dxa"/>
            <w:noWrap/>
            <w:vAlign w:val="center"/>
          </w:tcPr>
          <w:p w14:paraId="42B8B2D9" w14:textId="69439379" w:rsidR="00605110" w:rsidRPr="00007760" w:rsidRDefault="00605110" w:rsidP="00605110">
            <w:pPr>
              <w:spacing w:after="0"/>
              <w:ind w:left="0"/>
              <w:rPr>
                <w:rFonts w:cs="Calibri"/>
                <w:color w:val="000000"/>
                <w:szCs w:val="24"/>
              </w:rPr>
            </w:pPr>
            <w:r w:rsidRPr="00007760">
              <w:rPr>
                <w:rFonts w:cs="Calibri"/>
                <w:color w:val="000000"/>
                <w:szCs w:val="24"/>
              </w:rPr>
              <w:t>Monthly</w:t>
            </w:r>
          </w:p>
        </w:tc>
        <w:tc>
          <w:tcPr>
            <w:tcW w:w="1800" w:type="dxa"/>
            <w:noWrap/>
            <w:vAlign w:val="center"/>
          </w:tcPr>
          <w:p w14:paraId="42B1F7E3" w14:textId="1CB3E72A" w:rsidR="00605110" w:rsidRPr="00007760" w:rsidRDefault="00605110" w:rsidP="00605110">
            <w:pPr>
              <w:spacing w:after="0"/>
              <w:ind w:left="0"/>
              <w:rPr>
                <w:rFonts w:cs="Calibri"/>
                <w:color w:val="000000"/>
                <w:szCs w:val="24"/>
              </w:rPr>
            </w:pPr>
            <w:r w:rsidRPr="00007760">
              <w:rPr>
                <w:rFonts w:cs="Calibri"/>
                <w:color w:val="000000"/>
                <w:szCs w:val="24"/>
              </w:rPr>
              <w:t>8413 (ar)</w:t>
            </w:r>
          </w:p>
        </w:tc>
        <w:tc>
          <w:tcPr>
            <w:tcW w:w="7071" w:type="dxa"/>
            <w:vAlign w:val="center"/>
          </w:tcPr>
          <w:p w14:paraId="407F9D20" w14:textId="18173863" w:rsidR="00605110" w:rsidRPr="00007760" w:rsidRDefault="00605110" w:rsidP="00605110">
            <w:pPr>
              <w:spacing w:after="0"/>
              <w:ind w:left="0"/>
              <w:rPr>
                <w:rFonts w:cs="Calibri"/>
                <w:color w:val="000000"/>
                <w:szCs w:val="24"/>
              </w:rPr>
            </w:pPr>
            <w:r w:rsidRPr="00007760">
              <w:rPr>
                <w:rFonts w:cs="Calibri"/>
                <w:color w:val="000000"/>
                <w:szCs w:val="24"/>
              </w:rPr>
              <w:t xml:space="preserve">Income - Expense Analysis, </w:t>
            </w:r>
            <w:r w:rsidR="00054DBA">
              <w:rPr>
                <w:rFonts w:cs="Calibri"/>
                <w:color w:val="000000"/>
                <w:szCs w:val="24"/>
              </w:rPr>
              <w:t>Unemployment Compensation (</w:t>
            </w:r>
            <w:r w:rsidRPr="00007760">
              <w:rPr>
                <w:rFonts w:cs="Calibri"/>
                <w:color w:val="000000"/>
                <w:szCs w:val="24"/>
              </w:rPr>
              <w:t>UC</w:t>
            </w:r>
            <w:r w:rsidR="00054DBA">
              <w:rPr>
                <w:rFonts w:cs="Calibri"/>
                <w:color w:val="000000"/>
                <w:szCs w:val="24"/>
              </w:rPr>
              <w:t>)</w:t>
            </w:r>
            <w:r w:rsidRPr="00007760">
              <w:rPr>
                <w:rFonts w:cs="Calibri"/>
                <w:color w:val="000000"/>
                <w:szCs w:val="24"/>
              </w:rPr>
              <w:t xml:space="preserve"> Fund Benefit Payment</w:t>
            </w:r>
          </w:p>
        </w:tc>
      </w:tr>
      <w:tr w:rsidR="00605110" w:rsidRPr="00293F5E" w14:paraId="589F1C93" w14:textId="77777777" w:rsidTr="006146A0">
        <w:trPr>
          <w:trHeight w:val="300"/>
        </w:trPr>
        <w:tc>
          <w:tcPr>
            <w:tcW w:w="691" w:type="dxa"/>
            <w:noWrap/>
            <w:vAlign w:val="center"/>
          </w:tcPr>
          <w:p w14:paraId="403C574C" w14:textId="6EB9A25C" w:rsidR="00605110" w:rsidRPr="00007760" w:rsidRDefault="00605110" w:rsidP="00605110">
            <w:pPr>
              <w:spacing w:after="0"/>
              <w:ind w:left="0"/>
              <w:jc w:val="center"/>
              <w:rPr>
                <w:rFonts w:cs="Calibri"/>
                <w:color w:val="000000"/>
                <w:szCs w:val="24"/>
              </w:rPr>
            </w:pPr>
            <w:r w:rsidRPr="00007760">
              <w:rPr>
                <w:rFonts w:cs="Calibri"/>
                <w:color w:val="000000"/>
                <w:szCs w:val="24"/>
              </w:rPr>
              <w:t>10</w:t>
            </w:r>
          </w:p>
        </w:tc>
        <w:tc>
          <w:tcPr>
            <w:tcW w:w="1627" w:type="dxa"/>
            <w:noWrap/>
            <w:vAlign w:val="center"/>
          </w:tcPr>
          <w:p w14:paraId="65EDD7EC" w14:textId="607D7800" w:rsidR="00605110" w:rsidRPr="00007760" w:rsidRDefault="00605110" w:rsidP="00605110">
            <w:pPr>
              <w:spacing w:after="0"/>
              <w:ind w:left="0"/>
              <w:rPr>
                <w:rFonts w:cs="Calibri"/>
                <w:color w:val="000000"/>
                <w:szCs w:val="24"/>
              </w:rPr>
            </w:pPr>
            <w:r w:rsidRPr="00007760">
              <w:rPr>
                <w:rFonts w:cs="Calibri"/>
                <w:color w:val="000000"/>
                <w:szCs w:val="24"/>
              </w:rPr>
              <w:t>Monthly</w:t>
            </w:r>
          </w:p>
        </w:tc>
        <w:tc>
          <w:tcPr>
            <w:tcW w:w="1800" w:type="dxa"/>
            <w:noWrap/>
            <w:vAlign w:val="center"/>
          </w:tcPr>
          <w:p w14:paraId="7081665A" w14:textId="3CB7F9D8" w:rsidR="00605110" w:rsidRPr="00007760" w:rsidRDefault="00605110" w:rsidP="00605110">
            <w:pPr>
              <w:spacing w:after="0"/>
              <w:ind w:left="0"/>
              <w:rPr>
                <w:rFonts w:cs="Calibri"/>
                <w:color w:val="000000"/>
                <w:szCs w:val="24"/>
              </w:rPr>
            </w:pPr>
            <w:r w:rsidRPr="00007760">
              <w:rPr>
                <w:rFonts w:cs="Calibri"/>
                <w:color w:val="000000"/>
                <w:szCs w:val="24"/>
              </w:rPr>
              <w:t>8414 (ar)</w:t>
            </w:r>
          </w:p>
        </w:tc>
        <w:tc>
          <w:tcPr>
            <w:tcW w:w="7071" w:type="dxa"/>
            <w:vAlign w:val="center"/>
          </w:tcPr>
          <w:p w14:paraId="2F4080EF" w14:textId="36B06B4D" w:rsidR="00605110" w:rsidRPr="00007760" w:rsidRDefault="00605110" w:rsidP="00605110">
            <w:pPr>
              <w:spacing w:after="0"/>
              <w:ind w:left="0"/>
              <w:rPr>
                <w:rFonts w:cs="Calibri"/>
                <w:color w:val="000000"/>
                <w:szCs w:val="24"/>
              </w:rPr>
            </w:pPr>
            <w:r w:rsidRPr="00007760">
              <w:rPr>
                <w:rFonts w:cs="Calibri"/>
                <w:color w:val="000000"/>
                <w:szCs w:val="24"/>
              </w:rPr>
              <w:t>Income - Expense Analysis, UC Fund Clearing Account</w:t>
            </w:r>
          </w:p>
        </w:tc>
      </w:tr>
      <w:tr w:rsidR="00605110" w:rsidRPr="00293F5E" w14:paraId="6DEFE1FC" w14:textId="77777777" w:rsidTr="006146A0">
        <w:trPr>
          <w:trHeight w:val="300"/>
        </w:trPr>
        <w:tc>
          <w:tcPr>
            <w:tcW w:w="691" w:type="dxa"/>
            <w:noWrap/>
            <w:vAlign w:val="center"/>
          </w:tcPr>
          <w:p w14:paraId="4191A7DA" w14:textId="62969B01" w:rsidR="00605110" w:rsidRPr="00007760" w:rsidRDefault="00605110" w:rsidP="00605110">
            <w:pPr>
              <w:spacing w:after="0"/>
              <w:ind w:left="0"/>
              <w:jc w:val="center"/>
              <w:rPr>
                <w:rFonts w:cs="Calibri"/>
                <w:color w:val="000000"/>
                <w:szCs w:val="24"/>
              </w:rPr>
            </w:pPr>
            <w:r w:rsidRPr="00007760">
              <w:rPr>
                <w:rFonts w:cs="Calibri"/>
                <w:color w:val="000000"/>
                <w:szCs w:val="24"/>
              </w:rPr>
              <w:t>11</w:t>
            </w:r>
          </w:p>
        </w:tc>
        <w:tc>
          <w:tcPr>
            <w:tcW w:w="1627" w:type="dxa"/>
            <w:noWrap/>
            <w:vAlign w:val="center"/>
          </w:tcPr>
          <w:p w14:paraId="0BE13B34" w14:textId="4871792F" w:rsidR="00605110" w:rsidRPr="00007760" w:rsidRDefault="00605110" w:rsidP="00605110">
            <w:pPr>
              <w:spacing w:after="0"/>
              <w:ind w:left="0"/>
              <w:rPr>
                <w:rFonts w:cs="Calibri"/>
                <w:color w:val="000000"/>
                <w:szCs w:val="24"/>
              </w:rPr>
            </w:pPr>
            <w:r w:rsidRPr="00007760">
              <w:rPr>
                <w:rFonts w:cs="Calibri"/>
                <w:color w:val="000000"/>
                <w:szCs w:val="24"/>
              </w:rPr>
              <w:t>Monthly</w:t>
            </w:r>
          </w:p>
        </w:tc>
        <w:tc>
          <w:tcPr>
            <w:tcW w:w="1800" w:type="dxa"/>
            <w:noWrap/>
            <w:vAlign w:val="center"/>
          </w:tcPr>
          <w:p w14:paraId="5AA8E7AC" w14:textId="78F8A729" w:rsidR="00605110" w:rsidRPr="00007760" w:rsidRDefault="00605110" w:rsidP="00605110">
            <w:pPr>
              <w:spacing w:after="0"/>
              <w:ind w:left="0"/>
              <w:rPr>
                <w:rFonts w:cs="Calibri"/>
                <w:color w:val="000000"/>
                <w:szCs w:val="24"/>
              </w:rPr>
            </w:pPr>
            <w:r w:rsidRPr="00007760">
              <w:rPr>
                <w:rFonts w:cs="Calibri"/>
                <w:color w:val="000000"/>
                <w:szCs w:val="24"/>
              </w:rPr>
              <w:t>902 (ar)</w:t>
            </w:r>
          </w:p>
        </w:tc>
        <w:tc>
          <w:tcPr>
            <w:tcW w:w="7071" w:type="dxa"/>
            <w:vAlign w:val="center"/>
          </w:tcPr>
          <w:p w14:paraId="1CCC8AA7" w14:textId="29113F4B" w:rsidR="00605110" w:rsidRPr="00007760" w:rsidRDefault="00605110" w:rsidP="00605110">
            <w:pPr>
              <w:spacing w:after="0"/>
              <w:ind w:left="0"/>
              <w:rPr>
                <w:rFonts w:cs="Calibri"/>
                <w:color w:val="000000"/>
                <w:szCs w:val="24"/>
              </w:rPr>
            </w:pPr>
            <w:r w:rsidRPr="00007760">
              <w:rPr>
                <w:rFonts w:cs="Calibri"/>
                <w:color w:val="000000"/>
                <w:szCs w:val="24"/>
              </w:rPr>
              <w:t>Disaster Payment Activities</w:t>
            </w:r>
          </w:p>
        </w:tc>
      </w:tr>
      <w:tr w:rsidR="00605110" w:rsidRPr="00293F5E" w14:paraId="4349B3A3" w14:textId="77777777" w:rsidTr="006146A0">
        <w:trPr>
          <w:trHeight w:val="300"/>
        </w:trPr>
        <w:tc>
          <w:tcPr>
            <w:tcW w:w="691" w:type="dxa"/>
            <w:noWrap/>
            <w:vAlign w:val="center"/>
          </w:tcPr>
          <w:p w14:paraId="745136D3" w14:textId="46C571AB" w:rsidR="00605110" w:rsidRPr="00007760" w:rsidRDefault="00605110" w:rsidP="00605110">
            <w:pPr>
              <w:spacing w:after="0"/>
              <w:ind w:left="0"/>
              <w:jc w:val="center"/>
              <w:rPr>
                <w:rFonts w:cs="Calibri"/>
                <w:color w:val="000000"/>
                <w:szCs w:val="24"/>
              </w:rPr>
            </w:pPr>
            <w:r w:rsidRPr="00007760">
              <w:rPr>
                <w:rFonts w:cs="Calibri"/>
                <w:color w:val="000000"/>
                <w:szCs w:val="24"/>
              </w:rPr>
              <w:t>12</w:t>
            </w:r>
          </w:p>
        </w:tc>
        <w:tc>
          <w:tcPr>
            <w:tcW w:w="1627" w:type="dxa"/>
            <w:noWrap/>
            <w:vAlign w:val="center"/>
          </w:tcPr>
          <w:p w14:paraId="6AB130F0" w14:textId="4442CA1A" w:rsidR="00605110" w:rsidRPr="00007760" w:rsidRDefault="00605110" w:rsidP="00605110">
            <w:pPr>
              <w:spacing w:after="0"/>
              <w:ind w:left="0"/>
              <w:rPr>
                <w:rFonts w:cs="Calibri"/>
                <w:color w:val="000000"/>
                <w:szCs w:val="24"/>
              </w:rPr>
            </w:pPr>
            <w:r w:rsidRPr="00007760">
              <w:rPr>
                <w:rFonts w:cs="Calibri"/>
                <w:color w:val="000000"/>
                <w:szCs w:val="24"/>
              </w:rPr>
              <w:t>Monthly</w:t>
            </w:r>
          </w:p>
        </w:tc>
        <w:tc>
          <w:tcPr>
            <w:tcW w:w="1800" w:type="dxa"/>
            <w:noWrap/>
            <w:vAlign w:val="center"/>
          </w:tcPr>
          <w:p w14:paraId="2AAF63CB" w14:textId="7631CBF9" w:rsidR="00605110" w:rsidRPr="00007760" w:rsidRDefault="00605110" w:rsidP="00605110">
            <w:pPr>
              <w:spacing w:after="0"/>
              <w:ind w:left="0"/>
              <w:rPr>
                <w:rFonts w:cs="Calibri"/>
                <w:color w:val="000000"/>
                <w:szCs w:val="24"/>
              </w:rPr>
            </w:pPr>
            <w:r w:rsidRPr="00007760">
              <w:rPr>
                <w:rFonts w:cs="Calibri"/>
                <w:color w:val="000000"/>
                <w:szCs w:val="24"/>
              </w:rPr>
              <w:t>9050 (ar, aw)</w:t>
            </w:r>
          </w:p>
        </w:tc>
        <w:tc>
          <w:tcPr>
            <w:tcW w:w="7071" w:type="dxa"/>
            <w:vAlign w:val="center"/>
          </w:tcPr>
          <w:p w14:paraId="25943F36" w14:textId="15B5DD51" w:rsidR="00605110" w:rsidRPr="00007760" w:rsidRDefault="00605110" w:rsidP="00605110">
            <w:pPr>
              <w:spacing w:after="0"/>
              <w:ind w:left="0"/>
              <w:rPr>
                <w:rFonts w:cs="Calibri"/>
                <w:color w:val="000000"/>
                <w:szCs w:val="24"/>
              </w:rPr>
            </w:pPr>
            <w:r w:rsidRPr="00007760">
              <w:rPr>
                <w:rFonts w:cs="Calibri"/>
                <w:color w:val="000000"/>
                <w:szCs w:val="24"/>
              </w:rPr>
              <w:t xml:space="preserve">Time Lapse of All First Payments </w:t>
            </w:r>
          </w:p>
        </w:tc>
      </w:tr>
      <w:tr w:rsidR="00605110" w:rsidRPr="00293F5E" w14:paraId="631C10C3" w14:textId="77777777" w:rsidTr="006146A0">
        <w:trPr>
          <w:trHeight w:val="300"/>
        </w:trPr>
        <w:tc>
          <w:tcPr>
            <w:tcW w:w="691" w:type="dxa"/>
            <w:noWrap/>
            <w:vAlign w:val="center"/>
          </w:tcPr>
          <w:p w14:paraId="66C9F272" w14:textId="1FA69413" w:rsidR="00605110" w:rsidRPr="00007760" w:rsidRDefault="00605110" w:rsidP="00605110">
            <w:pPr>
              <w:spacing w:after="0"/>
              <w:ind w:left="0"/>
              <w:jc w:val="center"/>
              <w:rPr>
                <w:rFonts w:cs="Calibri"/>
                <w:color w:val="000000"/>
                <w:szCs w:val="24"/>
              </w:rPr>
            </w:pPr>
            <w:r w:rsidRPr="00007760">
              <w:rPr>
                <w:rFonts w:cs="Calibri"/>
                <w:color w:val="000000"/>
                <w:szCs w:val="24"/>
              </w:rPr>
              <w:t>13</w:t>
            </w:r>
          </w:p>
        </w:tc>
        <w:tc>
          <w:tcPr>
            <w:tcW w:w="1627" w:type="dxa"/>
            <w:noWrap/>
            <w:vAlign w:val="center"/>
          </w:tcPr>
          <w:p w14:paraId="6C66E4B7" w14:textId="515032F7" w:rsidR="00605110" w:rsidRPr="00007760" w:rsidRDefault="00605110" w:rsidP="00605110">
            <w:pPr>
              <w:spacing w:after="0"/>
              <w:ind w:left="0"/>
              <w:rPr>
                <w:rFonts w:cs="Calibri"/>
                <w:color w:val="000000"/>
                <w:szCs w:val="24"/>
              </w:rPr>
            </w:pPr>
            <w:r w:rsidRPr="00007760">
              <w:rPr>
                <w:rFonts w:cs="Calibri"/>
                <w:color w:val="000000"/>
                <w:szCs w:val="24"/>
              </w:rPr>
              <w:t>Monthly</w:t>
            </w:r>
          </w:p>
        </w:tc>
        <w:tc>
          <w:tcPr>
            <w:tcW w:w="1800" w:type="dxa"/>
            <w:noWrap/>
            <w:vAlign w:val="center"/>
          </w:tcPr>
          <w:p w14:paraId="42613080" w14:textId="6F6B07DD" w:rsidR="00605110" w:rsidRPr="00007760" w:rsidRDefault="00605110" w:rsidP="00605110">
            <w:pPr>
              <w:spacing w:after="0"/>
              <w:ind w:left="0"/>
              <w:rPr>
                <w:rFonts w:cs="Calibri"/>
                <w:color w:val="000000"/>
                <w:szCs w:val="24"/>
              </w:rPr>
            </w:pPr>
            <w:r w:rsidRPr="00007760">
              <w:rPr>
                <w:rFonts w:cs="Calibri"/>
                <w:color w:val="000000"/>
                <w:szCs w:val="24"/>
              </w:rPr>
              <w:t xml:space="preserve">9051 (ar, aw) </w:t>
            </w:r>
          </w:p>
        </w:tc>
        <w:tc>
          <w:tcPr>
            <w:tcW w:w="7071" w:type="dxa"/>
            <w:vAlign w:val="center"/>
          </w:tcPr>
          <w:p w14:paraId="258E6742" w14:textId="7CF82152" w:rsidR="00605110" w:rsidRPr="00007760" w:rsidRDefault="00605110" w:rsidP="00605110">
            <w:pPr>
              <w:spacing w:after="0"/>
              <w:ind w:left="0"/>
              <w:rPr>
                <w:rFonts w:cs="Calibri"/>
                <w:color w:val="000000"/>
                <w:szCs w:val="24"/>
              </w:rPr>
            </w:pPr>
            <w:r w:rsidRPr="00007760">
              <w:rPr>
                <w:rFonts w:cs="Calibri"/>
                <w:color w:val="000000"/>
                <w:szCs w:val="24"/>
              </w:rPr>
              <w:t xml:space="preserve">Time Lapse Counts for All Continued </w:t>
            </w:r>
          </w:p>
        </w:tc>
      </w:tr>
      <w:tr w:rsidR="00605110" w:rsidRPr="00293F5E" w14:paraId="6111D1B1" w14:textId="77777777" w:rsidTr="006146A0">
        <w:trPr>
          <w:trHeight w:val="300"/>
        </w:trPr>
        <w:tc>
          <w:tcPr>
            <w:tcW w:w="691" w:type="dxa"/>
            <w:noWrap/>
            <w:vAlign w:val="center"/>
          </w:tcPr>
          <w:p w14:paraId="77517968" w14:textId="548B6668" w:rsidR="00605110" w:rsidRPr="00007760" w:rsidRDefault="00605110" w:rsidP="00605110">
            <w:pPr>
              <w:spacing w:after="0"/>
              <w:ind w:left="0"/>
              <w:jc w:val="center"/>
              <w:rPr>
                <w:rFonts w:cs="Calibri"/>
                <w:color w:val="000000"/>
                <w:szCs w:val="24"/>
              </w:rPr>
            </w:pPr>
            <w:r w:rsidRPr="00007760">
              <w:rPr>
                <w:rFonts w:cs="Calibri"/>
                <w:color w:val="000000"/>
                <w:szCs w:val="24"/>
              </w:rPr>
              <w:t>14</w:t>
            </w:r>
          </w:p>
        </w:tc>
        <w:tc>
          <w:tcPr>
            <w:tcW w:w="1627" w:type="dxa"/>
            <w:noWrap/>
            <w:vAlign w:val="center"/>
          </w:tcPr>
          <w:p w14:paraId="0BAB84C5" w14:textId="0CC020AD" w:rsidR="00605110" w:rsidRPr="00007760" w:rsidRDefault="00605110" w:rsidP="00605110">
            <w:pPr>
              <w:spacing w:after="0"/>
              <w:ind w:left="0"/>
              <w:rPr>
                <w:rFonts w:cs="Calibri"/>
                <w:color w:val="000000"/>
                <w:szCs w:val="24"/>
              </w:rPr>
            </w:pPr>
            <w:r w:rsidRPr="00007760">
              <w:rPr>
                <w:rFonts w:cs="Calibri"/>
                <w:color w:val="000000"/>
                <w:szCs w:val="24"/>
              </w:rPr>
              <w:t>Monthly</w:t>
            </w:r>
          </w:p>
        </w:tc>
        <w:tc>
          <w:tcPr>
            <w:tcW w:w="1800" w:type="dxa"/>
            <w:noWrap/>
            <w:vAlign w:val="center"/>
          </w:tcPr>
          <w:p w14:paraId="4E1121F4" w14:textId="7819A597" w:rsidR="00605110" w:rsidRPr="00007760" w:rsidRDefault="00605110" w:rsidP="00605110">
            <w:pPr>
              <w:spacing w:after="0"/>
              <w:ind w:left="0"/>
              <w:rPr>
                <w:rFonts w:cs="Calibri"/>
                <w:color w:val="000000"/>
                <w:szCs w:val="24"/>
              </w:rPr>
            </w:pPr>
            <w:r w:rsidRPr="00007760">
              <w:rPr>
                <w:rFonts w:cs="Calibri"/>
                <w:color w:val="000000"/>
                <w:szCs w:val="24"/>
              </w:rPr>
              <w:t>9052 (ar)</w:t>
            </w:r>
          </w:p>
        </w:tc>
        <w:tc>
          <w:tcPr>
            <w:tcW w:w="7071" w:type="dxa"/>
            <w:vAlign w:val="center"/>
          </w:tcPr>
          <w:p w14:paraId="025063D0" w14:textId="56235022" w:rsidR="00605110" w:rsidRPr="00007760" w:rsidRDefault="00605110" w:rsidP="00605110">
            <w:pPr>
              <w:spacing w:after="0"/>
              <w:ind w:left="0"/>
              <w:rPr>
                <w:rFonts w:cs="Calibri"/>
                <w:color w:val="000000"/>
                <w:szCs w:val="24"/>
              </w:rPr>
            </w:pPr>
            <w:r w:rsidRPr="00007760">
              <w:rPr>
                <w:rFonts w:cs="Calibri"/>
                <w:color w:val="000000"/>
                <w:szCs w:val="24"/>
              </w:rPr>
              <w:t>Nonmonetary Determination Time Lapse Detection Date to</w:t>
            </w:r>
          </w:p>
        </w:tc>
      </w:tr>
      <w:tr w:rsidR="00605110" w:rsidRPr="00293F5E" w14:paraId="47EBED0C" w14:textId="77777777" w:rsidTr="006146A0">
        <w:trPr>
          <w:trHeight w:val="300"/>
        </w:trPr>
        <w:tc>
          <w:tcPr>
            <w:tcW w:w="691" w:type="dxa"/>
            <w:noWrap/>
            <w:vAlign w:val="center"/>
          </w:tcPr>
          <w:p w14:paraId="5F45F537" w14:textId="02E484E4" w:rsidR="00605110" w:rsidRPr="00007760" w:rsidRDefault="00605110" w:rsidP="00605110">
            <w:pPr>
              <w:spacing w:after="0"/>
              <w:ind w:left="0"/>
              <w:jc w:val="center"/>
              <w:rPr>
                <w:rFonts w:cs="Calibri"/>
                <w:color w:val="000000"/>
                <w:szCs w:val="24"/>
              </w:rPr>
            </w:pPr>
            <w:r w:rsidRPr="00007760">
              <w:rPr>
                <w:rFonts w:cs="Calibri"/>
                <w:color w:val="000000"/>
                <w:szCs w:val="24"/>
              </w:rPr>
              <w:t>15</w:t>
            </w:r>
          </w:p>
        </w:tc>
        <w:tc>
          <w:tcPr>
            <w:tcW w:w="1627" w:type="dxa"/>
            <w:noWrap/>
            <w:vAlign w:val="center"/>
          </w:tcPr>
          <w:p w14:paraId="19DD3273" w14:textId="41B23263" w:rsidR="00605110" w:rsidRPr="00007760" w:rsidRDefault="00605110" w:rsidP="00605110">
            <w:pPr>
              <w:spacing w:after="0"/>
              <w:ind w:left="0"/>
              <w:rPr>
                <w:rFonts w:cs="Calibri"/>
                <w:color w:val="000000"/>
                <w:szCs w:val="24"/>
              </w:rPr>
            </w:pPr>
            <w:r w:rsidRPr="00007760">
              <w:rPr>
                <w:rFonts w:cs="Calibri"/>
                <w:color w:val="000000"/>
                <w:szCs w:val="24"/>
              </w:rPr>
              <w:t>Quarterly</w:t>
            </w:r>
          </w:p>
        </w:tc>
        <w:tc>
          <w:tcPr>
            <w:tcW w:w="1800" w:type="dxa"/>
            <w:noWrap/>
            <w:vAlign w:val="bottom"/>
          </w:tcPr>
          <w:p w14:paraId="55E515BB" w14:textId="0AF278E3" w:rsidR="00605110" w:rsidRPr="00007760" w:rsidRDefault="00605110" w:rsidP="00605110">
            <w:pPr>
              <w:spacing w:after="0"/>
              <w:ind w:left="0"/>
              <w:rPr>
                <w:rFonts w:cs="Calibri"/>
                <w:color w:val="000000"/>
                <w:szCs w:val="24"/>
              </w:rPr>
            </w:pPr>
            <w:r w:rsidRPr="00007760">
              <w:rPr>
                <w:rFonts w:cs="Calibri"/>
                <w:color w:val="000000"/>
                <w:szCs w:val="24"/>
              </w:rPr>
              <w:t>191 (ar)</w:t>
            </w:r>
          </w:p>
        </w:tc>
        <w:tc>
          <w:tcPr>
            <w:tcW w:w="7071" w:type="dxa"/>
            <w:vAlign w:val="bottom"/>
          </w:tcPr>
          <w:p w14:paraId="507F8A5D" w14:textId="23C6003F" w:rsidR="00605110" w:rsidRPr="00007760" w:rsidRDefault="00605110" w:rsidP="00605110">
            <w:pPr>
              <w:spacing w:after="0"/>
              <w:ind w:left="0"/>
              <w:rPr>
                <w:rFonts w:cs="Calibri"/>
                <w:color w:val="000000"/>
                <w:szCs w:val="24"/>
              </w:rPr>
            </w:pPr>
            <w:r w:rsidRPr="00007760">
              <w:rPr>
                <w:rFonts w:cs="Calibri"/>
                <w:color w:val="000000"/>
                <w:szCs w:val="24"/>
              </w:rPr>
              <w:t>Statement of Expenditures and Adjustments for UCFE-UCX</w:t>
            </w:r>
          </w:p>
        </w:tc>
      </w:tr>
      <w:tr w:rsidR="00605110" w:rsidRPr="00293F5E" w14:paraId="14CBDC62" w14:textId="77777777" w:rsidTr="006146A0">
        <w:trPr>
          <w:trHeight w:val="300"/>
        </w:trPr>
        <w:tc>
          <w:tcPr>
            <w:tcW w:w="691" w:type="dxa"/>
            <w:noWrap/>
            <w:vAlign w:val="center"/>
          </w:tcPr>
          <w:p w14:paraId="2E6D3FEB" w14:textId="13CAE1E4" w:rsidR="00605110" w:rsidRPr="00007760" w:rsidRDefault="00605110" w:rsidP="00605110">
            <w:pPr>
              <w:spacing w:after="0"/>
              <w:ind w:left="0"/>
              <w:jc w:val="center"/>
              <w:rPr>
                <w:rFonts w:cs="Calibri"/>
                <w:color w:val="000000"/>
                <w:szCs w:val="24"/>
              </w:rPr>
            </w:pPr>
            <w:r w:rsidRPr="00007760">
              <w:rPr>
                <w:rFonts w:cs="Calibri"/>
                <w:color w:val="000000"/>
                <w:szCs w:val="24"/>
              </w:rPr>
              <w:t>16</w:t>
            </w:r>
          </w:p>
        </w:tc>
        <w:tc>
          <w:tcPr>
            <w:tcW w:w="1627" w:type="dxa"/>
            <w:noWrap/>
            <w:vAlign w:val="center"/>
          </w:tcPr>
          <w:p w14:paraId="3039ECB8" w14:textId="6C43D9E0" w:rsidR="00605110" w:rsidRPr="00007760" w:rsidRDefault="00605110" w:rsidP="00605110">
            <w:pPr>
              <w:spacing w:after="0"/>
              <w:ind w:left="0"/>
              <w:rPr>
                <w:rFonts w:cs="Calibri"/>
                <w:color w:val="000000"/>
                <w:szCs w:val="24"/>
              </w:rPr>
            </w:pPr>
            <w:r w:rsidRPr="00007760">
              <w:rPr>
                <w:rFonts w:cs="Calibri"/>
                <w:color w:val="000000"/>
                <w:szCs w:val="24"/>
              </w:rPr>
              <w:t>Quarterly</w:t>
            </w:r>
          </w:p>
        </w:tc>
        <w:tc>
          <w:tcPr>
            <w:tcW w:w="1800" w:type="dxa"/>
            <w:noWrap/>
            <w:vAlign w:val="center"/>
          </w:tcPr>
          <w:p w14:paraId="393B1A39" w14:textId="131446A7" w:rsidR="00605110" w:rsidRPr="00007760" w:rsidRDefault="00605110" w:rsidP="00605110">
            <w:pPr>
              <w:spacing w:after="0"/>
              <w:ind w:left="0"/>
              <w:rPr>
                <w:rFonts w:cs="Calibri"/>
                <w:color w:val="000000"/>
                <w:szCs w:val="24"/>
              </w:rPr>
            </w:pPr>
            <w:r w:rsidRPr="00007760">
              <w:rPr>
                <w:rFonts w:cs="Calibri"/>
                <w:color w:val="000000"/>
                <w:szCs w:val="24"/>
              </w:rPr>
              <w:t>207 (ar, ae)</w:t>
            </w:r>
          </w:p>
        </w:tc>
        <w:tc>
          <w:tcPr>
            <w:tcW w:w="7071" w:type="dxa"/>
            <w:vAlign w:val="center"/>
          </w:tcPr>
          <w:p w14:paraId="2B69CC35" w14:textId="7E0426D5" w:rsidR="00605110" w:rsidRPr="00007760" w:rsidRDefault="00605110" w:rsidP="00605110">
            <w:pPr>
              <w:spacing w:after="0"/>
              <w:ind w:left="0"/>
              <w:rPr>
                <w:rFonts w:cs="Calibri"/>
                <w:color w:val="000000"/>
                <w:szCs w:val="24"/>
              </w:rPr>
            </w:pPr>
            <w:r w:rsidRPr="00007760">
              <w:rPr>
                <w:rFonts w:cs="Calibri"/>
                <w:color w:val="000000"/>
                <w:szCs w:val="24"/>
              </w:rPr>
              <w:t>Nonmonetary Determination Activities</w:t>
            </w:r>
          </w:p>
        </w:tc>
      </w:tr>
      <w:tr w:rsidR="00605110" w:rsidRPr="00293F5E" w14:paraId="43258349" w14:textId="77777777" w:rsidTr="006146A0">
        <w:trPr>
          <w:trHeight w:val="300"/>
        </w:trPr>
        <w:tc>
          <w:tcPr>
            <w:tcW w:w="691" w:type="dxa"/>
            <w:noWrap/>
            <w:vAlign w:val="center"/>
          </w:tcPr>
          <w:p w14:paraId="7153C0E6" w14:textId="6948B11C" w:rsidR="00605110" w:rsidRPr="00007760" w:rsidRDefault="00605110" w:rsidP="00605110">
            <w:pPr>
              <w:spacing w:after="0"/>
              <w:ind w:left="0"/>
              <w:jc w:val="center"/>
              <w:rPr>
                <w:rFonts w:cs="Calibri"/>
                <w:color w:val="000000"/>
                <w:szCs w:val="24"/>
              </w:rPr>
            </w:pPr>
            <w:r w:rsidRPr="00007760">
              <w:rPr>
                <w:rFonts w:cs="Calibri"/>
                <w:color w:val="000000"/>
                <w:szCs w:val="24"/>
              </w:rPr>
              <w:t>17</w:t>
            </w:r>
          </w:p>
        </w:tc>
        <w:tc>
          <w:tcPr>
            <w:tcW w:w="1627" w:type="dxa"/>
            <w:noWrap/>
            <w:vAlign w:val="center"/>
          </w:tcPr>
          <w:p w14:paraId="351C1CC9" w14:textId="020A6562" w:rsidR="00605110" w:rsidRPr="00007760" w:rsidRDefault="00605110" w:rsidP="00605110">
            <w:pPr>
              <w:spacing w:after="0"/>
              <w:ind w:left="0"/>
              <w:rPr>
                <w:rFonts w:cs="Calibri"/>
                <w:color w:val="000000"/>
                <w:szCs w:val="24"/>
              </w:rPr>
            </w:pPr>
            <w:r w:rsidRPr="00007760">
              <w:rPr>
                <w:rFonts w:cs="Calibri"/>
                <w:color w:val="000000"/>
                <w:szCs w:val="24"/>
              </w:rPr>
              <w:t>Quarterly</w:t>
            </w:r>
          </w:p>
        </w:tc>
        <w:tc>
          <w:tcPr>
            <w:tcW w:w="1800" w:type="dxa"/>
            <w:noWrap/>
            <w:vAlign w:val="center"/>
          </w:tcPr>
          <w:p w14:paraId="12890DC9" w14:textId="0BE73243" w:rsidR="00605110" w:rsidRPr="00007760" w:rsidRDefault="00605110" w:rsidP="00605110">
            <w:pPr>
              <w:spacing w:after="0"/>
              <w:ind w:left="0"/>
              <w:rPr>
                <w:rFonts w:cs="Calibri"/>
                <w:color w:val="000000"/>
                <w:szCs w:val="24"/>
              </w:rPr>
            </w:pPr>
            <w:r w:rsidRPr="00007760">
              <w:rPr>
                <w:rFonts w:cs="Calibri"/>
                <w:color w:val="000000"/>
                <w:szCs w:val="24"/>
              </w:rPr>
              <w:t>218 (ar, ae)</w:t>
            </w:r>
          </w:p>
        </w:tc>
        <w:tc>
          <w:tcPr>
            <w:tcW w:w="7071" w:type="dxa"/>
            <w:vAlign w:val="center"/>
          </w:tcPr>
          <w:p w14:paraId="2EE2856D" w14:textId="0052B132" w:rsidR="00605110" w:rsidRPr="00007760" w:rsidRDefault="00605110" w:rsidP="00605110">
            <w:pPr>
              <w:spacing w:after="0"/>
              <w:ind w:left="0"/>
              <w:rPr>
                <w:rFonts w:cs="Calibri"/>
                <w:color w:val="000000"/>
                <w:szCs w:val="24"/>
              </w:rPr>
            </w:pPr>
            <w:r w:rsidRPr="00007760">
              <w:rPr>
                <w:rFonts w:cs="Calibri"/>
                <w:color w:val="000000"/>
                <w:szCs w:val="24"/>
              </w:rPr>
              <w:t>Benefits Rights and Experience</w:t>
            </w:r>
          </w:p>
        </w:tc>
      </w:tr>
      <w:tr w:rsidR="00605110" w:rsidRPr="00293F5E" w14:paraId="75E94B71" w14:textId="77777777" w:rsidTr="006146A0">
        <w:trPr>
          <w:trHeight w:val="300"/>
        </w:trPr>
        <w:tc>
          <w:tcPr>
            <w:tcW w:w="691" w:type="dxa"/>
            <w:noWrap/>
            <w:vAlign w:val="center"/>
          </w:tcPr>
          <w:p w14:paraId="16B565B3" w14:textId="24BF6261" w:rsidR="00605110" w:rsidRPr="00007760" w:rsidRDefault="00605110" w:rsidP="00605110">
            <w:pPr>
              <w:spacing w:after="0"/>
              <w:ind w:left="0"/>
              <w:jc w:val="center"/>
              <w:rPr>
                <w:rFonts w:cs="Calibri"/>
                <w:color w:val="000000"/>
                <w:szCs w:val="24"/>
              </w:rPr>
            </w:pPr>
            <w:r w:rsidRPr="00007760">
              <w:rPr>
                <w:rFonts w:cs="Calibri"/>
                <w:color w:val="000000"/>
                <w:szCs w:val="24"/>
              </w:rPr>
              <w:t>18</w:t>
            </w:r>
          </w:p>
        </w:tc>
        <w:tc>
          <w:tcPr>
            <w:tcW w:w="1627" w:type="dxa"/>
            <w:noWrap/>
            <w:vAlign w:val="center"/>
          </w:tcPr>
          <w:p w14:paraId="480B3E3F" w14:textId="63E00F94" w:rsidR="00605110" w:rsidRPr="00007760" w:rsidRDefault="00605110" w:rsidP="00605110">
            <w:pPr>
              <w:spacing w:after="0"/>
              <w:ind w:left="0"/>
              <w:rPr>
                <w:rFonts w:cs="Calibri"/>
                <w:color w:val="000000"/>
                <w:szCs w:val="24"/>
              </w:rPr>
            </w:pPr>
            <w:r w:rsidRPr="00007760">
              <w:rPr>
                <w:rFonts w:cs="Calibri"/>
                <w:color w:val="000000"/>
                <w:szCs w:val="24"/>
              </w:rPr>
              <w:t>Quarterly</w:t>
            </w:r>
          </w:p>
        </w:tc>
        <w:tc>
          <w:tcPr>
            <w:tcW w:w="1800" w:type="dxa"/>
            <w:noWrap/>
            <w:vAlign w:val="center"/>
          </w:tcPr>
          <w:p w14:paraId="725FD5E5" w14:textId="3F7FF3A8" w:rsidR="00605110" w:rsidRPr="00007760" w:rsidRDefault="00605110" w:rsidP="00605110">
            <w:pPr>
              <w:spacing w:after="0"/>
              <w:ind w:left="0"/>
              <w:rPr>
                <w:rFonts w:cs="Calibri"/>
                <w:color w:val="000000"/>
                <w:szCs w:val="24"/>
              </w:rPr>
            </w:pPr>
            <w:r w:rsidRPr="00007760">
              <w:rPr>
                <w:rFonts w:cs="Calibri"/>
                <w:color w:val="000000"/>
                <w:szCs w:val="24"/>
              </w:rPr>
              <w:t>227 (ar)</w:t>
            </w:r>
          </w:p>
        </w:tc>
        <w:tc>
          <w:tcPr>
            <w:tcW w:w="7071" w:type="dxa"/>
            <w:vAlign w:val="center"/>
          </w:tcPr>
          <w:p w14:paraId="619D9851" w14:textId="7F64695B" w:rsidR="00605110" w:rsidRPr="00007760" w:rsidRDefault="00605110" w:rsidP="00605110">
            <w:pPr>
              <w:spacing w:after="0"/>
              <w:ind w:left="0"/>
              <w:rPr>
                <w:rFonts w:cs="Calibri"/>
                <w:color w:val="000000"/>
                <w:szCs w:val="24"/>
              </w:rPr>
            </w:pPr>
            <w:r w:rsidRPr="00007760">
              <w:rPr>
                <w:rFonts w:cs="Calibri"/>
                <w:color w:val="000000"/>
                <w:szCs w:val="24"/>
              </w:rPr>
              <w:t>Overpayment Detection / Recovery</w:t>
            </w:r>
          </w:p>
        </w:tc>
      </w:tr>
      <w:tr w:rsidR="00605110" w:rsidRPr="00293F5E" w14:paraId="3C5EE088" w14:textId="77777777" w:rsidTr="006146A0">
        <w:trPr>
          <w:trHeight w:val="300"/>
        </w:trPr>
        <w:tc>
          <w:tcPr>
            <w:tcW w:w="691" w:type="dxa"/>
            <w:noWrap/>
            <w:vAlign w:val="center"/>
          </w:tcPr>
          <w:p w14:paraId="0E403D07" w14:textId="5D2DE998" w:rsidR="00605110" w:rsidRPr="00007760" w:rsidRDefault="00605110" w:rsidP="00605110">
            <w:pPr>
              <w:spacing w:after="0"/>
              <w:ind w:left="0"/>
              <w:jc w:val="center"/>
              <w:rPr>
                <w:rFonts w:cs="Calibri"/>
                <w:color w:val="000000"/>
                <w:szCs w:val="24"/>
              </w:rPr>
            </w:pPr>
            <w:r w:rsidRPr="00007760">
              <w:rPr>
                <w:rFonts w:cs="Calibri"/>
                <w:color w:val="000000"/>
                <w:szCs w:val="24"/>
              </w:rPr>
              <w:t>19</w:t>
            </w:r>
          </w:p>
        </w:tc>
        <w:tc>
          <w:tcPr>
            <w:tcW w:w="1627" w:type="dxa"/>
            <w:noWrap/>
            <w:vAlign w:val="center"/>
          </w:tcPr>
          <w:p w14:paraId="5171F4C8" w14:textId="25C29CB4" w:rsidR="00605110" w:rsidRPr="00007760" w:rsidRDefault="00605110" w:rsidP="00605110">
            <w:pPr>
              <w:spacing w:after="0"/>
              <w:ind w:left="0"/>
              <w:rPr>
                <w:rFonts w:cs="Calibri"/>
                <w:color w:val="000000"/>
                <w:szCs w:val="24"/>
              </w:rPr>
            </w:pPr>
            <w:r w:rsidRPr="00007760">
              <w:rPr>
                <w:rFonts w:cs="Calibri"/>
                <w:color w:val="000000"/>
                <w:szCs w:val="24"/>
              </w:rPr>
              <w:t>Quarterly</w:t>
            </w:r>
          </w:p>
        </w:tc>
        <w:tc>
          <w:tcPr>
            <w:tcW w:w="1800" w:type="dxa"/>
            <w:noWrap/>
            <w:vAlign w:val="center"/>
          </w:tcPr>
          <w:p w14:paraId="1BC88230" w14:textId="2AB33A2A" w:rsidR="00605110" w:rsidRPr="00007760" w:rsidRDefault="00605110" w:rsidP="00605110">
            <w:pPr>
              <w:spacing w:after="0"/>
              <w:ind w:left="0"/>
              <w:rPr>
                <w:rFonts w:cs="Calibri"/>
                <w:color w:val="000000"/>
                <w:szCs w:val="24"/>
              </w:rPr>
            </w:pPr>
            <w:r w:rsidRPr="00007760">
              <w:rPr>
                <w:rFonts w:cs="Calibri"/>
                <w:color w:val="000000"/>
                <w:szCs w:val="24"/>
              </w:rPr>
              <w:t>581 (ar)</w:t>
            </w:r>
          </w:p>
        </w:tc>
        <w:tc>
          <w:tcPr>
            <w:tcW w:w="7071" w:type="dxa"/>
            <w:vAlign w:val="center"/>
          </w:tcPr>
          <w:p w14:paraId="763723A1" w14:textId="4A2ACFFB" w:rsidR="00605110" w:rsidRPr="00007760" w:rsidRDefault="00605110" w:rsidP="00605110">
            <w:pPr>
              <w:spacing w:after="0"/>
              <w:ind w:left="0"/>
              <w:rPr>
                <w:rFonts w:cs="Calibri"/>
                <w:color w:val="000000"/>
                <w:szCs w:val="24"/>
              </w:rPr>
            </w:pPr>
            <w:r w:rsidRPr="00007760">
              <w:rPr>
                <w:rFonts w:cs="Calibri"/>
                <w:color w:val="000000"/>
                <w:szCs w:val="24"/>
              </w:rPr>
              <w:t>Contribution Operations</w:t>
            </w:r>
          </w:p>
        </w:tc>
      </w:tr>
      <w:tr w:rsidR="00605110" w:rsidRPr="00293F5E" w14:paraId="44168F77" w14:textId="77777777" w:rsidTr="006146A0">
        <w:trPr>
          <w:trHeight w:val="300"/>
        </w:trPr>
        <w:tc>
          <w:tcPr>
            <w:tcW w:w="691" w:type="dxa"/>
            <w:noWrap/>
            <w:vAlign w:val="center"/>
          </w:tcPr>
          <w:p w14:paraId="1833D0A3" w14:textId="45675B90" w:rsidR="00605110" w:rsidRPr="00007760" w:rsidRDefault="00605110" w:rsidP="00605110">
            <w:pPr>
              <w:spacing w:after="0"/>
              <w:ind w:left="0"/>
              <w:jc w:val="center"/>
              <w:rPr>
                <w:rFonts w:cs="Calibri"/>
                <w:color w:val="000000"/>
                <w:szCs w:val="24"/>
              </w:rPr>
            </w:pPr>
            <w:r w:rsidRPr="00007760">
              <w:rPr>
                <w:rFonts w:cs="Calibri"/>
                <w:color w:val="000000"/>
                <w:szCs w:val="24"/>
              </w:rPr>
              <w:t>20</w:t>
            </w:r>
          </w:p>
        </w:tc>
        <w:tc>
          <w:tcPr>
            <w:tcW w:w="1627" w:type="dxa"/>
            <w:noWrap/>
            <w:vAlign w:val="center"/>
          </w:tcPr>
          <w:p w14:paraId="16D7B9AF" w14:textId="36025A24" w:rsidR="00605110" w:rsidRPr="00007760" w:rsidRDefault="00605110" w:rsidP="00605110">
            <w:pPr>
              <w:spacing w:after="0"/>
              <w:ind w:left="0"/>
              <w:rPr>
                <w:rFonts w:cs="Calibri"/>
                <w:color w:val="000000"/>
                <w:szCs w:val="24"/>
              </w:rPr>
            </w:pPr>
            <w:r w:rsidRPr="00007760">
              <w:rPr>
                <w:rFonts w:cs="Calibri"/>
                <w:color w:val="000000"/>
                <w:szCs w:val="24"/>
              </w:rPr>
              <w:t>Quarterly</w:t>
            </w:r>
          </w:p>
        </w:tc>
        <w:tc>
          <w:tcPr>
            <w:tcW w:w="1800" w:type="dxa"/>
            <w:noWrap/>
            <w:vAlign w:val="center"/>
          </w:tcPr>
          <w:p w14:paraId="6CFB3873" w14:textId="38CB37B2" w:rsidR="00605110" w:rsidRPr="00007760" w:rsidRDefault="00605110" w:rsidP="00605110">
            <w:pPr>
              <w:spacing w:after="0"/>
              <w:ind w:left="0"/>
              <w:rPr>
                <w:rFonts w:cs="Calibri"/>
                <w:color w:val="000000"/>
                <w:szCs w:val="24"/>
              </w:rPr>
            </w:pPr>
            <w:r w:rsidRPr="00007760">
              <w:rPr>
                <w:rFonts w:cs="Calibri"/>
                <w:color w:val="000000"/>
                <w:szCs w:val="24"/>
              </w:rPr>
              <w:t>586 (ar)</w:t>
            </w:r>
          </w:p>
        </w:tc>
        <w:tc>
          <w:tcPr>
            <w:tcW w:w="7071" w:type="dxa"/>
            <w:vAlign w:val="center"/>
          </w:tcPr>
          <w:p w14:paraId="7CB197B9" w14:textId="6779A513" w:rsidR="00605110" w:rsidRPr="00007760" w:rsidRDefault="00605110" w:rsidP="00605110">
            <w:pPr>
              <w:spacing w:after="0"/>
              <w:ind w:left="0"/>
              <w:rPr>
                <w:rFonts w:cs="Calibri"/>
                <w:color w:val="000000"/>
                <w:szCs w:val="24"/>
              </w:rPr>
            </w:pPr>
            <w:r w:rsidRPr="00007760">
              <w:rPr>
                <w:rFonts w:cs="Calibri"/>
                <w:color w:val="000000"/>
                <w:szCs w:val="24"/>
              </w:rPr>
              <w:t>Interstate Arrangement for Combining Employment and Wages</w:t>
            </w:r>
          </w:p>
        </w:tc>
      </w:tr>
      <w:tr w:rsidR="00605110" w:rsidRPr="00293F5E" w14:paraId="22FB8CF7" w14:textId="77777777" w:rsidTr="006146A0">
        <w:trPr>
          <w:trHeight w:val="300"/>
        </w:trPr>
        <w:tc>
          <w:tcPr>
            <w:tcW w:w="691" w:type="dxa"/>
            <w:noWrap/>
            <w:vAlign w:val="center"/>
          </w:tcPr>
          <w:p w14:paraId="124DE625" w14:textId="29307A02" w:rsidR="00605110" w:rsidRPr="00007760" w:rsidRDefault="00605110" w:rsidP="00605110">
            <w:pPr>
              <w:spacing w:after="0"/>
              <w:ind w:left="0"/>
              <w:jc w:val="center"/>
              <w:rPr>
                <w:rFonts w:cs="Calibri"/>
                <w:color w:val="000000"/>
                <w:szCs w:val="24"/>
              </w:rPr>
            </w:pPr>
            <w:r w:rsidRPr="00007760">
              <w:rPr>
                <w:rFonts w:cs="Calibri"/>
                <w:color w:val="000000"/>
                <w:szCs w:val="24"/>
              </w:rPr>
              <w:t>21</w:t>
            </w:r>
          </w:p>
        </w:tc>
        <w:tc>
          <w:tcPr>
            <w:tcW w:w="1627" w:type="dxa"/>
            <w:noWrap/>
            <w:vAlign w:val="center"/>
          </w:tcPr>
          <w:p w14:paraId="5182E1E5" w14:textId="1348EC20" w:rsidR="00605110" w:rsidRPr="00007760" w:rsidRDefault="00605110" w:rsidP="00605110">
            <w:pPr>
              <w:spacing w:after="0"/>
              <w:ind w:left="0"/>
              <w:rPr>
                <w:rFonts w:cs="Calibri"/>
                <w:color w:val="000000"/>
                <w:szCs w:val="24"/>
              </w:rPr>
            </w:pPr>
            <w:r w:rsidRPr="00007760">
              <w:rPr>
                <w:rFonts w:cs="Calibri"/>
                <w:color w:val="000000"/>
                <w:szCs w:val="24"/>
              </w:rPr>
              <w:t>Quarterly</w:t>
            </w:r>
          </w:p>
        </w:tc>
        <w:tc>
          <w:tcPr>
            <w:tcW w:w="1800" w:type="dxa"/>
            <w:noWrap/>
            <w:vAlign w:val="center"/>
          </w:tcPr>
          <w:p w14:paraId="252100D5" w14:textId="67248AB8" w:rsidR="00605110" w:rsidRPr="00007760" w:rsidRDefault="00605110" w:rsidP="00605110">
            <w:pPr>
              <w:spacing w:after="0"/>
              <w:ind w:left="0"/>
              <w:rPr>
                <w:rFonts w:cs="Calibri"/>
                <w:color w:val="000000"/>
                <w:szCs w:val="24"/>
              </w:rPr>
            </w:pPr>
            <w:r w:rsidRPr="00007760">
              <w:rPr>
                <w:rFonts w:cs="Calibri"/>
                <w:color w:val="000000"/>
                <w:szCs w:val="24"/>
              </w:rPr>
              <w:t>9016 (ar)</w:t>
            </w:r>
          </w:p>
        </w:tc>
        <w:tc>
          <w:tcPr>
            <w:tcW w:w="7071" w:type="dxa"/>
            <w:vAlign w:val="center"/>
          </w:tcPr>
          <w:p w14:paraId="7E29C1C5" w14:textId="40BEC263" w:rsidR="00605110" w:rsidRPr="00007760" w:rsidRDefault="00605110" w:rsidP="00605110">
            <w:pPr>
              <w:spacing w:after="0"/>
              <w:ind w:left="0"/>
              <w:rPr>
                <w:rFonts w:cs="Calibri"/>
                <w:color w:val="000000"/>
                <w:szCs w:val="24"/>
              </w:rPr>
            </w:pPr>
            <w:r w:rsidRPr="00007760">
              <w:rPr>
                <w:rFonts w:cs="Calibri"/>
                <w:color w:val="000000"/>
                <w:szCs w:val="24"/>
              </w:rPr>
              <w:t>Alien Claims Activities</w:t>
            </w:r>
          </w:p>
        </w:tc>
      </w:tr>
      <w:tr w:rsidR="00605110" w:rsidRPr="00293F5E" w14:paraId="07C7DCF9" w14:textId="77777777" w:rsidTr="006146A0">
        <w:trPr>
          <w:trHeight w:val="300"/>
        </w:trPr>
        <w:tc>
          <w:tcPr>
            <w:tcW w:w="691" w:type="dxa"/>
            <w:noWrap/>
            <w:vAlign w:val="center"/>
          </w:tcPr>
          <w:p w14:paraId="6F63D12C" w14:textId="43C55846" w:rsidR="00605110" w:rsidRPr="00007760" w:rsidRDefault="00605110" w:rsidP="00605110">
            <w:pPr>
              <w:spacing w:after="0"/>
              <w:ind w:left="0"/>
              <w:jc w:val="center"/>
              <w:rPr>
                <w:rFonts w:cs="Calibri"/>
                <w:color w:val="000000"/>
                <w:szCs w:val="24"/>
              </w:rPr>
            </w:pPr>
            <w:r w:rsidRPr="00007760">
              <w:rPr>
                <w:rFonts w:cs="Calibri"/>
                <w:color w:val="000000"/>
                <w:szCs w:val="24"/>
              </w:rPr>
              <w:t>22</w:t>
            </w:r>
          </w:p>
        </w:tc>
        <w:tc>
          <w:tcPr>
            <w:tcW w:w="1627" w:type="dxa"/>
            <w:noWrap/>
            <w:vAlign w:val="center"/>
          </w:tcPr>
          <w:p w14:paraId="635C81F7" w14:textId="6F974151" w:rsidR="00605110" w:rsidRPr="00007760" w:rsidRDefault="00605110" w:rsidP="00605110">
            <w:pPr>
              <w:spacing w:after="0"/>
              <w:ind w:left="0"/>
              <w:rPr>
                <w:rFonts w:cs="Calibri"/>
                <w:color w:val="000000"/>
                <w:szCs w:val="24"/>
              </w:rPr>
            </w:pPr>
            <w:r w:rsidRPr="00007760">
              <w:rPr>
                <w:rFonts w:cs="Calibri"/>
                <w:color w:val="000000"/>
                <w:szCs w:val="24"/>
              </w:rPr>
              <w:t>Quarterly</w:t>
            </w:r>
          </w:p>
        </w:tc>
        <w:tc>
          <w:tcPr>
            <w:tcW w:w="1800" w:type="dxa"/>
            <w:noWrap/>
            <w:vAlign w:val="center"/>
          </w:tcPr>
          <w:p w14:paraId="6EF2B9AB" w14:textId="7FEA93A0" w:rsidR="00605110" w:rsidRPr="00007760" w:rsidRDefault="00605110" w:rsidP="00605110">
            <w:pPr>
              <w:spacing w:after="0"/>
              <w:ind w:left="0"/>
              <w:rPr>
                <w:rFonts w:cs="Calibri"/>
                <w:color w:val="000000"/>
                <w:szCs w:val="24"/>
              </w:rPr>
            </w:pPr>
            <w:r w:rsidRPr="00007760">
              <w:rPr>
                <w:rFonts w:cs="Calibri"/>
                <w:color w:val="000000"/>
                <w:szCs w:val="24"/>
              </w:rPr>
              <w:t>9048 (ar)</w:t>
            </w:r>
          </w:p>
        </w:tc>
        <w:tc>
          <w:tcPr>
            <w:tcW w:w="7071" w:type="dxa"/>
            <w:vAlign w:val="center"/>
          </w:tcPr>
          <w:p w14:paraId="70C9C643" w14:textId="71342CCC" w:rsidR="00605110" w:rsidRPr="00007760" w:rsidRDefault="00605110" w:rsidP="00605110">
            <w:pPr>
              <w:spacing w:after="0"/>
              <w:ind w:left="0"/>
              <w:rPr>
                <w:rFonts w:cs="Calibri"/>
                <w:color w:val="000000"/>
                <w:szCs w:val="24"/>
              </w:rPr>
            </w:pPr>
            <w:r w:rsidRPr="00007760">
              <w:rPr>
                <w:rFonts w:cs="Calibri"/>
                <w:color w:val="000000"/>
                <w:szCs w:val="24"/>
              </w:rPr>
              <w:t>Worker Profiling and Reemployment Services</w:t>
            </w:r>
          </w:p>
        </w:tc>
      </w:tr>
      <w:tr w:rsidR="00605110" w:rsidRPr="00293F5E" w14:paraId="5BA75900" w14:textId="77777777" w:rsidTr="006146A0">
        <w:trPr>
          <w:trHeight w:val="300"/>
        </w:trPr>
        <w:tc>
          <w:tcPr>
            <w:tcW w:w="691" w:type="dxa"/>
            <w:noWrap/>
            <w:vAlign w:val="center"/>
          </w:tcPr>
          <w:p w14:paraId="07996652" w14:textId="04D83C17" w:rsidR="00605110" w:rsidRPr="00007760" w:rsidRDefault="00605110" w:rsidP="00605110">
            <w:pPr>
              <w:spacing w:after="0"/>
              <w:ind w:left="0"/>
              <w:jc w:val="center"/>
              <w:rPr>
                <w:rFonts w:cs="Calibri"/>
                <w:color w:val="000000"/>
                <w:szCs w:val="24"/>
              </w:rPr>
            </w:pPr>
            <w:r w:rsidRPr="00007760">
              <w:rPr>
                <w:rFonts w:cs="Calibri"/>
                <w:color w:val="000000"/>
                <w:szCs w:val="24"/>
              </w:rPr>
              <w:t>23</w:t>
            </w:r>
          </w:p>
        </w:tc>
        <w:tc>
          <w:tcPr>
            <w:tcW w:w="1627" w:type="dxa"/>
            <w:noWrap/>
            <w:vAlign w:val="center"/>
          </w:tcPr>
          <w:p w14:paraId="22F71ED3" w14:textId="18B1BB63" w:rsidR="00605110" w:rsidRPr="00007760" w:rsidRDefault="00605110" w:rsidP="00605110">
            <w:pPr>
              <w:spacing w:after="0"/>
              <w:ind w:left="0"/>
              <w:rPr>
                <w:rFonts w:cs="Calibri"/>
                <w:color w:val="000000"/>
                <w:szCs w:val="24"/>
              </w:rPr>
            </w:pPr>
            <w:r w:rsidRPr="00007760">
              <w:rPr>
                <w:rFonts w:cs="Calibri"/>
                <w:color w:val="000000"/>
                <w:szCs w:val="24"/>
              </w:rPr>
              <w:t>Quarterly</w:t>
            </w:r>
          </w:p>
        </w:tc>
        <w:tc>
          <w:tcPr>
            <w:tcW w:w="1800" w:type="dxa"/>
            <w:noWrap/>
            <w:vAlign w:val="center"/>
          </w:tcPr>
          <w:p w14:paraId="7D663F9E" w14:textId="652E58B5" w:rsidR="00605110" w:rsidRPr="00007760" w:rsidRDefault="00605110" w:rsidP="00605110">
            <w:pPr>
              <w:spacing w:after="0"/>
              <w:ind w:left="0"/>
              <w:rPr>
                <w:rFonts w:cs="Calibri"/>
                <w:color w:val="000000"/>
                <w:szCs w:val="24"/>
              </w:rPr>
            </w:pPr>
            <w:r w:rsidRPr="00007760">
              <w:rPr>
                <w:rFonts w:cs="Calibri"/>
                <w:color w:val="000000"/>
                <w:szCs w:val="24"/>
              </w:rPr>
              <w:t>9049 (ar)</w:t>
            </w:r>
          </w:p>
        </w:tc>
        <w:tc>
          <w:tcPr>
            <w:tcW w:w="7071" w:type="dxa"/>
            <w:vAlign w:val="center"/>
          </w:tcPr>
          <w:p w14:paraId="56A38EBA" w14:textId="79A79055" w:rsidR="00605110" w:rsidRPr="00007760" w:rsidRDefault="00605110" w:rsidP="00605110">
            <w:pPr>
              <w:spacing w:after="0"/>
              <w:ind w:left="0"/>
              <w:rPr>
                <w:rFonts w:cs="Calibri"/>
                <w:color w:val="000000"/>
                <w:szCs w:val="24"/>
              </w:rPr>
            </w:pPr>
            <w:r w:rsidRPr="00007760">
              <w:rPr>
                <w:rFonts w:cs="Calibri"/>
                <w:color w:val="000000"/>
                <w:szCs w:val="24"/>
              </w:rPr>
              <w:t>Profiling and Reemployment Services Outcome</w:t>
            </w:r>
          </w:p>
        </w:tc>
      </w:tr>
      <w:tr w:rsidR="00605110" w:rsidRPr="00293F5E" w14:paraId="340F6824" w14:textId="77777777" w:rsidTr="006146A0">
        <w:trPr>
          <w:trHeight w:val="300"/>
        </w:trPr>
        <w:tc>
          <w:tcPr>
            <w:tcW w:w="691" w:type="dxa"/>
            <w:noWrap/>
            <w:vAlign w:val="center"/>
          </w:tcPr>
          <w:p w14:paraId="6D885A9B" w14:textId="7685FCD8" w:rsidR="00605110" w:rsidRPr="00007760" w:rsidRDefault="00605110" w:rsidP="00605110">
            <w:pPr>
              <w:spacing w:after="0"/>
              <w:ind w:left="0"/>
              <w:jc w:val="center"/>
              <w:rPr>
                <w:rFonts w:cs="Calibri"/>
                <w:color w:val="000000"/>
                <w:szCs w:val="24"/>
              </w:rPr>
            </w:pPr>
            <w:r w:rsidRPr="00007760">
              <w:rPr>
                <w:rFonts w:cs="Calibri"/>
                <w:color w:val="000000"/>
                <w:szCs w:val="24"/>
              </w:rPr>
              <w:t>24</w:t>
            </w:r>
          </w:p>
        </w:tc>
        <w:tc>
          <w:tcPr>
            <w:tcW w:w="1627" w:type="dxa"/>
            <w:noWrap/>
            <w:vAlign w:val="center"/>
          </w:tcPr>
          <w:p w14:paraId="2308D955" w14:textId="756E7B49" w:rsidR="00605110" w:rsidRPr="00007760" w:rsidRDefault="00605110" w:rsidP="00605110">
            <w:pPr>
              <w:spacing w:after="0"/>
              <w:ind w:left="0"/>
              <w:rPr>
                <w:rFonts w:cs="Calibri"/>
                <w:color w:val="000000"/>
                <w:szCs w:val="24"/>
              </w:rPr>
            </w:pPr>
            <w:r w:rsidRPr="00007760">
              <w:rPr>
                <w:rFonts w:cs="Calibri"/>
                <w:color w:val="000000"/>
                <w:szCs w:val="24"/>
              </w:rPr>
              <w:t>Quarterly</w:t>
            </w:r>
          </w:p>
        </w:tc>
        <w:tc>
          <w:tcPr>
            <w:tcW w:w="1800" w:type="dxa"/>
            <w:noWrap/>
            <w:vAlign w:val="center"/>
          </w:tcPr>
          <w:p w14:paraId="25865072" w14:textId="3E0E140F" w:rsidR="00605110" w:rsidRPr="00007760" w:rsidRDefault="00605110" w:rsidP="00605110">
            <w:pPr>
              <w:spacing w:after="0"/>
              <w:ind w:left="0"/>
              <w:rPr>
                <w:rFonts w:cs="Calibri"/>
                <w:color w:val="000000"/>
                <w:szCs w:val="24"/>
              </w:rPr>
            </w:pPr>
            <w:r w:rsidRPr="00007760">
              <w:rPr>
                <w:rFonts w:cs="Calibri"/>
                <w:color w:val="000000"/>
                <w:szCs w:val="24"/>
              </w:rPr>
              <w:t>9056 (ar)</w:t>
            </w:r>
          </w:p>
        </w:tc>
        <w:tc>
          <w:tcPr>
            <w:tcW w:w="7071" w:type="dxa"/>
            <w:vAlign w:val="center"/>
          </w:tcPr>
          <w:p w14:paraId="2CC8F297" w14:textId="2C590165" w:rsidR="00605110" w:rsidRPr="00007760" w:rsidRDefault="00605110" w:rsidP="00605110">
            <w:pPr>
              <w:spacing w:after="0"/>
              <w:ind w:left="0"/>
              <w:rPr>
                <w:rFonts w:cs="Calibri"/>
                <w:color w:val="000000"/>
                <w:szCs w:val="24"/>
              </w:rPr>
            </w:pPr>
            <w:r w:rsidRPr="00007760">
              <w:rPr>
                <w:rFonts w:cs="Calibri"/>
                <w:color w:val="000000"/>
                <w:szCs w:val="24"/>
              </w:rPr>
              <w:t>Nonmonetary Determination Quality Data Collection</w:t>
            </w:r>
          </w:p>
        </w:tc>
      </w:tr>
      <w:tr w:rsidR="00F730D1" w:rsidRPr="00293F5E" w14:paraId="26166017" w14:textId="77777777" w:rsidTr="006146A0">
        <w:trPr>
          <w:trHeight w:val="300"/>
        </w:trPr>
        <w:tc>
          <w:tcPr>
            <w:tcW w:w="691" w:type="dxa"/>
            <w:noWrap/>
            <w:vAlign w:val="center"/>
          </w:tcPr>
          <w:p w14:paraId="5367BF75" w14:textId="709371DC" w:rsidR="00F730D1" w:rsidRPr="00007760" w:rsidRDefault="00F730D1" w:rsidP="00F730D1">
            <w:pPr>
              <w:spacing w:after="0"/>
              <w:ind w:left="0"/>
              <w:jc w:val="center"/>
              <w:rPr>
                <w:rFonts w:cs="Calibri"/>
                <w:color w:val="000000"/>
                <w:szCs w:val="24"/>
              </w:rPr>
            </w:pPr>
            <w:r>
              <w:rPr>
                <w:rFonts w:cs="Calibri"/>
                <w:color w:val="000000"/>
                <w:szCs w:val="24"/>
              </w:rPr>
              <w:t>25</w:t>
            </w:r>
          </w:p>
        </w:tc>
        <w:tc>
          <w:tcPr>
            <w:tcW w:w="1627" w:type="dxa"/>
            <w:noWrap/>
            <w:vAlign w:val="center"/>
          </w:tcPr>
          <w:p w14:paraId="4E28D4C7" w14:textId="649EA9B0" w:rsidR="00F730D1" w:rsidRPr="00007760" w:rsidRDefault="00F730D1" w:rsidP="00F730D1">
            <w:pPr>
              <w:spacing w:after="0"/>
              <w:ind w:left="0"/>
              <w:rPr>
                <w:rFonts w:cs="Calibri"/>
                <w:color w:val="000000"/>
                <w:szCs w:val="24"/>
              </w:rPr>
            </w:pPr>
            <w:r w:rsidRPr="00007760">
              <w:rPr>
                <w:rFonts w:cs="Calibri"/>
                <w:color w:val="000000"/>
                <w:szCs w:val="24"/>
              </w:rPr>
              <w:t>Quarterly</w:t>
            </w:r>
          </w:p>
        </w:tc>
        <w:tc>
          <w:tcPr>
            <w:tcW w:w="1800" w:type="dxa"/>
            <w:noWrap/>
            <w:vAlign w:val="center"/>
          </w:tcPr>
          <w:p w14:paraId="0F77B801" w14:textId="25BF338E" w:rsidR="00F730D1" w:rsidRPr="00007760" w:rsidRDefault="00F730D1" w:rsidP="00F730D1">
            <w:pPr>
              <w:spacing w:after="0"/>
              <w:ind w:left="0"/>
              <w:rPr>
                <w:rFonts w:cs="Calibri"/>
                <w:color w:val="000000"/>
                <w:szCs w:val="24"/>
              </w:rPr>
            </w:pPr>
            <w:r>
              <w:rPr>
                <w:rFonts w:cs="Calibri"/>
                <w:color w:val="000000"/>
                <w:szCs w:val="24"/>
              </w:rPr>
              <w:t>9128</w:t>
            </w:r>
          </w:p>
        </w:tc>
        <w:tc>
          <w:tcPr>
            <w:tcW w:w="7071" w:type="dxa"/>
            <w:vAlign w:val="center"/>
          </w:tcPr>
          <w:p w14:paraId="7EDAAC71" w14:textId="07287B00" w:rsidR="00F730D1" w:rsidRPr="00007760" w:rsidRDefault="0038195C" w:rsidP="00F730D1">
            <w:pPr>
              <w:spacing w:after="0"/>
              <w:ind w:left="0"/>
              <w:rPr>
                <w:rFonts w:cs="Calibri"/>
                <w:color w:val="000000"/>
                <w:szCs w:val="24"/>
              </w:rPr>
            </w:pPr>
            <w:r w:rsidRPr="00007760">
              <w:rPr>
                <w:rFonts w:cs="Calibri"/>
                <w:color w:val="000000"/>
                <w:szCs w:val="24"/>
              </w:rPr>
              <w:t>Reemployment Services</w:t>
            </w:r>
            <w:r>
              <w:rPr>
                <w:rFonts w:cs="Calibri"/>
                <w:color w:val="000000"/>
                <w:szCs w:val="24"/>
              </w:rPr>
              <w:t xml:space="preserve"> and Eligibility Assessment Workload</w:t>
            </w:r>
          </w:p>
        </w:tc>
      </w:tr>
      <w:tr w:rsidR="00F730D1" w:rsidRPr="00293F5E" w14:paraId="1C6515D9" w14:textId="77777777" w:rsidTr="006146A0">
        <w:trPr>
          <w:trHeight w:val="300"/>
        </w:trPr>
        <w:tc>
          <w:tcPr>
            <w:tcW w:w="691" w:type="dxa"/>
            <w:noWrap/>
            <w:vAlign w:val="center"/>
          </w:tcPr>
          <w:p w14:paraId="324802D0" w14:textId="21F32EA3" w:rsidR="00F730D1" w:rsidRPr="00007760" w:rsidRDefault="00F730D1" w:rsidP="00F730D1">
            <w:pPr>
              <w:spacing w:after="0"/>
              <w:ind w:left="0"/>
              <w:jc w:val="center"/>
              <w:rPr>
                <w:rFonts w:cs="Calibri"/>
                <w:color w:val="000000"/>
                <w:szCs w:val="24"/>
              </w:rPr>
            </w:pPr>
            <w:r>
              <w:rPr>
                <w:rFonts w:cs="Calibri"/>
                <w:color w:val="000000"/>
                <w:szCs w:val="24"/>
              </w:rPr>
              <w:t>26</w:t>
            </w:r>
          </w:p>
        </w:tc>
        <w:tc>
          <w:tcPr>
            <w:tcW w:w="1627" w:type="dxa"/>
            <w:noWrap/>
            <w:vAlign w:val="center"/>
          </w:tcPr>
          <w:p w14:paraId="0FA0B584" w14:textId="35E0BDB9" w:rsidR="00F730D1" w:rsidRPr="00007760" w:rsidRDefault="00F730D1" w:rsidP="00F730D1">
            <w:pPr>
              <w:spacing w:after="0"/>
              <w:ind w:left="0"/>
              <w:rPr>
                <w:rFonts w:cs="Calibri"/>
                <w:color w:val="000000"/>
                <w:szCs w:val="24"/>
              </w:rPr>
            </w:pPr>
            <w:r w:rsidRPr="00007760">
              <w:rPr>
                <w:rFonts w:cs="Calibri"/>
                <w:color w:val="000000"/>
                <w:szCs w:val="24"/>
              </w:rPr>
              <w:t>Quarterly</w:t>
            </w:r>
          </w:p>
        </w:tc>
        <w:tc>
          <w:tcPr>
            <w:tcW w:w="1800" w:type="dxa"/>
            <w:noWrap/>
            <w:vAlign w:val="center"/>
          </w:tcPr>
          <w:p w14:paraId="2360352A" w14:textId="75C83057" w:rsidR="00F730D1" w:rsidRPr="00007760" w:rsidRDefault="00F730D1" w:rsidP="00F730D1">
            <w:pPr>
              <w:spacing w:after="0"/>
              <w:ind w:left="0"/>
              <w:rPr>
                <w:rFonts w:cs="Calibri"/>
                <w:color w:val="000000"/>
                <w:szCs w:val="24"/>
              </w:rPr>
            </w:pPr>
            <w:r>
              <w:rPr>
                <w:rFonts w:cs="Calibri"/>
                <w:color w:val="000000"/>
                <w:szCs w:val="24"/>
              </w:rPr>
              <w:t>9128X</w:t>
            </w:r>
          </w:p>
        </w:tc>
        <w:tc>
          <w:tcPr>
            <w:tcW w:w="7071" w:type="dxa"/>
            <w:vAlign w:val="center"/>
          </w:tcPr>
          <w:p w14:paraId="3CE4462E" w14:textId="60F09191" w:rsidR="00F730D1" w:rsidRPr="00007760" w:rsidRDefault="0038195C" w:rsidP="00F730D1">
            <w:pPr>
              <w:spacing w:after="0"/>
              <w:ind w:left="0"/>
              <w:rPr>
                <w:rFonts w:cs="Calibri"/>
                <w:color w:val="000000"/>
                <w:szCs w:val="24"/>
              </w:rPr>
            </w:pPr>
            <w:r w:rsidRPr="00007760">
              <w:rPr>
                <w:rFonts w:cs="Calibri"/>
                <w:color w:val="000000"/>
                <w:szCs w:val="24"/>
              </w:rPr>
              <w:t>Reemployment Services</w:t>
            </w:r>
            <w:r>
              <w:rPr>
                <w:rFonts w:cs="Calibri"/>
                <w:color w:val="000000"/>
                <w:szCs w:val="24"/>
              </w:rPr>
              <w:t xml:space="preserve"> and Eligibility Assessment Workload</w:t>
            </w:r>
          </w:p>
        </w:tc>
      </w:tr>
      <w:tr w:rsidR="00F730D1" w:rsidRPr="00293F5E" w14:paraId="454F95C2" w14:textId="77777777" w:rsidTr="006146A0">
        <w:trPr>
          <w:trHeight w:val="300"/>
        </w:trPr>
        <w:tc>
          <w:tcPr>
            <w:tcW w:w="691" w:type="dxa"/>
            <w:noWrap/>
            <w:vAlign w:val="center"/>
          </w:tcPr>
          <w:p w14:paraId="478BCCAE" w14:textId="2C8B53B8" w:rsidR="00F730D1" w:rsidRPr="00007760" w:rsidRDefault="00F730D1" w:rsidP="00F730D1">
            <w:pPr>
              <w:spacing w:after="0"/>
              <w:ind w:left="0"/>
              <w:jc w:val="center"/>
              <w:rPr>
                <w:rFonts w:cs="Calibri"/>
                <w:color w:val="000000"/>
                <w:szCs w:val="24"/>
              </w:rPr>
            </w:pPr>
            <w:r>
              <w:rPr>
                <w:rFonts w:cs="Calibri"/>
                <w:color w:val="000000"/>
                <w:szCs w:val="24"/>
              </w:rPr>
              <w:t>27</w:t>
            </w:r>
          </w:p>
        </w:tc>
        <w:tc>
          <w:tcPr>
            <w:tcW w:w="1627" w:type="dxa"/>
            <w:noWrap/>
            <w:vAlign w:val="center"/>
          </w:tcPr>
          <w:p w14:paraId="593816B0" w14:textId="09DB348F" w:rsidR="00F730D1" w:rsidRPr="00007760" w:rsidRDefault="00F730D1" w:rsidP="00F730D1">
            <w:pPr>
              <w:spacing w:after="0"/>
              <w:ind w:left="0"/>
              <w:rPr>
                <w:rFonts w:cs="Calibri"/>
                <w:color w:val="000000"/>
                <w:szCs w:val="24"/>
              </w:rPr>
            </w:pPr>
            <w:r w:rsidRPr="00007760">
              <w:rPr>
                <w:rFonts w:cs="Calibri"/>
                <w:color w:val="000000"/>
                <w:szCs w:val="24"/>
              </w:rPr>
              <w:t>Quarterly</w:t>
            </w:r>
          </w:p>
        </w:tc>
        <w:tc>
          <w:tcPr>
            <w:tcW w:w="1800" w:type="dxa"/>
            <w:noWrap/>
            <w:vAlign w:val="center"/>
          </w:tcPr>
          <w:p w14:paraId="57CB31DB" w14:textId="1CF4420B" w:rsidR="00F730D1" w:rsidRPr="00007760" w:rsidRDefault="00F730D1" w:rsidP="00F730D1">
            <w:pPr>
              <w:spacing w:after="0"/>
              <w:ind w:left="0"/>
              <w:rPr>
                <w:rFonts w:cs="Calibri"/>
                <w:color w:val="000000"/>
                <w:szCs w:val="24"/>
              </w:rPr>
            </w:pPr>
            <w:r>
              <w:rPr>
                <w:rFonts w:cs="Calibri"/>
                <w:color w:val="000000"/>
                <w:szCs w:val="24"/>
              </w:rPr>
              <w:t>9129</w:t>
            </w:r>
          </w:p>
        </w:tc>
        <w:tc>
          <w:tcPr>
            <w:tcW w:w="7071" w:type="dxa"/>
            <w:vAlign w:val="center"/>
          </w:tcPr>
          <w:p w14:paraId="2944892F" w14:textId="566FEDDA" w:rsidR="00F730D1" w:rsidRPr="00007760" w:rsidRDefault="0038195C" w:rsidP="00F730D1">
            <w:pPr>
              <w:spacing w:after="0"/>
              <w:ind w:left="0"/>
              <w:rPr>
                <w:rFonts w:cs="Calibri"/>
                <w:color w:val="000000"/>
                <w:szCs w:val="24"/>
              </w:rPr>
            </w:pPr>
            <w:r w:rsidRPr="00007760">
              <w:rPr>
                <w:rFonts w:cs="Calibri"/>
                <w:color w:val="000000"/>
                <w:szCs w:val="24"/>
              </w:rPr>
              <w:t>Reemployment Services</w:t>
            </w:r>
            <w:r>
              <w:rPr>
                <w:rFonts w:cs="Calibri"/>
                <w:color w:val="000000"/>
                <w:szCs w:val="24"/>
              </w:rPr>
              <w:t xml:space="preserve"> and Eligibility Assessment Outcomes</w:t>
            </w:r>
          </w:p>
        </w:tc>
      </w:tr>
      <w:tr w:rsidR="00F730D1" w:rsidRPr="00293F5E" w14:paraId="7AA2B4BD" w14:textId="77777777" w:rsidTr="006146A0">
        <w:trPr>
          <w:trHeight w:val="300"/>
        </w:trPr>
        <w:tc>
          <w:tcPr>
            <w:tcW w:w="691" w:type="dxa"/>
            <w:noWrap/>
            <w:vAlign w:val="center"/>
          </w:tcPr>
          <w:p w14:paraId="11332496" w14:textId="4F28DA5A" w:rsidR="00F730D1" w:rsidRPr="00007760" w:rsidRDefault="00F730D1" w:rsidP="00F730D1">
            <w:pPr>
              <w:spacing w:after="0"/>
              <w:ind w:left="0"/>
              <w:jc w:val="center"/>
              <w:rPr>
                <w:rFonts w:cs="Calibri"/>
                <w:color w:val="000000"/>
                <w:szCs w:val="24"/>
              </w:rPr>
            </w:pPr>
            <w:r>
              <w:rPr>
                <w:rFonts w:cs="Calibri"/>
                <w:color w:val="000000"/>
                <w:szCs w:val="24"/>
              </w:rPr>
              <w:t>28</w:t>
            </w:r>
          </w:p>
        </w:tc>
        <w:tc>
          <w:tcPr>
            <w:tcW w:w="1627" w:type="dxa"/>
            <w:noWrap/>
            <w:vAlign w:val="center"/>
          </w:tcPr>
          <w:p w14:paraId="720F4D94" w14:textId="397BF6F7" w:rsidR="00F730D1" w:rsidRPr="00007760" w:rsidRDefault="00F730D1" w:rsidP="00F730D1">
            <w:pPr>
              <w:spacing w:after="0"/>
              <w:ind w:left="0"/>
              <w:rPr>
                <w:rFonts w:cs="Calibri"/>
                <w:color w:val="000000"/>
                <w:szCs w:val="24"/>
              </w:rPr>
            </w:pPr>
            <w:r w:rsidRPr="00007760">
              <w:rPr>
                <w:rFonts w:cs="Calibri"/>
                <w:color w:val="000000"/>
                <w:szCs w:val="24"/>
              </w:rPr>
              <w:t>Quarterly</w:t>
            </w:r>
          </w:p>
        </w:tc>
        <w:tc>
          <w:tcPr>
            <w:tcW w:w="1800" w:type="dxa"/>
            <w:noWrap/>
            <w:vAlign w:val="center"/>
          </w:tcPr>
          <w:p w14:paraId="502024B8" w14:textId="0273F77A" w:rsidR="00F730D1" w:rsidRPr="00007760" w:rsidRDefault="00F730D1" w:rsidP="00F730D1">
            <w:pPr>
              <w:spacing w:after="0"/>
              <w:ind w:left="0"/>
              <w:rPr>
                <w:rFonts w:cs="Calibri"/>
                <w:color w:val="000000"/>
                <w:szCs w:val="24"/>
              </w:rPr>
            </w:pPr>
            <w:r>
              <w:rPr>
                <w:rFonts w:cs="Calibri"/>
                <w:color w:val="000000"/>
                <w:szCs w:val="24"/>
              </w:rPr>
              <w:t>9129X</w:t>
            </w:r>
          </w:p>
        </w:tc>
        <w:tc>
          <w:tcPr>
            <w:tcW w:w="7071" w:type="dxa"/>
            <w:vAlign w:val="center"/>
          </w:tcPr>
          <w:p w14:paraId="7C2D8DB8" w14:textId="51F9DBC6" w:rsidR="00F730D1" w:rsidRPr="00007760" w:rsidRDefault="0038195C" w:rsidP="00F730D1">
            <w:pPr>
              <w:spacing w:after="0"/>
              <w:ind w:left="0"/>
              <w:rPr>
                <w:rFonts w:cs="Calibri"/>
                <w:color w:val="000000"/>
                <w:szCs w:val="24"/>
              </w:rPr>
            </w:pPr>
            <w:r w:rsidRPr="00007760">
              <w:rPr>
                <w:rFonts w:cs="Calibri"/>
                <w:color w:val="000000"/>
                <w:szCs w:val="24"/>
              </w:rPr>
              <w:t>Reemployment Services</w:t>
            </w:r>
            <w:r>
              <w:rPr>
                <w:rFonts w:cs="Calibri"/>
                <w:color w:val="000000"/>
                <w:szCs w:val="24"/>
              </w:rPr>
              <w:t xml:space="preserve"> and Eligibility Assessment Outcomes</w:t>
            </w:r>
          </w:p>
        </w:tc>
      </w:tr>
      <w:tr w:rsidR="00605110" w:rsidRPr="00293F5E" w14:paraId="758895FD" w14:textId="77777777" w:rsidTr="006146A0">
        <w:trPr>
          <w:trHeight w:val="300"/>
        </w:trPr>
        <w:tc>
          <w:tcPr>
            <w:tcW w:w="691" w:type="dxa"/>
            <w:noWrap/>
            <w:vAlign w:val="center"/>
          </w:tcPr>
          <w:p w14:paraId="23754A01" w14:textId="7940AB58" w:rsidR="00605110" w:rsidRPr="00007760" w:rsidRDefault="00F730D1" w:rsidP="00605110">
            <w:pPr>
              <w:spacing w:after="0"/>
              <w:ind w:left="0"/>
              <w:jc w:val="center"/>
              <w:rPr>
                <w:rFonts w:cs="Calibri"/>
                <w:color w:val="000000"/>
                <w:szCs w:val="24"/>
              </w:rPr>
            </w:pPr>
            <w:r>
              <w:rPr>
                <w:rFonts w:cs="Calibri"/>
                <w:color w:val="000000"/>
                <w:szCs w:val="24"/>
              </w:rPr>
              <w:t>29</w:t>
            </w:r>
          </w:p>
        </w:tc>
        <w:tc>
          <w:tcPr>
            <w:tcW w:w="1627" w:type="dxa"/>
            <w:noWrap/>
            <w:vAlign w:val="center"/>
          </w:tcPr>
          <w:p w14:paraId="65A4DC0E" w14:textId="2A7C93CF" w:rsidR="00605110" w:rsidRPr="00007760" w:rsidRDefault="00605110" w:rsidP="00605110">
            <w:pPr>
              <w:spacing w:after="0"/>
              <w:ind w:left="0"/>
              <w:rPr>
                <w:rFonts w:cs="Calibri"/>
                <w:color w:val="000000"/>
                <w:szCs w:val="24"/>
              </w:rPr>
            </w:pPr>
            <w:r w:rsidRPr="00007760">
              <w:rPr>
                <w:rFonts w:cs="Calibri"/>
                <w:color w:val="000000"/>
                <w:szCs w:val="24"/>
              </w:rPr>
              <w:t>Quarterly</w:t>
            </w:r>
          </w:p>
        </w:tc>
        <w:tc>
          <w:tcPr>
            <w:tcW w:w="1800" w:type="dxa"/>
            <w:noWrap/>
            <w:vAlign w:val="center"/>
          </w:tcPr>
          <w:p w14:paraId="009B012C" w14:textId="3D246A67" w:rsidR="00605110" w:rsidRPr="00007760" w:rsidRDefault="00605110" w:rsidP="00605110">
            <w:pPr>
              <w:spacing w:after="0"/>
              <w:ind w:left="0"/>
              <w:rPr>
                <w:rFonts w:cs="Calibri"/>
                <w:color w:val="000000"/>
                <w:szCs w:val="24"/>
              </w:rPr>
            </w:pPr>
            <w:r w:rsidRPr="00007760">
              <w:rPr>
                <w:rFonts w:cs="Calibri"/>
                <w:color w:val="000000"/>
                <w:szCs w:val="24"/>
              </w:rPr>
              <w:t xml:space="preserve">UI-3 (ar,as,at) </w:t>
            </w:r>
          </w:p>
        </w:tc>
        <w:tc>
          <w:tcPr>
            <w:tcW w:w="7071" w:type="dxa"/>
            <w:vAlign w:val="center"/>
          </w:tcPr>
          <w:p w14:paraId="5588A0AB" w14:textId="6D97448C" w:rsidR="00605110" w:rsidRPr="00007760" w:rsidRDefault="00605110" w:rsidP="00605110">
            <w:pPr>
              <w:spacing w:after="0"/>
              <w:ind w:left="0"/>
              <w:rPr>
                <w:rFonts w:cs="Calibri"/>
                <w:color w:val="000000"/>
                <w:szCs w:val="24"/>
              </w:rPr>
            </w:pPr>
            <w:r w:rsidRPr="00007760">
              <w:rPr>
                <w:rFonts w:cs="Calibri"/>
                <w:color w:val="000000"/>
                <w:szCs w:val="24"/>
              </w:rPr>
              <w:t>Quarterly Financial Report</w:t>
            </w:r>
          </w:p>
        </w:tc>
      </w:tr>
      <w:tr w:rsidR="00605110" w:rsidRPr="00293F5E" w14:paraId="7E4B1F4D" w14:textId="77777777" w:rsidTr="006146A0">
        <w:trPr>
          <w:trHeight w:val="300"/>
        </w:trPr>
        <w:tc>
          <w:tcPr>
            <w:tcW w:w="691" w:type="dxa"/>
            <w:noWrap/>
            <w:vAlign w:val="center"/>
          </w:tcPr>
          <w:p w14:paraId="4E454BE2" w14:textId="5B40EE1F" w:rsidR="00605110" w:rsidRPr="00007760" w:rsidRDefault="00F730D1" w:rsidP="00605110">
            <w:pPr>
              <w:spacing w:after="0"/>
              <w:ind w:left="0"/>
              <w:jc w:val="center"/>
              <w:rPr>
                <w:rFonts w:cs="Calibri"/>
                <w:color w:val="000000"/>
                <w:szCs w:val="24"/>
              </w:rPr>
            </w:pPr>
            <w:r>
              <w:rPr>
                <w:rFonts w:cs="Calibri"/>
                <w:color w:val="000000"/>
                <w:szCs w:val="24"/>
              </w:rPr>
              <w:lastRenderedPageBreak/>
              <w:t>30</w:t>
            </w:r>
          </w:p>
        </w:tc>
        <w:tc>
          <w:tcPr>
            <w:tcW w:w="1627" w:type="dxa"/>
            <w:noWrap/>
            <w:vAlign w:val="center"/>
          </w:tcPr>
          <w:p w14:paraId="537CFA3D" w14:textId="083F4272" w:rsidR="00605110" w:rsidRPr="00007760" w:rsidRDefault="00605110" w:rsidP="00605110">
            <w:pPr>
              <w:spacing w:after="0"/>
              <w:ind w:left="0"/>
              <w:rPr>
                <w:rFonts w:cs="Calibri"/>
                <w:color w:val="000000"/>
                <w:szCs w:val="24"/>
              </w:rPr>
            </w:pPr>
            <w:r w:rsidRPr="00007760">
              <w:rPr>
                <w:rFonts w:cs="Calibri"/>
                <w:color w:val="000000"/>
                <w:szCs w:val="24"/>
              </w:rPr>
              <w:t>Annually</w:t>
            </w:r>
          </w:p>
        </w:tc>
        <w:tc>
          <w:tcPr>
            <w:tcW w:w="1800" w:type="dxa"/>
            <w:noWrap/>
            <w:vAlign w:val="center"/>
          </w:tcPr>
          <w:p w14:paraId="7C98C787" w14:textId="3912BAEC" w:rsidR="00605110" w:rsidRPr="00007760" w:rsidRDefault="00605110" w:rsidP="00605110">
            <w:pPr>
              <w:spacing w:after="0"/>
              <w:ind w:left="0"/>
              <w:rPr>
                <w:rFonts w:cs="Calibri"/>
                <w:color w:val="000000"/>
                <w:szCs w:val="24"/>
              </w:rPr>
            </w:pPr>
            <w:r w:rsidRPr="00007760">
              <w:rPr>
                <w:rFonts w:cs="Calibri"/>
                <w:color w:val="000000"/>
                <w:szCs w:val="24"/>
              </w:rPr>
              <w:t>204 (ar)</w:t>
            </w:r>
          </w:p>
        </w:tc>
        <w:tc>
          <w:tcPr>
            <w:tcW w:w="7071" w:type="dxa"/>
            <w:vAlign w:val="center"/>
          </w:tcPr>
          <w:p w14:paraId="0C2B904A" w14:textId="6DF74438" w:rsidR="00605110" w:rsidRPr="00007760" w:rsidRDefault="00605110" w:rsidP="00605110">
            <w:pPr>
              <w:spacing w:after="0"/>
              <w:ind w:left="0"/>
              <w:rPr>
                <w:rFonts w:cs="Calibri"/>
                <w:color w:val="000000"/>
                <w:szCs w:val="24"/>
              </w:rPr>
            </w:pPr>
            <w:r w:rsidRPr="00007760">
              <w:rPr>
                <w:rFonts w:cs="Calibri"/>
                <w:color w:val="000000"/>
                <w:szCs w:val="24"/>
              </w:rPr>
              <w:t>Experience Rating Report (Note:</w:t>
            </w:r>
            <w:r w:rsidR="00EE5622">
              <w:rPr>
                <w:rFonts w:cs="Calibri"/>
                <w:color w:val="000000"/>
                <w:szCs w:val="24"/>
              </w:rPr>
              <w:t xml:space="preserve"> </w:t>
            </w:r>
            <w:r w:rsidRPr="00007760">
              <w:rPr>
                <w:rFonts w:cs="Calibri"/>
                <w:color w:val="000000"/>
                <w:szCs w:val="24"/>
              </w:rPr>
              <w:t>204 &amp; 205</w:t>
            </w:r>
            <w:r w:rsidR="0034535D">
              <w:rPr>
                <w:rFonts w:cs="Calibri"/>
                <w:color w:val="000000"/>
                <w:szCs w:val="24"/>
              </w:rPr>
              <w:t xml:space="preserve"> report</w:t>
            </w:r>
            <w:r w:rsidRPr="00007760">
              <w:rPr>
                <w:rFonts w:cs="Calibri"/>
                <w:color w:val="000000"/>
                <w:szCs w:val="24"/>
              </w:rPr>
              <w:t xml:space="preserve"> were combined)</w:t>
            </w:r>
          </w:p>
        </w:tc>
      </w:tr>
      <w:tr w:rsidR="00605110" w:rsidRPr="00293F5E" w14:paraId="008B8420" w14:textId="77777777" w:rsidTr="006146A0">
        <w:trPr>
          <w:trHeight w:val="300"/>
        </w:trPr>
        <w:tc>
          <w:tcPr>
            <w:tcW w:w="691" w:type="dxa"/>
            <w:noWrap/>
            <w:vAlign w:val="center"/>
          </w:tcPr>
          <w:p w14:paraId="19DFD9C6" w14:textId="11345B30" w:rsidR="00605110" w:rsidRPr="00007760" w:rsidRDefault="00F730D1" w:rsidP="00605110">
            <w:pPr>
              <w:spacing w:after="0"/>
              <w:ind w:left="0"/>
              <w:jc w:val="center"/>
              <w:rPr>
                <w:rFonts w:cs="Calibri"/>
                <w:color w:val="000000"/>
                <w:szCs w:val="24"/>
              </w:rPr>
            </w:pPr>
            <w:r>
              <w:rPr>
                <w:rFonts w:cs="Calibri"/>
                <w:color w:val="000000"/>
                <w:szCs w:val="24"/>
              </w:rPr>
              <w:t>31</w:t>
            </w:r>
          </w:p>
        </w:tc>
        <w:tc>
          <w:tcPr>
            <w:tcW w:w="1627" w:type="dxa"/>
            <w:noWrap/>
            <w:vAlign w:val="center"/>
          </w:tcPr>
          <w:p w14:paraId="3BB24710" w14:textId="7DE4C582" w:rsidR="00605110" w:rsidRPr="00007760" w:rsidRDefault="00605110" w:rsidP="00605110">
            <w:pPr>
              <w:spacing w:after="0"/>
              <w:ind w:left="0"/>
              <w:rPr>
                <w:rFonts w:cs="Calibri"/>
                <w:color w:val="000000"/>
                <w:szCs w:val="24"/>
              </w:rPr>
            </w:pPr>
            <w:r w:rsidRPr="00007760">
              <w:rPr>
                <w:rFonts w:cs="Calibri"/>
                <w:color w:val="000000"/>
                <w:szCs w:val="24"/>
              </w:rPr>
              <w:t>Annually</w:t>
            </w:r>
          </w:p>
        </w:tc>
        <w:tc>
          <w:tcPr>
            <w:tcW w:w="1800" w:type="dxa"/>
            <w:noWrap/>
            <w:vAlign w:val="center"/>
          </w:tcPr>
          <w:p w14:paraId="415D0B40" w14:textId="1E99D0D8" w:rsidR="00605110" w:rsidRPr="00007760" w:rsidRDefault="00605110" w:rsidP="00605110">
            <w:pPr>
              <w:spacing w:after="0"/>
              <w:ind w:left="0"/>
              <w:rPr>
                <w:rFonts w:cs="Calibri"/>
                <w:color w:val="000000"/>
                <w:szCs w:val="24"/>
              </w:rPr>
            </w:pPr>
            <w:r w:rsidRPr="00007760">
              <w:rPr>
                <w:rFonts w:cs="Calibri"/>
                <w:color w:val="000000"/>
                <w:szCs w:val="24"/>
              </w:rPr>
              <w:t xml:space="preserve">UI-1 (ar) </w:t>
            </w:r>
          </w:p>
        </w:tc>
        <w:tc>
          <w:tcPr>
            <w:tcW w:w="7071" w:type="dxa"/>
            <w:vAlign w:val="center"/>
          </w:tcPr>
          <w:p w14:paraId="2985794F" w14:textId="76376F6B" w:rsidR="00605110" w:rsidRPr="00007760" w:rsidRDefault="00605110" w:rsidP="00605110">
            <w:pPr>
              <w:spacing w:after="0"/>
              <w:ind w:left="0"/>
              <w:rPr>
                <w:rFonts w:cs="Calibri"/>
                <w:color w:val="000000"/>
                <w:szCs w:val="24"/>
              </w:rPr>
            </w:pPr>
            <w:r w:rsidRPr="00007760">
              <w:rPr>
                <w:rFonts w:cs="Calibri"/>
                <w:color w:val="000000"/>
                <w:szCs w:val="24"/>
              </w:rPr>
              <w:t>UI Travel Staff Years and Leave Hours</w:t>
            </w:r>
          </w:p>
        </w:tc>
      </w:tr>
    </w:tbl>
    <w:p w14:paraId="545D46EC" w14:textId="36612FEE" w:rsidR="0067479A" w:rsidRDefault="0067479A" w:rsidP="00605110"/>
    <w:p w14:paraId="0FBDCFB0" w14:textId="2E0006C9" w:rsidR="002E0B23" w:rsidRPr="00A244D2" w:rsidRDefault="009B186F" w:rsidP="002E0B23">
      <w:pPr>
        <w:rPr>
          <w:rFonts w:eastAsia="Verdana,Times New Roman" w:cs="Verdana,Times New Roman"/>
          <w:b/>
          <w:bCs/>
          <w:u w:val="single"/>
        </w:rPr>
      </w:pPr>
      <w:r>
        <w:rPr>
          <w:rFonts w:eastAsia="Verdana,Times New Roman" w:cs="Verdana,Times New Roman"/>
          <w:b/>
          <w:bCs/>
          <w:u w:val="single"/>
        </w:rPr>
        <w:t>UIO&amp;CS</w:t>
      </w:r>
      <w:r w:rsidR="002E0B23">
        <w:rPr>
          <w:rFonts w:eastAsia="Verdana,Times New Roman" w:cs="Verdana,Times New Roman"/>
          <w:b/>
          <w:bCs/>
          <w:u w:val="single"/>
        </w:rPr>
        <w:t xml:space="preserve"> </w:t>
      </w:r>
      <w:r w:rsidR="002E0B23" w:rsidRPr="00A244D2">
        <w:rPr>
          <w:rFonts w:eastAsia="Verdana,Times New Roman" w:cs="Verdana,Times New Roman"/>
          <w:b/>
          <w:bCs/>
          <w:u w:val="single"/>
        </w:rPr>
        <w:t>Reports</w:t>
      </w:r>
    </w:p>
    <w:tbl>
      <w:tblPr>
        <w:tblStyle w:val="TableGrid"/>
        <w:tblW w:w="11099" w:type="dxa"/>
        <w:tblInd w:w="-72" w:type="dxa"/>
        <w:tblLayout w:type="fixed"/>
        <w:tblLook w:val="04A0" w:firstRow="1" w:lastRow="0" w:firstColumn="1" w:lastColumn="0" w:noHBand="0" w:noVBand="1"/>
        <w:tblDescription w:val="Table of Benefits reports"/>
      </w:tblPr>
      <w:tblGrid>
        <w:gridCol w:w="684"/>
        <w:gridCol w:w="1677"/>
        <w:gridCol w:w="1775"/>
        <w:gridCol w:w="6963"/>
      </w:tblGrid>
      <w:tr w:rsidR="002E0B23" w:rsidRPr="005625A5" w14:paraId="1FE96653" w14:textId="77777777" w:rsidTr="002E0B23">
        <w:trPr>
          <w:trHeight w:val="258"/>
          <w:tblHeader/>
        </w:trPr>
        <w:tc>
          <w:tcPr>
            <w:tcW w:w="684" w:type="dxa"/>
            <w:shd w:val="clear" w:color="auto" w:fill="DEEAF6" w:themeFill="accent1" w:themeFillTint="33"/>
            <w:vAlign w:val="center"/>
          </w:tcPr>
          <w:p w14:paraId="533E08ED" w14:textId="77777777" w:rsidR="002E0B23" w:rsidRPr="001A193D" w:rsidRDefault="002E0B23" w:rsidP="00B37FF8">
            <w:pPr>
              <w:spacing w:after="0"/>
              <w:ind w:left="0"/>
              <w:jc w:val="center"/>
              <w:rPr>
                <w:b/>
                <w:i/>
                <w:color w:val="1F3864" w:themeColor="accent5" w:themeShade="80"/>
              </w:rPr>
            </w:pPr>
            <w:r w:rsidRPr="001A193D">
              <w:rPr>
                <w:rFonts w:cs="Arial"/>
                <w:b/>
                <w:color w:val="1F3864" w:themeColor="accent5" w:themeShade="80"/>
              </w:rPr>
              <w:t>#</w:t>
            </w:r>
          </w:p>
        </w:tc>
        <w:tc>
          <w:tcPr>
            <w:tcW w:w="1677" w:type="dxa"/>
            <w:shd w:val="clear" w:color="auto" w:fill="DEEAF6" w:themeFill="accent1" w:themeFillTint="33"/>
            <w:vAlign w:val="center"/>
          </w:tcPr>
          <w:p w14:paraId="0DE95C7E" w14:textId="77777777" w:rsidR="002E0B23" w:rsidRPr="001A193D" w:rsidRDefault="002E0B23" w:rsidP="00B37FF8">
            <w:pPr>
              <w:spacing w:after="0"/>
              <w:ind w:left="0"/>
              <w:rPr>
                <w:b/>
                <w:i/>
                <w:color w:val="1F3864" w:themeColor="accent5" w:themeShade="80"/>
              </w:rPr>
            </w:pPr>
            <w:r w:rsidRPr="001A193D">
              <w:rPr>
                <w:rFonts w:cs="Arial"/>
                <w:b/>
                <w:color w:val="1F3864" w:themeColor="accent5" w:themeShade="80"/>
              </w:rPr>
              <w:t>Frequency</w:t>
            </w:r>
          </w:p>
        </w:tc>
        <w:tc>
          <w:tcPr>
            <w:tcW w:w="1775" w:type="dxa"/>
            <w:shd w:val="clear" w:color="auto" w:fill="DEEAF6" w:themeFill="accent1" w:themeFillTint="33"/>
            <w:vAlign w:val="center"/>
          </w:tcPr>
          <w:p w14:paraId="4C8E12EF" w14:textId="77777777" w:rsidR="002E0B23" w:rsidRPr="001A193D" w:rsidRDefault="002E0B23" w:rsidP="00B37FF8">
            <w:pPr>
              <w:spacing w:after="0"/>
              <w:ind w:left="0"/>
              <w:rPr>
                <w:b/>
                <w:i/>
                <w:color w:val="1F3864" w:themeColor="accent5" w:themeShade="80"/>
              </w:rPr>
            </w:pPr>
            <w:r w:rsidRPr="001A193D">
              <w:rPr>
                <w:rFonts w:cs="Arial"/>
                <w:b/>
                <w:color w:val="1F3864" w:themeColor="accent5" w:themeShade="80"/>
              </w:rPr>
              <w:t>Name</w:t>
            </w:r>
          </w:p>
        </w:tc>
        <w:tc>
          <w:tcPr>
            <w:tcW w:w="6963" w:type="dxa"/>
            <w:shd w:val="clear" w:color="auto" w:fill="DEEAF6" w:themeFill="accent1" w:themeFillTint="33"/>
            <w:vAlign w:val="center"/>
          </w:tcPr>
          <w:p w14:paraId="01792768" w14:textId="77777777" w:rsidR="002E0B23" w:rsidRPr="001A193D" w:rsidRDefault="002E0B23" w:rsidP="00B37FF8">
            <w:pPr>
              <w:spacing w:after="0"/>
              <w:ind w:left="0"/>
              <w:rPr>
                <w:b/>
                <w:i/>
                <w:color w:val="1F3864" w:themeColor="accent5" w:themeShade="80"/>
              </w:rPr>
            </w:pPr>
            <w:r w:rsidRPr="001A193D">
              <w:rPr>
                <w:rFonts w:cs="Arial"/>
                <w:b/>
                <w:color w:val="1F3864" w:themeColor="accent5" w:themeShade="80"/>
              </w:rPr>
              <w:t>Overview</w:t>
            </w:r>
          </w:p>
        </w:tc>
      </w:tr>
      <w:tr w:rsidR="008234CC" w:rsidRPr="00293F5E" w14:paraId="61AB7422" w14:textId="77777777" w:rsidTr="008234CC">
        <w:trPr>
          <w:trHeight w:val="300"/>
        </w:trPr>
        <w:tc>
          <w:tcPr>
            <w:tcW w:w="684" w:type="dxa"/>
            <w:noWrap/>
            <w:vAlign w:val="center"/>
          </w:tcPr>
          <w:p w14:paraId="7C4E7501" w14:textId="5CD63BE3" w:rsidR="008234CC" w:rsidRPr="008234CC" w:rsidRDefault="008234CC" w:rsidP="008234CC">
            <w:pPr>
              <w:spacing w:after="0"/>
              <w:ind w:left="0"/>
              <w:jc w:val="center"/>
              <w:rPr>
                <w:rFonts w:cs="Calibri"/>
                <w:color w:val="000000"/>
                <w:szCs w:val="24"/>
              </w:rPr>
            </w:pPr>
            <w:r w:rsidRPr="008234CC">
              <w:rPr>
                <w:rFonts w:cs="Calibri"/>
                <w:color w:val="000000"/>
                <w:szCs w:val="24"/>
              </w:rPr>
              <w:t>1</w:t>
            </w:r>
          </w:p>
        </w:tc>
        <w:tc>
          <w:tcPr>
            <w:tcW w:w="1677" w:type="dxa"/>
            <w:noWrap/>
            <w:vAlign w:val="center"/>
          </w:tcPr>
          <w:p w14:paraId="68EBA7DD" w14:textId="5A62A369" w:rsidR="008234CC" w:rsidRDefault="008234CC" w:rsidP="008234CC">
            <w:pPr>
              <w:spacing w:after="0"/>
              <w:ind w:left="0"/>
              <w:rPr>
                <w:color w:val="000000"/>
                <w:szCs w:val="24"/>
              </w:rPr>
            </w:pPr>
            <w:r>
              <w:rPr>
                <w:color w:val="000000"/>
                <w:szCs w:val="24"/>
              </w:rPr>
              <w:t>Daily</w:t>
            </w:r>
          </w:p>
        </w:tc>
        <w:tc>
          <w:tcPr>
            <w:tcW w:w="1775" w:type="dxa"/>
            <w:noWrap/>
            <w:vAlign w:val="center"/>
          </w:tcPr>
          <w:p w14:paraId="3393B6E8" w14:textId="026F9037" w:rsidR="008234CC" w:rsidRDefault="008234CC" w:rsidP="008234CC">
            <w:pPr>
              <w:spacing w:after="0"/>
              <w:ind w:left="0"/>
              <w:rPr>
                <w:color w:val="000000"/>
                <w:szCs w:val="24"/>
              </w:rPr>
            </w:pPr>
            <w:r>
              <w:t>IB Transaction processed yesterday</w:t>
            </w:r>
          </w:p>
        </w:tc>
        <w:tc>
          <w:tcPr>
            <w:tcW w:w="6963" w:type="dxa"/>
            <w:vAlign w:val="center"/>
          </w:tcPr>
          <w:p w14:paraId="44DCB228" w14:textId="635739BE" w:rsidR="008234CC" w:rsidRDefault="008234CC" w:rsidP="008234CC">
            <w:pPr>
              <w:spacing w:after="0"/>
              <w:ind w:left="0"/>
              <w:rPr>
                <w:color w:val="000000"/>
                <w:szCs w:val="24"/>
              </w:rPr>
            </w:pPr>
            <w:r>
              <w:t>Provides daily account of IB transactions exported to ICON HUB from the benefits system, and received by the ICON HUB</w:t>
            </w:r>
          </w:p>
        </w:tc>
      </w:tr>
      <w:tr w:rsidR="008234CC" w:rsidRPr="00293F5E" w14:paraId="36759C6C" w14:textId="77777777" w:rsidTr="008234CC">
        <w:trPr>
          <w:trHeight w:val="300"/>
        </w:trPr>
        <w:tc>
          <w:tcPr>
            <w:tcW w:w="684" w:type="dxa"/>
            <w:noWrap/>
            <w:vAlign w:val="center"/>
          </w:tcPr>
          <w:p w14:paraId="68A358D1" w14:textId="0253B0DC" w:rsidR="008234CC" w:rsidRPr="008234CC" w:rsidRDefault="008234CC" w:rsidP="008234CC">
            <w:pPr>
              <w:spacing w:after="0"/>
              <w:ind w:left="0"/>
              <w:jc w:val="center"/>
              <w:rPr>
                <w:rFonts w:cs="Calibri"/>
                <w:color w:val="000000"/>
                <w:szCs w:val="24"/>
              </w:rPr>
            </w:pPr>
            <w:r w:rsidRPr="008234CC">
              <w:rPr>
                <w:rFonts w:cs="Calibri"/>
                <w:color w:val="000000"/>
                <w:szCs w:val="24"/>
              </w:rPr>
              <w:t>2</w:t>
            </w:r>
          </w:p>
        </w:tc>
        <w:tc>
          <w:tcPr>
            <w:tcW w:w="1677" w:type="dxa"/>
            <w:noWrap/>
            <w:vAlign w:val="center"/>
          </w:tcPr>
          <w:p w14:paraId="5D933A9E" w14:textId="75875DC5" w:rsidR="008234CC" w:rsidRDefault="008234CC" w:rsidP="008234CC">
            <w:pPr>
              <w:spacing w:after="0"/>
              <w:ind w:left="0"/>
              <w:rPr>
                <w:color w:val="000000"/>
                <w:szCs w:val="24"/>
              </w:rPr>
            </w:pPr>
            <w:r>
              <w:rPr>
                <w:color w:val="000000"/>
                <w:szCs w:val="24"/>
              </w:rPr>
              <w:t>Daily</w:t>
            </w:r>
          </w:p>
        </w:tc>
        <w:tc>
          <w:tcPr>
            <w:tcW w:w="1775" w:type="dxa"/>
            <w:noWrap/>
            <w:vAlign w:val="center"/>
          </w:tcPr>
          <w:p w14:paraId="743CA06D" w14:textId="673E89E3" w:rsidR="008234CC" w:rsidRDefault="008234CC" w:rsidP="008234CC">
            <w:pPr>
              <w:spacing w:after="0"/>
              <w:ind w:left="0"/>
              <w:rPr>
                <w:color w:val="000000"/>
                <w:szCs w:val="24"/>
              </w:rPr>
            </w:pPr>
            <w:r>
              <w:t>IB Transaction received yesterday</w:t>
            </w:r>
          </w:p>
        </w:tc>
        <w:tc>
          <w:tcPr>
            <w:tcW w:w="6963" w:type="dxa"/>
            <w:vAlign w:val="center"/>
          </w:tcPr>
          <w:p w14:paraId="54E37E6A" w14:textId="1FD3788B" w:rsidR="008234CC" w:rsidRDefault="008234CC" w:rsidP="008234CC">
            <w:pPr>
              <w:spacing w:after="0"/>
              <w:ind w:left="0"/>
              <w:rPr>
                <w:color w:val="000000"/>
                <w:szCs w:val="24"/>
              </w:rPr>
            </w:pPr>
            <w:r>
              <w:t>Provides daily account summary of received IB transaction into the benefits and total amount of items exported from ICON HUB</w:t>
            </w:r>
          </w:p>
        </w:tc>
      </w:tr>
      <w:tr w:rsidR="008234CC" w:rsidRPr="00293F5E" w14:paraId="5C8D7BCC" w14:textId="77777777" w:rsidTr="008234CC">
        <w:trPr>
          <w:trHeight w:val="300"/>
        </w:trPr>
        <w:tc>
          <w:tcPr>
            <w:tcW w:w="684" w:type="dxa"/>
            <w:noWrap/>
            <w:vAlign w:val="center"/>
          </w:tcPr>
          <w:p w14:paraId="40D49ACB" w14:textId="2D7E37F5" w:rsidR="008234CC" w:rsidRPr="008234CC" w:rsidRDefault="008234CC" w:rsidP="008234CC">
            <w:pPr>
              <w:spacing w:after="0"/>
              <w:ind w:left="0"/>
              <w:jc w:val="center"/>
              <w:rPr>
                <w:rFonts w:cs="Calibri"/>
                <w:color w:val="000000"/>
                <w:szCs w:val="24"/>
              </w:rPr>
            </w:pPr>
            <w:r w:rsidRPr="008234CC">
              <w:rPr>
                <w:rFonts w:cs="Calibri"/>
                <w:color w:val="000000"/>
                <w:szCs w:val="24"/>
              </w:rPr>
              <w:t>3</w:t>
            </w:r>
          </w:p>
        </w:tc>
        <w:tc>
          <w:tcPr>
            <w:tcW w:w="1677" w:type="dxa"/>
            <w:noWrap/>
            <w:vAlign w:val="center"/>
          </w:tcPr>
          <w:p w14:paraId="374323BB" w14:textId="70C3D2CC" w:rsidR="008234CC" w:rsidRDefault="008234CC" w:rsidP="008234CC">
            <w:pPr>
              <w:spacing w:after="0"/>
              <w:ind w:left="0"/>
              <w:rPr>
                <w:color w:val="000000"/>
                <w:szCs w:val="24"/>
              </w:rPr>
            </w:pPr>
            <w:r>
              <w:rPr>
                <w:color w:val="000000"/>
                <w:szCs w:val="24"/>
              </w:rPr>
              <w:t>Daily</w:t>
            </w:r>
          </w:p>
        </w:tc>
        <w:tc>
          <w:tcPr>
            <w:tcW w:w="1775" w:type="dxa"/>
            <w:noWrap/>
            <w:vAlign w:val="center"/>
          </w:tcPr>
          <w:p w14:paraId="25BE8970" w14:textId="4BBEA35F" w:rsidR="008234CC" w:rsidRDefault="008234CC" w:rsidP="008234CC">
            <w:pPr>
              <w:spacing w:after="0"/>
              <w:ind w:left="0"/>
              <w:rPr>
                <w:color w:val="000000"/>
                <w:szCs w:val="24"/>
              </w:rPr>
            </w:pPr>
            <w:r>
              <w:t>UCFE transactions Received</w:t>
            </w:r>
          </w:p>
        </w:tc>
        <w:tc>
          <w:tcPr>
            <w:tcW w:w="6963" w:type="dxa"/>
            <w:vAlign w:val="center"/>
          </w:tcPr>
          <w:p w14:paraId="19AB52A0" w14:textId="0F3BC3C6" w:rsidR="008234CC" w:rsidRDefault="008234CC" w:rsidP="008234CC">
            <w:pPr>
              <w:spacing w:after="0"/>
              <w:ind w:left="0"/>
              <w:rPr>
                <w:color w:val="000000"/>
                <w:szCs w:val="24"/>
              </w:rPr>
            </w:pPr>
            <w:r>
              <w:t>Provides count of UCFE records sent to and from HUB from benefits system</w:t>
            </w:r>
          </w:p>
        </w:tc>
      </w:tr>
      <w:tr w:rsidR="008234CC" w:rsidRPr="00293F5E" w14:paraId="3FF51F74" w14:textId="77777777" w:rsidTr="008234CC">
        <w:trPr>
          <w:trHeight w:val="300"/>
        </w:trPr>
        <w:tc>
          <w:tcPr>
            <w:tcW w:w="684" w:type="dxa"/>
            <w:noWrap/>
            <w:vAlign w:val="center"/>
            <w:hideMark/>
          </w:tcPr>
          <w:p w14:paraId="02ED1799" w14:textId="538D0056" w:rsidR="008234CC" w:rsidRPr="008234CC" w:rsidRDefault="008234CC" w:rsidP="008234CC">
            <w:pPr>
              <w:spacing w:after="0"/>
              <w:ind w:left="0"/>
              <w:jc w:val="center"/>
              <w:rPr>
                <w:rFonts w:cs="Calibri"/>
                <w:color w:val="000000"/>
                <w:szCs w:val="24"/>
              </w:rPr>
            </w:pPr>
            <w:r w:rsidRPr="008234CC">
              <w:rPr>
                <w:rFonts w:cs="Calibri"/>
                <w:color w:val="000000"/>
                <w:szCs w:val="24"/>
              </w:rPr>
              <w:t>4</w:t>
            </w:r>
          </w:p>
        </w:tc>
        <w:tc>
          <w:tcPr>
            <w:tcW w:w="1677" w:type="dxa"/>
            <w:noWrap/>
            <w:vAlign w:val="center"/>
          </w:tcPr>
          <w:p w14:paraId="5CAEF2EA" w14:textId="77777777" w:rsidR="008234CC" w:rsidRPr="00293F5E" w:rsidRDefault="008234CC" w:rsidP="008234CC">
            <w:pPr>
              <w:spacing w:after="0"/>
              <w:ind w:left="0"/>
              <w:rPr>
                <w:rFonts w:ascii="Calibri" w:hAnsi="Calibri" w:cs="Calibri"/>
                <w:color w:val="000000"/>
                <w:szCs w:val="22"/>
              </w:rPr>
            </w:pPr>
            <w:r>
              <w:rPr>
                <w:color w:val="000000"/>
                <w:szCs w:val="24"/>
              </w:rPr>
              <w:t>Daily-Weekly</w:t>
            </w:r>
          </w:p>
        </w:tc>
        <w:tc>
          <w:tcPr>
            <w:tcW w:w="1775" w:type="dxa"/>
            <w:noWrap/>
            <w:vAlign w:val="center"/>
          </w:tcPr>
          <w:p w14:paraId="3EA9ECE7" w14:textId="77777777" w:rsidR="008234CC" w:rsidRPr="004B4E82" w:rsidRDefault="008234CC" w:rsidP="008234CC">
            <w:pPr>
              <w:spacing w:after="0"/>
              <w:ind w:left="0"/>
              <w:rPr>
                <w:color w:val="000000"/>
              </w:rPr>
            </w:pPr>
            <w:r>
              <w:rPr>
                <w:color w:val="000000"/>
                <w:szCs w:val="24"/>
              </w:rPr>
              <w:t>BNDC741F</w:t>
            </w:r>
          </w:p>
        </w:tc>
        <w:tc>
          <w:tcPr>
            <w:tcW w:w="6963" w:type="dxa"/>
            <w:vAlign w:val="center"/>
          </w:tcPr>
          <w:p w14:paraId="17F227FF" w14:textId="203A9C3E" w:rsidR="008234CC" w:rsidRPr="004B4E82" w:rsidRDefault="001621FF" w:rsidP="008234CC">
            <w:pPr>
              <w:spacing w:after="0"/>
              <w:ind w:left="0"/>
              <w:rPr>
                <w:color w:val="000000"/>
              </w:rPr>
            </w:pPr>
            <w:r>
              <w:rPr>
                <w:color w:val="000000"/>
                <w:szCs w:val="24"/>
              </w:rPr>
              <w:t>P</w:t>
            </w:r>
            <w:r w:rsidR="008234CC">
              <w:rPr>
                <w:color w:val="000000"/>
                <w:szCs w:val="24"/>
              </w:rPr>
              <w:t xml:space="preserve">aper and electronic versions of IB6 bills </w:t>
            </w:r>
          </w:p>
        </w:tc>
      </w:tr>
      <w:tr w:rsidR="008234CC" w:rsidRPr="00293F5E" w14:paraId="4C97DDF1" w14:textId="77777777" w:rsidTr="008234CC">
        <w:trPr>
          <w:trHeight w:val="300"/>
        </w:trPr>
        <w:tc>
          <w:tcPr>
            <w:tcW w:w="684" w:type="dxa"/>
            <w:noWrap/>
            <w:vAlign w:val="center"/>
            <w:hideMark/>
          </w:tcPr>
          <w:p w14:paraId="39C4795C" w14:textId="16D4BF0F" w:rsidR="008234CC" w:rsidRPr="00C8400B" w:rsidRDefault="008234CC" w:rsidP="008234CC">
            <w:pPr>
              <w:spacing w:after="0"/>
              <w:ind w:left="0"/>
              <w:jc w:val="center"/>
              <w:rPr>
                <w:rFonts w:cs="Calibri"/>
                <w:color w:val="000000"/>
                <w:szCs w:val="24"/>
              </w:rPr>
            </w:pPr>
            <w:r w:rsidRPr="008234CC">
              <w:rPr>
                <w:rFonts w:cs="Calibri"/>
                <w:color w:val="000000"/>
                <w:szCs w:val="24"/>
              </w:rPr>
              <w:t>5</w:t>
            </w:r>
          </w:p>
        </w:tc>
        <w:tc>
          <w:tcPr>
            <w:tcW w:w="1677" w:type="dxa"/>
            <w:noWrap/>
            <w:vAlign w:val="center"/>
          </w:tcPr>
          <w:p w14:paraId="41709E8E" w14:textId="77777777" w:rsidR="008234CC" w:rsidRPr="00293F5E" w:rsidRDefault="008234CC" w:rsidP="008234CC">
            <w:pPr>
              <w:spacing w:after="0"/>
              <w:ind w:left="0"/>
              <w:rPr>
                <w:rFonts w:ascii="Calibri" w:hAnsi="Calibri" w:cs="Calibri"/>
                <w:color w:val="000000"/>
                <w:szCs w:val="22"/>
              </w:rPr>
            </w:pPr>
            <w:r>
              <w:rPr>
                <w:color w:val="000000"/>
                <w:szCs w:val="24"/>
              </w:rPr>
              <w:t>Daily-Weekly</w:t>
            </w:r>
          </w:p>
        </w:tc>
        <w:tc>
          <w:tcPr>
            <w:tcW w:w="1775" w:type="dxa"/>
            <w:noWrap/>
            <w:vAlign w:val="center"/>
          </w:tcPr>
          <w:p w14:paraId="187F8927" w14:textId="77777777" w:rsidR="008234CC" w:rsidRPr="004B4E82" w:rsidRDefault="008234CC" w:rsidP="008234CC">
            <w:pPr>
              <w:spacing w:after="0"/>
              <w:ind w:left="0"/>
              <w:rPr>
                <w:color w:val="000000"/>
              </w:rPr>
            </w:pPr>
            <w:r>
              <w:rPr>
                <w:color w:val="000000"/>
                <w:szCs w:val="24"/>
              </w:rPr>
              <w:t>BNDC745F</w:t>
            </w:r>
          </w:p>
        </w:tc>
        <w:tc>
          <w:tcPr>
            <w:tcW w:w="6963" w:type="dxa"/>
            <w:vAlign w:val="center"/>
          </w:tcPr>
          <w:p w14:paraId="6FBD4F4B" w14:textId="77777777" w:rsidR="008234CC" w:rsidRPr="004B4E82" w:rsidRDefault="008234CC" w:rsidP="008234CC">
            <w:pPr>
              <w:spacing w:after="0"/>
              <w:ind w:left="0"/>
              <w:rPr>
                <w:color w:val="000000"/>
              </w:rPr>
            </w:pPr>
            <w:r>
              <w:rPr>
                <w:color w:val="000000"/>
                <w:szCs w:val="24"/>
              </w:rPr>
              <w:t xml:space="preserve">IB-6 Discrepancy Letters </w:t>
            </w:r>
          </w:p>
        </w:tc>
      </w:tr>
      <w:tr w:rsidR="008234CC" w:rsidRPr="00293F5E" w14:paraId="7DA64982" w14:textId="77777777" w:rsidTr="008234CC">
        <w:trPr>
          <w:trHeight w:val="300"/>
        </w:trPr>
        <w:tc>
          <w:tcPr>
            <w:tcW w:w="684" w:type="dxa"/>
            <w:noWrap/>
            <w:vAlign w:val="center"/>
            <w:hideMark/>
          </w:tcPr>
          <w:p w14:paraId="792A3D64" w14:textId="721C9E66" w:rsidR="008234CC" w:rsidRPr="00C8400B" w:rsidRDefault="008234CC" w:rsidP="008234CC">
            <w:pPr>
              <w:spacing w:after="0"/>
              <w:ind w:left="0"/>
              <w:jc w:val="center"/>
              <w:rPr>
                <w:rFonts w:cs="Calibri"/>
                <w:color w:val="000000"/>
                <w:szCs w:val="24"/>
              </w:rPr>
            </w:pPr>
            <w:r w:rsidRPr="00C8400B">
              <w:rPr>
                <w:rFonts w:cs="Calibri"/>
                <w:color w:val="000000"/>
                <w:szCs w:val="24"/>
              </w:rPr>
              <w:t>6</w:t>
            </w:r>
          </w:p>
        </w:tc>
        <w:tc>
          <w:tcPr>
            <w:tcW w:w="1677" w:type="dxa"/>
            <w:noWrap/>
            <w:vAlign w:val="center"/>
          </w:tcPr>
          <w:p w14:paraId="6482132C" w14:textId="50EFB995" w:rsidR="008234CC" w:rsidRPr="00293F5E" w:rsidRDefault="008234CC" w:rsidP="008234CC">
            <w:pPr>
              <w:spacing w:after="0"/>
              <w:ind w:left="0"/>
              <w:rPr>
                <w:rFonts w:ascii="Calibri" w:hAnsi="Calibri" w:cs="Calibri"/>
                <w:color w:val="000000"/>
                <w:szCs w:val="22"/>
              </w:rPr>
            </w:pPr>
            <w:r>
              <w:rPr>
                <w:color w:val="000000"/>
                <w:szCs w:val="24"/>
              </w:rPr>
              <w:t>Daily-Weekly</w:t>
            </w:r>
          </w:p>
        </w:tc>
        <w:tc>
          <w:tcPr>
            <w:tcW w:w="1775" w:type="dxa"/>
            <w:noWrap/>
            <w:vAlign w:val="center"/>
          </w:tcPr>
          <w:p w14:paraId="6D2663E9" w14:textId="3FEA506B" w:rsidR="008234CC" w:rsidRPr="004B4E82" w:rsidRDefault="008234CC" w:rsidP="008234CC">
            <w:pPr>
              <w:spacing w:after="0"/>
              <w:ind w:left="0"/>
              <w:rPr>
                <w:color w:val="000000"/>
              </w:rPr>
            </w:pPr>
            <w:r>
              <w:rPr>
                <w:color w:val="000000"/>
                <w:szCs w:val="24"/>
              </w:rPr>
              <w:t>BNDD473F</w:t>
            </w:r>
          </w:p>
        </w:tc>
        <w:tc>
          <w:tcPr>
            <w:tcW w:w="6963" w:type="dxa"/>
            <w:vAlign w:val="center"/>
          </w:tcPr>
          <w:p w14:paraId="74D3D52E" w14:textId="1929EE14" w:rsidR="008234CC" w:rsidRPr="004B4E82" w:rsidRDefault="008234CC" w:rsidP="008234CC">
            <w:pPr>
              <w:spacing w:after="0"/>
              <w:ind w:left="0"/>
              <w:rPr>
                <w:color w:val="000000"/>
              </w:rPr>
            </w:pPr>
            <w:r>
              <w:rPr>
                <w:color w:val="000000"/>
                <w:szCs w:val="24"/>
              </w:rPr>
              <w:t>TRA/TRX Overpayment report (this could be changed to a work item)</w:t>
            </w:r>
          </w:p>
        </w:tc>
      </w:tr>
      <w:tr w:rsidR="008234CC" w:rsidRPr="00293F5E" w14:paraId="460EA39C" w14:textId="77777777" w:rsidTr="008234CC">
        <w:trPr>
          <w:trHeight w:val="300"/>
        </w:trPr>
        <w:tc>
          <w:tcPr>
            <w:tcW w:w="684" w:type="dxa"/>
            <w:noWrap/>
            <w:vAlign w:val="center"/>
            <w:hideMark/>
          </w:tcPr>
          <w:p w14:paraId="6F5EED8B" w14:textId="4E8569FF" w:rsidR="008234CC" w:rsidRPr="00C8400B" w:rsidRDefault="008234CC" w:rsidP="008234CC">
            <w:pPr>
              <w:spacing w:after="0"/>
              <w:ind w:left="0"/>
              <w:jc w:val="center"/>
              <w:rPr>
                <w:rFonts w:cs="Calibri"/>
                <w:color w:val="000000"/>
                <w:szCs w:val="24"/>
              </w:rPr>
            </w:pPr>
            <w:r w:rsidRPr="008234CC">
              <w:rPr>
                <w:rFonts w:cs="Calibri"/>
                <w:color w:val="000000"/>
                <w:szCs w:val="24"/>
              </w:rPr>
              <w:t>7</w:t>
            </w:r>
          </w:p>
        </w:tc>
        <w:tc>
          <w:tcPr>
            <w:tcW w:w="1677" w:type="dxa"/>
            <w:noWrap/>
            <w:vAlign w:val="center"/>
          </w:tcPr>
          <w:p w14:paraId="27CBEE4D" w14:textId="0E0765E5" w:rsidR="008234CC" w:rsidRPr="00293F5E" w:rsidRDefault="008234CC" w:rsidP="008234CC">
            <w:pPr>
              <w:spacing w:after="0"/>
              <w:ind w:left="0"/>
              <w:rPr>
                <w:rFonts w:ascii="Calibri" w:hAnsi="Calibri" w:cs="Calibri"/>
                <w:color w:val="000000"/>
                <w:szCs w:val="22"/>
              </w:rPr>
            </w:pPr>
            <w:r>
              <w:rPr>
                <w:color w:val="000000"/>
                <w:szCs w:val="24"/>
              </w:rPr>
              <w:t>Daily-Weekly</w:t>
            </w:r>
          </w:p>
        </w:tc>
        <w:tc>
          <w:tcPr>
            <w:tcW w:w="1775" w:type="dxa"/>
            <w:noWrap/>
            <w:vAlign w:val="center"/>
          </w:tcPr>
          <w:p w14:paraId="5581BCBD" w14:textId="4C3D5B41" w:rsidR="008234CC" w:rsidRPr="004B4E82" w:rsidRDefault="008234CC" w:rsidP="008234CC">
            <w:pPr>
              <w:spacing w:after="0"/>
              <w:ind w:left="0"/>
              <w:rPr>
                <w:color w:val="000000"/>
              </w:rPr>
            </w:pPr>
            <w:r>
              <w:rPr>
                <w:color w:val="000000"/>
                <w:szCs w:val="24"/>
              </w:rPr>
              <w:t>BNDI485P</w:t>
            </w:r>
          </w:p>
        </w:tc>
        <w:tc>
          <w:tcPr>
            <w:tcW w:w="6963" w:type="dxa"/>
            <w:vAlign w:val="center"/>
          </w:tcPr>
          <w:p w14:paraId="6D328469" w14:textId="5C9C64D8" w:rsidR="008234CC" w:rsidRPr="004B4E82" w:rsidRDefault="008234CC" w:rsidP="008234CC">
            <w:pPr>
              <w:spacing w:after="0"/>
              <w:ind w:left="0"/>
              <w:rPr>
                <w:color w:val="000000"/>
              </w:rPr>
            </w:pPr>
            <w:r>
              <w:rPr>
                <w:color w:val="000000"/>
                <w:szCs w:val="24"/>
              </w:rPr>
              <w:t>Mass Claims Error Report (this could be changed to a work item)</w:t>
            </w:r>
          </w:p>
        </w:tc>
      </w:tr>
      <w:tr w:rsidR="008234CC" w:rsidRPr="00293F5E" w14:paraId="6AACFCD2" w14:textId="77777777" w:rsidTr="008234CC">
        <w:trPr>
          <w:trHeight w:val="300"/>
        </w:trPr>
        <w:tc>
          <w:tcPr>
            <w:tcW w:w="684" w:type="dxa"/>
            <w:noWrap/>
            <w:vAlign w:val="center"/>
            <w:hideMark/>
          </w:tcPr>
          <w:p w14:paraId="3AA76E11" w14:textId="60D0229F" w:rsidR="008234CC" w:rsidRPr="00C8400B" w:rsidRDefault="008234CC" w:rsidP="008234CC">
            <w:pPr>
              <w:spacing w:after="0"/>
              <w:ind w:left="0"/>
              <w:jc w:val="center"/>
              <w:rPr>
                <w:rFonts w:cs="Calibri"/>
                <w:color w:val="000000"/>
                <w:szCs w:val="24"/>
              </w:rPr>
            </w:pPr>
            <w:r w:rsidRPr="00C8400B">
              <w:rPr>
                <w:rFonts w:cs="Calibri"/>
                <w:color w:val="000000"/>
                <w:szCs w:val="24"/>
              </w:rPr>
              <w:t>8</w:t>
            </w:r>
          </w:p>
        </w:tc>
        <w:tc>
          <w:tcPr>
            <w:tcW w:w="1677" w:type="dxa"/>
            <w:noWrap/>
            <w:vAlign w:val="center"/>
          </w:tcPr>
          <w:p w14:paraId="44364636" w14:textId="79074948" w:rsidR="008234CC" w:rsidRPr="00293F5E" w:rsidRDefault="008234CC" w:rsidP="008234CC">
            <w:pPr>
              <w:spacing w:after="0"/>
              <w:ind w:left="0"/>
              <w:rPr>
                <w:rFonts w:ascii="Calibri" w:hAnsi="Calibri" w:cs="Calibri"/>
                <w:color w:val="000000"/>
                <w:szCs w:val="22"/>
              </w:rPr>
            </w:pPr>
            <w:r>
              <w:rPr>
                <w:color w:val="000000"/>
                <w:szCs w:val="24"/>
              </w:rPr>
              <w:t>Daily-Weekly</w:t>
            </w:r>
          </w:p>
        </w:tc>
        <w:tc>
          <w:tcPr>
            <w:tcW w:w="1775" w:type="dxa"/>
            <w:noWrap/>
            <w:vAlign w:val="center"/>
          </w:tcPr>
          <w:p w14:paraId="71305CC2" w14:textId="59BFC983" w:rsidR="008234CC" w:rsidRPr="004B4E82" w:rsidRDefault="008234CC" w:rsidP="008234CC">
            <w:pPr>
              <w:spacing w:after="0"/>
              <w:ind w:left="0"/>
              <w:rPr>
                <w:color w:val="000000"/>
              </w:rPr>
            </w:pPr>
            <w:r>
              <w:rPr>
                <w:color w:val="000000"/>
                <w:szCs w:val="24"/>
              </w:rPr>
              <w:t>BNDI995P</w:t>
            </w:r>
          </w:p>
        </w:tc>
        <w:tc>
          <w:tcPr>
            <w:tcW w:w="6963" w:type="dxa"/>
            <w:vAlign w:val="center"/>
          </w:tcPr>
          <w:p w14:paraId="676361D4" w14:textId="4FE35996" w:rsidR="008234CC" w:rsidRPr="004B4E82" w:rsidRDefault="008234CC" w:rsidP="008234CC">
            <w:pPr>
              <w:spacing w:after="0"/>
              <w:ind w:left="0"/>
              <w:rPr>
                <w:color w:val="000000"/>
              </w:rPr>
            </w:pPr>
            <w:r>
              <w:rPr>
                <w:color w:val="000000"/>
                <w:szCs w:val="24"/>
              </w:rPr>
              <w:t xml:space="preserve">Unverified SSN Report </w:t>
            </w:r>
          </w:p>
        </w:tc>
      </w:tr>
      <w:tr w:rsidR="008234CC" w:rsidRPr="00293F5E" w14:paraId="0A755197" w14:textId="77777777" w:rsidTr="008234CC">
        <w:trPr>
          <w:trHeight w:val="300"/>
        </w:trPr>
        <w:tc>
          <w:tcPr>
            <w:tcW w:w="684" w:type="dxa"/>
            <w:noWrap/>
            <w:vAlign w:val="center"/>
            <w:hideMark/>
          </w:tcPr>
          <w:p w14:paraId="096BF955" w14:textId="28731A35" w:rsidR="008234CC" w:rsidRPr="00C8400B" w:rsidRDefault="008234CC" w:rsidP="008234CC">
            <w:pPr>
              <w:spacing w:after="0"/>
              <w:ind w:left="0"/>
              <w:jc w:val="center"/>
              <w:rPr>
                <w:rFonts w:cs="Calibri"/>
                <w:color w:val="000000"/>
                <w:szCs w:val="24"/>
              </w:rPr>
            </w:pPr>
            <w:r w:rsidRPr="008234CC">
              <w:rPr>
                <w:rFonts w:cs="Calibri"/>
                <w:color w:val="000000"/>
                <w:szCs w:val="24"/>
              </w:rPr>
              <w:t>9</w:t>
            </w:r>
          </w:p>
        </w:tc>
        <w:tc>
          <w:tcPr>
            <w:tcW w:w="1677" w:type="dxa"/>
            <w:noWrap/>
            <w:vAlign w:val="center"/>
          </w:tcPr>
          <w:p w14:paraId="0E48DAB8" w14:textId="308E3D2E" w:rsidR="008234CC" w:rsidRPr="00293F5E" w:rsidRDefault="008234CC" w:rsidP="008234CC">
            <w:pPr>
              <w:spacing w:after="0"/>
              <w:ind w:left="0"/>
              <w:rPr>
                <w:rFonts w:ascii="Calibri" w:hAnsi="Calibri" w:cs="Calibri"/>
                <w:color w:val="000000"/>
                <w:szCs w:val="22"/>
              </w:rPr>
            </w:pPr>
            <w:r>
              <w:rPr>
                <w:color w:val="000000"/>
                <w:szCs w:val="24"/>
              </w:rPr>
              <w:t>Daily-Weekly</w:t>
            </w:r>
          </w:p>
        </w:tc>
        <w:tc>
          <w:tcPr>
            <w:tcW w:w="1775" w:type="dxa"/>
            <w:vAlign w:val="center"/>
          </w:tcPr>
          <w:p w14:paraId="1BFB7819" w14:textId="01CC2558" w:rsidR="008234CC" w:rsidRPr="004B4E82" w:rsidRDefault="008234CC" w:rsidP="008234CC">
            <w:pPr>
              <w:spacing w:after="0"/>
              <w:ind w:left="0"/>
              <w:rPr>
                <w:color w:val="000000"/>
              </w:rPr>
            </w:pPr>
            <w:r>
              <w:rPr>
                <w:color w:val="000000"/>
                <w:szCs w:val="24"/>
              </w:rPr>
              <w:t>BNDM885P</w:t>
            </w:r>
          </w:p>
        </w:tc>
        <w:tc>
          <w:tcPr>
            <w:tcW w:w="6963" w:type="dxa"/>
            <w:vAlign w:val="center"/>
          </w:tcPr>
          <w:p w14:paraId="193B13DA" w14:textId="05645B84" w:rsidR="008234CC" w:rsidRPr="004B4E82" w:rsidRDefault="008234CC" w:rsidP="008234CC">
            <w:pPr>
              <w:spacing w:after="0"/>
              <w:ind w:left="0"/>
              <w:rPr>
                <w:color w:val="000000"/>
              </w:rPr>
            </w:pPr>
            <w:r>
              <w:rPr>
                <w:color w:val="000000"/>
                <w:szCs w:val="24"/>
              </w:rPr>
              <w:t>Wage Investigation Outcome Report</w:t>
            </w:r>
          </w:p>
        </w:tc>
      </w:tr>
      <w:tr w:rsidR="008234CC" w:rsidRPr="00293F5E" w14:paraId="2986333C" w14:textId="77777777" w:rsidTr="008234CC">
        <w:trPr>
          <w:trHeight w:val="300"/>
        </w:trPr>
        <w:tc>
          <w:tcPr>
            <w:tcW w:w="684" w:type="dxa"/>
            <w:noWrap/>
            <w:vAlign w:val="center"/>
            <w:hideMark/>
          </w:tcPr>
          <w:p w14:paraId="51C7B498" w14:textId="798FC02C" w:rsidR="008234CC" w:rsidRPr="00C8400B" w:rsidRDefault="008234CC" w:rsidP="008234CC">
            <w:pPr>
              <w:spacing w:after="0"/>
              <w:ind w:left="0"/>
              <w:jc w:val="center"/>
              <w:rPr>
                <w:rFonts w:cs="Calibri"/>
                <w:color w:val="000000"/>
                <w:szCs w:val="24"/>
              </w:rPr>
            </w:pPr>
            <w:r w:rsidRPr="00C8400B">
              <w:rPr>
                <w:rFonts w:cs="Calibri"/>
                <w:color w:val="000000"/>
                <w:szCs w:val="24"/>
              </w:rPr>
              <w:t>10</w:t>
            </w:r>
          </w:p>
        </w:tc>
        <w:tc>
          <w:tcPr>
            <w:tcW w:w="1677" w:type="dxa"/>
            <w:noWrap/>
            <w:vAlign w:val="center"/>
          </w:tcPr>
          <w:p w14:paraId="75680189" w14:textId="0179A060" w:rsidR="008234CC" w:rsidRPr="00293F5E" w:rsidRDefault="008234CC" w:rsidP="008234CC">
            <w:pPr>
              <w:spacing w:after="0"/>
              <w:ind w:left="0"/>
              <w:rPr>
                <w:rFonts w:ascii="Calibri" w:hAnsi="Calibri" w:cs="Calibri"/>
                <w:color w:val="000000"/>
                <w:szCs w:val="22"/>
              </w:rPr>
            </w:pPr>
            <w:r>
              <w:rPr>
                <w:color w:val="000000"/>
                <w:szCs w:val="24"/>
              </w:rPr>
              <w:t>Daily-Weekly</w:t>
            </w:r>
          </w:p>
        </w:tc>
        <w:tc>
          <w:tcPr>
            <w:tcW w:w="1775" w:type="dxa"/>
            <w:noWrap/>
            <w:vAlign w:val="center"/>
          </w:tcPr>
          <w:p w14:paraId="320FC833" w14:textId="4E9FD7AD" w:rsidR="008234CC" w:rsidRPr="004B4E82" w:rsidRDefault="008234CC" w:rsidP="008234CC">
            <w:pPr>
              <w:spacing w:after="0"/>
              <w:ind w:left="0"/>
              <w:rPr>
                <w:color w:val="000000"/>
              </w:rPr>
            </w:pPr>
            <w:r>
              <w:rPr>
                <w:color w:val="000000"/>
                <w:szCs w:val="24"/>
              </w:rPr>
              <w:t>BNDM925P</w:t>
            </w:r>
          </w:p>
        </w:tc>
        <w:tc>
          <w:tcPr>
            <w:tcW w:w="6963" w:type="dxa"/>
            <w:vAlign w:val="center"/>
          </w:tcPr>
          <w:p w14:paraId="228027DE" w14:textId="606FF7FC" w:rsidR="008234CC" w:rsidRPr="004B4E82" w:rsidRDefault="008234CC" w:rsidP="008234CC">
            <w:pPr>
              <w:spacing w:after="0"/>
              <w:ind w:left="0"/>
              <w:rPr>
                <w:color w:val="000000"/>
              </w:rPr>
            </w:pPr>
            <w:r>
              <w:rPr>
                <w:color w:val="000000"/>
                <w:szCs w:val="24"/>
              </w:rPr>
              <w:t>Monetary Parameters Changes-displays changes made to monetary parameters</w:t>
            </w:r>
          </w:p>
        </w:tc>
      </w:tr>
      <w:tr w:rsidR="008234CC" w:rsidRPr="00293F5E" w14:paraId="1DF82A84" w14:textId="77777777" w:rsidTr="008234CC">
        <w:trPr>
          <w:trHeight w:val="300"/>
        </w:trPr>
        <w:tc>
          <w:tcPr>
            <w:tcW w:w="684" w:type="dxa"/>
            <w:noWrap/>
            <w:vAlign w:val="center"/>
            <w:hideMark/>
          </w:tcPr>
          <w:p w14:paraId="1C68587F" w14:textId="7BFAE90F" w:rsidR="008234CC" w:rsidRPr="00C8400B" w:rsidRDefault="008234CC" w:rsidP="008234CC">
            <w:pPr>
              <w:spacing w:after="0"/>
              <w:ind w:left="0"/>
              <w:jc w:val="center"/>
              <w:rPr>
                <w:rFonts w:cs="Calibri"/>
                <w:color w:val="000000"/>
                <w:szCs w:val="24"/>
              </w:rPr>
            </w:pPr>
            <w:r w:rsidRPr="008234CC">
              <w:rPr>
                <w:rFonts w:cs="Calibri"/>
                <w:color w:val="000000"/>
                <w:szCs w:val="24"/>
              </w:rPr>
              <w:t>11</w:t>
            </w:r>
          </w:p>
        </w:tc>
        <w:tc>
          <w:tcPr>
            <w:tcW w:w="1677" w:type="dxa"/>
            <w:noWrap/>
            <w:vAlign w:val="center"/>
          </w:tcPr>
          <w:p w14:paraId="6A17AF7D" w14:textId="2D357B6D" w:rsidR="008234CC" w:rsidRPr="00293F5E" w:rsidRDefault="008234CC" w:rsidP="008234CC">
            <w:pPr>
              <w:spacing w:after="0"/>
              <w:ind w:left="0"/>
              <w:rPr>
                <w:rFonts w:ascii="Calibri" w:hAnsi="Calibri" w:cs="Calibri"/>
                <w:color w:val="000000"/>
                <w:szCs w:val="22"/>
              </w:rPr>
            </w:pPr>
            <w:r>
              <w:rPr>
                <w:color w:val="000000"/>
                <w:szCs w:val="24"/>
              </w:rPr>
              <w:t>Daily-Weekly</w:t>
            </w:r>
          </w:p>
        </w:tc>
        <w:tc>
          <w:tcPr>
            <w:tcW w:w="1775" w:type="dxa"/>
            <w:noWrap/>
            <w:vAlign w:val="center"/>
          </w:tcPr>
          <w:p w14:paraId="29B446D2" w14:textId="08FA0650" w:rsidR="008234CC" w:rsidRPr="004B4E82" w:rsidRDefault="008234CC" w:rsidP="008234CC">
            <w:pPr>
              <w:spacing w:after="0"/>
              <w:ind w:left="0"/>
              <w:rPr>
                <w:color w:val="000000"/>
              </w:rPr>
            </w:pPr>
            <w:r>
              <w:rPr>
                <w:color w:val="000000"/>
                <w:szCs w:val="24"/>
              </w:rPr>
              <w:t>BNDO554P</w:t>
            </w:r>
          </w:p>
        </w:tc>
        <w:tc>
          <w:tcPr>
            <w:tcW w:w="6963" w:type="dxa"/>
            <w:vAlign w:val="center"/>
          </w:tcPr>
          <w:p w14:paraId="040DBC29" w14:textId="398EAA76" w:rsidR="008234CC" w:rsidRPr="004B4E82" w:rsidRDefault="008234CC" w:rsidP="008234CC">
            <w:pPr>
              <w:spacing w:after="0"/>
              <w:ind w:left="0"/>
              <w:rPr>
                <w:color w:val="000000"/>
              </w:rPr>
            </w:pPr>
            <w:r>
              <w:rPr>
                <w:color w:val="000000"/>
                <w:szCs w:val="24"/>
              </w:rPr>
              <w:t>TOP Payment Register Report</w:t>
            </w:r>
          </w:p>
        </w:tc>
      </w:tr>
      <w:tr w:rsidR="008234CC" w:rsidRPr="00293F5E" w14:paraId="5F1ED348" w14:textId="77777777" w:rsidTr="008234CC">
        <w:trPr>
          <w:trHeight w:val="300"/>
        </w:trPr>
        <w:tc>
          <w:tcPr>
            <w:tcW w:w="684" w:type="dxa"/>
            <w:noWrap/>
            <w:vAlign w:val="center"/>
            <w:hideMark/>
          </w:tcPr>
          <w:p w14:paraId="5483D794" w14:textId="12E2A215" w:rsidR="008234CC" w:rsidRPr="00C8400B" w:rsidRDefault="008234CC" w:rsidP="008234CC">
            <w:pPr>
              <w:spacing w:after="0"/>
              <w:ind w:left="0"/>
              <w:jc w:val="center"/>
              <w:rPr>
                <w:rFonts w:cs="Calibri"/>
                <w:color w:val="000000"/>
                <w:szCs w:val="24"/>
              </w:rPr>
            </w:pPr>
            <w:r w:rsidRPr="00C8400B">
              <w:rPr>
                <w:rFonts w:cs="Calibri"/>
                <w:color w:val="000000"/>
                <w:szCs w:val="24"/>
              </w:rPr>
              <w:t>12</w:t>
            </w:r>
          </w:p>
        </w:tc>
        <w:tc>
          <w:tcPr>
            <w:tcW w:w="1677" w:type="dxa"/>
            <w:noWrap/>
            <w:vAlign w:val="center"/>
          </w:tcPr>
          <w:p w14:paraId="60F2297F" w14:textId="5725DCBC" w:rsidR="008234CC" w:rsidRPr="00293F5E" w:rsidRDefault="008234CC" w:rsidP="008234CC">
            <w:pPr>
              <w:spacing w:after="0"/>
              <w:ind w:left="0"/>
              <w:rPr>
                <w:rFonts w:ascii="Calibri" w:hAnsi="Calibri" w:cs="Calibri"/>
                <w:color w:val="000000"/>
                <w:szCs w:val="22"/>
              </w:rPr>
            </w:pPr>
            <w:r>
              <w:rPr>
                <w:color w:val="000000"/>
                <w:szCs w:val="24"/>
              </w:rPr>
              <w:t>Daily-Weekly</w:t>
            </w:r>
          </w:p>
        </w:tc>
        <w:tc>
          <w:tcPr>
            <w:tcW w:w="1775" w:type="dxa"/>
            <w:noWrap/>
            <w:vAlign w:val="center"/>
          </w:tcPr>
          <w:p w14:paraId="452EDA15" w14:textId="182A8A8A" w:rsidR="008234CC" w:rsidRPr="004B4E82" w:rsidRDefault="008234CC" w:rsidP="008234CC">
            <w:pPr>
              <w:spacing w:after="0"/>
              <w:ind w:left="0"/>
              <w:rPr>
                <w:color w:val="000000"/>
              </w:rPr>
            </w:pPr>
            <w:r>
              <w:rPr>
                <w:color w:val="000000"/>
                <w:szCs w:val="24"/>
              </w:rPr>
              <w:t>BNDO555P</w:t>
            </w:r>
          </w:p>
        </w:tc>
        <w:tc>
          <w:tcPr>
            <w:tcW w:w="6963" w:type="dxa"/>
            <w:vAlign w:val="center"/>
          </w:tcPr>
          <w:p w14:paraId="31713584" w14:textId="4357394F" w:rsidR="008234CC" w:rsidRPr="004B4E82" w:rsidRDefault="008234CC" w:rsidP="008234CC">
            <w:pPr>
              <w:spacing w:after="0"/>
              <w:ind w:left="0"/>
              <w:rPr>
                <w:color w:val="000000"/>
              </w:rPr>
            </w:pPr>
            <w:r>
              <w:rPr>
                <w:color w:val="000000"/>
                <w:szCs w:val="24"/>
              </w:rPr>
              <w:t>TOP TUC Payment Register Report</w:t>
            </w:r>
          </w:p>
        </w:tc>
      </w:tr>
      <w:tr w:rsidR="008234CC" w:rsidRPr="00293F5E" w14:paraId="41CAE54E" w14:textId="77777777" w:rsidTr="008234CC">
        <w:trPr>
          <w:trHeight w:val="300"/>
        </w:trPr>
        <w:tc>
          <w:tcPr>
            <w:tcW w:w="684" w:type="dxa"/>
            <w:noWrap/>
            <w:vAlign w:val="center"/>
            <w:hideMark/>
          </w:tcPr>
          <w:p w14:paraId="3C9C5230" w14:textId="56BAA418" w:rsidR="008234CC" w:rsidRPr="00C8400B" w:rsidRDefault="008234CC" w:rsidP="008234CC">
            <w:pPr>
              <w:spacing w:after="0"/>
              <w:ind w:left="0"/>
              <w:jc w:val="center"/>
              <w:rPr>
                <w:rFonts w:cs="Calibri"/>
                <w:color w:val="000000"/>
                <w:szCs w:val="24"/>
              </w:rPr>
            </w:pPr>
            <w:r w:rsidRPr="008234CC">
              <w:rPr>
                <w:rFonts w:cs="Calibri"/>
                <w:color w:val="000000"/>
                <w:szCs w:val="24"/>
              </w:rPr>
              <w:t>13</w:t>
            </w:r>
          </w:p>
        </w:tc>
        <w:tc>
          <w:tcPr>
            <w:tcW w:w="1677" w:type="dxa"/>
            <w:noWrap/>
            <w:vAlign w:val="center"/>
          </w:tcPr>
          <w:p w14:paraId="5409DDE4" w14:textId="66E186CA" w:rsidR="008234CC" w:rsidRPr="00293F5E" w:rsidRDefault="008234CC" w:rsidP="008234CC">
            <w:pPr>
              <w:spacing w:after="0"/>
              <w:ind w:left="0"/>
              <w:rPr>
                <w:rFonts w:ascii="Calibri" w:hAnsi="Calibri" w:cs="Calibri"/>
                <w:color w:val="000000"/>
                <w:szCs w:val="22"/>
              </w:rPr>
            </w:pPr>
            <w:r>
              <w:rPr>
                <w:color w:val="000000"/>
                <w:szCs w:val="24"/>
              </w:rPr>
              <w:t>Daily-Weekly</w:t>
            </w:r>
          </w:p>
        </w:tc>
        <w:tc>
          <w:tcPr>
            <w:tcW w:w="1775" w:type="dxa"/>
            <w:noWrap/>
            <w:vAlign w:val="center"/>
          </w:tcPr>
          <w:p w14:paraId="19926798" w14:textId="22C9C4D4" w:rsidR="008234CC" w:rsidRPr="004B4E82" w:rsidRDefault="008234CC" w:rsidP="008234CC">
            <w:pPr>
              <w:spacing w:after="0"/>
              <w:ind w:left="0"/>
              <w:rPr>
                <w:color w:val="000000"/>
              </w:rPr>
            </w:pPr>
            <w:r>
              <w:rPr>
                <w:color w:val="000000"/>
                <w:szCs w:val="24"/>
              </w:rPr>
              <w:t>BNDO558P</w:t>
            </w:r>
          </w:p>
        </w:tc>
        <w:tc>
          <w:tcPr>
            <w:tcW w:w="6963" w:type="dxa"/>
            <w:vAlign w:val="center"/>
          </w:tcPr>
          <w:p w14:paraId="209CFE0C" w14:textId="179A9F69" w:rsidR="008234CC" w:rsidRPr="004B4E82" w:rsidRDefault="008234CC" w:rsidP="008234CC">
            <w:pPr>
              <w:spacing w:after="0"/>
              <w:ind w:left="0"/>
              <w:rPr>
                <w:color w:val="000000"/>
              </w:rPr>
            </w:pPr>
            <w:r>
              <w:rPr>
                <w:color w:val="000000"/>
                <w:szCs w:val="24"/>
              </w:rPr>
              <w:t>TOP EXB Payment Register Report</w:t>
            </w:r>
          </w:p>
        </w:tc>
      </w:tr>
      <w:tr w:rsidR="008234CC" w:rsidRPr="00293F5E" w14:paraId="449808D4" w14:textId="77777777" w:rsidTr="008234CC">
        <w:trPr>
          <w:trHeight w:val="315"/>
        </w:trPr>
        <w:tc>
          <w:tcPr>
            <w:tcW w:w="684" w:type="dxa"/>
            <w:noWrap/>
            <w:vAlign w:val="center"/>
            <w:hideMark/>
          </w:tcPr>
          <w:p w14:paraId="1FCBBE19" w14:textId="477E8237" w:rsidR="008234CC" w:rsidRPr="00C8400B" w:rsidRDefault="008234CC" w:rsidP="008234CC">
            <w:pPr>
              <w:spacing w:after="0"/>
              <w:ind w:left="0"/>
              <w:jc w:val="center"/>
              <w:rPr>
                <w:rFonts w:cs="Calibri"/>
                <w:color w:val="000000"/>
                <w:szCs w:val="24"/>
              </w:rPr>
            </w:pPr>
            <w:r w:rsidRPr="00C8400B">
              <w:rPr>
                <w:rFonts w:cs="Calibri"/>
                <w:color w:val="000000"/>
                <w:szCs w:val="24"/>
              </w:rPr>
              <w:t>14</w:t>
            </w:r>
          </w:p>
        </w:tc>
        <w:tc>
          <w:tcPr>
            <w:tcW w:w="1677" w:type="dxa"/>
            <w:noWrap/>
            <w:vAlign w:val="center"/>
          </w:tcPr>
          <w:p w14:paraId="664899F9" w14:textId="0193E335" w:rsidR="008234CC" w:rsidRPr="00293F5E" w:rsidRDefault="008234CC" w:rsidP="008234CC">
            <w:pPr>
              <w:spacing w:after="0"/>
              <w:ind w:left="0"/>
              <w:rPr>
                <w:rFonts w:ascii="Calibri" w:hAnsi="Calibri" w:cs="Calibri"/>
                <w:color w:val="000000"/>
                <w:szCs w:val="22"/>
              </w:rPr>
            </w:pPr>
            <w:r>
              <w:rPr>
                <w:color w:val="000000"/>
                <w:szCs w:val="24"/>
              </w:rPr>
              <w:t>Daily-Weekly</w:t>
            </w:r>
          </w:p>
        </w:tc>
        <w:tc>
          <w:tcPr>
            <w:tcW w:w="1775" w:type="dxa"/>
            <w:noWrap/>
            <w:vAlign w:val="center"/>
          </w:tcPr>
          <w:p w14:paraId="0A47DDF2" w14:textId="4C24960D" w:rsidR="008234CC" w:rsidRPr="004B4E82" w:rsidRDefault="008234CC" w:rsidP="008234CC">
            <w:pPr>
              <w:spacing w:after="0"/>
              <w:ind w:left="0"/>
              <w:rPr>
                <w:color w:val="000000"/>
              </w:rPr>
            </w:pPr>
            <w:r>
              <w:rPr>
                <w:color w:val="000000"/>
                <w:szCs w:val="24"/>
              </w:rPr>
              <w:t>BNDP181P</w:t>
            </w:r>
          </w:p>
        </w:tc>
        <w:tc>
          <w:tcPr>
            <w:tcW w:w="6963" w:type="dxa"/>
            <w:vAlign w:val="center"/>
          </w:tcPr>
          <w:p w14:paraId="021A4364" w14:textId="6756FE49" w:rsidR="008234CC" w:rsidRPr="00421F99" w:rsidRDefault="008234CC" w:rsidP="008234CC">
            <w:pPr>
              <w:spacing w:after="0"/>
              <w:ind w:left="0"/>
              <w:rPr>
                <w:color w:val="000000"/>
                <w:szCs w:val="24"/>
              </w:rPr>
            </w:pPr>
            <w:r w:rsidRPr="00421F99">
              <w:rPr>
                <w:color w:val="000000"/>
                <w:szCs w:val="24"/>
              </w:rPr>
              <w:t xml:space="preserve">Non-mon </w:t>
            </w:r>
            <w:r w:rsidR="00FA2BCD">
              <w:rPr>
                <w:color w:val="000000"/>
                <w:szCs w:val="24"/>
              </w:rPr>
              <w:t xml:space="preserve">Payment </w:t>
            </w:r>
            <w:r w:rsidRPr="00421F99">
              <w:rPr>
                <w:color w:val="000000"/>
                <w:szCs w:val="24"/>
              </w:rPr>
              <w:t>Trigger Removal</w:t>
            </w:r>
          </w:p>
        </w:tc>
      </w:tr>
      <w:tr w:rsidR="008234CC" w:rsidRPr="00293F5E" w14:paraId="086AC671" w14:textId="77777777" w:rsidTr="008234CC">
        <w:trPr>
          <w:trHeight w:val="300"/>
        </w:trPr>
        <w:tc>
          <w:tcPr>
            <w:tcW w:w="684" w:type="dxa"/>
            <w:noWrap/>
            <w:vAlign w:val="center"/>
            <w:hideMark/>
          </w:tcPr>
          <w:p w14:paraId="17977B05" w14:textId="0ED64979" w:rsidR="008234CC" w:rsidRPr="00C8400B" w:rsidRDefault="008234CC" w:rsidP="008234CC">
            <w:pPr>
              <w:spacing w:after="0"/>
              <w:ind w:left="0"/>
              <w:jc w:val="center"/>
              <w:rPr>
                <w:rFonts w:cs="Calibri"/>
                <w:color w:val="000000"/>
                <w:szCs w:val="24"/>
              </w:rPr>
            </w:pPr>
            <w:r w:rsidRPr="008234CC">
              <w:rPr>
                <w:rFonts w:cs="Calibri"/>
                <w:color w:val="000000"/>
                <w:szCs w:val="24"/>
              </w:rPr>
              <w:lastRenderedPageBreak/>
              <w:t>15</w:t>
            </w:r>
          </w:p>
        </w:tc>
        <w:tc>
          <w:tcPr>
            <w:tcW w:w="1677" w:type="dxa"/>
            <w:noWrap/>
            <w:vAlign w:val="center"/>
          </w:tcPr>
          <w:p w14:paraId="29573CAB" w14:textId="6DF3B538" w:rsidR="008234CC" w:rsidRPr="00293F5E" w:rsidRDefault="008234CC" w:rsidP="008234CC">
            <w:pPr>
              <w:spacing w:after="0"/>
              <w:ind w:left="0"/>
              <w:rPr>
                <w:rFonts w:ascii="Calibri" w:hAnsi="Calibri" w:cs="Calibri"/>
                <w:color w:val="000000"/>
                <w:szCs w:val="22"/>
              </w:rPr>
            </w:pPr>
            <w:r>
              <w:rPr>
                <w:color w:val="000000"/>
                <w:szCs w:val="24"/>
              </w:rPr>
              <w:t>Daily-Weekly</w:t>
            </w:r>
          </w:p>
        </w:tc>
        <w:tc>
          <w:tcPr>
            <w:tcW w:w="1775" w:type="dxa"/>
            <w:noWrap/>
            <w:vAlign w:val="center"/>
          </w:tcPr>
          <w:p w14:paraId="12BF3B66" w14:textId="66F928CD" w:rsidR="008234CC" w:rsidRPr="004B4E82" w:rsidRDefault="008234CC" w:rsidP="008234CC">
            <w:pPr>
              <w:spacing w:after="0"/>
              <w:ind w:left="0"/>
              <w:rPr>
                <w:color w:val="000000"/>
              </w:rPr>
            </w:pPr>
            <w:r>
              <w:rPr>
                <w:color w:val="000000"/>
                <w:szCs w:val="24"/>
              </w:rPr>
              <w:t>BNDQ980P</w:t>
            </w:r>
          </w:p>
        </w:tc>
        <w:tc>
          <w:tcPr>
            <w:tcW w:w="6963" w:type="dxa"/>
            <w:vAlign w:val="center"/>
          </w:tcPr>
          <w:p w14:paraId="4D567246" w14:textId="7B534CC4" w:rsidR="008234CC" w:rsidRPr="004B4E82" w:rsidRDefault="008234CC" w:rsidP="008234CC">
            <w:pPr>
              <w:spacing w:after="0"/>
              <w:ind w:left="0"/>
              <w:rPr>
                <w:color w:val="000000"/>
              </w:rPr>
            </w:pPr>
            <w:r>
              <w:rPr>
                <w:color w:val="000000"/>
                <w:szCs w:val="24"/>
              </w:rPr>
              <w:t xml:space="preserve">TRA-NFT Claim Exhaust (list of exhausted claims, does not have data most of the time, seems to relate to EUC) </w:t>
            </w:r>
          </w:p>
        </w:tc>
      </w:tr>
      <w:tr w:rsidR="008234CC" w:rsidRPr="00293F5E" w14:paraId="7707B2B6" w14:textId="77777777" w:rsidTr="008234CC">
        <w:trPr>
          <w:trHeight w:val="300"/>
        </w:trPr>
        <w:tc>
          <w:tcPr>
            <w:tcW w:w="684" w:type="dxa"/>
            <w:noWrap/>
            <w:vAlign w:val="center"/>
            <w:hideMark/>
          </w:tcPr>
          <w:p w14:paraId="034B9CD2" w14:textId="0C107AA8" w:rsidR="008234CC" w:rsidRPr="00C8400B" w:rsidRDefault="008234CC" w:rsidP="008234CC">
            <w:pPr>
              <w:spacing w:after="0"/>
              <w:ind w:left="0"/>
              <w:jc w:val="center"/>
              <w:rPr>
                <w:rFonts w:cs="Calibri"/>
                <w:color w:val="000000"/>
                <w:szCs w:val="24"/>
              </w:rPr>
            </w:pPr>
            <w:r w:rsidRPr="00C8400B">
              <w:rPr>
                <w:rFonts w:cs="Calibri"/>
                <w:color w:val="000000"/>
                <w:szCs w:val="24"/>
              </w:rPr>
              <w:t>16</w:t>
            </w:r>
          </w:p>
        </w:tc>
        <w:tc>
          <w:tcPr>
            <w:tcW w:w="1677" w:type="dxa"/>
            <w:noWrap/>
            <w:vAlign w:val="center"/>
          </w:tcPr>
          <w:p w14:paraId="06CBC782" w14:textId="633DF41A" w:rsidR="008234CC" w:rsidRPr="00293F5E" w:rsidRDefault="008234CC" w:rsidP="008234CC">
            <w:pPr>
              <w:spacing w:after="0"/>
              <w:ind w:left="0"/>
              <w:rPr>
                <w:rFonts w:ascii="Calibri" w:hAnsi="Calibri" w:cs="Calibri"/>
                <w:color w:val="000000"/>
                <w:szCs w:val="22"/>
              </w:rPr>
            </w:pPr>
            <w:r>
              <w:rPr>
                <w:color w:val="000000"/>
                <w:szCs w:val="24"/>
              </w:rPr>
              <w:t>Daily-Weekly</w:t>
            </w:r>
          </w:p>
        </w:tc>
        <w:tc>
          <w:tcPr>
            <w:tcW w:w="1775" w:type="dxa"/>
            <w:noWrap/>
            <w:vAlign w:val="center"/>
          </w:tcPr>
          <w:p w14:paraId="52B187F1" w14:textId="19B9404D" w:rsidR="008234CC" w:rsidRPr="004B4E82" w:rsidRDefault="008234CC" w:rsidP="008234CC">
            <w:pPr>
              <w:spacing w:after="0"/>
              <w:ind w:left="0"/>
              <w:rPr>
                <w:color w:val="000000"/>
              </w:rPr>
            </w:pPr>
            <w:r>
              <w:rPr>
                <w:color w:val="000000"/>
                <w:szCs w:val="24"/>
              </w:rPr>
              <w:t>BNDX014B</w:t>
            </w:r>
            <w:r w:rsidR="00EE5622">
              <w:rPr>
                <w:color w:val="000000"/>
                <w:szCs w:val="24"/>
              </w:rPr>
              <w:t xml:space="preserve"> </w:t>
            </w:r>
          </w:p>
        </w:tc>
        <w:tc>
          <w:tcPr>
            <w:tcW w:w="6963" w:type="dxa"/>
            <w:vAlign w:val="center"/>
          </w:tcPr>
          <w:p w14:paraId="7FB8FE7B" w14:textId="06A2CC5D" w:rsidR="008234CC" w:rsidRPr="004B4E82" w:rsidRDefault="008234CC" w:rsidP="008234CC">
            <w:pPr>
              <w:spacing w:after="0"/>
              <w:ind w:left="0"/>
              <w:rPr>
                <w:color w:val="000000"/>
              </w:rPr>
            </w:pPr>
            <w:r>
              <w:rPr>
                <w:color w:val="000000"/>
                <w:szCs w:val="24"/>
              </w:rPr>
              <w:t>5102-Open Records</w:t>
            </w:r>
          </w:p>
        </w:tc>
      </w:tr>
      <w:tr w:rsidR="008234CC" w:rsidRPr="00293F5E" w14:paraId="18DDF3B4" w14:textId="77777777" w:rsidTr="008234CC">
        <w:trPr>
          <w:trHeight w:val="300"/>
        </w:trPr>
        <w:tc>
          <w:tcPr>
            <w:tcW w:w="684" w:type="dxa"/>
            <w:noWrap/>
            <w:vAlign w:val="center"/>
            <w:hideMark/>
          </w:tcPr>
          <w:p w14:paraId="7D5FDE09" w14:textId="3528974E" w:rsidR="008234CC" w:rsidRPr="00C8400B" w:rsidRDefault="008234CC" w:rsidP="008234CC">
            <w:pPr>
              <w:spacing w:after="0"/>
              <w:ind w:left="0"/>
              <w:jc w:val="center"/>
              <w:rPr>
                <w:rFonts w:cs="Calibri"/>
                <w:color w:val="000000"/>
                <w:szCs w:val="24"/>
              </w:rPr>
            </w:pPr>
            <w:r w:rsidRPr="008234CC">
              <w:rPr>
                <w:rFonts w:cs="Calibri"/>
                <w:color w:val="000000"/>
                <w:szCs w:val="24"/>
              </w:rPr>
              <w:t>17</w:t>
            </w:r>
          </w:p>
        </w:tc>
        <w:tc>
          <w:tcPr>
            <w:tcW w:w="1677" w:type="dxa"/>
            <w:noWrap/>
            <w:vAlign w:val="center"/>
          </w:tcPr>
          <w:p w14:paraId="61D5EB17" w14:textId="0030D85D" w:rsidR="008234CC" w:rsidRPr="00293F5E" w:rsidRDefault="008234CC" w:rsidP="008234CC">
            <w:pPr>
              <w:spacing w:after="0"/>
              <w:ind w:left="0"/>
              <w:rPr>
                <w:rFonts w:ascii="Calibri" w:hAnsi="Calibri" w:cs="Calibri"/>
                <w:color w:val="000000"/>
                <w:szCs w:val="22"/>
              </w:rPr>
            </w:pPr>
            <w:r>
              <w:rPr>
                <w:color w:val="000000"/>
                <w:szCs w:val="24"/>
              </w:rPr>
              <w:t>Daily-Weekly</w:t>
            </w:r>
          </w:p>
        </w:tc>
        <w:tc>
          <w:tcPr>
            <w:tcW w:w="1775" w:type="dxa"/>
            <w:noWrap/>
            <w:vAlign w:val="center"/>
          </w:tcPr>
          <w:p w14:paraId="66A8B9E1" w14:textId="4606E82B" w:rsidR="008234CC" w:rsidRPr="004B4E82" w:rsidRDefault="008234CC" w:rsidP="008234CC">
            <w:pPr>
              <w:spacing w:after="0"/>
              <w:ind w:left="0"/>
              <w:rPr>
                <w:color w:val="000000"/>
              </w:rPr>
            </w:pPr>
            <w:r>
              <w:rPr>
                <w:color w:val="000000"/>
                <w:szCs w:val="24"/>
              </w:rPr>
              <w:t>BNDX949P</w:t>
            </w:r>
          </w:p>
        </w:tc>
        <w:tc>
          <w:tcPr>
            <w:tcW w:w="6963" w:type="dxa"/>
            <w:vAlign w:val="center"/>
          </w:tcPr>
          <w:p w14:paraId="71EFD57C" w14:textId="37109F46" w:rsidR="008234CC" w:rsidRPr="004B4E82" w:rsidRDefault="008234CC" w:rsidP="008234CC">
            <w:pPr>
              <w:spacing w:after="0"/>
              <w:ind w:left="0"/>
              <w:rPr>
                <w:color w:val="000000"/>
              </w:rPr>
            </w:pPr>
            <w:r>
              <w:rPr>
                <w:color w:val="000000"/>
                <w:szCs w:val="24"/>
              </w:rPr>
              <w:t xml:space="preserve">New Account Report-distributed to </w:t>
            </w:r>
            <w:r w:rsidR="004C02F1">
              <w:rPr>
                <w:color w:val="000000"/>
                <w:szCs w:val="24"/>
              </w:rPr>
              <w:t>Tele-Center</w:t>
            </w:r>
            <w:r>
              <w:rPr>
                <w:color w:val="000000"/>
                <w:szCs w:val="24"/>
              </w:rPr>
              <w:t>s (we need to find a way around TCs creating employer account numbers which would eliminate this report and make everyone’s life easier)</w:t>
            </w:r>
          </w:p>
        </w:tc>
      </w:tr>
      <w:tr w:rsidR="008234CC" w:rsidRPr="00293F5E" w14:paraId="6C3BE2CD" w14:textId="77777777" w:rsidTr="008234CC">
        <w:trPr>
          <w:trHeight w:val="300"/>
        </w:trPr>
        <w:tc>
          <w:tcPr>
            <w:tcW w:w="684" w:type="dxa"/>
            <w:noWrap/>
            <w:vAlign w:val="center"/>
            <w:hideMark/>
          </w:tcPr>
          <w:p w14:paraId="15DB0B66" w14:textId="6F16463C" w:rsidR="008234CC" w:rsidRPr="00C8400B" w:rsidRDefault="008234CC" w:rsidP="008234CC">
            <w:pPr>
              <w:spacing w:after="0"/>
              <w:ind w:left="0"/>
              <w:jc w:val="center"/>
              <w:rPr>
                <w:rFonts w:cs="Calibri"/>
                <w:color w:val="000000"/>
                <w:szCs w:val="24"/>
              </w:rPr>
            </w:pPr>
            <w:r w:rsidRPr="00C8400B">
              <w:rPr>
                <w:rFonts w:cs="Calibri"/>
                <w:color w:val="000000"/>
                <w:szCs w:val="24"/>
              </w:rPr>
              <w:t>18</w:t>
            </w:r>
          </w:p>
        </w:tc>
        <w:tc>
          <w:tcPr>
            <w:tcW w:w="1677" w:type="dxa"/>
            <w:noWrap/>
            <w:vAlign w:val="center"/>
          </w:tcPr>
          <w:p w14:paraId="0F50F4B7" w14:textId="1DBF4CFB" w:rsidR="008234CC" w:rsidRPr="00293F5E" w:rsidRDefault="008234CC" w:rsidP="008234CC">
            <w:pPr>
              <w:spacing w:after="0"/>
              <w:ind w:left="0"/>
              <w:rPr>
                <w:rFonts w:ascii="Calibri" w:hAnsi="Calibri" w:cs="Calibri"/>
                <w:color w:val="000000"/>
                <w:szCs w:val="22"/>
              </w:rPr>
            </w:pPr>
            <w:r>
              <w:rPr>
                <w:color w:val="000000"/>
                <w:szCs w:val="24"/>
              </w:rPr>
              <w:t>Daily-Weekly</w:t>
            </w:r>
          </w:p>
        </w:tc>
        <w:tc>
          <w:tcPr>
            <w:tcW w:w="1775" w:type="dxa"/>
            <w:noWrap/>
            <w:vAlign w:val="center"/>
          </w:tcPr>
          <w:p w14:paraId="2FC8CDD9" w14:textId="434D6B02" w:rsidR="008234CC" w:rsidRPr="004B4E82" w:rsidRDefault="008234CC" w:rsidP="008234CC">
            <w:pPr>
              <w:spacing w:after="0"/>
              <w:ind w:left="0"/>
              <w:rPr>
                <w:color w:val="000000"/>
              </w:rPr>
            </w:pPr>
            <w:r>
              <w:rPr>
                <w:color w:val="000000"/>
                <w:szCs w:val="24"/>
              </w:rPr>
              <w:t>BNDX955Q</w:t>
            </w:r>
          </w:p>
        </w:tc>
        <w:tc>
          <w:tcPr>
            <w:tcW w:w="6963" w:type="dxa"/>
            <w:vAlign w:val="center"/>
          </w:tcPr>
          <w:p w14:paraId="458DCE9B" w14:textId="37D3D7A8" w:rsidR="008234CC" w:rsidRPr="001B5823" w:rsidRDefault="008234CC" w:rsidP="008234CC">
            <w:pPr>
              <w:spacing w:after="0"/>
              <w:ind w:left="0"/>
              <w:rPr>
                <w:color w:val="000000"/>
                <w:szCs w:val="24"/>
              </w:rPr>
            </w:pPr>
            <w:r>
              <w:rPr>
                <w:color w:val="000000"/>
                <w:szCs w:val="24"/>
              </w:rPr>
              <w:t>Daily Errors</w:t>
            </w:r>
          </w:p>
        </w:tc>
      </w:tr>
      <w:tr w:rsidR="008234CC" w:rsidRPr="00293F5E" w14:paraId="2576055B" w14:textId="77777777" w:rsidTr="008234CC">
        <w:trPr>
          <w:trHeight w:val="300"/>
        </w:trPr>
        <w:tc>
          <w:tcPr>
            <w:tcW w:w="684" w:type="dxa"/>
            <w:noWrap/>
            <w:vAlign w:val="center"/>
            <w:hideMark/>
          </w:tcPr>
          <w:p w14:paraId="5078D226" w14:textId="576340A6" w:rsidR="008234CC" w:rsidRPr="00C8400B" w:rsidRDefault="008234CC" w:rsidP="008234CC">
            <w:pPr>
              <w:spacing w:after="0"/>
              <w:ind w:left="0"/>
              <w:jc w:val="center"/>
              <w:rPr>
                <w:rFonts w:cs="Calibri"/>
                <w:color w:val="000000"/>
                <w:szCs w:val="24"/>
              </w:rPr>
            </w:pPr>
            <w:r w:rsidRPr="008234CC">
              <w:rPr>
                <w:rFonts w:cs="Calibri"/>
                <w:color w:val="000000"/>
                <w:szCs w:val="24"/>
              </w:rPr>
              <w:t>19</w:t>
            </w:r>
          </w:p>
        </w:tc>
        <w:tc>
          <w:tcPr>
            <w:tcW w:w="1677" w:type="dxa"/>
            <w:noWrap/>
            <w:vAlign w:val="center"/>
          </w:tcPr>
          <w:p w14:paraId="4622E96D" w14:textId="4272685B" w:rsidR="008234CC" w:rsidRPr="00293F5E" w:rsidRDefault="008234CC" w:rsidP="008234CC">
            <w:pPr>
              <w:spacing w:after="0"/>
              <w:ind w:left="0"/>
              <w:rPr>
                <w:rFonts w:ascii="Calibri" w:hAnsi="Calibri" w:cs="Calibri"/>
                <w:color w:val="000000"/>
                <w:szCs w:val="22"/>
              </w:rPr>
            </w:pPr>
            <w:r>
              <w:rPr>
                <w:color w:val="000000"/>
                <w:szCs w:val="24"/>
              </w:rPr>
              <w:t>Daily-Weekly</w:t>
            </w:r>
          </w:p>
        </w:tc>
        <w:tc>
          <w:tcPr>
            <w:tcW w:w="1775" w:type="dxa"/>
            <w:noWrap/>
            <w:vAlign w:val="center"/>
          </w:tcPr>
          <w:p w14:paraId="4461CA79" w14:textId="1A7C1821" w:rsidR="008234CC" w:rsidRPr="004B4E82" w:rsidRDefault="008234CC" w:rsidP="008234CC">
            <w:pPr>
              <w:spacing w:after="0"/>
              <w:ind w:left="0"/>
              <w:rPr>
                <w:color w:val="000000"/>
              </w:rPr>
            </w:pPr>
            <w:r>
              <w:rPr>
                <w:color w:val="000000"/>
                <w:szCs w:val="24"/>
              </w:rPr>
              <w:t>BNDY241A</w:t>
            </w:r>
          </w:p>
        </w:tc>
        <w:tc>
          <w:tcPr>
            <w:tcW w:w="6963" w:type="dxa"/>
            <w:vAlign w:val="center"/>
          </w:tcPr>
          <w:p w14:paraId="76A14F8F" w14:textId="3BD8C4D7" w:rsidR="008234CC" w:rsidRPr="001B5823" w:rsidRDefault="008234CC" w:rsidP="008234CC">
            <w:pPr>
              <w:spacing w:after="0"/>
              <w:ind w:left="0"/>
              <w:rPr>
                <w:color w:val="000000"/>
                <w:szCs w:val="24"/>
              </w:rPr>
            </w:pPr>
            <w:r w:rsidRPr="001B5823">
              <w:rPr>
                <w:color w:val="000000"/>
                <w:szCs w:val="24"/>
              </w:rPr>
              <w:t xml:space="preserve">Print Archive Report required by </w:t>
            </w:r>
            <w:r>
              <w:rPr>
                <w:color w:val="000000"/>
                <w:szCs w:val="24"/>
              </w:rPr>
              <w:t>UIO&amp;CS</w:t>
            </w:r>
          </w:p>
        </w:tc>
      </w:tr>
      <w:tr w:rsidR="008234CC" w:rsidRPr="00293F5E" w14:paraId="4F6053D2" w14:textId="77777777" w:rsidTr="008234CC">
        <w:trPr>
          <w:trHeight w:val="300"/>
        </w:trPr>
        <w:tc>
          <w:tcPr>
            <w:tcW w:w="684" w:type="dxa"/>
            <w:noWrap/>
            <w:vAlign w:val="center"/>
            <w:hideMark/>
          </w:tcPr>
          <w:p w14:paraId="3BB836D2" w14:textId="10B1C078" w:rsidR="008234CC" w:rsidRPr="00C8400B" w:rsidRDefault="008234CC" w:rsidP="008234CC">
            <w:pPr>
              <w:spacing w:after="0"/>
              <w:ind w:left="0"/>
              <w:jc w:val="center"/>
              <w:rPr>
                <w:rFonts w:cs="Calibri"/>
                <w:color w:val="000000"/>
                <w:szCs w:val="24"/>
              </w:rPr>
            </w:pPr>
            <w:r w:rsidRPr="00C8400B">
              <w:rPr>
                <w:rFonts w:cs="Calibri"/>
                <w:color w:val="000000"/>
                <w:szCs w:val="24"/>
              </w:rPr>
              <w:t>20</w:t>
            </w:r>
          </w:p>
        </w:tc>
        <w:tc>
          <w:tcPr>
            <w:tcW w:w="1677" w:type="dxa"/>
            <w:noWrap/>
            <w:vAlign w:val="center"/>
          </w:tcPr>
          <w:p w14:paraId="251BEA10" w14:textId="59844965" w:rsidR="008234CC" w:rsidRPr="00293F5E" w:rsidRDefault="008234CC" w:rsidP="008234CC">
            <w:pPr>
              <w:spacing w:after="0"/>
              <w:ind w:left="0"/>
              <w:rPr>
                <w:rFonts w:ascii="Calibri" w:hAnsi="Calibri" w:cs="Calibri"/>
                <w:color w:val="000000"/>
                <w:szCs w:val="22"/>
              </w:rPr>
            </w:pPr>
            <w:r>
              <w:rPr>
                <w:color w:val="000000"/>
                <w:szCs w:val="24"/>
              </w:rPr>
              <w:t>Daily-Weekly</w:t>
            </w:r>
          </w:p>
        </w:tc>
        <w:tc>
          <w:tcPr>
            <w:tcW w:w="1775" w:type="dxa"/>
            <w:noWrap/>
            <w:vAlign w:val="center"/>
          </w:tcPr>
          <w:p w14:paraId="3AEF1E23" w14:textId="059E4E45" w:rsidR="008234CC" w:rsidRPr="004B4E82" w:rsidRDefault="008234CC" w:rsidP="008234CC">
            <w:pPr>
              <w:spacing w:after="0"/>
              <w:ind w:left="0"/>
              <w:rPr>
                <w:color w:val="000000"/>
              </w:rPr>
            </w:pPr>
            <w:r>
              <w:rPr>
                <w:color w:val="000000"/>
                <w:szCs w:val="24"/>
              </w:rPr>
              <w:t>BNDZ010A</w:t>
            </w:r>
          </w:p>
        </w:tc>
        <w:tc>
          <w:tcPr>
            <w:tcW w:w="6963" w:type="dxa"/>
            <w:vAlign w:val="center"/>
          </w:tcPr>
          <w:p w14:paraId="0263F2A5" w14:textId="5BA66618" w:rsidR="008234CC" w:rsidRPr="002E0B23" w:rsidRDefault="008234CC" w:rsidP="008234CC">
            <w:pPr>
              <w:spacing w:after="0"/>
              <w:ind w:left="0"/>
              <w:rPr>
                <w:color w:val="000000"/>
                <w:highlight w:val="yellow"/>
              </w:rPr>
            </w:pPr>
            <w:r>
              <w:rPr>
                <w:color w:val="000000"/>
                <w:szCs w:val="24"/>
              </w:rPr>
              <w:t xml:space="preserve">Incoming IB6 Discrepancy Report </w:t>
            </w:r>
          </w:p>
        </w:tc>
      </w:tr>
      <w:tr w:rsidR="008234CC" w:rsidRPr="00293F5E" w14:paraId="10D3F9AD" w14:textId="77777777" w:rsidTr="008234CC">
        <w:trPr>
          <w:trHeight w:val="300"/>
        </w:trPr>
        <w:tc>
          <w:tcPr>
            <w:tcW w:w="684" w:type="dxa"/>
            <w:noWrap/>
            <w:vAlign w:val="center"/>
            <w:hideMark/>
          </w:tcPr>
          <w:p w14:paraId="3D7C7BC1" w14:textId="02D62927" w:rsidR="008234CC" w:rsidRPr="00C8400B" w:rsidRDefault="008234CC" w:rsidP="008234CC">
            <w:pPr>
              <w:spacing w:after="0"/>
              <w:ind w:left="0"/>
              <w:jc w:val="center"/>
              <w:rPr>
                <w:rFonts w:cs="Calibri"/>
                <w:color w:val="000000"/>
                <w:szCs w:val="24"/>
              </w:rPr>
            </w:pPr>
            <w:r w:rsidRPr="008234CC">
              <w:rPr>
                <w:rFonts w:cs="Calibri"/>
                <w:color w:val="000000"/>
                <w:szCs w:val="24"/>
              </w:rPr>
              <w:t>21</w:t>
            </w:r>
          </w:p>
        </w:tc>
        <w:tc>
          <w:tcPr>
            <w:tcW w:w="1677" w:type="dxa"/>
            <w:noWrap/>
            <w:vAlign w:val="center"/>
          </w:tcPr>
          <w:p w14:paraId="6BA46B22" w14:textId="4BFB689A" w:rsidR="008234CC" w:rsidRPr="00293F5E" w:rsidRDefault="008234CC" w:rsidP="008234CC">
            <w:pPr>
              <w:spacing w:after="0"/>
              <w:ind w:left="0"/>
              <w:rPr>
                <w:rFonts w:ascii="Calibri" w:hAnsi="Calibri" w:cs="Calibri"/>
                <w:color w:val="000000"/>
                <w:szCs w:val="22"/>
              </w:rPr>
            </w:pPr>
            <w:r>
              <w:rPr>
                <w:color w:val="000000"/>
                <w:szCs w:val="24"/>
              </w:rPr>
              <w:t>Daily-Weekly</w:t>
            </w:r>
          </w:p>
        </w:tc>
        <w:tc>
          <w:tcPr>
            <w:tcW w:w="1775" w:type="dxa"/>
            <w:noWrap/>
            <w:vAlign w:val="center"/>
          </w:tcPr>
          <w:p w14:paraId="1DAEF742" w14:textId="27CF3A7D" w:rsidR="008234CC" w:rsidRPr="004B4E82" w:rsidRDefault="008234CC" w:rsidP="008234CC">
            <w:pPr>
              <w:spacing w:after="0"/>
              <w:ind w:left="0"/>
              <w:rPr>
                <w:color w:val="000000"/>
              </w:rPr>
            </w:pPr>
            <w:r>
              <w:rPr>
                <w:color w:val="000000"/>
                <w:szCs w:val="24"/>
              </w:rPr>
              <w:t>BNDZ035A</w:t>
            </w:r>
          </w:p>
        </w:tc>
        <w:tc>
          <w:tcPr>
            <w:tcW w:w="6963" w:type="dxa"/>
            <w:vAlign w:val="center"/>
          </w:tcPr>
          <w:p w14:paraId="5C5054D9" w14:textId="272382BD" w:rsidR="008234CC" w:rsidRPr="004B4E82" w:rsidRDefault="008234CC" w:rsidP="008234CC">
            <w:pPr>
              <w:spacing w:after="0"/>
              <w:ind w:left="0"/>
              <w:rPr>
                <w:color w:val="000000"/>
              </w:rPr>
            </w:pPr>
            <w:r>
              <w:rPr>
                <w:color w:val="000000"/>
                <w:szCs w:val="24"/>
              </w:rPr>
              <w:t>IB5 Resend Report</w:t>
            </w:r>
          </w:p>
        </w:tc>
      </w:tr>
      <w:tr w:rsidR="008234CC" w:rsidRPr="00293F5E" w14:paraId="1B855A85" w14:textId="77777777" w:rsidTr="008234CC">
        <w:trPr>
          <w:trHeight w:val="300"/>
        </w:trPr>
        <w:tc>
          <w:tcPr>
            <w:tcW w:w="684" w:type="dxa"/>
            <w:noWrap/>
            <w:vAlign w:val="center"/>
            <w:hideMark/>
          </w:tcPr>
          <w:p w14:paraId="2F1E2A74" w14:textId="714AED02" w:rsidR="008234CC" w:rsidRPr="00C8400B" w:rsidRDefault="008234CC" w:rsidP="008234CC">
            <w:pPr>
              <w:spacing w:after="0"/>
              <w:ind w:left="0"/>
              <w:jc w:val="center"/>
              <w:rPr>
                <w:rFonts w:cs="Calibri"/>
                <w:color w:val="000000"/>
                <w:szCs w:val="24"/>
              </w:rPr>
            </w:pPr>
            <w:r w:rsidRPr="00C8400B">
              <w:rPr>
                <w:rFonts w:cs="Calibri"/>
                <w:color w:val="000000"/>
                <w:szCs w:val="24"/>
              </w:rPr>
              <w:t>22</w:t>
            </w:r>
          </w:p>
        </w:tc>
        <w:tc>
          <w:tcPr>
            <w:tcW w:w="1677" w:type="dxa"/>
            <w:noWrap/>
            <w:vAlign w:val="center"/>
          </w:tcPr>
          <w:p w14:paraId="334F7E5B" w14:textId="04C01674" w:rsidR="008234CC" w:rsidRPr="00293F5E" w:rsidRDefault="008234CC" w:rsidP="008234CC">
            <w:pPr>
              <w:spacing w:after="0"/>
              <w:ind w:left="0"/>
              <w:rPr>
                <w:rFonts w:ascii="Calibri" w:hAnsi="Calibri" w:cs="Calibri"/>
                <w:color w:val="000000"/>
                <w:szCs w:val="22"/>
              </w:rPr>
            </w:pPr>
            <w:r>
              <w:rPr>
                <w:color w:val="000000"/>
                <w:szCs w:val="24"/>
              </w:rPr>
              <w:t>Daily-Weekly</w:t>
            </w:r>
          </w:p>
        </w:tc>
        <w:tc>
          <w:tcPr>
            <w:tcW w:w="1775" w:type="dxa"/>
            <w:noWrap/>
            <w:vAlign w:val="center"/>
          </w:tcPr>
          <w:p w14:paraId="0BAF3736" w14:textId="60762F1F" w:rsidR="008234CC" w:rsidRPr="004B4E82" w:rsidRDefault="008234CC" w:rsidP="008234CC">
            <w:pPr>
              <w:spacing w:after="0"/>
              <w:ind w:left="0"/>
              <w:rPr>
                <w:color w:val="000000"/>
              </w:rPr>
            </w:pPr>
            <w:r>
              <w:rPr>
                <w:color w:val="000000"/>
                <w:szCs w:val="24"/>
              </w:rPr>
              <w:t>BNDZ315A</w:t>
            </w:r>
          </w:p>
        </w:tc>
        <w:tc>
          <w:tcPr>
            <w:tcW w:w="6963" w:type="dxa"/>
            <w:vAlign w:val="center"/>
          </w:tcPr>
          <w:p w14:paraId="5BE5D766" w14:textId="1AAF1F7F" w:rsidR="008234CC" w:rsidRPr="004B4E82" w:rsidRDefault="008234CC" w:rsidP="008234CC">
            <w:pPr>
              <w:spacing w:after="0"/>
              <w:ind w:left="0"/>
              <w:rPr>
                <w:color w:val="000000"/>
              </w:rPr>
            </w:pPr>
            <w:r>
              <w:rPr>
                <w:color w:val="000000"/>
                <w:szCs w:val="24"/>
              </w:rPr>
              <w:t>Pending Acknowledgments</w:t>
            </w:r>
          </w:p>
        </w:tc>
      </w:tr>
      <w:tr w:rsidR="008234CC" w:rsidRPr="00293F5E" w14:paraId="70684444" w14:textId="77777777" w:rsidTr="008234CC">
        <w:trPr>
          <w:trHeight w:val="300"/>
        </w:trPr>
        <w:tc>
          <w:tcPr>
            <w:tcW w:w="684" w:type="dxa"/>
            <w:noWrap/>
            <w:vAlign w:val="center"/>
            <w:hideMark/>
          </w:tcPr>
          <w:p w14:paraId="65EE5A75" w14:textId="51D53560" w:rsidR="008234CC" w:rsidRPr="00C8400B" w:rsidRDefault="008234CC" w:rsidP="008234CC">
            <w:pPr>
              <w:spacing w:after="0"/>
              <w:ind w:left="0"/>
              <w:jc w:val="center"/>
              <w:rPr>
                <w:rFonts w:cs="Calibri"/>
                <w:color w:val="000000"/>
                <w:szCs w:val="24"/>
              </w:rPr>
            </w:pPr>
            <w:r w:rsidRPr="008234CC">
              <w:rPr>
                <w:rFonts w:cs="Calibri"/>
                <w:color w:val="000000"/>
                <w:szCs w:val="24"/>
              </w:rPr>
              <w:t>23</w:t>
            </w:r>
          </w:p>
        </w:tc>
        <w:tc>
          <w:tcPr>
            <w:tcW w:w="1677" w:type="dxa"/>
            <w:noWrap/>
            <w:vAlign w:val="center"/>
          </w:tcPr>
          <w:p w14:paraId="041138E9" w14:textId="0A25DAD5" w:rsidR="008234CC" w:rsidRPr="00293F5E" w:rsidRDefault="008234CC" w:rsidP="008234CC">
            <w:pPr>
              <w:spacing w:after="0"/>
              <w:ind w:left="0"/>
              <w:rPr>
                <w:rFonts w:ascii="Calibri" w:hAnsi="Calibri" w:cs="Calibri"/>
                <w:color w:val="000000"/>
                <w:szCs w:val="22"/>
              </w:rPr>
            </w:pPr>
            <w:r>
              <w:rPr>
                <w:color w:val="000000"/>
                <w:szCs w:val="24"/>
              </w:rPr>
              <w:t>Daily-Weekly</w:t>
            </w:r>
          </w:p>
        </w:tc>
        <w:tc>
          <w:tcPr>
            <w:tcW w:w="1775" w:type="dxa"/>
            <w:noWrap/>
            <w:vAlign w:val="center"/>
          </w:tcPr>
          <w:p w14:paraId="23C10688" w14:textId="282842C0" w:rsidR="008234CC" w:rsidRPr="004B4E82" w:rsidRDefault="008234CC" w:rsidP="008234CC">
            <w:pPr>
              <w:spacing w:after="0"/>
              <w:ind w:left="0"/>
              <w:rPr>
                <w:color w:val="000000"/>
              </w:rPr>
            </w:pPr>
            <w:r>
              <w:rPr>
                <w:color w:val="000000"/>
                <w:szCs w:val="24"/>
              </w:rPr>
              <w:t>BNDZ715A</w:t>
            </w:r>
          </w:p>
        </w:tc>
        <w:tc>
          <w:tcPr>
            <w:tcW w:w="6963" w:type="dxa"/>
            <w:vAlign w:val="center"/>
          </w:tcPr>
          <w:p w14:paraId="3F24589D" w14:textId="247FCF8C" w:rsidR="008234CC" w:rsidRPr="004B4E82" w:rsidRDefault="008234CC" w:rsidP="008234CC">
            <w:pPr>
              <w:spacing w:after="0"/>
              <w:ind w:left="0"/>
              <w:rPr>
                <w:color w:val="000000"/>
              </w:rPr>
            </w:pPr>
            <w:r>
              <w:rPr>
                <w:color w:val="000000"/>
                <w:szCs w:val="24"/>
              </w:rPr>
              <w:t xml:space="preserve">Federal Entity Setup </w:t>
            </w:r>
          </w:p>
        </w:tc>
      </w:tr>
      <w:tr w:rsidR="008234CC" w:rsidRPr="00293F5E" w14:paraId="03339735" w14:textId="77777777" w:rsidTr="008234CC">
        <w:trPr>
          <w:trHeight w:val="300"/>
        </w:trPr>
        <w:tc>
          <w:tcPr>
            <w:tcW w:w="684" w:type="dxa"/>
            <w:noWrap/>
            <w:vAlign w:val="center"/>
            <w:hideMark/>
          </w:tcPr>
          <w:p w14:paraId="6B0FDE9C" w14:textId="3F69CAF3" w:rsidR="008234CC" w:rsidRPr="00C8400B" w:rsidRDefault="008234CC" w:rsidP="008234CC">
            <w:pPr>
              <w:spacing w:after="0"/>
              <w:ind w:left="0"/>
              <w:jc w:val="center"/>
              <w:rPr>
                <w:rFonts w:cs="Calibri"/>
                <w:color w:val="000000"/>
                <w:szCs w:val="24"/>
              </w:rPr>
            </w:pPr>
            <w:r w:rsidRPr="00C8400B">
              <w:rPr>
                <w:rFonts w:cs="Calibri"/>
                <w:color w:val="000000"/>
                <w:szCs w:val="24"/>
              </w:rPr>
              <w:t>24</w:t>
            </w:r>
          </w:p>
        </w:tc>
        <w:tc>
          <w:tcPr>
            <w:tcW w:w="1677" w:type="dxa"/>
            <w:noWrap/>
            <w:vAlign w:val="center"/>
          </w:tcPr>
          <w:p w14:paraId="5ADBF4E4" w14:textId="6F10C6FA" w:rsidR="008234CC" w:rsidRPr="00293F5E" w:rsidRDefault="008234CC" w:rsidP="008234CC">
            <w:pPr>
              <w:spacing w:after="0"/>
              <w:ind w:left="0"/>
              <w:rPr>
                <w:rFonts w:ascii="Calibri" w:hAnsi="Calibri" w:cs="Calibri"/>
                <w:color w:val="000000"/>
                <w:szCs w:val="22"/>
              </w:rPr>
            </w:pPr>
            <w:r>
              <w:rPr>
                <w:color w:val="000000"/>
                <w:szCs w:val="24"/>
              </w:rPr>
              <w:t>Daily-Weekly</w:t>
            </w:r>
          </w:p>
        </w:tc>
        <w:tc>
          <w:tcPr>
            <w:tcW w:w="1775" w:type="dxa"/>
            <w:noWrap/>
            <w:vAlign w:val="center"/>
          </w:tcPr>
          <w:p w14:paraId="434EB029" w14:textId="4683D5AC" w:rsidR="008234CC" w:rsidRPr="004B4E82" w:rsidRDefault="008234CC" w:rsidP="008234CC">
            <w:pPr>
              <w:spacing w:after="0"/>
              <w:ind w:left="0"/>
              <w:rPr>
                <w:color w:val="000000"/>
              </w:rPr>
            </w:pPr>
            <w:r>
              <w:rPr>
                <w:color w:val="000000"/>
                <w:szCs w:val="24"/>
              </w:rPr>
              <w:t>BNWEO50P</w:t>
            </w:r>
          </w:p>
        </w:tc>
        <w:tc>
          <w:tcPr>
            <w:tcW w:w="6963" w:type="dxa"/>
            <w:vAlign w:val="center"/>
          </w:tcPr>
          <w:p w14:paraId="3CC8ECDC" w14:textId="5298C852" w:rsidR="008234CC" w:rsidRPr="004B4E82" w:rsidRDefault="008234CC" w:rsidP="008234CC">
            <w:pPr>
              <w:spacing w:after="0"/>
              <w:ind w:left="0"/>
              <w:rPr>
                <w:color w:val="000000"/>
              </w:rPr>
            </w:pPr>
            <w:r>
              <w:rPr>
                <w:color w:val="000000"/>
                <w:szCs w:val="24"/>
              </w:rPr>
              <w:t xml:space="preserve">Tax Address Return Mail Summary </w:t>
            </w:r>
          </w:p>
        </w:tc>
      </w:tr>
      <w:tr w:rsidR="008234CC" w:rsidRPr="00293F5E" w14:paraId="6E81512D" w14:textId="77777777" w:rsidTr="008234CC">
        <w:trPr>
          <w:trHeight w:val="300"/>
        </w:trPr>
        <w:tc>
          <w:tcPr>
            <w:tcW w:w="684" w:type="dxa"/>
            <w:noWrap/>
            <w:vAlign w:val="center"/>
            <w:hideMark/>
          </w:tcPr>
          <w:p w14:paraId="6D3C7337" w14:textId="3DEA1A72" w:rsidR="008234CC" w:rsidRPr="00C8400B" w:rsidRDefault="008234CC" w:rsidP="008234CC">
            <w:pPr>
              <w:spacing w:after="0"/>
              <w:ind w:left="0"/>
              <w:jc w:val="center"/>
              <w:rPr>
                <w:rFonts w:cs="Calibri"/>
                <w:color w:val="000000"/>
                <w:szCs w:val="24"/>
              </w:rPr>
            </w:pPr>
            <w:r w:rsidRPr="008234CC">
              <w:rPr>
                <w:rFonts w:cs="Calibri"/>
                <w:color w:val="000000"/>
                <w:szCs w:val="24"/>
              </w:rPr>
              <w:t>25</w:t>
            </w:r>
          </w:p>
        </w:tc>
        <w:tc>
          <w:tcPr>
            <w:tcW w:w="1677" w:type="dxa"/>
            <w:noWrap/>
            <w:vAlign w:val="center"/>
          </w:tcPr>
          <w:p w14:paraId="431CF035" w14:textId="0DCA9D82" w:rsidR="008234CC" w:rsidRPr="00293F5E" w:rsidRDefault="008234CC" w:rsidP="008234CC">
            <w:pPr>
              <w:spacing w:after="0"/>
              <w:ind w:left="0"/>
              <w:rPr>
                <w:rFonts w:ascii="Calibri" w:hAnsi="Calibri" w:cs="Calibri"/>
                <w:color w:val="000000"/>
                <w:szCs w:val="22"/>
              </w:rPr>
            </w:pPr>
            <w:r>
              <w:rPr>
                <w:color w:val="000000"/>
                <w:szCs w:val="24"/>
              </w:rPr>
              <w:t>Daily-Weekly</w:t>
            </w:r>
          </w:p>
        </w:tc>
        <w:tc>
          <w:tcPr>
            <w:tcW w:w="1775" w:type="dxa"/>
            <w:noWrap/>
            <w:vAlign w:val="center"/>
          </w:tcPr>
          <w:p w14:paraId="4837E8F6" w14:textId="47B69C91" w:rsidR="008234CC" w:rsidRPr="004B4E82" w:rsidRDefault="008234CC" w:rsidP="008234CC">
            <w:pPr>
              <w:spacing w:after="0"/>
              <w:ind w:left="0"/>
              <w:rPr>
                <w:color w:val="000000"/>
              </w:rPr>
            </w:pPr>
            <w:r>
              <w:rPr>
                <w:color w:val="000000"/>
                <w:szCs w:val="24"/>
              </w:rPr>
              <w:t>BNWP020P</w:t>
            </w:r>
          </w:p>
        </w:tc>
        <w:tc>
          <w:tcPr>
            <w:tcW w:w="6963" w:type="dxa"/>
            <w:vAlign w:val="center"/>
          </w:tcPr>
          <w:p w14:paraId="23F0F8B1" w14:textId="1A5D6ED6" w:rsidR="008234CC" w:rsidRPr="00EE4DB6" w:rsidRDefault="008234CC" w:rsidP="008234CC">
            <w:pPr>
              <w:spacing w:after="0"/>
              <w:ind w:left="0"/>
              <w:rPr>
                <w:color w:val="000000"/>
                <w:szCs w:val="24"/>
              </w:rPr>
            </w:pPr>
            <w:r>
              <w:rPr>
                <w:color w:val="000000"/>
                <w:szCs w:val="24"/>
              </w:rPr>
              <w:t xml:space="preserve">Shared Work Employee Compliance Report </w:t>
            </w:r>
          </w:p>
        </w:tc>
      </w:tr>
      <w:tr w:rsidR="008234CC" w:rsidRPr="00293F5E" w14:paraId="7111C147" w14:textId="77777777" w:rsidTr="008234CC">
        <w:trPr>
          <w:trHeight w:val="600"/>
        </w:trPr>
        <w:tc>
          <w:tcPr>
            <w:tcW w:w="684" w:type="dxa"/>
            <w:noWrap/>
            <w:vAlign w:val="center"/>
            <w:hideMark/>
          </w:tcPr>
          <w:p w14:paraId="721411FF" w14:textId="1A3BD8B5" w:rsidR="008234CC" w:rsidRPr="00C8400B" w:rsidRDefault="008234CC" w:rsidP="008234CC">
            <w:pPr>
              <w:spacing w:after="0"/>
              <w:ind w:left="0"/>
              <w:jc w:val="center"/>
              <w:rPr>
                <w:rFonts w:cs="Calibri"/>
                <w:color w:val="000000"/>
                <w:szCs w:val="24"/>
              </w:rPr>
            </w:pPr>
            <w:r w:rsidRPr="00C8400B">
              <w:rPr>
                <w:rFonts w:cs="Calibri"/>
                <w:color w:val="000000"/>
                <w:szCs w:val="24"/>
              </w:rPr>
              <w:t>26</w:t>
            </w:r>
          </w:p>
        </w:tc>
        <w:tc>
          <w:tcPr>
            <w:tcW w:w="1677" w:type="dxa"/>
            <w:noWrap/>
            <w:vAlign w:val="center"/>
          </w:tcPr>
          <w:p w14:paraId="07035E26" w14:textId="62A33CEC" w:rsidR="008234CC" w:rsidRPr="00293F5E" w:rsidRDefault="008234CC" w:rsidP="008234CC">
            <w:pPr>
              <w:spacing w:after="0"/>
              <w:ind w:left="0"/>
              <w:rPr>
                <w:rFonts w:ascii="Calibri" w:hAnsi="Calibri" w:cs="Calibri"/>
                <w:color w:val="000000"/>
                <w:szCs w:val="22"/>
              </w:rPr>
            </w:pPr>
            <w:r>
              <w:rPr>
                <w:color w:val="000000"/>
                <w:szCs w:val="24"/>
              </w:rPr>
              <w:t>Daily-Weekly</w:t>
            </w:r>
          </w:p>
        </w:tc>
        <w:tc>
          <w:tcPr>
            <w:tcW w:w="1775" w:type="dxa"/>
            <w:vAlign w:val="center"/>
          </w:tcPr>
          <w:p w14:paraId="273F8AAF" w14:textId="613AC28D" w:rsidR="008234CC" w:rsidRPr="004B4E82" w:rsidRDefault="008234CC" w:rsidP="008234CC">
            <w:pPr>
              <w:spacing w:after="0"/>
              <w:ind w:left="0"/>
              <w:rPr>
                <w:color w:val="000000"/>
              </w:rPr>
            </w:pPr>
            <w:r>
              <w:rPr>
                <w:color w:val="000000"/>
                <w:szCs w:val="24"/>
              </w:rPr>
              <w:t>BNWQ190P</w:t>
            </w:r>
          </w:p>
        </w:tc>
        <w:tc>
          <w:tcPr>
            <w:tcW w:w="6963" w:type="dxa"/>
            <w:vAlign w:val="center"/>
          </w:tcPr>
          <w:p w14:paraId="4BB81BDD" w14:textId="5E697F31" w:rsidR="008234CC" w:rsidRPr="00EE4DB6" w:rsidRDefault="008234CC" w:rsidP="008234CC">
            <w:pPr>
              <w:spacing w:after="0"/>
              <w:ind w:left="0"/>
              <w:rPr>
                <w:color w:val="000000"/>
                <w:szCs w:val="24"/>
              </w:rPr>
            </w:pPr>
            <w:r w:rsidRPr="00EE4DB6">
              <w:rPr>
                <w:color w:val="000000"/>
                <w:szCs w:val="24"/>
              </w:rPr>
              <w:t>Prints ETA 538 and ETA 539 reports</w:t>
            </w:r>
          </w:p>
        </w:tc>
      </w:tr>
      <w:tr w:rsidR="008234CC" w:rsidRPr="00293F5E" w14:paraId="01A46AEE" w14:textId="77777777" w:rsidTr="008234CC">
        <w:trPr>
          <w:trHeight w:val="300"/>
        </w:trPr>
        <w:tc>
          <w:tcPr>
            <w:tcW w:w="684" w:type="dxa"/>
            <w:noWrap/>
            <w:vAlign w:val="center"/>
            <w:hideMark/>
          </w:tcPr>
          <w:p w14:paraId="5130B262" w14:textId="17B28D57" w:rsidR="008234CC" w:rsidRPr="00C8400B" w:rsidRDefault="008234CC" w:rsidP="008234CC">
            <w:pPr>
              <w:spacing w:after="0"/>
              <w:ind w:left="0"/>
              <w:jc w:val="center"/>
              <w:rPr>
                <w:rFonts w:cs="Calibri"/>
                <w:color w:val="000000"/>
                <w:szCs w:val="24"/>
              </w:rPr>
            </w:pPr>
            <w:r w:rsidRPr="008234CC">
              <w:rPr>
                <w:rFonts w:cs="Calibri"/>
                <w:color w:val="000000"/>
                <w:szCs w:val="24"/>
              </w:rPr>
              <w:t>27</w:t>
            </w:r>
          </w:p>
        </w:tc>
        <w:tc>
          <w:tcPr>
            <w:tcW w:w="1677" w:type="dxa"/>
            <w:noWrap/>
            <w:vAlign w:val="center"/>
          </w:tcPr>
          <w:p w14:paraId="54384187" w14:textId="0606373E" w:rsidR="008234CC" w:rsidRPr="00293F5E" w:rsidRDefault="008234CC" w:rsidP="008234CC">
            <w:pPr>
              <w:spacing w:after="0"/>
              <w:ind w:left="0"/>
              <w:rPr>
                <w:rFonts w:ascii="Calibri" w:hAnsi="Calibri" w:cs="Calibri"/>
                <w:color w:val="000000"/>
                <w:szCs w:val="22"/>
              </w:rPr>
            </w:pPr>
            <w:r>
              <w:rPr>
                <w:color w:val="000000"/>
                <w:szCs w:val="24"/>
              </w:rPr>
              <w:t>Daily-Weekly</w:t>
            </w:r>
          </w:p>
        </w:tc>
        <w:tc>
          <w:tcPr>
            <w:tcW w:w="1775" w:type="dxa"/>
            <w:noWrap/>
            <w:vAlign w:val="center"/>
          </w:tcPr>
          <w:p w14:paraId="0D36AF6A" w14:textId="0DA8044A" w:rsidR="008234CC" w:rsidRPr="004B4E82" w:rsidRDefault="008234CC" w:rsidP="008234CC">
            <w:pPr>
              <w:spacing w:after="0"/>
              <w:ind w:left="0"/>
              <w:rPr>
                <w:color w:val="000000"/>
              </w:rPr>
            </w:pPr>
            <w:r>
              <w:rPr>
                <w:color w:val="000000"/>
                <w:szCs w:val="24"/>
              </w:rPr>
              <w:t>BNWQ210P</w:t>
            </w:r>
          </w:p>
        </w:tc>
        <w:tc>
          <w:tcPr>
            <w:tcW w:w="6963" w:type="dxa"/>
            <w:vAlign w:val="center"/>
          </w:tcPr>
          <w:p w14:paraId="05F4210C" w14:textId="1A1F9F93" w:rsidR="008234CC" w:rsidRPr="00EE4DB6" w:rsidRDefault="008234CC" w:rsidP="008234CC">
            <w:pPr>
              <w:spacing w:after="0"/>
              <w:ind w:left="0"/>
              <w:rPr>
                <w:color w:val="000000"/>
                <w:szCs w:val="24"/>
              </w:rPr>
            </w:pPr>
            <w:r w:rsidRPr="00EE4DB6">
              <w:rPr>
                <w:color w:val="000000"/>
                <w:szCs w:val="24"/>
              </w:rPr>
              <w:t>Prints ETA 5159 report</w:t>
            </w:r>
          </w:p>
        </w:tc>
      </w:tr>
      <w:tr w:rsidR="008234CC" w:rsidRPr="00293F5E" w14:paraId="65890681" w14:textId="77777777" w:rsidTr="008234CC">
        <w:trPr>
          <w:trHeight w:val="300"/>
        </w:trPr>
        <w:tc>
          <w:tcPr>
            <w:tcW w:w="684" w:type="dxa"/>
            <w:noWrap/>
            <w:vAlign w:val="center"/>
            <w:hideMark/>
          </w:tcPr>
          <w:p w14:paraId="1BA6EE53" w14:textId="6D74D317" w:rsidR="008234CC" w:rsidRPr="00C8400B" w:rsidRDefault="008234CC" w:rsidP="008234CC">
            <w:pPr>
              <w:spacing w:after="0"/>
              <w:ind w:left="0"/>
              <w:jc w:val="center"/>
              <w:rPr>
                <w:rFonts w:cs="Calibri"/>
                <w:color w:val="000000"/>
                <w:szCs w:val="24"/>
              </w:rPr>
            </w:pPr>
            <w:r w:rsidRPr="00C8400B">
              <w:rPr>
                <w:rFonts w:cs="Calibri"/>
                <w:color w:val="000000"/>
                <w:szCs w:val="24"/>
              </w:rPr>
              <w:t>28</w:t>
            </w:r>
          </w:p>
        </w:tc>
        <w:tc>
          <w:tcPr>
            <w:tcW w:w="1677" w:type="dxa"/>
            <w:noWrap/>
            <w:vAlign w:val="center"/>
          </w:tcPr>
          <w:p w14:paraId="6E11B307" w14:textId="2E11B76F" w:rsidR="008234CC" w:rsidRPr="00293F5E" w:rsidRDefault="008234CC" w:rsidP="008234CC">
            <w:pPr>
              <w:spacing w:after="0"/>
              <w:ind w:left="0"/>
              <w:rPr>
                <w:rFonts w:ascii="Calibri" w:hAnsi="Calibri" w:cs="Calibri"/>
                <w:color w:val="000000"/>
                <w:szCs w:val="22"/>
              </w:rPr>
            </w:pPr>
            <w:r>
              <w:rPr>
                <w:color w:val="000000"/>
                <w:szCs w:val="24"/>
              </w:rPr>
              <w:t>Daily-Weekly</w:t>
            </w:r>
          </w:p>
        </w:tc>
        <w:tc>
          <w:tcPr>
            <w:tcW w:w="1775" w:type="dxa"/>
            <w:noWrap/>
            <w:vAlign w:val="center"/>
          </w:tcPr>
          <w:p w14:paraId="380E06D2" w14:textId="1CDBE774" w:rsidR="008234CC" w:rsidRPr="004B4E82" w:rsidRDefault="008234CC" w:rsidP="008234CC">
            <w:pPr>
              <w:spacing w:after="0"/>
              <w:ind w:left="0"/>
              <w:rPr>
                <w:color w:val="000000"/>
              </w:rPr>
            </w:pPr>
            <w:r>
              <w:rPr>
                <w:color w:val="000000"/>
                <w:szCs w:val="24"/>
              </w:rPr>
              <w:t>BNWQ460A</w:t>
            </w:r>
          </w:p>
        </w:tc>
        <w:tc>
          <w:tcPr>
            <w:tcW w:w="6963" w:type="dxa"/>
            <w:vAlign w:val="center"/>
          </w:tcPr>
          <w:p w14:paraId="0D287E7C" w14:textId="78217852" w:rsidR="008234CC" w:rsidRPr="00EE4DB6" w:rsidRDefault="008234CC" w:rsidP="008234CC">
            <w:pPr>
              <w:spacing w:after="0"/>
              <w:ind w:left="0"/>
              <w:rPr>
                <w:color w:val="000000"/>
                <w:szCs w:val="24"/>
              </w:rPr>
            </w:pPr>
            <w:r w:rsidRPr="00EE4DB6">
              <w:rPr>
                <w:color w:val="000000"/>
                <w:szCs w:val="24"/>
              </w:rPr>
              <w:t>Extracts ETA 218 analysis report</w:t>
            </w:r>
          </w:p>
        </w:tc>
      </w:tr>
      <w:tr w:rsidR="008234CC" w:rsidRPr="00293F5E" w14:paraId="263ED812" w14:textId="77777777" w:rsidTr="008234CC">
        <w:trPr>
          <w:trHeight w:val="300"/>
        </w:trPr>
        <w:tc>
          <w:tcPr>
            <w:tcW w:w="684" w:type="dxa"/>
            <w:noWrap/>
            <w:vAlign w:val="center"/>
            <w:hideMark/>
          </w:tcPr>
          <w:p w14:paraId="54CB6A30" w14:textId="3BA72957" w:rsidR="008234CC" w:rsidRPr="00C8400B" w:rsidRDefault="008234CC" w:rsidP="008234CC">
            <w:pPr>
              <w:spacing w:after="0"/>
              <w:ind w:left="0"/>
              <w:jc w:val="center"/>
              <w:rPr>
                <w:rFonts w:cs="Calibri"/>
                <w:color w:val="000000"/>
                <w:szCs w:val="24"/>
              </w:rPr>
            </w:pPr>
            <w:r w:rsidRPr="008234CC">
              <w:rPr>
                <w:rFonts w:cs="Calibri"/>
                <w:color w:val="000000"/>
                <w:szCs w:val="24"/>
              </w:rPr>
              <w:t>29</w:t>
            </w:r>
          </w:p>
        </w:tc>
        <w:tc>
          <w:tcPr>
            <w:tcW w:w="1677" w:type="dxa"/>
            <w:noWrap/>
            <w:vAlign w:val="center"/>
          </w:tcPr>
          <w:p w14:paraId="1AB59FC9" w14:textId="3B76E285" w:rsidR="008234CC" w:rsidRPr="00293F5E" w:rsidRDefault="008234CC" w:rsidP="008234CC">
            <w:pPr>
              <w:spacing w:after="0"/>
              <w:ind w:left="0"/>
              <w:rPr>
                <w:rFonts w:ascii="Calibri" w:hAnsi="Calibri" w:cs="Calibri"/>
                <w:color w:val="000000"/>
                <w:szCs w:val="22"/>
              </w:rPr>
            </w:pPr>
            <w:r>
              <w:rPr>
                <w:color w:val="000000"/>
                <w:szCs w:val="24"/>
              </w:rPr>
              <w:t>Daily-Weekly</w:t>
            </w:r>
          </w:p>
        </w:tc>
        <w:tc>
          <w:tcPr>
            <w:tcW w:w="1775" w:type="dxa"/>
            <w:noWrap/>
            <w:vAlign w:val="center"/>
          </w:tcPr>
          <w:p w14:paraId="44BFAE85" w14:textId="67ABE0E4" w:rsidR="008234CC" w:rsidRPr="004B4E82" w:rsidRDefault="008234CC" w:rsidP="008234CC">
            <w:pPr>
              <w:spacing w:after="0"/>
              <w:ind w:left="0"/>
              <w:rPr>
                <w:color w:val="000000"/>
              </w:rPr>
            </w:pPr>
            <w:r>
              <w:rPr>
                <w:color w:val="000000"/>
                <w:szCs w:val="24"/>
              </w:rPr>
              <w:t>BNWQ896B</w:t>
            </w:r>
          </w:p>
        </w:tc>
        <w:tc>
          <w:tcPr>
            <w:tcW w:w="6963" w:type="dxa"/>
            <w:vAlign w:val="center"/>
          </w:tcPr>
          <w:p w14:paraId="08970F9E" w14:textId="42DDB660" w:rsidR="008234CC" w:rsidRPr="00EE4DB6" w:rsidRDefault="008234CC" w:rsidP="008234CC">
            <w:pPr>
              <w:spacing w:after="0"/>
              <w:ind w:left="0"/>
              <w:rPr>
                <w:color w:val="000000"/>
                <w:szCs w:val="24"/>
              </w:rPr>
            </w:pPr>
            <w:r w:rsidRPr="00EE4DB6">
              <w:rPr>
                <w:color w:val="000000"/>
                <w:szCs w:val="24"/>
              </w:rPr>
              <w:t>Internet filings</w:t>
            </w:r>
          </w:p>
        </w:tc>
      </w:tr>
      <w:tr w:rsidR="008234CC" w:rsidRPr="00293F5E" w14:paraId="21BD3E24" w14:textId="77777777" w:rsidTr="008234CC">
        <w:trPr>
          <w:trHeight w:val="300"/>
        </w:trPr>
        <w:tc>
          <w:tcPr>
            <w:tcW w:w="684" w:type="dxa"/>
            <w:noWrap/>
            <w:vAlign w:val="center"/>
            <w:hideMark/>
          </w:tcPr>
          <w:p w14:paraId="53F402CE" w14:textId="34FF170D" w:rsidR="008234CC" w:rsidRPr="00C8400B" w:rsidRDefault="008234CC" w:rsidP="008234CC">
            <w:pPr>
              <w:spacing w:after="0"/>
              <w:ind w:left="0"/>
              <w:jc w:val="center"/>
              <w:rPr>
                <w:rFonts w:cs="Calibri"/>
                <w:color w:val="000000"/>
                <w:szCs w:val="24"/>
              </w:rPr>
            </w:pPr>
            <w:r w:rsidRPr="00C8400B">
              <w:rPr>
                <w:rFonts w:cs="Calibri"/>
                <w:color w:val="000000"/>
                <w:szCs w:val="24"/>
              </w:rPr>
              <w:t>30</w:t>
            </w:r>
          </w:p>
        </w:tc>
        <w:tc>
          <w:tcPr>
            <w:tcW w:w="1677" w:type="dxa"/>
            <w:noWrap/>
            <w:vAlign w:val="center"/>
          </w:tcPr>
          <w:p w14:paraId="531C71A0" w14:textId="6DE1854C" w:rsidR="008234CC" w:rsidRPr="00293F5E" w:rsidRDefault="008234CC" w:rsidP="008234CC">
            <w:pPr>
              <w:spacing w:after="0"/>
              <w:ind w:left="0"/>
              <w:rPr>
                <w:rFonts w:ascii="Calibri" w:hAnsi="Calibri" w:cs="Calibri"/>
                <w:color w:val="000000"/>
                <w:szCs w:val="22"/>
              </w:rPr>
            </w:pPr>
            <w:r>
              <w:rPr>
                <w:color w:val="000000"/>
                <w:szCs w:val="24"/>
              </w:rPr>
              <w:t>Daily-Weekly</w:t>
            </w:r>
          </w:p>
        </w:tc>
        <w:tc>
          <w:tcPr>
            <w:tcW w:w="1775" w:type="dxa"/>
            <w:noWrap/>
            <w:vAlign w:val="center"/>
          </w:tcPr>
          <w:p w14:paraId="053FEA55" w14:textId="1041B53B" w:rsidR="008234CC" w:rsidRPr="004B4E82" w:rsidRDefault="008234CC" w:rsidP="008234CC">
            <w:pPr>
              <w:spacing w:after="0"/>
              <w:ind w:left="0"/>
              <w:rPr>
                <w:color w:val="000000"/>
              </w:rPr>
            </w:pPr>
            <w:r>
              <w:rPr>
                <w:color w:val="000000"/>
                <w:szCs w:val="24"/>
              </w:rPr>
              <w:t>BNWT120P</w:t>
            </w:r>
          </w:p>
        </w:tc>
        <w:tc>
          <w:tcPr>
            <w:tcW w:w="6963" w:type="dxa"/>
            <w:vAlign w:val="center"/>
          </w:tcPr>
          <w:p w14:paraId="000D853E" w14:textId="74134E32" w:rsidR="008234CC" w:rsidRPr="00EE4DB6" w:rsidRDefault="008234CC" w:rsidP="008234CC">
            <w:pPr>
              <w:spacing w:after="0"/>
              <w:ind w:left="0"/>
              <w:rPr>
                <w:color w:val="000000"/>
                <w:szCs w:val="24"/>
              </w:rPr>
            </w:pPr>
            <w:r>
              <w:rPr>
                <w:color w:val="000000"/>
                <w:szCs w:val="24"/>
              </w:rPr>
              <w:t>Chargebacks Comparison</w:t>
            </w:r>
          </w:p>
        </w:tc>
      </w:tr>
      <w:tr w:rsidR="008234CC" w:rsidRPr="00293F5E" w14:paraId="648F22BD" w14:textId="77777777" w:rsidTr="008234CC">
        <w:trPr>
          <w:trHeight w:val="300"/>
        </w:trPr>
        <w:tc>
          <w:tcPr>
            <w:tcW w:w="684" w:type="dxa"/>
            <w:noWrap/>
            <w:vAlign w:val="center"/>
            <w:hideMark/>
          </w:tcPr>
          <w:p w14:paraId="7405C1C5" w14:textId="5B30A499" w:rsidR="008234CC" w:rsidRPr="00C8400B" w:rsidRDefault="008234CC" w:rsidP="008234CC">
            <w:pPr>
              <w:spacing w:after="0"/>
              <w:ind w:left="0"/>
              <w:jc w:val="center"/>
              <w:rPr>
                <w:rFonts w:cs="Calibri"/>
                <w:color w:val="000000"/>
                <w:szCs w:val="24"/>
              </w:rPr>
            </w:pPr>
            <w:r w:rsidRPr="008234CC">
              <w:rPr>
                <w:rFonts w:cs="Calibri"/>
                <w:color w:val="000000"/>
                <w:szCs w:val="24"/>
              </w:rPr>
              <w:t>31</w:t>
            </w:r>
          </w:p>
        </w:tc>
        <w:tc>
          <w:tcPr>
            <w:tcW w:w="1677" w:type="dxa"/>
            <w:noWrap/>
            <w:vAlign w:val="center"/>
          </w:tcPr>
          <w:p w14:paraId="1BE7901D" w14:textId="101C01A0" w:rsidR="008234CC" w:rsidRPr="00293F5E" w:rsidRDefault="008234CC" w:rsidP="008234CC">
            <w:pPr>
              <w:spacing w:after="0"/>
              <w:ind w:left="0"/>
              <w:rPr>
                <w:rFonts w:ascii="Calibri" w:hAnsi="Calibri" w:cs="Calibri"/>
                <w:color w:val="000000"/>
                <w:szCs w:val="22"/>
              </w:rPr>
            </w:pPr>
            <w:r>
              <w:rPr>
                <w:color w:val="000000"/>
                <w:szCs w:val="24"/>
              </w:rPr>
              <w:t>Daily-Weekly</w:t>
            </w:r>
          </w:p>
        </w:tc>
        <w:tc>
          <w:tcPr>
            <w:tcW w:w="1775" w:type="dxa"/>
            <w:noWrap/>
            <w:vAlign w:val="center"/>
          </w:tcPr>
          <w:p w14:paraId="1D907198" w14:textId="7C1D9942" w:rsidR="008234CC" w:rsidRPr="004B4E82" w:rsidRDefault="008234CC" w:rsidP="008234CC">
            <w:pPr>
              <w:spacing w:after="0"/>
              <w:ind w:left="0"/>
              <w:rPr>
                <w:color w:val="000000"/>
              </w:rPr>
            </w:pPr>
            <w:r>
              <w:rPr>
                <w:color w:val="000000"/>
                <w:szCs w:val="24"/>
              </w:rPr>
              <w:t>BNWT130P</w:t>
            </w:r>
          </w:p>
        </w:tc>
        <w:tc>
          <w:tcPr>
            <w:tcW w:w="6963" w:type="dxa"/>
            <w:vAlign w:val="center"/>
          </w:tcPr>
          <w:p w14:paraId="49628B84" w14:textId="4CCD871D" w:rsidR="008234CC" w:rsidRPr="004B4E82" w:rsidRDefault="008234CC" w:rsidP="008234CC">
            <w:pPr>
              <w:spacing w:after="0"/>
              <w:ind w:left="0"/>
              <w:rPr>
                <w:color w:val="000000"/>
              </w:rPr>
            </w:pPr>
            <w:r>
              <w:rPr>
                <w:color w:val="000000"/>
                <w:szCs w:val="24"/>
              </w:rPr>
              <w:t>Batch Error Reports</w:t>
            </w:r>
          </w:p>
        </w:tc>
      </w:tr>
      <w:tr w:rsidR="008234CC" w:rsidRPr="00293F5E" w14:paraId="414F3095" w14:textId="77777777" w:rsidTr="008234CC">
        <w:trPr>
          <w:trHeight w:val="300"/>
        </w:trPr>
        <w:tc>
          <w:tcPr>
            <w:tcW w:w="684" w:type="dxa"/>
            <w:noWrap/>
            <w:vAlign w:val="center"/>
            <w:hideMark/>
          </w:tcPr>
          <w:p w14:paraId="62349A0E" w14:textId="71D41342" w:rsidR="008234CC" w:rsidRPr="00C8400B" w:rsidRDefault="008234CC" w:rsidP="008234CC">
            <w:pPr>
              <w:spacing w:after="0"/>
              <w:ind w:left="0"/>
              <w:jc w:val="center"/>
              <w:rPr>
                <w:rFonts w:cs="Calibri"/>
                <w:color w:val="000000"/>
                <w:szCs w:val="24"/>
              </w:rPr>
            </w:pPr>
            <w:r w:rsidRPr="00C8400B">
              <w:rPr>
                <w:rFonts w:cs="Calibri"/>
                <w:color w:val="000000"/>
                <w:szCs w:val="24"/>
              </w:rPr>
              <w:t>32</w:t>
            </w:r>
          </w:p>
        </w:tc>
        <w:tc>
          <w:tcPr>
            <w:tcW w:w="1677" w:type="dxa"/>
            <w:noWrap/>
            <w:vAlign w:val="center"/>
          </w:tcPr>
          <w:p w14:paraId="1706EC6C" w14:textId="435CE031" w:rsidR="008234CC" w:rsidRPr="00293F5E" w:rsidRDefault="008234CC" w:rsidP="008234CC">
            <w:pPr>
              <w:spacing w:after="0"/>
              <w:ind w:left="0"/>
              <w:rPr>
                <w:rFonts w:ascii="Calibri" w:hAnsi="Calibri" w:cs="Calibri"/>
                <w:color w:val="000000"/>
                <w:szCs w:val="22"/>
              </w:rPr>
            </w:pPr>
            <w:r>
              <w:rPr>
                <w:color w:val="000000"/>
                <w:szCs w:val="24"/>
              </w:rPr>
              <w:t>Daily-Weekly</w:t>
            </w:r>
          </w:p>
        </w:tc>
        <w:tc>
          <w:tcPr>
            <w:tcW w:w="1775" w:type="dxa"/>
            <w:noWrap/>
            <w:vAlign w:val="center"/>
          </w:tcPr>
          <w:p w14:paraId="7FA89CD5" w14:textId="03C58C82" w:rsidR="008234CC" w:rsidRPr="004B4E82" w:rsidRDefault="008234CC" w:rsidP="008234CC">
            <w:pPr>
              <w:spacing w:after="0"/>
              <w:ind w:left="0"/>
              <w:rPr>
                <w:color w:val="000000"/>
              </w:rPr>
            </w:pPr>
            <w:r>
              <w:rPr>
                <w:color w:val="000000"/>
                <w:szCs w:val="24"/>
              </w:rPr>
              <w:t>UILADTED</w:t>
            </w:r>
          </w:p>
        </w:tc>
        <w:tc>
          <w:tcPr>
            <w:tcW w:w="6963" w:type="dxa"/>
            <w:vAlign w:val="center"/>
          </w:tcPr>
          <w:p w14:paraId="0295A107" w14:textId="7DF59AA3" w:rsidR="008234CC" w:rsidRPr="004B4E82" w:rsidRDefault="008234CC" w:rsidP="008234CC">
            <w:pPr>
              <w:spacing w:after="0"/>
              <w:ind w:left="0"/>
              <w:rPr>
                <w:color w:val="000000"/>
              </w:rPr>
            </w:pPr>
            <w:r>
              <w:rPr>
                <w:color w:val="000000"/>
                <w:szCs w:val="24"/>
              </w:rPr>
              <w:t>UI LADT Report</w:t>
            </w:r>
          </w:p>
        </w:tc>
      </w:tr>
      <w:tr w:rsidR="008234CC" w:rsidRPr="00293F5E" w14:paraId="7D48C864" w14:textId="77777777" w:rsidTr="008234CC">
        <w:trPr>
          <w:trHeight w:val="300"/>
        </w:trPr>
        <w:tc>
          <w:tcPr>
            <w:tcW w:w="684" w:type="dxa"/>
            <w:noWrap/>
            <w:vAlign w:val="center"/>
          </w:tcPr>
          <w:p w14:paraId="201DBB81" w14:textId="06DFF4F1" w:rsidR="008234CC" w:rsidRPr="008234CC" w:rsidRDefault="008234CC" w:rsidP="008234CC">
            <w:pPr>
              <w:spacing w:after="0"/>
              <w:ind w:left="0"/>
              <w:jc w:val="center"/>
              <w:rPr>
                <w:rFonts w:cs="Calibri"/>
                <w:color w:val="000000"/>
                <w:szCs w:val="24"/>
              </w:rPr>
            </w:pPr>
            <w:r w:rsidRPr="008234CC">
              <w:rPr>
                <w:rFonts w:cs="Calibri"/>
                <w:color w:val="000000"/>
                <w:szCs w:val="24"/>
              </w:rPr>
              <w:t>33</w:t>
            </w:r>
          </w:p>
        </w:tc>
        <w:tc>
          <w:tcPr>
            <w:tcW w:w="1677" w:type="dxa"/>
            <w:noWrap/>
            <w:vAlign w:val="center"/>
          </w:tcPr>
          <w:p w14:paraId="2FAF14F0" w14:textId="5DE80E32" w:rsidR="008234CC" w:rsidRDefault="008234CC" w:rsidP="008234CC">
            <w:pPr>
              <w:spacing w:after="0"/>
              <w:ind w:left="0"/>
              <w:rPr>
                <w:color w:val="000000"/>
                <w:szCs w:val="24"/>
              </w:rPr>
            </w:pPr>
            <w:r>
              <w:rPr>
                <w:color w:val="000000"/>
                <w:szCs w:val="24"/>
              </w:rPr>
              <w:t>Weekly</w:t>
            </w:r>
          </w:p>
        </w:tc>
        <w:tc>
          <w:tcPr>
            <w:tcW w:w="1775" w:type="dxa"/>
            <w:noWrap/>
            <w:vAlign w:val="center"/>
          </w:tcPr>
          <w:p w14:paraId="6AC30331" w14:textId="50456DF5" w:rsidR="008234CC" w:rsidRDefault="008234CC" w:rsidP="008234CC">
            <w:pPr>
              <w:spacing w:after="0"/>
              <w:ind w:left="0"/>
              <w:rPr>
                <w:color w:val="000000"/>
                <w:szCs w:val="24"/>
              </w:rPr>
            </w:pPr>
            <w:r>
              <w:t xml:space="preserve">UCFE Responses Weekly </w:t>
            </w:r>
            <w:r>
              <w:lastRenderedPageBreak/>
              <w:t>Monday report</w:t>
            </w:r>
          </w:p>
        </w:tc>
        <w:tc>
          <w:tcPr>
            <w:tcW w:w="6963" w:type="dxa"/>
            <w:vAlign w:val="center"/>
          </w:tcPr>
          <w:p w14:paraId="565E5DFE" w14:textId="65147F9A" w:rsidR="008234CC" w:rsidRDefault="008234CC" w:rsidP="008234CC">
            <w:pPr>
              <w:spacing w:after="0"/>
              <w:ind w:left="0"/>
              <w:rPr>
                <w:color w:val="000000"/>
                <w:szCs w:val="24"/>
              </w:rPr>
            </w:pPr>
            <w:r>
              <w:lastRenderedPageBreak/>
              <w:t>Provides UCFE response that come in over the weekend</w:t>
            </w:r>
          </w:p>
        </w:tc>
      </w:tr>
      <w:tr w:rsidR="008234CC" w:rsidRPr="00293F5E" w14:paraId="70C9BB57" w14:textId="77777777" w:rsidTr="008234CC">
        <w:trPr>
          <w:trHeight w:val="300"/>
        </w:trPr>
        <w:tc>
          <w:tcPr>
            <w:tcW w:w="684" w:type="dxa"/>
            <w:noWrap/>
            <w:vAlign w:val="center"/>
          </w:tcPr>
          <w:p w14:paraId="2E2FE6EE" w14:textId="60910883" w:rsidR="008234CC" w:rsidRPr="008234CC" w:rsidRDefault="008234CC" w:rsidP="008234CC">
            <w:pPr>
              <w:spacing w:after="0"/>
              <w:ind w:left="0"/>
              <w:jc w:val="center"/>
              <w:rPr>
                <w:rFonts w:cs="Calibri"/>
                <w:color w:val="000000"/>
                <w:szCs w:val="24"/>
              </w:rPr>
            </w:pPr>
            <w:r w:rsidRPr="00C8400B">
              <w:rPr>
                <w:rFonts w:cs="Calibri"/>
                <w:color w:val="000000"/>
                <w:szCs w:val="24"/>
              </w:rPr>
              <w:t>34</w:t>
            </w:r>
          </w:p>
        </w:tc>
        <w:tc>
          <w:tcPr>
            <w:tcW w:w="1677" w:type="dxa"/>
            <w:noWrap/>
            <w:vAlign w:val="center"/>
          </w:tcPr>
          <w:p w14:paraId="7EBB16DE" w14:textId="469C5E5D" w:rsidR="008234CC" w:rsidRDefault="008234CC" w:rsidP="008234CC">
            <w:pPr>
              <w:spacing w:after="0"/>
              <w:ind w:left="0"/>
              <w:rPr>
                <w:color w:val="000000"/>
                <w:szCs w:val="24"/>
              </w:rPr>
            </w:pPr>
            <w:r>
              <w:rPr>
                <w:color w:val="000000"/>
                <w:szCs w:val="24"/>
              </w:rPr>
              <w:t>Monthly</w:t>
            </w:r>
          </w:p>
        </w:tc>
        <w:tc>
          <w:tcPr>
            <w:tcW w:w="1775" w:type="dxa"/>
            <w:noWrap/>
            <w:vAlign w:val="center"/>
          </w:tcPr>
          <w:p w14:paraId="6A693DC1" w14:textId="77DCEEF2" w:rsidR="008234CC" w:rsidRDefault="008234CC" w:rsidP="008234CC">
            <w:pPr>
              <w:spacing w:after="0"/>
              <w:ind w:left="0"/>
              <w:rPr>
                <w:color w:val="000000"/>
                <w:szCs w:val="24"/>
              </w:rPr>
            </w:pPr>
            <w:r>
              <w:rPr>
                <w:color w:val="000000"/>
                <w:szCs w:val="24"/>
              </w:rPr>
              <w:t>BNME130P</w:t>
            </w:r>
          </w:p>
        </w:tc>
        <w:tc>
          <w:tcPr>
            <w:tcW w:w="6963" w:type="dxa"/>
            <w:vAlign w:val="center"/>
          </w:tcPr>
          <w:p w14:paraId="6272FFBC" w14:textId="71C7BFF5" w:rsidR="008234CC" w:rsidRDefault="008234CC" w:rsidP="008234CC">
            <w:pPr>
              <w:spacing w:after="0"/>
              <w:ind w:left="0"/>
              <w:rPr>
                <w:color w:val="000000"/>
                <w:szCs w:val="24"/>
              </w:rPr>
            </w:pPr>
            <w:r w:rsidRPr="002F3FF5">
              <w:rPr>
                <w:color w:val="000000"/>
                <w:szCs w:val="24"/>
              </w:rPr>
              <w:t>Random Sample Parms Print</w:t>
            </w:r>
          </w:p>
        </w:tc>
      </w:tr>
      <w:tr w:rsidR="008234CC" w:rsidRPr="00293F5E" w14:paraId="39A1CAAA" w14:textId="77777777" w:rsidTr="008234CC">
        <w:trPr>
          <w:trHeight w:val="300"/>
        </w:trPr>
        <w:tc>
          <w:tcPr>
            <w:tcW w:w="684" w:type="dxa"/>
            <w:noWrap/>
            <w:vAlign w:val="center"/>
          </w:tcPr>
          <w:p w14:paraId="477489DF" w14:textId="22E88277" w:rsidR="008234CC" w:rsidRPr="008234CC" w:rsidRDefault="008234CC" w:rsidP="008234CC">
            <w:pPr>
              <w:spacing w:after="0"/>
              <w:ind w:left="0"/>
              <w:jc w:val="center"/>
              <w:rPr>
                <w:rFonts w:cs="Calibri"/>
                <w:color w:val="000000"/>
                <w:szCs w:val="24"/>
              </w:rPr>
            </w:pPr>
            <w:r w:rsidRPr="008234CC">
              <w:rPr>
                <w:rFonts w:cs="Calibri"/>
                <w:color w:val="000000"/>
                <w:szCs w:val="24"/>
              </w:rPr>
              <w:t>35</w:t>
            </w:r>
          </w:p>
        </w:tc>
        <w:tc>
          <w:tcPr>
            <w:tcW w:w="1677" w:type="dxa"/>
            <w:noWrap/>
            <w:vAlign w:val="center"/>
          </w:tcPr>
          <w:p w14:paraId="5CDA14DD" w14:textId="171C1890" w:rsidR="008234CC" w:rsidRDefault="008234CC" w:rsidP="008234CC">
            <w:pPr>
              <w:spacing w:after="0"/>
              <w:ind w:left="0"/>
              <w:rPr>
                <w:color w:val="000000"/>
                <w:szCs w:val="24"/>
              </w:rPr>
            </w:pPr>
            <w:r>
              <w:rPr>
                <w:color w:val="000000"/>
                <w:szCs w:val="24"/>
              </w:rPr>
              <w:t>Monthly</w:t>
            </w:r>
          </w:p>
        </w:tc>
        <w:tc>
          <w:tcPr>
            <w:tcW w:w="1775" w:type="dxa"/>
            <w:noWrap/>
            <w:vAlign w:val="center"/>
          </w:tcPr>
          <w:p w14:paraId="355F4EDB" w14:textId="2BE6F7D9" w:rsidR="008234CC" w:rsidRDefault="008234CC" w:rsidP="008234CC">
            <w:pPr>
              <w:spacing w:after="0"/>
              <w:ind w:left="0"/>
              <w:rPr>
                <w:color w:val="000000"/>
                <w:szCs w:val="24"/>
              </w:rPr>
            </w:pPr>
            <w:r>
              <w:rPr>
                <w:color w:val="000000"/>
                <w:szCs w:val="24"/>
              </w:rPr>
              <w:t>BNME140P</w:t>
            </w:r>
          </w:p>
        </w:tc>
        <w:tc>
          <w:tcPr>
            <w:tcW w:w="6963" w:type="dxa"/>
            <w:vAlign w:val="center"/>
          </w:tcPr>
          <w:p w14:paraId="246108F8" w14:textId="56BF07C3" w:rsidR="008234CC" w:rsidRDefault="008234CC" w:rsidP="008234CC">
            <w:pPr>
              <w:spacing w:after="0"/>
              <w:ind w:left="0"/>
              <w:rPr>
                <w:color w:val="000000"/>
                <w:szCs w:val="24"/>
              </w:rPr>
            </w:pPr>
            <w:r w:rsidRPr="002F3FF5">
              <w:rPr>
                <w:color w:val="000000"/>
                <w:szCs w:val="24"/>
              </w:rPr>
              <w:t xml:space="preserve">Chargeback Decision Summary </w:t>
            </w:r>
            <w:r w:rsidRPr="001B5823">
              <w:rPr>
                <w:color w:val="000000"/>
                <w:szCs w:val="24"/>
              </w:rPr>
              <w:t>Report</w:t>
            </w:r>
          </w:p>
        </w:tc>
      </w:tr>
      <w:tr w:rsidR="008234CC" w:rsidRPr="00293F5E" w14:paraId="4521EA6A" w14:textId="77777777" w:rsidTr="008234CC">
        <w:trPr>
          <w:trHeight w:val="300"/>
        </w:trPr>
        <w:tc>
          <w:tcPr>
            <w:tcW w:w="684" w:type="dxa"/>
            <w:noWrap/>
            <w:vAlign w:val="center"/>
            <w:hideMark/>
          </w:tcPr>
          <w:p w14:paraId="16078FF6" w14:textId="5DA406EF" w:rsidR="008234CC" w:rsidRPr="00C8400B" w:rsidRDefault="008234CC" w:rsidP="008234CC">
            <w:pPr>
              <w:spacing w:after="0"/>
              <w:ind w:left="0"/>
              <w:jc w:val="center"/>
              <w:rPr>
                <w:rFonts w:cs="Calibri"/>
                <w:color w:val="000000"/>
                <w:szCs w:val="24"/>
              </w:rPr>
            </w:pPr>
            <w:r w:rsidRPr="00C8400B">
              <w:rPr>
                <w:rFonts w:cs="Calibri"/>
                <w:color w:val="000000"/>
                <w:szCs w:val="24"/>
              </w:rPr>
              <w:t>36</w:t>
            </w:r>
          </w:p>
        </w:tc>
        <w:tc>
          <w:tcPr>
            <w:tcW w:w="1677" w:type="dxa"/>
            <w:noWrap/>
            <w:vAlign w:val="center"/>
          </w:tcPr>
          <w:p w14:paraId="3B2A93F4" w14:textId="25F52BD4" w:rsidR="008234CC" w:rsidRPr="00293F5E" w:rsidRDefault="008234CC" w:rsidP="008234CC">
            <w:pPr>
              <w:spacing w:after="0"/>
              <w:ind w:left="0"/>
              <w:rPr>
                <w:rFonts w:ascii="Calibri" w:hAnsi="Calibri" w:cs="Calibri"/>
                <w:color w:val="000000"/>
                <w:szCs w:val="22"/>
              </w:rPr>
            </w:pPr>
            <w:r>
              <w:rPr>
                <w:color w:val="000000"/>
                <w:szCs w:val="24"/>
              </w:rPr>
              <w:t>Monthly</w:t>
            </w:r>
          </w:p>
        </w:tc>
        <w:tc>
          <w:tcPr>
            <w:tcW w:w="1775" w:type="dxa"/>
            <w:noWrap/>
            <w:vAlign w:val="center"/>
          </w:tcPr>
          <w:p w14:paraId="6B7ACB55" w14:textId="78E49C77" w:rsidR="008234CC" w:rsidRPr="004B4E82" w:rsidRDefault="008234CC" w:rsidP="008234CC">
            <w:pPr>
              <w:spacing w:after="0"/>
              <w:ind w:left="0"/>
              <w:rPr>
                <w:color w:val="000000"/>
              </w:rPr>
            </w:pPr>
            <w:r>
              <w:rPr>
                <w:color w:val="000000"/>
                <w:szCs w:val="24"/>
              </w:rPr>
              <w:t>BNMQ360P</w:t>
            </w:r>
          </w:p>
        </w:tc>
        <w:tc>
          <w:tcPr>
            <w:tcW w:w="6963" w:type="dxa"/>
            <w:vAlign w:val="center"/>
          </w:tcPr>
          <w:p w14:paraId="60D777F5" w14:textId="1FECAD3F" w:rsidR="008234CC" w:rsidRPr="004B4E82" w:rsidRDefault="008234CC" w:rsidP="008234CC">
            <w:pPr>
              <w:spacing w:after="0"/>
              <w:ind w:left="0"/>
              <w:rPr>
                <w:color w:val="000000"/>
              </w:rPr>
            </w:pPr>
            <w:r>
              <w:rPr>
                <w:color w:val="000000"/>
                <w:szCs w:val="24"/>
              </w:rPr>
              <w:t>ETA Reports</w:t>
            </w:r>
          </w:p>
        </w:tc>
      </w:tr>
      <w:tr w:rsidR="008234CC" w:rsidRPr="00293F5E" w14:paraId="7722EDE0" w14:textId="77777777" w:rsidTr="008234CC">
        <w:trPr>
          <w:trHeight w:val="300"/>
        </w:trPr>
        <w:tc>
          <w:tcPr>
            <w:tcW w:w="684" w:type="dxa"/>
            <w:noWrap/>
            <w:vAlign w:val="center"/>
            <w:hideMark/>
          </w:tcPr>
          <w:p w14:paraId="412ABA60" w14:textId="332DD2E9" w:rsidR="008234CC" w:rsidRPr="00C8400B" w:rsidRDefault="008234CC" w:rsidP="008234CC">
            <w:pPr>
              <w:spacing w:after="0"/>
              <w:ind w:left="0"/>
              <w:jc w:val="center"/>
              <w:rPr>
                <w:rFonts w:cs="Calibri"/>
                <w:color w:val="000000"/>
                <w:szCs w:val="24"/>
              </w:rPr>
            </w:pPr>
            <w:r w:rsidRPr="008234CC">
              <w:rPr>
                <w:rFonts w:cs="Calibri"/>
                <w:color w:val="000000"/>
                <w:szCs w:val="24"/>
              </w:rPr>
              <w:t>37</w:t>
            </w:r>
          </w:p>
        </w:tc>
        <w:tc>
          <w:tcPr>
            <w:tcW w:w="1677" w:type="dxa"/>
            <w:noWrap/>
            <w:vAlign w:val="center"/>
          </w:tcPr>
          <w:p w14:paraId="1F3CD4DC" w14:textId="20127085" w:rsidR="008234CC" w:rsidRPr="00293F5E" w:rsidRDefault="008234CC" w:rsidP="008234CC">
            <w:pPr>
              <w:spacing w:after="0"/>
              <w:ind w:left="0"/>
              <w:rPr>
                <w:rFonts w:ascii="Calibri" w:hAnsi="Calibri" w:cs="Calibri"/>
                <w:color w:val="000000"/>
                <w:szCs w:val="22"/>
              </w:rPr>
            </w:pPr>
            <w:r>
              <w:rPr>
                <w:color w:val="000000"/>
                <w:szCs w:val="24"/>
              </w:rPr>
              <w:t>Monthly</w:t>
            </w:r>
          </w:p>
        </w:tc>
        <w:tc>
          <w:tcPr>
            <w:tcW w:w="1775" w:type="dxa"/>
            <w:noWrap/>
            <w:vAlign w:val="center"/>
          </w:tcPr>
          <w:p w14:paraId="7BBEC98B" w14:textId="2E0C3142" w:rsidR="008234CC" w:rsidRPr="004B4E82" w:rsidRDefault="008234CC" w:rsidP="008234CC">
            <w:pPr>
              <w:spacing w:after="0"/>
              <w:ind w:left="0"/>
              <w:rPr>
                <w:color w:val="000000"/>
              </w:rPr>
            </w:pPr>
            <w:r>
              <w:rPr>
                <w:color w:val="000000"/>
                <w:szCs w:val="24"/>
              </w:rPr>
              <w:t>BNMQ370P</w:t>
            </w:r>
          </w:p>
        </w:tc>
        <w:tc>
          <w:tcPr>
            <w:tcW w:w="6963" w:type="dxa"/>
            <w:vAlign w:val="center"/>
          </w:tcPr>
          <w:p w14:paraId="6146E097" w14:textId="0667E631" w:rsidR="008234CC" w:rsidRPr="004B4E82" w:rsidRDefault="008234CC" w:rsidP="008234CC">
            <w:pPr>
              <w:spacing w:after="0"/>
              <w:ind w:left="0"/>
              <w:rPr>
                <w:color w:val="000000"/>
              </w:rPr>
            </w:pPr>
            <w:r>
              <w:rPr>
                <w:color w:val="000000"/>
                <w:szCs w:val="24"/>
              </w:rPr>
              <w:t>ETA Reports</w:t>
            </w:r>
          </w:p>
        </w:tc>
      </w:tr>
      <w:tr w:rsidR="008234CC" w:rsidRPr="00293F5E" w14:paraId="0512AC41" w14:textId="77777777" w:rsidTr="008234CC">
        <w:trPr>
          <w:trHeight w:val="300"/>
        </w:trPr>
        <w:tc>
          <w:tcPr>
            <w:tcW w:w="684" w:type="dxa"/>
            <w:noWrap/>
            <w:vAlign w:val="center"/>
            <w:hideMark/>
          </w:tcPr>
          <w:p w14:paraId="120C8F3B" w14:textId="54EDF118" w:rsidR="008234CC" w:rsidRPr="00C8400B" w:rsidRDefault="008234CC" w:rsidP="008234CC">
            <w:pPr>
              <w:spacing w:after="0"/>
              <w:ind w:left="0"/>
              <w:jc w:val="center"/>
              <w:rPr>
                <w:rFonts w:cs="Calibri"/>
                <w:color w:val="000000"/>
                <w:szCs w:val="24"/>
              </w:rPr>
            </w:pPr>
            <w:r w:rsidRPr="00C8400B">
              <w:rPr>
                <w:rFonts w:cs="Calibri"/>
                <w:color w:val="000000"/>
                <w:szCs w:val="24"/>
              </w:rPr>
              <w:t>38</w:t>
            </w:r>
          </w:p>
        </w:tc>
        <w:tc>
          <w:tcPr>
            <w:tcW w:w="1677" w:type="dxa"/>
            <w:noWrap/>
            <w:vAlign w:val="center"/>
          </w:tcPr>
          <w:p w14:paraId="06DF90CC" w14:textId="41B94696" w:rsidR="008234CC" w:rsidRPr="00293F5E" w:rsidRDefault="008234CC" w:rsidP="008234CC">
            <w:pPr>
              <w:spacing w:after="0"/>
              <w:ind w:left="0"/>
              <w:rPr>
                <w:rFonts w:ascii="Calibri" w:hAnsi="Calibri" w:cs="Calibri"/>
                <w:color w:val="000000"/>
                <w:szCs w:val="22"/>
              </w:rPr>
            </w:pPr>
            <w:r>
              <w:rPr>
                <w:color w:val="000000"/>
                <w:szCs w:val="24"/>
              </w:rPr>
              <w:t>Monthly</w:t>
            </w:r>
          </w:p>
        </w:tc>
        <w:tc>
          <w:tcPr>
            <w:tcW w:w="1775" w:type="dxa"/>
            <w:noWrap/>
            <w:vAlign w:val="center"/>
          </w:tcPr>
          <w:p w14:paraId="49C284BA" w14:textId="51341812" w:rsidR="008234CC" w:rsidRPr="004B4E82" w:rsidRDefault="008234CC" w:rsidP="008234CC">
            <w:pPr>
              <w:spacing w:after="0"/>
              <w:ind w:left="0"/>
              <w:rPr>
                <w:color w:val="000000"/>
              </w:rPr>
            </w:pPr>
            <w:r>
              <w:rPr>
                <w:color w:val="000000"/>
                <w:szCs w:val="24"/>
              </w:rPr>
              <w:t>BNMQ371P</w:t>
            </w:r>
          </w:p>
        </w:tc>
        <w:tc>
          <w:tcPr>
            <w:tcW w:w="6963" w:type="dxa"/>
            <w:vAlign w:val="center"/>
          </w:tcPr>
          <w:p w14:paraId="466AAA43" w14:textId="5D7B96AB" w:rsidR="008234CC" w:rsidRPr="004B4E82" w:rsidRDefault="008234CC" w:rsidP="008234CC">
            <w:pPr>
              <w:spacing w:after="0"/>
              <w:ind w:left="0"/>
              <w:rPr>
                <w:color w:val="000000"/>
              </w:rPr>
            </w:pPr>
            <w:r>
              <w:rPr>
                <w:color w:val="000000"/>
                <w:szCs w:val="24"/>
              </w:rPr>
              <w:t>ETA Reports</w:t>
            </w:r>
          </w:p>
        </w:tc>
      </w:tr>
      <w:tr w:rsidR="008234CC" w:rsidRPr="00293F5E" w14:paraId="4B48C103" w14:textId="77777777" w:rsidTr="008234CC">
        <w:trPr>
          <w:trHeight w:val="300"/>
        </w:trPr>
        <w:tc>
          <w:tcPr>
            <w:tcW w:w="684" w:type="dxa"/>
            <w:noWrap/>
            <w:vAlign w:val="center"/>
            <w:hideMark/>
          </w:tcPr>
          <w:p w14:paraId="3866D9E8" w14:textId="35F2C911" w:rsidR="008234CC" w:rsidRPr="00C8400B" w:rsidRDefault="008234CC" w:rsidP="008234CC">
            <w:pPr>
              <w:spacing w:after="0"/>
              <w:ind w:left="0"/>
              <w:jc w:val="center"/>
              <w:rPr>
                <w:rFonts w:cs="Calibri"/>
                <w:color w:val="000000"/>
                <w:szCs w:val="24"/>
              </w:rPr>
            </w:pPr>
            <w:r w:rsidRPr="008234CC">
              <w:rPr>
                <w:rFonts w:cs="Calibri"/>
                <w:color w:val="000000"/>
                <w:szCs w:val="24"/>
              </w:rPr>
              <w:t>39</w:t>
            </w:r>
          </w:p>
        </w:tc>
        <w:tc>
          <w:tcPr>
            <w:tcW w:w="1677" w:type="dxa"/>
            <w:noWrap/>
            <w:vAlign w:val="center"/>
          </w:tcPr>
          <w:p w14:paraId="5CC27E22" w14:textId="3E668D54" w:rsidR="008234CC" w:rsidRPr="00293F5E" w:rsidRDefault="008234CC" w:rsidP="008234CC">
            <w:pPr>
              <w:spacing w:after="0"/>
              <w:ind w:left="0"/>
              <w:rPr>
                <w:rFonts w:ascii="Calibri" w:hAnsi="Calibri" w:cs="Calibri"/>
                <w:color w:val="000000"/>
                <w:szCs w:val="22"/>
              </w:rPr>
            </w:pPr>
            <w:r>
              <w:rPr>
                <w:color w:val="000000"/>
                <w:szCs w:val="24"/>
              </w:rPr>
              <w:t>Monthly</w:t>
            </w:r>
          </w:p>
        </w:tc>
        <w:tc>
          <w:tcPr>
            <w:tcW w:w="1775" w:type="dxa"/>
            <w:noWrap/>
            <w:vAlign w:val="center"/>
          </w:tcPr>
          <w:p w14:paraId="2C6DCAED" w14:textId="2264D06C" w:rsidR="008234CC" w:rsidRPr="004B4E82" w:rsidRDefault="008234CC" w:rsidP="008234CC">
            <w:pPr>
              <w:spacing w:after="0"/>
              <w:ind w:left="0"/>
              <w:rPr>
                <w:color w:val="000000"/>
              </w:rPr>
            </w:pPr>
            <w:r>
              <w:rPr>
                <w:color w:val="000000"/>
                <w:szCs w:val="24"/>
              </w:rPr>
              <w:t>BNMQ380P</w:t>
            </w:r>
          </w:p>
        </w:tc>
        <w:tc>
          <w:tcPr>
            <w:tcW w:w="6963" w:type="dxa"/>
            <w:vAlign w:val="center"/>
          </w:tcPr>
          <w:p w14:paraId="0B0EA125" w14:textId="5E64F0B7" w:rsidR="008234CC" w:rsidRPr="004B4E82" w:rsidRDefault="008234CC" w:rsidP="008234CC">
            <w:pPr>
              <w:spacing w:after="0"/>
              <w:ind w:left="0"/>
              <w:rPr>
                <w:color w:val="000000"/>
              </w:rPr>
            </w:pPr>
            <w:r>
              <w:rPr>
                <w:color w:val="000000"/>
                <w:szCs w:val="24"/>
              </w:rPr>
              <w:t>ETA Reports</w:t>
            </w:r>
          </w:p>
        </w:tc>
      </w:tr>
      <w:tr w:rsidR="008234CC" w:rsidRPr="00293F5E" w14:paraId="19964734" w14:textId="77777777" w:rsidTr="008234CC">
        <w:trPr>
          <w:trHeight w:val="300"/>
        </w:trPr>
        <w:tc>
          <w:tcPr>
            <w:tcW w:w="684" w:type="dxa"/>
            <w:noWrap/>
            <w:vAlign w:val="center"/>
            <w:hideMark/>
          </w:tcPr>
          <w:p w14:paraId="41216F40" w14:textId="17E65EB2" w:rsidR="008234CC" w:rsidRPr="00C8400B" w:rsidRDefault="008234CC" w:rsidP="008234CC">
            <w:pPr>
              <w:spacing w:after="0"/>
              <w:ind w:left="0"/>
              <w:jc w:val="center"/>
              <w:rPr>
                <w:rFonts w:cs="Calibri"/>
                <w:color w:val="000000"/>
                <w:szCs w:val="24"/>
              </w:rPr>
            </w:pPr>
            <w:r w:rsidRPr="00C8400B">
              <w:rPr>
                <w:rFonts w:cs="Calibri"/>
                <w:color w:val="000000"/>
                <w:szCs w:val="24"/>
              </w:rPr>
              <w:t>40</w:t>
            </w:r>
          </w:p>
        </w:tc>
        <w:tc>
          <w:tcPr>
            <w:tcW w:w="1677" w:type="dxa"/>
            <w:noWrap/>
            <w:vAlign w:val="center"/>
          </w:tcPr>
          <w:p w14:paraId="3AB5B7F4" w14:textId="2A3503EC" w:rsidR="008234CC" w:rsidRPr="00293F5E" w:rsidRDefault="008234CC" w:rsidP="008234CC">
            <w:pPr>
              <w:spacing w:after="0"/>
              <w:ind w:left="0"/>
              <w:rPr>
                <w:rFonts w:ascii="Calibri" w:hAnsi="Calibri" w:cs="Calibri"/>
                <w:color w:val="000000"/>
                <w:szCs w:val="22"/>
              </w:rPr>
            </w:pPr>
            <w:r>
              <w:rPr>
                <w:color w:val="000000"/>
                <w:szCs w:val="24"/>
              </w:rPr>
              <w:t>Monthly</w:t>
            </w:r>
          </w:p>
        </w:tc>
        <w:tc>
          <w:tcPr>
            <w:tcW w:w="1775" w:type="dxa"/>
            <w:noWrap/>
            <w:vAlign w:val="center"/>
          </w:tcPr>
          <w:p w14:paraId="685ECCFA" w14:textId="24DE4F26" w:rsidR="008234CC" w:rsidRPr="004B4E82" w:rsidRDefault="008234CC" w:rsidP="008234CC">
            <w:pPr>
              <w:spacing w:after="0"/>
              <w:ind w:left="0"/>
              <w:rPr>
                <w:color w:val="000000"/>
              </w:rPr>
            </w:pPr>
            <w:r>
              <w:rPr>
                <w:color w:val="000000"/>
                <w:szCs w:val="24"/>
              </w:rPr>
              <w:t>BNMQ385P</w:t>
            </w:r>
          </w:p>
        </w:tc>
        <w:tc>
          <w:tcPr>
            <w:tcW w:w="6963" w:type="dxa"/>
            <w:vAlign w:val="center"/>
          </w:tcPr>
          <w:p w14:paraId="17EA7BA6" w14:textId="3340EA30" w:rsidR="008234CC" w:rsidRPr="004B4E82" w:rsidRDefault="008234CC" w:rsidP="008234CC">
            <w:pPr>
              <w:spacing w:after="0"/>
              <w:ind w:left="0"/>
              <w:rPr>
                <w:color w:val="000000"/>
              </w:rPr>
            </w:pPr>
            <w:r>
              <w:rPr>
                <w:color w:val="000000"/>
                <w:szCs w:val="24"/>
              </w:rPr>
              <w:t>ETA Reports</w:t>
            </w:r>
          </w:p>
        </w:tc>
      </w:tr>
      <w:tr w:rsidR="008234CC" w:rsidRPr="00293F5E" w14:paraId="42041F1B" w14:textId="77777777" w:rsidTr="008234CC">
        <w:trPr>
          <w:trHeight w:val="300"/>
        </w:trPr>
        <w:tc>
          <w:tcPr>
            <w:tcW w:w="684" w:type="dxa"/>
            <w:noWrap/>
            <w:vAlign w:val="center"/>
            <w:hideMark/>
          </w:tcPr>
          <w:p w14:paraId="35365CB3" w14:textId="73295F47" w:rsidR="008234CC" w:rsidRPr="00C8400B" w:rsidRDefault="008234CC" w:rsidP="008234CC">
            <w:pPr>
              <w:spacing w:after="0"/>
              <w:ind w:left="0"/>
              <w:jc w:val="center"/>
              <w:rPr>
                <w:rFonts w:cs="Calibri"/>
                <w:color w:val="000000"/>
                <w:szCs w:val="24"/>
              </w:rPr>
            </w:pPr>
            <w:r w:rsidRPr="008234CC">
              <w:rPr>
                <w:rFonts w:cs="Calibri"/>
                <w:color w:val="000000"/>
                <w:szCs w:val="24"/>
              </w:rPr>
              <w:t>41</w:t>
            </w:r>
          </w:p>
        </w:tc>
        <w:tc>
          <w:tcPr>
            <w:tcW w:w="1677" w:type="dxa"/>
            <w:noWrap/>
            <w:vAlign w:val="center"/>
          </w:tcPr>
          <w:p w14:paraId="018F0B75" w14:textId="2845D64D" w:rsidR="008234CC" w:rsidRPr="00293F5E" w:rsidRDefault="008234CC" w:rsidP="008234CC">
            <w:pPr>
              <w:spacing w:after="0"/>
              <w:ind w:left="0"/>
              <w:rPr>
                <w:rFonts w:ascii="Calibri" w:hAnsi="Calibri" w:cs="Calibri"/>
                <w:color w:val="000000"/>
                <w:szCs w:val="22"/>
              </w:rPr>
            </w:pPr>
            <w:r>
              <w:rPr>
                <w:color w:val="000000"/>
                <w:szCs w:val="24"/>
              </w:rPr>
              <w:t>Monthly</w:t>
            </w:r>
          </w:p>
        </w:tc>
        <w:tc>
          <w:tcPr>
            <w:tcW w:w="1775" w:type="dxa"/>
            <w:noWrap/>
            <w:vAlign w:val="center"/>
          </w:tcPr>
          <w:p w14:paraId="67B74578" w14:textId="643A7788" w:rsidR="008234CC" w:rsidRPr="004B4E82" w:rsidRDefault="008234CC" w:rsidP="008234CC">
            <w:pPr>
              <w:spacing w:after="0"/>
              <w:ind w:left="0"/>
              <w:rPr>
                <w:color w:val="000000"/>
              </w:rPr>
            </w:pPr>
            <w:r>
              <w:rPr>
                <w:color w:val="000000"/>
                <w:szCs w:val="24"/>
              </w:rPr>
              <w:t>BNMQ395P</w:t>
            </w:r>
          </w:p>
        </w:tc>
        <w:tc>
          <w:tcPr>
            <w:tcW w:w="6963" w:type="dxa"/>
            <w:vAlign w:val="center"/>
          </w:tcPr>
          <w:p w14:paraId="7CF0EEBF" w14:textId="0EE2E48E" w:rsidR="008234CC" w:rsidRPr="004B4E82" w:rsidRDefault="008234CC" w:rsidP="008234CC">
            <w:pPr>
              <w:spacing w:after="0"/>
              <w:ind w:left="0"/>
              <w:rPr>
                <w:color w:val="000000"/>
              </w:rPr>
            </w:pPr>
            <w:r>
              <w:rPr>
                <w:color w:val="000000"/>
                <w:szCs w:val="24"/>
              </w:rPr>
              <w:t>ETA Reports</w:t>
            </w:r>
          </w:p>
        </w:tc>
      </w:tr>
      <w:tr w:rsidR="008234CC" w:rsidRPr="00293F5E" w14:paraId="76A09585" w14:textId="77777777" w:rsidTr="008234CC">
        <w:trPr>
          <w:trHeight w:val="300"/>
        </w:trPr>
        <w:tc>
          <w:tcPr>
            <w:tcW w:w="684" w:type="dxa"/>
            <w:noWrap/>
            <w:vAlign w:val="center"/>
            <w:hideMark/>
          </w:tcPr>
          <w:p w14:paraId="332A2341" w14:textId="571416AC" w:rsidR="008234CC" w:rsidRPr="00C8400B" w:rsidRDefault="008234CC" w:rsidP="008234CC">
            <w:pPr>
              <w:spacing w:after="0"/>
              <w:ind w:left="0"/>
              <w:jc w:val="center"/>
              <w:rPr>
                <w:rFonts w:cs="Calibri"/>
                <w:color w:val="000000"/>
                <w:szCs w:val="24"/>
              </w:rPr>
            </w:pPr>
            <w:r w:rsidRPr="00C8400B">
              <w:rPr>
                <w:rFonts w:cs="Calibri"/>
                <w:color w:val="000000"/>
                <w:szCs w:val="24"/>
              </w:rPr>
              <w:t>42</w:t>
            </w:r>
          </w:p>
        </w:tc>
        <w:tc>
          <w:tcPr>
            <w:tcW w:w="1677" w:type="dxa"/>
            <w:noWrap/>
            <w:vAlign w:val="center"/>
          </w:tcPr>
          <w:p w14:paraId="72974349" w14:textId="50F720EA" w:rsidR="008234CC" w:rsidRPr="00293F5E" w:rsidRDefault="008234CC" w:rsidP="008234CC">
            <w:pPr>
              <w:spacing w:after="0"/>
              <w:ind w:left="0"/>
              <w:rPr>
                <w:rFonts w:ascii="Calibri" w:hAnsi="Calibri" w:cs="Calibri"/>
                <w:color w:val="000000"/>
                <w:szCs w:val="22"/>
              </w:rPr>
            </w:pPr>
            <w:r>
              <w:rPr>
                <w:color w:val="000000"/>
                <w:szCs w:val="24"/>
              </w:rPr>
              <w:t>Monthly</w:t>
            </w:r>
          </w:p>
        </w:tc>
        <w:tc>
          <w:tcPr>
            <w:tcW w:w="1775" w:type="dxa"/>
            <w:noWrap/>
            <w:vAlign w:val="center"/>
          </w:tcPr>
          <w:p w14:paraId="2FFD3D15" w14:textId="7D32F5EA" w:rsidR="008234CC" w:rsidRPr="004B4E82" w:rsidRDefault="008234CC" w:rsidP="008234CC">
            <w:pPr>
              <w:spacing w:after="0"/>
              <w:ind w:left="0"/>
              <w:rPr>
                <w:color w:val="000000"/>
              </w:rPr>
            </w:pPr>
            <w:r>
              <w:rPr>
                <w:color w:val="000000"/>
                <w:szCs w:val="24"/>
              </w:rPr>
              <w:t>BNMQ400P</w:t>
            </w:r>
          </w:p>
        </w:tc>
        <w:tc>
          <w:tcPr>
            <w:tcW w:w="6963" w:type="dxa"/>
            <w:vAlign w:val="center"/>
          </w:tcPr>
          <w:p w14:paraId="211D2852" w14:textId="5408BDF8" w:rsidR="008234CC" w:rsidRPr="004B4E82" w:rsidRDefault="008234CC" w:rsidP="008234CC">
            <w:pPr>
              <w:spacing w:after="0"/>
              <w:ind w:left="0"/>
              <w:rPr>
                <w:color w:val="000000"/>
              </w:rPr>
            </w:pPr>
            <w:r>
              <w:rPr>
                <w:color w:val="000000"/>
                <w:szCs w:val="24"/>
              </w:rPr>
              <w:t>ETA Reports</w:t>
            </w:r>
          </w:p>
        </w:tc>
      </w:tr>
      <w:tr w:rsidR="008234CC" w:rsidRPr="00293F5E" w14:paraId="4C084BDC" w14:textId="77777777" w:rsidTr="008234CC">
        <w:trPr>
          <w:trHeight w:val="300"/>
        </w:trPr>
        <w:tc>
          <w:tcPr>
            <w:tcW w:w="684" w:type="dxa"/>
            <w:noWrap/>
            <w:vAlign w:val="center"/>
            <w:hideMark/>
          </w:tcPr>
          <w:p w14:paraId="09951751" w14:textId="13FD498F" w:rsidR="008234CC" w:rsidRPr="00C8400B" w:rsidRDefault="008234CC" w:rsidP="008234CC">
            <w:pPr>
              <w:spacing w:after="0"/>
              <w:ind w:left="0"/>
              <w:jc w:val="center"/>
              <w:rPr>
                <w:rFonts w:cs="Calibri"/>
                <w:color w:val="000000"/>
                <w:szCs w:val="24"/>
              </w:rPr>
            </w:pPr>
            <w:r w:rsidRPr="008234CC">
              <w:rPr>
                <w:rFonts w:cs="Calibri"/>
                <w:color w:val="000000"/>
                <w:szCs w:val="24"/>
              </w:rPr>
              <w:t>43</w:t>
            </w:r>
          </w:p>
        </w:tc>
        <w:tc>
          <w:tcPr>
            <w:tcW w:w="1677" w:type="dxa"/>
            <w:noWrap/>
            <w:vAlign w:val="center"/>
          </w:tcPr>
          <w:p w14:paraId="37AC259D" w14:textId="5A137FEB" w:rsidR="008234CC" w:rsidRPr="00293F5E" w:rsidRDefault="008234CC" w:rsidP="008234CC">
            <w:pPr>
              <w:spacing w:after="0"/>
              <w:ind w:left="0"/>
              <w:rPr>
                <w:rFonts w:ascii="Calibri" w:hAnsi="Calibri" w:cs="Calibri"/>
                <w:color w:val="000000"/>
                <w:szCs w:val="22"/>
              </w:rPr>
            </w:pPr>
            <w:r>
              <w:rPr>
                <w:color w:val="000000"/>
                <w:szCs w:val="24"/>
              </w:rPr>
              <w:t>Monthly</w:t>
            </w:r>
          </w:p>
        </w:tc>
        <w:tc>
          <w:tcPr>
            <w:tcW w:w="1775" w:type="dxa"/>
            <w:noWrap/>
            <w:vAlign w:val="center"/>
          </w:tcPr>
          <w:p w14:paraId="622BD1CC" w14:textId="7E1FC1E8" w:rsidR="008234CC" w:rsidRPr="004B4E82" w:rsidRDefault="008234CC" w:rsidP="008234CC">
            <w:pPr>
              <w:spacing w:after="0"/>
              <w:ind w:left="0"/>
              <w:rPr>
                <w:color w:val="000000"/>
              </w:rPr>
            </w:pPr>
            <w:r>
              <w:rPr>
                <w:color w:val="000000"/>
                <w:szCs w:val="24"/>
              </w:rPr>
              <w:t>BNMQ405P</w:t>
            </w:r>
          </w:p>
        </w:tc>
        <w:tc>
          <w:tcPr>
            <w:tcW w:w="6963" w:type="dxa"/>
            <w:vAlign w:val="center"/>
          </w:tcPr>
          <w:p w14:paraId="461C702D" w14:textId="07510294" w:rsidR="008234CC" w:rsidRPr="004B4E82" w:rsidRDefault="008234CC" w:rsidP="008234CC">
            <w:pPr>
              <w:spacing w:after="0"/>
              <w:ind w:left="0"/>
              <w:rPr>
                <w:color w:val="000000"/>
              </w:rPr>
            </w:pPr>
            <w:r>
              <w:rPr>
                <w:color w:val="000000"/>
                <w:szCs w:val="24"/>
              </w:rPr>
              <w:t>ETA Reports</w:t>
            </w:r>
          </w:p>
        </w:tc>
      </w:tr>
      <w:tr w:rsidR="008234CC" w:rsidRPr="00293F5E" w14:paraId="4EC9ABA3" w14:textId="77777777" w:rsidTr="008234CC">
        <w:trPr>
          <w:trHeight w:val="300"/>
        </w:trPr>
        <w:tc>
          <w:tcPr>
            <w:tcW w:w="684" w:type="dxa"/>
            <w:noWrap/>
            <w:vAlign w:val="center"/>
            <w:hideMark/>
          </w:tcPr>
          <w:p w14:paraId="755304C5" w14:textId="370F5B18" w:rsidR="008234CC" w:rsidRPr="00C8400B" w:rsidRDefault="008234CC" w:rsidP="008234CC">
            <w:pPr>
              <w:spacing w:after="0"/>
              <w:ind w:left="0"/>
              <w:jc w:val="center"/>
              <w:rPr>
                <w:rFonts w:cs="Calibri"/>
                <w:color w:val="000000"/>
                <w:szCs w:val="24"/>
              </w:rPr>
            </w:pPr>
            <w:r w:rsidRPr="00C8400B">
              <w:rPr>
                <w:rFonts w:cs="Calibri"/>
                <w:color w:val="000000"/>
                <w:szCs w:val="24"/>
              </w:rPr>
              <w:t>44</w:t>
            </w:r>
          </w:p>
        </w:tc>
        <w:tc>
          <w:tcPr>
            <w:tcW w:w="1677" w:type="dxa"/>
            <w:noWrap/>
            <w:vAlign w:val="center"/>
          </w:tcPr>
          <w:p w14:paraId="0CEAEF35" w14:textId="2DB85CA8" w:rsidR="008234CC" w:rsidRPr="00293F5E" w:rsidRDefault="008234CC" w:rsidP="008234CC">
            <w:pPr>
              <w:spacing w:after="0"/>
              <w:ind w:left="0"/>
              <w:rPr>
                <w:rFonts w:ascii="Calibri" w:hAnsi="Calibri" w:cs="Calibri"/>
                <w:color w:val="000000"/>
                <w:szCs w:val="22"/>
              </w:rPr>
            </w:pPr>
            <w:r>
              <w:rPr>
                <w:color w:val="000000"/>
                <w:szCs w:val="24"/>
              </w:rPr>
              <w:t>Monthly</w:t>
            </w:r>
          </w:p>
        </w:tc>
        <w:tc>
          <w:tcPr>
            <w:tcW w:w="1775" w:type="dxa"/>
            <w:noWrap/>
            <w:vAlign w:val="center"/>
          </w:tcPr>
          <w:p w14:paraId="2BE77EA0" w14:textId="3FA06870" w:rsidR="008234CC" w:rsidRPr="004B4E82" w:rsidRDefault="008234CC" w:rsidP="008234CC">
            <w:pPr>
              <w:spacing w:after="0"/>
              <w:ind w:left="0"/>
              <w:rPr>
                <w:color w:val="000000"/>
              </w:rPr>
            </w:pPr>
            <w:r>
              <w:rPr>
                <w:color w:val="000000"/>
                <w:szCs w:val="24"/>
              </w:rPr>
              <w:t>BNMQ420P</w:t>
            </w:r>
          </w:p>
        </w:tc>
        <w:tc>
          <w:tcPr>
            <w:tcW w:w="6963" w:type="dxa"/>
            <w:vAlign w:val="center"/>
          </w:tcPr>
          <w:p w14:paraId="6AF186B5" w14:textId="54CFED08" w:rsidR="008234CC" w:rsidRPr="004B4E82" w:rsidRDefault="008234CC" w:rsidP="008234CC">
            <w:pPr>
              <w:spacing w:after="0"/>
              <w:ind w:left="0"/>
              <w:rPr>
                <w:color w:val="000000"/>
              </w:rPr>
            </w:pPr>
            <w:r>
              <w:rPr>
                <w:color w:val="000000"/>
                <w:szCs w:val="24"/>
              </w:rPr>
              <w:t>ETA Reports</w:t>
            </w:r>
          </w:p>
        </w:tc>
      </w:tr>
      <w:tr w:rsidR="008234CC" w:rsidRPr="00293F5E" w14:paraId="32A2B10B" w14:textId="77777777" w:rsidTr="008234CC">
        <w:trPr>
          <w:trHeight w:val="300"/>
        </w:trPr>
        <w:tc>
          <w:tcPr>
            <w:tcW w:w="684" w:type="dxa"/>
            <w:noWrap/>
            <w:vAlign w:val="center"/>
            <w:hideMark/>
          </w:tcPr>
          <w:p w14:paraId="29CA7CFC" w14:textId="0F97EADC" w:rsidR="008234CC" w:rsidRPr="00C8400B" w:rsidRDefault="008234CC" w:rsidP="008234CC">
            <w:pPr>
              <w:spacing w:after="0"/>
              <w:ind w:left="0"/>
              <w:jc w:val="center"/>
              <w:rPr>
                <w:rFonts w:cs="Calibri"/>
                <w:color w:val="000000"/>
                <w:szCs w:val="24"/>
              </w:rPr>
            </w:pPr>
            <w:r w:rsidRPr="008234CC">
              <w:rPr>
                <w:rFonts w:cs="Calibri"/>
                <w:color w:val="000000"/>
                <w:szCs w:val="24"/>
              </w:rPr>
              <w:t>45</w:t>
            </w:r>
          </w:p>
        </w:tc>
        <w:tc>
          <w:tcPr>
            <w:tcW w:w="1677" w:type="dxa"/>
            <w:noWrap/>
            <w:vAlign w:val="center"/>
          </w:tcPr>
          <w:p w14:paraId="5829912F" w14:textId="74ACDADF" w:rsidR="008234CC" w:rsidRPr="00293F5E" w:rsidRDefault="008234CC" w:rsidP="008234CC">
            <w:pPr>
              <w:spacing w:after="0"/>
              <w:ind w:left="0"/>
              <w:rPr>
                <w:rFonts w:ascii="Calibri" w:hAnsi="Calibri" w:cs="Calibri"/>
                <w:color w:val="000000"/>
                <w:szCs w:val="22"/>
              </w:rPr>
            </w:pPr>
            <w:r>
              <w:rPr>
                <w:color w:val="000000"/>
                <w:szCs w:val="24"/>
              </w:rPr>
              <w:t>Monthly</w:t>
            </w:r>
          </w:p>
        </w:tc>
        <w:tc>
          <w:tcPr>
            <w:tcW w:w="1775" w:type="dxa"/>
            <w:noWrap/>
            <w:vAlign w:val="center"/>
          </w:tcPr>
          <w:p w14:paraId="4DB39669" w14:textId="3A441DC5" w:rsidR="008234CC" w:rsidRPr="004B4E82" w:rsidRDefault="008234CC" w:rsidP="008234CC">
            <w:pPr>
              <w:spacing w:after="0"/>
              <w:ind w:left="0"/>
              <w:rPr>
                <w:color w:val="000000"/>
              </w:rPr>
            </w:pPr>
            <w:r>
              <w:rPr>
                <w:color w:val="000000"/>
                <w:szCs w:val="24"/>
              </w:rPr>
              <w:t>BNMQ430P</w:t>
            </w:r>
          </w:p>
        </w:tc>
        <w:tc>
          <w:tcPr>
            <w:tcW w:w="6963" w:type="dxa"/>
            <w:vAlign w:val="center"/>
          </w:tcPr>
          <w:p w14:paraId="7D9E07EB" w14:textId="6E735B7A" w:rsidR="008234CC" w:rsidRPr="00EE4DB6" w:rsidRDefault="008234CC" w:rsidP="008234CC">
            <w:pPr>
              <w:spacing w:after="0"/>
              <w:ind w:left="0"/>
              <w:rPr>
                <w:color w:val="000000"/>
                <w:szCs w:val="24"/>
              </w:rPr>
            </w:pPr>
            <w:r>
              <w:rPr>
                <w:color w:val="000000"/>
                <w:szCs w:val="24"/>
              </w:rPr>
              <w:t>ETA Reports</w:t>
            </w:r>
          </w:p>
        </w:tc>
      </w:tr>
      <w:tr w:rsidR="008234CC" w:rsidRPr="00293F5E" w14:paraId="31029A3A" w14:textId="77777777" w:rsidTr="008234CC">
        <w:trPr>
          <w:trHeight w:val="300"/>
        </w:trPr>
        <w:tc>
          <w:tcPr>
            <w:tcW w:w="684" w:type="dxa"/>
            <w:noWrap/>
            <w:vAlign w:val="center"/>
            <w:hideMark/>
          </w:tcPr>
          <w:p w14:paraId="266EB16A" w14:textId="01D93907" w:rsidR="008234CC" w:rsidRPr="00C8400B" w:rsidRDefault="008234CC" w:rsidP="008234CC">
            <w:pPr>
              <w:spacing w:after="0"/>
              <w:ind w:left="0"/>
              <w:jc w:val="center"/>
              <w:rPr>
                <w:rFonts w:cs="Calibri"/>
                <w:color w:val="000000"/>
                <w:szCs w:val="24"/>
              </w:rPr>
            </w:pPr>
            <w:r w:rsidRPr="00C8400B">
              <w:rPr>
                <w:rFonts w:cs="Calibri"/>
                <w:color w:val="000000"/>
                <w:szCs w:val="24"/>
              </w:rPr>
              <w:t>46</w:t>
            </w:r>
          </w:p>
        </w:tc>
        <w:tc>
          <w:tcPr>
            <w:tcW w:w="1677" w:type="dxa"/>
            <w:noWrap/>
            <w:vAlign w:val="center"/>
          </w:tcPr>
          <w:p w14:paraId="7F98EEBE" w14:textId="61CFE2C6" w:rsidR="008234CC" w:rsidRPr="00293F5E" w:rsidRDefault="008234CC" w:rsidP="008234CC">
            <w:pPr>
              <w:spacing w:after="0"/>
              <w:ind w:left="0"/>
              <w:rPr>
                <w:rFonts w:ascii="Calibri" w:hAnsi="Calibri" w:cs="Calibri"/>
                <w:color w:val="000000"/>
                <w:szCs w:val="22"/>
              </w:rPr>
            </w:pPr>
            <w:r>
              <w:rPr>
                <w:color w:val="000000"/>
                <w:szCs w:val="24"/>
              </w:rPr>
              <w:t>Monthly</w:t>
            </w:r>
          </w:p>
        </w:tc>
        <w:tc>
          <w:tcPr>
            <w:tcW w:w="1775" w:type="dxa"/>
            <w:noWrap/>
            <w:vAlign w:val="center"/>
          </w:tcPr>
          <w:p w14:paraId="290BFAEB" w14:textId="2E672EFD" w:rsidR="008234CC" w:rsidRPr="004B4E82" w:rsidRDefault="008234CC" w:rsidP="008234CC">
            <w:pPr>
              <w:spacing w:after="0"/>
              <w:ind w:left="0"/>
              <w:rPr>
                <w:color w:val="000000"/>
              </w:rPr>
            </w:pPr>
            <w:r>
              <w:rPr>
                <w:color w:val="000000"/>
                <w:szCs w:val="24"/>
              </w:rPr>
              <w:t>BNMQ480P</w:t>
            </w:r>
          </w:p>
        </w:tc>
        <w:tc>
          <w:tcPr>
            <w:tcW w:w="6963" w:type="dxa"/>
            <w:vAlign w:val="center"/>
          </w:tcPr>
          <w:p w14:paraId="4BA5C1A4" w14:textId="717A63F5" w:rsidR="008234CC" w:rsidRPr="00EE4DB6" w:rsidRDefault="008234CC" w:rsidP="008234CC">
            <w:pPr>
              <w:spacing w:after="0"/>
              <w:ind w:left="0"/>
              <w:rPr>
                <w:color w:val="000000"/>
                <w:szCs w:val="24"/>
              </w:rPr>
            </w:pPr>
            <w:r>
              <w:rPr>
                <w:color w:val="000000"/>
                <w:szCs w:val="24"/>
              </w:rPr>
              <w:t>ETA Reports</w:t>
            </w:r>
          </w:p>
        </w:tc>
      </w:tr>
      <w:tr w:rsidR="008234CC" w:rsidRPr="00293F5E" w14:paraId="0662B332" w14:textId="77777777" w:rsidTr="008234CC">
        <w:trPr>
          <w:trHeight w:val="300"/>
        </w:trPr>
        <w:tc>
          <w:tcPr>
            <w:tcW w:w="684" w:type="dxa"/>
            <w:noWrap/>
            <w:vAlign w:val="center"/>
            <w:hideMark/>
          </w:tcPr>
          <w:p w14:paraId="4BE38141" w14:textId="50EA1F7B" w:rsidR="008234CC" w:rsidRPr="00C8400B" w:rsidRDefault="008234CC" w:rsidP="008234CC">
            <w:pPr>
              <w:spacing w:after="0"/>
              <w:ind w:left="0"/>
              <w:jc w:val="center"/>
              <w:rPr>
                <w:rFonts w:cs="Calibri"/>
                <w:color w:val="000000"/>
                <w:szCs w:val="24"/>
              </w:rPr>
            </w:pPr>
            <w:r w:rsidRPr="008234CC">
              <w:rPr>
                <w:rFonts w:cs="Calibri"/>
                <w:color w:val="000000"/>
                <w:szCs w:val="24"/>
              </w:rPr>
              <w:t>47</w:t>
            </w:r>
          </w:p>
        </w:tc>
        <w:tc>
          <w:tcPr>
            <w:tcW w:w="1677" w:type="dxa"/>
            <w:noWrap/>
            <w:vAlign w:val="center"/>
          </w:tcPr>
          <w:p w14:paraId="71E280D0" w14:textId="2BD69786" w:rsidR="008234CC" w:rsidRPr="00293F5E" w:rsidRDefault="008234CC" w:rsidP="008234CC">
            <w:pPr>
              <w:spacing w:after="0"/>
              <w:ind w:left="0"/>
              <w:rPr>
                <w:rFonts w:ascii="Calibri" w:hAnsi="Calibri" w:cs="Calibri"/>
                <w:color w:val="000000"/>
                <w:szCs w:val="22"/>
              </w:rPr>
            </w:pPr>
            <w:r>
              <w:rPr>
                <w:color w:val="000000"/>
                <w:szCs w:val="24"/>
              </w:rPr>
              <w:t>Monthly</w:t>
            </w:r>
          </w:p>
        </w:tc>
        <w:tc>
          <w:tcPr>
            <w:tcW w:w="1775" w:type="dxa"/>
            <w:noWrap/>
            <w:vAlign w:val="center"/>
          </w:tcPr>
          <w:p w14:paraId="1974A27A" w14:textId="58A5648B" w:rsidR="008234CC" w:rsidRPr="004B4E82" w:rsidRDefault="008234CC" w:rsidP="008234CC">
            <w:pPr>
              <w:spacing w:after="0"/>
              <w:ind w:left="0"/>
              <w:rPr>
                <w:color w:val="000000"/>
              </w:rPr>
            </w:pPr>
            <w:r>
              <w:rPr>
                <w:color w:val="000000"/>
                <w:szCs w:val="24"/>
              </w:rPr>
              <w:t>BNRQ365P</w:t>
            </w:r>
          </w:p>
        </w:tc>
        <w:tc>
          <w:tcPr>
            <w:tcW w:w="6963" w:type="dxa"/>
            <w:vAlign w:val="center"/>
          </w:tcPr>
          <w:p w14:paraId="2A89DFFD" w14:textId="59077FDB" w:rsidR="008234CC" w:rsidRPr="00EE4DB6" w:rsidRDefault="008234CC" w:rsidP="008234CC">
            <w:pPr>
              <w:spacing w:after="0"/>
              <w:ind w:left="0"/>
              <w:rPr>
                <w:color w:val="000000"/>
                <w:szCs w:val="24"/>
              </w:rPr>
            </w:pPr>
            <w:r w:rsidRPr="00EE4DB6">
              <w:rPr>
                <w:color w:val="000000"/>
                <w:szCs w:val="24"/>
              </w:rPr>
              <w:t>Prints monthly ETA 5159</w:t>
            </w:r>
          </w:p>
        </w:tc>
      </w:tr>
      <w:tr w:rsidR="00465DE3" w:rsidRPr="00293F5E" w14:paraId="116AD14D" w14:textId="77777777" w:rsidTr="008234CC">
        <w:trPr>
          <w:trHeight w:val="395"/>
        </w:trPr>
        <w:tc>
          <w:tcPr>
            <w:tcW w:w="684" w:type="dxa"/>
            <w:noWrap/>
            <w:vAlign w:val="center"/>
            <w:hideMark/>
          </w:tcPr>
          <w:p w14:paraId="6A12884C" w14:textId="11A49B9D" w:rsidR="00465DE3" w:rsidRPr="00103CFB" w:rsidRDefault="00465DE3" w:rsidP="00465DE3">
            <w:pPr>
              <w:spacing w:after="0"/>
              <w:ind w:left="0"/>
              <w:jc w:val="center"/>
              <w:rPr>
                <w:rFonts w:cs="Calibri"/>
                <w:color w:val="000000"/>
                <w:szCs w:val="24"/>
              </w:rPr>
            </w:pPr>
            <w:r w:rsidRPr="00C8400B">
              <w:rPr>
                <w:rFonts w:cs="Calibri"/>
                <w:color w:val="000000"/>
                <w:szCs w:val="24"/>
              </w:rPr>
              <w:t>48</w:t>
            </w:r>
          </w:p>
        </w:tc>
        <w:tc>
          <w:tcPr>
            <w:tcW w:w="1677" w:type="dxa"/>
            <w:noWrap/>
            <w:vAlign w:val="center"/>
          </w:tcPr>
          <w:p w14:paraId="6403AC44" w14:textId="6A3E55D4" w:rsidR="00465DE3" w:rsidRPr="002F3FF5" w:rsidRDefault="00465DE3" w:rsidP="00465DE3">
            <w:pPr>
              <w:spacing w:after="0"/>
              <w:ind w:left="0"/>
              <w:rPr>
                <w:color w:val="000000"/>
                <w:szCs w:val="24"/>
              </w:rPr>
            </w:pPr>
            <w:r>
              <w:rPr>
                <w:color w:val="000000"/>
                <w:szCs w:val="24"/>
              </w:rPr>
              <w:t>Quarterly</w:t>
            </w:r>
          </w:p>
        </w:tc>
        <w:tc>
          <w:tcPr>
            <w:tcW w:w="1775" w:type="dxa"/>
            <w:noWrap/>
            <w:vAlign w:val="center"/>
          </w:tcPr>
          <w:p w14:paraId="7BF492AD" w14:textId="75B97885" w:rsidR="00465DE3" w:rsidRPr="004B4E82" w:rsidRDefault="00465DE3" w:rsidP="00465DE3">
            <w:pPr>
              <w:spacing w:after="0"/>
              <w:ind w:left="0"/>
              <w:rPr>
                <w:color w:val="000000"/>
              </w:rPr>
            </w:pPr>
            <w:r>
              <w:rPr>
                <w:color w:val="000000"/>
                <w:szCs w:val="24"/>
              </w:rPr>
              <w:t>BNQC115F</w:t>
            </w:r>
          </w:p>
        </w:tc>
        <w:tc>
          <w:tcPr>
            <w:tcW w:w="6963" w:type="dxa"/>
            <w:vAlign w:val="center"/>
          </w:tcPr>
          <w:p w14:paraId="70ABFF37" w14:textId="156C151E" w:rsidR="00465DE3" w:rsidRPr="001B5823" w:rsidRDefault="00465DE3" w:rsidP="00465DE3">
            <w:pPr>
              <w:spacing w:after="0"/>
              <w:ind w:left="0"/>
              <w:rPr>
                <w:color w:val="000000"/>
                <w:szCs w:val="24"/>
              </w:rPr>
            </w:pPr>
            <w:r w:rsidRPr="001B5823">
              <w:rPr>
                <w:color w:val="000000"/>
                <w:szCs w:val="24"/>
              </w:rPr>
              <w:t>Outgoing IB6 Statements</w:t>
            </w:r>
          </w:p>
        </w:tc>
      </w:tr>
      <w:tr w:rsidR="00465DE3" w:rsidRPr="00293F5E" w14:paraId="099060B9" w14:textId="77777777" w:rsidTr="008234CC">
        <w:trPr>
          <w:trHeight w:val="300"/>
        </w:trPr>
        <w:tc>
          <w:tcPr>
            <w:tcW w:w="684" w:type="dxa"/>
            <w:noWrap/>
            <w:vAlign w:val="center"/>
            <w:hideMark/>
          </w:tcPr>
          <w:p w14:paraId="49EC353D" w14:textId="6107906D" w:rsidR="00465DE3" w:rsidRPr="00C8400B" w:rsidRDefault="00465DE3" w:rsidP="00465DE3">
            <w:pPr>
              <w:spacing w:after="0"/>
              <w:ind w:left="0"/>
              <w:jc w:val="center"/>
              <w:rPr>
                <w:rFonts w:cs="Calibri"/>
                <w:color w:val="000000"/>
                <w:szCs w:val="24"/>
              </w:rPr>
            </w:pPr>
            <w:r>
              <w:rPr>
                <w:rFonts w:cs="Calibri"/>
                <w:color w:val="000000"/>
                <w:szCs w:val="24"/>
              </w:rPr>
              <w:t>49</w:t>
            </w:r>
          </w:p>
        </w:tc>
        <w:tc>
          <w:tcPr>
            <w:tcW w:w="1677" w:type="dxa"/>
            <w:noWrap/>
            <w:vAlign w:val="center"/>
          </w:tcPr>
          <w:p w14:paraId="05C33CD5" w14:textId="74F244B9" w:rsidR="00465DE3" w:rsidRPr="00293F5E" w:rsidRDefault="00465DE3" w:rsidP="00465DE3">
            <w:pPr>
              <w:spacing w:after="0"/>
              <w:ind w:left="0"/>
              <w:rPr>
                <w:rFonts w:ascii="Calibri" w:hAnsi="Calibri" w:cs="Calibri"/>
                <w:color w:val="000000"/>
                <w:szCs w:val="22"/>
              </w:rPr>
            </w:pPr>
            <w:r>
              <w:rPr>
                <w:color w:val="000000"/>
                <w:szCs w:val="24"/>
              </w:rPr>
              <w:t>Quarterly</w:t>
            </w:r>
          </w:p>
        </w:tc>
        <w:tc>
          <w:tcPr>
            <w:tcW w:w="1775" w:type="dxa"/>
            <w:noWrap/>
            <w:vAlign w:val="center"/>
          </w:tcPr>
          <w:p w14:paraId="2E01586C" w14:textId="6B28B096" w:rsidR="00465DE3" w:rsidRPr="004B4E82" w:rsidRDefault="00465DE3" w:rsidP="00465DE3">
            <w:pPr>
              <w:spacing w:after="0"/>
              <w:ind w:left="0"/>
              <w:rPr>
                <w:color w:val="000000"/>
              </w:rPr>
            </w:pPr>
            <w:r>
              <w:rPr>
                <w:color w:val="000000"/>
                <w:szCs w:val="24"/>
              </w:rPr>
              <w:t>BNQE100F</w:t>
            </w:r>
          </w:p>
        </w:tc>
        <w:tc>
          <w:tcPr>
            <w:tcW w:w="6963" w:type="dxa"/>
            <w:vAlign w:val="center"/>
          </w:tcPr>
          <w:p w14:paraId="04AA050C" w14:textId="363A354F" w:rsidR="00465DE3" w:rsidRPr="001B5823" w:rsidRDefault="00465DE3" w:rsidP="00465DE3">
            <w:pPr>
              <w:spacing w:after="0"/>
              <w:ind w:left="0"/>
              <w:rPr>
                <w:color w:val="000000"/>
                <w:szCs w:val="24"/>
              </w:rPr>
            </w:pPr>
            <w:r>
              <w:rPr>
                <w:color w:val="000000"/>
                <w:szCs w:val="24"/>
              </w:rPr>
              <w:t xml:space="preserve">Federal Billing Details </w:t>
            </w:r>
          </w:p>
        </w:tc>
      </w:tr>
      <w:tr w:rsidR="00465DE3" w:rsidRPr="00293F5E" w14:paraId="72E9D395" w14:textId="77777777" w:rsidTr="008234CC">
        <w:trPr>
          <w:trHeight w:val="300"/>
        </w:trPr>
        <w:tc>
          <w:tcPr>
            <w:tcW w:w="684" w:type="dxa"/>
            <w:noWrap/>
            <w:vAlign w:val="center"/>
            <w:hideMark/>
          </w:tcPr>
          <w:p w14:paraId="02DB5800" w14:textId="0327815B" w:rsidR="00465DE3" w:rsidRPr="00C8400B" w:rsidRDefault="00465DE3" w:rsidP="00465DE3">
            <w:pPr>
              <w:spacing w:after="0"/>
              <w:ind w:left="0"/>
              <w:jc w:val="center"/>
              <w:rPr>
                <w:rFonts w:cs="Calibri"/>
                <w:color w:val="000000"/>
                <w:szCs w:val="24"/>
              </w:rPr>
            </w:pPr>
            <w:r>
              <w:rPr>
                <w:rFonts w:cs="Calibri"/>
                <w:color w:val="000000"/>
                <w:szCs w:val="24"/>
              </w:rPr>
              <w:t>50</w:t>
            </w:r>
          </w:p>
        </w:tc>
        <w:tc>
          <w:tcPr>
            <w:tcW w:w="1677" w:type="dxa"/>
            <w:noWrap/>
            <w:vAlign w:val="center"/>
          </w:tcPr>
          <w:p w14:paraId="33CBB3B8" w14:textId="3305C437" w:rsidR="00465DE3" w:rsidRPr="00293F5E" w:rsidRDefault="00465DE3" w:rsidP="00465DE3">
            <w:pPr>
              <w:spacing w:after="0"/>
              <w:ind w:left="0"/>
              <w:rPr>
                <w:rFonts w:ascii="Calibri" w:hAnsi="Calibri" w:cs="Calibri"/>
                <w:color w:val="000000"/>
                <w:szCs w:val="22"/>
              </w:rPr>
            </w:pPr>
            <w:r>
              <w:rPr>
                <w:color w:val="000000"/>
                <w:szCs w:val="24"/>
              </w:rPr>
              <w:t>Quarterly</w:t>
            </w:r>
          </w:p>
        </w:tc>
        <w:tc>
          <w:tcPr>
            <w:tcW w:w="1775" w:type="dxa"/>
            <w:noWrap/>
            <w:vAlign w:val="center"/>
          </w:tcPr>
          <w:p w14:paraId="28BA6AC5" w14:textId="1D38EE78" w:rsidR="00465DE3" w:rsidRPr="004B4E82" w:rsidRDefault="00465DE3" w:rsidP="00465DE3">
            <w:pPr>
              <w:spacing w:after="0"/>
              <w:ind w:left="0"/>
              <w:rPr>
                <w:color w:val="000000"/>
              </w:rPr>
            </w:pPr>
            <w:r>
              <w:rPr>
                <w:color w:val="000000"/>
                <w:szCs w:val="24"/>
              </w:rPr>
              <w:t>BNQE100P</w:t>
            </w:r>
          </w:p>
        </w:tc>
        <w:tc>
          <w:tcPr>
            <w:tcW w:w="6963" w:type="dxa"/>
            <w:vAlign w:val="center"/>
          </w:tcPr>
          <w:p w14:paraId="129ED8A4" w14:textId="0F66EBE7" w:rsidR="00465DE3" w:rsidRPr="004B4E82" w:rsidRDefault="00465DE3" w:rsidP="00465DE3">
            <w:pPr>
              <w:spacing w:after="0"/>
              <w:ind w:left="0"/>
              <w:rPr>
                <w:color w:val="000000"/>
              </w:rPr>
            </w:pPr>
            <w:r>
              <w:rPr>
                <w:color w:val="000000"/>
                <w:szCs w:val="24"/>
              </w:rPr>
              <w:t>ETA Reports</w:t>
            </w:r>
          </w:p>
        </w:tc>
      </w:tr>
      <w:tr w:rsidR="00465DE3" w:rsidRPr="00293F5E" w14:paraId="4F0D7912" w14:textId="77777777" w:rsidTr="008234CC">
        <w:trPr>
          <w:trHeight w:val="300"/>
        </w:trPr>
        <w:tc>
          <w:tcPr>
            <w:tcW w:w="684" w:type="dxa"/>
            <w:noWrap/>
            <w:vAlign w:val="center"/>
            <w:hideMark/>
          </w:tcPr>
          <w:p w14:paraId="0F66EA53" w14:textId="4092569E" w:rsidR="00465DE3" w:rsidRPr="00C8400B" w:rsidRDefault="00465DE3" w:rsidP="00465DE3">
            <w:pPr>
              <w:spacing w:after="0"/>
              <w:ind w:left="0"/>
              <w:jc w:val="center"/>
              <w:rPr>
                <w:rFonts w:cs="Calibri"/>
                <w:color w:val="000000"/>
                <w:szCs w:val="24"/>
              </w:rPr>
            </w:pPr>
            <w:r>
              <w:rPr>
                <w:rFonts w:cs="Calibri"/>
                <w:color w:val="000000"/>
                <w:szCs w:val="24"/>
              </w:rPr>
              <w:t>51</w:t>
            </w:r>
          </w:p>
        </w:tc>
        <w:tc>
          <w:tcPr>
            <w:tcW w:w="1677" w:type="dxa"/>
            <w:noWrap/>
            <w:vAlign w:val="center"/>
          </w:tcPr>
          <w:p w14:paraId="7A383AE8" w14:textId="6B15938C" w:rsidR="00465DE3" w:rsidRPr="00293F5E" w:rsidRDefault="00465DE3" w:rsidP="00465DE3">
            <w:pPr>
              <w:spacing w:after="0"/>
              <w:ind w:left="0"/>
              <w:rPr>
                <w:rFonts w:ascii="Calibri" w:hAnsi="Calibri" w:cs="Calibri"/>
                <w:color w:val="000000"/>
                <w:szCs w:val="22"/>
              </w:rPr>
            </w:pPr>
            <w:r>
              <w:rPr>
                <w:color w:val="000000"/>
                <w:szCs w:val="24"/>
              </w:rPr>
              <w:t>Quarterly</w:t>
            </w:r>
          </w:p>
        </w:tc>
        <w:tc>
          <w:tcPr>
            <w:tcW w:w="1775" w:type="dxa"/>
            <w:noWrap/>
            <w:vAlign w:val="center"/>
          </w:tcPr>
          <w:p w14:paraId="5A38BE6E" w14:textId="30435002" w:rsidR="00465DE3" w:rsidRPr="004B4E82" w:rsidRDefault="00465DE3" w:rsidP="00465DE3">
            <w:pPr>
              <w:spacing w:after="0"/>
              <w:ind w:left="0"/>
              <w:rPr>
                <w:color w:val="000000"/>
              </w:rPr>
            </w:pPr>
            <w:r>
              <w:rPr>
                <w:color w:val="000000"/>
                <w:szCs w:val="24"/>
              </w:rPr>
              <w:t>BNQQ380P</w:t>
            </w:r>
          </w:p>
        </w:tc>
        <w:tc>
          <w:tcPr>
            <w:tcW w:w="6963" w:type="dxa"/>
            <w:vAlign w:val="center"/>
          </w:tcPr>
          <w:p w14:paraId="4DEE6E62" w14:textId="28C7D23D" w:rsidR="00465DE3" w:rsidRPr="004B4E82" w:rsidRDefault="00465DE3" w:rsidP="00465DE3">
            <w:pPr>
              <w:spacing w:after="0"/>
              <w:ind w:left="0"/>
              <w:rPr>
                <w:color w:val="000000"/>
              </w:rPr>
            </w:pPr>
            <w:r>
              <w:rPr>
                <w:color w:val="000000"/>
                <w:szCs w:val="24"/>
              </w:rPr>
              <w:t>ETA Reports</w:t>
            </w:r>
          </w:p>
        </w:tc>
      </w:tr>
      <w:tr w:rsidR="00465DE3" w:rsidRPr="00293F5E" w14:paraId="3C4BB592" w14:textId="77777777" w:rsidTr="008234CC">
        <w:trPr>
          <w:trHeight w:val="300"/>
        </w:trPr>
        <w:tc>
          <w:tcPr>
            <w:tcW w:w="684" w:type="dxa"/>
            <w:noWrap/>
            <w:vAlign w:val="center"/>
            <w:hideMark/>
          </w:tcPr>
          <w:p w14:paraId="52EA8EB7" w14:textId="46788CFC" w:rsidR="00465DE3" w:rsidRPr="00C8400B" w:rsidRDefault="00465DE3" w:rsidP="00465DE3">
            <w:pPr>
              <w:spacing w:after="0"/>
              <w:ind w:left="0"/>
              <w:jc w:val="center"/>
              <w:rPr>
                <w:rFonts w:cs="Calibri"/>
                <w:color w:val="000000"/>
                <w:szCs w:val="24"/>
              </w:rPr>
            </w:pPr>
            <w:r>
              <w:rPr>
                <w:rFonts w:cs="Calibri"/>
                <w:color w:val="000000"/>
                <w:szCs w:val="24"/>
              </w:rPr>
              <w:t>52</w:t>
            </w:r>
          </w:p>
        </w:tc>
        <w:tc>
          <w:tcPr>
            <w:tcW w:w="1677" w:type="dxa"/>
            <w:noWrap/>
            <w:vAlign w:val="center"/>
          </w:tcPr>
          <w:p w14:paraId="0B71E0E5" w14:textId="6C087810" w:rsidR="00465DE3" w:rsidRPr="00293F5E" w:rsidRDefault="00465DE3" w:rsidP="00465DE3">
            <w:pPr>
              <w:spacing w:after="0"/>
              <w:ind w:left="0"/>
              <w:rPr>
                <w:rFonts w:ascii="Calibri" w:hAnsi="Calibri" w:cs="Calibri"/>
                <w:color w:val="000000"/>
                <w:szCs w:val="22"/>
              </w:rPr>
            </w:pPr>
            <w:r>
              <w:rPr>
                <w:color w:val="000000"/>
                <w:szCs w:val="24"/>
              </w:rPr>
              <w:t>Quarterly</w:t>
            </w:r>
          </w:p>
        </w:tc>
        <w:tc>
          <w:tcPr>
            <w:tcW w:w="1775" w:type="dxa"/>
            <w:noWrap/>
            <w:vAlign w:val="center"/>
          </w:tcPr>
          <w:p w14:paraId="2ACD5F93" w14:textId="4F9E0419" w:rsidR="00465DE3" w:rsidRPr="004B4E82" w:rsidRDefault="00465DE3" w:rsidP="00465DE3">
            <w:pPr>
              <w:spacing w:after="0"/>
              <w:ind w:left="0"/>
              <w:rPr>
                <w:color w:val="000000"/>
              </w:rPr>
            </w:pPr>
            <w:r>
              <w:rPr>
                <w:color w:val="000000"/>
                <w:szCs w:val="24"/>
              </w:rPr>
              <w:t>BNQQ390P</w:t>
            </w:r>
          </w:p>
        </w:tc>
        <w:tc>
          <w:tcPr>
            <w:tcW w:w="6963" w:type="dxa"/>
            <w:vAlign w:val="center"/>
          </w:tcPr>
          <w:p w14:paraId="23D84E97" w14:textId="121105C7" w:rsidR="00465DE3" w:rsidRPr="004B4E82" w:rsidRDefault="00465DE3" w:rsidP="00465DE3">
            <w:pPr>
              <w:spacing w:after="0"/>
              <w:ind w:left="0"/>
              <w:rPr>
                <w:color w:val="000000"/>
              </w:rPr>
            </w:pPr>
            <w:r>
              <w:rPr>
                <w:color w:val="000000"/>
                <w:szCs w:val="24"/>
              </w:rPr>
              <w:t>ETA Reports</w:t>
            </w:r>
          </w:p>
        </w:tc>
      </w:tr>
      <w:tr w:rsidR="00465DE3" w:rsidRPr="00293F5E" w14:paraId="073045BE" w14:textId="77777777" w:rsidTr="008234CC">
        <w:trPr>
          <w:trHeight w:val="300"/>
        </w:trPr>
        <w:tc>
          <w:tcPr>
            <w:tcW w:w="684" w:type="dxa"/>
            <w:noWrap/>
            <w:vAlign w:val="center"/>
            <w:hideMark/>
          </w:tcPr>
          <w:p w14:paraId="3F817D27" w14:textId="45F451FA" w:rsidR="00465DE3" w:rsidRPr="00C8400B" w:rsidRDefault="00465DE3" w:rsidP="00465DE3">
            <w:pPr>
              <w:spacing w:after="0"/>
              <w:ind w:left="0"/>
              <w:jc w:val="center"/>
              <w:rPr>
                <w:rFonts w:cs="Calibri"/>
                <w:color w:val="000000"/>
                <w:szCs w:val="24"/>
              </w:rPr>
            </w:pPr>
            <w:r>
              <w:rPr>
                <w:rFonts w:cs="Calibri"/>
                <w:color w:val="000000"/>
                <w:szCs w:val="24"/>
              </w:rPr>
              <w:t>53</w:t>
            </w:r>
          </w:p>
        </w:tc>
        <w:tc>
          <w:tcPr>
            <w:tcW w:w="1677" w:type="dxa"/>
            <w:noWrap/>
            <w:vAlign w:val="center"/>
          </w:tcPr>
          <w:p w14:paraId="65AB1636" w14:textId="42DBE716" w:rsidR="00465DE3" w:rsidRPr="00293F5E" w:rsidRDefault="00465DE3" w:rsidP="00465DE3">
            <w:pPr>
              <w:spacing w:after="0"/>
              <w:ind w:left="0"/>
              <w:rPr>
                <w:rFonts w:ascii="Calibri" w:hAnsi="Calibri" w:cs="Calibri"/>
                <w:color w:val="000000"/>
                <w:szCs w:val="22"/>
              </w:rPr>
            </w:pPr>
            <w:r>
              <w:rPr>
                <w:color w:val="000000"/>
                <w:szCs w:val="24"/>
              </w:rPr>
              <w:t>Quarterly</w:t>
            </w:r>
          </w:p>
        </w:tc>
        <w:tc>
          <w:tcPr>
            <w:tcW w:w="1775" w:type="dxa"/>
            <w:noWrap/>
            <w:vAlign w:val="center"/>
          </w:tcPr>
          <w:p w14:paraId="6F7FF5AC" w14:textId="05A79978" w:rsidR="00465DE3" w:rsidRPr="004B4E82" w:rsidRDefault="00465DE3" w:rsidP="00465DE3">
            <w:pPr>
              <w:spacing w:after="0"/>
              <w:ind w:left="0"/>
              <w:rPr>
                <w:color w:val="000000"/>
              </w:rPr>
            </w:pPr>
            <w:r>
              <w:rPr>
                <w:color w:val="000000"/>
                <w:szCs w:val="24"/>
              </w:rPr>
              <w:t>BNQQ420P</w:t>
            </w:r>
          </w:p>
        </w:tc>
        <w:tc>
          <w:tcPr>
            <w:tcW w:w="6963" w:type="dxa"/>
            <w:vAlign w:val="center"/>
          </w:tcPr>
          <w:p w14:paraId="1B00C272" w14:textId="5875E44B" w:rsidR="00465DE3" w:rsidRPr="004B4E82" w:rsidRDefault="00465DE3" w:rsidP="00465DE3">
            <w:pPr>
              <w:spacing w:after="0"/>
              <w:ind w:left="0"/>
              <w:rPr>
                <w:color w:val="000000"/>
              </w:rPr>
            </w:pPr>
            <w:r>
              <w:rPr>
                <w:color w:val="000000"/>
                <w:szCs w:val="24"/>
              </w:rPr>
              <w:t>ETA Reports</w:t>
            </w:r>
          </w:p>
        </w:tc>
      </w:tr>
      <w:tr w:rsidR="00465DE3" w:rsidRPr="00293F5E" w14:paraId="104F409B" w14:textId="77777777" w:rsidTr="008234CC">
        <w:trPr>
          <w:trHeight w:val="300"/>
        </w:trPr>
        <w:tc>
          <w:tcPr>
            <w:tcW w:w="684" w:type="dxa"/>
            <w:noWrap/>
            <w:vAlign w:val="center"/>
            <w:hideMark/>
          </w:tcPr>
          <w:p w14:paraId="61F03195" w14:textId="2E474114" w:rsidR="00465DE3" w:rsidRPr="00C8400B" w:rsidRDefault="00465DE3" w:rsidP="00465DE3">
            <w:pPr>
              <w:spacing w:after="0"/>
              <w:ind w:left="0"/>
              <w:jc w:val="center"/>
              <w:rPr>
                <w:rFonts w:cs="Calibri"/>
                <w:color w:val="000000"/>
                <w:szCs w:val="24"/>
              </w:rPr>
            </w:pPr>
            <w:r>
              <w:rPr>
                <w:rFonts w:cs="Calibri"/>
                <w:color w:val="000000"/>
                <w:szCs w:val="24"/>
              </w:rPr>
              <w:t>54</w:t>
            </w:r>
          </w:p>
        </w:tc>
        <w:tc>
          <w:tcPr>
            <w:tcW w:w="1677" w:type="dxa"/>
            <w:noWrap/>
            <w:vAlign w:val="center"/>
          </w:tcPr>
          <w:p w14:paraId="56AB1DBC" w14:textId="22ADDF2E" w:rsidR="00465DE3" w:rsidRPr="00293F5E" w:rsidRDefault="00465DE3" w:rsidP="00465DE3">
            <w:pPr>
              <w:spacing w:after="0"/>
              <w:ind w:left="0"/>
              <w:rPr>
                <w:rFonts w:ascii="Calibri" w:hAnsi="Calibri" w:cs="Calibri"/>
                <w:color w:val="000000"/>
                <w:szCs w:val="22"/>
              </w:rPr>
            </w:pPr>
            <w:r>
              <w:rPr>
                <w:color w:val="000000"/>
                <w:szCs w:val="24"/>
              </w:rPr>
              <w:t>Quarterly</w:t>
            </w:r>
          </w:p>
        </w:tc>
        <w:tc>
          <w:tcPr>
            <w:tcW w:w="1775" w:type="dxa"/>
            <w:noWrap/>
            <w:vAlign w:val="center"/>
          </w:tcPr>
          <w:p w14:paraId="7DA091C1" w14:textId="55C37142" w:rsidR="00465DE3" w:rsidRPr="004B4E82" w:rsidRDefault="00465DE3" w:rsidP="00465DE3">
            <w:pPr>
              <w:spacing w:after="0"/>
              <w:ind w:left="0"/>
              <w:rPr>
                <w:color w:val="000000"/>
              </w:rPr>
            </w:pPr>
            <w:r>
              <w:rPr>
                <w:color w:val="000000"/>
                <w:szCs w:val="24"/>
              </w:rPr>
              <w:t>BNQQ430P</w:t>
            </w:r>
          </w:p>
        </w:tc>
        <w:tc>
          <w:tcPr>
            <w:tcW w:w="6963" w:type="dxa"/>
            <w:vAlign w:val="center"/>
          </w:tcPr>
          <w:p w14:paraId="14049EDD" w14:textId="4668570A" w:rsidR="00465DE3" w:rsidRPr="004B4E82" w:rsidRDefault="00465DE3" w:rsidP="00465DE3">
            <w:pPr>
              <w:spacing w:after="0"/>
              <w:ind w:left="0"/>
              <w:rPr>
                <w:color w:val="000000"/>
              </w:rPr>
            </w:pPr>
            <w:r>
              <w:rPr>
                <w:color w:val="000000"/>
                <w:szCs w:val="24"/>
              </w:rPr>
              <w:t>ETA Reports</w:t>
            </w:r>
          </w:p>
        </w:tc>
      </w:tr>
      <w:tr w:rsidR="00465DE3" w:rsidRPr="00293F5E" w14:paraId="6C529F7D" w14:textId="77777777" w:rsidTr="008234CC">
        <w:trPr>
          <w:trHeight w:val="300"/>
        </w:trPr>
        <w:tc>
          <w:tcPr>
            <w:tcW w:w="684" w:type="dxa"/>
            <w:noWrap/>
            <w:vAlign w:val="center"/>
            <w:hideMark/>
          </w:tcPr>
          <w:p w14:paraId="4B6E3640" w14:textId="38B2EA18" w:rsidR="00465DE3" w:rsidRPr="00C8400B" w:rsidRDefault="00465DE3" w:rsidP="00465DE3">
            <w:pPr>
              <w:spacing w:after="0"/>
              <w:ind w:left="0"/>
              <w:jc w:val="center"/>
              <w:rPr>
                <w:rFonts w:cs="Calibri"/>
                <w:color w:val="000000"/>
                <w:szCs w:val="24"/>
              </w:rPr>
            </w:pPr>
            <w:r>
              <w:rPr>
                <w:rFonts w:cs="Calibri"/>
                <w:color w:val="000000"/>
                <w:szCs w:val="24"/>
              </w:rPr>
              <w:t>55</w:t>
            </w:r>
          </w:p>
        </w:tc>
        <w:tc>
          <w:tcPr>
            <w:tcW w:w="1677" w:type="dxa"/>
            <w:noWrap/>
            <w:vAlign w:val="center"/>
          </w:tcPr>
          <w:p w14:paraId="5E241B13" w14:textId="4B8442AD" w:rsidR="00465DE3" w:rsidRPr="00293F5E" w:rsidRDefault="00465DE3" w:rsidP="00465DE3">
            <w:pPr>
              <w:spacing w:after="0"/>
              <w:ind w:left="0"/>
              <w:rPr>
                <w:rFonts w:ascii="Calibri" w:hAnsi="Calibri" w:cs="Calibri"/>
                <w:color w:val="000000"/>
                <w:szCs w:val="22"/>
              </w:rPr>
            </w:pPr>
            <w:r>
              <w:rPr>
                <w:color w:val="000000"/>
                <w:szCs w:val="24"/>
              </w:rPr>
              <w:t>Quarterly</w:t>
            </w:r>
          </w:p>
        </w:tc>
        <w:tc>
          <w:tcPr>
            <w:tcW w:w="1775" w:type="dxa"/>
            <w:noWrap/>
            <w:vAlign w:val="center"/>
          </w:tcPr>
          <w:p w14:paraId="2A2FA256" w14:textId="6A914ACF" w:rsidR="00465DE3" w:rsidRPr="004B4E82" w:rsidRDefault="00465DE3" w:rsidP="00465DE3">
            <w:pPr>
              <w:spacing w:after="0"/>
              <w:ind w:left="0"/>
              <w:rPr>
                <w:color w:val="000000"/>
              </w:rPr>
            </w:pPr>
            <w:r>
              <w:rPr>
                <w:color w:val="000000"/>
                <w:szCs w:val="24"/>
              </w:rPr>
              <w:t>BNQQ460P</w:t>
            </w:r>
          </w:p>
        </w:tc>
        <w:tc>
          <w:tcPr>
            <w:tcW w:w="6963" w:type="dxa"/>
            <w:vAlign w:val="center"/>
          </w:tcPr>
          <w:p w14:paraId="00738F71" w14:textId="272E7BDF" w:rsidR="00465DE3" w:rsidRPr="004B4E82" w:rsidRDefault="00465DE3" w:rsidP="00465DE3">
            <w:pPr>
              <w:spacing w:after="0"/>
              <w:ind w:left="0"/>
              <w:rPr>
                <w:color w:val="000000"/>
              </w:rPr>
            </w:pPr>
            <w:r>
              <w:rPr>
                <w:color w:val="000000"/>
                <w:szCs w:val="24"/>
              </w:rPr>
              <w:t>ETA Reports</w:t>
            </w:r>
          </w:p>
        </w:tc>
      </w:tr>
      <w:tr w:rsidR="00465DE3" w:rsidRPr="00293F5E" w14:paraId="50B6D8F8" w14:textId="77777777" w:rsidTr="008234CC">
        <w:trPr>
          <w:trHeight w:val="300"/>
        </w:trPr>
        <w:tc>
          <w:tcPr>
            <w:tcW w:w="684" w:type="dxa"/>
            <w:noWrap/>
            <w:vAlign w:val="center"/>
            <w:hideMark/>
          </w:tcPr>
          <w:p w14:paraId="38BD7C84" w14:textId="13011B17" w:rsidR="00465DE3" w:rsidRPr="00C8400B" w:rsidRDefault="00465DE3" w:rsidP="00465DE3">
            <w:pPr>
              <w:spacing w:after="0"/>
              <w:ind w:left="0"/>
              <w:jc w:val="center"/>
              <w:rPr>
                <w:rFonts w:cs="Calibri"/>
                <w:color w:val="000000"/>
                <w:szCs w:val="24"/>
              </w:rPr>
            </w:pPr>
            <w:r>
              <w:rPr>
                <w:rFonts w:cs="Calibri"/>
                <w:color w:val="000000"/>
                <w:szCs w:val="24"/>
              </w:rPr>
              <w:t>56</w:t>
            </w:r>
          </w:p>
        </w:tc>
        <w:tc>
          <w:tcPr>
            <w:tcW w:w="1677" w:type="dxa"/>
            <w:noWrap/>
            <w:vAlign w:val="center"/>
          </w:tcPr>
          <w:p w14:paraId="585EADF1" w14:textId="2D2BFFE0" w:rsidR="00465DE3" w:rsidRPr="00293F5E" w:rsidRDefault="00465DE3" w:rsidP="00465DE3">
            <w:pPr>
              <w:spacing w:after="0"/>
              <w:ind w:left="0"/>
              <w:rPr>
                <w:rFonts w:ascii="Calibri" w:hAnsi="Calibri" w:cs="Calibri"/>
                <w:color w:val="000000"/>
                <w:szCs w:val="22"/>
              </w:rPr>
            </w:pPr>
            <w:r>
              <w:rPr>
                <w:color w:val="000000"/>
                <w:szCs w:val="24"/>
              </w:rPr>
              <w:t>Quarterly</w:t>
            </w:r>
          </w:p>
        </w:tc>
        <w:tc>
          <w:tcPr>
            <w:tcW w:w="1775" w:type="dxa"/>
            <w:noWrap/>
            <w:vAlign w:val="center"/>
          </w:tcPr>
          <w:p w14:paraId="4343D629" w14:textId="11AAF0C7" w:rsidR="00465DE3" w:rsidRPr="004B4E82" w:rsidRDefault="00465DE3" w:rsidP="00465DE3">
            <w:pPr>
              <w:spacing w:after="0"/>
              <w:ind w:left="0"/>
              <w:rPr>
                <w:color w:val="000000"/>
              </w:rPr>
            </w:pPr>
            <w:r>
              <w:rPr>
                <w:color w:val="000000"/>
                <w:szCs w:val="24"/>
              </w:rPr>
              <w:t>BNQQ495A</w:t>
            </w:r>
          </w:p>
        </w:tc>
        <w:tc>
          <w:tcPr>
            <w:tcW w:w="6963" w:type="dxa"/>
            <w:vAlign w:val="center"/>
          </w:tcPr>
          <w:p w14:paraId="1C7BB40B" w14:textId="6D0E893C" w:rsidR="00465DE3" w:rsidRPr="001B5823" w:rsidRDefault="00465DE3" w:rsidP="00465DE3">
            <w:pPr>
              <w:spacing w:after="0"/>
              <w:ind w:left="0"/>
              <w:rPr>
                <w:color w:val="000000"/>
                <w:szCs w:val="24"/>
              </w:rPr>
            </w:pPr>
            <w:r>
              <w:rPr>
                <w:color w:val="000000"/>
                <w:szCs w:val="24"/>
              </w:rPr>
              <w:t>BTQ Samples</w:t>
            </w:r>
          </w:p>
        </w:tc>
      </w:tr>
      <w:tr w:rsidR="00465DE3" w:rsidRPr="00293F5E" w14:paraId="15890490" w14:textId="77777777" w:rsidTr="008234CC">
        <w:trPr>
          <w:trHeight w:val="300"/>
        </w:trPr>
        <w:tc>
          <w:tcPr>
            <w:tcW w:w="684" w:type="dxa"/>
            <w:noWrap/>
            <w:vAlign w:val="center"/>
            <w:hideMark/>
          </w:tcPr>
          <w:p w14:paraId="11AE8D2B" w14:textId="36BFE7C7" w:rsidR="00465DE3" w:rsidRPr="00C8400B" w:rsidRDefault="00465DE3" w:rsidP="00465DE3">
            <w:pPr>
              <w:spacing w:after="0"/>
              <w:ind w:left="0"/>
              <w:jc w:val="center"/>
              <w:rPr>
                <w:rFonts w:cs="Calibri"/>
                <w:color w:val="000000"/>
                <w:szCs w:val="24"/>
              </w:rPr>
            </w:pPr>
            <w:r>
              <w:rPr>
                <w:rFonts w:cs="Calibri"/>
                <w:color w:val="000000"/>
                <w:szCs w:val="24"/>
              </w:rPr>
              <w:t>57</w:t>
            </w:r>
          </w:p>
        </w:tc>
        <w:tc>
          <w:tcPr>
            <w:tcW w:w="1677" w:type="dxa"/>
            <w:noWrap/>
            <w:vAlign w:val="center"/>
          </w:tcPr>
          <w:p w14:paraId="706A73C0" w14:textId="4595080B" w:rsidR="00465DE3" w:rsidRPr="00293F5E" w:rsidRDefault="00465DE3" w:rsidP="00465DE3">
            <w:pPr>
              <w:spacing w:after="0"/>
              <w:ind w:left="0"/>
              <w:rPr>
                <w:rFonts w:ascii="Calibri" w:hAnsi="Calibri" w:cs="Calibri"/>
                <w:color w:val="000000"/>
                <w:szCs w:val="22"/>
              </w:rPr>
            </w:pPr>
            <w:r>
              <w:rPr>
                <w:color w:val="000000"/>
                <w:szCs w:val="24"/>
              </w:rPr>
              <w:t>Quarterly</w:t>
            </w:r>
          </w:p>
        </w:tc>
        <w:tc>
          <w:tcPr>
            <w:tcW w:w="1775" w:type="dxa"/>
            <w:noWrap/>
            <w:vAlign w:val="center"/>
          </w:tcPr>
          <w:p w14:paraId="3EE77161" w14:textId="382AA36C" w:rsidR="00465DE3" w:rsidRPr="004B4E82" w:rsidRDefault="00465DE3" w:rsidP="00465DE3">
            <w:pPr>
              <w:spacing w:after="0"/>
              <w:ind w:left="0"/>
              <w:rPr>
                <w:color w:val="000000"/>
              </w:rPr>
            </w:pPr>
            <w:r>
              <w:rPr>
                <w:color w:val="000000"/>
                <w:szCs w:val="24"/>
              </w:rPr>
              <w:t>BNQQ500M</w:t>
            </w:r>
          </w:p>
        </w:tc>
        <w:tc>
          <w:tcPr>
            <w:tcW w:w="6963" w:type="dxa"/>
            <w:vAlign w:val="center"/>
          </w:tcPr>
          <w:p w14:paraId="4FF56DFB" w14:textId="7F156819" w:rsidR="00465DE3" w:rsidRPr="001B5823" w:rsidRDefault="00465DE3" w:rsidP="00465DE3">
            <w:pPr>
              <w:spacing w:after="0"/>
              <w:ind w:left="0"/>
              <w:rPr>
                <w:color w:val="000000"/>
                <w:szCs w:val="24"/>
              </w:rPr>
            </w:pPr>
            <w:r w:rsidRPr="001B5823">
              <w:rPr>
                <w:color w:val="000000"/>
                <w:szCs w:val="24"/>
              </w:rPr>
              <w:t>Prints Separation Sample</w:t>
            </w:r>
          </w:p>
        </w:tc>
      </w:tr>
      <w:tr w:rsidR="00465DE3" w:rsidRPr="00293F5E" w14:paraId="19FA35E0" w14:textId="77777777" w:rsidTr="008234CC">
        <w:trPr>
          <w:trHeight w:val="300"/>
        </w:trPr>
        <w:tc>
          <w:tcPr>
            <w:tcW w:w="684" w:type="dxa"/>
            <w:noWrap/>
            <w:vAlign w:val="center"/>
            <w:hideMark/>
          </w:tcPr>
          <w:p w14:paraId="4480BBA3" w14:textId="4FDF2137" w:rsidR="00465DE3" w:rsidRPr="00C8400B" w:rsidRDefault="00465DE3" w:rsidP="00465DE3">
            <w:pPr>
              <w:spacing w:after="0"/>
              <w:ind w:left="0"/>
              <w:jc w:val="center"/>
              <w:rPr>
                <w:rFonts w:cs="Calibri"/>
                <w:color w:val="000000"/>
                <w:szCs w:val="24"/>
              </w:rPr>
            </w:pPr>
            <w:r>
              <w:rPr>
                <w:rFonts w:cs="Calibri"/>
                <w:color w:val="000000"/>
                <w:szCs w:val="24"/>
              </w:rPr>
              <w:t>58</w:t>
            </w:r>
          </w:p>
        </w:tc>
        <w:tc>
          <w:tcPr>
            <w:tcW w:w="1677" w:type="dxa"/>
            <w:noWrap/>
            <w:vAlign w:val="center"/>
          </w:tcPr>
          <w:p w14:paraId="19AB4651" w14:textId="4534BE84" w:rsidR="00465DE3" w:rsidRPr="00293F5E" w:rsidRDefault="00465DE3" w:rsidP="00465DE3">
            <w:pPr>
              <w:spacing w:after="0"/>
              <w:ind w:left="0"/>
              <w:rPr>
                <w:rFonts w:ascii="Calibri" w:hAnsi="Calibri" w:cs="Calibri"/>
                <w:color w:val="000000"/>
                <w:szCs w:val="22"/>
              </w:rPr>
            </w:pPr>
            <w:r>
              <w:rPr>
                <w:color w:val="000000"/>
                <w:szCs w:val="24"/>
              </w:rPr>
              <w:t>Quarterly</w:t>
            </w:r>
          </w:p>
        </w:tc>
        <w:tc>
          <w:tcPr>
            <w:tcW w:w="1775" w:type="dxa"/>
            <w:noWrap/>
            <w:vAlign w:val="center"/>
          </w:tcPr>
          <w:p w14:paraId="5AB54CB1" w14:textId="56A947C5" w:rsidR="00465DE3" w:rsidRPr="004B4E82" w:rsidRDefault="00465DE3" w:rsidP="00465DE3">
            <w:pPr>
              <w:spacing w:after="0"/>
              <w:ind w:left="0"/>
              <w:rPr>
                <w:color w:val="000000"/>
              </w:rPr>
            </w:pPr>
            <w:r>
              <w:rPr>
                <w:color w:val="000000"/>
                <w:szCs w:val="24"/>
              </w:rPr>
              <w:t>BNQQ510M</w:t>
            </w:r>
          </w:p>
        </w:tc>
        <w:tc>
          <w:tcPr>
            <w:tcW w:w="6963" w:type="dxa"/>
            <w:vAlign w:val="center"/>
          </w:tcPr>
          <w:p w14:paraId="784C1623" w14:textId="7B1C0516" w:rsidR="00465DE3" w:rsidRPr="001B5823" w:rsidRDefault="00465DE3" w:rsidP="00465DE3">
            <w:pPr>
              <w:spacing w:after="0"/>
              <w:ind w:left="0"/>
              <w:rPr>
                <w:color w:val="000000"/>
                <w:szCs w:val="24"/>
              </w:rPr>
            </w:pPr>
            <w:r w:rsidRPr="001B5823">
              <w:rPr>
                <w:color w:val="000000"/>
                <w:szCs w:val="24"/>
              </w:rPr>
              <w:t>Prints Non-Separation Sample</w:t>
            </w:r>
          </w:p>
        </w:tc>
      </w:tr>
      <w:tr w:rsidR="00465DE3" w:rsidRPr="00293F5E" w14:paraId="329134BA" w14:textId="77777777" w:rsidTr="008234CC">
        <w:trPr>
          <w:trHeight w:val="300"/>
        </w:trPr>
        <w:tc>
          <w:tcPr>
            <w:tcW w:w="684" w:type="dxa"/>
            <w:noWrap/>
            <w:vAlign w:val="center"/>
            <w:hideMark/>
          </w:tcPr>
          <w:p w14:paraId="2EF1A147" w14:textId="26237310" w:rsidR="00465DE3" w:rsidRPr="008234CC" w:rsidRDefault="00465DE3" w:rsidP="00465DE3">
            <w:pPr>
              <w:spacing w:after="0"/>
              <w:ind w:left="0"/>
              <w:jc w:val="center"/>
              <w:rPr>
                <w:rFonts w:cs="Calibri"/>
                <w:color w:val="000000"/>
                <w:szCs w:val="24"/>
              </w:rPr>
            </w:pPr>
            <w:r>
              <w:rPr>
                <w:rFonts w:cs="Calibri"/>
                <w:color w:val="000000"/>
                <w:szCs w:val="24"/>
              </w:rPr>
              <w:t>59</w:t>
            </w:r>
          </w:p>
        </w:tc>
        <w:tc>
          <w:tcPr>
            <w:tcW w:w="1677" w:type="dxa"/>
            <w:noWrap/>
            <w:vAlign w:val="center"/>
          </w:tcPr>
          <w:p w14:paraId="06C4DE8A" w14:textId="30E2AE79" w:rsidR="00465DE3" w:rsidRPr="00293F5E" w:rsidRDefault="00465DE3" w:rsidP="00465DE3">
            <w:pPr>
              <w:spacing w:after="0"/>
              <w:ind w:left="0"/>
              <w:rPr>
                <w:rFonts w:ascii="Calibri" w:hAnsi="Calibri" w:cs="Calibri"/>
                <w:color w:val="000000"/>
                <w:szCs w:val="22"/>
              </w:rPr>
            </w:pPr>
            <w:r>
              <w:rPr>
                <w:color w:val="000000"/>
                <w:szCs w:val="24"/>
              </w:rPr>
              <w:t>Quarterly</w:t>
            </w:r>
          </w:p>
        </w:tc>
        <w:tc>
          <w:tcPr>
            <w:tcW w:w="1775" w:type="dxa"/>
            <w:noWrap/>
            <w:vAlign w:val="center"/>
          </w:tcPr>
          <w:p w14:paraId="4999FB05" w14:textId="19D4F6AD" w:rsidR="00465DE3" w:rsidRPr="004B4E82" w:rsidRDefault="00465DE3" w:rsidP="00465DE3">
            <w:pPr>
              <w:spacing w:after="0"/>
              <w:ind w:left="0"/>
              <w:rPr>
                <w:color w:val="000000"/>
              </w:rPr>
            </w:pPr>
            <w:r>
              <w:rPr>
                <w:color w:val="000000"/>
                <w:szCs w:val="24"/>
              </w:rPr>
              <w:t>BNQQ615P</w:t>
            </w:r>
          </w:p>
        </w:tc>
        <w:tc>
          <w:tcPr>
            <w:tcW w:w="6963" w:type="dxa"/>
            <w:vAlign w:val="center"/>
          </w:tcPr>
          <w:p w14:paraId="333FD312" w14:textId="6CC0F2FE" w:rsidR="00465DE3" w:rsidRPr="001B5823" w:rsidRDefault="00465DE3" w:rsidP="00465DE3">
            <w:pPr>
              <w:spacing w:after="0"/>
              <w:ind w:left="0"/>
              <w:rPr>
                <w:color w:val="000000"/>
                <w:szCs w:val="24"/>
              </w:rPr>
            </w:pPr>
            <w:r w:rsidRPr="001B5823">
              <w:rPr>
                <w:color w:val="000000"/>
                <w:szCs w:val="24"/>
              </w:rPr>
              <w:t>Prints Exhaustion Rate Summary Report</w:t>
            </w:r>
          </w:p>
        </w:tc>
      </w:tr>
      <w:tr w:rsidR="00465DE3" w:rsidRPr="00293F5E" w14:paraId="73A2761E" w14:textId="77777777" w:rsidTr="008234CC">
        <w:trPr>
          <w:trHeight w:val="300"/>
        </w:trPr>
        <w:tc>
          <w:tcPr>
            <w:tcW w:w="684" w:type="dxa"/>
            <w:noWrap/>
            <w:vAlign w:val="center"/>
            <w:hideMark/>
          </w:tcPr>
          <w:p w14:paraId="07A09F96" w14:textId="1BBADDE1" w:rsidR="00465DE3" w:rsidRPr="008234CC" w:rsidRDefault="00465DE3" w:rsidP="00465DE3">
            <w:pPr>
              <w:spacing w:after="0"/>
              <w:ind w:left="0"/>
              <w:jc w:val="center"/>
              <w:rPr>
                <w:rFonts w:cs="Calibri"/>
                <w:color w:val="000000"/>
                <w:szCs w:val="24"/>
              </w:rPr>
            </w:pPr>
            <w:r>
              <w:rPr>
                <w:rFonts w:cs="Calibri"/>
                <w:color w:val="000000"/>
                <w:szCs w:val="24"/>
              </w:rPr>
              <w:t>60</w:t>
            </w:r>
          </w:p>
        </w:tc>
        <w:tc>
          <w:tcPr>
            <w:tcW w:w="1677" w:type="dxa"/>
            <w:noWrap/>
            <w:vAlign w:val="center"/>
          </w:tcPr>
          <w:p w14:paraId="3816F311" w14:textId="658647B5" w:rsidR="00465DE3" w:rsidRPr="00293F5E" w:rsidRDefault="00465DE3" w:rsidP="00465DE3">
            <w:pPr>
              <w:spacing w:after="0"/>
              <w:ind w:left="0"/>
              <w:rPr>
                <w:rFonts w:ascii="Calibri" w:hAnsi="Calibri" w:cs="Calibri"/>
                <w:color w:val="000000"/>
                <w:szCs w:val="22"/>
              </w:rPr>
            </w:pPr>
            <w:r>
              <w:rPr>
                <w:color w:val="000000"/>
                <w:szCs w:val="24"/>
              </w:rPr>
              <w:t>Quarterly</w:t>
            </w:r>
          </w:p>
        </w:tc>
        <w:tc>
          <w:tcPr>
            <w:tcW w:w="1775" w:type="dxa"/>
            <w:noWrap/>
            <w:vAlign w:val="center"/>
          </w:tcPr>
          <w:p w14:paraId="6377A825" w14:textId="3E7F92F4" w:rsidR="00465DE3" w:rsidRPr="004B4E82" w:rsidRDefault="00465DE3" w:rsidP="00465DE3">
            <w:pPr>
              <w:spacing w:after="0"/>
              <w:ind w:left="0"/>
              <w:rPr>
                <w:color w:val="000000"/>
              </w:rPr>
            </w:pPr>
            <w:r>
              <w:rPr>
                <w:color w:val="000000"/>
                <w:szCs w:val="24"/>
              </w:rPr>
              <w:t>BNRQ500M</w:t>
            </w:r>
          </w:p>
        </w:tc>
        <w:tc>
          <w:tcPr>
            <w:tcW w:w="6963" w:type="dxa"/>
            <w:vAlign w:val="center"/>
          </w:tcPr>
          <w:p w14:paraId="007A6C89" w14:textId="7FFEED25" w:rsidR="00465DE3" w:rsidRPr="001B5823" w:rsidRDefault="00465DE3" w:rsidP="00465DE3">
            <w:pPr>
              <w:spacing w:after="0"/>
              <w:ind w:left="0"/>
              <w:rPr>
                <w:color w:val="000000"/>
                <w:szCs w:val="24"/>
              </w:rPr>
            </w:pPr>
            <w:r>
              <w:rPr>
                <w:color w:val="000000"/>
                <w:szCs w:val="24"/>
              </w:rPr>
              <w:t>BTQ-Sep case sample</w:t>
            </w:r>
          </w:p>
        </w:tc>
      </w:tr>
      <w:tr w:rsidR="00465DE3" w:rsidRPr="00293F5E" w14:paraId="075F422A" w14:textId="77777777" w:rsidTr="008234CC">
        <w:trPr>
          <w:trHeight w:val="300"/>
        </w:trPr>
        <w:tc>
          <w:tcPr>
            <w:tcW w:w="684" w:type="dxa"/>
            <w:noWrap/>
            <w:vAlign w:val="center"/>
            <w:hideMark/>
          </w:tcPr>
          <w:p w14:paraId="3A9A5F80" w14:textId="7FCDCFF4" w:rsidR="00465DE3" w:rsidRPr="008234CC" w:rsidRDefault="00465DE3" w:rsidP="00465DE3">
            <w:pPr>
              <w:spacing w:after="0"/>
              <w:ind w:left="0"/>
              <w:jc w:val="center"/>
              <w:rPr>
                <w:rFonts w:cs="Calibri"/>
                <w:color w:val="000000"/>
                <w:szCs w:val="24"/>
              </w:rPr>
            </w:pPr>
            <w:r>
              <w:rPr>
                <w:rFonts w:cs="Calibri"/>
                <w:color w:val="000000"/>
                <w:szCs w:val="24"/>
              </w:rPr>
              <w:t>61</w:t>
            </w:r>
          </w:p>
        </w:tc>
        <w:tc>
          <w:tcPr>
            <w:tcW w:w="1677" w:type="dxa"/>
            <w:noWrap/>
            <w:vAlign w:val="center"/>
          </w:tcPr>
          <w:p w14:paraId="4F4E8798" w14:textId="3A544C4A" w:rsidR="00465DE3" w:rsidRPr="00293F5E" w:rsidRDefault="00465DE3" w:rsidP="00465DE3">
            <w:pPr>
              <w:spacing w:after="0"/>
              <w:ind w:left="0"/>
              <w:rPr>
                <w:rFonts w:ascii="Calibri" w:hAnsi="Calibri" w:cs="Calibri"/>
                <w:color w:val="000000"/>
                <w:szCs w:val="22"/>
              </w:rPr>
            </w:pPr>
            <w:r>
              <w:rPr>
                <w:color w:val="000000"/>
                <w:szCs w:val="24"/>
              </w:rPr>
              <w:t>Quarterly</w:t>
            </w:r>
          </w:p>
        </w:tc>
        <w:tc>
          <w:tcPr>
            <w:tcW w:w="1775" w:type="dxa"/>
            <w:noWrap/>
            <w:vAlign w:val="center"/>
          </w:tcPr>
          <w:p w14:paraId="12B4A0BF" w14:textId="3D1CA300" w:rsidR="00465DE3" w:rsidRPr="004B4E82" w:rsidRDefault="00465DE3" w:rsidP="00465DE3">
            <w:pPr>
              <w:spacing w:after="0"/>
              <w:ind w:left="0"/>
              <w:rPr>
                <w:color w:val="000000"/>
              </w:rPr>
            </w:pPr>
            <w:r>
              <w:rPr>
                <w:color w:val="000000"/>
                <w:szCs w:val="24"/>
              </w:rPr>
              <w:t>BNRQ510M</w:t>
            </w:r>
          </w:p>
        </w:tc>
        <w:tc>
          <w:tcPr>
            <w:tcW w:w="6963" w:type="dxa"/>
            <w:vAlign w:val="center"/>
          </w:tcPr>
          <w:p w14:paraId="368780A6" w14:textId="25D2DE06" w:rsidR="00465DE3" w:rsidRPr="00EE4DB6" w:rsidRDefault="00FA2BCD" w:rsidP="00465DE3">
            <w:pPr>
              <w:spacing w:after="0"/>
              <w:ind w:left="0"/>
              <w:rPr>
                <w:color w:val="000000"/>
                <w:szCs w:val="24"/>
              </w:rPr>
            </w:pPr>
            <w:r>
              <w:rPr>
                <w:color w:val="000000"/>
                <w:szCs w:val="24"/>
              </w:rPr>
              <w:t>BTQ-N</w:t>
            </w:r>
            <w:r w:rsidR="00465DE3">
              <w:rPr>
                <w:color w:val="000000"/>
                <w:szCs w:val="24"/>
              </w:rPr>
              <w:t>on</w:t>
            </w:r>
            <w:r>
              <w:rPr>
                <w:color w:val="000000"/>
                <w:szCs w:val="24"/>
              </w:rPr>
              <w:t>-S</w:t>
            </w:r>
            <w:r w:rsidR="00465DE3">
              <w:rPr>
                <w:color w:val="000000"/>
                <w:szCs w:val="24"/>
              </w:rPr>
              <w:t>ep case sample</w:t>
            </w:r>
          </w:p>
        </w:tc>
      </w:tr>
      <w:tr w:rsidR="00465DE3" w:rsidRPr="00293F5E" w14:paraId="4C1BEC3F" w14:textId="77777777" w:rsidTr="008234CC">
        <w:trPr>
          <w:trHeight w:val="300"/>
        </w:trPr>
        <w:tc>
          <w:tcPr>
            <w:tcW w:w="684" w:type="dxa"/>
            <w:noWrap/>
            <w:vAlign w:val="center"/>
            <w:hideMark/>
          </w:tcPr>
          <w:p w14:paraId="6C7A0146" w14:textId="14F2F075" w:rsidR="00465DE3" w:rsidRPr="008234CC" w:rsidRDefault="00465DE3" w:rsidP="00465DE3">
            <w:pPr>
              <w:spacing w:after="0"/>
              <w:ind w:left="0"/>
              <w:jc w:val="center"/>
              <w:rPr>
                <w:rFonts w:cs="Calibri"/>
                <w:color w:val="000000"/>
                <w:szCs w:val="24"/>
              </w:rPr>
            </w:pPr>
            <w:r>
              <w:rPr>
                <w:rFonts w:cs="Calibri"/>
                <w:color w:val="000000"/>
                <w:szCs w:val="24"/>
              </w:rPr>
              <w:t>62</w:t>
            </w:r>
          </w:p>
        </w:tc>
        <w:tc>
          <w:tcPr>
            <w:tcW w:w="1677" w:type="dxa"/>
            <w:noWrap/>
            <w:vAlign w:val="center"/>
          </w:tcPr>
          <w:p w14:paraId="1F8FC73A" w14:textId="4602EF78" w:rsidR="00465DE3" w:rsidRPr="00293F5E" w:rsidRDefault="00465DE3" w:rsidP="00465DE3">
            <w:pPr>
              <w:spacing w:after="0"/>
              <w:ind w:left="0"/>
              <w:rPr>
                <w:rFonts w:ascii="Calibri" w:hAnsi="Calibri" w:cs="Calibri"/>
                <w:color w:val="000000"/>
                <w:szCs w:val="22"/>
              </w:rPr>
            </w:pPr>
            <w:r>
              <w:rPr>
                <w:color w:val="000000"/>
                <w:szCs w:val="24"/>
              </w:rPr>
              <w:t>Quarterly</w:t>
            </w:r>
          </w:p>
        </w:tc>
        <w:tc>
          <w:tcPr>
            <w:tcW w:w="1775" w:type="dxa"/>
            <w:noWrap/>
            <w:vAlign w:val="center"/>
          </w:tcPr>
          <w:p w14:paraId="69DACC04" w14:textId="7AAA2A46" w:rsidR="00465DE3" w:rsidRPr="004B4E82" w:rsidRDefault="00465DE3" w:rsidP="00465DE3">
            <w:pPr>
              <w:spacing w:after="0"/>
              <w:ind w:left="0"/>
              <w:rPr>
                <w:color w:val="000000"/>
              </w:rPr>
            </w:pPr>
            <w:r>
              <w:rPr>
                <w:color w:val="000000"/>
                <w:szCs w:val="24"/>
              </w:rPr>
              <w:t>BNRZ010A</w:t>
            </w:r>
          </w:p>
        </w:tc>
        <w:tc>
          <w:tcPr>
            <w:tcW w:w="6963" w:type="dxa"/>
            <w:vAlign w:val="center"/>
          </w:tcPr>
          <w:p w14:paraId="09D1AE64" w14:textId="5A50B271" w:rsidR="00465DE3" w:rsidRPr="00EE4DB6" w:rsidRDefault="00465DE3" w:rsidP="00465DE3">
            <w:pPr>
              <w:spacing w:after="0"/>
              <w:ind w:left="0"/>
              <w:rPr>
                <w:color w:val="000000"/>
                <w:szCs w:val="24"/>
              </w:rPr>
            </w:pPr>
            <w:r w:rsidRPr="00EE4DB6">
              <w:rPr>
                <w:color w:val="000000"/>
                <w:szCs w:val="24"/>
              </w:rPr>
              <w:t>Outgoing IB6 Base Records, claimant detail records and outgoing discrepancy report</w:t>
            </w:r>
          </w:p>
        </w:tc>
      </w:tr>
      <w:tr w:rsidR="00465DE3" w:rsidRPr="00293F5E" w14:paraId="0A3FD2F9" w14:textId="77777777" w:rsidTr="008234CC">
        <w:trPr>
          <w:trHeight w:val="300"/>
        </w:trPr>
        <w:tc>
          <w:tcPr>
            <w:tcW w:w="684" w:type="dxa"/>
            <w:noWrap/>
            <w:vAlign w:val="center"/>
            <w:hideMark/>
          </w:tcPr>
          <w:p w14:paraId="0854F42A" w14:textId="51625C65" w:rsidR="00465DE3" w:rsidRPr="00C8400B" w:rsidRDefault="00465DE3" w:rsidP="00465DE3">
            <w:pPr>
              <w:spacing w:after="0"/>
              <w:ind w:left="0"/>
              <w:jc w:val="center"/>
              <w:rPr>
                <w:rFonts w:cs="Calibri"/>
                <w:color w:val="000000"/>
                <w:szCs w:val="24"/>
              </w:rPr>
            </w:pPr>
            <w:r>
              <w:rPr>
                <w:rFonts w:cs="Calibri"/>
                <w:color w:val="000000"/>
                <w:szCs w:val="24"/>
              </w:rPr>
              <w:t>63</w:t>
            </w:r>
          </w:p>
        </w:tc>
        <w:tc>
          <w:tcPr>
            <w:tcW w:w="1677" w:type="dxa"/>
            <w:noWrap/>
            <w:vAlign w:val="center"/>
          </w:tcPr>
          <w:p w14:paraId="3E279A7E" w14:textId="77777777" w:rsidR="00465DE3" w:rsidRPr="00293F5E" w:rsidRDefault="00465DE3" w:rsidP="00465DE3">
            <w:pPr>
              <w:spacing w:after="0"/>
              <w:ind w:left="0"/>
              <w:rPr>
                <w:rFonts w:ascii="Calibri" w:hAnsi="Calibri" w:cs="Calibri"/>
                <w:color w:val="000000"/>
                <w:szCs w:val="22"/>
              </w:rPr>
            </w:pPr>
            <w:r>
              <w:rPr>
                <w:color w:val="000000"/>
                <w:szCs w:val="24"/>
              </w:rPr>
              <w:t>Annual</w:t>
            </w:r>
          </w:p>
        </w:tc>
        <w:tc>
          <w:tcPr>
            <w:tcW w:w="1775" w:type="dxa"/>
            <w:noWrap/>
            <w:vAlign w:val="center"/>
          </w:tcPr>
          <w:p w14:paraId="105EA633" w14:textId="77777777" w:rsidR="00465DE3" w:rsidRPr="004B4E82" w:rsidRDefault="00465DE3" w:rsidP="00465DE3">
            <w:pPr>
              <w:spacing w:after="0"/>
              <w:ind w:left="0"/>
              <w:rPr>
                <w:color w:val="000000"/>
              </w:rPr>
            </w:pPr>
            <w:r>
              <w:rPr>
                <w:color w:val="000000"/>
                <w:szCs w:val="24"/>
              </w:rPr>
              <w:t>BNAP010A</w:t>
            </w:r>
          </w:p>
        </w:tc>
        <w:tc>
          <w:tcPr>
            <w:tcW w:w="6963" w:type="dxa"/>
            <w:vAlign w:val="center"/>
          </w:tcPr>
          <w:p w14:paraId="1A1A9E83" w14:textId="7BEF4C27" w:rsidR="00465DE3" w:rsidRPr="001B5823" w:rsidRDefault="00465DE3" w:rsidP="00465DE3">
            <w:pPr>
              <w:spacing w:after="0"/>
              <w:ind w:left="0"/>
              <w:rPr>
                <w:color w:val="000000"/>
                <w:szCs w:val="24"/>
              </w:rPr>
            </w:pPr>
            <w:r w:rsidRPr="001B5823">
              <w:rPr>
                <w:color w:val="000000"/>
                <w:szCs w:val="24"/>
              </w:rPr>
              <w:t>Claimant 1099 Extract</w:t>
            </w:r>
          </w:p>
        </w:tc>
      </w:tr>
      <w:tr w:rsidR="00465DE3" w:rsidRPr="00293F5E" w14:paraId="55B7FEE6" w14:textId="77777777" w:rsidTr="008234CC">
        <w:trPr>
          <w:trHeight w:val="300"/>
        </w:trPr>
        <w:tc>
          <w:tcPr>
            <w:tcW w:w="684" w:type="dxa"/>
            <w:noWrap/>
            <w:vAlign w:val="center"/>
            <w:hideMark/>
          </w:tcPr>
          <w:p w14:paraId="4D8D4398" w14:textId="46A5BAE0" w:rsidR="00465DE3" w:rsidRPr="00C8400B" w:rsidRDefault="00465DE3" w:rsidP="00465DE3">
            <w:pPr>
              <w:spacing w:after="0"/>
              <w:ind w:left="0"/>
              <w:jc w:val="center"/>
              <w:rPr>
                <w:rFonts w:cs="Calibri"/>
                <w:color w:val="000000"/>
                <w:szCs w:val="24"/>
              </w:rPr>
            </w:pPr>
            <w:r>
              <w:rPr>
                <w:rFonts w:cs="Calibri"/>
                <w:color w:val="000000"/>
                <w:szCs w:val="24"/>
              </w:rPr>
              <w:t>64</w:t>
            </w:r>
          </w:p>
        </w:tc>
        <w:tc>
          <w:tcPr>
            <w:tcW w:w="1677" w:type="dxa"/>
            <w:noWrap/>
            <w:vAlign w:val="center"/>
          </w:tcPr>
          <w:p w14:paraId="3F66ED58" w14:textId="77777777" w:rsidR="00465DE3" w:rsidRPr="00293F5E" w:rsidRDefault="00465DE3" w:rsidP="00465DE3">
            <w:pPr>
              <w:spacing w:after="0"/>
              <w:ind w:left="0"/>
              <w:rPr>
                <w:rFonts w:ascii="Calibri" w:hAnsi="Calibri" w:cs="Calibri"/>
                <w:color w:val="000000"/>
                <w:szCs w:val="22"/>
              </w:rPr>
            </w:pPr>
            <w:r>
              <w:rPr>
                <w:color w:val="000000"/>
                <w:szCs w:val="24"/>
              </w:rPr>
              <w:t>Annual</w:t>
            </w:r>
          </w:p>
        </w:tc>
        <w:tc>
          <w:tcPr>
            <w:tcW w:w="1775" w:type="dxa"/>
            <w:noWrap/>
            <w:vAlign w:val="center"/>
          </w:tcPr>
          <w:p w14:paraId="6AAC1B9D" w14:textId="77777777" w:rsidR="00465DE3" w:rsidRPr="004B4E82" w:rsidRDefault="00465DE3" w:rsidP="00465DE3">
            <w:pPr>
              <w:spacing w:after="0"/>
              <w:ind w:left="0"/>
              <w:rPr>
                <w:color w:val="000000"/>
              </w:rPr>
            </w:pPr>
            <w:r>
              <w:rPr>
                <w:color w:val="000000"/>
                <w:szCs w:val="24"/>
              </w:rPr>
              <w:t>BNAP020A</w:t>
            </w:r>
          </w:p>
        </w:tc>
        <w:tc>
          <w:tcPr>
            <w:tcW w:w="6963" w:type="dxa"/>
            <w:vAlign w:val="center"/>
          </w:tcPr>
          <w:p w14:paraId="67AC3D49" w14:textId="2EE92ECE" w:rsidR="00465DE3" w:rsidRPr="001B5823" w:rsidRDefault="00465DE3" w:rsidP="00465DE3">
            <w:pPr>
              <w:spacing w:after="0"/>
              <w:ind w:left="0"/>
              <w:rPr>
                <w:color w:val="000000"/>
                <w:szCs w:val="24"/>
              </w:rPr>
            </w:pPr>
            <w:r w:rsidRPr="001B5823">
              <w:rPr>
                <w:color w:val="000000"/>
                <w:szCs w:val="24"/>
              </w:rPr>
              <w:t>Claimant 1099 Form Print</w:t>
            </w:r>
          </w:p>
        </w:tc>
      </w:tr>
      <w:tr w:rsidR="00465DE3" w:rsidRPr="00293F5E" w14:paraId="216C10C5" w14:textId="77777777" w:rsidTr="008234CC">
        <w:trPr>
          <w:trHeight w:val="300"/>
        </w:trPr>
        <w:tc>
          <w:tcPr>
            <w:tcW w:w="684" w:type="dxa"/>
            <w:noWrap/>
            <w:vAlign w:val="center"/>
            <w:hideMark/>
          </w:tcPr>
          <w:p w14:paraId="0EBA8E2E" w14:textId="78A688BE" w:rsidR="00465DE3" w:rsidRPr="00C8400B" w:rsidRDefault="00465DE3" w:rsidP="00465DE3">
            <w:pPr>
              <w:spacing w:after="0"/>
              <w:ind w:left="0"/>
              <w:jc w:val="center"/>
              <w:rPr>
                <w:rFonts w:cs="Calibri"/>
                <w:color w:val="000000"/>
                <w:szCs w:val="24"/>
              </w:rPr>
            </w:pPr>
            <w:r>
              <w:rPr>
                <w:rFonts w:cs="Calibri"/>
                <w:color w:val="000000"/>
                <w:szCs w:val="24"/>
              </w:rPr>
              <w:t>65</w:t>
            </w:r>
          </w:p>
        </w:tc>
        <w:tc>
          <w:tcPr>
            <w:tcW w:w="1677" w:type="dxa"/>
            <w:noWrap/>
            <w:vAlign w:val="center"/>
          </w:tcPr>
          <w:p w14:paraId="25ED3F46" w14:textId="77777777" w:rsidR="00465DE3" w:rsidRPr="00293F5E" w:rsidRDefault="00465DE3" w:rsidP="00465DE3">
            <w:pPr>
              <w:spacing w:after="0"/>
              <w:ind w:left="0"/>
              <w:rPr>
                <w:rFonts w:ascii="Calibri" w:hAnsi="Calibri" w:cs="Calibri"/>
                <w:color w:val="000000"/>
                <w:szCs w:val="22"/>
              </w:rPr>
            </w:pPr>
            <w:r>
              <w:rPr>
                <w:color w:val="000000"/>
                <w:szCs w:val="24"/>
              </w:rPr>
              <w:t>Annual</w:t>
            </w:r>
          </w:p>
        </w:tc>
        <w:tc>
          <w:tcPr>
            <w:tcW w:w="1775" w:type="dxa"/>
            <w:noWrap/>
            <w:vAlign w:val="center"/>
          </w:tcPr>
          <w:p w14:paraId="19A11BA0" w14:textId="77777777" w:rsidR="00465DE3" w:rsidRPr="004B4E82" w:rsidRDefault="00465DE3" w:rsidP="00465DE3">
            <w:pPr>
              <w:spacing w:after="0"/>
              <w:ind w:left="0"/>
              <w:rPr>
                <w:color w:val="000000"/>
              </w:rPr>
            </w:pPr>
            <w:r>
              <w:rPr>
                <w:color w:val="000000"/>
                <w:szCs w:val="24"/>
              </w:rPr>
              <w:t>BNAQ135A</w:t>
            </w:r>
          </w:p>
        </w:tc>
        <w:tc>
          <w:tcPr>
            <w:tcW w:w="6963" w:type="dxa"/>
            <w:vAlign w:val="center"/>
          </w:tcPr>
          <w:p w14:paraId="54AD8FA2" w14:textId="77777777" w:rsidR="00465DE3" w:rsidRPr="002E0B23" w:rsidRDefault="00465DE3" w:rsidP="00465DE3">
            <w:pPr>
              <w:spacing w:after="0"/>
              <w:ind w:left="0"/>
              <w:rPr>
                <w:color w:val="000000"/>
                <w:highlight w:val="yellow"/>
              </w:rPr>
            </w:pPr>
            <w:r>
              <w:rPr>
                <w:color w:val="000000"/>
                <w:szCs w:val="24"/>
              </w:rPr>
              <w:t>ETA Reports</w:t>
            </w:r>
          </w:p>
        </w:tc>
      </w:tr>
      <w:tr w:rsidR="00465DE3" w:rsidRPr="00293F5E" w14:paraId="1759BA95" w14:textId="77777777" w:rsidTr="008234CC">
        <w:trPr>
          <w:trHeight w:val="300"/>
        </w:trPr>
        <w:tc>
          <w:tcPr>
            <w:tcW w:w="684" w:type="dxa"/>
            <w:noWrap/>
            <w:vAlign w:val="center"/>
            <w:hideMark/>
          </w:tcPr>
          <w:p w14:paraId="36E74A4C" w14:textId="44FAAE9D" w:rsidR="00465DE3" w:rsidRPr="00C8400B" w:rsidRDefault="00465DE3" w:rsidP="00465DE3">
            <w:pPr>
              <w:spacing w:after="0"/>
              <w:ind w:left="0"/>
              <w:jc w:val="center"/>
              <w:rPr>
                <w:rFonts w:cs="Calibri"/>
                <w:color w:val="000000"/>
                <w:szCs w:val="24"/>
              </w:rPr>
            </w:pPr>
            <w:r>
              <w:rPr>
                <w:rFonts w:cs="Calibri"/>
                <w:color w:val="000000"/>
                <w:szCs w:val="24"/>
              </w:rPr>
              <w:t>66</w:t>
            </w:r>
          </w:p>
        </w:tc>
        <w:tc>
          <w:tcPr>
            <w:tcW w:w="1677" w:type="dxa"/>
            <w:noWrap/>
            <w:vAlign w:val="center"/>
          </w:tcPr>
          <w:p w14:paraId="621A230B" w14:textId="77777777" w:rsidR="00465DE3" w:rsidRPr="00293F5E" w:rsidRDefault="00465DE3" w:rsidP="00465DE3">
            <w:pPr>
              <w:spacing w:after="0"/>
              <w:ind w:left="0"/>
              <w:rPr>
                <w:rFonts w:ascii="Calibri" w:hAnsi="Calibri" w:cs="Calibri"/>
                <w:color w:val="000000"/>
                <w:szCs w:val="22"/>
              </w:rPr>
            </w:pPr>
            <w:r>
              <w:rPr>
                <w:color w:val="000000"/>
                <w:szCs w:val="24"/>
              </w:rPr>
              <w:t>Upon Request</w:t>
            </w:r>
          </w:p>
        </w:tc>
        <w:tc>
          <w:tcPr>
            <w:tcW w:w="1775" w:type="dxa"/>
            <w:noWrap/>
            <w:vAlign w:val="center"/>
          </w:tcPr>
          <w:p w14:paraId="1FBF4A3E" w14:textId="77777777" w:rsidR="00465DE3" w:rsidRPr="004B4E82" w:rsidRDefault="00465DE3" w:rsidP="00465DE3">
            <w:pPr>
              <w:spacing w:after="0"/>
              <w:ind w:left="0"/>
              <w:rPr>
                <w:color w:val="000000"/>
              </w:rPr>
            </w:pPr>
            <w:r>
              <w:rPr>
                <w:color w:val="000000"/>
                <w:szCs w:val="24"/>
              </w:rPr>
              <w:t>BPIB6TOT</w:t>
            </w:r>
          </w:p>
        </w:tc>
        <w:tc>
          <w:tcPr>
            <w:tcW w:w="6963" w:type="dxa"/>
            <w:vAlign w:val="center"/>
          </w:tcPr>
          <w:p w14:paraId="088FFFEC" w14:textId="77777777" w:rsidR="00465DE3" w:rsidRPr="004B4E82" w:rsidRDefault="00465DE3" w:rsidP="00465DE3">
            <w:pPr>
              <w:spacing w:after="0"/>
              <w:ind w:left="0"/>
              <w:rPr>
                <w:color w:val="000000"/>
              </w:rPr>
            </w:pPr>
            <w:r>
              <w:rPr>
                <w:color w:val="000000"/>
                <w:szCs w:val="24"/>
              </w:rPr>
              <w:t>IB 6 Report</w:t>
            </w:r>
          </w:p>
        </w:tc>
      </w:tr>
      <w:tr w:rsidR="00465DE3" w:rsidRPr="00293F5E" w14:paraId="04D96B0C" w14:textId="77777777" w:rsidTr="008234CC">
        <w:trPr>
          <w:trHeight w:val="300"/>
        </w:trPr>
        <w:tc>
          <w:tcPr>
            <w:tcW w:w="684" w:type="dxa"/>
            <w:noWrap/>
            <w:vAlign w:val="center"/>
          </w:tcPr>
          <w:p w14:paraId="784C27D7" w14:textId="6CE4EA6A" w:rsidR="00465DE3" w:rsidRPr="008234CC" w:rsidRDefault="00465DE3" w:rsidP="00465DE3">
            <w:pPr>
              <w:spacing w:after="0"/>
              <w:ind w:left="0"/>
              <w:jc w:val="center"/>
              <w:rPr>
                <w:rFonts w:cs="Calibri"/>
                <w:color w:val="000000"/>
                <w:szCs w:val="24"/>
              </w:rPr>
            </w:pPr>
            <w:r>
              <w:rPr>
                <w:rFonts w:cs="Calibri"/>
                <w:color w:val="000000"/>
                <w:szCs w:val="24"/>
              </w:rPr>
              <w:t>67</w:t>
            </w:r>
          </w:p>
        </w:tc>
        <w:tc>
          <w:tcPr>
            <w:tcW w:w="1677" w:type="dxa"/>
            <w:noWrap/>
            <w:vAlign w:val="center"/>
          </w:tcPr>
          <w:p w14:paraId="1CA14CC2" w14:textId="7E01CC31" w:rsidR="00465DE3" w:rsidRDefault="00465DE3" w:rsidP="00465DE3">
            <w:pPr>
              <w:spacing w:after="0"/>
              <w:ind w:left="0"/>
              <w:rPr>
                <w:color w:val="000000"/>
                <w:szCs w:val="24"/>
              </w:rPr>
            </w:pPr>
            <w:r>
              <w:rPr>
                <w:color w:val="000000"/>
                <w:szCs w:val="24"/>
              </w:rPr>
              <w:t>Upon Request</w:t>
            </w:r>
          </w:p>
        </w:tc>
        <w:tc>
          <w:tcPr>
            <w:tcW w:w="1775" w:type="dxa"/>
            <w:noWrap/>
            <w:vAlign w:val="center"/>
          </w:tcPr>
          <w:p w14:paraId="730A6672" w14:textId="38DED937" w:rsidR="00465DE3" w:rsidRDefault="00465DE3" w:rsidP="00465DE3">
            <w:pPr>
              <w:spacing w:after="0"/>
              <w:ind w:left="0"/>
              <w:rPr>
                <w:color w:val="000000"/>
                <w:szCs w:val="24"/>
              </w:rPr>
            </w:pPr>
            <w:r>
              <w:t>New Virgin Islands Claim</w:t>
            </w:r>
          </w:p>
        </w:tc>
        <w:tc>
          <w:tcPr>
            <w:tcW w:w="6963" w:type="dxa"/>
            <w:vAlign w:val="center"/>
          </w:tcPr>
          <w:p w14:paraId="7109178D" w14:textId="0CCE7328" w:rsidR="00465DE3" w:rsidRDefault="00465DE3" w:rsidP="00465DE3">
            <w:pPr>
              <w:spacing w:after="0"/>
              <w:ind w:left="0"/>
              <w:rPr>
                <w:color w:val="000000"/>
                <w:szCs w:val="24"/>
              </w:rPr>
            </w:pPr>
            <w:r>
              <w:t>Provides notification of received IB response from VI</w:t>
            </w:r>
          </w:p>
        </w:tc>
      </w:tr>
    </w:tbl>
    <w:p w14:paraId="3B4D455A" w14:textId="77777777" w:rsidR="002E0B23" w:rsidRDefault="002E0B23" w:rsidP="00605110"/>
    <w:p w14:paraId="1976BE4D" w14:textId="77777777" w:rsidR="0067479A" w:rsidRPr="0067479A" w:rsidRDefault="0067479A" w:rsidP="0067479A">
      <w:pPr>
        <w:rPr>
          <w:rFonts w:eastAsia="Verdana,Times New Roman" w:cs="Verdana,Times New Roman"/>
          <w:b/>
          <w:bCs/>
          <w:u w:val="single"/>
        </w:rPr>
      </w:pPr>
      <w:bookmarkStart w:id="431" w:name="_Hlk534716058"/>
      <w:r w:rsidRPr="0067479A">
        <w:rPr>
          <w:rFonts w:eastAsia="Verdana,Times New Roman" w:cs="Verdana,Times New Roman"/>
          <w:b/>
          <w:bCs/>
          <w:u w:val="single"/>
        </w:rPr>
        <w:t>UI Business Support – Reports by Frequency</w:t>
      </w:r>
    </w:p>
    <w:tbl>
      <w:tblPr>
        <w:tblW w:w="11189" w:type="dxa"/>
        <w:tblLayout w:type="fixed"/>
        <w:tblLook w:val="04A0" w:firstRow="1" w:lastRow="0" w:firstColumn="1" w:lastColumn="0" w:noHBand="0" w:noVBand="1"/>
        <w:tblDescription w:val="Table of Benefits reports"/>
      </w:tblPr>
      <w:tblGrid>
        <w:gridCol w:w="691"/>
        <w:gridCol w:w="1627"/>
        <w:gridCol w:w="1800"/>
        <w:gridCol w:w="7071"/>
      </w:tblGrid>
      <w:tr w:rsidR="0067479A" w:rsidRPr="001C17DF" w14:paraId="30D0BAFC" w14:textId="77777777" w:rsidTr="00E23F37">
        <w:trPr>
          <w:trHeight w:val="300"/>
          <w:tblHeader/>
        </w:trPr>
        <w:tc>
          <w:tcPr>
            <w:tcW w:w="691" w:type="dxa"/>
            <w:tcBorders>
              <w:top w:val="single" w:sz="8" w:space="0" w:color="000000"/>
              <w:left w:val="single" w:sz="8" w:space="0" w:color="000000"/>
              <w:bottom w:val="single" w:sz="8" w:space="0" w:color="000000"/>
              <w:right w:val="single" w:sz="8" w:space="0" w:color="000000"/>
            </w:tcBorders>
            <w:shd w:val="clear" w:color="000000" w:fill="DBE5F1"/>
            <w:vAlign w:val="center"/>
            <w:hideMark/>
          </w:tcPr>
          <w:p w14:paraId="7B6F5F65" w14:textId="77777777" w:rsidR="0067479A" w:rsidRPr="001A193D" w:rsidRDefault="0067479A" w:rsidP="0052714F">
            <w:pPr>
              <w:spacing w:after="0"/>
              <w:ind w:left="0"/>
              <w:jc w:val="center"/>
              <w:rPr>
                <w:rFonts w:cs="Calibri"/>
                <w:b/>
                <w:bCs/>
                <w:color w:val="1F3864" w:themeColor="accent5" w:themeShade="80"/>
              </w:rPr>
            </w:pPr>
            <w:r w:rsidRPr="001A193D">
              <w:rPr>
                <w:rFonts w:cs="Calibri"/>
                <w:b/>
                <w:bCs/>
                <w:color w:val="1F3864" w:themeColor="accent5" w:themeShade="80"/>
              </w:rPr>
              <w:t>#</w:t>
            </w:r>
          </w:p>
        </w:tc>
        <w:tc>
          <w:tcPr>
            <w:tcW w:w="1627" w:type="dxa"/>
            <w:tcBorders>
              <w:top w:val="single" w:sz="8" w:space="0" w:color="000000"/>
              <w:left w:val="nil"/>
              <w:bottom w:val="single" w:sz="8" w:space="0" w:color="000000"/>
              <w:right w:val="single" w:sz="8" w:space="0" w:color="000000"/>
            </w:tcBorders>
            <w:shd w:val="clear" w:color="000000" w:fill="DBE5F1"/>
            <w:vAlign w:val="center"/>
            <w:hideMark/>
          </w:tcPr>
          <w:p w14:paraId="7AAB9435" w14:textId="77777777" w:rsidR="0067479A" w:rsidRPr="001A193D" w:rsidRDefault="0067479A" w:rsidP="00DE2B4F">
            <w:pPr>
              <w:spacing w:after="0"/>
              <w:ind w:left="0"/>
              <w:rPr>
                <w:rFonts w:cs="Calibri"/>
                <w:b/>
                <w:bCs/>
                <w:color w:val="1F3864" w:themeColor="accent5" w:themeShade="80"/>
              </w:rPr>
            </w:pPr>
            <w:r w:rsidRPr="001A193D">
              <w:rPr>
                <w:rFonts w:cs="Calibri"/>
                <w:b/>
                <w:bCs/>
                <w:color w:val="1F3864" w:themeColor="accent5" w:themeShade="80"/>
              </w:rPr>
              <w:t>Frequency</w:t>
            </w:r>
          </w:p>
        </w:tc>
        <w:tc>
          <w:tcPr>
            <w:tcW w:w="1800" w:type="dxa"/>
            <w:tcBorders>
              <w:top w:val="single" w:sz="8" w:space="0" w:color="000000"/>
              <w:left w:val="nil"/>
              <w:bottom w:val="single" w:sz="8" w:space="0" w:color="000000"/>
              <w:right w:val="single" w:sz="8" w:space="0" w:color="000000"/>
            </w:tcBorders>
            <w:shd w:val="clear" w:color="000000" w:fill="DBE5F1"/>
            <w:vAlign w:val="center"/>
            <w:hideMark/>
          </w:tcPr>
          <w:p w14:paraId="2361B276" w14:textId="77777777" w:rsidR="0067479A" w:rsidRPr="001A193D" w:rsidRDefault="0067479A" w:rsidP="00D85916">
            <w:pPr>
              <w:spacing w:after="0"/>
              <w:ind w:left="0"/>
              <w:rPr>
                <w:rFonts w:cs="Calibri"/>
                <w:b/>
                <w:bCs/>
                <w:color w:val="1F3864" w:themeColor="accent5" w:themeShade="80"/>
              </w:rPr>
            </w:pPr>
            <w:r w:rsidRPr="001A193D">
              <w:rPr>
                <w:rFonts w:cs="Calibri"/>
                <w:b/>
                <w:bCs/>
                <w:color w:val="1F3864" w:themeColor="accent5" w:themeShade="80"/>
              </w:rPr>
              <w:t>Name</w:t>
            </w:r>
          </w:p>
        </w:tc>
        <w:tc>
          <w:tcPr>
            <w:tcW w:w="7071" w:type="dxa"/>
            <w:tcBorders>
              <w:top w:val="single" w:sz="8" w:space="0" w:color="000000"/>
              <w:left w:val="nil"/>
              <w:bottom w:val="single" w:sz="8" w:space="0" w:color="000000"/>
              <w:right w:val="single" w:sz="8" w:space="0" w:color="000000"/>
            </w:tcBorders>
            <w:shd w:val="clear" w:color="000000" w:fill="DBE5F1"/>
            <w:vAlign w:val="center"/>
            <w:hideMark/>
          </w:tcPr>
          <w:p w14:paraId="7608206C" w14:textId="77777777" w:rsidR="0067479A" w:rsidRPr="001A193D" w:rsidRDefault="0067479A" w:rsidP="00D85916">
            <w:pPr>
              <w:spacing w:after="0"/>
              <w:ind w:left="0"/>
              <w:rPr>
                <w:rFonts w:cs="Calibri"/>
                <w:b/>
                <w:bCs/>
                <w:color w:val="1F3864" w:themeColor="accent5" w:themeShade="80"/>
              </w:rPr>
            </w:pPr>
            <w:r w:rsidRPr="001A193D">
              <w:rPr>
                <w:rFonts w:cs="Calibri"/>
                <w:b/>
                <w:bCs/>
                <w:color w:val="1F3864" w:themeColor="accent5" w:themeShade="80"/>
              </w:rPr>
              <w:t>Overview</w:t>
            </w:r>
          </w:p>
        </w:tc>
      </w:tr>
      <w:tr w:rsidR="00E23F37" w:rsidRPr="001C17DF" w14:paraId="2D5694F9" w14:textId="77777777" w:rsidTr="00E23F37">
        <w:trPr>
          <w:trHeight w:val="588"/>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52A210D0" w14:textId="6B69F84F" w:rsidR="00E23F37" w:rsidRPr="00007760" w:rsidRDefault="00E23F37" w:rsidP="00E23F37">
            <w:pPr>
              <w:spacing w:after="0"/>
              <w:ind w:left="0"/>
              <w:jc w:val="center"/>
              <w:rPr>
                <w:rFonts w:cs="Calibri"/>
                <w:color w:val="000000"/>
                <w:szCs w:val="24"/>
              </w:rPr>
            </w:pPr>
            <w:r>
              <w:rPr>
                <w:color w:val="000000"/>
              </w:rPr>
              <w:t>1</w:t>
            </w:r>
          </w:p>
        </w:tc>
        <w:tc>
          <w:tcPr>
            <w:tcW w:w="1627" w:type="dxa"/>
            <w:tcBorders>
              <w:top w:val="nil"/>
              <w:left w:val="nil"/>
              <w:bottom w:val="single" w:sz="8" w:space="0" w:color="000000"/>
              <w:right w:val="single" w:sz="8" w:space="0" w:color="000000"/>
            </w:tcBorders>
            <w:shd w:val="clear" w:color="auto" w:fill="auto"/>
            <w:noWrap/>
            <w:vAlign w:val="center"/>
            <w:hideMark/>
          </w:tcPr>
          <w:p w14:paraId="2E6BEF67" w14:textId="77777777" w:rsidR="00E23F37" w:rsidRPr="00007760" w:rsidRDefault="00E23F37" w:rsidP="00E23F37">
            <w:pPr>
              <w:spacing w:after="0"/>
              <w:ind w:left="0"/>
              <w:rPr>
                <w:rFonts w:cs="Calibri"/>
                <w:color w:val="000000"/>
                <w:szCs w:val="24"/>
              </w:rPr>
            </w:pPr>
            <w:r w:rsidRPr="00007760">
              <w:rPr>
                <w:rFonts w:cs="Calibri"/>
                <w:color w:val="000000"/>
                <w:szCs w:val="24"/>
              </w:rPr>
              <w:t>Daily</w:t>
            </w:r>
          </w:p>
        </w:tc>
        <w:tc>
          <w:tcPr>
            <w:tcW w:w="1800" w:type="dxa"/>
            <w:tcBorders>
              <w:top w:val="nil"/>
              <w:left w:val="nil"/>
              <w:bottom w:val="single" w:sz="8" w:space="0" w:color="000000"/>
              <w:right w:val="single" w:sz="8" w:space="0" w:color="000000"/>
            </w:tcBorders>
            <w:shd w:val="clear" w:color="auto" w:fill="auto"/>
            <w:vAlign w:val="center"/>
            <w:hideMark/>
          </w:tcPr>
          <w:p w14:paraId="7DCC1536" w14:textId="77777777" w:rsidR="00E23F37" w:rsidRPr="00007760" w:rsidRDefault="00E23F37" w:rsidP="00E23F37">
            <w:pPr>
              <w:spacing w:after="0"/>
              <w:ind w:left="0"/>
              <w:rPr>
                <w:rFonts w:cs="Calibri"/>
                <w:color w:val="000000"/>
                <w:szCs w:val="24"/>
              </w:rPr>
            </w:pPr>
            <w:r w:rsidRPr="00007760">
              <w:rPr>
                <w:rFonts w:cs="Calibri"/>
                <w:color w:val="000000"/>
                <w:szCs w:val="24"/>
              </w:rPr>
              <w:t>Disaster Impacted Payments - REG</w:t>
            </w:r>
          </w:p>
        </w:tc>
        <w:tc>
          <w:tcPr>
            <w:tcW w:w="7071" w:type="dxa"/>
            <w:tcBorders>
              <w:top w:val="nil"/>
              <w:left w:val="nil"/>
              <w:bottom w:val="single" w:sz="8" w:space="0" w:color="000000"/>
              <w:right w:val="single" w:sz="8" w:space="0" w:color="000000"/>
            </w:tcBorders>
            <w:shd w:val="clear" w:color="auto" w:fill="auto"/>
            <w:vAlign w:val="center"/>
            <w:hideMark/>
          </w:tcPr>
          <w:p w14:paraId="1956ADCF" w14:textId="77777777" w:rsidR="00E23F37" w:rsidRPr="00007760" w:rsidRDefault="00E23F37" w:rsidP="00E23F37">
            <w:pPr>
              <w:spacing w:after="0"/>
              <w:ind w:left="0"/>
              <w:rPr>
                <w:rFonts w:cs="Calibri"/>
                <w:color w:val="000000"/>
                <w:szCs w:val="24"/>
              </w:rPr>
            </w:pPr>
            <w:r w:rsidRPr="00007760">
              <w:rPr>
                <w:rFonts w:cs="Calibri"/>
                <w:color w:val="000000"/>
                <w:szCs w:val="24"/>
              </w:rPr>
              <w:t>Daily accounting of UI payments made on REG claims to individuals who were disaster impacted</w:t>
            </w:r>
          </w:p>
        </w:tc>
      </w:tr>
      <w:tr w:rsidR="00E23F37" w:rsidRPr="001C17DF" w14:paraId="39EBC7F1" w14:textId="77777777" w:rsidTr="00E23F37">
        <w:trPr>
          <w:trHeight w:val="588"/>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6D9DE5D4" w14:textId="39CCADB4" w:rsidR="00E23F37" w:rsidRPr="00007760" w:rsidRDefault="00E23F37" w:rsidP="00E23F37">
            <w:pPr>
              <w:spacing w:after="0"/>
              <w:ind w:left="0"/>
              <w:jc w:val="center"/>
              <w:rPr>
                <w:rFonts w:cs="Calibri"/>
                <w:color w:val="000000"/>
                <w:szCs w:val="24"/>
              </w:rPr>
            </w:pPr>
            <w:r>
              <w:t>2</w:t>
            </w:r>
          </w:p>
        </w:tc>
        <w:tc>
          <w:tcPr>
            <w:tcW w:w="1627" w:type="dxa"/>
            <w:tcBorders>
              <w:top w:val="nil"/>
              <w:left w:val="nil"/>
              <w:bottom w:val="single" w:sz="8" w:space="0" w:color="000000"/>
              <w:right w:val="single" w:sz="8" w:space="0" w:color="000000"/>
            </w:tcBorders>
            <w:shd w:val="clear" w:color="auto" w:fill="auto"/>
            <w:noWrap/>
            <w:vAlign w:val="center"/>
            <w:hideMark/>
          </w:tcPr>
          <w:p w14:paraId="5D86D9E5" w14:textId="77777777" w:rsidR="00E23F37" w:rsidRPr="00007760" w:rsidRDefault="00E23F37" w:rsidP="00E23F37">
            <w:pPr>
              <w:spacing w:after="0"/>
              <w:ind w:left="0"/>
              <w:rPr>
                <w:rFonts w:cs="Calibri"/>
                <w:color w:val="000000"/>
                <w:szCs w:val="24"/>
              </w:rPr>
            </w:pPr>
            <w:r w:rsidRPr="00007760">
              <w:rPr>
                <w:rFonts w:cs="Calibri"/>
                <w:color w:val="000000"/>
                <w:szCs w:val="24"/>
              </w:rPr>
              <w:t>Daily</w:t>
            </w:r>
          </w:p>
        </w:tc>
        <w:tc>
          <w:tcPr>
            <w:tcW w:w="1800" w:type="dxa"/>
            <w:tcBorders>
              <w:top w:val="nil"/>
              <w:left w:val="nil"/>
              <w:bottom w:val="single" w:sz="8" w:space="0" w:color="000000"/>
              <w:right w:val="single" w:sz="8" w:space="0" w:color="000000"/>
            </w:tcBorders>
            <w:shd w:val="clear" w:color="auto" w:fill="auto"/>
            <w:vAlign w:val="center"/>
            <w:hideMark/>
          </w:tcPr>
          <w:p w14:paraId="196204FA" w14:textId="77777777" w:rsidR="00E23F37" w:rsidRPr="00007760" w:rsidRDefault="00E23F37" w:rsidP="00E23F37">
            <w:pPr>
              <w:spacing w:after="0"/>
              <w:ind w:left="0"/>
              <w:rPr>
                <w:rFonts w:cs="Calibri"/>
                <w:color w:val="000000"/>
                <w:szCs w:val="24"/>
              </w:rPr>
            </w:pPr>
            <w:r w:rsidRPr="00007760">
              <w:rPr>
                <w:rFonts w:cs="Calibri"/>
                <w:color w:val="000000"/>
                <w:szCs w:val="24"/>
              </w:rPr>
              <w:t>Disaster Impacted Payments - DUA</w:t>
            </w:r>
          </w:p>
        </w:tc>
        <w:tc>
          <w:tcPr>
            <w:tcW w:w="7071" w:type="dxa"/>
            <w:tcBorders>
              <w:top w:val="nil"/>
              <w:left w:val="nil"/>
              <w:bottom w:val="single" w:sz="8" w:space="0" w:color="000000"/>
              <w:right w:val="single" w:sz="8" w:space="0" w:color="000000"/>
            </w:tcBorders>
            <w:shd w:val="clear" w:color="auto" w:fill="auto"/>
            <w:vAlign w:val="center"/>
            <w:hideMark/>
          </w:tcPr>
          <w:p w14:paraId="6065BC0A" w14:textId="77777777" w:rsidR="00E23F37" w:rsidRPr="00007760" w:rsidRDefault="00E23F37" w:rsidP="00E23F37">
            <w:pPr>
              <w:spacing w:after="0"/>
              <w:ind w:left="0"/>
              <w:rPr>
                <w:rFonts w:cs="Calibri"/>
                <w:color w:val="000000"/>
                <w:szCs w:val="24"/>
              </w:rPr>
            </w:pPr>
            <w:r w:rsidRPr="00007760">
              <w:rPr>
                <w:rFonts w:cs="Calibri"/>
                <w:color w:val="000000"/>
                <w:szCs w:val="24"/>
              </w:rPr>
              <w:t>Daily accounting of DUA payments</w:t>
            </w:r>
          </w:p>
        </w:tc>
      </w:tr>
      <w:tr w:rsidR="00E23F37" w:rsidRPr="001C17DF" w14:paraId="53073AFC" w14:textId="77777777" w:rsidTr="00E23F37">
        <w:trPr>
          <w:trHeight w:val="588"/>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25622924" w14:textId="6FAE633C" w:rsidR="00E23F37" w:rsidRPr="00007760" w:rsidRDefault="00E23F37" w:rsidP="00E23F37">
            <w:pPr>
              <w:spacing w:after="0"/>
              <w:ind w:left="0"/>
              <w:jc w:val="center"/>
              <w:rPr>
                <w:rFonts w:cs="Calibri"/>
                <w:color w:val="000000"/>
                <w:szCs w:val="24"/>
              </w:rPr>
            </w:pPr>
            <w:r>
              <w:rPr>
                <w:color w:val="000000"/>
              </w:rPr>
              <w:t>3</w:t>
            </w:r>
          </w:p>
        </w:tc>
        <w:tc>
          <w:tcPr>
            <w:tcW w:w="1627" w:type="dxa"/>
            <w:tcBorders>
              <w:top w:val="nil"/>
              <w:left w:val="nil"/>
              <w:bottom w:val="single" w:sz="8" w:space="0" w:color="000000"/>
              <w:right w:val="single" w:sz="8" w:space="0" w:color="000000"/>
            </w:tcBorders>
            <w:shd w:val="clear" w:color="auto" w:fill="auto"/>
            <w:noWrap/>
            <w:vAlign w:val="center"/>
            <w:hideMark/>
          </w:tcPr>
          <w:p w14:paraId="41D11395" w14:textId="77777777" w:rsidR="00E23F37" w:rsidRPr="00007760" w:rsidRDefault="00E23F37" w:rsidP="00E23F37">
            <w:pPr>
              <w:spacing w:after="0"/>
              <w:ind w:left="0"/>
              <w:rPr>
                <w:rFonts w:cs="Calibri"/>
                <w:color w:val="000000"/>
                <w:szCs w:val="24"/>
              </w:rPr>
            </w:pPr>
            <w:r w:rsidRPr="00007760">
              <w:rPr>
                <w:rFonts w:cs="Calibri"/>
                <w:color w:val="000000"/>
                <w:szCs w:val="24"/>
              </w:rPr>
              <w:t>Daily</w:t>
            </w:r>
          </w:p>
        </w:tc>
        <w:tc>
          <w:tcPr>
            <w:tcW w:w="1800" w:type="dxa"/>
            <w:tcBorders>
              <w:top w:val="nil"/>
              <w:left w:val="nil"/>
              <w:bottom w:val="single" w:sz="8" w:space="0" w:color="000000"/>
              <w:right w:val="single" w:sz="8" w:space="0" w:color="000000"/>
            </w:tcBorders>
            <w:shd w:val="clear" w:color="auto" w:fill="auto"/>
            <w:vAlign w:val="center"/>
            <w:hideMark/>
          </w:tcPr>
          <w:p w14:paraId="0CE91C3D" w14:textId="06E86396" w:rsidR="00E23F37" w:rsidRPr="00007760" w:rsidRDefault="00E23F37" w:rsidP="00E23F37">
            <w:pPr>
              <w:spacing w:after="0"/>
              <w:ind w:left="0"/>
              <w:rPr>
                <w:rFonts w:cs="Calibri"/>
                <w:color w:val="000000"/>
                <w:szCs w:val="24"/>
              </w:rPr>
            </w:pPr>
            <w:r>
              <w:rPr>
                <w:rFonts w:cs="Calibri"/>
                <w:color w:val="000000"/>
                <w:szCs w:val="24"/>
              </w:rPr>
              <w:t>DUA</w:t>
            </w:r>
            <w:r w:rsidRPr="00007760">
              <w:rPr>
                <w:rFonts w:cs="Calibri"/>
                <w:color w:val="000000"/>
                <w:szCs w:val="24"/>
              </w:rPr>
              <w:t xml:space="preserve"> Open Assignments - 6 queries</w:t>
            </w:r>
          </w:p>
        </w:tc>
        <w:tc>
          <w:tcPr>
            <w:tcW w:w="7071" w:type="dxa"/>
            <w:tcBorders>
              <w:top w:val="nil"/>
              <w:left w:val="nil"/>
              <w:bottom w:val="single" w:sz="8" w:space="0" w:color="000000"/>
              <w:right w:val="single" w:sz="8" w:space="0" w:color="000000"/>
            </w:tcBorders>
            <w:shd w:val="clear" w:color="auto" w:fill="auto"/>
            <w:vAlign w:val="center"/>
            <w:hideMark/>
          </w:tcPr>
          <w:p w14:paraId="65ED1338" w14:textId="6141512E" w:rsidR="00E23F37" w:rsidRPr="00007760" w:rsidRDefault="00E23F37" w:rsidP="00E23F37">
            <w:pPr>
              <w:spacing w:after="0"/>
              <w:ind w:left="0"/>
              <w:rPr>
                <w:rFonts w:cs="Calibri"/>
                <w:color w:val="000000"/>
                <w:szCs w:val="24"/>
              </w:rPr>
            </w:pPr>
            <w:r w:rsidRPr="00007760">
              <w:rPr>
                <w:rFonts w:cs="Calibri"/>
                <w:color w:val="000000"/>
                <w:szCs w:val="24"/>
              </w:rPr>
              <w:t>Count, list, ED08 Complete, ED08 Pending, NM15, NM17</w:t>
            </w:r>
            <w:r>
              <w:rPr>
                <w:rFonts w:cs="Calibri"/>
                <w:color w:val="000000"/>
                <w:szCs w:val="24"/>
              </w:rPr>
              <w:t xml:space="preserve"> </w:t>
            </w:r>
            <w:r>
              <w:rPr>
                <w:rFonts w:cs="Calibri"/>
                <w:color w:val="000000"/>
                <w:szCs w:val="24"/>
              </w:rPr>
              <w:br/>
              <w:t>(report used to manage workflow-DUA related)</w:t>
            </w:r>
          </w:p>
        </w:tc>
      </w:tr>
      <w:tr w:rsidR="00E23F37" w:rsidRPr="001C17DF" w14:paraId="7B77F34A" w14:textId="77777777" w:rsidTr="00E23F37">
        <w:trPr>
          <w:trHeight w:val="588"/>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576EC81C" w14:textId="01DD9175" w:rsidR="00E23F37" w:rsidRPr="00007760" w:rsidRDefault="00E23F37" w:rsidP="00E23F37">
            <w:pPr>
              <w:spacing w:after="0"/>
              <w:ind w:left="0"/>
              <w:jc w:val="center"/>
              <w:rPr>
                <w:rFonts w:cs="Calibri"/>
                <w:color w:val="000000"/>
                <w:szCs w:val="24"/>
              </w:rPr>
            </w:pPr>
            <w:r>
              <w:t>4</w:t>
            </w:r>
          </w:p>
        </w:tc>
        <w:tc>
          <w:tcPr>
            <w:tcW w:w="1627" w:type="dxa"/>
            <w:tcBorders>
              <w:top w:val="nil"/>
              <w:left w:val="nil"/>
              <w:bottom w:val="single" w:sz="8" w:space="0" w:color="000000"/>
              <w:right w:val="single" w:sz="8" w:space="0" w:color="000000"/>
            </w:tcBorders>
            <w:shd w:val="clear" w:color="auto" w:fill="auto"/>
            <w:noWrap/>
            <w:vAlign w:val="center"/>
            <w:hideMark/>
          </w:tcPr>
          <w:p w14:paraId="4FFFCFF5" w14:textId="77777777" w:rsidR="00E23F37" w:rsidRPr="00007760" w:rsidRDefault="00E23F37" w:rsidP="00E23F37">
            <w:pPr>
              <w:spacing w:after="0"/>
              <w:ind w:left="0"/>
              <w:rPr>
                <w:rFonts w:cs="Calibri"/>
                <w:color w:val="000000"/>
                <w:szCs w:val="24"/>
              </w:rPr>
            </w:pPr>
            <w:r w:rsidRPr="00007760">
              <w:rPr>
                <w:rFonts w:cs="Calibri"/>
                <w:color w:val="000000"/>
                <w:szCs w:val="24"/>
              </w:rPr>
              <w:t>Daily</w:t>
            </w:r>
          </w:p>
        </w:tc>
        <w:tc>
          <w:tcPr>
            <w:tcW w:w="1800" w:type="dxa"/>
            <w:tcBorders>
              <w:top w:val="nil"/>
              <w:left w:val="nil"/>
              <w:bottom w:val="single" w:sz="8" w:space="0" w:color="000000"/>
              <w:right w:val="single" w:sz="8" w:space="0" w:color="000000"/>
            </w:tcBorders>
            <w:shd w:val="clear" w:color="auto" w:fill="auto"/>
            <w:vAlign w:val="center"/>
            <w:hideMark/>
          </w:tcPr>
          <w:p w14:paraId="23D9D886" w14:textId="77777777" w:rsidR="00E23F37" w:rsidRPr="00007760" w:rsidRDefault="00E23F37" w:rsidP="00E23F37">
            <w:pPr>
              <w:spacing w:after="0"/>
              <w:ind w:left="0"/>
              <w:rPr>
                <w:rFonts w:cs="Calibri"/>
                <w:color w:val="000000"/>
                <w:szCs w:val="24"/>
              </w:rPr>
            </w:pPr>
            <w:r w:rsidRPr="00007760">
              <w:rPr>
                <w:rFonts w:cs="Calibri"/>
                <w:color w:val="000000"/>
                <w:szCs w:val="24"/>
              </w:rPr>
              <w:t>Two pay states query</w:t>
            </w:r>
          </w:p>
        </w:tc>
        <w:tc>
          <w:tcPr>
            <w:tcW w:w="7071" w:type="dxa"/>
            <w:tcBorders>
              <w:top w:val="nil"/>
              <w:left w:val="nil"/>
              <w:bottom w:val="single" w:sz="8" w:space="0" w:color="000000"/>
              <w:right w:val="single" w:sz="8" w:space="0" w:color="000000"/>
            </w:tcBorders>
            <w:shd w:val="clear" w:color="auto" w:fill="auto"/>
            <w:vAlign w:val="center"/>
            <w:hideMark/>
          </w:tcPr>
          <w:p w14:paraId="77546372" w14:textId="54D242C2" w:rsidR="00E23F37" w:rsidRPr="00007760" w:rsidRDefault="00691492" w:rsidP="00E23F37">
            <w:pPr>
              <w:spacing w:after="0"/>
              <w:ind w:left="0"/>
              <w:rPr>
                <w:rFonts w:cs="Calibri"/>
                <w:color w:val="000000"/>
                <w:szCs w:val="24"/>
              </w:rPr>
            </w:pPr>
            <w:r w:rsidRPr="00691492">
              <w:rPr>
                <w:rFonts w:cs="Calibri"/>
                <w:color w:val="000000"/>
                <w:szCs w:val="24"/>
              </w:rPr>
              <w:t xml:space="preserve">Query alerts CWC when two claims with same IC date and two different </w:t>
            </w:r>
            <w:r w:rsidR="00E00121" w:rsidRPr="00691492">
              <w:rPr>
                <w:rFonts w:cs="Calibri"/>
                <w:color w:val="000000"/>
                <w:szCs w:val="24"/>
              </w:rPr>
              <w:t>pay state</w:t>
            </w:r>
            <w:r w:rsidR="00E00121">
              <w:rPr>
                <w:rFonts w:cs="Calibri"/>
                <w:color w:val="000000"/>
                <w:szCs w:val="24"/>
              </w:rPr>
              <w:t>s</w:t>
            </w:r>
            <w:r w:rsidRPr="00691492">
              <w:rPr>
                <w:rFonts w:cs="Calibri"/>
                <w:color w:val="000000"/>
                <w:szCs w:val="24"/>
              </w:rPr>
              <w:t>, CWC reviews validity of claim in order to request and receive wages</w:t>
            </w:r>
          </w:p>
        </w:tc>
      </w:tr>
      <w:tr w:rsidR="00E23F37" w:rsidRPr="001C17DF" w14:paraId="79107C8B" w14:textId="77777777" w:rsidTr="00E23F37">
        <w:trPr>
          <w:trHeight w:val="588"/>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43BD46DC" w14:textId="2C809086" w:rsidR="00E23F37" w:rsidRPr="00007760" w:rsidRDefault="00E23F37" w:rsidP="00E23F37">
            <w:pPr>
              <w:spacing w:after="0"/>
              <w:ind w:left="0"/>
              <w:jc w:val="center"/>
              <w:rPr>
                <w:rFonts w:cs="Calibri"/>
                <w:color w:val="000000"/>
                <w:szCs w:val="24"/>
              </w:rPr>
            </w:pPr>
            <w:r>
              <w:rPr>
                <w:color w:val="000000"/>
              </w:rPr>
              <w:t>5</w:t>
            </w:r>
          </w:p>
        </w:tc>
        <w:tc>
          <w:tcPr>
            <w:tcW w:w="1627" w:type="dxa"/>
            <w:tcBorders>
              <w:top w:val="nil"/>
              <w:left w:val="nil"/>
              <w:bottom w:val="single" w:sz="8" w:space="0" w:color="000000"/>
              <w:right w:val="single" w:sz="8" w:space="0" w:color="000000"/>
            </w:tcBorders>
            <w:shd w:val="clear" w:color="auto" w:fill="auto"/>
            <w:noWrap/>
            <w:vAlign w:val="center"/>
            <w:hideMark/>
          </w:tcPr>
          <w:p w14:paraId="4F542BD4" w14:textId="77777777" w:rsidR="00E23F37" w:rsidRPr="00007760" w:rsidRDefault="00E23F37" w:rsidP="00E23F37">
            <w:pPr>
              <w:spacing w:after="0"/>
              <w:ind w:left="0"/>
              <w:rPr>
                <w:rFonts w:cs="Calibri"/>
                <w:color w:val="000000"/>
                <w:szCs w:val="24"/>
              </w:rPr>
            </w:pPr>
            <w:r w:rsidRPr="00007760">
              <w:rPr>
                <w:rFonts w:cs="Calibri"/>
                <w:color w:val="000000"/>
                <w:szCs w:val="24"/>
              </w:rPr>
              <w:t>Daily</w:t>
            </w:r>
          </w:p>
        </w:tc>
        <w:tc>
          <w:tcPr>
            <w:tcW w:w="1800" w:type="dxa"/>
            <w:tcBorders>
              <w:top w:val="nil"/>
              <w:left w:val="nil"/>
              <w:bottom w:val="single" w:sz="8" w:space="0" w:color="000000"/>
              <w:right w:val="single" w:sz="8" w:space="0" w:color="000000"/>
            </w:tcBorders>
            <w:shd w:val="clear" w:color="auto" w:fill="auto"/>
            <w:vAlign w:val="center"/>
            <w:hideMark/>
          </w:tcPr>
          <w:p w14:paraId="6B224FE9" w14:textId="77777777" w:rsidR="00E23F37" w:rsidRPr="00007760" w:rsidRDefault="00E23F37" w:rsidP="00E23F37">
            <w:pPr>
              <w:spacing w:after="0"/>
              <w:ind w:left="0"/>
              <w:rPr>
                <w:rFonts w:cs="Calibri"/>
                <w:color w:val="000000"/>
                <w:szCs w:val="24"/>
              </w:rPr>
            </w:pPr>
            <w:r w:rsidRPr="00007760">
              <w:rPr>
                <w:rFonts w:cs="Calibri"/>
                <w:color w:val="000000"/>
                <w:szCs w:val="24"/>
              </w:rPr>
              <w:t>Puerto Rico responses</w:t>
            </w:r>
          </w:p>
        </w:tc>
        <w:tc>
          <w:tcPr>
            <w:tcW w:w="7071" w:type="dxa"/>
            <w:tcBorders>
              <w:top w:val="nil"/>
              <w:left w:val="nil"/>
              <w:bottom w:val="single" w:sz="8" w:space="0" w:color="000000"/>
              <w:right w:val="single" w:sz="8" w:space="0" w:color="000000"/>
            </w:tcBorders>
            <w:shd w:val="clear" w:color="auto" w:fill="auto"/>
            <w:vAlign w:val="center"/>
            <w:hideMark/>
          </w:tcPr>
          <w:p w14:paraId="1E608D11" w14:textId="6AE5483C" w:rsidR="00E23F37" w:rsidRPr="00007760" w:rsidRDefault="00E00121" w:rsidP="00E23F37">
            <w:pPr>
              <w:spacing w:after="0"/>
              <w:ind w:left="0"/>
              <w:rPr>
                <w:rFonts w:cs="Calibri"/>
                <w:color w:val="000000"/>
                <w:szCs w:val="24"/>
              </w:rPr>
            </w:pPr>
            <w:r w:rsidRPr="00E00121">
              <w:rPr>
                <w:rFonts w:cs="Calibri"/>
                <w:color w:val="000000"/>
                <w:szCs w:val="24"/>
              </w:rPr>
              <w:t>Query alert CW</w:t>
            </w:r>
            <w:r>
              <w:rPr>
                <w:rFonts w:cs="Calibri"/>
                <w:color w:val="000000"/>
                <w:szCs w:val="24"/>
              </w:rPr>
              <w:t>C staff of PR wage receipt, so S</w:t>
            </w:r>
            <w:r w:rsidRPr="00E00121">
              <w:rPr>
                <w:rFonts w:cs="Calibri"/>
                <w:color w:val="000000"/>
                <w:szCs w:val="24"/>
              </w:rPr>
              <w:t>taff can provide correct IB5 charge liability notification to all participating other states. (workaround)</w:t>
            </w:r>
          </w:p>
        </w:tc>
      </w:tr>
      <w:tr w:rsidR="00E23F37" w:rsidRPr="001C17DF" w14:paraId="2E168328" w14:textId="77777777" w:rsidTr="00E23F37">
        <w:trPr>
          <w:trHeight w:val="588"/>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0886E99E" w14:textId="20C9B2BD" w:rsidR="00E23F37" w:rsidRPr="00D85916" w:rsidRDefault="00E23F37" w:rsidP="00E23F37">
            <w:pPr>
              <w:spacing w:after="0"/>
              <w:ind w:left="0"/>
              <w:jc w:val="center"/>
              <w:rPr>
                <w:rFonts w:cs="Calibri"/>
                <w:color w:val="000000"/>
                <w:szCs w:val="24"/>
              </w:rPr>
            </w:pPr>
            <w:r>
              <w:t>6</w:t>
            </w:r>
          </w:p>
        </w:tc>
        <w:tc>
          <w:tcPr>
            <w:tcW w:w="1627" w:type="dxa"/>
            <w:tcBorders>
              <w:top w:val="nil"/>
              <w:left w:val="nil"/>
              <w:bottom w:val="single" w:sz="8" w:space="0" w:color="000000"/>
              <w:right w:val="single" w:sz="8" w:space="0" w:color="000000"/>
            </w:tcBorders>
            <w:shd w:val="clear" w:color="auto" w:fill="auto"/>
            <w:noWrap/>
            <w:vAlign w:val="center"/>
            <w:hideMark/>
          </w:tcPr>
          <w:p w14:paraId="3ABD1576" w14:textId="77777777" w:rsidR="00E23F37" w:rsidRPr="00D85916" w:rsidRDefault="00E23F37" w:rsidP="00E23F37">
            <w:pPr>
              <w:spacing w:after="0"/>
              <w:ind w:left="0"/>
              <w:rPr>
                <w:rFonts w:cs="Calibri"/>
                <w:color w:val="000000"/>
                <w:szCs w:val="24"/>
              </w:rPr>
            </w:pPr>
            <w:r w:rsidRPr="00D85916">
              <w:rPr>
                <w:rFonts w:cs="Calibri"/>
                <w:color w:val="000000"/>
                <w:szCs w:val="24"/>
              </w:rPr>
              <w:t>Daily</w:t>
            </w:r>
          </w:p>
        </w:tc>
        <w:tc>
          <w:tcPr>
            <w:tcW w:w="1800" w:type="dxa"/>
            <w:tcBorders>
              <w:top w:val="nil"/>
              <w:left w:val="nil"/>
              <w:bottom w:val="single" w:sz="8" w:space="0" w:color="000000"/>
              <w:right w:val="single" w:sz="8" w:space="0" w:color="000000"/>
            </w:tcBorders>
            <w:shd w:val="clear" w:color="auto" w:fill="auto"/>
            <w:vAlign w:val="center"/>
            <w:hideMark/>
          </w:tcPr>
          <w:p w14:paraId="02ED1927" w14:textId="77777777" w:rsidR="00E23F37" w:rsidRPr="00D85916" w:rsidRDefault="00E23F37" w:rsidP="00E23F37">
            <w:pPr>
              <w:spacing w:after="0"/>
              <w:ind w:left="0"/>
              <w:rPr>
                <w:rFonts w:cs="Calibri"/>
                <w:color w:val="000000"/>
                <w:szCs w:val="24"/>
              </w:rPr>
            </w:pPr>
            <w:r w:rsidRPr="00D85916">
              <w:rPr>
                <w:rFonts w:cs="Calibri"/>
                <w:color w:val="000000"/>
                <w:szCs w:val="24"/>
              </w:rPr>
              <w:t>Dets suppressing wages on CWC</w:t>
            </w:r>
          </w:p>
        </w:tc>
        <w:tc>
          <w:tcPr>
            <w:tcW w:w="7071" w:type="dxa"/>
            <w:tcBorders>
              <w:top w:val="nil"/>
              <w:left w:val="nil"/>
              <w:bottom w:val="single" w:sz="8" w:space="0" w:color="000000"/>
              <w:right w:val="single" w:sz="8" w:space="0" w:color="000000"/>
            </w:tcBorders>
            <w:shd w:val="clear" w:color="auto" w:fill="auto"/>
            <w:vAlign w:val="center"/>
            <w:hideMark/>
          </w:tcPr>
          <w:p w14:paraId="5CEA9301" w14:textId="617BF06B" w:rsidR="00E23F37" w:rsidRPr="00007760" w:rsidRDefault="00E00121" w:rsidP="00E23F37">
            <w:pPr>
              <w:spacing w:after="0"/>
              <w:ind w:left="0"/>
              <w:rPr>
                <w:rFonts w:cs="Calibri"/>
                <w:color w:val="000000"/>
                <w:szCs w:val="24"/>
              </w:rPr>
            </w:pPr>
            <w:r w:rsidRPr="00E00121">
              <w:rPr>
                <w:rFonts w:cs="Calibri"/>
                <w:color w:val="000000"/>
                <w:szCs w:val="24"/>
              </w:rPr>
              <w:t>Alerts CWC of suppression determination that affect the IB5 charge liability amounts and notification to all participating states</w:t>
            </w:r>
          </w:p>
        </w:tc>
      </w:tr>
      <w:tr w:rsidR="00E23F37" w:rsidRPr="001C17DF" w14:paraId="451D7288" w14:textId="77777777" w:rsidTr="00E23F37">
        <w:trPr>
          <w:trHeight w:val="588"/>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30B24E54" w14:textId="0589F60B" w:rsidR="00E23F37" w:rsidRPr="00D85916" w:rsidRDefault="00E23F37" w:rsidP="00E23F37">
            <w:pPr>
              <w:spacing w:after="0"/>
              <w:ind w:left="0"/>
              <w:jc w:val="center"/>
              <w:rPr>
                <w:rFonts w:cs="Calibri"/>
                <w:color w:val="000000"/>
                <w:szCs w:val="24"/>
              </w:rPr>
            </w:pPr>
            <w:r>
              <w:rPr>
                <w:color w:val="000000"/>
              </w:rPr>
              <w:t>7</w:t>
            </w:r>
          </w:p>
        </w:tc>
        <w:tc>
          <w:tcPr>
            <w:tcW w:w="1627" w:type="dxa"/>
            <w:tcBorders>
              <w:top w:val="nil"/>
              <w:left w:val="nil"/>
              <w:bottom w:val="single" w:sz="8" w:space="0" w:color="000000"/>
              <w:right w:val="single" w:sz="8" w:space="0" w:color="000000"/>
            </w:tcBorders>
            <w:shd w:val="clear" w:color="auto" w:fill="auto"/>
            <w:noWrap/>
            <w:vAlign w:val="center"/>
            <w:hideMark/>
          </w:tcPr>
          <w:p w14:paraId="4373BA37" w14:textId="77777777" w:rsidR="00E23F37" w:rsidRPr="00D85916" w:rsidRDefault="00E23F37" w:rsidP="00E23F37">
            <w:pPr>
              <w:spacing w:after="0"/>
              <w:ind w:left="0"/>
              <w:rPr>
                <w:rFonts w:cs="Calibri"/>
                <w:color w:val="000000"/>
                <w:szCs w:val="24"/>
              </w:rPr>
            </w:pPr>
            <w:r w:rsidRPr="00D85916">
              <w:rPr>
                <w:rFonts w:cs="Calibri"/>
                <w:color w:val="000000"/>
                <w:szCs w:val="24"/>
              </w:rPr>
              <w:t>Daily</w:t>
            </w:r>
          </w:p>
        </w:tc>
        <w:tc>
          <w:tcPr>
            <w:tcW w:w="1800" w:type="dxa"/>
            <w:tcBorders>
              <w:top w:val="nil"/>
              <w:left w:val="nil"/>
              <w:bottom w:val="single" w:sz="8" w:space="0" w:color="000000"/>
              <w:right w:val="single" w:sz="8" w:space="0" w:color="000000"/>
            </w:tcBorders>
            <w:shd w:val="clear" w:color="auto" w:fill="auto"/>
            <w:vAlign w:val="center"/>
            <w:hideMark/>
          </w:tcPr>
          <w:p w14:paraId="49BBB7AE" w14:textId="77777777" w:rsidR="00E23F37" w:rsidRPr="00D85916" w:rsidRDefault="00E23F37" w:rsidP="00E23F37">
            <w:pPr>
              <w:spacing w:after="0"/>
              <w:ind w:left="0"/>
              <w:rPr>
                <w:rFonts w:cs="Calibri"/>
                <w:color w:val="000000"/>
                <w:szCs w:val="24"/>
              </w:rPr>
            </w:pPr>
            <w:r w:rsidRPr="00D85916">
              <w:rPr>
                <w:rFonts w:cs="Calibri"/>
                <w:color w:val="000000"/>
                <w:szCs w:val="24"/>
              </w:rPr>
              <w:t>VINET</w:t>
            </w:r>
          </w:p>
        </w:tc>
        <w:tc>
          <w:tcPr>
            <w:tcW w:w="7071" w:type="dxa"/>
            <w:tcBorders>
              <w:top w:val="nil"/>
              <w:left w:val="nil"/>
              <w:bottom w:val="single" w:sz="8" w:space="0" w:color="000000"/>
              <w:right w:val="single" w:sz="8" w:space="0" w:color="000000"/>
            </w:tcBorders>
            <w:shd w:val="clear" w:color="auto" w:fill="auto"/>
            <w:vAlign w:val="center"/>
            <w:hideMark/>
          </w:tcPr>
          <w:p w14:paraId="41827709" w14:textId="3666B385" w:rsidR="00E23F37" w:rsidRPr="00D85916" w:rsidRDefault="00E23F37" w:rsidP="00C8224A">
            <w:pPr>
              <w:spacing w:after="0"/>
              <w:ind w:left="0"/>
              <w:rPr>
                <w:rFonts w:cs="Calibri"/>
                <w:color w:val="000000"/>
                <w:szCs w:val="24"/>
              </w:rPr>
            </w:pPr>
            <w:r w:rsidRPr="00D85916">
              <w:rPr>
                <w:rFonts w:cs="Calibri"/>
                <w:color w:val="000000"/>
                <w:szCs w:val="24"/>
              </w:rPr>
              <w:t xml:space="preserve">Claims or Payment request that </w:t>
            </w:r>
            <w:r>
              <w:rPr>
                <w:rFonts w:cs="Calibri"/>
                <w:color w:val="000000"/>
                <w:szCs w:val="24"/>
              </w:rPr>
              <w:t>did not transfer from the INET holding tables to the benefits system for processing</w:t>
            </w:r>
            <w:r w:rsidR="00C8224A">
              <w:rPr>
                <w:rFonts w:cs="Calibri"/>
                <w:color w:val="000000"/>
                <w:szCs w:val="24"/>
              </w:rPr>
              <w:t xml:space="preserve"> </w:t>
            </w:r>
            <w:r>
              <w:rPr>
                <w:rFonts w:cs="Calibri"/>
                <w:color w:val="000000"/>
                <w:szCs w:val="24"/>
              </w:rPr>
              <w:t>(Identifies breaks in workflow)</w:t>
            </w:r>
          </w:p>
        </w:tc>
      </w:tr>
      <w:tr w:rsidR="00E23F37" w:rsidRPr="001C17DF" w14:paraId="1913C048" w14:textId="77777777" w:rsidTr="00E23F37">
        <w:trPr>
          <w:trHeight w:val="300"/>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15BF9237" w14:textId="50C5D43F" w:rsidR="00E23F37" w:rsidRPr="00D85916" w:rsidRDefault="00E23F37" w:rsidP="00E23F37">
            <w:pPr>
              <w:spacing w:after="0"/>
              <w:ind w:left="0"/>
              <w:jc w:val="center"/>
              <w:rPr>
                <w:rFonts w:cs="Calibri"/>
                <w:color w:val="000000"/>
                <w:szCs w:val="24"/>
              </w:rPr>
            </w:pPr>
            <w:r>
              <w:t>8</w:t>
            </w:r>
          </w:p>
        </w:tc>
        <w:tc>
          <w:tcPr>
            <w:tcW w:w="1627" w:type="dxa"/>
            <w:tcBorders>
              <w:top w:val="nil"/>
              <w:left w:val="nil"/>
              <w:bottom w:val="single" w:sz="8" w:space="0" w:color="000000"/>
              <w:right w:val="single" w:sz="8" w:space="0" w:color="000000"/>
            </w:tcBorders>
            <w:shd w:val="clear" w:color="auto" w:fill="auto"/>
            <w:noWrap/>
            <w:vAlign w:val="center"/>
            <w:hideMark/>
          </w:tcPr>
          <w:p w14:paraId="71591468" w14:textId="77777777" w:rsidR="00E23F37" w:rsidRPr="00D85916" w:rsidRDefault="00E23F37" w:rsidP="00E23F37">
            <w:pPr>
              <w:spacing w:after="0"/>
              <w:ind w:left="0"/>
              <w:rPr>
                <w:rFonts w:cs="Calibri"/>
                <w:color w:val="000000"/>
                <w:szCs w:val="24"/>
              </w:rPr>
            </w:pPr>
            <w:r w:rsidRPr="00D85916">
              <w:rPr>
                <w:rFonts w:cs="Calibri"/>
                <w:color w:val="000000"/>
                <w:szCs w:val="24"/>
              </w:rPr>
              <w:t>Daily</w:t>
            </w:r>
          </w:p>
        </w:tc>
        <w:tc>
          <w:tcPr>
            <w:tcW w:w="1800" w:type="dxa"/>
            <w:tcBorders>
              <w:top w:val="nil"/>
              <w:left w:val="nil"/>
              <w:bottom w:val="single" w:sz="8" w:space="0" w:color="000000"/>
              <w:right w:val="single" w:sz="8" w:space="0" w:color="000000"/>
            </w:tcBorders>
            <w:shd w:val="clear" w:color="auto" w:fill="auto"/>
            <w:vAlign w:val="center"/>
            <w:hideMark/>
          </w:tcPr>
          <w:p w14:paraId="0170BE1D" w14:textId="77777777" w:rsidR="00E23F37" w:rsidRPr="00D85916" w:rsidRDefault="00E23F37" w:rsidP="00E23F37">
            <w:pPr>
              <w:spacing w:after="0"/>
              <w:ind w:left="0"/>
              <w:rPr>
                <w:rFonts w:cs="Calibri"/>
                <w:color w:val="000000"/>
                <w:szCs w:val="24"/>
              </w:rPr>
            </w:pPr>
            <w:r w:rsidRPr="00D85916">
              <w:rPr>
                <w:rFonts w:cs="Calibri"/>
                <w:color w:val="000000"/>
                <w:szCs w:val="24"/>
              </w:rPr>
              <w:t>Transitional - Gap Claim</w:t>
            </w:r>
          </w:p>
        </w:tc>
        <w:tc>
          <w:tcPr>
            <w:tcW w:w="7071" w:type="dxa"/>
            <w:tcBorders>
              <w:top w:val="nil"/>
              <w:left w:val="nil"/>
              <w:bottom w:val="single" w:sz="8" w:space="0" w:color="000000"/>
              <w:right w:val="single" w:sz="8" w:space="0" w:color="000000"/>
            </w:tcBorders>
            <w:shd w:val="clear" w:color="auto" w:fill="auto"/>
            <w:vAlign w:val="center"/>
            <w:hideMark/>
          </w:tcPr>
          <w:p w14:paraId="5D3A1A67" w14:textId="67E97A7C" w:rsidR="00E23F37" w:rsidRPr="00D85916" w:rsidRDefault="00E23F37" w:rsidP="00E23F37">
            <w:pPr>
              <w:spacing w:after="0"/>
              <w:ind w:left="0"/>
              <w:rPr>
                <w:rFonts w:cs="Calibri"/>
                <w:color w:val="000000"/>
                <w:szCs w:val="24"/>
              </w:rPr>
            </w:pPr>
            <w:r w:rsidRPr="00D85916">
              <w:rPr>
                <w:rFonts w:cs="Calibri"/>
                <w:color w:val="000000"/>
                <w:szCs w:val="24"/>
              </w:rPr>
              <w:t>Create WW/SW for results</w:t>
            </w:r>
            <w:r w:rsidR="00C8224A">
              <w:rPr>
                <w:rFonts w:cs="Calibri"/>
                <w:color w:val="000000"/>
                <w:szCs w:val="24"/>
              </w:rPr>
              <w:t xml:space="preserve"> </w:t>
            </w:r>
            <w:r>
              <w:rPr>
                <w:rFonts w:cs="Calibri"/>
                <w:color w:val="000000"/>
                <w:szCs w:val="24"/>
              </w:rPr>
              <w:t>(Identifies breaks in workflow)</w:t>
            </w:r>
          </w:p>
        </w:tc>
      </w:tr>
      <w:tr w:rsidR="00E23F37" w:rsidRPr="001C17DF" w14:paraId="03E5035F" w14:textId="77777777" w:rsidTr="00E23F37">
        <w:trPr>
          <w:trHeight w:val="300"/>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25C44773" w14:textId="66824253" w:rsidR="00E23F37" w:rsidRPr="00D85916" w:rsidRDefault="00E23F37" w:rsidP="00E23F37">
            <w:pPr>
              <w:spacing w:after="0"/>
              <w:ind w:left="0"/>
              <w:jc w:val="center"/>
              <w:rPr>
                <w:rFonts w:cs="Calibri"/>
                <w:color w:val="000000"/>
                <w:szCs w:val="24"/>
              </w:rPr>
            </w:pPr>
            <w:r>
              <w:rPr>
                <w:color w:val="000000"/>
              </w:rPr>
              <w:t>9</w:t>
            </w:r>
          </w:p>
        </w:tc>
        <w:tc>
          <w:tcPr>
            <w:tcW w:w="1627" w:type="dxa"/>
            <w:tcBorders>
              <w:top w:val="nil"/>
              <w:left w:val="nil"/>
              <w:bottom w:val="single" w:sz="8" w:space="0" w:color="000000"/>
              <w:right w:val="single" w:sz="8" w:space="0" w:color="000000"/>
            </w:tcBorders>
            <w:shd w:val="clear" w:color="auto" w:fill="auto"/>
            <w:noWrap/>
            <w:vAlign w:val="center"/>
            <w:hideMark/>
          </w:tcPr>
          <w:p w14:paraId="75F5D094" w14:textId="77777777" w:rsidR="00E23F37" w:rsidRPr="00D85916" w:rsidRDefault="00E23F37" w:rsidP="00E23F37">
            <w:pPr>
              <w:spacing w:after="0"/>
              <w:ind w:left="0"/>
              <w:rPr>
                <w:rFonts w:cs="Calibri"/>
                <w:color w:val="000000"/>
                <w:szCs w:val="24"/>
              </w:rPr>
            </w:pPr>
            <w:r w:rsidRPr="00D85916">
              <w:rPr>
                <w:rFonts w:cs="Calibri"/>
                <w:color w:val="000000"/>
                <w:szCs w:val="24"/>
              </w:rPr>
              <w:t>Daily</w:t>
            </w:r>
          </w:p>
        </w:tc>
        <w:tc>
          <w:tcPr>
            <w:tcW w:w="1800" w:type="dxa"/>
            <w:tcBorders>
              <w:top w:val="nil"/>
              <w:left w:val="nil"/>
              <w:bottom w:val="single" w:sz="8" w:space="0" w:color="000000"/>
              <w:right w:val="single" w:sz="8" w:space="0" w:color="000000"/>
            </w:tcBorders>
            <w:shd w:val="clear" w:color="auto" w:fill="auto"/>
            <w:vAlign w:val="center"/>
            <w:hideMark/>
          </w:tcPr>
          <w:p w14:paraId="724FBABE" w14:textId="77777777" w:rsidR="00E23F37" w:rsidRPr="00D85916" w:rsidRDefault="00E23F37" w:rsidP="00E23F37">
            <w:pPr>
              <w:spacing w:after="0"/>
              <w:ind w:left="0"/>
              <w:rPr>
                <w:rFonts w:cs="Calibri"/>
                <w:color w:val="000000"/>
                <w:szCs w:val="24"/>
              </w:rPr>
            </w:pPr>
            <w:r w:rsidRPr="00D85916">
              <w:rPr>
                <w:rFonts w:cs="Calibri"/>
                <w:color w:val="000000"/>
                <w:szCs w:val="24"/>
              </w:rPr>
              <w:t>2 Waiting Weeks</w:t>
            </w:r>
          </w:p>
        </w:tc>
        <w:tc>
          <w:tcPr>
            <w:tcW w:w="7071" w:type="dxa"/>
            <w:tcBorders>
              <w:top w:val="nil"/>
              <w:left w:val="nil"/>
              <w:bottom w:val="single" w:sz="8" w:space="0" w:color="000000"/>
              <w:right w:val="single" w:sz="8" w:space="0" w:color="000000"/>
            </w:tcBorders>
            <w:shd w:val="clear" w:color="auto" w:fill="auto"/>
            <w:vAlign w:val="center"/>
            <w:hideMark/>
          </w:tcPr>
          <w:p w14:paraId="77BC0A53" w14:textId="7FC0FB5A" w:rsidR="00E23F37" w:rsidRPr="00D85916" w:rsidRDefault="00E23F37" w:rsidP="00E23F37">
            <w:pPr>
              <w:spacing w:after="0"/>
              <w:ind w:left="0"/>
              <w:rPr>
                <w:rFonts w:cs="Calibri"/>
                <w:color w:val="000000"/>
                <w:szCs w:val="24"/>
              </w:rPr>
            </w:pPr>
            <w:r w:rsidRPr="00D85916">
              <w:rPr>
                <w:rFonts w:cs="Calibri"/>
                <w:color w:val="000000"/>
                <w:szCs w:val="24"/>
              </w:rPr>
              <w:t>Report listing those individuals who have 2 or more waiting weeks awaiting payment</w:t>
            </w:r>
            <w:r w:rsidR="00C8224A">
              <w:rPr>
                <w:rFonts w:cs="Calibri"/>
                <w:color w:val="000000"/>
                <w:szCs w:val="24"/>
              </w:rPr>
              <w:t xml:space="preserve"> </w:t>
            </w:r>
            <w:r>
              <w:rPr>
                <w:rFonts w:cs="Calibri"/>
                <w:color w:val="000000"/>
                <w:szCs w:val="24"/>
              </w:rPr>
              <w:t>(Identifies breaks in workflow)</w:t>
            </w:r>
          </w:p>
        </w:tc>
      </w:tr>
      <w:tr w:rsidR="00E23F37" w:rsidRPr="001C17DF" w14:paraId="3D7F5955" w14:textId="77777777" w:rsidTr="00E23F37">
        <w:trPr>
          <w:trHeight w:val="300"/>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03BF18AD" w14:textId="1E6DFCF1" w:rsidR="00E23F37" w:rsidRPr="00D85916" w:rsidRDefault="00E23F37" w:rsidP="00E23F37">
            <w:pPr>
              <w:spacing w:after="0"/>
              <w:ind w:left="0"/>
              <w:jc w:val="center"/>
              <w:rPr>
                <w:rFonts w:cs="Calibri"/>
                <w:color w:val="000000"/>
                <w:szCs w:val="24"/>
              </w:rPr>
            </w:pPr>
            <w:r>
              <w:t>10</w:t>
            </w:r>
          </w:p>
        </w:tc>
        <w:tc>
          <w:tcPr>
            <w:tcW w:w="1627" w:type="dxa"/>
            <w:tcBorders>
              <w:top w:val="nil"/>
              <w:left w:val="nil"/>
              <w:bottom w:val="single" w:sz="8" w:space="0" w:color="000000"/>
              <w:right w:val="single" w:sz="8" w:space="0" w:color="000000"/>
            </w:tcBorders>
            <w:shd w:val="clear" w:color="auto" w:fill="auto"/>
            <w:noWrap/>
            <w:vAlign w:val="center"/>
            <w:hideMark/>
          </w:tcPr>
          <w:p w14:paraId="55224B0F" w14:textId="77777777" w:rsidR="00E23F37" w:rsidRPr="00D85916" w:rsidRDefault="00E23F37" w:rsidP="00E23F37">
            <w:pPr>
              <w:spacing w:after="0"/>
              <w:ind w:left="0"/>
              <w:rPr>
                <w:rFonts w:cs="Calibri"/>
                <w:color w:val="000000"/>
                <w:szCs w:val="24"/>
              </w:rPr>
            </w:pPr>
            <w:r w:rsidRPr="00D85916">
              <w:rPr>
                <w:rFonts w:cs="Calibri"/>
                <w:color w:val="000000"/>
                <w:szCs w:val="24"/>
              </w:rPr>
              <w:t>Daily</w:t>
            </w:r>
          </w:p>
        </w:tc>
        <w:tc>
          <w:tcPr>
            <w:tcW w:w="1800" w:type="dxa"/>
            <w:tcBorders>
              <w:top w:val="nil"/>
              <w:left w:val="nil"/>
              <w:bottom w:val="single" w:sz="8" w:space="0" w:color="000000"/>
              <w:right w:val="single" w:sz="8" w:space="0" w:color="000000"/>
            </w:tcBorders>
            <w:shd w:val="clear" w:color="auto" w:fill="auto"/>
            <w:vAlign w:val="center"/>
            <w:hideMark/>
          </w:tcPr>
          <w:p w14:paraId="1FA670B8" w14:textId="77777777" w:rsidR="00E23F37" w:rsidRPr="00D85916" w:rsidRDefault="00E23F37" w:rsidP="00E23F37">
            <w:pPr>
              <w:spacing w:after="0"/>
              <w:ind w:left="0"/>
              <w:rPr>
                <w:rFonts w:cs="Calibri"/>
                <w:color w:val="000000"/>
                <w:szCs w:val="24"/>
              </w:rPr>
            </w:pPr>
            <w:r w:rsidRPr="00D85916">
              <w:rPr>
                <w:rFonts w:cs="Calibri"/>
                <w:color w:val="000000"/>
                <w:szCs w:val="24"/>
              </w:rPr>
              <w:t>2 Waiting Weeks DUA</w:t>
            </w:r>
          </w:p>
        </w:tc>
        <w:tc>
          <w:tcPr>
            <w:tcW w:w="7071" w:type="dxa"/>
            <w:tcBorders>
              <w:top w:val="nil"/>
              <w:left w:val="nil"/>
              <w:bottom w:val="single" w:sz="8" w:space="0" w:color="000000"/>
              <w:right w:val="single" w:sz="8" w:space="0" w:color="000000"/>
            </w:tcBorders>
            <w:shd w:val="clear" w:color="auto" w:fill="auto"/>
            <w:vAlign w:val="center"/>
            <w:hideMark/>
          </w:tcPr>
          <w:p w14:paraId="4F3EF665" w14:textId="3F27FEA9" w:rsidR="00E23F37" w:rsidRPr="00D85916" w:rsidRDefault="00E23F37" w:rsidP="00E23F37">
            <w:pPr>
              <w:spacing w:after="0"/>
              <w:ind w:left="0"/>
              <w:rPr>
                <w:rFonts w:cs="Calibri"/>
                <w:color w:val="000000"/>
                <w:szCs w:val="24"/>
              </w:rPr>
            </w:pPr>
            <w:r w:rsidRPr="00D85916">
              <w:rPr>
                <w:rFonts w:cs="Calibri"/>
                <w:color w:val="000000"/>
                <w:szCs w:val="24"/>
              </w:rPr>
              <w:t>Report listing those individuals who have 2 or more DUA waiting weeks awaiting payment</w:t>
            </w:r>
            <w:r w:rsidR="00C8224A">
              <w:rPr>
                <w:rFonts w:cs="Calibri"/>
                <w:color w:val="000000"/>
                <w:szCs w:val="24"/>
              </w:rPr>
              <w:t xml:space="preserve"> </w:t>
            </w:r>
            <w:r>
              <w:rPr>
                <w:rFonts w:cs="Calibri"/>
                <w:color w:val="000000"/>
                <w:szCs w:val="24"/>
              </w:rPr>
              <w:t>(Identifies breaks in workflow)</w:t>
            </w:r>
          </w:p>
        </w:tc>
      </w:tr>
      <w:tr w:rsidR="00E23F37" w:rsidRPr="001C17DF" w14:paraId="5CCA7668" w14:textId="77777777" w:rsidTr="00E23F37">
        <w:trPr>
          <w:trHeight w:val="300"/>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5992E725" w14:textId="570B5DA5" w:rsidR="00E23F37" w:rsidRPr="00D85916" w:rsidRDefault="00E23F37" w:rsidP="00E23F37">
            <w:pPr>
              <w:spacing w:after="0"/>
              <w:ind w:left="0"/>
              <w:jc w:val="center"/>
              <w:rPr>
                <w:rFonts w:cs="Calibri"/>
                <w:color w:val="000000"/>
                <w:szCs w:val="24"/>
              </w:rPr>
            </w:pPr>
            <w:r>
              <w:rPr>
                <w:color w:val="000000"/>
              </w:rPr>
              <w:t>11</w:t>
            </w:r>
          </w:p>
        </w:tc>
        <w:tc>
          <w:tcPr>
            <w:tcW w:w="1627" w:type="dxa"/>
            <w:tcBorders>
              <w:top w:val="nil"/>
              <w:left w:val="nil"/>
              <w:bottom w:val="single" w:sz="8" w:space="0" w:color="000000"/>
              <w:right w:val="single" w:sz="8" w:space="0" w:color="000000"/>
            </w:tcBorders>
            <w:shd w:val="clear" w:color="auto" w:fill="auto"/>
            <w:noWrap/>
            <w:vAlign w:val="center"/>
            <w:hideMark/>
          </w:tcPr>
          <w:p w14:paraId="73BA6B67" w14:textId="77777777" w:rsidR="00E23F37" w:rsidRPr="00D85916" w:rsidRDefault="00E23F37" w:rsidP="00E23F37">
            <w:pPr>
              <w:spacing w:after="0"/>
              <w:ind w:left="0"/>
              <w:rPr>
                <w:rFonts w:cs="Calibri"/>
                <w:color w:val="000000"/>
                <w:szCs w:val="24"/>
              </w:rPr>
            </w:pPr>
            <w:r w:rsidRPr="00D85916">
              <w:rPr>
                <w:rFonts w:cs="Calibri"/>
                <w:color w:val="000000"/>
                <w:szCs w:val="24"/>
              </w:rPr>
              <w:t>Daily</w:t>
            </w:r>
          </w:p>
        </w:tc>
        <w:tc>
          <w:tcPr>
            <w:tcW w:w="1800" w:type="dxa"/>
            <w:tcBorders>
              <w:top w:val="nil"/>
              <w:left w:val="nil"/>
              <w:bottom w:val="single" w:sz="8" w:space="0" w:color="000000"/>
              <w:right w:val="single" w:sz="8" w:space="0" w:color="000000"/>
            </w:tcBorders>
            <w:shd w:val="clear" w:color="auto" w:fill="auto"/>
            <w:vAlign w:val="center"/>
            <w:hideMark/>
          </w:tcPr>
          <w:p w14:paraId="51B73D03" w14:textId="77777777" w:rsidR="00E23F37" w:rsidRPr="00D85916" w:rsidRDefault="00E23F37" w:rsidP="00E23F37">
            <w:pPr>
              <w:spacing w:after="0"/>
              <w:ind w:left="0"/>
              <w:rPr>
                <w:rFonts w:cs="Calibri"/>
                <w:color w:val="000000"/>
                <w:szCs w:val="24"/>
              </w:rPr>
            </w:pPr>
            <w:r w:rsidRPr="00D85916">
              <w:rPr>
                <w:rFonts w:cs="Calibri"/>
                <w:color w:val="000000"/>
                <w:szCs w:val="24"/>
              </w:rPr>
              <w:t>Save Alien KSK</w:t>
            </w:r>
          </w:p>
        </w:tc>
        <w:tc>
          <w:tcPr>
            <w:tcW w:w="7071" w:type="dxa"/>
            <w:tcBorders>
              <w:top w:val="nil"/>
              <w:left w:val="nil"/>
              <w:bottom w:val="single" w:sz="8" w:space="0" w:color="000000"/>
              <w:right w:val="single" w:sz="8" w:space="0" w:color="000000"/>
            </w:tcBorders>
            <w:shd w:val="clear" w:color="auto" w:fill="auto"/>
            <w:vAlign w:val="center"/>
            <w:hideMark/>
          </w:tcPr>
          <w:p w14:paraId="7DAC79D2" w14:textId="0376A1B0" w:rsidR="00E23F37" w:rsidRPr="00D85916" w:rsidRDefault="00E23F37" w:rsidP="00E23F37">
            <w:pPr>
              <w:spacing w:after="0"/>
              <w:ind w:left="0"/>
              <w:rPr>
                <w:rFonts w:cs="Calibri"/>
                <w:color w:val="000000"/>
                <w:szCs w:val="24"/>
              </w:rPr>
            </w:pPr>
            <w:r w:rsidRPr="00D85916">
              <w:rPr>
                <w:rFonts w:cs="Calibri"/>
                <w:color w:val="000000"/>
                <w:szCs w:val="24"/>
              </w:rPr>
              <w:t xml:space="preserve">Alien ID information collected from </w:t>
            </w:r>
            <w:r>
              <w:rPr>
                <w:rFonts w:cs="Calibri"/>
                <w:color w:val="000000"/>
                <w:szCs w:val="24"/>
              </w:rPr>
              <w:t>Claimants</w:t>
            </w:r>
            <w:r w:rsidRPr="00D85916">
              <w:rPr>
                <w:rFonts w:cs="Calibri"/>
                <w:color w:val="000000"/>
                <w:szCs w:val="24"/>
              </w:rPr>
              <w:t xml:space="preserve"> that does not match the necessary format for transmission to SAVE</w:t>
            </w:r>
            <w:r w:rsidR="00C8224A">
              <w:rPr>
                <w:rFonts w:cs="Calibri"/>
                <w:color w:val="000000"/>
                <w:szCs w:val="24"/>
              </w:rPr>
              <w:t xml:space="preserve"> </w:t>
            </w:r>
            <w:r>
              <w:rPr>
                <w:rFonts w:cs="Calibri"/>
                <w:color w:val="000000"/>
                <w:szCs w:val="24"/>
              </w:rPr>
              <w:t>(identifies formatting/data issues)</w:t>
            </w:r>
          </w:p>
        </w:tc>
      </w:tr>
      <w:tr w:rsidR="00E23F37" w:rsidRPr="001C17DF" w14:paraId="0B9AA343" w14:textId="77777777" w:rsidTr="00E23F37">
        <w:trPr>
          <w:trHeight w:val="300"/>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5E2D5D34" w14:textId="2A71B3BE" w:rsidR="00E23F37" w:rsidRPr="00D85916" w:rsidRDefault="00E23F37" w:rsidP="00E23F37">
            <w:pPr>
              <w:spacing w:after="0"/>
              <w:ind w:left="0"/>
              <w:jc w:val="center"/>
              <w:rPr>
                <w:rFonts w:cs="Calibri"/>
                <w:color w:val="000000"/>
                <w:szCs w:val="24"/>
              </w:rPr>
            </w:pPr>
            <w:r>
              <w:t>12</w:t>
            </w:r>
          </w:p>
        </w:tc>
        <w:tc>
          <w:tcPr>
            <w:tcW w:w="1627" w:type="dxa"/>
            <w:tcBorders>
              <w:top w:val="nil"/>
              <w:left w:val="nil"/>
              <w:bottom w:val="single" w:sz="8" w:space="0" w:color="000000"/>
              <w:right w:val="single" w:sz="8" w:space="0" w:color="000000"/>
            </w:tcBorders>
            <w:shd w:val="clear" w:color="auto" w:fill="auto"/>
            <w:noWrap/>
            <w:vAlign w:val="center"/>
            <w:hideMark/>
          </w:tcPr>
          <w:p w14:paraId="0D5D838A" w14:textId="77777777" w:rsidR="00E23F37" w:rsidRPr="00D85916" w:rsidRDefault="00E23F37" w:rsidP="00E23F37">
            <w:pPr>
              <w:spacing w:after="0"/>
              <w:ind w:left="0"/>
              <w:rPr>
                <w:rFonts w:cs="Calibri"/>
                <w:color w:val="000000"/>
                <w:szCs w:val="24"/>
              </w:rPr>
            </w:pPr>
            <w:r w:rsidRPr="00D85916">
              <w:rPr>
                <w:rFonts w:cs="Calibri"/>
                <w:color w:val="000000"/>
                <w:szCs w:val="24"/>
              </w:rPr>
              <w:t>Daily</w:t>
            </w:r>
          </w:p>
        </w:tc>
        <w:tc>
          <w:tcPr>
            <w:tcW w:w="1800" w:type="dxa"/>
            <w:tcBorders>
              <w:top w:val="nil"/>
              <w:left w:val="nil"/>
              <w:bottom w:val="single" w:sz="8" w:space="0" w:color="000000"/>
              <w:right w:val="single" w:sz="8" w:space="0" w:color="000000"/>
            </w:tcBorders>
            <w:shd w:val="clear" w:color="auto" w:fill="auto"/>
            <w:vAlign w:val="center"/>
            <w:hideMark/>
          </w:tcPr>
          <w:p w14:paraId="578BEAF8" w14:textId="77777777" w:rsidR="00E23F37" w:rsidRPr="00D85916" w:rsidRDefault="00E23F37" w:rsidP="00E23F37">
            <w:pPr>
              <w:spacing w:after="0"/>
              <w:ind w:left="0"/>
              <w:rPr>
                <w:rFonts w:cs="Calibri"/>
                <w:color w:val="000000"/>
                <w:szCs w:val="24"/>
              </w:rPr>
            </w:pPr>
            <w:r w:rsidRPr="00D85916">
              <w:rPr>
                <w:rFonts w:cs="Calibri"/>
                <w:color w:val="000000"/>
                <w:szCs w:val="24"/>
              </w:rPr>
              <w:t>Daily Download</w:t>
            </w:r>
          </w:p>
        </w:tc>
        <w:tc>
          <w:tcPr>
            <w:tcW w:w="7071" w:type="dxa"/>
            <w:tcBorders>
              <w:top w:val="nil"/>
              <w:left w:val="nil"/>
              <w:bottom w:val="single" w:sz="8" w:space="0" w:color="000000"/>
              <w:right w:val="single" w:sz="8" w:space="0" w:color="000000"/>
            </w:tcBorders>
            <w:shd w:val="clear" w:color="auto" w:fill="auto"/>
            <w:vAlign w:val="center"/>
            <w:hideMark/>
          </w:tcPr>
          <w:p w14:paraId="24303AE2" w14:textId="2548274E" w:rsidR="00E00121" w:rsidRPr="00E00121" w:rsidRDefault="00E00121" w:rsidP="00E00121">
            <w:pPr>
              <w:ind w:left="0"/>
              <w:rPr>
                <w:rFonts w:cs="Calibri"/>
                <w:color w:val="000000"/>
                <w:szCs w:val="24"/>
              </w:rPr>
            </w:pPr>
            <w:r w:rsidRPr="00E00121">
              <w:rPr>
                <w:rFonts w:cs="Calibri"/>
                <w:color w:val="000000"/>
                <w:szCs w:val="24"/>
              </w:rPr>
              <w:t xml:space="preserve">Used by </w:t>
            </w:r>
            <w:r>
              <w:rPr>
                <w:rFonts w:cs="Calibri"/>
                <w:color w:val="000000"/>
                <w:szCs w:val="24"/>
              </w:rPr>
              <w:t>v</w:t>
            </w:r>
            <w:r w:rsidRPr="00E00121">
              <w:rPr>
                <w:rFonts w:cs="Calibri"/>
                <w:color w:val="000000"/>
                <w:szCs w:val="24"/>
              </w:rPr>
              <w:t xml:space="preserve">arious </w:t>
            </w:r>
            <w:r>
              <w:rPr>
                <w:rFonts w:cs="Calibri"/>
                <w:color w:val="000000"/>
                <w:szCs w:val="24"/>
              </w:rPr>
              <w:t>s</w:t>
            </w:r>
            <w:r w:rsidRPr="00E00121">
              <w:rPr>
                <w:rFonts w:cs="Calibri"/>
                <w:color w:val="000000"/>
                <w:szCs w:val="24"/>
              </w:rPr>
              <w:t xml:space="preserve">pecial </w:t>
            </w:r>
            <w:r>
              <w:rPr>
                <w:rFonts w:cs="Calibri"/>
                <w:color w:val="000000"/>
                <w:szCs w:val="24"/>
              </w:rPr>
              <w:t>programs</w:t>
            </w:r>
          </w:p>
          <w:p w14:paraId="694FC37F" w14:textId="38ED1828" w:rsidR="00E00121" w:rsidRPr="00E00121" w:rsidRDefault="00E00121" w:rsidP="00C6345E">
            <w:pPr>
              <w:numPr>
                <w:ilvl w:val="0"/>
                <w:numId w:val="31"/>
              </w:numPr>
              <w:spacing w:after="0"/>
              <w:ind w:left="0"/>
              <w:rPr>
                <w:rFonts w:cs="Calibri"/>
                <w:color w:val="000000"/>
                <w:szCs w:val="24"/>
                <w:u w:val="single"/>
              </w:rPr>
            </w:pPr>
            <w:r w:rsidRPr="00E00121">
              <w:rPr>
                <w:rFonts w:cs="Calibri"/>
                <w:color w:val="000000"/>
                <w:szCs w:val="24"/>
                <w:u w:val="single"/>
              </w:rPr>
              <w:t>Mass Claims</w:t>
            </w:r>
          </w:p>
          <w:p w14:paraId="340BBF58" w14:textId="77777777" w:rsidR="00E00121" w:rsidRPr="00E00121" w:rsidRDefault="00E00121" w:rsidP="00C6345E">
            <w:pPr>
              <w:numPr>
                <w:ilvl w:val="0"/>
                <w:numId w:val="32"/>
              </w:numPr>
              <w:spacing w:after="0"/>
              <w:ind w:left="360"/>
              <w:rPr>
                <w:rFonts w:cs="Calibri"/>
                <w:color w:val="000000"/>
                <w:szCs w:val="24"/>
              </w:rPr>
            </w:pPr>
            <w:r w:rsidRPr="00E00121">
              <w:rPr>
                <w:rFonts w:cs="Calibri"/>
                <w:color w:val="000000"/>
                <w:szCs w:val="24"/>
              </w:rPr>
              <w:lastRenderedPageBreak/>
              <w:t>Mass Layoff errors: summary list of mass layoff batch errors resulting in claims not being set up</w:t>
            </w:r>
          </w:p>
          <w:p w14:paraId="41B87580" w14:textId="2E7129C1" w:rsidR="00E00121" w:rsidRPr="00E00121" w:rsidRDefault="00E00121" w:rsidP="00C6345E">
            <w:pPr>
              <w:numPr>
                <w:ilvl w:val="0"/>
                <w:numId w:val="31"/>
              </w:numPr>
              <w:spacing w:after="0"/>
              <w:ind w:left="0"/>
              <w:rPr>
                <w:rFonts w:cs="Calibri"/>
                <w:color w:val="000000"/>
                <w:szCs w:val="24"/>
                <w:u w:val="single"/>
              </w:rPr>
            </w:pPr>
            <w:r>
              <w:rPr>
                <w:rFonts w:cs="Calibri"/>
                <w:color w:val="000000"/>
                <w:szCs w:val="24"/>
              </w:rPr>
              <w:br/>
            </w:r>
            <w:r w:rsidRPr="00E00121">
              <w:rPr>
                <w:rFonts w:cs="Calibri"/>
                <w:color w:val="000000"/>
                <w:szCs w:val="24"/>
                <w:u w:val="single"/>
              </w:rPr>
              <w:t>Combined Wages</w:t>
            </w:r>
          </w:p>
          <w:p w14:paraId="5C8083DE" w14:textId="6BB1DA91" w:rsidR="00E00121" w:rsidRPr="00E00121" w:rsidRDefault="00E00121" w:rsidP="00C6345E">
            <w:pPr>
              <w:numPr>
                <w:ilvl w:val="0"/>
                <w:numId w:val="33"/>
              </w:numPr>
              <w:spacing w:after="0"/>
              <w:ind w:left="360"/>
              <w:rPr>
                <w:rFonts w:cs="Calibri"/>
                <w:color w:val="000000"/>
                <w:szCs w:val="24"/>
              </w:rPr>
            </w:pPr>
            <w:r w:rsidRPr="00E00121">
              <w:rPr>
                <w:rFonts w:cs="Calibri"/>
                <w:color w:val="000000"/>
                <w:szCs w:val="24"/>
              </w:rPr>
              <w:t>Return CWC-listed of voided claims with other states wages still attached</w:t>
            </w:r>
          </w:p>
          <w:p w14:paraId="494FC9B8" w14:textId="77777777" w:rsidR="00E00121" w:rsidRPr="00E00121" w:rsidRDefault="00E00121" w:rsidP="00C6345E">
            <w:pPr>
              <w:numPr>
                <w:ilvl w:val="0"/>
                <w:numId w:val="33"/>
              </w:numPr>
              <w:spacing w:after="0"/>
              <w:ind w:left="360"/>
              <w:rPr>
                <w:rFonts w:cs="Calibri"/>
                <w:color w:val="000000"/>
                <w:szCs w:val="24"/>
              </w:rPr>
            </w:pPr>
            <w:r w:rsidRPr="00E00121">
              <w:rPr>
                <w:rFonts w:cs="Calibri"/>
                <w:color w:val="000000"/>
                <w:szCs w:val="24"/>
              </w:rPr>
              <w:t>Federal Wage Request-List of CWC other state request to Fed wages assignable to TX</w:t>
            </w:r>
          </w:p>
          <w:p w14:paraId="14FA6B2B" w14:textId="48A53FE1" w:rsidR="00E00121" w:rsidRPr="00E00121" w:rsidRDefault="00E00121" w:rsidP="00C6345E">
            <w:pPr>
              <w:numPr>
                <w:ilvl w:val="0"/>
                <w:numId w:val="31"/>
              </w:numPr>
              <w:spacing w:after="0"/>
              <w:ind w:left="0"/>
              <w:rPr>
                <w:rFonts w:cs="Calibri"/>
                <w:color w:val="000000"/>
                <w:szCs w:val="24"/>
                <w:u w:val="single"/>
              </w:rPr>
            </w:pPr>
            <w:r>
              <w:rPr>
                <w:rFonts w:cs="Calibri"/>
                <w:color w:val="000000"/>
                <w:szCs w:val="24"/>
              </w:rPr>
              <w:br/>
            </w:r>
            <w:r w:rsidRPr="00E00121">
              <w:rPr>
                <w:rFonts w:cs="Calibri"/>
                <w:color w:val="000000"/>
                <w:szCs w:val="24"/>
                <w:u w:val="single"/>
              </w:rPr>
              <w:t>TRA</w:t>
            </w:r>
          </w:p>
          <w:p w14:paraId="33720BDF" w14:textId="77777777" w:rsidR="00E00121" w:rsidRDefault="00E00121" w:rsidP="00C6345E">
            <w:pPr>
              <w:numPr>
                <w:ilvl w:val="0"/>
                <w:numId w:val="34"/>
              </w:numPr>
              <w:spacing w:after="0"/>
              <w:ind w:left="360"/>
              <w:rPr>
                <w:rFonts w:cs="Calibri"/>
                <w:color w:val="000000"/>
                <w:szCs w:val="24"/>
              </w:rPr>
            </w:pPr>
            <w:r w:rsidRPr="00E00121">
              <w:rPr>
                <w:rFonts w:cs="Calibri"/>
                <w:color w:val="000000"/>
                <w:szCs w:val="24"/>
              </w:rPr>
              <w:t>BNS 205 pulls</w:t>
            </w:r>
          </w:p>
          <w:p w14:paraId="2DC221E2" w14:textId="6EA7B906" w:rsidR="00E23F37" w:rsidRPr="00D85916" w:rsidRDefault="00E00121" w:rsidP="00C6345E">
            <w:pPr>
              <w:numPr>
                <w:ilvl w:val="0"/>
                <w:numId w:val="34"/>
              </w:numPr>
              <w:spacing w:after="0"/>
              <w:ind w:left="360"/>
              <w:rPr>
                <w:rFonts w:cs="Calibri"/>
                <w:color w:val="000000"/>
                <w:szCs w:val="24"/>
              </w:rPr>
            </w:pPr>
            <w:r w:rsidRPr="00E00121">
              <w:rPr>
                <w:rFonts w:cs="Calibri"/>
                <w:color w:val="000000"/>
                <w:szCs w:val="24"/>
              </w:rPr>
              <w:t>ATAA files</w:t>
            </w:r>
          </w:p>
        </w:tc>
      </w:tr>
      <w:tr w:rsidR="00E23F37" w:rsidRPr="001C17DF" w14:paraId="26FEC633" w14:textId="77777777" w:rsidTr="00E23F37">
        <w:trPr>
          <w:trHeight w:val="588"/>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4675F1BE" w14:textId="6BDD8F8F" w:rsidR="00E23F37" w:rsidRPr="00D85916" w:rsidRDefault="00E23F37" w:rsidP="00E23F37">
            <w:pPr>
              <w:spacing w:after="0"/>
              <w:ind w:left="0"/>
              <w:jc w:val="center"/>
              <w:rPr>
                <w:rFonts w:cs="Calibri"/>
                <w:color w:val="000000"/>
                <w:szCs w:val="24"/>
              </w:rPr>
            </w:pPr>
            <w:r>
              <w:rPr>
                <w:color w:val="000000"/>
              </w:rPr>
              <w:lastRenderedPageBreak/>
              <w:t>13</w:t>
            </w:r>
          </w:p>
        </w:tc>
        <w:tc>
          <w:tcPr>
            <w:tcW w:w="1627" w:type="dxa"/>
            <w:tcBorders>
              <w:top w:val="nil"/>
              <w:left w:val="nil"/>
              <w:bottom w:val="single" w:sz="8" w:space="0" w:color="000000"/>
              <w:right w:val="single" w:sz="8" w:space="0" w:color="000000"/>
            </w:tcBorders>
            <w:shd w:val="clear" w:color="auto" w:fill="auto"/>
            <w:noWrap/>
            <w:vAlign w:val="center"/>
            <w:hideMark/>
          </w:tcPr>
          <w:p w14:paraId="35C7ECE7" w14:textId="77777777" w:rsidR="00E23F37" w:rsidRPr="00D85916" w:rsidRDefault="00E23F37" w:rsidP="00E23F37">
            <w:pPr>
              <w:spacing w:after="0"/>
              <w:ind w:left="0"/>
              <w:rPr>
                <w:rFonts w:cs="Calibri"/>
                <w:color w:val="000000"/>
                <w:szCs w:val="24"/>
              </w:rPr>
            </w:pPr>
            <w:r w:rsidRPr="00D85916">
              <w:rPr>
                <w:rFonts w:cs="Calibri"/>
                <w:color w:val="000000"/>
                <w:szCs w:val="24"/>
              </w:rPr>
              <w:t>Daily</w:t>
            </w:r>
          </w:p>
        </w:tc>
        <w:tc>
          <w:tcPr>
            <w:tcW w:w="1800" w:type="dxa"/>
            <w:tcBorders>
              <w:top w:val="nil"/>
              <w:left w:val="nil"/>
              <w:bottom w:val="single" w:sz="8" w:space="0" w:color="000000"/>
              <w:right w:val="single" w:sz="8" w:space="0" w:color="000000"/>
            </w:tcBorders>
            <w:shd w:val="clear" w:color="auto" w:fill="auto"/>
            <w:vAlign w:val="center"/>
            <w:hideMark/>
          </w:tcPr>
          <w:p w14:paraId="51D81C74" w14:textId="77777777" w:rsidR="00E23F37" w:rsidRPr="00D85916" w:rsidRDefault="00E23F37" w:rsidP="00E23F37">
            <w:pPr>
              <w:spacing w:after="0"/>
              <w:ind w:left="0"/>
              <w:rPr>
                <w:rFonts w:cs="Calibri"/>
                <w:color w:val="000000"/>
                <w:szCs w:val="24"/>
              </w:rPr>
            </w:pPr>
            <w:r w:rsidRPr="00D85916">
              <w:rPr>
                <w:rFonts w:cs="Calibri"/>
                <w:color w:val="000000"/>
                <w:szCs w:val="24"/>
              </w:rPr>
              <w:t>LP002</w:t>
            </w:r>
          </w:p>
        </w:tc>
        <w:tc>
          <w:tcPr>
            <w:tcW w:w="7071" w:type="dxa"/>
            <w:tcBorders>
              <w:top w:val="nil"/>
              <w:left w:val="nil"/>
              <w:bottom w:val="single" w:sz="8" w:space="0" w:color="000000"/>
              <w:right w:val="single" w:sz="8" w:space="0" w:color="000000"/>
            </w:tcBorders>
            <w:shd w:val="clear" w:color="auto" w:fill="auto"/>
            <w:vAlign w:val="center"/>
            <w:hideMark/>
          </w:tcPr>
          <w:p w14:paraId="6AC8735E" w14:textId="444D9AAE" w:rsidR="00E23F37" w:rsidRPr="00D85916" w:rsidRDefault="00E23F37" w:rsidP="00E23F37">
            <w:pPr>
              <w:spacing w:after="0"/>
              <w:ind w:left="0"/>
              <w:rPr>
                <w:rFonts w:cs="Calibri"/>
                <w:color w:val="000000"/>
                <w:szCs w:val="24"/>
              </w:rPr>
            </w:pPr>
            <w:r w:rsidRPr="00D85916">
              <w:rPr>
                <w:rFonts w:cs="Calibri"/>
                <w:color w:val="000000"/>
                <w:szCs w:val="24"/>
              </w:rPr>
              <w:t xml:space="preserve">Listing of SIDES LP responses with comments. List sent to AD&amp;M </w:t>
            </w:r>
            <w:r>
              <w:rPr>
                <w:rFonts w:cs="Calibri"/>
                <w:color w:val="000000"/>
                <w:szCs w:val="24"/>
              </w:rPr>
              <w:t>Staff to delete</w:t>
            </w:r>
            <w:r w:rsidR="00C8224A">
              <w:rPr>
                <w:rFonts w:cs="Calibri"/>
                <w:color w:val="000000"/>
                <w:szCs w:val="24"/>
              </w:rPr>
              <w:t xml:space="preserve"> </w:t>
            </w:r>
            <w:r>
              <w:rPr>
                <w:rFonts w:cs="Calibri"/>
                <w:color w:val="000000"/>
                <w:szCs w:val="24"/>
              </w:rPr>
              <w:t>(Identifies breaks in workflow)</w:t>
            </w:r>
          </w:p>
        </w:tc>
      </w:tr>
      <w:tr w:rsidR="00E23F37" w:rsidRPr="001C17DF" w14:paraId="18DBE5FA" w14:textId="77777777" w:rsidTr="00E23F37">
        <w:trPr>
          <w:trHeight w:val="300"/>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17065F7B" w14:textId="0645F45E" w:rsidR="00E23F37" w:rsidRPr="00D85916" w:rsidRDefault="00E23F37" w:rsidP="00E23F37">
            <w:pPr>
              <w:spacing w:after="0"/>
              <w:ind w:left="0"/>
              <w:jc w:val="center"/>
              <w:rPr>
                <w:rFonts w:cs="Calibri"/>
                <w:color w:val="000000"/>
                <w:szCs w:val="24"/>
              </w:rPr>
            </w:pPr>
            <w:r>
              <w:t>14</w:t>
            </w:r>
          </w:p>
        </w:tc>
        <w:tc>
          <w:tcPr>
            <w:tcW w:w="1627" w:type="dxa"/>
            <w:tcBorders>
              <w:top w:val="nil"/>
              <w:left w:val="nil"/>
              <w:bottom w:val="single" w:sz="8" w:space="0" w:color="000000"/>
              <w:right w:val="single" w:sz="8" w:space="0" w:color="000000"/>
            </w:tcBorders>
            <w:shd w:val="clear" w:color="auto" w:fill="auto"/>
            <w:noWrap/>
            <w:vAlign w:val="center"/>
            <w:hideMark/>
          </w:tcPr>
          <w:p w14:paraId="6A89BA10" w14:textId="77777777" w:rsidR="00E23F37" w:rsidRPr="00D85916" w:rsidRDefault="00E23F37" w:rsidP="00E23F37">
            <w:pPr>
              <w:spacing w:after="0"/>
              <w:ind w:left="0"/>
              <w:rPr>
                <w:rFonts w:cs="Calibri"/>
                <w:color w:val="000000"/>
                <w:szCs w:val="24"/>
              </w:rPr>
            </w:pPr>
            <w:r w:rsidRPr="00D85916">
              <w:rPr>
                <w:rFonts w:cs="Calibri"/>
                <w:color w:val="000000"/>
                <w:szCs w:val="24"/>
              </w:rPr>
              <w:t>Daily</w:t>
            </w:r>
          </w:p>
        </w:tc>
        <w:tc>
          <w:tcPr>
            <w:tcW w:w="1800" w:type="dxa"/>
            <w:tcBorders>
              <w:top w:val="nil"/>
              <w:left w:val="nil"/>
              <w:bottom w:val="single" w:sz="8" w:space="0" w:color="000000"/>
              <w:right w:val="single" w:sz="8" w:space="0" w:color="000000"/>
            </w:tcBorders>
            <w:shd w:val="clear" w:color="auto" w:fill="auto"/>
            <w:vAlign w:val="center"/>
            <w:hideMark/>
          </w:tcPr>
          <w:p w14:paraId="40B3E37C" w14:textId="77777777" w:rsidR="00E23F37" w:rsidRPr="00D85916" w:rsidRDefault="00E23F37" w:rsidP="00E23F37">
            <w:pPr>
              <w:spacing w:after="0"/>
              <w:ind w:left="0"/>
              <w:rPr>
                <w:rFonts w:cs="Calibri"/>
                <w:color w:val="000000"/>
                <w:szCs w:val="24"/>
              </w:rPr>
            </w:pPr>
            <w:r w:rsidRPr="00D85916">
              <w:rPr>
                <w:rFonts w:cs="Calibri"/>
                <w:color w:val="000000"/>
                <w:szCs w:val="24"/>
              </w:rPr>
              <w:t>Daily Error report</w:t>
            </w:r>
          </w:p>
        </w:tc>
        <w:tc>
          <w:tcPr>
            <w:tcW w:w="7071" w:type="dxa"/>
            <w:tcBorders>
              <w:top w:val="nil"/>
              <w:left w:val="nil"/>
              <w:bottom w:val="single" w:sz="8" w:space="0" w:color="000000"/>
              <w:right w:val="single" w:sz="8" w:space="0" w:color="000000"/>
            </w:tcBorders>
            <w:shd w:val="clear" w:color="auto" w:fill="auto"/>
            <w:vAlign w:val="center"/>
            <w:hideMark/>
          </w:tcPr>
          <w:p w14:paraId="502AE68F" w14:textId="2CA7CFF8" w:rsidR="00E23F37" w:rsidRPr="00D85916" w:rsidRDefault="00E23F37" w:rsidP="00E23F37">
            <w:pPr>
              <w:spacing w:after="0"/>
              <w:ind w:left="0"/>
              <w:rPr>
                <w:rFonts w:cs="Calibri"/>
                <w:color w:val="000000"/>
                <w:szCs w:val="24"/>
              </w:rPr>
            </w:pPr>
            <w:r w:rsidRPr="00D85916">
              <w:rPr>
                <w:rFonts w:cs="Calibri"/>
                <w:color w:val="000000"/>
                <w:szCs w:val="24"/>
              </w:rPr>
              <w:t>Produced by Benefits System. A Daily listing of errors that oc</w:t>
            </w:r>
            <w:r>
              <w:rPr>
                <w:rFonts w:cs="Calibri"/>
                <w:color w:val="000000"/>
                <w:szCs w:val="24"/>
              </w:rPr>
              <w:t>curred in the nightly batch run</w:t>
            </w:r>
          </w:p>
        </w:tc>
      </w:tr>
      <w:tr w:rsidR="00E23F37" w:rsidRPr="001C17DF" w14:paraId="0175ACCF" w14:textId="77777777" w:rsidTr="00E23F37">
        <w:trPr>
          <w:trHeight w:val="300"/>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47125C1F" w14:textId="0DBD6E2B" w:rsidR="00E23F37" w:rsidRPr="00D85916" w:rsidRDefault="00E23F37" w:rsidP="00E23F37">
            <w:pPr>
              <w:spacing w:after="0"/>
              <w:ind w:left="0"/>
              <w:jc w:val="center"/>
              <w:rPr>
                <w:rFonts w:cs="Calibri"/>
                <w:color w:val="000000"/>
                <w:szCs w:val="24"/>
              </w:rPr>
            </w:pPr>
            <w:r>
              <w:rPr>
                <w:color w:val="000000"/>
              </w:rPr>
              <w:t>15</w:t>
            </w:r>
          </w:p>
        </w:tc>
        <w:tc>
          <w:tcPr>
            <w:tcW w:w="1627" w:type="dxa"/>
            <w:tcBorders>
              <w:top w:val="nil"/>
              <w:left w:val="nil"/>
              <w:bottom w:val="single" w:sz="8" w:space="0" w:color="000000"/>
              <w:right w:val="single" w:sz="8" w:space="0" w:color="000000"/>
            </w:tcBorders>
            <w:shd w:val="clear" w:color="auto" w:fill="auto"/>
            <w:noWrap/>
            <w:vAlign w:val="center"/>
            <w:hideMark/>
          </w:tcPr>
          <w:p w14:paraId="2664E2DC" w14:textId="77777777" w:rsidR="00E23F37" w:rsidRPr="00D85916" w:rsidRDefault="00E23F37" w:rsidP="00E23F37">
            <w:pPr>
              <w:spacing w:after="0"/>
              <w:ind w:left="0"/>
              <w:rPr>
                <w:rFonts w:cs="Calibri"/>
                <w:color w:val="000000"/>
                <w:szCs w:val="24"/>
              </w:rPr>
            </w:pPr>
            <w:r w:rsidRPr="00D85916">
              <w:rPr>
                <w:rFonts w:cs="Calibri"/>
                <w:color w:val="000000"/>
                <w:szCs w:val="24"/>
              </w:rPr>
              <w:t>Daily</w:t>
            </w:r>
          </w:p>
        </w:tc>
        <w:tc>
          <w:tcPr>
            <w:tcW w:w="1800" w:type="dxa"/>
            <w:tcBorders>
              <w:top w:val="nil"/>
              <w:left w:val="nil"/>
              <w:bottom w:val="single" w:sz="8" w:space="0" w:color="000000"/>
              <w:right w:val="single" w:sz="8" w:space="0" w:color="000000"/>
            </w:tcBorders>
            <w:shd w:val="clear" w:color="auto" w:fill="auto"/>
            <w:vAlign w:val="center"/>
            <w:hideMark/>
          </w:tcPr>
          <w:p w14:paraId="075FE459" w14:textId="77777777" w:rsidR="00E23F37" w:rsidRPr="00D85916" w:rsidRDefault="00E23F37" w:rsidP="00E23F37">
            <w:pPr>
              <w:spacing w:after="0"/>
              <w:ind w:left="0"/>
              <w:rPr>
                <w:rFonts w:cs="Calibri"/>
                <w:color w:val="000000"/>
                <w:szCs w:val="24"/>
              </w:rPr>
            </w:pPr>
            <w:r w:rsidRPr="00D85916">
              <w:rPr>
                <w:rFonts w:cs="Calibri"/>
                <w:color w:val="000000"/>
                <w:szCs w:val="24"/>
              </w:rPr>
              <w:t>UI SIDES Daily</w:t>
            </w:r>
          </w:p>
        </w:tc>
        <w:tc>
          <w:tcPr>
            <w:tcW w:w="7071" w:type="dxa"/>
            <w:tcBorders>
              <w:top w:val="nil"/>
              <w:left w:val="nil"/>
              <w:bottom w:val="single" w:sz="8" w:space="0" w:color="000000"/>
              <w:right w:val="single" w:sz="8" w:space="0" w:color="000000"/>
            </w:tcBorders>
            <w:shd w:val="clear" w:color="auto" w:fill="auto"/>
            <w:vAlign w:val="center"/>
            <w:hideMark/>
          </w:tcPr>
          <w:p w14:paraId="04C7D652" w14:textId="77777777" w:rsidR="00E23F37" w:rsidRPr="00D85916" w:rsidRDefault="00E23F37" w:rsidP="00E23F37">
            <w:pPr>
              <w:spacing w:after="0"/>
              <w:ind w:left="0"/>
              <w:rPr>
                <w:rFonts w:cs="Calibri"/>
                <w:color w:val="000000"/>
                <w:szCs w:val="24"/>
              </w:rPr>
            </w:pPr>
            <w:r w:rsidRPr="00D85916">
              <w:rPr>
                <w:rFonts w:cs="Calibri"/>
                <w:color w:val="000000"/>
                <w:szCs w:val="24"/>
              </w:rPr>
              <w:t xml:space="preserve">Daily query run from developer scripts to locate SIDES errors (amended responses and transmission errors) </w:t>
            </w:r>
          </w:p>
        </w:tc>
      </w:tr>
      <w:tr w:rsidR="00E23F37" w:rsidRPr="001C17DF" w14:paraId="4339C02B" w14:textId="77777777" w:rsidTr="00E23F37">
        <w:trPr>
          <w:trHeight w:val="300"/>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1A732A56" w14:textId="7F8B3335" w:rsidR="00E23F37" w:rsidRPr="00D85916" w:rsidRDefault="00E23F37" w:rsidP="00E23F37">
            <w:pPr>
              <w:spacing w:after="0"/>
              <w:ind w:left="0"/>
              <w:jc w:val="center"/>
              <w:rPr>
                <w:rFonts w:cs="Calibri"/>
                <w:color w:val="000000"/>
                <w:szCs w:val="24"/>
              </w:rPr>
            </w:pPr>
            <w:r>
              <w:t>16</w:t>
            </w:r>
          </w:p>
        </w:tc>
        <w:tc>
          <w:tcPr>
            <w:tcW w:w="1627" w:type="dxa"/>
            <w:tcBorders>
              <w:top w:val="nil"/>
              <w:left w:val="nil"/>
              <w:bottom w:val="single" w:sz="8" w:space="0" w:color="000000"/>
              <w:right w:val="single" w:sz="8" w:space="0" w:color="000000"/>
            </w:tcBorders>
            <w:shd w:val="clear" w:color="auto" w:fill="auto"/>
            <w:noWrap/>
            <w:vAlign w:val="center"/>
            <w:hideMark/>
          </w:tcPr>
          <w:p w14:paraId="4F2BF45E" w14:textId="77777777" w:rsidR="00E23F37" w:rsidRPr="00D85916" w:rsidRDefault="00E23F37" w:rsidP="00E23F37">
            <w:pPr>
              <w:spacing w:after="0"/>
              <w:ind w:left="0"/>
              <w:rPr>
                <w:rFonts w:cs="Calibri"/>
                <w:color w:val="000000"/>
                <w:szCs w:val="24"/>
              </w:rPr>
            </w:pPr>
            <w:r w:rsidRPr="00D85916">
              <w:rPr>
                <w:rFonts w:cs="Calibri"/>
                <w:color w:val="000000"/>
                <w:szCs w:val="24"/>
              </w:rPr>
              <w:t>Daily</w:t>
            </w:r>
          </w:p>
        </w:tc>
        <w:tc>
          <w:tcPr>
            <w:tcW w:w="1800" w:type="dxa"/>
            <w:tcBorders>
              <w:top w:val="nil"/>
              <w:left w:val="nil"/>
              <w:bottom w:val="single" w:sz="8" w:space="0" w:color="000000"/>
              <w:right w:val="single" w:sz="8" w:space="0" w:color="000000"/>
            </w:tcBorders>
            <w:shd w:val="clear" w:color="auto" w:fill="auto"/>
            <w:vAlign w:val="center"/>
            <w:hideMark/>
          </w:tcPr>
          <w:p w14:paraId="644A984B" w14:textId="77777777" w:rsidR="00E23F37" w:rsidRPr="00D85916" w:rsidRDefault="00E23F37" w:rsidP="00E23F37">
            <w:pPr>
              <w:spacing w:after="0"/>
              <w:ind w:left="0"/>
              <w:rPr>
                <w:rFonts w:cs="Calibri"/>
                <w:color w:val="000000"/>
                <w:szCs w:val="24"/>
              </w:rPr>
            </w:pPr>
            <w:r w:rsidRPr="00D85916">
              <w:rPr>
                <w:rFonts w:cs="Calibri"/>
                <w:color w:val="000000"/>
                <w:szCs w:val="24"/>
              </w:rPr>
              <w:t>Daily Download</w:t>
            </w:r>
          </w:p>
        </w:tc>
        <w:tc>
          <w:tcPr>
            <w:tcW w:w="7071" w:type="dxa"/>
            <w:tcBorders>
              <w:top w:val="nil"/>
              <w:left w:val="nil"/>
              <w:bottom w:val="single" w:sz="8" w:space="0" w:color="000000"/>
              <w:right w:val="single" w:sz="8" w:space="0" w:color="000000"/>
            </w:tcBorders>
            <w:shd w:val="clear" w:color="auto" w:fill="auto"/>
            <w:vAlign w:val="center"/>
            <w:hideMark/>
          </w:tcPr>
          <w:p w14:paraId="1CC16B30" w14:textId="4A872CC7" w:rsidR="00E23F37" w:rsidRPr="00D85916" w:rsidRDefault="00E23F37" w:rsidP="00E23F37">
            <w:pPr>
              <w:spacing w:after="0"/>
              <w:ind w:left="0"/>
              <w:rPr>
                <w:rFonts w:cs="Calibri"/>
                <w:color w:val="000000"/>
                <w:szCs w:val="24"/>
              </w:rPr>
            </w:pPr>
            <w:r w:rsidRPr="00D85916">
              <w:rPr>
                <w:rFonts w:cs="Calibri"/>
                <w:color w:val="000000"/>
                <w:szCs w:val="24"/>
              </w:rPr>
              <w:t>Run in TSO moves daily error report and other items to R and Q drives for distribution</w:t>
            </w:r>
            <w:r>
              <w:rPr>
                <w:rFonts w:cs="Calibri"/>
                <w:color w:val="000000"/>
                <w:szCs w:val="24"/>
              </w:rPr>
              <w:t xml:space="preserve"> to UI and Tele-Center staff</w:t>
            </w:r>
          </w:p>
        </w:tc>
      </w:tr>
      <w:tr w:rsidR="00E23F37" w:rsidRPr="001C17DF" w14:paraId="74CEDB0E" w14:textId="77777777" w:rsidTr="00E23F37">
        <w:trPr>
          <w:trHeight w:val="300"/>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198E0026" w14:textId="00F6AEE9" w:rsidR="00E23F37" w:rsidRPr="00D85916" w:rsidRDefault="00E23F37" w:rsidP="00E23F37">
            <w:pPr>
              <w:spacing w:after="0"/>
              <w:ind w:left="0"/>
              <w:jc w:val="center"/>
              <w:rPr>
                <w:rFonts w:cs="Calibri"/>
                <w:color w:val="000000"/>
                <w:szCs w:val="24"/>
              </w:rPr>
            </w:pPr>
            <w:r>
              <w:rPr>
                <w:color w:val="000000"/>
              </w:rPr>
              <w:t>17</w:t>
            </w:r>
          </w:p>
        </w:tc>
        <w:tc>
          <w:tcPr>
            <w:tcW w:w="1627" w:type="dxa"/>
            <w:tcBorders>
              <w:top w:val="nil"/>
              <w:left w:val="nil"/>
              <w:bottom w:val="single" w:sz="8" w:space="0" w:color="000000"/>
              <w:right w:val="single" w:sz="8" w:space="0" w:color="000000"/>
            </w:tcBorders>
            <w:shd w:val="clear" w:color="auto" w:fill="auto"/>
            <w:noWrap/>
            <w:vAlign w:val="center"/>
            <w:hideMark/>
          </w:tcPr>
          <w:p w14:paraId="77A87310" w14:textId="77777777" w:rsidR="00E23F37" w:rsidRPr="00D85916" w:rsidRDefault="00E23F37" w:rsidP="00E23F37">
            <w:pPr>
              <w:spacing w:after="0"/>
              <w:ind w:left="0"/>
              <w:rPr>
                <w:rFonts w:cs="Calibri"/>
                <w:color w:val="000000"/>
                <w:szCs w:val="24"/>
              </w:rPr>
            </w:pPr>
            <w:r w:rsidRPr="00D85916">
              <w:rPr>
                <w:rFonts w:cs="Calibri"/>
                <w:color w:val="000000"/>
                <w:szCs w:val="24"/>
              </w:rPr>
              <w:t>Daily</w:t>
            </w:r>
          </w:p>
        </w:tc>
        <w:tc>
          <w:tcPr>
            <w:tcW w:w="1800" w:type="dxa"/>
            <w:tcBorders>
              <w:top w:val="nil"/>
              <w:left w:val="nil"/>
              <w:bottom w:val="single" w:sz="8" w:space="0" w:color="000000"/>
              <w:right w:val="single" w:sz="8" w:space="0" w:color="000000"/>
            </w:tcBorders>
            <w:shd w:val="clear" w:color="auto" w:fill="auto"/>
            <w:vAlign w:val="center"/>
            <w:hideMark/>
          </w:tcPr>
          <w:p w14:paraId="14533509" w14:textId="77777777" w:rsidR="00E23F37" w:rsidRPr="00D85916" w:rsidRDefault="00E23F37" w:rsidP="00E23F37">
            <w:pPr>
              <w:spacing w:after="0"/>
              <w:ind w:left="0"/>
              <w:rPr>
                <w:rFonts w:cs="Calibri"/>
                <w:color w:val="000000"/>
                <w:szCs w:val="24"/>
              </w:rPr>
            </w:pPr>
            <w:r w:rsidRPr="00D85916">
              <w:rPr>
                <w:rFonts w:cs="Calibri"/>
                <w:color w:val="000000"/>
                <w:szCs w:val="24"/>
              </w:rPr>
              <w:t>Cognos Health Check</w:t>
            </w:r>
          </w:p>
        </w:tc>
        <w:tc>
          <w:tcPr>
            <w:tcW w:w="7071" w:type="dxa"/>
            <w:tcBorders>
              <w:top w:val="nil"/>
              <w:left w:val="nil"/>
              <w:bottom w:val="single" w:sz="8" w:space="0" w:color="000000"/>
              <w:right w:val="single" w:sz="8" w:space="0" w:color="000000"/>
            </w:tcBorders>
            <w:shd w:val="clear" w:color="auto" w:fill="auto"/>
            <w:vAlign w:val="center"/>
            <w:hideMark/>
          </w:tcPr>
          <w:p w14:paraId="57265670" w14:textId="45C355E4" w:rsidR="00E23F37" w:rsidRPr="00D85916" w:rsidRDefault="00E23F37" w:rsidP="00E23F37">
            <w:pPr>
              <w:spacing w:after="0"/>
              <w:ind w:left="0"/>
              <w:rPr>
                <w:rFonts w:cs="Calibri"/>
                <w:color w:val="000000"/>
                <w:szCs w:val="24"/>
              </w:rPr>
            </w:pPr>
            <w:r w:rsidRPr="00D85916">
              <w:rPr>
                <w:rFonts w:cs="Calibri"/>
                <w:color w:val="000000"/>
                <w:szCs w:val="24"/>
              </w:rPr>
              <w:t>Cognos automated.</w:t>
            </w:r>
            <w:r w:rsidR="00EE5622">
              <w:rPr>
                <w:rFonts w:cs="Calibri"/>
                <w:color w:val="000000"/>
                <w:szCs w:val="24"/>
              </w:rPr>
              <w:t xml:space="preserve"> </w:t>
            </w:r>
            <w:r w:rsidRPr="00D85916">
              <w:rPr>
                <w:rFonts w:cs="Calibri"/>
                <w:color w:val="000000"/>
                <w:szCs w:val="24"/>
              </w:rPr>
              <w:t xml:space="preserve">Monday through Friday every hour 8:00 a.m. to 6:00 p.m., used to help identify if Cognos system stops sending automated reports. </w:t>
            </w:r>
          </w:p>
        </w:tc>
      </w:tr>
      <w:tr w:rsidR="00E23F37" w:rsidRPr="001C17DF" w14:paraId="2EAA3205" w14:textId="77777777" w:rsidTr="00E23F37">
        <w:trPr>
          <w:trHeight w:val="300"/>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3EB69628" w14:textId="3F7D94DB" w:rsidR="00E23F37" w:rsidRPr="00D85916" w:rsidRDefault="00E23F37" w:rsidP="00E23F37">
            <w:pPr>
              <w:spacing w:after="0"/>
              <w:ind w:left="0"/>
              <w:jc w:val="center"/>
              <w:rPr>
                <w:rFonts w:cs="Calibri"/>
                <w:color w:val="000000"/>
                <w:szCs w:val="24"/>
              </w:rPr>
            </w:pPr>
            <w:r>
              <w:t>18</w:t>
            </w:r>
          </w:p>
        </w:tc>
        <w:tc>
          <w:tcPr>
            <w:tcW w:w="1627" w:type="dxa"/>
            <w:tcBorders>
              <w:top w:val="nil"/>
              <w:left w:val="nil"/>
              <w:bottom w:val="single" w:sz="8" w:space="0" w:color="000000"/>
              <w:right w:val="single" w:sz="8" w:space="0" w:color="000000"/>
            </w:tcBorders>
            <w:shd w:val="clear" w:color="auto" w:fill="auto"/>
            <w:noWrap/>
            <w:vAlign w:val="center"/>
            <w:hideMark/>
          </w:tcPr>
          <w:p w14:paraId="7DAB4FEC" w14:textId="77777777" w:rsidR="00E23F37" w:rsidRPr="00D85916" w:rsidRDefault="00E23F37" w:rsidP="00E23F37">
            <w:pPr>
              <w:spacing w:after="0"/>
              <w:ind w:left="0"/>
              <w:rPr>
                <w:rFonts w:cs="Calibri"/>
                <w:color w:val="000000"/>
                <w:szCs w:val="24"/>
              </w:rPr>
            </w:pPr>
            <w:r w:rsidRPr="00D85916">
              <w:rPr>
                <w:rFonts w:cs="Calibri"/>
                <w:color w:val="000000"/>
                <w:szCs w:val="24"/>
              </w:rPr>
              <w:t>Daily</w:t>
            </w:r>
          </w:p>
        </w:tc>
        <w:tc>
          <w:tcPr>
            <w:tcW w:w="1800" w:type="dxa"/>
            <w:tcBorders>
              <w:top w:val="nil"/>
              <w:left w:val="nil"/>
              <w:bottom w:val="single" w:sz="8" w:space="0" w:color="000000"/>
              <w:right w:val="single" w:sz="8" w:space="0" w:color="000000"/>
            </w:tcBorders>
            <w:shd w:val="clear" w:color="auto" w:fill="auto"/>
            <w:vAlign w:val="center"/>
            <w:hideMark/>
          </w:tcPr>
          <w:p w14:paraId="3026174F" w14:textId="3911E4BD" w:rsidR="00E23F37" w:rsidRPr="00D85916" w:rsidRDefault="00E23F37" w:rsidP="00E23F37">
            <w:pPr>
              <w:spacing w:after="0"/>
              <w:ind w:left="0"/>
              <w:rPr>
                <w:rFonts w:cs="Calibri"/>
                <w:color w:val="000000"/>
                <w:szCs w:val="24"/>
              </w:rPr>
            </w:pPr>
            <w:r w:rsidRPr="00D85916">
              <w:rPr>
                <w:rFonts w:cs="Calibri"/>
                <w:color w:val="000000"/>
                <w:szCs w:val="24"/>
              </w:rPr>
              <w:t>Payment</w:t>
            </w:r>
            <w:r>
              <w:rPr>
                <w:rFonts w:cs="Calibri"/>
                <w:color w:val="000000"/>
                <w:szCs w:val="24"/>
              </w:rPr>
              <w:t xml:space="preserve"> </w:t>
            </w:r>
            <w:r w:rsidRPr="00D85916">
              <w:rPr>
                <w:rFonts w:cs="Calibri"/>
                <w:color w:val="000000"/>
                <w:szCs w:val="24"/>
              </w:rPr>
              <w:t>Request</w:t>
            </w:r>
            <w:r>
              <w:rPr>
                <w:rFonts w:cs="Calibri"/>
                <w:color w:val="000000"/>
                <w:szCs w:val="24"/>
              </w:rPr>
              <w:t xml:space="preserve"> </w:t>
            </w:r>
            <w:r w:rsidRPr="00D85916">
              <w:rPr>
                <w:rFonts w:cs="Calibri"/>
                <w:color w:val="000000"/>
                <w:szCs w:val="24"/>
              </w:rPr>
              <w:t>Not</w:t>
            </w:r>
            <w:r>
              <w:rPr>
                <w:rFonts w:cs="Calibri"/>
                <w:color w:val="000000"/>
                <w:szCs w:val="24"/>
              </w:rPr>
              <w:t xml:space="preserve"> </w:t>
            </w:r>
            <w:r w:rsidRPr="00D85916">
              <w:rPr>
                <w:rFonts w:cs="Calibri"/>
                <w:color w:val="000000"/>
                <w:szCs w:val="24"/>
              </w:rPr>
              <w:t>Processed</w:t>
            </w:r>
          </w:p>
        </w:tc>
        <w:tc>
          <w:tcPr>
            <w:tcW w:w="7071" w:type="dxa"/>
            <w:tcBorders>
              <w:top w:val="nil"/>
              <w:left w:val="nil"/>
              <w:bottom w:val="single" w:sz="8" w:space="0" w:color="000000"/>
              <w:right w:val="single" w:sz="8" w:space="0" w:color="000000"/>
            </w:tcBorders>
            <w:shd w:val="clear" w:color="auto" w:fill="auto"/>
            <w:vAlign w:val="center"/>
            <w:hideMark/>
          </w:tcPr>
          <w:p w14:paraId="4058EDDE" w14:textId="3F0C3FF4" w:rsidR="00E23F37" w:rsidRPr="00D85916" w:rsidRDefault="00E23F37" w:rsidP="00E23F37">
            <w:pPr>
              <w:spacing w:after="0"/>
              <w:ind w:left="0"/>
              <w:rPr>
                <w:rFonts w:cs="Calibri"/>
                <w:color w:val="000000"/>
                <w:szCs w:val="24"/>
              </w:rPr>
            </w:pPr>
            <w:r w:rsidRPr="00D85916">
              <w:rPr>
                <w:rFonts w:cs="Calibri"/>
                <w:color w:val="000000"/>
                <w:szCs w:val="24"/>
              </w:rPr>
              <w:t>Daily listing of payments requests that were accepted but not included in the payments run</w:t>
            </w:r>
            <w:r w:rsidR="00C8224A">
              <w:rPr>
                <w:rFonts w:cs="Calibri"/>
                <w:color w:val="000000"/>
                <w:szCs w:val="24"/>
              </w:rPr>
              <w:t xml:space="preserve"> </w:t>
            </w:r>
            <w:r>
              <w:rPr>
                <w:rFonts w:cs="Calibri"/>
                <w:color w:val="000000"/>
                <w:szCs w:val="24"/>
              </w:rPr>
              <w:t>(Identifies breaks in workflow)</w:t>
            </w:r>
          </w:p>
        </w:tc>
      </w:tr>
      <w:tr w:rsidR="00E23F37" w:rsidRPr="001C17DF" w14:paraId="607E0B8E" w14:textId="77777777" w:rsidTr="00E23F37">
        <w:trPr>
          <w:trHeight w:val="876"/>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524DB186" w14:textId="3F528DD9" w:rsidR="00E23F37" w:rsidRPr="00D85916" w:rsidRDefault="00E23F37" w:rsidP="00E23F37">
            <w:pPr>
              <w:spacing w:after="0"/>
              <w:ind w:left="0"/>
              <w:jc w:val="center"/>
              <w:rPr>
                <w:rFonts w:cs="Calibri"/>
                <w:color w:val="000000"/>
                <w:szCs w:val="24"/>
              </w:rPr>
            </w:pPr>
            <w:r>
              <w:rPr>
                <w:color w:val="000000"/>
              </w:rPr>
              <w:t>19</w:t>
            </w:r>
          </w:p>
        </w:tc>
        <w:tc>
          <w:tcPr>
            <w:tcW w:w="1627" w:type="dxa"/>
            <w:tcBorders>
              <w:top w:val="nil"/>
              <w:left w:val="nil"/>
              <w:bottom w:val="single" w:sz="8" w:space="0" w:color="000000"/>
              <w:right w:val="single" w:sz="8" w:space="0" w:color="000000"/>
            </w:tcBorders>
            <w:shd w:val="clear" w:color="auto" w:fill="auto"/>
            <w:noWrap/>
            <w:vAlign w:val="center"/>
            <w:hideMark/>
          </w:tcPr>
          <w:p w14:paraId="09A03501" w14:textId="77777777" w:rsidR="00E23F37" w:rsidRPr="00D85916" w:rsidRDefault="00E23F37" w:rsidP="00E23F37">
            <w:pPr>
              <w:spacing w:after="0"/>
              <w:ind w:left="0"/>
              <w:rPr>
                <w:rFonts w:cs="Calibri"/>
                <w:color w:val="000000"/>
                <w:szCs w:val="24"/>
              </w:rPr>
            </w:pPr>
            <w:r w:rsidRPr="00D85916">
              <w:rPr>
                <w:rFonts w:cs="Calibri"/>
                <w:color w:val="000000"/>
                <w:szCs w:val="24"/>
              </w:rPr>
              <w:t>Daily</w:t>
            </w:r>
          </w:p>
        </w:tc>
        <w:tc>
          <w:tcPr>
            <w:tcW w:w="1800" w:type="dxa"/>
            <w:tcBorders>
              <w:top w:val="nil"/>
              <w:left w:val="nil"/>
              <w:bottom w:val="single" w:sz="8" w:space="0" w:color="000000"/>
              <w:right w:val="single" w:sz="8" w:space="0" w:color="000000"/>
            </w:tcBorders>
            <w:shd w:val="clear" w:color="auto" w:fill="auto"/>
            <w:vAlign w:val="center"/>
            <w:hideMark/>
          </w:tcPr>
          <w:p w14:paraId="621E1A3D" w14:textId="02F29355" w:rsidR="00E23F37" w:rsidRPr="00D85916" w:rsidRDefault="00E23F37" w:rsidP="00E23F37">
            <w:pPr>
              <w:spacing w:after="0"/>
              <w:ind w:left="0"/>
              <w:rPr>
                <w:rFonts w:cs="Calibri"/>
                <w:color w:val="000000"/>
                <w:szCs w:val="24"/>
              </w:rPr>
            </w:pPr>
            <w:r w:rsidRPr="00D85916">
              <w:rPr>
                <w:rFonts w:cs="Calibri"/>
                <w:color w:val="000000"/>
                <w:szCs w:val="24"/>
              </w:rPr>
              <w:t>SIDES</w:t>
            </w:r>
            <w:r>
              <w:rPr>
                <w:rFonts w:cs="Calibri"/>
                <w:color w:val="000000"/>
                <w:szCs w:val="24"/>
              </w:rPr>
              <w:t xml:space="preserve"> </w:t>
            </w:r>
            <w:r w:rsidRPr="00D85916">
              <w:rPr>
                <w:rFonts w:cs="Calibri"/>
                <w:color w:val="000000"/>
                <w:szCs w:val="24"/>
              </w:rPr>
              <w:t>Additional</w:t>
            </w:r>
            <w:r>
              <w:rPr>
                <w:rFonts w:cs="Calibri"/>
                <w:color w:val="000000"/>
                <w:szCs w:val="24"/>
              </w:rPr>
              <w:t xml:space="preserve"> </w:t>
            </w:r>
            <w:r w:rsidRPr="00D85916">
              <w:rPr>
                <w:rFonts w:cs="Calibri"/>
                <w:color w:val="000000"/>
                <w:szCs w:val="24"/>
              </w:rPr>
              <w:t>Comments</w:t>
            </w:r>
          </w:p>
        </w:tc>
        <w:tc>
          <w:tcPr>
            <w:tcW w:w="7071" w:type="dxa"/>
            <w:tcBorders>
              <w:top w:val="nil"/>
              <w:left w:val="nil"/>
              <w:bottom w:val="single" w:sz="8" w:space="0" w:color="000000"/>
              <w:right w:val="single" w:sz="8" w:space="0" w:color="000000"/>
            </w:tcBorders>
            <w:shd w:val="clear" w:color="auto" w:fill="auto"/>
            <w:vAlign w:val="center"/>
            <w:hideMark/>
          </w:tcPr>
          <w:p w14:paraId="37E17CD0" w14:textId="5B67D7A4" w:rsidR="00E23F37" w:rsidRPr="00D85916" w:rsidRDefault="00E23F37" w:rsidP="00E23F37">
            <w:pPr>
              <w:spacing w:after="0"/>
              <w:ind w:left="0"/>
              <w:rPr>
                <w:rFonts w:cs="Calibri"/>
                <w:color w:val="000000"/>
                <w:szCs w:val="24"/>
              </w:rPr>
            </w:pPr>
            <w:r w:rsidRPr="00D85916">
              <w:rPr>
                <w:rFonts w:cs="Calibri"/>
                <w:color w:val="000000"/>
                <w:szCs w:val="24"/>
              </w:rPr>
              <w:t xml:space="preserve">Daily listing of SIDES responses with additional comments that </w:t>
            </w:r>
            <w:r>
              <w:rPr>
                <w:rFonts w:cs="Calibri"/>
                <w:color w:val="000000"/>
                <w:szCs w:val="24"/>
              </w:rPr>
              <w:t>Staff</w:t>
            </w:r>
            <w:r w:rsidRPr="00D85916">
              <w:rPr>
                <w:rFonts w:cs="Calibri"/>
                <w:color w:val="000000"/>
                <w:szCs w:val="24"/>
              </w:rPr>
              <w:t xml:space="preserve"> must review</w:t>
            </w:r>
            <w:r w:rsidR="00C8224A">
              <w:rPr>
                <w:rFonts w:cs="Calibri"/>
                <w:color w:val="000000"/>
                <w:szCs w:val="24"/>
              </w:rPr>
              <w:t xml:space="preserve"> </w:t>
            </w:r>
            <w:r>
              <w:rPr>
                <w:rFonts w:cs="Calibri"/>
                <w:color w:val="000000"/>
                <w:szCs w:val="24"/>
              </w:rPr>
              <w:t>(Identifies breaks in workflow)</w:t>
            </w:r>
          </w:p>
        </w:tc>
      </w:tr>
      <w:tr w:rsidR="00E23F37" w:rsidRPr="001C17DF" w14:paraId="32B352A9" w14:textId="77777777" w:rsidTr="00E23F37">
        <w:trPr>
          <w:trHeight w:val="876"/>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5E8E382D" w14:textId="11FE447D" w:rsidR="00E23F37" w:rsidRPr="00D85916" w:rsidRDefault="00E23F37" w:rsidP="00E23F37">
            <w:pPr>
              <w:spacing w:after="0"/>
              <w:ind w:left="0"/>
              <w:jc w:val="center"/>
              <w:rPr>
                <w:rFonts w:cs="Calibri"/>
                <w:color w:val="000000"/>
                <w:szCs w:val="24"/>
              </w:rPr>
            </w:pPr>
            <w:r>
              <w:t>20</w:t>
            </w:r>
          </w:p>
        </w:tc>
        <w:tc>
          <w:tcPr>
            <w:tcW w:w="1627" w:type="dxa"/>
            <w:tcBorders>
              <w:top w:val="nil"/>
              <w:left w:val="nil"/>
              <w:bottom w:val="single" w:sz="8" w:space="0" w:color="000000"/>
              <w:right w:val="single" w:sz="8" w:space="0" w:color="000000"/>
            </w:tcBorders>
            <w:shd w:val="clear" w:color="auto" w:fill="auto"/>
            <w:noWrap/>
            <w:vAlign w:val="center"/>
            <w:hideMark/>
          </w:tcPr>
          <w:p w14:paraId="110DFE47" w14:textId="77777777" w:rsidR="00E23F37" w:rsidRPr="00D85916" w:rsidRDefault="00E23F37" w:rsidP="00E23F37">
            <w:pPr>
              <w:spacing w:after="0"/>
              <w:ind w:left="0"/>
              <w:rPr>
                <w:rFonts w:cs="Calibri"/>
                <w:color w:val="000000"/>
                <w:szCs w:val="24"/>
              </w:rPr>
            </w:pPr>
            <w:r w:rsidRPr="00D85916">
              <w:rPr>
                <w:rFonts w:cs="Calibri"/>
                <w:color w:val="000000"/>
                <w:szCs w:val="24"/>
              </w:rPr>
              <w:t>Daily</w:t>
            </w:r>
          </w:p>
        </w:tc>
        <w:tc>
          <w:tcPr>
            <w:tcW w:w="1800" w:type="dxa"/>
            <w:tcBorders>
              <w:top w:val="nil"/>
              <w:left w:val="nil"/>
              <w:bottom w:val="single" w:sz="8" w:space="0" w:color="000000"/>
              <w:right w:val="single" w:sz="8" w:space="0" w:color="000000"/>
            </w:tcBorders>
            <w:shd w:val="clear" w:color="auto" w:fill="auto"/>
            <w:vAlign w:val="center"/>
            <w:hideMark/>
          </w:tcPr>
          <w:p w14:paraId="60E09ACB" w14:textId="6A6974DE" w:rsidR="00E23F37" w:rsidRPr="00D85916" w:rsidRDefault="00E23F37" w:rsidP="00E23F37">
            <w:pPr>
              <w:spacing w:after="0"/>
              <w:ind w:left="0"/>
              <w:rPr>
                <w:rFonts w:cs="Calibri"/>
                <w:color w:val="000000"/>
                <w:szCs w:val="24"/>
              </w:rPr>
            </w:pPr>
            <w:r w:rsidRPr="00D85916">
              <w:rPr>
                <w:rFonts w:cs="Calibri"/>
                <w:color w:val="000000"/>
                <w:szCs w:val="24"/>
              </w:rPr>
              <w:t>Incomplete</w:t>
            </w:r>
            <w:r>
              <w:rPr>
                <w:rFonts w:cs="Calibri"/>
                <w:color w:val="000000"/>
                <w:szCs w:val="24"/>
              </w:rPr>
              <w:t xml:space="preserve"> </w:t>
            </w:r>
            <w:r w:rsidRPr="00D85916">
              <w:rPr>
                <w:rFonts w:cs="Calibri"/>
                <w:color w:val="000000"/>
                <w:szCs w:val="24"/>
              </w:rPr>
              <w:t>Certifications</w:t>
            </w:r>
          </w:p>
        </w:tc>
        <w:tc>
          <w:tcPr>
            <w:tcW w:w="7071" w:type="dxa"/>
            <w:tcBorders>
              <w:top w:val="nil"/>
              <w:left w:val="nil"/>
              <w:bottom w:val="single" w:sz="8" w:space="0" w:color="000000"/>
              <w:right w:val="single" w:sz="8" w:space="0" w:color="000000"/>
            </w:tcBorders>
            <w:shd w:val="clear" w:color="auto" w:fill="auto"/>
            <w:vAlign w:val="center"/>
            <w:hideMark/>
          </w:tcPr>
          <w:p w14:paraId="239F5602" w14:textId="0B4AB9DB" w:rsidR="00E23F37" w:rsidRPr="00D85916" w:rsidRDefault="00E23F37" w:rsidP="00E23F37">
            <w:pPr>
              <w:spacing w:after="0"/>
              <w:ind w:left="0"/>
              <w:rPr>
                <w:rFonts w:cs="Calibri"/>
                <w:color w:val="000000"/>
                <w:szCs w:val="24"/>
              </w:rPr>
            </w:pPr>
            <w:r w:rsidRPr="00D85916">
              <w:rPr>
                <w:rFonts w:cs="Calibri"/>
                <w:color w:val="000000"/>
                <w:szCs w:val="24"/>
              </w:rPr>
              <w:t>Daily listing of “incomplete” payment requests submitted by individuals. Staff contacts these individuals to resolve the issue</w:t>
            </w:r>
            <w:r w:rsidR="00C8224A">
              <w:rPr>
                <w:rFonts w:cs="Calibri"/>
                <w:color w:val="000000"/>
                <w:szCs w:val="24"/>
              </w:rPr>
              <w:t xml:space="preserve"> </w:t>
            </w:r>
            <w:r>
              <w:rPr>
                <w:rFonts w:cs="Calibri"/>
                <w:color w:val="000000"/>
                <w:szCs w:val="24"/>
              </w:rPr>
              <w:t>(Identifies breaks in workflow)</w:t>
            </w:r>
          </w:p>
        </w:tc>
      </w:tr>
      <w:tr w:rsidR="00E23F37" w:rsidRPr="001C17DF" w14:paraId="1F62F47A" w14:textId="77777777" w:rsidTr="00E23F37">
        <w:trPr>
          <w:trHeight w:val="876"/>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2476DF42" w14:textId="36F896CA" w:rsidR="00E23F37" w:rsidRPr="00D85916" w:rsidRDefault="00E23F37" w:rsidP="00E23F37">
            <w:pPr>
              <w:spacing w:after="0"/>
              <w:ind w:left="0"/>
              <w:jc w:val="center"/>
              <w:rPr>
                <w:rFonts w:cs="Calibri"/>
                <w:color w:val="000000"/>
                <w:szCs w:val="24"/>
              </w:rPr>
            </w:pPr>
            <w:r>
              <w:rPr>
                <w:color w:val="000000"/>
              </w:rPr>
              <w:t>21</w:t>
            </w:r>
          </w:p>
        </w:tc>
        <w:tc>
          <w:tcPr>
            <w:tcW w:w="1627" w:type="dxa"/>
            <w:tcBorders>
              <w:top w:val="nil"/>
              <w:left w:val="nil"/>
              <w:bottom w:val="single" w:sz="8" w:space="0" w:color="000000"/>
              <w:right w:val="single" w:sz="8" w:space="0" w:color="000000"/>
            </w:tcBorders>
            <w:shd w:val="clear" w:color="auto" w:fill="auto"/>
            <w:noWrap/>
            <w:vAlign w:val="center"/>
            <w:hideMark/>
          </w:tcPr>
          <w:p w14:paraId="7F5FB3D9" w14:textId="77777777" w:rsidR="00E23F37" w:rsidRPr="00D85916" w:rsidRDefault="00E23F37" w:rsidP="00E23F37">
            <w:pPr>
              <w:spacing w:after="0"/>
              <w:ind w:left="0"/>
              <w:rPr>
                <w:rFonts w:cs="Calibri"/>
                <w:color w:val="000000"/>
                <w:szCs w:val="24"/>
              </w:rPr>
            </w:pPr>
            <w:r w:rsidRPr="00D85916">
              <w:rPr>
                <w:rFonts w:cs="Calibri"/>
                <w:color w:val="000000"/>
                <w:szCs w:val="24"/>
              </w:rPr>
              <w:t>Daily</w:t>
            </w:r>
          </w:p>
        </w:tc>
        <w:tc>
          <w:tcPr>
            <w:tcW w:w="1800" w:type="dxa"/>
            <w:tcBorders>
              <w:top w:val="nil"/>
              <w:left w:val="nil"/>
              <w:bottom w:val="single" w:sz="8" w:space="0" w:color="000000"/>
              <w:right w:val="single" w:sz="8" w:space="0" w:color="000000"/>
            </w:tcBorders>
            <w:shd w:val="clear" w:color="auto" w:fill="auto"/>
            <w:vAlign w:val="center"/>
            <w:hideMark/>
          </w:tcPr>
          <w:p w14:paraId="158399F9" w14:textId="77777777" w:rsidR="00E23F37" w:rsidRPr="00D85916" w:rsidRDefault="00E23F37" w:rsidP="00E23F37">
            <w:pPr>
              <w:spacing w:after="0"/>
              <w:ind w:left="0"/>
              <w:rPr>
                <w:rFonts w:cs="Calibri"/>
                <w:color w:val="000000"/>
                <w:szCs w:val="24"/>
              </w:rPr>
            </w:pPr>
            <w:r w:rsidRPr="00D85916">
              <w:rPr>
                <w:rFonts w:cs="Calibri"/>
                <w:color w:val="000000"/>
                <w:szCs w:val="24"/>
              </w:rPr>
              <w:t>UCX Time Lost</w:t>
            </w:r>
          </w:p>
        </w:tc>
        <w:tc>
          <w:tcPr>
            <w:tcW w:w="7071" w:type="dxa"/>
            <w:tcBorders>
              <w:top w:val="nil"/>
              <w:left w:val="nil"/>
              <w:bottom w:val="single" w:sz="8" w:space="0" w:color="000000"/>
              <w:right w:val="single" w:sz="8" w:space="0" w:color="000000"/>
            </w:tcBorders>
            <w:shd w:val="clear" w:color="auto" w:fill="auto"/>
            <w:vAlign w:val="center"/>
            <w:hideMark/>
          </w:tcPr>
          <w:p w14:paraId="74B6AEF5" w14:textId="77777777" w:rsidR="00E23F37" w:rsidRPr="00D85916" w:rsidRDefault="00E23F37" w:rsidP="00E23F37">
            <w:pPr>
              <w:spacing w:after="0"/>
              <w:ind w:left="0"/>
              <w:rPr>
                <w:rFonts w:cs="Calibri"/>
                <w:color w:val="000000"/>
                <w:szCs w:val="24"/>
              </w:rPr>
            </w:pPr>
            <w:r w:rsidRPr="00D85916">
              <w:rPr>
                <w:rFonts w:cs="Calibri"/>
                <w:color w:val="000000"/>
                <w:szCs w:val="24"/>
              </w:rPr>
              <w:t>Report list individuals who have lost dates of service while in the military</w:t>
            </w:r>
          </w:p>
        </w:tc>
      </w:tr>
      <w:tr w:rsidR="00E23F37" w:rsidRPr="001C17DF" w14:paraId="2FE9D4FF" w14:textId="77777777" w:rsidTr="00E23F37">
        <w:trPr>
          <w:trHeight w:val="876"/>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3249AF62" w14:textId="79E3A9C6" w:rsidR="00E23F37" w:rsidRPr="00D85916" w:rsidRDefault="00E23F37" w:rsidP="00E23F37">
            <w:pPr>
              <w:spacing w:after="0"/>
              <w:ind w:left="0"/>
              <w:jc w:val="center"/>
              <w:rPr>
                <w:rFonts w:cs="Calibri"/>
                <w:color w:val="000000"/>
                <w:szCs w:val="24"/>
              </w:rPr>
            </w:pPr>
            <w:r>
              <w:t>22</w:t>
            </w:r>
          </w:p>
        </w:tc>
        <w:tc>
          <w:tcPr>
            <w:tcW w:w="1627" w:type="dxa"/>
            <w:tcBorders>
              <w:top w:val="nil"/>
              <w:left w:val="nil"/>
              <w:bottom w:val="single" w:sz="8" w:space="0" w:color="000000"/>
              <w:right w:val="single" w:sz="8" w:space="0" w:color="000000"/>
            </w:tcBorders>
            <w:shd w:val="clear" w:color="auto" w:fill="auto"/>
            <w:noWrap/>
            <w:vAlign w:val="center"/>
            <w:hideMark/>
          </w:tcPr>
          <w:p w14:paraId="4FDA0BE1" w14:textId="77777777" w:rsidR="00E23F37" w:rsidRPr="00D85916" w:rsidRDefault="00E23F37" w:rsidP="00E23F37">
            <w:pPr>
              <w:spacing w:after="0"/>
              <w:ind w:left="0"/>
              <w:rPr>
                <w:rFonts w:cs="Calibri"/>
                <w:color w:val="000000"/>
                <w:szCs w:val="24"/>
              </w:rPr>
            </w:pPr>
            <w:r w:rsidRPr="00D85916">
              <w:rPr>
                <w:rFonts w:cs="Calibri"/>
                <w:color w:val="000000"/>
                <w:szCs w:val="24"/>
              </w:rPr>
              <w:t>Daily</w:t>
            </w:r>
          </w:p>
        </w:tc>
        <w:tc>
          <w:tcPr>
            <w:tcW w:w="1800" w:type="dxa"/>
            <w:tcBorders>
              <w:top w:val="nil"/>
              <w:left w:val="nil"/>
              <w:bottom w:val="single" w:sz="8" w:space="0" w:color="000000"/>
              <w:right w:val="single" w:sz="8" w:space="0" w:color="000000"/>
            </w:tcBorders>
            <w:shd w:val="clear" w:color="auto" w:fill="auto"/>
            <w:vAlign w:val="center"/>
            <w:hideMark/>
          </w:tcPr>
          <w:p w14:paraId="7B06A94D" w14:textId="77777777" w:rsidR="00E23F37" w:rsidRPr="00D85916" w:rsidRDefault="00E23F37" w:rsidP="00E23F37">
            <w:pPr>
              <w:spacing w:after="0"/>
              <w:ind w:left="0"/>
              <w:rPr>
                <w:rFonts w:cs="Calibri"/>
                <w:color w:val="000000"/>
                <w:szCs w:val="24"/>
              </w:rPr>
            </w:pPr>
            <w:r w:rsidRPr="00D85916">
              <w:rPr>
                <w:rFonts w:cs="Calibri"/>
                <w:color w:val="000000"/>
                <w:szCs w:val="24"/>
              </w:rPr>
              <w:t>Department of the Army</w:t>
            </w:r>
          </w:p>
        </w:tc>
        <w:tc>
          <w:tcPr>
            <w:tcW w:w="7071" w:type="dxa"/>
            <w:tcBorders>
              <w:top w:val="nil"/>
              <w:left w:val="nil"/>
              <w:bottom w:val="single" w:sz="8" w:space="0" w:color="000000"/>
              <w:right w:val="single" w:sz="8" w:space="0" w:color="000000"/>
            </w:tcBorders>
            <w:shd w:val="clear" w:color="auto" w:fill="auto"/>
            <w:vAlign w:val="center"/>
            <w:hideMark/>
          </w:tcPr>
          <w:p w14:paraId="4999E4C2" w14:textId="66A6647D" w:rsidR="00E23F37" w:rsidRPr="00D85916" w:rsidRDefault="00E23F37" w:rsidP="00E23F37">
            <w:pPr>
              <w:spacing w:after="0"/>
              <w:ind w:left="0"/>
              <w:rPr>
                <w:rFonts w:cs="Calibri"/>
                <w:color w:val="000000"/>
                <w:szCs w:val="24"/>
              </w:rPr>
            </w:pPr>
            <w:r w:rsidRPr="00D85916">
              <w:rPr>
                <w:rFonts w:cs="Calibri"/>
                <w:color w:val="000000"/>
                <w:szCs w:val="24"/>
              </w:rPr>
              <w:t>Claims filed against the Department of the Army. Claims need to</w:t>
            </w:r>
            <w:r>
              <w:rPr>
                <w:rFonts w:cs="Calibri"/>
                <w:color w:val="000000"/>
                <w:szCs w:val="24"/>
              </w:rPr>
              <w:t xml:space="preserve"> be pulled due to bad addresses</w:t>
            </w:r>
            <w:r w:rsidR="00C8224A">
              <w:rPr>
                <w:rFonts w:cs="Calibri"/>
                <w:color w:val="000000"/>
                <w:szCs w:val="24"/>
              </w:rPr>
              <w:t xml:space="preserve"> </w:t>
            </w:r>
            <w:r>
              <w:rPr>
                <w:rFonts w:cs="Calibri"/>
                <w:color w:val="000000"/>
                <w:szCs w:val="24"/>
              </w:rPr>
              <w:t>(Identifies breaks in workflow)</w:t>
            </w:r>
          </w:p>
        </w:tc>
      </w:tr>
      <w:tr w:rsidR="00E23F37" w:rsidRPr="001C17DF" w14:paraId="384C9E2C" w14:textId="77777777" w:rsidTr="00E23F37">
        <w:trPr>
          <w:trHeight w:val="300"/>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389D1168" w14:textId="2B8E2EE5" w:rsidR="00E23F37" w:rsidRPr="00D85916" w:rsidRDefault="00E23F37" w:rsidP="00E23F37">
            <w:pPr>
              <w:spacing w:after="0"/>
              <w:ind w:left="0"/>
              <w:jc w:val="center"/>
              <w:rPr>
                <w:rFonts w:cs="Calibri"/>
                <w:color w:val="000000"/>
                <w:szCs w:val="24"/>
              </w:rPr>
            </w:pPr>
            <w:r>
              <w:rPr>
                <w:color w:val="000000"/>
              </w:rPr>
              <w:lastRenderedPageBreak/>
              <w:t>23</w:t>
            </w:r>
          </w:p>
        </w:tc>
        <w:tc>
          <w:tcPr>
            <w:tcW w:w="1627" w:type="dxa"/>
            <w:tcBorders>
              <w:top w:val="nil"/>
              <w:left w:val="nil"/>
              <w:bottom w:val="single" w:sz="8" w:space="0" w:color="000000"/>
              <w:right w:val="single" w:sz="8" w:space="0" w:color="000000"/>
            </w:tcBorders>
            <w:shd w:val="clear" w:color="auto" w:fill="auto"/>
            <w:noWrap/>
            <w:vAlign w:val="center"/>
            <w:hideMark/>
          </w:tcPr>
          <w:p w14:paraId="7CB1834B" w14:textId="77777777" w:rsidR="00E23F37" w:rsidRPr="00D85916" w:rsidRDefault="00E23F37" w:rsidP="00E23F37">
            <w:pPr>
              <w:spacing w:after="0"/>
              <w:ind w:left="0"/>
              <w:rPr>
                <w:rFonts w:cs="Calibri"/>
                <w:color w:val="000000"/>
                <w:szCs w:val="24"/>
              </w:rPr>
            </w:pPr>
            <w:r w:rsidRPr="00D85916">
              <w:rPr>
                <w:rFonts w:cs="Calibri"/>
                <w:color w:val="000000"/>
                <w:szCs w:val="24"/>
              </w:rPr>
              <w:t>Daily</w:t>
            </w:r>
          </w:p>
        </w:tc>
        <w:tc>
          <w:tcPr>
            <w:tcW w:w="1800" w:type="dxa"/>
            <w:tcBorders>
              <w:top w:val="nil"/>
              <w:left w:val="nil"/>
              <w:bottom w:val="single" w:sz="8" w:space="0" w:color="000000"/>
              <w:right w:val="single" w:sz="8" w:space="0" w:color="000000"/>
            </w:tcBorders>
            <w:shd w:val="clear" w:color="auto" w:fill="auto"/>
            <w:vAlign w:val="center"/>
            <w:hideMark/>
          </w:tcPr>
          <w:p w14:paraId="4106BD25" w14:textId="77777777" w:rsidR="00E23F37" w:rsidRPr="00D85916" w:rsidRDefault="00E23F37" w:rsidP="00E23F37">
            <w:pPr>
              <w:spacing w:after="0"/>
              <w:ind w:left="0"/>
              <w:rPr>
                <w:rFonts w:cs="Calibri"/>
                <w:color w:val="000000"/>
                <w:szCs w:val="24"/>
              </w:rPr>
            </w:pPr>
            <w:r w:rsidRPr="00D85916">
              <w:rPr>
                <w:rFonts w:cs="Calibri"/>
                <w:color w:val="000000"/>
                <w:szCs w:val="24"/>
              </w:rPr>
              <w:t>US Postal</w:t>
            </w:r>
          </w:p>
        </w:tc>
        <w:tc>
          <w:tcPr>
            <w:tcW w:w="7071" w:type="dxa"/>
            <w:tcBorders>
              <w:top w:val="nil"/>
              <w:left w:val="nil"/>
              <w:bottom w:val="single" w:sz="8" w:space="0" w:color="000000"/>
              <w:right w:val="single" w:sz="8" w:space="0" w:color="000000"/>
            </w:tcBorders>
            <w:shd w:val="clear" w:color="auto" w:fill="auto"/>
            <w:vAlign w:val="center"/>
            <w:hideMark/>
          </w:tcPr>
          <w:p w14:paraId="3A9319AC" w14:textId="7ED0A3F7" w:rsidR="00E23F37" w:rsidRPr="00D85916" w:rsidRDefault="00E23F37" w:rsidP="00E23F37">
            <w:pPr>
              <w:spacing w:after="0"/>
              <w:ind w:left="0"/>
              <w:rPr>
                <w:rFonts w:cs="Calibri"/>
                <w:color w:val="000000"/>
                <w:szCs w:val="24"/>
              </w:rPr>
            </w:pPr>
            <w:r w:rsidRPr="00D85916">
              <w:rPr>
                <w:rFonts w:cs="Calibri"/>
                <w:color w:val="000000"/>
                <w:szCs w:val="24"/>
              </w:rPr>
              <w:t>Claims filed against the US Postal Service. Claims need to</w:t>
            </w:r>
            <w:r>
              <w:rPr>
                <w:rFonts w:cs="Calibri"/>
                <w:color w:val="000000"/>
                <w:szCs w:val="24"/>
              </w:rPr>
              <w:t xml:space="preserve"> be pulled due to bad addresses</w:t>
            </w:r>
            <w:r w:rsidR="00C8224A">
              <w:rPr>
                <w:rFonts w:cs="Calibri"/>
                <w:color w:val="000000"/>
                <w:szCs w:val="24"/>
              </w:rPr>
              <w:t xml:space="preserve"> </w:t>
            </w:r>
            <w:r>
              <w:rPr>
                <w:rFonts w:cs="Calibri"/>
                <w:color w:val="000000"/>
                <w:szCs w:val="24"/>
              </w:rPr>
              <w:t>(Identifies breaks in workflow)</w:t>
            </w:r>
          </w:p>
        </w:tc>
      </w:tr>
      <w:tr w:rsidR="00E23F37" w:rsidRPr="001C17DF" w14:paraId="3F86E4A0" w14:textId="77777777" w:rsidTr="00E23F37">
        <w:trPr>
          <w:trHeight w:val="300"/>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6E5CCAC9" w14:textId="77CBE5D8" w:rsidR="00E23F37" w:rsidRPr="00D85916" w:rsidRDefault="00E23F37" w:rsidP="00E23F37">
            <w:pPr>
              <w:spacing w:after="0"/>
              <w:ind w:left="0"/>
              <w:jc w:val="center"/>
              <w:rPr>
                <w:rFonts w:cs="Calibri"/>
                <w:color w:val="000000"/>
                <w:szCs w:val="24"/>
              </w:rPr>
            </w:pPr>
            <w:r>
              <w:t>24</w:t>
            </w:r>
          </w:p>
        </w:tc>
        <w:tc>
          <w:tcPr>
            <w:tcW w:w="1627" w:type="dxa"/>
            <w:tcBorders>
              <w:top w:val="nil"/>
              <w:left w:val="nil"/>
              <w:bottom w:val="single" w:sz="8" w:space="0" w:color="000000"/>
              <w:right w:val="single" w:sz="8" w:space="0" w:color="000000"/>
            </w:tcBorders>
            <w:shd w:val="clear" w:color="auto" w:fill="auto"/>
            <w:noWrap/>
            <w:vAlign w:val="center"/>
            <w:hideMark/>
          </w:tcPr>
          <w:p w14:paraId="78DC61D3" w14:textId="77777777" w:rsidR="00E23F37" w:rsidRPr="00D85916" w:rsidRDefault="00E23F37" w:rsidP="00E23F37">
            <w:pPr>
              <w:spacing w:after="0"/>
              <w:ind w:left="0"/>
              <w:rPr>
                <w:rFonts w:cs="Calibri"/>
                <w:color w:val="000000"/>
                <w:szCs w:val="24"/>
              </w:rPr>
            </w:pPr>
            <w:r w:rsidRPr="00D85916">
              <w:rPr>
                <w:rFonts w:cs="Calibri"/>
                <w:color w:val="000000"/>
                <w:szCs w:val="24"/>
              </w:rPr>
              <w:t>Daily</w:t>
            </w:r>
          </w:p>
        </w:tc>
        <w:tc>
          <w:tcPr>
            <w:tcW w:w="1800" w:type="dxa"/>
            <w:tcBorders>
              <w:top w:val="nil"/>
              <w:left w:val="nil"/>
              <w:bottom w:val="single" w:sz="8" w:space="0" w:color="000000"/>
              <w:right w:val="single" w:sz="8" w:space="0" w:color="000000"/>
            </w:tcBorders>
            <w:shd w:val="clear" w:color="auto" w:fill="auto"/>
            <w:vAlign w:val="center"/>
            <w:hideMark/>
          </w:tcPr>
          <w:p w14:paraId="39A1CF91" w14:textId="24F6F195" w:rsidR="00E23F37" w:rsidRPr="00D85916" w:rsidRDefault="00E23F37" w:rsidP="00E23F37">
            <w:pPr>
              <w:spacing w:after="0"/>
              <w:ind w:left="0"/>
              <w:rPr>
                <w:rFonts w:cs="Calibri"/>
                <w:color w:val="000000"/>
                <w:szCs w:val="24"/>
              </w:rPr>
            </w:pPr>
            <w:r w:rsidRPr="00D85916">
              <w:rPr>
                <w:rFonts w:cs="Calibri"/>
                <w:color w:val="000000"/>
                <w:szCs w:val="24"/>
              </w:rPr>
              <w:t>Employer</w:t>
            </w:r>
            <w:r>
              <w:rPr>
                <w:rFonts w:cs="Calibri"/>
                <w:color w:val="000000"/>
                <w:szCs w:val="24"/>
              </w:rPr>
              <w:t xml:space="preserve"> </w:t>
            </w:r>
            <w:r w:rsidRPr="00D85916">
              <w:rPr>
                <w:rFonts w:cs="Calibri"/>
                <w:color w:val="000000"/>
                <w:szCs w:val="24"/>
              </w:rPr>
              <w:t>Pulls</w:t>
            </w:r>
          </w:p>
        </w:tc>
        <w:tc>
          <w:tcPr>
            <w:tcW w:w="7071" w:type="dxa"/>
            <w:tcBorders>
              <w:top w:val="nil"/>
              <w:left w:val="nil"/>
              <w:bottom w:val="single" w:sz="8" w:space="0" w:color="000000"/>
              <w:right w:val="single" w:sz="8" w:space="0" w:color="000000"/>
            </w:tcBorders>
            <w:shd w:val="clear" w:color="auto" w:fill="auto"/>
            <w:vAlign w:val="center"/>
            <w:hideMark/>
          </w:tcPr>
          <w:p w14:paraId="0FA4C785" w14:textId="245B58D4" w:rsidR="00E23F37" w:rsidRPr="00D85916" w:rsidRDefault="00E23F37" w:rsidP="00E23F37">
            <w:pPr>
              <w:spacing w:after="0"/>
              <w:ind w:left="0"/>
              <w:rPr>
                <w:rFonts w:cs="Calibri"/>
                <w:color w:val="000000"/>
                <w:szCs w:val="24"/>
              </w:rPr>
            </w:pPr>
            <w:r w:rsidRPr="00D85916">
              <w:rPr>
                <w:rFonts w:cs="Calibri"/>
                <w:color w:val="000000"/>
                <w:szCs w:val="24"/>
              </w:rPr>
              <w:t xml:space="preserve">List of documents being issued to </w:t>
            </w:r>
            <w:r>
              <w:rPr>
                <w:rFonts w:cs="Calibri"/>
                <w:color w:val="000000"/>
                <w:szCs w:val="24"/>
              </w:rPr>
              <w:t xml:space="preserve">Employers </w:t>
            </w:r>
            <w:r w:rsidRPr="00D85916">
              <w:rPr>
                <w:rFonts w:cs="Calibri"/>
                <w:color w:val="000000"/>
                <w:szCs w:val="24"/>
              </w:rPr>
              <w:t xml:space="preserve">but sent to the incorrect employer. These </w:t>
            </w:r>
            <w:r>
              <w:rPr>
                <w:rFonts w:cs="Calibri"/>
                <w:color w:val="000000"/>
                <w:szCs w:val="24"/>
              </w:rPr>
              <w:t xml:space="preserve">Employers </w:t>
            </w:r>
            <w:r w:rsidRPr="00D85916">
              <w:rPr>
                <w:rFonts w:cs="Calibri"/>
                <w:color w:val="000000"/>
                <w:szCs w:val="24"/>
              </w:rPr>
              <w:t>have a history of receiving wrong leu separation information</w:t>
            </w:r>
            <w:r w:rsidR="00C8224A">
              <w:rPr>
                <w:rFonts w:cs="Calibri"/>
                <w:color w:val="000000"/>
                <w:szCs w:val="24"/>
              </w:rPr>
              <w:t xml:space="preserve"> </w:t>
            </w:r>
            <w:r>
              <w:rPr>
                <w:rFonts w:cs="Calibri"/>
                <w:color w:val="000000"/>
                <w:szCs w:val="24"/>
              </w:rPr>
              <w:t>(Identifies breaks in workflow)</w:t>
            </w:r>
          </w:p>
        </w:tc>
      </w:tr>
      <w:tr w:rsidR="00E23F37" w:rsidRPr="001C17DF" w14:paraId="6C99DB23" w14:textId="77777777" w:rsidTr="00E23F37">
        <w:trPr>
          <w:trHeight w:val="588"/>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34FDA784" w14:textId="260E8A11" w:rsidR="00E23F37" w:rsidRPr="00D85916" w:rsidRDefault="00E23F37" w:rsidP="00E23F37">
            <w:pPr>
              <w:spacing w:after="0"/>
              <w:ind w:left="0"/>
              <w:jc w:val="center"/>
              <w:rPr>
                <w:rFonts w:cs="Calibri"/>
                <w:color w:val="000000"/>
                <w:szCs w:val="24"/>
              </w:rPr>
            </w:pPr>
            <w:r>
              <w:rPr>
                <w:color w:val="000000"/>
              </w:rPr>
              <w:t>25</w:t>
            </w:r>
          </w:p>
        </w:tc>
        <w:tc>
          <w:tcPr>
            <w:tcW w:w="1627" w:type="dxa"/>
            <w:tcBorders>
              <w:top w:val="nil"/>
              <w:left w:val="nil"/>
              <w:bottom w:val="single" w:sz="8" w:space="0" w:color="000000"/>
              <w:right w:val="single" w:sz="8" w:space="0" w:color="000000"/>
            </w:tcBorders>
            <w:shd w:val="clear" w:color="auto" w:fill="auto"/>
            <w:noWrap/>
            <w:vAlign w:val="center"/>
            <w:hideMark/>
          </w:tcPr>
          <w:p w14:paraId="0210412F" w14:textId="77777777" w:rsidR="00E23F37" w:rsidRPr="00D85916" w:rsidRDefault="00E23F37" w:rsidP="00E23F37">
            <w:pPr>
              <w:spacing w:after="0"/>
              <w:ind w:left="0"/>
              <w:rPr>
                <w:rFonts w:cs="Calibri"/>
                <w:color w:val="000000"/>
                <w:szCs w:val="24"/>
              </w:rPr>
            </w:pPr>
            <w:r w:rsidRPr="00D85916">
              <w:rPr>
                <w:rFonts w:cs="Calibri"/>
                <w:color w:val="000000"/>
                <w:szCs w:val="24"/>
              </w:rPr>
              <w:t>Daily</w:t>
            </w:r>
          </w:p>
        </w:tc>
        <w:tc>
          <w:tcPr>
            <w:tcW w:w="1800" w:type="dxa"/>
            <w:tcBorders>
              <w:top w:val="nil"/>
              <w:left w:val="nil"/>
              <w:bottom w:val="single" w:sz="8" w:space="0" w:color="000000"/>
              <w:right w:val="single" w:sz="8" w:space="0" w:color="000000"/>
            </w:tcBorders>
            <w:shd w:val="clear" w:color="auto" w:fill="auto"/>
            <w:vAlign w:val="center"/>
            <w:hideMark/>
          </w:tcPr>
          <w:p w14:paraId="44A14D77" w14:textId="696146E3" w:rsidR="00E23F37" w:rsidRPr="00D85916" w:rsidRDefault="00E23F37" w:rsidP="00E23F37">
            <w:pPr>
              <w:spacing w:after="0"/>
              <w:ind w:left="0"/>
              <w:rPr>
                <w:rFonts w:cs="Calibri"/>
                <w:color w:val="000000"/>
                <w:szCs w:val="24"/>
              </w:rPr>
            </w:pPr>
            <w:r w:rsidRPr="00D85916">
              <w:rPr>
                <w:rFonts w:cs="Calibri"/>
                <w:color w:val="000000"/>
                <w:szCs w:val="24"/>
              </w:rPr>
              <w:t>Houston</w:t>
            </w:r>
            <w:r>
              <w:rPr>
                <w:rFonts w:cs="Calibri"/>
                <w:color w:val="000000"/>
                <w:szCs w:val="24"/>
              </w:rPr>
              <w:t xml:space="preserve"> </w:t>
            </w:r>
            <w:r w:rsidRPr="00D85916">
              <w:rPr>
                <w:rFonts w:cs="Calibri"/>
                <w:color w:val="000000"/>
                <w:szCs w:val="24"/>
              </w:rPr>
              <w:t>CC</w:t>
            </w:r>
          </w:p>
        </w:tc>
        <w:tc>
          <w:tcPr>
            <w:tcW w:w="7071" w:type="dxa"/>
            <w:tcBorders>
              <w:top w:val="nil"/>
              <w:left w:val="nil"/>
              <w:bottom w:val="single" w:sz="8" w:space="0" w:color="000000"/>
              <w:right w:val="single" w:sz="8" w:space="0" w:color="000000"/>
            </w:tcBorders>
            <w:shd w:val="clear" w:color="auto" w:fill="auto"/>
            <w:vAlign w:val="center"/>
            <w:hideMark/>
          </w:tcPr>
          <w:p w14:paraId="7B259A35" w14:textId="0F251C29" w:rsidR="00E23F37" w:rsidRPr="00D85916" w:rsidRDefault="00E23F37" w:rsidP="00E23F37">
            <w:pPr>
              <w:spacing w:after="0"/>
              <w:ind w:left="0"/>
              <w:rPr>
                <w:rFonts w:cs="Calibri"/>
                <w:color w:val="000000"/>
                <w:szCs w:val="24"/>
              </w:rPr>
            </w:pPr>
            <w:r w:rsidRPr="00D85916">
              <w:rPr>
                <w:rFonts w:cs="Calibri"/>
                <w:color w:val="000000"/>
                <w:szCs w:val="24"/>
              </w:rPr>
              <w:t xml:space="preserve">Daily listing of SIDES </w:t>
            </w:r>
            <w:r>
              <w:rPr>
                <w:rFonts w:cs="Calibri"/>
                <w:color w:val="000000"/>
                <w:szCs w:val="24"/>
              </w:rPr>
              <w:t xml:space="preserve">Employer </w:t>
            </w:r>
            <w:r w:rsidRPr="00D85916">
              <w:rPr>
                <w:rFonts w:cs="Calibri"/>
                <w:color w:val="000000"/>
                <w:szCs w:val="24"/>
              </w:rPr>
              <w:t>responses received the prior business day</w:t>
            </w:r>
            <w:r>
              <w:rPr>
                <w:rFonts w:cs="Calibri"/>
                <w:color w:val="000000"/>
                <w:szCs w:val="24"/>
              </w:rPr>
              <w:t xml:space="preserve"> from Houston Community College</w:t>
            </w:r>
            <w:r w:rsidR="00C8224A">
              <w:rPr>
                <w:rFonts w:cs="Calibri"/>
                <w:color w:val="000000"/>
                <w:szCs w:val="24"/>
              </w:rPr>
              <w:t xml:space="preserve"> </w:t>
            </w:r>
            <w:r>
              <w:rPr>
                <w:rFonts w:cs="Calibri"/>
                <w:color w:val="000000"/>
                <w:szCs w:val="24"/>
              </w:rPr>
              <w:t>(Identifies breaks in workflow)</w:t>
            </w:r>
          </w:p>
        </w:tc>
      </w:tr>
      <w:tr w:rsidR="00E23F37" w:rsidRPr="001C17DF" w14:paraId="5858C1E8" w14:textId="77777777" w:rsidTr="00E23F37">
        <w:trPr>
          <w:trHeight w:val="300"/>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6578BF87" w14:textId="4A24897F" w:rsidR="00E23F37" w:rsidRPr="00D85916" w:rsidRDefault="00E23F37" w:rsidP="00E23F37">
            <w:pPr>
              <w:spacing w:after="0"/>
              <w:ind w:left="0"/>
              <w:jc w:val="center"/>
              <w:rPr>
                <w:rFonts w:cs="Calibri"/>
                <w:color w:val="000000"/>
                <w:szCs w:val="24"/>
              </w:rPr>
            </w:pPr>
            <w:r>
              <w:t>26</w:t>
            </w:r>
          </w:p>
        </w:tc>
        <w:tc>
          <w:tcPr>
            <w:tcW w:w="1627" w:type="dxa"/>
            <w:tcBorders>
              <w:top w:val="nil"/>
              <w:left w:val="nil"/>
              <w:bottom w:val="single" w:sz="8" w:space="0" w:color="000000"/>
              <w:right w:val="single" w:sz="8" w:space="0" w:color="000000"/>
            </w:tcBorders>
            <w:shd w:val="clear" w:color="auto" w:fill="auto"/>
            <w:noWrap/>
            <w:vAlign w:val="center"/>
            <w:hideMark/>
          </w:tcPr>
          <w:p w14:paraId="64589AF2" w14:textId="77777777" w:rsidR="00E23F37" w:rsidRPr="00D85916" w:rsidRDefault="00E23F37" w:rsidP="00E23F37">
            <w:pPr>
              <w:spacing w:after="0"/>
              <w:ind w:left="0"/>
              <w:rPr>
                <w:rFonts w:cs="Calibri"/>
                <w:color w:val="000000"/>
                <w:szCs w:val="24"/>
              </w:rPr>
            </w:pPr>
            <w:r w:rsidRPr="00D85916">
              <w:rPr>
                <w:rFonts w:cs="Calibri"/>
                <w:color w:val="000000"/>
                <w:szCs w:val="24"/>
              </w:rPr>
              <w:t>Daily</w:t>
            </w:r>
          </w:p>
        </w:tc>
        <w:tc>
          <w:tcPr>
            <w:tcW w:w="1800" w:type="dxa"/>
            <w:tcBorders>
              <w:top w:val="nil"/>
              <w:left w:val="nil"/>
              <w:bottom w:val="single" w:sz="8" w:space="0" w:color="000000"/>
              <w:right w:val="single" w:sz="8" w:space="0" w:color="000000"/>
            </w:tcBorders>
            <w:shd w:val="clear" w:color="auto" w:fill="auto"/>
            <w:vAlign w:val="center"/>
            <w:hideMark/>
          </w:tcPr>
          <w:p w14:paraId="363D2E40" w14:textId="76A0D3E5" w:rsidR="00E23F37" w:rsidRPr="00D85916" w:rsidRDefault="00E23F37" w:rsidP="00E23F37">
            <w:pPr>
              <w:spacing w:after="0"/>
              <w:ind w:left="0"/>
              <w:rPr>
                <w:rFonts w:cs="Calibri"/>
                <w:color w:val="000000"/>
                <w:szCs w:val="24"/>
              </w:rPr>
            </w:pPr>
            <w:r w:rsidRPr="00D85916">
              <w:rPr>
                <w:rFonts w:cs="Calibri"/>
                <w:color w:val="000000"/>
                <w:szCs w:val="24"/>
              </w:rPr>
              <w:t>No</w:t>
            </w:r>
            <w:r>
              <w:rPr>
                <w:rFonts w:cs="Calibri"/>
                <w:color w:val="000000"/>
                <w:szCs w:val="24"/>
              </w:rPr>
              <w:t xml:space="preserve"> </w:t>
            </w:r>
            <w:r w:rsidRPr="00D85916">
              <w:rPr>
                <w:rFonts w:cs="Calibri"/>
                <w:color w:val="000000"/>
                <w:szCs w:val="24"/>
              </w:rPr>
              <w:t>Work</w:t>
            </w:r>
            <w:r>
              <w:rPr>
                <w:rFonts w:cs="Calibri"/>
                <w:color w:val="000000"/>
                <w:szCs w:val="24"/>
              </w:rPr>
              <w:t xml:space="preserve"> </w:t>
            </w:r>
            <w:r w:rsidRPr="00D85916">
              <w:rPr>
                <w:rFonts w:cs="Calibri"/>
                <w:color w:val="000000"/>
                <w:szCs w:val="24"/>
              </w:rPr>
              <w:t>Record</w:t>
            </w:r>
            <w:r>
              <w:rPr>
                <w:rFonts w:cs="Calibri"/>
                <w:color w:val="000000"/>
                <w:szCs w:val="24"/>
              </w:rPr>
              <w:t xml:space="preserve"> </w:t>
            </w:r>
            <w:r w:rsidRPr="00D85916">
              <w:rPr>
                <w:rFonts w:cs="Calibri"/>
                <w:color w:val="000000"/>
                <w:szCs w:val="24"/>
              </w:rPr>
              <w:t>Pulls</w:t>
            </w:r>
          </w:p>
        </w:tc>
        <w:tc>
          <w:tcPr>
            <w:tcW w:w="7071" w:type="dxa"/>
            <w:tcBorders>
              <w:top w:val="nil"/>
              <w:left w:val="nil"/>
              <w:bottom w:val="single" w:sz="8" w:space="0" w:color="000000"/>
              <w:right w:val="single" w:sz="8" w:space="0" w:color="000000"/>
            </w:tcBorders>
            <w:shd w:val="clear" w:color="auto" w:fill="auto"/>
            <w:vAlign w:val="center"/>
            <w:hideMark/>
          </w:tcPr>
          <w:p w14:paraId="64241C26" w14:textId="6FB76D3C" w:rsidR="00E23F37" w:rsidRPr="00D85916" w:rsidRDefault="00E23F37" w:rsidP="00E23F37">
            <w:pPr>
              <w:spacing w:after="0"/>
              <w:ind w:left="0"/>
              <w:rPr>
                <w:rFonts w:cs="Calibri"/>
                <w:color w:val="000000"/>
                <w:szCs w:val="24"/>
              </w:rPr>
            </w:pPr>
            <w:r w:rsidRPr="00D85916">
              <w:rPr>
                <w:rFonts w:cs="Calibri"/>
                <w:color w:val="000000"/>
                <w:szCs w:val="24"/>
              </w:rPr>
              <w:t>List of documents being issued to the “No Work Record” address</w:t>
            </w:r>
            <w:r w:rsidR="00C8224A">
              <w:rPr>
                <w:rFonts w:cs="Calibri"/>
                <w:color w:val="000000"/>
                <w:szCs w:val="24"/>
              </w:rPr>
              <w:t xml:space="preserve"> </w:t>
            </w:r>
            <w:r>
              <w:rPr>
                <w:rFonts w:cs="Calibri"/>
                <w:color w:val="000000"/>
                <w:szCs w:val="24"/>
              </w:rPr>
              <w:t>(Identifies breaks in workflow)</w:t>
            </w:r>
          </w:p>
        </w:tc>
      </w:tr>
      <w:tr w:rsidR="00E23F37" w:rsidRPr="001C17DF" w14:paraId="443DD2D0" w14:textId="77777777" w:rsidTr="00E23F37">
        <w:trPr>
          <w:trHeight w:val="300"/>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6013D4E5" w14:textId="1B4BD09A" w:rsidR="00E23F37" w:rsidRPr="00D85916" w:rsidRDefault="00E23F37" w:rsidP="00E23F37">
            <w:pPr>
              <w:spacing w:after="0"/>
              <w:ind w:left="0"/>
              <w:jc w:val="center"/>
              <w:rPr>
                <w:rFonts w:cs="Calibri"/>
                <w:color w:val="000000"/>
                <w:szCs w:val="24"/>
              </w:rPr>
            </w:pPr>
            <w:r>
              <w:rPr>
                <w:color w:val="000000"/>
              </w:rPr>
              <w:t>27</w:t>
            </w:r>
          </w:p>
        </w:tc>
        <w:tc>
          <w:tcPr>
            <w:tcW w:w="1627" w:type="dxa"/>
            <w:tcBorders>
              <w:top w:val="nil"/>
              <w:left w:val="nil"/>
              <w:bottom w:val="single" w:sz="8" w:space="0" w:color="000000"/>
              <w:right w:val="single" w:sz="8" w:space="0" w:color="000000"/>
            </w:tcBorders>
            <w:shd w:val="clear" w:color="auto" w:fill="auto"/>
            <w:noWrap/>
            <w:vAlign w:val="center"/>
            <w:hideMark/>
          </w:tcPr>
          <w:p w14:paraId="73DB3971" w14:textId="77777777" w:rsidR="00E23F37" w:rsidRPr="00D85916" w:rsidRDefault="00E23F37" w:rsidP="00E23F37">
            <w:pPr>
              <w:spacing w:after="0"/>
              <w:ind w:left="0"/>
              <w:rPr>
                <w:rFonts w:cs="Calibri"/>
                <w:color w:val="000000"/>
                <w:szCs w:val="24"/>
              </w:rPr>
            </w:pPr>
            <w:r w:rsidRPr="00D85916">
              <w:rPr>
                <w:rFonts w:cs="Calibri"/>
                <w:color w:val="000000"/>
                <w:szCs w:val="24"/>
              </w:rPr>
              <w:t>Daily</w:t>
            </w:r>
          </w:p>
        </w:tc>
        <w:tc>
          <w:tcPr>
            <w:tcW w:w="1800" w:type="dxa"/>
            <w:tcBorders>
              <w:top w:val="nil"/>
              <w:left w:val="nil"/>
              <w:bottom w:val="single" w:sz="8" w:space="0" w:color="000000"/>
              <w:right w:val="single" w:sz="8" w:space="0" w:color="000000"/>
            </w:tcBorders>
            <w:shd w:val="clear" w:color="auto" w:fill="auto"/>
            <w:vAlign w:val="center"/>
            <w:hideMark/>
          </w:tcPr>
          <w:p w14:paraId="3C37A59A" w14:textId="7C9B3988" w:rsidR="00E23F37" w:rsidRPr="00D85916" w:rsidRDefault="00E23F37" w:rsidP="00E23F37">
            <w:pPr>
              <w:spacing w:after="0"/>
              <w:ind w:left="0"/>
              <w:rPr>
                <w:rFonts w:cs="Calibri"/>
                <w:color w:val="000000"/>
                <w:szCs w:val="24"/>
              </w:rPr>
            </w:pPr>
            <w:r w:rsidRPr="00D85916">
              <w:rPr>
                <w:rFonts w:cs="Calibri"/>
                <w:color w:val="000000"/>
                <w:szCs w:val="24"/>
              </w:rPr>
              <w:t>DD</w:t>
            </w:r>
            <w:r>
              <w:rPr>
                <w:rFonts w:cs="Calibri"/>
                <w:color w:val="000000"/>
                <w:szCs w:val="24"/>
              </w:rPr>
              <w:t xml:space="preserve"> </w:t>
            </w:r>
            <w:r w:rsidRPr="00D85916">
              <w:rPr>
                <w:rFonts w:cs="Calibri"/>
                <w:color w:val="000000"/>
                <w:szCs w:val="24"/>
              </w:rPr>
              <w:t>214</w:t>
            </w:r>
            <w:r>
              <w:rPr>
                <w:rFonts w:cs="Calibri"/>
                <w:color w:val="000000"/>
                <w:szCs w:val="24"/>
              </w:rPr>
              <w:t xml:space="preserve"> </w:t>
            </w:r>
            <w:r w:rsidRPr="00D85916">
              <w:rPr>
                <w:rFonts w:cs="Calibri"/>
                <w:color w:val="000000"/>
                <w:szCs w:val="24"/>
              </w:rPr>
              <w:t>Scheduled</w:t>
            </w:r>
          </w:p>
        </w:tc>
        <w:tc>
          <w:tcPr>
            <w:tcW w:w="7071" w:type="dxa"/>
            <w:tcBorders>
              <w:top w:val="nil"/>
              <w:left w:val="nil"/>
              <w:bottom w:val="single" w:sz="8" w:space="0" w:color="000000"/>
              <w:right w:val="single" w:sz="8" w:space="0" w:color="000000"/>
            </w:tcBorders>
            <w:shd w:val="clear" w:color="auto" w:fill="auto"/>
            <w:vAlign w:val="center"/>
            <w:hideMark/>
          </w:tcPr>
          <w:p w14:paraId="3DD8E108" w14:textId="2B7A7B64" w:rsidR="00E23F37" w:rsidRPr="00D85916" w:rsidRDefault="00E23F37" w:rsidP="00E23F37">
            <w:pPr>
              <w:spacing w:after="0"/>
              <w:ind w:left="0"/>
              <w:rPr>
                <w:rFonts w:cs="Calibri"/>
                <w:color w:val="000000"/>
                <w:szCs w:val="24"/>
              </w:rPr>
            </w:pPr>
            <w:r w:rsidRPr="00D85916">
              <w:rPr>
                <w:rFonts w:cs="Calibri"/>
                <w:color w:val="000000"/>
                <w:szCs w:val="24"/>
              </w:rPr>
              <w:t>Reviewing the data entry of the DD</w:t>
            </w:r>
            <w:r>
              <w:rPr>
                <w:rFonts w:cs="Calibri"/>
                <w:color w:val="000000"/>
                <w:szCs w:val="24"/>
              </w:rPr>
              <w:t xml:space="preserve"> </w:t>
            </w:r>
            <w:r w:rsidRPr="00D85916">
              <w:rPr>
                <w:rFonts w:cs="Calibri"/>
                <w:color w:val="000000"/>
                <w:szCs w:val="24"/>
              </w:rPr>
              <w:t xml:space="preserve">214 by </w:t>
            </w:r>
            <w:r w:rsidR="00D95960">
              <w:rPr>
                <w:rFonts w:cs="Arial"/>
                <w:snapToGrid w:val="0"/>
                <w:color w:val="000000"/>
                <w:szCs w:val="24"/>
              </w:rPr>
              <w:t>Customer Service Representative</w:t>
            </w:r>
            <w:r w:rsidR="00D95960" w:rsidRPr="00D85916">
              <w:rPr>
                <w:rFonts w:cs="Calibri"/>
                <w:color w:val="000000"/>
                <w:szCs w:val="24"/>
              </w:rPr>
              <w:t xml:space="preserve"> </w:t>
            </w:r>
            <w:r w:rsidR="00D95960">
              <w:rPr>
                <w:rFonts w:cs="Calibri"/>
                <w:color w:val="000000"/>
                <w:szCs w:val="24"/>
              </w:rPr>
              <w:t>(</w:t>
            </w:r>
            <w:r w:rsidRPr="00D85916">
              <w:rPr>
                <w:rFonts w:cs="Calibri"/>
                <w:color w:val="000000"/>
                <w:szCs w:val="24"/>
              </w:rPr>
              <w:t>CSR</w:t>
            </w:r>
            <w:r w:rsidR="00D95960">
              <w:rPr>
                <w:rFonts w:cs="Calibri"/>
                <w:color w:val="000000"/>
                <w:szCs w:val="24"/>
              </w:rPr>
              <w:t>)</w:t>
            </w:r>
            <w:r w:rsidRPr="00D85916">
              <w:rPr>
                <w:rFonts w:cs="Calibri"/>
                <w:color w:val="000000"/>
                <w:szCs w:val="24"/>
              </w:rPr>
              <w:t xml:space="preserve"> </w:t>
            </w:r>
            <w:r>
              <w:rPr>
                <w:rFonts w:cs="Calibri"/>
                <w:color w:val="000000"/>
                <w:szCs w:val="24"/>
              </w:rPr>
              <w:t>Staff</w:t>
            </w:r>
          </w:p>
        </w:tc>
      </w:tr>
      <w:tr w:rsidR="00E23F37" w:rsidRPr="001C17DF" w14:paraId="41DF9E82" w14:textId="77777777" w:rsidTr="00E23F37">
        <w:trPr>
          <w:trHeight w:val="300"/>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12CD466A" w14:textId="60B379C3" w:rsidR="00E23F37" w:rsidRPr="00D85916" w:rsidRDefault="00E23F37" w:rsidP="00E23F37">
            <w:pPr>
              <w:spacing w:after="0"/>
              <w:ind w:left="0"/>
              <w:jc w:val="center"/>
              <w:rPr>
                <w:rFonts w:cs="Calibri"/>
                <w:color w:val="000000"/>
                <w:szCs w:val="24"/>
              </w:rPr>
            </w:pPr>
            <w:r>
              <w:t>28</w:t>
            </w:r>
          </w:p>
        </w:tc>
        <w:tc>
          <w:tcPr>
            <w:tcW w:w="1627" w:type="dxa"/>
            <w:tcBorders>
              <w:top w:val="nil"/>
              <w:left w:val="nil"/>
              <w:bottom w:val="single" w:sz="8" w:space="0" w:color="000000"/>
              <w:right w:val="single" w:sz="8" w:space="0" w:color="000000"/>
            </w:tcBorders>
            <w:shd w:val="clear" w:color="auto" w:fill="auto"/>
            <w:noWrap/>
            <w:vAlign w:val="center"/>
            <w:hideMark/>
          </w:tcPr>
          <w:p w14:paraId="6813039B" w14:textId="77777777" w:rsidR="00E23F37" w:rsidRPr="00D85916" w:rsidRDefault="00E23F37" w:rsidP="00E23F37">
            <w:pPr>
              <w:spacing w:after="0"/>
              <w:ind w:left="0"/>
              <w:rPr>
                <w:rFonts w:cs="Calibri"/>
                <w:color w:val="000000"/>
                <w:szCs w:val="24"/>
              </w:rPr>
            </w:pPr>
            <w:r w:rsidRPr="00D85916">
              <w:rPr>
                <w:rFonts w:cs="Calibri"/>
                <w:color w:val="000000"/>
                <w:szCs w:val="24"/>
              </w:rPr>
              <w:t>Daily</w:t>
            </w:r>
          </w:p>
        </w:tc>
        <w:tc>
          <w:tcPr>
            <w:tcW w:w="1800" w:type="dxa"/>
            <w:tcBorders>
              <w:top w:val="nil"/>
              <w:left w:val="nil"/>
              <w:bottom w:val="single" w:sz="8" w:space="0" w:color="000000"/>
              <w:right w:val="single" w:sz="8" w:space="0" w:color="000000"/>
            </w:tcBorders>
            <w:shd w:val="clear" w:color="auto" w:fill="auto"/>
            <w:vAlign w:val="center"/>
            <w:hideMark/>
          </w:tcPr>
          <w:p w14:paraId="3C7E4CDE" w14:textId="77777777" w:rsidR="00E23F37" w:rsidRPr="00D85916" w:rsidRDefault="00E23F37" w:rsidP="00E23F37">
            <w:pPr>
              <w:spacing w:after="0"/>
              <w:ind w:left="0"/>
              <w:rPr>
                <w:rFonts w:cs="Calibri"/>
                <w:color w:val="000000"/>
                <w:szCs w:val="24"/>
              </w:rPr>
            </w:pPr>
            <w:r w:rsidRPr="00D85916">
              <w:rPr>
                <w:rFonts w:cs="Calibri"/>
                <w:color w:val="000000"/>
                <w:szCs w:val="24"/>
              </w:rPr>
              <w:t>UCX Pension</w:t>
            </w:r>
          </w:p>
        </w:tc>
        <w:tc>
          <w:tcPr>
            <w:tcW w:w="7071" w:type="dxa"/>
            <w:tcBorders>
              <w:top w:val="nil"/>
              <w:left w:val="nil"/>
              <w:bottom w:val="single" w:sz="8" w:space="0" w:color="000000"/>
              <w:right w:val="single" w:sz="8" w:space="0" w:color="000000"/>
            </w:tcBorders>
            <w:shd w:val="clear" w:color="auto" w:fill="auto"/>
            <w:vAlign w:val="center"/>
            <w:hideMark/>
          </w:tcPr>
          <w:p w14:paraId="5457A847" w14:textId="4E4A7A2E" w:rsidR="00E23F37" w:rsidRPr="00D85916" w:rsidRDefault="00E23F37" w:rsidP="00E23F37">
            <w:pPr>
              <w:spacing w:after="0"/>
              <w:ind w:left="0"/>
              <w:rPr>
                <w:rFonts w:cs="Calibri"/>
                <w:color w:val="000000"/>
                <w:szCs w:val="24"/>
              </w:rPr>
            </w:pPr>
            <w:r w:rsidRPr="00D85916">
              <w:rPr>
                <w:rFonts w:cs="Calibri"/>
                <w:color w:val="000000"/>
                <w:szCs w:val="24"/>
              </w:rPr>
              <w:t xml:space="preserve">Picks up pension cases assigned to </w:t>
            </w:r>
            <w:r>
              <w:t>Tele-Centers</w:t>
            </w:r>
            <w:r w:rsidRPr="00D85916" w:rsidDel="006C3D52">
              <w:rPr>
                <w:rFonts w:cs="Calibri"/>
                <w:color w:val="000000"/>
                <w:szCs w:val="24"/>
              </w:rPr>
              <w:t xml:space="preserve"> </w:t>
            </w:r>
            <w:r w:rsidRPr="00D85916">
              <w:rPr>
                <w:rFonts w:cs="Calibri"/>
                <w:color w:val="000000"/>
                <w:szCs w:val="24"/>
              </w:rPr>
              <w:t>and reassigns them to the state office (5411)</w:t>
            </w:r>
          </w:p>
        </w:tc>
      </w:tr>
      <w:tr w:rsidR="00E23F37" w:rsidRPr="001C17DF" w14:paraId="5A2868EB" w14:textId="77777777" w:rsidTr="00E23F37">
        <w:trPr>
          <w:trHeight w:val="300"/>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3AD0BE96" w14:textId="6FF8063D" w:rsidR="00E23F37" w:rsidRPr="00D85916" w:rsidRDefault="00E23F37" w:rsidP="00E23F37">
            <w:pPr>
              <w:spacing w:after="0"/>
              <w:ind w:left="0"/>
              <w:jc w:val="center"/>
              <w:rPr>
                <w:rFonts w:cs="Calibri"/>
                <w:color w:val="000000"/>
                <w:szCs w:val="24"/>
              </w:rPr>
            </w:pPr>
            <w:r>
              <w:rPr>
                <w:color w:val="000000"/>
              </w:rPr>
              <w:t>29</w:t>
            </w:r>
          </w:p>
        </w:tc>
        <w:tc>
          <w:tcPr>
            <w:tcW w:w="1627" w:type="dxa"/>
            <w:tcBorders>
              <w:top w:val="nil"/>
              <w:left w:val="nil"/>
              <w:bottom w:val="single" w:sz="8" w:space="0" w:color="000000"/>
              <w:right w:val="single" w:sz="8" w:space="0" w:color="000000"/>
            </w:tcBorders>
            <w:shd w:val="clear" w:color="auto" w:fill="auto"/>
            <w:noWrap/>
            <w:vAlign w:val="center"/>
            <w:hideMark/>
          </w:tcPr>
          <w:p w14:paraId="752C66C4" w14:textId="77777777" w:rsidR="00E23F37" w:rsidRPr="00D85916" w:rsidRDefault="00E23F37" w:rsidP="00E23F37">
            <w:pPr>
              <w:spacing w:after="0"/>
              <w:ind w:left="0"/>
              <w:rPr>
                <w:rFonts w:cs="Calibri"/>
                <w:color w:val="000000"/>
                <w:szCs w:val="24"/>
              </w:rPr>
            </w:pPr>
            <w:r w:rsidRPr="00D85916">
              <w:rPr>
                <w:rFonts w:cs="Calibri"/>
                <w:color w:val="000000"/>
                <w:szCs w:val="24"/>
              </w:rPr>
              <w:t>Daily</w:t>
            </w:r>
          </w:p>
        </w:tc>
        <w:tc>
          <w:tcPr>
            <w:tcW w:w="1800" w:type="dxa"/>
            <w:tcBorders>
              <w:top w:val="nil"/>
              <w:left w:val="nil"/>
              <w:bottom w:val="single" w:sz="8" w:space="0" w:color="000000"/>
              <w:right w:val="single" w:sz="8" w:space="0" w:color="000000"/>
            </w:tcBorders>
            <w:shd w:val="clear" w:color="auto" w:fill="auto"/>
            <w:vAlign w:val="center"/>
            <w:hideMark/>
          </w:tcPr>
          <w:p w14:paraId="436F6B15" w14:textId="77777777" w:rsidR="00E23F37" w:rsidRPr="00D85916" w:rsidRDefault="00E23F37" w:rsidP="00E23F37">
            <w:pPr>
              <w:spacing w:after="0"/>
              <w:ind w:left="0"/>
              <w:rPr>
                <w:rFonts w:cs="Calibri"/>
                <w:color w:val="000000"/>
                <w:szCs w:val="24"/>
              </w:rPr>
            </w:pPr>
            <w:r w:rsidRPr="00D85916">
              <w:rPr>
                <w:rFonts w:cs="Calibri"/>
                <w:color w:val="000000"/>
                <w:szCs w:val="24"/>
              </w:rPr>
              <w:t>UCFE/UCX IB04 Incoming Responses</w:t>
            </w:r>
          </w:p>
        </w:tc>
        <w:tc>
          <w:tcPr>
            <w:tcW w:w="7071" w:type="dxa"/>
            <w:tcBorders>
              <w:top w:val="nil"/>
              <w:left w:val="nil"/>
              <w:bottom w:val="single" w:sz="8" w:space="0" w:color="000000"/>
              <w:right w:val="single" w:sz="8" w:space="0" w:color="000000"/>
            </w:tcBorders>
            <w:shd w:val="clear" w:color="auto" w:fill="auto"/>
            <w:vAlign w:val="center"/>
            <w:hideMark/>
          </w:tcPr>
          <w:p w14:paraId="246BE477" w14:textId="1883AE47" w:rsidR="00E23F37" w:rsidRPr="00D85916" w:rsidRDefault="00E23F37" w:rsidP="00E23F37">
            <w:pPr>
              <w:spacing w:after="0"/>
              <w:ind w:left="0"/>
              <w:rPr>
                <w:rFonts w:cs="Calibri"/>
                <w:color w:val="000000"/>
                <w:szCs w:val="24"/>
              </w:rPr>
            </w:pPr>
            <w:r w:rsidRPr="00D85916">
              <w:rPr>
                <w:rFonts w:cs="Calibri"/>
                <w:color w:val="000000"/>
                <w:szCs w:val="24"/>
              </w:rPr>
              <w:t xml:space="preserve">Alert </w:t>
            </w:r>
            <w:r>
              <w:rPr>
                <w:rFonts w:cs="Calibri"/>
                <w:color w:val="000000"/>
                <w:szCs w:val="24"/>
              </w:rPr>
              <w:t>Staff</w:t>
            </w:r>
            <w:r w:rsidRPr="00D85916">
              <w:rPr>
                <w:rFonts w:cs="Calibri"/>
                <w:color w:val="000000"/>
                <w:szCs w:val="24"/>
              </w:rPr>
              <w:t xml:space="preserve"> when another state sends TWC federal or military wages</w:t>
            </w:r>
          </w:p>
        </w:tc>
      </w:tr>
      <w:tr w:rsidR="00E23F37" w:rsidRPr="001C17DF" w14:paraId="09F14E53" w14:textId="77777777" w:rsidTr="00E23F37">
        <w:trPr>
          <w:trHeight w:val="300"/>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5B4DE858" w14:textId="3833335D" w:rsidR="00E23F37" w:rsidRPr="00D85916" w:rsidRDefault="00E23F37" w:rsidP="00E23F37">
            <w:pPr>
              <w:spacing w:after="0"/>
              <w:ind w:left="0"/>
              <w:jc w:val="center"/>
              <w:rPr>
                <w:rFonts w:cs="Calibri"/>
                <w:color w:val="000000"/>
                <w:szCs w:val="24"/>
              </w:rPr>
            </w:pPr>
            <w:r>
              <w:t>30</w:t>
            </w:r>
          </w:p>
        </w:tc>
        <w:tc>
          <w:tcPr>
            <w:tcW w:w="1627" w:type="dxa"/>
            <w:tcBorders>
              <w:top w:val="nil"/>
              <w:left w:val="nil"/>
              <w:bottom w:val="single" w:sz="8" w:space="0" w:color="000000"/>
              <w:right w:val="single" w:sz="8" w:space="0" w:color="000000"/>
            </w:tcBorders>
            <w:shd w:val="clear" w:color="auto" w:fill="auto"/>
            <w:noWrap/>
            <w:vAlign w:val="center"/>
            <w:hideMark/>
          </w:tcPr>
          <w:p w14:paraId="56D7642A" w14:textId="77777777" w:rsidR="00E23F37" w:rsidRPr="00D85916" w:rsidRDefault="00E23F37" w:rsidP="00E23F37">
            <w:pPr>
              <w:spacing w:after="0"/>
              <w:ind w:left="0"/>
              <w:rPr>
                <w:rFonts w:cs="Calibri"/>
                <w:color w:val="000000"/>
                <w:szCs w:val="24"/>
              </w:rPr>
            </w:pPr>
            <w:r w:rsidRPr="00D85916">
              <w:rPr>
                <w:rFonts w:cs="Calibri"/>
                <w:color w:val="000000"/>
                <w:szCs w:val="24"/>
              </w:rPr>
              <w:t>Daily</w:t>
            </w:r>
          </w:p>
        </w:tc>
        <w:tc>
          <w:tcPr>
            <w:tcW w:w="1800" w:type="dxa"/>
            <w:tcBorders>
              <w:top w:val="nil"/>
              <w:left w:val="nil"/>
              <w:bottom w:val="single" w:sz="8" w:space="0" w:color="000000"/>
              <w:right w:val="single" w:sz="8" w:space="0" w:color="000000"/>
            </w:tcBorders>
            <w:shd w:val="clear" w:color="auto" w:fill="auto"/>
            <w:vAlign w:val="center"/>
            <w:hideMark/>
          </w:tcPr>
          <w:p w14:paraId="202A8430" w14:textId="77777777" w:rsidR="00E23F37" w:rsidRPr="00D85916" w:rsidRDefault="00E23F37" w:rsidP="00E23F37">
            <w:pPr>
              <w:spacing w:after="0"/>
              <w:ind w:left="0"/>
              <w:rPr>
                <w:rFonts w:cs="Calibri"/>
                <w:color w:val="000000"/>
                <w:szCs w:val="24"/>
              </w:rPr>
            </w:pPr>
            <w:r w:rsidRPr="00D85916">
              <w:rPr>
                <w:rFonts w:cs="Calibri"/>
                <w:color w:val="000000"/>
                <w:szCs w:val="24"/>
              </w:rPr>
              <w:t>AF2_RESERVE_GUARD_DAILY</w:t>
            </w:r>
          </w:p>
        </w:tc>
        <w:tc>
          <w:tcPr>
            <w:tcW w:w="7071" w:type="dxa"/>
            <w:tcBorders>
              <w:top w:val="nil"/>
              <w:left w:val="nil"/>
              <w:bottom w:val="single" w:sz="8" w:space="0" w:color="000000"/>
              <w:right w:val="single" w:sz="8" w:space="0" w:color="000000"/>
            </w:tcBorders>
            <w:shd w:val="clear" w:color="auto" w:fill="auto"/>
            <w:vAlign w:val="center"/>
            <w:hideMark/>
          </w:tcPr>
          <w:p w14:paraId="1A1DF29E" w14:textId="3780D7AA" w:rsidR="00E23F37" w:rsidRPr="00D85916" w:rsidRDefault="00E23F37" w:rsidP="00E23F37">
            <w:pPr>
              <w:spacing w:after="0"/>
              <w:ind w:left="0"/>
              <w:rPr>
                <w:rFonts w:cs="Calibri"/>
                <w:color w:val="000000"/>
                <w:szCs w:val="24"/>
              </w:rPr>
            </w:pPr>
            <w:r w:rsidRPr="00D85916">
              <w:rPr>
                <w:rFonts w:cs="Calibri"/>
                <w:color w:val="000000"/>
                <w:szCs w:val="24"/>
              </w:rPr>
              <w:t xml:space="preserve">Trying to find guard/reserve members who have not served 180 of </w:t>
            </w:r>
            <w:r w:rsidR="00FA2BCD">
              <w:rPr>
                <w:rFonts w:cs="Calibri"/>
                <w:color w:val="000000"/>
                <w:szCs w:val="24"/>
              </w:rPr>
              <w:t>active duty</w:t>
            </w:r>
          </w:p>
        </w:tc>
      </w:tr>
      <w:tr w:rsidR="00E23F37" w:rsidRPr="001C17DF" w14:paraId="0B5ACC14" w14:textId="77777777" w:rsidTr="00E23F37">
        <w:trPr>
          <w:trHeight w:val="300"/>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09567F1A" w14:textId="69086ADA" w:rsidR="00E23F37" w:rsidRPr="00D85916" w:rsidRDefault="00E23F37" w:rsidP="00E23F37">
            <w:pPr>
              <w:spacing w:after="0"/>
              <w:ind w:left="0"/>
              <w:jc w:val="center"/>
              <w:rPr>
                <w:rFonts w:cs="Calibri"/>
                <w:color w:val="000000"/>
                <w:szCs w:val="24"/>
              </w:rPr>
            </w:pPr>
            <w:r>
              <w:rPr>
                <w:color w:val="000000"/>
              </w:rPr>
              <w:t>31</w:t>
            </w:r>
          </w:p>
        </w:tc>
        <w:tc>
          <w:tcPr>
            <w:tcW w:w="1627" w:type="dxa"/>
            <w:tcBorders>
              <w:top w:val="nil"/>
              <w:left w:val="nil"/>
              <w:bottom w:val="single" w:sz="8" w:space="0" w:color="000000"/>
              <w:right w:val="single" w:sz="8" w:space="0" w:color="000000"/>
            </w:tcBorders>
            <w:shd w:val="clear" w:color="auto" w:fill="auto"/>
            <w:noWrap/>
            <w:vAlign w:val="center"/>
            <w:hideMark/>
          </w:tcPr>
          <w:p w14:paraId="5656BDB8" w14:textId="77777777" w:rsidR="00E23F37" w:rsidRPr="00D85916" w:rsidRDefault="00E23F37" w:rsidP="00E23F37">
            <w:pPr>
              <w:spacing w:after="0"/>
              <w:ind w:left="0"/>
              <w:rPr>
                <w:rFonts w:cs="Calibri"/>
                <w:color w:val="000000"/>
                <w:szCs w:val="24"/>
              </w:rPr>
            </w:pPr>
            <w:r w:rsidRPr="00D85916">
              <w:rPr>
                <w:rFonts w:cs="Calibri"/>
                <w:color w:val="000000"/>
                <w:szCs w:val="24"/>
              </w:rPr>
              <w:t>Daily</w:t>
            </w:r>
          </w:p>
        </w:tc>
        <w:tc>
          <w:tcPr>
            <w:tcW w:w="1800" w:type="dxa"/>
            <w:tcBorders>
              <w:top w:val="nil"/>
              <w:left w:val="nil"/>
              <w:bottom w:val="single" w:sz="8" w:space="0" w:color="000000"/>
              <w:right w:val="single" w:sz="8" w:space="0" w:color="000000"/>
            </w:tcBorders>
            <w:shd w:val="clear" w:color="auto" w:fill="auto"/>
            <w:vAlign w:val="center"/>
            <w:hideMark/>
          </w:tcPr>
          <w:p w14:paraId="58B91B4D" w14:textId="77777777" w:rsidR="00E23F37" w:rsidRPr="00D85916" w:rsidRDefault="00E23F37" w:rsidP="00E23F37">
            <w:pPr>
              <w:spacing w:after="0"/>
              <w:ind w:left="0"/>
              <w:rPr>
                <w:rFonts w:cs="Calibri"/>
                <w:color w:val="000000"/>
                <w:szCs w:val="24"/>
              </w:rPr>
            </w:pPr>
            <w:r w:rsidRPr="00D85916">
              <w:rPr>
                <w:rFonts w:cs="Calibri"/>
                <w:color w:val="000000"/>
                <w:szCs w:val="24"/>
              </w:rPr>
              <w:t>Navy-USMC</w:t>
            </w:r>
          </w:p>
        </w:tc>
        <w:tc>
          <w:tcPr>
            <w:tcW w:w="7071" w:type="dxa"/>
            <w:tcBorders>
              <w:top w:val="nil"/>
              <w:left w:val="nil"/>
              <w:bottom w:val="single" w:sz="8" w:space="0" w:color="000000"/>
              <w:right w:val="single" w:sz="8" w:space="0" w:color="000000"/>
            </w:tcBorders>
            <w:shd w:val="clear" w:color="auto" w:fill="auto"/>
            <w:vAlign w:val="center"/>
            <w:hideMark/>
          </w:tcPr>
          <w:p w14:paraId="5059428C" w14:textId="15BE0BFC" w:rsidR="00E23F37" w:rsidRPr="00D85916" w:rsidRDefault="00E23F37" w:rsidP="00E23F37">
            <w:pPr>
              <w:spacing w:after="0"/>
              <w:ind w:left="0"/>
              <w:rPr>
                <w:rFonts w:cs="Calibri"/>
                <w:color w:val="000000"/>
                <w:szCs w:val="24"/>
              </w:rPr>
            </w:pPr>
            <w:r w:rsidRPr="00D85916">
              <w:rPr>
                <w:rFonts w:cs="Calibri"/>
                <w:color w:val="000000"/>
                <w:szCs w:val="24"/>
              </w:rPr>
              <w:t>Report that searches for Navy and US Marine Corp claims where the individual served less than</w:t>
            </w:r>
            <w:r w:rsidR="00FA2BCD">
              <w:rPr>
                <w:rFonts w:cs="Calibri"/>
                <w:color w:val="000000"/>
                <w:szCs w:val="24"/>
              </w:rPr>
              <w:t xml:space="preserve"> 6 years of active duty service</w:t>
            </w:r>
          </w:p>
        </w:tc>
      </w:tr>
      <w:tr w:rsidR="00E23F37" w:rsidRPr="001C17DF" w14:paraId="1AEA7EDE" w14:textId="77777777" w:rsidTr="00E23F37">
        <w:trPr>
          <w:trHeight w:val="300"/>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3553DF3A" w14:textId="0576D94B" w:rsidR="00E23F37" w:rsidRPr="00D85916" w:rsidRDefault="00E23F37" w:rsidP="00E23F37">
            <w:pPr>
              <w:spacing w:after="0"/>
              <w:ind w:left="0"/>
              <w:jc w:val="center"/>
              <w:rPr>
                <w:rFonts w:cs="Calibri"/>
                <w:color w:val="000000"/>
                <w:szCs w:val="24"/>
              </w:rPr>
            </w:pPr>
            <w:r>
              <w:t>32</w:t>
            </w:r>
          </w:p>
        </w:tc>
        <w:tc>
          <w:tcPr>
            <w:tcW w:w="1627" w:type="dxa"/>
            <w:tcBorders>
              <w:top w:val="nil"/>
              <w:left w:val="nil"/>
              <w:bottom w:val="single" w:sz="8" w:space="0" w:color="000000"/>
              <w:right w:val="single" w:sz="8" w:space="0" w:color="000000"/>
            </w:tcBorders>
            <w:shd w:val="clear" w:color="auto" w:fill="auto"/>
            <w:noWrap/>
            <w:vAlign w:val="center"/>
            <w:hideMark/>
          </w:tcPr>
          <w:p w14:paraId="6DA7843E" w14:textId="77777777" w:rsidR="00E23F37" w:rsidRPr="00D85916" w:rsidRDefault="00E23F37" w:rsidP="00E23F37">
            <w:pPr>
              <w:spacing w:after="0"/>
              <w:ind w:left="0"/>
              <w:rPr>
                <w:rFonts w:cs="Calibri"/>
                <w:color w:val="000000"/>
                <w:szCs w:val="24"/>
              </w:rPr>
            </w:pPr>
            <w:r w:rsidRPr="00D85916">
              <w:rPr>
                <w:rFonts w:cs="Calibri"/>
                <w:color w:val="000000"/>
                <w:szCs w:val="24"/>
              </w:rPr>
              <w:t>Daily</w:t>
            </w:r>
          </w:p>
        </w:tc>
        <w:tc>
          <w:tcPr>
            <w:tcW w:w="1800" w:type="dxa"/>
            <w:tcBorders>
              <w:top w:val="nil"/>
              <w:left w:val="nil"/>
              <w:bottom w:val="single" w:sz="8" w:space="0" w:color="000000"/>
              <w:right w:val="single" w:sz="8" w:space="0" w:color="000000"/>
            </w:tcBorders>
            <w:shd w:val="clear" w:color="auto" w:fill="auto"/>
            <w:vAlign w:val="center"/>
            <w:hideMark/>
          </w:tcPr>
          <w:p w14:paraId="4E892600" w14:textId="77777777" w:rsidR="00E23F37" w:rsidRPr="00D85916" w:rsidRDefault="00E23F37" w:rsidP="00E23F37">
            <w:pPr>
              <w:spacing w:after="0"/>
              <w:ind w:left="0"/>
              <w:rPr>
                <w:rFonts w:cs="Calibri"/>
                <w:color w:val="000000"/>
                <w:szCs w:val="24"/>
              </w:rPr>
            </w:pPr>
            <w:r w:rsidRPr="00D85916">
              <w:rPr>
                <w:rFonts w:cs="Calibri"/>
                <w:color w:val="000000"/>
                <w:szCs w:val="24"/>
              </w:rPr>
              <w:t xml:space="preserve">SIDES Batch Error </w:t>
            </w:r>
          </w:p>
        </w:tc>
        <w:tc>
          <w:tcPr>
            <w:tcW w:w="7071" w:type="dxa"/>
            <w:tcBorders>
              <w:top w:val="nil"/>
              <w:left w:val="nil"/>
              <w:bottom w:val="single" w:sz="8" w:space="0" w:color="000000"/>
              <w:right w:val="single" w:sz="8" w:space="0" w:color="000000"/>
            </w:tcBorders>
            <w:shd w:val="clear" w:color="auto" w:fill="auto"/>
            <w:vAlign w:val="center"/>
            <w:hideMark/>
          </w:tcPr>
          <w:p w14:paraId="7E83A1FE" w14:textId="0225C470" w:rsidR="00E23F37" w:rsidRPr="00D85916" w:rsidRDefault="00472F3B" w:rsidP="00E23F37">
            <w:pPr>
              <w:spacing w:after="0"/>
              <w:ind w:left="0"/>
              <w:rPr>
                <w:rFonts w:cs="Calibri"/>
                <w:color w:val="000000"/>
                <w:szCs w:val="24"/>
              </w:rPr>
            </w:pPr>
            <w:r>
              <w:rPr>
                <w:rFonts w:cs="Calibri"/>
                <w:color w:val="000000"/>
                <w:szCs w:val="24"/>
              </w:rPr>
              <w:t>Report of errors when importing SIDES responses</w:t>
            </w:r>
          </w:p>
        </w:tc>
      </w:tr>
      <w:tr w:rsidR="00E23F37" w:rsidRPr="001C17DF" w14:paraId="056D9033" w14:textId="77777777" w:rsidTr="00E23F37">
        <w:trPr>
          <w:trHeight w:val="300"/>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3111CC36" w14:textId="6DBE6CDD" w:rsidR="00E23F37" w:rsidRPr="00D85916" w:rsidRDefault="00E23F37" w:rsidP="00E23F37">
            <w:pPr>
              <w:spacing w:after="0"/>
              <w:ind w:left="0"/>
              <w:jc w:val="center"/>
              <w:rPr>
                <w:rFonts w:cs="Calibri"/>
                <w:color w:val="000000"/>
                <w:szCs w:val="24"/>
              </w:rPr>
            </w:pPr>
            <w:r>
              <w:rPr>
                <w:color w:val="000000"/>
              </w:rPr>
              <w:t>33</w:t>
            </w:r>
          </w:p>
        </w:tc>
        <w:tc>
          <w:tcPr>
            <w:tcW w:w="1627" w:type="dxa"/>
            <w:tcBorders>
              <w:top w:val="nil"/>
              <w:left w:val="nil"/>
              <w:bottom w:val="single" w:sz="8" w:space="0" w:color="000000"/>
              <w:right w:val="single" w:sz="8" w:space="0" w:color="000000"/>
            </w:tcBorders>
            <w:shd w:val="clear" w:color="auto" w:fill="auto"/>
            <w:noWrap/>
            <w:vAlign w:val="center"/>
            <w:hideMark/>
          </w:tcPr>
          <w:p w14:paraId="12D40AFD" w14:textId="77777777" w:rsidR="00E23F37" w:rsidRPr="00D85916" w:rsidRDefault="00E23F37" w:rsidP="00E23F37">
            <w:pPr>
              <w:spacing w:after="0"/>
              <w:ind w:left="0"/>
              <w:rPr>
                <w:rFonts w:cs="Calibri"/>
                <w:color w:val="000000"/>
                <w:szCs w:val="24"/>
              </w:rPr>
            </w:pPr>
            <w:r w:rsidRPr="00D85916">
              <w:rPr>
                <w:rFonts w:cs="Calibri"/>
                <w:color w:val="000000"/>
                <w:szCs w:val="24"/>
              </w:rPr>
              <w:t>Daily</w:t>
            </w:r>
          </w:p>
        </w:tc>
        <w:tc>
          <w:tcPr>
            <w:tcW w:w="1800" w:type="dxa"/>
            <w:tcBorders>
              <w:top w:val="nil"/>
              <w:left w:val="nil"/>
              <w:bottom w:val="single" w:sz="8" w:space="0" w:color="000000"/>
              <w:right w:val="single" w:sz="8" w:space="0" w:color="000000"/>
            </w:tcBorders>
            <w:shd w:val="clear" w:color="auto" w:fill="auto"/>
            <w:vAlign w:val="center"/>
            <w:hideMark/>
          </w:tcPr>
          <w:p w14:paraId="6BB63771" w14:textId="77777777" w:rsidR="00E23F37" w:rsidRPr="00D85916" w:rsidRDefault="00E23F37" w:rsidP="00E23F37">
            <w:pPr>
              <w:spacing w:after="0"/>
              <w:ind w:left="0"/>
              <w:rPr>
                <w:rFonts w:cs="Calibri"/>
                <w:color w:val="000000"/>
                <w:szCs w:val="24"/>
              </w:rPr>
            </w:pPr>
            <w:r w:rsidRPr="00D85916">
              <w:rPr>
                <w:rFonts w:cs="Calibri"/>
                <w:color w:val="000000"/>
                <w:szCs w:val="24"/>
              </w:rPr>
              <w:t>RTW Waiting Week Daily Report</w:t>
            </w:r>
          </w:p>
        </w:tc>
        <w:tc>
          <w:tcPr>
            <w:tcW w:w="7071" w:type="dxa"/>
            <w:tcBorders>
              <w:top w:val="nil"/>
              <w:left w:val="nil"/>
              <w:bottom w:val="single" w:sz="8" w:space="0" w:color="000000"/>
              <w:right w:val="single" w:sz="8" w:space="0" w:color="000000"/>
            </w:tcBorders>
            <w:shd w:val="clear" w:color="auto" w:fill="auto"/>
            <w:vAlign w:val="center"/>
            <w:hideMark/>
          </w:tcPr>
          <w:p w14:paraId="4879D858" w14:textId="77777777" w:rsidR="00E23F37" w:rsidRPr="00D85916" w:rsidRDefault="00E23F37" w:rsidP="00E23F37">
            <w:pPr>
              <w:spacing w:after="0"/>
              <w:ind w:left="0"/>
              <w:rPr>
                <w:rFonts w:cs="Calibri"/>
                <w:color w:val="000000"/>
                <w:szCs w:val="24"/>
              </w:rPr>
            </w:pPr>
            <w:r w:rsidRPr="00D85916">
              <w:rPr>
                <w:rFonts w:cs="Calibri"/>
                <w:color w:val="000000"/>
                <w:szCs w:val="24"/>
              </w:rPr>
              <w:t>Daily listing of individuals who have returned to work and no waiting week has been released</w:t>
            </w:r>
          </w:p>
        </w:tc>
      </w:tr>
      <w:tr w:rsidR="00E23F37" w:rsidRPr="001C17DF" w14:paraId="657553AD" w14:textId="77777777" w:rsidTr="00E23F37">
        <w:trPr>
          <w:trHeight w:val="300"/>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57419B0A" w14:textId="2742C2C8" w:rsidR="00E23F37" w:rsidRPr="00D85916" w:rsidRDefault="00E23F37" w:rsidP="00E23F37">
            <w:pPr>
              <w:spacing w:after="0"/>
              <w:ind w:left="0"/>
              <w:jc w:val="center"/>
              <w:rPr>
                <w:rFonts w:cs="Calibri"/>
                <w:color w:val="000000"/>
                <w:szCs w:val="24"/>
              </w:rPr>
            </w:pPr>
            <w:r>
              <w:t>34</w:t>
            </w:r>
          </w:p>
        </w:tc>
        <w:tc>
          <w:tcPr>
            <w:tcW w:w="1627" w:type="dxa"/>
            <w:tcBorders>
              <w:top w:val="nil"/>
              <w:left w:val="nil"/>
              <w:bottom w:val="single" w:sz="8" w:space="0" w:color="000000"/>
              <w:right w:val="single" w:sz="8" w:space="0" w:color="000000"/>
            </w:tcBorders>
            <w:shd w:val="clear" w:color="auto" w:fill="auto"/>
            <w:noWrap/>
            <w:vAlign w:val="center"/>
            <w:hideMark/>
          </w:tcPr>
          <w:p w14:paraId="0AE5B669" w14:textId="77777777" w:rsidR="00E23F37" w:rsidRPr="00D85916" w:rsidRDefault="00E23F37" w:rsidP="00E23F37">
            <w:pPr>
              <w:spacing w:after="0"/>
              <w:ind w:left="0"/>
              <w:rPr>
                <w:rFonts w:cs="Calibri"/>
                <w:color w:val="000000"/>
                <w:szCs w:val="24"/>
              </w:rPr>
            </w:pPr>
            <w:r w:rsidRPr="00D85916">
              <w:rPr>
                <w:rFonts w:cs="Calibri"/>
                <w:color w:val="000000"/>
                <w:szCs w:val="24"/>
              </w:rPr>
              <w:t>Daily</w:t>
            </w:r>
          </w:p>
        </w:tc>
        <w:tc>
          <w:tcPr>
            <w:tcW w:w="1800" w:type="dxa"/>
            <w:tcBorders>
              <w:top w:val="nil"/>
              <w:left w:val="nil"/>
              <w:bottom w:val="single" w:sz="8" w:space="0" w:color="000000"/>
              <w:right w:val="single" w:sz="8" w:space="0" w:color="000000"/>
            </w:tcBorders>
            <w:shd w:val="clear" w:color="auto" w:fill="auto"/>
            <w:vAlign w:val="center"/>
            <w:hideMark/>
          </w:tcPr>
          <w:p w14:paraId="2993A393" w14:textId="77777777" w:rsidR="00E23F37" w:rsidRPr="00D85916" w:rsidRDefault="00E23F37" w:rsidP="00E23F37">
            <w:pPr>
              <w:spacing w:after="0"/>
              <w:ind w:left="0"/>
              <w:rPr>
                <w:rFonts w:cs="Calibri"/>
                <w:color w:val="000000"/>
                <w:szCs w:val="24"/>
              </w:rPr>
            </w:pPr>
            <w:r w:rsidRPr="00D85916">
              <w:rPr>
                <w:rFonts w:cs="Calibri"/>
                <w:color w:val="000000"/>
                <w:szCs w:val="24"/>
              </w:rPr>
              <w:t>AF2_RESERVE_GUARD_DAILY_3_PM_REPORT</w:t>
            </w:r>
          </w:p>
        </w:tc>
        <w:tc>
          <w:tcPr>
            <w:tcW w:w="7071" w:type="dxa"/>
            <w:tcBorders>
              <w:top w:val="nil"/>
              <w:left w:val="nil"/>
              <w:bottom w:val="single" w:sz="8" w:space="0" w:color="000000"/>
              <w:right w:val="single" w:sz="8" w:space="0" w:color="000000"/>
            </w:tcBorders>
            <w:shd w:val="clear" w:color="auto" w:fill="auto"/>
            <w:vAlign w:val="center"/>
            <w:hideMark/>
          </w:tcPr>
          <w:p w14:paraId="1FF7188B" w14:textId="3FEE89F8" w:rsidR="00E23F37" w:rsidRPr="00D85916" w:rsidRDefault="00E23F37" w:rsidP="00E23F37">
            <w:pPr>
              <w:spacing w:after="0"/>
              <w:ind w:left="0"/>
              <w:rPr>
                <w:rFonts w:cs="Calibri"/>
                <w:color w:val="000000"/>
                <w:szCs w:val="24"/>
              </w:rPr>
            </w:pPr>
            <w:r w:rsidRPr="00D85916">
              <w:rPr>
                <w:rFonts w:cs="Calibri"/>
                <w:color w:val="000000"/>
                <w:szCs w:val="24"/>
              </w:rPr>
              <w:t>Report run twice a day. IT-1 pending. Trying to find guard/reserve members who have not ser</w:t>
            </w:r>
            <w:r w:rsidR="00FA2BCD">
              <w:rPr>
                <w:rFonts w:cs="Calibri"/>
                <w:color w:val="000000"/>
                <w:szCs w:val="24"/>
              </w:rPr>
              <w:t>ved 180 of active duty</w:t>
            </w:r>
          </w:p>
        </w:tc>
      </w:tr>
      <w:tr w:rsidR="00E23F37" w:rsidRPr="001C17DF" w14:paraId="7B32A6C9" w14:textId="77777777" w:rsidTr="00E23F37">
        <w:trPr>
          <w:trHeight w:val="588"/>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6118031D" w14:textId="2AC44C42" w:rsidR="00E23F37" w:rsidRPr="00D85916" w:rsidRDefault="00E23F37" w:rsidP="00E23F37">
            <w:pPr>
              <w:spacing w:after="0"/>
              <w:ind w:left="0"/>
              <w:jc w:val="center"/>
              <w:rPr>
                <w:rFonts w:cs="Calibri"/>
                <w:color w:val="000000"/>
                <w:szCs w:val="24"/>
              </w:rPr>
            </w:pPr>
            <w:r>
              <w:rPr>
                <w:color w:val="000000"/>
              </w:rPr>
              <w:t>35</w:t>
            </w:r>
          </w:p>
        </w:tc>
        <w:tc>
          <w:tcPr>
            <w:tcW w:w="1627" w:type="dxa"/>
            <w:tcBorders>
              <w:top w:val="nil"/>
              <w:left w:val="nil"/>
              <w:bottom w:val="single" w:sz="8" w:space="0" w:color="000000"/>
              <w:right w:val="single" w:sz="8" w:space="0" w:color="000000"/>
            </w:tcBorders>
            <w:shd w:val="clear" w:color="auto" w:fill="auto"/>
            <w:noWrap/>
            <w:vAlign w:val="center"/>
            <w:hideMark/>
          </w:tcPr>
          <w:p w14:paraId="713C659F" w14:textId="77777777" w:rsidR="00E23F37" w:rsidRPr="00D85916" w:rsidRDefault="00E23F37" w:rsidP="00E23F37">
            <w:pPr>
              <w:spacing w:after="0"/>
              <w:ind w:left="0"/>
              <w:rPr>
                <w:rFonts w:cs="Calibri"/>
                <w:color w:val="000000"/>
                <w:szCs w:val="24"/>
              </w:rPr>
            </w:pPr>
            <w:r w:rsidRPr="00D85916">
              <w:rPr>
                <w:rFonts w:cs="Calibri"/>
                <w:color w:val="000000"/>
                <w:szCs w:val="24"/>
              </w:rPr>
              <w:t>Weekly</w:t>
            </w:r>
          </w:p>
        </w:tc>
        <w:tc>
          <w:tcPr>
            <w:tcW w:w="1800" w:type="dxa"/>
            <w:tcBorders>
              <w:top w:val="nil"/>
              <w:left w:val="nil"/>
              <w:bottom w:val="single" w:sz="8" w:space="0" w:color="000000"/>
              <w:right w:val="single" w:sz="8" w:space="0" w:color="000000"/>
            </w:tcBorders>
            <w:shd w:val="clear" w:color="auto" w:fill="auto"/>
            <w:vAlign w:val="center"/>
            <w:hideMark/>
          </w:tcPr>
          <w:p w14:paraId="351368CB" w14:textId="77777777" w:rsidR="00E23F37" w:rsidRPr="00D85916" w:rsidRDefault="00E23F37" w:rsidP="00E23F37">
            <w:pPr>
              <w:spacing w:after="0"/>
              <w:ind w:left="0"/>
              <w:rPr>
                <w:rFonts w:cs="Calibri"/>
                <w:color w:val="000000"/>
                <w:szCs w:val="24"/>
              </w:rPr>
            </w:pPr>
            <w:r w:rsidRPr="00D85916">
              <w:rPr>
                <w:rFonts w:cs="Calibri"/>
                <w:color w:val="000000"/>
                <w:szCs w:val="24"/>
              </w:rPr>
              <w:t>HB 2120 Query</w:t>
            </w:r>
          </w:p>
        </w:tc>
        <w:tc>
          <w:tcPr>
            <w:tcW w:w="7071" w:type="dxa"/>
            <w:tcBorders>
              <w:top w:val="nil"/>
              <w:left w:val="nil"/>
              <w:bottom w:val="single" w:sz="8" w:space="0" w:color="000000"/>
              <w:right w:val="single" w:sz="8" w:space="0" w:color="000000"/>
            </w:tcBorders>
            <w:shd w:val="clear" w:color="auto" w:fill="auto"/>
            <w:vAlign w:val="center"/>
            <w:hideMark/>
          </w:tcPr>
          <w:p w14:paraId="44A7FA1B" w14:textId="77777777" w:rsidR="00E23F37" w:rsidRPr="00D85916" w:rsidRDefault="00E23F37" w:rsidP="00E23F37">
            <w:pPr>
              <w:spacing w:after="0"/>
              <w:ind w:left="0"/>
              <w:rPr>
                <w:rFonts w:cs="Calibri"/>
                <w:color w:val="000000"/>
                <w:szCs w:val="24"/>
              </w:rPr>
            </w:pPr>
            <w:r w:rsidRPr="00D85916">
              <w:rPr>
                <w:rFonts w:cs="Calibri"/>
                <w:color w:val="000000"/>
                <w:szCs w:val="24"/>
              </w:rPr>
              <w:t>Weekly listing of individuals who were awarded wages by Pay Day Law determination that can be added to the UI Base Period</w:t>
            </w:r>
          </w:p>
        </w:tc>
      </w:tr>
      <w:tr w:rsidR="00E23F37" w:rsidRPr="001C17DF" w14:paraId="046D63F1" w14:textId="77777777" w:rsidTr="00E23F37">
        <w:trPr>
          <w:trHeight w:val="300"/>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61356A13" w14:textId="02320CB8" w:rsidR="00E23F37" w:rsidRPr="00D85916" w:rsidRDefault="00E23F37" w:rsidP="00E23F37">
            <w:pPr>
              <w:spacing w:after="0"/>
              <w:ind w:left="0"/>
              <w:jc w:val="center"/>
              <w:rPr>
                <w:rFonts w:cs="Calibri"/>
                <w:color w:val="000000"/>
                <w:szCs w:val="24"/>
              </w:rPr>
            </w:pPr>
            <w:r>
              <w:t>36</w:t>
            </w:r>
          </w:p>
        </w:tc>
        <w:tc>
          <w:tcPr>
            <w:tcW w:w="1627" w:type="dxa"/>
            <w:tcBorders>
              <w:top w:val="nil"/>
              <w:left w:val="nil"/>
              <w:bottom w:val="single" w:sz="8" w:space="0" w:color="000000"/>
              <w:right w:val="single" w:sz="8" w:space="0" w:color="000000"/>
            </w:tcBorders>
            <w:shd w:val="clear" w:color="auto" w:fill="auto"/>
            <w:noWrap/>
            <w:vAlign w:val="center"/>
            <w:hideMark/>
          </w:tcPr>
          <w:p w14:paraId="59333AE2" w14:textId="77777777" w:rsidR="00E23F37" w:rsidRPr="00D85916" w:rsidRDefault="00E23F37" w:rsidP="00E23F37">
            <w:pPr>
              <w:spacing w:after="0"/>
              <w:ind w:left="0"/>
              <w:rPr>
                <w:rFonts w:cs="Calibri"/>
                <w:color w:val="000000"/>
                <w:szCs w:val="24"/>
              </w:rPr>
            </w:pPr>
            <w:r w:rsidRPr="00D85916">
              <w:rPr>
                <w:rFonts w:cs="Calibri"/>
                <w:color w:val="000000"/>
                <w:szCs w:val="24"/>
              </w:rPr>
              <w:t>Weekly</w:t>
            </w:r>
          </w:p>
        </w:tc>
        <w:tc>
          <w:tcPr>
            <w:tcW w:w="1800" w:type="dxa"/>
            <w:tcBorders>
              <w:top w:val="nil"/>
              <w:left w:val="nil"/>
              <w:bottom w:val="single" w:sz="8" w:space="0" w:color="000000"/>
              <w:right w:val="single" w:sz="8" w:space="0" w:color="000000"/>
            </w:tcBorders>
            <w:shd w:val="clear" w:color="auto" w:fill="auto"/>
            <w:vAlign w:val="center"/>
            <w:hideMark/>
          </w:tcPr>
          <w:p w14:paraId="1D66E418" w14:textId="77777777" w:rsidR="00E23F37" w:rsidRPr="00D85916" w:rsidRDefault="00E23F37" w:rsidP="00E23F37">
            <w:pPr>
              <w:spacing w:after="0"/>
              <w:ind w:left="0"/>
              <w:rPr>
                <w:rFonts w:cs="Calibri"/>
                <w:color w:val="000000"/>
                <w:szCs w:val="24"/>
              </w:rPr>
            </w:pPr>
            <w:r w:rsidRPr="00D85916">
              <w:rPr>
                <w:rFonts w:cs="Calibri"/>
                <w:color w:val="000000"/>
                <w:szCs w:val="24"/>
              </w:rPr>
              <w:t xml:space="preserve">Disaster Impacted Claim Filing </w:t>
            </w:r>
            <w:r w:rsidRPr="00D85916">
              <w:rPr>
                <w:rFonts w:cs="Calibri"/>
                <w:color w:val="000000"/>
                <w:szCs w:val="24"/>
              </w:rPr>
              <w:lastRenderedPageBreak/>
              <w:t>by County - REG</w:t>
            </w:r>
          </w:p>
        </w:tc>
        <w:tc>
          <w:tcPr>
            <w:tcW w:w="7071" w:type="dxa"/>
            <w:tcBorders>
              <w:top w:val="nil"/>
              <w:left w:val="nil"/>
              <w:bottom w:val="single" w:sz="8" w:space="0" w:color="000000"/>
              <w:right w:val="single" w:sz="8" w:space="0" w:color="000000"/>
            </w:tcBorders>
            <w:shd w:val="clear" w:color="auto" w:fill="auto"/>
            <w:vAlign w:val="center"/>
            <w:hideMark/>
          </w:tcPr>
          <w:p w14:paraId="0F492717" w14:textId="4FFD7B31" w:rsidR="00E23F37" w:rsidRPr="00D85916" w:rsidRDefault="00E23F37" w:rsidP="00E23F37">
            <w:pPr>
              <w:spacing w:after="0"/>
              <w:ind w:left="0"/>
              <w:rPr>
                <w:rFonts w:cs="Calibri"/>
                <w:color w:val="000000"/>
                <w:szCs w:val="24"/>
              </w:rPr>
            </w:pPr>
            <w:r w:rsidRPr="00D85916">
              <w:rPr>
                <w:rFonts w:cs="Calibri"/>
                <w:color w:val="000000"/>
                <w:szCs w:val="24"/>
              </w:rPr>
              <w:lastRenderedPageBreak/>
              <w:t>Weekly listing of REG Disaster impacted claims filed sorted by county where the claim filer resides</w:t>
            </w:r>
          </w:p>
        </w:tc>
      </w:tr>
      <w:tr w:rsidR="00E23F37" w:rsidRPr="001C17DF" w14:paraId="618EDB56" w14:textId="77777777" w:rsidTr="00E23F37">
        <w:trPr>
          <w:trHeight w:val="300"/>
        </w:trPr>
        <w:tc>
          <w:tcPr>
            <w:tcW w:w="691" w:type="dxa"/>
            <w:tcBorders>
              <w:top w:val="nil"/>
              <w:left w:val="single" w:sz="8" w:space="0" w:color="000000"/>
              <w:bottom w:val="single" w:sz="8" w:space="0" w:color="000000"/>
              <w:right w:val="single" w:sz="8" w:space="0" w:color="000000"/>
            </w:tcBorders>
            <w:shd w:val="clear" w:color="auto" w:fill="auto"/>
            <w:noWrap/>
            <w:vAlign w:val="center"/>
          </w:tcPr>
          <w:p w14:paraId="739FCC12" w14:textId="14E102F9" w:rsidR="00E23F37" w:rsidRPr="00D85916" w:rsidRDefault="00E23F37" w:rsidP="00E23F37">
            <w:pPr>
              <w:spacing w:after="0"/>
              <w:ind w:left="0"/>
              <w:jc w:val="center"/>
              <w:rPr>
                <w:rFonts w:cs="Calibri"/>
                <w:color w:val="000000"/>
                <w:szCs w:val="24"/>
              </w:rPr>
            </w:pPr>
            <w:r>
              <w:rPr>
                <w:color w:val="000000"/>
              </w:rPr>
              <w:t>37</w:t>
            </w:r>
          </w:p>
        </w:tc>
        <w:tc>
          <w:tcPr>
            <w:tcW w:w="1627" w:type="dxa"/>
            <w:tcBorders>
              <w:top w:val="nil"/>
              <w:left w:val="nil"/>
              <w:bottom w:val="single" w:sz="8" w:space="0" w:color="000000"/>
              <w:right w:val="single" w:sz="8" w:space="0" w:color="000000"/>
            </w:tcBorders>
            <w:shd w:val="clear" w:color="auto" w:fill="auto"/>
            <w:noWrap/>
            <w:vAlign w:val="center"/>
          </w:tcPr>
          <w:p w14:paraId="5464BF3B" w14:textId="77777777" w:rsidR="00E23F37" w:rsidRPr="00D85916" w:rsidRDefault="00E23F37" w:rsidP="00E23F37">
            <w:pPr>
              <w:spacing w:after="0"/>
              <w:ind w:left="0"/>
              <w:rPr>
                <w:rFonts w:cs="Calibri"/>
                <w:color w:val="000000"/>
                <w:szCs w:val="24"/>
              </w:rPr>
            </w:pPr>
            <w:r w:rsidRPr="00D85916">
              <w:rPr>
                <w:rFonts w:cs="Calibri"/>
                <w:color w:val="000000"/>
                <w:szCs w:val="24"/>
              </w:rPr>
              <w:t>Weekly</w:t>
            </w:r>
          </w:p>
        </w:tc>
        <w:tc>
          <w:tcPr>
            <w:tcW w:w="1800" w:type="dxa"/>
            <w:tcBorders>
              <w:top w:val="nil"/>
              <w:left w:val="nil"/>
              <w:bottom w:val="single" w:sz="8" w:space="0" w:color="000000"/>
              <w:right w:val="single" w:sz="8" w:space="0" w:color="000000"/>
            </w:tcBorders>
            <w:shd w:val="clear" w:color="auto" w:fill="auto"/>
            <w:vAlign w:val="center"/>
          </w:tcPr>
          <w:p w14:paraId="38091B77" w14:textId="77777777" w:rsidR="00E23F37" w:rsidRPr="00D85916" w:rsidRDefault="00E23F37" w:rsidP="00E23F37">
            <w:pPr>
              <w:spacing w:after="0"/>
              <w:ind w:left="0"/>
              <w:rPr>
                <w:rFonts w:cs="Calibri"/>
                <w:color w:val="000000"/>
                <w:szCs w:val="24"/>
              </w:rPr>
            </w:pPr>
            <w:r w:rsidRPr="00D85916">
              <w:rPr>
                <w:rFonts w:cs="Calibri"/>
                <w:color w:val="000000"/>
                <w:szCs w:val="24"/>
              </w:rPr>
              <w:t>Disaster Impacted Claim Filing by County - DUA</w:t>
            </w:r>
          </w:p>
        </w:tc>
        <w:tc>
          <w:tcPr>
            <w:tcW w:w="7071" w:type="dxa"/>
            <w:tcBorders>
              <w:top w:val="nil"/>
              <w:left w:val="nil"/>
              <w:bottom w:val="single" w:sz="8" w:space="0" w:color="000000"/>
              <w:right w:val="single" w:sz="8" w:space="0" w:color="000000"/>
            </w:tcBorders>
            <w:shd w:val="clear" w:color="auto" w:fill="auto"/>
            <w:vAlign w:val="center"/>
          </w:tcPr>
          <w:p w14:paraId="506F86B0" w14:textId="59DB58A1" w:rsidR="00E23F37" w:rsidRPr="00D85916" w:rsidRDefault="00E23F37" w:rsidP="00E23F37">
            <w:pPr>
              <w:spacing w:after="0"/>
              <w:ind w:left="0"/>
              <w:rPr>
                <w:rFonts w:cs="Calibri"/>
                <w:color w:val="000000"/>
                <w:szCs w:val="24"/>
              </w:rPr>
            </w:pPr>
            <w:r w:rsidRPr="00D85916">
              <w:rPr>
                <w:rFonts w:cs="Calibri"/>
                <w:color w:val="000000"/>
                <w:szCs w:val="24"/>
              </w:rPr>
              <w:t>Weekly listing of DUA claims filed sorted by county where the claim filer resides</w:t>
            </w:r>
          </w:p>
        </w:tc>
      </w:tr>
      <w:tr w:rsidR="00E23F37" w:rsidRPr="001C17DF" w14:paraId="3ED149C4" w14:textId="77777777" w:rsidTr="00E23F37">
        <w:trPr>
          <w:trHeight w:val="300"/>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4081646F" w14:textId="6B3FBC7E" w:rsidR="00E23F37" w:rsidRPr="00D85916" w:rsidRDefault="00E23F37" w:rsidP="00E23F37">
            <w:pPr>
              <w:spacing w:after="0"/>
              <w:ind w:left="0"/>
              <w:jc w:val="center"/>
              <w:rPr>
                <w:rFonts w:cs="Calibri"/>
                <w:color w:val="000000"/>
                <w:szCs w:val="24"/>
              </w:rPr>
            </w:pPr>
            <w:r>
              <w:t>38</w:t>
            </w:r>
          </w:p>
        </w:tc>
        <w:tc>
          <w:tcPr>
            <w:tcW w:w="1627" w:type="dxa"/>
            <w:tcBorders>
              <w:top w:val="nil"/>
              <w:left w:val="nil"/>
              <w:bottom w:val="single" w:sz="8" w:space="0" w:color="000000"/>
              <w:right w:val="single" w:sz="8" w:space="0" w:color="000000"/>
            </w:tcBorders>
            <w:shd w:val="clear" w:color="auto" w:fill="auto"/>
            <w:noWrap/>
            <w:vAlign w:val="center"/>
            <w:hideMark/>
          </w:tcPr>
          <w:p w14:paraId="3EF6C945" w14:textId="77777777" w:rsidR="00E23F37" w:rsidRPr="00D85916" w:rsidRDefault="00E23F37" w:rsidP="00E23F37">
            <w:pPr>
              <w:spacing w:after="0"/>
              <w:ind w:left="0"/>
              <w:rPr>
                <w:rFonts w:cs="Calibri"/>
                <w:color w:val="000000"/>
                <w:szCs w:val="24"/>
              </w:rPr>
            </w:pPr>
            <w:r w:rsidRPr="00D85916">
              <w:rPr>
                <w:rFonts w:cs="Calibri"/>
                <w:color w:val="000000"/>
                <w:szCs w:val="24"/>
              </w:rPr>
              <w:t>Weekly</w:t>
            </w:r>
          </w:p>
        </w:tc>
        <w:tc>
          <w:tcPr>
            <w:tcW w:w="1800" w:type="dxa"/>
            <w:tcBorders>
              <w:top w:val="nil"/>
              <w:left w:val="nil"/>
              <w:bottom w:val="single" w:sz="8" w:space="0" w:color="000000"/>
              <w:right w:val="single" w:sz="8" w:space="0" w:color="000000"/>
            </w:tcBorders>
            <w:shd w:val="clear" w:color="auto" w:fill="auto"/>
            <w:vAlign w:val="center"/>
            <w:hideMark/>
          </w:tcPr>
          <w:p w14:paraId="1C9438D5" w14:textId="7542A6EB" w:rsidR="00E23F37" w:rsidRPr="00D85916" w:rsidRDefault="00E23F37" w:rsidP="00E23F37">
            <w:pPr>
              <w:spacing w:after="0"/>
              <w:ind w:left="0"/>
              <w:rPr>
                <w:rFonts w:cs="Calibri"/>
                <w:color w:val="000000"/>
                <w:szCs w:val="24"/>
              </w:rPr>
            </w:pPr>
            <w:r w:rsidRPr="00D85916">
              <w:rPr>
                <w:rFonts w:cs="Calibri"/>
                <w:color w:val="000000"/>
                <w:szCs w:val="24"/>
              </w:rPr>
              <w:t>Disaster Impacted Payments by BWE -</w:t>
            </w:r>
            <w:r w:rsidR="00EE5622">
              <w:rPr>
                <w:rFonts w:cs="Calibri"/>
                <w:color w:val="000000"/>
                <w:szCs w:val="24"/>
              </w:rPr>
              <w:t xml:space="preserve"> </w:t>
            </w:r>
            <w:r w:rsidRPr="00D85916">
              <w:rPr>
                <w:rFonts w:cs="Calibri"/>
                <w:color w:val="000000"/>
                <w:szCs w:val="24"/>
              </w:rPr>
              <w:t>REG</w:t>
            </w:r>
          </w:p>
        </w:tc>
        <w:tc>
          <w:tcPr>
            <w:tcW w:w="7071" w:type="dxa"/>
            <w:tcBorders>
              <w:top w:val="nil"/>
              <w:left w:val="nil"/>
              <w:bottom w:val="single" w:sz="8" w:space="0" w:color="000000"/>
              <w:right w:val="single" w:sz="8" w:space="0" w:color="000000"/>
            </w:tcBorders>
            <w:shd w:val="clear" w:color="auto" w:fill="auto"/>
            <w:vAlign w:val="center"/>
            <w:hideMark/>
          </w:tcPr>
          <w:p w14:paraId="7D54F1E8" w14:textId="0FFF425C" w:rsidR="00E23F37" w:rsidRPr="00D85916" w:rsidRDefault="00E23F37" w:rsidP="00E23F37">
            <w:pPr>
              <w:spacing w:after="0"/>
              <w:ind w:left="0"/>
              <w:rPr>
                <w:rFonts w:cs="Calibri"/>
                <w:color w:val="000000"/>
                <w:szCs w:val="24"/>
              </w:rPr>
            </w:pPr>
            <w:r w:rsidRPr="00D85916">
              <w:rPr>
                <w:rFonts w:cs="Calibri"/>
                <w:color w:val="000000"/>
                <w:szCs w:val="24"/>
              </w:rPr>
              <w:t>Weekly listing of REG payments made to disaster impacted individuals by BWE date</w:t>
            </w:r>
          </w:p>
        </w:tc>
      </w:tr>
      <w:tr w:rsidR="00E23F37" w:rsidRPr="001C17DF" w14:paraId="56AB5D38" w14:textId="77777777" w:rsidTr="00E23F37">
        <w:trPr>
          <w:trHeight w:val="588"/>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7E07C109" w14:textId="354C00DD" w:rsidR="00E23F37" w:rsidRPr="00D85916" w:rsidRDefault="00E23F37" w:rsidP="00E23F37">
            <w:pPr>
              <w:spacing w:after="0"/>
              <w:ind w:left="0"/>
              <w:jc w:val="center"/>
              <w:rPr>
                <w:rFonts w:cs="Calibri"/>
                <w:color w:val="000000"/>
                <w:szCs w:val="24"/>
              </w:rPr>
            </w:pPr>
            <w:r>
              <w:rPr>
                <w:color w:val="000000"/>
              </w:rPr>
              <w:t>39</w:t>
            </w:r>
          </w:p>
        </w:tc>
        <w:tc>
          <w:tcPr>
            <w:tcW w:w="1627" w:type="dxa"/>
            <w:tcBorders>
              <w:top w:val="nil"/>
              <w:left w:val="nil"/>
              <w:bottom w:val="single" w:sz="8" w:space="0" w:color="000000"/>
              <w:right w:val="single" w:sz="8" w:space="0" w:color="000000"/>
            </w:tcBorders>
            <w:shd w:val="clear" w:color="auto" w:fill="auto"/>
            <w:noWrap/>
            <w:vAlign w:val="center"/>
            <w:hideMark/>
          </w:tcPr>
          <w:p w14:paraId="0A857880" w14:textId="77777777" w:rsidR="00E23F37" w:rsidRPr="00D85916" w:rsidRDefault="00E23F37" w:rsidP="00E23F37">
            <w:pPr>
              <w:spacing w:after="0"/>
              <w:ind w:left="0"/>
              <w:rPr>
                <w:rFonts w:cs="Calibri"/>
                <w:color w:val="000000"/>
                <w:szCs w:val="24"/>
              </w:rPr>
            </w:pPr>
            <w:r w:rsidRPr="00D85916">
              <w:rPr>
                <w:rFonts w:cs="Calibri"/>
                <w:color w:val="000000"/>
                <w:szCs w:val="24"/>
              </w:rPr>
              <w:t>Weekly</w:t>
            </w:r>
          </w:p>
        </w:tc>
        <w:tc>
          <w:tcPr>
            <w:tcW w:w="1800" w:type="dxa"/>
            <w:tcBorders>
              <w:top w:val="nil"/>
              <w:left w:val="nil"/>
              <w:bottom w:val="single" w:sz="8" w:space="0" w:color="000000"/>
              <w:right w:val="single" w:sz="8" w:space="0" w:color="000000"/>
            </w:tcBorders>
            <w:shd w:val="clear" w:color="auto" w:fill="auto"/>
            <w:vAlign w:val="center"/>
            <w:hideMark/>
          </w:tcPr>
          <w:p w14:paraId="3D6C6E4A" w14:textId="77777777" w:rsidR="00E23F37" w:rsidRPr="00D85916" w:rsidRDefault="00E23F37" w:rsidP="00E23F37">
            <w:pPr>
              <w:spacing w:after="0"/>
              <w:ind w:left="0"/>
              <w:rPr>
                <w:rFonts w:cs="Calibri"/>
                <w:color w:val="000000"/>
                <w:szCs w:val="24"/>
              </w:rPr>
            </w:pPr>
            <w:r w:rsidRPr="00D85916">
              <w:rPr>
                <w:rFonts w:cs="Calibri"/>
                <w:color w:val="000000"/>
                <w:szCs w:val="24"/>
              </w:rPr>
              <w:t>Disaster Impacted Payments by BWE - DUA</w:t>
            </w:r>
          </w:p>
        </w:tc>
        <w:tc>
          <w:tcPr>
            <w:tcW w:w="7071" w:type="dxa"/>
            <w:tcBorders>
              <w:top w:val="nil"/>
              <w:left w:val="nil"/>
              <w:bottom w:val="single" w:sz="8" w:space="0" w:color="000000"/>
              <w:right w:val="single" w:sz="8" w:space="0" w:color="000000"/>
            </w:tcBorders>
            <w:shd w:val="clear" w:color="auto" w:fill="auto"/>
            <w:vAlign w:val="center"/>
            <w:hideMark/>
          </w:tcPr>
          <w:p w14:paraId="03CFD1AC" w14:textId="45CB2DC7" w:rsidR="00E23F37" w:rsidRPr="00D85916" w:rsidRDefault="00E23F37" w:rsidP="00E23F37">
            <w:pPr>
              <w:spacing w:after="0"/>
              <w:ind w:left="0"/>
              <w:rPr>
                <w:rFonts w:cs="Calibri"/>
                <w:color w:val="000000"/>
                <w:szCs w:val="24"/>
              </w:rPr>
            </w:pPr>
            <w:r w:rsidRPr="00D85916">
              <w:rPr>
                <w:rFonts w:cs="Calibri"/>
                <w:color w:val="000000"/>
                <w:szCs w:val="24"/>
              </w:rPr>
              <w:t>Weekly listing of DUA payments made to disaster impacted individuals by BWE date</w:t>
            </w:r>
          </w:p>
        </w:tc>
      </w:tr>
      <w:tr w:rsidR="00E23F37" w:rsidRPr="001C17DF" w14:paraId="26ECF4E9" w14:textId="77777777" w:rsidTr="00E23F37">
        <w:trPr>
          <w:trHeight w:val="588"/>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07240DDB" w14:textId="43350A4E" w:rsidR="00E23F37" w:rsidRPr="00D85916" w:rsidRDefault="00E23F37" w:rsidP="00E23F37">
            <w:pPr>
              <w:spacing w:after="0"/>
              <w:ind w:left="0"/>
              <w:jc w:val="center"/>
              <w:rPr>
                <w:rFonts w:cs="Calibri"/>
                <w:color w:val="000000"/>
                <w:szCs w:val="24"/>
              </w:rPr>
            </w:pPr>
            <w:r>
              <w:t>40</w:t>
            </w:r>
          </w:p>
        </w:tc>
        <w:tc>
          <w:tcPr>
            <w:tcW w:w="1627" w:type="dxa"/>
            <w:tcBorders>
              <w:top w:val="nil"/>
              <w:left w:val="nil"/>
              <w:bottom w:val="single" w:sz="8" w:space="0" w:color="000000"/>
              <w:right w:val="single" w:sz="8" w:space="0" w:color="000000"/>
            </w:tcBorders>
            <w:shd w:val="clear" w:color="auto" w:fill="auto"/>
            <w:noWrap/>
            <w:vAlign w:val="center"/>
            <w:hideMark/>
          </w:tcPr>
          <w:p w14:paraId="0D343C3D" w14:textId="77777777" w:rsidR="00E23F37" w:rsidRPr="00D85916" w:rsidRDefault="00E23F37" w:rsidP="00E23F37">
            <w:pPr>
              <w:spacing w:after="0"/>
              <w:ind w:left="0"/>
              <w:rPr>
                <w:rFonts w:cs="Calibri"/>
                <w:color w:val="000000"/>
                <w:szCs w:val="24"/>
              </w:rPr>
            </w:pPr>
            <w:r w:rsidRPr="00D85916">
              <w:rPr>
                <w:rFonts w:cs="Calibri"/>
                <w:color w:val="000000"/>
                <w:szCs w:val="24"/>
              </w:rPr>
              <w:t>Weekly</w:t>
            </w:r>
          </w:p>
        </w:tc>
        <w:tc>
          <w:tcPr>
            <w:tcW w:w="1800" w:type="dxa"/>
            <w:tcBorders>
              <w:top w:val="nil"/>
              <w:left w:val="nil"/>
              <w:bottom w:val="single" w:sz="8" w:space="0" w:color="000000"/>
              <w:right w:val="single" w:sz="8" w:space="0" w:color="000000"/>
            </w:tcBorders>
            <w:shd w:val="clear" w:color="auto" w:fill="auto"/>
            <w:vAlign w:val="center"/>
            <w:hideMark/>
          </w:tcPr>
          <w:p w14:paraId="27F7B40C" w14:textId="77777777" w:rsidR="00E23F37" w:rsidRPr="00D85916" w:rsidRDefault="00E23F37" w:rsidP="00E23F37">
            <w:pPr>
              <w:spacing w:after="0"/>
              <w:ind w:left="0"/>
              <w:rPr>
                <w:rFonts w:cs="Calibri"/>
                <w:color w:val="000000"/>
                <w:szCs w:val="24"/>
              </w:rPr>
            </w:pPr>
            <w:r w:rsidRPr="00D85916">
              <w:rPr>
                <w:rFonts w:cs="Calibri"/>
                <w:color w:val="000000"/>
                <w:szCs w:val="24"/>
              </w:rPr>
              <w:t xml:space="preserve">ETA 7642 Report </w:t>
            </w:r>
          </w:p>
        </w:tc>
        <w:tc>
          <w:tcPr>
            <w:tcW w:w="7071" w:type="dxa"/>
            <w:tcBorders>
              <w:top w:val="nil"/>
              <w:left w:val="nil"/>
              <w:bottom w:val="single" w:sz="8" w:space="0" w:color="000000"/>
              <w:right w:val="single" w:sz="8" w:space="0" w:color="000000"/>
            </w:tcBorders>
            <w:shd w:val="clear" w:color="auto" w:fill="auto"/>
            <w:vAlign w:val="center"/>
            <w:hideMark/>
          </w:tcPr>
          <w:p w14:paraId="64C2F990" w14:textId="77777777" w:rsidR="00E23F37" w:rsidRPr="00D85916" w:rsidRDefault="00E23F37" w:rsidP="00E23F37">
            <w:pPr>
              <w:spacing w:after="0"/>
              <w:ind w:left="0"/>
              <w:rPr>
                <w:rFonts w:cs="Calibri"/>
                <w:color w:val="000000"/>
                <w:szCs w:val="24"/>
              </w:rPr>
            </w:pPr>
            <w:r w:rsidRPr="00D85916">
              <w:rPr>
                <w:rFonts w:cs="Calibri"/>
                <w:color w:val="000000"/>
                <w:szCs w:val="24"/>
              </w:rPr>
              <w:t>Requires DOL report that lists DUA Claimants Approved, Denied and total amount of payments</w:t>
            </w:r>
          </w:p>
        </w:tc>
      </w:tr>
      <w:tr w:rsidR="00E23F37" w:rsidRPr="001C17DF" w14:paraId="0C35A8B9" w14:textId="77777777" w:rsidTr="00E23F37">
        <w:trPr>
          <w:trHeight w:val="588"/>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6B7C6230" w14:textId="79AEB575" w:rsidR="00E23F37" w:rsidRPr="00D85916" w:rsidRDefault="00E23F37" w:rsidP="00E23F37">
            <w:pPr>
              <w:spacing w:after="0"/>
              <w:ind w:left="0"/>
              <w:jc w:val="center"/>
              <w:rPr>
                <w:rFonts w:cs="Calibri"/>
                <w:color w:val="000000"/>
                <w:szCs w:val="24"/>
              </w:rPr>
            </w:pPr>
            <w:r>
              <w:rPr>
                <w:color w:val="000000"/>
              </w:rPr>
              <w:t>41</w:t>
            </w:r>
          </w:p>
        </w:tc>
        <w:tc>
          <w:tcPr>
            <w:tcW w:w="1627" w:type="dxa"/>
            <w:tcBorders>
              <w:top w:val="nil"/>
              <w:left w:val="nil"/>
              <w:bottom w:val="single" w:sz="8" w:space="0" w:color="000000"/>
              <w:right w:val="single" w:sz="8" w:space="0" w:color="000000"/>
            </w:tcBorders>
            <w:shd w:val="clear" w:color="auto" w:fill="auto"/>
            <w:noWrap/>
            <w:vAlign w:val="center"/>
            <w:hideMark/>
          </w:tcPr>
          <w:p w14:paraId="1DCFB996" w14:textId="77777777" w:rsidR="00E23F37" w:rsidRPr="00D85916" w:rsidRDefault="00E23F37" w:rsidP="00E23F37">
            <w:pPr>
              <w:spacing w:after="0"/>
              <w:ind w:left="0"/>
              <w:rPr>
                <w:rFonts w:cs="Calibri"/>
                <w:color w:val="000000"/>
                <w:szCs w:val="24"/>
              </w:rPr>
            </w:pPr>
            <w:r w:rsidRPr="00D85916">
              <w:rPr>
                <w:rFonts w:cs="Calibri"/>
                <w:color w:val="000000"/>
                <w:szCs w:val="24"/>
              </w:rPr>
              <w:t>Weekly</w:t>
            </w:r>
          </w:p>
        </w:tc>
        <w:tc>
          <w:tcPr>
            <w:tcW w:w="1800" w:type="dxa"/>
            <w:tcBorders>
              <w:top w:val="nil"/>
              <w:left w:val="nil"/>
              <w:bottom w:val="single" w:sz="8" w:space="0" w:color="000000"/>
              <w:right w:val="single" w:sz="8" w:space="0" w:color="000000"/>
            </w:tcBorders>
            <w:shd w:val="clear" w:color="auto" w:fill="auto"/>
            <w:vAlign w:val="center"/>
            <w:hideMark/>
          </w:tcPr>
          <w:p w14:paraId="450F6391" w14:textId="77777777" w:rsidR="00E23F37" w:rsidRPr="00D85916" w:rsidRDefault="00E23F37" w:rsidP="00E23F37">
            <w:pPr>
              <w:spacing w:after="0"/>
              <w:ind w:left="0"/>
              <w:rPr>
                <w:rFonts w:cs="Calibri"/>
                <w:color w:val="000000"/>
                <w:szCs w:val="24"/>
              </w:rPr>
            </w:pPr>
            <w:r w:rsidRPr="00D85916">
              <w:rPr>
                <w:rFonts w:cs="Calibri"/>
                <w:color w:val="000000"/>
                <w:szCs w:val="24"/>
              </w:rPr>
              <w:t xml:space="preserve">ETA 5159 Report </w:t>
            </w:r>
          </w:p>
        </w:tc>
        <w:tc>
          <w:tcPr>
            <w:tcW w:w="7071" w:type="dxa"/>
            <w:tcBorders>
              <w:top w:val="nil"/>
              <w:left w:val="nil"/>
              <w:bottom w:val="single" w:sz="8" w:space="0" w:color="000000"/>
              <w:right w:val="single" w:sz="8" w:space="0" w:color="000000"/>
            </w:tcBorders>
            <w:shd w:val="clear" w:color="auto" w:fill="auto"/>
            <w:vAlign w:val="center"/>
            <w:hideMark/>
          </w:tcPr>
          <w:p w14:paraId="7A6B94BA" w14:textId="1FAC8923" w:rsidR="00E23F37" w:rsidRPr="00D85916" w:rsidRDefault="00E23F37" w:rsidP="00E23F37">
            <w:pPr>
              <w:spacing w:after="0"/>
              <w:ind w:left="0"/>
              <w:rPr>
                <w:rFonts w:cs="Calibri"/>
                <w:color w:val="000000"/>
                <w:szCs w:val="24"/>
              </w:rPr>
            </w:pPr>
            <w:r w:rsidRPr="00D85916">
              <w:rPr>
                <w:rFonts w:cs="Calibri"/>
                <w:color w:val="000000"/>
                <w:szCs w:val="24"/>
              </w:rPr>
              <w:t xml:space="preserve">Weekly count of DUA claims filed against UCFE </w:t>
            </w:r>
            <w:r>
              <w:rPr>
                <w:rFonts w:cs="Calibri"/>
                <w:color w:val="000000"/>
                <w:szCs w:val="24"/>
              </w:rPr>
              <w:t>Employers</w:t>
            </w:r>
          </w:p>
        </w:tc>
      </w:tr>
      <w:tr w:rsidR="00E23F37" w:rsidRPr="001C17DF" w14:paraId="589537A8" w14:textId="77777777" w:rsidTr="00E23F37">
        <w:trPr>
          <w:trHeight w:val="300"/>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01966C25" w14:textId="0D4261AE" w:rsidR="00E23F37" w:rsidRPr="00D85916" w:rsidRDefault="00E23F37" w:rsidP="00E23F37">
            <w:pPr>
              <w:spacing w:after="0"/>
              <w:ind w:left="0"/>
              <w:jc w:val="center"/>
              <w:rPr>
                <w:rFonts w:cs="Calibri"/>
                <w:color w:val="000000"/>
                <w:szCs w:val="24"/>
              </w:rPr>
            </w:pPr>
            <w:r>
              <w:t>42</w:t>
            </w:r>
          </w:p>
        </w:tc>
        <w:tc>
          <w:tcPr>
            <w:tcW w:w="1627" w:type="dxa"/>
            <w:tcBorders>
              <w:top w:val="nil"/>
              <w:left w:val="nil"/>
              <w:bottom w:val="single" w:sz="8" w:space="0" w:color="000000"/>
              <w:right w:val="single" w:sz="8" w:space="0" w:color="000000"/>
            </w:tcBorders>
            <w:shd w:val="clear" w:color="auto" w:fill="auto"/>
            <w:noWrap/>
            <w:vAlign w:val="center"/>
            <w:hideMark/>
          </w:tcPr>
          <w:p w14:paraId="02BF7DFE" w14:textId="77777777" w:rsidR="00E23F37" w:rsidRPr="00D85916" w:rsidRDefault="00E23F37" w:rsidP="00E23F37">
            <w:pPr>
              <w:spacing w:after="0"/>
              <w:ind w:left="0"/>
              <w:rPr>
                <w:rFonts w:cs="Calibri"/>
                <w:color w:val="000000"/>
                <w:szCs w:val="24"/>
              </w:rPr>
            </w:pPr>
            <w:r w:rsidRPr="00D85916">
              <w:rPr>
                <w:rFonts w:cs="Calibri"/>
                <w:color w:val="000000"/>
                <w:szCs w:val="24"/>
              </w:rPr>
              <w:t>Weekly</w:t>
            </w:r>
          </w:p>
        </w:tc>
        <w:tc>
          <w:tcPr>
            <w:tcW w:w="1800" w:type="dxa"/>
            <w:tcBorders>
              <w:top w:val="nil"/>
              <w:left w:val="nil"/>
              <w:bottom w:val="single" w:sz="8" w:space="0" w:color="000000"/>
              <w:right w:val="single" w:sz="8" w:space="0" w:color="000000"/>
            </w:tcBorders>
            <w:shd w:val="clear" w:color="auto" w:fill="auto"/>
            <w:vAlign w:val="center"/>
            <w:hideMark/>
          </w:tcPr>
          <w:p w14:paraId="075135BF" w14:textId="77777777" w:rsidR="00E23F37" w:rsidRPr="00D85916" w:rsidRDefault="00E23F37" w:rsidP="00E23F37">
            <w:pPr>
              <w:spacing w:after="0"/>
              <w:ind w:left="0"/>
              <w:rPr>
                <w:rFonts w:cs="Calibri"/>
                <w:color w:val="000000"/>
                <w:szCs w:val="24"/>
              </w:rPr>
            </w:pPr>
            <w:r w:rsidRPr="00D85916">
              <w:rPr>
                <w:rFonts w:cs="Calibri"/>
                <w:color w:val="000000"/>
                <w:szCs w:val="24"/>
              </w:rPr>
              <w:t>Disaster Impacted executive counts</w:t>
            </w:r>
          </w:p>
        </w:tc>
        <w:tc>
          <w:tcPr>
            <w:tcW w:w="7071" w:type="dxa"/>
            <w:tcBorders>
              <w:top w:val="nil"/>
              <w:left w:val="nil"/>
              <w:bottom w:val="single" w:sz="8" w:space="0" w:color="000000"/>
              <w:right w:val="single" w:sz="8" w:space="0" w:color="000000"/>
            </w:tcBorders>
            <w:shd w:val="clear" w:color="auto" w:fill="auto"/>
            <w:vAlign w:val="center"/>
            <w:hideMark/>
          </w:tcPr>
          <w:p w14:paraId="51878F67" w14:textId="7EC3ECAF" w:rsidR="00E23F37" w:rsidRPr="00D85916" w:rsidRDefault="00E23F37" w:rsidP="00E23F37">
            <w:pPr>
              <w:spacing w:after="0"/>
              <w:ind w:left="0"/>
              <w:rPr>
                <w:rFonts w:cs="Calibri"/>
                <w:color w:val="000000"/>
                <w:szCs w:val="24"/>
              </w:rPr>
            </w:pPr>
            <w:r w:rsidRPr="00D85916">
              <w:rPr>
                <w:rFonts w:cs="Calibri"/>
                <w:color w:val="000000"/>
                <w:szCs w:val="24"/>
              </w:rPr>
              <w:t xml:space="preserve">DUA Claims Counts report run ad hoc for TWC executive </w:t>
            </w:r>
            <w:r>
              <w:rPr>
                <w:rFonts w:cs="Calibri"/>
                <w:color w:val="000000"/>
                <w:szCs w:val="24"/>
              </w:rPr>
              <w:t>Staff</w:t>
            </w:r>
            <w:r w:rsidRPr="00D85916">
              <w:rPr>
                <w:rFonts w:cs="Calibri"/>
                <w:color w:val="000000"/>
                <w:szCs w:val="24"/>
              </w:rPr>
              <w:t xml:space="preserve"> </w:t>
            </w:r>
          </w:p>
        </w:tc>
      </w:tr>
      <w:tr w:rsidR="00E23F37" w:rsidRPr="001C17DF" w14:paraId="008F3AB2" w14:textId="77777777" w:rsidTr="00E23F37">
        <w:trPr>
          <w:trHeight w:val="588"/>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6F851593" w14:textId="0547D280" w:rsidR="00E23F37" w:rsidRPr="00D85916" w:rsidRDefault="00E23F37" w:rsidP="00E23F37">
            <w:pPr>
              <w:spacing w:after="0"/>
              <w:ind w:left="0"/>
              <w:jc w:val="center"/>
              <w:rPr>
                <w:rFonts w:cs="Calibri"/>
                <w:color w:val="000000"/>
                <w:szCs w:val="24"/>
              </w:rPr>
            </w:pPr>
            <w:r>
              <w:rPr>
                <w:color w:val="000000"/>
              </w:rPr>
              <w:t>43</w:t>
            </w:r>
          </w:p>
        </w:tc>
        <w:tc>
          <w:tcPr>
            <w:tcW w:w="1627" w:type="dxa"/>
            <w:tcBorders>
              <w:top w:val="nil"/>
              <w:left w:val="nil"/>
              <w:bottom w:val="single" w:sz="8" w:space="0" w:color="000000"/>
              <w:right w:val="single" w:sz="8" w:space="0" w:color="000000"/>
            </w:tcBorders>
            <w:shd w:val="clear" w:color="auto" w:fill="auto"/>
            <w:noWrap/>
            <w:vAlign w:val="center"/>
            <w:hideMark/>
          </w:tcPr>
          <w:p w14:paraId="5F9997AB" w14:textId="77777777" w:rsidR="00E23F37" w:rsidRPr="00D85916" w:rsidRDefault="00E23F37" w:rsidP="00E23F37">
            <w:pPr>
              <w:spacing w:after="0"/>
              <w:ind w:left="0"/>
              <w:rPr>
                <w:rFonts w:cs="Calibri"/>
                <w:color w:val="000000"/>
                <w:szCs w:val="24"/>
              </w:rPr>
            </w:pPr>
            <w:r w:rsidRPr="00D85916">
              <w:rPr>
                <w:rFonts w:cs="Calibri"/>
                <w:color w:val="000000"/>
                <w:szCs w:val="24"/>
              </w:rPr>
              <w:t>Weekly</w:t>
            </w:r>
          </w:p>
        </w:tc>
        <w:tc>
          <w:tcPr>
            <w:tcW w:w="1800" w:type="dxa"/>
            <w:tcBorders>
              <w:top w:val="nil"/>
              <w:left w:val="nil"/>
              <w:bottom w:val="single" w:sz="8" w:space="0" w:color="000000"/>
              <w:right w:val="single" w:sz="8" w:space="0" w:color="000000"/>
            </w:tcBorders>
            <w:shd w:val="clear" w:color="auto" w:fill="auto"/>
            <w:vAlign w:val="center"/>
            <w:hideMark/>
          </w:tcPr>
          <w:p w14:paraId="225C7149" w14:textId="77777777" w:rsidR="00E23F37" w:rsidRPr="00D85916" w:rsidRDefault="00E23F37" w:rsidP="00E23F37">
            <w:pPr>
              <w:spacing w:after="0"/>
              <w:ind w:left="0"/>
              <w:rPr>
                <w:rFonts w:cs="Calibri"/>
                <w:color w:val="000000"/>
                <w:szCs w:val="24"/>
              </w:rPr>
            </w:pPr>
            <w:r w:rsidRPr="00D85916">
              <w:rPr>
                <w:rFonts w:cs="Calibri"/>
                <w:color w:val="000000"/>
                <w:szCs w:val="24"/>
              </w:rPr>
              <w:t>Lear report</w:t>
            </w:r>
          </w:p>
        </w:tc>
        <w:tc>
          <w:tcPr>
            <w:tcW w:w="7071" w:type="dxa"/>
            <w:tcBorders>
              <w:top w:val="nil"/>
              <w:left w:val="nil"/>
              <w:bottom w:val="single" w:sz="8" w:space="0" w:color="000000"/>
              <w:right w:val="single" w:sz="8" w:space="0" w:color="000000"/>
            </w:tcBorders>
            <w:shd w:val="clear" w:color="auto" w:fill="auto"/>
            <w:vAlign w:val="center"/>
            <w:hideMark/>
          </w:tcPr>
          <w:p w14:paraId="4F72C227" w14:textId="77777777" w:rsidR="00E23F37" w:rsidRPr="00D85916" w:rsidRDefault="00E23F37" w:rsidP="00E23F37">
            <w:pPr>
              <w:spacing w:after="0"/>
              <w:ind w:left="0"/>
              <w:rPr>
                <w:rFonts w:cs="Calibri"/>
                <w:color w:val="000000"/>
                <w:szCs w:val="24"/>
              </w:rPr>
            </w:pPr>
            <w:r w:rsidRPr="00D85916">
              <w:rPr>
                <w:rFonts w:cs="Calibri"/>
                <w:color w:val="000000"/>
                <w:szCs w:val="24"/>
              </w:rPr>
              <w:t>Weekly listing of UI activity (claims filed and payment requests processed) by former and current employees of Lear (employer)</w:t>
            </w:r>
          </w:p>
        </w:tc>
      </w:tr>
      <w:tr w:rsidR="00E23F37" w:rsidRPr="001C17DF" w14:paraId="7F1772CC" w14:textId="77777777" w:rsidTr="00E23F37">
        <w:trPr>
          <w:trHeight w:val="300"/>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11CB810E" w14:textId="086A60B7" w:rsidR="00E23F37" w:rsidRPr="00D85916" w:rsidRDefault="00E23F37" w:rsidP="00E23F37">
            <w:pPr>
              <w:spacing w:after="0"/>
              <w:ind w:left="0"/>
              <w:jc w:val="center"/>
              <w:rPr>
                <w:rFonts w:cs="Calibri"/>
                <w:color w:val="000000"/>
                <w:szCs w:val="24"/>
              </w:rPr>
            </w:pPr>
            <w:r>
              <w:t>44</w:t>
            </w:r>
          </w:p>
        </w:tc>
        <w:tc>
          <w:tcPr>
            <w:tcW w:w="1627" w:type="dxa"/>
            <w:tcBorders>
              <w:top w:val="nil"/>
              <w:left w:val="nil"/>
              <w:bottom w:val="single" w:sz="8" w:space="0" w:color="000000"/>
              <w:right w:val="single" w:sz="8" w:space="0" w:color="000000"/>
            </w:tcBorders>
            <w:shd w:val="clear" w:color="auto" w:fill="auto"/>
            <w:noWrap/>
            <w:vAlign w:val="center"/>
            <w:hideMark/>
          </w:tcPr>
          <w:p w14:paraId="4722A704" w14:textId="77777777" w:rsidR="00E23F37" w:rsidRPr="00D85916" w:rsidRDefault="00E23F37" w:rsidP="00E23F37">
            <w:pPr>
              <w:spacing w:after="0"/>
              <w:ind w:left="0"/>
              <w:rPr>
                <w:rFonts w:cs="Calibri"/>
                <w:color w:val="000000"/>
                <w:szCs w:val="24"/>
              </w:rPr>
            </w:pPr>
            <w:r w:rsidRPr="00D85916">
              <w:rPr>
                <w:rFonts w:cs="Calibri"/>
                <w:color w:val="000000"/>
                <w:szCs w:val="24"/>
              </w:rPr>
              <w:t>Weekly</w:t>
            </w:r>
          </w:p>
        </w:tc>
        <w:tc>
          <w:tcPr>
            <w:tcW w:w="1800" w:type="dxa"/>
            <w:tcBorders>
              <w:top w:val="nil"/>
              <w:left w:val="nil"/>
              <w:bottom w:val="single" w:sz="8" w:space="0" w:color="000000"/>
              <w:right w:val="single" w:sz="8" w:space="0" w:color="000000"/>
            </w:tcBorders>
            <w:shd w:val="clear" w:color="auto" w:fill="auto"/>
            <w:vAlign w:val="center"/>
            <w:hideMark/>
          </w:tcPr>
          <w:p w14:paraId="176E1AE3" w14:textId="77777777" w:rsidR="00E23F37" w:rsidRPr="00D85916" w:rsidRDefault="00E23F37" w:rsidP="00E23F37">
            <w:pPr>
              <w:spacing w:after="0"/>
              <w:ind w:left="0"/>
              <w:rPr>
                <w:rFonts w:cs="Calibri"/>
                <w:color w:val="000000"/>
                <w:szCs w:val="24"/>
              </w:rPr>
            </w:pPr>
            <w:r w:rsidRPr="00D85916">
              <w:rPr>
                <w:rFonts w:cs="Calibri"/>
                <w:color w:val="000000"/>
                <w:szCs w:val="24"/>
              </w:rPr>
              <w:t>VC/SS</w:t>
            </w:r>
          </w:p>
        </w:tc>
        <w:tc>
          <w:tcPr>
            <w:tcW w:w="7071" w:type="dxa"/>
            <w:tcBorders>
              <w:top w:val="nil"/>
              <w:left w:val="nil"/>
              <w:bottom w:val="single" w:sz="8" w:space="0" w:color="000000"/>
              <w:right w:val="single" w:sz="8" w:space="0" w:color="000000"/>
            </w:tcBorders>
            <w:shd w:val="clear" w:color="auto" w:fill="auto"/>
            <w:vAlign w:val="center"/>
            <w:hideMark/>
          </w:tcPr>
          <w:p w14:paraId="760A2AC3" w14:textId="7738F8C9" w:rsidR="00E23F37" w:rsidRPr="00D85916" w:rsidRDefault="00E23F37" w:rsidP="00E23F37">
            <w:pPr>
              <w:spacing w:after="0"/>
              <w:ind w:left="0"/>
              <w:rPr>
                <w:rFonts w:cs="Calibri"/>
                <w:color w:val="000000"/>
                <w:szCs w:val="24"/>
              </w:rPr>
            </w:pPr>
            <w:r w:rsidRPr="00D85916">
              <w:rPr>
                <w:rFonts w:cs="Calibri"/>
                <w:color w:val="000000"/>
                <w:szCs w:val="24"/>
              </w:rPr>
              <w:t>Report that shows list of VC/SS dete</w:t>
            </w:r>
            <w:r w:rsidR="00FA2BCD">
              <w:rPr>
                <w:rFonts w:cs="Calibri"/>
                <w:color w:val="000000"/>
                <w:szCs w:val="24"/>
              </w:rPr>
              <w:t>rminations made the day before</w:t>
            </w:r>
          </w:p>
        </w:tc>
      </w:tr>
      <w:tr w:rsidR="00E23F37" w:rsidRPr="001C17DF" w14:paraId="1EEB5A0E" w14:textId="77777777" w:rsidTr="00E23F37">
        <w:trPr>
          <w:trHeight w:val="588"/>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419BF4F8" w14:textId="31654FF2" w:rsidR="00E23F37" w:rsidRPr="00D85916" w:rsidRDefault="00E23F37" w:rsidP="00E23F37">
            <w:pPr>
              <w:spacing w:after="0"/>
              <w:ind w:left="0"/>
              <w:jc w:val="center"/>
              <w:rPr>
                <w:rFonts w:cs="Calibri"/>
                <w:color w:val="000000"/>
                <w:szCs w:val="24"/>
              </w:rPr>
            </w:pPr>
            <w:r>
              <w:rPr>
                <w:color w:val="000000"/>
              </w:rPr>
              <w:t>45</w:t>
            </w:r>
          </w:p>
        </w:tc>
        <w:tc>
          <w:tcPr>
            <w:tcW w:w="1627" w:type="dxa"/>
            <w:tcBorders>
              <w:top w:val="nil"/>
              <w:left w:val="nil"/>
              <w:bottom w:val="single" w:sz="8" w:space="0" w:color="000000"/>
              <w:right w:val="single" w:sz="8" w:space="0" w:color="000000"/>
            </w:tcBorders>
            <w:shd w:val="clear" w:color="auto" w:fill="auto"/>
            <w:noWrap/>
            <w:vAlign w:val="center"/>
            <w:hideMark/>
          </w:tcPr>
          <w:p w14:paraId="1711A77C" w14:textId="77777777" w:rsidR="00E23F37" w:rsidRPr="00D85916" w:rsidRDefault="00E23F37" w:rsidP="00E23F37">
            <w:pPr>
              <w:spacing w:after="0"/>
              <w:ind w:left="0"/>
              <w:rPr>
                <w:rFonts w:cs="Calibri"/>
                <w:color w:val="000000"/>
                <w:szCs w:val="24"/>
              </w:rPr>
            </w:pPr>
            <w:r w:rsidRPr="00D85916">
              <w:rPr>
                <w:rFonts w:cs="Calibri"/>
                <w:color w:val="000000"/>
                <w:szCs w:val="24"/>
              </w:rPr>
              <w:t>Weekly</w:t>
            </w:r>
          </w:p>
        </w:tc>
        <w:tc>
          <w:tcPr>
            <w:tcW w:w="1800" w:type="dxa"/>
            <w:tcBorders>
              <w:top w:val="nil"/>
              <w:left w:val="nil"/>
              <w:bottom w:val="single" w:sz="8" w:space="0" w:color="000000"/>
              <w:right w:val="single" w:sz="8" w:space="0" w:color="000000"/>
            </w:tcBorders>
            <w:shd w:val="clear" w:color="auto" w:fill="auto"/>
            <w:vAlign w:val="center"/>
            <w:hideMark/>
          </w:tcPr>
          <w:p w14:paraId="1B530E46" w14:textId="77777777" w:rsidR="00E23F37" w:rsidRPr="00D85916" w:rsidRDefault="00E23F37" w:rsidP="00E23F37">
            <w:pPr>
              <w:spacing w:after="0"/>
              <w:ind w:left="0"/>
              <w:rPr>
                <w:rFonts w:cs="Calibri"/>
                <w:color w:val="000000"/>
                <w:szCs w:val="24"/>
              </w:rPr>
            </w:pPr>
            <w:r w:rsidRPr="00D85916">
              <w:rPr>
                <w:rFonts w:cs="Calibri"/>
                <w:color w:val="000000"/>
                <w:szCs w:val="24"/>
              </w:rPr>
              <w:t>Requalifications</w:t>
            </w:r>
          </w:p>
        </w:tc>
        <w:tc>
          <w:tcPr>
            <w:tcW w:w="7071" w:type="dxa"/>
            <w:tcBorders>
              <w:top w:val="nil"/>
              <w:left w:val="nil"/>
              <w:bottom w:val="single" w:sz="8" w:space="0" w:color="000000"/>
              <w:right w:val="single" w:sz="8" w:space="0" w:color="000000"/>
            </w:tcBorders>
            <w:shd w:val="clear" w:color="auto" w:fill="auto"/>
            <w:vAlign w:val="center"/>
            <w:hideMark/>
          </w:tcPr>
          <w:p w14:paraId="5C575F2E" w14:textId="156E5217" w:rsidR="00E23F37" w:rsidRPr="00D85916" w:rsidRDefault="00E23F37" w:rsidP="00E23F37">
            <w:pPr>
              <w:spacing w:after="0"/>
              <w:ind w:left="0"/>
              <w:rPr>
                <w:rFonts w:cs="Calibri"/>
                <w:color w:val="000000"/>
                <w:szCs w:val="24"/>
              </w:rPr>
            </w:pPr>
            <w:r>
              <w:rPr>
                <w:rFonts w:cs="Calibri"/>
                <w:color w:val="000000"/>
                <w:szCs w:val="24"/>
              </w:rPr>
              <w:t>Weekly listing of claimants who may have earned sufficient wages to close an open disqualification, claimants are requested to provide information to close the disqualification</w:t>
            </w:r>
            <w:r w:rsidRPr="00D85916">
              <w:rPr>
                <w:rFonts w:cs="Calibri"/>
                <w:color w:val="000000"/>
                <w:szCs w:val="24"/>
              </w:rPr>
              <w:t xml:space="preserve"> </w:t>
            </w:r>
          </w:p>
        </w:tc>
      </w:tr>
      <w:tr w:rsidR="00E23F37" w:rsidRPr="001C17DF" w14:paraId="16C0A6F3" w14:textId="77777777" w:rsidTr="00E23F37">
        <w:trPr>
          <w:trHeight w:val="300"/>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45EA859B" w14:textId="48812C91" w:rsidR="00E23F37" w:rsidRPr="00D85916" w:rsidRDefault="00E23F37" w:rsidP="00E23F37">
            <w:pPr>
              <w:spacing w:after="0"/>
              <w:ind w:left="0"/>
              <w:jc w:val="center"/>
              <w:rPr>
                <w:rFonts w:cs="Calibri"/>
                <w:color w:val="000000"/>
                <w:szCs w:val="24"/>
              </w:rPr>
            </w:pPr>
            <w:r>
              <w:t>46</w:t>
            </w:r>
          </w:p>
        </w:tc>
        <w:tc>
          <w:tcPr>
            <w:tcW w:w="1627" w:type="dxa"/>
            <w:tcBorders>
              <w:top w:val="nil"/>
              <w:left w:val="nil"/>
              <w:bottom w:val="single" w:sz="8" w:space="0" w:color="000000"/>
              <w:right w:val="single" w:sz="8" w:space="0" w:color="000000"/>
            </w:tcBorders>
            <w:shd w:val="clear" w:color="auto" w:fill="auto"/>
            <w:noWrap/>
            <w:vAlign w:val="center"/>
            <w:hideMark/>
          </w:tcPr>
          <w:p w14:paraId="51145FD4" w14:textId="77777777" w:rsidR="00E23F37" w:rsidRPr="00D85916" w:rsidRDefault="00E23F37" w:rsidP="00E23F37">
            <w:pPr>
              <w:spacing w:after="0"/>
              <w:ind w:left="0"/>
              <w:rPr>
                <w:rFonts w:cs="Calibri"/>
                <w:color w:val="000000"/>
                <w:szCs w:val="24"/>
              </w:rPr>
            </w:pPr>
            <w:r w:rsidRPr="00D85916">
              <w:rPr>
                <w:rFonts w:cs="Calibri"/>
                <w:color w:val="000000"/>
                <w:szCs w:val="24"/>
              </w:rPr>
              <w:t>Weekly</w:t>
            </w:r>
          </w:p>
        </w:tc>
        <w:tc>
          <w:tcPr>
            <w:tcW w:w="1800" w:type="dxa"/>
            <w:tcBorders>
              <w:top w:val="nil"/>
              <w:left w:val="nil"/>
              <w:bottom w:val="single" w:sz="8" w:space="0" w:color="000000"/>
              <w:right w:val="single" w:sz="8" w:space="0" w:color="000000"/>
            </w:tcBorders>
            <w:shd w:val="clear" w:color="auto" w:fill="auto"/>
            <w:vAlign w:val="center"/>
            <w:hideMark/>
          </w:tcPr>
          <w:p w14:paraId="15AD1DA9" w14:textId="77777777" w:rsidR="00E23F37" w:rsidRPr="00D85916" w:rsidRDefault="00E23F37" w:rsidP="00E23F37">
            <w:pPr>
              <w:spacing w:after="0"/>
              <w:ind w:left="0"/>
              <w:rPr>
                <w:rFonts w:cs="Calibri"/>
                <w:color w:val="000000"/>
                <w:szCs w:val="24"/>
              </w:rPr>
            </w:pPr>
            <w:r w:rsidRPr="00D85916">
              <w:rPr>
                <w:rFonts w:cs="Calibri"/>
                <w:color w:val="000000"/>
                <w:szCs w:val="24"/>
              </w:rPr>
              <w:t>CWC BD/BC</w:t>
            </w:r>
          </w:p>
        </w:tc>
        <w:tc>
          <w:tcPr>
            <w:tcW w:w="7071" w:type="dxa"/>
            <w:tcBorders>
              <w:top w:val="nil"/>
              <w:left w:val="nil"/>
              <w:bottom w:val="single" w:sz="8" w:space="0" w:color="000000"/>
              <w:right w:val="single" w:sz="8" w:space="0" w:color="000000"/>
            </w:tcBorders>
            <w:shd w:val="clear" w:color="auto" w:fill="auto"/>
            <w:vAlign w:val="center"/>
            <w:hideMark/>
          </w:tcPr>
          <w:p w14:paraId="2D57A779" w14:textId="539128DE" w:rsidR="00E23F37" w:rsidRPr="00D85916" w:rsidRDefault="00E23F37" w:rsidP="00E23F37">
            <w:pPr>
              <w:spacing w:after="0"/>
              <w:ind w:left="0"/>
              <w:rPr>
                <w:rFonts w:cs="Calibri"/>
                <w:color w:val="000000"/>
                <w:szCs w:val="24"/>
              </w:rPr>
            </w:pPr>
            <w:r>
              <w:rPr>
                <w:rFonts w:cs="Calibri"/>
                <w:color w:val="000000"/>
                <w:szCs w:val="24"/>
              </w:rPr>
              <w:t>Looking for backdated CWC claims</w:t>
            </w:r>
          </w:p>
        </w:tc>
      </w:tr>
      <w:tr w:rsidR="00E23F37" w:rsidRPr="001C17DF" w14:paraId="11EF1F92" w14:textId="77777777" w:rsidTr="00E23F37">
        <w:trPr>
          <w:trHeight w:val="300"/>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77D17185" w14:textId="3500871D" w:rsidR="00E23F37" w:rsidRPr="00D85916" w:rsidRDefault="00E23F37" w:rsidP="00E23F37">
            <w:pPr>
              <w:spacing w:after="0"/>
              <w:ind w:left="0"/>
              <w:jc w:val="center"/>
              <w:rPr>
                <w:rFonts w:cs="Calibri"/>
                <w:color w:val="000000"/>
                <w:szCs w:val="24"/>
              </w:rPr>
            </w:pPr>
            <w:r>
              <w:rPr>
                <w:color w:val="000000"/>
              </w:rPr>
              <w:t>47</w:t>
            </w:r>
          </w:p>
        </w:tc>
        <w:tc>
          <w:tcPr>
            <w:tcW w:w="1627" w:type="dxa"/>
            <w:tcBorders>
              <w:top w:val="nil"/>
              <w:left w:val="nil"/>
              <w:bottom w:val="single" w:sz="8" w:space="0" w:color="000000"/>
              <w:right w:val="single" w:sz="8" w:space="0" w:color="000000"/>
            </w:tcBorders>
            <w:shd w:val="clear" w:color="auto" w:fill="auto"/>
            <w:noWrap/>
            <w:vAlign w:val="center"/>
            <w:hideMark/>
          </w:tcPr>
          <w:p w14:paraId="38FCF2D4" w14:textId="77777777" w:rsidR="00E23F37" w:rsidRPr="00D85916" w:rsidRDefault="00E23F37" w:rsidP="00E23F37">
            <w:pPr>
              <w:spacing w:after="0"/>
              <w:ind w:left="0"/>
              <w:rPr>
                <w:rFonts w:cs="Calibri"/>
                <w:color w:val="000000"/>
                <w:szCs w:val="24"/>
              </w:rPr>
            </w:pPr>
            <w:r w:rsidRPr="00D85916">
              <w:rPr>
                <w:rFonts w:cs="Calibri"/>
                <w:color w:val="000000"/>
                <w:szCs w:val="24"/>
              </w:rPr>
              <w:t>Weekly</w:t>
            </w:r>
          </w:p>
        </w:tc>
        <w:tc>
          <w:tcPr>
            <w:tcW w:w="1800" w:type="dxa"/>
            <w:tcBorders>
              <w:top w:val="nil"/>
              <w:left w:val="nil"/>
              <w:bottom w:val="single" w:sz="8" w:space="0" w:color="000000"/>
              <w:right w:val="single" w:sz="8" w:space="0" w:color="000000"/>
            </w:tcBorders>
            <w:shd w:val="clear" w:color="auto" w:fill="auto"/>
            <w:vAlign w:val="center"/>
            <w:hideMark/>
          </w:tcPr>
          <w:p w14:paraId="5AFC7E10" w14:textId="77777777" w:rsidR="00E23F37" w:rsidRPr="00D85916" w:rsidRDefault="00E23F37" w:rsidP="00E23F37">
            <w:pPr>
              <w:spacing w:after="0"/>
              <w:ind w:left="0"/>
              <w:rPr>
                <w:rFonts w:cs="Calibri"/>
                <w:color w:val="000000"/>
                <w:szCs w:val="24"/>
              </w:rPr>
            </w:pPr>
            <w:r w:rsidRPr="00D85916">
              <w:rPr>
                <w:rFonts w:cs="Calibri"/>
                <w:color w:val="000000"/>
                <w:szCs w:val="24"/>
              </w:rPr>
              <w:t>Collections out of State</w:t>
            </w:r>
          </w:p>
        </w:tc>
        <w:tc>
          <w:tcPr>
            <w:tcW w:w="7071" w:type="dxa"/>
            <w:tcBorders>
              <w:top w:val="nil"/>
              <w:left w:val="nil"/>
              <w:bottom w:val="single" w:sz="8" w:space="0" w:color="000000"/>
              <w:right w:val="single" w:sz="8" w:space="0" w:color="000000"/>
            </w:tcBorders>
            <w:shd w:val="clear" w:color="auto" w:fill="auto"/>
            <w:vAlign w:val="center"/>
            <w:hideMark/>
          </w:tcPr>
          <w:p w14:paraId="237D1DDB" w14:textId="77777777" w:rsidR="00E23F37" w:rsidRPr="00D85916" w:rsidRDefault="00E23F37" w:rsidP="00E23F37">
            <w:pPr>
              <w:spacing w:after="0"/>
              <w:ind w:left="0"/>
              <w:rPr>
                <w:rFonts w:cs="Calibri"/>
                <w:color w:val="000000"/>
                <w:szCs w:val="24"/>
              </w:rPr>
            </w:pPr>
            <w:r w:rsidRPr="00D85916">
              <w:rPr>
                <w:rFonts w:cs="Calibri"/>
                <w:color w:val="000000"/>
                <w:szCs w:val="24"/>
              </w:rPr>
              <w:t>Query searches for monies collected by Texas for another state in the past week</w:t>
            </w:r>
          </w:p>
        </w:tc>
      </w:tr>
      <w:tr w:rsidR="00E23F37" w:rsidRPr="001C17DF" w14:paraId="0691B786" w14:textId="77777777" w:rsidTr="00E23F37">
        <w:trPr>
          <w:trHeight w:val="300"/>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1D9AE2AE" w14:textId="34DEBFF3" w:rsidR="00E23F37" w:rsidRPr="00D85916" w:rsidRDefault="00E23F37" w:rsidP="00E23F37">
            <w:pPr>
              <w:spacing w:after="0"/>
              <w:ind w:left="0"/>
              <w:jc w:val="center"/>
              <w:rPr>
                <w:rFonts w:cs="Calibri"/>
                <w:color w:val="000000"/>
                <w:szCs w:val="24"/>
              </w:rPr>
            </w:pPr>
            <w:r>
              <w:t>48</w:t>
            </w:r>
          </w:p>
        </w:tc>
        <w:tc>
          <w:tcPr>
            <w:tcW w:w="1627" w:type="dxa"/>
            <w:tcBorders>
              <w:top w:val="nil"/>
              <w:left w:val="nil"/>
              <w:bottom w:val="single" w:sz="8" w:space="0" w:color="000000"/>
              <w:right w:val="single" w:sz="8" w:space="0" w:color="000000"/>
            </w:tcBorders>
            <w:shd w:val="clear" w:color="auto" w:fill="auto"/>
            <w:noWrap/>
            <w:vAlign w:val="center"/>
            <w:hideMark/>
          </w:tcPr>
          <w:p w14:paraId="59F7015B" w14:textId="77777777" w:rsidR="00E23F37" w:rsidRPr="00D85916" w:rsidRDefault="00E23F37" w:rsidP="00E23F37">
            <w:pPr>
              <w:spacing w:after="0"/>
              <w:ind w:left="0"/>
              <w:rPr>
                <w:rFonts w:cs="Calibri"/>
                <w:color w:val="000000"/>
                <w:szCs w:val="24"/>
              </w:rPr>
            </w:pPr>
            <w:r w:rsidRPr="00D85916">
              <w:rPr>
                <w:rFonts w:cs="Calibri"/>
                <w:color w:val="000000"/>
                <w:szCs w:val="24"/>
              </w:rPr>
              <w:t>Weekly</w:t>
            </w:r>
          </w:p>
        </w:tc>
        <w:tc>
          <w:tcPr>
            <w:tcW w:w="1800" w:type="dxa"/>
            <w:tcBorders>
              <w:top w:val="nil"/>
              <w:left w:val="nil"/>
              <w:bottom w:val="single" w:sz="8" w:space="0" w:color="000000"/>
              <w:right w:val="single" w:sz="8" w:space="0" w:color="000000"/>
            </w:tcBorders>
            <w:shd w:val="clear" w:color="auto" w:fill="auto"/>
            <w:vAlign w:val="center"/>
            <w:hideMark/>
          </w:tcPr>
          <w:p w14:paraId="73FBD938" w14:textId="77777777" w:rsidR="00E23F37" w:rsidRPr="00D85916" w:rsidRDefault="00E23F37" w:rsidP="00E23F37">
            <w:pPr>
              <w:spacing w:after="0"/>
              <w:ind w:left="0"/>
              <w:rPr>
                <w:rFonts w:cs="Calibri"/>
                <w:color w:val="000000"/>
                <w:szCs w:val="24"/>
              </w:rPr>
            </w:pPr>
            <w:r w:rsidRPr="00D85916">
              <w:rPr>
                <w:rFonts w:cs="Calibri"/>
                <w:color w:val="000000"/>
                <w:szCs w:val="24"/>
              </w:rPr>
              <w:t>ID Theft Script</w:t>
            </w:r>
          </w:p>
        </w:tc>
        <w:tc>
          <w:tcPr>
            <w:tcW w:w="7071" w:type="dxa"/>
            <w:tcBorders>
              <w:top w:val="nil"/>
              <w:left w:val="nil"/>
              <w:bottom w:val="single" w:sz="8" w:space="0" w:color="000000"/>
              <w:right w:val="single" w:sz="8" w:space="0" w:color="000000"/>
            </w:tcBorders>
            <w:shd w:val="clear" w:color="auto" w:fill="auto"/>
            <w:vAlign w:val="center"/>
            <w:hideMark/>
          </w:tcPr>
          <w:p w14:paraId="1FC93F65" w14:textId="3F8E4CA1" w:rsidR="00E23F37" w:rsidRPr="00D85916" w:rsidRDefault="00FA2BCD" w:rsidP="00E23F37">
            <w:pPr>
              <w:spacing w:after="0"/>
              <w:ind w:left="0"/>
              <w:rPr>
                <w:rFonts w:cs="Calibri"/>
                <w:color w:val="000000"/>
                <w:szCs w:val="24"/>
              </w:rPr>
            </w:pPr>
            <w:r>
              <w:rPr>
                <w:rFonts w:cs="Calibri"/>
                <w:color w:val="000000"/>
                <w:szCs w:val="24"/>
              </w:rPr>
              <w:t xml:space="preserve">Three </w:t>
            </w:r>
            <w:r w:rsidR="00E23F37" w:rsidRPr="00D85916">
              <w:rPr>
                <w:rFonts w:cs="Calibri"/>
                <w:color w:val="000000"/>
                <w:szCs w:val="24"/>
              </w:rPr>
              <w:t xml:space="preserve">(3) </w:t>
            </w:r>
            <w:r w:rsidRPr="00D85916">
              <w:rPr>
                <w:rFonts w:cs="Calibri"/>
                <w:color w:val="000000"/>
                <w:szCs w:val="24"/>
              </w:rPr>
              <w:t xml:space="preserve">queries </w:t>
            </w:r>
            <w:r w:rsidR="00E23F37" w:rsidRPr="00D85916">
              <w:rPr>
                <w:rFonts w:cs="Calibri"/>
                <w:color w:val="000000"/>
                <w:szCs w:val="24"/>
              </w:rPr>
              <w:t>run against a list provided by RID to set up ID Theft cases for investigation</w:t>
            </w:r>
          </w:p>
        </w:tc>
      </w:tr>
      <w:tr w:rsidR="00E23F37" w:rsidRPr="001C17DF" w14:paraId="03B035E0" w14:textId="77777777" w:rsidTr="00E23F37">
        <w:trPr>
          <w:trHeight w:val="300"/>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1F3A3B24" w14:textId="4072188A" w:rsidR="00E23F37" w:rsidRPr="00D85916" w:rsidRDefault="00E23F37" w:rsidP="00E23F37">
            <w:pPr>
              <w:spacing w:after="0"/>
              <w:ind w:left="0"/>
              <w:jc w:val="center"/>
              <w:rPr>
                <w:rFonts w:cs="Calibri"/>
                <w:color w:val="000000"/>
                <w:szCs w:val="24"/>
              </w:rPr>
            </w:pPr>
            <w:r>
              <w:rPr>
                <w:color w:val="000000"/>
              </w:rPr>
              <w:t>49</w:t>
            </w:r>
          </w:p>
        </w:tc>
        <w:tc>
          <w:tcPr>
            <w:tcW w:w="1627" w:type="dxa"/>
            <w:tcBorders>
              <w:top w:val="nil"/>
              <w:left w:val="nil"/>
              <w:bottom w:val="single" w:sz="8" w:space="0" w:color="000000"/>
              <w:right w:val="single" w:sz="8" w:space="0" w:color="000000"/>
            </w:tcBorders>
            <w:shd w:val="clear" w:color="auto" w:fill="auto"/>
            <w:noWrap/>
            <w:vAlign w:val="center"/>
            <w:hideMark/>
          </w:tcPr>
          <w:p w14:paraId="17FB950B" w14:textId="77777777" w:rsidR="00E23F37" w:rsidRPr="00D85916" w:rsidRDefault="00E23F37" w:rsidP="00E23F37">
            <w:pPr>
              <w:spacing w:after="0"/>
              <w:ind w:left="0"/>
              <w:rPr>
                <w:rFonts w:cs="Calibri"/>
                <w:color w:val="000000"/>
                <w:szCs w:val="24"/>
              </w:rPr>
            </w:pPr>
            <w:r w:rsidRPr="00D85916">
              <w:rPr>
                <w:rFonts w:cs="Calibri"/>
                <w:color w:val="000000"/>
                <w:szCs w:val="24"/>
              </w:rPr>
              <w:t>Weekly</w:t>
            </w:r>
          </w:p>
        </w:tc>
        <w:tc>
          <w:tcPr>
            <w:tcW w:w="1800" w:type="dxa"/>
            <w:tcBorders>
              <w:top w:val="nil"/>
              <w:left w:val="nil"/>
              <w:bottom w:val="single" w:sz="8" w:space="0" w:color="000000"/>
              <w:right w:val="single" w:sz="8" w:space="0" w:color="000000"/>
            </w:tcBorders>
            <w:shd w:val="clear" w:color="auto" w:fill="auto"/>
            <w:vAlign w:val="center"/>
            <w:hideMark/>
          </w:tcPr>
          <w:p w14:paraId="29918CFB" w14:textId="77777777" w:rsidR="00E23F37" w:rsidRPr="00D85916" w:rsidRDefault="00E23F37" w:rsidP="00E23F37">
            <w:pPr>
              <w:spacing w:after="0"/>
              <w:ind w:left="0"/>
              <w:rPr>
                <w:rFonts w:cs="Calibri"/>
                <w:color w:val="000000"/>
                <w:szCs w:val="24"/>
              </w:rPr>
            </w:pPr>
            <w:r w:rsidRPr="00D85916">
              <w:rPr>
                <w:rFonts w:cs="Calibri"/>
                <w:color w:val="000000"/>
                <w:szCs w:val="24"/>
              </w:rPr>
              <w:t>Payment Method by Percent</w:t>
            </w:r>
          </w:p>
        </w:tc>
        <w:tc>
          <w:tcPr>
            <w:tcW w:w="7071" w:type="dxa"/>
            <w:tcBorders>
              <w:top w:val="nil"/>
              <w:left w:val="nil"/>
              <w:bottom w:val="single" w:sz="8" w:space="0" w:color="000000"/>
              <w:right w:val="single" w:sz="8" w:space="0" w:color="000000"/>
            </w:tcBorders>
            <w:shd w:val="clear" w:color="auto" w:fill="auto"/>
            <w:vAlign w:val="center"/>
            <w:hideMark/>
          </w:tcPr>
          <w:p w14:paraId="4FDA45AF" w14:textId="6D43A9B1" w:rsidR="00E23F37" w:rsidRPr="00D85916" w:rsidRDefault="00E23F37" w:rsidP="00E23F37">
            <w:pPr>
              <w:spacing w:after="0"/>
              <w:ind w:left="0"/>
              <w:rPr>
                <w:rFonts w:cs="Calibri"/>
                <w:color w:val="000000"/>
                <w:szCs w:val="24"/>
              </w:rPr>
            </w:pPr>
            <w:r w:rsidRPr="00D85916">
              <w:rPr>
                <w:rFonts w:cs="Calibri"/>
                <w:color w:val="000000"/>
                <w:szCs w:val="24"/>
              </w:rPr>
              <w:t>Amount of monies paid the previous method by payment method</w:t>
            </w:r>
          </w:p>
        </w:tc>
      </w:tr>
      <w:tr w:rsidR="00E23F37" w:rsidRPr="001C17DF" w14:paraId="314A6857" w14:textId="77777777" w:rsidTr="00E23F37">
        <w:trPr>
          <w:trHeight w:val="300"/>
        </w:trPr>
        <w:tc>
          <w:tcPr>
            <w:tcW w:w="691" w:type="dxa"/>
            <w:tcBorders>
              <w:top w:val="single" w:sz="8" w:space="0" w:color="000000"/>
              <w:left w:val="single" w:sz="8" w:space="0" w:color="000000"/>
              <w:bottom w:val="single" w:sz="4" w:space="0" w:color="auto"/>
              <w:right w:val="single" w:sz="8" w:space="0" w:color="000000"/>
            </w:tcBorders>
            <w:shd w:val="clear" w:color="auto" w:fill="auto"/>
            <w:noWrap/>
            <w:vAlign w:val="center"/>
            <w:hideMark/>
          </w:tcPr>
          <w:p w14:paraId="1A0F8A0D" w14:textId="2E01C1C5" w:rsidR="00E23F37" w:rsidRPr="00D85916" w:rsidRDefault="00E23F37" w:rsidP="00E23F37">
            <w:pPr>
              <w:spacing w:after="0"/>
              <w:ind w:left="0"/>
              <w:jc w:val="center"/>
              <w:rPr>
                <w:rFonts w:cs="Calibri"/>
                <w:color w:val="000000"/>
                <w:szCs w:val="24"/>
              </w:rPr>
            </w:pPr>
            <w:r>
              <w:lastRenderedPageBreak/>
              <w:t>50</w:t>
            </w:r>
          </w:p>
        </w:tc>
        <w:tc>
          <w:tcPr>
            <w:tcW w:w="1627" w:type="dxa"/>
            <w:tcBorders>
              <w:top w:val="nil"/>
              <w:left w:val="nil"/>
              <w:bottom w:val="single" w:sz="8" w:space="0" w:color="000000"/>
              <w:right w:val="single" w:sz="8" w:space="0" w:color="000000"/>
            </w:tcBorders>
            <w:shd w:val="clear" w:color="auto" w:fill="auto"/>
            <w:noWrap/>
            <w:vAlign w:val="center"/>
            <w:hideMark/>
          </w:tcPr>
          <w:p w14:paraId="612FC6A0" w14:textId="77777777" w:rsidR="00E23F37" w:rsidRPr="00D85916" w:rsidRDefault="00E23F37" w:rsidP="00E23F37">
            <w:pPr>
              <w:spacing w:after="0"/>
              <w:ind w:left="0"/>
              <w:rPr>
                <w:rFonts w:cs="Calibri"/>
                <w:color w:val="000000"/>
                <w:szCs w:val="24"/>
              </w:rPr>
            </w:pPr>
            <w:r w:rsidRPr="00D85916">
              <w:rPr>
                <w:rFonts w:cs="Calibri"/>
                <w:color w:val="000000"/>
                <w:szCs w:val="24"/>
              </w:rPr>
              <w:t>Weekly</w:t>
            </w:r>
          </w:p>
        </w:tc>
        <w:tc>
          <w:tcPr>
            <w:tcW w:w="1800" w:type="dxa"/>
            <w:tcBorders>
              <w:top w:val="nil"/>
              <w:left w:val="nil"/>
              <w:bottom w:val="single" w:sz="8" w:space="0" w:color="000000"/>
              <w:right w:val="single" w:sz="8" w:space="0" w:color="000000"/>
            </w:tcBorders>
            <w:shd w:val="clear" w:color="auto" w:fill="auto"/>
            <w:vAlign w:val="center"/>
            <w:hideMark/>
          </w:tcPr>
          <w:p w14:paraId="00E3C0EB" w14:textId="77777777" w:rsidR="00E23F37" w:rsidRPr="00D85916" w:rsidRDefault="00E23F37" w:rsidP="00E23F37">
            <w:pPr>
              <w:spacing w:after="0"/>
              <w:ind w:left="0"/>
              <w:rPr>
                <w:rFonts w:cs="Calibri"/>
                <w:color w:val="000000"/>
                <w:szCs w:val="24"/>
              </w:rPr>
            </w:pPr>
            <w:r w:rsidRPr="00D85916">
              <w:rPr>
                <w:rFonts w:cs="Calibri"/>
                <w:color w:val="000000"/>
                <w:szCs w:val="24"/>
              </w:rPr>
              <w:t>Shared Direct Deposit</w:t>
            </w:r>
          </w:p>
        </w:tc>
        <w:tc>
          <w:tcPr>
            <w:tcW w:w="7071" w:type="dxa"/>
            <w:tcBorders>
              <w:top w:val="nil"/>
              <w:left w:val="nil"/>
              <w:bottom w:val="single" w:sz="8" w:space="0" w:color="000000"/>
              <w:right w:val="single" w:sz="8" w:space="0" w:color="000000"/>
            </w:tcBorders>
            <w:shd w:val="clear" w:color="auto" w:fill="auto"/>
            <w:vAlign w:val="center"/>
            <w:hideMark/>
          </w:tcPr>
          <w:p w14:paraId="3C6CB437" w14:textId="77777777" w:rsidR="00E23F37" w:rsidRPr="00D85916" w:rsidRDefault="00E23F37" w:rsidP="00E23F37">
            <w:pPr>
              <w:spacing w:after="0"/>
              <w:ind w:left="0"/>
              <w:rPr>
                <w:rFonts w:cs="Calibri"/>
                <w:color w:val="000000"/>
                <w:szCs w:val="24"/>
              </w:rPr>
            </w:pPr>
            <w:r w:rsidRPr="00D85916">
              <w:rPr>
                <w:rFonts w:cs="Calibri"/>
                <w:color w:val="000000"/>
                <w:szCs w:val="24"/>
              </w:rPr>
              <w:t>Benefit payments made to two or more individuals but payment is sent to the same bank account</w:t>
            </w:r>
          </w:p>
        </w:tc>
      </w:tr>
      <w:tr w:rsidR="00E23F37" w:rsidRPr="001C17DF" w14:paraId="1B3F9234" w14:textId="77777777" w:rsidTr="00E23F37">
        <w:trPr>
          <w:trHeight w:val="300"/>
        </w:trPr>
        <w:tc>
          <w:tcPr>
            <w:tcW w:w="691" w:type="dxa"/>
            <w:tcBorders>
              <w:top w:val="single" w:sz="4" w:space="0" w:color="auto"/>
              <w:left w:val="single" w:sz="8" w:space="0" w:color="000000"/>
              <w:bottom w:val="single" w:sz="8" w:space="0" w:color="000000"/>
              <w:right w:val="single" w:sz="8" w:space="0" w:color="000000"/>
            </w:tcBorders>
            <w:shd w:val="clear" w:color="auto" w:fill="auto"/>
            <w:noWrap/>
            <w:vAlign w:val="center"/>
            <w:hideMark/>
          </w:tcPr>
          <w:p w14:paraId="0E91A60E" w14:textId="28D828BD" w:rsidR="00E23F37" w:rsidRPr="00D85916" w:rsidRDefault="00E23F37" w:rsidP="00E23F37">
            <w:pPr>
              <w:spacing w:after="0"/>
              <w:ind w:left="0"/>
              <w:jc w:val="center"/>
              <w:rPr>
                <w:rFonts w:cs="Calibri"/>
                <w:color w:val="000000"/>
                <w:szCs w:val="24"/>
              </w:rPr>
            </w:pPr>
            <w:r>
              <w:rPr>
                <w:color w:val="000000"/>
              </w:rPr>
              <w:t>51</w:t>
            </w:r>
          </w:p>
        </w:tc>
        <w:tc>
          <w:tcPr>
            <w:tcW w:w="1627" w:type="dxa"/>
            <w:tcBorders>
              <w:top w:val="nil"/>
              <w:left w:val="nil"/>
              <w:bottom w:val="single" w:sz="8" w:space="0" w:color="000000"/>
              <w:right w:val="single" w:sz="8" w:space="0" w:color="000000"/>
            </w:tcBorders>
            <w:shd w:val="clear" w:color="auto" w:fill="auto"/>
            <w:noWrap/>
            <w:vAlign w:val="center"/>
            <w:hideMark/>
          </w:tcPr>
          <w:p w14:paraId="049C0F67" w14:textId="77777777" w:rsidR="00E23F37" w:rsidRPr="00D85916" w:rsidRDefault="00E23F37" w:rsidP="00E23F37">
            <w:pPr>
              <w:spacing w:after="0"/>
              <w:ind w:left="0"/>
              <w:rPr>
                <w:rFonts w:cs="Calibri"/>
                <w:color w:val="000000"/>
                <w:szCs w:val="24"/>
              </w:rPr>
            </w:pPr>
            <w:r w:rsidRPr="00D85916">
              <w:rPr>
                <w:rFonts w:cs="Calibri"/>
                <w:color w:val="000000"/>
                <w:szCs w:val="24"/>
              </w:rPr>
              <w:t>Weekly</w:t>
            </w:r>
          </w:p>
        </w:tc>
        <w:tc>
          <w:tcPr>
            <w:tcW w:w="1800" w:type="dxa"/>
            <w:tcBorders>
              <w:top w:val="nil"/>
              <w:left w:val="nil"/>
              <w:bottom w:val="single" w:sz="8" w:space="0" w:color="000000"/>
              <w:right w:val="single" w:sz="8" w:space="0" w:color="000000"/>
            </w:tcBorders>
            <w:shd w:val="clear" w:color="auto" w:fill="auto"/>
            <w:vAlign w:val="center"/>
            <w:hideMark/>
          </w:tcPr>
          <w:p w14:paraId="72078B40" w14:textId="4E4EEDB5" w:rsidR="00E23F37" w:rsidRPr="00D85916" w:rsidRDefault="00E23F37" w:rsidP="00E23F37">
            <w:pPr>
              <w:spacing w:after="0"/>
              <w:ind w:left="0"/>
              <w:rPr>
                <w:rFonts w:cs="Calibri"/>
                <w:color w:val="000000"/>
                <w:szCs w:val="24"/>
              </w:rPr>
            </w:pPr>
            <w:r w:rsidRPr="00D85916">
              <w:rPr>
                <w:rFonts w:cs="Calibri"/>
                <w:color w:val="000000"/>
                <w:szCs w:val="24"/>
              </w:rPr>
              <w:t>Count Payment Request Statistic</w:t>
            </w:r>
          </w:p>
        </w:tc>
        <w:tc>
          <w:tcPr>
            <w:tcW w:w="7071" w:type="dxa"/>
            <w:tcBorders>
              <w:top w:val="nil"/>
              <w:left w:val="nil"/>
              <w:bottom w:val="single" w:sz="8" w:space="0" w:color="000000"/>
              <w:right w:val="single" w:sz="8" w:space="0" w:color="000000"/>
            </w:tcBorders>
            <w:shd w:val="clear" w:color="auto" w:fill="auto"/>
            <w:vAlign w:val="center"/>
            <w:hideMark/>
          </w:tcPr>
          <w:p w14:paraId="2676163B" w14:textId="4B5171D8" w:rsidR="00E23F37" w:rsidRPr="00D85916" w:rsidRDefault="00E23F37" w:rsidP="00E23F37">
            <w:pPr>
              <w:spacing w:after="0"/>
              <w:ind w:left="0"/>
              <w:rPr>
                <w:rFonts w:cs="Calibri"/>
                <w:color w:val="000000"/>
                <w:szCs w:val="24"/>
              </w:rPr>
            </w:pPr>
            <w:r>
              <w:rPr>
                <w:rFonts w:cs="Calibri"/>
                <w:color w:val="000000"/>
                <w:szCs w:val="24"/>
              </w:rPr>
              <w:t>Payment Request filing method</w:t>
            </w:r>
          </w:p>
        </w:tc>
      </w:tr>
      <w:tr w:rsidR="00E23F37" w:rsidRPr="001C17DF" w14:paraId="76E5A2FF" w14:textId="77777777" w:rsidTr="00E23F37">
        <w:trPr>
          <w:trHeight w:val="588"/>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70D89447" w14:textId="1086D618" w:rsidR="00E23F37" w:rsidRPr="00D85916" w:rsidRDefault="00E23F37" w:rsidP="00E23F37">
            <w:pPr>
              <w:spacing w:after="0"/>
              <w:ind w:left="0"/>
              <w:jc w:val="center"/>
              <w:rPr>
                <w:rFonts w:cs="Calibri"/>
                <w:color w:val="000000"/>
                <w:szCs w:val="24"/>
              </w:rPr>
            </w:pPr>
            <w:r>
              <w:t>52</w:t>
            </w:r>
          </w:p>
        </w:tc>
        <w:tc>
          <w:tcPr>
            <w:tcW w:w="1627" w:type="dxa"/>
            <w:tcBorders>
              <w:top w:val="nil"/>
              <w:left w:val="nil"/>
              <w:bottom w:val="single" w:sz="8" w:space="0" w:color="000000"/>
              <w:right w:val="single" w:sz="8" w:space="0" w:color="000000"/>
            </w:tcBorders>
            <w:shd w:val="clear" w:color="auto" w:fill="auto"/>
            <w:noWrap/>
            <w:vAlign w:val="center"/>
            <w:hideMark/>
          </w:tcPr>
          <w:p w14:paraId="3FBD5B42" w14:textId="77777777" w:rsidR="00E23F37" w:rsidRPr="00D85916" w:rsidRDefault="00E23F37" w:rsidP="00E23F37">
            <w:pPr>
              <w:spacing w:after="0"/>
              <w:ind w:left="0"/>
              <w:rPr>
                <w:rFonts w:cs="Calibri"/>
                <w:color w:val="000000"/>
                <w:szCs w:val="24"/>
              </w:rPr>
            </w:pPr>
            <w:r w:rsidRPr="00D85916">
              <w:rPr>
                <w:rFonts w:cs="Calibri"/>
                <w:color w:val="000000"/>
                <w:szCs w:val="24"/>
              </w:rPr>
              <w:t>Weekly</w:t>
            </w:r>
          </w:p>
        </w:tc>
        <w:tc>
          <w:tcPr>
            <w:tcW w:w="1800" w:type="dxa"/>
            <w:tcBorders>
              <w:top w:val="nil"/>
              <w:left w:val="nil"/>
              <w:bottom w:val="single" w:sz="8" w:space="0" w:color="000000"/>
              <w:right w:val="single" w:sz="8" w:space="0" w:color="000000"/>
            </w:tcBorders>
            <w:shd w:val="clear" w:color="auto" w:fill="auto"/>
            <w:vAlign w:val="center"/>
            <w:hideMark/>
          </w:tcPr>
          <w:p w14:paraId="5E62C95E" w14:textId="77777777" w:rsidR="00E23F37" w:rsidRPr="00D85916" w:rsidRDefault="00E23F37" w:rsidP="00E23F37">
            <w:pPr>
              <w:spacing w:after="0"/>
              <w:ind w:left="0"/>
              <w:rPr>
                <w:rFonts w:cs="Calibri"/>
                <w:color w:val="000000"/>
                <w:szCs w:val="24"/>
              </w:rPr>
            </w:pPr>
            <w:r w:rsidRPr="00D85916">
              <w:rPr>
                <w:rFonts w:cs="Calibri"/>
                <w:color w:val="000000"/>
                <w:szCs w:val="24"/>
              </w:rPr>
              <w:t>TOP file</w:t>
            </w:r>
          </w:p>
        </w:tc>
        <w:tc>
          <w:tcPr>
            <w:tcW w:w="7071" w:type="dxa"/>
            <w:tcBorders>
              <w:top w:val="nil"/>
              <w:left w:val="nil"/>
              <w:bottom w:val="single" w:sz="8" w:space="0" w:color="000000"/>
              <w:right w:val="single" w:sz="8" w:space="0" w:color="000000"/>
            </w:tcBorders>
            <w:shd w:val="clear" w:color="auto" w:fill="auto"/>
            <w:vAlign w:val="center"/>
            <w:hideMark/>
          </w:tcPr>
          <w:p w14:paraId="0ED4058D" w14:textId="7F4CD974" w:rsidR="00E23F37" w:rsidRPr="00D85916" w:rsidRDefault="00E23F37" w:rsidP="00E23F37">
            <w:pPr>
              <w:spacing w:after="0"/>
              <w:ind w:left="0"/>
              <w:rPr>
                <w:rFonts w:cs="Calibri"/>
                <w:color w:val="000000"/>
                <w:szCs w:val="24"/>
              </w:rPr>
            </w:pPr>
            <w:r w:rsidRPr="00D85916">
              <w:rPr>
                <w:rFonts w:cs="Calibri"/>
                <w:color w:val="000000"/>
                <w:szCs w:val="24"/>
              </w:rPr>
              <w:t xml:space="preserve">Query finds the dollar amount of overpayments collected or intercepted from TOP eligible </w:t>
            </w:r>
            <w:r>
              <w:rPr>
                <w:rFonts w:cs="Calibri"/>
                <w:color w:val="000000"/>
                <w:szCs w:val="24"/>
              </w:rPr>
              <w:t>Claimants</w:t>
            </w:r>
          </w:p>
        </w:tc>
      </w:tr>
      <w:tr w:rsidR="00E23F37" w:rsidRPr="001C17DF" w14:paraId="0087077F" w14:textId="77777777" w:rsidTr="00E23F37">
        <w:trPr>
          <w:trHeight w:val="588"/>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62AB1A5A" w14:textId="0DBED3D6" w:rsidR="00E23F37" w:rsidRPr="00D85916" w:rsidRDefault="00E23F37" w:rsidP="00E23F37">
            <w:pPr>
              <w:spacing w:after="0"/>
              <w:ind w:left="0"/>
              <w:jc w:val="center"/>
              <w:rPr>
                <w:rFonts w:cs="Calibri"/>
                <w:color w:val="000000"/>
                <w:szCs w:val="24"/>
              </w:rPr>
            </w:pPr>
            <w:r>
              <w:rPr>
                <w:color w:val="000000"/>
              </w:rPr>
              <w:t>53</w:t>
            </w:r>
          </w:p>
        </w:tc>
        <w:tc>
          <w:tcPr>
            <w:tcW w:w="1627" w:type="dxa"/>
            <w:tcBorders>
              <w:top w:val="nil"/>
              <w:left w:val="nil"/>
              <w:bottom w:val="single" w:sz="8" w:space="0" w:color="000000"/>
              <w:right w:val="single" w:sz="8" w:space="0" w:color="000000"/>
            </w:tcBorders>
            <w:shd w:val="clear" w:color="auto" w:fill="auto"/>
            <w:noWrap/>
            <w:vAlign w:val="center"/>
            <w:hideMark/>
          </w:tcPr>
          <w:p w14:paraId="591EE980" w14:textId="77777777" w:rsidR="00E23F37" w:rsidRPr="00D85916" w:rsidRDefault="00E23F37" w:rsidP="00E23F37">
            <w:pPr>
              <w:spacing w:after="0"/>
              <w:ind w:left="0"/>
              <w:rPr>
                <w:rFonts w:cs="Calibri"/>
                <w:color w:val="000000"/>
                <w:szCs w:val="24"/>
              </w:rPr>
            </w:pPr>
            <w:r w:rsidRPr="00D85916">
              <w:rPr>
                <w:rFonts w:cs="Calibri"/>
                <w:color w:val="000000"/>
                <w:szCs w:val="24"/>
              </w:rPr>
              <w:t>Weekly</w:t>
            </w:r>
          </w:p>
        </w:tc>
        <w:tc>
          <w:tcPr>
            <w:tcW w:w="1800" w:type="dxa"/>
            <w:tcBorders>
              <w:top w:val="nil"/>
              <w:left w:val="nil"/>
              <w:bottom w:val="single" w:sz="8" w:space="0" w:color="000000"/>
              <w:right w:val="single" w:sz="8" w:space="0" w:color="000000"/>
            </w:tcBorders>
            <w:shd w:val="clear" w:color="auto" w:fill="auto"/>
            <w:vAlign w:val="center"/>
            <w:hideMark/>
          </w:tcPr>
          <w:p w14:paraId="11F0C88B" w14:textId="77777777" w:rsidR="00E23F37" w:rsidRPr="00D85916" w:rsidRDefault="00E23F37" w:rsidP="00E23F37">
            <w:pPr>
              <w:spacing w:after="0"/>
              <w:ind w:left="0"/>
              <w:rPr>
                <w:rFonts w:cs="Calibri"/>
                <w:color w:val="000000"/>
                <w:szCs w:val="24"/>
              </w:rPr>
            </w:pPr>
            <w:r w:rsidRPr="00D85916">
              <w:rPr>
                <w:rFonts w:cs="Calibri"/>
                <w:color w:val="000000"/>
                <w:szCs w:val="24"/>
              </w:rPr>
              <w:t>New Hire Weekly numbers</w:t>
            </w:r>
          </w:p>
        </w:tc>
        <w:tc>
          <w:tcPr>
            <w:tcW w:w="7071" w:type="dxa"/>
            <w:tcBorders>
              <w:top w:val="nil"/>
              <w:left w:val="nil"/>
              <w:bottom w:val="single" w:sz="8" w:space="0" w:color="000000"/>
              <w:right w:val="single" w:sz="8" w:space="0" w:color="000000"/>
            </w:tcBorders>
            <w:shd w:val="clear" w:color="auto" w:fill="auto"/>
            <w:vAlign w:val="center"/>
            <w:hideMark/>
          </w:tcPr>
          <w:p w14:paraId="5D4A2555" w14:textId="48E17529" w:rsidR="00E23F37" w:rsidRPr="00D85916" w:rsidRDefault="00472F3B" w:rsidP="00E23F37">
            <w:pPr>
              <w:spacing w:after="0"/>
              <w:ind w:left="0"/>
              <w:rPr>
                <w:rFonts w:cs="Calibri"/>
                <w:color w:val="000000"/>
                <w:szCs w:val="24"/>
              </w:rPr>
            </w:pPr>
            <w:r>
              <w:rPr>
                <w:rFonts w:cs="Calibri"/>
                <w:color w:val="000000"/>
                <w:szCs w:val="24"/>
              </w:rPr>
              <w:t>Report listing all new hire cases</w:t>
            </w:r>
          </w:p>
        </w:tc>
      </w:tr>
      <w:tr w:rsidR="00E23F37" w:rsidRPr="001C17DF" w14:paraId="09FBC8C4" w14:textId="77777777" w:rsidTr="00E23F37">
        <w:trPr>
          <w:trHeight w:val="588"/>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57374FE7" w14:textId="39932D9F" w:rsidR="00E23F37" w:rsidRPr="00D85916" w:rsidRDefault="00E23F37" w:rsidP="00E23F37">
            <w:pPr>
              <w:spacing w:after="0"/>
              <w:ind w:left="0"/>
              <w:jc w:val="center"/>
              <w:rPr>
                <w:rFonts w:cs="Calibri"/>
                <w:color w:val="000000"/>
                <w:szCs w:val="24"/>
              </w:rPr>
            </w:pPr>
            <w:bookmarkStart w:id="432" w:name="_Hlk536107064"/>
            <w:r>
              <w:t>54</w:t>
            </w:r>
          </w:p>
        </w:tc>
        <w:tc>
          <w:tcPr>
            <w:tcW w:w="1627" w:type="dxa"/>
            <w:tcBorders>
              <w:top w:val="nil"/>
              <w:left w:val="nil"/>
              <w:bottom w:val="single" w:sz="8" w:space="0" w:color="000000"/>
              <w:right w:val="single" w:sz="8" w:space="0" w:color="000000"/>
            </w:tcBorders>
            <w:shd w:val="clear" w:color="auto" w:fill="auto"/>
            <w:noWrap/>
            <w:vAlign w:val="center"/>
            <w:hideMark/>
          </w:tcPr>
          <w:p w14:paraId="000136AD" w14:textId="77777777" w:rsidR="00E23F37" w:rsidRPr="00D85916" w:rsidRDefault="00E23F37" w:rsidP="00E23F37">
            <w:pPr>
              <w:spacing w:after="0"/>
              <w:ind w:left="0"/>
              <w:rPr>
                <w:rFonts w:cs="Calibri"/>
                <w:color w:val="000000"/>
                <w:szCs w:val="24"/>
              </w:rPr>
            </w:pPr>
            <w:r w:rsidRPr="00D85916">
              <w:rPr>
                <w:rFonts w:cs="Calibri"/>
                <w:color w:val="000000"/>
                <w:szCs w:val="24"/>
              </w:rPr>
              <w:t>Weekly</w:t>
            </w:r>
          </w:p>
        </w:tc>
        <w:tc>
          <w:tcPr>
            <w:tcW w:w="1800" w:type="dxa"/>
            <w:tcBorders>
              <w:top w:val="nil"/>
              <w:left w:val="nil"/>
              <w:bottom w:val="single" w:sz="8" w:space="0" w:color="000000"/>
              <w:right w:val="single" w:sz="8" w:space="0" w:color="000000"/>
            </w:tcBorders>
            <w:shd w:val="clear" w:color="auto" w:fill="auto"/>
            <w:vAlign w:val="center"/>
            <w:hideMark/>
          </w:tcPr>
          <w:p w14:paraId="499B3D0D" w14:textId="77777777" w:rsidR="00E23F37" w:rsidRPr="00D85916" w:rsidRDefault="00E23F37" w:rsidP="00E23F37">
            <w:pPr>
              <w:spacing w:after="0"/>
              <w:ind w:left="0"/>
              <w:rPr>
                <w:rFonts w:cs="Calibri"/>
                <w:color w:val="000000"/>
                <w:szCs w:val="24"/>
              </w:rPr>
            </w:pPr>
            <w:r w:rsidRPr="00D85916">
              <w:rPr>
                <w:rFonts w:cs="Calibri"/>
                <w:color w:val="000000"/>
                <w:szCs w:val="24"/>
              </w:rPr>
              <w:t>TX to TX address changes</w:t>
            </w:r>
          </w:p>
        </w:tc>
        <w:tc>
          <w:tcPr>
            <w:tcW w:w="7071" w:type="dxa"/>
            <w:tcBorders>
              <w:top w:val="nil"/>
              <w:left w:val="nil"/>
              <w:bottom w:val="single" w:sz="8" w:space="0" w:color="000000"/>
              <w:right w:val="single" w:sz="8" w:space="0" w:color="000000"/>
            </w:tcBorders>
            <w:shd w:val="clear" w:color="auto" w:fill="auto"/>
            <w:vAlign w:val="center"/>
            <w:hideMark/>
          </w:tcPr>
          <w:p w14:paraId="6381EA06" w14:textId="77777777" w:rsidR="00E23F37" w:rsidRPr="00D85916" w:rsidRDefault="00E23F37" w:rsidP="00E23F37">
            <w:pPr>
              <w:spacing w:after="0"/>
              <w:ind w:left="0"/>
              <w:rPr>
                <w:rFonts w:cs="Calibri"/>
                <w:color w:val="000000"/>
                <w:szCs w:val="24"/>
              </w:rPr>
            </w:pPr>
            <w:r w:rsidRPr="00D85916">
              <w:rPr>
                <w:rFonts w:cs="Calibri"/>
                <w:color w:val="000000"/>
                <w:szCs w:val="24"/>
              </w:rPr>
              <w:t>Individuals suspected of fraud or identity theft who had a TX address that have now moved to another to a new TX address</w:t>
            </w:r>
          </w:p>
        </w:tc>
      </w:tr>
      <w:bookmarkEnd w:id="432"/>
      <w:tr w:rsidR="00AF5B43" w:rsidRPr="001C17DF" w14:paraId="7C15E870" w14:textId="77777777" w:rsidTr="00E23F37">
        <w:trPr>
          <w:trHeight w:val="300"/>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40F198A3" w14:textId="2778A25D" w:rsidR="00AF5B43" w:rsidRPr="00D85916" w:rsidRDefault="00AF5B43" w:rsidP="00AF5B43">
            <w:pPr>
              <w:spacing w:after="0"/>
              <w:ind w:left="0"/>
              <w:jc w:val="center"/>
              <w:rPr>
                <w:rFonts w:cs="Calibri"/>
                <w:color w:val="000000"/>
                <w:szCs w:val="24"/>
              </w:rPr>
            </w:pPr>
            <w:r>
              <w:rPr>
                <w:color w:val="000000"/>
              </w:rPr>
              <w:t>55</w:t>
            </w:r>
          </w:p>
        </w:tc>
        <w:tc>
          <w:tcPr>
            <w:tcW w:w="1627" w:type="dxa"/>
            <w:tcBorders>
              <w:top w:val="nil"/>
              <w:left w:val="nil"/>
              <w:bottom w:val="single" w:sz="8" w:space="0" w:color="000000"/>
              <w:right w:val="single" w:sz="8" w:space="0" w:color="000000"/>
            </w:tcBorders>
            <w:shd w:val="clear" w:color="auto" w:fill="auto"/>
            <w:noWrap/>
            <w:vAlign w:val="center"/>
            <w:hideMark/>
          </w:tcPr>
          <w:p w14:paraId="0F796DE6" w14:textId="77777777" w:rsidR="00AF5B43" w:rsidRPr="00D85916" w:rsidRDefault="00AF5B43" w:rsidP="00AF5B43">
            <w:pPr>
              <w:spacing w:after="0"/>
              <w:ind w:left="0"/>
              <w:rPr>
                <w:rFonts w:cs="Calibri"/>
                <w:color w:val="000000"/>
                <w:szCs w:val="24"/>
              </w:rPr>
            </w:pPr>
            <w:r w:rsidRPr="00D85916">
              <w:rPr>
                <w:rFonts w:cs="Calibri"/>
                <w:color w:val="000000"/>
                <w:szCs w:val="24"/>
              </w:rPr>
              <w:t>Weekly</w:t>
            </w:r>
          </w:p>
        </w:tc>
        <w:tc>
          <w:tcPr>
            <w:tcW w:w="1800" w:type="dxa"/>
            <w:tcBorders>
              <w:top w:val="nil"/>
              <w:left w:val="nil"/>
              <w:bottom w:val="single" w:sz="8" w:space="0" w:color="000000"/>
              <w:right w:val="single" w:sz="8" w:space="0" w:color="000000"/>
            </w:tcBorders>
            <w:shd w:val="clear" w:color="auto" w:fill="auto"/>
            <w:vAlign w:val="center"/>
            <w:hideMark/>
          </w:tcPr>
          <w:p w14:paraId="4079CB60" w14:textId="77777777" w:rsidR="00AF5B43" w:rsidRPr="00D85916" w:rsidRDefault="00AF5B43" w:rsidP="00AF5B43">
            <w:pPr>
              <w:spacing w:after="0"/>
              <w:ind w:left="0"/>
              <w:rPr>
                <w:rFonts w:cs="Calibri"/>
                <w:color w:val="000000"/>
                <w:szCs w:val="24"/>
              </w:rPr>
            </w:pPr>
            <w:r w:rsidRPr="00D85916">
              <w:rPr>
                <w:rFonts w:cs="Calibri"/>
                <w:color w:val="000000"/>
                <w:szCs w:val="24"/>
              </w:rPr>
              <w:t>QT188 Determinations</w:t>
            </w:r>
          </w:p>
        </w:tc>
        <w:tc>
          <w:tcPr>
            <w:tcW w:w="7071" w:type="dxa"/>
            <w:tcBorders>
              <w:top w:val="nil"/>
              <w:left w:val="nil"/>
              <w:bottom w:val="single" w:sz="8" w:space="0" w:color="000000"/>
              <w:right w:val="single" w:sz="8" w:space="0" w:color="000000"/>
            </w:tcBorders>
            <w:shd w:val="clear" w:color="auto" w:fill="auto"/>
            <w:vAlign w:val="center"/>
            <w:hideMark/>
          </w:tcPr>
          <w:p w14:paraId="1B7BEBE8" w14:textId="77777777" w:rsidR="00AF5B43" w:rsidRPr="00D85916" w:rsidRDefault="00AF5B43" w:rsidP="00AF5B43">
            <w:pPr>
              <w:spacing w:after="0"/>
              <w:ind w:left="0"/>
              <w:rPr>
                <w:rFonts w:cs="Calibri"/>
                <w:color w:val="000000"/>
                <w:szCs w:val="24"/>
              </w:rPr>
            </w:pPr>
            <w:r w:rsidRPr="00D85916">
              <w:rPr>
                <w:rFonts w:cs="Calibri"/>
                <w:color w:val="000000"/>
                <w:szCs w:val="24"/>
              </w:rPr>
              <w:t>Weekly listing of QT188 determinations issued by TWC</w:t>
            </w:r>
          </w:p>
        </w:tc>
      </w:tr>
      <w:tr w:rsidR="00AF5B43" w:rsidRPr="001C17DF" w14:paraId="344AF6F9" w14:textId="77777777" w:rsidTr="00E23F37">
        <w:trPr>
          <w:trHeight w:val="300"/>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6F8303A0" w14:textId="5601C596" w:rsidR="00AF5B43" w:rsidRPr="00D85916" w:rsidRDefault="00AF5B43" w:rsidP="00AF5B43">
            <w:pPr>
              <w:spacing w:after="0"/>
              <w:ind w:left="0"/>
              <w:jc w:val="center"/>
              <w:rPr>
                <w:rFonts w:cs="Calibri"/>
                <w:color w:val="000000"/>
                <w:szCs w:val="24"/>
              </w:rPr>
            </w:pPr>
            <w:r>
              <w:t>56</w:t>
            </w:r>
          </w:p>
        </w:tc>
        <w:tc>
          <w:tcPr>
            <w:tcW w:w="1627" w:type="dxa"/>
            <w:tcBorders>
              <w:top w:val="nil"/>
              <w:left w:val="nil"/>
              <w:bottom w:val="single" w:sz="8" w:space="0" w:color="000000"/>
              <w:right w:val="single" w:sz="8" w:space="0" w:color="000000"/>
            </w:tcBorders>
            <w:shd w:val="clear" w:color="auto" w:fill="auto"/>
            <w:noWrap/>
            <w:vAlign w:val="center"/>
            <w:hideMark/>
          </w:tcPr>
          <w:p w14:paraId="102F038B" w14:textId="77777777" w:rsidR="00AF5B43" w:rsidRPr="00D85916" w:rsidRDefault="00AF5B43" w:rsidP="00AF5B43">
            <w:pPr>
              <w:spacing w:after="0"/>
              <w:ind w:left="0"/>
              <w:rPr>
                <w:rFonts w:cs="Calibri"/>
                <w:color w:val="000000"/>
                <w:szCs w:val="24"/>
              </w:rPr>
            </w:pPr>
            <w:r w:rsidRPr="00D85916">
              <w:rPr>
                <w:rFonts w:cs="Calibri"/>
                <w:color w:val="000000"/>
                <w:szCs w:val="24"/>
              </w:rPr>
              <w:t>Weekly</w:t>
            </w:r>
          </w:p>
        </w:tc>
        <w:tc>
          <w:tcPr>
            <w:tcW w:w="1800" w:type="dxa"/>
            <w:tcBorders>
              <w:top w:val="nil"/>
              <w:left w:val="nil"/>
              <w:bottom w:val="single" w:sz="8" w:space="0" w:color="000000"/>
              <w:right w:val="single" w:sz="8" w:space="0" w:color="000000"/>
            </w:tcBorders>
            <w:shd w:val="clear" w:color="auto" w:fill="auto"/>
            <w:vAlign w:val="center"/>
            <w:hideMark/>
          </w:tcPr>
          <w:p w14:paraId="76A7AD0E" w14:textId="77777777" w:rsidR="00AF5B43" w:rsidRPr="00D85916" w:rsidRDefault="00AF5B43" w:rsidP="00AF5B43">
            <w:pPr>
              <w:spacing w:after="0"/>
              <w:ind w:left="0"/>
              <w:rPr>
                <w:rFonts w:cs="Calibri"/>
                <w:color w:val="000000"/>
                <w:szCs w:val="24"/>
              </w:rPr>
            </w:pPr>
            <w:r w:rsidRPr="00D85916">
              <w:rPr>
                <w:rFonts w:cs="Calibri"/>
                <w:color w:val="000000"/>
                <w:szCs w:val="24"/>
              </w:rPr>
              <w:t>HR Mailing Issue Report</w:t>
            </w:r>
          </w:p>
        </w:tc>
        <w:tc>
          <w:tcPr>
            <w:tcW w:w="7071" w:type="dxa"/>
            <w:tcBorders>
              <w:top w:val="nil"/>
              <w:left w:val="nil"/>
              <w:bottom w:val="single" w:sz="8" w:space="0" w:color="000000"/>
              <w:right w:val="single" w:sz="8" w:space="0" w:color="000000"/>
            </w:tcBorders>
            <w:shd w:val="clear" w:color="auto" w:fill="auto"/>
            <w:vAlign w:val="center"/>
            <w:hideMark/>
          </w:tcPr>
          <w:p w14:paraId="19A6EFD1" w14:textId="77777777" w:rsidR="00AF5B43" w:rsidRPr="00D85916" w:rsidRDefault="00AF5B43" w:rsidP="00AF5B43">
            <w:pPr>
              <w:spacing w:after="0"/>
              <w:ind w:left="0"/>
              <w:rPr>
                <w:rFonts w:cs="Calibri"/>
                <w:color w:val="000000"/>
                <w:szCs w:val="24"/>
              </w:rPr>
            </w:pPr>
            <w:r w:rsidRPr="00D85916">
              <w:rPr>
                <w:rFonts w:cs="Calibri"/>
                <w:color w:val="000000"/>
                <w:szCs w:val="24"/>
              </w:rPr>
              <w:t>Weekly listing (Fridays) UI claims filed against TWC by former employees</w:t>
            </w:r>
          </w:p>
        </w:tc>
      </w:tr>
      <w:tr w:rsidR="00AF5B43" w:rsidRPr="001C17DF" w14:paraId="7EB20D59" w14:textId="77777777" w:rsidTr="00E23F37">
        <w:trPr>
          <w:trHeight w:val="300"/>
        </w:trPr>
        <w:tc>
          <w:tcPr>
            <w:tcW w:w="691" w:type="dxa"/>
            <w:tcBorders>
              <w:top w:val="nil"/>
              <w:left w:val="single" w:sz="8" w:space="0" w:color="000000"/>
              <w:bottom w:val="single" w:sz="8" w:space="0" w:color="000000"/>
              <w:right w:val="single" w:sz="8" w:space="0" w:color="000000"/>
            </w:tcBorders>
            <w:shd w:val="clear" w:color="auto" w:fill="auto"/>
            <w:noWrap/>
            <w:vAlign w:val="center"/>
          </w:tcPr>
          <w:p w14:paraId="4A650739" w14:textId="0592272F" w:rsidR="00AF5B43" w:rsidRPr="00D85916" w:rsidRDefault="00AF5B43" w:rsidP="00AF5B43">
            <w:pPr>
              <w:spacing w:after="0"/>
              <w:ind w:left="0"/>
              <w:jc w:val="center"/>
              <w:rPr>
                <w:rFonts w:cs="Calibri"/>
                <w:color w:val="000000"/>
                <w:szCs w:val="24"/>
              </w:rPr>
            </w:pPr>
            <w:r>
              <w:rPr>
                <w:color w:val="000000"/>
              </w:rPr>
              <w:t>57</w:t>
            </w:r>
          </w:p>
        </w:tc>
        <w:tc>
          <w:tcPr>
            <w:tcW w:w="1627" w:type="dxa"/>
            <w:tcBorders>
              <w:top w:val="nil"/>
              <w:left w:val="nil"/>
              <w:bottom w:val="single" w:sz="8" w:space="0" w:color="000000"/>
              <w:right w:val="single" w:sz="8" w:space="0" w:color="000000"/>
            </w:tcBorders>
            <w:shd w:val="clear" w:color="auto" w:fill="auto"/>
            <w:noWrap/>
            <w:vAlign w:val="center"/>
          </w:tcPr>
          <w:p w14:paraId="20D2E535" w14:textId="2143242A" w:rsidR="00AF5B43" w:rsidRPr="00D85916" w:rsidRDefault="00AF5B43" w:rsidP="00AF5B43">
            <w:pPr>
              <w:spacing w:after="0"/>
              <w:ind w:left="0"/>
              <w:rPr>
                <w:rFonts w:cs="Calibri"/>
                <w:color w:val="000000"/>
                <w:szCs w:val="24"/>
              </w:rPr>
            </w:pPr>
            <w:r>
              <w:rPr>
                <w:rFonts w:cs="Calibri"/>
                <w:color w:val="000000"/>
                <w:szCs w:val="24"/>
              </w:rPr>
              <w:t>Weekly</w:t>
            </w:r>
          </w:p>
        </w:tc>
        <w:tc>
          <w:tcPr>
            <w:tcW w:w="1800" w:type="dxa"/>
            <w:tcBorders>
              <w:top w:val="nil"/>
              <w:left w:val="nil"/>
              <w:bottom w:val="single" w:sz="8" w:space="0" w:color="000000"/>
              <w:right w:val="single" w:sz="8" w:space="0" w:color="000000"/>
            </w:tcBorders>
            <w:shd w:val="clear" w:color="auto" w:fill="auto"/>
            <w:vAlign w:val="center"/>
          </w:tcPr>
          <w:p w14:paraId="55AFF161" w14:textId="432043CC" w:rsidR="00AF5B43" w:rsidRPr="00D85916" w:rsidRDefault="00AF5B43" w:rsidP="00AF5B43">
            <w:pPr>
              <w:spacing w:after="0"/>
              <w:ind w:left="0"/>
              <w:rPr>
                <w:rFonts w:cs="Calibri"/>
                <w:color w:val="000000"/>
                <w:szCs w:val="24"/>
              </w:rPr>
            </w:pPr>
            <w:r>
              <w:t>Chargeback Decision Count</w:t>
            </w:r>
          </w:p>
        </w:tc>
        <w:tc>
          <w:tcPr>
            <w:tcW w:w="7071" w:type="dxa"/>
            <w:tcBorders>
              <w:top w:val="nil"/>
              <w:left w:val="nil"/>
              <w:bottom w:val="single" w:sz="8" w:space="0" w:color="000000"/>
              <w:right w:val="single" w:sz="8" w:space="0" w:color="000000"/>
            </w:tcBorders>
            <w:shd w:val="clear" w:color="auto" w:fill="auto"/>
            <w:vAlign w:val="center"/>
          </w:tcPr>
          <w:p w14:paraId="59CBE8E2" w14:textId="6E1EE013" w:rsidR="00AF5B43" w:rsidRPr="00D85916" w:rsidRDefault="00AF5B43" w:rsidP="00AF5B43">
            <w:pPr>
              <w:spacing w:after="0"/>
              <w:ind w:left="0"/>
              <w:rPr>
                <w:rFonts w:cs="Calibri"/>
                <w:color w:val="000000"/>
                <w:szCs w:val="24"/>
              </w:rPr>
            </w:pPr>
            <w:r>
              <w:t>Provides summary count of total chargeback decision and individual user daily/weekly totals</w:t>
            </w:r>
          </w:p>
        </w:tc>
      </w:tr>
      <w:tr w:rsidR="00AF5B43" w:rsidRPr="001C17DF" w14:paraId="5D8E9230" w14:textId="77777777" w:rsidTr="00E23F37">
        <w:trPr>
          <w:trHeight w:val="588"/>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3AF18453" w14:textId="40EDA24C" w:rsidR="00AF5B43" w:rsidRPr="00D85916" w:rsidRDefault="00AF5B43" w:rsidP="00AF5B43">
            <w:pPr>
              <w:spacing w:after="0"/>
              <w:ind w:left="0"/>
              <w:jc w:val="center"/>
              <w:rPr>
                <w:rFonts w:cs="Calibri"/>
                <w:color w:val="000000"/>
                <w:szCs w:val="24"/>
              </w:rPr>
            </w:pPr>
            <w:r>
              <w:t>58</w:t>
            </w:r>
          </w:p>
        </w:tc>
        <w:tc>
          <w:tcPr>
            <w:tcW w:w="1627" w:type="dxa"/>
            <w:tcBorders>
              <w:top w:val="nil"/>
              <w:left w:val="nil"/>
              <w:bottom w:val="single" w:sz="8" w:space="0" w:color="000000"/>
              <w:right w:val="single" w:sz="8" w:space="0" w:color="000000"/>
            </w:tcBorders>
            <w:shd w:val="clear" w:color="auto" w:fill="auto"/>
            <w:noWrap/>
            <w:vAlign w:val="center"/>
            <w:hideMark/>
          </w:tcPr>
          <w:p w14:paraId="5E6E4422" w14:textId="77777777" w:rsidR="00AF5B43" w:rsidRPr="00D85916" w:rsidRDefault="00AF5B43" w:rsidP="00AF5B43">
            <w:pPr>
              <w:spacing w:after="0"/>
              <w:ind w:left="0"/>
              <w:rPr>
                <w:rFonts w:cs="Calibri"/>
                <w:color w:val="000000"/>
                <w:szCs w:val="24"/>
              </w:rPr>
            </w:pPr>
            <w:r w:rsidRPr="00D85916">
              <w:rPr>
                <w:rFonts w:cs="Calibri"/>
                <w:color w:val="000000"/>
                <w:szCs w:val="24"/>
              </w:rPr>
              <w:t>Monthly</w:t>
            </w:r>
          </w:p>
        </w:tc>
        <w:tc>
          <w:tcPr>
            <w:tcW w:w="1800" w:type="dxa"/>
            <w:tcBorders>
              <w:top w:val="nil"/>
              <w:left w:val="nil"/>
              <w:bottom w:val="single" w:sz="8" w:space="0" w:color="000000"/>
              <w:right w:val="single" w:sz="8" w:space="0" w:color="000000"/>
            </w:tcBorders>
            <w:shd w:val="clear" w:color="auto" w:fill="auto"/>
            <w:vAlign w:val="center"/>
            <w:hideMark/>
          </w:tcPr>
          <w:p w14:paraId="4738C057" w14:textId="77777777" w:rsidR="00AF5B43" w:rsidRPr="00D85916" w:rsidRDefault="00AF5B43" w:rsidP="00AF5B43">
            <w:pPr>
              <w:spacing w:after="0"/>
              <w:ind w:left="0"/>
              <w:rPr>
                <w:rFonts w:cs="Calibri"/>
                <w:color w:val="000000"/>
                <w:szCs w:val="24"/>
              </w:rPr>
            </w:pPr>
            <w:r w:rsidRPr="00D85916">
              <w:rPr>
                <w:rFonts w:cs="Calibri"/>
                <w:color w:val="000000"/>
                <w:szCs w:val="24"/>
              </w:rPr>
              <w:t xml:space="preserve">UI Exhaustee Report for Workforce Board </w:t>
            </w:r>
          </w:p>
        </w:tc>
        <w:tc>
          <w:tcPr>
            <w:tcW w:w="7071" w:type="dxa"/>
            <w:tcBorders>
              <w:top w:val="nil"/>
              <w:left w:val="nil"/>
              <w:bottom w:val="single" w:sz="8" w:space="0" w:color="000000"/>
              <w:right w:val="single" w:sz="8" w:space="0" w:color="000000"/>
            </w:tcBorders>
            <w:shd w:val="clear" w:color="auto" w:fill="auto"/>
            <w:vAlign w:val="center"/>
            <w:hideMark/>
          </w:tcPr>
          <w:p w14:paraId="6737AA56" w14:textId="6AC5591E" w:rsidR="00AF5B43" w:rsidRPr="00D85916" w:rsidRDefault="00AF5B43" w:rsidP="00AF5B43">
            <w:pPr>
              <w:spacing w:after="0"/>
              <w:ind w:left="0"/>
              <w:rPr>
                <w:rFonts w:cs="Calibri"/>
                <w:color w:val="000000"/>
                <w:szCs w:val="24"/>
              </w:rPr>
            </w:pPr>
            <w:r w:rsidRPr="00D85916">
              <w:rPr>
                <w:rFonts w:cs="Calibri"/>
                <w:color w:val="000000"/>
                <w:szCs w:val="24"/>
              </w:rPr>
              <w:t>Monthly listing (1st working day of the month) of individuals residing in specific workforce board areas who exhausted UI benefits in the previous month (Te</w:t>
            </w:r>
            <w:r>
              <w:rPr>
                <w:rFonts w:cs="Calibri"/>
                <w:color w:val="000000"/>
                <w:szCs w:val="24"/>
              </w:rPr>
              <w:t>x</w:t>
            </w:r>
            <w:r w:rsidRPr="00D85916">
              <w:rPr>
                <w:rFonts w:cs="Calibri"/>
                <w:color w:val="000000"/>
                <w:szCs w:val="24"/>
              </w:rPr>
              <w:t>oma – 25, Rural Capitol – 15, Alamo – 20, Deep East Texas – 17)</w:t>
            </w:r>
          </w:p>
        </w:tc>
      </w:tr>
      <w:tr w:rsidR="00AF5B43" w:rsidRPr="001C17DF" w14:paraId="72BDAC96" w14:textId="77777777" w:rsidTr="00E23F37">
        <w:trPr>
          <w:trHeight w:val="300"/>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418B1953" w14:textId="55704537" w:rsidR="00AF5B43" w:rsidRPr="00D85916" w:rsidRDefault="00AF5B43" w:rsidP="00AF5B43">
            <w:pPr>
              <w:spacing w:after="0"/>
              <w:ind w:left="0"/>
              <w:jc w:val="center"/>
              <w:rPr>
                <w:rFonts w:cs="Calibri"/>
                <w:color w:val="000000"/>
                <w:szCs w:val="24"/>
              </w:rPr>
            </w:pPr>
            <w:r>
              <w:rPr>
                <w:color w:val="000000"/>
              </w:rPr>
              <w:t>59</w:t>
            </w:r>
          </w:p>
        </w:tc>
        <w:tc>
          <w:tcPr>
            <w:tcW w:w="1627" w:type="dxa"/>
            <w:tcBorders>
              <w:top w:val="nil"/>
              <w:left w:val="nil"/>
              <w:bottom w:val="single" w:sz="8" w:space="0" w:color="000000"/>
              <w:right w:val="single" w:sz="8" w:space="0" w:color="000000"/>
            </w:tcBorders>
            <w:shd w:val="clear" w:color="auto" w:fill="auto"/>
            <w:noWrap/>
            <w:vAlign w:val="center"/>
            <w:hideMark/>
          </w:tcPr>
          <w:p w14:paraId="10574F7C" w14:textId="77777777" w:rsidR="00AF5B43" w:rsidRPr="00D85916" w:rsidRDefault="00AF5B43" w:rsidP="00AF5B43">
            <w:pPr>
              <w:spacing w:after="0"/>
              <w:ind w:left="0"/>
              <w:rPr>
                <w:rFonts w:cs="Calibri"/>
                <w:color w:val="000000"/>
                <w:szCs w:val="24"/>
              </w:rPr>
            </w:pPr>
            <w:r w:rsidRPr="00D85916">
              <w:rPr>
                <w:rFonts w:cs="Calibri"/>
                <w:color w:val="000000"/>
                <w:szCs w:val="24"/>
              </w:rPr>
              <w:t>Monthly</w:t>
            </w:r>
          </w:p>
        </w:tc>
        <w:tc>
          <w:tcPr>
            <w:tcW w:w="1800" w:type="dxa"/>
            <w:tcBorders>
              <w:top w:val="nil"/>
              <w:left w:val="nil"/>
              <w:bottom w:val="single" w:sz="8" w:space="0" w:color="000000"/>
              <w:right w:val="single" w:sz="8" w:space="0" w:color="000000"/>
            </w:tcBorders>
            <w:shd w:val="clear" w:color="auto" w:fill="auto"/>
            <w:vAlign w:val="center"/>
            <w:hideMark/>
          </w:tcPr>
          <w:p w14:paraId="009102B8" w14:textId="77777777" w:rsidR="00AF5B43" w:rsidRPr="00D85916" w:rsidRDefault="00AF5B43" w:rsidP="00AF5B43">
            <w:pPr>
              <w:spacing w:after="0"/>
              <w:ind w:left="0"/>
              <w:rPr>
                <w:rFonts w:cs="Calibri"/>
                <w:color w:val="000000"/>
                <w:szCs w:val="24"/>
              </w:rPr>
            </w:pPr>
            <w:r w:rsidRPr="00D85916">
              <w:rPr>
                <w:rFonts w:cs="Calibri"/>
                <w:color w:val="000000"/>
                <w:szCs w:val="24"/>
              </w:rPr>
              <w:t>Active Filers in the Alamo Workforce Board Area</w:t>
            </w:r>
          </w:p>
        </w:tc>
        <w:tc>
          <w:tcPr>
            <w:tcW w:w="7071" w:type="dxa"/>
            <w:tcBorders>
              <w:top w:val="nil"/>
              <w:left w:val="nil"/>
              <w:bottom w:val="single" w:sz="8" w:space="0" w:color="000000"/>
              <w:right w:val="single" w:sz="8" w:space="0" w:color="000000"/>
            </w:tcBorders>
            <w:shd w:val="clear" w:color="auto" w:fill="auto"/>
            <w:vAlign w:val="center"/>
            <w:hideMark/>
          </w:tcPr>
          <w:p w14:paraId="562208EF" w14:textId="2BA78708" w:rsidR="00AF5B43" w:rsidRPr="00D85916" w:rsidRDefault="00AF5B43" w:rsidP="00AF5B43">
            <w:pPr>
              <w:spacing w:after="0"/>
              <w:ind w:left="0"/>
              <w:rPr>
                <w:rFonts w:cs="Calibri"/>
                <w:color w:val="000000"/>
                <w:szCs w:val="24"/>
              </w:rPr>
            </w:pPr>
            <w:r w:rsidRPr="00D85916">
              <w:rPr>
                <w:rFonts w:cs="Calibri"/>
                <w:color w:val="000000"/>
                <w:szCs w:val="24"/>
              </w:rPr>
              <w:t>Monthly listing (1st working day of the month) of individuals residing in Alamo WFB area (20) who are actively filing for UI Benefits</w:t>
            </w:r>
          </w:p>
        </w:tc>
      </w:tr>
      <w:tr w:rsidR="00AF5B43" w:rsidRPr="001C17DF" w14:paraId="6A077390" w14:textId="77777777" w:rsidTr="00E23F37">
        <w:trPr>
          <w:trHeight w:val="300"/>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7192F425" w14:textId="08173DCA" w:rsidR="00AF5B43" w:rsidRPr="00D85916" w:rsidRDefault="00AF5B43" w:rsidP="00AF5B43">
            <w:pPr>
              <w:spacing w:after="0"/>
              <w:ind w:left="0"/>
              <w:jc w:val="center"/>
              <w:rPr>
                <w:rFonts w:cs="Calibri"/>
                <w:color w:val="000000"/>
                <w:szCs w:val="24"/>
              </w:rPr>
            </w:pPr>
            <w:r>
              <w:t>60</w:t>
            </w:r>
          </w:p>
        </w:tc>
        <w:tc>
          <w:tcPr>
            <w:tcW w:w="1627" w:type="dxa"/>
            <w:tcBorders>
              <w:top w:val="nil"/>
              <w:left w:val="nil"/>
              <w:bottom w:val="single" w:sz="8" w:space="0" w:color="000000"/>
              <w:right w:val="single" w:sz="8" w:space="0" w:color="000000"/>
            </w:tcBorders>
            <w:shd w:val="clear" w:color="auto" w:fill="auto"/>
            <w:noWrap/>
            <w:vAlign w:val="center"/>
            <w:hideMark/>
          </w:tcPr>
          <w:p w14:paraId="2DAD20CF" w14:textId="77777777" w:rsidR="00AF5B43" w:rsidRPr="00D85916" w:rsidRDefault="00AF5B43" w:rsidP="00AF5B43">
            <w:pPr>
              <w:spacing w:after="0"/>
              <w:ind w:left="0"/>
              <w:rPr>
                <w:rFonts w:cs="Calibri"/>
                <w:color w:val="000000"/>
                <w:szCs w:val="24"/>
              </w:rPr>
            </w:pPr>
            <w:r w:rsidRPr="00D85916">
              <w:rPr>
                <w:rFonts w:cs="Calibri"/>
                <w:color w:val="000000"/>
                <w:szCs w:val="24"/>
              </w:rPr>
              <w:t>Monthly</w:t>
            </w:r>
          </w:p>
        </w:tc>
        <w:tc>
          <w:tcPr>
            <w:tcW w:w="1800" w:type="dxa"/>
            <w:tcBorders>
              <w:top w:val="nil"/>
              <w:left w:val="nil"/>
              <w:bottom w:val="single" w:sz="8" w:space="0" w:color="000000"/>
              <w:right w:val="single" w:sz="8" w:space="0" w:color="000000"/>
            </w:tcBorders>
            <w:shd w:val="clear" w:color="auto" w:fill="auto"/>
            <w:vAlign w:val="center"/>
            <w:hideMark/>
          </w:tcPr>
          <w:p w14:paraId="65D0784B" w14:textId="77777777" w:rsidR="00AF5B43" w:rsidRPr="00D85916" w:rsidRDefault="00AF5B43" w:rsidP="00AF5B43">
            <w:pPr>
              <w:spacing w:after="0"/>
              <w:ind w:left="0"/>
              <w:rPr>
                <w:rFonts w:cs="Calibri"/>
                <w:color w:val="000000"/>
                <w:szCs w:val="24"/>
              </w:rPr>
            </w:pPr>
            <w:r w:rsidRPr="00D85916">
              <w:rPr>
                <w:rFonts w:cs="Calibri"/>
                <w:color w:val="000000"/>
                <w:szCs w:val="24"/>
              </w:rPr>
              <w:t>Monthly New Hire Numbers</w:t>
            </w:r>
          </w:p>
        </w:tc>
        <w:tc>
          <w:tcPr>
            <w:tcW w:w="7071" w:type="dxa"/>
            <w:tcBorders>
              <w:top w:val="nil"/>
              <w:left w:val="nil"/>
              <w:bottom w:val="single" w:sz="8" w:space="0" w:color="000000"/>
              <w:right w:val="single" w:sz="8" w:space="0" w:color="000000"/>
            </w:tcBorders>
            <w:shd w:val="clear" w:color="auto" w:fill="auto"/>
            <w:vAlign w:val="center"/>
            <w:hideMark/>
          </w:tcPr>
          <w:p w14:paraId="09A3BFF3" w14:textId="1A9CA226" w:rsidR="00AF5B43" w:rsidRPr="00D85916" w:rsidRDefault="00AF5B43" w:rsidP="00AF5B43">
            <w:pPr>
              <w:spacing w:after="0"/>
              <w:ind w:left="0"/>
              <w:rPr>
                <w:rFonts w:cs="Calibri"/>
                <w:color w:val="000000"/>
                <w:szCs w:val="24"/>
              </w:rPr>
            </w:pPr>
            <w:r>
              <w:rPr>
                <w:rFonts w:cs="Calibri"/>
                <w:color w:val="000000"/>
                <w:szCs w:val="24"/>
              </w:rPr>
              <w:t>Number of new hires created for the month</w:t>
            </w:r>
          </w:p>
        </w:tc>
      </w:tr>
      <w:tr w:rsidR="00AF5B43" w:rsidRPr="001C17DF" w14:paraId="46BBE426" w14:textId="77777777" w:rsidTr="00E23F37">
        <w:trPr>
          <w:trHeight w:val="588"/>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3AE9548C" w14:textId="6134F755" w:rsidR="00AF5B43" w:rsidRPr="00D85916" w:rsidRDefault="00AF5B43" w:rsidP="00AF5B43">
            <w:pPr>
              <w:spacing w:after="0"/>
              <w:ind w:left="0"/>
              <w:jc w:val="center"/>
              <w:rPr>
                <w:rFonts w:cs="Calibri"/>
                <w:color w:val="000000"/>
                <w:szCs w:val="24"/>
              </w:rPr>
            </w:pPr>
            <w:r>
              <w:rPr>
                <w:color w:val="000000"/>
              </w:rPr>
              <w:t>61</w:t>
            </w:r>
          </w:p>
        </w:tc>
        <w:tc>
          <w:tcPr>
            <w:tcW w:w="1627" w:type="dxa"/>
            <w:tcBorders>
              <w:top w:val="nil"/>
              <w:left w:val="nil"/>
              <w:bottom w:val="single" w:sz="8" w:space="0" w:color="000000"/>
              <w:right w:val="single" w:sz="8" w:space="0" w:color="000000"/>
            </w:tcBorders>
            <w:shd w:val="clear" w:color="auto" w:fill="auto"/>
            <w:noWrap/>
            <w:vAlign w:val="center"/>
            <w:hideMark/>
          </w:tcPr>
          <w:p w14:paraId="245D54A7" w14:textId="77777777" w:rsidR="00AF5B43" w:rsidRPr="00D85916" w:rsidRDefault="00AF5B43" w:rsidP="00AF5B43">
            <w:pPr>
              <w:spacing w:after="0"/>
              <w:ind w:left="0"/>
              <w:rPr>
                <w:rFonts w:cs="Calibri"/>
                <w:color w:val="000000"/>
                <w:szCs w:val="24"/>
              </w:rPr>
            </w:pPr>
            <w:r w:rsidRPr="00D85916">
              <w:rPr>
                <w:rFonts w:cs="Calibri"/>
                <w:color w:val="000000"/>
                <w:szCs w:val="24"/>
              </w:rPr>
              <w:t>Monthly</w:t>
            </w:r>
          </w:p>
        </w:tc>
        <w:tc>
          <w:tcPr>
            <w:tcW w:w="1800" w:type="dxa"/>
            <w:tcBorders>
              <w:top w:val="nil"/>
              <w:left w:val="nil"/>
              <w:bottom w:val="single" w:sz="8" w:space="0" w:color="000000"/>
              <w:right w:val="single" w:sz="8" w:space="0" w:color="000000"/>
            </w:tcBorders>
            <w:shd w:val="clear" w:color="auto" w:fill="auto"/>
            <w:vAlign w:val="center"/>
            <w:hideMark/>
          </w:tcPr>
          <w:p w14:paraId="2B8563AF" w14:textId="77777777" w:rsidR="00AF5B43" w:rsidRPr="00D85916" w:rsidRDefault="00AF5B43" w:rsidP="00AF5B43">
            <w:pPr>
              <w:spacing w:after="0"/>
              <w:ind w:left="0"/>
              <w:rPr>
                <w:rFonts w:cs="Calibri"/>
                <w:color w:val="000000"/>
                <w:szCs w:val="24"/>
              </w:rPr>
            </w:pPr>
            <w:r w:rsidRPr="00D85916">
              <w:rPr>
                <w:rFonts w:cs="Calibri"/>
                <w:color w:val="000000"/>
                <w:szCs w:val="24"/>
              </w:rPr>
              <w:t>UCX Military retirement</w:t>
            </w:r>
          </w:p>
        </w:tc>
        <w:tc>
          <w:tcPr>
            <w:tcW w:w="7071" w:type="dxa"/>
            <w:tcBorders>
              <w:top w:val="nil"/>
              <w:left w:val="nil"/>
              <w:bottom w:val="single" w:sz="8" w:space="0" w:color="000000"/>
              <w:right w:val="single" w:sz="8" w:space="0" w:color="000000"/>
            </w:tcBorders>
            <w:shd w:val="clear" w:color="auto" w:fill="auto"/>
            <w:vAlign w:val="center"/>
            <w:hideMark/>
          </w:tcPr>
          <w:p w14:paraId="374E0252" w14:textId="4EAE01F2" w:rsidR="00AF5B43" w:rsidRPr="00D85916" w:rsidRDefault="00AF5B43" w:rsidP="00AF5B43">
            <w:pPr>
              <w:spacing w:after="0"/>
              <w:ind w:left="0"/>
              <w:rPr>
                <w:rFonts w:cs="Calibri"/>
                <w:color w:val="000000"/>
                <w:szCs w:val="24"/>
              </w:rPr>
            </w:pPr>
            <w:r w:rsidRPr="00D85916">
              <w:rPr>
                <w:rFonts w:cs="Calibri"/>
                <w:color w:val="000000"/>
                <w:szCs w:val="24"/>
              </w:rPr>
              <w:t xml:space="preserve">Detects </w:t>
            </w:r>
            <w:r>
              <w:rPr>
                <w:rFonts w:cs="Calibri"/>
                <w:color w:val="000000"/>
                <w:szCs w:val="24"/>
              </w:rPr>
              <w:t>Claimants</w:t>
            </w:r>
            <w:r w:rsidRPr="00D85916">
              <w:rPr>
                <w:rFonts w:cs="Calibri"/>
                <w:color w:val="000000"/>
                <w:szCs w:val="24"/>
              </w:rPr>
              <w:t xml:space="preserve"> with military pensions</w:t>
            </w:r>
          </w:p>
        </w:tc>
      </w:tr>
      <w:tr w:rsidR="00AF5B43" w:rsidRPr="001C17DF" w14:paraId="6F391BEA" w14:textId="77777777" w:rsidTr="00E23F37">
        <w:trPr>
          <w:trHeight w:val="300"/>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312C4FE9" w14:textId="7774BCD2" w:rsidR="00AF5B43" w:rsidRPr="00D85916" w:rsidRDefault="00AF5B43" w:rsidP="00AF5B43">
            <w:pPr>
              <w:spacing w:after="0"/>
              <w:ind w:left="0"/>
              <w:jc w:val="center"/>
              <w:rPr>
                <w:rFonts w:cs="Calibri"/>
                <w:color w:val="000000"/>
                <w:szCs w:val="24"/>
              </w:rPr>
            </w:pPr>
            <w:r>
              <w:t>62</w:t>
            </w:r>
          </w:p>
        </w:tc>
        <w:tc>
          <w:tcPr>
            <w:tcW w:w="1627" w:type="dxa"/>
            <w:tcBorders>
              <w:top w:val="nil"/>
              <w:left w:val="nil"/>
              <w:bottom w:val="single" w:sz="8" w:space="0" w:color="000000"/>
              <w:right w:val="single" w:sz="8" w:space="0" w:color="000000"/>
            </w:tcBorders>
            <w:shd w:val="clear" w:color="auto" w:fill="auto"/>
            <w:noWrap/>
            <w:vAlign w:val="center"/>
            <w:hideMark/>
          </w:tcPr>
          <w:p w14:paraId="0C0269C6" w14:textId="77777777" w:rsidR="00AF5B43" w:rsidRPr="00D85916" w:rsidRDefault="00AF5B43" w:rsidP="00AF5B43">
            <w:pPr>
              <w:spacing w:after="0"/>
              <w:ind w:left="0"/>
              <w:rPr>
                <w:rFonts w:cs="Calibri"/>
                <w:color w:val="000000"/>
                <w:szCs w:val="24"/>
              </w:rPr>
            </w:pPr>
            <w:r w:rsidRPr="00D85916">
              <w:rPr>
                <w:rFonts w:cs="Calibri"/>
                <w:color w:val="000000"/>
                <w:szCs w:val="24"/>
              </w:rPr>
              <w:t>Monthly</w:t>
            </w:r>
          </w:p>
        </w:tc>
        <w:tc>
          <w:tcPr>
            <w:tcW w:w="1800" w:type="dxa"/>
            <w:tcBorders>
              <w:top w:val="nil"/>
              <w:left w:val="nil"/>
              <w:bottom w:val="single" w:sz="8" w:space="0" w:color="000000"/>
              <w:right w:val="single" w:sz="8" w:space="0" w:color="000000"/>
            </w:tcBorders>
            <w:shd w:val="clear" w:color="auto" w:fill="auto"/>
            <w:vAlign w:val="center"/>
            <w:hideMark/>
          </w:tcPr>
          <w:p w14:paraId="53A09962" w14:textId="77777777" w:rsidR="00AF5B43" w:rsidRPr="00D85916" w:rsidRDefault="00AF5B43" w:rsidP="00AF5B43">
            <w:pPr>
              <w:spacing w:after="0"/>
              <w:ind w:left="0"/>
              <w:rPr>
                <w:rFonts w:cs="Calibri"/>
                <w:color w:val="000000"/>
                <w:szCs w:val="24"/>
              </w:rPr>
            </w:pPr>
            <w:r w:rsidRPr="00D85916">
              <w:rPr>
                <w:rFonts w:cs="Calibri"/>
                <w:color w:val="000000"/>
                <w:szCs w:val="24"/>
              </w:rPr>
              <w:t>Out of State</w:t>
            </w:r>
          </w:p>
        </w:tc>
        <w:tc>
          <w:tcPr>
            <w:tcW w:w="7071" w:type="dxa"/>
            <w:tcBorders>
              <w:top w:val="nil"/>
              <w:left w:val="nil"/>
              <w:bottom w:val="single" w:sz="8" w:space="0" w:color="000000"/>
              <w:right w:val="single" w:sz="8" w:space="0" w:color="000000"/>
            </w:tcBorders>
            <w:shd w:val="clear" w:color="auto" w:fill="auto"/>
            <w:vAlign w:val="center"/>
            <w:hideMark/>
          </w:tcPr>
          <w:p w14:paraId="5329373E" w14:textId="77777777" w:rsidR="00AF5B43" w:rsidRPr="00D85916" w:rsidRDefault="00AF5B43" w:rsidP="00AF5B43">
            <w:pPr>
              <w:spacing w:after="0"/>
              <w:ind w:left="0"/>
              <w:rPr>
                <w:rFonts w:cs="Calibri"/>
                <w:color w:val="000000"/>
                <w:szCs w:val="24"/>
              </w:rPr>
            </w:pPr>
            <w:r w:rsidRPr="00D85916">
              <w:rPr>
                <w:rFonts w:cs="Calibri"/>
                <w:color w:val="000000"/>
                <w:szCs w:val="24"/>
              </w:rPr>
              <w:t>Monies collected by other states for Texas Overpayments</w:t>
            </w:r>
          </w:p>
        </w:tc>
      </w:tr>
      <w:tr w:rsidR="00AF5B43" w:rsidRPr="001C17DF" w14:paraId="2262AE4C" w14:textId="77777777" w:rsidTr="00E23F37">
        <w:trPr>
          <w:trHeight w:val="300"/>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7CF0CA67" w14:textId="5065B4B6" w:rsidR="00AF5B43" w:rsidRPr="00D85916" w:rsidRDefault="00AF5B43" w:rsidP="00AF5B43">
            <w:pPr>
              <w:spacing w:after="0"/>
              <w:ind w:left="0"/>
              <w:jc w:val="center"/>
              <w:rPr>
                <w:rFonts w:cs="Calibri"/>
                <w:color w:val="000000"/>
                <w:szCs w:val="24"/>
              </w:rPr>
            </w:pPr>
            <w:r>
              <w:rPr>
                <w:color w:val="000000"/>
              </w:rPr>
              <w:t>63</w:t>
            </w:r>
          </w:p>
        </w:tc>
        <w:tc>
          <w:tcPr>
            <w:tcW w:w="1627" w:type="dxa"/>
            <w:tcBorders>
              <w:top w:val="nil"/>
              <w:left w:val="nil"/>
              <w:bottom w:val="single" w:sz="8" w:space="0" w:color="000000"/>
              <w:right w:val="single" w:sz="8" w:space="0" w:color="000000"/>
            </w:tcBorders>
            <w:shd w:val="clear" w:color="auto" w:fill="auto"/>
            <w:noWrap/>
            <w:vAlign w:val="center"/>
            <w:hideMark/>
          </w:tcPr>
          <w:p w14:paraId="3C91CEEC" w14:textId="77777777" w:rsidR="00AF5B43" w:rsidRPr="00D85916" w:rsidRDefault="00AF5B43" w:rsidP="00AF5B43">
            <w:pPr>
              <w:spacing w:after="0"/>
              <w:ind w:left="0"/>
              <w:rPr>
                <w:rFonts w:cs="Calibri"/>
                <w:color w:val="000000"/>
                <w:szCs w:val="24"/>
              </w:rPr>
            </w:pPr>
            <w:r w:rsidRPr="00D85916">
              <w:rPr>
                <w:rFonts w:cs="Calibri"/>
                <w:color w:val="000000"/>
                <w:szCs w:val="24"/>
              </w:rPr>
              <w:t>Monthly</w:t>
            </w:r>
          </w:p>
        </w:tc>
        <w:tc>
          <w:tcPr>
            <w:tcW w:w="1800" w:type="dxa"/>
            <w:tcBorders>
              <w:top w:val="nil"/>
              <w:left w:val="nil"/>
              <w:bottom w:val="single" w:sz="8" w:space="0" w:color="000000"/>
              <w:right w:val="single" w:sz="8" w:space="0" w:color="000000"/>
            </w:tcBorders>
            <w:shd w:val="clear" w:color="auto" w:fill="auto"/>
            <w:vAlign w:val="center"/>
            <w:hideMark/>
          </w:tcPr>
          <w:p w14:paraId="40BC172A" w14:textId="77777777" w:rsidR="00AF5B43" w:rsidRPr="00D85916" w:rsidRDefault="00AF5B43" w:rsidP="00AF5B43">
            <w:pPr>
              <w:spacing w:after="0"/>
              <w:ind w:left="0"/>
              <w:rPr>
                <w:rFonts w:cs="Calibri"/>
                <w:color w:val="000000"/>
                <w:szCs w:val="24"/>
              </w:rPr>
            </w:pPr>
            <w:r w:rsidRPr="00D85916">
              <w:rPr>
                <w:rFonts w:cs="Calibri"/>
                <w:color w:val="000000"/>
                <w:szCs w:val="24"/>
              </w:rPr>
              <w:t>Collections Reports</w:t>
            </w:r>
          </w:p>
        </w:tc>
        <w:tc>
          <w:tcPr>
            <w:tcW w:w="7071" w:type="dxa"/>
            <w:tcBorders>
              <w:top w:val="nil"/>
              <w:left w:val="nil"/>
              <w:bottom w:val="single" w:sz="8" w:space="0" w:color="000000"/>
              <w:right w:val="single" w:sz="8" w:space="0" w:color="000000"/>
            </w:tcBorders>
            <w:shd w:val="clear" w:color="auto" w:fill="auto"/>
            <w:vAlign w:val="center"/>
            <w:hideMark/>
          </w:tcPr>
          <w:p w14:paraId="0AD18186" w14:textId="2AFD7336" w:rsidR="00AF5B43" w:rsidRPr="00D85916" w:rsidRDefault="00AF5B43" w:rsidP="00AF5B43">
            <w:pPr>
              <w:spacing w:after="0"/>
              <w:ind w:left="0"/>
              <w:rPr>
                <w:rFonts w:cs="Calibri"/>
                <w:color w:val="000000"/>
                <w:szCs w:val="24"/>
              </w:rPr>
            </w:pPr>
            <w:r>
              <w:rPr>
                <w:rFonts w:cs="Calibri"/>
                <w:color w:val="000000"/>
                <w:szCs w:val="24"/>
              </w:rPr>
              <w:t>Collection activities</w:t>
            </w:r>
          </w:p>
        </w:tc>
      </w:tr>
      <w:tr w:rsidR="00AF5B43" w:rsidRPr="001C17DF" w14:paraId="0DE41DA0" w14:textId="77777777" w:rsidTr="00E23F37">
        <w:trPr>
          <w:trHeight w:val="300"/>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3EC5716D" w14:textId="6FD7F744" w:rsidR="00AF5B43" w:rsidRPr="00D85916" w:rsidRDefault="00AF5B43" w:rsidP="00AF5B43">
            <w:pPr>
              <w:spacing w:after="0"/>
              <w:ind w:left="0"/>
              <w:jc w:val="center"/>
              <w:rPr>
                <w:rFonts w:cs="Calibri"/>
                <w:color w:val="000000"/>
                <w:szCs w:val="24"/>
              </w:rPr>
            </w:pPr>
            <w:r>
              <w:lastRenderedPageBreak/>
              <w:t>64</w:t>
            </w:r>
          </w:p>
        </w:tc>
        <w:tc>
          <w:tcPr>
            <w:tcW w:w="1627" w:type="dxa"/>
            <w:tcBorders>
              <w:top w:val="nil"/>
              <w:left w:val="nil"/>
              <w:bottom w:val="single" w:sz="8" w:space="0" w:color="000000"/>
              <w:right w:val="single" w:sz="8" w:space="0" w:color="000000"/>
            </w:tcBorders>
            <w:shd w:val="clear" w:color="auto" w:fill="auto"/>
            <w:noWrap/>
            <w:vAlign w:val="center"/>
            <w:hideMark/>
          </w:tcPr>
          <w:p w14:paraId="379D37F1" w14:textId="77777777" w:rsidR="00AF5B43" w:rsidRPr="00D85916" w:rsidRDefault="00AF5B43" w:rsidP="00AF5B43">
            <w:pPr>
              <w:spacing w:after="0"/>
              <w:ind w:left="0"/>
              <w:rPr>
                <w:rFonts w:cs="Calibri"/>
                <w:color w:val="000000"/>
                <w:szCs w:val="24"/>
              </w:rPr>
            </w:pPr>
            <w:r w:rsidRPr="00D85916">
              <w:rPr>
                <w:rFonts w:cs="Calibri"/>
                <w:color w:val="000000"/>
                <w:szCs w:val="24"/>
              </w:rPr>
              <w:t>Monthly</w:t>
            </w:r>
          </w:p>
        </w:tc>
        <w:tc>
          <w:tcPr>
            <w:tcW w:w="1800" w:type="dxa"/>
            <w:tcBorders>
              <w:top w:val="nil"/>
              <w:left w:val="nil"/>
              <w:bottom w:val="single" w:sz="8" w:space="0" w:color="000000"/>
              <w:right w:val="single" w:sz="8" w:space="0" w:color="000000"/>
            </w:tcBorders>
            <w:shd w:val="clear" w:color="auto" w:fill="auto"/>
            <w:vAlign w:val="center"/>
            <w:hideMark/>
          </w:tcPr>
          <w:p w14:paraId="2577EE1F" w14:textId="77777777" w:rsidR="00AF5B43" w:rsidRPr="00D85916" w:rsidRDefault="00AF5B43" w:rsidP="00AF5B43">
            <w:pPr>
              <w:spacing w:after="0"/>
              <w:ind w:left="0"/>
              <w:rPr>
                <w:rFonts w:cs="Calibri"/>
                <w:color w:val="000000"/>
                <w:szCs w:val="24"/>
              </w:rPr>
            </w:pPr>
            <w:r w:rsidRPr="00D85916">
              <w:rPr>
                <w:rFonts w:cs="Calibri"/>
                <w:color w:val="000000"/>
                <w:szCs w:val="24"/>
              </w:rPr>
              <w:t>Void by statute overpayments</w:t>
            </w:r>
          </w:p>
        </w:tc>
        <w:tc>
          <w:tcPr>
            <w:tcW w:w="7071" w:type="dxa"/>
            <w:tcBorders>
              <w:top w:val="nil"/>
              <w:left w:val="nil"/>
              <w:bottom w:val="single" w:sz="8" w:space="0" w:color="000000"/>
              <w:right w:val="single" w:sz="8" w:space="0" w:color="000000"/>
            </w:tcBorders>
            <w:shd w:val="clear" w:color="auto" w:fill="auto"/>
            <w:vAlign w:val="center"/>
            <w:hideMark/>
          </w:tcPr>
          <w:p w14:paraId="04F6DF60" w14:textId="3152A91E" w:rsidR="00AF5B43" w:rsidRPr="00D85916" w:rsidRDefault="00AF5B43" w:rsidP="00AF5B43">
            <w:pPr>
              <w:spacing w:after="0"/>
              <w:ind w:left="0"/>
              <w:rPr>
                <w:rFonts w:cs="Calibri"/>
                <w:color w:val="000000"/>
                <w:szCs w:val="24"/>
              </w:rPr>
            </w:pPr>
            <w:r w:rsidRPr="00D85916">
              <w:rPr>
                <w:rFonts w:cs="Calibri"/>
                <w:color w:val="000000"/>
                <w:szCs w:val="24"/>
              </w:rPr>
              <w:t>Monthly listing of all UI payments that are more than a year old a</w:t>
            </w:r>
            <w:r w:rsidR="00FA2BCD">
              <w:rPr>
                <w:rFonts w:cs="Calibri"/>
                <w:color w:val="000000"/>
                <w:szCs w:val="24"/>
              </w:rPr>
              <w:t>nd are now voided per state law</w:t>
            </w:r>
          </w:p>
        </w:tc>
      </w:tr>
      <w:tr w:rsidR="00AF5B43" w:rsidRPr="001C17DF" w14:paraId="7388E349" w14:textId="77777777" w:rsidTr="00E23F37">
        <w:trPr>
          <w:trHeight w:val="300"/>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03513C00" w14:textId="6EB094B6" w:rsidR="00AF5B43" w:rsidRPr="00D85916" w:rsidRDefault="00AF5B43" w:rsidP="00AF5B43">
            <w:pPr>
              <w:spacing w:after="0"/>
              <w:ind w:left="0"/>
              <w:jc w:val="center"/>
              <w:rPr>
                <w:rFonts w:cs="Calibri"/>
                <w:color w:val="000000"/>
                <w:szCs w:val="24"/>
              </w:rPr>
            </w:pPr>
            <w:r>
              <w:rPr>
                <w:color w:val="000000"/>
              </w:rPr>
              <w:t>65</w:t>
            </w:r>
          </w:p>
        </w:tc>
        <w:tc>
          <w:tcPr>
            <w:tcW w:w="1627" w:type="dxa"/>
            <w:tcBorders>
              <w:top w:val="nil"/>
              <w:left w:val="nil"/>
              <w:bottom w:val="single" w:sz="8" w:space="0" w:color="000000"/>
              <w:right w:val="nil"/>
            </w:tcBorders>
            <w:shd w:val="clear" w:color="auto" w:fill="auto"/>
            <w:noWrap/>
            <w:vAlign w:val="center"/>
            <w:hideMark/>
          </w:tcPr>
          <w:p w14:paraId="5E777A4E" w14:textId="77777777" w:rsidR="00AF5B43" w:rsidRPr="00D85916" w:rsidRDefault="00AF5B43" w:rsidP="00AF5B43">
            <w:pPr>
              <w:spacing w:after="0"/>
              <w:ind w:left="0"/>
              <w:rPr>
                <w:rFonts w:cs="Calibri"/>
                <w:color w:val="000000"/>
                <w:szCs w:val="24"/>
              </w:rPr>
            </w:pPr>
            <w:r w:rsidRPr="00D85916">
              <w:rPr>
                <w:rFonts w:cs="Calibri"/>
                <w:color w:val="000000"/>
                <w:szCs w:val="24"/>
              </w:rPr>
              <w:t>Quarterly</w:t>
            </w:r>
          </w:p>
        </w:tc>
        <w:tc>
          <w:tcPr>
            <w:tcW w:w="1800" w:type="dxa"/>
            <w:tcBorders>
              <w:top w:val="nil"/>
              <w:left w:val="single" w:sz="8" w:space="0" w:color="auto"/>
              <w:bottom w:val="single" w:sz="8" w:space="0" w:color="auto"/>
              <w:right w:val="single" w:sz="8" w:space="0" w:color="auto"/>
            </w:tcBorders>
            <w:shd w:val="clear" w:color="auto" w:fill="auto"/>
            <w:vAlign w:val="center"/>
            <w:hideMark/>
          </w:tcPr>
          <w:p w14:paraId="289BE5EB" w14:textId="77777777" w:rsidR="00AF5B43" w:rsidRPr="00D85916" w:rsidRDefault="00AF5B43" w:rsidP="00AF5B43">
            <w:pPr>
              <w:spacing w:after="0"/>
              <w:ind w:left="0"/>
              <w:rPr>
                <w:rFonts w:cs="Calibri"/>
                <w:color w:val="000000"/>
                <w:szCs w:val="24"/>
              </w:rPr>
            </w:pPr>
            <w:r w:rsidRPr="00D85916">
              <w:rPr>
                <w:rFonts w:cs="Calibri"/>
                <w:color w:val="000000"/>
                <w:szCs w:val="24"/>
              </w:rPr>
              <w:t>Occupation Counts of UI Claims</w:t>
            </w:r>
          </w:p>
        </w:tc>
        <w:tc>
          <w:tcPr>
            <w:tcW w:w="7071" w:type="dxa"/>
            <w:tcBorders>
              <w:top w:val="nil"/>
              <w:left w:val="nil"/>
              <w:bottom w:val="single" w:sz="8" w:space="0" w:color="000000"/>
              <w:right w:val="single" w:sz="8" w:space="0" w:color="000000"/>
            </w:tcBorders>
            <w:shd w:val="clear" w:color="auto" w:fill="auto"/>
            <w:vAlign w:val="center"/>
            <w:hideMark/>
          </w:tcPr>
          <w:p w14:paraId="7FD04235" w14:textId="6D508DE5" w:rsidR="00AF5B43" w:rsidRPr="00D85916" w:rsidRDefault="00AF5B43" w:rsidP="00AF5B43">
            <w:pPr>
              <w:spacing w:after="0"/>
              <w:ind w:left="0"/>
              <w:rPr>
                <w:rFonts w:cs="Calibri"/>
                <w:color w:val="000000"/>
                <w:szCs w:val="24"/>
              </w:rPr>
            </w:pPr>
            <w:r w:rsidRPr="00D85916">
              <w:rPr>
                <w:rFonts w:cs="Calibri"/>
                <w:color w:val="000000"/>
                <w:szCs w:val="24"/>
              </w:rPr>
              <w:t xml:space="preserve">Count of UI </w:t>
            </w:r>
            <w:r>
              <w:rPr>
                <w:rFonts w:cs="Calibri"/>
                <w:color w:val="000000"/>
                <w:szCs w:val="24"/>
              </w:rPr>
              <w:t>Claimants</w:t>
            </w:r>
            <w:r w:rsidRPr="00D85916">
              <w:rPr>
                <w:rFonts w:cs="Calibri"/>
                <w:color w:val="000000"/>
                <w:szCs w:val="24"/>
              </w:rPr>
              <w:t xml:space="preserve"> by occupational code. Worked in conjunction with WIT. UI Provides a file with SSNs and WIT provides Occupational information</w:t>
            </w:r>
          </w:p>
        </w:tc>
      </w:tr>
      <w:tr w:rsidR="00AF5B43" w:rsidRPr="001C17DF" w14:paraId="5B915E75" w14:textId="77777777" w:rsidTr="00E23F37">
        <w:trPr>
          <w:trHeight w:val="300"/>
        </w:trPr>
        <w:tc>
          <w:tcPr>
            <w:tcW w:w="691" w:type="dxa"/>
            <w:tcBorders>
              <w:top w:val="nil"/>
              <w:left w:val="single" w:sz="8" w:space="0" w:color="000000"/>
              <w:bottom w:val="single" w:sz="4" w:space="0" w:color="auto"/>
              <w:right w:val="single" w:sz="8" w:space="0" w:color="000000"/>
            </w:tcBorders>
            <w:shd w:val="clear" w:color="auto" w:fill="auto"/>
            <w:noWrap/>
            <w:vAlign w:val="center"/>
            <w:hideMark/>
          </w:tcPr>
          <w:p w14:paraId="6584676C" w14:textId="2531DBAC" w:rsidR="00AF5B43" w:rsidRPr="00D85916" w:rsidRDefault="00AF5B43" w:rsidP="00AF5B43">
            <w:pPr>
              <w:spacing w:after="0"/>
              <w:ind w:left="0"/>
              <w:jc w:val="center"/>
              <w:rPr>
                <w:rFonts w:cs="Calibri"/>
                <w:color w:val="000000"/>
                <w:szCs w:val="24"/>
              </w:rPr>
            </w:pPr>
            <w:r>
              <w:t>66</w:t>
            </w:r>
          </w:p>
        </w:tc>
        <w:tc>
          <w:tcPr>
            <w:tcW w:w="1627" w:type="dxa"/>
            <w:tcBorders>
              <w:top w:val="nil"/>
              <w:left w:val="nil"/>
              <w:bottom w:val="single" w:sz="8" w:space="0" w:color="000000"/>
              <w:right w:val="single" w:sz="8" w:space="0" w:color="000000"/>
            </w:tcBorders>
            <w:shd w:val="clear" w:color="auto" w:fill="auto"/>
            <w:noWrap/>
            <w:vAlign w:val="center"/>
            <w:hideMark/>
          </w:tcPr>
          <w:p w14:paraId="23807679" w14:textId="77777777" w:rsidR="00AF5B43" w:rsidRPr="00D85916" w:rsidRDefault="00AF5B43" w:rsidP="00AF5B43">
            <w:pPr>
              <w:spacing w:after="0"/>
              <w:ind w:left="0"/>
              <w:rPr>
                <w:rFonts w:cs="Calibri"/>
                <w:color w:val="000000"/>
                <w:szCs w:val="24"/>
              </w:rPr>
            </w:pPr>
            <w:r w:rsidRPr="00D85916">
              <w:rPr>
                <w:rFonts w:cs="Calibri"/>
                <w:color w:val="000000"/>
                <w:szCs w:val="24"/>
              </w:rPr>
              <w:t>On Request</w:t>
            </w:r>
          </w:p>
        </w:tc>
        <w:tc>
          <w:tcPr>
            <w:tcW w:w="1800" w:type="dxa"/>
            <w:tcBorders>
              <w:top w:val="nil"/>
              <w:left w:val="nil"/>
              <w:bottom w:val="single" w:sz="8" w:space="0" w:color="000000"/>
              <w:right w:val="single" w:sz="8" w:space="0" w:color="000000"/>
            </w:tcBorders>
            <w:shd w:val="clear" w:color="auto" w:fill="auto"/>
            <w:vAlign w:val="center"/>
            <w:hideMark/>
          </w:tcPr>
          <w:p w14:paraId="124DCA70" w14:textId="77777777" w:rsidR="00AF5B43" w:rsidRPr="00D85916" w:rsidRDefault="00AF5B43" w:rsidP="00AF5B43">
            <w:pPr>
              <w:spacing w:after="0"/>
              <w:ind w:left="0"/>
              <w:rPr>
                <w:rFonts w:cs="Calibri"/>
                <w:color w:val="000000"/>
                <w:szCs w:val="24"/>
              </w:rPr>
            </w:pPr>
            <w:r w:rsidRPr="00D85916">
              <w:rPr>
                <w:rFonts w:cs="Calibri"/>
                <w:color w:val="000000"/>
                <w:szCs w:val="24"/>
              </w:rPr>
              <w:t>Disaster Impacted Active Filers - REG</w:t>
            </w:r>
          </w:p>
        </w:tc>
        <w:tc>
          <w:tcPr>
            <w:tcW w:w="7071" w:type="dxa"/>
            <w:tcBorders>
              <w:top w:val="nil"/>
              <w:left w:val="nil"/>
              <w:bottom w:val="single" w:sz="8" w:space="0" w:color="000000"/>
              <w:right w:val="single" w:sz="8" w:space="0" w:color="000000"/>
            </w:tcBorders>
            <w:shd w:val="clear" w:color="auto" w:fill="auto"/>
            <w:vAlign w:val="center"/>
            <w:hideMark/>
          </w:tcPr>
          <w:p w14:paraId="4D5BF34B" w14:textId="77777777" w:rsidR="00AF5B43" w:rsidRPr="00D85916" w:rsidRDefault="00AF5B43" w:rsidP="00AF5B43">
            <w:pPr>
              <w:spacing w:after="0"/>
              <w:ind w:left="0"/>
              <w:rPr>
                <w:rFonts w:cs="Calibri"/>
                <w:color w:val="000000"/>
                <w:szCs w:val="24"/>
              </w:rPr>
            </w:pPr>
            <w:r w:rsidRPr="00D85916">
              <w:rPr>
                <w:rFonts w:cs="Calibri"/>
                <w:color w:val="000000"/>
                <w:szCs w:val="24"/>
              </w:rPr>
              <w:t>Query to determine count of individuals who have filed REG claims and were disaster impacted</w:t>
            </w:r>
          </w:p>
        </w:tc>
      </w:tr>
      <w:tr w:rsidR="00AF5B43" w:rsidRPr="001C17DF" w14:paraId="338859B0" w14:textId="77777777" w:rsidTr="00E23F37">
        <w:trPr>
          <w:trHeight w:val="588"/>
        </w:trPr>
        <w:tc>
          <w:tcPr>
            <w:tcW w:w="691" w:type="dxa"/>
            <w:tcBorders>
              <w:top w:val="single" w:sz="4" w:space="0" w:color="auto"/>
              <w:left w:val="single" w:sz="8" w:space="0" w:color="000000"/>
              <w:bottom w:val="single" w:sz="8" w:space="0" w:color="000000"/>
              <w:right w:val="single" w:sz="8" w:space="0" w:color="000000"/>
            </w:tcBorders>
            <w:shd w:val="clear" w:color="auto" w:fill="auto"/>
            <w:noWrap/>
            <w:vAlign w:val="center"/>
            <w:hideMark/>
          </w:tcPr>
          <w:p w14:paraId="72E1A304" w14:textId="1A370607" w:rsidR="00AF5B43" w:rsidRPr="00D85916" w:rsidRDefault="00AF5B43" w:rsidP="00AF5B43">
            <w:pPr>
              <w:spacing w:after="0"/>
              <w:ind w:left="0"/>
              <w:jc w:val="center"/>
              <w:rPr>
                <w:rFonts w:cs="Calibri"/>
                <w:color w:val="000000"/>
                <w:szCs w:val="24"/>
              </w:rPr>
            </w:pPr>
            <w:r>
              <w:rPr>
                <w:color w:val="000000"/>
              </w:rPr>
              <w:t>67</w:t>
            </w:r>
          </w:p>
        </w:tc>
        <w:tc>
          <w:tcPr>
            <w:tcW w:w="1627" w:type="dxa"/>
            <w:tcBorders>
              <w:top w:val="nil"/>
              <w:left w:val="nil"/>
              <w:bottom w:val="single" w:sz="8" w:space="0" w:color="000000"/>
              <w:right w:val="single" w:sz="8" w:space="0" w:color="000000"/>
            </w:tcBorders>
            <w:shd w:val="clear" w:color="auto" w:fill="auto"/>
            <w:noWrap/>
            <w:vAlign w:val="center"/>
            <w:hideMark/>
          </w:tcPr>
          <w:p w14:paraId="5537BB9A" w14:textId="77777777" w:rsidR="00AF5B43" w:rsidRPr="00D85916" w:rsidRDefault="00AF5B43" w:rsidP="00AF5B43">
            <w:pPr>
              <w:spacing w:after="0"/>
              <w:ind w:left="0"/>
              <w:rPr>
                <w:rFonts w:cs="Calibri"/>
                <w:color w:val="000000"/>
                <w:szCs w:val="24"/>
              </w:rPr>
            </w:pPr>
            <w:r w:rsidRPr="00D85916">
              <w:rPr>
                <w:rFonts w:cs="Calibri"/>
                <w:color w:val="000000"/>
                <w:szCs w:val="24"/>
              </w:rPr>
              <w:t>On Request</w:t>
            </w:r>
          </w:p>
        </w:tc>
        <w:tc>
          <w:tcPr>
            <w:tcW w:w="1800" w:type="dxa"/>
            <w:tcBorders>
              <w:top w:val="nil"/>
              <w:left w:val="nil"/>
              <w:bottom w:val="single" w:sz="8" w:space="0" w:color="000000"/>
              <w:right w:val="single" w:sz="8" w:space="0" w:color="000000"/>
            </w:tcBorders>
            <w:shd w:val="clear" w:color="auto" w:fill="auto"/>
            <w:vAlign w:val="center"/>
            <w:hideMark/>
          </w:tcPr>
          <w:p w14:paraId="5624D331" w14:textId="77777777" w:rsidR="00AF5B43" w:rsidRPr="00D85916" w:rsidRDefault="00AF5B43" w:rsidP="00AF5B43">
            <w:pPr>
              <w:spacing w:after="0"/>
              <w:ind w:left="0"/>
              <w:rPr>
                <w:rFonts w:cs="Calibri"/>
                <w:color w:val="000000"/>
                <w:szCs w:val="24"/>
              </w:rPr>
            </w:pPr>
            <w:r w:rsidRPr="00D85916">
              <w:rPr>
                <w:rFonts w:cs="Calibri"/>
                <w:color w:val="000000"/>
                <w:szCs w:val="24"/>
              </w:rPr>
              <w:t>Disaster Impacted Active Filers - DUA</w:t>
            </w:r>
          </w:p>
        </w:tc>
        <w:tc>
          <w:tcPr>
            <w:tcW w:w="7071" w:type="dxa"/>
            <w:tcBorders>
              <w:top w:val="nil"/>
              <w:left w:val="nil"/>
              <w:bottom w:val="single" w:sz="8" w:space="0" w:color="000000"/>
              <w:right w:val="single" w:sz="8" w:space="0" w:color="000000"/>
            </w:tcBorders>
            <w:shd w:val="clear" w:color="auto" w:fill="auto"/>
            <w:vAlign w:val="center"/>
            <w:hideMark/>
          </w:tcPr>
          <w:p w14:paraId="5DC6ED3E" w14:textId="77777777" w:rsidR="00AF5B43" w:rsidRPr="00D85916" w:rsidRDefault="00AF5B43" w:rsidP="00AF5B43">
            <w:pPr>
              <w:spacing w:after="0"/>
              <w:ind w:left="0"/>
              <w:rPr>
                <w:rFonts w:cs="Calibri"/>
                <w:color w:val="000000"/>
                <w:szCs w:val="24"/>
              </w:rPr>
            </w:pPr>
            <w:r w:rsidRPr="00D85916">
              <w:rPr>
                <w:rFonts w:cs="Calibri"/>
                <w:color w:val="000000"/>
                <w:szCs w:val="24"/>
              </w:rPr>
              <w:t>Query to determine count of individuals who have filed DUA claims</w:t>
            </w:r>
          </w:p>
        </w:tc>
      </w:tr>
      <w:tr w:rsidR="00AF5B43" w:rsidRPr="001C17DF" w14:paraId="58C1DABC" w14:textId="77777777" w:rsidTr="00E23F37">
        <w:trPr>
          <w:trHeight w:val="300"/>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10E57993" w14:textId="29C35541" w:rsidR="00AF5B43" w:rsidRPr="00D85916" w:rsidRDefault="00AF5B43" w:rsidP="00AF5B43">
            <w:pPr>
              <w:spacing w:after="0"/>
              <w:ind w:left="0"/>
              <w:jc w:val="center"/>
              <w:rPr>
                <w:rFonts w:cs="Calibri"/>
                <w:color w:val="000000"/>
                <w:szCs w:val="24"/>
              </w:rPr>
            </w:pPr>
            <w:r>
              <w:t>68</w:t>
            </w:r>
          </w:p>
        </w:tc>
        <w:tc>
          <w:tcPr>
            <w:tcW w:w="1627" w:type="dxa"/>
            <w:tcBorders>
              <w:top w:val="nil"/>
              <w:left w:val="nil"/>
              <w:bottom w:val="single" w:sz="8" w:space="0" w:color="000000"/>
              <w:right w:val="single" w:sz="8" w:space="0" w:color="000000"/>
            </w:tcBorders>
            <w:shd w:val="clear" w:color="auto" w:fill="auto"/>
            <w:noWrap/>
            <w:vAlign w:val="center"/>
            <w:hideMark/>
          </w:tcPr>
          <w:p w14:paraId="4E75BE90" w14:textId="77777777" w:rsidR="00AF5B43" w:rsidRPr="00D85916" w:rsidRDefault="00AF5B43" w:rsidP="00AF5B43">
            <w:pPr>
              <w:spacing w:after="0"/>
              <w:ind w:left="0"/>
              <w:rPr>
                <w:rFonts w:cs="Calibri"/>
                <w:color w:val="000000"/>
                <w:szCs w:val="24"/>
              </w:rPr>
            </w:pPr>
            <w:r w:rsidRPr="00D85916">
              <w:rPr>
                <w:rFonts w:cs="Calibri"/>
                <w:color w:val="000000"/>
                <w:szCs w:val="24"/>
              </w:rPr>
              <w:t>On Request</w:t>
            </w:r>
          </w:p>
        </w:tc>
        <w:tc>
          <w:tcPr>
            <w:tcW w:w="1800" w:type="dxa"/>
            <w:tcBorders>
              <w:top w:val="nil"/>
              <w:left w:val="nil"/>
              <w:bottom w:val="single" w:sz="8" w:space="0" w:color="000000"/>
              <w:right w:val="single" w:sz="8" w:space="0" w:color="000000"/>
            </w:tcBorders>
            <w:shd w:val="clear" w:color="auto" w:fill="auto"/>
            <w:vAlign w:val="center"/>
            <w:hideMark/>
          </w:tcPr>
          <w:p w14:paraId="161C8311" w14:textId="20B65AFA" w:rsidR="00AF5B43" w:rsidRPr="00D85916" w:rsidRDefault="00AF5B43" w:rsidP="00AF5B43">
            <w:pPr>
              <w:spacing w:after="0"/>
              <w:ind w:left="0"/>
              <w:rPr>
                <w:rFonts w:cs="Calibri"/>
                <w:color w:val="000000"/>
                <w:szCs w:val="24"/>
              </w:rPr>
            </w:pPr>
            <w:r>
              <w:rPr>
                <w:rFonts w:cs="Calibri"/>
                <w:color w:val="000000"/>
                <w:szCs w:val="24"/>
              </w:rPr>
              <w:t>Mass Claim pre-</w:t>
            </w:r>
            <w:r w:rsidRPr="00D85916">
              <w:rPr>
                <w:rFonts w:cs="Calibri"/>
                <w:color w:val="000000"/>
                <w:szCs w:val="24"/>
              </w:rPr>
              <w:t>error check</w:t>
            </w:r>
          </w:p>
        </w:tc>
        <w:tc>
          <w:tcPr>
            <w:tcW w:w="7071" w:type="dxa"/>
            <w:tcBorders>
              <w:top w:val="nil"/>
              <w:left w:val="nil"/>
              <w:bottom w:val="single" w:sz="8" w:space="0" w:color="000000"/>
              <w:right w:val="single" w:sz="8" w:space="0" w:color="000000"/>
            </w:tcBorders>
            <w:shd w:val="clear" w:color="auto" w:fill="auto"/>
            <w:vAlign w:val="center"/>
            <w:hideMark/>
          </w:tcPr>
          <w:p w14:paraId="5EDCD41A" w14:textId="55BA8159" w:rsidR="00AF5B43" w:rsidRPr="00D85916" w:rsidRDefault="00AF5B43" w:rsidP="00AF5B43">
            <w:pPr>
              <w:spacing w:after="0"/>
              <w:ind w:left="0"/>
              <w:rPr>
                <w:rFonts w:cs="Calibri"/>
                <w:color w:val="000000"/>
                <w:szCs w:val="24"/>
              </w:rPr>
            </w:pPr>
            <w:r w:rsidRPr="00D85916">
              <w:rPr>
                <w:rFonts w:cs="Calibri"/>
                <w:color w:val="000000"/>
                <w:szCs w:val="24"/>
              </w:rPr>
              <w:t xml:space="preserve">Query to identify discrepancies between </w:t>
            </w:r>
            <w:r>
              <w:rPr>
                <w:rFonts w:cs="Calibri"/>
                <w:color w:val="000000"/>
                <w:szCs w:val="24"/>
              </w:rPr>
              <w:t xml:space="preserve">Employer </w:t>
            </w:r>
            <w:r w:rsidRPr="00D85916">
              <w:rPr>
                <w:rFonts w:cs="Calibri"/>
                <w:color w:val="000000"/>
                <w:szCs w:val="24"/>
              </w:rPr>
              <w:t>provided data and what already exists in the TAC data tables</w:t>
            </w:r>
          </w:p>
        </w:tc>
      </w:tr>
      <w:tr w:rsidR="00AF5B43" w:rsidRPr="001C17DF" w14:paraId="1DCD294E" w14:textId="77777777" w:rsidTr="00E23F37">
        <w:trPr>
          <w:trHeight w:val="588"/>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1FF150B7" w14:textId="36F2F64A" w:rsidR="00AF5B43" w:rsidRPr="00D85916" w:rsidRDefault="00AF5B43" w:rsidP="00AF5B43">
            <w:pPr>
              <w:spacing w:after="0"/>
              <w:ind w:left="0"/>
              <w:jc w:val="center"/>
              <w:rPr>
                <w:rFonts w:cs="Calibri"/>
                <w:color w:val="000000"/>
                <w:szCs w:val="24"/>
              </w:rPr>
            </w:pPr>
            <w:r>
              <w:rPr>
                <w:color w:val="000000"/>
              </w:rPr>
              <w:t>69</w:t>
            </w:r>
          </w:p>
        </w:tc>
        <w:tc>
          <w:tcPr>
            <w:tcW w:w="1627" w:type="dxa"/>
            <w:tcBorders>
              <w:top w:val="nil"/>
              <w:left w:val="nil"/>
              <w:bottom w:val="single" w:sz="8" w:space="0" w:color="000000"/>
              <w:right w:val="single" w:sz="8" w:space="0" w:color="000000"/>
            </w:tcBorders>
            <w:shd w:val="clear" w:color="auto" w:fill="auto"/>
            <w:noWrap/>
            <w:vAlign w:val="center"/>
            <w:hideMark/>
          </w:tcPr>
          <w:p w14:paraId="07B23DF9" w14:textId="77777777" w:rsidR="00AF5B43" w:rsidRPr="00D85916" w:rsidRDefault="00AF5B43" w:rsidP="00AF5B43">
            <w:pPr>
              <w:spacing w:after="0"/>
              <w:ind w:left="0"/>
              <w:rPr>
                <w:rFonts w:cs="Calibri"/>
                <w:color w:val="000000"/>
                <w:szCs w:val="24"/>
              </w:rPr>
            </w:pPr>
            <w:r w:rsidRPr="00D85916">
              <w:rPr>
                <w:rFonts w:cs="Calibri"/>
                <w:color w:val="000000"/>
                <w:szCs w:val="24"/>
              </w:rPr>
              <w:t>On Request</w:t>
            </w:r>
          </w:p>
        </w:tc>
        <w:tc>
          <w:tcPr>
            <w:tcW w:w="1800" w:type="dxa"/>
            <w:tcBorders>
              <w:top w:val="nil"/>
              <w:left w:val="nil"/>
              <w:bottom w:val="single" w:sz="8" w:space="0" w:color="000000"/>
              <w:right w:val="single" w:sz="8" w:space="0" w:color="000000"/>
            </w:tcBorders>
            <w:shd w:val="clear" w:color="auto" w:fill="auto"/>
            <w:vAlign w:val="center"/>
            <w:hideMark/>
          </w:tcPr>
          <w:p w14:paraId="5C00237E" w14:textId="77777777" w:rsidR="00AF5B43" w:rsidRPr="00D85916" w:rsidRDefault="00AF5B43" w:rsidP="00AF5B43">
            <w:pPr>
              <w:spacing w:after="0"/>
              <w:ind w:left="0"/>
              <w:rPr>
                <w:rFonts w:cs="Calibri"/>
                <w:color w:val="000000"/>
                <w:szCs w:val="24"/>
              </w:rPr>
            </w:pPr>
            <w:r w:rsidRPr="00D85916">
              <w:rPr>
                <w:rFonts w:cs="Calibri"/>
                <w:color w:val="000000"/>
                <w:szCs w:val="24"/>
              </w:rPr>
              <w:t>Completed Mass claims with RM/AP cases</w:t>
            </w:r>
          </w:p>
        </w:tc>
        <w:tc>
          <w:tcPr>
            <w:tcW w:w="7071" w:type="dxa"/>
            <w:tcBorders>
              <w:top w:val="nil"/>
              <w:left w:val="nil"/>
              <w:bottom w:val="single" w:sz="8" w:space="0" w:color="000000"/>
              <w:right w:val="single" w:sz="8" w:space="0" w:color="000000"/>
            </w:tcBorders>
            <w:shd w:val="clear" w:color="auto" w:fill="auto"/>
            <w:vAlign w:val="center"/>
            <w:hideMark/>
          </w:tcPr>
          <w:p w14:paraId="0C5E6ECB" w14:textId="77777777" w:rsidR="00AF5B43" w:rsidRPr="00D85916" w:rsidRDefault="00AF5B43" w:rsidP="00AF5B43">
            <w:pPr>
              <w:spacing w:after="0"/>
              <w:ind w:left="0"/>
              <w:rPr>
                <w:rFonts w:cs="Calibri"/>
                <w:color w:val="000000"/>
                <w:szCs w:val="24"/>
              </w:rPr>
            </w:pPr>
            <w:r w:rsidRPr="00D85916">
              <w:rPr>
                <w:rFonts w:cs="Calibri"/>
                <w:color w:val="000000"/>
                <w:szCs w:val="24"/>
              </w:rPr>
              <w:t>Query to identify completed mass claims with RM/AP cases</w:t>
            </w:r>
          </w:p>
        </w:tc>
      </w:tr>
      <w:tr w:rsidR="00AF5B43" w:rsidRPr="001C17DF" w14:paraId="409A81B3" w14:textId="77777777" w:rsidTr="00E23F37">
        <w:trPr>
          <w:trHeight w:val="300"/>
        </w:trPr>
        <w:tc>
          <w:tcPr>
            <w:tcW w:w="691" w:type="dxa"/>
            <w:tcBorders>
              <w:top w:val="nil"/>
              <w:left w:val="single" w:sz="8" w:space="0" w:color="000000"/>
              <w:bottom w:val="single" w:sz="8" w:space="0" w:color="000000"/>
              <w:right w:val="single" w:sz="8" w:space="0" w:color="000000"/>
            </w:tcBorders>
            <w:shd w:val="clear" w:color="auto" w:fill="auto"/>
            <w:noWrap/>
            <w:vAlign w:val="center"/>
            <w:hideMark/>
          </w:tcPr>
          <w:p w14:paraId="62B65AB8" w14:textId="0D12D572" w:rsidR="00AF5B43" w:rsidRPr="00D85916" w:rsidRDefault="00AF5B43" w:rsidP="00AF5B43">
            <w:pPr>
              <w:spacing w:after="0"/>
              <w:ind w:left="0"/>
              <w:jc w:val="center"/>
              <w:rPr>
                <w:rFonts w:cs="Calibri"/>
                <w:color w:val="000000"/>
                <w:szCs w:val="24"/>
              </w:rPr>
            </w:pPr>
            <w:r>
              <w:rPr>
                <w:color w:val="000000"/>
              </w:rPr>
              <w:t>70</w:t>
            </w:r>
          </w:p>
        </w:tc>
        <w:tc>
          <w:tcPr>
            <w:tcW w:w="1627" w:type="dxa"/>
            <w:tcBorders>
              <w:top w:val="nil"/>
              <w:left w:val="nil"/>
              <w:bottom w:val="single" w:sz="8" w:space="0" w:color="000000"/>
              <w:right w:val="single" w:sz="8" w:space="0" w:color="000000"/>
            </w:tcBorders>
            <w:shd w:val="clear" w:color="auto" w:fill="auto"/>
            <w:noWrap/>
            <w:vAlign w:val="center"/>
            <w:hideMark/>
          </w:tcPr>
          <w:p w14:paraId="08C32654" w14:textId="77777777" w:rsidR="00AF5B43" w:rsidRPr="00D85916" w:rsidRDefault="00AF5B43" w:rsidP="00AF5B43">
            <w:pPr>
              <w:spacing w:after="0"/>
              <w:ind w:left="0"/>
              <w:rPr>
                <w:rFonts w:cs="Calibri"/>
                <w:color w:val="000000"/>
                <w:szCs w:val="24"/>
              </w:rPr>
            </w:pPr>
            <w:r w:rsidRPr="00D85916">
              <w:rPr>
                <w:rFonts w:cs="Calibri"/>
                <w:color w:val="000000"/>
                <w:szCs w:val="24"/>
              </w:rPr>
              <w:t>On Request</w:t>
            </w:r>
          </w:p>
        </w:tc>
        <w:tc>
          <w:tcPr>
            <w:tcW w:w="1800" w:type="dxa"/>
            <w:tcBorders>
              <w:top w:val="nil"/>
              <w:left w:val="nil"/>
              <w:bottom w:val="single" w:sz="8" w:space="0" w:color="000000"/>
              <w:right w:val="single" w:sz="8" w:space="0" w:color="000000"/>
            </w:tcBorders>
            <w:shd w:val="clear" w:color="auto" w:fill="auto"/>
            <w:vAlign w:val="center"/>
            <w:hideMark/>
          </w:tcPr>
          <w:p w14:paraId="41A2240E" w14:textId="77777777" w:rsidR="00AF5B43" w:rsidRPr="00D85916" w:rsidRDefault="00AF5B43" w:rsidP="00AF5B43">
            <w:pPr>
              <w:spacing w:after="0"/>
              <w:ind w:left="0"/>
              <w:rPr>
                <w:rFonts w:cs="Calibri"/>
                <w:color w:val="000000"/>
                <w:szCs w:val="24"/>
              </w:rPr>
            </w:pPr>
            <w:r w:rsidRPr="00D85916">
              <w:rPr>
                <w:rFonts w:cs="Calibri"/>
                <w:color w:val="000000"/>
                <w:szCs w:val="24"/>
              </w:rPr>
              <w:t>Claims for Single Employers</w:t>
            </w:r>
          </w:p>
        </w:tc>
        <w:tc>
          <w:tcPr>
            <w:tcW w:w="7071" w:type="dxa"/>
            <w:tcBorders>
              <w:top w:val="nil"/>
              <w:left w:val="nil"/>
              <w:bottom w:val="single" w:sz="8" w:space="0" w:color="000000"/>
              <w:right w:val="single" w:sz="8" w:space="0" w:color="000000"/>
            </w:tcBorders>
            <w:shd w:val="clear" w:color="auto" w:fill="auto"/>
            <w:vAlign w:val="center"/>
            <w:hideMark/>
          </w:tcPr>
          <w:p w14:paraId="044E0821" w14:textId="7F345D8D" w:rsidR="00AF5B43" w:rsidRPr="00D85916" w:rsidRDefault="00AF5B43" w:rsidP="00AF5B43">
            <w:pPr>
              <w:spacing w:after="0"/>
              <w:ind w:left="0"/>
              <w:rPr>
                <w:rFonts w:cs="Calibri"/>
                <w:color w:val="000000"/>
                <w:szCs w:val="24"/>
              </w:rPr>
            </w:pPr>
            <w:r w:rsidRPr="00D85916">
              <w:rPr>
                <w:rFonts w:cs="Calibri"/>
                <w:color w:val="000000"/>
                <w:szCs w:val="24"/>
              </w:rPr>
              <w:t>Cognos on-demand.</w:t>
            </w:r>
            <w:r w:rsidR="00EE5622">
              <w:rPr>
                <w:rFonts w:cs="Calibri"/>
                <w:color w:val="000000"/>
                <w:szCs w:val="24"/>
              </w:rPr>
              <w:t xml:space="preserve"> </w:t>
            </w:r>
            <w:r w:rsidRPr="00D85916">
              <w:rPr>
                <w:rFonts w:cs="Calibri"/>
                <w:color w:val="000000"/>
                <w:szCs w:val="24"/>
              </w:rPr>
              <w:t xml:space="preserve">Query to determine individuals who have filed REG claims against a specific </w:t>
            </w:r>
            <w:r>
              <w:rPr>
                <w:rFonts w:cs="Calibri"/>
                <w:color w:val="000000"/>
                <w:szCs w:val="24"/>
              </w:rPr>
              <w:t xml:space="preserve">Employer </w:t>
            </w:r>
          </w:p>
        </w:tc>
      </w:tr>
    </w:tbl>
    <w:p w14:paraId="026E9436" w14:textId="77777777" w:rsidR="0067479A" w:rsidRDefault="0067479A" w:rsidP="0067479A"/>
    <w:bookmarkEnd w:id="431"/>
    <w:p w14:paraId="4CA6C209" w14:textId="4A31EB8C" w:rsidR="005C2458" w:rsidRDefault="005C2458" w:rsidP="0052714F">
      <w:pPr>
        <w:ind w:left="0"/>
      </w:pPr>
    </w:p>
    <w:p w14:paraId="69CC4EA9" w14:textId="0396A96B" w:rsidR="005C2458" w:rsidRDefault="005C2458" w:rsidP="005C2458">
      <w:pPr>
        <w:pStyle w:val="Heading3"/>
      </w:pPr>
      <w:bookmarkStart w:id="433" w:name="_Toc13567508"/>
      <w:r>
        <w:t>A8.3</w:t>
      </w:r>
      <w:r>
        <w:tab/>
        <w:t>Appeals</w:t>
      </w:r>
      <w:bookmarkEnd w:id="433"/>
    </w:p>
    <w:p w14:paraId="36E94A6F" w14:textId="351FB6DA" w:rsidR="002B6D44" w:rsidRPr="002B6D44" w:rsidRDefault="004E128C" w:rsidP="002B6D44">
      <w:pPr>
        <w:rPr>
          <w:rFonts w:eastAsia="Verdana,Times New Roman" w:cs="Verdana,Times New Roman"/>
          <w:b/>
          <w:bCs/>
          <w:u w:val="single"/>
        </w:rPr>
      </w:pPr>
      <w:r>
        <w:rPr>
          <w:rFonts w:eastAsia="Verdana,Times New Roman" w:cs="Verdana,Times New Roman"/>
          <w:b/>
          <w:bCs/>
          <w:u w:val="single"/>
        </w:rPr>
        <w:t>DOL</w:t>
      </w:r>
      <w:r w:rsidR="002B6D44" w:rsidRPr="002B6D44">
        <w:rPr>
          <w:rFonts w:eastAsia="Verdana,Times New Roman" w:cs="Verdana,Times New Roman"/>
          <w:b/>
          <w:bCs/>
          <w:u w:val="single"/>
        </w:rPr>
        <w:t xml:space="preserve"> Reports</w:t>
      </w:r>
    </w:p>
    <w:tbl>
      <w:tblPr>
        <w:tblStyle w:val="TableGrid"/>
        <w:tblW w:w="11189" w:type="dxa"/>
        <w:tblInd w:w="-72" w:type="dxa"/>
        <w:tblLayout w:type="fixed"/>
        <w:tblLook w:val="04A0" w:firstRow="1" w:lastRow="0" w:firstColumn="1" w:lastColumn="0" w:noHBand="0" w:noVBand="1"/>
        <w:tblDescription w:val="Table of Appeals reports"/>
      </w:tblPr>
      <w:tblGrid>
        <w:gridCol w:w="687"/>
        <w:gridCol w:w="1689"/>
        <w:gridCol w:w="1789"/>
        <w:gridCol w:w="7024"/>
      </w:tblGrid>
      <w:tr w:rsidR="002B6D44" w:rsidRPr="005625A5" w14:paraId="78567608" w14:textId="77777777" w:rsidTr="0052714F">
        <w:trPr>
          <w:trHeight w:val="258"/>
          <w:tblHeader/>
        </w:trPr>
        <w:tc>
          <w:tcPr>
            <w:tcW w:w="691" w:type="dxa"/>
            <w:shd w:val="clear" w:color="auto" w:fill="DEEAF6" w:themeFill="accent1" w:themeFillTint="33"/>
            <w:vAlign w:val="center"/>
          </w:tcPr>
          <w:p w14:paraId="2ED9539A" w14:textId="77777777" w:rsidR="002B6D44" w:rsidRPr="001A193D" w:rsidRDefault="002B6D44" w:rsidP="0052714F">
            <w:pPr>
              <w:spacing w:after="0"/>
              <w:ind w:left="0"/>
              <w:jc w:val="center"/>
              <w:rPr>
                <w:b/>
                <w:i/>
                <w:color w:val="1F3864" w:themeColor="accent5" w:themeShade="80"/>
              </w:rPr>
            </w:pPr>
            <w:r w:rsidRPr="001A193D">
              <w:rPr>
                <w:rFonts w:cs="Arial"/>
                <w:b/>
                <w:color w:val="1F3864" w:themeColor="accent5" w:themeShade="80"/>
              </w:rPr>
              <w:t>#</w:t>
            </w:r>
          </w:p>
        </w:tc>
        <w:tc>
          <w:tcPr>
            <w:tcW w:w="1699" w:type="dxa"/>
            <w:shd w:val="clear" w:color="auto" w:fill="DEEAF6" w:themeFill="accent1" w:themeFillTint="33"/>
            <w:vAlign w:val="center"/>
          </w:tcPr>
          <w:p w14:paraId="6268F52A" w14:textId="77777777" w:rsidR="002B6D44" w:rsidRPr="001A193D" w:rsidRDefault="002B6D44" w:rsidP="00D77F25">
            <w:pPr>
              <w:spacing w:after="0"/>
              <w:ind w:left="0"/>
              <w:rPr>
                <w:b/>
                <w:i/>
                <w:color w:val="1F3864" w:themeColor="accent5" w:themeShade="80"/>
              </w:rPr>
            </w:pPr>
            <w:r w:rsidRPr="001A193D">
              <w:rPr>
                <w:rFonts w:cs="Arial"/>
                <w:b/>
                <w:color w:val="1F3864" w:themeColor="accent5" w:themeShade="80"/>
              </w:rPr>
              <w:t>Frequency</w:t>
            </w:r>
          </w:p>
        </w:tc>
        <w:tc>
          <w:tcPr>
            <w:tcW w:w="1800" w:type="dxa"/>
            <w:shd w:val="clear" w:color="auto" w:fill="DEEAF6" w:themeFill="accent1" w:themeFillTint="33"/>
            <w:vAlign w:val="center"/>
          </w:tcPr>
          <w:p w14:paraId="6F922B44" w14:textId="77777777" w:rsidR="002B6D44" w:rsidRPr="001A193D" w:rsidRDefault="002B6D44" w:rsidP="00D77F25">
            <w:pPr>
              <w:spacing w:after="0"/>
              <w:ind w:left="0"/>
              <w:rPr>
                <w:b/>
                <w:i/>
                <w:color w:val="1F3864" w:themeColor="accent5" w:themeShade="80"/>
              </w:rPr>
            </w:pPr>
            <w:r w:rsidRPr="001A193D">
              <w:rPr>
                <w:rFonts w:cs="Arial"/>
                <w:b/>
                <w:color w:val="1F3864" w:themeColor="accent5" w:themeShade="80"/>
              </w:rPr>
              <w:t>Name</w:t>
            </w:r>
          </w:p>
        </w:tc>
        <w:tc>
          <w:tcPr>
            <w:tcW w:w="7072" w:type="dxa"/>
            <w:shd w:val="clear" w:color="auto" w:fill="DEEAF6" w:themeFill="accent1" w:themeFillTint="33"/>
            <w:vAlign w:val="center"/>
          </w:tcPr>
          <w:p w14:paraId="5592B5D4" w14:textId="77777777" w:rsidR="002B6D44" w:rsidRPr="001A193D" w:rsidRDefault="002B6D44" w:rsidP="00D77F25">
            <w:pPr>
              <w:spacing w:after="0"/>
              <w:ind w:left="0"/>
              <w:rPr>
                <w:b/>
                <w:i/>
                <w:color w:val="1F3864" w:themeColor="accent5" w:themeShade="80"/>
              </w:rPr>
            </w:pPr>
            <w:r w:rsidRPr="001A193D">
              <w:rPr>
                <w:rFonts w:cs="Arial"/>
                <w:b/>
                <w:color w:val="1F3864" w:themeColor="accent5" w:themeShade="80"/>
              </w:rPr>
              <w:t>Overview</w:t>
            </w:r>
          </w:p>
        </w:tc>
      </w:tr>
      <w:tr w:rsidR="002B6D44" w:rsidRPr="00293F5E" w14:paraId="32678377" w14:textId="77777777" w:rsidTr="00336C8C">
        <w:trPr>
          <w:trHeight w:val="300"/>
        </w:trPr>
        <w:tc>
          <w:tcPr>
            <w:tcW w:w="691" w:type="dxa"/>
            <w:noWrap/>
            <w:vAlign w:val="center"/>
            <w:hideMark/>
          </w:tcPr>
          <w:p w14:paraId="27FAFFF4" w14:textId="77777777" w:rsidR="002B6D44" w:rsidRPr="00D85916" w:rsidRDefault="002B6D44" w:rsidP="00D85916">
            <w:pPr>
              <w:spacing w:after="0"/>
              <w:ind w:left="0"/>
              <w:jc w:val="center"/>
              <w:rPr>
                <w:rFonts w:cs="Calibri"/>
                <w:color w:val="000000"/>
                <w:szCs w:val="24"/>
              </w:rPr>
            </w:pPr>
            <w:r w:rsidRPr="00D85916">
              <w:rPr>
                <w:rFonts w:cs="Calibri"/>
                <w:color w:val="000000"/>
                <w:szCs w:val="24"/>
              </w:rPr>
              <w:t>1</w:t>
            </w:r>
          </w:p>
        </w:tc>
        <w:tc>
          <w:tcPr>
            <w:tcW w:w="1699" w:type="dxa"/>
            <w:noWrap/>
            <w:vAlign w:val="center"/>
            <w:hideMark/>
          </w:tcPr>
          <w:p w14:paraId="6339EE9B" w14:textId="77777777" w:rsidR="002B6D44" w:rsidRPr="00D85916" w:rsidRDefault="002B6D44" w:rsidP="00D77F25">
            <w:pPr>
              <w:spacing w:after="0"/>
              <w:ind w:left="0"/>
              <w:rPr>
                <w:rFonts w:cs="Calibri"/>
                <w:color w:val="000000"/>
                <w:szCs w:val="24"/>
              </w:rPr>
            </w:pPr>
            <w:r w:rsidRPr="00D85916">
              <w:rPr>
                <w:rFonts w:cs="Calibri"/>
                <w:color w:val="000000"/>
                <w:szCs w:val="24"/>
              </w:rPr>
              <w:t>Monthly</w:t>
            </w:r>
          </w:p>
        </w:tc>
        <w:tc>
          <w:tcPr>
            <w:tcW w:w="1800" w:type="dxa"/>
            <w:noWrap/>
            <w:vAlign w:val="center"/>
            <w:hideMark/>
          </w:tcPr>
          <w:p w14:paraId="4083AEA3" w14:textId="77777777" w:rsidR="002B6D44" w:rsidRPr="00D85916" w:rsidRDefault="002B6D44" w:rsidP="00D77F25">
            <w:pPr>
              <w:spacing w:after="0"/>
              <w:ind w:left="0"/>
              <w:rPr>
                <w:rFonts w:cs="Calibri"/>
                <w:color w:val="000000"/>
                <w:szCs w:val="24"/>
              </w:rPr>
            </w:pPr>
            <w:r w:rsidRPr="00D85916">
              <w:rPr>
                <w:rFonts w:cs="Calibri"/>
                <w:color w:val="000000"/>
                <w:szCs w:val="24"/>
              </w:rPr>
              <w:t>eta5130</w:t>
            </w:r>
          </w:p>
        </w:tc>
        <w:tc>
          <w:tcPr>
            <w:tcW w:w="7072" w:type="dxa"/>
            <w:vAlign w:val="center"/>
            <w:hideMark/>
          </w:tcPr>
          <w:p w14:paraId="16CF867F" w14:textId="77777777" w:rsidR="002B6D44" w:rsidRPr="00D85916" w:rsidRDefault="002B6D44" w:rsidP="00D77F25">
            <w:pPr>
              <w:spacing w:after="0"/>
              <w:ind w:left="0"/>
              <w:rPr>
                <w:rFonts w:cs="Calibri"/>
                <w:color w:val="000000"/>
                <w:szCs w:val="24"/>
              </w:rPr>
            </w:pPr>
            <w:r w:rsidRPr="00D85916">
              <w:rPr>
                <w:rFonts w:cs="Calibri"/>
                <w:color w:val="000000"/>
                <w:szCs w:val="24"/>
              </w:rPr>
              <w:t xml:space="preserve">Required by DOL primarily to track caseload </w:t>
            </w:r>
          </w:p>
        </w:tc>
      </w:tr>
      <w:tr w:rsidR="002B6D44" w:rsidRPr="00293F5E" w14:paraId="302E3213" w14:textId="77777777" w:rsidTr="00336C8C">
        <w:trPr>
          <w:trHeight w:val="600"/>
        </w:trPr>
        <w:tc>
          <w:tcPr>
            <w:tcW w:w="691" w:type="dxa"/>
            <w:noWrap/>
            <w:vAlign w:val="center"/>
            <w:hideMark/>
          </w:tcPr>
          <w:p w14:paraId="482B3117" w14:textId="77777777" w:rsidR="002B6D44" w:rsidRPr="00D85916" w:rsidRDefault="002B6D44" w:rsidP="00D85916">
            <w:pPr>
              <w:spacing w:after="0"/>
              <w:ind w:left="0"/>
              <w:jc w:val="center"/>
              <w:rPr>
                <w:rFonts w:cs="Calibri"/>
                <w:color w:val="000000"/>
                <w:szCs w:val="24"/>
              </w:rPr>
            </w:pPr>
            <w:r w:rsidRPr="00D85916">
              <w:rPr>
                <w:rFonts w:cs="Calibri"/>
                <w:color w:val="000000"/>
                <w:szCs w:val="24"/>
              </w:rPr>
              <w:t>2</w:t>
            </w:r>
          </w:p>
        </w:tc>
        <w:tc>
          <w:tcPr>
            <w:tcW w:w="1699" w:type="dxa"/>
            <w:noWrap/>
            <w:vAlign w:val="center"/>
            <w:hideMark/>
          </w:tcPr>
          <w:p w14:paraId="3C07166C" w14:textId="77777777" w:rsidR="002B6D44" w:rsidRPr="00D85916" w:rsidRDefault="002B6D44" w:rsidP="00D77F25">
            <w:pPr>
              <w:spacing w:after="0"/>
              <w:ind w:left="0"/>
              <w:rPr>
                <w:rFonts w:cs="Calibri"/>
                <w:color w:val="000000"/>
                <w:szCs w:val="24"/>
              </w:rPr>
            </w:pPr>
            <w:r w:rsidRPr="00D85916">
              <w:rPr>
                <w:rFonts w:cs="Calibri"/>
                <w:color w:val="000000"/>
                <w:szCs w:val="24"/>
              </w:rPr>
              <w:t>Monthly</w:t>
            </w:r>
          </w:p>
        </w:tc>
        <w:tc>
          <w:tcPr>
            <w:tcW w:w="1800" w:type="dxa"/>
            <w:noWrap/>
            <w:vAlign w:val="center"/>
            <w:hideMark/>
          </w:tcPr>
          <w:p w14:paraId="76F4099E" w14:textId="77777777" w:rsidR="002B6D44" w:rsidRPr="00D85916" w:rsidRDefault="002B6D44" w:rsidP="00D77F25">
            <w:pPr>
              <w:spacing w:after="0"/>
              <w:ind w:left="0"/>
              <w:rPr>
                <w:rFonts w:cs="Calibri"/>
                <w:color w:val="000000"/>
                <w:szCs w:val="24"/>
              </w:rPr>
            </w:pPr>
            <w:r w:rsidRPr="00D85916">
              <w:rPr>
                <w:rFonts w:cs="Calibri"/>
                <w:color w:val="000000"/>
                <w:szCs w:val="24"/>
              </w:rPr>
              <w:t>eta9054</w:t>
            </w:r>
          </w:p>
        </w:tc>
        <w:tc>
          <w:tcPr>
            <w:tcW w:w="7072" w:type="dxa"/>
            <w:vAlign w:val="center"/>
            <w:hideMark/>
          </w:tcPr>
          <w:p w14:paraId="0B21F12E" w14:textId="77777777" w:rsidR="002B6D44" w:rsidRPr="00D85916" w:rsidRDefault="002B6D44" w:rsidP="00D77F25">
            <w:pPr>
              <w:spacing w:after="0"/>
              <w:ind w:left="0"/>
              <w:rPr>
                <w:rFonts w:cs="Calibri"/>
                <w:color w:val="000000"/>
                <w:szCs w:val="24"/>
              </w:rPr>
            </w:pPr>
            <w:r w:rsidRPr="00D85916">
              <w:rPr>
                <w:rFonts w:cs="Calibri"/>
                <w:color w:val="000000"/>
                <w:szCs w:val="24"/>
              </w:rPr>
              <w:t>Required by DOL primarily to track time lapse of decisions</w:t>
            </w:r>
          </w:p>
        </w:tc>
      </w:tr>
      <w:tr w:rsidR="002B6D44" w:rsidRPr="00293F5E" w14:paraId="64FF0BC7" w14:textId="77777777" w:rsidTr="00336C8C">
        <w:trPr>
          <w:trHeight w:val="300"/>
        </w:trPr>
        <w:tc>
          <w:tcPr>
            <w:tcW w:w="691" w:type="dxa"/>
            <w:noWrap/>
            <w:vAlign w:val="center"/>
            <w:hideMark/>
          </w:tcPr>
          <w:p w14:paraId="7743DDDD" w14:textId="77777777" w:rsidR="002B6D44" w:rsidRPr="00D85916" w:rsidRDefault="002B6D44" w:rsidP="00D85916">
            <w:pPr>
              <w:spacing w:after="0"/>
              <w:ind w:left="0"/>
              <w:jc w:val="center"/>
              <w:rPr>
                <w:rFonts w:cs="Calibri"/>
                <w:color w:val="000000"/>
                <w:szCs w:val="24"/>
              </w:rPr>
            </w:pPr>
            <w:r w:rsidRPr="00D85916">
              <w:rPr>
                <w:rFonts w:cs="Calibri"/>
                <w:color w:val="000000"/>
                <w:szCs w:val="24"/>
              </w:rPr>
              <w:t>3</w:t>
            </w:r>
          </w:p>
        </w:tc>
        <w:tc>
          <w:tcPr>
            <w:tcW w:w="1699" w:type="dxa"/>
            <w:noWrap/>
            <w:vAlign w:val="center"/>
            <w:hideMark/>
          </w:tcPr>
          <w:p w14:paraId="01A354C2" w14:textId="77777777" w:rsidR="002B6D44" w:rsidRPr="00D85916" w:rsidRDefault="002B6D44" w:rsidP="00D77F25">
            <w:pPr>
              <w:spacing w:after="0"/>
              <w:ind w:left="0"/>
              <w:rPr>
                <w:rFonts w:cs="Calibri"/>
                <w:color w:val="000000"/>
                <w:szCs w:val="24"/>
              </w:rPr>
            </w:pPr>
            <w:r w:rsidRPr="00D85916">
              <w:rPr>
                <w:rFonts w:cs="Calibri"/>
                <w:color w:val="000000"/>
                <w:szCs w:val="24"/>
              </w:rPr>
              <w:t>Monthly</w:t>
            </w:r>
          </w:p>
        </w:tc>
        <w:tc>
          <w:tcPr>
            <w:tcW w:w="1800" w:type="dxa"/>
            <w:noWrap/>
            <w:vAlign w:val="center"/>
            <w:hideMark/>
          </w:tcPr>
          <w:p w14:paraId="71F7587C" w14:textId="77777777" w:rsidR="002B6D44" w:rsidRPr="00D85916" w:rsidRDefault="002B6D44" w:rsidP="00D77F25">
            <w:pPr>
              <w:spacing w:after="0"/>
              <w:ind w:left="0"/>
              <w:rPr>
                <w:rFonts w:cs="Calibri"/>
                <w:color w:val="000000"/>
                <w:szCs w:val="24"/>
              </w:rPr>
            </w:pPr>
            <w:r w:rsidRPr="00D85916">
              <w:rPr>
                <w:rFonts w:cs="Calibri"/>
                <w:color w:val="000000"/>
                <w:szCs w:val="24"/>
              </w:rPr>
              <w:t>eta9055</w:t>
            </w:r>
          </w:p>
        </w:tc>
        <w:tc>
          <w:tcPr>
            <w:tcW w:w="7072" w:type="dxa"/>
            <w:vAlign w:val="center"/>
            <w:hideMark/>
          </w:tcPr>
          <w:p w14:paraId="390A8E3A" w14:textId="77777777" w:rsidR="002B6D44" w:rsidRPr="00D85916" w:rsidRDefault="002B6D44" w:rsidP="00D77F25">
            <w:pPr>
              <w:spacing w:after="0"/>
              <w:ind w:left="0"/>
              <w:rPr>
                <w:rFonts w:cs="Calibri"/>
                <w:color w:val="000000"/>
                <w:szCs w:val="24"/>
              </w:rPr>
            </w:pPr>
            <w:r w:rsidRPr="00D85916">
              <w:rPr>
                <w:rFonts w:cs="Calibri"/>
                <w:color w:val="000000"/>
                <w:szCs w:val="24"/>
              </w:rPr>
              <w:t xml:space="preserve">Required by DOL primarily to track case aging </w:t>
            </w:r>
          </w:p>
        </w:tc>
      </w:tr>
      <w:tr w:rsidR="002B6D44" w:rsidRPr="00293F5E" w14:paraId="0070D519" w14:textId="77777777" w:rsidTr="00336C8C">
        <w:trPr>
          <w:trHeight w:val="300"/>
        </w:trPr>
        <w:tc>
          <w:tcPr>
            <w:tcW w:w="691" w:type="dxa"/>
            <w:noWrap/>
            <w:vAlign w:val="center"/>
            <w:hideMark/>
          </w:tcPr>
          <w:p w14:paraId="2773C0CA" w14:textId="77777777" w:rsidR="002B6D44" w:rsidRPr="00D85916" w:rsidRDefault="002B6D44" w:rsidP="00D85916">
            <w:pPr>
              <w:spacing w:after="0"/>
              <w:ind w:left="0"/>
              <w:jc w:val="center"/>
              <w:rPr>
                <w:rFonts w:cs="Calibri"/>
                <w:color w:val="000000"/>
                <w:szCs w:val="24"/>
              </w:rPr>
            </w:pPr>
            <w:r w:rsidRPr="00D85916">
              <w:rPr>
                <w:rFonts w:cs="Calibri"/>
                <w:color w:val="000000"/>
                <w:szCs w:val="24"/>
              </w:rPr>
              <w:t>4</w:t>
            </w:r>
          </w:p>
        </w:tc>
        <w:tc>
          <w:tcPr>
            <w:tcW w:w="1699" w:type="dxa"/>
            <w:noWrap/>
            <w:vAlign w:val="center"/>
            <w:hideMark/>
          </w:tcPr>
          <w:p w14:paraId="1EB7C3A7" w14:textId="77777777" w:rsidR="002B6D44" w:rsidRPr="00D85916" w:rsidRDefault="002B6D44" w:rsidP="00D77F25">
            <w:pPr>
              <w:spacing w:after="0"/>
              <w:ind w:left="0"/>
              <w:rPr>
                <w:rFonts w:cs="Calibri"/>
                <w:color w:val="000000"/>
                <w:szCs w:val="24"/>
              </w:rPr>
            </w:pPr>
            <w:r w:rsidRPr="00D85916">
              <w:rPr>
                <w:rFonts w:cs="Calibri"/>
                <w:color w:val="000000"/>
                <w:szCs w:val="24"/>
              </w:rPr>
              <w:t>Monthly</w:t>
            </w:r>
          </w:p>
        </w:tc>
        <w:tc>
          <w:tcPr>
            <w:tcW w:w="1800" w:type="dxa"/>
            <w:noWrap/>
            <w:vAlign w:val="center"/>
            <w:hideMark/>
          </w:tcPr>
          <w:p w14:paraId="0AD98EF9" w14:textId="77777777" w:rsidR="002B6D44" w:rsidRPr="00D85916" w:rsidRDefault="002B6D44" w:rsidP="00D77F25">
            <w:pPr>
              <w:spacing w:after="0"/>
              <w:ind w:left="0"/>
              <w:rPr>
                <w:rFonts w:cs="Calibri"/>
                <w:color w:val="000000"/>
                <w:szCs w:val="24"/>
              </w:rPr>
            </w:pPr>
            <w:r w:rsidRPr="00D85916">
              <w:rPr>
                <w:rFonts w:cs="Calibri"/>
                <w:color w:val="000000"/>
                <w:szCs w:val="24"/>
              </w:rPr>
              <w:t>DUA Cases</w:t>
            </w:r>
          </w:p>
        </w:tc>
        <w:tc>
          <w:tcPr>
            <w:tcW w:w="7072" w:type="dxa"/>
            <w:vAlign w:val="center"/>
            <w:hideMark/>
          </w:tcPr>
          <w:p w14:paraId="574EADDD" w14:textId="77777777" w:rsidR="002B6D44" w:rsidRPr="00D85916" w:rsidRDefault="002B6D44" w:rsidP="00D77F25">
            <w:pPr>
              <w:spacing w:after="0"/>
              <w:ind w:left="0"/>
              <w:rPr>
                <w:rFonts w:cs="Calibri"/>
                <w:color w:val="000000"/>
                <w:szCs w:val="24"/>
              </w:rPr>
            </w:pPr>
            <w:r w:rsidRPr="00D85916">
              <w:rPr>
                <w:rFonts w:cs="Calibri"/>
                <w:color w:val="000000"/>
                <w:szCs w:val="24"/>
              </w:rPr>
              <w:t>Provides a list of DUA decisions mailed in the month</w:t>
            </w:r>
          </w:p>
        </w:tc>
      </w:tr>
      <w:tr w:rsidR="002B6D44" w:rsidRPr="00293F5E" w14:paraId="78A4C719" w14:textId="77777777" w:rsidTr="00336C8C">
        <w:trPr>
          <w:trHeight w:val="300"/>
        </w:trPr>
        <w:tc>
          <w:tcPr>
            <w:tcW w:w="691" w:type="dxa"/>
            <w:noWrap/>
            <w:vAlign w:val="center"/>
            <w:hideMark/>
          </w:tcPr>
          <w:p w14:paraId="03ABE372" w14:textId="77777777" w:rsidR="002B6D44" w:rsidRPr="00D85916" w:rsidRDefault="002B6D44" w:rsidP="00D85916">
            <w:pPr>
              <w:spacing w:after="0"/>
              <w:ind w:left="0"/>
              <w:jc w:val="center"/>
              <w:rPr>
                <w:rFonts w:cs="Calibri"/>
                <w:color w:val="000000"/>
                <w:szCs w:val="24"/>
              </w:rPr>
            </w:pPr>
            <w:r w:rsidRPr="00D85916">
              <w:rPr>
                <w:rFonts w:cs="Calibri"/>
                <w:color w:val="000000"/>
                <w:szCs w:val="24"/>
              </w:rPr>
              <w:t>5</w:t>
            </w:r>
          </w:p>
        </w:tc>
        <w:tc>
          <w:tcPr>
            <w:tcW w:w="1699" w:type="dxa"/>
            <w:noWrap/>
            <w:vAlign w:val="center"/>
            <w:hideMark/>
          </w:tcPr>
          <w:p w14:paraId="74414B34" w14:textId="77777777" w:rsidR="002B6D44" w:rsidRPr="00D85916" w:rsidRDefault="002B6D44" w:rsidP="00D77F25">
            <w:pPr>
              <w:spacing w:after="0"/>
              <w:ind w:left="0"/>
              <w:rPr>
                <w:rFonts w:cs="Calibri"/>
                <w:color w:val="000000"/>
                <w:szCs w:val="24"/>
              </w:rPr>
            </w:pPr>
            <w:r w:rsidRPr="00D85916">
              <w:rPr>
                <w:rFonts w:cs="Calibri"/>
                <w:color w:val="000000"/>
                <w:szCs w:val="24"/>
              </w:rPr>
              <w:t>Monthly</w:t>
            </w:r>
          </w:p>
        </w:tc>
        <w:tc>
          <w:tcPr>
            <w:tcW w:w="1800" w:type="dxa"/>
            <w:noWrap/>
            <w:vAlign w:val="center"/>
            <w:hideMark/>
          </w:tcPr>
          <w:p w14:paraId="07EEF779" w14:textId="77777777" w:rsidR="002B6D44" w:rsidRPr="00D85916" w:rsidRDefault="002B6D44" w:rsidP="00D77F25">
            <w:pPr>
              <w:spacing w:after="0"/>
              <w:ind w:left="0"/>
              <w:rPr>
                <w:rFonts w:cs="Calibri"/>
                <w:color w:val="000000"/>
                <w:szCs w:val="24"/>
              </w:rPr>
            </w:pPr>
            <w:r w:rsidRPr="00D85916">
              <w:rPr>
                <w:rFonts w:cs="Calibri"/>
                <w:color w:val="000000"/>
                <w:szCs w:val="24"/>
              </w:rPr>
              <w:t>TRA Cases</w:t>
            </w:r>
          </w:p>
        </w:tc>
        <w:tc>
          <w:tcPr>
            <w:tcW w:w="7072" w:type="dxa"/>
            <w:vAlign w:val="center"/>
            <w:hideMark/>
          </w:tcPr>
          <w:p w14:paraId="75988EA2" w14:textId="77777777" w:rsidR="002B6D44" w:rsidRPr="00D85916" w:rsidRDefault="002B6D44" w:rsidP="00D77F25">
            <w:pPr>
              <w:spacing w:after="0"/>
              <w:ind w:left="0"/>
              <w:rPr>
                <w:rFonts w:cs="Calibri"/>
                <w:color w:val="000000"/>
                <w:szCs w:val="24"/>
              </w:rPr>
            </w:pPr>
            <w:r w:rsidRPr="00D85916">
              <w:rPr>
                <w:rFonts w:cs="Calibri"/>
                <w:color w:val="000000"/>
                <w:szCs w:val="24"/>
              </w:rPr>
              <w:t>Provides a list of TRA decisions mailed in the month</w:t>
            </w:r>
          </w:p>
        </w:tc>
      </w:tr>
      <w:tr w:rsidR="002B6D44" w:rsidRPr="00293F5E" w14:paraId="215A4E65" w14:textId="77777777" w:rsidTr="00336C8C">
        <w:trPr>
          <w:trHeight w:val="300"/>
        </w:trPr>
        <w:tc>
          <w:tcPr>
            <w:tcW w:w="691" w:type="dxa"/>
            <w:noWrap/>
            <w:vAlign w:val="center"/>
            <w:hideMark/>
          </w:tcPr>
          <w:p w14:paraId="6476F9CC" w14:textId="77777777" w:rsidR="002B6D44" w:rsidRPr="00D85916" w:rsidRDefault="002B6D44" w:rsidP="00D85916">
            <w:pPr>
              <w:spacing w:after="0"/>
              <w:ind w:left="0"/>
              <w:jc w:val="center"/>
              <w:rPr>
                <w:rFonts w:cs="Calibri"/>
                <w:color w:val="000000"/>
                <w:szCs w:val="24"/>
              </w:rPr>
            </w:pPr>
            <w:r w:rsidRPr="00D85916">
              <w:rPr>
                <w:rFonts w:cs="Calibri"/>
                <w:color w:val="000000"/>
                <w:szCs w:val="24"/>
              </w:rPr>
              <w:t>6</w:t>
            </w:r>
          </w:p>
        </w:tc>
        <w:tc>
          <w:tcPr>
            <w:tcW w:w="1699" w:type="dxa"/>
            <w:noWrap/>
            <w:vAlign w:val="center"/>
            <w:hideMark/>
          </w:tcPr>
          <w:p w14:paraId="435A00B8" w14:textId="77777777" w:rsidR="002B6D44" w:rsidRPr="00D85916" w:rsidRDefault="002B6D44" w:rsidP="00D85916">
            <w:pPr>
              <w:spacing w:after="0"/>
              <w:ind w:left="0"/>
              <w:rPr>
                <w:rFonts w:cs="Calibri"/>
                <w:color w:val="000000"/>
                <w:szCs w:val="24"/>
              </w:rPr>
            </w:pPr>
            <w:r w:rsidRPr="00D85916">
              <w:rPr>
                <w:rFonts w:cs="Calibri"/>
                <w:color w:val="000000"/>
                <w:szCs w:val="24"/>
              </w:rPr>
              <w:t>Monthly</w:t>
            </w:r>
          </w:p>
        </w:tc>
        <w:tc>
          <w:tcPr>
            <w:tcW w:w="1800" w:type="dxa"/>
            <w:noWrap/>
            <w:vAlign w:val="center"/>
            <w:hideMark/>
          </w:tcPr>
          <w:p w14:paraId="6EDA651D" w14:textId="77777777" w:rsidR="002B6D44" w:rsidRPr="00D85916" w:rsidRDefault="002B6D44" w:rsidP="00D85916">
            <w:pPr>
              <w:spacing w:after="0"/>
              <w:ind w:left="0"/>
              <w:rPr>
                <w:rFonts w:cs="Calibri"/>
                <w:color w:val="000000"/>
                <w:szCs w:val="24"/>
              </w:rPr>
            </w:pPr>
            <w:r w:rsidRPr="00D85916">
              <w:rPr>
                <w:rFonts w:cs="Calibri"/>
                <w:color w:val="000000"/>
                <w:szCs w:val="24"/>
              </w:rPr>
              <w:t>Profiling Cases</w:t>
            </w:r>
          </w:p>
        </w:tc>
        <w:tc>
          <w:tcPr>
            <w:tcW w:w="7072" w:type="dxa"/>
            <w:vAlign w:val="center"/>
            <w:hideMark/>
          </w:tcPr>
          <w:p w14:paraId="4B65F44F" w14:textId="77777777" w:rsidR="002B6D44" w:rsidRPr="00D85916" w:rsidRDefault="002B6D44" w:rsidP="00D77F25">
            <w:pPr>
              <w:spacing w:after="0"/>
              <w:ind w:left="0"/>
              <w:rPr>
                <w:rFonts w:cs="Calibri"/>
                <w:color w:val="000000"/>
                <w:szCs w:val="24"/>
              </w:rPr>
            </w:pPr>
            <w:r w:rsidRPr="00D85916">
              <w:rPr>
                <w:rFonts w:cs="Calibri"/>
                <w:color w:val="000000"/>
                <w:szCs w:val="24"/>
              </w:rPr>
              <w:t>Provides a list of Profiling decisions mailed in the month</w:t>
            </w:r>
          </w:p>
        </w:tc>
      </w:tr>
      <w:tr w:rsidR="002B6D44" w:rsidRPr="00293F5E" w14:paraId="631C226F" w14:textId="77777777" w:rsidTr="00336C8C">
        <w:trPr>
          <w:trHeight w:val="300"/>
        </w:trPr>
        <w:tc>
          <w:tcPr>
            <w:tcW w:w="691" w:type="dxa"/>
            <w:noWrap/>
            <w:vAlign w:val="center"/>
            <w:hideMark/>
          </w:tcPr>
          <w:p w14:paraId="207E4E69" w14:textId="77777777" w:rsidR="002B6D44" w:rsidRPr="00D85916" w:rsidRDefault="002B6D44" w:rsidP="00D85916">
            <w:pPr>
              <w:spacing w:after="0"/>
              <w:ind w:left="0"/>
              <w:jc w:val="center"/>
              <w:rPr>
                <w:rFonts w:cs="Calibri"/>
                <w:color w:val="000000"/>
                <w:szCs w:val="24"/>
              </w:rPr>
            </w:pPr>
            <w:r w:rsidRPr="00D85916">
              <w:rPr>
                <w:rFonts w:cs="Calibri"/>
                <w:color w:val="000000"/>
                <w:szCs w:val="24"/>
              </w:rPr>
              <w:t>7</w:t>
            </w:r>
          </w:p>
        </w:tc>
        <w:tc>
          <w:tcPr>
            <w:tcW w:w="1699" w:type="dxa"/>
            <w:noWrap/>
            <w:vAlign w:val="center"/>
            <w:hideMark/>
          </w:tcPr>
          <w:p w14:paraId="2892E431" w14:textId="77777777" w:rsidR="002B6D44" w:rsidRPr="00D85916" w:rsidRDefault="002B6D44" w:rsidP="00D85916">
            <w:pPr>
              <w:spacing w:after="0"/>
              <w:ind w:left="0"/>
              <w:rPr>
                <w:rFonts w:cs="Calibri"/>
                <w:color w:val="000000"/>
                <w:szCs w:val="24"/>
              </w:rPr>
            </w:pPr>
            <w:r w:rsidRPr="00D85916">
              <w:rPr>
                <w:rFonts w:cs="Calibri"/>
                <w:color w:val="000000"/>
                <w:szCs w:val="24"/>
              </w:rPr>
              <w:t>Monthly</w:t>
            </w:r>
          </w:p>
        </w:tc>
        <w:tc>
          <w:tcPr>
            <w:tcW w:w="1800" w:type="dxa"/>
            <w:noWrap/>
            <w:vAlign w:val="center"/>
            <w:hideMark/>
          </w:tcPr>
          <w:p w14:paraId="264901AC" w14:textId="77777777" w:rsidR="002B6D44" w:rsidRPr="00D85916" w:rsidRDefault="002B6D44" w:rsidP="00D85916">
            <w:pPr>
              <w:spacing w:after="0"/>
              <w:ind w:left="0"/>
              <w:rPr>
                <w:rFonts w:cs="Calibri"/>
                <w:color w:val="000000"/>
                <w:szCs w:val="24"/>
              </w:rPr>
            </w:pPr>
            <w:r w:rsidRPr="00D85916">
              <w:rPr>
                <w:rFonts w:cs="Calibri"/>
                <w:color w:val="000000"/>
                <w:szCs w:val="24"/>
              </w:rPr>
              <w:t>Y-43</w:t>
            </w:r>
          </w:p>
        </w:tc>
        <w:tc>
          <w:tcPr>
            <w:tcW w:w="7072" w:type="dxa"/>
            <w:vAlign w:val="center"/>
            <w:hideMark/>
          </w:tcPr>
          <w:p w14:paraId="59D1DD1A" w14:textId="77777777" w:rsidR="002B6D44" w:rsidRPr="00D85916" w:rsidRDefault="002B6D44" w:rsidP="00D85916">
            <w:pPr>
              <w:spacing w:after="0"/>
              <w:ind w:left="0"/>
              <w:rPr>
                <w:rFonts w:cs="Calibri"/>
                <w:color w:val="000000"/>
                <w:szCs w:val="24"/>
              </w:rPr>
            </w:pPr>
            <w:r w:rsidRPr="00D85916">
              <w:rPr>
                <w:rFonts w:cs="Calibri"/>
                <w:color w:val="000000"/>
                <w:szCs w:val="24"/>
              </w:rPr>
              <w:t>Provides supplemental information for DOL reports</w:t>
            </w:r>
          </w:p>
        </w:tc>
      </w:tr>
      <w:tr w:rsidR="002B6D44" w:rsidRPr="00293F5E" w14:paraId="126C72F0" w14:textId="77777777" w:rsidTr="00336C8C">
        <w:trPr>
          <w:trHeight w:val="300"/>
        </w:trPr>
        <w:tc>
          <w:tcPr>
            <w:tcW w:w="691" w:type="dxa"/>
            <w:noWrap/>
            <w:vAlign w:val="center"/>
            <w:hideMark/>
          </w:tcPr>
          <w:p w14:paraId="4961DD0E" w14:textId="77777777" w:rsidR="002B6D44" w:rsidRPr="00D85916" w:rsidRDefault="002B6D44" w:rsidP="00D85916">
            <w:pPr>
              <w:spacing w:after="0"/>
              <w:ind w:left="0"/>
              <w:jc w:val="center"/>
              <w:rPr>
                <w:rFonts w:cs="Calibri"/>
                <w:color w:val="000000"/>
                <w:szCs w:val="24"/>
              </w:rPr>
            </w:pPr>
            <w:r w:rsidRPr="00D85916">
              <w:rPr>
                <w:rFonts w:cs="Calibri"/>
                <w:color w:val="000000"/>
                <w:szCs w:val="24"/>
              </w:rPr>
              <w:lastRenderedPageBreak/>
              <w:t>8</w:t>
            </w:r>
          </w:p>
        </w:tc>
        <w:tc>
          <w:tcPr>
            <w:tcW w:w="1699" w:type="dxa"/>
            <w:noWrap/>
            <w:vAlign w:val="center"/>
            <w:hideMark/>
          </w:tcPr>
          <w:p w14:paraId="4A6A4F08" w14:textId="77777777" w:rsidR="002B6D44" w:rsidRPr="00D85916" w:rsidRDefault="002B6D44" w:rsidP="00D85916">
            <w:pPr>
              <w:spacing w:after="0"/>
              <w:ind w:left="0"/>
              <w:rPr>
                <w:rFonts w:cs="Calibri"/>
                <w:color w:val="000000"/>
                <w:szCs w:val="24"/>
              </w:rPr>
            </w:pPr>
            <w:r w:rsidRPr="00D85916">
              <w:rPr>
                <w:rFonts w:cs="Calibri"/>
                <w:color w:val="000000"/>
                <w:szCs w:val="24"/>
              </w:rPr>
              <w:t>Monthly</w:t>
            </w:r>
          </w:p>
        </w:tc>
        <w:tc>
          <w:tcPr>
            <w:tcW w:w="1800" w:type="dxa"/>
            <w:noWrap/>
            <w:vAlign w:val="center"/>
            <w:hideMark/>
          </w:tcPr>
          <w:p w14:paraId="6B66C3CA" w14:textId="77777777" w:rsidR="002B6D44" w:rsidRPr="00D85916" w:rsidRDefault="002B6D44" w:rsidP="00D85916">
            <w:pPr>
              <w:spacing w:after="0"/>
              <w:ind w:left="0"/>
              <w:rPr>
                <w:rFonts w:cs="Calibri"/>
                <w:color w:val="000000"/>
                <w:szCs w:val="24"/>
              </w:rPr>
            </w:pPr>
            <w:r w:rsidRPr="00D85916">
              <w:rPr>
                <w:rFonts w:cs="Calibri"/>
                <w:color w:val="000000"/>
                <w:szCs w:val="24"/>
              </w:rPr>
              <w:t>Y-43 Plus</w:t>
            </w:r>
          </w:p>
        </w:tc>
        <w:tc>
          <w:tcPr>
            <w:tcW w:w="7072" w:type="dxa"/>
            <w:vAlign w:val="center"/>
            <w:hideMark/>
          </w:tcPr>
          <w:p w14:paraId="60720D13" w14:textId="77777777" w:rsidR="002B6D44" w:rsidRPr="00D85916" w:rsidRDefault="002B6D44" w:rsidP="00D85916">
            <w:pPr>
              <w:spacing w:after="0"/>
              <w:ind w:left="0"/>
              <w:rPr>
                <w:rFonts w:cs="Calibri"/>
                <w:color w:val="000000"/>
                <w:szCs w:val="24"/>
              </w:rPr>
            </w:pPr>
            <w:r w:rsidRPr="00D85916">
              <w:rPr>
                <w:rFonts w:cs="Calibri"/>
                <w:color w:val="000000"/>
                <w:szCs w:val="24"/>
              </w:rPr>
              <w:t>Provides supplemental information for DOL reports</w:t>
            </w:r>
          </w:p>
        </w:tc>
      </w:tr>
      <w:tr w:rsidR="002B6D44" w:rsidRPr="00293F5E" w14:paraId="2A5852EC" w14:textId="77777777" w:rsidTr="00336C8C">
        <w:trPr>
          <w:trHeight w:val="300"/>
        </w:trPr>
        <w:tc>
          <w:tcPr>
            <w:tcW w:w="691" w:type="dxa"/>
            <w:noWrap/>
            <w:vAlign w:val="center"/>
            <w:hideMark/>
          </w:tcPr>
          <w:p w14:paraId="65821D47" w14:textId="77777777" w:rsidR="002B6D44" w:rsidRPr="00D85916" w:rsidRDefault="002B6D44" w:rsidP="00D85916">
            <w:pPr>
              <w:spacing w:after="0"/>
              <w:ind w:left="0"/>
              <w:jc w:val="center"/>
              <w:rPr>
                <w:rFonts w:cs="Calibri"/>
                <w:color w:val="000000"/>
                <w:szCs w:val="24"/>
              </w:rPr>
            </w:pPr>
            <w:r w:rsidRPr="00D85916">
              <w:rPr>
                <w:rFonts w:cs="Calibri"/>
                <w:color w:val="000000"/>
                <w:szCs w:val="24"/>
              </w:rPr>
              <w:t>9</w:t>
            </w:r>
          </w:p>
        </w:tc>
        <w:tc>
          <w:tcPr>
            <w:tcW w:w="1699" w:type="dxa"/>
            <w:noWrap/>
            <w:vAlign w:val="center"/>
            <w:hideMark/>
          </w:tcPr>
          <w:p w14:paraId="4BAA208F" w14:textId="77777777" w:rsidR="002B6D44" w:rsidRPr="00D85916" w:rsidRDefault="002B6D44" w:rsidP="00D85916">
            <w:pPr>
              <w:spacing w:after="0"/>
              <w:ind w:left="0"/>
              <w:rPr>
                <w:rFonts w:cs="Calibri"/>
                <w:color w:val="000000"/>
                <w:szCs w:val="24"/>
              </w:rPr>
            </w:pPr>
            <w:r w:rsidRPr="00D85916">
              <w:rPr>
                <w:rFonts w:cs="Calibri"/>
                <w:color w:val="000000"/>
                <w:szCs w:val="24"/>
              </w:rPr>
              <w:t>Monthly</w:t>
            </w:r>
          </w:p>
        </w:tc>
        <w:tc>
          <w:tcPr>
            <w:tcW w:w="1800" w:type="dxa"/>
            <w:noWrap/>
            <w:vAlign w:val="center"/>
            <w:hideMark/>
          </w:tcPr>
          <w:p w14:paraId="58AFD9C7" w14:textId="77777777" w:rsidR="002B6D44" w:rsidRPr="00D85916" w:rsidRDefault="002B6D44" w:rsidP="00D85916">
            <w:pPr>
              <w:spacing w:after="0"/>
              <w:ind w:left="0"/>
              <w:rPr>
                <w:rFonts w:cs="Calibri"/>
                <w:color w:val="000000"/>
                <w:szCs w:val="24"/>
              </w:rPr>
            </w:pPr>
            <w:r w:rsidRPr="00D85916">
              <w:rPr>
                <w:rFonts w:cs="Calibri"/>
                <w:color w:val="000000"/>
                <w:szCs w:val="24"/>
              </w:rPr>
              <w:t>Y-30</w:t>
            </w:r>
          </w:p>
        </w:tc>
        <w:tc>
          <w:tcPr>
            <w:tcW w:w="7072" w:type="dxa"/>
            <w:vAlign w:val="center"/>
            <w:hideMark/>
          </w:tcPr>
          <w:p w14:paraId="6D427A3C" w14:textId="77777777" w:rsidR="002B6D44" w:rsidRPr="00D85916" w:rsidRDefault="002B6D44" w:rsidP="00D85916">
            <w:pPr>
              <w:spacing w:after="0"/>
              <w:ind w:left="0"/>
              <w:rPr>
                <w:rFonts w:cs="Calibri"/>
                <w:color w:val="000000"/>
                <w:szCs w:val="24"/>
              </w:rPr>
            </w:pPr>
            <w:r w:rsidRPr="00D85916">
              <w:rPr>
                <w:rFonts w:cs="Calibri"/>
                <w:color w:val="000000"/>
                <w:szCs w:val="24"/>
              </w:rPr>
              <w:t>Provides supplemental information for DOL reports</w:t>
            </w:r>
          </w:p>
        </w:tc>
      </w:tr>
      <w:tr w:rsidR="002B6D44" w:rsidRPr="00293F5E" w14:paraId="796B95B6" w14:textId="77777777" w:rsidTr="00336C8C">
        <w:trPr>
          <w:trHeight w:val="300"/>
        </w:trPr>
        <w:tc>
          <w:tcPr>
            <w:tcW w:w="691" w:type="dxa"/>
            <w:noWrap/>
            <w:vAlign w:val="center"/>
            <w:hideMark/>
          </w:tcPr>
          <w:p w14:paraId="1971FCC8" w14:textId="77777777" w:rsidR="002B6D44" w:rsidRPr="00D85916" w:rsidRDefault="002B6D44" w:rsidP="00D85916">
            <w:pPr>
              <w:spacing w:after="0"/>
              <w:ind w:left="0"/>
              <w:jc w:val="center"/>
              <w:rPr>
                <w:rFonts w:cs="Calibri"/>
                <w:color w:val="000000"/>
                <w:szCs w:val="24"/>
              </w:rPr>
            </w:pPr>
            <w:r w:rsidRPr="00D85916">
              <w:rPr>
                <w:rFonts w:cs="Calibri"/>
                <w:color w:val="000000"/>
                <w:szCs w:val="24"/>
              </w:rPr>
              <w:t>10</w:t>
            </w:r>
          </w:p>
        </w:tc>
        <w:tc>
          <w:tcPr>
            <w:tcW w:w="1699" w:type="dxa"/>
            <w:noWrap/>
            <w:vAlign w:val="center"/>
            <w:hideMark/>
          </w:tcPr>
          <w:p w14:paraId="44FB3E5A" w14:textId="77777777" w:rsidR="002B6D44" w:rsidRPr="00D85916" w:rsidRDefault="002B6D44" w:rsidP="00D85916">
            <w:pPr>
              <w:spacing w:after="0"/>
              <w:ind w:left="0"/>
              <w:rPr>
                <w:rFonts w:cs="Calibri"/>
                <w:color w:val="000000"/>
                <w:szCs w:val="24"/>
              </w:rPr>
            </w:pPr>
            <w:r w:rsidRPr="00D85916">
              <w:rPr>
                <w:rFonts w:cs="Calibri"/>
                <w:color w:val="000000"/>
                <w:szCs w:val="24"/>
              </w:rPr>
              <w:t>Monthly</w:t>
            </w:r>
          </w:p>
        </w:tc>
        <w:tc>
          <w:tcPr>
            <w:tcW w:w="1800" w:type="dxa"/>
            <w:noWrap/>
            <w:vAlign w:val="center"/>
            <w:hideMark/>
          </w:tcPr>
          <w:p w14:paraId="60B3E518" w14:textId="25251F13" w:rsidR="002B6D44" w:rsidRPr="00D85916" w:rsidRDefault="002B6D44" w:rsidP="00E46093">
            <w:pPr>
              <w:spacing w:after="0"/>
              <w:ind w:left="0"/>
              <w:rPr>
                <w:rFonts w:cs="Calibri"/>
                <w:color w:val="000000"/>
                <w:szCs w:val="24"/>
              </w:rPr>
            </w:pPr>
            <w:r w:rsidRPr="00D85916">
              <w:rPr>
                <w:rFonts w:cs="Calibri"/>
                <w:color w:val="000000"/>
                <w:szCs w:val="24"/>
              </w:rPr>
              <w:t>TUC 5130-001</w:t>
            </w:r>
            <w:r w:rsidR="00E46093">
              <w:rPr>
                <w:rFonts w:cs="Calibri"/>
                <w:color w:val="000000"/>
                <w:szCs w:val="24"/>
              </w:rPr>
              <w:t xml:space="preserve">; </w:t>
            </w:r>
            <w:r w:rsidRPr="00D85916">
              <w:rPr>
                <w:rFonts w:cs="Calibri"/>
                <w:color w:val="000000"/>
                <w:szCs w:val="24"/>
              </w:rPr>
              <w:t>TUC 5130-002</w:t>
            </w:r>
            <w:r w:rsidR="00E46093">
              <w:rPr>
                <w:rFonts w:cs="Calibri"/>
                <w:color w:val="000000"/>
                <w:szCs w:val="24"/>
              </w:rPr>
              <w:t xml:space="preserve">; </w:t>
            </w:r>
            <w:r w:rsidRPr="00D85916">
              <w:rPr>
                <w:rFonts w:cs="Calibri"/>
                <w:color w:val="000000"/>
                <w:szCs w:val="24"/>
              </w:rPr>
              <w:t>EXB 5130-001</w:t>
            </w:r>
          </w:p>
        </w:tc>
        <w:tc>
          <w:tcPr>
            <w:tcW w:w="7072" w:type="dxa"/>
            <w:vAlign w:val="center"/>
            <w:hideMark/>
          </w:tcPr>
          <w:p w14:paraId="7068A414" w14:textId="77777777" w:rsidR="002B6D44" w:rsidRPr="00D85916" w:rsidRDefault="002B6D44" w:rsidP="00D85916">
            <w:pPr>
              <w:spacing w:after="0"/>
              <w:ind w:left="0"/>
              <w:rPr>
                <w:rFonts w:cs="Calibri"/>
                <w:color w:val="000000"/>
                <w:szCs w:val="24"/>
              </w:rPr>
            </w:pPr>
            <w:r w:rsidRPr="00D85916">
              <w:rPr>
                <w:rFonts w:cs="Calibri"/>
                <w:color w:val="000000"/>
                <w:szCs w:val="24"/>
              </w:rPr>
              <w:t>Provides supplemental information for DOL reports</w:t>
            </w:r>
          </w:p>
        </w:tc>
      </w:tr>
      <w:tr w:rsidR="002B6D44" w:rsidRPr="00293F5E" w14:paraId="7FB899DC" w14:textId="77777777" w:rsidTr="00336C8C">
        <w:trPr>
          <w:trHeight w:val="300"/>
        </w:trPr>
        <w:tc>
          <w:tcPr>
            <w:tcW w:w="691" w:type="dxa"/>
            <w:noWrap/>
            <w:vAlign w:val="center"/>
            <w:hideMark/>
          </w:tcPr>
          <w:p w14:paraId="2F5B7076" w14:textId="77777777" w:rsidR="002B6D44" w:rsidRPr="00D85916" w:rsidRDefault="002B6D44" w:rsidP="00D85916">
            <w:pPr>
              <w:spacing w:after="0"/>
              <w:ind w:left="0"/>
              <w:jc w:val="center"/>
              <w:rPr>
                <w:rFonts w:cs="Calibri"/>
                <w:color w:val="000000"/>
                <w:szCs w:val="24"/>
              </w:rPr>
            </w:pPr>
            <w:r w:rsidRPr="00D85916">
              <w:rPr>
                <w:rFonts w:cs="Calibri"/>
                <w:color w:val="000000"/>
                <w:szCs w:val="24"/>
              </w:rPr>
              <w:t>11</w:t>
            </w:r>
          </w:p>
        </w:tc>
        <w:tc>
          <w:tcPr>
            <w:tcW w:w="1699" w:type="dxa"/>
            <w:noWrap/>
            <w:vAlign w:val="center"/>
            <w:hideMark/>
          </w:tcPr>
          <w:p w14:paraId="61F636C2" w14:textId="77777777" w:rsidR="002B6D44" w:rsidRPr="00D85916" w:rsidRDefault="002B6D44" w:rsidP="00D85916">
            <w:pPr>
              <w:spacing w:after="0"/>
              <w:ind w:left="0"/>
              <w:rPr>
                <w:rFonts w:cs="Calibri"/>
                <w:color w:val="000000"/>
                <w:szCs w:val="24"/>
              </w:rPr>
            </w:pPr>
            <w:r w:rsidRPr="00D85916">
              <w:rPr>
                <w:rFonts w:cs="Calibri"/>
                <w:color w:val="000000"/>
                <w:szCs w:val="24"/>
              </w:rPr>
              <w:t>Monthly</w:t>
            </w:r>
          </w:p>
        </w:tc>
        <w:tc>
          <w:tcPr>
            <w:tcW w:w="1800" w:type="dxa"/>
            <w:noWrap/>
            <w:vAlign w:val="center"/>
            <w:hideMark/>
          </w:tcPr>
          <w:p w14:paraId="3D9F8CCA" w14:textId="79DC9612" w:rsidR="002B6D44" w:rsidRPr="00D85916" w:rsidRDefault="002B6D44" w:rsidP="00D85916">
            <w:pPr>
              <w:spacing w:after="0"/>
              <w:ind w:left="0"/>
              <w:rPr>
                <w:rFonts w:cs="Calibri"/>
                <w:color w:val="000000"/>
                <w:szCs w:val="24"/>
              </w:rPr>
            </w:pPr>
            <w:r w:rsidRPr="00D85916">
              <w:rPr>
                <w:rFonts w:cs="Calibri"/>
                <w:color w:val="000000"/>
                <w:szCs w:val="24"/>
              </w:rPr>
              <w:t>QRSample R</w:t>
            </w:r>
            <w:r w:rsidR="0034535D">
              <w:rPr>
                <w:rFonts w:cs="Calibri"/>
                <w:color w:val="000000"/>
                <w:szCs w:val="24"/>
              </w:rPr>
              <w:t>e</w:t>
            </w:r>
            <w:r w:rsidRPr="00D85916">
              <w:rPr>
                <w:rFonts w:cs="Calibri"/>
                <w:color w:val="000000"/>
                <w:szCs w:val="24"/>
              </w:rPr>
              <w:t>p</w:t>
            </w:r>
            <w:r w:rsidR="0034535D">
              <w:rPr>
                <w:rFonts w:cs="Calibri"/>
                <w:color w:val="000000"/>
                <w:szCs w:val="24"/>
              </w:rPr>
              <w:t>or</w:t>
            </w:r>
            <w:r w:rsidRPr="00D85916">
              <w:rPr>
                <w:rFonts w:cs="Calibri"/>
                <w:color w:val="000000"/>
                <w:szCs w:val="24"/>
              </w:rPr>
              <w:t>t</w:t>
            </w:r>
          </w:p>
        </w:tc>
        <w:tc>
          <w:tcPr>
            <w:tcW w:w="7072" w:type="dxa"/>
            <w:vAlign w:val="center"/>
            <w:hideMark/>
          </w:tcPr>
          <w:p w14:paraId="2CE8F2D5" w14:textId="77777777" w:rsidR="002B6D44" w:rsidRPr="00D85916" w:rsidRDefault="002B6D44" w:rsidP="00D85916">
            <w:pPr>
              <w:spacing w:after="0"/>
              <w:ind w:left="0"/>
              <w:rPr>
                <w:rFonts w:cs="Calibri"/>
                <w:color w:val="000000"/>
                <w:szCs w:val="24"/>
              </w:rPr>
            </w:pPr>
            <w:r w:rsidRPr="00D85916">
              <w:rPr>
                <w:rFonts w:cs="Calibri"/>
                <w:color w:val="000000"/>
                <w:szCs w:val="24"/>
              </w:rPr>
              <w:t>Provides a population to pull for federal quality review purposes</w:t>
            </w:r>
          </w:p>
        </w:tc>
      </w:tr>
      <w:tr w:rsidR="002B6D44" w:rsidRPr="00293F5E" w14:paraId="75871FCA" w14:textId="77777777" w:rsidTr="00336C8C">
        <w:trPr>
          <w:trHeight w:val="300"/>
        </w:trPr>
        <w:tc>
          <w:tcPr>
            <w:tcW w:w="691" w:type="dxa"/>
            <w:noWrap/>
            <w:vAlign w:val="center"/>
            <w:hideMark/>
          </w:tcPr>
          <w:p w14:paraId="67F38DDF" w14:textId="77777777" w:rsidR="002B6D44" w:rsidRPr="00D85916" w:rsidRDefault="002B6D44" w:rsidP="00D85916">
            <w:pPr>
              <w:spacing w:after="0"/>
              <w:ind w:left="0"/>
              <w:jc w:val="center"/>
              <w:rPr>
                <w:rFonts w:cs="Calibri"/>
                <w:color w:val="000000"/>
                <w:szCs w:val="24"/>
              </w:rPr>
            </w:pPr>
            <w:r w:rsidRPr="00D85916">
              <w:rPr>
                <w:rFonts w:cs="Calibri"/>
                <w:color w:val="000000"/>
                <w:szCs w:val="24"/>
              </w:rPr>
              <w:t>12</w:t>
            </w:r>
          </w:p>
        </w:tc>
        <w:tc>
          <w:tcPr>
            <w:tcW w:w="1699" w:type="dxa"/>
            <w:noWrap/>
            <w:vAlign w:val="center"/>
            <w:hideMark/>
          </w:tcPr>
          <w:p w14:paraId="05969515" w14:textId="77777777" w:rsidR="002B6D44" w:rsidRPr="00D85916" w:rsidRDefault="002B6D44" w:rsidP="00D85916">
            <w:pPr>
              <w:spacing w:after="0"/>
              <w:ind w:left="0"/>
              <w:rPr>
                <w:rFonts w:cs="Calibri"/>
                <w:color w:val="000000"/>
                <w:szCs w:val="24"/>
              </w:rPr>
            </w:pPr>
            <w:r w:rsidRPr="00D85916">
              <w:rPr>
                <w:rFonts w:cs="Calibri"/>
                <w:color w:val="000000"/>
                <w:szCs w:val="24"/>
              </w:rPr>
              <w:t>Monthly</w:t>
            </w:r>
          </w:p>
        </w:tc>
        <w:tc>
          <w:tcPr>
            <w:tcW w:w="1800" w:type="dxa"/>
            <w:noWrap/>
            <w:vAlign w:val="center"/>
            <w:hideMark/>
          </w:tcPr>
          <w:p w14:paraId="7CE1FDC6" w14:textId="77777777" w:rsidR="002B6D44" w:rsidRPr="00D85916" w:rsidRDefault="002B6D44" w:rsidP="00D85916">
            <w:pPr>
              <w:spacing w:after="0"/>
              <w:ind w:left="0"/>
              <w:rPr>
                <w:rFonts w:cs="Calibri"/>
                <w:color w:val="000000"/>
                <w:szCs w:val="24"/>
              </w:rPr>
            </w:pPr>
            <w:r w:rsidRPr="00D85916">
              <w:rPr>
                <w:rFonts w:cs="Calibri"/>
                <w:color w:val="000000"/>
                <w:szCs w:val="24"/>
              </w:rPr>
              <w:t>Population 6</w:t>
            </w:r>
          </w:p>
        </w:tc>
        <w:tc>
          <w:tcPr>
            <w:tcW w:w="7072" w:type="dxa"/>
            <w:vAlign w:val="center"/>
            <w:hideMark/>
          </w:tcPr>
          <w:p w14:paraId="04D18926" w14:textId="77777777" w:rsidR="002B6D44" w:rsidRPr="00D85916" w:rsidRDefault="002B6D44" w:rsidP="00D85916">
            <w:pPr>
              <w:spacing w:after="0"/>
              <w:ind w:left="0"/>
              <w:rPr>
                <w:rFonts w:cs="Calibri"/>
                <w:color w:val="000000"/>
                <w:szCs w:val="24"/>
              </w:rPr>
            </w:pPr>
            <w:r w:rsidRPr="00D85916">
              <w:rPr>
                <w:rFonts w:cs="Calibri"/>
                <w:color w:val="000000"/>
                <w:szCs w:val="24"/>
              </w:rPr>
              <w:t>Used by statistical sampling to validate DOL-submitted reports</w:t>
            </w:r>
          </w:p>
        </w:tc>
      </w:tr>
      <w:tr w:rsidR="002B6D44" w:rsidRPr="00293F5E" w14:paraId="6227032A" w14:textId="77777777" w:rsidTr="00336C8C">
        <w:trPr>
          <w:trHeight w:val="300"/>
        </w:trPr>
        <w:tc>
          <w:tcPr>
            <w:tcW w:w="691" w:type="dxa"/>
            <w:noWrap/>
            <w:vAlign w:val="center"/>
            <w:hideMark/>
          </w:tcPr>
          <w:p w14:paraId="5BDB6FEF" w14:textId="77777777" w:rsidR="002B6D44" w:rsidRPr="00D85916" w:rsidRDefault="002B6D44" w:rsidP="00D85916">
            <w:pPr>
              <w:spacing w:after="0"/>
              <w:ind w:left="0"/>
              <w:jc w:val="center"/>
              <w:rPr>
                <w:rFonts w:cs="Calibri"/>
                <w:color w:val="000000"/>
                <w:szCs w:val="24"/>
              </w:rPr>
            </w:pPr>
            <w:r w:rsidRPr="00D85916">
              <w:rPr>
                <w:rFonts w:cs="Calibri"/>
                <w:color w:val="000000"/>
                <w:szCs w:val="24"/>
              </w:rPr>
              <w:t>13</w:t>
            </w:r>
          </w:p>
        </w:tc>
        <w:tc>
          <w:tcPr>
            <w:tcW w:w="1699" w:type="dxa"/>
            <w:noWrap/>
            <w:vAlign w:val="center"/>
            <w:hideMark/>
          </w:tcPr>
          <w:p w14:paraId="0C61FEDE" w14:textId="77777777" w:rsidR="002B6D44" w:rsidRPr="00D85916" w:rsidRDefault="002B6D44" w:rsidP="00D85916">
            <w:pPr>
              <w:spacing w:after="0"/>
              <w:ind w:left="0"/>
              <w:rPr>
                <w:rFonts w:cs="Calibri"/>
                <w:color w:val="000000"/>
                <w:szCs w:val="24"/>
              </w:rPr>
            </w:pPr>
            <w:r w:rsidRPr="00D85916">
              <w:rPr>
                <w:rFonts w:cs="Calibri"/>
                <w:color w:val="000000"/>
                <w:szCs w:val="24"/>
              </w:rPr>
              <w:t>Monthly</w:t>
            </w:r>
          </w:p>
        </w:tc>
        <w:tc>
          <w:tcPr>
            <w:tcW w:w="1800" w:type="dxa"/>
            <w:noWrap/>
            <w:vAlign w:val="center"/>
            <w:hideMark/>
          </w:tcPr>
          <w:p w14:paraId="267B325D" w14:textId="77777777" w:rsidR="002B6D44" w:rsidRPr="00D85916" w:rsidRDefault="002B6D44" w:rsidP="00D85916">
            <w:pPr>
              <w:spacing w:after="0"/>
              <w:ind w:left="0"/>
              <w:rPr>
                <w:rFonts w:cs="Calibri"/>
                <w:color w:val="000000"/>
                <w:szCs w:val="24"/>
              </w:rPr>
            </w:pPr>
            <w:r w:rsidRPr="00D85916">
              <w:rPr>
                <w:rFonts w:cs="Calibri"/>
                <w:color w:val="000000"/>
                <w:szCs w:val="24"/>
              </w:rPr>
              <w:t>Population 7</w:t>
            </w:r>
          </w:p>
        </w:tc>
        <w:tc>
          <w:tcPr>
            <w:tcW w:w="7072" w:type="dxa"/>
            <w:vAlign w:val="center"/>
            <w:hideMark/>
          </w:tcPr>
          <w:p w14:paraId="5F47D799" w14:textId="77777777" w:rsidR="002B6D44" w:rsidRPr="00D85916" w:rsidRDefault="002B6D44" w:rsidP="00D85916">
            <w:pPr>
              <w:spacing w:after="0"/>
              <w:ind w:left="0"/>
              <w:rPr>
                <w:rFonts w:cs="Calibri"/>
                <w:color w:val="000000"/>
                <w:szCs w:val="24"/>
              </w:rPr>
            </w:pPr>
            <w:r w:rsidRPr="00D85916">
              <w:rPr>
                <w:rFonts w:cs="Calibri"/>
                <w:color w:val="000000"/>
                <w:szCs w:val="24"/>
              </w:rPr>
              <w:t>Used by statistical sampling to validate DOL-submitted reports</w:t>
            </w:r>
          </w:p>
        </w:tc>
      </w:tr>
      <w:tr w:rsidR="002B6D44" w:rsidRPr="00293F5E" w14:paraId="319B191B" w14:textId="77777777" w:rsidTr="00336C8C">
        <w:trPr>
          <w:trHeight w:val="300"/>
        </w:trPr>
        <w:tc>
          <w:tcPr>
            <w:tcW w:w="691" w:type="dxa"/>
            <w:noWrap/>
            <w:vAlign w:val="center"/>
            <w:hideMark/>
          </w:tcPr>
          <w:p w14:paraId="0DB14265" w14:textId="77777777" w:rsidR="002B6D44" w:rsidRPr="00D85916" w:rsidRDefault="002B6D44" w:rsidP="00D85916">
            <w:pPr>
              <w:spacing w:after="0"/>
              <w:ind w:left="0"/>
              <w:jc w:val="center"/>
              <w:rPr>
                <w:rFonts w:cs="Calibri"/>
                <w:color w:val="000000"/>
                <w:szCs w:val="24"/>
              </w:rPr>
            </w:pPr>
            <w:r w:rsidRPr="00D85916">
              <w:rPr>
                <w:rFonts w:cs="Calibri"/>
                <w:color w:val="000000"/>
                <w:szCs w:val="24"/>
              </w:rPr>
              <w:t>14</w:t>
            </w:r>
          </w:p>
        </w:tc>
        <w:tc>
          <w:tcPr>
            <w:tcW w:w="1699" w:type="dxa"/>
            <w:noWrap/>
            <w:vAlign w:val="center"/>
            <w:hideMark/>
          </w:tcPr>
          <w:p w14:paraId="644CD1E3" w14:textId="77777777" w:rsidR="002B6D44" w:rsidRPr="00D85916" w:rsidRDefault="002B6D44" w:rsidP="00D85916">
            <w:pPr>
              <w:spacing w:after="0"/>
              <w:ind w:left="0"/>
              <w:rPr>
                <w:rFonts w:cs="Calibri"/>
                <w:color w:val="000000"/>
                <w:szCs w:val="24"/>
              </w:rPr>
            </w:pPr>
            <w:r w:rsidRPr="00D85916">
              <w:rPr>
                <w:rFonts w:cs="Calibri"/>
                <w:color w:val="000000"/>
                <w:szCs w:val="24"/>
              </w:rPr>
              <w:t>Monthly</w:t>
            </w:r>
          </w:p>
        </w:tc>
        <w:tc>
          <w:tcPr>
            <w:tcW w:w="1800" w:type="dxa"/>
            <w:noWrap/>
            <w:vAlign w:val="center"/>
            <w:hideMark/>
          </w:tcPr>
          <w:p w14:paraId="721CF051" w14:textId="77777777" w:rsidR="002B6D44" w:rsidRPr="00D85916" w:rsidRDefault="002B6D44" w:rsidP="00D85916">
            <w:pPr>
              <w:spacing w:after="0"/>
              <w:ind w:left="0"/>
              <w:rPr>
                <w:rFonts w:cs="Calibri"/>
                <w:color w:val="000000"/>
                <w:szCs w:val="24"/>
              </w:rPr>
            </w:pPr>
            <w:r w:rsidRPr="00D85916">
              <w:rPr>
                <w:rFonts w:cs="Calibri"/>
                <w:color w:val="000000"/>
                <w:szCs w:val="24"/>
              </w:rPr>
              <w:t>Population 8</w:t>
            </w:r>
          </w:p>
        </w:tc>
        <w:tc>
          <w:tcPr>
            <w:tcW w:w="7072" w:type="dxa"/>
            <w:vAlign w:val="center"/>
            <w:hideMark/>
          </w:tcPr>
          <w:p w14:paraId="5B3C411F" w14:textId="77777777" w:rsidR="002B6D44" w:rsidRPr="00D85916" w:rsidRDefault="002B6D44" w:rsidP="00D85916">
            <w:pPr>
              <w:spacing w:after="0"/>
              <w:ind w:left="0"/>
              <w:rPr>
                <w:rFonts w:cs="Calibri"/>
                <w:color w:val="000000"/>
                <w:szCs w:val="24"/>
              </w:rPr>
            </w:pPr>
            <w:r w:rsidRPr="00D85916">
              <w:rPr>
                <w:rFonts w:cs="Calibri"/>
                <w:color w:val="000000"/>
                <w:szCs w:val="24"/>
              </w:rPr>
              <w:t>Used by statistical sampling to validate DOL-submitted reports</w:t>
            </w:r>
          </w:p>
        </w:tc>
      </w:tr>
      <w:tr w:rsidR="002B6D44" w:rsidRPr="00293F5E" w14:paraId="16499CD2" w14:textId="77777777" w:rsidTr="00336C8C">
        <w:trPr>
          <w:trHeight w:val="300"/>
        </w:trPr>
        <w:tc>
          <w:tcPr>
            <w:tcW w:w="691" w:type="dxa"/>
            <w:noWrap/>
            <w:vAlign w:val="center"/>
            <w:hideMark/>
          </w:tcPr>
          <w:p w14:paraId="261EE84B" w14:textId="77777777" w:rsidR="002B6D44" w:rsidRPr="00D85916" w:rsidRDefault="002B6D44" w:rsidP="00D85916">
            <w:pPr>
              <w:spacing w:after="0"/>
              <w:ind w:left="0"/>
              <w:jc w:val="center"/>
              <w:rPr>
                <w:rFonts w:cs="Calibri"/>
                <w:color w:val="000000"/>
                <w:szCs w:val="24"/>
              </w:rPr>
            </w:pPr>
            <w:r w:rsidRPr="00D85916">
              <w:rPr>
                <w:rFonts w:cs="Calibri"/>
                <w:color w:val="000000"/>
                <w:szCs w:val="24"/>
              </w:rPr>
              <w:t>15</w:t>
            </w:r>
          </w:p>
        </w:tc>
        <w:tc>
          <w:tcPr>
            <w:tcW w:w="1699" w:type="dxa"/>
            <w:noWrap/>
            <w:vAlign w:val="center"/>
            <w:hideMark/>
          </w:tcPr>
          <w:p w14:paraId="0AC243AA" w14:textId="77777777" w:rsidR="002B6D44" w:rsidRPr="00D85916" w:rsidRDefault="002B6D44" w:rsidP="00D85916">
            <w:pPr>
              <w:spacing w:after="0"/>
              <w:ind w:left="0"/>
              <w:rPr>
                <w:rFonts w:cs="Calibri"/>
                <w:color w:val="000000"/>
                <w:szCs w:val="24"/>
              </w:rPr>
            </w:pPr>
            <w:r w:rsidRPr="00D85916">
              <w:rPr>
                <w:rFonts w:cs="Calibri"/>
                <w:color w:val="000000"/>
                <w:szCs w:val="24"/>
              </w:rPr>
              <w:t>Monthly</w:t>
            </w:r>
          </w:p>
        </w:tc>
        <w:tc>
          <w:tcPr>
            <w:tcW w:w="1800" w:type="dxa"/>
            <w:noWrap/>
            <w:vAlign w:val="center"/>
            <w:hideMark/>
          </w:tcPr>
          <w:p w14:paraId="59AA8FFF" w14:textId="77777777" w:rsidR="002B6D44" w:rsidRPr="00D85916" w:rsidRDefault="002B6D44" w:rsidP="00D85916">
            <w:pPr>
              <w:spacing w:after="0"/>
              <w:ind w:left="0"/>
              <w:rPr>
                <w:rFonts w:cs="Calibri"/>
                <w:color w:val="000000"/>
                <w:szCs w:val="24"/>
              </w:rPr>
            </w:pPr>
            <w:r w:rsidRPr="00D85916">
              <w:rPr>
                <w:rFonts w:cs="Calibri"/>
                <w:color w:val="000000"/>
                <w:szCs w:val="24"/>
              </w:rPr>
              <w:t>Population 9</w:t>
            </w:r>
          </w:p>
        </w:tc>
        <w:tc>
          <w:tcPr>
            <w:tcW w:w="7072" w:type="dxa"/>
            <w:vAlign w:val="center"/>
            <w:hideMark/>
          </w:tcPr>
          <w:p w14:paraId="7F630F29" w14:textId="77777777" w:rsidR="002B6D44" w:rsidRPr="00D85916" w:rsidRDefault="002B6D44" w:rsidP="00D85916">
            <w:pPr>
              <w:spacing w:after="0"/>
              <w:ind w:left="0"/>
              <w:rPr>
                <w:rFonts w:cs="Calibri"/>
                <w:color w:val="000000"/>
                <w:szCs w:val="24"/>
              </w:rPr>
            </w:pPr>
            <w:r w:rsidRPr="00D85916">
              <w:rPr>
                <w:rFonts w:cs="Calibri"/>
                <w:color w:val="000000"/>
                <w:szCs w:val="24"/>
              </w:rPr>
              <w:t>Used by statistical sampling to validate DOL-submitted reports</w:t>
            </w:r>
          </w:p>
        </w:tc>
      </w:tr>
      <w:tr w:rsidR="002B6D44" w:rsidRPr="00293F5E" w14:paraId="239A45FF" w14:textId="77777777" w:rsidTr="00336C8C">
        <w:trPr>
          <w:trHeight w:val="300"/>
        </w:trPr>
        <w:tc>
          <w:tcPr>
            <w:tcW w:w="691" w:type="dxa"/>
            <w:noWrap/>
            <w:vAlign w:val="center"/>
            <w:hideMark/>
          </w:tcPr>
          <w:p w14:paraId="2111E0C2" w14:textId="77777777" w:rsidR="002B6D44" w:rsidRPr="00D85916" w:rsidRDefault="002B6D44" w:rsidP="00D85916">
            <w:pPr>
              <w:spacing w:after="0"/>
              <w:ind w:left="0"/>
              <w:jc w:val="center"/>
              <w:rPr>
                <w:rFonts w:cs="Calibri"/>
                <w:color w:val="000000"/>
                <w:szCs w:val="24"/>
              </w:rPr>
            </w:pPr>
            <w:r w:rsidRPr="00D85916">
              <w:rPr>
                <w:rFonts w:cs="Calibri"/>
                <w:color w:val="000000"/>
                <w:szCs w:val="24"/>
              </w:rPr>
              <w:t>16</w:t>
            </w:r>
          </w:p>
        </w:tc>
        <w:tc>
          <w:tcPr>
            <w:tcW w:w="1699" w:type="dxa"/>
            <w:noWrap/>
            <w:vAlign w:val="center"/>
            <w:hideMark/>
          </w:tcPr>
          <w:p w14:paraId="45E83C5B" w14:textId="77777777" w:rsidR="002B6D44" w:rsidRPr="00D85916" w:rsidRDefault="002B6D44" w:rsidP="00D85916">
            <w:pPr>
              <w:spacing w:after="0"/>
              <w:ind w:left="0"/>
              <w:rPr>
                <w:rFonts w:cs="Calibri"/>
                <w:color w:val="000000"/>
                <w:szCs w:val="24"/>
              </w:rPr>
            </w:pPr>
            <w:r w:rsidRPr="00D85916">
              <w:rPr>
                <w:rFonts w:cs="Calibri"/>
                <w:color w:val="000000"/>
                <w:szCs w:val="24"/>
              </w:rPr>
              <w:t>Monthly</w:t>
            </w:r>
          </w:p>
        </w:tc>
        <w:tc>
          <w:tcPr>
            <w:tcW w:w="1800" w:type="dxa"/>
            <w:noWrap/>
            <w:vAlign w:val="center"/>
            <w:hideMark/>
          </w:tcPr>
          <w:p w14:paraId="79604CA4" w14:textId="77777777" w:rsidR="002B6D44" w:rsidRPr="00D85916" w:rsidRDefault="002B6D44" w:rsidP="00D85916">
            <w:pPr>
              <w:spacing w:after="0"/>
              <w:ind w:left="0"/>
              <w:rPr>
                <w:rFonts w:cs="Calibri"/>
                <w:color w:val="000000"/>
                <w:szCs w:val="24"/>
              </w:rPr>
            </w:pPr>
            <w:r w:rsidRPr="00D85916">
              <w:rPr>
                <w:rFonts w:cs="Calibri"/>
                <w:color w:val="000000"/>
                <w:szCs w:val="24"/>
              </w:rPr>
              <w:t>Population 10</w:t>
            </w:r>
          </w:p>
        </w:tc>
        <w:tc>
          <w:tcPr>
            <w:tcW w:w="7072" w:type="dxa"/>
            <w:vAlign w:val="center"/>
            <w:hideMark/>
          </w:tcPr>
          <w:p w14:paraId="7E692AC2" w14:textId="77777777" w:rsidR="002B6D44" w:rsidRPr="00D85916" w:rsidRDefault="002B6D44" w:rsidP="00D85916">
            <w:pPr>
              <w:spacing w:after="0"/>
              <w:ind w:left="0"/>
              <w:rPr>
                <w:rFonts w:cs="Calibri"/>
                <w:color w:val="000000"/>
                <w:szCs w:val="24"/>
              </w:rPr>
            </w:pPr>
            <w:r w:rsidRPr="00D85916">
              <w:rPr>
                <w:rFonts w:cs="Calibri"/>
                <w:color w:val="000000"/>
                <w:szCs w:val="24"/>
              </w:rPr>
              <w:t>Used by statistical sampling to validate DOL-submitted reports</w:t>
            </w:r>
          </w:p>
        </w:tc>
      </w:tr>
      <w:tr w:rsidR="002B6D44" w:rsidRPr="00293F5E" w14:paraId="5A9293BA" w14:textId="77777777" w:rsidTr="00336C8C">
        <w:trPr>
          <w:trHeight w:val="300"/>
        </w:trPr>
        <w:tc>
          <w:tcPr>
            <w:tcW w:w="691" w:type="dxa"/>
            <w:noWrap/>
            <w:vAlign w:val="center"/>
            <w:hideMark/>
          </w:tcPr>
          <w:p w14:paraId="707C024E" w14:textId="77777777" w:rsidR="002B6D44" w:rsidRPr="00D85916" w:rsidRDefault="002B6D44" w:rsidP="00D85916">
            <w:pPr>
              <w:spacing w:after="0"/>
              <w:ind w:left="0"/>
              <w:jc w:val="center"/>
              <w:rPr>
                <w:rFonts w:cs="Calibri"/>
                <w:color w:val="000000"/>
                <w:szCs w:val="24"/>
              </w:rPr>
            </w:pPr>
            <w:r w:rsidRPr="00D85916">
              <w:rPr>
                <w:rFonts w:cs="Calibri"/>
                <w:color w:val="000000"/>
                <w:szCs w:val="24"/>
              </w:rPr>
              <w:t>17</w:t>
            </w:r>
          </w:p>
        </w:tc>
        <w:tc>
          <w:tcPr>
            <w:tcW w:w="1699" w:type="dxa"/>
            <w:noWrap/>
            <w:vAlign w:val="center"/>
            <w:hideMark/>
          </w:tcPr>
          <w:p w14:paraId="60714CCA" w14:textId="77777777" w:rsidR="002B6D44" w:rsidRPr="00D85916" w:rsidRDefault="002B6D44" w:rsidP="00D85916">
            <w:pPr>
              <w:spacing w:after="0"/>
              <w:ind w:left="0"/>
              <w:rPr>
                <w:rFonts w:cs="Calibri"/>
                <w:color w:val="000000"/>
                <w:szCs w:val="24"/>
              </w:rPr>
            </w:pPr>
            <w:r w:rsidRPr="00D85916">
              <w:rPr>
                <w:rFonts w:cs="Calibri"/>
                <w:color w:val="000000"/>
                <w:szCs w:val="24"/>
              </w:rPr>
              <w:t>Monthly</w:t>
            </w:r>
          </w:p>
        </w:tc>
        <w:tc>
          <w:tcPr>
            <w:tcW w:w="1800" w:type="dxa"/>
            <w:noWrap/>
            <w:vAlign w:val="center"/>
            <w:hideMark/>
          </w:tcPr>
          <w:p w14:paraId="759BD54B" w14:textId="77777777" w:rsidR="002B6D44" w:rsidRPr="00D85916" w:rsidRDefault="002B6D44" w:rsidP="00D85916">
            <w:pPr>
              <w:spacing w:after="0"/>
              <w:ind w:left="0"/>
              <w:rPr>
                <w:rFonts w:cs="Calibri"/>
                <w:color w:val="000000"/>
                <w:szCs w:val="24"/>
              </w:rPr>
            </w:pPr>
            <w:r w:rsidRPr="00D85916">
              <w:rPr>
                <w:rFonts w:cs="Calibri"/>
                <w:color w:val="000000"/>
                <w:szCs w:val="24"/>
              </w:rPr>
              <w:t>Population 11</w:t>
            </w:r>
          </w:p>
        </w:tc>
        <w:tc>
          <w:tcPr>
            <w:tcW w:w="7072" w:type="dxa"/>
            <w:vAlign w:val="center"/>
            <w:hideMark/>
          </w:tcPr>
          <w:p w14:paraId="76529E5F" w14:textId="77777777" w:rsidR="002B6D44" w:rsidRPr="00D85916" w:rsidRDefault="002B6D44" w:rsidP="00D85916">
            <w:pPr>
              <w:spacing w:after="0"/>
              <w:ind w:left="0"/>
              <w:rPr>
                <w:rFonts w:cs="Calibri"/>
                <w:color w:val="000000"/>
                <w:szCs w:val="24"/>
              </w:rPr>
            </w:pPr>
            <w:r w:rsidRPr="00D85916">
              <w:rPr>
                <w:rFonts w:cs="Calibri"/>
                <w:color w:val="000000"/>
                <w:szCs w:val="24"/>
              </w:rPr>
              <w:t>Used by statistical sampling to validate DOL-submitted reports</w:t>
            </w:r>
          </w:p>
        </w:tc>
      </w:tr>
      <w:tr w:rsidR="002B6D44" w:rsidRPr="00293F5E" w14:paraId="6CB98E80" w14:textId="77777777" w:rsidTr="00336C8C">
        <w:trPr>
          <w:trHeight w:val="300"/>
        </w:trPr>
        <w:tc>
          <w:tcPr>
            <w:tcW w:w="691" w:type="dxa"/>
            <w:noWrap/>
            <w:vAlign w:val="center"/>
          </w:tcPr>
          <w:p w14:paraId="443A3218" w14:textId="77777777" w:rsidR="002B6D44" w:rsidRPr="00D85916" w:rsidRDefault="002B6D44" w:rsidP="00D85916">
            <w:pPr>
              <w:spacing w:after="0"/>
              <w:ind w:left="0"/>
              <w:jc w:val="center"/>
              <w:rPr>
                <w:rFonts w:cs="Calibri"/>
                <w:color w:val="000000"/>
                <w:szCs w:val="24"/>
              </w:rPr>
            </w:pPr>
            <w:r w:rsidRPr="00D85916">
              <w:rPr>
                <w:rFonts w:cs="Calibri"/>
                <w:color w:val="000000"/>
                <w:szCs w:val="24"/>
              </w:rPr>
              <w:t>18</w:t>
            </w:r>
          </w:p>
        </w:tc>
        <w:tc>
          <w:tcPr>
            <w:tcW w:w="1699" w:type="dxa"/>
            <w:noWrap/>
            <w:vAlign w:val="center"/>
          </w:tcPr>
          <w:p w14:paraId="07A08F4D" w14:textId="77777777" w:rsidR="002B6D44" w:rsidRPr="00D85916" w:rsidRDefault="002B6D44" w:rsidP="00D85916">
            <w:pPr>
              <w:spacing w:after="0"/>
              <w:ind w:left="0"/>
              <w:rPr>
                <w:rFonts w:cs="Calibri"/>
                <w:color w:val="000000"/>
                <w:szCs w:val="24"/>
              </w:rPr>
            </w:pPr>
            <w:r w:rsidRPr="00D85916">
              <w:rPr>
                <w:rFonts w:cs="Calibri"/>
                <w:color w:val="000000"/>
                <w:szCs w:val="24"/>
              </w:rPr>
              <w:t>Monthly</w:t>
            </w:r>
          </w:p>
        </w:tc>
        <w:tc>
          <w:tcPr>
            <w:tcW w:w="1800" w:type="dxa"/>
            <w:noWrap/>
            <w:vAlign w:val="center"/>
          </w:tcPr>
          <w:p w14:paraId="35A62283" w14:textId="77777777" w:rsidR="002B6D44" w:rsidRPr="00D85916" w:rsidRDefault="002B6D44" w:rsidP="00D85916">
            <w:pPr>
              <w:spacing w:after="0"/>
              <w:ind w:left="0"/>
              <w:rPr>
                <w:rFonts w:cs="Calibri"/>
                <w:color w:val="000000"/>
                <w:szCs w:val="24"/>
              </w:rPr>
            </w:pPr>
            <w:r w:rsidRPr="00D85916">
              <w:rPr>
                <w:rFonts w:cs="Calibri"/>
                <w:color w:val="000000"/>
                <w:szCs w:val="24"/>
              </w:rPr>
              <w:t>Interagency memo</w:t>
            </w:r>
          </w:p>
        </w:tc>
        <w:tc>
          <w:tcPr>
            <w:tcW w:w="7072" w:type="dxa"/>
            <w:vAlign w:val="center"/>
          </w:tcPr>
          <w:p w14:paraId="4186D581" w14:textId="77777777" w:rsidR="002B6D44" w:rsidRPr="00D85916" w:rsidRDefault="002B6D44" w:rsidP="00D85916">
            <w:pPr>
              <w:spacing w:after="0"/>
              <w:ind w:left="0"/>
              <w:rPr>
                <w:rFonts w:cs="Calibri"/>
                <w:color w:val="000000"/>
                <w:szCs w:val="24"/>
              </w:rPr>
            </w:pPr>
            <w:r w:rsidRPr="00D85916">
              <w:rPr>
                <w:rFonts w:cs="Calibri"/>
                <w:color w:val="000000"/>
                <w:szCs w:val="24"/>
              </w:rPr>
              <w:t>Interagency memo to DOL to breakdown of cases addressed by Higher Level Appeals</w:t>
            </w:r>
          </w:p>
        </w:tc>
      </w:tr>
    </w:tbl>
    <w:p w14:paraId="259CC022" w14:textId="77777777" w:rsidR="002B6D44" w:rsidRDefault="002B6D44" w:rsidP="002B6D44"/>
    <w:p w14:paraId="0983A71B" w14:textId="77777777" w:rsidR="002B6D44" w:rsidRPr="002B6D44" w:rsidRDefault="002B6D44" w:rsidP="002B6D44">
      <w:pPr>
        <w:rPr>
          <w:rFonts w:eastAsia="Verdana,Times New Roman" w:cs="Verdana,Times New Roman"/>
          <w:b/>
          <w:bCs/>
          <w:u w:val="single"/>
        </w:rPr>
      </w:pPr>
      <w:r w:rsidRPr="002B6D44">
        <w:rPr>
          <w:rFonts w:eastAsia="Verdana,Times New Roman" w:cs="Verdana,Times New Roman"/>
          <w:b/>
          <w:bCs/>
          <w:u w:val="single"/>
        </w:rPr>
        <w:t>Management Reports</w:t>
      </w:r>
    </w:p>
    <w:tbl>
      <w:tblPr>
        <w:tblStyle w:val="TableGrid"/>
        <w:tblW w:w="11189" w:type="dxa"/>
        <w:tblInd w:w="-72" w:type="dxa"/>
        <w:tblLayout w:type="fixed"/>
        <w:tblLook w:val="04A0" w:firstRow="1" w:lastRow="0" w:firstColumn="1" w:lastColumn="0" w:noHBand="0" w:noVBand="1"/>
        <w:tblDescription w:val="Table of Appeals reports"/>
      </w:tblPr>
      <w:tblGrid>
        <w:gridCol w:w="687"/>
        <w:gridCol w:w="1689"/>
        <w:gridCol w:w="1789"/>
        <w:gridCol w:w="7024"/>
      </w:tblGrid>
      <w:tr w:rsidR="002B6D44" w:rsidRPr="005625A5" w14:paraId="16533A38" w14:textId="77777777" w:rsidTr="008A6EA1">
        <w:trPr>
          <w:trHeight w:val="258"/>
          <w:tblHeader/>
        </w:trPr>
        <w:tc>
          <w:tcPr>
            <w:tcW w:w="687" w:type="dxa"/>
            <w:shd w:val="clear" w:color="auto" w:fill="DEEAF6" w:themeFill="accent1" w:themeFillTint="33"/>
            <w:vAlign w:val="center"/>
          </w:tcPr>
          <w:p w14:paraId="1AAE669E" w14:textId="77777777" w:rsidR="002B6D44" w:rsidRPr="001A193D" w:rsidRDefault="002B6D44" w:rsidP="0052714F">
            <w:pPr>
              <w:spacing w:after="0"/>
              <w:ind w:left="0"/>
              <w:jc w:val="center"/>
              <w:rPr>
                <w:b/>
                <w:i/>
                <w:color w:val="1F3864" w:themeColor="accent5" w:themeShade="80"/>
              </w:rPr>
            </w:pPr>
            <w:r w:rsidRPr="001A193D">
              <w:rPr>
                <w:rFonts w:cs="Arial"/>
                <w:b/>
                <w:color w:val="1F3864" w:themeColor="accent5" w:themeShade="80"/>
              </w:rPr>
              <w:t>#</w:t>
            </w:r>
          </w:p>
        </w:tc>
        <w:tc>
          <w:tcPr>
            <w:tcW w:w="1689" w:type="dxa"/>
            <w:shd w:val="clear" w:color="auto" w:fill="DEEAF6" w:themeFill="accent1" w:themeFillTint="33"/>
            <w:vAlign w:val="center"/>
          </w:tcPr>
          <w:p w14:paraId="2FA36A88" w14:textId="77777777" w:rsidR="002B6D44" w:rsidRPr="001A193D" w:rsidRDefault="002B6D44" w:rsidP="00C744E7">
            <w:pPr>
              <w:spacing w:after="0"/>
              <w:ind w:left="0"/>
              <w:rPr>
                <w:b/>
                <w:i/>
                <w:color w:val="1F3864" w:themeColor="accent5" w:themeShade="80"/>
              </w:rPr>
            </w:pPr>
            <w:r w:rsidRPr="001A193D">
              <w:rPr>
                <w:rFonts w:cs="Arial"/>
                <w:b/>
                <w:color w:val="1F3864" w:themeColor="accent5" w:themeShade="80"/>
              </w:rPr>
              <w:t>Frequency</w:t>
            </w:r>
          </w:p>
        </w:tc>
        <w:tc>
          <w:tcPr>
            <w:tcW w:w="1789" w:type="dxa"/>
            <w:shd w:val="clear" w:color="auto" w:fill="DEEAF6" w:themeFill="accent1" w:themeFillTint="33"/>
            <w:vAlign w:val="center"/>
          </w:tcPr>
          <w:p w14:paraId="2B3AA08D" w14:textId="77777777" w:rsidR="002B6D44" w:rsidRPr="001A193D" w:rsidRDefault="002B6D44" w:rsidP="00C744E7">
            <w:pPr>
              <w:spacing w:after="0"/>
              <w:ind w:left="0"/>
              <w:rPr>
                <w:b/>
                <w:i/>
                <w:color w:val="1F3864" w:themeColor="accent5" w:themeShade="80"/>
              </w:rPr>
            </w:pPr>
            <w:r w:rsidRPr="001A193D">
              <w:rPr>
                <w:rFonts w:cs="Arial"/>
                <w:b/>
                <w:color w:val="1F3864" w:themeColor="accent5" w:themeShade="80"/>
              </w:rPr>
              <w:t>Name</w:t>
            </w:r>
          </w:p>
        </w:tc>
        <w:tc>
          <w:tcPr>
            <w:tcW w:w="7024" w:type="dxa"/>
            <w:shd w:val="clear" w:color="auto" w:fill="DEEAF6" w:themeFill="accent1" w:themeFillTint="33"/>
            <w:vAlign w:val="center"/>
          </w:tcPr>
          <w:p w14:paraId="032DFD18" w14:textId="77777777" w:rsidR="002B6D44" w:rsidRPr="001A193D" w:rsidRDefault="002B6D44" w:rsidP="00C744E7">
            <w:pPr>
              <w:spacing w:after="0"/>
              <w:ind w:left="0"/>
              <w:rPr>
                <w:b/>
                <w:i/>
                <w:color w:val="1F3864" w:themeColor="accent5" w:themeShade="80"/>
              </w:rPr>
            </w:pPr>
            <w:r w:rsidRPr="001A193D">
              <w:rPr>
                <w:rFonts w:cs="Arial"/>
                <w:b/>
                <w:color w:val="1F3864" w:themeColor="accent5" w:themeShade="80"/>
              </w:rPr>
              <w:t>Overview</w:t>
            </w:r>
          </w:p>
        </w:tc>
      </w:tr>
      <w:tr w:rsidR="00204A7A" w:rsidRPr="00293F5E" w14:paraId="64B89D46" w14:textId="77777777" w:rsidTr="007569F9">
        <w:trPr>
          <w:trHeight w:val="300"/>
        </w:trPr>
        <w:tc>
          <w:tcPr>
            <w:tcW w:w="687" w:type="dxa"/>
            <w:noWrap/>
            <w:vAlign w:val="center"/>
            <w:hideMark/>
          </w:tcPr>
          <w:p w14:paraId="11ED282D" w14:textId="5C677A1E" w:rsidR="00204A7A" w:rsidRPr="00277E2A" w:rsidRDefault="00204A7A" w:rsidP="00204A7A">
            <w:pPr>
              <w:spacing w:after="0"/>
              <w:ind w:left="0"/>
              <w:jc w:val="center"/>
              <w:rPr>
                <w:rFonts w:cs="Calibri"/>
                <w:color w:val="000000"/>
                <w:szCs w:val="24"/>
              </w:rPr>
            </w:pPr>
            <w:r>
              <w:rPr>
                <w:color w:val="000000"/>
                <w:szCs w:val="22"/>
              </w:rPr>
              <w:t>1</w:t>
            </w:r>
          </w:p>
        </w:tc>
        <w:tc>
          <w:tcPr>
            <w:tcW w:w="1689" w:type="dxa"/>
            <w:noWrap/>
            <w:vAlign w:val="center"/>
            <w:hideMark/>
          </w:tcPr>
          <w:p w14:paraId="522B08CF" w14:textId="77777777" w:rsidR="00204A7A" w:rsidRPr="00C744E7" w:rsidRDefault="00204A7A" w:rsidP="00204A7A">
            <w:pPr>
              <w:spacing w:after="0"/>
              <w:ind w:left="0"/>
              <w:rPr>
                <w:rFonts w:cs="Calibri"/>
                <w:color w:val="000000"/>
                <w:szCs w:val="24"/>
              </w:rPr>
            </w:pPr>
            <w:r w:rsidRPr="00C744E7">
              <w:rPr>
                <w:rFonts w:cs="Calibri"/>
                <w:color w:val="000000"/>
                <w:szCs w:val="24"/>
              </w:rPr>
              <w:t>On Demand</w:t>
            </w:r>
          </w:p>
        </w:tc>
        <w:tc>
          <w:tcPr>
            <w:tcW w:w="1789" w:type="dxa"/>
            <w:noWrap/>
            <w:vAlign w:val="center"/>
            <w:hideMark/>
          </w:tcPr>
          <w:p w14:paraId="57FDCB75" w14:textId="77777777" w:rsidR="00204A7A" w:rsidRPr="00C744E7" w:rsidRDefault="00204A7A" w:rsidP="00204A7A">
            <w:pPr>
              <w:spacing w:after="0"/>
              <w:ind w:left="0"/>
              <w:rPr>
                <w:rFonts w:cs="Calibri"/>
                <w:color w:val="000000"/>
                <w:szCs w:val="24"/>
              </w:rPr>
            </w:pPr>
            <w:r w:rsidRPr="00C744E7">
              <w:rPr>
                <w:rFonts w:cs="Calibri"/>
                <w:color w:val="000000"/>
                <w:szCs w:val="24"/>
              </w:rPr>
              <w:t>Alpha List</w:t>
            </w:r>
          </w:p>
        </w:tc>
        <w:tc>
          <w:tcPr>
            <w:tcW w:w="7024" w:type="dxa"/>
            <w:vAlign w:val="center"/>
            <w:hideMark/>
          </w:tcPr>
          <w:p w14:paraId="3E7334AD" w14:textId="77777777" w:rsidR="00204A7A" w:rsidRPr="00C744E7" w:rsidRDefault="00204A7A" w:rsidP="00204A7A">
            <w:pPr>
              <w:spacing w:after="0"/>
              <w:ind w:left="0"/>
              <w:rPr>
                <w:rFonts w:cs="Calibri"/>
                <w:color w:val="000000"/>
                <w:szCs w:val="24"/>
              </w:rPr>
            </w:pPr>
            <w:r w:rsidRPr="00C744E7">
              <w:rPr>
                <w:rFonts w:cs="Calibri"/>
                <w:color w:val="000000"/>
                <w:szCs w:val="24"/>
              </w:rPr>
              <w:t>Provides docket information for higher authority appeals based on claimant's last name</w:t>
            </w:r>
          </w:p>
        </w:tc>
      </w:tr>
      <w:tr w:rsidR="00204A7A" w:rsidRPr="00293F5E" w14:paraId="4DCD518F" w14:textId="77777777" w:rsidTr="007569F9">
        <w:trPr>
          <w:trHeight w:val="300"/>
        </w:trPr>
        <w:tc>
          <w:tcPr>
            <w:tcW w:w="687" w:type="dxa"/>
            <w:noWrap/>
            <w:vAlign w:val="center"/>
            <w:hideMark/>
          </w:tcPr>
          <w:p w14:paraId="19766AC3" w14:textId="7C16237C" w:rsidR="00204A7A" w:rsidRPr="00277E2A" w:rsidRDefault="00204A7A" w:rsidP="00204A7A">
            <w:pPr>
              <w:spacing w:after="0"/>
              <w:ind w:left="0"/>
              <w:jc w:val="center"/>
              <w:rPr>
                <w:rFonts w:cs="Calibri"/>
                <w:color w:val="000000"/>
                <w:szCs w:val="24"/>
              </w:rPr>
            </w:pPr>
            <w:r>
              <w:rPr>
                <w:szCs w:val="22"/>
              </w:rPr>
              <w:t>2</w:t>
            </w:r>
          </w:p>
        </w:tc>
        <w:tc>
          <w:tcPr>
            <w:tcW w:w="1689" w:type="dxa"/>
            <w:noWrap/>
            <w:vAlign w:val="center"/>
            <w:hideMark/>
          </w:tcPr>
          <w:p w14:paraId="6EEA76A1" w14:textId="77777777" w:rsidR="00204A7A" w:rsidRPr="00C744E7" w:rsidRDefault="00204A7A" w:rsidP="00204A7A">
            <w:pPr>
              <w:spacing w:after="0"/>
              <w:ind w:left="0"/>
              <w:rPr>
                <w:rFonts w:cs="Calibri"/>
                <w:color w:val="000000"/>
                <w:szCs w:val="24"/>
              </w:rPr>
            </w:pPr>
            <w:r w:rsidRPr="00C744E7">
              <w:rPr>
                <w:rFonts w:cs="Calibri"/>
                <w:color w:val="000000"/>
                <w:szCs w:val="24"/>
              </w:rPr>
              <w:t>On Demand</w:t>
            </w:r>
          </w:p>
        </w:tc>
        <w:tc>
          <w:tcPr>
            <w:tcW w:w="1789" w:type="dxa"/>
            <w:noWrap/>
            <w:vAlign w:val="center"/>
            <w:hideMark/>
          </w:tcPr>
          <w:p w14:paraId="33D5FCBE" w14:textId="77777777" w:rsidR="00204A7A" w:rsidRPr="00C744E7" w:rsidRDefault="00204A7A" w:rsidP="00204A7A">
            <w:pPr>
              <w:spacing w:after="0"/>
              <w:ind w:left="0"/>
              <w:rPr>
                <w:rFonts w:cs="Calibri"/>
                <w:color w:val="000000"/>
                <w:szCs w:val="24"/>
              </w:rPr>
            </w:pPr>
            <w:r w:rsidRPr="00C744E7">
              <w:rPr>
                <w:rFonts w:cs="Calibri"/>
                <w:color w:val="000000"/>
                <w:szCs w:val="24"/>
              </w:rPr>
              <w:t>Numeric List</w:t>
            </w:r>
          </w:p>
        </w:tc>
        <w:tc>
          <w:tcPr>
            <w:tcW w:w="7024" w:type="dxa"/>
            <w:vAlign w:val="center"/>
            <w:hideMark/>
          </w:tcPr>
          <w:p w14:paraId="334DE169" w14:textId="77777777" w:rsidR="00204A7A" w:rsidRPr="00C744E7" w:rsidRDefault="00204A7A" w:rsidP="00204A7A">
            <w:pPr>
              <w:spacing w:after="0"/>
              <w:ind w:left="0"/>
              <w:rPr>
                <w:rFonts w:cs="Calibri"/>
                <w:color w:val="000000"/>
                <w:szCs w:val="24"/>
              </w:rPr>
            </w:pPr>
            <w:r w:rsidRPr="00C744E7">
              <w:rPr>
                <w:rFonts w:cs="Calibri"/>
                <w:color w:val="000000"/>
                <w:szCs w:val="24"/>
              </w:rPr>
              <w:t>Provides docket information for higher authority appeals based on case number</w:t>
            </w:r>
          </w:p>
        </w:tc>
      </w:tr>
      <w:tr w:rsidR="00204A7A" w:rsidRPr="00293F5E" w14:paraId="3113E115" w14:textId="77777777" w:rsidTr="007569F9">
        <w:trPr>
          <w:trHeight w:val="300"/>
        </w:trPr>
        <w:tc>
          <w:tcPr>
            <w:tcW w:w="687" w:type="dxa"/>
            <w:noWrap/>
            <w:vAlign w:val="center"/>
            <w:hideMark/>
          </w:tcPr>
          <w:p w14:paraId="58BEC1AD" w14:textId="05BE1DD5" w:rsidR="00204A7A" w:rsidRPr="00277E2A" w:rsidRDefault="00204A7A" w:rsidP="00204A7A">
            <w:pPr>
              <w:spacing w:after="0"/>
              <w:ind w:left="0"/>
              <w:jc w:val="center"/>
              <w:rPr>
                <w:rFonts w:cs="Calibri"/>
                <w:color w:val="000000"/>
                <w:szCs w:val="24"/>
              </w:rPr>
            </w:pPr>
            <w:r>
              <w:rPr>
                <w:color w:val="000000"/>
                <w:szCs w:val="22"/>
              </w:rPr>
              <w:t>3</w:t>
            </w:r>
          </w:p>
        </w:tc>
        <w:tc>
          <w:tcPr>
            <w:tcW w:w="1689" w:type="dxa"/>
            <w:noWrap/>
            <w:vAlign w:val="center"/>
            <w:hideMark/>
          </w:tcPr>
          <w:p w14:paraId="2918E4D0" w14:textId="77777777" w:rsidR="00204A7A" w:rsidRPr="00C744E7" w:rsidRDefault="00204A7A" w:rsidP="00204A7A">
            <w:pPr>
              <w:spacing w:after="0"/>
              <w:ind w:left="0"/>
              <w:rPr>
                <w:rFonts w:cs="Calibri"/>
                <w:color w:val="000000"/>
                <w:szCs w:val="24"/>
              </w:rPr>
            </w:pPr>
            <w:r w:rsidRPr="00C744E7">
              <w:rPr>
                <w:rFonts w:cs="Calibri"/>
                <w:color w:val="000000"/>
                <w:szCs w:val="24"/>
              </w:rPr>
              <w:t>On Demand</w:t>
            </w:r>
          </w:p>
        </w:tc>
        <w:tc>
          <w:tcPr>
            <w:tcW w:w="1789" w:type="dxa"/>
            <w:noWrap/>
            <w:vAlign w:val="center"/>
            <w:hideMark/>
          </w:tcPr>
          <w:p w14:paraId="3B0EC6AC" w14:textId="77777777" w:rsidR="00204A7A" w:rsidRPr="00C744E7" w:rsidRDefault="00204A7A" w:rsidP="00204A7A">
            <w:pPr>
              <w:spacing w:after="0"/>
              <w:ind w:left="0"/>
              <w:rPr>
                <w:rFonts w:cs="Calibri"/>
                <w:color w:val="000000"/>
                <w:szCs w:val="24"/>
              </w:rPr>
            </w:pPr>
            <w:r w:rsidRPr="00C744E7">
              <w:rPr>
                <w:rFonts w:cs="Calibri"/>
                <w:color w:val="000000"/>
                <w:szCs w:val="24"/>
              </w:rPr>
              <w:t>Employer List</w:t>
            </w:r>
          </w:p>
        </w:tc>
        <w:tc>
          <w:tcPr>
            <w:tcW w:w="7024" w:type="dxa"/>
            <w:vAlign w:val="center"/>
            <w:hideMark/>
          </w:tcPr>
          <w:p w14:paraId="40E8766C" w14:textId="41D9BD1E" w:rsidR="00204A7A" w:rsidRPr="00C744E7" w:rsidRDefault="00204A7A" w:rsidP="00204A7A">
            <w:pPr>
              <w:spacing w:after="0"/>
              <w:ind w:left="0"/>
              <w:rPr>
                <w:rFonts w:cs="Calibri"/>
                <w:color w:val="000000"/>
                <w:szCs w:val="24"/>
              </w:rPr>
            </w:pPr>
            <w:r w:rsidRPr="00C744E7">
              <w:rPr>
                <w:rFonts w:cs="Calibri"/>
                <w:color w:val="000000"/>
                <w:szCs w:val="24"/>
              </w:rPr>
              <w:t xml:space="preserve">Provides docket information for higher authority appeals based on </w:t>
            </w:r>
            <w:r>
              <w:rPr>
                <w:rFonts w:cs="Calibri"/>
                <w:color w:val="000000"/>
                <w:szCs w:val="24"/>
              </w:rPr>
              <w:t xml:space="preserve">Employer </w:t>
            </w:r>
            <w:r w:rsidRPr="00C744E7">
              <w:rPr>
                <w:rFonts w:cs="Calibri"/>
                <w:color w:val="000000"/>
                <w:szCs w:val="24"/>
              </w:rPr>
              <w:t>name</w:t>
            </w:r>
          </w:p>
        </w:tc>
      </w:tr>
      <w:tr w:rsidR="00204A7A" w:rsidRPr="00293F5E" w14:paraId="2C6FED15" w14:textId="77777777" w:rsidTr="007569F9">
        <w:trPr>
          <w:trHeight w:val="300"/>
        </w:trPr>
        <w:tc>
          <w:tcPr>
            <w:tcW w:w="687" w:type="dxa"/>
            <w:noWrap/>
            <w:vAlign w:val="center"/>
            <w:hideMark/>
          </w:tcPr>
          <w:p w14:paraId="62AE9FEB" w14:textId="1959DBAF" w:rsidR="00204A7A" w:rsidRPr="00277E2A" w:rsidRDefault="00204A7A" w:rsidP="00204A7A">
            <w:pPr>
              <w:spacing w:after="0"/>
              <w:ind w:left="0"/>
              <w:jc w:val="center"/>
              <w:rPr>
                <w:rFonts w:cs="Calibri"/>
                <w:color w:val="000000"/>
                <w:szCs w:val="24"/>
              </w:rPr>
            </w:pPr>
            <w:r>
              <w:rPr>
                <w:szCs w:val="22"/>
              </w:rPr>
              <w:t>4</w:t>
            </w:r>
          </w:p>
        </w:tc>
        <w:tc>
          <w:tcPr>
            <w:tcW w:w="1689" w:type="dxa"/>
            <w:noWrap/>
            <w:vAlign w:val="center"/>
            <w:hideMark/>
          </w:tcPr>
          <w:p w14:paraId="6039EA89" w14:textId="77777777" w:rsidR="00204A7A" w:rsidRPr="00C744E7" w:rsidRDefault="00204A7A" w:rsidP="00204A7A">
            <w:pPr>
              <w:spacing w:after="0"/>
              <w:ind w:left="0"/>
              <w:rPr>
                <w:rFonts w:cs="Calibri"/>
                <w:color w:val="000000"/>
                <w:szCs w:val="24"/>
              </w:rPr>
            </w:pPr>
            <w:r w:rsidRPr="00C744E7">
              <w:rPr>
                <w:rFonts w:cs="Calibri"/>
                <w:color w:val="000000"/>
                <w:szCs w:val="24"/>
              </w:rPr>
              <w:t>On Demand</w:t>
            </w:r>
          </w:p>
        </w:tc>
        <w:tc>
          <w:tcPr>
            <w:tcW w:w="1789" w:type="dxa"/>
            <w:noWrap/>
            <w:vAlign w:val="center"/>
            <w:hideMark/>
          </w:tcPr>
          <w:p w14:paraId="28E786C0" w14:textId="77777777" w:rsidR="00204A7A" w:rsidRPr="00C744E7" w:rsidRDefault="00204A7A" w:rsidP="00204A7A">
            <w:pPr>
              <w:spacing w:after="0"/>
              <w:ind w:left="0"/>
              <w:rPr>
                <w:rFonts w:cs="Calibri"/>
                <w:color w:val="000000"/>
                <w:szCs w:val="24"/>
              </w:rPr>
            </w:pPr>
            <w:r w:rsidRPr="00C744E7">
              <w:rPr>
                <w:rFonts w:cs="Calibri"/>
                <w:color w:val="000000"/>
                <w:szCs w:val="24"/>
              </w:rPr>
              <w:t>Legal List</w:t>
            </w:r>
          </w:p>
        </w:tc>
        <w:tc>
          <w:tcPr>
            <w:tcW w:w="7024" w:type="dxa"/>
            <w:vAlign w:val="center"/>
            <w:hideMark/>
          </w:tcPr>
          <w:p w14:paraId="55294CB0" w14:textId="77777777" w:rsidR="00204A7A" w:rsidRPr="00C744E7" w:rsidRDefault="00204A7A" w:rsidP="00204A7A">
            <w:pPr>
              <w:spacing w:after="0"/>
              <w:ind w:left="0"/>
              <w:rPr>
                <w:rFonts w:cs="Calibri"/>
                <w:color w:val="000000"/>
                <w:szCs w:val="24"/>
              </w:rPr>
            </w:pPr>
            <w:r w:rsidRPr="00C744E7">
              <w:rPr>
                <w:rFonts w:cs="Calibri"/>
                <w:color w:val="000000"/>
                <w:szCs w:val="24"/>
              </w:rPr>
              <w:t>Provides docket information for higher authority appeals to transmit to the Secretary of State</w:t>
            </w:r>
          </w:p>
        </w:tc>
      </w:tr>
      <w:tr w:rsidR="00204A7A" w:rsidRPr="00293F5E" w14:paraId="6A604A23" w14:textId="77777777" w:rsidTr="007569F9">
        <w:trPr>
          <w:trHeight w:val="300"/>
        </w:trPr>
        <w:tc>
          <w:tcPr>
            <w:tcW w:w="687" w:type="dxa"/>
            <w:noWrap/>
            <w:vAlign w:val="center"/>
            <w:hideMark/>
          </w:tcPr>
          <w:p w14:paraId="5CE6FCBE" w14:textId="638885CA" w:rsidR="00204A7A" w:rsidRPr="00277E2A" w:rsidRDefault="00204A7A" w:rsidP="00204A7A">
            <w:pPr>
              <w:spacing w:after="0"/>
              <w:ind w:left="0"/>
              <w:jc w:val="center"/>
              <w:rPr>
                <w:rFonts w:cs="Calibri"/>
                <w:color w:val="000000"/>
                <w:szCs w:val="24"/>
              </w:rPr>
            </w:pPr>
            <w:r>
              <w:rPr>
                <w:color w:val="000000"/>
                <w:szCs w:val="22"/>
              </w:rPr>
              <w:t>5</w:t>
            </w:r>
          </w:p>
        </w:tc>
        <w:tc>
          <w:tcPr>
            <w:tcW w:w="1689" w:type="dxa"/>
            <w:noWrap/>
            <w:vAlign w:val="center"/>
            <w:hideMark/>
          </w:tcPr>
          <w:p w14:paraId="247AF51E" w14:textId="77777777" w:rsidR="00204A7A" w:rsidRPr="00C744E7" w:rsidRDefault="00204A7A" w:rsidP="00204A7A">
            <w:pPr>
              <w:spacing w:after="0"/>
              <w:ind w:left="0"/>
              <w:rPr>
                <w:rFonts w:cs="Calibri"/>
                <w:color w:val="000000"/>
                <w:szCs w:val="24"/>
              </w:rPr>
            </w:pPr>
            <w:r w:rsidRPr="00C744E7">
              <w:rPr>
                <w:rFonts w:cs="Calibri"/>
                <w:color w:val="000000"/>
                <w:szCs w:val="24"/>
              </w:rPr>
              <w:t>On Demand</w:t>
            </w:r>
          </w:p>
        </w:tc>
        <w:tc>
          <w:tcPr>
            <w:tcW w:w="1789" w:type="dxa"/>
            <w:noWrap/>
            <w:vAlign w:val="center"/>
            <w:hideMark/>
          </w:tcPr>
          <w:p w14:paraId="1C1A4F8D" w14:textId="77777777" w:rsidR="00204A7A" w:rsidRPr="00C744E7" w:rsidRDefault="00204A7A" w:rsidP="00204A7A">
            <w:pPr>
              <w:spacing w:after="0"/>
              <w:ind w:left="0"/>
              <w:rPr>
                <w:rFonts w:cs="Calibri"/>
                <w:color w:val="000000"/>
                <w:szCs w:val="24"/>
              </w:rPr>
            </w:pPr>
            <w:r w:rsidRPr="00C744E7">
              <w:rPr>
                <w:rFonts w:cs="Calibri"/>
                <w:color w:val="000000"/>
                <w:szCs w:val="24"/>
              </w:rPr>
              <w:t>Vote</w:t>
            </w:r>
          </w:p>
        </w:tc>
        <w:tc>
          <w:tcPr>
            <w:tcW w:w="7024" w:type="dxa"/>
            <w:vAlign w:val="center"/>
            <w:hideMark/>
          </w:tcPr>
          <w:p w14:paraId="386A8AEC" w14:textId="77777777" w:rsidR="00204A7A" w:rsidRPr="00C744E7" w:rsidRDefault="00204A7A" w:rsidP="00204A7A">
            <w:pPr>
              <w:spacing w:after="0"/>
              <w:ind w:left="0"/>
              <w:rPr>
                <w:rFonts w:cs="Calibri"/>
                <w:color w:val="000000"/>
                <w:szCs w:val="24"/>
              </w:rPr>
            </w:pPr>
            <w:r w:rsidRPr="00C744E7">
              <w:rPr>
                <w:rFonts w:cs="Calibri"/>
                <w:color w:val="000000"/>
                <w:szCs w:val="24"/>
              </w:rPr>
              <w:t>Provides docket information for higher authority appeals to record docket votes</w:t>
            </w:r>
          </w:p>
        </w:tc>
      </w:tr>
      <w:tr w:rsidR="00204A7A" w:rsidRPr="00293F5E" w14:paraId="0CFCBF1D" w14:textId="77777777" w:rsidTr="007569F9">
        <w:trPr>
          <w:trHeight w:val="300"/>
        </w:trPr>
        <w:tc>
          <w:tcPr>
            <w:tcW w:w="687" w:type="dxa"/>
            <w:noWrap/>
            <w:vAlign w:val="center"/>
            <w:hideMark/>
          </w:tcPr>
          <w:p w14:paraId="0B0908B8" w14:textId="0CC3807C" w:rsidR="00204A7A" w:rsidRPr="00277E2A" w:rsidRDefault="00204A7A" w:rsidP="00204A7A">
            <w:pPr>
              <w:spacing w:after="0"/>
              <w:ind w:left="0"/>
              <w:jc w:val="center"/>
              <w:rPr>
                <w:rFonts w:cs="Calibri"/>
                <w:color w:val="000000"/>
                <w:szCs w:val="24"/>
              </w:rPr>
            </w:pPr>
            <w:r>
              <w:rPr>
                <w:szCs w:val="22"/>
              </w:rPr>
              <w:t>6</w:t>
            </w:r>
          </w:p>
        </w:tc>
        <w:tc>
          <w:tcPr>
            <w:tcW w:w="1689" w:type="dxa"/>
            <w:noWrap/>
            <w:vAlign w:val="center"/>
            <w:hideMark/>
          </w:tcPr>
          <w:p w14:paraId="74A032D0" w14:textId="77777777" w:rsidR="00204A7A" w:rsidRPr="00C744E7" w:rsidRDefault="00204A7A" w:rsidP="00204A7A">
            <w:pPr>
              <w:spacing w:after="0"/>
              <w:ind w:left="0"/>
              <w:rPr>
                <w:rFonts w:cs="Calibri"/>
                <w:color w:val="000000"/>
                <w:szCs w:val="24"/>
              </w:rPr>
            </w:pPr>
            <w:r w:rsidRPr="00C744E7">
              <w:rPr>
                <w:rFonts w:cs="Calibri"/>
                <w:color w:val="000000"/>
                <w:szCs w:val="24"/>
              </w:rPr>
              <w:t>On Demand</w:t>
            </w:r>
          </w:p>
        </w:tc>
        <w:tc>
          <w:tcPr>
            <w:tcW w:w="1789" w:type="dxa"/>
            <w:noWrap/>
            <w:vAlign w:val="center"/>
            <w:hideMark/>
          </w:tcPr>
          <w:p w14:paraId="40CA49B4" w14:textId="77777777" w:rsidR="00204A7A" w:rsidRPr="00C744E7" w:rsidRDefault="00204A7A" w:rsidP="00204A7A">
            <w:pPr>
              <w:spacing w:after="0"/>
              <w:ind w:left="0"/>
              <w:rPr>
                <w:rFonts w:cs="Calibri"/>
                <w:color w:val="000000"/>
                <w:szCs w:val="24"/>
              </w:rPr>
            </w:pPr>
            <w:r w:rsidRPr="00C744E7">
              <w:rPr>
                <w:rFonts w:cs="Calibri"/>
                <w:color w:val="000000"/>
                <w:szCs w:val="24"/>
              </w:rPr>
              <w:t>Cases w/out Decisions</w:t>
            </w:r>
          </w:p>
        </w:tc>
        <w:tc>
          <w:tcPr>
            <w:tcW w:w="7024" w:type="dxa"/>
            <w:vAlign w:val="center"/>
            <w:hideMark/>
          </w:tcPr>
          <w:p w14:paraId="2B7A46D9" w14:textId="77777777" w:rsidR="00204A7A" w:rsidRPr="00C744E7" w:rsidRDefault="00204A7A" w:rsidP="00204A7A">
            <w:pPr>
              <w:spacing w:after="0"/>
              <w:ind w:left="0"/>
              <w:rPr>
                <w:rFonts w:cs="Calibri"/>
                <w:color w:val="000000"/>
                <w:szCs w:val="24"/>
              </w:rPr>
            </w:pPr>
            <w:r w:rsidRPr="00C744E7">
              <w:rPr>
                <w:rFonts w:cs="Calibri"/>
                <w:color w:val="000000"/>
                <w:szCs w:val="24"/>
              </w:rPr>
              <w:t>Provides backlog for higher authority appeals</w:t>
            </w:r>
          </w:p>
        </w:tc>
      </w:tr>
      <w:tr w:rsidR="00204A7A" w:rsidRPr="00293F5E" w14:paraId="224E722D" w14:textId="77777777" w:rsidTr="007569F9">
        <w:trPr>
          <w:trHeight w:val="300"/>
        </w:trPr>
        <w:tc>
          <w:tcPr>
            <w:tcW w:w="687" w:type="dxa"/>
            <w:noWrap/>
            <w:vAlign w:val="center"/>
            <w:hideMark/>
          </w:tcPr>
          <w:p w14:paraId="573C6B90" w14:textId="75C8C75D" w:rsidR="00204A7A" w:rsidRPr="00277E2A" w:rsidRDefault="00204A7A" w:rsidP="00204A7A">
            <w:pPr>
              <w:spacing w:after="0"/>
              <w:ind w:left="0"/>
              <w:jc w:val="center"/>
              <w:rPr>
                <w:rFonts w:cs="Calibri"/>
                <w:color w:val="000000"/>
                <w:szCs w:val="24"/>
              </w:rPr>
            </w:pPr>
            <w:r>
              <w:rPr>
                <w:color w:val="000000"/>
                <w:szCs w:val="22"/>
              </w:rPr>
              <w:t>7</w:t>
            </w:r>
          </w:p>
        </w:tc>
        <w:tc>
          <w:tcPr>
            <w:tcW w:w="1689" w:type="dxa"/>
            <w:noWrap/>
            <w:vAlign w:val="center"/>
            <w:hideMark/>
          </w:tcPr>
          <w:p w14:paraId="43F75DB6" w14:textId="77777777" w:rsidR="00204A7A" w:rsidRPr="00C744E7" w:rsidRDefault="00204A7A" w:rsidP="00204A7A">
            <w:pPr>
              <w:spacing w:after="0"/>
              <w:ind w:left="0"/>
              <w:rPr>
                <w:rFonts w:cs="Calibri"/>
                <w:color w:val="000000"/>
                <w:szCs w:val="24"/>
              </w:rPr>
            </w:pPr>
            <w:r w:rsidRPr="00C744E7">
              <w:rPr>
                <w:rFonts w:cs="Calibri"/>
                <w:color w:val="000000"/>
                <w:szCs w:val="24"/>
              </w:rPr>
              <w:t>On Demand</w:t>
            </w:r>
          </w:p>
        </w:tc>
        <w:tc>
          <w:tcPr>
            <w:tcW w:w="1789" w:type="dxa"/>
            <w:noWrap/>
            <w:vAlign w:val="center"/>
            <w:hideMark/>
          </w:tcPr>
          <w:p w14:paraId="03D2E643" w14:textId="77777777" w:rsidR="00204A7A" w:rsidRPr="00C744E7" w:rsidRDefault="00204A7A" w:rsidP="00204A7A">
            <w:pPr>
              <w:spacing w:after="0"/>
              <w:ind w:left="0"/>
              <w:rPr>
                <w:rFonts w:cs="Calibri"/>
                <w:color w:val="000000"/>
                <w:szCs w:val="24"/>
              </w:rPr>
            </w:pPr>
            <w:r w:rsidRPr="00C744E7">
              <w:rPr>
                <w:rFonts w:cs="Calibri"/>
                <w:color w:val="000000"/>
                <w:szCs w:val="24"/>
              </w:rPr>
              <w:t>Assignment/ Docket</w:t>
            </w:r>
          </w:p>
        </w:tc>
        <w:tc>
          <w:tcPr>
            <w:tcW w:w="7024" w:type="dxa"/>
            <w:vAlign w:val="center"/>
            <w:hideMark/>
          </w:tcPr>
          <w:p w14:paraId="4CD85555" w14:textId="77777777" w:rsidR="00204A7A" w:rsidRPr="00C744E7" w:rsidRDefault="00204A7A" w:rsidP="00204A7A">
            <w:pPr>
              <w:spacing w:after="0"/>
              <w:ind w:left="0"/>
              <w:rPr>
                <w:rFonts w:cs="Calibri"/>
                <w:color w:val="000000"/>
                <w:szCs w:val="24"/>
              </w:rPr>
            </w:pPr>
            <w:r w:rsidRPr="00C744E7">
              <w:rPr>
                <w:rFonts w:cs="Calibri"/>
                <w:color w:val="000000"/>
                <w:szCs w:val="24"/>
              </w:rPr>
              <w:t>List assigned higher authority appeals that did not meet target docket</w:t>
            </w:r>
          </w:p>
        </w:tc>
      </w:tr>
      <w:tr w:rsidR="00204A7A" w:rsidRPr="00293F5E" w14:paraId="696C9345" w14:textId="77777777" w:rsidTr="007569F9">
        <w:trPr>
          <w:trHeight w:val="300"/>
        </w:trPr>
        <w:tc>
          <w:tcPr>
            <w:tcW w:w="687" w:type="dxa"/>
            <w:noWrap/>
            <w:vAlign w:val="center"/>
            <w:hideMark/>
          </w:tcPr>
          <w:p w14:paraId="367EE916" w14:textId="2318C13E" w:rsidR="00204A7A" w:rsidRPr="00277E2A" w:rsidRDefault="00204A7A" w:rsidP="00204A7A">
            <w:pPr>
              <w:spacing w:after="0"/>
              <w:ind w:left="0"/>
              <w:jc w:val="center"/>
              <w:rPr>
                <w:rFonts w:cs="Calibri"/>
                <w:color w:val="000000"/>
                <w:szCs w:val="24"/>
              </w:rPr>
            </w:pPr>
            <w:r>
              <w:rPr>
                <w:szCs w:val="22"/>
              </w:rPr>
              <w:lastRenderedPageBreak/>
              <w:t>8</w:t>
            </w:r>
          </w:p>
        </w:tc>
        <w:tc>
          <w:tcPr>
            <w:tcW w:w="1689" w:type="dxa"/>
            <w:noWrap/>
            <w:vAlign w:val="center"/>
            <w:hideMark/>
          </w:tcPr>
          <w:p w14:paraId="3DC0C86F" w14:textId="77777777" w:rsidR="00204A7A" w:rsidRPr="00C744E7" w:rsidRDefault="00204A7A" w:rsidP="00204A7A">
            <w:pPr>
              <w:spacing w:after="0"/>
              <w:ind w:left="0"/>
              <w:rPr>
                <w:rFonts w:cs="Calibri"/>
                <w:color w:val="000000"/>
                <w:szCs w:val="24"/>
              </w:rPr>
            </w:pPr>
            <w:r w:rsidRPr="00C744E7">
              <w:rPr>
                <w:rFonts w:cs="Calibri"/>
                <w:color w:val="000000"/>
                <w:szCs w:val="24"/>
              </w:rPr>
              <w:t>On Demand</w:t>
            </w:r>
          </w:p>
        </w:tc>
        <w:tc>
          <w:tcPr>
            <w:tcW w:w="1789" w:type="dxa"/>
            <w:noWrap/>
            <w:vAlign w:val="center"/>
            <w:hideMark/>
          </w:tcPr>
          <w:p w14:paraId="27D62331" w14:textId="77777777" w:rsidR="00204A7A" w:rsidRPr="00C744E7" w:rsidRDefault="00204A7A" w:rsidP="00204A7A">
            <w:pPr>
              <w:spacing w:after="0"/>
              <w:ind w:left="0"/>
              <w:rPr>
                <w:rFonts w:cs="Calibri"/>
                <w:color w:val="000000"/>
                <w:szCs w:val="24"/>
              </w:rPr>
            </w:pPr>
            <w:r w:rsidRPr="00C744E7">
              <w:rPr>
                <w:rFonts w:cs="Calibri"/>
                <w:color w:val="000000"/>
                <w:szCs w:val="24"/>
              </w:rPr>
              <w:t>Details</w:t>
            </w:r>
          </w:p>
        </w:tc>
        <w:tc>
          <w:tcPr>
            <w:tcW w:w="7024" w:type="dxa"/>
            <w:vAlign w:val="center"/>
            <w:hideMark/>
          </w:tcPr>
          <w:p w14:paraId="5D10D29C" w14:textId="77777777" w:rsidR="00204A7A" w:rsidRPr="00C744E7" w:rsidRDefault="00204A7A" w:rsidP="00204A7A">
            <w:pPr>
              <w:spacing w:after="0"/>
              <w:ind w:left="0"/>
              <w:rPr>
                <w:rFonts w:cs="Calibri"/>
                <w:color w:val="000000"/>
                <w:szCs w:val="24"/>
              </w:rPr>
            </w:pPr>
            <w:r w:rsidRPr="00C744E7">
              <w:rPr>
                <w:rFonts w:cs="Calibri"/>
                <w:color w:val="000000"/>
                <w:szCs w:val="24"/>
              </w:rPr>
              <w:t>Provides a list of cases for a hearing officer in which the decision was not issued within three days of the hearing</w:t>
            </w:r>
          </w:p>
        </w:tc>
      </w:tr>
      <w:tr w:rsidR="00204A7A" w:rsidRPr="00293F5E" w14:paraId="32DE69DB" w14:textId="77777777" w:rsidTr="007569F9">
        <w:trPr>
          <w:trHeight w:val="300"/>
        </w:trPr>
        <w:tc>
          <w:tcPr>
            <w:tcW w:w="687" w:type="dxa"/>
            <w:noWrap/>
            <w:vAlign w:val="center"/>
            <w:hideMark/>
          </w:tcPr>
          <w:p w14:paraId="055AADCA" w14:textId="0E9887E7" w:rsidR="00204A7A" w:rsidRPr="00277E2A" w:rsidRDefault="00204A7A" w:rsidP="00204A7A">
            <w:pPr>
              <w:spacing w:after="0"/>
              <w:ind w:left="0"/>
              <w:jc w:val="center"/>
              <w:rPr>
                <w:rFonts w:cs="Calibri"/>
                <w:color w:val="000000"/>
                <w:szCs w:val="24"/>
              </w:rPr>
            </w:pPr>
            <w:r>
              <w:rPr>
                <w:color w:val="000000"/>
                <w:szCs w:val="22"/>
              </w:rPr>
              <w:t>9</w:t>
            </w:r>
          </w:p>
        </w:tc>
        <w:tc>
          <w:tcPr>
            <w:tcW w:w="1689" w:type="dxa"/>
            <w:noWrap/>
            <w:vAlign w:val="center"/>
            <w:hideMark/>
          </w:tcPr>
          <w:p w14:paraId="02C9CB32" w14:textId="77777777" w:rsidR="00204A7A" w:rsidRPr="00C744E7" w:rsidRDefault="00204A7A" w:rsidP="00204A7A">
            <w:pPr>
              <w:spacing w:after="0"/>
              <w:ind w:left="0"/>
              <w:rPr>
                <w:rFonts w:cs="Calibri"/>
                <w:color w:val="000000"/>
                <w:szCs w:val="24"/>
              </w:rPr>
            </w:pPr>
            <w:r w:rsidRPr="00C744E7">
              <w:rPr>
                <w:rFonts w:cs="Calibri"/>
                <w:color w:val="000000"/>
                <w:szCs w:val="24"/>
              </w:rPr>
              <w:t>On Demand</w:t>
            </w:r>
          </w:p>
        </w:tc>
        <w:tc>
          <w:tcPr>
            <w:tcW w:w="1789" w:type="dxa"/>
            <w:noWrap/>
            <w:vAlign w:val="center"/>
            <w:hideMark/>
          </w:tcPr>
          <w:p w14:paraId="1284E21B" w14:textId="77777777" w:rsidR="00204A7A" w:rsidRPr="00C744E7" w:rsidRDefault="00204A7A" w:rsidP="00204A7A">
            <w:pPr>
              <w:spacing w:after="0"/>
              <w:ind w:left="0"/>
              <w:rPr>
                <w:rFonts w:cs="Calibri"/>
                <w:color w:val="000000"/>
                <w:szCs w:val="24"/>
              </w:rPr>
            </w:pPr>
            <w:r w:rsidRPr="00C744E7">
              <w:rPr>
                <w:rFonts w:cs="Calibri"/>
                <w:color w:val="000000"/>
                <w:szCs w:val="24"/>
              </w:rPr>
              <w:t>Corrected Decision Details</w:t>
            </w:r>
          </w:p>
        </w:tc>
        <w:tc>
          <w:tcPr>
            <w:tcW w:w="7024" w:type="dxa"/>
            <w:vAlign w:val="center"/>
            <w:hideMark/>
          </w:tcPr>
          <w:p w14:paraId="0EE2EE58" w14:textId="77777777" w:rsidR="00204A7A" w:rsidRPr="00C744E7" w:rsidRDefault="00204A7A" w:rsidP="00204A7A">
            <w:pPr>
              <w:spacing w:after="0"/>
              <w:ind w:left="0"/>
              <w:rPr>
                <w:rFonts w:cs="Calibri"/>
                <w:color w:val="000000"/>
                <w:szCs w:val="24"/>
              </w:rPr>
            </w:pPr>
            <w:r w:rsidRPr="00C744E7">
              <w:rPr>
                <w:rFonts w:cs="Calibri"/>
                <w:color w:val="000000"/>
                <w:szCs w:val="24"/>
              </w:rPr>
              <w:t>Provides a list of corrected decisions by hearing officer</w:t>
            </w:r>
          </w:p>
        </w:tc>
      </w:tr>
      <w:tr w:rsidR="00204A7A" w:rsidRPr="00293F5E" w14:paraId="02BF7B29" w14:textId="77777777" w:rsidTr="007569F9">
        <w:trPr>
          <w:trHeight w:val="300"/>
        </w:trPr>
        <w:tc>
          <w:tcPr>
            <w:tcW w:w="687" w:type="dxa"/>
            <w:noWrap/>
            <w:vAlign w:val="center"/>
            <w:hideMark/>
          </w:tcPr>
          <w:p w14:paraId="673685F2" w14:textId="4AC54B9D" w:rsidR="00204A7A" w:rsidRPr="00277E2A" w:rsidRDefault="00204A7A" w:rsidP="00204A7A">
            <w:pPr>
              <w:spacing w:after="0"/>
              <w:ind w:left="0"/>
              <w:jc w:val="center"/>
              <w:rPr>
                <w:rFonts w:cs="Calibri"/>
                <w:color w:val="000000"/>
                <w:szCs w:val="24"/>
              </w:rPr>
            </w:pPr>
            <w:r>
              <w:rPr>
                <w:szCs w:val="22"/>
              </w:rPr>
              <w:t>10</w:t>
            </w:r>
          </w:p>
        </w:tc>
        <w:tc>
          <w:tcPr>
            <w:tcW w:w="1689" w:type="dxa"/>
            <w:noWrap/>
            <w:vAlign w:val="center"/>
            <w:hideMark/>
          </w:tcPr>
          <w:p w14:paraId="31BD73D9" w14:textId="77777777" w:rsidR="00204A7A" w:rsidRPr="00C744E7" w:rsidRDefault="00204A7A" w:rsidP="00204A7A">
            <w:pPr>
              <w:spacing w:after="0"/>
              <w:ind w:left="0"/>
              <w:rPr>
                <w:rFonts w:cs="Calibri"/>
                <w:color w:val="000000"/>
                <w:szCs w:val="24"/>
              </w:rPr>
            </w:pPr>
            <w:r w:rsidRPr="00C744E7">
              <w:rPr>
                <w:rFonts w:cs="Calibri"/>
                <w:color w:val="000000"/>
                <w:szCs w:val="24"/>
              </w:rPr>
              <w:t>On Demand</w:t>
            </w:r>
          </w:p>
        </w:tc>
        <w:tc>
          <w:tcPr>
            <w:tcW w:w="1789" w:type="dxa"/>
            <w:noWrap/>
            <w:vAlign w:val="center"/>
            <w:hideMark/>
          </w:tcPr>
          <w:p w14:paraId="4C122AFE" w14:textId="77777777" w:rsidR="00204A7A" w:rsidRPr="00C744E7" w:rsidRDefault="00204A7A" w:rsidP="00204A7A">
            <w:pPr>
              <w:spacing w:after="0"/>
              <w:ind w:left="0"/>
              <w:rPr>
                <w:rFonts w:cs="Calibri"/>
                <w:color w:val="000000"/>
                <w:szCs w:val="24"/>
              </w:rPr>
            </w:pPr>
            <w:r w:rsidRPr="00C744E7">
              <w:rPr>
                <w:rFonts w:cs="Calibri"/>
                <w:color w:val="000000"/>
                <w:szCs w:val="24"/>
              </w:rPr>
              <w:t>Cases Pended Report</w:t>
            </w:r>
          </w:p>
        </w:tc>
        <w:tc>
          <w:tcPr>
            <w:tcW w:w="7024" w:type="dxa"/>
            <w:vAlign w:val="center"/>
            <w:hideMark/>
          </w:tcPr>
          <w:p w14:paraId="70081FF9" w14:textId="0F7AD38F" w:rsidR="00204A7A" w:rsidRPr="00C744E7" w:rsidRDefault="00204A7A" w:rsidP="00204A7A">
            <w:pPr>
              <w:spacing w:after="0"/>
              <w:ind w:left="0"/>
              <w:rPr>
                <w:rFonts w:cs="Calibri"/>
                <w:color w:val="000000"/>
                <w:szCs w:val="24"/>
              </w:rPr>
            </w:pPr>
            <w:r w:rsidRPr="00C744E7">
              <w:rPr>
                <w:rFonts w:cs="Calibri"/>
                <w:color w:val="000000"/>
                <w:szCs w:val="24"/>
              </w:rPr>
              <w:t>Provides a list of pended cases</w:t>
            </w:r>
          </w:p>
        </w:tc>
      </w:tr>
      <w:tr w:rsidR="00204A7A" w:rsidRPr="00293F5E" w14:paraId="150E7D44" w14:textId="77777777" w:rsidTr="007569F9">
        <w:trPr>
          <w:trHeight w:val="300"/>
        </w:trPr>
        <w:tc>
          <w:tcPr>
            <w:tcW w:w="687" w:type="dxa"/>
            <w:noWrap/>
            <w:vAlign w:val="center"/>
            <w:hideMark/>
          </w:tcPr>
          <w:p w14:paraId="06E4965C" w14:textId="31D7AFEF" w:rsidR="00204A7A" w:rsidRPr="00277E2A" w:rsidRDefault="00204A7A" w:rsidP="00204A7A">
            <w:pPr>
              <w:spacing w:after="0"/>
              <w:ind w:left="0"/>
              <w:jc w:val="center"/>
              <w:rPr>
                <w:rFonts w:cs="Calibri"/>
                <w:color w:val="000000"/>
                <w:szCs w:val="24"/>
              </w:rPr>
            </w:pPr>
            <w:r>
              <w:rPr>
                <w:color w:val="000000"/>
                <w:szCs w:val="22"/>
              </w:rPr>
              <w:t>11</w:t>
            </w:r>
          </w:p>
        </w:tc>
        <w:tc>
          <w:tcPr>
            <w:tcW w:w="1689" w:type="dxa"/>
            <w:noWrap/>
            <w:vAlign w:val="center"/>
            <w:hideMark/>
          </w:tcPr>
          <w:p w14:paraId="0A68FF53" w14:textId="77777777" w:rsidR="00204A7A" w:rsidRPr="00C744E7" w:rsidRDefault="00204A7A" w:rsidP="00204A7A">
            <w:pPr>
              <w:spacing w:after="0"/>
              <w:ind w:left="0"/>
              <w:rPr>
                <w:rFonts w:cs="Calibri"/>
                <w:color w:val="000000"/>
                <w:szCs w:val="24"/>
              </w:rPr>
            </w:pPr>
            <w:r w:rsidRPr="00C744E7">
              <w:rPr>
                <w:rFonts w:cs="Calibri"/>
                <w:color w:val="000000"/>
                <w:szCs w:val="24"/>
              </w:rPr>
              <w:t>On Demand</w:t>
            </w:r>
          </w:p>
        </w:tc>
        <w:tc>
          <w:tcPr>
            <w:tcW w:w="1789" w:type="dxa"/>
            <w:noWrap/>
            <w:vAlign w:val="center"/>
            <w:hideMark/>
          </w:tcPr>
          <w:p w14:paraId="7917CA96" w14:textId="77777777" w:rsidR="00204A7A" w:rsidRPr="00C744E7" w:rsidRDefault="00204A7A" w:rsidP="00204A7A">
            <w:pPr>
              <w:spacing w:after="0"/>
              <w:ind w:left="0"/>
              <w:rPr>
                <w:rFonts w:cs="Calibri"/>
                <w:color w:val="000000"/>
                <w:szCs w:val="24"/>
              </w:rPr>
            </w:pPr>
            <w:r w:rsidRPr="00C744E7">
              <w:rPr>
                <w:rFonts w:cs="Calibri"/>
                <w:color w:val="000000"/>
                <w:szCs w:val="24"/>
              </w:rPr>
              <w:t>Creation Date &lt;=</w:t>
            </w:r>
          </w:p>
        </w:tc>
        <w:tc>
          <w:tcPr>
            <w:tcW w:w="7024" w:type="dxa"/>
            <w:vAlign w:val="center"/>
            <w:hideMark/>
          </w:tcPr>
          <w:p w14:paraId="20C3DD53" w14:textId="11705E10" w:rsidR="00204A7A" w:rsidRPr="00C744E7" w:rsidRDefault="00204A7A" w:rsidP="00204A7A">
            <w:pPr>
              <w:spacing w:after="0"/>
              <w:ind w:left="0"/>
              <w:rPr>
                <w:rFonts w:cs="Calibri"/>
                <w:color w:val="000000"/>
                <w:szCs w:val="24"/>
              </w:rPr>
            </w:pPr>
            <w:r w:rsidRPr="00C744E7">
              <w:rPr>
                <w:rFonts w:cs="Calibri"/>
                <w:color w:val="000000"/>
                <w:szCs w:val="24"/>
              </w:rPr>
              <w:t xml:space="preserve">Provides a list of appeals created by </w:t>
            </w:r>
            <w:r>
              <w:rPr>
                <w:rFonts w:cs="Calibri"/>
                <w:color w:val="000000"/>
                <w:szCs w:val="24"/>
              </w:rPr>
              <w:t xml:space="preserve">Employer </w:t>
            </w:r>
            <w:r w:rsidRPr="00C744E7">
              <w:rPr>
                <w:rFonts w:cs="Calibri"/>
                <w:color w:val="000000"/>
                <w:szCs w:val="24"/>
              </w:rPr>
              <w:t>account number</w:t>
            </w:r>
          </w:p>
        </w:tc>
      </w:tr>
      <w:tr w:rsidR="00204A7A" w:rsidRPr="00293F5E" w14:paraId="7298C75C" w14:textId="77777777" w:rsidTr="007569F9">
        <w:trPr>
          <w:trHeight w:val="300"/>
        </w:trPr>
        <w:tc>
          <w:tcPr>
            <w:tcW w:w="687" w:type="dxa"/>
            <w:noWrap/>
            <w:vAlign w:val="center"/>
            <w:hideMark/>
          </w:tcPr>
          <w:p w14:paraId="67E85173" w14:textId="226AEDA6" w:rsidR="00204A7A" w:rsidRPr="00277E2A" w:rsidRDefault="00204A7A" w:rsidP="00204A7A">
            <w:pPr>
              <w:spacing w:after="0"/>
              <w:ind w:left="0"/>
              <w:jc w:val="center"/>
              <w:rPr>
                <w:rFonts w:cs="Calibri"/>
                <w:color w:val="000000"/>
                <w:szCs w:val="24"/>
              </w:rPr>
            </w:pPr>
            <w:r>
              <w:rPr>
                <w:szCs w:val="22"/>
              </w:rPr>
              <w:t>12</w:t>
            </w:r>
          </w:p>
        </w:tc>
        <w:tc>
          <w:tcPr>
            <w:tcW w:w="1689" w:type="dxa"/>
            <w:noWrap/>
            <w:vAlign w:val="center"/>
            <w:hideMark/>
          </w:tcPr>
          <w:p w14:paraId="56898803" w14:textId="77777777" w:rsidR="00204A7A" w:rsidRPr="00C744E7" w:rsidRDefault="00204A7A" w:rsidP="00204A7A">
            <w:pPr>
              <w:spacing w:after="0"/>
              <w:ind w:left="0"/>
              <w:rPr>
                <w:rFonts w:cs="Calibri"/>
                <w:color w:val="000000"/>
                <w:szCs w:val="24"/>
              </w:rPr>
            </w:pPr>
            <w:r w:rsidRPr="00C744E7">
              <w:rPr>
                <w:rFonts w:cs="Calibri"/>
                <w:color w:val="000000"/>
                <w:szCs w:val="24"/>
              </w:rPr>
              <w:t>On Demand</w:t>
            </w:r>
          </w:p>
        </w:tc>
        <w:tc>
          <w:tcPr>
            <w:tcW w:w="1789" w:type="dxa"/>
            <w:noWrap/>
            <w:vAlign w:val="center"/>
            <w:hideMark/>
          </w:tcPr>
          <w:p w14:paraId="7533AFC2" w14:textId="77777777" w:rsidR="00204A7A" w:rsidRPr="00C744E7" w:rsidRDefault="00204A7A" w:rsidP="00204A7A">
            <w:pPr>
              <w:spacing w:after="0"/>
              <w:ind w:left="0"/>
              <w:rPr>
                <w:rFonts w:cs="Calibri"/>
                <w:color w:val="000000"/>
                <w:szCs w:val="24"/>
              </w:rPr>
            </w:pPr>
            <w:r w:rsidRPr="00C744E7">
              <w:rPr>
                <w:rFonts w:cs="Calibri"/>
                <w:color w:val="000000"/>
                <w:szCs w:val="24"/>
              </w:rPr>
              <w:t>Hearing Date =&gt;</w:t>
            </w:r>
          </w:p>
        </w:tc>
        <w:tc>
          <w:tcPr>
            <w:tcW w:w="7024" w:type="dxa"/>
            <w:vAlign w:val="center"/>
            <w:hideMark/>
          </w:tcPr>
          <w:p w14:paraId="5AEA890E" w14:textId="76C9092E" w:rsidR="00204A7A" w:rsidRPr="00C744E7" w:rsidRDefault="00204A7A" w:rsidP="00204A7A">
            <w:pPr>
              <w:spacing w:after="0"/>
              <w:ind w:left="0"/>
              <w:rPr>
                <w:rFonts w:cs="Calibri"/>
                <w:color w:val="000000"/>
                <w:szCs w:val="24"/>
              </w:rPr>
            </w:pPr>
            <w:r w:rsidRPr="00C744E7">
              <w:rPr>
                <w:rFonts w:cs="Calibri"/>
                <w:color w:val="000000"/>
                <w:szCs w:val="24"/>
              </w:rPr>
              <w:t xml:space="preserve">Provides a list of hearings by </w:t>
            </w:r>
            <w:r>
              <w:rPr>
                <w:rFonts w:cs="Calibri"/>
                <w:color w:val="000000"/>
                <w:szCs w:val="24"/>
              </w:rPr>
              <w:t xml:space="preserve">Employer </w:t>
            </w:r>
            <w:r w:rsidRPr="00C744E7">
              <w:rPr>
                <w:rFonts w:cs="Calibri"/>
                <w:color w:val="000000"/>
                <w:szCs w:val="24"/>
              </w:rPr>
              <w:t>account number</w:t>
            </w:r>
          </w:p>
        </w:tc>
      </w:tr>
      <w:tr w:rsidR="00204A7A" w:rsidRPr="00293F5E" w14:paraId="0E301E25" w14:textId="77777777" w:rsidTr="007569F9">
        <w:trPr>
          <w:trHeight w:val="300"/>
        </w:trPr>
        <w:tc>
          <w:tcPr>
            <w:tcW w:w="687" w:type="dxa"/>
            <w:noWrap/>
            <w:vAlign w:val="center"/>
            <w:hideMark/>
          </w:tcPr>
          <w:p w14:paraId="6A24F620" w14:textId="5AF12861" w:rsidR="00204A7A" w:rsidRPr="00277E2A" w:rsidRDefault="00204A7A" w:rsidP="00204A7A">
            <w:pPr>
              <w:spacing w:after="0"/>
              <w:ind w:left="0"/>
              <w:jc w:val="center"/>
              <w:rPr>
                <w:rFonts w:cs="Calibri"/>
                <w:color w:val="000000"/>
                <w:szCs w:val="24"/>
              </w:rPr>
            </w:pPr>
            <w:r>
              <w:rPr>
                <w:color w:val="000000"/>
                <w:szCs w:val="22"/>
              </w:rPr>
              <w:t>13</w:t>
            </w:r>
          </w:p>
        </w:tc>
        <w:tc>
          <w:tcPr>
            <w:tcW w:w="1689" w:type="dxa"/>
            <w:noWrap/>
            <w:vAlign w:val="center"/>
            <w:hideMark/>
          </w:tcPr>
          <w:p w14:paraId="2703246F" w14:textId="77777777" w:rsidR="00204A7A" w:rsidRPr="00C744E7" w:rsidRDefault="00204A7A" w:rsidP="00204A7A">
            <w:pPr>
              <w:spacing w:after="0"/>
              <w:ind w:left="0"/>
              <w:rPr>
                <w:rFonts w:cs="Calibri"/>
                <w:color w:val="000000"/>
                <w:szCs w:val="24"/>
              </w:rPr>
            </w:pPr>
            <w:r w:rsidRPr="00C744E7">
              <w:rPr>
                <w:rFonts w:cs="Calibri"/>
                <w:color w:val="000000"/>
                <w:szCs w:val="24"/>
              </w:rPr>
              <w:t>On Demand</w:t>
            </w:r>
          </w:p>
        </w:tc>
        <w:tc>
          <w:tcPr>
            <w:tcW w:w="1789" w:type="dxa"/>
            <w:noWrap/>
            <w:vAlign w:val="center"/>
            <w:hideMark/>
          </w:tcPr>
          <w:p w14:paraId="3E998500" w14:textId="77777777" w:rsidR="00204A7A" w:rsidRPr="00C744E7" w:rsidRDefault="00204A7A" w:rsidP="00204A7A">
            <w:pPr>
              <w:spacing w:after="0"/>
              <w:ind w:left="0"/>
              <w:rPr>
                <w:rFonts w:cs="Calibri"/>
                <w:color w:val="000000"/>
                <w:szCs w:val="24"/>
              </w:rPr>
            </w:pPr>
            <w:r w:rsidRPr="00C744E7">
              <w:rPr>
                <w:rFonts w:cs="Calibri"/>
                <w:color w:val="000000"/>
                <w:szCs w:val="24"/>
              </w:rPr>
              <w:t>Folder Labels</w:t>
            </w:r>
          </w:p>
        </w:tc>
        <w:tc>
          <w:tcPr>
            <w:tcW w:w="7024" w:type="dxa"/>
            <w:vAlign w:val="center"/>
            <w:hideMark/>
          </w:tcPr>
          <w:p w14:paraId="22902034" w14:textId="77777777" w:rsidR="00204A7A" w:rsidRPr="00C744E7" w:rsidRDefault="00204A7A" w:rsidP="00204A7A">
            <w:pPr>
              <w:spacing w:after="0"/>
              <w:ind w:left="0"/>
              <w:rPr>
                <w:rFonts w:cs="Calibri"/>
                <w:color w:val="000000"/>
                <w:szCs w:val="24"/>
              </w:rPr>
            </w:pPr>
            <w:r w:rsidRPr="00C744E7">
              <w:rPr>
                <w:rFonts w:cs="Calibri"/>
                <w:color w:val="000000"/>
                <w:szCs w:val="24"/>
              </w:rPr>
              <w:t>Provides labels for folder creation - on tab; will be replaced with electronic case file</w:t>
            </w:r>
          </w:p>
        </w:tc>
      </w:tr>
      <w:tr w:rsidR="00204A7A" w:rsidRPr="00293F5E" w14:paraId="7EE6514E" w14:textId="77777777" w:rsidTr="007569F9">
        <w:trPr>
          <w:trHeight w:val="300"/>
        </w:trPr>
        <w:tc>
          <w:tcPr>
            <w:tcW w:w="687" w:type="dxa"/>
            <w:noWrap/>
            <w:vAlign w:val="center"/>
            <w:hideMark/>
          </w:tcPr>
          <w:p w14:paraId="67012E35" w14:textId="51A8CC80" w:rsidR="00204A7A" w:rsidRPr="00277E2A" w:rsidRDefault="00204A7A" w:rsidP="00204A7A">
            <w:pPr>
              <w:spacing w:after="0"/>
              <w:ind w:left="0"/>
              <w:jc w:val="center"/>
              <w:rPr>
                <w:rFonts w:cs="Calibri"/>
                <w:color w:val="000000"/>
                <w:szCs w:val="24"/>
              </w:rPr>
            </w:pPr>
            <w:r>
              <w:rPr>
                <w:szCs w:val="22"/>
              </w:rPr>
              <w:t>14</w:t>
            </w:r>
          </w:p>
        </w:tc>
        <w:tc>
          <w:tcPr>
            <w:tcW w:w="1689" w:type="dxa"/>
            <w:noWrap/>
            <w:vAlign w:val="center"/>
            <w:hideMark/>
          </w:tcPr>
          <w:p w14:paraId="33568D02" w14:textId="77777777" w:rsidR="00204A7A" w:rsidRPr="00C744E7" w:rsidRDefault="00204A7A" w:rsidP="00204A7A">
            <w:pPr>
              <w:spacing w:after="0"/>
              <w:ind w:left="0"/>
              <w:rPr>
                <w:rFonts w:cs="Calibri"/>
                <w:color w:val="000000"/>
                <w:szCs w:val="24"/>
              </w:rPr>
            </w:pPr>
            <w:r w:rsidRPr="00C744E7">
              <w:rPr>
                <w:rFonts w:cs="Calibri"/>
                <w:color w:val="000000"/>
                <w:szCs w:val="24"/>
              </w:rPr>
              <w:t>On Demand</w:t>
            </w:r>
          </w:p>
        </w:tc>
        <w:tc>
          <w:tcPr>
            <w:tcW w:w="1789" w:type="dxa"/>
            <w:noWrap/>
            <w:vAlign w:val="center"/>
            <w:hideMark/>
          </w:tcPr>
          <w:p w14:paraId="1A6C52D5" w14:textId="77777777" w:rsidR="00204A7A" w:rsidRPr="00C744E7" w:rsidRDefault="00204A7A" w:rsidP="00204A7A">
            <w:pPr>
              <w:spacing w:after="0"/>
              <w:ind w:left="0"/>
              <w:rPr>
                <w:rFonts w:cs="Calibri"/>
                <w:color w:val="000000"/>
                <w:szCs w:val="24"/>
              </w:rPr>
            </w:pPr>
            <w:r w:rsidRPr="00C744E7">
              <w:rPr>
                <w:rFonts w:cs="Calibri"/>
                <w:color w:val="000000"/>
                <w:szCs w:val="24"/>
              </w:rPr>
              <w:t>Hearing Labels</w:t>
            </w:r>
          </w:p>
        </w:tc>
        <w:tc>
          <w:tcPr>
            <w:tcW w:w="7024" w:type="dxa"/>
            <w:vAlign w:val="center"/>
            <w:hideMark/>
          </w:tcPr>
          <w:p w14:paraId="48B26555" w14:textId="77777777" w:rsidR="00204A7A" w:rsidRPr="00C744E7" w:rsidRDefault="00204A7A" w:rsidP="00204A7A">
            <w:pPr>
              <w:spacing w:after="0"/>
              <w:ind w:left="0"/>
              <w:rPr>
                <w:rFonts w:cs="Calibri"/>
                <w:color w:val="000000"/>
                <w:szCs w:val="24"/>
              </w:rPr>
            </w:pPr>
            <w:r w:rsidRPr="00C744E7">
              <w:rPr>
                <w:rFonts w:cs="Calibri"/>
                <w:color w:val="000000"/>
                <w:szCs w:val="24"/>
              </w:rPr>
              <w:t>Provides labels for folder creation - on front; will be replaced with electronic case file</w:t>
            </w:r>
          </w:p>
        </w:tc>
      </w:tr>
      <w:tr w:rsidR="00204A7A" w:rsidRPr="00293F5E" w14:paraId="26018EC8" w14:textId="77777777" w:rsidTr="007569F9">
        <w:trPr>
          <w:trHeight w:val="300"/>
        </w:trPr>
        <w:tc>
          <w:tcPr>
            <w:tcW w:w="687" w:type="dxa"/>
            <w:noWrap/>
            <w:vAlign w:val="center"/>
            <w:hideMark/>
          </w:tcPr>
          <w:p w14:paraId="64CA1EF6" w14:textId="2A414A8D" w:rsidR="00204A7A" w:rsidRPr="00277E2A" w:rsidRDefault="00204A7A" w:rsidP="00204A7A">
            <w:pPr>
              <w:spacing w:after="0"/>
              <w:ind w:left="0"/>
              <w:jc w:val="center"/>
              <w:rPr>
                <w:rFonts w:cs="Calibri"/>
                <w:color w:val="000000"/>
                <w:szCs w:val="24"/>
              </w:rPr>
            </w:pPr>
            <w:r>
              <w:rPr>
                <w:color w:val="000000"/>
                <w:szCs w:val="22"/>
              </w:rPr>
              <w:t>15</w:t>
            </w:r>
          </w:p>
        </w:tc>
        <w:tc>
          <w:tcPr>
            <w:tcW w:w="1689" w:type="dxa"/>
            <w:noWrap/>
            <w:vAlign w:val="center"/>
            <w:hideMark/>
          </w:tcPr>
          <w:p w14:paraId="3912A680" w14:textId="77777777" w:rsidR="00204A7A" w:rsidRPr="00C744E7" w:rsidRDefault="00204A7A" w:rsidP="00204A7A">
            <w:pPr>
              <w:spacing w:after="0"/>
              <w:ind w:left="0"/>
              <w:rPr>
                <w:rFonts w:cs="Calibri"/>
                <w:color w:val="000000"/>
                <w:szCs w:val="24"/>
              </w:rPr>
            </w:pPr>
            <w:r w:rsidRPr="00C744E7">
              <w:rPr>
                <w:rFonts w:cs="Calibri"/>
                <w:color w:val="000000"/>
                <w:szCs w:val="24"/>
              </w:rPr>
              <w:t>On Demand</w:t>
            </w:r>
          </w:p>
        </w:tc>
        <w:tc>
          <w:tcPr>
            <w:tcW w:w="1789" w:type="dxa"/>
            <w:noWrap/>
            <w:vAlign w:val="center"/>
            <w:hideMark/>
          </w:tcPr>
          <w:p w14:paraId="1B8A3BE4" w14:textId="77777777" w:rsidR="00204A7A" w:rsidRPr="00C744E7" w:rsidRDefault="00204A7A" w:rsidP="00204A7A">
            <w:pPr>
              <w:spacing w:after="0"/>
              <w:ind w:left="0"/>
              <w:rPr>
                <w:rFonts w:cs="Calibri"/>
                <w:color w:val="000000"/>
                <w:szCs w:val="24"/>
              </w:rPr>
            </w:pPr>
            <w:r w:rsidRPr="00C744E7">
              <w:rPr>
                <w:rFonts w:cs="Calibri"/>
                <w:color w:val="000000"/>
                <w:szCs w:val="24"/>
              </w:rPr>
              <w:t>Exhibit Labels</w:t>
            </w:r>
          </w:p>
        </w:tc>
        <w:tc>
          <w:tcPr>
            <w:tcW w:w="7024" w:type="dxa"/>
            <w:vAlign w:val="center"/>
            <w:hideMark/>
          </w:tcPr>
          <w:p w14:paraId="212866EE" w14:textId="77777777" w:rsidR="00204A7A" w:rsidRPr="00C744E7" w:rsidRDefault="00204A7A" w:rsidP="00204A7A">
            <w:pPr>
              <w:spacing w:after="0"/>
              <w:ind w:left="0"/>
              <w:rPr>
                <w:rFonts w:cs="Calibri"/>
                <w:color w:val="000000"/>
                <w:szCs w:val="24"/>
              </w:rPr>
            </w:pPr>
            <w:r w:rsidRPr="00C744E7">
              <w:rPr>
                <w:rFonts w:cs="Calibri"/>
                <w:color w:val="000000"/>
                <w:szCs w:val="24"/>
              </w:rPr>
              <w:t>Provides exhibit stickers to mark exhibits during the hearing</w:t>
            </w:r>
          </w:p>
        </w:tc>
      </w:tr>
      <w:tr w:rsidR="00204A7A" w:rsidRPr="00293F5E" w14:paraId="3D8029BE" w14:textId="77777777" w:rsidTr="007569F9">
        <w:trPr>
          <w:trHeight w:val="300"/>
        </w:trPr>
        <w:tc>
          <w:tcPr>
            <w:tcW w:w="687" w:type="dxa"/>
            <w:noWrap/>
            <w:vAlign w:val="center"/>
            <w:hideMark/>
          </w:tcPr>
          <w:p w14:paraId="609481C5" w14:textId="1591E2E3" w:rsidR="00204A7A" w:rsidRPr="00277E2A" w:rsidRDefault="00204A7A" w:rsidP="00204A7A">
            <w:pPr>
              <w:spacing w:after="0"/>
              <w:ind w:left="0"/>
              <w:jc w:val="center"/>
              <w:rPr>
                <w:rFonts w:cs="Calibri"/>
                <w:color w:val="000000"/>
                <w:szCs w:val="24"/>
              </w:rPr>
            </w:pPr>
            <w:r>
              <w:rPr>
                <w:szCs w:val="22"/>
              </w:rPr>
              <w:t>16</w:t>
            </w:r>
          </w:p>
        </w:tc>
        <w:tc>
          <w:tcPr>
            <w:tcW w:w="1689" w:type="dxa"/>
            <w:noWrap/>
            <w:vAlign w:val="center"/>
            <w:hideMark/>
          </w:tcPr>
          <w:p w14:paraId="3C43483F" w14:textId="77777777" w:rsidR="00204A7A" w:rsidRPr="00C744E7" w:rsidRDefault="00204A7A" w:rsidP="00204A7A">
            <w:pPr>
              <w:spacing w:after="0"/>
              <w:ind w:left="0"/>
              <w:rPr>
                <w:rFonts w:cs="Calibri"/>
                <w:color w:val="000000"/>
                <w:szCs w:val="24"/>
              </w:rPr>
            </w:pPr>
            <w:r w:rsidRPr="00C744E7">
              <w:rPr>
                <w:rFonts w:cs="Calibri"/>
                <w:color w:val="000000"/>
                <w:szCs w:val="24"/>
              </w:rPr>
              <w:t>On Demand</w:t>
            </w:r>
          </w:p>
        </w:tc>
        <w:tc>
          <w:tcPr>
            <w:tcW w:w="1789" w:type="dxa"/>
            <w:noWrap/>
            <w:vAlign w:val="center"/>
            <w:hideMark/>
          </w:tcPr>
          <w:p w14:paraId="7C375F04" w14:textId="77777777" w:rsidR="00204A7A" w:rsidRPr="00C744E7" w:rsidRDefault="00204A7A" w:rsidP="00204A7A">
            <w:pPr>
              <w:spacing w:after="0"/>
              <w:ind w:left="0"/>
              <w:rPr>
                <w:rFonts w:cs="Calibri"/>
                <w:color w:val="000000"/>
                <w:szCs w:val="24"/>
              </w:rPr>
            </w:pPr>
            <w:r w:rsidRPr="00C744E7">
              <w:rPr>
                <w:rFonts w:cs="Calibri"/>
                <w:color w:val="000000"/>
                <w:szCs w:val="24"/>
              </w:rPr>
              <w:t>DUA and DI Statistics</w:t>
            </w:r>
          </w:p>
        </w:tc>
        <w:tc>
          <w:tcPr>
            <w:tcW w:w="7024" w:type="dxa"/>
            <w:vAlign w:val="center"/>
            <w:hideMark/>
          </w:tcPr>
          <w:p w14:paraId="73451D41" w14:textId="32BA2B79" w:rsidR="00204A7A" w:rsidRPr="00C744E7" w:rsidRDefault="00204A7A" w:rsidP="00204A7A">
            <w:pPr>
              <w:spacing w:after="0"/>
              <w:ind w:left="0"/>
              <w:rPr>
                <w:rFonts w:cs="Calibri"/>
                <w:color w:val="000000"/>
                <w:szCs w:val="24"/>
              </w:rPr>
            </w:pPr>
            <w:r w:rsidRPr="00C744E7">
              <w:rPr>
                <w:rFonts w:cs="Calibri"/>
                <w:color w:val="000000"/>
                <w:szCs w:val="24"/>
              </w:rPr>
              <w:t>Provides a summary of DUA and Disaster-Impacted (DI) appeals; includes rulings, decision type, and other details</w:t>
            </w:r>
          </w:p>
        </w:tc>
      </w:tr>
      <w:tr w:rsidR="00204A7A" w:rsidRPr="00293F5E" w14:paraId="5C5D43F1" w14:textId="77777777" w:rsidTr="007569F9">
        <w:trPr>
          <w:trHeight w:val="300"/>
        </w:trPr>
        <w:tc>
          <w:tcPr>
            <w:tcW w:w="687" w:type="dxa"/>
            <w:noWrap/>
            <w:vAlign w:val="center"/>
            <w:hideMark/>
          </w:tcPr>
          <w:p w14:paraId="78CE43D9" w14:textId="2EF3B6FA" w:rsidR="00204A7A" w:rsidRPr="00277E2A" w:rsidRDefault="00204A7A" w:rsidP="00204A7A">
            <w:pPr>
              <w:spacing w:after="0"/>
              <w:ind w:left="0"/>
              <w:jc w:val="center"/>
              <w:rPr>
                <w:rFonts w:cs="Calibri"/>
                <w:color w:val="000000"/>
                <w:szCs w:val="24"/>
              </w:rPr>
            </w:pPr>
            <w:r>
              <w:rPr>
                <w:color w:val="000000"/>
                <w:szCs w:val="22"/>
              </w:rPr>
              <w:t>17</w:t>
            </w:r>
          </w:p>
        </w:tc>
        <w:tc>
          <w:tcPr>
            <w:tcW w:w="1689" w:type="dxa"/>
            <w:noWrap/>
            <w:vAlign w:val="center"/>
            <w:hideMark/>
          </w:tcPr>
          <w:p w14:paraId="1C0DD644" w14:textId="77777777" w:rsidR="00204A7A" w:rsidRPr="00C744E7" w:rsidRDefault="00204A7A" w:rsidP="00204A7A">
            <w:pPr>
              <w:spacing w:after="0"/>
              <w:ind w:left="0"/>
              <w:rPr>
                <w:rFonts w:cs="Calibri"/>
                <w:color w:val="000000"/>
                <w:szCs w:val="24"/>
              </w:rPr>
            </w:pPr>
            <w:r w:rsidRPr="00C744E7">
              <w:rPr>
                <w:rFonts w:cs="Calibri"/>
                <w:color w:val="000000"/>
                <w:szCs w:val="24"/>
              </w:rPr>
              <w:t>Daily</w:t>
            </w:r>
          </w:p>
        </w:tc>
        <w:tc>
          <w:tcPr>
            <w:tcW w:w="1789" w:type="dxa"/>
            <w:vAlign w:val="center"/>
            <w:hideMark/>
          </w:tcPr>
          <w:p w14:paraId="59E1C10C" w14:textId="77777777" w:rsidR="00204A7A" w:rsidRPr="00C744E7" w:rsidRDefault="00204A7A" w:rsidP="00204A7A">
            <w:pPr>
              <w:spacing w:after="0"/>
              <w:ind w:left="0"/>
              <w:rPr>
                <w:rFonts w:cs="Calibri"/>
                <w:color w:val="000000"/>
                <w:szCs w:val="24"/>
              </w:rPr>
            </w:pPr>
            <w:r w:rsidRPr="00C744E7">
              <w:rPr>
                <w:rFonts w:cs="Calibri"/>
                <w:color w:val="000000"/>
                <w:szCs w:val="24"/>
              </w:rPr>
              <w:t>Online Appeals Last Confirmation Number Per Day</w:t>
            </w:r>
          </w:p>
        </w:tc>
        <w:tc>
          <w:tcPr>
            <w:tcW w:w="7024" w:type="dxa"/>
            <w:vAlign w:val="center"/>
            <w:hideMark/>
          </w:tcPr>
          <w:p w14:paraId="44B7DB1A" w14:textId="77777777" w:rsidR="00204A7A" w:rsidRPr="00C744E7" w:rsidRDefault="00204A7A" w:rsidP="00204A7A">
            <w:pPr>
              <w:spacing w:after="0"/>
              <w:ind w:left="0"/>
              <w:rPr>
                <w:rFonts w:cs="Calibri"/>
                <w:color w:val="000000"/>
                <w:szCs w:val="24"/>
              </w:rPr>
            </w:pPr>
            <w:r w:rsidRPr="00C744E7">
              <w:rPr>
                <w:rFonts w:cs="Calibri"/>
                <w:color w:val="000000"/>
                <w:szCs w:val="24"/>
              </w:rPr>
              <w:t>Lists range of online appeals per day to assist with appeal timeframes</w:t>
            </w:r>
          </w:p>
        </w:tc>
      </w:tr>
      <w:tr w:rsidR="00204A7A" w:rsidRPr="00293F5E" w14:paraId="1E7235A6" w14:textId="77777777" w:rsidTr="007569F9">
        <w:trPr>
          <w:trHeight w:val="300"/>
        </w:trPr>
        <w:tc>
          <w:tcPr>
            <w:tcW w:w="687" w:type="dxa"/>
            <w:noWrap/>
            <w:vAlign w:val="center"/>
            <w:hideMark/>
          </w:tcPr>
          <w:p w14:paraId="01046A0B" w14:textId="094FD7B5" w:rsidR="00204A7A" w:rsidRPr="00277E2A" w:rsidRDefault="00204A7A" w:rsidP="00204A7A">
            <w:pPr>
              <w:spacing w:after="0"/>
              <w:ind w:left="0"/>
              <w:jc w:val="center"/>
              <w:rPr>
                <w:rFonts w:cs="Calibri"/>
                <w:color w:val="000000"/>
                <w:szCs w:val="24"/>
              </w:rPr>
            </w:pPr>
            <w:r>
              <w:rPr>
                <w:szCs w:val="22"/>
              </w:rPr>
              <w:t>18</w:t>
            </w:r>
          </w:p>
        </w:tc>
        <w:tc>
          <w:tcPr>
            <w:tcW w:w="1689" w:type="dxa"/>
            <w:noWrap/>
            <w:vAlign w:val="center"/>
            <w:hideMark/>
          </w:tcPr>
          <w:p w14:paraId="2164D448" w14:textId="77777777" w:rsidR="00204A7A" w:rsidRPr="00C744E7" w:rsidRDefault="00204A7A" w:rsidP="00204A7A">
            <w:pPr>
              <w:spacing w:after="0"/>
              <w:ind w:left="0"/>
              <w:rPr>
                <w:rFonts w:cs="Calibri"/>
                <w:color w:val="000000"/>
                <w:szCs w:val="24"/>
              </w:rPr>
            </w:pPr>
            <w:r w:rsidRPr="00C744E7">
              <w:rPr>
                <w:rFonts w:cs="Calibri"/>
                <w:color w:val="000000"/>
                <w:szCs w:val="24"/>
              </w:rPr>
              <w:t>Daily</w:t>
            </w:r>
          </w:p>
        </w:tc>
        <w:tc>
          <w:tcPr>
            <w:tcW w:w="1789" w:type="dxa"/>
            <w:noWrap/>
            <w:vAlign w:val="center"/>
            <w:hideMark/>
          </w:tcPr>
          <w:p w14:paraId="34308F0C" w14:textId="77777777" w:rsidR="00204A7A" w:rsidRPr="00C744E7" w:rsidRDefault="00204A7A" w:rsidP="00204A7A">
            <w:pPr>
              <w:spacing w:after="0"/>
              <w:ind w:left="0"/>
              <w:rPr>
                <w:rFonts w:cs="Calibri"/>
                <w:color w:val="000000"/>
                <w:szCs w:val="24"/>
              </w:rPr>
            </w:pPr>
            <w:r w:rsidRPr="00C744E7">
              <w:rPr>
                <w:rFonts w:cs="Calibri"/>
                <w:color w:val="000000"/>
                <w:szCs w:val="24"/>
              </w:rPr>
              <w:t>AT Active Appeals Without Hearings</w:t>
            </w:r>
          </w:p>
        </w:tc>
        <w:tc>
          <w:tcPr>
            <w:tcW w:w="7024" w:type="dxa"/>
            <w:vAlign w:val="center"/>
            <w:hideMark/>
          </w:tcPr>
          <w:p w14:paraId="45EC89E0" w14:textId="74621BB4" w:rsidR="00204A7A" w:rsidRPr="00C744E7" w:rsidRDefault="00204A7A" w:rsidP="00204A7A">
            <w:pPr>
              <w:spacing w:after="0"/>
              <w:ind w:left="0"/>
              <w:rPr>
                <w:rFonts w:cs="Calibri"/>
                <w:color w:val="000000"/>
                <w:szCs w:val="24"/>
              </w:rPr>
            </w:pPr>
            <w:r w:rsidRPr="00C744E7">
              <w:rPr>
                <w:rFonts w:cs="Calibri"/>
                <w:color w:val="000000"/>
                <w:szCs w:val="24"/>
              </w:rPr>
              <w:t>Identifies potential errors with case processing (no</w:t>
            </w:r>
            <w:r w:rsidR="00FA2BCD">
              <w:rPr>
                <w:rFonts w:cs="Calibri"/>
                <w:color w:val="000000"/>
                <w:szCs w:val="24"/>
              </w:rPr>
              <w:t xml:space="preserve"> hearing created for an appeal)</w:t>
            </w:r>
          </w:p>
        </w:tc>
      </w:tr>
      <w:tr w:rsidR="00204A7A" w:rsidRPr="00293F5E" w14:paraId="22828308" w14:textId="77777777" w:rsidTr="007569F9">
        <w:trPr>
          <w:trHeight w:val="300"/>
        </w:trPr>
        <w:tc>
          <w:tcPr>
            <w:tcW w:w="687" w:type="dxa"/>
            <w:noWrap/>
            <w:vAlign w:val="center"/>
            <w:hideMark/>
          </w:tcPr>
          <w:p w14:paraId="1E80E63E" w14:textId="0D69922D" w:rsidR="00204A7A" w:rsidRPr="00277E2A" w:rsidRDefault="00204A7A" w:rsidP="00204A7A">
            <w:pPr>
              <w:spacing w:after="0"/>
              <w:ind w:left="0"/>
              <w:jc w:val="center"/>
              <w:rPr>
                <w:rFonts w:cs="Calibri"/>
                <w:color w:val="000000"/>
                <w:szCs w:val="24"/>
              </w:rPr>
            </w:pPr>
            <w:r>
              <w:rPr>
                <w:color w:val="000000"/>
                <w:szCs w:val="22"/>
              </w:rPr>
              <w:t>19</w:t>
            </w:r>
          </w:p>
        </w:tc>
        <w:tc>
          <w:tcPr>
            <w:tcW w:w="1689" w:type="dxa"/>
            <w:noWrap/>
            <w:vAlign w:val="center"/>
            <w:hideMark/>
          </w:tcPr>
          <w:p w14:paraId="520D9032" w14:textId="77777777" w:rsidR="00204A7A" w:rsidRPr="00C744E7" w:rsidRDefault="00204A7A" w:rsidP="00204A7A">
            <w:pPr>
              <w:spacing w:after="0"/>
              <w:ind w:left="0"/>
              <w:rPr>
                <w:rFonts w:cs="Calibri"/>
                <w:color w:val="000000"/>
                <w:szCs w:val="24"/>
              </w:rPr>
            </w:pPr>
            <w:r w:rsidRPr="00C744E7">
              <w:rPr>
                <w:rFonts w:cs="Calibri"/>
                <w:color w:val="000000"/>
                <w:szCs w:val="24"/>
              </w:rPr>
              <w:t>Daily</w:t>
            </w:r>
          </w:p>
        </w:tc>
        <w:tc>
          <w:tcPr>
            <w:tcW w:w="1789" w:type="dxa"/>
            <w:noWrap/>
            <w:vAlign w:val="center"/>
            <w:hideMark/>
          </w:tcPr>
          <w:p w14:paraId="6D61A66D" w14:textId="77777777" w:rsidR="00204A7A" w:rsidRPr="00C744E7" w:rsidRDefault="00204A7A" w:rsidP="00204A7A">
            <w:pPr>
              <w:spacing w:after="0"/>
              <w:ind w:left="0"/>
              <w:rPr>
                <w:rFonts w:cs="Calibri"/>
                <w:color w:val="000000"/>
                <w:szCs w:val="24"/>
              </w:rPr>
            </w:pPr>
            <w:r w:rsidRPr="00C744E7">
              <w:rPr>
                <w:rFonts w:cs="Calibri"/>
                <w:color w:val="000000"/>
                <w:szCs w:val="24"/>
              </w:rPr>
              <w:t>Decisions Printed Count</w:t>
            </w:r>
          </w:p>
        </w:tc>
        <w:tc>
          <w:tcPr>
            <w:tcW w:w="7024" w:type="dxa"/>
            <w:vAlign w:val="center"/>
            <w:hideMark/>
          </w:tcPr>
          <w:p w14:paraId="563AA2C0" w14:textId="77777777" w:rsidR="00204A7A" w:rsidRPr="00C744E7" w:rsidRDefault="00204A7A" w:rsidP="00204A7A">
            <w:pPr>
              <w:spacing w:after="0"/>
              <w:ind w:left="0"/>
              <w:rPr>
                <w:rFonts w:cs="Calibri"/>
                <w:color w:val="000000"/>
                <w:szCs w:val="24"/>
              </w:rPr>
            </w:pPr>
            <w:r w:rsidRPr="00C744E7">
              <w:rPr>
                <w:rFonts w:cs="Calibri"/>
                <w:color w:val="000000"/>
                <w:szCs w:val="24"/>
              </w:rPr>
              <w:t>Number of decisions printed each day to validate with state printing agency</w:t>
            </w:r>
          </w:p>
        </w:tc>
      </w:tr>
      <w:tr w:rsidR="00204A7A" w:rsidRPr="00293F5E" w14:paraId="3F685802" w14:textId="77777777" w:rsidTr="007569F9">
        <w:trPr>
          <w:trHeight w:val="300"/>
        </w:trPr>
        <w:tc>
          <w:tcPr>
            <w:tcW w:w="687" w:type="dxa"/>
            <w:noWrap/>
            <w:vAlign w:val="center"/>
            <w:hideMark/>
          </w:tcPr>
          <w:p w14:paraId="03E9973C" w14:textId="3C1A4F08" w:rsidR="00204A7A" w:rsidRPr="00277E2A" w:rsidRDefault="00204A7A" w:rsidP="00204A7A">
            <w:pPr>
              <w:spacing w:after="0"/>
              <w:ind w:left="0"/>
              <w:jc w:val="center"/>
              <w:rPr>
                <w:rFonts w:cs="Calibri"/>
                <w:color w:val="000000"/>
                <w:szCs w:val="24"/>
              </w:rPr>
            </w:pPr>
            <w:r>
              <w:rPr>
                <w:szCs w:val="22"/>
              </w:rPr>
              <w:t>20</w:t>
            </w:r>
          </w:p>
        </w:tc>
        <w:tc>
          <w:tcPr>
            <w:tcW w:w="1689" w:type="dxa"/>
            <w:noWrap/>
            <w:vAlign w:val="center"/>
            <w:hideMark/>
          </w:tcPr>
          <w:p w14:paraId="335B9DA8" w14:textId="77777777" w:rsidR="00204A7A" w:rsidRPr="00C744E7" w:rsidRDefault="00204A7A" w:rsidP="00204A7A">
            <w:pPr>
              <w:spacing w:after="0"/>
              <w:ind w:left="0"/>
              <w:rPr>
                <w:rFonts w:cs="Calibri"/>
                <w:color w:val="000000"/>
                <w:szCs w:val="24"/>
              </w:rPr>
            </w:pPr>
            <w:r w:rsidRPr="00C744E7">
              <w:rPr>
                <w:rFonts w:cs="Calibri"/>
                <w:color w:val="000000"/>
                <w:szCs w:val="24"/>
              </w:rPr>
              <w:t>Daily</w:t>
            </w:r>
          </w:p>
        </w:tc>
        <w:tc>
          <w:tcPr>
            <w:tcW w:w="1789" w:type="dxa"/>
            <w:noWrap/>
            <w:vAlign w:val="center"/>
            <w:hideMark/>
          </w:tcPr>
          <w:p w14:paraId="5CBC0D19" w14:textId="77777777" w:rsidR="00204A7A" w:rsidRPr="00C744E7" w:rsidRDefault="00204A7A" w:rsidP="00204A7A">
            <w:pPr>
              <w:spacing w:after="0"/>
              <w:ind w:left="0"/>
              <w:rPr>
                <w:rFonts w:cs="Calibri"/>
                <w:color w:val="000000"/>
                <w:szCs w:val="24"/>
              </w:rPr>
            </w:pPr>
            <w:r w:rsidRPr="00C744E7">
              <w:rPr>
                <w:rFonts w:cs="Calibri"/>
                <w:color w:val="000000"/>
                <w:szCs w:val="24"/>
              </w:rPr>
              <w:t>Web Appeals Statistics AT</w:t>
            </w:r>
          </w:p>
        </w:tc>
        <w:tc>
          <w:tcPr>
            <w:tcW w:w="7024" w:type="dxa"/>
            <w:vAlign w:val="center"/>
            <w:hideMark/>
          </w:tcPr>
          <w:p w14:paraId="354F5478" w14:textId="77777777" w:rsidR="00204A7A" w:rsidRPr="00C744E7" w:rsidRDefault="00204A7A" w:rsidP="00204A7A">
            <w:pPr>
              <w:spacing w:after="0"/>
              <w:ind w:left="0"/>
              <w:rPr>
                <w:rFonts w:cs="Calibri"/>
                <w:color w:val="000000"/>
                <w:szCs w:val="24"/>
              </w:rPr>
            </w:pPr>
            <w:r w:rsidRPr="00C744E7">
              <w:rPr>
                <w:rFonts w:cs="Calibri"/>
                <w:color w:val="000000"/>
                <w:szCs w:val="24"/>
              </w:rPr>
              <w:t>Identifies the number of online appeals received, re-routed, completed, and completed without creating an appeal (Lower Authority)</w:t>
            </w:r>
          </w:p>
        </w:tc>
      </w:tr>
      <w:tr w:rsidR="00204A7A" w:rsidRPr="00293F5E" w14:paraId="4B7F4D8B" w14:textId="77777777" w:rsidTr="007569F9">
        <w:trPr>
          <w:trHeight w:val="300"/>
        </w:trPr>
        <w:tc>
          <w:tcPr>
            <w:tcW w:w="687" w:type="dxa"/>
            <w:noWrap/>
            <w:vAlign w:val="center"/>
            <w:hideMark/>
          </w:tcPr>
          <w:p w14:paraId="21052B75" w14:textId="0FE1F846" w:rsidR="00204A7A" w:rsidRPr="00277E2A" w:rsidRDefault="00204A7A" w:rsidP="00204A7A">
            <w:pPr>
              <w:spacing w:after="0"/>
              <w:ind w:left="0"/>
              <w:jc w:val="center"/>
              <w:rPr>
                <w:rFonts w:cs="Calibri"/>
                <w:color w:val="000000"/>
                <w:szCs w:val="24"/>
              </w:rPr>
            </w:pPr>
            <w:r>
              <w:rPr>
                <w:color w:val="000000"/>
                <w:szCs w:val="22"/>
              </w:rPr>
              <w:t>21</w:t>
            </w:r>
          </w:p>
        </w:tc>
        <w:tc>
          <w:tcPr>
            <w:tcW w:w="1689" w:type="dxa"/>
            <w:noWrap/>
            <w:vAlign w:val="center"/>
            <w:hideMark/>
          </w:tcPr>
          <w:p w14:paraId="5E60DC1A" w14:textId="77777777" w:rsidR="00204A7A" w:rsidRPr="00C744E7" w:rsidRDefault="00204A7A" w:rsidP="00204A7A">
            <w:pPr>
              <w:spacing w:after="0"/>
              <w:ind w:left="0"/>
              <w:rPr>
                <w:rFonts w:cs="Calibri"/>
                <w:color w:val="000000"/>
                <w:szCs w:val="24"/>
              </w:rPr>
            </w:pPr>
            <w:r w:rsidRPr="00C744E7">
              <w:rPr>
                <w:rFonts w:cs="Calibri"/>
                <w:color w:val="000000"/>
                <w:szCs w:val="24"/>
              </w:rPr>
              <w:t>Daily</w:t>
            </w:r>
          </w:p>
        </w:tc>
        <w:tc>
          <w:tcPr>
            <w:tcW w:w="1789" w:type="dxa"/>
            <w:noWrap/>
            <w:vAlign w:val="center"/>
            <w:hideMark/>
          </w:tcPr>
          <w:p w14:paraId="44E8BEEA" w14:textId="77777777" w:rsidR="00204A7A" w:rsidRPr="00C744E7" w:rsidRDefault="00204A7A" w:rsidP="00204A7A">
            <w:pPr>
              <w:spacing w:after="0"/>
              <w:ind w:left="0"/>
              <w:rPr>
                <w:rFonts w:cs="Calibri"/>
                <w:color w:val="000000"/>
                <w:szCs w:val="24"/>
              </w:rPr>
            </w:pPr>
            <w:r w:rsidRPr="00C744E7">
              <w:rPr>
                <w:rFonts w:cs="Calibri"/>
                <w:color w:val="000000"/>
                <w:szCs w:val="24"/>
              </w:rPr>
              <w:t>Web Appeals Statistics CA</w:t>
            </w:r>
          </w:p>
        </w:tc>
        <w:tc>
          <w:tcPr>
            <w:tcW w:w="7024" w:type="dxa"/>
            <w:vAlign w:val="center"/>
            <w:hideMark/>
          </w:tcPr>
          <w:p w14:paraId="2FF0FF4F" w14:textId="77777777" w:rsidR="00204A7A" w:rsidRPr="00C744E7" w:rsidRDefault="00204A7A" w:rsidP="00204A7A">
            <w:pPr>
              <w:spacing w:after="0"/>
              <w:ind w:left="0"/>
              <w:rPr>
                <w:rFonts w:cs="Calibri"/>
                <w:color w:val="000000"/>
                <w:szCs w:val="24"/>
              </w:rPr>
            </w:pPr>
            <w:r w:rsidRPr="00C744E7">
              <w:rPr>
                <w:rFonts w:cs="Calibri"/>
                <w:color w:val="000000"/>
                <w:szCs w:val="24"/>
              </w:rPr>
              <w:t>Identifies the number of online appeals received, re-routed, completed, and completed without creating an appeal (Higher Authority)</w:t>
            </w:r>
          </w:p>
        </w:tc>
      </w:tr>
      <w:tr w:rsidR="00204A7A" w:rsidRPr="00293F5E" w14:paraId="63B32523" w14:textId="77777777" w:rsidTr="007569F9">
        <w:trPr>
          <w:trHeight w:val="315"/>
        </w:trPr>
        <w:tc>
          <w:tcPr>
            <w:tcW w:w="687" w:type="dxa"/>
            <w:noWrap/>
            <w:vAlign w:val="center"/>
            <w:hideMark/>
          </w:tcPr>
          <w:p w14:paraId="6DCEB126" w14:textId="38A1798F" w:rsidR="00204A7A" w:rsidRPr="00277E2A" w:rsidRDefault="00204A7A" w:rsidP="00204A7A">
            <w:pPr>
              <w:spacing w:after="0"/>
              <w:ind w:left="0"/>
              <w:jc w:val="center"/>
              <w:rPr>
                <w:rFonts w:cs="Calibri"/>
                <w:color w:val="000000"/>
                <w:szCs w:val="24"/>
              </w:rPr>
            </w:pPr>
            <w:r>
              <w:rPr>
                <w:szCs w:val="22"/>
              </w:rPr>
              <w:t>22</w:t>
            </w:r>
          </w:p>
        </w:tc>
        <w:tc>
          <w:tcPr>
            <w:tcW w:w="1689" w:type="dxa"/>
            <w:noWrap/>
            <w:vAlign w:val="center"/>
            <w:hideMark/>
          </w:tcPr>
          <w:p w14:paraId="2D6EEEF9" w14:textId="77777777" w:rsidR="00204A7A" w:rsidRPr="00C744E7" w:rsidRDefault="00204A7A" w:rsidP="00204A7A">
            <w:pPr>
              <w:spacing w:after="0"/>
              <w:ind w:left="0"/>
              <w:rPr>
                <w:rFonts w:cs="Calibri"/>
                <w:color w:val="000000"/>
                <w:szCs w:val="24"/>
              </w:rPr>
            </w:pPr>
            <w:r w:rsidRPr="00C744E7">
              <w:rPr>
                <w:rFonts w:cs="Calibri"/>
                <w:color w:val="000000"/>
                <w:szCs w:val="24"/>
              </w:rPr>
              <w:t>Daily</w:t>
            </w:r>
          </w:p>
        </w:tc>
        <w:tc>
          <w:tcPr>
            <w:tcW w:w="1789" w:type="dxa"/>
            <w:noWrap/>
            <w:vAlign w:val="center"/>
            <w:hideMark/>
          </w:tcPr>
          <w:p w14:paraId="13D29D27" w14:textId="77777777" w:rsidR="00204A7A" w:rsidRPr="00C744E7" w:rsidRDefault="00204A7A" w:rsidP="00204A7A">
            <w:pPr>
              <w:spacing w:after="0"/>
              <w:ind w:left="0"/>
              <w:rPr>
                <w:rFonts w:cs="Calibri"/>
                <w:color w:val="000000"/>
                <w:szCs w:val="24"/>
              </w:rPr>
            </w:pPr>
            <w:r w:rsidRPr="00C744E7">
              <w:rPr>
                <w:rFonts w:cs="Calibri"/>
                <w:color w:val="000000"/>
                <w:szCs w:val="24"/>
              </w:rPr>
              <w:t>Dets_updtd_2</w:t>
            </w:r>
          </w:p>
        </w:tc>
        <w:tc>
          <w:tcPr>
            <w:tcW w:w="7024" w:type="dxa"/>
            <w:vAlign w:val="center"/>
            <w:hideMark/>
          </w:tcPr>
          <w:p w14:paraId="11E39AB7" w14:textId="77777777" w:rsidR="00204A7A" w:rsidRPr="00C744E7" w:rsidRDefault="00204A7A" w:rsidP="00204A7A">
            <w:pPr>
              <w:spacing w:after="0"/>
              <w:ind w:left="0"/>
              <w:rPr>
                <w:rFonts w:cs="Calibri"/>
                <w:color w:val="000000"/>
                <w:szCs w:val="24"/>
              </w:rPr>
            </w:pPr>
            <w:r w:rsidRPr="00C744E7">
              <w:rPr>
                <w:rFonts w:cs="Calibri"/>
                <w:color w:val="000000"/>
                <w:szCs w:val="24"/>
              </w:rPr>
              <w:t>Identifies decisions that have been processed (i.e., updates to the Benefits system); used as a performance metric</w:t>
            </w:r>
          </w:p>
        </w:tc>
      </w:tr>
      <w:tr w:rsidR="00204A7A" w:rsidRPr="00293F5E" w14:paraId="7B1C68DE" w14:textId="77777777" w:rsidTr="007569F9">
        <w:trPr>
          <w:trHeight w:val="300"/>
        </w:trPr>
        <w:tc>
          <w:tcPr>
            <w:tcW w:w="687" w:type="dxa"/>
            <w:noWrap/>
            <w:vAlign w:val="center"/>
            <w:hideMark/>
          </w:tcPr>
          <w:p w14:paraId="6AA49491" w14:textId="7D748F06" w:rsidR="00204A7A" w:rsidRPr="00277E2A" w:rsidRDefault="00204A7A" w:rsidP="00204A7A">
            <w:pPr>
              <w:spacing w:after="0"/>
              <w:ind w:left="0"/>
              <w:jc w:val="center"/>
              <w:rPr>
                <w:rFonts w:cs="Calibri"/>
                <w:color w:val="000000"/>
                <w:szCs w:val="24"/>
              </w:rPr>
            </w:pPr>
            <w:r>
              <w:rPr>
                <w:color w:val="000000"/>
                <w:szCs w:val="22"/>
              </w:rPr>
              <w:lastRenderedPageBreak/>
              <w:t>23</w:t>
            </w:r>
          </w:p>
        </w:tc>
        <w:tc>
          <w:tcPr>
            <w:tcW w:w="1689" w:type="dxa"/>
            <w:noWrap/>
            <w:vAlign w:val="center"/>
            <w:hideMark/>
          </w:tcPr>
          <w:p w14:paraId="46E46B3F" w14:textId="77777777" w:rsidR="00204A7A" w:rsidRPr="00C744E7" w:rsidRDefault="00204A7A" w:rsidP="00204A7A">
            <w:pPr>
              <w:spacing w:after="0"/>
              <w:ind w:left="0"/>
              <w:rPr>
                <w:rFonts w:cs="Calibri"/>
                <w:color w:val="000000"/>
                <w:szCs w:val="24"/>
              </w:rPr>
            </w:pPr>
            <w:r w:rsidRPr="00C744E7">
              <w:rPr>
                <w:rFonts w:cs="Calibri"/>
                <w:color w:val="000000"/>
                <w:szCs w:val="24"/>
              </w:rPr>
              <w:t>Daily</w:t>
            </w:r>
          </w:p>
        </w:tc>
        <w:tc>
          <w:tcPr>
            <w:tcW w:w="1789" w:type="dxa"/>
            <w:noWrap/>
            <w:vAlign w:val="center"/>
            <w:hideMark/>
          </w:tcPr>
          <w:p w14:paraId="43F3314B" w14:textId="77777777" w:rsidR="00204A7A" w:rsidRPr="00C744E7" w:rsidRDefault="00204A7A" w:rsidP="00204A7A">
            <w:pPr>
              <w:spacing w:after="0"/>
              <w:ind w:left="0"/>
              <w:rPr>
                <w:rFonts w:cs="Calibri"/>
                <w:color w:val="000000"/>
                <w:szCs w:val="24"/>
              </w:rPr>
            </w:pPr>
            <w:r w:rsidRPr="00C744E7">
              <w:rPr>
                <w:rFonts w:cs="Calibri"/>
                <w:color w:val="000000"/>
                <w:szCs w:val="24"/>
              </w:rPr>
              <w:t>Hearing Officer Schedule</w:t>
            </w:r>
          </w:p>
        </w:tc>
        <w:tc>
          <w:tcPr>
            <w:tcW w:w="7024" w:type="dxa"/>
            <w:vAlign w:val="center"/>
            <w:hideMark/>
          </w:tcPr>
          <w:p w14:paraId="63B6E92E" w14:textId="77777777" w:rsidR="00204A7A" w:rsidRPr="00C744E7" w:rsidRDefault="00204A7A" w:rsidP="00204A7A">
            <w:pPr>
              <w:spacing w:after="0"/>
              <w:ind w:left="0"/>
              <w:rPr>
                <w:rFonts w:cs="Calibri"/>
                <w:color w:val="000000"/>
                <w:szCs w:val="24"/>
              </w:rPr>
            </w:pPr>
            <w:r w:rsidRPr="00C744E7">
              <w:rPr>
                <w:rFonts w:cs="Calibri"/>
                <w:color w:val="000000"/>
                <w:szCs w:val="24"/>
              </w:rPr>
              <w:t>Identifies cases assigned (lower authority) to hearing officers each week</w:t>
            </w:r>
          </w:p>
        </w:tc>
      </w:tr>
      <w:tr w:rsidR="00204A7A" w:rsidRPr="00293F5E" w14:paraId="3E3E892D" w14:textId="77777777" w:rsidTr="007569F9">
        <w:trPr>
          <w:trHeight w:val="300"/>
        </w:trPr>
        <w:tc>
          <w:tcPr>
            <w:tcW w:w="687" w:type="dxa"/>
            <w:noWrap/>
            <w:vAlign w:val="center"/>
            <w:hideMark/>
          </w:tcPr>
          <w:p w14:paraId="0BF000B7" w14:textId="3B94B6AE" w:rsidR="00204A7A" w:rsidRPr="00277E2A" w:rsidRDefault="00204A7A" w:rsidP="00204A7A">
            <w:pPr>
              <w:spacing w:after="0"/>
              <w:ind w:left="0"/>
              <w:jc w:val="center"/>
              <w:rPr>
                <w:rFonts w:cs="Calibri"/>
                <w:color w:val="000000"/>
                <w:szCs w:val="24"/>
              </w:rPr>
            </w:pPr>
            <w:r>
              <w:rPr>
                <w:szCs w:val="22"/>
              </w:rPr>
              <w:t>24</w:t>
            </w:r>
          </w:p>
        </w:tc>
        <w:tc>
          <w:tcPr>
            <w:tcW w:w="1689" w:type="dxa"/>
            <w:noWrap/>
            <w:vAlign w:val="center"/>
            <w:hideMark/>
          </w:tcPr>
          <w:p w14:paraId="11582DE5" w14:textId="77777777" w:rsidR="00204A7A" w:rsidRPr="00C744E7" w:rsidRDefault="00204A7A" w:rsidP="00204A7A">
            <w:pPr>
              <w:spacing w:after="0"/>
              <w:ind w:left="0"/>
              <w:rPr>
                <w:rFonts w:cs="Calibri"/>
                <w:color w:val="000000"/>
                <w:szCs w:val="24"/>
              </w:rPr>
            </w:pPr>
            <w:r w:rsidRPr="00C744E7">
              <w:rPr>
                <w:rFonts w:cs="Calibri"/>
                <w:color w:val="000000"/>
                <w:szCs w:val="24"/>
              </w:rPr>
              <w:t>Daily</w:t>
            </w:r>
          </w:p>
        </w:tc>
        <w:tc>
          <w:tcPr>
            <w:tcW w:w="1789" w:type="dxa"/>
            <w:noWrap/>
            <w:vAlign w:val="center"/>
            <w:hideMark/>
          </w:tcPr>
          <w:p w14:paraId="7EE5739E" w14:textId="77777777" w:rsidR="00204A7A" w:rsidRPr="00C744E7" w:rsidRDefault="00204A7A" w:rsidP="00204A7A">
            <w:pPr>
              <w:spacing w:after="0"/>
              <w:ind w:left="0"/>
              <w:rPr>
                <w:rFonts w:cs="Calibri"/>
                <w:color w:val="000000"/>
                <w:szCs w:val="24"/>
              </w:rPr>
            </w:pPr>
            <w:r w:rsidRPr="00C744E7">
              <w:rPr>
                <w:rFonts w:cs="Calibri"/>
                <w:color w:val="000000"/>
                <w:szCs w:val="24"/>
              </w:rPr>
              <w:t>Case Processor Production</w:t>
            </w:r>
          </w:p>
        </w:tc>
        <w:tc>
          <w:tcPr>
            <w:tcW w:w="7024" w:type="dxa"/>
            <w:vAlign w:val="center"/>
            <w:hideMark/>
          </w:tcPr>
          <w:p w14:paraId="439174E7" w14:textId="75B2B4BD" w:rsidR="00204A7A" w:rsidRPr="00C744E7" w:rsidRDefault="00204A7A" w:rsidP="00204A7A">
            <w:pPr>
              <w:spacing w:after="0"/>
              <w:ind w:left="0"/>
              <w:rPr>
                <w:rFonts w:cs="Calibri"/>
                <w:color w:val="000000"/>
                <w:szCs w:val="24"/>
              </w:rPr>
            </w:pPr>
            <w:r w:rsidRPr="00C744E7">
              <w:rPr>
                <w:rFonts w:cs="Calibri"/>
                <w:color w:val="000000"/>
                <w:szCs w:val="24"/>
              </w:rPr>
              <w:t>Provides a count of appeals processed by lower authority case processors as a performance metric. (F</w:t>
            </w:r>
            <w:r w:rsidR="00F332DE">
              <w:rPr>
                <w:rFonts w:cs="Calibri"/>
                <w:color w:val="000000"/>
                <w:szCs w:val="24"/>
              </w:rPr>
              <w:t>uture</w:t>
            </w:r>
            <w:r w:rsidRPr="00C744E7">
              <w:rPr>
                <w:rFonts w:cs="Calibri"/>
                <w:color w:val="000000"/>
                <w:szCs w:val="24"/>
              </w:rPr>
              <w:t>) f</w:t>
            </w:r>
            <w:r w:rsidR="00FA2BCD">
              <w:rPr>
                <w:rFonts w:cs="Calibri"/>
                <w:color w:val="000000"/>
                <w:szCs w:val="24"/>
              </w:rPr>
              <w:t>or higher authority appeals too</w:t>
            </w:r>
          </w:p>
        </w:tc>
      </w:tr>
      <w:tr w:rsidR="00204A7A" w:rsidRPr="00293F5E" w14:paraId="76A6FE07" w14:textId="77777777" w:rsidTr="007569F9">
        <w:trPr>
          <w:trHeight w:val="300"/>
        </w:trPr>
        <w:tc>
          <w:tcPr>
            <w:tcW w:w="687" w:type="dxa"/>
            <w:noWrap/>
            <w:vAlign w:val="center"/>
            <w:hideMark/>
          </w:tcPr>
          <w:p w14:paraId="0021533A" w14:textId="1BAA0196" w:rsidR="00204A7A" w:rsidRPr="00277E2A" w:rsidRDefault="00204A7A" w:rsidP="00204A7A">
            <w:pPr>
              <w:spacing w:after="0"/>
              <w:ind w:left="0"/>
              <w:jc w:val="center"/>
              <w:rPr>
                <w:rFonts w:cs="Calibri"/>
                <w:color w:val="000000"/>
                <w:szCs w:val="24"/>
              </w:rPr>
            </w:pPr>
            <w:r>
              <w:rPr>
                <w:color w:val="000000"/>
                <w:szCs w:val="22"/>
              </w:rPr>
              <w:t>25</w:t>
            </w:r>
          </w:p>
        </w:tc>
        <w:tc>
          <w:tcPr>
            <w:tcW w:w="1689" w:type="dxa"/>
            <w:noWrap/>
            <w:vAlign w:val="center"/>
            <w:hideMark/>
          </w:tcPr>
          <w:p w14:paraId="19827D50" w14:textId="77777777" w:rsidR="00204A7A" w:rsidRPr="00C744E7" w:rsidRDefault="00204A7A" w:rsidP="00204A7A">
            <w:pPr>
              <w:spacing w:after="0"/>
              <w:ind w:left="0"/>
              <w:rPr>
                <w:rFonts w:cs="Calibri"/>
                <w:color w:val="000000"/>
                <w:szCs w:val="24"/>
              </w:rPr>
            </w:pPr>
            <w:r w:rsidRPr="00C744E7">
              <w:rPr>
                <w:rFonts w:cs="Calibri"/>
                <w:color w:val="000000"/>
                <w:szCs w:val="24"/>
              </w:rPr>
              <w:t>Weekly</w:t>
            </w:r>
          </w:p>
        </w:tc>
        <w:tc>
          <w:tcPr>
            <w:tcW w:w="1789" w:type="dxa"/>
            <w:noWrap/>
            <w:vAlign w:val="center"/>
            <w:hideMark/>
          </w:tcPr>
          <w:p w14:paraId="3E0E241B" w14:textId="77777777" w:rsidR="00204A7A" w:rsidRPr="00C744E7" w:rsidRDefault="00204A7A" w:rsidP="00204A7A">
            <w:pPr>
              <w:spacing w:after="0"/>
              <w:ind w:left="0"/>
              <w:rPr>
                <w:rFonts w:cs="Calibri"/>
                <w:color w:val="000000"/>
                <w:szCs w:val="24"/>
              </w:rPr>
            </w:pPr>
            <w:r w:rsidRPr="00C744E7">
              <w:rPr>
                <w:rFonts w:cs="Calibri"/>
                <w:color w:val="000000"/>
                <w:szCs w:val="24"/>
              </w:rPr>
              <w:t>Attorney Assignment</w:t>
            </w:r>
          </w:p>
        </w:tc>
        <w:tc>
          <w:tcPr>
            <w:tcW w:w="7024" w:type="dxa"/>
            <w:vAlign w:val="center"/>
            <w:hideMark/>
          </w:tcPr>
          <w:p w14:paraId="3F8BF0F0" w14:textId="77777777" w:rsidR="00204A7A" w:rsidRPr="00C744E7" w:rsidRDefault="00204A7A" w:rsidP="00204A7A">
            <w:pPr>
              <w:spacing w:after="0"/>
              <w:ind w:left="0"/>
              <w:rPr>
                <w:rFonts w:cs="Calibri"/>
                <w:color w:val="000000"/>
                <w:szCs w:val="24"/>
              </w:rPr>
            </w:pPr>
            <w:r w:rsidRPr="00C744E7">
              <w:rPr>
                <w:rFonts w:cs="Calibri"/>
                <w:color w:val="000000"/>
                <w:szCs w:val="24"/>
              </w:rPr>
              <w:t>Identifies cases assigned (higher authority) to reviewing attorneys each week</w:t>
            </w:r>
          </w:p>
        </w:tc>
      </w:tr>
      <w:tr w:rsidR="00204A7A" w:rsidRPr="00293F5E" w14:paraId="79628264" w14:textId="77777777" w:rsidTr="007569F9">
        <w:trPr>
          <w:trHeight w:val="300"/>
        </w:trPr>
        <w:tc>
          <w:tcPr>
            <w:tcW w:w="687" w:type="dxa"/>
            <w:noWrap/>
            <w:vAlign w:val="center"/>
            <w:hideMark/>
          </w:tcPr>
          <w:p w14:paraId="7F6C4062" w14:textId="2CA7FDB2" w:rsidR="00204A7A" w:rsidRPr="00277E2A" w:rsidRDefault="00204A7A" w:rsidP="00204A7A">
            <w:pPr>
              <w:spacing w:after="0"/>
              <w:ind w:left="0"/>
              <w:jc w:val="center"/>
              <w:rPr>
                <w:rFonts w:cs="Calibri"/>
                <w:color w:val="000000"/>
                <w:szCs w:val="24"/>
              </w:rPr>
            </w:pPr>
            <w:r>
              <w:rPr>
                <w:szCs w:val="22"/>
              </w:rPr>
              <w:t>26</w:t>
            </w:r>
          </w:p>
        </w:tc>
        <w:tc>
          <w:tcPr>
            <w:tcW w:w="1689" w:type="dxa"/>
            <w:noWrap/>
            <w:vAlign w:val="center"/>
            <w:hideMark/>
          </w:tcPr>
          <w:p w14:paraId="76EEFAE4" w14:textId="77777777" w:rsidR="00204A7A" w:rsidRPr="00C744E7" w:rsidRDefault="00204A7A" w:rsidP="00204A7A">
            <w:pPr>
              <w:spacing w:after="0"/>
              <w:ind w:left="0"/>
              <w:rPr>
                <w:rFonts w:cs="Calibri"/>
                <w:color w:val="000000"/>
                <w:szCs w:val="24"/>
              </w:rPr>
            </w:pPr>
            <w:r w:rsidRPr="00C744E7">
              <w:rPr>
                <w:rFonts w:cs="Calibri"/>
                <w:color w:val="000000"/>
                <w:szCs w:val="24"/>
              </w:rPr>
              <w:t>Weekly</w:t>
            </w:r>
          </w:p>
        </w:tc>
        <w:tc>
          <w:tcPr>
            <w:tcW w:w="1789" w:type="dxa"/>
            <w:noWrap/>
            <w:vAlign w:val="center"/>
            <w:hideMark/>
          </w:tcPr>
          <w:p w14:paraId="491BF071" w14:textId="77777777" w:rsidR="00204A7A" w:rsidRPr="00C744E7" w:rsidRDefault="00204A7A" w:rsidP="00204A7A">
            <w:pPr>
              <w:spacing w:after="0"/>
              <w:ind w:left="0"/>
              <w:rPr>
                <w:rFonts w:cs="Calibri"/>
                <w:color w:val="000000"/>
                <w:szCs w:val="24"/>
              </w:rPr>
            </w:pPr>
            <w:r w:rsidRPr="00C744E7">
              <w:rPr>
                <w:rFonts w:cs="Calibri"/>
                <w:color w:val="000000"/>
                <w:szCs w:val="24"/>
              </w:rPr>
              <w:t>Notice to Parties</w:t>
            </w:r>
          </w:p>
        </w:tc>
        <w:tc>
          <w:tcPr>
            <w:tcW w:w="7024" w:type="dxa"/>
            <w:vAlign w:val="center"/>
            <w:hideMark/>
          </w:tcPr>
          <w:p w14:paraId="4FE40361" w14:textId="77777777" w:rsidR="00204A7A" w:rsidRPr="00C744E7" w:rsidRDefault="00204A7A" w:rsidP="00204A7A">
            <w:pPr>
              <w:spacing w:after="0"/>
              <w:ind w:left="0"/>
              <w:rPr>
                <w:rFonts w:cs="Calibri"/>
                <w:color w:val="000000"/>
                <w:szCs w:val="24"/>
              </w:rPr>
            </w:pPr>
            <w:r w:rsidRPr="00C744E7">
              <w:rPr>
                <w:rFonts w:cs="Calibri"/>
                <w:color w:val="000000"/>
                <w:szCs w:val="24"/>
              </w:rPr>
              <w:t>Provides the number of days of notice given to parties for an appeal hearing</w:t>
            </w:r>
          </w:p>
        </w:tc>
      </w:tr>
      <w:tr w:rsidR="00204A7A" w:rsidRPr="00293F5E" w14:paraId="0468FC58" w14:textId="77777777" w:rsidTr="007569F9">
        <w:trPr>
          <w:trHeight w:val="300"/>
        </w:trPr>
        <w:tc>
          <w:tcPr>
            <w:tcW w:w="687" w:type="dxa"/>
            <w:noWrap/>
            <w:vAlign w:val="center"/>
            <w:hideMark/>
          </w:tcPr>
          <w:p w14:paraId="53313495" w14:textId="2B4E64BB" w:rsidR="00204A7A" w:rsidRPr="00277E2A" w:rsidRDefault="00204A7A" w:rsidP="00204A7A">
            <w:pPr>
              <w:spacing w:after="0"/>
              <w:ind w:left="0"/>
              <w:jc w:val="center"/>
              <w:rPr>
                <w:rFonts w:cs="Calibri"/>
                <w:color w:val="000000"/>
                <w:szCs w:val="24"/>
              </w:rPr>
            </w:pPr>
            <w:r>
              <w:rPr>
                <w:color w:val="000000"/>
                <w:szCs w:val="22"/>
              </w:rPr>
              <w:t>27</w:t>
            </w:r>
          </w:p>
        </w:tc>
        <w:tc>
          <w:tcPr>
            <w:tcW w:w="1689" w:type="dxa"/>
            <w:noWrap/>
            <w:vAlign w:val="center"/>
            <w:hideMark/>
          </w:tcPr>
          <w:p w14:paraId="21BB1485" w14:textId="77777777" w:rsidR="00204A7A" w:rsidRPr="00C744E7" w:rsidRDefault="00204A7A" w:rsidP="00204A7A">
            <w:pPr>
              <w:spacing w:after="0"/>
              <w:ind w:left="0"/>
              <w:rPr>
                <w:rFonts w:cs="Calibri"/>
                <w:color w:val="000000"/>
                <w:szCs w:val="24"/>
              </w:rPr>
            </w:pPr>
            <w:r w:rsidRPr="00C744E7">
              <w:rPr>
                <w:rFonts w:cs="Calibri"/>
                <w:color w:val="000000"/>
                <w:szCs w:val="24"/>
              </w:rPr>
              <w:t>Weekly</w:t>
            </w:r>
          </w:p>
        </w:tc>
        <w:tc>
          <w:tcPr>
            <w:tcW w:w="1789" w:type="dxa"/>
            <w:noWrap/>
            <w:vAlign w:val="center"/>
            <w:hideMark/>
          </w:tcPr>
          <w:p w14:paraId="210EE45F" w14:textId="77777777" w:rsidR="00204A7A" w:rsidRPr="00C744E7" w:rsidRDefault="00204A7A" w:rsidP="00204A7A">
            <w:pPr>
              <w:spacing w:after="0"/>
              <w:ind w:left="0"/>
              <w:rPr>
                <w:rFonts w:cs="Calibri"/>
                <w:color w:val="000000"/>
                <w:szCs w:val="24"/>
              </w:rPr>
            </w:pPr>
            <w:r w:rsidRPr="00C744E7">
              <w:rPr>
                <w:rFonts w:cs="Calibri"/>
                <w:color w:val="000000"/>
                <w:szCs w:val="24"/>
              </w:rPr>
              <w:t>Decisions Pending Report</w:t>
            </w:r>
          </w:p>
        </w:tc>
        <w:tc>
          <w:tcPr>
            <w:tcW w:w="7024" w:type="dxa"/>
            <w:vAlign w:val="center"/>
            <w:hideMark/>
          </w:tcPr>
          <w:p w14:paraId="535BD0E0" w14:textId="77777777" w:rsidR="00204A7A" w:rsidRPr="00C744E7" w:rsidRDefault="00204A7A" w:rsidP="00204A7A">
            <w:pPr>
              <w:spacing w:after="0"/>
              <w:ind w:left="0"/>
              <w:rPr>
                <w:rFonts w:cs="Calibri"/>
                <w:color w:val="000000"/>
                <w:szCs w:val="24"/>
              </w:rPr>
            </w:pPr>
            <w:r w:rsidRPr="00C744E7">
              <w:rPr>
                <w:rFonts w:cs="Calibri"/>
                <w:color w:val="000000"/>
                <w:szCs w:val="24"/>
              </w:rPr>
              <w:t>Provides a list of cases in which hearing officers have conducted a hearing without issuing a decision</w:t>
            </w:r>
          </w:p>
        </w:tc>
      </w:tr>
      <w:tr w:rsidR="00204A7A" w:rsidRPr="00293F5E" w14:paraId="7F68D684" w14:textId="77777777" w:rsidTr="007569F9">
        <w:trPr>
          <w:trHeight w:val="300"/>
        </w:trPr>
        <w:tc>
          <w:tcPr>
            <w:tcW w:w="687" w:type="dxa"/>
            <w:noWrap/>
            <w:vAlign w:val="center"/>
            <w:hideMark/>
          </w:tcPr>
          <w:p w14:paraId="4AA55CB6" w14:textId="05BA8D66" w:rsidR="00204A7A" w:rsidRPr="00277E2A" w:rsidRDefault="00204A7A" w:rsidP="00204A7A">
            <w:pPr>
              <w:spacing w:after="0"/>
              <w:ind w:left="0"/>
              <w:jc w:val="center"/>
              <w:rPr>
                <w:rFonts w:cs="Calibri"/>
                <w:color w:val="000000"/>
                <w:szCs w:val="24"/>
              </w:rPr>
            </w:pPr>
            <w:r>
              <w:rPr>
                <w:szCs w:val="22"/>
              </w:rPr>
              <w:t>28</w:t>
            </w:r>
          </w:p>
        </w:tc>
        <w:tc>
          <w:tcPr>
            <w:tcW w:w="1689" w:type="dxa"/>
            <w:noWrap/>
            <w:vAlign w:val="center"/>
            <w:hideMark/>
          </w:tcPr>
          <w:p w14:paraId="44E29A6B" w14:textId="77777777" w:rsidR="00204A7A" w:rsidRPr="00C744E7" w:rsidRDefault="00204A7A" w:rsidP="00204A7A">
            <w:pPr>
              <w:spacing w:after="0"/>
              <w:ind w:left="0"/>
              <w:rPr>
                <w:rFonts w:cs="Calibri"/>
                <w:color w:val="000000"/>
                <w:szCs w:val="24"/>
              </w:rPr>
            </w:pPr>
            <w:r w:rsidRPr="00C744E7">
              <w:rPr>
                <w:rFonts w:cs="Calibri"/>
                <w:color w:val="000000"/>
                <w:szCs w:val="24"/>
              </w:rPr>
              <w:t>Weekly</w:t>
            </w:r>
          </w:p>
        </w:tc>
        <w:tc>
          <w:tcPr>
            <w:tcW w:w="1789" w:type="dxa"/>
            <w:noWrap/>
            <w:vAlign w:val="center"/>
            <w:hideMark/>
          </w:tcPr>
          <w:p w14:paraId="444ACEB7" w14:textId="77777777" w:rsidR="00204A7A" w:rsidRPr="00C744E7" w:rsidRDefault="00204A7A" w:rsidP="00204A7A">
            <w:pPr>
              <w:spacing w:after="0"/>
              <w:ind w:left="0"/>
              <w:rPr>
                <w:rFonts w:cs="Calibri"/>
                <w:color w:val="000000"/>
                <w:szCs w:val="24"/>
              </w:rPr>
            </w:pPr>
            <w:r w:rsidRPr="00C744E7">
              <w:rPr>
                <w:rFonts w:cs="Calibri"/>
                <w:color w:val="000000"/>
                <w:szCs w:val="24"/>
              </w:rPr>
              <w:t xml:space="preserve">Appeal Age at Assignment </w:t>
            </w:r>
          </w:p>
        </w:tc>
        <w:tc>
          <w:tcPr>
            <w:tcW w:w="7024" w:type="dxa"/>
            <w:vAlign w:val="center"/>
            <w:hideMark/>
          </w:tcPr>
          <w:p w14:paraId="04E92624" w14:textId="77777777" w:rsidR="00204A7A" w:rsidRPr="00C744E7" w:rsidRDefault="00204A7A" w:rsidP="00204A7A">
            <w:pPr>
              <w:spacing w:after="0"/>
              <w:ind w:left="0"/>
              <w:rPr>
                <w:rFonts w:cs="Calibri"/>
                <w:color w:val="000000"/>
                <w:szCs w:val="24"/>
              </w:rPr>
            </w:pPr>
            <w:r w:rsidRPr="00C744E7">
              <w:rPr>
                <w:rFonts w:cs="Calibri"/>
                <w:color w:val="000000"/>
                <w:szCs w:val="24"/>
              </w:rPr>
              <w:t>Provides a summary of the age of higher authority appeals at the time of assignment</w:t>
            </w:r>
          </w:p>
        </w:tc>
      </w:tr>
      <w:tr w:rsidR="00204A7A" w:rsidRPr="00293F5E" w14:paraId="061B0A41" w14:textId="77777777" w:rsidTr="007569F9">
        <w:trPr>
          <w:trHeight w:val="300"/>
        </w:trPr>
        <w:tc>
          <w:tcPr>
            <w:tcW w:w="687" w:type="dxa"/>
            <w:noWrap/>
            <w:vAlign w:val="center"/>
            <w:hideMark/>
          </w:tcPr>
          <w:p w14:paraId="73FA82EE" w14:textId="09FA606D" w:rsidR="00204A7A" w:rsidRPr="00277E2A" w:rsidRDefault="00204A7A" w:rsidP="00204A7A">
            <w:pPr>
              <w:spacing w:after="0"/>
              <w:ind w:left="0"/>
              <w:jc w:val="center"/>
              <w:rPr>
                <w:rFonts w:cs="Calibri"/>
                <w:color w:val="000000"/>
                <w:szCs w:val="24"/>
              </w:rPr>
            </w:pPr>
            <w:r>
              <w:rPr>
                <w:color w:val="000000"/>
                <w:szCs w:val="22"/>
              </w:rPr>
              <w:t>29</w:t>
            </w:r>
          </w:p>
        </w:tc>
        <w:tc>
          <w:tcPr>
            <w:tcW w:w="1689" w:type="dxa"/>
            <w:noWrap/>
            <w:vAlign w:val="center"/>
            <w:hideMark/>
          </w:tcPr>
          <w:p w14:paraId="6C7DE3C3" w14:textId="77777777" w:rsidR="00204A7A" w:rsidRPr="00C744E7" w:rsidRDefault="00204A7A" w:rsidP="00204A7A">
            <w:pPr>
              <w:spacing w:after="0"/>
              <w:ind w:left="0"/>
              <w:rPr>
                <w:rFonts w:cs="Calibri"/>
                <w:color w:val="000000"/>
                <w:szCs w:val="24"/>
              </w:rPr>
            </w:pPr>
            <w:r w:rsidRPr="00C744E7">
              <w:rPr>
                <w:rFonts w:cs="Calibri"/>
                <w:color w:val="000000"/>
                <w:szCs w:val="24"/>
              </w:rPr>
              <w:t>Weekly</w:t>
            </w:r>
          </w:p>
        </w:tc>
        <w:tc>
          <w:tcPr>
            <w:tcW w:w="1789" w:type="dxa"/>
            <w:noWrap/>
            <w:vAlign w:val="center"/>
            <w:hideMark/>
          </w:tcPr>
          <w:p w14:paraId="3497A10F" w14:textId="77777777" w:rsidR="00204A7A" w:rsidRPr="00C744E7" w:rsidRDefault="00204A7A" w:rsidP="00204A7A">
            <w:pPr>
              <w:spacing w:after="0"/>
              <w:ind w:left="0"/>
              <w:rPr>
                <w:rFonts w:cs="Calibri"/>
                <w:color w:val="000000"/>
                <w:szCs w:val="24"/>
              </w:rPr>
            </w:pPr>
            <w:r w:rsidRPr="00C744E7">
              <w:rPr>
                <w:rFonts w:cs="Calibri"/>
                <w:color w:val="000000"/>
                <w:szCs w:val="24"/>
              </w:rPr>
              <w:t xml:space="preserve">Appeal File Method </w:t>
            </w:r>
          </w:p>
        </w:tc>
        <w:tc>
          <w:tcPr>
            <w:tcW w:w="7024" w:type="dxa"/>
            <w:vAlign w:val="center"/>
            <w:hideMark/>
          </w:tcPr>
          <w:p w14:paraId="380A819C" w14:textId="77777777" w:rsidR="00204A7A" w:rsidRPr="00C744E7" w:rsidRDefault="00204A7A" w:rsidP="00204A7A">
            <w:pPr>
              <w:spacing w:after="0"/>
              <w:ind w:left="0"/>
              <w:rPr>
                <w:rFonts w:cs="Calibri"/>
                <w:color w:val="000000"/>
                <w:szCs w:val="24"/>
              </w:rPr>
            </w:pPr>
            <w:r w:rsidRPr="00C744E7">
              <w:rPr>
                <w:rFonts w:cs="Calibri"/>
                <w:color w:val="000000"/>
                <w:szCs w:val="24"/>
              </w:rPr>
              <w:t>Provides a summary of appeals by appeal filing method and file date</w:t>
            </w:r>
          </w:p>
        </w:tc>
      </w:tr>
      <w:tr w:rsidR="00204A7A" w:rsidRPr="00293F5E" w14:paraId="190D8AB7" w14:textId="77777777" w:rsidTr="007569F9">
        <w:trPr>
          <w:trHeight w:val="300"/>
        </w:trPr>
        <w:tc>
          <w:tcPr>
            <w:tcW w:w="687" w:type="dxa"/>
            <w:noWrap/>
            <w:vAlign w:val="center"/>
            <w:hideMark/>
          </w:tcPr>
          <w:p w14:paraId="56650527" w14:textId="10732615" w:rsidR="00204A7A" w:rsidRPr="00277E2A" w:rsidRDefault="00204A7A" w:rsidP="00204A7A">
            <w:pPr>
              <w:spacing w:after="0"/>
              <w:ind w:left="0"/>
              <w:jc w:val="center"/>
              <w:rPr>
                <w:rFonts w:cs="Calibri"/>
                <w:color w:val="000000"/>
                <w:szCs w:val="24"/>
              </w:rPr>
            </w:pPr>
            <w:r>
              <w:rPr>
                <w:szCs w:val="22"/>
              </w:rPr>
              <w:t>30</w:t>
            </w:r>
          </w:p>
        </w:tc>
        <w:tc>
          <w:tcPr>
            <w:tcW w:w="1689" w:type="dxa"/>
            <w:noWrap/>
            <w:vAlign w:val="center"/>
            <w:hideMark/>
          </w:tcPr>
          <w:p w14:paraId="7C838314" w14:textId="77777777" w:rsidR="00204A7A" w:rsidRPr="00C744E7" w:rsidRDefault="00204A7A" w:rsidP="00204A7A">
            <w:pPr>
              <w:spacing w:after="0"/>
              <w:ind w:left="0"/>
              <w:rPr>
                <w:rFonts w:cs="Calibri"/>
                <w:color w:val="000000"/>
                <w:szCs w:val="24"/>
              </w:rPr>
            </w:pPr>
            <w:r w:rsidRPr="00C744E7">
              <w:rPr>
                <w:rFonts w:cs="Calibri"/>
                <w:color w:val="000000"/>
                <w:szCs w:val="24"/>
              </w:rPr>
              <w:t>Weekly</w:t>
            </w:r>
          </w:p>
        </w:tc>
        <w:tc>
          <w:tcPr>
            <w:tcW w:w="1789" w:type="dxa"/>
            <w:noWrap/>
            <w:vAlign w:val="center"/>
            <w:hideMark/>
          </w:tcPr>
          <w:p w14:paraId="5C489545" w14:textId="77777777" w:rsidR="00204A7A" w:rsidRPr="00C744E7" w:rsidRDefault="00204A7A" w:rsidP="00204A7A">
            <w:pPr>
              <w:spacing w:after="0"/>
              <w:ind w:left="0"/>
              <w:rPr>
                <w:rFonts w:cs="Calibri"/>
                <w:color w:val="000000"/>
                <w:szCs w:val="24"/>
              </w:rPr>
            </w:pPr>
            <w:r w:rsidRPr="00C744E7">
              <w:rPr>
                <w:rFonts w:cs="Calibri"/>
                <w:color w:val="000000"/>
                <w:szCs w:val="24"/>
              </w:rPr>
              <w:t>OP/EA Appeal with No Employer</w:t>
            </w:r>
          </w:p>
        </w:tc>
        <w:tc>
          <w:tcPr>
            <w:tcW w:w="7024" w:type="dxa"/>
            <w:vAlign w:val="center"/>
            <w:hideMark/>
          </w:tcPr>
          <w:p w14:paraId="67934D68" w14:textId="1186BB61" w:rsidR="00204A7A" w:rsidRPr="00C744E7" w:rsidRDefault="00204A7A" w:rsidP="00204A7A">
            <w:pPr>
              <w:spacing w:after="0"/>
              <w:ind w:left="0"/>
              <w:rPr>
                <w:rFonts w:cs="Calibri"/>
                <w:color w:val="000000"/>
                <w:szCs w:val="24"/>
              </w:rPr>
            </w:pPr>
            <w:r w:rsidRPr="00C744E7">
              <w:rPr>
                <w:rFonts w:cs="Calibri"/>
                <w:color w:val="000000"/>
                <w:szCs w:val="24"/>
              </w:rPr>
              <w:t xml:space="preserve">Provides a list of cases with possible case processing errors (no </w:t>
            </w:r>
            <w:r>
              <w:rPr>
                <w:rFonts w:cs="Calibri"/>
                <w:color w:val="000000"/>
                <w:szCs w:val="24"/>
              </w:rPr>
              <w:t xml:space="preserve">Employer </w:t>
            </w:r>
            <w:r w:rsidRPr="00C744E7">
              <w:rPr>
                <w:rFonts w:cs="Calibri"/>
                <w:color w:val="000000"/>
                <w:szCs w:val="24"/>
              </w:rPr>
              <w:t>associated with OP case)</w:t>
            </w:r>
          </w:p>
        </w:tc>
      </w:tr>
      <w:tr w:rsidR="00204A7A" w:rsidRPr="00293F5E" w14:paraId="106D7EA3" w14:textId="77777777" w:rsidTr="007569F9">
        <w:trPr>
          <w:trHeight w:val="300"/>
        </w:trPr>
        <w:tc>
          <w:tcPr>
            <w:tcW w:w="687" w:type="dxa"/>
            <w:noWrap/>
            <w:vAlign w:val="center"/>
            <w:hideMark/>
          </w:tcPr>
          <w:p w14:paraId="378F5297" w14:textId="0FA81DB1" w:rsidR="00204A7A" w:rsidRPr="00277E2A" w:rsidRDefault="00204A7A" w:rsidP="00204A7A">
            <w:pPr>
              <w:spacing w:after="0"/>
              <w:ind w:left="0"/>
              <w:jc w:val="center"/>
              <w:rPr>
                <w:rFonts w:cs="Calibri"/>
                <w:color w:val="000000"/>
                <w:szCs w:val="24"/>
              </w:rPr>
            </w:pPr>
            <w:r>
              <w:rPr>
                <w:color w:val="000000"/>
                <w:szCs w:val="22"/>
              </w:rPr>
              <w:t>31</w:t>
            </w:r>
          </w:p>
        </w:tc>
        <w:tc>
          <w:tcPr>
            <w:tcW w:w="1689" w:type="dxa"/>
            <w:noWrap/>
            <w:vAlign w:val="center"/>
            <w:hideMark/>
          </w:tcPr>
          <w:p w14:paraId="106048F8" w14:textId="77777777" w:rsidR="00204A7A" w:rsidRPr="00C744E7" w:rsidRDefault="00204A7A" w:rsidP="00204A7A">
            <w:pPr>
              <w:spacing w:after="0"/>
              <w:ind w:left="0"/>
              <w:rPr>
                <w:rFonts w:cs="Calibri"/>
                <w:color w:val="000000"/>
                <w:szCs w:val="24"/>
              </w:rPr>
            </w:pPr>
            <w:r w:rsidRPr="00C744E7">
              <w:rPr>
                <w:rFonts w:cs="Calibri"/>
                <w:color w:val="000000"/>
                <w:szCs w:val="24"/>
              </w:rPr>
              <w:t>Weekly</w:t>
            </w:r>
          </w:p>
        </w:tc>
        <w:tc>
          <w:tcPr>
            <w:tcW w:w="1789" w:type="dxa"/>
            <w:noWrap/>
            <w:vAlign w:val="center"/>
            <w:hideMark/>
          </w:tcPr>
          <w:p w14:paraId="58DC0AF7" w14:textId="77777777" w:rsidR="00204A7A" w:rsidRPr="00C744E7" w:rsidRDefault="00204A7A" w:rsidP="00204A7A">
            <w:pPr>
              <w:spacing w:after="0"/>
              <w:ind w:left="0"/>
              <w:rPr>
                <w:rFonts w:cs="Calibri"/>
                <w:color w:val="000000"/>
                <w:szCs w:val="24"/>
              </w:rPr>
            </w:pPr>
            <w:r w:rsidRPr="00C744E7">
              <w:rPr>
                <w:rFonts w:cs="Calibri"/>
                <w:color w:val="000000"/>
                <w:szCs w:val="24"/>
              </w:rPr>
              <w:t>AT Cases Pended</w:t>
            </w:r>
          </w:p>
        </w:tc>
        <w:tc>
          <w:tcPr>
            <w:tcW w:w="7024" w:type="dxa"/>
            <w:vAlign w:val="center"/>
            <w:hideMark/>
          </w:tcPr>
          <w:p w14:paraId="0C9D7A67" w14:textId="77777777" w:rsidR="00204A7A" w:rsidRPr="00C744E7" w:rsidRDefault="00204A7A" w:rsidP="00204A7A">
            <w:pPr>
              <w:spacing w:after="0"/>
              <w:ind w:left="0"/>
              <w:rPr>
                <w:rFonts w:cs="Calibri"/>
                <w:color w:val="000000"/>
                <w:szCs w:val="24"/>
              </w:rPr>
            </w:pPr>
            <w:r w:rsidRPr="00C744E7">
              <w:rPr>
                <w:rFonts w:cs="Calibri"/>
                <w:color w:val="000000"/>
                <w:szCs w:val="24"/>
              </w:rPr>
              <w:t>Provides a list of pending lower authority appeals and the pend reason</w:t>
            </w:r>
          </w:p>
        </w:tc>
      </w:tr>
      <w:tr w:rsidR="00204A7A" w:rsidRPr="00293F5E" w14:paraId="511D52EC" w14:textId="77777777" w:rsidTr="007569F9">
        <w:trPr>
          <w:trHeight w:val="300"/>
        </w:trPr>
        <w:tc>
          <w:tcPr>
            <w:tcW w:w="687" w:type="dxa"/>
            <w:noWrap/>
            <w:vAlign w:val="center"/>
            <w:hideMark/>
          </w:tcPr>
          <w:p w14:paraId="539FF60D" w14:textId="59C335DF" w:rsidR="00204A7A" w:rsidRPr="00277E2A" w:rsidRDefault="00204A7A" w:rsidP="00204A7A">
            <w:pPr>
              <w:spacing w:after="0"/>
              <w:ind w:left="0"/>
              <w:jc w:val="center"/>
              <w:rPr>
                <w:rFonts w:cs="Calibri"/>
                <w:color w:val="000000"/>
                <w:szCs w:val="24"/>
              </w:rPr>
            </w:pPr>
            <w:r>
              <w:rPr>
                <w:szCs w:val="22"/>
              </w:rPr>
              <w:t>32</w:t>
            </w:r>
          </w:p>
        </w:tc>
        <w:tc>
          <w:tcPr>
            <w:tcW w:w="1689" w:type="dxa"/>
            <w:noWrap/>
            <w:vAlign w:val="center"/>
            <w:hideMark/>
          </w:tcPr>
          <w:p w14:paraId="3AAF2B76" w14:textId="77777777" w:rsidR="00204A7A" w:rsidRPr="00C744E7" w:rsidRDefault="00204A7A" w:rsidP="00204A7A">
            <w:pPr>
              <w:spacing w:after="0"/>
              <w:ind w:left="0"/>
              <w:rPr>
                <w:rFonts w:cs="Calibri"/>
                <w:color w:val="000000"/>
                <w:szCs w:val="24"/>
              </w:rPr>
            </w:pPr>
            <w:r w:rsidRPr="00C744E7">
              <w:rPr>
                <w:rFonts w:cs="Calibri"/>
                <w:color w:val="000000"/>
                <w:szCs w:val="24"/>
              </w:rPr>
              <w:t>Weekly</w:t>
            </w:r>
          </w:p>
        </w:tc>
        <w:tc>
          <w:tcPr>
            <w:tcW w:w="1789" w:type="dxa"/>
            <w:noWrap/>
            <w:vAlign w:val="center"/>
            <w:hideMark/>
          </w:tcPr>
          <w:p w14:paraId="6D23266E" w14:textId="77777777" w:rsidR="00204A7A" w:rsidRPr="00C744E7" w:rsidRDefault="00204A7A" w:rsidP="00204A7A">
            <w:pPr>
              <w:spacing w:after="0"/>
              <w:ind w:left="0"/>
              <w:rPr>
                <w:rFonts w:cs="Calibri"/>
                <w:color w:val="000000"/>
                <w:szCs w:val="24"/>
              </w:rPr>
            </w:pPr>
            <w:r w:rsidRPr="00C744E7">
              <w:rPr>
                <w:rFonts w:cs="Calibri"/>
                <w:color w:val="000000"/>
                <w:szCs w:val="24"/>
              </w:rPr>
              <w:t xml:space="preserve">CA Pends Waiting Folder </w:t>
            </w:r>
          </w:p>
        </w:tc>
        <w:tc>
          <w:tcPr>
            <w:tcW w:w="7024" w:type="dxa"/>
            <w:vAlign w:val="center"/>
            <w:hideMark/>
          </w:tcPr>
          <w:p w14:paraId="78863E9F" w14:textId="77777777" w:rsidR="00204A7A" w:rsidRPr="00C744E7" w:rsidRDefault="00204A7A" w:rsidP="00204A7A">
            <w:pPr>
              <w:spacing w:after="0"/>
              <w:ind w:left="0"/>
              <w:rPr>
                <w:rFonts w:cs="Calibri"/>
                <w:color w:val="000000"/>
                <w:szCs w:val="24"/>
              </w:rPr>
            </w:pPr>
            <w:r w:rsidRPr="00C744E7">
              <w:rPr>
                <w:rFonts w:cs="Calibri"/>
                <w:color w:val="000000"/>
                <w:szCs w:val="24"/>
              </w:rPr>
              <w:t>Provides a list of higher authority appeals awaiting arrival of the physical file folder; will be obsolete when moving to an electronic case folder</w:t>
            </w:r>
          </w:p>
        </w:tc>
      </w:tr>
      <w:tr w:rsidR="00204A7A" w:rsidRPr="00293F5E" w14:paraId="518FE8D6" w14:textId="77777777" w:rsidTr="007569F9">
        <w:trPr>
          <w:trHeight w:val="300"/>
        </w:trPr>
        <w:tc>
          <w:tcPr>
            <w:tcW w:w="687" w:type="dxa"/>
            <w:noWrap/>
            <w:vAlign w:val="center"/>
            <w:hideMark/>
          </w:tcPr>
          <w:p w14:paraId="6D02F6A2" w14:textId="006DA059" w:rsidR="00204A7A" w:rsidRPr="00277E2A" w:rsidRDefault="00204A7A" w:rsidP="00204A7A">
            <w:pPr>
              <w:spacing w:after="0"/>
              <w:ind w:left="0"/>
              <w:jc w:val="center"/>
              <w:rPr>
                <w:rFonts w:cs="Calibri"/>
                <w:color w:val="000000"/>
                <w:szCs w:val="24"/>
              </w:rPr>
            </w:pPr>
            <w:r>
              <w:rPr>
                <w:color w:val="000000"/>
                <w:szCs w:val="22"/>
              </w:rPr>
              <w:t>33</w:t>
            </w:r>
          </w:p>
        </w:tc>
        <w:tc>
          <w:tcPr>
            <w:tcW w:w="1689" w:type="dxa"/>
            <w:noWrap/>
            <w:vAlign w:val="center"/>
            <w:hideMark/>
          </w:tcPr>
          <w:p w14:paraId="25BC88F5" w14:textId="77777777" w:rsidR="00204A7A" w:rsidRPr="00C744E7" w:rsidRDefault="00204A7A" w:rsidP="00204A7A">
            <w:pPr>
              <w:spacing w:after="0"/>
              <w:ind w:left="0"/>
              <w:rPr>
                <w:rFonts w:cs="Calibri"/>
                <w:color w:val="000000"/>
                <w:szCs w:val="24"/>
              </w:rPr>
            </w:pPr>
            <w:r w:rsidRPr="00C744E7">
              <w:rPr>
                <w:rFonts w:cs="Calibri"/>
                <w:color w:val="000000"/>
                <w:szCs w:val="24"/>
              </w:rPr>
              <w:t>Weekly</w:t>
            </w:r>
          </w:p>
        </w:tc>
        <w:tc>
          <w:tcPr>
            <w:tcW w:w="1789" w:type="dxa"/>
            <w:noWrap/>
            <w:vAlign w:val="center"/>
            <w:hideMark/>
          </w:tcPr>
          <w:p w14:paraId="4CDEEC41" w14:textId="77777777" w:rsidR="00204A7A" w:rsidRPr="00C744E7" w:rsidRDefault="00204A7A" w:rsidP="00204A7A">
            <w:pPr>
              <w:spacing w:after="0"/>
              <w:ind w:left="0"/>
              <w:rPr>
                <w:rFonts w:cs="Calibri"/>
                <w:color w:val="000000"/>
                <w:szCs w:val="24"/>
              </w:rPr>
            </w:pPr>
            <w:r w:rsidRPr="00C744E7">
              <w:rPr>
                <w:rFonts w:cs="Calibri"/>
                <w:color w:val="000000"/>
                <w:szCs w:val="24"/>
              </w:rPr>
              <w:t>TWC as Employer Appeals</w:t>
            </w:r>
          </w:p>
        </w:tc>
        <w:tc>
          <w:tcPr>
            <w:tcW w:w="7024" w:type="dxa"/>
            <w:vAlign w:val="center"/>
            <w:hideMark/>
          </w:tcPr>
          <w:p w14:paraId="1F1A5DDF" w14:textId="77777777" w:rsidR="00204A7A" w:rsidRPr="00C744E7" w:rsidRDefault="00204A7A" w:rsidP="00204A7A">
            <w:pPr>
              <w:spacing w:after="0"/>
              <w:ind w:left="0"/>
              <w:rPr>
                <w:rFonts w:cs="Calibri"/>
                <w:color w:val="000000"/>
                <w:szCs w:val="24"/>
              </w:rPr>
            </w:pPr>
            <w:r w:rsidRPr="00C744E7">
              <w:rPr>
                <w:rFonts w:cs="Calibri"/>
                <w:color w:val="000000"/>
                <w:szCs w:val="24"/>
              </w:rPr>
              <w:t>Provides a list of appeals including TWC as the employer</w:t>
            </w:r>
          </w:p>
        </w:tc>
      </w:tr>
      <w:tr w:rsidR="00204A7A" w:rsidRPr="00293F5E" w14:paraId="38BBC40B" w14:textId="77777777" w:rsidTr="007569F9">
        <w:trPr>
          <w:trHeight w:val="300"/>
        </w:trPr>
        <w:tc>
          <w:tcPr>
            <w:tcW w:w="687" w:type="dxa"/>
            <w:noWrap/>
            <w:vAlign w:val="center"/>
            <w:hideMark/>
          </w:tcPr>
          <w:p w14:paraId="18E435C2" w14:textId="772C703B" w:rsidR="00204A7A" w:rsidRPr="00277E2A" w:rsidRDefault="00204A7A" w:rsidP="00204A7A">
            <w:pPr>
              <w:spacing w:after="0"/>
              <w:ind w:left="0"/>
              <w:jc w:val="center"/>
              <w:rPr>
                <w:rFonts w:cs="Calibri"/>
                <w:color w:val="000000"/>
                <w:szCs w:val="24"/>
              </w:rPr>
            </w:pPr>
            <w:r>
              <w:rPr>
                <w:szCs w:val="22"/>
              </w:rPr>
              <w:t>34</w:t>
            </w:r>
          </w:p>
        </w:tc>
        <w:tc>
          <w:tcPr>
            <w:tcW w:w="1689" w:type="dxa"/>
            <w:noWrap/>
            <w:vAlign w:val="center"/>
            <w:hideMark/>
          </w:tcPr>
          <w:p w14:paraId="05EF090E" w14:textId="77777777" w:rsidR="00204A7A" w:rsidRPr="00C744E7" w:rsidRDefault="00204A7A" w:rsidP="00204A7A">
            <w:pPr>
              <w:spacing w:after="0"/>
              <w:ind w:left="0"/>
              <w:rPr>
                <w:rFonts w:cs="Calibri"/>
                <w:color w:val="000000"/>
                <w:szCs w:val="24"/>
              </w:rPr>
            </w:pPr>
            <w:r w:rsidRPr="00C744E7">
              <w:rPr>
                <w:rFonts w:cs="Calibri"/>
                <w:color w:val="000000"/>
                <w:szCs w:val="24"/>
              </w:rPr>
              <w:t>Weekly</w:t>
            </w:r>
          </w:p>
        </w:tc>
        <w:tc>
          <w:tcPr>
            <w:tcW w:w="1789" w:type="dxa"/>
            <w:noWrap/>
            <w:vAlign w:val="center"/>
            <w:hideMark/>
          </w:tcPr>
          <w:p w14:paraId="3E3B0CB1" w14:textId="77777777" w:rsidR="00204A7A" w:rsidRPr="00C744E7" w:rsidRDefault="00204A7A" w:rsidP="00204A7A">
            <w:pPr>
              <w:spacing w:after="0"/>
              <w:ind w:left="0"/>
              <w:rPr>
                <w:rFonts w:cs="Calibri"/>
                <w:color w:val="000000"/>
                <w:szCs w:val="24"/>
              </w:rPr>
            </w:pPr>
            <w:r w:rsidRPr="00C744E7">
              <w:rPr>
                <w:rFonts w:cs="Calibri"/>
                <w:color w:val="000000"/>
                <w:szCs w:val="24"/>
              </w:rPr>
              <w:t>CA Production Statistics</w:t>
            </w:r>
          </w:p>
        </w:tc>
        <w:tc>
          <w:tcPr>
            <w:tcW w:w="7024" w:type="dxa"/>
            <w:vAlign w:val="center"/>
            <w:hideMark/>
          </w:tcPr>
          <w:p w14:paraId="7A62BB63" w14:textId="77777777" w:rsidR="00204A7A" w:rsidRPr="00C744E7" w:rsidRDefault="00204A7A" w:rsidP="00204A7A">
            <w:pPr>
              <w:spacing w:after="0"/>
              <w:ind w:left="0"/>
              <w:rPr>
                <w:rFonts w:cs="Calibri"/>
                <w:color w:val="000000"/>
                <w:szCs w:val="24"/>
              </w:rPr>
            </w:pPr>
            <w:r w:rsidRPr="00C744E7">
              <w:rPr>
                <w:rFonts w:cs="Calibri"/>
                <w:color w:val="000000"/>
                <w:szCs w:val="24"/>
              </w:rPr>
              <w:t>Provides performance metrics for higher authority case processors and clerks (case processing, docketing, and decision updating)</w:t>
            </w:r>
          </w:p>
        </w:tc>
      </w:tr>
      <w:tr w:rsidR="00204A7A" w:rsidRPr="00293F5E" w14:paraId="783C0629" w14:textId="77777777" w:rsidTr="007569F9">
        <w:trPr>
          <w:trHeight w:val="300"/>
        </w:trPr>
        <w:tc>
          <w:tcPr>
            <w:tcW w:w="687" w:type="dxa"/>
            <w:noWrap/>
            <w:vAlign w:val="center"/>
            <w:hideMark/>
          </w:tcPr>
          <w:p w14:paraId="165CB63C" w14:textId="1E633328" w:rsidR="00204A7A" w:rsidRPr="00277E2A" w:rsidRDefault="00204A7A" w:rsidP="00204A7A">
            <w:pPr>
              <w:spacing w:after="0"/>
              <w:ind w:left="0"/>
              <w:jc w:val="center"/>
              <w:rPr>
                <w:rFonts w:cs="Calibri"/>
                <w:color w:val="000000"/>
                <w:szCs w:val="24"/>
              </w:rPr>
            </w:pPr>
            <w:r>
              <w:rPr>
                <w:color w:val="000000"/>
                <w:szCs w:val="22"/>
              </w:rPr>
              <w:t>35</w:t>
            </w:r>
          </w:p>
        </w:tc>
        <w:tc>
          <w:tcPr>
            <w:tcW w:w="1689" w:type="dxa"/>
            <w:noWrap/>
            <w:vAlign w:val="center"/>
            <w:hideMark/>
          </w:tcPr>
          <w:p w14:paraId="7DC7E646" w14:textId="77777777" w:rsidR="00204A7A" w:rsidRPr="00C744E7" w:rsidRDefault="00204A7A" w:rsidP="00204A7A">
            <w:pPr>
              <w:spacing w:after="0"/>
              <w:ind w:left="0"/>
              <w:rPr>
                <w:rFonts w:cs="Calibri"/>
                <w:color w:val="000000"/>
                <w:szCs w:val="24"/>
              </w:rPr>
            </w:pPr>
            <w:r w:rsidRPr="00C744E7">
              <w:rPr>
                <w:rFonts w:cs="Calibri"/>
                <w:color w:val="000000"/>
                <w:szCs w:val="24"/>
              </w:rPr>
              <w:t>Weekly</w:t>
            </w:r>
          </w:p>
        </w:tc>
        <w:tc>
          <w:tcPr>
            <w:tcW w:w="1789" w:type="dxa"/>
            <w:noWrap/>
            <w:vAlign w:val="center"/>
            <w:hideMark/>
          </w:tcPr>
          <w:p w14:paraId="78D9FA65" w14:textId="77777777" w:rsidR="00204A7A" w:rsidRPr="00C744E7" w:rsidRDefault="00204A7A" w:rsidP="00204A7A">
            <w:pPr>
              <w:spacing w:after="0"/>
              <w:ind w:left="0"/>
              <w:rPr>
                <w:rFonts w:cs="Calibri"/>
                <w:color w:val="000000"/>
                <w:szCs w:val="24"/>
              </w:rPr>
            </w:pPr>
            <w:r w:rsidRPr="00C744E7">
              <w:rPr>
                <w:rFonts w:cs="Calibri"/>
                <w:color w:val="000000"/>
                <w:szCs w:val="24"/>
              </w:rPr>
              <w:t>AT RPI Dashboard Additional Data</w:t>
            </w:r>
          </w:p>
        </w:tc>
        <w:tc>
          <w:tcPr>
            <w:tcW w:w="7024" w:type="dxa"/>
            <w:vAlign w:val="center"/>
            <w:hideMark/>
          </w:tcPr>
          <w:p w14:paraId="5D67F558" w14:textId="77777777" w:rsidR="00204A7A" w:rsidRPr="00C744E7" w:rsidRDefault="00204A7A" w:rsidP="00204A7A">
            <w:pPr>
              <w:spacing w:after="0"/>
              <w:ind w:left="0"/>
              <w:rPr>
                <w:rFonts w:cs="Calibri"/>
                <w:color w:val="000000"/>
                <w:szCs w:val="24"/>
              </w:rPr>
            </w:pPr>
            <w:r w:rsidRPr="00C744E7">
              <w:rPr>
                <w:rFonts w:cs="Calibri"/>
                <w:color w:val="000000"/>
                <w:szCs w:val="24"/>
              </w:rPr>
              <w:t>Provides performance metrics for lower authority appeals</w:t>
            </w:r>
          </w:p>
        </w:tc>
      </w:tr>
      <w:tr w:rsidR="00204A7A" w:rsidRPr="00293F5E" w14:paraId="23D5862F" w14:textId="77777777" w:rsidTr="007569F9">
        <w:trPr>
          <w:trHeight w:val="300"/>
        </w:trPr>
        <w:tc>
          <w:tcPr>
            <w:tcW w:w="687" w:type="dxa"/>
            <w:noWrap/>
            <w:vAlign w:val="center"/>
            <w:hideMark/>
          </w:tcPr>
          <w:p w14:paraId="31C540E4" w14:textId="5DB3C90D" w:rsidR="00204A7A" w:rsidRPr="00277E2A" w:rsidRDefault="00204A7A" w:rsidP="00204A7A">
            <w:pPr>
              <w:spacing w:after="0"/>
              <w:ind w:left="0"/>
              <w:jc w:val="center"/>
              <w:rPr>
                <w:rFonts w:cs="Calibri"/>
                <w:color w:val="000000"/>
                <w:szCs w:val="24"/>
              </w:rPr>
            </w:pPr>
            <w:r>
              <w:rPr>
                <w:szCs w:val="22"/>
              </w:rPr>
              <w:t>36</w:t>
            </w:r>
          </w:p>
        </w:tc>
        <w:tc>
          <w:tcPr>
            <w:tcW w:w="1689" w:type="dxa"/>
            <w:noWrap/>
            <w:vAlign w:val="center"/>
            <w:hideMark/>
          </w:tcPr>
          <w:p w14:paraId="7757372D" w14:textId="77777777" w:rsidR="00204A7A" w:rsidRPr="00C744E7" w:rsidRDefault="00204A7A" w:rsidP="00204A7A">
            <w:pPr>
              <w:spacing w:after="0"/>
              <w:ind w:left="0"/>
              <w:rPr>
                <w:rFonts w:cs="Calibri"/>
                <w:color w:val="000000"/>
                <w:szCs w:val="24"/>
              </w:rPr>
            </w:pPr>
            <w:r w:rsidRPr="00C744E7">
              <w:rPr>
                <w:rFonts w:cs="Calibri"/>
                <w:color w:val="000000"/>
                <w:szCs w:val="24"/>
              </w:rPr>
              <w:t>Weekly</w:t>
            </w:r>
          </w:p>
        </w:tc>
        <w:tc>
          <w:tcPr>
            <w:tcW w:w="1789" w:type="dxa"/>
            <w:noWrap/>
            <w:vAlign w:val="center"/>
            <w:hideMark/>
          </w:tcPr>
          <w:p w14:paraId="67ECBD12" w14:textId="77777777" w:rsidR="00204A7A" w:rsidRPr="00C744E7" w:rsidRDefault="00204A7A" w:rsidP="00204A7A">
            <w:pPr>
              <w:spacing w:after="0"/>
              <w:ind w:left="0"/>
              <w:rPr>
                <w:rFonts w:cs="Calibri"/>
                <w:color w:val="000000"/>
                <w:szCs w:val="24"/>
              </w:rPr>
            </w:pPr>
            <w:r w:rsidRPr="00C744E7">
              <w:rPr>
                <w:rFonts w:cs="Calibri"/>
                <w:color w:val="000000"/>
                <w:szCs w:val="24"/>
              </w:rPr>
              <w:t xml:space="preserve">CA Docket Lists </w:t>
            </w:r>
          </w:p>
        </w:tc>
        <w:tc>
          <w:tcPr>
            <w:tcW w:w="7024" w:type="dxa"/>
            <w:vAlign w:val="center"/>
            <w:hideMark/>
          </w:tcPr>
          <w:p w14:paraId="001E41F8" w14:textId="77777777" w:rsidR="00204A7A" w:rsidRPr="00C744E7" w:rsidRDefault="00204A7A" w:rsidP="00204A7A">
            <w:pPr>
              <w:spacing w:after="0"/>
              <w:ind w:left="0"/>
              <w:rPr>
                <w:rFonts w:cs="Calibri"/>
                <w:color w:val="000000"/>
                <w:szCs w:val="24"/>
              </w:rPr>
            </w:pPr>
            <w:r w:rsidRPr="00C744E7">
              <w:rPr>
                <w:rFonts w:cs="Calibri"/>
                <w:color w:val="000000"/>
                <w:szCs w:val="24"/>
              </w:rPr>
              <w:t>Provides the same information as the Alpha and Employer list (in ADA, the SSN is provided and is not searchable)</w:t>
            </w:r>
          </w:p>
        </w:tc>
      </w:tr>
      <w:tr w:rsidR="00204A7A" w:rsidRPr="00293F5E" w14:paraId="00644F9A" w14:textId="77777777" w:rsidTr="007569F9">
        <w:trPr>
          <w:trHeight w:val="300"/>
        </w:trPr>
        <w:tc>
          <w:tcPr>
            <w:tcW w:w="687" w:type="dxa"/>
            <w:noWrap/>
            <w:vAlign w:val="center"/>
            <w:hideMark/>
          </w:tcPr>
          <w:p w14:paraId="518990AB" w14:textId="689CF8DC" w:rsidR="00204A7A" w:rsidRPr="00277E2A" w:rsidRDefault="00204A7A" w:rsidP="00204A7A">
            <w:pPr>
              <w:spacing w:after="0"/>
              <w:ind w:left="0"/>
              <w:jc w:val="center"/>
              <w:rPr>
                <w:rFonts w:cs="Calibri"/>
                <w:color w:val="000000"/>
                <w:szCs w:val="24"/>
              </w:rPr>
            </w:pPr>
            <w:r>
              <w:rPr>
                <w:color w:val="000000"/>
                <w:szCs w:val="22"/>
              </w:rPr>
              <w:t>37</w:t>
            </w:r>
          </w:p>
        </w:tc>
        <w:tc>
          <w:tcPr>
            <w:tcW w:w="1689" w:type="dxa"/>
            <w:noWrap/>
            <w:vAlign w:val="center"/>
            <w:hideMark/>
          </w:tcPr>
          <w:p w14:paraId="257FBEF3" w14:textId="77777777" w:rsidR="00204A7A" w:rsidRPr="00C744E7" w:rsidRDefault="00204A7A" w:rsidP="00204A7A">
            <w:pPr>
              <w:spacing w:after="0"/>
              <w:ind w:left="0"/>
              <w:rPr>
                <w:rFonts w:cs="Calibri"/>
                <w:color w:val="000000"/>
                <w:szCs w:val="24"/>
              </w:rPr>
            </w:pPr>
            <w:r w:rsidRPr="00C744E7">
              <w:rPr>
                <w:rFonts w:cs="Calibri"/>
                <w:color w:val="000000"/>
                <w:szCs w:val="24"/>
              </w:rPr>
              <w:t>Weekly</w:t>
            </w:r>
          </w:p>
        </w:tc>
        <w:tc>
          <w:tcPr>
            <w:tcW w:w="1789" w:type="dxa"/>
            <w:noWrap/>
            <w:vAlign w:val="center"/>
            <w:hideMark/>
          </w:tcPr>
          <w:p w14:paraId="30CD270D" w14:textId="77777777" w:rsidR="00204A7A" w:rsidRPr="00C744E7" w:rsidRDefault="00204A7A" w:rsidP="00204A7A">
            <w:pPr>
              <w:spacing w:after="0"/>
              <w:ind w:left="0"/>
              <w:rPr>
                <w:rFonts w:cs="Calibri"/>
                <w:color w:val="000000"/>
                <w:szCs w:val="24"/>
              </w:rPr>
            </w:pPr>
            <w:r w:rsidRPr="00C744E7">
              <w:rPr>
                <w:rFonts w:cs="Calibri"/>
                <w:color w:val="000000"/>
                <w:szCs w:val="24"/>
              </w:rPr>
              <w:t xml:space="preserve">DUA and DI AT and CA </w:t>
            </w:r>
            <w:r w:rsidRPr="00C744E7">
              <w:rPr>
                <w:rFonts w:cs="Calibri"/>
                <w:color w:val="000000"/>
                <w:szCs w:val="24"/>
              </w:rPr>
              <w:lastRenderedPageBreak/>
              <w:t>Appeals Summary</w:t>
            </w:r>
          </w:p>
        </w:tc>
        <w:tc>
          <w:tcPr>
            <w:tcW w:w="7024" w:type="dxa"/>
            <w:vAlign w:val="center"/>
            <w:hideMark/>
          </w:tcPr>
          <w:p w14:paraId="495FEF18" w14:textId="726E98FE" w:rsidR="00204A7A" w:rsidRPr="00C744E7" w:rsidRDefault="00204A7A" w:rsidP="00204A7A">
            <w:pPr>
              <w:spacing w:after="0"/>
              <w:ind w:left="0"/>
              <w:rPr>
                <w:rFonts w:cs="Calibri"/>
                <w:color w:val="000000"/>
                <w:szCs w:val="24"/>
              </w:rPr>
            </w:pPr>
            <w:r w:rsidRPr="00C744E7">
              <w:rPr>
                <w:rFonts w:cs="Calibri"/>
                <w:color w:val="000000"/>
                <w:szCs w:val="24"/>
              </w:rPr>
              <w:lastRenderedPageBreak/>
              <w:t>Provides a summary of DUA and</w:t>
            </w:r>
            <w:r>
              <w:rPr>
                <w:rFonts w:cs="Calibri"/>
                <w:color w:val="000000"/>
                <w:szCs w:val="24"/>
              </w:rPr>
              <w:t xml:space="preserve"> Disaster-Impacted (DI) appeals</w:t>
            </w:r>
          </w:p>
        </w:tc>
      </w:tr>
      <w:tr w:rsidR="00204A7A" w:rsidRPr="00293F5E" w14:paraId="0DCDCEF1" w14:textId="77777777" w:rsidTr="007569F9">
        <w:trPr>
          <w:trHeight w:val="300"/>
        </w:trPr>
        <w:tc>
          <w:tcPr>
            <w:tcW w:w="687" w:type="dxa"/>
            <w:noWrap/>
            <w:vAlign w:val="center"/>
            <w:hideMark/>
          </w:tcPr>
          <w:p w14:paraId="234E7F4B" w14:textId="57D51C5F" w:rsidR="00204A7A" w:rsidRPr="00277E2A" w:rsidRDefault="00204A7A" w:rsidP="00204A7A">
            <w:pPr>
              <w:spacing w:after="0"/>
              <w:ind w:left="0"/>
              <w:jc w:val="center"/>
              <w:rPr>
                <w:rFonts w:cs="Calibri"/>
                <w:color w:val="000000"/>
                <w:szCs w:val="24"/>
              </w:rPr>
            </w:pPr>
            <w:r>
              <w:rPr>
                <w:szCs w:val="22"/>
              </w:rPr>
              <w:t>38</w:t>
            </w:r>
          </w:p>
        </w:tc>
        <w:tc>
          <w:tcPr>
            <w:tcW w:w="1689" w:type="dxa"/>
            <w:noWrap/>
            <w:vAlign w:val="center"/>
            <w:hideMark/>
          </w:tcPr>
          <w:p w14:paraId="15762A81" w14:textId="77777777" w:rsidR="00204A7A" w:rsidRPr="00C744E7" w:rsidRDefault="00204A7A" w:rsidP="00204A7A">
            <w:pPr>
              <w:spacing w:after="0"/>
              <w:ind w:left="0"/>
              <w:rPr>
                <w:rFonts w:cs="Calibri"/>
                <w:color w:val="000000"/>
                <w:szCs w:val="24"/>
              </w:rPr>
            </w:pPr>
            <w:r w:rsidRPr="00C744E7">
              <w:rPr>
                <w:rFonts w:cs="Calibri"/>
                <w:color w:val="000000"/>
                <w:szCs w:val="24"/>
              </w:rPr>
              <w:t>Weekly</w:t>
            </w:r>
          </w:p>
        </w:tc>
        <w:tc>
          <w:tcPr>
            <w:tcW w:w="1789" w:type="dxa"/>
            <w:noWrap/>
            <w:vAlign w:val="center"/>
            <w:hideMark/>
          </w:tcPr>
          <w:p w14:paraId="714958F3" w14:textId="77777777" w:rsidR="00204A7A" w:rsidRPr="00C744E7" w:rsidRDefault="00204A7A" w:rsidP="00204A7A">
            <w:pPr>
              <w:spacing w:after="0"/>
              <w:ind w:left="0"/>
              <w:rPr>
                <w:rFonts w:cs="Calibri"/>
                <w:color w:val="000000"/>
                <w:szCs w:val="24"/>
              </w:rPr>
            </w:pPr>
            <w:r w:rsidRPr="00C744E7">
              <w:rPr>
                <w:rFonts w:cs="Calibri"/>
                <w:color w:val="000000"/>
                <w:szCs w:val="24"/>
              </w:rPr>
              <w:t>CA/MR Active Appeals with No Assignment</w:t>
            </w:r>
          </w:p>
        </w:tc>
        <w:tc>
          <w:tcPr>
            <w:tcW w:w="7024" w:type="dxa"/>
            <w:vAlign w:val="center"/>
            <w:hideMark/>
          </w:tcPr>
          <w:p w14:paraId="25E64410" w14:textId="77777777" w:rsidR="00204A7A" w:rsidRPr="00C744E7" w:rsidRDefault="00204A7A" w:rsidP="00204A7A">
            <w:pPr>
              <w:spacing w:after="0"/>
              <w:ind w:left="0"/>
              <w:rPr>
                <w:rFonts w:cs="Calibri"/>
                <w:color w:val="000000"/>
                <w:szCs w:val="24"/>
              </w:rPr>
            </w:pPr>
            <w:r w:rsidRPr="00C744E7">
              <w:rPr>
                <w:rFonts w:cs="Calibri"/>
                <w:color w:val="000000"/>
                <w:szCs w:val="24"/>
              </w:rPr>
              <w:t>Provides a backlog list of unassigned higher authority appeals</w:t>
            </w:r>
          </w:p>
        </w:tc>
      </w:tr>
      <w:tr w:rsidR="00204A7A" w:rsidRPr="00293F5E" w14:paraId="250ED960" w14:textId="77777777" w:rsidTr="007569F9">
        <w:trPr>
          <w:trHeight w:val="300"/>
        </w:trPr>
        <w:tc>
          <w:tcPr>
            <w:tcW w:w="687" w:type="dxa"/>
            <w:noWrap/>
            <w:vAlign w:val="center"/>
          </w:tcPr>
          <w:p w14:paraId="4B9530E4" w14:textId="29B8826B" w:rsidR="00204A7A" w:rsidRPr="00277E2A" w:rsidRDefault="00204A7A" w:rsidP="00204A7A">
            <w:pPr>
              <w:spacing w:after="0"/>
              <w:ind w:left="0"/>
              <w:jc w:val="center"/>
              <w:rPr>
                <w:rFonts w:cs="Calibri"/>
                <w:color w:val="000000"/>
                <w:szCs w:val="24"/>
              </w:rPr>
            </w:pPr>
            <w:r>
              <w:rPr>
                <w:color w:val="000000"/>
                <w:szCs w:val="22"/>
              </w:rPr>
              <w:t>39</w:t>
            </w:r>
          </w:p>
        </w:tc>
        <w:tc>
          <w:tcPr>
            <w:tcW w:w="1689" w:type="dxa"/>
            <w:noWrap/>
            <w:vAlign w:val="center"/>
          </w:tcPr>
          <w:p w14:paraId="358185D4" w14:textId="13B148CB" w:rsidR="00204A7A" w:rsidRPr="00C744E7" w:rsidRDefault="00204A7A" w:rsidP="00204A7A">
            <w:pPr>
              <w:spacing w:after="0"/>
              <w:ind w:left="0"/>
              <w:rPr>
                <w:rFonts w:cs="Calibri"/>
                <w:color w:val="000000"/>
                <w:szCs w:val="24"/>
              </w:rPr>
            </w:pPr>
            <w:r>
              <w:rPr>
                <w:rFonts w:cs="Calibri"/>
                <w:color w:val="000000"/>
                <w:szCs w:val="24"/>
              </w:rPr>
              <w:t>Weekly</w:t>
            </w:r>
          </w:p>
        </w:tc>
        <w:tc>
          <w:tcPr>
            <w:tcW w:w="1789" w:type="dxa"/>
            <w:noWrap/>
            <w:vAlign w:val="center"/>
          </w:tcPr>
          <w:p w14:paraId="44F7D82D" w14:textId="2A055780" w:rsidR="00204A7A" w:rsidRPr="00C744E7" w:rsidRDefault="00204A7A" w:rsidP="00204A7A">
            <w:pPr>
              <w:spacing w:after="0"/>
              <w:ind w:left="0"/>
              <w:rPr>
                <w:rFonts w:cs="Calibri"/>
                <w:color w:val="000000"/>
                <w:szCs w:val="24"/>
              </w:rPr>
            </w:pPr>
            <w:r>
              <w:rPr>
                <w:rFonts w:cs="Calibri"/>
                <w:color w:val="000000"/>
                <w:szCs w:val="24"/>
              </w:rPr>
              <w:t>Supplemental Summary Report</w:t>
            </w:r>
          </w:p>
        </w:tc>
        <w:tc>
          <w:tcPr>
            <w:tcW w:w="7024" w:type="dxa"/>
            <w:vAlign w:val="center"/>
          </w:tcPr>
          <w:p w14:paraId="732D1F18" w14:textId="5CE31EF2" w:rsidR="00204A7A" w:rsidRPr="00C744E7" w:rsidRDefault="00204A7A" w:rsidP="00204A7A">
            <w:pPr>
              <w:spacing w:after="0"/>
              <w:ind w:left="0"/>
              <w:rPr>
                <w:rFonts w:cs="Calibri"/>
                <w:color w:val="000000"/>
                <w:szCs w:val="24"/>
              </w:rPr>
            </w:pPr>
            <w:r>
              <w:rPr>
                <w:rFonts w:cs="Calibri"/>
                <w:color w:val="000000"/>
                <w:szCs w:val="24"/>
              </w:rPr>
              <w:t>A report to track the supplemental summaries requested by the Commission Offices and when such a request was completed</w:t>
            </w:r>
          </w:p>
        </w:tc>
      </w:tr>
      <w:tr w:rsidR="00204A7A" w:rsidRPr="00293F5E" w14:paraId="52BB1A74" w14:textId="77777777" w:rsidTr="007569F9">
        <w:trPr>
          <w:trHeight w:val="300"/>
        </w:trPr>
        <w:tc>
          <w:tcPr>
            <w:tcW w:w="687" w:type="dxa"/>
            <w:noWrap/>
            <w:vAlign w:val="center"/>
            <w:hideMark/>
          </w:tcPr>
          <w:p w14:paraId="2B889EB6" w14:textId="364F40B0" w:rsidR="00204A7A" w:rsidRPr="00277E2A" w:rsidRDefault="00204A7A" w:rsidP="00204A7A">
            <w:pPr>
              <w:spacing w:after="0"/>
              <w:ind w:left="0"/>
              <w:jc w:val="center"/>
              <w:rPr>
                <w:rFonts w:cs="Calibri"/>
                <w:color w:val="000000"/>
                <w:szCs w:val="24"/>
              </w:rPr>
            </w:pPr>
            <w:r>
              <w:rPr>
                <w:szCs w:val="22"/>
              </w:rPr>
              <w:t>40</w:t>
            </w:r>
          </w:p>
        </w:tc>
        <w:tc>
          <w:tcPr>
            <w:tcW w:w="1689" w:type="dxa"/>
            <w:noWrap/>
            <w:vAlign w:val="center"/>
            <w:hideMark/>
          </w:tcPr>
          <w:p w14:paraId="333D7792" w14:textId="77777777" w:rsidR="00204A7A" w:rsidRPr="00C744E7" w:rsidRDefault="00204A7A" w:rsidP="00204A7A">
            <w:pPr>
              <w:spacing w:after="0"/>
              <w:ind w:left="0"/>
              <w:rPr>
                <w:rFonts w:cs="Calibri"/>
                <w:color w:val="000000"/>
                <w:szCs w:val="24"/>
              </w:rPr>
            </w:pPr>
            <w:r w:rsidRPr="00C744E7">
              <w:rPr>
                <w:rFonts w:cs="Calibri"/>
                <w:color w:val="000000"/>
                <w:szCs w:val="24"/>
              </w:rPr>
              <w:t>Monthly</w:t>
            </w:r>
          </w:p>
        </w:tc>
        <w:tc>
          <w:tcPr>
            <w:tcW w:w="1789" w:type="dxa"/>
            <w:noWrap/>
            <w:vAlign w:val="center"/>
            <w:hideMark/>
          </w:tcPr>
          <w:p w14:paraId="5820F281" w14:textId="77777777" w:rsidR="00204A7A" w:rsidRPr="00C744E7" w:rsidRDefault="00204A7A" w:rsidP="00204A7A">
            <w:pPr>
              <w:spacing w:after="0"/>
              <w:ind w:left="0"/>
              <w:rPr>
                <w:rFonts w:cs="Calibri"/>
                <w:color w:val="000000"/>
                <w:szCs w:val="24"/>
              </w:rPr>
            </w:pPr>
            <w:r w:rsidRPr="00C744E7">
              <w:rPr>
                <w:rFonts w:cs="Calibri"/>
                <w:color w:val="000000"/>
                <w:szCs w:val="24"/>
              </w:rPr>
              <w:t>Summary</w:t>
            </w:r>
          </w:p>
        </w:tc>
        <w:tc>
          <w:tcPr>
            <w:tcW w:w="7024" w:type="dxa"/>
            <w:vAlign w:val="center"/>
            <w:hideMark/>
          </w:tcPr>
          <w:p w14:paraId="0304303C" w14:textId="77777777" w:rsidR="00204A7A" w:rsidRPr="00C744E7" w:rsidRDefault="00204A7A" w:rsidP="00204A7A">
            <w:pPr>
              <w:spacing w:after="0"/>
              <w:ind w:left="0"/>
              <w:rPr>
                <w:rFonts w:cs="Calibri"/>
                <w:color w:val="000000"/>
                <w:szCs w:val="24"/>
              </w:rPr>
            </w:pPr>
            <w:r w:rsidRPr="00C744E7">
              <w:rPr>
                <w:rFonts w:cs="Calibri"/>
                <w:color w:val="000000"/>
                <w:szCs w:val="24"/>
              </w:rPr>
              <w:t>Provides a summary of corrected decisions and decisions issued within three days of the hearing</w:t>
            </w:r>
          </w:p>
        </w:tc>
      </w:tr>
      <w:tr w:rsidR="00204A7A" w:rsidRPr="00293F5E" w14:paraId="6B10DA55" w14:textId="77777777" w:rsidTr="007569F9">
        <w:trPr>
          <w:trHeight w:val="300"/>
        </w:trPr>
        <w:tc>
          <w:tcPr>
            <w:tcW w:w="687" w:type="dxa"/>
            <w:noWrap/>
            <w:vAlign w:val="center"/>
            <w:hideMark/>
          </w:tcPr>
          <w:p w14:paraId="6EF2B7DF" w14:textId="2DF58006" w:rsidR="00204A7A" w:rsidRPr="00277E2A" w:rsidRDefault="00204A7A" w:rsidP="00204A7A">
            <w:pPr>
              <w:spacing w:after="0"/>
              <w:ind w:left="0"/>
              <w:jc w:val="center"/>
              <w:rPr>
                <w:rFonts w:cs="Calibri"/>
                <w:color w:val="000000"/>
                <w:szCs w:val="24"/>
              </w:rPr>
            </w:pPr>
            <w:r>
              <w:rPr>
                <w:color w:val="000000"/>
                <w:szCs w:val="22"/>
              </w:rPr>
              <w:t>41</w:t>
            </w:r>
          </w:p>
        </w:tc>
        <w:tc>
          <w:tcPr>
            <w:tcW w:w="1689" w:type="dxa"/>
            <w:noWrap/>
            <w:vAlign w:val="center"/>
            <w:hideMark/>
          </w:tcPr>
          <w:p w14:paraId="7084CDC9" w14:textId="77777777" w:rsidR="00204A7A" w:rsidRPr="00C744E7" w:rsidRDefault="00204A7A" w:rsidP="00204A7A">
            <w:pPr>
              <w:spacing w:after="0"/>
              <w:ind w:left="0"/>
              <w:rPr>
                <w:rFonts w:cs="Calibri"/>
                <w:color w:val="000000"/>
                <w:szCs w:val="24"/>
              </w:rPr>
            </w:pPr>
            <w:r w:rsidRPr="00C744E7">
              <w:rPr>
                <w:rFonts w:cs="Calibri"/>
                <w:color w:val="000000"/>
                <w:szCs w:val="24"/>
              </w:rPr>
              <w:t>Monthly</w:t>
            </w:r>
          </w:p>
        </w:tc>
        <w:tc>
          <w:tcPr>
            <w:tcW w:w="1789" w:type="dxa"/>
            <w:noWrap/>
            <w:vAlign w:val="center"/>
            <w:hideMark/>
          </w:tcPr>
          <w:p w14:paraId="31D787E3" w14:textId="77777777" w:rsidR="00204A7A" w:rsidRPr="00C744E7" w:rsidRDefault="00204A7A" w:rsidP="00204A7A">
            <w:pPr>
              <w:spacing w:after="0"/>
              <w:ind w:left="0"/>
              <w:rPr>
                <w:rFonts w:cs="Calibri"/>
                <w:color w:val="000000"/>
                <w:szCs w:val="24"/>
              </w:rPr>
            </w:pPr>
            <w:r w:rsidRPr="00C744E7">
              <w:rPr>
                <w:rFonts w:cs="Calibri"/>
                <w:color w:val="000000"/>
                <w:szCs w:val="24"/>
              </w:rPr>
              <w:t>Misconduct/Vol. Leave</w:t>
            </w:r>
          </w:p>
        </w:tc>
        <w:tc>
          <w:tcPr>
            <w:tcW w:w="7024" w:type="dxa"/>
            <w:vAlign w:val="center"/>
            <w:hideMark/>
          </w:tcPr>
          <w:p w14:paraId="3484F0A6" w14:textId="77777777" w:rsidR="00204A7A" w:rsidRPr="00C744E7" w:rsidRDefault="00204A7A" w:rsidP="00204A7A">
            <w:pPr>
              <w:spacing w:after="0"/>
              <w:ind w:left="0"/>
              <w:rPr>
                <w:rFonts w:cs="Calibri"/>
                <w:color w:val="000000"/>
                <w:szCs w:val="24"/>
              </w:rPr>
            </w:pPr>
            <w:r w:rsidRPr="00C744E7">
              <w:rPr>
                <w:rFonts w:cs="Calibri"/>
                <w:color w:val="000000"/>
                <w:szCs w:val="24"/>
              </w:rPr>
              <w:t>Provides a list of cases (population) to pull from for performance evaluations; related to internal performance metrics for hearing officers</w:t>
            </w:r>
          </w:p>
        </w:tc>
      </w:tr>
      <w:tr w:rsidR="00204A7A" w:rsidRPr="00293F5E" w14:paraId="14843E0A" w14:textId="77777777" w:rsidTr="007569F9">
        <w:trPr>
          <w:trHeight w:val="300"/>
        </w:trPr>
        <w:tc>
          <w:tcPr>
            <w:tcW w:w="687" w:type="dxa"/>
            <w:noWrap/>
            <w:vAlign w:val="center"/>
            <w:hideMark/>
          </w:tcPr>
          <w:p w14:paraId="7C8CB5E8" w14:textId="4B867740" w:rsidR="00204A7A" w:rsidRPr="00277E2A" w:rsidRDefault="00204A7A" w:rsidP="00204A7A">
            <w:pPr>
              <w:spacing w:after="0"/>
              <w:ind w:left="0"/>
              <w:jc w:val="center"/>
              <w:rPr>
                <w:rFonts w:cs="Calibri"/>
                <w:color w:val="000000"/>
                <w:szCs w:val="24"/>
              </w:rPr>
            </w:pPr>
            <w:r>
              <w:rPr>
                <w:szCs w:val="22"/>
              </w:rPr>
              <w:t>42</w:t>
            </w:r>
          </w:p>
        </w:tc>
        <w:tc>
          <w:tcPr>
            <w:tcW w:w="1689" w:type="dxa"/>
            <w:noWrap/>
            <w:vAlign w:val="center"/>
            <w:hideMark/>
          </w:tcPr>
          <w:p w14:paraId="3D2B7899" w14:textId="77777777" w:rsidR="00204A7A" w:rsidRPr="00C744E7" w:rsidRDefault="00204A7A" w:rsidP="00204A7A">
            <w:pPr>
              <w:spacing w:after="0"/>
              <w:ind w:left="0"/>
              <w:rPr>
                <w:rFonts w:cs="Calibri"/>
                <w:color w:val="000000"/>
                <w:szCs w:val="24"/>
              </w:rPr>
            </w:pPr>
            <w:r w:rsidRPr="00C744E7">
              <w:rPr>
                <w:rFonts w:cs="Calibri"/>
                <w:color w:val="000000"/>
                <w:szCs w:val="24"/>
              </w:rPr>
              <w:t>Monthly</w:t>
            </w:r>
          </w:p>
        </w:tc>
        <w:tc>
          <w:tcPr>
            <w:tcW w:w="1789" w:type="dxa"/>
            <w:noWrap/>
            <w:vAlign w:val="center"/>
            <w:hideMark/>
          </w:tcPr>
          <w:p w14:paraId="47BE4E0A" w14:textId="77777777" w:rsidR="00204A7A" w:rsidRPr="00C744E7" w:rsidRDefault="00204A7A" w:rsidP="00204A7A">
            <w:pPr>
              <w:spacing w:after="0"/>
              <w:ind w:left="0"/>
              <w:rPr>
                <w:rFonts w:cs="Calibri"/>
                <w:color w:val="000000"/>
                <w:szCs w:val="24"/>
              </w:rPr>
            </w:pPr>
            <w:r w:rsidRPr="00C744E7">
              <w:rPr>
                <w:rFonts w:cs="Calibri"/>
                <w:color w:val="000000"/>
                <w:szCs w:val="24"/>
              </w:rPr>
              <w:t>Affirmation/Reversal</w:t>
            </w:r>
          </w:p>
        </w:tc>
        <w:tc>
          <w:tcPr>
            <w:tcW w:w="7024" w:type="dxa"/>
            <w:vAlign w:val="center"/>
            <w:hideMark/>
          </w:tcPr>
          <w:p w14:paraId="6AC4A1E8" w14:textId="39CB6F4B" w:rsidR="00204A7A" w:rsidRPr="00C744E7" w:rsidRDefault="00204A7A" w:rsidP="00204A7A">
            <w:pPr>
              <w:spacing w:after="0"/>
              <w:ind w:left="0"/>
              <w:rPr>
                <w:rFonts w:cs="Calibri"/>
                <w:color w:val="000000"/>
                <w:szCs w:val="24"/>
              </w:rPr>
            </w:pPr>
            <w:r w:rsidRPr="00C744E7">
              <w:rPr>
                <w:rFonts w:cs="Calibri"/>
                <w:color w:val="000000"/>
                <w:szCs w:val="24"/>
              </w:rPr>
              <w:t>Provides a percentage of appeals by appellant and the results by appellant</w:t>
            </w:r>
          </w:p>
        </w:tc>
      </w:tr>
      <w:tr w:rsidR="00204A7A" w:rsidRPr="00293F5E" w14:paraId="7E6C7679" w14:textId="77777777" w:rsidTr="007569F9">
        <w:trPr>
          <w:trHeight w:val="300"/>
        </w:trPr>
        <w:tc>
          <w:tcPr>
            <w:tcW w:w="687" w:type="dxa"/>
            <w:noWrap/>
            <w:vAlign w:val="center"/>
            <w:hideMark/>
          </w:tcPr>
          <w:p w14:paraId="304CC9BE" w14:textId="2476E87E" w:rsidR="00204A7A" w:rsidRPr="00277E2A" w:rsidRDefault="00204A7A" w:rsidP="00204A7A">
            <w:pPr>
              <w:spacing w:after="0"/>
              <w:ind w:left="0"/>
              <w:jc w:val="center"/>
              <w:rPr>
                <w:rFonts w:cs="Calibri"/>
                <w:color w:val="000000"/>
                <w:szCs w:val="24"/>
              </w:rPr>
            </w:pPr>
            <w:r>
              <w:rPr>
                <w:color w:val="000000"/>
                <w:szCs w:val="22"/>
              </w:rPr>
              <w:t>43</w:t>
            </w:r>
          </w:p>
        </w:tc>
        <w:tc>
          <w:tcPr>
            <w:tcW w:w="1689" w:type="dxa"/>
            <w:noWrap/>
            <w:vAlign w:val="center"/>
            <w:hideMark/>
          </w:tcPr>
          <w:p w14:paraId="0CE45C23" w14:textId="77777777" w:rsidR="00204A7A" w:rsidRPr="00C744E7" w:rsidRDefault="00204A7A" w:rsidP="00204A7A">
            <w:pPr>
              <w:spacing w:after="0"/>
              <w:ind w:left="0"/>
              <w:rPr>
                <w:rFonts w:cs="Calibri"/>
                <w:color w:val="000000"/>
                <w:szCs w:val="24"/>
              </w:rPr>
            </w:pPr>
            <w:r w:rsidRPr="00C744E7">
              <w:rPr>
                <w:rFonts w:cs="Calibri"/>
                <w:color w:val="000000"/>
                <w:szCs w:val="24"/>
              </w:rPr>
              <w:t>Monthly</w:t>
            </w:r>
          </w:p>
        </w:tc>
        <w:tc>
          <w:tcPr>
            <w:tcW w:w="1789" w:type="dxa"/>
            <w:noWrap/>
            <w:vAlign w:val="center"/>
            <w:hideMark/>
          </w:tcPr>
          <w:p w14:paraId="2FAF6396" w14:textId="77777777" w:rsidR="00204A7A" w:rsidRPr="00C744E7" w:rsidRDefault="00204A7A" w:rsidP="00204A7A">
            <w:pPr>
              <w:spacing w:after="0"/>
              <w:ind w:left="0"/>
              <w:rPr>
                <w:rFonts w:cs="Calibri"/>
                <w:color w:val="000000"/>
                <w:szCs w:val="24"/>
              </w:rPr>
            </w:pPr>
            <w:r w:rsidRPr="00C744E7">
              <w:rPr>
                <w:rFonts w:cs="Calibri"/>
                <w:color w:val="000000"/>
                <w:szCs w:val="24"/>
              </w:rPr>
              <w:t>Decision Report-FR</w:t>
            </w:r>
          </w:p>
        </w:tc>
        <w:tc>
          <w:tcPr>
            <w:tcW w:w="7024" w:type="dxa"/>
            <w:vAlign w:val="center"/>
            <w:hideMark/>
          </w:tcPr>
          <w:p w14:paraId="768C4628" w14:textId="77777777" w:rsidR="00204A7A" w:rsidRPr="00C744E7" w:rsidRDefault="00204A7A" w:rsidP="00204A7A">
            <w:pPr>
              <w:spacing w:after="0"/>
              <w:ind w:left="0"/>
              <w:rPr>
                <w:rFonts w:cs="Calibri"/>
                <w:color w:val="000000"/>
                <w:szCs w:val="24"/>
              </w:rPr>
            </w:pPr>
            <w:r w:rsidRPr="00C744E7">
              <w:rPr>
                <w:rFonts w:cs="Calibri"/>
                <w:color w:val="000000"/>
                <w:szCs w:val="24"/>
              </w:rPr>
              <w:t>Provides a list of cases mailed and the result with fraud as an issue for lower authority appeals</w:t>
            </w:r>
          </w:p>
        </w:tc>
      </w:tr>
      <w:tr w:rsidR="00204A7A" w:rsidRPr="00293F5E" w14:paraId="3D8A8D39" w14:textId="77777777" w:rsidTr="007569F9">
        <w:trPr>
          <w:trHeight w:val="300"/>
        </w:trPr>
        <w:tc>
          <w:tcPr>
            <w:tcW w:w="687" w:type="dxa"/>
            <w:noWrap/>
            <w:vAlign w:val="center"/>
            <w:hideMark/>
          </w:tcPr>
          <w:p w14:paraId="39FF14F6" w14:textId="2AD5A075" w:rsidR="00204A7A" w:rsidRPr="00277E2A" w:rsidRDefault="00204A7A" w:rsidP="00204A7A">
            <w:pPr>
              <w:spacing w:after="0"/>
              <w:ind w:left="0"/>
              <w:jc w:val="center"/>
              <w:rPr>
                <w:rFonts w:cs="Calibri"/>
                <w:color w:val="000000"/>
                <w:szCs w:val="24"/>
              </w:rPr>
            </w:pPr>
            <w:r>
              <w:rPr>
                <w:szCs w:val="22"/>
              </w:rPr>
              <w:t>44</w:t>
            </w:r>
          </w:p>
        </w:tc>
        <w:tc>
          <w:tcPr>
            <w:tcW w:w="1689" w:type="dxa"/>
            <w:noWrap/>
            <w:vAlign w:val="center"/>
            <w:hideMark/>
          </w:tcPr>
          <w:p w14:paraId="09D3EFF8" w14:textId="77777777" w:rsidR="00204A7A" w:rsidRPr="00C744E7" w:rsidRDefault="00204A7A" w:rsidP="00204A7A">
            <w:pPr>
              <w:spacing w:after="0"/>
              <w:ind w:left="0"/>
              <w:rPr>
                <w:rFonts w:cs="Calibri"/>
                <w:color w:val="000000"/>
                <w:szCs w:val="24"/>
              </w:rPr>
            </w:pPr>
            <w:r w:rsidRPr="00C744E7">
              <w:rPr>
                <w:rFonts w:cs="Calibri"/>
                <w:color w:val="000000"/>
                <w:szCs w:val="24"/>
              </w:rPr>
              <w:t>Monthly</w:t>
            </w:r>
          </w:p>
        </w:tc>
        <w:tc>
          <w:tcPr>
            <w:tcW w:w="1789" w:type="dxa"/>
            <w:noWrap/>
            <w:vAlign w:val="center"/>
            <w:hideMark/>
          </w:tcPr>
          <w:p w14:paraId="22A9C554" w14:textId="77777777" w:rsidR="00204A7A" w:rsidRPr="00C744E7" w:rsidRDefault="00204A7A" w:rsidP="00204A7A">
            <w:pPr>
              <w:spacing w:after="0"/>
              <w:ind w:left="0"/>
              <w:rPr>
                <w:rFonts w:cs="Calibri"/>
                <w:color w:val="000000"/>
                <w:szCs w:val="24"/>
              </w:rPr>
            </w:pPr>
            <w:r w:rsidRPr="00C744E7">
              <w:rPr>
                <w:rFonts w:cs="Calibri"/>
                <w:color w:val="000000"/>
                <w:szCs w:val="24"/>
              </w:rPr>
              <w:t>Hearing Officer Report</w:t>
            </w:r>
          </w:p>
        </w:tc>
        <w:tc>
          <w:tcPr>
            <w:tcW w:w="7024" w:type="dxa"/>
            <w:vAlign w:val="center"/>
            <w:hideMark/>
          </w:tcPr>
          <w:p w14:paraId="6603DEE3" w14:textId="62F1E268" w:rsidR="00204A7A" w:rsidRPr="00C744E7" w:rsidRDefault="00204A7A" w:rsidP="00204A7A">
            <w:pPr>
              <w:spacing w:after="0"/>
              <w:ind w:left="0"/>
              <w:rPr>
                <w:rFonts w:cs="Calibri"/>
                <w:color w:val="000000"/>
                <w:szCs w:val="24"/>
              </w:rPr>
            </w:pPr>
            <w:r w:rsidRPr="00C744E7">
              <w:rPr>
                <w:rFonts w:cs="Calibri"/>
                <w:color w:val="000000"/>
                <w:szCs w:val="24"/>
              </w:rPr>
              <w:t xml:space="preserve">Provides a list of cases mailed, reset, pending, nonappearance, 30-day, 45-day by Hearing Officer and Totals for the department </w:t>
            </w:r>
          </w:p>
        </w:tc>
      </w:tr>
      <w:tr w:rsidR="00204A7A" w:rsidRPr="00293F5E" w14:paraId="724ED33B" w14:textId="77777777" w:rsidTr="007569F9">
        <w:trPr>
          <w:trHeight w:val="300"/>
        </w:trPr>
        <w:tc>
          <w:tcPr>
            <w:tcW w:w="687" w:type="dxa"/>
            <w:noWrap/>
            <w:vAlign w:val="center"/>
            <w:hideMark/>
          </w:tcPr>
          <w:p w14:paraId="0758869F" w14:textId="2C8F44FD" w:rsidR="00204A7A" w:rsidRPr="00277E2A" w:rsidRDefault="00204A7A" w:rsidP="00204A7A">
            <w:pPr>
              <w:spacing w:after="0"/>
              <w:ind w:left="0"/>
              <w:jc w:val="center"/>
              <w:rPr>
                <w:rFonts w:cs="Calibri"/>
                <w:color w:val="000000"/>
                <w:szCs w:val="24"/>
              </w:rPr>
            </w:pPr>
            <w:r>
              <w:rPr>
                <w:color w:val="000000"/>
                <w:szCs w:val="22"/>
              </w:rPr>
              <w:t>45</w:t>
            </w:r>
          </w:p>
        </w:tc>
        <w:tc>
          <w:tcPr>
            <w:tcW w:w="1689" w:type="dxa"/>
            <w:noWrap/>
            <w:vAlign w:val="center"/>
            <w:hideMark/>
          </w:tcPr>
          <w:p w14:paraId="6A313D1A" w14:textId="77777777" w:rsidR="00204A7A" w:rsidRPr="00C744E7" w:rsidRDefault="00204A7A" w:rsidP="00204A7A">
            <w:pPr>
              <w:spacing w:after="0"/>
              <w:ind w:left="0"/>
              <w:rPr>
                <w:rFonts w:cs="Calibri"/>
                <w:color w:val="000000"/>
                <w:szCs w:val="24"/>
              </w:rPr>
            </w:pPr>
            <w:r w:rsidRPr="00C744E7">
              <w:rPr>
                <w:rFonts w:cs="Calibri"/>
                <w:color w:val="000000"/>
                <w:szCs w:val="24"/>
              </w:rPr>
              <w:t>Monthly</w:t>
            </w:r>
          </w:p>
        </w:tc>
        <w:tc>
          <w:tcPr>
            <w:tcW w:w="1789" w:type="dxa"/>
            <w:noWrap/>
            <w:vAlign w:val="center"/>
            <w:hideMark/>
          </w:tcPr>
          <w:p w14:paraId="7E020940" w14:textId="77777777" w:rsidR="00204A7A" w:rsidRPr="00C744E7" w:rsidRDefault="00204A7A" w:rsidP="00204A7A">
            <w:pPr>
              <w:spacing w:after="0"/>
              <w:ind w:left="0"/>
              <w:rPr>
                <w:rFonts w:cs="Calibri"/>
                <w:color w:val="000000"/>
                <w:szCs w:val="24"/>
              </w:rPr>
            </w:pPr>
            <w:r w:rsidRPr="00C744E7">
              <w:rPr>
                <w:rFonts w:cs="Calibri"/>
                <w:color w:val="000000"/>
                <w:szCs w:val="24"/>
              </w:rPr>
              <w:t>Non-Appearance</w:t>
            </w:r>
          </w:p>
        </w:tc>
        <w:tc>
          <w:tcPr>
            <w:tcW w:w="7024" w:type="dxa"/>
            <w:vAlign w:val="center"/>
            <w:hideMark/>
          </w:tcPr>
          <w:p w14:paraId="2F29D14A" w14:textId="39D64174" w:rsidR="00204A7A" w:rsidRPr="00C744E7" w:rsidRDefault="00204A7A" w:rsidP="00204A7A">
            <w:pPr>
              <w:spacing w:after="0"/>
              <w:ind w:left="0"/>
              <w:rPr>
                <w:rFonts w:cs="Calibri"/>
                <w:color w:val="000000"/>
                <w:szCs w:val="24"/>
              </w:rPr>
            </w:pPr>
            <w:r w:rsidRPr="00C744E7">
              <w:rPr>
                <w:rFonts w:cs="Calibri"/>
                <w:color w:val="000000"/>
                <w:szCs w:val="24"/>
              </w:rPr>
              <w:t>Provides a list of non-appearance and withdrawals by Hearing and Total for the Department</w:t>
            </w:r>
            <w:r w:rsidR="00D42C65">
              <w:rPr>
                <w:rFonts w:cs="Calibri"/>
                <w:color w:val="000000"/>
                <w:szCs w:val="24"/>
              </w:rPr>
              <w:t>, including CA Hearing Attorneys</w:t>
            </w:r>
          </w:p>
        </w:tc>
      </w:tr>
      <w:tr w:rsidR="00204A7A" w:rsidRPr="00293F5E" w14:paraId="369D1EC7" w14:textId="77777777" w:rsidTr="007569F9">
        <w:trPr>
          <w:trHeight w:val="300"/>
        </w:trPr>
        <w:tc>
          <w:tcPr>
            <w:tcW w:w="687" w:type="dxa"/>
            <w:noWrap/>
            <w:vAlign w:val="center"/>
            <w:hideMark/>
          </w:tcPr>
          <w:p w14:paraId="550A65FC" w14:textId="02F4F5A9" w:rsidR="00204A7A" w:rsidRPr="00277E2A" w:rsidRDefault="00204A7A" w:rsidP="00204A7A">
            <w:pPr>
              <w:spacing w:after="0"/>
              <w:ind w:left="0"/>
              <w:jc w:val="center"/>
              <w:rPr>
                <w:rFonts w:cs="Calibri"/>
                <w:color w:val="000000"/>
                <w:szCs w:val="24"/>
              </w:rPr>
            </w:pPr>
            <w:r>
              <w:rPr>
                <w:szCs w:val="22"/>
              </w:rPr>
              <w:t>46</w:t>
            </w:r>
          </w:p>
        </w:tc>
        <w:tc>
          <w:tcPr>
            <w:tcW w:w="1689" w:type="dxa"/>
            <w:noWrap/>
            <w:vAlign w:val="center"/>
            <w:hideMark/>
          </w:tcPr>
          <w:p w14:paraId="0AF74F97" w14:textId="77777777" w:rsidR="00204A7A" w:rsidRPr="00C744E7" w:rsidRDefault="00204A7A" w:rsidP="00204A7A">
            <w:pPr>
              <w:spacing w:after="0"/>
              <w:ind w:left="0"/>
              <w:rPr>
                <w:rFonts w:cs="Calibri"/>
                <w:color w:val="000000"/>
                <w:szCs w:val="24"/>
              </w:rPr>
            </w:pPr>
            <w:r w:rsidRPr="00C744E7">
              <w:rPr>
                <w:rFonts w:cs="Calibri"/>
                <w:color w:val="000000"/>
                <w:szCs w:val="24"/>
              </w:rPr>
              <w:t>Monthly</w:t>
            </w:r>
          </w:p>
        </w:tc>
        <w:tc>
          <w:tcPr>
            <w:tcW w:w="1789" w:type="dxa"/>
            <w:noWrap/>
            <w:vAlign w:val="center"/>
            <w:hideMark/>
          </w:tcPr>
          <w:p w14:paraId="4CB4FB91" w14:textId="77777777" w:rsidR="00204A7A" w:rsidRPr="00C744E7" w:rsidRDefault="00204A7A" w:rsidP="00204A7A">
            <w:pPr>
              <w:spacing w:after="0"/>
              <w:ind w:left="0"/>
              <w:rPr>
                <w:rFonts w:cs="Calibri"/>
                <w:color w:val="000000"/>
                <w:szCs w:val="24"/>
              </w:rPr>
            </w:pPr>
            <w:r w:rsidRPr="00C744E7">
              <w:rPr>
                <w:rFonts w:cs="Calibri"/>
                <w:color w:val="000000"/>
                <w:szCs w:val="24"/>
              </w:rPr>
              <w:t>Language Report</w:t>
            </w:r>
          </w:p>
        </w:tc>
        <w:tc>
          <w:tcPr>
            <w:tcW w:w="7024" w:type="dxa"/>
            <w:vAlign w:val="center"/>
            <w:hideMark/>
          </w:tcPr>
          <w:p w14:paraId="5623CDDB" w14:textId="6B2790A1" w:rsidR="00204A7A" w:rsidRPr="00C744E7" w:rsidRDefault="00204A7A" w:rsidP="00204A7A">
            <w:pPr>
              <w:spacing w:after="0"/>
              <w:ind w:left="0"/>
              <w:rPr>
                <w:rFonts w:cs="Calibri"/>
                <w:color w:val="000000"/>
                <w:szCs w:val="24"/>
              </w:rPr>
            </w:pPr>
            <w:r w:rsidRPr="00C744E7">
              <w:rPr>
                <w:rFonts w:cs="Calibri"/>
                <w:color w:val="000000"/>
                <w:szCs w:val="24"/>
              </w:rPr>
              <w:t>Provides a list of Spanish decisions mailed in the month</w:t>
            </w:r>
            <w:r w:rsidR="00D42C65">
              <w:rPr>
                <w:rFonts w:cs="Calibri"/>
                <w:color w:val="000000"/>
                <w:szCs w:val="24"/>
              </w:rPr>
              <w:t>, including CA Spanish decisions</w:t>
            </w:r>
          </w:p>
        </w:tc>
      </w:tr>
      <w:tr w:rsidR="00204A7A" w:rsidRPr="00293F5E" w14:paraId="40EFF574" w14:textId="77777777" w:rsidTr="007569F9">
        <w:trPr>
          <w:trHeight w:val="300"/>
        </w:trPr>
        <w:tc>
          <w:tcPr>
            <w:tcW w:w="687" w:type="dxa"/>
            <w:noWrap/>
            <w:vAlign w:val="center"/>
            <w:hideMark/>
          </w:tcPr>
          <w:p w14:paraId="44B2986D" w14:textId="1137BD49" w:rsidR="00204A7A" w:rsidRPr="00277E2A" w:rsidRDefault="00204A7A" w:rsidP="00204A7A">
            <w:pPr>
              <w:spacing w:after="0"/>
              <w:ind w:left="0"/>
              <w:jc w:val="center"/>
              <w:rPr>
                <w:rFonts w:cs="Calibri"/>
                <w:color w:val="000000"/>
                <w:szCs w:val="24"/>
              </w:rPr>
            </w:pPr>
            <w:r>
              <w:rPr>
                <w:color w:val="000000"/>
                <w:szCs w:val="22"/>
              </w:rPr>
              <w:t>47</w:t>
            </w:r>
          </w:p>
        </w:tc>
        <w:tc>
          <w:tcPr>
            <w:tcW w:w="1689" w:type="dxa"/>
            <w:noWrap/>
            <w:vAlign w:val="center"/>
            <w:hideMark/>
          </w:tcPr>
          <w:p w14:paraId="128E692A" w14:textId="77777777" w:rsidR="00204A7A" w:rsidRPr="00C744E7" w:rsidRDefault="00204A7A" w:rsidP="00204A7A">
            <w:pPr>
              <w:spacing w:after="0"/>
              <w:ind w:left="0"/>
              <w:rPr>
                <w:rFonts w:cs="Calibri"/>
                <w:color w:val="000000"/>
                <w:szCs w:val="24"/>
              </w:rPr>
            </w:pPr>
            <w:r w:rsidRPr="00C744E7">
              <w:rPr>
                <w:rFonts w:cs="Calibri"/>
                <w:color w:val="000000"/>
                <w:szCs w:val="24"/>
              </w:rPr>
              <w:t>Monthly</w:t>
            </w:r>
          </w:p>
        </w:tc>
        <w:tc>
          <w:tcPr>
            <w:tcW w:w="1789" w:type="dxa"/>
            <w:noWrap/>
            <w:vAlign w:val="center"/>
            <w:hideMark/>
          </w:tcPr>
          <w:p w14:paraId="7C652262" w14:textId="77777777" w:rsidR="00204A7A" w:rsidRPr="00C744E7" w:rsidRDefault="00204A7A" w:rsidP="00204A7A">
            <w:pPr>
              <w:spacing w:after="0"/>
              <w:ind w:left="0"/>
              <w:rPr>
                <w:rFonts w:cs="Calibri"/>
                <w:color w:val="000000"/>
                <w:szCs w:val="24"/>
              </w:rPr>
            </w:pPr>
            <w:r w:rsidRPr="00C744E7">
              <w:rPr>
                <w:rFonts w:cs="Calibri"/>
                <w:color w:val="000000"/>
                <w:szCs w:val="24"/>
              </w:rPr>
              <w:t>Hearings Reset</w:t>
            </w:r>
          </w:p>
        </w:tc>
        <w:tc>
          <w:tcPr>
            <w:tcW w:w="7024" w:type="dxa"/>
            <w:vAlign w:val="center"/>
            <w:hideMark/>
          </w:tcPr>
          <w:p w14:paraId="4EE4F74C" w14:textId="511C2AE1" w:rsidR="00204A7A" w:rsidRPr="00C744E7" w:rsidRDefault="00204A7A" w:rsidP="00204A7A">
            <w:pPr>
              <w:spacing w:after="0"/>
              <w:ind w:left="0"/>
              <w:rPr>
                <w:rFonts w:cs="Calibri"/>
                <w:color w:val="000000"/>
                <w:szCs w:val="24"/>
              </w:rPr>
            </w:pPr>
            <w:r w:rsidRPr="00C744E7">
              <w:rPr>
                <w:rFonts w:cs="Calibri"/>
                <w:color w:val="000000"/>
                <w:szCs w:val="24"/>
              </w:rPr>
              <w:t>Provides a list of hearings reset by Hearing Officer</w:t>
            </w:r>
            <w:r w:rsidR="00D42C65">
              <w:rPr>
                <w:rFonts w:cs="Calibri"/>
                <w:color w:val="000000"/>
                <w:szCs w:val="24"/>
              </w:rPr>
              <w:t xml:space="preserve"> or Rehearing Attorneys</w:t>
            </w:r>
            <w:r w:rsidRPr="00C744E7">
              <w:rPr>
                <w:rFonts w:cs="Calibri"/>
                <w:color w:val="000000"/>
                <w:szCs w:val="24"/>
              </w:rPr>
              <w:t>, as well as summary totaling resets by reset reason</w:t>
            </w:r>
          </w:p>
        </w:tc>
      </w:tr>
      <w:tr w:rsidR="00204A7A" w:rsidRPr="00293F5E" w14:paraId="7728F735" w14:textId="77777777" w:rsidTr="007569F9">
        <w:trPr>
          <w:trHeight w:val="300"/>
        </w:trPr>
        <w:tc>
          <w:tcPr>
            <w:tcW w:w="687" w:type="dxa"/>
            <w:noWrap/>
            <w:vAlign w:val="center"/>
            <w:hideMark/>
          </w:tcPr>
          <w:p w14:paraId="50A82A9F" w14:textId="264F656B" w:rsidR="00204A7A" w:rsidRPr="00277E2A" w:rsidRDefault="00204A7A" w:rsidP="00204A7A">
            <w:pPr>
              <w:spacing w:after="0"/>
              <w:ind w:left="0"/>
              <w:jc w:val="center"/>
              <w:rPr>
                <w:rFonts w:cs="Calibri"/>
                <w:color w:val="000000"/>
                <w:szCs w:val="24"/>
              </w:rPr>
            </w:pPr>
            <w:r>
              <w:rPr>
                <w:szCs w:val="22"/>
              </w:rPr>
              <w:t>48</w:t>
            </w:r>
          </w:p>
        </w:tc>
        <w:tc>
          <w:tcPr>
            <w:tcW w:w="1689" w:type="dxa"/>
            <w:noWrap/>
            <w:vAlign w:val="center"/>
            <w:hideMark/>
          </w:tcPr>
          <w:p w14:paraId="5E77FA8A" w14:textId="77777777" w:rsidR="00204A7A" w:rsidRPr="00C744E7" w:rsidRDefault="00204A7A" w:rsidP="00204A7A">
            <w:pPr>
              <w:spacing w:after="0"/>
              <w:ind w:left="0"/>
              <w:rPr>
                <w:rFonts w:cs="Calibri"/>
                <w:color w:val="000000"/>
                <w:szCs w:val="24"/>
              </w:rPr>
            </w:pPr>
            <w:r w:rsidRPr="00C744E7">
              <w:rPr>
                <w:rFonts w:cs="Calibri"/>
                <w:color w:val="000000"/>
                <w:szCs w:val="24"/>
              </w:rPr>
              <w:t>Monthly</w:t>
            </w:r>
          </w:p>
        </w:tc>
        <w:tc>
          <w:tcPr>
            <w:tcW w:w="1789" w:type="dxa"/>
            <w:noWrap/>
            <w:vAlign w:val="center"/>
            <w:hideMark/>
          </w:tcPr>
          <w:p w14:paraId="3BD365BC" w14:textId="77777777" w:rsidR="00204A7A" w:rsidRPr="00C744E7" w:rsidRDefault="00204A7A" w:rsidP="00204A7A">
            <w:pPr>
              <w:spacing w:after="0"/>
              <w:ind w:left="0"/>
              <w:rPr>
                <w:rFonts w:cs="Calibri"/>
                <w:color w:val="000000"/>
                <w:szCs w:val="24"/>
              </w:rPr>
            </w:pPr>
            <w:r w:rsidRPr="00C744E7">
              <w:rPr>
                <w:rFonts w:cs="Calibri"/>
                <w:color w:val="000000"/>
                <w:szCs w:val="24"/>
              </w:rPr>
              <w:t>Decision Typist Report</w:t>
            </w:r>
          </w:p>
        </w:tc>
        <w:tc>
          <w:tcPr>
            <w:tcW w:w="7024" w:type="dxa"/>
            <w:vAlign w:val="center"/>
            <w:hideMark/>
          </w:tcPr>
          <w:p w14:paraId="37F2C2D3" w14:textId="77777777" w:rsidR="00204A7A" w:rsidRPr="00C744E7" w:rsidRDefault="00204A7A" w:rsidP="00204A7A">
            <w:pPr>
              <w:spacing w:after="0"/>
              <w:ind w:left="0"/>
              <w:rPr>
                <w:rFonts w:cs="Calibri"/>
                <w:color w:val="000000"/>
                <w:szCs w:val="24"/>
              </w:rPr>
            </w:pPr>
            <w:r w:rsidRPr="00C744E7">
              <w:rPr>
                <w:rFonts w:cs="Calibri"/>
                <w:color w:val="000000"/>
                <w:szCs w:val="24"/>
              </w:rPr>
              <w:t>Provides a table of decisions typed by typists</w:t>
            </w:r>
          </w:p>
        </w:tc>
      </w:tr>
      <w:tr w:rsidR="00204A7A" w:rsidRPr="00293F5E" w14:paraId="52BA2CDA" w14:textId="77777777" w:rsidTr="007569F9">
        <w:trPr>
          <w:trHeight w:val="300"/>
        </w:trPr>
        <w:tc>
          <w:tcPr>
            <w:tcW w:w="687" w:type="dxa"/>
            <w:noWrap/>
            <w:vAlign w:val="center"/>
            <w:hideMark/>
          </w:tcPr>
          <w:p w14:paraId="79A0B54B" w14:textId="4857CE8A" w:rsidR="00204A7A" w:rsidRPr="00277E2A" w:rsidRDefault="00204A7A" w:rsidP="00204A7A">
            <w:pPr>
              <w:spacing w:after="0"/>
              <w:ind w:left="0"/>
              <w:jc w:val="center"/>
              <w:rPr>
                <w:rFonts w:cs="Calibri"/>
                <w:color w:val="000000"/>
                <w:szCs w:val="24"/>
              </w:rPr>
            </w:pPr>
            <w:r>
              <w:rPr>
                <w:color w:val="000000"/>
                <w:szCs w:val="22"/>
              </w:rPr>
              <w:t>49</w:t>
            </w:r>
          </w:p>
        </w:tc>
        <w:tc>
          <w:tcPr>
            <w:tcW w:w="1689" w:type="dxa"/>
            <w:noWrap/>
            <w:vAlign w:val="center"/>
            <w:hideMark/>
          </w:tcPr>
          <w:p w14:paraId="255806FE" w14:textId="77777777" w:rsidR="00204A7A" w:rsidRPr="00C744E7" w:rsidRDefault="00204A7A" w:rsidP="00204A7A">
            <w:pPr>
              <w:spacing w:after="0"/>
              <w:ind w:left="0"/>
              <w:rPr>
                <w:rFonts w:cs="Calibri"/>
                <w:color w:val="000000"/>
                <w:szCs w:val="24"/>
              </w:rPr>
            </w:pPr>
            <w:r w:rsidRPr="00C744E7">
              <w:rPr>
                <w:rFonts w:cs="Calibri"/>
                <w:color w:val="000000"/>
                <w:szCs w:val="24"/>
              </w:rPr>
              <w:t>Monthly</w:t>
            </w:r>
          </w:p>
        </w:tc>
        <w:tc>
          <w:tcPr>
            <w:tcW w:w="1789" w:type="dxa"/>
            <w:noWrap/>
            <w:vAlign w:val="center"/>
            <w:hideMark/>
          </w:tcPr>
          <w:p w14:paraId="3D1104C8" w14:textId="77777777" w:rsidR="00204A7A" w:rsidRPr="00C744E7" w:rsidRDefault="00204A7A" w:rsidP="00204A7A">
            <w:pPr>
              <w:spacing w:after="0"/>
              <w:ind w:left="0"/>
              <w:rPr>
                <w:rFonts w:cs="Calibri"/>
                <w:color w:val="000000"/>
                <w:szCs w:val="24"/>
              </w:rPr>
            </w:pPr>
            <w:r w:rsidRPr="00C744E7">
              <w:rPr>
                <w:rFonts w:cs="Calibri"/>
                <w:color w:val="000000"/>
                <w:szCs w:val="24"/>
              </w:rPr>
              <w:t>DUA Scheduled Hearings</w:t>
            </w:r>
          </w:p>
        </w:tc>
        <w:tc>
          <w:tcPr>
            <w:tcW w:w="7024" w:type="dxa"/>
            <w:vAlign w:val="center"/>
            <w:hideMark/>
          </w:tcPr>
          <w:p w14:paraId="50F14393" w14:textId="77777777" w:rsidR="00204A7A" w:rsidRPr="00C744E7" w:rsidRDefault="00204A7A" w:rsidP="00204A7A">
            <w:pPr>
              <w:spacing w:after="0"/>
              <w:ind w:left="0"/>
              <w:rPr>
                <w:rFonts w:cs="Calibri"/>
                <w:color w:val="000000"/>
                <w:szCs w:val="24"/>
              </w:rPr>
            </w:pPr>
            <w:r w:rsidRPr="00C744E7">
              <w:rPr>
                <w:rFonts w:cs="Calibri"/>
                <w:color w:val="000000"/>
                <w:szCs w:val="24"/>
              </w:rPr>
              <w:t>Provides a list of DUA hearings scheduled in the month</w:t>
            </w:r>
          </w:p>
        </w:tc>
      </w:tr>
      <w:tr w:rsidR="00204A7A" w:rsidRPr="00293F5E" w14:paraId="307BD4A0" w14:textId="77777777" w:rsidTr="007569F9">
        <w:trPr>
          <w:trHeight w:val="300"/>
        </w:trPr>
        <w:tc>
          <w:tcPr>
            <w:tcW w:w="687" w:type="dxa"/>
            <w:noWrap/>
            <w:vAlign w:val="center"/>
            <w:hideMark/>
          </w:tcPr>
          <w:p w14:paraId="4B5787DA" w14:textId="41A4D450" w:rsidR="00204A7A" w:rsidRPr="00277E2A" w:rsidRDefault="00204A7A" w:rsidP="00204A7A">
            <w:pPr>
              <w:spacing w:after="0"/>
              <w:ind w:left="0"/>
              <w:jc w:val="center"/>
              <w:rPr>
                <w:rFonts w:cs="Calibri"/>
                <w:color w:val="000000"/>
                <w:szCs w:val="24"/>
              </w:rPr>
            </w:pPr>
            <w:r>
              <w:rPr>
                <w:szCs w:val="22"/>
              </w:rPr>
              <w:t>50</w:t>
            </w:r>
          </w:p>
        </w:tc>
        <w:tc>
          <w:tcPr>
            <w:tcW w:w="1689" w:type="dxa"/>
            <w:noWrap/>
            <w:vAlign w:val="center"/>
            <w:hideMark/>
          </w:tcPr>
          <w:p w14:paraId="78039C2B" w14:textId="77777777" w:rsidR="00204A7A" w:rsidRPr="00C744E7" w:rsidRDefault="00204A7A" w:rsidP="00204A7A">
            <w:pPr>
              <w:spacing w:after="0"/>
              <w:ind w:left="0"/>
              <w:rPr>
                <w:rFonts w:cs="Calibri"/>
                <w:color w:val="000000"/>
                <w:szCs w:val="24"/>
              </w:rPr>
            </w:pPr>
            <w:r w:rsidRPr="00C744E7">
              <w:rPr>
                <w:rFonts w:cs="Calibri"/>
                <w:color w:val="000000"/>
                <w:szCs w:val="24"/>
              </w:rPr>
              <w:t>Monthly</w:t>
            </w:r>
          </w:p>
        </w:tc>
        <w:tc>
          <w:tcPr>
            <w:tcW w:w="1789" w:type="dxa"/>
            <w:noWrap/>
            <w:vAlign w:val="center"/>
            <w:hideMark/>
          </w:tcPr>
          <w:p w14:paraId="3D8B25FE" w14:textId="28691A4F" w:rsidR="00204A7A" w:rsidRPr="00C744E7" w:rsidRDefault="00204A7A" w:rsidP="00204A7A">
            <w:pPr>
              <w:spacing w:after="0"/>
              <w:ind w:left="0"/>
              <w:rPr>
                <w:rFonts w:cs="Calibri"/>
                <w:color w:val="000000"/>
                <w:szCs w:val="24"/>
              </w:rPr>
            </w:pPr>
            <w:r w:rsidRPr="00C744E7">
              <w:rPr>
                <w:rFonts w:cs="Calibri"/>
                <w:color w:val="000000"/>
                <w:szCs w:val="24"/>
              </w:rPr>
              <w:t xml:space="preserve">Voids </w:t>
            </w:r>
            <w:r w:rsidR="00C47749">
              <w:rPr>
                <w:rFonts w:cs="Calibri"/>
                <w:color w:val="000000"/>
                <w:szCs w:val="24"/>
              </w:rPr>
              <w:t>– CA only</w:t>
            </w:r>
          </w:p>
        </w:tc>
        <w:tc>
          <w:tcPr>
            <w:tcW w:w="7024" w:type="dxa"/>
            <w:vAlign w:val="center"/>
            <w:hideMark/>
          </w:tcPr>
          <w:p w14:paraId="1E3D4B3B" w14:textId="5568F957" w:rsidR="00204A7A" w:rsidRPr="00C744E7" w:rsidRDefault="00204A7A" w:rsidP="00204A7A">
            <w:pPr>
              <w:spacing w:after="0"/>
              <w:ind w:left="0"/>
              <w:rPr>
                <w:rFonts w:cs="Calibri"/>
                <w:color w:val="000000"/>
                <w:szCs w:val="24"/>
              </w:rPr>
            </w:pPr>
            <w:r w:rsidRPr="00C744E7">
              <w:rPr>
                <w:rFonts w:cs="Calibri"/>
                <w:color w:val="000000"/>
                <w:szCs w:val="24"/>
              </w:rPr>
              <w:t>Provides a list of voided cases in the month</w:t>
            </w:r>
            <w:r w:rsidR="00EF630D">
              <w:rPr>
                <w:rFonts w:cs="Calibri"/>
                <w:color w:val="000000"/>
                <w:szCs w:val="24"/>
              </w:rPr>
              <w:t>, n</w:t>
            </w:r>
            <w:r w:rsidR="00EF630D" w:rsidRPr="00EF630D">
              <w:rPr>
                <w:rFonts w:cs="Calibri"/>
                <w:color w:val="000000"/>
                <w:szCs w:val="24"/>
              </w:rPr>
              <w:t>eeded for case age analysis and departmental metrics</w:t>
            </w:r>
          </w:p>
        </w:tc>
      </w:tr>
      <w:tr w:rsidR="00204A7A" w:rsidRPr="00293F5E" w14:paraId="7EBA5D54" w14:textId="77777777" w:rsidTr="007569F9">
        <w:trPr>
          <w:trHeight w:val="300"/>
        </w:trPr>
        <w:tc>
          <w:tcPr>
            <w:tcW w:w="687" w:type="dxa"/>
            <w:noWrap/>
            <w:vAlign w:val="center"/>
            <w:hideMark/>
          </w:tcPr>
          <w:p w14:paraId="1998CED3" w14:textId="07B43AF1" w:rsidR="00204A7A" w:rsidRPr="00277E2A" w:rsidRDefault="00204A7A" w:rsidP="00204A7A">
            <w:pPr>
              <w:spacing w:after="0"/>
              <w:ind w:left="0"/>
              <w:jc w:val="center"/>
              <w:rPr>
                <w:rFonts w:cs="Calibri"/>
                <w:color w:val="000000"/>
                <w:szCs w:val="24"/>
              </w:rPr>
            </w:pPr>
            <w:r>
              <w:rPr>
                <w:color w:val="000000"/>
                <w:szCs w:val="22"/>
              </w:rPr>
              <w:t>51</w:t>
            </w:r>
          </w:p>
        </w:tc>
        <w:tc>
          <w:tcPr>
            <w:tcW w:w="1689" w:type="dxa"/>
            <w:noWrap/>
            <w:vAlign w:val="center"/>
            <w:hideMark/>
          </w:tcPr>
          <w:p w14:paraId="1643402F" w14:textId="77777777" w:rsidR="00204A7A" w:rsidRPr="00C744E7" w:rsidRDefault="00204A7A" w:rsidP="00204A7A">
            <w:pPr>
              <w:spacing w:after="0"/>
              <w:ind w:left="0"/>
              <w:rPr>
                <w:rFonts w:cs="Calibri"/>
                <w:color w:val="000000"/>
                <w:szCs w:val="24"/>
              </w:rPr>
            </w:pPr>
            <w:r w:rsidRPr="00C744E7">
              <w:rPr>
                <w:rFonts w:cs="Calibri"/>
                <w:color w:val="000000"/>
                <w:szCs w:val="24"/>
              </w:rPr>
              <w:t>Monthly</w:t>
            </w:r>
          </w:p>
        </w:tc>
        <w:tc>
          <w:tcPr>
            <w:tcW w:w="1789" w:type="dxa"/>
            <w:noWrap/>
            <w:vAlign w:val="center"/>
            <w:hideMark/>
          </w:tcPr>
          <w:p w14:paraId="2D020226" w14:textId="7A94ACF2" w:rsidR="00204A7A" w:rsidRPr="00C744E7" w:rsidRDefault="00204A7A" w:rsidP="00204A7A">
            <w:pPr>
              <w:spacing w:after="0"/>
              <w:ind w:left="0"/>
              <w:rPr>
                <w:rFonts w:cs="Calibri"/>
                <w:color w:val="000000"/>
                <w:szCs w:val="24"/>
              </w:rPr>
            </w:pPr>
            <w:r w:rsidRPr="00C744E7">
              <w:rPr>
                <w:rFonts w:cs="Calibri"/>
                <w:color w:val="000000"/>
                <w:szCs w:val="24"/>
              </w:rPr>
              <w:t>Multi-</w:t>
            </w:r>
            <w:r>
              <w:rPr>
                <w:rFonts w:cs="Calibri"/>
                <w:color w:val="000000"/>
                <w:szCs w:val="24"/>
              </w:rPr>
              <w:t>Claimants</w:t>
            </w:r>
            <w:r w:rsidRPr="00C744E7">
              <w:rPr>
                <w:rFonts w:cs="Calibri"/>
                <w:color w:val="000000"/>
                <w:szCs w:val="24"/>
              </w:rPr>
              <w:t xml:space="preserve"> Mailed</w:t>
            </w:r>
          </w:p>
        </w:tc>
        <w:tc>
          <w:tcPr>
            <w:tcW w:w="7024" w:type="dxa"/>
            <w:vAlign w:val="center"/>
            <w:hideMark/>
          </w:tcPr>
          <w:p w14:paraId="411932B0" w14:textId="61DD242F" w:rsidR="00204A7A" w:rsidRPr="00C744E7" w:rsidRDefault="00204A7A" w:rsidP="00204A7A">
            <w:pPr>
              <w:spacing w:after="0"/>
              <w:ind w:left="0"/>
              <w:rPr>
                <w:rFonts w:cs="Calibri"/>
                <w:color w:val="000000"/>
                <w:szCs w:val="24"/>
              </w:rPr>
            </w:pPr>
            <w:r w:rsidRPr="00C744E7">
              <w:rPr>
                <w:rFonts w:cs="Calibri"/>
                <w:color w:val="000000"/>
                <w:szCs w:val="24"/>
              </w:rPr>
              <w:t>Provides a list of multi-</w:t>
            </w:r>
            <w:r>
              <w:rPr>
                <w:rFonts w:cs="Calibri"/>
                <w:color w:val="000000"/>
                <w:szCs w:val="24"/>
              </w:rPr>
              <w:t xml:space="preserve">Claimant </w:t>
            </w:r>
            <w:r w:rsidRPr="00C744E7">
              <w:rPr>
                <w:rFonts w:cs="Calibri"/>
                <w:color w:val="000000"/>
                <w:szCs w:val="24"/>
              </w:rPr>
              <w:t>cases mailed in the month</w:t>
            </w:r>
          </w:p>
        </w:tc>
      </w:tr>
      <w:tr w:rsidR="00220A23" w:rsidRPr="00293F5E" w14:paraId="17B435EF" w14:textId="77777777" w:rsidTr="007569F9">
        <w:trPr>
          <w:trHeight w:val="600"/>
        </w:trPr>
        <w:tc>
          <w:tcPr>
            <w:tcW w:w="687" w:type="dxa"/>
            <w:noWrap/>
            <w:vAlign w:val="center"/>
            <w:hideMark/>
          </w:tcPr>
          <w:p w14:paraId="0E82E966" w14:textId="1C68521D" w:rsidR="00220A23" w:rsidRPr="00277E2A" w:rsidRDefault="00220A23" w:rsidP="00220A23">
            <w:pPr>
              <w:spacing w:after="0"/>
              <w:ind w:left="0"/>
              <w:jc w:val="center"/>
              <w:rPr>
                <w:rFonts w:cs="Calibri"/>
                <w:color w:val="000000"/>
                <w:szCs w:val="24"/>
              </w:rPr>
            </w:pPr>
            <w:r>
              <w:rPr>
                <w:szCs w:val="22"/>
              </w:rPr>
              <w:lastRenderedPageBreak/>
              <w:t>52</w:t>
            </w:r>
          </w:p>
        </w:tc>
        <w:tc>
          <w:tcPr>
            <w:tcW w:w="1689" w:type="dxa"/>
            <w:noWrap/>
            <w:vAlign w:val="center"/>
            <w:hideMark/>
          </w:tcPr>
          <w:p w14:paraId="4F40AE58" w14:textId="77777777" w:rsidR="00220A23" w:rsidRPr="00C744E7" w:rsidRDefault="00220A23" w:rsidP="00220A23">
            <w:pPr>
              <w:spacing w:after="0"/>
              <w:ind w:left="0"/>
              <w:rPr>
                <w:rFonts w:cs="Calibri"/>
                <w:color w:val="000000"/>
                <w:szCs w:val="24"/>
              </w:rPr>
            </w:pPr>
            <w:r w:rsidRPr="00C744E7">
              <w:rPr>
                <w:rFonts w:cs="Calibri"/>
                <w:color w:val="000000"/>
                <w:szCs w:val="24"/>
              </w:rPr>
              <w:t>Monthly</w:t>
            </w:r>
          </w:p>
        </w:tc>
        <w:tc>
          <w:tcPr>
            <w:tcW w:w="1789" w:type="dxa"/>
            <w:vAlign w:val="center"/>
            <w:hideMark/>
          </w:tcPr>
          <w:p w14:paraId="7F6D39F6" w14:textId="0CB5EFF6" w:rsidR="00220A23" w:rsidRPr="00C744E7" w:rsidRDefault="00220A23" w:rsidP="00220A23">
            <w:pPr>
              <w:spacing w:after="0"/>
              <w:ind w:left="0"/>
              <w:rPr>
                <w:rFonts w:cs="Calibri"/>
                <w:color w:val="000000"/>
                <w:szCs w:val="24"/>
              </w:rPr>
            </w:pPr>
            <w:r>
              <w:rPr>
                <w:rFonts w:cs="Calibri"/>
                <w:color w:val="000000"/>
              </w:rPr>
              <w:t>CA Cases Older Than User Defined Number of Days Without Decisions - First of Month</w:t>
            </w:r>
          </w:p>
        </w:tc>
        <w:tc>
          <w:tcPr>
            <w:tcW w:w="7024" w:type="dxa"/>
            <w:vAlign w:val="center"/>
            <w:hideMark/>
          </w:tcPr>
          <w:p w14:paraId="1C5583F6" w14:textId="74672C50" w:rsidR="00220A23" w:rsidRPr="00C744E7" w:rsidRDefault="00220A23" w:rsidP="00220A23">
            <w:pPr>
              <w:spacing w:after="0"/>
              <w:ind w:left="0"/>
              <w:rPr>
                <w:rFonts w:cs="Calibri"/>
                <w:color w:val="000000"/>
                <w:szCs w:val="24"/>
              </w:rPr>
            </w:pPr>
            <w:r>
              <w:rPr>
                <w:rFonts w:cs="Calibri"/>
                <w:color w:val="000000"/>
              </w:rPr>
              <w:t>Provides a list of active, assigned higher authority appeals over the number of days chosen by the user</w:t>
            </w:r>
          </w:p>
        </w:tc>
      </w:tr>
      <w:tr w:rsidR="00204A7A" w:rsidRPr="00293F5E" w14:paraId="22970447" w14:textId="77777777" w:rsidTr="007569F9">
        <w:trPr>
          <w:trHeight w:val="300"/>
        </w:trPr>
        <w:tc>
          <w:tcPr>
            <w:tcW w:w="687" w:type="dxa"/>
            <w:noWrap/>
            <w:vAlign w:val="center"/>
            <w:hideMark/>
          </w:tcPr>
          <w:p w14:paraId="7785C2D3" w14:textId="7AD4A79A" w:rsidR="00204A7A" w:rsidRPr="00277E2A" w:rsidRDefault="00204A7A" w:rsidP="00204A7A">
            <w:pPr>
              <w:spacing w:after="0"/>
              <w:ind w:left="0"/>
              <w:jc w:val="center"/>
              <w:rPr>
                <w:rFonts w:cs="Calibri"/>
                <w:color w:val="000000"/>
                <w:szCs w:val="24"/>
              </w:rPr>
            </w:pPr>
            <w:r>
              <w:rPr>
                <w:color w:val="000000"/>
                <w:szCs w:val="22"/>
              </w:rPr>
              <w:t>53</w:t>
            </w:r>
          </w:p>
        </w:tc>
        <w:tc>
          <w:tcPr>
            <w:tcW w:w="1689" w:type="dxa"/>
            <w:noWrap/>
            <w:vAlign w:val="center"/>
            <w:hideMark/>
          </w:tcPr>
          <w:p w14:paraId="619010E9" w14:textId="77777777" w:rsidR="00204A7A" w:rsidRPr="00C744E7" w:rsidRDefault="00204A7A" w:rsidP="00204A7A">
            <w:pPr>
              <w:spacing w:after="0"/>
              <w:ind w:left="0"/>
              <w:rPr>
                <w:rFonts w:cs="Calibri"/>
                <w:color w:val="000000"/>
                <w:szCs w:val="24"/>
              </w:rPr>
            </w:pPr>
            <w:r w:rsidRPr="00C744E7">
              <w:rPr>
                <w:rFonts w:cs="Calibri"/>
                <w:color w:val="000000"/>
                <w:szCs w:val="24"/>
              </w:rPr>
              <w:t>Monthly</w:t>
            </w:r>
          </w:p>
        </w:tc>
        <w:tc>
          <w:tcPr>
            <w:tcW w:w="1789" w:type="dxa"/>
            <w:noWrap/>
            <w:vAlign w:val="center"/>
            <w:hideMark/>
          </w:tcPr>
          <w:p w14:paraId="6EE5A903" w14:textId="77777777" w:rsidR="00204A7A" w:rsidRPr="00C744E7" w:rsidRDefault="00204A7A" w:rsidP="00204A7A">
            <w:pPr>
              <w:spacing w:after="0"/>
              <w:ind w:left="0"/>
              <w:rPr>
                <w:rFonts w:cs="Calibri"/>
                <w:color w:val="000000"/>
                <w:szCs w:val="24"/>
              </w:rPr>
            </w:pPr>
            <w:r w:rsidRPr="00C744E7">
              <w:rPr>
                <w:rFonts w:cs="Calibri"/>
                <w:color w:val="000000"/>
                <w:szCs w:val="24"/>
              </w:rPr>
              <w:t>Appeals Reimbursing Protection Summary</w:t>
            </w:r>
          </w:p>
        </w:tc>
        <w:tc>
          <w:tcPr>
            <w:tcW w:w="7024" w:type="dxa"/>
            <w:vAlign w:val="center"/>
            <w:hideMark/>
          </w:tcPr>
          <w:p w14:paraId="7B91C748" w14:textId="76382414" w:rsidR="00204A7A" w:rsidRPr="00C744E7" w:rsidRDefault="00204A7A" w:rsidP="00204A7A">
            <w:pPr>
              <w:spacing w:after="0"/>
              <w:ind w:left="0"/>
              <w:rPr>
                <w:rFonts w:cs="Calibri"/>
                <w:color w:val="000000"/>
                <w:szCs w:val="24"/>
              </w:rPr>
            </w:pPr>
            <w:r w:rsidRPr="00C744E7">
              <w:rPr>
                <w:rFonts w:cs="Calibri"/>
                <w:color w:val="000000"/>
                <w:szCs w:val="24"/>
              </w:rPr>
              <w:t xml:space="preserve">Provides a list of </w:t>
            </w:r>
            <w:r>
              <w:rPr>
                <w:rFonts w:cs="Calibri"/>
                <w:color w:val="000000"/>
                <w:szCs w:val="24"/>
              </w:rPr>
              <w:t xml:space="preserve">Employers </w:t>
            </w:r>
            <w:r w:rsidRPr="00C744E7">
              <w:rPr>
                <w:rFonts w:cs="Calibri"/>
                <w:color w:val="000000"/>
                <w:szCs w:val="24"/>
              </w:rPr>
              <w:t>who have had reimbursing protection implemented in the month to reconcile tax records</w:t>
            </w:r>
          </w:p>
        </w:tc>
      </w:tr>
      <w:tr w:rsidR="00204A7A" w:rsidRPr="00293F5E" w14:paraId="42FF8BE1" w14:textId="77777777" w:rsidTr="007569F9">
        <w:trPr>
          <w:trHeight w:val="300"/>
        </w:trPr>
        <w:tc>
          <w:tcPr>
            <w:tcW w:w="687" w:type="dxa"/>
            <w:noWrap/>
            <w:vAlign w:val="center"/>
            <w:hideMark/>
          </w:tcPr>
          <w:p w14:paraId="168BD9A8" w14:textId="58208C50" w:rsidR="00204A7A" w:rsidRPr="00277E2A" w:rsidRDefault="00204A7A" w:rsidP="00204A7A">
            <w:pPr>
              <w:spacing w:after="0"/>
              <w:ind w:left="0"/>
              <w:jc w:val="center"/>
              <w:rPr>
                <w:rFonts w:cs="Calibri"/>
                <w:color w:val="000000"/>
                <w:szCs w:val="24"/>
              </w:rPr>
            </w:pPr>
            <w:r>
              <w:rPr>
                <w:szCs w:val="22"/>
              </w:rPr>
              <w:t>54</w:t>
            </w:r>
          </w:p>
        </w:tc>
        <w:tc>
          <w:tcPr>
            <w:tcW w:w="1689" w:type="dxa"/>
            <w:noWrap/>
            <w:vAlign w:val="center"/>
            <w:hideMark/>
          </w:tcPr>
          <w:p w14:paraId="0E29CEE9" w14:textId="77777777" w:rsidR="00204A7A" w:rsidRPr="00C744E7" w:rsidRDefault="00204A7A" w:rsidP="00204A7A">
            <w:pPr>
              <w:spacing w:after="0"/>
              <w:ind w:left="0"/>
              <w:rPr>
                <w:rFonts w:cs="Calibri"/>
                <w:color w:val="000000"/>
                <w:szCs w:val="24"/>
              </w:rPr>
            </w:pPr>
            <w:r w:rsidRPr="00C744E7">
              <w:rPr>
                <w:rFonts w:cs="Calibri"/>
                <w:color w:val="000000"/>
                <w:szCs w:val="24"/>
              </w:rPr>
              <w:t>Monthly</w:t>
            </w:r>
          </w:p>
        </w:tc>
        <w:tc>
          <w:tcPr>
            <w:tcW w:w="1789" w:type="dxa"/>
            <w:noWrap/>
            <w:vAlign w:val="center"/>
            <w:hideMark/>
          </w:tcPr>
          <w:p w14:paraId="74F3820E" w14:textId="77777777" w:rsidR="00204A7A" w:rsidRPr="00C744E7" w:rsidRDefault="00204A7A" w:rsidP="00204A7A">
            <w:pPr>
              <w:spacing w:after="0"/>
              <w:ind w:left="0"/>
              <w:rPr>
                <w:rFonts w:cs="Calibri"/>
                <w:color w:val="000000"/>
                <w:szCs w:val="24"/>
              </w:rPr>
            </w:pPr>
            <w:r w:rsidRPr="00C744E7">
              <w:rPr>
                <w:rFonts w:cs="Calibri"/>
                <w:color w:val="000000"/>
                <w:szCs w:val="24"/>
              </w:rPr>
              <w:t xml:space="preserve">Continuing Jurisdiction Active Appeals </w:t>
            </w:r>
          </w:p>
        </w:tc>
        <w:tc>
          <w:tcPr>
            <w:tcW w:w="7024" w:type="dxa"/>
            <w:vAlign w:val="center"/>
            <w:hideMark/>
          </w:tcPr>
          <w:p w14:paraId="3CD142E1" w14:textId="5399E894" w:rsidR="00204A7A" w:rsidRPr="00704F95" w:rsidRDefault="00704F95" w:rsidP="00204A7A">
            <w:pPr>
              <w:spacing w:after="0"/>
              <w:ind w:left="0"/>
              <w:rPr>
                <w:rFonts w:cs="Calibri"/>
                <w:color w:val="000000"/>
              </w:rPr>
            </w:pPr>
            <w:r>
              <w:rPr>
                <w:rFonts w:cs="Calibri"/>
                <w:color w:val="000000"/>
              </w:rPr>
              <w:t xml:space="preserve">Provides a list of lower authority appeals with active continuing jurisdiction (Include Commission Appeals) </w:t>
            </w:r>
          </w:p>
        </w:tc>
      </w:tr>
      <w:tr w:rsidR="00204A7A" w:rsidRPr="00293F5E" w14:paraId="22A1E8A6" w14:textId="77777777" w:rsidTr="007569F9">
        <w:trPr>
          <w:trHeight w:val="300"/>
        </w:trPr>
        <w:tc>
          <w:tcPr>
            <w:tcW w:w="687" w:type="dxa"/>
            <w:noWrap/>
            <w:vAlign w:val="center"/>
            <w:hideMark/>
          </w:tcPr>
          <w:p w14:paraId="60A5FDEB" w14:textId="52F99606" w:rsidR="00204A7A" w:rsidRPr="00277E2A" w:rsidRDefault="00204A7A" w:rsidP="00204A7A">
            <w:pPr>
              <w:spacing w:after="0"/>
              <w:ind w:left="0"/>
              <w:jc w:val="center"/>
              <w:rPr>
                <w:rFonts w:cs="Calibri"/>
                <w:color w:val="000000"/>
                <w:szCs w:val="24"/>
              </w:rPr>
            </w:pPr>
            <w:r>
              <w:rPr>
                <w:color w:val="000000"/>
                <w:szCs w:val="22"/>
              </w:rPr>
              <w:t>55</w:t>
            </w:r>
          </w:p>
        </w:tc>
        <w:tc>
          <w:tcPr>
            <w:tcW w:w="1689" w:type="dxa"/>
            <w:noWrap/>
            <w:vAlign w:val="center"/>
            <w:hideMark/>
          </w:tcPr>
          <w:p w14:paraId="5B0B0FA3" w14:textId="77777777" w:rsidR="00204A7A" w:rsidRPr="00C744E7" w:rsidRDefault="00204A7A" w:rsidP="00204A7A">
            <w:pPr>
              <w:spacing w:after="0"/>
              <w:ind w:left="0"/>
              <w:rPr>
                <w:rFonts w:cs="Calibri"/>
                <w:color w:val="000000"/>
                <w:szCs w:val="24"/>
              </w:rPr>
            </w:pPr>
            <w:r w:rsidRPr="00C744E7">
              <w:rPr>
                <w:rFonts w:cs="Calibri"/>
                <w:color w:val="000000"/>
                <w:szCs w:val="24"/>
              </w:rPr>
              <w:t>Monthly</w:t>
            </w:r>
          </w:p>
        </w:tc>
        <w:tc>
          <w:tcPr>
            <w:tcW w:w="1789" w:type="dxa"/>
            <w:noWrap/>
            <w:vAlign w:val="center"/>
            <w:hideMark/>
          </w:tcPr>
          <w:p w14:paraId="5263D64D" w14:textId="77777777" w:rsidR="00204A7A" w:rsidRPr="00C744E7" w:rsidRDefault="00204A7A" w:rsidP="00204A7A">
            <w:pPr>
              <w:spacing w:after="0"/>
              <w:ind w:left="0"/>
              <w:rPr>
                <w:rFonts w:cs="Calibri"/>
                <w:color w:val="000000"/>
                <w:szCs w:val="24"/>
              </w:rPr>
            </w:pPr>
            <w:r w:rsidRPr="00C744E7">
              <w:rPr>
                <w:rFonts w:cs="Calibri"/>
                <w:color w:val="000000"/>
                <w:szCs w:val="24"/>
              </w:rPr>
              <w:t>Volunteered Cases Report</w:t>
            </w:r>
          </w:p>
        </w:tc>
        <w:tc>
          <w:tcPr>
            <w:tcW w:w="7024" w:type="dxa"/>
            <w:vAlign w:val="center"/>
            <w:hideMark/>
          </w:tcPr>
          <w:p w14:paraId="5B212C00" w14:textId="425808A9" w:rsidR="00204A7A" w:rsidRPr="00C744E7" w:rsidRDefault="00204A7A" w:rsidP="00204A7A">
            <w:pPr>
              <w:spacing w:after="0"/>
              <w:ind w:left="0"/>
              <w:rPr>
                <w:rFonts w:cs="Calibri"/>
                <w:color w:val="000000"/>
                <w:szCs w:val="24"/>
              </w:rPr>
            </w:pPr>
            <w:r w:rsidRPr="00C744E7">
              <w:rPr>
                <w:rFonts w:cs="Calibri"/>
                <w:color w:val="000000"/>
                <w:szCs w:val="24"/>
              </w:rPr>
              <w:t>Provides a list and summary of cases with requests for substitute hearing officers for performance metrics rel</w:t>
            </w:r>
            <w:r w:rsidR="00FA2BCD">
              <w:rPr>
                <w:rFonts w:cs="Calibri"/>
                <w:color w:val="000000"/>
                <w:szCs w:val="24"/>
              </w:rPr>
              <w:t>ated to volunteer cases</w:t>
            </w:r>
          </w:p>
        </w:tc>
      </w:tr>
      <w:tr w:rsidR="00204A7A" w:rsidRPr="00293F5E" w14:paraId="319E6A91" w14:textId="77777777" w:rsidTr="007569F9">
        <w:trPr>
          <w:trHeight w:val="300"/>
        </w:trPr>
        <w:tc>
          <w:tcPr>
            <w:tcW w:w="687" w:type="dxa"/>
            <w:noWrap/>
            <w:vAlign w:val="center"/>
            <w:hideMark/>
          </w:tcPr>
          <w:p w14:paraId="3866EA51" w14:textId="4FD639BE" w:rsidR="00204A7A" w:rsidRPr="00277E2A" w:rsidRDefault="00204A7A" w:rsidP="00204A7A">
            <w:pPr>
              <w:spacing w:after="0"/>
              <w:ind w:left="0"/>
              <w:jc w:val="center"/>
              <w:rPr>
                <w:rFonts w:cs="Calibri"/>
                <w:color w:val="000000"/>
                <w:szCs w:val="24"/>
              </w:rPr>
            </w:pPr>
            <w:r>
              <w:rPr>
                <w:szCs w:val="22"/>
              </w:rPr>
              <w:t>56</w:t>
            </w:r>
          </w:p>
        </w:tc>
        <w:tc>
          <w:tcPr>
            <w:tcW w:w="1689" w:type="dxa"/>
            <w:noWrap/>
            <w:vAlign w:val="center"/>
            <w:hideMark/>
          </w:tcPr>
          <w:p w14:paraId="5F38003D" w14:textId="77777777" w:rsidR="00204A7A" w:rsidRPr="00C744E7" w:rsidRDefault="00204A7A" w:rsidP="00204A7A">
            <w:pPr>
              <w:spacing w:after="0"/>
              <w:ind w:left="0"/>
              <w:rPr>
                <w:rFonts w:cs="Calibri"/>
                <w:color w:val="000000"/>
                <w:szCs w:val="24"/>
              </w:rPr>
            </w:pPr>
            <w:r w:rsidRPr="00C744E7">
              <w:rPr>
                <w:rFonts w:cs="Calibri"/>
                <w:color w:val="000000"/>
                <w:szCs w:val="24"/>
              </w:rPr>
              <w:t>Monthly</w:t>
            </w:r>
          </w:p>
        </w:tc>
        <w:tc>
          <w:tcPr>
            <w:tcW w:w="1789" w:type="dxa"/>
            <w:noWrap/>
            <w:vAlign w:val="center"/>
            <w:hideMark/>
          </w:tcPr>
          <w:p w14:paraId="026E03B3" w14:textId="77777777" w:rsidR="00204A7A" w:rsidRPr="00C744E7" w:rsidRDefault="00204A7A" w:rsidP="00204A7A">
            <w:pPr>
              <w:spacing w:after="0"/>
              <w:ind w:left="0"/>
              <w:rPr>
                <w:rFonts w:cs="Calibri"/>
                <w:color w:val="000000"/>
                <w:szCs w:val="24"/>
              </w:rPr>
            </w:pPr>
            <w:r w:rsidRPr="00C744E7">
              <w:rPr>
                <w:rFonts w:cs="Calibri"/>
                <w:color w:val="000000"/>
                <w:szCs w:val="24"/>
              </w:rPr>
              <w:t>ETA 9055 Analysis for Old Cases</w:t>
            </w:r>
          </w:p>
        </w:tc>
        <w:tc>
          <w:tcPr>
            <w:tcW w:w="7024" w:type="dxa"/>
            <w:vAlign w:val="center"/>
            <w:hideMark/>
          </w:tcPr>
          <w:p w14:paraId="51908DD8" w14:textId="32E7F2FC" w:rsidR="00204A7A" w:rsidRPr="00C744E7" w:rsidRDefault="00204A7A" w:rsidP="00204A7A">
            <w:pPr>
              <w:spacing w:after="0"/>
              <w:ind w:left="0"/>
              <w:rPr>
                <w:rFonts w:cs="Calibri"/>
                <w:color w:val="000000"/>
                <w:szCs w:val="24"/>
              </w:rPr>
            </w:pPr>
            <w:r w:rsidRPr="00C744E7">
              <w:rPr>
                <w:rFonts w:cs="Calibri"/>
                <w:color w:val="000000"/>
                <w:szCs w:val="24"/>
              </w:rPr>
              <w:t xml:space="preserve">Provides details of lower authority appeals older than </w:t>
            </w:r>
            <w:r w:rsidR="00FA2BCD">
              <w:rPr>
                <w:rFonts w:cs="Calibri"/>
                <w:color w:val="000000"/>
                <w:szCs w:val="24"/>
              </w:rPr>
              <w:t>90 days as of the report period</w:t>
            </w:r>
          </w:p>
        </w:tc>
      </w:tr>
      <w:tr w:rsidR="00204A7A" w:rsidRPr="00293F5E" w14:paraId="39E19FD8" w14:textId="77777777" w:rsidTr="007569F9">
        <w:trPr>
          <w:trHeight w:val="300"/>
        </w:trPr>
        <w:tc>
          <w:tcPr>
            <w:tcW w:w="687" w:type="dxa"/>
            <w:noWrap/>
            <w:vAlign w:val="center"/>
            <w:hideMark/>
          </w:tcPr>
          <w:p w14:paraId="256B1804" w14:textId="7B426855" w:rsidR="00204A7A" w:rsidRPr="00277E2A" w:rsidRDefault="00204A7A" w:rsidP="00204A7A">
            <w:pPr>
              <w:spacing w:after="0"/>
              <w:ind w:left="0"/>
              <w:jc w:val="center"/>
              <w:rPr>
                <w:rFonts w:cs="Calibri"/>
                <w:color w:val="000000"/>
                <w:szCs w:val="24"/>
              </w:rPr>
            </w:pPr>
            <w:r>
              <w:rPr>
                <w:color w:val="000000"/>
                <w:szCs w:val="22"/>
              </w:rPr>
              <w:t>57</w:t>
            </w:r>
          </w:p>
        </w:tc>
        <w:tc>
          <w:tcPr>
            <w:tcW w:w="1689" w:type="dxa"/>
            <w:noWrap/>
            <w:vAlign w:val="center"/>
            <w:hideMark/>
          </w:tcPr>
          <w:p w14:paraId="1885150B" w14:textId="77777777" w:rsidR="00204A7A" w:rsidRPr="00C744E7" w:rsidRDefault="00204A7A" w:rsidP="00204A7A">
            <w:pPr>
              <w:spacing w:after="0"/>
              <w:ind w:left="0"/>
              <w:rPr>
                <w:rFonts w:cs="Calibri"/>
                <w:color w:val="000000"/>
                <w:szCs w:val="24"/>
              </w:rPr>
            </w:pPr>
            <w:r w:rsidRPr="00C744E7">
              <w:rPr>
                <w:rFonts w:cs="Calibri"/>
                <w:color w:val="000000"/>
                <w:szCs w:val="24"/>
              </w:rPr>
              <w:t>Monthly</w:t>
            </w:r>
          </w:p>
        </w:tc>
        <w:tc>
          <w:tcPr>
            <w:tcW w:w="1789" w:type="dxa"/>
            <w:noWrap/>
            <w:vAlign w:val="center"/>
            <w:hideMark/>
          </w:tcPr>
          <w:p w14:paraId="4484F454" w14:textId="77777777" w:rsidR="00204A7A" w:rsidRPr="00C744E7" w:rsidRDefault="00204A7A" w:rsidP="00204A7A">
            <w:pPr>
              <w:spacing w:after="0"/>
              <w:ind w:left="0"/>
              <w:rPr>
                <w:rFonts w:cs="Calibri"/>
                <w:color w:val="000000"/>
                <w:szCs w:val="24"/>
              </w:rPr>
            </w:pPr>
            <w:r w:rsidRPr="00C744E7">
              <w:rPr>
                <w:rFonts w:cs="Calibri"/>
                <w:color w:val="000000"/>
                <w:szCs w:val="24"/>
              </w:rPr>
              <w:t>Hearing Officer Report - Peer Reviewers</w:t>
            </w:r>
          </w:p>
        </w:tc>
        <w:tc>
          <w:tcPr>
            <w:tcW w:w="7024" w:type="dxa"/>
            <w:vAlign w:val="center"/>
            <w:hideMark/>
          </w:tcPr>
          <w:p w14:paraId="3B9E103C" w14:textId="77777777" w:rsidR="00204A7A" w:rsidRPr="00C744E7" w:rsidRDefault="00204A7A" w:rsidP="00204A7A">
            <w:pPr>
              <w:spacing w:after="0"/>
              <w:ind w:left="0"/>
              <w:rPr>
                <w:rFonts w:cs="Calibri"/>
                <w:color w:val="000000"/>
                <w:szCs w:val="24"/>
              </w:rPr>
            </w:pPr>
            <w:r w:rsidRPr="00C744E7">
              <w:rPr>
                <w:rFonts w:cs="Calibri"/>
                <w:color w:val="000000"/>
                <w:szCs w:val="24"/>
              </w:rPr>
              <w:t>Provides performance metrics for lower authority hearing officers who have a primary job duty to perform peer reviews of hearing quality</w:t>
            </w:r>
          </w:p>
        </w:tc>
      </w:tr>
      <w:tr w:rsidR="00204A7A" w:rsidRPr="00293F5E" w14:paraId="149EACA4" w14:textId="77777777" w:rsidTr="007569F9">
        <w:trPr>
          <w:trHeight w:val="300"/>
        </w:trPr>
        <w:tc>
          <w:tcPr>
            <w:tcW w:w="687" w:type="dxa"/>
            <w:noWrap/>
            <w:vAlign w:val="center"/>
            <w:hideMark/>
          </w:tcPr>
          <w:p w14:paraId="1FBDF757" w14:textId="28A02831" w:rsidR="00204A7A" w:rsidRPr="00277E2A" w:rsidRDefault="00204A7A" w:rsidP="00204A7A">
            <w:pPr>
              <w:spacing w:after="0"/>
              <w:ind w:left="0"/>
              <w:jc w:val="center"/>
              <w:rPr>
                <w:rFonts w:cs="Calibri"/>
                <w:color w:val="000000"/>
                <w:szCs w:val="24"/>
              </w:rPr>
            </w:pPr>
            <w:r>
              <w:rPr>
                <w:szCs w:val="22"/>
              </w:rPr>
              <w:t>58</w:t>
            </w:r>
          </w:p>
        </w:tc>
        <w:tc>
          <w:tcPr>
            <w:tcW w:w="1689" w:type="dxa"/>
            <w:noWrap/>
            <w:vAlign w:val="center"/>
            <w:hideMark/>
          </w:tcPr>
          <w:p w14:paraId="55C67E39" w14:textId="77777777" w:rsidR="00204A7A" w:rsidRPr="00C744E7" w:rsidRDefault="00204A7A" w:rsidP="00204A7A">
            <w:pPr>
              <w:spacing w:after="0"/>
              <w:ind w:left="0"/>
              <w:rPr>
                <w:rFonts w:cs="Calibri"/>
                <w:color w:val="000000"/>
                <w:szCs w:val="24"/>
              </w:rPr>
            </w:pPr>
            <w:r w:rsidRPr="00C744E7">
              <w:rPr>
                <w:rFonts w:cs="Calibri"/>
                <w:color w:val="000000"/>
                <w:szCs w:val="24"/>
              </w:rPr>
              <w:t>Monthly</w:t>
            </w:r>
          </w:p>
        </w:tc>
        <w:tc>
          <w:tcPr>
            <w:tcW w:w="1789" w:type="dxa"/>
            <w:noWrap/>
            <w:vAlign w:val="center"/>
            <w:hideMark/>
          </w:tcPr>
          <w:p w14:paraId="3AE544B2" w14:textId="77777777" w:rsidR="00204A7A" w:rsidRPr="00C744E7" w:rsidRDefault="00204A7A" w:rsidP="00204A7A">
            <w:pPr>
              <w:spacing w:after="0"/>
              <w:ind w:left="0"/>
              <w:rPr>
                <w:rFonts w:cs="Calibri"/>
                <w:color w:val="000000"/>
                <w:szCs w:val="24"/>
              </w:rPr>
            </w:pPr>
            <w:r w:rsidRPr="00C744E7">
              <w:rPr>
                <w:rFonts w:cs="Calibri"/>
                <w:color w:val="000000"/>
                <w:szCs w:val="24"/>
              </w:rPr>
              <w:t>Flagged Decision Detail</w:t>
            </w:r>
          </w:p>
        </w:tc>
        <w:tc>
          <w:tcPr>
            <w:tcW w:w="7024" w:type="dxa"/>
            <w:vAlign w:val="center"/>
            <w:hideMark/>
          </w:tcPr>
          <w:p w14:paraId="08894166" w14:textId="77777777" w:rsidR="00204A7A" w:rsidRPr="00C744E7" w:rsidRDefault="00204A7A" w:rsidP="00204A7A">
            <w:pPr>
              <w:spacing w:after="0"/>
              <w:ind w:left="0"/>
              <w:rPr>
                <w:rFonts w:cs="Calibri"/>
                <w:color w:val="000000"/>
                <w:szCs w:val="24"/>
              </w:rPr>
            </w:pPr>
            <w:r w:rsidRPr="00C744E7">
              <w:rPr>
                <w:rFonts w:cs="Calibri"/>
                <w:color w:val="000000"/>
                <w:szCs w:val="24"/>
              </w:rPr>
              <w:t>Provides additional audit details for cases flagged in performance review reports</w:t>
            </w:r>
          </w:p>
        </w:tc>
      </w:tr>
      <w:tr w:rsidR="00204A7A" w:rsidRPr="00293F5E" w14:paraId="6D3C9D0D" w14:textId="77777777" w:rsidTr="007569F9">
        <w:trPr>
          <w:trHeight w:val="300"/>
        </w:trPr>
        <w:tc>
          <w:tcPr>
            <w:tcW w:w="687" w:type="dxa"/>
            <w:noWrap/>
            <w:vAlign w:val="center"/>
            <w:hideMark/>
          </w:tcPr>
          <w:p w14:paraId="2651C71A" w14:textId="69B59505" w:rsidR="00204A7A" w:rsidRPr="00277E2A" w:rsidRDefault="00204A7A" w:rsidP="00204A7A">
            <w:pPr>
              <w:spacing w:after="0"/>
              <w:ind w:left="0"/>
              <w:jc w:val="center"/>
              <w:rPr>
                <w:rFonts w:cs="Calibri"/>
                <w:color w:val="000000"/>
                <w:szCs w:val="24"/>
              </w:rPr>
            </w:pPr>
            <w:r>
              <w:rPr>
                <w:color w:val="000000"/>
                <w:szCs w:val="22"/>
              </w:rPr>
              <w:t>59</w:t>
            </w:r>
          </w:p>
        </w:tc>
        <w:tc>
          <w:tcPr>
            <w:tcW w:w="1689" w:type="dxa"/>
            <w:noWrap/>
            <w:vAlign w:val="center"/>
            <w:hideMark/>
          </w:tcPr>
          <w:p w14:paraId="2A4FFAC7" w14:textId="77777777" w:rsidR="00204A7A" w:rsidRPr="00C744E7" w:rsidRDefault="00204A7A" w:rsidP="00204A7A">
            <w:pPr>
              <w:spacing w:after="0"/>
              <w:ind w:left="0"/>
              <w:rPr>
                <w:rFonts w:cs="Calibri"/>
                <w:color w:val="000000"/>
                <w:szCs w:val="24"/>
              </w:rPr>
            </w:pPr>
            <w:r w:rsidRPr="00C744E7">
              <w:rPr>
                <w:rFonts w:cs="Calibri"/>
                <w:color w:val="000000"/>
                <w:szCs w:val="24"/>
              </w:rPr>
              <w:t>Monthly</w:t>
            </w:r>
          </w:p>
        </w:tc>
        <w:tc>
          <w:tcPr>
            <w:tcW w:w="1789" w:type="dxa"/>
            <w:noWrap/>
            <w:vAlign w:val="center"/>
            <w:hideMark/>
          </w:tcPr>
          <w:p w14:paraId="59545EF6" w14:textId="77777777" w:rsidR="00204A7A" w:rsidRPr="00C744E7" w:rsidRDefault="00204A7A" w:rsidP="00204A7A">
            <w:pPr>
              <w:spacing w:after="0"/>
              <w:ind w:left="0"/>
              <w:rPr>
                <w:rFonts w:cs="Calibri"/>
                <w:color w:val="000000"/>
                <w:szCs w:val="24"/>
              </w:rPr>
            </w:pPr>
            <w:r w:rsidRPr="00C744E7">
              <w:rPr>
                <w:rFonts w:cs="Calibri"/>
                <w:color w:val="000000"/>
                <w:szCs w:val="24"/>
              </w:rPr>
              <w:t>AT/CA New RPI Dashboard Reports</w:t>
            </w:r>
          </w:p>
        </w:tc>
        <w:tc>
          <w:tcPr>
            <w:tcW w:w="7024" w:type="dxa"/>
            <w:vAlign w:val="center"/>
            <w:hideMark/>
          </w:tcPr>
          <w:p w14:paraId="14CBE5D3" w14:textId="77777777" w:rsidR="00204A7A" w:rsidRPr="00C744E7" w:rsidRDefault="00204A7A" w:rsidP="00204A7A">
            <w:pPr>
              <w:spacing w:after="0"/>
              <w:ind w:left="0"/>
              <w:rPr>
                <w:rFonts w:cs="Calibri"/>
                <w:color w:val="000000"/>
                <w:szCs w:val="24"/>
              </w:rPr>
            </w:pPr>
            <w:r w:rsidRPr="00C744E7">
              <w:rPr>
                <w:rFonts w:cs="Calibri"/>
                <w:color w:val="000000"/>
                <w:szCs w:val="24"/>
              </w:rPr>
              <w:t>Provides performance metrics for higher and lower authority appeals related case processing and attorney assignment</w:t>
            </w:r>
          </w:p>
        </w:tc>
      </w:tr>
      <w:tr w:rsidR="00204A7A" w:rsidRPr="00293F5E" w14:paraId="4A52042F" w14:textId="77777777" w:rsidTr="007569F9">
        <w:trPr>
          <w:trHeight w:val="300"/>
        </w:trPr>
        <w:tc>
          <w:tcPr>
            <w:tcW w:w="687" w:type="dxa"/>
            <w:noWrap/>
            <w:vAlign w:val="center"/>
            <w:hideMark/>
          </w:tcPr>
          <w:p w14:paraId="4961EDEA" w14:textId="2EAA21D5" w:rsidR="00204A7A" w:rsidRPr="00277E2A" w:rsidRDefault="00204A7A" w:rsidP="00204A7A">
            <w:pPr>
              <w:spacing w:after="0"/>
              <w:ind w:left="0"/>
              <w:jc w:val="center"/>
              <w:rPr>
                <w:rFonts w:cs="Calibri"/>
                <w:color w:val="000000"/>
                <w:szCs w:val="24"/>
              </w:rPr>
            </w:pPr>
            <w:r>
              <w:rPr>
                <w:szCs w:val="22"/>
              </w:rPr>
              <w:t>60</w:t>
            </w:r>
          </w:p>
        </w:tc>
        <w:tc>
          <w:tcPr>
            <w:tcW w:w="1689" w:type="dxa"/>
            <w:noWrap/>
            <w:vAlign w:val="center"/>
            <w:hideMark/>
          </w:tcPr>
          <w:p w14:paraId="4CF0FCF4" w14:textId="77777777" w:rsidR="00204A7A" w:rsidRPr="00C744E7" w:rsidRDefault="00204A7A" w:rsidP="00204A7A">
            <w:pPr>
              <w:spacing w:after="0"/>
              <w:ind w:left="0"/>
              <w:rPr>
                <w:rFonts w:cs="Calibri"/>
                <w:color w:val="000000"/>
                <w:szCs w:val="24"/>
              </w:rPr>
            </w:pPr>
            <w:r w:rsidRPr="00C744E7">
              <w:rPr>
                <w:rFonts w:cs="Calibri"/>
                <w:color w:val="000000"/>
                <w:szCs w:val="24"/>
              </w:rPr>
              <w:t>Monthly</w:t>
            </w:r>
          </w:p>
        </w:tc>
        <w:tc>
          <w:tcPr>
            <w:tcW w:w="1789" w:type="dxa"/>
            <w:noWrap/>
            <w:vAlign w:val="center"/>
            <w:hideMark/>
          </w:tcPr>
          <w:p w14:paraId="5424F967" w14:textId="77777777" w:rsidR="00204A7A" w:rsidRPr="00C744E7" w:rsidRDefault="00204A7A" w:rsidP="00204A7A">
            <w:pPr>
              <w:spacing w:after="0"/>
              <w:ind w:left="0"/>
              <w:rPr>
                <w:rFonts w:cs="Calibri"/>
                <w:color w:val="000000"/>
                <w:szCs w:val="24"/>
              </w:rPr>
            </w:pPr>
            <w:r w:rsidRPr="00C744E7">
              <w:rPr>
                <w:rFonts w:cs="Calibri"/>
                <w:color w:val="000000"/>
                <w:szCs w:val="24"/>
              </w:rPr>
              <w:t>CA Age from File to Receipt</w:t>
            </w:r>
          </w:p>
        </w:tc>
        <w:tc>
          <w:tcPr>
            <w:tcW w:w="7024" w:type="dxa"/>
            <w:vAlign w:val="center"/>
            <w:hideMark/>
          </w:tcPr>
          <w:p w14:paraId="2980B950" w14:textId="77777777" w:rsidR="00204A7A" w:rsidRPr="00C744E7" w:rsidRDefault="00204A7A" w:rsidP="00204A7A">
            <w:pPr>
              <w:spacing w:after="0"/>
              <w:ind w:left="0"/>
              <w:rPr>
                <w:rFonts w:cs="Calibri"/>
                <w:color w:val="000000"/>
                <w:szCs w:val="24"/>
              </w:rPr>
            </w:pPr>
            <w:r w:rsidRPr="00C744E7">
              <w:rPr>
                <w:rFonts w:cs="Calibri"/>
                <w:color w:val="000000"/>
                <w:szCs w:val="24"/>
              </w:rPr>
              <w:t>Provides a rolling yearly summary of the age from appeal filed to appeal received by filing method for higher authority appeals</w:t>
            </w:r>
          </w:p>
        </w:tc>
      </w:tr>
      <w:tr w:rsidR="00204A7A" w:rsidRPr="00293F5E" w14:paraId="08EBB280" w14:textId="77777777" w:rsidTr="007569F9">
        <w:trPr>
          <w:trHeight w:val="600"/>
        </w:trPr>
        <w:tc>
          <w:tcPr>
            <w:tcW w:w="687" w:type="dxa"/>
            <w:noWrap/>
            <w:vAlign w:val="center"/>
            <w:hideMark/>
          </w:tcPr>
          <w:p w14:paraId="47775BE9" w14:textId="7A710811" w:rsidR="00204A7A" w:rsidRPr="00277E2A" w:rsidRDefault="00204A7A" w:rsidP="00204A7A">
            <w:pPr>
              <w:spacing w:after="0"/>
              <w:ind w:left="0"/>
              <w:jc w:val="center"/>
              <w:rPr>
                <w:rFonts w:cs="Calibri"/>
                <w:color w:val="000000"/>
                <w:szCs w:val="24"/>
              </w:rPr>
            </w:pPr>
            <w:r>
              <w:rPr>
                <w:color w:val="000000"/>
                <w:szCs w:val="22"/>
              </w:rPr>
              <w:t>61</w:t>
            </w:r>
          </w:p>
        </w:tc>
        <w:tc>
          <w:tcPr>
            <w:tcW w:w="1689" w:type="dxa"/>
            <w:noWrap/>
            <w:vAlign w:val="center"/>
            <w:hideMark/>
          </w:tcPr>
          <w:p w14:paraId="490DD582" w14:textId="77777777" w:rsidR="00204A7A" w:rsidRPr="00C744E7" w:rsidRDefault="00204A7A" w:rsidP="00204A7A">
            <w:pPr>
              <w:spacing w:after="0"/>
              <w:ind w:left="0"/>
              <w:rPr>
                <w:rFonts w:cs="Calibri"/>
                <w:color w:val="000000"/>
                <w:szCs w:val="24"/>
              </w:rPr>
            </w:pPr>
            <w:r w:rsidRPr="00C744E7">
              <w:rPr>
                <w:rFonts w:cs="Calibri"/>
                <w:color w:val="000000"/>
                <w:szCs w:val="24"/>
              </w:rPr>
              <w:t>Monthly</w:t>
            </w:r>
          </w:p>
        </w:tc>
        <w:tc>
          <w:tcPr>
            <w:tcW w:w="1789" w:type="dxa"/>
            <w:noWrap/>
            <w:vAlign w:val="center"/>
            <w:hideMark/>
          </w:tcPr>
          <w:p w14:paraId="32C4AA3A" w14:textId="77777777" w:rsidR="00204A7A" w:rsidRPr="00C744E7" w:rsidRDefault="00204A7A" w:rsidP="00204A7A">
            <w:pPr>
              <w:spacing w:after="0"/>
              <w:ind w:left="0"/>
              <w:rPr>
                <w:rFonts w:cs="Calibri"/>
                <w:color w:val="000000"/>
                <w:szCs w:val="24"/>
              </w:rPr>
            </w:pPr>
            <w:r w:rsidRPr="00C744E7">
              <w:rPr>
                <w:rFonts w:cs="Calibri"/>
                <w:color w:val="000000"/>
                <w:szCs w:val="24"/>
              </w:rPr>
              <w:t>New Measures PPR Report</w:t>
            </w:r>
          </w:p>
        </w:tc>
        <w:tc>
          <w:tcPr>
            <w:tcW w:w="7024" w:type="dxa"/>
            <w:vAlign w:val="center"/>
            <w:hideMark/>
          </w:tcPr>
          <w:p w14:paraId="3DC35048" w14:textId="77777777" w:rsidR="00204A7A" w:rsidRPr="00C744E7" w:rsidRDefault="00204A7A" w:rsidP="00204A7A">
            <w:pPr>
              <w:spacing w:after="0"/>
              <w:ind w:left="0"/>
              <w:rPr>
                <w:rFonts w:cs="Calibri"/>
                <w:color w:val="000000"/>
                <w:szCs w:val="24"/>
              </w:rPr>
            </w:pPr>
            <w:r w:rsidRPr="00C744E7">
              <w:rPr>
                <w:rFonts w:cs="Calibri"/>
                <w:color w:val="000000"/>
                <w:szCs w:val="24"/>
              </w:rPr>
              <w:t>Provides performance metrics for lower authority hearing officers (decisions issued within three business days of the hearing, corrected decision rate, decisions issued within 30 days of the appeal date, etc.)</w:t>
            </w:r>
          </w:p>
        </w:tc>
      </w:tr>
      <w:tr w:rsidR="00204A7A" w:rsidRPr="00293F5E" w14:paraId="2615A1F4" w14:textId="77777777" w:rsidTr="007569F9">
        <w:trPr>
          <w:trHeight w:val="300"/>
        </w:trPr>
        <w:tc>
          <w:tcPr>
            <w:tcW w:w="687" w:type="dxa"/>
            <w:noWrap/>
            <w:vAlign w:val="center"/>
            <w:hideMark/>
          </w:tcPr>
          <w:p w14:paraId="552B91E5" w14:textId="4C02810E" w:rsidR="00204A7A" w:rsidRPr="00277E2A" w:rsidRDefault="00204A7A" w:rsidP="00204A7A">
            <w:pPr>
              <w:spacing w:after="0"/>
              <w:ind w:left="0"/>
              <w:jc w:val="center"/>
              <w:rPr>
                <w:rFonts w:cs="Calibri"/>
                <w:color w:val="000000"/>
                <w:szCs w:val="24"/>
              </w:rPr>
            </w:pPr>
            <w:r>
              <w:rPr>
                <w:szCs w:val="22"/>
              </w:rPr>
              <w:lastRenderedPageBreak/>
              <w:t>62</w:t>
            </w:r>
          </w:p>
        </w:tc>
        <w:tc>
          <w:tcPr>
            <w:tcW w:w="1689" w:type="dxa"/>
            <w:noWrap/>
            <w:vAlign w:val="center"/>
            <w:hideMark/>
          </w:tcPr>
          <w:p w14:paraId="0388DD48" w14:textId="77777777" w:rsidR="00204A7A" w:rsidRPr="00C744E7" w:rsidRDefault="00204A7A" w:rsidP="00204A7A">
            <w:pPr>
              <w:spacing w:after="0"/>
              <w:ind w:left="0"/>
              <w:rPr>
                <w:rFonts w:cs="Calibri"/>
                <w:color w:val="000000"/>
                <w:szCs w:val="24"/>
              </w:rPr>
            </w:pPr>
            <w:r w:rsidRPr="00C744E7">
              <w:rPr>
                <w:rFonts w:cs="Calibri"/>
                <w:color w:val="000000"/>
                <w:szCs w:val="24"/>
              </w:rPr>
              <w:t>Monthly</w:t>
            </w:r>
          </w:p>
        </w:tc>
        <w:tc>
          <w:tcPr>
            <w:tcW w:w="1789" w:type="dxa"/>
            <w:noWrap/>
            <w:vAlign w:val="center"/>
            <w:hideMark/>
          </w:tcPr>
          <w:p w14:paraId="349DB387" w14:textId="77777777" w:rsidR="00204A7A" w:rsidRPr="00C744E7" w:rsidRDefault="00204A7A" w:rsidP="00204A7A">
            <w:pPr>
              <w:spacing w:after="0"/>
              <w:ind w:left="0"/>
              <w:rPr>
                <w:rFonts w:cs="Calibri"/>
                <w:color w:val="000000"/>
                <w:szCs w:val="24"/>
              </w:rPr>
            </w:pPr>
            <w:r w:rsidRPr="00C744E7">
              <w:rPr>
                <w:rFonts w:cs="Calibri"/>
                <w:color w:val="000000"/>
                <w:szCs w:val="24"/>
              </w:rPr>
              <w:t>New Measures Report - All Measures</w:t>
            </w:r>
          </w:p>
        </w:tc>
        <w:tc>
          <w:tcPr>
            <w:tcW w:w="7024" w:type="dxa"/>
            <w:vAlign w:val="center"/>
            <w:hideMark/>
          </w:tcPr>
          <w:p w14:paraId="20FD0781" w14:textId="77777777" w:rsidR="00204A7A" w:rsidRPr="00C744E7" w:rsidRDefault="00204A7A" w:rsidP="00204A7A">
            <w:pPr>
              <w:spacing w:after="0"/>
              <w:ind w:left="0"/>
              <w:rPr>
                <w:rFonts w:cs="Calibri"/>
                <w:color w:val="000000"/>
                <w:szCs w:val="24"/>
              </w:rPr>
            </w:pPr>
            <w:r w:rsidRPr="00C744E7">
              <w:rPr>
                <w:rFonts w:cs="Calibri"/>
                <w:color w:val="000000"/>
                <w:szCs w:val="24"/>
              </w:rPr>
              <w:t>Provides performance metrics for lower authority hearing officers (decisions issued within 45 days of the appeal date, resets, etc.)</w:t>
            </w:r>
          </w:p>
        </w:tc>
      </w:tr>
      <w:tr w:rsidR="00204A7A" w:rsidRPr="00293F5E" w14:paraId="59903774" w14:textId="77777777" w:rsidTr="007569F9">
        <w:trPr>
          <w:trHeight w:val="300"/>
        </w:trPr>
        <w:tc>
          <w:tcPr>
            <w:tcW w:w="687" w:type="dxa"/>
            <w:noWrap/>
            <w:vAlign w:val="center"/>
            <w:hideMark/>
          </w:tcPr>
          <w:p w14:paraId="26F2C910" w14:textId="6D1AB023" w:rsidR="00204A7A" w:rsidRPr="00277E2A" w:rsidRDefault="00204A7A" w:rsidP="00204A7A">
            <w:pPr>
              <w:spacing w:after="0"/>
              <w:ind w:left="0"/>
              <w:jc w:val="center"/>
              <w:rPr>
                <w:rFonts w:cs="Calibri"/>
                <w:color w:val="000000"/>
                <w:szCs w:val="24"/>
              </w:rPr>
            </w:pPr>
            <w:r>
              <w:rPr>
                <w:color w:val="000000"/>
                <w:szCs w:val="22"/>
              </w:rPr>
              <w:t>63</w:t>
            </w:r>
          </w:p>
        </w:tc>
        <w:tc>
          <w:tcPr>
            <w:tcW w:w="1689" w:type="dxa"/>
            <w:noWrap/>
            <w:vAlign w:val="center"/>
            <w:hideMark/>
          </w:tcPr>
          <w:p w14:paraId="4B181FDD" w14:textId="77777777" w:rsidR="00204A7A" w:rsidRPr="00C744E7" w:rsidRDefault="00204A7A" w:rsidP="00204A7A">
            <w:pPr>
              <w:spacing w:after="0"/>
              <w:ind w:left="0"/>
              <w:rPr>
                <w:rFonts w:cs="Calibri"/>
                <w:color w:val="000000"/>
                <w:szCs w:val="24"/>
              </w:rPr>
            </w:pPr>
            <w:r w:rsidRPr="00C744E7">
              <w:rPr>
                <w:rFonts w:cs="Calibri"/>
                <w:color w:val="000000"/>
                <w:szCs w:val="24"/>
              </w:rPr>
              <w:t>Monthly</w:t>
            </w:r>
          </w:p>
        </w:tc>
        <w:tc>
          <w:tcPr>
            <w:tcW w:w="1789" w:type="dxa"/>
            <w:noWrap/>
            <w:vAlign w:val="center"/>
            <w:hideMark/>
          </w:tcPr>
          <w:p w14:paraId="778B2BD6" w14:textId="77777777" w:rsidR="00204A7A" w:rsidRPr="00C744E7" w:rsidRDefault="00204A7A" w:rsidP="00204A7A">
            <w:pPr>
              <w:spacing w:after="0"/>
              <w:ind w:left="0"/>
              <w:rPr>
                <w:rFonts w:cs="Calibri"/>
                <w:color w:val="000000"/>
                <w:szCs w:val="24"/>
              </w:rPr>
            </w:pPr>
            <w:r w:rsidRPr="00C744E7">
              <w:rPr>
                <w:rFonts w:cs="Calibri"/>
                <w:color w:val="000000"/>
                <w:szCs w:val="24"/>
              </w:rPr>
              <w:t>New Measures PPR Typist Report</w:t>
            </w:r>
          </w:p>
        </w:tc>
        <w:tc>
          <w:tcPr>
            <w:tcW w:w="7024" w:type="dxa"/>
            <w:vAlign w:val="center"/>
            <w:hideMark/>
          </w:tcPr>
          <w:p w14:paraId="311DA6AE" w14:textId="77777777" w:rsidR="00204A7A" w:rsidRPr="00C744E7" w:rsidRDefault="00204A7A" w:rsidP="00204A7A">
            <w:pPr>
              <w:spacing w:after="0"/>
              <w:ind w:left="0"/>
              <w:rPr>
                <w:rFonts w:cs="Calibri"/>
                <w:color w:val="000000"/>
                <w:szCs w:val="24"/>
              </w:rPr>
            </w:pPr>
            <w:r w:rsidRPr="00C744E7">
              <w:rPr>
                <w:rFonts w:cs="Calibri"/>
                <w:color w:val="000000"/>
                <w:szCs w:val="24"/>
              </w:rPr>
              <w:t>Provides performance metrics for lower authority hearing officers who use a typist to assist with writing a decision (captures dictation information)</w:t>
            </w:r>
          </w:p>
        </w:tc>
      </w:tr>
      <w:tr w:rsidR="00204A7A" w:rsidRPr="00293F5E" w14:paraId="0FE9A09C" w14:textId="77777777" w:rsidTr="007569F9">
        <w:trPr>
          <w:trHeight w:val="300"/>
        </w:trPr>
        <w:tc>
          <w:tcPr>
            <w:tcW w:w="687" w:type="dxa"/>
            <w:noWrap/>
            <w:vAlign w:val="center"/>
            <w:hideMark/>
          </w:tcPr>
          <w:p w14:paraId="0CAC399B" w14:textId="548C97AC" w:rsidR="00204A7A" w:rsidRPr="00277E2A" w:rsidRDefault="00204A7A" w:rsidP="00204A7A">
            <w:pPr>
              <w:spacing w:after="0"/>
              <w:ind w:left="0"/>
              <w:jc w:val="center"/>
              <w:rPr>
                <w:rFonts w:cs="Calibri"/>
                <w:color w:val="000000"/>
                <w:szCs w:val="24"/>
              </w:rPr>
            </w:pPr>
            <w:r>
              <w:rPr>
                <w:szCs w:val="22"/>
              </w:rPr>
              <w:t>64</w:t>
            </w:r>
          </w:p>
        </w:tc>
        <w:tc>
          <w:tcPr>
            <w:tcW w:w="1689" w:type="dxa"/>
            <w:noWrap/>
            <w:vAlign w:val="center"/>
            <w:hideMark/>
          </w:tcPr>
          <w:p w14:paraId="462AA854" w14:textId="77777777" w:rsidR="00204A7A" w:rsidRPr="00C744E7" w:rsidRDefault="00204A7A" w:rsidP="00204A7A">
            <w:pPr>
              <w:spacing w:after="0"/>
              <w:ind w:left="0"/>
              <w:rPr>
                <w:rFonts w:cs="Calibri"/>
                <w:color w:val="000000"/>
                <w:szCs w:val="24"/>
              </w:rPr>
            </w:pPr>
            <w:r w:rsidRPr="00C744E7">
              <w:rPr>
                <w:rFonts w:cs="Calibri"/>
                <w:color w:val="000000"/>
                <w:szCs w:val="24"/>
              </w:rPr>
              <w:t>Monthly</w:t>
            </w:r>
          </w:p>
        </w:tc>
        <w:tc>
          <w:tcPr>
            <w:tcW w:w="1789" w:type="dxa"/>
            <w:noWrap/>
            <w:vAlign w:val="center"/>
            <w:hideMark/>
          </w:tcPr>
          <w:p w14:paraId="6D88811E" w14:textId="77777777" w:rsidR="00204A7A" w:rsidRPr="00C744E7" w:rsidRDefault="00204A7A" w:rsidP="00204A7A">
            <w:pPr>
              <w:spacing w:after="0"/>
              <w:ind w:left="0"/>
              <w:rPr>
                <w:rFonts w:cs="Calibri"/>
                <w:color w:val="000000"/>
                <w:szCs w:val="24"/>
              </w:rPr>
            </w:pPr>
            <w:r w:rsidRPr="00C744E7">
              <w:rPr>
                <w:rFonts w:cs="Calibri"/>
                <w:color w:val="000000"/>
                <w:szCs w:val="24"/>
              </w:rPr>
              <w:t>Hearings for Review - One Party AV, AB, RR, FL</w:t>
            </w:r>
          </w:p>
        </w:tc>
        <w:tc>
          <w:tcPr>
            <w:tcW w:w="7024" w:type="dxa"/>
            <w:vAlign w:val="center"/>
            <w:hideMark/>
          </w:tcPr>
          <w:p w14:paraId="28CE5D9A" w14:textId="234DAB03" w:rsidR="00204A7A" w:rsidRPr="00EF1ACC" w:rsidRDefault="00EF1ACC" w:rsidP="00204A7A">
            <w:pPr>
              <w:spacing w:after="0"/>
              <w:ind w:left="0"/>
              <w:rPr>
                <w:rFonts w:cs="Calibri"/>
                <w:color w:val="000000"/>
              </w:rPr>
            </w:pPr>
            <w:r>
              <w:rPr>
                <w:rFonts w:cs="Calibri"/>
                <w:color w:val="000000"/>
              </w:rPr>
              <w:t xml:space="preserve">Provides the population of cases by issue for internal performance evaluation (Include Commission Appeals) </w:t>
            </w:r>
          </w:p>
        </w:tc>
      </w:tr>
      <w:tr w:rsidR="00204A7A" w:rsidRPr="00293F5E" w14:paraId="4A566CDB" w14:textId="77777777" w:rsidTr="007569F9">
        <w:trPr>
          <w:trHeight w:val="300"/>
        </w:trPr>
        <w:tc>
          <w:tcPr>
            <w:tcW w:w="687" w:type="dxa"/>
            <w:noWrap/>
            <w:vAlign w:val="center"/>
            <w:hideMark/>
          </w:tcPr>
          <w:p w14:paraId="10C334FA" w14:textId="09F899C0" w:rsidR="00204A7A" w:rsidRPr="00277E2A" w:rsidRDefault="00204A7A" w:rsidP="00204A7A">
            <w:pPr>
              <w:spacing w:after="0"/>
              <w:ind w:left="0"/>
              <w:jc w:val="center"/>
              <w:rPr>
                <w:rFonts w:cs="Calibri"/>
                <w:color w:val="000000"/>
                <w:szCs w:val="24"/>
              </w:rPr>
            </w:pPr>
            <w:r>
              <w:rPr>
                <w:color w:val="000000"/>
                <w:szCs w:val="22"/>
              </w:rPr>
              <w:t>65</w:t>
            </w:r>
          </w:p>
        </w:tc>
        <w:tc>
          <w:tcPr>
            <w:tcW w:w="1689" w:type="dxa"/>
            <w:noWrap/>
            <w:vAlign w:val="center"/>
            <w:hideMark/>
          </w:tcPr>
          <w:p w14:paraId="2BD4060E" w14:textId="77777777" w:rsidR="00204A7A" w:rsidRPr="00C744E7" w:rsidRDefault="00204A7A" w:rsidP="00204A7A">
            <w:pPr>
              <w:spacing w:after="0"/>
              <w:ind w:left="0"/>
              <w:rPr>
                <w:rFonts w:cs="Calibri"/>
                <w:color w:val="000000"/>
                <w:szCs w:val="24"/>
              </w:rPr>
            </w:pPr>
            <w:r w:rsidRPr="00C744E7">
              <w:rPr>
                <w:rFonts w:cs="Calibri"/>
                <w:color w:val="000000"/>
                <w:szCs w:val="24"/>
              </w:rPr>
              <w:t>Monthly</w:t>
            </w:r>
          </w:p>
        </w:tc>
        <w:tc>
          <w:tcPr>
            <w:tcW w:w="1789" w:type="dxa"/>
            <w:noWrap/>
            <w:vAlign w:val="center"/>
            <w:hideMark/>
          </w:tcPr>
          <w:p w14:paraId="7FF91981" w14:textId="77777777" w:rsidR="00204A7A" w:rsidRPr="00C744E7" w:rsidRDefault="00204A7A" w:rsidP="00204A7A">
            <w:pPr>
              <w:spacing w:after="0"/>
              <w:ind w:left="0"/>
              <w:rPr>
                <w:rFonts w:cs="Calibri"/>
                <w:color w:val="000000"/>
                <w:szCs w:val="24"/>
              </w:rPr>
            </w:pPr>
            <w:r w:rsidRPr="00C744E7">
              <w:rPr>
                <w:rFonts w:cs="Calibri"/>
                <w:color w:val="000000"/>
                <w:szCs w:val="24"/>
              </w:rPr>
              <w:t>Hearing Reset Report</w:t>
            </w:r>
          </w:p>
        </w:tc>
        <w:tc>
          <w:tcPr>
            <w:tcW w:w="7024" w:type="dxa"/>
            <w:vAlign w:val="center"/>
            <w:hideMark/>
          </w:tcPr>
          <w:p w14:paraId="12546293" w14:textId="77777777" w:rsidR="00204A7A" w:rsidRPr="00C744E7" w:rsidRDefault="00204A7A" w:rsidP="00204A7A">
            <w:pPr>
              <w:spacing w:after="0"/>
              <w:ind w:left="0"/>
              <w:rPr>
                <w:rFonts w:cs="Calibri"/>
                <w:color w:val="000000"/>
                <w:szCs w:val="24"/>
              </w:rPr>
            </w:pPr>
            <w:r w:rsidRPr="00C744E7">
              <w:rPr>
                <w:rFonts w:cs="Calibri"/>
                <w:color w:val="000000"/>
                <w:szCs w:val="24"/>
              </w:rPr>
              <w:t>Provides a list of hearings reset by Hearing Officer, as well as summary totaling resets by reset reason (reformatted and sent through Cognos)</w:t>
            </w:r>
          </w:p>
        </w:tc>
      </w:tr>
      <w:tr w:rsidR="00204A7A" w:rsidRPr="00293F5E" w14:paraId="55A5DCB8" w14:textId="77777777" w:rsidTr="007569F9">
        <w:trPr>
          <w:trHeight w:val="300"/>
        </w:trPr>
        <w:tc>
          <w:tcPr>
            <w:tcW w:w="687" w:type="dxa"/>
            <w:noWrap/>
            <w:vAlign w:val="center"/>
            <w:hideMark/>
          </w:tcPr>
          <w:p w14:paraId="709AE406" w14:textId="278EDE3B" w:rsidR="00204A7A" w:rsidRPr="00277E2A" w:rsidRDefault="00204A7A" w:rsidP="00204A7A">
            <w:pPr>
              <w:spacing w:after="0"/>
              <w:ind w:left="0"/>
              <w:jc w:val="center"/>
              <w:rPr>
                <w:rFonts w:cs="Calibri"/>
                <w:color w:val="000000"/>
                <w:szCs w:val="24"/>
              </w:rPr>
            </w:pPr>
            <w:r>
              <w:rPr>
                <w:szCs w:val="22"/>
              </w:rPr>
              <w:t>66</w:t>
            </w:r>
          </w:p>
        </w:tc>
        <w:tc>
          <w:tcPr>
            <w:tcW w:w="1689" w:type="dxa"/>
            <w:noWrap/>
            <w:vAlign w:val="center"/>
            <w:hideMark/>
          </w:tcPr>
          <w:p w14:paraId="012AAB8D" w14:textId="77777777" w:rsidR="00204A7A" w:rsidRPr="00C744E7" w:rsidRDefault="00204A7A" w:rsidP="00204A7A">
            <w:pPr>
              <w:spacing w:after="0"/>
              <w:ind w:left="0"/>
              <w:rPr>
                <w:rFonts w:cs="Calibri"/>
                <w:color w:val="000000"/>
                <w:szCs w:val="24"/>
              </w:rPr>
            </w:pPr>
            <w:r w:rsidRPr="00C744E7">
              <w:rPr>
                <w:rFonts w:cs="Calibri"/>
                <w:color w:val="000000"/>
                <w:szCs w:val="24"/>
              </w:rPr>
              <w:t>Monthly</w:t>
            </w:r>
          </w:p>
        </w:tc>
        <w:tc>
          <w:tcPr>
            <w:tcW w:w="1789" w:type="dxa"/>
            <w:noWrap/>
            <w:vAlign w:val="center"/>
            <w:hideMark/>
          </w:tcPr>
          <w:p w14:paraId="5D03ECF4" w14:textId="77777777" w:rsidR="00204A7A" w:rsidRPr="00C744E7" w:rsidRDefault="00204A7A" w:rsidP="00204A7A">
            <w:pPr>
              <w:spacing w:after="0"/>
              <w:ind w:left="0"/>
              <w:rPr>
                <w:rFonts w:cs="Calibri"/>
                <w:color w:val="000000"/>
                <w:szCs w:val="24"/>
              </w:rPr>
            </w:pPr>
            <w:r w:rsidRPr="00C744E7">
              <w:rPr>
                <w:rFonts w:cs="Calibri"/>
                <w:color w:val="000000"/>
                <w:szCs w:val="24"/>
              </w:rPr>
              <w:t>Fraud Report Commission Appeals</w:t>
            </w:r>
          </w:p>
        </w:tc>
        <w:tc>
          <w:tcPr>
            <w:tcW w:w="7024" w:type="dxa"/>
            <w:vAlign w:val="center"/>
            <w:hideMark/>
          </w:tcPr>
          <w:p w14:paraId="7AA63756" w14:textId="77777777" w:rsidR="00204A7A" w:rsidRPr="00C744E7" w:rsidRDefault="00204A7A" w:rsidP="00204A7A">
            <w:pPr>
              <w:spacing w:after="0"/>
              <w:ind w:left="0"/>
              <w:rPr>
                <w:rFonts w:cs="Calibri"/>
                <w:color w:val="000000"/>
                <w:szCs w:val="24"/>
              </w:rPr>
            </w:pPr>
            <w:r w:rsidRPr="00C744E7">
              <w:rPr>
                <w:rFonts w:cs="Calibri"/>
                <w:color w:val="000000"/>
                <w:szCs w:val="24"/>
              </w:rPr>
              <w:t>Provides a list of cases mailed and the result with fraud as an issue for higher authority appeals</w:t>
            </w:r>
          </w:p>
        </w:tc>
      </w:tr>
      <w:tr w:rsidR="00204A7A" w:rsidRPr="00293F5E" w14:paraId="199299B3" w14:textId="77777777" w:rsidTr="007569F9">
        <w:trPr>
          <w:trHeight w:val="315"/>
        </w:trPr>
        <w:tc>
          <w:tcPr>
            <w:tcW w:w="687" w:type="dxa"/>
            <w:noWrap/>
            <w:vAlign w:val="center"/>
            <w:hideMark/>
          </w:tcPr>
          <w:p w14:paraId="5711700F" w14:textId="55200C4D" w:rsidR="00204A7A" w:rsidRPr="00277E2A" w:rsidRDefault="00204A7A" w:rsidP="00204A7A">
            <w:pPr>
              <w:spacing w:after="0"/>
              <w:ind w:left="0"/>
              <w:jc w:val="center"/>
              <w:rPr>
                <w:rFonts w:cs="Calibri"/>
                <w:color w:val="000000"/>
                <w:szCs w:val="24"/>
              </w:rPr>
            </w:pPr>
            <w:r>
              <w:rPr>
                <w:color w:val="000000"/>
                <w:szCs w:val="22"/>
              </w:rPr>
              <w:t>67</w:t>
            </w:r>
          </w:p>
        </w:tc>
        <w:tc>
          <w:tcPr>
            <w:tcW w:w="1689" w:type="dxa"/>
            <w:noWrap/>
            <w:vAlign w:val="center"/>
            <w:hideMark/>
          </w:tcPr>
          <w:p w14:paraId="5304DAE5" w14:textId="77777777" w:rsidR="00204A7A" w:rsidRPr="00C744E7" w:rsidRDefault="00204A7A" w:rsidP="00204A7A">
            <w:pPr>
              <w:spacing w:after="0"/>
              <w:ind w:left="0"/>
              <w:rPr>
                <w:rFonts w:cs="Calibri"/>
                <w:color w:val="000000"/>
                <w:szCs w:val="24"/>
              </w:rPr>
            </w:pPr>
            <w:r w:rsidRPr="00C744E7">
              <w:rPr>
                <w:rFonts w:cs="Calibri"/>
                <w:color w:val="000000"/>
                <w:szCs w:val="24"/>
              </w:rPr>
              <w:t>Quarterly</w:t>
            </w:r>
          </w:p>
        </w:tc>
        <w:tc>
          <w:tcPr>
            <w:tcW w:w="1789" w:type="dxa"/>
            <w:noWrap/>
            <w:vAlign w:val="center"/>
            <w:hideMark/>
          </w:tcPr>
          <w:p w14:paraId="7C4E6F29" w14:textId="0BEBE68A" w:rsidR="00204A7A" w:rsidRPr="00C744E7" w:rsidRDefault="00204A7A" w:rsidP="00204A7A">
            <w:pPr>
              <w:spacing w:after="0"/>
              <w:ind w:left="0"/>
              <w:rPr>
                <w:rFonts w:cs="Calibri"/>
                <w:color w:val="000000"/>
                <w:szCs w:val="24"/>
              </w:rPr>
            </w:pPr>
            <w:r w:rsidRPr="00C744E7">
              <w:rPr>
                <w:rFonts w:cs="Calibri"/>
                <w:color w:val="000000"/>
                <w:szCs w:val="24"/>
              </w:rPr>
              <w:t>A</w:t>
            </w:r>
            <w:r>
              <w:rPr>
                <w:rFonts w:cs="Calibri"/>
                <w:color w:val="000000"/>
                <w:szCs w:val="24"/>
              </w:rPr>
              <w:t xml:space="preserve">TAA </w:t>
            </w:r>
            <w:r w:rsidRPr="00C744E7">
              <w:rPr>
                <w:rFonts w:cs="Calibri"/>
                <w:color w:val="000000"/>
                <w:szCs w:val="24"/>
              </w:rPr>
              <w:t>cases</w:t>
            </w:r>
          </w:p>
        </w:tc>
        <w:tc>
          <w:tcPr>
            <w:tcW w:w="7024" w:type="dxa"/>
            <w:vAlign w:val="center"/>
            <w:hideMark/>
          </w:tcPr>
          <w:p w14:paraId="680B6E47" w14:textId="1EF3E7BE" w:rsidR="00204A7A" w:rsidRPr="00C744E7" w:rsidRDefault="00204A7A" w:rsidP="00204A7A">
            <w:pPr>
              <w:spacing w:after="0"/>
              <w:ind w:left="0"/>
              <w:rPr>
                <w:rFonts w:cs="Calibri"/>
                <w:color w:val="000000"/>
                <w:szCs w:val="24"/>
              </w:rPr>
            </w:pPr>
            <w:r w:rsidRPr="00C744E7">
              <w:rPr>
                <w:rFonts w:cs="Calibri"/>
                <w:color w:val="000000"/>
                <w:szCs w:val="24"/>
              </w:rPr>
              <w:t>Provides a count of ATAA to verify statistics reported to management</w:t>
            </w:r>
          </w:p>
        </w:tc>
      </w:tr>
      <w:tr w:rsidR="00204A7A" w:rsidRPr="00293F5E" w14:paraId="7BE4BE73" w14:textId="77777777" w:rsidTr="007569F9">
        <w:trPr>
          <w:trHeight w:val="315"/>
        </w:trPr>
        <w:tc>
          <w:tcPr>
            <w:tcW w:w="687" w:type="dxa"/>
            <w:noWrap/>
            <w:vAlign w:val="center"/>
          </w:tcPr>
          <w:p w14:paraId="281F1DD4" w14:textId="03AE4C86" w:rsidR="00204A7A" w:rsidRPr="00277E2A" w:rsidRDefault="00204A7A" w:rsidP="00204A7A">
            <w:pPr>
              <w:spacing w:after="0"/>
              <w:ind w:left="0"/>
              <w:jc w:val="center"/>
              <w:rPr>
                <w:rFonts w:cs="Calibri"/>
                <w:color w:val="000000"/>
                <w:szCs w:val="24"/>
              </w:rPr>
            </w:pPr>
            <w:r>
              <w:rPr>
                <w:szCs w:val="22"/>
              </w:rPr>
              <w:t>68</w:t>
            </w:r>
          </w:p>
        </w:tc>
        <w:tc>
          <w:tcPr>
            <w:tcW w:w="1689" w:type="dxa"/>
            <w:noWrap/>
            <w:vAlign w:val="center"/>
          </w:tcPr>
          <w:p w14:paraId="4CC81187" w14:textId="77777777" w:rsidR="00204A7A" w:rsidRPr="00C744E7" w:rsidRDefault="00204A7A" w:rsidP="00204A7A">
            <w:pPr>
              <w:spacing w:after="0"/>
              <w:ind w:left="0"/>
              <w:rPr>
                <w:rFonts w:cs="Calibri"/>
                <w:color w:val="000000"/>
                <w:szCs w:val="24"/>
              </w:rPr>
            </w:pPr>
            <w:r w:rsidRPr="00C744E7">
              <w:rPr>
                <w:rFonts w:cs="Calibri"/>
                <w:color w:val="000000"/>
                <w:szCs w:val="24"/>
              </w:rPr>
              <w:t>On Demand</w:t>
            </w:r>
          </w:p>
        </w:tc>
        <w:tc>
          <w:tcPr>
            <w:tcW w:w="1789" w:type="dxa"/>
            <w:noWrap/>
            <w:vAlign w:val="center"/>
          </w:tcPr>
          <w:p w14:paraId="325534C5" w14:textId="77777777" w:rsidR="00204A7A" w:rsidRPr="00C744E7" w:rsidRDefault="00204A7A" w:rsidP="00204A7A">
            <w:pPr>
              <w:spacing w:after="0"/>
              <w:ind w:left="0"/>
              <w:rPr>
                <w:rFonts w:cs="Calibri"/>
                <w:color w:val="000000"/>
                <w:szCs w:val="24"/>
              </w:rPr>
            </w:pPr>
            <w:r w:rsidRPr="00C744E7">
              <w:rPr>
                <w:rFonts w:cs="Calibri"/>
                <w:color w:val="000000"/>
                <w:szCs w:val="24"/>
              </w:rPr>
              <w:t>Docket Slips</w:t>
            </w:r>
          </w:p>
        </w:tc>
        <w:tc>
          <w:tcPr>
            <w:tcW w:w="7024" w:type="dxa"/>
            <w:vAlign w:val="center"/>
          </w:tcPr>
          <w:p w14:paraId="09D64369" w14:textId="77777777" w:rsidR="00204A7A" w:rsidRPr="00C744E7" w:rsidRDefault="00204A7A" w:rsidP="00204A7A">
            <w:pPr>
              <w:spacing w:after="0"/>
              <w:ind w:left="0"/>
              <w:rPr>
                <w:rFonts w:cs="Calibri"/>
                <w:color w:val="000000"/>
                <w:szCs w:val="24"/>
              </w:rPr>
            </w:pPr>
            <w:r w:rsidRPr="00C744E7">
              <w:rPr>
                <w:rFonts w:cs="Calibri"/>
                <w:color w:val="000000"/>
                <w:szCs w:val="24"/>
              </w:rPr>
              <w:t>Provides a list of pulled cases on docket to record the votes by the commissioners</w:t>
            </w:r>
          </w:p>
        </w:tc>
      </w:tr>
      <w:tr w:rsidR="008C0758" w:rsidRPr="00293F5E" w14:paraId="20D86D9B" w14:textId="77777777" w:rsidTr="007569F9">
        <w:trPr>
          <w:trHeight w:val="315"/>
        </w:trPr>
        <w:tc>
          <w:tcPr>
            <w:tcW w:w="687" w:type="dxa"/>
            <w:noWrap/>
            <w:vAlign w:val="center"/>
          </w:tcPr>
          <w:p w14:paraId="116B4189" w14:textId="1ABDB767" w:rsidR="008C0758" w:rsidRPr="00277E2A" w:rsidRDefault="008C0758" w:rsidP="008C0758">
            <w:pPr>
              <w:spacing w:after="0"/>
              <w:ind w:left="0"/>
              <w:jc w:val="center"/>
              <w:rPr>
                <w:rFonts w:cs="Calibri"/>
                <w:color w:val="000000"/>
                <w:szCs w:val="24"/>
              </w:rPr>
            </w:pPr>
            <w:r>
              <w:rPr>
                <w:color w:val="000000"/>
                <w:szCs w:val="22"/>
              </w:rPr>
              <w:t>69</w:t>
            </w:r>
          </w:p>
        </w:tc>
        <w:tc>
          <w:tcPr>
            <w:tcW w:w="1689" w:type="dxa"/>
            <w:noWrap/>
            <w:vAlign w:val="center"/>
          </w:tcPr>
          <w:p w14:paraId="5ABDCCB4" w14:textId="77777777" w:rsidR="008C0758" w:rsidRPr="00C744E7" w:rsidRDefault="008C0758" w:rsidP="008C0758">
            <w:pPr>
              <w:spacing w:after="0"/>
              <w:ind w:left="0"/>
              <w:rPr>
                <w:rFonts w:cs="Calibri"/>
                <w:color w:val="000000"/>
                <w:szCs w:val="24"/>
              </w:rPr>
            </w:pPr>
            <w:r w:rsidRPr="00C744E7">
              <w:rPr>
                <w:rFonts w:cs="Calibri"/>
                <w:color w:val="000000"/>
                <w:szCs w:val="24"/>
              </w:rPr>
              <w:t>On Demand</w:t>
            </w:r>
          </w:p>
        </w:tc>
        <w:tc>
          <w:tcPr>
            <w:tcW w:w="1789" w:type="dxa"/>
            <w:noWrap/>
            <w:vAlign w:val="center"/>
          </w:tcPr>
          <w:p w14:paraId="3E630E7A" w14:textId="64D62946" w:rsidR="008C0758" w:rsidRPr="00C744E7" w:rsidRDefault="008C0758" w:rsidP="008C0758">
            <w:pPr>
              <w:spacing w:after="0"/>
              <w:ind w:left="0"/>
              <w:rPr>
                <w:rFonts w:cs="Calibri"/>
                <w:color w:val="000000"/>
                <w:szCs w:val="24"/>
              </w:rPr>
            </w:pPr>
            <w:r>
              <w:rPr>
                <w:rFonts w:cs="Calibri"/>
                <w:color w:val="000000"/>
              </w:rPr>
              <w:t>(Future) Commissioner "Uncontested" List</w:t>
            </w:r>
          </w:p>
        </w:tc>
        <w:tc>
          <w:tcPr>
            <w:tcW w:w="7024" w:type="dxa"/>
            <w:vAlign w:val="center"/>
          </w:tcPr>
          <w:p w14:paraId="792F262C" w14:textId="0113B6E1" w:rsidR="008C0758" w:rsidRPr="00C744E7" w:rsidRDefault="008C0758" w:rsidP="008C0758">
            <w:pPr>
              <w:spacing w:after="0"/>
              <w:ind w:left="0"/>
              <w:rPr>
                <w:rFonts w:cs="Calibri"/>
                <w:color w:val="000000"/>
                <w:szCs w:val="24"/>
              </w:rPr>
            </w:pPr>
            <w:r>
              <w:rPr>
                <w:rFonts w:cs="Calibri"/>
                <w:color w:val="000000"/>
              </w:rPr>
              <w:t xml:space="preserve">Provides a list of unpulled contested cases (short form dissent cases) docket cases </w:t>
            </w:r>
          </w:p>
        </w:tc>
      </w:tr>
      <w:tr w:rsidR="00204A7A" w:rsidRPr="00293F5E" w14:paraId="622B5DEA" w14:textId="77777777" w:rsidTr="007569F9">
        <w:trPr>
          <w:trHeight w:val="315"/>
        </w:trPr>
        <w:tc>
          <w:tcPr>
            <w:tcW w:w="687" w:type="dxa"/>
            <w:noWrap/>
            <w:vAlign w:val="center"/>
          </w:tcPr>
          <w:p w14:paraId="29F1A475" w14:textId="3B8B7475" w:rsidR="00204A7A" w:rsidRPr="00277E2A" w:rsidRDefault="00204A7A" w:rsidP="00204A7A">
            <w:pPr>
              <w:spacing w:after="0"/>
              <w:ind w:left="0"/>
              <w:jc w:val="center"/>
              <w:rPr>
                <w:rFonts w:cs="Calibri"/>
                <w:color w:val="000000"/>
                <w:szCs w:val="24"/>
              </w:rPr>
            </w:pPr>
            <w:r>
              <w:rPr>
                <w:szCs w:val="22"/>
              </w:rPr>
              <w:t>70</w:t>
            </w:r>
          </w:p>
        </w:tc>
        <w:tc>
          <w:tcPr>
            <w:tcW w:w="1689" w:type="dxa"/>
            <w:noWrap/>
            <w:vAlign w:val="center"/>
          </w:tcPr>
          <w:p w14:paraId="363EEB7B" w14:textId="77777777" w:rsidR="00204A7A" w:rsidRPr="00C744E7" w:rsidRDefault="00204A7A" w:rsidP="00204A7A">
            <w:pPr>
              <w:spacing w:after="0"/>
              <w:ind w:left="0"/>
              <w:rPr>
                <w:rFonts w:cs="Calibri"/>
                <w:color w:val="000000"/>
                <w:szCs w:val="24"/>
              </w:rPr>
            </w:pPr>
            <w:r w:rsidRPr="00C744E7">
              <w:rPr>
                <w:rFonts w:cs="Calibri"/>
                <w:color w:val="000000"/>
                <w:szCs w:val="24"/>
              </w:rPr>
              <w:t>Weekly</w:t>
            </w:r>
          </w:p>
        </w:tc>
        <w:tc>
          <w:tcPr>
            <w:tcW w:w="1789" w:type="dxa"/>
            <w:noWrap/>
            <w:vAlign w:val="center"/>
          </w:tcPr>
          <w:p w14:paraId="26DC9265" w14:textId="77777777" w:rsidR="00204A7A" w:rsidRPr="00C744E7" w:rsidRDefault="00204A7A" w:rsidP="00204A7A">
            <w:pPr>
              <w:spacing w:after="0"/>
              <w:ind w:left="0"/>
              <w:rPr>
                <w:rFonts w:cs="Calibri"/>
                <w:color w:val="000000"/>
                <w:szCs w:val="24"/>
              </w:rPr>
            </w:pPr>
            <w:r w:rsidRPr="00C744E7">
              <w:rPr>
                <w:rFonts w:cs="Calibri"/>
                <w:color w:val="000000"/>
                <w:szCs w:val="24"/>
              </w:rPr>
              <w:t>Tiger Report</w:t>
            </w:r>
          </w:p>
        </w:tc>
        <w:tc>
          <w:tcPr>
            <w:tcW w:w="7024" w:type="dxa"/>
            <w:vAlign w:val="center"/>
          </w:tcPr>
          <w:p w14:paraId="76E8F5D2" w14:textId="77777777" w:rsidR="00204A7A" w:rsidRPr="00C744E7" w:rsidRDefault="00204A7A" w:rsidP="00204A7A">
            <w:pPr>
              <w:spacing w:after="0"/>
              <w:ind w:left="0"/>
              <w:rPr>
                <w:rFonts w:cs="Calibri"/>
                <w:color w:val="000000"/>
                <w:szCs w:val="24"/>
              </w:rPr>
            </w:pPr>
            <w:r w:rsidRPr="00C744E7">
              <w:rPr>
                <w:rFonts w:cs="Calibri"/>
                <w:color w:val="000000"/>
                <w:szCs w:val="24"/>
              </w:rPr>
              <w:t>Provides a list of files not found from RMC for higher authority appeals</w:t>
            </w:r>
          </w:p>
        </w:tc>
      </w:tr>
      <w:tr w:rsidR="00204A7A" w:rsidRPr="00293F5E" w14:paraId="3218A074" w14:textId="77777777" w:rsidTr="007569F9">
        <w:trPr>
          <w:trHeight w:val="315"/>
        </w:trPr>
        <w:tc>
          <w:tcPr>
            <w:tcW w:w="687" w:type="dxa"/>
            <w:noWrap/>
            <w:vAlign w:val="center"/>
          </w:tcPr>
          <w:p w14:paraId="34BED81D" w14:textId="3636CDA5" w:rsidR="00204A7A" w:rsidRPr="00277E2A" w:rsidRDefault="00204A7A" w:rsidP="00204A7A">
            <w:pPr>
              <w:spacing w:after="0"/>
              <w:ind w:left="0"/>
              <w:jc w:val="center"/>
              <w:rPr>
                <w:rFonts w:cs="Calibri"/>
                <w:color w:val="000000"/>
                <w:szCs w:val="24"/>
              </w:rPr>
            </w:pPr>
            <w:r>
              <w:rPr>
                <w:color w:val="000000"/>
                <w:szCs w:val="22"/>
              </w:rPr>
              <w:t>71</w:t>
            </w:r>
          </w:p>
        </w:tc>
        <w:tc>
          <w:tcPr>
            <w:tcW w:w="1689" w:type="dxa"/>
            <w:noWrap/>
            <w:vAlign w:val="center"/>
          </w:tcPr>
          <w:p w14:paraId="18759EEA" w14:textId="77777777" w:rsidR="00204A7A" w:rsidRPr="00C744E7" w:rsidRDefault="00204A7A" w:rsidP="00204A7A">
            <w:pPr>
              <w:spacing w:after="0"/>
              <w:ind w:left="0"/>
              <w:rPr>
                <w:rFonts w:cs="Calibri"/>
                <w:color w:val="000000"/>
                <w:szCs w:val="24"/>
              </w:rPr>
            </w:pPr>
            <w:r w:rsidRPr="00C744E7">
              <w:rPr>
                <w:rFonts w:cs="Calibri"/>
                <w:color w:val="000000"/>
                <w:szCs w:val="24"/>
              </w:rPr>
              <w:t>Daily</w:t>
            </w:r>
          </w:p>
        </w:tc>
        <w:tc>
          <w:tcPr>
            <w:tcW w:w="1789" w:type="dxa"/>
            <w:noWrap/>
            <w:vAlign w:val="center"/>
          </w:tcPr>
          <w:p w14:paraId="735E2A55" w14:textId="77777777" w:rsidR="00204A7A" w:rsidRPr="00C744E7" w:rsidRDefault="00204A7A" w:rsidP="00204A7A">
            <w:pPr>
              <w:spacing w:after="0"/>
              <w:ind w:left="0"/>
              <w:rPr>
                <w:rFonts w:cs="Calibri"/>
                <w:color w:val="000000"/>
                <w:szCs w:val="24"/>
              </w:rPr>
            </w:pPr>
            <w:r w:rsidRPr="00C744E7">
              <w:rPr>
                <w:rFonts w:cs="Calibri"/>
                <w:color w:val="000000"/>
                <w:szCs w:val="24"/>
              </w:rPr>
              <w:t>NF Report</w:t>
            </w:r>
          </w:p>
        </w:tc>
        <w:tc>
          <w:tcPr>
            <w:tcW w:w="7024" w:type="dxa"/>
            <w:vAlign w:val="center"/>
          </w:tcPr>
          <w:p w14:paraId="7E8AE8F9" w14:textId="77777777" w:rsidR="00204A7A" w:rsidRPr="00C744E7" w:rsidRDefault="00204A7A" w:rsidP="00204A7A">
            <w:pPr>
              <w:spacing w:after="0"/>
              <w:ind w:left="0"/>
              <w:rPr>
                <w:rFonts w:cs="Calibri"/>
                <w:color w:val="000000"/>
                <w:szCs w:val="24"/>
              </w:rPr>
            </w:pPr>
            <w:r w:rsidRPr="00C744E7">
              <w:rPr>
                <w:rFonts w:cs="Calibri"/>
                <w:color w:val="000000"/>
                <w:szCs w:val="24"/>
              </w:rPr>
              <w:t>Provides a list of files not found from RMC for higher authority appeals</w:t>
            </w:r>
          </w:p>
        </w:tc>
      </w:tr>
      <w:tr w:rsidR="00204A7A" w:rsidRPr="00293F5E" w14:paraId="46D43EE2" w14:textId="77777777" w:rsidTr="007569F9">
        <w:trPr>
          <w:trHeight w:val="315"/>
        </w:trPr>
        <w:tc>
          <w:tcPr>
            <w:tcW w:w="687" w:type="dxa"/>
            <w:noWrap/>
            <w:vAlign w:val="center"/>
          </w:tcPr>
          <w:p w14:paraId="75D04FB0" w14:textId="0484AC06" w:rsidR="00204A7A" w:rsidRPr="00277E2A" w:rsidRDefault="00204A7A" w:rsidP="00204A7A">
            <w:pPr>
              <w:spacing w:after="0"/>
              <w:ind w:left="0"/>
              <w:jc w:val="center"/>
              <w:rPr>
                <w:rFonts w:cs="Calibri"/>
                <w:color w:val="000000"/>
                <w:szCs w:val="24"/>
              </w:rPr>
            </w:pPr>
            <w:r>
              <w:rPr>
                <w:szCs w:val="22"/>
              </w:rPr>
              <w:t>72</w:t>
            </w:r>
          </w:p>
        </w:tc>
        <w:tc>
          <w:tcPr>
            <w:tcW w:w="1689" w:type="dxa"/>
            <w:noWrap/>
            <w:vAlign w:val="center"/>
          </w:tcPr>
          <w:p w14:paraId="538E1310" w14:textId="77777777" w:rsidR="00204A7A" w:rsidRPr="00C744E7" w:rsidRDefault="00204A7A" w:rsidP="00204A7A">
            <w:pPr>
              <w:spacing w:after="0"/>
              <w:ind w:left="0"/>
              <w:rPr>
                <w:rFonts w:cs="Calibri"/>
                <w:color w:val="000000"/>
                <w:szCs w:val="24"/>
              </w:rPr>
            </w:pPr>
            <w:r w:rsidRPr="00C744E7">
              <w:rPr>
                <w:rFonts w:cs="Calibri"/>
                <w:color w:val="000000"/>
                <w:szCs w:val="24"/>
              </w:rPr>
              <w:t>Annual</w:t>
            </w:r>
          </w:p>
        </w:tc>
        <w:tc>
          <w:tcPr>
            <w:tcW w:w="1789" w:type="dxa"/>
            <w:noWrap/>
            <w:vAlign w:val="center"/>
          </w:tcPr>
          <w:p w14:paraId="0C7E3E08" w14:textId="19733696" w:rsidR="00204A7A" w:rsidRPr="00C744E7" w:rsidRDefault="00204A7A" w:rsidP="00204A7A">
            <w:pPr>
              <w:spacing w:after="0"/>
              <w:ind w:left="0"/>
              <w:rPr>
                <w:rFonts w:cs="Calibri"/>
                <w:color w:val="000000"/>
                <w:szCs w:val="24"/>
              </w:rPr>
            </w:pPr>
            <w:r w:rsidRPr="00C744E7">
              <w:rPr>
                <w:rFonts w:cs="Calibri"/>
                <w:color w:val="000000"/>
                <w:szCs w:val="24"/>
              </w:rPr>
              <w:t>(</w:t>
            </w:r>
            <w:r w:rsidR="008C0758">
              <w:rPr>
                <w:rFonts w:cs="Calibri"/>
                <w:color w:val="000000"/>
              </w:rPr>
              <w:t>Future</w:t>
            </w:r>
            <w:r w:rsidRPr="00C744E7">
              <w:rPr>
                <w:rFonts w:cs="Calibri"/>
                <w:color w:val="000000"/>
                <w:szCs w:val="24"/>
              </w:rPr>
              <w:t>) Yearly Report</w:t>
            </w:r>
          </w:p>
        </w:tc>
        <w:tc>
          <w:tcPr>
            <w:tcW w:w="7024" w:type="dxa"/>
            <w:vAlign w:val="center"/>
          </w:tcPr>
          <w:p w14:paraId="621E7DFD" w14:textId="77777777" w:rsidR="00204A7A" w:rsidRPr="00C744E7" w:rsidRDefault="00204A7A" w:rsidP="00204A7A">
            <w:pPr>
              <w:spacing w:after="0"/>
              <w:ind w:left="0"/>
              <w:rPr>
                <w:rFonts w:cs="Calibri"/>
                <w:color w:val="000000"/>
                <w:szCs w:val="24"/>
              </w:rPr>
            </w:pPr>
            <w:r w:rsidRPr="00C744E7">
              <w:rPr>
                <w:rFonts w:cs="Calibri"/>
                <w:color w:val="000000"/>
                <w:szCs w:val="24"/>
              </w:rPr>
              <w:t>Provides a summary of program metrics (number of appeals filed, number of decisions mailed, number of hearing held, number of resets, etc.) for lower and higher authority appeals</w:t>
            </w:r>
          </w:p>
        </w:tc>
      </w:tr>
      <w:tr w:rsidR="00204A7A" w:rsidRPr="00293F5E" w14:paraId="5BD761EE" w14:textId="77777777" w:rsidTr="007569F9">
        <w:trPr>
          <w:trHeight w:val="315"/>
        </w:trPr>
        <w:tc>
          <w:tcPr>
            <w:tcW w:w="687" w:type="dxa"/>
            <w:noWrap/>
            <w:vAlign w:val="center"/>
          </w:tcPr>
          <w:p w14:paraId="577D3420" w14:textId="4555B253" w:rsidR="00204A7A" w:rsidRPr="00277E2A" w:rsidRDefault="00204A7A" w:rsidP="00204A7A">
            <w:pPr>
              <w:spacing w:after="0"/>
              <w:ind w:left="0"/>
              <w:jc w:val="center"/>
              <w:rPr>
                <w:rFonts w:cs="Calibri"/>
                <w:color w:val="000000"/>
                <w:szCs w:val="24"/>
              </w:rPr>
            </w:pPr>
            <w:r>
              <w:rPr>
                <w:color w:val="000000"/>
                <w:szCs w:val="22"/>
              </w:rPr>
              <w:t>73</w:t>
            </w:r>
          </w:p>
        </w:tc>
        <w:tc>
          <w:tcPr>
            <w:tcW w:w="1689" w:type="dxa"/>
            <w:noWrap/>
            <w:vAlign w:val="center"/>
          </w:tcPr>
          <w:p w14:paraId="79458929" w14:textId="77777777" w:rsidR="00204A7A" w:rsidRPr="00C744E7" w:rsidRDefault="00204A7A" w:rsidP="00204A7A">
            <w:pPr>
              <w:spacing w:after="0"/>
              <w:ind w:left="0"/>
              <w:rPr>
                <w:rFonts w:cs="Calibri"/>
                <w:color w:val="000000"/>
                <w:szCs w:val="24"/>
              </w:rPr>
            </w:pPr>
            <w:r w:rsidRPr="00C744E7">
              <w:rPr>
                <w:rFonts w:cs="Calibri"/>
                <w:color w:val="000000"/>
                <w:szCs w:val="24"/>
              </w:rPr>
              <w:t>On Demand</w:t>
            </w:r>
          </w:p>
        </w:tc>
        <w:tc>
          <w:tcPr>
            <w:tcW w:w="1789" w:type="dxa"/>
            <w:noWrap/>
            <w:vAlign w:val="center"/>
          </w:tcPr>
          <w:p w14:paraId="7BABEC6B" w14:textId="536CD1BC" w:rsidR="00204A7A" w:rsidRPr="00C744E7" w:rsidRDefault="00204A7A" w:rsidP="00204A7A">
            <w:pPr>
              <w:spacing w:after="0"/>
              <w:ind w:left="0"/>
              <w:rPr>
                <w:rFonts w:cs="Calibri"/>
                <w:color w:val="000000"/>
                <w:szCs w:val="24"/>
              </w:rPr>
            </w:pPr>
            <w:r w:rsidRPr="00C744E7">
              <w:rPr>
                <w:rFonts w:cs="Calibri"/>
                <w:color w:val="000000"/>
                <w:szCs w:val="24"/>
              </w:rPr>
              <w:t>(</w:t>
            </w:r>
            <w:r w:rsidR="008C0758">
              <w:rPr>
                <w:rFonts w:cs="Calibri"/>
                <w:color w:val="000000"/>
              </w:rPr>
              <w:t>Future</w:t>
            </w:r>
            <w:r w:rsidRPr="00C744E7">
              <w:rPr>
                <w:rFonts w:cs="Calibri"/>
                <w:color w:val="000000"/>
                <w:szCs w:val="24"/>
              </w:rPr>
              <w:t>) WIP Report</w:t>
            </w:r>
          </w:p>
        </w:tc>
        <w:tc>
          <w:tcPr>
            <w:tcW w:w="7024" w:type="dxa"/>
            <w:vAlign w:val="center"/>
          </w:tcPr>
          <w:p w14:paraId="0D99AEE6" w14:textId="5EBB96E2" w:rsidR="00204A7A" w:rsidRPr="00C744E7" w:rsidRDefault="00204A7A" w:rsidP="00204A7A">
            <w:pPr>
              <w:spacing w:after="0"/>
              <w:ind w:left="0"/>
              <w:rPr>
                <w:rFonts w:cs="Calibri"/>
                <w:color w:val="000000"/>
                <w:szCs w:val="24"/>
              </w:rPr>
            </w:pPr>
            <w:r w:rsidRPr="00C744E7">
              <w:rPr>
                <w:rFonts w:cs="Calibri"/>
                <w:color w:val="000000"/>
                <w:szCs w:val="24"/>
              </w:rPr>
              <w:t>Provides a real-time list and summary including case age of all appeals at each step in the workflow. Could be a dashboard. Provide notifications</w:t>
            </w:r>
            <w:r w:rsidR="00FA2BCD">
              <w:rPr>
                <w:rFonts w:cs="Calibri"/>
                <w:color w:val="000000"/>
                <w:szCs w:val="24"/>
              </w:rPr>
              <w:t xml:space="preserve"> when red flag criteria are met</w:t>
            </w:r>
          </w:p>
        </w:tc>
      </w:tr>
      <w:tr w:rsidR="00204A7A" w:rsidRPr="00293F5E" w14:paraId="5D84362D" w14:textId="77777777" w:rsidTr="007569F9">
        <w:trPr>
          <w:trHeight w:val="315"/>
        </w:trPr>
        <w:tc>
          <w:tcPr>
            <w:tcW w:w="687" w:type="dxa"/>
            <w:noWrap/>
            <w:vAlign w:val="center"/>
          </w:tcPr>
          <w:p w14:paraId="70D4C006" w14:textId="39918A6D" w:rsidR="00204A7A" w:rsidRPr="00277E2A" w:rsidRDefault="00204A7A" w:rsidP="00204A7A">
            <w:pPr>
              <w:spacing w:after="0"/>
              <w:ind w:left="0"/>
              <w:jc w:val="center"/>
              <w:rPr>
                <w:rFonts w:cs="Calibri"/>
                <w:color w:val="000000"/>
                <w:szCs w:val="24"/>
              </w:rPr>
            </w:pPr>
            <w:r>
              <w:rPr>
                <w:szCs w:val="22"/>
              </w:rPr>
              <w:t>74</w:t>
            </w:r>
          </w:p>
        </w:tc>
        <w:tc>
          <w:tcPr>
            <w:tcW w:w="1689" w:type="dxa"/>
            <w:noWrap/>
            <w:vAlign w:val="center"/>
          </w:tcPr>
          <w:p w14:paraId="2CD79AD8" w14:textId="77777777" w:rsidR="00204A7A" w:rsidRPr="00C744E7" w:rsidRDefault="00204A7A" w:rsidP="00204A7A">
            <w:pPr>
              <w:spacing w:after="0"/>
              <w:ind w:left="0"/>
              <w:rPr>
                <w:rFonts w:cs="Calibri"/>
                <w:color w:val="000000"/>
                <w:szCs w:val="24"/>
              </w:rPr>
            </w:pPr>
            <w:r w:rsidRPr="00C744E7">
              <w:rPr>
                <w:rFonts w:cs="Calibri"/>
                <w:color w:val="000000"/>
                <w:szCs w:val="24"/>
              </w:rPr>
              <w:t>On Demand</w:t>
            </w:r>
          </w:p>
        </w:tc>
        <w:tc>
          <w:tcPr>
            <w:tcW w:w="1789" w:type="dxa"/>
            <w:noWrap/>
            <w:vAlign w:val="center"/>
          </w:tcPr>
          <w:p w14:paraId="665C2343" w14:textId="57481CEB" w:rsidR="00204A7A" w:rsidRPr="00C744E7" w:rsidRDefault="00204A7A" w:rsidP="00204A7A">
            <w:pPr>
              <w:spacing w:after="0"/>
              <w:ind w:left="0"/>
              <w:rPr>
                <w:rFonts w:cs="Calibri"/>
                <w:color w:val="000000"/>
                <w:szCs w:val="24"/>
              </w:rPr>
            </w:pPr>
            <w:r w:rsidRPr="00C744E7">
              <w:rPr>
                <w:rFonts w:cs="Calibri"/>
                <w:color w:val="000000"/>
                <w:szCs w:val="24"/>
              </w:rPr>
              <w:t>(</w:t>
            </w:r>
            <w:r w:rsidR="008C0758">
              <w:rPr>
                <w:rFonts w:cs="Calibri"/>
                <w:color w:val="000000"/>
              </w:rPr>
              <w:t>Future</w:t>
            </w:r>
            <w:r w:rsidRPr="00C744E7">
              <w:rPr>
                <w:rFonts w:cs="Calibri"/>
                <w:color w:val="000000"/>
                <w:szCs w:val="24"/>
              </w:rPr>
              <w:t xml:space="preserve">) Docket Time </w:t>
            </w:r>
            <w:r w:rsidRPr="00C744E7">
              <w:rPr>
                <w:rFonts w:cs="Calibri"/>
                <w:color w:val="000000"/>
                <w:szCs w:val="24"/>
              </w:rPr>
              <w:lastRenderedPageBreak/>
              <w:t>Study Report</w:t>
            </w:r>
          </w:p>
        </w:tc>
        <w:tc>
          <w:tcPr>
            <w:tcW w:w="7024" w:type="dxa"/>
            <w:vAlign w:val="center"/>
          </w:tcPr>
          <w:p w14:paraId="77C1B686" w14:textId="5AE43D8A" w:rsidR="00204A7A" w:rsidRPr="00C744E7" w:rsidRDefault="00204A7A" w:rsidP="00204A7A">
            <w:pPr>
              <w:spacing w:after="0"/>
              <w:ind w:left="0"/>
              <w:rPr>
                <w:rFonts w:cs="Calibri"/>
                <w:color w:val="000000"/>
                <w:szCs w:val="24"/>
              </w:rPr>
            </w:pPr>
            <w:r w:rsidRPr="00C744E7">
              <w:rPr>
                <w:rFonts w:cs="Calibri"/>
                <w:color w:val="000000"/>
                <w:szCs w:val="24"/>
              </w:rPr>
              <w:lastRenderedPageBreak/>
              <w:t xml:space="preserve">Provides a list of administrative </w:t>
            </w:r>
            <w:r>
              <w:rPr>
                <w:rFonts w:cs="Calibri"/>
                <w:color w:val="000000"/>
                <w:szCs w:val="24"/>
              </w:rPr>
              <w:t>Staff</w:t>
            </w:r>
            <w:r w:rsidRPr="00C744E7">
              <w:rPr>
                <w:rFonts w:cs="Calibri"/>
                <w:color w:val="000000"/>
                <w:szCs w:val="24"/>
              </w:rPr>
              <w:t>, their work on the docket, and total time</w:t>
            </w:r>
          </w:p>
        </w:tc>
      </w:tr>
      <w:tr w:rsidR="00204A7A" w:rsidRPr="00293F5E" w14:paraId="75ED5F7B" w14:textId="77777777" w:rsidTr="007569F9">
        <w:trPr>
          <w:trHeight w:val="315"/>
        </w:trPr>
        <w:tc>
          <w:tcPr>
            <w:tcW w:w="687" w:type="dxa"/>
            <w:noWrap/>
            <w:vAlign w:val="center"/>
          </w:tcPr>
          <w:p w14:paraId="341F5429" w14:textId="63C25F69" w:rsidR="00204A7A" w:rsidRPr="00277E2A" w:rsidRDefault="00204A7A" w:rsidP="00204A7A">
            <w:pPr>
              <w:spacing w:after="0"/>
              <w:ind w:left="0"/>
              <w:jc w:val="center"/>
              <w:rPr>
                <w:rFonts w:cs="Calibri"/>
                <w:color w:val="000000"/>
                <w:szCs w:val="24"/>
              </w:rPr>
            </w:pPr>
            <w:r>
              <w:rPr>
                <w:color w:val="000000"/>
                <w:szCs w:val="22"/>
              </w:rPr>
              <w:t>75</w:t>
            </w:r>
          </w:p>
        </w:tc>
        <w:tc>
          <w:tcPr>
            <w:tcW w:w="1689" w:type="dxa"/>
            <w:noWrap/>
            <w:vAlign w:val="center"/>
          </w:tcPr>
          <w:p w14:paraId="30EC6D61" w14:textId="77777777" w:rsidR="00204A7A" w:rsidRPr="00C744E7" w:rsidRDefault="00204A7A" w:rsidP="00204A7A">
            <w:pPr>
              <w:spacing w:after="0"/>
              <w:ind w:left="0"/>
              <w:rPr>
                <w:rFonts w:cs="Calibri"/>
                <w:color w:val="000000"/>
                <w:szCs w:val="24"/>
              </w:rPr>
            </w:pPr>
            <w:r w:rsidRPr="00C744E7">
              <w:rPr>
                <w:rFonts w:cs="Calibri"/>
                <w:color w:val="000000"/>
                <w:szCs w:val="24"/>
              </w:rPr>
              <w:t>On Demand</w:t>
            </w:r>
          </w:p>
        </w:tc>
        <w:tc>
          <w:tcPr>
            <w:tcW w:w="1789" w:type="dxa"/>
            <w:noWrap/>
            <w:vAlign w:val="center"/>
          </w:tcPr>
          <w:p w14:paraId="792CFCD3" w14:textId="02A77B5E" w:rsidR="00204A7A" w:rsidRPr="00C744E7" w:rsidRDefault="00204A7A" w:rsidP="00204A7A">
            <w:pPr>
              <w:spacing w:after="0"/>
              <w:ind w:left="0"/>
              <w:rPr>
                <w:rFonts w:cs="Calibri"/>
                <w:color w:val="000000"/>
                <w:szCs w:val="24"/>
              </w:rPr>
            </w:pPr>
            <w:r w:rsidRPr="00C744E7">
              <w:rPr>
                <w:rFonts w:cs="Calibri"/>
                <w:color w:val="000000"/>
                <w:szCs w:val="24"/>
              </w:rPr>
              <w:t>(</w:t>
            </w:r>
            <w:r w:rsidR="008C0758">
              <w:rPr>
                <w:rFonts w:cs="Calibri"/>
                <w:color w:val="000000"/>
              </w:rPr>
              <w:t>Future</w:t>
            </w:r>
            <w:r w:rsidRPr="00C744E7">
              <w:rPr>
                <w:rFonts w:cs="Calibri"/>
                <w:color w:val="000000"/>
                <w:szCs w:val="24"/>
              </w:rPr>
              <w:t>) Touch Time Report</w:t>
            </w:r>
          </w:p>
        </w:tc>
        <w:tc>
          <w:tcPr>
            <w:tcW w:w="7024" w:type="dxa"/>
            <w:vAlign w:val="center"/>
          </w:tcPr>
          <w:p w14:paraId="4DEC1BA5" w14:textId="5A67C7ED" w:rsidR="00204A7A" w:rsidRPr="00C744E7" w:rsidRDefault="00204A7A" w:rsidP="00204A7A">
            <w:pPr>
              <w:spacing w:after="0"/>
              <w:ind w:left="0"/>
              <w:rPr>
                <w:rFonts w:cs="Calibri"/>
                <w:color w:val="000000"/>
                <w:szCs w:val="24"/>
              </w:rPr>
            </w:pPr>
            <w:r w:rsidRPr="00C744E7">
              <w:rPr>
                <w:rFonts w:cs="Calibri"/>
                <w:color w:val="000000"/>
                <w:szCs w:val="24"/>
              </w:rPr>
              <w:t>Captures the time it takes to complete each process in the</w:t>
            </w:r>
            <w:r w:rsidR="00FA2BCD">
              <w:rPr>
                <w:rFonts w:cs="Calibri"/>
                <w:color w:val="000000"/>
                <w:szCs w:val="24"/>
              </w:rPr>
              <w:t xml:space="preserve"> workflow. Could be a dashboard</w:t>
            </w:r>
          </w:p>
        </w:tc>
      </w:tr>
      <w:tr w:rsidR="00204A7A" w:rsidRPr="00C744E7" w14:paraId="4AD16F32" w14:textId="77777777" w:rsidTr="007569F9">
        <w:trPr>
          <w:trHeight w:val="315"/>
        </w:trPr>
        <w:tc>
          <w:tcPr>
            <w:tcW w:w="687" w:type="dxa"/>
            <w:noWrap/>
            <w:vAlign w:val="center"/>
          </w:tcPr>
          <w:p w14:paraId="73966C26" w14:textId="6D040D12" w:rsidR="00204A7A" w:rsidRPr="00277E2A" w:rsidRDefault="00204A7A" w:rsidP="00204A7A">
            <w:pPr>
              <w:spacing w:after="0"/>
              <w:ind w:left="0"/>
              <w:jc w:val="center"/>
              <w:rPr>
                <w:rFonts w:cs="Calibri"/>
                <w:color w:val="000000"/>
                <w:szCs w:val="24"/>
              </w:rPr>
            </w:pPr>
            <w:r>
              <w:rPr>
                <w:szCs w:val="22"/>
              </w:rPr>
              <w:t>76</w:t>
            </w:r>
          </w:p>
        </w:tc>
        <w:tc>
          <w:tcPr>
            <w:tcW w:w="1689" w:type="dxa"/>
            <w:noWrap/>
            <w:vAlign w:val="center"/>
          </w:tcPr>
          <w:p w14:paraId="6CBFDDAC" w14:textId="77777777" w:rsidR="00204A7A" w:rsidRPr="00C744E7" w:rsidRDefault="00204A7A" w:rsidP="00204A7A">
            <w:pPr>
              <w:spacing w:after="0"/>
              <w:ind w:left="0"/>
              <w:rPr>
                <w:rFonts w:cs="Calibri"/>
                <w:color w:val="000000"/>
                <w:szCs w:val="24"/>
              </w:rPr>
            </w:pPr>
            <w:r>
              <w:rPr>
                <w:rFonts w:cs="Calibri"/>
                <w:color w:val="000000"/>
                <w:szCs w:val="24"/>
              </w:rPr>
              <w:t>On Demand</w:t>
            </w:r>
          </w:p>
        </w:tc>
        <w:tc>
          <w:tcPr>
            <w:tcW w:w="1789" w:type="dxa"/>
            <w:noWrap/>
          </w:tcPr>
          <w:p w14:paraId="17A7F0AB" w14:textId="77777777" w:rsidR="00204A7A" w:rsidRPr="00C744E7" w:rsidRDefault="00204A7A" w:rsidP="00204A7A">
            <w:pPr>
              <w:spacing w:after="0"/>
              <w:ind w:left="0"/>
              <w:rPr>
                <w:rFonts w:cs="Calibri"/>
                <w:color w:val="000000"/>
                <w:szCs w:val="24"/>
              </w:rPr>
            </w:pPr>
            <w:r>
              <w:rPr>
                <w:rFonts w:cs="Calibri"/>
                <w:color w:val="000000"/>
                <w:szCs w:val="24"/>
              </w:rPr>
              <w:t>Time Lapse (</w:t>
            </w:r>
            <w:r w:rsidRPr="00520319">
              <w:rPr>
                <w:rFonts w:cs="Calibri"/>
                <w:color w:val="000000"/>
                <w:szCs w:val="24"/>
              </w:rPr>
              <w:t>BNQ215I0</w:t>
            </w:r>
            <w:r>
              <w:rPr>
                <w:rFonts w:cs="Calibri"/>
                <w:color w:val="000000"/>
                <w:szCs w:val="24"/>
              </w:rPr>
              <w:t>)</w:t>
            </w:r>
          </w:p>
        </w:tc>
        <w:tc>
          <w:tcPr>
            <w:tcW w:w="7024" w:type="dxa"/>
            <w:vAlign w:val="center"/>
          </w:tcPr>
          <w:p w14:paraId="20C89A3A" w14:textId="0D4BB24E" w:rsidR="00204A7A" w:rsidRPr="00C744E7" w:rsidRDefault="00204A7A" w:rsidP="00204A7A">
            <w:pPr>
              <w:spacing w:after="0"/>
              <w:ind w:left="0"/>
              <w:rPr>
                <w:rFonts w:cs="Calibri"/>
                <w:color w:val="000000"/>
                <w:szCs w:val="24"/>
              </w:rPr>
            </w:pPr>
            <w:r>
              <w:rPr>
                <w:rFonts w:cs="Calibri"/>
                <w:color w:val="000000"/>
                <w:szCs w:val="24"/>
              </w:rPr>
              <w:t>Provides time lapse repor</w:t>
            </w:r>
            <w:r w:rsidR="00FA2BCD">
              <w:rPr>
                <w:rFonts w:cs="Calibri"/>
                <w:color w:val="000000"/>
                <w:szCs w:val="24"/>
              </w:rPr>
              <w:t>ts by type, group, and interval</w:t>
            </w:r>
          </w:p>
        </w:tc>
      </w:tr>
      <w:tr w:rsidR="00204A7A" w14:paraId="474BE0D5" w14:textId="77777777" w:rsidTr="007569F9">
        <w:trPr>
          <w:trHeight w:val="315"/>
        </w:trPr>
        <w:tc>
          <w:tcPr>
            <w:tcW w:w="687" w:type="dxa"/>
            <w:noWrap/>
            <w:vAlign w:val="center"/>
          </w:tcPr>
          <w:p w14:paraId="5FA3BFFB" w14:textId="0B60FD2C" w:rsidR="00204A7A" w:rsidRDefault="00204A7A" w:rsidP="00204A7A">
            <w:pPr>
              <w:spacing w:after="0"/>
              <w:ind w:left="0"/>
              <w:jc w:val="center"/>
              <w:rPr>
                <w:rFonts w:cs="Calibri"/>
                <w:color w:val="000000"/>
                <w:szCs w:val="24"/>
              </w:rPr>
            </w:pPr>
            <w:r>
              <w:rPr>
                <w:color w:val="000000"/>
                <w:szCs w:val="22"/>
              </w:rPr>
              <w:t>77</w:t>
            </w:r>
          </w:p>
        </w:tc>
        <w:tc>
          <w:tcPr>
            <w:tcW w:w="1689" w:type="dxa"/>
            <w:noWrap/>
            <w:vAlign w:val="center"/>
          </w:tcPr>
          <w:p w14:paraId="2808F2D3" w14:textId="77777777" w:rsidR="00204A7A" w:rsidRDefault="00204A7A" w:rsidP="00204A7A">
            <w:pPr>
              <w:spacing w:after="0"/>
              <w:ind w:left="0"/>
              <w:rPr>
                <w:rFonts w:cs="Calibri"/>
                <w:color w:val="000000"/>
                <w:szCs w:val="24"/>
              </w:rPr>
            </w:pPr>
            <w:r>
              <w:rPr>
                <w:rFonts w:cs="Calibri"/>
                <w:color w:val="000000"/>
                <w:szCs w:val="24"/>
              </w:rPr>
              <w:t>On Demand</w:t>
            </w:r>
          </w:p>
        </w:tc>
        <w:tc>
          <w:tcPr>
            <w:tcW w:w="1789" w:type="dxa"/>
            <w:noWrap/>
          </w:tcPr>
          <w:p w14:paraId="7A585F0B" w14:textId="77777777" w:rsidR="00204A7A" w:rsidRDefault="00204A7A" w:rsidP="00204A7A">
            <w:pPr>
              <w:spacing w:after="0"/>
              <w:ind w:left="0"/>
              <w:rPr>
                <w:rFonts w:cs="Calibri"/>
                <w:color w:val="000000"/>
                <w:szCs w:val="24"/>
              </w:rPr>
            </w:pPr>
            <w:r>
              <w:rPr>
                <w:rFonts w:cs="Calibri"/>
                <w:color w:val="000000"/>
                <w:szCs w:val="24"/>
              </w:rPr>
              <w:t>Internet Claims (</w:t>
            </w:r>
            <w:r w:rsidRPr="00520319">
              <w:rPr>
                <w:rFonts w:cs="Calibri"/>
                <w:color w:val="000000"/>
                <w:szCs w:val="24"/>
              </w:rPr>
              <w:t>BNI425I0</w:t>
            </w:r>
            <w:r>
              <w:rPr>
                <w:rFonts w:cs="Calibri"/>
                <w:color w:val="000000"/>
                <w:szCs w:val="24"/>
              </w:rPr>
              <w:t xml:space="preserve">, </w:t>
            </w:r>
            <w:r w:rsidRPr="00520319">
              <w:rPr>
                <w:rFonts w:cs="Calibri"/>
                <w:color w:val="000000"/>
                <w:szCs w:val="24"/>
              </w:rPr>
              <w:t>BNQ215I0</w:t>
            </w:r>
            <w:r>
              <w:rPr>
                <w:rFonts w:cs="Calibri"/>
                <w:color w:val="000000"/>
                <w:szCs w:val="24"/>
              </w:rPr>
              <w:t>)</w:t>
            </w:r>
          </w:p>
        </w:tc>
        <w:tc>
          <w:tcPr>
            <w:tcW w:w="7024" w:type="dxa"/>
            <w:vAlign w:val="center"/>
          </w:tcPr>
          <w:p w14:paraId="2B431365" w14:textId="77777777" w:rsidR="00204A7A" w:rsidRDefault="00204A7A" w:rsidP="00204A7A">
            <w:pPr>
              <w:spacing w:after="0"/>
              <w:ind w:left="0"/>
              <w:rPr>
                <w:rFonts w:cs="Calibri"/>
                <w:color w:val="000000"/>
                <w:szCs w:val="24"/>
              </w:rPr>
            </w:pPr>
            <w:r>
              <w:rPr>
                <w:rFonts w:cs="Calibri"/>
                <w:color w:val="000000"/>
                <w:szCs w:val="24"/>
              </w:rPr>
              <w:t>Provides reports of Internet claims attempts and outcomes, errors, by interval</w:t>
            </w:r>
          </w:p>
        </w:tc>
      </w:tr>
      <w:tr w:rsidR="00204A7A" w14:paraId="19C4115B" w14:textId="77777777" w:rsidTr="007569F9">
        <w:trPr>
          <w:trHeight w:val="315"/>
        </w:trPr>
        <w:tc>
          <w:tcPr>
            <w:tcW w:w="687" w:type="dxa"/>
            <w:noWrap/>
            <w:vAlign w:val="center"/>
          </w:tcPr>
          <w:p w14:paraId="44FD2EBC" w14:textId="1CD331CA" w:rsidR="00204A7A" w:rsidRDefault="00204A7A" w:rsidP="00204A7A">
            <w:pPr>
              <w:spacing w:after="0"/>
              <w:ind w:left="0"/>
              <w:jc w:val="center"/>
              <w:rPr>
                <w:rFonts w:cs="Calibri"/>
                <w:color w:val="000000"/>
                <w:szCs w:val="24"/>
              </w:rPr>
            </w:pPr>
            <w:r>
              <w:rPr>
                <w:szCs w:val="22"/>
              </w:rPr>
              <w:t>78</w:t>
            </w:r>
          </w:p>
        </w:tc>
        <w:tc>
          <w:tcPr>
            <w:tcW w:w="1689" w:type="dxa"/>
            <w:noWrap/>
            <w:vAlign w:val="center"/>
          </w:tcPr>
          <w:p w14:paraId="3FF6B697" w14:textId="77777777" w:rsidR="00204A7A" w:rsidRDefault="00204A7A" w:rsidP="00204A7A">
            <w:pPr>
              <w:spacing w:after="0"/>
              <w:ind w:left="0"/>
              <w:rPr>
                <w:rFonts w:cs="Calibri"/>
                <w:color w:val="000000"/>
                <w:szCs w:val="24"/>
              </w:rPr>
            </w:pPr>
            <w:r>
              <w:rPr>
                <w:rFonts w:cs="Calibri"/>
                <w:color w:val="000000"/>
                <w:szCs w:val="24"/>
              </w:rPr>
              <w:t>On Demand</w:t>
            </w:r>
          </w:p>
        </w:tc>
        <w:tc>
          <w:tcPr>
            <w:tcW w:w="1789" w:type="dxa"/>
            <w:noWrap/>
          </w:tcPr>
          <w:p w14:paraId="76C7A5F4" w14:textId="77777777" w:rsidR="00204A7A" w:rsidRDefault="00204A7A" w:rsidP="00204A7A">
            <w:pPr>
              <w:spacing w:after="0"/>
              <w:ind w:left="0"/>
              <w:rPr>
                <w:rFonts w:cs="Calibri"/>
                <w:color w:val="000000"/>
                <w:szCs w:val="24"/>
              </w:rPr>
            </w:pPr>
            <w:r>
              <w:rPr>
                <w:rFonts w:cs="Calibri"/>
                <w:color w:val="000000"/>
                <w:szCs w:val="24"/>
              </w:rPr>
              <w:t>Internet Claim Certification (</w:t>
            </w:r>
            <w:r w:rsidRPr="00520319">
              <w:rPr>
                <w:rFonts w:cs="Calibri"/>
                <w:color w:val="000000"/>
                <w:szCs w:val="24"/>
              </w:rPr>
              <w:t>BNI440I0</w:t>
            </w:r>
            <w:r>
              <w:rPr>
                <w:rFonts w:cs="Calibri"/>
                <w:color w:val="000000"/>
                <w:szCs w:val="24"/>
              </w:rPr>
              <w:t>,</w:t>
            </w:r>
            <w:r w:rsidRPr="00520319">
              <w:rPr>
                <w:rFonts w:cs="Calibri"/>
                <w:color w:val="000000"/>
                <w:szCs w:val="24"/>
              </w:rPr>
              <w:t xml:space="preserve"> BNI440I1</w:t>
            </w:r>
            <w:r>
              <w:rPr>
                <w:rFonts w:cs="Calibri"/>
                <w:color w:val="000000"/>
                <w:szCs w:val="24"/>
              </w:rPr>
              <w:t>)</w:t>
            </w:r>
          </w:p>
        </w:tc>
        <w:tc>
          <w:tcPr>
            <w:tcW w:w="7024" w:type="dxa"/>
            <w:vAlign w:val="center"/>
          </w:tcPr>
          <w:p w14:paraId="64367F71" w14:textId="77777777" w:rsidR="00204A7A" w:rsidRDefault="00204A7A" w:rsidP="00204A7A">
            <w:pPr>
              <w:spacing w:after="0"/>
              <w:ind w:left="0"/>
              <w:rPr>
                <w:rFonts w:cs="Calibri"/>
                <w:color w:val="000000"/>
                <w:szCs w:val="24"/>
              </w:rPr>
            </w:pPr>
            <w:r>
              <w:rPr>
                <w:rFonts w:cs="Calibri"/>
                <w:color w:val="000000"/>
                <w:szCs w:val="24"/>
              </w:rPr>
              <w:t>Provides reports of Internet claims certification attempts and outcomes, errors, by interval</w:t>
            </w:r>
          </w:p>
        </w:tc>
      </w:tr>
      <w:tr w:rsidR="00204A7A" w:rsidRPr="007B7A63" w14:paraId="01329D5D" w14:textId="77777777" w:rsidTr="007569F9">
        <w:trPr>
          <w:trHeight w:val="315"/>
        </w:trPr>
        <w:tc>
          <w:tcPr>
            <w:tcW w:w="687" w:type="dxa"/>
            <w:noWrap/>
            <w:vAlign w:val="center"/>
          </w:tcPr>
          <w:p w14:paraId="4B5E792C" w14:textId="78F6DF4E" w:rsidR="00204A7A" w:rsidRDefault="00204A7A" w:rsidP="00204A7A">
            <w:pPr>
              <w:spacing w:after="0"/>
              <w:ind w:left="0"/>
              <w:jc w:val="center"/>
              <w:rPr>
                <w:rFonts w:cs="Calibri"/>
                <w:color w:val="000000"/>
                <w:szCs w:val="24"/>
              </w:rPr>
            </w:pPr>
            <w:r>
              <w:rPr>
                <w:color w:val="000000"/>
                <w:szCs w:val="22"/>
              </w:rPr>
              <w:t>79</w:t>
            </w:r>
          </w:p>
        </w:tc>
        <w:tc>
          <w:tcPr>
            <w:tcW w:w="1689" w:type="dxa"/>
            <w:noWrap/>
            <w:vAlign w:val="center"/>
          </w:tcPr>
          <w:p w14:paraId="025B72E4" w14:textId="77777777" w:rsidR="00204A7A" w:rsidRDefault="00204A7A" w:rsidP="00204A7A">
            <w:pPr>
              <w:spacing w:after="0"/>
              <w:ind w:left="0"/>
              <w:rPr>
                <w:rFonts w:cs="Calibri"/>
                <w:color w:val="000000"/>
                <w:szCs w:val="24"/>
              </w:rPr>
            </w:pPr>
            <w:r>
              <w:rPr>
                <w:rFonts w:cs="Calibri"/>
                <w:color w:val="000000"/>
                <w:szCs w:val="24"/>
              </w:rPr>
              <w:t>On Demand</w:t>
            </w:r>
          </w:p>
        </w:tc>
        <w:tc>
          <w:tcPr>
            <w:tcW w:w="1789" w:type="dxa"/>
            <w:noWrap/>
          </w:tcPr>
          <w:p w14:paraId="09534982" w14:textId="77777777" w:rsidR="00204A7A" w:rsidRDefault="00204A7A" w:rsidP="00204A7A">
            <w:pPr>
              <w:spacing w:after="0"/>
              <w:ind w:left="0"/>
              <w:rPr>
                <w:rFonts w:cs="Calibri"/>
                <w:color w:val="000000"/>
                <w:szCs w:val="24"/>
              </w:rPr>
            </w:pPr>
            <w:r w:rsidRPr="0065226C">
              <w:rPr>
                <w:rFonts w:cs="Calibri"/>
                <w:color w:val="000000"/>
                <w:szCs w:val="24"/>
              </w:rPr>
              <w:t>Statewide Claims Count Summary</w:t>
            </w:r>
          </w:p>
        </w:tc>
        <w:tc>
          <w:tcPr>
            <w:tcW w:w="7024" w:type="dxa"/>
          </w:tcPr>
          <w:p w14:paraId="5B37A7F1" w14:textId="77777777" w:rsidR="00204A7A" w:rsidRPr="007B7A63" w:rsidRDefault="00204A7A" w:rsidP="00204A7A">
            <w:pPr>
              <w:spacing w:after="0"/>
              <w:ind w:left="0"/>
              <w:rPr>
                <w:rFonts w:cs="Calibri"/>
                <w:color w:val="000000"/>
                <w:szCs w:val="24"/>
              </w:rPr>
            </w:pPr>
            <w:r>
              <w:rPr>
                <w:rFonts w:cs="Calibri"/>
                <w:color w:val="000000"/>
                <w:szCs w:val="24"/>
              </w:rPr>
              <w:t>Provides counts of claims by month, program, and type</w:t>
            </w:r>
          </w:p>
        </w:tc>
      </w:tr>
      <w:tr w:rsidR="00204A7A" w14:paraId="4D630DE0" w14:textId="77777777" w:rsidTr="007569F9">
        <w:trPr>
          <w:trHeight w:val="315"/>
        </w:trPr>
        <w:tc>
          <w:tcPr>
            <w:tcW w:w="687" w:type="dxa"/>
            <w:noWrap/>
            <w:vAlign w:val="center"/>
          </w:tcPr>
          <w:p w14:paraId="0DCBB4A8" w14:textId="36CEF3A1" w:rsidR="00204A7A" w:rsidRDefault="00204A7A" w:rsidP="00204A7A">
            <w:pPr>
              <w:spacing w:after="0"/>
              <w:ind w:left="0"/>
              <w:jc w:val="center"/>
              <w:rPr>
                <w:rFonts w:cs="Calibri"/>
                <w:color w:val="000000"/>
                <w:szCs w:val="24"/>
              </w:rPr>
            </w:pPr>
            <w:r>
              <w:rPr>
                <w:szCs w:val="22"/>
              </w:rPr>
              <w:t>80</w:t>
            </w:r>
          </w:p>
        </w:tc>
        <w:tc>
          <w:tcPr>
            <w:tcW w:w="1689" w:type="dxa"/>
            <w:noWrap/>
            <w:vAlign w:val="center"/>
          </w:tcPr>
          <w:p w14:paraId="5ADE4987" w14:textId="77777777" w:rsidR="00204A7A" w:rsidRDefault="00204A7A" w:rsidP="00204A7A">
            <w:pPr>
              <w:spacing w:after="0"/>
              <w:ind w:left="0"/>
              <w:rPr>
                <w:rFonts w:cs="Calibri"/>
                <w:color w:val="000000"/>
                <w:szCs w:val="24"/>
              </w:rPr>
            </w:pPr>
            <w:r>
              <w:rPr>
                <w:rFonts w:cs="Calibri"/>
                <w:color w:val="000000"/>
                <w:szCs w:val="24"/>
              </w:rPr>
              <w:t>On Demand</w:t>
            </w:r>
          </w:p>
        </w:tc>
        <w:tc>
          <w:tcPr>
            <w:tcW w:w="1789" w:type="dxa"/>
            <w:noWrap/>
          </w:tcPr>
          <w:p w14:paraId="1CB7A3BD" w14:textId="77777777" w:rsidR="00204A7A" w:rsidRPr="0065226C" w:rsidRDefault="00204A7A" w:rsidP="00204A7A">
            <w:pPr>
              <w:spacing w:after="0"/>
              <w:ind w:left="0"/>
              <w:rPr>
                <w:rFonts w:cs="Calibri"/>
                <w:color w:val="000000"/>
                <w:szCs w:val="24"/>
              </w:rPr>
            </w:pPr>
            <w:r w:rsidRPr="0065226C">
              <w:rPr>
                <w:rFonts w:cs="Calibri"/>
                <w:color w:val="000000"/>
                <w:szCs w:val="24"/>
              </w:rPr>
              <w:t>County Claims Count Summary</w:t>
            </w:r>
          </w:p>
        </w:tc>
        <w:tc>
          <w:tcPr>
            <w:tcW w:w="7024" w:type="dxa"/>
          </w:tcPr>
          <w:p w14:paraId="4C1143CE" w14:textId="77777777" w:rsidR="00204A7A" w:rsidRDefault="00204A7A" w:rsidP="00204A7A">
            <w:pPr>
              <w:spacing w:after="0"/>
              <w:ind w:left="0"/>
              <w:rPr>
                <w:rFonts w:cs="Calibri"/>
                <w:i/>
                <w:color w:val="000000"/>
                <w:szCs w:val="24"/>
              </w:rPr>
            </w:pPr>
            <w:r>
              <w:rPr>
                <w:rFonts w:cs="Calibri"/>
                <w:color w:val="000000"/>
                <w:szCs w:val="24"/>
              </w:rPr>
              <w:t>Provides counts of claims by county, month, program, and type</w:t>
            </w:r>
          </w:p>
        </w:tc>
      </w:tr>
      <w:tr w:rsidR="00204A7A" w14:paraId="7ADD883E" w14:textId="77777777" w:rsidTr="007569F9">
        <w:trPr>
          <w:trHeight w:val="315"/>
        </w:trPr>
        <w:tc>
          <w:tcPr>
            <w:tcW w:w="687" w:type="dxa"/>
            <w:noWrap/>
            <w:vAlign w:val="center"/>
          </w:tcPr>
          <w:p w14:paraId="6C18349F" w14:textId="0FB99108" w:rsidR="00204A7A" w:rsidRDefault="00204A7A" w:rsidP="00204A7A">
            <w:pPr>
              <w:spacing w:after="0"/>
              <w:ind w:left="0"/>
              <w:jc w:val="center"/>
              <w:rPr>
                <w:rFonts w:cs="Calibri"/>
                <w:color w:val="000000"/>
                <w:szCs w:val="24"/>
              </w:rPr>
            </w:pPr>
            <w:r>
              <w:rPr>
                <w:color w:val="000000"/>
                <w:szCs w:val="22"/>
              </w:rPr>
              <w:t>81</w:t>
            </w:r>
          </w:p>
        </w:tc>
        <w:tc>
          <w:tcPr>
            <w:tcW w:w="1689" w:type="dxa"/>
            <w:noWrap/>
            <w:vAlign w:val="center"/>
          </w:tcPr>
          <w:p w14:paraId="77A7A754" w14:textId="77777777" w:rsidR="00204A7A" w:rsidRDefault="00204A7A" w:rsidP="00204A7A">
            <w:pPr>
              <w:spacing w:after="0"/>
              <w:ind w:left="0"/>
              <w:rPr>
                <w:rFonts w:cs="Calibri"/>
                <w:color w:val="000000"/>
                <w:szCs w:val="24"/>
              </w:rPr>
            </w:pPr>
            <w:r>
              <w:rPr>
                <w:rFonts w:cs="Calibri"/>
                <w:color w:val="000000"/>
                <w:szCs w:val="24"/>
              </w:rPr>
              <w:t>On Demand</w:t>
            </w:r>
          </w:p>
        </w:tc>
        <w:tc>
          <w:tcPr>
            <w:tcW w:w="1789" w:type="dxa"/>
            <w:noWrap/>
          </w:tcPr>
          <w:p w14:paraId="75CB2D2F" w14:textId="77777777" w:rsidR="00204A7A" w:rsidRPr="0065226C" w:rsidRDefault="00204A7A" w:rsidP="00204A7A">
            <w:pPr>
              <w:spacing w:after="0"/>
              <w:ind w:left="0"/>
              <w:rPr>
                <w:rFonts w:cs="Calibri"/>
                <w:color w:val="000000"/>
                <w:szCs w:val="24"/>
              </w:rPr>
            </w:pPr>
            <w:r w:rsidRPr="0065226C">
              <w:rPr>
                <w:rFonts w:cs="Calibri"/>
                <w:color w:val="000000"/>
                <w:szCs w:val="24"/>
              </w:rPr>
              <w:t>Exhaustee Information by County</w:t>
            </w:r>
          </w:p>
        </w:tc>
        <w:tc>
          <w:tcPr>
            <w:tcW w:w="7024" w:type="dxa"/>
          </w:tcPr>
          <w:p w14:paraId="0E916507" w14:textId="77777777" w:rsidR="00204A7A" w:rsidRDefault="00204A7A" w:rsidP="00204A7A">
            <w:pPr>
              <w:spacing w:after="0"/>
              <w:ind w:left="0"/>
              <w:rPr>
                <w:rFonts w:cs="Calibri"/>
                <w:i/>
                <w:color w:val="000000"/>
                <w:szCs w:val="24"/>
              </w:rPr>
            </w:pPr>
            <w:r>
              <w:rPr>
                <w:rFonts w:cs="Calibri"/>
                <w:color w:val="000000"/>
                <w:szCs w:val="24"/>
              </w:rPr>
              <w:t>Provides counts of exhaustees, average duration, average WBA, and average total benefits by county</w:t>
            </w:r>
          </w:p>
        </w:tc>
      </w:tr>
      <w:tr w:rsidR="00204A7A" w14:paraId="7D9847A0" w14:textId="77777777" w:rsidTr="007569F9">
        <w:trPr>
          <w:trHeight w:val="315"/>
        </w:trPr>
        <w:tc>
          <w:tcPr>
            <w:tcW w:w="687" w:type="dxa"/>
            <w:noWrap/>
            <w:vAlign w:val="center"/>
          </w:tcPr>
          <w:p w14:paraId="1FC0B666" w14:textId="095EED82" w:rsidR="00204A7A" w:rsidRDefault="00204A7A" w:rsidP="00204A7A">
            <w:pPr>
              <w:spacing w:after="0"/>
              <w:ind w:left="0"/>
              <w:jc w:val="center"/>
              <w:rPr>
                <w:rFonts w:cs="Calibri"/>
                <w:color w:val="000000"/>
                <w:szCs w:val="24"/>
              </w:rPr>
            </w:pPr>
            <w:r>
              <w:rPr>
                <w:szCs w:val="22"/>
              </w:rPr>
              <w:t>82</w:t>
            </w:r>
          </w:p>
        </w:tc>
        <w:tc>
          <w:tcPr>
            <w:tcW w:w="1689" w:type="dxa"/>
            <w:noWrap/>
            <w:vAlign w:val="center"/>
          </w:tcPr>
          <w:p w14:paraId="3F2234E8" w14:textId="77777777" w:rsidR="00204A7A" w:rsidRDefault="00204A7A" w:rsidP="00204A7A">
            <w:pPr>
              <w:spacing w:after="0"/>
              <w:ind w:left="0"/>
              <w:rPr>
                <w:rFonts w:cs="Calibri"/>
                <w:color w:val="000000"/>
                <w:szCs w:val="24"/>
              </w:rPr>
            </w:pPr>
            <w:r>
              <w:rPr>
                <w:rFonts w:cs="Calibri"/>
                <w:color w:val="000000"/>
                <w:szCs w:val="24"/>
              </w:rPr>
              <w:t>On Demand</w:t>
            </w:r>
          </w:p>
        </w:tc>
        <w:tc>
          <w:tcPr>
            <w:tcW w:w="1789" w:type="dxa"/>
            <w:noWrap/>
          </w:tcPr>
          <w:p w14:paraId="1E54778F" w14:textId="77777777" w:rsidR="00204A7A" w:rsidRPr="0065226C" w:rsidRDefault="00204A7A" w:rsidP="00204A7A">
            <w:pPr>
              <w:spacing w:after="0"/>
              <w:ind w:left="0"/>
              <w:rPr>
                <w:rFonts w:cs="Calibri"/>
                <w:color w:val="000000"/>
                <w:szCs w:val="24"/>
              </w:rPr>
            </w:pPr>
            <w:r w:rsidRPr="0065226C">
              <w:rPr>
                <w:rFonts w:cs="Calibri"/>
                <w:color w:val="000000"/>
                <w:szCs w:val="24"/>
              </w:rPr>
              <w:t>Individuals Claiming UI by County</w:t>
            </w:r>
          </w:p>
        </w:tc>
        <w:tc>
          <w:tcPr>
            <w:tcW w:w="7024" w:type="dxa"/>
          </w:tcPr>
          <w:p w14:paraId="297B632C" w14:textId="77777777" w:rsidR="00204A7A" w:rsidRDefault="00204A7A" w:rsidP="00204A7A">
            <w:pPr>
              <w:spacing w:after="0"/>
              <w:ind w:left="0"/>
              <w:rPr>
                <w:rFonts w:cs="Calibri"/>
                <w:i/>
                <w:color w:val="000000"/>
                <w:szCs w:val="24"/>
              </w:rPr>
            </w:pPr>
            <w:r>
              <w:rPr>
                <w:rFonts w:cs="Calibri"/>
                <w:color w:val="000000"/>
                <w:szCs w:val="24"/>
              </w:rPr>
              <w:t>Provides counts of claims by county, month, and claimant type</w:t>
            </w:r>
          </w:p>
        </w:tc>
      </w:tr>
      <w:tr w:rsidR="00204A7A" w:rsidRPr="007B7A63" w14:paraId="1D363CD0" w14:textId="77777777" w:rsidTr="007569F9">
        <w:trPr>
          <w:trHeight w:val="315"/>
        </w:trPr>
        <w:tc>
          <w:tcPr>
            <w:tcW w:w="687" w:type="dxa"/>
            <w:noWrap/>
            <w:vAlign w:val="center"/>
          </w:tcPr>
          <w:p w14:paraId="5600D19D" w14:textId="7EC0867C" w:rsidR="00204A7A" w:rsidRDefault="00204A7A" w:rsidP="00204A7A">
            <w:pPr>
              <w:spacing w:after="0"/>
              <w:ind w:left="0"/>
              <w:jc w:val="center"/>
              <w:rPr>
                <w:rFonts w:cs="Calibri"/>
                <w:color w:val="000000"/>
                <w:szCs w:val="24"/>
              </w:rPr>
            </w:pPr>
            <w:r>
              <w:rPr>
                <w:color w:val="000000"/>
                <w:szCs w:val="22"/>
              </w:rPr>
              <w:t>83</w:t>
            </w:r>
          </w:p>
        </w:tc>
        <w:tc>
          <w:tcPr>
            <w:tcW w:w="1689" w:type="dxa"/>
            <w:noWrap/>
            <w:vAlign w:val="center"/>
          </w:tcPr>
          <w:p w14:paraId="7876640D" w14:textId="77777777" w:rsidR="00204A7A" w:rsidRDefault="00204A7A" w:rsidP="00204A7A">
            <w:pPr>
              <w:spacing w:after="0"/>
              <w:ind w:left="0"/>
              <w:rPr>
                <w:rFonts w:cs="Calibri"/>
                <w:color w:val="000000"/>
                <w:szCs w:val="24"/>
              </w:rPr>
            </w:pPr>
            <w:r>
              <w:rPr>
                <w:rFonts w:cs="Calibri"/>
                <w:color w:val="000000"/>
                <w:szCs w:val="24"/>
              </w:rPr>
              <w:t>On Demand</w:t>
            </w:r>
          </w:p>
        </w:tc>
        <w:tc>
          <w:tcPr>
            <w:tcW w:w="1789" w:type="dxa"/>
            <w:noWrap/>
          </w:tcPr>
          <w:p w14:paraId="70E935C4" w14:textId="77777777" w:rsidR="00204A7A" w:rsidRPr="0065226C" w:rsidRDefault="00204A7A" w:rsidP="00204A7A">
            <w:pPr>
              <w:spacing w:after="0"/>
              <w:ind w:left="0"/>
              <w:rPr>
                <w:rFonts w:cs="Calibri"/>
                <w:color w:val="000000"/>
                <w:szCs w:val="24"/>
              </w:rPr>
            </w:pPr>
            <w:r>
              <w:rPr>
                <w:rFonts w:cs="Calibri"/>
                <w:color w:val="000000"/>
                <w:szCs w:val="24"/>
              </w:rPr>
              <w:t xml:space="preserve">Internet </w:t>
            </w:r>
            <w:r w:rsidRPr="0065226C">
              <w:rPr>
                <w:rFonts w:cs="Calibri"/>
                <w:color w:val="000000"/>
                <w:szCs w:val="24"/>
              </w:rPr>
              <w:t>Employer Response Statistics</w:t>
            </w:r>
          </w:p>
        </w:tc>
        <w:tc>
          <w:tcPr>
            <w:tcW w:w="7024" w:type="dxa"/>
          </w:tcPr>
          <w:p w14:paraId="3DC08189" w14:textId="77777777" w:rsidR="00204A7A" w:rsidRPr="007B7A63" w:rsidRDefault="00204A7A" w:rsidP="00204A7A">
            <w:pPr>
              <w:spacing w:after="0"/>
              <w:ind w:left="0"/>
              <w:rPr>
                <w:rFonts w:cs="Calibri"/>
                <w:color w:val="000000"/>
                <w:szCs w:val="24"/>
              </w:rPr>
            </w:pPr>
            <w:r>
              <w:rPr>
                <w:rFonts w:cs="Calibri"/>
                <w:color w:val="000000"/>
                <w:szCs w:val="24"/>
              </w:rPr>
              <w:t xml:space="preserve">Provides detail information on employer response attempts </w:t>
            </w:r>
          </w:p>
        </w:tc>
      </w:tr>
      <w:tr w:rsidR="00204A7A" w14:paraId="1F0035AD" w14:textId="77777777" w:rsidTr="007569F9">
        <w:trPr>
          <w:trHeight w:val="315"/>
        </w:trPr>
        <w:tc>
          <w:tcPr>
            <w:tcW w:w="687" w:type="dxa"/>
            <w:noWrap/>
            <w:vAlign w:val="center"/>
          </w:tcPr>
          <w:p w14:paraId="44C7BB73" w14:textId="45A57884" w:rsidR="00204A7A" w:rsidRDefault="00204A7A" w:rsidP="00204A7A">
            <w:pPr>
              <w:spacing w:after="0"/>
              <w:ind w:left="0"/>
              <w:jc w:val="center"/>
              <w:rPr>
                <w:rFonts w:cs="Calibri"/>
                <w:color w:val="000000"/>
                <w:szCs w:val="24"/>
              </w:rPr>
            </w:pPr>
            <w:r>
              <w:rPr>
                <w:szCs w:val="22"/>
              </w:rPr>
              <w:t>84</w:t>
            </w:r>
          </w:p>
        </w:tc>
        <w:tc>
          <w:tcPr>
            <w:tcW w:w="1689" w:type="dxa"/>
            <w:noWrap/>
            <w:vAlign w:val="center"/>
          </w:tcPr>
          <w:p w14:paraId="3D6EF3FC" w14:textId="77777777" w:rsidR="00204A7A" w:rsidRDefault="00204A7A" w:rsidP="00204A7A">
            <w:pPr>
              <w:spacing w:after="0"/>
              <w:ind w:left="0"/>
              <w:rPr>
                <w:rFonts w:cs="Calibri"/>
                <w:color w:val="000000"/>
                <w:szCs w:val="24"/>
              </w:rPr>
            </w:pPr>
            <w:r>
              <w:rPr>
                <w:rFonts w:cs="Calibri"/>
                <w:color w:val="000000"/>
                <w:szCs w:val="24"/>
              </w:rPr>
              <w:t>On Demand</w:t>
            </w:r>
          </w:p>
        </w:tc>
        <w:tc>
          <w:tcPr>
            <w:tcW w:w="1789" w:type="dxa"/>
            <w:noWrap/>
          </w:tcPr>
          <w:p w14:paraId="6492CFC7" w14:textId="77777777" w:rsidR="00204A7A" w:rsidRPr="0065226C" w:rsidRDefault="00204A7A" w:rsidP="00204A7A">
            <w:pPr>
              <w:spacing w:after="0"/>
              <w:ind w:left="0"/>
              <w:rPr>
                <w:rFonts w:cs="Calibri"/>
                <w:color w:val="000000"/>
                <w:szCs w:val="24"/>
              </w:rPr>
            </w:pPr>
            <w:r>
              <w:rPr>
                <w:rFonts w:cs="Calibri"/>
                <w:color w:val="000000"/>
                <w:szCs w:val="24"/>
              </w:rPr>
              <w:t>Internet Claim Detail</w:t>
            </w:r>
          </w:p>
        </w:tc>
        <w:tc>
          <w:tcPr>
            <w:tcW w:w="7024" w:type="dxa"/>
          </w:tcPr>
          <w:p w14:paraId="6F39FF33" w14:textId="77777777" w:rsidR="00204A7A" w:rsidRDefault="00204A7A" w:rsidP="00204A7A">
            <w:pPr>
              <w:spacing w:after="0"/>
              <w:ind w:left="0"/>
              <w:rPr>
                <w:rFonts w:cs="Calibri"/>
                <w:i/>
                <w:color w:val="000000"/>
                <w:szCs w:val="24"/>
              </w:rPr>
            </w:pPr>
            <w:r>
              <w:rPr>
                <w:rFonts w:cs="Calibri"/>
                <w:color w:val="000000"/>
                <w:szCs w:val="24"/>
              </w:rPr>
              <w:t>Provides detail information on claim attempts</w:t>
            </w:r>
          </w:p>
        </w:tc>
      </w:tr>
      <w:tr w:rsidR="00204A7A" w14:paraId="66626369" w14:textId="77777777" w:rsidTr="007569F9">
        <w:trPr>
          <w:trHeight w:val="315"/>
        </w:trPr>
        <w:tc>
          <w:tcPr>
            <w:tcW w:w="687" w:type="dxa"/>
            <w:noWrap/>
            <w:vAlign w:val="center"/>
          </w:tcPr>
          <w:p w14:paraId="6617E1EC" w14:textId="2C72294F" w:rsidR="00204A7A" w:rsidRDefault="00204A7A" w:rsidP="00204A7A">
            <w:pPr>
              <w:spacing w:after="0"/>
              <w:ind w:left="0"/>
              <w:jc w:val="center"/>
              <w:rPr>
                <w:rFonts w:cs="Calibri"/>
                <w:color w:val="000000"/>
                <w:szCs w:val="24"/>
              </w:rPr>
            </w:pPr>
            <w:r>
              <w:rPr>
                <w:color w:val="000000"/>
                <w:szCs w:val="22"/>
              </w:rPr>
              <w:t>85</w:t>
            </w:r>
          </w:p>
        </w:tc>
        <w:tc>
          <w:tcPr>
            <w:tcW w:w="1689" w:type="dxa"/>
            <w:noWrap/>
            <w:vAlign w:val="center"/>
          </w:tcPr>
          <w:p w14:paraId="3D42FDCA" w14:textId="77777777" w:rsidR="00204A7A" w:rsidRDefault="00204A7A" w:rsidP="00204A7A">
            <w:pPr>
              <w:spacing w:after="0"/>
              <w:ind w:left="0"/>
              <w:rPr>
                <w:rFonts w:cs="Calibri"/>
                <w:color w:val="000000"/>
                <w:szCs w:val="24"/>
              </w:rPr>
            </w:pPr>
            <w:r>
              <w:rPr>
                <w:rFonts w:cs="Calibri"/>
                <w:color w:val="000000"/>
                <w:szCs w:val="24"/>
              </w:rPr>
              <w:t>On Demand</w:t>
            </w:r>
          </w:p>
        </w:tc>
        <w:tc>
          <w:tcPr>
            <w:tcW w:w="1789" w:type="dxa"/>
            <w:noWrap/>
          </w:tcPr>
          <w:p w14:paraId="4E0F0D2B" w14:textId="77777777" w:rsidR="00204A7A" w:rsidRPr="0065226C" w:rsidRDefault="00204A7A" w:rsidP="00204A7A">
            <w:pPr>
              <w:spacing w:after="0"/>
              <w:ind w:left="0"/>
              <w:rPr>
                <w:rFonts w:cs="Calibri"/>
                <w:color w:val="000000"/>
                <w:szCs w:val="24"/>
              </w:rPr>
            </w:pPr>
            <w:r>
              <w:rPr>
                <w:rFonts w:cs="Calibri"/>
                <w:color w:val="000000"/>
                <w:szCs w:val="24"/>
              </w:rPr>
              <w:t>Internet Claim Summary Statistics</w:t>
            </w:r>
          </w:p>
        </w:tc>
        <w:tc>
          <w:tcPr>
            <w:tcW w:w="7024" w:type="dxa"/>
          </w:tcPr>
          <w:p w14:paraId="3278FBD8" w14:textId="77777777" w:rsidR="00204A7A" w:rsidRDefault="00204A7A" w:rsidP="00204A7A">
            <w:pPr>
              <w:spacing w:after="0"/>
              <w:ind w:left="0"/>
              <w:rPr>
                <w:rFonts w:cs="Calibri"/>
                <w:i/>
                <w:color w:val="000000"/>
                <w:szCs w:val="24"/>
              </w:rPr>
            </w:pPr>
            <w:r>
              <w:rPr>
                <w:rFonts w:cs="Calibri"/>
                <w:color w:val="000000"/>
                <w:szCs w:val="24"/>
              </w:rPr>
              <w:t>Provides summary information on claim attempts by transaction code, language, total attempts and unique attempts</w:t>
            </w:r>
          </w:p>
        </w:tc>
      </w:tr>
      <w:tr w:rsidR="00204A7A" w:rsidRPr="007B7A63" w14:paraId="7C400601" w14:textId="77777777" w:rsidTr="007569F9">
        <w:trPr>
          <w:trHeight w:val="315"/>
        </w:trPr>
        <w:tc>
          <w:tcPr>
            <w:tcW w:w="687" w:type="dxa"/>
            <w:noWrap/>
            <w:vAlign w:val="center"/>
          </w:tcPr>
          <w:p w14:paraId="678C9A18" w14:textId="6226608B" w:rsidR="00204A7A" w:rsidRDefault="00204A7A" w:rsidP="00204A7A">
            <w:pPr>
              <w:spacing w:after="0"/>
              <w:ind w:left="0"/>
              <w:jc w:val="center"/>
              <w:rPr>
                <w:rFonts w:cs="Calibri"/>
                <w:color w:val="000000"/>
                <w:szCs w:val="24"/>
              </w:rPr>
            </w:pPr>
            <w:r>
              <w:rPr>
                <w:szCs w:val="22"/>
              </w:rPr>
              <w:lastRenderedPageBreak/>
              <w:t>86</w:t>
            </w:r>
          </w:p>
        </w:tc>
        <w:tc>
          <w:tcPr>
            <w:tcW w:w="1689" w:type="dxa"/>
            <w:noWrap/>
            <w:vAlign w:val="center"/>
          </w:tcPr>
          <w:p w14:paraId="18007A97" w14:textId="77777777" w:rsidR="00204A7A" w:rsidRDefault="00204A7A" w:rsidP="00204A7A">
            <w:pPr>
              <w:spacing w:after="0"/>
              <w:ind w:left="0"/>
              <w:rPr>
                <w:rFonts w:cs="Calibri"/>
                <w:color w:val="000000"/>
                <w:szCs w:val="24"/>
              </w:rPr>
            </w:pPr>
            <w:r>
              <w:rPr>
                <w:rFonts w:cs="Calibri"/>
                <w:color w:val="000000"/>
                <w:szCs w:val="24"/>
              </w:rPr>
              <w:t>On Demand</w:t>
            </w:r>
          </w:p>
        </w:tc>
        <w:tc>
          <w:tcPr>
            <w:tcW w:w="1789" w:type="dxa"/>
            <w:noWrap/>
          </w:tcPr>
          <w:p w14:paraId="656BAD99" w14:textId="77777777" w:rsidR="00204A7A" w:rsidRPr="0065226C" w:rsidRDefault="00204A7A" w:rsidP="00204A7A">
            <w:pPr>
              <w:spacing w:after="0"/>
              <w:ind w:left="0"/>
              <w:rPr>
                <w:rFonts w:cs="Calibri"/>
                <w:color w:val="000000"/>
                <w:szCs w:val="24"/>
              </w:rPr>
            </w:pPr>
            <w:r>
              <w:rPr>
                <w:rFonts w:cs="Calibri"/>
                <w:color w:val="000000"/>
                <w:szCs w:val="24"/>
              </w:rPr>
              <w:t>Internet Claim Entry Summary</w:t>
            </w:r>
          </w:p>
        </w:tc>
        <w:tc>
          <w:tcPr>
            <w:tcW w:w="7024" w:type="dxa"/>
          </w:tcPr>
          <w:p w14:paraId="6EEFB001" w14:textId="77777777" w:rsidR="00204A7A" w:rsidRPr="007B7A63" w:rsidRDefault="00204A7A" w:rsidP="00204A7A">
            <w:pPr>
              <w:spacing w:after="0"/>
              <w:ind w:left="0"/>
              <w:rPr>
                <w:rFonts w:cs="Calibri"/>
                <w:color w:val="000000"/>
                <w:szCs w:val="24"/>
              </w:rPr>
            </w:pPr>
            <w:r>
              <w:rPr>
                <w:rFonts w:cs="Calibri"/>
                <w:color w:val="000000"/>
                <w:szCs w:val="24"/>
              </w:rPr>
              <w:t>Provides counts of claims applications by entry attempts</w:t>
            </w:r>
          </w:p>
        </w:tc>
      </w:tr>
      <w:tr w:rsidR="00204A7A" w14:paraId="2D1791DD" w14:textId="77777777" w:rsidTr="007569F9">
        <w:trPr>
          <w:trHeight w:val="315"/>
        </w:trPr>
        <w:tc>
          <w:tcPr>
            <w:tcW w:w="687" w:type="dxa"/>
            <w:noWrap/>
            <w:vAlign w:val="center"/>
          </w:tcPr>
          <w:p w14:paraId="3F334714" w14:textId="7F9D97B3" w:rsidR="00204A7A" w:rsidRDefault="00204A7A" w:rsidP="00204A7A">
            <w:pPr>
              <w:spacing w:after="0"/>
              <w:ind w:left="0"/>
              <w:jc w:val="center"/>
              <w:rPr>
                <w:rFonts w:cs="Calibri"/>
                <w:color w:val="000000"/>
                <w:szCs w:val="24"/>
              </w:rPr>
            </w:pPr>
            <w:r>
              <w:rPr>
                <w:color w:val="000000"/>
                <w:szCs w:val="22"/>
              </w:rPr>
              <w:t>87</w:t>
            </w:r>
          </w:p>
        </w:tc>
        <w:tc>
          <w:tcPr>
            <w:tcW w:w="1689" w:type="dxa"/>
            <w:noWrap/>
            <w:vAlign w:val="center"/>
          </w:tcPr>
          <w:p w14:paraId="2D3AA7B4" w14:textId="77777777" w:rsidR="00204A7A" w:rsidRDefault="00204A7A" w:rsidP="00204A7A">
            <w:pPr>
              <w:spacing w:after="0"/>
              <w:ind w:left="0"/>
              <w:rPr>
                <w:rFonts w:cs="Calibri"/>
                <w:color w:val="000000"/>
                <w:szCs w:val="24"/>
              </w:rPr>
            </w:pPr>
            <w:r>
              <w:rPr>
                <w:rFonts w:cs="Calibri"/>
                <w:color w:val="000000"/>
                <w:szCs w:val="24"/>
              </w:rPr>
              <w:t>On Demand</w:t>
            </w:r>
          </w:p>
        </w:tc>
        <w:tc>
          <w:tcPr>
            <w:tcW w:w="1789" w:type="dxa"/>
            <w:noWrap/>
          </w:tcPr>
          <w:p w14:paraId="3E406B46" w14:textId="77777777" w:rsidR="00204A7A" w:rsidRDefault="00204A7A" w:rsidP="00204A7A">
            <w:pPr>
              <w:spacing w:after="0"/>
              <w:ind w:left="0"/>
              <w:rPr>
                <w:rFonts w:cs="Calibri"/>
                <w:color w:val="000000"/>
                <w:szCs w:val="24"/>
              </w:rPr>
            </w:pPr>
            <w:r w:rsidRPr="0065226C">
              <w:rPr>
                <w:rFonts w:cs="Calibri"/>
                <w:color w:val="000000"/>
                <w:szCs w:val="24"/>
              </w:rPr>
              <w:t>Internet Claim Certification Detail</w:t>
            </w:r>
          </w:p>
        </w:tc>
        <w:tc>
          <w:tcPr>
            <w:tcW w:w="7024" w:type="dxa"/>
          </w:tcPr>
          <w:p w14:paraId="48602FD3" w14:textId="77777777" w:rsidR="00204A7A" w:rsidRDefault="00204A7A" w:rsidP="00204A7A">
            <w:pPr>
              <w:spacing w:after="0"/>
              <w:ind w:left="0"/>
              <w:rPr>
                <w:rFonts w:cs="Calibri"/>
                <w:i/>
                <w:color w:val="000000"/>
                <w:szCs w:val="24"/>
              </w:rPr>
            </w:pPr>
            <w:r>
              <w:rPr>
                <w:rFonts w:cs="Calibri"/>
                <w:color w:val="000000"/>
                <w:szCs w:val="24"/>
              </w:rPr>
              <w:t>Provides detail information on claim certification attempts</w:t>
            </w:r>
          </w:p>
        </w:tc>
      </w:tr>
      <w:tr w:rsidR="00204A7A" w14:paraId="1ABDAB7C" w14:textId="77777777" w:rsidTr="007569F9">
        <w:trPr>
          <w:trHeight w:val="315"/>
        </w:trPr>
        <w:tc>
          <w:tcPr>
            <w:tcW w:w="687" w:type="dxa"/>
            <w:noWrap/>
            <w:vAlign w:val="center"/>
          </w:tcPr>
          <w:p w14:paraId="7C438773" w14:textId="12F10365" w:rsidR="00204A7A" w:rsidRDefault="00204A7A" w:rsidP="00204A7A">
            <w:pPr>
              <w:spacing w:after="0"/>
              <w:ind w:left="0"/>
              <w:jc w:val="center"/>
              <w:rPr>
                <w:rFonts w:cs="Calibri"/>
                <w:color w:val="000000"/>
                <w:szCs w:val="24"/>
              </w:rPr>
            </w:pPr>
            <w:r>
              <w:rPr>
                <w:szCs w:val="22"/>
              </w:rPr>
              <w:t>88</w:t>
            </w:r>
          </w:p>
        </w:tc>
        <w:tc>
          <w:tcPr>
            <w:tcW w:w="1689" w:type="dxa"/>
            <w:noWrap/>
            <w:vAlign w:val="center"/>
          </w:tcPr>
          <w:p w14:paraId="45B04183" w14:textId="77777777" w:rsidR="00204A7A" w:rsidRDefault="00204A7A" w:rsidP="00204A7A">
            <w:pPr>
              <w:spacing w:after="0"/>
              <w:ind w:left="0"/>
              <w:rPr>
                <w:rFonts w:cs="Calibri"/>
                <w:color w:val="000000"/>
                <w:szCs w:val="24"/>
              </w:rPr>
            </w:pPr>
            <w:r>
              <w:rPr>
                <w:rFonts w:cs="Calibri"/>
                <w:color w:val="000000"/>
                <w:szCs w:val="24"/>
              </w:rPr>
              <w:t>On Demand</w:t>
            </w:r>
          </w:p>
        </w:tc>
        <w:tc>
          <w:tcPr>
            <w:tcW w:w="1789" w:type="dxa"/>
            <w:noWrap/>
          </w:tcPr>
          <w:p w14:paraId="15CE0673" w14:textId="77777777" w:rsidR="00204A7A" w:rsidRPr="0065226C" w:rsidRDefault="00204A7A" w:rsidP="00204A7A">
            <w:pPr>
              <w:spacing w:after="0"/>
              <w:ind w:left="0"/>
              <w:rPr>
                <w:rFonts w:cs="Calibri"/>
                <w:color w:val="000000"/>
                <w:szCs w:val="24"/>
              </w:rPr>
            </w:pPr>
            <w:r w:rsidRPr="0065226C">
              <w:rPr>
                <w:rFonts w:cs="Calibri"/>
                <w:color w:val="000000"/>
                <w:szCs w:val="24"/>
              </w:rPr>
              <w:t>Internet Claim Certification Summary Stats</w:t>
            </w:r>
          </w:p>
        </w:tc>
        <w:tc>
          <w:tcPr>
            <w:tcW w:w="7024" w:type="dxa"/>
          </w:tcPr>
          <w:p w14:paraId="1BDA24AC" w14:textId="77777777" w:rsidR="00204A7A" w:rsidRDefault="00204A7A" w:rsidP="00204A7A">
            <w:pPr>
              <w:spacing w:after="0"/>
              <w:ind w:left="0"/>
              <w:rPr>
                <w:rFonts w:cs="Calibri"/>
                <w:i/>
                <w:color w:val="000000"/>
                <w:szCs w:val="24"/>
              </w:rPr>
            </w:pPr>
            <w:r>
              <w:rPr>
                <w:rFonts w:cs="Calibri"/>
                <w:color w:val="000000"/>
                <w:szCs w:val="24"/>
              </w:rPr>
              <w:t>Provides summary information on claim certification attempts by transaction code, language, total attempts and unique attempts</w:t>
            </w:r>
          </w:p>
        </w:tc>
      </w:tr>
      <w:tr w:rsidR="00204A7A" w14:paraId="21F66CC7" w14:textId="77777777" w:rsidTr="007569F9">
        <w:trPr>
          <w:trHeight w:val="315"/>
        </w:trPr>
        <w:tc>
          <w:tcPr>
            <w:tcW w:w="687" w:type="dxa"/>
            <w:noWrap/>
            <w:vAlign w:val="center"/>
          </w:tcPr>
          <w:p w14:paraId="79687515" w14:textId="6980296F" w:rsidR="00204A7A" w:rsidRDefault="00204A7A" w:rsidP="00204A7A">
            <w:pPr>
              <w:spacing w:after="0"/>
              <w:ind w:left="0"/>
              <w:jc w:val="center"/>
              <w:rPr>
                <w:rFonts w:cs="Calibri"/>
                <w:color w:val="000000"/>
                <w:szCs w:val="24"/>
              </w:rPr>
            </w:pPr>
            <w:r>
              <w:rPr>
                <w:color w:val="000000"/>
                <w:szCs w:val="22"/>
              </w:rPr>
              <w:t>89</w:t>
            </w:r>
          </w:p>
        </w:tc>
        <w:tc>
          <w:tcPr>
            <w:tcW w:w="1689" w:type="dxa"/>
            <w:noWrap/>
            <w:vAlign w:val="center"/>
          </w:tcPr>
          <w:p w14:paraId="376099F2" w14:textId="77777777" w:rsidR="00204A7A" w:rsidRDefault="00204A7A" w:rsidP="00204A7A">
            <w:pPr>
              <w:spacing w:after="0"/>
              <w:ind w:left="0"/>
              <w:rPr>
                <w:rFonts w:cs="Calibri"/>
                <w:color w:val="000000"/>
                <w:szCs w:val="24"/>
              </w:rPr>
            </w:pPr>
            <w:r>
              <w:rPr>
                <w:rFonts w:cs="Calibri"/>
                <w:color w:val="000000"/>
                <w:szCs w:val="24"/>
              </w:rPr>
              <w:t>On Demand</w:t>
            </w:r>
          </w:p>
        </w:tc>
        <w:tc>
          <w:tcPr>
            <w:tcW w:w="1789" w:type="dxa"/>
            <w:noWrap/>
          </w:tcPr>
          <w:p w14:paraId="0FFEA15F" w14:textId="77777777" w:rsidR="00204A7A" w:rsidRPr="0065226C" w:rsidRDefault="00204A7A" w:rsidP="00204A7A">
            <w:pPr>
              <w:spacing w:after="0"/>
              <w:ind w:left="0"/>
              <w:rPr>
                <w:rFonts w:cs="Calibri"/>
                <w:color w:val="000000"/>
                <w:szCs w:val="24"/>
              </w:rPr>
            </w:pPr>
            <w:r w:rsidRPr="0065226C">
              <w:rPr>
                <w:rFonts w:cs="Calibri"/>
                <w:color w:val="000000"/>
                <w:szCs w:val="24"/>
              </w:rPr>
              <w:t>Internet Claim Certification Entry Summary</w:t>
            </w:r>
          </w:p>
        </w:tc>
        <w:tc>
          <w:tcPr>
            <w:tcW w:w="7024" w:type="dxa"/>
          </w:tcPr>
          <w:p w14:paraId="368185CA" w14:textId="77777777" w:rsidR="00204A7A" w:rsidRDefault="00204A7A" w:rsidP="00204A7A">
            <w:pPr>
              <w:spacing w:after="0"/>
              <w:ind w:left="0"/>
              <w:rPr>
                <w:rFonts w:cs="Calibri"/>
                <w:i/>
                <w:color w:val="000000"/>
                <w:szCs w:val="24"/>
              </w:rPr>
            </w:pPr>
            <w:r>
              <w:rPr>
                <w:rFonts w:cs="Calibri"/>
                <w:color w:val="000000"/>
                <w:szCs w:val="24"/>
              </w:rPr>
              <w:t>Provides counts of claim certification applications by entry attempts</w:t>
            </w:r>
          </w:p>
        </w:tc>
      </w:tr>
      <w:tr w:rsidR="00550480" w14:paraId="5A45A03A" w14:textId="77777777" w:rsidTr="007569F9">
        <w:trPr>
          <w:trHeight w:val="315"/>
        </w:trPr>
        <w:tc>
          <w:tcPr>
            <w:tcW w:w="687" w:type="dxa"/>
            <w:noWrap/>
            <w:vAlign w:val="center"/>
          </w:tcPr>
          <w:p w14:paraId="2AB0FFEA" w14:textId="2DAFB977" w:rsidR="00550480" w:rsidRDefault="00550480" w:rsidP="00204A7A">
            <w:pPr>
              <w:spacing w:after="0"/>
              <w:ind w:left="0"/>
              <w:jc w:val="center"/>
              <w:rPr>
                <w:color w:val="000000"/>
              </w:rPr>
            </w:pPr>
            <w:r>
              <w:rPr>
                <w:color w:val="000000"/>
              </w:rPr>
              <w:t>90</w:t>
            </w:r>
          </w:p>
        </w:tc>
        <w:tc>
          <w:tcPr>
            <w:tcW w:w="1689" w:type="dxa"/>
            <w:noWrap/>
            <w:vAlign w:val="center"/>
          </w:tcPr>
          <w:p w14:paraId="63566D1A" w14:textId="081D5B49" w:rsidR="00550480" w:rsidRDefault="00C6046C" w:rsidP="00204A7A">
            <w:pPr>
              <w:spacing w:after="0"/>
              <w:ind w:left="0"/>
              <w:rPr>
                <w:rFonts w:cs="Calibri"/>
                <w:color w:val="000000"/>
                <w:szCs w:val="24"/>
              </w:rPr>
            </w:pPr>
            <w:r>
              <w:rPr>
                <w:rFonts w:cs="Calibri"/>
                <w:color w:val="000000"/>
                <w:szCs w:val="24"/>
              </w:rPr>
              <w:t>Daily</w:t>
            </w:r>
          </w:p>
        </w:tc>
        <w:tc>
          <w:tcPr>
            <w:tcW w:w="1789" w:type="dxa"/>
            <w:noWrap/>
          </w:tcPr>
          <w:p w14:paraId="05A46806" w14:textId="16E6E121" w:rsidR="00550480" w:rsidRPr="0065226C" w:rsidRDefault="00C6046C" w:rsidP="00204A7A">
            <w:pPr>
              <w:spacing w:after="0"/>
              <w:ind w:left="0"/>
              <w:rPr>
                <w:rFonts w:cs="Calibri"/>
                <w:color w:val="000000"/>
                <w:szCs w:val="24"/>
              </w:rPr>
            </w:pPr>
            <w:r>
              <w:rPr>
                <w:rFonts w:cs="Calibri"/>
                <w:color w:val="000000"/>
                <w:szCs w:val="24"/>
              </w:rPr>
              <w:t>CA Rehearing Schedule</w:t>
            </w:r>
          </w:p>
        </w:tc>
        <w:tc>
          <w:tcPr>
            <w:tcW w:w="7024" w:type="dxa"/>
          </w:tcPr>
          <w:p w14:paraId="0F375F09" w14:textId="58650370" w:rsidR="00550480" w:rsidRDefault="00C6046C" w:rsidP="00204A7A">
            <w:pPr>
              <w:spacing w:after="0"/>
              <w:ind w:left="0"/>
              <w:rPr>
                <w:rFonts w:cs="Calibri"/>
                <w:color w:val="000000"/>
                <w:szCs w:val="24"/>
              </w:rPr>
            </w:pPr>
            <w:r w:rsidRPr="00C6046C">
              <w:rPr>
                <w:rFonts w:cs="Calibri"/>
                <w:color w:val="000000"/>
                <w:szCs w:val="24"/>
              </w:rPr>
              <w:t>Identifies cases assigned (</w:t>
            </w:r>
            <w:r>
              <w:rPr>
                <w:rFonts w:cs="Calibri"/>
                <w:color w:val="000000"/>
                <w:szCs w:val="24"/>
              </w:rPr>
              <w:t>higher</w:t>
            </w:r>
            <w:r w:rsidRPr="00C6046C">
              <w:rPr>
                <w:rFonts w:cs="Calibri"/>
                <w:color w:val="000000"/>
                <w:szCs w:val="24"/>
              </w:rPr>
              <w:t xml:space="preserve"> authority) to </w:t>
            </w:r>
            <w:r>
              <w:rPr>
                <w:rFonts w:cs="Calibri"/>
                <w:color w:val="000000"/>
                <w:szCs w:val="24"/>
              </w:rPr>
              <w:t>rehearing reviewing attorneys</w:t>
            </w:r>
            <w:r w:rsidRPr="00C6046C">
              <w:rPr>
                <w:rFonts w:cs="Calibri"/>
                <w:color w:val="000000"/>
                <w:szCs w:val="24"/>
              </w:rPr>
              <w:t xml:space="preserve"> each week</w:t>
            </w:r>
          </w:p>
        </w:tc>
      </w:tr>
    </w:tbl>
    <w:p w14:paraId="2E74EA05" w14:textId="77777777" w:rsidR="002B6D44" w:rsidRDefault="002B6D44" w:rsidP="002B6D44"/>
    <w:p w14:paraId="564290DD" w14:textId="77777777" w:rsidR="002B6D44" w:rsidRPr="002B6D44" w:rsidRDefault="002B6D44" w:rsidP="002B6D44">
      <w:pPr>
        <w:rPr>
          <w:rFonts w:eastAsia="Verdana,Times New Roman" w:cs="Verdana,Times New Roman"/>
          <w:b/>
          <w:bCs/>
          <w:u w:val="single"/>
        </w:rPr>
      </w:pPr>
      <w:r w:rsidRPr="002B6D44">
        <w:rPr>
          <w:rFonts w:eastAsia="Verdana,Times New Roman" w:cs="Verdana,Times New Roman"/>
          <w:b/>
          <w:bCs/>
          <w:u w:val="single"/>
        </w:rPr>
        <w:t>Work-around Reports</w:t>
      </w:r>
    </w:p>
    <w:tbl>
      <w:tblPr>
        <w:tblStyle w:val="TableGrid"/>
        <w:tblW w:w="11189" w:type="dxa"/>
        <w:tblInd w:w="-72" w:type="dxa"/>
        <w:tblLayout w:type="fixed"/>
        <w:tblLook w:val="04A0" w:firstRow="1" w:lastRow="0" w:firstColumn="1" w:lastColumn="0" w:noHBand="0" w:noVBand="1"/>
        <w:tblDescription w:val="Table of Appeals reports"/>
      </w:tblPr>
      <w:tblGrid>
        <w:gridCol w:w="687"/>
        <w:gridCol w:w="1689"/>
        <w:gridCol w:w="1789"/>
        <w:gridCol w:w="7024"/>
      </w:tblGrid>
      <w:tr w:rsidR="002B6D44" w:rsidRPr="005625A5" w14:paraId="5DFFCD02" w14:textId="77777777" w:rsidTr="00E23F37">
        <w:trPr>
          <w:trHeight w:val="258"/>
          <w:tblHeader/>
        </w:trPr>
        <w:tc>
          <w:tcPr>
            <w:tcW w:w="687" w:type="dxa"/>
            <w:shd w:val="clear" w:color="auto" w:fill="DEEAF6" w:themeFill="accent1" w:themeFillTint="33"/>
            <w:vAlign w:val="center"/>
          </w:tcPr>
          <w:p w14:paraId="52BC6053" w14:textId="77777777" w:rsidR="002B6D44" w:rsidRPr="001A193D" w:rsidRDefault="002B6D44" w:rsidP="00C94FE5">
            <w:pPr>
              <w:spacing w:after="0"/>
              <w:ind w:left="0"/>
              <w:jc w:val="center"/>
              <w:rPr>
                <w:b/>
                <w:i/>
                <w:color w:val="1F3864" w:themeColor="accent5" w:themeShade="80"/>
              </w:rPr>
            </w:pPr>
            <w:r w:rsidRPr="001A193D">
              <w:rPr>
                <w:rFonts w:cs="Arial"/>
                <w:b/>
                <w:color w:val="1F3864" w:themeColor="accent5" w:themeShade="80"/>
              </w:rPr>
              <w:t>#</w:t>
            </w:r>
          </w:p>
        </w:tc>
        <w:tc>
          <w:tcPr>
            <w:tcW w:w="1689" w:type="dxa"/>
            <w:shd w:val="clear" w:color="auto" w:fill="DEEAF6" w:themeFill="accent1" w:themeFillTint="33"/>
            <w:vAlign w:val="center"/>
          </w:tcPr>
          <w:p w14:paraId="1FC83B87" w14:textId="77777777" w:rsidR="002B6D44" w:rsidRPr="001A193D" w:rsidRDefault="002B6D44" w:rsidP="0052714F">
            <w:pPr>
              <w:spacing w:after="0"/>
              <w:ind w:left="0"/>
              <w:rPr>
                <w:b/>
                <w:i/>
                <w:color w:val="1F3864" w:themeColor="accent5" w:themeShade="80"/>
              </w:rPr>
            </w:pPr>
            <w:r w:rsidRPr="001A193D">
              <w:rPr>
                <w:rFonts w:cs="Arial"/>
                <w:b/>
                <w:color w:val="1F3864" w:themeColor="accent5" w:themeShade="80"/>
              </w:rPr>
              <w:t>Frequency</w:t>
            </w:r>
          </w:p>
        </w:tc>
        <w:tc>
          <w:tcPr>
            <w:tcW w:w="1789" w:type="dxa"/>
            <w:shd w:val="clear" w:color="auto" w:fill="DEEAF6" w:themeFill="accent1" w:themeFillTint="33"/>
            <w:vAlign w:val="center"/>
          </w:tcPr>
          <w:p w14:paraId="5FA068AE" w14:textId="77777777" w:rsidR="002B6D44" w:rsidRPr="001A193D" w:rsidRDefault="002B6D44" w:rsidP="0052714F">
            <w:pPr>
              <w:spacing w:after="0"/>
              <w:ind w:left="0"/>
              <w:rPr>
                <w:b/>
                <w:i/>
                <w:color w:val="1F3864" w:themeColor="accent5" w:themeShade="80"/>
              </w:rPr>
            </w:pPr>
            <w:r w:rsidRPr="001A193D">
              <w:rPr>
                <w:rFonts w:cs="Arial"/>
                <w:b/>
                <w:color w:val="1F3864" w:themeColor="accent5" w:themeShade="80"/>
              </w:rPr>
              <w:t>Name</w:t>
            </w:r>
          </w:p>
        </w:tc>
        <w:tc>
          <w:tcPr>
            <w:tcW w:w="7024" w:type="dxa"/>
            <w:shd w:val="clear" w:color="auto" w:fill="DEEAF6" w:themeFill="accent1" w:themeFillTint="33"/>
            <w:vAlign w:val="center"/>
          </w:tcPr>
          <w:p w14:paraId="27DCD5B8" w14:textId="77777777" w:rsidR="002B6D44" w:rsidRPr="001A193D" w:rsidRDefault="002B6D44" w:rsidP="0052714F">
            <w:pPr>
              <w:spacing w:after="0"/>
              <w:ind w:left="0"/>
              <w:rPr>
                <w:b/>
                <w:i/>
                <w:color w:val="1F3864" w:themeColor="accent5" w:themeShade="80"/>
              </w:rPr>
            </w:pPr>
            <w:r w:rsidRPr="001A193D">
              <w:rPr>
                <w:rFonts w:cs="Arial"/>
                <w:b/>
                <w:color w:val="1F3864" w:themeColor="accent5" w:themeShade="80"/>
              </w:rPr>
              <w:t>Overview</w:t>
            </w:r>
          </w:p>
        </w:tc>
      </w:tr>
      <w:tr w:rsidR="00E23F37" w:rsidRPr="00293F5E" w14:paraId="6E9669BA" w14:textId="77777777" w:rsidTr="00E23F37">
        <w:trPr>
          <w:trHeight w:val="315"/>
        </w:trPr>
        <w:tc>
          <w:tcPr>
            <w:tcW w:w="687" w:type="dxa"/>
            <w:noWrap/>
            <w:vAlign w:val="center"/>
            <w:hideMark/>
          </w:tcPr>
          <w:p w14:paraId="3968A569" w14:textId="52DCD343" w:rsidR="00E23F37" w:rsidRPr="00C94FE5" w:rsidRDefault="00E23F37" w:rsidP="00E23F37">
            <w:pPr>
              <w:spacing w:after="0"/>
              <w:ind w:left="0"/>
              <w:jc w:val="center"/>
              <w:rPr>
                <w:rFonts w:cs="Calibri"/>
                <w:color w:val="000000"/>
                <w:szCs w:val="24"/>
              </w:rPr>
            </w:pPr>
            <w:r>
              <w:rPr>
                <w:color w:val="000000"/>
                <w:szCs w:val="22"/>
              </w:rPr>
              <w:t>1</w:t>
            </w:r>
          </w:p>
        </w:tc>
        <w:tc>
          <w:tcPr>
            <w:tcW w:w="1689" w:type="dxa"/>
            <w:noWrap/>
            <w:vAlign w:val="center"/>
            <w:hideMark/>
          </w:tcPr>
          <w:p w14:paraId="7E9E8542" w14:textId="77777777" w:rsidR="00E23F37" w:rsidRPr="0052714F" w:rsidRDefault="00E23F37" w:rsidP="00E23F37">
            <w:pPr>
              <w:spacing w:after="0"/>
              <w:ind w:left="0"/>
              <w:rPr>
                <w:rFonts w:cs="Calibri"/>
                <w:color w:val="000000"/>
                <w:szCs w:val="24"/>
              </w:rPr>
            </w:pPr>
            <w:r w:rsidRPr="0052714F">
              <w:rPr>
                <w:rFonts w:cs="Calibri"/>
                <w:color w:val="000000"/>
                <w:szCs w:val="24"/>
              </w:rPr>
              <w:t>On Demand</w:t>
            </w:r>
          </w:p>
        </w:tc>
        <w:tc>
          <w:tcPr>
            <w:tcW w:w="1789" w:type="dxa"/>
            <w:noWrap/>
            <w:vAlign w:val="center"/>
            <w:hideMark/>
          </w:tcPr>
          <w:p w14:paraId="226B2632" w14:textId="77777777" w:rsidR="00E23F37" w:rsidRPr="0052714F" w:rsidRDefault="00E23F37" w:rsidP="00E23F37">
            <w:pPr>
              <w:spacing w:after="0"/>
              <w:ind w:left="0"/>
              <w:rPr>
                <w:rFonts w:cs="Calibri"/>
                <w:color w:val="000000"/>
                <w:szCs w:val="24"/>
              </w:rPr>
            </w:pPr>
            <w:r w:rsidRPr="0052714F">
              <w:rPr>
                <w:rFonts w:cs="Calibri"/>
                <w:color w:val="000000"/>
                <w:szCs w:val="24"/>
              </w:rPr>
              <w:t>Applnt</w:t>
            </w:r>
          </w:p>
        </w:tc>
        <w:tc>
          <w:tcPr>
            <w:tcW w:w="7024" w:type="dxa"/>
            <w:vAlign w:val="center"/>
            <w:hideMark/>
          </w:tcPr>
          <w:p w14:paraId="03A51154" w14:textId="77777777" w:rsidR="00E23F37" w:rsidRPr="0052714F" w:rsidRDefault="00E23F37" w:rsidP="00E23F37">
            <w:pPr>
              <w:spacing w:after="0"/>
              <w:ind w:left="0"/>
              <w:rPr>
                <w:rFonts w:cs="Calibri"/>
                <w:color w:val="000000"/>
                <w:szCs w:val="24"/>
              </w:rPr>
            </w:pPr>
            <w:r w:rsidRPr="0052714F">
              <w:rPr>
                <w:rFonts w:cs="Calibri"/>
                <w:color w:val="000000"/>
                <w:szCs w:val="24"/>
              </w:rPr>
              <w:t>Identifies cases without appellants</w:t>
            </w:r>
          </w:p>
        </w:tc>
      </w:tr>
      <w:tr w:rsidR="00927C19" w:rsidRPr="00293F5E" w14:paraId="72C5492A" w14:textId="77777777" w:rsidTr="00E23F37">
        <w:trPr>
          <w:trHeight w:val="300"/>
        </w:trPr>
        <w:tc>
          <w:tcPr>
            <w:tcW w:w="687" w:type="dxa"/>
            <w:noWrap/>
            <w:vAlign w:val="center"/>
            <w:hideMark/>
          </w:tcPr>
          <w:p w14:paraId="2EB1D945" w14:textId="4B79FF83" w:rsidR="00927C19" w:rsidRPr="00C94FE5" w:rsidRDefault="00927C19" w:rsidP="00927C19">
            <w:pPr>
              <w:spacing w:after="0"/>
              <w:ind w:left="0"/>
              <w:jc w:val="center"/>
              <w:rPr>
                <w:rFonts w:cs="Calibri"/>
                <w:color w:val="000000"/>
                <w:szCs w:val="24"/>
              </w:rPr>
            </w:pPr>
            <w:r w:rsidRPr="00C94FE5">
              <w:rPr>
                <w:rFonts w:cs="Calibri"/>
                <w:color w:val="000000"/>
                <w:szCs w:val="24"/>
              </w:rPr>
              <w:t>2</w:t>
            </w:r>
          </w:p>
        </w:tc>
        <w:tc>
          <w:tcPr>
            <w:tcW w:w="1689" w:type="dxa"/>
            <w:noWrap/>
            <w:vAlign w:val="center"/>
            <w:hideMark/>
          </w:tcPr>
          <w:p w14:paraId="77E8FA23" w14:textId="77777777" w:rsidR="00927C19" w:rsidRPr="0052714F" w:rsidRDefault="00927C19" w:rsidP="00927C19">
            <w:pPr>
              <w:spacing w:after="0"/>
              <w:ind w:left="0"/>
              <w:rPr>
                <w:rFonts w:cs="Calibri"/>
                <w:color w:val="000000"/>
                <w:szCs w:val="24"/>
              </w:rPr>
            </w:pPr>
            <w:r w:rsidRPr="0052714F">
              <w:rPr>
                <w:rFonts w:cs="Calibri"/>
                <w:color w:val="000000"/>
                <w:szCs w:val="24"/>
              </w:rPr>
              <w:t>Daily</w:t>
            </w:r>
          </w:p>
        </w:tc>
        <w:tc>
          <w:tcPr>
            <w:tcW w:w="1789" w:type="dxa"/>
            <w:noWrap/>
            <w:vAlign w:val="center"/>
            <w:hideMark/>
          </w:tcPr>
          <w:p w14:paraId="3FD11B42" w14:textId="77777777" w:rsidR="00927C19" w:rsidRPr="0052714F" w:rsidRDefault="00927C19" w:rsidP="00927C19">
            <w:pPr>
              <w:spacing w:after="0"/>
              <w:ind w:left="0"/>
              <w:rPr>
                <w:rFonts w:cs="Calibri"/>
                <w:color w:val="000000"/>
                <w:szCs w:val="24"/>
              </w:rPr>
            </w:pPr>
            <w:r w:rsidRPr="0052714F">
              <w:rPr>
                <w:rFonts w:cs="Calibri"/>
                <w:color w:val="000000"/>
                <w:szCs w:val="24"/>
              </w:rPr>
              <w:t>Fraudulent IC Appeals Query</w:t>
            </w:r>
          </w:p>
        </w:tc>
        <w:tc>
          <w:tcPr>
            <w:tcW w:w="7024" w:type="dxa"/>
            <w:vAlign w:val="center"/>
            <w:hideMark/>
          </w:tcPr>
          <w:p w14:paraId="540F8745" w14:textId="77777777" w:rsidR="00927C19" w:rsidRPr="0052714F" w:rsidRDefault="00927C19" w:rsidP="00927C19">
            <w:pPr>
              <w:spacing w:after="0"/>
              <w:ind w:left="0"/>
              <w:rPr>
                <w:rFonts w:cs="Calibri"/>
                <w:color w:val="000000"/>
                <w:szCs w:val="24"/>
              </w:rPr>
            </w:pPr>
            <w:r w:rsidRPr="0052714F">
              <w:rPr>
                <w:rFonts w:cs="Calibri"/>
                <w:color w:val="000000"/>
                <w:szCs w:val="24"/>
              </w:rPr>
              <w:t>Identifies appeals related to ID theft</w:t>
            </w:r>
          </w:p>
        </w:tc>
      </w:tr>
      <w:tr w:rsidR="00927C19" w:rsidRPr="00293F5E" w14:paraId="27A35D6E" w14:textId="77777777" w:rsidTr="00E23F37">
        <w:trPr>
          <w:trHeight w:val="300"/>
        </w:trPr>
        <w:tc>
          <w:tcPr>
            <w:tcW w:w="687" w:type="dxa"/>
            <w:noWrap/>
            <w:vAlign w:val="center"/>
            <w:hideMark/>
          </w:tcPr>
          <w:p w14:paraId="1594CE11" w14:textId="224C2673" w:rsidR="00927C19" w:rsidRPr="00C94FE5" w:rsidRDefault="00927C19" w:rsidP="00927C19">
            <w:pPr>
              <w:spacing w:after="0"/>
              <w:ind w:left="0"/>
              <w:jc w:val="center"/>
              <w:rPr>
                <w:rFonts w:cs="Calibri"/>
                <w:color w:val="000000"/>
                <w:szCs w:val="24"/>
              </w:rPr>
            </w:pPr>
            <w:r w:rsidRPr="00C94FE5">
              <w:rPr>
                <w:rFonts w:cs="Calibri"/>
                <w:color w:val="000000"/>
                <w:szCs w:val="24"/>
              </w:rPr>
              <w:t>3</w:t>
            </w:r>
          </w:p>
        </w:tc>
        <w:tc>
          <w:tcPr>
            <w:tcW w:w="1689" w:type="dxa"/>
            <w:noWrap/>
            <w:vAlign w:val="center"/>
            <w:hideMark/>
          </w:tcPr>
          <w:p w14:paraId="08B214C2" w14:textId="77777777" w:rsidR="00927C19" w:rsidRPr="0052714F" w:rsidRDefault="00927C19" w:rsidP="00927C19">
            <w:pPr>
              <w:spacing w:after="0"/>
              <w:ind w:left="0"/>
              <w:rPr>
                <w:rFonts w:cs="Calibri"/>
                <w:color w:val="000000"/>
                <w:szCs w:val="24"/>
              </w:rPr>
            </w:pPr>
            <w:r w:rsidRPr="0052714F">
              <w:rPr>
                <w:rFonts w:cs="Calibri"/>
                <w:color w:val="000000"/>
                <w:szCs w:val="24"/>
              </w:rPr>
              <w:t>Daily</w:t>
            </w:r>
          </w:p>
        </w:tc>
        <w:tc>
          <w:tcPr>
            <w:tcW w:w="1789" w:type="dxa"/>
            <w:noWrap/>
            <w:vAlign w:val="center"/>
            <w:hideMark/>
          </w:tcPr>
          <w:p w14:paraId="32D2FAE5" w14:textId="77777777" w:rsidR="00927C19" w:rsidRPr="0052714F" w:rsidRDefault="00927C19" w:rsidP="00927C19">
            <w:pPr>
              <w:spacing w:after="0"/>
              <w:ind w:left="0"/>
              <w:rPr>
                <w:rFonts w:cs="Calibri"/>
                <w:color w:val="000000"/>
                <w:szCs w:val="24"/>
              </w:rPr>
            </w:pPr>
            <w:r w:rsidRPr="0052714F">
              <w:rPr>
                <w:rFonts w:cs="Calibri"/>
                <w:color w:val="000000"/>
                <w:szCs w:val="24"/>
              </w:rPr>
              <w:t>Daily Alerts</w:t>
            </w:r>
          </w:p>
        </w:tc>
        <w:tc>
          <w:tcPr>
            <w:tcW w:w="7024" w:type="dxa"/>
            <w:vAlign w:val="center"/>
            <w:hideMark/>
          </w:tcPr>
          <w:p w14:paraId="62EFE14E" w14:textId="77777777" w:rsidR="00927C19" w:rsidRPr="0052714F" w:rsidRDefault="00927C19" w:rsidP="00927C19">
            <w:pPr>
              <w:spacing w:after="0"/>
              <w:ind w:left="0"/>
              <w:rPr>
                <w:rFonts w:cs="Calibri"/>
                <w:color w:val="000000"/>
                <w:szCs w:val="24"/>
              </w:rPr>
            </w:pPr>
            <w:r w:rsidRPr="0052714F">
              <w:rPr>
                <w:rFonts w:cs="Calibri"/>
                <w:color w:val="000000"/>
                <w:szCs w:val="24"/>
              </w:rPr>
              <w:t>Various alerts</w:t>
            </w:r>
          </w:p>
        </w:tc>
      </w:tr>
      <w:tr w:rsidR="00927C19" w:rsidRPr="00293F5E" w14:paraId="440664C0" w14:textId="77777777" w:rsidTr="00E23F37">
        <w:trPr>
          <w:trHeight w:val="300"/>
        </w:trPr>
        <w:tc>
          <w:tcPr>
            <w:tcW w:w="687" w:type="dxa"/>
            <w:noWrap/>
            <w:vAlign w:val="center"/>
            <w:hideMark/>
          </w:tcPr>
          <w:p w14:paraId="4144149C" w14:textId="5E6BC5CB" w:rsidR="00927C19" w:rsidRPr="00C94FE5" w:rsidRDefault="00927C19" w:rsidP="00927C19">
            <w:pPr>
              <w:spacing w:after="0"/>
              <w:ind w:left="0"/>
              <w:jc w:val="center"/>
              <w:rPr>
                <w:rFonts w:cs="Calibri"/>
                <w:color w:val="000000"/>
                <w:szCs w:val="24"/>
              </w:rPr>
            </w:pPr>
            <w:r w:rsidRPr="00C94FE5">
              <w:rPr>
                <w:rFonts w:cs="Calibri"/>
                <w:color w:val="000000"/>
                <w:szCs w:val="24"/>
              </w:rPr>
              <w:t>4</w:t>
            </w:r>
          </w:p>
        </w:tc>
        <w:tc>
          <w:tcPr>
            <w:tcW w:w="1689" w:type="dxa"/>
            <w:noWrap/>
            <w:vAlign w:val="center"/>
            <w:hideMark/>
          </w:tcPr>
          <w:p w14:paraId="6BD781BB" w14:textId="77777777" w:rsidR="00927C19" w:rsidRPr="0052714F" w:rsidRDefault="00927C19" w:rsidP="00927C19">
            <w:pPr>
              <w:spacing w:after="0"/>
              <w:ind w:left="0"/>
              <w:rPr>
                <w:rFonts w:cs="Calibri"/>
                <w:color w:val="000000"/>
                <w:szCs w:val="24"/>
              </w:rPr>
            </w:pPr>
            <w:r w:rsidRPr="0052714F">
              <w:rPr>
                <w:rFonts w:cs="Calibri"/>
                <w:color w:val="000000"/>
                <w:szCs w:val="24"/>
              </w:rPr>
              <w:t>Daily</w:t>
            </w:r>
          </w:p>
        </w:tc>
        <w:tc>
          <w:tcPr>
            <w:tcW w:w="1789" w:type="dxa"/>
            <w:noWrap/>
            <w:vAlign w:val="center"/>
            <w:hideMark/>
          </w:tcPr>
          <w:p w14:paraId="4598D3B3" w14:textId="77777777" w:rsidR="00927C19" w:rsidRPr="0052714F" w:rsidRDefault="00927C19" w:rsidP="00927C19">
            <w:pPr>
              <w:spacing w:after="0"/>
              <w:ind w:left="0"/>
              <w:rPr>
                <w:rFonts w:cs="Calibri"/>
                <w:color w:val="000000"/>
                <w:szCs w:val="24"/>
              </w:rPr>
            </w:pPr>
            <w:r w:rsidRPr="0052714F">
              <w:rPr>
                <w:rFonts w:cs="Calibri"/>
                <w:color w:val="000000"/>
                <w:szCs w:val="24"/>
              </w:rPr>
              <w:t>Online Batch Processing Check</w:t>
            </w:r>
          </w:p>
        </w:tc>
        <w:tc>
          <w:tcPr>
            <w:tcW w:w="7024" w:type="dxa"/>
            <w:vAlign w:val="center"/>
            <w:hideMark/>
          </w:tcPr>
          <w:p w14:paraId="12FE621B" w14:textId="77777777" w:rsidR="00927C19" w:rsidRPr="0052714F" w:rsidRDefault="00927C19" w:rsidP="00927C19">
            <w:pPr>
              <w:spacing w:after="0"/>
              <w:ind w:left="0"/>
              <w:rPr>
                <w:rFonts w:cs="Calibri"/>
                <w:color w:val="000000"/>
                <w:szCs w:val="24"/>
              </w:rPr>
            </w:pPr>
            <w:r w:rsidRPr="0052714F">
              <w:rPr>
                <w:rFonts w:cs="Calibri"/>
                <w:color w:val="000000"/>
                <w:szCs w:val="24"/>
              </w:rPr>
              <w:t>Ensures online appeals move from temporary internet table to the correct database</w:t>
            </w:r>
          </w:p>
        </w:tc>
      </w:tr>
      <w:tr w:rsidR="00927C19" w:rsidRPr="00293F5E" w14:paraId="7E8A3645" w14:textId="77777777" w:rsidTr="00E23F37">
        <w:trPr>
          <w:trHeight w:val="300"/>
        </w:trPr>
        <w:tc>
          <w:tcPr>
            <w:tcW w:w="687" w:type="dxa"/>
            <w:noWrap/>
            <w:vAlign w:val="center"/>
            <w:hideMark/>
          </w:tcPr>
          <w:p w14:paraId="4453E368" w14:textId="678FE98A" w:rsidR="00927C19" w:rsidRPr="00C94FE5" w:rsidRDefault="00927C19" w:rsidP="00927C19">
            <w:pPr>
              <w:spacing w:after="0"/>
              <w:ind w:left="0"/>
              <w:jc w:val="center"/>
              <w:rPr>
                <w:rFonts w:cs="Calibri"/>
                <w:color w:val="000000"/>
                <w:szCs w:val="24"/>
              </w:rPr>
            </w:pPr>
            <w:r w:rsidRPr="00C94FE5">
              <w:rPr>
                <w:rFonts w:cs="Calibri"/>
                <w:color w:val="000000"/>
                <w:szCs w:val="24"/>
              </w:rPr>
              <w:t>5</w:t>
            </w:r>
          </w:p>
        </w:tc>
        <w:tc>
          <w:tcPr>
            <w:tcW w:w="1689" w:type="dxa"/>
            <w:noWrap/>
            <w:vAlign w:val="center"/>
            <w:hideMark/>
          </w:tcPr>
          <w:p w14:paraId="6147D576" w14:textId="77777777" w:rsidR="00927C19" w:rsidRPr="0052714F" w:rsidRDefault="00927C19" w:rsidP="00927C19">
            <w:pPr>
              <w:spacing w:after="0"/>
              <w:ind w:left="0"/>
              <w:rPr>
                <w:rFonts w:cs="Calibri"/>
                <w:color w:val="000000"/>
                <w:szCs w:val="24"/>
              </w:rPr>
            </w:pPr>
            <w:r w:rsidRPr="0052714F">
              <w:rPr>
                <w:rFonts w:cs="Calibri"/>
                <w:color w:val="000000"/>
                <w:szCs w:val="24"/>
              </w:rPr>
              <w:t>Daily</w:t>
            </w:r>
          </w:p>
        </w:tc>
        <w:tc>
          <w:tcPr>
            <w:tcW w:w="1789" w:type="dxa"/>
            <w:noWrap/>
            <w:vAlign w:val="center"/>
            <w:hideMark/>
          </w:tcPr>
          <w:p w14:paraId="1BD4F10D" w14:textId="77777777" w:rsidR="00927C19" w:rsidRPr="0052714F" w:rsidRDefault="00927C19" w:rsidP="00927C19">
            <w:pPr>
              <w:spacing w:after="0"/>
              <w:ind w:left="0"/>
              <w:rPr>
                <w:rFonts w:cs="Calibri"/>
                <w:color w:val="000000"/>
                <w:szCs w:val="24"/>
              </w:rPr>
            </w:pPr>
            <w:r w:rsidRPr="0052714F">
              <w:rPr>
                <w:rFonts w:cs="Calibri"/>
                <w:color w:val="000000"/>
                <w:szCs w:val="24"/>
              </w:rPr>
              <w:t>CA Folder Request List</w:t>
            </w:r>
          </w:p>
        </w:tc>
        <w:tc>
          <w:tcPr>
            <w:tcW w:w="7024" w:type="dxa"/>
            <w:vAlign w:val="center"/>
            <w:hideMark/>
          </w:tcPr>
          <w:p w14:paraId="533049C0" w14:textId="5B16BBA6" w:rsidR="00927C19" w:rsidRPr="0052714F" w:rsidRDefault="00927C19" w:rsidP="00927C19">
            <w:pPr>
              <w:spacing w:after="0"/>
              <w:ind w:left="0"/>
              <w:rPr>
                <w:rFonts w:cs="Calibri"/>
                <w:color w:val="000000"/>
                <w:szCs w:val="24"/>
              </w:rPr>
            </w:pPr>
            <w:r w:rsidRPr="0052714F">
              <w:rPr>
                <w:rFonts w:cs="Calibri"/>
                <w:color w:val="000000"/>
                <w:szCs w:val="24"/>
              </w:rPr>
              <w:t>Assists with requesting folders from RMC</w:t>
            </w:r>
          </w:p>
        </w:tc>
      </w:tr>
      <w:tr w:rsidR="00927C19" w:rsidRPr="00293F5E" w14:paraId="709F071F" w14:textId="77777777" w:rsidTr="00E23F37">
        <w:trPr>
          <w:trHeight w:val="300"/>
        </w:trPr>
        <w:tc>
          <w:tcPr>
            <w:tcW w:w="687" w:type="dxa"/>
            <w:noWrap/>
            <w:vAlign w:val="center"/>
            <w:hideMark/>
          </w:tcPr>
          <w:p w14:paraId="1750E802" w14:textId="16FF4973" w:rsidR="00927C19" w:rsidRPr="00C94FE5" w:rsidRDefault="00927C19" w:rsidP="00927C19">
            <w:pPr>
              <w:spacing w:after="0"/>
              <w:ind w:left="0"/>
              <w:jc w:val="center"/>
              <w:rPr>
                <w:rFonts w:cs="Calibri"/>
                <w:color w:val="000000"/>
                <w:szCs w:val="24"/>
              </w:rPr>
            </w:pPr>
            <w:r w:rsidRPr="00C94FE5">
              <w:rPr>
                <w:rFonts w:cs="Calibri"/>
                <w:color w:val="000000"/>
                <w:szCs w:val="24"/>
              </w:rPr>
              <w:t>6</w:t>
            </w:r>
          </w:p>
        </w:tc>
        <w:tc>
          <w:tcPr>
            <w:tcW w:w="1689" w:type="dxa"/>
            <w:noWrap/>
            <w:vAlign w:val="center"/>
            <w:hideMark/>
          </w:tcPr>
          <w:p w14:paraId="15E160C8" w14:textId="77777777" w:rsidR="00927C19" w:rsidRPr="0052714F" w:rsidRDefault="00927C19" w:rsidP="00927C19">
            <w:pPr>
              <w:spacing w:after="0"/>
              <w:ind w:left="0"/>
              <w:rPr>
                <w:rFonts w:cs="Calibri"/>
                <w:color w:val="000000"/>
                <w:szCs w:val="24"/>
              </w:rPr>
            </w:pPr>
            <w:r w:rsidRPr="0052714F">
              <w:rPr>
                <w:rFonts w:cs="Calibri"/>
                <w:color w:val="000000"/>
                <w:szCs w:val="24"/>
              </w:rPr>
              <w:t>Daily</w:t>
            </w:r>
          </w:p>
        </w:tc>
        <w:tc>
          <w:tcPr>
            <w:tcW w:w="1789" w:type="dxa"/>
            <w:noWrap/>
            <w:vAlign w:val="center"/>
            <w:hideMark/>
          </w:tcPr>
          <w:p w14:paraId="024A9A26" w14:textId="77777777" w:rsidR="00927C19" w:rsidRPr="0052714F" w:rsidRDefault="00927C19" w:rsidP="00927C19">
            <w:pPr>
              <w:spacing w:after="0"/>
              <w:ind w:left="0"/>
              <w:rPr>
                <w:rFonts w:cs="Calibri"/>
                <w:color w:val="000000"/>
                <w:szCs w:val="24"/>
              </w:rPr>
            </w:pPr>
            <w:r w:rsidRPr="0052714F">
              <w:rPr>
                <w:rFonts w:cs="Calibri"/>
                <w:color w:val="000000"/>
                <w:szCs w:val="24"/>
              </w:rPr>
              <w:t>R16 Notice Seg Check</w:t>
            </w:r>
          </w:p>
        </w:tc>
        <w:tc>
          <w:tcPr>
            <w:tcW w:w="7024" w:type="dxa"/>
            <w:vAlign w:val="center"/>
            <w:hideMark/>
          </w:tcPr>
          <w:p w14:paraId="03084DD8" w14:textId="77777777" w:rsidR="00927C19" w:rsidRPr="0052714F" w:rsidRDefault="00927C19" w:rsidP="00927C19">
            <w:pPr>
              <w:spacing w:after="0"/>
              <w:ind w:left="0"/>
              <w:rPr>
                <w:rFonts w:cs="Calibri"/>
                <w:color w:val="000000"/>
                <w:szCs w:val="24"/>
              </w:rPr>
            </w:pPr>
            <w:r w:rsidRPr="0052714F">
              <w:rPr>
                <w:rFonts w:cs="Calibri"/>
                <w:color w:val="000000"/>
                <w:szCs w:val="24"/>
              </w:rPr>
              <w:t>Identifies potential errors due to application bug with R16 cases (missing issue segment)</w:t>
            </w:r>
          </w:p>
        </w:tc>
      </w:tr>
      <w:tr w:rsidR="00927C19" w:rsidRPr="00293F5E" w14:paraId="73320500" w14:textId="77777777" w:rsidTr="00E23F37">
        <w:trPr>
          <w:trHeight w:val="300"/>
        </w:trPr>
        <w:tc>
          <w:tcPr>
            <w:tcW w:w="687" w:type="dxa"/>
            <w:noWrap/>
            <w:vAlign w:val="center"/>
            <w:hideMark/>
          </w:tcPr>
          <w:p w14:paraId="1FE1352F" w14:textId="5AB16CFC" w:rsidR="00927C19" w:rsidRPr="00C94FE5" w:rsidRDefault="00927C19" w:rsidP="00927C19">
            <w:pPr>
              <w:spacing w:after="0"/>
              <w:ind w:left="0"/>
              <w:jc w:val="center"/>
              <w:rPr>
                <w:rFonts w:cs="Calibri"/>
                <w:color w:val="000000"/>
                <w:szCs w:val="24"/>
              </w:rPr>
            </w:pPr>
            <w:r w:rsidRPr="00C94FE5">
              <w:rPr>
                <w:rFonts w:cs="Calibri"/>
                <w:color w:val="000000"/>
                <w:szCs w:val="24"/>
              </w:rPr>
              <w:t>7</w:t>
            </w:r>
          </w:p>
        </w:tc>
        <w:tc>
          <w:tcPr>
            <w:tcW w:w="1689" w:type="dxa"/>
            <w:noWrap/>
            <w:vAlign w:val="center"/>
            <w:hideMark/>
          </w:tcPr>
          <w:p w14:paraId="1DC200E7" w14:textId="77777777" w:rsidR="00927C19" w:rsidRPr="0052714F" w:rsidRDefault="00927C19" w:rsidP="00927C19">
            <w:pPr>
              <w:spacing w:after="0"/>
              <w:ind w:left="0"/>
              <w:rPr>
                <w:rFonts w:cs="Calibri"/>
                <w:color w:val="000000"/>
                <w:szCs w:val="24"/>
              </w:rPr>
            </w:pPr>
            <w:r w:rsidRPr="0052714F">
              <w:rPr>
                <w:rFonts w:cs="Calibri"/>
                <w:color w:val="000000"/>
                <w:szCs w:val="24"/>
              </w:rPr>
              <w:t>Daily</w:t>
            </w:r>
          </w:p>
        </w:tc>
        <w:tc>
          <w:tcPr>
            <w:tcW w:w="1789" w:type="dxa"/>
            <w:noWrap/>
            <w:vAlign w:val="center"/>
            <w:hideMark/>
          </w:tcPr>
          <w:p w14:paraId="36A95391" w14:textId="77777777" w:rsidR="00927C19" w:rsidRPr="0052714F" w:rsidRDefault="00927C19" w:rsidP="00927C19">
            <w:pPr>
              <w:spacing w:after="0"/>
              <w:ind w:left="0"/>
              <w:rPr>
                <w:rFonts w:cs="Calibri"/>
                <w:color w:val="000000"/>
                <w:szCs w:val="24"/>
              </w:rPr>
            </w:pPr>
            <w:r w:rsidRPr="0052714F">
              <w:rPr>
                <w:rFonts w:cs="Calibri"/>
                <w:color w:val="000000"/>
                <w:szCs w:val="24"/>
              </w:rPr>
              <w:t>Decisions to be Updated</w:t>
            </w:r>
          </w:p>
        </w:tc>
        <w:tc>
          <w:tcPr>
            <w:tcW w:w="7024" w:type="dxa"/>
            <w:vAlign w:val="center"/>
            <w:hideMark/>
          </w:tcPr>
          <w:p w14:paraId="18F7BD9E" w14:textId="10A68584" w:rsidR="00927C19" w:rsidRPr="00E42819" w:rsidRDefault="00927C19" w:rsidP="00927C19">
            <w:pPr>
              <w:spacing w:after="0"/>
              <w:ind w:left="0"/>
              <w:rPr>
                <w:rFonts w:cs="Calibri"/>
                <w:color w:val="000000"/>
              </w:rPr>
            </w:pPr>
            <w:r>
              <w:rPr>
                <w:rFonts w:cs="Calibri"/>
                <w:color w:val="000000"/>
              </w:rPr>
              <w:t>Identifies AT decisions needing update to the UI benefits system - Include Commission Appeals</w:t>
            </w:r>
          </w:p>
        </w:tc>
      </w:tr>
      <w:tr w:rsidR="00927C19" w:rsidRPr="00293F5E" w14:paraId="7984ECBC" w14:textId="77777777" w:rsidTr="00E23F37">
        <w:trPr>
          <w:trHeight w:val="300"/>
        </w:trPr>
        <w:tc>
          <w:tcPr>
            <w:tcW w:w="687" w:type="dxa"/>
            <w:noWrap/>
            <w:vAlign w:val="center"/>
            <w:hideMark/>
          </w:tcPr>
          <w:p w14:paraId="60F6D074" w14:textId="63AEDFD4" w:rsidR="00927C19" w:rsidRPr="00C94FE5" w:rsidRDefault="00927C19" w:rsidP="00927C19">
            <w:pPr>
              <w:spacing w:after="0"/>
              <w:ind w:left="0"/>
              <w:jc w:val="center"/>
              <w:rPr>
                <w:rFonts w:cs="Calibri"/>
                <w:color w:val="000000"/>
                <w:szCs w:val="24"/>
              </w:rPr>
            </w:pPr>
            <w:r w:rsidRPr="00C94FE5">
              <w:rPr>
                <w:rFonts w:cs="Calibri"/>
                <w:color w:val="000000"/>
                <w:szCs w:val="24"/>
              </w:rPr>
              <w:t>8</w:t>
            </w:r>
          </w:p>
        </w:tc>
        <w:tc>
          <w:tcPr>
            <w:tcW w:w="1689" w:type="dxa"/>
            <w:noWrap/>
            <w:vAlign w:val="center"/>
            <w:hideMark/>
          </w:tcPr>
          <w:p w14:paraId="77A7CAED" w14:textId="77777777" w:rsidR="00927C19" w:rsidRPr="0052714F" w:rsidRDefault="00927C19" w:rsidP="00927C19">
            <w:pPr>
              <w:spacing w:after="0"/>
              <w:ind w:left="0"/>
              <w:rPr>
                <w:rFonts w:cs="Calibri"/>
                <w:color w:val="000000"/>
                <w:szCs w:val="24"/>
              </w:rPr>
            </w:pPr>
            <w:r w:rsidRPr="0052714F">
              <w:rPr>
                <w:rFonts w:cs="Calibri"/>
                <w:color w:val="000000"/>
                <w:szCs w:val="24"/>
              </w:rPr>
              <w:t>Daily</w:t>
            </w:r>
          </w:p>
        </w:tc>
        <w:tc>
          <w:tcPr>
            <w:tcW w:w="1789" w:type="dxa"/>
            <w:noWrap/>
            <w:vAlign w:val="center"/>
            <w:hideMark/>
          </w:tcPr>
          <w:p w14:paraId="7B20EFAA" w14:textId="77777777" w:rsidR="00927C19" w:rsidRPr="0052714F" w:rsidRDefault="00927C19" w:rsidP="00927C19">
            <w:pPr>
              <w:spacing w:after="0"/>
              <w:ind w:left="0"/>
              <w:rPr>
                <w:rFonts w:cs="Calibri"/>
                <w:color w:val="000000"/>
                <w:szCs w:val="24"/>
              </w:rPr>
            </w:pPr>
            <w:r w:rsidRPr="0052714F">
              <w:rPr>
                <w:rFonts w:cs="Calibri"/>
                <w:color w:val="000000"/>
                <w:szCs w:val="24"/>
              </w:rPr>
              <w:t>R16 Folder Tracking Report</w:t>
            </w:r>
          </w:p>
        </w:tc>
        <w:tc>
          <w:tcPr>
            <w:tcW w:w="7024" w:type="dxa"/>
            <w:vAlign w:val="center"/>
            <w:hideMark/>
          </w:tcPr>
          <w:p w14:paraId="3997397B" w14:textId="067B102C" w:rsidR="00927C19" w:rsidRPr="0052714F" w:rsidRDefault="00927C19" w:rsidP="00927C19">
            <w:pPr>
              <w:spacing w:after="0"/>
              <w:ind w:left="0"/>
              <w:rPr>
                <w:rFonts w:cs="Calibri"/>
                <w:color w:val="000000"/>
                <w:szCs w:val="24"/>
              </w:rPr>
            </w:pPr>
            <w:r w:rsidRPr="0052714F">
              <w:rPr>
                <w:rFonts w:cs="Calibri"/>
                <w:color w:val="000000"/>
                <w:szCs w:val="24"/>
              </w:rPr>
              <w:t>Identifies folders to be requested from RMC; used as a type of workflow</w:t>
            </w:r>
          </w:p>
        </w:tc>
      </w:tr>
      <w:tr w:rsidR="00927C19" w:rsidRPr="00293F5E" w14:paraId="7A219176" w14:textId="77777777" w:rsidTr="00E23F37">
        <w:trPr>
          <w:trHeight w:val="300"/>
        </w:trPr>
        <w:tc>
          <w:tcPr>
            <w:tcW w:w="687" w:type="dxa"/>
            <w:noWrap/>
            <w:vAlign w:val="center"/>
            <w:hideMark/>
          </w:tcPr>
          <w:p w14:paraId="7B7AEC51" w14:textId="46CDB184" w:rsidR="00927C19" w:rsidRPr="00C94FE5" w:rsidRDefault="00927C19" w:rsidP="00927C19">
            <w:pPr>
              <w:spacing w:after="0"/>
              <w:ind w:left="0"/>
              <w:jc w:val="center"/>
              <w:rPr>
                <w:rFonts w:cs="Calibri"/>
                <w:color w:val="000000"/>
                <w:szCs w:val="24"/>
              </w:rPr>
            </w:pPr>
            <w:r w:rsidRPr="00C94FE5">
              <w:rPr>
                <w:rFonts w:cs="Calibri"/>
                <w:color w:val="000000"/>
                <w:szCs w:val="24"/>
              </w:rPr>
              <w:lastRenderedPageBreak/>
              <w:t>9</w:t>
            </w:r>
          </w:p>
        </w:tc>
        <w:tc>
          <w:tcPr>
            <w:tcW w:w="1689" w:type="dxa"/>
            <w:noWrap/>
            <w:vAlign w:val="center"/>
            <w:hideMark/>
          </w:tcPr>
          <w:p w14:paraId="35C8E1BA" w14:textId="77777777" w:rsidR="00927C19" w:rsidRPr="0052714F" w:rsidRDefault="00927C19" w:rsidP="00927C19">
            <w:pPr>
              <w:spacing w:after="0"/>
              <w:ind w:left="0"/>
              <w:rPr>
                <w:rFonts w:cs="Calibri"/>
                <w:color w:val="000000"/>
                <w:szCs w:val="24"/>
              </w:rPr>
            </w:pPr>
            <w:r w:rsidRPr="0052714F">
              <w:rPr>
                <w:rFonts w:cs="Calibri"/>
                <w:color w:val="000000"/>
                <w:szCs w:val="24"/>
              </w:rPr>
              <w:t>Daily</w:t>
            </w:r>
          </w:p>
        </w:tc>
        <w:tc>
          <w:tcPr>
            <w:tcW w:w="1789" w:type="dxa"/>
            <w:noWrap/>
            <w:vAlign w:val="center"/>
            <w:hideMark/>
          </w:tcPr>
          <w:p w14:paraId="7688719C" w14:textId="77777777" w:rsidR="00927C19" w:rsidRPr="0052714F" w:rsidRDefault="00927C19" w:rsidP="00927C19">
            <w:pPr>
              <w:spacing w:after="0"/>
              <w:ind w:left="0"/>
              <w:rPr>
                <w:rFonts w:cs="Calibri"/>
                <w:color w:val="000000"/>
                <w:szCs w:val="24"/>
              </w:rPr>
            </w:pPr>
            <w:r w:rsidRPr="0052714F">
              <w:rPr>
                <w:rFonts w:cs="Calibri"/>
                <w:color w:val="000000"/>
                <w:szCs w:val="24"/>
              </w:rPr>
              <w:t>DUA Folder Tracking Report</w:t>
            </w:r>
          </w:p>
        </w:tc>
        <w:tc>
          <w:tcPr>
            <w:tcW w:w="7024" w:type="dxa"/>
            <w:vAlign w:val="center"/>
            <w:hideMark/>
          </w:tcPr>
          <w:p w14:paraId="6B7B7417" w14:textId="1CFB71DD" w:rsidR="00927C19" w:rsidRPr="0052714F" w:rsidRDefault="00927C19" w:rsidP="00927C19">
            <w:pPr>
              <w:spacing w:after="0"/>
              <w:ind w:left="0"/>
              <w:rPr>
                <w:rFonts w:cs="Calibri"/>
                <w:color w:val="000000"/>
                <w:szCs w:val="24"/>
              </w:rPr>
            </w:pPr>
            <w:r w:rsidRPr="0052714F">
              <w:rPr>
                <w:rFonts w:cs="Calibri"/>
                <w:color w:val="000000"/>
                <w:szCs w:val="24"/>
              </w:rPr>
              <w:t>Identifies folders to be requested from RMC to be sent to DOL; used as a type of workflow</w:t>
            </w:r>
          </w:p>
        </w:tc>
      </w:tr>
      <w:tr w:rsidR="00927C19" w:rsidRPr="00293F5E" w14:paraId="7A412736" w14:textId="77777777" w:rsidTr="00E23F37">
        <w:trPr>
          <w:trHeight w:val="315"/>
        </w:trPr>
        <w:tc>
          <w:tcPr>
            <w:tcW w:w="687" w:type="dxa"/>
            <w:noWrap/>
            <w:vAlign w:val="center"/>
            <w:hideMark/>
          </w:tcPr>
          <w:p w14:paraId="74D6467D" w14:textId="5C1FE533" w:rsidR="00927C19" w:rsidRPr="00C94FE5" w:rsidRDefault="00927C19" w:rsidP="00927C19">
            <w:pPr>
              <w:spacing w:after="0"/>
              <w:ind w:left="0"/>
              <w:jc w:val="center"/>
              <w:rPr>
                <w:rFonts w:cs="Calibri"/>
                <w:color w:val="000000"/>
                <w:szCs w:val="24"/>
              </w:rPr>
            </w:pPr>
            <w:r w:rsidRPr="00C94FE5">
              <w:rPr>
                <w:rFonts w:cs="Calibri"/>
                <w:color w:val="000000"/>
                <w:szCs w:val="24"/>
              </w:rPr>
              <w:t>10</w:t>
            </w:r>
          </w:p>
        </w:tc>
        <w:tc>
          <w:tcPr>
            <w:tcW w:w="1689" w:type="dxa"/>
            <w:noWrap/>
            <w:vAlign w:val="center"/>
            <w:hideMark/>
          </w:tcPr>
          <w:p w14:paraId="5B5B1588" w14:textId="77777777" w:rsidR="00927C19" w:rsidRPr="0052714F" w:rsidRDefault="00927C19" w:rsidP="00927C19">
            <w:pPr>
              <w:spacing w:after="0"/>
              <w:ind w:left="0"/>
              <w:rPr>
                <w:rFonts w:cs="Calibri"/>
                <w:color w:val="000000"/>
                <w:szCs w:val="24"/>
              </w:rPr>
            </w:pPr>
            <w:r w:rsidRPr="0052714F">
              <w:rPr>
                <w:rFonts w:cs="Calibri"/>
                <w:color w:val="000000"/>
                <w:szCs w:val="24"/>
              </w:rPr>
              <w:t>Daily</w:t>
            </w:r>
          </w:p>
        </w:tc>
        <w:tc>
          <w:tcPr>
            <w:tcW w:w="1789" w:type="dxa"/>
            <w:noWrap/>
            <w:vAlign w:val="center"/>
            <w:hideMark/>
          </w:tcPr>
          <w:p w14:paraId="5055E071" w14:textId="77777777" w:rsidR="00927C19" w:rsidRPr="0052714F" w:rsidRDefault="00927C19" w:rsidP="00927C19">
            <w:pPr>
              <w:spacing w:after="0"/>
              <w:ind w:left="0"/>
              <w:rPr>
                <w:rFonts w:cs="Calibri"/>
                <w:color w:val="000000"/>
                <w:szCs w:val="24"/>
              </w:rPr>
            </w:pPr>
            <w:r w:rsidRPr="0052714F">
              <w:rPr>
                <w:rFonts w:cs="Calibri"/>
                <w:color w:val="000000"/>
                <w:szCs w:val="24"/>
              </w:rPr>
              <w:t>Fact_find2</w:t>
            </w:r>
          </w:p>
        </w:tc>
        <w:tc>
          <w:tcPr>
            <w:tcW w:w="7024" w:type="dxa"/>
            <w:vAlign w:val="center"/>
            <w:hideMark/>
          </w:tcPr>
          <w:p w14:paraId="09902752" w14:textId="77777777" w:rsidR="00927C19" w:rsidRPr="0052714F" w:rsidRDefault="00927C19" w:rsidP="00927C19">
            <w:pPr>
              <w:spacing w:after="0"/>
              <w:ind w:left="0"/>
              <w:rPr>
                <w:rFonts w:cs="Calibri"/>
                <w:color w:val="000000"/>
                <w:szCs w:val="24"/>
              </w:rPr>
            </w:pPr>
            <w:r w:rsidRPr="0052714F">
              <w:rPr>
                <w:rFonts w:cs="Calibri"/>
                <w:color w:val="000000"/>
                <w:szCs w:val="24"/>
              </w:rPr>
              <w:t>Identifies scheduled appeals with missing documentation (a.k.a. error list)</w:t>
            </w:r>
          </w:p>
        </w:tc>
      </w:tr>
      <w:tr w:rsidR="00927C19" w:rsidRPr="00293F5E" w14:paraId="11E08345" w14:textId="77777777" w:rsidTr="00E23F37">
        <w:trPr>
          <w:trHeight w:val="315"/>
        </w:trPr>
        <w:tc>
          <w:tcPr>
            <w:tcW w:w="687" w:type="dxa"/>
            <w:noWrap/>
            <w:vAlign w:val="center"/>
            <w:hideMark/>
          </w:tcPr>
          <w:p w14:paraId="308A4C30" w14:textId="4EA8C3F9" w:rsidR="00927C19" w:rsidRPr="00C94FE5" w:rsidRDefault="00927C19" w:rsidP="00927C19">
            <w:pPr>
              <w:spacing w:after="0"/>
              <w:ind w:left="0"/>
              <w:jc w:val="center"/>
              <w:rPr>
                <w:rFonts w:cs="Calibri"/>
                <w:color w:val="000000"/>
                <w:szCs w:val="24"/>
              </w:rPr>
            </w:pPr>
            <w:r w:rsidRPr="00C94FE5">
              <w:rPr>
                <w:rFonts w:cs="Calibri"/>
                <w:color w:val="000000"/>
                <w:szCs w:val="24"/>
              </w:rPr>
              <w:t>11</w:t>
            </w:r>
          </w:p>
        </w:tc>
        <w:tc>
          <w:tcPr>
            <w:tcW w:w="1689" w:type="dxa"/>
            <w:noWrap/>
            <w:vAlign w:val="center"/>
            <w:hideMark/>
          </w:tcPr>
          <w:p w14:paraId="449993CC" w14:textId="77777777" w:rsidR="00927C19" w:rsidRPr="0052714F" w:rsidRDefault="00927C19" w:rsidP="00927C19">
            <w:pPr>
              <w:spacing w:after="0"/>
              <w:ind w:left="0"/>
              <w:rPr>
                <w:rFonts w:cs="Calibri"/>
                <w:color w:val="000000"/>
                <w:szCs w:val="24"/>
              </w:rPr>
            </w:pPr>
            <w:r w:rsidRPr="0052714F">
              <w:rPr>
                <w:rFonts w:cs="Calibri"/>
                <w:color w:val="000000"/>
                <w:szCs w:val="24"/>
              </w:rPr>
              <w:t>Daily</w:t>
            </w:r>
          </w:p>
        </w:tc>
        <w:tc>
          <w:tcPr>
            <w:tcW w:w="1789" w:type="dxa"/>
            <w:noWrap/>
            <w:vAlign w:val="center"/>
            <w:hideMark/>
          </w:tcPr>
          <w:p w14:paraId="52C7C217" w14:textId="77777777" w:rsidR="00927C19" w:rsidRPr="0052714F" w:rsidRDefault="00927C19" w:rsidP="00927C19">
            <w:pPr>
              <w:spacing w:after="0"/>
              <w:ind w:left="0"/>
              <w:rPr>
                <w:rFonts w:cs="Calibri"/>
                <w:color w:val="000000"/>
                <w:szCs w:val="24"/>
              </w:rPr>
            </w:pPr>
            <w:r w:rsidRPr="0052714F">
              <w:rPr>
                <w:rFonts w:cs="Calibri"/>
                <w:color w:val="000000"/>
                <w:szCs w:val="24"/>
              </w:rPr>
              <w:t>No_llorm</w:t>
            </w:r>
          </w:p>
        </w:tc>
        <w:tc>
          <w:tcPr>
            <w:tcW w:w="7024" w:type="dxa"/>
            <w:vAlign w:val="center"/>
            <w:hideMark/>
          </w:tcPr>
          <w:p w14:paraId="546DC30C" w14:textId="77777777" w:rsidR="00927C19" w:rsidRPr="0052714F" w:rsidRDefault="00927C19" w:rsidP="00927C19">
            <w:pPr>
              <w:spacing w:after="0"/>
              <w:ind w:left="0"/>
              <w:rPr>
                <w:rFonts w:cs="Calibri"/>
                <w:color w:val="000000"/>
                <w:szCs w:val="24"/>
              </w:rPr>
            </w:pPr>
            <w:r w:rsidRPr="0052714F">
              <w:rPr>
                <w:rFonts w:cs="Calibri"/>
                <w:color w:val="000000"/>
                <w:szCs w:val="24"/>
              </w:rPr>
              <w:t>Identifies scheduled appeals with missing documentation (a.k.a. error list)</w:t>
            </w:r>
          </w:p>
        </w:tc>
      </w:tr>
      <w:tr w:rsidR="00927C19" w:rsidRPr="00293F5E" w14:paraId="16B3506D" w14:textId="77777777" w:rsidTr="00E23F37">
        <w:trPr>
          <w:trHeight w:val="300"/>
        </w:trPr>
        <w:tc>
          <w:tcPr>
            <w:tcW w:w="687" w:type="dxa"/>
            <w:noWrap/>
            <w:vAlign w:val="center"/>
            <w:hideMark/>
          </w:tcPr>
          <w:p w14:paraId="6D18B4B9" w14:textId="3B72F742" w:rsidR="00927C19" w:rsidRPr="00C94FE5" w:rsidRDefault="00927C19" w:rsidP="00927C19">
            <w:pPr>
              <w:spacing w:after="0"/>
              <w:ind w:left="0"/>
              <w:jc w:val="center"/>
              <w:rPr>
                <w:rFonts w:cs="Calibri"/>
                <w:color w:val="000000"/>
                <w:szCs w:val="24"/>
              </w:rPr>
            </w:pPr>
            <w:r w:rsidRPr="00C94FE5">
              <w:rPr>
                <w:rFonts w:cs="Calibri"/>
                <w:color w:val="000000"/>
                <w:szCs w:val="24"/>
              </w:rPr>
              <w:t>12</w:t>
            </w:r>
          </w:p>
        </w:tc>
        <w:tc>
          <w:tcPr>
            <w:tcW w:w="1689" w:type="dxa"/>
            <w:noWrap/>
            <w:vAlign w:val="center"/>
            <w:hideMark/>
          </w:tcPr>
          <w:p w14:paraId="67DA020F" w14:textId="77777777" w:rsidR="00927C19" w:rsidRPr="0052714F" w:rsidRDefault="00927C19" w:rsidP="00927C19">
            <w:pPr>
              <w:spacing w:after="0"/>
              <w:ind w:left="0"/>
              <w:rPr>
                <w:rFonts w:cs="Calibri"/>
                <w:color w:val="000000"/>
                <w:szCs w:val="24"/>
              </w:rPr>
            </w:pPr>
            <w:r w:rsidRPr="0052714F">
              <w:rPr>
                <w:rFonts w:cs="Calibri"/>
                <w:color w:val="000000"/>
                <w:szCs w:val="24"/>
              </w:rPr>
              <w:t>Daily</w:t>
            </w:r>
          </w:p>
        </w:tc>
        <w:tc>
          <w:tcPr>
            <w:tcW w:w="1789" w:type="dxa"/>
            <w:noWrap/>
            <w:vAlign w:val="center"/>
            <w:hideMark/>
          </w:tcPr>
          <w:p w14:paraId="318DE62C" w14:textId="77777777" w:rsidR="00927C19" w:rsidRPr="0052714F" w:rsidRDefault="00927C19" w:rsidP="00927C19">
            <w:pPr>
              <w:spacing w:after="0"/>
              <w:ind w:left="0"/>
              <w:rPr>
                <w:rFonts w:cs="Calibri"/>
                <w:color w:val="000000"/>
                <w:szCs w:val="24"/>
              </w:rPr>
            </w:pPr>
            <w:r w:rsidRPr="0052714F">
              <w:rPr>
                <w:rFonts w:cs="Calibri"/>
                <w:color w:val="000000"/>
                <w:szCs w:val="24"/>
              </w:rPr>
              <w:t>A-9 Summary Sheets</w:t>
            </w:r>
          </w:p>
        </w:tc>
        <w:tc>
          <w:tcPr>
            <w:tcW w:w="7024" w:type="dxa"/>
            <w:vAlign w:val="center"/>
            <w:hideMark/>
          </w:tcPr>
          <w:p w14:paraId="2BC3EEF7" w14:textId="77777777" w:rsidR="00927C19" w:rsidRPr="0052714F" w:rsidRDefault="00927C19" w:rsidP="00927C19">
            <w:pPr>
              <w:spacing w:after="0"/>
              <w:ind w:left="0"/>
              <w:rPr>
                <w:rFonts w:cs="Calibri"/>
                <w:color w:val="000000"/>
                <w:szCs w:val="24"/>
              </w:rPr>
            </w:pPr>
            <w:r w:rsidRPr="0052714F">
              <w:rPr>
                <w:rFonts w:cs="Calibri"/>
                <w:color w:val="000000"/>
                <w:szCs w:val="24"/>
              </w:rPr>
              <w:t>Provides case information to be filled out by hearing officers to record decision rulings and other information</w:t>
            </w:r>
          </w:p>
        </w:tc>
      </w:tr>
      <w:tr w:rsidR="00E23F37" w:rsidRPr="00293F5E" w14:paraId="3DDCFA20" w14:textId="77777777" w:rsidTr="00E23F37">
        <w:trPr>
          <w:trHeight w:val="300"/>
        </w:trPr>
        <w:tc>
          <w:tcPr>
            <w:tcW w:w="687" w:type="dxa"/>
            <w:noWrap/>
            <w:vAlign w:val="center"/>
            <w:hideMark/>
          </w:tcPr>
          <w:p w14:paraId="2BFB9B38" w14:textId="72C33E62" w:rsidR="00E23F37" w:rsidRPr="00C94FE5" w:rsidRDefault="00927C19" w:rsidP="00E23F37">
            <w:pPr>
              <w:spacing w:after="0"/>
              <w:ind w:left="0"/>
              <w:jc w:val="center"/>
              <w:rPr>
                <w:rFonts w:cs="Calibri"/>
                <w:color w:val="000000"/>
                <w:szCs w:val="24"/>
              </w:rPr>
            </w:pPr>
            <w:r>
              <w:rPr>
                <w:color w:val="000000"/>
                <w:szCs w:val="22"/>
              </w:rPr>
              <w:t>13</w:t>
            </w:r>
          </w:p>
        </w:tc>
        <w:tc>
          <w:tcPr>
            <w:tcW w:w="1689" w:type="dxa"/>
            <w:noWrap/>
            <w:vAlign w:val="center"/>
            <w:hideMark/>
          </w:tcPr>
          <w:p w14:paraId="6E7E8EFB" w14:textId="77777777" w:rsidR="00E23F37" w:rsidRPr="0052714F" w:rsidRDefault="00E23F37" w:rsidP="00E23F37">
            <w:pPr>
              <w:spacing w:after="0"/>
              <w:ind w:left="0"/>
              <w:rPr>
                <w:rFonts w:cs="Calibri"/>
                <w:color w:val="000000"/>
                <w:szCs w:val="24"/>
              </w:rPr>
            </w:pPr>
            <w:r w:rsidRPr="0052714F">
              <w:rPr>
                <w:rFonts w:cs="Calibri"/>
                <w:color w:val="000000"/>
                <w:szCs w:val="24"/>
              </w:rPr>
              <w:t>Weekly</w:t>
            </w:r>
          </w:p>
        </w:tc>
        <w:tc>
          <w:tcPr>
            <w:tcW w:w="1789" w:type="dxa"/>
            <w:noWrap/>
            <w:vAlign w:val="center"/>
            <w:hideMark/>
          </w:tcPr>
          <w:p w14:paraId="084012A5" w14:textId="77777777" w:rsidR="00E23F37" w:rsidRPr="0052714F" w:rsidRDefault="00E23F37" w:rsidP="00E23F37">
            <w:pPr>
              <w:spacing w:after="0"/>
              <w:ind w:left="0"/>
              <w:rPr>
                <w:rFonts w:cs="Calibri"/>
                <w:color w:val="000000"/>
                <w:szCs w:val="24"/>
              </w:rPr>
            </w:pPr>
            <w:r w:rsidRPr="0052714F">
              <w:rPr>
                <w:rFonts w:cs="Calibri"/>
                <w:color w:val="000000"/>
                <w:szCs w:val="24"/>
              </w:rPr>
              <w:t>CA Mail Date Issue</w:t>
            </w:r>
          </w:p>
        </w:tc>
        <w:tc>
          <w:tcPr>
            <w:tcW w:w="7024" w:type="dxa"/>
            <w:vAlign w:val="center"/>
            <w:hideMark/>
          </w:tcPr>
          <w:p w14:paraId="1D18074E" w14:textId="77777777" w:rsidR="00E23F37" w:rsidRPr="0052714F" w:rsidRDefault="00E23F37" w:rsidP="00E23F37">
            <w:pPr>
              <w:spacing w:after="0"/>
              <w:ind w:left="0"/>
              <w:rPr>
                <w:rFonts w:cs="Calibri"/>
                <w:color w:val="000000"/>
                <w:szCs w:val="24"/>
              </w:rPr>
            </w:pPr>
            <w:r w:rsidRPr="0052714F">
              <w:rPr>
                <w:rFonts w:cs="Calibri"/>
                <w:color w:val="000000"/>
                <w:szCs w:val="24"/>
              </w:rPr>
              <w:t>Identifies higher authority appeals erroneously designated as mailed</w:t>
            </w:r>
          </w:p>
        </w:tc>
      </w:tr>
    </w:tbl>
    <w:p w14:paraId="505EE3B1" w14:textId="0FABC1DD" w:rsidR="002C6610" w:rsidRDefault="002C6610" w:rsidP="0063413A">
      <w:pPr>
        <w:ind w:left="0"/>
      </w:pPr>
    </w:p>
    <w:p w14:paraId="4DCF7F59" w14:textId="77777777" w:rsidR="00F91310" w:rsidRDefault="00F91310" w:rsidP="00F91310">
      <w:pPr>
        <w:pStyle w:val="Heading3"/>
      </w:pPr>
      <w:bookmarkStart w:id="434" w:name="_Toc13567509"/>
      <w:r>
        <w:t>A8.4</w:t>
      </w:r>
      <w:r>
        <w:tab/>
        <w:t>RID</w:t>
      </w:r>
      <w:bookmarkEnd w:id="434"/>
    </w:p>
    <w:p w14:paraId="2EAE12E3" w14:textId="77777777" w:rsidR="00605110" w:rsidRPr="00605110" w:rsidRDefault="00605110" w:rsidP="00605110">
      <w:pPr>
        <w:rPr>
          <w:rFonts w:eastAsia="Verdana,Times New Roman" w:cs="Verdana,Times New Roman"/>
          <w:b/>
          <w:bCs/>
          <w:u w:val="single"/>
        </w:rPr>
      </w:pPr>
      <w:r w:rsidRPr="00605110">
        <w:rPr>
          <w:rFonts w:eastAsia="Verdana,Times New Roman" w:cs="Verdana,Times New Roman"/>
          <w:b/>
          <w:bCs/>
          <w:u w:val="single"/>
        </w:rPr>
        <w:t>BPC Reports</w:t>
      </w:r>
    </w:p>
    <w:tbl>
      <w:tblPr>
        <w:tblStyle w:val="TableGrid"/>
        <w:tblW w:w="11189" w:type="dxa"/>
        <w:tblInd w:w="-72" w:type="dxa"/>
        <w:tblLayout w:type="fixed"/>
        <w:tblLook w:val="04A0" w:firstRow="1" w:lastRow="0" w:firstColumn="1" w:lastColumn="0" w:noHBand="0" w:noVBand="1"/>
        <w:tblDescription w:val="Table of RID reports"/>
      </w:tblPr>
      <w:tblGrid>
        <w:gridCol w:w="691"/>
        <w:gridCol w:w="1627"/>
        <w:gridCol w:w="1800"/>
        <w:gridCol w:w="7071"/>
      </w:tblGrid>
      <w:tr w:rsidR="00605110" w:rsidRPr="000E4EAF" w14:paraId="28C234B2" w14:textId="77777777" w:rsidTr="00DF6F9D">
        <w:trPr>
          <w:trHeight w:val="258"/>
          <w:tblHeader/>
        </w:trPr>
        <w:tc>
          <w:tcPr>
            <w:tcW w:w="691" w:type="dxa"/>
            <w:shd w:val="clear" w:color="auto" w:fill="DEEAF6" w:themeFill="accent1" w:themeFillTint="33"/>
            <w:vAlign w:val="center"/>
          </w:tcPr>
          <w:p w14:paraId="67175100" w14:textId="77777777" w:rsidR="00605110" w:rsidRPr="001A193D" w:rsidRDefault="00605110" w:rsidP="00C94FE5">
            <w:pPr>
              <w:spacing w:after="0"/>
              <w:ind w:left="0"/>
              <w:jc w:val="center"/>
              <w:rPr>
                <w:b/>
                <w:i/>
                <w:color w:val="1F3864" w:themeColor="accent5" w:themeShade="80"/>
                <w:szCs w:val="22"/>
              </w:rPr>
            </w:pPr>
            <w:r w:rsidRPr="001A193D">
              <w:rPr>
                <w:rFonts w:cs="Arial"/>
                <w:b/>
                <w:color w:val="1F3864" w:themeColor="accent5" w:themeShade="80"/>
                <w:szCs w:val="22"/>
              </w:rPr>
              <w:t>#</w:t>
            </w:r>
          </w:p>
        </w:tc>
        <w:tc>
          <w:tcPr>
            <w:tcW w:w="1627" w:type="dxa"/>
            <w:shd w:val="clear" w:color="auto" w:fill="DEEAF6" w:themeFill="accent1" w:themeFillTint="33"/>
            <w:vAlign w:val="center"/>
          </w:tcPr>
          <w:p w14:paraId="048B523B" w14:textId="77777777" w:rsidR="00605110" w:rsidRPr="001A193D" w:rsidRDefault="00605110" w:rsidP="006146A0">
            <w:pPr>
              <w:spacing w:after="0"/>
              <w:ind w:left="0"/>
              <w:rPr>
                <w:b/>
                <w:i/>
                <w:color w:val="1F3864" w:themeColor="accent5" w:themeShade="80"/>
                <w:szCs w:val="22"/>
              </w:rPr>
            </w:pPr>
            <w:r w:rsidRPr="001A193D">
              <w:rPr>
                <w:rFonts w:cs="Arial"/>
                <w:b/>
                <w:color w:val="1F3864" w:themeColor="accent5" w:themeShade="80"/>
                <w:szCs w:val="22"/>
              </w:rPr>
              <w:t>Frequency</w:t>
            </w:r>
          </w:p>
        </w:tc>
        <w:tc>
          <w:tcPr>
            <w:tcW w:w="1800" w:type="dxa"/>
            <w:shd w:val="clear" w:color="auto" w:fill="DEEAF6" w:themeFill="accent1" w:themeFillTint="33"/>
            <w:vAlign w:val="center"/>
          </w:tcPr>
          <w:p w14:paraId="6FDE641E" w14:textId="77777777" w:rsidR="00605110" w:rsidRPr="001A193D" w:rsidRDefault="00605110" w:rsidP="006146A0">
            <w:pPr>
              <w:spacing w:after="0"/>
              <w:ind w:left="0"/>
              <w:rPr>
                <w:b/>
                <w:i/>
                <w:color w:val="1F3864" w:themeColor="accent5" w:themeShade="80"/>
                <w:szCs w:val="22"/>
              </w:rPr>
            </w:pPr>
            <w:r w:rsidRPr="001A193D">
              <w:rPr>
                <w:rFonts w:cs="Arial"/>
                <w:b/>
                <w:color w:val="1F3864" w:themeColor="accent5" w:themeShade="80"/>
                <w:szCs w:val="22"/>
              </w:rPr>
              <w:t>Name</w:t>
            </w:r>
          </w:p>
        </w:tc>
        <w:tc>
          <w:tcPr>
            <w:tcW w:w="7070" w:type="dxa"/>
            <w:shd w:val="clear" w:color="auto" w:fill="DEEAF6" w:themeFill="accent1" w:themeFillTint="33"/>
            <w:vAlign w:val="center"/>
          </w:tcPr>
          <w:p w14:paraId="41B3C610" w14:textId="77777777" w:rsidR="00605110" w:rsidRPr="001A193D" w:rsidRDefault="00605110" w:rsidP="006146A0">
            <w:pPr>
              <w:spacing w:after="0"/>
              <w:ind w:left="0"/>
              <w:rPr>
                <w:b/>
                <w:i/>
                <w:color w:val="1F3864" w:themeColor="accent5" w:themeShade="80"/>
                <w:szCs w:val="22"/>
              </w:rPr>
            </w:pPr>
            <w:r w:rsidRPr="001A193D">
              <w:rPr>
                <w:rFonts w:cs="Arial"/>
                <w:b/>
                <w:color w:val="1F3864" w:themeColor="accent5" w:themeShade="80"/>
                <w:szCs w:val="22"/>
              </w:rPr>
              <w:t>Overview</w:t>
            </w:r>
          </w:p>
        </w:tc>
      </w:tr>
      <w:tr w:rsidR="00605110" w:rsidRPr="000E4EAF" w14:paraId="36B584D0" w14:textId="77777777" w:rsidTr="00DF6F9D">
        <w:trPr>
          <w:trHeight w:val="641"/>
        </w:trPr>
        <w:tc>
          <w:tcPr>
            <w:tcW w:w="691" w:type="dxa"/>
            <w:vAlign w:val="center"/>
          </w:tcPr>
          <w:p w14:paraId="3D6C652F" w14:textId="77777777" w:rsidR="00605110" w:rsidRPr="00C94FE5" w:rsidRDefault="00605110" w:rsidP="00C94FE5">
            <w:pPr>
              <w:spacing w:after="0"/>
              <w:ind w:left="0"/>
              <w:jc w:val="center"/>
              <w:rPr>
                <w:rFonts w:cs="Calibri"/>
                <w:color w:val="000000"/>
                <w:szCs w:val="24"/>
              </w:rPr>
            </w:pPr>
            <w:r w:rsidRPr="00C94FE5">
              <w:rPr>
                <w:rFonts w:cs="Calibri"/>
                <w:color w:val="000000"/>
                <w:szCs w:val="24"/>
              </w:rPr>
              <w:t>1</w:t>
            </w:r>
          </w:p>
        </w:tc>
        <w:tc>
          <w:tcPr>
            <w:tcW w:w="1627" w:type="dxa"/>
            <w:vAlign w:val="center"/>
          </w:tcPr>
          <w:p w14:paraId="027291B9" w14:textId="77777777" w:rsidR="00605110" w:rsidRPr="00C94FE5" w:rsidRDefault="00605110" w:rsidP="00C94FE5">
            <w:pPr>
              <w:spacing w:after="0"/>
              <w:ind w:left="0"/>
              <w:rPr>
                <w:rFonts w:cs="Calibri"/>
                <w:color w:val="000000"/>
                <w:szCs w:val="24"/>
              </w:rPr>
            </w:pPr>
            <w:r w:rsidRPr="00C94FE5">
              <w:rPr>
                <w:rFonts w:cs="Calibri"/>
                <w:color w:val="000000"/>
                <w:szCs w:val="24"/>
              </w:rPr>
              <w:t>Monthly</w:t>
            </w:r>
          </w:p>
        </w:tc>
        <w:tc>
          <w:tcPr>
            <w:tcW w:w="1800" w:type="dxa"/>
            <w:vAlign w:val="center"/>
          </w:tcPr>
          <w:p w14:paraId="004D0AED" w14:textId="77777777" w:rsidR="00605110" w:rsidRPr="00C94FE5" w:rsidRDefault="00605110" w:rsidP="00C94FE5">
            <w:pPr>
              <w:spacing w:after="0"/>
              <w:ind w:left="0"/>
              <w:rPr>
                <w:rFonts w:cs="Calibri"/>
                <w:color w:val="000000"/>
                <w:szCs w:val="24"/>
              </w:rPr>
            </w:pPr>
            <w:r w:rsidRPr="00C94FE5">
              <w:rPr>
                <w:rFonts w:cs="Calibri"/>
                <w:color w:val="000000"/>
                <w:szCs w:val="24"/>
              </w:rPr>
              <w:t>Decision Report FR Issues</w:t>
            </w:r>
          </w:p>
        </w:tc>
        <w:tc>
          <w:tcPr>
            <w:tcW w:w="7070" w:type="dxa"/>
            <w:vAlign w:val="center"/>
          </w:tcPr>
          <w:p w14:paraId="26A8D9BA" w14:textId="77777777" w:rsidR="00605110" w:rsidRPr="00C94FE5" w:rsidRDefault="00605110" w:rsidP="00C94FE5">
            <w:pPr>
              <w:spacing w:after="0"/>
              <w:ind w:left="0"/>
              <w:rPr>
                <w:rFonts w:cs="Calibri"/>
                <w:color w:val="000000"/>
                <w:szCs w:val="24"/>
              </w:rPr>
            </w:pPr>
            <w:r w:rsidRPr="00C94FE5">
              <w:rPr>
                <w:rFonts w:cs="Calibri"/>
                <w:color w:val="000000"/>
                <w:szCs w:val="24"/>
              </w:rPr>
              <w:t>Fraud cases reviewed for Appeal Tribunal</w:t>
            </w:r>
          </w:p>
        </w:tc>
      </w:tr>
      <w:tr w:rsidR="00605110" w:rsidRPr="000E4EAF" w14:paraId="39400810" w14:textId="77777777" w:rsidTr="00DF6F9D">
        <w:trPr>
          <w:trHeight w:val="630"/>
        </w:trPr>
        <w:tc>
          <w:tcPr>
            <w:tcW w:w="691" w:type="dxa"/>
            <w:vAlign w:val="center"/>
          </w:tcPr>
          <w:p w14:paraId="6CB4FDBF" w14:textId="77777777" w:rsidR="00605110" w:rsidRPr="00C94FE5" w:rsidRDefault="00605110" w:rsidP="00C94FE5">
            <w:pPr>
              <w:spacing w:after="0"/>
              <w:ind w:left="0"/>
              <w:jc w:val="center"/>
              <w:rPr>
                <w:rFonts w:cs="Calibri"/>
                <w:color w:val="000000"/>
                <w:szCs w:val="24"/>
              </w:rPr>
            </w:pPr>
            <w:r w:rsidRPr="00C94FE5">
              <w:rPr>
                <w:rFonts w:cs="Calibri"/>
                <w:color w:val="000000"/>
                <w:szCs w:val="24"/>
              </w:rPr>
              <w:t>2</w:t>
            </w:r>
          </w:p>
        </w:tc>
        <w:tc>
          <w:tcPr>
            <w:tcW w:w="1627" w:type="dxa"/>
            <w:vAlign w:val="center"/>
          </w:tcPr>
          <w:p w14:paraId="76776E96" w14:textId="77777777" w:rsidR="00605110" w:rsidRPr="00C94FE5" w:rsidRDefault="00605110" w:rsidP="00C94FE5">
            <w:pPr>
              <w:spacing w:after="0"/>
              <w:ind w:left="0"/>
              <w:rPr>
                <w:rFonts w:cs="Calibri"/>
                <w:color w:val="000000"/>
                <w:szCs w:val="24"/>
              </w:rPr>
            </w:pPr>
            <w:r w:rsidRPr="00C94FE5">
              <w:rPr>
                <w:rFonts w:cs="Calibri"/>
                <w:color w:val="000000"/>
                <w:szCs w:val="24"/>
              </w:rPr>
              <w:t>Monthly</w:t>
            </w:r>
          </w:p>
        </w:tc>
        <w:tc>
          <w:tcPr>
            <w:tcW w:w="1800" w:type="dxa"/>
            <w:vAlign w:val="center"/>
          </w:tcPr>
          <w:p w14:paraId="5EDA6767" w14:textId="77777777" w:rsidR="00605110" w:rsidRPr="00C94FE5" w:rsidRDefault="00605110" w:rsidP="00C94FE5">
            <w:pPr>
              <w:spacing w:after="0"/>
              <w:ind w:left="0"/>
              <w:rPr>
                <w:rFonts w:cs="Calibri"/>
                <w:color w:val="000000"/>
                <w:szCs w:val="24"/>
              </w:rPr>
            </w:pPr>
            <w:r w:rsidRPr="00C94FE5">
              <w:rPr>
                <w:rFonts w:cs="Calibri"/>
                <w:color w:val="000000"/>
                <w:szCs w:val="24"/>
              </w:rPr>
              <w:t>BNO230R1</w:t>
            </w:r>
          </w:p>
        </w:tc>
        <w:tc>
          <w:tcPr>
            <w:tcW w:w="7070" w:type="dxa"/>
            <w:vAlign w:val="center"/>
          </w:tcPr>
          <w:p w14:paraId="7BBDBE72" w14:textId="77777777" w:rsidR="00605110" w:rsidRPr="00C94FE5" w:rsidRDefault="00605110" w:rsidP="00C94FE5">
            <w:pPr>
              <w:spacing w:after="0"/>
              <w:ind w:left="0"/>
              <w:rPr>
                <w:rFonts w:cs="Calibri"/>
                <w:color w:val="000000"/>
                <w:szCs w:val="24"/>
              </w:rPr>
            </w:pPr>
            <w:r w:rsidRPr="00C94FE5">
              <w:rPr>
                <w:rFonts w:cs="Calibri"/>
                <w:color w:val="000000"/>
                <w:szCs w:val="24"/>
              </w:rPr>
              <w:t>Overpayment Detection/Recovery Activities</w:t>
            </w:r>
          </w:p>
        </w:tc>
      </w:tr>
      <w:tr w:rsidR="00605110" w:rsidRPr="000E4EAF" w14:paraId="12610670" w14:textId="77777777" w:rsidTr="00DF6F9D">
        <w:trPr>
          <w:trHeight w:val="630"/>
        </w:trPr>
        <w:tc>
          <w:tcPr>
            <w:tcW w:w="691" w:type="dxa"/>
            <w:vAlign w:val="center"/>
          </w:tcPr>
          <w:p w14:paraId="68820FF9" w14:textId="77777777" w:rsidR="00605110" w:rsidRPr="00C94FE5" w:rsidRDefault="00605110" w:rsidP="00C94FE5">
            <w:pPr>
              <w:spacing w:after="0"/>
              <w:ind w:left="0"/>
              <w:jc w:val="center"/>
              <w:rPr>
                <w:rFonts w:cs="Calibri"/>
                <w:color w:val="000000"/>
                <w:szCs w:val="24"/>
              </w:rPr>
            </w:pPr>
            <w:r w:rsidRPr="00C94FE5">
              <w:rPr>
                <w:rFonts w:cs="Calibri"/>
                <w:color w:val="000000"/>
                <w:szCs w:val="24"/>
              </w:rPr>
              <w:t>3</w:t>
            </w:r>
          </w:p>
        </w:tc>
        <w:tc>
          <w:tcPr>
            <w:tcW w:w="1627" w:type="dxa"/>
            <w:vAlign w:val="center"/>
          </w:tcPr>
          <w:p w14:paraId="60ABAC35" w14:textId="77777777" w:rsidR="00605110" w:rsidRPr="00C94FE5" w:rsidRDefault="00605110" w:rsidP="00C94FE5">
            <w:pPr>
              <w:spacing w:after="0"/>
              <w:ind w:left="0"/>
              <w:rPr>
                <w:rFonts w:cs="Calibri"/>
                <w:color w:val="000000"/>
                <w:szCs w:val="24"/>
              </w:rPr>
            </w:pPr>
            <w:r w:rsidRPr="00C94FE5">
              <w:rPr>
                <w:rFonts w:cs="Calibri"/>
                <w:color w:val="000000"/>
                <w:szCs w:val="24"/>
              </w:rPr>
              <w:t>Monthly</w:t>
            </w:r>
          </w:p>
        </w:tc>
        <w:tc>
          <w:tcPr>
            <w:tcW w:w="1800" w:type="dxa"/>
            <w:vAlign w:val="center"/>
          </w:tcPr>
          <w:p w14:paraId="34FA448C" w14:textId="77777777" w:rsidR="00605110" w:rsidRPr="00C94FE5" w:rsidRDefault="00605110" w:rsidP="00C94FE5">
            <w:pPr>
              <w:spacing w:after="0"/>
              <w:ind w:left="0"/>
              <w:rPr>
                <w:rFonts w:cs="Calibri"/>
                <w:color w:val="000000"/>
                <w:szCs w:val="24"/>
              </w:rPr>
            </w:pPr>
            <w:r w:rsidRPr="00C94FE5">
              <w:rPr>
                <w:rFonts w:cs="Calibri"/>
                <w:color w:val="000000"/>
                <w:szCs w:val="24"/>
              </w:rPr>
              <w:t>BNO396R0</w:t>
            </w:r>
          </w:p>
        </w:tc>
        <w:tc>
          <w:tcPr>
            <w:tcW w:w="7070" w:type="dxa"/>
            <w:vAlign w:val="center"/>
          </w:tcPr>
          <w:p w14:paraId="002479CB" w14:textId="77777777" w:rsidR="00605110" w:rsidRPr="00C94FE5" w:rsidRDefault="00605110" w:rsidP="00C94FE5">
            <w:pPr>
              <w:spacing w:after="0"/>
              <w:ind w:left="0"/>
              <w:rPr>
                <w:rFonts w:cs="Calibri"/>
                <w:color w:val="000000"/>
                <w:szCs w:val="24"/>
              </w:rPr>
            </w:pPr>
            <w:r w:rsidRPr="00C94FE5">
              <w:rPr>
                <w:rFonts w:cs="Calibri"/>
                <w:color w:val="000000"/>
                <w:szCs w:val="24"/>
              </w:rPr>
              <w:t>Monthly EVF Error Report</w:t>
            </w:r>
          </w:p>
        </w:tc>
      </w:tr>
      <w:tr w:rsidR="00605110" w:rsidRPr="000E4EAF" w14:paraId="4E4E2057" w14:textId="77777777" w:rsidTr="00DF6F9D">
        <w:trPr>
          <w:trHeight w:val="630"/>
        </w:trPr>
        <w:tc>
          <w:tcPr>
            <w:tcW w:w="691" w:type="dxa"/>
            <w:vAlign w:val="center"/>
          </w:tcPr>
          <w:p w14:paraId="2F40B82D" w14:textId="77777777" w:rsidR="00605110" w:rsidRPr="00C94FE5" w:rsidRDefault="00605110" w:rsidP="00C94FE5">
            <w:pPr>
              <w:spacing w:after="0"/>
              <w:ind w:left="0"/>
              <w:jc w:val="center"/>
              <w:rPr>
                <w:rFonts w:cs="Calibri"/>
                <w:color w:val="000000"/>
                <w:szCs w:val="24"/>
              </w:rPr>
            </w:pPr>
            <w:r w:rsidRPr="00C94FE5">
              <w:rPr>
                <w:rFonts w:cs="Calibri"/>
                <w:color w:val="000000"/>
                <w:szCs w:val="24"/>
              </w:rPr>
              <w:t>4</w:t>
            </w:r>
          </w:p>
        </w:tc>
        <w:tc>
          <w:tcPr>
            <w:tcW w:w="1627" w:type="dxa"/>
            <w:vAlign w:val="center"/>
          </w:tcPr>
          <w:p w14:paraId="60E6751D" w14:textId="77777777" w:rsidR="00605110" w:rsidRPr="00C94FE5" w:rsidRDefault="00605110" w:rsidP="00C94FE5">
            <w:pPr>
              <w:spacing w:after="0"/>
              <w:ind w:left="0"/>
              <w:rPr>
                <w:rFonts w:cs="Calibri"/>
                <w:color w:val="000000"/>
                <w:szCs w:val="24"/>
              </w:rPr>
            </w:pPr>
            <w:r w:rsidRPr="00C94FE5">
              <w:rPr>
                <w:rFonts w:cs="Calibri"/>
                <w:color w:val="000000"/>
                <w:szCs w:val="24"/>
              </w:rPr>
              <w:t>Monthly</w:t>
            </w:r>
          </w:p>
        </w:tc>
        <w:tc>
          <w:tcPr>
            <w:tcW w:w="1800" w:type="dxa"/>
            <w:vAlign w:val="center"/>
          </w:tcPr>
          <w:p w14:paraId="0427B2A1" w14:textId="77777777" w:rsidR="00605110" w:rsidRPr="00C94FE5" w:rsidRDefault="00605110" w:rsidP="00C94FE5">
            <w:pPr>
              <w:spacing w:after="0"/>
              <w:ind w:left="0"/>
              <w:rPr>
                <w:rFonts w:cs="Calibri"/>
                <w:color w:val="000000"/>
                <w:szCs w:val="24"/>
              </w:rPr>
            </w:pPr>
            <w:r w:rsidRPr="00C94FE5">
              <w:rPr>
                <w:rFonts w:cs="Calibri"/>
                <w:color w:val="000000"/>
                <w:szCs w:val="24"/>
              </w:rPr>
              <w:t>BNO396R1</w:t>
            </w:r>
          </w:p>
        </w:tc>
        <w:tc>
          <w:tcPr>
            <w:tcW w:w="7070" w:type="dxa"/>
            <w:vAlign w:val="center"/>
          </w:tcPr>
          <w:p w14:paraId="01FC7CD8" w14:textId="77777777" w:rsidR="00605110" w:rsidRPr="00C94FE5" w:rsidRDefault="00605110" w:rsidP="00C94FE5">
            <w:pPr>
              <w:spacing w:after="0"/>
              <w:ind w:left="0"/>
              <w:rPr>
                <w:rFonts w:cs="Calibri"/>
                <w:color w:val="000000"/>
                <w:szCs w:val="24"/>
              </w:rPr>
            </w:pPr>
            <w:r w:rsidRPr="00C94FE5">
              <w:rPr>
                <w:rFonts w:cs="Calibri"/>
                <w:color w:val="000000"/>
                <w:szCs w:val="24"/>
              </w:rPr>
              <w:t>Monthly Perf. And Assign. Analysis Report</w:t>
            </w:r>
          </w:p>
        </w:tc>
      </w:tr>
      <w:tr w:rsidR="00605110" w:rsidRPr="000E4EAF" w14:paraId="0773F14E" w14:textId="77777777" w:rsidTr="00DF6F9D">
        <w:trPr>
          <w:trHeight w:val="383"/>
        </w:trPr>
        <w:tc>
          <w:tcPr>
            <w:tcW w:w="691" w:type="dxa"/>
            <w:vAlign w:val="center"/>
          </w:tcPr>
          <w:p w14:paraId="263B9A74" w14:textId="77777777" w:rsidR="00605110" w:rsidRPr="00C94FE5" w:rsidRDefault="00605110" w:rsidP="00C94FE5">
            <w:pPr>
              <w:spacing w:after="0"/>
              <w:ind w:left="0"/>
              <w:jc w:val="center"/>
              <w:rPr>
                <w:rFonts w:cs="Calibri"/>
                <w:color w:val="000000"/>
                <w:szCs w:val="24"/>
              </w:rPr>
            </w:pPr>
            <w:r w:rsidRPr="00C94FE5">
              <w:rPr>
                <w:rFonts w:cs="Calibri"/>
                <w:color w:val="000000"/>
                <w:szCs w:val="24"/>
              </w:rPr>
              <w:t>5</w:t>
            </w:r>
          </w:p>
        </w:tc>
        <w:tc>
          <w:tcPr>
            <w:tcW w:w="1627" w:type="dxa"/>
            <w:vAlign w:val="center"/>
          </w:tcPr>
          <w:p w14:paraId="57A10D62" w14:textId="77777777" w:rsidR="00605110" w:rsidRPr="00C94FE5" w:rsidRDefault="00605110" w:rsidP="00C94FE5">
            <w:pPr>
              <w:spacing w:after="0"/>
              <w:ind w:left="0"/>
              <w:rPr>
                <w:rFonts w:cs="Calibri"/>
                <w:color w:val="000000"/>
                <w:szCs w:val="24"/>
              </w:rPr>
            </w:pPr>
            <w:r w:rsidRPr="00C94FE5">
              <w:rPr>
                <w:rFonts w:cs="Calibri"/>
                <w:color w:val="000000"/>
                <w:szCs w:val="24"/>
              </w:rPr>
              <w:t>Monthly</w:t>
            </w:r>
          </w:p>
        </w:tc>
        <w:tc>
          <w:tcPr>
            <w:tcW w:w="1800" w:type="dxa"/>
            <w:vAlign w:val="center"/>
          </w:tcPr>
          <w:p w14:paraId="588B601C" w14:textId="77777777" w:rsidR="00605110" w:rsidRPr="00C94FE5" w:rsidRDefault="00605110" w:rsidP="00C94FE5">
            <w:pPr>
              <w:spacing w:after="0"/>
              <w:ind w:left="0"/>
              <w:rPr>
                <w:rFonts w:cs="Calibri"/>
                <w:color w:val="000000"/>
                <w:szCs w:val="24"/>
              </w:rPr>
            </w:pPr>
            <w:r w:rsidRPr="00C94FE5">
              <w:rPr>
                <w:rFonts w:cs="Calibri"/>
                <w:color w:val="000000"/>
                <w:szCs w:val="24"/>
              </w:rPr>
              <w:t>BNO396R2</w:t>
            </w:r>
          </w:p>
        </w:tc>
        <w:tc>
          <w:tcPr>
            <w:tcW w:w="7070" w:type="dxa"/>
            <w:vAlign w:val="center"/>
          </w:tcPr>
          <w:p w14:paraId="75F30782" w14:textId="77777777" w:rsidR="00605110" w:rsidRPr="00C94FE5" w:rsidRDefault="00605110" w:rsidP="00C94FE5">
            <w:pPr>
              <w:spacing w:after="0"/>
              <w:ind w:left="0"/>
              <w:rPr>
                <w:rFonts w:cs="Calibri"/>
                <w:color w:val="000000"/>
                <w:szCs w:val="24"/>
              </w:rPr>
            </w:pPr>
            <w:r w:rsidRPr="00C94FE5">
              <w:rPr>
                <w:rFonts w:cs="Calibri"/>
                <w:color w:val="000000"/>
                <w:szCs w:val="24"/>
              </w:rPr>
              <w:t>Monthly Cross-match Analysis Report</w:t>
            </w:r>
          </w:p>
        </w:tc>
      </w:tr>
      <w:tr w:rsidR="00605110" w:rsidRPr="000E4EAF" w14:paraId="0B3DD499" w14:textId="77777777" w:rsidTr="00DF6F9D">
        <w:trPr>
          <w:trHeight w:val="383"/>
        </w:trPr>
        <w:tc>
          <w:tcPr>
            <w:tcW w:w="691" w:type="dxa"/>
            <w:vAlign w:val="center"/>
          </w:tcPr>
          <w:p w14:paraId="05FCE02E" w14:textId="77777777" w:rsidR="00605110" w:rsidRPr="00C94FE5" w:rsidRDefault="00605110" w:rsidP="00C94FE5">
            <w:pPr>
              <w:spacing w:after="0"/>
              <w:ind w:left="0"/>
              <w:jc w:val="center"/>
              <w:rPr>
                <w:rFonts w:cs="Calibri"/>
                <w:color w:val="000000"/>
                <w:szCs w:val="24"/>
              </w:rPr>
            </w:pPr>
            <w:r w:rsidRPr="00C94FE5">
              <w:rPr>
                <w:rFonts w:cs="Calibri"/>
                <w:color w:val="000000"/>
                <w:szCs w:val="24"/>
              </w:rPr>
              <w:t>6</w:t>
            </w:r>
          </w:p>
        </w:tc>
        <w:tc>
          <w:tcPr>
            <w:tcW w:w="1627" w:type="dxa"/>
            <w:vAlign w:val="center"/>
          </w:tcPr>
          <w:p w14:paraId="513109F2" w14:textId="77777777" w:rsidR="00605110" w:rsidRPr="00C94FE5" w:rsidRDefault="00605110" w:rsidP="00C94FE5">
            <w:pPr>
              <w:spacing w:after="0"/>
              <w:ind w:left="0"/>
              <w:rPr>
                <w:rFonts w:cs="Calibri"/>
                <w:color w:val="000000"/>
                <w:szCs w:val="24"/>
              </w:rPr>
            </w:pPr>
            <w:r w:rsidRPr="00C94FE5">
              <w:rPr>
                <w:rFonts w:cs="Calibri"/>
                <w:color w:val="000000"/>
                <w:szCs w:val="24"/>
              </w:rPr>
              <w:t>Monthly</w:t>
            </w:r>
          </w:p>
        </w:tc>
        <w:tc>
          <w:tcPr>
            <w:tcW w:w="1800" w:type="dxa"/>
            <w:vAlign w:val="center"/>
          </w:tcPr>
          <w:p w14:paraId="61575C75" w14:textId="77777777" w:rsidR="00605110" w:rsidRPr="00C94FE5" w:rsidRDefault="00605110" w:rsidP="00C94FE5">
            <w:pPr>
              <w:spacing w:after="0"/>
              <w:ind w:left="0"/>
              <w:rPr>
                <w:rFonts w:cs="Calibri"/>
                <w:color w:val="000000"/>
                <w:szCs w:val="24"/>
              </w:rPr>
            </w:pPr>
            <w:r w:rsidRPr="00C94FE5">
              <w:rPr>
                <w:rFonts w:cs="Calibri"/>
                <w:color w:val="000000"/>
                <w:szCs w:val="24"/>
              </w:rPr>
              <w:t>BNO396R3</w:t>
            </w:r>
          </w:p>
        </w:tc>
        <w:tc>
          <w:tcPr>
            <w:tcW w:w="7070" w:type="dxa"/>
            <w:vAlign w:val="center"/>
          </w:tcPr>
          <w:p w14:paraId="6F82E2A5" w14:textId="77777777" w:rsidR="00605110" w:rsidRPr="00C94FE5" w:rsidRDefault="00605110" w:rsidP="00C94FE5">
            <w:pPr>
              <w:spacing w:after="0"/>
              <w:ind w:left="0"/>
              <w:rPr>
                <w:rFonts w:cs="Calibri"/>
                <w:color w:val="000000"/>
                <w:szCs w:val="24"/>
              </w:rPr>
            </w:pPr>
            <w:r w:rsidRPr="00C94FE5">
              <w:rPr>
                <w:rFonts w:cs="Calibri"/>
                <w:color w:val="000000"/>
                <w:szCs w:val="24"/>
              </w:rPr>
              <w:t>Monthly Employer/Claimant Response Report</w:t>
            </w:r>
          </w:p>
        </w:tc>
      </w:tr>
      <w:tr w:rsidR="00605110" w:rsidRPr="000E4EAF" w14:paraId="7C90F036" w14:textId="77777777" w:rsidTr="00DF6F9D">
        <w:trPr>
          <w:trHeight w:val="383"/>
        </w:trPr>
        <w:tc>
          <w:tcPr>
            <w:tcW w:w="691" w:type="dxa"/>
            <w:vAlign w:val="center"/>
          </w:tcPr>
          <w:p w14:paraId="5E11A069" w14:textId="77777777" w:rsidR="00605110" w:rsidRPr="00C94FE5" w:rsidRDefault="00605110" w:rsidP="00C94FE5">
            <w:pPr>
              <w:spacing w:after="0"/>
              <w:ind w:left="0"/>
              <w:jc w:val="center"/>
              <w:rPr>
                <w:rFonts w:cs="Calibri"/>
                <w:color w:val="000000"/>
                <w:szCs w:val="24"/>
              </w:rPr>
            </w:pPr>
            <w:r w:rsidRPr="00C94FE5">
              <w:rPr>
                <w:rFonts w:cs="Calibri"/>
                <w:color w:val="000000"/>
                <w:szCs w:val="24"/>
              </w:rPr>
              <w:t>7</w:t>
            </w:r>
          </w:p>
        </w:tc>
        <w:tc>
          <w:tcPr>
            <w:tcW w:w="1627" w:type="dxa"/>
            <w:vAlign w:val="center"/>
          </w:tcPr>
          <w:p w14:paraId="6543CA23" w14:textId="77777777" w:rsidR="00605110" w:rsidRPr="00C94FE5" w:rsidRDefault="00605110" w:rsidP="00C94FE5">
            <w:pPr>
              <w:spacing w:after="0"/>
              <w:ind w:left="0"/>
              <w:rPr>
                <w:rFonts w:cs="Calibri"/>
                <w:color w:val="000000"/>
                <w:szCs w:val="24"/>
              </w:rPr>
            </w:pPr>
            <w:r w:rsidRPr="00C94FE5">
              <w:rPr>
                <w:rFonts w:cs="Calibri"/>
                <w:color w:val="000000"/>
                <w:szCs w:val="24"/>
              </w:rPr>
              <w:t>Monthly</w:t>
            </w:r>
          </w:p>
        </w:tc>
        <w:tc>
          <w:tcPr>
            <w:tcW w:w="1800" w:type="dxa"/>
            <w:vAlign w:val="center"/>
          </w:tcPr>
          <w:p w14:paraId="74AE936D" w14:textId="77777777" w:rsidR="00605110" w:rsidRPr="00C94FE5" w:rsidRDefault="00605110" w:rsidP="00C94FE5">
            <w:pPr>
              <w:spacing w:after="0"/>
              <w:ind w:left="0"/>
              <w:rPr>
                <w:rFonts w:cs="Calibri"/>
                <w:color w:val="000000"/>
                <w:szCs w:val="24"/>
              </w:rPr>
            </w:pPr>
            <w:r w:rsidRPr="00C94FE5">
              <w:rPr>
                <w:rFonts w:cs="Calibri"/>
                <w:color w:val="000000"/>
                <w:szCs w:val="24"/>
              </w:rPr>
              <w:t>BNO396R4</w:t>
            </w:r>
          </w:p>
        </w:tc>
        <w:tc>
          <w:tcPr>
            <w:tcW w:w="7070" w:type="dxa"/>
            <w:vAlign w:val="center"/>
          </w:tcPr>
          <w:p w14:paraId="685AC052" w14:textId="77777777" w:rsidR="00605110" w:rsidRPr="00C94FE5" w:rsidRDefault="00605110" w:rsidP="00C94FE5">
            <w:pPr>
              <w:spacing w:after="0"/>
              <w:ind w:left="0"/>
              <w:rPr>
                <w:rFonts w:cs="Calibri"/>
                <w:color w:val="000000"/>
                <w:szCs w:val="24"/>
              </w:rPr>
            </w:pPr>
            <w:r w:rsidRPr="00C94FE5">
              <w:rPr>
                <w:rFonts w:cs="Calibri"/>
                <w:color w:val="000000"/>
                <w:szCs w:val="24"/>
              </w:rPr>
              <w:t>Monthly Error Log Analysis</w:t>
            </w:r>
          </w:p>
        </w:tc>
      </w:tr>
      <w:tr w:rsidR="00605110" w:rsidRPr="000E4EAF" w14:paraId="38D1357C" w14:textId="77777777" w:rsidTr="00DF6F9D">
        <w:trPr>
          <w:trHeight w:val="383"/>
        </w:trPr>
        <w:tc>
          <w:tcPr>
            <w:tcW w:w="691" w:type="dxa"/>
            <w:vAlign w:val="center"/>
          </w:tcPr>
          <w:p w14:paraId="5F5C536F" w14:textId="77777777" w:rsidR="00605110" w:rsidRPr="00C94FE5" w:rsidRDefault="00605110" w:rsidP="00C94FE5">
            <w:pPr>
              <w:spacing w:after="0"/>
              <w:ind w:left="0"/>
              <w:jc w:val="center"/>
              <w:rPr>
                <w:rFonts w:cs="Calibri"/>
                <w:color w:val="000000"/>
                <w:szCs w:val="24"/>
              </w:rPr>
            </w:pPr>
            <w:r w:rsidRPr="00C94FE5">
              <w:rPr>
                <w:rFonts w:cs="Calibri"/>
                <w:color w:val="000000"/>
                <w:szCs w:val="24"/>
              </w:rPr>
              <w:t>8</w:t>
            </w:r>
          </w:p>
        </w:tc>
        <w:tc>
          <w:tcPr>
            <w:tcW w:w="1627" w:type="dxa"/>
            <w:vAlign w:val="center"/>
          </w:tcPr>
          <w:p w14:paraId="73F9A110" w14:textId="658CF3BE" w:rsidR="00605110" w:rsidRPr="00C94FE5" w:rsidRDefault="009377AD" w:rsidP="00C94FE5">
            <w:pPr>
              <w:spacing w:after="0"/>
              <w:ind w:left="0"/>
              <w:rPr>
                <w:rFonts w:cs="Calibri"/>
                <w:color w:val="000000"/>
                <w:szCs w:val="24"/>
              </w:rPr>
            </w:pPr>
            <w:r w:rsidRPr="00C94FE5">
              <w:rPr>
                <w:rFonts w:cs="Calibri"/>
                <w:color w:val="000000"/>
                <w:szCs w:val="24"/>
              </w:rPr>
              <w:t>Daily</w:t>
            </w:r>
          </w:p>
        </w:tc>
        <w:tc>
          <w:tcPr>
            <w:tcW w:w="1800" w:type="dxa"/>
            <w:vAlign w:val="center"/>
          </w:tcPr>
          <w:p w14:paraId="4AA4D78D" w14:textId="77777777" w:rsidR="00605110" w:rsidRPr="00C94FE5" w:rsidRDefault="00605110" w:rsidP="00C94FE5">
            <w:pPr>
              <w:spacing w:after="0"/>
              <w:ind w:left="0"/>
              <w:rPr>
                <w:rFonts w:cs="Calibri"/>
                <w:color w:val="000000"/>
                <w:szCs w:val="24"/>
              </w:rPr>
            </w:pPr>
            <w:r w:rsidRPr="00C94FE5">
              <w:rPr>
                <w:rFonts w:cs="Calibri"/>
                <w:color w:val="000000"/>
                <w:szCs w:val="24"/>
              </w:rPr>
              <w:t>BNO195R0</w:t>
            </w:r>
          </w:p>
        </w:tc>
        <w:tc>
          <w:tcPr>
            <w:tcW w:w="7070" w:type="dxa"/>
            <w:vAlign w:val="center"/>
          </w:tcPr>
          <w:p w14:paraId="30EE1610" w14:textId="77777777" w:rsidR="00605110" w:rsidRPr="00C94FE5" w:rsidRDefault="00605110" w:rsidP="00C94FE5">
            <w:pPr>
              <w:spacing w:after="0"/>
              <w:ind w:left="0"/>
              <w:rPr>
                <w:rFonts w:cs="Calibri"/>
                <w:color w:val="000000"/>
                <w:szCs w:val="24"/>
              </w:rPr>
            </w:pPr>
            <w:r w:rsidRPr="00C94FE5">
              <w:rPr>
                <w:rFonts w:cs="Calibri"/>
                <w:color w:val="000000"/>
                <w:szCs w:val="24"/>
              </w:rPr>
              <w:t>New Hire Audit Summary</w:t>
            </w:r>
          </w:p>
        </w:tc>
      </w:tr>
      <w:tr w:rsidR="00605110" w:rsidRPr="000E4EAF" w14:paraId="1B502FD0" w14:textId="77777777" w:rsidTr="00DF6F9D">
        <w:trPr>
          <w:trHeight w:val="383"/>
        </w:trPr>
        <w:tc>
          <w:tcPr>
            <w:tcW w:w="691" w:type="dxa"/>
            <w:vAlign w:val="center"/>
          </w:tcPr>
          <w:p w14:paraId="4CFDAF70" w14:textId="77777777" w:rsidR="00605110" w:rsidRPr="00C94FE5" w:rsidRDefault="00605110" w:rsidP="00C94FE5">
            <w:pPr>
              <w:spacing w:after="0"/>
              <w:ind w:left="0"/>
              <w:jc w:val="center"/>
              <w:rPr>
                <w:rFonts w:cs="Calibri"/>
                <w:color w:val="000000"/>
                <w:szCs w:val="24"/>
              </w:rPr>
            </w:pPr>
            <w:r w:rsidRPr="00C94FE5">
              <w:rPr>
                <w:rFonts w:cs="Calibri"/>
                <w:color w:val="000000"/>
                <w:szCs w:val="24"/>
              </w:rPr>
              <w:t>9</w:t>
            </w:r>
          </w:p>
        </w:tc>
        <w:tc>
          <w:tcPr>
            <w:tcW w:w="1627" w:type="dxa"/>
            <w:vAlign w:val="center"/>
          </w:tcPr>
          <w:p w14:paraId="3B4029EA" w14:textId="25BA89C3" w:rsidR="00605110" w:rsidRPr="00C94FE5" w:rsidRDefault="009377AD" w:rsidP="00C94FE5">
            <w:pPr>
              <w:spacing w:after="0"/>
              <w:ind w:left="0"/>
              <w:rPr>
                <w:rFonts w:cs="Calibri"/>
                <w:color w:val="000000"/>
                <w:szCs w:val="24"/>
              </w:rPr>
            </w:pPr>
            <w:r w:rsidRPr="00C94FE5">
              <w:rPr>
                <w:rFonts w:cs="Calibri"/>
                <w:color w:val="000000"/>
                <w:szCs w:val="24"/>
              </w:rPr>
              <w:t>Daily</w:t>
            </w:r>
          </w:p>
        </w:tc>
        <w:tc>
          <w:tcPr>
            <w:tcW w:w="1800" w:type="dxa"/>
            <w:vAlign w:val="center"/>
          </w:tcPr>
          <w:p w14:paraId="2794C1C3" w14:textId="77777777" w:rsidR="00605110" w:rsidRPr="00C94FE5" w:rsidRDefault="00605110" w:rsidP="00C94FE5">
            <w:pPr>
              <w:spacing w:after="0"/>
              <w:ind w:left="0"/>
              <w:rPr>
                <w:rFonts w:cs="Calibri"/>
                <w:color w:val="000000"/>
                <w:szCs w:val="24"/>
              </w:rPr>
            </w:pPr>
            <w:r w:rsidRPr="00C94FE5">
              <w:rPr>
                <w:rFonts w:cs="Calibri"/>
                <w:color w:val="000000"/>
                <w:szCs w:val="24"/>
              </w:rPr>
              <w:t>BNDO196</w:t>
            </w:r>
          </w:p>
        </w:tc>
        <w:tc>
          <w:tcPr>
            <w:tcW w:w="7070" w:type="dxa"/>
            <w:vAlign w:val="center"/>
          </w:tcPr>
          <w:p w14:paraId="10DA21D2" w14:textId="77777777" w:rsidR="00605110" w:rsidRPr="00C94FE5" w:rsidRDefault="00605110" w:rsidP="00C94FE5">
            <w:pPr>
              <w:spacing w:after="0"/>
              <w:ind w:left="0"/>
              <w:rPr>
                <w:rFonts w:cs="Calibri"/>
                <w:color w:val="000000"/>
                <w:szCs w:val="24"/>
              </w:rPr>
            </w:pPr>
            <w:r w:rsidRPr="00C94FE5">
              <w:rPr>
                <w:rFonts w:cs="Calibri"/>
                <w:color w:val="000000"/>
                <w:szCs w:val="24"/>
              </w:rPr>
              <w:t>NH Contact Request sent</w:t>
            </w:r>
          </w:p>
        </w:tc>
      </w:tr>
      <w:tr w:rsidR="00605110" w:rsidRPr="000E4EAF" w14:paraId="018C9DB5" w14:textId="77777777" w:rsidTr="00DF6F9D">
        <w:trPr>
          <w:trHeight w:val="383"/>
        </w:trPr>
        <w:tc>
          <w:tcPr>
            <w:tcW w:w="691" w:type="dxa"/>
            <w:vAlign w:val="center"/>
          </w:tcPr>
          <w:p w14:paraId="6E46ECB7" w14:textId="77777777" w:rsidR="00605110" w:rsidRPr="00C94FE5" w:rsidRDefault="00605110" w:rsidP="00C94FE5">
            <w:pPr>
              <w:spacing w:after="0"/>
              <w:ind w:left="0"/>
              <w:jc w:val="center"/>
              <w:rPr>
                <w:rFonts w:cs="Calibri"/>
                <w:color w:val="000000"/>
                <w:szCs w:val="24"/>
              </w:rPr>
            </w:pPr>
            <w:r w:rsidRPr="00C94FE5">
              <w:rPr>
                <w:rFonts w:cs="Calibri"/>
                <w:color w:val="000000"/>
                <w:szCs w:val="24"/>
              </w:rPr>
              <w:t>10</w:t>
            </w:r>
          </w:p>
        </w:tc>
        <w:tc>
          <w:tcPr>
            <w:tcW w:w="1627" w:type="dxa"/>
            <w:vAlign w:val="center"/>
          </w:tcPr>
          <w:p w14:paraId="31F4247D" w14:textId="77777777" w:rsidR="00605110" w:rsidRPr="00C94FE5" w:rsidRDefault="00605110" w:rsidP="00C94FE5">
            <w:pPr>
              <w:spacing w:after="0"/>
              <w:ind w:left="0"/>
              <w:rPr>
                <w:rFonts w:cs="Calibri"/>
                <w:color w:val="000000"/>
                <w:szCs w:val="24"/>
              </w:rPr>
            </w:pPr>
            <w:r w:rsidRPr="00C94FE5">
              <w:rPr>
                <w:rFonts w:cs="Calibri"/>
                <w:color w:val="000000"/>
                <w:szCs w:val="24"/>
              </w:rPr>
              <w:t>Daily</w:t>
            </w:r>
          </w:p>
        </w:tc>
        <w:tc>
          <w:tcPr>
            <w:tcW w:w="1800" w:type="dxa"/>
            <w:vAlign w:val="center"/>
          </w:tcPr>
          <w:p w14:paraId="7E289A8F" w14:textId="77777777" w:rsidR="00605110" w:rsidRPr="00C94FE5" w:rsidRDefault="00605110" w:rsidP="00C94FE5">
            <w:pPr>
              <w:spacing w:after="0"/>
              <w:ind w:left="0"/>
              <w:rPr>
                <w:rFonts w:cs="Calibri"/>
                <w:color w:val="000000"/>
                <w:szCs w:val="24"/>
              </w:rPr>
            </w:pPr>
            <w:r w:rsidRPr="00C94FE5">
              <w:rPr>
                <w:rFonts w:cs="Calibri"/>
                <w:color w:val="000000"/>
                <w:szCs w:val="24"/>
              </w:rPr>
              <w:t>BNDO090P</w:t>
            </w:r>
          </w:p>
        </w:tc>
        <w:tc>
          <w:tcPr>
            <w:tcW w:w="7070" w:type="dxa"/>
            <w:vAlign w:val="center"/>
          </w:tcPr>
          <w:p w14:paraId="76BE6744" w14:textId="77777777" w:rsidR="00605110" w:rsidRPr="00C94FE5" w:rsidRDefault="00605110" w:rsidP="00C94FE5">
            <w:pPr>
              <w:spacing w:after="0"/>
              <w:ind w:left="0"/>
              <w:rPr>
                <w:rFonts w:cs="Calibri"/>
                <w:color w:val="000000"/>
                <w:szCs w:val="24"/>
              </w:rPr>
            </w:pPr>
            <w:r w:rsidRPr="00C94FE5">
              <w:rPr>
                <w:rFonts w:cs="Calibri"/>
                <w:color w:val="000000"/>
                <w:szCs w:val="24"/>
              </w:rPr>
              <w:t>EVF Request Report by Entity</w:t>
            </w:r>
          </w:p>
        </w:tc>
      </w:tr>
      <w:tr w:rsidR="00605110" w:rsidRPr="000E4EAF" w14:paraId="5E264616" w14:textId="77777777" w:rsidTr="00DF6F9D">
        <w:trPr>
          <w:trHeight w:val="383"/>
        </w:trPr>
        <w:tc>
          <w:tcPr>
            <w:tcW w:w="691" w:type="dxa"/>
            <w:vAlign w:val="center"/>
          </w:tcPr>
          <w:p w14:paraId="0A8AE1EE" w14:textId="77777777" w:rsidR="00605110" w:rsidRPr="00C94FE5" w:rsidRDefault="00605110" w:rsidP="00C94FE5">
            <w:pPr>
              <w:spacing w:after="0"/>
              <w:ind w:left="0"/>
              <w:jc w:val="center"/>
              <w:rPr>
                <w:rFonts w:cs="Calibri"/>
                <w:color w:val="000000"/>
                <w:szCs w:val="24"/>
              </w:rPr>
            </w:pPr>
            <w:r w:rsidRPr="00C94FE5">
              <w:rPr>
                <w:rFonts w:cs="Calibri"/>
                <w:color w:val="000000"/>
                <w:szCs w:val="24"/>
              </w:rPr>
              <w:t>11</w:t>
            </w:r>
          </w:p>
        </w:tc>
        <w:tc>
          <w:tcPr>
            <w:tcW w:w="1627" w:type="dxa"/>
            <w:vAlign w:val="center"/>
          </w:tcPr>
          <w:p w14:paraId="0D0A0B48" w14:textId="77777777" w:rsidR="00605110" w:rsidRPr="00C94FE5" w:rsidRDefault="00605110" w:rsidP="00C94FE5">
            <w:pPr>
              <w:spacing w:after="0"/>
              <w:ind w:left="0"/>
              <w:rPr>
                <w:rFonts w:cs="Calibri"/>
                <w:color w:val="000000"/>
                <w:szCs w:val="24"/>
              </w:rPr>
            </w:pPr>
            <w:r w:rsidRPr="00C94FE5">
              <w:rPr>
                <w:rFonts w:cs="Calibri"/>
                <w:color w:val="000000"/>
                <w:szCs w:val="24"/>
              </w:rPr>
              <w:t>Daily</w:t>
            </w:r>
          </w:p>
        </w:tc>
        <w:tc>
          <w:tcPr>
            <w:tcW w:w="1800" w:type="dxa"/>
            <w:vAlign w:val="center"/>
          </w:tcPr>
          <w:p w14:paraId="555F8164" w14:textId="77777777" w:rsidR="00605110" w:rsidRPr="00C94FE5" w:rsidRDefault="00605110" w:rsidP="00C94FE5">
            <w:pPr>
              <w:spacing w:after="0"/>
              <w:ind w:left="0"/>
              <w:rPr>
                <w:rFonts w:cs="Calibri"/>
                <w:color w:val="000000"/>
                <w:szCs w:val="24"/>
              </w:rPr>
            </w:pPr>
            <w:r w:rsidRPr="00C94FE5">
              <w:rPr>
                <w:rFonts w:cs="Calibri"/>
                <w:color w:val="000000"/>
                <w:szCs w:val="24"/>
              </w:rPr>
              <w:t>BND0970A</w:t>
            </w:r>
          </w:p>
        </w:tc>
        <w:tc>
          <w:tcPr>
            <w:tcW w:w="7070" w:type="dxa"/>
            <w:vAlign w:val="center"/>
          </w:tcPr>
          <w:p w14:paraId="4BF3AC50" w14:textId="77777777" w:rsidR="00605110" w:rsidRPr="00C94FE5" w:rsidRDefault="00605110" w:rsidP="00C94FE5">
            <w:pPr>
              <w:spacing w:after="0"/>
              <w:ind w:left="0"/>
              <w:rPr>
                <w:rFonts w:cs="Calibri"/>
                <w:color w:val="000000"/>
                <w:szCs w:val="24"/>
              </w:rPr>
            </w:pPr>
            <w:r w:rsidRPr="00C94FE5">
              <w:rPr>
                <w:rFonts w:cs="Calibri"/>
                <w:color w:val="000000"/>
                <w:szCs w:val="24"/>
              </w:rPr>
              <w:t xml:space="preserve">Blank EVF Deletion </w:t>
            </w:r>
          </w:p>
        </w:tc>
      </w:tr>
      <w:tr w:rsidR="00605110" w:rsidRPr="000E4EAF" w14:paraId="2BF87BA4" w14:textId="77777777" w:rsidTr="00DF6F9D">
        <w:trPr>
          <w:trHeight w:val="383"/>
        </w:trPr>
        <w:tc>
          <w:tcPr>
            <w:tcW w:w="691" w:type="dxa"/>
            <w:vAlign w:val="center"/>
          </w:tcPr>
          <w:p w14:paraId="7D5BAFB3" w14:textId="77777777" w:rsidR="00605110" w:rsidRPr="00C94FE5" w:rsidRDefault="00605110" w:rsidP="00C94FE5">
            <w:pPr>
              <w:spacing w:after="0"/>
              <w:ind w:left="0"/>
              <w:jc w:val="center"/>
              <w:rPr>
                <w:rFonts w:cs="Calibri"/>
                <w:color w:val="000000"/>
                <w:szCs w:val="24"/>
              </w:rPr>
            </w:pPr>
            <w:r w:rsidRPr="00C94FE5">
              <w:rPr>
                <w:rFonts w:cs="Calibri"/>
                <w:color w:val="000000"/>
                <w:szCs w:val="24"/>
              </w:rPr>
              <w:t>12</w:t>
            </w:r>
          </w:p>
        </w:tc>
        <w:tc>
          <w:tcPr>
            <w:tcW w:w="1627" w:type="dxa"/>
            <w:vAlign w:val="center"/>
          </w:tcPr>
          <w:p w14:paraId="417073F1" w14:textId="77777777" w:rsidR="00605110" w:rsidRPr="00C94FE5" w:rsidRDefault="00605110" w:rsidP="00C94FE5">
            <w:pPr>
              <w:spacing w:after="0"/>
              <w:ind w:left="0"/>
              <w:rPr>
                <w:rFonts w:cs="Calibri"/>
                <w:color w:val="000000"/>
                <w:szCs w:val="24"/>
              </w:rPr>
            </w:pPr>
            <w:r w:rsidRPr="00C94FE5">
              <w:rPr>
                <w:rFonts w:cs="Calibri"/>
                <w:color w:val="000000"/>
                <w:szCs w:val="24"/>
              </w:rPr>
              <w:t>Daily</w:t>
            </w:r>
          </w:p>
        </w:tc>
        <w:tc>
          <w:tcPr>
            <w:tcW w:w="1800" w:type="dxa"/>
            <w:vAlign w:val="center"/>
          </w:tcPr>
          <w:p w14:paraId="121CBF97" w14:textId="77777777" w:rsidR="00605110" w:rsidRPr="00C94FE5" w:rsidRDefault="00605110" w:rsidP="00C94FE5">
            <w:pPr>
              <w:spacing w:after="0"/>
              <w:ind w:left="0"/>
              <w:rPr>
                <w:rFonts w:cs="Calibri"/>
                <w:color w:val="000000"/>
                <w:szCs w:val="24"/>
              </w:rPr>
            </w:pPr>
            <w:r w:rsidRPr="00C94FE5">
              <w:rPr>
                <w:rFonts w:cs="Calibri"/>
                <w:color w:val="000000"/>
                <w:szCs w:val="24"/>
              </w:rPr>
              <w:t>BNO108R0</w:t>
            </w:r>
          </w:p>
        </w:tc>
        <w:tc>
          <w:tcPr>
            <w:tcW w:w="7070" w:type="dxa"/>
            <w:vAlign w:val="center"/>
          </w:tcPr>
          <w:p w14:paraId="73EED1EE" w14:textId="77777777" w:rsidR="00605110" w:rsidRPr="00C94FE5" w:rsidRDefault="00605110" w:rsidP="00C94FE5">
            <w:pPr>
              <w:spacing w:after="0"/>
              <w:ind w:left="0"/>
              <w:rPr>
                <w:rFonts w:cs="Calibri"/>
                <w:color w:val="000000"/>
                <w:szCs w:val="24"/>
              </w:rPr>
            </w:pPr>
            <w:r w:rsidRPr="00C94FE5">
              <w:rPr>
                <w:rFonts w:cs="Calibri"/>
                <w:color w:val="000000"/>
                <w:szCs w:val="24"/>
              </w:rPr>
              <w:t>Wage Benefit Interstate Cross-match</w:t>
            </w:r>
          </w:p>
        </w:tc>
      </w:tr>
      <w:tr w:rsidR="00605110" w:rsidRPr="000E4EAF" w14:paraId="22A84DE6" w14:textId="77777777" w:rsidTr="00DF6F9D">
        <w:trPr>
          <w:trHeight w:val="383"/>
        </w:trPr>
        <w:tc>
          <w:tcPr>
            <w:tcW w:w="691" w:type="dxa"/>
            <w:vAlign w:val="center"/>
          </w:tcPr>
          <w:p w14:paraId="76AC16DF" w14:textId="77777777" w:rsidR="00605110" w:rsidRPr="00C94FE5" w:rsidRDefault="00605110" w:rsidP="00C94FE5">
            <w:pPr>
              <w:spacing w:after="0"/>
              <w:ind w:left="0"/>
              <w:jc w:val="center"/>
              <w:rPr>
                <w:rFonts w:cs="Calibri"/>
                <w:color w:val="000000"/>
                <w:szCs w:val="24"/>
              </w:rPr>
            </w:pPr>
            <w:r w:rsidRPr="00C94FE5">
              <w:rPr>
                <w:rFonts w:cs="Calibri"/>
                <w:color w:val="000000"/>
                <w:szCs w:val="24"/>
              </w:rPr>
              <w:t>13</w:t>
            </w:r>
          </w:p>
        </w:tc>
        <w:tc>
          <w:tcPr>
            <w:tcW w:w="1627" w:type="dxa"/>
            <w:vAlign w:val="center"/>
          </w:tcPr>
          <w:p w14:paraId="42F6501D" w14:textId="77777777" w:rsidR="00605110" w:rsidRPr="00C94FE5" w:rsidRDefault="00605110" w:rsidP="00C94FE5">
            <w:pPr>
              <w:spacing w:after="0"/>
              <w:ind w:left="0"/>
              <w:rPr>
                <w:rFonts w:cs="Calibri"/>
                <w:color w:val="000000"/>
                <w:szCs w:val="24"/>
              </w:rPr>
            </w:pPr>
            <w:r w:rsidRPr="00C94FE5">
              <w:rPr>
                <w:rFonts w:cs="Calibri"/>
                <w:color w:val="000000"/>
                <w:szCs w:val="24"/>
              </w:rPr>
              <w:t>Daily</w:t>
            </w:r>
          </w:p>
        </w:tc>
        <w:tc>
          <w:tcPr>
            <w:tcW w:w="1800" w:type="dxa"/>
            <w:vAlign w:val="center"/>
          </w:tcPr>
          <w:p w14:paraId="7E6C3FF9" w14:textId="77777777" w:rsidR="00605110" w:rsidRPr="00C94FE5" w:rsidRDefault="00605110" w:rsidP="00C94FE5">
            <w:pPr>
              <w:spacing w:after="0"/>
              <w:ind w:left="0"/>
              <w:rPr>
                <w:rFonts w:cs="Calibri"/>
                <w:color w:val="000000"/>
                <w:szCs w:val="24"/>
              </w:rPr>
            </w:pPr>
            <w:r w:rsidRPr="00C94FE5">
              <w:rPr>
                <w:rFonts w:cs="Calibri"/>
                <w:color w:val="000000"/>
                <w:szCs w:val="24"/>
              </w:rPr>
              <w:t>BNO369R0</w:t>
            </w:r>
          </w:p>
        </w:tc>
        <w:tc>
          <w:tcPr>
            <w:tcW w:w="7070" w:type="dxa"/>
            <w:vAlign w:val="center"/>
          </w:tcPr>
          <w:p w14:paraId="19DF32B0" w14:textId="77777777" w:rsidR="00605110" w:rsidRPr="00C94FE5" w:rsidRDefault="00605110" w:rsidP="00C94FE5">
            <w:pPr>
              <w:spacing w:after="0"/>
              <w:ind w:left="0"/>
              <w:rPr>
                <w:rFonts w:cs="Calibri"/>
                <w:color w:val="000000"/>
                <w:szCs w:val="24"/>
              </w:rPr>
            </w:pPr>
            <w:r w:rsidRPr="00C94FE5">
              <w:rPr>
                <w:rFonts w:cs="Calibri"/>
                <w:color w:val="000000"/>
                <w:szCs w:val="24"/>
              </w:rPr>
              <w:t>Employer Web Responses Totals Report</w:t>
            </w:r>
          </w:p>
        </w:tc>
      </w:tr>
      <w:tr w:rsidR="00605110" w:rsidRPr="000E4EAF" w14:paraId="6024278E" w14:textId="77777777" w:rsidTr="00DF6F9D">
        <w:trPr>
          <w:trHeight w:val="383"/>
        </w:trPr>
        <w:tc>
          <w:tcPr>
            <w:tcW w:w="691" w:type="dxa"/>
            <w:vAlign w:val="center"/>
          </w:tcPr>
          <w:p w14:paraId="2DC140BB" w14:textId="77777777" w:rsidR="00605110" w:rsidRPr="00C94FE5" w:rsidRDefault="00605110" w:rsidP="00C94FE5">
            <w:pPr>
              <w:spacing w:after="0"/>
              <w:ind w:left="0"/>
              <w:jc w:val="center"/>
              <w:rPr>
                <w:rFonts w:cs="Calibri"/>
                <w:color w:val="000000"/>
                <w:szCs w:val="24"/>
              </w:rPr>
            </w:pPr>
            <w:r w:rsidRPr="00C94FE5">
              <w:rPr>
                <w:rFonts w:cs="Calibri"/>
                <w:color w:val="000000"/>
                <w:szCs w:val="24"/>
              </w:rPr>
              <w:t>14</w:t>
            </w:r>
          </w:p>
        </w:tc>
        <w:tc>
          <w:tcPr>
            <w:tcW w:w="1627" w:type="dxa"/>
            <w:vAlign w:val="center"/>
          </w:tcPr>
          <w:p w14:paraId="69DD070B" w14:textId="77777777" w:rsidR="00605110" w:rsidRPr="00C94FE5" w:rsidRDefault="00605110" w:rsidP="00C94FE5">
            <w:pPr>
              <w:spacing w:after="0"/>
              <w:ind w:left="0"/>
              <w:rPr>
                <w:rFonts w:cs="Calibri"/>
                <w:color w:val="000000"/>
                <w:szCs w:val="24"/>
              </w:rPr>
            </w:pPr>
            <w:r w:rsidRPr="00C94FE5">
              <w:rPr>
                <w:rFonts w:cs="Calibri"/>
                <w:color w:val="000000"/>
                <w:szCs w:val="24"/>
              </w:rPr>
              <w:t>Daily</w:t>
            </w:r>
          </w:p>
        </w:tc>
        <w:tc>
          <w:tcPr>
            <w:tcW w:w="1800" w:type="dxa"/>
            <w:vAlign w:val="center"/>
          </w:tcPr>
          <w:p w14:paraId="5F642B47" w14:textId="77777777" w:rsidR="00605110" w:rsidRPr="00C94FE5" w:rsidRDefault="00605110" w:rsidP="00C94FE5">
            <w:pPr>
              <w:spacing w:after="0"/>
              <w:ind w:left="0"/>
              <w:rPr>
                <w:rFonts w:cs="Calibri"/>
                <w:color w:val="000000"/>
                <w:szCs w:val="24"/>
              </w:rPr>
            </w:pPr>
            <w:r w:rsidRPr="00C94FE5">
              <w:rPr>
                <w:rFonts w:cs="Calibri"/>
                <w:color w:val="000000"/>
                <w:szCs w:val="24"/>
              </w:rPr>
              <w:t>BNO375R0</w:t>
            </w:r>
          </w:p>
        </w:tc>
        <w:tc>
          <w:tcPr>
            <w:tcW w:w="7070" w:type="dxa"/>
            <w:vAlign w:val="center"/>
          </w:tcPr>
          <w:p w14:paraId="20DD2D6B" w14:textId="77777777" w:rsidR="00605110" w:rsidRPr="00C94FE5" w:rsidRDefault="00605110" w:rsidP="00C94FE5">
            <w:pPr>
              <w:spacing w:after="0"/>
              <w:ind w:left="0"/>
              <w:rPr>
                <w:rFonts w:cs="Calibri"/>
                <w:color w:val="000000"/>
                <w:szCs w:val="24"/>
              </w:rPr>
            </w:pPr>
            <w:r w:rsidRPr="00C94FE5">
              <w:rPr>
                <w:rFonts w:cs="Calibri"/>
                <w:color w:val="000000"/>
                <w:szCs w:val="24"/>
              </w:rPr>
              <w:t>Wage Benefit Intrastate Cross Match</w:t>
            </w:r>
          </w:p>
        </w:tc>
      </w:tr>
      <w:tr w:rsidR="00605110" w:rsidRPr="000E4EAF" w14:paraId="330096AA" w14:textId="77777777" w:rsidTr="00DF6F9D">
        <w:trPr>
          <w:trHeight w:val="383"/>
        </w:trPr>
        <w:tc>
          <w:tcPr>
            <w:tcW w:w="691" w:type="dxa"/>
            <w:vAlign w:val="center"/>
          </w:tcPr>
          <w:p w14:paraId="660E4993" w14:textId="77777777" w:rsidR="00605110" w:rsidRPr="00C94FE5" w:rsidRDefault="00605110" w:rsidP="00C94FE5">
            <w:pPr>
              <w:spacing w:after="0"/>
              <w:ind w:left="0"/>
              <w:jc w:val="center"/>
              <w:rPr>
                <w:rFonts w:cs="Calibri"/>
                <w:color w:val="000000"/>
                <w:szCs w:val="24"/>
              </w:rPr>
            </w:pPr>
            <w:r w:rsidRPr="00C94FE5">
              <w:rPr>
                <w:rFonts w:cs="Calibri"/>
                <w:color w:val="000000"/>
                <w:szCs w:val="24"/>
              </w:rPr>
              <w:t>15</w:t>
            </w:r>
          </w:p>
        </w:tc>
        <w:tc>
          <w:tcPr>
            <w:tcW w:w="1627" w:type="dxa"/>
            <w:vAlign w:val="center"/>
          </w:tcPr>
          <w:p w14:paraId="4D29882F" w14:textId="77777777" w:rsidR="00605110" w:rsidRPr="00C94FE5" w:rsidRDefault="00605110" w:rsidP="00C94FE5">
            <w:pPr>
              <w:spacing w:after="0"/>
              <w:ind w:left="0"/>
              <w:rPr>
                <w:rFonts w:cs="Calibri"/>
                <w:color w:val="000000"/>
                <w:szCs w:val="24"/>
              </w:rPr>
            </w:pPr>
            <w:r w:rsidRPr="00C94FE5">
              <w:rPr>
                <w:rFonts w:cs="Calibri"/>
                <w:color w:val="000000"/>
                <w:szCs w:val="24"/>
              </w:rPr>
              <w:t>Daily</w:t>
            </w:r>
          </w:p>
        </w:tc>
        <w:tc>
          <w:tcPr>
            <w:tcW w:w="1800" w:type="dxa"/>
            <w:vAlign w:val="center"/>
          </w:tcPr>
          <w:p w14:paraId="4D5A4F9C" w14:textId="77777777" w:rsidR="00605110" w:rsidRPr="00C94FE5" w:rsidRDefault="00605110" w:rsidP="00C94FE5">
            <w:pPr>
              <w:spacing w:after="0"/>
              <w:ind w:left="0"/>
              <w:rPr>
                <w:rFonts w:cs="Calibri"/>
                <w:color w:val="000000"/>
                <w:szCs w:val="24"/>
              </w:rPr>
            </w:pPr>
            <w:r w:rsidRPr="00C94FE5">
              <w:rPr>
                <w:rFonts w:cs="Calibri"/>
                <w:color w:val="000000"/>
                <w:szCs w:val="24"/>
              </w:rPr>
              <w:t>BNO380R0</w:t>
            </w:r>
          </w:p>
        </w:tc>
        <w:tc>
          <w:tcPr>
            <w:tcW w:w="7070" w:type="dxa"/>
            <w:vAlign w:val="center"/>
          </w:tcPr>
          <w:p w14:paraId="1CACFA07" w14:textId="77777777" w:rsidR="00605110" w:rsidRPr="00C94FE5" w:rsidRDefault="00605110" w:rsidP="00C94FE5">
            <w:pPr>
              <w:spacing w:after="0"/>
              <w:ind w:left="0"/>
              <w:rPr>
                <w:rFonts w:cs="Calibri"/>
                <w:color w:val="000000"/>
                <w:szCs w:val="24"/>
              </w:rPr>
            </w:pPr>
            <w:r w:rsidRPr="00C94FE5">
              <w:rPr>
                <w:rFonts w:cs="Calibri"/>
                <w:color w:val="000000"/>
                <w:szCs w:val="24"/>
              </w:rPr>
              <w:t>Employer Verification Responses Totals Report</w:t>
            </w:r>
          </w:p>
        </w:tc>
      </w:tr>
      <w:tr w:rsidR="00605110" w:rsidRPr="000E4EAF" w14:paraId="0D4903D6" w14:textId="77777777" w:rsidTr="00DF6F9D">
        <w:trPr>
          <w:trHeight w:val="383"/>
        </w:trPr>
        <w:tc>
          <w:tcPr>
            <w:tcW w:w="691" w:type="dxa"/>
            <w:vAlign w:val="center"/>
          </w:tcPr>
          <w:p w14:paraId="38A0D379" w14:textId="77777777" w:rsidR="00605110" w:rsidRPr="00C94FE5" w:rsidRDefault="00605110" w:rsidP="00C94FE5">
            <w:pPr>
              <w:spacing w:after="0"/>
              <w:ind w:left="0"/>
              <w:jc w:val="center"/>
              <w:rPr>
                <w:rFonts w:cs="Calibri"/>
                <w:color w:val="000000"/>
                <w:szCs w:val="24"/>
              </w:rPr>
            </w:pPr>
            <w:r w:rsidRPr="00C94FE5">
              <w:rPr>
                <w:rFonts w:cs="Calibri"/>
                <w:color w:val="000000"/>
                <w:szCs w:val="24"/>
              </w:rPr>
              <w:lastRenderedPageBreak/>
              <w:t>16</w:t>
            </w:r>
          </w:p>
        </w:tc>
        <w:tc>
          <w:tcPr>
            <w:tcW w:w="1627" w:type="dxa"/>
            <w:vAlign w:val="center"/>
          </w:tcPr>
          <w:p w14:paraId="0CDD8906" w14:textId="77777777" w:rsidR="00605110" w:rsidRPr="00C94FE5" w:rsidRDefault="00605110" w:rsidP="00C94FE5">
            <w:pPr>
              <w:spacing w:after="0"/>
              <w:ind w:left="0"/>
              <w:rPr>
                <w:rFonts w:cs="Calibri"/>
                <w:color w:val="000000"/>
                <w:szCs w:val="24"/>
              </w:rPr>
            </w:pPr>
            <w:r w:rsidRPr="00C94FE5">
              <w:rPr>
                <w:rFonts w:cs="Calibri"/>
                <w:color w:val="000000"/>
                <w:szCs w:val="24"/>
              </w:rPr>
              <w:t>Daily</w:t>
            </w:r>
          </w:p>
        </w:tc>
        <w:tc>
          <w:tcPr>
            <w:tcW w:w="1800" w:type="dxa"/>
            <w:vAlign w:val="center"/>
          </w:tcPr>
          <w:p w14:paraId="29DE6A45" w14:textId="77777777" w:rsidR="00605110" w:rsidRPr="00C94FE5" w:rsidRDefault="00605110" w:rsidP="00C94FE5">
            <w:pPr>
              <w:spacing w:after="0"/>
              <w:ind w:left="0"/>
              <w:rPr>
                <w:rFonts w:cs="Calibri"/>
                <w:color w:val="000000"/>
                <w:szCs w:val="24"/>
              </w:rPr>
            </w:pPr>
            <w:r w:rsidRPr="00C94FE5">
              <w:rPr>
                <w:rFonts w:cs="Calibri"/>
                <w:color w:val="000000"/>
                <w:szCs w:val="24"/>
              </w:rPr>
              <w:t>BNO380R1</w:t>
            </w:r>
          </w:p>
        </w:tc>
        <w:tc>
          <w:tcPr>
            <w:tcW w:w="7070" w:type="dxa"/>
            <w:vAlign w:val="center"/>
          </w:tcPr>
          <w:p w14:paraId="549FB0A8" w14:textId="77777777" w:rsidR="00605110" w:rsidRPr="00C94FE5" w:rsidRDefault="00605110" w:rsidP="00C94FE5">
            <w:pPr>
              <w:spacing w:after="0"/>
              <w:ind w:left="0"/>
              <w:rPr>
                <w:rFonts w:cs="Calibri"/>
                <w:color w:val="000000"/>
                <w:szCs w:val="24"/>
              </w:rPr>
            </w:pPr>
            <w:r w:rsidRPr="00C94FE5">
              <w:rPr>
                <w:rFonts w:cs="Calibri"/>
                <w:color w:val="000000"/>
                <w:szCs w:val="24"/>
              </w:rPr>
              <w:t>EVF Responses Error Report</w:t>
            </w:r>
          </w:p>
        </w:tc>
      </w:tr>
      <w:tr w:rsidR="00605110" w:rsidRPr="000E4EAF" w14:paraId="16E17C45" w14:textId="77777777" w:rsidTr="00DF6F9D">
        <w:trPr>
          <w:trHeight w:val="383"/>
        </w:trPr>
        <w:tc>
          <w:tcPr>
            <w:tcW w:w="691" w:type="dxa"/>
            <w:vAlign w:val="center"/>
          </w:tcPr>
          <w:p w14:paraId="4524E44F" w14:textId="77777777" w:rsidR="00605110" w:rsidRPr="00C94FE5" w:rsidRDefault="00605110" w:rsidP="00C94FE5">
            <w:pPr>
              <w:spacing w:after="0"/>
              <w:ind w:left="0"/>
              <w:jc w:val="center"/>
              <w:rPr>
                <w:rFonts w:cs="Calibri"/>
                <w:color w:val="000000"/>
                <w:szCs w:val="24"/>
              </w:rPr>
            </w:pPr>
            <w:r w:rsidRPr="00C94FE5">
              <w:rPr>
                <w:rFonts w:cs="Calibri"/>
                <w:color w:val="000000"/>
                <w:szCs w:val="24"/>
              </w:rPr>
              <w:t>17</w:t>
            </w:r>
          </w:p>
        </w:tc>
        <w:tc>
          <w:tcPr>
            <w:tcW w:w="1627" w:type="dxa"/>
            <w:vAlign w:val="center"/>
          </w:tcPr>
          <w:p w14:paraId="3357940D" w14:textId="77777777" w:rsidR="00605110" w:rsidRPr="00C94FE5" w:rsidRDefault="00605110" w:rsidP="00C94FE5">
            <w:pPr>
              <w:spacing w:after="0"/>
              <w:ind w:left="0"/>
              <w:rPr>
                <w:rFonts w:cs="Calibri"/>
                <w:color w:val="000000"/>
                <w:szCs w:val="24"/>
              </w:rPr>
            </w:pPr>
            <w:r w:rsidRPr="00C94FE5">
              <w:rPr>
                <w:rFonts w:cs="Calibri"/>
                <w:color w:val="000000"/>
                <w:szCs w:val="24"/>
              </w:rPr>
              <w:t>Daily</w:t>
            </w:r>
          </w:p>
        </w:tc>
        <w:tc>
          <w:tcPr>
            <w:tcW w:w="1800" w:type="dxa"/>
            <w:vAlign w:val="center"/>
          </w:tcPr>
          <w:p w14:paraId="41D77909" w14:textId="77777777" w:rsidR="00605110" w:rsidRPr="00C94FE5" w:rsidRDefault="00605110" w:rsidP="00C94FE5">
            <w:pPr>
              <w:spacing w:after="0"/>
              <w:ind w:left="0"/>
              <w:rPr>
                <w:rFonts w:cs="Calibri"/>
                <w:color w:val="000000"/>
                <w:szCs w:val="24"/>
              </w:rPr>
            </w:pPr>
            <w:r w:rsidRPr="00C94FE5">
              <w:rPr>
                <w:rFonts w:cs="Calibri"/>
                <w:color w:val="000000"/>
                <w:szCs w:val="24"/>
              </w:rPr>
              <w:t>BNO381R1</w:t>
            </w:r>
          </w:p>
        </w:tc>
        <w:tc>
          <w:tcPr>
            <w:tcW w:w="7070" w:type="dxa"/>
            <w:vAlign w:val="center"/>
          </w:tcPr>
          <w:p w14:paraId="024B1E99" w14:textId="77777777" w:rsidR="00605110" w:rsidRPr="00C94FE5" w:rsidRDefault="00605110" w:rsidP="00C94FE5">
            <w:pPr>
              <w:spacing w:after="0"/>
              <w:ind w:left="0"/>
              <w:rPr>
                <w:rFonts w:cs="Calibri"/>
                <w:color w:val="000000"/>
                <w:szCs w:val="24"/>
              </w:rPr>
            </w:pPr>
            <w:r w:rsidRPr="00C94FE5">
              <w:rPr>
                <w:rFonts w:cs="Calibri"/>
                <w:color w:val="000000"/>
                <w:szCs w:val="24"/>
              </w:rPr>
              <w:t>Employer Verification Responses Assignment Distribution</w:t>
            </w:r>
          </w:p>
        </w:tc>
      </w:tr>
      <w:tr w:rsidR="00605110" w:rsidRPr="000E4EAF" w14:paraId="01858D9E" w14:textId="77777777" w:rsidTr="00DF6F9D">
        <w:trPr>
          <w:trHeight w:val="383"/>
        </w:trPr>
        <w:tc>
          <w:tcPr>
            <w:tcW w:w="691" w:type="dxa"/>
            <w:vAlign w:val="center"/>
          </w:tcPr>
          <w:p w14:paraId="63692EBF" w14:textId="77777777" w:rsidR="00605110" w:rsidRPr="00C94FE5" w:rsidRDefault="00605110" w:rsidP="00C94FE5">
            <w:pPr>
              <w:spacing w:after="0"/>
              <w:ind w:left="0"/>
              <w:jc w:val="center"/>
              <w:rPr>
                <w:rFonts w:cs="Calibri"/>
                <w:color w:val="000000"/>
                <w:szCs w:val="24"/>
              </w:rPr>
            </w:pPr>
            <w:r w:rsidRPr="00C94FE5">
              <w:rPr>
                <w:rFonts w:cs="Calibri"/>
                <w:color w:val="000000"/>
                <w:szCs w:val="24"/>
              </w:rPr>
              <w:t>18</w:t>
            </w:r>
          </w:p>
        </w:tc>
        <w:tc>
          <w:tcPr>
            <w:tcW w:w="1627" w:type="dxa"/>
            <w:vAlign w:val="center"/>
          </w:tcPr>
          <w:p w14:paraId="55333166" w14:textId="77777777" w:rsidR="00605110" w:rsidRPr="00C94FE5" w:rsidRDefault="00605110" w:rsidP="00C94FE5">
            <w:pPr>
              <w:spacing w:after="0"/>
              <w:ind w:left="0"/>
              <w:rPr>
                <w:rFonts w:cs="Calibri"/>
                <w:color w:val="000000"/>
                <w:szCs w:val="24"/>
              </w:rPr>
            </w:pPr>
            <w:r w:rsidRPr="00C94FE5">
              <w:rPr>
                <w:rFonts w:cs="Calibri"/>
                <w:color w:val="000000"/>
                <w:szCs w:val="24"/>
              </w:rPr>
              <w:t>Daily</w:t>
            </w:r>
          </w:p>
        </w:tc>
        <w:tc>
          <w:tcPr>
            <w:tcW w:w="1800" w:type="dxa"/>
            <w:vAlign w:val="center"/>
          </w:tcPr>
          <w:p w14:paraId="27FAF1FE" w14:textId="77777777" w:rsidR="00605110" w:rsidRPr="00C94FE5" w:rsidRDefault="00605110" w:rsidP="00C94FE5">
            <w:pPr>
              <w:spacing w:after="0"/>
              <w:ind w:left="0"/>
              <w:rPr>
                <w:rFonts w:cs="Calibri"/>
                <w:color w:val="000000"/>
                <w:szCs w:val="24"/>
              </w:rPr>
            </w:pPr>
            <w:r w:rsidRPr="00C94FE5">
              <w:rPr>
                <w:rFonts w:cs="Calibri"/>
                <w:color w:val="000000"/>
                <w:szCs w:val="24"/>
              </w:rPr>
              <w:t>BND0382A</w:t>
            </w:r>
          </w:p>
        </w:tc>
        <w:tc>
          <w:tcPr>
            <w:tcW w:w="7070" w:type="dxa"/>
            <w:vAlign w:val="center"/>
          </w:tcPr>
          <w:p w14:paraId="6122723E" w14:textId="77777777" w:rsidR="00605110" w:rsidRPr="00C94FE5" w:rsidRDefault="00605110" w:rsidP="00C94FE5">
            <w:pPr>
              <w:spacing w:after="0"/>
              <w:ind w:left="0"/>
              <w:rPr>
                <w:rFonts w:cs="Calibri"/>
                <w:color w:val="000000"/>
                <w:szCs w:val="24"/>
              </w:rPr>
            </w:pPr>
            <w:r w:rsidRPr="00C94FE5">
              <w:rPr>
                <w:rFonts w:cs="Calibri"/>
                <w:color w:val="000000"/>
                <w:szCs w:val="24"/>
              </w:rPr>
              <w:t>Fact Finding NM74 Extract</w:t>
            </w:r>
          </w:p>
        </w:tc>
      </w:tr>
      <w:tr w:rsidR="00605110" w:rsidRPr="000E4EAF" w14:paraId="2B668D18" w14:textId="77777777" w:rsidTr="00DF6F9D">
        <w:trPr>
          <w:trHeight w:val="383"/>
        </w:trPr>
        <w:tc>
          <w:tcPr>
            <w:tcW w:w="691" w:type="dxa"/>
            <w:vAlign w:val="center"/>
          </w:tcPr>
          <w:p w14:paraId="7B9698BF" w14:textId="77777777" w:rsidR="00605110" w:rsidRPr="00C94FE5" w:rsidRDefault="00605110" w:rsidP="00C94FE5">
            <w:pPr>
              <w:spacing w:after="0"/>
              <w:ind w:left="0"/>
              <w:jc w:val="center"/>
              <w:rPr>
                <w:rFonts w:cs="Calibri"/>
                <w:color w:val="000000"/>
                <w:szCs w:val="24"/>
              </w:rPr>
            </w:pPr>
            <w:r w:rsidRPr="00C94FE5">
              <w:rPr>
                <w:rFonts w:cs="Calibri"/>
                <w:color w:val="000000"/>
                <w:szCs w:val="24"/>
              </w:rPr>
              <w:t>19</w:t>
            </w:r>
          </w:p>
        </w:tc>
        <w:tc>
          <w:tcPr>
            <w:tcW w:w="1627" w:type="dxa"/>
            <w:vAlign w:val="center"/>
          </w:tcPr>
          <w:p w14:paraId="5B6ED9FD" w14:textId="77777777" w:rsidR="00605110" w:rsidRPr="00C94FE5" w:rsidRDefault="00605110" w:rsidP="00C94FE5">
            <w:pPr>
              <w:spacing w:after="0"/>
              <w:ind w:left="0"/>
              <w:rPr>
                <w:rFonts w:cs="Calibri"/>
                <w:color w:val="000000"/>
                <w:szCs w:val="24"/>
              </w:rPr>
            </w:pPr>
            <w:r w:rsidRPr="00C94FE5">
              <w:rPr>
                <w:rFonts w:cs="Calibri"/>
                <w:color w:val="000000"/>
                <w:szCs w:val="24"/>
              </w:rPr>
              <w:t>Daily</w:t>
            </w:r>
          </w:p>
        </w:tc>
        <w:tc>
          <w:tcPr>
            <w:tcW w:w="1800" w:type="dxa"/>
            <w:vAlign w:val="center"/>
          </w:tcPr>
          <w:p w14:paraId="46AD9501" w14:textId="77777777" w:rsidR="00605110" w:rsidRPr="00C94FE5" w:rsidRDefault="00605110" w:rsidP="00C94FE5">
            <w:pPr>
              <w:spacing w:after="0"/>
              <w:ind w:left="0"/>
              <w:rPr>
                <w:rFonts w:cs="Calibri"/>
                <w:color w:val="000000"/>
                <w:szCs w:val="24"/>
              </w:rPr>
            </w:pPr>
            <w:r w:rsidRPr="00C94FE5">
              <w:rPr>
                <w:rFonts w:cs="Calibri"/>
                <w:color w:val="000000"/>
                <w:szCs w:val="24"/>
              </w:rPr>
              <w:t>BNO757R0</w:t>
            </w:r>
          </w:p>
        </w:tc>
        <w:tc>
          <w:tcPr>
            <w:tcW w:w="7070" w:type="dxa"/>
            <w:vAlign w:val="center"/>
          </w:tcPr>
          <w:p w14:paraId="0C3A15E4" w14:textId="77777777" w:rsidR="00605110" w:rsidRPr="00C94FE5" w:rsidRDefault="00605110" w:rsidP="00C94FE5">
            <w:pPr>
              <w:spacing w:after="0"/>
              <w:ind w:left="0"/>
              <w:rPr>
                <w:rFonts w:cs="Calibri"/>
                <w:color w:val="000000"/>
                <w:szCs w:val="24"/>
              </w:rPr>
            </w:pPr>
            <w:r w:rsidRPr="00C94FE5">
              <w:rPr>
                <w:rFonts w:cs="Calibri"/>
                <w:color w:val="000000"/>
                <w:szCs w:val="24"/>
              </w:rPr>
              <w:t>Fraud Call-In Activity Totals Report</w:t>
            </w:r>
          </w:p>
        </w:tc>
      </w:tr>
      <w:tr w:rsidR="00605110" w:rsidRPr="000E4EAF" w14:paraId="72B4F36E" w14:textId="77777777" w:rsidTr="00DF6F9D">
        <w:trPr>
          <w:trHeight w:val="383"/>
        </w:trPr>
        <w:tc>
          <w:tcPr>
            <w:tcW w:w="691" w:type="dxa"/>
            <w:vAlign w:val="center"/>
          </w:tcPr>
          <w:p w14:paraId="183F8D37" w14:textId="77777777" w:rsidR="00605110" w:rsidRPr="00C94FE5" w:rsidRDefault="00605110" w:rsidP="00C94FE5">
            <w:pPr>
              <w:spacing w:after="0"/>
              <w:ind w:left="0"/>
              <w:jc w:val="center"/>
              <w:rPr>
                <w:rFonts w:cs="Calibri"/>
                <w:color w:val="000000"/>
                <w:szCs w:val="24"/>
              </w:rPr>
            </w:pPr>
            <w:r w:rsidRPr="00C94FE5">
              <w:rPr>
                <w:rFonts w:cs="Calibri"/>
                <w:color w:val="000000"/>
                <w:szCs w:val="24"/>
              </w:rPr>
              <w:t>20</w:t>
            </w:r>
          </w:p>
        </w:tc>
        <w:tc>
          <w:tcPr>
            <w:tcW w:w="1627" w:type="dxa"/>
            <w:vAlign w:val="center"/>
          </w:tcPr>
          <w:p w14:paraId="591932FF" w14:textId="77777777" w:rsidR="00605110" w:rsidRPr="00C94FE5" w:rsidRDefault="00605110" w:rsidP="00C94FE5">
            <w:pPr>
              <w:spacing w:after="0"/>
              <w:ind w:left="0"/>
              <w:rPr>
                <w:rFonts w:cs="Calibri"/>
                <w:color w:val="000000"/>
                <w:szCs w:val="24"/>
              </w:rPr>
            </w:pPr>
            <w:r w:rsidRPr="00C94FE5">
              <w:rPr>
                <w:rFonts w:cs="Calibri"/>
                <w:color w:val="000000"/>
                <w:szCs w:val="24"/>
              </w:rPr>
              <w:t>Monthly</w:t>
            </w:r>
          </w:p>
          <w:p w14:paraId="36C64D6F" w14:textId="77777777" w:rsidR="00605110" w:rsidRPr="00C94FE5" w:rsidRDefault="00605110" w:rsidP="00C94FE5">
            <w:pPr>
              <w:spacing w:after="0"/>
              <w:ind w:left="0"/>
              <w:rPr>
                <w:rFonts w:cs="Calibri"/>
                <w:color w:val="000000"/>
                <w:szCs w:val="24"/>
              </w:rPr>
            </w:pPr>
            <w:r w:rsidRPr="00C94FE5">
              <w:rPr>
                <w:rFonts w:cs="Calibri"/>
                <w:color w:val="000000"/>
                <w:szCs w:val="24"/>
              </w:rPr>
              <w:t>Ad hoc</w:t>
            </w:r>
          </w:p>
        </w:tc>
        <w:tc>
          <w:tcPr>
            <w:tcW w:w="1800" w:type="dxa"/>
            <w:vAlign w:val="center"/>
          </w:tcPr>
          <w:p w14:paraId="70956B45" w14:textId="0779F874" w:rsidR="00605110" w:rsidRPr="00C94FE5" w:rsidRDefault="00AD7A14" w:rsidP="00C94FE5">
            <w:pPr>
              <w:pStyle w:val="KBulletList2"/>
              <w:numPr>
                <w:ilvl w:val="0"/>
                <w:numId w:val="0"/>
              </w:numPr>
              <w:rPr>
                <w:rFonts w:cs="Calibri"/>
                <w:color w:val="000000"/>
                <w:sz w:val="24"/>
                <w:szCs w:val="24"/>
              </w:rPr>
            </w:pPr>
            <w:r>
              <w:rPr>
                <w:rFonts w:cs="Calibri"/>
                <w:color w:val="000000"/>
                <w:sz w:val="24"/>
                <w:szCs w:val="24"/>
              </w:rPr>
              <w:t>UIO&amp;CS</w:t>
            </w:r>
            <w:r w:rsidR="00605110" w:rsidRPr="00C94FE5">
              <w:rPr>
                <w:rFonts w:cs="Calibri"/>
                <w:color w:val="000000"/>
                <w:sz w:val="24"/>
                <w:szCs w:val="24"/>
              </w:rPr>
              <w:t xml:space="preserve"> Fraud Determination </w:t>
            </w:r>
          </w:p>
        </w:tc>
        <w:tc>
          <w:tcPr>
            <w:tcW w:w="7070" w:type="dxa"/>
            <w:vAlign w:val="center"/>
          </w:tcPr>
          <w:p w14:paraId="2F412F01" w14:textId="77777777" w:rsidR="00605110" w:rsidRPr="00C94FE5" w:rsidRDefault="00605110" w:rsidP="00C94FE5">
            <w:pPr>
              <w:spacing w:after="0"/>
              <w:ind w:left="0"/>
              <w:rPr>
                <w:rFonts w:cs="Calibri"/>
                <w:color w:val="000000"/>
                <w:szCs w:val="24"/>
              </w:rPr>
            </w:pPr>
            <w:r w:rsidRPr="00C94FE5">
              <w:rPr>
                <w:rFonts w:cs="Calibri"/>
                <w:color w:val="000000"/>
                <w:szCs w:val="24"/>
              </w:rPr>
              <w:t>Prosecutions Report</w:t>
            </w:r>
          </w:p>
        </w:tc>
      </w:tr>
      <w:tr w:rsidR="00605110" w:rsidRPr="000E4EAF" w14:paraId="1C039593" w14:textId="77777777" w:rsidTr="00DF6F9D">
        <w:trPr>
          <w:trHeight w:val="383"/>
        </w:trPr>
        <w:tc>
          <w:tcPr>
            <w:tcW w:w="691" w:type="dxa"/>
            <w:vAlign w:val="center"/>
          </w:tcPr>
          <w:p w14:paraId="22EBBA66" w14:textId="77777777" w:rsidR="00605110" w:rsidRPr="00C94FE5" w:rsidRDefault="00605110" w:rsidP="00C94FE5">
            <w:pPr>
              <w:spacing w:after="0"/>
              <w:ind w:left="0"/>
              <w:jc w:val="center"/>
              <w:rPr>
                <w:rFonts w:cs="Calibri"/>
                <w:color w:val="000000"/>
                <w:szCs w:val="24"/>
              </w:rPr>
            </w:pPr>
            <w:r w:rsidRPr="00C94FE5">
              <w:rPr>
                <w:rFonts w:cs="Calibri"/>
                <w:color w:val="000000"/>
                <w:szCs w:val="24"/>
              </w:rPr>
              <w:t>21</w:t>
            </w:r>
          </w:p>
        </w:tc>
        <w:tc>
          <w:tcPr>
            <w:tcW w:w="1627" w:type="dxa"/>
            <w:vAlign w:val="center"/>
          </w:tcPr>
          <w:p w14:paraId="485AA336" w14:textId="77777777" w:rsidR="00605110" w:rsidRPr="00AE79C1" w:rsidRDefault="00605110" w:rsidP="00AE79C1">
            <w:pPr>
              <w:pStyle w:val="KBulletList2"/>
              <w:numPr>
                <w:ilvl w:val="0"/>
                <w:numId w:val="0"/>
              </w:numPr>
              <w:rPr>
                <w:rFonts w:cs="Calibri"/>
                <w:color w:val="000000"/>
                <w:sz w:val="24"/>
                <w:szCs w:val="24"/>
              </w:rPr>
            </w:pPr>
            <w:r w:rsidRPr="00AE79C1">
              <w:rPr>
                <w:rFonts w:cs="Calibri"/>
                <w:color w:val="000000"/>
                <w:sz w:val="24"/>
                <w:szCs w:val="24"/>
              </w:rPr>
              <w:t>Monthly</w:t>
            </w:r>
          </w:p>
          <w:p w14:paraId="58342562" w14:textId="77777777" w:rsidR="00605110" w:rsidRPr="00AE79C1" w:rsidRDefault="00605110" w:rsidP="00AE79C1">
            <w:pPr>
              <w:pStyle w:val="KBulletList2"/>
              <w:numPr>
                <w:ilvl w:val="0"/>
                <w:numId w:val="0"/>
              </w:numPr>
              <w:rPr>
                <w:rFonts w:cs="Calibri"/>
                <w:color w:val="000000"/>
                <w:sz w:val="24"/>
                <w:szCs w:val="24"/>
              </w:rPr>
            </w:pPr>
            <w:r w:rsidRPr="00AE79C1">
              <w:rPr>
                <w:rFonts w:cs="Calibri"/>
                <w:color w:val="000000"/>
                <w:sz w:val="24"/>
                <w:szCs w:val="24"/>
              </w:rPr>
              <w:t>Ad hoc</w:t>
            </w:r>
          </w:p>
        </w:tc>
        <w:tc>
          <w:tcPr>
            <w:tcW w:w="1800" w:type="dxa"/>
            <w:vAlign w:val="center"/>
          </w:tcPr>
          <w:p w14:paraId="638B077A" w14:textId="77777777" w:rsidR="00605110" w:rsidRPr="00C94FE5" w:rsidRDefault="00605110" w:rsidP="00AE79C1">
            <w:pPr>
              <w:pStyle w:val="KBulletList2"/>
              <w:numPr>
                <w:ilvl w:val="0"/>
                <w:numId w:val="0"/>
              </w:numPr>
              <w:rPr>
                <w:rFonts w:cs="Calibri"/>
                <w:color w:val="000000"/>
                <w:sz w:val="24"/>
                <w:szCs w:val="24"/>
              </w:rPr>
            </w:pPr>
            <w:r w:rsidRPr="00C94FE5">
              <w:rPr>
                <w:rFonts w:cs="Calibri"/>
                <w:color w:val="000000"/>
                <w:sz w:val="24"/>
                <w:szCs w:val="24"/>
              </w:rPr>
              <w:t>ID Theft</w:t>
            </w:r>
          </w:p>
        </w:tc>
        <w:tc>
          <w:tcPr>
            <w:tcW w:w="7070" w:type="dxa"/>
            <w:vAlign w:val="center"/>
          </w:tcPr>
          <w:p w14:paraId="67AABC38" w14:textId="77777777" w:rsidR="00605110" w:rsidRPr="00C94FE5" w:rsidRDefault="00605110" w:rsidP="00C94FE5">
            <w:pPr>
              <w:spacing w:after="0"/>
              <w:ind w:left="0"/>
              <w:rPr>
                <w:rFonts w:cs="Calibri"/>
                <w:color w:val="000000"/>
                <w:szCs w:val="24"/>
              </w:rPr>
            </w:pPr>
            <w:r w:rsidRPr="00C94FE5">
              <w:rPr>
                <w:rFonts w:cs="Calibri"/>
                <w:color w:val="000000"/>
                <w:szCs w:val="24"/>
              </w:rPr>
              <w:t>ID Theft Determinations</w:t>
            </w:r>
          </w:p>
        </w:tc>
      </w:tr>
      <w:tr w:rsidR="00605110" w:rsidRPr="000E4EAF" w14:paraId="1B2ECE51" w14:textId="77777777" w:rsidTr="00DF6F9D">
        <w:trPr>
          <w:trHeight w:val="383"/>
        </w:trPr>
        <w:tc>
          <w:tcPr>
            <w:tcW w:w="691" w:type="dxa"/>
            <w:vAlign w:val="center"/>
          </w:tcPr>
          <w:p w14:paraId="508DEB16" w14:textId="77777777" w:rsidR="00605110" w:rsidRPr="00C94FE5" w:rsidRDefault="00605110" w:rsidP="00C94FE5">
            <w:pPr>
              <w:spacing w:after="0"/>
              <w:ind w:left="0"/>
              <w:jc w:val="center"/>
              <w:rPr>
                <w:rFonts w:cs="Calibri"/>
                <w:color w:val="000000"/>
                <w:szCs w:val="24"/>
              </w:rPr>
            </w:pPr>
            <w:r w:rsidRPr="00C94FE5">
              <w:rPr>
                <w:rFonts w:cs="Calibri"/>
                <w:color w:val="000000"/>
                <w:szCs w:val="24"/>
              </w:rPr>
              <w:t>22</w:t>
            </w:r>
          </w:p>
        </w:tc>
        <w:tc>
          <w:tcPr>
            <w:tcW w:w="1627" w:type="dxa"/>
            <w:vAlign w:val="center"/>
          </w:tcPr>
          <w:p w14:paraId="6F809E28" w14:textId="77777777" w:rsidR="00605110" w:rsidRPr="00C94FE5" w:rsidRDefault="00605110" w:rsidP="00C94FE5">
            <w:pPr>
              <w:spacing w:after="0"/>
              <w:ind w:left="0"/>
              <w:rPr>
                <w:rFonts w:cs="Calibri"/>
                <w:color w:val="000000"/>
                <w:szCs w:val="24"/>
              </w:rPr>
            </w:pPr>
            <w:r w:rsidRPr="00C94FE5">
              <w:rPr>
                <w:rFonts w:cs="Calibri"/>
                <w:color w:val="000000"/>
                <w:szCs w:val="24"/>
              </w:rPr>
              <w:t>Monthly</w:t>
            </w:r>
          </w:p>
          <w:p w14:paraId="34404557" w14:textId="77777777" w:rsidR="00605110" w:rsidRPr="00C94FE5" w:rsidRDefault="00605110" w:rsidP="00C94FE5">
            <w:pPr>
              <w:spacing w:after="0"/>
              <w:ind w:left="0"/>
              <w:rPr>
                <w:rFonts w:cs="Calibri"/>
                <w:color w:val="000000"/>
                <w:szCs w:val="24"/>
              </w:rPr>
            </w:pPr>
            <w:r w:rsidRPr="00C94FE5">
              <w:rPr>
                <w:rFonts w:cs="Calibri"/>
                <w:color w:val="000000"/>
                <w:szCs w:val="24"/>
              </w:rPr>
              <w:t>Ad hoc</w:t>
            </w:r>
          </w:p>
        </w:tc>
        <w:tc>
          <w:tcPr>
            <w:tcW w:w="1800" w:type="dxa"/>
            <w:vAlign w:val="center"/>
          </w:tcPr>
          <w:p w14:paraId="20B0E829" w14:textId="77777777" w:rsidR="00605110" w:rsidRPr="00C94FE5" w:rsidRDefault="00605110" w:rsidP="00C94FE5">
            <w:pPr>
              <w:pStyle w:val="KBulletList2"/>
              <w:numPr>
                <w:ilvl w:val="0"/>
                <w:numId w:val="0"/>
              </w:numPr>
              <w:rPr>
                <w:rFonts w:cs="Calibri"/>
                <w:color w:val="000000"/>
                <w:sz w:val="24"/>
                <w:szCs w:val="24"/>
              </w:rPr>
            </w:pPr>
            <w:r w:rsidRPr="00C94FE5">
              <w:rPr>
                <w:rFonts w:cs="Calibri"/>
                <w:color w:val="000000"/>
                <w:sz w:val="24"/>
                <w:szCs w:val="24"/>
              </w:rPr>
              <w:t>Determinations for 5420</w:t>
            </w:r>
          </w:p>
        </w:tc>
        <w:tc>
          <w:tcPr>
            <w:tcW w:w="7070" w:type="dxa"/>
            <w:vAlign w:val="center"/>
          </w:tcPr>
          <w:p w14:paraId="3DC7204C" w14:textId="77777777" w:rsidR="00605110" w:rsidRPr="00C94FE5" w:rsidRDefault="00605110" w:rsidP="00C94FE5">
            <w:pPr>
              <w:spacing w:after="0"/>
              <w:ind w:left="0"/>
              <w:rPr>
                <w:rFonts w:cs="Calibri"/>
                <w:color w:val="000000"/>
                <w:szCs w:val="24"/>
              </w:rPr>
            </w:pPr>
            <w:r w:rsidRPr="00C94FE5">
              <w:rPr>
                <w:rFonts w:cs="Calibri"/>
                <w:color w:val="000000"/>
                <w:szCs w:val="24"/>
              </w:rPr>
              <w:t>Monthly Determinations for cost center 5420</w:t>
            </w:r>
          </w:p>
        </w:tc>
      </w:tr>
      <w:tr w:rsidR="00605110" w:rsidRPr="000E4EAF" w14:paraId="7CFFC97A" w14:textId="77777777" w:rsidTr="00DF6F9D">
        <w:trPr>
          <w:trHeight w:val="383"/>
        </w:trPr>
        <w:tc>
          <w:tcPr>
            <w:tcW w:w="691" w:type="dxa"/>
            <w:vAlign w:val="center"/>
          </w:tcPr>
          <w:p w14:paraId="6DADB092" w14:textId="77777777" w:rsidR="00605110" w:rsidRPr="00C94FE5" w:rsidRDefault="00605110" w:rsidP="00C94FE5">
            <w:pPr>
              <w:spacing w:after="0"/>
              <w:ind w:left="0"/>
              <w:jc w:val="center"/>
              <w:rPr>
                <w:rFonts w:cs="Calibri"/>
                <w:color w:val="000000"/>
                <w:szCs w:val="24"/>
              </w:rPr>
            </w:pPr>
            <w:r w:rsidRPr="00C94FE5">
              <w:rPr>
                <w:rFonts w:cs="Calibri"/>
                <w:color w:val="000000"/>
                <w:szCs w:val="24"/>
              </w:rPr>
              <w:t>23</w:t>
            </w:r>
          </w:p>
        </w:tc>
        <w:tc>
          <w:tcPr>
            <w:tcW w:w="1627" w:type="dxa"/>
            <w:vAlign w:val="center"/>
          </w:tcPr>
          <w:p w14:paraId="3B5BC541" w14:textId="77777777" w:rsidR="00605110" w:rsidRPr="00C94FE5" w:rsidRDefault="00605110" w:rsidP="00C94FE5">
            <w:pPr>
              <w:spacing w:after="0"/>
              <w:ind w:left="0"/>
              <w:rPr>
                <w:rFonts w:cs="Calibri"/>
                <w:color w:val="000000"/>
                <w:szCs w:val="24"/>
              </w:rPr>
            </w:pPr>
            <w:r w:rsidRPr="00C94FE5">
              <w:rPr>
                <w:rFonts w:cs="Calibri"/>
                <w:color w:val="000000"/>
                <w:szCs w:val="24"/>
              </w:rPr>
              <w:t>Monthly</w:t>
            </w:r>
          </w:p>
          <w:p w14:paraId="4AAB1DF6" w14:textId="77777777" w:rsidR="00605110" w:rsidRPr="00C94FE5" w:rsidRDefault="00605110" w:rsidP="00C94FE5">
            <w:pPr>
              <w:spacing w:after="0"/>
              <w:ind w:left="0"/>
              <w:rPr>
                <w:rFonts w:cs="Calibri"/>
                <w:color w:val="000000"/>
                <w:szCs w:val="24"/>
              </w:rPr>
            </w:pPr>
            <w:r w:rsidRPr="00C94FE5">
              <w:rPr>
                <w:rFonts w:cs="Calibri"/>
                <w:color w:val="000000"/>
                <w:szCs w:val="24"/>
              </w:rPr>
              <w:t>Ad hoc</w:t>
            </w:r>
          </w:p>
        </w:tc>
        <w:tc>
          <w:tcPr>
            <w:tcW w:w="1800" w:type="dxa"/>
            <w:vAlign w:val="center"/>
          </w:tcPr>
          <w:p w14:paraId="21A94DEC" w14:textId="77777777" w:rsidR="00605110" w:rsidRPr="00C94FE5" w:rsidRDefault="00605110" w:rsidP="00C94FE5">
            <w:pPr>
              <w:pStyle w:val="KBulletList2"/>
              <w:numPr>
                <w:ilvl w:val="0"/>
                <w:numId w:val="0"/>
              </w:numPr>
              <w:rPr>
                <w:rFonts w:cs="Calibri"/>
                <w:color w:val="000000"/>
                <w:sz w:val="24"/>
                <w:szCs w:val="24"/>
              </w:rPr>
            </w:pPr>
            <w:r w:rsidRPr="00C94FE5">
              <w:rPr>
                <w:rFonts w:cs="Calibri"/>
                <w:color w:val="000000"/>
                <w:sz w:val="24"/>
                <w:szCs w:val="24"/>
              </w:rPr>
              <w:t>Determinations by 5420 Appeal</w:t>
            </w:r>
          </w:p>
        </w:tc>
        <w:tc>
          <w:tcPr>
            <w:tcW w:w="7070" w:type="dxa"/>
            <w:vAlign w:val="center"/>
          </w:tcPr>
          <w:p w14:paraId="771F0B42" w14:textId="77777777" w:rsidR="00605110" w:rsidRPr="00C94FE5" w:rsidRDefault="00605110" w:rsidP="00C94FE5">
            <w:pPr>
              <w:spacing w:after="0"/>
              <w:ind w:left="0"/>
              <w:rPr>
                <w:rFonts w:cs="Calibri"/>
                <w:color w:val="000000"/>
                <w:szCs w:val="24"/>
              </w:rPr>
            </w:pPr>
            <w:r w:rsidRPr="00C94FE5">
              <w:rPr>
                <w:rFonts w:cs="Calibri"/>
                <w:color w:val="000000"/>
                <w:szCs w:val="24"/>
              </w:rPr>
              <w:t>BPC determinations appealed</w:t>
            </w:r>
          </w:p>
        </w:tc>
      </w:tr>
      <w:tr w:rsidR="00605110" w:rsidRPr="000E4EAF" w14:paraId="196B4A69" w14:textId="77777777" w:rsidTr="00DF6F9D">
        <w:trPr>
          <w:trHeight w:val="383"/>
        </w:trPr>
        <w:tc>
          <w:tcPr>
            <w:tcW w:w="691" w:type="dxa"/>
            <w:vAlign w:val="center"/>
          </w:tcPr>
          <w:p w14:paraId="7BE139BD" w14:textId="77777777" w:rsidR="00605110" w:rsidRPr="00C94FE5" w:rsidRDefault="00605110" w:rsidP="00C94FE5">
            <w:pPr>
              <w:spacing w:after="0"/>
              <w:ind w:left="0"/>
              <w:jc w:val="center"/>
              <w:rPr>
                <w:rFonts w:cs="Calibri"/>
                <w:color w:val="000000"/>
                <w:szCs w:val="24"/>
              </w:rPr>
            </w:pPr>
            <w:r w:rsidRPr="00C94FE5">
              <w:rPr>
                <w:rFonts w:cs="Calibri"/>
                <w:color w:val="000000"/>
                <w:szCs w:val="24"/>
              </w:rPr>
              <w:t>24</w:t>
            </w:r>
          </w:p>
        </w:tc>
        <w:tc>
          <w:tcPr>
            <w:tcW w:w="1627" w:type="dxa"/>
            <w:vAlign w:val="center"/>
          </w:tcPr>
          <w:p w14:paraId="0A710192" w14:textId="77777777" w:rsidR="00605110" w:rsidRPr="00C94FE5" w:rsidRDefault="00605110" w:rsidP="00C94FE5">
            <w:pPr>
              <w:spacing w:after="0"/>
              <w:ind w:left="0"/>
              <w:rPr>
                <w:rFonts w:cs="Calibri"/>
                <w:color w:val="000000"/>
                <w:szCs w:val="24"/>
              </w:rPr>
            </w:pPr>
            <w:r w:rsidRPr="00C94FE5">
              <w:rPr>
                <w:rFonts w:cs="Calibri"/>
                <w:color w:val="000000"/>
                <w:szCs w:val="24"/>
              </w:rPr>
              <w:t>Monthly</w:t>
            </w:r>
          </w:p>
          <w:p w14:paraId="2C5605E6" w14:textId="77777777" w:rsidR="00605110" w:rsidRPr="00C94FE5" w:rsidRDefault="00605110" w:rsidP="00C94FE5">
            <w:pPr>
              <w:spacing w:after="0"/>
              <w:ind w:left="0"/>
              <w:rPr>
                <w:rFonts w:cs="Calibri"/>
                <w:color w:val="000000"/>
                <w:szCs w:val="24"/>
              </w:rPr>
            </w:pPr>
            <w:r w:rsidRPr="00C94FE5">
              <w:rPr>
                <w:rFonts w:cs="Calibri"/>
                <w:color w:val="000000"/>
                <w:szCs w:val="24"/>
              </w:rPr>
              <w:t>Ad hoc</w:t>
            </w:r>
          </w:p>
        </w:tc>
        <w:tc>
          <w:tcPr>
            <w:tcW w:w="1800" w:type="dxa"/>
            <w:vAlign w:val="center"/>
          </w:tcPr>
          <w:p w14:paraId="7B2D0372" w14:textId="77777777" w:rsidR="00605110" w:rsidRPr="00C94FE5" w:rsidRDefault="00605110" w:rsidP="00C94FE5">
            <w:pPr>
              <w:pStyle w:val="KBulletList2"/>
              <w:numPr>
                <w:ilvl w:val="0"/>
                <w:numId w:val="0"/>
              </w:numPr>
              <w:rPr>
                <w:rFonts w:cs="Calibri"/>
                <w:color w:val="000000"/>
                <w:sz w:val="24"/>
                <w:szCs w:val="24"/>
              </w:rPr>
            </w:pPr>
            <w:r w:rsidRPr="00C94FE5">
              <w:rPr>
                <w:rFonts w:cs="Calibri"/>
                <w:color w:val="000000"/>
                <w:sz w:val="24"/>
                <w:szCs w:val="24"/>
              </w:rPr>
              <w:t>NH/RW Determinations</w:t>
            </w:r>
          </w:p>
        </w:tc>
        <w:tc>
          <w:tcPr>
            <w:tcW w:w="7070" w:type="dxa"/>
            <w:vAlign w:val="center"/>
          </w:tcPr>
          <w:p w14:paraId="08EA23C7" w14:textId="77777777" w:rsidR="00605110" w:rsidRPr="00C94FE5" w:rsidRDefault="00605110" w:rsidP="00C94FE5">
            <w:pPr>
              <w:spacing w:after="0"/>
              <w:ind w:left="0"/>
              <w:rPr>
                <w:rFonts w:cs="Calibri"/>
                <w:color w:val="000000"/>
                <w:szCs w:val="24"/>
              </w:rPr>
            </w:pPr>
            <w:r w:rsidRPr="00C94FE5">
              <w:rPr>
                <w:rFonts w:cs="Calibri"/>
                <w:color w:val="000000"/>
                <w:szCs w:val="24"/>
              </w:rPr>
              <w:t>BPC New Hire and RWWG Determinations.</w:t>
            </w:r>
          </w:p>
        </w:tc>
      </w:tr>
      <w:tr w:rsidR="00605110" w:rsidRPr="000E4EAF" w14:paraId="57C5A398" w14:textId="77777777" w:rsidTr="00DF6F9D">
        <w:trPr>
          <w:trHeight w:val="383"/>
        </w:trPr>
        <w:tc>
          <w:tcPr>
            <w:tcW w:w="691" w:type="dxa"/>
            <w:vAlign w:val="center"/>
          </w:tcPr>
          <w:p w14:paraId="44124BB3" w14:textId="77777777" w:rsidR="00605110" w:rsidRPr="00C94FE5" w:rsidRDefault="00605110" w:rsidP="00C94FE5">
            <w:pPr>
              <w:spacing w:after="0"/>
              <w:ind w:left="0"/>
              <w:jc w:val="center"/>
              <w:rPr>
                <w:rFonts w:cs="Calibri"/>
                <w:color w:val="000000"/>
                <w:szCs w:val="24"/>
              </w:rPr>
            </w:pPr>
            <w:r w:rsidRPr="00C94FE5">
              <w:rPr>
                <w:rFonts w:cs="Calibri"/>
                <w:color w:val="000000"/>
                <w:szCs w:val="24"/>
              </w:rPr>
              <w:t>25</w:t>
            </w:r>
          </w:p>
        </w:tc>
        <w:tc>
          <w:tcPr>
            <w:tcW w:w="1627" w:type="dxa"/>
            <w:vAlign w:val="center"/>
          </w:tcPr>
          <w:p w14:paraId="0CEEFCA7" w14:textId="77777777" w:rsidR="00605110" w:rsidRPr="00C94FE5" w:rsidRDefault="00605110" w:rsidP="00C94FE5">
            <w:pPr>
              <w:spacing w:after="0"/>
              <w:ind w:left="0"/>
              <w:rPr>
                <w:rFonts w:cs="Calibri"/>
                <w:color w:val="000000"/>
                <w:szCs w:val="24"/>
              </w:rPr>
            </w:pPr>
            <w:r w:rsidRPr="00C94FE5">
              <w:rPr>
                <w:rFonts w:cs="Calibri"/>
                <w:color w:val="000000"/>
                <w:szCs w:val="24"/>
              </w:rPr>
              <w:t xml:space="preserve">Monthly </w:t>
            </w:r>
          </w:p>
          <w:p w14:paraId="475F585A" w14:textId="77777777" w:rsidR="00605110" w:rsidRPr="00C94FE5" w:rsidRDefault="00605110" w:rsidP="00C94FE5">
            <w:pPr>
              <w:spacing w:after="0"/>
              <w:ind w:left="0"/>
              <w:rPr>
                <w:rFonts w:cs="Calibri"/>
                <w:color w:val="000000"/>
                <w:szCs w:val="24"/>
              </w:rPr>
            </w:pPr>
            <w:r w:rsidRPr="00C94FE5">
              <w:rPr>
                <w:rFonts w:cs="Calibri"/>
                <w:color w:val="000000"/>
                <w:szCs w:val="24"/>
              </w:rPr>
              <w:t>Ad hoc</w:t>
            </w:r>
          </w:p>
        </w:tc>
        <w:tc>
          <w:tcPr>
            <w:tcW w:w="1800" w:type="dxa"/>
            <w:vAlign w:val="center"/>
          </w:tcPr>
          <w:p w14:paraId="2FCD4BB0" w14:textId="77777777" w:rsidR="00605110" w:rsidRPr="00C94FE5" w:rsidRDefault="00605110" w:rsidP="00C94FE5">
            <w:pPr>
              <w:pStyle w:val="KBulletList2"/>
              <w:numPr>
                <w:ilvl w:val="0"/>
                <w:numId w:val="0"/>
              </w:numPr>
              <w:rPr>
                <w:rFonts w:cs="Calibri"/>
                <w:color w:val="000000"/>
                <w:sz w:val="24"/>
                <w:szCs w:val="24"/>
              </w:rPr>
            </w:pPr>
            <w:r w:rsidRPr="00C94FE5">
              <w:rPr>
                <w:rFonts w:cs="Calibri"/>
                <w:color w:val="000000"/>
                <w:sz w:val="24"/>
                <w:szCs w:val="24"/>
              </w:rPr>
              <w:t>NM80 Determinations</w:t>
            </w:r>
          </w:p>
        </w:tc>
        <w:tc>
          <w:tcPr>
            <w:tcW w:w="7070" w:type="dxa"/>
            <w:vAlign w:val="center"/>
          </w:tcPr>
          <w:p w14:paraId="71DD745A" w14:textId="77777777" w:rsidR="00605110" w:rsidRPr="00C94FE5" w:rsidRDefault="00605110" w:rsidP="00C94FE5">
            <w:pPr>
              <w:spacing w:after="0"/>
              <w:ind w:left="0"/>
              <w:rPr>
                <w:rFonts w:cs="Calibri"/>
                <w:color w:val="000000"/>
                <w:szCs w:val="24"/>
              </w:rPr>
            </w:pPr>
            <w:r w:rsidRPr="00C94FE5">
              <w:rPr>
                <w:rFonts w:cs="Calibri"/>
                <w:color w:val="000000"/>
                <w:szCs w:val="24"/>
              </w:rPr>
              <w:t>NM80 determinations with 1st and 2nd vote</w:t>
            </w:r>
          </w:p>
        </w:tc>
      </w:tr>
      <w:tr w:rsidR="00605110" w:rsidRPr="000E4EAF" w14:paraId="47A9E72C" w14:textId="77777777" w:rsidTr="00DF6F9D">
        <w:trPr>
          <w:trHeight w:val="383"/>
        </w:trPr>
        <w:tc>
          <w:tcPr>
            <w:tcW w:w="691" w:type="dxa"/>
            <w:vAlign w:val="center"/>
          </w:tcPr>
          <w:p w14:paraId="5421E4A5" w14:textId="77777777" w:rsidR="00605110" w:rsidRPr="00C94FE5" w:rsidRDefault="00605110" w:rsidP="00C94FE5">
            <w:pPr>
              <w:spacing w:after="0"/>
              <w:ind w:left="0"/>
              <w:jc w:val="center"/>
              <w:rPr>
                <w:rFonts w:cs="Calibri"/>
                <w:color w:val="000000"/>
                <w:szCs w:val="24"/>
              </w:rPr>
            </w:pPr>
            <w:r w:rsidRPr="00C94FE5">
              <w:rPr>
                <w:rFonts w:cs="Calibri"/>
                <w:color w:val="000000"/>
                <w:szCs w:val="24"/>
              </w:rPr>
              <w:t>26</w:t>
            </w:r>
          </w:p>
        </w:tc>
        <w:tc>
          <w:tcPr>
            <w:tcW w:w="1627" w:type="dxa"/>
            <w:vAlign w:val="center"/>
          </w:tcPr>
          <w:p w14:paraId="334D7365" w14:textId="77777777" w:rsidR="00605110" w:rsidRPr="00C94FE5" w:rsidRDefault="00605110" w:rsidP="00C94FE5">
            <w:pPr>
              <w:spacing w:after="0"/>
              <w:ind w:left="0"/>
              <w:rPr>
                <w:rFonts w:cs="Calibri"/>
                <w:color w:val="000000"/>
                <w:szCs w:val="24"/>
              </w:rPr>
            </w:pPr>
            <w:r w:rsidRPr="00C94FE5">
              <w:rPr>
                <w:rFonts w:cs="Calibri"/>
                <w:color w:val="000000"/>
                <w:szCs w:val="24"/>
              </w:rPr>
              <w:t xml:space="preserve">Monthly </w:t>
            </w:r>
          </w:p>
          <w:p w14:paraId="3D50C148" w14:textId="77777777" w:rsidR="00605110" w:rsidRPr="00C94FE5" w:rsidRDefault="00605110" w:rsidP="00C94FE5">
            <w:pPr>
              <w:spacing w:after="0"/>
              <w:ind w:left="0"/>
              <w:rPr>
                <w:rFonts w:cs="Calibri"/>
                <w:color w:val="000000"/>
                <w:szCs w:val="24"/>
              </w:rPr>
            </w:pPr>
            <w:r w:rsidRPr="00C94FE5">
              <w:rPr>
                <w:rFonts w:cs="Calibri"/>
                <w:color w:val="000000"/>
                <w:szCs w:val="24"/>
              </w:rPr>
              <w:t>Ad hoc</w:t>
            </w:r>
          </w:p>
        </w:tc>
        <w:tc>
          <w:tcPr>
            <w:tcW w:w="1800" w:type="dxa"/>
            <w:vAlign w:val="center"/>
          </w:tcPr>
          <w:p w14:paraId="5E13CDF5" w14:textId="77777777" w:rsidR="00605110" w:rsidRPr="00C94FE5" w:rsidRDefault="00605110" w:rsidP="00C94FE5">
            <w:pPr>
              <w:pStyle w:val="KBulletList2"/>
              <w:numPr>
                <w:ilvl w:val="0"/>
                <w:numId w:val="0"/>
              </w:numPr>
              <w:rPr>
                <w:rFonts w:cs="Calibri"/>
                <w:color w:val="000000"/>
                <w:sz w:val="24"/>
                <w:szCs w:val="24"/>
              </w:rPr>
            </w:pPr>
            <w:r w:rsidRPr="00C94FE5">
              <w:rPr>
                <w:rFonts w:cs="Calibri"/>
                <w:color w:val="000000"/>
                <w:sz w:val="24"/>
                <w:szCs w:val="24"/>
              </w:rPr>
              <w:t>PC34 Determinations</w:t>
            </w:r>
          </w:p>
        </w:tc>
        <w:tc>
          <w:tcPr>
            <w:tcW w:w="7070" w:type="dxa"/>
            <w:vAlign w:val="center"/>
          </w:tcPr>
          <w:p w14:paraId="38D111F0" w14:textId="77777777" w:rsidR="00605110" w:rsidRPr="00C94FE5" w:rsidRDefault="00605110" w:rsidP="00C94FE5">
            <w:pPr>
              <w:spacing w:after="0"/>
              <w:ind w:left="0"/>
              <w:rPr>
                <w:rFonts w:cs="Calibri"/>
                <w:color w:val="000000"/>
                <w:szCs w:val="24"/>
              </w:rPr>
            </w:pPr>
            <w:r w:rsidRPr="00C94FE5">
              <w:rPr>
                <w:rFonts w:cs="Calibri"/>
                <w:color w:val="000000"/>
                <w:szCs w:val="24"/>
              </w:rPr>
              <w:t>PC34 determinations with 1st and 2nd vote</w:t>
            </w:r>
          </w:p>
        </w:tc>
      </w:tr>
      <w:tr w:rsidR="00605110" w:rsidRPr="000E4EAF" w14:paraId="3A358F05" w14:textId="77777777" w:rsidTr="00DF6F9D">
        <w:trPr>
          <w:trHeight w:val="383"/>
        </w:trPr>
        <w:tc>
          <w:tcPr>
            <w:tcW w:w="691" w:type="dxa"/>
            <w:vAlign w:val="center"/>
          </w:tcPr>
          <w:p w14:paraId="5C166BA8" w14:textId="77777777" w:rsidR="00605110" w:rsidRPr="00C94FE5" w:rsidRDefault="00605110" w:rsidP="00C94FE5">
            <w:pPr>
              <w:spacing w:after="0"/>
              <w:ind w:left="0"/>
              <w:jc w:val="center"/>
              <w:rPr>
                <w:rFonts w:cs="Calibri"/>
                <w:color w:val="000000"/>
                <w:szCs w:val="24"/>
              </w:rPr>
            </w:pPr>
            <w:r w:rsidRPr="00C94FE5">
              <w:rPr>
                <w:rFonts w:cs="Calibri"/>
                <w:color w:val="000000"/>
                <w:szCs w:val="24"/>
              </w:rPr>
              <w:t>27</w:t>
            </w:r>
          </w:p>
        </w:tc>
        <w:tc>
          <w:tcPr>
            <w:tcW w:w="1627" w:type="dxa"/>
            <w:vAlign w:val="center"/>
          </w:tcPr>
          <w:p w14:paraId="632D02B7" w14:textId="77777777" w:rsidR="00605110" w:rsidRPr="00C94FE5" w:rsidRDefault="00605110" w:rsidP="00C94FE5">
            <w:pPr>
              <w:spacing w:after="0"/>
              <w:ind w:left="0"/>
              <w:rPr>
                <w:rFonts w:cs="Calibri"/>
                <w:color w:val="000000"/>
                <w:szCs w:val="24"/>
              </w:rPr>
            </w:pPr>
            <w:r w:rsidRPr="00C94FE5">
              <w:rPr>
                <w:rFonts w:cs="Calibri"/>
                <w:color w:val="000000"/>
                <w:szCs w:val="24"/>
              </w:rPr>
              <w:t>Weekly</w:t>
            </w:r>
          </w:p>
        </w:tc>
        <w:tc>
          <w:tcPr>
            <w:tcW w:w="1800" w:type="dxa"/>
            <w:vAlign w:val="center"/>
          </w:tcPr>
          <w:p w14:paraId="50CE1BE4" w14:textId="44E8B6BE" w:rsidR="00605110" w:rsidRPr="00C94FE5" w:rsidRDefault="00605110" w:rsidP="00C94FE5">
            <w:pPr>
              <w:pStyle w:val="KBulletList2"/>
              <w:numPr>
                <w:ilvl w:val="0"/>
                <w:numId w:val="0"/>
              </w:numPr>
              <w:rPr>
                <w:rFonts w:cs="Calibri"/>
                <w:color w:val="000000"/>
                <w:sz w:val="24"/>
                <w:szCs w:val="24"/>
              </w:rPr>
            </w:pPr>
            <w:r w:rsidRPr="00C94FE5">
              <w:rPr>
                <w:rFonts w:cs="Calibri"/>
                <w:color w:val="000000"/>
                <w:sz w:val="24"/>
                <w:szCs w:val="24"/>
              </w:rPr>
              <w:t>TxIDTheft</w:t>
            </w:r>
            <w:r w:rsidR="0051618A">
              <w:rPr>
                <w:rFonts w:cs="Calibri"/>
                <w:color w:val="000000"/>
                <w:sz w:val="24"/>
                <w:szCs w:val="24"/>
              </w:rPr>
              <w:t xml:space="preserve"> </w:t>
            </w:r>
            <w:r w:rsidRPr="00C94FE5">
              <w:rPr>
                <w:rFonts w:cs="Calibri"/>
                <w:color w:val="000000"/>
                <w:sz w:val="24"/>
                <w:szCs w:val="24"/>
              </w:rPr>
              <w:t>Enhanced</w:t>
            </w:r>
            <w:r w:rsidR="0051618A">
              <w:rPr>
                <w:rFonts w:cs="Calibri"/>
                <w:color w:val="000000"/>
                <w:sz w:val="24"/>
                <w:szCs w:val="24"/>
              </w:rPr>
              <w:t xml:space="preserve"> </w:t>
            </w:r>
            <w:r w:rsidRPr="00C94FE5">
              <w:rPr>
                <w:rFonts w:cs="Calibri"/>
                <w:color w:val="000000"/>
                <w:sz w:val="24"/>
                <w:szCs w:val="24"/>
              </w:rPr>
              <w:t>Report</w:t>
            </w:r>
          </w:p>
        </w:tc>
        <w:tc>
          <w:tcPr>
            <w:tcW w:w="7070" w:type="dxa"/>
            <w:vAlign w:val="center"/>
          </w:tcPr>
          <w:p w14:paraId="0E10EBDF" w14:textId="77777777" w:rsidR="00605110" w:rsidRPr="00C94FE5" w:rsidRDefault="00605110" w:rsidP="00C94FE5">
            <w:pPr>
              <w:spacing w:after="0"/>
              <w:ind w:left="0"/>
              <w:rPr>
                <w:rFonts w:cs="Calibri"/>
                <w:color w:val="000000"/>
                <w:szCs w:val="24"/>
              </w:rPr>
            </w:pPr>
            <w:r w:rsidRPr="00C94FE5">
              <w:rPr>
                <w:rFonts w:cs="Calibri"/>
                <w:color w:val="000000"/>
                <w:szCs w:val="24"/>
              </w:rPr>
              <w:t>UI Claims from prior week potential suspicious claims</w:t>
            </w:r>
          </w:p>
        </w:tc>
      </w:tr>
      <w:tr w:rsidR="00605110" w:rsidRPr="000E4EAF" w14:paraId="3E7815D6" w14:textId="77777777" w:rsidTr="00DF6F9D">
        <w:trPr>
          <w:trHeight w:val="383"/>
        </w:trPr>
        <w:tc>
          <w:tcPr>
            <w:tcW w:w="691" w:type="dxa"/>
            <w:vAlign w:val="center"/>
          </w:tcPr>
          <w:p w14:paraId="33BC97D2" w14:textId="77777777" w:rsidR="00605110" w:rsidRPr="00C94FE5" w:rsidRDefault="00605110" w:rsidP="00C94FE5">
            <w:pPr>
              <w:spacing w:after="0"/>
              <w:ind w:left="0"/>
              <w:jc w:val="center"/>
              <w:rPr>
                <w:rFonts w:cs="Calibri"/>
                <w:color w:val="000000"/>
                <w:szCs w:val="24"/>
              </w:rPr>
            </w:pPr>
            <w:r w:rsidRPr="00C94FE5">
              <w:rPr>
                <w:rFonts w:cs="Calibri"/>
                <w:color w:val="000000"/>
                <w:szCs w:val="24"/>
              </w:rPr>
              <w:t>28</w:t>
            </w:r>
          </w:p>
        </w:tc>
        <w:tc>
          <w:tcPr>
            <w:tcW w:w="1627" w:type="dxa"/>
            <w:vAlign w:val="center"/>
          </w:tcPr>
          <w:p w14:paraId="6519276E" w14:textId="77777777" w:rsidR="00605110" w:rsidRPr="00C94FE5" w:rsidRDefault="00605110" w:rsidP="00C94FE5">
            <w:pPr>
              <w:spacing w:after="0"/>
              <w:ind w:left="0"/>
              <w:rPr>
                <w:rFonts w:cs="Calibri"/>
                <w:color w:val="000000"/>
                <w:szCs w:val="24"/>
              </w:rPr>
            </w:pPr>
            <w:r w:rsidRPr="00C94FE5">
              <w:rPr>
                <w:rFonts w:cs="Calibri"/>
                <w:color w:val="000000"/>
                <w:szCs w:val="24"/>
              </w:rPr>
              <w:t>Weekly</w:t>
            </w:r>
          </w:p>
        </w:tc>
        <w:tc>
          <w:tcPr>
            <w:tcW w:w="1800" w:type="dxa"/>
            <w:vAlign w:val="center"/>
          </w:tcPr>
          <w:p w14:paraId="110AA67E" w14:textId="77777777" w:rsidR="00605110" w:rsidRPr="00C94FE5" w:rsidRDefault="00605110" w:rsidP="00C94FE5">
            <w:pPr>
              <w:pStyle w:val="KBulletList2"/>
              <w:numPr>
                <w:ilvl w:val="0"/>
                <w:numId w:val="0"/>
              </w:numPr>
              <w:rPr>
                <w:rFonts w:cs="Calibri"/>
                <w:color w:val="000000"/>
                <w:sz w:val="24"/>
                <w:szCs w:val="24"/>
              </w:rPr>
            </w:pPr>
            <w:r w:rsidRPr="00C94FE5">
              <w:rPr>
                <w:rFonts w:cs="Calibri"/>
                <w:color w:val="000000"/>
                <w:sz w:val="24"/>
                <w:szCs w:val="24"/>
              </w:rPr>
              <w:t>FEFraudX</w:t>
            </w:r>
          </w:p>
        </w:tc>
        <w:tc>
          <w:tcPr>
            <w:tcW w:w="7070" w:type="dxa"/>
            <w:vAlign w:val="center"/>
          </w:tcPr>
          <w:p w14:paraId="60A1E918" w14:textId="20D6AFD7" w:rsidR="00605110" w:rsidRPr="00C94FE5" w:rsidRDefault="00605110" w:rsidP="00C94FE5">
            <w:pPr>
              <w:spacing w:after="0"/>
              <w:ind w:left="0"/>
              <w:rPr>
                <w:rFonts w:cs="Calibri"/>
                <w:color w:val="000000"/>
                <w:szCs w:val="24"/>
              </w:rPr>
            </w:pPr>
            <w:r w:rsidRPr="00C94FE5">
              <w:rPr>
                <w:rFonts w:cs="Calibri"/>
                <w:color w:val="000000"/>
                <w:szCs w:val="24"/>
              </w:rPr>
              <w:t xml:space="preserve">Cases with Potentially </w:t>
            </w:r>
            <w:r w:rsidR="0051618A" w:rsidRPr="00C94FE5">
              <w:rPr>
                <w:rFonts w:cs="Calibri"/>
                <w:color w:val="000000"/>
                <w:szCs w:val="24"/>
              </w:rPr>
              <w:t>Fictitious</w:t>
            </w:r>
            <w:r w:rsidRPr="00C94FE5">
              <w:rPr>
                <w:rFonts w:cs="Calibri"/>
                <w:color w:val="000000"/>
                <w:szCs w:val="24"/>
              </w:rPr>
              <w:t xml:space="preserve"> </w:t>
            </w:r>
            <w:r w:rsidR="009521D7">
              <w:rPr>
                <w:rFonts w:cs="Calibri"/>
                <w:color w:val="000000"/>
                <w:szCs w:val="24"/>
              </w:rPr>
              <w:t>Employers</w:t>
            </w:r>
          </w:p>
        </w:tc>
      </w:tr>
      <w:tr w:rsidR="00605110" w:rsidRPr="000E4EAF" w14:paraId="34D8DC8C" w14:textId="77777777" w:rsidTr="00DF6F9D">
        <w:trPr>
          <w:trHeight w:val="383"/>
        </w:trPr>
        <w:tc>
          <w:tcPr>
            <w:tcW w:w="691" w:type="dxa"/>
            <w:vAlign w:val="center"/>
          </w:tcPr>
          <w:p w14:paraId="1FEA7D99" w14:textId="77777777" w:rsidR="00605110" w:rsidRPr="00C94FE5" w:rsidRDefault="00605110" w:rsidP="00C94FE5">
            <w:pPr>
              <w:spacing w:after="0"/>
              <w:ind w:left="0"/>
              <w:jc w:val="center"/>
              <w:rPr>
                <w:rFonts w:cs="Calibri"/>
                <w:color w:val="000000"/>
                <w:szCs w:val="24"/>
              </w:rPr>
            </w:pPr>
            <w:r w:rsidRPr="00C94FE5">
              <w:rPr>
                <w:rFonts w:cs="Calibri"/>
                <w:color w:val="000000"/>
                <w:szCs w:val="24"/>
              </w:rPr>
              <w:t>29</w:t>
            </w:r>
          </w:p>
        </w:tc>
        <w:tc>
          <w:tcPr>
            <w:tcW w:w="1627" w:type="dxa"/>
            <w:vAlign w:val="center"/>
          </w:tcPr>
          <w:p w14:paraId="01E11BAC" w14:textId="77777777" w:rsidR="00605110" w:rsidRPr="00C94FE5" w:rsidRDefault="00605110" w:rsidP="00C94FE5">
            <w:pPr>
              <w:spacing w:after="0"/>
              <w:ind w:left="0"/>
              <w:rPr>
                <w:rFonts w:cs="Calibri"/>
                <w:color w:val="000000"/>
                <w:szCs w:val="24"/>
              </w:rPr>
            </w:pPr>
            <w:r w:rsidRPr="00C94FE5">
              <w:rPr>
                <w:rFonts w:cs="Calibri"/>
                <w:color w:val="000000"/>
                <w:szCs w:val="24"/>
              </w:rPr>
              <w:t>Twice Weekly</w:t>
            </w:r>
          </w:p>
        </w:tc>
        <w:tc>
          <w:tcPr>
            <w:tcW w:w="1800" w:type="dxa"/>
            <w:vAlign w:val="center"/>
          </w:tcPr>
          <w:p w14:paraId="33EF34BB" w14:textId="77777777" w:rsidR="00605110" w:rsidRPr="00C94FE5" w:rsidRDefault="00605110" w:rsidP="00C94FE5">
            <w:pPr>
              <w:pStyle w:val="KBulletList2"/>
              <w:numPr>
                <w:ilvl w:val="0"/>
                <w:numId w:val="0"/>
              </w:numPr>
              <w:rPr>
                <w:rFonts w:cs="Calibri"/>
                <w:color w:val="000000"/>
                <w:sz w:val="24"/>
                <w:szCs w:val="24"/>
              </w:rPr>
            </w:pPr>
            <w:r w:rsidRPr="00C94FE5">
              <w:rPr>
                <w:rFonts w:cs="Calibri"/>
                <w:color w:val="000000"/>
                <w:sz w:val="24"/>
                <w:szCs w:val="24"/>
              </w:rPr>
              <w:t>BNX400RD</w:t>
            </w:r>
          </w:p>
        </w:tc>
        <w:tc>
          <w:tcPr>
            <w:tcW w:w="7070" w:type="dxa"/>
            <w:vAlign w:val="center"/>
          </w:tcPr>
          <w:p w14:paraId="7AC6B9F5" w14:textId="77777777" w:rsidR="00605110" w:rsidRPr="00C94FE5" w:rsidRDefault="00605110" w:rsidP="00C94FE5">
            <w:pPr>
              <w:spacing w:after="0"/>
              <w:ind w:left="0"/>
              <w:rPr>
                <w:rFonts w:cs="Calibri"/>
                <w:color w:val="000000"/>
                <w:szCs w:val="24"/>
              </w:rPr>
            </w:pPr>
            <w:r w:rsidRPr="00C94FE5">
              <w:rPr>
                <w:rFonts w:cs="Calibri"/>
                <w:color w:val="000000"/>
                <w:szCs w:val="24"/>
              </w:rPr>
              <w:t>High Risk Activity</w:t>
            </w:r>
          </w:p>
        </w:tc>
      </w:tr>
      <w:tr w:rsidR="00605110" w:rsidRPr="000E4EAF" w14:paraId="66FD7124" w14:textId="77777777" w:rsidTr="00DF6F9D">
        <w:trPr>
          <w:trHeight w:val="383"/>
        </w:trPr>
        <w:tc>
          <w:tcPr>
            <w:tcW w:w="691" w:type="dxa"/>
            <w:vAlign w:val="center"/>
          </w:tcPr>
          <w:p w14:paraId="7E91BA1A" w14:textId="77777777" w:rsidR="00605110" w:rsidRPr="00C94FE5" w:rsidRDefault="00605110" w:rsidP="00C94FE5">
            <w:pPr>
              <w:spacing w:after="0"/>
              <w:ind w:left="0"/>
              <w:jc w:val="center"/>
              <w:rPr>
                <w:rFonts w:cs="Calibri"/>
                <w:color w:val="000000"/>
                <w:szCs w:val="24"/>
              </w:rPr>
            </w:pPr>
            <w:r w:rsidRPr="00C94FE5">
              <w:rPr>
                <w:rFonts w:cs="Calibri"/>
                <w:color w:val="000000"/>
                <w:szCs w:val="24"/>
              </w:rPr>
              <w:t>30</w:t>
            </w:r>
          </w:p>
        </w:tc>
        <w:tc>
          <w:tcPr>
            <w:tcW w:w="1627" w:type="dxa"/>
            <w:vAlign w:val="center"/>
          </w:tcPr>
          <w:p w14:paraId="379D7015" w14:textId="77777777" w:rsidR="00605110" w:rsidRPr="0021479B" w:rsidRDefault="00605110" w:rsidP="00C94FE5">
            <w:pPr>
              <w:spacing w:after="0"/>
              <w:ind w:left="0"/>
              <w:rPr>
                <w:rFonts w:cs="Calibri"/>
                <w:color w:val="000000"/>
                <w:szCs w:val="24"/>
              </w:rPr>
            </w:pPr>
            <w:r w:rsidRPr="0021479B">
              <w:rPr>
                <w:rFonts w:cs="Calibri"/>
                <w:color w:val="000000"/>
                <w:szCs w:val="24"/>
              </w:rPr>
              <w:t>Weekly</w:t>
            </w:r>
          </w:p>
        </w:tc>
        <w:tc>
          <w:tcPr>
            <w:tcW w:w="1800" w:type="dxa"/>
            <w:vAlign w:val="center"/>
          </w:tcPr>
          <w:p w14:paraId="2DE19A31" w14:textId="6C070F57" w:rsidR="00605110" w:rsidRPr="0021479B" w:rsidRDefault="00605110" w:rsidP="00C94FE5">
            <w:pPr>
              <w:pStyle w:val="KBulletList2"/>
              <w:numPr>
                <w:ilvl w:val="0"/>
                <w:numId w:val="0"/>
              </w:numPr>
              <w:rPr>
                <w:rFonts w:cs="Calibri"/>
                <w:color w:val="000000"/>
                <w:sz w:val="24"/>
                <w:szCs w:val="24"/>
              </w:rPr>
            </w:pPr>
            <w:r w:rsidRPr="0021479B">
              <w:rPr>
                <w:rFonts w:cs="Calibri"/>
                <w:color w:val="000000"/>
                <w:sz w:val="24"/>
                <w:szCs w:val="24"/>
              </w:rPr>
              <w:t xml:space="preserve">Close to </w:t>
            </w:r>
            <w:r w:rsidR="0021479B" w:rsidRPr="0021479B">
              <w:rPr>
                <w:rFonts w:cs="Calibri"/>
                <w:color w:val="000000"/>
                <w:sz w:val="24"/>
                <w:szCs w:val="24"/>
              </w:rPr>
              <w:t xml:space="preserve">Claimants </w:t>
            </w:r>
            <w:r w:rsidRPr="0021479B">
              <w:rPr>
                <w:rFonts w:cs="Calibri"/>
                <w:color w:val="000000"/>
                <w:sz w:val="24"/>
                <w:szCs w:val="24"/>
              </w:rPr>
              <w:t>Address</w:t>
            </w:r>
          </w:p>
        </w:tc>
        <w:tc>
          <w:tcPr>
            <w:tcW w:w="7070" w:type="dxa"/>
            <w:vAlign w:val="center"/>
          </w:tcPr>
          <w:p w14:paraId="42E504FF" w14:textId="77777777" w:rsidR="00605110" w:rsidRPr="0021479B" w:rsidRDefault="00605110" w:rsidP="00C94FE5">
            <w:pPr>
              <w:spacing w:after="0"/>
              <w:ind w:left="0"/>
              <w:rPr>
                <w:rFonts w:cs="Calibri"/>
                <w:color w:val="000000"/>
                <w:szCs w:val="24"/>
              </w:rPr>
            </w:pPr>
            <w:r w:rsidRPr="0021479B">
              <w:rPr>
                <w:rFonts w:cs="Calibri"/>
                <w:color w:val="000000"/>
                <w:szCs w:val="24"/>
              </w:rPr>
              <w:t>Cluster of Claimants near the same address</w:t>
            </w:r>
          </w:p>
        </w:tc>
      </w:tr>
      <w:tr w:rsidR="00605110" w:rsidRPr="000E4EAF" w14:paraId="713B83E7" w14:textId="77777777" w:rsidTr="00DF6F9D">
        <w:trPr>
          <w:trHeight w:val="383"/>
        </w:trPr>
        <w:tc>
          <w:tcPr>
            <w:tcW w:w="691" w:type="dxa"/>
            <w:vAlign w:val="center"/>
          </w:tcPr>
          <w:p w14:paraId="23EA6F5C" w14:textId="77777777" w:rsidR="00605110" w:rsidRPr="00C94FE5" w:rsidRDefault="00605110" w:rsidP="00C94FE5">
            <w:pPr>
              <w:spacing w:after="0"/>
              <w:ind w:left="0"/>
              <w:jc w:val="center"/>
              <w:rPr>
                <w:rFonts w:cs="Calibri"/>
                <w:color w:val="000000"/>
                <w:szCs w:val="24"/>
              </w:rPr>
            </w:pPr>
            <w:r w:rsidRPr="00C94FE5">
              <w:rPr>
                <w:rFonts w:cs="Calibri"/>
                <w:color w:val="000000"/>
                <w:szCs w:val="24"/>
              </w:rPr>
              <w:t>31</w:t>
            </w:r>
          </w:p>
        </w:tc>
        <w:tc>
          <w:tcPr>
            <w:tcW w:w="1627" w:type="dxa"/>
            <w:vAlign w:val="center"/>
          </w:tcPr>
          <w:p w14:paraId="73BEEADE" w14:textId="77777777" w:rsidR="00605110" w:rsidRPr="0021479B" w:rsidRDefault="00605110" w:rsidP="00C94FE5">
            <w:pPr>
              <w:spacing w:after="0"/>
              <w:ind w:left="0"/>
              <w:rPr>
                <w:rFonts w:cs="Calibri"/>
                <w:color w:val="000000"/>
                <w:szCs w:val="24"/>
              </w:rPr>
            </w:pPr>
            <w:r w:rsidRPr="0021479B">
              <w:rPr>
                <w:rFonts w:cs="Calibri"/>
                <w:color w:val="000000"/>
                <w:szCs w:val="24"/>
              </w:rPr>
              <w:t>Weekly</w:t>
            </w:r>
          </w:p>
        </w:tc>
        <w:tc>
          <w:tcPr>
            <w:tcW w:w="1800" w:type="dxa"/>
            <w:vAlign w:val="center"/>
          </w:tcPr>
          <w:p w14:paraId="7E454DAA" w14:textId="77777777" w:rsidR="00605110" w:rsidRPr="0021479B" w:rsidRDefault="00605110" w:rsidP="00C94FE5">
            <w:pPr>
              <w:pStyle w:val="KBulletList2"/>
              <w:numPr>
                <w:ilvl w:val="0"/>
                <w:numId w:val="0"/>
              </w:numPr>
              <w:rPr>
                <w:rFonts w:cs="Calibri"/>
                <w:color w:val="000000"/>
                <w:sz w:val="24"/>
                <w:szCs w:val="24"/>
              </w:rPr>
            </w:pPr>
            <w:r w:rsidRPr="0021479B">
              <w:rPr>
                <w:rFonts w:cs="Calibri"/>
                <w:color w:val="000000"/>
                <w:sz w:val="24"/>
                <w:szCs w:val="24"/>
              </w:rPr>
              <w:t>Multiple claims Address</w:t>
            </w:r>
          </w:p>
        </w:tc>
        <w:tc>
          <w:tcPr>
            <w:tcW w:w="7070" w:type="dxa"/>
            <w:vAlign w:val="center"/>
          </w:tcPr>
          <w:p w14:paraId="43C17F40" w14:textId="77777777" w:rsidR="00605110" w:rsidRPr="0021479B" w:rsidRDefault="00605110" w:rsidP="00C94FE5">
            <w:pPr>
              <w:spacing w:after="0"/>
              <w:ind w:left="0"/>
              <w:rPr>
                <w:rFonts w:cs="Calibri"/>
                <w:color w:val="000000"/>
                <w:szCs w:val="24"/>
              </w:rPr>
            </w:pPr>
            <w:r w:rsidRPr="0021479B">
              <w:rPr>
                <w:rFonts w:cs="Calibri"/>
                <w:color w:val="000000"/>
                <w:szCs w:val="24"/>
              </w:rPr>
              <w:t>Multiple claims using the same address</w:t>
            </w:r>
          </w:p>
        </w:tc>
      </w:tr>
      <w:tr w:rsidR="00605110" w:rsidRPr="000E4EAF" w14:paraId="61371EFC" w14:textId="77777777" w:rsidTr="00DF6F9D">
        <w:trPr>
          <w:trHeight w:val="383"/>
        </w:trPr>
        <w:tc>
          <w:tcPr>
            <w:tcW w:w="691" w:type="dxa"/>
            <w:vAlign w:val="center"/>
          </w:tcPr>
          <w:p w14:paraId="134023F7" w14:textId="77777777" w:rsidR="00605110" w:rsidRPr="00C94FE5" w:rsidRDefault="00605110" w:rsidP="00C94FE5">
            <w:pPr>
              <w:spacing w:after="0"/>
              <w:ind w:left="0"/>
              <w:jc w:val="center"/>
              <w:rPr>
                <w:rFonts w:cs="Calibri"/>
                <w:color w:val="000000"/>
                <w:szCs w:val="24"/>
              </w:rPr>
            </w:pPr>
            <w:r w:rsidRPr="00C94FE5">
              <w:rPr>
                <w:rFonts w:cs="Calibri"/>
                <w:color w:val="000000"/>
                <w:szCs w:val="24"/>
              </w:rPr>
              <w:t>32</w:t>
            </w:r>
          </w:p>
        </w:tc>
        <w:tc>
          <w:tcPr>
            <w:tcW w:w="1627" w:type="dxa"/>
            <w:vAlign w:val="center"/>
          </w:tcPr>
          <w:p w14:paraId="1EB075B4" w14:textId="77777777" w:rsidR="00605110" w:rsidRPr="00C94FE5" w:rsidRDefault="00605110" w:rsidP="00C94FE5">
            <w:pPr>
              <w:spacing w:after="0"/>
              <w:ind w:left="0"/>
              <w:rPr>
                <w:rFonts w:cs="Calibri"/>
                <w:color w:val="000000"/>
                <w:szCs w:val="24"/>
              </w:rPr>
            </w:pPr>
            <w:r w:rsidRPr="00C94FE5">
              <w:rPr>
                <w:rFonts w:cs="Calibri"/>
                <w:color w:val="000000"/>
                <w:szCs w:val="24"/>
              </w:rPr>
              <w:t>Weekly</w:t>
            </w:r>
          </w:p>
        </w:tc>
        <w:tc>
          <w:tcPr>
            <w:tcW w:w="1800" w:type="dxa"/>
            <w:vAlign w:val="center"/>
          </w:tcPr>
          <w:p w14:paraId="72A02BFE" w14:textId="77777777" w:rsidR="00605110" w:rsidRPr="00C94FE5" w:rsidRDefault="00605110" w:rsidP="00C94FE5">
            <w:pPr>
              <w:pStyle w:val="KBulletList2"/>
              <w:numPr>
                <w:ilvl w:val="0"/>
                <w:numId w:val="0"/>
              </w:numPr>
              <w:rPr>
                <w:rFonts w:cs="Calibri"/>
                <w:color w:val="000000"/>
                <w:sz w:val="24"/>
                <w:szCs w:val="24"/>
              </w:rPr>
            </w:pPr>
            <w:r w:rsidRPr="00C94FE5">
              <w:rPr>
                <w:rFonts w:cs="Calibri"/>
                <w:color w:val="000000"/>
                <w:sz w:val="24"/>
                <w:szCs w:val="24"/>
              </w:rPr>
              <w:t>Repeated IP Address</w:t>
            </w:r>
          </w:p>
        </w:tc>
        <w:tc>
          <w:tcPr>
            <w:tcW w:w="7070" w:type="dxa"/>
            <w:vAlign w:val="center"/>
          </w:tcPr>
          <w:p w14:paraId="05C4928F" w14:textId="77777777" w:rsidR="00605110" w:rsidRPr="00C94FE5" w:rsidRDefault="00605110" w:rsidP="00C94FE5">
            <w:pPr>
              <w:spacing w:after="0"/>
              <w:ind w:left="0"/>
              <w:rPr>
                <w:rFonts w:cs="Calibri"/>
                <w:color w:val="000000"/>
                <w:szCs w:val="24"/>
              </w:rPr>
            </w:pPr>
            <w:r w:rsidRPr="00C94FE5">
              <w:rPr>
                <w:rFonts w:cs="Calibri"/>
                <w:color w:val="000000"/>
                <w:szCs w:val="24"/>
              </w:rPr>
              <w:t>Identifies claims filed via the internet with the same IP address</w:t>
            </w:r>
          </w:p>
        </w:tc>
      </w:tr>
      <w:tr w:rsidR="00605110" w:rsidRPr="000E4EAF" w14:paraId="201F9230" w14:textId="77777777" w:rsidTr="00DF6F9D">
        <w:trPr>
          <w:trHeight w:val="383"/>
        </w:trPr>
        <w:tc>
          <w:tcPr>
            <w:tcW w:w="691" w:type="dxa"/>
            <w:vAlign w:val="center"/>
          </w:tcPr>
          <w:p w14:paraId="1AAC9BBD" w14:textId="77777777" w:rsidR="00605110" w:rsidRPr="00C94FE5" w:rsidRDefault="00605110" w:rsidP="00C94FE5">
            <w:pPr>
              <w:spacing w:after="0"/>
              <w:ind w:left="0"/>
              <w:jc w:val="center"/>
              <w:rPr>
                <w:rFonts w:cs="Calibri"/>
                <w:color w:val="000000"/>
                <w:szCs w:val="24"/>
              </w:rPr>
            </w:pPr>
            <w:r w:rsidRPr="00C94FE5">
              <w:rPr>
                <w:rFonts w:cs="Calibri"/>
                <w:color w:val="000000"/>
                <w:szCs w:val="24"/>
              </w:rPr>
              <w:lastRenderedPageBreak/>
              <w:t>33</w:t>
            </w:r>
          </w:p>
        </w:tc>
        <w:tc>
          <w:tcPr>
            <w:tcW w:w="1627" w:type="dxa"/>
            <w:vAlign w:val="center"/>
          </w:tcPr>
          <w:p w14:paraId="6ADF749A" w14:textId="77777777" w:rsidR="00605110" w:rsidRPr="00C94FE5" w:rsidRDefault="00605110" w:rsidP="00C94FE5">
            <w:pPr>
              <w:spacing w:after="0"/>
              <w:ind w:left="0"/>
              <w:rPr>
                <w:rFonts w:cs="Calibri"/>
                <w:color w:val="000000"/>
                <w:szCs w:val="24"/>
              </w:rPr>
            </w:pPr>
            <w:r w:rsidRPr="00C94FE5">
              <w:rPr>
                <w:rFonts w:cs="Calibri"/>
                <w:color w:val="000000"/>
                <w:szCs w:val="24"/>
              </w:rPr>
              <w:t>Weekly</w:t>
            </w:r>
          </w:p>
        </w:tc>
        <w:tc>
          <w:tcPr>
            <w:tcW w:w="1800" w:type="dxa"/>
            <w:vAlign w:val="center"/>
          </w:tcPr>
          <w:p w14:paraId="19893B13" w14:textId="77777777" w:rsidR="00605110" w:rsidRPr="00C94FE5" w:rsidRDefault="00605110" w:rsidP="00C94FE5">
            <w:pPr>
              <w:pStyle w:val="KBulletList2"/>
              <w:numPr>
                <w:ilvl w:val="0"/>
                <w:numId w:val="0"/>
              </w:numPr>
              <w:rPr>
                <w:rFonts w:cs="Calibri"/>
                <w:color w:val="000000"/>
                <w:sz w:val="24"/>
                <w:szCs w:val="24"/>
              </w:rPr>
            </w:pPr>
            <w:r w:rsidRPr="00C94FE5">
              <w:rPr>
                <w:rFonts w:cs="Calibri"/>
                <w:color w:val="000000"/>
                <w:sz w:val="24"/>
                <w:szCs w:val="24"/>
              </w:rPr>
              <w:t>Repeated IVR</w:t>
            </w:r>
          </w:p>
        </w:tc>
        <w:tc>
          <w:tcPr>
            <w:tcW w:w="7070" w:type="dxa"/>
            <w:vAlign w:val="center"/>
          </w:tcPr>
          <w:p w14:paraId="40ABF695" w14:textId="77777777" w:rsidR="00605110" w:rsidRPr="00C94FE5" w:rsidRDefault="00605110" w:rsidP="00C94FE5">
            <w:pPr>
              <w:spacing w:after="0"/>
              <w:ind w:left="0"/>
              <w:rPr>
                <w:rFonts w:cs="Calibri"/>
                <w:color w:val="000000"/>
                <w:szCs w:val="24"/>
              </w:rPr>
            </w:pPr>
            <w:r w:rsidRPr="00C94FE5">
              <w:rPr>
                <w:rFonts w:cs="Calibri"/>
                <w:color w:val="000000"/>
                <w:szCs w:val="24"/>
              </w:rPr>
              <w:t>Identifies claims filed via the same telephone number to file a claim</w:t>
            </w:r>
          </w:p>
        </w:tc>
      </w:tr>
      <w:tr w:rsidR="00605110" w:rsidRPr="000E4EAF" w14:paraId="59125AD5" w14:textId="77777777" w:rsidTr="00DF6F9D">
        <w:trPr>
          <w:trHeight w:val="383"/>
        </w:trPr>
        <w:tc>
          <w:tcPr>
            <w:tcW w:w="691" w:type="dxa"/>
            <w:vAlign w:val="center"/>
          </w:tcPr>
          <w:p w14:paraId="76381007" w14:textId="77777777" w:rsidR="00605110" w:rsidRPr="00C94FE5" w:rsidRDefault="00605110" w:rsidP="00C94FE5">
            <w:pPr>
              <w:spacing w:after="0"/>
              <w:ind w:left="0"/>
              <w:jc w:val="center"/>
              <w:rPr>
                <w:rFonts w:cs="Calibri"/>
                <w:color w:val="000000"/>
                <w:szCs w:val="24"/>
              </w:rPr>
            </w:pPr>
            <w:r w:rsidRPr="00C94FE5">
              <w:rPr>
                <w:rFonts w:cs="Calibri"/>
                <w:color w:val="000000"/>
                <w:szCs w:val="24"/>
              </w:rPr>
              <w:t>34</w:t>
            </w:r>
          </w:p>
        </w:tc>
        <w:tc>
          <w:tcPr>
            <w:tcW w:w="1627" w:type="dxa"/>
            <w:vAlign w:val="center"/>
          </w:tcPr>
          <w:p w14:paraId="5FCBDF84" w14:textId="77777777" w:rsidR="00605110" w:rsidRPr="00C94FE5" w:rsidRDefault="00605110" w:rsidP="00C94FE5">
            <w:pPr>
              <w:spacing w:after="0"/>
              <w:ind w:left="0"/>
              <w:rPr>
                <w:rFonts w:cs="Calibri"/>
                <w:color w:val="000000"/>
                <w:szCs w:val="24"/>
              </w:rPr>
            </w:pPr>
            <w:r w:rsidRPr="00C94FE5">
              <w:rPr>
                <w:rFonts w:cs="Calibri"/>
                <w:color w:val="000000"/>
                <w:szCs w:val="24"/>
              </w:rPr>
              <w:t>Weekly</w:t>
            </w:r>
          </w:p>
        </w:tc>
        <w:tc>
          <w:tcPr>
            <w:tcW w:w="1800" w:type="dxa"/>
            <w:vAlign w:val="center"/>
          </w:tcPr>
          <w:p w14:paraId="2B4AB846" w14:textId="77777777" w:rsidR="00605110" w:rsidRPr="00C94FE5" w:rsidRDefault="00605110" w:rsidP="00C94FE5">
            <w:pPr>
              <w:pStyle w:val="KBulletList2"/>
              <w:numPr>
                <w:ilvl w:val="0"/>
                <w:numId w:val="0"/>
              </w:numPr>
              <w:rPr>
                <w:rFonts w:cs="Calibri"/>
                <w:color w:val="000000"/>
                <w:sz w:val="24"/>
                <w:szCs w:val="24"/>
              </w:rPr>
            </w:pPr>
            <w:r w:rsidRPr="00C94FE5">
              <w:rPr>
                <w:rFonts w:cs="Calibri"/>
                <w:color w:val="000000"/>
                <w:sz w:val="24"/>
                <w:szCs w:val="24"/>
              </w:rPr>
              <w:t>Same Contact Phone</w:t>
            </w:r>
          </w:p>
        </w:tc>
        <w:tc>
          <w:tcPr>
            <w:tcW w:w="7070" w:type="dxa"/>
            <w:vAlign w:val="center"/>
          </w:tcPr>
          <w:p w14:paraId="6C8C2FCA" w14:textId="77777777" w:rsidR="00605110" w:rsidRPr="00C94FE5" w:rsidRDefault="00605110" w:rsidP="00C94FE5">
            <w:pPr>
              <w:spacing w:after="0"/>
              <w:ind w:left="0"/>
              <w:rPr>
                <w:rFonts w:cs="Calibri"/>
                <w:color w:val="000000"/>
                <w:szCs w:val="24"/>
              </w:rPr>
            </w:pPr>
            <w:r w:rsidRPr="00C94FE5">
              <w:rPr>
                <w:rFonts w:cs="Calibri"/>
                <w:color w:val="000000"/>
                <w:szCs w:val="24"/>
              </w:rPr>
              <w:t>Identifies claims using the same contact telephone number</w:t>
            </w:r>
          </w:p>
        </w:tc>
      </w:tr>
      <w:tr w:rsidR="00605110" w:rsidRPr="000E4EAF" w14:paraId="1AF6CE70" w14:textId="77777777" w:rsidTr="00DF6F9D">
        <w:trPr>
          <w:trHeight w:val="383"/>
        </w:trPr>
        <w:tc>
          <w:tcPr>
            <w:tcW w:w="691" w:type="dxa"/>
            <w:vAlign w:val="center"/>
          </w:tcPr>
          <w:p w14:paraId="3033805C" w14:textId="77777777" w:rsidR="00605110" w:rsidRPr="00C94FE5" w:rsidRDefault="00605110" w:rsidP="00C94FE5">
            <w:pPr>
              <w:spacing w:after="0"/>
              <w:ind w:left="0"/>
              <w:jc w:val="center"/>
              <w:rPr>
                <w:rFonts w:cs="Calibri"/>
                <w:color w:val="000000"/>
                <w:szCs w:val="24"/>
              </w:rPr>
            </w:pPr>
            <w:r w:rsidRPr="00C94FE5">
              <w:rPr>
                <w:rFonts w:cs="Calibri"/>
                <w:color w:val="000000"/>
                <w:szCs w:val="24"/>
              </w:rPr>
              <w:t>35</w:t>
            </w:r>
          </w:p>
        </w:tc>
        <w:tc>
          <w:tcPr>
            <w:tcW w:w="1627" w:type="dxa"/>
            <w:vAlign w:val="center"/>
          </w:tcPr>
          <w:p w14:paraId="42D0213D" w14:textId="77777777" w:rsidR="00605110" w:rsidRPr="00C94FE5" w:rsidRDefault="00605110" w:rsidP="00C94FE5">
            <w:pPr>
              <w:spacing w:after="0"/>
              <w:ind w:left="0"/>
              <w:rPr>
                <w:rFonts w:cs="Calibri"/>
                <w:color w:val="000000"/>
                <w:szCs w:val="24"/>
              </w:rPr>
            </w:pPr>
            <w:r w:rsidRPr="00C94FE5">
              <w:rPr>
                <w:rFonts w:cs="Calibri"/>
                <w:color w:val="000000"/>
                <w:szCs w:val="24"/>
              </w:rPr>
              <w:t>Weekly</w:t>
            </w:r>
          </w:p>
        </w:tc>
        <w:tc>
          <w:tcPr>
            <w:tcW w:w="1800" w:type="dxa"/>
            <w:vAlign w:val="center"/>
          </w:tcPr>
          <w:p w14:paraId="4597F681" w14:textId="77777777" w:rsidR="00605110" w:rsidRPr="00C94FE5" w:rsidRDefault="00605110" w:rsidP="00C94FE5">
            <w:pPr>
              <w:pStyle w:val="KBulletList2"/>
              <w:numPr>
                <w:ilvl w:val="0"/>
                <w:numId w:val="0"/>
              </w:numPr>
              <w:rPr>
                <w:rFonts w:cs="Calibri"/>
                <w:color w:val="000000"/>
                <w:sz w:val="24"/>
                <w:szCs w:val="24"/>
              </w:rPr>
            </w:pPr>
            <w:r w:rsidRPr="00C94FE5">
              <w:rPr>
                <w:rFonts w:cs="Calibri"/>
                <w:color w:val="000000"/>
                <w:sz w:val="24"/>
                <w:szCs w:val="24"/>
              </w:rPr>
              <w:t>Valid SSN</w:t>
            </w:r>
          </w:p>
        </w:tc>
        <w:tc>
          <w:tcPr>
            <w:tcW w:w="7070" w:type="dxa"/>
            <w:vAlign w:val="center"/>
          </w:tcPr>
          <w:p w14:paraId="71D8886E" w14:textId="60CFD9D4" w:rsidR="00605110" w:rsidRPr="00C94FE5" w:rsidRDefault="00605110" w:rsidP="00C94FE5">
            <w:pPr>
              <w:spacing w:after="0"/>
              <w:ind w:left="0"/>
              <w:rPr>
                <w:rFonts w:cs="Calibri"/>
                <w:color w:val="000000"/>
                <w:szCs w:val="24"/>
              </w:rPr>
            </w:pPr>
            <w:r w:rsidRPr="00C94FE5">
              <w:rPr>
                <w:rFonts w:cs="Calibri"/>
                <w:color w:val="000000"/>
                <w:szCs w:val="24"/>
              </w:rPr>
              <w:t xml:space="preserve">Identifies claims which were filed using </w:t>
            </w:r>
            <w:r w:rsidR="002D141E">
              <w:rPr>
                <w:rFonts w:cs="Calibri"/>
                <w:color w:val="000000"/>
                <w:szCs w:val="24"/>
              </w:rPr>
              <w:t xml:space="preserve">SSNs </w:t>
            </w:r>
            <w:r w:rsidRPr="00C94FE5">
              <w:rPr>
                <w:rFonts w:cs="Calibri"/>
                <w:color w:val="000000"/>
                <w:szCs w:val="24"/>
              </w:rPr>
              <w:t>that are not valid.</w:t>
            </w:r>
          </w:p>
        </w:tc>
      </w:tr>
      <w:tr w:rsidR="00605110" w:rsidRPr="000E4EAF" w14:paraId="64D11489" w14:textId="77777777" w:rsidTr="00DF6F9D">
        <w:trPr>
          <w:trHeight w:val="383"/>
        </w:trPr>
        <w:tc>
          <w:tcPr>
            <w:tcW w:w="691" w:type="dxa"/>
            <w:vAlign w:val="center"/>
          </w:tcPr>
          <w:p w14:paraId="095A5683" w14:textId="77777777" w:rsidR="00605110" w:rsidRPr="00C94FE5" w:rsidRDefault="00605110" w:rsidP="00C94FE5">
            <w:pPr>
              <w:spacing w:after="0"/>
              <w:ind w:left="0"/>
              <w:jc w:val="center"/>
              <w:rPr>
                <w:rFonts w:cs="Calibri"/>
                <w:color w:val="000000"/>
                <w:szCs w:val="24"/>
              </w:rPr>
            </w:pPr>
            <w:r w:rsidRPr="00C94FE5">
              <w:rPr>
                <w:rFonts w:cs="Calibri"/>
                <w:color w:val="000000"/>
                <w:szCs w:val="24"/>
              </w:rPr>
              <w:t>36</w:t>
            </w:r>
          </w:p>
        </w:tc>
        <w:tc>
          <w:tcPr>
            <w:tcW w:w="1627" w:type="dxa"/>
            <w:vAlign w:val="center"/>
          </w:tcPr>
          <w:p w14:paraId="69B59F6D" w14:textId="77777777" w:rsidR="00605110" w:rsidRPr="00C94FE5" w:rsidRDefault="00605110" w:rsidP="00C94FE5">
            <w:pPr>
              <w:spacing w:after="0"/>
              <w:ind w:left="0"/>
              <w:rPr>
                <w:rFonts w:cs="Calibri"/>
                <w:color w:val="000000"/>
                <w:szCs w:val="24"/>
              </w:rPr>
            </w:pPr>
            <w:r w:rsidRPr="00C94FE5">
              <w:rPr>
                <w:rFonts w:cs="Calibri"/>
                <w:color w:val="000000"/>
                <w:szCs w:val="24"/>
              </w:rPr>
              <w:t>Weekly</w:t>
            </w:r>
          </w:p>
        </w:tc>
        <w:tc>
          <w:tcPr>
            <w:tcW w:w="1800" w:type="dxa"/>
            <w:vAlign w:val="center"/>
          </w:tcPr>
          <w:p w14:paraId="77B20F81" w14:textId="77777777" w:rsidR="00605110" w:rsidRPr="00C94FE5" w:rsidRDefault="00605110" w:rsidP="00C94FE5">
            <w:pPr>
              <w:pStyle w:val="KBulletList2"/>
              <w:numPr>
                <w:ilvl w:val="0"/>
                <w:numId w:val="0"/>
              </w:numPr>
              <w:rPr>
                <w:rFonts w:cs="Calibri"/>
                <w:color w:val="000000"/>
                <w:sz w:val="24"/>
                <w:szCs w:val="24"/>
              </w:rPr>
            </w:pPr>
            <w:r w:rsidRPr="00C94FE5">
              <w:rPr>
                <w:rFonts w:cs="Calibri"/>
                <w:color w:val="000000"/>
                <w:sz w:val="24"/>
                <w:szCs w:val="24"/>
              </w:rPr>
              <w:t>Minor Claims</w:t>
            </w:r>
          </w:p>
        </w:tc>
        <w:tc>
          <w:tcPr>
            <w:tcW w:w="7070" w:type="dxa"/>
            <w:vAlign w:val="center"/>
          </w:tcPr>
          <w:p w14:paraId="0509D22F" w14:textId="7D6060DC" w:rsidR="00605110" w:rsidRPr="00C94FE5" w:rsidRDefault="00605110" w:rsidP="00C94FE5">
            <w:pPr>
              <w:spacing w:after="0"/>
              <w:ind w:left="0"/>
              <w:rPr>
                <w:rFonts w:cs="Calibri"/>
                <w:color w:val="000000"/>
                <w:szCs w:val="24"/>
              </w:rPr>
            </w:pPr>
            <w:r w:rsidRPr="00C94FE5">
              <w:rPr>
                <w:rFonts w:cs="Calibri"/>
                <w:color w:val="000000"/>
                <w:szCs w:val="24"/>
              </w:rPr>
              <w:t xml:space="preserve">Identifies </w:t>
            </w:r>
            <w:r w:rsidR="009521D7">
              <w:rPr>
                <w:rFonts w:cs="Calibri"/>
                <w:color w:val="000000"/>
                <w:szCs w:val="24"/>
              </w:rPr>
              <w:t>Claimants</w:t>
            </w:r>
            <w:r w:rsidRPr="00C94FE5">
              <w:rPr>
                <w:rFonts w:cs="Calibri"/>
                <w:color w:val="000000"/>
                <w:szCs w:val="24"/>
              </w:rPr>
              <w:t xml:space="preserve"> who are under the age eighteen.</w:t>
            </w:r>
          </w:p>
        </w:tc>
      </w:tr>
      <w:tr w:rsidR="00605110" w:rsidRPr="000E4EAF" w14:paraId="11E83C93" w14:textId="77777777" w:rsidTr="00DF6F9D">
        <w:trPr>
          <w:trHeight w:val="383"/>
        </w:trPr>
        <w:tc>
          <w:tcPr>
            <w:tcW w:w="691" w:type="dxa"/>
            <w:vAlign w:val="center"/>
          </w:tcPr>
          <w:p w14:paraId="440DC634" w14:textId="77777777" w:rsidR="00605110" w:rsidRPr="00C94FE5" w:rsidRDefault="00605110" w:rsidP="00C94FE5">
            <w:pPr>
              <w:spacing w:after="0"/>
              <w:ind w:left="0"/>
              <w:jc w:val="center"/>
              <w:rPr>
                <w:rFonts w:cs="Calibri"/>
                <w:color w:val="000000"/>
                <w:szCs w:val="24"/>
              </w:rPr>
            </w:pPr>
            <w:r w:rsidRPr="00C94FE5">
              <w:rPr>
                <w:rFonts w:cs="Calibri"/>
                <w:color w:val="000000"/>
                <w:szCs w:val="24"/>
              </w:rPr>
              <w:t>37</w:t>
            </w:r>
          </w:p>
        </w:tc>
        <w:tc>
          <w:tcPr>
            <w:tcW w:w="1627" w:type="dxa"/>
            <w:vAlign w:val="center"/>
          </w:tcPr>
          <w:p w14:paraId="5F798B16" w14:textId="77777777" w:rsidR="00605110" w:rsidRPr="00C94FE5" w:rsidRDefault="00605110" w:rsidP="00C94FE5">
            <w:pPr>
              <w:spacing w:after="0"/>
              <w:ind w:left="0"/>
              <w:rPr>
                <w:rFonts w:cs="Calibri"/>
                <w:color w:val="000000"/>
                <w:szCs w:val="24"/>
              </w:rPr>
            </w:pPr>
            <w:r w:rsidRPr="00C94FE5">
              <w:rPr>
                <w:rFonts w:cs="Calibri"/>
                <w:color w:val="000000"/>
                <w:szCs w:val="24"/>
              </w:rPr>
              <w:t>Weekly</w:t>
            </w:r>
          </w:p>
        </w:tc>
        <w:tc>
          <w:tcPr>
            <w:tcW w:w="1800" w:type="dxa"/>
            <w:vAlign w:val="center"/>
          </w:tcPr>
          <w:p w14:paraId="54D9AECC" w14:textId="77777777" w:rsidR="00605110" w:rsidRPr="00C94FE5" w:rsidRDefault="00605110" w:rsidP="00C94FE5">
            <w:pPr>
              <w:pStyle w:val="KBulletList2"/>
              <w:numPr>
                <w:ilvl w:val="0"/>
                <w:numId w:val="0"/>
              </w:numPr>
              <w:rPr>
                <w:rFonts w:cs="Calibri"/>
                <w:color w:val="000000"/>
                <w:sz w:val="24"/>
                <w:szCs w:val="24"/>
              </w:rPr>
            </w:pPr>
            <w:r w:rsidRPr="00C94FE5">
              <w:rPr>
                <w:rFonts w:cs="Calibri"/>
                <w:color w:val="000000"/>
                <w:sz w:val="24"/>
                <w:szCs w:val="24"/>
              </w:rPr>
              <w:t>Multiple DD</w:t>
            </w:r>
          </w:p>
        </w:tc>
        <w:tc>
          <w:tcPr>
            <w:tcW w:w="7070" w:type="dxa"/>
            <w:vAlign w:val="center"/>
          </w:tcPr>
          <w:p w14:paraId="3E139FDA" w14:textId="77777777" w:rsidR="00605110" w:rsidRPr="00C94FE5" w:rsidRDefault="00605110" w:rsidP="00C94FE5">
            <w:pPr>
              <w:spacing w:after="0"/>
              <w:ind w:left="0"/>
              <w:rPr>
                <w:rFonts w:cs="Calibri"/>
                <w:color w:val="000000"/>
                <w:szCs w:val="24"/>
              </w:rPr>
            </w:pPr>
            <w:r w:rsidRPr="00C94FE5">
              <w:rPr>
                <w:rFonts w:cs="Calibri"/>
                <w:color w:val="000000"/>
                <w:szCs w:val="24"/>
              </w:rPr>
              <w:t>Identifies multiple claims using the same bank accounts for direct deposits.</w:t>
            </w:r>
          </w:p>
        </w:tc>
      </w:tr>
    </w:tbl>
    <w:p w14:paraId="156886BB" w14:textId="77777777" w:rsidR="00605110" w:rsidRPr="00740E35" w:rsidRDefault="00605110" w:rsidP="00605110"/>
    <w:p w14:paraId="660577AB" w14:textId="77777777" w:rsidR="00605110" w:rsidRPr="00605110" w:rsidRDefault="00605110" w:rsidP="00604BDA">
      <w:pPr>
        <w:keepNext/>
        <w:rPr>
          <w:rFonts w:eastAsia="Verdana,Times New Roman" w:cs="Verdana,Times New Roman"/>
          <w:b/>
          <w:bCs/>
          <w:u w:val="single"/>
        </w:rPr>
      </w:pPr>
      <w:r w:rsidRPr="00605110">
        <w:rPr>
          <w:rFonts w:eastAsia="Verdana,Times New Roman" w:cs="Verdana,Times New Roman"/>
          <w:b/>
          <w:bCs/>
          <w:u w:val="single"/>
        </w:rPr>
        <w:t xml:space="preserve">Collection Reports – Tax </w:t>
      </w:r>
    </w:p>
    <w:tbl>
      <w:tblPr>
        <w:tblStyle w:val="TableGrid"/>
        <w:tblW w:w="11302" w:type="dxa"/>
        <w:tblInd w:w="-72" w:type="dxa"/>
        <w:tblLayout w:type="fixed"/>
        <w:tblLook w:val="04A0" w:firstRow="1" w:lastRow="0" w:firstColumn="1" w:lastColumn="0" w:noHBand="0" w:noVBand="1"/>
        <w:tblDescription w:val="Table of RID reports"/>
      </w:tblPr>
      <w:tblGrid>
        <w:gridCol w:w="697"/>
        <w:gridCol w:w="1661"/>
        <w:gridCol w:w="2390"/>
        <w:gridCol w:w="6554"/>
      </w:tblGrid>
      <w:tr w:rsidR="00605110" w:rsidRPr="000E4EAF" w14:paraId="75E757B0" w14:textId="77777777" w:rsidTr="00FB2060">
        <w:trPr>
          <w:trHeight w:val="258"/>
          <w:tblHeader/>
        </w:trPr>
        <w:tc>
          <w:tcPr>
            <w:tcW w:w="697" w:type="dxa"/>
            <w:shd w:val="clear" w:color="auto" w:fill="DEEAF6" w:themeFill="accent1" w:themeFillTint="33"/>
            <w:vAlign w:val="center"/>
          </w:tcPr>
          <w:p w14:paraId="7ACCBCC0" w14:textId="77777777" w:rsidR="00605110" w:rsidRPr="001A193D" w:rsidRDefault="00605110" w:rsidP="00604BDA">
            <w:pPr>
              <w:keepNext/>
              <w:spacing w:after="0"/>
              <w:ind w:left="0"/>
              <w:jc w:val="center"/>
              <w:rPr>
                <w:b/>
                <w:i/>
                <w:color w:val="1F3864" w:themeColor="accent5" w:themeShade="80"/>
                <w:szCs w:val="22"/>
              </w:rPr>
            </w:pPr>
            <w:r w:rsidRPr="001A193D">
              <w:rPr>
                <w:rFonts w:cs="Arial"/>
                <w:b/>
                <w:color w:val="1F3864" w:themeColor="accent5" w:themeShade="80"/>
                <w:szCs w:val="22"/>
              </w:rPr>
              <w:t>#</w:t>
            </w:r>
          </w:p>
        </w:tc>
        <w:tc>
          <w:tcPr>
            <w:tcW w:w="1661" w:type="dxa"/>
            <w:shd w:val="clear" w:color="auto" w:fill="DEEAF6" w:themeFill="accent1" w:themeFillTint="33"/>
            <w:vAlign w:val="center"/>
          </w:tcPr>
          <w:p w14:paraId="1B720597" w14:textId="77777777" w:rsidR="00605110" w:rsidRPr="001A193D" w:rsidRDefault="00605110" w:rsidP="00604BDA">
            <w:pPr>
              <w:keepNext/>
              <w:spacing w:after="0"/>
              <w:ind w:left="0"/>
              <w:rPr>
                <w:b/>
                <w:i/>
                <w:color w:val="1F3864" w:themeColor="accent5" w:themeShade="80"/>
                <w:szCs w:val="22"/>
              </w:rPr>
            </w:pPr>
            <w:r w:rsidRPr="001A193D">
              <w:rPr>
                <w:rFonts w:cs="Arial"/>
                <w:b/>
                <w:color w:val="1F3864" w:themeColor="accent5" w:themeShade="80"/>
                <w:szCs w:val="22"/>
              </w:rPr>
              <w:t>Frequency</w:t>
            </w:r>
          </w:p>
        </w:tc>
        <w:tc>
          <w:tcPr>
            <w:tcW w:w="2390" w:type="dxa"/>
            <w:shd w:val="clear" w:color="auto" w:fill="DEEAF6" w:themeFill="accent1" w:themeFillTint="33"/>
            <w:vAlign w:val="center"/>
          </w:tcPr>
          <w:p w14:paraId="004D44CE" w14:textId="77777777" w:rsidR="00605110" w:rsidRPr="001A193D" w:rsidRDefault="00605110" w:rsidP="00604BDA">
            <w:pPr>
              <w:keepNext/>
              <w:spacing w:after="0"/>
              <w:ind w:left="0"/>
              <w:rPr>
                <w:b/>
                <w:i/>
                <w:color w:val="1F3864" w:themeColor="accent5" w:themeShade="80"/>
                <w:szCs w:val="22"/>
              </w:rPr>
            </w:pPr>
            <w:r w:rsidRPr="001A193D">
              <w:rPr>
                <w:rFonts w:cs="Arial"/>
                <w:b/>
                <w:color w:val="1F3864" w:themeColor="accent5" w:themeShade="80"/>
                <w:szCs w:val="22"/>
              </w:rPr>
              <w:t>Name</w:t>
            </w:r>
          </w:p>
        </w:tc>
        <w:tc>
          <w:tcPr>
            <w:tcW w:w="6554" w:type="dxa"/>
            <w:shd w:val="clear" w:color="auto" w:fill="DEEAF6" w:themeFill="accent1" w:themeFillTint="33"/>
            <w:vAlign w:val="center"/>
          </w:tcPr>
          <w:p w14:paraId="2F55493C" w14:textId="77777777" w:rsidR="00605110" w:rsidRPr="001A193D" w:rsidRDefault="00605110" w:rsidP="00604BDA">
            <w:pPr>
              <w:keepNext/>
              <w:spacing w:after="0"/>
              <w:ind w:left="0"/>
              <w:rPr>
                <w:b/>
                <w:i/>
                <w:color w:val="1F3864" w:themeColor="accent5" w:themeShade="80"/>
                <w:szCs w:val="22"/>
              </w:rPr>
            </w:pPr>
            <w:r w:rsidRPr="001A193D">
              <w:rPr>
                <w:rFonts w:cs="Arial"/>
                <w:b/>
                <w:color w:val="1F3864" w:themeColor="accent5" w:themeShade="80"/>
                <w:szCs w:val="22"/>
              </w:rPr>
              <w:t>Overview</w:t>
            </w:r>
          </w:p>
        </w:tc>
      </w:tr>
      <w:tr w:rsidR="00605110" w:rsidRPr="000E4EAF" w14:paraId="14A2B2EF" w14:textId="77777777" w:rsidTr="00FB2060">
        <w:trPr>
          <w:trHeight w:val="300"/>
        </w:trPr>
        <w:tc>
          <w:tcPr>
            <w:tcW w:w="697" w:type="dxa"/>
            <w:noWrap/>
            <w:vAlign w:val="center"/>
            <w:hideMark/>
          </w:tcPr>
          <w:p w14:paraId="471C01CF" w14:textId="77777777" w:rsidR="00605110" w:rsidRPr="00AE79C1" w:rsidRDefault="00605110" w:rsidP="00AE79C1">
            <w:pPr>
              <w:spacing w:after="0"/>
              <w:ind w:left="0"/>
              <w:jc w:val="center"/>
              <w:rPr>
                <w:rFonts w:cs="Calibri"/>
                <w:color w:val="000000"/>
                <w:szCs w:val="24"/>
              </w:rPr>
            </w:pPr>
            <w:r w:rsidRPr="00AE79C1">
              <w:rPr>
                <w:rFonts w:cs="Calibri"/>
                <w:color w:val="000000"/>
                <w:szCs w:val="24"/>
              </w:rPr>
              <w:t>1</w:t>
            </w:r>
          </w:p>
        </w:tc>
        <w:tc>
          <w:tcPr>
            <w:tcW w:w="1661" w:type="dxa"/>
            <w:noWrap/>
            <w:vAlign w:val="center"/>
          </w:tcPr>
          <w:p w14:paraId="187E3A3E" w14:textId="77777777" w:rsidR="00605110" w:rsidRPr="00AE79C1" w:rsidRDefault="00605110" w:rsidP="00AE79C1">
            <w:pPr>
              <w:spacing w:after="0"/>
              <w:ind w:left="0"/>
              <w:rPr>
                <w:rFonts w:cs="Calibri"/>
                <w:color w:val="000000"/>
                <w:szCs w:val="24"/>
              </w:rPr>
            </w:pPr>
            <w:r w:rsidRPr="00AE79C1">
              <w:rPr>
                <w:rFonts w:cs="Calibri"/>
                <w:color w:val="000000"/>
                <w:szCs w:val="24"/>
              </w:rPr>
              <w:t>Monthly</w:t>
            </w:r>
          </w:p>
        </w:tc>
        <w:tc>
          <w:tcPr>
            <w:tcW w:w="2390" w:type="dxa"/>
            <w:noWrap/>
            <w:vAlign w:val="center"/>
          </w:tcPr>
          <w:p w14:paraId="3D8D2069" w14:textId="4ED96978" w:rsidR="00605110" w:rsidRPr="00AE79C1" w:rsidRDefault="00605110" w:rsidP="00AE79C1">
            <w:pPr>
              <w:spacing w:after="0"/>
              <w:ind w:left="0"/>
              <w:rPr>
                <w:rFonts w:cs="Calibri"/>
                <w:color w:val="000000"/>
                <w:szCs w:val="24"/>
              </w:rPr>
            </w:pPr>
            <w:r w:rsidRPr="00AE79C1">
              <w:rPr>
                <w:rFonts w:cs="Calibri"/>
                <w:color w:val="000000"/>
                <w:szCs w:val="24"/>
              </w:rPr>
              <w:t xml:space="preserve">Agricultural </w:t>
            </w:r>
            <w:r w:rsidR="0021479B">
              <w:rPr>
                <w:rFonts w:cs="Calibri"/>
                <w:color w:val="000000"/>
                <w:szCs w:val="24"/>
              </w:rPr>
              <w:t>Services</w:t>
            </w:r>
            <w:r w:rsidRPr="00AE79C1">
              <w:rPr>
                <w:rFonts w:cs="Calibri"/>
                <w:color w:val="000000"/>
                <w:szCs w:val="24"/>
              </w:rPr>
              <w:t xml:space="preserve"> - Labor Agents</w:t>
            </w:r>
          </w:p>
        </w:tc>
        <w:tc>
          <w:tcPr>
            <w:tcW w:w="6554" w:type="dxa"/>
            <w:vAlign w:val="center"/>
          </w:tcPr>
          <w:p w14:paraId="6A212559" w14:textId="77777777" w:rsidR="00605110" w:rsidRPr="00AE79C1" w:rsidRDefault="00605110" w:rsidP="00AE79C1">
            <w:pPr>
              <w:spacing w:after="0"/>
              <w:ind w:left="0"/>
              <w:rPr>
                <w:rFonts w:cs="Calibri"/>
                <w:color w:val="000000"/>
                <w:szCs w:val="24"/>
              </w:rPr>
            </w:pPr>
            <w:r w:rsidRPr="00AE79C1">
              <w:rPr>
                <w:rFonts w:cs="Calibri"/>
                <w:color w:val="000000"/>
                <w:szCs w:val="24"/>
              </w:rPr>
              <w:t>Delinquent labor agent accounts (report currently disabled)</w:t>
            </w:r>
          </w:p>
        </w:tc>
      </w:tr>
      <w:tr w:rsidR="00605110" w:rsidRPr="000E4EAF" w14:paraId="24DB6B91" w14:textId="77777777" w:rsidTr="00FB2060">
        <w:trPr>
          <w:trHeight w:val="300"/>
        </w:trPr>
        <w:tc>
          <w:tcPr>
            <w:tcW w:w="697" w:type="dxa"/>
            <w:noWrap/>
            <w:vAlign w:val="center"/>
            <w:hideMark/>
          </w:tcPr>
          <w:p w14:paraId="40B72802" w14:textId="77777777" w:rsidR="00605110" w:rsidRPr="00AE79C1" w:rsidRDefault="00605110" w:rsidP="00AE79C1">
            <w:pPr>
              <w:spacing w:after="0"/>
              <w:ind w:left="0"/>
              <w:jc w:val="center"/>
              <w:rPr>
                <w:rFonts w:cs="Calibri"/>
                <w:color w:val="000000"/>
                <w:szCs w:val="24"/>
              </w:rPr>
            </w:pPr>
            <w:r w:rsidRPr="00AE79C1">
              <w:rPr>
                <w:rFonts w:cs="Calibri"/>
                <w:color w:val="000000"/>
                <w:szCs w:val="24"/>
              </w:rPr>
              <w:t>2</w:t>
            </w:r>
          </w:p>
        </w:tc>
        <w:tc>
          <w:tcPr>
            <w:tcW w:w="1661" w:type="dxa"/>
            <w:noWrap/>
            <w:vAlign w:val="center"/>
          </w:tcPr>
          <w:p w14:paraId="4D869C82" w14:textId="77777777" w:rsidR="00605110" w:rsidRPr="00AE79C1" w:rsidRDefault="00605110" w:rsidP="00AE79C1">
            <w:pPr>
              <w:spacing w:after="0"/>
              <w:ind w:left="0"/>
              <w:rPr>
                <w:rFonts w:cs="Calibri"/>
                <w:color w:val="000000"/>
                <w:szCs w:val="24"/>
              </w:rPr>
            </w:pPr>
            <w:r w:rsidRPr="00AE79C1">
              <w:rPr>
                <w:rFonts w:cs="Calibri"/>
                <w:color w:val="000000"/>
                <w:szCs w:val="24"/>
              </w:rPr>
              <w:t>Daily</w:t>
            </w:r>
          </w:p>
        </w:tc>
        <w:tc>
          <w:tcPr>
            <w:tcW w:w="2390" w:type="dxa"/>
            <w:noWrap/>
            <w:vAlign w:val="center"/>
          </w:tcPr>
          <w:p w14:paraId="402F0184" w14:textId="77777777" w:rsidR="00605110" w:rsidRPr="00AE79C1" w:rsidRDefault="00605110" w:rsidP="00AE79C1">
            <w:pPr>
              <w:spacing w:after="0"/>
              <w:ind w:left="0"/>
              <w:rPr>
                <w:rFonts w:cs="Calibri"/>
                <w:color w:val="000000"/>
                <w:szCs w:val="24"/>
              </w:rPr>
            </w:pPr>
            <w:r w:rsidRPr="00AE79C1">
              <w:rPr>
                <w:rFonts w:cs="Calibri"/>
                <w:color w:val="000000"/>
                <w:szCs w:val="24"/>
              </w:rPr>
              <w:t>Fiduciary C-100 Error List</w:t>
            </w:r>
          </w:p>
        </w:tc>
        <w:tc>
          <w:tcPr>
            <w:tcW w:w="6554" w:type="dxa"/>
            <w:vAlign w:val="center"/>
          </w:tcPr>
          <w:p w14:paraId="6659FA12" w14:textId="77777777" w:rsidR="00605110" w:rsidRPr="00AE79C1" w:rsidRDefault="00605110" w:rsidP="00AE79C1">
            <w:pPr>
              <w:spacing w:after="0"/>
              <w:ind w:left="0"/>
              <w:rPr>
                <w:rFonts w:cs="Calibri"/>
                <w:color w:val="000000"/>
                <w:szCs w:val="24"/>
              </w:rPr>
            </w:pPr>
            <w:r w:rsidRPr="00AE79C1">
              <w:rPr>
                <w:rFonts w:cs="Calibri"/>
                <w:color w:val="000000"/>
                <w:szCs w:val="24"/>
              </w:rPr>
              <w:t>Provides a summary of the accounts where a payment error was identified in the CFI screen record (via CFF screen having to do with funds claimed)</w:t>
            </w:r>
          </w:p>
        </w:tc>
      </w:tr>
      <w:tr w:rsidR="00605110" w:rsidRPr="000E4EAF" w14:paraId="22FD9057" w14:textId="77777777" w:rsidTr="00FB2060">
        <w:trPr>
          <w:trHeight w:val="300"/>
        </w:trPr>
        <w:tc>
          <w:tcPr>
            <w:tcW w:w="697" w:type="dxa"/>
            <w:noWrap/>
            <w:vAlign w:val="center"/>
            <w:hideMark/>
          </w:tcPr>
          <w:p w14:paraId="10BA6A27" w14:textId="77777777" w:rsidR="00605110" w:rsidRPr="00AE79C1" w:rsidRDefault="00605110" w:rsidP="00AE79C1">
            <w:pPr>
              <w:spacing w:after="0"/>
              <w:ind w:left="0"/>
              <w:jc w:val="center"/>
              <w:rPr>
                <w:rFonts w:cs="Calibri"/>
                <w:color w:val="000000"/>
                <w:szCs w:val="24"/>
              </w:rPr>
            </w:pPr>
            <w:r w:rsidRPr="00AE79C1">
              <w:rPr>
                <w:rFonts w:cs="Calibri"/>
                <w:color w:val="000000"/>
                <w:szCs w:val="24"/>
              </w:rPr>
              <w:t>3</w:t>
            </w:r>
          </w:p>
        </w:tc>
        <w:tc>
          <w:tcPr>
            <w:tcW w:w="1661" w:type="dxa"/>
            <w:noWrap/>
            <w:vAlign w:val="center"/>
          </w:tcPr>
          <w:p w14:paraId="5A8710CA" w14:textId="77777777" w:rsidR="00605110" w:rsidRPr="00AE79C1" w:rsidRDefault="00605110" w:rsidP="00AE79C1">
            <w:pPr>
              <w:spacing w:after="0"/>
              <w:ind w:left="0"/>
              <w:rPr>
                <w:rFonts w:cs="Calibri"/>
                <w:color w:val="000000"/>
                <w:szCs w:val="24"/>
              </w:rPr>
            </w:pPr>
            <w:r w:rsidRPr="00AE79C1">
              <w:rPr>
                <w:rFonts w:cs="Calibri"/>
                <w:color w:val="000000"/>
                <w:szCs w:val="24"/>
              </w:rPr>
              <w:t>Daily</w:t>
            </w:r>
          </w:p>
        </w:tc>
        <w:tc>
          <w:tcPr>
            <w:tcW w:w="2390" w:type="dxa"/>
            <w:noWrap/>
            <w:vAlign w:val="center"/>
          </w:tcPr>
          <w:p w14:paraId="0A9BFF2F" w14:textId="77777777" w:rsidR="00605110" w:rsidRPr="00AE79C1" w:rsidRDefault="00605110" w:rsidP="00AE79C1">
            <w:pPr>
              <w:spacing w:after="0"/>
              <w:ind w:left="0"/>
              <w:rPr>
                <w:rFonts w:cs="Calibri"/>
                <w:color w:val="000000"/>
                <w:szCs w:val="24"/>
              </w:rPr>
            </w:pPr>
            <w:r w:rsidRPr="00AE79C1">
              <w:rPr>
                <w:rFonts w:cs="Calibri"/>
                <w:color w:val="000000"/>
                <w:szCs w:val="24"/>
              </w:rPr>
              <w:t>Vendor Hold List</w:t>
            </w:r>
          </w:p>
        </w:tc>
        <w:tc>
          <w:tcPr>
            <w:tcW w:w="6554" w:type="dxa"/>
            <w:vAlign w:val="center"/>
          </w:tcPr>
          <w:p w14:paraId="1D9973D6" w14:textId="77777777" w:rsidR="00605110" w:rsidRPr="00AE79C1" w:rsidRDefault="00605110" w:rsidP="00AE79C1">
            <w:pPr>
              <w:spacing w:after="0"/>
              <w:ind w:left="0"/>
              <w:rPr>
                <w:rFonts w:cs="Calibri"/>
                <w:color w:val="000000"/>
                <w:szCs w:val="24"/>
              </w:rPr>
            </w:pPr>
            <w:r w:rsidRPr="00AE79C1">
              <w:rPr>
                <w:rFonts w:cs="Calibri"/>
                <w:color w:val="000000"/>
                <w:szCs w:val="24"/>
              </w:rPr>
              <w:t xml:space="preserve">Indicates accounts where vendor hold was placed with Comptroller </w:t>
            </w:r>
          </w:p>
        </w:tc>
      </w:tr>
      <w:tr w:rsidR="00605110" w:rsidRPr="000E4EAF" w14:paraId="091844B5" w14:textId="77777777" w:rsidTr="00FB2060">
        <w:trPr>
          <w:trHeight w:val="300"/>
        </w:trPr>
        <w:tc>
          <w:tcPr>
            <w:tcW w:w="697" w:type="dxa"/>
            <w:noWrap/>
            <w:vAlign w:val="center"/>
            <w:hideMark/>
          </w:tcPr>
          <w:p w14:paraId="74972AE6" w14:textId="77777777" w:rsidR="00605110" w:rsidRPr="00AE79C1" w:rsidRDefault="00605110" w:rsidP="00AE79C1">
            <w:pPr>
              <w:spacing w:after="0"/>
              <w:ind w:left="0"/>
              <w:jc w:val="center"/>
              <w:rPr>
                <w:rFonts w:cs="Calibri"/>
                <w:color w:val="000000"/>
                <w:szCs w:val="24"/>
              </w:rPr>
            </w:pPr>
            <w:r w:rsidRPr="00AE79C1">
              <w:rPr>
                <w:rFonts w:cs="Calibri"/>
                <w:color w:val="000000"/>
                <w:szCs w:val="24"/>
              </w:rPr>
              <w:t>4</w:t>
            </w:r>
          </w:p>
        </w:tc>
        <w:tc>
          <w:tcPr>
            <w:tcW w:w="1661" w:type="dxa"/>
            <w:noWrap/>
            <w:vAlign w:val="center"/>
          </w:tcPr>
          <w:p w14:paraId="6655BCD4" w14:textId="77777777" w:rsidR="00605110" w:rsidRPr="00AE79C1" w:rsidRDefault="00605110" w:rsidP="00AE79C1">
            <w:pPr>
              <w:spacing w:after="0"/>
              <w:ind w:left="0"/>
              <w:rPr>
                <w:rFonts w:cs="Calibri"/>
                <w:color w:val="000000"/>
                <w:szCs w:val="24"/>
              </w:rPr>
            </w:pPr>
            <w:r w:rsidRPr="00AE79C1">
              <w:rPr>
                <w:rFonts w:cs="Calibri"/>
                <w:color w:val="000000"/>
                <w:szCs w:val="24"/>
              </w:rPr>
              <w:t>Daily</w:t>
            </w:r>
          </w:p>
        </w:tc>
        <w:tc>
          <w:tcPr>
            <w:tcW w:w="2390" w:type="dxa"/>
            <w:noWrap/>
            <w:vAlign w:val="center"/>
          </w:tcPr>
          <w:p w14:paraId="0239F3DA" w14:textId="77777777" w:rsidR="00605110" w:rsidRPr="00AE79C1" w:rsidRDefault="00605110" w:rsidP="00AE79C1">
            <w:pPr>
              <w:spacing w:after="0"/>
              <w:ind w:left="0"/>
              <w:rPr>
                <w:rFonts w:cs="Calibri"/>
                <w:color w:val="000000"/>
                <w:szCs w:val="24"/>
              </w:rPr>
            </w:pPr>
            <w:r w:rsidRPr="00AE79C1">
              <w:rPr>
                <w:rFonts w:cs="Calibri"/>
                <w:color w:val="000000"/>
                <w:szCs w:val="24"/>
              </w:rPr>
              <w:t>Non-ACAP Freeze Candidates</w:t>
            </w:r>
          </w:p>
        </w:tc>
        <w:tc>
          <w:tcPr>
            <w:tcW w:w="6554" w:type="dxa"/>
            <w:vAlign w:val="center"/>
          </w:tcPr>
          <w:p w14:paraId="044C95B7" w14:textId="0B77AFFA" w:rsidR="00605110" w:rsidRPr="00AE79C1" w:rsidRDefault="00605110" w:rsidP="00AE79C1">
            <w:pPr>
              <w:spacing w:after="0"/>
              <w:ind w:left="0"/>
              <w:rPr>
                <w:rFonts w:cs="Calibri"/>
                <w:color w:val="000000"/>
                <w:szCs w:val="24"/>
              </w:rPr>
            </w:pPr>
            <w:r w:rsidRPr="00AE79C1">
              <w:rPr>
                <w:rFonts w:cs="Calibri"/>
                <w:color w:val="000000"/>
                <w:szCs w:val="24"/>
              </w:rPr>
              <w:t>List of active and inactive accounts that are above freeze cr</w:t>
            </w:r>
            <w:r w:rsidR="00FA2BCD">
              <w:rPr>
                <w:rFonts w:cs="Calibri"/>
                <w:color w:val="000000"/>
                <w:szCs w:val="24"/>
              </w:rPr>
              <w:t>iteria but no longer under ACAP</w:t>
            </w:r>
          </w:p>
        </w:tc>
      </w:tr>
      <w:tr w:rsidR="00605110" w:rsidRPr="000E4EAF" w14:paraId="2D8414D3" w14:textId="77777777" w:rsidTr="00FB2060">
        <w:trPr>
          <w:trHeight w:val="300"/>
        </w:trPr>
        <w:tc>
          <w:tcPr>
            <w:tcW w:w="697" w:type="dxa"/>
            <w:noWrap/>
            <w:vAlign w:val="center"/>
            <w:hideMark/>
          </w:tcPr>
          <w:p w14:paraId="03109935" w14:textId="77777777" w:rsidR="00605110" w:rsidRPr="00AE79C1" w:rsidRDefault="00605110" w:rsidP="00AE79C1">
            <w:pPr>
              <w:spacing w:after="0"/>
              <w:ind w:left="0"/>
              <w:jc w:val="center"/>
              <w:rPr>
                <w:rFonts w:cs="Calibri"/>
                <w:color w:val="000000"/>
                <w:szCs w:val="24"/>
              </w:rPr>
            </w:pPr>
            <w:r w:rsidRPr="00AE79C1">
              <w:rPr>
                <w:rFonts w:cs="Calibri"/>
                <w:color w:val="000000"/>
                <w:szCs w:val="24"/>
              </w:rPr>
              <w:t>5</w:t>
            </w:r>
          </w:p>
        </w:tc>
        <w:tc>
          <w:tcPr>
            <w:tcW w:w="1661" w:type="dxa"/>
            <w:noWrap/>
            <w:vAlign w:val="center"/>
          </w:tcPr>
          <w:p w14:paraId="2ED23916" w14:textId="77777777" w:rsidR="00605110" w:rsidRPr="00AE79C1" w:rsidRDefault="00605110" w:rsidP="00AE79C1">
            <w:pPr>
              <w:spacing w:after="0"/>
              <w:ind w:left="0"/>
              <w:rPr>
                <w:rFonts w:cs="Calibri"/>
                <w:color w:val="000000"/>
                <w:szCs w:val="24"/>
              </w:rPr>
            </w:pPr>
            <w:r w:rsidRPr="00AE79C1">
              <w:rPr>
                <w:rFonts w:cs="Calibri"/>
                <w:color w:val="000000"/>
                <w:szCs w:val="24"/>
              </w:rPr>
              <w:t>Daily</w:t>
            </w:r>
          </w:p>
        </w:tc>
        <w:tc>
          <w:tcPr>
            <w:tcW w:w="2390" w:type="dxa"/>
            <w:noWrap/>
            <w:vAlign w:val="center"/>
          </w:tcPr>
          <w:p w14:paraId="51E4C1B9" w14:textId="77777777" w:rsidR="00605110" w:rsidRPr="00AE79C1" w:rsidRDefault="00605110" w:rsidP="00AE79C1">
            <w:pPr>
              <w:spacing w:after="0"/>
              <w:ind w:left="0"/>
              <w:rPr>
                <w:rFonts w:cs="Calibri"/>
                <w:color w:val="000000"/>
                <w:szCs w:val="24"/>
              </w:rPr>
            </w:pPr>
            <w:r w:rsidRPr="00AE79C1">
              <w:rPr>
                <w:rFonts w:cs="Calibri"/>
                <w:color w:val="000000"/>
                <w:szCs w:val="24"/>
              </w:rPr>
              <w:t>Notice of State Tax Lien - Unrecorded</w:t>
            </w:r>
          </w:p>
        </w:tc>
        <w:tc>
          <w:tcPr>
            <w:tcW w:w="6554" w:type="dxa"/>
            <w:vAlign w:val="center"/>
          </w:tcPr>
          <w:p w14:paraId="4FE8B567" w14:textId="36E8AD97" w:rsidR="00605110" w:rsidRPr="00AE79C1" w:rsidRDefault="00605110" w:rsidP="00AE79C1">
            <w:pPr>
              <w:spacing w:after="0"/>
              <w:ind w:left="0"/>
              <w:rPr>
                <w:rFonts w:cs="Calibri"/>
                <w:color w:val="000000"/>
                <w:szCs w:val="24"/>
              </w:rPr>
            </w:pPr>
            <w:r w:rsidRPr="00AE79C1">
              <w:rPr>
                <w:rFonts w:cs="Calibri"/>
                <w:color w:val="000000"/>
                <w:szCs w:val="24"/>
              </w:rPr>
              <w:t xml:space="preserve">Provides information on liens where the recording data is not in the system yet, advising us where we may need to follow up with the county to </w:t>
            </w:r>
            <w:r w:rsidR="00FA2BCD">
              <w:rPr>
                <w:rFonts w:cs="Calibri"/>
                <w:color w:val="000000"/>
                <w:szCs w:val="24"/>
              </w:rPr>
              <w:t>which is was sent for recording</w:t>
            </w:r>
          </w:p>
        </w:tc>
      </w:tr>
      <w:tr w:rsidR="00605110" w:rsidRPr="000E4EAF" w14:paraId="1350C5EB" w14:textId="77777777" w:rsidTr="00FB2060">
        <w:trPr>
          <w:trHeight w:val="300"/>
        </w:trPr>
        <w:tc>
          <w:tcPr>
            <w:tcW w:w="697" w:type="dxa"/>
            <w:noWrap/>
            <w:vAlign w:val="center"/>
            <w:hideMark/>
          </w:tcPr>
          <w:p w14:paraId="3F1FA56A" w14:textId="77777777" w:rsidR="00605110" w:rsidRPr="00AE79C1" w:rsidRDefault="00605110" w:rsidP="00AE79C1">
            <w:pPr>
              <w:spacing w:after="0"/>
              <w:ind w:left="0"/>
              <w:jc w:val="center"/>
              <w:rPr>
                <w:rFonts w:cs="Calibri"/>
                <w:color w:val="000000"/>
                <w:szCs w:val="24"/>
              </w:rPr>
            </w:pPr>
            <w:r w:rsidRPr="00AE79C1">
              <w:rPr>
                <w:rFonts w:cs="Calibri"/>
                <w:color w:val="000000"/>
                <w:szCs w:val="24"/>
              </w:rPr>
              <w:t>6</w:t>
            </w:r>
          </w:p>
        </w:tc>
        <w:tc>
          <w:tcPr>
            <w:tcW w:w="1661" w:type="dxa"/>
            <w:noWrap/>
            <w:vAlign w:val="center"/>
          </w:tcPr>
          <w:p w14:paraId="3C19A747" w14:textId="77777777" w:rsidR="00605110" w:rsidRPr="00AE79C1" w:rsidRDefault="00605110" w:rsidP="00AE79C1">
            <w:pPr>
              <w:spacing w:after="0"/>
              <w:ind w:left="0"/>
              <w:rPr>
                <w:rFonts w:cs="Calibri"/>
                <w:color w:val="000000"/>
                <w:szCs w:val="24"/>
              </w:rPr>
            </w:pPr>
            <w:r w:rsidRPr="00AE79C1">
              <w:rPr>
                <w:rFonts w:cs="Calibri"/>
                <w:color w:val="000000"/>
                <w:szCs w:val="24"/>
              </w:rPr>
              <w:t>Daily</w:t>
            </w:r>
          </w:p>
        </w:tc>
        <w:tc>
          <w:tcPr>
            <w:tcW w:w="2390" w:type="dxa"/>
            <w:noWrap/>
            <w:vAlign w:val="center"/>
          </w:tcPr>
          <w:p w14:paraId="3F332B7B" w14:textId="77777777" w:rsidR="00605110" w:rsidRPr="00AE79C1" w:rsidRDefault="00605110" w:rsidP="00AE79C1">
            <w:pPr>
              <w:spacing w:after="0"/>
              <w:ind w:left="0"/>
              <w:rPr>
                <w:rFonts w:cs="Calibri"/>
                <w:color w:val="000000"/>
                <w:szCs w:val="24"/>
              </w:rPr>
            </w:pPr>
            <w:r w:rsidRPr="00AE79C1">
              <w:rPr>
                <w:rFonts w:cs="Calibri"/>
                <w:color w:val="000000"/>
                <w:szCs w:val="24"/>
              </w:rPr>
              <w:t>Input Records for Default Notices</w:t>
            </w:r>
          </w:p>
        </w:tc>
        <w:tc>
          <w:tcPr>
            <w:tcW w:w="6554" w:type="dxa"/>
            <w:vAlign w:val="center"/>
          </w:tcPr>
          <w:p w14:paraId="2917DB9C" w14:textId="731B763C" w:rsidR="00605110" w:rsidRPr="00AE79C1" w:rsidRDefault="00605110" w:rsidP="00AE79C1">
            <w:pPr>
              <w:spacing w:after="0"/>
              <w:ind w:left="0"/>
              <w:rPr>
                <w:rFonts w:cs="Calibri"/>
                <w:color w:val="000000"/>
                <w:szCs w:val="24"/>
              </w:rPr>
            </w:pPr>
            <w:r w:rsidRPr="00AE79C1">
              <w:rPr>
                <w:rFonts w:cs="Calibri"/>
                <w:color w:val="000000"/>
                <w:szCs w:val="24"/>
              </w:rPr>
              <w:t>Daily list of accounts that are at day 21 in ACAP, and whether or not a DN produced.</w:t>
            </w:r>
            <w:r w:rsidR="00EE5622">
              <w:rPr>
                <w:rFonts w:cs="Calibri"/>
                <w:color w:val="000000"/>
                <w:szCs w:val="24"/>
              </w:rPr>
              <w:t xml:space="preserve"> </w:t>
            </w:r>
            <w:r w:rsidRPr="00AE79C1">
              <w:rPr>
                <w:rFonts w:cs="Calibri"/>
                <w:color w:val="000000"/>
                <w:szCs w:val="24"/>
              </w:rPr>
              <w:t>Used to determine if additional DN's are required, if a DN has been issued to the AoR, and if a DN should not be mailed due to bad address.</w:t>
            </w:r>
            <w:r w:rsidR="00EE5622">
              <w:rPr>
                <w:rFonts w:cs="Calibri"/>
                <w:color w:val="000000"/>
                <w:szCs w:val="24"/>
              </w:rPr>
              <w:t xml:space="preserve"> </w:t>
            </w:r>
            <w:r w:rsidRPr="00AE79C1">
              <w:rPr>
                <w:rFonts w:cs="Calibri"/>
                <w:color w:val="000000"/>
                <w:szCs w:val="24"/>
              </w:rPr>
              <w:t xml:space="preserve">Also shows if the DN was produced through ACAP or was keyed and the AE number </w:t>
            </w:r>
            <w:r w:rsidR="00FA2BCD">
              <w:rPr>
                <w:rFonts w:cs="Calibri"/>
                <w:color w:val="000000"/>
                <w:szCs w:val="24"/>
              </w:rPr>
              <w:t>of the person who keyed the DN</w:t>
            </w:r>
          </w:p>
        </w:tc>
      </w:tr>
      <w:tr w:rsidR="00605110" w:rsidRPr="000E4EAF" w14:paraId="3A002BD9" w14:textId="77777777" w:rsidTr="00FB2060">
        <w:trPr>
          <w:trHeight w:val="300"/>
        </w:trPr>
        <w:tc>
          <w:tcPr>
            <w:tcW w:w="697" w:type="dxa"/>
            <w:noWrap/>
            <w:vAlign w:val="center"/>
            <w:hideMark/>
          </w:tcPr>
          <w:p w14:paraId="1CC57E79" w14:textId="77777777" w:rsidR="00605110" w:rsidRPr="00AE79C1" w:rsidRDefault="00605110" w:rsidP="00AE79C1">
            <w:pPr>
              <w:spacing w:after="0"/>
              <w:ind w:left="0"/>
              <w:jc w:val="center"/>
              <w:rPr>
                <w:rFonts w:cs="Calibri"/>
                <w:color w:val="000000"/>
                <w:szCs w:val="24"/>
              </w:rPr>
            </w:pPr>
            <w:r w:rsidRPr="00AE79C1">
              <w:rPr>
                <w:rFonts w:cs="Calibri"/>
                <w:color w:val="000000"/>
                <w:szCs w:val="24"/>
              </w:rPr>
              <w:t>7</w:t>
            </w:r>
          </w:p>
        </w:tc>
        <w:tc>
          <w:tcPr>
            <w:tcW w:w="1661" w:type="dxa"/>
            <w:noWrap/>
            <w:vAlign w:val="center"/>
          </w:tcPr>
          <w:p w14:paraId="5F91A0FA" w14:textId="77777777" w:rsidR="00605110" w:rsidRPr="00AE79C1" w:rsidRDefault="00605110" w:rsidP="00AE79C1">
            <w:pPr>
              <w:spacing w:after="0"/>
              <w:ind w:left="0"/>
              <w:rPr>
                <w:rFonts w:cs="Calibri"/>
                <w:color w:val="000000"/>
                <w:szCs w:val="24"/>
              </w:rPr>
            </w:pPr>
            <w:r w:rsidRPr="00AE79C1">
              <w:rPr>
                <w:rFonts w:cs="Calibri"/>
                <w:color w:val="000000"/>
                <w:szCs w:val="24"/>
              </w:rPr>
              <w:t>Daily</w:t>
            </w:r>
          </w:p>
        </w:tc>
        <w:tc>
          <w:tcPr>
            <w:tcW w:w="2390" w:type="dxa"/>
            <w:noWrap/>
            <w:vAlign w:val="center"/>
          </w:tcPr>
          <w:p w14:paraId="70D9796C" w14:textId="77777777" w:rsidR="00605110" w:rsidRPr="00AE79C1" w:rsidRDefault="00605110" w:rsidP="00AE79C1">
            <w:pPr>
              <w:spacing w:after="0"/>
              <w:ind w:left="0"/>
              <w:rPr>
                <w:rFonts w:cs="Calibri"/>
                <w:color w:val="000000"/>
                <w:szCs w:val="24"/>
              </w:rPr>
            </w:pPr>
            <w:r w:rsidRPr="00AE79C1">
              <w:rPr>
                <w:rFonts w:cs="Calibri"/>
                <w:color w:val="000000"/>
                <w:szCs w:val="24"/>
              </w:rPr>
              <w:t>Default Notice Edit Listing</w:t>
            </w:r>
          </w:p>
        </w:tc>
        <w:tc>
          <w:tcPr>
            <w:tcW w:w="6554" w:type="dxa"/>
            <w:vAlign w:val="center"/>
          </w:tcPr>
          <w:p w14:paraId="621425EF" w14:textId="3741F586" w:rsidR="00605110" w:rsidRPr="00AE79C1" w:rsidRDefault="00605110" w:rsidP="00AE79C1">
            <w:pPr>
              <w:spacing w:after="0"/>
              <w:ind w:left="0"/>
              <w:rPr>
                <w:rFonts w:cs="Calibri"/>
                <w:color w:val="000000"/>
                <w:szCs w:val="24"/>
              </w:rPr>
            </w:pPr>
            <w:r w:rsidRPr="00AE79C1">
              <w:rPr>
                <w:rFonts w:cs="Calibri"/>
                <w:color w:val="000000"/>
                <w:szCs w:val="24"/>
              </w:rPr>
              <w:t>Edit listing lists the accounts in which a default notice attempted to produce, but failed for a variety of reasons. This listing prov</w:t>
            </w:r>
            <w:r w:rsidR="00FA2BCD">
              <w:rPr>
                <w:rFonts w:cs="Calibri"/>
                <w:color w:val="000000"/>
                <w:szCs w:val="24"/>
              </w:rPr>
              <w:t>ides the reason for the failure</w:t>
            </w:r>
          </w:p>
        </w:tc>
      </w:tr>
      <w:tr w:rsidR="00605110" w:rsidRPr="000E4EAF" w14:paraId="319ADD2E" w14:textId="77777777" w:rsidTr="00FB2060">
        <w:trPr>
          <w:trHeight w:val="300"/>
        </w:trPr>
        <w:tc>
          <w:tcPr>
            <w:tcW w:w="697" w:type="dxa"/>
            <w:noWrap/>
            <w:vAlign w:val="center"/>
            <w:hideMark/>
          </w:tcPr>
          <w:p w14:paraId="339EFE7F" w14:textId="77777777" w:rsidR="00605110" w:rsidRPr="00AE79C1" w:rsidRDefault="00605110" w:rsidP="00AE79C1">
            <w:pPr>
              <w:spacing w:after="0"/>
              <w:ind w:left="0"/>
              <w:jc w:val="center"/>
              <w:rPr>
                <w:rFonts w:cs="Calibri"/>
                <w:color w:val="000000"/>
                <w:szCs w:val="24"/>
              </w:rPr>
            </w:pPr>
            <w:r w:rsidRPr="00AE79C1">
              <w:rPr>
                <w:rFonts w:cs="Calibri"/>
                <w:color w:val="000000"/>
                <w:szCs w:val="24"/>
              </w:rPr>
              <w:lastRenderedPageBreak/>
              <w:t>8</w:t>
            </w:r>
          </w:p>
        </w:tc>
        <w:tc>
          <w:tcPr>
            <w:tcW w:w="1661" w:type="dxa"/>
            <w:noWrap/>
            <w:vAlign w:val="center"/>
          </w:tcPr>
          <w:p w14:paraId="75961FBB" w14:textId="77777777" w:rsidR="00605110" w:rsidRPr="00AE79C1" w:rsidRDefault="00605110" w:rsidP="00AE79C1">
            <w:pPr>
              <w:spacing w:after="0"/>
              <w:ind w:left="0"/>
              <w:rPr>
                <w:rFonts w:cs="Calibri"/>
                <w:color w:val="000000"/>
                <w:szCs w:val="24"/>
              </w:rPr>
            </w:pPr>
            <w:r w:rsidRPr="00AE79C1">
              <w:rPr>
                <w:rFonts w:cs="Calibri"/>
                <w:color w:val="000000"/>
                <w:szCs w:val="24"/>
              </w:rPr>
              <w:t>Daily</w:t>
            </w:r>
          </w:p>
        </w:tc>
        <w:tc>
          <w:tcPr>
            <w:tcW w:w="2390" w:type="dxa"/>
            <w:noWrap/>
            <w:vAlign w:val="center"/>
          </w:tcPr>
          <w:p w14:paraId="1B4C41B8" w14:textId="77777777" w:rsidR="00605110" w:rsidRPr="00AE79C1" w:rsidRDefault="00605110" w:rsidP="00AE79C1">
            <w:pPr>
              <w:spacing w:after="0"/>
              <w:ind w:left="0"/>
              <w:rPr>
                <w:rFonts w:cs="Calibri"/>
                <w:color w:val="000000"/>
                <w:szCs w:val="24"/>
              </w:rPr>
            </w:pPr>
            <w:r w:rsidRPr="00AE79C1">
              <w:rPr>
                <w:rFonts w:cs="Calibri"/>
                <w:color w:val="000000"/>
                <w:szCs w:val="24"/>
              </w:rPr>
              <w:t>Pull List for Default Notice Candidate</w:t>
            </w:r>
          </w:p>
        </w:tc>
        <w:tc>
          <w:tcPr>
            <w:tcW w:w="6554" w:type="dxa"/>
            <w:vAlign w:val="center"/>
          </w:tcPr>
          <w:p w14:paraId="57820230" w14:textId="6ED3F00C" w:rsidR="00605110" w:rsidRPr="00AE79C1" w:rsidRDefault="00605110" w:rsidP="00AE79C1">
            <w:pPr>
              <w:spacing w:after="0"/>
              <w:ind w:left="0"/>
              <w:rPr>
                <w:rFonts w:cs="Calibri"/>
                <w:color w:val="000000"/>
                <w:szCs w:val="24"/>
              </w:rPr>
            </w:pPr>
            <w:r w:rsidRPr="00AE79C1">
              <w:rPr>
                <w:rFonts w:cs="Calibri"/>
                <w:color w:val="000000"/>
                <w:szCs w:val="24"/>
              </w:rPr>
              <w:t xml:space="preserve">List provides entity Types 02 and 06. These types of accounts usually have more </w:t>
            </w:r>
            <w:r w:rsidR="00B075EE" w:rsidRPr="00AE79C1">
              <w:rPr>
                <w:rFonts w:cs="Calibri"/>
                <w:color w:val="000000"/>
                <w:szCs w:val="24"/>
              </w:rPr>
              <w:t>than</w:t>
            </w:r>
            <w:r w:rsidRPr="00AE79C1">
              <w:rPr>
                <w:rFonts w:cs="Calibri"/>
                <w:color w:val="000000"/>
                <w:szCs w:val="24"/>
              </w:rPr>
              <w:t xml:space="preserve"> one liable party and it is a requirement that each liable party be </w:t>
            </w:r>
            <w:r w:rsidR="00FA2BCD">
              <w:rPr>
                <w:rFonts w:cs="Calibri"/>
                <w:color w:val="000000"/>
                <w:szCs w:val="24"/>
              </w:rPr>
              <w:t>issued their own default notice</w:t>
            </w:r>
          </w:p>
        </w:tc>
      </w:tr>
      <w:tr w:rsidR="00605110" w:rsidRPr="000E4EAF" w14:paraId="47341AE4" w14:textId="77777777" w:rsidTr="00FB2060">
        <w:trPr>
          <w:trHeight w:val="300"/>
        </w:trPr>
        <w:tc>
          <w:tcPr>
            <w:tcW w:w="697" w:type="dxa"/>
            <w:noWrap/>
            <w:vAlign w:val="center"/>
            <w:hideMark/>
          </w:tcPr>
          <w:p w14:paraId="1D23FD36" w14:textId="77777777" w:rsidR="00605110" w:rsidRPr="00AE79C1" w:rsidRDefault="00605110" w:rsidP="00AE79C1">
            <w:pPr>
              <w:spacing w:after="0"/>
              <w:ind w:left="0"/>
              <w:jc w:val="center"/>
              <w:rPr>
                <w:rFonts w:cs="Calibri"/>
                <w:color w:val="000000"/>
                <w:szCs w:val="24"/>
              </w:rPr>
            </w:pPr>
            <w:r w:rsidRPr="00AE79C1">
              <w:rPr>
                <w:rFonts w:cs="Calibri"/>
                <w:color w:val="000000"/>
                <w:szCs w:val="24"/>
              </w:rPr>
              <w:t>9</w:t>
            </w:r>
          </w:p>
        </w:tc>
        <w:tc>
          <w:tcPr>
            <w:tcW w:w="1661" w:type="dxa"/>
            <w:noWrap/>
            <w:vAlign w:val="center"/>
          </w:tcPr>
          <w:p w14:paraId="08B5CFBF" w14:textId="77777777" w:rsidR="00605110" w:rsidRPr="00AE79C1" w:rsidRDefault="00605110" w:rsidP="00AE79C1">
            <w:pPr>
              <w:spacing w:after="0"/>
              <w:ind w:left="0"/>
              <w:rPr>
                <w:rFonts w:cs="Calibri"/>
                <w:color w:val="000000"/>
                <w:szCs w:val="24"/>
              </w:rPr>
            </w:pPr>
            <w:r w:rsidRPr="00AE79C1">
              <w:rPr>
                <w:rFonts w:cs="Calibri"/>
                <w:color w:val="000000"/>
                <w:szCs w:val="24"/>
              </w:rPr>
              <w:t>Daily</w:t>
            </w:r>
          </w:p>
        </w:tc>
        <w:tc>
          <w:tcPr>
            <w:tcW w:w="2390" w:type="dxa"/>
            <w:noWrap/>
            <w:vAlign w:val="center"/>
          </w:tcPr>
          <w:p w14:paraId="41EF7EAB" w14:textId="77777777" w:rsidR="00605110" w:rsidRPr="00AE79C1" w:rsidRDefault="00605110" w:rsidP="00AE79C1">
            <w:pPr>
              <w:spacing w:after="0"/>
              <w:ind w:left="0"/>
              <w:rPr>
                <w:rFonts w:cs="Calibri"/>
                <w:color w:val="000000"/>
                <w:szCs w:val="24"/>
              </w:rPr>
            </w:pPr>
            <w:r w:rsidRPr="00AE79C1">
              <w:rPr>
                <w:rFonts w:cs="Calibri"/>
                <w:color w:val="000000"/>
                <w:szCs w:val="24"/>
              </w:rPr>
              <w:t>Pull List for Tax Lien Candidates</w:t>
            </w:r>
          </w:p>
        </w:tc>
        <w:tc>
          <w:tcPr>
            <w:tcW w:w="6554" w:type="dxa"/>
            <w:vAlign w:val="center"/>
          </w:tcPr>
          <w:p w14:paraId="1BDB4D60" w14:textId="20A60D6B" w:rsidR="00605110" w:rsidRPr="00AE79C1" w:rsidRDefault="00605110" w:rsidP="00AE79C1">
            <w:pPr>
              <w:spacing w:after="0"/>
              <w:ind w:left="0"/>
              <w:rPr>
                <w:rFonts w:cs="Calibri"/>
                <w:color w:val="000000"/>
                <w:szCs w:val="24"/>
              </w:rPr>
            </w:pPr>
            <w:r w:rsidRPr="00AE79C1">
              <w:rPr>
                <w:rFonts w:cs="Calibri"/>
                <w:color w:val="000000"/>
                <w:szCs w:val="24"/>
              </w:rPr>
              <w:t xml:space="preserve">Provides a list of </w:t>
            </w:r>
            <w:r w:rsidR="009521D7">
              <w:rPr>
                <w:rFonts w:cs="Calibri"/>
                <w:color w:val="000000"/>
                <w:szCs w:val="24"/>
              </w:rPr>
              <w:t xml:space="preserve">Employer </w:t>
            </w:r>
            <w:r w:rsidRPr="00AE79C1">
              <w:rPr>
                <w:rFonts w:cs="Calibri"/>
                <w:color w:val="000000"/>
                <w:szCs w:val="24"/>
              </w:rPr>
              <w:t>accounts that are eligible for lien recording based on ACAP date; AEs are to review the acc</w:t>
            </w:r>
            <w:r w:rsidR="00FA2BCD">
              <w:rPr>
                <w:rFonts w:cs="Calibri"/>
                <w:color w:val="000000"/>
                <w:szCs w:val="24"/>
              </w:rPr>
              <w:t>ount before requesting the lien</w:t>
            </w:r>
          </w:p>
        </w:tc>
      </w:tr>
      <w:tr w:rsidR="00605110" w:rsidRPr="000E4EAF" w14:paraId="5A8482EA" w14:textId="77777777" w:rsidTr="00FB2060">
        <w:trPr>
          <w:trHeight w:val="300"/>
        </w:trPr>
        <w:tc>
          <w:tcPr>
            <w:tcW w:w="697" w:type="dxa"/>
            <w:noWrap/>
            <w:vAlign w:val="center"/>
            <w:hideMark/>
          </w:tcPr>
          <w:p w14:paraId="34F86D74" w14:textId="77777777" w:rsidR="00605110" w:rsidRPr="00AE79C1" w:rsidRDefault="00605110" w:rsidP="00AE79C1">
            <w:pPr>
              <w:spacing w:after="0"/>
              <w:ind w:left="0"/>
              <w:jc w:val="center"/>
              <w:rPr>
                <w:rFonts w:cs="Calibri"/>
                <w:color w:val="000000"/>
                <w:szCs w:val="24"/>
              </w:rPr>
            </w:pPr>
            <w:r w:rsidRPr="00AE79C1">
              <w:rPr>
                <w:rFonts w:cs="Calibri"/>
                <w:color w:val="000000"/>
                <w:szCs w:val="24"/>
              </w:rPr>
              <w:t>10</w:t>
            </w:r>
          </w:p>
        </w:tc>
        <w:tc>
          <w:tcPr>
            <w:tcW w:w="1661" w:type="dxa"/>
            <w:noWrap/>
            <w:vAlign w:val="center"/>
          </w:tcPr>
          <w:p w14:paraId="398BBFB3" w14:textId="77777777" w:rsidR="00605110" w:rsidRPr="00AE79C1" w:rsidRDefault="00605110" w:rsidP="00AE79C1">
            <w:pPr>
              <w:spacing w:after="0"/>
              <w:ind w:left="0"/>
              <w:rPr>
                <w:rFonts w:cs="Calibri"/>
                <w:color w:val="000000"/>
                <w:szCs w:val="24"/>
              </w:rPr>
            </w:pPr>
            <w:r w:rsidRPr="00AE79C1">
              <w:rPr>
                <w:rFonts w:cs="Calibri"/>
                <w:color w:val="000000"/>
                <w:szCs w:val="24"/>
              </w:rPr>
              <w:t>Daily</w:t>
            </w:r>
          </w:p>
        </w:tc>
        <w:tc>
          <w:tcPr>
            <w:tcW w:w="2390" w:type="dxa"/>
            <w:noWrap/>
            <w:vAlign w:val="center"/>
          </w:tcPr>
          <w:p w14:paraId="41461796" w14:textId="77777777" w:rsidR="00605110" w:rsidRPr="00AE79C1" w:rsidRDefault="00605110" w:rsidP="00AE79C1">
            <w:pPr>
              <w:spacing w:after="0"/>
              <w:ind w:left="0"/>
              <w:rPr>
                <w:rFonts w:cs="Calibri"/>
                <w:color w:val="000000"/>
                <w:szCs w:val="24"/>
              </w:rPr>
            </w:pPr>
            <w:r w:rsidRPr="00AE79C1">
              <w:rPr>
                <w:rFonts w:cs="Calibri"/>
                <w:color w:val="000000"/>
                <w:szCs w:val="24"/>
              </w:rPr>
              <w:t>Projected Workload (ACAP) Report</w:t>
            </w:r>
          </w:p>
        </w:tc>
        <w:tc>
          <w:tcPr>
            <w:tcW w:w="6554" w:type="dxa"/>
            <w:vAlign w:val="center"/>
          </w:tcPr>
          <w:p w14:paraId="39039C00" w14:textId="71FD88BD" w:rsidR="00605110" w:rsidRPr="00AE79C1" w:rsidRDefault="00605110" w:rsidP="00AE79C1">
            <w:pPr>
              <w:spacing w:after="0"/>
              <w:ind w:left="0"/>
              <w:rPr>
                <w:rFonts w:cs="Calibri"/>
                <w:color w:val="000000"/>
                <w:szCs w:val="24"/>
              </w:rPr>
            </w:pPr>
            <w:r w:rsidRPr="00AE79C1">
              <w:rPr>
                <w:rFonts w:cs="Calibri"/>
                <w:color w:val="000000"/>
                <w:szCs w:val="24"/>
              </w:rPr>
              <w:t>Provides an estimate of how many accounts will hit various stages in the collections process and which days</w:t>
            </w:r>
            <w:r w:rsidR="00FA2BCD">
              <w:rPr>
                <w:rFonts w:cs="Calibri"/>
                <w:color w:val="000000"/>
                <w:szCs w:val="24"/>
              </w:rPr>
              <w:t>;</w:t>
            </w:r>
            <w:r w:rsidR="00EE5622">
              <w:rPr>
                <w:rFonts w:cs="Calibri"/>
                <w:color w:val="000000"/>
                <w:szCs w:val="24"/>
              </w:rPr>
              <w:t xml:space="preserve"> </w:t>
            </w:r>
            <w:r w:rsidR="00FA2BCD">
              <w:rPr>
                <w:rFonts w:cs="Calibri"/>
                <w:color w:val="000000"/>
                <w:szCs w:val="24"/>
              </w:rPr>
              <w:t>a</w:t>
            </w:r>
            <w:r w:rsidRPr="00AE79C1">
              <w:rPr>
                <w:rFonts w:cs="Calibri"/>
                <w:color w:val="000000"/>
                <w:szCs w:val="24"/>
              </w:rPr>
              <w:t>llows for pro</w:t>
            </w:r>
            <w:r w:rsidR="00FA2BCD">
              <w:rPr>
                <w:rFonts w:cs="Calibri"/>
                <w:color w:val="000000"/>
                <w:szCs w:val="24"/>
              </w:rPr>
              <w:t>per planning to handle workload</w:t>
            </w:r>
          </w:p>
        </w:tc>
      </w:tr>
      <w:tr w:rsidR="00605110" w:rsidRPr="000E4EAF" w14:paraId="03E39E14" w14:textId="77777777" w:rsidTr="00FB2060">
        <w:trPr>
          <w:trHeight w:val="300"/>
        </w:trPr>
        <w:tc>
          <w:tcPr>
            <w:tcW w:w="697" w:type="dxa"/>
            <w:noWrap/>
            <w:vAlign w:val="center"/>
            <w:hideMark/>
          </w:tcPr>
          <w:p w14:paraId="289F3FD3" w14:textId="77777777" w:rsidR="00605110" w:rsidRPr="00AE79C1" w:rsidRDefault="00605110" w:rsidP="00AE79C1">
            <w:pPr>
              <w:spacing w:after="0"/>
              <w:ind w:left="0"/>
              <w:jc w:val="center"/>
              <w:rPr>
                <w:rFonts w:cs="Calibri"/>
                <w:color w:val="000000"/>
                <w:szCs w:val="24"/>
              </w:rPr>
            </w:pPr>
            <w:r w:rsidRPr="00AE79C1">
              <w:rPr>
                <w:rFonts w:cs="Calibri"/>
                <w:color w:val="000000"/>
                <w:szCs w:val="24"/>
              </w:rPr>
              <w:t>11</w:t>
            </w:r>
          </w:p>
        </w:tc>
        <w:tc>
          <w:tcPr>
            <w:tcW w:w="1661" w:type="dxa"/>
            <w:noWrap/>
            <w:vAlign w:val="center"/>
          </w:tcPr>
          <w:p w14:paraId="00603BF3" w14:textId="77777777" w:rsidR="00605110" w:rsidRPr="00AE79C1" w:rsidRDefault="00605110" w:rsidP="00AE79C1">
            <w:pPr>
              <w:spacing w:after="0"/>
              <w:ind w:left="0"/>
              <w:rPr>
                <w:rFonts w:cs="Calibri"/>
                <w:color w:val="000000"/>
                <w:szCs w:val="24"/>
              </w:rPr>
            </w:pPr>
            <w:r w:rsidRPr="00AE79C1">
              <w:rPr>
                <w:rFonts w:cs="Calibri"/>
                <w:color w:val="000000"/>
                <w:szCs w:val="24"/>
              </w:rPr>
              <w:t>Daily</w:t>
            </w:r>
          </w:p>
        </w:tc>
        <w:tc>
          <w:tcPr>
            <w:tcW w:w="2390" w:type="dxa"/>
            <w:noWrap/>
            <w:vAlign w:val="center"/>
          </w:tcPr>
          <w:p w14:paraId="06E898E5" w14:textId="77777777" w:rsidR="00605110" w:rsidRPr="00AE79C1" w:rsidRDefault="00605110" w:rsidP="00AE79C1">
            <w:pPr>
              <w:spacing w:after="0"/>
              <w:ind w:left="0"/>
              <w:rPr>
                <w:rFonts w:cs="Calibri"/>
                <w:color w:val="000000"/>
                <w:szCs w:val="24"/>
              </w:rPr>
            </w:pPr>
            <w:r w:rsidRPr="00AE79C1">
              <w:rPr>
                <w:rFonts w:cs="Calibri"/>
                <w:color w:val="000000"/>
                <w:szCs w:val="24"/>
              </w:rPr>
              <w:t>Input Records for Notice of State Tax Liens</w:t>
            </w:r>
          </w:p>
        </w:tc>
        <w:tc>
          <w:tcPr>
            <w:tcW w:w="6554" w:type="dxa"/>
            <w:vAlign w:val="center"/>
          </w:tcPr>
          <w:p w14:paraId="243E44D6" w14:textId="77777777" w:rsidR="00605110" w:rsidRPr="00AE79C1" w:rsidRDefault="00605110" w:rsidP="00AE79C1">
            <w:pPr>
              <w:spacing w:after="0"/>
              <w:ind w:left="0"/>
              <w:rPr>
                <w:rFonts w:cs="Calibri"/>
                <w:color w:val="000000"/>
                <w:szCs w:val="24"/>
              </w:rPr>
            </w:pPr>
            <w:r w:rsidRPr="00AE79C1">
              <w:rPr>
                <w:rFonts w:cs="Calibri"/>
                <w:color w:val="000000"/>
                <w:szCs w:val="24"/>
              </w:rPr>
              <w:t>Shows accounts where a lien was indicated for creation, with data on county and AE approver</w:t>
            </w:r>
          </w:p>
        </w:tc>
      </w:tr>
      <w:tr w:rsidR="00605110" w:rsidRPr="000E4EAF" w14:paraId="4535016E" w14:textId="77777777" w:rsidTr="00FB2060">
        <w:trPr>
          <w:trHeight w:val="300"/>
        </w:trPr>
        <w:tc>
          <w:tcPr>
            <w:tcW w:w="697" w:type="dxa"/>
            <w:noWrap/>
            <w:vAlign w:val="center"/>
            <w:hideMark/>
          </w:tcPr>
          <w:p w14:paraId="4E340F6A" w14:textId="77777777" w:rsidR="00605110" w:rsidRPr="00AE79C1" w:rsidRDefault="00605110" w:rsidP="00AE79C1">
            <w:pPr>
              <w:spacing w:after="0"/>
              <w:ind w:left="0"/>
              <w:jc w:val="center"/>
              <w:rPr>
                <w:rFonts w:cs="Calibri"/>
                <w:color w:val="000000"/>
                <w:szCs w:val="24"/>
              </w:rPr>
            </w:pPr>
            <w:r w:rsidRPr="00AE79C1">
              <w:rPr>
                <w:rFonts w:cs="Calibri"/>
                <w:color w:val="000000"/>
                <w:szCs w:val="24"/>
              </w:rPr>
              <w:t>12</w:t>
            </w:r>
          </w:p>
        </w:tc>
        <w:tc>
          <w:tcPr>
            <w:tcW w:w="1661" w:type="dxa"/>
            <w:noWrap/>
            <w:vAlign w:val="center"/>
          </w:tcPr>
          <w:p w14:paraId="3E4022CC" w14:textId="77777777" w:rsidR="00605110" w:rsidRPr="00AE79C1" w:rsidRDefault="00605110" w:rsidP="00AE79C1">
            <w:pPr>
              <w:spacing w:after="0"/>
              <w:ind w:left="0"/>
              <w:rPr>
                <w:rFonts w:cs="Calibri"/>
                <w:color w:val="000000"/>
                <w:szCs w:val="24"/>
              </w:rPr>
            </w:pPr>
            <w:r w:rsidRPr="00AE79C1">
              <w:rPr>
                <w:rFonts w:cs="Calibri"/>
                <w:color w:val="000000"/>
                <w:szCs w:val="24"/>
              </w:rPr>
              <w:t>Daily</w:t>
            </w:r>
          </w:p>
        </w:tc>
        <w:tc>
          <w:tcPr>
            <w:tcW w:w="2390" w:type="dxa"/>
            <w:noWrap/>
            <w:vAlign w:val="center"/>
          </w:tcPr>
          <w:p w14:paraId="3D83C0A1" w14:textId="77777777" w:rsidR="00605110" w:rsidRPr="00AE79C1" w:rsidRDefault="00605110" w:rsidP="00AE79C1">
            <w:pPr>
              <w:spacing w:after="0"/>
              <w:ind w:left="0"/>
              <w:rPr>
                <w:rFonts w:cs="Calibri"/>
                <w:color w:val="000000"/>
                <w:szCs w:val="24"/>
              </w:rPr>
            </w:pPr>
            <w:r w:rsidRPr="00AE79C1">
              <w:rPr>
                <w:rFonts w:cs="Calibri"/>
                <w:color w:val="000000"/>
                <w:szCs w:val="24"/>
              </w:rPr>
              <w:t>Notice of State Tax Lien Edit Listing</w:t>
            </w:r>
          </w:p>
        </w:tc>
        <w:tc>
          <w:tcPr>
            <w:tcW w:w="6554" w:type="dxa"/>
            <w:vAlign w:val="center"/>
          </w:tcPr>
          <w:p w14:paraId="0281B623" w14:textId="7E03E775" w:rsidR="00605110" w:rsidRPr="00AE79C1" w:rsidRDefault="00605110" w:rsidP="00AE79C1">
            <w:pPr>
              <w:spacing w:after="0"/>
              <w:ind w:left="0"/>
              <w:rPr>
                <w:rFonts w:cs="Calibri"/>
                <w:color w:val="000000"/>
                <w:szCs w:val="24"/>
              </w:rPr>
            </w:pPr>
            <w:r w:rsidRPr="00AE79C1">
              <w:rPr>
                <w:rFonts w:cs="Calibri"/>
                <w:color w:val="000000"/>
                <w:szCs w:val="24"/>
              </w:rPr>
              <w:t xml:space="preserve">Shows </w:t>
            </w:r>
            <w:r w:rsidR="009521D7">
              <w:rPr>
                <w:rFonts w:cs="Calibri"/>
                <w:color w:val="000000"/>
                <w:szCs w:val="24"/>
              </w:rPr>
              <w:t xml:space="preserve">Employer </w:t>
            </w:r>
            <w:r w:rsidRPr="00AE79C1">
              <w:rPr>
                <w:rFonts w:cs="Calibri"/>
                <w:color w:val="000000"/>
                <w:szCs w:val="24"/>
              </w:rPr>
              <w:t>accounts and reason why a lien was halted and who took the action</w:t>
            </w:r>
          </w:p>
        </w:tc>
      </w:tr>
      <w:tr w:rsidR="00605110" w:rsidRPr="000E4EAF" w14:paraId="1780A00D" w14:textId="77777777" w:rsidTr="00FB2060">
        <w:trPr>
          <w:trHeight w:val="300"/>
        </w:trPr>
        <w:tc>
          <w:tcPr>
            <w:tcW w:w="697" w:type="dxa"/>
            <w:noWrap/>
            <w:vAlign w:val="center"/>
            <w:hideMark/>
          </w:tcPr>
          <w:p w14:paraId="1D84B2F4" w14:textId="77777777" w:rsidR="00605110" w:rsidRPr="00AE79C1" w:rsidRDefault="00605110" w:rsidP="00AE79C1">
            <w:pPr>
              <w:spacing w:after="0"/>
              <w:ind w:left="0"/>
              <w:jc w:val="center"/>
              <w:rPr>
                <w:rFonts w:cs="Calibri"/>
                <w:color w:val="000000"/>
                <w:szCs w:val="24"/>
              </w:rPr>
            </w:pPr>
            <w:r w:rsidRPr="00AE79C1">
              <w:rPr>
                <w:rFonts w:cs="Calibri"/>
                <w:color w:val="000000"/>
                <w:szCs w:val="24"/>
              </w:rPr>
              <w:t>13</w:t>
            </w:r>
          </w:p>
        </w:tc>
        <w:tc>
          <w:tcPr>
            <w:tcW w:w="1661" w:type="dxa"/>
            <w:noWrap/>
            <w:vAlign w:val="center"/>
          </w:tcPr>
          <w:p w14:paraId="06D20AE5" w14:textId="77777777" w:rsidR="00605110" w:rsidRPr="00AE79C1" w:rsidRDefault="00605110" w:rsidP="00AE79C1">
            <w:pPr>
              <w:spacing w:after="0"/>
              <w:ind w:left="0"/>
              <w:rPr>
                <w:rFonts w:cs="Calibri"/>
                <w:color w:val="000000"/>
                <w:szCs w:val="24"/>
              </w:rPr>
            </w:pPr>
            <w:r w:rsidRPr="00AE79C1">
              <w:rPr>
                <w:rFonts w:cs="Calibri"/>
                <w:color w:val="000000"/>
                <w:szCs w:val="24"/>
              </w:rPr>
              <w:t>Daily</w:t>
            </w:r>
          </w:p>
        </w:tc>
        <w:tc>
          <w:tcPr>
            <w:tcW w:w="2390" w:type="dxa"/>
            <w:noWrap/>
            <w:vAlign w:val="center"/>
          </w:tcPr>
          <w:p w14:paraId="42F894E9" w14:textId="77777777" w:rsidR="00605110" w:rsidRPr="00AE79C1" w:rsidRDefault="00605110" w:rsidP="00AE79C1">
            <w:pPr>
              <w:spacing w:after="0"/>
              <w:ind w:left="0"/>
              <w:rPr>
                <w:rFonts w:cs="Calibri"/>
                <w:color w:val="000000"/>
                <w:szCs w:val="24"/>
              </w:rPr>
            </w:pPr>
            <w:r w:rsidRPr="00AE79C1">
              <w:rPr>
                <w:rFonts w:cs="Calibri"/>
                <w:color w:val="000000"/>
                <w:szCs w:val="24"/>
              </w:rPr>
              <w:t>Notice of Freeze &amp; Levy Status Listing</w:t>
            </w:r>
          </w:p>
        </w:tc>
        <w:tc>
          <w:tcPr>
            <w:tcW w:w="6554" w:type="dxa"/>
            <w:vAlign w:val="center"/>
          </w:tcPr>
          <w:p w14:paraId="55757E71" w14:textId="23ADE324" w:rsidR="00605110" w:rsidRPr="00AE79C1" w:rsidRDefault="00605110" w:rsidP="00AE79C1">
            <w:pPr>
              <w:spacing w:after="0"/>
              <w:ind w:left="0"/>
              <w:rPr>
                <w:rFonts w:cs="Calibri"/>
                <w:color w:val="000000"/>
                <w:szCs w:val="24"/>
              </w:rPr>
            </w:pPr>
            <w:r w:rsidRPr="00AE79C1">
              <w:rPr>
                <w:rFonts w:cs="Calibri"/>
                <w:color w:val="000000"/>
                <w:szCs w:val="24"/>
              </w:rPr>
              <w:t xml:space="preserve">Shows the account and other data (response date, issuance date, levy date, etc.) on an </w:t>
            </w:r>
            <w:r w:rsidR="009521D7">
              <w:rPr>
                <w:rFonts w:cs="Calibri"/>
                <w:color w:val="000000"/>
                <w:szCs w:val="24"/>
              </w:rPr>
              <w:t xml:space="preserve">Employer </w:t>
            </w:r>
            <w:r w:rsidRPr="00AE79C1">
              <w:rPr>
                <w:rFonts w:cs="Calibri"/>
                <w:color w:val="000000"/>
                <w:szCs w:val="24"/>
              </w:rPr>
              <w:t>where a bank freeze was issued</w:t>
            </w:r>
          </w:p>
        </w:tc>
      </w:tr>
      <w:tr w:rsidR="00605110" w:rsidRPr="000E4EAF" w14:paraId="4EC187A8" w14:textId="77777777" w:rsidTr="00FB2060">
        <w:trPr>
          <w:trHeight w:val="300"/>
        </w:trPr>
        <w:tc>
          <w:tcPr>
            <w:tcW w:w="697" w:type="dxa"/>
            <w:noWrap/>
            <w:vAlign w:val="center"/>
            <w:hideMark/>
          </w:tcPr>
          <w:p w14:paraId="3C88D4E3" w14:textId="77777777" w:rsidR="00605110" w:rsidRPr="00AE79C1" w:rsidRDefault="00605110" w:rsidP="00AE79C1">
            <w:pPr>
              <w:spacing w:after="0"/>
              <w:ind w:left="0"/>
              <w:jc w:val="center"/>
              <w:rPr>
                <w:rFonts w:cs="Calibri"/>
                <w:color w:val="000000"/>
                <w:szCs w:val="24"/>
              </w:rPr>
            </w:pPr>
            <w:r w:rsidRPr="00AE79C1">
              <w:rPr>
                <w:rFonts w:cs="Calibri"/>
                <w:color w:val="000000"/>
                <w:szCs w:val="24"/>
              </w:rPr>
              <w:t>14</w:t>
            </w:r>
          </w:p>
        </w:tc>
        <w:tc>
          <w:tcPr>
            <w:tcW w:w="1661" w:type="dxa"/>
            <w:noWrap/>
            <w:vAlign w:val="center"/>
          </w:tcPr>
          <w:p w14:paraId="685BCAD9" w14:textId="77777777" w:rsidR="00605110" w:rsidRPr="00AE79C1" w:rsidRDefault="00605110" w:rsidP="00AE79C1">
            <w:pPr>
              <w:spacing w:after="0"/>
              <w:ind w:left="0"/>
              <w:rPr>
                <w:rFonts w:cs="Calibri"/>
                <w:color w:val="000000"/>
                <w:szCs w:val="24"/>
              </w:rPr>
            </w:pPr>
            <w:r w:rsidRPr="00AE79C1">
              <w:rPr>
                <w:rFonts w:cs="Calibri"/>
                <w:color w:val="000000"/>
                <w:szCs w:val="24"/>
              </w:rPr>
              <w:t>Daily</w:t>
            </w:r>
          </w:p>
        </w:tc>
        <w:tc>
          <w:tcPr>
            <w:tcW w:w="2390" w:type="dxa"/>
            <w:noWrap/>
            <w:vAlign w:val="center"/>
          </w:tcPr>
          <w:p w14:paraId="2481E47D" w14:textId="77777777" w:rsidR="00605110" w:rsidRPr="00AE79C1" w:rsidRDefault="00605110" w:rsidP="00AE79C1">
            <w:pPr>
              <w:spacing w:after="0"/>
              <w:ind w:left="0"/>
              <w:rPr>
                <w:rFonts w:cs="Calibri"/>
                <w:color w:val="000000"/>
                <w:szCs w:val="24"/>
              </w:rPr>
            </w:pPr>
            <w:r w:rsidRPr="00AE79C1">
              <w:rPr>
                <w:rFonts w:cs="Calibri"/>
                <w:color w:val="000000"/>
                <w:szCs w:val="24"/>
              </w:rPr>
              <w:t>Debits and Credits to Accounts Certified to the Attorney General</w:t>
            </w:r>
          </w:p>
        </w:tc>
        <w:tc>
          <w:tcPr>
            <w:tcW w:w="6554" w:type="dxa"/>
            <w:vAlign w:val="center"/>
          </w:tcPr>
          <w:p w14:paraId="26275A57" w14:textId="77777777" w:rsidR="00605110" w:rsidRPr="00AE79C1" w:rsidRDefault="00605110" w:rsidP="00AE79C1">
            <w:pPr>
              <w:spacing w:after="0"/>
              <w:ind w:left="0"/>
              <w:rPr>
                <w:rFonts w:cs="Calibri"/>
                <w:color w:val="000000"/>
                <w:szCs w:val="24"/>
              </w:rPr>
            </w:pPr>
            <w:r w:rsidRPr="00AE79C1">
              <w:rPr>
                <w:rFonts w:cs="Calibri"/>
                <w:color w:val="000000"/>
                <w:szCs w:val="24"/>
              </w:rPr>
              <w:t>Lists amounts sent and received from the Texas Attorney General (normally in relation to a lawsuit)</w:t>
            </w:r>
          </w:p>
        </w:tc>
      </w:tr>
      <w:tr w:rsidR="00605110" w:rsidRPr="000E4EAF" w14:paraId="5A955AA6" w14:textId="77777777" w:rsidTr="00FB2060">
        <w:trPr>
          <w:trHeight w:val="300"/>
        </w:trPr>
        <w:tc>
          <w:tcPr>
            <w:tcW w:w="697" w:type="dxa"/>
            <w:noWrap/>
            <w:vAlign w:val="center"/>
            <w:hideMark/>
          </w:tcPr>
          <w:p w14:paraId="717E1FE1" w14:textId="77777777" w:rsidR="00605110" w:rsidRPr="00AE79C1" w:rsidRDefault="00605110" w:rsidP="00AE79C1">
            <w:pPr>
              <w:spacing w:after="0"/>
              <w:ind w:left="0"/>
              <w:jc w:val="center"/>
              <w:rPr>
                <w:rFonts w:cs="Calibri"/>
                <w:color w:val="000000"/>
                <w:szCs w:val="24"/>
              </w:rPr>
            </w:pPr>
            <w:r w:rsidRPr="00AE79C1">
              <w:rPr>
                <w:rFonts w:cs="Calibri"/>
                <w:color w:val="000000"/>
                <w:szCs w:val="24"/>
              </w:rPr>
              <w:t>15</w:t>
            </w:r>
          </w:p>
        </w:tc>
        <w:tc>
          <w:tcPr>
            <w:tcW w:w="1661" w:type="dxa"/>
            <w:noWrap/>
            <w:vAlign w:val="center"/>
          </w:tcPr>
          <w:p w14:paraId="0E99F181" w14:textId="77777777" w:rsidR="00605110" w:rsidRPr="00AE79C1" w:rsidRDefault="00605110" w:rsidP="00AE79C1">
            <w:pPr>
              <w:spacing w:after="0"/>
              <w:ind w:left="0"/>
              <w:rPr>
                <w:rFonts w:cs="Calibri"/>
                <w:color w:val="000000"/>
                <w:szCs w:val="24"/>
              </w:rPr>
            </w:pPr>
            <w:r w:rsidRPr="00AE79C1">
              <w:rPr>
                <w:rFonts w:cs="Calibri"/>
                <w:color w:val="000000"/>
                <w:szCs w:val="24"/>
              </w:rPr>
              <w:t>Daily</w:t>
            </w:r>
          </w:p>
        </w:tc>
        <w:tc>
          <w:tcPr>
            <w:tcW w:w="2390" w:type="dxa"/>
            <w:noWrap/>
            <w:vAlign w:val="center"/>
          </w:tcPr>
          <w:p w14:paraId="42D29198" w14:textId="77777777" w:rsidR="00605110" w:rsidRPr="00AE79C1" w:rsidRDefault="00605110" w:rsidP="00AE79C1">
            <w:pPr>
              <w:spacing w:after="0"/>
              <w:ind w:left="0"/>
              <w:rPr>
                <w:rFonts w:cs="Calibri"/>
                <w:color w:val="000000"/>
                <w:szCs w:val="24"/>
              </w:rPr>
            </w:pPr>
            <w:r w:rsidRPr="00AE79C1">
              <w:rPr>
                <w:rFonts w:cs="Calibri"/>
                <w:color w:val="000000"/>
                <w:szCs w:val="24"/>
              </w:rPr>
              <w:t>Debits and Credits to Bankrupt Accounts to the Attorney General</w:t>
            </w:r>
          </w:p>
        </w:tc>
        <w:tc>
          <w:tcPr>
            <w:tcW w:w="6554" w:type="dxa"/>
            <w:vAlign w:val="center"/>
          </w:tcPr>
          <w:p w14:paraId="232842BF" w14:textId="77777777" w:rsidR="00605110" w:rsidRPr="00AE79C1" w:rsidRDefault="00605110" w:rsidP="00AE79C1">
            <w:pPr>
              <w:spacing w:after="0"/>
              <w:ind w:left="0"/>
              <w:rPr>
                <w:rFonts w:cs="Calibri"/>
                <w:color w:val="000000"/>
                <w:szCs w:val="24"/>
              </w:rPr>
            </w:pPr>
            <w:r w:rsidRPr="00AE79C1">
              <w:rPr>
                <w:rFonts w:cs="Calibri"/>
                <w:color w:val="000000"/>
                <w:szCs w:val="24"/>
              </w:rPr>
              <w:t xml:space="preserve">Payments posted to bankrupt accounts </w:t>
            </w:r>
          </w:p>
        </w:tc>
      </w:tr>
      <w:tr w:rsidR="00605110" w:rsidRPr="000E4EAF" w14:paraId="42BC8063" w14:textId="77777777" w:rsidTr="00FB2060">
        <w:trPr>
          <w:trHeight w:val="300"/>
        </w:trPr>
        <w:tc>
          <w:tcPr>
            <w:tcW w:w="697" w:type="dxa"/>
            <w:noWrap/>
            <w:vAlign w:val="center"/>
            <w:hideMark/>
          </w:tcPr>
          <w:p w14:paraId="2EC3742A" w14:textId="77777777" w:rsidR="00605110" w:rsidRPr="00AE79C1" w:rsidRDefault="00605110" w:rsidP="00AE79C1">
            <w:pPr>
              <w:spacing w:after="0"/>
              <w:ind w:left="0"/>
              <w:jc w:val="center"/>
              <w:rPr>
                <w:rFonts w:cs="Calibri"/>
                <w:color w:val="000000"/>
                <w:szCs w:val="24"/>
              </w:rPr>
            </w:pPr>
            <w:r w:rsidRPr="00AE79C1">
              <w:rPr>
                <w:rFonts w:cs="Calibri"/>
                <w:color w:val="000000"/>
                <w:szCs w:val="24"/>
              </w:rPr>
              <w:t>16</w:t>
            </w:r>
          </w:p>
        </w:tc>
        <w:tc>
          <w:tcPr>
            <w:tcW w:w="1661" w:type="dxa"/>
            <w:noWrap/>
            <w:vAlign w:val="center"/>
          </w:tcPr>
          <w:p w14:paraId="1B4C2B47" w14:textId="77777777" w:rsidR="00605110" w:rsidRPr="00AE79C1" w:rsidRDefault="00605110" w:rsidP="00AE79C1">
            <w:pPr>
              <w:spacing w:after="0"/>
              <w:ind w:left="0"/>
              <w:rPr>
                <w:rFonts w:cs="Calibri"/>
                <w:color w:val="000000"/>
                <w:szCs w:val="24"/>
              </w:rPr>
            </w:pPr>
            <w:r w:rsidRPr="00AE79C1">
              <w:rPr>
                <w:rFonts w:cs="Calibri"/>
                <w:color w:val="000000"/>
                <w:szCs w:val="24"/>
              </w:rPr>
              <w:t>Daily</w:t>
            </w:r>
          </w:p>
        </w:tc>
        <w:tc>
          <w:tcPr>
            <w:tcW w:w="2390" w:type="dxa"/>
            <w:noWrap/>
            <w:vAlign w:val="center"/>
          </w:tcPr>
          <w:p w14:paraId="5425093A" w14:textId="77777777" w:rsidR="00605110" w:rsidRPr="00AE79C1" w:rsidRDefault="00605110" w:rsidP="00AE79C1">
            <w:pPr>
              <w:spacing w:after="0"/>
              <w:ind w:left="0"/>
              <w:rPr>
                <w:rFonts w:cs="Calibri"/>
                <w:color w:val="000000"/>
                <w:szCs w:val="24"/>
              </w:rPr>
            </w:pPr>
            <w:r w:rsidRPr="00AE79C1">
              <w:rPr>
                <w:rFonts w:cs="Calibri"/>
                <w:color w:val="000000"/>
                <w:szCs w:val="24"/>
              </w:rPr>
              <w:t>Bankruptcy Collections Report</w:t>
            </w:r>
          </w:p>
        </w:tc>
        <w:tc>
          <w:tcPr>
            <w:tcW w:w="6554" w:type="dxa"/>
            <w:vAlign w:val="center"/>
          </w:tcPr>
          <w:p w14:paraId="2BDFC605" w14:textId="28715A5B" w:rsidR="00605110" w:rsidRPr="00AE79C1" w:rsidRDefault="00605110" w:rsidP="00AE79C1">
            <w:pPr>
              <w:spacing w:after="0"/>
              <w:ind w:left="0"/>
              <w:rPr>
                <w:rFonts w:cs="Calibri"/>
                <w:color w:val="000000"/>
                <w:szCs w:val="24"/>
              </w:rPr>
            </w:pPr>
            <w:r w:rsidRPr="00AE79C1">
              <w:rPr>
                <w:rFonts w:cs="Calibri"/>
                <w:color w:val="000000"/>
                <w:szCs w:val="24"/>
              </w:rPr>
              <w:t>Payments posted to bankrupt accounts that has ad</w:t>
            </w:r>
            <w:r w:rsidR="00407158">
              <w:rPr>
                <w:rFonts w:cs="Calibri"/>
                <w:color w:val="000000"/>
                <w:szCs w:val="24"/>
              </w:rPr>
              <w:t>ditional bankruptcy information;</w:t>
            </w:r>
            <w:r w:rsidRPr="00AE79C1">
              <w:rPr>
                <w:rFonts w:cs="Calibri"/>
                <w:color w:val="000000"/>
                <w:szCs w:val="24"/>
              </w:rPr>
              <w:t xml:space="preserve"> </w:t>
            </w:r>
            <w:r w:rsidR="00407158">
              <w:rPr>
                <w:rFonts w:cs="Calibri"/>
                <w:color w:val="000000"/>
                <w:szCs w:val="24"/>
              </w:rPr>
              <w:t>i</w:t>
            </w:r>
            <w:r w:rsidRPr="00AE79C1">
              <w:rPr>
                <w:rFonts w:cs="Calibri"/>
                <w:color w:val="000000"/>
                <w:szCs w:val="24"/>
              </w:rPr>
              <w:t>t is redun</w:t>
            </w:r>
            <w:r w:rsidR="00407158">
              <w:rPr>
                <w:rFonts w:cs="Calibri"/>
                <w:color w:val="000000"/>
                <w:szCs w:val="24"/>
              </w:rPr>
              <w:t>dant to TXCR1060(a)</w:t>
            </w:r>
          </w:p>
        </w:tc>
      </w:tr>
      <w:tr w:rsidR="00605110" w:rsidRPr="000E4EAF" w14:paraId="06F5919D" w14:textId="77777777" w:rsidTr="00FB2060">
        <w:trPr>
          <w:trHeight w:val="300"/>
        </w:trPr>
        <w:tc>
          <w:tcPr>
            <w:tcW w:w="697" w:type="dxa"/>
            <w:noWrap/>
            <w:vAlign w:val="center"/>
            <w:hideMark/>
          </w:tcPr>
          <w:p w14:paraId="5496363F" w14:textId="77777777" w:rsidR="00605110" w:rsidRPr="00AE79C1" w:rsidRDefault="00605110" w:rsidP="00AE79C1">
            <w:pPr>
              <w:spacing w:after="0"/>
              <w:ind w:left="0"/>
              <w:jc w:val="center"/>
              <w:rPr>
                <w:rFonts w:cs="Calibri"/>
                <w:color w:val="000000"/>
                <w:szCs w:val="24"/>
              </w:rPr>
            </w:pPr>
            <w:r w:rsidRPr="00AE79C1">
              <w:rPr>
                <w:rFonts w:cs="Calibri"/>
                <w:color w:val="000000"/>
                <w:szCs w:val="24"/>
              </w:rPr>
              <w:t>17</w:t>
            </w:r>
          </w:p>
        </w:tc>
        <w:tc>
          <w:tcPr>
            <w:tcW w:w="1661" w:type="dxa"/>
            <w:noWrap/>
            <w:vAlign w:val="center"/>
          </w:tcPr>
          <w:p w14:paraId="21ABF863" w14:textId="77777777" w:rsidR="00605110" w:rsidRPr="00AE79C1" w:rsidRDefault="00605110" w:rsidP="00AE79C1">
            <w:pPr>
              <w:spacing w:after="0"/>
              <w:ind w:left="0"/>
              <w:rPr>
                <w:rFonts w:cs="Calibri"/>
                <w:color w:val="000000"/>
                <w:szCs w:val="24"/>
              </w:rPr>
            </w:pPr>
            <w:r w:rsidRPr="00AE79C1">
              <w:rPr>
                <w:rFonts w:cs="Calibri"/>
                <w:color w:val="000000"/>
                <w:szCs w:val="24"/>
              </w:rPr>
              <w:t>Quarterly</w:t>
            </w:r>
          </w:p>
        </w:tc>
        <w:tc>
          <w:tcPr>
            <w:tcW w:w="2390" w:type="dxa"/>
            <w:noWrap/>
            <w:vAlign w:val="center"/>
          </w:tcPr>
          <w:p w14:paraId="5D64BE36" w14:textId="77777777" w:rsidR="00605110" w:rsidRPr="00AE79C1" w:rsidRDefault="00605110" w:rsidP="00AE79C1">
            <w:pPr>
              <w:spacing w:after="0"/>
              <w:ind w:left="0"/>
              <w:rPr>
                <w:rFonts w:cs="Calibri"/>
                <w:color w:val="000000"/>
                <w:szCs w:val="24"/>
              </w:rPr>
            </w:pPr>
            <w:r w:rsidRPr="00AE79C1">
              <w:rPr>
                <w:rFonts w:cs="Calibri"/>
                <w:color w:val="000000"/>
                <w:szCs w:val="24"/>
              </w:rPr>
              <w:t>Unallocated Remittance Stop List</w:t>
            </w:r>
          </w:p>
        </w:tc>
        <w:tc>
          <w:tcPr>
            <w:tcW w:w="6554" w:type="dxa"/>
            <w:vAlign w:val="center"/>
          </w:tcPr>
          <w:p w14:paraId="7CE20C0F" w14:textId="4E1433B5" w:rsidR="00605110" w:rsidRPr="00AE79C1" w:rsidRDefault="00605110" w:rsidP="00AE79C1">
            <w:pPr>
              <w:spacing w:after="0"/>
              <w:ind w:left="0"/>
              <w:rPr>
                <w:rFonts w:cs="Calibri"/>
                <w:color w:val="000000"/>
                <w:szCs w:val="24"/>
              </w:rPr>
            </w:pPr>
            <w:r w:rsidRPr="00AE79C1">
              <w:rPr>
                <w:rFonts w:cs="Calibri"/>
                <w:color w:val="000000"/>
                <w:szCs w:val="24"/>
              </w:rPr>
              <w:t>List of accounts with unallocate</w:t>
            </w:r>
            <w:r w:rsidR="00407158">
              <w:rPr>
                <w:rFonts w:cs="Calibri"/>
                <w:color w:val="000000"/>
                <w:szCs w:val="24"/>
              </w:rPr>
              <w:t>d remittances and a balance due;</w:t>
            </w:r>
            <w:r w:rsidR="00EE5622">
              <w:rPr>
                <w:rFonts w:cs="Calibri"/>
                <w:color w:val="000000"/>
                <w:szCs w:val="24"/>
              </w:rPr>
              <w:t xml:space="preserve"> </w:t>
            </w:r>
            <w:r w:rsidR="00407158">
              <w:rPr>
                <w:rFonts w:cs="Calibri"/>
                <w:color w:val="000000"/>
                <w:szCs w:val="24"/>
              </w:rPr>
              <w:t>a</w:t>
            </w:r>
            <w:r w:rsidRPr="00AE79C1">
              <w:rPr>
                <w:rFonts w:cs="Calibri"/>
                <w:color w:val="000000"/>
                <w:szCs w:val="24"/>
              </w:rPr>
              <w:t xml:space="preserve"> stop 86 -</w:t>
            </w:r>
            <w:r w:rsidR="00CB6821">
              <w:rPr>
                <w:rFonts w:cs="Calibri"/>
                <w:color w:val="000000"/>
                <w:szCs w:val="24"/>
              </w:rPr>
              <w:t xml:space="preserve">payment with </w:t>
            </w:r>
            <w:r w:rsidR="00CB6821" w:rsidRPr="00AE79C1">
              <w:rPr>
                <w:rFonts w:cs="Calibri"/>
                <w:color w:val="000000"/>
                <w:szCs w:val="24"/>
              </w:rPr>
              <w:t xml:space="preserve">document </w:t>
            </w:r>
            <w:r w:rsidRPr="00AE79C1">
              <w:rPr>
                <w:rFonts w:cs="Calibri"/>
                <w:color w:val="000000"/>
                <w:szCs w:val="24"/>
              </w:rPr>
              <w:t>(</w:t>
            </w:r>
            <w:r w:rsidR="00CB6821">
              <w:rPr>
                <w:rFonts w:cs="Calibri"/>
                <w:color w:val="000000"/>
                <w:szCs w:val="24"/>
              </w:rPr>
              <w:t>with no</w:t>
            </w:r>
            <w:r w:rsidR="00407158">
              <w:rPr>
                <w:rFonts w:cs="Calibri"/>
                <w:color w:val="000000"/>
                <w:szCs w:val="24"/>
              </w:rPr>
              <w:t xml:space="preserve"> IID) is posted on each account</w:t>
            </w:r>
          </w:p>
        </w:tc>
      </w:tr>
      <w:tr w:rsidR="00605110" w:rsidRPr="000E4EAF" w14:paraId="00A78485" w14:textId="77777777" w:rsidTr="00FB2060">
        <w:trPr>
          <w:trHeight w:val="300"/>
        </w:trPr>
        <w:tc>
          <w:tcPr>
            <w:tcW w:w="697" w:type="dxa"/>
            <w:noWrap/>
            <w:vAlign w:val="center"/>
            <w:hideMark/>
          </w:tcPr>
          <w:p w14:paraId="15DFF8BF" w14:textId="77777777" w:rsidR="00605110" w:rsidRPr="00AE79C1" w:rsidRDefault="00605110" w:rsidP="00AE79C1">
            <w:pPr>
              <w:spacing w:after="0"/>
              <w:ind w:left="0"/>
              <w:jc w:val="center"/>
              <w:rPr>
                <w:rFonts w:cs="Calibri"/>
                <w:color w:val="000000"/>
                <w:szCs w:val="24"/>
              </w:rPr>
            </w:pPr>
            <w:r w:rsidRPr="00AE79C1">
              <w:rPr>
                <w:rFonts w:cs="Calibri"/>
                <w:color w:val="000000"/>
                <w:szCs w:val="24"/>
              </w:rPr>
              <w:t>18</w:t>
            </w:r>
          </w:p>
        </w:tc>
        <w:tc>
          <w:tcPr>
            <w:tcW w:w="1661" w:type="dxa"/>
            <w:noWrap/>
            <w:vAlign w:val="center"/>
          </w:tcPr>
          <w:p w14:paraId="4C568084" w14:textId="77777777" w:rsidR="00605110" w:rsidRPr="00AE79C1" w:rsidRDefault="00605110" w:rsidP="00AE79C1">
            <w:pPr>
              <w:spacing w:after="0"/>
              <w:ind w:left="0"/>
              <w:rPr>
                <w:rFonts w:cs="Calibri"/>
                <w:color w:val="000000"/>
                <w:szCs w:val="24"/>
              </w:rPr>
            </w:pPr>
            <w:r w:rsidRPr="00AE79C1">
              <w:rPr>
                <w:rFonts w:cs="Calibri"/>
                <w:color w:val="000000"/>
                <w:szCs w:val="24"/>
              </w:rPr>
              <w:t>Daily</w:t>
            </w:r>
          </w:p>
        </w:tc>
        <w:tc>
          <w:tcPr>
            <w:tcW w:w="2390" w:type="dxa"/>
            <w:noWrap/>
            <w:vAlign w:val="center"/>
          </w:tcPr>
          <w:p w14:paraId="2D8D2C95" w14:textId="77777777" w:rsidR="00605110" w:rsidRPr="00AE79C1" w:rsidRDefault="00605110" w:rsidP="00AE79C1">
            <w:pPr>
              <w:spacing w:after="0"/>
              <w:ind w:left="0"/>
              <w:rPr>
                <w:rFonts w:cs="Calibri"/>
                <w:color w:val="000000"/>
                <w:szCs w:val="24"/>
              </w:rPr>
            </w:pPr>
            <w:r w:rsidRPr="00AE79C1">
              <w:rPr>
                <w:rFonts w:cs="Calibri"/>
                <w:color w:val="000000"/>
                <w:szCs w:val="24"/>
              </w:rPr>
              <w:t>Input Records for Bankruptcy by Tax Area</w:t>
            </w:r>
          </w:p>
        </w:tc>
        <w:tc>
          <w:tcPr>
            <w:tcW w:w="6554" w:type="dxa"/>
            <w:vAlign w:val="center"/>
          </w:tcPr>
          <w:p w14:paraId="1BF427CC" w14:textId="77777777" w:rsidR="00605110" w:rsidRPr="00AE79C1" w:rsidRDefault="00605110" w:rsidP="00AE79C1">
            <w:pPr>
              <w:spacing w:after="0"/>
              <w:ind w:left="0"/>
              <w:rPr>
                <w:rFonts w:cs="Calibri"/>
                <w:color w:val="000000"/>
                <w:szCs w:val="24"/>
              </w:rPr>
            </w:pPr>
            <w:r w:rsidRPr="00AE79C1">
              <w:rPr>
                <w:rFonts w:cs="Calibri"/>
                <w:color w:val="000000"/>
                <w:szCs w:val="24"/>
              </w:rPr>
              <w:t>Bankruptcy Default Notices issued by Tax Area</w:t>
            </w:r>
          </w:p>
        </w:tc>
      </w:tr>
      <w:tr w:rsidR="00006ED6" w:rsidRPr="000E4EAF" w14:paraId="2D5B0621" w14:textId="77777777" w:rsidTr="00FB2060">
        <w:trPr>
          <w:trHeight w:val="300"/>
        </w:trPr>
        <w:tc>
          <w:tcPr>
            <w:tcW w:w="697" w:type="dxa"/>
            <w:noWrap/>
            <w:vAlign w:val="center"/>
            <w:hideMark/>
          </w:tcPr>
          <w:p w14:paraId="359399C4" w14:textId="77777777" w:rsidR="00006ED6" w:rsidRPr="00AE79C1" w:rsidRDefault="00006ED6" w:rsidP="00AE79C1">
            <w:pPr>
              <w:spacing w:after="0"/>
              <w:ind w:left="0"/>
              <w:jc w:val="center"/>
              <w:rPr>
                <w:rFonts w:cs="Calibri"/>
                <w:color w:val="000000"/>
                <w:szCs w:val="24"/>
              </w:rPr>
            </w:pPr>
            <w:r w:rsidRPr="00AE79C1">
              <w:rPr>
                <w:rFonts w:cs="Calibri"/>
                <w:color w:val="000000"/>
                <w:szCs w:val="24"/>
              </w:rPr>
              <w:t>19</w:t>
            </w:r>
          </w:p>
        </w:tc>
        <w:tc>
          <w:tcPr>
            <w:tcW w:w="1661" w:type="dxa"/>
            <w:noWrap/>
            <w:vAlign w:val="center"/>
          </w:tcPr>
          <w:p w14:paraId="7A7EB790" w14:textId="66C0E6E7" w:rsidR="00006ED6" w:rsidRPr="00AE79C1" w:rsidRDefault="00006ED6" w:rsidP="00AE79C1">
            <w:pPr>
              <w:spacing w:after="0"/>
              <w:ind w:left="0"/>
              <w:rPr>
                <w:rFonts w:cs="Calibri"/>
                <w:color w:val="000000"/>
                <w:szCs w:val="24"/>
              </w:rPr>
            </w:pPr>
            <w:r w:rsidRPr="00AE79C1">
              <w:rPr>
                <w:rFonts w:cs="Calibri"/>
                <w:color w:val="000000"/>
                <w:szCs w:val="24"/>
              </w:rPr>
              <w:t>Daily</w:t>
            </w:r>
          </w:p>
        </w:tc>
        <w:tc>
          <w:tcPr>
            <w:tcW w:w="2390" w:type="dxa"/>
            <w:noWrap/>
            <w:vAlign w:val="center"/>
          </w:tcPr>
          <w:p w14:paraId="6A54FFED" w14:textId="3C626676" w:rsidR="00006ED6" w:rsidRPr="00AE79C1" w:rsidRDefault="00006ED6" w:rsidP="00AE79C1">
            <w:pPr>
              <w:spacing w:after="0"/>
              <w:ind w:left="0"/>
              <w:rPr>
                <w:rFonts w:cs="Calibri"/>
                <w:color w:val="000000"/>
                <w:szCs w:val="24"/>
              </w:rPr>
            </w:pPr>
            <w:r w:rsidRPr="00AE79C1">
              <w:rPr>
                <w:rFonts w:cs="Calibri"/>
                <w:color w:val="000000"/>
                <w:szCs w:val="24"/>
              </w:rPr>
              <w:t>Bankruptcy Default Notice by Tax Area</w:t>
            </w:r>
          </w:p>
        </w:tc>
        <w:tc>
          <w:tcPr>
            <w:tcW w:w="6554" w:type="dxa"/>
            <w:vAlign w:val="center"/>
          </w:tcPr>
          <w:p w14:paraId="59EB2799" w14:textId="27330197" w:rsidR="00006ED6" w:rsidRPr="00AE79C1" w:rsidRDefault="00006ED6" w:rsidP="00AE79C1">
            <w:pPr>
              <w:spacing w:after="0"/>
              <w:ind w:left="0"/>
              <w:rPr>
                <w:rFonts w:cs="Calibri"/>
                <w:color w:val="000000"/>
                <w:szCs w:val="24"/>
              </w:rPr>
            </w:pPr>
            <w:r w:rsidRPr="00AE79C1">
              <w:rPr>
                <w:rFonts w:cs="Calibri"/>
                <w:color w:val="000000"/>
                <w:szCs w:val="24"/>
              </w:rPr>
              <w:t>Bankruptcy Default Notices edit listing</w:t>
            </w:r>
          </w:p>
        </w:tc>
      </w:tr>
      <w:tr w:rsidR="00006ED6" w:rsidRPr="000E4EAF" w14:paraId="370C6F62" w14:textId="77777777" w:rsidTr="00FB2060">
        <w:trPr>
          <w:trHeight w:val="300"/>
        </w:trPr>
        <w:tc>
          <w:tcPr>
            <w:tcW w:w="697" w:type="dxa"/>
            <w:noWrap/>
            <w:vAlign w:val="center"/>
            <w:hideMark/>
          </w:tcPr>
          <w:p w14:paraId="1806E8E5" w14:textId="77777777" w:rsidR="00006ED6" w:rsidRPr="00AE79C1" w:rsidRDefault="00006ED6" w:rsidP="00AE79C1">
            <w:pPr>
              <w:spacing w:after="0"/>
              <w:ind w:left="0"/>
              <w:jc w:val="center"/>
              <w:rPr>
                <w:rFonts w:cs="Calibri"/>
                <w:color w:val="000000"/>
                <w:szCs w:val="24"/>
              </w:rPr>
            </w:pPr>
            <w:r w:rsidRPr="00AE79C1">
              <w:rPr>
                <w:rFonts w:cs="Calibri"/>
                <w:color w:val="000000"/>
                <w:szCs w:val="24"/>
              </w:rPr>
              <w:lastRenderedPageBreak/>
              <w:t>20</w:t>
            </w:r>
          </w:p>
        </w:tc>
        <w:tc>
          <w:tcPr>
            <w:tcW w:w="1661" w:type="dxa"/>
            <w:noWrap/>
            <w:vAlign w:val="center"/>
          </w:tcPr>
          <w:p w14:paraId="5C2168EA" w14:textId="616855FC" w:rsidR="00006ED6" w:rsidRPr="00AE79C1" w:rsidRDefault="00006ED6" w:rsidP="00AE79C1">
            <w:pPr>
              <w:spacing w:after="0"/>
              <w:ind w:left="0"/>
              <w:rPr>
                <w:rFonts w:cs="Calibri"/>
                <w:color w:val="000000"/>
                <w:szCs w:val="24"/>
              </w:rPr>
            </w:pPr>
            <w:r w:rsidRPr="00AE79C1">
              <w:rPr>
                <w:rFonts w:cs="Calibri"/>
                <w:color w:val="000000"/>
                <w:szCs w:val="24"/>
              </w:rPr>
              <w:t>Monthly</w:t>
            </w:r>
          </w:p>
        </w:tc>
        <w:tc>
          <w:tcPr>
            <w:tcW w:w="2390" w:type="dxa"/>
            <w:vAlign w:val="center"/>
          </w:tcPr>
          <w:p w14:paraId="08C2BD0A" w14:textId="6E023BEB" w:rsidR="00006ED6" w:rsidRPr="00AE79C1" w:rsidRDefault="00006ED6" w:rsidP="00AE79C1">
            <w:pPr>
              <w:spacing w:after="0"/>
              <w:ind w:left="0"/>
              <w:rPr>
                <w:rFonts w:cs="Calibri"/>
                <w:color w:val="000000"/>
                <w:szCs w:val="24"/>
              </w:rPr>
            </w:pPr>
            <w:r w:rsidRPr="00AE79C1">
              <w:rPr>
                <w:rFonts w:cs="Calibri"/>
                <w:color w:val="000000"/>
                <w:szCs w:val="24"/>
              </w:rPr>
              <w:t>Monthly Bankruptcy Claims Filed</w:t>
            </w:r>
          </w:p>
        </w:tc>
        <w:tc>
          <w:tcPr>
            <w:tcW w:w="6554" w:type="dxa"/>
            <w:vAlign w:val="center"/>
          </w:tcPr>
          <w:p w14:paraId="31DAEEEB" w14:textId="2F708837" w:rsidR="00006ED6" w:rsidRPr="00AE79C1" w:rsidRDefault="00006ED6" w:rsidP="00AE79C1">
            <w:pPr>
              <w:spacing w:after="0"/>
              <w:ind w:left="0"/>
              <w:rPr>
                <w:rFonts w:cs="Calibri"/>
                <w:color w:val="000000"/>
                <w:szCs w:val="24"/>
              </w:rPr>
            </w:pPr>
            <w:r w:rsidRPr="00AE79C1">
              <w:rPr>
                <w:rFonts w:cs="Calibri"/>
                <w:color w:val="000000"/>
                <w:szCs w:val="24"/>
              </w:rPr>
              <w:t>Listing of claims filed group by AE. These are claims that have a bankruptcy re</w:t>
            </w:r>
            <w:r w:rsidR="00407158">
              <w:rPr>
                <w:rFonts w:cs="Calibri"/>
                <w:color w:val="000000"/>
                <w:szCs w:val="24"/>
              </w:rPr>
              <w:t>cord (CFI) on the EMF</w:t>
            </w:r>
          </w:p>
        </w:tc>
      </w:tr>
      <w:tr w:rsidR="00006ED6" w:rsidRPr="000E4EAF" w14:paraId="233417A4" w14:textId="77777777" w:rsidTr="00FB2060">
        <w:trPr>
          <w:trHeight w:val="300"/>
        </w:trPr>
        <w:tc>
          <w:tcPr>
            <w:tcW w:w="697" w:type="dxa"/>
            <w:noWrap/>
            <w:vAlign w:val="center"/>
            <w:hideMark/>
          </w:tcPr>
          <w:p w14:paraId="7319DD69" w14:textId="77777777" w:rsidR="00006ED6" w:rsidRPr="00AE79C1" w:rsidRDefault="00006ED6" w:rsidP="00AE79C1">
            <w:pPr>
              <w:spacing w:after="0"/>
              <w:ind w:left="0"/>
              <w:jc w:val="center"/>
              <w:rPr>
                <w:rFonts w:cs="Calibri"/>
                <w:color w:val="000000"/>
                <w:szCs w:val="24"/>
              </w:rPr>
            </w:pPr>
            <w:r w:rsidRPr="00AE79C1">
              <w:rPr>
                <w:rFonts w:cs="Calibri"/>
                <w:color w:val="000000"/>
                <w:szCs w:val="24"/>
              </w:rPr>
              <w:t>21</w:t>
            </w:r>
          </w:p>
        </w:tc>
        <w:tc>
          <w:tcPr>
            <w:tcW w:w="1661" w:type="dxa"/>
            <w:noWrap/>
            <w:vAlign w:val="center"/>
          </w:tcPr>
          <w:p w14:paraId="42500B0B" w14:textId="74A332EE" w:rsidR="00006ED6" w:rsidRPr="00AE79C1" w:rsidRDefault="00006ED6" w:rsidP="00AE79C1">
            <w:pPr>
              <w:spacing w:after="0"/>
              <w:ind w:left="0"/>
              <w:rPr>
                <w:rFonts w:cs="Calibri"/>
                <w:color w:val="000000"/>
                <w:szCs w:val="24"/>
              </w:rPr>
            </w:pPr>
            <w:r w:rsidRPr="00AE79C1">
              <w:rPr>
                <w:rFonts w:cs="Calibri"/>
                <w:color w:val="000000"/>
                <w:szCs w:val="24"/>
              </w:rPr>
              <w:t>Monthly</w:t>
            </w:r>
          </w:p>
        </w:tc>
        <w:tc>
          <w:tcPr>
            <w:tcW w:w="2390" w:type="dxa"/>
            <w:noWrap/>
            <w:vAlign w:val="center"/>
          </w:tcPr>
          <w:p w14:paraId="13C46F41" w14:textId="11E8BD45" w:rsidR="00006ED6" w:rsidRPr="00AE79C1" w:rsidRDefault="00006ED6" w:rsidP="00AE79C1">
            <w:pPr>
              <w:spacing w:after="0"/>
              <w:ind w:left="0"/>
              <w:rPr>
                <w:rFonts w:cs="Calibri"/>
                <w:color w:val="000000"/>
                <w:szCs w:val="24"/>
              </w:rPr>
            </w:pPr>
            <w:r w:rsidRPr="00AE79C1">
              <w:rPr>
                <w:rFonts w:cs="Calibri"/>
                <w:color w:val="000000"/>
                <w:szCs w:val="24"/>
              </w:rPr>
              <w:t>Monthly Debits and Credits to Bankrupt Accounts</w:t>
            </w:r>
          </w:p>
        </w:tc>
        <w:tc>
          <w:tcPr>
            <w:tcW w:w="6554" w:type="dxa"/>
            <w:vAlign w:val="center"/>
          </w:tcPr>
          <w:p w14:paraId="71ECC450" w14:textId="4707AD39" w:rsidR="00006ED6" w:rsidRPr="00AE79C1" w:rsidRDefault="00006ED6" w:rsidP="00AE79C1">
            <w:pPr>
              <w:spacing w:after="0"/>
              <w:ind w:left="0"/>
              <w:rPr>
                <w:rFonts w:cs="Calibri"/>
                <w:color w:val="000000"/>
                <w:szCs w:val="24"/>
              </w:rPr>
            </w:pPr>
            <w:r w:rsidRPr="00AE79C1">
              <w:rPr>
                <w:rFonts w:cs="Calibri"/>
                <w:color w:val="000000"/>
                <w:szCs w:val="24"/>
              </w:rPr>
              <w:t>Summary of all payments posted to Bankrupt Accounts</w:t>
            </w:r>
          </w:p>
        </w:tc>
      </w:tr>
      <w:tr w:rsidR="00006ED6" w:rsidRPr="000E4EAF" w14:paraId="5716F653" w14:textId="77777777" w:rsidTr="00FB2060">
        <w:trPr>
          <w:trHeight w:val="300"/>
        </w:trPr>
        <w:tc>
          <w:tcPr>
            <w:tcW w:w="697" w:type="dxa"/>
            <w:noWrap/>
            <w:vAlign w:val="center"/>
            <w:hideMark/>
          </w:tcPr>
          <w:p w14:paraId="207BBBAE" w14:textId="77777777" w:rsidR="00006ED6" w:rsidRPr="00AE79C1" w:rsidRDefault="00006ED6" w:rsidP="00AE79C1">
            <w:pPr>
              <w:spacing w:after="0"/>
              <w:ind w:left="0"/>
              <w:jc w:val="center"/>
              <w:rPr>
                <w:rFonts w:cs="Calibri"/>
                <w:color w:val="000000"/>
                <w:szCs w:val="24"/>
              </w:rPr>
            </w:pPr>
            <w:r w:rsidRPr="00AE79C1">
              <w:rPr>
                <w:rFonts w:cs="Calibri"/>
                <w:color w:val="000000"/>
                <w:szCs w:val="24"/>
              </w:rPr>
              <w:t>22</w:t>
            </w:r>
          </w:p>
        </w:tc>
        <w:tc>
          <w:tcPr>
            <w:tcW w:w="1661" w:type="dxa"/>
            <w:noWrap/>
            <w:vAlign w:val="center"/>
          </w:tcPr>
          <w:p w14:paraId="45DBD887" w14:textId="241CB766" w:rsidR="00006ED6" w:rsidRPr="00AE79C1" w:rsidRDefault="00006ED6" w:rsidP="00AE79C1">
            <w:pPr>
              <w:spacing w:after="0"/>
              <w:ind w:left="0"/>
              <w:rPr>
                <w:rFonts w:cs="Calibri"/>
                <w:color w:val="000000"/>
                <w:szCs w:val="24"/>
              </w:rPr>
            </w:pPr>
            <w:r w:rsidRPr="00AE79C1">
              <w:rPr>
                <w:rFonts w:cs="Calibri"/>
                <w:color w:val="000000"/>
                <w:szCs w:val="24"/>
              </w:rPr>
              <w:t>Monthly</w:t>
            </w:r>
          </w:p>
        </w:tc>
        <w:tc>
          <w:tcPr>
            <w:tcW w:w="2390" w:type="dxa"/>
            <w:noWrap/>
            <w:vAlign w:val="center"/>
          </w:tcPr>
          <w:p w14:paraId="1E0E967A" w14:textId="37DDCE94" w:rsidR="00006ED6" w:rsidRPr="00AE79C1" w:rsidRDefault="00006ED6" w:rsidP="00AE79C1">
            <w:pPr>
              <w:spacing w:after="0"/>
              <w:ind w:left="0"/>
              <w:rPr>
                <w:rFonts w:cs="Calibri"/>
                <w:color w:val="000000"/>
                <w:szCs w:val="24"/>
              </w:rPr>
            </w:pPr>
            <w:r w:rsidRPr="00AE79C1">
              <w:rPr>
                <w:rFonts w:cs="Calibri"/>
                <w:color w:val="000000"/>
                <w:szCs w:val="24"/>
              </w:rPr>
              <w:t>Monthly Bankruptcy Collections Report</w:t>
            </w:r>
          </w:p>
        </w:tc>
        <w:tc>
          <w:tcPr>
            <w:tcW w:w="6554" w:type="dxa"/>
            <w:vAlign w:val="center"/>
          </w:tcPr>
          <w:p w14:paraId="30AF7B39" w14:textId="25C71D2A" w:rsidR="00006ED6" w:rsidRPr="00AE79C1" w:rsidRDefault="00006ED6" w:rsidP="00AE79C1">
            <w:pPr>
              <w:spacing w:after="0"/>
              <w:ind w:left="0"/>
              <w:rPr>
                <w:rFonts w:cs="Calibri"/>
                <w:color w:val="000000"/>
                <w:szCs w:val="24"/>
              </w:rPr>
            </w:pPr>
            <w:r w:rsidRPr="00AE79C1">
              <w:rPr>
                <w:rFonts w:cs="Calibri"/>
                <w:color w:val="000000"/>
                <w:szCs w:val="24"/>
              </w:rPr>
              <w:t>This is a report that was established when we had all our reports posted online</w:t>
            </w:r>
            <w:r w:rsidR="00407158">
              <w:rPr>
                <w:rFonts w:cs="Calibri"/>
                <w:color w:val="000000"/>
                <w:szCs w:val="24"/>
              </w:rPr>
              <w:t>. Nothing post to it currently</w:t>
            </w:r>
          </w:p>
        </w:tc>
      </w:tr>
      <w:tr w:rsidR="00006ED6" w:rsidRPr="000E4EAF" w14:paraId="7971F019" w14:textId="77777777" w:rsidTr="00FB2060">
        <w:trPr>
          <w:trHeight w:val="300"/>
        </w:trPr>
        <w:tc>
          <w:tcPr>
            <w:tcW w:w="697" w:type="dxa"/>
            <w:noWrap/>
            <w:vAlign w:val="center"/>
            <w:hideMark/>
          </w:tcPr>
          <w:p w14:paraId="26F4A5F8" w14:textId="77777777" w:rsidR="00006ED6" w:rsidRPr="00AE79C1" w:rsidRDefault="00006ED6" w:rsidP="00AE79C1">
            <w:pPr>
              <w:spacing w:after="0"/>
              <w:ind w:left="0"/>
              <w:jc w:val="center"/>
              <w:rPr>
                <w:rFonts w:cs="Calibri"/>
                <w:color w:val="000000"/>
                <w:szCs w:val="24"/>
              </w:rPr>
            </w:pPr>
            <w:r w:rsidRPr="00AE79C1">
              <w:rPr>
                <w:rFonts w:cs="Calibri"/>
                <w:color w:val="000000"/>
                <w:szCs w:val="24"/>
              </w:rPr>
              <w:t>23</w:t>
            </w:r>
          </w:p>
        </w:tc>
        <w:tc>
          <w:tcPr>
            <w:tcW w:w="1661" w:type="dxa"/>
            <w:noWrap/>
            <w:vAlign w:val="center"/>
          </w:tcPr>
          <w:p w14:paraId="128FF071" w14:textId="7E15213F" w:rsidR="00006ED6" w:rsidRPr="00AE79C1" w:rsidRDefault="00006ED6" w:rsidP="00AE79C1">
            <w:pPr>
              <w:spacing w:after="0"/>
              <w:ind w:left="0"/>
              <w:rPr>
                <w:rFonts w:cs="Calibri"/>
                <w:color w:val="000000"/>
                <w:szCs w:val="24"/>
              </w:rPr>
            </w:pPr>
            <w:r w:rsidRPr="00AE79C1">
              <w:rPr>
                <w:rFonts w:cs="Calibri"/>
                <w:color w:val="000000"/>
                <w:szCs w:val="24"/>
              </w:rPr>
              <w:t>Monthly</w:t>
            </w:r>
          </w:p>
        </w:tc>
        <w:tc>
          <w:tcPr>
            <w:tcW w:w="2390" w:type="dxa"/>
            <w:noWrap/>
            <w:vAlign w:val="center"/>
          </w:tcPr>
          <w:p w14:paraId="3707CE42" w14:textId="7F5E49C0" w:rsidR="00006ED6" w:rsidRPr="00AE79C1" w:rsidRDefault="00006ED6" w:rsidP="00AE79C1">
            <w:pPr>
              <w:spacing w:after="0"/>
              <w:ind w:left="0"/>
              <w:rPr>
                <w:rFonts w:cs="Calibri"/>
                <w:color w:val="000000"/>
                <w:szCs w:val="24"/>
              </w:rPr>
            </w:pPr>
            <w:r w:rsidRPr="00AE79C1">
              <w:rPr>
                <w:rFonts w:cs="Calibri"/>
                <w:color w:val="000000"/>
                <w:szCs w:val="24"/>
              </w:rPr>
              <w:t>Monthly Accounts that Have Money with Other Correspondence</w:t>
            </w:r>
          </w:p>
        </w:tc>
        <w:tc>
          <w:tcPr>
            <w:tcW w:w="6554" w:type="dxa"/>
            <w:vAlign w:val="center"/>
          </w:tcPr>
          <w:p w14:paraId="41807E16" w14:textId="3EDBF7BB" w:rsidR="00006ED6" w:rsidRPr="00AE79C1" w:rsidRDefault="00006ED6" w:rsidP="00AE79C1">
            <w:pPr>
              <w:spacing w:after="0"/>
              <w:ind w:left="0"/>
              <w:rPr>
                <w:rFonts w:cs="Calibri"/>
                <w:color w:val="000000"/>
                <w:szCs w:val="24"/>
              </w:rPr>
            </w:pPr>
            <w:r w:rsidRPr="00AE79C1">
              <w:rPr>
                <w:rFonts w:cs="Calibri"/>
                <w:color w:val="000000"/>
                <w:szCs w:val="24"/>
              </w:rPr>
              <w:t xml:space="preserve">Shows accounts that have credits available with an active system 86 stop (payment with documents) </w:t>
            </w:r>
          </w:p>
        </w:tc>
      </w:tr>
      <w:tr w:rsidR="00006ED6" w:rsidRPr="000E4EAF" w14:paraId="76E0AACE" w14:textId="77777777" w:rsidTr="00FB2060">
        <w:trPr>
          <w:trHeight w:val="300"/>
        </w:trPr>
        <w:tc>
          <w:tcPr>
            <w:tcW w:w="697" w:type="dxa"/>
            <w:noWrap/>
            <w:vAlign w:val="center"/>
            <w:hideMark/>
          </w:tcPr>
          <w:p w14:paraId="2314F4AE" w14:textId="77777777" w:rsidR="00006ED6" w:rsidRPr="00AE79C1" w:rsidRDefault="00006ED6" w:rsidP="00AE79C1">
            <w:pPr>
              <w:spacing w:after="0"/>
              <w:ind w:left="0"/>
              <w:jc w:val="center"/>
              <w:rPr>
                <w:rFonts w:cs="Calibri"/>
                <w:color w:val="000000"/>
                <w:szCs w:val="24"/>
              </w:rPr>
            </w:pPr>
            <w:r w:rsidRPr="00AE79C1">
              <w:rPr>
                <w:rFonts w:cs="Calibri"/>
                <w:color w:val="000000"/>
                <w:szCs w:val="24"/>
              </w:rPr>
              <w:t>24</w:t>
            </w:r>
          </w:p>
        </w:tc>
        <w:tc>
          <w:tcPr>
            <w:tcW w:w="1661" w:type="dxa"/>
            <w:noWrap/>
            <w:vAlign w:val="center"/>
          </w:tcPr>
          <w:p w14:paraId="75FB8BF4" w14:textId="153B77F0" w:rsidR="00006ED6" w:rsidRPr="00AE79C1" w:rsidRDefault="00006ED6" w:rsidP="00AE79C1">
            <w:pPr>
              <w:spacing w:after="0"/>
              <w:ind w:left="0"/>
              <w:rPr>
                <w:rFonts w:cs="Calibri"/>
                <w:color w:val="000000"/>
                <w:szCs w:val="24"/>
              </w:rPr>
            </w:pPr>
            <w:r w:rsidRPr="00AE79C1">
              <w:rPr>
                <w:rFonts w:cs="Calibri"/>
                <w:color w:val="000000"/>
                <w:szCs w:val="24"/>
              </w:rPr>
              <w:t>Monthly</w:t>
            </w:r>
          </w:p>
        </w:tc>
        <w:tc>
          <w:tcPr>
            <w:tcW w:w="2390" w:type="dxa"/>
            <w:noWrap/>
            <w:vAlign w:val="center"/>
          </w:tcPr>
          <w:p w14:paraId="4E34FA30" w14:textId="12814694" w:rsidR="00006ED6" w:rsidRPr="00AE79C1" w:rsidRDefault="00006ED6" w:rsidP="00AE79C1">
            <w:pPr>
              <w:spacing w:after="0"/>
              <w:ind w:left="0"/>
              <w:rPr>
                <w:rFonts w:cs="Calibri"/>
                <w:color w:val="000000"/>
                <w:szCs w:val="24"/>
              </w:rPr>
            </w:pPr>
            <w:r w:rsidRPr="00AE79C1">
              <w:rPr>
                <w:rFonts w:cs="Calibri"/>
                <w:color w:val="000000"/>
                <w:szCs w:val="24"/>
              </w:rPr>
              <w:t>Monthly Bankrupt Accounts with Unallocated Money</w:t>
            </w:r>
          </w:p>
        </w:tc>
        <w:tc>
          <w:tcPr>
            <w:tcW w:w="6554" w:type="dxa"/>
            <w:vAlign w:val="center"/>
          </w:tcPr>
          <w:p w14:paraId="616EE8AA" w14:textId="2325C0EE" w:rsidR="00006ED6" w:rsidRPr="00AE79C1" w:rsidRDefault="00006ED6" w:rsidP="00AE79C1">
            <w:pPr>
              <w:spacing w:after="0"/>
              <w:ind w:left="0"/>
              <w:rPr>
                <w:rFonts w:cs="Calibri"/>
                <w:color w:val="000000"/>
                <w:szCs w:val="24"/>
              </w:rPr>
            </w:pPr>
            <w:r w:rsidRPr="00AE79C1">
              <w:rPr>
                <w:rFonts w:cs="Calibri"/>
                <w:color w:val="000000"/>
                <w:szCs w:val="24"/>
              </w:rPr>
              <w:t>Report shows</w:t>
            </w:r>
            <w:r w:rsidR="00407158">
              <w:rPr>
                <w:rFonts w:cs="Calibri"/>
                <w:color w:val="000000"/>
                <w:szCs w:val="24"/>
              </w:rPr>
              <w:t xml:space="preserve"> $$ Credits that are available</w:t>
            </w:r>
          </w:p>
        </w:tc>
      </w:tr>
      <w:tr w:rsidR="00006ED6" w:rsidRPr="000E4EAF" w14:paraId="64F1BBDC" w14:textId="77777777" w:rsidTr="00FB2060">
        <w:trPr>
          <w:trHeight w:val="315"/>
        </w:trPr>
        <w:tc>
          <w:tcPr>
            <w:tcW w:w="697" w:type="dxa"/>
            <w:noWrap/>
            <w:vAlign w:val="center"/>
            <w:hideMark/>
          </w:tcPr>
          <w:p w14:paraId="24059401" w14:textId="77777777" w:rsidR="00006ED6" w:rsidRPr="00AE79C1" w:rsidRDefault="00006ED6" w:rsidP="00AE79C1">
            <w:pPr>
              <w:spacing w:after="0"/>
              <w:ind w:left="0"/>
              <w:jc w:val="center"/>
              <w:rPr>
                <w:rFonts w:cs="Calibri"/>
                <w:color w:val="000000"/>
                <w:szCs w:val="24"/>
              </w:rPr>
            </w:pPr>
            <w:r w:rsidRPr="00AE79C1">
              <w:rPr>
                <w:rFonts w:cs="Calibri"/>
                <w:color w:val="000000"/>
                <w:szCs w:val="24"/>
              </w:rPr>
              <w:t>25</w:t>
            </w:r>
          </w:p>
        </w:tc>
        <w:tc>
          <w:tcPr>
            <w:tcW w:w="1661" w:type="dxa"/>
            <w:noWrap/>
            <w:vAlign w:val="center"/>
          </w:tcPr>
          <w:p w14:paraId="050BA4E3" w14:textId="724B9693" w:rsidR="00006ED6" w:rsidRPr="00AE79C1" w:rsidRDefault="00006ED6" w:rsidP="00AE79C1">
            <w:pPr>
              <w:spacing w:after="0"/>
              <w:ind w:left="0"/>
              <w:rPr>
                <w:rFonts w:cs="Calibri"/>
                <w:color w:val="000000"/>
                <w:szCs w:val="24"/>
              </w:rPr>
            </w:pPr>
            <w:r w:rsidRPr="00AE79C1">
              <w:rPr>
                <w:rFonts w:cs="Calibri"/>
                <w:color w:val="000000"/>
                <w:szCs w:val="24"/>
              </w:rPr>
              <w:t>Monthly</w:t>
            </w:r>
          </w:p>
        </w:tc>
        <w:tc>
          <w:tcPr>
            <w:tcW w:w="2390" w:type="dxa"/>
            <w:noWrap/>
            <w:vAlign w:val="center"/>
          </w:tcPr>
          <w:p w14:paraId="2AC1469F" w14:textId="1BBFA282" w:rsidR="00006ED6" w:rsidRPr="00AE79C1" w:rsidRDefault="00006ED6" w:rsidP="00AE79C1">
            <w:pPr>
              <w:spacing w:after="0"/>
              <w:ind w:left="0"/>
              <w:rPr>
                <w:rFonts w:cs="Calibri"/>
                <w:color w:val="000000"/>
                <w:szCs w:val="24"/>
              </w:rPr>
            </w:pPr>
            <w:r w:rsidRPr="00AE79C1">
              <w:rPr>
                <w:rFonts w:cs="Calibri"/>
                <w:color w:val="000000"/>
                <w:szCs w:val="24"/>
              </w:rPr>
              <w:t>Monthly Unclaimed Delinquency Report</w:t>
            </w:r>
          </w:p>
        </w:tc>
        <w:tc>
          <w:tcPr>
            <w:tcW w:w="6554" w:type="dxa"/>
            <w:vAlign w:val="center"/>
          </w:tcPr>
          <w:p w14:paraId="53BF1767" w14:textId="1819C819" w:rsidR="00006ED6" w:rsidRPr="00AE79C1" w:rsidRDefault="00006ED6" w:rsidP="00AE79C1">
            <w:pPr>
              <w:spacing w:after="0"/>
              <w:ind w:left="0"/>
              <w:rPr>
                <w:rFonts w:cs="Calibri"/>
                <w:color w:val="000000"/>
                <w:szCs w:val="24"/>
              </w:rPr>
            </w:pPr>
            <w:r w:rsidRPr="00AE79C1">
              <w:rPr>
                <w:rFonts w:cs="Calibri"/>
                <w:color w:val="000000"/>
                <w:szCs w:val="24"/>
              </w:rPr>
              <w:t>Shows accounts for the previous quarter due that shows Unclaimed Delinquency. Alerts respective AE to investigate to take appropriate action depe</w:t>
            </w:r>
            <w:r w:rsidR="00407158">
              <w:rPr>
                <w:rFonts w:cs="Calibri"/>
                <w:color w:val="000000"/>
                <w:szCs w:val="24"/>
              </w:rPr>
              <w:t>ndent on bankruptcy case status</w:t>
            </w:r>
          </w:p>
        </w:tc>
      </w:tr>
      <w:tr w:rsidR="00006ED6" w:rsidRPr="000E4EAF" w14:paraId="4261D1A3" w14:textId="77777777" w:rsidTr="00FB2060">
        <w:trPr>
          <w:trHeight w:val="300"/>
        </w:trPr>
        <w:tc>
          <w:tcPr>
            <w:tcW w:w="697" w:type="dxa"/>
            <w:noWrap/>
            <w:vAlign w:val="center"/>
            <w:hideMark/>
          </w:tcPr>
          <w:p w14:paraId="28C0C0EA" w14:textId="77777777" w:rsidR="00006ED6" w:rsidRPr="00AE79C1" w:rsidRDefault="00006ED6" w:rsidP="00AE79C1">
            <w:pPr>
              <w:spacing w:after="0"/>
              <w:ind w:left="0"/>
              <w:jc w:val="center"/>
              <w:rPr>
                <w:rFonts w:cs="Calibri"/>
                <w:color w:val="000000"/>
                <w:szCs w:val="24"/>
              </w:rPr>
            </w:pPr>
            <w:r w:rsidRPr="00AE79C1">
              <w:rPr>
                <w:rFonts w:cs="Calibri"/>
                <w:color w:val="000000"/>
                <w:szCs w:val="24"/>
              </w:rPr>
              <w:t>26</w:t>
            </w:r>
          </w:p>
        </w:tc>
        <w:tc>
          <w:tcPr>
            <w:tcW w:w="1661" w:type="dxa"/>
            <w:noWrap/>
            <w:vAlign w:val="center"/>
          </w:tcPr>
          <w:p w14:paraId="05B58A42" w14:textId="0FCBA048" w:rsidR="00006ED6" w:rsidRPr="00AE79C1" w:rsidRDefault="00006ED6" w:rsidP="00AE79C1">
            <w:pPr>
              <w:spacing w:after="0"/>
              <w:ind w:left="0"/>
              <w:rPr>
                <w:rFonts w:cs="Calibri"/>
                <w:color w:val="000000"/>
                <w:szCs w:val="24"/>
              </w:rPr>
            </w:pPr>
            <w:r w:rsidRPr="00AE79C1">
              <w:rPr>
                <w:rFonts w:cs="Calibri"/>
                <w:color w:val="000000"/>
                <w:szCs w:val="24"/>
              </w:rPr>
              <w:t>Monthly</w:t>
            </w:r>
          </w:p>
        </w:tc>
        <w:tc>
          <w:tcPr>
            <w:tcW w:w="2390" w:type="dxa"/>
            <w:noWrap/>
            <w:vAlign w:val="center"/>
          </w:tcPr>
          <w:p w14:paraId="2085B0C3" w14:textId="0B3C2187" w:rsidR="00006ED6" w:rsidRPr="00AE79C1" w:rsidRDefault="00006ED6" w:rsidP="00AE79C1">
            <w:pPr>
              <w:spacing w:after="0"/>
              <w:ind w:left="0"/>
              <w:rPr>
                <w:rFonts w:cs="Calibri"/>
                <w:color w:val="000000"/>
                <w:szCs w:val="24"/>
              </w:rPr>
            </w:pPr>
            <w:r w:rsidRPr="00AE79C1">
              <w:rPr>
                <w:rFonts w:cs="Calibri"/>
                <w:color w:val="000000"/>
                <w:szCs w:val="24"/>
              </w:rPr>
              <w:t>Delinquency Monthly Reports - Details</w:t>
            </w:r>
          </w:p>
        </w:tc>
        <w:tc>
          <w:tcPr>
            <w:tcW w:w="6554" w:type="dxa"/>
            <w:vAlign w:val="center"/>
          </w:tcPr>
          <w:p w14:paraId="43DAF7D0" w14:textId="14DD1FEA" w:rsidR="00006ED6" w:rsidRPr="00AE79C1" w:rsidRDefault="00006ED6" w:rsidP="00AE79C1">
            <w:pPr>
              <w:spacing w:after="0"/>
              <w:ind w:left="0"/>
              <w:rPr>
                <w:rFonts w:cs="Calibri"/>
                <w:color w:val="000000"/>
                <w:szCs w:val="24"/>
              </w:rPr>
            </w:pPr>
            <w:r w:rsidRPr="00AE79C1">
              <w:rPr>
                <w:rFonts w:cs="Calibri"/>
                <w:color w:val="000000"/>
                <w:szCs w:val="24"/>
              </w:rPr>
              <w:t>Shows information on delinquent account grouped by types (e.g. collectable/uncollectable, owing money only, owing money &amp; reports) and</w:t>
            </w:r>
            <w:r w:rsidR="00407158">
              <w:rPr>
                <w:rFonts w:cs="Calibri"/>
                <w:color w:val="000000"/>
                <w:szCs w:val="24"/>
              </w:rPr>
              <w:t xml:space="preserve"> then broken down by Tax region</w:t>
            </w:r>
          </w:p>
        </w:tc>
      </w:tr>
      <w:tr w:rsidR="00006ED6" w:rsidRPr="000E4EAF" w14:paraId="1408D4D8" w14:textId="77777777" w:rsidTr="00FB2060">
        <w:trPr>
          <w:trHeight w:val="300"/>
        </w:trPr>
        <w:tc>
          <w:tcPr>
            <w:tcW w:w="697" w:type="dxa"/>
            <w:noWrap/>
            <w:vAlign w:val="center"/>
            <w:hideMark/>
          </w:tcPr>
          <w:p w14:paraId="3DB42358" w14:textId="77777777" w:rsidR="00006ED6" w:rsidRPr="00AE79C1" w:rsidRDefault="00006ED6" w:rsidP="00AE79C1">
            <w:pPr>
              <w:spacing w:after="0"/>
              <w:ind w:left="0"/>
              <w:jc w:val="center"/>
              <w:rPr>
                <w:rFonts w:cs="Calibri"/>
                <w:color w:val="000000"/>
                <w:szCs w:val="24"/>
              </w:rPr>
            </w:pPr>
            <w:r w:rsidRPr="00AE79C1">
              <w:rPr>
                <w:rFonts w:cs="Calibri"/>
                <w:color w:val="000000"/>
                <w:szCs w:val="24"/>
              </w:rPr>
              <w:t>27</w:t>
            </w:r>
          </w:p>
        </w:tc>
        <w:tc>
          <w:tcPr>
            <w:tcW w:w="1661" w:type="dxa"/>
            <w:noWrap/>
            <w:vAlign w:val="center"/>
          </w:tcPr>
          <w:p w14:paraId="42BCCB99" w14:textId="555CDBFB" w:rsidR="00006ED6" w:rsidRPr="00AE79C1" w:rsidRDefault="00006ED6" w:rsidP="00AE79C1">
            <w:pPr>
              <w:spacing w:after="0"/>
              <w:ind w:left="0"/>
              <w:rPr>
                <w:rFonts w:cs="Calibri"/>
                <w:color w:val="000000"/>
                <w:szCs w:val="24"/>
              </w:rPr>
            </w:pPr>
            <w:r w:rsidRPr="00AE79C1">
              <w:rPr>
                <w:rFonts w:cs="Calibri"/>
                <w:color w:val="000000"/>
                <w:szCs w:val="24"/>
              </w:rPr>
              <w:t>Monthly</w:t>
            </w:r>
          </w:p>
        </w:tc>
        <w:tc>
          <w:tcPr>
            <w:tcW w:w="2390" w:type="dxa"/>
            <w:noWrap/>
            <w:vAlign w:val="center"/>
          </w:tcPr>
          <w:p w14:paraId="5FDB843F" w14:textId="73B219B1" w:rsidR="00006ED6" w:rsidRPr="00AE79C1" w:rsidRDefault="00006ED6" w:rsidP="00AE79C1">
            <w:pPr>
              <w:spacing w:after="0"/>
              <w:ind w:left="0"/>
              <w:rPr>
                <w:rFonts w:cs="Calibri"/>
                <w:color w:val="000000"/>
                <w:szCs w:val="24"/>
              </w:rPr>
            </w:pPr>
            <w:r w:rsidRPr="00AE79C1">
              <w:rPr>
                <w:rFonts w:cs="Calibri"/>
                <w:color w:val="000000"/>
                <w:szCs w:val="24"/>
              </w:rPr>
              <w:t>Delinquency Monthly Reports - Summary</w:t>
            </w:r>
          </w:p>
        </w:tc>
        <w:tc>
          <w:tcPr>
            <w:tcW w:w="6554" w:type="dxa"/>
            <w:vAlign w:val="center"/>
          </w:tcPr>
          <w:p w14:paraId="036D52A9" w14:textId="7BCF8CCB" w:rsidR="00006ED6" w:rsidRPr="00AE79C1" w:rsidRDefault="00006ED6" w:rsidP="00AE79C1">
            <w:pPr>
              <w:spacing w:after="0"/>
              <w:ind w:left="0"/>
              <w:rPr>
                <w:rFonts w:cs="Calibri"/>
                <w:color w:val="000000"/>
                <w:szCs w:val="24"/>
              </w:rPr>
            </w:pPr>
            <w:r w:rsidRPr="00AE79C1">
              <w:rPr>
                <w:rFonts w:cs="Calibri"/>
                <w:color w:val="000000"/>
                <w:szCs w:val="24"/>
              </w:rPr>
              <w:t>Shows information on delinquent account grouped by types (e.g. collectable/uncollectable, owing mon</w:t>
            </w:r>
            <w:r w:rsidR="00407158">
              <w:rPr>
                <w:rFonts w:cs="Calibri"/>
                <w:color w:val="000000"/>
                <w:szCs w:val="24"/>
              </w:rPr>
              <w:t>ey only, owing money &amp; reports)</w:t>
            </w:r>
          </w:p>
        </w:tc>
      </w:tr>
      <w:tr w:rsidR="00006ED6" w:rsidRPr="000E4EAF" w14:paraId="76A6F17E" w14:textId="77777777" w:rsidTr="00FB2060">
        <w:trPr>
          <w:trHeight w:val="300"/>
        </w:trPr>
        <w:tc>
          <w:tcPr>
            <w:tcW w:w="697" w:type="dxa"/>
            <w:noWrap/>
            <w:vAlign w:val="center"/>
            <w:hideMark/>
          </w:tcPr>
          <w:p w14:paraId="31DA25D5" w14:textId="77777777" w:rsidR="00006ED6" w:rsidRPr="00AE79C1" w:rsidRDefault="00006ED6" w:rsidP="00AE79C1">
            <w:pPr>
              <w:spacing w:after="0"/>
              <w:ind w:left="0"/>
              <w:jc w:val="center"/>
              <w:rPr>
                <w:rFonts w:cs="Calibri"/>
                <w:color w:val="000000"/>
                <w:szCs w:val="24"/>
              </w:rPr>
            </w:pPr>
            <w:r w:rsidRPr="00AE79C1">
              <w:rPr>
                <w:rFonts w:cs="Calibri"/>
                <w:color w:val="000000"/>
                <w:szCs w:val="24"/>
              </w:rPr>
              <w:t>28</w:t>
            </w:r>
          </w:p>
        </w:tc>
        <w:tc>
          <w:tcPr>
            <w:tcW w:w="1661" w:type="dxa"/>
            <w:noWrap/>
            <w:vAlign w:val="center"/>
          </w:tcPr>
          <w:p w14:paraId="18EA1B2C" w14:textId="1964EBA8" w:rsidR="00006ED6" w:rsidRPr="00AE79C1" w:rsidRDefault="00006ED6" w:rsidP="00AE79C1">
            <w:pPr>
              <w:spacing w:after="0"/>
              <w:ind w:left="0"/>
              <w:rPr>
                <w:rFonts w:cs="Calibri"/>
                <w:color w:val="000000"/>
                <w:szCs w:val="24"/>
              </w:rPr>
            </w:pPr>
            <w:r w:rsidRPr="00AE79C1">
              <w:rPr>
                <w:rFonts w:cs="Calibri"/>
                <w:color w:val="000000"/>
                <w:szCs w:val="24"/>
              </w:rPr>
              <w:t>Monthly</w:t>
            </w:r>
          </w:p>
        </w:tc>
        <w:tc>
          <w:tcPr>
            <w:tcW w:w="2390" w:type="dxa"/>
            <w:noWrap/>
            <w:vAlign w:val="center"/>
          </w:tcPr>
          <w:p w14:paraId="682122B3" w14:textId="625EDC09" w:rsidR="00006ED6" w:rsidRPr="00AE79C1" w:rsidRDefault="00006ED6" w:rsidP="00AE79C1">
            <w:pPr>
              <w:spacing w:after="0"/>
              <w:ind w:left="0"/>
              <w:rPr>
                <w:rFonts w:cs="Calibri"/>
                <w:color w:val="000000"/>
                <w:szCs w:val="24"/>
              </w:rPr>
            </w:pPr>
            <w:r w:rsidRPr="00AE79C1">
              <w:rPr>
                <w:rFonts w:cs="Calibri"/>
                <w:color w:val="000000"/>
                <w:szCs w:val="24"/>
              </w:rPr>
              <w:t>Delinquency Tax Receivable Monthly Report - By Account Type</w:t>
            </w:r>
          </w:p>
        </w:tc>
        <w:tc>
          <w:tcPr>
            <w:tcW w:w="6554" w:type="dxa"/>
            <w:vAlign w:val="center"/>
          </w:tcPr>
          <w:p w14:paraId="5A3D2450" w14:textId="78F0AA72" w:rsidR="00006ED6" w:rsidRPr="00AE79C1" w:rsidRDefault="00006ED6" w:rsidP="00AE79C1">
            <w:pPr>
              <w:spacing w:after="0"/>
              <w:ind w:left="0"/>
              <w:rPr>
                <w:rFonts w:cs="Calibri"/>
                <w:color w:val="000000"/>
                <w:szCs w:val="24"/>
              </w:rPr>
            </w:pPr>
            <w:r w:rsidRPr="00AE79C1">
              <w:rPr>
                <w:rFonts w:cs="Calibri"/>
                <w:color w:val="000000"/>
                <w:szCs w:val="24"/>
              </w:rPr>
              <w:t>Shows delinquencies broken down by owner type (contributing, reimbursing, etc.) and by debt group (collectable, uncollectable, certified, under assessment, etc.)</w:t>
            </w:r>
          </w:p>
        </w:tc>
      </w:tr>
      <w:tr w:rsidR="00006ED6" w:rsidRPr="000E4EAF" w14:paraId="726D1AEC" w14:textId="77777777" w:rsidTr="00FB2060">
        <w:trPr>
          <w:trHeight w:val="300"/>
        </w:trPr>
        <w:tc>
          <w:tcPr>
            <w:tcW w:w="697" w:type="dxa"/>
            <w:noWrap/>
            <w:vAlign w:val="center"/>
            <w:hideMark/>
          </w:tcPr>
          <w:p w14:paraId="7D8B6635" w14:textId="77777777" w:rsidR="00006ED6" w:rsidRPr="00AE79C1" w:rsidRDefault="00006ED6" w:rsidP="00AE79C1">
            <w:pPr>
              <w:spacing w:after="0"/>
              <w:ind w:left="0"/>
              <w:jc w:val="center"/>
              <w:rPr>
                <w:rFonts w:cs="Calibri"/>
                <w:color w:val="000000"/>
                <w:szCs w:val="24"/>
              </w:rPr>
            </w:pPr>
            <w:r w:rsidRPr="00AE79C1">
              <w:rPr>
                <w:rFonts w:cs="Calibri"/>
                <w:color w:val="000000"/>
                <w:szCs w:val="24"/>
              </w:rPr>
              <w:t>29</w:t>
            </w:r>
          </w:p>
        </w:tc>
        <w:tc>
          <w:tcPr>
            <w:tcW w:w="1661" w:type="dxa"/>
            <w:noWrap/>
            <w:vAlign w:val="center"/>
          </w:tcPr>
          <w:p w14:paraId="67DCEDC5" w14:textId="63A4E5C8" w:rsidR="00006ED6" w:rsidRPr="00AE79C1" w:rsidRDefault="00006ED6" w:rsidP="00AE79C1">
            <w:pPr>
              <w:spacing w:after="0"/>
              <w:ind w:left="0"/>
              <w:rPr>
                <w:rFonts w:cs="Calibri"/>
                <w:color w:val="000000"/>
                <w:szCs w:val="24"/>
              </w:rPr>
            </w:pPr>
            <w:r w:rsidRPr="00AE79C1">
              <w:rPr>
                <w:rFonts w:cs="Calibri"/>
                <w:color w:val="000000"/>
                <w:szCs w:val="24"/>
              </w:rPr>
              <w:t>Monthly</w:t>
            </w:r>
          </w:p>
        </w:tc>
        <w:tc>
          <w:tcPr>
            <w:tcW w:w="2390" w:type="dxa"/>
            <w:noWrap/>
            <w:vAlign w:val="center"/>
          </w:tcPr>
          <w:p w14:paraId="219A9BC6" w14:textId="2E341954" w:rsidR="00006ED6" w:rsidRPr="00AE79C1" w:rsidRDefault="00006ED6" w:rsidP="00AE79C1">
            <w:pPr>
              <w:spacing w:after="0"/>
              <w:ind w:left="0"/>
              <w:rPr>
                <w:rFonts w:cs="Calibri"/>
                <w:color w:val="000000"/>
                <w:szCs w:val="24"/>
              </w:rPr>
            </w:pPr>
            <w:r w:rsidRPr="00AE79C1">
              <w:rPr>
                <w:rFonts w:cs="Calibri"/>
                <w:color w:val="000000"/>
                <w:szCs w:val="24"/>
              </w:rPr>
              <w:t>Delinquency Tax Receivable Monthly Report - By Owner Type</w:t>
            </w:r>
          </w:p>
        </w:tc>
        <w:tc>
          <w:tcPr>
            <w:tcW w:w="6554" w:type="dxa"/>
            <w:vAlign w:val="center"/>
          </w:tcPr>
          <w:p w14:paraId="4356C269" w14:textId="1DC7EC12" w:rsidR="00006ED6" w:rsidRPr="00AE79C1" w:rsidRDefault="00006ED6" w:rsidP="00AE79C1">
            <w:pPr>
              <w:spacing w:after="0"/>
              <w:ind w:left="0"/>
              <w:rPr>
                <w:rFonts w:cs="Calibri"/>
                <w:color w:val="000000"/>
                <w:szCs w:val="24"/>
              </w:rPr>
            </w:pPr>
            <w:r w:rsidRPr="00AE79C1">
              <w:rPr>
                <w:rFonts w:cs="Calibri"/>
                <w:color w:val="000000"/>
                <w:szCs w:val="24"/>
              </w:rPr>
              <w:t>Shows delinquencies broken down by owner type (sole prop.; corp.; general partnership, etc.) and by debt group (collectable, uncollectable, certified, under assessment, etc.)</w:t>
            </w:r>
          </w:p>
        </w:tc>
      </w:tr>
      <w:tr w:rsidR="00006ED6" w:rsidRPr="000E4EAF" w14:paraId="07B0B963" w14:textId="77777777" w:rsidTr="00FB2060">
        <w:trPr>
          <w:trHeight w:val="300"/>
        </w:trPr>
        <w:tc>
          <w:tcPr>
            <w:tcW w:w="697" w:type="dxa"/>
            <w:noWrap/>
            <w:vAlign w:val="center"/>
            <w:hideMark/>
          </w:tcPr>
          <w:p w14:paraId="5EAEB556" w14:textId="77777777" w:rsidR="00006ED6" w:rsidRPr="00AE79C1" w:rsidRDefault="00006ED6" w:rsidP="00AE79C1">
            <w:pPr>
              <w:spacing w:after="0"/>
              <w:ind w:left="0"/>
              <w:jc w:val="center"/>
              <w:rPr>
                <w:rFonts w:cs="Calibri"/>
                <w:color w:val="000000"/>
                <w:szCs w:val="24"/>
              </w:rPr>
            </w:pPr>
            <w:r w:rsidRPr="00AE79C1">
              <w:rPr>
                <w:rFonts w:cs="Calibri"/>
                <w:color w:val="000000"/>
                <w:szCs w:val="24"/>
              </w:rPr>
              <w:t>30</w:t>
            </w:r>
          </w:p>
        </w:tc>
        <w:tc>
          <w:tcPr>
            <w:tcW w:w="1661" w:type="dxa"/>
            <w:noWrap/>
            <w:vAlign w:val="center"/>
          </w:tcPr>
          <w:p w14:paraId="6F6F89C4" w14:textId="49709471" w:rsidR="00006ED6" w:rsidRPr="00AE79C1" w:rsidRDefault="00006ED6" w:rsidP="00AE79C1">
            <w:pPr>
              <w:spacing w:after="0"/>
              <w:ind w:left="0"/>
              <w:rPr>
                <w:rFonts w:cs="Calibri"/>
                <w:color w:val="000000"/>
                <w:szCs w:val="24"/>
              </w:rPr>
            </w:pPr>
            <w:r w:rsidRPr="00AE79C1">
              <w:rPr>
                <w:rFonts w:cs="Calibri"/>
                <w:color w:val="000000"/>
                <w:szCs w:val="24"/>
              </w:rPr>
              <w:t>Monthly</w:t>
            </w:r>
          </w:p>
        </w:tc>
        <w:tc>
          <w:tcPr>
            <w:tcW w:w="2390" w:type="dxa"/>
            <w:noWrap/>
            <w:vAlign w:val="center"/>
          </w:tcPr>
          <w:p w14:paraId="25052921" w14:textId="14196FD7" w:rsidR="00006ED6" w:rsidRPr="00AE79C1" w:rsidRDefault="00006ED6" w:rsidP="00AE79C1">
            <w:pPr>
              <w:spacing w:after="0"/>
              <w:ind w:left="0"/>
              <w:rPr>
                <w:rFonts w:cs="Calibri"/>
                <w:color w:val="000000"/>
                <w:szCs w:val="24"/>
              </w:rPr>
            </w:pPr>
            <w:r w:rsidRPr="00AE79C1">
              <w:rPr>
                <w:rFonts w:cs="Calibri"/>
                <w:color w:val="000000"/>
                <w:szCs w:val="24"/>
              </w:rPr>
              <w:t>Collections Production Monthly Report</w:t>
            </w:r>
          </w:p>
        </w:tc>
        <w:tc>
          <w:tcPr>
            <w:tcW w:w="6554" w:type="dxa"/>
            <w:vAlign w:val="center"/>
          </w:tcPr>
          <w:p w14:paraId="52079374" w14:textId="4F2D2A6D" w:rsidR="00006ED6" w:rsidRPr="00AE79C1" w:rsidRDefault="00006ED6" w:rsidP="00AE79C1">
            <w:pPr>
              <w:spacing w:after="0"/>
              <w:ind w:left="0"/>
              <w:rPr>
                <w:rFonts w:cs="Calibri"/>
                <w:color w:val="000000"/>
                <w:szCs w:val="24"/>
              </w:rPr>
            </w:pPr>
            <w:r w:rsidRPr="00AE79C1">
              <w:rPr>
                <w:rFonts w:cs="Calibri"/>
                <w:color w:val="000000"/>
                <w:szCs w:val="24"/>
              </w:rPr>
              <w:t xml:space="preserve">Shows Tax collection actions (liens filed, bank action, assessments, etc.) for past years (totals) and </w:t>
            </w:r>
            <w:r w:rsidR="00407158">
              <w:rPr>
                <w:rFonts w:cs="Calibri"/>
                <w:color w:val="000000"/>
                <w:szCs w:val="24"/>
              </w:rPr>
              <w:t>running totals for current year</w:t>
            </w:r>
          </w:p>
        </w:tc>
      </w:tr>
      <w:tr w:rsidR="00006ED6" w:rsidRPr="000E4EAF" w14:paraId="449D508D" w14:textId="77777777" w:rsidTr="00FB2060">
        <w:trPr>
          <w:trHeight w:val="300"/>
        </w:trPr>
        <w:tc>
          <w:tcPr>
            <w:tcW w:w="697" w:type="dxa"/>
            <w:noWrap/>
            <w:vAlign w:val="center"/>
            <w:hideMark/>
          </w:tcPr>
          <w:p w14:paraId="21C4C230" w14:textId="77777777" w:rsidR="00006ED6" w:rsidRPr="00AE79C1" w:rsidRDefault="00006ED6" w:rsidP="00AE79C1">
            <w:pPr>
              <w:spacing w:after="0"/>
              <w:ind w:left="0"/>
              <w:jc w:val="center"/>
              <w:rPr>
                <w:rFonts w:cs="Calibri"/>
                <w:color w:val="000000"/>
                <w:szCs w:val="24"/>
              </w:rPr>
            </w:pPr>
            <w:r w:rsidRPr="00AE79C1">
              <w:rPr>
                <w:rFonts w:cs="Calibri"/>
                <w:color w:val="000000"/>
                <w:szCs w:val="24"/>
              </w:rPr>
              <w:lastRenderedPageBreak/>
              <w:t>31</w:t>
            </w:r>
          </w:p>
        </w:tc>
        <w:tc>
          <w:tcPr>
            <w:tcW w:w="1661" w:type="dxa"/>
            <w:noWrap/>
            <w:vAlign w:val="center"/>
          </w:tcPr>
          <w:p w14:paraId="145A8042" w14:textId="44BCA704" w:rsidR="00006ED6" w:rsidRPr="00AE79C1" w:rsidRDefault="00006ED6" w:rsidP="00AE79C1">
            <w:pPr>
              <w:spacing w:after="0"/>
              <w:ind w:left="0"/>
              <w:rPr>
                <w:rFonts w:cs="Calibri"/>
                <w:color w:val="000000"/>
                <w:szCs w:val="24"/>
              </w:rPr>
            </w:pPr>
            <w:r w:rsidRPr="00AE79C1">
              <w:rPr>
                <w:rFonts w:cs="Calibri"/>
                <w:color w:val="000000"/>
                <w:szCs w:val="24"/>
              </w:rPr>
              <w:t>Daily</w:t>
            </w:r>
          </w:p>
        </w:tc>
        <w:tc>
          <w:tcPr>
            <w:tcW w:w="2390" w:type="dxa"/>
            <w:noWrap/>
            <w:vAlign w:val="center"/>
          </w:tcPr>
          <w:p w14:paraId="6EF72F21" w14:textId="488D9CDD" w:rsidR="00006ED6" w:rsidRPr="00AE79C1" w:rsidRDefault="00006ED6" w:rsidP="00AE79C1">
            <w:pPr>
              <w:spacing w:after="0"/>
              <w:ind w:left="0"/>
              <w:rPr>
                <w:rFonts w:cs="Calibri"/>
                <w:color w:val="000000"/>
                <w:szCs w:val="24"/>
              </w:rPr>
            </w:pPr>
            <w:r w:rsidRPr="00AE79C1">
              <w:rPr>
                <w:rFonts w:cs="Calibri"/>
                <w:color w:val="000000"/>
                <w:szCs w:val="24"/>
              </w:rPr>
              <w:t>Non-ACAP Suspended Accounts</w:t>
            </w:r>
          </w:p>
        </w:tc>
        <w:tc>
          <w:tcPr>
            <w:tcW w:w="6554" w:type="dxa"/>
            <w:vAlign w:val="center"/>
          </w:tcPr>
          <w:p w14:paraId="1BD7E5F3" w14:textId="34FBB0C8" w:rsidR="00006ED6" w:rsidRPr="00AE79C1" w:rsidRDefault="00006ED6" w:rsidP="00AE79C1">
            <w:pPr>
              <w:spacing w:after="0"/>
              <w:ind w:left="0"/>
              <w:rPr>
                <w:rFonts w:cs="Calibri"/>
                <w:color w:val="000000"/>
                <w:szCs w:val="24"/>
              </w:rPr>
            </w:pPr>
            <w:r w:rsidRPr="00AE79C1">
              <w:rPr>
                <w:rFonts w:cs="Calibri"/>
                <w:color w:val="000000"/>
                <w:szCs w:val="24"/>
              </w:rPr>
              <w:t xml:space="preserve">Provides a list of accounts that have been suspended (status action) and still have a balance due that meets collection criteria </w:t>
            </w:r>
          </w:p>
        </w:tc>
      </w:tr>
      <w:tr w:rsidR="00006ED6" w:rsidRPr="000E4EAF" w14:paraId="3A97DF70" w14:textId="77777777" w:rsidTr="00FB2060">
        <w:trPr>
          <w:trHeight w:val="300"/>
        </w:trPr>
        <w:tc>
          <w:tcPr>
            <w:tcW w:w="697" w:type="dxa"/>
            <w:noWrap/>
            <w:vAlign w:val="center"/>
            <w:hideMark/>
          </w:tcPr>
          <w:p w14:paraId="622810AE" w14:textId="77777777" w:rsidR="00006ED6" w:rsidRPr="00AE79C1" w:rsidRDefault="00006ED6" w:rsidP="00AE79C1">
            <w:pPr>
              <w:spacing w:after="0"/>
              <w:ind w:left="0"/>
              <w:jc w:val="center"/>
              <w:rPr>
                <w:rFonts w:cs="Calibri"/>
                <w:color w:val="000000"/>
                <w:szCs w:val="24"/>
              </w:rPr>
            </w:pPr>
            <w:r w:rsidRPr="00AE79C1">
              <w:rPr>
                <w:rFonts w:cs="Calibri"/>
                <w:color w:val="000000"/>
                <w:szCs w:val="24"/>
              </w:rPr>
              <w:t>32</w:t>
            </w:r>
          </w:p>
        </w:tc>
        <w:tc>
          <w:tcPr>
            <w:tcW w:w="1661" w:type="dxa"/>
            <w:noWrap/>
            <w:vAlign w:val="center"/>
          </w:tcPr>
          <w:p w14:paraId="3614CCC9" w14:textId="0CE370C8" w:rsidR="00006ED6" w:rsidRPr="00AE79C1" w:rsidRDefault="00006ED6" w:rsidP="00AE79C1">
            <w:pPr>
              <w:spacing w:after="0"/>
              <w:ind w:left="0"/>
              <w:rPr>
                <w:rFonts w:cs="Calibri"/>
                <w:color w:val="000000"/>
                <w:szCs w:val="24"/>
              </w:rPr>
            </w:pPr>
            <w:r w:rsidRPr="00AE79C1">
              <w:rPr>
                <w:rFonts w:cs="Calibri"/>
                <w:color w:val="000000"/>
                <w:szCs w:val="24"/>
              </w:rPr>
              <w:t>Daily</w:t>
            </w:r>
          </w:p>
        </w:tc>
        <w:tc>
          <w:tcPr>
            <w:tcW w:w="2390" w:type="dxa"/>
            <w:noWrap/>
            <w:vAlign w:val="center"/>
          </w:tcPr>
          <w:p w14:paraId="5701123C" w14:textId="19C1CD65" w:rsidR="00006ED6" w:rsidRPr="00AE79C1" w:rsidRDefault="00006ED6" w:rsidP="00AE79C1">
            <w:pPr>
              <w:spacing w:after="0"/>
              <w:ind w:left="0"/>
              <w:rPr>
                <w:rFonts w:cs="Calibri"/>
                <w:color w:val="000000"/>
                <w:szCs w:val="24"/>
              </w:rPr>
            </w:pPr>
            <w:r w:rsidRPr="00AE79C1">
              <w:rPr>
                <w:rFonts w:cs="Calibri"/>
                <w:color w:val="000000"/>
                <w:szCs w:val="24"/>
              </w:rPr>
              <w:t>3 Weeks-60 Days Skip Report</w:t>
            </w:r>
          </w:p>
        </w:tc>
        <w:tc>
          <w:tcPr>
            <w:tcW w:w="6554" w:type="dxa"/>
            <w:vAlign w:val="center"/>
          </w:tcPr>
          <w:p w14:paraId="5F25721E" w14:textId="0B015099" w:rsidR="00006ED6" w:rsidRPr="00AE79C1" w:rsidRDefault="00006ED6" w:rsidP="00AE79C1">
            <w:pPr>
              <w:spacing w:after="0"/>
              <w:ind w:left="0"/>
              <w:rPr>
                <w:rFonts w:cs="Calibri"/>
                <w:color w:val="000000"/>
                <w:szCs w:val="24"/>
              </w:rPr>
            </w:pPr>
            <w:r w:rsidRPr="00AE79C1">
              <w:rPr>
                <w:rFonts w:cs="Calibri"/>
                <w:color w:val="000000"/>
                <w:szCs w:val="24"/>
              </w:rPr>
              <w:t>Lists accounts where collection was no required at 3-week and 60 days points after account was susp</w:t>
            </w:r>
            <w:r w:rsidR="00407158">
              <w:rPr>
                <w:rFonts w:cs="Calibri"/>
                <w:color w:val="000000"/>
                <w:szCs w:val="24"/>
              </w:rPr>
              <w:t>ended and indicates reason why</w:t>
            </w:r>
          </w:p>
        </w:tc>
      </w:tr>
      <w:tr w:rsidR="00006ED6" w:rsidRPr="000E4EAF" w14:paraId="53CB7A73" w14:textId="77777777" w:rsidTr="00FB2060">
        <w:trPr>
          <w:trHeight w:val="300"/>
        </w:trPr>
        <w:tc>
          <w:tcPr>
            <w:tcW w:w="697" w:type="dxa"/>
            <w:noWrap/>
            <w:vAlign w:val="center"/>
            <w:hideMark/>
          </w:tcPr>
          <w:p w14:paraId="1F1B17DD" w14:textId="2E47AE5C" w:rsidR="00006ED6" w:rsidRPr="00AE79C1" w:rsidRDefault="00006ED6" w:rsidP="00AE79C1">
            <w:pPr>
              <w:spacing w:after="0"/>
              <w:ind w:left="0"/>
              <w:jc w:val="center"/>
              <w:rPr>
                <w:rFonts w:cs="Calibri"/>
                <w:color w:val="000000"/>
                <w:szCs w:val="24"/>
              </w:rPr>
            </w:pPr>
            <w:r w:rsidRPr="00AE79C1">
              <w:rPr>
                <w:rFonts w:cs="Calibri"/>
                <w:color w:val="000000"/>
                <w:szCs w:val="24"/>
              </w:rPr>
              <w:t>3</w:t>
            </w:r>
            <w:r w:rsidR="00302234">
              <w:rPr>
                <w:rFonts w:cs="Calibri"/>
                <w:color w:val="000000"/>
                <w:szCs w:val="24"/>
              </w:rPr>
              <w:t>3</w:t>
            </w:r>
          </w:p>
        </w:tc>
        <w:tc>
          <w:tcPr>
            <w:tcW w:w="1661" w:type="dxa"/>
            <w:noWrap/>
            <w:vAlign w:val="center"/>
          </w:tcPr>
          <w:p w14:paraId="6D6F2F75" w14:textId="14134C84" w:rsidR="00006ED6" w:rsidRPr="00AE79C1" w:rsidRDefault="00006ED6" w:rsidP="00AE79C1">
            <w:pPr>
              <w:spacing w:after="0"/>
              <w:ind w:left="0"/>
              <w:rPr>
                <w:rFonts w:cs="Calibri"/>
                <w:color w:val="000000"/>
                <w:szCs w:val="24"/>
              </w:rPr>
            </w:pPr>
            <w:r w:rsidRPr="00AE79C1">
              <w:rPr>
                <w:rFonts w:cs="Calibri"/>
                <w:color w:val="000000"/>
                <w:szCs w:val="24"/>
              </w:rPr>
              <w:t>Daily</w:t>
            </w:r>
          </w:p>
        </w:tc>
        <w:tc>
          <w:tcPr>
            <w:tcW w:w="2390" w:type="dxa"/>
            <w:noWrap/>
            <w:vAlign w:val="center"/>
          </w:tcPr>
          <w:p w14:paraId="5D7C81DB" w14:textId="015FC6C1" w:rsidR="00006ED6" w:rsidRPr="00AE79C1" w:rsidRDefault="00006ED6" w:rsidP="00AE79C1">
            <w:pPr>
              <w:spacing w:after="0"/>
              <w:ind w:left="0"/>
              <w:rPr>
                <w:rFonts w:cs="Calibri"/>
                <w:color w:val="000000"/>
                <w:szCs w:val="24"/>
              </w:rPr>
            </w:pPr>
            <w:r w:rsidRPr="00AE79C1">
              <w:rPr>
                <w:rFonts w:cs="Calibri"/>
                <w:color w:val="000000"/>
                <w:szCs w:val="24"/>
              </w:rPr>
              <w:t>Overpayment Balance on EMF</w:t>
            </w:r>
          </w:p>
        </w:tc>
        <w:tc>
          <w:tcPr>
            <w:tcW w:w="6554" w:type="dxa"/>
            <w:vAlign w:val="center"/>
          </w:tcPr>
          <w:p w14:paraId="0C8E8D32" w14:textId="2956B5E0" w:rsidR="00006ED6" w:rsidRPr="00AE79C1" w:rsidRDefault="00006ED6" w:rsidP="00AE79C1">
            <w:pPr>
              <w:spacing w:after="0"/>
              <w:ind w:left="0"/>
              <w:rPr>
                <w:rFonts w:cs="Calibri"/>
                <w:color w:val="000000"/>
                <w:szCs w:val="24"/>
              </w:rPr>
            </w:pPr>
            <w:r w:rsidRPr="00AE79C1">
              <w:rPr>
                <w:rFonts w:cs="Calibri"/>
                <w:color w:val="000000"/>
                <w:szCs w:val="24"/>
              </w:rPr>
              <w:t>Shows the monthly amount of credit (overpayment) for all accounts (aggregated) in the Tax system</w:t>
            </w:r>
          </w:p>
        </w:tc>
      </w:tr>
      <w:tr w:rsidR="00302234" w:rsidRPr="000E4EAF" w14:paraId="1EC223F7" w14:textId="77777777" w:rsidTr="00FB2060">
        <w:trPr>
          <w:trHeight w:val="300"/>
        </w:trPr>
        <w:tc>
          <w:tcPr>
            <w:tcW w:w="697" w:type="dxa"/>
            <w:noWrap/>
            <w:vAlign w:val="center"/>
            <w:hideMark/>
          </w:tcPr>
          <w:p w14:paraId="40256BF6" w14:textId="190A39AA" w:rsidR="00302234" w:rsidRPr="00AE79C1" w:rsidRDefault="00302234" w:rsidP="00302234">
            <w:pPr>
              <w:spacing w:after="0"/>
              <w:ind w:left="0"/>
              <w:jc w:val="center"/>
              <w:rPr>
                <w:rFonts w:cs="Calibri"/>
                <w:color w:val="000000"/>
                <w:szCs w:val="24"/>
              </w:rPr>
            </w:pPr>
            <w:r w:rsidRPr="00AE79C1">
              <w:rPr>
                <w:rFonts w:cs="Calibri"/>
                <w:color w:val="000000"/>
                <w:szCs w:val="24"/>
              </w:rPr>
              <w:t>34</w:t>
            </w:r>
          </w:p>
        </w:tc>
        <w:tc>
          <w:tcPr>
            <w:tcW w:w="1661" w:type="dxa"/>
            <w:noWrap/>
            <w:vAlign w:val="center"/>
          </w:tcPr>
          <w:p w14:paraId="76ABA291" w14:textId="61D9B38A" w:rsidR="00302234" w:rsidRPr="00AE79C1" w:rsidRDefault="00302234" w:rsidP="00302234">
            <w:pPr>
              <w:spacing w:after="0"/>
              <w:ind w:left="0"/>
              <w:rPr>
                <w:rFonts w:cs="Calibri"/>
                <w:color w:val="000000"/>
                <w:szCs w:val="24"/>
              </w:rPr>
            </w:pPr>
            <w:r w:rsidRPr="00AE79C1">
              <w:rPr>
                <w:rFonts w:cs="Calibri"/>
                <w:color w:val="000000"/>
                <w:szCs w:val="24"/>
              </w:rPr>
              <w:t>Monthly</w:t>
            </w:r>
          </w:p>
        </w:tc>
        <w:tc>
          <w:tcPr>
            <w:tcW w:w="2390" w:type="dxa"/>
            <w:noWrap/>
            <w:vAlign w:val="center"/>
          </w:tcPr>
          <w:p w14:paraId="31888B97" w14:textId="0D9DD42E" w:rsidR="00302234" w:rsidRPr="00AE79C1" w:rsidRDefault="00302234" w:rsidP="00302234">
            <w:pPr>
              <w:spacing w:after="0"/>
              <w:ind w:left="0"/>
              <w:rPr>
                <w:rFonts w:cs="Calibri"/>
                <w:color w:val="000000"/>
                <w:szCs w:val="24"/>
              </w:rPr>
            </w:pPr>
            <w:r w:rsidRPr="00AE79C1">
              <w:rPr>
                <w:rFonts w:cs="Calibri"/>
                <w:color w:val="000000"/>
                <w:szCs w:val="24"/>
              </w:rPr>
              <w:t>Bank Claim Activity</w:t>
            </w:r>
          </w:p>
        </w:tc>
        <w:tc>
          <w:tcPr>
            <w:tcW w:w="6554" w:type="dxa"/>
            <w:vAlign w:val="center"/>
          </w:tcPr>
          <w:p w14:paraId="5E5FDD85" w14:textId="3CE9A6D5" w:rsidR="00302234" w:rsidRPr="00AE79C1" w:rsidRDefault="00302234" w:rsidP="00302234">
            <w:pPr>
              <w:spacing w:after="0"/>
              <w:ind w:left="0"/>
              <w:rPr>
                <w:rFonts w:cs="Calibri"/>
                <w:color w:val="000000"/>
                <w:szCs w:val="24"/>
              </w:rPr>
            </w:pPr>
            <w:r w:rsidRPr="00AE79C1">
              <w:rPr>
                <w:rFonts w:cs="Calibri"/>
                <w:color w:val="000000"/>
                <w:szCs w:val="24"/>
              </w:rPr>
              <w:t>Shows bank action taken broken down by Tax regions</w:t>
            </w:r>
          </w:p>
        </w:tc>
      </w:tr>
      <w:tr w:rsidR="00302234" w:rsidRPr="000E4EAF" w14:paraId="2915B06D" w14:textId="77777777" w:rsidTr="00FB2060">
        <w:trPr>
          <w:trHeight w:val="300"/>
        </w:trPr>
        <w:tc>
          <w:tcPr>
            <w:tcW w:w="697" w:type="dxa"/>
            <w:noWrap/>
            <w:vAlign w:val="center"/>
            <w:hideMark/>
          </w:tcPr>
          <w:p w14:paraId="18EA7CBF" w14:textId="606D1611" w:rsidR="00302234" w:rsidRPr="00AE79C1" w:rsidRDefault="00302234" w:rsidP="00302234">
            <w:pPr>
              <w:spacing w:after="0"/>
              <w:ind w:left="0"/>
              <w:jc w:val="center"/>
              <w:rPr>
                <w:rFonts w:cs="Calibri"/>
                <w:color w:val="000000"/>
                <w:szCs w:val="24"/>
              </w:rPr>
            </w:pPr>
            <w:r w:rsidRPr="00AE79C1">
              <w:rPr>
                <w:rFonts w:cs="Calibri"/>
                <w:color w:val="000000"/>
                <w:szCs w:val="24"/>
              </w:rPr>
              <w:t>35</w:t>
            </w:r>
          </w:p>
        </w:tc>
        <w:tc>
          <w:tcPr>
            <w:tcW w:w="1661" w:type="dxa"/>
            <w:noWrap/>
            <w:vAlign w:val="center"/>
          </w:tcPr>
          <w:p w14:paraId="76C05FD5" w14:textId="4D449541" w:rsidR="00302234" w:rsidRPr="00AE79C1" w:rsidRDefault="00302234" w:rsidP="00302234">
            <w:pPr>
              <w:spacing w:after="0"/>
              <w:ind w:left="0"/>
              <w:rPr>
                <w:rFonts w:cs="Calibri"/>
                <w:color w:val="000000"/>
                <w:szCs w:val="24"/>
              </w:rPr>
            </w:pPr>
            <w:r w:rsidRPr="00AE79C1">
              <w:rPr>
                <w:rFonts w:cs="Calibri"/>
                <w:color w:val="000000"/>
                <w:szCs w:val="24"/>
              </w:rPr>
              <w:t>Monthly</w:t>
            </w:r>
          </w:p>
        </w:tc>
        <w:tc>
          <w:tcPr>
            <w:tcW w:w="2390" w:type="dxa"/>
            <w:noWrap/>
            <w:vAlign w:val="center"/>
          </w:tcPr>
          <w:p w14:paraId="4D297446" w14:textId="47B627DC" w:rsidR="00302234" w:rsidRPr="00AE79C1" w:rsidRDefault="00302234" w:rsidP="00302234">
            <w:pPr>
              <w:spacing w:after="0"/>
              <w:ind w:left="0"/>
              <w:rPr>
                <w:rFonts w:cs="Calibri"/>
                <w:color w:val="000000"/>
                <w:szCs w:val="24"/>
              </w:rPr>
            </w:pPr>
            <w:r w:rsidRPr="00AE79C1">
              <w:rPr>
                <w:rFonts w:cs="Calibri"/>
                <w:color w:val="000000"/>
                <w:szCs w:val="24"/>
              </w:rPr>
              <w:t>Uncollectable Activity</w:t>
            </w:r>
          </w:p>
        </w:tc>
        <w:tc>
          <w:tcPr>
            <w:tcW w:w="6554" w:type="dxa"/>
            <w:vAlign w:val="center"/>
          </w:tcPr>
          <w:p w14:paraId="4A5E920C" w14:textId="2A5C8E3D" w:rsidR="00302234" w:rsidRPr="00AE79C1" w:rsidRDefault="00302234" w:rsidP="00302234">
            <w:pPr>
              <w:spacing w:after="0"/>
              <w:ind w:left="0"/>
              <w:rPr>
                <w:rFonts w:cs="Calibri"/>
                <w:color w:val="000000"/>
                <w:szCs w:val="24"/>
              </w:rPr>
            </w:pPr>
            <w:r w:rsidRPr="00AE79C1">
              <w:rPr>
                <w:rFonts w:cs="Calibri"/>
                <w:color w:val="000000"/>
                <w:szCs w:val="24"/>
              </w:rPr>
              <w:t>Shows accounts with amounts that have been changed to uncollectable status, identified by quarter</w:t>
            </w:r>
          </w:p>
        </w:tc>
      </w:tr>
      <w:tr w:rsidR="00302234" w:rsidRPr="000E4EAF" w14:paraId="62B250F0" w14:textId="77777777" w:rsidTr="00FB2060">
        <w:trPr>
          <w:trHeight w:val="300"/>
        </w:trPr>
        <w:tc>
          <w:tcPr>
            <w:tcW w:w="697" w:type="dxa"/>
            <w:noWrap/>
            <w:vAlign w:val="center"/>
            <w:hideMark/>
          </w:tcPr>
          <w:p w14:paraId="401E05D0" w14:textId="66B5852F" w:rsidR="00302234" w:rsidRPr="00AE79C1" w:rsidRDefault="00302234" w:rsidP="00302234">
            <w:pPr>
              <w:spacing w:after="0"/>
              <w:ind w:left="0"/>
              <w:jc w:val="center"/>
              <w:rPr>
                <w:rFonts w:cs="Calibri"/>
                <w:color w:val="000000"/>
                <w:szCs w:val="24"/>
              </w:rPr>
            </w:pPr>
            <w:r w:rsidRPr="00AE79C1">
              <w:rPr>
                <w:rFonts w:cs="Calibri"/>
                <w:color w:val="000000"/>
                <w:szCs w:val="24"/>
              </w:rPr>
              <w:t>36</w:t>
            </w:r>
          </w:p>
        </w:tc>
        <w:tc>
          <w:tcPr>
            <w:tcW w:w="1661" w:type="dxa"/>
            <w:noWrap/>
            <w:vAlign w:val="center"/>
          </w:tcPr>
          <w:p w14:paraId="5AD1C996" w14:textId="3A269063" w:rsidR="00302234" w:rsidRPr="00AE79C1" w:rsidRDefault="00302234" w:rsidP="00302234">
            <w:pPr>
              <w:spacing w:after="0"/>
              <w:ind w:left="0"/>
              <w:rPr>
                <w:rFonts w:cs="Calibri"/>
                <w:color w:val="000000"/>
                <w:szCs w:val="24"/>
              </w:rPr>
            </w:pPr>
            <w:r w:rsidRPr="00AE79C1">
              <w:rPr>
                <w:rFonts w:cs="Calibri"/>
                <w:color w:val="000000"/>
                <w:szCs w:val="24"/>
              </w:rPr>
              <w:t>Monthly</w:t>
            </w:r>
          </w:p>
        </w:tc>
        <w:tc>
          <w:tcPr>
            <w:tcW w:w="2390" w:type="dxa"/>
            <w:noWrap/>
            <w:vAlign w:val="center"/>
          </w:tcPr>
          <w:p w14:paraId="3D2F7534" w14:textId="1F66E38C" w:rsidR="00302234" w:rsidRPr="00AE79C1" w:rsidRDefault="00302234" w:rsidP="00302234">
            <w:pPr>
              <w:spacing w:after="0"/>
              <w:ind w:left="0"/>
              <w:rPr>
                <w:rFonts w:cs="Calibri"/>
                <w:color w:val="000000"/>
                <w:szCs w:val="24"/>
              </w:rPr>
            </w:pPr>
            <w:r w:rsidRPr="00AE79C1">
              <w:rPr>
                <w:rFonts w:cs="Calibri"/>
                <w:color w:val="000000"/>
                <w:szCs w:val="24"/>
              </w:rPr>
              <w:t>Collection Monthly Management Report</w:t>
            </w:r>
          </w:p>
        </w:tc>
        <w:tc>
          <w:tcPr>
            <w:tcW w:w="6554" w:type="dxa"/>
            <w:vAlign w:val="center"/>
          </w:tcPr>
          <w:p w14:paraId="60B03371" w14:textId="72551138" w:rsidR="00302234" w:rsidRPr="00AE79C1" w:rsidRDefault="00302234" w:rsidP="00302234">
            <w:pPr>
              <w:spacing w:after="0"/>
              <w:ind w:left="0"/>
              <w:rPr>
                <w:rFonts w:cs="Calibri"/>
                <w:color w:val="000000"/>
                <w:szCs w:val="24"/>
              </w:rPr>
            </w:pPr>
            <w:r w:rsidRPr="00AE79C1">
              <w:rPr>
                <w:rFonts w:cs="Calibri"/>
                <w:color w:val="000000"/>
                <w:szCs w:val="24"/>
              </w:rPr>
              <w:t>Shows action taken based on screen activity by Accounts Examiner</w:t>
            </w:r>
          </w:p>
        </w:tc>
      </w:tr>
      <w:tr w:rsidR="00302234" w:rsidRPr="000E4EAF" w14:paraId="43F16DAA" w14:textId="77777777" w:rsidTr="00FB2060">
        <w:trPr>
          <w:trHeight w:val="300"/>
        </w:trPr>
        <w:tc>
          <w:tcPr>
            <w:tcW w:w="697" w:type="dxa"/>
            <w:noWrap/>
            <w:vAlign w:val="center"/>
            <w:hideMark/>
          </w:tcPr>
          <w:p w14:paraId="6DD7EDB0" w14:textId="4CEEAA84" w:rsidR="00302234" w:rsidRPr="00AE79C1" w:rsidRDefault="00302234" w:rsidP="00302234">
            <w:pPr>
              <w:spacing w:after="0"/>
              <w:ind w:left="0"/>
              <w:jc w:val="center"/>
              <w:rPr>
                <w:rFonts w:cs="Calibri"/>
                <w:color w:val="000000"/>
                <w:szCs w:val="24"/>
              </w:rPr>
            </w:pPr>
            <w:r w:rsidRPr="00AE79C1">
              <w:rPr>
                <w:rFonts w:cs="Calibri"/>
                <w:color w:val="000000"/>
                <w:szCs w:val="24"/>
              </w:rPr>
              <w:t>37</w:t>
            </w:r>
          </w:p>
        </w:tc>
        <w:tc>
          <w:tcPr>
            <w:tcW w:w="1661" w:type="dxa"/>
            <w:noWrap/>
            <w:vAlign w:val="center"/>
          </w:tcPr>
          <w:p w14:paraId="0FC6655D" w14:textId="5EF146CC" w:rsidR="00302234" w:rsidRPr="00AE79C1" w:rsidRDefault="00302234" w:rsidP="00302234">
            <w:pPr>
              <w:spacing w:after="0"/>
              <w:ind w:left="0"/>
              <w:rPr>
                <w:rFonts w:cs="Calibri"/>
                <w:color w:val="000000"/>
                <w:szCs w:val="24"/>
              </w:rPr>
            </w:pPr>
            <w:r w:rsidRPr="00AE79C1">
              <w:rPr>
                <w:rFonts w:cs="Calibri"/>
                <w:color w:val="000000"/>
                <w:szCs w:val="24"/>
              </w:rPr>
              <w:t>Daily</w:t>
            </w:r>
          </w:p>
        </w:tc>
        <w:tc>
          <w:tcPr>
            <w:tcW w:w="2390" w:type="dxa"/>
            <w:noWrap/>
            <w:vAlign w:val="center"/>
          </w:tcPr>
          <w:p w14:paraId="492B4DF7" w14:textId="52B1E88B" w:rsidR="00302234" w:rsidRPr="00AE79C1" w:rsidRDefault="00302234" w:rsidP="00302234">
            <w:pPr>
              <w:spacing w:after="0"/>
              <w:ind w:left="0"/>
              <w:rPr>
                <w:rFonts w:cs="Calibri"/>
                <w:color w:val="000000"/>
                <w:szCs w:val="24"/>
              </w:rPr>
            </w:pPr>
            <w:r w:rsidRPr="00AE79C1">
              <w:rPr>
                <w:rFonts w:cs="Calibri"/>
                <w:color w:val="000000"/>
                <w:szCs w:val="24"/>
              </w:rPr>
              <w:t>ACAP Proj. &amp; Day 42</w:t>
            </w:r>
          </w:p>
        </w:tc>
        <w:tc>
          <w:tcPr>
            <w:tcW w:w="6554" w:type="dxa"/>
            <w:vAlign w:val="center"/>
          </w:tcPr>
          <w:p w14:paraId="1D5AEAE1" w14:textId="3C3F95B2" w:rsidR="00302234" w:rsidRPr="00AE79C1" w:rsidRDefault="00302234" w:rsidP="00302234">
            <w:pPr>
              <w:spacing w:after="0"/>
              <w:ind w:left="0"/>
              <w:rPr>
                <w:rFonts w:cs="Calibri"/>
                <w:color w:val="000000"/>
                <w:szCs w:val="24"/>
              </w:rPr>
            </w:pPr>
            <w:r w:rsidRPr="00AE79C1">
              <w:rPr>
                <w:rFonts w:cs="Calibri"/>
                <w:color w:val="000000"/>
                <w:szCs w:val="24"/>
              </w:rPr>
              <w:t>Online report of possible number of default notices, liens-Day 42 report lists the a</w:t>
            </w:r>
            <w:r w:rsidR="00407158">
              <w:rPr>
                <w:rFonts w:cs="Calibri"/>
                <w:color w:val="000000"/>
                <w:szCs w:val="24"/>
              </w:rPr>
              <w:t>ccounts that meet ACAP criteria</w:t>
            </w:r>
          </w:p>
        </w:tc>
      </w:tr>
      <w:tr w:rsidR="00302234" w:rsidRPr="000E4EAF" w14:paraId="74DA066F" w14:textId="77777777" w:rsidTr="00FB2060">
        <w:trPr>
          <w:trHeight w:val="300"/>
        </w:trPr>
        <w:tc>
          <w:tcPr>
            <w:tcW w:w="697" w:type="dxa"/>
            <w:noWrap/>
            <w:vAlign w:val="center"/>
            <w:hideMark/>
          </w:tcPr>
          <w:p w14:paraId="2008E7E1" w14:textId="41BC92CB" w:rsidR="00302234" w:rsidRPr="00AE79C1" w:rsidRDefault="00302234" w:rsidP="00302234">
            <w:pPr>
              <w:spacing w:after="0"/>
              <w:ind w:left="0"/>
              <w:jc w:val="center"/>
              <w:rPr>
                <w:rFonts w:cs="Calibri"/>
                <w:color w:val="000000"/>
                <w:szCs w:val="24"/>
              </w:rPr>
            </w:pPr>
            <w:r w:rsidRPr="00AE79C1">
              <w:rPr>
                <w:rFonts w:cs="Calibri"/>
                <w:color w:val="000000"/>
                <w:szCs w:val="24"/>
              </w:rPr>
              <w:t>38</w:t>
            </w:r>
          </w:p>
        </w:tc>
        <w:tc>
          <w:tcPr>
            <w:tcW w:w="1661" w:type="dxa"/>
            <w:noWrap/>
            <w:vAlign w:val="center"/>
          </w:tcPr>
          <w:p w14:paraId="10B46368" w14:textId="08662BE4" w:rsidR="00302234" w:rsidRPr="00AE79C1" w:rsidRDefault="00302234" w:rsidP="00302234">
            <w:pPr>
              <w:spacing w:after="0"/>
              <w:ind w:left="0"/>
              <w:rPr>
                <w:rFonts w:cs="Calibri"/>
                <w:color w:val="000000"/>
                <w:szCs w:val="24"/>
              </w:rPr>
            </w:pPr>
            <w:r w:rsidRPr="0051618A">
              <w:rPr>
                <w:rFonts w:cs="Calibri"/>
                <w:color w:val="000000"/>
                <w:szCs w:val="24"/>
              </w:rPr>
              <w:t>Daily</w:t>
            </w:r>
          </w:p>
        </w:tc>
        <w:tc>
          <w:tcPr>
            <w:tcW w:w="2390" w:type="dxa"/>
            <w:noWrap/>
            <w:vAlign w:val="center"/>
          </w:tcPr>
          <w:p w14:paraId="735636E3" w14:textId="0D17F358" w:rsidR="00302234" w:rsidRPr="00AE79C1" w:rsidRDefault="00302234" w:rsidP="00302234">
            <w:pPr>
              <w:spacing w:after="0"/>
              <w:ind w:left="0"/>
              <w:rPr>
                <w:rFonts w:cs="Calibri"/>
                <w:color w:val="000000"/>
                <w:szCs w:val="24"/>
              </w:rPr>
            </w:pPr>
            <w:r w:rsidRPr="0051618A">
              <w:rPr>
                <w:rFonts w:cs="Calibri"/>
                <w:color w:val="000000"/>
                <w:szCs w:val="24"/>
              </w:rPr>
              <w:t>CAN RECAP</w:t>
            </w:r>
          </w:p>
        </w:tc>
        <w:tc>
          <w:tcPr>
            <w:tcW w:w="6554" w:type="dxa"/>
            <w:vAlign w:val="center"/>
          </w:tcPr>
          <w:p w14:paraId="4D84A5D0" w14:textId="5B314670" w:rsidR="00302234" w:rsidRPr="00AE79C1" w:rsidRDefault="00302234" w:rsidP="00302234">
            <w:pPr>
              <w:spacing w:after="0"/>
              <w:ind w:left="0"/>
              <w:rPr>
                <w:rFonts w:cs="Calibri"/>
                <w:color w:val="000000"/>
                <w:szCs w:val="24"/>
              </w:rPr>
            </w:pPr>
            <w:r w:rsidRPr="00AE79C1">
              <w:rPr>
                <w:rFonts w:cs="Calibri"/>
                <w:color w:val="000000"/>
                <w:szCs w:val="24"/>
              </w:rPr>
              <w:t>Provides a summary of bank collection ca</w:t>
            </w:r>
            <w:r w:rsidR="00407158">
              <w:rPr>
                <w:rFonts w:cs="Calibri"/>
                <w:color w:val="000000"/>
                <w:szCs w:val="24"/>
              </w:rPr>
              <w:t>ndidates (not currently in use)</w:t>
            </w:r>
          </w:p>
        </w:tc>
      </w:tr>
      <w:tr w:rsidR="00302234" w:rsidRPr="000E4EAF" w14:paraId="30DD0E3B" w14:textId="77777777" w:rsidTr="00FB2060">
        <w:trPr>
          <w:trHeight w:val="300"/>
        </w:trPr>
        <w:tc>
          <w:tcPr>
            <w:tcW w:w="697" w:type="dxa"/>
            <w:noWrap/>
            <w:vAlign w:val="center"/>
            <w:hideMark/>
          </w:tcPr>
          <w:p w14:paraId="6B35C369" w14:textId="294DFB07" w:rsidR="00302234" w:rsidRPr="00AE79C1" w:rsidRDefault="00302234" w:rsidP="00302234">
            <w:pPr>
              <w:spacing w:after="0"/>
              <w:ind w:left="0"/>
              <w:jc w:val="center"/>
              <w:rPr>
                <w:rFonts w:cs="Calibri"/>
                <w:color w:val="000000"/>
                <w:szCs w:val="24"/>
              </w:rPr>
            </w:pPr>
            <w:r w:rsidRPr="00AE79C1">
              <w:rPr>
                <w:rFonts w:cs="Calibri"/>
                <w:color w:val="000000"/>
                <w:szCs w:val="24"/>
              </w:rPr>
              <w:t>39</w:t>
            </w:r>
          </w:p>
        </w:tc>
        <w:tc>
          <w:tcPr>
            <w:tcW w:w="1661" w:type="dxa"/>
            <w:noWrap/>
            <w:vAlign w:val="center"/>
          </w:tcPr>
          <w:p w14:paraId="0896935A" w14:textId="470BF1F7" w:rsidR="00302234" w:rsidRPr="00AE79C1" w:rsidRDefault="00302234" w:rsidP="00302234">
            <w:pPr>
              <w:spacing w:after="0"/>
              <w:ind w:left="0"/>
              <w:rPr>
                <w:rFonts w:cs="Calibri"/>
                <w:color w:val="000000"/>
                <w:szCs w:val="24"/>
              </w:rPr>
            </w:pPr>
            <w:r w:rsidRPr="00AE79C1">
              <w:rPr>
                <w:rFonts w:cs="Calibri"/>
                <w:color w:val="000000"/>
                <w:szCs w:val="24"/>
              </w:rPr>
              <w:t>Quarterly</w:t>
            </w:r>
          </w:p>
        </w:tc>
        <w:tc>
          <w:tcPr>
            <w:tcW w:w="2390" w:type="dxa"/>
            <w:noWrap/>
            <w:vAlign w:val="center"/>
          </w:tcPr>
          <w:p w14:paraId="139F8F15" w14:textId="4B6C73EF" w:rsidR="00302234" w:rsidRPr="00AE79C1" w:rsidRDefault="00302234" w:rsidP="00302234">
            <w:pPr>
              <w:spacing w:after="0"/>
              <w:ind w:left="0"/>
              <w:rPr>
                <w:rFonts w:cs="Calibri"/>
                <w:color w:val="000000"/>
                <w:szCs w:val="24"/>
              </w:rPr>
            </w:pPr>
            <w:r w:rsidRPr="00AE79C1">
              <w:rPr>
                <w:rFonts w:cs="Calibri"/>
                <w:color w:val="000000"/>
                <w:szCs w:val="24"/>
              </w:rPr>
              <w:t>FID C-100</w:t>
            </w:r>
          </w:p>
        </w:tc>
        <w:tc>
          <w:tcPr>
            <w:tcW w:w="6554" w:type="dxa"/>
            <w:vAlign w:val="center"/>
          </w:tcPr>
          <w:p w14:paraId="6B40D29F" w14:textId="4372AA0F" w:rsidR="00302234" w:rsidRPr="00AE79C1" w:rsidRDefault="00302234" w:rsidP="00302234">
            <w:pPr>
              <w:spacing w:after="0"/>
              <w:ind w:left="0"/>
              <w:rPr>
                <w:rFonts w:cs="Calibri"/>
                <w:color w:val="000000"/>
                <w:szCs w:val="24"/>
              </w:rPr>
            </w:pPr>
            <w:r w:rsidRPr="00AE79C1">
              <w:rPr>
                <w:rFonts w:cs="Calibri"/>
                <w:color w:val="000000"/>
                <w:szCs w:val="24"/>
              </w:rPr>
              <w:t xml:space="preserve">Report that generates C-100's, which are the exhibits we attached to our bankruptcy </w:t>
            </w:r>
            <w:r w:rsidR="008434F6">
              <w:rPr>
                <w:rFonts w:cs="Calibri"/>
                <w:color w:val="000000"/>
                <w:szCs w:val="24"/>
              </w:rPr>
              <w:t>POC</w:t>
            </w:r>
            <w:r w:rsidRPr="00AE79C1">
              <w:rPr>
                <w:rFonts w:cs="Calibri"/>
                <w:color w:val="000000"/>
                <w:szCs w:val="24"/>
              </w:rPr>
              <w:t>s prior</w:t>
            </w:r>
            <w:r w:rsidR="00407158">
              <w:rPr>
                <w:rFonts w:cs="Calibri"/>
                <w:color w:val="000000"/>
                <w:szCs w:val="24"/>
              </w:rPr>
              <w:t xml:space="preserve"> to electronic filing of claims</w:t>
            </w:r>
            <w:r w:rsidRPr="00AE79C1">
              <w:rPr>
                <w:rFonts w:cs="Calibri"/>
                <w:color w:val="000000"/>
                <w:szCs w:val="24"/>
              </w:rPr>
              <w:t xml:space="preserve"> (no longer in use)</w:t>
            </w:r>
          </w:p>
        </w:tc>
      </w:tr>
      <w:tr w:rsidR="00302234" w:rsidRPr="000E4EAF" w14:paraId="33B20BB1" w14:textId="77777777" w:rsidTr="00FB2060">
        <w:trPr>
          <w:trHeight w:val="300"/>
        </w:trPr>
        <w:tc>
          <w:tcPr>
            <w:tcW w:w="697" w:type="dxa"/>
            <w:noWrap/>
            <w:vAlign w:val="center"/>
            <w:hideMark/>
          </w:tcPr>
          <w:p w14:paraId="2B77B9A3" w14:textId="4245BFC3" w:rsidR="00302234" w:rsidRPr="0051618A" w:rsidRDefault="00302234" w:rsidP="00302234">
            <w:pPr>
              <w:spacing w:after="0"/>
              <w:ind w:left="0"/>
              <w:jc w:val="center"/>
              <w:rPr>
                <w:rFonts w:cs="Calibri"/>
                <w:color w:val="000000"/>
                <w:szCs w:val="24"/>
              </w:rPr>
            </w:pPr>
            <w:r w:rsidRPr="00AE79C1">
              <w:rPr>
                <w:rFonts w:cs="Calibri"/>
                <w:color w:val="000000"/>
                <w:szCs w:val="24"/>
              </w:rPr>
              <w:t>40</w:t>
            </w:r>
          </w:p>
        </w:tc>
        <w:tc>
          <w:tcPr>
            <w:tcW w:w="1661" w:type="dxa"/>
            <w:noWrap/>
            <w:vAlign w:val="center"/>
          </w:tcPr>
          <w:p w14:paraId="2B1971A4" w14:textId="5FD9679B" w:rsidR="00302234" w:rsidRPr="0051618A" w:rsidRDefault="00302234" w:rsidP="00302234">
            <w:pPr>
              <w:spacing w:after="0"/>
              <w:ind w:left="0"/>
              <w:rPr>
                <w:rFonts w:cs="Calibri"/>
                <w:color w:val="000000"/>
                <w:szCs w:val="24"/>
              </w:rPr>
            </w:pPr>
            <w:r w:rsidRPr="00AE79C1">
              <w:rPr>
                <w:rFonts w:cs="Calibri"/>
                <w:color w:val="000000"/>
                <w:szCs w:val="24"/>
              </w:rPr>
              <w:t>Daily</w:t>
            </w:r>
          </w:p>
        </w:tc>
        <w:tc>
          <w:tcPr>
            <w:tcW w:w="2390" w:type="dxa"/>
            <w:noWrap/>
            <w:vAlign w:val="center"/>
          </w:tcPr>
          <w:p w14:paraId="0A2968BD" w14:textId="44ED8B7F" w:rsidR="00302234" w:rsidRPr="0051618A" w:rsidRDefault="0021479B" w:rsidP="00302234">
            <w:pPr>
              <w:spacing w:after="0"/>
              <w:ind w:left="0"/>
              <w:rPr>
                <w:rFonts w:cs="Calibri"/>
                <w:color w:val="000000"/>
                <w:szCs w:val="24"/>
              </w:rPr>
            </w:pPr>
            <w:r w:rsidRPr="00AE79C1">
              <w:rPr>
                <w:rFonts w:cs="Calibri"/>
                <w:color w:val="000000"/>
                <w:szCs w:val="24"/>
              </w:rPr>
              <w:t xml:space="preserve">Certification </w:t>
            </w:r>
            <w:r w:rsidR="00302234" w:rsidRPr="00AE79C1">
              <w:rPr>
                <w:rFonts w:cs="Calibri"/>
                <w:color w:val="000000"/>
                <w:szCs w:val="24"/>
              </w:rPr>
              <w:t>C-25 &amp; FL-174</w:t>
            </w:r>
          </w:p>
        </w:tc>
        <w:tc>
          <w:tcPr>
            <w:tcW w:w="6554" w:type="dxa"/>
            <w:vAlign w:val="center"/>
          </w:tcPr>
          <w:p w14:paraId="71A3CB10" w14:textId="2E9BD8E5" w:rsidR="00302234" w:rsidRPr="00AE79C1" w:rsidRDefault="00302234" w:rsidP="00302234">
            <w:pPr>
              <w:spacing w:after="0"/>
              <w:ind w:left="0"/>
              <w:rPr>
                <w:rFonts w:cs="Calibri"/>
                <w:color w:val="000000"/>
                <w:szCs w:val="24"/>
              </w:rPr>
            </w:pPr>
            <w:r w:rsidRPr="00AE79C1">
              <w:rPr>
                <w:rFonts w:cs="Calibri"/>
                <w:color w:val="000000"/>
                <w:szCs w:val="24"/>
              </w:rPr>
              <w:t>Certification (Sworn Statement) documents, input and edit listing</w:t>
            </w:r>
          </w:p>
        </w:tc>
      </w:tr>
      <w:tr w:rsidR="00302234" w:rsidRPr="000E4EAF" w14:paraId="28CBAAB4" w14:textId="77777777" w:rsidTr="00FB2060">
        <w:trPr>
          <w:trHeight w:val="300"/>
        </w:trPr>
        <w:tc>
          <w:tcPr>
            <w:tcW w:w="697" w:type="dxa"/>
            <w:noWrap/>
            <w:vAlign w:val="center"/>
            <w:hideMark/>
          </w:tcPr>
          <w:p w14:paraId="507747E9" w14:textId="3CE4C849" w:rsidR="00302234" w:rsidRPr="00AE79C1" w:rsidRDefault="00302234" w:rsidP="00302234">
            <w:pPr>
              <w:spacing w:after="0"/>
              <w:ind w:left="0"/>
              <w:jc w:val="center"/>
              <w:rPr>
                <w:rFonts w:cs="Calibri"/>
                <w:color w:val="000000"/>
                <w:szCs w:val="24"/>
              </w:rPr>
            </w:pPr>
            <w:r w:rsidRPr="0051618A">
              <w:rPr>
                <w:rFonts w:cs="Calibri"/>
                <w:color w:val="000000"/>
                <w:szCs w:val="24"/>
              </w:rPr>
              <w:t>41</w:t>
            </w:r>
          </w:p>
        </w:tc>
        <w:tc>
          <w:tcPr>
            <w:tcW w:w="1661" w:type="dxa"/>
            <w:noWrap/>
            <w:vAlign w:val="center"/>
          </w:tcPr>
          <w:p w14:paraId="0B0EA1D8" w14:textId="470BC23F" w:rsidR="00302234" w:rsidRPr="00AE79C1" w:rsidRDefault="00302234" w:rsidP="00302234">
            <w:pPr>
              <w:spacing w:after="0"/>
              <w:ind w:left="0"/>
              <w:rPr>
                <w:rFonts w:cs="Calibri"/>
                <w:color w:val="000000"/>
                <w:szCs w:val="24"/>
              </w:rPr>
            </w:pPr>
            <w:r w:rsidRPr="00AE79C1">
              <w:rPr>
                <w:rFonts w:cs="Calibri"/>
                <w:color w:val="000000"/>
                <w:szCs w:val="24"/>
              </w:rPr>
              <w:t>Daily</w:t>
            </w:r>
          </w:p>
        </w:tc>
        <w:tc>
          <w:tcPr>
            <w:tcW w:w="2390" w:type="dxa"/>
            <w:noWrap/>
            <w:vAlign w:val="center"/>
          </w:tcPr>
          <w:p w14:paraId="4B639A09" w14:textId="572D7109" w:rsidR="00302234" w:rsidRPr="00AE79C1" w:rsidRDefault="00302234" w:rsidP="00302234">
            <w:pPr>
              <w:spacing w:after="0"/>
              <w:ind w:left="0"/>
              <w:rPr>
                <w:rFonts w:cs="Calibri"/>
                <w:color w:val="000000"/>
                <w:szCs w:val="24"/>
              </w:rPr>
            </w:pPr>
            <w:r w:rsidRPr="00AE79C1">
              <w:rPr>
                <w:rFonts w:cs="Calibri"/>
                <w:color w:val="000000"/>
                <w:szCs w:val="24"/>
              </w:rPr>
              <w:t xml:space="preserve">Execution </w:t>
            </w:r>
            <w:r w:rsidR="0021479B">
              <w:rPr>
                <w:rFonts w:cs="Calibri"/>
                <w:color w:val="000000"/>
                <w:szCs w:val="24"/>
              </w:rPr>
              <w:t>Letter</w:t>
            </w:r>
            <w:r w:rsidRPr="00AE79C1">
              <w:rPr>
                <w:rFonts w:cs="Calibri"/>
                <w:color w:val="000000"/>
                <w:szCs w:val="24"/>
              </w:rPr>
              <w:t xml:space="preserve"> TX059A</w:t>
            </w:r>
          </w:p>
        </w:tc>
        <w:tc>
          <w:tcPr>
            <w:tcW w:w="6554" w:type="dxa"/>
            <w:vAlign w:val="center"/>
          </w:tcPr>
          <w:p w14:paraId="47191872" w14:textId="02FCD4D9" w:rsidR="00302234" w:rsidRPr="00AE79C1" w:rsidRDefault="00140813" w:rsidP="00140813">
            <w:pPr>
              <w:ind w:left="0"/>
              <w:rPr>
                <w:rFonts w:cs="Calibri"/>
                <w:color w:val="000000"/>
                <w:szCs w:val="24"/>
              </w:rPr>
            </w:pPr>
            <w:r w:rsidRPr="00140813">
              <w:rPr>
                <w:rFonts w:cs="Calibri"/>
                <w:color w:val="000000"/>
                <w:szCs w:val="24"/>
              </w:rPr>
              <w:t>Internal me</w:t>
            </w:r>
            <w:r>
              <w:rPr>
                <w:rFonts w:cs="Calibri"/>
                <w:color w:val="000000"/>
                <w:szCs w:val="24"/>
              </w:rPr>
              <w:t xml:space="preserve">mo which is sent to the field </w:t>
            </w:r>
            <w:r w:rsidRPr="00140813">
              <w:rPr>
                <w:rFonts w:cs="Calibri"/>
                <w:color w:val="000000"/>
                <w:szCs w:val="24"/>
              </w:rPr>
              <w:t>tax office instructing an examiner to forward the attached execution to the appropriate sheriff or constable for delivery to the</w:t>
            </w:r>
            <w:r>
              <w:rPr>
                <w:rFonts w:cs="Calibri"/>
                <w:color w:val="000000"/>
                <w:szCs w:val="24"/>
              </w:rPr>
              <w:t xml:space="preserve"> specified delinquent employer.</w:t>
            </w:r>
            <w:r w:rsidRPr="00140813">
              <w:rPr>
                <w:rFonts w:cs="Calibri"/>
                <w:color w:val="000000"/>
                <w:szCs w:val="24"/>
              </w:rPr>
              <w:t xml:space="preserve"> It contains information regarding the processing of any payments and/or seiz</w:t>
            </w:r>
            <w:r w:rsidR="00407158">
              <w:rPr>
                <w:rFonts w:cs="Calibri"/>
                <w:color w:val="000000"/>
                <w:szCs w:val="24"/>
              </w:rPr>
              <w:t>ures or nulla bona returns</w:t>
            </w:r>
          </w:p>
        </w:tc>
      </w:tr>
      <w:tr w:rsidR="00302234" w:rsidRPr="000E4EAF" w14:paraId="62478DE0" w14:textId="77777777" w:rsidTr="00FB2060">
        <w:trPr>
          <w:trHeight w:val="300"/>
        </w:trPr>
        <w:tc>
          <w:tcPr>
            <w:tcW w:w="697" w:type="dxa"/>
            <w:noWrap/>
            <w:vAlign w:val="center"/>
            <w:hideMark/>
          </w:tcPr>
          <w:p w14:paraId="28607457" w14:textId="67802210" w:rsidR="00302234" w:rsidRPr="00AE79C1" w:rsidRDefault="00302234" w:rsidP="00302234">
            <w:pPr>
              <w:spacing w:after="0"/>
              <w:ind w:left="0"/>
              <w:jc w:val="center"/>
              <w:rPr>
                <w:rFonts w:cs="Calibri"/>
                <w:color w:val="000000"/>
                <w:szCs w:val="24"/>
              </w:rPr>
            </w:pPr>
            <w:r w:rsidRPr="00AE79C1">
              <w:rPr>
                <w:rFonts w:cs="Calibri"/>
                <w:color w:val="000000"/>
                <w:szCs w:val="24"/>
              </w:rPr>
              <w:t>42</w:t>
            </w:r>
          </w:p>
        </w:tc>
        <w:tc>
          <w:tcPr>
            <w:tcW w:w="1661" w:type="dxa"/>
            <w:noWrap/>
            <w:vAlign w:val="center"/>
          </w:tcPr>
          <w:p w14:paraId="175BE2E2" w14:textId="2A0A0D0E" w:rsidR="00302234" w:rsidRPr="00AE79C1" w:rsidRDefault="00302234" w:rsidP="00302234">
            <w:pPr>
              <w:spacing w:after="0"/>
              <w:ind w:left="0"/>
              <w:rPr>
                <w:rFonts w:cs="Calibri"/>
                <w:color w:val="000000"/>
                <w:szCs w:val="24"/>
              </w:rPr>
            </w:pPr>
            <w:r w:rsidRPr="0051618A">
              <w:rPr>
                <w:rFonts w:cs="Calibri"/>
                <w:color w:val="000000"/>
                <w:szCs w:val="24"/>
              </w:rPr>
              <w:t>Daily</w:t>
            </w:r>
          </w:p>
        </w:tc>
        <w:tc>
          <w:tcPr>
            <w:tcW w:w="2390" w:type="dxa"/>
            <w:noWrap/>
            <w:vAlign w:val="center"/>
          </w:tcPr>
          <w:p w14:paraId="3B1BB133" w14:textId="1EA92D4A" w:rsidR="00302234" w:rsidRPr="00AE79C1" w:rsidRDefault="0021479B" w:rsidP="00302234">
            <w:pPr>
              <w:spacing w:after="0"/>
              <w:ind w:left="0"/>
              <w:rPr>
                <w:rFonts w:cs="Calibri"/>
                <w:color w:val="000000"/>
                <w:szCs w:val="24"/>
              </w:rPr>
            </w:pPr>
            <w:r>
              <w:rPr>
                <w:rFonts w:cs="Calibri"/>
                <w:color w:val="000000"/>
                <w:szCs w:val="24"/>
              </w:rPr>
              <w:t>Abstract of</w:t>
            </w:r>
            <w:r w:rsidR="00302234" w:rsidRPr="0051618A">
              <w:rPr>
                <w:rFonts w:cs="Calibri"/>
                <w:color w:val="000000"/>
                <w:szCs w:val="24"/>
              </w:rPr>
              <w:t xml:space="preserve"> </w:t>
            </w:r>
            <w:r w:rsidRPr="00AE79C1">
              <w:rPr>
                <w:rFonts w:cs="Calibri"/>
                <w:color w:val="000000"/>
                <w:szCs w:val="24"/>
              </w:rPr>
              <w:t xml:space="preserve">Judgment </w:t>
            </w:r>
            <w:r w:rsidR="00302234" w:rsidRPr="0051618A">
              <w:rPr>
                <w:rFonts w:cs="Calibri"/>
                <w:color w:val="000000"/>
                <w:szCs w:val="24"/>
              </w:rPr>
              <w:t>C-15B</w:t>
            </w:r>
          </w:p>
        </w:tc>
        <w:tc>
          <w:tcPr>
            <w:tcW w:w="6554" w:type="dxa"/>
            <w:vAlign w:val="center"/>
          </w:tcPr>
          <w:p w14:paraId="3069B4BD" w14:textId="010EC1A6" w:rsidR="00302234" w:rsidRPr="00AE79C1" w:rsidRDefault="00302234" w:rsidP="00302234">
            <w:pPr>
              <w:spacing w:after="0"/>
              <w:ind w:left="0"/>
              <w:rPr>
                <w:rFonts w:cs="Calibri"/>
                <w:color w:val="000000"/>
                <w:szCs w:val="24"/>
              </w:rPr>
            </w:pPr>
            <w:r w:rsidRPr="00AE79C1">
              <w:rPr>
                <w:rFonts w:cs="Calibri"/>
                <w:color w:val="000000"/>
                <w:szCs w:val="24"/>
              </w:rPr>
              <w:t>Form C-15 Abstract of Judgment documents</w:t>
            </w:r>
          </w:p>
        </w:tc>
      </w:tr>
      <w:tr w:rsidR="00302234" w:rsidRPr="000E4EAF" w14:paraId="154C6990" w14:textId="77777777" w:rsidTr="00FB2060">
        <w:trPr>
          <w:trHeight w:val="300"/>
        </w:trPr>
        <w:tc>
          <w:tcPr>
            <w:tcW w:w="697" w:type="dxa"/>
            <w:noWrap/>
            <w:vAlign w:val="center"/>
            <w:hideMark/>
          </w:tcPr>
          <w:p w14:paraId="6E1AB4B2" w14:textId="6E0929FA" w:rsidR="00302234" w:rsidRPr="00AE79C1" w:rsidRDefault="00302234" w:rsidP="00302234">
            <w:pPr>
              <w:spacing w:after="0"/>
              <w:ind w:left="0"/>
              <w:jc w:val="center"/>
              <w:rPr>
                <w:rFonts w:cs="Calibri"/>
                <w:color w:val="000000"/>
                <w:szCs w:val="24"/>
              </w:rPr>
            </w:pPr>
            <w:r w:rsidRPr="00AE79C1">
              <w:rPr>
                <w:rFonts w:cs="Calibri"/>
                <w:color w:val="000000"/>
                <w:szCs w:val="24"/>
              </w:rPr>
              <w:t>43</w:t>
            </w:r>
          </w:p>
        </w:tc>
        <w:tc>
          <w:tcPr>
            <w:tcW w:w="1661" w:type="dxa"/>
            <w:noWrap/>
            <w:vAlign w:val="center"/>
          </w:tcPr>
          <w:p w14:paraId="11930734" w14:textId="4276A8AF" w:rsidR="00302234" w:rsidRPr="00AE79C1" w:rsidRDefault="00302234" w:rsidP="00302234">
            <w:pPr>
              <w:spacing w:after="0"/>
              <w:ind w:left="0"/>
              <w:rPr>
                <w:rFonts w:cs="Calibri"/>
                <w:color w:val="000000"/>
                <w:szCs w:val="24"/>
              </w:rPr>
            </w:pPr>
            <w:r w:rsidRPr="00AE79C1">
              <w:rPr>
                <w:rFonts w:cs="Calibri"/>
                <w:color w:val="000000"/>
                <w:szCs w:val="24"/>
              </w:rPr>
              <w:t>Daily</w:t>
            </w:r>
          </w:p>
        </w:tc>
        <w:tc>
          <w:tcPr>
            <w:tcW w:w="2390" w:type="dxa"/>
            <w:noWrap/>
            <w:vAlign w:val="center"/>
          </w:tcPr>
          <w:p w14:paraId="50881727" w14:textId="678A651C" w:rsidR="00302234" w:rsidRPr="00AE79C1" w:rsidRDefault="00302234" w:rsidP="00302234">
            <w:pPr>
              <w:spacing w:after="0"/>
              <w:ind w:left="0"/>
              <w:rPr>
                <w:rFonts w:cs="Calibri"/>
                <w:color w:val="000000"/>
                <w:szCs w:val="24"/>
              </w:rPr>
            </w:pPr>
            <w:r w:rsidRPr="00AE79C1">
              <w:rPr>
                <w:rFonts w:cs="Calibri"/>
                <w:color w:val="000000"/>
                <w:szCs w:val="24"/>
              </w:rPr>
              <w:t>Sched Exec Payoff</w:t>
            </w:r>
          </w:p>
        </w:tc>
        <w:tc>
          <w:tcPr>
            <w:tcW w:w="6554" w:type="dxa"/>
            <w:vAlign w:val="center"/>
          </w:tcPr>
          <w:p w14:paraId="0FED1507" w14:textId="4CA55DBA" w:rsidR="00302234" w:rsidRPr="00AE79C1" w:rsidRDefault="00302234" w:rsidP="00302234">
            <w:pPr>
              <w:spacing w:after="0"/>
              <w:ind w:left="0"/>
              <w:rPr>
                <w:rFonts w:cs="Calibri"/>
                <w:color w:val="000000"/>
                <w:szCs w:val="24"/>
              </w:rPr>
            </w:pPr>
            <w:r w:rsidRPr="00AE79C1">
              <w:rPr>
                <w:rFonts w:cs="Calibri"/>
                <w:color w:val="000000"/>
                <w:szCs w:val="24"/>
              </w:rPr>
              <w:t>Execution schedule worksheet - currently disabled</w:t>
            </w:r>
          </w:p>
        </w:tc>
      </w:tr>
      <w:tr w:rsidR="00302234" w:rsidRPr="000E4EAF" w14:paraId="20413DF8" w14:textId="77777777" w:rsidTr="00FB2060">
        <w:trPr>
          <w:trHeight w:val="300"/>
        </w:trPr>
        <w:tc>
          <w:tcPr>
            <w:tcW w:w="697" w:type="dxa"/>
            <w:noWrap/>
            <w:vAlign w:val="center"/>
            <w:hideMark/>
          </w:tcPr>
          <w:p w14:paraId="2F7A7FBF" w14:textId="34E2D936" w:rsidR="00302234" w:rsidRPr="0051618A" w:rsidRDefault="00302234" w:rsidP="00302234">
            <w:pPr>
              <w:spacing w:after="0"/>
              <w:ind w:left="0"/>
              <w:jc w:val="center"/>
              <w:rPr>
                <w:rFonts w:cs="Calibri"/>
                <w:color w:val="000000"/>
                <w:szCs w:val="24"/>
              </w:rPr>
            </w:pPr>
            <w:r w:rsidRPr="00AE79C1">
              <w:rPr>
                <w:rFonts w:cs="Calibri"/>
                <w:color w:val="000000"/>
                <w:szCs w:val="24"/>
              </w:rPr>
              <w:t>44</w:t>
            </w:r>
          </w:p>
        </w:tc>
        <w:tc>
          <w:tcPr>
            <w:tcW w:w="1661" w:type="dxa"/>
            <w:noWrap/>
            <w:vAlign w:val="center"/>
          </w:tcPr>
          <w:p w14:paraId="09839257" w14:textId="28F41DCE" w:rsidR="00302234" w:rsidRPr="0051618A" w:rsidRDefault="00302234" w:rsidP="00302234">
            <w:pPr>
              <w:spacing w:after="0"/>
              <w:ind w:left="0"/>
              <w:rPr>
                <w:rFonts w:cs="Calibri"/>
                <w:color w:val="000000"/>
                <w:szCs w:val="24"/>
              </w:rPr>
            </w:pPr>
            <w:r w:rsidRPr="00AE79C1">
              <w:rPr>
                <w:rFonts w:cs="Calibri"/>
                <w:color w:val="000000"/>
                <w:szCs w:val="24"/>
              </w:rPr>
              <w:t>Daily</w:t>
            </w:r>
          </w:p>
        </w:tc>
        <w:tc>
          <w:tcPr>
            <w:tcW w:w="2390" w:type="dxa"/>
            <w:noWrap/>
            <w:vAlign w:val="center"/>
          </w:tcPr>
          <w:p w14:paraId="1791BFD1" w14:textId="771C8D2D" w:rsidR="00302234" w:rsidRPr="0051618A" w:rsidRDefault="00302234" w:rsidP="00302234">
            <w:pPr>
              <w:spacing w:after="0"/>
              <w:ind w:left="0"/>
              <w:rPr>
                <w:rFonts w:cs="Calibri"/>
                <w:color w:val="000000"/>
                <w:szCs w:val="24"/>
              </w:rPr>
            </w:pPr>
            <w:r w:rsidRPr="00AE79C1">
              <w:rPr>
                <w:rFonts w:cs="Calibri"/>
                <w:color w:val="000000"/>
                <w:szCs w:val="24"/>
              </w:rPr>
              <w:t>FL-39B &amp; Report</w:t>
            </w:r>
          </w:p>
        </w:tc>
        <w:tc>
          <w:tcPr>
            <w:tcW w:w="6554" w:type="dxa"/>
            <w:vAlign w:val="center"/>
          </w:tcPr>
          <w:p w14:paraId="4D786ED8" w14:textId="2D645E31" w:rsidR="00302234" w:rsidRPr="00AE79C1" w:rsidRDefault="00302234" w:rsidP="00302234">
            <w:pPr>
              <w:spacing w:after="0"/>
              <w:ind w:left="0"/>
              <w:rPr>
                <w:rFonts w:cs="Calibri"/>
                <w:color w:val="000000"/>
                <w:szCs w:val="24"/>
              </w:rPr>
            </w:pPr>
            <w:r w:rsidRPr="00AE79C1">
              <w:rPr>
                <w:rFonts w:cs="Calibri"/>
                <w:color w:val="000000"/>
                <w:szCs w:val="24"/>
              </w:rPr>
              <w:t>Form letter 39B documents, input and edit listing</w:t>
            </w:r>
          </w:p>
        </w:tc>
      </w:tr>
      <w:tr w:rsidR="00302234" w:rsidRPr="000E4EAF" w14:paraId="3F56EFF6" w14:textId="77777777" w:rsidTr="00FB2060">
        <w:trPr>
          <w:trHeight w:val="300"/>
        </w:trPr>
        <w:tc>
          <w:tcPr>
            <w:tcW w:w="697" w:type="dxa"/>
            <w:noWrap/>
            <w:vAlign w:val="center"/>
            <w:hideMark/>
          </w:tcPr>
          <w:p w14:paraId="01F32359" w14:textId="7189EDF0" w:rsidR="00302234" w:rsidRPr="00AE79C1" w:rsidRDefault="00302234" w:rsidP="00302234">
            <w:pPr>
              <w:spacing w:after="0"/>
              <w:ind w:left="0"/>
              <w:jc w:val="center"/>
              <w:rPr>
                <w:rFonts w:cs="Calibri"/>
                <w:color w:val="000000"/>
                <w:szCs w:val="24"/>
              </w:rPr>
            </w:pPr>
            <w:r w:rsidRPr="0051618A">
              <w:rPr>
                <w:rFonts w:cs="Calibri"/>
                <w:color w:val="000000"/>
                <w:szCs w:val="24"/>
              </w:rPr>
              <w:t>45</w:t>
            </w:r>
          </w:p>
        </w:tc>
        <w:tc>
          <w:tcPr>
            <w:tcW w:w="1661" w:type="dxa"/>
            <w:noWrap/>
            <w:vAlign w:val="center"/>
          </w:tcPr>
          <w:p w14:paraId="679FAF0C" w14:textId="5053DBFB" w:rsidR="00302234" w:rsidRPr="00AE79C1" w:rsidRDefault="00302234" w:rsidP="00302234">
            <w:pPr>
              <w:spacing w:after="0"/>
              <w:ind w:left="0"/>
              <w:rPr>
                <w:rFonts w:cs="Calibri"/>
                <w:color w:val="000000"/>
                <w:szCs w:val="24"/>
              </w:rPr>
            </w:pPr>
            <w:r w:rsidRPr="00AE79C1">
              <w:rPr>
                <w:rFonts w:cs="Calibri"/>
                <w:color w:val="000000"/>
                <w:szCs w:val="24"/>
              </w:rPr>
              <w:t>Daily</w:t>
            </w:r>
          </w:p>
        </w:tc>
        <w:tc>
          <w:tcPr>
            <w:tcW w:w="2390" w:type="dxa"/>
            <w:noWrap/>
            <w:vAlign w:val="center"/>
          </w:tcPr>
          <w:p w14:paraId="740B5585" w14:textId="5C22485D" w:rsidR="00302234" w:rsidRPr="00AE79C1" w:rsidRDefault="00302234" w:rsidP="00302234">
            <w:pPr>
              <w:spacing w:after="0"/>
              <w:ind w:left="0"/>
              <w:rPr>
                <w:rFonts w:cs="Calibri"/>
                <w:color w:val="000000"/>
                <w:szCs w:val="24"/>
              </w:rPr>
            </w:pPr>
            <w:r w:rsidRPr="00AE79C1">
              <w:rPr>
                <w:rFonts w:cs="Calibri"/>
                <w:color w:val="000000"/>
                <w:szCs w:val="24"/>
              </w:rPr>
              <w:t>Labels (day 91)</w:t>
            </w:r>
          </w:p>
        </w:tc>
        <w:tc>
          <w:tcPr>
            <w:tcW w:w="6554" w:type="dxa"/>
            <w:vAlign w:val="center"/>
          </w:tcPr>
          <w:p w14:paraId="71DCD150" w14:textId="4EA277F3" w:rsidR="00302234" w:rsidRPr="00AE79C1" w:rsidRDefault="00302234" w:rsidP="00302234">
            <w:pPr>
              <w:spacing w:after="0"/>
              <w:ind w:left="0"/>
              <w:rPr>
                <w:rFonts w:cs="Calibri"/>
                <w:color w:val="000000"/>
                <w:szCs w:val="24"/>
              </w:rPr>
            </w:pPr>
            <w:r w:rsidRPr="00AE79C1">
              <w:rPr>
                <w:rFonts w:cs="Calibri"/>
                <w:color w:val="000000"/>
                <w:szCs w:val="24"/>
              </w:rPr>
              <w:t>Labels for Assessment folders, from account that produced a 39B letter</w:t>
            </w:r>
          </w:p>
        </w:tc>
      </w:tr>
      <w:tr w:rsidR="00302234" w:rsidRPr="000E4EAF" w14:paraId="58117A37" w14:textId="77777777" w:rsidTr="00FB2060">
        <w:trPr>
          <w:trHeight w:val="300"/>
        </w:trPr>
        <w:tc>
          <w:tcPr>
            <w:tcW w:w="697" w:type="dxa"/>
            <w:noWrap/>
            <w:vAlign w:val="center"/>
            <w:hideMark/>
          </w:tcPr>
          <w:p w14:paraId="05407AA0" w14:textId="0924C87F" w:rsidR="00302234" w:rsidRPr="00AE79C1" w:rsidRDefault="00302234" w:rsidP="00302234">
            <w:pPr>
              <w:spacing w:after="0"/>
              <w:ind w:left="0"/>
              <w:jc w:val="center"/>
              <w:rPr>
                <w:rFonts w:cs="Calibri"/>
                <w:color w:val="000000"/>
                <w:szCs w:val="24"/>
              </w:rPr>
            </w:pPr>
            <w:r w:rsidRPr="00AE79C1">
              <w:rPr>
                <w:rFonts w:cs="Calibri"/>
                <w:color w:val="000000"/>
                <w:szCs w:val="24"/>
              </w:rPr>
              <w:lastRenderedPageBreak/>
              <w:t>46</w:t>
            </w:r>
          </w:p>
        </w:tc>
        <w:tc>
          <w:tcPr>
            <w:tcW w:w="1661" w:type="dxa"/>
            <w:noWrap/>
            <w:vAlign w:val="center"/>
          </w:tcPr>
          <w:p w14:paraId="15ACFFD4" w14:textId="42C4873A" w:rsidR="00302234" w:rsidRPr="00AE79C1" w:rsidRDefault="00302234" w:rsidP="00302234">
            <w:pPr>
              <w:spacing w:after="0"/>
              <w:ind w:left="0"/>
              <w:rPr>
                <w:rFonts w:cs="Calibri"/>
                <w:color w:val="000000"/>
                <w:szCs w:val="24"/>
              </w:rPr>
            </w:pPr>
            <w:r w:rsidRPr="00AE79C1">
              <w:rPr>
                <w:rFonts w:cs="Calibri"/>
                <w:color w:val="000000"/>
                <w:szCs w:val="24"/>
              </w:rPr>
              <w:t>Daily</w:t>
            </w:r>
          </w:p>
        </w:tc>
        <w:tc>
          <w:tcPr>
            <w:tcW w:w="2390" w:type="dxa"/>
            <w:noWrap/>
            <w:vAlign w:val="center"/>
          </w:tcPr>
          <w:p w14:paraId="28DF283B" w14:textId="19C98ED9" w:rsidR="00302234" w:rsidRPr="00AE79C1" w:rsidRDefault="00302234" w:rsidP="00302234">
            <w:pPr>
              <w:spacing w:after="0"/>
              <w:ind w:left="0"/>
              <w:rPr>
                <w:rFonts w:cs="Calibri"/>
                <w:color w:val="000000"/>
                <w:szCs w:val="24"/>
              </w:rPr>
            </w:pPr>
            <w:r w:rsidRPr="00AE79C1">
              <w:rPr>
                <w:rFonts w:cs="Calibri"/>
                <w:color w:val="000000"/>
                <w:szCs w:val="24"/>
              </w:rPr>
              <w:t xml:space="preserve">Notice of </w:t>
            </w:r>
            <w:r w:rsidR="0021479B" w:rsidRPr="00AE79C1">
              <w:rPr>
                <w:rFonts w:cs="Calibri"/>
                <w:color w:val="000000"/>
                <w:szCs w:val="24"/>
              </w:rPr>
              <w:t xml:space="preserve">Assessment </w:t>
            </w:r>
            <w:r w:rsidRPr="00AE79C1">
              <w:rPr>
                <w:rFonts w:cs="Calibri"/>
                <w:color w:val="000000"/>
                <w:szCs w:val="24"/>
              </w:rPr>
              <w:t>C-18</w:t>
            </w:r>
          </w:p>
        </w:tc>
        <w:tc>
          <w:tcPr>
            <w:tcW w:w="6554" w:type="dxa"/>
            <w:vAlign w:val="center"/>
          </w:tcPr>
          <w:p w14:paraId="14172C76" w14:textId="2737F200" w:rsidR="00302234" w:rsidRPr="00AE79C1" w:rsidRDefault="00302234" w:rsidP="00302234">
            <w:pPr>
              <w:spacing w:after="0"/>
              <w:ind w:left="0"/>
              <w:rPr>
                <w:rFonts w:cs="Calibri"/>
                <w:color w:val="000000"/>
                <w:szCs w:val="24"/>
              </w:rPr>
            </w:pPr>
            <w:r w:rsidRPr="00AE79C1">
              <w:rPr>
                <w:rFonts w:cs="Calibri"/>
                <w:color w:val="000000"/>
                <w:szCs w:val="24"/>
              </w:rPr>
              <w:t>Form C-18 documents</w:t>
            </w:r>
          </w:p>
        </w:tc>
      </w:tr>
      <w:tr w:rsidR="00302234" w:rsidRPr="000E4EAF" w14:paraId="532225AB" w14:textId="77777777" w:rsidTr="00FB2060">
        <w:trPr>
          <w:trHeight w:val="300"/>
        </w:trPr>
        <w:tc>
          <w:tcPr>
            <w:tcW w:w="697" w:type="dxa"/>
            <w:noWrap/>
            <w:vAlign w:val="center"/>
            <w:hideMark/>
          </w:tcPr>
          <w:p w14:paraId="318A7788" w14:textId="3B4954F0" w:rsidR="00302234" w:rsidRPr="00AE79C1" w:rsidRDefault="00302234" w:rsidP="00302234">
            <w:pPr>
              <w:spacing w:after="0"/>
              <w:ind w:left="0"/>
              <w:jc w:val="center"/>
              <w:rPr>
                <w:rFonts w:cs="Calibri"/>
                <w:color w:val="000000"/>
                <w:szCs w:val="24"/>
              </w:rPr>
            </w:pPr>
            <w:r w:rsidRPr="00AE79C1">
              <w:rPr>
                <w:rFonts w:cs="Calibri"/>
                <w:color w:val="000000"/>
                <w:szCs w:val="24"/>
              </w:rPr>
              <w:t>47</w:t>
            </w:r>
          </w:p>
        </w:tc>
        <w:tc>
          <w:tcPr>
            <w:tcW w:w="1661" w:type="dxa"/>
            <w:noWrap/>
            <w:vAlign w:val="center"/>
          </w:tcPr>
          <w:p w14:paraId="2818774C" w14:textId="7C46308D" w:rsidR="00302234" w:rsidRPr="00AE79C1" w:rsidRDefault="00302234" w:rsidP="00302234">
            <w:pPr>
              <w:spacing w:after="0"/>
              <w:ind w:left="0"/>
              <w:rPr>
                <w:rFonts w:cs="Calibri"/>
                <w:color w:val="000000"/>
                <w:szCs w:val="24"/>
              </w:rPr>
            </w:pPr>
            <w:r w:rsidRPr="00AE79C1">
              <w:rPr>
                <w:rFonts w:cs="Calibri"/>
                <w:color w:val="000000"/>
                <w:szCs w:val="24"/>
              </w:rPr>
              <w:t>Daily</w:t>
            </w:r>
          </w:p>
        </w:tc>
        <w:tc>
          <w:tcPr>
            <w:tcW w:w="2390" w:type="dxa"/>
            <w:noWrap/>
            <w:vAlign w:val="center"/>
          </w:tcPr>
          <w:p w14:paraId="4DA55EBF" w14:textId="59EB4E37" w:rsidR="00302234" w:rsidRPr="00AE79C1" w:rsidRDefault="00302234" w:rsidP="00302234">
            <w:pPr>
              <w:spacing w:after="0"/>
              <w:ind w:left="0"/>
              <w:rPr>
                <w:rFonts w:cs="Calibri"/>
                <w:color w:val="000000"/>
                <w:szCs w:val="24"/>
              </w:rPr>
            </w:pPr>
            <w:r w:rsidRPr="00AE79C1">
              <w:rPr>
                <w:rFonts w:cs="Calibri"/>
                <w:color w:val="000000"/>
                <w:szCs w:val="24"/>
              </w:rPr>
              <w:t xml:space="preserve">C-18 Input &amp; Edit </w:t>
            </w:r>
            <w:r w:rsidR="0021479B" w:rsidRPr="00AE79C1">
              <w:rPr>
                <w:rFonts w:cs="Calibri"/>
                <w:color w:val="000000"/>
                <w:szCs w:val="24"/>
              </w:rPr>
              <w:t>Report</w:t>
            </w:r>
          </w:p>
        </w:tc>
        <w:tc>
          <w:tcPr>
            <w:tcW w:w="6554" w:type="dxa"/>
            <w:vAlign w:val="center"/>
          </w:tcPr>
          <w:p w14:paraId="5C30B1CE" w14:textId="6FFEAE5A" w:rsidR="00302234" w:rsidRPr="00AE79C1" w:rsidRDefault="00302234" w:rsidP="00302234">
            <w:pPr>
              <w:spacing w:after="0"/>
              <w:ind w:left="0"/>
              <w:rPr>
                <w:rFonts w:cs="Calibri"/>
                <w:color w:val="000000"/>
                <w:szCs w:val="24"/>
              </w:rPr>
            </w:pPr>
            <w:r w:rsidRPr="00AE79C1">
              <w:rPr>
                <w:rFonts w:cs="Calibri"/>
                <w:color w:val="000000"/>
                <w:szCs w:val="24"/>
              </w:rPr>
              <w:t>Input and edit listing for C-18 documents</w:t>
            </w:r>
          </w:p>
        </w:tc>
      </w:tr>
      <w:tr w:rsidR="00302234" w:rsidRPr="000E4EAF" w14:paraId="5B2DDB37" w14:textId="77777777" w:rsidTr="00FB2060">
        <w:trPr>
          <w:trHeight w:val="300"/>
        </w:trPr>
        <w:tc>
          <w:tcPr>
            <w:tcW w:w="697" w:type="dxa"/>
            <w:noWrap/>
            <w:vAlign w:val="center"/>
            <w:hideMark/>
          </w:tcPr>
          <w:p w14:paraId="600BF84C" w14:textId="14F9AFA4" w:rsidR="00302234" w:rsidRPr="00AE79C1" w:rsidRDefault="00302234" w:rsidP="00302234">
            <w:pPr>
              <w:spacing w:after="0"/>
              <w:ind w:left="0"/>
              <w:jc w:val="center"/>
              <w:rPr>
                <w:rFonts w:cs="Calibri"/>
                <w:color w:val="000000"/>
                <w:szCs w:val="24"/>
              </w:rPr>
            </w:pPr>
            <w:r w:rsidRPr="00AE79C1">
              <w:rPr>
                <w:rFonts w:cs="Calibri"/>
                <w:color w:val="000000"/>
                <w:szCs w:val="24"/>
              </w:rPr>
              <w:t>48</w:t>
            </w:r>
          </w:p>
        </w:tc>
        <w:tc>
          <w:tcPr>
            <w:tcW w:w="1661" w:type="dxa"/>
            <w:noWrap/>
            <w:vAlign w:val="center"/>
          </w:tcPr>
          <w:p w14:paraId="46415A05" w14:textId="253F05CB" w:rsidR="00302234" w:rsidRPr="00AE79C1" w:rsidRDefault="00302234" w:rsidP="00302234">
            <w:pPr>
              <w:spacing w:after="0"/>
              <w:ind w:left="0"/>
              <w:rPr>
                <w:rFonts w:cs="Calibri"/>
                <w:color w:val="000000"/>
                <w:szCs w:val="24"/>
              </w:rPr>
            </w:pPr>
            <w:r w:rsidRPr="00AE79C1">
              <w:rPr>
                <w:rFonts w:cs="Calibri"/>
                <w:color w:val="000000"/>
                <w:szCs w:val="24"/>
              </w:rPr>
              <w:t>Daily</w:t>
            </w:r>
          </w:p>
        </w:tc>
        <w:tc>
          <w:tcPr>
            <w:tcW w:w="2390" w:type="dxa"/>
            <w:noWrap/>
            <w:vAlign w:val="center"/>
          </w:tcPr>
          <w:p w14:paraId="5427468F" w14:textId="21AC6F35" w:rsidR="00302234" w:rsidRPr="00AE79C1" w:rsidRDefault="00302234" w:rsidP="00302234">
            <w:pPr>
              <w:spacing w:after="0"/>
              <w:ind w:left="0"/>
              <w:rPr>
                <w:rFonts w:cs="Calibri"/>
                <w:color w:val="000000"/>
                <w:szCs w:val="24"/>
              </w:rPr>
            </w:pPr>
            <w:r w:rsidRPr="00AE79C1">
              <w:rPr>
                <w:rFonts w:cs="Calibri"/>
                <w:color w:val="000000"/>
                <w:szCs w:val="24"/>
              </w:rPr>
              <w:t xml:space="preserve">C-33 </w:t>
            </w:r>
            <w:r w:rsidR="0021479B" w:rsidRPr="00AE79C1">
              <w:rPr>
                <w:rFonts w:cs="Calibri"/>
                <w:color w:val="000000"/>
                <w:szCs w:val="24"/>
              </w:rPr>
              <w:t xml:space="preserve">Abstract </w:t>
            </w:r>
            <w:r w:rsidRPr="00AE79C1">
              <w:rPr>
                <w:rFonts w:cs="Calibri"/>
                <w:color w:val="000000"/>
                <w:szCs w:val="24"/>
              </w:rPr>
              <w:t xml:space="preserve">&amp; </w:t>
            </w:r>
            <w:r w:rsidR="0021479B" w:rsidRPr="00AE79C1">
              <w:rPr>
                <w:rFonts w:cs="Calibri"/>
                <w:color w:val="000000"/>
                <w:szCs w:val="24"/>
              </w:rPr>
              <w:t>Report</w:t>
            </w:r>
            <w:r w:rsidR="0021479B">
              <w:rPr>
                <w:rFonts w:cs="Calibri"/>
                <w:color w:val="000000"/>
                <w:szCs w:val="24"/>
              </w:rPr>
              <w:t>s</w:t>
            </w:r>
          </w:p>
        </w:tc>
        <w:tc>
          <w:tcPr>
            <w:tcW w:w="6554" w:type="dxa"/>
            <w:vAlign w:val="center"/>
          </w:tcPr>
          <w:p w14:paraId="01CAC680" w14:textId="62002B63" w:rsidR="00302234" w:rsidRPr="00AE79C1" w:rsidRDefault="00302234" w:rsidP="00302234">
            <w:pPr>
              <w:spacing w:after="0"/>
              <w:ind w:left="0"/>
              <w:rPr>
                <w:rFonts w:cs="Calibri"/>
                <w:color w:val="000000"/>
                <w:szCs w:val="24"/>
              </w:rPr>
            </w:pPr>
            <w:r w:rsidRPr="00AE79C1">
              <w:rPr>
                <w:rFonts w:cs="Calibri"/>
                <w:color w:val="000000"/>
                <w:szCs w:val="24"/>
              </w:rPr>
              <w:t>Form C-33 Abstract of Assessment documents, input/edit report</w:t>
            </w:r>
          </w:p>
        </w:tc>
      </w:tr>
      <w:tr w:rsidR="00302234" w:rsidRPr="000E4EAF" w14:paraId="21DC79AB" w14:textId="77777777" w:rsidTr="00FB2060">
        <w:trPr>
          <w:trHeight w:val="300"/>
        </w:trPr>
        <w:tc>
          <w:tcPr>
            <w:tcW w:w="697" w:type="dxa"/>
            <w:noWrap/>
            <w:vAlign w:val="center"/>
            <w:hideMark/>
          </w:tcPr>
          <w:p w14:paraId="093FA819" w14:textId="630192FC" w:rsidR="00302234" w:rsidRPr="00AE79C1" w:rsidRDefault="00302234" w:rsidP="00302234">
            <w:pPr>
              <w:spacing w:after="0"/>
              <w:ind w:left="0"/>
              <w:jc w:val="center"/>
              <w:rPr>
                <w:rFonts w:cs="Calibri"/>
                <w:color w:val="000000"/>
                <w:szCs w:val="24"/>
              </w:rPr>
            </w:pPr>
            <w:r w:rsidRPr="00AE79C1">
              <w:rPr>
                <w:rFonts w:cs="Calibri"/>
                <w:color w:val="000000"/>
                <w:szCs w:val="24"/>
              </w:rPr>
              <w:t>49</w:t>
            </w:r>
          </w:p>
        </w:tc>
        <w:tc>
          <w:tcPr>
            <w:tcW w:w="1661" w:type="dxa"/>
            <w:noWrap/>
            <w:vAlign w:val="center"/>
          </w:tcPr>
          <w:p w14:paraId="6A208CC3" w14:textId="36FE078B" w:rsidR="00302234" w:rsidRPr="00AE79C1" w:rsidRDefault="00302234" w:rsidP="00302234">
            <w:pPr>
              <w:spacing w:after="0"/>
              <w:ind w:left="0"/>
              <w:rPr>
                <w:rFonts w:cs="Calibri"/>
                <w:color w:val="000000"/>
                <w:szCs w:val="24"/>
              </w:rPr>
            </w:pPr>
            <w:r w:rsidRPr="00AE79C1">
              <w:rPr>
                <w:rFonts w:cs="Calibri"/>
                <w:color w:val="000000"/>
                <w:szCs w:val="24"/>
              </w:rPr>
              <w:t>Daily</w:t>
            </w:r>
          </w:p>
        </w:tc>
        <w:tc>
          <w:tcPr>
            <w:tcW w:w="2390" w:type="dxa"/>
            <w:noWrap/>
            <w:vAlign w:val="center"/>
          </w:tcPr>
          <w:p w14:paraId="7DC51231" w14:textId="48AB1D91" w:rsidR="00302234" w:rsidRPr="00AE79C1" w:rsidRDefault="00140813" w:rsidP="00302234">
            <w:pPr>
              <w:spacing w:after="0"/>
              <w:ind w:left="0"/>
              <w:rPr>
                <w:rFonts w:cs="Calibri"/>
                <w:color w:val="000000"/>
                <w:szCs w:val="24"/>
              </w:rPr>
            </w:pPr>
            <w:r>
              <w:rPr>
                <w:rFonts w:cs="Calibri"/>
                <w:color w:val="000000"/>
                <w:szCs w:val="24"/>
              </w:rPr>
              <w:t>Abstract of Assessment</w:t>
            </w:r>
            <w:r w:rsidR="00686B05">
              <w:rPr>
                <w:rFonts w:cs="Calibri"/>
                <w:color w:val="000000"/>
                <w:szCs w:val="24"/>
              </w:rPr>
              <w:t xml:space="preserve"> </w:t>
            </w:r>
            <w:r>
              <w:rPr>
                <w:rFonts w:cs="Calibri"/>
                <w:color w:val="000000"/>
                <w:szCs w:val="24"/>
              </w:rPr>
              <w:t>(C-33 &amp; C</w:t>
            </w:r>
            <w:r w:rsidRPr="00140813">
              <w:rPr>
                <w:rFonts w:cs="Calibri"/>
                <w:color w:val="000000"/>
                <w:szCs w:val="24"/>
              </w:rPr>
              <w:t>-33a)</w:t>
            </w:r>
          </w:p>
        </w:tc>
        <w:tc>
          <w:tcPr>
            <w:tcW w:w="6554" w:type="dxa"/>
            <w:vAlign w:val="center"/>
          </w:tcPr>
          <w:p w14:paraId="0C57DD96" w14:textId="67A3F9F7" w:rsidR="00302234" w:rsidRPr="00AE79C1" w:rsidRDefault="00140813" w:rsidP="00302234">
            <w:pPr>
              <w:spacing w:after="0"/>
              <w:ind w:left="0"/>
              <w:rPr>
                <w:rFonts w:cs="Calibri"/>
                <w:color w:val="000000"/>
                <w:szCs w:val="24"/>
              </w:rPr>
            </w:pPr>
            <w:r w:rsidRPr="00140813">
              <w:rPr>
                <w:rFonts w:cs="Calibri"/>
                <w:color w:val="000000"/>
                <w:szCs w:val="24"/>
              </w:rPr>
              <w:t>Itemized listing of due dates, contributio</w:t>
            </w:r>
            <w:r>
              <w:rPr>
                <w:rFonts w:cs="Calibri"/>
                <w:color w:val="000000"/>
                <w:szCs w:val="24"/>
              </w:rPr>
              <w:t xml:space="preserve">ns due, tax and penalty rates, </w:t>
            </w:r>
            <w:r w:rsidRPr="00140813">
              <w:rPr>
                <w:rFonts w:cs="Calibri"/>
                <w:color w:val="000000"/>
                <w:szCs w:val="24"/>
              </w:rPr>
              <w:t>and penalties levied agai</w:t>
            </w:r>
            <w:r>
              <w:rPr>
                <w:rFonts w:cs="Calibri"/>
                <w:color w:val="000000"/>
                <w:szCs w:val="24"/>
              </w:rPr>
              <w:t xml:space="preserve">nst the entity, </w:t>
            </w:r>
            <w:r w:rsidRPr="00140813">
              <w:rPr>
                <w:rFonts w:cs="Calibri"/>
                <w:color w:val="000000"/>
                <w:szCs w:val="24"/>
              </w:rPr>
              <w:t>along with information regarding the service of the notice of assessment to the employer. The abstract is sent to the appropriate coun</w:t>
            </w:r>
            <w:r w:rsidR="00407158">
              <w:rPr>
                <w:rFonts w:cs="Calibri"/>
                <w:color w:val="000000"/>
                <w:szCs w:val="24"/>
              </w:rPr>
              <w:t>ty clerk for recording</w:t>
            </w:r>
          </w:p>
        </w:tc>
      </w:tr>
      <w:tr w:rsidR="00302234" w:rsidRPr="000E4EAF" w14:paraId="20C5A13C" w14:textId="77777777" w:rsidTr="00FB2060">
        <w:trPr>
          <w:trHeight w:val="300"/>
        </w:trPr>
        <w:tc>
          <w:tcPr>
            <w:tcW w:w="697" w:type="dxa"/>
            <w:noWrap/>
            <w:vAlign w:val="center"/>
            <w:hideMark/>
          </w:tcPr>
          <w:p w14:paraId="2234551D" w14:textId="547E9F5E" w:rsidR="00302234" w:rsidRPr="00AE79C1" w:rsidRDefault="00302234" w:rsidP="00302234">
            <w:pPr>
              <w:spacing w:after="0"/>
              <w:ind w:left="0"/>
              <w:jc w:val="center"/>
              <w:rPr>
                <w:rFonts w:cs="Calibri"/>
                <w:color w:val="000000"/>
                <w:szCs w:val="24"/>
              </w:rPr>
            </w:pPr>
            <w:r w:rsidRPr="00AE79C1">
              <w:rPr>
                <w:rFonts w:cs="Calibri"/>
                <w:color w:val="000000"/>
                <w:szCs w:val="24"/>
              </w:rPr>
              <w:t>50</w:t>
            </w:r>
          </w:p>
        </w:tc>
        <w:tc>
          <w:tcPr>
            <w:tcW w:w="1661" w:type="dxa"/>
            <w:noWrap/>
            <w:vAlign w:val="center"/>
          </w:tcPr>
          <w:p w14:paraId="4CB1F1A8" w14:textId="64618EA9" w:rsidR="00302234" w:rsidRPr="00AE79C1" w:rsidRDefault="00302234" w:rsidP="00302234">
            <w:pPr>
              <w:spacing w:after="0"/>
              <w:ind w:left="0"/>
              <w:rPr>
                <w:rFonts w:cs="Calibri"/>
                <w:color w:val="000000"/>
                <w:szCs w:val="24"/>
              </w:rPr>
            </w:pPr>
            <w:r w:rsidRPr="00AE79C1">
              <w:rPr>
                <w:rFonts w:cs="Calibri"/>
                <w:color w:val="000000"/>
                <w:szCs w:val="24"/>
              </w:rPr>
              <w:t>Daily</w:t>
            </w:r>
          </w:p>
        </w:tc>
        <w:tc>
          <w:tcPr>
            <w:tcW w:w="2390" w:type="dxa"/>
            <w:noWrap/>
            <w:vAlign w:val="center"/>
          </w:tcPr>
          <w:p w14:paraId="619095BE" w14:textId="04D3EA4E" w:rsidR="00302234" w:rsidRPr="00AE79C1" w:rsidRDefault="00140813" w:rsidP="00302234">
            <w:pPr>
              <w:spacing w:after="0"/>
              <w:ind w:left="0"/>
              <w:rPr>
                <w:rFonts w:cs="Calibri"/>
                <w:color w:val="000000"/>
                <w:szCs w:val="24"/>
              </w:rPr>
            </w:pPr>
            <w:r w:rsidRPr="00AE79C1">
              <w:rPr>
                <w:rFonts w:cs="Calibri"/>
                <w:color w:val="000000"/>
                <w:szCs w:val="24"/>
              </w:rPr>
              <w:t>Daily Bill Statement</w:t>
            </w:r>
          </w:p>
        </w:tc>
        <w:tc>
          <w:tcPr>
            <w:tcW w:w="6554" w:type="dxa"/>
            <w:vAlign w:val="center"/>
          </w:tcPr>
          <w:p w14:paraId="02CD8074" w14:textId="4BEF9C79" w:rsidR="00302234" w:rsidRPr="00AE79C1" w:rsidRDefault="00302234" w:rsidP="00302234">
            <w:pPr>
              <w:spacing w:after="0"/>
              <w:ind w:left="0"/>
              <w:rPr>
                <w:rFonts w:cs="Calibri"/>
                <w:color w:val="000000"/>
                <w:szCs w:val="24"/>
              </w:rPr>
            </w:pPr>
            <w:r w:rsidRPr="00AE79C1">
              <w:rPr>
                <w:rFonts w:cs="Calibri"/>
                <w:color w:val="000000"/>
                <w:szCs w:val="24"/>
              </w:rPr>
              <w:t xml:space="preserve">List of </w:t>
            </w:r>
            <w:r>
              <w:rPr>
                <w:rFonts w:cs="Calibri"/>
                <w:color w:val="000000"/>
                <w:szCs w:val="24"/>
              </w:rPr>
              <w:t xml:space="preserve">Employers </w:t>
            </w:r>
            <w:r w:rsidRPr="00AE79C1">
              <w:rPr>
                <w:rFonts w:cs="Calibri"/>
                <w:color w:val="000000"/>
                <w:szCs w:val="24"/>
              </w:rPr>
              <w:t>that are receiving statements that day (issued by Tax)</w:t>
            </w:r>
          </w:p>
        </w:tc>
      </w:tr>
      <w:tr w:rsidR="00302234" w:rsidRPr="000E4EAF" w14:paraId="67FFF0C4" w14:textId="77777777" w:rsidTr="00FB2060">
        <w:trPr>
          <w:trHeight w:val="300"/>
        </w:trPr>
        <w:tc>
          <w:tcPr>
            <w:tcW w:w="697" w:type="dxa"/>
            <w:noWrap/>
            <w:vAlign w:val="center"/>
            <w:hideMark/>
          </w:tcPr>
          <w:p w14:paraId="58C72C07" w14:textId="672986BE" w:rsidR="00302234" w:rsidRPr="00AE79C1" w:rsidRDefault="00302234" w:rsidP="00302234">
            <w:pPr>
              <w:spacing w:after="0"/>
              <w:ind w:left="0"/>
              <w:jc w:val="center"/>
              <w:rPr>
                <w:rFonts w:cs="Calibri"/>
                <w:color w:val="000000"/>
                <w:szCs w:val="24"/>
              </w:rPr>
            </w:pPr>
            <w:r w:rsidRPr="00AE79C1">
              <w:rPr>
                <w:rFonts w:cs="Calibri"/>
                <w:color w:val="000000"/>
                <w:szCs w:val="24"/>
              </w:rPr>
              <w:t>51</w:t>
            </w:r>
          </w:p>
        </w:tc>
        <w:tc>
          <w:tcPr>
            <w:tcW w:w="1661" w:type="dxa"/>
            <w:noWrap/>
            <w:vAlign w:val="center"/>
          </w:tcPr>
          <w:p w14:paraId="6BF0DFFB" w14:textId="79A29BC4" w:rsidR="00302234" w:rsidRPr="00AE79C1" w:rsidRDefault="00302234" w:rsidP="00302234">
            <w:pPr>
              <w:spacing w:after="0"/>
              <w:ind w:left="0"/>
              <w:rPr>
                <w:rFonts w:cs="Calibri"/>
                <w:color w:val="000000"/>
                <w:szCs w:val="24"/>
              </w:rPr>
            </w:pPr>
            <w:r w:rsidRPr="00AE79C1">
              <w:rPr>
                <w:rFonts w:cs="Calibri"/>
                <w:color w:val="000000"/>
                <w:szCs w:val="24"/>
              </w:rPr>
              <w:t>Daily</w:t>
            </w:r>
          </w:p>
        </w:tc>
        <w:tc>
          <w:tcPr>
            <w:tcW w:w="2390" w:type="dxa"/>
            <w:noWrap/>
            <w:vAlign w:val="center"/>
          </w:tcPr>
          <w:p w14:paraId="12CD9F6A" w14:textId="702A89A8" w:rsidR="00302234" w:rsidRPr="00AE79C1" w:rsidRDefault="00140813" w:rsidP="00302234">
            <w:pPr>
              <w:spacing w:after="0"/>
              <w:ind w:left="0"/>
              <w:rPr>
                <w:rFonts w:cs="Calibri"/>
                <w:color w:val="000000"/>
                <w:szCs w:val="24"/>
              </w:rPr>
            </w:pPr>
            <w:r w:rsidRPr="00AE79C1">
              <w:rPr>
                <w:rFonts w:cs="Calibri"/>
                <w:color w:val="000000"/>
                <w:szCs w:val="24"/>
              </w:rPr>
              <w:t>Default Notice List</w:t>
            </w:r>
          </w:p>
        </w:tc>
        <w:tc>
          <w:tcPr>
            <w:tcW w:w="6554" w:type="dxa"/>
            <w:vAlign w:val="center"/>
          </w:tcPr>
          <w:p w14:paraId="75696977" w14:textId="4BA5EA3C" w:rsidR="00302234" w:rsidRPr="00AE79C1" w:rsidRDefault="00302234" w:rsidP="00302234">
            <w:pPr>
              <w:spacing w:after="0"/>
              <w:ind w:left="0"/>
              <w:rPr>
                <w:rFonts w:cs="Calibri"/>
                <w:color w:val="000000"/>
                <w:szCs w:val="24"/>
              </w:rPr>
            </w:pPr>
            <w:r w:rsidRPr="00AE79C1">
              <w:rPr>
                <w:rFonts w:cs="Calibri"/>
                <w:color w:val="000000"/>
                <w:szCs w:val="24"/>
              </w:rPr>
              <w:t xml:space="preserve">System and AE produced Default Notices reviewed and mailed to </w:t>
            </w:r>
            <w:r>
              <w:rPr>
                <w:rFonts w:cs="Calibri"/>
                <w:color w:val="000000"/>
                <w:szCs w:val="24"/>
              </w:rPr>
              <w:t xml:space="preserve">Employers </w:t>
            </w:r>
            <w:r w:rsidR="00407158">
              <w:rPr>
                <w:rFonts w:cs="Calibri"/>
                <w:color w:val="000000"/>
                <w:szCs w:val="24"/>
              </w:rPr>
              <w:t>that meet ACAP criteria</w:t>
            </w:r>
          </w:p>
        </w:tc>
      </w:tr>
      <w:tr w:rsidR="00302234" w:rsidRPr="000E4EAF" w14:paraId="196F2972" w14:textId="77777777" w:rsidTr="00FB2060">
        <w:trPr>
          <w:trHeight w:val="300"/>
        </w:trPr>
        <w:tc>
          <w:tcPr>
            <w:tcW w:w="697" w:type="dxa"/>
            <w:noWrap/>
            <w:vAlign w:val="center"/>
            <w:hideMark/>
          </w:tcPr>
          <w:p w14:paraId="60C476D4" w14:textId="426290B8" w:rsidR="00302234" w:rsidRPr="00AE79C1" w:rsidRDefault="00302234" w:rsidP="00302234">
            <w:pPr>
              <w:spacing w:after="0"/>
              <w:ind w:left="0"/>
              <w:jc w:val="center"/>
              <w:rPr>
                <w:rFonts w:cs="Calibri"/>
                <w:color w:val="000000"/>
                <w:szCs w:val="24"/>
              </w:rPr>
            </w:pPr>
            <w:r w:rsidRPr="00AE79C1">
              <w:rPr>
                <w:rFonts w:cs="Calibri"/>
                <w:color w:val="000000"/>
                <w:szCs w:val="24"/>
              </w:rPr>
              <w:t>52</w:t>
            </w:r>
          </w:p>
        </w:tc>
        <w:tc>
          <w:tcPr>
            <w:tcW w:w="1661" w:type="dxa"/>
            <w:noWrap/>
            <w:vAlign w:val="center"/>
          </w:tcPr>
          <w:p w14:paraId="6C0F84DF" w14:textId="6A12EAED" w:rsidR="00302234" w:rsidRPr="00AE79C1" w:rsidRDefault="00302234" w:rsidP="00302234">
            <w:pPr>
              <w:spacing w:after="0"/>
              <w:ind w:left="0"/>
              <w:rPr>
                <w:rFonts w:cs="Calibri"/>
                <w:color w:val="000000"/>
                <w:szCs w:val="24"/>
              </w:rPr>
            </w:pPr>
            <w:r w:rsidRPr="00AE79C1">
              <w:rPr>
                <w:rFonts w:cs="Calibri"/>
                <w:color w:val="000000"/>
                <w:szCs w:val="24"/>
              </w:rPr>
              <w:t>Daily</w:t>
            </w:r>
          </w:p>
        </w:tc>
        <w:tc>
          <w:tcPr>
            <w:tcW w:w="2390" w:type="dxa"/>
            <w:noWrap/>
            <w:vAlign w:val="center"/>
          </w:tcPr>
          <w:p w14:paraId="2A694165" w14:textId="1E9F6932" w:rsidR="00302234" w:rsidRPr="00AE79C1" w:rsidRDefault="00234E03" w:rsidP="00302234">
            <w:pPr>
              <w:spacing w:after="0"/>
              <w:ind w:left="0"/>
              <w:rPr>
                <w:rFonts w:cs="Calibri"/>
                <w:color w:val="000000"/>
                <w:szCs w:val="24"/>
              </w:rPr>
            </w:pPr>
            <w:r>
              <w:rPr>
                <w:rFonts w:cs="Calibri"/>
                <w:color w:val="000000"/>
                <w:szCs w:val="24"/>
              </w:rPr>
              <w:t>O</w:t>
            </w:r>
            <w:r w:rsidRPr="00AE79C1">
              <w:rPr>
                <w:rFonts w:cs="Calibri"/>
                <w:color w:val="000000"/>
                <w:szCs w:val="24"/>
              </w:rPr>
              <w:t xml:space="preserve">fficer </w:t>
            </w:r>
            <w:r>
              <w:rPr>
                <w:rFonts w:cs="Calibri"/>
                <w:color w:val="000000"/>
                <w:szCs w:val="24"/>
              </w:rPr>
              <w:t>L</w:t>
            </w:r>
            <w:r w:rsidRPr="00AE79C1">
              <w:rPr>
                <w:rFonts w:cs="Calibri"/>
                <w:color w:val="000000"/>
                <w:szCs w:val="24"/>
              </w:rPr>
              <w:t>iability Default Notices Edits</w:t>
            </w:r>
          </w:p>
        </w:tc>
        <w:tc>
          <w:tcPr>
            <w:tcW w:w="6554" w:type="dxa"/>
            <w:vAlign w:val="center"/>
          </w:tcPr>
          <w:p w14:paraId="22FE8633" w14:textId="1A9E366D" w:rsidR="00302234" w:rsidRPr="00AE79C1" w:rsidRDefault="00302234" w:rsidP="00302234">
            <w:pPr>
              <w:spacing w:after="0"/>
              <w:ind w:left="0"/>
              <w:rPr>
                <w:rFonts w:cs="Calibri"/>
                <w:color w:val="000000"/>
                <w:szCs w:val="24"/>
              </w:rPr>
            </w:pPr>
            <w:r w:rsidRPr="00AE79C1">
              <w:rPr>
                <w:rFonts w:cs="Calibri"/>
                <w:color w:val="000000"/>
                <w:szCs w:val="24"/>
              </w:rPr>
              <w:t xml:space="preserve">Officer liability default notices &amp; Successor Liability default notices </w:t>
            </w:r>
          </w:p>
        </w:tc>
      </w:tr>
      <w:tr w:rsidR="00302234" w:rsidRPr="000E4EAF" w14:paraId="0C2CDEAE" w14:textId="77777777" w:rsidTr="00FB2060">
        <w:trPr>
          <w:trHeight w:val="300"/>
        </w:trPr>
        <w:tc>
          <w:tcPr>
            <w:tcW w:w="697" w:type="dxa"/>
            <w:noWrap/>
            <w:vAlign w:val="center"/>
            <w:hideMark/>
          </w:tcPr>
          <w:p w14:paraId="5895C8DD" w14:textId="49751B12" w:rsidR="00302234" w:rsidRPr="00AE79C1" w:rsidRDefault="00302234" w:rsidP="00302234">
            <w:pPr>
              <w:spacing w:after="0"/>
              <w:ind w:left="0"/>
              <w:jc w:val="center"/>
              <w:rPr>
                <w:rFonts w:cs="Calibri"/>
                <w:color w:val="000000"/>
                <w:szCs w:val="24"/>
              </w:rPr>
            </w:pPr>
            <w:r w:rsidRPr="00AE79C1">
              <w:rPr>
                <w:rFonts w:cs="Calibri"/>
                <w:color w:val="000000"/>
                <w:szCs w:val="24"/>
              </w:rPr>
              <w:t>53</w:t>
            </w:r>
          </w:p>
        </w:tc>
        <w:tc>
          <w:tcPr>
            <w:tcW w:w="1661" w:type="dxa"/>
            <w:noWrap/>
            <w:vAlign w:val="center"/>
          </w:tcPr>
          <w:p w14:paraId="0547A6F2" w14:textId="41D497E7" w:rsidR="00302234" w:rsidRPr="00AE79C1" w:rsidRDefault="00302234" w:rsidP="00302234">
            <w:pPr>
              <w:spacing w:after="0"/>
              <w:ind w:left="0"/>
              <w:rPr>
                <w:rFonts w:cs="Calibri"/>
                <w:color w:val="000000"/>
                <w:szCs w:val="24"/>
              </w:rPr>
            </w:pPr>
            <w:r w:rsidRPr="00AE79C1">
              <w:rPr>
                <w:rFonts w:cs="Calibri"/>
                <w:color w:val="000000"/>
                <w:szCs w:val="24"/>
              </w:rPr>
              <w:t>Daily</w:t>
            </w:r>
          </w:p>
        </w:tc>
        <w:tc>
          <w:tcPr>
            <w:tcW w:w="2390" w:type="dxa"/>
            <w:noWrap/>
            <w:vAlign w:val="center"/>
          </w:tcPr>
          <w:p w14:paraId="28DC5188" w14:textId="7950971A" w:rsidR="00302234" w:rsidRPr="00AE79C1" w:rsidRDefault="00234E03" w:rsidP="00302234">
            <w:pPr>
              <w:spacing w:after="0"/>
              <w:ind w:left="0"/>
              <w:rPr>
                <w:rFonts w:cs="Calibri"/>
                <w:color w:val="000000"/>
                <w:szCs w:val="24"/>
              </w:rPr>
            </w:pPr>
            <w:r w:rsidRPr="00AE79C1">
              <w:rPr>
                <w:rFonts w:cs="Calibri"/>
                <w:color w:val="000000"/>
                <w:szCs w:val="24"/>
              </w:rPr>
              <w:t>Report</w:t>
            </w:r>
            <w:r>
              <w:rPr>
                <w:rFonts w:cs="Calibri"/>
                <w:color w:val="000000"/>
                <w:szCs w:val="24"/>
              </w:rPr>
              <w:t>s</w:t>
            </w:r>
            <w:r w:rsidRPr="00AE79C1">
              <w:rPr>
                <w:rFonts w:cs="Calibri"/>
                <w:color w:val="000000"/>
                <w:szCs w:val="24"/>
              </w:rPr>
              <w:t xml:space="preserve"> &amp; Postal Registers</w:t>
            </w:r>
          </w:p>
        </w:tc>
        <w:tc>
          <w:tcPr>
            <w:tcW w:w="6554" w:type="dxa"/>
            <w:vAlign w:val="center"/>
          </w:tcPr>
          <w:p w14:paraId="27308A0D" w14:textId="63F3E147" w:rsidR="00302234" w:rsidRPr="00AE79C1" w:rsidRDefault="00302234" w:rsidP="00302234">
            <w:pPr>
              <w:spacing w:after="0"/>
              <w:ind w:left="0"/>
              <w:rPr>
                <w:rFonts w:cs="Calibri"/>
                <w:color w:val="000000"/>
                <w:szCs w:val="24"/>
              </w:rPr>
            </w:pPr>
            <w:r w:rsidRPr="00AE79C1">
              <w:rPr>
                <w:rFonts w:cs="Calibri"/>
                <w:color w:val="000000"/>
                <w:szCs w:val="24"/>
              </w:rPr>
              <w:t>Input/edit reports and postal registers</w:t>
            </w:r>
          </w:p>
        </w:tc>
      </w:tr>
      <w:tr w:rsidR="00302234" w:rsidRPr="000E4EAF" w14:paraId="63572826" w14:textId="77777777" w:rsidTr="00FB2060">
        <w:trPr>
          <w:trHeight w:val="300"/>
        </w:trPr>
        <w:tc>
          <w:tcPr>
            <w:tcW w:w="697" w:type="dxa"/>
            <w:noWrap/>
            <w:vAlign w:val="center"/>
            <w:hideMark/>
          </w:tcPr>
          <w:p w14:paraId="30677767" w14:textId="03F1DADB" w:rsidR="00302234" w:rsidRPr="00AE79C1" w:rsidRDefault="00302234" w:rsidP="00302234">
            <w:pPr>
              <w:spacing w:after="0"/>
              <w:ind w:left="0"/>
              <w:jc w:val="center"/>
              <w:rPr>
                <w:rFonts w:cs="Calibri"/>
                <w:color w:val="000000"/>
                <w:szCs w:val="24"/>
              </w:rPr>
            </w:pPr>
            <w:r w:rsidRPr="00AE79C1">
              <w:rPr>
                <w:rFonts w:cs="Calibri"/>
                <w:color w:val="000000"/>
                <w:szCs w:val="24"/>
              </w:rPr>
              <w:t>54</w:t>
            </w:r>
          </w:p>
        </w:tc>
        <w:tc>
          <w:tcPr>
            <w:tcW w:w="1661" w:type="dxa"/>
            <w:noWrap/>
            <w:vAlign w:val="center"/>
          </w:tcPr>
          <w:p w14:paraId="0C5C7B1F" w14:textId="57949659" w:rsidR="00302234" w:rsidRPr="00AE79C1" w:rsidRDefault="00302234" w:rsidP="00302234">
            <w:pPr>
              <w:spacing w:after="0"/>
              <w:ind w:left="0"/>
              <w:rPr>
                <w:rFonts w:cs="Calibri"/>
                <w:color w:val="000000"/>
                <w:szCs w:val="24"/>
              </w:rPr>
            </w:pPr>
            <w:r w:rsidRPr="00AE79C1">
              <w:rPr>
                <w:rFonts w:cs="Calibri"/>
                <w:color w:val="000000"/>
                <w:szCs w:val="24"/>
              </w:rPr>
              <w:t>Daily</w:t>
            </w:r>
          </w:p>
        </w:tc>
        <w:tc>
          <w:tcPr>
            <w:tcW w:w="2390" w:type="dxa"/>
            <w:noWrap/>
            <w:vAlign w:val="center"/>
          </w:tcPr>
          <w:p w14:paraId="52EBF96D" w14:textId="463DA117" w:rsidR="00302234" w:rsidRPr="00AE79C1" w:rsidRDefault="00302234" w:rsidP="00302234">
            <w:pPr>
              <w:spacing w:after="0"/>
              <w:ind w:left="0"/>
              <w:rPr>
                <w:rFonts w:cs="Calibri"/>
                <w:color w:val="000000"/>
                <w:szCs w:val="24"/>
              </w:rPr>
            </w:pPr>
            <w:r w:rsidRPr="00AE79C1">
              <w:rPr>
                <w:rFonts w:cs="Calibri"/>
                <w:color w:val="000000"/>
                <w:szCs w:val="24"/>
              </w:rPr>
              <w:t xml:space="preserve">ER </w:t>
            </w:r>
            <w:r w:rsidR="00150C74" w:rsidRPr="00AE79C1">
              <w:rPr>
                <w:rFonts w:cs="Calibri"/>
                <w:color w:val="000000"/>
                <w:szCs w:val="24"/>
              </w:rPr>
              <w:t>default notices</w:t>
            </w:r>
          </w:p>
        </w:tc>
        <w:tc>
          <w:tcPr>
            <w:tcW w:w="6554" w:type="dxa"/>
            <w:vAlign w:val="center"/>
          </w:tcPr>
          <w:p w14:paraId="41CCA809" w14:textId="256BFA63" w:rsidR="00302234" w:rsidRPr="00AE79C1" w:rsidRDefault="00302234" w:rsidP="00302234">
            <w:pPr>
              <w:spacing w:after="0"/>
              <w:ind w:left="0"/>
              <w:rPr>
                <w:rFonts w:cs="Calibri"/>
                <w:color w:val="000000"/>
                <w:szCs w:val="24"/>
              </w:rPr>
            </w:pPr>
            <w:r w:rsidRPr="00AE79C1">
              <w:rPr>
                <w:rFonts w:cs="Calibri"/>
                <w:color w:val="000000"/>
                <w:szCs w:val="24"/>
              </w:rPr>
              <w:t>Cover sheet mailings and file copy of Default Notices</w:t>
            </w:r>
          </w:p>
        </w:tc>
      </w:tr>
      <w:tr w:rsidR="00302234" w:rsidRPr="000E4EAF" w14:paraId="207E1E99" w14:textId="77777777" w:rsidTr="00FB2060">
        <w:trPr>
          <w:trHeight w:val="300"/>
        </w:trPr>
        <w:tc>
          <w:tcPr>
            <w:tcW w:w="697" w:type="dxa"/>
            <w:noWrap/>
            <w:vAlign w:val="center"/>
            <w:hideMark/>
          </w:tcPr>
          <w:p w14:paraId="21AC3391" w14:textId="0984C1F0" w:rsidR="00302234" w:rsidRPr="00AE79C1" w:rsidRDefault="00302234" w:rsidP="00302234">
            <w:pPr>
              <w:spacing w:after="0"/>
              <w:ind w:left="0"/>
              <w:jc w:val="center"/>
              <w:rPr>
                <w:rFonts w:cs="Calibri"/>
                <w:color w:val="000000"/>
                <w:szCs w:val="24"/>
              </w:rPr>
            </w:pPr>
            <w:r w:rsidRPr="00AE79C1">
              <w:rPr>
                <w:rFonts w:cs="Calibri"/>
                <w:color w:val="000000"/>
                <w:szCs w:val="24"/>
              </w:rPr>
              <w:t>55</w:t>
            </w:r>
          </w:p>
        </w:tc>
        <w:tc>
          <w:tcPr>
            <w:tcW w:w="1661" w:type="dxa"/>
            <w:noWrap/>
            <w:vAlign w:val="center"/>
          </w:tcPr>
          <w:p w14:paraId="6642FB85" w14:textId="2E686634" w:rsidR="00302234" w:rsidRPr="00AE79C1" w:rsidRDefault="00302234" w:rsidP="00302234">
            <w:pPr>
              <w:spacing w:after="0"/>
              <w:ind w:left="0"/>
              <w:rPr>
                <w:rFonts w:cs="Calibri"/>
                <w:color w:val="000000"/>
                <w:szCs w:val="24"/>
              </w:rPr>
            </w:pPr>
            <w:r w:rsidRPr="00AE79C1">
              <w:rPr>
                <w:rFonts w:cs="Calibri"/>
                <w:color w:val="000000"/>
                <w:szCs w:val="24"/>
              </w:rPr>
              <w:t>Daily</w:t>
            </w:r>
          </w:p>
        </w:tc>
        <w:tc>
          <w:tcPr>
            <w:tcW w:w="2390" w:type="dxa"/>
            <w:noWrap/>
            <w:vAlign w:val="center"/>
          </w:tcPr>
          <w:p w14:paraId="32B7FFD9" w14:textId="2D5840F1" w:rsidR="00302234" w:rsidRPr="00AE79C1" w:rsidRDefault="005A6CE6" w:rsidP="00302234">
            <w:pPr>
              <w:spacing w:after="0"/>
              <w:ind w:left="0"/>
              <w:rPr>
                <w:rFonts w:cs="Calibri"/>
                <w:color w:val="000000"/>
                <w:szCs w:val="24"/>
              </w:rPr>
            </w:pPr>
            <w:r w:rsidRPr="00AE79C1">
              <w:rPr>
                <w:rFonts w:cs="Calibri"/>
                <w:color w:val="000000"/>
                <w:szCs w:val="24"/>
              </w:rPr>
              <w:t>Successor Liability Default Notices</w:t>
            </w:r>
          </w:p>
        </w:tc>
        <w:tc>
          <w:tcPr>
            <w:tcW w:w="6554" w:type="dxa"/>
            <w:vAlign w:val="center"/>
          </w:tcPr>
          <w:p w14:paraId="57DEFC33" w14:textId="3AD79B2B" w:rsidR="00302234" w:rsidRPr="00AE79C1" w:rsidRDefault="00302234" w:rsidP="00302234">
            <w:pPr>
              <w:spacing w:after="0"/>
              <w:ind w:left="0"/>
              <w:rPr>
                <w:rFonts w:cs="Calibri"/>
                <w:color w:val="000000"/>
                <w:szCs w:val="24"/>
              </w:rPr>
            </w:pPr>
            <w:r w:rsidRPr="00AE79C1">
              <w:rPr>
                <w:rFonts w:cs="Calibri"/>
                <w:color w:val="000000"/>
                <w:szCs w:val="24"/>
              </w:rPr>
              <w:t>Officer liability Default Notices and file copies</w:t>
            </w:r>
          </w:p>
        </w:tc>
      </w:tr>
      <w:tr w:rsidR="00302234" w:rsidRPr="000E4EAF" w14:paraId="476726C4" w14:textId="77777777" w:rsidTr="00FB2060">
        <w:trPr>
          <w:trHeight w:val="600"/>
        </w:trPr>
        <w:tc>
          <w:tcPr>
            <w:tcW w:w="697" w:type="dxa"/>
            <w:noWrap/>
            <w:vAlign w:val="center"/>
            <w:hideMark/>
          </w:tcPr>
          <w:p w14:paraId="2168A6E8" w14:textId="2DD46CEF" w:rsidR="00302234" w:rsidRPr="00AE79C1" w:rsidRDefault="00302234" w:rsidP="00302234">
            <w:pPr>
              <w:spacing w:after="0"/>
              <w:ind w:left="0"/>
              <w:jc w:val="center"/>
              <w:rPr>
                <w:rFonts w:cs="Calibri"/>
                <w:color w:val="000000"/>
                <w:szCs w:val="24"/>
              </w:rPr>
            </w:pPr>
            <w:r w:rsidRPr="00AE79C1">
              <w:rPr>
                <w:rFonts w:cs="Calibri"/>
                <w:color w:val="000000"/>
                <w:szCs w:val="24"/>
              </w:rPr>
              <w:t>56</w:t>
            </w:r>
          </w:p>
        </w:tc>
        <w:tc>
          <w:tcPr>
            <w:tcW w:w="1661" w:type="dxa"/>
            <w:noWrap/>
            <w:vAlign w:val="center"/>
          </w:tcPr>
          <w:p w14:paraId="46D7C528" w14:textId="5519E59B" w:rsidR="00302234" w:rsidRPr="00AE79C1" w:rsidRDefault="00302234" w:rsidP="00302234">
            <w:pPr>
              <w:spacing w:after="0"/>
              <w:ind w:left="0"/>
              <w:rPr>
                <w:rFonts w:cs="Calibri"/>
                <w:color w:val="000000"/>
                <w:szCs w:val="24"/>
              </w:rPr>
            </w:pPr>
            <w:r w:rsidRPr="00AE79C1">
              <w:rPr>
                <w:rFonts w:cs="Calibri"/>
                <w:color w:val="000000"/>
                <w:szCs w:val="24"/>
              </w:rPr>
              <w:t>Daily</w:t>
            </w:r>
          </w:p>
        </w:tc>
        <w:tc>
          <w:tcPr>
            <w:tcW w:w="2390" w:type="dxa"/>
            <w:vAlign w:val="center"/>
          </w:tcPr>
          <w:p w14:paraId="5EB3762E" w14:textId="7AB0F9CF" w:rsidR="00302234" w:rsidRPr="00AE79C1" w:rsidRDefault="005A6CE6" w:rsidP="00302234">
            <w:pPr>
              <w:spacing w:after="0"/>
              <w:ind w:left="0"/>
              <w:rPr>
                <w:rFonts w:cs="Calibri"/>
                <w:color w:val="000000"/>
                <w:szCs w:val="24"/>
              </w:rPr>
            </w:pPr>
            <w:r w:rsidRPr="00AE79C1">
              <w:rPr>
                <w:rFonts w:cs="Calibri"/>
                <w:color w:val="000000"/>
                <w:szCs w:val="24"/>
              </w:rPr>
              <w:t>Successor Liability Report</w:t>
            </w:r>
            <w:r>
              <w:rPr>
                <w:rFonts w:cs="Calibri"/>
                <w:color w:val="000000"/>
                <w:szCs w:val="24"/>
              </w:rPr>
              <w:t>s</w:t>
            </w:r>
          </w:p>
        </w:tc>
        <w:tc>
          <w:tcPr>
            <w:tcW w:w="6554" w:type="dxa"/>
            <w:vAlign w:val="center"/>
          </w:tcPr>
          <w:p w14:paraId="25C9BD12" w14:textId="1C605F4D" w:rsidR="00302234" w:rsidRPr="00AE79C1" w:rsidRDefault="00302234" w:rsidP="00302234">
            <w:pPr>
              <w:spacing w:after="0"/>
              <w:ind w:left="0"/>
              <w:rPr>
                <w:rFonts w:cs="Calibri"/>
                <w:color w:val="000000"/>
                <w:szCs w:val="24"/>
              </w:rPr>
            </w:pPr>
            <w:r w:rsidRPr="00AE79C1">
              <w:rPr>
                <w:rFonts w:cs="Calibri"/>
                <w:color w:val="000000"/>
                <w:szCs w:val="24"/>
              </w:rPr>
              <w:t>Successor Liability Default Notices and file copies</w:t>
            </w:r>
          </w:p>
        </w:tc>
      </w:tr>
      <w:tr w:rsidR="00302234" w:rsidRPr="000E4EAF" w14:paraId="0624A50E" w14:textId="77777777" w:rsidTr="00FB2060">
        <w:trPr>
          <w:trHeight w:val="300"/>
        </w:trPr>
        <w:tc>
          <w:tcPr>
            <w:tcW w:w="697" w:type="dxa"/>
            <w:noWrap/>
            <w:vAlign w:val="center"/>
            <w:hideMark/>
          </w:tcPr>
          <w:p w14:paraId="5B471521" w14:textId="16BD6EA4" w:rsidR="00302234" w:rsidRPr="00AE79C1" w:rsidRDefault="00302234" w:rsidP="00302234">
            <w:pPr>
              <w:spacing w:after="0"/>
              <w:ind w:left="0"/>
              <w:jc w:val="center"/>
              <w:rPr>
                <w:rFonts w:cs="Calibri"/>
                <w:color w:val="000000"/>
                <w:szCs w:val="24"/>
              </w:rPr>
            </w:pPr>
            <w:r w:rsidRPr="00AE79C1">
              <w:rPr>
                <w:rFonts w:cs="Calibri"/>
                <w:color w:val="000000"/>
                <w:szCs w:val="24"/>
              </w:rPr>
              <w:t>57</w:t>
            </w:r>
          </w:p>
        </w:tc>
        <w:tc>
          <w:tcPr>
            <w:tcW w:w="1661" w:type="dxa"/>
            <w:noWrap/>
            <w:vAlign w:val="center"/>
          </w:tcPr>
          <w:p w14:paraId="51026A5B" w14:textId="5A1B5535" w:rsidR="00302234" w:rsidRPr="00AE79C1" w:rsidRDefault="00302234" w:rsidP="00302234">
            <w:pPr>
              <w:spacing w:after="0"/>
              <w:ind w:left="0"/>
              <w:rPr>
                <w:rFonts w:cs="Calibri"/>
                <w:color w:val="000000"/>
                <w:szCs w:val="24"/>
              </w:rPr>
            </w:pPr>
            <w:r w:rsidRPr="00AE79C1">
              <w:rPr>
                <w:rFonts w:cs="Calibri"/>
                <w:color w:val="000000"/>
                <w:szCs w:val="24"/>
              </w:rPr>
              <w:t>Daily</w:t>
            </w:r>
          </w:p>
        </w:tc>
        <w:tc>
          <w:tcPr>
            <w:tcW w:w="2390" w:type="dxa"/>
            <w:noWrap/>
            <w:vAlign w:val="center"/>
          </w:tcPr>
          <w:p w14:paraId="64B6F6F4" w14:textId="2A289BCA" w:rsidR="00302234" w:rsidRPr="00AE79C1" w:rsidRDefault="00302234" w:rsidP="00302234">
            <w:pPr>
              <w:spacing w:after="0"/>
              <w:ind w:left="0"/>
              <w:rPr>
                <w:rFonts w:cs="Calibri"/>
                <w:color w:val="000000"/>
                <w:szCs w:val="24"/>
              </w:rPr>
            </w:pPr>
            <w:r w:rsidRPr="00AE79C1">
              <w:rPr>
                <w:rFonts w:cs="Calibri"/>
                <w:color w:val="000000"/>
                <w:szCs w:val="24"/>
              </w:rPr>
              <w:t xml:space="preserve">Pull List for </w:t>
            </w:r>
            <w:r w:rsidR="005A6CE6">
              <w:rPr>
                <w:rFonts w:cs="Calibri"/>
                <w:color w:val="000000"/>
                <w:szCs w:val="24"/>
              </w:rPr>
              <w:t>O</w:t>
            </w:r>
            <w:r w:rsidR="005A6CE6" w:rsidRPr="00AE79C1">
              <w:rPr>
                <w:rFonts w:cs="Calibri"/>
                <w:color w:val="000000"/>
                <w:szCs w:val="24"/>
              </w:rPr>
              <w:t xml:space="preserve">fficer </w:t>
            </w:r>
            <w:r w:rsidR="005A6CE6">
              <w:rPr>
                <w:rFonts w:cs="Calibri"/>
                <w:color w:val="000000"/>
                <w:szCs w:val="24"/>
              </w:rPr>
              <w:t>L</w:t>
            </w:r>
            <w:r w:rsidR="005A6CE6" w:rsidRPr="00AE79C1">
              <w:rPr>
                <w:rFonts w:cs="Calibri"/>
                <w:color w:val="000000"/>
                <w:szCs w:val="24"/>
              </w:rPr>
              <w:t xml:space="preserve">iability </w:t>
            </w:r>
            <w:r w:rsidR="0021479B">
              <w:rPr>
                <w:rFonts w:cs="Calibri"/>
                <w:color w:val="000000"/>
                <w:szCs w:val="24"/>
              </w:rPr>
              <w:t>(D</w:t>
            </w:r>
            <w:r w:rsidRPr="00AE79C1">
              <w:rPr>
                <w:rFonts w:cs="Calibri"/>
                <w:color w:val="000000"/>
                <w:szCs w:val="24"/>
              </w:rPr>
              <w:t>ay 49)</w:t>
            </w:r>
          </w:p>
        </w:tc>
        <w:tc>
          <w:tcPr>
            <w:tcW w:w="6554" w:type="dxa"/>
            <w:vAlign w:val="center"/>
          </w:tcPr>
          <w:p w14:paraId="5A2CDCEF" w14:textId="573699D4" w:rsidR="00302234" w:rsidRPr="00AE79C1" w:rsidRDefault="00302234" w:rsidP="00302234">
            <w:pPr>
              <w:spacing w:after="0"/>
              <w:ind w:left="0"/>
              <w:rPr>
                <w:rFonts w:cs="Calibri"/>
                <w:color w:val="000000"/>
                <w:szCs w:val="24"/>
              </w:rPr>
            </w:pPr>
            <w:r w:rsidRPr="00AE79C1">
              <w:rPr>
                <w:rFonts w:cs="Calibri"/>
                <w:color w:val="000000"/>
                <w:szCs w:val="24"/>
              </w:rPr>
              <w:t>Provides list of corporate accounts that meet criteria for assessment action.</w:t>
            </w:r>
            <w:r w:rsidR="00EE5622">
              <w:rPr>
                <w:rFonts w:cs="Calibri"/>
                <w:color w:val="000000"/>
                <w:szCs w:val="24"/>
              </w:rPr>
              <w:t xml:space="preserve"> </w:t>
            </w:r>
            <w:r w:rsidRPr="00AE79C1">
              <w:rPr>
                <w:rFonts w:cs="Calibri"/>
                <w:color w:val="000000"/>
                <w:szCs w:val="24"/>
              </w:rPr>
              <w:t>This is prior to day 84 list so that we may identify accounts early that may have officer liability</w:t>
            </w:r>
          </w:p>
        </w:tc>
      </w:tr>
      <w:tr w:rsidR="00302234" w:rsidRPr="000E4EAF" w14:paraId="4A1E766C" w14:textId="77777777" w:rsidTr="00FB2060">
        <w:trPr>
          <w:trHeight w:val="300"/>
        </w:trPr>
        <w:tc>
          <w:tcPr>
            <w:tcW w:w="697" w:type="dxa"/>
            <w:noWrap/>
            <w:vAlign w:val="center"/>
            <w:hideMark/>
          </w:tcPr>
          <w:p w14:paraId="46DCB099" w14:textId="4A902BAB" w:rsidR="00302234" w:rsidRPr="00AE79C1" w:rsidRDefault="00302234" w:rsidP="00302234">
            <w:pPr>
              <w:spacing w:after="0"/>
              <w:ind w:left="0"/>
              <w:jc w:val="center"/>
              <w:rPr>
                <w:rFonts w:cs="Calibri"/>
                <w:color w:val="000000"/>
                <w:szCs w:val="24"/>
              </w:rPr>
            </w:pPr>
            <w:r w:rsidRPr="00AE79C1">
              <w:rPr>
                <w:rFonts w:cs="Calibri"/>
                <w:color w:val="000000"/>
                <w:szCs w:val="24"/>
              </w:rPr>
              <w:t>58</w:t>
            </w:r>
          </w:p>
        </w:tc>
        <w:tc>
          <w:tcPr>
            <w:tcW w:w="1661" w:type="dxa"/>
            <w:noWrap/>
            <w:vAlign w:val="center"/>
          </w:tcPr>
          <w:p w14:paraId="1B6FC55C" w14:textId="4A7AEC74" w:rsidR="00302234" w:rsidRPr="00AE79C1" w:rsidRDefault="00302234" w:rsidP="00302234">
            <w:pPr>
              <w:spacing w:after="0"/>
              <w:ind w:left="0"/>
              <w:rPr>
                <w:rFonts w:cs="Calibri"/>
                <w:color w:val="000000"/>
                <w:szCs w:val="24"/>
              </w:rPr>
            </w:pPr>
            <w:r w:rsidRPr="00AE79C1">
              <w:rPr>
                <w:rFonts w:cs="Calibri"/>
                <w:color w:val="000000"/>
                <w:szCs w:val="24"/>
              </w:rPr>
              <w:t>Daily</w:t>
            </w:r>
          </w:p>
        </w:tc>
        <w:tc>
          <w:tcPr>
            <w:tcW w:w="2390" w:type="dxa"/>
            <w:noWrap/>
            <w:vAlign w:val="center"/>
          </w:tcPr>
          <w:p w14:paraId="29F323DA" w14:textId="64282786" w:rsidR="00302234" w:rsidRPr="00AE79C1" w:rsidRDefault="00140813" w:rsidP="00302234">
            <w:pPr>
              <w:spacing w:after="0"/>
              <w:ind w:left="0"/>
              <w:rPr>
                <w:rFonts w:cs="Calibri"/>
                <w:color w:val="000000"/>
                <w:szCs w:val="24"/>
              </w:rPr>
            </w:pPr>
            <w:r w:rsidRPr="00AE79C1">
              <w:rPr>
                <w:rFonts w:cs="Calibri"/>
                <w:color w:val="000000"/>
                <w:szCs w:val="24"/>
              </w:rPr>
              <w:t>Edit List</w:t>
            </w:r>
          </w:p>
        </w:tc>
        <w:tc>
          <w:tcPr>
            <w:tcW w:w="6554" w:type="dxa"/>
            <w:vAlign w:val="center"/>
          </w:tcPr>
          <w:p w14:paraId="6FB33C55" w14:textId="3C5C1124" w:rsidR="00302234" w:rsidRPr="00AE79C1" w:rsidRDefault="00302234" w:rsidP="00302234">
            <w:pPr>
              <w:spacing w:after="0"/>
              <w:ind w:left="0"/>
              <w:rPr>
                <w:rFonts w:cs="Calibri"/>
                <w:color w:val="000000"/>
                <w:szCs w:val="24"/>
              </w:rPr>
            </w:pPr>
            <w:r w:rsidRPr="00AE79C1">
              <w:rPr>
                <w:rFonts w:cs="Calibri"/>
                <w:color w:val="000000"/>
                <w:szCs w:val="24"/>
              </w:rPr>
              <w:t>List of items where lien could not be produced and issue that system no</w:t>
            </w:r>
            <w:r w:rsidR="00407158">
              <w:rPr>
                <w:rFonts w:cs="Calibri"/>
                <w:color w:val="000000"/>
                <w:szCs w:val="24"/>
              </w:rPr>
              <w:t>ted that prevented the printing</w:t>
            </w:r>
          </w:p>
        </w:tc>
      </w:tr>
      <w:tr w:rsidR="00302234" w:rsidRPr="000E4EAF" w14:paraId="0B5CF2DF" w14:textId="77777777" w:rsidTr="00FB2060">
        <w:trPr>
          <w:trHeight w:val="300"/>
        </w:trPr>
        <w:tc>
          <w:tcPr>
            <w:tcW w:w="697" w:type="dxa"/>
            <w:noWrap/>
            <w:vAlign w:val="center"/>
            <w:hideMark/>
          </w:tcPr>
          <w:p w14:paraId="0DB1FCA8" w14:textId="3C467BBB" w:rsidR="00302234" w:rsidRPr="00AE79C1" w:rsidRDefault="00302234" w:rsidP="00302234">
            <w:pPr>
              <w:spacing w:after="0"/>
              <w:ind w:left="0"/>
              <w:jc w:val="center"/>
              <w:rPr>
                <w:rFonts w:cs="Calibri"/>
                <w:color w:val="000000"/>
                <w:szCs w:val="24"/>
              </w:rPr>
            </w:pPr>
            <w:r w:rsidRPr="00AE79C1">
              <w:rPr>
                <w:rFonts w:cs="Calibri"/>
                <w:color w:val="000000"/>
                <w:szCs w:val="24"/>
              </w:rPr>
              <w:t>59</w:t>
            </w:r>
          </w:p>
        </w:tc>
        <w:tc>
          <w:tcPr>
            <w:tcW w:w="1661" w:type="dxa"/>
            <w:noWrap/>
            <w:vAlign w:val="center"/>
          </w:tcPr>
          <w:p w14:paraId="00367055" w14:textId="528BFF41" w:rsidR="00302234" w:rsidRPr="00AE79C1" w:rsidRDefault="00302234" w:rsidP="00302234">
            <w:pPr>
              <w:spacing w:after="0"/>
              <w:ind w:left="0"/>
              <w:rPr>
                <w:rFonts w:cs="Calibri"/>
                <w:color w:val="000000"/>
                <w:szCs w:val="24"/>
              </w:rPr>
            </w:pPr>
            <w:r w:rsidRPr="00AE79C1">
              <w:rPr>
                <w:rFonts w:cs="Calibri"/>
                <w:color w:val="000000"/>
                <w:szCs w:val="24"/>
              </w:rPr>
              <w:t>Daily</w:t>
            </w:r>
          </w:p>
        </w:tc>
        <w:tc>
          <w:tcPr>
            <w:tcW w:w="2390" w:type="dxa"/>
            <w:noWrap/>
            <w:vAlign w:val="center"/>
          </w:tcPr>
          <w:p w14:paraId="4380224E" w14:textId="3C60821B" w:rsidR="00302234" w:rsidRPr="00AE79C1" w:rsidRDefault="00140813" w:rsidP="00302234">
            <w:pPr>
              <w:spacing w:after="0"/>
              <w:ind w:left="0"/>
              <w:rPr>
                <w:rFonts w:cs="Calibri"/>
                <w:color w:val="000000"/>
                <w:szCs w:val="24"/>
              </w:rPr>
            </w:pPr>
            <w:r w:rsidRPr="00AE79C1">
              <w:rPr>
                <w:rFonts w:cs="Calibri"/>
                <w:color w:val="000000"/>
                <w:szCs w:val="24"/>
              </w:rPr>
              <w:t>Tax Lien Docs</w:t>
            </w:r>
          </w:p>
        </w:tc>
        <w:tc>
          <w:tcPr>
            <w:tcW w:w="6554" w:type="dxa"/>
            <w:vAlign w:val="center"/>
          </w:tcPr>
          <w:p w14:paraId="25B0D15F" w14:textId="5B4407F0" w:rsidR="00302234" w:rsidRPr="00AE79C1" w:rsidRDefault="00302234" w:rsidP="00302234">
            <w:pPr>
              <w:spacing w:after="0"/>
              <w:ind w:left="0"/>
              <w:rPr>
                <w:rFonts w:cs="Calibri"/>
                <w:color w:val="000000"/>
                <w:szCs w:val="24"/>
              </w:rPr>
            </w:pPr>
            <w:r w:rsidRPr="00AE79C1">
              <w:rPr>
                <w:rFonts w:cs="Calibri"/>
                <w:color w:val="000000"/>
                <w:szCs w:val="24"/>
              </w:rPr>
              <w:t xml:space="preserve">System and AE produced Tax Lien documents produced </w:t>
            </w:r>
          </w:p>
        </w:tc>
      </w:tr>
      <w:tr w:rsidR="00302234" w:rsidRPr="000E4EAF" w14:paraId="1A38A7E9" w14:textId="77777777" w:rsidTr="00FB2060">
        <w:trPr>
          <w:trHeight w:val="300"/>
        </w:trPr>
        <w:tc>
          <w:tcPr>
            <w:tcW w:w="697" w:type="dxa"/>
            <w:noWrap/>
            <w:vAlign w:val="center"/>
            <w:hideMark/>
          </w:tcPr>
          <w:p w14:paraId="07DE01D3" w14:textId="2C45C7F7" w:rsidR="00302234" w:rsidRPr="00AE79C1" w:rsidRDefault="00302234" w:rsidP="00302234">
            <w:pPr>
              <w:spacing w:after="0"/>
              <w:ind w:left="0"/>
              <w:jc w:val="center"/>
              <w:rPr>
                <w:rFonts w:cs="Calibri"/>
                <w:color w:val="000000"/>
                <w:szCs w:val="24"/>
              </w:rPr>
            </w:pPr>
            <w:r w:rsidRPr="00AE79C1">
              <w:rPr>
                <w:rFonts w:cs="Calibri"/>
                <w:color w:val="000000"/>
                <w:szCs w:val="24"/>
              </w:rPr>
              <w:t>60</w:t>
            </w:r>
          </w:p>
        </w:tc>
        <w:tc>
          <w:tcPr>
            <w:tcW w:w="1661" w:type="dxa"/>
            <w:noWrap/>
            <w:vAlign w:val="center"/>
          </w:tcPr>
          <w:p w14:paraId="6AF8A097" w14:textId="58106B6F" w:rsidR="00302234" w:rsidRPr="00AE79C1" w:rsidRDefault="00302234" w:rsidP="00302234">
            <w:pPr>
              <w:spacing w:after="0"/>
              <w:ind w:left="0"/>
              <w:rPr>
                <w:rFonts w:cs="Calibri"/>
                <w:color w:val="000000"/>
                <w:szCs w:val="24"/>
              </w:rPr>
            </w:pPr>
            <w:r w:rsidRPr="00AE79C1">
              <w:rPr>
                <w:rFonts w:cs="Calibri"/>
                <w:color w:val="000000"/>
                <w:szCs w:val="24"/>
              </w:rPr>
              <w:t>Daily</w:t>
            </w:r>
          </w:p>
        </w:tc>
        <w:tc>
          <w:tcPr>
            <w:tcW w:w="2390" w:type="dxa"/>
            <w:noWrap/>
            <w:vAlign w:val="center"/>
          </w:tcPr>
          <w:p w14:paraId="5F35AFBF" w14:textId="11881257" w:rsidR="00302234" w:rsidRPr="00AE79C1" w:rsidRDefault="004148FC" w:rsidP="00302234">
            <w:pPr>
              <w:spacing w:after="0"/>
              <w:ind w:left="0"/>
              <w:rPr>
                <w:rFonts w:cs="Calibri"/>
                <w:color w:val="000000"/>
                <w:szCs w:val="24"/>
              </w:rPr>
            </w:pPr>
            <w:r>
              <w:rPr>
                <w:rFonts w:cs="Calibri"/>
                <w:color w:val="000000"/>
                <w:szCs w:val="24"/>
              </w:rPr>
              <w:t>Freeze</w:t>
            </w:r>
            <w:r w:rsidRPr="00AE79C1">
              <w:rPr>
                <w:rFonts w:cs="Calibri"/>
                <w:color w:val="000000"/>
                <w:szCs w:val="24"/>
              </w:rPr>
              <w:t xml:space="preserve"> Edit/</w:t>
            </w:r>
            <w:r>
              <w:rPr>
                <w:rFonts w:cs="Calibri"/>
                <w:color w:val="000000"/>
                <w:szCs w:val="24"/>
              </w:rPr>
              <w:t xml:space="preserve"> Freeze</w:t>
            </w:r>
            <w:r w:rsidRPr="00AE79C1">
              <w:rPr>
                <w:rFonts w:cs="Calibri"/>
                <w:color w:val="000000"/>
                <w:szCs w:val="24"/>
              </w:rPr>
              <w:t xml:space="preserve"> </w:t>
            </w:r>
            <w:r>
              <w:rPr>
                <w:rFonts w:cs="Calibri"/>
                <w:color w:val="000000"/>
                <w:szCs w:val="24"/>
              </w:rPr>
              <w:t>Documents</w:t>
            </w:r>
          </w:p>
        </w:tc>
        <w:tc>
          <w:tcPr>
            <w:tcW w:w="6554" w:type="dxa"/>
            <w:vAlign w:val="center"/>
          </w:tcPr>
          <w:p w14:paraId="29A42BFF" w14:textId="0EF47071" w:rsidR="00302234" w:rsidRPr="00AE79C1" w:rsidRDefault="00302234" w:rsidP="00302234">
            <w:pPr>
              <w:spacing w:after="0"/>
              <w:ind w:left="0"/>
              <w:rPr>
                <w:rFonts w:cs="Calibri"/>
                <w:color w:val="000000"/>
                <w:szCs w:val="24"/>
              </w:rPr>
            </w:pPr>
            <w:r w:rsidRPr="00AE79C1">
              <w:rPr>
                <w:rFonts w:cs="Calibri"/>
                <w:color w:val="000000"/>
                <w:szCs w:val="24"/>
              </w:rPr>
              <w:t xml:space="preserve">System produced report reflecting reason why a </w:t>
            </w:r>
            <w:r w:rsidR="00407158">
              <w:rPr>
                <w:rFonts w:cs="Calibri"/>
                <w:color w:val="000000"/>
                <w:szCs w:val="24"/>
              </w:rPr>
              <w:t>freeze document did not produce</w:t>
            </w:r>
          </w:p>
        </w:tc>
      </w:tr>
      <w:tr w:rsidR="00302234" w:rsidRPr="000E4EAF" w14:paraId="73479B66" w14:textId="77777777" w:rsidTr="00FB2060">
        <w:trPr>
          <w:trHeight w:val="300"/>
        </w:trPr>
        <w:tc>
          <w:tcPr>
            <w:tcW w:w="697" w:type="dxa"/>
            <w:noWrap/>
            <w:vAlign w:val="center"/>
            <w:hideMark/>
          </w:tcPr>
          <w:p w14:paraId="0A8E5A0F" w14:textId="1ED9E7B8" w:rsidR="00302234" w:rsidRPr="00AE79C1" w:rsidRDefault="00302234" w:rsidP="00302234">
            <w:pPr>
              <w:spacing w:after="0"/>
              <w:ind w:left="0"/>
              <w:jc w:val="center"/>
              <w:rPr>
                <w:rFonts w:cs="Calibri"/>
                <w:color w:val="000000"/>
                <w:szCs w:val="24"/>
              </w:rPr>
            </w:pPr>
            <w:r w:rsidRPr="00AE79C1">
              <w:rPr>
                <w:rFonts w:cs="Calibri"/>
                <w:color w:val="000000"/>
                <w:szCs w:val="24"/>
              </w:rPr>
              <w:t>61</w:t>
            </w:r>
          </w:p>
        </w:tc>
        <w:tc>
          <w:tcPr>
            <w:tcW w:w="1661" w:type="dxa"/>
            <w:noWrap/>
            <w:vAlign w:val="center"/>
          </w:tcPr>
          <w:p w14:paraId="12219EB6" w14:textId="397C1092" w:rsidR="00302234" w:rsidRPr="00AE79C1" w:rsidRDefault="00302234" w:rsidP="00302234">
            <w:pPr>
              <w:spacing w:after="0"/>
              <w:ind w:left="0"/>
              <w:rPr>
                <w:rFonts w:cs="Calibri"/>
                <w:color w:val="000000"/>
                <w:szCs w:val="24"/>
              </w:rPr>
            </w:pPr>
            <w:r w:rsidRPr="00AE79C1">
              <w:rPr>
                <w:rFonts w:cs="Calibri"/>
                <w:color w:val="000000"/>
                <w:szCs w:val="24"/>
              </w:rPr>
              <w:t>Daily</w:t>
            </w:r>
          </w:p>
        </w:tc>
        <w:tc>
          <w:tcPr>
            <w:tcW w:w="2390" w:type="dxa"/>
            <w:noWrap/>
            <w:vAlign w:val="center"/>
          </w:tcPr>
          <w:p w14:paraId="2ED25481" w14:textId="372987DD" w:rsidR="00302234" w:rsidRPr="00AE79C1" w:rsidRDefault="00407158" w:rsidP="00302234">
            <w:pPr>
              <w:spacing w:after="0"/>
              <w:ind w:left="0"/>
              <w:rPr>
                <w:rFonts w:cs="Calibri"/>
                <w:color w:val="000000"/>
                <w:szCs w:val="24"/>
              </w:rPr>
            </w:pPr>
            <w:r>
              <w:rPr>
                <w:rFonts w:cs="Calibri"/>
                <w:color w:val="000000"/>
                <w:szCs w:val="24"/>
              </w:rPr>
              <w:t>Freeze</w:t>
            </w:r>
            <w:r w:rsidR="00302234" w:rsidRPr="00AE79C1">
              <w:rPr>
                <w:rFonts w:cs="Calibri"/>
                <w:color w:val="000000"/>
                <w:szCs w:val="24"/>
              </w:rPr>
              <w:t>/</w:t>
            </w:r>
            <w:r>
              <w:rPr>
                <w:rFonts w:cs="Calibri"/>
                <w:color w:val="000000"/>
                <w:szCs w:val="24"/>
              </w:rPr>
              <w:t xml:space="preserve"> </w:t>
            </w:r>
            <w:r w:rsidR="00302234" w:rsidRPr="00AE79C1">
              <w:rPr>
                <w:rFonts w:cs="Calibri"/>
                <w:color w:val="000000"/>
                <w:szCs w:val="24"/>
              </w:rPr>
              <w:t>L</w:t>
            </w:r>
            <w:r>
              <w:rPr>
                <w:rFonts w:cs="Calibri"/>
                <w:color w:val="000000"/>
                <w:szCs w:val="24"/>
              </w:rPr>
              <w:t>evy</w:t>
            </w:r>
            <w:r w:rsidR="00302234" w:rsidRPr="00AE79C1">
              <w:rPr>
                <w:rFonts w:cs="Calibri"/>
                <w:color w:val="000000"/>
                <w:szCs w:val="24"/>
              </w:rPr>
              <w:t xml:space="preserve"> </w:t>
            </w:r>
            <w:r w:rsidRPr="00AE79C1">
              <w:rPr>
                <w:rFonts w:cs="Calibri"/>
                <w:color w:val="000000"/>
                <w:szCs w:val="24"/>
              </w:rPr>
              <w:t>Report</w:t>
            </w:r>
          </w:p>
        </w:tc>
        <w:tc>
          <w:tcPr>
            <w:tcW w:w="6554" w:type="dxa"/>
            <w:vAlign w:val="center"/>
          </w:tcPr>
          <w:p w14:paraId="5600AF08" w14:textId="7BC603DE" w:rsidR="00302234" w:rsidRPr="00AE79C1" w:rsidRDefault="00302234" w:rsidP="00302234">
            <w:pPr>
              <w:spacing w:after="0"/>
              <w:ind w:left="0"/>
              <w:rPr>
                <w:rFonts w:cs="Calibri"/>
                <w:color w:val="000000"/>
                <w:szCs w:val="24"/>
              </w:rPr>
            </w:pPr>
            <w:r w:rsidRPr="00AE79C1">
              <w:rPr>
                <w:rFonts w:cs="Calibri"/>
                <w:color w:val="000000"/>
                <w:szCs w:val="24"/>
              </w:rPr>
              <w:t>System produced report reflecting sta</w:t>
            </w:r>
            <w:r w:rsidR="00407158">
              <w:rPr>
                <w:rFonts w:cs="Calibri"/>
                <w:color w:val="000000"/>
                <w:szCs w:val="24"/>
              </w:rPr>
              <w:t>tus of keyed freezes and levies</w:t>
            </w:r>
          </w:p>
        </w:tc>
      </w:tr>
      <w:tr w:rsidR="00302234" w:rsidRPr="000E4EAF" w14:paraId="5BA1F441" w14:textId="77777777" w:rsidTr="00FB2060">
        <w:trPr>
          <w:trHeight w:val="300"/>
        </w:trPr>
        <w:tc>
          <w:tcPr>
            <w:tcW w:w="697" w:type="dxa"/>
            <w:noWrap/>
            <w:vAlign w:val="center"/>
            <w:hideMark/>
          </w:tcPr>
          <w:p w14:paraId="1D217B90" w14:textId="66E20FE3" w:rsidR="00302234" w:rsidRPr="00AE79C1" w:rsidRDefault="00302234" w:rsidP="00302234">
            <w:pPr>
              <w:spacing w:after="0"/>
              <w:ind w:left="0"/>
              <w:jc w:val="center"/>
              <w:rPr>
                <w:rFonts w:cs="Calibri"/>
                <w:color w:val="000000"/>
                <w:szCs w:val="24"/>
              </w:rPr>
            </w:pPr>
            <w:r w:rsidRPr="00AE79C1">
              <w:rPr>
                <w:rFonts w:cs="Calibri"/>
                <w:color w:val="000000"/>
                <w:szCs w:val="24"/>
              </w:rPr>
              <w:lastRenderedPageBreak/>
              <w:t>62</w:t>
            </w:r>
          </w:p>
        </w:tc>
        <w:tc>
          <w:tcPr>
            <w:tcW w:w="1661" w:type="dxa"/>
            <w:noWrap/>
            <w:vAlign w:val="center"/>
          </w:tcPr>
          <w:p w14:paraId="288DFF2F" w14:textId="40AB00C0" w:rsidR="00302234" w:rsidRPr="00AE79C1" w:rsidRDefault="00302234" w:rsidP="00302234">
            <w:pPr>
              <w:spacing w:after="0"/>
              <w:ind w:left="0"/>
              <w:rPr>
                <w:rFonts w:cs="Calibri"/>
                <w:color w:val="000000"/>
                <w:szCs w:val="24"/>
              </w:rPr>
            </w:pPr>
            <w:r w:rsidRPr="00AE79C1">
              <w:rPr>
                <w:rFonts w:cs="Calibri"/>
                <w:color w:val="000000"/>
                <w:szCs w:val="24"/>
              </w:rPr>
              <w:t>Daily</w:t>
            </w:r>
          </w:p>
        </w:tc>
        <w:tc>
          <w:tcPr>
            <w:tcW w:w="2390" w:type="dxa"/>
            <w:noWrap/>
            <w:vAlign w:val="center"/>
          </w:tcPr>
          <w:p w14:paraId="6A836691" w14:textId="4283D0FD" w:rsidR="00302234" w:rsidRPr="00AE79C1" w:rsidRDefault="00407158" w:rsidP="00302234">
            <w:pPr>
              <w:spacing w:after="0"/>
              <w:ind w:left="0"/>
              <w:rPr>
                <w:rFonts w:cs="Calibri"/>
                <w:color w:val="000000"/>
                <w:szCs w:val="24"/>
              </w:rPr>
            </w:pPr>
            <w:r w:rsidRPr="00AE79C1">
              <w:rPr>
                <w:rFonts w:cs="Calibri"/>
                <w:color w:val="000000"/>
                <w:szCs w:val="24"/>
              </w:rPr>
              <w:t>Levy Edit/Levy Docs</w:t>
            </w:r>
          </w:p>
        </w:tc>
        <w:tc>
          <w:tcPr>
            <w:tcW w:w="6554" w:type="dxa"/>
            <w:vAlign w:val="center"/>
          </w:tcPr>
          <w:p w14:paraId="4E02C73B" w14:textId="0C58612F" w:rsidR="00302234" w:rsidRPr="00AE79C1" w:rsidRDefault="00302234" w:rsidP="00302234">
            <w:pPr>
              <w:spacing w:after="0"/>
              <w:ind w:left="0"/>
              <w:rPr>
                <w:rFonts w:cs="Calibri"/>
                <w:color w:val="000000"/>
                <w:szCs w:val="24"/>
              </w:rPr>
            </w:pPr>
            <w:r w:rsidRPr="00AE79C1">
              <w:rPr>
                <w:rFonts w:cs="Calibri"/>
                <w:color w:val="000000"/>
                <w:szCs w:val="24"/>
              </w:rPr>
              <w:t>System edit list reflecting reason levy did not produced &amp; levy documents</w:t>
            </w:r>
          </w:p>
        </w:tc>
      </w:tr>
      <w:tr w:rsidR="00302234" w:rsidRPr="000E4EAF" w14:paraId="7EF8C69A" w14:textId="77777777" w:rsidTr="00FB2060">
        <w:trPr>
          <w:trHeight w:val="300"/>
        </w:trPr>
        <w:tc>
          <w:tcPr>
            <w:tcW w:w="697" w:type="dxa"/>
            <w:noWrap/>
            <w:vAlign w:val="center"/>
            <w:hideMark/>
          </w:tcPr>
          <w:p w14:paraId="6F2448F0" w14:textId="50F6C8BA" w:rsidR="00302234" w:rsidRPr="00AE79C1" w:rsidRDefault="00302234" w:rsidP="00302234">
            <w:pPr>
              <w:spacing w:after="0"/>
              <w:ind w:left="0"/>
              <w:jc w:val="center"/>
              <w:rPr>
                <w:rFonts w:cs="Calibri"/>
                <w:color w:val="000000"/>
                <w:szCs w:val="24"/>
              </w:rPr>
            </w:pPr>
            <w:r w:rsidRPr="00AE79C1">
              <w:rPr>
                <w:rFonts w:cs="Calibri"/>
                <w:color w:val="000000"/>
                <w:szCs w:val="24"/>
              </w:rPr>
              <w:t>63</w:t>
            </w:r>
          </w:p>
        </w:tc>
        <w:tc>
          <w:tcPr>
            <w:tcW w:w="1661" w:type="dxa"/>
            <w:noWrap/>
            <w:vAlign w:val="center"/>
          </w:tcPr>
          <w:p w14:paraId="5E0F0B88" w14:textId="303559E1" w:rsidR="00302234" w:rsidRPr="00AE79C1" w:rsidRDefault="00302234" w:rsidP="00302234">
            <w:pPr>
              <w:spacing w:after="0"/>
              <w:ind w:left="0"/>
              <w:rPr>
                <w:rFonts w:cs="Calibri"/>
                <w:color w:val="000000"/>
                <w:szCs w:val="24"/>
              </w:rPr>
            </w:pPr>
            <w:r w:rsidRPr="00AE79C1">
              <w:rPr>
                <w:rFonts w:cs="Calibri"/>
                <w:color w:val="000000"/>
                <w:szCs w:val="24"/>
              </w:rPr>
              <w:t>Daily</w:t>
            </w:r>
          </w:p>
        </w:tc>
        <w:tc>
          <w:tcPr>
            <w:tcW w:w="2390" w:type="dxa"/>
            <w:noWrap/>
            <w:vAlign w:val="center"/>
          </w:tcPr>
          <w:p w14:paraId="023A536D" w14:textId="1D9A6163" w:rsidR="00302234" w:rsidRPr="00AE79C1" w:rsidRDefault="00E6267F" w:rsidP="00302234">
            <w:pPr>
              <w:spacing w:after="0"/>
              <w:ind w:left="0"/>
              <w:rPr>
                <w:rFonts w:cs="Calibri"/>
                <w:color w:val="000000"/>
                <w:szCs w:val="24"/>
              </w:rPr>
            </w:pPr>
            <w:r>
              <w:rPr>
                <w:rFonts w:cs="Calibri"/>
                <w:color w:val="000000"/>
                <w:szCs w:val="24"/>
              </w:rPr>
              <w:t>Freeze</w:t>
            </w:r>
            <w:r w:rsidRPr="00AE79C1">
              <w:rPr>
                <w:rFonts w:cs="Calibri"/>
                <w:color w:val="000000"/>
                <w:szCs w:val="24"/>
              </w:rPr>
              <w:t xml:space="preserve"> </w:t>
            </w:r>
            <w:r>
              <w:rPr>
                <w:rFonts w:cs="Calibri"/>
                <w:color w:val="000000"/>
                <w:szCs w:val="24"/>
              </w:rPr>
              <w:t>Documents</w:t>
            </w:r>
          </w:p>
        </w:tc>
        <w:tc>
          <w:tcPr>
            <w:tcW w:w="6554" w:type="dxa"/>
            <w:vAlign w:val="center"/>
          </w:tcPr>
          <w:p w14:paraId="129F291C" w14:textId="309E96BE" w:rsidR="00302234" w:rsidRPr="00AE79C1" w:rsidRDefault="00302234" w:rsidP="00302234">
            <w:pPr>
              <w:spacing w:after="0"/>
              <w:ind w:left="0"/>
              <w:rPr>
                <w:rFonts w:cs="Calibri"/>
                <w:color w:val="000000"/>
                <w:szCs w:val="24"/>
              </w:rPr>
            </w:pPr>
            <w:r w:rsidRPr="00AE79C1">
              <w:rPr>
                <w:rFonts w:cs="Calibri"/>
                <w:color w:val="000000"/>
                <w:szCs w:val="24"/>
              </w:rPr>
              <w:t xml:space="preserve">Freeze documents keyed by Accounts Examiner </w:t>
            </w:r>
          </w:p>
        </w:tc>
      </w:tr>
      <w:tr w:rsidR="00302234" w:rsidRPr="000E4EAF" w14:paraId="31F1F239" w14:textId="77777777" w:rsidTr="00FB2060">
        <w:trPr>
          <w:trHeight w:val="300"/>
        </w:trPr>
        <w:tc>
          <w:tcPr>
            <w:tcW w:w="697" w:type="dxa"/>
            <w:noWrap/>
            <w:vAlign w:val="center"/>
            <w:hideMark/>
          </w:tcPr>
          <w:p w14:paraId="28E7F1F7" w14:textId="00E27E26" w:rsidR="00302234" w:rsidRPr="00AE79C1" w:rsidRDefault="00302234" w:rsidP="00302234">
            <w:pPr>
              <w:spacing w:after="0"/>
              <w:ind w:left="0"/>
              <w:jc w:val="center"/>
              <w:rPr>
                <w:rFonts w:cs="Calibri"/>
                <w:color w:val="000000"/>
                <w:szCs w:val="24"/>
              </w:rPr>
            </w:pPr>
            <w:r w:rsidRPr="00AE79C1">
              <w:rPr>
                <w:rFonts w:cs="Calibri"/>
                <w:color w:val="000000"/>
                <w:szCs w:val="24"/>
              </w:rPr>
              <w:t>64</w:t>
            </w:r>
          </w:p>
        </w:tc>
        <w:tc>
          <w:tcPr>
            <w:tcW w:w="1661" w:type="dxa"/>
            <w:noWrap/>
            <w:vAlign w:val="center"/>
          </w:tcPr>
          <w:p w14:paraId="653A597C" w14:textId="42153434" w:rsidR="00302234" w:rsidRPr="00AE79C1" w:rsidRDefault="00302234" w:rsidP="00302234">
            <w:pPr>
              <w:spacing w:after="0"/>
              <w:ind w:left="0"/>
              <w:rPr>
                <w:rFonts w:cs="Calibri"/>
                <w:color w:val="000000"/>
                <w:szCs w:val="24"/>
              </w:rPr>
            </w:pPr>
            <w:r w:rsidRPr="00AE79C1">
              <w:rPr>
                <w:rFonts w:cs="Calibri"/>
                <w:color w:val="000000"/>
                <w:szCs w:val="24"/>
              </w:rPr>
              <w:t>Daily</w:t>
            </w:r>
          </w:p>
        </w:tc>
        <w:tc>
          <w:tcPr>
            <w:tcW w:w="2390" w:type="dxa"/>
            <w:noWrap/>
            <w:vAlign w:val="center"/>
          </w:tcPr>
          <w:p w14:paraId="0A87D233" w14:textId="181E4EBB" w:rsidR="00302234" w:rsidRPr="00AE79C1" w:rsidRDefault="00302234" w:rsidP="00302234">
            <w:pPr>
              <w:spacing w:after="0"/>
              <w:ind w:left="0"/>
              <w:rPr>
                <w:rFonts w:cs="Calibri"/>
                <w:color w:val="000000"/>
                <w:szCs w:val="24"/>
              </w:rPr>
            </w:pPr>
            <w:r w:rsidRPr="00AE79C1">
              <w:rPr>
                <w:rFonts w:cs="Calibri"/>
                <w:color w:val="000000"/>
                <w:szCs w:val="24"/>
              </w:rPr>
              <w:t xml:space="preserve">F-9S </w:t>
            </w:r>
            <w:r w:rsidR="00E6267F">
              <w:rPr>
                <w:rFonts w:cs="Calibri"/>
                <w:color w:val="000000"/>
                <w:szCs w:val="24"/>
              </w:rPr>
              <w:t>A</w:t>
            </w:r>
            <w:r w:rsidR="00E6267F" w:rsidRPr="00AE79C1">
              <w:rPr>
                <w:rFonts w:cs="Calibri"/>
                <w:color w:val="000000"/>
                <w:szCs w:val="24"/>
              </w:rPr>
              <w:t xml:space="preserve">bstracts </w:t>
            </w:r>
            <w:r w:rsidRPr="00AE79C1">
              <w:rPr>
                <w:rFonts w:cs="Calibri"/>
                <w:color w:val="000000"/>
                <w:szCs w:val="24"/>
              </w:rPr>
              <w:t>&amp; TL</w:t>
            </w:r>
          </w:p>
        </w:tc>
        <w:tc>
          <w:tcPr>
            <w:tcW w:w="6554" w:type="dxa"/>
            <w:vAlign w:val="center"/>
          </w:tcPr>
          <w:p w14:paraId="1797B470" w14:textId="10A90767" w:rsidR="00302234" w:rsidRPr="00AE79C1" w:rsidRDefault="00302234" w:rsidP="00302234">
            <w:pPr>
              <w:spacing w:after="0"/>
              <w:ind w:left="0"/>
              <w:rPr>
                <w:rFonts w:cs="Calibri"/>
                <w:color w:val="000000"/>
                <w:szCs w:val="24"/>
              </w:rPr>
            </w:pPr>
            <w:r w:rsidRPr="00AE79C1">
              <w:rPr>
                <w:rFonts w:cs="Calibri"/>
                <w:color w:val="000000"/>
                <w:szCs w:val="24"/>
              </w:rPr>
              <w:t>Cover sheet for F-9 (payment vouchers) for abstracts and liens</w:t>
            </w:r>
          </w:p>
        </w:tc>
      </w:tr>
      <w:tr w:rsidR="00302234" w:rsidRPr="000E4EAF" w14:paraId="69B85BD7" w14:textId="77777777" w:rsidTr="00FB2060">
        <w:trPr>
          <w:trHeight w:val="600"/>
        </w:trPr>
        <w:tc>
          <w:tcPr>
            <w:tcW w:w="697" w:type="dxa"/>
            <w:noWrap/>
            <w:vAlign w:val="center"/>
            <w:hideMark/>
          </w:tcPr>
          <w:p w14:paraId="29E63DC4" w14:textId="1385DE87" w:rsidR="00302234" w:rsidRPr="00AE79C1" w:rsidRDefault="00302234" w:rsidP="00302234">
            <w:pPr>
              <w:spacing w:after="0"/>
              <w:ind w:left="0"/>
              <w:jc w:val="center"/>
              <w:rPr>
                <w:rFonts w:cs="Calibri"/>
                <w:color w:val="000000"/>
                <w:szCs w:val="24"/>
              </w:rPr>
            </w:pPr>
            <w:r w:rsidRPr="00AE79C1">
              <w:rPr>
                <w:rFonts w:cs="Calibri"/>
                <w:color w:val="000000"/>
                <w:szCs w:val="24"/>
              </w:rPr>
              <w:t>65</w:t>
            </w:r>
          </w:p>
        </w:tc>
        <w:tc>
          <w:tcPr>
            <w:tcW w:w="1661" w:type="dxa"/>
            <w:noWrap/>
            <w:vAlign w:val="center"/>
          </w:tcPr>
          <w:p w14:paraId="00DC3F81" w14:textId="3BF59D9A" w:rsidR="00302234" w:rsidRPr="00AE79C1" w:rsidRDefault="00302234" w:rsidP="00302234">
            <w:pPr>
              <w:spacing w:after="0"/>
              <w:ind w:left="0"/>
              <w:rPr>
                <w:rFonts w:cs="Calibri"/>
                <w:color w:val="000000"/>
                <w:szCs w:val="24"/>
              </w:rPr>
            </w:pPr>
            <w:r w:rsidRPr="0051618A">
              <w:rPr>
                <w:rFonts w:cs="Calibri"/>
                <w:color w:val="000000"/>
                <w:szCs w:val="24"/>
              </w:rPr>
              <w:t>Daily</w:t>
            </w:r>
          </w:p>
        </w:tc>
        <w:tc>
          <w:tcPr>
            <w:tcW w:w="2390" w:type="dxa"/>
            <w:noWrap/>
            <w:vAlign w:val="center"/>
          </w:tcPr>
          <w:p w14:paraId="1C7CED4A" w14:textId="6FAD2780" w:rsidR="00302234" w:rsidRPr="00AE79C1" w:rsidRDefault="004148FC" w:rsidP="00302234">
            <w:pPr>
              <w:spacing w:after="0"/>
              <w:ind w:left="0"/>
              <w:rPr>
                <w:rFonts w:cs="Calibri"/>
                <w:color w:val="000000"/>
                <w:szCs w:val="24"/>
              </w:rPr>
            </w:pPr>
            <w:r w:rsidRPr="0051618A">
              <w:rPr>
                <w:rFonts w:cs="Calibri"/>
                <w:color w:val="000000"/>
                <w:szCs w:val="24"/>
              </w:rPr>
              <w:t xml:space="preserve">Control </w:t>
            </w:r>
            <w:r>
              <w:rPr>
                <w:rFonts w:cs="Calibri"/>
                <w:color w:val="000000"/>
                <w:szCs w:val="24"/>
              </w:rPr>
              <w:t>Documents</w:t>
            </w:r>
          </w:p>
        </w:tc>
        <w:tc>
          <w:tcPr>
            <w:tcW w:w="6554" w:type="dxa"/>
            <w:vAlign w:val="center"/>
          </w:tcPr>
          <w:p w14:paraId="7FA7F6EA" w14:textId="4359461E" w:rsidR="00302234" w:rsidRPr="00AE79C1" w:rsidRDefault="00302234" w:rsidP="00302234">
            <w:pPr>
              <w:spacing w:after="0"/>
              <w:ind w:left="0"/>
              <w:rPr>
                <w:rFonts w:cs="Calibri"/>
                <w:color w:val="000000"/>
                <w:szCs w:val="24"/>
              </w:rPr>
            </w:pPr>
            <w:r w:rsidRPr="00AE79C1">
              <w:rPr>
                <w:rFonts w:cs="Calibri"/>
                <w:color w:val="000000"/>
                <w:szCs w:val="24"/>
              </w:rPr>
              <w:t xml:space="preserve">Subset of the </w:t>
            </w:r>
            <w:r>
              <w:rPr>
                <w:rFonts w:cs="Calibri"/>
                <w:color w:val="000000"/>
                <w:szCs w:val="24"/>
              </w:rPr>
              <w:t>job</w:t>
            </w:r>
            <w:r w:rsidRPr="00AE79C1">
              <w:rPr>
                <w:rFonts w:cs="Calibri"/>
                <w:color w:val="000000"/>
                <w:szCs w:val="24"/>
              </w:rPr>
              <w:t xml:space="preserve"> that generates the F-9 payment vouchers</w:t>
            </w:r>
          </w:p>
        </w:tc>
      </w:tr>
      <w:tr w:rsidR="00302234" w:rsidRPr="000E4EAF" w14:paraId="6A2945BC" w14:textId="77777777" w:rsidTr="00FB2060">
        <w:trPr>
          <w:trHeight w:val="300"/>
        </w:trPr>
        <w:tc>
          <w:tcPr>
            <w:tcW w:w="697" w:type="dxa"/>
            <w:noWrap/>
            <w:vAlign w:val="center"/>
            <w:hideMark/>
          </w:tcPr>
          <w:p w14:paraId="60A82DD5" w14:textId="240F1832" w:rsidR="00302234" w:rsidRPr="00AE79C1" w:rsidRDefault="00302234" w:rsidP="00302234">
            <w:pPr>
              <w:spacing w:after="0"/>
              <w:ind w:left="0"/>
              <w:jc w:val="center"/>
              <w:rPr>
                <w:rFonts w:cs="Calibri"/>
                <w:color w:val="000000"/>
                <w:szCs w:val="24"/>
              </w:rPr>
            </w:pPr>
            <w:r w:rsidRPr="00AE79C1">
              <w:rPr>
                <w:rFonts w:cs="Calibri"/>
                <w:color w:val="000000"/>
                <w:szCs w:val="24"/>
              </w:rPr>
              <w:t>66</w:t>
            </w:r>
          </w:p>
        </w:tc>
        <w:tc>
          <w:tcPr>
            <w:tcW w:w="1661" w:type="dxa"/>
            <w:noWrap/>
            <w:vAlign w:val="center"/>
          </w:tcPr>
          <w:p w14:paraId="2EF31F58" w14:textId="050D2C33" w:rsidR="00302234" w:rsidRPr="00AE79C1" w:rsidRDefault="00302234" w:rsidP="00302234">
            <w:pPr>
              <w:spacing w:after="0"/>
              <w:ind w:left="0"/>
              <w:rPr>
                <w:rFonts w:cs="Calibri"/>
                <w:color w:val="000000"/>
                <w:szCs w:val="24"/>
              </w:rPr>
            </w:pPr>
            <w:r w:rsidRPr="00AE79C1">
              <w:rPr>
                <w:rFonts w:cs="Calibri"/>
                <w:color w:val="000000"/>
                <w:szCs w:val="24"/>
              </w:rPr>
              <w:t>Daily</w:t>
            </w:r>
          </w:p>
        </w:tc>
        <w:tc>
          <w:tcPr>
            <w:tcW w:w="2390" w:type="dxa"/>
            <w:noWrap/>
            <w:vAlign w:val="center"/>
          </w:tcPr>
          <w:p w14:paraId="40063A13" w14:textId="1DF830BE" w:rsidR="00302234" w:rsidRPr="00AE79C1" w:rsidRDefault="004148FC" w:rsidP="00302234">
            <w:pPr>
              <w:spacing w:after="0"/>
              <w:ind w:left="0"/>
              <w:rPr>
                <w:rFonts w:cs="Calibri"/>
                <w:color w:val="000000"/>
                <w:szCs w:val="24"/>
              </w:rPr>
            </w:pPr>
            <w:r w:rsidRPr="00AE79C1">
              <w:rPr>
                <w:rFonts w:cs="Calibri"/>
                <w:color w:val="000000"/>
                <w:szCs w:val="24"/>
              </w:rPr>
              <w:t>Release Edit List</w:t>
            </w:r>
          </w:p>
        </w:tc>
        <w:tc>
          <w:tcPr>
            <w:tcW w:w="6554" w:type="dxa"/>
            <w:vAlign w:val="center"/>
          </w:tcPr>
          <w:p w14:paraId="49EED334" w14:textId="61BF78C3" w:rsidR="00302234" w:rsidRPr="00AE79C1" w:rsidRDefault="00302234" w:rsidP="00302234">
            <w:pPr>
              <w:spacing w:after="0"/>
              <w:ind w:left="0"/>
              <w:rPr>
                <w:rFonts w:cs="Calibri"/>
                <w:color w:val="000000"/>
                <w:szCs w:val="24"/>
              </w:rPr>
            </w:pPr>
            <w:r w:rsidRPr="00AE79C1">
              <w:rPr>
                <w:rFonts w:cs="Calibri"/>
                <w:color w:val="000000"/>
                <w:szCs w:val="24"/>
              </w:rPr>
              <w:t>Shows list of assessments that have been released</w:t>
            </w:r>
          </w:p>
        </w:tc>
      </w:tr>
      <w:tr w:rsidR="00302234" w:rsidRPr="000E4EAF" w14:paraId="4D597C9C" w14:textId="77777777" w:rsidTr="00FB2060">
        <w:trPr>
          <w:trHeight w:val="300"/>
        </w:trPr>
        <w:tc>
          <w:tcPr>
            <w:tcW w:w="697" w:type="dxa"/>
            <w:noWrap/>
            <w:vAlign w:val="center"/>
            <w:hideMark/>
          </w:tcPr>
          <w:p w14:paraId="4C6520F3" w14:textId="4D34DB9B" w:rsidR="00302234" w:rsidRPr="0051618A" w:rsidRDefault="00302234" w:rsidP="00302234">
            <w:pPr>
              <w:spacing w:after="0"/>
              <w:ind w:left="0"/>
              <w:jc w:val="center"/>
              <w:rPr>
                <w:rFonts w:cs="Calibri"/>
                <w:color w:val="000000"/>
                <w:szCs w:val="24"/>
              </w:rPr>
            </w:pPr>
            <w:r w:rsidRPr="00AE79C1">
              <w:rPr>
                <w:rFonts w:cs="Calibri"/>
                <w:color w:val="000000"/>
                <w:szCs w:val="24"/>
              </w:rPr>
              <w:t>67</w:t>
            </w:r>
          </w:p>
        </w:tc>
        <w:tc>
          <w:tcPr>
            <w:tcW w:w="1661" w:type="dxa"/>
            <w:noWrap/>
            <w:vAlign w:val="center"/>
          </w:tcPr>
          <w:p w14:paraId="5EADFA72" w14:textId="5E7B1F2E" w:rsidR="00302234" w:rsidRPr="0051618A" w:rsidRDefault="00302234" w:rsidP="00302234">
            <w:pPr>
              <w:spacing w:after="0"/>
              <w:ind w:left="0"/>
              <w:rPr>
                <w:rFonts w:cs="Calibri"/>
                <w:color w:val="000000"/>
                <w:szCs w:val="24"/>
              </w:rPr>
            </w:pPr>
            <w:r w:rsidRPr="00AE79C1">
              <w:rPr>
                <w:rFonts w:cs="Calibri"/>
                <w:color w:val="000000"/>
                <w:szCs w:val="24"/>
              </w:rPr>
              <w:t>Daily</w:t>
            </w:r>
          </w:p>
        </w:tc>
        <w:tc>
          <w:tcPr>
            <w:tcW w:w="2390" w:type="dxa"/>
            <w:noWrap/>
            <w:vAlign w:val="center"/>
          </w:tcPr>
          <w:p w14:paraId="536DBE08" w14:textId="002F0607" w:rsidR="00302234" w:rsidRPr="0051618A" w:rsidRDefault="00407158" w:rsidP="00302234">
            <w:pPr>
              <w:spacing w:after="0"/>
              <w:ind w:left="0"/>
              <w:rPr>
                <w:rFonts w:cs="Calibri"/>
                <w:color w:val="000000"/>
                <w:szCs w:val="24"/>
              </w:rPr>
            </w:pPr>
            <w:r>
              <w:rPr>
                <w:rFonts w:cs="Calibri"/>
                <w:color w:val="000000"/>
                <w:szCs w:val="24"/>
              </w:rPr>
              <w:t>A</w:t>
            </w:r>
            <w:r w:rsidRPr="00AE79C1">
              <w:rPr>
                <w:rFonts w:cs="Calibri"/>
                <w:color w:val="000000"/>
                <w:szCs w:val="24"/>
              </w:rPr>
              <w:t xml:space="preserve">ssessment </w:t>
            </w:r>
            <w:r>
              <w:rPr>
                <w:rFonts w:cs="Calibri"/>
                <w:color w:val="000000"/>
                <w:szCs w:val="24"/>
              </w:rPr>
              <w:t>Letters</w:t>
            </w:r>
            <w:r w:rsidRPr="00AE79C1">
              <w:rPr>
                <w:rFonts w:cs="Calibri"/>
                <w:color w:val="000000"/>
                <w:szCs w:val="24"/>
              </w:rPr>
              <w:t xml:space="preserve"> </w:t>
            </w:r>
            <w:r w:rsidR="00302234" w:rsidRPr="00AE79C1">
              <w:rPr>
                <w:rFonts w:cs="Calibri"/>
                <w:color w:val="000000"/>
                <w:szCs w:val="24"/>
              </w:rPr>
              <w:t>(21-A)</w:t>
            </w:r>
          </w:p>
        </w:tc>
        <w:tc>
          <w:tcPr>
            <w:tcW w:w="6554" w:type="dxa"/>
            <w:vAlign w:val="center"/>
          </w:tcPr>
          <w:p w14:paraId="342011D9" w14:textId="111FFC5F" w:rsidR="00302234" w:rsidRPr="00AE79C1" w:rsidRDefault="00302234" w:rsidP="00302234">
            <w:pPr>
              <w:spacing w:after="0"/>
              <w:ind w:left="0"/>
              <w:rPr>
                <w:rFonts w:cs="Calibri"/>
                <w:color w:val="000000"/>
                <w:szCs w:val="24"/>
              </w:rPr>
            </w:pPr>
            <w:r w:rsidRPr="00AE79C1">
              <w:rPr>
                <w:rFonts w:cs="Calibri"/>
                <w:color w:val="000000"/>
                <w:szCs w:val="24"/>
              </w:rPr>
              <w:t>Provides cover letters to transmit Employers copy of the Abstract of Assessment (after recorded)</w:t>
            </w:r>
          </w:p>
        </w:tc>
      </w:tr>
      <w:tr w:rsidR="00302234" w:rsidRPr="000E4EAF" w14:paraId="7E720B0A" w14:textId="77777777" w:rsidTr="00FB2060">
        <w:trPr>
          <w:trHeight w:val="300"/>
        </w:trPr>
        <w:tc>
          <w:tcPr>
            <w:tcW w:w="697" w:type="dxa"/>
            <w:noWrap/>
            <w:vAlign w:val="center"/>
            <w:hideMark/>
          </w:tcPr>
          <w:p w14:paraId="7D0E5126" w14:textId="5EE1119C" w:rsidR="00302234" w:rsidRPr="00AE79C1" w:rsidRDefault="00302234" w:rsidP="00302234">
            <w:pPr>
              <w:spacing w:after="0"/>
              <w:ind w:left="0"/>
              <w:jc w:val="center"/>
              <w:rPr>
                <w:rFonts w:cs="Calibri"/>
                <w:color w:val="000000"/>
                <w:szCs w:val="24"/>
              </w:rPr>
            </w:pPr>
            <w:r w:rsidRPr="0051618A">
              <w:rPr>
                <w:rFonts w:cs="Calibri"/>
                <w:color w:val="000000"/>
                <w:szCs w:val="24"/>
              </w:rPr>
              <w:t>68</w:t>
            </w:r>
          </w:p>
        </w:tc>
        <w:tc>
          <w:tcPr>
            <w:tcW w:w="1661" w:type="dxa"/>
            <w:noWrap/>
            <w:vAlign w:val="center"/>
          </w:tcPr>
          <w:p w14:paraId="294C0EE6" w14:textId="079E3F13" w:rsidR="00302234" w:rsidRPr="00AE79C1" w:rsidRDefault="00302234" w:rsidP="00302234">
            <w:pPr>
              <w:spacing w:after="0"/>
              <w:ind w:left="0"/>
              <w:rPr>
                <w:rFonts w:cs="Calibri"/>
                <w:color w:val="000000"/>
                <w:szCs w:val="24"/>
              </w:rPr>
            </w:pPr>
            <w:r w:rsidRPr="00AE79C1">
              <w:rPr>
                <w:rFonts w:cs="Calibri"/>
                <w:color w:val="000000"/>
                <w:szCs w:val="24"/>
              </w:rPr>
              <w:t>Daily</w:t>
            </w:r>
          </w:p>
        </w:tc>
        <w:tc>
          <w:tcPr>
            <w:tcW w:w="2390" w:type="dxa"/>
            <w:noWrap/>
            <w:vAlign w:val="center"/>
          </w:tcPr>
          <w:p w14:paraId="65E45D34" w14:textId="11C13197" w:rsidR="00302234" w:rsidRPr="00AE79C1" w:rsidRDefault="00302234" w:rsidP="00302234">
            <w:pPr>
              <w:spacing w:after="0"/>
              <w:ind w:left="0"/>
              <w:rPr>
                <w:rFonts w:cs="Calibri"/>
                <w:color w:val="000000"/>
                <w:szCs w:val="24"/>
              </w:rPr>
            </w:pPr>
            <w:r w:rsidRPr="00AE79C1">
              <w:rPr>
                <w:rFonts w:cs="Calibri"/>
                <w:color w:val="000000"/>
                <w:szCs w:val="24"/>
              </w:rPr>
              <w:t>Debit/Credit Certified to AG</w:t>
            </w:r>
          </w:p>
        </w:tc>
        <w:tc>
          <w:tcPr>
            <w:tcW w:w="6554" w:type="dxa"/>
            <w:vAlign w:val="center"/>
          </w:tcPr>
          <w:p w14:paraId="04D870F5" w14:textId="58ECCCE6" w:rsidR="00302234" w:rsidRPr="00AE79C1" w:rsidRDefault="00302234" w:rsidP="00302234">
            <w:pPr>
              <w:spacing w:after="0"/>
              <w:ind w:left="0"/>
              <w:rPr>
                <w:rFonts w:cs="Calibri"/>
                <w:color w:val="000000"/>
                <w:szCs w:val="24"/>
              </w:rPr>
            </w:pPr>
            <w:r w:rsidRPr="00AE79C1">
              <w:rPr>
                <w:rFonts w:cs="Calibri"/>
                <w:color w:val="000000"/>
                <w:szCs w:val="24"/>
              </w:rPr>
              <w:t>Identifies payments received on Quarters and Costs for accounts certified to AG or with Judgments obtained through AG</w:t>
            </w:r>
          </w:p>
        </w:tc>
      </w:tr>
      <w:tr w:rsidR="00302234" w:rsidRPr="000E4EAF" w14:paraId="1F07600B" w14:textId="77777777" w:rsidTr="00FB2060">
        <w:trPr>
          <w:trHeight w:val="300"/>
        </w:trPr>
        <w:tc>
          <w:tcPr>
            <w:tcW w:w="697" w:type="dxa"/>
            <w:noWrap/>
            <w:vAlign w:val="center"/>
            <w:hideMark/>
          </w:tcPr>
          <w:p w14:paraId="781E8CFE" w14:textId="2F6DDB29" w:rsidR="00302234" w:rsidRPr="00AE79C1" w:rsidRDefault="00302234" w:rsidP="00302234">
            <w:pPr>
              <w:spacing w:after="0"/>
              <w:ind w:left="0"/>
              <w:jc w:val="center"/>
              <w:rPr>
                <w:rFonts w:cs="Calibri"/>
                <w:color w:val="000000"/>
                <w:szCs w:val="24"/>
              </w:rPr>
            </w:pPr>
            <w:r w:rsidRPr="00AE79C1">
              <w:rPr>
                <w:rFonts w:cs="Calibri"/>
                <w:color w:val="000000"/>
                <w:szCs w:val="24"/>
              </w:rPr>
              <w:t>69</w:t>
            </w:r>
          </w:p>
        </w:tc>
        <w:tc>
          <w:tcPr>
            <w:tcW w:w="1661" w:type="dxa"/>
            <w:noWrap/>
            <w:vAlign w:val="center"/>
          </w:tcPr>
          <w:p w14:paraId="4713F0F9" w14:textId="5CE58A51" w:rsidR="00302234" w:rsidRPr="00AE79C1" w:rsidRDefault="00302234" w:rsidP="00302234">
            <w:pPr>
              <w:spacing w:after="0"/>
              <w:ind w:left="0"/>
              <w:rPr>
                <w:rFonts w:cs="Calibri"/>
                <w:color w:val="000000"/>
                <w:szCs w:val="24"/>
              </w:rPr>
            </w:pPr>
            <w:r w:rsidRPr="00AE79C1">
              <w:rPr>
                <w:rFonts w:cs="Calibri"/>
                <w:color w:val="000000"/>
                <w:szCs w:val="24"/>
              </w:rPr>
              <w:t>Daily</w:t>
            </w:r>
          </w:p>
        </w:tc>
        <w:tc>
          <w:tcPr>
            <w:tcW w:w="2390" w:type="dxa"/>
            <w:noWrap/>
            <w:vAlign w:val="center"/>
          </w:tcPr>
          <w:p w14:paraId="63104E4E" w14:textId="291B9EC0" w:rsidR="00302234" w:rsidRPr="00AE79C1" w:rsidRDefault="00150C74" w:rsidP="00302234">
            <w:pPr>
              <w:spacing w:after="0"/>
              <w:ind w:left="0"/>
              <w:rPr>
                <w:rFonts w:cs="Calibri"/>
                <w:color w:val="000000"/>
                <w:szCs w:val="24"/>
              </w:rPr>
            </w:pPr>
            <w:r w:rsidRPr="00AE79C1">
              <w:rPr>
                <w:rFonts w:cs="Calibri"/>
                <w:color w:val="000000"/>
                <w:szCs w:val="24"/>
              </w:rPr>
              <w:t xml:space="preserve">Releases </w:t>
            </w:r>
            <w:r w:rsidR="00302234" w:rsidRPr="00AE79C1">
              <w:rPr>
                <w:rFonts w:cs="Calibri"/>
                <w:color w:val="000000"/>
                <w:szCs w:val="24"/>
              </w:rPr>
              <w:t>TWC</w:t>
            </w:r>
          </w:p>
        </w:tc>
        <w:tc>
          <w:tcPr>
            <w:tcW w:w="6554" w:type="dxa"/>
            <w:vAlign w:val="center"/>
          </w:tcPr>
          <w:p w14:paraId="0398FBFA" w14:textId="74BA1B06" w:rsidR="00302234" w:rsidRPr="00AE79C1" w:rsidRDefault="00302234" w:rsidP="00302234">
            <w:pPr>
              <w:spacing w:after="0"/>
              <w:ind w:left="0"/>
              <w:rPr>
                <w:rFonts w:cs="Calibri"/>
                <w:color w:val="000000"/>
                <w:szCs w:val="24"/>
              </w:rPr>
            </w:pPr>
            <w:r w:rsidRPr="00AE79C1">
              <w:rPr>
                <w:rFonts w:cs="Calibri"/>
                <w:color w:val="000000"/>
                <w:szCs w:val="24"/>
              </w:rPr>
              <w:t>Form C-45 Liens, C-115 Abstracts, Cover sheet and edit list for Releases for TWC</w:t>
            </w:r>
          </w:p>
        </w:tc>
      </w:tr>
      <w:tr w:rsidR="00302234" w:rsidRPr="000E4EAF" w14:paraId="5CA23FB4" w14:textId="77777777" w:rsidTr="00FB2060">
        <w:trPr>
          <w:trHeight w:val="300"/>
        </w:trPr>
        <w:tc>
          <w:tcPr>
            <w:tcW w:w="697" w:type="dxa"/>
            <w:noWrap/>
            <w:vAlign w:val="center"/>
            <w:hideMark/>
          </w:tcPr>
          <w:p w14:paraId="78FC3EA4" w14:textId="7C54DDC3" w:rsidR="00302234" w:rsidRPr="00AE79C1" w:rsidRDefault="00302234" w:rsidP="00302234">
            <w:pPr>
              <w:spacing w:after="0"/>
              <w:ind w:left="0"/>
              <w:jc w:val="center"/>
              <w:rPr>
                <w:rFonts w:cs="Calibri"/>
                <w:color w:val="000000"/>
                <w:szCs w:val="24"/>
              </w:rPr>
            </w:pPr>
            <w:r w:rsidRPr="00AE79C1">
              <w:rPr>
                <w:rFonts w:cs="Calibri"/>
                <w:color w:val="000000"/>
                <w:szCs w:val="24"/>
              </w:rPr>
              <w:t>70</w:t>
            </w:r>
          </w:p>
        </w:tc>
        <w:tc>
          <w:tcPr>
            <w:tcW w:w="1661" w:type="dxa"/>
            <w:noWrap/>
            <w:vAlign w:val="center"/>
          </w:tcPr>
          <w:p w14:paraId="7FFBFFB4" w14:textId="2C60B022" w:rsidR="00302234" w:rsidRPr="00AE79C1" w:rsidRDefault="00302234" w:rsidP="00302234">
            <w:pPr>
              <w:spacing w:after="0"/>
              <w:ind w:left="0"/>
              <w:rPr>
                <w:rFonts w:cs="Calibri"/>
                <w:color w:val="000000"/>
                <w:szCs w:val="24"/>
              </w:rPr>
            </w:pPr>
            <w:r w:rsidRPr="00AE79C1">
              <w:rPr>
                <w:rFonts w:cs="Calibri"/>
                <w:color w:val="000000"/>
                <w:szCs w:val="24"/>
              </w:rPr>
              <w:t>Daily</w:t>
            </w:r>
          </w:p>
        </w:tc>
        <w:tc>
          <w:tcPr>
            <w:tcW w:w="2390" w:type="dxa"/>
            <w:noWrap/>
            <w:vAlign w:val="center"/>
          </w:tcPr>
          <w:p w14:paraId="018D8C6A" w14:textId="6AE89F67" w:rsidR="00302234" w:rsidRPr="00AE79C1" w:rsidRDefault="00150C74" w:rsidP="00302234">
            <w:pPr>
              <w:spacing w:after="0"/>
              <w:ind w:left="0"/>
              <w:rPr>
                <w:rFonts w:cs="Calibri"/>
                <w:color w:val="000000"/>
                <w:szCs w:val="24"/>
              </w:rPr>
            </w:pPr>
            <w:r w:rsidRPr="00AE79C1">
              <w:rPr>
                <w:rFonts w:cs="Calibri"/>
                <w:color w:val="000000"/>
                <w:szCs w:val="24"/>
              </w:rPr>
              <w:t xml:space="preserve">Releases </w:t>
            </w:r>
            <w:r w:rsidR="00302234" w:rsidRPr="00AE79C1">
              <w:rPr>
                <w:rFonts w:cs="Calibri"/>
                <w:color w:val="000000"/>
                <w:szCs w:val="24"/>
              </w:rPr>
              <w:t>TEC</w:t>
            </w:r>
          </w:p>
        </w:tc>
        <w:tc>
          <w:tcPr>
            <w:tcW w:w="6554" w:type="dxa"/>
            <w:vAlign w:val="center"/>
          </w:tcPr>
          <w:p w14:paraId="2E5060E7" w14:textId="235B2B39" w:rsidR="00302234" w:rsidRPr="00AE79C1" w:rsidRDefault="00302234" w:rsidP="00302234">
            <w:pPr>
              <w:spacing w:after="0"/>
              <w:ind w:left="0"/>
              <w:rPr>
                <w:rFonts w:cs="Calibri"/>
                <w:color w:val="000000"/>
                <w:szCs w:val="24"/>
              </w:rPr>
            </w:pPr>
            <w:r w:rsidRPr="00AE79C1">
              <w:rPr>
                <w:rFonts w:cs="Calibri"/>
                <w:color w:val="000000"/>
                <w:szCs w:val="24"/>
              </w:rPr>
              <w:t>Form C-45 Liens, C-115 Abstracts, Cover sheet and edit list for Releases for TEC (prior name of TWC)</w:t>
            </w:r>
          </w:p>
        </w:tc>
      </w:tr>
      <w:tr w:rsidR="00302234" w:rsidRPr="000E4EAF" w14:paraId="32D5F1C1" w14:textId="77777777" w:rsidTr="00FB2060">
        <w:trPr>
          <w:trHeight w:val="315"/>
        </w:trPr>
        <w:tc>
          <w:tcPr>
            <w:tcW w:w="697" w:type="dxa"/>
            <w:noWrap/>
            <w:vAlign w:val="center"/>
            <w:hideMark/>
          </w:tcPr>
          <w:p w14:paraId="5772D42A" w14:textId="67E1E384" w:rsidR="00302234" w:rsidRPr="00AE79C1" w:rsidRDefault="00302234" w:rsidP="00302234">
            <w:pPr>
              <w:spacing w:after="0"/>
              <w:ind w:left="0"/>
              <w:jc w:val="center"/>
              <w:rPr>
                <w:rFonts w:cs="Calibri"/>
                <w:color w:val="000000"/>
                <w:szCs w:val="24"/>
              </w:rPr>
            </w:pPr>
            <w:r w:rsidRPr="00AE79C1">
              <w:rPr>
                <w:rFonts w:cs="Calibri"/>
                <w:color w:val="000000"/>
                <w:szCs w:val="24"/>
              </w:rPr>
              <w:t>71</w:t>
            </w:r>
          </w:p>
        </w:tc>
        <w:tc>
          <w:tcPr>
            <w:tcW w:w="1661" w:type="dxa"/>
            <w:noWrap/>
            <w:vAlign w:val="center"/>
          </w:tcPr>
          <w:p w14:paraId="6B42237A" w14:textId="4166EDD2" w:rsidR="00302234" w:rsidRPr="00AE79C1" w:rsidRDefault="00302234" w:rsidP="00302234">
            <w:pPr>
              <w:spacing w:after="0"/>
              <w:ind w:left="0"/>
              <w:rPr>
                <w:rFonts w:cs="Calibri"/>
                <w:color w:val="000000"/>
                <w:szCs w:val="24"/>
              </w:rPr>
            </w:pPr>
            <w:r w:rsidRPr="00AE79C1">
              <w:rPr>
                <w:rFonts w:cs="Calibri"/>
                <w:color w:val="000000"/>
                <w:szCs w:val="24"/>
              </w:rPr>
              <w:t>Daily</w:t>
            </w:r>
          </w:p>
        </w:tc>
        <w:tc>
          <w:tcPr>
            <w:tcW w:w="2390" w:type="dxa"/>
            <w:noWrap/>
            <w:vAlign w:val="center"/>
          </w:tcPr>
          <w:p w14:paraId="6357DF74" w14:textId="440F04AF" w:rsidR="00302234" w:rsidRPr="00AE79C1" w:rsidRDefault="00302234" w:rsidP="00302234">
            <w:pPr>
              <w:spacing w:after="0"/>
              <w:ind w:left="0"/>
              <w:rPr>
                <w:rFonts w:cs="Calibri"/>
                <w:color w:val="000000"/>
                <w:szCs w:val="24"/>
              </w:rPr>
            </w:pPr>
            <w:r w:rsidRPr="00AE79C1">
              <w:rPr>
                <w:rFonts w:cs="Calibri"/>
                <w:color w:val="000000"/>
                <w:szCs w:val="24"/>
              </w:rPr>
              <w:t xml:space="preserve">BK </w:t>
            </w:r>
            <w:r w:rsidR="00150C74" w:rsidRPr="00AE79C1">
              <w:rPr>
                <w:rFonts w:cs="Calibri"/>
                <w:color w:val="000000"/>
                <w:szCs w:val="24"/>
              </w:rPr>
              <w:t>default notice edit</w:t>
            </w:r>
          </w:p>
        </w:tc>
        <w:tc>
          <w:tcPr>
            <w:tcW w:w="6554" w:type="dxa"/>
            <w:vAlign w:val="center"/>
          </w:tcPr>
          <w:p w14:paraId="3D2440C7" w14:textId="3D7F44FD" w:rsidR="00302234" w:rsidRPr="00AE79C1" w:rsidRDefault="00302234" w:rsidP="00302234">
            <w:pPr>
              <w:spacing w:after="0"/>
              <w:ind w:left="0"/>
              <w:rPr>
                <w:rFonts w:cs="Calibri"/>
                <w:color w:val="000000"/>
                <w:szCs w:val="24"/>
              </w:rPr>
            </w:pPr>
            <w:r w:rsidRPr="00AE79C1">
              <w:rPr>
                <w:rFonts w:cs="Calibri"/>
                <w:color w:val="000000"/>
                <w:szCs w:val="24"/>
              </w:rPr>
              <w:t xml:space="preserve">Report that shows error on bankrupt </w:t>
            </w:r>
            <w:r>
              <w:rPr>
                <w:rFonts w:cs="Calibri"/>
                <w:color w:val="000000"/>
                <w:szCs w:val="24"/>
              </w:rPr>
              <w:t xml:space="preserve">Employer </w:t>
            </w:r>
            <w:r w:rsidRPr="00AE79C1">
              <w:rPr>
                <w:rFonts w:cs="Calibri"/>
                <w:color w:val="000000"/>
                <w:szCs w:val="24"/>
              </w:rPr>
              <w:t xml:space="preserve">accounts that need to be reviewed (incomplete case information or date missing or no stop) and </w:t>
            </w:r>
            <w:r w:rsidR="00407158">
              <w:rPr>
                <w:rFonts w:cs="Calibri"/>
                <w:color w:val="000000"/>
                <w:szCs w:val="24"/>
              </w:rPr>
              <w:t>who keyed the data AE name and number</w:t>
            </w:r>
          </w:p>
        </w:tc>
      </w:tr>
      <w:tr w:rsidR="00302234" w:rsidRPr="000E4EAF" w14:paraId="5DE22276" w14:textId="77777777" w:rsidTr="00FB2060">
        <w:trPr>
          <w:trHeight w:val="315"/>
        </w:trPr>
        <w:tc>
          <w:tcPr>
            <w:tcW w:w="697" w:type="dxa"/>
            <w:noWrap/>
            <w:vAlign w:val="center"/>
          </w:tcPr>
          <w:p w14:paraId="54A83C53" w14:textId="01E63E04" w:rsidR="00302234" w:rsidRPr="00AE79C1" w:rsidRDefault="00302234" w:rsidP="00302234">
            <w:pPr>
              <w:spacing w:after="0"/>
              <w:ind w:left="0"/>
              <w:jc w:val="center"/>
              <w:rPr>
                <w:rFonts w:cs="Calibri"/>
                <w:color w:val="000000"/>
                <w:szCs w:val="24"/>
              </w:rPr>
            </w:pPr>
            <w:r w:rsidRPr="00AE79C1">
              <w:rPr>
                <w:rFonts w:cs="Calibri"/>
                <w:color w:val="000000"/>
                <w:szCs w:val="24"/>
              </w:rPr>
              <w:t>72</w:t>
            </w:r>
          </w:p>
        </w:tc>
        <w:tc>
          <w:tcPr>
            <w:tcW w:w="1661" w:type="dxa"/>
            <w:noWrap/>
            <w:vAlign w:val="center"/>
          </w:tcPr>
          <w:p w14:paraId="551F135E" w14:textId="61B70D04" w:rsidR="00302234" w:rsidRPr="00AE79C1" w:rsidRDefault="00302234" w:rsidP="00302234">
            <w:pPr>
              <w:spacing w:after="0"/>
              <w:ind w:left="0"/>
              <w:rPr>
                <w:rFonts w:cs="Calibri"/>
                <w:color w:val="000000"/>
                <w:szCs w:val="24"/>
              </w:rPr>
            </w:pPr>
            <w:r w:rsidRPr="00AE79C1">
              <w:rPr>
                <w:rFonts w:cs="Calibri"/>
                <w:color w:val="000000"/>
                <w:szCs w:val="24"/>
              </w:rPr>
              <w:t>Daily</w:t>
            </w:r>
          </w:p>
        </w:tc>
        <w:tc>
          <w:tcPr>
            <w:tcW w:w="2390" w:type="dxa"/>
            <w:noWrap/>
            <w:vAlign w:val="center"/>
          </w:tcPr>
          <w:p w14:paraId="2436E779" w14:textId="68E75E6C" w:rsidR="00302234" w:rsidRPr="00AE79C1" w:rsidRDefault="00302234" w:rsidP="00302234">
            <w:pPr>
              <w:spacing w:after="0"/>
              <w:ind w:left="0"/>
              <w:rPr>
                <w:rFonts w:cs="Calibri"/>
                <w:color w:val="000000"/>
                <w:szCs w:val="24"/>
              </w:rPr>
            </w:pPr>
            <w:r w:rsidRPr="00AE79C1">
              <w:rPr>
                <w:rFonts w:cs="Calibri"/>
                <w:color w:val="000000"/>
                <w:szCs w:val="24"/>
              </w:rPr>
              <w:t xml:space="preserve">BK </w:t>
            </w:r>
            <w:r w:rsidR="00150C74" w:rsidRPr="00AE79C1">
              <w:rPr>
                <w:rFonts w:cs="Calibri"/>
                <w:color w:val="000000"/>
                <w:szCs w:val="24"/>
              </w:rPr>
              <w:t>default notices</w:t>
            </w:r>
          </w:p>
        </w:tc>
        <w:tc>
          <w:tcPr>
            <w:tcW w:w="6554" w:type="dxa"/>
            <w:vAlign w:val="center"/>
          </w:tcPr>
          <w:p w14:paraId="695ADD21" w14:textId="3B98C7E2" w:rsidR="00302234" w:rsidRPr="00AE79C1" w:rsidRDefault="00302234" w:rsidP="00302234">
            <w:pPr>
              <w:spacing w:after="0"/>
              <w:ind w:left="0"/>
              <w:rPr>
                <w:rFonts w:cs="Calibri"/>
                <w:color w:val="000000"/>
                <w:szCs w:val="24"/>
              </w:rPr>
            </w:pPr>
            <w:r w:rsidRPr="00AE79C1">
              <w:rPr>
                <w:rFonts w:cs="Calibri"/>
                <w:color w:val="000000"/>
                <w:szCs w:val="24"/>
              </w:rPr>
              <w:t xml:space="preserve">Lists the </w:t>
            </w:r>
            <w:r>
              <w:rPr>
                <w:rFonts w:cs="Calibri"/>
                <w:color w:val="000000"/>
                <w:szCs w:val="24"/>
              </w:rPr>
              <w:t xml:space="preserve">Employers </w:t>
            </w:r>
            <w:r w:rsidRPr="00AE79C1">
              <w:rPr>
                <w:rFonts w:cs="Calibri"/>
                <w:color w:val="000000"/>
                <w:szCs w:val="24"/>
              </w:rPr>
              <w:t xml:space="preserve">that are eligible for a default notice due to default on their payment plan, when the funds were, who is in charge of the account (AE </w:t>
            </w:r>
            <w:r w:rsidR="00407158">
              <w:rPr>
                <w:rFonts w:cs="Calibri"/>
                <w:color w:val="000000"/>
                <w:szCs w:val="24"/>
              </w:rPr>
              <w:t>name and number</w:t>
            </w:r>
            <w:r w:rsidRPr="00AE79C1">
              <w:rPr>
                <w:rFonts w:cs="Calibri"/>
                <w:color w:val="000000"/>
                <w:szCs w:val="24"/>
              </w:rPr>
              <w:t xml:space="preserve">) </w:t>
            </w:r>
          </w:p>
        </w:tc>
      </w:tr>
      <w:tr w:rsidR="00302234" w:rsidRPr="000E4EAF" w14:paraId="43C07E3E" w14:textId="77777777" w:rsidTr="00FB2060">
        <w:trPr>
          <w:trHeight w:val="315"/>
        </w:trPr>
        <w:tc>
          <w:tcPr>
            <w:tcW w:w="697" w:type="dxa"/>
            <w:noWrap/>
            <w:vAlign w:val="center"/>
          </w:tcPr>
          <w:p w14:paraId="47510326" w14:textId="213C0445" w:rsidR="00302234" w:rsidRPr="00AE79C1" w:rsidRDefault="00302234" w:rsidP="00302234">
            <w:pPr>
              <w:spacing w:after="0"/>
              <w:ind w:left="0"/>
              <w:jc w:val="center"/>
              <w:rPr>
                <w:rFonts w:cs="Calibri"/>
                <w:color w:val="000000"/>
                <w:szCs w:val="24"/>
              </w:rPr>
            </w:pPr>
            <w:r w:rsidRPr="00AE79C1">
              <w:rPr>
                <w:rFonts w:cs="Calibri"/>
                <w:color w:val="000000"/>
                <w:szCs w:val="24"/>
              </w:rPr>
              <w:t>73</w:t>
            </w:r>
          </w:p>
        </w:tc>
        <w:tc>
          <w:tcPr>
            <w:tcW w:w="1661" w:type="dxa"/>
            <w:noWrap/>
            <w:vAlign w:val="center"/>
          </w:tcPr>
          <w:p w14:paraId="09F2B36E" w14:textId="6E41A9C5" w:rsidR="00302234" w:rsidRPr="00AE79C1" w:rsidRDefault="00302234" w:rsidP="00302234">
            <w:pPr>
              <w:spacing w:after="0"/>
              <w:ind w:left="0"/>
              <w:rPr>
                <w:rFonts w:cs="Calibri"/>
                <w:color w:val="000000"/>
                <w:szCs w:val="24"/>
              </w:rPr>
            </w:pPr>
            <w:r w:rsidRPr="00AE79C1">
              <w:rPr>
                <w:rFonts w:cs="Calibri"/>
                <w:color w:val="000000"/>
                <w:szCs w:val="24"/>
              </w:rPr>
              <w:t>Daily</w:t>
            </w:r>
          </w:p>
        </w:tc>
        <w:tc>
          <w:tcPr>
            <w:tcW w:w="2390" w:type="dxa"/>
            <w:noWrap/>
            <w:vAlign w:val="center"/>
          </w:tcPr>
          <w:p w14:paraId="3EDA48A5" w14:textId="0F8D7F0A" w:rsidR="00302234" w:rsidRPr="00AE79C1" w:rsidRDefault="00407158" w:rsidP="00302234">
            <w:pPr>
              <w:spacing w:after="0"/>
              <w:ind w:left="0"/>
              <w:rPr>
                <w:rFonts w:cs="Calibri"/>
                <w:color w:val="000000"/>
                <w:szCs w:val="24"/>
              </w:rPr>
            </w:pPr>
            <w:r>
              <w:rPr>
                <w:rFonts w:cs="Calibri"/>
                <w:color w:val="000000"/>
                <w:szCs w:val="24"/>
              </w:rPr>
              <w:t>A</w:t>
            </w:r>
            <w:r w:rsidRPr="00AE79C1">
              <w:rPr>
                <w:rFonts w:cs="Calibri"/>
                <w:color w:val="000000"/>
                <w:szCs w:val="24"/>
              </w:rPr>
              <w:t xml:space="preserve">ssessment </w:t>
            </w:r>
            <w:r>
              <w:rPr>
                <w:rFonts w:cs="Calibri"/>
                <w:color w:val="000000"/>
                <w:szCs w:val="24"/>
              </w:rPr>
              <w:t>S</w:t>
            </w:r>
            <w:r w:rsidR="00150C74" w:rsidRPr="00AE79C1">
              <w:rPr>
                <w:rFonts w:cs="Calibri"/>
                <w:color w:val="000000"/>
                <w:szCs w:val="24"/>
              </w:rPr>
              <w:t>chedule</w:t>
            </w:r>
          </w:p>
        </w:tc>
        <w:tc>
          <w:tcPr>
            <w:tcW w:w="6554" w:type="dxa"/>
            <w:vAlign w:val="center"/>
          </w:tcPr>
          <w:p w14:paraId="5721B8EF" w14:textId="08EE7DFE" w:rsidR="00302234" w:rsidRPr="00AE79C1" w:rsidRDefault="00302234" w:rsidP="00302234">
            <w:pPr>
              <w:spacing w:after="0"/>
              <w:ind w:left="0"/>
              <w:rPr>
                <w:rFonts w:cs="Calibri"/>
                <w:color w:val="000000"/>
                <w:szCs w:val="24"/>
              </w:rPr>
            </w:pPr>
            <w:r w:rsidRPr="00AE79C1">
              <w:rPr>
                <w:rFonts w:cs="Calibri"/>
                <w:color w:val="000000"/>
                <w:szCs w:val="24"/>
              </w:rPr>
              <w:t xml:space="preserve">List to renew Assessments </w:t>
            </w:r>
          </w:p>
        </w:tc>
      </w:tr>
      <w:tr w:rsidR="00302234" w:rsidRPr="000E4EAF" w14:paraId="408458E8" w14:textId="77777777" w:rsidTr="00FB2060">
        <w:trPr>
          <w:trHeight w:val="315"/>
        </w:trPr>
        <w:tc>
          <w:tcPr>
            <w:tcW w:w="697" w:type="dxa"/>
            <w:noWrap/>
            <w:vAlign w:val="center"/>
          </w:tcPr>
          <w:p w14:paraId="4AB7ED0F" w14:textId="449BC34D" w:rsidR="00302234" w:rsidRPr="00AE79C1" w:rsidRDefault="00302234" w:rsidP="00302234">
            <w:pPr>
              <w:spacing w:after="0"/>
              <w:ind w:left="0"/>
              <w:jc w:val="center"/>
              <w:rPr>
                <w:rFonts w:cs="Calibri"/>
                <w:color w:val="000000"/>
                <w:szCs w:val="24"/>
              </w:rPr>
            </w:pPr>
            <w:r w:rsidRPr="00AE79C1">
              <w:rPr>
                <w:rFonts w:cs="Calibri"/>
                <w:color w:val="000000"/>
                <w:szCs w:val="24"/>
              </w:rPr>
              <w:t>74</w:t>
            </w:r>
          </w:p>
        </w:tc>
        <w:tc>
          <w:tcPr>
            <w:tcW w:w="1661" w:type="dxa"/>
            <w:noWrap/>
            <w:vAlign w:val="center"/>
          </w:tcPr>
          <w:p w14:paraId="0D0E3ECE" w14:textId="5C97449F" w:rsidR="00302234" w:rsidRPr="00AE79C1" w:rsidRDefault="00302234" w:rsidP="00302234">
            <w:pPr>
              <w:spacing w:after="0"/>
              <w:ind w:left="0"/>
              <w:rPr>
                <w:rFonts w:cs="Calibri"/>
                <w:color w:val="000000"/>
                <w:szCs w:val="24"/>
              </w:rPr>
            </w:pPr>
            <w:r w:rsidRPr="00AE79C1">
              <w:rPr>
                <w:rFonts w:cs="Calibri"/>
                <w:color w:val="000000"/>
                <w:szCs w:val="24"/>
              </w:rPr>
              <w:t>Daily</w:t>
            </w:r>
          </w:p>
        </w:tc>
        <w:tc>
          <w:tcPr>
            <w:tcW w:w="2390" w:type="dxa"/>
            <w:noWrap/>
            <w:vAlign w:val="center"/>
          </w:tcPr>
          <w:p w14:paraId="768C1CF4" w14:textId="235BBBE6" w:rsidR="00302234" w:rsidRPr="00AE79C1" w:rsidRDefault="00407158" w:rsidP="00302234">
            <w:pPr>
              <w:spacing w:after="0"/>
              <w:ind w:left="0"/>
              <w:rPr>
                <w:rFonts w:cs="Calibri"/>
                <w:color w:val="000000"/>
                <w:szCs w:val="24"/>
              </w:rPr>
            </w:pPr>
            <w:r w:rsidRPr="00AE79C1">
              <w:rPr>
                <w:rFonts w:cs="Calibri"/>
                <w:color w:val="000000"/>
                <w:szCs w:val="24"/>
              </w:rPr>
              <w:t xml:space="preserve">Execution </w:t>
            </w:r>
            <w:r>
              <w:rPr>
                <w:rFonts w:cs="Calibri"/>
                <w:color w:val="000000"/>
                <w:szCs w:val="24"/>
              </w:rPr>
              <w:t>Letters</w:t>
            </w:r>
            <w:r w:rsidRPr="00AE79C1">
              <w:rPr>
                <w:rFonts w:cs="Calibri"/>
                <w:color w:val="000000"/>
                <w:szCs w:val="24"/>
              </w:rPr>
              <w:t xml:space="preserve"> </w:t>
            </w:r>
            <w:r w:rsidR="00302234" w:rsidRPr="00AE79C1">
              <w:rPr>
                <w:rFonts w:cs="Calibri"/>
                <w:color w:val="000000"/>
                <w:szCs w:val="24"/>
              </w:rPr>
              <w:t>&amp; F-9</w:t>
            </w:r>
          </w:p>
        </w:tc>
        <w:tc>
          <w:tcPr>
            <w:tcW w:w="6554" w:type="dxa"/>
            <w:vAlign w:val="center"/>
          </w:tcPr>
          <w:p w14:paraId="783FBEB7" w14:textId="2D60CD01" w:rsidR="00302234" w:rsidRPr="00AE79C1" w:rsidRDefault="00302234" w:rsidP="00302234">
            <w:pPr>
              <w:spacing w:after="0"/>
              <w:ind w:left="0"/>
              <w:rPr>
                <w:rFonts w:cs="Calibri"/>
                <w:color w:val="000000"/>
                <w:szCs w:val="24"/>
              </w:rPr>
            </w:pPr>
            <w:r w:rsidRPr="00AE79C1">
              <w:rPr>
                <w:rFonts w:cs="Calibri"/>
                <w:color w:val="000000"/>
                <w:szCs w:val="24"/>
              </w:rPr>
              <w:t>Packet that includes the recording documents to be sent to the county for judgments and the payment (F-</w:t>
            </w:r>
            <w:r w:rsidR="00407158">
              <w:rPr>
                <w:rFonts w:cs="Calibri"/>
                <w:color w:val="000000"/>
                <w:szCs w:val="24"/>
              </w:rPr>
              <w:t>9) that is processed by Finance</w:t>
            </w:r>
          </w:p>
        </w:tc>
      </w:tr>
      <w:tr w:rsidR="00302234" w:rsidRPr="000E4EAF" w14:paraId="7B5B9491" w14:textId="77777777" w:rsidTr="00FB2060">
        <w:trPr>
          <w:trHeight w:val="315"/>
        </w:trPr>
        <w:tc>
          <w:tcPr>
            <w:tcW w:w="697" w:type="dxa"/>
            <w:noWrap/>
            <w:vAlign w:val="center"/>
          </w:tcPr>
          <w:p w14:paraId="3053A1CF" w14:textId="6C3C4C63" w:rsidR="00302234" w:rsidRPr="00AE79C1" w:rsidRDefault="00302234" w:rsidP="00302234">
            <w:pPr>
              <w:spacing w:after="0"/>
              <w:ind w:left="0"/>
              <w:jc w:val="center"/>
              <w:rPr>
                <w:rFonts w:cs="Calibri"/>
                <w:color w:val="000000"/>
                <w:szCs w:val="24"/>
              </w:rPr>
            </w:pPr>
            <w:r w:rsidRPr="00AE79C1">
              <w:rPr>
                <w:rFonts w:cs="Calibri"/>
                <w:color w:val="000000"/>
                <w:szCs w:val="24"/>
              </w:rPr>
              <w:t>75</w:t>
            </w:r>
          </w:p>
        </w:tc>
        <w:tc>
          <w:tcPr>
            <w:tcW w:w="1661" w:type="dxa"/>
            <w:noWrap/>
            <w:vAlign w:val="center"/>
          </w:tcPr>
          <w:p w14:paraId="137360C3" w14:textId="2CD24262" w:rsidR="00302234" w:rsidRPr="00AE79C1" w:rsidRDefault="00302234" w:rsidP="00302234">
            <w:pPr>
              <w:spacing w:after="0"/>
              <w:ind w:left="0"/>
              <w:rPr>
                <w:rFonts w:cs="Calibri"/>
                <w:color w:val="000000"/>
                <w:szCs w:val="24"/>
              </w:rPr>
            </w:pPr>
            <w:r w:rsidRPr="00AE79C1">
              <w:rPr>
                <w:rFonts w:cs="Calibri"/>
                <w:color w:val="000000"/>
                <w:szCs w:val="24"/>
              </w:rPr>
              <w:t>Daily</w:t>
            </w:r>
          </w:p>
        </w:tc>
        <w:tc>
          <w:tcPr>
            <w:tcW w:w="2390" w:type="dxa"/>
            <w:noWrap/>
            <w:vAlign w:val="center"/>
          </w:tcPr>
          <w:p w14:paraId="4C53D528" w14:textId="20A1CA77" w:rsidR="00302234" w:rsidRPr="00AE79C1" w:rsidRDefault="00150C74" w:rsidP="00302234">
            <w:pPr>
              <w:spacing w:after="0"/>
              <w:ind w:left="0"/>
              <w:rPr>
                <w:rFonts w:cs="Calibri"/>
                <w:color w:val="000000"/>
                <w:szCs w:val="24"/>
              </w:rPr>
            </w:pPr>
            <w:r w:rsidRPr="00AE79C1">
              <w:rPr>
                <w:rFonts w:cs="Calibri"/>
                <w:color w:val="000000"/>
                <w:szCs w:val="24"/>
              </w:rPr>
              <w:t>Vendor hold edits</w:t>
            </w:r>
          </w:p>
        </w:tc>
        <w:tc>
          <w:tcPr>
            <w:tcW w:w="6554" w:type="dxa"/>
            <w:vAlign w:val="center"/>
          </w:tcPr>
          <w:p w14:paraId="472541D6" w14:textId="58DF0BE7" w:rsidR="00302234" w:rsidRPr="00AE79C1" w:rsidRDefault="00302234" w:rsidP="00302234">
            <w:pPr>
              <w:spacing w:after="0"/>
              <w:ind w:left="0"/>
              <w:rPr>
                <w:rFonts w:cs="Calibri"/>
                <w:color w:val="000000"/>
                <w:szCs w:val="24"/>
              </w:rPr>
            </w:pPr>
            <w:r w:rsidRPr="00AE79C1">
              <w:rPr>
                <w:rFonts w:cs="Calibri"/>
                <w:color w:val="000000"/>
                <w:szCs w:val="24"/>
              </w:rPr>
              <w:t xml:space="preserve">Provides information on accounts where the vendor hold with the Comptroller could not be added or updated </w:t>
            </w:r>
          </w:p>
        </w:tc>
      </w:tr>
      <w:tr w:rsidR="00302234" w:rsidRPr="000E4EAF" w14:paraId="3A2F4FD9" w14:textId="77777777" w:rsidTr="00FB2060">
        <w:trPr>
          <w:trHeight w:val="315"/>
        </w:trPr>
        <w:tc>
          <w:tcPr>
            <w:tcW w:w="697" w:type="dxa"/>
            <w:noWrap/>
            <w:vAlign w:val="center"/>
          </w:tcPr>
          <w:p w14:paraId="035F791D" w14:textId="473FC633" w:rsidR="00302234" w:rsidRPr="00AE79C1" w:rsidRDefault="00302234" w:rsidP="00302234">
            <w:pPr>
              <w:spacing w:after="0"/>
              <w:ind w:left="0"/>
              <w:jc w:val="center"/>
              <w:rPr>
                <w:rFonts w:cs="Calibri"/>
                <w:color w:val="000000"/>
                <w:szCs w:val="24"/>
              </w:rPr>
            </w:pPr>
            <w:r w:rsidRPr="00AE79C1">
              <w:rPr>
                <w:rFonts w:cs="Calibri"/>
                <w:color w:val="000000"/>
                <w:szCs w:val="24"/>
              </w:rPr>
              <w:t>76</w:t>
            </w:r>
          </w:p>
        </w:tc>
        <w:tc>
          <w:tcPr>
            <w:tcW w:w="1661" w:type="dxa"/>
            <w:noWrap/>
            <w:vAlign w:val="center"/>
          </w:tcPr>
          <w:p w14:paraId="00B5F986" w14:textId="30BAC658" w:rsidR="00302234" w:rsidRPr="00AE79C1" w:rsidRDefault="00302234" w:rsidP="00302234">
            <w:pPr>
              <w:spacing w:after="0"/>
              <w:ind w:left="0"/>
              <w:rPr>
                <w:rFonts w:cs="Calibri"/>
                <w:color w:val="000000"/>
                <w:szCs w:val="24"/>
              </w:rPr>
            </w:pPr>
            <w:r w:rsidRPr="00AE79C1">
              <w:rPr>
                <w:rFonts w:cs="Calibri"/>
                <w:color w:val="000000"/>
                <w:szCs w:val="24"/>
              </w:rPr>
              <w:t>Daily</w:t>
            </w:r>
          </w:p>
        </w:tc>
        <w:tc>
          <w:tcPr>
            <w:tcW w:w="2390" w:type="dxa"/>
            <w:noWrap/>
            <w:vAlign w:val="center"/>
          </w:tcPr>
          <w:p w14:paraId="60322EB1" w14:textId="312F58DB" w:rsidR="00302234" w:rsidRPr="00AE79C1" w:rsidRDefault="00302234" w:rsidP="00302234">
            <w:pPr>
              <w:spacing w:after="0"/>
              <w:ind w:left="0"/>
              <w:rPr>
                <w:rFonts w:cs="Calibri"/>
                <w:color w:val="000000"/>
                <w:szCs w:val="24"/>
              </w:rPr>
            </w:pPr>
            <w:r w:rsidRPr="00AE79C1">
              <w:rPr>
                <w:rFonts w:cs="Calibri"/>
                <w:color w:val="000000"/>
                <w:szCs w:val="24"/>
              </w:rPr>
              <w:t>Day 84 List</w:t>
            </w:r>
          </w:p>
        </w:tc>
        <w:tc>
          <w:tcPr>
            <w:tcW w:w="6554" w:type="dxa"/>
            <w:vAlign w:val="center"/>
          </w:tcPr>
          <w:p w14:paraId="0036322B" w14:textId="4FE50360" w:rsidR="00302234" w:rsidRPr="00AE79C1" w:rsidRDefault="00302234" w:rsidP="00302234">
            <w:pPr>
              <w:spacing w:after="0"/>
              <w:ind w:left="0"/>
              <w:rPr>
                <w:rFonts w:cs="Calibri"/>
                <w:color w:val="000000"/>
                <w:szCs w:val="24"/>
              </w:rPr>
            </w:pPr>
            <w:r w:rsidRPr="00AE79C1">
              <w:rPr>
                <w:rFonts w:cs="Calibri"/>
                <w:color w:val="000000"/>
                <w:szCs w:val="24"/>
              </w:rPr>
              <w:t>Provides ACAP candidates to be</w:t>
            </w:r>
            <w:r w:rsidR="00407158">
              <w:rPr>
                <w:rFonts w:cs="Calibri"/>
                <w:color w:val="000000"/>
                <w:szCs w:val="24"/>
              </w:rPr>
              <w:t xml:space="preserve"> reviewed for assessment action</w:t>
            </w:r>
          </w:p>
        </w:tc>
      </w:tr>
      <w:tr w:rsidR="00302234" w:rsidRPr="000E4EAF" w14:paraId="62774F38" w14:textId="77777777" w:rsidTr="00FB2060">
        <w:trPr>
          <w:trHeight w:val="315"/>
        </w:trPr>
        <w:tc>
          <w:tcPr>
            <w:tcW w:w="697" w:type="dxa"/>
            <w:noWrap/>
            <w:vAlign w:val="center"/>
          </w:tcPr>
          <w:p w14:paraId="44170276" w14:textId="3B535166" w:rsidR="00302234" w:rsidRPr="00AE79C1" w:rsidRDefault="00302234" w:rsidP="00302234">
            <w:pPr>
              <w:spacing w:after="0"/>
              <w:ind w:left="0"/>
              <w:jc w:val="center"/>
              <w:rPr>
                <w:rFonts w:cs="Calibri"/>
                <w:color w:val="000000"/>
                <w:szCs w:val="24"/>
              </w:rPr>
            </w:pPr>
            <w:r w:rsidRPr="00AE79C1">
              <w:rPr>
                <w:rFonts w:cs="Calibri"/>
                <w:color w:val="000000"/>
                <w:szCs w:val="24"/>
              </w:rPr>
              <w:t>77</w:t>
            </w:r>
          </w:p>
        </w:tc>
        <w:tc>
          <w:tcPr>
            <w:tcW w:w="1661" w:type="dxa"/>
            <w:noWrap/>
            <w:vAlign w:val="center"/>
          </w:tcPr>
          <w:p w14:paraId="41C64DCC" w14:textId="68E8524E" w:rsidR="00302234" w:rsidRPr="00AE79C1" w:rsidRDefault="00302234" w:rsidP="00302234">
            <w:pPr>
              <w:spacing w:after="0"/>
              <w:ind w:left="0"/>
              <w:rPr>
                <w:rFonts w:cs="Calibri"/>
                <w:color w:val="000000"/>
                <w:szCs w:val="24"/>
              </w:rPr>
            </w:pPr>
            <w:r w:rsidRPr="00AE79C1">
              <w:rPr>
                <w:rFonts w:cs="Calibri"/>
                <w:color w:val="000000"/>
                <w:szCs w:val="24"/>
              </w:rPr>
              <w:t>Daily</w:t>
            </w:r>
          </w:p>
        </w:tc>
        <w:tc>
          <w:tcPr>
            <w:tcW w:w="2390" w:type="dxa"/>
            <w:noWrap/>
            <w:vAlign w:val="center"/>
          </w:tcPr>
          <w:p w14:paraId="6FA35848" w14:textId="2806E428" w:rsidR="00302234" w:rsidRPr="00AE79C1" w:rsidRDefault="00302234" w:rsidP="00302234">
            <w:pPr>
              <w:spacing w:after="0"/>
              <w:ind w:left="0"/>
              <w:rPr>
                <w:rFonts w:cs="Calibri"/>
                <w:color w:val="000000"/>
                <w:szCs w:val="24"/>
              </w:rPr>
            </w:pPr>
            <w:r w:rsidRPr="00AE79C1">
              <w:rPr>
                <w:rFonts w:cs="Calibri"/>
                <w:color w:val="000000"/>
                <w:szCs w:val="24"/>
              </w:rPr>
              <w:t xml:space="preserve">FTP </w:t>
            </w:r>
            <w:r w:rsidR="00150C74" w:rsidRPr="00AE79C1">
              <w:rPr>
                <w:rFonts w:cs="Calibri"/>
                <w:color w:val="000000"/>
                <w:szCs w:val="24"/>
              </w:rPr>
              <w:t>requests</w:t>
            </w:r>
          </w:p>
        </w:tc>
        <w:tc>
          <w:tcPr>
            <w:tcW w:w="6554" w:type="dxa"/>
            <w:vAlign w:val="center"/>
          </w:tcPr>
          <w:p w14:paraId="687EC5CE" w14:textId="65F6008C" w:rsidR="00302234" w:rsidRPr="00AE79C1" w:rsidRDefault="00302234" w:rsidP="00302234">
            <w:pPr>
              <w:spacing w:after="0"/>
              <w:ind w:left="0"/>
              <w:rPr>
                <w:rFonts w:cs="Calibri"/>
                <w:color w:val="000000"/>
                <w:szCs w:val="24"/>
              </w:rPr>
            </w:pPr>
            <w:r w:rsidRPr="00AE79C1">
              <w:rPr>
                <w:rFonts w:cs="Calibri"/>
                <w:color w:val="000000"/>
                <w:szCs w:val="24"/>
              </w:rPr>
              <w:t xml:space="preserve">Tax Lien, Freeze &amp; Uncollectible requests </w:t>
            </w:r>
            <w:r w:rsidR="00407158">
              <w:rPr>
                <w:rFonts w:cs="Calibri"/>
                <w:color w:val="000000"/>
                <w:szCs w:val="24"/>
              </w:rPr>
              <w:t>system keyed by Field Examiners</w:t>
            </w:r>
          </w:p>
        </w:tc>
      </w:tr>
      <w:tr w:rsidR="00302234" w:rsidRPr="000E4EAF" w14:paraId="0E114CFC" w14:textId="77777777" w:rsidTr="00FB2060">
        <w:trPr>
          <w:trHeight w:val="315"/>
        </w:trPr>
        <w:tc>
          <w:tcPr>
            <w:tcW w:w="697" w:type="dxa"/>
            <w:noWrap/>
            <w:vAlign w:val="center"/>
          </w:tcPr>
          <w:p w14:paraId="1626F9F4" w14:textId="2937C405" w:rsidR="00302234" w:rsidRPr="00AE79C1" w:rsidRDefault="00302234" w:rsidP="00302234">
            <w:pPr>
              <w:spacing w:after="0"/>
              <w:ind w:left="0"/>
              <w:jc w:val="center"/>
              <w:rPr>
                <w:rFonts w:cs="Calibri"/>
                <w:color w:val="000000"/>
                <w:szCs w:val="24"/>
              </w:rPr>
            </w:pPr>
            <w:r w:rsidRPr="00AE79C1">
              <w:rPr>
                <w:rFonts w:cs="Calibri"/>
                <w:color w:val="000000"/>
                <w:szCs w:val="24"/>
              </w:rPr>
              <w:t>78</w:t>
            </w:r>
          </w:p>
        </w:tc>
        <w:tc>
          <w:tcPr>
            <w:tcW w:w="1661" w:type="dxa"/>
            <w:noWrap/>
            <w:vAlign w:val="center"/>
          </w:tcPr>
          <w:p w14:paraId="704FBA9D" w14:textId="72DDA1F2" w:rsidR="00302234" w:rsidRPr="00AE79C1" w:rsidRDefault="00302234" w:rsidP="00302234">
            <w:pPr>
              <w:spacing w:after="0"/>
              <w:ind w:left="0"/>
              <w:rPr>
                <w:rFonts w:cs="Calibri"/>
                <w:color w:val="000000"/>
                <w:szCs w:val="24"/>
              </w:rPr>
            </w:pPr>
            <w:r w:rsidRPr="00AE79C1">
              <w:rPr>
                <w:rFonts w:cs="Calibri"/>
                <w:color w:val="000000"/>
                <w:szCs w:val="24"/>
              </w:rPr>
              <w:t>Quarterly</w:t>
            </w:r>
          </w:p>
        </w:tc>
        <w:tc>
          <w:tcPr>
            <w:tcW w:w="2390" w:type="dxa"/>
            <w:noWrap/>
            <w:vAlign w:val="center"/>
          </w:tcPr>
          <w:p w14:paraId="3DB702FC" w14:textId="4CA61485" w:rsidR="00302234" w:rsidRPr="00AE79C1" w:rsidRDefault="0021479B" w:rsidP="00302234">
            <w:pPr>
              <w:spacing w:after="0"/>
              <w:ind w:left="0"/>
              <w:rPr>
                <w:rFonts w:cs="Calibri"/>
                <w:color w:val="000000"/>
                <w:szCs w:val="24"/>
              </w:rPr>
            </w:pPr>
            <w:r w:rsidRPr="00AE79C1">
              <w:rPr>
                <w:rFonts w:cs="Calibri"/>
                <w:color w:val="000000"/>
                <w:szCs w:val="24"/>
              </w:rPr>
              <w:t xml:space="preserve">Adjust </w:t>
            </w:r>
            <w:r w:rsidR="00407158">
              <w:rPr>
                <w:rFonts w:cs="Calibri"/>
                <w:color w:val="000000"/>
                <w:szCs w:val="24"/>
              </w:rPr>
              <w:t>Quarterly</w:t>
            </w:r>
            <w:r w:rsidR="00302234" w:rsidRPr="00AE79C1">
              <w:rPr>
                <w:rFonts w:cs="Calibri"/>
                <w:color w:val="000000"/>
                <w:szCs w:val="24"/>
              </w:rPr>
              <w:t xml:space="preserve"> </w:t>
            </w:r>
            <w:r w:rsidRPr="00AE79C1">
              <w:rPr>
                <w:rFonts w:cs="Calibri"/>
                <w:color w:val="000000"/>
                <w:szCs w:val="24"/>
              </w:rPr>
              <w:t>Change</w:t>
            </w:r>
          </w:p>
        </w:tc>
        <w:tc>
          <w:tcPr>
            <w:tcW w:w="6554" w:type="dxa"/>
            <w:vAlign w:val="center"/>
          </w:tcPr>
          <w:p w14:paraId="30FA5165" w14:textId="7C8FCCA5" w:rsidR="00302234" w:rsidRPr="00AE79C1" w:rsidRDefault="00302234" w:rsidP="00302234">
            <w:pPr>
              <w:spacing w:after="0"/>
              <w:ind w:left="0"/>
              <w:rPr>
                <w:rFonts w:cs="Calibri"/>
                <w:color w:val="000000"/>
                <w:szCs w:val="24"/>
              </w:rPr>
            </w:pPr>
            <w:r w:rsidRPr="00AE79C1">
              <w:rPr>
                <w:rFonts w:cs="Calibri"/>
                <w:color w:val="000000"/>
                <w:szCs w:val="24"/>
              </w:rPr>
              <w:t>List of accounts with AQC transactions.</w:t>
            </w:r>
            <w:r w:rsidR="00EE5622">
              <w:rPr>
                <w:rFonts w:cs="Calibri"/>
                <w:color w:val="000000"/>
                <w:szCs w:val="24"/>
              </w:rPr>
              <w:t xml:space="preserve"> </w:t>
            </w:r>
            <w:r w:rsidRPr="00AE79C1">
              <w:rPr>
                <w:rFonts w:cs="Calibri"/>
                <w:color w:val="000000"/>
                <w:szCs w:val="24"/>
              </w:rPr>
              <w:t>AQC is used to adjust or zero out tax due, int</w:t>
            </w:r>
            <w:r w:rsidR="00407158">
              <w:rPr>
                <w:rFonts w:cs="Calibri"/>
                <w:color w:val="000000"/>
                <w:szCs w:val="24"/>
              </w:rPr>
              <w:t>erest, and late report penalty</w:t>
            </w:r>
          </w:p>
        </w:tc>
      </w:tr>
      <w:tr w:rsidR="00302234" w:rsidRPr="000E4EAF" w14:paraId="2F390B90" w14:textId="77777777" w:rsidTr="00FB2060">
        <w:trPr>
          <w:trHeight w:val="315"/>
        </w:trPr>
        <w:tc>
          <w:tcPr>
            <w:tcW w:w="697" w:type="dxa"/>
            <w:noWrap/>
            <w:vAlign w:val="center"/>
          </w:tcPr>
          <w:p w14:paraId="48C3295A" w14:textId="337B2F0E" w:rsidR="00302234" w:rsidRPr="00AE79C1" w:rsidRDefault="00302234" w:rsidP="00302234">
            <w:pPr>
              <w:spacing w:after="0"/>
              <w:ind w:left="0"/>
              <w:jc w:val="center"/>
              <w:rPr>
                <w:rFonts w:cs="Calibri"/>
                <w:color w:val="000000"/>
                <w:szCs w:val="24"/>
              </w:rPr>
            </w:pPr>
            <w:r w:rsidRPr="00AE79C1">
              <w:rPr>
                <w:rFonts w:cs="Calibri"/>
                <w:color w:val="000000"/>
                <w:szCs w:val="24"/>
              </w:rPr>
              <w:lastRenderedPageBreak/>
              <w:t>79</w:t>
            </w:r>
          </w:p>
        </w:tc>
        <w:tc>
          <w:tcPr>
            <w:tcW w:w="1661" w:type="dxa"/>
            <w:noWrap/>
            <w:vAlign w:val="center"/>
          </w:tcPr>
          <w:p w14:paraId="02163851" w14:textId="089357DD" w:rsidR="00302234" w:rsidRPr="00AE79C1" w:rsidRDefault="00302234" w:rsidP="00302234">
            <w:pPr>
              <w:spacing w:after="0"/>
              <w:ind w:left="0"/>
              <w:rPr>
                <w:rFonts w:cs="Calibri"/>
                <w:color w:val="000000"/>
                <w:szCs w:val="24"/>
              </w:rPr>
            </w:pPr>
            <w:r w:rsidRPr="00AE79C1">
              <w:rPr>
                <w:rFonts w:cs="Calibri"/>
                <w:color w:val="000000"/>
                <w:szCs w:val="24"/>
              </w:rPr>
              <w:t>Quarterly</w:t>
            </w:r>
          </w:p>
        </w:tc>
        <w:tc>
          <w:tcPr>
            <w:tcW w:w="2390" w:type="dxa"/>
            <w:noWrap/>
            <w:vAlign w:val="center"/>
          </w:tcPr>
          <w:p w14:paraId="297B2E01" w14:textId="01E884BD" w:rsidR="00302234" w:rsidRPr="00AE79C1" w:rsidRDefault="00302234" w:rsidP="00302234">
            <w:pPr>
              <w:spacing w:after="0"/>
              <w:ind w:left="0"/>
              <w:rPr>
                <w:rFonts w:cs="Calibri"/>
                <w:color w:val="000000"/>
                <w:szCs w:val="24"/>
              </w:rPr>
            </w:pPr>
            <w:r w:rsidRPr="00AE79C1">
              <w:rPr>
                <w:rFonts w:cs="Calibri"/>
                <w:color w:val="000000"/>
                <w:szCs w:val="24"/>
              </w:rPr>
              <w:t xml:space="preserve">ALLO REM </w:t>
            </w:r>
            <w:r w:rsidR="00407158">
              <w:rPr>
                <w:rFonts w:cs="Calibri"/>
                <w:color w:val="000000"/>
                <w:szCs w:val="24"/>
              </w:rPr>
              <w:t>Error</w:t>
            </w:r>
            <w:r w:rsidRPr="00AE79C1">
              <w:rPr>
                <w:rFonts w:cs="Calibri"/>
                <w:color w:val="000000"/>
                <w:szCs w:val="24"/>
              </w:rPr>
              <w:t xml:space="preserve"> </w:t>
            </w:r>
            <w:r w:rsidR="00407158" w:rsidRPr="00AE79C1">
              <w:rPr>
                <w:rFonts w:cs="Calibri"/>
                <w:color w:val="000000"/>
                <w:szCs w:val="24"/>
              </w:rPr>
              <w:t>Report</w:t>
            </w:r>
          </w:p>
        </w:tc>
        <w:tc>
          <w:tcPr>
            <w:tcW w:w="6554" w:type="dxa"/>
            <w:vAlign w:val="center"/>
          </w:tcPr>
          <w:p w14:paraId="75A0A724" w14:textId="05E2459C" w:rsidR="00302234" w:rsidRPr="00AE79C1" w:rsidRDefault="00302234" w:rsidP="00302234">
            <w:pPr>
              <w:spacing w:after="0"/>
              <w:ind w:left="0"/>
              <w:rPr>
                <w:rFonts w:cs="Calibri"/>
                <w:color w:val="000000"/>
                <w:szCs w:val="24"/>
              </w:rPr>
            </w:pPr>
            <w:r w:rsidRPr="00AE79C1">
              <w:rPr>
                <w:rFonts w:cs="Calibri"/>
                <w:color w:val="000000"/>
                <w:szCs w:val="24"/>
              </w:rPr>
              <w:t>List of accounts with una</w:t>
            </w:r>
            <w:r w:rsidR="00407158">
              <w:rPr>
                <w:rFonts w:cs="Calibri"/>
                <w:color w:val="000000"/>
                <w:szCs w:val="24"/>
              </w:rPr>
              <w:t>llocated credit and balance due</w:t>
            </w:r>
          </w:p>
        </w:tc>
      </w:tr>
      <w:tr w:rsidR="00302234" w:rsidRPr="000E4EAF" w14:paraId="04ED506E" w14:textId="77777777" w:rsidTr="00FB2060">
        <w:trPr>
          <w:trHeight w:val="315"/>
        </w:trPr>
        <w:tc>
          <w:tcPr>
            <w:tcW w:w="697" w:type="dxa"/>
            <w:noWrap/>
            <w:vAlign w:val="center"/>
          </w:tcPr>
          <w:p w14:paraId="3A7D53FA" w14:textId="15C1691A" w:rsidR="00302234" w:rsidRPr="00AE79C1" w:rsidRDefault="00302234" w:rsidP="00302234">
            <w:pPr>
              <w:spacing w:after="0"/>
              <w:ind w:left="0"/>
              <w:jc w:val="center"/>
              <w:rPr>
                <w:rFonts w:cs="Calibri"/>
                <w:color w:val="000000"/>
                <w:szCs w:val="24"/>
              </w:rPr>
            </w:pPr>
            <w:r w:rsidRPr="00AE79C1">
              <w:rPr>
                <w:rFonts w:cs="Calibri"/>
                <w:color w:val="000000"/>
                <w:szCs w:val="24"/>
              </w:rPr>
              <w:t>80</w:t>
            </w:r>
          </w:p>
        </w:tc>
        <w:tc>
          <w:tcPr>
            <w:tcW w:w="1661" w:type="dxa"/>
            <w:noWrap/>
            <w:vAlign w:val="center"/>
          </w:tcPr>
          <w:p w14:paraId="750B6E4A" w14:textId="4211E83D" w:rsidR="00302234" w:rsidRPr="00AE79C1" w:rsidRDefault="00302234" w:rsidP="00302234">
            <w:pPr>
              <w:spacing w:after="0"/>
              <w:ind w:left="0"/>
              <w:rPr>
                <w:rFonts w:cs="Calibri"/>
                <w:color w:val="000000"/>
                <w:szCs w:val="24"/>
              </w:rPr>
            </w:pPr>
            <w:r w:rsidRPr="00AE79C1">
              <w:rPr>
                <w:rFonts w:cs="Calibri"/>
                <w:color w:val="000000"/>
                <w:szCs w:val="24"/>
              </w:rPr>
              <w:t>Daily</w:t>
            </w:r>
          </w:p>
        </w:tc>
        <w:tc>
          <w:tcPr>
            <w:tcW w:w="2390" w:type="dxa"/>
            <w:noWrap/>
            <w:vAlign w:val="center"/>
          </w:tcPr>
          <w:p w14:paraId="5293103B" w14:textId="3C4A6C87" w:rsidR="00302234" w:rsidRPr="00AE79C1" w:rsidRDefault="00407158" w:rsidP="00302234">
            <w:pPr>
              <w:spacing w:after="0"/>
              <w:ind w:left="0"/>
              <w:rPr>
                <w:rFonts w:cs="Calibri"/>
                <w:color w:val="000000"/>
                <w:szCs w:val="24"/>
              </w:rPr>
            </w:pPr>
            <w:r w:rsidRPr="00AE79C1">
              <w:rPr>
                <w:rFonts w:cs="Calibri"/>
                <w:color w:val="000000"/>
                <w:szCs w:val="24"/>
              </w:rPr>
              <w:t>System Alloc List</w:t>
            </w:r>
          </w:p>
        </w:tc>
        <w:tc>
          <w:tcPr>
            <w:tcW w:w="6554" w:type="dxa"/>
            <w:vAlign w:val="center"/>
          </w:tcPr>
          <w:p w14:paraId="6EE2914E" w14:textId="2271E385" w:rsidR="00302234" w:rsidRPr="00AE79C1" w:rsidRDefault="00302234" w:rsidP="00302234">
            <w:pPr>
              <w:spacing w:after="0"/>
              <w:ind w:left="0"/>
              <w:rPr>
                <w:rFonts w:cs="Calibri"/>
                <w:color w:val="000000"/>
                <w:szCs w:val="24"/>
              </w:rPr>
            </w:pPr>
            <w:r w:rsidRPr="00AE79C1">
              <w:rPr>
                <w:rFonts w:cs="Calibri"/>
                <w:color w:val="000000"/>
                <w:szCs w:val="24"/>
              </w:rPr>
              <w:t>List of accounts with r</w:t>
            </w:r>
            <w:r w:rsidR="00407158">
              <w:rPr>
                <w:rFonts w:cs="Calibri"/>
                <w:color w:val="000000"/>
                <w:szCs w:val="24"/>
              </w:rPr>
              <w:t>efund pending and a balance due</w:t>
            </w:r>
          </w:p>
        </w:tc>
      </w:tr>
      <w:tr w:rsidR="00302234" w:rsidRPr="000E4EAF" w14:paraId="5DB12922" w14:textId="77777777" w:rsidTr="00FB2060">
        <w:trPr>
          <w:trHeight w:val="315"/>
        </w:trPr>
        <w:tc>
          <w:tcPr>
            <w:tcW w:w="697" w:type="dxa"/>
            <w:noWrap/>
            <w:vAlign w:val="center"/>
          </w:tcPr>
          <w:p w14:paraId="1F333F70" w14:textId="1CB4DD95" w:rsidR="00302234" w:rsidRPr="00AE79C1" w:rsidRDefault="00302234" w:rsidP="00302234">
            <w:pPr>
              <w:spacing w:after="0"/>
              <w:ind w:left="0"/>
              <w:jc w:val="center"/>
              <w:rPr>
                <w:rFonts w:cs="Calibri"/>
                <w:color w:val="000000"/>
                <w:szCs w:val="24"/>
              </w:rPr>
            </w:pPr>
            <w:r w:rsidRPr="00AE79C1">
              <w:rPr>
                <w:rFonts w:cs="Calibri"/>
                <w:color w:val="000000"/>
                <w:szCs w:val="24"/>
              </w:rPr>
              <w:t>81</w:t>
            </w:r>
          </w:p>
        </w:tc>
        <w:tc>
          <w:tcPr>
            <w:tcW w:w="1661" w:type="dxa"/>
            <w:noWrap/>
            <w:vAlign w:val="center"/>
          </w:tcPr>
          <w:p w14:paraId="0C157D5D" w14:textId="7571342E" w:rsidR="00302234" w:rsidRPr="00AE79C1" w:rsidRDefault="00302234" w:rsidP="00302234">
            <w:pPr>
              <w:spacing w:after="0"/>
              <w:ind w:left="0"/>
              <w:rPr>
                <w:rFonts w:cs="Calibri"/>
                <w:color w:val="000000"/>
                <w:szCs w:val="24"/>
              </w:rPr>
            </w:pPr>
            <w:r w:rsidRPr="00AE79C1">
              <w:rPr>
                <w:rFonts w:cs="Calibri"/>
                <w:color w:val="000000"/>
                <w:szCs w:val="24"/>
              </w:rPr>
              <w:t>Quarterly</w:t>
            </w:r>
          </w:p>
        </w:tc>
        <w:tc>
          <w:tcPr>
            <w:tcW w:w="2390" w:type="dxa"/>
            <w:noWrap/>
            <w:vAlign w:val="center"/>
          </w:tcPr>
          <w:p w14:paraId="2F770BD0" w14:textId="7690D87B" w:rsidR="00302234" w:rsidRPr="00AE79C1" w:rsidRDefault="00302234" w:rsidP="00302234">
            <w:pPr>
              <w:spacing w:after="0"/>
              <w:ind w:left="0"/>
              <w:rPr>
                <w:rFonts w:cs="Calibri"/>
                <w:color w:val="000000"/>
                <w:szCs w:val="24"/>
              </w:rPr>
            </w:pPr>
            <w:r w:rsidRPr="00AE79C1">
              <w:rPr>
                <w:rFonts w:cs="Calibri"/>
                <w:color w:val="000000"/>
                <w:szCs w:val="24"/>
              </w:rPr>
              <w:t>UNALLO/REM/STOPS</w:t>
            </w:r>
          </w:p>
        </w:tc>
        <w:tc>
          <w:tcPr>
            <w:tcW w:w="6554" w:type="dxa"/>
            <w:vAlign w:val="center"/>
          </w:tcPr>
          <w:p w14:paraId="050CF8CB" w14:textId="3F28341C" w:rsidR="00302234" w:rsidRPr="00AE79C1" w:rsidRDefault="00302234" w:rsidP="00302234">
            <w:pPr>
              <w:spacing w:after="0"/>
              <w:ind w:left="0"/>
              <w:rPr>
                <w:rFonts w:cs="Calibri"/>
                <w:color w:val="000000"/>
                <w:szCs w:val="24"/>
              </w:rPr>
            </w:pPr>
            <w:r w:rsidRPr="00AE79C1">
              <w:rPr>
                <w:rFonts w:cs="Calibri"/>
                <w:color w:val="000000"/>
                <w:szCs w:val="24"/>
              </w:rPr>
              <w:t>List of accounts with pe</w:t>
            </w:r>
            <w:r w:rsidR="00407158">
              <w:rPr>
                <w:rFonts w:cs="Calibri"/>
                <w:color w:val="000000"/>
                <w:szCs w:val="24"/>
              </w:rPr>
              <w:t>nding payments and balances due</w:t>
            </w:r>
          </w:p>
        </w:tc>
      </w:tr>
      <w:tr w:rsidR="00302234" w:rsidRPr="000E4EAF" w14:paraId="03E53842" w14:textId="77777777" w:rsidTr="00FB2060">
        <w:trPr>
          <w:trHeight w:val="315"/>
        </w:trPr>
        <w:tc>
          <w:tcPr>
            <w:tcW w:w="697" w:type="dxa"/>
            <w:noWrap/>
            <w:vAlign w:val="center"/>
          </w:tcPr>
          <w:p w14:paraId="7083EFB1" w14:textId="1FB5C91A" w:rsidR="00302234" w:rsidRPr="00AE79C1" w:rsidRDefault="00302234" w:rsidP="00302234">
            <w:pPr>
              <w:spacing w:after="0"/>
              <w:ind w:left="0"/>
              <w:jc w:val="center"/>
              <w:rPr>
                <w:rFonts w:cs="Calibri"/>
                <w:color w:val="000000"/>
                <w:szCs w:val="24"/>
              </w:rPr>
            </w:pPr>
            <w:r w:rsidRPr="00AE79C1">
              <w:rPr>
                <w:rFonts w:cs="Calibri"/>
                <w:color w:val="000000"/>
                <w:szCs w:val="24"/>
              </w:rPr>
              <w:t>82</w:t>
            </w:r>
          </w:p>
        </w:tc>
        <w:tc>
          <w:tcPr>
            <w:tcW w:w="1661" w:type="dxa"/>
            <w:noWrap/>
            <w:vAlign w:val="center"/>
          </w:tcPr>
          <w:p w14:paraId="108F3A30" w14:textId="17090E30" w:rsidR="00302234" w:rsidRPr="00AE79C1" w:rsidRDefault="00302234" w:rsidP="00302234">
            <w:pPr>
              <w:spacing w:after="0"/>
              <w:ind w:left="0"/>
              <w:rPr>
                <w:rFonts w:cs="Calibri"/>
                <w:color w:val="000000"/>
                <w:szCs w:val="24"/>
              </w:rPr>
            </w:pPr>
            <w:r w:rsidRPr="00AE79C1">
              <w:rPr>
                <w:rFonts w:cs="Calibri"/>
                <w:color w:val="000000"/>
                <w:szCs w:val="24"/>
              </w:rPr>
              <w:t>Daily</w:t>
            </w:r>
          </w:p>
        </w:tc>
        <w:tc>
          <w:tcPr>
            <w:tcW w:w="2390" w:type="dxa"/>
            <w:noWrap/>
            <w:vAlign w:val="center"/>
          </w:tcPr>
          <w:p w14:paraId="61B7F1AB" w14:textId="40FC97C9" w:rsidR="00302234" w:rsidRPr="00AE79C1" w:rsidRDefault="00407158" w:rsidP="00302234">
            <w:pPr>
              <w:spacing w:after="0"/>
              <w:ind w:left="0"/>
              <w:rPr>
                <w:rFonts w:cs="Calibri"/>
                <w:color w:val="000000"/>
                <w:szCs w:val="24"/>
              </w:rPr>
            </w:pPr>
            <w:r>
              <w:rPr>
                <w:rFonts w:cs="Calibri"/>
                <w:color w:val="000000"/>
                <w:szCs w:val="24"/>
              </w:rPr>
              <w:t>Service</w:t>
            </w:r>
            <w:r w:rsidR="00302234" w:rsidRPr="00AE79C1">
              <w:rPr>
                <w:rFonts w:cs="Calibri"/>
                <w:color w:val="000000"/>
                <w:szCs w:val="24"/>
              </w:rPr>
              <w:t xml:space="preserve"> </w:t>
            </w:r>
            <w:r w:rsidR="0021479B">
              <w:rPr>
                <w:rFonts w:cs="Calibri"/>
                <w:color w:val="000000"/>
                <w:szCs w:val="24"/>
              </w:rPr>
              <w:t>Credit</w:t>
            </w:r>
            <w:r w:rsidR="00302234" w:rsidRPr="00AE79C1">
              <w:rPr>
                <w:rFonts w:cs="Calibri"/>
                <w:color w:val="000000"/>
                <w:szCs w:val="24"/>
              </w:rPr>
              <w:t xml:space="preserve"> </w:t>
            </w:r>
            <w:r w:rsidRPr="00AE79C1">
              <w:rPr>
                <w:rFonts w:cs="Calibri"/>
                <w:color w:val="000000"/>
                <w:szCs w:val="24"/>
              </w:rPr>
              <w:t>Report</w:t>
            </w:r>
          </w:p>
        </w:tc>
        <w:tc>
          <w:tcPr>
            <w:tcW w:w="6554" w:type="dxa"/>
            <w:vAlign w:val="center"/>
          </w:tcPr>
          <w:p w14:paraId="68BF09BB" w14:textId="507D071E" w:rsidR="00302234" w:rsidRPr="00AE79C1" w:rsidRDefault="00302234" w:rsidP="00302234">
            <w:pPr>
              <w:spacing w:after="0"/>
              <w:ind w:left="0"/>
              <w:rPr>
                <w:rFonts w:cs="Calibri"/>
                <w:color w:val="000000"/>
                <w:szCs w:val="24"/>
              </w:rPr>
            </w:pPr>
            <w:r w:rsidRPr="00AE79C1">
              <w:rPr>
                <w:rFonts w:cs="Calibri"/>
                <w:color w:val="000000"/>
                <w:szCs w:val="24"/>
              </w:rPr>
              <w:t>List of service agen</w:t>
            </w:r>
            <w:r w:rsidR="00407158">
              <w:rPr>
                <w:rFonts w:cs="Calibri"/>
                <w:color w:val="000000"/>
                <w:szCs w:val="24"/>
              </w:rPr>
              <w:t>t accounts with credit balances</w:t>
            </w:r>
          </w:p>
        </w:tc>
      </w:tr>
      <w:tr w:rsidR="00302234" w:rsidRPr="000E4EAF" w14:paraId="0BF05BFD" w14:textId="77777777" w:rsidTr="00FB2060">
        <w:trPr>
          <w:trHeight w:val="315"/>
        </w:trPr>
        <w:tc>
          <w:tcPr>
            <w:tcW w:w="697" w:type="dxa"/>
            <w:noWrap/>
            <w:vAlign w:val="center"/>
          </w:tcPr>
          <w:p w14:paraId="0BABEFFB" w14:textId="7AA7A43A" w:rsidR="00302234" w:rsidRPr="00AE79C1" w:rsidRDefault="00302234" w:rsidP="00302234">
            <w:pPr>
              <w:spacing w:after="0"/>
              <w:ind w:left="0"/>
              <w:jc w:val="center"/>
              <w:rPr>
                <w:rFonts w:cs="Calibri"/>
                <w:color w:val="000000"/>
                <w:szCs w:val="24"/>
              </w:rPr>
            </w:pPr>
            <w:r w:rsidRPr="00AE79C1">
              <w:rPr>
                <w:rFonts w:cs="Calibri"/>
                <w:color w:val="000000"/>
                <w:szCs w:val="24"/>
              </w:rPr>
              <w:t>83</w:t>
            </w:r>
          </w:p>
        </w:tc>
        <w:tc>
          <w:tcPr>
            <w:tcW w:w="1661" w:type="dxa"/>
            <w:noWrap/>
            <w:vAlign w:val="center"/>
          </w:tcPr>
          <w:p w14:paraId="5E2225E8" w14:textId="5F38B7C8" w:rsidR="00302234" w:rsidRPr="00AE79C1" w:rsidRDefault="00302234" w:rsidP="00302234">
            <w:pPr>
              <w:spacing w:after="0"/>
              <w:ind w:left="0"/>
              <w:rPr>
                <w:rFonts w:cs="Calibri"/>
                <w:color w:val="000000"/>
                <w:szCs w:val="24"/>
              </w:rPr>
            </w:pPr>
            <w:r w:rsidRPr="00AE79C1">
              <w:rPr>
                <w:rFonts w:cs="Calibri"/>
                <w:color w:val="000000"/>
                <w:szCs w:val="24"/>
              </w:rPr>
              <w:t>Daily</w:t>
            </w:r>
          </w:p>
        </w:tc>
        <w:tc>
          <w:tcPr>
            <w:tcW w:w="2390" w:type="dxa"/>
            <w:noWrap/>
            <w:vAlign w:val="center"/>
          </w:tcPr>
          <w:p w14:paraId="5F15182F" w14:textId="458789D2" w:rsidR="00302234" w:rsidRPr="00AE79C1" w:rsidRDefault="00407158" w:rsidP="00302234">
            <w:pPr>
              <w:spacing w:after="0"/>
              <w:ind w:left="0"/>
              <w:rPr>
                <w:rFonts w:cs="Calibri"/>
                <w:color w:val="000000"/>
                <w:szCs w:val="24"/>
              </w:rPr>
            </w:pPr>
            <w:r>
              <w:rPr>
                <w:rFonts w:cs="Calibri"/>
                <w:color w:val="000000"/>
                <w:szCs w:val="24"/>
              </w:rPr>
              <w:t xml:space="preserve">Fid with </w:t>
            </w:r>
            <w:r w:rsidRPr="00AE79C1">
              <w:rPr>
                <w:rFonts w:cs="Calibri"/>
                <w:color w:val="000000"/>
                <w:szCs w:val="24"/>
              </w:rPr>
              <w:t>Rate Change</w:t>
            </w:r>
          </w:p>
        </w:tc>
        <w:tc>
          <w:tcPr>
            <w:tcW w:w="6554" w:type="dxa"/>
            <w:vAlign w:val="center"/>
          </w:tcPr>
          <w:p w14:paraId="474DBA49" w14:textId="6A8E529B" w:rsidR="00302234" w:rsidRPr="00AE79C1" w:rsidRDefault="00302234" w:rsidP="00302234">
            <w:pPr>
              <w:spacing w:after="0"/>
              <w:ind w:left="0"/>
              <w:rPr>
                <w:rFonts w:cs="Calibri"/>
                <w:color w:val="000000"/>
                <w:szCs w:val="24"/>
              </w:rPr>
            </w:pPr>
            <w:r w:rsidRPr="00AE79C1">
              <w:rPr>
                <w:rFonts w:cs="Calibri"/>
                <w:color w:val="000000"/>
                <w:szCs w:val="24"/>
              </w:rPr>
              <w:t xml:space="preserve">List of </w:t>
            </w:r>
            <w:r>
              <w:rPr>
                <w:rFonts w:cs="Calibri"/>
                <w:color w:val="000000"/>
                <w:szCs w:val="24"/>
              </w:rPr>
              <w:t xml:space="preserve">Employers </w:t>
            </w:r>
            <w:r w:rsidRPr="00AE79C1">
              <w:rPr>
                <w:rFonts w:cs="Calibri"/>
                <w:color w:val="000000"/>
                <w:szCs w:val="24"/>
              </w:rPr>
              <w:t xml:space="preserve">with active bankruptcies where </w:t>
            </w:r>
            <w:r w:rsidR="00407158">
              <w:rPr>
                <w:rFonts w:cs="Calibri"/>
                <w:color w:val="000000"/>
                <w:szCs w:val="24"/>
              </w:rPr>
              <w:t>a tax rate change has been made</w:t>
            </w:r>
          </w:p>
        </w:tc>
      </w:tr>
      <w:tr w:rsidR="00302234" w:rsidRPr="000E4EAF" w14:paraId="273DB7A5" w14:textId="77777777" w:rsidTr="00FB2060">
        <w:trPr>
          <w:trHeight w:val="315"/>
        </w:trPr>
        <w:tc>
          <w:tcPr>
            <w:tcW w:w="697" w:type="dxa"/>
            <w:noWrap/>
            <w:vAlign w:val="center"/>
          </w:tcPr>
          <w:p w14:paraId="1F05A7BE" w14:textId="194590EB" w:rsidR="00302234" w:rsidRPr="00AE79C1" w:rsidRDefault="00302234" w:rsidP="00302234">
            <w:pPr>
              <w:spacing w:after="0"/>
              <w:ind w:left="0"/>
              <w:jc w:val="center"/>
              <w:rPr>
                <w:rFonts w:cs="Calibri"/>
                <w:color w:val="000000"/>
                <w:szCs w:val="24"/>
              </w:rPr>
            </w:pPr>
            <w:r w:rsidRPr="00AE79C1">
              <w:rPr>
                <w:rFonts w:cs="Calibri"/>
                <w:color w:val="000000"/>
                <w:szCs w:val="24"/>
              </w:rPr>
              <w:t>84</w:t>
            </w:r>
          </w:p>
        </w:tc>
        <w:tc>
          <w:tcPr>
            <w:tcW w:w="1661" w:type="dxa"/>
            <w:noWrap/>
            <w:vAlign w:val="center"/>
          </w:tcPr>
          <w:p w14:paraId="3700EBA8" w14:textId="59FE9CDF" w:rsidR="00302234" w:rsidRPr="00AE79C1" w:rsidRDefault="00302234" w:rsidP="00302234">
            <w:pPr>
              <w:spacing w:after="0"/>
              <w:ind w:left="0"/>
              <w:rPr>
                <w:rFonts w:cs="Calibri"/>
                <w:color w:val="000000"/>
                <w:szCs w:val="24"/>
              </w:rPr>
            </w:pPr>
            <w:r w:rsidRPr="00AE79C1">
              <w:rPr>
                <w:rFonts w:cs="Calibri"/>
                <w:color w:val="000000"/>
                <w:szCs w:val="24"/>
              </w:rPr>
              <w:t>Daily</w:t>
            </w:r>
          </w:p>
        </w:tc>
        <w:tc>
          <w:tcPr>
            <w:tcW w:w="2390" w:type="dxa"/>
            <w:noWrap/>
            <w:vAlign w:val="center"/>
          </w:tcPr>
          <w:p w14:paraId="395D5862" w14:textId="7AAD3EB2" w:rsidR="00302234" w:rsidRPr="00AE79C1" w:rsidRDefault="00407158" w:rsidP="00302234">
            <w:pPr>
              <w:spacing w:after="0"/>
              <w:ind w:left="0"/>
              <w:rPr>
                <w:rFonts w:cs="Calibri"/>
                <w:color w:val="000000"/>
                <w:szCs w:val="24"/>
              </w:rPr>
            </w:pPr>
            <w:r w:rsidRPr="00AE79C1">
              <w:rPr>
                <w:rFonts w:cs="Calibri"/>
                <w:color w:val="000000"/>
                <w:szCs w:val="24"/>
              </w:rPr>
              <w:t>Addr</w:t>
            </w:r>
            <w:r>
              <w:rPr>
                <w:rFonts w:cs="Calibri"/>
                <w:color w:val="000000"/>
                <w:szCs w:val="24"/>
              </w:rPr>
              <w:t>ess</w:t>
            </w:r>
            <w:r w:rsidRPr="00AE79C1">
              <w:rPr>
                <w:rFonts w:cs="Calibri"/>
                <w:color w:val="000000"/>
                <w:szCs w:val="24"/>
              </w:rPr>
              <w:t xml:space="preserve"> Change Report</w:t>
            </w:r>
          </w:p>
        </w:tc>
        <w:tc>
          <w:tcPr>
            <w:tcW w:w="6554" w:type="dxa"/>
            <w:vAlign w:val="center"/>
          </w:tcPr>
          <w:p w14:paraId="4D1484F6" w14:textId="61E1EFA7" w:rsidR="00302234" w:rsidRPr="00AE79C1" w:rsidRDefault="00302234" w:rsidP="00302234">
            <w:pPr>
              <w:spacing w:after="0"/>
              <w:ind w:left="0"/>
              <w:rPr>
                <w:rFonts w:cs="Calibri"/>
                <w:color w:val="000000"/>
                <w:szCs w:val="24"/>
              </w:rPr>
            </w:pPr>
            <w:r w:rsidRPr="00AE79C1">
              <w:rPr>
                <w:rFonts w:cs="Calibri"/>
                <w:color w:val="000000"/>
                <w:szCs w:val="24"/>
              </w:rPr>
              <w:t>Provides list of accounts with address changes that may need liens or abstracts filed in new county</w:t>
            </w:r>
          </w:p>
        </w:tc>
      </w:tr>
      <w:tr w:rsidR="00302234" w:rsidRPr="000E4EAF" w14:paraId="40898348" w14:textId="77777777" w:rsidTr="00FB2060">
        <w:trPr>
          <w:trHeight w:val="315"/>
        </w:trPr>
        <w:tc>
          <w:tcPr>
            <w:tcW w:w="697" w:type="dxa"/>
            <w:noWrap/>
            <w:vAlign w:val="center"/>
          </w:tcPr>
          <w:p w14:paraId="05BB0C76" w14:textId="3E16A7C9" w:rsidR="00302234" w:rsidRPr="00AE79C1" w:rsidRDefault="00302234" w:rsidP="00302234">
            <w:pPr>
              <w:spacing w:after="0"/>
              <w:ind w:left="0"/>
              <w:jc w:val="center"/>
              <w:rPr>
                <w:rFonts w:cs="Calibri"/>
                <w:color w:val="000000"/>
                <w:szCs w:val="24"/>
              </w:rPr>
            </w:pPr>
            <w:r w:rsidRPr="00AE79C1">
              <w:rPr>
                <w:rFonts w:cs="Calibri"/>
                <w:color w:val="000000"/>
                <w:szCs w:val="24"/>
              </w:rPr>
              <w:t>85</w:t>
            </w:r>
          </w:p>
        </w:tc>
        <w:tc>
          <w:tcPr>
            <w:tcW w:w="1661" w:type="dxa"/>
            <w:noWrap/>
            <w:vAlign w:val="center"/>
          </w:tcPr>
          <w:p w14:paraId="73D9C456" w14:textId="1424C3EC" w:rsidR="00302234" w:rsidRPr="00AE79C1" w:rsidRDefault="00302234" w:rsidP="00302234">
            <w:pPr>
              <w:spacing w:after="0"/>
              <w:ind w:left="0"/>
              <w:rPr>
                <w:rFonts w:cs="Calibri"/>
                <w:color w:val="000000"/>
                <w:szCs w:val="24"/>
              </w:rPr>
            </w:pPr>
            <w:r w:rsidRPr="00AE79C1">
              <w:rPr>
                <w:rFonts w:cs="Calibri"/>
                <w:color w:val="000000"/>
                <w:szCs w:val="24"/>
              </w:rPr>
              <w:t>Monthly</w:t>
            </w:r>
          </w:p>
        </w:tc>
        <w:tc>
          <w:tcPr>
            <w:tcW w:w="2390" w:type="dxa"/>
            <w:noWrap/>
            <w:vAlign w:val="center"/>
          </w:tcPr>
          <w:p w14:paraId="044DFD4C" w14:textId="10AB885E" w:rsidR="00302234" w:rsidRPr="00AE79C1" w:rsidRDefault="00302234" w:rsidP="00302234">
            <w:pPr>
              <w:spacing w:after="0"/>
              <w:ind w:left="0"/>
              <w:rPr>
                <w:rFonts w:cs="Calibri"/>
                <w:color w:val="000000"/>
                <w:szCs w:val="24"/>
              </w:rPr>
            </w:pPr>
            <w:r w:rsidRPr="00AE79C1">
              <w:rPr>
                <w:rFonts w:cs="Calibri"/>
                <w:color w:val="000000"/>
                <w:szCs w:val="24"/>
              </w:rPr>
              <w:t>Judgment Renewal List</w:t>
            </w:r>
          </w:p>
        </w:tc>
        <w:tc>
          <w:tcPr>
            <w:tcW w:w="6554" w:type="dxa"/>
            <w:vAlign w:val="center"/>
          </w:tcPr>
          <w:p w14:paraId="3EFB0F5F" w14:textId="231B92A6" w:rsidR="00302234" w:rsidRPr="00AE79C1" w:rsidRDefault="00302234" w:rsidP="00302234">
            <w:pPr>
              <w:spacing w:after="0"/>
              <w:ind w:left="0"/>
              <w:rPr>
                <w:rFonts w:cs="Calibri"/>
                <w:color w:val="000000"/>
                <w:szCs w:val="24"/>
              </w:rPr>
            </w:pPr>
            <w:r w:rsidRPr="00AE79C1">
              <w:rPr>
                <w:rFonts w:cs="Calibri"/>
                <w:color w:val="000000"/>
                <w:szCs w:val="24"/>
              </w:rPr>
              <w:t>Provides list of accounts where judgment will soon expire</w:t>
            </w:r>
          </w:p>
        </w:tc>
      </w:tr>
      <w:tr w:rsidR="00302234" w:rsidRPr="000E4EAF" w14:paraId="6A5F0A0D" w14:textId="77777777" w:rsidTr="00FB2060">
        <w:trPr>
          <w:trHeight w:val="315"/>
        </w:trPr>
        <w:tc>
          <w:tcPr>
            <w:tcW w:w="697" w:type="dxa"/>
            <w:noWrap/>
            <w:vAlign w:val="center"/>
          </w:tcPr>
          <w:p w14:paraId="767E3DD7" w14:textId="6B972D23" w:rsidR="00302234" w:rsidRPr="00AE79C1" w:rsidRDefault="00302234" w:rsidP="00302234">
            <w:pPr>
              <w:spacing w:after="0"/>
              <w:ind w:left="0"/>
              <w:jc w:val="center"/>
              <w:rPr>
                <w:rFonts w:cs="Calibri"/>
                <w:color w:val="000000"/>
                <w:szCs w:val="24"/>
              </w:rPr>
            </w:pPr>
            <w:r w:rsidRPr="00AE79C1">
              <w:rPr>
                <w:rFonts w:cs="Calibri"/>
                <w:color w:val="000000"/>
                <w:szCs w:val="24"/>
              </w:rPr>
              <w:t>86</w:t>
            </w:r>
          </w:p>
        </w:tc>
        <w:tc>
          <w:tcPr>
            <w:tcW w:w="1661" w:type="dxa"/>
            <w:noWrap/>
            <w:vAlign w:val="center"/>
          </w:tcPr>
          <w:p w14:paraId="64175564" w14:textId="66CA9F8A" w:rsidR="00302234" w:rsidRPr="00AE79C1" w:rsidRDefault="00302234" w:rsidP="00302234">
            <w:pPr>
              <w:spacing w:after="0"/>
              <w:ind w:left="0"/>
              <w:rPr>
                <w:rFonts w:cs="Calibri"/>
                <w:color w:val="000000"/>
                <w:szCs w:val="24"/>
              </w:rPr>
            </w:pPr>
            <w:r w:rsidRPr="00AE79C1">
              <w:rPr>
                <w:rFonts w:cs="Calibri"/>
                <w:color w:val="000000"/>
                <w:szCs w:val="24"/>
              </w:rPr>
              <w:t>Monthly</w:t>
            </w:r>
          </w:p>
        </w:tc>
        <w:tc>
          <w:tcPr>
            <w:tcW w:w="2390" w:type="dxa"/>
            <w:noWrap/>
            <w:vAlign w:val="center"/>
          </w:tcPr>
          <w:p w14:paraId="6E33D9EE" w14:textId="2BDE32A2" w:rsidR="00302234" w:rsidRPr="00AE79C1" w:rsidRDefault="00407158" w:rsidP="00302234">
            <w:pPr>
              <w:spacing w:after="0"/>
              <w:ind w:left="0"/>
              <w:rPr>
                <w:rFonts w:cs="Calibri"/>
                <w:color w:val="000000"/>
                <w:szCs w:val="24"/>
              </w:rPr>
            </w:pPr>
            <w:r>
              <w:rPr>
                <w:rFonts w:cs="Calibri"/>
                <w:color w:val="000000"/>
                <w:szCs w:val="24"/>
              </w:rPr>
              <w:t>A</w:t>
            </w:r>
            <w:r w:rsidRPr="00AE79C1">
              <w:rPr>
                <w:rFonts w:cs="Calibri"/>
                <w:color w:val="000000"/>
                <w:szCs w:val="24"/>
              </w:rPr>
              <w:t xml:space="preserve">ssessment </w:t>
            </w:r>
            <w:r w:rsidR="00302234" w:rsidRPr="00AE79C1">
              <w:rPr>
                <w:rFonts w:cs="Calibri"/>
                <w:color w:val="000000"/>
                <w:szCs w:val="24"/>
              </w:rPr>
              <w:t>Renewal List</w:t>
            </w:r>
          </w:p>
        </w:tc>
        <w:tc>
          <w:tcPr>
            <w:tcW w:w="6554" w:type="dxa"/>
            <w:vAlign w:val="center"/>
          </w:tcPr>
          <w:p w14:paraId="563C8249" w14:textId="4858340D" w:rsidR="00302234" w:rsidRPr="00AE79C1" w:rsidRDefault="00302234" w:rsidP="00302234">
            <w:pPr>
              <w:spacing w:after="0"/>
              <w:ind w:left="0"/>
              <w:rPr>
                <w:rFonts w:cs="Calibri"/>
                <w:color w:val="000000"/>
                <w:szCs w:val="24"/>
              </w:rPr>
            </w:pPr>
            <w:r w:rsidRPr="00AE79C1">
              <w:rPr>
                <w:rFonts w:cs="Calibri"/>
                <w:color w:val="000000"/>
                <w:szCs w:val="24"/>
              </w:rPr>
              <w:t>Provides list of accounts where assessment will soon expire</w:t>
            </w:r>
          </w:p>
        </w:tc>
      </w:tr>
      <w:tr w:rsidR="00302234" w:rsidRPr="000E4EAF" w14:paraId="6F6A6B10" w14:textId="77777777" w:rsidTr="00FB2060">
        <w:trPr>
          <w:trHeight w:val="315"/>
        </w:trPr>
        <w:tc>
          <w:tcPr>
            <w:tcW w:w="697" w:type="dxa"/>
            <w:noWrap/>
            <w:vAlign w:val="center"/>
          </w:tcPr>
          <w:p w14:paraId="5B118543" w14:textId="4B88EB3A" w:rsidR="00302234" w:rsidRPr="00AE79C1" w:rsidRDefault="00302234" w:rsidP="00302234">
            <w:pPr>
              <w:spacing w:after="0"/>
              <w:ind w:left="0"/>
              <w:jc w:val="center"/>
              <w:rPr>
                <w:rFonts w:cs="Calibri"/>
                <w:color w:val="000000"/>
                <w:szCs w:val="24"/>
              </w:rPr>
            </w:pPr>
            <w:r w:rsidRPr="00AE79C1">
              <w:rPr>
                <w:rFonts w:cs="Calibri"/>
                <w:color w:val="000000"/>
                <w:szCs w:val="24"/>
              </w:rPr>
              <w:t>87</w:t>
            </w:r>
          </w:p>
        </w:tc>
        <w:tc>
          <w:tcPr>
            <w:tcW w:w="1661" w:type="dxa"/>
            <w:noWrap/>
            <w:vAlign w:val="center"/>
          </w:tcPr>
          <w:p w14:paraId="4A3254CC" w14:textId="56EB72F4" w:rsidR="00302234" w:rsidRPr="00AE79C1" w:rsidRDefault="00302234" w:rsidP="00302234">
            <w:pPr>
              <w:spacing w:after="0"/>
              <w:ind w:left="0"/>
              <w:rPr>
                <w:rFonts w:cs="Calibri"/>
                <w:color w:val="000000"/>
                <w:szCs w:val="24"/>
              </w:rPr>
            </w:pPr>
            <w:r w:rsidRPr="00AE79C1">
              <w:rPr>
                <w:rFonts w:cs="Calibri"/>
                <w:color w:val="000000"/>
                <w:szCs w:val="24"/>
              </w:rPr>
              <w:t>Monthly</w:t>
            </w:r>
          </w:p>
        </w:tc>
        <w:tc>
          <w:tcPr>
            <w:tcW w:w="2390" w:type="dxa"/>
            <w:noWrap/>
            <w:vAlign w:val="center"/>
          </w:tcPr>
          <w:p w14:paraId="07EC00D0" w14:textId="4770C75D" w:rsidR="00302234" w:rsidRPr="00AE79C1" w:rsidRDefault="00302234" w:rsidP="00302234">
            <w:pPr>
              <w:spacing w:after="0"/>
              <w:ind w:left="0"/>
              <w:rPr>
                <w:rFonts w:cs="Calibri"/>
                <w:color w:val="000000"/>
                <w:szCs w:val="24"/>
              </w:rPr>
            </w:pPr>
            <w:r w:rsidRPr="00AE79C1">
              <w:rPr>
                <w:rFonts w:cs="Calibri"/>
                <w:color w:val="000000"/>
                <w:szCs w:val="24"/>
              </w:rPr>
              <w:t xml:space="preserve">Input Abstract of </w:t>
            </w:r>
            <w:r w:rsidR="00407158">
              <w:rPr>
                <w:rFonts w:cs="Calibri"/>
                <w:color w:val="000000"/>
                <w:szCs w:val="24"/>
              </w:rPr>
              <w:t>A</w:t>
            </w:r>
            <w:r w:rsidR="00407158" w:rsidRPr="00AE79C1">
              <w:rPr>
                <w:rFonts w:cs="Calibri"/>
                <w:color w:val="000000"/>
                <w:szCs w:val="24"/>
              </w:rPr>
              <w:t>ssessment</w:t>
            </w:r>
          </w:p>
        </w:tc>
        <w:tc>
          <w:tcPr>
            <w:tcW w:w="6554" w:type="dxa"/>
            <w:vAlign w:val="center"/>
          </w:tcPr>
          <w:p w14:paraId="03E7D1DB" w14:textId="4E243FC1" w:rsidR="00302234" w:rsidRPr="00AE79C1" w:rsidRDefault="00302234" w:rsidP="00302234">
            <w:pPr>
              <w:spacing w:after="0"/>
              <w:ind w:left="0"/>
              <w:rPr>
                <w:rFonts w:cs="Calibri"/>
                <w:color w:val="000000"/>
                <w:szCs w:val="24"/>
              </w:rPr>
            </w:pPr>
            <w:r w:rsidRPr="00AE79C1">
              <w:rPr>
                <w:rFonts w:cs="Calibri"/>
                <w:color w:val="000000"/>
                <w:szCs w:val="24"/>
              </w:rPr>
              <w:t>Provides list of accounts where abstracts may produce for renewal of assessment</w:t>
            </w:r>
          </w:p>
        </w:tc>
      </w:tr>
      <w:tr w:rsidR="00302234" w:rsidRPr="000E4EAF" w14:paraId="2FEA253E" w14:textId="77777777" w:rsidTr="00FB2060">
        <w:trPr>
          <w:trHeight w:val="315"/>
        </w:trPr>
        <w:tc>
          <w:tcPr>
            <w:tcW w:w="697" w:type="dxa"/>
            <w:noWrap/>
            <w:vAlign w:val="center"/>
          </w:tcPr>
          <w:p w14:paraId="609A40F8" w14:textId="6094DDC0" w:rsidR="00302234" w:rsidRPr="00AE79C1" w:rsidRDefault="00302234" w:rsidP="00302234">
            <w:pPr>
              <w:spacing w:after="0"/>
              <w:ind w:left="0"/>
              <w:jc w:val="center"/>
              <w:rPr>
                <w:rFonts w:cs="Calibri"/>
                <w:color w:val="000000"/>
                <w:szCs w:val="24"/>
              </w:rPr>
            </w:pPr>
            <w:r w:rsidRPr="00AE79C1">
              <w:rPr>
                <w:rFonts w:cs="Calibri"/>
                <w:color w:val="000000"/>
                <w:szCs w:val="24"/>
              </w:rPr>
              <w:t>88</w:t>
            </w:r>
          </w:p>
        </w:tc>
        <w:tc>
          <w:tcPr>
            <w:tcW w:w="1661" w:type="dxa"/>
            <w:noWrap/>
            <w:vAlign w:val="center"/>
          </w:tcPr>
          <w:p w14:paraId="18BB4330" w14:textId="4BFBBA25" w:rsidR="00302234" w:rsidRPr="00AE79C1" w:rsidRDefault="00302234" w:rsidP="00302234">
            <w:pPr>
              <w:spacing w:after="0"/>
              <w:ind w:left="0"/>
              <w:rPr>
                <w:rFonts w:cs="Calibri"/>
                <w:color w:val="000000"/>
                <w:szCs w:val="24"/>
              </w:rPr>
            </w:pPr>
            <w:r w:rsidRPr="00AE79C1">
              <w:rPr>
                <w:rFonts w:cs="Calibri"/>
                <w:color w:val="000000"/>
                <w:szCs w:val="24"/>
              </w:rPr>
              <w:t>Monthly</w:t>
            </w:r>
          </w:p>
        </w:tc>
        <w:tc>
          <w:tcPr>
            <w:tcW w:w="2390" w:type="dxa"/>
            <w:noWrap/>
            <w:vAlign w:val="center"/>
          </w:tcPr>
          <w:p w14:paraId="630D3ACA" w14:textId="13FD30BA" w:rsidR="00302234" w:rsidRPr="00AE79C1" w:rsidRDefault="00407158" w:rsidP="00302234">
            <w:pPr>
              <w:spacing w:after="0"/>
              <w:ind w:left="0"/>
              <w:rPr>
                <w:rFonts w:cs="Calibri"/>
                <w:color w:val="000000"/>
                <w:szCs w:val="24"/>
              </w:rPr>
            </w:pPr>
            <w:r>
              <w:rPr>
                <w:rFonts w:cs="Calibri"/>
                <w:color w:val="000000"/>
                <w:szCs w:val="24"/>
              </w:rPr>
              <w:t>A</w:t>
            </w:r>
            <w:r w:rsidRPr="00AE79C1">
              <w:rPr>
                <w:rFonts w:cs="Calibri"/>
                <w:color w:val="000000"/>
                <w:szCs w:val="24"/>
              </w:rPr>
              <w:t xml:space="preserve">ssessment </w:t>
            </w:r>
            <w:r w:rsidR="00302234" w:rsidRPr="00AE79C1">
              <w:rPr>
                <w:rFonts w:cs="Calibri"/>
                <w:color w:val="000000"/>
                <w:szCs w:val="24"/>
              </w:rPr>
              <w:t xml:space="preserve">Status </w:t>
            </w:r>
            <w:r w:rsidRPr="00AE79C1">
              <w:rPr>
                <w:rFonts w:cs="Calibri"/>
                <w:color w:val="000000"/>
                <w:szCs w:val="24"/>
              </w:rPr>
              <w:t>Report</w:t>
            </w:r>
          </w:p>
        </w:tc>
        <w:tc>
          <w:tcPr>
            <w:tcW w:w="6554" w:type="dxa"/>
            <w:vAlign w:val="center"/>
          </w:tcPr>
          <w:p w14:paraId="0D95339F" w14:textId="59E83A33" w:rsidR="00302234" w:rsidRPr="00AE79C1" w:rsidRDefault="00302234" w:rsidP="00302234">
            <w:pPr>
              <w:spacing w:after="0"/>
              <w:ind w:left="0"/>
              <w:rPr>
                <w:rFonts w:cs="Calibri"/>
                <w:color w:val="000000"/>
                <w:szCs w:val="24"/>
              </w:rPr>
            </w:pPr>
            <w:r w:rsidRPr="00AE79C1">
              <w:rPr>
                <w:rFonts w:cs="Calibri"/>
                <w:color w:val="000000"/>
                <w:szCs w:val="24"/>
              </w:rPr>
              <w:t>Indicates status of accounts where an assessment has been initiated</w:t>
            </w:r>
          </w:p>
        </w:tc>
      </w:tr>
      <w:tr w:rsidR="00302234" w:rsidRPr="000E4EAF" w14:paraId="18982BC2" w14:textId="77777777" w:rsidTr="00FB2060">
        <w:trPr>
          <w:trHeight w:val="315"/>
        </w:trPr>
        <w:tc>
          <w:tcPr>
            <w:tcW w:w="697" w:type="dxa"/>
            <w:noWrap/>
            <w:vAlign w:val="center"/>
          </w:tcPr>
          <w:p w14:paraId="44A38421" w14:textId="4878FCE9" w:rsidR="00302234" w:rsidRPr="00AE79C1" w:rsidRDefault="00302234" w:rsidP="00302234">
            <w:pPr>
              <w:spacing w:after="0"/>
              <w:ind w:left="0"/>
              <w:jc w:val="center"/>
              <w:rPr>
                <w:rFonts w:cs="Calibri"/>
                <w:color w:val="000000"/>
                <w:szCs w:val="24"/>
              </w:rPr>
            </w:pPr>
            <w:r w:rsidRPr="00AE79C1">
              <w:rPr>
                <w:rFonts w:cs="Calibri"/>
                <w:color w:val="000000"/>
                <w:szCs w:val="24"/>
              </w:rPr>
              <w:t>89</w:t>
            </w:r>
          </w:p>
        </w:tc>
        <w:tc>
          <w:tcPr>
            <w:tcW w:w="1661" w:type="dxa"/>
            <w:noWrap/>
            <w:vAlign w:val="center"/>
          </w:tcPr>
          <w:p w14:paraId="5010C034" w14:textId="4E0EC4CF" w:rsidR="00302234" w:rsidRPr="00AE79C1" w:rsidRDefault="00302234" w:rsidP="00302234">
            <w:pPr>
              <w:spacing w:after="0"/>
              <w:ind w:left="0"/>
              <w:rPr>
                <w:rFonts w:cs="Calibri"/>
                <w:color w:val="000000"/>
                <w:szCs w:val="24"/>
              </w:rPr>
            </w:pPr>
            <w:r w:rsidRPr="00AE79C1">
              <w:rPr>
                <w:rFonts w:cs="Calibri"/>
                <w:color w:val="000000"/>
                <w:szCs w:val="24"/>
              </w:rPr>
              <w:t>Monthly</w:t>
            </w:r>
          </w:p>
        </w:tc>
        <w:tc>
          <w:tcPr>
            <w:tcW w:w="2390" w:type="dxa"/>
            <w:noWrap/>
            <w:vAlign w:val="center"/>
          </w:tcPr>
          <w:p w14:paraId="2DAA590B" w14:textId="1B2F9E5A" w:rsidR="00302234" w:rsidRPr="00AE79C1" w:rsidRDefault="00302234" w:rsidP="00302234">
            <w:pPr>
              <w:spacing w:after="0"/>
              <w:ind w:left="0"/>
              <w:rPr>
                <w:rFonts w:cs="Calibri"/>
                <w:color w:val="000000"/>
                <w:szCs w:val="24"/>
              </w:rPr>
            </w:pPr>
            <w:r w:rsidRPr="00AE79C1">
              <w:rPr>
                <w:rFonts w:cs="Calibri"/>
                <w:color w:val="000000"/>
                <w:szCs w:val="24"/>
              </w:rPr>
              <w:t>Succ</w:t>
            </w:r>
            <w:r w:rsidR="00407158">
              <w:rPr>
                <w:rFonts w:cs="Calibri"/>
                <w:color w:val="000000"/>
                <w:szCs w:val="24"/>
              </w:rPr>
              <w:t>essor</w:t>
            </w:r>
            <w:r w:rsidRPr="00AE79C1">
              <w:rPr>
                <w:rFonts w:cs="Calibri"/>
                <w:color w:val="000000"/>
                <w:szCs w:val="24"/>
              </w:rPr>
              <w:t xml:space="preserve"> Liab</w:t>
            </w:r>
            <w:r w:rsidR="00407158">
              <w:rPr>
                <w:rFonts w:cs="Calibri"/>
                <w:color w:val="000000"/>
                <w:szCs w:val="24"/>
              </w:rPr>
              <w:t>ility</w:t>
            </w:r>
            <w:r w:rsidRPr="00AE79C1">
              <w:rPr>
                <w:rFonts w:cs="Calibri"/>
                <w:color w:val="000000"/>
                <w:szCs w:val="24"/>
              </w:rPr>
              <w:t xml:space="preserve"> Accts</w:t>
            </w:r>
          </w:p>
        </w:tc>
        <w:tc>
          <w:tcPr>
            <w:tcW w:w="6554" w:type="dxa"/>
            <w:vAlign w:val="center"/>
          </w:tcPr>
          <w:p w14:paraId="7B26BFC7" w14:textId="698C0F46" w:rsidR="00302234" w:rsidRPr="00AE79C1" w:rsidRDefault="00302234" w:rsidP="00302234">
            <w:pPr>
              <w:spacing w:after="0"/>
              <w:ind w:left="0"/>
              <w:rPr>
                <w:rFonts w:cs="Calibri"/>
                <w:color w:val="000000"/>
                <w:szCs w:val="24"/>
              </w:rPr>
            </w:pPr>
            <w:r w:rsidRPr="00AE79C1">
              <w:rPr>
                <w:rFonts w:cs="Calibri"/>
                <w:color w:val="000000"/>
                <w:szCs w:val="24"/>
              </w:rPr>
              <w:t>Provides list of accounts to review for successor liability collection action</w:t>
            </w:r>
          </w:p>
        </w:tc>
      </w:tr>
      <w:tr w:rsidR="00302234" w:rsidRPr="000E4EAF" w14:paraId="47939D1C" w14:textId="77777777" w:rsidTr="00FB2060">
        <w:trPr>
          <w:trHeight w:val="315"/>
        </w:trPr>
        <w:tc>
          <w:tcPr>
            <w:tcW w:w="697" w:type="dxa"/>
            <w:noWrap/>
            <w:vAlign w:val="center"/>
          </w:tcPr>
          <w:p w14:paraId="20D36BB3" w14:textId="51D77CFB" w:rsidR="00302234" w:rsidRPr="00AE79C1" w:rsidRDefault="00302234" w:rsidP="00302234">
            <w:pPr>
              <w:spacing w:after="0"/>
              <w:ind w:left="0"/>
              <w:jc w:val="center"/>
              <w:rPr>
                <w:rFonts w:cs="Calibri"/>
                <w:color w:val="000000"/>
                <w:szCs w:val="24"/>
              </w:rPr>
            </w:pPr>
            <w:r w:rsidRPr="00AE79C1">
              <w:rPr>
                <w:rFonts w:cs="Calibri"/>
                <w:color w:val="000000"/>
                <w:szCs w:val="24"/>
              </w:rPr>
              <w:t>90</w:t>
            </w:r>
          </w:p>
        </w:tc>
        <w:tc>
          <w:tcPr>
            <w:tcW w:w="1661" w:type="dxa"/>
            <w:noWrap/>
            <w:vAlign w:val="center"/>
          </w:tcPr>
          <w:p w14:paraId="69D76AAC" w14:textId="629A52D0" w:rsidR="00302234" w:rsidRPr="00AE79C1" w:rsidRDefault="00302234" w:rsidP="00302234">
            <w:pPr>
              <w:spacing w:after="0"/>
              <w:ind w:left="0"/>
              <w:rPr>
                <w:rFonts w:cs="Calibri"/>
                <w:color w:val="000000"/>
                <w:szCs w:val="24"/>
              </w:rPr>
            </w:pPr>
            <w:r w:rsidRPr="00AE79C1">
              <w:rPr>
                <w:rFonts w:cs="Calibri"/>
                <w:color w:val="000000"/>
                <w:szCs w:val="24"/>
              </w:rPr>
              <w:t>Monthly</w:t>
            </w:r>
          </w:p>
        </w:tc>
        <w:tc>
          <w:tcPr>
            <w:tcW w:w="2390" w:type="dxa"/>
            <w:noWrap/>
            <w:vAlign w:val="center"/>
          </w:tcPr>
          <w:p w14:paraId="08242E9E" w14:textId="0A255EF7" w:rsidR="00302234" w:rsidRPr="00AE79C1" w:rsidRDefault="00407158" w:rsidP="00302234">
            <w:pPr>
              <w:spacing w:after="0"/>
              <w:ind w:left="0"/>
              <w:rPr>
                <w:rFonts w:cs="Calibri"/>
                <w:color w:val="000000"/>
                <w:szCs w:val="24"/>
              </w:rPr>
            </w:pPr>
            <w:r w:rsidRPr="00AE79C1">
              <w:rPr>
                <w:rFonts w:cs="Calibri"/>
                <w:color w:val="000000"/>
                <w:szCs w:val="24"/>
              </w:rPr>
              <w:t>Stop Code 85/86 Report</w:t>
            </w:r>
          </w:p>
        </w:tc>
        <w:tc>
          <w:tcPr>
            <w:tcW w:w="6554" w:type="dxa"/>
            <w:vAlign w:val="center"/>
          </w:tcPr>
          <w:p w14:paraId="6F1D069D" w14:textId="23B83C94" w:rsidR="00302234" w:rsidRPr="00AE79C1" w:rsidRDefault="00302234" w:rsidP="00302234">
            <w:pPr>
              <w:spacing w:after="0"/>
              <w:ind w:left="0"/>
              <w:rPr>
                <w:rFonts w:cs="Calibri"/>
                <w:color w:val="000000"/>
                <w:szCs w:val="24"/>
              </w:rPr>
            </w:pPr>
            <w:r w:rsidRPr="00AE79C1">
              <w:rPr>
                <w:rFonts w:cs="Calibri"/>
                <w:color w:val="000000"/>
                <w:szCs w:val="24"/>
              </w:rPr>
              <w:t xml:space="preserve">Report that shows accounts where a bankruptcy stop (85) exists or when payment was received that may not have allocated properly due to an open collection action such as an open bank freeze (86) </w:t>
            </w:r>
          </w:p>
        </w:tc>
      </w:tr>
      <w:tr w:rsidR="00302234" w:rsidRPr="000E4EAF" w14:paraId="3CAA39F9" w14:textId="77777777" w:rsidTr="00FB2060">
        <w:trPr>
          <w:trHeight w:val="315"/>
        </w:trPr>
        <w:tc>
          <w:tcPr>
            <w:tcW w:w="697" w:type="dxa"/>
            <w:noWrap/>
            <w:vAlign w:val="center"/>
          </w:tcPr>
          <w:p w14:paraId="04FF208E" w14:textId="5A4D065F" w:rsidR="00302234" w:rsidRPr="00AE79C1" w:rsidRDefault="00302234" w:rsidP="00302234">
            <w:pPr>
              <w:spacing w:after="0"/>
              <w:ind w:left="0"/>
              <w:jc w:val="center"/>
              <w:rPr>
                <w:rFonts w:cs="Calibri"/>
                <w:color w:val="000000"/>
                <w:szCs w:val="24"/>
              </w:rPr>
            </w:pPr>
            <w:r w:rsidRPr="00AE79C1">
              <w:rPr>
                <w:rFonts w:cs="Calibri"/>
                <w:color w:val="000000"/>
                <w:szCs w:val="24"/>
              </w:rPr>
              <w:t>91</w:t>
            </w:r>
          </w:p>
        </w:tc>
        <w:tc>
          <w:tcPr>
            <w:tcW w:w="1661" w:type="dxa"/>
            <w:noWrap/>
            <w:vAlign w:val="center"/>
          </w:tcPr>
          <w:p w14:paraId="4A9091D8" w14:textId="795A06D6" w:rsidR="00302234" w:rsidRPr="00AE79C1" w:rsidRDefault="00302234" w:rsidP="00302234">
            <w:pPr>
              <w:spacing w:after="0"/>
              <w:ind w:left="0"/>
              <w:rPr>
                <w:rFonts w:cs="Calibri"/>
                <w:color w:val="000000"/>
                <w:szCs w:val="24"/>
              </w:rPr>
            </w:pPr>
            <w:r w:rsidRPr="00AE79C1">
              <w:rPr>
                <w:rFonts w:cs="Calibri"/>
                <w:color w:val="000000"/>
                <w:szCs w:val="24"/>
              </w:rPr>
              <w:t>Monthly</w:t>
            </w:r>
          </w:p>
        </w:tc>
        <w:tc>
          <w:tcPr>
            <w:tcW w:w="2390" w:type="dxa"/>
            <w:noWrap/>
            <w:vAlign w:val="center"/>
          </w:tcPr>
          <w:p w14:paraId="2737F665" w14:textId="473E881F" w:rsidR="00302234" w:rsidRPr="00AE79C1" w:rsidRDefault="00302234" w:rsidP="00302234">
            <w:pPr>
              <w:spacing w:after="0"/>
              <w:ind w:left="0"/>
              <w:rPr>
                <w:rFonts w:cs="Calibri"/>
                <w:color w:val="000000"/>
                <w:szCs w:val="24"/>
              </w:rPr>
            </w:pPr>
            <w:r w:rsidRPr="00AE79C1">
              <w:rPr>
                <w:rFonts w:cs="Calibri"/>
                <w:color w:val="000000"/>
                <w:szCs w:val="24"/>
              </w:rPr>
              <w:t xml:space="preserve">Judicial Fee Fund Transfer </w:t>
            </w:r>
            <w:r w:rsidR="00407158" w:rsidRPr="00AE79C1">
              <w:rPr>
                <w:rFonts w:cs="Calibri"/>
                <w:color w:val="000000"/>
                <w:szCs w:val="24"/>
              </w:rPr>
              <w:t>Report</w:t>
            </w:r>
          </w:p>
        </w:tc>
        <w:tc>
          <w:tcPr>
            <w:tcW w:w="6554" w:type="dxa"/>
            <w:vAlign w:val="center"/>
          </w:tcPr>
          <w:p w14:paraId="28F43BE3" w14:textId="1FDB9C1D" w:rsidR="00302234" w:rsidRPr="00AE79C1" w:rsidRDefault="00302234" w:rsidP="00302234">
            <w:pPr>
              <w:spacing w:after="0"/>
              <w:ind w:left="0"/>
              <w:rPr>
                <w:rFonts w:cs="Calibri"/>
                <w:color w:val="000000"/>
                <w:szCs w:val="24"/>
              </w:rPr>
            </w:pPr>
            <w:r w:rsidRPr="00AE79C1">
              <w:rPr>
                <w:rFonts w:cs="Calibri"/>
                <w:color w:val="000000"/>
                <w:szCs w:val="24"/>
              </w:rPr>
              <w:t>Provides list of accounts that have had judicial fees paid (court costs on paid Judgments)</w:t>
            </w:r>
          </w:p>
        </w:tc>
      </w:tr>
      <w:tr w:rsidR="00302234" w:rsidRPr="000E4EAF" w14:paraId="79BF605A" w14:textId="77777777" w:rsidTr="00FB2060">
        <w:trPr>
          <w:trHeight w:val="315"/>
        </w:trPr>
        <w:tc>
          <w:tcPr>
            <w:tcW w:w="697" w:type="dxa"/>
            <w:noWrap/>
            <w:vAlign w:val="center"/>
          </w:tcPr>
          <w:p w14:paraId="697EDC5F" w14:textId="39368A2F" w:rsidR="00302234" w:rsidRPr="00AE79C1" w:rsidRDefault="00302234" w:rsidP="00302234">
            <w:pPr>
              <w:spacing w:after="0"/>
              <w:ind w:left="0"/>
              <w:jc w:val="center"/>
              <w:rPr>
                <w:rFonts w:cs="Calibri"/>
                <w:color w:val="000000"/>
                <w:szCs w:val="24"/>
              </w:rPr>
            </w:pPr>
            <w:r w:rsidRPr="00AE79C1">
              <w:rPr>
                <w:rFonts w:cs="Calibri"/>
                <w:color w:val="000000"/>
                <w:szCs w:val="24"/>
              </w:rPr>
              <w:t>92</w:t>
            </w:r>
          </w:p>
        </w:tc>
        <w:tc>
          <w:tcPr>
            <w:tcW w:w="1661" w:type="dxa"/>
            <w:noWrap/>
            <w:vAlign w:val="center"/>
          </w:tcPr>
          <w:p w14:paraId="42D91D53" w14:textId="049F9A3C" w:rsidR="00302234" w:rsidRPr="00AE79C1" w:rsidRDefault="00302234" w:rsidP="00302234">
            <w:pPr>
              <w:spacing w:after="0"/>
              <w:ind w:left="0"/>
              <w:rPr>
                <w:rFonts w:cs="Calibri"/>
                <w:color w:val="000000"/>
                <w:szCs w:val="24"/>
              </w:rPr>
            </w:pPr>
            <w:r w:rsidRPr="00AE79C1">
              <w:rPr>
                <w:rFonts w:cs="Calibri"/>
                <w:color w:val="000000"/>
                <w:szCs w:val="24"/>
              </w:rPr>
              <w:t>Monthly</w:t>
            </w:r>
          </w:p>
        </w:tc>
        <w:tc>
          <w:tcPr>
            <w:tcW w:w="2390" w:type="dxa"/>
            <w:noWrap/>
            <w:vAlign w:val="center"/>
          </w:tcPr>
          <w:p w14:paraId="1E46D9D0" w14:textId="0803D1CD" w:rsidR="00302234" w:rsidRPr="00AE79C1" w:rsidRDefault="00302234" w:rsidP="00302234">
            <w:pPr>
              <w:spacing w:after="0"/>
              <w:ind w:left="0"/>
              <w:rPr>
                <w:rFonts w:cs="Calibri"/>
                <w:color w:val="000000"/>
                <w:szCs w:val="24"/>
              </w:rPr>
            </w:pPr>
            <w:r w:rsidRPr="00AE79C1">
              <w:rPr>
                <w:rFonts w:cs="Calibri"/>
                <w:color w:val="000000"/>
                <w:szCs w:val="24"/>
              </w:rPr>
              <w:t>Allocate Remittance Error Listing</w:t>
            </w:r>
          </w:p>
        </w:tc>
        <w:tc>
          <w:tcPr>
            <w:tcW w:w="6554" w:type="dxa"/>
            <w:vAlign w:val="center"/>
          </w:tcPr>
          <w:p w14:paraId="1F1EC02E" w14:textId="52140236" w:rsidR="00302234" w:rsidRPr="00AE79C1" w:rsidRDefault="00302234" w:rsidP="00302234">
            <w:pPr>
              <w:spacing w:after="0"/>
              <w:ind w:left="0"/>
              <w:rPr>
                <w:rFonts w:cs="Calibri"/>
                <w:color w:val="000000"/>
                <w:szCs w:val="24"/>
              </w:rPr>
            </w:pPr>
            <w:r w:rsidRPr="00AE79C1">
              <w:rPr>
                <w:rFonts w:cs="Calibri"/>
                <w:color w:val="000000"/>
                <w:szCs w:val="24"/>
              </w:rPr>
              <w:t>Provides information on accounts in bankruptcy where payments have issues/errors that n</w:t>
            </w:r>
            <w:r w:rsidR="00407158">
              <w:rPr>
                <w:rFonts w:cs="Calibri"/>
                <w:color w:val="000000"/>
                <w:szCs w:val="24"/>
              </w:rPr>
              <w:t>eed to be reviewed</w:t>
            </w:r>
          </w:p>
        </w:tc>
      </w:tr>
      <w:tr w:rsidR="00302234" w:rsidRPr="000E4EAF" w14:paraId="0FBAA673" w14:textId="77777777" w:rsidTr="00FB2060">
        <w:trPr>
          <w:trHeight w:val="315"/>
        </w:trPr>
        <w:tc>
          <w:tcPr>
            <w:tcW w:w="697" w:type="dxa"/>
            <w:noWrap/>
            <w:vAlign w:val="center"/>
          </w:tcPr>
          <w:p w14:paraId="3DE04D03" w14:textId="0A637747" w:rsidR="00302234" w:rsidRPr="00AE79C1" w:rsidRDefault="00302234" w:rsidP="00302234">
            <w:pPr>
              <w:spacing w:after="0"/>
              <w:ind w:left="0"/>
              <w:jc w:val="center"/>
              <w:rPr>
                <w:rFonts w:cs="Calibri"/>
                <w:color w:val="000000"/>
                <w:szCs w:val="24"/>
              </w:rPr>
            </w:pPr>
            <w:r w:rsidRPr="00AE79C1">
              <w:rPr>
                <w:rFonts w:cs="Calibri"/>
                <w:color w:val="000000"/>
                <w:szCs w:val="24"/>
              </w:rPr>
              <w:t>93</w:t>
            </w:r>
          </w:p>
        </w:tc>
        <w:tc>
          <w:tcPr>
            <w:tcW w:w="1661" w:type="dxa"/>
            <w:noWrap/>
            <w:vAlign w:val="center"/>
          </w:tcPr>
          <w:p w14:paraId="60F750B8" w14:textId="2EEDDD66" w:rsidR="00302234" w:rsidRPr="00AE79C1" w:rsidRDefault="00302234" w:rsidP="00302234">
            <w:pPr>
              <w:spacing w:after="0"/>
              <w:ind w:left="0"/>
              <w:rPr>
                <w:rFonts w:cs="Calibri"/>
                <w:color w:val="000000"/>
                <w:szCs w:val="24"/>
              </w:rPr>
            </w:pPr>
            <w:r w:rsidRPr="00AE79C1">
              <w:rPr>
                <w:rFonts w:cs="Calibri"/>
                <w:color w:val="000000"/>
                <w:szCs w:val="24"/>
              </w:rPr>
              <w:t>Monthly</w:t>
            </w:r>
          </w:p>
        </w:tc>
        <w:tc>
          <w:tcPr>
            <w:tcW w:w="2390" w:type="dxa"/>
            <w:noWrap/>
            <w:vAlign w:val="center"/>
          </w:tcPr>
          <w:p w14:paraId="0AE07A83" w14:textId="7908C5BD" w:rsidR="00302234" w:rsidRPr="00AE79C1" w:rsidRDefault="00302234" w:rsidP="00302234">
            <w:pPr>
              <w:spacing w:after="0"/>
              <w:ind w:left="0"/>
              <w:rPr>
                <w:rFonts w:cs="Calibri"/>
                <w:color w:val="000000"/>
                <w:szCs w:val="24"/>
              </w:rPr>
            </w:pPr>
            <w:r w:rsidRPr="00AE79C1">
              <w:rPr>
                <w:rFonts w:cs="Calibri"/>
                <w:color w:val="000000"/>
                <w:szCs w:val="24"/>
              </w:rPr>
              <w:t>Accounts Transaction Listing</w:t>
            </w:r>
          </w:p>
        </w:tc>
        <w:tc>
          <w:tcPr>
            <w:tcW w:w="6554" w:type="dxa"/>
            <w:vAlign w:val="center"/>
          </w:tcPr>
          <w:p w14:paraId="60C8BAFF" w14:textId="1783B811" w:rsidR="00302234" w:rsidRPr="00AE79C1" w:rsidRDefault="00302234" w:rsidP="00302234">
            <w:pPr>
              <w:spacing w:after="0"/>
              <w:ind w:left="0"/>
              <w:rPr>
                <w:rFonts w:cs="Calibri"/>
                <w:color w:val="000000"/>
                <w:szCs w:val="24"/>
              </w:rPr>
            </w:pPr>
            <w:r w:rsidRPr="00AE79C1">
              <w:rPr>
                <w:rFonts w:cs="Calibri"/>
                <w:color w:val="000000"/>
                <w:szCs w:val="24"/>
              </w:rPr>
              <w:t>List of transactions keyed on a particular day by AE'</w:t>
            </w:r>
            <w:r w:rsidR="00407158">
              <w:rPr>
                <w:rFonts w:cs="Calibri"/>
                <w:color w:val="000000"/>
                <w:szCs w:val="24"/>
              </w:rPr>
              <w:t>s 4-digit identification number</w:t>
            </w:r>
          </w:p>
        </w:tc>
      </w:tr>
      <w:tr w:rsidR="00302234" w:rsidRPr="000E4EAF" w14:paraId="628DD1FD" w14:textId="77777777" w:rsidTr="00FB2060">
        <w:trPr>
          <w:trHeight w:val="315"/>
        </w:trPr>
        <w:tc>
          <w:tcPr>
            <w:tcW w:w="697" w:type="dxa"/>
            <w:noWrap/>
            <w:vAlign w:val="center"/>
          </w:tcPr>
          <w:p w14:paraId="06904D24" w14:textId="4C2113B3" w:rsidR="00302234" w:rsidRPr="00AE79C1" w:rsidRDefault="00302234" w:rsidP="00302234">
            <w:pPr>
              <w:spacing w:after="0"/>
              <w:ind w:left="0"/>
              <w:jc w:val="center"/>
              <w:rPr>
                <w:rFonts w:cs="Calibri"/>
                <w:color w:val="000000"/>
                <w:szCs w:val="24"/>
              </w:rPr>
            </w:pPr>
            <w:bookmarkStart w:id="435" w:name="_Hlk536101516"/>
            <w:r w:rsidRPr="00AE79C1">
              <w:rPr>
                <w:rFonts w:cs="Calibri"/>
                <w:color w:val="000000"/>
                <w:szCs w:val="24"/>
              </w:rPr>
              <w:t>94</w:t>
            </w:r>
          </w:p>
        </w:tc>
        <w:tc>
          <w:tcPr>
            <w:tcW w:w="1661" w:type="dxa"/>
            <w:noWrap/>
            <w:vAlign w:val="center"/>
          </w:tcPr>
          <w:p w14:paraId="68EC1CDE" w14:textId="0EB291FC" w:rsidR="00302234" w:rsidRPr="00AE79C1" w:rsidRDefault="005A4084" w:rsidP="00302234">
            <w:pPr>
              <w:spacing w:after="0"/>
              <w:ind w:left="0"/>
              <w:rPr>
                <w:rFonts w:cs="Calibri"/>
                <w:color w:val="000000"/>
                <w:szCs w:val="24"/>
              </w:rPr>
            </w:pPr>
            <w:r w:rsidRPr="00AE79C1">
              <w:rPr>
                <w:rFonts w:cs="Calibri"/>
                <w:color w:val="000000"/>
                <w:szCs w:val="24"/>
              </w:rPr>
              <w:t>Quarterly</w:t>
            </w:r>
          </w:p>
        </w:tc>
        <w:tc>
          <w:tcPr>
            <w:tcW w:w="2390" w:type="dxa"/>
            <w:noWrap/>
            <w:vAlign w:val="center"/>
          </w:tcPr>
          <w:p w14:paraId="451C52BB" w14:textId="3B4C7E82" w:rsidR="00302234" w:rsidRPr="00AE79C1" w:rsidRDefault="005A4084" w:rsidP="00302234">
            <w:pPr>
              <w:spacing w:after="0"/>
              <w:ind w:left="0"/>
              <w:rPr>
                <w:rFonts w:cs="Calibri"/>
                <w:color w:val="000000"/>
                <w:szCs w:val="24"/>
              </w:rPr>
            </w:pPr>
            <w:r>
              <w:rPr>
                <w:rFonts w:cs="Calibri"/>
                <w:color w:val="000000"/>
                <w:szCs w:val="24"/>
              </w:rPr>
              <w:t>Folder Inventory Report</w:t>
            </w:r>
          </w:p>
        </w:tc>
        <w:tc>
          <w:tcPr>
            <w:tcW w:w="6554" w:type="dxa"/>
            <w:vAlign w:val="center"/>
          </w:tcPr>
          <w:p w14:paraId="6A9EA0DB" w14:textId="140E50F0" w:rsidR="00302234" w:rsidRPr="00AE79C1" w:rsidRDefault="00302234" w:rsidP="00302234">
            <w:pPr>
              <w:spacing w:after="0"/>
              <w:ind w:left="0"/>
              <w:rPr>
                <w:rFonts w:cs="Calibri"/>
                <w:color w:val="000000"/>
                <w:szCs w:val="24"/>
              </w:rPr>
            </w:pPr>
            <w:r>
              <w:rPr>
                <w:rFonts w:cs="Calibri"/>
                <w:color w:val="000000"/>
                <w:szCs w:val="24"/>
              </w:rPr>
              <w:t>P</w:t>
            </w:r>
            <w:r w:rsidRPr="00AE79C1">
              <w:rPr>
                <w:rFonts w:cs="Calibri"/>
                <w:color w:val="000000"/>
                <w:szCs w:val="24"/>
              </w:rPr>
              <w:t>rovides list of Tax files charged out to users in AAU and CAU</w:t>
            </w:r>
          </w:p>
        </w:tc>
      </w:tr>
      <w:bookmarkEnd w:id="435"/>
      <w:tr w:rsidR="00302234" w:rsidRPr="000E4EAF" w14:paraId="32C19418" w14:textId="77777777" w:rsidTr="00FB2060">
        <w:trPr>
          <w:trHeight w:val="315"/>
        </w:trPr>
        <w:tc>
          <w:tcPr>
            <w:tcW w:w="697" w:type="dxa"/>
            <w:noWrap/>
            <w:vAlign w:val="center"/>
          </w:tcPr>
          <w:p w14:paraId="75BDCE58" w14:textId="3B4F2F9D" w:rsidR="00302234" w:rsidRPr="00AE79C1" w:rsidRDefault="00302234" w:rsidP="00302234">
            <w:pPr>
              <w:spacing w:after="0"/>
              <w:ind w:left="0"/>
              <w:jc w:val="center"/>
              <w:rPr>
                <w:rFonts w:cs="Calibri"/>
                <w:color w:val="000000"/>
                <w:szCs w:val="24"/>
              </w:rPr>
            </w:pPr>
            <w:r w:rsidRPr="00AE79C1">
              <w:rPr>
                <w:rFonts w:cs="Calibri"/>
                <w:color w:val="000000"/>
                <w:szCs w:val="24"/>
              </w:rPr>
              <w:t>95</w:t>
            </w:r>
          </w:p>
        </w:tc>
        <w:tc>
          <w:tcPr>
            <w:tcW w:w="1661" w:type="dxa"/>
            <w:noWrap/>
            <w:vAlign w:val="center"/>
          </w:tcPr>
          <w:p w14:paraId="0DA1F457" w14:textId="55D33BA2" w:rsidR="00302234" w:rsidRPr="00AE79C1" w:rsidRDefault="00302234" w:rsidP="00302234">
            <w:pPr>
              <w:spacing w:after="0"/>
              <w:ind w:left="0"/>
              <w:rPr>
                <w:rFonts w:cs="Calibri"/>
                <w:color w:val="000000"/>
                <w:szCs w:val="24"/>
              </w:rPr>
            </w:pPr>
            <w:r w:rsidRPr="00AE79C1">
              <w:rPr>
                <w:rFonts w:cs="Calibri"/>
                <w:color w:val="000000"/>
                <w:szCs w:val="24"/>
              </w:rPr>
              <w:t>Quarterly</w:t>
            </w:r>
          </w:p>
        </w:tc>
        <w:tc>
          <w:tcPr>
            <w:tcW w:w="2390" w:type="dxa"/>
            <w:noWrap/>
            <w:vAlign w:val="center"/>
          </w:tcPr>
          <w:p w14:paraId="19277683" w14:textId="6DAA0BC6" w:rsidR="00302234" w:rsidRPr="00AE79C1" w:rsidRDefault="009056D0" w:rsidP="00302234">
            <w:pPr>
              <w:spacing w:after="0"/>
              <w:ind w:left="0"/>
              <w:rPr>
                <w:rFonts w:cs="Calibri"/>
                <w:color w:val="000000"/>
                <w:szCs w:val="24"/>
              </w:rPr>
            </w:pPr>
            <w:r>
              <w:rPr>
                <w:rFonts w:cs="Calibri"/>
                <w:color w:val="000000"/>
                <w:szCs w:val="24"/>
              </w:rPr>
              <w:t>Assessment Status Report</w:t>
            </w:r>
            <w:r w:rsidRPr="00AE79C1">
              <w:rPr>
                <w:rFonts w:cs="Calibri"/>
                <w:color w:val="000000"/>
                <w:szCs w:val="24"/>
              </w:rPr>
              <w:t>/ Zero Balance Report</w:t>
            </w:r>
          </w:p>
        </w:tc>
        <w:tc>
          <w:tcPr>
            <w:tcW w:w="6554" w:type="dxa"/>
            <w:vAlign w:val="center"/>
          </w:tcPr>
          <w:p w14:paraId="19FA4F51" w14:textId="2526B17D" w:rsidR="00302234" w:rsidRPr="00AE79C1" w:rsidRDefault="00302234" w:rsidP="00302234">
            <w:pPr>
              <w:spacing w:after="0"/>
              <w:ind w:left="0"/>
              <w:rPr>
                <w:rFonts w:cs="Calibri"/>
                <w:color w:val="000000"/>
                <w:szCs w:val="24"/>
              </w:rPr>
            </w:pPr>
            <w:r w:rsidRPr="00AE79C1">
              <w:rPr>
                <w:rFonts w:cs="Calibri"/>
                <w:color w:val="000000"/>
                <w:szCs w:val="24"/>
              </w:rPr>
              <w:t>Assessment Status report provides a listing of pending and final Assessments and indicates whether or not they have been abstracted or cancelled.</w:t>
            </w:r>
            <w:r w:rsidR="00EE5622">
              <w:rPr>
                <w:rFonts w:cs="Calibri"/>
                <w:color w:val="000000"/>
                <w:szCs w:val="24"/>
              </w:rPr>
              <w:t xml:space="preserve"> </w:t>
            </w:r>
            <w:r w:rsidRPr="00AE79C1">
              <w:rPr>
                <w:rFonts w:cs="Calibri"/>
                <w:color w:val="000000"/>
                <w:szCs w:val="24"/>
              </w:rPr>
              <w:t>The Zero Balance Report lists account that have been paid but do not have the lien released</w:t>
            </w:r>
          </w:p>
        </w:tc>
      </w:tr>
      <w:tr w:rsidR="00302234" w:rsidRPr="000E4EAF" w14:paraId="5423CF23" w14:textId="77777777" w:rsidTr="00FB2060">
        <w:trPr>
          <w:trHeight w:val="315"/>
        </w:trPr>
        <w:tc>
          <w:tcPr>
            <w:tcW w:w="697" w:type="dxa"/>
            <w:noWrap/>
            <w:vAlign w:val="center"/>
          </w:tcPr>
          <w:p w14:paraId="475B2300" w14:textId="7339C46D" w:rsidR="00302234" w:rsidRPr="00AE79C1" w:rsidRDefault="00302234" w:rsidP="00302234">
            <w:pPr>
              <w:spacing w:after="0"/>
              <w:ind w:left="0"/>
              <w:jc w:val="center"/>
              <w:rPr>
                <w:rFonts w:cs="Calibri"/>
                <w:color w:val="000000"/>
                <w:szCs w:val="24"/>
              </w:rPr>
            </w:pPr>
            <w:r w:rsidRPr="00AE79C1">
              <w:rPr>
                <w:rFonts w:cs="Calibri"/>
                <w:color w:val="000000"/>
                <w:szCs w:val="24"/>
              </w:rPr>
              <w:lastRenderedPageBreak/>
              <w:t>96</w:t>
            </w:r>
          </w:p>
        </w:tc>
        <w:tc>
          <w:tcPr>
            <w:tcW w:w="1661" w:type="dxa"/>
            <w:noWrap/>
            <w:vAlign w:val="center"/>
          </w:tcPr>
          <w:p w14:paraId="0E5A9F61" w14:textId="0FAF8E9D" w:rsidR="00302234" w:rsidRPr="00AE79C1" w:rsidRDefault="00302234" w:rsidP="00302234">
            <w:pPr>
              <w:spacing w:after="0"/>
              <w:ind w:left="0"/>
              <w:rPr>
                <w:rFonts w:cs="Calibri"/>
                <w:color w:val="000000"/>
                <w:szCs w:val="24"/>
              </w:rPr>
            </w:pPr>
            <w:r w:rsidRPr="00AE79C1">
              <w:rPr>
                <w:rFonts w:cs="Calibri"/>
                <w:color w:val="000000"/>
                <w:szCs w:val="24"/>
              </w:rPr>
              <w:t>Quarterly</w:t>
            </w:r>
          </w:p>
        </w:tc>
        <w:tc>
          <w:tcPr>
            <w:tcW w:w="2390" w:type="dxa"/>
            <w:noWrap/>
            <w:vAlign w:val="center"/>
          </w:tcPr>
          <w:p w14:paraId="45A100B0" w14:textId="396F0249" w:rsidR="00302234" w:rsidRPr="00AE79C1" w:rsidRDefault="00302234" w:rsidP="00302234">
            <w:pPr>
              <w:spacing w:after="0"/>
              <w:ind w:left="0"/>
              <w:rPr>
                <w:rFonts w:cs="Calibri"/>
                <w:color w:val="000000"/>
                <w:szCs w:val="24"/>
              </w:rPr>
            </w:pPr>
            <w:r w:rsidRPr="00AE79C1">
              <w:rPr>
                <w:rFonts w:cs="Calibri"/>
                <w:color w:val="000000"/>
                <w:szCs w:val="24"/>
              </w:rPr>
              <w:t>Service Agent Credit Report</w:t>
            </w:r>
          </w:p>
        </w:tc>
        <w:tc>
          <w:tcPr>
            <w:tcW w:w="6554" w:type="dxa"/>
            <w:vAlign w:val="center"/>
          </w:tcPr>
          <w:p w14:paraId="4CA43F78" w14:textId="6C3A0F56" w:rsidR="00302234" w:rsidRPr="00AE79C1" w:rsidRDefault="00302234" w:rsidP="00302234">
            <w:pPr>
              <w:spacing w:after="0"/>
              <w:ind w:left="0"/>
              <w:rPr>
                <w:rFonts w:cs="Calibri"/>
                <w:color w:val="000000"/>
                <w:szCs w:val="24"/>
              </w:rPr>
            </w:pPr>
            <w:r w:rsidRPr="00AE79C1">
              <w:rPr>
                <w:rFonts w:cs="Calibri"/>
                <w:color w:val="000000"/>
                <w:szCs w:val="24"/>
              </w:rPr>
              <w:t>Shows amounts of overages (credits) tied to individual accounts that have been marked as "service agent" where the amount may need to be</w:t>
            </w:r>
            <w:r w:rsidR="00407158">
              <w:rPr>
                <w:rFonts w:cs="Calibri"/>
                <w:color w:val="000000"/>
                <w:szCs w:val="24"/>
              </w:rPr>
              <w:t xml:space="preserve"> transferred to another account</w:t>
            </w:r>
          </w:p>
        </w:tc>
      </w:tr>
      <w:tr w:rsidR="00302234" w:rsidRPr="000E4EAF" w14:paraId="395A686C" w14:textId="77777777" w:rsidTr="00FB2060">
        <w:trPr>
          <w:trHeight w:val="315"/>
        </w:trPr>
        <w:tc>
          <w:tcPr>
            <w:tcW w:w="697" w:type="dxa"/>
            <w:noWrap/>
            <w:vAlign w:val="center"/>
          </w:tcPr>
          <w:p w14:paraId="7CCE44CF" w14:textId="28F095B0" w:rsidR="00302234" w:rsidRPr="00AE79C1" w:rsidRDefault="00302234" w:rsidP="00302234">
            <w:pPr>
              <w:spacing w:after="0"/>
              <w:ind w:left="0"/>
              <w:jc w:val="center"/>
              <w:rPr>
                <w:rFonts w:cs="Calibri"/>
                <w:color w:val="000000"/>
                <w:szCs w:val="24"/>
              </w:rPr>
            </w:pPr>
            <w:r w:rsidRPr="00AE79C1">
              <w:rPr>
                <w:rFonts w:cs="Calibri"/>
                <w:color w:val="000000"/>
                <w:szCs w:val="24"/>
              </w:rPr>
              <w:t>97</w:t>
            </w:r>
          </w:p>
        </w:tc>
        <w:tc>
          <w:tcPr>
            <w:tcW w:w="1661" w:type="dxa"/>
            <w:noWrap/>
            <w:vAlign w:val="center"/>
          </w:tcPr>
          <w:p w14:paraId="1032A3E6" w14:textId="304CB74C" w:rsidR="00302234" w:rsidRPr="00AE79C1" w:rsidRDefault="00302234" w:rsidP="00302234">
            <w:pPr>
              <w:spacing w:after="0"/>
              <w:ind w:left="0"/>
              <w:rPr>
                <w:rFonts w:cs="Calibri"/>
                <w:color w:val="000000"/>
                <w:szCs w:val="24"/>
              </w:rPr>
            </w:pPr>
            <w:r w:rsidRPr="00AE79C1">
              <w:rPr>
                <w:rFonts w:cs="Calibri"/>
                <w:color w:val="000000"/>
                <w:szCs w:val="24"/>
              </w:rPr>
              <w:t>Quarterly</w:t>
            </w:r>
          </w:p>
        </w:tc>
        <w:tc>
          <w:tcPr>
            <w:tcW w:w="2390" w:type="dxa"/>
            <w:noWrap/>
            <w:vAlign w:val="center"/>
          </w:tcPr>
          <w:p w14:paraId="01C67B36" w14:textId="250BBD0C" w:rsidR="00302234" w:rsidRPr="00AE79C1" w:rsidRDefault="00302234" w:rsidP="00302234">
            <w:pPr>
              <w:spacing w:after="0"/>
              <w:ind w:left="0"/>
              <w:rPr>
                <w:rFonts w:cs="Calibri"/>
                <w:color w:val="000000"/>
                <w:szCs w:val="24"/>
              </w:rPr>
            </w:pPr>
            <w:r w:rsidRPr="00AE79C1">
              <w:rPr>
                <w:rFonts w:cs="Calibri"/>
                <w:color w:val="000000"/>
                <w:szCs w:val="24"/>
              </w:rPr>
              <w:t>Quarterly IPO Purge</w:t>
            </w:r>
          </w:p>
        </w:tc>
        <w:tc>
          <w:tcPr>
            <w:tcW w:w="6554" w:type="dxa"/>
            <w:vAlign w:val="center"/>
          </w:tcPr>
          <w:p w14:paraId="36717320" w14:textId="6A69912D" w:rsidR="00302234" w:rsidRPr="00AE79C1" w:rsidRDefault="00302234" w:rsidP="00302234">
            <w:pPr>
              <w:spacing w:after="0"/>
              <w:ind w:left="0"/>
              <w:rPr>
                <w:rFonts w:cs="Calibri"/>
                <w:color w:val="000000"/>
                <w:szCs w:val="24"/>
              </w:rPr>
            </w:pPr>
            <w:r>
              <w:rPr>
                <w:rFonts w:cs="Calibri"/>
                <w:color w:val="000000"/>
                <w:szCs w:val="24"/>
              </w:rPr>
              <w:t>Creates a list of paid inactive accounts that are inac</w:t>
            </w:r>
            <w:r w:rsidR="00407158">
              <w:rPr>
                <w:rFonts w:cs="Calibri"/>
                <w:color w:val="000000"/>
                <w:szCs w:val="24"/>
              </w:rPr>
              <w:t>tive as of a user provided date</w:t>
            </w:r>
          </w:p>
        </w:tc>
      </w:tr>
      <w:tr w:rsidR="00302234" w:rsidRPr="000E4EAF" w14:paraId="7AEBEC81" w14:textId="77777777" w:rsidTr="00FB2060">
        <w:trPr>
          <w:trHeight w:val="315"/>
        </w:trPr>
        <w:tc>
          <w:tcPr>
            <w:tcW w:w="697" w:type="dxa"/>
            <w:noWrap/>
            <w:vAlign w:val="center"/>
          </w:tcPr>
          <w:p w14:paraId="5C64C0E3" w14:textId="3622D45B" w:rsidR="00302234" w:rsidRPr="00AE79C1" w:rsidRDefault="00302234" w:rsidP="00302234">
            <w:pPr>
              <w:spacing w:after="0"/>
              <w:ind w:left="0"/>
              <w:jc w:val="center"/>
              <w:rPr>
                <w:rFonts w:cs="Calibri"/>
                <w:color w:val="000000"/>
                <w:szCs w:val="24"/>
              </w:rPr>
            </w:pPr>
            <w:r w:rsidRPr="00AE79C1">
              <w:rPr>
                <w:rFonts w:cs="Calibri"/>
                <w:color w:val="000000"/>
                <w:szCs w:val="24"/>
              </w:rPr>
              <w:t>98</w:t>
            </w:r>
          </w:p>
        </w:tc>
        <w:tc>
          <w:tcPr>
            <w:tcW w:w="1661" w:type="dxa"/>
            <w:noWrap/>
            <w:vAlign w:val="center"/>
          </w:tcPr>
          <w:p w14:paraId="2048B383" w14:textId="4DF7D892" w:rsidR="00302234" w:rsidRPr="00AE79C1" w:rsidRDefault="00302234" w:rsidP="00302234">
            <w:pPr>
              <w:spacing w:after="0"/>
              <w:ind w:left="0"/>
              <w:rPr>
                <w:rFonts w:cs="Calibri"/>
                <w:color w:val="000000"/>
                <w:szCs w:val="24"/>
              </w:rPr>
            </w:pPr>
            <w:r w:rsidRPr="00AE79C1">
              <w:rPr>
                <w:rFonts w:cs="Calibri"/>
                <w:color w:val="000000"/>
                <w:szCs w:val="24"/>
              </w:rPr>
              <w:t>Quarterly</w:t>
            </w:r>
          </w:p>
        </w:tc>
        <w:tc>
          <w:tcPr>
            <w:tcW w:w="2390" w:type="dxa"/>
            <w:noWrap/>
            <w:vAlign w:val="center"/>
          </w:tcPr>
          <w:p w14:paraId="201B6369" w14:textId="76E64583" w:rsidR="00302234" w:rsidRPr="00AE79C1" w:rsidRDefault="00302234" w:rsidP="00302234">
            <w:pPr>
              <w:spacing w:after="0"/>
              <w:ind w:left="0"/>
              <w:rPr>
                <w:rFonts w:cs="Calibri"/>
                <w:color w:val="000000"/>
                <w:szCs w:val="24"/>
              </w:rPr>
            </w:pPr>
            <w:r w:rsidRPr="00AE79C1">
              <w:rPr>
                <w:rFonts w:cs="Calibri"/>
                <w:color w:val="000000"/>
                <w:szCs w:val="24"/>
              </w:rPr>
              <w:t>Rate Change Report</w:t>
            </w:r>
          </w:p>
        </w:tc>
        <w:tc>
          <w:tcPr>
            <w:tcW w:w="6554" w:type="dxa"/>
            <w:vAlign w:val="center"/>
          </w:tcPr>
          <w:p w14:paraId="55C17D2C" w14:textId="7B05B3D6" w:rsidR="00302234" w:rsidRPr="00AE79C1" w:rsidRDefault="00302234" w:rsidP="00302234">
            <w:pPr>
              <w:spacing w:after="0"/>
              <w:ind w:left="0"/>
              <w:rPr>
                <w:rFonts w:cs="Calibri"/>
                <w:color w:val="000000"/>
                <w:szCs w:val="24"/>
              </w:rPr>
            </w:pPr>
            <w:r w:rsidRPr="00AE79C1">
              <w:rPr>
                <w:rFonts w:cs="Calibri"/>
                <w:color w:val="000000"/>
                <w:szCs w:val="24"/>
              </w:rPr>
              <w:t>Provides a list of accounts on which rates may not be changed, usually due to bankruptcy</w:t>
            </w:r>
          </w:p>
        </w:tc>
      </w:tr>
      <w:tr w:rsidR="00302234" w:rsidRPr="000E4EAF" w14:paraId="71B0CCAB" w14:textId="77777777" w:rsidTr="00FB2060">
        <w:trPr>
          <w:trHeight w:val="315"/>
        </w:trPr>
        <w:tc>
          <w:tcPr>
            <w:tcW w:w="697" w:type="dxa"/>
            <w:noWrap/>
            <w:vAlign w:val="center"/>
          </w:tcPr>
          <w:p w14:paraId="47DD03CE" w14:textId="4768D9D6" w:rsidR="00302234" w:rsidRPr="00AE79C1" w:rsidRDefault="00302234" w:rsidP="00302234">
            <w:pPr>
              <w:spacing w:after="0"/>
              <w:ind w:left="0"/>
              <w:jc w:val="center"/>
              <w:rPr>
                <w:rFonts w:cs="Calibri"/>
                <w:color w:val="000000"/>
                <w:szCs w:val="24"/>
              </w:rPr>
            </w:pPr>
            <w:r w:rsidRPr="00AE79C1">
              <w:rPr>
                <w:rFonts w:cs="Calibri"/>
                <w:color w:val="000000"/>
                <w:szCs w:val="24"/>
              </w:rPr>
              <w:t>99</w:t>
            </w:r>
          </w:p>
        </w:tc>
        <w:tc>
          <w:tcPr>
            <w:tcW w:w="1661" w:type="dxa"/>
            <w:noWrap/>
            <w:vAlign w:val="center"/>
          </w:tcPr>
          <w:p w14:paraId="04E7C1E4" w14:textId="069F77AE" w:rsidR="00302234" w:rsidRPr="00AE79C1" w:rsidRDefault="00302234" w:rsidP="00302234">
            <w:pPr>
              <w:spacing w:after="0"/>
              <w:ind w:left="0"/>
              <w:rPr>
                <w:rFonts w:cs="Calibri"/>
                <w:color w:val="000000"/>
                <w:szCs w:val="24"/>
              </w:rPr>
            </w:pPr>
            <w:r w:rsidRPr="00AE79C1">
              <w:rPr>
                <w:rFonts w:cs="Calibri"/>
                <w:color w:val="000000"/>
                <w:szCs w:val="24"/>
              </w:rPr>
              <w:t>Monthly</w:t>
            </w:r>
          </w:p>
        </w:tc>
        <w:tc>
          <w:tcPr>
            <w:tcW w:w="2390" w:type="dxa"/>
            <w:noWrap/>
            <w:vAlign w:val="center"/>
          </w:tcPr>
          <w:p w14:paraId="4A060951" w14:textId="76138981" w:rsidR="00302234" w:rsidRPr="00AE79C1" w:rsidRDefault="00407158" w:rsidP="00302234">
            <w:pPr>
              <w:spacing w:after="0"/>
              <w:ind w:left="0"/>
              <w:rPr>
                <w:rFonts w:cs="Calibri"/>
                <w:color w:val="000000"/>
                <w:szCs w:val="24"/>
              </w:rPr>
            </w:pPr>
            <w:r w:rsidRPr="00AE79C1">
              <w:rPr>
                <w:rFonts w:cs="Calibri"/>
                <w:color w:val="000000"/>
                <w:szCs w:val="24"/>
              </w:rPr>
              <w:t>Freeze Report</w:t>
            </w:r>
          </w:p>
        </w:tc>
        <w:tc>
          <w:tcPr>
            <w:tcW w:w="6554" w:type="dxa"/>
            <w:vAlign w:val="center"/>
          </w:tcPr>
          <w:p w14:paraId="64A038D2" w14:textId="53B03C0A" w:rsidR="00302234" w:rsidRPr="00AE79C1" w:rsidRDefault="00302234" w:rsidP="00302234">
            <w:pPr>
              <w:spacing w:after="0"/>
              <w:ind w:left="0"/>
              <w:rPr>
                <w:rFonts w:cs="Calibri"/>
                <w:color w:val="000000"/>
                <w:szCs w:val="24"/>
              </w:rPr>
            </w:pPr>
            <w:r w:rsidRPr="00AE79C1">
              <w:rPr>
                <w:rFonts w:cs="Calibri"/>
                <w:color w:val="000000"/>
                <w:szCs w:val="24"/>
              </w:rPr>
              <w:t>List of the number of freezes keyed a</w:t>
            </w:r>
            <w:r w:rsidR="00407158">
              <w:rPr>
                <w:rFonts w:cs="Calibri"/>
                <w:color w:val="000000"/>
                <w:szCs w:val="24"/>
              </w:rPr>
              <w:t>nd the amount collected by AE number</w:t>
            </w:r>
          </w:p>
        </w:tc>
      </w:tr>
      <w:tr w:rsidR="00302234" w:rsidRPr="000E4EAF" w14:paraId="41BA7DA1" w14:textId="77777777" w:rsidTr="00FB2060">
        <w:trPr>
          <w:trHeight w:val="315"/>
        </w:trPr>
        <w:tc>
          <w:tcPr>
            <w:tcW w:w="697" w:type="dxa"/>
            <w:noWrap/>
            <w:vAlign w:val="center"/>
          </w:tcPr>
          <w:p w14:paraId="26A8AA0B" w14:textId="070E9819" w:rsidR="00302234" w:rsidRPr="00AE79C1" w:rsidRDefault="00302234" w:rsidP="00302234">
            <w:pPr>
              <w:spacing w:after="0"/>
              <w:ind w:left="0"/>
              <w:jc w:val="center"/>
              <w:rPr>
                <w:rFonts w:cs="Calibri"/>
                <w:color w:val="000000"/>
                <w:szCs w:val="24"/>
              </w:rPr>
            </w:pPr>
            <w:r w:rsidRPr="00AE79C1">
              <w:rPr>
                <w:rFonts w:cs="Calibri"/>
                <w:color w:val="000000"/>
                <w:szCs w:val="24"/>
              </w:rPr>
              <w:t>100</w:t>
            </w:r>
          </w:p>
        </w:tc>
        <w:tc>
          <w:tcPr>
            <w:tcW w:w="1661" w:type="dxa"/>
            <w:noWrap/>
            <w:vAlign w:val="center"/>
          </w:tcPr>
          <w:p w14:paraId="2F902D75" w14:textId="50D45B9F" w:rsidR="00302234" w:rsidRPr="00AE79C1" w:rsidRDefault="00302234" w:rsidP="00302234">
            <w:pPr>
              <w:spacing w:after="0"/>
              <w:ind w:left="0"/>
              <w:rPr>
                <w:rFonts w:cs="Calibri"/>
                <w:color w:val="000000"/>
                <w:szCs w:val="24"/>
              </w:rPr>
            </w:pPr>
            <w:r w:rsidRPr="00AE79C1">
              <w:rPr>
                <w:rFonts w:cs="Calibri"/>
                <w:color w:val="000000"/>
                <w:szCs w:val="24"/>
              </w:rPr>
              <w:t xml:space="preserve">Annual </w:t>
            </w:r>
          </w:p>
        </w:tc>
        <w:tc>
          <w:tcPr>
            <w:tcW w:w="2390" w:type="dxa"/>
            <w:noWrap/>
            <w:vAlign w:val="center"/>
          </w:tcPr>
          <w:p w14:paraId="492CA397" w14:textId="0A49060E" w:rsidR="00302234" w:rsidRPr="00AE79C1" w:rsidRDefault="00302234" w:rsidP="00302234">
            <w:pPr>
              <w:spacing w:after="0"/>
              <w:ind w:left="0"/>
              <w:rPr>
                <w:rFonts w:cs="Calibri"/>
                <w:color w:val="000000"/>
                <w:szCs w:val="24"/>
              </w:rPr>
            </w:pPr>
            <w:r w:rsidRPr="00AE79C1">
              <w:rPr>
                <w:rFonts w:cs="Calibri"/>
                <w:color w:val="000000"/>
                <w:szCs w:val="24"/>
              </w:rPr>
              <w:t>Tax Rate Information FL-304 Qualifiers</w:t>
            </w:r>
          </w:p>
        </w:tc>
        <w:tc>
          <w:tcPr>
            <w:tcW w:w="6554" w:type="dxa"/>
            <w:vAlign w:val="center"/>
          </w:tcPr>
          <w:p w14:paraId="508CB9A3" w14:textId="1854BA93" w:rsidR="00302234" w:rsidRPr="00AE79C1" w:rsidRDefault="00302234" w:rsidP="00302234">
            <w:pPr>
              <w:spacing w:after="0"/>
              <w:ind w:left="0"/>
              <w:rPr>
                <w:rFonts w:cs="Calibri"/>
                <w:color w:val="000000"/>
                <w:szCs w:val="24"/>
              </w:rPr>
            </w:pPr>
            <w:r w:rsidRPr="00AE79C1">
              <w:rPr>
                <w:rFonts w:cs="Calibri"/>
                <w:color w:val="000000"/>
                <w:szCs w:val="24"/>
              </w:rPr>
              <w:t xml:space="preserve">A list of </w:t>
            </w:r>
            <w:r>
              <w:rPr>
                <w:rFonts w:cs="Calibri"/>
                <w:color w:val="000000"/>
                <w:szCs w:val="24"/>
              </w:rPr>
              <w:t xml:space="preserve">Employer </w:t>
            </w:r>
            <w:r w:rsidRPr="00AE79C1">
              <w:rPr>
                <w:rFonts w:cs="Calibri"/>
                <w:color w:val="000000"/>
                <w:szCs w:val="24"/>
              </w:rPr>
              <w:t xml:space="preserve">accounts that would be eligible to receive FL-304 letter ("Tax Tip" letter) </w:t>
            </w:r>
          </w:p>
        </w:tc>
      </w:tr>
    </w:tbl>
    <w:p w14:paraId="39B9FCDC" w14:textId="77777777" w:rsidR="00605110" w:rsidRDefault="00605110" w:rsidP="00605110"/>
    <w:p w14:paraId="2F2649C2" w14:textId="77777777" w:rsidR="00605110" w:rsidRPr="00605110" w:rsidRDefault="00605110" w:rsidP="00006ED6">
      <w:pPr>
        <w:keepNext/>
        <w:rPr>
          <w:rFonts w:eastAsia="Verdana,Times New Roman" w:cs="Verdana,Times New Roman"/>
          <w:b/>
          <w:bCs/>
          <w:u w:val="single"/>
        </w:rPr>
      </w:pPr>
      <w:r w:rsidRPr="00605110">
        <w:rPr>
          <w:rFonts w:eastAsia="Verdana,Times New Roman" w:cs="Verdana,Times New Roman"/>
          <w:b/>
          <w:bCs/>
          <w:u w:val="single"/>
        </w:rPr>
        <w:t xml:space="preserve">Collection Reports – Benefits </w:t>
      </w:r>
    </w:p>
    <w:tbl>
      <w:tblPr>
        <w:tblStyle w:val="TableGrid"/>
        <w:tblW w:w="11189" w:type="dxa"/>
        <w:tblInd w:w="-72" w:type="dxa"/>
        <w:tblLayout w:type="fixed"/>
        <w:tblLook w:val="04A0" w:firstRow="1" w:lastRow="0" w:firstColumn="1" w:lastColumn="0" w:noHBand="0" w:noVBand="1"/>
        <w:tblDescription w:val="Table of RID reports"/>
      </w:tblPr>
      <w:tblGrid>
        <w:gridCol w:w="688"/>
        <w:gridCol w:w="1689"/>
        <w:gridCol w:w="1920"/>
        <w:gridCol w:w="6892"/>
      </w:tblGrid>
      <w:tr w:rsidR="00605110" w:rsidRPr="000E4EAF" w14:paraId="482DE22A" w14:textId="77777777" w:rsidTr="0051618A">
        <w:trPr>
          <w:trHeight w:val="258"/>
          <w:tblHeader/>
        </w:trPr>
        <w:tc>
          <w:tcPr>
            <w:tcW w:w="688" w:type="dxa"/>
            <w:shd w:val="clear" w:color="auto" w:fill="DEEAF6" w:themeFill="accent1" w:themeFillTint="33"/>
            <w:vAlign w:val="center"/>
          </w:tcPr>
          <w:p w14:paraId="6AE8560A" w14:textId="77777777" w:rsidR="00605110" w:rsidRPr="001A193D" w:rsidRDefault="00605110" w:rsidP="00006ED6">
            <w:pPr>
              <w:keepNext/>
              <w:spacing w:after="0"/>
              <w:ind w:left="0"/>
              <w:jc w:val="center"/>
              <w:rPr>
                <w:b/>
                <w:i/>
                <w:color w:val="1F3864" w:themeColor="accent5" w:themeShade="80"/>
                <w:szCs w:val="22"/>
              </w:rPr>
            </w:pPr>
            <w:r w:rsidRPr="001A193D">
              <w:rPr>
                <w:rFonts w:cs="Arial"/>
                <w:b/>
                <w:color w:val="1F3864" w:themeColor="accent5" w:themeShade="80"/>
                <w:szCs w:val="22"/>
              </w:rPr>
              <w:t>#</w:t>
            </w:r>
          </w:p>
        </w:tc>
        <w:tc>
          <w:tcPr>
            <w:tcW w:w="1689" w:type="dxa"/>
            <w:shd w:val="clear" w:color="auto" w:fill="DEEAF6" w:themeFill="accent1" w:themeFillTint="33"/>
            <w:vAlign w:val="center"/>
          </w:tcPr>
          <w:p w14:paraId="6E39B12B" w14:textId="77777777" w:rsidR="00605110" w:rsidRPr="001A193D" w:rsidRDefault="00605110" w:rsidP="00006ED6">
            <w:pPr>
              <w:keepNext/>
              <w:spacing w:after="0"/>
              <w:ind w:left="0"/>
              <w:rPr>
                <w:b/>
                <w:i/>
                <w:color w:val="1F3864" w:themeColor="accent5" w:themeShade="80"/>
                <w:szCs w:val="22"/>
              </w:rPr>
            </w:pPr>
            <w:r w:rsidRPr="001A193D">
              <w:rPr>
                <w:rFonts w:cs="Arial"/>
                <w:b/>
                <w:color w:val="1F3864" w:themeColor="accent5" w:themeShade="80"/>
                <w:szCs w:val="22"/>
              </w:rPr>
              <w:t>Frequency</w:t>
            </w:r>
          </w:p>
        </w:tc>
        <w:tc>
          <w:tcPr>
            <w:tcW w:w="1920" w:type="dxa"/>
            <w:shd w:val="clear" w:color="auto" w:fill="DEEAF6" w:themeFill="accent1" w:themeFillTint="33"/>
            <w:vAlign w:val="center"/>
          </w:tcPr>
          <w:p w14:paraId="364EC26C" w14:textId="77777777" w:rsidR="00605110" w:rsidRPr="001A193D" w:rsidRDefault="00605110" w:rsidP="00006ED6">
            <w:pPr>
              <w:keepNext/>
              <w:spacing w:after="0"/>
              <w:ind w:left="0"/>
              <w:rPr>
                <w:b/>
                <w:i/>
                <w:color w:val="1F3864" w:themeColor="accent5" w:themeShade="80"/>
                <w:szCs w:val="22"/>
              </w:rPr>
            </w:pPr>
            <w:r w:rsidRPr="001A193D">
              <w:rPr>
                <w:rFonts w:cs="Arial"/>
                <w:b/>
                <w:color w:val="1F3864" w:themeColor="accent5" w:themeShade="80"/>
                <w:szCs w:val="22"/>
              </w:rPr>
              <w:t>Name</w:t>
            </w:r>
          </w:p>
        </w:tc>
        <w:tc>
          <w:tcPr>
            <w:tcW w:w="6892" w:type="dxa"/>
            <w:shd w:val="clear" w:color="auto" w:fill="DEEAF6" w:themeFill="accent1" w:themeFillTint="33"/>
            <w:vAlign w:val="center"/>
          </w:tcPr>
          <w:p w14:paraId="06857032" w14:textId="77777777" w:rsidR="00605110" w:rsidRPr="001A193D" w:rsidRDefault="00605110" w:rsidP="00006ED6">
            <w:pPr>
              <w:keepNext/>
              <w:spacing w:after="0"/>
              <w:ind w:left="0"/>
              <w:rPr>
                <w:b/>
                <w:i/>
                <w:color w:val="1F3864" w:themeColor="accent5" w:themeShade="80"/>
                <w:szCs w:val="22"/>
              </w:rPr>
            </w:pPr>
            <w:r w:rsidRPr="001A193D">
              <w:rPr>
                <w:rFonts w:cs="Arial"/>
                <w:b/>
                <w:color w:val="1F3864" w:themeColor="accent5" w:themeShade="80"/>
                <w:szCs w:val="22"/>
              </w:rPr>
              <w:t>Overview</w:t>
            </w:r>
          </w:p>
        </w:tc>
      </w:tr>
      <w:tr w:rsidR="000B3A62" w:rsidRPr="000E4EAF" w14:paraId="5DD0FE0C" w14:textId="77777777" w:rsidTr="0051618A">
        <w:trPr>
          <w:trHeight w:val="315"/>
        </w:trPr>
        <w:tc>
          <w:tcPr>
            <w:tcW w:w="688" w:type="dxa"/>
            <w:noWrap/>
            <w:vAlign w:val="center"/>
            <w:hideMark/>
          </w:tcPr>
          <w:p w14:paraId="234A4159" w14:textId="795932BF" w:rsidR="000B3A62" w:rsidRPr="00FB2060" w:rsidRDefault="000B3A62" w:rsidP="000B3A62">
            <w:pPr>
              <w:spacing w:after="0"/>
              <w:ind w:left="0"/>
              <w:jc w:val="center"/>
              <w:rPr>
                <w:rFonts w:cs="Calibri"/>
                <w:color w:val="000000"/>
                <w:szCs w:val="24"/>
              </w:rPr>
            </w:pPr>
            <w:r w:rsidRPr="00937FE8">
              <w:rPr>
                <w:rFonts w:cs="Calibri"/>
                <w:color w:val="000000"/>
                <w:szCs w:val="24"/>
              </w:rPr>
              <w:t>1</w:t>
            </w:r>
          </w:p>
        </w:tc>
        <w:tc>
          <w:tcPr>
            <w:tcW w:w="1689" w:type="dxa"/>
            <w:noWrap/>
            <w:vAlign w:val="center"/>
          </w:tcPr>
          <w:p w14:paraId="72B9AFDF" w14:textId="77777777" w:rsidR="000B3A62" w:rsidRPr="00FB2060" w:rsidRDefault="000B3A62" w:rsidP="000B3A62">
            <w:pPr>
              <w:spacing w:after="0"/>
              <w:ind w:left="0"/>
              <w:rPr>
                <w:rFonts w:cs="Calibri"/>
                <w:color w:val="000000"/>
                <w:szCs w:val="24"/>
              </w:rPr>
            </w:pPr>
            <w:r w:rsidRPr="00FB2060">
              <w:rPr>
                <w:rFonts w:cs="Calibri"/>
                <w:color w:val="000000"/>
                <w:szCs w:val="24"/>
              </w:rPr>
              <w:t>Daily</w:t>
            </w:r>
          </w:p>
        </w:tc>
        <w:tc>
          <w:tcPr>
            <w:tcW w:w="1920" w:type="dxa"/>
            <w:noWrap/>
            <w:vAlign w:val="center"/>
          </w:tcPr>
          <w:p w14:paraId="589CF539" w14:textId="77777777" w:rsidR="000B3A62" w:rsidRPr="00FB2060" w:rsidRDefault="000B3A62" w:rsidP="000B3A62">
            <w:pPr>
              <w:spacing w:after="0"/>
              <w:ind w:left="0"/>
              <w:rPr>
                <w:rFonts w:cs="Calibri"/>
                <w:color w:val="000000"/>
                <w:szCs w:val="24"/>
              </w:rPr>
            </w:pPr>
            <w:r w:rsidRPr="00FB2060">
              <w:rPr>
                <w:rFonts w:cs="Calibri"/>
                <w:color w:val="000000"/>
                <w:szCs w:val="24"/>
              </w:rPr>
              <w:t>BPC Functional Error Report</w:t>
            </w:r>
          </w:p>
        </w:tc>
        <w:tc>
          <w:tcPr>
            <w:tcW w:w="6892" w:type="dxa"/>
            <w:vAlign w:val="center"/>
          </w:tcPr>
          <w:p w14:paraId="18786540" w14:textId="23915C4B" w:rsidR="000B3A62" w:rsidRPr="00FB2060" w:rsidRDefault="000B3A62" w:rsidP="000B3A62">
            <w:pPr>
              <w:spacing w:after="0"/>
              <w:ind w:left="0"/>
              <w:rPr>
                <w:rFonts w:cs="Calibri"/>
                <w:color w:val="000000"/>
                <w:szCs w:val="24"/>
              </w:rPr>
            </w:pPr>
            <w:r w:rsidRPr="00FB2060">
              <w:rPr>
                <w:rFonts w:cs="Calibri"/>
                <w:color w:val="000000"/>
                <w:szCs w:val="24"/>
              </w:rPr>
              <w:t>Provides information on billing statements not sent because of bad address; updates to old assessment</w:t>
            </w:r>
            <w:r w:rsidR="00CB6821">
              <w:rPr>
                <w:rFonts w:cs="Calibri"/>
                <w:color w:val="000000"/>
                <w:szCs w:val="24"/>
              </w:rPr>
              <w:t xml:space="preserve"> cases; SSN,</w:t>
            </w:r>
            <w:r w:rsidR="002A1CF1">
              <w:rPr>
                <w:rFonts w:cs="Calibri"/>
                <w:color w:val="000000"/>
                <w:szCs w:val="24"/>
              </w:rPr>
              <w:t xml:space="preserve"> program</w:t>
            </w:r>
            <w:r w:rsidR="00CB6821">
              <w:rPr>
                <w:rFonts w:cs="Calibri"/>
                <w:color w:val="000000"/>
                <w:szCs w:val="24"/>
              </w:rPr>
              <w:t xml:space="preserve"> code; claim ID</w:t>
            </w:r>
          </w:p>
        </w:tc>
      </w:tr>
      <w:tr w:rsidR="000B3A62" w:rsidRPr="000E4EAF" w14:paraId="477FB24D" w14:textId="77777777" w:rsidTr="0051618A">
        <w:trPr>
          <w:trHeight w:val="300"/>
        </w:trPr>
        <w:tc>
          <w:tcPr>
            <w:tcW w:w="688" w:type="dxa"/>
            <w:noWrap/>
            <w:vAlign w:val="center"/>
            <w:hideMark/>
          </w:tcPr>
          <w:p w14:paraId="35AEFC3C" w14:textId="15F6B5CB" w:rsidR="000B3A62" w:rsidRPr="00FB2060" w:rsidRDefault="000B3A62" w:rsidP="000B3A62">
            <w:pPr>
              <w:spacing w:after="0"/>
              <w:ind w:left="0"/>
              <w:jc w:val="center"/>
              <w:rPr>
                <w:rFonts w:cs="Calibri"/>
                <w:color w:val="000000"/>
                <w:szCs w:val="24"/>
              </w:rPr>
            </w:pPr>
            <w:r w:rsidRPr="00937FE8">
              <w:rPr>
                <w:rFonts w:cs="Calibri"/>
                <w:color w:val="000000"/>
                <w:szCs w:val="24"/>
              </w:rPr>
              <w:t>2</w:t>
            </w:r>
          </w:p>
        </w:tc>
        <w:tc>
          <w:tcPr>
            <w:tcW w:w="1689" w:type="dxa"/>
            <w:noWrap/>
            <w:vAlign w:val="center"/>
          </w:tcPr>
          <w:p w14:paraId="150F5687" w14:textId="77777777" w:rsidR="000B3A62" w:rsidRPr="00FB2060" w:rsidRDefault="000B3A62" w:rsidP="000B3A62">
            <w:pPr>
              <w:spacing w:after="0"/>
              <w:ind w:left="0"/>
              <w:rPr>
                <w:rFonts w:cs="Calibri"/>
                <w:color w:val="000000"/>
                <w:szCs w:val="24"/>
              </w:rPr>
            </w:pPr>
            <w:r w:rsidRPr="00FB2060">
              <w:rPr>
                <w:rFonts w:cs="Calibri"/>
                <w:color w:val="000000"/>
                <w:szCs w:val="24"/>
              </w:rPr>
              <w:t>Daily</w:t>
            </w:r>
          </w:p>
        </w:tc>
        <w:tc>
          <w:tcPr>
            <w:tcW w:w="1920" w:type="dxa"/>
            <w:noWrap/>
            <w:vAlign w:val="center"/>
          </w:tcPr>
          <w:p w14:paraId="08772C86" w14:textId="77777777" w:rsidR="000B3A62" w:rsidRPr="00FB2060" w:rsidRDefault="000B3A62" w:rsidP="000B3A62">
            <w:pPr>
              <w:spacing w:after="0"/>
              <w:ind w:left="0"/>
              <w:rPr>
                <w:rFonts w:cs="Calibri"/>
                <w:color w:val="000000"/>
                <w:szCs w:val="24"/>
              </w:rPr>
            </w:pPr>
            <w:r w:rsidRPr="00FB2060">
              <w:rPr>
                <w:rFonts w:cs="Calibri"/>
                <w:color w:val="000000"/>
                <w:szCs w:val="24"/>
              </w:rPr>
              <w:t>Insufficient Funds Report</w:t>
            </w:r>
          </w:p>
        </w:tc>
        <w:tc>
          <w:tcPr>
            <w:tcW w:w="6892" w:type="dxa"/>
            <w:vAlign w:val="center"/>
          </w:tcPr>
          <w:p w14:paraId="5EF3BBFD" w14:textId="77777777" w:rsidR="000B3A62" w:rsidRPr="00FB2060" w:rsidRDefault="000B3A62" w:rsidP="000B3A62">
            <w:pPr>
              <w:spacing w:after="0"/>
              <w:ind w:left="0"/>
              <w:rPr>
                <w:rFonts w:cs="Calibri"/>
                <w:color w:val="000000"/>
                <w:szCs w:val="24"/>
              </w:rPr>
            </w:pPr>
            <w:r w:rsidRPr="00FB2060">
              <w:rPr>
                <w:rFonts w:cs="Calibri"/>
                <w:color w:val="000000"/>
                <w:szCs w:val="24"/>
              </w:rPr>
              <w:t>Claims where NSF checks were posted, dollar amount, SSN, name</w:t>
            </w:r>
          </w:p>
        </w:tc>
      </w:tr>
      <w:tr w:rsidR="000B3A62" w:rsidRPr="000E4EAF" w14:paraId="61F3DF50" w14:textId="77777777" w:rsidTr="0051618A">
        <w:trPr>
          <w:trHeight w:val="300"/>
        </w:trPr>
        <w:tc>
          <w:tcPr>
            <w:tcW w:w="688" w:type="dxa"/>
            <w:noWrap/>
            <w:vAlign w:val="center"/>
            <w:hideMark/>
          </w:tcPr>
          <w:p w14:paraId="08E80234" w14:textId="5185D026" w:rsidR="000B3A62" w:rsidRPr="00FB2060" w:rsidRDefault="000B3A62" w:rsidP="000B3A62">
            <w:pPr>
              <w:spacing w:after="0"/>
              <w:ind w:left="0"/>
              <w:jc w:val="center"/>
              <w:rPr>
                <w:rFonts w:cs="Calibri"/>
                <w:color w:val="000000"/>
                <w:szCs w:val="24"/>
              </w:rPr>
            </w:pPr>
            <w:r w:rsidRPr="00937FE8">
              <w:rPr>
                <w:rFonts w:cs="Calibri"/>
                <w:color w:val="000000"/>
                <w:szCs w:val="24"/>
              </w:rPr>
              <w:t>3</w:t>
            </w:r>
          </w:p>
        </w:tc>
        <w:tc>
          <w:tcPr>
            <w:tcW w:w="1689" w:type="dxa"/>
            <w:noWrap/>
            <w:vAlign w:val="center"/>
          </w:tcPr>
          <w:p w14:paraId="47A92A48" w14:textId="77777777" w:rsidR="000B3A62" w:rsidRPr="00FB2060" w:rsidRDefault="000B3A62" w:rsidP="000B3A62">
            <w:pPr>
              <w:spacing w:after="0"/>
              <w:ind w:left="0"/>
              <w:rPr>
                <w:rFonts w:cs="Calibri"/>
                <w:color w:val="000000"/>
                <w:szCs w:val="24"/>
              </w:rPr>
            </w:pPr>
            <w:r w:rsidRPr="00FB2060">
              <w:rPr>
                <w:rFonts w:cs="Calibri"/>
                <w:color w:val="000000"/>
                <w:szCs w:val="24"/>
              </w:rPr>
              <w:t>Daily</w:t>
            </w:r>
          </w:p>
        </w:tc>
        <w:tc>
          <w:tcPr>
            <w:tcW w:w="1920" w:type="dxa"/>
            <w:noWrap/>
            <w:vAlign w:val="center"/>
          </w:tcPr>
          <w:p w14:paraId="3FC7D822" w14:textId="77777777" w:rsidR="000B3A62" w:rsidRPr="00FB2060" w:rsidRDefault="000B3A62" w:rsidP="000B3A62">
            <w:pPr>
              <w:spacing w:after="0"/>
              <w:ind w:left="0"/>
              <w:rPr>
                <w:rFonts w:cs="Calibri"/>
                <w:color w:val="000000"/>
                <w:szCs w:val="24"/>
              </w:rPr>
            </w:pPr>
            <w:r w:rsidRPr="00FB2060">
              <w:rPr>
                <w:rFonts w:cs="Calibri"/>
                <w:color w:val="000000"/>
                <w:szCs w:val="24"/>
              </w:rPr>
              <w:t>Refund Reversal Report</w:t>
            </w:r>
          </w:p>
        </w:tc>
        <w:tc>
          <w:tcPr>
            <w:tcW w:w="6892" w:type="dxa"/>
            <w:vAlign w:val="center"/>
          </w:tcPr>
          <w:p w14:paraId="70BB713B" w14:textId="43E911F7" w:rsidR="000B3A62" w:rsidRPr="00FB2060" w:rsidRDefault="000B3A62" w:rsidP="000B3A62">
            <w:pPr>
              <w:spacing w:after="0"/>
              <w:ind w:left="0"/>
              <w:rPr>
                <w:rFonts w:cs="Calibri"/>
                <w:color w:val="000000"/>
                <w:szCs w:val="24"/>
              </w:rPr>
            </w:pPr>
            <w:r w:rsidRPr="00FB2060">
              <w:rPr>
                <w:rFonts w:cs="Calibri"/>
                <w:color w:val="000000"/>
                <w:szCs w:val="24"/>
              </w:rPr>
              <w:t xml:space="preserve">Provides information regarding refund payments owed to the claimant; </w:t>
            </w:r>
            <w:r w:rsidR="00942092">
              <w:rPr>
                <w:rFonts w:cs="Calibri"/>
                <w:color w:val="000000"/>
                <w:szCs w:val="24"/>
              </w:rPr>
              <w:t>claimant</w:t>
            </w:r>
            <w:r w:rsidRPr="00FB2060">
              <w:rPr>
                <w:rFonts w:cs="Calibri"/>
                <w:color w:val="000000"/>
                <w:szCs w:val="24"/>
              </w:rPr>
              <w:t xml:space="preserve"> name, </w:t>
            </w:r>
            <w:r w:rsidR="00CB6821">
              <w:rPr>
                <w:rFonts w:cs="Calibri"/>
                <w:color w:val="000000"/>
                <w:szCs w:val="24"/>
              </w:rPr>
              <w:t>SSN</w:t>
            </w:r>
            <w:r w:rsidRPr="00FB2060">
              <w:rPr>
                <w:rFonts w:cs="Calibri"/>
                <w:color w:val="000000"/>
                <w:szCs w:val="24"/>
              </w:rPr>
              <w:t>, claim id, program co</w:t>
            </w:r>
            <w:r w:rsidR="00CB6821">
              <w:rPr>
                <w:rFonts w:cs="Calibri"/>
                <w:color w:val="000000"/>
                <w:szCs w:val="24"/>
              </w:rPr>
              <w:t xml:space="preserve">de, refund </w:t>
            </w:r>
            <w:r w:rsidR="00942092">
              <w:rPr>
                <w:rFonts w:cs="Calibri"/>
                <w:color w:val="000000"/>
                <w:szCs w:val="24"/>
              </w:rPr>
              <w:t>amount</w:t>
            </w:r>
            <w:r w:rsidR="00CB6821">
              <w:rPr>
                <w:rFonts w:cs="Calibri"/>
                <w:color w:val="000000"/>
                <w:szCs w:val="24"/>
              </w:rPr>
              <w:t xml:space="preserve"> and liable state</w:t>
            </w:r>
          </w:p>
        </w:tc>
      </w:tr>
      <w:tr w:rsidR="000B3A62" w:rsidRPr="000E4EAF" w14:paraId="5D7EA57E" w14:textId="77777777" w:rsidTr="0051618A">
        <w:trPr>
          <w:trHeight w:val="300"/>
        </w:trPr>
        <w:tc>
          <w:tcPr>
            <w:tcW w:w="688" w:type="dxa"/>
            <w:noWrap/>
            <w:vAlign w:val="center"/>
            <w:hideMark/>
          </w:tcPr>
          <w:p w14:paraId="63CAFC11" w14:textId="2F944A10" w:rsidR="000B3A62" w:rsidRPr="00FB2060" w:rsidRDefault="000B3A62" w:rsidP="000B3A62">
            <w:pPr>
              <w:spacing w:after="0"/>
              <w:ind w:left="0"/>
              <w:jc w:val="center"/>
              <w:rPr>
                <w:rFonts w:cs="Calibri"/>
                <w:color w:val="000000"/>
                <w:szCs w:val="24"/>
              </w:rPr>
            </w:pPr>
            <w:r w:rsidRPr="00937FE8">
              <w:rPr>
                <w:rFonts w:cs="Calibri"/>
                <w:color w:val="000000"/>
                <w:szCs w:val="24"/>
              </w:rPr>
              <w:t>4</w:t>
            </w:r>
          </w:p>
        </w:tc>
        <w:tc>
          <w:tcPr>
            <w:tcW w:w="1689" w:type="dxa"/>
            <w:noWrap/>
            <w:vAlign w:val="center"/>
          </w:tcPr>
          <w:p w14:paraId="7D35099D" w14:textId="77777777" w:rsidR="000B3A62" w:rsidRPr="00FB2060" w:rsidRDefault="000B3A62" w:rsidP="000B3A62">
            <w:pPr>
              <w:spacing w:after="0"/>
              <w:ind w:left="0"/>
              <w:rPr>
                <w:rFonts w:cs="Calibri"/>
                <w:color w:val="000000"/>
                <w:szCs w:val="24"/>
              </w:rPr>
            </w:pPr>
            <w:r w:rsidRPr="00FB2060">
              <w:rPr>
                <w:rFonts w:cs="Calibri"/>
                <w:color w:val="000000"/>
                <w:szCs w:val="24"/>
              </w:rPr>
              <w:t>Daily</w:t>
            </w:r>
          </w:p>
        </w:tc>
        <w:tc>
          <w:tcPr>
            <w:tcW w:w="1920" w:type="dxa"/>
            <w:noWrap/>
            <w:vAlign w:val="center"/>
          </w:tcPr>
          <w:p w14:paraId="76BECC62" w14:textId="77777777" w:rsidR="000B3A62" w:rsidRPr="00FB2060" w:rsidRDefault="000B3A62" w:rsidP="000B3A62">
            <w:pPr>
              <w:spacing w:after="0"/>
              <w:ind w:left="0"/>
              <w:rPr>
                <w:rFonts w:cs="Calibri"/>
                <w:color w:val="000000"/>
                <w:szCs w:val="24"/>
              </w:rPr>
            </w:pPr>
            <w:r w:rsidRPr="00FB2060">
              <w:rPr>
                <w:rFonts w:cs="Calibri"/>
                <w:color w:val="000000"/>
                <w:szCs w:val="24"/>
              </w:rPr>
              <w:t>Cashier Refund Report</w:t>
            </w:r>
          </w:p>
        </w:tc>
        <w:tc>
          <w:tcPr>
            <w:tcW w:w="6892" w:type="dxa"/>
            <w:vAlign w:val="center"/>
          </w:tcPr>
          <w:p w14:paraId="10B3D1A7" w14:textId="6B4E3F88" w:rsidR="000B3A62" w:rsidRPr="00FB2060" w:rsidRDefault="000B3A62" w:rsidP="000B3A62">
            <w:pPr>
              <w:spacing w:after="0"/>
              <w:ind w:left="0"/>
              <w:rPr>
                <w:rFonts w:cs="Calibri"/>
                <w:color w:val="000000"/>
                <w:szCs w:val="24"/>
              </w:rPr>
            </w:pPr>
            <w:r w:rsidRPr="00FB2060">
              <w:rPr>
                <w:rFonts w:cs="Calibri"/>
                <w:color w:val="000000"/>
                <w:szCs w:val="24"/>
              </w:rPr>
              <w:t xml:space="preserve">Provides information of all refund payments received; </w:t>
            </w:r>
            <w:r w:rsidR="00CB6821">
              <w:rPr>
                <w:rFonts w:cs="Calibri"/>
                <w:color w:val="000000"/>
                <w:szCs w:val="24"/>
              </w:rPr>
              <w:t>SSN</w:t>
            </w:r>
            <w:r w:rsidRPr="00FB2060">
              <w:rPr>
                <w:rFonts w:cs="Calibri"/>
                <w:color w:val="000000"/>
                <w:szCs w:val="24"/>
              </w:rPr>
              <w:t>, name, file date, time, #coun</w:t>
            </w:r>
            <w:r w:rsidR="00CB6821">
              <w:rPr>
                <w:rFonts w:cs="Calibri"/>
                <w:color w:val="000000"/>
                <w:szCs w:val="24"/>
              </w:rPr>
              <w:t xml:space="preserve">t-fmt, user id, check </w:t>
            </w:r>
            <w:r w:rsidR="00942092">
              <w:rPr>
                <w:rFonts w:cs="Calibri"/>
                <w:color w:val="000000"/>
                <w:szCs w:val="24"/>
              </w:rPr>
              <w:t>amount</w:t>
            </w:r>
            <w:r w:rsidR="00CB6821">
              <w:rPr>
                <w:rFonts w:cs="Calibri"/>
                <w:color w:val="000000"/>
                <w:szCs w:val="24"/>
              </w:rPr>
              <w:t>, term</w:t>
            </w:r>
          </w:p>
        </w:tc>
      </w:tr>
      <w:tr w:rsidR="000B3A62" w:rsidRPr="000E4EAF" w14:paraId="35B81E51" w14:textId="77777777" w:rsidTr="0051618A">
        <w:trPr>
          <w:trHeight w:val="300"/>
        </w:trPr>
        <w:tc>
          <w:tcPr>
            <w:tcW w:w="688" w:type="dxa"/>
            <w:noWrap/>
            <w:vAlign w:val="center"/>
            <w:hideMark/>
          </w:tcPr>
          <w:p w14:paraId="5E9FCAF5" w14:textId="3AB8C7C7" w:rsidR="000B3A62" w:rsidRPr="00FB2060" w:rsidRDefault="000B3A62" w:rsidP="000B3A62">
            <w:pPr>
              <w:spacing w:after="0"/>
              <w:ind w:left="0"/>
              <w:jc w:val="center"/>
              <w:rPr>
                <w:rFonts w:cs="Calibri"/>
                <w:color w:val="000000"/>
                <w:szCs w:val="24"/>
              </w:rPr>
            </w:pPr>
            <w:r w:rsidRPr="00937FE8">
              <w:rPr>
                <w:rFonts w:cs="Calibri"/>
                <w:color w:val="000000"/>
                <w:szCs w:val="24"/>
              </w:rPr>
              <w:t>5</w:t>
            </w:r>
          </w:p>
        </w:tc>
        <w:tc>
          <w:tcPr>
            <w:tcW w:w="1689" w:type="dxa"/>
            <w:noWrap/>
            <w:vAlign w:val="center"/>
          </w:tcPr>
          <w:p w14:paraId="333A0055" w14:textId="77777777" w:rsidR="000B3A62" w:rsidRPr="00FB2060" w:rsidRDefault="000B3A62" w:rsidP="000B3A62">
            <w:pPr>
              <w:spacing w:after="0"/>
              <w:ind w:left="0"/>
              <w:rPr>
                <w:rFonts w:cs="Calibri"/>
                <w:color w:val="000000"/>
                <w:szCs w:val="24"/>
              </w:rPr>
            </w:pPr>
            <w:r w:rsidRPr="00FB2060">
              <w:rPr>
                <w:rFonts w:cs="Calibri"/>
                <w:color w:val="000000"/>
                <w:szCs w:val="24"/>
              </w:rPr>
              <w:t>Daily</w:t>
            </w:r>
          </w:p>
        </w:tc>
        <w:tc>
          <w:tcPr>
            <w:tcW w:w="1920" w:type="dxa"/>
            <w:noWrap/>
            <w:vAlign w:val="center"/>
          </w:tcPr>
          <w:p w14:paraId="532B82DC" w14:textId="77777777" w:rsidR="000B3A62" w:rsidRPr="00FB2060" w:rsidRDefault="000B3A62" w:rsidP="000B3A62">
            <w:pPr>
              <w:spacing w:after="0"/>
              <w:ind w:left="0"/>
              <w:rPr>
                <w:rFonts w:cs="Calibri"/>
                <w:color w:val="000000"/>
                <w:szCs w:val="24"/>
              </w:rPr>
            </w:pPr>
            <w:r w:rsidRPr="00FB2060">
              <w:rPr>
                <w:rFonts w:cs="Calibri"/>
                <w:color w:val="000000"/>
                <w:szCs w:val="24"/>
              </w:rPr>
              <w:t>Cash Refund Detail Report</w:t>
            </w:r>
          </w:p>
        </w:tc>
        <w:tc>
          <w:tcPr>
            <w:tcW w:w="6892" w:type="dxa"/>
            <w:vAlign w:val="center"/>
          </w:tcPr>
          <w:p w14:paraId="474824C9" w14:textId="56C7CACC" w:rsidR="000B3A62" w:rsidRPr="00FB2060" w:rsidRDefault="000B3A62" w:rsidP="000B3A62">
            <w:pPr>
              <w:spacing w:after="0"/>
              <w:ind w:left="0"/>
              <w:rPr>
                <w:rFonts w:cs="Calibri"/>
                <w:color w:val="000000"/>
                <w:szCs w:val="24"/>
              </w:rPr>
            </w:pPr>
            <w:r w:rsidRPr="00FB2060">
              <w:rPr>
                <w:rFonts w:cs="Calibri"/>
                <w:color w:val="000000"/>
                <w:szCs w:val="24"/>
              </w:rPr>
              <w:t xml:space="preserve">Provides information of all refund payments rec'd; </w:t>
            </w:r>
            <w:r w:rsidR="00CB6821">
              <w:rPr>
                <w:rFonts w:cs="Calibri"/>
                <w:color w:val="000000"/>
                <w:szCs w:val="24"/>
              </w:rPr>
              <w:t>SSN</w:t>
            </w:r>
            <w:r w:rsidRPr="00FB2060">
              <w:rPr>
                <w:rFonts w:cs="Calibri"/>
                <w:color w:val="000000"/>
                <w:szCs w:val="24"/>
              </w:rPr>
              <w:t xml:space="preserve">, </w:t>
            </w:r>
            <w:r w:rsidR="00942092">
              <w:rPr>
                <w:rFonts w:cs="Calibri"/>
                <w:color w:val="000000"/>
                <w:szCs w:val="24"/>
              </w:rPr>
              <w:t>amount</w:t>
            </w:r>
            <w:r w:rsidRPr="00FB2060">
              <w:rPr>
                <w:rFonts w:cs="Calibri"/>
                <w:color w:val="000000"/>
                <w:szCs w:val="24"/>
              </w:rPr>
              <w:t xml:space="preserve"> keyed, </w:t>
            </w:r>
            <w:r w:rsidR="00942092">
              <w:rPr>
                <w:rFonts w:cs="Calibri"/>
                <w:color w:val="000000"/>
                <w:szCs w:val="24"/>
              </w:rPr>
              <w:t>amount</w:t>
            </w:r>
            <w:r w:rsidRPr="00FB2060">
              <w:rPr>
                <w:rFonts w:cs="Calibri"/>
                <w:color w:val="000000"/>
                <w:szCs w:val="24"/>
              </w:rPr>
              <w:t xml:space="preserve"> applied, claim date, type 1 </w:t>
            </w:r>
            <w:r w:rsidR="00942092">
              <w:rPr>
                <w:rFonts w:cs="Calibri"/>
                <w:color w:val="000000"/>
                <w:szCs w:val="24"/>
              </w:rPr>
              <w:t>amount</w:t>
            </w:r>
            <w:r w:rsidRPr="00FB2060">
              <w:rPr>
                <w:rFonts w:cs="Calibri"/>
                <w:color w:val="000000"/>
                <w:szCs w:val="24"/>
              </w:rPr>
              <w:t xml:space="preserve"> 1, type 2, </w:t>
            </w:r>
            <w:r w:rsidR="00942092">
              <w:rPr>
                <w:rFonts w:cs="Calibri"/>
                <w:color w:val="000000"/>
                <w:szCs w:val="24"/>
              </w:rPr>
              <w:t>amount</w:t>
            </w:r>
            <w:r w:rsidRPr="00FB2060">
              <w:rPr>
                <w:rFonts w:cs="Calibri"/>
                <w:color w:val="000000"/>
                <w:szCs w:val="24"/>
              </w:rPr>
              <w:t xml:space="preserve"> 2, type 3, </w:t>
            </w:r>
            <w:r w:rsidR="00942092">
              <w:rPr>
                <w:rFonts w:cs="Calibri"/>
                <w:color w:val="000000"/>
                <w:szCs w:val="24"/>
              </w:rPr>
              <w:t>amount</w:t>
            </w:r>
            <w:r w:rsidRPr="00FB2060">
              <w:rPr>
                <w:rFonts w:cs="Calibri"/>
                <w:color w:val="000000"/>
                <w:szCs w:val="24"/>
              </w:rPr>
              <w:t xml:space="preserve"> 3</w:t>
            </w:r>
            <w:r w:rsidR="00CB6821">
              <w:rPr>
                <w:rFonts w:cs="Calibri"/>
                <w:color w:val="000000"/>
                <w:szCs w:val="24"/>
              </w:rPr>
              <w:t>, x-dif</w:t>
            </w:r>
          </w:p>
        </w:tc>
      </w:tr>
      <w:tr w:rsidR="000B3A62" w:rsidRPr="000E4EAF" w14:paraId="1D5925A9" w14:textId="77777777" w:rsidTr="0051618A">
        <w:trPr>
          <w:trHeight w:val="300"/>
        </w:trPr>
        <w:tc>
          <w:tcPr>
            <w:tcW w:w="688" w:type="dxa"/>
            <w:noWrap/>
            <w:vAlign w:val="center"/>
            <w:hideMark/>
          </w:tcPr>
          <w:p w14:paraId="736FE775" w14:textId="4D6D2CC8" w:rsidR="000B3A62" w:rsidRPr="00FB2060" w:rsidRDefault="000B3A62" w:rsidP="000B3A62">
            <w:pPr>
              <w:spacing w:after="0"/>
              <w:ind w:left="0"/>
              <w:jc w:val="center"/>
              <w:rPr>
                <w:rFonts w:cs="Calibri"/>
                <w:color w:val="000000"/>
                <w:szCs w:val="24"/>
              </w:rPr>
            </w:pPr>
            <w:r w:rsidRPr="00937FE8">
              <w:rPr>
                <w:rFonts w:cs="Calibri"/>
                <w:color w:val="000000"/>
                <w:szCs w:val="24"/>
              </w:rPr>
              <w:t>6</w:t>
            </w:r>
          </w:p>
        </w:tc>
        <w:tc>
          <w:tcPr>
            <w:tcW w:w="1689" w:type="dxa"/>
            <w:noWrap/>
            <w:vAlign w:val="center"/>
          </w:tcPr>
          <w:p w14:paraId="270F7222" w14:textId="77777777" w:rsidR="000B3A62" w:rsidRPr="00FB2060" w:rsidRDefault="000B3A62" w:rsidP="000B3A62">
            <w:pPr>
              <w:spacing w:after="0"/>
              <w:ind w:left="0"/>
              <w:rPr>
                <w:rFonts w:cs="Calibri"/>
                <w:color w:val="000000"/>
                <w:szCs w:val="24"/>
              </w:rPr>
            </w:pPr>
            <w:r w:rsidRPr="00FB2060">
              <w:rPr>
                <w:rFonts w:cs="Calibri"/>
                <w:color w:val="000000"/>
                <w:szCs w:val="24"/>
              </w:rPr>
              <w:t>Daily</w:t>
            </w:r>
          </w:p>
        </w:tc>
        <w:tc>
          <w:tcPr>
            <w:tcW w:w="1920" w:type="dxa"/>
            <w:noWrap/>
            <w:vAlign w:val="center"/>
          </w:tcPr>
          <w:p w14:paraId="169A5B4B" w14:textId="77777777" w:rsidR="000B3A62" w:rsidRPr="00FB2060" w:rsidRDefault="000B3A62" w:rsidP="000B3A62">
            <w:pPr>
              <w:spacing w:after="0"/>
              <w:ind w:left="0"/>
              <w:rPr>
                <w:rFonts w:cs="Calibri"/>
                <w:color w:val="000000"/>
                <w:szCs w:val="24"/>
              </w:rPr>
            </w:pPr>
            <w:r w:rsidRPr="00FB2060">
              <w:rPr>
                <w:rFonts w:cs="Calibri"/>
                <w:color w:val="000000"/>
                <w:szCs w:val="24"/>
              </w:rPr>
              <w:t>FAC Good Money Report</w:t>
            </w:r>
          </w:p>
        </w:tc>
        <w:tc>
          <w:tcPr>
            <w:tcW w:w="6892" w:type="dxa"/>
            <w:vAlign w:val="center"/>
          </w:tcPr>
          <w:p w14:paraId="3AAD1706" w14:textId="5B23FDA3" w:rsidR="000B3A62" w:rsidRPr="00FB2060" w:rsidRDefault="000B3A62" w:rsidP="000B3A62">
            <w:pPr>
              <w:spacing w:after="0"/>
              <w:ind w:left="0"/>
              <w:rPr>
                <w:rFonts w:cs="Calibri"/>
                <w:color w:val="000000"/>
                <w:szCs w:val="24"/>
              </w:rPr>
            </w:pPr>
            <w:r w:rsidRPr="00FB2060">
              <w:rPr>
                <w:rFonts w:cs="Calibri"/>
                <w:color w:val="000000"/>
                <w:szCs w:val="24"/>
              </w:rPr>
              <w:t xml:space="preserve">Provides information regarding FAC refunds owed to the claimant; </w:t>
            </w:r>
            <w:r w:rsidR="00CB6821">
              <w:rPr>
                <w:rFonts w:cs="Calibri"/>
                <w:color w:val="000000"/>
                <w:szCs w:val="24"/>
              </w:rPr>
              <w:t>SSN</w:t>
            </w:r>
            <w:r w:rsidRPr="00FB2060">
              <w:rPr>
                <w:rFonts w:cs="Calibri"/>
                <w:color w:val="000000"/>
                <w:szCs w:val="24"/>
              </w:rPr>
              <w:t xml:space="preserve">, </w:t>
            </w:r>
            <w:r w:rsidR="00942092">
              <w:rPr>
                <w:rFonts w:cs="Calibri"/>
                <w:color w:val="000000"/>
                <w:szCs w:val="24"/>
              </w:rPr>
              <w:t>claimant</w:t>
            </w:r>
            <w:r w:rsidRPr="00FB2060">
              <w:rPr>
                <w:rFonts w:cs="Calibri"/>
                <w:color w:val="000000"/>
                <w:szCs w:val="24"/>
              </w:rPr>
              <w:t xml:space="preserve"> name, refund date, available </w:t>
            </w:r>
          </w:p>
        </w:tc>
      </w:tr>
      <w:tr w:rsidR="000B3A62" w:rsidRPr="000E4EAF" w14:paraId="45DCA1C2" w14:textId="77777777" w:rsidTr="0051618A">
        <w:trPr>
          <w:trHeight w:val="300"/>
        </w:trPr>
        <w:tc>
          <w:tcPr>
            <w:tcW w:w="688" w:type="dxa"/>
            <w:noWrap/>
            <w:vAlign w:val="center"/>
            <w:hideMark/>
          </w:tcPr>
          <w:p w14:paraId="00068E21" w14:textId="0F8BD31A" w:rsidR="000B3A62" w:rsidRPr="00FB2060" w:rsidRDefault="000B3A62" w:rsidP="000B3A62">
            <w:pPr>
              <w:spacing w:after="0"/>
              <w:ind w:left="0"/>
              <w:jc w:val="center"/>
              <w:rPr>
                <w:rFonts w:cs="Calibri"/>
                <w:color w:val="000000"/>
                <w:szCs w:val="24"/>
              </w:rPr>
            </w:pPr>
            <w:r w:rsidRPr="00937FE8">
              <w:rPr>
                <w:rFonts w:cs="Calibri"/>
                <w:color w:val="000000"/>
                <w:szCs w:val="24"/>
              </w:rPr>
              <w:t>7</w:t>
            </w:r>
          </w:p>
        </w:tc>
        <w:tc>
          <w:tcPr>
            <w:tcW w:w="1689" w:type="dxa"/>
            <w:noWrap/>
            <w:vAlign w:val="center"/>
          </w:tcPr>
          <w:p w14:paraId="16873147" w14:textId="77777777" w:rsidR="000B3A62" w:rsidRPr="00FB2060" w:rsidRDefault="000B3A62" w:rsidP="000B3A62">
            <w:pPr>
              <w:spacing w:after="0"/>
              <w:ind w:left="0"/>
              <w:rPr>
                <w:rFonts w:cs="Calibri"/>
                <w:color w:val="000000"/>
                <w:szCs w:val="24"/>
              </w:rPr>
            </w:pPr>
            <w:r w:rsidRPr="00FB2060">
              <w:rPr>
                <w:rFonts w:cs="Calibri"/>
                <w:color w:val="000000"/>
                <w:szCs w:val="24"/>
              </w:rPr>
              <w:t>Daily</w:t>
            </w:r>
          </w:p>
        </w:tc>
        <w:tc>
          <w:tcPr>
            <w:tcW w:w="1920" w:type="dxa"/>
            <w:noWrap/>
            <w:vAlign w:val="center"/>
          </w:tcPr>
          <w:p w14:paraId="5B7A277E" w14:textId="77777777" w:rsidR="000B3A62" w:rsidRPr="00FB2060" w:rsidRDefault="000B3A62" w:rsidP="000B3A62">
            <w:pPr>
              <w:spacing w:after="0"/>
              <w:ind w:left="0"/>
              <w:rPr>
                <w:rFonts w:cs="Calibri"/>
                <w:color w:val="000000"/>
                <w:szCs w:val="24"/>
              </w:rPr>
            </w:pPr>
            <w:r w:rsidRPr="00FB2060">
              <w:rPr>
                <w:rFonts w:cs="Calibri"/>
                <w:color w:val="000000"/>
                <w:szCs w:val="24"/>
              </w:rPr>
              <w:t>FAC Cashier Refund Listing Report</w:t>
            </w:r>
          </w:p>
        </w:tc>
        <w:tc>
          <w:tcPr>
            <w:tcW w:w="6892" w:type="dxa"/>
            <w:vAlign w:val="center"/>
          </w:tcPr>
          <w:p w14:paraId="7849E4D4" w14:textId="4DFBDABD" w:rsidR="000B3A62" w:rsidRPr="00FB2060" w:rsidRDefault="000B3A62" w:rsidP="000B3A62">
            <w:pPr>
              <w:spacing w:after="0"/>
              <w:ind w:left="0"/>
              <w:rPr>
                <w:rFonts w:cs="Calibri"/>
                <w:color w:val="000000"/>
                <w:szCs w:val="24"/>
              </w:rPr>
            </w:pPr>
            <w:r w:rsidRPr="00FB2060">
              <w:rPr>
                <w:rFonts w:cs="Calibri"/>
                <w:color w:val="000000"/>
                <w:szCs w:val="24"/>
              </w:rPr>
              <w:t xml:space="preserve">Provides information regarding FAC payments received; </w:t>
            </w:r>
            <w:r w:rsidR="00CB6821">
              <w:rPr>
                <w:rFonts w:cs="Calibri"/>
                <w:color w:val="000000"/>
                <w:szCs w:val="24"/>
              </w:rPr>
              <w:t>SSN</w:t>
            </w:r>
            <w:r w:rsidRPr="00FB2060">
              <w:rPr>
                <w:rFonts w:cs="Calibri"/>
                <w:color w:val="000000"/>
                <w:szCs w:val="24"/>
              </w:rPr>
              <w:t xml:space="preserve">, </w:t>
            </w:r>
            <w:r w:rsidR="00942092">
              <w:rPr>
                <w:rFonts w:cs="Calibri"/>
                <w:color w:val="000000"/>
                <w:szCs w:val="24"/>
              </w:rPr>
              <w:t>claimant</w:t>
            </w:r>
            <w:r w:rsidRPr="00FB2060">
              <w:rPr>
                <w:rFonts w:cs="Calibri"/>
                <w:color w:val="000000"/>
                <w:szCs w:val="24"/>
              </w:rPr>
              <w:t xml:space="preserve"> name, count, uid, keyed, allocated, unal</w:t>
            </w:r>
            <w:r w:rsidR="00CB6821">
              <w:rPr>
                <w:rFonts w:cs="Calibri"/>
                <w:color w:val="000000"/>
                <w:szCs w:val="24"/>
              </w:rPr>
              <w:t>located, available, transferred</w:t>
            </w:r>
          </w:p>
        </w:tc>
      </w:tr>
      <w:tr w:rsidR="000B3A62" w:rsidRPr="000E4EAF" w14:paraId="2B55908E" w14:textId="77777777" w:rsidTr="0051618A">
        <w:trPr>
          <w:trHeight w:val="300"/>
        </w:trPr>
        <w:tc>
          <w:tcPr>
            <w:tcW w:w="688" w:type="dxa"/>
            <w:noWrap/>
            <w:vAlign w:val="center"/>
            <w:hideMark/>
          </w:tcPr>
          <w:p w14:paraId="3C367C59" w14:textId="44260918" w:rsidR="000B3A62" w:rsidRPr="00FB2060" w:rsidRDefault="000B3A62" w:rsidP="000B3A62">
            <w:pPr>
              <w:spacing w:after="0"/>
              <w:ind w:left="0"/>
              <w:jc w:val="center"/>
              <w:rPr>
                <w:rFonts w:cs="Calibri"/>
                <w:color w:val="000000"/>
                <w:szCs w:val="24"/>
              </w:rPr>
            </w:pPr>
            <w:r w:rsidRPr="00937FE8">
              <w:rPr>
                <w:rFonts w:cs="Calibri"/>
                <w:color w:val="000000"/>
                <w:szCs w:val="24"/>
              </w:rPr>
              <w:t>8</w:t>
            </w:r>
          </w:p>
        </w:tc>
        <w:tc>
          <w:tcPr>
            <w:tcW w:w="1689" w:type="dxa"/>
            <w:noWrap/>
            <w:vAlign w:val="center"/>
          </w:tcPr>
          <w:p w14:paraId="114D3941" w14:textId="77777777" w:rsidR="000B3A62" w:rsidRPr="00FB2060" w:rsidRDefault="000B3A62" w:rsidP="000B3A62">
            <w:pPr>
              <w:spacing w:after="0"/>
              <w:ind w:left="0"/>
              <w:rPr>
                <w:rFonts w:cs="Calibri"/>
                <w:color w:val="000000"/>
                <w:szCs w:val="24"/>
              </w:rPr>
            </w:pPr>
            <w:r w:rsidRPr="00FB2060">
              <w:rPr>
                <w:rFonts w:cs="Calibri"/>
                <w:color w:val="000000"/>
                <w:szCs w:val="24"/>
              </w:rPr>
              <w:t>Daily</w:t>
            </w:r>
          </w:p>
        </w:tc>
        <w:tc>
          <w:tcPr>
            <w:tcW w:w="1920" w:type="dxa"/>
            <w:noWrap/>
            <w:vAlign w:val="center"/>
          </w:tcPr>
          <w:p w14:paraId="5A9A1AB3" w14:textId="77777777" w:rsidR="000B3A62" w:rsidRPr="00FB2060" w:rsidRDefault="000B3A62" w:rsidP="000B3A62">
            <w:pPr>
              <w:spacing w:after="0"/>
              <w:ind w:left="0"/>
              <w:rPr>
                <w:rFonts w:cs="Calibri"/>
                <w:color w:val="000000"/>
                <w:szCs w:val="24"/>
              </w:rPr>
            </w:pPr>
            <w:r w:rsidRPr="00FB2060">
              <w:rPr>
                <w:rFonts w:cs="Calibri"/>
                <w:color w:val="000000"/>
                <w:szCs w:val="24"/>
              </w:rPr>
              <w:t>No job name- IB8606 Forms</w:t>
            </w:r>
          </w:p>
        </w:tc>
        <w:tc>
          <w:tcPr>
            <w:tcW w:w="6892" w:type="dxa"/>
            <w:vAlign w:val="center"/>
          </w:tcPr>
          <w:p w14:paraId="64FF25AF" w14:textId="7545B3CB" w:rsidR="000B3A62" w:rsidRPr="00FB2060" w:rsidRDefault="000B3A62" w:rsidP="000B3A62">
            <w:pPr>
              <w:spacing w:after="0"/>
              <w:ind w:left="0"/>
              <w:rPr>
                <w:rFonts w:cs="Calibri"/>
                <w:color w:val="000000"/>
                <w:szCs w:val="24"/>
              </w:rPr>
            </w:pPr>
            <w:r w:rsidRPr="00FB2060">
              <w:rPr>
                <w:rFonts w:cs="Calibri"/>
                <w:color w:val="000000"/>
                <w:szCs w:val="24"/>
              </w:rPr>
              <w:t>Provides Forms IB8606 to be mailed out to request assistance from other state</w:t>
            </w:r>
            <w:r w:rsidR="00CB6821">
              <w:rPr>
                <w:rFonts w:cs="Calibri"/>
                <w:color w:val="000000"/>
                <w:szCs w:val="24"/>
              </w:rPr>
              <w:t>s in recovery of TX overpayment</w:t>
            </w:r>
          </w:p>
        </w:tc>
      </w:tr>
      <w:tr w:rsidR="000B3A62" w:rsidRPr="000E4EAF" w14:paraId="0387B9FC" w14:textId="77777777" w:rsidTr="0051618A">
        <w:trPr>
          <w:trHeight w:val="300"/>
        </w:trPr>
        <w:tc>
          <w:tcPr>
            <w:tcW w:w="688" w:type="dxa"/>
            <w:noWrap/>
            <w:vAlign w:val="center"/>
            <w:hideMark/>
          </w:tcPr>
          <w:p w14:paraId="0C97533B" w14:textId="2FFF80D0" w:rsidR="000B3A62" w:rsidRPr="00FB2060" w:rsidRDefault="000B3A62" w:rsidP="000B3A62">
            <w:pPr>
              <w:spacing w:after="0"/>
              <w:ind w:left="0"/>
              <w:jc w:val="center"/>
              <w:rPr>
                <w:rFonts w:cs="Calibri"/>
                <w:color w:val="000000"/>
                <w:szCs w:val="24"/>
              </w:rPr>
            </w:pPr>
            <w:r w:rsidRPr="00937FE8">
              <w:rPr>
                <w:rFonts w:cs="Calibri"/>
                <w:color w:val="000000"/>
                <w:szCs w:val="24"/>
              </w:rPr>
              <w:t>9</w:t>
            </w:r>
          </w:p>
        </w:tc>
        <w:tc>
          <w:tcPr>
            <w:tcW w:w="1689" w:type="dxa"/>
            <w:noWrap/>
            <w:vAlign w:val="center"/>
          </w:tcPr>
          <w:p w14:paraId="2460C864" w14:textId="77777777" w:rsidR="000B3A62" w:rsidRPr="00FB2060" w:rsidRDefault="000B3A62" w:rsidP="000B3A62">
            <w:pPr>
              <w:spacing w:after="0"/>
              <w:ind w:left="0"/>
              <w:rPr>
                <w:rFonts w:cs="Calibri"/>
                <w:color w:val="000000"/>
                <w:szCs w:val="24"/>
              </w:rPr>
            </w:pPr>
            <w:r w:rsidRPr="00FB2060">
              <w:rPr>
                <w:rFonts w:cs="Calibri"/>
                <w:color w:val="000000"/>
                <w:szCs w:val="24"/>
              </w:rPr>
              <w:t>Weekly</w:t>
            </w:r>
          </w:p>
        </w:tc>
        <w:tc>
          <w:tcPr>
            <w:tcW w:w="1920" w:type="dxa"/>
            <w:noWrap/>
            <w:vAlign w:val="center"/>
          </w:tcPr>
          <w:p w14:paraId="2FF46285" w14:textId="77777777" w:rsidR="000B3A62" w:rsidRPr="00FB2060" w:rsidRDefault="000B3A62" w:rsidP="000B3A62">
            <w:pPr>
              <w:spacing w:after="0"/>
              <w:ind w:left="0"/>
              <w:rPr>
                <w:rFonts w:cs="Calibri"/>
                <w:color w:val="000000"/>
                <w:szCs w:val="24"/>
              </w:rPr>
            </w:pPr>
            <w:r w:rsidRPr="00FB2060">
              <w:rPr>
                <w:rFonts w:cs="Calibri"/>
                <w:color w:val="000000"/>
                <w:szCs w:val="24"/>
              </w:rPr>
              <w:t xml:space="preserve">Comptroller Warrant Hold </w:t>
            </w:r>
            <w:r w:rsidRPr="00FB2060">
              <w:rPr>
                <w:rFonts w:cs="Calibri"/>
                <w:color w:val="000000"/>
                <w:szCs w:val="24"/>
              </w:rPr>
              <w:lastRenderedPageBreak/>
              <w:t>Review Report</w:t>
            </w:r>
          </w:p>
        </w:tc>
        <w:tc>
          <w:tcPr>
            <w:tcW w:w="6892" w:type="dxa"/>
            <w:vAlign w:val="center"/>
          </w:tcPr>
          <w:p w14:paraId="4D745904" w14:textId="45E33043" w:rsidR="000B3A62" w:rsidRPr="00FB2060" w:rsidRDefault="000B3A62" w:rsidP="000B3A62">
            <w:pPr>
              <w:spacing w:after="0"/>
              <w:ind w:left="0"/>
              <w:rPr>
                <w:rFonts w:cs="Calibri"/>
                <w:color w:val="000000"/>
                <w:szCs w:val="24"/>
              </w:rPr>
            </w:pPr>
            <w:r w:rsidRPr="00FB2060">
              <w:rPr>
                <w:rFonts w:cs="Calibri"/>
                <w:color w:val="000000"/>
                <w:szCs w:val="24"/>
              </w:rPr>
              <w:lastRenderedPageBreak/>
              <w:t xml:space="preserve">Provides information regarding warrant hold cases showing a discrepancy in overpayment balance and </w:t>
            </w:r>
            <w:r w:rsidRPr="00FB2060">
              <w:rPr>
                <w:rFonts w:cs="Calibri"/>
                <w:color w:val="000000"/>
                <w:szCs w:val="24"/>
              </w:rPr>
              <w:lastRenderedPageBreak/>
              <w:t xml:space="preserve">adjusted amount; </w:t>
            </w:r>
            <w:r w:rsidR="00CB6821">
              <w:rPr>
                <w:rFonts w:cs="Calibri"/>
                <w:color w:val="000000"/>
                <w:szCs w:val="24"/>
              </w:rPr>
              <w:t>SSN</w:t>
            </w:r>
            <w:r w:rsidRPr="00FB2060">
              <w:rPr>
                <w:rFonts w:cs="Calibri"/>
                <w:color w:val="000000"/>
                <w:szCs w:val="24"/>
              </w:rPr>
              <w:t xml:space="preserve">, </w:t>
            </w:r>
            <w:r w:rsidR="00ED3D36">
              <w:rPr>
                <w:rFonts w:cs="Calibri"/>
                <w:color w:val="000000"/>
                <w:szCs w:val="24"/>
              </w:rPr>
              <w:t>OP</w:t>
            </w:r>
            <w:r w:rsidRPr="00FB2060">
              <w:rPr>
                <w:rFonts w:cs="Calibri"/>
                <w:color w:val="000000"/>
                <w:szCs w:val="24"/>
              </w:rPr>
              <w:t xml:space="preserve"> </w:t>
            </w:r>
            <w:r w:rsidR="00942092">
              <w:rPr>
                <w:rFonts w:cs="Calibri"/>
                <w:color w:val="000000"/>
                <w:szCs w:val="24"/>
              </w:rPr>
              <w:t>balance,</w:t>
            </w:r>
            <w:r w:rsidR="00CB6821">
              <w:rPr>
                <w:rFonts w:cs="Calibri"/>
                <w:color w:val="000000"/>
                <w:szCs w:val="24"/>
              </w:rPr>
              <w:t xml:space="preserve"> hold </w:t>
            </w:r>
            <w:r w:rsidR="00942092">
              <w:rPr>
                <w:rFonts w:cs="Calibri"/>
                <w:color w:val="000000"/>
                <w:szCs w:val="24"/>
              </w:rPr>
              <w:t>amount</w:t>
            </w:r>
            <w:r w:rsidR="00CB6821">
              <w:rPr>
                <w:rFonts w:cs="Calibri"/>
                <w:color w:val="000000"/>
                <w:szCs w:val="24"/>
              </w:rPr>
              <w:t xml:space="preserve">, adjusted </w:t>
            </w:r>
            <w:r w:rsidR="00942092">
              <w:rPr>
                <w:rFonts w:cs="Calibri"/>
                <w:color w:val="000000"/>
                <w:szCs w:val="24"/>
              </w:rPr>
              <w:t>amount</w:t>
            </w:r>
            <w:r w:rsidR="00CB6821">
              <w:rPr>
                <w:rFonts w:cs="Calibri"/>
                <w:color w:val="000000"/>
                <w:szCs w:val="24"/>
              </w:rPr>
              <w:t>, note</w:t>
            </w:r>
          </w:p>
        </w:tc>
      </w:tr>
      <w:tr w:rsidR="000B3A62" w:rsidRPr="000E4EAF" w14:paraId="02D86B2F" w14:textId="77777777" w:rsidTr="0051618A">
        <w:trPr>
          <w:trHeight w:val="300"/>
        </w:trPr>
        <w:tc>
          <w:tcPr>
            <w:tcW w:w="688" w:type="dxa"/>
            <w:noWrap/>
            <w:vAlign w:val="center"/>
            <w:hideMark/>
          </w:tcPr>
          <w:p w14:paraId="08F6AF9F" w14:textId="52BA5730" w:rsidR="000B3A62" w:rsidRPr="00FB2060" w:rsidRDefault="000B3A62" w:rsidP="000B3A62">
            <w:pPr>
              <w:spacing w:after="0"/>
              <w:ind w:left="0"/>
              <w:jc w:val="center"/>
              <w:rPr>
                <w:rFonts w:cs="Calibri"/>
                <w:color w:val="000000"/>
                <w:szCs w:val="24"/>
              </w:rPr>
            </w:pPr>
            <w:r w:rsidRPr="00937FE8">
              <w:rPr>
                <w:rFonts w:cs="Calibri"/>
                <w:color w:val="000000"/>
                <w:szCs w:val="24"/>
              </w:rPr>
              <w:lastRenderedPageBreak/>
              <w:t>10</w:t>
            </w:r>
          </w:p>
        </w:tc>
        <w:tc>
          <w:tcPr>
            <w:tcW w:w="1689" w:type="dxa"/>
            <w:noWrap/>
            <w:vAlign w:val="center"/>
          </w:tcPr>
          <w:p w14:paraId="7ABC2DA4" w14:textId="77777777" w:rsidR="000B3A62" w:rsidRPr="00FB2060" w:rsidRDefault="000B3A62" w:rsidP="000B3A62">
            <w:pPr>
              <w:spacing w:after="0"/>
              <w:ind w:left="0"/>
              <w:rPr>
                <w:rFonts w:cs="Calibri"/>
                <w:color w:val="000000"/>
                <w:szCs w:val="24"/>
              </w:rPr>
            </w:pPr>
            <w:r w:rsidRPr="00FB2060">
              <w:rPr>
                <w:rFonts w:cs="Calibri"/>
                <w:color w:val="000000"/>
                <w:szCs w:val="24"/>
              </w:rPr>
              <w:t>Monthly</w:t>
            </w:r>
          </w:p>
        </w:tc>
        <w:tc>
          <w:tcPr>
            <w:tcW w:w="1920" w:type="dxa"/>
            <w:noWrap/>
            <w:vAlign w:val="center"/>
          </w:tcPr>
          <w:p w14:paraId="202FE657" w14:textId="77777777" w:rsidR="000B3A62" w:rsidRPr="00FB2060" w:rsidRDefault="000B3A62" w:rsidP="000B3A62">
            <w:pPr>
              <w:spacing w:after="0"/>
              <w:ind w:left="0"/>
              <w:rPr>
                <w:rFonts w:cs="Calibri"/>
                <w:color w:val="000000"/>
                <w:szCs w:val="24"/>
              </w:rPr>
            </w:pPr>
            <w:r w:rsidRPr="00FB2060">
              <w:rPr>
                <w:rFonts w:cs="Calibri"/>
                <w:color w:val="000000"/>
                <w:szCs w:val="24"/>
              </w:rPr>
              <w:t>TWC Employees Overpayment List</w:t>
            </w:r>
          </w:p>
        </w:tc>
        <w:tc>
          <w:tcPr>
            <w:tcW w:w="6892" w:type="dxa"/>
            <w:vAlign w:val="center"/>
          </w:tcPr>
          <w:p w14:paraId="68A45186" w14:textId="7F5F9187" w:rsidR="000B3A62" w:rsidRPr="00FB2060" w:rsidRDefault="000B3A62" w:rsidP="000B3A62">
            <w:pPr>
              <w:spacing w:after="0"/>
              <w:ind w:left="0"/>
              <w:rPr>
                <w:rFonts w:cs="Calibri"/>
                <w:color w:val="000000"/>
                <w:szCs w:val="24"/>
              </w:rPr>
            </w:pPr>
            <w:r w:rsidRPr="00FB2060">
              <w:rPr>
                <w:rFonts w:cs="Calibri"/>
                <w:color w:val="000000"/>
                <w:szCs w:val="24"/>
              </w:rPr>
              <w:t xml:space="preserve">Provides information on TWC employees with benefit overpayments; </w:t>
            </w:r>
            <w:r w:rsidR="00CB6821">
              <w:rPr>
                <w:rFonts w:cs="Calibri"/>
                <w:color w:val="000000"/>
                <w:szCs w:val="24"/>
              </w:rPr>
              <w:t>SSN</w:t>
            </w:r>
            <w:r w:rsidRPr="00FB2060">
              <w:rPr>
                <w:rFonts w:cs="Calibri"/>
                <w:color w:val="000000"/>
                <w:szCs w:val="24"/>
              </w:rPr>
              <w:t>, name, location code, Repayment Schedule date; payment per month; EOD, claim id, Original Amount owed, balance, last payment amount, last payment date, Cost Center Manager Name, notes</w:t>
            </w:r>
          </w:p>
        </w:tc>
      </w:tr>
      <w:tr w:rsidR="000B3A62" w:rsidRPr="000E4EAF" w14:paraId="3631F704" w14:textId="77777777" w:rsidTr="0051618A">
        <w:trPr>
          <w:trHeight w:val="300"/>
        </w:trPr>
        <w:tc>
          <w:tcPr>
            <w:tcW w:w="688" w:type="dxa"/>
            <w:noWrap/>
            <w:vAlign w:val="center"/>
            <w:hideMark/>
          </w:tcPr>
          <w:p w14:paraId="439493F6" w14:textId="5D3124F1" w:rsidR="000B3A62" w:rsidRPr="00FB2060" w:rsidRDefault="000B3A62" w:rsidP="000B3A62">
            <w:pPr>
              <w:spacing w:after="0"/>
              <w:ind w:left="0"/>
              <w:jc w:val="center"/>
              <w:rPr>
                <w:rFonts w:cs="Calibri"/>
                <w:color w:val="000000"/>
                <w:szCs w:val="24"/>
              </w:rPr>
            </w:pPr>
            <w:r w:rsidRPr="00937FE8">
              <w:rPr>
                <w:rFonts w:cs="Calibri"/>
                <w:color w:val="000000"/>
                <w:szCs w:val="24"/>
              </w:rPr>
              <w:t>11</w:t>
            </w:r>
          </w:p>
        </w:tc>
        <w:tc>
          <w:tcPr>
            <w:tcW w:w="1689" w:type="dxa"/>
            <w:noWrap/>
            <w:vAlign w:val="center"/>
          </w:tcPr>
          <w:p w14:paraId="35FD0C74" w14:textId="77777777" w:rsidR="000B3A62" w:rsidRPr="00FB2060" w:rsidRDefault="000B3A62" w:rsidP="000B3A62">
            <w:pPr>
              <w:spacing w:after="0"/>
              <w:ind w:left="0"/>
              <w:rPr>
                <w:rFonts w:cs="Calibri"/>
                <w:color w:val="000000"/>
                <w:szCs w:val="24"/>
              </w:rPr>
            </w:pPr>
            <w:r w:rsidRPr="00FB2060">
              <w:rPr>
                <w:rFonts w:cs="Calibri"/>
                <w:color w:val="000000"/>
                <w:szCs w:val="24"/>
              </w:rPr>
              <w:t>Monthly</w:t>
            </w:r>
          </w:p>
        </w:tc>
        <w:tc>
          <w:tcPr>
            <w:tcW w:w="1920" w:type="dxa"/>
            <w:noWrap/>
            <w:vAlign w:val="center"/>
          </w:tcPr>
          <w:p w14:paraId="47D37E94" w14:textId="77777777" w:rsidR="000B3A62" w:rsidRPr="00FB2060" w:rsidRDefault="000B3A62" w:rsidP="000B3A62">
            <w:pPr>
              <w:spacing w:after="0"/>
              <w:ind w:left="0"/>
              <w:rPr>
                <w:rFonts w:cs="Calibri"/>
                <w:color w:val="000000"/>
                <w:szCs w:val="24"/>
              </w:rPr>
            </w:pPr>
            <w:r w:rsidRPr="00FB2060">
              <w:rPr>
                <w:rFonts w:cs="Calibri"/>
                <w:color w:val="000000"/>
                <w:szCs w:val="24"/>
              </w:rPr>
              <w:t>Overpayment Detection/Recovery Activities, ETA 227</w:t>
            </w:r>
          </w:p>
        </w:tc>
        <w:tc>
          <w:tcPr>
            <w:tcW w:w="6892" w:type="dxa"/>
            <w:vAlign w:val="center"/>
          </w:tcPr>
          <w:p w14:paraId="17ABD5B3" w14:textId="1E0B3753" w:rsidR="000B3A62" w:rsidRPr="00FB2060" w:rsidRDefault="000B3A62" w:rsidP="000B3A62">
            <w:pPr>
              <w:spacing w:after="0"/>
              <w:ind w:left="0"/>
              <w:rPr>
                <w:rFonts w:cs="Calibri"/>
                <w:color w:val="000000"/>
                <w:szCs w:val="24"/>
              </w:rPr>
            </w:pPr>
            <w:r w:rsidRPr="00FB2060">
              <w:rPr>
                <w:rFonts w:cs="Calibri"/>
                <w:color w:val="000000"/>
                <w:szCs w:val="24"/>
              </w:rPr>
              <w:t>Shows dollar and claim amount summary of overpayments established, payments received by cash or offset/absorption, gro</w:t>
            </w:r>
            <w:r w:rsidR="00CB6821">
              <w:rPr>
                <w:rFonts w:cs="Calibri"/>
                <w:color w:val="000000"/>
                <w:szCs w:val="24"/>
              </w:rPr>
              <w:t>uped by program (funding) type</w:t>
            </w:r>
          </w:p>
        </w:tc>
      </w:tr>
      <w:tr w:rsidR="000B3A62" w:rsidRPr="000E4EAF" w14:paraId="54F01D10" w14:textId="77777777" w:rsidTr="0051618A">
        <w:trPr>
          <w:trHeight w:val="315"/>
        </w:trPr>
        <w:tc>
          <w:tcPr>
            <w:tcW w:w="688" w:type="dxa"/>
            <w:noWrap/>
            <w:vAlign w:val="center"/>
            <w:hideMark/>
          </w:tcPr>
          <w:p w14:paraId="35DE16C4" w14:textId="1361E2D8" w:rsidR="000B3A62" w:rsidRPr="00FB2060" w:rsidRDefault="000B3A62" w:rsidP="000B3A62">
            <w:pPr>
              <w:spacing w:after="0"/>
              <w:ind w:left="0"/>
              <w:jc w:val="center"/>
              <w:rPr>
                <w:rFonts w:cs="Calibri"/>
                <w:color w:val="000000"/>
                <w:szCs w:val="24"/>
              </w:rPr>
            </w:pPr>
            <w:r w:rsidRPr="00937FE8">
              <w:rPr>
                <w:rFonts w:cs="Calibri"/>
                <w:color w:val="000000"/>
                <w:szCs w:val="24"/>
              </w:rPr>
              <w:t>12</w:t>
            </w:r>
          </w:p>
        </w:tc>
        <w:tc>
          <w:tcPr>
            <w:tcW w:w="1689" w:type="dxa"/>
            <w:noWrap/>
            <w:vAlign w:val="center"/>
          </w:tcPr>
          <w:p w14:paraId="241C2D87" w14:textId="77777777" w:rsidR="000B3A62" w:rsidRPr="00FB2060" w:rsidRDefault="000B3A62" w:rsidP="000B3A62">
            <w:pPr>
              <w:spacing w:after="0"/>
              <w:ind w:left="0"/>
              <w:rPr>
                <w:rFonts w:cs="Calibri"/>
                <w:color w:val="000000"/>
                <w:szCs w:val="24"/>
              </w:rPr>
            </w:pPr>
            <w:r w:rsidRPr="00FB2060">
              <w:rPr>
                <w:rFonts w:cs="Calibri"/>
                <w:color w:val="000000"/>
                <w:szCs w:val="24"/>
              </w:rPr>
              <w:t>Quarterly</w:t>
            </w:r>
          </w:p>
        </w:tc>
        <w:tc>
          <w:tcPr>
            <w:tcW w:w="1920" w:type="dxa"/>
            <w:noWrap/>
            <w:vAlign w:val="center"/>
          </w:tcPr>
          <w:p w14:paraId="680B6317" w14:textId="44A020AF" w:rsidR="000B3A62" w:rsidRPr="00FB2060" w:rsidRDefault="000B3A62" w:rsidP="000B3A62">
            <w:pPr>
              <w:spacing w:after="0"/>
              <w:ind w:left="0"/>
              <w:rPr>
                <w:rFonts w:cs="Calibri"/>
                <w:color w:val="000000"/>
                <w:szCs w:val="24"/>
              </w:rPr>
            </w:pPr>
            <w:r w:rsidRPr="00FB2060">
              <w:rPr>
                <w:rFonts w:cs="Calibri"/>
                <w:color w:val="000000"/>
                <w:szCs w:val="24"/>
              </w:rPr>
              <w:t>Overpayment Diagnostic Report</w:t>
            </w:r>
          </w:p>
        </w:tc>
        <w:tc>
          <w:tcPr>
            <w:tcW w:w="6892" w:type="dxa"/>
            <w:vAlign w:val="center"/>
          </w:tcPr>
          <w:p w14:paraId="17E55B66" w14:textId="77777777" w:rsidR="000B3A62" w:rsidRPr="00FB2060" w:rsidRDefault="000B3A62" w:rsidP="000B3A62">
            <w:pPr>
              <w:spacing w:after="0"/>
              <w:ind w:left="0"/>
              <w:rPr>
                <w:rFonts w:cs="Calibri"/>
                <w:color w:val="000000"/>
                <w:szCs w:val="24"/>
              </w:rPr>
            </w:pPr>
            <w:r w:rsidRPr="00FB2060">
              <w:rPr>
                <w:rFonts w:cs="Calibri"/>
                <w:color w:val="000000"/>
                <w:szCs w:val="24"/>
              </w:rPr>
              <w:t>Shows overview of all OPs, broken down by year and status (bankruptcy, appeal, skip trace, etc.)</w:t>
            </w:r>
          </w:p>
        </w:tc>
      </w:tr>
      <w:tr w:rsidR="000B3A62" w:rsidRPr="000E4EAF" w14:paraId="53F7AA18" w14:textId="77777777" w:rsidTr="0051618A">
        <w:trPr>
          <w:trHeight w:val="315"/>
        </w:trPr>
        <w:tc>
          <w:tcPr>
            <w:tcW w:w="688" w:type="dxa"/>
            <w:noWrap/>
            <w:vAlign w:val="center"/>
            <w:hideMark/>
          </w:tcPr>
          <w:p w14:paraId="1A97D3D2" w14:textId="449CB6A8" w:rsidR="000B3A62" w:rsidRPr="00FB2060" w:rsidRDefault="000B3A62" w:rsidP="000B3A62">
            <w:pPr>
              <w:spacing w:after="0"/>
              <w:ind w:left="0"/>
              <w:jc w:val="center"/>
              <w:rPr>
                <w:rFonts w:cs="Calibri"/>
                <w:color w:val="000000"/>
                <w:szCs w:val="24"/>
              </w:rPr>
            </w:pPr>
            <w:r w:rsidRPr="00937FE8">
              <w:rPr>
                <w:rFonts w:cs="Calibri"/>
                <w:color w:val="000000"/>
                <w:szCs w:val="24"/>
              </w:rPr>
              <w:t>13</w:t>
            </w:r>
          </w:p>
        </w:tc>
        <w:tc>
          <w:tcPr>
            <w:tcW w:w="1689" w:type="dxa"/>
            <w:noWrap/>
            <w:vAlign w:val="center"/>
          </w:tcPr>
          <w:p w14:paraId="4DA5CD12" w14:textId="77777777" w:rsidR="000B3A62" w:rsidRPr="00FB2060" w:rsidRDefault="000B3A62" w:rsidP="000B3A62">
            <w:pPr>
              <w:spacing w:after="0"/>
              <w:ind w:left="0"/>
              <w:rPr>
                <w:rFonts w:cs="Calibri"/>
                <w:color w:val="000000"/>
                <w:szCs w:val="24"/>
              </w:rPr>
            </w:pPr>
            <w:r w:rsidRPr="00FB2060">
              <w:rPr>
                <w:rFonts w:cs="Calibri"/>
                <w:color w:val="000000"/>
                <w:szCs w:val="24"/>
              </w:rPr>
              <w:t>Quarterly</w:t>
            </w:r>
          </w:p>
        </w:tc>
        <w:tc>
          <w:tcPr>
            <w:tcW w:w="1920" w:type="dxa"/>
            <w:noWrap/>
            <w:vAlign w:val="center"/>
          </w:tcPr>
          <w:p w14:paraId="6CB904B4" w14:textId="77777777" w:rsidR="000B3A62" w:rsidRPr="00FB2060" w:rsidRDefault="000B3A62" w:rsidP="000B3A62">
            <w:pPr>
              <w:spacing w:after="0"/>
              <w:ind w:left="0"/>
              <w:rPr>
                <w:rFonts w:cs="Calibri"/>
                <w:color w:val="000000"/>
                <w:szCs w:val="24"/>
              </w:rPr>
            </w:pPr>
            <w:r w:rsidRPr="00FB2060">
              <w:rPr>
                <w:rFonts w:cs="Calibri"/>
                <w:color w:val="000000"/>
                <w:szCs w:val="24"/>
              </w:rPr>
              <w:t>Assessment Diagnostic Report</w:t>
            </w:r>
          </w:p>
        </w:tc>
        <w:tc>
          <w:tcPr>
            <w:tcW w:w="6892" w:type="dxa"/>
            <w:vAlign w:val="center"/>
          </w:tcPr>
          <w:p w14:paraId="10F64D14" w14:textId="77777777" w:rsidR="000B3A62" w:rsidRPr="00FB2060" w:rsidRDefault="000B3A62" w:rsidP="000B3A62">
            <w:pPr>
              <w:spacing w:after="0"/>
              <w:ind w:left="0"/>
              <w:rPr>
                <w:rFonts w:cs="Calibri"/>
                <w:color w:val="000000"/>
                <w:szCs w:val="24"/>
              </w:rPr>
            </w:pPr>
            <w:r w:rsidRPr="00FB2060">
              <w:rPr>
                <w:rFonts w:cs="Calibri"/>
                <w:color w:val="000000"/>
                <w:szCs w:val="24"/>
              </w:rPr>
              <w:t>Shows amount of cases that have had an assessment, dollar amount and status</w:t>
            </w:r>
          </w:p>
        </w:tc>
      </w:tr>
      <w:tr w:rsidR="000B3A62" w:rsidRPr="000E4EAF" w14:paraId="3C257BB4" w14:textId="77777777" w:rsidTr="0051618A">
        <w:trPr>
          <w:trHeight w:val="300"/>
        </w:trPr>
        <w:tc>
          <w:tcPr>
            <w:tcW w:w="688" w:type="dxa"/>
            <w:noWrap/>
            <w:vAlign w:val="center"/>
            <w:hideMark/>
          </w:tcPr>
          <w:p w14:paraId="5F452C8A" w14:textId="769C2414" w:rsidR="000B3A62" w:rsidRPr="00FB2060" w:rsidRDefault="000B3A62" w:rsidP="000B3A62">
            <w:pPr>
              <w:spacing w:after="0"/>
              <w:ind w:left="0"/>
              <w:jc w:val="center"/>
              <w:rPr>
                <w:rFonts w:cs="Calibri"/>
                <w:color w:val="000000"/>
                <w:szCs w:val="24"/>
              </w:rPr>
            </w:pPr>
            <w:r w:rsidRPr="00937FE8">
              <w:rPr>
                <w:rFonts w:cs="Calibri"/>
                <w:color w:val="000000"/>
                <w:szCs w:val="24"/>
              </w:rPr>
              <w:t>14</w:t>
            </w:r>
          </w:p>
        </w:tc>
        <w:tc>
          <w:tcPr>
            <w:tcW w:w="1689" w:type="dxa"/>
            <w:noWrap/>
            <w:vAlign w:val="center"/>
          </w:tcPr>
          <w:p w14:paraId="7BCA9175" w14:textId="77777777" w:rsidR="000B3A62" w:rsidRPr="00FB2060" w:rsidRDefault="000B3A62" w:rsidP="000B3A62">
            <w:pPr>
              <w:spacing w:after="0"/>
              <w:ind w:left="0"/>
              <w:rPr>
                <w:rFonts w:cs="Calibri"/>
                <w:color w:val="000000"/>
                <w:szCs w:val="24"/>
              </w:rPr>
            </w:pPr>
            <w:r w:rsidRPr="00FB2060">
              <w:rPr>
                <w:rFonts w:cs="Calibri"/>
                <w:color w:val="000000"/>
                <w:szCs w:val="24"/>
              </w:rPr>
              <w:t>Quarterly</w:t>
            </w:r>
          </w:p>
        </w:tc>
        <w:tc>
          <w:tcPr>
            <w:tcW w:w="1920" w:type="dxa"/>
            <w:noWrap/>
            <w:vAlign w:val="center"/>
          </w:tcPr>
          <w:p w14:paraId="253B21DA" w14:textId="77777777" w:rsidR="000B3A62" w:rsidRPr="00FB2060" w:rsidRDefault="000B3A62" w:rsidP="000B3A62">
            <w:pPr>
              <w:spacing w:after="0"/>
              <w:ind w:left="0"/>
              <w:rPr>
                <w:rFonts w:cs="Calibri"/>
                <w:color w:val="000000"/>
                <w:szCs w:val="24"/>
              </w:rPr>
            </w:pPr>
            <w:r w:rsidRPr="00FB2060">
              <w:rPr>
                <w:rFonts w:cs="Calibri"/>
                <w:color w:val="000000"/>
                <w:szCs w:val="24"/>
              </w:rPr>
              <w:t>Bankruptcy Diagnostic Report</w:t>
            </w:r>
          </w:p>
        </w:tc>
        <w:tc>
          <w:tcPr>
            <w:tcW w:w="6892" w:type="dxa"/>
            <w:vAlign w:val="center"/>
          </w:tcPr>
          <w:p w14:paraId="688E74D8" w14:textId="77777777" w:rsidR="000B3A62" w:rsidRPr="00FB2060" w:rsidRDefault="000B3A62" w:rsidP="000B3A62">
            <w:pPr>
              <w:spacing w:after="0"/>
              <w:ind w:left="0"/>
              <w:rPr>
                <w:rFonts w:cs="Calibri"/>
                <w:color w:val="000000"/>
                <w:szCs w:val="24"/>
              </w:rPr>
            </w:pPr>
            <w:r w:rsidRPr="00FB2060">
              <w:rPr>
                <w:rFonts w:cs="Calibri"/>
                <w:color w:val="000000"/>
                <w:szCs w:val="24"/>
              </w:rPr>
              <w:t>Shows the amount of cases with bankruptcies and status (discharged, dismissed, active, errors, etc.)</w:t>
            </w:r>
          </w:p>
        </w:tc>
      </w:tr>
      <w:tr w:rsidR="000B3A62" w:rsidRPr="000E4EAF" w14:paraId="12C7D503" w14:textId="77777777" w:rsidTr="00F668AA">
        <w:trPr>
          <w:trHeight w:val="300"/>
        </w:trPr>
        <w:tc>
          <w:tcPr>
            <w:tcW w:w="688" w:type="dxa"/>
            <w:noWrap/>
            <w:vAlign w:val="center"/>
          </w:tcPr>
          <w:p w14:paraId="413A478F" w14:textId="5F21175D" w:rsidR="000B3A62" w:rsidRPr="00FB2060" w:rsidRDefault="000B3A62" w:rsidP="000B3A62">
            <w:pPr>
              <w:spacing w:after="0"/>
              <w:ind w:left="0"/>
              <w:jc w:val="center"/>
              <w:rPr>
                <w:rFonts w:cs="Calibri"/>
                <w:color w:val="000000"/>
                <w:szCs w:val="24"/>
              </w:rPr>
            </w:pPr>
            <w:r w:rsidRPr="00937FE8">
              <w:rPr>
                <w:rFonts w:cs="Calibri"/>
                <w:color w:val="000000"/>
                <w:szCs w:val="24"/>
              </w:rPr>
              <w:t>15</w:t>
            </w:r>
          </w:p>
        </w:tc>
        <w:tc>
          <w:tcPr>
            <w:tcW w:w="1689" w:type="dxa"/>
            <w:noWrap/>
            <w:vAlign w:val="center"/>
          </w:tcPr>
          <w:p w14:paraId="73D80B4B" w14:textId="15FE57E4" w:rsidR="000B3A62" w:rsidRPr="00FB2060" w:rsidRDefault="000B3A62" w:rsidP="000B3A62">
            <w:pPr>
              <w:spacing w:after="0"/>
              <w:ind w:left="0"/>
              <w:rPr>
                <w:rFonts w:cs="Calibri"/>
                <w:color w:val="000000"/>
                <w:szCs w:val="24"/>
              </w:rPr>
            </w:pPr>
            <w:r w:rsidRPr="00F668AA">
              <w:rPr>
                <w:rFonts w:cs="Calibri"/>
                <w:color w:val="000000"/>
                <w:szCs w:val="24"/>
              </w:rPr>
              <w:t>Daily</w:t>
            </w:r>
          </w:p>
        </w:tc>
        <w:tc>
          <w:tcPr>
            <w:tcW w:w="1920" w:type="dxa"/>
            <w:noWrap/>
            <w:vAlign w:val="center"/>
          </w:tcPr>
          <w:p w14:paraId="42362DFD" w14:textId="57F5C795" w:rsidR="000B3A62" w:rsidRPr="00FB2060" w:rsidRDefault="000B3A62" w:rsidP="000B3A62">
            <w:pPr>
              <w:spacing w:after="0"/>
              <w:ind w:left="0"/>
              <w:rPr>
                <w:rFonts w:cs="Calibri"/>
                <w:color w:val="000000"/>
                <w:szCs w:val="24"/>
              </w:rPr>
            </w:pPr>
            <w:r w:rsidRPr="00F668AA">
              <w:rPr>
                <w:rFonts w:cs="Calibri"/>
                <w:color w:val="000000"/>
                <w:szCs w:val="24"/>
              </w:rPr>
              <w:t>BPC Functional Error Report</w:t>
            </w:r>
            <w:r>
              <w:rPr>
                <w:rFonts w:cs="Calibri"/>
                <w:color w:val="000000"/>
                <w:szCs w:val="24"/>
              </w:rPr>
              <w:t xml:space="preserve"> </w:t>
            </w:r>
            <w:r w:rsidRPr="00F668AA">
              <w:rPr>
                <w:rFonts w:cs="Calibri"/>
                <w:color w:val="000000"/>
                <w:szCs w:val="24"/>
              </w:rPr>
              <w:t>(BNDO100P)</w:t>
            </w:r>
          </w:p>
        </w:tc>
        <w:tc>
          <w:tcPr>
            <w:tcW w:w="6892" w:type="dxa"/>
            <w:vAlign w:val="center"/>
          </w:tcPr>
          <w:p w14:paraId="338F128F" w14:textId="5D4C4968" w:rsidR="000B3A62" w:rsidRPr="00FB2060" w:rsidRDefault="000B3A62" w:rsidP="000B3A62">
            <w:pPr>
              <w:spacing w:after="0"/>
              <w:ind w:left="0"/>
              <w:rPr>
                <w:rFonts w:cs="Calibri"/>
                <w:color w:val="000000"/>
                <w:szCs w:val="24"/>
              </w:rPr>
            </w:pPr>
            <w:r w:rsidRPr="00F668AA">
              <w:rPr>
                <w:rFonts w:cs="Calibri"/>
                <w:color w:val="000000"/>
                <w:szCs w:val="24"/>
              </w:rPr>
              <w:t xml:space="preserve">Provides information on billing statements not sent because of bad address; updates to old assessment cases; </w:t>
            </w:r>
            <w:r w:rsidR="00CB6821">
              <w:rPr>
                <w:rFonts w:cs="Calibri"/>
                <w:color w:val="000000"/>
                <w:szCs w:val="24"/>
              </w:rPr>
              <w:t>SSN,</w:t>
            </w:r>
            <w:r w:rsidR="002A1CF1">
              <w:rPr>
                <w:rFonts w:cs="Calibri"/>
                <w:color w:val="000000"/>
                <w:szCs w:val="24"/>
              </w:rPr>
              <w:t xml:space="preserve"> program</w:t>
            </w:r>
            <w:r w:rsidR="00CB6821">
              <w:rPr>
                <w:rFonts w:cs="Calibri"/>
                <w:color w:val="000000"/>
                <w:szCs w:val="24"/>
              </w:rPr>
              <w:t xml:space="preserve"> code; claim ID</w:t>
            </w:r>
          </w:p>
        </w:tc>
      </w:tr>
      <w:tr w:rsidR="000B3A62" w:rsidRPr="000E4EAF" w14:paraId="0CD5AF34" w14:textId="77777777" w:rsidTr="00F668AA">
        <w:trPr>
          <w:trHeight w:val="300"/>
        </w:trPr>
        <w:tc>
          <w:tcPr>
            <w:tcW w:w="688" w:type="dxa"/>
            <w:noWrap/>
            <w:vAlign w:val="center"/>
          </w:tcPr>
          <w:p w14:paraId="20E6A314" w14:textId="138A2D9E" w:rsidR="000B3A62" w:rsidRPr="00FB2060" w:rsidRDefault="000B3A62" w:rsidP="000B3A62">
            <w:pPr>
              <w:spacing w:after="0"/>
              <w:ind w:left="0"/>
              <w:jc w:val="center"/>
              <w:rPr>
                <w:rFonts w:cs="Calibri"/>
                <w:color w:val="000000"/>
                <w:szCs w:val="24"/>
              </w:rPr>
            </w:pPr>
            <w:r w:rsidRPr="00937FE8">
              <w:rPr>
                <w:rFonts w:cs="Calibri"/>
                <w:color w:val="000000"/>
                <w:szCs w:val="24"/>
              </w:rPr>
              <w:t>16</w:t>
            </w:r>
          </w:p>
        </w:tc>
        <w:tc>
          <w:tcPr>
            <w:tcW w:w="1689" w:type="dxa"/>
            <w:noWrap/>
            <w:vAlign w:val="center"/>
          </w:tcPr>
          <w:p w14:paraId="4B0AF1FC" w14:textId="29CBFF50" w:rsidR="000B3A62" w:rsidRPr="00FB2060" w:rsidRDefault="000B3A62" w:rsidP="000B3A62">
            <w:pPr>
              <w:spacing w:after="0"/>
              <w:ind w:left="0"/>
              <w:rPr>
                <w:rFonts w:cs="Calibri"/>
                <w:color w:val="000000"/>
                <w:szCs w:val="24"/>
              </w:rPr>
            </w:pPr>
            <w:r w:rsidRPr="00F668AA">
              <w:rPr>
                <w:rFonts w:cs="Calibri"/>
                <w:color w:val="000000"/>
                <w:szCs w:val="24"/>
              </w:rPr>
              <w:t>Daily</w:t>
            </w:r>
          </w:p>
        </w:tc>
        <w:tc>
          <w:tcPr>
            <w:tcW w:w="1920" w:type="dxa"/>
            <w:noWrap/>
            <w:vAlign w:val="center"/>
          </w:tcPr>
          <w:p w14:paraId="7DF23878" w14:textId="261F265A" w:rsidR="000B3A62" w:rsidRPr="00FB2060" w:rsidRDefault="000B3A62" w:rsidP="000B3A62">
            <w:pPr>
              <w:spacing w:after="0"/>
              <w:ind w:left="0"/>
              <w:rPr>
                <w:rFonts w:cs="Calibri"/>
                <w:color w:val="000000"/>
                <w:szCs w:val="24"/>
              </w:rPr>
            </w:pPr>
            <w:r w:rsidRPr="00F668AA">
              <w:rPr>
                <w:rFonts w:cs="Calibri"/>
                <w:color w:val="000000"/>
                <w:szCs w:val="24"/>
              </w:rPr>
              <w:t>Insufficient Funds Report</w:t>
            </w:r>
            <w:r>
              <w:rPr>
                <w:rFonts w:cs="Calibri"/>
                <w:color w:val="000000"/>
                <w:szCs w:val="24"/>
              </w:rPr>
              <w:t xml:space="preserve"> </w:t>
            </w:r>
            <w:r w:rsidRPr="00F668AA">
              <w:rPr>
                <w:rFonts w:cs="Calibri"/>
                <w:color w:val="000000"/>
                <w:szCs w:val="24"/>
              </w:rPr>
              <w:t>(BNDO145P)</w:t>
            </w:r>
          </w:p>
        </w:tc>
        <w:tc>
          <w:tcPr>
            <w:tcW w:w="6892" w:type="dxa"/>
            <w:vAlign w:val="center"/>
          </w:tcPr>
          <w:p w14:paraId="506D5153" w14:textId="506A4476" w:rsidR="000B3A62" w:rsidRPr="00FB2060" w:rsidRDefault="000B3A62" w:rsidP="000B3A62">
            <w:pPr>
              <w:spacing w:after="0"/>
              <w:ind w:left="0"/>
              <w:rPr>
                <w:rFonts w:cs="Calibri"/>
                <w:color w:val="000000"/>
                <w:szCs w:val="24"/>
              </w:rPr>
            </w:pPr>
            <w:r w:rsidRPr="00F668AA">
              <w:rPr>
                <w:rFonts w:cs="Calibri"/>
                <w:color w:val="000000"/>
                <w:szCs w:val="24"/>
              </w:rPr>
              <w:t>Claims where NSF checks were posted, dollar amount, SSN, name</w:t>
            </w:r>
          </w:p>
        </w:tc>
      </w:tr>
      <w:tr w:rsidR="000B3A62" w:rsidRPr="000E4EAF" w14:paraId="0C459317" w14:textId="77777777" w:rsidTr="00F668AA">
        <w:trPr>
          <w:trHeight w:val="300"/>
        </w:trPr>
        <w:tc>
          <w:tcPr>
            <w:tcW w:w="688" w:type="dxa"/>
            <w:noWrap/>
            <w:vAlign w:val="center"/>
          </w:tcPr>
          <w:p w14:paraId="1A1D720D" w14:textId="3704D047" w:rsidR="000B3A62" w:rsidRPr="00FB2060" w:rsidRDefault="000B3A62" w:rsidP="000B3A62">
            <w:pPr>
              <w:spacing w:after="0"/>
              <w:ind w:left="0"/>
              <w:jc w:val="center"/>
              <w:rPr>
                <w:rFonts w:cs="Calibri"/>
                <w:color w:val="000000"/>
                <w:szCs w:val="24"/>
              </w:rPr>
            </w:pPr>
            <w:r w:rsidRPr="00937FE8">
              <w:rPr>
                <w:rFonts w:cs="Calibri"/>
                <w:color w:val="000000"/>
                <w:szCs w:val="24"/>
              </w:rPr>
              <w:t>17</w:t>
            </w:r>
          </w:p>
        </w:tc>
        <w:tc>
          <w:tcPr>
            <w:tcW w:w="1689" w:type="dxa"/>
            <w:noWrap/>
            <w:vAlign w:val="center"/>
          </w:tcPr>
          <w:p w14:paraId="76AD1B82" w14:textId="17D13823" w:rsidR="000B3A62" w:rsidRPr="00FB2060" w:rsidRDefault="000B3A62" w:rsidP="000B3A62">
            <w:pPr>
              <w:spacing w:after="0"/>
              <w:ind w:left="0"/>
              <w:rPr>
                <w:rFonts w:cs="Calibri"/>
                <w:color w:val="000000"/>
                <w:szCs w:val="24"/>
              </w:rPr>
            </w:pPr>
            <w:r w:rsidRPr="00F668AA">
              <w:rPr>
                <w:rFonts w:cs="Calibri"/>
                <w:color w:val="000000"/>
                <w:szCs w:val="24"/>
              </w:rPr>
              <w:t>Daily</w:t>
            </w:r>
          </w:p>
        </w:tc>
        <w:tc>
          <w:tcPr>
            <w:tcW w:w="1920" w:type="dxa"/>
            <w:noWrap/>
            <w:vAlign w:val="center"/>
          </w:tcPr>
          <w:p w14:paraId="6A0552AB" w14:textId="2B56837A" w:rsidR="000B3A62" w:rsidRPr="00FB2060" w:rsidRDefault="000B3A62" w:rsidP="000B3A62">
            <w:pPr>
              <w:spacing w:after="0"/>
              <w:ind w:left="0"/>
              <w:rPr>
                <w:rFonts w:cs="Calibri"/>
                <w:color w:val="000000"/>
                <w:szCs w:val="24"/>
              </w:rPr>
            </w:pPr>
            <w:r w:rsidRPr="00F668AA">
              <w:rPr>
                <w:rFonts w:cs="Calibri"/>
                <w:color w:val="000000"/>
                <w:szCs w:val="24"/>
              </w:rPr>
              <w:t>Refund Reversal Report</w:t>
            </w:r>
            <w:r>
              <w:rPr>
                <w:rFonts w:cs="Calibri"/>
                <w:color w:val="000000"/>
                <w:szCs w:val="24"/>
              </w:rPr>
              <w:t xml:space="preserve"> </w:t>
            </w:r>
            <w:r w:rsidRPr="00F668AA">
              <w:rPr>
                <w:rFonts w:cs="Calibri"/>
                <w:color w:val="000000"/>
                <w:szCs w:val="24"/>
              </w:rPr>
              <w:t>(BNDO205P)</w:t>
            </w:r>
          </w:p>
        </w:tc>
        <w:tc>
          <w:tcPr>
            <w:tcW w:w="6892" w:type="dxa"/>
            <w:vAlign w:val="center"/>
          </w:tcPr>
          <w:p w14:paraId="6941617B" w14:textId="36123DA2" w:rsidR="000B3A62" w:rsidRPr="00FB2060" w:rsidRDefault="000B3A62" w:rsidP="000B3A62">
            <w:pPr>
              <w:spacing w:after="0"/>
              <w:ind w:left="0"/>
              <w:rPr>
                <w:rFonts w:cs="Calibri"/>
                <w:color w:val="000000"/>
                <w:szCs w:val="24"/>
              </w:rPr>
            </w:pPr>
            <w:r w:rsidRPr="00F668AA">
              <w:rPr>
                <w:rFonts w:cs="Calibri"/>
                <w:color w:val="000000"/>
                <w:szCs w:val="24"/>
              </w:rPr>
              <w:t xml:space="preserve">Provides information regarding refund payments owed to the claimant; </w:t>
            </w:r>
            <w:r w:rsidR="00942092">
              <w:rPr>
                <w:rFonts w:cs="Calibri"/>
                <w:color w:val="000000"/>
                <w:szCs w:val="24"/>
              </w:rPr>
              <w:t>claimant</w:t>
            </w:r>
            <w:r w:rsidRPr="00F668AA">
              <w:rPr>
                <w:rFonts w:cs="Calibri"/>
                <w:color w:val="000000"/>
                <w:szCs w:val="24"/>
              </w:rPr>
              <w:t xml:space="preserve"> name, </w:t>
            </w:r>
            <w:r w:rsidR="00CB6821">
              <w:rPr>
                <w:rFonts w:cs="Calibri"/>
                <w:color w:val="000000"/>
                <w:szCs w:val="24"/>
              </w:rPr>
              <w:t>SSN</w:t>
            </w:r>
            <w:r w:rsidRPr="00F668AA">
              <w:rPr>
                <w:rFonts w:cs="Calibri"/>
                <w:color w:val="000000"/>
                <w:szCs w:val="24"/>
              </w:rPr>
              <w:t xml:space="preserve">, claim id, program code, refund </w:t>
            </w:r>
            <w:r w:rsidR="00942092">
              <w:rPr>
                <w:rFonts w:cs="Calibri"/>
                <w:color w:val="000000"/>
                <w:szCs w:val="24"/>
              </w:rPr>
              <w:t>amount</w:t>
            </w:r>
            <w:r w:rsidRPr="00F668AA">
              <w:rPr>
                <w:rFonts w:cs="Calibri"/>
                <w:color w:val="000000"/>
                <w:szCs w:val="24"/>
              </w:rPr>
              <w:t xml:space="preserve"> </w:t>
            </w:r>
            <w:r w:rsidR="00CB6821">
              <w:rPr>
                <w:rFonts w:cs="Calibri"/>
                <w:color w:val="000000"/>
                <w:szCs w:val="24"/>
              </w:rPr>
              <w:t>and liable state</w:t>
            </w:r>
          </w:p>
        </w:tc>
      </w:tr>
      <w:tr w:rsidR="000B3A62" w:rsidRPr="000E4EAF" w14:paraId="23DCE331" w14:textId="77777777" w:rsidTr="00F668AA">
        <w:trPr>
          <w:trHeight w:val="300"/>
        </w:trPr>
        <w:tc>
          <w:tcPr>
            <w:tcW w:w="688" w:type="dxa"/>
            <w:noWrap/>
            <w:vAlign w:val="center"/>
          </w:tcPr>
          <w:p w14:paraId="69404682" w14:textId="4EB71161" w:rsidR="000B3A62" w:rsidRPr="00FB2060" w:rsidRDefault="000B3A62" w:rsidP="000B3A62">
            <w:pPr>
              <w:spacing w:after="0"/>
              <w:ind w:left="0"/>
              <w:jc w:val="center"/>
              <w:rPr>
                <w:rFonts w:cs="Calibri"/>
                <w:color w:val="000000"/>
                <w:szCs w:val="24"/>
              </w:rPr>
            </w:pPr>
            <w:r w:rsidRPr="00937FE8">
              <w:rPr>
                <w:rFonts w:cs="Calibri"/>
                <w:color w:val="000000"/>
                <w:szCs w:val="24"/>
              </w:rPr>
              <w:t>18</w:t>
            </w:r>
          </w:p>
        </w:tc>
        <w:tc>
          <w:tcPr>
            <w:tcW w:w="1689" w:type="dxa"/>
            <w:noWrap/>
            <w:vAlign w:val="center"/>
          </w:tcPr>
          <w:p w14:paraId="61DDD4E6" w14:textId="00B0B6C5" w:rsidR="000B3A62" w:rsidRPr="00FB2060" w:rsidRDefault="000B3A62" w:rsidP="000B3A62">
            <w:pPr>
              <w:spacing w:after="0"/>
              <w:ind w:left="0"/>
              <w:rPr>
                <w:rFonts w:cs="Calibri"/>
                <w:color w:val="000000"/>
                <w:szCs w:val="24"/>
              </w:rPr>
            </w:pPr>
            <w:r w:rsidRPr="00F668AA">
              <w:rPr>
                <w:rFonts w:cs="Calibri"/>
                <w:color w:val="000000"/>
                <w:szCs w:val="24"/>
              </w:rPr>
              <w:t>Daily</w:t>
            </w:r>
          </w:p>
        </w:tc>
        <w:tc>
          <w:tcPr>
            <w:tcW w:w="1920" w:type="dxa"/>
            <w:noWrap/>
            <w:vAlign w:val="center"/>
          </w:tcPr>
          <w:p w14:paraId="163D5612" w14:textId="51072F9B" w:rsidR="000B3A62" w:rsidRPr="00FB2060" w:rsidRDefault="000B3A62" w:rsidP="000B3A62">
            <w:pPr>
              <w:spacing w:after="0"/>
              <w:ind w:left="0"/>
              <w:rPr>
                <w:rFonts w:cs="Calibri"/>
                <w:color w:val="000000"/>
                <w:szCs w:val="24"/>
              </w:rPr>
            </w:pPr>
            <w:r w:rsidRPr="00F668AA">
              <w:rPr>
                <w:rFonts w:cs="Calibri"/>
                <w:color w:val="000000"/>
                <w:szCs w:val="24"/>
              </w:rPr>
              <w:t>Cashier Refund Report</w:t>
            </w:r>
            <w:r>
              <w:rPr>
                <w:rFonts w:cs="Calibri"/>
                <w:color w:val="000000"/>
                <w:szCs w:val="24"/>
              </w:rPr>
              <w:t xml:space="preserve"> </w:t>
            </w:r>
            <w:r w:rsidRPr="00F668AA">
              <w:rPr>
                <w:rFonts w:cs="Calibri"/>
                <w:color w:val="000000"/>
                <w:szCs w:val="24"/>
              </w:rPr>
              <w:t>(BNDO432P)</w:t>
            </w:r>
          </w:p>
        </w:tc>
        <w:tc>
          <w:tcPr>
            <w:tcW w:w="6892" w:type="dxa"/>
            <w:vAlign w:val="center"/>
          </w:tcPr>
          <w:p w14:paraId="4A1BB433" w14:textId="0D0498D9" w:rsidR="000B3A62" w:rsidRPr="00FB2060" w:rsidRDefault="000B3A62" w:rsidP="000B3A62">
            <w:pPr>
              <w:spacing w:after="0"/>
              <w:ind w:left="0"/>
              <w:rPr>
                <w:rFonts w:cs="Calibri"/>
                <w:color w:val="000000"/>
                <w:szCs w:val="24"/>
              </w:rPr>
            </w:pPr>
            <w:r w:rsidRPr="00F668AA">
              <w:rPr>
                <w:rFonts w:cs="Calibri"/>
                <w:color w:val="000000"/>
                <w:szCs w:val="24"/>
              </w:rPr>
              <w:t xml:space="preserve">Provides information of all refund payments received; </w:t>
            </w:r>
            <w:r w:rsidR="00CB6821">
              <w:rPr>
                <w:rFonts w:cs="Calibri"/>
                <w:color w:val="000000"/>
                <w:szCs w:val="24"/>
              </w:rPr>
              <w:t>SSN</w:t>
            </w:r>
            <w:r w:rsidRPr="00F668AA">
              <w:rPr>
                <w:rFonts w:cs="Calibri"/>
                <w:color w:val="000000"/>
                <w:szCs w:val="24"/>
              </w:rPr>
              <w:t>, name, file date, time, #coun</w:t>
            </w:r>
            <w:r w:rsidR="00CB6821">
              <w:rPr>
                <w:rFonts w:cs="Calibri"/>
                <w:color w:val="000000"/>
                <w:szCs w:val="24"/>
              </w:rPr>
              <w:t xml:space="preserve">t-fmt, user id, check </w:t>
            </w:r>
            <w:r w:rsidR="00942092">
              <w:rPr>
                <w:rFonts w:cs="Calibri"/>
                <w:color w:val="000000"/>
                <w:szCs w:val="24"/>
              </w:rPr>
              <w:t>amount</w:t>
            </w:r>
            <w:r w:rsidR="00CB6821">
              <w:rPr>
                <w:rFonts w:cs="Calibri"/>
                <w:color w:val="000000"/>
                <w:szCs w:val="24"/>
              </w:rPr>
              <w:t>, term</w:t>
            </w:r>
          </w:p>
        </w:tc>
      </w:tr>
      <w:tr w:rsidR="000B3A62" w:rsidRPr="000E4EAF" w14:paraId="34FE1C4B" w14:textId="77777777" w:rsidTr="00F668AA">
        <w:trPr>
          <w:trHeight w:val="300"/>
        </w:trPr>
        <w:tc>
          <w:tcPr>
            <w:tcW w:w="688" w:type="dxa"/>
            <w:noWrap/>
            <w:vAlign w:val="center"/>
          </w:tcPr>
          <w:p w14:paraId="70B13705" w14:textId="60228B0E" w:rsidR="000B3A62" w:rsidRPr="00FB2060" w:rsidRDefault="000B3A62" w:rsidP="000B3A62">
            <w:pPr>
              <w:spacing w:after="0"/>
              <w:ind w:left="0"/>
              <w:jc w:val="center"/>
              <w:rPr>
                <w:rFonts w:cs="Calibri"/>
                <w:color w:val="000000"/>
                <w:szCs w:val="24"/>
              </w:rPr>
            </w:pPr>
            <w:r w:rsidRPr="00937FE8">
              <w:rPr>
                <w:rFonts w:cs="Calibri"/>
                <w:color w:val="000000"/>
                <w:szCs w:val="24"/>
              </w:rPr>
              <w:t>19</w:t>
            </w:r>
          </w:p>
        </w:tc>
        <w:tc>
          <w:tcPr>
            <w:tcW w:w="1689" w:type="dxa"/>
            <w:noWrap/>
            <w:vAlign w:val="center"/>
          </w:tcPr>
          <w:p w14:paraId="5998BDDD" w14:textId="72AC4800" w:rsidR="000B3A62" w:rsidRPr="00FB2060" w:rsidRDefault="000B3A62" w:rsidP="000B3A62">
            <w:pPr>
              <w:spacing w:after="0"/>
              <w:ind w:left="0"/>
              <w:rPr>
                <w:rFonts w:cs="Calibri"/>
                <w:color w:val="000000"/>
                <w:szCs w:val="24"/>
              </w:rPr>
            </w:pPr>
            <w:r w:rsidRPr="00F668AA">
              <w:rPr>
                <w:rFonts w:cs="Calibri"/>
                <w:color w:val="000000"/>
                <w:szCs w:val="24"/>
              </w:rPr>
              <w:t>Daily</w:t>
            </w:r>
          </w:p>
        </w:tc>
        <w:tc>
          <w:tcPr>
            <w:tcW w:w="1920" w:type="dxa"/>
            <w:noWrap/>
            <w:vAlign w:val="center"/>
          </w:tcPr>
          <w:p w14:paraId="53B8BBA6" w14:textId="3D1D67AA" w:rsidR="000B3A62" w:rsidRPr="00FB2060" w:rsidRDefault="000B3A62" w:rsidP="000B3A62">
            <w:pPr>
              <w:spacing w:after="0"/>
              <w:ind w:left="0"/>
              <w:rPr>
                <w:rFonts w:cs="Calibri"/>
                <w:color w:val="000000"/>
                <w:szCs w:val="24"/>
              </w:rPr>
            </w:pPr>
            <w:r w:rsidRPr="00F668AA">
              <w:rPr>
                <w:rFonts w:cs="Calibri"/>
                <w:color w:val="000000"/>
                <w:szCs w:val="24"/>
              </w:rPr>
              <w:t>Cash Refund Detail Report</w:t>
            </w:r>
            <w:r>
              <w:rPr>
                <w:rFonts w:cs="Calibri"/>
                <w:color w:val="000000"/>
                <w:szCs w:val="24"/>
              </w:rPr>
              <w:t xml:space="preserve"> </w:t>
            </w:r>
            <w:r w:rsidRPr="00F668AA">
              <w:rPr>
                <w:rFonts w:cs="Calibri"/>
                <w:color w:val="000000"/>
                <w:szCs w:val="24"/>
              </w:rPr>
              <w:t>(BNDO455P)</w:t>
            </w:r>
          </w:p>
        </w:tc>
        <w:tc>
          <w:tcPr>
            <w:tcW w:w="6892" w:type="dxa"/>
            <w:vAlign w:val="center"/>
          </w:tcPr>
          <w:p w14:paraId="7103AC83" w14:textId="05F73FF4" w:rsidR="000B3A62" w:rsidRPr="00FB2060" w:rsidRDefault="000B3A62" w:rsidP="000B3A62">
            <w:pPr>
              <w:spacing w:after="0"/>
              <w:ind w:left="0"/>
              <w:rPr>
                <w:rFonts w:cs="Calibri"/>
                <w:color w:val="000000"/>
                <w:szCs w:val="24"/>
              </w:rPr>
            </w:pPr>
            <w:r w:rsidRPr="00F668AA">
              <w:rPr>
                <w:rFonts w:cs="Calibri"/>
                <w:color w:val="000000"/>
                <w:szCs w:val="24"/>
              </w:rPr>
              <w:t xml:space="preserve">Provides information of all refund payments rec'd; </w:t>
            </w:r>
            <w:r w:rsidR="00CB6821">
              <w:rPr>
                <w:rFonts w:cs="Calibri"/>
                <w:color w:val="000000"/>
                <w:szCs w:val="24"/>
              </w:rPr>
              <w:t>SSN</w:t>
            </w:r>
            <w:r w:rsidRPr="00F668AA">
              <w:rPr>
                <w:rFonts w:cs="Calibri"/>
                <w:color w:val="000000"/>
                <w:szCs w:val="24"/>
              </w:rPr>
              <w:t xml:space="preserve">, </w:t>
            </w:r>
            <w:r w:rsidR="00942092">
              <w:rPr>
                <w:rFonts w:cs="Calibri"/>
                <w:color w:val="000000"/>
                <w:szCs w:val="24"/>
              </w:rPr>
              <w:t>amount</w:t>
            </w:r>
            <w:r w:rsidRPr="00F668AA">
              <w:rPr>
                <w:rFonts w:cs="Calibri"/>
                <w:color w:val="000000"/>
                <w:szCs w:val="24"/>
              </w:rPr>
              <w:t xml:space="preserve"> keyed, </w:t>
            </w:r>
            <w:r w:rsidR="00942092">
              <w:rPr>
                <w:rFonts w:cs="Calibri"/>
                <w:color w:val="000000"/>
                <w:szCs w:val="24"/>
              </w:rPr>
              <w:t>amount</w:t>
            </w:r>
            <w:r w:rsidRPr="00F668AA">
              <w:rPr>
                <w:rFonts w:cs="Calibri"/>
                <w:color w:val="000000"/>
                <w:szCs w:val="24"/>
              </w:rPr>
              <w:t xml:space="preserve"> applied, claim date, type 1 </w:t>
            </w:r>
            <w:r w:rsidR="00942092">
              <w:rPr>
                <w:rFonts w:cs="Calibri"/>
                <w:color w:val="000000"/>
                <w:szCs w:val="24"/>
              </w:rPr>
              <w:t>amount</w:t>
            </w:r>
            <w:r w:rsidRPr="00F668AA">
              <w:rPr>
                <w:rFonts w:cs="Calibri"/>
                <w:color w:val="000000"/>
                <w:szCs w:val="24"/>
              </w:rPr>
              <w:t xml:space="preserve"> 1, type</w:t>
            </w:r>
            <w:r w:rsidR="00CB6821">
              <w:rPr>
                <w:rFonts w:cs="Calibri"/>
                <w:color w:val="000000"/>
                <w:szCs w:val="24"/>
              </w:rPr>
              <w:t xml:space="preserve"> 2, </w:t>
            </w:r>
            <w:r w:rsidR="00942092">
              <w:rPr>
                <w:rFonts w:cs="Calibri"/>
                <w:color w:val="000000"/>
                <w:szCs w:val="24"/>
              </w:rPr>
              <w:t>amount</w:t>
            </w:r>
            <w:r w:rsidR="00CB6821">
              <w:rPr>
                <w:rFonts w:cs="Calibri"/>
                <w:color w:val="000000"/>
                <w:szCs w:val="24"/>
              </w:rPr>
              <w:t xml:space="preserve"> 2, type 3, </w:t>
            </w:r>
            <w:r w:rsidR="00942092">
              <w:rPr>
                <w:rFonts w:cs="Calibri"/>
                <w:color w:val="000000"/>
                <w:szCs w:val="24"/>
              </w:rPr>
              <w:t>amount</w:t>
            </w:r>
            <w:r w:rsidR="00CB6821">
              <w:rPr>
                <w:rFonts w:cs="Calibri"/>
                <w:color w:val="000000"/>
                <w:szCs w:val="24"/>
              </w:rPr>
              <w:t xml:space="preserve"> 3, x-dif</w:t>
            </w:r>
          </w:p>
        </w:tc>
      </w:tr>
      <w:tr w:rsidR="000B3A62" w:rsidRPr="000E4EAF" w14:paraId="6AB9A0EB" w14:textId="77777777" w:rsidTr="00F668AA">
        <w:trPr>
          <w:trHeight w:val="300"/>
        </w:trPr>
        <w:tc>
          <w:tcPr>
            <w:tcW w:w="688" w:type="dxa"/>
            <w:noWrap/>
            <w:vAlign w:val="center"/>
          </w:tcPr>
          <w:p w14:paraId="05AC7390" w14:textId="283D899B" w:rsidR="000B3A62" w:rsidRPr="00FB2060" w:rsidRDefault="000B3A62" w:rsidP="000B3A62">
            <w:pPr>
              <w:spacing w:after="0"/>
              <w:ind w:left="0"/>
              <w:jc w:val="center"/>
              <w:rPr>
                <w:rFonts w:cs="Calibri"/>
                <w:color w:val="000000"/>
                <w:szCs w:val="24"/>
              </w:rPr>
            </w:pPr>
            <w:r w:rsidRPr="00937FE8">
              <w:rPr>
                <w:rFonts w:cs="Calibri"/>
                <w:color w:val="000000"/>
                <w:szCs w:val="24"/>
              </w:rPr>
              <w:t>20</w:t>
            </w:r>
          </w:p>
        </w:tc>
        <w:tc>
          <w:tcPr>
            <w:tcW w:w="1689" w:type="dxa"/>
            <w:noWrap/>
            <w:vAlign w:val="center"/>
          </w:tcPr>
          <w:p w14:paraId="43DA18E7" w14:textId="2AC21EFD" w:rsidR="000B3A62" w:rsidRPr="00FB2060" w:rsidRDefault="000B3A62" w:rsidP="000B3A62">
            <w:pPr>
              <w:spacing w:after="0"/>
              <w:ind w:left="0"/>
              <w:rPr>
                <w:rFonts w:cs="Calibri"/>
                <w:color w:val="000000"/>
                <w:szCs w:val="24"/>
              </w:rPr>
            </w:pPr>
            <w:r w:rsidRPr="00F668AA">
              <w:rPr>
                <w:rFonts w:cs="Calibri"/>
                <w:color w:val="000000"/>
                <w:szCs w:val="24"/>
              </w:rPr>
              <w:t>Daily</w:t>
            </w:r>
          </w:p>
        </w:tc>
        <w:tc>
          <w:tcPr>
            <w:tcW w:w="1920" w:type="dxa"/>
            <w:noWrap/>
            <w:vAlign w:val="center"/>
          </w:tcPr>
          <w:p w14:paraId="20FA3B99" w14:textId="6D3EAB8E" w:rsidR="000B3A62" w:rsidRPr="00FB2060" w:rsidRDefault="000B3A62" w:rsidP="000B3A62">
            <w:pPr>
              <w:spacing w:after="0"/>
              <w:ind w:left="0"/>
              <w:rPr>
                <w:rFonts w:cs="Calibri"/>
                <w:color w:val="000000"/>
                <w:szCs w:val="24"/>
              </w:rPr>
            </w:pPr>
            <w:r w:rsidRPr="00F668AA">
              <w:rPr>
                <w:rFonts w:cs="Calibri"/>
                <w:color w:val="000000"/>
                <w:szCs w:val="24"/>
              </w:rPr>
              <w:t>FAC Good Money Report</w:t>
            </w:r>
            <w:r>
              <w:rPr>
                <w:rFonts w:cs="Calibri"/>
                <w:color w:val="000000"/>
                <w:szCs w:val="24"/>
              </w:rPr>
              <w:t xml:space="preserve"> </w:t>
            </w:r>
            <w:r w:rsidRPr="00F668AA">
              <w:rPr>
                <w:rFonts w:cs="Calibri"/>
                <w:color w:val="000000"/>
                <w:szCs w:val="24"/>
              </w:rPr>
              <w:t>(BNDO835A)</w:t>
            </w:r>
          </w:p>
        </w:tc>
        <w:tc>
          <w:tcPr>
            <w:tcW w:w="6892" w:type="dxa"/>
            <w:vAlign w:val="center"/>
          </w:tcPr>
          <w:p w14:paraId="3ACD22B7" w14:textId="2D8064E5" w:rsidR="000B3A62" w:rsidRPr="00FB2060" w:rsidRDefault="000B3A62" w:rsidP="000B3A62">
            <w:pPr>
              <w:spacing w:after="0"/>
              <w:ind w:left="0"/>
              <w:rPr>
                <w:rFonts w:cs="Calibri"/>
                <w:color w:val="000000"/>
                <w:szCs w:val="24"/>
              </w:rPr>
            </w:pPr>
            <w:r w:rsidRPr="00F668AA">
              <w:rPr>
                <w:rFonts w:cs="Calibri"/>
                <w:color w:val="000000"/>
                <w:szCs w:val="24"/>
              </w:rPr>
              <w:t xml:space="preserve">Provides information regarding FAC refunds owed to the claimant; </w:t>
            </w:r>
            <w:r w:rsidR="00CB6821">
              <w:rPr>
                <w:rFonts w:cs="Calibri"/>
                <w:color w:val="000000"/>
                <w:szCs w:val="24"/>
              </w:rPr>
              <w:t>SSN</w:t>
            </w:r>
            <w:r w:rsidRPr="00F668AA">
              <w:rPr>
                <w:rFonts w:cs="Calibri"/>
                <w:color w:val="000000"/>
                <w:szCs w:val="24"/>
              </w:rPr>
              <w:t xml:space="preserve">, </w:t>
            </w:r>
            <w:r w:rsidR="00942092">
              <w:rPr>
                <w:rFonts w:cs="Calibri"/>
                <w:color w:val="000000"/>
                <w:szCs w:val="24"/>
              </w:rPr>
              <w:t>claimant</w:t>
            </w:r>
            <w:r w:rsidRPr="00F668AA">
              <w:rPr>
                <w:rFonts w:cs="Calibri"/>
                <w:color w:val="000000"/>
                <w:szCs w:val="24"/>
              </w:rPr>
              <w:t xml:space="preserve"> name, refund date, available </w:t>
            </w:r>
          </w:p>
        </w:tc>
      </w:tr>
      <w:tr w:rsidR="000B3A62" w:rsidRPr="000E4EAF" w14:paraId="5B4604B9" w14:textId="77777777" w:rsidTr="00F668AA">
        <w:trPr>
          <w:trHeight w:val="300"/>
        </w:trPr>
        <w:tc>
          <w:tcPr>
            <w:tcW w:w="688" w:type="dxa"/>
            <w:noWrap/>
            <w:vAlign w:val="center"/>
          </w:tcPr>
          <w:p w14:paraId="0C78839A" w14:textId="5BD4B9E7" w:rsidR="000B3A62" w:rsidRPr="00FB2060" w:rsidRDefault="000B3A62" w:rsidP="000B3A62">
            <w:pPr>
              <w:spacing w:after="0"/>
              <w:ind w:left="0"/>
              <w:jc w:val="center"/>
              <w:rPr>
                <w:rFonts w:cs="Calibri"/>
                <w:color w:val="000000"/>
                <w:szCs w:val="24"/>
              </w:rPr>
            </w:pPr>
            <w:r w:rsidRPr="00937FE8">
              <w:rPr>
                <w:rFonts w:cs="Calibri"/>
                <w:color w:val="000000"/>
                <w:szCs w:val="24"/>
              </w:rPr>
              <w:lastRenderedPageBreak/>
              <w:t>21</w:t>
            </w:r>
          </w:p>
        </w:tc>
        <w:tc>
          <w:tcPr>
            <w:tcW w:w="1689" w:type="dxa"/>
            <w:noWrap/>
            <w:vAlign w:val="center"/>
          </w:tcPr>
          <w:p w14:paraId="065D5ECD" w14:textId="0BF71733" w:rsidR="000B3A62" w:rsidRPr="00FB2060" w:rsidRDefault="000B3A62" w:rsidP="000B3A62">
            <w:pPr>
              <w:spacing w:after="0"/>
              <w:ind w:left="0"/>
              <w:rPr>
                <w:rFonts w:cs="Calibri"/>
                <w:color w:val="000000"/>
                <w:szCs w:val="24"/>
              </w:rPr>
            </w:pPr>
            <w:r w:rsidRPr="00F668AA">
              <w:rPr>
                <w:rFonts w:cs="Calibri"/>
                <w:color w:val="000000"/>
                <w:szCs w:val="24"/>
              </w:rPr>
              <w:t>Daily</w:t>
            </w:r>
          </w:p>
        </w:tc>
        <w:tc>
          <w:tcPr>
            <w:tcW w:w="1920" w:type="dxa"/>
            <w:noWrap/>
            <w:vAlign w:val="center"/>
          </w:tcPr>
          <w:p w14:paraId="470A8642" w14:textId="539B3960" w:rsidR="000B3A62" w:rsidRPr="00FB2060" w:rsidRDefault="000B3A62" w:rsidP="000B3A62">
            <w:pPr>
              <w:spacing w:after="0"/>
              <w:ind w:left="0"/>
              <w:rPr>
                <w:rFonts w:cs="Calibri"/>
                <w:color w:val="000000"/>
                <w:szCs w:val="24"/>
              </w:rPr>
            </w:pPr>
            <w:r w:rsidRPr="00F668AA">
              <w:rPr>
                <w:rFonts w:cs="Calibri"/>
                <w:color w:val="000000"/>
                <w:szCs w:val="24"/>
              </w:rPr>
              <w:t>FAC Cashier Refund Listing Report</w:t>
            </w:r>
            <w:r>
              <w:rPr>
                <w:rFonts w:cs="Calibri"/>
                <w:color w:val="000000"/>
                <w:szCs w:val="24"/>
              </w:rPr>
              <w:t xml:space="preserve"> </w:t>
            </w:r>
            <w:r w:rsidRPr="00F668AA">
              <w:rPr>
                <w:rFonts w:cs="Calibri"/>
                <w:color w:val="000000"/>
                <w:szCs w:val="24"/>
              </w:rPr>
              <w:t>(BNDO836A)</w:t>
            </w:r>
          </w:p>
        </w:tc>
        <w:tc>
          <w:tcPr>
            <w:tcW w:w="6892" w:type="dxa"/>
            <w:vAlign w:val="center"/>
          </w:tcPr>
          <w:p w14:paraId="79CD7D1F" w14:textId="0A08CCF1" w:rsidR="000B3A62" w:rsidRPr="00FB2060" w:rsidRDefault="000B3A62" w:rsidP="000B3A62">
            <w:pPr>
              <w:spacing w:after="0"/>
              <w:ind w:left="0"/>
              <w:rPr>
                <w:rFonts w:cs="Calibri"/>
                <w:color w:val="000000"/>
                <w:szCs w:val="24"/>
              </w:rPr>
            </w:pPr>
            <w:r w:rsidRPr="00F668AA">
              <w:rPr>
                <w:rFonts w:cs="Calibri"/>
                <w:color w:val="000000"/>
                <w:szCs w:val="24"/>
              </w:rPr>
              <w:t xml:space="preserve">Provides information regarding FAC payments received; </w:t>
            </w:r>
            <w:r w:rsidR="00CB6821">
              <w:rPr>
                <w:rFonts w:cs="Calibri"/>
                <w:color w:val="000000"/>
                <w:szCs w:val="24"/>
              </w:rPr>
              <w:t>SSN</w:t>
            </w:r>
            <w:r w:rsidRPr="00F668AA">
              <w:rPr>
                <w:rFonts w:cs="Calibri"/>
                <w:color w:val="000000"/>
                <w:szCs w:val="24"/>
              </w:rPr>
              <w:t xml:space="preserve">, </w:t>
            </w:r>
            <w:r w:rsidR="00942092">
              <w:rPr>
                <w:rFonts w:cs="Calibri"/>
                <w:color w:val="000000"/>
                <w:szCs w:val="24"/>
              </w:rPr>
              <w:t>claimant</w:t>
            </w:r>
            <w:r w:rsidRPr="00F668AA">
              <w:rPr>
                <w:rFonts w:cs="Calibri"/>
                <w:color w:val="000000"/>
                <w:szCs w:val="24"/>
              </w:rPr>
              <w:t xml:space="preserve"> name, count, uid, keyed, allocated, unal</w:t>
            </w:r>
            <w:r w:rsidR="00CB6821">
              <w:rPr>
                <w:rFonts w:cs="Calibri"/>
                <w:color w:val="000000"/>
                <w:szCs w:val="24"/>
              </w:rPr>
              <w:t>located, available, transferred</w:t>
            </w:r>
          </w:p>
        </w:tc>
      </w:tr>
      <w:tr w:rsidR="000B3A62" w:rsidRPr="000E4EAF" w14:paraId="2B2864EB" w14:textId="77777777" w:rsidTr="00F668AA">
        <w:trPr>
          <w:trHeight w:val="300"/>
        </w:trPr>
        <w:tc>
          <w:tcPr>
            <w:tcW w:w="688" w:type="dxa"/>
            <w:noWrap/>
            <w:vAlign w:val="center"/>
          </w:tcPr>
          <w:p w14:paraId="0AAE2422" w14:textId="0AECAE69" w:rsidR="000B3A62" w:rsidRPr="00FB2060" w:rsidRDefault="000B3A62" w:rsidP="000B3A62">
            <w:pPr>
              <w:spacing w:after="0"/>
              <w:ind w:left="0"/>
              <w:jc w:val="center"/>
              <w:rPr>
                <w:rFonts w:cs="Calibri"/>
                <w:color w:val="000000"/>
                <w:szCs w:val="24"/>
              </w:rPr>
            </w:pPr>
            <w:r w:rsidRPr="00937FE8">
              <w:rPr>
                <w:rFonts w:cs="Calibri"/>
                <w:color w:val="000000"/>
                <w:szCs w:val="24"/>
              </w:rPr>
              <w:t>22</w:t>
            </w:r>
          </w:p>
        </w:tc>
        <w:tc>
          <w:tcPr>
            <w:tcW w:w="1689" w:type="dxa"/>
            <w:noWrap/>
            <w:vAlign w:val="center"/>
          </w:tcPr>
          <w:p w14:paraId="55ACEF69" w14:textId="668C5476" w:rsidR="000B3A62" w:rsidRPr="00FB2060" w:rsidRDefault="000B3A62" w:rsidP="000B3A62">
            <w:pPr>
              <w:spacing w:after="0"/>
              <w:ind w:left="0"/>
              <w:rPr>
                <w:rFonts w:cs="Calibri"/>
                <w:color w:val="000000"/>
                <w:szCs w:val="24"/>
              </w:rPr>
            </w:pPr>
            <w:r w:rsidRPr="00F668AA">
              <w:rPr>
                <w:rFonts w:cs="Calibri"/>
                <w:color w:val="000000"/>
                <w:szCs w:val="24"/>
              </w:rPr>
              <w:t>Daily</w:t>
            </w:r>
          </w:p>
        </w:tc>
        <w:tc>
          <w:tcPr>
            <w:tcW w:w="1920" w:type="dxa"/>
            <w:noWrap/>
            <w:vAlign w:val="center"/>
          </w:tcPr>
          <w:p w14:paraId="66697EC9" w14:textId="420E527A" w:rsidR="000B3A62" w:rsidRPr="00FB2060" w:rsidRDefault="000B3A62" w:rsidP="000B3A62">
            <w:pPr>
              <w:spacing w:after="0"/>
              <w:ind w:left="0"/>
              <w:rPr>
                <w:rFonts w:cs="Calibri"/>
                <w:color w:val="000000"/>
                <w:szCs w:val="24"/>
              </w:rPr>
            </w:pPr>
            <w:r w:rsidRPr="00F668AA">
              <w:rPr>
                <w:rFonts w:cs="Calibri"/>
                <w:color w:val="000000"/>
                <w:szCs w:val="24"/>
              </w:rPr>
              <w:t>No job name- IB8606 Forms</w:t>
            </w:r>
            <w:r>
              <w:rPr>
                <w:rFonts w:cs="Calibri"/>
                <w:color w:val="000000"/>
                <w:szCs w:val="24"/>
              </w:rPr>
              <w:t xml:space="preserve"> </w:t>
            </w:r>
            <w:r w:rsidRPr="00F668AA">
              <w:rPr>
                <w:rFonts w:cs="Calibri"/>
                <w:color w:val="000000"/>
                <w:szCs w:val="24"/>
              </w:rPr>
              <w:t>(BNDO735F)</w:t>
            </w:r>
          </w:p>
        </w:tc>
        <w:tc>
          <w:tcPr>
            <w:tcW w:w="6892" w:type="dxa"/>
            <w:vAlign w:val="center"/>
          </w:tcPr>
          <w:p w14:paraId="7831D795" w14:textId="3A29E67E" w:rsidR="000B3A62" w:rsidRPr="00FB2060" w:rsidRDefault="000B3A62" w:rsidP="000B3A62">
            <w:pPr>
              <w:spacing w:after="0"/>
              <w:ind w:left="0"/>
              <w:rPr>
                <w:rFonts w:cs="Calibri"/>
                <w:color w:val="000000"/>
                <w:szCs w:val="24"/>
              </w:rPr>
            </w:pPr>
            <w:r w:rsidRPr="00F668AA">
              <w:rPr>
                <w:rFonts w:cs="Calibri"/>
                <w:color w:val="000000"/>
                <w:szCs w:val="24"/>
              </w:rPr>
              <w:t>Provides Forms IB8606 to be mailed out to request assistance from other state</w:t>
            </w:r>
            <w:r w:rsidR="00CB6821">
              <w:rPr>
                <w:rFonts w:cs="Calibri"/>
                <w:color w:val="000000"/>
                <w:szCs w:val="24"/>
              </w:rPr>
              <w:t>s in recovery of TX overpayment</w:t>
            </w:r>
          </w:p>
        </w:tc>
      </w:tr>
      <w:tr w:rsidR="000B3A62" w:rsidRPr="000E4EAF" w14:paraId="2D14734F" w14:textId="77777777" w:rsidTr="00F668AA">
        <w:trPr>
          <w:trHeight w:val="300"/>
        </w:trPr>
        <w:tc>
          <w:tcPr>
            <w:tcW w:w="688" w:type="dxa"/>
            <w:noWrap/>
            <w:vAlign w:val="center"/>
          </w:tcPr>
          <w:p w14:paraId="3B4C065C" w14:textId="34EB9D4E" w:rsidR="000B3A62" w:rsidRPr="00FB2060" w:rsidRDefault="000B3A62" w:rsidP="000B3A62">
            <w:pPr>
              <w:spacing w:after="0"/>
              <w:ind w:left="0"/>
              <w:jc w:val="center"/>
              <w:rPr>
                <w:rFonts w:cs="Calibri"/>
                <w:color w:val="000000"/>
                <w:szCs w:val="24"/>
              </w:rPr>
            </w:pPr>
            <w:r w:rsidRPr="00937FE8">
              <w:rPr>
                <w:rFonts w:cs="Calibri"/>
                <w:color w:val="000000"/>
                <w:szCs w:val="24"/>
              </w:rPr>
              <w:t>23</w:t>
            </w:r>
          </w:p>
        </w:tc>
        <w:tc>
          <w:tcPr>
            <w:tcW w:w="1689" w:type="dxa"/>
            <w:noWrap/>
            <w:vAlign w:val="center"/>
          </w:tcPr>
          <w:p w14:paraId="6E9CBD2D" w14:textId="21D7BCEE" w:rsidR="000B3A62" w:rsidRPr="00FB2060" w:rsidRDefault="000B3A62" w:rsidP="000B3A62">
            <w:pPr>
              <w:spacing w:after="0"/>
              <w:ind w:left="0"/>
              <w:rPr>
                <w:rFonts w:cs="Calibri"/>
                <w:color w:val="000000"/>
                <w:szCs w:val="24"/>
              </w:rPr>
            </w:pPr>
            <w:r w:rsidRPr="00F668AA">
              <w:rPr>
                <w:rFonts w:cs="Calibri"/>
                <w:color w:val="000000"/>
                <w:szCs w:val="24"/>
              </w:rPr>
              <w:t>Weekly</w:t>
            </w:r>
          </w:p>
        </w:tc>
        <w:tc>
          <w:tcPr>
            <w:tcW w:w="1920" w:type="dxa"/>
            <w:noWrap/>
            <w:vAlign w:val="center"/>
          </w:tcPr>
          <w:p w14:paraId="0E126BAD" w14:textId="7B877C02" w:rsidR="000B3A62" w:rsidRPr="00FB2060" w:rsidRDefault="000B3A62" w:rsidP="000B3A62">
            <w:pPr>
              <w:spacing w:after="0"/>
              <w:ind w:left="0"/>
              <w:rPr>
                <w:rFonts w:cs="Calibri"/>
                <w:color w:val="000000"/>
                <w:szCs w:val="24"/>
              </w:rPr>
            </w:pPr>
            <w:r w:rsidRPr="00F668AA">
              <w:rPr>
                <w:rFonts w:cs="Calibri"/>
                <w:color w:val="000000"/>
                <w:szCs w:val="24"/>
              </w:rPr>
              <w:t>Comptroller Warrant Hold Review Report</w:t>
            </w:r>
            <w:r>
              <w:rPr>
                <w:rFonts w:cs="Calibri"/>
                <w:color w:val="000000"/>
                <w:szCs w:val="24"/>
              </w:rPr>
              <w:t xml:space="preserve"> </w:t>
            </w:r>
            <w:r w:rsidRPr="00F668AA">
              <w:rPr>
                <w:rFonts w:cs="Calibri"/>
                <w:color w:val="000000"/>
                <w:szCs w:val="24"/>
              </w:rPr>
              <w:t>(BNWO220P)</w:t>
            </w:r>
          </w:p>
        </w:tc>
        <w:tc>
          <w:tcPr>
            <w:tcW w:w="6892" w:type="dxa"/>
            <w:vAlign w:val="center"/>
          </w:tcPr>
          <w:p w14:paraId="73B976EE" w14:textId="7BD13D5A" w:rsidR="000B3A62" w:rsidRPr="00FB2060" w:rsidRDefault="000B3A62" w:rsidP="000B3A62">
            <w:pPr>
              <w:spacing w:after="0"/>
              <w:ind w:left="0"/>
              <w:rPr>
                <w:rFonts w:cs="Calibri"/>
                <w:color w:val="000000"/>
                <w:szCs w:val="24"/>
              </w:rPr>
            </w:pPr>
            <w:r w:rsidRPr="00F668AA">
              <w:rPr>
                <w:rFonts w:cs="Calibri"/>
                <w:color w:val="000000"/>
                <w:szCs w:val="24"/>
              </w:rPr>
              <w:t xml:space="preserve">Provides information regarding warrant hold cases showing a discrepancy in overpayment balance and adjusted amount; </w:t>
            </w:r>
            <w:r w:rsidR="00CB6821">
              <w:rPr>
                <w:rFonts w:cs="Calibri"/>
                <w:color w:val="000000"/>
                <w:szCs w:val="24"/>
              </w:rPr>
              <w:t>SSN</w:t>
            </w:r>
            <w:r w:rsidRPr="00F668AA">
              <w:rPr>
                <w:rFonts w:cs="Calibri"/>
                <w:color w:val="000000"/>
                <w:szCs w:val="24"/>
              </w:rPr>
              <w:t xml:space="preserve">, </w:t>
            </w:r>
            <w:r w:rsidR="00ED3D36">
              <w:rPr>
                <w:rFonts w:cs="Calibri"/>
                <w:color w:val="000000"/>
                <w:szCs w:val="24"/>
              </w:rPr>
              <w:t>OP balance</w:t>
            </w:r>
            <w:r w:rsidR="00942092">
              <w:rPr>
                <w:rFonts w:cs="Calibri"/>
                <w:color w:val="000000"/>
                <w:szCs w:val="24"/>
              </w:rPr>
              <w:t>,</w:t>
            </w:r>
            <w:r w:rsidR="00CB6821">
              <w:rPr>
                <w:rFonts w:cs="Calibri"/>
                <w:color w:val="000000"/>
                <w:szCs w:val="24"/>
              </w:rPr>
              <w:t xml:space="preserve"> hold </w:t>
            </w:r>
            <w:r w:rsidR="00942092">
              <w:rPr>
                <w:rFonts w:cs="Calibri"/>
                <w:color w:val="000000"/>
                <w:szCs w:val="24"/>
              </w:rPr>
              <w:t>amount</w:t>
            </w:r>
            <w:r w:rsidR="00CB6821">
              <w:rPr>
                <w:rFonts w:cs="Calibri"/>
                <w:color w:val="000000"/>
                <w:szCs w:val="24"/>
              </w:rPr>
              <w:t xml:space="preserve">, adjusted </w:t>
            </w:r>
            <w:r w:rsidR="00942092">
              <w:rPr>
                <w:rFonts w:cs="Calibri"/>
                <w:color w:val="000000"/>
                <w:szCs w:val="24"/>
              </w:rPr>
              <w:t>amount</w:t>
            </w:r>
            <w:r w:rsidR="00CB6821">
              <w:rPr>
                <w:rFonts w:cs="Calibri"/>
                <w:color w:val="000000"/>
                <w:szCs w:val="24"/>
              </w:rPr>
              <w:t>, note</w:t>
            </w:r>
          </w:p>
        </w:tc>
      </w:tr>
      <w:tr w:rsidR="000B3A62" w:rsidRPr="000E4EAF" w14:paraId="32E80190" w14:textId="77777777" w:rsidTr="00F668AA">
        <w:trPr>
          <w:trHeight w:val="300"/>
        </w:trPr>
        <w:tc>
          <w:tcPr>
            <w:tcW w:w="688" w:type="dxa"/>
            <w:noWrap/>
            <w:vAlign w:val="center"/>
          </w:tcPr>
          <w:p w14:paraId="17CCF09E" w14:textId="4DFE84CA" w:rsidR="000B3A62" w:rsidRPr="00FB2060" w:rsidRDefault="000B3A62" w:rsidP="000B3A62">
            <w:pPr>
              <w:spacing w:after="0"/>
              <w:ind w:left="0"/>
              <w:jc w:val="center"/>
              <w:rPr>
                <w:rFonts w:cs="Calibri"/>
                <w:color w:val="000000"/>
                <w:szCs w:val="24"/>
              </w:rPr>
            </w:pPr>
            <w:r w:rsidRPr="00937FE8">
              <w:rPr>
                <w:rFonts w:cs="Calibri"/>
                <w:color w:val="000000"/>
                <w:szCs w:val="24"/>
              </w:rPr>
              <w:t>24</w:t>
            </w:r>
          </w:p>
        </w:tc>
        <w:tc>
          <w:tcPr>
            <w:tcW w:w="1689" w:type="dxa"/>
            <w:noWrap/>
            <w:vAlign w:val="center"/>
          </w:tcPr>
          <w:p w14:paraId="2C37AEFF" w14:textId="5C2EF606" w:rsidR="000B3A62" w:rsidRPr="00FB2060" w:rsidRDefault="000B3A62" w:rsidP="000B3A62">
            <w:pPr>
              <w:spacing w:after="0"/>
              <w:ind w:left="0"/>
              <w:rPr>
                <w:rFonts w:cs="Calibri"/>
                <w:color w:val="000000"/>
                <w:szCs w:val="24"/>
              </w:rPr>
            </w:pPr>
            <w:r w:rsidRPr="00F668AA">
              <w:rPr>
                <w:rFonts w:cs="Calibri"/>
                <w:color w:val="000000"/>
                <w:szCs w:val="24"/>
              </w:rPr>
              <w:t>Monthly</w:t>
            </w:r>
          </w:p>
        </w:tc>
        <w:tc>
          <w:tcPr>
            <w:tcW w:w="1920" w:type="dxa"/>
            <w:noWrap/>
            <w:vAlign w:val="center"/>
          </w:tcPr>
          <w:p w14:paraId="6F413F0E" w14:textId="1F5A9E6E" w:rsidR="000B3A62" w:rsidRPr="00FB2060" w:rsidRDefault="000B3A62" w:rsidP="000B3A62">
            <w:pPr>
              <w:spacing w:after="0"/>
              <w:ind w:left="0"/>
              <w:rPr>
                <w:rFonts w:cs="Calibri"/>
                <w:color w:val="000000"/>
                <w:szCs w:val="24"/>
              </w:rPr>
            </w:pPr>
            <w:r w:rsidRPr="00F668AA">
              <w:rPr>
                <w:rFonts w:cs="Calibri"/>
                <w:color w:val="000000"/>
                <w:szCs w:val="24"/>
              </w:rPr>
              <w:t>TWC Employees Overpayment List</w:t>
            </w:r>
            <w:r>
              <w:rPr>
                <w:rFonts w:cs="Calibri"/>
                <w:color w:val="000000"/>
                <w:szCs w:val="24"/>
              </w:rPr>
              <w:t xml:space="preserve"> </w:t>
            </w:r>
            <w:r w:rsidRPr="00F668AA">
              <w:rPr>
                <w:rFonts w:cs="Calibri"/>
                <w:color w:val="000000"/>
                <w:szCs w:val="24"/>
              </w:rPr>
              <w:t>(BNO740R1)</w:t>
            </w:r>
          </w:p>
        </w:tc>
        <w:tc>
          <w:tcPr>
            <w:tcW w:w="6892" w:type="dxa"/>
            <w:vAlign w:val="center"/>
          </w:tcPr>
          <w:p w14:paraId="351CF4CC" w14:textId="0BB8EE3A" w:rsidR="000B3A62" w:rsidRPr="00FB2060" w:rsidRDefault="000B3A62" w:rsidP="000B3A62">
            <w:pPr>
              <w:spacing w:after="0"/>
              <w:ind w:left="0"/>
              <w:rPr>
                <w:rFonts w:cs="Calibri"/>
                <w:color w:val="000000"/>
                <w:szCs w:val="24"/>
              </w:rPr>
            </w:pPr>
            <w:r w:rsidRPr="00F668AA">
              <w:rPr>
                <w:rFonts w:cs="Calibri"/>
                <w:color w:val="000000"/>
                <w:szCs w:val="24"/>
              </w:rPr>
              <w:t xml:space="preserve">Provides information on TWC employees with benefit overpayments; </w:t>
            </w:r>
            <w:r w:rsidR="00CB6821">
              <w:rPr>
                <w:rFonts w:cs="Calibri"/>
                <w:color w:val="000000"/>
                <w:szCs w:val="24"/>
              </w:rPr>
              <w:t>SSN</w:t>
            </w:r>
            <w:r w:rsidRPr="00F668AA">
              <w:rPr>
                <w:rFonts w:cs="Calibri"/>
                <w:color w:val="000000"/>
                <w:szCs w:val="24"/>
              </w:rPr>
              <w:t>, name, location code, Repayment Schedule date; payment per month; EOD, claim id, Original Amount owed, balance, last payment amount, last payment date, Cost Center Manager Name, notes</w:t>
            </w:r>
          </w:p>
        </w:tc>
      </w:tr>
      <w:tr w:rsidR="000B3A62" w:rsidRPr="000E4EAF" w14:paraId="7B78E065" w14:textId="77777777" w:rsidTr="00F668AA">
        <w:trPr>
          <w:trHeight w:val="300"/>
        </w:trPr>
        <w:tc>
          <w:tcPr>
            <w:tcW w:w="688" w:type="dxa"/>
            <w:noWrap/>
            <w:vAlign w:val="center"/>
          </w:tcPr>
          <w:p w14:paraId="011C5396" w14:textId="38390FDA" w:rsidR="000B3A62" w:rsidRPr="00FB2060" w:rsidRDefault="000B3A62" w:rsidP="000B3A62">
            <w:pPr>
              <w:spacing w:after="0"/>
              <w:ind w:left="0"/>
              <w:jc w:val="center"/>
              <w:rPr>
                <w:rFonts w:cs="Calibri"/>
                <w:color w:val="000000"/>
                <w:szCs w:val="24"/>
              </w:rPr>
            </w:pPr>
            <w:r w:rsidRPr="00937FE8">
              <w:rPr>
                <w:rFonts w:cs="Calibri"/>
                <w:color w:val="000000"/>
                <w:szCs w:val="24"/>
              </w:rPr>
              <w:t>25</w:t>
            </w:r>
          </w:p>
        </w:tc>
        <w:tc>
          <w:tcPr>
            <w:tcW w:w="1689" w:type="dxa"/>
            <w:noWrap/>
            <w:vAlign w:val="center"/>
          </w:tcPr>
          <w:p w14:paraId="36BF4323" w14:textId="5F5EECCC" w:rsidR="000B3A62" w:rsidRPr="00FB2060" w:rsidRDefault="000B3A62" w:rsidP="000B3A62">
            <w:pPr>
              <w:spacing w:after="0"/>
              <w:ind w:left="0"/>
              <w:rPr>
                <w:rFonts w:cs="Calibri"/>
                <w:color w:val="000000"/>
                <w:szCs w:val="24"/>
              </w:rPr>
            </w:pPr>
            <w:r w:rsidRPr="00F668AA">
              <w:rPr>
                <w:rFonts w:cs="Calibri"/>
                <w:color w:val="000000"/>
                <w:szCs w:val="24"/>
              </w:rPr>
              <w:t>Monthly</w:t>
            </w:r>
          </w:p>
        </w:tc>
        <w:tc>
          <w:tcPr>
            <w:tcW w:w="1920" w:type="dxa"/>
            <w:noWrap/>
            <w:vAlign w:val="center"/>
          </w:tcPr>
          <w:p w14:paraId="627F5E8B" w14:textId="151F3051" w:rsidR="000B3A62" w:rsidRPr="00FB2060" w:rsidRDefault="000B3A62" w:rsidP="000B3A62">
            <w:pPr>
              <w:spacing w:after="0"/>
              <w:ind w:left="0"/>
              <w:rPr>
                <w:rFonts w:cs="Calibri"/>
                <w:color w:val="000000"/>
                <w:szCs w:val="24"/>
              </w:rPr>
            </w:pPr>
            <w:r w:rsidRPr="00F668AA">
              <w:rPr>
                <w:rFonts w:cs="Calibri"/>
                <w:color w:val="000000"/>
                <w:szCs w:val="24"/>
              </w:rPr>
              <w:t>Overpayment Detection/Recovery Activities, ETA 227</w:t>
            </w:r>
            <w:r>
              <w:rPr>
                <w:rFonts w:cs="Calibri"/>
                <w:color w:val="000000"/>
                <w:szCs w:val="24"/>
              </w:rPr>
              <w:t xml:space="preserve"> </w:t>
            </w:r>
            <w:r w:rsidRPr="00F668AA">
              <w:rPr>
                <w:rFonts w:cs="Calibri"/>
                <w:color w:val="000000"/>
                <w:szCs w:val="24"/>
              </w:rPr>
              <w:t>(BNQ230R1)</w:t>
            </w:r>
          </w:p>
        </w:tc>
        <w:tc>
          <w:tcPr>
            <w:tcW w:w="6892" w:type="dxa"/>
            <w:vAlign w:val="center"/>
          </w:tcPr>
          <w:p w14:paraId="4B5AF514" w14:textId="56E0C116" w:rsidR="000B3A62" w:rsidRPr="00FB2060" w:rsidRDefault="000B3A62" w:rsidP="000B3A62">
            <w:pPr>
              <w:spacing w:after="0"/>
              <w:ind w:left="0"/>
              <w:rPr>
                <w:rFonts w:cs="Calibri"/>
                <w:color w:val="000000"/>
                <w:szCs w:val="24"/>
              </w:rPr>
            </w:pPr>
            <w:r w:rsidRPr="00F668AA">
              <w:rPr>
                <w:rFonts w:cs="Calibri"/>
                <w:color w:val="000000"/>
                <w:szCs w:val="24"/>
              </w:rPr>
              <w:t>Shows dollar and claim amount summary of overpayments established, payments received by cash or offset/absorption, gro</w:t>
            </w:r>
            <w:r w:rsidR="00CB6821">
              <w:rPr>
                <w:rFonts w:cs="Calibri"/>
                <w:color w:val="000000"/>
                <w:szCs w:val="24"/>
              </w:rPr>
              <w:t>uped by program (funding) type</w:t>
            </w:r>
          </w:p>
        </w:tc>
      </w:tr>
      <w:tr w:rsidR="000B3A62" w:rsidRPr="000E4EAF" w14:paraId="6EA79EEE" w14:textId="77777777" w:rsidTr="00F668AA">
        <w:trPr>
          <w:trHeight w:val="300"/>
        </w:trPr>
        <w:tc>
          <w:tcPr>
            <w:tcW w:w="688" w:type="dxa"/>
            <w:noWrap/>
            <w:vAlign w:val="center"/>
          </w:tcPr>
          <w:p w14:paraId="3CEEA4A5" w14:textId="0021E934" w:rsidR="000B3A62" w:rsidRPr="00FB2060" w:rsidRDefault="000B3A62" w:rsidP="000B3A62">
            <w:pPr>
              <w:spacing w:after="0"/>
              <w:ind w:left="0"/>
              <w:jc w:val="center"/>
              <w:rPr>
                <w:rFonts w:cs="Calibri"/>
                <w:color w:val="000000"/>
                <w:szCs w:val="24"/>
              </w:rPr>
            </w:pPr>
            <w:r w:rsidRPr="00937FE8">
              <w:rPr>
                <w:rFonts w:cs="Calibri"/>
                <w:color w:val="000000"/>
                <w:szCs w:val="24"/>
              </w:rPr>
              <w:t>26</w:t>
            </w:r>
          </w:p>
        </w:tc>
        <w:tc>
          <w:tcPr>
            <w:tcW w:w="1689" w:type="dxa"/>
            <w:noWrap/>
            <w:vAlign w:val="center"/>
          </w:tcPr>
          <w:p w14:paraId="2A2F266F" w14:textId="4EC26D8C" w:rsidR="000B3A62" w:rsidRPr="00FB2060" w:rsidRDefault="000B3A62" w:rsidP="000B3A62">
            <w:pPr>
              <w:spacing w:after="0"/>
              <w:ind w:left="0"/>
              <w:rPr>
                <w:rFonts w:cs="Calibri"/>
                <w:color w:val="000000"/>
                <w:szCs w:val="24"/>
              </w:rPr>
            </w:pPr>
            <w:r w:rsidRPr="00F668AA">
              <w:rPr>
                <w:rFonts w:cs="Calibri"/>
                <w:color w:val="000000"/>
                <w:szCs w:val="24"/>
              </w:rPr>
              <w:t>Quarterly</w:t>
            </w:r>
          </w:p>
        </w:tc>
        <w:tc>
          <w:tcPr>
            <w:tcW w:w="1920" w:type="dxa"/>
            <w:noWrap/>
            <w:vAlign w:val="center"/>
          </w:tcPr>
          <w:p w14:paraId="6DE237A7" w14:textId="1F32826C" w:rsidR="000B3A62" w:rsidRPr="00FB2060" w:rsidRDefault="000B3A62" w:rsidP="000B3A62">
            <w:pPr>
              <w:spacing w:after="0"/>
              <w:ind w:left="0"/>
              <w:rPr>
                <w:rFonts w:cs="Calibri"/>
                <w:color w:val="000000"/>
                <w:szCs w:val="24"/>
              </w:rPr>
            </w:pPr>
            <w:r w:rsidRPr="00F668AA">
              <w:rPr>
                <w:rFonts w:cs="Calibri"/>
                <w:color w:val="000000"/>
                <w:szCs w:val="24"/>
              </w:rPr>
              <w:t>Overpayment Diagnostic Report</w:t>
            </w:r>
            <w:r>
              <w:rPr>
                <w:rFonts w:cs="Calibri"/>
                <w:color w:val="000000"/>
                <w:szCs w:val="24"/>
              </w:rPr>
              <w:t xml:space="preserve"> </w:t>
            </w:r>
            <w:r w:rsidRPr="00F668AA">
              <w:rPr>
                <w:rFonts w:cs="Calibri"/>
                <w:color w:val="000000"/>
                <w:szCs w:val="24"/>
              </w:rPr>
              <w:t>(BNQO990A)</w:t>
            </w:r>
          </w:p>
        </w:tc>
        <w:tc>
          <w:tcPr>
            <w:tcW w:w="6892" w:type="dxa"/>
            <w:vAlign w:val="center"/>
          </w:tcPr>
          <w:p w14:paraId="1A7DFEE0" w14:textId="32E45CDA" w:rsidR="000B3A62" w:rsidRPr="00FB2060" w:rsidRDefault="000B3A62" w:rsidP="000B3A62">
            <w:pPr>
              <w:spacing w:after="0"/>
              <w:ind w:left="0"/>
              <w:rPr>
                <w:rFonts w:cs="Calibri"/>
                <w:color w:val="000000"/>
                <w:szCs w:val="24"/>
              </w:rPr>
            </w:pPr>
            <w:r w:rsidRPr="00F668AA">
              <w:rPr>
                <w:rFonts w:cs="Calibri"/>
                <w:color w:val="000000"/>
                <w:szCs w:val="24"/>
              </w:rPr>
              <w:t>Shows overview of all OPs, broken down by year and status (bankruptcy, appeal, skip trace, etc.)</w:t>
            </w:r>
          </w:p>
        </w:tc>
      </w:tr>
      <w:tr w:rsidR="000B3A62" w:rsidRPr="000E4EAF" w14:paraId="64AEC572" w14:textId="77777777" w:rsidTr="00F668AA">
        <w:trPr>
          <w:trHeight w:val="300"/>
        </w:trPr>
        <w:tc>
          <w:tcPr>
            <w:tcW w:w="688" w:type="dxa"/>
            <w:noWrap/>
            <w:vAlign w:val="center"/>
          </w:tcPr>
          <w:p w14:paraId="611E468B" w14:textId="2FFC1C8D" w:rsidR="000B3A62" w:rsidRPr="00FB2060" w:rsidRDefault="000B3A62" w:rsidP="000B3A62">
            <w:pPr>
              <w:spacing w:after="0"/>
              <w:ind w:left="0"/>
              <w:jc w:val="center"/>
              <w:rPr>
                <w:rFonts w:cs="Calibri"/>
                <w:color w:val="000000"/>
                <w:szCs w:val="24"/>
              </w:rPr>
            </w:pPr>
            <w:r w:rsidRPr="00937FE8">
              <w:rPr>
                <w:rFonts w:cs="Calibri"/>
                <w:color w:val="000000"/>
                <w:szCs w:val="24"/>
              </w:rPr>
              <w:t>27</w:t>
            </w:r>
          </w:p>
        </w:tc>
        <w:tc>
          <w:tcPr>
            <w:tcW w:w="1689" w:type="dxa"/>
            <w:noWrap/>
            <w:vAlign w:val="center"/>
          </w:tcPr>
          <w:p w14:paraId="618520D4" w14:textId="7DCAE5A4" w:rsidR="000B3A62" w:rsidRPr="00FB2060" w:rsidRDefault="000B3A62" w:rsidP="000B3A62">
            <w:pPr>
              <w:spacing w:after="0"/>
              <w:ind w:left="0"/>
              <w:rPr>
                <w:rFonts w:cs="Calibri"/>
                <w:color w:val="000000"/>
                <w:szCs w:val="24"/>
              </w:rPr>
            </w:pPr>
            <w:r w:rsidRPr="00F668AA">
              <w:rPr>
                <w:rFonts w:cs="Calibri"/>
                <w:color w:val="000000"/>
                <w:szCs w:val="24"/>
              </w:rPr>
              <w:t>Quarterly</w:t>
            </w:r>
          </w:p>
        </w:tc>
        <w:tc>
          <w:tcPr>
            <w:tcW w:w="1920" w:type="dxa"/>
            <w:noWrap/>
            <w:vAlign w:val="center"/>
          </w:tcPr>
          <w:p w14:paraId="4B495927" w14:textId="62B83F65" w:rsidR="000B3A62" w:rsidRPr="00FB2060" w:rsidRDefault="000B3A62" w:rsidP="000B3A62">
            <w:pPr>
              <w:spacing w:after="0"/>
              <w:ind w:left="0"/>
              <w:rPr>
                <w:rFonts w:cs="Calibri"/>
                <w:color w:val="000000"/>
                <w:szCs w:val="24"/>
              </w:rPr>
            </w:pPr>
            <w:r w:rsidRPr="00F668AA">
              <w:rPr>
                <w:rFonts w:cs="Calibri"/>
                <w:color w:val="000000"/>
                <w:szCs w:val="24"/>
              </w:rPr>
              <w:t>Assessment Diagnostic Report</w:t>
            </w:r>
            <w:r>
              <w:rPr>
                <w:rFonts w:cs="Calibri"/>
                <w:color w:val="000000"/>
                <w:szCs w:val="24"/>
              </w:rPr>
              <w:t xml:space="preserve"> </w:t>
            </w:r>
            <w:r w:rsidRPr="00F668AA">
              <w:rPr>
                <w:rFonts w:cs="Calibri"/>
                <w:color w:val="000000"/>
                <w:szCs w:val="24"/>
              </w:rPr>
              <w:t>(BNQO991A)</w:t>
            </w:r>
          </w:p>
        </w:tc>
        <w:tc>
          <w:tcPr>
            <w:tcW w:w="6892" w:type="dxa"/>
            <w:vAlign w:val="center"/>
          </w:tcPr>
          <w:p w14:paraId="57EE1BD6" w14:textId="770792B5" w:rsidR="000B3A62" w:rsidRPr="00FB2060" w:rsidRDefault="000B3A62" w:rsidP="000B3A62">
            <w:pPr>
              <w:spacing w:after="0"/>
              <w:ind w:left="0"/>
              <w:rPr>
                <w:rFonts w:cs="Calibri"/>
                <w:color w:val="000000"/>
                <w:szCs w:val="24"/>
              </w:rPr>
            </w:pPr>
            <w:r w:rsidRPr="00F668AA">
              <w:rPr>
                <w:rFonts w:cs="Calibri"/>
                <w:color w:val="000000"/>
                <w:szCs w:val="24"/>
              </w:rPr>
              <w:t>Shows amount of cases that have had an assessment, dollar amount and status</w:t>
            </w:r>
          </w:p>
        </w:tc>
      </w:tr>
      <w:tr w:rsidR="000B3A62" w:rsidRPr="000E4EAF" w14:paraId="007EAE5A" w14:textId="77777777" w:rsidTr="00F668AA">
        <w:trPr>
          <w:trHeight w:val="300"/>
        </w:trPr>
        <w:tc>
          <w:tcPr>
            <w:tcW w:w="688" w:type="dxa"/>
            <w:noWrap/>
            <w:vAlign w:val="center"/>
          </w:tcPr>
          <w:p w14:paraId="2698E098" w14:textId="75E00A96" w:rsidR="000B3A62" w:rsidRPr="00FB2060" w:rsidRDefault="000B3A62" w:rsidP="000B3A62">
            <w:pPr>
              <w:spacing w:after="0"/>
              <w:ind w:left="0"/>
              <w:jc w:val="center"/>
              <w:rPr>
                <w:rFonts w:cs="Calibri"/>
                <w:color w:val="000000"/>
                <w:szCs w:val="24"/>
              </w:rPr>
            </w:pPr>
            <w:r w:rsidRPr="00937FE8">
              <w:rPr>
                <w:rFonts w:cs="Calibri"/>
                <w:color w:val="000000"/>
                <w:szCs w:val="24"/>
              </w:rPr>
              <w:t>28</w:t>
            </w:r>
          </w:p>
        </w:tc>
        <w:tc>
          <w:tcPr>
            <w:tcW w:w="1689" w:type="dxa"/>
            <w:noWrap/>
            <w:vAlign w:val="center"/>
          </w:tcPr>
          <w:p w14:paraId="51ECFD29" w14:textId="789419C5" w:rsidR="000B3A62" w:rsidRPr="00FB2060" w:rsidRDefault="000B3A62" w:rsidP="000B3A62">
            <w:pPr>
              <w:spacing w:after="0"/>
              <w:ind w:left="0"/>
              <w:rPr>
                <w:rFonts w:cs="Calibri"/>
                <w:color w:val="000000"/>
                <w:szCs w:val="24"/>
              </w:rPr>
            </w:pPr>
            <w:r w:rsidRPr="00F668AA">
              <w:rPr>
                <w:rFonts w:cs="Calibri"/>
                <w:color w:val="000000"/>
                <w:szCs w:val="24"/>
              </w:rPr>
              <w:t>Quarterly</w:t>
            </w:r>
          </w:p>
        </w:tc>
        <w:tc>
          <w:tcPr>
            <w:tcW w:w="1920" w:type="dxa"/>
            <w:noWrap/>
            <w:vAlign w:val="center"/>
          </w:tcPr>
          <w:p w14:paraId="0BB8F4D9" w14:textId="0AEA1E06" w:rsidR="000B3A62" w:rsidRPr="00FB2060" w:rsidRDefault="000B3A62" w:rsidP="000B3A62">
            <w:pPr>
              <w:spacing w:after="0"/>
              <w:ind w:left="0"/>
              <w:rPr>
                <w:rFonts w:cs="Calibri"/>
                <w:color w:val="000000"/>
                <w:szCs w:val="24"/>
              </w:rPr>
            </w:pPr>
            <w:r w:rsidRPr="00F668AA">
              <w:rPr>
                <w:rFonts w:cs="Calibri"/>
                <w:color w:val="000000"/>
                <w:szCs w:val="24"/>
              </w:rPr>
              <w:t>Bankruptcy Diagnostic Report</w:t>
            </w:r>
            <w:r>
              <w:rPr>
                <w:rFonts w:cs="Calibri"/>
                <w:color w:val="000000"/>
                <w:szCs w:val="24"/>
              </w:rPr>
              <w:t xml:space="preserve"> </w:t>
            </w:r>
            <w:r w:rsidRPr="00F668AA">
              <w:rPr>
                <w:rFonts w:cs="Calibri"/>
                <w:color w:val="000000"/>
                <w:szCs w:val="24"/>
              </w:rPr>
              <w:t>(BNQO992A)</w:t>
            </w:r>
          </w:p>
        </w:tc>
        <w:tc>
          <w:tcPr>
            <w:tcW w:w="6892" w:type="dxa"/>
            <w:vAlign w:val="center"/>
          </w:tcPr>
          <w:p w14:paraId="5195F256" w14:textId="7087E6CC" w:rsidR="000B3A62" w:rsidRPr="00FB2060" w:rsidRDefault="000B3A62" w:rsidP="000B3A62">
            <w:pPr>
              <w:spacing w:after="0"/>
              <w:ind w:left="0"/>
              <w:rPr>
                <w:rFonts w:cs="Calibri"/>
                <w:color w:val="000000"/>
                <w:szCs w:val="24"/>
              </w:rPr>
            </w:pPr>
            <w:r w:rsidRPr="00F668AA">
              <w:rPr>
                <w:rFonts w:cs="Calibri"/>
                <w:color w:val="000000"/>
                <w:szCs w:val="24"/>
              </w:rPr>
              <w:t>Shows the amount of cases with bankruptcies and status (discharged, dismissed, active, errors, etc.)</w:t>
            </w:r>
          </w:p>
        </w:tc>
      </w:tr>
      <w:tr w:rsidR="000B3A62" w:rsidRPr="000E4EAF" w14:paraId="04817905" w14:textId="77777777" w:rsidTr="00271151">
        <w:trPr>
          <w:trHeight w:val="300"/>
        </w:trPr>
        <w:tc>
          <w:tcPr>
            <w:tcW w:w="688" w:type="dxa"/>
            <w:noWrap/>
            <w:vAlign w:val="center"/>
          </w:tcPr>
          <w:p w14:paraId="2509E8F2" w14:textId="2F032204" w:rsidR="000B3A62" w:rsidRPr="00FB2060" w:rsidRDefault="000B3A62" w:rsidP="000B3A62">
            <w:pPr>
              <w:spacing w:after="0"/>
              <w:ind w:left="0"/>
              <w:jc w:val="center"/>
              <w:rPr>
                <w:rFonts w:cs="Calibri"/>
                <w:color w:val="000000"/>
                <w:szCs w:val="24"/>
              </w:rPr>
            </w:pPr>
            <w:r w:rsidRPr="00937FE8">
              <w:rPr>
                <w:rFonts w:cs="Calibri"/>
                <w:color w:val="000000"/>
                <w:szCs w:val="24"/>
              </w:rPr>
              <w:t>29</w:t>
            </w:r>
          </w:p>
        </w:tc>
        <w:tc>
          <w:tcPr>
            <w:tcW w:w="1689" w:type="dxa"/>
            <w:noWrap/>
            <w:vAlign w:val="center"/>
          </w:tcPr>
          <w:p w14:paraId="083A514D" w14:textId="28AE135A" w:rsidR="000B3A62" w:rsidRPr="00FB2060" w:rsidRDefault="000B3A62" w:rsidP="000B3A62">
            <w:pPr>
              <w:spacing w:after="0"/>
              <w:ind w:left="0"/>
              <w:rPr>
                <w:rFonts w:cs="Calibri"/>
                <w:color w:val="000000"/>
                <w:szCs w:val="24"/>
              </w:rPr>
            </w:pPr>
            <w:r w:rsidRPr="00F668AA">
              <w:rPr>
                <w:rFonts w:cs="Calibri"/>
                <w:color w:val="000000"/>
                <w:szCs w:val="24"/>
              </w:rPr>
              <w:t>Quarterly</w:t>
            </w:r>
          </w:p>
        </w:tc>
        <w:tc>
          <w:tcPr>
            <w:tcW w:w="1920" w:type="dxa"/>
            <w:noWrap/>
            <w:vAlign w:val="center"/>
          </w:tcPr>
          <w:p w14:paraId="404DB217" w14:textId="571350BC" w:rsidR="000B3A62" w:rsidRPr="00FB2060" w:rsidRDefault="000B3A62" w:rsidP="000B3A62">
            <w:pPr>
              <w:spacing w:after="0"/>
              <w:ind w:left="0"/>
              <w:rPr>
                <w:rFonts w:cs="Calibri"/>
                <w:color w:val="000000"/>
                <w:szCs w:val="24"/>
              </w:rPr>
            </w:pPr>
            <w:r w:rsidRPr="00271151">
              <w:rPr>
                <w:rFonts w:cs="Calibri"/>
                <w:color w:val="000000"/>
                <w:szCs w:val="24"/>
              </w:rPr>
              <w:t>Overdue Bankruptcy Decision Report (BNQO601A)</w:t>
            </w:r>
          </w:p>
        </w:tc>
        <w:tc>
          <w:tcPr>
            <w:tcW w:w="6892" w:type="dxa"/>
            <w:vAlign w:val="center"/>
          </w:tcPr>
          <w:p w14:paraId="7FB60241" w14:textId="1B0D2A5E" w:rsidR="000B3A62" w:rsidRPr="00FB2060" w:rsidRDefault="000B3A62" w:rsidP="000B3A62">
            <w:pPr>
              <w:spacing w:after="0"/>
              <w:ind w:left="0"/>
              <w:rPr>
                <w:rFonts w:cs="Calibri"/>
                <w:color w:val="000000"/>
                <w:szCs w:val="24"/>
              </w:rPr>
            </w:pPr>
            <w:r w:rsidRPr="00271151">
              <w:rPr>
                <w:rFonts w:cs="Calibri"/>
                <w:color w:val="000000"/>
                <w:szCs w:val="24"/>
              </w:rPr>
              <w:t>Shows listing of Bankruptcy cases; Chapter 7 older than 6 months and Chapter 13 older than 7 years</w:t>
            </w:r>
          </w:p>
        </w:tc>
      </w:tr>
    </w:tbl>
    <w:p w14:paraId="61646525" w14:textId="6091A131" w:rsidR="00F91310" w:rsidRDefault="00F91310" w:rsidP="00FB2060">
      <w:pPr>
        <w:ind w:left="0"/>
      </w:pPr>
    </w:p>
    <w:p w14:paraId="47AB457E" w14:textId="1C957766" w:rsidR="005C2458" w:rsidRDefault="005C2458" w:rsidP="005C2458">
      <w:pPr>
        <w:pStyle w:val="Heading3"/>
      </w:pPr>
      <w:bookmarkStart w:id="436" w:name="_Toc13567510"/>
      <w:r>
        <w:lastRenderedPageBreak/>
        <w:t>A8.</w:t>
      </w:r>
      <w:r w:rsidR="00F91310">
        <w:t>5</w:t>
      </w:r>
      <w:r>
        <w:tab/>
        <w:t>R</w:t>
      </w:r>
      <w:r w:rsidR="00F91310">
        <w:t>TM</w:t>
      </w:r>
      <w:bookmarkEnd w:id="436"/>
    </w:p>
    <w:p w14:paraId="10F721D7" w14:textId="7BCE9CA4" w:rsidR="00F91310" w:rsidRPr="001D6281" w:rsidRDefault="00790EEE" w:rsidP="00345C97">
      <w:pPr>
        <w:rPr>
          <w:rFonts w:eastAsia="Verdana,Times New Roman" w:cs="Verdana,Times New Roman"/>
          <w:b/>
          <w:bCs/>
          <w:u w:val="single"/>
        </w:rPr>
      </w:pPr>
      <w:r>
        <w:rPr>
          <w:rFonts w:eastAsia="Verdana,Times New Roman" w:cs="Verdana,Times New Roman"/>
          <w:b/>
          <w:bCs/>
          <w:u w:val="single"/>
        </w:rPr>
        <w:t>RTM Print Jobs</w:t>
      </w:r>
    </w:p>
    <w:tbl>
      <w:tblPr>
        <w:tblStyle w:val="TableGrid"/>
        <w:tblW w:w="11302" w:type="dxa"/>
        <w:tblInd w:w="-72" w:type="dxa"/>
        <w:tblLayout w:type="fixed"/>
        <w:tblLook w:val="04A0" w:firstRow="1" w:lastRow="0" w:firstColumn="1" w:lastColumn="0" w:noHBand="0" w:noVBand="1"/>
        <w:tblDescription w:val="Table of RTM reports"/>
      </w:tblPr>
      <w:tblGrid>
        <w:gridCol w:w="697"/>
        <w:gridCol w:w="1661"/>
        <w:gridCol w:w="1759"/>
        <w:gridCol w:w="7185"/>
      </w:tblGrid>
      <w:tr w:rsidR="00790EEE" w:rsidRPr="000E4EAF" w14:paraId="43E1A3C5" w14:textId="77777777" w:rsidTr="008C223D">
        <w:trPr>
          <w:trHeight w:val="258"/>
          <w:tblHeader/>
        </w:trPr>
        <w:tc>
          <w:tcPr>
            <w:tcW w:w="697" w:type="dxa"/>
            <w:shd w:val="clear" w:color="auto" w:fill="DEEAF6" w:themeFill="accent1" w:themeFillTint="33"/>
            <w:vAlign w:val="center"/>
          </w:tcPr>
          <w:p w14:paraId="4E50A4CB" w14:textId="77777777" w:rsidR="00790EEE" w:rsidRPr="001A193D" w:rsidRDefault="00790EEE" w:rsidP="00EE4DB6">
            <w:pPr>
              <w:spacing w:after="0"/>
              <w:ind w:left="0"/>
              <w:jc w:val="center"/>
              <w:rPr>
                <w:b/>
                <w:i/>
                <w:color w:val="1F3864" w:themeColor="accent5" w:themeShade="80"/>
                <w:szCs w:val="22"/>
              </w:rPr>
            </w:pPr>
            <w:r w:rsidRPr="001A193D">
              <w:rPr>
                <w:rFonts w:cs="Arial"/>
                <w:b/>
                <w:color w:val="1F3864" w:themeColor="accent5" w:themeShade="80"/>
                <w:szCs w:val="22"/>
              </w:rPr>
              <w:t>#</w:t>
            </w:r>
          </w:p>
        </w:tc>
        <w:tc>
          <w:tcPr>
            <w:tcW w:w="1661" w:type="dxa"/>
            <w:shd w:val="clear" w:color="auto" w:fill="DEEAF6" w:themeFill="accent1" w:themeFillTint="33"/>
            <w:vAlign w:val="center"/>
          </w:tcPr>
          <w:p w14:paraId="06CED34C" w14:textId="77777777" w:rsidR="00790EEE" w:rsidRPr="001A193D" w:rsidRDefault="00790EEE" w:rsidP="00EE4DB6">
            <w:pPr>
              <w:spacing w:after="0"/>
              <w:ind w:left="0"/>
              <w:rPr>
                <w:b/>
                <w:i/>
                <w:color w:val="1F3864" w:themeColor="accent5" w:themeShade="80"/>
                <w:szCs w:val="22"/>
              </w:rPr>
            </w:pPr>
            <w:r w:rsidRPr="001A193D">
              <w:rPr>
                <w:rFonts w:cs="Arial"/>
                <w:b/>
                <w:color w:val="1F3864" w:themeColor="accent5" w:themeShade="80"/>
                <w:szCs w:val="22"/>
              </w:rPr>
              <w:t>Frequency</w:t>
            </w:r>
          </w:p>
        </w:tc>
        <w:tc>
          <w:tcPr>
            <w:tcW w:w="1759" w:type="dxa"/>
            <w:shd w:val="clear" w:color="auto" w:fill="DEEAF6" w:themeFill="accent1" w:themeFillTint="33"/>
            <w:vAlign w:val="center"/>
          </w:tcPr>
          <w:p w14:paraId="478CB77E" w14:textId="77777777" w:rsidR="00790EEE" w:rsidRPr="001A193D" w:rsidRDefault="00790EEE" w:rsidP="00EE4DB6">
            <w:pPr>
              <w:spacing w:after="0"/>
              <w:ind w:left="0"/>
              <w:rPr>
                <w:b/>
                <w:i/>
                <w:color w:val="1F3864" w:themeColor="accent5" w:themeShade="80"/>
                <w:szCs w:val="22"/>
              </w:rPr>
            </w:pPr>
            <w:r w:rsidRPr="001A193D">
              <w:rPr>
                <w:rFonts w:cs="Arial"/>
                <w:b/>
                <w:color w:val="1F3864" w:themeColor="accent5" w:themeShade="80"/>
                <w:szCs w:val="22"/>
              </w:rPr>
              <w:t>Name</w:t>
            </w:r>
          </w:p>
        </w:tc>
        <w:tc>
          <w:tcPr>
            <w:tcW w:w="7185" w:type="dxa"/>
            <w:shd w:val="clear" w:color="auto" w:fill="DEEAF6" w:themeFill="accent1" w:themeFillTint="33"/>
            <w:vAlign w:val="center"/>
          </w:tcPr>
          <w:p w14:paraId="7C682F0B" w14:textId="77777777" w:rsidR="00790EEE" w:rsidRPr="001A193D" w:rsidRDefault="00790EEE" w:rsidP="00EE4DB6">
            <w:pPr>
              <w:spacing w:after="0"/>
              <w:ind w:left="0"/>
              <w:rPr>
                <w:b/>
                <w:i/>
                <w:color w:val="1F3864" w:themeColor="accent5" w:themeShade="80"/>
                <w:szCs w:val="22"/>
              </w:rPr>
            </w:pPr>
            <w:r w:rsidRPr="001A193D">
              <w:rPr>
                <w:rFonts w:cs="Arial"/>
                <w:b/>
                <w:color w:val="1F3864" w:themeColor="accent5" w:themeShade="80"/>
                <w:szCs w:val="22"/>
              </w:rPr>
              <w:t>Overview</w:t>
            </w:r>
          </w:p>
        </w:tc>
      </w:tr>
      <w:tr w:rsidR="008D4D2D" w:rsidRPr="000E4EAF" w14:paraId="7161F558" w14:textId="77777777" w:rsidTr="008C223D">
        <w:trPr>
          <w:trHeight w:val="300"/>
        </w:trPr>
        <w:tc>
          <w:tcPr>
            <w:tcW w:w="697" w:type="dxa"/>
            <w:noWrap/>
            <w:vAlign w:val="center"/>
            <w:hideMark/>
          </w:tcPr>
          <w:p w14:paraId="42549043"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1</w:t>
            </w:r>
          </w:p>
        </w:tc>
        <w:tc>
          <w:tcPr>
            <w:tcW w:w="1661" w:type="dxa"/>
            <w:noWrap/>
            <w:vAlign w:val="center"/>
          </w:tcPr>
          <w:p w14:paraId="412F300F" w14:textId="15A805C0" w:rsidR="008D4D2D" w:rsidRPr="00937FE8" w:rsidRDefault="008D4D2D" w:rsidP="008D4D2D">
            <w:pPr>
              <w:spacing w:after="0"/>
              <w:ind w:left="0"/>
              <w:rPr>
                <w:rFonts w:cs="Calibri"/>
                <w:color w:val="000000"/>
                <w:szCs w:val="24"/>
              </w:rPr>
            </w:pPr>
            <w:r w:rsidRPr="00937FE8">
              <w:rPr>
                <w:rFonts w:cs="Calibri"/>
                <w:color w:val="000000"/>
                <w:szCs w:val="24"/>
              </w:rPr>
              <w:t>Daily</w:t>
            </w:r>
          </w:p>
        </w:tc>
        <w:tc>
          <w:tcPr>
            <w:tcW w:w="1759" w:type="dxa"/>
            <w:noWrap/>
            <w:vAlign w:val="center"/>
          </w:tcPr>
          <w:p w14:paraId="4A53817F" w14:textId="69F15D55" w:rsidR="008D4D2D" w:rsidRPr="00937FE8" w:rsidRDefault="008D4D2D" w:rsidP="008D4D2D">
            <w:pPr>
              <w:spacing w:after="0"/>
              <w:ind w:left="0"/>
              <w:rPr>
                <w:rFonts w:cs="Calibri"/>
                <w:color w:val="000000"/>
                <w:szCs w:val="24"/>
              </w:rPr>
            </w:pPr>
            <w:r w:rsidRPr="00937FE8">
              <w:rPr>
                <w:rFonts w:cs="Calibri"/>
                <w:color w:val="000000"/>
                <w:szCs w:val="24"/>
              </w:rPr>
              <w:t>BNDO145P</w:t>
            </w:r>
          </w:p>
        </w:tc>
        <w:tc>
          <w:tcPr>
            <w:tcW w:w="7185" w:type="dxa"/>
            <w:vAlign w:val="center"/>
          </w:tcPr>
          <w:p w14:paraId="009BBB02" w14:textId="16D553E5" w:rsidR="008D4D2D" w:rsidRPr="00937FE8" w:rsidRDefault="008D4D2D" w:rsidP="008D4D2D">
            <w:pPr>
              <w:spacing w:after="0"/>
              <w:ind w:left="0"/>
              <w:rPr>
                <w:rFonts w:cs="Calibri"/>
                <w:color w:val="000000"/>
                <w:szCs w:val="24"/>
              </w:rPr>
            </w:pPr>
            <w:r w:rsidRPr="00937FE8">
              <w:rPr>
                <w:rFonts w:cs="Calibri"/>
                <w:color w:val="000000"/>
                <w:szCs w:val="24"/>
              </w:rPr>
              <w:t>NSF Fund Report</w:t>
            </w:r>
            <w:r w:rsidR="00CB6821">
              <w:rPr>
                <w:rFonts w:cs="Calibri"/>
                <w:color w:val="000000"/>
                <w:szCs w:val="24"/>
              </w:rPr>
              <w:t>;</w:t>
            </w:r>
            <w:r w:rsidRPr="00937FE8">
              <w:rPr>
                <w:rFonts w:cs="Calibri"/>
                <w:color w:val="000000"/>
                <w:szCs w:val="24"/>
              </w:rPr>
              <w:t xml:space="preserve"> </w:t>
            </w:r>
            <w:r w:rsidR="00CB6821">
              <w:rPr>
                <w:rFonts w:cs="Calibri"/>
                <w:color w:val="000000"/>
                <w:szCs w:val="24"/>
              </w:rPr>
              <w:t>u</w:t>
            </w:r>
            <w:r w:rsidRPr="00937FE8">
              <w:rPr>
                <w:rFonts w:cs="Calibri"/>
                <w:color w:val="000000"/>
                <w:szCs w:val="24"/>
              </w:rPr>
              <w:t>sed to reconcile daily benef</w:t>
            </w:r>
            <w:r w:rsidR="00CB6821">
              <w:rPr>
                <w:rFonts w:cs="Calibri"/>
                <w:color w:val="000000"/>
                <w:szCs w:val="24"/>
              </w:rPr>
              <w:t>it overpayment recovery deposit</w:t>
            </w:r>
          </w:p>
        </w:tc>
      </w:tr>
      <w:tr w:rsidR="008D4D2D" w:rsidRPr="000E4EAF" w14:paraId="36B245B3" w14:textId="77777777" w:rsidTr="008C223D">
        <w:trPr>
          <w:trHeight w:val="300"/>
        </w:trPr>
        <w:tc>
          <w:tcPr>
            <w:tcW w:w="697" w:type="dxa"/>
            <w:noWrap/>
            <w:vAlign w:val="center"/>
            <w:hideMark/>
          </w:tcPr>
          <w:p w14:paraId="560E24F5"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2</w:t>
            </w:r>
          </w:p>
        </w:tc>
        <w:tc>
          <w:tcPr>
            <w:tcW w:w="1661" w:type="dxa"/>
            <w:noWrap/>
            <w:vAlign w:val="center"/>
          </w:tcPr>
          <w:p w14:paraId="77ACB746" w14:textId="037E2089" w:rsidR="008D4D2D" w:rsidRPr="00937FE8" w:rsidRDefault="008D4D2D" w:rsidP="008D4D2D">
            <w:pPr>
              <w:spacing w:after="0"/>
              <w:ind w:left="0"/>
              <w:rPr>
                <w:rFonts w:cs="Calibri"/>
                <w:color w:val="000000"/>
                <w:szCs w:val="24"/>
              </w:rPr>
            </w:pPr>
            <w:r w:rsidRPr="00937FE8">
              <w:rPr>
                <w:rFonts w:cs="Calibri"/>
                <w:color w:val="000000"/>
                <w:szCs w:val="24"/>
              </w:rPr>
              <w:t>Daily</w:t>
            </w:r>
          </w:p>
        </w:tc>
        <w:tc>
          <w:tcPr>
            <w:tcW w:w="1759" w:type="dxa"/>
            <w:noWrap/>
            <w:vAlign w:val="center"/>
          </w:tcPr>
          <w:p w14:paraId="37FFE454" w14:textId="18B2E271" w:rsidR="008D4D2D" w:rsidRPr="00937FE8" w:rsidRDefault="008D4D2D" w:rsidP="008D4D2D">
            <w:pPr>
              <w:spacing w:after="0"/>
              <w:ind w:left="0"/>
              <w:rPr>
                <w:rFonts w:cs="Calibri"/>
                <w:color w:val="000000"/>
                <w:szCs w:val="24"/>
              </w:rPr>
            </w:pPr>
            <w:r w:rsidRPr="00937FE8">
              <w:rPr>
                <w:rFonts w:cs="Calibri"/>
                <w:color w:val="000000"/>
                <w:szCs w:val="24"/>
              </w:rPr>
              <w:t>BNDO155P</w:t>
            </w:r>
          </w:p>
        </w:tc>
        <w:tc>
          <w:tcPr>
            <w:tcW w:w="7185" w:type="dxa"/>
            <w:vAlign w:val="center"/>
          </w:tcPr>
          <w:p w14:paraId="6EE73391" w14:textId="5BD09E1E" w:rsidR="008D4D2D" w:rsidRPr="00937FE8" w:rsidRDefault="008D4D2D" w:rsidP="008D4D2D">
            <w:pPr>
              <w:spacing w:after="0"/>
              <w:ind w:left="0"/>
              <w:rPr>
                <w:rFonts w:cs="Calibri"/>
                <w:color w:val="000000"/>
                <w:szCs w:val="24"/>
              </w:rPr>
            </w:pPr>
            <w:r w:rsidRPr="00937FE8">
              <w:rPr>
                <w:rFonts w:cs="Calibri"/>
                <w:color w:val="000000"/>
                <w:szCs w:val="24"/>
              </w:rPr>
              <w:t>NSF Reject Report</w:t>
            </w:r>
            <w:r w:rsidR="00CB6821">
              <w:rPr>
                <w:rFonts w:cs="Calibri"/>
                <w:color w:val="000000"/>
                <w:szCs w:val="24"/>
              </w:rPr>
              <w:t>;</w:t>
            </w:r>
            <w:r w:rsidRPr="00937FE8">
              <w:rPr>
                <w:rFonts w:cs="Calibri"/>
                <w:color w:val="000000"/>
                <w:szCs w:val="24"/>
              </w:rPr>
              <w:t xml:space="preserve"> </w:t>
            </w:r>
            <w:r w:rsidR="00CB6821">
              <w:rPr>
                <w:rFonts w:cs="Calibri"/>
                <w:color w:val="000000"/>
                <w:szCs w:val="24"/>
              </w:rPr>
              <w:t>t</w:t>
            </w:r>
            <w:r w:rsidRPr="00937FE8">
              <w:rPr>
                <w:rFonts w:cs="Calibri"/>
                <w:color w:val="000000"/>
                <w:szCs w:val="24"/>
              </w:rPr>
              <w:t>o no</w:t>
            </w:r>
            <w:r w:rsidR="00CB6821">
              <w:rPr>
                <w:rFonts w:cs="Calibri"/>
                <w:color w:val="000000"/>
                <w:szCs w:val="24"/>
              </w:rPr>
              <w:t>tify AD&amp;M of corrections needed</w:t>
            </w:r>
          </w:p>
        </w:tc>
      </w:tr>
      <w:tr w:rsidR="008D4D2D" w:rsidRPr="000E4EAF" w14:paraId="26E0050E" w14:textId="77777777" w:rsidTr="008C223D">
        <w:trPr>
          <w:trHeight w:val="300"/>
        </w:trPr>
        <w:tc>
          <w:tcPr>
            <w:tcW w:w="697" w:type="dxa"/>
            <w:noWrap/>
            <w:vAlign w:val="center"/>
            <w:hideMark/>
          </w:tcPr>
          <w:p w14:paraId="7028BFF6"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3</w:t>
            </w:r>
          </w:p>
        </w:tc>
        <w:tc>
          <w:tcPr>
            <w:tcW w:w="1661" w:type="dxa"/>
            <w:noWrap/>
            <w:vAlign w:val="center"/>
          </w:tcPr>
          <w:p w14:paraId="66593BB2" w14:textId="6F88E9D7" w:rsidR="008D4D2D" w:rsidRPr="00937FE8" w:rsidRDefault="008D4D2D" w:rsidP="008D4D2D">
            <w:pPr>
              <w:spacing w:after="0"/>
              <w:ind w:left="0"/>
              <w:rPr>
                <w:rFonts w:cs="Calibri"/>
                <w:color w:val="000000"/>
                <w:szCs w:val="24"/>
              </w:rPr>
            </w:pPr>
            <w:r w:rsidRPr="00937FE8">
              <w:rPr>
                <w:rFonts w:cs="Calibri"/>
                <w:color w:val="000000"/>
                <w:szCs w:val="24"/>
              </w:rPr>
              <w:t>Daily</w:t>
            </w:r>
          </w:p>
        </w:tc>
        <w:tc>
          <w:tcPr>
            <w:tcW w:w="1759" w:type="dxa"/>
            <w:noWrap/>
            <w:vAlign w:val="center"/>
          </w:tcPr>
          <w:p w14:paraId="08541B45" w14:textId="727FCF4B" w:rsidR="008D4D2D" w:rsidRPr="00937FE8" w:rsidRDefault="008D4D2D" w:rsidP="008D4D2D">
            <w:pPr>
              <w:spacing w:after="0"/>
              <w:ind w:left="0"/>
              <w:rPr>
                <w:rFonts w:cs="Calibri"/>
                <w:color w:val="000000"/>
                <w:szCs w:val="24"/>
              </w:rPr>
            </w:pPr>
            <w:r w:rsidRPr="00937FE8">
              <w:rPr>
                <w:rFonts w:cs="Calibri"/>
                <w:color w:val="000000"/>
                <w:szCs w:val="24"/>
              </w:rPr>
              <w:t>BNDO205P</w:t>
            </w:r>
          </w:p>
        </w:tc>
        <w:tc>
          <w:tcPr>
            <w:tcW w:w="7185" w:type="dxa"/>
            <w:vAlign w:val="center"/>
          </w:tcPr>
          <w:p w14:paraId="1DA6E65B" w14:textId="5931464E" w:rsidR="008D4D2D" w:rsidRPr="00937FE8" w:rsidRDefault="008D4D2D" w:rsidP="008D4D2D">
            <w:pPr>
              <w:spacing w:after="0"/>
              <w:ind w:left="0"/>
              <w:rPr>
                <w:rFonts w:cs="Calibri"/>
                <w:color w:val="000000"/>
                <w:szCs w:val="24"/>
              </w:rPr>
            </w:pPr>
            <w:r w:rsidRPr="00937FE8">
              <w:rPr>
                <w:rFonts w:cs="Calibri"/>
                <w:color w:val="000000"/>
                <w:szCs w:val="24"/>
              </w:rPr>
              <w:t>Refund Reversal Report</w:t>
            </w:r>
            <w:r w:rsidR="00CB6821">
              <w:rPr>
                <w:rFonts w:cs="Calibri"/>
                <w:color w:val="000000"/>
                <w:szCs w:val="24"/>
              </w:rPr>
              <w:t>;</w:t>
            </w:r>
            <w:r w:rsidRPr="00937FE8">
              <w:rPr>
                <w:rFonts w:cs="Calibri"/>
                <w:color w:val="000000"/>
                <w:szCs w:val="24"/>
              </w:rPr>
              <w:t xml:space="preserve"> </w:t>
            </w:r>
            <w:r w:rsidR="00CB6821">
              <w:rPr>
                <w:rFonts w:cs="Calibri"/>
                <w:color w:val="000000"/>
                <w:szCs w:val="24"/>
              </w:rPr>
              <w:t>u</w:t>
            </w:r>
            <w:r w:rsidRPr="00937FE8">
              <w:rPr>
                <w:rFonts w:cs="Calibri"/>
                <w:color w:val="000000"/>
                <w:szCs w:val="24"/>
              </w:rPr>
              <w:t>sed to reconcile daily benef</w:t>
            </w:r>
            <w:r w:rsidR="00CB6821">
              <w:rPr>
                <w:rFonts w:cs="Calibri"/>
                <w:color w:val="000000"/>
                <w:szCs w:val="24"/>
              </w:rPr>
              <w:t>it overpayment recovery deposit</w:t>
            </w:r>
          </w:p>
        </w:tc>
      </w:tr>
      <w:tr w:rsidR="008D4D2D" w:rsidRPr="000E4EAF" w14:paraId="1038FB20" w14:textId="77777777" w:rsidTr="008C223D">
        <w:trPr>
          <w:trHeight w:val="300"/>
        </w:trPr>
        <w:tc>
          <w:tcPr>
            <w:tcW w:w="697" w:type="dxa"/>
            <w:noWrap/>
            <w:vAlign w:val="center"/>
            <w:hideMark/>
          </w:tcPr>
          <w:p w14:paraId="7B2EB550"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4</w:t>
            </w:r>
          </w:p>
        </w:tc>
        <w:tc>
          <w:tcPr>
            <w:tcW w:w="1661" w:type="dxa"/>
            <w:noWrap/>
            <w:vAlign w:val="center"/>
          </w:tcPr>
          <w:p w14:paraId="49EEA5FD" w14:textId="3E1E496C" w:rsidR="008D4D2D" w:rsidRPr="00937FE8" w:rsidRDefault="008D4D2D" w:rsidP="008D4D2D">
            <w:pPr>
              <w:spacing w:after="0"/>
              <w:ind w:left="0"/>
              <w:rPr>
                <w:rFonts w:cs="Calibri"/>
                <w:color w:val="000000"/>
                <w:szCs w:val="24"/>
              </w:rPr>
            </w:pPr>
            <w:r w:rsidRPr="00937FE8">
              <w:rPr>
                <w:rFonts w:cs="Calibri"/>
                <w:color w:val="000000"/>
                <w:szCs w:val="24"/>
              </w:rPr>
              <w:t>Daily</w:t>
            </w:r>
          </w:p>
        </w:tc>
        <w:tc>
          <w:tcPr>
            <w:tcW w:w="1759" w:type="dxa"/>
            <w:noWrap/>
            <w:vAlign w:val="center"/>
          </w:tcPr>
          <w:p w14:paraId="6362B25A" w14:textId="2AF39019" w:rsidR="008D4D2D" w:rsidRPr="00937FE8" w:rsidRDefault="008D4D2D" w:rsidP="008D4D2D">
            <w:pPr>
              <w:spacing w:after="0"/>
              <w:ind w:left="0"/>
              <w:rPr>
                <w:rFonts w:cs="Calibri"/>
                <w:color w:val="000000"/>
                <w:szCs w:val="24"/>
              </w:rPr>
            </w:pPr>
            <w:r w:rsidRPr="00937FE8">
              <w:rPr>
                <w:rFonts w:cs="Calibri"/>
                <w:color w:val="000000"/>
                <w:szCs w:val="24"/>
              </w:rPr>
              <w:t>BNDO355F</w:t>
            </w:r>
          </w:p>
        </w:tc>
        <w:tc>
          <w:tcPr>
            <w:tcW w:w="7185" w:type="dxa"/>
            <w:vAlign w:val="center"/>
          </w:tcPr>
          <w:p w14:paraId="5C60FF8F" w14:textId="1DC3A2AE" w:rsidR="008D4D2D" w:rsidRPr="00937FE8" w:rsidRDefault="008D4D2D" w:rsidP="008D4D2D">
            <w:pPr>
              <w:spacing w:after="0"/>
              <w:ind w:left="0"/>
              <w:rPr>
                <w:rFonts w:cs="Calibri"/>
                <w:color w:val="000000"/>
                <w:szCs w:val="24"/>
              </w:rPr>
            </w:pPr>
            <w:r w:rsidRPr="00937FE8">
              <w:rPr>
                <w:rFonts w:cs="Calibri"/>
                <w:color w:val="000000"/>
                <w:szCs w:val="24"/>
              </w:rPr>
              <w:t>Letters for IRORA &amp; AG Payments</w:t>
            </w:r>
            <w:r w:rsidR="00CB6821">
              <w:rPr>
                <w:rFonts w:cs="Calibri"/>
                <w:color w:val="000000"/>
                <w:szCs w:val="24"/>
              </w:rPr>
              <w:t>;</w:t>
            </w:r>
            <w:r w:rsidRPr="00937FE8">
              <w:rPr>
                <w:rFonts w:cs="Calibri"/>
                <w:color w:val="000000"/>
                <w:szCs w:val="24"/>
              </w:rPr>
              <w:t xml:space="preserve"> </w:t>
            </w:r>
            <w:r w:rsidR="00CB6821">
              <w:rPr>
                <w:rFonts w:cs="Calibri"/>
                <w:color w:val="000000"/>
                <w:szCs w:val="24"/>
              </w:rPr>
              <w:t>t</w:t>
            </w:r>
            <w:r w:rsidRPr="00937FE8">
              <w:rPr>
                <w:rFonts w:cs="Calibri"/>
                <w:color w:val="000000"/>
                <w:szCs w:val="24"/>
              </w:rPr>
              <w:t>o match to warrants.</w:t>
            </w:r>
          </w:p>
        </w:tc>
      </w:tr>
      <w:tr w:rsidR="008D4D2D" w:rsidRPr="000E4EAF" w14:paraId="23210D82" w14:textId="77777777" w:rsidTr="008C223D">
        <w:trPr>
          <w:trHeight w:val="300"/>
        </w:trPr>
        <w:tc>
          <w:tcPr>
            <w:tcW w:w="697" w:type="dxa"/>
            <w:noWrap/>
            <w:vAlign w:val="center"/>
            <w:hideMark/>
          </w:tcPr>
          <w:p w14:paraId="7506BCDC"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5</w:t>
            </w:r>
          </w:p>
        </w:tc>
        <w:tc>
          <w:tcPr>
            <w:tcW w:w="1661" w:type="dxa"/>
            <w:noWrap/>
            <w:vAlign w:val="center"/>
          </w:tcPr>
          <w:p w14:paraId="1E8833A4" w14:textId="5F8D4BD7" w:rsidR="008D4D2D" w:rsidRPr="00937FE8" w:rsidRDefault="008D4D2D" w:rsidP="008D4D2D">
            <w:pPr>
              <w:spacing w:after="0"/>
              <w:ind w:left="0"/>
              <w:rPr>
                <w:rFonts w:cs="Calibri"/>
                <w:color w:val="000000"/>
                <w:szCs w:val="24"/>
              </w:rPr>
            </w:pPr>
            <w:r w:rsidRPr="00937FE8">
              <w:rPr>
                <w:rFonts w:cs="Calibri"/>
                <w:color w:val="000000"/>
                <w:szCs w:val="24"/>
              </w:rPr>
              <w:t>Daily</w:t>
            </w:r>
          </w:p>
        </w:tc>
        <w:tc>
          <w:tcPr>
            <w:tcW w:w="1759" w:type="dxa"/>
            <w:noWrap/>
            <w:vAlign w:val="center"/>
          </w:tcPr>
          <w:p w14:paraId="6A31EDD2" w14:textId="4AA34F72" w:rsidR="008D4D2D" w:rsidRPr="00937FE8" w:rsidRDefault="008D4D2D" w:rsidP="008D4D2D">
            <w:pPr>
              <w:spacing w:after="0"/>
              <w:ind w:left="0"/>
              <w:rPr>
                <w:rFonts w:cs="Calibri"/>
                <w:color w:val="000000"/>
                <w:szCs w:val="24"/>
              </w:rPr>
            </w:pPr>
            <w:r w:rsidRPr="00937FE8">
              <w:rPr>
                <w:rFonts w:cs="Calibri"/>
                <w:color w:val="000000"/>
                <w:szCs w:val="24"/>
              </w:rPr>
              <w:t>BNDO432P</w:t>
            </w:r>
          </w:p>
        </w:tc>
        <w:tc>
          <w:tcPr>
            <w:tcW w:w="7185" w:type="dxa"/>
            <w:vAlign w:val="center"/>
          </w:tcPr>
          <w:p w14:paraId="187D89ED" w14:textId="381D8B0D" w:rsidR="008D4D2D" w:rsidRPr="00937FE8" w:rsidRDefault="008D4D2D" w:rsidP="008D4D2D">
            <w:pPr>
              <w:spacing w:after="0"/>
              <w:ind w:left="0"/>
              <w:rPr>
                <w:rFonts w:cs="Calibri"/>
                <w:color w:val="000000"/>
                <w:szCs w:val="24"/>
              </w:rPr>
            </w:pPr>
            <w:r w:rsidRPr="00937FE8">
              <w:rPr>
                <w:rFonts w:cs="Calibri"/>
                <w:color w:val="000000"/>
                <w:szCs w:val="24"/>
              </w:rPr>
              <w:t>Check/Payment Register</w:t>
            </w:r>
            <w:r w:rsidR="00CB6821">
              <w:rPr>
                <w:rFonts w:cs="Calibri"/>
                <w:color w:val="000000"/>
                <w:szCs w:val="24"/>
              </w:rPr>
              <w:t>; u</w:t>
            </w:r>
            <w:r w:rsidRPr="00937FE8">
              <w:rPr>
                <w:rFonts w:cs="Calibri"/>
                <w:color w:val="000000"/>
                <w:szCs w:val="24"/>
              </w:rPr>
              <w:t>sed to reconcile daily benef</w:t>
            </w:r>
            <w:r w:rsidR="00CB6821">
              <w:rPr>
                <w:rFonts w:cs="Calibri"/>
                <w:color w:val="000000"/>
                <w:szCs w:val="24"/>
              </w:rPr>
              <w:t>it overpayment recovery deposit</w:t>
            </w:r>
          </w:p>
        </w:tc>
      </w:tr>
      <w:tr w:rsidR="008D4D2D" w:rsidRPr="000E4EAF" w14:paraId="05988DB2" w14:textId="77777777" w:rsidTr="008C223D">
        <w:trPr>
          <w:trHeight w:val="300"/>
        </w:trPr>
        <w:tc>
          <w:tcPr>
            <w:tcW w:w="697" w:type="dxa"/>
            <w:noWrap/>
            <w:vAlign w:val="center"/>
            <w:hideMark/>
          </w:tcPr>
          <w:p w14:paraId="461007D9"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6</w:t>
            </w:r>
          </w:p>
        </w:tc>
        <w:tc>
          <w:tcPr>
            <w:tcW w:w="1661" w:type="dxa"/>
            <w:noWrap/>
            <w:vAlign w:val="center"/>
          </w:tcPr>
          <w:p w14:paraId="7009DE94" w14:textId="03DF7F13" w:rsidR="008D4D2D" w:rsidRPr="00937FE8" w:rsidRDefault="008D4D2D" w:rsidP="008D4D2D">
            <w:pPr>
              <w:spacing w:after="0"/>
              <w:ind w:left="0"/>
              <w:rPr>
                <w:rFonts w:cs="Calibri"/>
                <w:color w:val="000000"/>
                <w:szCs w:val="24"/>
              </w:rPr>
            </w:pPr>
            <w:r w:rsidRPr="00937FE8">
              <w:rPr>
                <w:rFonts w:cs="Calibri"/>
                <w:color w:val="000000"/>
                <w:szCs w:val="24"/>
              </w:rPr>
              <w:t>Daily</w:t>
            </w:r>
          </w:p>
        </w:tc>
        <w:tc>
          <w:tcPr>
            <w:tcW w:w="1759" w:type="dxa"/>
            <w:noWrap/>
            <w:vAlign w:val="center"/>
          </w:tcPr>
          <w:p w14:paraId="45ACD04C" w14:textId="301A9C59" w:rsidR="008D4D2D" w:rsidRPr="00937FE8" w:rsidRDefault="008D4D2D" w:rsidP="008D4D2D">
            <w:pPr>
              <w:spacing w:after="0"/>
              <w:ind w:left="0"/>
              <w:rPr>
                <w:rFonts w:cs="Calibri"/>
                <w:color w:val="000000"/>
                <w:szCs w:val="24"/>
              </w:rPr>
            </w:pPr>
            <w:r w:rsidRPr="00937FE8">
              <w:rPr>
                <w:rFonts w:cs="Calibri"/>
                <w:color w:val="000000"/>
                <w:szCs w:val="24"/>
              </w:rPr>
              <w:t>BNDO455P</w:t>
            </w:r>
          </w:p>
        </w:tc>
        <w:tc>
          <w:tcPr>
            <w:tcW w:w="7185" w:type="dxa"/>
            <w:vAlign w:val="center"/>
          </w:tcPr>
          <w:p w14:paraId="11BFC941" w14:textId="1E40DE16" w:rsidR="008D4D2D" w:rsidRPr="00937FE8" w:rsidRDefault="008D4D2D" w:rsidP="008D4D2D">
            <w:pPr>
              <w:spacing w:after="0"/>
              <w:ind w:left="0"/>
              <w:rPr>
                <w:rFonts w:cs="Calibri"/>
                <w:color w:val="000000"/>
                <w:szCs w:val="24"/>
              </w:rPr>
            </w:pPr>
            <w:r w:rsidRPr="00937FE8">
              <w:rPr>
                <w:rFonts w:cs="Calibri"/>
                <w:color w:val="000000"/>
                <w:szCs w:val="24"/>
              </w:rPr>
              <w:t>Cash Refund Detail</w:t>
            </w:r>
            <w:r w:rsidR="00CB6821">
              <w:rPr>
                <w:rFonts w:cs="Calibri"/>
                <w:color w:val="000000"/>
                <w:szCs w:val="24"/>
              </w:rPr>
              <w:t>; d</w:t>
            </w:r>
            <w:r w:rsidRPr="00937FE8">
              <w:rPr>
                <w:rFonts w:cs="Calibri"/>
                <w:color w:val="000000"/>
                <w:szCs w:val="24"/>
              </w:rPr>
              <w:t>aily Ledger of OP Recoveries used to make adjustments in</w:t>
            </w:r>
            <w:r w:rsidR="00CB6821">
              <w:rPr>
                <w:rFonts w:cs="Calibri"/>
                <w:color w:val="000000"/>
                <w:szCs w:val="24"/>
              </w:rPr>
              <w:t xml:space="preserve"> mainframe</w:t>
            </w:r>
          </w:p>
        </w:tc>
      </w:tr>
      <w:tr w:rsidR="008D4D2D" w:rsidRPr="000E4EAF" w14:paraId="32B07FD4" w14:textId="77777777" w:rsidTr="008C223D">
        <w:trPr>
          <w:trHeight w:val="300"/>
        </w:trPr>
        <w:tc>
          <w:tcPr>
            <w:tcW w:w="697" w:type="dxa"/>
            <w:noWrap/>
            <w:vAlign w:val="center"/>
            <w:hideMark/>
          </w:tcPr>
          <w:p w14:paraId="4880994A"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7</w:t>
            </w:r>
          </w:p>
        </w:tc>
        <w:tc>
          <w:tcPr>
            <w:tcW w:w="1661" w:type="dxa"/>
            <w:noWrap/>
            <w:vAlign w:val="center"/>
          </w:tcPr>
          <w:p w14:paraId="08858B7F" w14:textId="22C4CCCF" w:rsidR="008D4D2D" w:rsidRPr="00937FE8" w:rsidRDefault="008D4D2D" w:rsidP="008D4D2D">
            <w:pPr>
              <w:spacing w:after="0"/>
              <w:ind w:left="0"/>
              <w:rPr>
                <w:rFonts w:cs="Calibri"/>
                <w:color w:val="000000"/>
                <w:szCs w:val="24"/>
              </w:rPr>
            </w:pPr>
            <w:r w:rsidRPr="00937FE8">
              <w:rPr>
                <w:rFonts w:cs="Calibri"/>
                <w:color w:val="000000"/>
                <w:szCs w:val="24"/>
              </w:rPr>
              <w:t>Daily</w:t>
            </w:r>
          </w:p>
        </w:tc>
        <w:tc>
          <w:tcPr>
            <w:tcW w:w="1759" w:type="dxa"/>
            <w:noWrap/>
            <w:vAlign w:val="center"/>
          </w:tcPr>
          <w:p w14:paraId="064531ED" w14:textId="72F1DCFD" w:rsidR="008D4D2D" w:rsidRPr="00937FE8" w:rsidRDefault="008D4D2D" w:rsidP="008D4D2D">
            <w:pPr>
              <w:spacing w:after="0"/>
              <w:ind w:left="0"/>
              <w:rPr>
                <w:rFonts w:cs="Calibri"/>
                <w:color w:val="000000"/>
                <w:szCs w:val="24"/>
              </w:rPr>
            </w:pPr>
            <w:r w:rsidRPr="00937FE8">
              <w:rPr>
                <w:rFonts w:cs="Calibri"/>
                <w:color w:val="000000"/>
                <w:szCs w:val="24"/>
              </w:rPr>
              <w:t>BNDO457P</w:t>
            </w:r>
          </w:p>
        </w:tc>
        <w:tc>
          <w:tcPr>
            <w:tcW w:w="7185" w:type="dxa"/>
            <w:vAlign w:val="center"/>
          </w:tcPr>
          <w:p w14:paraId="2798F9B6" w14:textId="24993300" w:rsidR="008D4D2D" w:rsidRPr="00937FE8" w:rsidRDefault="008D4D2D" w:rsidP="008D4D2D">
            <w:pPr>
              <w:spacing w:after="0"/>
              <w:ind w:left="0"/>
              <w:rPr>
                <w:rFonts w:cs="Calibri"/>
                <w:color w:val="000000"/>
                <w:szCs w:val="24"/>
              </w:rPr>
            </w:pPr>
            <w:r w:rsidRPr="00937FE8">
              <w:rPr>
                <w:rFonts w:cs="Calibri"/>
                <w:color w:val="000000"/>
                <w:szCs w:val="24"/>
              </w:rPr>
              <w:t xml:space="preserve">Cash Refund </w:t>
            </w:r>
            <w:r w:rsidR="00CB6821" w:rsidRPr="00937FE8">
              <w:rPr>
                <w:rFonts w:cs="Calibri"/>
                <w:color w:val="000000"/>
                <w:szCs w:val="24"/>
              </w:rPr>
              <w:t>Detail</w:t>
            </w:r>
            <w:r w:rsidR="00CB6821">
              <w:rPr>
                <w:rFonts w:cs="Calibri"/>
                <w:color w:val="000000"/>
                <w:szCs w:val="24"/>
              </w:rPr>
              <w:t>; d</w:t>
            </w:r>
            <w:r w:rsidR="00CB6821" w:rsidRPr="00937FE8">
              <w:rPr>
                <w:rFonts w:cs="Calibri"/>
                <w:color w:val="000000"/>
                <w:szCs w:val="24"/>
              </w:rPr>
              <w:t xml:space="preserve">aily </w:t>
            </w:r>
            <w:r w:rsidRPr="00937FE8">
              <w:rPr>
                <w:rFonts w:cs="Calibri"/>
                <w:color w:val="000000"/>
                <w:szCs w:val="24"/>
              </w:rPr>
              <w:t>Ledger of OP Recoveries used t</w:t>
            </w:r>
            <w:r w:rsidR="00CB6821">
              <w:rPr>
                <w:rFonts w:cs="Calibri"/>
                <w:color w:val="000000"/>
                <w:szCs w:val="24"/>
              </w:rPr>
              <w:t>o make adjustments in mainframe</w:t>
            </w:r>
          </w:p>
        </w:tc>
      </w:tr>
      <w:tr w:rsidR="008D4D2D" w:rsidRPr="000E4EAF" w14:paraId="2B1FD3F3" w14:textId="77777777" w:rsidTr="008C223D">
        <w:trPr>
          <w:trHeight w:val="300"/>
        </w:trPr>
        <w:tc>
          <w:tcPr>
            <w:tcW w:w="697" w:type="dxa"/>
            <w:noWrap/>
            <w:vAlign w:val="center"/>
            <w:hideMark/>
          </w:tcPr>
          <w:p w14:paraId="3824B125"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8</w:t>
            </w:r>
          </w:p>
        </w:tc>
        <w:tc>
          <w:tcPr>
            <w:tcW w:w="1661" w:type="dxa"/>
            <w:noWrap/>
            <w:vAlign w:val="center"/>
          </w:tcPr>
          <w:p w14:paraId="72ACBD11" w14:textId="7E532BA4" w:rsidR="008D4D2D" w:rsidRPr="00937FE8" w:rsidRDefault="008D4D2D" w:rsidP="008D4D2D">
            <w:pPr>
              <w:spacing w:after="0"/>
              <w:ind w:left="0"/>
              <w:rPr>
                <w:rFonts w:cs="Calibri"/>
                <w:color w:val="000000"/>
                <w:szCs w:val="24"/>
              </w:rPr>
            </w:pPr>
            <w:r w:rsidRPr="00937FE8">
              <w:rPr>
                <w:rFonts w:cs="Calibri"/>
                <w:color w:val="000000"/>
                <w:szCs w:val="24"/>
              </w:rPr>
              <w:t>Daily</w:t>
            </w:r>
          </w:p>
        </w:tc>
        <w:tc>
          <w:tcPr>
            <w:tcW w:w="1759" w:type="dxa"/>
            <w:noWrap/>
            <w:vAlign w:val="center"/>
          </w:tcPr>
          <w:p w14:paraId="67DE3334" w14:textId="57BE315B" w:rsidR="008D4D2D" w:rsidRPr="00937FE8" w:rsidRDefault="008D4D2D" w:rsidP="008D4D2D">
            <w:pPr>
              <w:spacing w:after="0"/>
              <w:ind w:left="0"/>
              <w:rPr>
                <w:rFonts w:cs="Calibri"/>
                <w:color w:val="000000"/>
                <w:szCs w:val="24"/>
              </w:rPr>
            </w:pPr>
            <w:r w:rsidRPr="00937FE8">
              <w:rPr>
                <w:rFonts w:cs="Calibri"/>
                <w:color w:val="000000"/>
                <w:szCs w:val="24"/>
              </w:rPr>
              <w:t>BNDO458P</w:t>
            </w:r>
          </w:p>
        </w:tc>
        <w:tc>
          <w:tcPr>
            <w:tcW w:w="7185" w:type="dxa"/>
            <w:vAlign w:val="center"/>
          </w:tcPr>
          <w:p w14:paraId="525F3FCF" w14:textId="3D669E43" w:rsidR="008D4D2D" w:rsidRPr="00937FE8" w:rsidRDefault="008D4D2D" w:rsidP="008D4D2D">
            <w:pPr>
              <w:spacing w:after="0"/>
              <w:ind w:left="0"/>
              <w:rPr>
                <w:rFonts w:cs="Calibri"/>
                <w:color w:val="000000"/>
                <w:szCs w:val="24"/>
              </w:rPr>
            </w:pPr>
            <w:r w:rsidRPr="00937FE8">
              <w:rPr>
                <w:rFonts w:cs="Calibri"/>
                <w:color w:val="000000"/>
                <w:szCs w:val="24"/>
              </w:rPr>
              <w:t xml:space="preserve">Cash Refund </w:t>
            </w:r>
            <w:r w:rsidR="00CB6821" w:rsidRPr="00937FE8">
              <w:rPr>
                <w:rFonts w:cs="Calibri"/>
                <w:color w:val="000000"/>
                <w:szCs w:val="24"/>
              </w:rPr>
              <w:t>Detail</w:t>
            </w:r>
            <w:r w:rsidR="00CB6821">
              <w:rPr>
                <w:rFonts w:cs="Calibri"/>
                <w:color w:val="000000"/>
                <w:szCs w:val="24"/>
              </w:rPr>
              <w:t>; d</w:t>
            </w:r>
            <w:r w:rsidR="00CB6821" w:rsidRPr="00937FE8">
              <w:rPr>
                <w:rFonts w:cs="Calibri"/>
                <w:color w:val="000000"/>
                <w:szCs w:val="24"/>
              </w:rPr>
              <w:t xml:space="preserve">aily </w:t>
            </w:r>
            <w:r w:rsidRPr="00937FE8">
              <w:rPr>
                <w:rFonts w:cs="Calibri"/>
                <w:color w:val="000000"/>
                <w:szCs w:val="24"/>
              </w:rPr>
              <w:t>Ledger of OP Recoveries used to make adjustments in mainframe.</w:t>
            </w:r>
          </w:p>
        </w:tc>
      </w:tr>
      <w:tr w:rsidR="008D4D2D" w:rsidRPr="000E4EAF" w14:paraId="2086670E" w14:textId="77777777" w:rsidTr="008C223D">
        <w:trPr>
          <w:trHeight w:val="300"/>
        </w:trPr>
        <w:tc>
          <w:tcPr>
            <w:tcW w:w="697" w:type="dxa"/>
            <w:noWrap/>
            <w:vAlign w:val="center"/>
            <w:hideMark/>
          </w:tcPr>
          <w:p w14:paraId="7F12CC64"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9</w:t>
            </w:r>
          </w:p>
        </w:tc>
        <w:tc>
          <w:tcPr>
            <w:tcW w:w="1661" w:type="dxa"/>
            <w:noWrap/>
            <w:vAlign w:val="center"/>
          </w:tcPr>
          <w:p w14:paraId="0F382499" w14:textId="41A637FC" w:rsidR="008D4D2D" w:rsidRPr="00937FE8" w:rsidRDefault="008D4D2D" w:rsidP="008D4D2D">
            <w:pPr>
              <w:spacing w:after="0"/>
              <w:ind w:left="0"/>
              <w:rPr>
                <w:rFonts w:cs="Calibri"/>
                <w:color w:val="000000"/>
                <w:szCs w:val="24"/>
              </w:rPr>
            </w:pPr>
            <w:r w:rsidRPr="00937FE8">
              <w:rPr>
                <w:rFonts w:cs="Calibri"/>
                <w:color w:val="000000"/>
                <w:szCs w:val="24"/>
              </w:rPr>
              <w:t>Daily</w:t>
            </w:r>
          </w:p>
        </w:tc>
        <w:tc>
          <w:tcPr>
            <w:tcW w:w="1759" w:type="dxa"/>
            <w:noWrap/>
            <w:vAlign w:val="center"/>
          </w:tcPr>
          <w:p w14:paraId="77E0B641" w14:textId="20BE85A8" w:rsidR="008D4D2D" w:rsidRPr="00937FE8" w:rsidRDefault="008D4D2D" w:rsidP="008D4D2D">
            <w:pPr>
              <w:spacing w:after="0"/>
              <w:ind w:left="0"/>
              <w:rPr>
                <w:rFonts w:cs="Calibri"/>
                <w:color w:val="000000"/>
                <w:szCs w:val="24"/>
              </w:rPr>
            </w:pPr>
            <w:r w:rsidRPr="00937FE8">
              <w:rPr>
                <w:rFonts w:cs="Calibri"/>
                <w:color w:val="000000"/>
                <w:szCs w:val="24"/>
              </w:rPr>
              <w:t>BNDO470P</w:t>
            </w:r>
          </w:p>
        </w:tc>
        <w:tc>
          <w:tcPr>
            <w:tcW w:w="7185" w:type="dxa"/>
            <w:vAlign w:val="center"/>
          </w:tcPr>
          <w:p w14:paraId="02BCD00E" w14:textId="216FD089" w:rsidR="008D4D2D" w:rsidRPr="00937FE8" w:rsidRDefault="008D4D2D" w:rsidP="008D4D2D">
            <w:pPr>
              <w:spacing w:after="0"/>
              <w:ind w:left="0"/>
              <w:rPr>
                <w:rFonts w:cs="Calibri"/>
                <w:color w:val="000000"/>
                <w:szCs w:val="24"/>
              </w:rPr>
            </w:pPr>
            <w:r w:rsidRPr="00937FE8">
              <w:rPr>
                <w:rFonts w:cs="Calibri"/>
                <w:color w:val="000000"/>
                <w:szCs w:val="24"/>
              </w:rPr>
              <w:t xml:space="preserve">Cash Refund </w:t>
            </w:r>
            <w:r w:rsidR="00CB6821" w:rsidRPr="00937FE8">
              <w:rPr>
                <w:rFonts w:cs="Calibri"/>
                <w:color w:val="000000"/>
                <w:szCs w:val="24"/>
              </w:rPr>
              <w:t>Detail</w:t>
            </w:r>
            <w:r w:rsidR="00CB6821">
              <w:rPr>
                <w:rFonts w:cs="Calibri"/>
                <w:color w:val="000000"/>
                <w:szCs w:val="24"/>
              </w:rPr>
              <w:t>; d</w:t>
            </w:r>
            <w:r w:rsidR="00CB6821" w:rsidRPr="00937FE8">
              <w:rPr>
                <w:rFonts w:cs="Calibri"/>
                <w:color w:val="000000"/>
                <w:szCs w:val="24"/>
              </w:rPr>
              <w:t xml:space="preserve">aily </w:t>
            </w:r>
            <w:r w:rsidRPr="00937FE8">
              <w:rPr>
                <w:rFonts w:cs="Calibri"/>
                <w:color w:val="000000"/>
                <w:szCs w:val="24"/>
              </w:rPr>
              <w:t>Ledger of OP Recoveries used t</w:t>
            </w:r>
            <w:r w:rsidR="00CB6821">
              <w:rPr>
                <w:rFonts w:cs="Calibri"/>
                <w:color w:val="000000"/>
                <w:szCs w:val="24"/>
              </w:rPr>
              <w:t>o make adjustments in mainframe</w:t>
            </w:r>
          </w:p>
        </w:tc>
      </w:tr>
      <w:tr w:rsidR="008D4D2D" w:rsidRPr="000E4EAF" w14:paraId="2C0A2B78" w14:textId="77777777" w:rsidTr="008C223D">
        <w:trPr>
          <w:trHeight w:val="300"/>
        </w:trPr>
        <w:tc>
          <w:tcPr>
            <w:tcW w:w="697" w:type="dxa"/>
            <w:noWrap/>
            <w:vAlign w:val="center"/>
            <w:hideMark/>
          </w:tcPr>
          <w:p w14:paraId="5F2C3FE1"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10</w:t>
            </w:r>
          </w:p>
        </w:tc>
        <w:tc>
          <w:tcPr>
            <w:tcW w:w="1661" w:type="dxa"/>
            <w:noWrap/>
            <w:vAlign w:val="center"/>
          </w:tcPr>
          <w:p w14:paraId="3F9B89A2" w14:textId="3214E0F1" w:rsidR="008D4D2D" w:rsidRPr="00937FE8" w:rsidRDefault="008D4D2D" w:rsidP="008D4D2D">
            <w:pPr>
              <w:spacing w:after="0"/>
              <w:ind w:left="0"/>
              <w:rPr>
                <w:rFonts w:cs="Calibri"/>
                <w:color w:val="000000"/>
                <w:szCs w:val="24"/>
              </w:rPr>
            </w:pPr>
            <w:r w:rsidRPr="00937FE8">
              <w:rPr>
                <w:rFonts w:cs="Calibri"/>
                <w:color w:val="000000"/>
                <w:szCs w:val="24"/>
              </w:rPr>
              <w:t>Daily</w:t>
            </w:r>
          </w:p>
        </w:tc>
        <w:tc>
          <w:tcPr>
            <w:tcW w:w="1759" w:type="dxa"/>
            <w:noWrap/>
            <w:vAlign w:val="center"/>
          </w:tcPr>
          <w:p w14:paraId="4CFBDF19" w14:textId="66063AD7" w:rsidR="008D4D2D" w:rsidRPr="00937FE8" w:rsidRDefault="008D4D2D" w:rsidP="008D4D2D">
            <w:pPr>
              <w:spacing w:after="0"/>
              <w:ind w:left="0"/>
              <w:rPr>
                <w:rFonts w:cs="Calibri"/>
                <w:color w:val="000000"/>
                <w:szCs w:val="24"/>
              </w:rPr>
            </w:pPr>
            <w:r w:rsidRPr="00937FE8">
              <w:rPr>
                <w:rFonts w:cs="Calibri"/>
                <w:color w:val="000000"/>
                <w:szCs w:val="24"/>
              </w:rPr>
              <w:t>BNDO554P</w:t>
            </w:r>
          </w:p>
        </w:tc>
        <w:tc>
          <w:tcPr>
            <w:tcW w:w="7185" w:type="dxa"/>
            <w:vAlign w:val="center"/>
          </w:tcPr>
          <w:p w14:paraId="75AA945A" w14:textId="164E0FC2" w:rsidR="008D4D2D" w:rsidRPr="00937FE8" w:rsidRDefault="008D4D2D" w:rsidP="008D4D2D">
            <w:pPr>
              <w:spacing w:after="0"/>
              <w:ind w:left="0"/>
              <w:rPr>
                <w:rFonts w:cs="Calibri"/>
                <w:color w:val="000000"/>
                <w:szCs w:val="24"/>
              </w:rPr>
            </w:pPr>
            <w:r w:rsidRPr="00937FE8">
              <w:rPr>
                <w:rFonts w:cs="Calibri"/>
                <w:color w:val="000000"/>
                <w:szCs w:val="24"/>
              </w:rPr>
              <w:t xml:space="preserve">Cash Refund </w:t>
            </w:r>
            <w:r w:rsidR="00CB6821" w:rsidRPr="00937FE8">
              <w:rPr>
                <w:rFonts w:cs="Calibri"/>
                <w:color w:val="000000"/>
                <w:szCs w:val="24"/>
              </w:rPr>
              <w:t>Detail</w:t>
            </w:r>
            <w:r w:rsidR="00CB6821">
              <w:rPr>
                <w:rFonts w:cs="Calibri"/>
                <w:color w:val="000000"/>
                <w:szCs w:val="24"/>
              </w:rPr>
              <w:t>; d</w:t>
            </w:r>
            <w:r w:rsidR="00CB6821" w:rsidRPr="00937FE8">
              <w:rPr>
                <w:rFonts w:cs="Calibri"/>
                <w:color w:val="000000"/>
                <w:szCs w:val="24"/>
              </w:rPr>
              <w:t xml:space="preserve">aily </w:t>
            </w:r>
            <w:r w:rsidRPr="00937FE8">
              <w:rPr>
                <w:rFonts w:cs="Calibri"/>
                <w:color w:val="000000"/>
                <w:szCs w:val="24"/>
              </w:rPr>
              <w:t>Ledger of OP Recoveries used t</w:t>
            </w:r>
            <w:r w:rsidR="00CB6821">
              <w:rPr>
                <w:rFonts w:cs="Calibri"/>
                <w:color w:val="000000"/>
                <w:szCs w:val="24"/>
              </w:rPr>
              <w:t>o make adjustments in mainframe</w:t>
            </w:r>
          </w:p>
        </w:tc>
      </w:tr>
      <w:tr w:rsidR="008D4D2D" w:rsidRPr="000E4EAF" w14:paraId="51390A10" w14:textId="77777777" w:rsidTr="008C223D">
        <w:trPr>
          <w:trHeight w:val="300"/>
        </w:trPr>
        <w:tc>
          <w:tcPr>
            <w:tcW w:w="697" w:type="dxa"/>
            <w:noWrap/>
            <w:vAlign w:val="center"/>
            <w:hideMark/>
          </w:tcPr>
          <w:p w14:paraId="1D326E4B"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11</w:t>
            </w:r>
          </w:p>
        </w:tc>
        <w:tc>
          <w:tcPr>
            <w:tcW w:w="1661" w:type="dxa"/>
            <w:noWrap/>
            <w:vAlign w:val="center"/>
          </w:tcPr>
          <w:p w14:paraId="32BDE29A" w14:textId="2824660C" w:rsidR="008D4D2D" w:rsidRPr="00937FE8" w:rsidRDefault="008D4D2D" w:rsidP="008D4D2D">
            <w:pPr>
              <w:spacing w:after="0"/>
              <w:ind w:left="0"/>
              <w:rPr>
                <w:rFonts w:cs="Calibri"/>
                <w:color w:val="000000"/>
                <w:szCs w:val="24"/>
              </w:rPr>
            </w:pPr>
            <w:r w:rsidRPr="00937FE8">
              <w:rPr>
                <w:rFonts w:cs="Calibri"/>
                <w:color w:val="000000"/>
                <w:szCs w:val="24"/>
              </w:rPr>
              <w:t>Daily</w:t>
            </w:r>
          </w:p>
        </w:tc>
        <w:tc>
          <w:tcPr>
            <w:tcW w:w="1759" w:type="dxa"/>
            <w:noWrap/>
            <w:vAlign w:val="center"/>
          </w:tcPr>
          <w:p w14:paraId="39AAFFFE" w14:textId="176BB34D" w:rsidR="008D4D2D" w:rsidRPr="00937FE8" w:rsidRDefault="008D4D2D" w:rsidP="008D4D2D">
            <w:pPr>
              <w:spacing w:after="0"/>
              <w:ind w:left="0"/>
              <w:rPr>
                <w:rFonts w:cs="Calibri"/>
                <w:color w:val="000000"/>
                <w:szCs w:val="24"/>
              </w:rPr>
            </w:pPr>
            <w:r w:rsidRPr="00937FE8">
              <w:rPr>
                <w:rFonts w:cs="Calibri"/>
                <w:color w:val="000000"/>
                <w:szCs w:val="24"/>
              </w:rPr>
              <w:t>BNDO555P</w:t>
            </w:r>
          </w:p>
        </w:tc>
        <w:tc>
          <w:tcPr>
            <w:tcW w:w="7185" w:type="dxa"/>
            <w:vAlign w:val="center"/>
          </w:tcPr>
          <w:p w14:paraId="702B8923" w14:textId="28E804DB" w:rsidR="008D4D2D" w:rsidRPr="00937FE8" w:rsidRDefault="008D4D2D" w:rsidP="008D4D2D">
            <w:pPr>
              <w:spacing w:after="0"/>
              <w:ind w:left="0"/>
              <w:rPr>
                <w:rFonts w:cs="Calibri"/>
                <w:color w:val="000000"/>
                <w:szCs w:val="24"/>
              </w:rPr>
            </w:pPr>
            <w:r w:rsidRPr="00937FE8">
              <w:rPr>
                <w:rFonts w:cs="Calibri"/>
                <w:color w:val="000000"/>
                <w:szCs w:val="24"/>
              </w:rPr>
              <w:t xml:space="preserve">Cash Refund </w:t>
            </w:r>
            <w:r w:rsidR="00CB6821" w:rsidRPr="00937FE8">
              <w:rPr>
                <w:rFonts w:cs="Calibri"/>
                <w:color w:val="000000"/>
                <w:szCs w:val="24"/>
              </w:rPr>
              <w:t>Detail</w:t>
            </w:r>
            <w:r w:rsidR="00CB6821">
              <w:rPr>
                <w:rFonts w:cs="Calibri"/>
                <w:color w:val="000000"/>
                <w:szCs w:val="24"/>
              </w:rPr>
              <w:t>; d</w:t>
            </w:r>
            <w:r w:rsidR="00CB6821" w:rsidRPr="00937FE8">
              <w:rPr>
                <w:rFonts w:cs="Calibri"/>
                <w:color w:val="000000"/>
                <w:szCs w:val="24"/>
              </w:rPr>
              <w:t xml:space="preserve">aily </w:t>
            </w:r>
            <w:r w:rsidRPr="00937FE8">
              <w:rPr>
                <w:rFonts w:cs="Calibri"/>
                <w:color w:val="000000"/>
                <w:szCs w:val="24"/>
              </w:rPr>
              <w:t>Ledger of OP Recoveries used t</w:t>
            </w:r>
            <w:r w:rsidR="00CB6821">
              <w:rPr>
                <w:rFonts w:cs="Calibri"/>
                <w:color w:val="000000"/>
                <w:szCs w:val="24"/>
              </w:rPr>
              <w:t>o make adjustments in mainframe</w:t>
            </w:r>
          </w:p>
        </w:tc>
      </w:tr>
      <w:tr w:rsidR="008D4D2D" w:rsidRPr="000E4EAF" w14:paraId="7A216F42" w14:textId="77777777" w:rsidTr="008C223D">
        <w:trPr>
          <w:trHeight w:val="300"/>
        </w:trPr>
        <w:tc>
          <w:tcPr>
            <w:tcW w:w="697" w:type="dxa"/>
            <w:noWrap/>
            <w:vAlign w:val="center"/>
            <w:hideMark/>
          </w:tcPr>
          <w:p w14:paraId="1443D584"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12</w:t>
            </w:r>
          </w:p>
        </w:tc>
        <w:tc>
          <w:tcPr>
            <w:tcW w:w="1661" w:type="dxa"/>
            <w:noWrap/>
            <w:vAlign w:val="center"/>
          </w:tcPr>
          <w:p w14:paraId="0962EA4B" w14:textId="032EB93C" w:rsidR="008D4D2D" w:rsidRPr="00937FE8" w:rsidRDefault="008D4D2D" w:rsidP="008D4D2D">
            <w:pPr>
              <w:spacing w:after="0"/>
              <w:ind w:left="0"/>
              <w:rPr>
                <w:rFonts w:cs="Calibri"/>
                <w:color w:val="000000"/>
                <w:szCs w:val="24"/>
              </w:rPr>
            </w:pPr>
            <w:r w:rsidRPr="00937FE8">
              <w:rPr>
                <w:rFonts w:cs="Calibri"/>
                <w:color w:val="000000"/>
                <w:szCs w:val="24"/>
              </w:rPr>
              <w:t>Daily</w:t>
            </w:r>
          </w:p>
        </w:tc>
        <w:tc>
          <w:tcPr>
            <w:tcW w:w="1759" w:type="dxa"/>
            <w:noWrap/>
            <w:vAlign w:val="center"/>
          </w:tcPr>
          <w:p w14:paraId="32C301B5" w14:textId="3284D62A" w:rsidR="008D4D2D" w:rsidRPr="00937FE8" w:rsidRDefault="008D4D2D" w:rsidP="008D4D2D">
            <w:pPr>
              <w:spacing w:after="0"/>
              <w:ind w:left="0"/>
              <w:rPr>
                <w:rFonts w:cs="Calibri"/>
                <w:color w:val="000000"/>
                <w:szCs w:val="24"/>
              </w:rPr>
            </w:pPr>
            <w:r w:rsidRPr="00937FE8">
              <w:rPr>
                <w:rFonts w:cs="Calibri"/>
                <w:color w:val="000000"/>
                <w:szCs w:val="24"/>
              </w:rPr>
              <w:t>BNDO558P</w:t>
            </w:r>
          </w:p>
        </w:tc>
        <w:tc>
          <w:tcPr>
            <w:tcW w:w="7185" w:type="dxa"/>
            <w:vAlign w:val="center"/>
          </w:tcPr>
          <w:p w14:paraId="7E255B03" w14:textId="4D68946E" w:rsidR="008D4D2D" w:rsidRPr="00937FE8" w:rsidRDefault="008D4D2D" w:rsidP="008D4D2D">
            <w:pPr>
              <w:spacing w:after="0"/>
              <w:ind w:left="0"/>
              <w:rPr>
                <w:rFonts w:cs="Calibri"/>
                <w:color w:val="000000"/>
                <w:szCs w:val="24"/>
              </w:rPr>
            </w:pPr>
            <w:r w:rsidRPr="00937FE8">
              <w:rPr>
                <w:rFonts w:cs="Calibri"/>
                <w:color w:val="000000"/>
                <w:szCs w:val="24"/>
              </w:rPr>
              <w:t xml:space="preserve">Cash Refund </w:t>
            </w:r>
            <w:r w:rsidR="00CB6821" w:rsidRPr="00937FE8">
              <w:rPr>
                <w:rFonts w:cs="Calibri"/>
                <w:color w:val="000000"/>
                <w:szCs w:val="24"/>
              </w:rPr>
              <w:t>Detail</w:t>
            </w:r>
            <w:r w:rsidR="00CB6821">
              <w:rPr>
                <w:rFonts w:cs="Calibri"/>
                <w:color w:val="000000"/>
                <w:szCs w:val="24"/>
              </w:rPr>
              <w:t>; d</w:t>
            </w:r>
            <w:r w:rsidR="00CB6821" w:rsidRPr="00937FE8">
              <w:rPr>
                <w:rFonts w:cs="Calibri"/>
                <w:color w:val="000000"/>
                <w:szCs w:val="24"/>
              </w:rPr>
              <w:t xml:space="preserve">aily </w:t>
            </w:r>
            <w:r w:rsidRPr="00937FE8">
              <w:rPr>
                <w:rFonts w:cs="Calibri"/>
                <w:color w:val="000000"/>
                <w:szCs w:val="24"/>
              </w:rPr>
              <w:t>Ledger of OP Recoveries used t</w:t>
            </w:r>
            <w:r w:rsidR="00CB6821">
              <w:rPr>
                <w:rFonts w:cs="Calibri"/>
                <w:color w:val="000000"/>
                <w:szCs w:val="24"/>
              </w:rPr>
              <w:t>o make adjustments in mainframe</w:t>
            </w:r>
          </w:p>
        </w:tc>
      </w:tr>
      <w:tr w:rsidR="008D4D2D" w:rsidRPr="000E4EAF" w14:paraId="46C7D7AA" w14:textId="77777777" w:rsidTr="008C223D">
        <w:trPr>
          <w:trHeight w:val="300"/>
        </w:trPr>
        <w:tc>
          <w:tcPr>
            <w:tcW w:w="697" w:type="dxa"/>
            <w:noWrap/>
            <w:vAlign w:val="center"/>
            <w:hideMark/>
          </w:tcPr>
          <w:p w14:paraId="6FB629D7"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13</w:t>
            </w:r>
          </w:p>
        </w:tc>
        <w:tc>
          <w:tcPr>
            <w:tcW w:w="1661" w:type="dxa"/>
            <w:noWrap/>
            <w:vAlign w:val="center"/>
          </w:tcPr>
          <w:p w14:paraId="3A70087A" w14:textId="2D463059" w:rsidR="008D4D2D" w:rsidRPr="00937FE8" w:rsidRDefault="008D4D2D" w:rsidP="008D4D2D">
            <w:pPr>
              <w:spacing w:after="0"/>
              <w:ind w:left="0"/>
              <w:rPr>
                <w:rFonts w:cs="Calibri"/>
                <w:color w:val="000000"/>
                <w:szCs w:val="24"/>
              </w:rPr>
            </w:pPr>
            <w:r w:rsidRPr="00937FE8">
              <w:rPr>
                <w:rFonts w:cs="Calibri"/>
                <w:color w:val="000000"/>
                <w:szCs w:val="24"/>
              </w:rPr>
              <w:t>Daily</w:t>
            </w:r>
          </w:p>
        </w:tc>
        <w:tc>
          <w:tcPr>
            <w:tcW w:w="1759" w:type="dxa"/>
            <w:noWrap/>
            <w:vAlign w:val="center"/>
          </w:tcPr>
          <w:p w14:paraId="77021565" w14:textId="78B987AB" w:rsidR="008D4D2D" w:rsidRPr="00937FE8" w:rsidRDefault="008D4D2D" w:rsidP="008D4D2D">
            <w:pPr>
              <w:spacing w:after="0"/>
              <w:ind w:left="0"/>
              <w:rPr>
                <w:rFonts w:cs="Calibri"/>
                <w:color w:val="000000"/>
                <w:szCs w:val="24"/>
              </w:rPr>
            </w:pPr>
            <w:r w:rsidRPr="00937FE8">
              <w:rPr>
                <w:rFonts w:cs="Calibri"/>
                <w:color w:val="000000"/>
                <w:szCs w:val="24"/>
              </w:rPr>
              <w:t>BNDO650P</w:t>
            </w:r>
          </w:p>
        </w:tc>
        <w:tc>
          <w:tcPr>
            <w:tcW w:w="7185" w:type="dxa"/>
            <w:vAlign w:val="center"/>
          </w:tcPr>
          <w:p w14:paraId="25FBC52B" w14:textId="0897729D" w:rsidR="008D4D2D" w:rsidRPr="00937FE8" w:rsidRDefault="008D4D2D" w:rsidP="008D4D2D">
            <w:pPr>
              <w:spacing w:after="0"/>
              <w:ind w:left="0"/>
              <w:rPr>
                <w:rFonts w:cs="Calibri"/>
                <w:color w:val="000000"/>
                <w:szCs w:val="24"/>
              </w:rPr>
            </w:pPr>
            <w:r w:rsidRPr="00937FE8">
              <w:rPr>
                <w:rFonts w:cs="Calibri"/>
                <w:color w:val="000000"/>
                <w:szCs w:val="24"/>
              </w:rPr>
              <w:t xml:space="preserve">Cash Refund </w:t>
            </w:r>
            <w:r w:rsidR="00CB6821" w:rsidRPr="00937FE8">
              <w:rPr>
                <w:rFonts w:cs="Calibri"/>
                <w:color w:val="000000"/>
                <w:szCs w:val="24"/>
              </w:rPr>
              <w:t>Detail</w:t>
            </w:r>
            <w:r w:rsidR="00CB6821">
              <w:rPr>
                <w:rFonts w:cs="Calibri"/>
                <w:color w:val="000000"/>
                <w:szCs w:val="24"/>
              </w:rPr>
              <w:t>; d</w:t>
            </w:r>
            <w:r w:rsidR="00CB6821" w:rsidRPr="00937FE8">
              <w:rPr>
                <w:rFonts w:cs="Calibri"/>
                <w:color w:val="000000"/>
                <w:szCs w:val="24"/>
              </w:rPr>
              <w:t xml:space="preserve">aily </w:t>
            </w:r>
            <w:r w:rsidRPr="00937FE8">
              <w:rPr>
                <w:rFonts w:cs="Calibri"/>
                <w:color w:val="000000"/>
                <w:szCs w:val="24"/>
              </w:rPr>
              <w:t>Ledger of OP Recoveries used t</w:t>
            </w:r>
            <w:r w:rsidR="00CB6821">
              <w:rPr>
                <w:rFonts w:cs="Calibri"/>
                <w:color w:val="000000"/>
                <w:szCs w:val="24"/>
              </w:rPr>
              <w:t>o make adjustments in mainframe</w:t>
            </w:r>
          </w:p>
        </w:tc>
      </w:tr>
      <w:tr w:rsidR="008D4D2D" w:rsidRPr="000E4EAF" w14:paraId="4D336620" w14:textId="77777777" w:rsidTr="008C223D">
        <w:trPr>
          <w:trHeight w:val="300"/>
        </w:trPr>
        <w:tc>
          <w:tcPr>
            <w:tcW w:w="697" w:type="dxa"/>
            <w:noWrap/>
            <w:vAlign w:val="center"/>
            <w:hideMark/>
          </w:tcPr>
          <w:p w14:paraId="7BA974D0"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14</w:t>
            </w:r>
          </w:p>
        </w:tc>
        <w:tc>
          <w:tcPr>
            <w:tcW w:w="1661" w:type="dxa"/>
            <w:noWrap/>
            <w:vAlign w:val="center"/>
          </w:tcPr>
          <w:p w14:paraId="2EF34A85" w14:textId="2BB68940" w:rsidR="008D4D2D" w:rsidRPr="00937FE8" w:rsidRDefault="008D4D2D" w:rsidP="008D4D2D">
            <w:pPr>
              <w:spacing w:after="0"/>
              <w:ind w:left="0"/>
              <w:rPr>
                <w:rFonts w:cs="Calibri"/>
                <w:color w:val="000000"/>
                <w:szCs w:val="24"/>
              </w:rPr>
            </w:pPr>
            <w:r w:rsidRPr="00937FE8">
              <w:rPr>
                <w:rFonts w:cs="Calibri"/>
                <w:color w:val="000000"/>
                <w:szCs w:val="24"/>
              </w:rPr>
              <w:t>Daily</w:t>
            </w:r>
          </w:p>
        </w:tc>
        <w:tc>
          <w:tcPr>
            <w:tcW w:w="1759" w:type="dxa"/>
            <w:noWrap/>
            <w:vAlign w:val="center"/>
          </w:tcPr>
          <w:p w14:paraId="467EAD01" w14:textId="14BC2A08" w:rsidR="008D4D2D" w:rsidRPr="00937FE8" w:rsidRDefault="008D4D2D" w:rsidP="008D4D2D">
            <w:pPr>
              <w:spacing w:after="0"/>
              <w:ind w:left="0"/>
              <w:rPr>
                <w:rFonts w:cs="Calibri"/>
                <w:color w:val="000000"/>
                <w:szCs w:val="24"/>
              </w:rPr>
            </w:pPr>
            <w:r w:rsidRPr="00937FE8">
              <w:rPr>
                <w:rFonts w:cs="Calibri"/>
                <w:color w:val="000000"/>
                <w:szCs w:val="24"/>
              </w:rPr>
              <w:t>BNDO736P</w:t>
            </w:r>
          </w:p>
        </w:tc>
        <w:tc>
          <w:tcPr>
            <w:tcW w:w="7185" w:type="dxa"/>
            <w:vAlign w:val="center"/>
          </w:tcPr>
          <w:p w14:paraId="04BFCD4B" w14:textId="1D2E17F3" w:rsidR="008D4D2D" w:rsidRPr="00937FE8" w:rsidRDefault="008D4D2D" w:rsidP="008D4D2D">
            <w:pPr>
              <w:spacing w:after="0"/>
              <w:ind w:left="0"/>
              <w:rPr>
                <w:rFonts w:cs="Calibri"/>
                <w:color w:val="000000"/>
                <w:szCs w:val="24"/>
              </w:rPr>
            </w:pPr>
            <w:r w:rsidRPr="00937FE8">
              <w:rPr>
                <w:rFonts w:cs="Calibri"/>
                <w:color w:val="000000"/>
                <w:szCs w:val="24"/>
              </w:rPr>
              <w:t xml:space="preserve">Claimant Refund Letter </w:t>
            </w:r>
            <w:r w:rsidR="00CB6821">
              <w:rPr>
                <w:rFonts w:cs="Calibri"/>
                <w:color w:val="000000"/>
                <w:szCs w:val="24"/>
              </w:rPr>
              <w:t>–</w:t>
            </w:r>
            <w:r w:rsidRPr="00937FE8">
              <w:rPr>
                <w:rFonts w:cs="Calibri"/>
                <w:color w:val="000000"/>
                <w:szCs w:val="24"/>
              </w:rPr>
              <w:t xml:space="preserve"> Spanish</w:t>
            </w:r>
            <w:r w:rsidR="00CB6821">
              <w:rPr>
                <w:rFonts w:cs="Calibri"/>
                <w:color w:val="000000"/>
                <w:szCs w:val="24"/>
              </w:rPr>
              <w:t>; to mail with Claimant Refunds</w:t>
            </w:r>
          </w:p>
        </w:tc>
      </w:tr>
      <w:tr w:rsidR="008D4D2D" w:rsidRPr="000E4EAF" w14:paraId="592A25C4" w14:textId="77777777" w:rsidTr="008C223D">
        <w:trPr>
          <w:trHeight w:val="300"/>
        </w:trPr>
        <w:tc>
          <w:tcPr>
            <w:tcW w:w="697" w:type="dxa"/>
            <w:noWrap/>
            <w:vAlign w:val="center"/>
            <w:hideMark/>
          </w:tcPr>
          <w:p w14:paraId="47E1B616"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15</w:t>
            </w:r>
          </w:p>
        </w:tc>
        <w:tc>
          <w:tcPr>
            <w:tcW w:w="1661" w:type="dxa"/>
            <w:noWrap/>
            <w:vAlign w:val="center"/>
          </w:tcPr>
          <w:p w14:paraId="39134960" w14:textId="0723A3B0" w:rsidR="008D4D2D" w:rsidRPr="00937FE8" w:rsidRDefault="008D4D2D" w:rsidP="008D4D2D">
            <w:pPr>
              <w:spacing w:after="0"/>
              <w:ind w:left="0"/>
              <w:rPr>
                <w:rFonts w:cs="Calibri"/>
                <w:color w:val="000000"/>
                <w:szCs w:val="24"/>
              </w:rPr>
            </w:pPr>
            <w:r w:rsidRPr="00937FE8">
              <w:rPr>
                <w:rFonts w:cs="Calibri"/>
                <w:color w:val="000000"/>
                <w:szCs w:val="24"/>
              </w:rPr>
              <w:t>Daily</w:t>
            </w:r>
          </w:p>
        </w:tc>
        <w:tc>
          <w:tcPr>
            <w:tcW w:w="1759" w:type="dxa"/>
            <w:noWrap/>
            <w:vAlign w:val="center"/>
          </w:tcPr>
          <w:p w14:paraId="33F2CA7B" w14:textId="7D4B4F9E" w:rsidR="008D4D2D" w:rsidRPr="00937FE8" w:rsidRDefault="008D4D2D" w:rsidP="008D4D2D">
            <w:pPr>
              <w:spacing w:after="0"/>
              <w:ind w:left="0"/>
              <w:rPr>
                <w:rFonts w:cs="Calibri"/>
                <w:color w:val="000000"/>
                <w:szCs w:val="24"/>
              </w:rPr>
            </w:pPr>
            <w:r w:rsidRPr="00937FE8">
              <w:rPr>
                <w:rFonts w:cs="Calibri"/>
                <w:color w:val="000000"/>
                <w:szCs w:val="24"/>
              </w:rPr>
              <w:t>BNDO736Q</w:t>
            </w:r>
          </w:p>
        </w:tc>
        <w:tc>
          <w:tcPr>
            <w:tcW w:w="7185" w:type="dxa"/>
            <w:vAlign w:val="center"/>
          </w:tcPr>
          <w:p w14:paraId="044EAC06" w14:textId="6B7B1A1E" w:rsidR="008D4D2D" w:rsidRPr="00937FE8" w:rsidRDefault="008D4D2D" w:rsidP="008D4D2D">
            <w:pPr>
              <w:spacing w:after="0"/>
              <w:ind w:left="0"/>
              <w:rPr>
                <w:rFonts w:cs="Calibri"/>
                <w:color w:val="000000"/>
                <w:szCs w:val="24"/>
              </w:rPr>
            </w:pPr>
            <w:r w:rsidRPr="00937FE8">
              <w:rPr>
                <w:rFonts w:cs="Calibri"/>
                <w:color w:val="000000"/>
                <w:szCs w:val="24"/>
              </w:rPr>
              <w:t xml:space="preserve">Claimant Refund </w:t>
            </w:r>
            <w:r w:rsidR="008B685F" w:rsidRPr="00937FE8">
              <w:rPr>
                <w:rFonts w:cs="Calibri"/>
                <w:color w:val="000000"/>
                <w:szCs w:val="24"/>
              </w:rPr>
              <w:t>Letter</w:t>
            </w:r>
            <w:r w:rsidR="00CB6821">
              <w:rPr>
                <w:rFonts w:cs="Calibri"/>
                <w:color w:val="000000"/>
                <w:szCs w:val="24"/>
              </w:rPr>
              <w:t>; to mail with Claimant Refunds</w:t>
            </w:r>
          </w:p>
        </w:tc>
      </w:tr>
      <w:tr w:rsidR="008D4D2D" w:rsidRPr="000E4EAF" w14:paraId="7F4E725D" w14:textId="77777777" w:rsidTr="008C223D">
        <w:trPr>
          <w:trHeight w:val="300"/>
        </w:trPr>
        <w:tc>
          <w:tcPr>
            <w:tcW w:w="697" w:type="dxa"/>
            <w:noWrap/>
            <w:vAlign w:val="center"/>
            <w:hideMark/>
          </w:tcPr>
          <w:p w14:paraId="40F7A3E6"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16</w:t>
            </w:r>
          </w:p>
        </w:tc>
        <w:tc>
          <w:tcPr>
            <w:tcW w:w="1661" w:type="dxa"/>
            <w:noWrap/>
            <w:vAlign w:val="center"/>
          </w:tcPr>
          <w:p w14:paraId="77578445" w14:textId="5315FB8A" w:rsidR="008D4D2D" w:rsidRPr="00937FE8" w:rsidRDefault="008D4D2D" w:rsidP="008D4D2D">
            <w:pPr>
              <w:spacing w:after="0"/>
              <w:ind w:left="0"/>
              <w:rPr>
                <w:rFonts w:cs="Calibri"/>
                <w:color w:val="000000"/>
                <w:szCs w:val="24"/>
              </w:rPr>
            </w:pPr>
            <w:r w:rsidRPr="00937FE8">
              <w:rPr>
                <w:rFonts w:cs="Calibri"/>
                <w:color w:val="000000"/>
                <w:szCs w:val="24"/>
              </w:rPr>
              <w:t>Daily</w:t>
            </w:r>
          </w:p>
        </w:tc>
        <w:tc>
          <w:tcPr>
            <w:tcW w:w="1759" w:type="dxa"/>
            <w:noWrap/>
            <w:vAlign w:val="center"/>
          </w:tcPr>
          <w:p w14:paraId="737A4379" w14:textId="0D5FB5B4" w:rsidR="008D4D2D" w:rsidRPr="00937FE8" w:rsidRDefault="008D4D2D" w:rsidP="008D4D2D">
            <w:pPr>
              <w:spacing w:after="0"/>
              <w:ind w:left="0"/>
              <w:rPr>
                <w:rFonts w:cs="Calibri"/>
                <w:color w:val="000000"/>
                <w:szCs w:val="24"/>
              </w:rPr>
            </w:pPr>
            <w:r w:rsidRPr="00937FE8">
              <w:rPr>
                <w:rFonts w:cs="Calibri"/>
                <w:color w:val="000000"/>
                <w:szCs w:val="24"/>
              </w:rPr>
              <w:t>BNDO835A</w:t>
            </w:r>
          </w:p>
        </w:tc>
        <w:tc>
          <w:tcPr>
            <w:tcW w:w="7185" w:type="dxa"/>
            <w:vAlign w:val="center"/>
          </w:tcPr>
          <w:p w14:paraId="347B7544" w14:textId="4230512F" w:rsidR="008D4D2D" w:rsidRPr="00937FE8" w:rsidRDefault="00CB6821" w:rsidP="008D4D2D">
            <w:pPr>
              <w:spacing w:after="0"/>
              <w:ind w:left="0"/>
              <w:rPr>
                <w:rFonts w:cs="Calibri"/>
                <w:color w:val="000000"/>
                <w:szCs w:val="24"/>
              </w:rPr>
            </w:pPr>
            <w:r>
              <w:rPr>
                <w:rFonts w:cs="Calibri"/>
                <w:color w:val="000000"/>
                <w:szCs w:val="24"/>
              </w:rPr>
              <w:t>FAC Available Money;</w:t>
            </w:r>
            <w:r w:rsidR="008D4D2D" w:rsidRPr="00937FE8">
              <w:rPr>
                <w:rFonts w:cs="Calibri"/>
                <w:color w:val="000000"/>
                <w:szCs w:val="24"/>
              </w:rPr>
              <w:t xml:space="preserve"> </w:t>
            </w:r>
            <w:r>
              <w:rPr>
                <w:rFonts w:cs="Calibri"/>
                <w:color w:val="000000"/>
                <w:szCs w:val="24"/>
              </w:rPr>
              <w:t>t</w:t>
            </w:r>
            <w:r w:rsidR="008D4D2D" w:rsidRPr="00937FE8">
              <w:rPr>
                <w:rFonts w:cs="Calibri"/>
                <w:color w:val="000000"/>
                <w:szCs w:val="24"/>
              </w:rPr>
              <w:t>o show amounts due to clai</w:t>
            </w:r>
            <w:r>
              <w:rPr>
                <w:rFonts w:cs="Calibri"/>
                <w:color w:val="000000"/>
                <w:szCs w:val="24"/>
              </w:rPr>
              <w:t>mants for excess FAC recoveries</w:t>
            </w:r>
          </w:p>
        </w:tc>
      </w:tr>
      <w:tr w:rsidR="008D4D2D" w:rsidRPr="000E4EAF" w14:paraId="79AE726B" w14:textId="77777777" w:rsidTr="008C223D">
        <w:trPr>
          <w:trHeight w:val="300"/>
        </w:trPr>
        <w:tc>
          <w:tcPr>
            <w:tcW w:w="697" w:type="dxa"/>
            <w:noWrap/>
            <w:vAlign w:val="center"/>
            <w:hideMark/>
          </w:tcPr>
          <w:p w14:paraId="7F86509E"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17</w:t>
            </w:r>
          </w:p>
        </w:tc>
        <w:tc>
          <w:tcPr>
            <w:tcW w:w="1661" w:type="dxa"/>
            <w:noWrap/>
            <w:vAlign w:val="center"/>
          </w:tcPr>
          <w:p w14:paraId="5ECFC0E5" w14:textId="0E2B033D" w:rsidR="008D4D2D" w:rsidRPr="00937FE8" w:rsidRDefault="008D4D2D" w:rsidP="008D4D2D">
            <w:pPr>
              <w:spacing w:after="0"/>
              <w:ind w:left="0"/>
              <w:rPr>
                <w:rFonts w:cs="Calibri"/>
                <w:color w:val="000000"/>
                <w:szCs w:val="24"/>
              </w:rPr>
            </w:pPr>
            <w:r w:rsidRPr="00937FE8">
              <w:rPr>
                <w:rFonts w:cs="Calibri"/>
                <w:color w:val="000000"/>
                <w:szCs w:val="24"/>
              </w:rPr>
              <w:t>Daily</w:t>
            </w:r>
          </w:p>
        </w:tc>
        <w:tc>
          <w:tcPr>
            <w:tcW w:w="1759" w:type="dxa"/>
            <w:noWrap/>
            <w:vAlign w:val="center"/>
          </w:tcPr>
          <w:p w14:paraId="63280900" w14:textId="23280305" w:rsidR="008D4D2D" w:rsidRPr="00937FE8" w:rsidRDefault="008D4D2D" w:rsidP="008D4D2D">
            <w:pPr>
              <w:spacing w:after="0"/>
              <w:ind w:left="0"/>
              <w:rPr>
                <w:rFonts w:cs="Calibri"/>
                <w:color w:val="000000"/>
                <w:szCs w:val="24"/>
              </w:rPr>
            </w:pPr>
            <w:r w:rsidRPr="00937FE8">
              <w:rPr>
                <w:rFonts w:cs="Calibri"/>
                <w:color w:val="000000"/>
                <w:szCs w:val="24"/>
              </w:rPr>
              <w:t>BNDO836A</w:t>
            </w:r>
          </w:p>
        </w:tc>
        <w:tc>
          <w:tcPr>
            <w:tcW w:w="7185" w:type="dxa"/>
            <w:vAlign w:val="center"/>
          </w:tcPr>
          <w:p w14:paraId="11EE2FDA" w14:textId="7BCD7AF3" w:rsidR="008D4D2D" w:rsidRPr="00937FE8" w:rsidRDefault="008D4D2D" w:rsidP="008D4D2D">
            <w:pPr>
              <w:spacing w:after="0"/>
              <w:ind w:left="0"/>
              <w:rPr>
                <w:rFonts w:cs="Calibri"/>
                <w:color w:val="000000"/>
                <w:szCs w:val="24"/>
              </w:rPr>
            </w:pPr>
            <w:r w:rsidRPr="00937FE8">
              <w:rPr>
                <w:rFonts w:cs="Calibri"/>
                <w:color w:val="000000"/>
                <w:szCs w:val="24"/>
              </w:rPr>
              <w:t xml:space="preserve">FAC </w:t>
            </w:r>
            <w:r w:rsidR="008B685F" w:rsidRPr="00937FE8">
              <w:rPr>
                <w:rFonts w:cs="Calibri"/>
                <w:color w:val="000000"/>
                <w:szCs w:val="24"/>
              </w:rPr>
              <w:t>Cashier</w:t>
            </w:r>
            <w:r w:rsidRPr="00937FE8">
              <w:rPr>
                <w:rFonts w:cs="Calibri"/>
                <w:color w:val="000000"/>
                <w:szCs w:val="24"/>
              </w:rPr>
              <w:t xml:space="preserve"> Refund Listing</w:t>
            </w:r>
            <w:r w:rsidR="00CB6821">
              <w:rPr>
                <w:rFonts w:cs="Calibri"/>
                <w:color w:val="000000"/>
                <w:szCs w:val="24"/>
              </w:rPr>
              <w:t>;</w:t>
            </w:r>
            <w:r w:rsidRPr="00937FE8">
              <w:rPr>
                <w:rFonts w:cs="Calibri"/>
                <w:color w:val="000000"/>
                <w:szCs w:val="24"/>
              </w:rPr>
              <w:t xml:space="preserve"> </w:t>
            </w:r>
            <w:r w:rsidR="00CB6821">
              <w:rPr>
                <w:rFonts w:cs="Calibri"/>
                <w:color w:val="000000"/>
                <w:szCs w:val="24"/>
              </w:rPr>
              <w:t>u</w:t>
            </w:r>
            <w:r w:rsidRPr="00937FE8">
              <w:rPr>
                <w:rFonts w:cs="Calibri"/>
                <w:color w:val="000000"/>
                <w:szCs w:val="24"/>
              </w:rPr>
              <w:t>sed to reconcile daily benef</w:t>
            </w:r>
            <w:r w:rsidR="00CB6821">
              <w:rPr>
                <w:rFonts w:cs="Calibri"/>
                <w:color w:val="000000"/>
                <w:szCs w:val="24"/>
              </w:rPr>
              <w:t>it overpayment recovery deposit</w:t>
            </w:r>
          </w:p>
        </w:tc>
      </w:tr>
      <w:tr w:rsidR="008D4D2D" w:rsidRPr="000E4EAF" w14:paraId="623C1E4D" w14:textId="77777777" w:rsidTr="008C223D">
        <w:trPr>
          <w:trHeight w:val="300"/>
        </w:trPr>
        <w:tc>
          <w:tcPr>
            <w:tcW w:w="697" w:type="dxa"/>
            <w:noWrap/>
            <w:vAlign w:val="center"/>
            <w:hideMark/>
          </w:tcPr>
          <w:p w14:paraId="346863DD"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18</w:t>
            </w:r>
          </w:p>
        </w:tc>
        <w:tc>
          <w:tcPr>
            <w:tcW w:w="1661" w:type="dxa"/>
            <w:noWrap/>
            <w:vAlign w:val="center"/>
          </w:tcPr>
          <w:p w14:paraId="23CBEBD4" w14:textId="50CAC41D" w:rsidR="008D4D2D" w:rsidRPr="00937FE8" w:rsidRDefault="008D4D2D" w:rsidP="008D4D2D">
            <w:pPr>
              <w:spacing w:after="0"/>
              <w:ind w:left="0"/>
              <w:rPr>
                <w:rFonts w:cs="Calibri"/>
                <w:color w:val="000000"/>
                <w:szCs w:val="24"/>
              </w:rPr>
            </w:pPr>
            <w:r w:rsidRPr="00937FE8">
              <w:rPr>
                <w:rFonts w:cs="Calibri"/>
                <w:color w:val="000000"/>
                <w:szCs w:val="24"/>
              </w:rPr>
              <w:t>Daily</w:t>
            </w:r>
          </w:p>
        </w:tc>
        <w:tc>
          <w:tcPr>
            <w:tcW w:w="1759" w:type="dxa"/>
            <w:noWrap/>
            <w:vAlign w:val="center"/>
          </w:tcPr>
          <w:p w14:paraId="6122F5FC" w14:textId="0DD273F1" w:rsidR="008D4D2D" w:rsidRPr="00937FE8" w:rsidRDefault="008D4D2D" w:rsidP="008D4D2D">
            <w:pPr>
              <w:spacing w:after="0"/>
              <w:ind w:left="0"/>
              <w:rPr>
                <w:rFonts w:cs="Calibri"/>
                <w:color w:val="000000"/>
                <w:szCs w:val="24"/>
              </w:rPr>
            </w:pPr>
            <w:r w:rsidRPr="00937FE8">
              <w:rPr>
                <w:rFonts w:cs="Calibri"/>
                <w:color w:val="000000"/>
                <w:szCs w:val="24"/>
              </w:rPr>
              <w:t>BNDP017P</w:t>
            </w:r>
          </w:p>
        </w:tc>
        <w:tc>
          <w:tcPr>
            <w:tcW w:w="7185" w:type="dxa"/>
            <w:vAlign w:val="center"/>
          </w:tcPr>
          <w:p w14:paraId="1543B9D0" w14:textId="53616FBC" w:rsidR="008D4D2D" w:rsidRPr="00937FE8" w:rsidRDefault="008D4D2D" w:rsidP="008D4D2D">
            <w:pPr>
              <w:spacing w:after="0"/>
              <w:ind w:left="0"/>
              <w:rPr>
                <w:rFonts w:cs="Calibri"/>
                <w:color w:val="000000"/>
                <w:szCs w:val="24"/>
              </w:rPr>
            </w:pPr>
            <w:r w:rsidRPr="00937FE8">
              <w:rPr>
                <w:rFonts w:cs="Calibri"/>
                <w:color w:val="000000"/>
                <w:szCs w:val="24"/>
              </w:rPr>
              <w:t>USAS Cancellation List</w:t>
            </w:r>
            <w:r w:rsidR="009C5B13">
              <w:rPr>
                <w:rFonts w:cs="Calibri"/>
                <w:color w:val="000000"/>
                <w:szCs w:val="24"/>
              </w:rPr>
              <w:t>; t</w:t>
            </w:r>
            <w:r w:rsidRPr="00937FE8">
              <w:rPr>
                <w:rFonts w:cs="Calibri"/>
                <w:color w:val="000000"/>
                <w:szCs w:val="24"/>
              </w:rPr>
              <w:t>reasury Warrant C</w:t>
            </w:r>
            <w:r w:rsidR="009C5B13">
              <w:rPr>
                <w:rFonts w:cs="Calibri"/>
                <w:color w:val="000000"/>
                <w:szCs w:val="24"/>
              </w:rPr>
              <w:t>ancellation/Approvals &amp; Denials</w:t>
            </w:r>
          </w:p>
        </w:tc>
      </w:tr>
      <w:tr w:rsidR="008D4D2D" w:rsidRPr="000E4EAF" w14:paraId="553A8864" w14:textId="77777777" w:rsidTr="008C223D">
        <w:trPr>
          <w:trHeight w:val="300"/>
        </w:trPr>
        <w:tc>
          <w:tcPr>
            <w:tcW w:w="697" w:type="dxa"/>
            <w:noWrap/>
            <w:vAlign w:val="center"/>
            <w:hideMark/>
          </w:tcPr>
          <w:p w14:paraId="37636396"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19</w:t>
            </w:r>
          </w:p>
        </w:tc>
        <w:tc>
          <w:tcPr>
            <w:tcW w:w="1661" w:type="dxa"/>
            <w:noWrap/>
            <w:vAlign w:val="center"/>
          </w:tcPr>
          <w:p w14:paraId="7AF055BE" w14:textId="3F04AC76" w:rsidR="008D4D2D" w:rsidRPr="00937FE8" w:rsidRDefault="008D4D2D" w:rsidP="008D4D2D">
            <w:pPr>
              <w:spacing w:after="0"/>
              <w:ind w:left="0"/>
              <w:rPr>
                <w:rFonts w:cs="Calibri"/>
                <w:color w:val="000000"/>
                <w:szCs w:val="24"/>
              </w:rPr>
            </w:pPr>
            <w:r w:rsidRPr="00937FE8">
              <w:rPr>
                <w:rFonts w:cs="Calibri"/>
                <w:color w:val="000000"/>
                <w:szCs w:val="24"/>
              </w:rPr>
              <w:t>Daily</w:t>
            </w:r>
          </w:p>
        </w:tc>
        <w:tc>
          <w:tcPr>
            <w:tcW w:w="1759" w:type="dxa"/>
            <w:noWrap/>
            <w:vAlign w:val="center"/>
          </w:tcPr>
          <w:p w14:paraId="71165B92" w14:textId="3158F02D" w:rsidR="008D4D2D" w:rsidRPr="00937FE8" w:rsidRDefault="008D4D2D" w:rsidP="008D4D2D">
            <w:pPr>
              <w:spacing w:after="0"/>
              <w:ind w:left="0"/>
              <w:rPr>
                <w:rFonts w:cs="Calibri"/>
                <w:color w:val="000000"/>
                <w:szCs w:val="24"/>
              </w:rPr>
            </w:pPr>
            <w:r w:rsidRPr="00937FE8">
              <w:rPr>
                <w:rFonts w:cs="Calibri"/>
                <w:color w:val="000000"/>
                <w:szCs w:val="24"/>
              </w:rPr>
              <w:t>BNDP021P</w:t>
            </w:r>
          </w:p>
        </w:tc>
        <w:tc>
          <w:tcPr>
            <w:tcW w:w="7185" w:type="dxa"/>
            <w:vAlign w:val="center"/>
          </w:tcPr>
          <w:p w14:paraId="01C3F27E" w14:textId="0063F4C2" w:rsidR="008D4D2D" w:rsidRPr="00937FE8" w:rsidRDefault="008D4D2D" w:rsidP="008D4D2D">
            <w:pPr>
              <w:spacing w:after="0"/>
              <w:ind w:left="0"/>
              <w:rPr>
                <w:rFonts w:cs="Calibri"/>
                <w:color w:val="000000"/>
                <w:szCs w:val="24"/>
              </w:rPr>
            </w:pPr>
            <w:r w:rsidRPr="00937FE8">
              <w:rPr>
                <w:rFonts w:cs="Calibri"/>
                <w:color w:val="000000"/>
                <w:szCs w:val="24"/>
              </w:rPr>
              <w:t>Void Warrant Register Report</w:t>
            </w:r>
            <w:r w:rsidR="009C5B13">
              <w:rPr>
                <w:rFonts w:cs="Calibri"/>
                <w:color w:val="000000"/>
                <w:szCs w:val="24"/>
              </w:rPr>
              <w:t>; i</w:t>
            </w:r>
            <w:r w:rsidRPr="00937FE8">
              <w:rPr>
                <w:rFonts w:cs="Calibri"/>
                <w:color w:val="000000"/>
                <w:szCs w:val="24"/>
              </w:rPr>
              <w:t xml:space="preserve">dentifies Warrant Statute Cancellations to input into </w:t>
            </w:r>
            <w:r w:rsidR="009C5B13">
              <w:rPr>
                <w:rFonts w:cs="Calibri"/>
                <w:color w:val="000000"/>
                <w:szCs w:val="24"/>
              </w:rPr>
              <w:t>database</w:t>
            </w:r>
            <w:r w:rsidRPr="00937FE8">
              <w:rPr>
                <w:rFonts w:cs="Calibri"/>
                <w:color w:val="000000"/>
                <w:szCs w:val="24"/>
              </w:rPr>
              <w:t xml:space="preserve"> &amp; </w:t>
            </w:r>
            <w:r w:rsidR="008B685F" w:rsidRPr="00937FE8">
              <w:rPr>
                <w:rFonts w:cs="Calibri"/>
                <w:color w:val="000000"/>
                <w:szCs w:val="24"/>
              </w:rPr>
              <w:t>occasional</w:t>
            </w:r>
            <w:r w:rsidR="009C5B13">
              <w:rPr>
                <w:rFonts w:cs="Calibri"/>
                <w:color w:val="000000"/>
                <w:szCs w:val="24"/>
              </w:rPr>
              <w:t xml:space="preserve"> need money to be recorded</w:t>
            </w:r>
          </w:p>
        </w:tc>
      </w:tr>
      <w:tr w:rsidR="008D4D2D" w:rsidRPr="000E4EAF" w14:paraId="6CB6D416" w14:textId="77777777" w:rsidTr="008C223D">
        <w:trPr>
          <w:trHeight w:val="300"/>
        </w:trPr>
        <w:tc>
          <w:tcPr>
            <w:tcW w:w="697" w:type="dxa"/>
            <w:noWrap/>
            <w:vAlign w:val="center"/>
            <w:hideMark/>
          </w:tcPr>
          <w:p w14:paraId="418F3C26"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20</w:t>
            </w:r>
          </w:p>
        </w:tc>
        <w:tc>
          <w:tcPr>
            <w:tcW w:w="1661" w:type="dxa"/>
            <w:noWrap/>
            <w:vAlign w:val="center"/>
          </w:tcPr>
          <w:p w14:paraId="2F0343CA" w14:textId="51E089F2" w:rsidR="008D4D2D" w:rsidRPr="00937FE8" w:rsidRDefault="008D4D2D" w:rsidP="008D4D2D">
            <w:pPr>
              <w:spacing w:after="0"/>
              <w:ind w:left="0"/>
              <w:rPr>
                <w:rFonts w:cs="Calibri"/>
                <w:color w:val="000000"/>
                <w:szCs w:val="24"/>
              </w:rPr>
            </w:pPr>
            <w:r w:rsidRPr="00937FE8">
              <w:rPr>
                <w:rFonts w:cs="Calibri"/>
                <w:color w:val="000000"/>
                <w:szCs w:val="24"/>
              </w:rPr>
              <w:t>Daily</w:t>
            </w:r>
          </w:p>
        </w:tc>
        <w:tc>
          <w:tcPr>
            <w:tcW w:w="1759" w:type="dxa"/>
            <w:vAlign w:val="center"/>
          </w:tcPr>
          <w:p w14:paraId="2B4C68E3" w14:textId="2E18E394" w:rsidR="008D4D2D" w:rsidRPr="00937FE8" w:rsidRDefault="008D4D2D" w:rsidP="008D4D2D">
            <w:pPr>
              <w:spacing w:after="0"/>
              <w:ind w:left="0"/>
              <w:rPr>
                <w:rFonts w:cs="Calibri"/>
                <w:color w:val="000000"/>
                <w:szCs w:val="24"/>
              </w:rPr>
            </w:pPr>
            <w:r w:rsidRPr="00937FE8">
              <w:rPr>
                <w:rFonts w:cs="Calibri"/>
                <w:color w:val="000000"/>
                <w:szCs w:val="24"/>
              </w:rPr>
              <w:t>BNDP150P</w:t>
            </w:r>
          </w:p>
        </w:tc>
        <w:tc>
          <w:tcPr>
            <w:tcW w:w="7185" w:type="dxa"/>
            <w:vAlign w:val="center"/>
          </w:tcPr>
          <w:p w14:paraId="2D609166" w14:textId="7A0FDF96" w:rsidR="008D4D2D" w:rsidRPr="00937FE8" w:rsidRDefault="00B76AC7" w:rsidP="008D4D2D">
            <w:pPr>
              <w:spacing w:after="0"/>
              <w:ind w:left="0"/>
              <w:rPr>
                <w:rFonts w:cs="Calibri"/>
                <w:color w:val="000000"/>
                <w:szCs w:val="24"/>
              </w:rPr>
            </w:pPr>
            <w:r>
              <w:rPr>
                <w:rFonts w:cs="Calibri"/>
                <w:color w:val="000000"/>
                <w:szCs w:val="24"/>
              </w:rPr>
              <w:t>Payment</w:t>
            </w:r>
            <w:r w:rsidR="008D4D2D" w:rsidRPr="00937FE8">
              <w:rPr>
                <w:rFonts w:cs="Calibri"/>
                <w:color w:val="000000"/>
                <w:szCs w:val="24"/>
              </w:rPr>
              <w:t xml:space="preserve"> Cancellation Voucher Report</w:t>
            </w:r>
            <w:r w:rsidR="009C5B13">
              <w:rPr>
                <w:rFonts w:cs="Calibri"/>
                <w:color w:val="000000"/>
                <w:szCs w:val="24"/>
              </w:rPr>
              <w:t>; l</w:t>
            </w:r>
            <w:r w:rsidR="008D4D2D" w:rsidRPr="00937FE8">
              <w:rPr>
                <w:rFonts w:cs="Calibri"/>
                <w:color w:val="000000"/>
                <w:szCs w:val="24"/>
              </w:rPr>
              <w:t xml:space="preserve">ists </w:t>
            </w:r>
            <w:r>
              <w:rPr>
                <w:rFonts w:cs="Calibri"/>
                <w:color w:val="000000"/>
                <w:szCs w:val="24"/>
              </w:rPr>
              <w:t>Payment</w:t>
            </w:r>
            <w:r w:rsidR="008D4D2D" w:rsidRPr="00937FE8">
              <w:rPr>
                <w:rFonts w:cs="Calibri"/>
                <w:color w:val="000000"/>
                <w:szCs w:val="24"/>
              </w:rPr>
              <w:t xml:space="preserve"> ID, Amount, Issue Date, Claimant SSN, &amp; </w:t>
            </w:r>
            <w:r w:rsidR="008B685F" w:rsidRPr="00937FE8">
              <w:rPr>
                <w:rFonts w:cs="Calibri"/>
                <w:color w:val="000000"/>
                <w:szCs w:val="24"/>
              </w:rPr>
              <w:t>Recipient</w:t>
            </w:r>
            <w:r w:rsidR="008D4D2D" w:rsidRPr="00937FE8">
              <w:rPr>
                <w:rFonts w:cs="Calibri"/>
                <w:color w:val="000000"/>
                <w:szCs w:val="24"/>
              </w:rPr>
              <w:t xml:space="preserve"> Name with Cancel Reason /Identifies # of daily cancel</w:t>
            </w:r>
            <w:r w:rsidR="009C5B13">
              <w:rPr>
                <w:rFonts w:cs="Calibri"/>
                <w:color w:val="000000"/>
                <w:szCs w:val="24"/>
              </w:rPr>
              <w:t>lations</w:t>
            </w:r>
          </w:p>
        </w:tc>
      </w:tr>
      <w:tr w:rsidR="008D4D2D" w:rsidRPr="000E4EAF" w14:paraId="12E3DB2E" w14:textId="77777777" w:rsidTr="008C223D">
        <w:trPr>
          <w:trHeight w:val="300"/>
        </w:trPr>
        <w:tc>
          <w:tcPr>
            <w:tcW w:w="697" w:type="dxa"/>
            <w:noWrap/>
            <w:vAlign w:val="center"/>
            <w:hideMark/>
          </w:tcPr>
          <w:p w14:paraId="3CF34E9F"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lastRenderedPageBreak/>
              <w:t>21</w:t>
            </w:r>
          </w:p>
        </w:tc>
        <w:tc>
          <w:tcPr>
            <w:tcW w:w="1661" w:type="dxa"/>
            <w:noWrap/>
            <w:vAlign w:val="center"/>
          </w:tcPr>
          <w:p w14:paraId="5D1C02B3" w14:textId="16CCA036" w:rsidR="008D4D2D" w:rsidRPr="00937FE8" w:rsidRDefault="008D4D2D" w:rsidP="008D4D2D">
            <w:pPr>
              <w:spacing w:after="0"/>
              <w:ind w:left="0"/>
              <w:rPr>
                <w:rFonts w:cs="Calibri"/>
                <w:color w:val="000000"/>
                <w:szCs w:val="24"/>
              </w:rPr>
            </w:pPr>
            <w:r w:rsidRPr="00937FE8">
              <w:rPr>
                <w:rFonts w:cs="Calibri"/>
                <w:color w:val="000000"/>
                <w:szCs w:val="24"/>
              </w:rPr>
              <w:t>Daily</w:t>
            </w:r>
          </w:p>
        </w:tc>
        <w:tc>
          <w:tcPr>
            <w:tcW w:w="1759" w:type="dxa"/>
            <w:noWrap/>
            <w:vAlign w:val="center"/>
          </w:tcPr>
          <w:p w14:paraId="16A07E2C" w14:textId="432AE39A" w:rsidR="008D4D2D" w:rsidRPr="00937FE8" w:rsidRDefault="008D4D2D" w:rsidP="008D4D2D">
            <w:pPr>
              <w:spacing w:after="0"/>
              <w:ind w:left="0"/>
              <w:rPr>
                <w:rFonts w:cs="Calibri"/>
                <w:color w:val="000000"/>
                <w:szCs w:val="24"/>
              </w:rPr>
            </w:pPr>
            <w:r w:rsidRPr="00937FE8">
              <w:rPr>
                <w:rFonts w:cs="Calibri"/>
                <w:color w:val="000000"/>
                <w:szCs w:val="24"/>
              </w:rPr>
              <w:t>BNDP422P</w:t>
            </w:r>
          </w:p>
        </w:tc>
        <w:tc>
          <w:tcPr>
            <w:tcW w:w="7185" w:type="dxa"/>
            <w:vAlign w:val="center"/>
          </w:tcPr>
          <w:p w14:paraId="26151C1A" w14:textId="34446137" w:rsidR="008D4D2D" w:rsidRPr="00937FE8" w:rsidRDefault="00B76AC7" w:rsidP="008D4D2D">
            <w:pPr>
              <w:spacing w:after="0"/>
              <w:ind w:left="0"/>
              <w:rPr>
                <w:rFonts w:cs="Calibri"/>
                <w:color w:val="000000"/>
                <w:szCs w:val="24"/>
              </w:rPr>
            </w:pPr>
            <w:r>
              <w:rPr>
                <w:rFonts w:cs="Calibri"/>
                <w:color w:val="000000"/>
                <w:szCs w:val="24"/>
              </w:rPr>
              <w:t>Payment</w:t>
            </w:r>
            <w:r w:rsidR="008D4D2D" w:rsidRPr="00937FE8">
              <w:rPr>
                <w:rFonts w:cs="Calibri"/>
                <w:color w:val="000000"/>
                <w:szCs w:val="24"/>
              </w:rPr>
              <w:t xml:space="preserve"> Register Report</w:t>
            </w:r>
            <w:r w:rsidR="009C5B13">
              <w:rPr>
                <w:rFonts w:cs="Calibri"/>
                <w:color w:val="000000"/>
                <w:szCs w:val="24"/>
              </w:rPr>
              <w:t>; m</w:t>
            </w:r>
            <w:r w:rsidR="008D4D2D" w:rsidRPr="00937FE8">
              <w:rPr>
                <w:rFonts w:cs="Calibri"/>
                <w:color w:val="000000"/>
                <w:szCs w:val="24"/>
              </w:rPr>
              <w:t xml:space="preserve">ain Benefit Report includes daily ledger chargeback </w:t>
            </w:r>
            <w:r>
              <w:rPr>
                <w:rFonts w:cs="Calibri"/>
                <w:color w:val="000000"/>
                <w:szCs w:val="24"/>
              </w:rPr>
              <w:t>adjustment</w:t>
            </w:r>
            <w:r w:rsidR="008D4D2D" w:rsidRPr="00937FE8">
              <w:rPr>
                <w:rFonts w:cs="Calibri"/>
                <w:color w:val="000000"/>
                <w:szCs w:val="24"/>
              </w:rPr>
              <w:t xml:space="preserve">, fund transfers, </w:t>
            </w:r>
            <w:r>
              <w:rPr>
                <w:rFonts w:cs="Calibri"/>
                <w:color w:val="000000"/>
                <w:szCs w:val="24"/>
              </w:rPr>
              <w:t>payment</w:t>
            </w:r>
            <w:r w:rsidR="008D4D2D" w:rsidRPr="00937FE8">
              <w:rPr>
                <w:rFonts w:cs="Calibri"/>
                <w:color w:val="000000"/>
                <w:szCs w:val="24"/>
              </w:rPr>
              <w:t xml:space="preserve"> cancellations,</w:t>
            </w:r>
            <w:r w:rsidR="008B685F">
              <w:rPr>
                <w:rFonts w:cs="Calibri"/>
                <w:color w:val="000000"/>
                <w:szCs w:val="24"/>
              </w:rPr>
              <w:t xml:space="preserve"> IRORA</w:t>
            </w:r>
            <w:r w:rsidR="008D4D2D" w:rsidRPr="00937FE8">
              <w:rPr>
                <w:rFonts w:cs="Calibri"/>
                <w:color w:val="000000"/>
                <w:szCs w:val="24"/>
              </w:rPr>
              <w:t xml:space="preserve"> </w:t>
            </w:r>
            <w:r>
              <w:rPr>
                <w:rFonts w:cs="Calibri"/>
                <w:color w:val="000000"/>
                <w:szCs w:val="24"/>
              </w:rPr>
              <w:t>distribution</w:t>
            </w:r>
            <w:r w:rsidR="008D4D2D" w:rsidRPr="00937FE8">
              <w:rPr>
                <w:rFonts w:cs="Calibri"/>
                <w:color w:val="000000"/>
                <w:szCs w:val="24"/>
              </w:rPr>
              <w:t>,</w:t>
            </w:r>
            <w:r w:rsidR="008B685F">
              <w:rPr>
                <w:rFonts w:cs="Calibri"/>
                <w:color w:val="000000"/>
                <w:szCs w:val="24"/>
              </w:rPr>
              <w:t xml:space="preserve"> </w:t>
            </w:r>
            <w:r>
              <w:rPr>
                <w:rFonts w:cs="Calibri"/>
                <w:color w:val="000000"/>
                <w:szCs w:val="24"/>
              </w:rPr>
              <w:t>payment</w:t>
            </w:r>
            <w:r w:rsidR="008D4D2D" w:rsidRPr="00937FE8">
              <w:rPr>
                <w:rFonts w:cs="Calibri"/>
                <w:color w:val="000000"/>
                <w:szCs w:val="24"/>
              </w:rPr>
              <w:t xml:space="preserve"> issuances &amp; </w:t>
            </w:r>
            <w:r w:rsidR="008B685F">
              <w:rPr>
                <w:rFonts w:cs="Calibri"/>
                <w:color w:val="000000"/>
                <w:szCs w:val="24"/>
              </w:rPr>
              <w:t>CWC</w:t>
            </w:r>
            <w:r w:rsidR="008D4D2D" w:rsidRPr="00937FE8">
              <w:rPr>
                <w:rFonts w:cs="Calibri"/>
                <w:color w:val="000000"/>
                <w:szCs w:val="24"/>
              </w:rPr>
              <w:t xml:space="preserve"> </w:t>
            </w:r>
            <w:r>
              <w:rPr>
                <w:rFonts w:cs="Calibri"/>
                <w:color w:val="000000"/>
                <w:szCs w:val="24"/>
              </w:rPr>
              <w:t>distribution</w:t>
            </w:r>
            <w:r w:rsidR="009C5B13">
              <w:rPr>
                <w:rFonts w:cs="Calibri"/>
                <w:color w:val="000000"/>
                <w:szCs w:val="24"/>
              </w:rPr>
              <w:t>, if any</w:t>
            </w:r>
          </w:p>
        </w:tc>
      </w:tr>
      <w:tr w:rsidR="008D4D2D" w:rsidRPr="000E4EAF" w14:paraId="61E232B3" w14:textId="77777777" w:rsidTr="008C223D">
        <w:trPr>
          <w:trHeight w:val="300"/>
        </w:trPr>
        <w:tc>
          <w:tcPr>
            <w:tcW w:w="697" w:type="dxa"/>
            <w:noWrap/>
            <w:vAlign w:val="center"/>
            <w:hideMark/>
          </w:tcPr>
          <w:p w14:paraId="4A5C1CFF"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22</w:t>
            </w:r>
          </w:p>
        </w:tc>
        <w:tc>
          <w:tcPr>
            <w:tcW w:w="1661" w:type="dxa"/>
            <w:noWrap/>
            <w:vAlign w:val="center"/>
          </w:tcPr>
          <w:p w14:paraId="4AD13FB3" w14:textId="0D7E7DA8" w:rsidR="008D4D2D" w:rsidRPr="00937FE8" w:rsidRDefault="008D4D2D" w:rsidP="008D4D2D">
            <w:pPr>
              <w:spacing w:after="0"/>
              <w:ind w:left="0"/>
              <w:rPr>
                <w:rFonts w:cs="Calibri"/>
                <w:color w:val="000000"/>
                <w:szCs w:val="24"/>
              </w:rPr>
            </w:pPr>
            <w:r w:rsidRPr="00937FE8">
              <w:rPr>
                <w:rFonts w:cs="Calibri"/>
                <w:color w:val="000000"/>
                <w:szCs w:val="24"/>
              </w:rPr>
              <w:t>Daily</w:t>
            </w:r>
          </w:p>
        </w:tc>
        <w:tc>
          <w:tcPr>
            <w:tcW w:w="1759" w:type="dxa"/>
            <w:noWrap/>
            <w:vAlign w:val="center"/>
          </w:tcPr>
          <w:p w14:paraId="5885806E" w14:textId="48A73ECB" w:rsidR="008D4D2D" w:rsidRPr="00937FE8" w:rsidRDefault="008D4D2D" w:rsidP="008D4D2D">
            <w:pPr>
              <w:spacing w:after="0"/>
              <w:ind w:left="0"/>
              <w:rPr>
                <w:rFonts w:cs="Calibri"/>
                <w:color w:val="000000"/>
                <w:szCs w:val="24"/>
              </w:rPr>
            </w:pPr>
            <w:r w:rsidRPr="00937FE8">
              <w:rPr>
                <w:rFonts w:cs="Calibri"/>
                <w:color w:val="000000"/>
                <w:szCs w:val="24"/>
              </w:rPr>
              <w:t>BNDP423P</w:t>
            </w:r>
          </w:p>
        </w:tc>
        <w:tc>
          <w:tcPr>
            <w:tcW w:w="7185" w:type="dxa"/>
            <w:vAlign w:val="center"/>
          </w:tcPr>
          <w:p w14:paraId="149CE3F7" w14:textId="1FC879EA" w:rsidR="008D4D2D" w:rsidRPr="00937FE8" w:rsidRDefault="008D4D2D" w:rsidP="008D4D2D">
            <w:pPr>
              <w:spacing w:after="0"/>
              <w:ind w:left="0"/>
              <w:rPr>
                <w:rFonts w:cs="Calibri"/>
                <w:color w:val="000000"/>
                <w:szCs w:val="24"/>
              </w:rPr>
            </w:pPr>
            <w:r w:rsidRPr="00937FE8">
              <w:rPr>
                <w:rFonts w:cs="Calibri"/>
                <w:color w:val="000000"/>
                <w:szCs w:val="24"/>
              </w:rPr>
              <w:t xml:space="preserve">Withholding </w:t>
            </w:r>
            <w:r w:rsidR="00B76AC7">
              <w:rPr>
                <w:rFonts w:cs="Calibri"/>
                <w:color w:val="000000"/>
                <w:szCs w:val="24"/>
              </w:rPr>
              <w:t>Payment</w:t>
            </w:r>
            <w:r w:rsidRPr="00937FE8">
              <w:rPr>
                <w:rFonts w:cs="Calibri"/>
                <w:color w:val="000000"/>
                <w:szCs w:val="24"/>
              </w:rPr>
              <w:t xml:space="preserve"> Register Report</w:t>
            </w:r>
            <w:r w:rsidR="009C5B13">
              <w:rPr>
                <w:rFonts w:cs="Calibri"/>
                <w:color w:val="000000"/>
                <w:szCs w:val="24"/>
              </w:rPr>
              <w:t>; d</w:t>
            </w:r>
            <w:r w:rsidRPr="00937FE8">
              <w:rPr>
                <w:rFonts w:cs="Calibri"/>
                <w:color w:val="000000"/>
                <w:szCs w:val="24"/>
              </w:rPr>
              <w:t xml:space="preserve">aily Ledger </w:t>
            </w:r>
            <w:r w:rsidR="009C5B13">
              <w:rPr>
                <w:rFonts w:cs="Calibri"/>
                <w:color w:val="000000"/>
                <w:szCs w:val="24"/>
              </w:rPr>
              <w:t>of Withholding amounts</w:t>
            </w:r>
          </w:p>
        </w:tc>
      </w:tr>
      <w:tr w:rsidR="008D4D2D" w:rsidRPr="000E4EAF" w14:paraId="6AAD5675" w14:textId="77777777" w:rsidTr="008C223D">
        <w:trPr>
          <w:trHeight w:val="300"/>
        </w:trPr>
        <w:tc>
          <w:tcPr>
            <w:tcW w:w="697" w:type="dxa"/>
            <w:noWrap/>
            <w:vAlign w:val="center"/>
            <w:hideMark/>
          </w:tcPr>
          <w:p w14:paraId="3DBFF12B"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23</w:t>
            </w:r>
          </w:p>
        </w:tc>
        <w:tc>
          <w:tcPr>
            <w:tcW w:w="1661" w:type="dxa"/>
            <w:noWrap/>
            <w:vAlign w:val="center"/>
          </w:tcPr>
          <w:p w14:paraId="0793C6EE" w14:textId="2B1B1795" w:rsidR="008D4D2D" w:rsidRPr="00937FE8" w:rsidRDefault="008D4D2D" w:rsidP="008D4D2D">
            <w:pPr>
              <w:spacing w:after="0"/>
              <w:ind w:left="0"/>
              <w:rPr>
                <w:rFonts w:cs="Calibri"/>
                <w:color w:val="000000"/>
                <w:szCs w:val="24"/>
              </w:rPr>
            </w:pPr>
            <w:r w:rsidRPr="00937FE8">
              <w:rPr>
                <w:rFonts w:cs="Calibri"/>
                <w:color w:val="000000"/>
                <w:szCs w:val="24"/>
              </w:rPr>
              <w:t>Daily</w:t>
            </w:r>
          </w:p>
        </w:tc>
        <w:tc>
          <w:tcPr>
            <w:tcW w:w="1759" w:type="dxa"/>
            <w:noWrap/>
            <w:vAlign w:val="center"/>
          </w:tcPr>
          <w:p w14:paraId="4B4356CD" w14:textId="49646E25" w:rsidR="008D4D2D" w:rsidRPr="00937FE8" w:rsidRDefault="008D4D2D" w:rsidP="008D4D2D">
            <w:pPr>
              <w:spacing w:after="0"/>
              <w:ind w:left="0"/>
              <w:rPr>
                <w:rFonts w:cs="Calibri"/>
                <w:color w:val="000000"/>
                <w:szCs w:val="24"/>
              </w:rPr>
            </w:pPr>
            <w:r w:rsidRPr="00937FE8">
              <w:rPr>
                <w:rFonts w:cs="Calibri"/>
                <w:color w:val="000000"/>
                <w:szCs w:val="24"/>
              </w:rPr>
              <w:t>BNDP424P</w:t>
            </w:r>
          </w:p>
        </w:tc>
        <w:tc>
          <w:tcPr>
            <w:tcW w:w="7185" w:type="dxa"/>
            <w:vAlign w:val="center"/>
          </w:tcPr>
          <w:p w14:paraId="7165D51B" w14:textId="16EE5846" w:rsidR="008D4D2D" w:rsidRPr="00937FE8" w:rsidRDefault="008D4D2D" w:rsidP="008D4D2D">
            <w:pPr>
              <w:spacing w:after="0"/>
              <w:ind w:left="0"/>
              <w:rPr>
                <w:rFonts w:cs="Calibri"/>
                <w:color w:val="000000"/>
                <w:szCs w:val="24"/>
              </w:rPr>
            </w:pPr>
            <w:r w:rsidRPr="00937FE8">
              <w:rPr>
                <w:rFonts w:cs="Calibri"/>
                <w:color w:val="000000"/>
                <w:szCs w:val="24"/>
              </w:rPr>
              <w:t xml:space="preserve">TUC </w:t>
            </w:r>
            <w:r w:rsidR="00B76AC7">
              <w:rPr>
                <w:rFonts w:cs="Calibri"/>
                <w:color w:val="000000"/>
                <w:szCs w:val="24"/>
              </w:rPr>
              <w:t>Payment</w:t>
            </w:r>
            <w:r w:rsidRPr="00937FE8">
              <w:rPr>
                <w:rFonts w:cs="Calibri"/>
                <w:color w:val="000000"/>
                <w:szCs w:val="24"/>
              </w:rPr>
              <w:t xml:space="preserve"> Register Report</w:t>
            </w:r>
            <w:r w:rsidR="009C5B13">
              <w:rPr>
                <w:rFonts w:cs="Calibri"/>
                <w:color w:val="000000"/>
                <w:szCs w:val="24"/>
              </w:rPr>
              <w:t>; b</w:t>
            </w:r>
            <w:r w:rsidRPr="00937FE8">
              <w:rPr>
                <w:rFonts w:cs="Calibri"/>
                <w:color w:val="000000"/>
                <w:szCs w:val="24"/>
              </w:rPr>
              <w:t>reaks out TUC/E</w:t>
            </w:r>
            <w:r w:rsidR="009C5B13">
              <w:rPr>
                <w:rFonts w:cs="Calibri"/>
                <w:color w:val="000000"/>
                <w:szCs w:val="24"/>
              </w:rPr>
              <w:t xml:space="preserve">UC008 from </w:t>
            </w:r>
            <w:r w:rsidR="00B76AC7">
              <w:rPr>
                <w:rFonts w:cs="Calibri"/>
                <w:color w:val="000000"/>
                <w:szCs w:val="24"/>
              </w:rPr>
              <w:t>payment</w:t>
            </w:r>
            <w:r w:rsidR="009C5B13">
              <w:rPr>
                <w:rFonts w:cs="Calibri"/>
                <w:color w:val="000000"/>
                <w:szCs w:val="24"/>
              </w:rPr>
              <w:t xml:space="preserve"> issuance report</w:t>
            </w:r>
          </w:p>
        </w:tc>
      </w:tr>
      <w:tr w:rsidR="008D4D2D" w:rsidRPr="000E4EAF" w14:paraId="440718AE" w14:textId="77777777" w:rsidTr="008C223D">
        <w:trPr>
          <w:trHeight w:val="300"/>
        </w:trPr>
        <w:tc>
          <w:tcPr>
            <w:tcW w:w="697" w:type="dxa"/>
            <w:noWrap/>
            <w:vAlign w:val="center"/>
            <w:hideMark/>
          </w:tcPr>
          <w:p w14:paraId="16DAA4D7"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24</w:t>
            </w:r>
          </w:p>
        </w:tc>
        <w:tc>
          <w:tcPr>
            <w:tcW w:w="1661" w:type="dxa"/>
            <w:noWrap/>
            <w:vAlign w:val="center"/>
          </w:tcPr>
          <w:p w14:paraId="5CF299E1" w14:textId="01731ABD" w:rsidR="008D4D2D" w:rsidRPr="00937FE8" w:rsidRDefault="008D4D2D" w:rsidP="008D4D2D">
            <w:pPr>
              <w:spacing w:after="0"/>
              <w:ind w:left="0"/>
              <w:rPr>
                <w:rFonts w:cs="Calibri"/>
                <w:color w:val="000000"/>
                <w:szCs w:val="24"/>
              </w:rPr>
            </w:pPr>
            <w:r w:rsidRPr="00937FE8">
              <w:rPr>
                <w:rFonts w:cs="Calibri"/>
                <w:color w:val="000000"/>
                <w:szCs w:val="24"/>
              </w:rPr>
              <w:t>Daily</w:t>
            </w:r>
          </w:p>
        </w:tc>
        <w:tc>
          <w:tcPr>
            <w:tcW w:w="1759" w:type="dxa"/>
            <w:noWrap/>
            <w:vAlign w:val="center"/>
          </w:tcPr>
          <w:p w14:paraId="62063B68" w14:textId="37D57FDB" w:rsidR="008D4D2D" w:rsidRPr="00937FE8" w:rsidRDefault="008D4D2D" w:rsidP="008D4D2D">
            <w:pPr>
              <w:spacing w:after="0"/>
              <w:ind w:left="0"/>
              <w:rPr>
                <w:rFonts w:cs="Calibri"/>
                <w:color w:val="000000"/>
                <w:szCs w:val="24"/>
              </w:rPr>
            </w:pPr>
            <w:r w:rsidRPr="00937FE8">
              <w:rPr>
                <w:rFonts w:cs="Calibri"/>
                <w:color w:val="000000"/>
                <w:szCs w:val="24"/>
              </w:rPr>
              <w:t>BNDP428P</w:t>
            </w:r>
          </w:p>
        </w:tc>
        <w:tc>
          <w:tcPr>
            <w:tcW w:w="7185" w:type="dxa"/>
            <w:vAlign w:val="center"/>
          </w:tcPr>
          <w:p w14:paraId="2421E97D" w14:textId="138D7A1C" w:rsidR="008D4D2D" w:rsidRPr="00937FE8" w:rsidRDefault="008D4D2D" w:rsidP="008D4D2D">
            <w:pPr>
              <w:spacing w:after="0"/>
              <w:ind w:left="0"/>
              <w:rPr>
                <w:rFonts w:cs="Calibri"/>
                <w:color w:val="000000"/>
                <w:szCs w:val="24"/>
              </w:rPr>
            </w:pPr>
            <w:r w:rsidRPr="00937FE8">
              <w:rPr>
                <w:rFonts w:cs="Calibri"/>
                <w:color w:val="000000"/>
                <w:szCs w:val="24"/>
              </w:rPr>
              <w:t xml:space="preserve">Exb </w:t>
            </w:r>
            <w:r w:rsidR="00B76AC7">
              <w:rPr>
                <w:rFonts w:cs="Calibri"/>
                <w:color w:val="000000"/>
                <w:szCs w:val="24"/>
              </w:rPr>
              <w:t>Payment</w:t>
            </w:r>
            <w:r w:rsidRPr="00937FE8">
              <w:rPr>
                <w:rFonts w:cs="Calibri"/>
                <w:color w:val="000000"/>
                <w:szCs w:val="24"/>
              </w:rPr>
              <w:t xml:space="preserve"> Register </w:t>
            </w:r>
            <w:r w:rsidR="009C5B13" w:rsidRPr="00937FE8">
              <w:rPr>
                <w:rFonts w:cs="Calibri"/>
                <w:color w:val="000000"/>
                <w:szCs w:val="24"/>
              </w:rPr>
              <w:t>Report</w:t>
            </w:r>
            <w:r w:rsidR="009C5B13">
              <w:rPr>
                <w:rFonts w:cs="Calibri"/>
                <w:color w:val="000000"/>
                <w:szCs w:val="24"/>
              </w:rPr>
              <w:t>; b</w:t>
            </w:r>
            <w:r w:rsidR="009C5B13" w:rsidRPr="00937FE8">
              <w:rPr>
                <w:rFonts w:cs="Calibri"/>
                <w:color w:val="000000"/>
                <w:szCs w:val="24"/>
              </w:rPr>
              <w:t xml:space="preserve">reaks </w:t>
            </w:r>
            <w:r w:rsidRPr="00937FE8">
              <w:rPr>
                <w:rFonts w:cs="Calibri"/>
                <w:color w:val="000000"/>
                <w:szCs w:val="24"/>
              </w:rPr>
              <w:t xml:space="preserve">out exb001 from </w:t>
            </w:r>
            <w:r w:rsidR="00B76AC7">
              <w:rPr>
                <w:rFonts w:cs="Calibri"/>
                <w:color w:val="000000"/>
                <w:szCs w:val="24"/>
              </w:rPr>
              <w:t>payment</w:t>
            </w:r>
            <w:r w:rsidRPr="00937FE8">
              <w:rPr>
                <w:rFonts w:cs="Calibri"/>
                <w:color w:val="000000"/>
                <w:szCs w:val="24"/>
              </w:rPr>
              <w:t xml:space="preserve"> issuance report into fed &amp; state</w:t>
            </w:r>
            <w:r w:rsidR="009C5B13">
              <w:rPr>
                <w:rFonts w:cs="Calibri"/>
                <w:color w:val="000000"/>
                <w:szCs w:val="24"/>
              </w:rPr>
              <w:t xml:space="preserve"> money to be recorded in need money</w:t>
            </w:r>
          </w:p>
        </w:tc>
      </w:tr>
      <w:tr w:rsidR="008D4D2D" w:rsidRPr="000E4EAF" w14:paraId="4B5ECC2B" w14:textId="77777777" w:rsidTr="008C223D">
        <w:trPr>
          <w:trHeight w:val="315"/>
        </w:trPr>
        <w:tc>
          <w:tcPr>
            <w:tcW w:w="697" w:type="dxa"/>
            <w:noWrap/>
            <w:vAlign w:val="center"/>
            <w:hideMark/>
          </w:tcPr>
          <w:p w14:paraId="5F4AB4DC"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25</w:t>
            </w:r>
          </w:p>
        </w:tc>
        <w:tc>
          <w:tcPr>
            <w:tcW w:w="1661" w:type="dxa"/>
            <w:noWrap/>
            <w:vAlign w:val="center"/>
          </w:tcPr>
          <w:p w14:paraId="50093A1B" w14:textId="75935D8E" w:rsidR="008D4D2D" w:rsidRPr="00937FE8" w:rsidRDefault="008D4D2D" w:rsidP="008D4D2D">
            <w:pPr>
              <w:spacing w:after="0"/>
              <w:ind w:left="0"/>
              <w:rPr>
                <w:rFonts w:cs="Calibri"/>
                <w:color w:val="000000"/>
                <w:szCs w:val="24"/>
              </w:rPr>
            </w:pPr>
            <w:r w:rsidRPr="00937FE8">
              <w:rPr>
                <w:rFonts w:cs="Calibri"/>
                <w:color w:val="000000"/>
                <w:szCs w:val="24"/>
              </w:rPr>
              <w:t>Daily</w:t>
            </w:r>
          </w:p>
        </w:tc>
        <w:tc>
          <w:tcPr>
            <w:tcW w:w="1759" w:type="dxa"/>
            <w:noWrap/>
            <w:vAlign w:val="center"/>
          </w:tcPr>
          <w:p w14:paraId="0D070404" w14:textId="3178FD62" w:rsidR="008D4D2D" w:rsidRPr="00937FE8" w:rsidRDefault="008D4D2D" w:rsidP="008D4D2D">
            <w:pPr>
              <w:spacing w:after="0"/>
              <w:ind w:left="0"/>
              <w:rPr>
                <w:rFonts w:cs="Calibri"/>
                <w:color w:val="000000"/>
                <w:szCs w:val="24"/>
              </w:rPr>
            </w:pPr>
            <w:r w:rsidRPr="00937FE8">
              <w:rPr>
                <w:rFonts w:cs="Calibri"/>
                <w:color w:val="000000"/>
                <w:szCs w:val="24"/>
              </w:rPr>
              <w:t>BNDP595P</w:t>
            </w:r>
          </w:p>
        </w:tc>
        <w:tc>
          <w:tcPr>
            <w:tcW w:w="7185" w:type="dxa"/>
            <w:vAlign w:val="center"/>
          </w:tcPr>
          <w:p w14:paraId="6131B7A3" w14:textId="0BED1692" w:rsidR="008D4D2D" w:rsidRPr="00937FE8" w:rsidRDefault="00B76AC7" w:rsidP="008D4D2D">
            <w:pPr>
              <w:spacing w:after="0"/>
              <w:ind w:left="0"/>
              <w:rPr>
                <w:rFonts w:cs="Calibri"/>
                <w:color w:val="000000"/>
                <w:szCs w:val="24"/>
              </w:rPr>
            </w:pPr>
            <w:r>
              <w:rPr>
                <w:rFonts w:cs="Calibri"/>
                <w:color w:val="000000"/>
                <w:szCs w:val="24"/>
              </w:rPr>
              <w:t>Payment</w:t>
            </w:r>
            <w:r w:rsidR="008D4D2D" w:rsidRPr="00937FE8">
              <w:rPr>
                <w:rFonts w:cs="Calibri"/>
                <w:color w:val="000000"/>
                <w:szCs w:val="24"/>
              </w:rPr>
              <w:t xml:space="preserve"> Cancellation Error Report</w:t>
            </w:r>
            <w:r w:rsidR="009C5B13">
              <w:rPr>
                <w:rFonts w:cs="Calibri"/>
                <w:color w:val="000000"/>
                <w:szCs w:val="24"/>
              </w:rPr>
              <w:t>; i</w:t>
            </w:r>
            <w:r w:rsidR="008D4D2D" w:rsidRPr="00937FE8">
              <w:rPr>
                <w:rFonts w:cs="Calibri"/>
                <w:color w:val="000000"/>
                <w:szCs w:val="24"/>
              </w:rPr>
              <w:t>den</w:t>
            </w:r>
            <w:r w:rsidR="009C5B13">
              <w:rPr>
                <w:rFonts w:cs="Calibri"/>
                <w:color w:val="000000"/>
                <w:szCs w:val="24"/>
              </w:rPr>
              <w:t xml:space="preserve">tifies </w:t>
            </w:r>
            <w:r>
              <w:rPr>
                <w:rFonts w:cs="Calibri"/>
                <w:color w:val="000000"/>
                <w:szCs w:val="24"/>
              </w:rPr>
              <w:t>payment</w:t>
            </w:r>
            <w:r w:rsidR="009C5B13">
              <w:rPr>
                <w:rFonts w:cs="Calibri"/>
                <w:color w:val="000000"/>
                <w:szCs w:val="24"/>
              </w:rPr>
              <w:t xml:space="preserve"> cancellation errors</w:t>
            </w:r>
          </w:p>
        </w:tc>
      </w:tr>
      <w:tr w:rsidR="008D4D2D" w:rsidRPr="000E4EAF" w14:paraId="5C092C55" w14:textId="77777777" w:rsidTr="008C223D">
        <w:trPr>
          <w:trHeight w:val="300"/>
        </w:trPr>
        <w:tc>
          <w:tcPr>
            <w:tcW w:w="697" w:type="dxa"/>
            <w:noWrap/>
            <w:vAlign w:val="center"/>
            <w:hideMark/>
          </w:tcPr>
          <w:p w14:paraId="0ECB734D"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26</w:t>
            </w:r>
          </w:p>
        </w:tc>
        <w:tc>
          <w:tcPr>
            <w:tcW w:w="1661" w:type="dxa"/>
            <w:noWrap/>
            <w:vAlign w:val="center"/>
          </w:tcPr>
          <w:p w14:paraId="2E13171B" w14:textId="76C0BBCA" w:rsidR="008D4D2D" w:rsidRPr="00937FE8" w:rsidRDefault="008D4D2D" w:rsidP="008D4D2D">
            <w:pPr>
              <w:spacing w:after="0"/>
              <w:ind w:left="0"/>
              <w:rPr>
                <w:rFonts w:cs="Calibri"/>
                <w:color w:val="000000"/>
                <w:szCs w:val="24"/>
              </w:rPr>
            </w:pPr>
            <w:r w:rsidRPr="00937FE8">
              <w:rPr>
                <w:rFonts w:cs="Calibri"/>
                <w:color w:val="000000"/>
                <w:szCs w:val="24"/>
              </w:rPr>
              <w:t>Daily</w:t>
            </w:r>
          </w:p>
        </w:tc>
        <w:tc>
          <w:tcPr>
            <w:tcW w:w="1759" w:type="dxa"/>
            <w:noWrap/>
            <w:vAlign w:val="center"/>
          </w:tcPr>
          <w:p w14:paraId="2D6A4140" w14:textId="5AF13B07" w:rsidR="008D4D2D" w:rsidRPr="00937FE8" w:rsidRDefault="008D4D2D" w:rsidP="008D4D2D">
            <w:pPr>
              <w:spacing w:after="0"/>
              <w:ind w:left="0"/>
              <w:rPr>
                <w:rFonts w:cs="Calibri"/>
                <w:color w:val="000000"/>
                <w:szCs w:val="24"/>
              </w:rPr>
            </w:pPr>
            <w:r w:rsidRPr="00937FE8">
              <w:rPr>
                <w:rFonts w:cs="Calibri"/>
                <w:color w:val="000000"/>
                <w:szCs w:val="24"/>
              </w:rPr>
              <w:t>BNDX678P</w:t>
            </w:r>
          </w:p>
        </w:tc>
        <w:tc>
          <w:tcPr>
            <w:tcW w:w="7185" w:type="dxa"/>
            <w:vAlign w:val="center"/>
          </w:tcPr>
          <w:p w14:paraId="6055F0F1" w14:textId="5F214782" w:rsidR="008D4D2D" w:rsidRPr="00937FE8" w:rsidRDefault="008D4D2D" w:rsidP="008D4D2D">
            <w:pPr>
              <w:spacing w:after="0"/>
              <w:ind w:left="0"/>
              <w:rPr>
                <w:rFonts w:cs="Calibri"/>
                <w:color w:val="000000"/>
                <w:szCs w:val="24"/>
              </w:rPr>
            </w:pPr>
            <w:r w:rsidRPr="00937FE8">
              <w:rPr>
                <w:rFonts w:cs="Calibri"/>
                <w:color w:val="000000"/>
                <w:szCs w:val="24"/>
              </w:rPr>
              <w:t>Warrant Register Report</w:t>
            </w:r>
            <w:r w:rsidR="009C5B13">
              <w:rPr>
                <w:rFonts w:cs="Calibri"/>
                <w:color w:val="000000"/>
                <w:szCs w:val="24"/>
              </w:rPr>
              <w:t>; t</w:t>
            </w:r>
            <w:r w:rsidRPr="00937FE8">
              <w:rPr>
                <w:rFonts w:cs="Calibri"/>
                <w:color w:val="000000"/>
                <w:szCs w:val="24"/>
              </w:rPr>
              <w:t xml:space="preserve">o reconcile UI Benefit </w:t>
            </w:r>
            <w:r w:rsidR="008B685F" w:rsidRPr="00937FE8">
              <w:rPr>
                <w:rFonts w:cs="Calibri"/>
                <w:color w:val="000000"/>
                <w:szCs w:val="24"/>
              </w:rPr>
              <w:t>Payments.</w:t>
            </w:r>
          </w:p>
        </w:tc>
      </w:tr>
      <w:tr w:rsidR="008D4D2D" w:rsidRPr="000E4EAF" w14:paraId="1F181C69" w14:textId="77777777" w:rsidTr="008C223D">
        <w:trPr>
          <w:trHeight w:val="300"/>
        </w:trPr>
        <w:tc>
          <w:tcPr>
            <w:tcW w:w="697" w:type="dxa"/>
            <w:noWrap/>
            <w:vAlign w:val="center"/>
            <w:hideMark/>
          </w:tcPr>
          <w:p w14:paraId="66F6B076"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27</w:t>
            </w:r>
          </w:p>
        </w:tc>
        <w:tc>
          <w:tcPr>
            <w:tcW w:w="1661" w:type="dxa"/>
            <w:noWrap/>
            <w:vAlign w:val="center"/>
          </w:tcPr>
          <w:p w14:paraId="20DC9B2D" w14:textId="069E071E" w:rsidR="008D4D2D" w:rsidRPr="00937FE8" w:rsidRDefault="008D4D2D" w:rsidP="008D4D2D">
            <w:pPr>
              <w:spacing w:after="0"/>
              <w:ind w:left="0"/>
              <w:rPr>
                <w:rFonts w:cs="Calibri"/>
                <w:color w:val="000000"/>
                <w:szCs w:val="24"/>
              </w:rPr>
            </w:pPr>
            <w:r w:rsidRPr="00937FE8">
              <w:rPr>
                <w:rFonts w:cs="Calibri"/>
                <w:color w:val="000000"/>
                <w:szCs w:val="24"/>
              </w:rPr>
              <w:t>Daily</w:t>
            </w:r>
          </w:p>
        </w:tc>
        <w:tc>
          <w:tcPr>
            <w:tcW w:w="1759" w:type="dxa"/>
            <w:noWrap/>
            <w:vAlign w:val="center"/>
          </w:tcPr>
          <w:p w14:paraId="4A39CDF0" w14:textId="7783CDDB" w:rsidR="008D4D2D" w:rsidRPr="00937FE8" w:rsidRDefault="008D4D2D" w:rsidP="008D4D2D">
            <w:pPr>
              <w:spacing w:after="0"/>
              <w:ind w:left="0"/>
              <w:rPr>
                <w:rFonts w:cs="Calibri"/>
                <w:color w:val="000000"/>
                <w:szCs w:val="24"/>
              </w:rPr>
            </w:pPr>
            <w:r w:rsidRPr="00937FE8">
              <w:rPr>
                <w:rFonts w:cs="Calibri"/>
                <w:color w:val="000000"/>
                <w:szCs w:val="24"/>
              </w:rPr>
              <w:t>BNDXML2P</w:t>
            </w:r>
          </w:p>
        </w:tc>
        <w:tc>
          <w:tcPr>
            <w:tcW w:w="7185" w:type="dxa"/>
            <w:vAlign w:val="center"/>
          </w:tcPr>
          <w:p w14:paraId="269E39B2" w14:textId="72CD48DF" w:rsidR="008D4D2D" w:rsidRPr="00937FE8" w:rsidRDefault="008D4D2D" w:rsidP="008D4D2D">
            <w:pPr>
              <w:spacing w:after="0"/>
              <w:ind w:left="0"/>
              <w:rPr>
                <w:rFonts w:cs="Calibri"/>
                <w:color w:val="000000"/>
                <w:szCs w:val="24"/>
              </w:rPr>
            </w:pPr>
            <w:r w:rsidRPr="00937FE8">
              <w:rPr>
                <w:rFonts w:cs="Calibri"/>
                <w:color w:val="000000"/>
                <w:szCs w:val="24"/>
              </w:rPr>
              <w:t>AG &amp; IRORA Warrants</w:t>
            </w:r>
            <w:r w:rsidR="009C5B13">
              <w:rPr>
                <w:rFonts w:cs="Calibri"/>
                <w:color w:val="000000"/>
                <w:szCs w:val="24"/>
              </w:rPr>
              <w:t>; p</w:t>
            </w:r>
            <w:r w:rsidRPr="00937FE8">
              <w:rPr>
                <w:rFonts w:cs="Calibri"/>
                <w:color w:val="000000"/>
                <w:szCs w:val="24"/>
              </w:rPr>
              <w:t>ayments t</w:t>
            </w:r>
            <w:r w:rsidR="00B76AC7">
              <w:rPr>
                <w:rFonts w:cs="Calibri"/>
                <w:color w:val="000000"/>
                <w:szCs w:val="24"/>
              </w:rPr>
              <w:t>o AG and other states for IRORA</w:t>
            </w:r>
          </w:p>
        </w:tc>
      </w:tr>
      <w:tr w:rsidR="008D4D2D" w:rsidRPr="000E4EAF" w14:paraId="23F2250A" w14:textId="77777777" w:rsidTr="008C223D">
        <w:trPr>
          <w:trHeight w:val="300"/>
        </w:trPr>
        <w:tc>
          <w:tcPr>
            <w:tcW w:w="697" w:type="dxa"/>
            <w:noWrap/>
            <w:vAlign w:val="center"/>
            <w:hideMark/>
          </w:tcPr>
          <w:p w14:paraId="7B06AB34"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28</w:t>
            </w:r>
          </w:p>
        </w:tc>
        <w:tc>
          <w:tcPr>
            <w:tcW w:w="1661" w:type="dxa"/>
            <w:noWrap/>
            <w:vAlign w:val="center"/>
          </w:tcPr>
          <w:p w14:paraId="49E2D989" w14:textId="5E371D58" w:rsidR="008D4D2D" w:rsidRPr="00937FE8" w:rsidRDefault="008D4D2D" w:rsidP="008D4D2D">
            <w:pPr>
              <w:spacing w:after="0"/>
              <w:ind w:left="0"/>
              <w:rPr>
                <w:rFonts w:cs="Calibri"/>
                <w:color w:val="000000"/>
                <w:szCs w:val="24"/>
              </w:rPr>
            </w:pPr>
            <w:r w:rsidRPr="00937FE8">
              <w:rPr>
                <w:rFonts w:cs="Calibri"/>
                <w:color w:val="000000"/>
                <w:szCs w:val="24"/>
              </w:rPr>
              <w:t>Daily</w:t>
            </w:r>
          </w:p>
        </w:tc>
        <w:tc>
          <w:tcPr>
            <w:tcW w:w="1759" w:type="dxa"/>
            <w:noWrap/>
            <w:vAlign w:val="center"/>
          </w:tcPr>
          <w:p w14:paraId="1EC02920" w14:textId="036D9AD4" w:rsidR="008D4D2D" w:rsidRPr="00937FE8" w:rsidRDefault="008D4D2D" w:rsidP="008D4D2D">
            <w:pPr>
              <w:spacing w:after="0"/>
              <w:ind w:left="0"/>
              <w:rPr>
                <w:rFonts w:cs="Calibri"/>
                <w:color w:val="000000"/>
                <w:szCs w:val="24"/>
              </w:rPr>
            </w:pPr>
            <w:r w:rsidRPr="00937FE8">
              <w:rPr>
                <w:rFonts w:cs="Calibri"/>
                <w:color w:val="000000"/>
                <w:szCs w:val="24"/>
              </w:rPr>
              <w:t>BNRPVDPR</w:t>
            </w:r>
          </w:p>
        </w:tc>
        <w:tc>
          <w:tcPr>
            <w:tcW w:w="7185" w:type="dxa"/>
            <w:vAlign w:val="center"/>
          </w:tcPr>
          <w:p w14:paraId="4CF6679F" w14:textId="76775DD7" w:rsidR="008D4D2D" w:rsidRPr="00937FE8" w:rsidRDefault="00B76AC7" w:rsidP="008D4D2D">
            <w:pPr>
              <w:spacing w:after="0"/>
              <w:ind w:left="0"/>
              <w:rPr>
                <w:rFonts w:cs="Calibri"/>
                <w:color w:val="000000"/>
                <w:szCs w:val="24"/>
              </w:rPr>
            </w:pPr>
            <w:r>
              <w:rPr>
                <w:rFonts w:cs="Calibri"/>
                <w:color w:val="000000"/>
                <w:szCs w:val="24"/>
              </w:rPr>
              <w:t>Statute Void Debit List;</w:t>
            </w:r>
            <w:r w:rsidR="008D4D2D" w:rsidRPr="00937FE8">
              <w:rPr>
                <w:rFonts w:cs="Calibri"/>
                <w:color w:val="000000"/>
                <w:szCs w:val="24"/>
              </w:rPr>
              <w:t xml:space="preserve"> identifies voided </w:t>
            </w:r>
            <w:r w:rsidR="008B685F" w:rsidRPr="00937FE8">
              <w:rPr>
                <w:rFonts w:cs="Calibri"/>
                <w:color w:val="000000"/>
                <w:szCs w:val="24"/>
              </w:rPr>
              <w:t>statutes (</w:t>
            </w:r>
            <w:r w:rsidR="008D4D2D" w:rsidRPr="00937FE8">
              <w:rPr>
                <w:rFonts w:cs="Calibri"/>
                <w:color w:val="000000"/>
                <w:szCs w:val="24"/>
              </w:rPr>
              <w:t xml:space="preserve">debit </w:t>
            </w:r>
            <w:r w:rsidR="008B685F" w:rsidRPr="00937FE8">
              <w:rPr>
                <w:rFonts w:cs="Calibri"/>
                <w:color w:val="000000"/>
                <w:szCs w:val="24"/>
              </w:rPr>
              <w:t>card) keyed</w:t>
            </w:r>
            <w:r w:rsidR="008D4D2D" w:rsidRPr="00937FE8">
              <w:rPr>
                <w:rFonts w:cs="Calibri"/>
                <w:color w:val="000000"/>
                <w:szCs w:val="24"/>
              </w:rPr>
              <w:t xml:space="preserve"> by </w:t>
            </w:r>
            <w:r w:rsidR="008B685F">
              <w:rPr>
                <w:rFonts w:cs="Calibri"/>
                <w:color w:val="000000"/>
                <w:szCs w:val="24"/>
              </w:rPr>
              <w:t>AD&amp;M</w:t>
            </w:r>
            <w:r w:rsidR="008D4D2D" w:rsidRPr="00937FE8">
              <w:rPr>
                <w:rFonts w:cs="Calibri"/>
                <w:color w:val="000000"/>
                <w:szCs w:val="24"/>
              </w:rPr>
              <w:t xml:space="preserve"> to input into DB for Journal load &amp; o</w:t>
            </w:r>
            <w:r>
              <w:rPr>
                <w:rFonts w:cs="Calibri"/>
                <w:color w:val="000000"/>
                <w:szCs w:val="24"/>
              </w:rPr>
              <w:t>ccasional need money to be recorded</w:t>
            </w:r>
          </w:p>
        </w:tc>
      </w:tr>
      <w:tr w:rsidR="008D4D2D" w:rsidRPr="000E4EAF" w14:paraId="3389360C" w14:textId="77777777" w:rsidTr="008C223D">
        <w:trPr>
          <w:trHeight w:val="300"/>
        </w:trPr>
        <w:tc>
          <w:tcPr>
            <w:tcW w:w="697" w:type="dxa"/>
            <w:noWrap/>
            <w:vAlign w:val="center"/>
            <w:hideMark/>
          </w:tcPr>
          <w:p w14:paraId="1B83C827"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29</w:t>
            </w:r>
          </w:p>
        </w:tc>
        <w:tc>
          <w:tcPr>
            <w:tcW w:w="1661" w:type="dxa"/>
            <w:noWrap/>
            <w:vAlign w:val="center"/>
          </w:tcPr>
          <w:p w14:paraId="29A239A4" w14:textId="171EE6B4" w:rsidR="008D4D2D" w:rsidRPr="00937FE8" w:rsidRDefault="008D4D2D" w:rsidP="008D4D2D">
            <w:pPr>
              <w:spacing w:after="0"/>
              <w:ind w:left="0"/>
              <w:rPr>
                <w:rFonts w:cs="Calibri"/>
                <w:color w:val="000000"/>
                <w:szCs w:val="24"/>
              </w:rPr>
            </w:pPr>
            <w:r w:rsidRPr="00937FE8">
              <w:rPr>
                <w:rFonts w:cs="Calibri"/>
                <w:color w:val="000000"/>
                <w:szCs w:val="24"/>
              </w:rPr>
              <w:t>Daily</w:t>
            </w:r>
          </w:p>
        </w:tc>
        <w:tc>
          <w:tcPr>
            <w:tcW w:w="1759" w:type="dxa"/>
            <w:noWrap/>
            <w:vAlign w:val="center"/>
          </w:tcPr>
          <w:p w14:paraId="4F8A0844" w14:textId="17855758" w:rsidR="008D4D2D" w:rsidRPr="00937FE8" w:rsidRDefault="008D4D2D" w:rsidP="008D4D2D">
            <w:pPr>
              <w:spacing w:after="0"/>
              <w:ind w:left="0"/>
              <w:rPr>
                <w:rFonts w:cs="Calibri"/>
                <w:color w:val="000000"/>
                <w:szCs w:val="24"/>
              </w:rPr>
            </w:pPr>
            <w:r w:rsidRPr="00937FE8">
              <w:rPr>
                <w:rFonts w:cs="Calibri"/>
                <w:color w:val="000000"/>
                <w:szCs w:val="24"/>
              </w:rPr>
              <w:t>CHG001J0</w:t>
            </w:r>
          </w:p>
        </w:tc>
        <w:tc>
          <w:tcPr>
            <w:tcW w:w="7185" w:type="dxa"/>
            <w:vAlign w:val="center"/>
          </w:tcPr>
          <w:p w14:paraId="7D6C01AD" w14:textId="5AC48792" w:rsidR="008D4D2D" w:rsidRPr="00937FE8" w:rsidRDefault="008D4D2D" w:rsidP="008D4D2D">
            <w:pPr>
              <w:spacing w:after="0"/>
              <w:ind w:left="0"/>
              <w:rPr>
                <w:rFonts w:cs="Calibri"/>
                <w:color w:val="000000"/>
                <w:szCs w:val="24"/>
              </w:rPr>
            </w:pPr>
            <w:r w:rsidRPr="00937FE8">
              <w:rPr>
                <w:rFonts w:cs="Calibri"/>
                <w:color w:val="000000"/>
                <w:szCs w:val="24"/>
              </w:rPr>
              <w:t>ACH Payment Listing</w:t>
            </w:r>
            <w:r w:rsidR="00B76AC7">
              <w:rPr>
                <w:rFonts w:cs="Calibri"/>
                <w:color w:val="000000"/>
                <w:szCs w:val="24"/>
              </w:rPr>
              <w:t>; r</w:t>
            </w:r>
            <w:r w:rsidRPr="00937FE8">
              <w:rPr>
                <w:rFonts w:cs="Calibri"/>
                <w:color w:val="000000"/>
                <w:szCs w:val="24"/>
              </w:rPr>
              <w:t>econcile AC</w:t>
            </w:r>
            <w:r w:rsidR="00B76AC7">
              <w:rPr>
                <w:rFonts w:cs="Calibri"/>
                <w:color w:val="000000"/>
                <w:szCs w:val="24"/>
              </w:rPr>
              <w:t>H payments to posting documents</w:t>
            </w:r>
          </w:p>
        </w:tc>
      </w:tr>
      <w:tr w:rsidR="008D4D2D" w:rsidRPr="000E4EAF" w14:paraId="05054706" w14:textId="77777777" w:rsidTr="008C223D">
        <w:trPr>
          <w:trHeight w:val="300"/>
        </w:trPr>
        <w:tc>
          <w:tcPr>
            <w:tcW w:w="697" w:type="dxa"/>
            <w:noWrap/>
            <w:vAlign w:val="center"/>
            <w:hideMark/>
          </w:tcPr>
          <w:p w14:paraId="31EB28ED"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30</w:t>
            </w:r>
          </w:p>
        </w:tc>
        <w:tc>
          <w:tcPr>
            <w:tcW w:w="1661" w:type="dxa"/>
            <w:noWrap/>
            <w:vAlign w:val="center"/>
          </w:tcPr>
          <w:p w14:paraId="258DD947" w14:textId="1C0CD9A2" w:rsidR="008D4D2D" w:rsidRPr="00937FE8" w:rsidRDefault="008D4D2D" w:rsidP="008D4D2D">
            <w:pPr>
              <w:spacing w:after="0"/>
              <w:ind w:left="0"/>
              <w:rPr>
                <w:rFonts w:cs="Calibri"/>
                <w:color w:val="000000"/>
                <w:szCs w:val="24"/>
              </w:rPr>
            </w:pPr>
            <w:r w:rsidRPr="00937FE8">
              <w:rPr>
                <w:rFonts w:cs="Calibri"/>
                <w:color w:val="000000"/>
                <w:szCs w:val="24"/>
              </w:rPr>
              <w:t>Daily</w:t>
            </w:r>
          </w:p>
        </w:tc>
        <w:tc>
          <w:tcPr>
            <w:tcW w:w="1759" w:type="dxa"/>
            <w:noWrap/>
            <w:vAlign w:val="center"/>
          </w:tcPr>
          <w:p w14:paraId="4DD52FB7" w14:textId="3405DF10" w:rsidR="008D4D2D" w:rsidRPr="00937FE8" w:rsidRDefault="008D4D2D" w:rsidP="008D4D2D">
            <w:pPr>
              <w:spacing w:after="0"/>
              <w:ind w:left="0"/>
              <w:rPr>
                <w:rFonts w:cs="Calibri"/>
                <w:color w:val="000000"/>
                <w:szCs w:val="24"/>
              </w:rPr>
            </w:pPr>
            <w:r w:rsidRPr="00937FE8">
              <w:rPr>
                <w:rFonts w:cs="Calibri"/>
                <w:color w:val="000000"/>
                <w:szCs w:val="24"/>
              </w:rPr>
              <w:t>CHG001J1</w:t>
            </w:r>
          </w:p>
        </w:tc>
        <w:tc>
          <w:tcPr>
            <w:tcW w:w="7185" w:type="dxa"/>
            <w:vAlign w:val="center"/>
          </w:tcPr>
          <w:p w14:paraId="06945ECB" w14:textId="0C9296CC" w:rsidR="008D4D2D" w:rsidRPr="00937FE8" w:rsidRDefault="008D4D2D" w:rsidP="008D4D2D">
            <w:pPr>
              <w:spacing w:after="0"/>
              <w:ind w:left="0"/>
              <w:rPr>
                <w:rFonts w:cs="Calibri"/>
                <w:color w:val="000000"/>
                <w:szCs w:val="24"/>
              </w:rPr>
            </w:pPr>
            <w:r w:rsidRPr="00937FE8">
              <w:rPr>
                <w:rFonts w:cs="Calibri"/>
                <w:color w:val="000000"/>
                <w:szCs w:val="24"/>
              </w:rPr>
              <w:t>ACH NOC</w:t>
            </w:r>
            <w:r w:rsidR="00B76AC7">
              <w:rPr>
                <w:rFonts w:cs="Calibri"/>
                <w:color w:val="000000"/>
                <w:szCs w:val="24"/>
              </w:rPr>
              <w:t>; t</w:t>
            </w:r>
            <w:r w:rsidRPr="00937FE8">
              <w:rPr>
                <w:rFonts w:cs="Calibri"/>
                <w:color w:val="000000"/>
                <w:szCs w:val="24"/>
              </w:rPr>
              <w:t xml:space="preserve">o notify </w:t>
            </w:r>
            <w:r w:rsidR="00B76AC7">
              <w:rPr>
                <w:rFonts w:cs="Calibri"/>
                <w:color w:val="000000"/>
                <w:szCs w:val="24"/>
              </w:rPr>
              <w:t>employers of ACH banking errors</w:t>
            </w:r>
          </w:p>
        </w:tc>
      </w:tr>
      <w:tr w:rsidR="008D4D2D" w:rsidRPr="000E4EAF" w14:paraId="31672C88" w14:textId="77777777" w:rsidTr="008C223D">
        <w:trPr>
          <w:trHeight w:val="300"/>
        </w:trPr>
        <w:tc>
          <w:tcPr>
            <w:tcW w:w="697" w:type="dxa"/>
            <w:noWrap/>
            <w:vAlign w:val="center"/>
            <w:hideMark/>
          </w:tcPr>
          <w:p w14:paraId="36826A47"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31</w:t>
            </w:r>
          </w:p>
        </w:tc>
        <w:tc>
          <w:tcPr>
            <w:tcW w:w="1661" w:type="dxa"/>
            <w:noWrap/>
            <w:vAlign w:val="center"/>
          </w:tcPr>
          <w:p w14:paraId="4433E901" w14:textId="41E436DE" w:rsidR="008D4D2D" w:rsidRPr="00937FE8" w:rsidRDefault="008D4D2D" w:rsidP="008D4D2D">
            <w:pPr>
              <w:spacing w:after="0"/>
              <w:ind w:left="0"/>
              <w:rPr>
                <w:rFonts w:cs="Calibri"/>
                <w:color w:val="000000"/>
                <w:szCs w:val="24"/>
              </w:rPr>
            </w:pPr>
            <w:r w:rsidRPr="00937FE8">
              <w:rPr>
                <w:rFonts w:cs="Calibri"/>
                <w:color w:val="000000"/>
                <w:szCs w:val="24"/>
              </w:rPr>
              <w:t>Daily</w:t>
            </w:r>
          </w:p>
        </w:tc>
        <w:tc>
          <w:tcPr>
            <w:tcW w:w="1759" w:type="dxa"/>
            <w:noWrap/>
            <w:vAlign w:val="center"/>
          </w:tcPr>
          <w:p w14:paraId="167EA295" w14:textId="6B19B2D2" w:rsidR="008D4D2D" w:rsidRPr="00937FE8" w:rsidRDefault="008D4D2D" w:rsidP="008D4D2D">
            <w:pPr>
              <w:spacing w:after="0"/>
              <w:ind w:left="0"/>
              <w:rPr>
                <w:rFonts w:cs="Calibri"/>
                <w:color w:val="000000"/>
                <w:szCs w:val="24"/>
              </w:rPr>
            </w:pPr>
            <w:r w:rsidRPr="00937FE8">
              <w:rPr>
                <w:rFonts w:cs="Calibri"/>
                <w:color w:val="000000"/>
                <w:szCs w:val="24"/>
              </w:rPr>
              <w:t>CHG001J2</w:t>
            </w:r>
          </w:p>
        </w:tc>
        <w:tc>
          <w:tcPr>
            <w:tcW w:w="7185" w:type="dxa"/>
            <w:vAlign w:val="center"/>
          </w:tcPr>
          <w:p w14:paraId="132FF218" w14:textId="1FB8AF66" w:rsidR="008D4D2D" w:rsidRPr="00937FE8" w:rsidRDefault="008D4D2D" w:rsidP="008D4D2D">
            <w:pPr>
              <w:spacing w:after="0"/>
              <w:ind w:left="0"/>
              <w:rPr>
                <w:rFonts w:cs="Calibri"/>
                <w:color w:val="000000"/>
                <w:szCs w:val="24"/>
              </w:rPr>
            </w:pPr>
            <w:r w:rsidRPr="00937FE8">
              <w:rPr>
                <w:rFonts w:cs="Calibri"/>
                <w:color w:val="000000"/>
                <w:szCs w:val="24"/>
              </w:rPr>
              <w:t>CC Payment Listing</w:t>
            </w:r>
            <w:r w:rsidR="00B76AC7">
              <w:rPr>
                <w:rFonts w:cs="Calibri"/>
                <w:color w:val="000000"/>
                <w:szCs w:val="24"/>
              </w:rPr>
              <w:t>; r</w:t>
            </w:r>
            <w:r w:rsidRPr="00937FE8">
              <w:rPr>
                <w:rFonts w:cs="Calibri"/>
                <w:color w:val="000000"/>
                <w:szCs w:val="24"/>
              </w:rPr>
              <w:t>econcile C</w:t>
            </w:r>
            <w:r w:rsidR="00B76AC7">
              <w:rPr>
                <w:rFonts w:cs="Calibri"/>
                <w:color w:val="000000"/>
                <w:szCs w:val="24"/>
              </w:rPr>
              <w:t>C Payments to posting documents</w:t>
            </w:r>
          </w:p>
        </w:tc>
      </w:tr>
      <w:tr w:rsidR="008D4D2D" w:rsidRPr="000E4EAF" w14:paraId="722A225C" w14:textId="77777777" w:rsidTr="008C223D">
        <w:trPr>
          <w:trHeight w:val="300"/>
        </w:trPr>
        <w:tc>
          <w:tcPr>
            <w:tcW w:w="697" w:type="dxa"/>
            <w:noWrap/>
            <w:vAlign w:val="center"/>
            <w:hideMark/>
          </w:tcPr>
          <w:p w14:paraId="5E241E84"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32</w:t>
            </w:r>
          </w:p>
        </w:tc>
        <w:tc>
          <w:tcPr>
            <w:tcW w:w="1661" w:type="dxa"/>
            <w:noWrap/>
            <w:vAlign w:val="center"/>
          </w:tcPr>
          <w:p w14:paraId="2AB3A83D" w14:textId="6DF97832" w:rsidR="008D4D2D" w:rsidRPr="00937FE8" w:rsidRDefault="008D4D2D" w:rsidP="008D4D2D">
            <w:pPr>
              <w:spacing w:after="0"/>
              <w:ind w:left="0"/>
              <w:rPr>
                <w:rFonts w:cs="Calibri"/>
                <w:color w:val="000000"/>
                <w:szCs w:val="24"/>
              </w:rPr>
            </w:pPr>
            <w:r w:rsidRPr="00937FE8">
              <w:rPr>
                <w:rFonts w:cs="Calibri"/>
                <w:color w:val="000000"/>
                <w:szCs w:val="24"/>
              </w:rPr>
              <w:t>Daily</w:t>
            </w:r>
          </w:p>
        </w:tc>
        <w:tc>
          <w:tcPr>
            <w:tcW w:w="1759" w:type="dxa"/>
            <w:noWrap/>
            <w:vAlign w:val="center"/>
          </w:tcPr>
          <w:p w14:paraId="4949F06B" w14:textId="168507C2" w:rsidR="008D4D2D" w:rsidRPr="00937FE8" w:rsidRDefault="008D4D2D" w:rsidP="008D4D2D">
            <w:pPr>
              <w:spacing w:after="0"/>
              <w:ind w:left="0"/>
              <w:rPr>
                <w:rFonts w:cs="Calibri"/>
                <w:color w:val="000000"/>
                <w:szCs w:val="24"/>
              </w:rPr>
            </w:pPr>
            <w:r w:rsidRPr="00937FE8">
              <w:rPr>
                <w:rFonts w:cs="Calibri"/>
                <w:color w:val="000000"/>
                <w:szCs w:val="24"/>
              </w:rPr>
              <w:t>PDDC813B</w:t>
            </w:r>
          </w:p>
        </w:tc>
        <w:tc>
          <w:tcPr>
            <w:tcW w:w="7185" w:type="dxa"/>
            <w:vAlign w:val="center"/>
          </w:tcPr>
          <w:p w14:paraId="349924EB" w14:textId="357DC9CD" w:rsidR="008D4D2D" w:rsidRPr="00937FE8" w:rsidRDefault="008D4D2D" w:rsidP="008D4D2D">
            <w:pPr>
              <w:spacing w:after="0"/>
              <w:ind w:left="0"/>
              <w:rPr>
                <w:rFonts w:cs="Calibri"/>
                <w:color w:val="000000"/>
                <w:szCs w:val="24"/>
              </w:rPr>
            </w:pPr>
            <w:r w:rsidRPr="00937FE8">
              <w:rPr>
                <w:rFonts w:cs="Calibri"/>
                <w:color w:val="000000"/>
                <w:szCs w:val="24"/>
              </w:rPr>
              <w:t>Claimant Notification of Wages Paid</w:t>
            </w:r>
            <w:r w:rsidR="00F37977">
              <w:rPr>
                <w:rFonts w:cs="Calibri"/>
                <w:color w:val="000000"/>
                <w:szCs w:val="24"/>
              </w:rPr>
              <w:t>; t</w:t>
            </w:r>
            <w:r w:rsidRPr="00937FE8">
              <w:rPr>
                <w:rFonts w:cs="Calibri"/>
                <w:color w:val="000000"/>
                <w:szCs w:val="24"/>
              </w:rPr>
              <w:t>o include wit</w:t>
            </w:r>
            <w:r w:rsidR="00F37977">
              <w:rPr>
                <w:rFonts w:cs="Calibri"/>
                <w:color w:val="000000"/>
                <w:szCs w:val="24"/>
              </w:rPr>
              <w:t>h warrant to Labor Law Claimant</w:t>
            </w:r>
          </w:p>
        </w:tc>
      </w:tr>
      <w:tr w:rsidR="008D4D2D" w:rsidRPr="000E4EAF" w14:paraId="433A218D" w14:textId="77777777" w:rsidTr="008C223D">
        <w:trPr>
          <w:trHeight w:val="300"/>
        </w:trPr>
        <w:tc>
          <w:tcPr>
            <w:tcW w:w="697" w:type="dxa"/>
            <w:noWrap/>
            <w:vAlign w:val="center"/>
            <w:hideMark/>
          </w:tcPr>
          <w:p w14:paraId="55751F34"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33</w:t>
            </w:r>
          </w:p>
        </w:tc>
        <w:tc>
          <w:tcPr>
            <w:tcW w:w="1661" w:type="dxa"/>
            <w:noWrap/>
            <w:vAlign w:val="center"/>
          </w:tcPr>
          <w:p w14:paraId="093AEA6E" w14:textId="4C55DA00" w:rsidR="008D4D2D" w:rsidRPr="00937FE8" w:rsidRDefault="008D4D2D" w:rsidP="008D4D2D">
            <w:pPr>
              <w:spacing w:after="0"/>
              <w:ind w:left="0"/>
              <w:rPr>
                <w:rFonts w:cs="Calibri"/>
                <w:color w:val="000000"/>
                <w:szCs w:val="24"/>
              </w:rPr>
            </w:pPr>
            <w:r w:rsidRPr="00937FE8">
              <w:rPr>
                <w:rFonts w:cs="Calibri"/>
                <w:color w:val="000000"/>
                <w:szCs w:val="24"/>
              </w:rPr>
              <w:t>Daily</w:t>
            </w:r>
          </w:p>
        </w:tc>
        <w:tc>
          <w:tcPr>
            <w:tcW w:w="1759" w:type="dxa"/>
            <w:noWrap/>
            <w:vAlign w:val="center"/>
          </w:tcPr>
          <w:p w14:paraId="34403DF3" w14:textId="149903E6" w:rsidR="008D4D2D" w:rsidRPr="00937FE8" w:rsidRDefault="008D4D2D" w:rsidP="008D4D2D">
            <w:pPr>
              <w:spacing w:after="0"/>
              <w:ind w:left="0"/>
              <w:rPr>
                <w:rFonts w:cs="Calibri"/>
                <w:color w:val="000000"/>
                <w:szCs w:val="24"/>
              </w:rPr>
            </w:pPr>
            <w:r w:rsidRPr="00937FE8">
              <w:rPr>
                <w:rFonts w:cs="Calibri"/>
                <w:color w:val="000000"/>
                <w:szCs w:val="24"/>
              </w:rPr>
              <w:t>PDDC814B</w:t>
            </w:r>
          </w:p>
        </w:tc>
        <w:tc>
          <w:tcPr>
            <w:tcW w:w="7185" w:type="dxa"/>
            <w:vAlign w:val="center"/>
          </w:tcPr>
          <w:p w14:paraId="1F9571C4" w14:textId="34189A76" w:rsidR="008D4D2D" w:rsidRPr="00937FE8" w:rsidRDefault="008D4D2D" w:rsidP="008D4D2D">
            <w:pPr>
              <w:spacing w:after="0"/>
              <w:ind w:left="0"/>
              <w:rPr>
                <w:rFonts w:cs="Calibri"/>
                <w:color w:val="000000"/>
                <w:szCs w:val="24"/>
              </w:rPr>
            </w:pPr>
            <w:r w:rsidRPr="00937FE8">
              <w:rPr>
                <w:rFonts w:cs="Calibri"/>
                <w:color w:val="000000"/>
                <w:szCs w:val="24"/>
              </w:rPr>
              <w:t>Employer</w:t>
            </w:r>
            <w:r w:rsidR="00F37977">
              <w:rPr>
                <w:rFonts w:cs="Calibri"/>
                <w:color w:val="000000"/>
                <w:szCs w:val="24"/>
              </w:rPr>
              <w:t xml:space="preserve"> Notification of Payment Refund; to</w:t>
            </w:r>
            <w:r w:rsidRPr="00937FE8">
              <w:rPr>
                <w:rFonts w:cs="Calibri"/>
                <w:color w:val="000000"/>
                <w:szCs w:val="24"/>
              </w:rPr>
              <w:t xml:space="preserve"> include with </w:t>
            </w:r>
            <w:r w:rsidR="008B685F" w:rsidRPr="00937FE8">
              <w:rPr>
                <w:rFonts w:cs="Calibri"/>
                <w:color w:val="000000"/>
                <w:szCs w:val="24"/>
              </w:rPr>
              <w:t>warrant</w:t>
            </w:r>
            <w:r w:rsidR="00F37977">
              <w:rPr>
                <w:rFonts w:cs="Calibri"/>
                <w:color w:val="000000"/>
                <w:szCs w:val="24"/>
              </w:rPr>
              <w:t xml:space="preserve"> to Labor Law Employer</w:t>
            </w:r>
          </w:p>
        </w:tc>
      </w:tr>
      <w:tr w:rsidR="008D4D2D" w:rsidRPr="000E4EAF" w14:paraId="11AF99C1" w14:textId="77777777" w:rsidTr="008C223D">
        <w:trPr>
          <w:trHeight w:val="300"/>
        </w:trPr>
        <w:tc>
          <w:tcPr>
            <w:tcW w:w="697" w:type="dxa"/>
            <w:noWrap/>
            <w:vAlign w:val="center"/>
            <w:hideMark/>
          </w:tcPr>
          <w:p w14:paraId="282604A7"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34</w:t>
            </w:r>
          </w:p>
        </w:tc>
        <w:tc>
          <w:tcPr>
            <w:tcW w:w="1661" w:type="dxa"/>
            <w:noWrap/>
            <w:vAlign w:val="center"/>
          </w:tcPr>
          <w:p w14:paraId="558D39C2" w14:textId="5EFDBB45" w:rsidR="008D4D2D" w:rsidRPr="00937FE8" w:rsidRDefault="008D4D2D" w:rsidP="008D4D2D">
            <w:pPr>
              <w:spacing w:after="0"/>
              <w:ind w:left="0"/>
              <w:rPr>
                <w:rFonts w:cs="Calibri"/>
                <w:color w:val="000000"/>
                <w:szCs w:val="24"/>
              </w:rPr>
            </w:pPr>
            <w:r w:rsidRPr="00937FE8">
              <w:rPr>
                <w:rFonts w:cs="Calibri"/>
                <w:color w:val="000000"/>
                <w:szCs w:val="24"/>
              </w:rPr>
              <w:t>Daily</w:t>
            </w:r>
          </w:p>
        </w:tc>
        <w:tc>
          <w:tcPr>
            <w:tcW w:w="1759" w:type="dxa"/>
            <w:noWrap/>
            <w:vAlign w:val="center"/>
          </w:tcPr>
          <w:p w14:paraId="25ED9F12" w14:textId="4706394E" w:rsidR="008D4D2D" w:rsidRPr="00937FE8" w:rsidRDefault="008D4D2D" w:rsidP="008D4D2D">
            <w:pPr>
              <w:spacing w:after="0"/>
              <w:ind w:left="0"/>
              <w:rPr>
                <w:rFonts w:cs="Calibri"/>
                <w:color w:val="000000"/>
                <w:szCs w:val="24"/>
              </w:rPr>
            </w:pPr>
            <w:r w:rsidRPr="00937FE8">
              <w:rPr>
                <w:rFonts w:cs="Calibri"/>
                <w:color w:val="000000"/>
                <w:szCs w:val="24"/>
              </w:rPr>
              <w:t>PDDC815B</w:t>
            </w:r>
          </w:p>
        </w:tc>
        <w:tc>
          <w:tcPr>
            <w:tcW w:w="7185" w:type="dxa"/>
            <w:vAlign w:val="center"/>
          </w:tcPr>
          <w:p w14:paraId="27FC35FB" w14:textId="771050F6" w:rsidR="008D4D2D" w:rsidRPr="00937FE8" w:rsidRDefault="008D4D2D" w:rsidP="008D4D2D">
            <w:pPr>
              <w:spacing w:after="0"/>
              <w:ind w:left="0"/>
              <w:rPr>
                <w:rFonts w:cs="Calibri"/>
                <w:color w:val="000000"/>
                <w:szCs w:val="24"/>
              </w:rPr>
            </w:pPr>
            <w:r w:rsidRPr="00937FE8">
              <w:rPr>
                <w:rFonts w:cs="Calibri"/>
                <w:color w:val="000000"/>
                <w:szCs w:val="24"/>
              </w:rPr>
              <w:t>Claimant Notification of Partial Payment</w:t>
            </w:r>
            <w:r w:rsidR="00F37977">
              <w:rPr>
                <w:rFonts w:cs="Calibri"/>
                <w:color w:val="000000"/>
                <w:szCs w:val="24"/>
              </w:rPr>
              <w:t>; t</w:t>
            </w:r>
            <w:r w:rsidRPr="00937FE8">
              <w:rPr>
                <w:rFonts w:cs="Calibri"/>
                <w:color w:val="000000"/>
                <w:szCs w:val="24"/>
              </w:rPr>
              <w:t>o include with warrant to Labor Law Claimant.</w:t>
            </w:r>
          </w:p>
        </w:tc>
      </w:tr>
      <w:tr w:rsidR="008D4D2D" w:rsidRPr="000E4EAF" w14:paraId="20E0245C" w14:textId="77777777" w:rsidTr="008C223D">
        <w:trPr>
          <w:trHeight w:val="300"/>
        </w:trPr>
        <w:tc>
          <w:tcPr>
            <w:tcW w:w="697" w:type="dxa"/>
            <w:noWrap/>
            <w:vAlign w:val="center"/>
            <w:hideMark/>
          </w:tcPr>
          <w:p w14:paraId="18AA441A"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35</w:t>
            </w:r>
          </w:p>
        </w:tc>
        <w:tc>
          <w:tcPr>
            <w:tcW w:w="1661" w:type="dxa"/>
            <w:noWrap/>
            <w:vAlign w:val="center"/>
          </w:tcPr>
          <w:p w14:paraId="57035BC1" w14:textId="7C881AF6" w:rsidR="008D4D2D" w:rsidRPr="00937FE8" w:rsidRDefault="008D4D2D" w:rsidP="008D4D2D">
            <w:pPr>
              <w:spacing w:after="0"/>
              <w:ind w:left="0"/>
              <w:rPr>
                <w:rFonts w:cs="Calibri"/>
                <w:color w:val="000000"/>
                <w:szCs w:val="24"/>
              </w:rPr>
            </w:pPr>
            <w:r w:rsidRPr="00937FE8">
              <w:rPr>
                <w:rFonts w:cs="Calibri"/>
                <w:color w:val="000000"/>
                <w:szCs w:val="24"/>
              </w:rPr>
              <w:t>Daily</w:t>
            </w:r>
          </w:p>
        </w:tc>
        <w:tc>
          <w:tcPr>
            <w:tcW w:w="1759" w:type="dxa"/>
            <w:noWrap/>
            <w:vAlign w:val="center"/>
          </w:tcPr>
          <w:p w14:paraId="36E3F1CD" w14:textId="0C7F4FDF" w:rsidR="008D4D2D" w:rsidRPr="00937FE8" w:rsidRDefault="008D4D2D" w:rsidP="008D4D2D">
            <w:pPr>
              <w:spacing w:after="0"/>
              <w:ind w:left="0"/>
              <w:rPr>
                <w:rFonts w:cs="Calibri"/>
                <w:color w:val="000000"/>
                <w:szCs w:val="24"/>
              </w:rPr>
            </w:pPr>
            <w:r w:rsidRPr="00937FE8">
              <w:rPr>
                <w:rFonts w:cs="Calibri"/>
                <w:color w:val="000000"/>
                <w:szCs w:val="24"/>
              </w:rPr>
              <w:t>PDDC828B</w:t>
            </w:r>
          </w:p>
        </w:tc>
        <w:tc>
          <w:tcPr>
            <w:tcW w:w="7185" w:type="dxa"/>
            <w:vAlign w:val="center"/>
          </w:tcPr>
          <w:p w14:paraId="61C01485" w14:textId="00B5DA44" w:rsidR="008D4D2D" w:rsidRPr="00937FE8" w:rsidRDefault="008D4D2D" w:rsidP="008D4D2D">
            <w:pPr>
              <w:spacing w:after="0"/>
              <w:ind w:left="0"/>
              <w:rPr>
                <w:rFonts w:cs="Calibri"/>
                <w:color w:val="000000"/>
                <w:szCs w:val="24"/>
              </w:rPr>
            </w:pPr>
            <w:r w:rsidRPr="00937FE8">
              <w:rPr>
                <w:rFonts w:cs="Calibri"/>
                <w:color w:val="000000"/>
                <w:szCs w:val="24"/>
              </w:rPr>
              <w:t>Employer Notification of Overpayment</w:t>
            </w:r>
            <w:r w:rsidR="00F37977">
              <w:rPr>
                <w:rFonts w:cs="Calibri"/>
                <w:color w:val="000000"/>
                <w:szCs w:val="24"/>
              </w:rPr>
              <w:t>; t</w:t>
            </w:r>
            <w:r w:rsidRPr="00937FE8">
              <w:rPr>
                <w:rFonts w:cs="Calibri"/>
                <w:color w:val="000000"/>
                <w:szCs w:val="24"/>
              </w:rPr>
              <w:t>o include wit</w:t>
            </w:r>
            <w:r w:rsidR="00F37977">
              <w:rPr>
                <w:rFonts w:cs="Calibri"/>
                <w:color w:val="000000"/>
                <w:szCs w:val="24"/>
              </w:rPr>
              <w:t>h warrant to Labor Law Employer</w:t>
            </w:r>
          </w:p>
        </w:tc>
      </w:tr>
      <w:tr w:rsidR="008D4D2D" w:rsidRPr="000E4EAF" w14:paraId="19EB00D2" w14:textId="77777777" w:rsidTr="008C223D">
        <w:trPr>
          <w:trHeight w:val="300"/>
        </w:trPr>
        <w:tc>
          <w:tcPr>
            <w:tcW w:w="697" w:type="dxa"/>
            <w:noWrap/>
            <w:vAlign w:val="center"/>
            <w:hideMark/>
          </w:tcPr>
          <w:p w14:paraId="51DFA26E"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36</w:t>
            </w:r>
          </w:p>
        </w:tc>
        <w:tc>
          <w:tcPr>
            <w:tcW w:w="1661" w:type="dxa"/>
            <w:noWrap/>
            <w:vAlign w:val="center"/>
          </w:tcPr>
          <w:p w14:paraId="0B673AF8" w14:textId="149357F1" w:rsidR="008D4D2D" w:rsidRPr="00937FE8" w:rsidRDefault="008D4D2D" w:rsidP="008D4D2D">
            <w:pPr>
              <w:spacing w:after="0"/>
              <w:ind w:left="0"/>
              <w:rPr>
                <w:rFonts w:cs="Calibri"/>
                <w:color w:val="000000"/>
                <w:szCs w:val="24"/>
              </w:rPr>
            </w:pPr>
            <w:r w:rsidRPr="00937FE8">
              <w:rPr>
                <w:rFonts w:cs="Calibri"/>
                <w:color w:val="000000"/>
                <w:szCs w:val="24"/>
              </w:rPr>
              <w:t>Daily</w:t>
            </w:r>
          </w:p>
        </w:tc>
        <w:tc>
          <w:tcPr>
            <w:tcW w:w="1759" w:type="dxa"/>
            <w:noWrap/>
            <w:vAlign w:val="center"/>
          </w:tcPr>
          <w:p w14:paraId="124DE9E1" w14:textId="73A18427" w:rsidR="008D4D2D" w:rsidRPr="00937FE8" w:rsidRDefault="008D4D2D" w:rsidP="008D4D2D">
            <w:pPr>
              <w:spacing w:after="0"/>
              <w:ind w:left="0"/>
              <w:rPr>
                <w:rFonts w:cs="Calibri"/>
                <w:color w:val="000000"/>
                <w:szCs w:val="24"/>
              </w:rPr>
            </w:pPr>
            <w:r w:rsidRPr="00937FE8">
              <w:rPr>
                <w:rFonts w:cs="Calibri"/>
                <w:color w:val="000000"/>
                <w:szCs w:val="24"/>
              </w:rPr>
              <w:t>PDDL401P</w:t>
            </w:r>
          </w:p>
        </w:tc>
        <w:tc>
          <w:tcPr>
            <w:tcW w:w="7185" w:type="dxa"/>
            <w:vAlign w:val="center"/>
          </w:tcPr>
          <w:p w14:paraId="52120F8A" w14:textId="73724501" w:rsidR="008D4D2D" w:rsidRPr="00937FE8" w:rsidRDefault="008D4D2D" w:rsidP="008D4D2D">
            <w:pPr>
              <w:spacing w:after="0"/>
              <w:ind w:left="0"/>
              <w:rPr>
                <w:rFonts w:cs="Calibri"/>
                <w:color w:val="000000"/>
                <w:szCs w:val="24"/>
              </w:rPr>
            </w:pPr>
            <w:r w:rsidRPr="00937FE8">
              <w:rPr>
                <w:rFonts w:cs="Calibri"/>
                <w:color w:val="000000"/>
                <w:szCs w:val="24"/>
              </w:rPr>
              <w:t>Fund 0894 Disbursement Deposit</w:t>
            </w:r>
            <w:r w:rsidR="00F37977">
              <w:rPr>
                <w:rFonts w:cs="Calibri"/>
                <w:color w:val="000000"/>
                <w:szCs w:val="24"/>
              </w:rPr>
              <w:t>; t</w:t>
            </w:r>
            <w:r w:rsidRPr="00937FE8">
              <w:rPr>
                <w:rFonts w:cs="Calibri"/>
                <w:color w:val="000000"/>
                <w:szCs w:val="24"/>
              </w:rPr>
              <w:t>o reconcile dail</w:t>
            </w:r>
            <w:r w:rsidR="00F37977">
              <w:rPr>
                <w:rFonts w:cs="Calibri"/>
                <w:color w:val="000000"/>
                <w:szCs w:val="24"/>
              </w:rPr>
              <w:t>y Labor Law/Payday Law Deposits</w:t>
            </w:r>
          </w:p>
        </w:tc>
      </w:tr>
      <w:tr w:rsidR="008D4D2D" w:rsidRPr="000E4EAF" w14:paraId="499B8C4D" w14:textId="77777777" w:rsidTr="008C223D">
        <w:trPr>
          <w:trHeight w:val="300"/>
        </w:trPr>
        <w:tc>
          <w:tcPr>
            <w:tcW w:w="697" w:type="dxa"/>
            <w:noWrap/>
            <w:vAlign w:val="center"/>
            <w:hideMark/>
          </w:tcPr>
          <w:p w14:paraId="678B2A0A"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37</w:t>
            </w:r>
          </w:p>
        </w:tc>
        <w:tc>
          <w:tcPr>
            <w:tcW w:w="1661" w:type="dxa"/>
            <w:noWrap/>
            <w:vAlign w:val="center"/>
          </w:tcPr>
          <w:p w14:paraId="60D8B2D9" w14:textId="3D1DBA2A" w:rsidR="008D4D2D" w:rsidRPr="00937FE8" w:rsidRDefault="008D4D2D" w:rsidP="008D4D2D">
            <w:pPr>
              <w:spacing w:after="0"/>
              <w:ind w:left="0"/>
              <w:rPr>
                <w:rFonts w:cs="Calibri"/>
                <w:color w:val="000000"/>
                <w:szCs w:val="24"/>
              </w:rPr>
            </w:pPr>
            <w:r w:rsidRPr="00937FE8">
              <w:rPr>
                <w:rFonts w:cs="Calibri"/>
                <w:color w:val="000000"/>
                <w:szCs w:val="24"/>
              </w:rPr>
              <w:t>Daily</w:t>
            </w:r>
          </w:p>
        </w:tc>
        <w:tc>
          <w:tcPr>
            <w:tcW w:w="1759" w:type="dxa"/>
            <w:noWrap/>
            <w:vAlign w:val="center"/>
          </w:tcPr>
          <w:p w14:paraId="74521A47" w14:textId="387BB107" w:rsidR="008D4D2D" w:rsidRPr="00937FE8" w:rsidRDefault="008D4D2D" w:rsidP="008D4D2D">
            <w:pPr>
              <w:spacing w:after="0"/>
              <w:ind w:left="0"/>
              <w:rPr>
                <w:rFonts w:cs="Calibri"/>
                <w:color w:val="000000"/>
                <w:szCs w:val="24"/>
              </w:rPr>
            </w:pPr>
            <w:r w:rsidRPr="00937FE8">
              <w:rPr>
                <w:rFonts w:cs="Calibri"/>
                <w:color w:val="000000"/>
                <w:szCs w:val="24"/>
              </w:rPr>
              <w:t>PDDL999P</w:t>
            </w:r>
          </w:p>
        </w:tc>
        <w:tc>
          <w:tcPr>
            <w:tcW w:w="7185" w:type="dxa"/>
            <w:vAlign w:val="center"/>
          </w:tcPr>
          <w:p w14:paraId="0CC701C5" w14:textId="5AA570F2" w:rsidR="008D4D2D" w:rsidRPr="00937FE8" w:rsidRDefault="008D4D2D" w:rsidP="008D4D2D">
            <w:pPr>
              <w:spacing w:after="0"/>
              <w:ind w:left="0"/>
              <w:rPr>
                <w:rFonts w:cs="Calibri"/>
                <w:color w:val="000000"/>
                <w:szCs w:val="24"/>
              </w:rPr>
            </w:pPr>
            <w:r w:rsidRPr="00937FE8">
              <w:rPr>
                <w:rFonts w:cs="Calibri"/>
                <w:color w:val="000000"/>
                <w:szCs w:val="24"/>
              </w:rPr>
              <w:t>Labor Law Summary of Activity</w:t>
            </w:r>
            <w:r w:rsidR="00F37977">
              <w:rPr>
                <w:rFonts w:cs="Calibri"/>
                <w:color w:val="000000"/>
                <w:szCs w:val="24"/>
              </w:rPr>
              <w:t>; t</w:t>
            </w:r>
            <w:r w:rsidRPr="00937FE8">
              <w:rPr>
                <w:rFonts w:cs="Calibri"/>
                <w:color w:val="000000"/>
                <w:szCs w:val="24"/>
              </w:rPr>
              <w:t xml:space="preserve">o verify posting of Labor Law </w:t>
            </w:r>
            <w:r w:rsidR="008B685F" w:rsidRPr="00937FE8">
              <w:rPr>
                <w:rFonts w:cs="Calibri"/>
                <w:color w:val="000000"/>
                <w:szCs w:val="24"/>
              </w:rPr>
              <w:t>activity</w:t>
            </w:r>
            <w:r w:rsidRPr="00937FE8">
              <w:rPr>
                <w:rFonts w:cs="Calibri"/>
                <w:color w:val="000000"/>
                <w:szCs w:val="24"/>
              </w:rPr>
              <w:t xml:space="preserve"> in the LL S</w:t>
            </w:r>
            <w:r w:rsidR="00F37977">
              <w:rPr>
                <w:rFonts w:cs="Calibri"/>
                <w:color w:val="000000"/>
                <w:szCs w:val="24"/>
              </w:rPr>
              <w:t>ystem and Mainframe</w:t>
            </w:r>
          </w:p>
        </w:tc>
      </w:tr>
      <w:tr w:rsidR="008D4D2D" w:rsidRPr="000E4EAF" w14:paraId="3568613E" w14:textId="77777777" w:rsidTr="008C223D">
        <w:trPr>
          <w:trHeight w:val="300"/>
        </w:trPr>
        <w:tc>
          <w:tcPr>
            <w:tcW w:w="697" w:type="dxa"/>
            <w:noWrap/>
            <w:vAlign w:val="center"/>
            <w:hideMark/>
          </w:tcPr>
          <w:p w14:paraId="6F62467A"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38</w:t>
            </w:r>
          </w:p>
        </w:tc>
        <w:tc>
          <w:tcPr>
            <w:tcW w:w="1661" w:type="dxa"/>
            <w:noWrap/>
            <w:vAlign w:val="center"/>
          </w:tcPr>
          <w:p w14:paraId="2836B4BA" w14:textId="3984435C" w:rsidR="008D4D2D" w:rsidRPr="00937FE8" w:rsidRDefault="008D4D2D" w:rsidP="008D4D2D">
            <w:pPr>
              <w:spacing w:after="0"/>
              <w:ind w:left="0"/>
              <w:rPr>
                <w:rFonts w:cs="Calibri"/>
                <w:color w:val="000000"/>
                <w:szCs w:val="24"/>
              </w:rPr>
            </w:pPr>
            <w:r w:rsidRPr="00937FE8">
              <w:rPr>
                <w:rFonts w:cs="Calibri"/>
                <w:color w:val="000000"/>
                <w:szCs w:val="24"/>
              </w:rPr>
              <w:t>Daily</w:t>
            </w:r>
          </w:p>
        </w:tc>
        <w:tc>
          <w:tcPr>
            <w:tcW w:w="1759" w:type="dxa"/>
            <w:noWrap/>
            <w:vAlign w:val="center"/>
          </w:tcPr>
          <w:p w14:paraId="55C00787" w14:textId="2218F6AB" w:rsidR="008D4D2D" w:rsidRPr="00937FE8" w:rsidRDefault="008D4D2D" w:rsidP="008D4D2D">
            <w:pPr>
              <w:spacing w:after="0"/>
              <w:ind w:left="0"/>
              <w:rPr>
                <w:rFonts w:cs="Calibri"/>
                <w:color w:val="000000"/>
                <w:szCs w:val="24"/>
              </w:rPr>
            </w:pPr>
            <w:r w:rsidRPr="00937FE8">
              <w:rPr>
                <w:rFonts w:cs="Calibri"/>
                <w:color w:val="000000"/>
                <w:szCs w:val="24"/>
              </w:rPr>
              <w:t>TXDF0710</w:t>
            </w:r>
          </w:p>
        </w:tc>
        <w:tc>
          <w:tcPr>
            <w:tcW w:w="7185" w:type="dxa"/>
            <w:vAlign w:val="center"/>
          </w:tcPr>
          <w:p w14:paraId="42EDBC94" w14:textId="465D7FCB" w:rsidR="008D4D2D" w:rsidRPr="00937FE8" w:rsidRDefault="008D4D2D" w:rsidP="008D4D2D">
            <w:pPr>
              <w:spacing w:after="0"/>
              <w:ind w:left="0"/>
              <w:rPr>
                <w:rFonts w:cs="Calibri"/>
                <w:color w:val="000000"/>
                <w:szCs w:val="24"/>
              </w:rPr>
            </w:pPr>
            <w:r w:rsidRPr="00937FE8">
              <w:rPr>
                <w:rFonts w:cs="Calibri"/>
                <w:color w:val="000000"/>
                <w:szCs w:val="24"/>
              </w:rPr>
              <w:t>WAC Assignment Report</w:t>
            </w:r>
            <w:r w:rsidR="00F37977">
              <w:rPr>
                <w:rFonts w:cs="Calibri"/>
                <w:color w:val="000000"/>
                <w:szCs w:val="24"/>
              </w:rPr>
              <w:t>; p</w:t>
            </w:r>
            <w:r w:rsidRPr="00937FE8">
              <w:rPr>
                <w:rFonts w:cs="Calibri"/>
                <w:color w:val="000000"/>
                <w:szCs w:val="24"/>
              </w:rPr>
              <w:t>ending Assignm</w:t>
            </w:r>
            <w:r w:rsidR="00F37977">
              <w:rPr>
                <w:rFonts w:cs="Calibri"/>
                <w:color w:val="000000"/>
                <w:szCs w:val="24"/>
              </w:rPr>
              <w:t>ent Report for follow up to Tax</w:t>
            </w:r>
          </w:p>
        </w:tc>
      </w:tr>
      <w:tr w:rsidR="008D4D2D" w:rsidRPr="000E4EAF" w14:paraId="158BEFB2" w14:textId="77777777" w:rsidTr="008C223D">
        <w:trPr>
          <w:trHeight w:val="300"/>
        </w:trPr>
        <w:tc>
          <w:tcPr>
            <w:tcW w:w="697" w:type="dxa"/>
            <w:noWrap/>
            <w:vAlign w:val="center"/>
            <w:hideMark/>
          </w:tcPr>
          <w:p w14:paraId="00675B73"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39</w:t>
            </w:r>
          </w:p>
        </w:tc>
        <w:tc>
          <w:tcPr>
            <w:tcW w:w="1661" w:type="dxa"/>
            <w:noWrap/>
            <w:vAlign w:val="center"/>
          </w:tcPr>
          <w:p w14:paraId="182BE8AD" w14:textId="65FDA7BA" w:rsidR="008D4D2D" w:rsidRPr="00937FE8" w:rsidRDefault="008D4D2D" w:rsidP="008D4D2D">
            <w:pPr>
              <w:spacing w:after="0"/>
              <w:ind w:left="0"/>
              <w:rPr>
                <w:rFonts w:cs="Calibri"/>
                <w:color w:val="000000"/>
                <w:szCs w:val="24"/>
              </w:rPr>
            </w:pPr>
            <w:r w:rsidRPr="00937FE8">
              <w:rPr>
                <w:rFonts w:cs="Calibri"/>
                <w:color w:val="000000"/>
                <w:szCs w:val="24"/>
              </w:rPr>
              <w:t>Daily</w:t>
            </w:r>
          </w:p>
        </w:tc>
        <w:tc>
          <w:tcPr>
            <w:tcW w:w="1759" w:type="dxa"/>
            <w:noWrap/>
            <w:vAlign w:val="center"/>
          </w:tcPr>
          <w:p w14:paraId="6789FA88" w14:textId="4F186D2D" w:rsidR="008D4D2D" w:rsidRPr="00937FE8" w:rsidRDefault="008D4D2D" w:rsidP="008D4D2D">
            <w:pPr>
              <w:spacing w:after="0"/>
              <w:ind w:left="0"/>
              <w:rPr>
                <w:rFonts w:cs="Calibri"/>
                <w:color w:val="000000"/>
                <w:szCs w:val="24"/>
              </w:rPr>
            </w:pPr>
            <w:r w:rsidRPr="00937FE8">
              <w:rPr>
                <w:rFonts w:cs="Calibri"/>
                <w:color w:val="000000"/>
                <w:szCs w:val="24"/>
              </w:rPr>
              <w:t>TXDM0274</w:t>
            </w:r>
          </w:p>
        </w:tc>
        <w:tc>
          <w:tcPr>
            <w:tcW w:w="7185" w:type="dxa"/>
            <w:vAlign w:val="center"/>
          </w:tcPr>
          <w:p w14:paraId="335D18C4" w14:textId="3C84216F" w:rsidR="008D4D2D" w:rsidRPr="00937FE8" w:rsidRDefault="00F37977" w:rsidP="008D4D2D">
            <w:pPr>
              <w:spacing w:after="0"/>
              <w:ind w:left="0"/>
              <w:rPr>
                <w:rFonts w:cs="Calibri"/>
                <w:color w:val="000000"/>
                <w:szCs w:val="24"/>
              </w:rPr>
            </w:pPr>
            <w:r w:rsidRPr="00937FE8">
              <w:rPr>
                <w:rFonts w:cs="Calibri"/>
                <w:color w:val="000000"/>
                <w:szCs w:val="24"/>
              </w:rPr>
              <w:t>Warrant refund reco</w:t>
            </w:r>
            <w:r w:rsidR="008D4D2D" w:rsidRPr="00937FE8">
              <w:rPr>
                <w:rFonts w:cs="Calibri"/>
                <w:color w:val="000000"/>
                <w:szCs w:val="24"/>
              </w:rPr>
              <w:t xml:space="preserve">rds </w:t>
            </w:r>
            <w:r>
              <w:rPr>
                <w:rFonts w:cs="Calibri"/>
                <w:color w:val="000000"/>
                <w:szCs w:val="24"/>
              </w:rPr>
              <w:t>s</w:t>
            </w:r>
            <w:r w:rsidR="008D4D2D" w:rsidRPr="00937FE8">
              <w:rPr>
                <w:rFonts w:cs="Calibri"/>
                <w:color w:val="000000"/>
                <w:szCs w:val="24"/>
              </w:rPr>
              <w:t>ent to USAS</w:t>
            </w:r>
            <w:r>
              <w:rPr>
                <w:rFonts w:cs="Calibri"/>
                <w:color w:val="000000"/>
                <w:szCs w:val="24"/>
              </w:rPr>
              <w:t>; r</w:t>
            </w:r>
            <w:r w:rsidR="008D4D2D" w:rsidRPr="00937FE8">
              <w:rPr>
                <w:rFonts w:cs="Calibri"/>
                <w:color w:val="000000"/>
                <w:szCs w:val="24"/>
              </w:rPr>
              <w:t xml:space="preserve">efund </w:t>
            </w:r>
            <w:r>
              <w:rPr>
                <w:rFonts w:cs="Calibri"/>
                <w:color w:val="000000"/>
                <w:szCs w:val="24"/>
              </w:rPr>
              <w:t>amount</w:t>
            </w:r>
          </w:p>
        </w:tc>
      </w:tr>
      <w:tr w:rsidR="008D4D2D" w:rsidRPr="000E4EAF" w14:paraId="1E377BE0" w14:textId="77777777" w:rsidTr="008C223D">
        <w:trPr>
          <w:trHeight w:val="300"/>
        </w:trPr>
        <w:tc>
          <w:tcPr>
            <w:tcW w:w="697" w:type="dxa"/>
            <w:noWrap/>
            <w:vAlign w:val="center"/>
            <w:hideMark/>
          </w:tcPr>
          <w:p w14:paraId="347746FF"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40</w:t>
            </w:r>
          </w:p>
        </w:tc>
        <w:tc>
          <w:tcPr>
            <w:tcW w:w="1661" w:type="dxa"/>
            <w:noWrap/>
            <w:vAlign w:val="center"/>
          </w:tcPr>
          <w:p w14:paraId="5EEB7B7A" w14:textId="4FA24D86" w:rsidR="008D4D2D" w:rsidRPr="00937FE8" w:rsidRDefault="008D4D2D" w:rsidP="008D4D2D">
            <w:pPr>
              <w:spacing w:after="0"/>
              <w:ind w:left="0"/>
              <w:rPr>
                <w:rFonts w:cs="Calibri"/>
                <w:color w:val="000000"/>
                <w:szCs w:val="24"/>
              </w:rPr>
            </w:pPr>
            <w:r w:rsidRPr="00937FE8">
              <w:rPr>
                <w:rFonts w:cs="Calibri"/>
                <w:color w:val="000000"/>
                <w:szCs w:val="24"/>
              </w:rPr>
              <w:t>Daily</w:t>
            </w:r>
          </w:p>
        </w:tc>
        <w:tc>
          <w:tcPr>
            <w:tcW w:w="1759" w:type="dxa"/>
            <w:noWrap/>
            <w:vAlign w:val="center"/>
          </w:tcPr>
          <w:p w14:paraId="0AECE52B" w14:textId="2084E187" w:rsidR="008D4D2D" w:rsidRPr="00937FE8" w:rsidRDefault="008D4D2D" w:rsidP="008D4D2D">
            <w:pPr>
              <w:spacing w:after="0"/>
              <w:ind w:left="0"/>
              <w:rPr>
                <w:rFonts w:cs="Calibri"/>
                <w:color w:val="000000"/>
                <w:szCs w:val="24"/>
              </w:rPr>
            </w:pPr>
            <w:r w:rsidRPr="00937FE8">
              <w:rPr>
                <w:rFonts w:cs="Calibri"/>
                <w:color w:val="000000"/>
                <w:szCs w:val="24"/>
              </w:rPr>
              <w:t>TXDQ0010</w:t>
            </w:r>
          </w:p>
        </w:tc>
        <w:tc>
          <w:tcPr>
            <w:tcW w:w="7185" w:type="dxa"/>
            <w:vAlign w:val="center"/>
          </w:tcPr>
          <w:p w14:paraId="3D206109" w14:textId="6B367872" w:rsidR="008D4D2D" w:rsidRPr="00937FE8" w:rsidRDefault="00F37977" w:rsidP="008D4D2D">
            <w:pPr>
              <w:spacing w:after="0"/>
              <w:ind w:left="0"/>
              <w:rPr>
                <w:rFonts w:cs="Calibri"/>
                <w:color w:val="000000"/>
                <w:szCs w:val="24"/>
              </w:rPr>
            </w:pPr>
            <w:r w:rsidRPr="00937FE8">
              <w:rPr>
                <w:rFonts w:cs="Calibri"/>
                <w:color w:val="000000"/>
                <w:szCs w:val="24"/>
              </w:rPr>
              <w:t>Deposit summary</w:t>
            </w:r>
            <w:r>
              <w:rPr>
                <w:rFonts w:cs="Calibri"/>
                <w:color w:val="000000"/>
                <w:szCs w:val="24"/>
              </w:rPr>
              <w:t>; to prepare tax deposit</w:t>
            </w:r>
          </w:p>
        </w:tc>
      </w:tr>
      <w:tr w:rsidR="008D4D2D" w:rsidRPr="000E4EAF" w14:paraId="42C2573D" w14:textId="77777777" w:rsidTr="008C223D">
        <w:trPr>
          <w:trHeight w:val="300"/>
        </w:trPr>
        <w:tc>
          <w:tcPr>
            <w:tcW w:w="697" w:type="dxa"/>
            <w:noWrap/>
            <w:vAlign w:val="center"/>
            <w:hideMark/>
          </w:tcPr>
          <w:p w14:paraId="5197FF8A"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lastRenderedPageBreak/>
              <w:t>41</w:t>
            </w:r>
          </w:p>
        </w:tc>
        <w:tc>
          <w:tcPr>
            <w:tcW w:w="1661" w:type="dxa"/>
            <w:noWrap/>
            <w:vAlign w:val="center"/>
          </w:tcPr>
          <w:p w14:paraId="4F332FB1" w14:textId="5C556E0C" w:rsidR="008D4D2D" w:rsidRPr="00937FE8" w:rsidRDefault="008D4D2D" w:rsidP="008D4D2D">
            <w:pPr>
              <w:spacing w:after="0"/>
              <w:ind w:left="0"/>
              <w:rPr>
                <w:rFonts w:cs="Calibri"/>
                <w:color w:val="000000"/>
                <w:szCs w:val="24"/>
              </w:rPr>
            </w:pPr>
            <w:r w:rsidRPr="00937FE8">
              <w:rPr>
                <w:rFonts w:cs="Calibri"/>
                <w:color w:val="000000"/>
                <w:szCs w:val="24"/>
              </w:rPr>
              <w:t>Daily</w:t>
            </w:r>
          </w:p>
        </w:tc>
        <w:tc>
          <w:tcPr>
            <w:tcW w:w="1759" w:type="dxa"/>
            <w:noWrap/>
            <w:vAlign w:val="center"/>
          </w:tcPr>
          <w:p w14:paraId="79B97BFA" w14:textId="546B98FA" w:rsidR="008D4D2D" w:rsidRPr="00937FE8" w:rsidRDefault="008D4D2D" w:rsidP="008D4D2D">
            <w:pPr>
              <w:spacing w:after="0"/>
              <w:ind w:left="0"/>
              <w:rPr>
                <w:rFonts w:cs="Calibri"/>
                <w:color w:val="000000"/>
                <w:szCs w:val="24"/>
              </w:rPr>
            </w:pPr>
            <w:r w:rsidRPr="00937FE8">
              <w:rPr>
                <w:rFonts w:cs="Calibri"/>
                <w:color w:val="000000"/>
                <w:szCs w:val="24"/>
              </w:rPr>
              <w:t>TXDQ0021</w:t>
            </w:r>
          </w:p>
        </w:tc>
        <w:tc>
          <w:tcPr>
            <w:tcW w:w="7185" w:type="dxa"/>
            <w:vAlign w:val="center"/>
          </w:tcPr>
          <w:p w14:paraId="5BD62E7D" w14:textId="5E88A417" w:rsidR="008D4D2D" w:rsidRPr="00937FE8" w:rsidRDefault="00F37977" w:rsidP="008D4D2D">
            <w:pPr>
              <w:spacing w:after="0"/>
              <w:ind w:left="0"/>
              <w:rPr>
                <w:rFonts w:cs="Calibri"/>
                <w:color w:val="000000"/>
                <w:szCs w:val="24"/>
              </w:rPr>
            </w:pPr>
            <w:r>
              <w:rPr>
                <w:rFonts w:cs="Calibri"/>
                <w:color w:val="000000"/>
                <w:szCs w:val="24"/>
              </w:rPr>
              <w:t>CC Turnaround File from CPA;</w:t>
            </w:r>
            <w:r w:rsidR="008D4D2D" w:rsidRPr="00937FE8">
              <w:rPr>
                <w:rFonts w:cs="Calibri"/>
                <w:color w:val="000000"/>
                <w:szCs w:val="24"/>
              </w:rPr>
              <w:t xml:space="preserve"> </w:t>
            </w:r>
            <w:r>
              <w:rPr>
                <w:rFonts w:cs="Calibri"/>
                <w:color w:val="000000"/>
                <w:szCs w:val="24"/>
              </w:rPr>
              <w:t>t</w:t>
            </w:r>
            <w:r w:rsidR="008D4D2D" w:rsidRPr="00937FE8">
              <w:rPr>
                <w:rFonts w:cs="Calibri"/>
                <w:color w:val="000000"/>
                <w:szCs w:val="24"/>
              </w:rPr>
              <w:t>o reconcile F doc fo</w:t>
            </w:r>
            <w:r>
              <w:rPr>
                <w:rFonts w:cs="Calibri"/>
                <w:color w:val="000000"/>
                <w:szCs w:val="24"/>
              </w:rPr>
              <w:t>r credit card payments and fees</w:t>
            </w:r>
          </w:p>
        </w:tc>
      </w:tr>
      <w:tr w:rsidR="008D4D2D" w:rsidRPr="000E4EAF" w14:paraId="7FE88746" w14:textId="77777777" w:rsidTr="008C223D">
        <w:trPr>
          <w:trHeight w:val="300"/>
        </w:trPr>
        <w:tc>
          <w:tcPr>
            <w:tcW w:w="697" w:type="dxa"/>
            <w:noWrap/>
            <w:vAlign w:val="center"/>
            <w:hideMark/>
          </w:tcPr>
          <w:p w14:paraId="3499933B"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42</w:t>
            </w:r>
          </w:p>
        </w:tc>
        <w:tc>
          <w:tcPr>
            <w:tcW w:w="1661" w:type="dxa"/>
            <w:noWrap/>
            <w:vAlign w:val="center"/>
          </w:tcPr>
          <w:p w14:paraId="02B210A2" w14:textId="13DD0E9F" w:rsidR="008D4D2D" w:rsidRPr="00937FE8" w:rsidRDefault="008D4D2D" w:rsidP="008D4D2D">
            <w:pPr>
              <w:spacing w:after="0"/>
              <w:ind w:left="0"/>
              <w:rPr>
                <w:rFonts w:cs="Calibri"/>
                <w:color w:val="000000"/>
                <w:szCs w:val="24"/>
              </w:rPr>
            </w:pPr>
            <w:r w:rsidRPr="00937FE8">
              <w:rPr>
                <w:rFonts w:cs="Calibri"/>
                <w:color w:val="000000"/>
                <w:szCs w:val="24"/>
              </w:rPr>
              <w:t>Daily</w:t>
            </w:r>
          </w:p>
        </w:tc>
        <w:tc>
          <w:tcPr>
            <w:tcW w:w="1759" w:type="dxa"/>
            <w:noWrap/>
            <w:vAlign w:val="center"/>
          </w:tcPr>
          <w:p w14:paraId="0434D44C" w14:textId="2286A7E1" w:rsidR="008D4D2D" w:rsidRPr="00937FE8" w:rsidRDefault="008D4D2D" w:rsidP="008D4D2D">
            <w:pPr>
              <w:spacing w:after="0"/>
              <w:ind w:left="0"/>
              <w:rPr>
                <w:rFonts w:cs="Calibri"/>
                <w:color w:val="000000"/>
                <w:szCs w:val="24"/>
              </w:rPr>
            </w:pPr>
            <w:r w:rsidRPr="00937FE8">
              <w:rPr>
                <w:rFonts w:cs="Calibri"/>
                <w:color w:val="000000"/>
                <w:szCs w:val="24"/>
              </w:rPr>
              <w:t>TXDQ0101</w:t>
            </w:r>
          </w:p>
        </w:tc>
        <w:tc>
          <w:tcPr>
            <w:tcW w:w="7185" w:type="dxa"/>
            <w:vAlign w:val="center"/>
          </w:tcPr>
          <w:p w14:paraId="79C118FC" w14:textId="4860D3AF" w:rsidR="008D4D2D" w:rsidRPr="00937FE8" w:rsidRDefault="00F37977" w:rsidP="008D4D2D">
            <w:pPr>
              <w:spacing w:after="0"/>
              <w:ind w:left="0"/>
              <w:rPr>
                <w:rFonts w:cs="Calibri"/>
                <w:color w:val="000000"/>
                <w:szCs w:val="24"/>
              </w:rPr>
            </w:pPr>
            <w:r>
              <w:rPr>
                <w:rFonts w:cs="Calibri"/>
                <w:color w:val="000000"/>
                <w:szCs w:val="24"/>
              </w:rPr>
              <w:t>Deposit List Reconciliation;</w:t>
            </w:r>
            <w:r w:rsidR="008D4D2D" w:rsidRPr="00937FE8">
              <w:rPr>
                <w:rFonts w:cs="Calibri"/>
                <w:color w:val="000000"/>
                <w:szCs w:val="24"/>
              </w:rPr>
              <w:t xml:space="preserve"> </w:t>
            </w:r>
            <w:r>
              <w:rPr>
                <w:rFonts w:cs="Calibri"/>
                <w:color w:val="000000"/>
                <w:szCs w:val="24"/>
              </w:rPr>
              <w:t>l</w:t>
            </w:r>
            <w:r w:rsidR="008D4D2D" w:rsidRPr="00937FE8">
              <w:rPr>
                <w:rFonts w:cs="Calibri"/>
                <w:color w:val="000000"/>
                <w:szCs w:val="24"/>
              </w:rPr>
              <w:t>isting of a</w:t>
            </w:r>
            <w:r>
              <w:rPr>
                <w:rFonts w:cs="Calibri"/>
                <w:color w:val="000000"/>
                <w:szCs w:val="24"/>
              </w:rPr>
              <w:t>ll items posted to tax accounts</w:t>
            </w:r>
          </w:p>
        </w:tc>
      </w:tr>
      <w:tr w:rsidR="008D4D2D" w:rsidRPr="000E4EAF" w14:paraId="2ADFD3CB" w14:textId="77777777" w:rsidTr="008C223D">
        <w:trPr>
          <w:trHeight w:val="300"/>
        </w:trPr>
        <w:tc>
          <w:tcPr>
            <w:tcW w:w="697" w:type="dxa"/>
            <w:noWrap/>
            <w:vAlign w:val="center"/>
            <w:hideMark/>
          </w:tcPr>
          <w:p w14:paraId="169A9692"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43</w:t>
            </w:r>
          </w:p>
        </w:tc>
        <w:tc>
          <w:tcPr>
            <w:tcW w:w="1661" w:type="dxa"/>
            <w:noWrap/>
            <w:vAlign w:val="center"/>
          </w:tcPr>
          <w:p w14:paraId="438F288B" w14:textId="002DC73F" w:rsidR="008D4D2D" w:rsidRPr="00937FE8" w:rsidRDefault="008D4D2D" w:rsidP="008D4D2D">
            <w:pPr>
              <w:spacing w:after="0"/>
              <w:ind w:left="0"/>
              <w:rPr>
                <w:rFonts w:cs="Calibri"/>
                <w:color w:val="000000"/>
                <w:szCs w:val="24"/>
              </w:rPr>
            </w:pPr>
            <w:r w:rsidRPr="00937FE8">
              <w:rPr>
                <w:rFonts w:cs="Calibri"/>
                <w:color w:val="000000"/>
                <w:szCs w:val="24"/>
              </w:rPr>
              <w:t>Daily</w:t>
            </w:r>
          </w:p>
        </w:tc>
        <w:tc>
          <w:tcPr>
            <w:tcW w:w="1759" w:type="dxa"/>
            <w:noWrap/>
            <w:vAlign w:val="center"/>
          </w:tcPr>
          <w:p w14:paraId="66133D9A" w14:textId="77417295" w:rsidR="008D4D2D" w:rsidRPr="00937FE8" w:rsidRDefault="008D4D2D" w:rsidP="008D4D2D">
            <w:pPr>
              <w:spacing w:after="0"/>
              <w:ind w:left="0"/>
              <w:rPr>
                <w:rFonts w:cs="Calibri"/>
                <w:color w:val="000000"/>
                <w:szCs w:val="24"/>
              </w:rPr>
            </w:pPr>
            <w:r w:rsidRPr="00937FE8">
              <w:rPr>
                <w:rFonts w:cs="Calibri"/>
                <w:color w:val="000000"/>
                <w:szCs w:val="24"/>
              </w:rPr>
              <w:t>TXDQ0104</w:t>
            </w:r>
          </w:p>
        </w:tc>
        <w:tc>
          <w:tcPr>
            <w:tcW w:w="7185" w:type="dxa"/>
            <w:vAlign w:val="center"/>
          </w:tcPr>
          <w:p w14:paraId="0B2F265F" w14:textId="1EAAAFAD" w:rsidR="008D4D2D" w:rsidRPr="00937FE8" w:rsidRDefault="008D4D2D" w:rsidP="008D4D2D">
            <w:pPr>
              <w:spacing w:after="0"/>
              <w:ind w:left="0"/>
              <w:rPr>
                <w:rFonts w:cs="Calibri"/>
                <w:color w:val="000000"/>
                <w:szCs w:val="24"/>
              </w:rPr>
            </w:pPr>
            <w:r w:rsidRPr="00937FE8">
              <w:rPr>
                <w:rFonts w:cs="Calibri"/>
                <w:color w:val="000000"/>
                <w:szCs w:val="24"/>
              </w:rPr>
              <w:t>Allocation of Remittances Summary</w:t>
            </w:r>
            <w:r w:rsidR="00F37977">
              <w:rPr>
                <w:rFonts w:cs="Calibri"/>
                <w:color w:val="000000"/>
                <w:szCs w:val="24"/>
              </w:rPr>
              <w:t>; t</w:t>
            </w:r>
            <w:r w:rsidRPr="00937FE8">
              <w:rPr>
                <w:rFonts w:cs="Calibri"/>
                <w:color w:val="000000"/>
                <w:szCs w:val="24"/>
              </w:rPr>
              <w:t>o post items based on the nightly tax run - allocated fu</w:t>
            </w:r>
            <w:r w:rsidR="00F37977">
              <w:rPr>
                <w:rFonts w:cs="Calibri"/>
                <w:color w:val="000000"/>
                <w:szCs w:val="24"/>
              </w:rPr>
              <w:t>nd from fund 0936 to funds 0001</w:t>
            </w:r>
          </w:p>
        </w:tc>
      </w:tr>
      <w:tr w:rsidR="008D4D2D" w:rsidRPr="000E4EAF" w14:paraId="0938B201" w14:textId="77777777" w:rsidTr="008C223D">
        <w:trPr>
          <w:trHeight w:val="300"/>
        </w:trPr>
        <w:tc>
          <w:tcPr>
            <w:tcW w:w="697" w:type="dxa"/>
            <w:noWrap/>
            <w:vAlign w:val="center"/>
            <w:hideMark/>
          </w:tcPr>
          <w:p w14:paraId="67CCDEF2"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44</w:t>
            </w:r>
          </w:p>
        </w:tc>
        <w:tc>
          <w:tcPr>
            <w:tcW w:w="1661" w:type="dxa"/>
            <w:noWrap/>
            <w:vAlign w:val="center"/>
          </w:tcPr>
          <w:p w14:paraId="3991DFB4" w14:textId="34A37DA7" w:rsidR="008D4D2D" w:rsidRPr="00937FE8" w:rsidRDefault="008D4D2D" w:rsidP="008D4D2D">
            <w:pPr>
              <w:spacing w:after="0"/>
              <w:ind w:left="0"/>
              <w:rPr>
                <w:rFonts w:cs="Calibri"/>
                <w:color w:val="000000"/>
                <w:szCs w:val="24"/>
              </w:rPr>
            </w:pPr>
            <w:r w:rsidRPr="00937FE8">
              <w:rPr>
                <w:rFonts w:cs="Calibri"/>
                <w:color w:val="000000"/>
                <w:szCs w:val="24"/>
              </w:rPr>
              <w:t>Daily</w:t>
            </w:r>
          </w:p>
        </w:tc>
        <w:tc>
          <w:tcPr>
            <w:tcW w:w="1759" w:type="dxa"/>
            <w:noWrap/>
            <w:vAlign w:val="center"/>
          </w:tcPr>
          <w:p w14:paraId="2C3FC48C" w14:textId="7F18502C" w:rsidR="008D4D2D" w:rsidRPr="00937FE8" w:rsidRDefault="008D4D2D" w:rsidP="008D4D2D">
            <w:pPr>
              <w:spacing w:after="0"/>
              <w:ind w:left="0"/>
              <w:rPr>
                <w:rFonts w:cs="Calibri"/>
                <w:color w:val="000000"/>
                <w:szCs w:val="24"/>
              </w:rPr>
            </w:pPr>
            <w:r w:rsidRPr="00937FE8">
              <w:rPr>
                <w:rFonts w:cs="Calibri"/>
                <w:color w:val="000000"/>
                <w:szCs w:val="24"/>
              </w:rPr>
              <w:t>TXDQ0105</w:t>
            </w:r>
          </w:p>
        </w:tc>
        <w:tc>
          <w:tcPr>
            <w:tcW w:w="7185" w:type="dxa"/>
            <w:vAlign w:val="center"/>
          </w:tcPr>
          <w:p w14:paraId="256405A1" w14:textId="208E9D92" w:rsidR="008D4D2D" w:rsidRPr="00937FE8" w:rsidRDefault="008D4D2D" w:rsidP="008D4D2D">
            <w:pPr>
              <w:spacing w:after="0"/>
              <w:ind w:left="0"/>
              <w:rPr>
                <w:rFonts w:cs="Calibri"/>
                <w:color w:val="000000"/>
                <w:szCs w:val="24"/>
              </w:rPr>
            </w:pPr>
            <w:r w:rsidRPr="00937FE8">
              <w:rPr>
                <w:rFonts w:cs="Calibri"/>
                <w:color w:val="000000"/>
                <w:szCs w:val="24"/>
              </w:rPr>
              <w:t>Allocation of Remittances Detail</w:t>
            </w:r>
            <w:r w:rsidR="00F37977">
              <w:rPr>
                <w:rFonts w:cs="Calibri"/>
                <w:color w:val="000000"/>
                <w:szCs w:val="24"/>
              </w:rPr>
              <w:t>; t</w:t>
            </w:r>
            <w:r w:rsidRPr="00937FE8">
              <w:rPr>
                <w:rFonts w:cs="Calibri"/>
                <w:color w:val="000000"/>
                <w:szCs w:val="24"/>
              </w:rPr>
              <w:t>o post items based on the nightly tax run - allocated fu</w:t>
            </w:r>
            <w:r w:rsidR="00F37977">
              <w:rPr>
                <w:rFonts w:cs="Calibri"/>
                <w:color w:val="000000"/>
                <w:szCs w:val="24"/>
              </w:rPr>
              <w:t>nd from fund 0936 to funds 0001</w:t>
            </w:r>
          </w:p>
        </w:tc>
      </w:tr>
      <w:tr w:rsidR="008D4D2D" w:rsidRPr="000E4EAF" w14:paraId="0C558B66" w14:textId="77777777" w:rsidTr="008C223D">
        <w:trPr>
          <w:trHeight w:val="300"/>
        </w:trPr>
        <w:tc>
          <w:tcPr>
            <w:tcW w:w="697" w:type="dxa"/>
            <w:noWrap/>
            <w:vAlign w:val="center"/>
            <w:hideMark/>
          </w:tcPr>
          <w:p w14:paraId="5F1192E6"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45</w:t>
            </w:r>
          </w:p>
        </w:tc>
        <w:tc>
          <w:tcPr>
            <w:tcW w:w="1661" w:type="dxa"/>
            <w:noWrap/>
            <w:vAlign w:val="center"/>
          </w:tcPr>
          <w:p w14:paraId="403D66C8" w14:textId="46A40E4A" w:rsidR="008D4D2D" w:rsidRPr="00937FE8" w:rsidRDefault="008D4D2D" w:rsidP="008D4D2D">
            <w:pPr>
              <w:spacing w:after="0"/>
              <w:ind w:left="0"/>
              <w:rPr>
                <w:rFonts w:cs="Calibri"/>
                <w:color w:val="000000"/>
                <w:szCs w:val="24"/>
              </w:rPr>
            </w:pPr>
            <w:r w:rsidRPr="00937FE8">
              <w:rPr>
                <w:rFonts w:cs="Calibri"/>
                <w:color w:val="000000"/>
                <w:szCs w:val="24"/>
              </w:rPr>
              <w:t>Daily</w:t>
            </w:r>
          </w:p>
        </w:tc>
        <w:tc>
          <w:tcPr>
            <w:tcW w:w="1759" w:type="dxa"/>
            <w:noWrap/>
            <w:vAlign w:val="center"/>
          </w:tcPr>
          <w:p w14:paraId="0E9CEFB6" w14:textId="1EC4FD0F" w:rsidR="008D4D2D" w:rsidRPr="00937FE8" w:rsidRDefault="008D4D2D" w:rsidP="008D4D2D">
            <w:pPr>
              <w:spacing w:after="0"/>
              <w:ind w:left="0"/>
              <w:rPr>
                <w:rFonts w:cs="Calibri"/>
                <w:color w:val="000000"/>
                <w:szCs w:val="24"/>
              </w:rPr>
            </w:pPr>
            <w:r w:rsidRPr="00937FE8">
              <w:rPr>
                <w:rFonts w:cs="Calibri"/>
                <w:color w:val="000000"/>
                <w:szCs w:val="24"/>
              </w:rPr>
              <w:t>TXDQ0121</w:t>
            </w:r>
          </w:p>
        </w:tc>
        <w:tc>
          <w:tcPr>
            <w:tcW w:w="7185" w:type="dxa"/>
            <w:vAlign w:val="center"/>
          </w:tcPr>
          <w:p w14:paraId="35A4BF8E" w14:textId="2352AE81" w:rsidR="008D4D2D" w:rsidRPr="00937FE8" w:rsidRDefault="008D4D2D" w:rsidP="008D4D2D">
            <w:pPr>
              <w:spacing w:after="0"/>
              <w:ind w:left="0"/>
              <w:rPr>
                <w:rFonts w:cs="Calibri"/>
                <w:color w:val="000000"/>
                <w:szCs w:val="24"/>
              </w:rPr>
            </w:pPr>
            <w:r w:rsidRPr="00937FE8">
              <w:rPr>
                <w:rFonts w:cs="Calibri"/>
                <w:color w:val="000000"/>
                <w:szCs w:val="24"/>
              </w:rPr>
              <w:t>Returned Check List</w:t>
            </w:r>
            <w:r w:rsidR="00F37977">
              <w:rPr>
                <w:rFonts w:cs="Calibri"/>
                <w:color w:val="000000"/>
                <w:szCs w:val="24"/>
              </w:rPr>
              <w:t>; t</w:t>
            </w:r>
            <w:r w:rsidRPr="00937FE8">
              <w:rPr>
                <w:rFonts w:cs="Calibri"/>
                <w:color w:val="000000"/>
                <w:szCs w:val="24"/>
              </w:rPr>
              <w:t>o reconcile items returned unpaid to items pos</w:t>
            </w:r>
            <w:r w:rsidR="00F37977">
              <w:rPr>
                <w:rFonts w:cs="Calibri"/>
                <w:color w:val="000000"/>
                <w:szCs w:val="24"/>
              </w:rPr>
              <w:t>ted to the employer master file</w:t>
            </w:r>
          </w:p>
        </w:tc>
      </w:tr>
      <w:tr w:rsidR="008D4D2D" w:rsidRPr="000E4EAF" w14:paraId="1203E838" w14:textId="77777777" w:rsidTr="008C223D">
        <w:trPr>
          <w:trHeight w:val="300"/>
        </w:trPr>
        <w:tc>
          <w:tcPr>
            <w:tcW w:w="697" w:type="dxa"/>
            <w:noWrap/>
            <w:vAlign w:val="center"/>
            <w:hideMark/>
          </w:tcPr>
          <w:p w14:paraId="48D16F3E"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46</w:t>
            </w:r>
          </w:p>
        </w:tc>
        <w:tc>
          <w:tcPr>
            <w:tcW w:w="1661" w:type="dxa"/>
            <w:noWrap/>
            <w:vAlign w:val="center"/>
          </w:tcPr>
          <w:p w14:paraId="25A5774A" w14:textId="04090D3C" w:rsidR="008D4D2D" w:rsidRPr="00937FE8" w:rsidRDefault="008D4D2D" w:rsidP="008D4D2D">
            <w:pPr>
              <w:spacing w:after="0"/>
              <w:ind w:left="0"/>
              <w:rPr>
                <w:rFonts w:cs="Calibri"/>
                <w:color w:val="000000"/>
                <w:szCs w:val="24"/>
              </w:rPr>
            </w:pPr>
            <w:r w:rsidRPr="00937FE8">
              <w:rPr>
                <w:rFonts w:cs="Calibri"/>
                <w:color w:val="000000"/>
                <w:szCs w:val="24"/>
              </w:rPr>
              <w:t>Daily</w:t>
            </w:r>
          </w:p>
        </w:tc>
        <w:tc>
          <w:tcPr>
            <w:tcW w:w="1759" w:type="dxa"/>
            <w:noWrap/>
            <w:vAlign w:val="center"/>
          </w:tcPr>
          <w:p w14:paraId="57DE1C96" w14:textId="6A4D7B0E" w:rsidR="008D4D2D" w:rsidRPr="00937FE8" w:rsidRDefault="008D4D2D" w:rsidP="008D4D2D">
            <w:pPr>
              <w:spacing w:after="0"/>
              <w:ind w:left="0"/>
              <w:rPr>
                <w:rFonts w:cs="Calibri"/>
                <w:color w:val="000000"/>
                <w:szCs w:val="24"/>
              </w:rPr>
            </w:pPr>
            <w:r w:rsidRPr="00937FE8">
              <w:rPr>
                <w:rFonts w:cs="Calibri"/>
                <w:color w:val="000000"/>
                <w:szCs w:val="24"/>
              </w:rPr>
              <w:t>TXDQ0122</w:t>
            </w:r>
          </w:p>
        </w:tc>
        <w:tc>
          <w:tcPr>
            <w:tcW w:w="7185" w:type="dxa"/>
            <w:vAlign w:val="center"/>
          </w:tcPr>
          <w:p w14:paraId="7EFB8400" w14:textId="32BAADD4" w:rsidR="008D4D2D" w:rsidRPr="00937FE8" w:rsidRDefault="008D4D2D" w:rsidP="008D4D2D">
            <w:pPr>
              <w:spacing w:after="0"/>
              <w:ind w:left="0"/>
              <w:rPr>
                <w:rFonts w:cs="Calibri"/>
                <w:color w:val="000000"/>
                <w:szCs w:val="24"/>
              </w:rPr>
            </w:pPr>
            <w:r w:rsidRPr="00937FE8">
              <w:rPr>
                <w:rFonts w:cs="Calibri"/>
                <w:color w:val="000000"/>
                <w:szCs w:val="24"/>
              </w:rPr>
              <w:t>Returned Check Letters</w:t>
            </w:r>
            <w:r w:rsidR="00F37977">
              <w:rPr>
                <w:rFonts w:cs="Calibri"/>
                <w:color w:val="000000"/>
                <w:szCs w:val="24"/>
              </w:rPr>
              <w:t>; t</w:t>
            </w:r>
            <w:r w:rsidRPr="00937FE8">
              <w:rPr>
                <w:rFonts w:cs="Calibri"/>
                <w:color w:val="000000"/>
                <w:szCs w:val="24"/>
              </w:rPr>
              <w:t>o inform employers of payments returne</w:t>
            </w:r>
            <w:r w:rsidR="00F37977">
              <w:rPr>
                <w:rFonts w:cs="Calibri"/>
                <w:color w:val="000000"/>
                <w:szCs w:val="24"/>
              </w:rPr>
              <w:t>d unpaid and current amount due</w:t>
            </w:r>
          </w:p>
        </w:tc>
      </w:tr>
      <w:tr w:rsidR="008D4D2D" w:rsidRPr="000E4EAF" w14:paraId="686A3F7B" w14:textId="77777777" w:rsidTr="008C223D">
        <w:trPr>
          <w:trHeight w:val="300"/>
        </w:trPr>
        <w:tc>
          <w:tcPr>
            <w:tcW w:w="697" w:type="dxa"/>
            <w:noWrap/>
            <w:vAlign w:val="center"/>
            <w:hideMark/>
          </w:tcPr>
          <w:p w14:paraId="3AF05555"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47</w:t>
            </w:r>
          </w:p>
        </w:tc>
        <w:tc>
          <w:tcPr>
            <w:tcW w:w="1661" w:type="dxa"/>
            <w:noWrap/>
            <w:vAlign w:val="center"/>
          </w:tcPr>
          <w:p w14:paraId="31065F11" w14:textId="19E95359" w:rsidR="008D4D2D" w:rsidRPr="00937FE8" w:rsidRDefault="008D4D2D" w:rsidP="008D4D2D">
            <w:pPr>
              <w:spacing w:after="0"/>
              <w:ind w:left="0"/>
              <w:rPr>
                <w:rFonts w:cs="Calibri"/>
                <w:color w:val="000000"/>
                <w:szCs w:val="24"/>
              </w:rPr>
            </w:pPr>
            <w:r w:rsidRPr="00937FE8">
              <w:rPr>
                <w:rFonts w:cs="Calibri"/>
                <w:color w:val="000000"/>
                <w:szCs w:val="24"/>
              </w:rPr>
              <w:t>Daily</w:t>
            </w:r>
          </w:p>
        </w:tc>
        <w:tc>
          <w:tcPr>
            <w:tcW w:w="1759" w:type="dxa"/>
            <w:noWrap/>
            <w:vAlign w:val="center"/>
          </w:tcPr>
          <w:p w14:paraId="5C79EA10" w14:textId="272F2C64" w:rsidR="008D4D2D" w:rsidRPr="00937FE8" w:rsidRDefault="008D4D2D" w:rsidP="008D4D2D">
            <w:pPr>
              <w:spacing w:after="0"/>
              <w:ind w:left="0"/>
              <w:rPr>
                <w:rFonts w:cs="Calibri"/>
                <w:color w:val="000000"/>
                <w:szCs w:val="24"/>
              </w:rPr>
            </w:pPr>
            <w:r w:rsidRPr="00937FE8">
              <w:rPr>
                <w:rFonts w:cs="Calibri"/>
                <w:color w:val="000000"/>
                <w:szCs w:val="24"/>
              </w:rPr>
              <w:t>TXDQ0262</w:t>
            </w:r>
          </w:p>
        </w:tc>
        <w:tc>
          <w:tcPr>
            <w:tcW w:w="7185" w:type="dxa"/>
            <w:vAlign w:val="center"/>
          </w:tcPr>
          <w:p w14:paraId="4C154E50" w14:textId="63B78F81" w:rsidR="008D4D2D" w:rsidRPr="00937FE8" w:rsidRDefault="008D4D2D" w:rsidP="008D4D2D">
            <w:pPr>
              <w:spacing w:after="0"/>
              <w:ind w:left="0"/>
              <w:rPr>
                <w:rFonts w:cs="Calibri"/>
                <w:color w:val="000000"/>
                <w:szCs w:val="24"/>
              </w:rPr>
            </w:pPr>
            <w:r w:rsidRPr="00937FE8">
              <w:rPr>
                <w:rFonts w:cs="Calibri"/>
                <w:color w:val="000000"/>
                <w:szCs w:val="24"/>
              </w:rPr>
              <w:t>Controller Refund Audit Report</w:t>
            </w:r>
            <w:r w:rsidR="00F37977">
              <w:rPr>
                <w:rFonts w:cs="Calibri"/>
                <w:color w:val="000000"/>
                <w:szCs w:val="24"/>
              </w:rPr>
              <w:t>; l</w:t>
            </w:r>
            <w:r w:rsidR="00F37977" w:rsidRPr="00937FE8">
              <w:rPr>
                <w:rFonts w:cs="Calibri"/>
                <w:color w:val="000000"/>
                <w:szCs w:val="24"/>
              </w:rPr>
              <w:t>isting of prior d</w:t>
            </w:r>
            <w:r w:rsidR="00F37977">
              <w:rPr>
                <w:rFonts w:cs="Calibri"/>
                <w:color w:val="000000"/>
                <w:szCs w:val="24"/>
              </w:rPr>
              <w:t>ay refunds processed</w:t>
            </w:r>
          </w:p>
        </w:tc>
      </w:tr>
      <w:tr w:rsidR="008D4D2D" w:rsidRPr="000E4EAF" w14:paraId="4FB3FBA8" w14:textId="77777777" w:rsidTr="008C223D">
        <w:trPr>
          <w:trHeight w:val="300"/>
        </w:trPr>
        <w:tc>
          <w:tcPr>
            <w:tcW w:w="697" w:type="dxa"/>
            <w:noWrap/>
            <w:vAlign w:val="center"/>
            <w:hideMark/>
          </w:tcPr>
          <w:p w14:paraId="4F124B84"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48</w:t>
            </w:r>
          </w:p>
        </w:tc>
        <w:tc>
          <w:tcPr>
            <w:tcW w:w="1661" w:type="dxa"/>
            <w:noWrap/>
            <w:vAlign w:val="center"/>
          </w:tcPr>
          <w:p w14:paraId="0BE7EE22" w14:textId="7C214AD9" w:rsidR="008D4D2D" w:rsidRPr="00937FE8" w:rsidRDefault="008D4D2D" w:rsidP="008D4D2D">
            <w:pPr>
              <w:spacing w:after="0"/>
              <w:ind w:left="0"/>
              <w:rPr>
                <w:rFonts w:cs="Calibri"/>
                <w:color w:val="000000"/>
                <w:szCs w:val="24"/>
              </w:rPr>
            </w:pPr>
            <w:r w:rsidRPr="00937FE8">
              <w:rPr>
                <w:rFonts w:cs="Calibri"/>
                <w:color w:val="000000"/>
                <w:szCs w:val="24"/>
              </w:rPr>
              <w:t>Daily</w:t>
            </w:r>
          </w:p>
        </w:tc>
        <w:tc>
          <w:tcPr>
            <w:tcW w:w="1759" w:type="dxa"/>
            <w:noWrap/>
            <w:vAlign w:val="center"/>
          </w:tcPr>
          <w:p w14:paraId="5BA74666" w14:textId="24416BAF" w:rsidR="008D4D2D" w:rsidRPr="00937FE8" w:rsidRDefault="008D4D2D" w:rsidP="008D4D2D">
            <w:pPr>
              <w:spacing w:after="0"/>
              <w:ind w:left="0"/>
              <w:rPr>
                <w:rFonts w:cs="Calibri"/>
                <w:color w:val="000000"/>
                <w:szCs w:val="24"/>
              </w:rPr>
            </w:pPr>
            <w:r w:rsidRPr="00937FE8">
              <w:rPr>
                <w:rFonts w:cs="Calibri"/>
                <w:color w:val="000000"/>
                <w:szCs w:val="24"/>
              </w:rPr>
              <w:t>TXDQ0811</w:t>
            </w:r>
          </w:p>
        </w:tc>
        <w:tc>
          <w:tcPr>
            <w:tcW w:w="7185" w:type="dxa"/>
            <w:vAlign w:val="center"/>
          </w:tcPr>
          <w:p w14:paraId="3B448BCD" w14:textId="77DD0544" w:rsidR="008D4D2D" w:rsidRPr="00937FE8" w:rsidRDefault="008D4D2D" w:rsidP="008D4D2D">
            <w:pPr>
              <w:spacing w:after="0"/>
              <w:ind w:left="0"/>
              <w:rPr>
                <w:rFonts w:cs="Calibri"/>
                <w:color w:val="000000"/>
                <w:szCs w:val="24"/>
              </w:rPr>
            </w:pPr>
            <w:r w:rsidRPr="00937FE8">
              <w:rPr>
                <w:rFonts w:cs="Calibri"/>
                <w:color w:val="000000"/>
                <w:szCs w:val="24"/>
              </w:rPr>
              <w:t>Accounts Transaction Listing</w:t>
            </w:r>
            <w:r w:rsidR="00F37977">
              <w:rPr>
                <w:rFonts w:cs="Calibri"/>
                <w:color w:val="000000"/>
                <w:szCs w:val="24"/>
              </w:rPr>
              <w:t>; b</w:t>
            </w:r>
            <w:r w:rsidRPr="00937FE8">
              <w:rPr>
                <w:rFonts w:cs="Calibri"/>
                <w:color w:val="000000"/>
                <w:szCs w:val="24"/>
              </w:rPr>
              <w:t>ack up for changes m</w:t>
            </w:r>
            <w:r w:rsidR="00F37977">
              <w:rPr>
                <w:rFonts w:cs="Calibri"/>
                <w:color w:val="000000"/>
                <w:szCs w:val="24"/>
              </w:rPr>
              <w:t>ade to the employer master file</w:t>
            </w:r>
          </w:p>
        </w:tc>
      </w:tr>
      <w:tr w:rsidR="008D4D2D" w:rsidRPr="000E4EAF" w14:paraId="3CB5341B" w14:textId="77777777" w:rsidTr="008C223D">
        <w:trPr>
          <w:trHeight w:val="300"/>
        </w:trPr>
        <w:tc>
          <w:tcPr>
            <w:tcW w:w="697" w:type="dxa"/>
            <w:noWrap/>
            <w:vAlign w:val="center"/>
            <w:hideMark/>
          </w:tcPr>
          <w:p w14:paraId="46CA411C"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49</w:t>
            </w:r>
          </w:p>
        </w:tc>
        <w:tc>
          <w:tcPr>
            <w:tcW w:w="1661" w:type="dxa"/>
            <w:noWrap/>
            <w:vAlign w:val="center"/>
          </w:tcPr>
          <w:p w14:paraId="5830AA49" w14:textId="58079D08" w:rsidR="008D4D2D" w:rsidRPr="00937FE8" w:rsidRDefault="008D4D2D" w:rsidP="008D4D2D">
            <w:pPr>
              <w:spacing w:after="0"/>
              <w:ind w:left="0"/>
              <w:rPr>
                <w:rFonts w:cs="Calibri"/>
                <w:color w:val="000000"/>
                <w:szCs w:val="24"/>
              </w:rPr>
            </w:pPr>
            <w:r w:rsidRPr="00937FE8">
              <w:rPr>
                <w:rFonts w:cs="Calibri"/>
                <w:color w:val="000000"/>
                <w:szCs w:val="24"/>
              </w:rPr>
              <w:t>Daily</w:t>
            </w:r>
          </w:p>
        </w:tc>
        <w:tc>
          <w:tcPr>
            <w:tcW w:w="1759" w:type="dxa"/>
            <w:noWrap/>
            <w:vAlign w:val="center"/>
          </w:tcPr>
          <w:p w14:paraId="5E018790" w14:textId="37201D3D" w:rsidR="008D4D2D" w:rsidRPr="00937FE8" w:rsidRDefault="008D4D2D" w:rsidP="008D4D2D">
            <w:pPr>
              <w:spacing w:after="0"/>
              <w:ind w:left="0"/>
              <w:rPr>
                <w:rFonts w:cs="Calibri"/>
                <w:color w:val="000000"/>
                <w:szCs w:val="24"/>
              </w:rPr>
            </w:pPr>
            <w:r w:rsidRPr="00937FE8">
              <w:rPr>
                <w:rFonts w:cs="Calibri"/>
                <w:color w:val="000000"/>
                <w:szCs w:val="24"/>
              </w:rPr>
              <w:t>TXDQ0892</w:t>
            </w:r>
          </w:p>
        </w:tc>
        <w:tc>
          <w:tcPr>
            <w:tcW w:w="7185" w:type="dxa"/>
            <w:vAlign w:val="center"/>
          </w:tcPr>
          <w:p w14:paraId="7BBA7F5E" w14:textId="069F1270" w:rsidR="008D4D2D" w:rsidRPr="00937FE8" w:rsidRDefault="008D4D2D" w:rsidP="008D4D2D">
            <w:pPr>
              <w:spacing w:after="0"/>
              <w:ind w:left="0"/>
              <w:rPr>
                <w:rFonts w:cs="Calibri"/>
                <w:color w:val="000000"/>
                <w:szCs w:val="24"/>
              </w:rPr>
            </w:pPr>
            <w:r w:rsidRPr="00937FE8">
              <w:rPr>
                <w:rFonts w:cs="Calibri"/>
                <w:color w:val="000000"/>
                <w:szCs w:val="24"/>
              </w:rPr>
              <w:t>Allocation of Remittances Summary</w:t>
            </w:r>
            <w:r w:rsidR="00F37977">
              <w:rPr>
                <w:rFonts w:cs="Calibri"/>
                <w:color w:val="000000"/>
                <w:szCs w:val="24"/>
              </w:rPr>
              <w:t>; t</w:t>
            </w:r>
            <w:r w:rsidRPr="00937FE8">
              <w:rPr>
                <w:rFonts w:cs="Calibri"/>
                <w:color w:val="000000"/>
                <w:szCs w:val="24"/>
              </w:rPr>
              <w:t>o post items based on the nightly tax run - allocated fund from fund 093</w:t>
            </w:r>
            <w:r w:rsidR="00F37977">
              <w:rPr>
                <w:rFonts w:cs="Calibri"/>
                <w:color w:val="000000"/>
                <w:szCs w:val="24"/>
              </w:rPr>
              <w:t>6 to funds 0001</w:t>
            </w:r>
          </w:p>
        </w:tc>
      </w:tr>
      <w:tr w:rsidR="008D4D2D" w:rsidRPr="000E4EAF" w14:paraId="3716B13E" w14:textId="77777777" w:rsidTr="008C223D">
        <w:trPr>
          <w:trHeight w:val="300"/>
        </w:trPr>
        <w:tc>
          <w:tcPr>
            <w:tcW w:w="697" w:type="dxa"/>
            <w:noWrap/>
            <w:vAlign w:val="center"/>
            <w:hideMark/>
          </w:tcPr>
          <w:p w14:paraId="0E9CCC80"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50</w:t>
            </w:r>
          </w:p>
        </w:tc>
        <w:tc>
          <w:tcPr>
            <w:tcW w:w="1661" w:type="dxa"/>
            <w:noWrap/>
            <w:vAlign w:val="center"/>
          </w:tcPr>
          <w:p w14:paraId="305DF210" w14:textId="5615FFE7" w:rsidR="008D4D2D" w:rsidRPr="00937FE8" w:rsidRDefault="008D4D2D" w:rsidP="008D4D2D">
            <w:pPr>
              <w:spacing w:after="0"/>
              <w:ind w:left="0"/>
              <w:rPr>
                <w:rFonts w:cs="Calibri"/>
                <w:color w:val="000000"/>
                <w:szCs w:val="24"/>
              </w:rPr>
            </w:pPr>
            <w:r w:rsidRPr="00937FE8">
              <w:rPr>
                <w:rFonts w:cs="Calibri"/>
                <w:color w:val="000000"/>
                <w:szCs w:val="24"/>
              </w:rPr>
              <w:t>Daily</w:t>
            </w:r>
          </w:p>
        </w:tc>
        <w:tc>
          <w:tcPr>
            <w:tcW w:w="1759" w:type="dxa"/>
            <w:noWrap/>
            <w:vAlign w:val="center"/>
          </w:tcPr>
          <w:p w14:paraId="1F1C260F" w14:textId="2507349C" w:rsidR="008D4D2D" w:rsidRPr="00937FE8" w:rsidRDefault="008D4D2D" w:rsidP="008D4D2D">
            <w:pPr>
              <w:spacing w:after="0"/>
              <w:ind w:left="0"/>
              <w:rPr>
                <w:rFonts w:cs="Calibri"/>
                <w:color w:val="000000"/>
                <w:szCs w:val="24"/>
              </w:rPr>
            </w:pPr>
            <w:r w:rsidRPr="00937FE8">
              <w:rPr>
                <w:rFonts w:cs="Calibri"/>
                <w:color w:val="000000"/>
                <w:szCs w:val="24"/>
              </w:rPr>
              <w:t>TXDS0082</w:t>
            </w:r>
          </w:p>
        </w:tc>
        <w:tc>
          <w:tcPr>
            <w:tcW w:w="7185" w:type="dxa"/>
            <w:vAlign w:val="center"/>
          </w:tcPr>
          <w:p w14:paraId="15ECC38D" w14:textId="44AA8D14" w:rsidR="008D4D2D" w:rsidRPr="00937FE8" w:rsidRDefault="008D4D2D" w:rsidP="008D4D2D">
            <w:pPr>
              <w:spacing w:after="0"/>
              <w:ind w:left="0"/>
              <w:rPr>
                <w:rFonts w:cs="Calibri"/>
                <w:color w:val="000000"/>
                <w:szCs w:val="24"/>
              </w:rPr>
            </w:pPr>
            <w:r w:rsidRPr="00937FE8">
              <w:rPr>
                <w:rFonts w:cs="Calibri"/>
                <w:color w:val="000000"/>
                <w:szCs w:val="24"/>
              </w:rPr>
              <w:t>Warrant Address Correction</w:t>
            </w:r>
            <w:r w:rsidR="00F37977">
              <w:rPr>
                <w:rFonts w:cs="Calibri"/>
                <w:color w:val="000000"/>
                <w:szCs w:val="24"/>
              </w:rPr>
              <w:t>; w</w:t>
            </w:r>
            <w:r w:rsidRPr="00937FE8">
              <w:rPr>
                <w:rFonts w:cs="Calibri"/>
                <w:color w:val="000000"/>
                <w:szCs w:val="24"/>
              </w:rPr>
              <w:t>arrants add</w:t>
            </w:r>
            <w:r w:rsidR="00F37977">
              <w:rPr>
                <w:rFonts w:cs="Calibri"/>
                <w:color w:val="000000"/>
                <w:szCs w:val="24"/>
              </w:rPr>
              <w:t>ed/completed for WAC Assignment</w:t>
            </w:r>
          </w:p>
        </w:tc>
      </w:tr>
      <w:tr w:rsidR="008D4D2D" w:rsidRPr="000E4EAF" w14:paraId="05F01ED7" w14:textId="77777777" w:rsidTr="008C223D">
        <w:trPr>
          <w:trHeight w:val="300"/>
        </w:trPr>
        <w:tc>
          <w:tcPr>
            <w:tcW w:w="697" w:type="dxa"/>
            <w:noWrap/>
            <w:vAlign w:val="center"/>
            <w:hideMark/>
          </w:tcPr>
          <w:p w14:paraId="7C9A7A20"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51</w:t>
            </w:r>
          </w:p>
        </w:tc>
        <w:tc>
          <w:tcPr>
            <w:tcW w:w="1661" w:type="dxa"/>
            <w:noWrap/>
            <w:vAlign w:val="center"/>
          </w:tcPr>
          <w:p w14:paraId="4D4C1F53" w14:textId="04CC7D7A" w:rsidR="008D4D2D" w:rsidRPr="00937FE8" w:rsidRDefault="008D4D2D" w:rsidP="008D4D2D">
            <w:pPr>
              <w:spacing w:after="0"/>
              <w:ind w:left="0"/>
              <w:rPr>
                <w:rFonts w:cs="Calibri"/>
                <w:color w:val="000000"/>
                <w:szCs w:val="24"/>
              </w:rPr>
            </w:pPr>
            <w:r w:rsidRPr="00937FE8">
              <w:rPr>
                <w:rFonts w:cs="Calibri"/>
                <w:color w:val="000000"/>
                <w:szCs w:val="24"/>
              </w:rPr>
              <w:t>Weekly</w:t>
            </w:r>
          </w:p>
        </w:tc>
        <w:tc>
          <w:tcPr>
            <w:tcW w:w="1759" w:type="dxa"/>
            <w:noWrap/>
            <w:vAlign w:val="center"/>
          </w:tcPr>
          <w:p w14:paraId="7C5A9D2C" w14:textId="33F66758" w:rsidR="008D4D2D" w:rsidRPr="00937FE8" w:rsidRDefault="008D4D2D" w:rsidP="008D4D2D">
            <w:pPr>
              <w:spacing w:after="0"/>
              <w:ind w:left="0"/>
              <w:rPr>
                <w:rFonts w:cs="Calibri"/>
                <w:color w:val="000000"/>
                <w:szCs w:val="24"/>
              </w:rPr>
            </w:pPr>
            <w:r w:rsidRPr="00937FE8">
              <w:rPr>
                <w:rFonts w:cs="Calibri"/>
                <w:color w:val="000000"/>
                <w:szCs w:val="24"/>
              </w:rPr>
              <w:t>PDWC878C</w:t>
            </w:r>
          </w:p>
        </w:tc>
        <w:tc>
          <w:tcPr>
            <w:tcW w:w="7185" w:type="dxa"/>
            <w:vAlign w:val="center"/>
          </w:tcPr>
          <w:p w14:paraId="3B4CA203" w14:textId="7B6BA08F" w:rsidR="008D4D2D" w:rsidRPr="00937FE8" w:rsidRDefault="008D4D2D" w:rsidP="008D4D2D">
            <w:pPr>
              <w:spacing w:after="0"/>
              <w:ind w:left="0"/>
              <w:rPr>
                <w:rFonts w:cs="Calibri"/>
                <w:color w:val="000000"/>
                <w:szCs w:val="24"/>
              </w:rPr>
            </w:pPr>
            <w:r w:rsidRPr="00937FE8">
              <w:rPr>
                <w:rFonts w:cs="Calibri"/>
                <w:color w:val="000000"/>
                <w:szCs w:val="24"/>
              </w:rPr>
              <w:t>Fund 0165 Activity for Fund 0894</w:t>
            </w:r>
            <w:r w:rsidR="00F37977">
              <w:rPr>
                <w:rFonts w:cs="Calibri"/>
                <w:color w:val="000000"/>
                <w:szCs w:val="24"/>
              </w:rPr>
              <w:t>; s</w:t>
            </w:r>
            <w:r w:rsidR="00F37977" w:rsidRPr="00937FE8">
              <w:rPr>
                <w:rFonts w:cs="Calibri"/>
                <w:color w:val="000000"/>
                <w:szCs w:val="24"/>
              </w:rPr>
              <w:t>ummary of weekly activ</w:t>
            </w:r>
            <w:r w:rsidR="00F37977">
              <w:rPr>
                <w:rFonts w:cs="Calibri"/>
                <w:color w:val="000000"/>
                <w:szCs w:val="24"/>
              </w:rPr>
              <w:t>ity</w:t>
            </w:r>
          </w:p>
        </w:tc>
      </w:tr>
      <w:tr w:rsidR="008D4D2D" w:rsidRPr="000E4EAF" w14:paraId="11E68D86" w14:textId="77777777" w:rsidTr="008C223D">
        <w:trPr>
          <w:trHeight w:val="300"/>
        </w:trPr>
        <w:tc>
          <w:tcPr>
            <w:tcW w:w="697" w:type="dxa"/>
            <w:noWrap/>
            <w:vAlign w:val="center"/>
            <w:hideMark/>
          </w:tcPr>
          <w:p w14:paraId="67DBD819"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52</w:t>
            </w:r>
          </w:p>
        </w:tc>
        <w:tc>
          <w:tcPr>
            <w:tcW w:w="1661" w:type="dxa"/>
            <w:noWrap/>
            <w:vAlign w:val="center"/>
          </w:tcPr>
          <w:p w14:paraId="77FE278C" w14:textId="60425D54" w:rsidR="008D4D2D" w:rsidRPr="00937FE8" w:rsidRDefault="008D4D2D" w:rsidP="008D4D2D">
            <w:pPr>
              <w:spacing w:after="0"/>
              <w:ind w:left="0"/>
              <w:rPr>
                <w:rFonts w:cs="Calibri"/>
                <w:color w:val="000000"/>
                <w:szCs w:val="24"/>
              </w:rPr>
            </w:pPr>
            <w:r w:rsidRPr="00937FE8">
              <w:rPr>
                <w:rFonts w:cs="Calibri"/>
                <w:color w:val="000000"/>
                <w:szCs w:val="24"/>
              </w:rPr>
              <w:t>Monthly</w:t>
            </w:r>
          </w:p>
        </w:tc>
        <w:tc>
          <w:tcPr>
            <w:tcW w:w="1759" w:type="dxa"/>
            <w:noWrap/>
            <w:vAlign w:val="center"/>
          </w:tcPr>
          <w:p w14:paraId="6C401859" w14:textId="6D033A7A" w:rsidR="008D4D2D" w:rsidRPr="00937FE8" w:rsidRDefault="008D4D2D" w:rsidP="008D4D2D">
            <w:pPr>
              <w:spacing w:after="0"/>
              <w:ind w:left="0"/>
              <w:rPr>
                <w:rFonts w:cs="Calibri"/>
                <w:color w:val="000000"/>
                <w:szCs w:val="24"/>
              </w:rPr>
            </w:pPr>
            <w:r w:rsidRPr="00937FE8">
              <w:rPr>
                <w:rFonts w:cs="Calibri"/>
                <w:color w:val="000000"/>
                <w:szCs w:val="24"/>
              </w:rPr>
              <w:t>BNMP090A</w:t>
            </w:r>
          </w:p>
        </w:tc>
        <w:tc>
          <w:tcPr>
            <w:tcW w:w="7185" w:type="dxa"/>
            <w:vAlign w:val="center"/>
          </w:tcPr>
          <w:p w14:paraId="71F2FD26" w14:textId="4F65F38D" w:rsidR="008D4D2D" w:rsidRPr="00937FE8" w:rsidRDefault="008B685F" w:rsidP="008D4D2D">
            <w:pPr>
              <w:spacing w:after="0"/>
              <w:ind w:left="0"/>
              <w:rPr>
                <w:rFonts w:cs="Calibri"/>
                <w:color w:val="000000"/>
                <w:szCs w:val="24"/>
              </w:rPr>
            </w:pPr>
            <w:r w:rsidRPr="00937FE8">
              <w:rPr>
                <w:rFonts w:cs="Calibri"/>
                <w:color w:val="000000"/>
                <w:szCs w:val="24"/>
              </w:rPr>
              <w:t>Monthly</w:t>
            </w:r>
            <w:r w:rsidR="00DE442E">
              <w:rPr>
                <w:rFonts w:cs="Calibri"/>
                <w:color w:val="000000"/>
                <w:szCs w:val="24"/>
              </w:rPr>
              <w:t xml:space="preserve"> Withholding; Federal Reports</w:t>
            </w:r>
          </w:p>
        </w:tc>
      </w:tr>
      <w:tr w:rsidR="008D4D2D" w:rsidRPr="000E4EAF" w14:paraId="45C4BA11" w14:textId="77777777" w:rsidTr="008C223D">
        <w:trPr>
          <w:trHeight w:val="300"/>
        </w:trPr>
        <w:tc>
          <w:tcPr>
            <w:tcW w:w="697" w:type="dxa"/>
            <w:noWrap/>
            <w:vAlign w:val="center"/>
            <w:hideMark/>
          </w:tcPr>
          <w:p w14:paraId="54D004C0"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53</w:t>
            </w:r>
          </w:p>
        </w:tc>
        <w:tc>
          <w:tcPr>
            <w:tcW w:w="1661" w:type="dxa"/>
            <w:noWrap/>
            <w:vAlign w:val="center"/>
          </w:tcPr>
          <w:p w14:paraId="4B5326FF" w14:textId="56B9F8C2" w:rsidR="008D4D2D" w:rsidRPr="00937FE8" w:rsidRDefault="008D4D2D" w:rsidP="008D4D2D">
            <w:pPr>
              <w:spacing w:after="0"/>
              <w:ind w:left="0"/>
              <w:rPr>
                <w:rFonts w:cs="Calibri"/>
                <w:color w:val="000000"/>
                <w:szCs w:val="24"/>
              </w:rPr>
            </w:pPr>
            <w:r w:rsidRPr="00937FE8">
              <w:rPr>
                <w:rFonts w:cs="Calibri"/>
                <w:color w:val="000000"/>
                <w:szCs w:val="24"/>
              </w:rPr>
              <w:t>Monthly</w:t>
            </w:r>
          </w:p>
        </w:tc>
        <w:tc>
          <w:tcPr>
            <w:tcW w:w="1759" w:type="dxa"/>
            <w:noWrap/>
            <w:vAlign w:val="center"/>
          </w:tcPr>
          <w:p w14:paraId="500BD808" w14:textId="3789054A" w:rsidR="008D4D2D" w:rsidRPr="00937FE8" w:rsidRDefault="008D4D2D" w:rsidP="008D4D2D">
            <w:pPr>
              <w:spacing w:after="0"/>
              <w:ind w:left="0"/>
              <w:rPr>
                <w:rFonts w:cs="Calibri"/>
                <w:color w:val="000000"/>
                <w:szCs w:val="24"/>
              </w:rPr>
            </w:pPr>
            <w:r w:rsidRPr="00937FE8">
              <w:rPr>
                <w:rFonts w:cs="Calibri"/>
                <w:color w:val="000000"/>
                <w:szCs w:val="24"/>
              </w:rPr>
              <w:t>TXEIDMON</w:t>
            </w:r>
          </w:p>
        </w:tc>
        <w:tc>
          <w:tcPr>
            <w:tcW w:w="7185" w:type="dxa"/>
            <w:vAlign w:val="center"/>
          </w:tcPr>
          <w:p w14:paraId="716B8B1D" w14:textId="0CDC90C5" w:rsidR="008D4D2D" w:rsidRPr="00937FE8" w:rsidRDefault="008D4D2D" w:rsidP="008D4D2D">
            <w:pPr>
              <w:spacing w:after="0"/>
              <w:ind w:left="0"/>
              <w:rPr>
                <w:rFonts w:cs="Calibri"/>
                <w:color w:val="000000"/>
                <w:szCs w:val="24"/>
              </w:rPr>
            </w:pPr>
            <w:r w:rsidRPr="00937FE8">
              <w:rPr>
                <w:rFonts w:cs="Calibri"/>
                <w:color w:val="000000"/>
                <w:szCs w:val="24"/>
              </w:rPr>
              <w:t xml:space="preserve">Tax Accounts </w:t>
            </w:r>
            <w:r w:rsidR="008B685F" w:rsidRPr="00937FE8">
              <w:rPr>
                <w:rFonts w:cs="Calibri"/>
                <w:color w:val="000000"/>
                <w:szCs w:val="24"/>
              </w:rPr>
              <w:t>Established</w:t>
            </w:r>
            <w:r w:rsidR="00DE442E">
              <w:rPr>
                <w:rFonts w:cs="Calibri"/>
                <w:color w:val="000000"/>
                <w:szCs w:val="24"/>
              </w:rPr>
              <w:t>; to</w:t>
            </w:r>
            <w:r w:rsidRPr="00937FE8">
              <w:rPr>
                <w:rFonts w:cs="Calibri"/>
                <w:color w:val="000000"/>
                <w:szCs w:val="24"/>
              </w:rPr>
              <w:t xml:space="preserve"> track the n</w:t>
            </w:r>
            <w:r w:rsidR="00DE442E">
              <w:rPr>
                <w:rFonts w:cs="Calibri"/>
                <w:color w:val="000000"/>
                <w:szCs w:val="24"/>
              </w:rPr>
              <w:t>umber of accounts set up by RTM</w:t>
            </w:r>
          </w:p>
        </w:tc>
      </w:tr>
      <w:tr w:rsidR="008D4D2D" w:rsidRPr="000E4EAF" w14:paraId="2AEDEA7A" w14:textId="77777777" w:rsidTr="008C223D">
        <w:trPr>
          <w:trHeight w:val="300"/>
        </w:trPr>
        <w:tc>
          <w:tcPr>
            <w:tcW w:w="697" w:type="dxa"/>
            <w:noWrap/>
            <w:vAlign w:val="center"/>
            <w:hideMark/>
          </w:tcPr>
          <w:p w14:paraId="2722F29F"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54</w:t>
            </w:r>
          </w:p>
        </w:tc>
        <w:tc>
          <w:tcPr>
            <w:tcW w:w="1661" w:type="dxa"/>
            <w:noWrap/>
            <w:vAlign w:val="center"/>
          </w:tcPr>
          <w:p w14:paraId="02C28C71" w14:textId="7F9B1E0C" w:rsidR="008D4D2D" w:rsidRPr="00937FE8" w:rsidRDefault="008D4D2D" w:rsidP="008D4D2D">
            <w:pPr>
              <w:spacing w:after="0"/>
              <w:ind w:left="0"/>
              <w:rPr>
                <w:rFonts w:cs="Calibri"/>
                <w:color w:val="000000"/>
                <w:szCs w:val="24"/>
              </w:rPr>
            </w:pPr>
            <w:r w:rsidRPr="00937FE8">
              <w:rPr>
                <w:rFonts w:cs="Calibri"/>
                <w:color w:val="000000"/>
                <w:szCs w:val="24"/>
              </w:rPr>
              <w:t>Monthly</w:t>
            </w:r>
          </w:p>
        </w:tc>
        <w:tc>
          <w:tcPr>
            <w:tcW w:w="1759" w:type="dxa"/>
            <w:noWrap/>
            <w:vAlign w:val="center"/>
          </w:tcPr>
          <w:p w14:paraId="7C9273E2" w14:textId="7CDCABD1" w:rsidR="008D4D2D" w:rsidRPr="00937FE8" w:rsidRDefault="008D4D2D" w:rsidP="008D4D2D">
            <w:pPr>
              <w:spacing w:after="0"/>
              <w:ind w:left="0"/>
              <w:rPr>
                <w:rFonts w:cs="Calibri"/>
                <w:color w:val="000000"/>
                <w:szCs w:val="24"/>
              </w:rPr>
            </w:pPr>
            <w:r w:rsidRPr="00937FE8">
              <w:rPr>
                <w:rFonts w:cs="Calibri"/>
                <w:color w:val="000000"/>
                <w:szCs w:val="24"/>
              </w:rPr>
              <w:t>TXMM0181</w:t>
            </w:r>
          </w:p>
        </w:tc>
        <w:tc>
          <w:tcPr>
            <w:tcW w:w="7185" w:type="dxa"/>
            <w:vAlign w:val="center"/>
          </w:tcPr>
          <w:p w14:paraId="1974A516" w14:textId="3B1585D6" w:rsidR="008D4D2D" w:rsidRPr="00937FE8" w:rsidRDefault="00DE442E" w:rsidP="008D4D2D">
            <w:pPr>
              <w:spacing w:after="0"/>
              <w:ind w:left="0"/>
              <w:rPr>
                <w:rFonts w:cs="Calibri"/>
                <w:color w:val="000000"/>
                <w:szCs w:val="24"/>
              </w:rPr>
            </w:pPr>
            <w:r>
              <w:rPr>
                <w:rFonts w:cs="Calibri"/>
                <w:color w:val="000000"/>
                <w:szCs w:val="24"/>
              </w:rPr>
              <w:t>Summary/Detail Validation; 0165 Monthly Tax Allocation</w:t>
            </w:r>
          </w:p>
        </w:tc>
      </w:tr>
      <w:tr w:rsidR="008D4D2D" w:rsidRPr="000E4EAF" w14:paraId="21D6D70D" w14:textId="77777777" w:rsidTr="008C223D">
        <w:trPr>
          <w:trHeight w:val="300"/>
        </w:trPr>
        <w:tc>
          <w:tcPr>
            <w:tcW w:w="697" w:type="dxa"/>
            <w:noWrap/>
            <w:vAlign w:val="center"/>
            <w:hideMark/>
          </w:tcPr>
          <w:p w14:paraId="0449079E"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55</w:t>
            </w:r>
          </w:p>
        </w:tc>
        <w:tc>
          <w:tcPr>
            <w:tcW w:w="1661" w:type="dxa"/>
            <w:noWrap/>
            <w:vAlign w:val="center"/>
          </w:tcPr>
          <w:p w14:paraId="00B5DBD8" w14:textId="13A2B5BA" w:rsidR="008D4D2D" w:rsidRPr="00937FE8" w:rsidRDefault="008D4D2D" w:rsidP="008D4D2D">
            <w:pPr>
              <w:spacing w:after="0"/>
              <w:ind w:left="0"/>
              <w:rPr>
                <w:rFonts w:cs="Calibri"/>
                <w:color w:val="000000"/>
                <w:szCs w:val="24"/>
              </w:rPr>
            </w:pPr>
            <w:r w:rsidRPr="00937FE8">
              <w:rPr>
                <w:rFonts w:cs="Calibri"/>
                <w:color w:val="000000"/>
                <w:szCs w:val="24"/>
              </w:rPr>
              <w:t>Quarterly</w:t>
            </w:r>
          </w:p>
        </w:tc>
        <w:tc>
          <w:tcPr>
            <w:tcW w:w="1759" w:type="dxa"/>
            <w:noWrap/>
            <w:vAlign w:val="center"/>
          </w:tcPr>
          <w:p w14:paraId="5BBF9DB9" w14:textId="64224FEC" w:rsidR="008D4D2D" w:rsidRPr="00937FE8" w:rsidRDefault="008D4D2D" w:rsidP="008D4D2D">
            <w:pPr>
              <w:spacing w:after="0"/>
              <w:ind w:left="0"/>
              <w:rPr>
                <w:rFonts w:cs="Calibri"/>
                <w:color w:val="000000"/>
                <w:szCs w:val="24"/>
              </w:rPr>
            </w:pPr>
            <w:r w:rsidRPr="00937FE8">
              <w:rPr>
                <w:rFonts w:cs="Calibri"/>
                <w:color w:val="000000"/>
                <w:szCs w:val="24"/>
              </w:rPr>
              <w:t>BNQE100Q</w:t>
            </w:r>
          </w:p>
        </w:tc>
        <w:tc>
          <w:tcPr>
            <w:tcW w:w="7185" w:type="dxa"/>
            <w:vAlign w:val="center"/>
          </w:tcPr>
          <w:p w14:paraId="61129B25" w14:textId="2413B6F1" w:rsidR="008D4D2D" w:rsidRPr="00937FE8" w:rsidRDefault="008D4D2D" w:rsidP="008D4D2D">
            <w:pPr>
              <w:spacing w:after="0"/>
              <w:ind w:left="0"/>
              <w:rPr>
                <w:rFonts w:cs="Calibri"/>
                <w:color w:val="000000"/>
                <w:szCs w:val="24"/>
              </w:rPr>
            </w:pPr>
            <w:r w:rsidRPr="00937FE8">
              <w:rPr>
                <w:rFonts w:cs="Calibri"/>
                <w:color w:val="000000"/>
                <w:szCs w:val="24"/>
              </w:rPr>
              <w:t xml:space="preserve">IB - 6 Billings </w:t>
            </w:r>
            <w:r w:rsidR="00DE442E">
              <w:rPr>
                <w:rFonts w:cs="Calibri"/>
                <w:color w:val="000000"/>
                <w:szCs w:val="24"/>
              </w:rPr>
              <w:t>for the Quarter. To reconcile CW</w:t>
            </w:r>
            <w:r w:rsidRPr="00937FE8">
              <w:rPr>
                <w:rFonts w:cs="Calibri"/>
                <w:color w:val="000000"/>
                <w:szCs w:val="24"/>
              </w:rPr>
              <w:t>C payments for the</w:t>
            </w:r>
            <w:r w:rsidR="00DE442E">
              <w:rPr>
                <w:rFonts w:cs="Calibri"/>
                <w:color w:val="000000"/>
                <w:szCs w:val="24"/>
              </w:rPr>
              <w:t xml:space="preserve"> quarter</w:t>
            </w:r>
          </w:p>
        </w:tc>
      </w:tr>
      <w:tr w:rsidR="008D4D2D" w:rsidRPr="000E4EAF" w14:paraId="67CF003F" w14:textId="77777777" w:rsidTr="008C223D">
        <w:trPr>
          <w:trHeight w:val="300"/>
        </w:trPr>
        <w:tc>
          <w:tcPr>
            <w:tcW w:w="697" w:type="dxa"/>
            <w:noWrap/>
            <w:vAlign w:val="center"/>
            <w:hideMark/>
          </w:tcPr>
          <w:p w14:paraId="4A04C3D2"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56</w:t>
            </w:r>
          </w:p>
        </w:tc>
        <w:tc>
          <w:tcPr>
            <w:tcW w:w="1661" w:type="dxa"/>
            <w:noWrap/>
            <w:vAlign w:val="center"/>
          </w:tcPr>
          <w:p w14:paraId="33D92EAD" w14:textId="0CA8A650" w:rsidR="008D4D2D" w:rsidRPr="00937FE8" w:rsidRDefault="008D4D2D" w:rsidP="008D4D2D">
            <w:pPr>
              <w:spacing w:after="0"/>
              <w:ind w:left="0"/>
              <w:rPr>
                <w:rFonts w:cs="Calibri"/>
                <w:color w:val="000000"/>
                <w:szCs w:val="24"/>
              </w:rPr>
            </w:pPr>
            <w:r w:rsidRPr="00937FE8">
              <w:rPr>
                <w:rFonts w:cs="Calibri"/>
                <w:color w:val="000000"/>
                <w:szCs w:val="24"/>
              </w:rPr>
              <w:t>Quarterly</w:t>
            </w:r>
          </w:p>
        </w:tc>
        <w:tc>
          <w:tcPr>
            <w:tcW w:w="1759" w:type="dxa"/>
            <w:noWrap/>
            <w:vAlign w:val="center"/>
          </w:tcPr>
          <w:p w14:paraId="2DE05F17" w14:textId="3D0104AF" w:rsidR="008D4D2D" w:rsidRPr="00937FE8" w:rsidRDefault="008D4D2D" w:rsidP="008D4D2D">
            <w:pPr>
              <w:spacing w:after="0"/>
              <w:ind w:left="0"/>
              <w:rPr>
                <w:rFonts w:cs="Calibri"/>
                <w:color w:val="000000"/>
                <w:szCs w:val="24"/>
              </w:rPr>
            </w:pPr>
            <w:r w:rsidRPr="00937FE8">
              <w:rPr>
                <w:rFonts w:cs="Calibri"/>
                <w:color w:val="000000"/>
                <w:szCs w:val="24"/>
              </w:rPr>
              <w:t>BNQE100R</w:t>
            </w:r>
          </w:p>
        </w:tc>
        <w:tc>
          <w:tcPr>
            <w:tcW w:w="7185" w:type="dxa"/>
            <w:vAlign w:val="center"/>
          </w:tcPr>
          <w:p w14:paraId="13ACD0B2" w14:textId="3E1176F9" w:rsidR="008D4D2D" w:rsidRPr="00937FE8" w:rsidRDefault="008D4D2D" w:rsidP="008D4D2D">
            <w:pPr>
              <w:spacing w:after="0"/>
              <w:ind w:left="0"/>
              <w:rPr>
                <w:rFonts w:cs="Calibri"/>
                <w:color w:val="000000"/>
                <w:szCs w:val="24"/>
              </w:rPr>
            </w:pPr>
            <w:r w:rsidRPr="00937FE8">
              <w:rPr>
                <w:rFonts w:cs="Calibri"/>
                <w:color w:val="000000"/>
                <w:szCs w:val="24"/>
              </w:rPr>
              <w:t>Reimb. Employer Chargebacks</w:t>
            </w:r>
            <w:r w:rsidR="00DE442E">
              <w:rPr>
                <w:rFonts w:cs="Calibri"/>
                <w:color w:val="000000"/>
                <w:szCs w:val="24"/>
              </w:rPr>
              <w:t>;</w:t>
            </w:r>
            <w:r w:rsidRPr="00937FE8">
              <w:rPr>
                <w:rFonts w:cs="Calibri"/>
                <w:color w:val="000000"/>
                <w:szCs w:val="24"/>
              </w:rPr>
              <w:t xml:space="preserve"> </w:t>
            </w:r>
            <w:r w:rsidR="00DE442E">
              <w:rPr>
                <w:rFonts w:cs="Calibri"/>
                <w:color w:val="000000"/>
                <w:szCs w:val="24"/>
              </w:rPr>
              <w:t>b</w:t>
            </w:r>
            <w:r w:rsidRPr="00937FE8">
              <w:rPr>
                <w:rFonts w:cs="Calibri"/>
                <w:color w:val="000000"/>
                <w:szCs w:val="24"/>
              </w:rPr>
              <w:t>a</w:t>
            </w:r>
            <w:r w:rsidR="00DE442E">
              <w:rPr>
                <w:rFonts w:cs="Calibri"/>
                <w:color w:val="000000"/>
                <w:szCs w:val="24"/>
              </w:rPr>
              <w:t>ck up for reimbursing employers</w:t>
            </w:r>
          </w:p>
        </w:tc>
      </w:tr>
      <w:tr w:rsidR="008D4D2D" w:rsidRPr="000E4EAF" w14:paraId="1AA4E75F" w14:textId="77777777" w:rsidTr="008C223D">
        <w:trPr>
          <w:trHeight w:val="600"/>
        </w:trPr>
        <w:tc>
          <w:tcPr>
            <w:tcW w:w="697" w:type="dxa"/>
            <w:noWrap/>
            <w:vAlign w:val="center"/>
            <w:hideMark/>
          </w:tcPr>
          <w:p w14:paraId="0B496AF3" w14:textId="77777777" w:rsidR="008D4D2D" w:rsidRPr="00937FE8" w:rsidRDefault="008D4D2D" w:rsidP="008D4D2D">
            <w:pPr>
              <w:spacing w:after="0"/>
              <w:ind w:left="0"/>
              <w:jc w:val="center"/>
              <w:rPr>
                <w:rFonts w:cs="Calibri"/>
                <w:color w:val="000000"/>
                <w:szCs w:val="24"/>
              </w:rPr>
            </w:pPr>
            <w:r w:rsidRPr="00937FE8">
              <w:rPr>
                <w:rFonts w:cs="Calibri"/>
                <w:color w:val="000000"/>
                <w:szCs w:val="24"/>
              </w:rPr>
              <w:t>57</w:t>
            </w:r>
          </w:p>
        </w:tc>
        <w:tc>
          <w:tcPr>
            <w:tcW w:w="1661" w:type="dxa"/>
            <w:noWrap/>
            <w:vAlign w:val="center"/>
          </w:tcPr>
          <w:p w14:paraId="1A989BA2" w14:textId="650C3442" w:rsidR="008D4D2D" w:rsidRPr="00937FE8" w:rsidRDefault="008D4D2D" w:rsidP="008D4D2D">
            <w:pPr>
              <w:spacing w:after="0"/>
              <w:ind w:left="0"/>
              <w:rPr>
                <w:rFonts w:cs="Calibri"/>
                <w:color w:val="000000"/>
                <w:szCs w:val="24"/>
              </w:rPr>
            </w:pPr>
            <w:r w:rsidRPr="00937FE8">
              <w:rPr>
                <w:rFonts w:cs="Calibri"/>
                <w:color w:val="000000"/>
                <w:szCs w:val="24"/>
              </w:rPr>
              <w:t>Quarterly</w:t>
            </w:r>
          </w:p>
        </w:tc>
        <w:tc>
          <w:tcPr>
            <w:tcW w:w="1759" w:type="dxa"/>
            <w:vAlign w:val="center"/>
          </w:tcPr>
          <w:p w14:paraId="6B9767E5" w14:textId="203DB500" w:rsidR="008D4D2D" w:rsidRPr="00937FE8" w:rsidRDefault="008D4D2D" w:rsidP="008D4D2D">
            <w:pPr>
              <w:spacing w:after="0"/>
              <w:ind w:left="0"/>
              <w:rPr>
                <w:rFonts w:cs="Calibri"/>
                <w:color w:val="000000"/>
                <w:szCs w:val="24"/>
              </w:rPr>
            </w:pPr>
            <w:r w:rsidRPr="00937FE8">
              <w:rPr>
                <w:rFonts w:cs="Calibri"/>
                <w:color w:val="000000"/>
                <w:szCs w:val="24"/>
              </w:rPr>
              <w:t>BNQE100S</w:t>
            </w:r>
          </w:p>
        </w:tc>
        <w:tc>
          <w:tcPr>
            <w:tcW w:w="7185" w:type="dxa"/>
            <w:vAlign w:val="center"/>
          </w:tcPr>
          <w:p w14:paraId="2A79B86D" w14:textId="18BA54AB" w:rsidR="008D4D2D" w:rsidRPr="00937FE8" w:rsidRDefault="008D4D2D" w:rsidP="008D4D2D">
            <w:pPr>
              <w:spacing w:after="0"/>
              <w:ind w:left="0"/>
              <w:rPr>
                <w:rFonts w:cs="Calibri"/>
                <w:color w:val="000000"/>
                <w:szCs w:val="24"/>
              </w:rPr>
            </w:pPr>
            <w:r w:rsidRPr="00937FE8">
              <w:rPr>
                <w:rFonts w:cs="Calibri"/>
                <w:color w:val="000000"/>
                <w:szCs w:val="24"/>
              </w:rPr>
              <w:t>Monthly Employer Chargebacks</w:t>
            </w:r>
            <w:r w:rsidR="00DE442E">
              <w:rPr>
                <w:rFonts w:cs="Calibri"/>
                <w:color w:val="000000"/>
                <w:szCs w:val="24"/>
              </w:rPr>
              <w:t>; b</w:t>
            </w:r>
            <w:r w:rsidRPr="00937FE8">
              <w:rPr>
                <w:rFonts w:cs="Calibri"/>
                <w:color w:val="000000"/>
                <w:szCs w:val="24"/>
              </w:rPr>
              <w:t>ack up for p</w:t>
            </w:r>
            <w:r w:rsidR="00DE442E">
              <w:rPr>
                <w:rFonts w:cs="Calibri"/>
                <w:color w:val="000000"/>
                <w:szCs w:val="24"/>
              </w:rPr>
              <w:t>ayment voucher sent to Payables</w:t>
            </w:r>
          </w:p>
        </w:tc>
      </w:tr>
      <w:tr w:rsidR="00120632" w:rsidRPr="000E4EAF" w14:paraId="38B0D507" w14:textId="77777777" w:rsidTr="008C223D">
        <w:trPr>
          <w:trHeight w:val="600"/>
        </w:trPr>
        <w:tc>
          <w:tcPr>
            <w:tcW w:w="697" w:type="dxa"/>
            <w:noWrap/>
            <w:vAlign w:val="center"/>
          </w:tcPr>
          <w:p w14:paraId="5EF99051" w14:textId="7C566381" w:rsidR="00120632" w:rsidRPr="00937FE8" w:rsidRDefault="00120632" w:rsidP="00120632">
            <w:pPr>
              <w:spacing w:after="0"/>
              <w:ind w:left="0"/>
              <w:jc w:val="center"/>
              <w:rPr>
                <w:rFonts w:cs="Calibri"/>
                <w:color w:val="000000"/>
                <w:szCs w:val="24"/>
              </w:rPr>
            </w:pPr>
            <w:r>
              <w:rPr>
                <w:rFonts w:cs="Calibri"/>
                <w:color w:val="000000"/>
                <w:szCs w:val="24"/>
              </w:rPr>
              <w:t>58</w:t>
            </w:r>
          </w:p>
        </w:tc>
        <w:tc>
          <w:tcPr>
            <w:tcW w:w="1661" w:type="dxa"/>
            <w:noWrap/>
            <w:vAlign w:val="center"/>
          </w:tcPr>
          <w:p w14:paraId="27224FE4" w14:textId="0EBB5794" w:rsidR="00120632" w:rsidRPr="00937FE8" w:rsidRDefault="00120632" w:rsidP="00120632">
            <w:pPr>
              <w:spacing w:after="0"/>
              <w:ind w:left="0"/>
              <w:rPr>
                <w:rFonts w:cs="Calibri"/>
                <w:color w:val="000000"/>
                <w:szCs w:val="24"/>
              </w:rPr>
            </w:pPr>
            <w:r w:rsidRPr="00937FE8">
              <w:rPr>
                <w:rFonts w:cs="Calibri"/>
                <w:color w:val="000000"/>
                <w:szCs w:val="24"/>
              </w:rPr>
              <w:t>Quarterly</w:t>
            </w:r>
          </w:p>
        </w:tc>
        <w:tc>
          <w:tcPr>
            <w:tcW w:w="1759" w:type="dxa"/>
            <w:vAlign w:val="center"/>
          </w:tcPr>
          <w:p w14:paraId="6A5F96D9" w14:textId="3FA87BDF" w:rsidR="00120632" w:rsidRPr="00937FE8" w:rsidRDefault="00120632" w:rsidP="00120632">
            <w:pPr>
              <w:spacing w:after="0"/>
              <w:ind w:left="0"/>
              <w:rPr>
                <w:rFonts w:cs="Calibri"/>
                <w:color w:val="000000"/>
                <w:szCs w:val="24"/>
              </w:rPr>
            </w:pPr>
            <w:r>
              <w:rPr>
                <w:rFonts w:cs="Calibri"/>
                <w:color w:val="000000"/>
                <w:szCs w:val="24"/>
              </w:rPr>
              <w:t>BNQE100U</w:t>
            </w:r>
          </w:p>
        </w:tc>
        <w:tc>
          <w:tcPr>
            <w:tcW w:w="7185" w:type="dxa"/>
            <w:vAlign w:val="center"/>
          </w:tcPr>
          <w:p w14:paraId="702AE56F" w14:textId="061ADC5D" w:rsidR="00120632" w:rsidRPr="00937FE8" w:rsidRDefault="00120632" w:rsidP="00120632">
            <w:pPr>
              <w:spacing w:after="0"/>
              <w:ind w:left="0"/>
              <w:rPr>
                <w:rFonts w:cs="Calibri"/>
                <w:color w:val="000000"/>
                <w:szCs w:val="24"/>
              </w:rPr>
            </w:pPr>
            <w:r>
              <w:t>Produces a comma-delimited file sent to RTM containing the Quarterly Non-Charges for Reimbursing Employers</w:t>
            </w:r>
          </w:p>
        </w:tc>
      </w:tr>
      <w:tr w:rsidR="00120632" w:rsidRPr="000E4EAF" w14:paraId="2CC23BBD" w14:textId="77777777" w:rsidTr="008C223D">
        <w:trPr>
          <w:trHeight w:val="300"/>
        </w:trPr>
        <w:tc>
          <w:tcPr>
            <w:tcW w:w="697" w:type="dxa"/>
            <w:noWrap/>
            <w:vAlign w:val="center"/>
            <w:hideMark/>
          </w:tcPr>
          <w:p w14:paraId="434CDCB6" w14:textId="6AD664AF" w:rsidR="00120632" w:rsidRPr="00937FE8" w:rsidRDefault="00120632" w:rsidP="00120632">
            <w:pPr>
              <w:spacing w:after="0"/>
              <w:ind w:left="0"/>
              <w:jc w:val="center"/>
              <w:rPr>
                <w:rFonts w:cs="Calibri"/>
                <w:color w:val="000000"/>
                <w:szCs w:val="24"/>
              </w:rPr>
            </w:pPr>
            <w:r>
              <w:rPr>
                <w:rFonts w:cs="Calibri"/>
                <w:color w:val="000000"/>
                <w:szCs w:val="24"/>
              </w:rPr>
              <w:t>59</w:t>
            </w:r>
          </w:p>
        </w:tc>
        <w:tc>
          <w:tcPr>
            <w:tcW w:w="1661" w:type="dxa"/>
            <w:noWrap/>
            <w:vAlign w:val="center"/>
          </w:tcPr>
          <w:p w14:paraId="76BC0A9B" w14:textId="3D08CAFB" w:rsidR="00120632" w:rsidRPr="00937FE8" w:rsidRDefault="00120632" w:rsidP="00120632">
            <w:pPr>
              <w:spacing w:after="0"/>
              <w:ind w:left="0"/>
              <w:rPr>
                <w:rFonts w:cs="Calibri"/>
                <w:color w:val="000000"/>
                <w:szCs w:val="24"/>
              </w:rPr>
            </w:pPr>
            <w:r w:rsidRPr="00937FE8">
              <w:rPr>
                <w:rFonts w:cs="Calibri"/>
                <w:color w:val="000000"/>
                <w:szCs w:val="24"/>
              </w:rPr>
              <w:t>Quarterly</w:t>
            </w:r>
          </w:p>
        </w:tc>
        <w:tc>
          <w:tcPr>
            <w:tcW w:w="1759" w:type="dxa"/>
            <w:noWrap/>
            <w:vAlign w:val="center"/>
          </w:tcPr>
          <w:p w14:paraId="26EFCA01" w14:textId="155FE0AB" w:rsidR="00120632" w:rsidRPr="00937FE8" w:rsidRDefault="00120632" w:rsidP="00120632">
            <w:pPr>
              <w:spacing w:after="0"/>
              <w:ind w:left="0"/>
              <w:rPr>
                <w:rFonts w:cs="Calibri"/>
                <w:color w:val="000000"/>
                <w:szCs w:val="24"/>
              </w:rPr>
            </w:pPr>
            <w:r w:rsidRPr="00937FE8">
              <w:rPr>
                <w:rFonts w:cs="Calibri"/>
                <w:color w:val="000000"/>
                <w:szCs w:val="24"/>
              </w:rPr>
              <w:t>TXQC0017</w:t>
            </w:r>
          </w:p>
        </w:tc>
        <w:tc>
          <w:tcPr>
            <w:tcW w:w="7185" w:type="dxa"/>
            <w:vAlign w:val="center"/>
          </w:tcPr>
          <w:p w14:paraId="58255F34" w14:textId="3D35C626" w:rsidR="00120632" w:rsidRPr="00937FE8" w:rsidRDefault="00120632" w:rsidP="00120632">
            <w:pPr>
              <w:spacing w:after="0"/>
              <w:ind w:left="0"/>
              <w:rPr>
                <w:rFonts w:cs="Calibri"/>
                <w:color w:val="000000"/>
                <w:szCs w:val="24"/>
              </w:rPr>
            </w:pPr>
            <w:r w:rsidRPr="00937FE8">
              <w:rPr>
                <w:rFonts w:cs="Calibri"/>
                <w:color w:val="000000"/>
                <w:szCs w:val="24"/>
              </w:rPr>
              <w:t>Reimbursing Accounts with Credits</w:t>
            </w:r>
            <w:r w:rsidR="00DE442E">
              <w:rPr>
                <w:rFonts w:cs="Calibri"/>
                <w:color w:val="000000"/>
                <w:szCs w:val="24"/>
              </w:rPr>
              <w:t>; l</w:t>
            </w:r>
            <w:r w:rsidRPr="00937FE8">
              <w:rPr>
                <w:rFonts w:cs="Calibri"/>
                <w:color w:val="000000"/>
                <w:szCs w:val="24"/>
              </w:rPr>
              <w:t>isting of system generated cred</w:t>
            </w:r>
            <w:r w:rsidR="00DE442E">
              <w:rPr>
                <w:rFonts w:cs="Calibri"/>
                <w:color w:val="000000"/>
                <w:szCs w:val="24"/>
              </w:rPr>
              <w:t>its to post to various accounts</w:t>
            </w:r>
          </w:p>
        </w:tc>
      </w:tr>
      <w:tr w:rsidR="00120632" w:rsidRPr="000E4EAF" w14:paraId="6109D925" w14:textId="77777777" w:rsidTr="008C223D">
        <w:trPr>
          <w:trHeight w:val="300"/>
        </w:trPr>
        <w:tc>
          <w:tcPr>
            <w:tcW w:w="697" w:type="dxa"/>
            <w:noWrap/>
            <w:vAlign w:val="center"/>
            <w:hideMark/>
          </w:tcPr>
          <w:p w14:paraId="327A8014" w14:textId="0AB3FC77" w:rsidR="00120632" w:rsidRPr="00937FE8" w:rsidRDefault="00120632" w:rsidP="00120632">
            <w:pPr>
              <w:spacing w:after="0"/>
              <w:ind w:left="0"/>
              <w:jc w:val="center"/>
              <w:rPr>
                <w:rFonts w:cs="Calibri"/>
                <w:color w:val="000000"/>
                <w:szCs w:val="24"/>
              </w:rPr>
            </w:pPr>
            <w:r>
              <w:rPr>
                <w:rFonts w:cs="Calibri"/>
                <w:color w:val="000000"/>
                <w:szCs w:val="24"/>
              </w:rPr>
              <w:t>60</w:t>
            </w:r>
          </w:p>
        </w:tc>
        <w:tc>
          <w:tcPr>
            <w:tcW w:w="1661" w:type="dxa"/>
            <w:noWrap/>
            <w:vAlign w:val="center"/>
          </w:tcPr>
          <w:p w14:paraId="20903E82" w14:textId="5AD7916E" w:rsidR="00120632" w:rsidRPr="00937FE8" w:rsidRDefault="00120632" w:rsidP="00120632">
            <w:pPr>
              <w:spacing w:after="0"/>
              <w:ind w:left="0"/>
              <w:rPr>
                <w:rFonts w:cs="Calibri"/>
                <w:color w:val="000000"/>
                <w:szCs w:val="24"/>
              </w:rPr>
            </w:pPr>
            <w:r w:rsidRPr="00937FE8">
              <w:rPr>
                <w:rFonts w:cs="Calibri"/>
                <w:color w:val="000000"/>
                <w:szCs w:val="24"/>
              </w:rPr>
              <w:t>Quarterly</w:t>
            </w:r>
          </w:p>
        </w:tc>
        <w:tc>
          <w:tcPr>
            <w:tcW w:w="1759" w:type="dxa"/>
            <w:noWrap/>
            <w:vAlign w:val="center"/>
          </w:tcPr>
          <w:p w14:paraId="58BAC064" w14:textId="1AF31D67" w:rsidR="00120632" w:rsidRPr="00937FE8" w:rsidRDefault="00120632" w:rsidP="00120632">
            <w:pPr>
              <w:spacing w:after="0"/>
              <w:ind w:left="0"/>
              <w:rPr>
                <w:rFonts w:cs="Calibri"/>
                <w:color w:val="000000"/>
                <w:szCs w:val="24"/>
              </w:rPr>
            </w:pPr>
            <w:r w:rsidRPr="00937FE8">
              <w:rPr>
                <w:rFonts w:cs="Calibri"/>
                <w:color w:val="000000"/>
                <w:szCs w:val="24"/>
              </w:rPr>
              <w:t>TXQC0018</w:t>
            </w:r>
          </w:p>
        </w:tc>
        <w:tc>
          <w:tcPr>
            <w:tcW w:w="7185" w:type="dxa"/>
            <w:vAlign w:val="center"/>
          </w:tcPr>
          <w:p w14:paraId="0F739AE4" w14:textId="79819ACB" w:rsidR="00120632" w:rsidRPr="00937FE8" w:rsidRDefault="00120632" w:rsidP="00120632">
            <w:pPr>
              <w:spacing w:after="0"/>
              <w:ind w:left="0"/>
              <w:rPr>
                <w:rFonts w:cs="Calibri"/>
                <w:color w:val="000000"/>
                <w:szCs w:val="24"/>
              </w:rPr>
            </w:pPr>
            <w:r w:rsidRPr="00937FE8">
              <w:rPr>
                <w:rFonts w:cs="Calibri"/>
                <w:color w:val="000000"/>
                <w:szCs w:val="24"/>
              </w:rPr>
              <w:t xml:space="preserve">Distribution of Reimb. </w:t>
            </w:r>
            <w:r w:rsidR="00DE442E">
              <w:rPr>
                <w:rFonts w:cs="Calibri"/>
                <w:color w:val="000000"/>
                <w:szCs w:val="24"/>
              </w:rPr>
              <w:t>UI</w:t>
            </w:r>
            <w:r w:rsidRPr="00937FE8">
              <w:rPr>
                <w:rFonts w:cs="Calibri"/>
                <w:color w:val="000000"/>
                <w:szCs w:val="24"/>
              </w:rPr>
              <w:t xml:space="preserve"> Benefits</w:t>
            </w:r>
            <w:r w:rsidR="00DE442E">
              <w:rPr>
                <w:rFonts w:cs="Calibri"/>
                <w:color w:val="000000"/>
                <w:szCs w:val="24"/>
              </w:rPr>
              <w:t>; l</w:t>
            </w:r>
            <w:r w:rsidRPr="00937FE8">
              <w:rPr>
                <w:rFonts w:cs="Calibri"/>
                <w:color w:val="000000"/>
                <w:szCs w:val="24"/>
              </w:rPr>
              <w:t>isting of items</w:t>
            </w:r>
            <w:r w:rsidR="00DE442E">
              <w:rPr>
                <w:rFonts w:cs="Calibri"/>
                <w:color w:val="000000"/>
                <w:szCs w:val="24"/>
              </w:rPr>
              <w:t xml:space="preserve"> billed to reimbursing agencies</w:t>
            </w:r>
          </w:p>
        </w:tc>
      </w:tr>
      <w:tr w:rsidR="00120632" w:rsidRPr="000E4EAF" w14:paraId="2A91EC2D" w14:textId="77777777" w:rsidTr="008C223D">
        <w:trPr>
          <w:trHeight w:val="300"/>
        </w:trPr>
        <w:tc>
          <w:tcPr>
            <w:tcW w:w="697" w:type="dxa"/>
            <w:noWrap/>
            <w:vAlign w:val="center"/>
            <w:hideMark/>
          </w:tcPr>
          <w:p w14:paraId="51DC42BF" w14:textId="5A250787" w:rsidR="00120632" w:rsidRPr="00937FE8" w:rsidRDefault="00120632" w:rsidP="00120632">
            <w:pPr>
              <w:spacing w:after="0"/>
              <w:ind w:left="0"/>
              <w:jc w:val="center"/>
              <w:rPr>
                <w:rFonts w:cs="Calibri"/>
                <w:color w:val="000000"/>
                <w:szCs w:val="24"/>
              </w:rPr>
            </w:pPr>
            <w:r>
              <w:rPr>
                <w:rFonts w:cs="Calibri"/>
                <w:color w:val="000000"/>
                <w:szCs w:val="24"/>
              </w:rPr>
              <w:lastRenderedPageBreak/>
              <w:t>61</w:t>
            </w:r>
          </w:p>
        </w:tc>
        <w:tc>
          <w:tcPr>
            <w:tcW w:w="1661" w:type="dxa"/>
            <w:noWrap/>
            <w:vAlign w:val="center"/>
          </w:tcPr>
          <w:p w14:paraId="09F97F38" w14:textId="6B4AF004" w:rsidR="00120632" w:rsidRPr="00937FE8" w:rsidRDefault="00120632" w:rsidP="00120632">
            <w:pPr>
              <w:spacing w:after="0"/>
              <w:ind w:left="0"/>
              <w:rPr>
                <w:rFonts w:cs="Calibri"/>
                <w:color w:val="000000"/>
                <w:szCs w:val="24"/>
              </w:rPr>
            </w:pPr>
            <w:r w:rsidRPr="00937FE8">
              <w:rPr>
                <w:rFonts w:cs="Calibri"/>
                <w:color w:val="000000"/>
                <w:szCs w:val="24"/>
              </w:rPr>
              <w:t>Quarterly</w:t>
            </w:r>
          </w:p>
        </w:tc>
        <w:tc>
          <w:tcPr>
            <w:tcW w:w="1759" w:type="dxa"/>
            <w:noWrap/>
            <w:vAlign w:val="center"/>
          </w:tcPr>
          <w:p w14:paraId="4392350D" w14:textId="34E6A996" w:rsidR="00120632" w:rsidRPr="00937FE8" w:rsidRDefault="00120632" w:rsidP="00120632">
            <w:pPr>
              <w:spacing w:after="0"/>
              <w:ind w:left="0"/>
              <w:rPr>
                <w:rFonts w:cs="Calibri"/>
                <w:color w:val="000000"/>
                <w:szCs w:val="24"/>
              </w:rPr>
            </w:pPr>
            <w:r w:rsidRPr="00937FE8">
              <w:rPr>
                <w:rFonts w:cs="Calibri"/>
                <w:color w:val="000000"/>
                <w:szCs w:val="24"/>
              </w:rPr>
              <w:t>TXQJ0011</w:t>
            </w:r>
          </w:p>
        </w:tc>
        <w:tc>
          <w:tcPr>
            <w:tcW w:w="7185" w:type="dxa"/>
            <w:vAlign w:val="center"/>
          </w:tcPr>
          <w:p w14:paraId="5B0A05EB" w14:textId="28DF9E0A" w:rsidR="00120632" w:rsidRPr="00937FE8" w:rsidRDefault="00120632" w:rsidP="00120632">
            <w:pPr>
              <w:spacing w:after="0"/>
              <w:ind w:left="0"/>
              <w:rPr>
                <w:rFonts w:cs="Calibri"/>
                <w:color w:val="000000"/>
                <w:szCs w:val="24"/>
              </w:rPr>
            </w:pPr>
            <w:r w:rsidRPr="00937FE8">
              <w:rPr>
                <w:rFonts w:cs="Calibri"/>
                <w:color w:val="000000"/>
                <w:szCs w:val="24"/>
              </w:rPr>
              <w:t>CRC Amounts</w:t>
            </w:r>
          </w:p>
        </w:tc>
      </w:tr>
      <w:tr w:rsidR="00120632" w:rsidRPr="000E4EAF" w14:paraId="7C5ECB8D" w14:textId="77777777" w:rsidTr="008C223D">
        <w:trPr>
          <w:trHeight w:val="300"/>
        </w:trPr>
        <w:tc>
          <w:tcPr>
            <w:tcW w:w="697" w:type="dxa"/>
            <w:noWrap/>
            <w:vAlign w:val="center"/>
            <w:hideMark/>
          </w:tcPr>
          <w:p w14:paraId="3B1E5217" w14:textId="34EAA253" w:rsidR="00120632" w:rsidRPr="00937FE8" w:rsidRDefault="00120632" w:rsidP="00120632">
            <w:pPr>
              <w:spacing w:after="0"/>
              <w:ind w:left="0"/>
              <w:jc w:val="center"/>
              <w:rPr>
                <w:rFonts w:cs="Calibri"/>
                <w:color w:val="000000"/>
                <w:szCs w:val="24"/>
              </w:rPr>
            </w:pPr>
            <w:r>
              <w:rPr>
                <w:rFonts w:cs="Calibri"/>
                <w:color w:val="000000"/>
                <w:szCs w:val="24"/>
              </w:rPr>
              <w:t>62</w:t>
            </w:r>
          </w:p>
        </w:tc>
        <w:tc>
          <w:tcPr>
            <w:tcW w:w="1661" w:type="dxa"/>
            <w:noWrap/>
            <w:vAlign w:val="center"/>
          </w:tcPr>
          <w:p w14:paraId="15400ABC" w14:textId="208BC073" w:rsidR="00120632" w:rsidRPr="00937FE8" w:rsidRDefault="00120632" w:rsidP="00120632">
            <w:pPr>
              <w:spacing w:after="0"/>
              <w:ind w:left="0"/>
              <w:rPr>
                <w:rFonts w:cs="Calibri"/>
                <w:color w:val="000000"/>
                <w:szCs w:val="24"/>
              </w:rPr>
            </w:pPr>
            <w:r w:rsidRPr="00937FE8">
              <w:rPr>
                <w:rFonts w:cs="Calibri"/>
                <w:color w:val="000000"/>
                <w:szCs w:val="24"/>
              </w:rPr>
              <w:t>Upon Request</w:t>
            </w:r>
          </w:p>
        </w:tc>
        <w:tc>
          <w:tcPr>
            <w:tcW w:w="1759" w:type="dxa"/>
            <w:noWrap/>
            <w:vAlign w:val="center"/>
          </w:tcPr>
          <w:p w14:paraId="54E8819F" w14:textId="2C62BEFD" w:rsidR="00120632" w:rsidRPr="00937FE8" w:rsidRDefault="00120632" w:rsidP="00120632">
            <w:pPr>
              <w:spacing w:after="0"/>
              <w:ind w:left="0"/>
              <w:rPr>
                <w:rFonts w:cs="Calibri"/>
                <w:color w:val="000000"/>
                <w:szCs w:val="24"/>
              </w:rPr>
            </w:pPr>
            <w:r w:rsidRPr="00937FE8">
              <w:rPr>
                <w:rFonts w:cs="Calibri"/>
                <w:color w:val="000000"/>
                <w:szCs w:val="24"/>
              </w:rPr>
              <w:t>TXRQ0010</w:t>
            </w:r>
          </w:p>
        </w:tc>
        <w:tc>
          <w:tcPr>
            <w:tcW w:w="7185" w:type="dxa"/>
            <w:vAlign w:val="center"/>
          </w:tcPr>
          <w:p w14:paraId="76C19ADB" w14:textId="7A699D36" w:rsidR="00120632" w:rsidRPr="00937FE8" w:rsidRDefault="00120632" w:rsidP="00120632">
            <w:pPr>
              <w:spacing w:after="0"/>
              <w:ind w:left="0"/>
              <w:rPr>
                <w:rFonts w:cs="Calibri"/>
                <w:color w:val="000000"/>
                <w:szCs w:val="24"/>
              </w:rPr>
            </w:pPr>
            <w:r w:rsidRPr="00937FE8">
              <w:rPr>
                <w:rFonts w:cs="Calibri"/>
                <w:color w:val="000000"/>
                <w:szCs w:val="24"/>
              </w:rPr>
              <w:t>New EFT Filers</w:t>
            </w:r>
            <w:r w:rsidR="00DE442E">
              <w:rPr>
                <w:rFonts w:cs="Calibri"/>
                <w:color w:val="000000"/>
                <w:szCs w:val="24"/>
              </w:rPr>
              <w:t>; t</w:t>
            </w:r>
            <w:r w:rsidRPr="00937FE8">
              <w:rPr>
                <w:rFonts w:cs="Calibri"/>
                <w:color w:val="000000"/>
                <w:szCs w:val="24"/>
              </w:rPr>
              <w:t>o notify employers they</w:t>
            </w:r>
            <w:r w:rsidR="00DE442E">
              <w:rPr>
                <w:rFonts w:cs="Calibri"/>
                <w:color w:val="000000"/>
                <w:szCs w:val="24"/>
              </w:rPr>
              <w:t xml:space="preserve"> are required to pay via TEXNET</w:t>
            </w:r>
          </w:p>
        </w:tc>
      </w:tr>
      <w:tr w:rsidR="00120632" w:rsidRPr="000E4EAF" w14:paraId="1DDCBA60" w14:textId="77777777" w:rsidTr="008C223D">
        <w:trPr>
          <w:trHeight w:val="300"/>
        </w:trPr>
        <w:tc>
          <w:tcPr>
            <w:tcW w:w="697" w:type="dxa"/>
            <w:noWrap/>
            <w:vAlign w:val="center"/>
            <w:hideMark/>
          </w:tcPr>
          <w:p w14:paraId="5BB3D423" w14:textId="01F08F46" w:rsidR="00120632" w:rsidRPr="00937FE8" w:rsidRDefault="00120632" w:rsidP="00120632">
            <w:pPr>
              <w:spacing w:after="0"/>
              <w:ind w:left="0"/>
              <w:jc w:val="center"/>
              <w:rPr>
                <w:rFonts w:cs="Calibri"/>
                <w:color w:val="000000"/>
                <w:szCs w:val="24"/>
              </w:rPr>
            </w:pPr>
            <w:r>
              <w:rPr>
                <w:rFonts w:cs="Calibri"/>
                <w:color w:val="000000"/>
                <w:szCs w:val="24"/>
              </w:rPr>
              <w:t>63</w:t>
            </w:r>
          </w:p>
        </w:tc>
        <w:tc>
          <w:tcPr>
            <w:tcW w:w="1661" w:type="dxa"/>
            <w:noWrap/>
            <w:vAlign w:val="center"/>
          </w:tcPr>
          <w:p w14:paraId="1CDE1C8E" w14:textId="06F500F4" w:rsidR="00120632" w:rsidRPr="00937FE8" w:rsidRDefault="00120632" w:rsidP="00120632">
            <w:pPr>
              <w:spacing w:after="0"/>
              <w:ind w:left="0"/>
              <w:rPr>
                <w:rFonts w:cs="Calibri"/>
                <w:color w:val="000000"/>
                <w:szCs w:val="24"/>
              </w:rPr>
            </w:pPr>
            <w:r w:rsidRPr="00937FE8">
              <w:rPr>
                <w:rFonts w:cs="Calibri"/>
                <w:color w:val="000000"/>
                <w:szCs w:val="24"/>
              </w:rPr>
              <w:t>Annual</w:t>
            </w:r>
          </w:p>
        </w:tc>
        <w:tc>
          <w:tcPr>
            <w:tcW w:w="1759" w:type="dxa"/>
            <w:noWrap/>
            <w:vAlign w:val="center"/>
          </w:tcPr>
          <w:p w14:paraId="0FFA4543" w14:textId="00323A74" w:rsidR="00120632" w:rsidRPr="00937FE8" w:rsidRDefault="00120632" w:rsidP="00120632">
            <w:pPr>
              <w:spacing w:after="0"/>
              <w:ind w:left="0"/>
              <w:rPr>
                <w:rFonts w:cs="Calibri"/>
                <w:color w:val="000000"/>
                <w:szCs w:val="24"/>
              </w:rPr>
            </w:pPr>
            <w:r w:rsidRPr="00937FE8">
              <w:rPr>
                <w:rFonts w:cs="Calibri"/>
                <w:color w:val="000000"/>
                <w:szCs w:val="24"/>
              </w:rPr>
              <w:t>BNAE110F</w:t>
            </w:r>
          </w:p>
        </w:tc>
        <w:tc>
          <w:tcPr>
            <w:tcW w:w="7185" w:type="dxa"/>
            <w:vAlign w:val="center"/>
          </w:tcPr>
          <w:p w14:paraId="0F3FCE5F" w14:textId="02A5D5D7" w:rsidR="00120632" w:rsidRPr="00937FE8" w:rsidRDefault="00120632" w:rsidP="00120632">
            <w:pPr>
              <w:spacing w:after="0"/>
              <w:ind w:left="0"/>
              <w:rPr>
                <w:rFonts w:cs="Calibri"/>
                <w:color w:val="000000"/>
                <w:szCs w:val="24"/>
              </w:rPr>
            </w:pPr>
            <w:r w:rsidRPr="00937FE8">
              <w:rPr>
                <w:rFonts w:cs="Calibri"/>
                <w:color w:val="000000"/>
                <w:szCs w:val="24"/>
              </w:rPr>
              <w:t>State Age</w:t>
            </w:r>
            <w:r w:rsidR="00DE442E">
              <w:rPr>
                <w:rFonts w:cs="Calibri"/>
                <w:color w:val="000000"/>
                <w:szCs w:val="24"/>
              </w:rPr>
              <w:t>ncy FY Summary; end of State FY</w:t>
            </w:r>
          </w:p>
        </w:tc>
      </w:tr>
      <w:tr w:rsidR="00120632" w:rsidRPr="000E4EAF" w14:paraId="1D3089BB" w14:textId="77777777" w:rsidTr="008C223D">
        <w:trPr>
          <w:trHeight w:val="300"/>
        </w:trPr>
        <w:tc>
          <w:tcPr>
            <w:tcW w:w="697" w:type="dxa"/>
            <w:noWrap/>
            <w:vAlign w:val="center"/>
            <w:hideMark/>
          </w:tcPr>
          <w:p w14:paraId="37E6C0A1" w14:textId="47781277" w:rsidR="00120632" w:rsidRPr="00937FE8" w:rsidRDefault="00120632" w:rsidP="00120632">
            <w:pPr>
              <w:spacing w:after="0"/>
              <w:ind w:left="0"/>
              <w:jc w:val="center"/>
              <w:rPr>
                <w:rFonts w:cs="Calibri"/>
                <w:color w:val="000000"/>
                <w:szCs w:val="24"/>
              </w:rPr>
            </w:pPr>
            <w:r>
              <w:rPr>
                <w:rFonts w:cs="Calibri"/>
                <w:color w:val="000000"/>
                <w:szCs w:val="24"/>
              </w:rPr>
              <w:t>64</w:t>
            </w:r>
          </w:p>
        </w:tc>
        <w:tc>
          <w:tcPr>
            <w:tcW w:w="1661" w:type="dxa"/>
            <w:noWrap/>
            <w:vAlign w:val="center"/>
          </w:tcPr>
          <w:p w14:paraId="2A78AC78" w14:textId="707CD288" w:rsidR="00120632" w:rsidRPr="00937FE8" w:rsidRDefault="00120632" w:rsidP="00120632">
            <w:pPr>
              <w:spacing w:after="0"/>
              <w:ind w:left="0"/>
              <w:rPr>
                <w:rFonts w:cs="Calibri"/>
                <w:color w:val="000000"/>
                <w:szCs w:val="24"/>
              </w:rPr>
            </w:pPr>
            <w:r w:rsidRPr="00937FE8">
              <w:rPr>
                <w:rFonts w:cs="Calibri"/>
                <w:color w:val="000000"/>
                <w:szCs w:val="24"/>
              </w:rPr>
              <w:t>Annual</w:t>
            </w:r>
          </w:p>
        </w:tc>
        <w:tc>
          <w:tcPr>
            <w:tcW w:w="1759" w:type="dxa"/>
            <w:noWrap/>
            <w:vAlign w:val="center"/>
          </w:tcPr>
          <w:p w14:paraId="727D321C" w14:textId="7FA5A469" w:rsidR="00120632" w:rsidRPr="00937FE8" w:rsidRDefault="00120632" w:rsidP="00120632">
            <w:pPr>
              <w:spacing w:after="0"/>
              <w:ind w:left="0"/>
              <w:rPr>
                <w:rFonts w:cs="Calibri"/>
                <w:color w:val="000000"/>
                <w:szCs w:val="24"/>
              </w:rPr>
            </w:pPr>
            <w:r w:rsidRPr="00937FE8">
              <w:rPr>
                <w:rFonts w:cs="Calibri"/>
                <w:color w:val="000000"/>
                <w:szCs w:val="24"/>
              </w:rPr>
              <w:t>BNAE110P</w:t>
            </w:r>
          </w:p>
        </w:tc>
        <w:tc>
          <w:tcPr>
            <w:tcW w:w="7185" w:type="dxa"/>
            <w:vAlign w:val="center"/>
          </w:tcPr>
          <w:p w14:paraId="47F8570E" w14:textId="73AFD792" w:rsidR="00120632" w:rsidRPr="00937FE8" w:rsidRDefault="00120632" w:rsidP="00120632">
            <w:pPr>
              <w:spacing w:after="0"/>
              <w:ind w:left="0"/>
              <w:rPr>
                <w:rFonts w:cs="Calibri"/>
                <w:color w:val="000000"/>
                <w:szCs w:val="24"/>
              </w:rPr>
            </w:pPr>
            <w:r w:rsidRPr="00937FE8">
              <w:rPr>
                <w:rFonts w:cs="Calibri"/>
                <w:color w:val="000000"/>
                <w:szCs w:val="24"/>
              </w:rPr>
              <w:t>State A</w:t>
            </w:r>
            <w:r w:rsidR="00DE442E">
              <w:rPr>
                <w:rFonts w:cs="Calibri"/>
                <w:color w:val="000000"/>
                <w:szCs w:val="24"/>
              </w:rPr>
              <w:t>gency FY Summary; end of Fed FY</w:t>
            </w:r>
          </w:p>
        </w:tc>
      </w:tr>
      <w:tr w:rsidR="00120632" w:rsidRPr="000E4EAF" w14:paraId="5940C2A7" w14:textId="77777777" w:rsidTr="008C223D">
        <w:trPr>
          <w:trHeight w:val="300"/>
        </w:trPr>
        <w:tc>
          <w:tcPr>
            <w:tcW w:w="697" w:type="dxa"/>
            <w:noWrap/>
            <w:vAlign w:val="center"/>
            <w:hideMark/>
          </w:tcPr>
          <w:p w14:paraId="6A209602" w14:textId="3DA2088F" w:rsidR="00120632" w:rsidRPr="00937FE8" w:rsidRDefault="00120632" w:rsidP="00120632">
            <w:pPr>
              <w:spacing w:after="0"/>
              <w:ind w:left="0"/>
              <w:jc w:val="center"/>
              <w:rPr>
                <w:rFonts w:cs="Calibri"/>
                <w:color w:val="000000"/>
                <w:szCs w:val="24"/>
              </w:rPr>
            </w:pPr>
            <w:r>
              <w:rPr>
                <w:rFonts w:cs="Calibri"/>
                <w:color w:val="000000"/>
                <w:szCs w:val="24"/>
              </w:rPr>
              <w:t>65</w:t>
            </w:r>
          </w:p>
        </w:tc>
        <w:tc>
          <w:tcPr>
            <w:tcW w:w="1661" w:type="dxa"/>
            <w:noWrap/>
            <w:vAlign w:val="center"/>
          </w:tcPr>
          <w:p w14:paraId="7F27CB13" w14:textId="1999A0CE" w:rsidR="00120632" w:rsidRPr="00937FE8" w:rsidRDefault="00120632" w:rsidP="00120632">
            <w:pPr>
              <w:spacing w:after="0"/>
              <w:ind w:left="0"/>
              <w:rPr>
                <w:rFonts w:cs="Calibri"/>
                <w:color w:val="000000"/>
                <w:szCs w:val="24"/>
              </w:rPr>
            </w:pPr>
            <w:r w:rsidRPr="00937FE8">
              <w:rPr>
                <w:rFonts w:cs="Calibri"/>
                <w:color w:val="000000"/>
                <w:szCs w:val="24"/>
              </w:rPr>
              <w:t>Annual</w:t>
            </w:r>
          </w:p>
        </w:tc>
        <w:tc>
          <w:tcPr>
            <w:tcW w:w="1759" w:type="dxa"/>
            <w:noWrap/>
            <w:vAlign w:val="center"/>
          </w:tcPr>
          <w:p w14:paraId="34A69DE0" w14:textId="35BAABF2" w:rsidR="00120632" w:rsidRPr="00937FE8" w:rsidRDefault="00120632" w:rsidP="00120632">
            <w:pPr>
              <w:spacing w:after="0"/>
              <w:ind w:left="0"/>
              <w:rPr>
                <w:rFonts w:cs="Calibri"/>
                <w:color w:val="000000"/>
                <w:szCs w:val="24"/>
              </w:rPr>
            </w:pPr>
            <w:r w:rsidRPr="00937FE8">
              <w:rPr>
                <w:rFonts w:cs="Calibri"/>
                <w:color w:val="000000"/>
                <w:szCs w:val="24"/>
              </w:rPr>
              <w:t>BNAP020A</w:t>
            </w:r>
          </w:p>
        </w:tc>
        <w:tc>
          <w:tcPr>
            <w:tcW w:w="7185" w:type="dxa"/>
            <w:vAlign w:val="center"/>
          </w:tcPr>
          <w:p w14:paraId="77036B85" w14:textId="247597BE" w:rsidR="00120632" w:rsidRPr="00937FE8" w:rsidRDefault="00120632" w:rsidP="00120632">
            <w:pPr>
              <w:spacing w:after="0"/>
              <w:ind w:left="0"/>
              <w:rPr>
                <w:rFonts w:cs="Calibri"/>
                <w:color w:val="000000"/>
                <w:szCs w:val="24"/>
              </w:rPr>
            </w:pPr>
            <w:r w:rsidRPr="00937FE8">
              <w:rPr>
                <w:rFonts w:cs="Calibri"/>
                <w:color w:val="000000"/>
                <w:szCs w:val="24"/>
              </w:rPr>
              <w:t>Annual 1099G IRS Tape</w:t>
            </w:r>
            <w:r w:rsidR="00DE442E">
              <w:rPr>
                <w:rFonts w:cs="Calibri"/>
                <w:color w:val="000000"/>
                <w:szCs w:val="24"/>
              </w:rPr>
              <w:t>; t</w:t>
            </w:r>
            <w:r w:rsidRPr="00937FE8">
              <w:rPr>
                <w:rFonts w:cs="Calibri"/>
                <w:color w:val="000000"/>
                <w:szCs w:val="24"/>
              </w:rPr>
              <w:t>o prepar</w:t>
            </w:r>
            <w:r w:rsidR="00DE442E">
              <w:rPr>
                <w:rFonts w:cs="Calibri"/>
                <w:color w:val="000000"/>
                <w:szCs w:val="24"/>
              </w:rPr>
              <w:t>e Annual Form 945 - Withholding</w:t>
            </w:r>
          </w:p>
        </w:tc>
      </w:tr>
      <w:tr w:rsidR="00120632" w:rsidRPr="000E4EAF" w14:paraId="1603AE71" w14:textId="77777777" w:rsidTr="008C223D">
        <w:trPr>
          <w:trHeight w:val="300"/>
        </w:trPr>
        <w:tc>
          <w:tcPr>
            <w:tcW w:w="697" w:type="dxa"/>
            <w:noWrap/>
            <w:vAlign w:val="center"/>
            <w:hideMark/>
          </w:tcPr>
          <w:p w14:paraId="24786BE4" w14:textId="6F92210D" w:rsidR="00120632" w:rsidRPr="00937FE8" w:rsidRDefault="00120632" w:rsidP="00120632">
            <w:pPr>
              <w:spacing w:after="0"/>
              <w:ind w:left="0"/>
              <w:jc w:val="center"/>
              <w:rPr>
                <w:rFonts w:cs="Calibri"/>
                <w:color w:val="000000"/>
                <w:szCs w:val="24"/>
              </w:rPr>
            </w:pPr>
            <w:r>
              <w:rPr>
                <w:rFonts w:cs="Calibri"/>
                <w:color w:val="000000"/>
                <w:szCs w:val="24"/>
              </w:rPr>
              <w:t>66</w:t>
            </w:r>
          </w:p>
        </w:tc>
        <w:tc>
          <w:tcPr>
            <w:tcW w:w="1661" w:type="dxa"/>
            <w:noWrap/>
            <w:vAlign w:val="center"/>
          </w:tcPr>
          <w:p w14:paraId="3ACFE0E5" w14:textId="575E74FB" w:rsidR="00120632" w:rsidRPr="00937FE8" w:rsidRDefault="00120632" w:rsidP="00120632">
            <w:pPr>
              <w:spacing w:after="0"/>
              <w:ind w:left="0"/>
              <w:rPr>
                <w:rFonts w:cs="Calibri"/>
                <w:color w:val="000000"/>
                <w:szCs w:val="24"/>
              </w:rPr>
            </w:pPr>
            <w:r w:rsidRPr="00937FE8">
              <w:rPr>
                <w:rFonts w:cs="Calibri"/>
                <w:color w:val="000000"/>
                <w:szCs w:val="24"/>
              </w:rPr>
              <w:t>Annual</w:t>
            </w:r>
          </w:p>
        </w:tc>
        <w:tc>
          <w:tcPr>
            <w:tcW w:w="1759" w:type="dxa"/>
            <w:noWrap/>
            <w:vAlign w:val="center"/>
          </w:tcPr>
          <w:p w14:paraId="53F38D94" w14:textId="5DBA95ED" w:rsidR="00120632" w:rsidRPr="00937FE8" w:rsidRDefault="00120632" w:rsidP="00120632">
            <w:pPr>
              <w:spacing w:after="0"/>
              <w:ind w:left="0"/>
              <w:rPr>
                <w:rFonts w:cs="Calibri"/>
                <w:color w:val="000000"/>
                <w:szCs w:val="24"/>
              </w:rPr>
            </w:pPr>
            <w:r w:rsidRPr="00937FE8">
              <w:rPr>
                <w:rFonts w:cs="Calibri"/>
                <w:color w:val="000000"/>
                <w:szCs w:val="24"/>
              </w:rPr>
              <w:t>TXAJ0011</w:t>
            </w:r>
          </w:p>
        </w:tc>
        <w:tc>
          <w:tcPr>
            <w:tcW w:w="7185" w:type="dxa"/>
            <w:vAlign w:val="center"/>
          </w:tcPr>
          <w:p w14:paraId="418B3F2E" w14:textId="538FD3E7" w:rsidR="00120632" w:rsidRPr="00937FE8" w:rsidRDefault="00120632" w:rsidP="00120632">
            <w:pPr>
              <w:spacing w:after="0"/>
              <w:ind w:left="0"/>
              <w:rPr>
                <w:rFonts w:cs="Calibri"/>
                <w:color w:val="000000"/>
                <w:szCs w:val="24"/>
              </w:rPr>
            </w:pPr>
            <w:r w:rsidRPr="00937FE8">
              <w:rPr>
                <w:rFonts w:cs="Calibri"/>
                <w:color w:val="000000"/>
                <w:szCs w:val="24"/>
              </w:rPr>
              <w:t>Smart Jobs Funding Year End Summary</w:t>
            </w:r>
            <w:r w:rsidR="00DE442E">
              <w:rPr>
                <w:rFonts w:cs="Calibri"/>
                <w:color w:val="000000"/>
                <w:szCs w:val="24"/>
              </w:rPr>
              <w:t>; s</w:t>
            </w:r>
            <w:r w:rsidRPr="00937FE8">
              <w:rPr>
                <w:rFonts w:cs="Calibri"/>
                <w:color w:val="000000"/>
                <w:szCs w:val="24"/>
              </w:rPr>
              <w:t>mart Jobs fund total - this has been replaced wi</w:t>
            </w:r>
            <w:r w:rsidR="00DE442E">
              <w:rPr>
                <w:rFonts w:cs="Calibri"/>
                <w:color w:val="000000"/>
                <w:szCs w:val="24"/>
              </w:rPr>
              <w:t>th ETIA and is no longer needed</w:t>
            </w:r>
          </w:p>
        </w:tc>
      </w:tr>
    </w:tbl>
    <w:p w14:paraId="68073D08" w14:textId="2D08A0D5" w:rsidR="005C2458" w:rsidRDefault="005C2458" w:rsidP="005C2458"/>
    <w:p w14:paraId="44DAF9EA" w14:textId="77777777" w:rsidR="00671087" w:rsidRDefault="00671087" w:rsidP="00671087">
      <w:pPr>
        <w:spacing w:after="160" w:line="259" w:lineRule="auto"/>
        <w:ind w:left="0"/>
        <w:rPr>
          <w:szCs w:val="24"/>
        </w:rPr>
      </w:pPr>
      <w:r>
        <w:rPr>
          <w:szCs w:val="24"/>
        </w:rPr>
        <w:br w:type="page"/>
      </w:r>
    </w:p>
    <w:p w14:paraId="6D38D2E6" w14:textId="2F03393B" w:rsidR="00671087" w:rsidRDefault="00671087" w:rsidP="00671087">
      <w:pPr>
        <w:pStyle w:val="Heading2"/>
      </w:pPr>
      <w:bookmarkStart w:id="437" w:name="_Toc13567511"/>
      <w:r w:rsidRPr="008259A9">
        <w:rPr>
          <w:lang w:eastAsia="en-AU"/>
        </w:rPr>
        <w:lastRenderedPageBreak/>
        <w:t xml:space="preserve">Attachment </w:t>
      </w:r>
      <w:r>
        <w:rPr>
          <w:lang w:eastAsia="en-AU"/>
        </w:rPr>
        <w:t>9</w:t>
      </w:r>
      <w:r w:rsidRPr="008259A9">
        <w:rPr>
          <w:lang w:eastAsia="en-AU"/>
        </w:rPr>
        <w:t xml:space="preserve"> – </w:t>
      </w:r>
      <w:r>
        <w:rPr>
          <w:lang w:eastAsia="en-AU"/>
        </w:rPr>
        <w:t>Anonymized Sample</w:t>
      </w:r>
      <w:bookmarkEnd w:id="437"/>
    </w:p>
    <w:p w14:paraId="1F79198F" w14:textId="77777777" w:rsidR="00671087" w:rsidRPr="004140B1" w:rsidRDefault="00671087" w:rsidP="00671087">
      <w:pPr>
        <w:pStyle w:val="Heading3"/>
      </w:pPr>
      <w:bookmarkStart w:id="438" w:name="_Cover_Sheet_(Anonymized)"/>
      <w:bookmarkStart w:id="439" w:name="_Toc517272802"/>
      <w:bookmarkStart w:id="440" w:name="_Toc13567512"/>
      <w:bookmarkStart w:id="441" w:name="_Toc512003004"/>
      <w:bookmarkEnd w:id="438"/>
      <w:r w:rsidRPr="004140B1">
        <w:t>Cover Sheet (Anonymized)</w:t>
      </w:r>
      <w:bookmarkEnd w:id="439"/>
      <w:bookmarkEnd w:id="440"/>
    </w:p>
    <w:p w14:paraId="03D64B1C" w14:textId="77777777" w:rsidR="00671087" w:rsidRDefault="00671087" w:rsidP="00671087">
      <w:r w:rsidRPr="000F77D0">
        <w:rPr>
          <w:b/>
        </w:rPr>
        <w:t>Note:</w:t>
      </w:r>
      <w:r>
        <w:t xml:space="preserve"> Double Click to view entire file</w:t>
      </w:r>
    </w:p>
    <w:p w14:paraId="4F0C2193" w14:textId="507FB031" w:rsidR="00671087" w:rsidRDefault="00A73238" w:rsidP="00671087">
      <w:r>
        <w:object w:dxaOrig="9180" w:dyaOrig="11881" w14:anchorId="123F26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nonymized sample of a Commission Appeals cover sheet." style="width:439.5pt;height:568.5pt" o:ole="">
            <v:imagedata r:id="rId86" o:title=""/>
          </v:shape>
          <o:OLEObject Type="Embed" ProgID="Acrobat.Document.DC" ShapeID="_x0000_i1025" DrawAspect="Content" ObjectID="_1624348999" r:id="rId87"/>
        </w:object>
      </w:r>
    </w:p>
    <w:p w14:paraId="1F70EB48" w14:textId="77777777" w:rsidR="00671087" w:rsidRPr="004140B1" w:rsidRDefault="00671087" w:rsidP="00671087">
      <w:pPr>
        <w:pStyle w:val="Heading3"/>
      </w:pPr>
      <w:bookmarkStart w:id="442" w:name="_Case_Summary_(Anonymized)"/>
      <w:bookmarkStart w:id="443" w:name="_Toc517272803"/>
      <w:bookmarkStart w:id="444" w:name="_Toc13567513"/>
      <w:bookmarkEnd w:id="442"/>
      <w:r w:rsidRPr="004140B1">
        <w:lastRenderedPageBreak/>
        <w:t>Case Summary (Anonymized)</w:t>
      </w:r>
      <w:bookmarkEnd w:id="441"/>
      <w:bookmarkEnd w:id="443"/>
      <w:bookmarkEnd w:id="444"/>
    </w:p>
    <w:p w14:paraId="49FEEBB1" w14:textId="77777777" w:rsidR="00671087" w:rsidRDefault="00671087" w:rsidP="00671087">
      <w:r w:rsidRPr="000F77D0">
        <w:rPr>
          <w:b/>
        </w:rPr>
        <w:t>Note:</w:t>
      </w:r>
      <w:r>
        <w:t xml:space="preserve"> Double Click to view entire file</w:t>
      </w:r>
    </w:p>
    <w:p w14:paraId="53A4CA87" w14:textId="2DCCE9EC" w:rsidR="00671087" w:rsidRDefault="00A73238" w:rsidP="00671087">
      <w:r>
        <w:object w:dxaOrig="9180" w:dyaOrig="11881" w14:anchorId="1BBE104E">
          <v:shape id="_x0000_i1026" type="#_x0000_t75" alt="Anonymized sample of an appeal case summary." style="width:460.5pt;height:597.75pt;mso-position-vertical:absolute" o:ole="">
            <v:imagedata r:id="rId88" o:title=""/>
          </v:shape>
          <o:OLEObject Type="Embed" ProgID="Acrobat.Document.DC" ShapeID="_x0000_i1026" DrawAspect="Content" ObjectID="_1624349000" r:id="rId89"/>
        </w:object>
      </w:r>
    </w:p>
    <w:p w14:paraId="73FA8617" w14:textId="77777777" w:rsidR="00671087" w:rsidRPr="004140B1" w:rsidRDefault="00671087" w:rsidP="00671087">
      <w:pPr>
        <w:pStyle w:val="Heading3"/>
      </w:pPr>
      <w:bookmarkStart w:id="445" w:name="_Decision_Examples_(Anonymized)"/>
      <w:bookmarkStart w:id="446" w:name="_Toc517272804"/>
      <w:bookmarkStart w:id="447" w:name="_Toc13567514"/>
      <w:bookmarkEnd w:id="445"/>
      <w:r w:rsidRPr="004140B1">
        <w:lastRenderedPageBreak/>
        <w:t>Decision Examples (Anonymized)</w:t>
      </w:r>
      <w:bookmarkEnd w:id="446"/>
      <w:bookmarkEnd w:id="447"/>
    </w:p>
    <w:p w14:paraId="6CF71385" w14:textId="77777777" w:rsidR="00671087" w:rsidRDefault="00671087" w:rsidP="00671087">
      <w:r w:rsidRPr="000F77D0">
        <w:rPr>
          <w:b/>
        </w:rPr>
        <w:t>Note:</w:t>
      </w:r>
      <w:r>
        <w:t xml:space="preserve"> Double Click to view entire file</w:t>
      </w:r>
    </w:p>
    <w:p w14:paraId="7D2DAE45" w14:textId="549C76E3" w:rsidR="002C793C" w:rsidRDefault="00A73238" w:rsidP="00671087">
      <w:r>
        <w:object w:dxaOrig="9180" w:dyaOrig="11881" w14:anchorId="65844C89">
          <v:shape id="_x0000_i1027" type="#_x0000_t75" alt="Anonymized sample of an appeal decision." style="width:460.5pt;height:597.75pt;mso-position-vertical:absolute" o:ole="">
            <v:imagedata r:id="rId90" o:title=""/>
          </v:shape>
          <o:OLEObject Type="Embed" ProgID="Acrobat.Document.DC" ShapeID="_x0000_i1027" DrawAspect="Content" ObjectID="_1624349001" r:id="rId91"/>
        </w:object>
      </w:r>
    </w:p>
    <w:p w14:paraId="3A5F2250" w14:textId="77777777" w:rsidR="002C793C" w:rsidRDefault="002C793C">
      <w:pPr>
        <w:spacing w:after="160" w:line="259" w:lineRule="auto"/>
        <w:ind w:left="0"/>
        <w:sectPr w:rsidR="002C793C" w:rsidSect="00C6186B">
          <w:headerReference w:type="default" r:id="rId92"/>
          <w:footerReference w:type="default" r:id="rId93"/>
          <w:headerReference w:type="first" r:id="rId94"/>
          <w:footerReference w:type="first" r:id="rId95"/>
          <w:pgSz w:w="12240" w:h="15840" w:code="1"/>
          <w:pgMar w:top="720" w:right="720" w:bottom="720" w:left="720" w:header="720" w:footer="432" w:gutter="0"/>
          <w:cols w:space="720"/>
          <w:docGrid w:linePitch="360"/>
        </w:sectPr>
      </w:pPr>
    </w:p>
    <w:p w14:paraId="6843801B" w14:textId="4D331D32" w:rsidR="002C793C" w:rsidRPr="008259A9" w:rsidRDefault="002C793C" w:rsidP="002C793C">
      <w:pPr>
        <w:pStyle w:val="Heading2"/>
        <w:rPr>
          <w:lang w:eastAsia="en-AU"/>
        </w:rPr>
      </w:pPr>
      <w:bookmarkStart w:id="448" w:name="_Attachment_10_–"/>
      <w:bookmarkStart w:id="449" w:name="_Toc13567515"/>
      <w:bookmarkStart w:id="450" w:name="_Hlk531186871"/>
      <w:bookmarkEnd w:id="448"/>
      <w:r w:rsidRPr="008259A9">
        <w:rPr>
          <w:lang w:eastAsia="en-AU"/>
        </w:rPr>
        <w:lastRenderedPageBreak/>
        <w:t xml:space="preserve">Attachment </w:t>
      </w:r>
      <w:r>
        <w:rPr>
          <w:lang w:eastAsia="en-AU"/>
        </w:rPr>
        <w:t>10</w:t>
      </w:r>
      <w:r w:rsidRPr="008259A9">
        <w:rPr>
          <w:lang w:eastAsia="en-AU"/>
        </w:rPr>
        <w:t xml:space="preserve"> – </w:t>
      </w:r>
      <w:r>
        <w:rPr>
          <w:lang w:eastAsia="en-AU"/>
        </w:rPr>
        <w:t>Service Level Agreements</w:t>
      </w:r>
      <w:bookmarkEnd w:id="449"/>
    </w:p>
    <w:p w14:paraId="00967310" w14:textId="48578ED3" w:rsidR="00E81C03" w:rsidRDefault="002C793C" w:rsidP="00E81C03">
      <w:r>
        <w:t xml:space="preserve">This Attachment contains </w:t>
      </w:r>
      <w:r w:rsidR="00E81C03">
        <w:t>service levels Awarded Vendor must meet or exceed for their solution.</w:t>
      </w:r>
    </w:p>
    <w:p w14:paraId="620F221F" w14:textId="0081013B" w:rsidR="00DD4204" w:rsidRDefault="00DD4204" w:rsidP="00E81C03">
      <w:r w:rsidRPr="00DD4204">
        <w:t>The Offeror must describe their proposed business and technical SLAs for their solution and detail how they are measured</w:t>
      </w:r>
      <w:r w:rsidR="00930922">
        <w:t>.</w:t>
      </w:r>
    </w:p>
    <w:p w14:paraId="086567FF" w14:textId="3D86FE49" w:rsidR="00E81C03" w:rsidRDefault="00E81C03" w:rsidP="002C793C">
      <w:bookmarkStart w:id="451" w:name="_Hlk532197878"/>
      <w:r>
        <w:t>The Awarded Vendor must follow rigorous standards leading to swift and thorough resolution of all TWC concerns throughout the life of the contract.</w:t>
      </w:r>
    </w:p>
    <w:p w14:paraId="74949372" w14:textId="30DA20A6" w:rsidR="00FD29AA" w:rsidRPr="004455AC" w:rsidRDefault="00FD29AA" w:rsidP="004455AC">
      <w:pPr>
        <w:pStyle w:val="Heading3"/>
      </w:pPr>
      <w:bookmarkStart w:id="452" w:name="_Toc13567516"/>
      <w:r w:rsidRPr="004455AC">
        <w:t>A10.1</w:t>
      </w:r>
      <w:r w:rsidRPr="004455AC">
        <w:tab/>
        <w:t>Availability</w:t>
      </w:r>
      <w:bookmarkEnd w:id="452"/>
    </w:p>
    <w:p w14:paraId="02E95F8C" w14:textId="53DD0BD2" w:rsidR="00FD29AA" w:rsidRDefault="00FD29AA" w:rsidP="00FD29AA">
      <w:r>
        <w:t xml:space="preserve">The </w:t>
      </w:r>
      <w:r w:rsidR="00DB432C">
        <w:t xml:space="preserve">Awarded Vendor </w:t>
      </w:r>
      <w:r w:rsidR="00DB432C">
        <w:rPr>
          <w:szCs w:val="24"/>
        </w:rPr>
        <w:t xml:space="preserve">must ensure their </w:t>
      </w:r>
      <w:r>
        <w:t xml:space="preserve">solution </w:t>
      </w:r>
      <w:r w:rsidR="00DB432C">
        <w:t>is</w:t>
      </w:r>
      <w:r w:rsidRPr="00E81C03">
        <w:t xml:space="preserve"> </w:t>
      </w:r>
      <w:r>
        <w:t xml:space="preserve">available to the public and TWC Staff </w:t>
      </w:r>
      <w:r w:rsidRPr="006B2127">
        <w:t>99</w:t>
      </w:r>
      <w:r>
        <w:t>.95</w:t>
      </w:r>
      <w:r w:rsidRPr="006B2127">
        <w:t xml:space="preserve">% </w:t>
      </w:r>
      <w:r>
        <w:t>of the time, excluding</w:t>
      </w:r>
      <w:r w:rsidR="000E5B81">
        <w:t xml:space="preserve"> approved</w:t>
      </w:r>
      <w:r>
        <w:t xml:space="preserve"> planned downtime for maintenance.</w:t>
      </w:r>
    </w:p>
    <w:p w14:paraId="6715CC09" w14:textId="36F81D39" w:rsidR="00FD29AA" w:rsidRDefault="00FD29AA" w:rsidP="004455AC">
      <w:pPr>
        <w:pStyle w:val="Heading3"/>
      </w:pPr>
      <w:bookmarkStart w:id="453" w:name="_Toc13567517"/>
      <w:r>
        <w:t>A10.2</w:t>
      </w:r>
      <w:r>
        <w:tab/>
        <w:t>System Monitoring</w:t>
      </w:r>
      <w:bookmarkEnd w:id="453"/>
    </w:p>
    <w:p w14:paraId="537DB9A4" w14:textId="64BDC3AE" w:rsidR="00F97CC6" w:rsidRDefault="00F97CC6" w:rsidP="00F97CC6">
      <w:pPr>
        <w:spacing w:after="0"/>
        <w:contextualSpacing/>
        <w:rPr>
          <w:szCs w:val="24"/>
        </w:rPr>
      </w:pPr>
      <w:r>
        <w:rPr>
          <w:szCs w:val="24"/>
        </w:rPr>
        <w:t xml:space="preserve">The </w:t>
      </w:r>
      <w:r>
        <w:t xml:space="preserve">Awarded Vendor </w:t>
      </w:r>
      <w:r>
        <w:rPr>
          <w:szCs w:val="24"/>
        </w:rPr>
        <w:t>must monitor the system 24 hours per day, 7 days per week, 365 days per year (</w:t>
      </w:r>
      <w:r w:rsidRPr="00F020E0">
        <w:rPr>
          <w:szCs w:val="24"/>
        </w:rPr>
        <w:t>24/7/365</w:t>
      </w:r>
      <w:r>
        <w:rPr>
          <w:szCs w:val="24"/>
        </w:rPr>
        <w:t>) for any network, hardware, software, and operating system problems and to address problems immediately upon detection without waiting for a report from TWC.</w:t>
      </w:r>
    </w:p>
    <w:p w14:paraId="1947ABB6" w14:textId="77777777" w:rsidR="00F97CC6" w:rsidRDefault="00F97CC6" w:rsidP="00F97CC6">
      <w:pPr>
        <w:spacing w:after="0"/>
        <w:contextualSpacing/>
        <w:rPr>
          <w:szCs w:val="24"/>
        </w:rPr>
      </w:pPr>
    </w:p>
    <w:p w14:paraId="6D932481" w14:textId="3B9E4116" w:rsidR="00F97CC6" w:rsidRDefault="00F97CC6" w:rsidP="00F97CC6">
      <w:pPr>
        <w:spacing w:after="0"/>
        <w:contextualSpacing/>
        <w:rPr>
          <w:szCs w:val="24"/>
        </w:rPr>
      </w:pPr>
      <w:r>
        <w:rPr>
          <w:szCs w:val="24"/>
        </w:rPr>
        <w:t xml:space="preserve">The </w:t>
      </w:r>
      <w:r>
        <w:t xml:space="preserve">Awarded Vendor </w:t>
      </w:r>
      <w:r>
        <w:rPr>
          <w:szCs w:val="24"/>
        </w:rPr>
        <w:t xml:space="preserve">must monitor the application for system errors 7:00 am – 6:00 pm Central Standard Time, </w:t>
      </w:r>
      <w:r w:rsidR="00BC1D19">
        <w:rPr>
          <w:szCs w:val="24"/>
        </w:rPr>
        <w:t>Sunday</w:t>
      </w:r>
      <w:r>
        <w:rPr>
          <w:szCs w:val="24"/>
        </w:rPr>
        <w:t xml:space="preserve"> through Friday,</w:t>
      </w:r>
      <w:r w:rsidR="00385A0B" w:rsidRPr="00385A0B">
        <w:t xml:space="preserve"> </w:t>
      </w:r>
      <w:r w:rsidR="00385A0B">
        <w:t>excluding Texas state holidays as published on the Texas Comptroller’s website (</w:t>
      </w:r>
      <w:hyperlink r:id="rId96" w:history="1">
        <w:r w:rsidR="00385A0B" w:rsidRPr="00385A0B">
          <w:rPr>
            <w:rStyle w:val="Hyperlink"/>
          </w:rPr>
          <w:t>https://comptroller.texas.gov/</w:t>
        </w:r>
      </w:hyperlink>
      <w:r w:rsidR="00385A0B">
        <w:t>).</w:t>
      </w:r>
      <w:r>
        <w:rPr>
          <w:szCs w:val="24"/>
        </w:rPr>
        <w:t xml:space="preserve"> </w:t>
      </w:r>
    </w:p>
    <w:p w14:paraId="40EC5C54" w14:textId="77777777" w:rsidR="00F97CC6" w:rsidRDefault="00F97CC6" w:rsidP="00F97CC6">
      <w:pPr>
        <w:spacing w:after="0"/>
        <w:contextualSpacing/>
        <w:rPr>
          <w:szCs w:val="24"/>
        </w:rPr>
      </w:pPr>
    </w:p>
    <w:p w14:paraId="1EC2D5F7" w14:textId="26E99150" w:rsidR="00E81C03" w:rsidRDefault="00FD29AA" w:rsidP="004455AC">
      <w:pPr>
        <w:pStyle w:val="Heading3"/>
      </w:pPr>
      <w:bookmarkStart w:id="454" w:name="_Toc13567518"/>
      <w:r>
        <w:t>A10.3</w:t>
      </w:r>
      <w:r>
        <w:tab/>
        <w:t>Systems Support</w:t>
      </w:r>
      <w:bookmarkEnd w:id="454"/>
    </w:p>
    <w:p w14:paraId="3DE378DD" w14:textId="59EC2C9A" w:rsidR="00E81C03" w:rsidRDefault="00F97CC6" w:rsidP="002C793C">
      <w:pPr>
        <w:rPr>
          <w:szCs w:val="24"/>
        </w:rPr>
      </w:pPr>
      <w:r>
        <w:rPr>
          <w:szCs w:val="24"/>
        </w:rPr>
        <w:t xml:space="preserve">The </w:t>
      </w:r>
      <w:r>
        <w:t xml:space="preserve">Awarded Vendor </w:t>
      </w:r>
      <w:r>
        <w:rPr>
          <w:szCs w:val="24"/>
        </w:rPr>
        <w:t>must provide:</w:t>
      </w:r>
    </w:p>
    <w:p w14:paraId="7FD4DB14" w14:textId="72427244" w:rsidR="00F97CC6" w:rsidRDefault="00F97CC6" w:rsidP="00E16D2D">
      <w:pPr>
        <w:pStyle w:val="LB1"/>
      </w:pPr>
      <w:r>
        <w:t xml:space="preserve">A </w:t>
      </w:r>
      <w:r w:rsidR="000E5B81">
        <w:t>toll-free</w:t>
      </w:r>
      <w:r>
        <w:t xml:space="preserve"> number monitored 24 hours per day, 7 days per week, 365 days per year (</w:t>
      </w:r>
      <w:r w:rsidRPr="00F020E0">
        <w:t>24/7/365</w:t>
      </w:r>
      <w:r>
        <w:t>) for TWC staff to report Level 1 and Level 2 incidents by phone;</w:t>
      </w:r>
    </w:p>
    <w:p w14:paraId="23E58421" w14:textId="22C6C908" w:rsidR="00F97CC6" w:rsidRDefault="00F97CC6" w:rsidP="00E16D2D">
      <w:pPr>
        <w:pStyle w:val="LB1"/>
      </w:pPr>
      <w:r>
        <w:t>a</w:t>
      </w:r>
      <w:r w:rsidRPr="00F020E0">
        <w:t xml:space="preserve"> secure internet portal </w:t>
      </w:r>
      <w:r>
        <w:t xml:space="preserve">available 24/7/365 </w:t>
      </w:r>
      <w:r w:rsidRPr="00F020E0">
        <w:t>for TWC staff to report system issues</w:t>
      </w:r>
      <w:r>
        <w:t xml:space="preserve"> or incidents;</w:t>
      </w:r>
    </w:p>
    <w:p w14:paraId="370AB530" w14:textId="1CABAAD9" w:rsidR="00F97CC6" w:rsidRDefault="00F97CC6" w:rsidP="00116640">
      <w:pPr>
        <w:pStyle w:val="LB1"/>
      </w:pPr>
      <w:r>
        <w:t>Automated assignment of unique identifiers for traceability of each issue/incident reported by portal or phone;</w:t>
      </w:r>
    </w:p>
    <w:p w14:paraId="30D5CC0E" w14:textId="0E579B05" w:rsidR="00F97CC6" w:rsidRPr="00461936" w:rsidRDefault="00F97CC6" w:rsidP="00F82166">
      <w:pPr>
        <w:pStyle w:val="LB1"/>
      </w:pPr>
      <w:r>
        <w:t>R</w:t>
      </w:r>
      <w:r w:rsidRPr="00461936">
        <w:t>egular status update</w:t>
      </w:r>
      <w:r>
        <w:t xml:space="preserve"> entries on issue/incident ticket</w:t>
      </w:r>
      <w:r w:rsidRPr="00461936">
        <w:t xml:space="preserve">s </w:t>
      </w:r>
      <w:r>
        <w:t>by vendor support staff; and</w:t>
      </w:r>
    </w:p>
    <w:p w14:paraId="54552B8C" w14:textId="04500193" w:rsidR="00F97CC6" w:rsidRDefault="00F97CC6" w:rsidP="00F82166">
      <w:pPr>
        <w:pStyle w:val="LB1"/>
      </w:pPr>
      <w:r>
        <w:t>Ability for authorized TWC staff to query reported incidents for status 24/7/365.</w:t>
      </w:r>
    </w:p>
    <w:p w14:paraId="5477FDDD" w14:textId="77777777" w:rsidR="00F97CC6" w:rsidRDefault="00F97CC6" w:rsidP="002C793C"/>
    <w:p w14:paraId="380208B3" w14:textId="77777777" w:rsidR="0061480F" w:rsidRDefault="00F97CC6" w:rsidP="004455AC">
      <w:pPr>
        <w:pStyle w:val="Heading3"/>
      </w:pPr>
      <w:bookmarkStart w:id="455" w:name="_A10.4_Service_Level"/>
      <w:bookmarkStart w:id="456" w:name="_Toc13567519"/>
      <w:bookmarkStart w:id="457" w:name="_Hlk7618963"/>
      <w:bookmarkStart w:id="458" w:name="_Hlk534272785"/>
      <w:bookmarkEnd w:id="455"/>
      <w:r>
        <w:lastRenderedPageBreak/>
        <w:t>A10.4</w:t>
      </w:r>
      <w:r>
        <w:tab/>
        <w:t>Service Level Requirements</w:t>
      </w:r>
      <w:bookmarkEnd w:id="456"/>
    </w:p>
    <w:p w14:paraId="20B399B9" w14:textId="5D94FEDB" w:rsidR="00F97CC6" w:rsidRDefault="0061480F" w:rsidP="0061480F">
      <w:pPr>
        <w:pStyle w:val="Heading4"/>
      </w:pPr>
      <w:bookmarkStart w:id="459" w:name="_Hlk10450474"/>
      <w:r>
        <w:t>System Availability</w:t>
      </w:r>
    </w:p>
    <w:bookmarkEnd w:id="459"/>
    <w:p w14:paraId="5EB80DC3" w14:textId="1A4CF278" w:rsidR="0061480F" w:rsidRPr="0061480F" w:rsidRDefault="0061480F" w:rsidP="0061480F">
      <w:r>
        <w:t>The Awarded Vendor must maintain minimum service levels with respect to system availability. The following system availability Service Level Agreements will be enforced:</w:t>
      </w:r>
    </w:p>
    <w:tbl>
      <w:tblPr>
        <w:tblStyle w:val="TableGrid"/>
        <w:tblW w:w="10534" w:type="dxa"/>
        <w:tblInd w:w="175" w:type="dxa"/>
        <w:tblLayout w:type="fixed"/>
        <w:tblLook w:val="04A0" w:firstRow="1" w:lastRow="0" w:firstColumn="1" w:lastColumn="0" w:noHBand="0" w:noVBand="1"/>
        <w:tblDescription w:val="Table of Service Level Requirements"/>
      </w:tblPr>
      <w:tblGrid>
        <w:gridCol w:w="2073"/>
        <w:gridCol w:w="1977"/>
        <w:gridCol w:w="1884"/>
        <w:gridCol w:w="2526"/>
        <w:gridCol w:w="2074"/>
      </w:tblGrid>
      <w:tr w:rsidR="009A11AD" w:rsidRPr="00873442" w14:paraId="384D4805" w14:textId="77777777" w:rsidTr="00B749C8">
        <w:trPr>
          <w:tblHeader/>
        </w:trPr>
        <w:tc>
          <w:tcPr>
            <w:tcW w:w="2073" w:type="dxa"/>
            <w:shd w:val="clear" w:color="auto" w:fill="DEEAF6" w:themeFill="accent1" w:themeFillTint="33"/>
            <w:vAlign w:val="center"/>
          </w:tcPr>
          <w:p w14:paraId="18FA1523" w14:textId="44F2109E" w:rsidR="009A11AD" w:rsidRPr="004F202B" w:rsidRDefault="009A11AD" w:rsidP="00CB558A">
            <w:pPr>
              <w:keepNext/>
              <w:spacing w:after="0"/>
              <w:ind w:left="0"/>
              <w:rPr>
                <w:rFonts w:cs="Arial"/>
                <w:b/>
                <w:color w:val="1F3864" w:themeColor="accent5" w:themeShade="80"/>
              </w:rPr>
            </w:pPr>
            <w:r>
              <w:rPr>
                <w:rFonts w:cs="Arial"/>
                <w:b/>
                <w:color w:val="1F3864" w:themeColor="accent5" w:themeShade="80"/>
              </w:rPr>
              <w:t>Incident Levels</w:t>
            </w:r>
          </w:p>
        </w:tc>
        <w:tc>
          <w:tcPr>
            <w:tcW w:w="1977" w:type="dxa"/>
            <w:shd w:val="clear" w:color="auto" w:fill="DEEAF6" w:themeFill="accent1" w:themeFillTint="33"/>
            <w:vAlign w:val="center"/>
          </w:tcPr>
          <w:p w14:paraId="4D0994D7" w14:textId="606F7EE7" w:rsidR="009A11AD" w:rsidRPr="001B5E0B" w:rsidRDefault="009A11AD" w:rsidP="00CB558A">
            <w:pPr>
              <w:keepNext/>
              <w:spacing w:after="0"/>
              <w:ind w:left="0"/>
              <w:rPr>
                <w:rFonts w:cs="Arial"/>
                <w:b/>
                <w:color w:val="1F3864" w:themeColor="accent5" w:themeShade="80"/>
              </w:rPr>
            </w:pPr>
            <w:r>
              <w:rPr>
                <w:rFonts w:cs="Arial"/>
                <w:b/>
                <w:color w:val="1F3864" w:themeColor="accent5" w:themeShade="80"/>
              </w:rPr>
              <w:t>Level 1</w:t>
            </w:r>
          </w:p>
        </w:tc>
        <w:tc>
          <w:tcPr>
            <w:tcW w:w="1884" w:type="dxa"/>
            <w:shd w:val="clear" w:color="auto" w:fill="DEEAF6" w:themeFill="accent1" w:themeFillTint="33"/>
            <w:vAlign w:val="center"/>
          </w:tcPr>
          <w:p w14:paraId="039FCDA2" w14:textId="065DFE15" w:rsidR="009A11AD" w:rsidRPr="001B5E0B" w:rsidRDefault="009A11AD" w:rsidP="00CB558A">
            <w:pPr>
              <w:keepNext/>
              <w:spacing w:after="0"/>
              <w:ind w:left="0"/>
              <w:rPr>
                <w:rFonts w:cs="Arial"/>
                <w:b/>
                <w:color w:val="1F3864" w:themeColor="accent5" w:themeShade="80"/>
              </w:rPr>
            </w:pPr>
            <w:r>
              <w:rPr>
                <w:rFonts w:cs="Arial"/>
                <w:b/>
                <w:color w:val="1F3864" w:themeColor="accent5" w:themeShade="80"/>
              </w:rPr>
              <w:t>Level 2</w:t>
            </w:r>
          </w:p>
        </w:tc>
        <w:tc>
          <w:tcPr>
            <w:tcW w:w="2526" w:type="dxa"/>
            <w:shd w:val="clear" w:color="auto" w:fill="DEEAF6" w:themeFill="accent1" w:themeFillTint="33"/>
            <w:vAlign w:val="center"/>
          </w:tcPr>
          <w:p w14:paraId="2008916C" w14:textId="7A4331BC" w:rsidR="009A11AD" w:rsidRDefault="009A11AD" w:rsidP="00CB558A">
            <w:pPr>
              <w:keepNext/>
              <w:spacing w:after="0"/>
              <w:ind w:left="0"/>
              <w:rPr>
                <w:rFonts w:cs="Arial"/>
                <w:b/>
                <w:color w:val="1F3864" w:themeColor="accent5" w:themeShade="80"/>
              </w:rPr>
            </w:pPr>
            <w:r>
              <w:rPr>
                <w:rFonts w:cs="Arial"/>
                <w:b/>
                <w:color w:val="1F3864" w:themeColor="accent5" w:themeShade="80"/>
              </w:rPr>
              <w:t>Level 3</w:t>
            </w:r>
          </w:p>
        </w:tc>
        <w:tc>
          <w:tcPr>
            <w:tcW w:w="2074" w:type="dxa"/>
            <w:shd w:val="clear" w:color="auto" w:fill="DEEAF6" w:themeFill="accent1" w:themeFillTint="33"/>
            <w:vAlign w:val="center"/>
          </w:tcPr>
          <w:p w14:paraId="24A064F1" w14:textId="36B0866B" w:rsidR="009A11AD" w:rsidRPr="004F202B" w:rsidRDefault="009A11AD" w:rsidP="00CB558A">
            <w:pPr>
              <w:keepNext/>
              <w:spacing w:after="0"/>
              <w:ind w:left="0"/>
              <w:rPr>
                <w:rFonts w:cs="Arial"/>
                <w:b/>
                <w:color w:val="1F3864" w:themeColor="accent5" w:themeShade="80"/>
              </w:rPr>
            </w:pPr>
            <w:r>
              <w:rPr>
                <w:rFonts w:cs="Arial"/>
                <w:b/>
                <w:color w:val="1F3864" w:themeColor="accent5" w:themeShade="80"/>
              </w:rPr>
              <w:t>Level 4</w:t>
            </w:r>
          </w:p>
        </w:tc>
      </w:tr>
      <w:tr w:rsidR="009A11AD" w:rsidRPr="00873442" w14:paraId="54B6B54C" w14:textId="77777777" w:rsidTr="00B749C8">
        <w:trPr>
          <w:tblHeader/>
        </w:trPr>
        <w:tc>
          <w:tcPr>
            <w:tcW w:w="2073" w:type="dxa"/>
            <w:shd w:val="clear" w:color="auto" w:fill="DEEAF6" w:themeFill="accent1" w:themeFillTint="33"/>
            <w:vAlign w:val="center"/>
          </w:tcPr>
          <w:p w14:paraId="6A7971AA" w14:textId="4A51F057" w:rsidR="009A11AD" w:rsidRPr="004F202B" w:rsidRDefault="009A11AD" w:rsidP="009A11AD">
            <w:pPr>
              <w:keepNext/>
              <w:spacing w:after="0"/>
              <w:ind w:left="0"/>
              <w:rPr>
                <w:rFonts w:cs="Arial"/>
                <w:b/>
                <w:color w:val="1F3864" w:themeColor="accent5" w:themeShade="80"/>
              </w:rPr>
            </w:pPr>
            <w:r>
              <w:rPr>
                <w:rFonts w:cs="Arial"/>
                <w:b/>
                <w:color w:val="1F3864" w:themeColor="accent5" w:themeShade="80"/>
              </w:rPr>
              <w:t>Conditions</w:t>
            </w:r>
          </w:p>
        </w:tc>
        <w:tc>
          <w:tcPr>
            <w:tcW w:w="1977" w:type="dxa"/>
            <w:shd w:val="clear" w:color="auto" w:fill="DEEAF6" w:themeFill="accent1" w:themeFillTint="33"/>
            <w:vAlign w:val="center"/>
          </w:tcPr>
          <w:p w14:paraId="500A8982" w14:textId="44D38ED3" w:rsidR="009A11AD" w:rsidRDefault="009A11AD" w:rsidP="008969D2">
            <w:pPr>
              <w:keepNext/>
              <w:spacing w:after="0"/>
              <w:ind w:left="0"/>
              <w:rPr>
                <w:rFonts w:cs="Arial"/>
                <w:b/>
                <w:color w:val="1F3864" w:themeColor="accent5" w:themeShade="80"/>
              </w:rPr>
            </w:pPr>
            <w:r>
              <w:rPr>
                <w:rFonts w:cs="Arial"/>
                <w:b/>
                <w:color w:val="1F3864" w:themeColor="accent5" w:themeShade="80"/>
              </w:rPr>
              <w:t>Severity 1</w:t>
            </w:r>
          </w:p>
        </w:tc>
        <w:tc>
          <w:tcPr>
            <w:tcW w:w="1884" w:type="dxa"/>
            <w:shd w:val="clear" w:color="auto" w:fill="DEEAF6" w:themeFill="accent1" w:themeFillTint="33"/>
            <w:vAlign w:val="center"/>
          </w:tcPr>
          <w:p w14:paraId="3F4A18A4" w14:textId="398DDEDC" w:rsidR="009A11AD" w:rsidRDefault="009A11AD" w:rsidP="008969D2">
            <w:pPr>
              <w:keepNext/>
              <w:spacing w:after="0"/>
              <w:ind w:left="0"/>
              <w:rPr>
                <w:rFonts w:cs="Arial"/>
                <w:b/>
                <w:color w:val="1F3864" w:themeColor="accent5" w:themeShade="80"/>
              </w:rPr>
            </w:pPr>
            <w:r>
              <w:rPr>
                <w:rFonts w:cs="Arial"/>
                <w:b/>
                <w:color w:val="1F3864" w:themeColor="accent5" w:themeShade="80"/>
              </w:rPr>
              <w:t>Severity 2</w:t>
            </w:r>
          </w:p>
        </w:tc>
        <w:tc>
          <w:tcPr>
            <w:tcW w:w="2526" w:type="dxa"/>
            <w:shd w:val="clear" w:color="auto" w:fill="DEEAF6" w:themeFill="accent1" w:themeFillTint="33"/>
            <w:vAlign w:val="center"/>
          </w:tcPr>
          <w:p w14:paraId="6A0407BD" w14:textId="625A2B67" w:rsidR="009A11AD" w:rsidRDefault="009A11AD" w:rsidP="008969D2">
            <w:pPr>
              <w:keepNext/>
              <w:spacing w:after="0"/>
              <w:ind w:left="0"/>
              <w:rPr>
                <w:rFonts w:cs="Arial"/>
                <w:b/>
                <w:color w:val="1F3864" w:themeColor="accent5" w:themeShade="80"/>
              </w:rPr>
            </w:pPr>
            <w:r>
              <w:rPr>
                <w:rFonts w:cs="Arial"/>
                <w:b/>
                <w:color w:val="1F3864" w:themeColor="accent5" w:themeShade="80"/>
              </w:rPr>
              <w:t>Severity 3</w:t>
            </w:r>
          </w:p>
        </w:tc>
        <w:tc>
          <w:tcPr>
            <w:tcW w:w="2074" w:type="dxa"/>
            <w:shd w:val="clear" w:color="auto" w:fill="DEEAF6" w:themeFill="accent1" w:themeFillTint="33"/>
            <w:vAlign w:val="center"/>
          </w:tcPr>
          <w:p w14:paraId="18A0324F" w14:textId="261D97C5" w:rsidR="009A11AD" w:rsidRDefault="009A11AD" w:rsidP="008969D2">
            <w:pPr>
              <w:keepNext/>
              <w:spacing w:after="0"/>
              <w:ind w:left="0"/>
              <w:rPr>
                <w:rFonts w:cs="Arial"/>
                <w:b/>
                <w:color w:val="1F3864" w:themeColor="accent5" w:themeShade="80"/>
              </w:rPr>
            </w:pPr>
            <w:r>
              <w:rPr>
                <w:rFonts w:cs="Arial"/>
                <w:b/>
                <w:color w:val="1F3864" w:themeColor="accent5" w:themeShade="80"/>
              </w:rPr>
              <w:t>Severity 4</w:t>
            </w:r>
          </w:p>
        </w:tc>
      </w:tr>
      <w:tr w:rsidR="009A11AD" w:rsidRPr="00873442" w14:paraId="28494DAA" w14:textId="77777777" w:rsidTr="00B749C8">
        <w:tc>
          <w:tcPr>
            <w:tcW w:w="2073" w:type="dxa"/>
          </w:tcPr>
          <w:p w14:paraId="07D0B2D3" w14:textId="5DF84B34" w:rsidR="009A11AD" w:rsidRDefault="009A11AD" w:rsidP="009A11AD">
            <w:pPr>
              <w:ind w:left="0"/>
            </w:pPr>
            <w:r>
              <w:t>System Outage</w:t>
            </w:r>
            <w:r w:rsidR="00245314">
              <w:t xml:space="preserve"> </w:t>
            </w:r>
            <w:r w:rsidR="00245314" w:rsidRPr="00D756AF">
              <w:t>determined</w:t>
            </w:r>
            <w:r w:rsidR="00DE2EA3">
              <w:t xml:space="preserve"> by TWC</w:t>
            </w:r>
            <w:r w:rsidR="00245314" w:rsidRPr="00D756AF">
              <w:t xml:space="preserve"> to be caused by Awarded Vendor</w:t>
            </w:r>
          </w:p>
        </w:tc>
        <w:tc>
          <w:tcPr>
            <w:tcW w:w="1977" w:type="dxa"/>
          </w:tcPr>
          <w:p w14:paraId="6C68F54F" w14:textId="2C7C5650" w:rsidR="009A11AD" w:rsidRDefault="009A11AD" w:rsidP="009A11AD">
            <w:pPr>
              <w:ind w:left="0"/>
            </w:pPr>
            <w:r>
              <w:rPr>
                <w:szCs w:val="24"/>
              </w:rPr>
              <w:t xml:space="preserve">Prevents external or internal users from accessing the system </w:t>
            </w:r>
            <w:r w:rsidR="00245314">
              <w:rPr>
                <w:szCs w:val="24"/>
              </w:rPr>
              <w:t>functionality</w:t>
            </w:r>
          </w:p>
        </w:tc>
        <w:tc>
          <w:tcPr>
            <w:tcW w:w="1884" w:type="dxa"/>
          </w:tcPr>
          <w:p w14:paraId="1197BB6F" w14:textId="0417CF55" w:rsidR="009A11AD" w:rsidRDefault="009A11AD" w:rsidP="009A11AD">
            <w:pPr>
              <w:ind w:left="0"/>
            </w:pPr>
            <w:r>
              <w:rPr>
                <w:szCs w:val="24"/>
              </w:rPr>
              <w:t>Prevents external or internal users from accessing a portion of the system</w:t>
            </w:r>
          </w:p>
        </w:tc>
        <w:tc>
          <w:tcPr>
            <w:tcW w:w="2526" w:type="dxa"/>
          </w:tcPr>
          <w:p w14:paraId="00BB7401" w14:textId="77777777" w:rsidR="00B749C8" w:rsidRDefault="009A11AD" w:rsidP="009A11AD">
            <w:pPr>
              <w:ind w:left="0"/>
              <w:rPr>
                <w:szCs w:val="24"/>
              </w:rPr>
            </w:pPr>
            <w:r>
              <w:rPr>
                <w:szCs w:val="24"/>
              </w:rPr>
              <w:t>Prevents inter</w:t>
            </w:r>
            <w:r w:rsidR="00B749C8">
              <w:rPr>
                <w:szCs w:val="24"/>
              </w:rPr>
              <w:t>nal users from accessing system</w:t>
            </w:r>
          </w:p>
          <w:p w14:paraId="0C76D521" w14:textId="6ABB55C3" w:rsidR="00B749C8" w:rsidRDefault="00B749C8" w:rsidP="009A11AD">
            <w:pPr>
              <w:ind w:left="0"/>
              <w:rPr>
                <w:szCs w:val="24"/>
              </w:rPr>
            </w:pPr>
            <w:r>
              <w:rPr>
                <w:szCs w:val="24"/>
              </w:rPr>
              <w:t>11 hours per day (7:00 am – 6:00 pm CST)</w:t>
            </w:r>
          </w:p>
          <w:p w14:paraId="4CEAD527" w14:textId="0F997053" w:rsidR="00B749C8" w:rsidRDefault="00B749C8" w:rsidP="009A11AD">
            <w:pPr>
              <w:ind w:left="0"/>
              <w:rPr>
                <w:szCs w:val="24"/>
              </w:rPr>
            </w:pPr>
            <w:r>
              <w:rPr>
                <w:szCs w:val="24"/>
              </w:rPr>
              <w:t>5 days per week (Monday through Friday)</w:t>
            </w:r>
          </w:p>
          <w:p w14:paraId="09FC211C" w14:textId="1B2F1060" w:rsidR="00B749C8" w:rsidRPr="00B749C8" w:rsidRDefault="00B749C8" w:rsidP="009A11AD">
            <w:pPr>
              <w:ind w:left="0"/>
              <w:rPr>
                <w:szCs w:val="24"/>
              </w:rPr>
            </w:pPr>
            <w:r>
              <w:rPr>
                <w:szCs w:val="24"/>
              </w:rPr>
              <w:t>Excluding Holidays</w:t>
            </w:r>
          </w:p>
        </w:tc>
        <w:tc>
          <w:tcPr>
            <w:tcW w:w="2074" w:type="dxa"/>
          </w:tcPr>
          <w:p w14:paraId="04FE3BD0" w14:textId="67C68F31" w:rsidR="009A11AD" w:rsidRDefault="009A11AD" w:rsidP="009A11AD">
            <w:pPr>
              <w:ind w:left="0"/>
            </w:pPr>
            <w:r>
              <w:rPr>
                <w:szCs w:val="24"/>
              </w:rPr>
              <w:t>Prevents TWC users from acce</w:t>
            </w:r>
            <w:r w:rsidR="00B749C8">
              <w:rPr>
                <w:szCs w:val="24"/>
              </w:rPr>
              <w:t>ssing system Saturdays/Sundays/</w:t>
            </w:r>
            <w:r>
              <w:rPr>
                <w:szCs w:val="24"/>
              </w:rPr>
              <w:t>Holidays (S/S/H)</w:t>
            </w:r>
            <w:r w:rsidR="00A43477">
              <w:rPr>
                <w:szCs w:val="24"/>
              </w:rPr>
              <w:t xml:space="preserve"> when Agency is closed</w:t>
            </w:r>
          </w:p>
        </w:tc>
      </w:tr>
      <w:tr w:rsidR="009A11AD" w:rsidRPr="00873442" w14:paraId="7050F64A" w14:textId="77777777" w:rsidTr="00B749C8">
        <w:tc>
          <w:tcPr>
            <w:tcW w:w="2073" w:type="dxa"/>
          </w:tcPr>
          <w:p w14:paraId="6A302640" w14:textId="2120DE72" w:rsidR="009A11AD" w:rsidRDefault="009A11AD" w:rsidP="009A11AD">
            <w:pPr>
              <w:ind w:left="0"/>
            </w:pPr>
            <w:r>
              <w:rPr>
                <w:szCs w:val="24"/>
              </w:rPr>
              <w:t>Work Around</w:t>
            </w:r>
          </w:p>
        </w:tc>
        <w:tc>
          <w:tcPr>
            <w:tcW w:w="1977" w:type="dxa"/>
          </w:tcPr>
          <w:p w14:paraId="54385737" w14:textId="05028599" w:rsidR="009A11AD" w:rsidRDefault="009A11AD" w:rsidP="009A11AD">
            <w:pPr>
              <w:ind w:left="0"/>
              <w:rPr>
                <w:szCs w:val="24"/>
              </w:rPr>
            </w:pPr>
            <w:r>
              <w:rPr>
                <w:szCs w:val="24"/>
              </w:rPr>
              <w:t>None</w:t>
            </w:r>
          </w:p>
        </w:tc>
        <w:tc>
          <w:tcPr>
            <w:tcW w:w="1884" w:type="dxa"/>
          </w:tcPr>
          <w:p w14:paraId="1076BD63" w14:textId="4CCBEB50" w:rsidR="009A11AD" w:rsidRDefault="009A11AD" w:rsidP="009A11AD">
            <w:pPr>
              <w:ind w:left="0"/>
              <w:rPr>
                <w:szCs w:val="24"/>
              </w:rPr>
            </w:pPr>
            <w:r>
              <w:rPr>
                <w:szCs w:val="24"/>
              </w:rPr>
              <w:t>None</w:t>
            </w:r>
          </w:p>
        </w:tc>
        <w:tc>
          <w:tcPr>
            <w:tcW w:w="2526" w:type="dxa"/>
          </w:tcPr>
          <w:p w14:paraId="364C41BA" w14:textId="460F46C3" w:rsidR="009A11AD" w:rsidRDefault="009A11AD" w:rsidP="009A11AD">
            <w:pPr>
              <w:ind w:left="0"/>
              <w:rPr>
                <w:szCs w:val="24"/>
              </w:rPr>
            </w:pPr>
            <w:r>
              <w:rPr>
                <w:szCs w:val="24"/>
              </w:rPr>
              <w:t>Possible Work Around</w:t>
            </w:r>
          </w:p>
        </w:tc>
        <w:tc>
          <w:tcPr>
            <w:tcW w:w="2074" w:type="dxa"/>
          </w:tcPr>
          <w:p w14:paraId="26825058" w14:textId="531A737E" w:rsidR="009A11AD" w:rsidRDefault="009A11AD" w:rsidP="009A11AD">
            <w:pPr>
              <w:ind w:left="0"/>
              <w:rPr>
                <w:szCs w:val="24"/>
              </w:rPr>
            </w:pPr>
            <w:r>
              <w:rPr>
                <w:szCs w:val="24"/>
              </w:rPr>
              <w:t>Work Around Available</w:t>
            </w:r>
          </w:p>
        </w:tc>
      </w:tr>
      <w:tr w:rsidR="009A11AD" w:rsidRPr="00873442" w14:paraId="6B13CD04" w14:textId="77777777" w:rsidTr="00B749C8">
        <w:tc>
          <w:tcPr>
            <w:tcW w:w="2073" w:type="dxa"/>
          </w:tcPr>
          <w:p w14:paraId="551F1EFA" w14:textId="5AA68BF8" w:rsidR="009A11AD" w:rsidRDefault="009A11AD" w:rsidP="009A11AD">
            <w:pPr>
              <w:ind w:left="0"/>
            </w:pPr>
            <w:r>
              <w:rPr>
                <w:szCs w:val="24"/>
              </w:rPr>
              <w:t>Percent of Users Affected</w:t>
            </w:r>
          </w:p>
        </w:tc>
        <w:tc>
          <w:tcPr>
            <w:tcW w:w="1977" w:type="dxa"/>
          </w:tcPr>
          <w:p w14:paraId="25F433E4" w14:textId="3E0D3EBC" w:rsidR="009A11AD" w:rsidRDefault="009A11AD" w:rsidP="009A11AD">
            <w:pPr>
              <w:ind w:left="0"/>
              <w:rPr>
                <w:szCs w:val="24"/>
              </w:rPr>
            </w:pPr>
            <w:r>
              <w:rPr>
                <w:szCs w:val="24"/>
              </w:rPr>
              <w:t>51 – 100% of Users</w:t>
            </w:r>
          </w:p>
        </w:tc>
        <w:tc>
          <w:tcPr>
            <w:tcW w:w="1884" w:type="dxa"/>
          </w:tcPr>
          <w:p w14:paraId="247767DA" w14:textId="1D2C8B50" w:rsidR="009A11AD" w:rsidRDefault="009A11AD" w:rsidP="009A11AD">
            <w:pPr>
              <w:ind w:left="0"/>
              <w:rPr>
                <w:szCs w:val="24"/>
              </w:rPr>
            </w:pPr>
            <w:r>
              <w:rPr>
                <w:szCs w:val="24"/>
              </w:rPr>
              <w:t>26-50% of Users</w:t>
            </w:r>
          </w:p>
        </w:tc>
        <w:tc>
          <w:tcPr>
            <w:tcW w:w="2526" w:type="dxa"/>
          </w:tcPr>
          <w:p w14:paraId="13D7EE9D" w14:textId="50E94DCF" w:rsidR="009A11AD" w:rsidRDefault="009A11AD" w:rsidP="009A11AD">
            <w:pPr>
              <w:ind w:left="0"/>
              <w:rPr>
                <w:szCs w:val="24"/>
              </w:rPr>
            </w:pPr>
            <w:r>
              <w:rPr>
                <w:szCs w:val="24"/>
              </w:rPr>
              <w:t>11 – 25% of Users</w:t>
            </w:r>
          </w:p>
        </w:tc>
        <w:tc>
          <w:tcPr>
            <w:tcW w:w="2074" w:type="dxa"/>
          </w:tcPr>
          <w:p w14:paraId="5DE9BD66" w14:textId="215ADE8F" w:rsidR="009A11AD" w:rsidRDefault="009A11AD" w:rsidP="009A11AD">
            <w:pPr>
              <w:ind w:left="0"/>
              <w:rPr>
                <w:szCs w:val="24"/>
              </w:rPr>
            </w:pPr>
            <w:r>
              <w:rPr>
                <w:szCs w:val="24"/>
              </w:rPr>
              <w:t>1 – 10% of Users</w:t>
            </w:r>
          </w:p>
        </w:tc>
      </w:tr>
      <w:tr w:rsidR="009A11AD" w:rsidRPr="00873442" w14:paraId="30C805A4" w14:textId="77777777" w:rsidTr="00B749C8">
        <w:tc>
          <w:tcPr>
            <w:tcW w:w="2073" w:type="dxa"/>
          </w:tcPr>
          <w:p w14:paraId="22B5DE9C" w14:textId="3618DE0E" w:rsidR="009A11AD" w:rsidRDefault="009A11AD" w:rsidP="009A11AD">
            <w:pPr>
              <w:ind w:left="0"/>
            </w:pPr>
            <w:r>
              <w:rPr>
                <w:szCs w:val="24"/>
              </w:rPr>
              <w:t>Business, Financial, Legal Exposure</w:t>
            </w:r>
          </w:p>
        </w:tc>
        <w:tc>
          <w:tcPr>
            <w:tcW w:w="1977" w:type="dxa"/>
          </w:tcPr>
          <w:p w14:paraId="3629DBDE" w14:textId="730B8B36" w:rsidR="009A11AD" w:rsidRDefault="009A11AD" w:rsidP="009A11AD">
            <w:pPr>
              <w:ind w:left="0"/>
              <w:rPr>
                <w:szCs w:val="24"/>
              </w:rPr>
            </w:pPr>
            <w:r>
              <w:rPr>
                <w:szCs w:val="24"/>
              </w:rPr>
              <w:t>Severe</w:t>
            </w:r>
          </w:p>
        </w:tc>
        <w:tc>
          <w:tcPr>
            <w:tcW w:w="1884" w:type="dxa"/>
          </w:tcPr>
          <w:p w14:paraId="7EE49B47" w14:textId="1CE88570" w:rsidR="009A11AD" w:rsidRDefault="009A11AD" w:rsidP="009A11AD">
            <w:pPr>
              <w:ind w:left="0"/>
              <w:rPr>
                <w:szCs w:val="24"/>
              </w:rPr>
            </w:pPr>
            <w:r>
              <w:rPr>
                <w:szCs w:val="24"/>
              </w:rPr>
              <w:t>Serious</w:t>
            </w:r>
          </w:p>
        </w:tc>
        <w:tc>
          <w:tcPr>
            <w:tcW w:w="2526" w:type="dxa"/>
          </w:tcPr>
          <w:p w14:paraId="2325E583" w14:textId="1F53E60B" w:rsidR="009A11AD" w:rsidRDefault="009A11AD" w:rsidP="009A11AD">
            <w:pPr>
              <w:ind w:left="0"/>
              <w:rPr>
                <w:szCs w:val="24"/>
              </w:rPr>
            </w:pPr>
            <w:r>
              <w:rPr>
                <w:szCs w:val="24"/>
              </w:rPr>
              <w:t>Moderate</w:t>
            </w:r>
          </w:p>
        </w:tc>
        <w:tc>
          <w:tcPr>
            <w:tcW w:w="2074" w:type="dxa"/>
          </w:tcPr>
          <w:p w14:paraId="7FE289A9" w14:textId="70ACEAFE" w:rsidR="009A11AD" w:rsidRDefault="009A11AD" w:rsidP="009A11AD">
            <w:pPr>
              <w:ind w:left="0"/>
              <w:rPr>
                <w:szCs w:val="24"/>
              </w:rPr>
            </w:pPr>
            <w:r>
              <w:rPr>
                <w:szCs w:val="24"/>
              </w:rPr>
              <w:t>Low</w:t>
            </w:r>
          </w:p>
        </w:tc>
      </w:tr>
      <w:bookmarkEnd w:id="457"/>
      <w:tr w:rsidR="009A11AD" w:rsidRPr="00873442" w14:paraId="66691AF6" w14:textId="77777777" w:rsidTr="00B749C8">
        <w:tc>
          <w:tcPr>
            <w:tcW w:w="2073" w:type="dxa"/>
          </w:tcPr>
          <w:p w14:paraId="4BDE3D7C" w14:textId="34BFF88D" w:rsidR="009A11AD" w:rsidRDefault="009A11AD" w:rsidP="009A11AD">
            <w:pPr>
              <w:ind w:left="0"/>
            </w:pPr>
            <w:r>
              <w:rPr>
                <w:szCs w:val="24"/>
              </w:rPr>
              <w:t>Support Hours</w:t>
            </w:r>
          </w:p>
        </w:tc>
        <w:tc>
          <w:tcPr>
            <w:tcW w:w="1977" w:type="dxa"/>
          </w:tcPr>
          <w:p w14:paraId="27E98C6D" w14:textId="43AF10D0" w:rsidR="009A11AD" w:rsidRDefault="009A11AD" w:rsidP="009A11AD">
            <w:pPr>
              <w:ind w:left="0"/>
              <w:rPr>
                <w:szCs w:val="24"/>
              </w:rPr>
            </w:pPr>
            <w:r>
              <w:rPr>
                <w:szCs w:val="24"/>
              </w:rPr>
              <w:t>24/7/365</w:t>
            </w:r>
          </w:p>
        </w:tc>
        <w:tc>
          <w:tcPr>
            <w:tcW w:w="1884" w:type="dxa"/>
          </w:tcPr>
          <w:p w14:paraId="45BCFBED" w14:textId="2E24E25E" w:rsidR="009A11AD" w:rsidRDefault="009A11AD" w:rsidP="009A11AD">
            <w:pPr>
              <w:ind w:left="0"/>
              <w:rPr>
                <w:szCs w:val="24"/>
              </w:rPr>
            </w:pPr>
            <w:r>
              <w:rPr>
                <w:szCs w:val="24"/>
              </w:rPr>
              <w:t>24/7/365</w:t>
            </w:r>
          </w:p>
        </w:tc>
        <w:tc>
          <w:tcPr>
            <w:tcW w:w="2526" w:type="dxa"/>
          </w:tcPr>
          <w:p w14:paraId="7E199420" w14:textId="5DB7516C" w:rsidR="009A11AD" w:rsidRDefault="009A11AD" w:rsidP="009A11AD">
            <w:pPr>
              <w:ind w:left="0"/>
              <w:rPr>
                <w:szCs w:val="24"/>
              </w:rPr>
            </w:pPr>
            <w:r>
              <w:rPr>
                <w:szCs w:val="24"/>
              </w:rPr>
              <w:t>11/5/Excluding Holidays (EH)</w:t>
            </w:r>
          </w:p>
        </w:tc>
        <w:tc>
          <w:tcPr>
            <w:tcW w:w="2074" w:type="dxa"/>
          </w:tcPr>
          <w:p w14:paraId="36549872" w14:textId="733E0C3F" w:rsidR="009A11AD" w:rsidRDefault="00EB690F" w:rsidP="009A11AD">
            <w:pPr>
              <w:ind w:left="0"/>
              <w:rPr>
                <w:szCs w:val="24"/>
              </w:rPr>
            </w:pPr>
            <w:r>
              <w:rPr>
                <w:szCs w:val="24"/>
              </w:rPr>
              <w:t>11/5/Excluding Holidays (EH)</w:t>
            </w:r>
          </w:p>
        </w:tc>
      </w:tr>
      <w:tr w:rsidR="009A11AD" w:rsidRPr="00873442" w14:paraId="013E0E87" w14:textId="77777777" w:rsidTr="00B749C8">
        <w:tc>
          <w:tcPr>
            <w:tcW w:w="2073" w:type="dxa"/>
          </w:tcPr>
          <w:p w14:paraId="6A61D4BB" w14:textId="761511B0" w:rsidR="009A11AD" w:rsidRDefault="009A11AD" w:rsidP="009A11AD">
            <w:pPr>
              <w:ind w:left="0"/>
            </w:pPr>
            <w:r>
              <w:rPr>
                <w:szCs w:val="24"/>
              </w:rPr>
              <w:t>First Response</w:t>
            </w:r>
          </w:p>
        </w:tc>
        <w:tc>
          <w:tcPr>
            <w:tcW w:w="1977" w:type="dxa"/>
          </w:tcPr>
          <w:p w14:paraId="462AE951" w14:textId="215483A1" w:rsidR="009A11AD" w:rsidRDefault="009A11AD" w:rsidP="009A11AD">
            <w:pPr>
              <w:ind w:left="0"/>
              <w:rPr>
                <w:szCs w:val="24"/>
              </w:rPr>
            </w:pPr>
            <w:r w:rsidRPr="0072372A">
              <w:rPr>
                <w:szCs w:val="24"/>
              </w:rPr>
              <w:t>Less than 30 minutes after incident is discovered</w:t>
            </w:r>
            <w:r>
              <w:rPr>
                <w:szCs w:val="24"/>
              </w:rPr>
              <w:t xml:space="preserve"> by/reported to vendor</w:t>
            </w:r>
          </w:p>
        </w:tc>
        <w:tc>
          <w:tcPr>
            <w:tcW w:w="1884" w:type="dxa"/>
          </w:tcPr>
          <w:p w14:paraId="7745AB07" w14:textId="424A7741" w:rsidR="009A11AD" w:rsidRDefault="009A11AD" w:rsidP="009A11AD">
            <w:pPr>
              <w:ind w:left="0"/>
              <w:rPr>
                <w:szCs w:val="24"/>
              </w:rPr>
            </w:pPr>
            <w:r w:rsidRPr="0072372A">
              <w:rPr>
                <w:szCs w:val="24"/>
              </w:rPr>
              <w:t>Less than 2 hours after incident is discovered by/reported to vendor</w:t>
            </w:r>
          </w:p>
        </w:tc>
        <w:tc>
          <w:tcPr>
            <w:tcW w:w="2526" w:type="dxa"/>
          </w:tcPr>
          <w:p w14:paraId="46BF2D3E" w14:textId="3DCDC231" w:rsidR="009A11AD" w:rsidRDefault="009A11AD" w:rsidP="009A11AD">
            <w:pPr>
              <w:ind w:left="0"/>
              <w:rPr>
                <w:szCs w:val="24"/>
              </w:rPr>
            </w:pPr>
            <w:r w:rsidRPr="0072372A">
              <w:rPr>
                <w:szCs w:val="24"/>
              </w:rPr>
              <w:t xml:space="preserve">Less than </w:t>
            </w:r>
            <w:r>
              <w:rPr>
                <w:szCs w:val="24"/>
              </w:rPr>
              <w:t>4</w:t>
            </w:r>
            <w:r w:rsidRPr="0072372A">
              <w:rPr>
                <w:szCs w:val="24"/>
              </w:rPr>
              <w:t xml:space="preserve"> hours after incident is discovered by/reported to vendor, excluding </w:t>
            </w:r>
            <w:r>
              <w:rPr>
                <w:szCs w:val="24"/>
              </w:rPr>
              <w:t>S/S/H</w:t>
            </w:r>
          </w:p>
        </w:tc>
        <w:tc>
          <w:tcPr>
            <w:tcW w:w="2074" w:type="dxa"/>
          </w:tcPr>
          <w:p w14:paraId="2F378D8C" w14:textId="199FB9E1" w:rsidR="009A11AD" w:rsidRDefault="009A11AD" w:rsidP="009A11AD">
            <w:pPr>
              <w:ind w:left="0"/>
              <w:rPr>
                <w:szCs w:val="24"/>
              </w:rPr>
            </w:pPr>
            <w:r w:rsidRPr="0072372A">
              <w:rPr>
                <w:szCs w:val="24"/>
              </w:rPr>
              <w:t xml:space="preserve">Less than </w:t>
            </w:r>
            <w:r>
              <w:rPr>
                <w:szCs w:val="24"/>
              </w:rPr>
              <w:t>4</w:t>
            </w:r>
            <w:r w:rsidRPr="0072372A">
              <w:rPr>
                <w:szCs w:val="24"/>
              </w:rPr>
              <w:t xml:space="preserve"> hours after incident is discovered by/reported to vendor, excluding </w:t>
            </w:r>
            <w:r>
              <w:rPr>
                <w:szCs w:val="24"/>
              </w:rPr>
              <w:t>S/S/H</w:t>
            </w:r>
          </w:p>
        </w:tc>
      </w:tr>
      <w:tr w:rsidR="009A11AD" w:rsidRPr="00873442" w14:paraId="6B94DD44" w14:textId="77777777" w:rsidTr="00B749C8">
        <w:tc>
          <w:tcPr>
            <w:tcW w:w="2073" w:type="dxa"/>
          </w:tcPr>
          <w:p w14:paraId="5EBCF264" w14:textId="1FAAABAE" w:rsidR="009A11AD" w:rsidRDefault="009A11AD" w:rsidP="009A11AD">
            <w:pPr>
              <w:ind w:left="0"/>
            </w:pPr>
            <w:r>
              <w:rPr>
                <w:szCs w:val="24"/>
              </w:rPr>
              <w:lastRenderedPageBreak/>
              <w:t>Resolution Time</w:t>
            </w:r>
          </w:p>
        </w:tc>
        <w:tc>
          <w:tcPr>
            <w:tcW w:w="1977" w:type="dxa"/>
          </w:tcPr>
          <w:p w14:paraId="11ABD35A" w14:textId="7188FBDD" w:rsidR="009A11AD" w:rsidRDefault="009A11AD" w:rsidP="009A11AD">
            <w:pPr>
              <w:ind w:left="0"/>
              <w:rPr>
                <w:szCs w:val="24"/>
              </w:rPr>
            </w:pPr>
            <w:r w:rsidRPr="0072372A">
              <w:rPr>
                <w:szCs w:val="24"/>
              </w:rPr>
              <w:t xml:space="preserve">Within 4 </w:t>
            </w:r>
            <w:r>
              <w:rPr>
                <w:szCs w:val="24"/>
              </w:rPr>
              <w:t xml:space="preserve">clock </w:t>
            </w:r>
            <w:r w:rsidRPr="0072372A">
              <w:rPr>
                <w:szCs w:val="24"/>
              </w:rPr>
              <w:t>hours after first response</w:t>
            </w:r>
          </w:p>
        </w:tc>
        <w:tc>
          <w:tcPr>
            <w:tcW w:w="1884" w:type="dxa"/>
          </w:tcPr>
          <w:p w14:paraId="07D7E230" w14:textId="2F333C55" w:rsidR="009A11AD" w:rsidRDefault="009A11AD" w:rsidP="009A11AD">
            <w:pPr>
              <w:ind w:left="0"/>
              <w:rPr>
                <w:szCs w:val="24"/>
              </w:rPr>
            </w:pPr>
            <w:r w:rsidRPr="0072372A">
              <w:rPr>
                <w:szCs w:val="24"/>
              </w:rPr>
              <w:t xml:space="preserve">Within 8 </w:t>
            </w:r>
            <w:r>
              <w:rPr>
                <w:szCs w:val="24"/>
              </w:rPr>
              <w:t xml:space="preserve">clock </w:t>
            </w:r>
            <w:r w:rsidRPr="0072372A">
              <w:rPr>
                <w:szCs w:val="24"/>
              </w:rPr>
              <w:t>hours after first response</w:t>
            </w:r>
          </w:p>
        </w:tc>
        <w:tc>
          <w:tcPr>
            <w:tcW w:w="2526" w:type="dxa"/>
          </w:tcPr>
          <w:p w14:paraId="000D11A6" w14:textId="5B9E43D9" w:rsidR="009A11AD" w:rsidRDefault="009A11AD" w:rsidP="009A11AD">
            <w:pPr>
              <w:ind w:left="0"/>
              <w:rPr>
                <w:szCs w:val="24"/>
              </w:rPr>
            </w:pPr>
            <w:r w:rsidRPr="0072372A">
              <w:rPr>
                <w:szCs w:val="24"/>
              </w:rPr>
              <w:t>Within 16</w:t>
            </w:r>
            <w:r>
              <w:rPr>
                <w:szCs w:val="24"/>
              </w:rPr>
              <w:t xml:space="preserve"> business</w:t>
            </w:r>
            <w:r w:rsidRPr="0072372A">
              <w:rPr>
                <w:szCs w:val="24"/>
              </w:rPr>
              <w:t xml:space="preserve"> hours after first response</w:t>
            </w:r>
          </w:p>
        </w:tc>
        <w:tc>
          <w:tcPr>
            <w:tcW w:w="2074" w:type="dxa"/>
          </w:tcPr>
          <w:p w14:paraId="106AC85A" w14:textId="619DB3CC" w:rsidR="009A11AD" w:rsidRDefault="009A11AD" w:rsidP="009A11AD">
            <w:pPr>
              <w:ind w:left="0"/>
              <w:rPr>
                <w:szCs w:val="24"/>
              </w:rPr>
            </w:pPr>
            <w:r w:rsidRPr="0072372A">
              <w:rPr>
                <w:szCs w:val="24"/>
              </w:rPr>
              <w:t xml:space="preserve">Within </w:t>
            </w:r>
            <w:r>
              <w:rPr>
                <w:szCs w:val="24"/>
              </w:rPr>
              <w:t>24</w:t>
            </w:r>
            <w:r w:rsidRPr="0072372A">
              <w:rPr>
                <w:szCs w:val="24"/>
              </w:rPr>
              <w:t xml:space="preserve"> </w:t>
            </w:r>
            <w:r>
              <w:rPr>
                <w:szCs w:val="24"/>
              </w:rPr>
              <w:t xml:space="preserve">business </w:t>
            </w:r>
            <w:r w:rsidRPr="0072372A">
              <w:rPr>
                <w:szCs w:val="24"/>
              </w:rPr>
              <w:t>hours after first response</w:t>
            </w:r>
          </w:p>
        </w:tc>
      </w:tr>
      <w:tr w:rsidR="009A11AD" w:rsidRPr="00873442" w14:paraId="335E9408" w14:textId="77777777" w:rsidTr="00B749C8">
        <w:tc>
          <w:tcPr>
            <w:tcW w:w="2073" w:type="dxa"/>
          </w:tcPr>
          <w:p w14:paraId="4B4EDA8A" w14:textId="7A077C63" w:rsidR="009A11AD" w:rsidRDefault="009A11AD" w:rsidP="009A11AD">
            <w:pPr>
              <w:ind w:left="0"/>
            </w:pPr>
            <w:r>
              <w:rPr>
                <w:szCs w:val="24"/>
              </w:rPr>
              <w:t>Service Level Metrics</w:t>
            </w:r>
          </w:p>
        </w:tc>
        <w:tc>
          <w:tcPr>
            <w:tcW w:w="1977" w:type="dxa"/>
          </w:tcPr>
          <w:p w14:paraId="2B22CDAE" w14:textId="0C3BD5A8" w:rsidR="009A11AD" w:rsidRDefault="009A11AD" w:rsidP="009A11AD">
            <w:pPr>
              <w:ind w:left="0"/>
              <w:rPr>
                <w:szCs w:val="24"/>
              </w:rPr>
            </w:pPr>
            <w:r>
              <w:rPr>
                <w:szCs w:val="24"/>
              </w:rPr>
              <w:t>98% of tracked incidents meet resolution time</w:t>
            </w:r>
          </w:p>
        </w:tc>
        <w:tc>
          <w:tcPr>
            <w:tcW w:w="1884" w:type="dxa"/>
          </w:tcPr>
          <w:p w14:paraId="7139551D" w14:textId="6E8052E3" w:rsidR="009A11AD" w:rsidRDefault="009A11AD" w:rsidP="009A11AD">
            <w:pPr>
              <w:ind w:left="0"/>
              <w:rPr>
                <w:szCs w:val="24"/>
              </w:rPr>
            </w:pPr>
            <w:r>
              <w:rPr>
                <w:szCs w:val="24"/>
              </w:rPr>
              <w:t>97% of tracked incidents meet resolution time</w:t>
            </w:r>
          </w:p>
        </w:tc>
        <w:tc>
          <w:tcPr>
            <w:tcW w:w="2526" w:type="dxa"/>
          </w:tcPr>
          <w:p w14:paraId="3F832F9F" w14:textId="4BF8CBE5" w:rsidR="009A11AD" w:rsidRDefault="009A11AD" w:rsidP="009A11AD">
            <w:pPr>
              <w:ind w:left="0"/>
              <w:rPr>
                <w:szCs w:val="24"/>
              </w:rPr>
            </w:pPr>
            <w:r>
              <w:rPr>
                <w:szCs w:val="24"/>
              </w:rPr>
              <w:t>96% of tracked incidents meet resolution time</w:t>
            </w:r>
          </w:p>
        </w:tc>
        <w:tc>
          <w:tcPr>
            <w:tcW w:w="2074" w:type="dxa"/>
          </w:tcPr>
          <w:p w14:paraId="26C6CACB" w14:textId="22B2ECBB" w:rsidR="009A11AD" w:rsidRDefault="009A11AD" w:rsidP="009A11AD">
            <w:pPr>
              <w:ind w:left="0"/>
              <w:rPr>
                <w:szCs w:val="24"/>
              </w:rPr>
            </w:pPr>
            <w:r>
              <w:rPr>
                <w:szCs w:val="24"/>
              </w:rPr>
              <w:t>95% of tracked incidents meet resolution time</w:t>
            </w:r>
          </w:p>
        </w:tc>
      </w:tr>
      <w:tr w:rsidR="009A11AD" w:rsidRPr="00873442" w14:paraId="12C3EF24" w14:textId="77777777" w:rsidTr="00B749C8">
        <w:tc>
          <w:tcPr>
            <w:tcW w:w="2073" w:type="dxa"/>
          </w:tcPr>
          <w:p w14:paraId="1C018C30" w14:textId="453081EC" w:rsidR="009A11AD" w:rsidRDefault="009A11AD" w:rsidP="009A11AD">
            <w:pPr>
              <w:ind w:left="0"/>
            </w:pPr>
            <w:r>
              <w:rPr>
                <w:szCs w:val="24"/>
              </w:rPr>
              <w:t>Measurement</w:t>
            </w:r>
          </w:p>
        </w:tc>
        <w:tc>
          <w:tcPr>
            <w:tcW w:w="1977" w:type="dxa"/>
          </w:tcPr>
          <w:p w14:paraId="026BD573" w14:textId="70F51937" w:rsidR="009A11AD" w:rsidRDefault="009A11AD" w:rsidP="009A11AD">
            <w:pPr>
              <w:ind w:left="0"/>
              <w:rPr>
                <w:szCs w:val="24"/>
              </w:rPr>
            </w:pPr>
            <w:r>
              <w:rPr>
                <w:szCs w:val="24"/>
              </w:rPr>
              <w:t>Calendar Month</w:t>
            </w:r>
          </w:p>
        </w:tc>
        <w:tc>
          <w:tcPr>
            <w:tcW w:w="1884" w:type="dxa"/>
          </w:tcPr>
          <w:p w14:paraId="7DE83F3E" w14:textId="05D5550F" w:rsidR="009A11AD" w:rsidRDefault="009A11AD" w:rsidP="009A11AD">
            <w:pPr>
              <w:ind w:left="0"/>
              <w:rPr>
                <w:szCs w:val="24"/>
              </w:rPr>
            </w:pPr>
            <w:r>
              <w:rPr>
                <w:szCs w:val="24"/>
              </w:rPr>
              <w:t>Calendar Month</w:t>
            </w:r>
          </w:p>
        </w:tc>
        <w:tc>
          <w:tcPr>
            <w:tcW w:w="2526" w:type="dxa"/>
          </w:tcPr>
          <w:p w14:paraId="51CF1CA5" w14:textId="642CE083" w:rsidR="009A11AD" w:rsidRDefault="009A11AD" w:rsidP="009A11AD">
            <w:pPr>
              <w:ind w:left="0"/>
              <w:rPr>
                <w:szCs w:val="24"/>
              </w:rPr>
            </w:pPr>
            <w:r>
              <w:rPr>
                <w:szCs w:val="24"/>
              </w:rPr>
              <w:t>Calendar Month</w:t>
            </w:r>
          </w:p>
        </w:tc>
        <w:tc>
          <w:tcPr>
            <w:tcW w:w="2074" w:type="dxa"/>
          </w:tcPr>
          <w:p w14:paraId="118ABEBC" w14:textId="28ADE70B" w:rsidR="009A11AD" w:rsidRDefault="009A11AD" w:rsidP="009A11AD">
            <w:pPr>
              <w:ind w:left="0"/>
              <w:rPr>
                <w:szCs w:val="24"/>
              </w:rPr>
            </w:pPr>
            <w:r>
              <w:rPr>
                <w:szCs w:val="24"/>
              </w:rPr>
              <w:t>Calendar Month</w:t>
            </w:r>
          </w:p>
        </w:tc>
      </w:tr>
      <w:bookmarkEnd w:id="458"/>
    </w:tbl>
    <w:p w14:paraId="54E99448" w14:textId="0F9F35CC" w:rsidR="009A11AD" w:rsidRDefault="009A11AD" w:rsidP="00F97CC6">
      <w:pPr>
        <w:rPr>
          <w:szCs w:val="24"/>
        </w:rPr>
      </w:pPr>
    </w:p>
    <w:p w14:paraId="18D8AFDF" w14:textId="426B6712" w:rsidR="00245314" w:rsidRDefault="00245314" w:rsidP="00245314">
      <w:pPr>
        <w:rPr>
          <w:szCs w:val="24"/>
        </w:rPr>
      </w:pPr>
      <w:r>
        <w:rPr>
          <w:szCs w:val="24"/>
        </w:rPr>
        <w:t xml:space="preserve">If a service level requirement is not achieved, the Awarded Vendor will issue the listed service credit to TWC </w:t>
      </w:r>
      <w:r>
        <w:t>no later than the fifth (5</w:t>
      </w:r>
      <w:r w:rsidRPr="007512FA">
        <w:t>th</w:t>
      </w:r>
      <w:r>
        <w:t>) calendar day after the end of the month</w:t>
      </w:r>
      <w:r>
        <w:rPr>
          <w:szCs w:val="24"/>
        </w:rPr>
        <w:t>.</w:t>
      </w:r>
    </w:p>
    <w:tbl>
      <w:tblPr>
        <w:tblStyle w:val="TableGrid"/>
        <w:tblW w:w="8374" w:type="dxa"/>
        <w:tblInd w:w="715" w:type="dxa"/>
        <w:tblLayout w:type="fixed"/>
        <w:tblLook w:val="04A0" w:firstRow="1" w:lastRow="0" w:firstColumn="1" w:lastColumn="0" w:noHBand="0" w:noVBand="1"/>
        <w:tblDescription w:val="Table of monthly performance standards"/>
      </w:tblPr>
      <w:tblGrid>
        <w:gridCol w:w="3780"/>
        <w:gridCol w:w="2520"/>
        <w:gridCol w:w="2074"/>
      </w:tblGrid>
      <w:tr w:rsidR="00245314" w:rsidRPr="00873442" w14:paraId="2647412A" w14:textId="77777777" w:rsidTr="008D6940">
        <w:trPr>
          <w:tblHeader/>
        </w:trPr>
        <w:tc>
          <w:tcPr>
            <w:tcW w:w="3780" w:type="dxa"/>
            <w:shd w:val="clear" w:color="auto" w:fill="DEEAF6" w:themeFill="accent1" w:themeFillTint="33"/>
            <w:vAlign w:val="center"/>
          </w:tcPr>
          <w:p w14:paraId="4BDFBF93" w14:textId="5B1BE47B" w:rsidR="00245314" w:rsidRPr="004F202B" w:rsidRDefault="00245314" w:rsidP="008D6940">
            <w:pPr>
              <w:keepNext/>
              <w:spacing w:after="0"/>
              <w:ind w:left="0"/>
              <w:rPr>
                <w:rFonts w:cs="Arial"/>
                <w:b/>
                <w:color w:val="1F3864" w:themeColor="accent5" w:themeShade="80"/>
              </w:rPr>
            </w:pPr>
            <w:r>
              <w:rPr>
                <w:rFonts w:cs="Arial"/>
                <w:b/>
                <w:color w:val="1F3864" w:themeColor="accent5" w:themeShade="80"/>
              </w:rPr>
              <w:t>Incident Level</w:t>
            </w:r>
          </w:p>
        </w:tc>
        <w:tc>
          <w:tcPr>
            <w:tcW w:w="2520" w:type="dxa"/>
            <w:shd w:val="clear" w:color="auto" w:fill="DEEAF6" w:themeFill="accent1" w:themeFillTint="33"/>
            <w:vAlign w:val="center"/>
          </w:tcPr>
          <w:p w14:paraId="61C541C4" w14:textId="77777777" w:rsidR="00245314" w:rsidRPr="001B5E0B" w:rsidRDefault="00245314" w:rsidP="008D6940">
            <w:pPr>
              <w:keepNext/>
              <w:spacing w:after="0"/>
              <w:ind w:left="0"/>
              <w:rPr>
                <w:rFonts w:cs="Arial"/>
                <w:b/>
                <w:color w:val="1F3864" w:themeColor="accent5" w:themeShade="80"/>
              </w:rPr>
            </w:pPr>
            <w:r>
              <w:rPr>
                <w:rFonts w:cs="Arial"/>
                <w:b/>
                <w:color w:val="1F3864" w:themeColor="accent5" w:themeShade="80"/>
              </w:rPr>
              <w:t>Monthly Performance Standard</w:t>
            </w:r>
          </w:p>
        </w:tc>
        <w:tc>
          <w:tcPr>
            <w:tcW w:w="2074" w:type="dxa"/>
            <w:shd w:val="clear" w:color="auto" w:fill="DEEAF6" w:themeFill="accent1" w:themeFillTint="33"/>
            <w:vAlign w:val="center"/>
          </w:tcPr>
          <w:p w14:paraId="6778F476" w14:textId="77777777" w:rsidR="00245314" w:rsidRPr="001B5E0B" w:rsidRDefault="00245314" w:rsidP="008D6940">
            <w:pPr>
              <w:keepNext/>
              <w:spacing w:after="0"/>
              <w:ind w:left="0"/>
              <w:rPr>
                <w:rFonts w:cs="Arial"/>
                <w:b/>
                <w:color w:val="1F3864" w:themeColor="accent5" w:themeShade="80"/>
              </w:rPr>
            </w:pPr>
            <w:r>
              <w:rPr>
                <w:rFonts w:cs="Arial"/>
                <w:b/>
                <w:color w:val="1F3864" w:themeColor="accent5" w:themeShade="80"/>
              </w:rPr>
              <w:t>Service Credit</w:t>
            </w:r>
          </w:p>
        </w:tc>
      </w:tr>
      <w:tr w:rsidR="00245314" w:rsidRPr="00873442" w14:paraId="7E124D46" w14:textId="77777777" w:rsidTr="008D6940">
        <w:tc>
          <w:tcPr>
            <w:tcW w:w="3780" w:type="dxa"/>
          </w:tcPr>
          <w:p w14:paraId="169BAA1F" w14:textId="27DAC099" w:rsidR="00245314" w:rsidRDefault="00245314" w:rsidP="00245314">
            <w:pPr>
              <w:ind w:left="0"/>
            </w:pPr>
            <w:r>
              <w:t>Level 1</w:t>
            </w:r>
          </w:p>
        </w:tc>
        <w:tc>
          <w:tcPr>
            <w:tcW w:w="2520" w:type="dxa"/>
          </w:tcPr>
          <w:p w14:paraId="6CDA3423" w14:textId="1BD07CB5" w:rsidR="00245314" w:rsidRPr="00245314" w:rsidRDefault="00245314" w:rsidP="00245314">
            <w:pPr>
              <w:ind w:left="0"/>
              <w:rPr>
                <w:szCs w:val="24"/>
              </w:rPr>
            </w:pPr>
            <w:r>
              <w:rPr>
                <w:szCs w:val="24"/>
              </w:rPr>
              <w:t>4-8 hours</w:t>
            </w:r>
            <w:r>
              <w:rPr>
                <w:szCs w:val="24"/>
              </w:rPr>
              <w:br/>
              <w:t>9-16 hours</w:t>
            </w:r>
            <w:r>
              <w:rPr>
                <w:szCs w:val="24"/>
              </w:rPr>
              <w:br/>
              <w:t>17+ hours</w:t>
            </w:r>
          </w:p>
        </w:tc>
        <w:tc>
          <w:tcPr>
            <w:tcW w:w="2074" w:type="dxa"/>
          </w:tcPr>
          <w:p w14:paraId="0A0F0A7F" w14:textId="04E97C97" w:rsidR="00245314" w:rsidRDefault="00245314" w:rsidP="00245314">
            <w:pPr>
              <w:ind w:left="0"/>
            </w:pPr>
            <w:r>
              <w:rPr>
                <w:szCs w:val="24"/>
              </w:rPr>
              <w:t>1 day</w:t>
            </w:r>
            <w:r>
              <w:rPr>
                <w:szCs w:val="24"/>
              </w:rPr>
              <w:br/>
              <w:t>7 days</w:t>
            </w:r>
            <w:r>
              <w:rPr>
                <w:szCs w:val="24"/>
              </w:rPr>
              <w:br/>
              <w:t>30 days</w:t>
            </w:r>
          </w:p>
        </w:tc>
      </w:tr>
      <w:tr w:rsidR="00500691" w:rsidRPr="00873442" w14:paraId="6A33DB42" w14:textId="77777777" w:rsidTr="008D6940">
        <w:tc>
          <w:tcPr>
            <w:tcW w:w="3780" w:type="dxa"/>
          </w:tcPr>
          <w:p w14:paraId="26D7C4C2" w14:textId="319BA455" w:rsidR="00500691" w:rsidRDefault="00500691" w:rsidP="00500691">
            <w:pPr>
              <w:ind w:left="0"/>
            </w:pPr>
            <w:r>
              <w:t>Level 2</w:t>
            </w:r>
          </w:p>
        </w:tc>
        <w:tc>
          <w:tcPr>
            <w:tcW w:w="2520" w:type="dxa"/>
          </w:tcPr>
          <w:p w14:paraId="3EA412C1" w14:textId="48EEB8D4" w:rsidR="00500691" w:rsidRDefault="00500691" w:rsidP="00500691">
            <w:pPr>
              <w:ind w:left="0"/>
              <w:rPr>
                <w:szCs w:val="24"/>
              </w:rPr>
            </w:pPr>
            <w:r>
              <w:rPr>
                <w:szCs w:val="24"/>
              </w:rPr>
              <w:t>8-12 hours</w:t>
            </w:r>
            <w:r>
              <w:rPr>
                <w:szCs w:val="24"/>
              </w:rPr>
              <w:br/>
              <w:t>13-18 hours</w:t>
            </w:r>
            <w:r>
              <w:rPr>
                <w:szCs w:val="24"/>
              </w:rPr>
              <w:br/>
              <w:t>19+ hours</w:t>
            </w:r>
          </w:p>
        </w:tc>
        <w:tc>
          <w:tcPr>
            <w:tcW w:w="2074" w:type="dxa"/>
          </w:tcPr>
          <w:p w14:paraId="37704C82" w14:textId="683EDED3" w:rsidR="00500691" w:rsidRDefault="00500691" w:rsidP="00500691">
            <w:pPr>
              <w:ind w:left="0"/>
              <w:rPr>
                <w:szCs w:val="24"/>
              </w:rPr>
            </w:pPr>
            <w:r>
              <w:rPr>
                <w:szCs w:val="24"/>
              </w:rPr>
              <w:t>1 day</w:t>
            </w:r>
            <w:r>
              <w:rPr>
                <w:szCs w:val="24"/>
              </w:rPr>
              <w:br/>
              <w:t>7 days</w:t>
            </w:r>
            <w:r>
              <w:rPr>
                <w:szCs w:val="24"/>
              </w:rPr>
              <w:br/>
              <w:t>30 days</w:t>
            </w:r>
          </w:p>
        </w:tc>
      </w:tr>
    </w:tbl>
    <w:p w14:paraId="69DF93FF" w14:textId="05EAF1EE" w:rsidR="00245314" w:rsidRDefault="00E246AD" w:rsidP="00F97CC6">
      <w:pPr>
        <w:rPr>
          <w:szCs w:val="24"/>
        </w:rPr>
      </w:pPr>
      <w:r w:rsidRPr="00794D5A">
        <w:t xml:space="preserve">In the event of repeated violations of a single SLA measure, or multiple failures across SLA measures, </w:t>
      </w:r>
      <w:r w:rsidR="00A4740F">
        <w:t>TWC</w:t>
      </w:r>
      <w:r w:rsidRPr="00794D5A">
        <w:t xml:space="preserve"> reserves the right to renegotiate SLA measures</w:t>
      </w:r>
      <w:r>
        <w:t xml:space="preserve">. Repeated violations may be grounds for </w:t>
      </w:r>
      <w:r w:rsidR="00A4740F" w:rsidRPr="00111D27">
        <w:rPr>
          <w:szCs w:val="24"/>
        </w:rPr>
        <w:t>termination of th</w:t>
      </w:r>
      <w:r w:rsidR="00A4740F">
        <w:rPr>
          <w:szCs w:val="24"/>
        </w:rPr>
        <w:t>e</w:t>
      </w:r>
      <w:r w:rsidR="00A4740F" w:rsidRPr="00111D27">
        <w:rPr>
          <w:szCs w:val="24"/>
        </w:rPr>
        <w:t xml:space="preserve"> </w:t>
      </w:r>
      <w:r w:rsidR="00A4740F">
        <w:rPr>
          <w:szCs w:val="24"/>
        </w:rPr>
        <w:t>C</w:t>
      </w:r>
      <w:r w:rsidR="00A4740F" w:rsidRPr="00111D27">
        <w:rPr>
          <w:szCs w:val="24"/>
        </w:rPr>
        <w:t>ontract</w:t>
      </w:r>
      <w:r w:rsidR="00500691">
        <w:rPr>
          <w:szCs w:val="24"/>
        </w:rPr>
        <w:t>.</w:t>
      </w:r>
    </w:p>
    <w:p w14:paraId="5364A27D" w14:textId="1F2D5EC9" w:rsidR="00B96AB2" w:rsidRDefault="00B96AB2" w:rsidP="00B96AB2">
      <w:pPr>
        <w:pStyle w:val="Heading4"/>
      </w:pPr>
      <w:r>
        <w:t>System Defect Resolution</w:t>
      </w:r>
    </w:p>
    <w:p w14:paraId="776683C9" w14:textId="77777777" w:rsidR="00B96AB2" w:rsidRDefault="00B96AB2" w:rsidP="00B96AB2">
      <w:pPr>
        <w:rPr>
          <w:szCs w:val="24"/>
        </w:rPr>
      </w:pPr>
      <w:r>
        <w:rPr>
          <w:szCs w:val="24"/>
        </w:rPr>
        <w:t>The Awarded Vendor must also resolve reported defects based on minimum service levels. The following Service Level Agreement will be enforced with respect to system defect resolution:</w:t>
      </w:r>
    </w:p>
    <w:tbl>
      <w:tblPr>
        <w:tblStyle w:val="TableGrid"/>
        <w:tblW w:w="10530" w:type="dxa"/>
        <w:tblInd w:w="175" w:type="dxa"/>
        <w:tblLayout w:type="fixed"/>
        <w:tblLook w:val="04A0" w:firstRow="1" w:lastRow="0" w:firstColumn="1" w:lastColumn="0" w:noHBand="0" w:noVBand="1"/>
        <w:tblDescription w:val="Table of Service Level Requirements"/>
      </w:tblPr>
      <w:tblGrid>
        <w:gridCol w:w="2106"/>
        <w:gridCol w:w="2106"/>
        <w:gridCol w:w="2106"/>
        <w:gridCol w:w="2106"/>
        <w:gridCol w:w="2106"/>
      </w:tblGrid>
      <w:tr w:rsidR="00B96AB2" w14:paraId="3A68849C" w14:textId="77777777" w:rsidTr="00B96AB2">
        <w:trPr>
          <w:tblHeader/>
        </w:trPr>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vAlign w:val="center"/>
            <w:hideMark/>
          </w:tcPr>
          <w:p w14:paraId="32DA9B06" w14:textId="77777777" w:rsidR="00B96AB2" w:rsidRDefault="00B96AB2">
            <w:pPr>
              <w:keepNext/>
              <w:spacing w:before="120"/>
              <w:ind w:left="0"/>
              <w:rPr>
                <w:rFonts w:cs="Arial"/>
                <w:b/>
                <w:color w:val="1F3864" w:themeColor="accent5" w:themeShade="80"/>
                <w:sz w:val="22"/>
              </w:rPr>
            </w:pPr>
            <w:r>
              <w:rPr>
                <w:rFonts w:cs="Arial"/>
                <w:b/>
                <w:color w:val="1F3864" w:themeColor="accent5" w:themeShade="80"/>
                <w:sz w:val="22"/>
              </w:rPr>
              <w:t>Defect Level</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vAlign w:val="center"/>
            <w:hideMark/>
          </w:tcPr>
          <w:p w14:paraId="077A0954" w14:textId="77777777" w:rsidR="00B96AB2" w:rsidRDefault="00B96AB2">
            <w:pPr>
              <w:keepNext/>
              <w:spacing w:before="120"/>
              <w:ind w:left="0"/>
              <w:rPr>
                <w:rFonts w:cs="Arial"/>
                <w:b/>
                <w:color w:val="1F3864" w:themeColor="accent5" w:themeShade="80"/>
                <w:sz w:val="22"/>
              </w:rPr>
            </w:pPr>
            <w:r>
              <w:rPr>
                <w:rFonts w:cs="Arial"/>
                <w:b/>
                <w:color w:val="1F3864" w:themeColor="accent5" w:themeShade="80"/>
                <w:sz w:val="22"/>
              </w:rPr>
              <w:t>Critical</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vAlign w:val="center"/>
            <w:hideMark/>
          </w:tcPr>
          <w:p w14:paraId="6FC48E50" w14:textId="77777777" w:rsidR="00B96AB2" w:rsidRDefault="00B96AB2">
            <w:pPr>
              <w:keepNext/>
              <w:spacing w:before="120"/>
              <w:ind w:left="0"/>
              <w:rPr>
                <w:rFonts w:cs="Arial"/>
                <w:b/>
                <w:color w:val="1F3864" w:themeColor="accent5" w:themeShade="80"/>
                <w:sz w:val="22"/>
              </w:rPr>
            </w:pPr>
            <w:r>
              <w:rPr>
                <w:rFonts w:cs="Arial"/>
                <w:b/>
                <w:color w:val="1F3864" w:themeColor="accent5" w:themeShade="80"/>
                <w:sz w:val="22"/>
              </w:rPr>
              <w:t>High</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vAlign w:val="center"/>
            <w:hideMark/>
          </w:tcPr>
          <w:p w14:paraId="6294991C" w14:textId="77777777" w:rsidR="00B96AB2" w:rsidRDefault="00B96AB2">
            <w:pPr>
              <w:keepNext/>
              <w:spacing w:before="120"/>
              <w:ind w:left="0"/>
              <w:rPr>
                <w:rFonts w:cs="Arial"/>
                <w:b/>
                <w:color w:val="1F3864" w:themeColor="accent5" w:themeShade="80"/>
                <w:sz w:val="22"/>
              </w:rPr>
            </w:pPr>
            <w:r>
              <w:rPr>
                <w:rFonts w:cs="Arial"/>
                <w:b/>
                <w:color w:val="1F3864" w:themeColor="accent5" w:themeShade="80"/>
                <w:sz w:val="22"/>
              </w:rPr>
              <w:t>Medium</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vAlign w:val="center"/>
            <w:hideMark/>
          </w:tcPr>
          <w:p w14:paraId="79C29F5C" w14:textId="77777777" w:rsidR="00B96AB2" w:rsidRDefault="00B96AB2">
            <w:pPr>
              <w:keepNext/>
              <w:spacing w:before="120"/>
              <w:ind w:left="0"/>
              <w:rPr>
                <w:rFonts w:cs="Arial"/>
                <w:b/>
                <w:color w:val="1F3864" w:themeColor="accent5" w:themeShade="80"/>
                <w:sz w:val="22"/>
              </w:rPr>
            </w:pPr>
            <w:r>
              <w:rPr>
                <w:rFonts w:cs="Arial"/>
                <w:b/>
                <w:color w:val="1F3864" w:themeColor="accent5" w:themeShade="80"/>
                <w:sz w:val="22"/>
              </w:rPr>
              <w:t>Low</w:t>
            </w:r>
          </w:p>
        </w:tc>
      </w:tr>
      <w:tr w:rsidR="00B96AB2" w14:paraId="785EAFA0" w14:textId="77777777" w:rsidTr="00B96AB2">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B415A2" w14:textId="77777777" w:rsidR="00B96AB2" w:rsidRDefault="00B96AB2">
            <w:pPr>
              <w:ind w:left="0"/>
              <w:rPr>
                <w:sz w:val="22"/>
              </w:rPr>
            </w:pPr>
            <w:r>
              <w:rPr>
                <w:sz w:val="22"/>
              </w:rPr>
              <w:t xml:space="preserve">Impact of an incident </w:t>
            </w:r>
            <w:r>
              <w:rPr>
                <w:sz w:val="22"/>
              </w:rPr>
              <w:lastRenderedPageBreak/>
              <w:t>resulting from a defective system feature, function, or module</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AED432" w14:textId="54B36F61" w:rsidR="00B96AB2" w:rsidRDefault="00B96AB2">
            <w:pPr>
              <w:spacing w:after="200"/>
              <w:ind w:left="0"/>
              <w:rPr>
                <w:sz w:val="22"/>
                <w:szCs w:val="24"/>
              </w:rPr>
            </w:pPr>
            <w:r>
              <w:rPr>
                <w:sz w:val="22"/>
                <w:szCs w:val="24"/>
              </w:rPr>
              <w:lastRenderedPageBreak/>
              <w:t>Inc</w:t>
            </w:r>
            <w:r w:rsidR="001B38E0">
              <w:rPr>
                <w:sz w:val="22"/>
                <w:szCs w:val="24"/>
              </w:rPr>
              <w:t xml:space="preserve">ident/Defect renders a </w:t>
            </w:r>
            <w:r w:rsidR="001B38E0">
              <w:rPr>
                <w:sz w:val="22"/>
                <w:szCs w:val="24"/>
              </w:rPr>
              <w:lastRenderedPageBreak/>
              <w:t>business-</w:t>
            </w:r>
            <w:r>
              <w:rPr>
                <w:sz w:val="22"/>
                <w:szCs w:val="24"/>
              </w:rPr>
              <w:t>critical System, Service, Software, Equipment or network component unavailable, substantially un-available or seriously impacts normal business operations, in each case prohibiting the execution of productive work.</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0F7508" w14:textId="559188D3" w:rsidR="00B96AB2" w:rsidRDefault="00B96AB2">
            <w:pPr>
              <w:spacing w:after="200"/>
              <w:ind w:left="0"/>
              <w:rPr>
                <w:sz w:val="22"/>
                <w:szCs w:val="24"/>
              </w:rPr>
            </w:pPr>
            <w:r>
              <w:rPr>
                <w:sz w:val="22"/>
                <w:szCs w:val="24"/>
              </w:rPr>
              <w:lastRenderedPageBreak/>
              <w:t>Incident/De</w:t>
            </w:r>
            <w:r w:rsidR="001B38E0">
              <w:rPr>
                <w:sz w:val="22"/>
                <w:szCs w:val="24"/>
              </w:rPr>
              <w:t xml:space="preserve">fect does not render </w:t>
            </w:r>
            <w:r w:rsidR="001B38E0">
              <w:rPr>
                <w:sz w:val="22"/>
                <w:szCs w:val="24"/>
              </w:rPr>
              <w:lastRenderedPageBreak/>
              <w:t>a business-</w:t>
            </w:r>
            <w:r>
              <w:rPr>
                <w:sz w:val="22"/>
                <w:szCs w:val="24"/>
              </w:rPr>
              <w:t xml:space="preserve">critical System, Service, Software, Equipment or network component un-available or substantially un-Available, but a function or functions are not Available, substantially available or functioning as they should, in each case prohibiting the execution of productive work. </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0978D6" w14:textId="77777777" w:rsidR="00B96AB2" w:rsidRDefault="00B96AB2">
            <w:pPr>
              <w:spacing w:after="200"/>
              <w:ind w:left="0"/>
              <w:rPr>
                <w:sz w:val="22"/>
                <w:szCs w:val="24"/>
              </w:rPr>
            </w:pPr>
            <w:r>
              <w:rPr>
                <w:sz w:val="22"/>
                <w:szCs w:val="24"/>
              </w:rPr>
              <w:lastRenderedPageBreak/>
              <w:t xml:space="preserve">Incident/Defect limits ability of </w:t>
            </w:r>
            <w:r>
              <w:rPr>
                <w:sz w:val="22"/>
                <w:szCs w:val="24"/>
              </w:rPr>
              <w:lastRenderedPageBreak/>
              <w:t>multiple users to effectively use a System, Service, Software, Equipment or network component or a key feature thereof, but does not prohibit the execution of productive work.</w:t>
            </w:r>
          </w:p>
          <w:p w14:paraId="296DAE24" w14:textId="77777777" w:rsidR="00B96AB2" w:rsidRDefault="00B96AB2">
            <w:pPr>
              <w:spacing w:after="200"/>
              <w:ind w:left="0"/>
              <w:rPr>
                <w:sz w:val="22"/>
                <w:szCs w:val="24"/>
              </w:rPr>
            </w:pP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BE736A" w14:textId="77777777" w:rsidR="00B96AB2" w:rsidRDefault="00B96AB2">
            <w:pPr>
              <w:spacing w:after="200"/>
              <w:ind w:left="0"/>
              <w:rPr>
                <w:sz w:val="22"/>
                <w:szCs w:val="24"/>
              </w:rPr>
            </w:pPr>
            <w:r>
              <w:rPr>
                <w:sz w:val="22"/>
                <w:szCs w:val="24"/>
              </w:rPr>
              <w:lastRenderedPageBreak/>
              <w:t xml:space="preserve">Incident/Defect does not limit </w:t>
            </w:r>
            <w:r>
              <w:rPr>
                <w:sz w:val="22"/>
                <w:szCs w:val="24"/>
              </w:rPr>
              <w:lastRenderedPageBreak/>
              <w:t xml:space="preserve">access to any part of the system and does not impact users in a meaningful way. Users are still able to productive work. </w:t>
            </w:r>
          </w:p>
        </w:tc>
      </w:tr>
      <w:tr w:rsidR="00B96AB2" w14:paraId="79E7D80D" w14:textId="77777777" w:rsidTr="00B96AB2">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8492B8" w14:textId="77777777" w:rsidR="00B96AB2" w:rsidRDefault="00B96AB2">
            <w:pPr>
              <w:ind w:left="0"/>
              <w:rPr>
                <w:sz w:val="22"/>
              </w:rPr>
            </w:pPr>
            <w:r>
              <w:rPr>
                <w:sz w:val="22"/>
                <w:szCs w:val="24"/>
              </w:rPr>
              <w:lastRenderedPageBreak/>
              <w:t>Work Around</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FD97F3" w14:textId="77777777" w:rsidR="00B96AB2" w:rsidRDefault="00B96AB2">
            <w:pPr>
              <w:ind w:left="0"/>
              <w:rPr>
                <w:sz w:val="22"/>
                <w:szCs w:val="24"/>
              </w:rPr>
            </w:pPr>
            <w:r>
              <w:rPr>
                <w:sz w:val="22"/>
                <w:szCs w:val="24"/>
              </w:rPr>
              <w:t>None</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BB2FD3" w14:textId="73A34BD7" w:rsidR="00B96AB2" w:rsidRDefault="00A331EC">
            <w:pPr>
              <w:ind w:left="0"/>
              <w:rPr>
                <w:sz w:val="22"/>
                <w:szCs w:val="24"/>
              </w:rPr>
            </w:pPr>
            <w:r>
              <w:rPr>
                <w:sz w:val="22"/>
                <w:szCs w:val="24"/>
              </w:rPr>
              <w:t>None</w:t>
            </w:r>
            <w:r w:rsidR="00B96AB2">
              <w:rPr>
                <w:sz w:val="22"/>
                <w:szCs w:val="24"/>
              </w:rPr>
              <w:t xml:space="preserve"> or is burdensome </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2696E2" w14:textId="77777777" w:rsidR="00B96AB2" w:rsidRDefault="00B96AB2">
            <w:pPr>
              <w:ind w:left="0"/>
              <w:rPr>
                <w:sz w:val="22"/>
                <w:szCs w:val="24"/>
              </w:rPr>
            </w:pPr>
            <w:r>
              <w:rPr>
                <w:sz w:val="22"/>
                <w:szCs w:val="24"/>
              </w:rPr>
              <w:t xml:space="preserve">Reasonable for short term </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771EDD" w14:textId="7FADD970" w:rsidR="00B96AB2" w:rsidRDefault="00A331EC">
            <w:pPr>
              <w:ind w:left="0"/>
              <w:rPr>
                <w:sz w:val="22"/>
                <w:szCs w:val="24"/>
              </w:rPr>
            </w:pPr>
            <w:r>
              <w:rPr>
                <w:sz w:val="22"/>
                <w:szCs w:val="24"/>
              </w:rPr>
              <w:t>None r</w:t>
            </w:r>
            <w:r w:rsidR="00B96AB2">
              <w:rPr>
                <w:sz w:val="22"/>
                <w:szCs w:val="24"/>
              </w:rPr>
              <w:t>equired</w:t>
            </w:r>
          </w:p>
        </w:tc>
      </w:tr>
      <w:tr w:rsidR="00B96AB2" w14:paraId="73A1C43A" w14:textId="77777777" w:rsidTr="00B96AB2">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586DC6" w14:textId="77777777" w:rsidR="00B96AB2" w:rsidRDefault="00B96AB2">
            <w:pPr>
              <w:ind w:left="0"/>
              <w:rPr>
                <w:sz w:val="22"/>
              </w:rPr>
            </w:pPr>
            <w:r>
              <w:rPr>
                <w:sz w:val="22"/>
                <w:szCs w:val="24"/>
              </w:rPr>
              <w:t>Percent of Users or UI Cases Affected</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7812EE" w14:textId="77777777" w:rsidR="00B96AB2" w:rsidRDefault="00B96AB2">
            <w:pPr>
              <w:ind w:left="0"/>
              <w:rPr>
                <w:sz w:val="22"/>
                <w:szCs w:val="24"/>
              </w:rPr>
            </w:pPr>
            <w:r>
              <w:rPr>
                <w:sz w:val="22"/>
                <w:szCs w:val="24"/>
              </w:rPr>
              <w:t>26 – 100% of Users or Cases</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7B11AB" w14:textId="77777777" w:rsidR="00B96AB2" w:rsidRDefault="00B96AB2">
            <w:pPr>
              <w:ind w:left="0"/>
              <w:rPr>
                <w:sz w:val="22"/>
                <w:szCs w:val="24"/>
              </w:rPr>
            </w:pPr>
            <w:r>
              <w:rPr>
                <w:sz w:val="22"/>
                <w:szCs w:val="24"/>
              </w:rPr>
              <w:t>10 – 25% of Users or Cases, or a disruption of benefits for a single individual</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61CBD4" w14:textId="77777777" w:rsidR="00B96AB2" w:rsidRDefault="00B96AB2">
            <w:pPr>
              <w:ind w:left="0"/>
              <w:rPr>
                <w:sz w:val="22"/>
                <w:szCs w:val="24"/>
              </w:rPr>
            </w:pPr>
            <w:r>
              <w:rPr>
                <w:sz w:val="22"/>
                <w:szCs w:val="24"/>
              </w:rPr>
              <w:t>0 – 9% of Users</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D53D69" w14:textId="01F58166" w:rsidR="00B96AB2" w:rsidRDefault="00A331EC">
            <w:pPr>
              <w:ind w:left="0"/>
              <w:rPr>
                <w:sz w:val="22"/>
                <w:szCs w:val="24"/>
              </w:rPr>
            </w:pPr>
            <w:r>
              <w:rPr>
                <w:sz w:val="22"/>
                <w:szCs w:val="24"/>
              </w:rPr>
              <w:t>Not applicable</w:t>
            </w:r>
          </w:p>
        </w:tc>
      </w:tr>
      <w:tr w:rsidR="00B96AB2" w14:paraId="1263F9AC" w14:textId="77777777" w:rsidTr="00B96AB2">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F1D22B" w14:textId="77777777" w:rsidR="00B96AB2" w:rsidRDefault="00B96AB2">
            <w:pPr>
              <w:ind w:left="0"/>
              <w:rPr>
                <w:sz w:val="22"/>
              </w:rPr>
            </w:pPr>
            <w:r>
              <w:rPr>
                <w:sz w:val="22"/>
                <w:szCs w:val="24"/>
              </w:rPr>
              <w:t>Business, Financial, Legal Exposure</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188115" w14:textId="77777777" w:rsidR="00B96AB2" w:rsidRDefault="00B96AB2">
            <w:pPr>
              <w:ind w:left="0"/>
              <w:rPr>
                <w:sz w:val="22"/>
                <w:szCs w:val="24"/>
              </w:rPr>
            </w:pPr>
            <w:r>
              <w:rPr>
                <w:sz w:val="22"/>
                <w:szCs w:val="24"/>
              </w:rPr>
              <w:t>Severe</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1CC4B8" w14:textId="77777777" w:rsidR="00B96AB2" w:rsidRDefault="00B96AB2">
            <w:pPr>
              <w:ind w:left="0"/>
              <w:rPr>
                <w:sz w:val="22"/>
                <w:szCs w:val="24"/>
              </w:rPr>
            </w:pPr>
            <w:r>
              <w:rPr>
                <w:sz w:val="22"/>
                <w:szCs w:val="24"/>
              </w:rPr>
              <w:t>Serious</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B38242" w14:textId="77777777" w:rsidR="00B96AB2" w:rsidRDefault="00B96AB2">
            <w:pPr>
              <w:ind w:left="0"/>
              <w:rPr>
                <w:sz w:val="22"/>
                <w:szCs w:val="24"/>
              </w:rPr>
            </w:pPr>
            <w:r>
              <w:rPr>
                <w:sz w:val="22"/>
                <w:szCs w:val="24"/>
              </w:rPr>
              <w:t>Moderate</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991FC1" w14:textId="77777777" w:rsidR="00B96AB2" w:rsidRDefault="00B96AB2">
            <w:pPr>
              <w:ind w:left="0"/>
              <w:rPr>
                <w:sz w:val="22"/>
                <w:szCs w:val="24"/>
              </w:rPr>
            </w:pPr>
            <w:r>
              <w:rPr>
                <w:sz w:val="22"/>
                <w:szCs w:val="24"/>
              </w:rPr>
              <w:t>Low</w:t>
            </w:r>
          </w:p>
        </w:tc>
      </w:tr>
      <w:tr w:rsidR="00B96AB2" w14:paraId="41190891" w14:textId="77777777" w:rsidTr="00B96AB2">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6DE4B2" w14:textId="77777777" w:rsidR="00B96AB2" w:rsidRDefault="00B96AB2">
            <w:pPr>
              <w:ind w:left="0"/>
              <w:rPr>
                <w:sz w:val="22"/>
              </w:rPr>
            </w:pPr>
            <w:r>
              <w:rPr>
                <w:sz w:val="22"/>
                <w:szCs w:val="24"/>
              </w:rPr>
              <w:t>Resolution Time</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EB56C2" w14:textId="77777777" w:rsidR="00B96AB2" w:rsidRDefault="00B96AB2">
            <w:pPr>
              <w:ind w:left="0"/>
              <w:rPr>
                <w:sz w:val="22"/>
                <w:szCs w:val="24"/>
              </w:rPr>
            </w:pPr>
            <w:r>
              <w:rPr>
                <w:sz w:val="22"/>
                <w:szCs w:val="24"/>
              </w:rPr>
              <w:t>Within 24 Hours</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6C1F01" w14:textId="77777777" w:rsidR="00B96AB2" w:rsidRDefault="00B96AB2">
            <w:pPr>
              <w:ind w:left="0"/>
              <w:rPr>
                <w:sz w:val="22"/>
                <w:szCs w:val="24"/>
              </w:rPr>
            </w:pPr>
            <w:r>
              <w:rPr>
                <w:sz w:val="22"/>
                <w:szCs w:val="24"/>
              </w:rPr>
              <w:t>Within 5 business days</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EE2AA1" w14:textId="77777777" w:rsidR="00B96AB2" w:rsidRDefault="00B96AB2">
            <w:pPr>
              <w:ind w:left="0"/>
              <w:rPr>
                <w:sz w:val="22"/>
                <w:szCs w:val="24"/>
              </w:rPr>
            </w:pPr>
            <w:r>
              <w:rPr>
                <w:sz w:val="22"/>
                <w:szCs w:val="24"/>
              </w:rPr>
              <w:t>Based on prioritization process</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E61DFC" w14:textId="77777777" w:rsidR="00B96AB2" w:rsidRDefault="00B96AB2">
            <w:pPr>
              <w:ind w:left="0"/>
              <w:rPr>
                <w:sz w:val="22"/>
                <w:szCs w:val="24"/>
              </w:rPr>
            </w:pPr>
            <w:r>
              <w:rPr>
                <w:sz w:val="22"/>
                <w:szCs w:val="24"/>
              </w:rPr>
              <w:t>Based on prioritization process</w:t>
            </w:r>
          </w:p>
        </w:tc>
      </w:tr>
      <w:tr w:rsidR="00B96AB2" w14:paraId="74F0CAA4" w14:textId="77777777" w:rsidTr="00B96AB2">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6A691B" w14:textId="77777777" w:rsidR="00B96AB2" w:rsidRDefault="00B96AB2">
            <w:pPr>
              <w:ind w:left="0"/>
              <w:rPr>
                <w:sz w:val="22"/>
              </w:rPr>
            </w:pPr>
            <w:r>
              <w:rPr>
                <w:sz w:val="22"/>
                <w:szCs w:val="24"/>
              </w:rPr>
              <w:t>Service Level Metrics</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4F271F" w14:textId="77777777" w:rsidR="00B96AB2" w:rsidRDefault="00B96AB2">
            <w:pPr>
              <w:ind w:left="0"/>
              <w:rPr>
                <w:sz w:val="22"/>
                <w:szCs w:val="24"/>
              </w:rPr>
            </w:pPr>
            <w:r>
              <w:rPr>
                <w:sz w:val="22"/>
                <w:szCs w:val="24"/>
              </w:rPr>
              <w:t>98% of tracked incidents meet resolution time</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9CA2E8" w14:textId="77777777" w:rsidR="00B96AB2" w:rsidRDefault="00B96AB2">
            <w:pPr>
              <w:ind w:left="0"/>
              <w:rPr>
                <w:sz w:val="22"/>
                <w:szCs w:val="24"/>
              </w:rPr>
            </w:pPr>
            <w:r>
              <w:rPr>
                <w:sz w:val="22"/>
                <w:szCs w:val="24"/>
              </w:rPr>
              <w:t>97% of tracked incidents meet resolution time</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228588" w14:textId="77777777" w:rsidR="00B96AB2" w:rsidRDefault="00B96AB2">
            <w:pPr>
              <w:ind w:left="0"/>
              <w:rPr>
                <w:sz w:val="22"/>
                <w:szCs w:val="24"/>
              </w:rPr>
            </w:pPr>
            <w:r>
              <w:rPr>
                <w:sz w:val="22"/>
                <w:szCs w:val="24"/>
              </w:rPr>
              <w:t>96% of tracked incidents meet resolution time</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6997C9" w14:textId="77777777" w:rsidR="00B96AB2" w:rsidRDefault="00B96AB2">
            <w:pPr>
              <w:ind w:left="0"/>
              <w:rPr>
                <w:sz w:val="22"/>
                <w:szCs w:val="24"/>
              </w:rPr>
            </w:pPr>
            <w:r>
              <w:rPr>
                <w:sz w:val="22"/>
                <w:szCs w:val="24"/>
              </w:rPr>
              <w:t>95% of tracked incidents meet resolution time</w:t>
            </w:r>
          </w:p>
        </w:tc>
      </w:tr>
      <w:tr w:rsidR="00B96AB2" w14:paraId="086EFD1B" w14:textId="77777777" w:rsidTr="00B96AB2">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9AE080" w14:textId="77777777" w:rsidR="00B96AB2" w:rsidRDefault="00B96AB2">
            <w:pPr>
              <w:ind w:left="0"/>
              <w:rPr>
                <w:sz w:val="22"/>
              </w:rPr>
            </w:pPr>
            <w:r>
              <w:rPr>
                <w:sz w:val="22"/>
                <w:szCs w:val="24"/>
              </w:rPr>
              <w:t>Measurement</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A37021" w14:textId="77777777" w:rsidR="00B96AB2" w:rsidRDefault="00B96AB2">
            <w:pPr>
              <w:ind w:left="0"/>
              <w:rPr>
                <w:sz w:val="22"/>
                <w:szCs w:val="24"/>
              </w:rPr>
            </w:pPr>
            <w:r>
              <w:rPr>
                <w:sz w:val="22"/>
                <w:szCs w:val="24"/>
              </w:rPr>
              <w:t>Calendar Month</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1195D4" w14:textId="77777777" w:rsidR="00B96AB2" w:rsidRDefault="00B96AB2">
            <w:pPr>
              <w:ind w:left="0"/>
              <w:rPr>
                <w:sz w:val="22"/>
                <w:szCs w:val="24"/>
              </w:rPr>
            </w:pPr>
            <w:r>
              <w:rPr>
                <w:sz w:val="22"/>
                <w:szCs w:val="24"/>
              </w:rPr>
              <w:t>Calendar Month</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ADB8D0" w14:textId="77777777" w:rsidR="00B96AB2" w:rsidRDefault="00B96AB2">
            <w:pPr>
              <w:ind w:left="0"/>
              <w:rPr>
                <w:sz w:val="22"/>
                <w:szCs w:val="24"/>
              </w:rPr>
            </w:pPr>
            <w:r>
              <w:rPr>
                <w:sz w:val="22"/>
                <w:szCs w:val="24"/>
              </w:rPr>
              <w:t>Calendar Month</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97D264" w14:textId="77777777" w:rsidR="00B96AB2" w:rsidRDefault="00B96AB2">
            <w:pPr>
              <w:ind w:left="0"/>
              <w:rPr>
                <w:sz w:val="22"/>
                <w:szCs w:val="24"/>
              </w:rPr>
            </w:pPr>
            <w:r>
              <w:rPr>
                <w:sz w:val="22"/>
                <w:szCs w:val="24"/>
              </w:rPr>
              <w:t>Calendar Month</w:t>
            </w:r>
          </w:p>
        </w:tc>
      </w:tr>
    </w:tbl>
    <w:p w14:paraId="023F2499" w14:textId="44EC7682" w:rsidR="0072155E" w:rsidRDefault="0072155E" w:rsidP="004455AC">
      <w:pPr>
        <w:pStyle w:val="Heading3"/>
      </w:pPr>
      <w:bookmarkStart w:id="460" w:name="_Toc13567520"/>
      <w:r>
        <w:lastRenderedPageBreak/>
        <w:t>A10.5</w:t>
      </w:r>
      <w:r>
        <w:tab/>
        <w:t>Monthly Application Performance Standards</w:t>
      </w:r>
      <w:bookmarkEnd w:id="460"/>
    </w:p>
    <w:p w14:paraId="4B6BC10C" w14:textId="0345222A" w:rsidR="0072155E" w:rsidRDefault="0072155E" w:rsidP="0072155E">
      <w:pPr>
        <w:rPr>
          <w:szCs w:val="24"/>
        </w:rPr>
      </w:pPr>
      <w:r>
        <w:rPr>
          <w:szCs w:val="24"/>
        </w:rPr>
        <w:t xml:space="preserve">The </w:t>
      </w:r>
      <w:r>
        <w:t xml:space="preserve">Awarded Vendor </w:t>
      </w:r>
      <w:r>
        <w:rPr>
          <w:szCs w:val="24"/>
        </w:rPr>
        <w:t xml:space="preserve">must meet the following monthly performance standards. If a performance standard is not achieved, the Awarded Vendor will </w:t>
      </w:r>
      <w:r w:rsidR="000F1349">
        <w:rPr>
          <w:szCs w:val="24"/>
        </w:rPr>
        <w:t>issue</w:t>
      </w:r>
      <w:r>
        <w:rPr>
          <w:szCs w:val="24"/>
        </w:rPr>
        <w:t xml:space="preserve"> the listed service credit to TWC</w:t>
      </w:r>
      <w:r w:rsidR="000F1349">
        <w:rPr>
          <w:szCs w:val="24"/>
        </w:rPr>
        <w:t xml:space="preserve"> </w:t>
      </w:r>
      <w:r w:rsidR="000F1349">
        <w:t>no later than the fifth (5</w:t>
      </w:r>
      <w:r w:rsidR="000F1349" w:rsidRPr="007512FA">
        <w:t>th</w:t>
      </w:r>
      <w:r w:rsidR="000F1349">
        <w:t>) calendar day after the end of the month</w:t>
      </w:r>
      <w:r>
        <w:rPr>
          <w:szCs w:val="24"/>
        </w:rPr>
        <w:t>.</w:t>
      </w:r>
    </w:p>
    <w:tbl>
      <w:tblPr>
        <w:tblStyle w:val="TableGrid"/>
        <w:tblW w:w="8374" w:type="dxa"/>
        <w:tblInd w:w="715" w:type="dxa"/>
        <w:tblLayout w:type="fixed"/>
        <w:tblLook w:val="04A0" w:firstRow="1" w:lastRow="0" w:firstColumn="1" w:lastColumn="0" w:noHBand="0" w:noVBand="1"/>
        <w:tblDescription w:val="Table of monthly performance standards"/>
      </w:tblPr>
      <w:tblGrid>
        <w:gridCol w:w="3780"/>
        <w:gridCol w:w="2520"/>
        <w:gridCol w:w="2074"/>
      </w:tblGrid>
      <w:tr w:rsidR="0072155E" w:rsidRPr="00873442" w14:paraId="2BF3A15E" w14:textId="77777777" w:rsidTr="001C5822">
        <w:trPr>
          <w:tblHeader/>
        </w:trPr>
        <w:tc>
          <w:tcPr>
            <w:tcW w:w="3780" w:type="dxa"/>
            <w:shd w:val="clear" w:color="auto" w:fill="DEEAF6" w:themeFill="accent1" w:themeFillTint="33"/>
            <w:vAlign w:val="center"/>
          </w:tcPr>
          <w:p w14:paraId="4397717D" w14:textId="4EE8E0B5" w:rsidR="0072155E" w:rsidRPr="004F202B" w:rsidRDefault="0072155E" w:rsidP="0084104F">
            <w:pPr>
              <w:keepNext/>
              <w:spacing w:after="0"/>
              <w:ind w:left="0"/>
              <w:rPr>
                <w:rFonts w:cs="Arial"/>
                <w:b/>
                <w:color w:val="1F3864" w:themeColor="accent5" w:themeShade="80"/>
              </w:rPr>
            </w:pPr>
            <w:r>
              <w:rPr>
                <w:rFonts w:cs="Arial"/>
                <w:b/>
                <w:color w:val="1F3864" w:themeColor="accent5" w:themeShade="80"/>
              </w:rPr>
              <w:t>Service</w:t>
            </w:r>
          </w:p>
        </w:tc>
        <w:tc>
          <w:tcPr>
            <w:tcW w:w="2520" w:type="dxa"/>
            <w:shd w:val="clear" w:color="auto" w:fill="DEEAF6" w:themeFill="accent1" w:themeFillTint="33"/>
            <w:vAlign w:val="center"/>
          </w:tcPr>
          <w:p w14:paraId="23E9A1BA" w14:textId="6F7B9541" w:rsidR="0072155E" w:rsidRPr="001B5E0B" w:rsidRDefault="0072155E" w:rsidP="0084104F">
            <w:pPr>
              <w:keepNext/>
              <w:spacing w:after="0"/>
              <w:ind w:left="0"/>
              <w:rPr>
                <w:rFonts w:cs="Arial"/>
                <w:b/>
                <w:color w:val="1F3864" w:themeColor="accent5" w:themeShade="80"/>
              </w:rPr>
            </w:pPr>
            <w:r>
              <w:rPr>
                <w:rFonts w:cs="Arial"/>
                <w:b/>
                <w:color w:val="1F3864" w:themeColor="accent5" w:themeShade="80"/>
              </w:rPr>
              <w:t>Monthly Performance Standard</w:t>
            </w:r>
          </w:p>
        </w:tc>
        <w:tc>
          <w:tcPr>
            <w:tcW w:w="2074" w:type="dxa"/>
            <w:shd w:val="clear" w:color="auto" w:fill="DEEAF6" w:themeFill="accent1" w:themeFillTint="33"/>
            <w:vAlign w:val="center"/>
          </w:tcPr>
          <w:p w14:paraId="54EE23D3" w14:textId="6391FD78" w:rsidR="0072155E" w:rsidRPr="001B5E0B" w:rsidRDefault="0072155E" w:rsidP="0084104F">
            <w:pPr>
              <w:keepNext/>
              <w:spacing w:after="0"/>
              <w:ind w:left="0"/>
              <w:rPr>
                <w:rFonts w:cs="Arial"/>
                <w:b/>
                <w:color w:val="1F3864" w:themeColor="accent5" w:themeShade="80"/>
              </w:rPr>
            </w:pPr>
            <w:r>
              <w:rPr>
                <w:rFonts w:cs="Arial"/>
                <w:b/>
                <w:color w:val="1F3864" w:themeColor="accent5" w:themeShade="80"/>
              </w:rPr>
              <w:t>Service Credit</w:t>
            </w:r>
          </w:p>
        </w:tc>
      </w:tr>
      <w:tr w:rsidR="0072155E" w:rsidRPr="00873442" w14:paraId="394F9AFF" w14:textId="77777777" w:rsidTr="001C5822">
        <w:tc>
          <w:tcPr>
            <w:tcW w:w="3780" w:type="dxa"/>
          </w:tcPr>
          <w:p w14:paraId="36E35D95" w14:textId="3A84F210" w:rsidR="0072155E" w:rsidRDefault="00692F8A" w:rsidP="0084104F">
            <w:pPr>
              <w:ind w:left="0"/>
            </w:pPr>
            <w:r>
              <w:t>Web application and database services</w:t>
            </w:r>
          </w:p>
        </w:tc>
        <w:tc>
          <w:tcPr>
            <w:tcW w:w="2520" w:type="dxa"/>
          </w:tcPr>
          <w:p w14:paraId="4B89FC36" w14:textId="7CD2AD72" w:rsidR="0072155E" w:rsidRDefault="00692F8A" w:rsidP="0084104F">
            <w:pPr>
              <w:ind w:left="0"/>
            </w:pPr>
            <w:r>
              <w:t>&lt;99.95%</w:t>
            </w:r>
            <w:r>
              <w:br/>
              <w:t>&lt;99%</w:t>
            </w:r>
          </w:p>
        </w:tc>
        <w:tc>
          <w:tcPr>
            <w:tcW w:w="2074" w:type="dxa"/>
          </w:tcPr>
          <w:p w14:paraId="079D90B7" w14:textId="4B336924" w:rsidR="0072155E" w:rsidRDefault="00692F8A" w:rsidP="0084104F">
            <w:pPr>
              <w:ind w:left="0"/>
            </w:pPr>
            <w:r>
              <w:t>10%</w:t>
            </w:r>
            <w:r>
              <w:br/>
              <w:t>30%</w:t>
            </w:r>
          </w:p>
        </w:tc>
      </w:tr>
      <w:tr w:rsidR="00692F8A" w:rsidRPr="00873442" w14:paraId="70F154FC" w14:textId="77777777" w:rsidTr="001C5822">
        <w:tc>
          <w:tcPr>
            <w:tcW w:w="3780" w:type="dxa"/>
          </w:tcPr>
          <w:p w14:paraId="3DFA040D" w14:textId="0E4426A0" w:rsidR="00692F8A" w:rsidRDefault="00692F8A" w:rsidP="00692F8A">
            <w:pPr>
              <w:ind w:left="0"/>
            </w:pPr>
            <w:r>
              <w:t>Storage services</w:t>
            </w:r>
          </w:p>
        </w:tc>
        <w:tc>
          <w:tcPr>
            <w:tcW w:w="2520" w:type="dxa"/>
          </w:tcPr>
          <w:p w14:paraId="3B7A3147" w14:textId="138F47FD" w:rsidR="00692F8A" w:rsidRDefault="00692F8A" w:rsidP="00692F8A">
            <w:pPr>
              <w:ind w:left="0"/>
              <w:rPr>
                <w:szCs w:val="24"/>
              </w:rPr>
            </w:pPr>
            <w:r>
              <w:t>&lt;99.9%</w:t>
            </w:r>
            <w:r>
              <w:br/>
              <w:t>&lt;99%</w:t>
            </w:r>
          </w:p>
        </w:tc>
        <w:tc>
          <w:tcPr>
            <w:tcW w:w="2074" w:type="dxa"/>
          </w:tcPr>
          <w:p w14:paraId="59C1405E" w14:textId="7303D26B" w:rsidR="00692F8A" w:rsidRDefault="00692F8A" w:rsidP="00692F8A">
            <w:pPr>
              <w:ind w:left="0"/>
              <w:rPr>
                <w:szCs w:val="24"/>
              </w:rPr>
            </w:pPr>
            <w:r>
              <w:t>10%</w:t>
            </w:r>
            <w:r>
              <w:br/>
              <w:t>30%</w:t>
            </w:r>
          </w:p>
        </w:tc>
      </w:tr>
      <w:tr w:rsidR="003F6381" w:rsidRPr="00873442" w14:paraId="66394754" w14:textId="77777777" w:rsidTr="001C5822">
        <w:tc>
          <w:tcPr>
            <w:tcW w:w="3780" w:type="dxa"/>
          </w:tcPr>
          <w:p w14:paraId="75562966" w14:textId="3DF4192B" w:rsidR="003F6381" w:rsidRDefault="003F6381" w:rsidP="003F6381">
            <w:pPr>
              <w:ind w:left="0"/>
            </w:pPr>
            <w:r>
              <w:t>Cloud data networks services</w:t>
            </w:r>
          </w:p>
        </w:tc>
        <w:tc>
          <w:tcPr>
            <w:tcW w:w="2520" w:type="dxa"/>
          </w:tcPr>
          <w:p w14:paraId="057F36F4" w14:textId="481FEB80" w:rsidR="003F6381" w:rsidRDefault="003F6381" w:rsidP="003F6381">
            <w:pPr>
              <w:ind w:left="0"/>
              <w:rPr>
                <w:szCs w:val="24"/>
              </w:rPr>
            </w:pPr>
            <w:r>
              <w:t>&lt;99.9%</w:t>
            </w:r>
            <w:r>
              <w:br/>
              <w:t>&lt;99%</w:t>
            </w:r>
          </w:p>
        </w:tc>
        <w:tc>
          <w:tcPr>
            <w:tcW w:w="2074" w:type="dxa"/>
          </w:tcPr>
          <w:p w14:paraId="7C6BDCB8" w14:textId="3314F1CD" w:rsidR="003F6381" w:rsidRDefault="003F6381" w:rsidP="003F6381">
            <w:pPr>
              <w:ind w:left="0"/>
              <w:rPr>
                <w:szCs w:val="24"/>
              </w:rPr>
            </w:pPr>
            <w:r>
              <w:t>10%</w:t>
            </w:r>
            <w:r>
              <w:br/>
              <w:t>25%</w:t>
            </w:r>
          </w:p>
        </w:tc>
      </w:tr>
      <w:tr w:rsidR="003F6381" w:rsidRPr="00873442" w14:paraId="09F1EAC2" w14:textId="77777777" w:rsidTr="001C5822">
        <w:tc>
          <w:tcPr>
            <w:tcW w:w="3780" w:type="dxa"/>
          </w:tcPr>
          <w:p w14:paraId="3E723C8E" w14:textId="105E8B2D" w:rsidR="003F6381" w:rsidRDefault="003F6381" w:rsidP="003F6381">
            <w:pPr>
              <w:ind w:left="0"/>
            </w:pPr>
            <w:r>
              <w:t>Database services</w:t>
            </w:r>
          </w:p>
        </w:tc>
        <w:tc>
          <w:tcPr>
            <w:tcW w:w="2520" w:type="dxa"/>
          </w:tcPr>
          <w:p w14:paraId="3F89E1A9" w14:textId="37CB1B09" w:rsidR="003F6381" w:rsidRDefault="003F6381" w:rsidP="003F6381">
            <w:pPr>
              <w:ind w:left="0"/>
              <w:rPr>
                <w:szCs w:val="24"/>
              </w:rPr>
            </w:pPr>
            <w:r>
              <w:t>&lt;99.95%</w:t>
            </w:r>
            <w:r>
              <w:br/>
              <w:t>&lt;99%</w:t>
            </w:r>
          </w:p>
        </w:tc>
        <w:tc>
          <w:tcPr>
            <w:tcW w:w="2074" w:type="dxa"/>
          </w:tcPr>
          <w:p w14:paraId="27A2F493" w14:textId="0D322EA9" w:rsidR="003F6381" w:rsidRDefault="003F6381" w:rsidP="003F6381">
            <w:pPr>
              <w:ind w:left="0"/>
              <w:rPr>
                <w:szCs w:val="24"/>
              </w:rPr>
            </w:pPr>
            <w:r>
              <w:t>10%</w:t>
            </w:r>
            <w:r>
              <w:br/>
              <w:t>25%</w:t>
            </w:r>
          </w:p>
        </w:tc>
      </w:tr>
      <w:tr w:rsidR="003F6381" w:rsidRPr="00873442" w14:paraId="31CE8D95" w14:textId="77777777" w:rsidTr="001C5822">
        <w:tc>
          <w:tcPr>
            <w:tcW w:w="3780" w:type="dxa"/>
          </w:tcPr>
          <w:p w14:paraId="20C7C69B" w14:textId="004239B8" w:rsidR="003F6381" w:rsidRDefault="001C5822" w:rsidP="003F6381">
            <w:pPr>
              <w:ind w:left="0"/>
            </w:pPr>
            <w:r>
              <w:t>DNS services</w:t>
            </w:r>
          </w:p>
        </w:tc>
        <w:tc>
          <w:tcPr>
            <w:tcW w:w="2520" w:type="dxa"/>
          </w:tcPr>
          <w:p w14:paraId="2B1AEFA4" w14:textId="5AD6453D" w:rsidR="003F6381" w:rsidRDefault="001C5822" w:rsidP="003F6381">
            <w:pPr>
              <w:ind w:left="0"/>
              <w:rPr>
                <w:szCs w:val="24"/>
              </w:rPr>
            </w:pPr>
            <w:r>
              <w:rPr>
                <w:szCs w:val="24"/>
              </w:rPr>
              <w:t>5-30 minutes</w:t>
            </w:r>
            <w:r>
              <w:rPr>
                <w:szCs w:val="24"/>
              </w:rPr>
              <w:br/>
              <w:t>31-240 minutes</w:t>
            </w:r>
            <w:r>
              <w:rPr>
                <w:szCs w:val="24"/>
              </w:rPr>
              <w:br/>
              <w:t>More than 4 hours</w:t>
            </w:r>
          </w:p>
        </w:tc>
        <w:tc>
          <w:tcPr>
            <w:tcW w:w="2074" w:type="dxa"/>
          </w:tcPr>
          <w:p w14:paraId="43683D6C" w14:textId="57E1C3F7" w:rsidR="003F6381" w:rsidRDefault="001C5822" w:rsidP="003F6381">
            <w:pPr>
              <w:ind w:left="0"/>
              <w:rPr>
                <w:szCs w:val="24"/>
              </w:rPr>
            </w:pPr>
            <w:r>
              <w:rPr>
                <w:szCs w:val="24"/>
              </w:rPr>
              <w:t>1 day</w:t>
            </w:r>
            <w:r>
              <w:rPr>
                <w:szCs w:val="24"/>
              </w:rPr>
              <w:br/>
              <w:t>7 days</w:t>
            </w:r>
            <w:r>
              <w:rPr>
                <w:szCs w:val="24"/>
              </w:rPr>
              <w:br/>
              <w:t>30 days</w:t>
            </w:r>
          </w:p>
        </w:tc>
      </w:tr>
    </w:tbl>
    <w:p w14:paraId="7FD9BD6D" w14:textId="77777777" w:rsidR="0072155E" w:rsidRDefault="0072155E" w:rsidP="0072155E"/>
    <w:p w14:paraId="3088EBC5" w14:textId="4DC0B75C" w:rsidR="004B647D" w:rsidRDefault="004B647D" w:rsidP="004455AC">
      <w:pPr>
        <w:pStyle w:val="Heading3"/>
      </w:pPr>
      <w:bookmarkStart w:id="461" w:name="_Toc13567521"/>
      <w:r>
        <w:t>A10.6</w:t>
      </w:r>
      <w:r>
        <w:tab/>
        <w:t>Key Metrics for Cloud Security Models</w:t>
      </w:r>
      <w:bookmarkEnd w:id="461"/>
    </w:p>
    <w:p w14:paraId="0FC9B7F7" w14:textId="57952700" w:rsidR="004B647D" w:rsidRDefault="004B647D" w:rsidP="004B647D">
      <w:pPr>
        <w:rPr>
          <w:szCs w:val="24"/>
        </w:rPr>
      </w:pPr>
      <w:r>
        <w:rPr>
          <w:szCs w:val="24"/>
        </w:rPr>
        <w:t xml:space="preserve">The </w:t>
      </w:r>
      <w:r w:rsidR="00E1300C">
        <w:t>Awarded Vendor</w:t>
      </w:r>
      <w:r>
        <w:t xml:space="preserve"> </w:t>
      </w:r>
      <w:r>
        <w:rPr>
          <w:szCs w:val="24"/>
        </w:rPr>
        <w:t xml:space="preserve">must describe the </w:t>
      </w:r>
      <w:r w:rsidR="00E1300C">
        <w:rPr>
          <w:szCs w:val="24"/>
        </w:rPr>
        <w:t xml:space="preserve">key security SLA metrics for their Solution </w:t>
      </w:r>
      <w:r>
        <w:rPr>
          <w:szCs w:val="24"/>
        </w:rPr>
        <w:t xml:space="preserve">for </w:t>
      </w:r>
      <w:r w:rsidR="00E1300C">
        <w:rPr>
          <w:szCs w:val="24"/>
        </w:rPr>
        <w:t xml:space="preserve">their proposed </w:t>
      </w:r>
      <w:r>
        <w:rPr>
          <w:szCs w:val="24"/>
        </w:rPr>
        <w:t>cloud model</w:t>
      </w:r>
      <w:r w:rsidR="00E1300C">
        <w:rPr>
          <w:szCs w:val="24"/>
        </w:rPr>
        <w:t>(</w:t>
      </w:r>
      <w:r>
        <w:rPr>
          <w:szCs w:val="24"/>
        </w:rPr>
        <w:t>s</w:t>
      </w:r>
      <w:r w:rsidR="00E1300C">
        <w:rPr>
          <w:szCs w:val="24"/>
        </w:rPr>
        <w:t>)</w:t>
      </w:r>
      <w:r>
        <w:rPr>
          <w:szCs w:val="24"/>
        </w:rPr>
        <w:t>.</w:t>
      </w:r>
      <w:r w:rsidR="00E1300C">
        <w:rPr>
          <w:szCs w:val="24"/>
        </w:rPr>
        <w:t xml:space="preserve"> </w:t>
      </w:r>
      <w:r w:rsidR="00E1300C" w:rsidRPr="00E1300C">
        <w:rPr>
          <w:szCs w:val="24"/>
        </w:rPr>
        <w:t>The authoritative sources that are identified and align with the proposed metrics are NIST SP800-53r4, Cloud Security Alliance Cloud Control Matrix v3.01 (CSA), and ISO 27001-2013 (ISO).</w:t>
      </w:r>
      <w:r w:rsidR="00EE5622">
        <w:rPr>
          <w:szCs w:val="24"/>
        </w:rPr>
        <w:t xml:space="preserve"> </w:t>
      </w:r>
      <w:r w:rsidR="00E1300C" w:rsidRPr="00E1300C">
        <w:rPr>
          <w:szCs w:val="24"/>
        </w:rPr>
        <w:t>References to the specific section of each authoritative source are provided with each SLA recommendation for additional guidance</w:t>
      </w:r>
      <w:r w:rsidR="00E1300C">
        <w:rPr>
          <w:szCs w:val="24"/>
        </w:rPr>
        <w:t>.</w:t>
      </w:r>
    </w:p>
    <w:p w14:paraId="7DBEE703" w14:textId="0875E596" w:rsidR="004B647D" w:rsidRDefault="004B647D" w:rsidP="0084104F">
      <w:pPr>
        <w:keepNext/>
      </w:pPr>
      <w:r>
        <w:t>Infrastructure as a Service</w:t>
      </w:r>
      <w:r w:rsidRPr="00E21848">
        <w:t>:</w:t>
      </w:r>
    </w:p>
    <w:tbl>
      <w:tblPr>
        <w:tblStyle w:val="TableGrid"/>
        <w:tblW w:w="8178" w:type="dxa"/>
        <w:tblInd w:w="715" w:type="dxa"/>
        <w:tblLayout w:type="fixed"/>
        <w:tblLook w:val="04A0" w:firstRow="1" w:lastRow="0" w:firstColumn="1" w:lastColumn="0" w:noHBand="0" w:noVBand="1"/>
        <w:tblDescription w:val="Table of infrastructure as a service SLAs"/>
      </w:tblPr>
      <w:tblGrid>
        <w:gridCol w:w="720"/>
        <w:gridCol w:w="4410"/>
        <w:gridCol w:w="900"/>
        <w:gridCol w:w="806"/>
        <w:gridCol w:w="1342"/>
      </w:tblGrid>
      <w:tr w:rsidR="001C5822" w:rsidRPr="00873442" w14:paraId="30F00D35" w14:textId="77777777" w:rsidTr="00F77276">
        <w:trPr>
          <w:tblHeader/>
        </w:trPr>
        <w:tc>
          <w:tcPr>
            <w:tcW w:w="720" w:type="dxa"/>
            <w:shd w:val="clear" w:color="auto" w:fill="DEEAF6" w:themeFill="accent1" w:themeFillTint="33"/>
            <w:vAlign w:val="center"/>
          </w:tcPr>
          <w:p w14:paraId="25353F2B" w14:textId="3F66E4D0" w:rsidR="001C5822" w:rsidRPr="004F202B" w:rsidRDefault="001C5822" w:rsidP="0084104F">
            <w:pPr>
              <w:keepNext/>
              <w:spacing w:after="0"/>
              <w:ind w:left="0"/>
              <w:jc w:val="center"/>
              <w:rPr>
                <w:rFonts w:cs="Arial"/>
                <w:b/>
                <w:color w:val="1F3864" w:themeColor="accent5" w:themeShade="80"/>
              </w:rPr>
            </w:pPr>
            <w:r>
              <w:rPr>
                <w:rFonts w:cs="Arial"/>
                <w:b/>
                <w:color w:val="1F3864" w:themeColor="accent5" w:themeShade="80"/>
              </w:rPr>
              <w:t>#</w:t>
            </w:r>
          </w:p>
        </w:tc>
        <w:tc>
          <w:tcPr>
            <w:tcW w:w="4410" w:type="dxa"/>
            <w:shd w:val="clear" w:color="auto" w:fill="DEEAF6" w:themeFill="accent1" w:themeFillTint="33"/>
            <w:vAlign w:val="center"/>
          </w:tcPr>
          <w:p w14:paraId="06C509AD" w14:textId="76770EE4" w:rsidR="001C5822" w:rsidRPr="001B5E0B" w:rsidRDefault="001C5822" w:rsidP="0084104F">
            <w:pPr>
              <w:keepNext/>
              <w:spacing w:after="0"/>
              <w:ind w:left="0"/>
              <w:rPr>
                <w:rFonts w:cs="Arial"/>
                <w:b/>
                <w:color w:val="1F3864" w:themeColor="accent5" w:themeShade="80"/>
              </w:rPr>
            </w:pPr>
            <w:r>
              <w:rPr>
                <w:rFonts w:cs="Arial"/>
                <w:b/>
                <w:color w:val="1F3864" w:themeColor="accent5" w:themeShade="80"/>
              </w:rPr>
              <w:t>Key Security SLAs</w:t>
            </w:r>
          </w:p>
        </w:tc>
        <w:tc>
          <w:tcPr>
            <w:tcW w:w="900" w:type="dxa"/>
            <w:shd w:val="clear" w:color="auto" w:fill="DEEAF6" w:themeFill="accent1" w:themeFillTint="33"/>
            <w:vAlign w:val="center"/>
          </w:tcPr>
          <w:p w14:paraId="2FD93318" w14:textId="22A797C9" w:rsidR="001C5822" w:rsidRDefault="001C5822" w:rsidP="0084104F">
            <w:pPr>
              <w:keepNext/>
              <w:spacing w:after="0"/>
              <w:ind w:left="0"/>
              <w:rPr>
                <w:rFonts w:cs="Arial"/>
                <w:b/>
                <w:color w:val="1F3864" w:themeColor="accent5" w:themeShade="80"/>
              </w:rPr>
            </w:pPr>
            <w:r>
              <w:rPr>
                <w:rFonts w:cs="Arial"/>
                <w:b/>
                <w:color w:val="1F3864" w:themeColor="accent5" w:themeShade="80"/>
              </w:rPr>
              <w:t>NIST</w:t>
            </w:r>
          </w:p>
        </w:tc>
        <w:tc>
          <w:tcPr>
            <w:tcW w:w="806" w:type="dxa"/>
            <w:shd w:val="clear" w:color="auto" w:fill="DEEAF6" w:themeFill="accent1" w:themeFillTint="33"/>
          </w:tcPr>
          <w:p w14:paraId="6B05A95E" w14:textId="5E316ECA" w:rsidR="001C5822" w:rsidRDefault="001C5822" w:rsidP="0084104F">
            <w:pPr>
              <w:keepNext/>
              <w:spacing w:after="0"/>
              <w:ind w:left="0"/>
              <w:rPr>
                <w:rFonts w:cs="Arial"/>
                <w:b/>
                <w:color w:val="1F3864" w:themeColor="accent5" w:themeShade="80"/>
              </w:rPr>
            </w:pPr>
            <w:r>
              <w:rPr>
                <w:rFonts w:cs="Arial"/>
                <w:b/>
                <w:color w:val="1F3864" w:themeColor="accent5" w:themeShade="80"/>
              </w:rPr>
              <w:t>CSA</w:t>
            </w:r>
          </w:p>
        </w:tc>
        <w:tc>
          <w:tcPr>
            <w:tcW w:w="1342" w:type="dxa"/>
            <w:shd w:val="clear" w:color="auto" w:fill="DEEAF6" w:themeFill="accent1" w:themeFillTint="33"/>
            <w:vAlign w:val="center"/>
          </w:tcPr>
          <w:p w14:paraId="5010D60A" w14:textId="22A11945" w:rsidR="001C5822" w:rsidRPr="001B5E0B" w:rsidRDefault="001C5822" w:rsidP="0084104F">
            <w:pPr>
              <w:keepNext/>
              <w:spacing w:after="0"/>
              <w:ind w:left="0"/>
              <w:rPr>
                <w:rFonts w:cs="Arial"/>
                <w:b/>
                <w:color w:val="1F3864" w:themeColor="accent5" w:themeShade="80"/>
              </w:rPr>
            </w:pPr>
            <w:r>
              <w:rPr>
                <w:rFonts w:cs="Arial"/>
                <w:b/>
                <w:color w:val="1F3864" w:themeColor="accent5" w:themeShade="80"/>
              </w:rPr>
              <w:t>ISO</w:t>
            </w:r>
          </w:p>
        </w:tc>
      </w:tr>
      <w:tr w:rsidR="001C5822" w:rsidRPr="00873442" w14:paraId="2555E5EF" w14:textId="77777777" w:rsidTr="00F77276">
        <w:tc>
          <w:tcPr>
            <w:tcW w:w="720" w:type="dxa"/>
            <w:vAlign w:val="center"/>
          </w:tcPr>
          <w:p w14:paraId="0437805A" w14:textId="42ECFE5F" w:rsidR="001C5822" w:rsidRDefault="001C5822" w:rsidP="00F77276">
            <w:pPr>
              <w:ind w:left="0"/>
              <w:jc w:val="center"/>
            </w:pPr>
            <w:r>
              <w:t>1</w:t>
            </w:r>
          </w:p>
        </w:tc>
        <w:tc>
          <w:tcPr>
            <w:tcW w:w="4410" w:type="dxa"/>
            <w:vAlign w:val="center"/>
          </w:tcPr>
          <w:p w14:paraId="6043A4DB" w14:textId="2BE73D78" w:rsidR="001C5822" w:rsidRDefault="001C5822" w:rsidP="001C5822">
            <w:pPr>
              <w:ind w:left="0"/>
            </w:pPr>
            <w:r>
              <w:t xml:space="preserve">Change </w:t>
            </w:r>
            <w:r w:rsidR="00F77276">
              <w:t>Control and Configuration Management</w:t>
            </w:r>
          </w:p>
        </w:tc>
        <w:tc>
          <w:tcPr>
            <w:tcW w:w="900" w:type="dxa"/>
            <w:vAlign w:val="center"/>
          </w:tcPr>
          <w:p w14:paraId="5646C203" w14:textId="45C9F02A" w:rsidR="001C5822" w:rsidRDefault="001C5822" w:rsidP="001C5822">
            <w:pPr>
              <w:ind w:left="0"/>
            </w:pPr>
            <w:r>
              <w:t>CM</w:t>
            </w:r>
          </w:p>
        </w:tc>
        <w:tc>
          <w:tcPr>
            <w:tcW w:w="806" w:type="dxa"/>
            <w:vAlign w:val="center"/>
          </w:tcPr>
          <w:p w14:paraId="4554FE7A" w14:textId="57FA1874" w:rsidR="001C5822" w:rsidRDefault="001C5822" w:rsidP="001C5822">
            <w:pPr>
              <w:ind w:left="0"/>
            </w:pPr>
            <w:r>
              <w:t>CCC</w:t>
            </w:r>
          </w:p>
        </w:tc>
        <w:tc>
          <w:tcPr>
            <w:tcW w:w="1342" w:type="dxa"/>
            <w:vAlign w:val="center"/>
          </w:tcPr>
          <w:p w14:paraId="1E184D30" w14:textId="229F4832" w:rsidR="001C5822" w:rsidRDefault="00F77276" w:rsidP="001C5822">
            <w:pPr>
              <w:ind w:left="0"/>
            </w:pPr>
            <w:r>
              <w:t>A.</w:t>
            </w:r>
            <w:r w:rsidR="001C5822">
              <w:t>12.1.2</w:t>
            </w:r>
          </w:p>
        </w:tc>
      </w:tr>
      <w:tr w:rsidR="001C5822" w:rsidRPr="00873442" w14:paraId="0F31A539" w14:textId="77777777" w:rsidTr="00F77276">
        <w:tc>
          <w:tcPr>
            <w:tcW w:w="720" w:type="dxa"/>
            <w:vAlign w:val="center"/>
          </w:tcPr>
          <w:p w14:paraId="6B62BDD7" w14:textId="7540D505" w:rsidR="001C5822" w:rsidRDefault="001C5822" w:rsidP="00F77276">
            <w:pPr>
              <w:ind w:left="0"/>
              <w:jc w:val="center"/>
            </w:pPr>
            <w:r>
              <w:t>2</w:t>
            </w:r>
          </w:p>
        </w:tc>
        <w:tc>
          <w:tcPr>
            <w:tcW w:w="4410" w:type="dxa"/>
            <w:vAlign w:val="center"/>
          </w:tcPr>
          <w:p w14:paraId="4619CDE7" w14:textId="33B28652" w:rsidR="001C5822" w:rsidRDefault="00F77276" w:rsidP="001C5822">
            <w:pPr>
              <w:ind w:left="0"/>
              <w:rPr>
                <w:szCs w:val="24"/>
              </w:rPr>
            </w:pPr>
            <w:r>
              <w:rPr>
                <w:szCs w:val="24"/>
              </w:rPr>
              <w:t>Data Center Asset Management</w:t>
            </w:r>
          </w:p>
        </w:tc>
        <w:tc>
          <w:tcPr>
            <w:tcW w:w="900" w:type="dxa"/>
            <w:vAlign w:val="center"/>
          </w:tcPr>
          <w:p w14:paraId="2511DC39" w14:textId="1653EC9B" w:rsidR="001C5822" w:rsidRDefault="00F77276" w:rsidP="001C5822">
            <w:pPr>
              <w:ind w:left="0"/>
            </w:pPr>
            <w:r>
              <w:t>CM</w:t>
            </w:r>
          </w:p>
        </w:tc>
        <w:tc>
          <w:tcPr>
            <w:tcW w:w="806" w:type="dxa"/>
            <w:vAlign w:val="center"/>
          </w:tcPr>
          <w:p w14:paraId="45DADCA0" w14:textId="6308AB22" w:rsidR="001C5822" w:rsidRDefault="00F77276" w:rsidP="001C5822">
            <w:pPr>
              <w:ind w:left="0"/>
            </w:pPr>
            <w:r>
              <w:t>DCS</w:t>
            </w:r>
          </w:p>
        </w:tc>
        <w:tc>
          <w:tcPr>
            <w:tcW w:w="1342" w:type="dxa"/>
            <w:vAlign w:val="center"/>
          </w:tcPr>
          <w:p w14:paraId="66FCE6DD" w14:textId="5A02585A" w:rsidR="001C5822" w:rsidRDefault="00F77276" w:rsidP="001C5822">
            <w:pPr>
              <w:ind w:left="0"/>
              <w:rPr>
                <w:szCs w:val="24"/>
              </w:rPr>
            </w:pPr>
            <w:r>
              <w:rPr>
                <w:szCs w:val="24"/>
              </w:rPr>
              <w:t>A.8.1.1</w:t>
            </w:r>
          </w:p>
        </w:tc>
      </w:tr>
      <w:tr w:rsidR="001C5822" w:rsidRPr="00873442" w14:paraId="0776D0F6" w14:textId="77777777" w:rsidTr="00F77276">
        <w:tc>
          <w:tcPr>
            <w:tcW w:w="720" w:type="dxa"/>
            <w:vAlign w:val="center"/>
          </w:tcPr>
          <w:p w14:paraId="7E9C35A0" w14:textId="1F3A9F1C" w:rsidR="001C5822" w:rsidRDefault="001C5822" w:rsidP="00F77276">
            <w:pPr>
              <w:ind w:left="0"/>
              <w:jc w:val="center"/>
            </w:pPr>
            <w:r>
              <w:t>3</w:t>
            </w:r>
          </w:p>
        </w:tc>
        <w:tc>
          <w:tcPr>
            <w:tcW w:w="4410" w:type="dxa"/>
            <w:vAlign w:val="center"/>
          </w:tcPr>
          <w:p w14:paraId="49C224A0" w14:textId="3D7C8E38" w:rsidR="001C5822" w:rsidRDefault="00F77276" w:rsidP="001C5822">
            <w:pPr>
              <w:ind w:left="0"/>
              <w:rPr>
                <w:szCs w:val="24"/>
              </w:rPr>
            </w:pPr>
            <w:r>
              <w:rPr>
                <w:szCs w:val="24"/>
              </w:rPr>
              <w:t>Disaster Recovery and Business Continuity Planning</w:t>
            </w:r>
          </w:p>
        </w:tc>
        <w:tc>
          <w:tcPr>
            <w:tcW w:w="900" w:type="dxa"/>
            <w:vAlign w:val="center"/>
          </w:tcPr>
          <w:p w14:paraId="0C5C261B" w14:textId="27AC76A3" w:rsidR="001C5822" w:rsidRDefault="00F77276" w:rsidP="001C5822">
            <w:pPr>
              <w:ind w:left="0"/>
            </w:pPr>
            <w:r>
              <w:t>CP</w:t>
            </w:r>
          </w:p>
        </w:tc>
        <w:tc>
          <w:tcPr>
            <w:tcW w:w="806" w:type="dxa"/>
            <w:vAlign w:val="center"/>
          </w:tcPr>
          <w:p w14:paraId="0251FF72" w14:textId="750FE674" w:rsidR="001C5822" w:rsidRDefault="00F77276" w:rsidP="001C5822">
            <w:pPr>
              <w:ind w:left="0"/>
            </w:pPr>
            <w:r>
              <w:t>BCR</w:t>
            </w:r>
          </w:p>
        </w:tc>
        <w:tc>
          <w:tcPr>
            <w:tcW w:w="1342" w:type="dxa"/>
            <w:vAlign w:val="center"/>
          </w:tcPr>
          <w:p w14:paraId="3803DE60" w14:textId="1978B92B" w:rsidR="001C5822" w:rsidRDefault="00F77276" w:rsidP="001C5822">
            <w:pPr>
              <w:ind w:left="0"/>
              <w:rPr>
                <w:szCs w:val="24"/>
              </w:rPr>
            </w:pPr>
            <w:r>
              <w:rPr>
                <w:szCs w:val="24"/>
              </w:rPr>
              <w:t>A.17.1.3</w:t>
            </w:r>
          </w:p>
        </w:tc>
      </w:tr>
      <w:tr w:rsidR="001C5822" w:rsidRPr="00873442" w14:paraId="4513A4A6" w14:textId="77777777" w:rsidTr="00F77276">
        <w:tc>
          <w:tcPr>
            <w:tcW w:w="720" w:type="dxa"/>
            <w:vAlign w:val="center"/>
          </w:tcPr>
          <w:p w14:paraId="743B16CD" w14:textId="0ABB288D" w:rsidR="001C5822" w:rsidRDefault="001C5822" w:rsidP="00F77276">
            <w:pPr>
              <w:ind w:left="0"/>
              <w:jc w:val="center"/>
            </w:pPr>
            <w:r>
              <w:t>4</w:t>
            </w:r>
          </w:p>
        </w:tc>
        <w:tc>
          <w:tcPr>
            <w:tcW w:w="4410" w:type="dxa"/>
            <w:vAlign w:val="center"/>
          </w:tcPr>
          <w:p w14:paraId="19E6A179" w14:textId="5DA9298F" w:rsidR="001C5822" w:rsidRDefault="00F77276" w:rsidP="001C5822">
            <w:pPr>
              <w:ind w:left="0"/>
              <w:rPr>
                <w:szCs w:val="24"/>
              </w:rPr>
            </w:pPr>
            <w:r>
              <w:rPr>
                <w:szCs w:val="24"/>
              </w:rPr>
              <w:t>Secure Configuration and Server Hardening</w:t>
            </w:r>
          </w:p>
        </w:tc>
        <w:tc>
          <w:tcPr>
            <w:tcW w:w="900" w:type="dxa"/>
            <w:vAlign w:val="center"/>
          </w:tcPr>
          <w:p w14:paraId="0292FF55" w14:textId="5E5E9A7A" w:rsidR="001C5822" w:rsidRDefault="00F77276" w:rsidP="001C5822">
            <w:pPr>
              <w:ind w:left="0"/>
            </w:pPr>
            <w:r>
              <w:t>CM</w:t>
            </w:r>
          </w:p>
        </w:tc>
        <w:tc>
          <w:tcPr>
            <w:tcW w:w="806" w:type="dxa"/>
            <w:vAlign w:val="center"/>
          </w:tcPr>
          <w:p w14:paraId="7ED04A6E" w14:textId="1CBDC96C" w:rsidR="001C5822" w:rsidRDefault="00F77276" w:rsidP="001C5822">
            <w:pPr>
              <w:ind w:left="0"/>
            </w:pPr>
            <w:r>
              <w:t>IVS</w:t>
            </w:r>
          </w:p>
        </w:tc>
        <w:tc>
          <w:tcPr>
            <w:tcW w:w="1342" w:type="dxa"/>
            <w:vAlign w:val="center"/>
          </w:tcPr>
          <w:p w14:paraId="3FCD611E" w14:textId="3D0A06C7" w:rsidR="001C5822" w:rsidRDefault="00F77276" w:rsidP="001C5822">
            <w:pPr>
              <w:ind w:left="0"/>
              <w:rPr>
                <w:szCs w:val="24"/>
              </w:rPr>
            </w:pPr>
            <w:r>
              <w:rPr>
                <w:szCs w:val="24"/>
              </w:rPr>
              <w:t>A.12.5.1</w:t>
            </w:r>
          </w:p>
        </w:tc>
      </w:tr>
      <w:tr w:rsidR="001C5822" w:rsidRPr="00873442" w14:paraId="5BB8036D" w14:textId="77777777" w:rsidTr="00F77276">
        <w:tc>
          <w:tcPr>
            <w:tcW w:w="720" w:type="dxa"/>
            <w:vAlign w:val="center"/>
          </w:tcPr>
          <w:p w14:paraId="1DA04B99" w14:textId="3C7366A3" w:rsidR="001C5822" w:rsidRDefault="001C5822" w:rsidP="00F77276">
            <w:pPr>
              <w:ind w:left="0"/>
              <w:jc w:val="center"/>
            </w:pPr>
            <w:r>
              <w:lastRenderedPageBreak/>
              <w:t>5</w:t>
            </w:r>
          </w:p>
        </w:tc>
        <w:tc>
          <w:tcPr>
            <w:tcW w:w="4410" w:type="dxa"/>
            <w:vAlign w:val="center"/>
          </w:tcPr>
          <w:p w14:paraId="2980F783" w14:textId="21D797FA" w:rsidR="001C5822" w:rsidRDefault="00F77276" w:rsidP="001C5822">
            <w:pPr>
              <w:ind w:left="0"/>
              <w:rPr>
                <w:szCs w:val="24"/>
              </w:rPr>
            </w:pPr>
            <w:r w:rsidRPr="00F77276">
              <w:rPr>
                <w:szCs w:val="24"/>
              </w:rPr>
              <w:t>Malware and Intrusion Prevention</w:t>
            </w:r>
          </w:p>
        </w:tc>
        <w:tc>
          <w:tcPr>
            <w:tcW w:w="900" w:type="dxa"/>
            <w:vAlign w:val="center"/>
          </w:tcPr>
          <w:p w14:paraId="0917FF8B" w14:textId="52BB074E" w:rsidR="001C5822" w:rsidRDefault="00F77276" w:rsidP="001C5822">
            <w:pPr>
              <w:ind w:left="0"/>
              <w:rPr>
                <w:szCs w:val="24"/>
              </w:rPr>
            </w:pPr>
            <w:r>
              <w:rPr>
                <w:szCs w:val="24"/>
              </w:rPr>
              <w:t>SI</w:t>
            </w:r>
          </w:p>
        </w:tc>
        <w:tc>
          <w:tcPr>
            <w:tcW w:w="806" w:type="dxa"/>
            <w:vAlign w:val="center"/>
          </w:tcPr>
          <w:p w14:paraId="5FF64A1D" w14:textId="71FED723" w:rsidR="001C5822" w:rsidRDefault="00F77276" w:rsidP="001C5822">
            <w:pPr>
              <w:ind w:left="0"/>
              <w:rPr>
                <w:szCs w:val="24"/>
              </w:rPr>
            </w:pPr>
            <w:r>
              <w:rPr>
                <w:szCs w:val="24"/>
              </w:rPr>
              <w:t>TVM</w:t>
            </w:r>
          </w:p>
        </w:tc>
        <w:tc>
          <w:tcPr>
            <w:tcW w:w="1342" w:type="dxa"/>
            <w:vAlign w:val="center"/>
          </w:tcPr>
          <w:p w14:paraId="53A428A4" w14:textId="206468E1" w:rsidR="001C5822" w:rsidRDefault="00F77276" w:rsidP="001C5822">
            <w:pPr>
              <w:ind w:left="0"/>
              <w:rPr>
                <w:szCs w:val="24"/>
              </w:rPr>
            </w:pPr>
            <w:r>
              <w:rPr>
                <w:szCs w:val="24"/>
              </w:rPr>
              <w:t>A.12.2.1</w:t>
            </w:r>
          </w:p>
        </w:tc>
      </w:tr>
      <w:tr w:rsidR="001C5822" w:rsidRPr="00873442" w14:paraId="2A2B8049" w14:textId="77777777" w:rsidTr="00F77276">
        <w:tc>
          <w:tcPr>
            <w:tcW w:w="720" w:type="dxa"/>
            <w:vAlign w:val="center"/>
          </w:tcPr>
          <w:p w14:paraId="70723FF9" w14:textId="49AC5719" w:rsidR="001C5822" w:rsidRDefault="001C5822" w:rsidP="00F77276">
            <w:pPr>
              <w:ind w:left="0"/>
              <w:jc w:val="center"/>
            </w:pPr>
            <w:r>
              <w:t>6</w:t>
            </w:r>
          </w:p>
        </w:tc>
        <w:tc>
          <w:tcPr>
            <w:tcW w:w="4410" w:type="dxa"/>
            <w:vAlign w:val="center"/>
          </w:tcPr>
          <w:p w14:paraId="6A0D2C64" w14:textId="01D941FB" w:rsidR="001C5822" w:rsidRDefault="00F77276" w:rsidP="001C5822">
            <w:pPr>
              <w:ind w:left="0"/>
              <w:rPr>
                <w:szCs w:val="24"/>
              </w:rPr>
            </w:pPr>
            <w:r w:rsidRPr="00F77276">
              <w:rPr>
                <w:szCs w:val="24"/>
              </w:rPr>
              <w:t>Network Vulnerability and Penetration Testing</w:t>
            </w:r>
          </w:p>
        </w:tc>
        <w:tc>
          <w:tcPr>
            <w:tcW w:w="900" w:type="dxa"/>
            <w:vAlign w:val="center"/>
          </w:tcPr>
          <w:p w14:paraId="166CD8C4" w14:textId="5D03615F" w:rsidR="001C5822" w:rsidRDefault="00F77276" w:rsidP="001C5822">
            <w:pPr>
              <w:ind w:left="0"/>
              <w:rPr>
                <w:szCs w:val="24"/>
              </w:rPr>
            </w:pPr>
            <w:r>
              <w:rPr>
                <w:szCs w:val="24"/>
              </w:rPr>
              <w:t>RA</w:t>
            </w:r>
          </w:p>
        </w:tc>
        <w:tc>
          <w:tcPr>
            <w:tcW w:w="806" w:type="dxa"/>
            <w:vAlign w:val="center"/>
          </w:tcPr>
          <w:p w14:paraId="68C481E9" w14:textId="48EFA0E9" w:rsidR="001C5822" w:rsidRDefault="00F77276" w:rsidP="001C5822">
            <w:pPr>
              <w:ind w:left="0"/>
              <w:rPr>
                <w:szCs w:val="24"/>
              </w:rPr>
            </w:pPr>
            <w:r>
              <w:rPr>
                <w:szCs w:val="24"/>
              </w:rPr>
              <w:t>IVS</w:t>
            </w:r>
          </w:p>
        </w:tc>
        <w:tc>
          <w:tcPr>
            <w:tcW w:w="1342" w:type="dxa"/>
            <w:vAlign w:val="center"/>
          </w:tcPr>
          <w:p w14:paraId="55B8B603" w14:textId="7338A53E" w:rsidR="001C5822" w:rsidRDefault="00F77276" w:rsidP="001C5822">
            <w:pPr>
              <w:ind w:left="0"/>
              <w:rPr>
                <w:szCs w:val="24"/>
              </w:rPr>
            </w:pPr>
            <w:r>
              <w:rPr>
                <w:szCs w:val="24"/>
              </w:rPr>
              <w:t>A.14.2.3</w:t>
            </w:r>
          </w:p>
        </w:tc>
      </w:tr>
      <w:tr w:rsidR="001C5822" w:rsidRPr="00873442" w14:paraId="5FF54609" w14:textId="77777777" w:rsidTr="00F77276">
        <w:tc>
          <w:tcPr>
            <w:tcW w:w="720" w:type="dxa"/>
            <w:vAlign w:val="center"/>
          </w:tcPr>
          <w:p w14:paraId="4220B533" w14:textId="1B6573C3" w:rsidR="001C5822" w:rsidRDefault="001C5822" w:rsidP="00F77276">
            <w:pPr>
              <w:ind w:left="0"/>
              <w:jc w:val="center"/>
            </w:pPr>
            <w:r>
              <w:t>7</w:t>
            </w:r>
          </w:p>
        </w:tc>
        <w:tc>
          <w:tcPr>
            <w:tcW w:w="4410" w:type="dxa"/>
            <w:vAlign w:val="center"/>
          </w:tcPr>
          <w:p w14:paraId="7BD4352C" w14:textId="3994AE2C" w:rsidR="001C5822" w:rsidRDefault="00F77276" w:rsidP="001C5822">
            <w:pPr>
              <w:ind w:left="0"/>
              <w:rPr>
                <w:szCs w:val="24"/>
              </w:rPr>
            </w:pPr>
            <w:r w:rsidRPr="00F77276">
              <w:rPr>
                <w:szCs w:val="24"/>
              </w:rPr>
              <w:t>Software Lifecycle and Patch Management</w:t>
            </w:r>
          </w:p>
        </w:tc>
        <w:tc>
          <w:tcPr>
            <w:tcW w:w="900" w:type="dxa"/>
            <w:vAlign w:val="center"/>
          </w:tcPr>
          <w:p w14:paraId="1708DC69" w14:textId="7B4FF1DF" w:rsidR="001C5822" w:rsidRDefault="00F77276" w:rsidP="001C5822">
            <w:pPr>
              <w:ind w:left="0"/>
              <w:rPr>
                <w:szCs w:val="24"/>
              </w:rPr>
            </w:pPr>
            <w:r>
              <w:rPr>
                <w:szCs w:val="24"/>
              </w:rPr>
              <w:t>SA</w:t>
            </w:r>
          </w:p>
        </w:tc>
        <w:tc>
          <w:tcPr>
            <w:tcW w:w="806" w:type="dxa"/>
            <w:vAlign w:val="center"/>
          </w:tcPr>
          <w:p w14:paraId="49FC72B3" w14:textId="0EB8ED3D" w:rsidR="001C5822" w:rsidRDefault="00F77276" w:rsidP="001C5822">
            <w:pPr>
              <w:ind w:left="0"/>
              <w:rPr>
                <w:szCs w:val="24"/>
              </w:rPr>
            </w:pPr>
            <w:r>
              <w:rPr>
                <w:szCs w:val="24"/>
              </w:rPr>
              <w:t>TVM</w:t>
            </w:r>
          </w:p>
        </w:tc>
        <w:tc>
          <w:tcPr>
            <w:tcW w:w="1342" w:type="dxa"/>
            <w:vAlign w:val="center"/>
          </w:tcPr>
          <w:p w14:paraId="74C90C99" w14:textId="37A7E265" w:rsidR="001C5822" w:rsidRDefault="00F77276" w:rsidP="001C5822">
            <w:pPr>
              <w:ind w:left="0"/>
              <w:rPr>
                <w:szCs w:val="24"/>
              </w:rPr>
            </w:pPr>
            <w:r>
              <w:rPr>
                <w:szCs w:val="24"/>
              </w:rPr>
              <w:t>A.12.6.1</w:t>
            </w:r>
          </w:p>
        </w:tc>
      </w:tr>
      <w:tr w:rsidR="001C5822" w:rsidRPr="00873442" w14:paraId="6D96186A" w14:textId="77777777" w:rsidTr="00F77276">
        <w:tc>
          <w:tcPr>
            <w:tcW w:w="720" w:type="dxa"/>
            <w:vAlign w:val="center"/>
          </w:tcPr>
          <w:p w14:paraId="76CEF95D" w14:textId="477EA30B" w:rsidR="001C5822" w:rsidRDefault="001C5822" w:rsidP="00F77276">
            <w:pPr>
              <w:ind w:left="0"/>
              <w:jc w:val="center"/>
            </w:pPr>
            <w:r>
              <w:t>8</w:t>
            </w:r>
          </w:p>
        </w:tc>
        <w:tc>
          <w:tcPr>
            <w:tcW w:w="4410" w:type="dxa"/>
            <w:vAlign w:val="center"/>
          </w:tcPr>
          <w:p w14:paraId="7D4161E9" w14:textId="077C2059" w:rsidR="001C5822" w:rsidRDefault="00F77276" w:rsidP="001C5822">
            <w:pPr>
              <w:ind w:left="0"/>
              <w:rPr>
                <w:szCs w:val="24"/>
              </w:rPr>
            </w:pPr>
            <w:r w:rsidRPr="00F77276">
              <w:rPr>
                <w:szCs w:val="24"/>
              </w:rPr>
              <w:t>Security Incident Handling</w:t>
            </w:r>
          </w:p>
        </w:tc>
        <w:tc>
          <w:tcPr>
            <w:tcW w:w="900" w:type="dxa"/>
            <w:vAlign w:val="center"/>
          </w:tcPr>
          <w:p w14:paraId="50563509" w14:textId="668CE7C8" w:rsidR="001C5822" w:rsidRDefault="00F77276" w:rsidP="001C5822">
            <w:pPr>
              <w:ind w:left="0"/>
              <w:rPr>
                <w:szCs w:val="24"/>
              </w:rPr>
            </w:pPr>
            <w:r>
              <w:rPr>
                <w:szCs w:val="24"/>
              </w:rPr>
              <w:t>IR</w:t>
            </w:r>
          </w:p>
        </w:tc>
        <w:tc>
          <w:tcPr>
            <w:tcW w:w="806" w:type="dxa"/>
            <w:vAlign w:val="center"/>
          </w:tcPr>
          <w:p w14:paraId="163D6AD2" w14:textId="4D88835C" w:rsidR="001C5822" w:rsidRDefault="00F77276" w:rsidP="001C5822">
            <w:pPr>
              <w:ind w:left="0"/>
              <w:rPr>
                <w:szCs w:val="24"/>
              </w:rPr>
            </w:pPr>
            <w:r>
              <w:rPr>
                <w:szCs w:val="24"/>
              </w:rPr>
              <w:t>SEF</w:t>
            </w:r>
          </w:p>
        </w:tc>
        <w:tc>
          <w:tcPr>
            <w:tcW w:w="1342" w:type="dxa"/>
            <w:vAlign w:val="center"/>
          </w:tcPr>
          <w:p w14:paraId="4D37B7E1" w14:textId="025ABEA2" w:rsidR="001C5822" w:rsidRDefault="00F77276" w:rsidP="001C5822">
            <w:pPr>
              <w:ind w:left="0"/>
              <w:rPr>
                <w:szCs w:val="24"/>
              </w:rPr>
            </w:pPr>
            <w:r>
              <w:rPr>
                <w:szCs w:val="24"/>
              </w:rPr>
              <w:t>A.16</w:t>
            </w:r>
          </w:p>
        </w:tc>
      </w:tr>
      <w:tr w:rsidR="001C5822" w:rsidRPr="00873442" w14:paraId="517E0517" w14:textId="77777777" w:rsidTr="00F77276">
        <w:tc>
          <w:tcPr>
            <w:tcW w:w="720" w:type="dxa"/>
            <w:vAlign w:val="center"/>
          </w:tcPr>
          <w:p w14:paraId="7FA89786" w14:textId="65DFF68A" w:rsidR="001C5822" w:rsidRDefault="001C5822" w:rsidP="00F77276">
            <w:pPr>
              <w:ind w:left="0"/>
              <w:jc w:val="center"/>
            </w:pPr>
            <w:r>
              <w:t>9</w:t>
            </w:r>
          </w:p>
        </w:tc>
        <w:tc>
          <w:tcPr>
            <w:tcW w:w="4410" w:type="dxa"/>
            <w:vAlign w:val="center"/>
          </w:tcPr>
          <w:p w14:paraId="01C9EB17" w14:textId="16D1B47B" w:rsidR="001C5822" w:rsidRDefault="00F77276" w:rsidP="001C5822">
            <w:pPr>
              <w:ind w:left="0"/>
              <w:rPr>
                <w:szCs w:val="24"/>
              </w:rPr>
            </w:pPr>
            <w:r w:rsidRPr="00F77276">
              <w:rPr>
                <w:szCs w:val="24"/>
              </w:rPr>
              <w:t>Secure Network Protocols and Data Transport</w:t>
            </w:r>
          </w:p>
        </w:tc>
        <w:tc>
          <w:tcPr>
            <w:tcW w:w="900" w:type="dxa"/>
            <w:vAlign w:val="center"/>
          </w:tcPr>
          <w:p w14:paraId="3A4C8B20" w14:textId="16B8643D" w:rsidR="001C5822" w:rsidRDefault="00F77276" w:rsidP="001C5822">
            <w:pPr>
              <w:ind w:left="0"/>
              <w:rPr>
                <w:szCs w:val="24"/>
              </w:rPr>
            </w:pPr>
            <w:r>
              <w:rPr>
                <w:szCs w:val="24"/>
              </w:rPr>
              <w:t>SC</w:t>
            </w:r>
          </w:p>
        </w:tc>
        <w:tc>
          <w:tcPr>
            <w:tcW w:w="806" w:type="dxa"/>
            <w:vAlign w:val="center"/>
          </w:tcPr>
          <w:p w14:paraId="25822631" w14:textId="00465099" w:rsidR="001C5822" w:rsidRDefault="00F77276" w:rsidP="001C5822">
            <w:pPr>
              <w:ind w:left="0"/>
              <w:rPr>
                <w:szCs w:val="24"/>
              </w:rPr>
            </w:pPr>
            <w:r>
              <w:rPr>
                <w:szCs w:val="24"/>
              </w:rPr>
              <w:t>IPY</w:t>
            </w:r>
          </w:p>
        </w:tc>
        <w:tc>
          <w:tcPr>
            <w:tcW w:w="1342" w:type="dxa"/>
            <w:vAlign w:val="center"/>
          </w:tcPr>
          <w:p w14:paraId="0CFFEEEF" w14:textId="24FFA2AB" w:rsidR="001C5822" w:rsidRDefault="00F77276" w:rsidP="001C5822">
            <w:pPr>
              <w:ind w:left="0"/>
              <w:rPr>
                <w:szCs w:val="24"/>
              </w:rPr>
            </w:pPr>
            <w:r>
              <w:rPr>
                <w:szCs w:val="24"/>
              </w:rPr>
              <w:t>A.13</w:t>
            </w:r>
          </w:p>
        </w:tc>
      </w:tr>
      <w:tr w:rsidR="00F77276" w:rsidRPr="00873442" w14:paraId="4DBFB5D8" w14:textId="77777777" w:rsidTr="00F77276">
        <w:tc>
          <w:tcPr>
            <w:tcW w:w="720" w:type="dxa"/>
            <w:vAlign w:val="center"/>
          </w:tcPr>
          <w:p w14:paraId="15919126" w14:textId="4D0CCEA1" w:rsidR="00F77276" w:rsidRDefault="00F77276" w:rsidP="00F77276">
            <w:pPr>
              <w:ind w:left="0"/>
              <w:jc w:val="center"/>
            </w:pPr>
            <w:r>
              <w:t>10</w:t>
            </w:r>
          </w:p>
        </w:tc>
        <w:tc>
          <w:tcPr>
            <w:tcW w:w="4410" w:type="dxa"/>
            <w:vAlign w:val="center"/>
          </w:tcPr>
          <w:p w14:paraId="0C7A18A7" w14:textId="4366E80D" w:rsidR="00F77276" w:rsidRDefault="00F77276" w:rsidP="001C5822">
            <w:pPr>
              <w:ind w:left="0"/>
              <w:rPr>
                <w:szCs w:val="24"/>
              </w:rPr>
            </w:pPr>
            <w:r w:rsidRPr="00F77276">
              <w:rPr>
                <w:szCs w:val="24"/>
              </w:rPr>
              <w:t>Security Event Logging</w:t>
            </w:r>
          </w:p>
        </w:tc>
        <w:tc>
          <w:tcPr>
            <w:tcW w:w="900" w:type="dxa"/>
            <w:vAlign w:val="center"/>
          </w:tcPr>
          <w:p w14:paraId="43107AD6" w14:textId="3D6745E8" w:rsidR="00F77276" w:rsidRDefault="00F77276" w:rsidP="001C5822">
            <w:pPr>
              <w:ind w:left="0"/>
              <w:rPr>
                <w:szCs w:val="24"/>
              </w:rPr>
            </w:pPr>
            <w:r>
              <w:rPr>
                <w:szCs w:val="24"/>
              </w:rPr>
              <w:t>AU</w:t>
            </w:r>
          </w:p>
        </w:tc>
        <w:tc>
          <w:tcPr>
            <w:tcW w:w="806" w:type="dxa"/>
            <w:vAlign w:val="center"/>
          </w:tcPr>
          <w:p w14:paraId="6A45381C" w14:textId="7E54EAD6" w:rsidR="00F77276" w:rsidRDefault="00F77276" w:rsidP="001C5822">
            <w:pPr>
              <w:ind w:left="0"/>
              <w:rPr>
                <w:szCs w:val="24"/>
              </w:rPr>
            </w:pPr>
            <w:r>
              <w:rPr>
                <w:szCs w:val="24"/>
              </w:rPr>
              <w:t>IVS</w:t>
            </w:r>
          </w:p>
        </w:tc>
        <w:tc>
          <w:tcPr>
            <w:tcW w:w="1342" w:type="dxa"/>
            <w:vAlign w:val="center"/>
          </w:tcPr>
          <w:p w14:paraId="7C86783D" w14:textId="3B7465A3" w:rsidR="00F77276" w:rsidRDefault="00F77276" w:rsidP="001C5822">
            <w:pPr>
              <w:ind w:left="0"/>
              <w:rPr>
                <w:szCs w:val="24"/>
              </w:rPr>
            </w:pPr>
            <w:r>
              <w:rPr>
                <w:szCs w:val="24"/>
              </w:rPr>
              <w:t>A.12.4</w:t>
            </w:r>
          </w:p>
        </w:tc>
      </w:tr>
    </w:tbl>
    <w:p w14:paraId="54767071" w14:textId="77777777" w:rsidR="004B647D" w:rsidRDefault="004B647D" w:rsidP="004B647D">
      <w:pPr>
        <w:rPr>
          <w:szCs w:val="24"/>
        </w:rPr>
      </w:pPr>
    </w:p>
    <w:p w14:paraId="33AEBDE7" w14:textId="50831179" w:rsidR="004B647D" w:rsidRDefault="004B647D" w:rsidP="0084104F">
      <w:pPr>
        <w:keepNext/>
      </w:pPr>
      <w:r>
        <w:t>Platform as a Service</w:t>
      </w:r>
      <w:r w:rsidRPr="00E21848">
        <w:t>:</w:t>
      </w:r>
    </w:p>
    <w:tbl>
      <w:tblPr>
        <w:tblStyle w:val="TableGrid"/>
        <w:tblW w:w="8178" w:type="dxa"/>
        <w:tblInd w:w="715" w:type="dxa"/>
        <w:tblLayout w:type="fixed"/>
        <w:tblLook w:val="04A0" w:firstRow="1" w:lastRow="0" w:firstColumn="1" w:lastColumn="0" w:noHBand="0" w:noVBand="1"/>
        <w:tblDescription w:val="Table of platform as a service SLAs"/>
      </w:tblPr>
      <w:tblGrid>
        <w:gridCol w:w="720"/>
        <w:gridCol w:w="4410"/>
        <w:gridCol w:w="900"/>
        <w:gridCol w:w="806"/>
        <w:gridCol w:w="1342"/>
      </w:tblGrid>
      <w:tr w:rsidR="003B7A80" w:rsidRPr="00873442" w14:paraId="31370693" w14:textId="77777777" w:rsidTr="00F77276">
        <w:trPr>
          <w:tblHeader/>
        </w:trPr>
        <w:tc>
          <w:tcPr>
            <w:tcW w:w="720" w:type="dxa"/>
            <w:shd w:val="clear" w:color="auto" w:fill="DEEAF6" w:themeFill="accent1" w:themeFillTint="33"/>
            <w:vAlign w:val="center"/>
          </w:tcPr>
          <w:p w14:paraId="6B6E8574" w14:textId="77777777" w:rsidR="003B7A80" w:rsidRPr="004F202B" w:rsidRDefault="003B7A80" w:rsidP="0084104F">
            <w:pPr>
              <w:keepNext/>
              <w:spacing w:after="0"/>
              <w:ind w:left="0"/>
              <w:jc w:val="center"/>
              <w:rPr>
                <w:rFonts w:cs="Arial"/>
                <w:b/>
                <w:color w:val="1F3864" w:themeColor="accent5" w:themeShade="80"/>
              </w:rPr>
            </w:pPr>
            <w:r>
              <w:rPr>
                <w:rFonts w:cs="Arial"/>
                <w:b/>
                <w:color w:val="1F3864" w:themeColor="accent5" w:themeShade="80"/>
              </w:rPr>
              <w:t>#</w:t>
            </w:r>
          </w:p>
        </w:tc>
        <w:tc>
          <w:tcPr>
            <w:tcW w:w="4410" w:type="dxa"/>
            <w:shd w:val="clear" w:color="auto" w:fill="DEEAF6" w:themeFill="accent1" w:themeFillTint="33"/>
            <w:vAlign w:val="center"/>
          </w:tcPr>
          <w:p w14:paraId="0A029646" w14:textId="77777777" w:rsidR="003B7A80" w:rsidRPr="001B5E0B" w:rsidRDefault="003B7A80" w:rsidP="0084104F">
            <w:pPr>
              <w:keepNext/>
              <w:spacing w:after="0"/>
              <w:ind w:left="0"/>
              <w:rPr>
                <w:rFonts w:cs="Arial"/>
                <w:b/>
                <w:color w:val="1F3864" w:themeColor="accent5" w:themeShade="80"/>
              </w:rPr>
            </w:pPr>
            <w:r>
              <w:rPr>
                <w:rFonts w:cs="Arial"/>
                <w:b/>
                <w:color w:val="1F3864" w:themeColor="accent5" w:themeShade="80"/>
              </w:rPr>
              <w:t>Key Security SLAs</w:t>
            </w:r>
          </w:p>
        </w:tc>
        <w:tc>
          <w:tcPr>
            <w:tcW w:w="900" w:type="dxa"/>
            <w:shd w:val="clear" w:color="auto" w:fill="DEEAF6" w:themeFill="accent1" w:themeFillTint="33"/>
            <w:vAlign w:val="center"/>
          </w:tcPr>
          <w:p w14:paraId="204BBAE5" w14:textId="77777777" w:rsidR="003B7A80" w:rsidRDefault="003B7A80" w:rsidP="0084104F">
            <w:pPr>
              <w:keepNext/>
              <w:spacing w:after="0"/>
              <w:ind w:left="0"/>
              <w:rPr>
                <w:rFonts w:cs="Arial"/>
                <w:b/>
                <w:color w:val="1F3864" w:themeColor="accent5" w:themeShade="80"/>
              </w:rPr>
            </w:pPr>
            <w:r>
              <w:rPr>
                <w:rFonts w:cs="Arial"/>
                <w:b/>
                <w:color w:val="1F3864" w:themeColor="accent5" w:themeShade="80"/>
              </w:rPr>
              <w:t>NIST</w:t>
            </w:r>
          </w:p>
        </w:tc>
        <w:tc>
          <w:tcPr>
            <w:tcW w:w="806" w:type="dxa"/>
            <w:shd w:val="clear" w:color="auto" w:fill="DEEAF6" w:themeFill="accent1" w:themeFillTint="33"/>
          </w:tcPr>
          <w:p w14:paraId="144DB744" w14:textId="77777777" w:rsidR="003B7A80" w:rsidRDefault="003B7A80" w:rsidP="0084104F">
            <w:pPr>
              <w:keepNext/>
              <w:spacing w:after="0"/>
              <w:ind w:left="0"/>
              <w:rPr>
                <w:rFonts w:cs="Arial"/>
                <w:b/>
                <w:color w:val="1F3864" w:themeColor="accent5" w:themeShade="80"/>
              </w:rPr>
            </w:pPr>
            <w:r>
              <w:rPr>
                <w:rFonts w:cs="Arial"/>
                <w:b/>
                <w:color w:val="1F3864" w:themeColor="accent5" w:themeShade="80"/>
              </w:rPr>
              <w:t>CSA</w:t>
            </w:r>
          </w:p>
        </w:tc>
        <w:tc>
          <w:tcPr>
            <w:tcW w:w="1342" w:type="dxa"/>
            <w:shd w:val="clear" w:color="auto" w:fill="DEEAF6" w:themeFill="accent1" w:themeFillTint="33"/>
            <w:vAlign w:val="center"/>
          </w:tcPr>
          <w:p w14:paraId="047C578A" w14:textId="77777777" w:rsidR="003B7A80" w:rsidRPr="001B5E0B" w:rsidRDefault="003B7A80" w:rsidP="0084104F">
            <w:pPr>
              <w:keepNext/>
              <w:spacing w:after="0"/>
              <w:ind w:left="0"/>
              <w:rPr>
                <w:rFonts w:cs="Arial"/>
                <w:b/>
                <w:color w:val="1F3864" w:themeColor="accent5" w:themeShade="80"/>
              </w:rPr>
            </w:pPr>
            <w:r>
              <w:rPr>
                <w:rFonts w:cs="Arial"/>
                <w:b/>
                <w:color w:val="1F3864" w:themeColor="accent5" w:themeShade="80"/>
              </w:rPr>
              <w:t>ISO</w:t>
            </w:r>
          </w:p>
        </w:tc>
      </w:tr>
      <w:tr w:rsidR="0084104F" w:rsidRPr="00873442" w14:paraId="26444806" w14:textId="77777777" w:rsidTr="00F77276">
        <w:tc>
          <w:tcPr>
            <w:tcW w:w="720" w:type="dxa"/>
            <w:vAlign w:val="center"/>
          </w:tcPr>
          <w:p w14:paraId="27040D25" w14:textId="77777777" w:rsidR="0084104F" w:rsidRDefault="0084104F" w:rsidP="0084104F">
            <w:pPr>
              <w:ind w:left="0"/>
              <w:jc w:val="center"/>
            </w:pPr>
            <w:r>
              <w:t>1</w:t>
            </w:r>
          </w:p>
        </w:tc>
        <w:tc>
          <w:tcPr>
            <w:tcW w:w="4410" w:type="dxa"/>
            <w:vAlign w:val="center"/>
          </w:tcPr>
          <w:p w14:paraId="617912D1" w14:textId="128D2900" w:rsidR="0084104F" w:rsidRDefault="0084104F" w:rsidP="0084104F">
            <w:pPr>
              <w:ind w:left="0"/>
            </w:pPr>
            <w:r>
              <w:t>Change Control and Configuration Management</w:t>
            </w:r>
          </w:p>
        </w:tc>
        <w:tc>
          <w:tcPr>
            <w:tcW w:w="900" w:type="dxa"/>
            <w:vAlign w:val="center"/>
          </w:tcPr>
          <w:p w14:paraId="7CD3B59D" w14:textId="2FD2E438" w:rsidR="0084104F" w:rsidRDefault="0084104F" w:rsidP="0084104F">
            <w:pPr>
              <w:ind w:left="0"/>
            </w:pPr>
            <w:r>
              <w:t>CM</w:t>
            </w:r>
          </w:p>
        </w:tc>
        <w:tc>
          <w:tcPr>
            <w:tcW w:w="806" w:type="dxa"/>
            <w:vAlign w:val="center"/>
          </w:tcPr>
          <w:p w14:paraId="60EB3222" w14:textId="73A649B8" w:rsidR="0084104F" w:rsidRDefault="0084104F" w:rsidP="0084104F">
            <w:pPr>
              <w:ind w:left="0"/>
            </w:pPr>
            <w:r>
              <w:t>CCC</w:t>
            </w:r>
          </w:p>
        </w:tc>
        <w:tc>
          <w:tcPr>
            <w:tcW w:w="1342" w:type="dxa"/>
            <w:vAlign w:val="center"/>
          </w:tcPr>
          <w:p w14:paraId="39EF23FC" w14:textId="03F61A02" w:rsidR="0084104F" w:rsidRDefault="0084104F" w:rsidP="0084104F">
            <w:pPr>
              <w:ind w:left="0"/>
            </w:pPr>
            <w:r>
              <w:t>A.12.1.2</w:t>
            </w:r>
          </w:p>
        </w:tc>
      </w:tr>
      <w:tr w:rsidR="0084104F" w:rsidRPr="00873442" w14:paraId="541EDC6D" w14:textId="77777777" w:rsidTr="00F77276">
        <w:tc>
          <w:tcPr>
            <w:tcW w:w="720" w:type="dxa"/>
            <w:vAlign w:val="center"/>
          </w:tcPr>
          <w:p w14:paraId="248BE0FA" w14:textId="77777777" w:rsidR="0084104F" w:rsidRDefault="0084104F" w:rsidP="0084104F">
            <w:pPr>
              <w:ind w:left="0"/>
              <w:jc w:val="center"/>
            </w:pPr>
            <w:r>
              <w:t>2</w:t>
            </w:r>
          </w:p>
        </w:tc>
        <w:tc>
          <w:tcPr>
            <w:tcW w:w="4410" w:type="dxa"/>
            <w:vAlign w:val="center"/>
          </w:tcPr>
          <w:p w14:paraId="2542A5A6" w14:textId="0DA04240" w:rsidR="0084104F" w:rsidRDefault="0084104F" w:rsidP="0084104F">
            <w:pPr>
              <w:ind w:left="0"/>
              <w:rPr>
                <w:szCs w:val="24"/>
              </w:rPr>
            </w:pPr>
            <w:r>
              <w:rPr>
                <w:szCs w:val="24"/>
              </w:rPr>
              <w:t>Secure Application and Program Interfaces</w:t>
            </w:r>
          </w:p>
        </w:tc>
        <w:tc>
          <w:tcPr>
            <w:tcW w:w="900" w:type="dxa"/>
            <w:vAlign w:val="center"/>
          </w:tcPr>
          <w:p w14:paraId="08D98815" w14:textId="03D7D5E6" w:rsidR="0084104F" w:rsidRDefault="0084104F" w:rsidP="0084104F">
            <w:pPr>
              <w:ind w:left="0"/>
            </w:pPr>
            <w:r>
              <w:t>SC</w:t>
            </w:r>
          </w:p>
        </w:tc>
        <w:tc>
          <w:tcPr>
            <w:tcW w:w="806" w:type="dxa"/>
            <w:vAlign w:val="center"/>
          </w:tcPr>
          <w:p w14:paraId="1C4638A4" w14:textId="7FFBE710" w:rsidR="0084104F" w:rsidRDefault="0084104F" w:rsidP="0084104F">
            <w:pPr>
              <w:ind w:left="0"/>
            </w:pPr>
            <w:r>
              <w:t>AIS</w:t>
            </w:r>
          </w:p>
        </w:tc>
        <w:tc>
          <w:tcPr>
            <w:tcW w:w="1342" w:type="dxa"/>
            <w:vAlign w:val="center"/>
          </w:tcPr>
          <w:p w14:paraId="4CF7A918" w14:textId="1237BE55" w:rsidR="0084104F" w:rsidRDefault="0084104F" w:rsidP="0084104F">
            <w:pPr>
              <w:ind w:left="0"/>
              <w:rPr>
                <w:szCs w:val="24"/>
              </w:rPr>
            </w:pPr>
            <w:r>
              <w:rPr>
                <w:szCs w:val="24"/>
              </w:rPr>
              <w:t>A.14.1.3</w:t>
            </w:r>
          </w:p>
        </w:tc>
      </w:tr>
      <w:tr w:rsidR="003B7A80" w:rsidRPr="00873442" w14:paraId="238A0F41" w14:textId="77777777" w:rsidTr="00F77276">
        <w:tc>
          <w:tcPr>
            <w:tcW w:w="720" w:type="dxa"/>
            <w:vAlign w:val="center"/>
          </w:tcPr>
          <w:p w14:paraId="3EFB3237" w14:textId="77777777" w:rsidR="003B7A80" w:rsidRDefault="003B7A80" w:rsidP="00F77276">
            <w:pPr>
              <w:ind w:left="0"/>
              <w:jc w:val="center"/>
            </w:pPr>
            <w:r>
              <w:t>3</w:t>
            </w:r>
          </w:p>
        </w:tc>
        <w:tc>
          <w:tcPr>
            <w:tcW w:w="4410" w:type="dxa"/>
            <w:vAlign w:val="center"/>
          </w:tcPr>
          <w:p w14:paraId="45C2420B" w14:textId="77777777" w:rsidR="003B7A80" w:rsidRDefault="003B7A80" w:rsidP="0084104F">
            <w:pPr>
              <w:ind w:left="0"/>
              <w:rPr>
                <w:szCs w:val="24"/>
              </w:rPr>
            </w:pPr>
            <w:r>
              <w:rPr>
                <w:szCs w:val="24"/>
              </w:rPr>
              <w:t>Disaster Recovery and Business Continuity Planning</w:t>
            </w:r>
          </w:p>
        </w:tc>
        <w:tc>
          <w:tcPr>
            <w:tcW w:w="900" w:type="dxa"/>
            <w:vAlign w:val="center"/>
          </w:tcPr>
          <w:p w14:paraId="486C8693" w14:textId="77777777" w:rsidR="003B7A80" w:rsidRDefault="003B7A80" w:rsidP="0084104F">
            <w:pPr>
              <w:ind w:left="0"/>
            </w:pPr>
            <w:r>
              <w:t>CP</w:t>
            </w:r>
          </w:p>
        </w:tc>
        <w:tc>
          <w:tcPr>
            <w:tcW w:w="806" w:type="dxa"/>
            <w:vAlign w:val="center"/>
          </w:tcPr>
          <w:p w14:paraId="0673826F" w14:textId="77777777" w:rsidR="003B7A80" w:rsidRDefault="003B7A80" w:rsidP="0084104F">
            <w:pPr>
              <w:ind w:left="0"/>
            </w:pPr>
            <w:r>
              <w:t>BCR</w:t>
            </w:r>
          </w:p>
        </w:tc>
        <w:tc>
          <w:tcPr>
            <w:tcW w:w="1342" w:type="dxa"/>
            <w:vAlign w:val="center"/>
          </w:tcPr>
          <w:p w14:paraId="185F8550" w14:textId="77777777" w:rsidR="003B7A80" w:rsidRDefault="003B7A80" w:rsidP="0084104F">
            <w:pPr>
              <w:ind w:left="0"/>
              <w:rPr>
                <w:szCs w:val="24"/>
              </w:rPr>
            </w:pPr>
            <w:r>
              <w:rPr>
                <w:szCs w:val="24"/>
              </w:rPr>
              <w:t>A.17.1.3</w:t>
            </w:r>
          </w:p>
        </w:tc>
      </w:tr>
      <w:tr w:rsidR="003B7A80" w:rsidRPr="00873442" w14:paraId="4488874B" w14:textId="77777777" w:rsidTr="00F77276">
        <w:tc>
          <w:tcPr>
            <w:tcW w:w="720" w:type="dxa"/>
            <w:vAlign w:val="center"/>
          </w:tcPr>
          <w:p w14:paraId="0277E524" w14:textId="77777777" w:rsidR="003B7A80" w:rsidRDefault="003B7A80" w:rsidP="00F77276">
            <w:pPr>
              <w:ind w:left="0"/>
              <w:jc w:val="center"/>
            </w:pPr>
            <w:r>
              <w:t>4</w:t>
            </w:r>
          </w:p>
        </w:tc>
        <w:tc>
          <w:tcPr>
            <w:tcW w:w="4410" w:type="dxa"/>
            <w:vAlign w:val="center"/>
          </w:tcPr>
          <w:p w14:paraId="4C9E5637" w14:textId="4DF9CA44" w:rsidR="003B7A80" w:rsidRDefault="003B7A80" w:rsidP="0084104F">
            <w:pPr>
              <w:ind w:left="0"/>
              <w:rPr>
                <w:szCs w:val="24"/>
              </w:rPr>
            </w:pPr>
            <w:r>
              <w:rPr>
                <w:szCs w:val="24"/>
              </w:rPr>
              <w:t>Secure Configuration</w:t>
            </w:r>
          </w:p>
        </w:tc>
        <w:tc>
          <w:tcPr>
            <w:tcW w:w="900" w:type="dxa"/>
            <w:vAlign w:val="center"/>
          </w:tcPr>
          <w:p w14:paraId="715E6867" w14:textId="77777777" w:rsidR="003B7A80" w:rsidRDefault="003B7A80" w:rsidP="0084104F">
            <w:pPr>
              <w:ind w:left="0"/>
            </w:pPr>
            <w:r>
              <w:t>CM</w:t>
            </w:r>
          </w:p>
        </w:tc>
        <w:tc>
          <w:tcPr>
            <w:tcW w:w="806" w:type="dxa"/>
            <w:vAlign w:val="center"/>
          </w:tcPr>
          <w:p w14:paraId="4DD821E4" w14:textId="77777777" w:rsidR="003B7A80" w:rsidRDefault="003B7A80" w:rsidP="0084104F">
            <w:pPr>
              <w:ind w:left="0"/>
            </w:pPr>
            <w:r>
              <w:t>IVS</w:t>
            </w:r>
          </w:p>
        </w:tc>
        <w:tc>
          <w:tcPr>
            <w:tcW w:w="1342" w:type="dxa"/>
            <w:vAlign w:val="center"/>
          </w:tcPr>
          <w:p w14:paraId="77990603" w14:textId="77777777" w:rsidR="003B7A80" w:rsidRDefault="003B7A80" w:rsidP="0084104F">
            <w:pPr>
              <w:ind w:left="0"/>
              <w:rPr>
                <w:szCs w:val="24"/>
              </w:rPr>
            </w:pPr>
            <w:r>
              <w:rPr>
                <w:szCs w:val="24"/>
              </w:rPr>
              <w:t>A.12.5.1</w:t>
            </w:r>
          </w:p>
        </w:tc>
      </w:tr>
      <w:tr w:rsidR="003B7A80" w:rsidRPr="00873442" w14:paraId="1B0E42FA" w14:textId="77777777" w:rsidTr="00F77276">
        <w:tc>
          <w:tcPr>
            <w:tcW w:w="720" w:type="dxa"/>
            <w:vAlign w:val="center"/>
          </w:tcPr>
          <w:p w14:paraId="44BB18CB" w14:textId="77777777" w:rsidR="003B7A80" w:rsidRDefault="003B7A80" w:rsidP="00F77276">
            <w:pPr>
              <w:ind w:left="0"/>
              <w:jc w:val="center"/>
            </w:pPr>
            <w:r>
              <w:t>5</w:t>
            </w:r>
          </w:p>
        </w:tc>
        <w:tc>
          <w:tcPr>
            <w:tcW w:w="4410" w:type="dxa"/>
            <w:vAlign w:val="center"/>
          </w:tcPr>
          <w:p w14:paraId="58B307B3" w14:textId="53E8CB4E" w:rsidR="003B7A80" w:rsidRDefault="003B7A80" w:rsidP="0084104F">
            <w:pPr>
              <w:ind w:left="0"/>
              <w:rPr>
                <w:szCs w:val="24"/>
              </w:rPr>
            </w:pPr>
            <w:r>
              <w:rPr>
                <w:szCs w:val="24"/>
              </w:rPr>
              <w:t>Intrusion Prevention</w:t>
            </w:r>
          </w:p>
        </w:tc>
        <w:tc>
          <w:tcPr>
            <w:tcW w:w="900" w:type="dxa"/>
            <w:vAlign w:val="center"/>
          </w:tcPr>
          <w:p w14:paraId="673B43B4" w14:textId="77777777" w:rsidR="003B7A80" w:rsidRDefault="003B7A80" w:rsidP="0084104F">
            <w:pPr>
              <w:ind w:left="0"/>
              <w:rPr>
                <w:szCs w:val="24"/>
              </w:rPr>
            </w:pPr>
            <w:r>
              <w:rPr>
                <w:szCs w:val="24"/>
              </w:rPr>
              <w:t>SI</w:t>
            </w:r>
          </w:p>
        </w:tc>
        <w:tc>
          <w:tcPr>
            <w:tcW w:w="806" w:type="dxa"/>
            <w:vAlign w:val="center"/>
          </w:tcPr>
          <w:p w14:paraId="67A13CE2" w14:textId="77777777" w:rsidR="003B7A80" w:rsidRDefault="003B7A80" w:rsidP="0084104F">
            <w:pPr>
              <w:ind w:left="0"/>
              <w:rPr>
                <w:szCs w:val="24"/>
              </w:rPr>
            </w:pPr>
            <w:r>
              <w:rPr>
                <w:szCs w:val="24"/>
              </w:rPr>
              <w:t>TVM</w:t>
            </w:r>
          </w:p>
        </w:tc>
        <w:tc>
          <w:tcPr>
            <w:tcW w:w="1342" w:type="dxa"/>
            <w:vAlign w:val="center"/>
          </w:tcPr>
          <w:p w14:paraId="2FA9AAE8" w14:textId="33B11ED9" w:rsidR="003B7A80" w:rsidRDefault="0084104F" w:rsidP="0084104F">
            <w:pPr>
              <w:ind w:left="0"/>
              <w:rPr>
                <w:szCs w:val="24"/>
              </w:rPr>
            </w:pPr>
            <w:r>
              <w:rPr>
                <w:szCs w:val="24"/>
              </w:rPr>
              <w:t>A.14</w:t>
            </w:r>
            <w:r w:rsidR="003B7A80">
              <w:rPr>
                <w:szCs w:val="24"/>
              </w:rPr>
              <w:t>.</w:t>
            </w:r>
            <w:r>
              <w:rPr>
                <w:szCs w:val="24"/>
              </w:rPr>
              <w:t>1</w:t>
            </w:r>
            <w:r w:rsidR="003B7A80">
              <w:rPr>
                <w:szCs w:val="24"/>
              </w:rPr>
              <w:t>.</w:t>
            </w:r>
            <w:r>
              <w:rPr>
                <w:szCs w:val="24"/>
              </w:rPr>
              <w:t>2</w:t>
            </w:r>
          </w:p>
        </w:tc>
      </w:tr>
      <w:tr w:rsidR="003B7A80" w:rsidRPr="00873442" w14:paraId="0A2D0915" w14:textId="77777777" w:rsidTr="00F77276">
        <w:tc>
          <w:tcPr>
            <w:tcW w:w="720" w:type="dxa"/>
            <w:vAlign w:val="center"/>
          </w:tcPr>
          <w:p w14:paraId="0D2C293F" w14:textId="77777777" w:rsidR="003B7A80" w:rsidRDefault="003B7A80" w:rsidP="00F77276">
            <w:pPr>
              <w:ind w:left="0"/>
              <w:jc w:val="center"/>
            </w:pPr>
            <w:r>
              <w:t>6</w:t>
            </w:r>
          </w:p>
        </w:tc>
        <w:tc>
          <w:tcPr>
            <w:tcW w:w="4410" w:type="dxa"/>
            <w:vAlign w:val="center"/>
          </w:tcPr>
          <w:p w14:paraId="723700BE" w14:textId="52B815FA" w:rsidR="003B7A80" w:rsidRDefault="003B7A80" w:rsidP="0084104F">
            <w:pPr>
              <w:ind w:left="0"/>
              <w:rPr>
                <w:szCs w:val="24"/>
              </w:rPr>
            </w:pPr>
            <w:r>
              <w:rPr>
                <w:szCs w:val="24"/>
              </w:rPr>
              <w:t>Vulnerability and Penetration Testing</w:t>
            </w:r>
          </w:p>
        </w:tc>
        <w:tc>
          <w:tcPr>
            <w:tcW w:w="900" w:type="dxa"/>
            <w:vAlign w:val="center"/>
          </w:tcPr>
          <w:p w14:paraId="43247554" w14:textId="77777777" w:rsidR="003B7A80" w:rsidRDefault="003B7A80" w:rsidP="0084104F">
            <w:pPr>
              <w:ind w:left="0"/>
              <w:rPr>
                <w:szCs w:val="24"/>
              </w:rPr>
            </w:pPr>
            <w:r>
              <w:rPr>
                <w:szCs w:val="24"/>
              </w:rPr>
              <w:t>RA</w:t>
            </w:r>
          </w:p>
        </w:tc>
        <w:tc>
          <w:tcPr>
            <w:tcW w:w="806" w:type="dxa"/>
            <w:vAlign w:val="center"/>
          </w:tcPr>
          <w:p w14:paraId="68B5FE8A" w14:textId="77777777" w:rsidR="003B7A80" w:rsidRDefault="003B7A80" w:rsidP="0084104F">
            <w:pPr>
              <w:ind w:left="0"/>
              <w:rPr>
                <w:szCs w:val="24"/>
              </w:rPr>
            </w:pPr>
            <w:r>
              <w:rPr>
                <w:szCs w:val="24"/>
              </w:rPr>
              <w:t>IVS</w:t>
            </w:r>
          </w:p>
        </w:tc>
        <w:tc>
          <w:tcPr>
            <w:tcW w:w="1342" w:type="dxa"/>
            <w:vAlign w:val="center"/>
          </w:tcPr>
          <w:p w14:paraId="28F2EAF9" w14:textId="77777777" w:rsidR="003B7A80" w:rsidRDefault="003B7A80" w:rsidP="0084104F">
            <w:pPr>
              <w:ind w:left="0"/>
              <w:rPr>
                <w:szCs w:val="24"/>
              </w:rPr>
            </w:pPr>
            <w:r>
              <w:rPr>
                <w:szCs w:val="24"/>
              </w:rPr>
              <w:t>A.14.2.3</w:t>
            </w:r>
          </w:p>
        </w:tc>
      </w:tr>
      <w:tr w:rsidR="003B7A80" w:rsidRPr="00873442" w14:paraId="7CE9A346" w14:textId="77777777" w:rsidTr="00F77276">
        <w:tc>
          <w:tcPr>
            <w:tcW w:w="720" w:type="dxa"/>
            <w:vAlign w:val="center"/>
          </w:tcPr>
          <w:p w14:paraId="7CC22E10" w14:textId="77777777" w:rsidR="003B7A80" w:rsidRDefault="003B7A80" w:rsidP="00F77276">
            <w:pPr>
              <w:ind w:left="0"/>
              <w:jc w:val="center"/>
            </w:pPr>
            <w:r>
              <w:t>7</w:t>
            </w:r>
          </w:p>
        </w:tc>
        <w:tc>
          <w:tcPr>
            <w:tcW w:w="4410" w:type="dxa"/>
            <w:vAlign w:val="center"/>
          </w:tcPr>
          <w:p w14:paraId="406E07EF" w14:textId="77777777" w:rsidR="003B7A80" w:rsidRDefault="003B7A80" w:rsidP="0084104F">
            <w:pPr>
              <w:ind w:left="0"/>
              <w:rPr>
                <w:szCs w:val="24"/>
              </w:rPr>
            </w:pPr>
            <w:r>
              <w:rPr>
                <w:szCs w:val="24"/>
              </w:rPr>
              <w:t>Software Lifecycle and Patch Management</w:t>
            </w:r>
          </w:p>
        </w:tc>
        <w:tc>
          <w:tcPr>
            <w:tcW w:w="900" w:type="dxa"/>
            <w:vAlign w:val="center"/>
          </w:tcPr>
          <w:p w14:paraId="583339DC" w14:textId="635DFA7C" w:rsidR="003B7A80" w:rsidRDefault="0084104F" w:rsidP="0084104F">
            <w:pPr>
              <w:ind w:left="0"/>
              <w:rPr>
                <w:szCs w:val="24"/>
              </w:rPr>
            </w:pPr>
            <w:r>
              <w:rPr>
                <w:szCs w:val="24"/>
              </w:rPr>
              <w:t>SA</w:t>
            </w:r>
          </w:p>
        </w:tc>
        <w:tc>
          <w:tcPr>
            <w:tcW w:w="806" w:type="dxa"/>
            <w:vAlign w:val="center"/>
          </w:tcPr>
          <w:p w14:paraId="403F8530" w14:textId="77777777" w:rsidR="003B7A80" w:rsidRDefault="003B7A80" w:rsidP="0084104F">
            <w:pPr>
              <w:ind w:left="0"/>
              <w:rPr>
                <w:szCs w:val="24"/>
              </w:rPr>
            </w:pPr>
            <w:r>
              <w:rPr>
                <w:szCs w:val="24"/>
              </w:rPr>
              <w:t>TVM</w:t>
            </w:r>
          </w:p>
        </w:tc>
        <w:tc>
          <w:tcPr>
            <w:tcW w:w="1342" w:type="dxa"/>
            <w:vAlign w:val="center"/>
          </w:tcPr>
          <w:p w14:paraId="5FE55B3A" w14:textId="77777777" w:rsidR="003B7A80" w:rsidRDefault="003B7A80" w:rsidP="0084104F">
            <w:pPr>
              <w:ind w:left="0"/>
              <w:rPr>
                <w:szCs w:val="24"/>
              </w:rPr>
            </w:pPr>
            <w:r>
              <w:rPr>
                <w:szCs w:val="24"/>
              </w:rPr>
              <w:t>A.12.6.1</w:t>
            </w:r>
          </w:p>
        </w:tc>
      </w:tr>
      <w:tr w:rsidR="003B7A80" w:rsidRPr="00873442" w14:paraId="6D800AAC" w14:textId="77777777" w:rsidTr="00F77276">
        <w:tc>
          <w:tcPr>
            <w:tcW w:w="720" w:type="dxa"/>
            <w:vAlign w:val="center"/>
          </w:tcPr>
          <w:p w14:paraId="2A29A127" w14:textId="77777777" w:rsidR="003B7A80" w:rsidRDefault="003B7A80" w:rsidP="00F77276">
            <w:pPr>
              <w:ind w:left="0"/>
              <w:jc w:val="center"/>
            </w:pPr>
            <w:r>
              <w:t>8</w:t>
            </w:r>
          </w:p>
        </w:tc>
        <w:tc>
          <w:tcPr>
            <w:tcW w:w="4410" w:type="dxa"/>
            <w:vAlign w:val="center"/>
          </w:tcPr>
          <w:p w14:paraId="1A181E3A" w14:textId="3C8D9A1D" w:rsidR="003B7A80" w:rsidRDefault="0084104F" w:rsidP="0084104F">
            <w:pPr>
              <w:ind w:left="0"/>
              <w:rPr>
                <w:szCs w:val="24"/>
              </w:rPr>
            </w:pPr>
            <w:r w:rsidRPr="0084104F">
              <w:rPr>
                <w:szCs w:val="24"/>
              </w:rPr>
              <w:t>Data Protection/</w:t>
            </w:r>
            <w:r>
              <w:rPr>
                <w:szCs w:val="24"/>
              </w:rPr>
              <w:t xml:space="preserve"> </w:t>
            </w:r>
            <w:r w:rsidRPr="0084104F">
              <w:rPr>
                <w:szCs w:val="24"/>
              </w:rPr>
              <w:t>Portability/</w:t>
            </w:r>
            <w:r>
              <w:rPr>
                <w:szCs w:val="24"/>
              </w:rPr>
              <w:t xml:space="preserve"> </w:t>
            </w:r>
            <w:r w:rsidRPr="0084104F">
              <w:rPr>
                <w:szCs w:val="24"/>
              </w:rPr>
              <w:t>Retention/</w:t>
            </w:r>
            <w:r>
              <w:rPr>
                <w:szCs w:val="24"/>
              </w:rPr>
              <w:t xml:space="preserve"> </w:t>
            </w:r>
            <w:r w:rsidRPr="0084104F">
              <w:rPr>
                <w:szCs w:val="24"/>
              </w:rPr>
              <w:t>Destruction</w:t>
            </w:r>
          </w:p>
        </w:tc>
        <w:tc>
          <w:tcPr>
            <w:tcW w:w="900" w:type="dxa"/>
            <w:vAlign w:val="center"/>
          </w:tcPr>
          <w:p w14:paraId="2A4C4E5E" w14:textId="10167179" w:rsidR="003B7A80" w:rsidRDefault="0084104F" w:rsidP="0084104F">
            <w:pPr>
              <w:ind w:left="0"/>
              <w:rPr>
                <w:szCs w:val="24"/>
              </w:rPr>
            </w:pPr>
            <w:r>
              <w:rPr>
                <w:szCs w:val="24"/>
              </w:rPr>
              <w:t>MP</w:t>
            </w:r>
          </w:p>
        </w:tc>
        <w:tc>
          <w:tcPr>
            <w:tcW w:w="806" w:type="dxa"/>
            <w:vAlign w:val="center"/>
          </w:tcPr>
          <w:p w14:paraId="4C6747EF" w14:textId="600678E4" w:rsidR="003B7A80" w:rsidRDefault="0084104F" w:rsidP="0084104F">
            <w:pPr>
              <w:ind w:left="0"/>
              <w:rPr>
                <w:szCs w:val="24"/>
              </w:rPr>
            </w:pPr>
            <w:r>
              <w:rPr>
                <w:szCs w:val="24"/>
              </w:rPr>
              <w:t>DSI</w:t>
            </w:r>
          </w:p>
        </w:tc>
        <w:tc>
          <w:tcPr>
            <w:tcW w:w="1342" w:type="dxa"/>
            <w:vAlign w:val="center"/>
          </w:tcPr>
          <w:p w14:paraId="313F8939" w14:textId="08A9995D" w:rsidR="003B7A80" w:rsidRDefault="0084104F" w:rsidP="0084104F">
            <w:pPr>
              <w:ind w:left="0"/>
              <w:rPr>
                <w:szCs w:val="24"/>
              </w:rPr>
            </w:pPr>
            <w:r>
              <w:rPr>
                <w:szCs w:val="24"/>
              </w:rPr>
              <w:t>A.8</w:t>
            </w:r>
          </w:p>
        </w:tc>
      </w:tr>
      <w:tr w:rsidR="003B7A80" w:rsidRPr="00873442" w14:paraId="1CB14606" w14:textId="77777777" w:rsidTr="00F77276">
        <w:tc>
          <w:tcPr>
            <w:tcW w:w="720" w:type="dxa"/>
            <w:vAlign w:val="center"/>
          </w:tcPr>
          <w:p w14:paraId="642666D0" w14:textId="77777777" w:rsidR="003B7A80" w:rsidRDefault="003B7A80" w:rsidP="00F77276">
            <w:pPr>
              <w:ind w:left="0"/>
              <w:jc w:val="center"/>
            </w:pPr>
            <w:r>
              <w:t>9</w:t>
            </w:r>
          </w:p>
        </w:tc>
        <w:tc>
          <w:tcPr>
            <w:tcW w:w="4410" w:type="dxa"/>
            <w:vAlign w:val="center"/>
          </w:tcPr>
          <w:p w14:paraId="30431CFE" w14:textId="7D89F159" w:rsidR="003B7A80" w:rsidRDefault="0084104F" w:rsidP="0084104F">
            <w:pPr>
              <w:ind w:left="0"/>
              <w:rPr>
                <w:szCs w:val="24"/>
              </w:rPr>
            </w:pPr>
            <w:r>
              <w:rPr>
                <w:szCs w:val="24"/>
              </w:rPr>
              <w:t>Encryption and Key Management</w:t>
            </w:r>
          </w:p>
        </w:tc>
        <w:tc>
          <w:tcPr>
            <w:tcW w:w="900" w:type="dxa"/>
            <w:vAlign w:val="center"/>
          </w:tcPr>
          <w:p w14:paraId="19BC178A" w14:textId="75FE57B1" w:rsidR="003B7A80" w:rsidRDefault="0084104F" w:rsidP="0084104F">
            <w:pPr>
              <w:ind w:left="0"/>
              <w:rPr>
                <w:szCs w:val="24"/>
              </w:rPr>
            </w:pPr>
            <w:r>
              <w:rPr>
                <w:szCs w:val="24"/>
              </w:rPr>
              <w:t>SC</w:t>
            </w:r>
          </w:p>
        </w:tc>
        <w:tc>
          <w:tcPr>
            <w:tcW w:w="806" w:type="dxa"/>
            <w:vAlign w:val="center"/>
          </w:tcPr>
          <w:p w14:paraId="5FDFC5C0" w14:textId="60DA2FAD" w:rsidR="003B7A80" w:rsidRDefault="0084104F" w:rsidP="0084104F">
            <w:pPr>
              <w:ind w:left="0"/>
              <w:rPr>
                <w:szCs w:val="24"/>
              </w:rPr>
            </w:pPr>
            <w:r>
              <w:rPr>
                <w:szCs w:val="24"/>
              </w:rPr>
              <w:t>EKM</w:t>
            </w:r>
          </w:p>
        </w:tc>
        <w:tc>
          <w:tcPr>
            <w:tcW w:w="1342" w:type="dxa"/>
            <w:vAlign w:val="center"/>
          </w:tcPr>
          <w:p w14:paraId="26B22E91" w14:textId="53AD0EAD" w:rsidR="003B7A80" w:rsidRDefault="0084104F" w:rsidP="0084104F">
            <w:pPr>
              <w:ind w:left="0"/>
              <w:rPr>
                <w:szCs w:val="24"/>
              </w:rPr>
            </w:pPr>
            <w:r>
              <w:rPr>
                <w:szCs w:val="24"/>
              </w:rPr>
              <w:t>A.10.1</w:t>
            </w:r>
            <w:r w:rsidR="003B7A80">
              <w:rPr>
                <w:szCs w:val="24"/>
              </w:rPr>
              <w:t>.2</w:t>
            </w:r>
          </w:p>
        </w:tc>
      </w:tr>
      <w:tr w:rsidR="0084104F" w:rsidRPr="00873442" w14:paraId="70718017" w14:textId="77777777" w:rsidTr="00F77276">
        <w:tc>
          <w:tcPr>
            <w:tcW w:w="720" w:type="dxa"/>
            <w:vAlign w:val="center"/>
          </w:tcPr>
          <w:p w14:paraId="60CD2C63" w14:textId="0922A444" w:rsidR="0084104F" w:rsidRDefault="0084104F" w:rsidP="00F77276">
            <w:pPr>
              <w:ind w:left="0"/>
              <w:jc w:val="center"/>
            </w:pPr>
            <w:r>
              <w:t>10</w:t>
            </w:r>
          </w:p>
        </w:tc>
        <w:tc>
          <w:tcPr>
            <w:tcW w:w="4410" w:type="dxa"/>
            <w:vAlign w:val="center"/>
          </w:tcPr>
          <w:p w14:paraId="3A2CAC41" w14:textId="4FB5A7A9" w:rsidR="0084104F" w:rsidRDefault="0084104F" w:rsidP="0084104F">
            <w:pPr>
              <w:ind w:left="0"/>
              <w:rPr>
                <w:szCs w:val="24"/>
              </w:rPr>
            </w:pPr>
            <w:r>
              <w:rPr>
                <w:szCs w:val="24"/>
              </w:rPr>
              <w:t>Application and Database Logging</w:t>
            </w:r>
          </w:p>
        </w:tc>
        <w:tc>
          <w:tcPr>
            <w:tcW w:w="900" w:type="dxa"/>
            <w:vAlign w:val="center"/>
          </w:tcPr>
          <w:p w14:paraId="5ED90EBB" w14:textId="7BEF5D8B" w:rsidR="0084104F" w:rsidRDefault="007C584C" w:rsidP="0084104F">
            <w:pPr>
              <w:ind w:left="0"/>
              <w:rPr>
                <w:szCs w:val="24"/>
              </w:rPr>
            </w:pPr>
            <w:r>
              <w:rPr>
                <w:szCs w:val="24"/>
              </w:rPr>
              <w:t>AU</w:t>
            </w:r>
          </w:p>
        </w:tc>
        <w:tc>
          <w:tcPr>
            <w:tcW w:w="806" w:type="dxa"/>
            <w:vAlign w:val="center"/>
          </w:tcPr>
          <w:p w14:paraId="481702F6" w14:textId="5ED7A2F9" w:rsidR="0084104F" w:rsidRDefault="007C584C" w:rsidP="0084104F">
            <w:pPr>
              <w:ind w:left="0"/>
              <w:rPr>
                <w:szCs w:val="24"/>
              </w:rPr>
            </w:pPr>
            <w:r>
              <w:rPr>
                <w:szCs w:val="24"/>
              </w:rPr>
              <w:t>IVS</w:t>
            </w:r>
          </w:p>
        </w:tc>
        <w:tc>
          <w:tcPr>
            <w:tcW w:w="1342" w:type="dxa"/>
            <w:vAlign w:val="center"/>
          </w:tcPr>
          <w:p w14:paraId="35D967D7" w14:textId="14D19C3A" w:rsidR="0084104F" w:rsidRDefault="007C584C" w:rsidP="0084104F">
            <w:pPr>
              <w:ind w:left="0"/>
              <w:rPr>
                <w:szCs w:val="24"/>
              </w:rPr>
            </w:pPr>
            <w:r>
              <w:rPr>
                <w:szCs w:val="24"/>
              </w:rPr>
              <w:t>A.12.4</w:t>
            </w:r>
          </w:p>
        </w:tc>
      </w:tr>
    </w:tbl>
    <w:p w14:paraId="51B808A1" w14:textId="77777777" w:rsidR="004B647D" w:rsidRPr="00E21848" w:rsidRDefault="004B647D" w:rsidP="004B647D"/>
    <w:p w14:paraId="78492F08" w14:textId="3C53F979" w:rsidR="004B647D" w:rsidRDefault="004B647D" w:rsidP="0084104F">
      <w:pPr>
        <w:keepNext/>
      </w:pPr>
      <w:r>
        <w:t>Software as a Service</w:t>
      </w:r>
      <w:r w:rsidRPr="00E21848">
        <w:t>:</w:t>
      </w:r>
    </w:p>
    <w:tbl>
      <w:tblPr>
        <w:tblStyle w:val="TableGrid"/>
        <w:tblW w:w="8178" w:type="dxa"/>
        <w:tblInd w:w="715" w:type="dxa"/>
        <w:tblLayout w:type="fixed"/>
        <w:tblLook w:val="04A0" w:firstRow="1" w:lastRow="0" w:firstColumn="1" w:lastColumn="0" w:noHBand="0" w:noVBand="1"/>
        <w:tblDescription w:val="Table of software as a service SLAs"/>
      </w:tblPr>
      <w:tblGrid>
        <w:gridCol w:w="720"/>
        <w:gridCol w:w="4410"/>
        <w:gridCol w:w="900"/>
        <w:gridCol w:w="806"/>
        <w:gridCol w:w="1342"/>
      </w:tblGrid>
      <w:tr w:rsidR="003B7A80" w:rsidRPr="00873442" w14:paraId="7F4FDBFC" w14:textId="77777777" w:rsidTr="00F77276">
        <w:trPr>
          <w:tblHeader/>
        </w:trPr>
        <w:tc>
          <w:tcPr>
            <w:tcW w:w="720" w:type="dxa"/>
            <w:shd w:val="clear" w:color="auto" w:fill="DEEAF6" w:themeFill="accent1" w:themeFillTint="33"/>
            <w:vAlign w:val="center"/>
          </w:tcPr>
          <w:p w14:paraId="5A6D81D4" w14:textId="77777777" w:rsidR="003B7A80" w:rsidRPr="004F202B" w:rsidRDefault="003B7A80" w:rsidP="0084104F">
            <w:pPr>
              <w:keepNext/>
              <w:spacing w:after="0"/>
              <w:ind w:left="0"/>
              <w:jc w:val="center"/>
              <w:rPr>
                <w:rFonts w:cs="Arial"/>
                <w:b/>
                <w:color w:val="1F3864" w:themeColor="accent5" w:themeShade="80"/>
              </w:rPr>
            </w:pPr>
            <w:r>
              <w:rPr>
                <w:rFonts w:cs="Arial"/>
                <w:b/>
                <w:color w:val="1F3864" w:themeColor="accent5" w:themeShade="80"/>
              </w:rPr>
              <w:t>#</w:t>
            </w:r>
          </w:p>
        </w:tc>
        <w:tc>
          <w:tcPr>
            <w:tcW w:w="4410" w:type="dxa"/>
            <w:shd w:val="clear" w:color="auto" w:fill="DEEAF6" w:themeFill="accent1" w:themeFillTint="33"/>
            <w:vAlign w:val="center"/>
          </w:tcPr>
          <w:p w14:paraId="361A934F" w14:textId="77777777" w:rsidR="003B7A80" w:rsidRPr="001B5E0B" w:rsidRDefault="003B7A80" w:rsidP="0084104F">
            <w:pPr>
              <w:keepNext/>
              <w:spacing w:after="0"/>
              <w:ind w:left="0"/>
              <w:rPr>
                <w:rFonts w:cs="Arial"/>
                <w:b/>
                <w:color w:val="1F3864" w:themeColor="accent5" w:themeShade="80"/>
              </w:rPr>
            </w:pPr>
            <w:r>
              <w:rPr>
                <w:rFonts w:cs="Arial"/>
                <w:b/>
                <w:color w:val="1F3864" w:themeColor="accent5" w:themeShade="80"/>
              </w:rPr>
              <w:t>Key Security SLAs</w:t>
            </w:r>
          </w:p>
        </w:tc>
        <w:tc>
          <w:tcPr>
            <w:tcW w:w="900" w:type="dxa"/>
            <w:shd w:val="clear" w:color="auto" w:fill="DEEAF6" w:themeFill="accent1" w:themeFillTint="33"/>
            <w:vAlign w:val="center"/>
          </w:tcPr>
          <w:p w14:paraId="349209C1" w14:textId="77777777" w:rsidR="003B7A80" w:rsidRDefault="003B7A80" w:rsidP="0084104F">
            <w:pPr>
              <w:keepNext/>
              <w:spacing w:after="0"/>
              <w:ind w:left="0"/>
              <w:rPr>
                <w:rFonts w:cs="Arial"/>
                <w:b/>
                <w:color w:val="1F3864" w:themeColor="accent5" w:themeShade="80"/>
              </w:rPr>
            </w:pPr>
            <w:r>
              <w:rPr>
                <w:rFonts w:cs="Arial"/>
                <w:b/>
                <w:color w:val="1F3864" w:themeColor="accent5" w:themeShade="80"/>
              </w:rPr>
              <w:t>NIST</w:t>
            </w:r>
          </w:p>
        </w:tc>
        <w:tc>
          <w:tcPr>
            <w:tcW w:w="806" w:type="dxa"/>
            <w:shd w:val="clear" w:color="auto" w:fill="DEEAF6" w:themeFill="accent1" w:themeFillTint="33"/>
          </w:tcPr>
          <w:p w14:paraId="618CF299" w14:textId="77777777" w:rsidR="003B7A80" w:rsidRDefault="003B7A80" w:rsidP="0084104F">
            <w:pPr>
              <w:keepNext/>
              <w:spacing w:after="0"/>
              <w:ind w:left="0"/>
              <w:rPr>
                <w:rFonts w:cs="Arial"/>
                <w:b/>
                <w:color w:val="1F3864" w:themeColor="accent5" w:themeShade="80"/>
              </w:rPr>
            </w:pPr>
            <w:r>
              <w:rPr>
                <w:rFonts w:cs="Arial"/>
                <w:b/>
                <w:color w:val="1F3864" w:themeColor="accent5" w:themeShade="80"/>
              </w:rPr>
              <w:t>CSA</w:t>
            </w:r>
          </w:p>
        </w:tc>
        <w:tc>
          <w:tcPr>
            <w:tcW w:w="1342" w:type="dxa"/>
            <w:shd w:val="clear" w:color="auto" w:fill="DEEAF6" w:themeFill="accent1" w:themeFillTint="33"/>
            <w:vAlign w:val="center"/>
          </w:tcPr>
          <w:p w14:paraId="7743CE57" w14:textId="77777777" w:rsidR="003B7A80" w:rsidRPr="001B5E0B" w:rsidRDefault="003B7A80" w:rsidP="0084104F">
            <w:pPr>
              <w:keepNext/>
              <w:spacing w:after="0"/>
              <w:ind w:left="0"/>
              <w:rPr>
                <w:rFonts w:cs="Arial"/>
                <w:b/>
                <w:color w:val="1F3864" w:themeColor="accent5" w:themeShade="80"/>
              </w:rPr>
            </w:pPr>
            <w:r>
              <w:rPr>
                <w:rFonts w:cs="Arial"/>
                <w:b/>
                <w:color w:val="1F3864" w:themeColor="accent5" w:themeShade="80"/>
              </w:rPr>
              <w:t>ISO</w:t>
            </w:r>
          </w:p>
        </w:tc>
      </w:tr>
      <w:tr w:rsidR="003B7A80" w:rsidRPr="00873442" w14:paraId="3C81A2F4" w14:textId="77777777" w:rsidTr="00F77276">
        <w:tc>
          <w:tcPr>
            <w:tcW w:w="720" w:type="dxa"/>
            <w:vAlign w:val="center"/>
          </w:tcPr>
          <w:p w14:paraId="35B74078" w14:textId="77777777" w:rsidR="003B7A80" w:rsidRDefault="003B7A80" w:rsidP="00F77276">
            <w:pPr>
              <w:ind w:left="0"/>
              <w:jc w:val="center"/>
            </w:pPr>
            <w:r>
              <w:t>1</w:t>
            </w:r>
          </w:p>
        </w:tc>
        <w:tc>
          <w:tcPr>
            <w:tcW w:w="4410" w:type="dxa"/>
            <w:vAlign w:val="center"/>
          </w:tcPr>
          <w:p w14:paraId="5231010D" w14:textId="77777777" w:rsidR="003B7A80" w:rsidRDefault="003B7A80" w:rsidP="0084104F">
            <w:pPr>
              <w:ind w:left="0"/>
            </w:pPr>
            <w:r>
              <w:t>Change and Release Management</w:t>
            </w:r>
          </w:p>
        </w:tc>
        <w:tc>
          <w:tcPr>
            <w:tcW w:w="900" w:type="dxa"/>
            <w:vAlign w:val="center"/>
          </w:tcPr>
          <w:p w14:paraId="3D02382C" w14:textId="77777777" w:rsidR="003B7A80" w:rsidRDefault="003B7A80" w:rsidP="0084104F">
            <w:pPr>
              <w:ind w:left="0"/>
            </w:pPr>
            <w:r>
              <w:t>CM</w:t>
            </w:r>
          </w:p>
        </w:tc>
        <w:tc>
          <w:tcPr>
            <w:tcW w:w="806" w:type="dxa"/>
            <w:vAlign w:val="center"/>
          </w:tcPr>
          <w:p w14:paraId="1931D1C5" w14:textId="77777777" w:rsidR="003B7A80" w:rsidRDefault="003B7A80" w:rsidP="0084104F">
            <w:pPr>
              <w:ind w:left="0"/>
            </w:pPr>
            <w:r>
              <w:t>CCC</w:t>
            </w:r>
          </w:p>
        </w:tc>
        <w:tc>
          <w:tcPr>
            <w:tcW w:w="1342" w:type="dxa"/>
            <w:vAlign w:val="center"/>
          </w:tcPr>
          <w:p w14:paraId="2749279E" w14:textId="77777777" w:rsidR="003B7A80" w:rsidRDefault="003B7A80" w:rsidP="0084104F">
            <w:pPr>
              <w:ind w:left="0"/>
            </w:pPr>
            <w:r>
              <w:t>A.12.1.2</w:t>
            </w:r>
          </w:p>
        </w:tc>
      </w:tr>
      <w:tr w:rsidR="003B7A80" w:rsidRPr="00873442" w14:paraId="1679C091" w14:textId="77777777" w:rsidTr="00F77276">
        <w:tc>
          <w:tcPr>
            <w:tcW w:w="720" w:type="dxa"/>
            <w:vAlign w:val="center"/>
          </w:tcPr>
          <w:p w14:paraId="54553A37" w14:textId="77777777" w:rsidR="003B7A80" w:rsidRDefault="003B7A80" w:rsidP="00F77276">
            <w:pPr>
              <w:ind w:left="0"/>
              <w:jc w:val="center"/>
            </w:pPr>
            <w:r>
              <w:lastRenderedPageBreak/>
              <w:t>2</w:t>
            </w:r>
          </w:p>
        </w:tc>
        <w:tc>
          <w:tcPr>
            <w:tcW w:w="4410" w:type="dxa"/>
            <w:vAlign w:val="center"/>
          </w:tcPr>
          <w:p w14:paraId="64A72612" w14:textId="77777777" w:rsidR="003B7A80" w:rsidRDefault="003B7A80" w:rsidP="0084104F">
            <w:pPr>
              <w:ind w:left="0"/>
              <w:rPr>
                <w:szCs w:val="24"/>
              </w:rPr>
            </w:pPr>
            <w:r>
              <w:rPr>
                <w:szCs w:val="24"/>
              </w:rPr>
              <w:t>Secure Application and Program Interfaces</w:t>
            </w:r>
          </w:p>
        </w:tc>
        <w:tc>
          <w:tcPr>
            <w:tcW w:w="900" w:type="dxa"/>
            <w:vAlign w:val="center"/>
          </w:tcPr>
          <w:p w14:paraId="7B6C756D" w14:textId="77777777" w:rsidR="003B7A80" w:rsidRDefault="003B7A80" w:rsidP="0084104F">
            <w:pPr>
              <w:ind w:left="0"/>
            </w:pPr>
            <w:r>
              <w:t>SC</w:t>
            </w:r>
          </w:p>
        </w:tc>
        <w:tc>
          <w:tcPr>
            <w:tcW w:w="806" w:type="dxa"/>
            <w:vAlign w:val="center"/>
          </w:tcPr>
          <w:p w14:paraId="0AE1BE3A" w14:textId="77777777" w:rsidR="003B7A80" w:rsidRDefault="003B7A80" w:rsidP="0084104F">
            <w:pPr>
              <w:ind w:left="0"/>
            </w:pPr>
            <w:r>
              <w:t>AIS</w:t>
            </w:r>
          </w:p>
        </w:tc>
        <w:tc>
          <w:tcPr>
            <w:tcW w:w="1342" w:type="dxa"/>
            <w:vAlign w:val="center"/>
          </w:tcPr>
          <w:p w14:paraId="114B72A4" w14:textId="77777777" w:rsidR="003B7A80" w:rsidRDefault="003B7A80" w:rsidP="0084104F">
            <w:pPr>
              <w:ind w:left="0"/>
              <w:rPr>
                <w:szCs w:val="24"/>
              </w:rPr>
            </w:pPr>
            <w:r>
              <w:rPr>
                <w:szCs w:val="24"/>
              </w:rPr>
              <w:t>A.14.1.2</w:t>
            </w:r>
          </w:p>
        </w:tc>
      </w:tr>
      <w:tr w:rsidR="003B7A80" w:rsidRPr="00873442" w14:paraId="679E1295" w14:textId="77777777" w:rsidTr="00F77276">
        <w:tc>
          <w:tcPr>
            <w:tcW w:w="720" w:type="dxa"/>
            <w:vAlign w:val="center"/>
          </w:tcPr>
          <w:p w14:paraId="57DD3CFC" w14:textId="77777777" w:rsidR="003B7A80" w:rsidRDefault="003B7A80" w:rsidP="00F77276">
            <w:pPr>
              <w:ind w:left="0"/>
              <w:jc w:val="center"/>
            </w:pPr>
            <w:r>
              <w:t>3</w:t>
            </w:r>
          </w:p>
        </w:tc>
        <w:tc>
          <w:tcPr>
            <w:tcW w:w="4410" w:type="dxa"/>
            <w:vAlign w:val="center"/>
          </w:tcPr>
          <w:p w14:paraId="5D79863B" w14:textId="77777777" w:rsidR="003B7A80" w:rsidRDefault="003B7A80" w:rsidP="0084104F">
            <w:pPr>
              <w:ind w:left="0"/>
              <w:rPr>
                <w:szCs w:val="24"/>
              </w:rPr>
            </w:pPr>
            <w:r>
              <w:rPr>
                <w:szCs w:val="24"/>
              </w:rPr>
              <w:t>Disaster Recovery and Business Continuity Planning</w:t>
            </w:r>
          </w:p>
        </w:tc>
        <w:tc>
          <w:tcPr>
            <w:tcW w:w="900" w:type="dxa"/>
            <w:vAlign w:val="center"/>
          </w:tcPr>
          <w:p w14:paraId="1A1F7AD9" w14:textId="77777777" w:rsidR="003B7A80" w:rsidRDefault="003B7A80" w:rsidP="0084104F">
            <w:pPr>
              <w:ind w:left="0"/>
            </w:pPr>
            <w:r>
              <w:t>CP</w:t>
            </w:r>
          </w:p>
        </w:tc>
        <w:tc>
          <w:tcPr>
            <w:tcW w:w="806" w:type="dxa"/>
            <w:vAlign w:val="center"/>
          </w:tcPr>
          <w:p w14:paraId="44B8A282" w14:textId="77777777" w:rsidR="003B7A80" w:rsidRDefault="003B7A80" w:rsidP="0084104F">
            <w:pPr>
              <w:ind w:left="0"/>
            </w:pPr>
            <w:r>
              <w:t>BCR</w:t>
            </w:r>
          </w:p>
        </w:tc>
        <w:tc>
          <w:tcPr>
            <w:tcW w:w="1342" w:type="dxa"/>
            <w:vAlign w:val="center"/>
          </w:tcPr>
          <w:p w14:paraId="7A3F4098" w14:textId="77777777" w:rsidR="003B7A80" w:rsidRDefault="003B7A80" w:rsidP="0084104F">
            <w:pPr>
              <w:ind w:left="0"/>
              <w:rPr>
                <w:szCs w:val="24"/>
              </w:rPr>
            </w:pPr>
            <w:r>
              <w:rPr>
                <w:szCs w:val="24"/>
              </w:rPr>
              <w:t>A.17.1.3</w:t>
            </w:r>
          </w:p>
        </w:tc>
      </w:tr>
      <w:tr w:rsidR="003B7A80" w:rsidRPr="00873442" w14:paraId="3E7958E2" w14:textId="77777777" w:rsidTr="00F77276">
        <w:tc>
          <w:tcPr>
            <w:tcW w:w="720" w:type="dxa"/>
            <w:vAlign w:val="center"/>
          </w:tcPr>
          <w:p w14:paraId="363BD8A3" w14:textId="77777777" w:rsidR="003B7A80" w:rsidRDefault="003B7A80" w:rsidP="00F77276">
            <w:pPr>
              <w:ind w:left="0"/>
              <w:jc w:val="center"/>
            </w:pPr>
            <w:r>
              <w:t>4</w:t>
            </w:r>
          </w:p>
        </w:tc>
        <w:tc>
          <w:tcPr>
            <w:tcW w:w="4410" w:type="dxa"/>
            <w:vAlign w:val="center"/>
          </w:tcPr>
          <w:p w14:paraId="30F2BE61" w14:textId="77777777" w:rsidR="003B7A80" w:rsidRDefault="003B7A80" w:rsidP="0084104F">
            <w:pPr>
              <w:ind w:left="0"/>
              <w:rPr>
                <w:szCs w:val="24"/>
              </w:rPr>
            </w:pPr>
            <w:r>
              <w:rPr>
                <w:szCs w:val="24"/>
              </w:rPr>
              <w:t>Secure Configuration</w:t>
            </w:r>
          </w:p>
        </w:tc>
        <w:tc>
          <w:tcPr>
            <w:tcW w:w="900" w:type="dxa"/>
            <w:vAlign w:val="center"/>
          </w:tcPr>
          <w:p w14:paraId="6B7E6EEB" w14:textId="77777777" w:rsidR="003B7A80" w:rsidRDefault="003B7A80" w:rsidP="0084104F">
            <w:pPr>
              <w:ind w:left="0"/>
            </w:pPr>
            <w:r>
              <w:t>CM</w:t>
            </w:r>
          </w:p>
        </w:tc>
        <w:tc>
          <w:tcPr>
            <w:tcW w:w="806" w:type="dxa"/>
            <w:vAlign w:val="center"/>
          </w:tcPr>
          <w:p w14:paraId="6C722BD9" w14:textId="77777777" w:rsidR="003B7A80" w:rsidRDefault="003B7A80" w:rsidP="0084104F">
            <w:pPr>
              <w:ind w:left="0"/>
            </w:pPr>
            <w:r>
              <w:t>IVS</w:t>
            </w:r>
          </w:p>
        </w:tc>
        <w:tc>
          <w:tcPr>
            <w:tcW w:w="1342" w:type="dxa"/>
            <w:vAlign w:val="center"/>
          </w:tcPr>
          <w:p w14:paraId="7309150C" w14:textId="77777777" w:rsidR="003B7A80" w:rsidRDefault="003B7A80" w:rsidP="0084104F">
            <w:pPr>
              <w:ind w:left="0"/>
              <w:rPr>
                <w:szCs w:val="24"/>
              </w:rPr>
            </w:pPr>
            <w:r>
              <w:rPr>
                <w:szCs w:val="24"/>
              </w:rPr>
              <w:t>A.12.5.1</w:t>
            </w:r>
          </w:p>
        </w:tc>
      </w:tr>
      <w:tr w:rsidR="003B7A80" w:rsidRPr="00873442" w14:paraId="308AD396" w14:textId="77777777" w:rsidTr="00F77276">
        <w:tc>
          <w:tcPr>
            <w:tcW w:w="720" w:type="dxa"/>
            <w:vAlign w:val="center"/>
          </w:tcPr>
          <w:p w14:paraId="5053A2C1" w14:textId="77777777" w:rsidR="003B7A80" w:rsidRDefault="003B7A80" w:rsidP="00F77276">
            <w:pPr>
              <w:ind w:left="0"/>
              <w:jc w:val="center"/>
            </w:pPr>
            <w:r>
              <w:t>5</w:t>
            </w:r>
          </w:p>
        </w:tc>
        <w:tc>
          <w:tcPr>
            <w:tcW w:w="4410" w:type="dxa"/>
            <w:vAlign w:val="center"/>
          </w:tcPr>
          <w:p w14:paraId="339798FC" w14:textId="77777777" w:rsidR="003B7A80" w:rsidRDefault="003B7A80" w:rsidP="0084104F">
            <w:pPr>
              <w:ind w:left="0"/>
              <w:rPr>
                <w:szCs w:val="24"/>
              </w:rPr>
            </w:pPr>
            <w:r>
              <w:rPr>
                <w:szCs w:val="24"/>
              </w:rPr>
              <w:t>Intrusion Prevention</w:t>
            </w:r>
          </w:p>
        </w:tc>
        <w:tc>
          <w:tcPr>
            <w:tcW w:w="900" w:type="dxa"/>
            <w:vAlign w:val="center"/>
          </w:tcPr>
          <w:p w14:paraId="59D4D157" w14:textId="77777777" w:rsidR="003B7A80" w:rsidRDefault="003B7A80" w:rsidP="0084104F">
            <w:pPr>
              <w:ind w:left="0"/>
              <w:rPr>
                <w:szCs w:val="24"/>
              </w:rPr>
            </w:pPr>
            <w:r>
              <w:rPr>
                <w:szCs w:val="24"/>
              </w:rPr>
              <w:t>SI</w:t>
            </w:r>
          </w:p>
        </w:tc>
        <w:tc>
          <w:tcPr>
            <w:tcW w:w="806" w:type="dxa"/>
            <w:vAlign w:val="center"/>
          </w:tcPr>
          <w:p w14:paraId="546FCF9F" w14:textId="77777777" w:rsidR="003B7A80" w:rsidRDefault="003B7A80" w:rsidP="0084104F">
            <w:pPr>
              <w:ind w:left="0"/>
              <w:rPr>
                <w:szCs w:val="24"/>
              </w:rPr>
            </w:pPr>
            <w:r>
              <w:rPr>
                <w:szCs w:val="24"/>
              </w:rPr>
              <w:t>TVM</w:t>
            </w:r>
          </w:p>
        </w:tc>
        <w:tc>
          <w:tcPr>
            <w:tcW w:w="1342" w:type="dxa"/>
            <w:vAlign w:val="center"/>
          </w:tcPr>
          <w:p w14:paraId="607CD882" w14:textId="77777777" w:rsidR="003B7A80" w:rsidRDefault="003B7A80" w:rsidP="0084104F">
            <w:pPr>
              <w:ind w:left="0"/>
              <w:rPr>
                <w:szCs w:val="24"/>
              </w:rPr>
            </w:pPr>
            <w:r>
              <w:rPr>
                <w:szCs w:val="24"/>
              </w:rPr>
              <w:t>A.14.1.2</w:t>
            </w:r>
          </w:p>
        </w:tc>
      </w:tr>
      <w:tr w:rsidR="003B7A80" w:rsidRPr="00873442" w14:paraId="19E12C59" w14:textId="77777777" w:rsidTr="00F77276">
        <w:tc>
          <w:tcPr>
            <w:tcW w:w="720" w:type="dxa"/>
            <w:vAlign w:val="center"/>
          </w:tcPr>
          <w:p w14:paraId="58E3EB98" w14:textId="77777777" w:rsidR="003B7A80" w:rsidRDefault="003B7A80" w:rsidP="00F77276">
            <w:pPr>
              <w:ind w:left="0"/>
              <w:jc w:val="center"/>
            </w:pPr>
            <w:r>
              <w:t>6</w:t>
            </w:r>
          </w:p>
        </w:tc>
        <w:tc>
          <w:tcPr>
            <w:tcW w:w="4410" w:type="dxa"/>
            <w:vAlign w:val="center"/>
          </w:tcPr>
          <w:p w14:paraId="3AD218B6" w14:textId="77777777" w:rsidR="003B7A80" w:rsidRDefault="003B7A80" w:rsidP="0084104F">
            <w:pPr>
              <w:ind w:left="0"/>
              <w:rPr>
                <w:szCs w:val="24"/>
              </w:rPr>
            </w:pPr>
            <w:r>
              <w:rPr>
                <w:szCs w:val="24"/>
              </w:rPr>
              <w:t>Vulnerability and Penetration Testing</w:t>
            </w:r>
          </w:p>
        </w:tc>
        <w:tc>
          <w:tcPr>
            <w:tcW w:w="900" w:type="dxa"/>
            <w:vAlign w:val="center"/>
          </w:tcPr>
          <w:p w14:paraId="290AC693" w14:textId="77777777" w:rsidR="003B7A80" w:rsidRDefault="003B7A80" w:rsidP="0084104F">
            <w:pPr>
              <w:ind w:left="0"/>
              <w:rPr>
                <w:szCs w:val="24"/>
              </w:rPr>
            </w:pPr>
            <w:r>
              <w:rPr>
                <w:szCs w:val="24"/>
              </w:rPr>
              <w:t>RA</w:t>
            </w:r>
          </w:p>
        </w:tc>
        <w:tc>
          <w:tcPr>
            <w:tcW w:w="806" w:type="dxa"/>
            <w:vAlign w:val="center"/>
          </w:tcPr>
          <w:p w14:paraId="1D70C1AF" w14:textId="77777777" w:rsidR="003B7A80" w:rsidRDefault="003B7A80" w:rsidP="0084104F">
            <w:pPr>
              <w:ind w:left="0"/>
              <w:rPr>
                <w:szCs w:val="24"/>
              </w:rPr>
            </w:pPr>
            <w:r>
              <w:rPr>
                <w:szCs w:val="24"/>
              </w:rPr>
              <w:t>IVS</w:t>
            </w:r>
          </w:p>
        </w:tc>
        <w:tc>
          <w:tcPr>
            <w:tcW w:w="1342" w:type="dxa"/>
            <w:vAlign w:val="center"/>
          </w:tcPr>
          <w:p w14:paraId="09C3069B" w14:textId="77777777" w:rsidR="003B7A80" w:rsidRDefault="003B7A80" w:rsidP="0084104F">
            <w:pPr>
              <w:ind w:left="0"/>
              <w:rPr>
                <w:szCs w:val="24"/>
              </w:rPr>
            </w:pPr>
            <w:r>
              <w:rPr>
                <w:szCs w:val="24"/>
              </w:rPr>
              <w:t>A.14.2.3</w:t>
            </w:r>
          </w:p>
        </w:tc>
      </w:tr>
      <w:tr w:rsidR="003B7A80" w:rsidRPr="00873442" w14:paraId="7C519169" w14:textId="77777777" w:rsidTr="00F77276">
        <w:tc>
          <w:tcPr>
            <w:tcW w:w="720" w:type="dxa"/>
            <w:vAlign w:val="center"/>
          </w:tcPr>
          <w:p w14:paraId="6E6F031C" w14:textId="77777777" w:rsidR="003B7A80" w:rsidRDefault="003B7A80" w:rsidP="00F77276">
            <w:pPr>
              <w:ind w:left="0"/>
              <w:jc w:val="center"/>
            </w:pPr>
            <w:r>
              <w:t>7</w:t>
            </w:r>
          </w:p>
        </w:tc>
        <w:tc>
          <w:tcPr>
            <w:tcW w:w="4410" w:type="dxa"/>
            <w:vAlign w:val="center"/>
          </w:tcPr>
          <w:p w14:paraId="33D72C87" w14:textId="77777777" w:rsidR="003B7A80" w:rsidRDefault="003B7A80" w:rsidP="0084104F">
            <w:pPr>
              <w:ind w:left="0"/>
              <w:rPr>
                <w:szCs w:val="24"/>
              </w:rPr>
            </w:pPr>
            <w:r>
              <w:rPr>
                <w:szCs w:val="24"/>
              </w:rPr>
              <w:t>Software Lifecycle and Patch Management</w:t>
            </w:r>
          </w:p>
        </w:tc>
        <w:tc>
          <w:tcPr>
            <w:tcW w:w="900" w:type="dxa"/>
            <w:vAlign w:val="center"/>
          </w:tcPr>
          <w:p w14:paraId="60D40B7C" w14:textId="77777777" w:rsidR="003B7A80" w:rsidRDefault="003B7A80" w:rsidP="0084104F">
            <w:pPr>
              <w:ind w:left="0"/>
              <w:rPr>
                <w:szCs w:val="24"/>
              </w:rPr>
            </w:pPr>
            <w:r>
              <w:rPr>
                <w:szCs w:val="24"/>
              </w:rPr>
              <w:t>SI</w:t>
            </w:r>
          </w:p>
        </w:tc>
        <w:tc>
          <w:tcPr>
            <w:tcW w:w="806" w:type="dxa"/>
            <w:vAlign w:val="center"/>
          </w:tcPr>
          <w:p w14:paraId="41C98916" w14:textId="77777777" w:rsidR="003B7A80" w:rsidRDefault="003B7A80" w:rsidP="0084104F">
            <w:pPr>
              <w:ind w:left="0"/>
              <w:rPr>
                <w:szCs w:val="24"/>
              </w:rPr>
            </w:pPr>
            <w:r>
              <w:rPr>
                <w:szCs w:val="24"/>
              </w:rPr>
              <w:t>TVM</w:t>
            </w:r>
          </w:p>
        </w:tc>
        <w:tc>
          <w:tcPr>
            <w:tcW w:w="1342" w:type="dxa"/>
            <w:vAlign w:val="center"/>
          </w:tcPr>
          <w:p w14:paraId="6B9CE030" w14:textId="77777777" w:rsidR="003B7A80" w:rsidRDefault="003B7A80" w:rsidP="0084104F">
            <w:pPr>
              <w:ind w:left="0"/>
              <w:rPr>
                <w:szCs w:val="24"/>
              </w:rPr>
            </w:pPr>
            <w:r>
              <w:rPr>
                <w:szCs w:val="24"/>
              </w:rPr>
              <w:t>A.12.6.1</w:t>
            </w:r>
          </w:p>
        </w:tc>
      </w:tr>
      <w:tr w:rsidR="003B7A80" w:rsidRPr="00873442" w14:paraId="05B6182C" w14:textId="77777777" w:rsidTr="00F77276">
        <w:tc>
          <w:tcPr>
            <w:tcW w:w="720" w:type="dxa"/>
            <w:vAlign w:val="center"/>
          </w:tcPr>
          <w:p w14:paraId="604472A3" w14:textId="77777777" w:rsidR="003B7A80" w:rsidRDefault="003B7A80" w:rsidP="00F77276">
            <w:pPr>
              <w:ind w:left="0"/>
              <w:jc w:val="center"/>
            </w:pPr>
            <w:r>
              <w:t>8</w:t>
            </w:r>
          </w:p>
        </w:tc>
        <w:tc>
          <w:tcPr>
            <w:tcW w:w="4410" w:type="dxa"/>
            <w:vAlign w:val="center"/>
          </w:tcPr>
          <w:p w14:paraId="3CEEBD0B" w14:textId="77777777" w:rsidR="003B7A80" w:rsidRDefault="003B7A80" w:rsidP="0084104F">
            <w:pPr>
              <w:ind w:left="0"/>
              <w:rPr>
                <w:szCs w:val="24"/>
              </w:rPr>
            </w:pPr>
            <w:r>
              <w:rPr>
                <w:szCs w:val="24"/>
              </w:rPr>
              <w:t>Security Coding Practices</w:t>
            </w:r>
          </w:p>
        </w:tc>
        <w:tc>
          <w:tcPr>
            <w:tcW w:w="900" w:type="dxa"/>
            <w:vAlign w:val="center"/>
          </w:tcPr>
          <w:p w14:paraId="2DD72311" w14:textId="77777777" w:rsidR="003B7A80" w:rsidRDefault="003B7A80" w:rsidP="0084104F">
            <w:pPr>
              <w:ind w:left="0"/>
              <w:rPr>
                <w:szCs w:val="24"/>
              </w:rPr>
            </w:pPr>
            <w:r>
              <w:rPr>
                <w:szCs w:val="24"/>
              </w:rPr>
              <w:t>AT</w:t>
            </w:r>
          </w:p>
        </w:tc>
        <w:tc>
          <w:tcPr>
            <w:tcW w:w="806" w:type="dxa"/>
            <w:vAlign w:val="center"/>
          </w:tcPr>
          <w:p w14:paraId="31691560" w14:textId="77777777" w:rsidR="003B7A80" w:rsidRDefault="003B7A80" w:rsidP="0084104F">
            <w:pPr>
              <w:ind w:left="0"/>
              <w:rPr>
                <w:szCs w:val="24"/>
              </w:rPr>
            </w:pPr>
            <w:r>
              <w:rPr>
                <w:szCs w:val="24"/>
              </w:rPr>
              <w:t>HRS</w:t>
            </w:r>
          </w:p>
        </w:tc>
        <w:tc>
          <w:tcPr>
            <w:tcW w:w="1342" w:type="dxa"/>
            <w:vAlign w:val="center"/>
          </w:tcPr>
          <w:p w14:paraId="2765C151" w14:textId="77777777" w:rsidR="003B7A80" w:rsidRDefault="003B7A80" w:rsidP="0084104F">
            <w:pPr>
              <w:ind w:left="0"/>
              <w:rPr>
                <w:szCs w:val="24"/>
              </w:rPr>
            </w:pPr>
            <w:r>
              <w:rPr>
                <w:szCs w:val="24"/>
              </w:rPr>
              <w:t>A.14.2</w:t>
            </w:r>
          </w:p>
        </w:tc>
      </w:tr>
      <w:tr w:rsidR="003B7A80" w:rsidRPr="00873442" w14:paraId="0F01D491" w14:textId="77777777" w:rsidTr="00F77276">
        <w:tc>
          <w:tcPr>
            <w:tcW w:w="720" w:type="dxa"/>
            <w:vAlign w:val="center"/>
          </w:tcPr>
          <w:p w14:paraId="35C9F7FF" w14:textId="77777777" w:rsidR="003B7A80" w:rsidRDefault="003B7A80" w:rsidP="00F77276">
            <w:pPr>
              <w:ind w:left="0"/>
              <w:jc w:val="center"/>
            </w:pPr>
            <w:r>
              <w:t>9</w:t>
            </w:r>
          </w:p>
        </w:tc>
        <w:tc>
          <w:tcPr>
            <w:tcW w:w="4410" w:type="dxa"/>
            <w:vAlign w:val="center"/>
          </w:tcPr>
          <w:p w14:paraId="203BCB54" w14:textId="77777777" w:rsidR="003B7A80" w:rsidRDefault="003B7A80" w:rsidP="0084104F">
            <w:pPr>
              <w:ind w:left="0"/>
              <w:rPr>
                <w:szCs w:val="24"/>
              </w:rPr>
            </w:pPr>
            <w:r>
              <w:rPr>
                <w:szCs w:val="24"/>
              </w:rPr>
              <w:t>Identity Access Management</w:t>
            </w:r>
          </w:p>
        </w:tc>
        <w:tc>
          <w:tcPr>
            <w:tcW w:w="900" w:type="dxa"/>
            <w:vAlign w:val="center"/>
          </w:tcPr>
          <w:p w14:paraId="30F41941" w14:textId="77777777" w:rsidR="003B7A80" w:rsidRDefault="003B7A80" w:rsidP="0084104F">
            <w:pPr>
              <w:ind w:left="0"/>
              <w:rPr>
                <w:szCs w:val="24"/>
              </w:rPr>
            </w:pPr>
            <w:r>
              <w:rPr>
                <w:szCs w:val="24"/>
              </w:rPr>
              <w:t>AC</w:t>
            </w:r>
          </w:p>
        </w:tc>
        <w:tc>
          <w:tcPr>
            <w:tcW w:w="806" w:type="dxa"/>
            <w:vAlign w:val="center"/>
          </w:tcPr>
          <w:p w14:paraId="1F798DE2" w14:textId="77777777" w:rsidR="003B7A80" w:rsidRDefault="003B7A80" w:rsidP="0084104F">
            <w:pPr>
              <w:ind w:left="0"/>
              <w:rPr>
                <w:szCs w:val="24"/>
              </w:rPr>
            </w:pPr>
            <w:r>
              <w:rPr>
                <w:szCs w:val="24"/>
              </w:rPr>
              <w:t>IAM</w:t>
            </w:r>
          </w:p>
        </w:tc>
        <w:tc>
          <w:tcPr>
            <w:tcW w:w="1342" w:type="dxa"/>
            <w:vAlign w:val="center"/>
          </w:tcPr>
          <w:p w14:paraId="1544E495" w14:textId="77777777" w:rsidR="003B7A80" w:rsidRDefault="003B7A80" w:rsidP="0084104F">
            <w:pPr>
              <w:ind w:left="0"/>
              <w:rPr>
                <w:szCs w:val="24"/>
              </w:rPr>
            </w:pPr>
            <w:r>
              <w:rPr>
                <w:szCs w:val="24"/>
              </w:rPr>
              <w:t>A.9.2</w:t>
            </w:r>
          </w:p>
        </w:tc>
      </w:tr>
    </w:tbl>
    <w:p w14:paraId="459506B0" w14:textId="77777777" w:rsidR="004B647D" w:rsidRDefault="004B647D" w:rsidP="004B647D">
      <w:pPr>
        <w:rPr>
          <w:szCs w:val="24"/>
        </w:rPr>
      </w:pPr>
    </w:p>
    <w:p w14:paraId="6B365F44" w14:textId="43960A39" w:rsidR="00F97CC6" w:rsidRDefault="00F97CC6" w:rsidP="004455AC">
      <w:pPr>
        <w:pStyle w:val="Heading3"/>
      </w:pPr>
      <w:bookmarkStart w:id="462" w:name="_Toc13567522"/>
      <w:r>
        <w:t>A10.</w:t>
      </w:r>
      <w:r w:rsidR="004B647D">
        <w:t>7</w:t>
      </w:r>
      <w:r>
        <w:tab/>
        <w:t>Reports</w:t>
      </w:r>
      <w:bookmarkEnd w:id="462"/>
    </w:p>
    <w:p w14:paraId="1FF19902" w14:textId="02E51659" w:rsidR="00F97CC6" w:rsidRDefault="00F97CC6" w:rsidP="00F97CC6">
      <w:pPr>
        <w:rPr>
          <w:szCs w:val="24"/>
        </w:rPr>
      </w:pPr>
      <w:r>
        <w:rPr>
          <w:szCs w:val="24"/>
        </w:rPr>
        <w:t xml:space="preserve">The </w:t>
      </w:r>
      <w:r>
        <w:t xml:space="preserve">Awarded Vendor </w:t>
      </w:r>
      <w:r>
        <w:rPr>
          <w:szCs w:val="24"/>
        </w:rPr>
        <w:t>must maintain a full inventory of every incident reported by TWC by telephone or portal.</w:t>
      </w:r>
    </w:p>
    <w:p w14:paraId="29970C9B" w14:textId="13EB2319" w:rsidR="00F97CC6" w:rsidRDefault="00F97CC6" w:rsidP="00F97CC6">
      <w:pPr>
        <w:rPr>
          <w:szCs w:val="24"/>
        </w:rPr>
      </w:pPr>
      <w:r>
        <w:rPr>
          <w:szCs w:val="24"/>
        </w:rPr>
        <w:t xml:space="preserve">The </w:t>
      </w:r>
      <w:r>
        <w:t xml:space="preserve">Awarded Vendor </w:t>
      </w:r>
      <w:r>
        <w:rPr>
          <w:szCs w:val="24"/>
        </w:rPr>
        <w:t xml:space="preserve">must provide a monthly report showing the Service Level Metrics by Incident Level for the Calendar Month and a rolling Report since </w:t>
      </w:r>
      <w:r w:rsidR="00CB558A">
        <w:rPr>
          <w:szCs w:val="24"/>
        </w:rPr>
        <w:t>AoC</w:t>
      </w:r>
      <w:r>
        <w:rPr>
          <w:szCs w:val="24"/>
        </w:rPr>
        <w:t xml:space="preserve"> through the last day of the calendar month.</w:t>
      </w:r>
    </w:p>
    <w:p w14:paraId="081AB419" w14:textId="505293BE" w:rsidR="00FD29AA" w:rsidRDefault="00FD29AA" w:rsidP="002C793C"/>
    <w:p w14:paraId="0E9A0E68" w14:textId="7F1D06A1" w:rsidR="001778A0" w:rsidRDefault="001778A0" w:rsidP="004455AC">
      <w:pPr>
        <w:pStyle w:val="Heading3"/>
      </w:pPr>
      <w:bookmarkStart w:id="463" w:name="_Toc13567523"/>
      <w:r>
        <w:t>A10.8</w:t>
      </w:r>
      <w:r>
        <w:tab/>
        <w:t>Dashboard</w:t>
      </w:r>
      <w:bookmarkEnd w:id="463"/>
      <w:r>
        <w:t xml:space="preserve"> </w:t>
      </w:r>
    </w:p>
    <w:p w14:paraId="4C00D628" w14:textId="07606453" w:rsidR="0072155E" w:rsidRDefault="001778A0">
      <w:pPr>
        <w:rPr>
          <w:szCs w:val="24"/>
        </w:rPr>
      </w:pPr>
      <w:r>
        <w:rPr>
          <w:szCs w:val="24"/>
        </w:rPr>
        <w:t xml:space="preserve">The </w:t>
      </w:r>
      <w:r>
        <w:t xml:space="preserve">Awarded Vendor </w:t>
      </w:r>
      <w:r>
        <w:rPr>
          <w:szCs w:val="24"/>
        </w:rPr>
        <w:t xml:space="preserve">must maintain a dashboard containing </w:t>
      </w:r>
      <w:r>
        <w:t>all functionality necessary to graphically present SLA information for decision making</w:t>
      </w:r>
      <w:r>
        <w:rPr>
          <w:szCs w:val="24"/>
        </w:rPr>
        <w:t>.</w:t>
      </w:r>
      <w:bookmarkEnd w:id="450"/>
      <w:bookmarkEnd w:id="451"/>
    </w:p>
    <w:p w14:paraId="17F5675F" w14:textId="62FDD97D" w:rsidR="00C01471" w:rsidRDefault="00C01471">
      <w:pPr>
        <w:spacing w:after="160" w:line="259" w:lineRule="auto"/>
        <w:ind w:left="0"/>
        <w:rPr>
          <w:szCs w:val="24"/>
        </w:rPr>
      </w:pPr>
      <w:r>
        <w:rPr>
          <w:szCs w:val="24"/>
        </w:rPr>
        <w:br w:type="page"/>
      </w:r>
    </w:p>
    <w:p w14:paraId="7FEBA575" w14:textId="46E22752" w:rsidR="001328A9" w:rsidRPr="00C01471" w:rsidRDefault="001328A9" w:rsidP="00FB3912">
      <w:pPr>
        <w:pStyle w:val="Heading2"/>
      </w:pPr>
      <w:bookmarkStart w:id="464" w:name="_Attachment_11_–"/>
      <w:bookmarkStart w:id="465" w:name="_Toc13567524"/>
      <w:bookmarkStart w:id="466" w:name="_Hlk4079918"/>
      <w:bookmarkEnd w:id="464"/>
      <w:r w:rsidRPr="00C01471">
        <w:lastRenderedPageBreak/>
        <w:t>Attachment 11 – HUB Subcontracting Plan</w:t>
      </w:r>
      <w:bookmarkEnd w:id="465"/>
    </w:p>
    <w:p w14:paraId="5B6DF5A0" w14:textId="5D975A15" w:rsidR="002E6CE1" w:rsidRDefault="002E6CE1" w:rsidP="001328A9">
      <w:pPr>
        <w:rPr>
          <w:szCs w:val="24"/>
        </w:rPr>
      </w:pPr>
      <w:r w:rsidRPr="002E6CE1">
        <w:rPr>
          <w:szCs w:val="24"/>
        </w:rPr>
        <w:t>Offerors must comply with the TWC HUB Subcontracting Plan Procedure. If the total bid is greater than $100,000, Offeror must complete the HUB Subcontracting Plan documents and submit them as part of their response to this RFO. If awarded, and HUB subcontractors are used, the Awarded Vendor will be required to submit a monthly HUB Progress Assessment Report.</w:t>
      </w:r>
    </w:p>
    <w:p w14:paraId="35829886" w14:textId="1D3027A7" w:rsidR="001328A9" w:rsidRDefault="001328A9" w:rsidP="001328A9">
      <w:r>
        <w:t>The</w:t>
      </w:r>
      <w:r w:rsidRPr="00E35128">
        <w:t xml:space="preserve"> </w:t>
      </w:r>
      <w:r>
        <w:t xml:space="preserve">HUB Subcontracting Plan </w:t>
      </w:r>
      <w:r w:rsidRPr="00E35128">
        <w:t>may be accessed via the Internet at</w:t>
      </w:r>
      <w:r>
        <w:rPr>
          <w:rFonts w:ascii="Times New Roman" w:hAnsi="Times New Roman"/>
          <w:sz w:val="20"/>
        </w:rPr>
        <w:t xml:space="preserve"> </w:t>
      </w:r>
      <w:hyperlink r:id="rId97" w:history="1">
        <w:r w:rsidRPr="003E05CA">
          <w:rPr>
            <w:rStyle w:val="Hyperlink"/>
          </w:rPr>
          <w:t>https://comptroller.texas.gov/purchasing/docs/hub-forms/hsp-allfms.pdf</w:t>
        </w:r>
      </w:hyperlink>
      <w:r>
        <w:t xml:space="preserve"> </w:t>
      </w:r>
    </w:p>
    <w:p w14:paraId="6E2214FC" w14:textId="77777777" w:rsidR="001328A9" w:rsidRDefault="001328A9" w:rsidP="001328A9"/>
    <w:p w14:paraId="60069819" w14:textId="2C8BEC41" w:rsidR="001328A9" w:rsidRDefault="001328A9" w:rsidP="001328A9">
      <w:r w:rsidRPr="00E35128">
        <w:rPr>
          <w:b/>
          <w:i/>
        </w:rPr>
        <w:t>IF YOUR RESPONSE TO THIS SOLICITATION DOES NOT CONTAIN A HUB SUBCONTRACTING PLAN, YOUR RESPONSE SHALL BE REJECTED AS A MATERIAL FAILURE TO COMPLY WITH THE ADVERTISED SPECIFICATIONS.</w:t>
      </w:r>
      <w:bookmarkEnd w:id="466"/>
    </w:p>
    <w:p w14:paraId="545A8E66" w14:textId="77777777" w:rsidR="00C01471" w:rsidRDefault="00C01471">
      <w:pPr>
        <w:spacing w:after="160" w:line="259" w:lineRule="auto"/>
        <w:ind w:left="0"/>
        <w:rPr>
          <w:rFonts w:eastAsiaTheme="majorEastAsia" w:cstheme="majorBidi"/>
          <w:b/>
          <w:color w:val="1F3864" w:themeColor="accent5" w:themeShade="80"/>
          <w:sz w:val="26"/>
          <w:szCs w:val="26"/>
        </w:rPr>
      </w:pPr>
      <w:r>
        <w:br w:type="page"/>
      </w:r>
    </w:p>
    <w:p w14:paraId="19F3ED71" w14:textId="2039D1B9" w:rsidR="00EF3C59" w:rsidRDefault="00C01471" w:rsidP="00C01471">
      <w:pPr>
        <w:pStyle w:val="Heading2"/>
      </w:pPr>
      <w:bookmarkStart w:id="467" w:name="_Attachment_12_–"/>
      <w:bookmarkStart w:id="468" w:name="_Toc13567525"/>
      <w:bookmarkEnd w:id="467"/>
      <w:r w:rsidRPr="00C01471">
        <w:lastRenderedPageBreak/>
        <w:t>Attachment 1</w:t>
      </w:r>
      <w:r>
        <w:t>2</w:t>
      </w:r>
      <w:r w:rsidRPr="00C01471">
        <w:t xml:space="preserve"> – </w:t>
      </w:r>
      <w:r w:rsidR="00EF3C59">
        <w:t>Pricing</w:t>
      </w:r>
      <w:bookmarkEnd w:id="468"/>
    </w:p>
    <w:p w14:paraId="6D0F5923" w14:textId="074C715A" w:rsidR="00F55A47" w:rsidRDefault="00EF3C59" w:rsidP="00F55A47">
      <w:r w:rsidRPr="00E21848">
        <w:rPr>
          <w:lang w:eastAsia="en-AU"/>
        </w:rPr>
        <w:t>Offeror must</w:t>
      </w:r>
      <w:r w:rsidRPr="00E21848" w:rsidDel="004B11BE">
        <w:rPr>
          <w:lang w:eastAsia="en-AU"/>
        </w:rPr>
        <w:t xml:space="preserve"> </w:t>
      </w:r>
      <w:r w:rsidR="004B1938">
        <w:rPr>
          <w:lang w:eastAsia="en-AU"/>
        </w:rPr>
        <w:t xml:space="preserve">provide </w:t>
      </w:r>
      <w:r w:rsidRPr="00E21848">
        <w:rPr>
          <w:lang w:eastAsia="en-AU"/>
        </w:rPr>
        <w:t>pricing for the required fixed-price deliverable</w:t>
      </w:r>
      <w:r w:rsidR="006A1E36">
        <w:rPr>
          <w:lang w:eastAsia="en-AU"/>
        </w:rPr>
        <w:t>s</w:t>
      </w:r>
      <w:r w:rsidR="006A0AC2">
        <w:rPr>
          <w:lang w:eastAsia="en-AU"/>
        </w:rPr>
        <w:t xml:space="preserve"> included in Section 2.</w:t>
      </w:r>
      <w:r w:rsidR="004B1938">
        <w:rPr>
          <w:lang w:eastAsia="en-AU"/>
        </w:rPr>
        <w:t>2</w:t>
      </w:r>
      <w:r w:rsidRPr="00E21848">
        <w:rPr>
          <w:lang w:eastAsia="en-AU"/>
        </w:rPr>
        <w:t>.</w:t>
      </w:r>
      <w:r>
        <w:rPr>
          <w:lang w:eastAsia="en-AU"/>
        </w:rPr>
        <w:t xml:space="preserve"> </w:t>
      </w:r>
      <w:r w:rsidR="006A0AC2">
        <w:t xml:space="preserve">Offeror must ensure that </w:t>
      </w:r>
      <w:r w:rsidR="004B1938">
        <w:t>each</w:t>
      </w:r>
      <w:r w:rsidR="006A0AC2">
        <w:t xml:space="preserve"> implementation phase </w:t>
      </w:r>
      <w:r w:rsidR="004B1938">
        <w:t>identified</w:t>
      </w:r>
      <w:r w:rsidR="006A0AC2">
        <w:t xml:space="preserve"> in Section 2.4 </w:t>
      </w:r>
      <w:r w:rsidR="004B1938">
        <w:t xml:space="preserve">has a corresponding “Pricing for Deliverables – Phase” pricing table </w:t>
      </w:r>
      <w:r w:rsidR="006A0AC2">
        <w:t>in this Attachment</w:t>
      </w:r>
      <w:r w:rsidR="007A1C4B">
        <w:t xml:space="preserve"> and </w:t>
      </w:r>
      <w:r w:rsidR="00561C36">
        <w:t>use the use the same labels</w:t>
      </w:r>
      <w:r w:rsidR="004B1938">
        <w:t xml:space="preserve"> used for the corresponding Major Milestone Table</w:t>
      </w:r>
      <w:r w:rsidR="00561C36">
        <w:t>s</w:t>
      </w:r>
      <w:r w:rsidR="004B1938">
        <w:t xml:space="preserve"> in Section 2.4.</w:t>
      </w:r>
    </w:p>
    <w:p w14:paraId="3DE8B60F" w14:textId="1C749EBA" w:rsidR="00EF3C59" w:rsidRPr="00E21848" w:rsidRDefault="00EF3C59" w:rsidP="00EF3C59">
      <w:pPr>
        <w:rPr>
          <w:lang w:eastAsia="en-AU"/>
        </w:rPr>
      </w:pPr>
      <w:r>
        <w:rPr>
          <w:lang w:eastAsia="en-AU"/>
        </w:rPr>
        <w:t>Offeror</w:t>
      </w:r>
      <w:r w:rsidRPr="003202E7">
        <w:rPr>
          <w:lang w:eastAsia="en-AU"/>
        </w:rPr>
        <w:t>’s costs and fixed Hourly Rates</w:t>
      </w:r>
      <w:r>
        <w:rPr>
          <w:lang w:eastAsia="en-AU"/>
        </w:rPr>
        <w:t xml:space="preserve"> must include a</w:t>
      </w:r>
      <w:r w:rsidRPr="003202E7">
        <w:rPr>
          <w:lang w:eastAsia="en-AU"/>
        </w:rPr>
        <w:t xml:space="preserve">pplicable purchase, delivery, tax, services, safety, license, travel, per diem, </w:t>
      </w:r>
      <w:r>
        <w:rPr>
          <w:lang w:eastAsia="en-AU"/>
        </w:rPr>
        <w:t>Offeror</w:t>
      </w:r>
      <w:r w:rsidRPr="003202E7">
        <w:rPr>
          <w:lang w:eastAsia="en-AU"/>
        </w:rPr>
        <w:t xml:space="preserve">’s staff training, Project facility, and any other expenses associated with the delivery and implementation of the proposed </w:t>
      </w:r>
      <w:r w:rsidRPr="00E21848">
        <w:rPr>
          <w:lang w:eastAsia="en-AU"/>
        </w:rPr>
        <w:t>deliverables</w:t>
      </w:r>
      <w:r w:rsidRPr="003202E7">
        <w:rPr>
          <w:lang w:eastAsia="en-AU"/>
        </w:rPr>
        <w:t xml:space="preserve">. </w:t>
      </w:r>
      <w:r w:rsidRPr="00E21848">
        <w:rPr>
          <w:lang w:eastAsia="en-AU"/>
        </w:rPr>
        <w:t xml:space="preserve">Offeror must not include assumptions in this section but must list assumptions in </w:t>
      </w:r>
      <w:r>
        <w:rPr>
          <w:lang w:eastAsia="en-AU"/>
        </w:rPr>
        <w:t>Section 2.6</w:t>
      </w:r>
      <w:r w:rsidRPr="00E21848">
        <w:rPr>
          <w:lang w:eastAsia="en-AU"/>
        </w:rPr>
        <w:t>.</w:t>
      </w:r>
    </w:p>
    <w:p w14:paraId="239D2528" w14:textId="0D64B3D1" w:rsidR="00EF3C59" w:rsidRDefault="00EF3C59" w:rsidP="00EF3C59">
      <w:pPr>
        <w:rPr>
          <w:lang w:eastAsia="en-AU"/>
        </w:rPr>
      </w:pPr>
      <w:r w:rsidRPr="00E21848">
        <w:rPr>
          <w:lang w:eastAsia="en-AU"/>
        </w:rPr>
        <w:t xml:space="preserve">Offeror may propose a reasonable number of sub-deliverables for more frequent payment opportunities; however, if payments are divided, </w:t>
      </w:r>
      <w:r w:rsidRPr="00C93877">
        <w:rPr>
          <w:lang w:eastAsia="en-AU"/>
        </w:rPr>
        <w:t>the deliverable is still not final until all associated sub-deliverables are accepted</w:t>
      </w:r>
      <w:r w:rsidRPr="00AA28B1">
        <w:rPr>
          <w:lang w:eastAsia="en-AU"/>
        </w:rPr>
        <w:t>. If one (</w:t>
      </w:r>
      <w:r>
        <w:rPr>
          <w:lang w:eastAsia="en-AU"/>
        </w:rPr>
        <w:t xml:space="preserve">1) </w:t>
      </w:r>
      <w:r w:rsidRPr="00E21848">
        <w:rPr>
          <w:lang w:eastAsia="en-AU"/>
        </w:rPr>
        <w:t>sub-deliverable causes a change to be needed on an approved sub-deliverable, the change is still</w:t>
      </w:r>
      <w:r>
        <w:rPr>
          <w:lang w:eastAsia="en-AU"/>
        </w:rPr>
        <w:t xml:space="preserve"> required to be made without a Change R</w:t>
      </w:r>
      <w:r w:rsidRPr="00E21848">
        <w:rPr>
          <w:lang w:eastAsia="en-AU"/>
        </w:rPr>
        <w:t>equest or additional cost to TWC.</w:t>
      </w:r>
    </w:p>
    <w:p w14:paraId="6F56F753" w14:textId="77777777" w:rsidR="002D158A" w:rsidRDefault="002D158A" w:rsidP="002D158A">
      <w:pPr>
        <w:rPr>
          <w:lang w:eastAsia="en-AU"/>
        </w:rPr>
      </w:pPr>
      <w:r w:rsidRPr="00E21848">
        <w:rPr>
          <w:lang w:eastAsia="en-AU"/>
        </w:rPr>
        <w:t xml:space="preserve">Offeror </w:t>
      </w:r>
      <w:r>
        <w:rPr>
          <w:lang w:eastAsia="en-AU"/>
        </w:rPr>
        <w:t>must</w:t>
      </w:r>
      <w:r w:rsidRPr="00E21848">
        <w:rPr>
          <w:lang w:eastAsia="en-AU"/>
        </w:rPr>
        <w:t xml:space="preserve"> attach their estimating worksheet(s) to allow TWC to confirm the Offeror’s</w:t>
      </w:r>
      <w:r>
        <w:rPr>
          <w:lang w:eastAsia="en-AU"/>
        </w:rPr>
        <w:t xml:space="preserve"> </w:t>
      </w:r>
      <w:r w:rsidRPr="00E21848">
        <w:rPr>
          <w:lang w:eastAsia="en-AU"/>
        </w:rPr>
        <w:t xml:space="preserve">understanding of the </w:t>
      </w:r>
      <w:r>
        <w:rPr>
          <w:lang w:eastAsia="en-AU"/>
        </w:rPr>
        <w:t>Project</w:t>
      </w:r>
      <w:r w:rsidRPr="00E21848">
        <w:rPr>
          <w:lang w:eastAsia="en-AU"/>
        </w:rPr>
        <w:t xml:space="preserve"> scope.</w:t>
      </w:r>
      <w:r>
        <w:rPr>
          <w:lang w:eastAsia="en-AU"/>
        </w:rPr>
        <w:t xml:space="preserve"> </w:t>
      </w:r>
      <w:r w:rsidRPr="00E21848">
        <w:rPr>
          <w:lang w:eastAsia="en-AU"/>
        </w:rPr>
        <w:t xml:space="preserve">Any corrections </w:t>
      </w:r>
      <w:r>
        <w:rPr>
          <w:lang w:eastAsia="en-AU"/>
        </w:rPr>
        <w:t>will</w:t>
      </w:r>
      <w:r w:rsidRPr="00E21848">
        <w:rPr>
          <w:lang w:eastAsia="en-AU"/>
        </w:rPr>
        <w:t xml:space="preserve"> be made with </w:t>
      </w:r>
      <w:r>
        <w:rPr>
          <w:lang w:eastAsia="en-AU"/>
        </w:rPr>
        <w:t>Offeror</w:t>
      </w:r>
      <w:r w:rsidRPr="00E21848">
        <w:rPr>
          <w:lang w:eastAsia="en-AU"/>
        </w:rPr>
        <w:t xml:space="preserve"> finalist</w:t>
      </w:r>
      <w:r>
        <w:rPr>
          <w:lang w:eastAsia="en-AU"/>
        </w:rPr>
        <w:t>(</w:t>
      </w:r>
      <w:r w:rsidRPr="00E21848">
        <w:rPr>
          <w:lang w:eastAsia="en-AU"/>
        </w:rPr>
        <w:t>s</w:t>
      </w:r>
      <w:r>
        <w:rPr>
          <w:lang w:eastAsia="en-AU"/>
        </w:rPr>
        <w:t>)</w:t>
      </w:r>
      <w:r w:rsidRPr="00E21848">
        <w:rPr>
          <w:lang w:eastAsia="en-AU"/>
        </w:rPr>
        <w:t xml:space="preserve"> </w:t>
      </w:r>
      <w:r>
        <w:rPr>
          <w:lang w:eastAsia="en-AU"/>
        </w:rPr>
        <w:t>dur</w:t>
      </w:r>
      <w:r w:rsidRPr="00E21848">
        <w:rPr>
          <w:lang w:eastAsia="en-AU"/>
        </w:rPr>
        <w:t>in</w:t>
      </w:r>
      <w:r>
        <w:rPr>
          <w:lang w:eastAsia="en-AU"/>
        </w:rPr>
        <w:t>g</w:t>
      </w:r>
      <w:r w:rsidRPr="00E21848">
        <w:rPr>
          <w:lang w:eastAsia="en-AU"/>
        </w:rPr>
        <w:t xml:space="preserve"> the BAFO process.</w:t>
      </w:r>
    </w:p>
    <w:p w14:paraId="6B532247" w14:textId="77777777" w:rsidR="002D158A" w:rsidRDefault="002D158A" w:rsidP="00EF3C59">
      <w:pPr>
        <w:rPr>
          <w:lang w:eastAsia="en-AU"/>
        </w:rPr>
      </w:pPr>
    </w:p>
    <w:p w14:paraId="195FB055" w14:textId="68C53E79" w:rsidR="00FE67C8" w:rsidRPr="00FE67C8" w:rsidRDefault="00FE67C8" w:rsidP="00EF3C59">
      <w:pPr>
        <w:rPr>
          <w:b/>
          <w:lang w:eastAsia="en-AU"/>
        </w:rPr>
      </w:pPr>
      <w:r w:rsidRPr="00FE67C8">
        <w:rPr>
          <w:b/>
          <w:lang w:eastAsia="en-AU"/>
        </w:rPr>
        <w:t>Deliverable</w:t>
      </w:r>
      <w:r w:rsidR="002D158A">
        <w:rPr>
          <w:b/>
          <w:lang w:eastAsia="en-AU"/>
        </w:rPr>
        <w:t>s</w:t>
      </w:r>
      <w:r w:rsidRPr="00FE67C8">
        <w:rPr>
          <w:b/>
          <w:lang w:eastAsia="en-AU"/>
        </w:rPr>
        <w:t xml:space="preserve"> Mapp</w:t>
      </w:r>
      <w:r w:rsidR="002D158A">
        <w:rPr>
          <w:b/>
          <w:lang w:eastAsia="en-AU"/>
        </w:rPr>
        <w:t>ed to Project Phase</w:t>
      </w:r>
      <w:r w:rsidR="00067C29">
        <w:rPr>
          <w:b/>
          <w:lang w:eastAsia="en-AU"/>
        </w:rPr>
        <w:t xml:space="preserve"> Milestone</w:t>
      </w:r>
      <w:r w:rsidR="002D158A">
        <w:rPr>
          <w:b/>
          <w:lang w:eastAsia="en-AU"/>
        </w:rPr>
        <w:t>s</w:t>
      </w:r>
    </w:p>
    <w:p w14:paraId="09052C4A" w14:textId="2A21EF64" w:rsidR="002D158A" w:rsidRDefault="009F2A60" w:rsidP="002D158A">
      <w:pPr>
        <w:rPr>
          <w:lang w:eastAsia="en-AU"/>
        </w:rPr>
      </w:pPr>
      <w:r>
        <w:rPr>
          <w:lang w:eastAsia="en-AU"/>
        </w:rPr>
        <w:t xml:space="preserve">Each Project Phase defined in Section 2.4 contains the Project Phase Milestones in the table below. Project Phase Milestones have </w:t>
      </w:r>
      <w:r w:rsidR="00D20BA6">
        <w:rPr>
          <w:lang w:eastAsia="en-AU"/>
        </w:rPr>
        <w:t xml:space="preserve">associated </w:t>
      </w:r>
      <w:r>
        <w:rPr>
          <w:lang w:eastAsia="en-AU"/>
        </w:rPr>
        <w:t xml:space="preserve">maximum allowable costs </w:t>
      </w:r>
      <w:r w:rsidR="00D20BA6">
        <w:rPr>
          <w:lang w:eastAsia="en-AU"/>
        </w:rPr>
        <w:t xml:space="preserve">expressed as a percentage of total costs for that phase, excluding </w:t>
      </w:r>
      <w:r w:rsidR="00FB2C5F">
        <w:rPr>
          <w:lang w:eastAsia="en-AU"/>
        </w:rPr>
        <w:t>non-phase costs</w:t>
      </w:r>
      <w:r w:rsidR="00383F73">
        <w:rPr>
          <w:lang w:eastAsia="en-AU"/>
        </w:rPr>
        <w:t>, see A12.2</w:t>
      </w:r>
      <w:r>
        <w:rPr>
          <w:lang w:eastAsia="en-AU"/>
        </w:rPr>
        <w:t>. Offeror must adhere to these limits when generating their Pricing.</w:t>
      </w:r>
    </w:p>
    <w:tbl>
      <w:tblPr>
        <w:tblStyle w:val="TableGrid"/>
        <w:tblW w:w="0" w:type="auto"/>
        <w:tblInd w:w="607" w:type="dxa"/>
        <w:tblLook w:val="04A0" w:firstRow="1" w:lastRow="0" w:firstColumn="1" w:lastColumn="0" w:noHBand="0" w:noVBand="1"/>
        <w:tblCaption w:val="Required deliverables mapped to project phase milestones"/>
      </w:tblPr>
      <w:tblGrid>
        <w:gridCol w:w="3667"/>
        <w:gridCol w:w="4950"/>
      </w:tblGrid>
      <w:tr w:rsidR="002D158A" w:rsidRPr="00873442" w14:paraId="178B66D8" w14:textId="77777777" w:rsidTr="003E1BC5">
        <w:trPr>
          <w:cantSplit/>
          <w:tblHeader/>
        </w:trPr>
        <w:tc>
          <w:tcPr>
            <w:tcW w:w="3667" w:type="dxa"/>
            <w:shd w:val="clear" w:color="auto" w:fill="DEEAF6" w:themeFill="accent1" w:themeFillTint="33"/>
            <w:vAlign w:val="center"/>
          </w:tcPr>
          <w:p w14:paraId="2680BFB1" w14:textId="77777777" w:rsidR="002D158A" w:rsidRPr="00804B2D" w:rsidRDefault="002D158A" w:rsidP="003E1BC5">
            <w:pPr>
              <w:spacing w:after="0"/>
              <w:ind w:left="0"/>
              <w:jc w:val="center"/>
              <w:rPr>
                <w:rFonts w:cs="Arial"/>
                <w:b/>
                <w:color w:val="1F3864" w:themeColor="accent5" w:themeShade="80"/>
              </w:rPr>
            </w:pPr>
            <w:r>
              <w:rPr>
                <w:rFonts w:cs="Arial"/>
                <w:b/>
                <w:color w:val="1F3864" w:themeColor="accent5" w:themeShade="80"/>
              </w:rPr>
              <w:t>Project Phase Milestone</w:t>
            </w:r>
          </w:p>
        </w:tc>
        <w:tc>
          <w:tcPr>
            <w:tcW w:w="4950" w:type="dxa"/>
            <w:shd w:val="clear" w:color="auto" w:fill="DEEAF6" w:themeFill="accent1" w:themeFillTint="33"/>
            <w:vAlign w:val="center"/>
          </w:tcPr>
          <w:p w14:paraId="3446B49B" w14:textId="77777777" w:rsidR="002D158A" w:rsidRPr="00804B2D" w:rsidRDefault="002D158A" w:rsidP="003E1BC5">
            <w:pPr>
              <w:spacing w:after="0"/>
              <w:ind w:left="0"/>
              <w:jc w:val="center"/>
              <w:rPr>
                <w:rFonts w:cs="Arial"/>
                <w:b/>
                <w:color w:val="1F3864" w:themeColor="accent5" w:themeShade="80"/>
              </w:rPr>
            </w:pPr>
            <w:r>
              <w:rPr>
                <w:rFonts w:cs="Arial"/>
                <w:b/>
                <w:color w:val="1F3864" w:themeColor="accent5" w:themeShade="80"/>
              </w:rPr>
              <w:t>Percent of Total Cost per Phase</w:t>
            </w:r>
          </w:p>
        </w:tc>
      </w:tr>
      <w:tr w:rsidR="002D158A" w:rsidRPr="00873442" w14:paraId="1739E582" w14:textId="77777777" w:rsidTr="003E1BC5">
        <w:tc>
          <w:tcPr>
            <w:tcW w:w="3667" w:type="dxa"/>
          </w:tcPr>
          <w:p w14:paraId="59F51959" w14:textId="77777777" w:rsidR="002D158A" w:rsidRPr="00873442" w:rsidRDefault="002D158A" w:rsidP="003E1BC5">
            <w:pPr>
              <w:ind w:left="0"/>
              <w:rPr>
                <w:highlight w:val="yellow"/>
              </w:rPr>
            </w:pPr>
            <w:r>
              <w:t>Analysis</w:t>
            </w:r>
          </w:p>
        </w:tc>
        <w:tc>
          <w:tcPr>
            <w:tcW w:w="4950" w:type="dxa"/>
          </w:tcPr>
          <w:p w14:paraId="2ADA63F8" w14:textId="77777777" w:rsidR="002D158A" w:rsidRPr="00845222" w:rsidRDefault="002D158A" w:rsidP="003E1BC5">
            <w:pPr>
              <w:ind w:left="0"/>
            </w:pPr>
            <w:r>
              <w:t>Up to 15% of the total phase cost</w:t>
            </w:r>
          </w:p>
        </w:tc>
      </w:tr>
      <w:tr w:rsidR="002D158A" w:rsidRPr="00873442" w14:paraId="6E154046" w14:textId="77777777" w:rsidTr="003E1BC5">
        <w:tc>
          <w:tcPr>
            <w:tcW w:w="3667" w:type="dxa"/>
          </w:tcPr>
          <w:p w14:paraId="2326597C" w14:textId="77777777" w:rsidR="002D158A" w:rsidRDefault="002D158A" w:rsidP="003E1BC5">
            <w:pPr>
              <w:ind w:left="0"/>
            </w:pPr>
            <w:r>
              <w:t>Design</w:t>
            </w:r>
          </w:p>
        </w:tc>
        <w:tc>
          <w:tcPr>
            <w:tcW w:w="4950" w:type="dxa"/>
          </w:tcPr>
          <w:p w14:paraId="1143B8CD" w14:textId="77777777" w:rsidR="002D158A" w:rsidRDefault="002D158A" w:rsidP="003E1BC5">
            <w:pPr>
              <w:ind w:left="0"/>
            </w:pPr>
            <w:r>
              <w:t>Up to 20% of the total phase cost</w:t>
            </w:r>
          </w:p>
        </w:tc>
      </w:tr>
      <w:tr w:rsidR="002D158A" w:rsidRPr="00873442" w14:paraId="5D5DED48" w14:textId="77777777" w:rsidTr="003E1BC5">
        <w:tc>
          <w:tcPr>
            <w:tcW w:w="3667" w:type="dxa"/>
          </w:tcPr>
          <w:p w14:paraId="404FB949" w14:textId="77777777" w:rsidR="002D158A" w:rsidRDefault="002D158A" w:rsidP="003E1BC5">
            <w:pPr>
              <w:ind w:left="0"/>
            </w:pPr>
            <w:r>
              <w:t>Development</w:t>
            </w:r>
          </w:p>
        </w:tc>
        <w:tc>
          <w:tcPr>
            <w:tcW w:w="4950" w:type="dxa"/>
          </w:tcPr>
          <w:p w14:paraId="4D840919" w14:textId="77777777" w:rsidR="002D158A" w:rsidRDefault="002D158A" w:rsidP="003E1BC5">
            <w:pPr>
              <w:ind w:left="0"/>
            </w:pPr>
            <w:r>
              <w:t>Up to 20% of the total phase cost</w:t>
            </w:r>
          </w:p>
        </w:tc>
      </w:tr>
      <w:tr w:rsidR="002D158A" w:rsidRPr="00873442" w14:paraId="1C032AEE" w14:textId="77777777" w:rsidTr="003E1BC5">
        <w:tc>
          <w:tcPr>
            <w:tcW w:w="3667" w:type="dxa"/>
          </w:tcPr>
          <w:p w14:paraId="7764BDE4" w14:textId="77777777" w:rsidR="002D158A" w:rsidRDefault="002D158A" w:rsidP="003E1BC5">
            <w:pPr>
              <w:ind w:left="0"/>
            </w:pPr>
            <w:r>
              <w:t>Integration</w:t>
            </w:r>
          </w:p>
        </w:tc>
        <w:tc>
          <w:tcPr>
            <w:tcW w:w="4950" w:type="dxa"/>
          </w:tcPr>
          <w:p w14:paraId="6ED5D2C1" w14:textId="77777777" w:rsidR="002D158A" w:rsidRDefault="002D158A" w:rsidP="003E1BC5">
            <w:pPr>
              <w:ind w:left="0"/>
            </w:pPr>
            <w:r>
              <w:t>Up to 15% of the total phase cost</w:t>
            </w:r>
          </w:p>
        </w:tc>
      </w:tr>
      <w:tr w:rsidR="002D158A" w:rsidRPr="00873442" w14:paraId="6E665E40" w14:textId="77777777" w:rsidTr="003E1BC5">
        <w:tc>
          <w:tcPr>
            <w:tcW w:w="3667" w:type="dxa"/>
          </w:tcPr>
          <w:p w14:paraId="4092A6D5" w14:textId="77777777" w:rsidR="002D158A" w:rsidRDefault="002D158A" w:rsidP="003E1BC5">
            <w:pPr>
              <w:ind w:left="0"/>
            </w:pPr>
            <w:r>
              <w:t>Implementation</w:t>
            </w:r>
          </w:p>
        </w:tc>
        <w:tc>
          <w:tcPr>
            <w:tcW w:w="4950" w:type="dxa"/>
          </w:tcPr>
          <w:p w14:paraId="5516FFF6" w14:textId="77777777" w:rsidR="002D158A" w:rsidRDefault="002D158A" w:rsidP="003E1BC5">
            <w:pPr>
              <w:ind w:left="0"/>
            </w:pPr>
            <w:r>
              <w:t>Up to 25% of the total phase cost</w:t>
            </w:r>
          </w:p>
        </w:tc>
      </w:tr>
      <w:tr w:rsidR="002D158A" w:rsidRPr="00873442" w14:paraId="7C6E5195" w14:textId="77777777" w:rsidTr="003E1BC5">
        <w:tc>
          <w:tcPr>
            <w:tcW w:w="3667" w:type="dxa"/>
          </w:tcPr>
          <w:p w14:paraId="683AADF1" w14:textId="77777777" w:rsidR="002D158A" w:rsidRDefault="002D158A" w:rsidP="003E1BC5">
            <w:pPr>
              <w:ind w:left="0"/>
            </w:pPr>
            <w:r>
              <w:t>Post-Implementation</w:t>
            </w:r>
          </w:p>
        </w:tc>
        <w:tc>
          <w:tcPr>
            <w:tcW w:w="4950" w:type="dxa"/>
          </w:tcPr>
          <w:p w14:paraId="2E2FD796" w14:textId="77777777" w:rsidR="002D158A" w:rsidRDefault="002D158A" w:rsidP="003E1BC5">
            <w:pPr>
              <w:ind w:left="0"/>
            </w:pPr>
            <w:r>
              <w:t>Up to 5% of the total phase cost</w:t>
            </w:r>
          </w:p>
        </w:tc>
      </w:tr>
    </w:tbl>
    <w:p w14:paraId="2653E23B" w14:textId="77777777" w:rsidR="002D158A" w:rsidRDefault="002D158A" w:rsidP="00EF3C59">
      <w:pPr>
        <w:rPr>
          <w:lang w:eastAsia="en-AU"/>
        </w:rPr>
      </w:pPr>
    </w:p>
    <w:p w14:paraId="32A1579E" w14:textId="17E9597A" w:rsidR="00845222" w:rsidRDefault="009F2A60" w:rsidP="00EF3C59">
      <w:pPr>
        <w:rPr>
          <w:lang w:eastAsia="en-AU"/>
        </w:rPr>
      </w:pPr>
      <w:r>
        <w:rPr>
          <w:lang w:eastAsia="en-AU"/>
        </w:rPr>
        <w:t>In the following table, Deliverables are mapped to Project Phase Milestones.</w:t>
      </w:r>
    </w:p>
    <w:tbl>
      <w:tblPr>
        <w:tblStyle w:val="TableGrid"/>
        <w:tblW w:w="0" w:type="auto"/>
        <w:tblInd w:w="108" w:type="dxa"/>
        <w:tblLook w:val="04A0" w:firstRow="1" w:lastRow="0" w:firstColumn="1" w:lastColumn="0" w:noHBand="0" w:noVBand="1"/>
        <w:tblCaption w:val="Deliverables mapped to project phase milestones"/>
      </w:tblPr>
      <w:tblGrid>
        <w:gridCol w:w="1743"/>
        <w:gridCol w:w="6658"/>
        <w:gridCol w:w="2281"/>
      </w:tblGrid>
      <w:tr w:rsidR="00845222" w:rsidRPr="00873442" w14:paraId="5E383BA8" w14:textId="77777777" w:rsidTr="00987C09">
        <w:trPr>
          <w:cantSplit/>
          <w:tblHeader/>
        </w:trPr>
        <w:tc>
          <w:tcPr>
            <w:tcW w:w="1743" w:type="dxa"/>
            <w:shd w:val="clear" w:color="auto" w:fill="DEEAF6" w:themeFill="accent1" w:themeFillTint="33"/>
            <w:vAlign w:val="center"/>
          </w:tcPr>
          <w:p w14:paraId="4762BA89" w14:textId="77777777" w:rsidR="00845222" w:rsidRPr="00804B2D" w:rsidRDefault="00845222" w:rsidP="00987C09">
            <w:pPr>
              <w:spacing w:after="0"/>
              <w:ind w:left="0"/>
              <w:jc w:val="center"/>
              <w:rPr>
                <w:rFonts w:cs="Arial"/>
                <w:b/>
                <w:color w:val="1F3864" w:themeColor="accent5" w:themeShade="80"/>
              </w:rPr>
            </w:pPr>
            <w:r w:rsidRPr="00804B2D">
              <w:rPr>
                <w:rFonts w:cs="Arial"/>
                <w:b/>
                <w:color w:val="1F3864" w:themeColor="accent5" w:themeShade="80"/>
              </w:rPr>
              <w:lastRenderedPageBreak/>
              <w:t>Deliverable Number</w:t>
            </w:r>
          </w:p>
        </w:tc>
        <w:tc>
          <w:tcPr>
            <w:tcW w:w="6658" w:type="dxa"/>
            <w:shd w:val="clear" w:color="auto" w:fill="DEEAF6" w:themeFill="accent1" w:themeFillTint="33"/>
            <w:vAlign w:val="center"/>
          </w:tcPr>
          <w:p w14:paraId="319AFEB3" w14:textId="77777777" w:rsidR="00845222" w:rsidRDefault="00845222" w:rsidP="00987C09">
            <w:pPr>
              <w:spacing w:after="0"/>
              <w:ind w:left="0"/>
              <w:jc w:val="center"/>
              <w:rPr>
                <w:rFonts w:cs="Arial"/>
                <w:b/>
                <w:color w:val="1F3864" w:themeColor="accent5" w:themeShade="80"/>
              </w:rPr>
            </w:pPr>
            <w:r>
              <w:rPr>
                <w:rFonts w:cs="Arial"/>
                <w:b/>
                <w:color w:val="1F3864" w:themeColor="accent5" w:themeShade="80"/>
              </w:rPr>
              <w:t>Deliverable</w:t>
            </w:r>
          </w:p>
          <w:p w14:paraId="2229E635" w14:textId="77777777" w:rsidR="00845222" w:rsidRPr="00804B2D" w:rsidRDefault="00845222" w:rsidP="00987C09">
            <w:pPr>
              <w:spacing w:after="0"/>
              <w:ind w:left="0"/>
              <w:jc w:val="center"/>
              <w:rPr>
                <w:rFonts w:cs="Arial"/>
                <w:b/>
                <w:color w:val="1F3864" w:themeColor="accent5" w:themeShade="80"/>
              </w:rPr>
            </w:pPr>
            <w:r w:rsidRPr="00804B2D">
              <w:rPr>
                <w:rFonts w:cs="Arial"/>
                <w:b/>
                <w:color w:val="1F3864" w:themeColor="accent5" w:themeShade="80"/>
              </w:rPr>
              <w:t>Name</w:t>
            </w:r>
          </w:p>
        </w:tc>
        <w:tc>
          <w:tcPr>
            <w:tcW w:w="2281" w:type="dxa"/>
            <w:shd w:val="clear" w:color="auto" w:fill="DEEAF6" w:themeFill="accent1" w:themeFillTint="33"/>
            <w:vAlign w:val="center"/>
          </w:tcPr>
          <w:p w14:paraId="3C71362D" w14:textId="6E50509C" w:rsidR="00845222" w:rsidRPr="00804B2D" w:rsidRDefault="002F72C6" w:rsidP="00987C09">
            <w:pPr>
              <w:spacing w:after="0"/>
              <w:ind w:left="0"/>
              <w:jc w:val="center"/>
              <w:rPr>
                <w:rFonts w:cs="Arial"/>
                <w:b/>
                <w:color w:val="1F3864" w:themeColor="accent5" w:themeShade="80"/>
              </w:rPr>
            </w:pPr>
            <w:r>
              <w:rPr>
                <w:rFonts w:cs="Arial"/>
                <w:b/>
                <w:color w:val="1F3864" w:themeColor="accent5" w:themeShade="80"/>
              </w:rPr>
              <w:t>Project Phase Milestone</w:t>
            </w:r>
          </w:p>
        </w:tc>
      </w:tr>
      <w:tr w:rsidR="00845222" w:rsidRPr="00873442" w14:paraId="2E59F606" w14:textId="77777777" w:rsidTr="00987C09">
        <w:tc>
          <w:tcPr>
            <w:tcW w:w="1743" w:type="dxa"/>
          </w:tcPr>
          <w:p w14:paraId="27CAEFB1" w14:textId="77777777" w:rsidR="00845222" w:rsidRPr="00D843BF" w:rsidRDefault="00845222" w:rsidP="00845222">
            <w:pPr>
              <w:ind w:left="0"/>
            </w:pPr>
            <w:r>
              <w:t>2</w:t>
            </w:r>
          </w:p>
        </w:tc>
        <w:tc>
          <w:tcPr>
            <w:tcW w:w="6658" w:type="dxa"/>
          </w:tcPr>
          <w:p w14:paraId="2F5A219C" w14:textId="77777777" w:rsidR="00845222" w:rsidRPr="00D843BF" w:rsidRDefault="00845222" w:rsidP="00845222">
            <w:pPr>
              <w:ind w:left="0"/>
            </w:pPr>
            <w:r>
              <w:t>Manage Requirements</w:t>
            </w:r>
          </w:p>
        </w:tc>
        <w:tc>
          <w:tcPr>
            <w:tcW w:w="2281" w:type="dxa"/>
          </w:tcPr>
          <w:p w14:paraId="2FC83304" w14:textId="3B32C316" w:rsidR="00845222" w:rsidRPr="00873442" w:rsidRDefault="002F72C6" w:rsidP="00845222">
            <w:pPr>
              <w:ind w:left="0"/>
              <w:jc w:val="center"/>
              <w:rPr>
                <w:highlight w:val="yellow"/>
              </w:rPr>
            </w:pPr>
            <w:r>
              <w:t>Analysis</w:t>
            </w:r>
          </w:p>
        </w:tc>
      </w:tr>
      <w:tr w:rsidR="00845222" w:rsidRPr="00873442" w14:paraId="62E6A7F5" w14:textId="77777777" w:rsidTr="00987C09">
        <w:tc>
          <w:tcPr>
            <w:tcW w:w="1743" w:type="dxa"/>
          </w:tcPr>
          <w:p w14:paraId="57446C5D" w14:textId="77777777" w:rsidR="00845222" w:rsidRPr="00873442" w:rsidRDefault="00845222" w:rsidP="00845222">
            <w:pPr>
              <w:ind w:left="0"/>
              <w:rPr>
                <w:highlight w:val="yellow"/>
              </w:rPr>
            </w:pPr>
            <w:r w:rsidRPr="00D843BF">
              <w:t>3</w:t>
            </w:r>
          </w:p>
        </w:tc>
        <w:tc>
          <w:tcPr>
            <w:tcW w:w="6658" w:type="dxa"/>
          </w:tcPr>
          <w:p w14:paraId="76FDFFED" w14:textId="77777777" w:rsidR="00845222" w:rsidRPr="00873442" w:rsidRDefault="00845222" w:rsidP="00845222">
            <w:pPr>
              <w:ind w:left="0"/>
              <w:rPr>
                <w:highlight w:val="yellow"/>
              </w:rPr>
            </w:pPr>
            <w:r>
              <w:t>Design Holistic UI Replacement System</w:t>
            </w:r>
          </w:p>
        </w:tc>
        <w:tc>
          <w:tcPr>
            <w:tcW w:w="2281" w:type="dxa"/>
          </w:tcPr>
          <w:p w14:paraId="095026A1" w14:textId="513CD190" w:rsidR="00845222" w:rsidRPr="00873442" w:rsidRDefault="002F72C6" w:rsidP="00845222">
            <w:pPr>
              <w:ind w:left="0"/>
              <w:jc w:val="center"/>
              <w:rPr>
                <w:highlight w:val="yellow"/>
              </w:rPr>
            </w:pPr>
            <w:r>
              <w:t>Design</w:t>
            </w:r>
          </w:p>
        </w:tc>
      </w:tr>
      <w:tr w:rsidR="00845222" w:rsidRPr="00873442" w14:paraId="609D8FDF" w14:textId="77777777" w:rsidTr="00987C09">
        <w:tc>
          <w:tcPr>
            <w:tcW w:w="1743" w:type="dxa"/>
          </w:tcPr>
          <w:p w14:paraId="2F34E935" w14:textId="77777777" w:rsidR="00845222" w:rsidRPr="00873442" w:rsidRDefault="00845222" w:rsidP="00845222">
            <w:pPr>
              <w:ind w:left="0"/>
              <w:rPr>
                <w:highlight w:val="yellow"/>
              </w:rPr>
            </w:pPr>
            <w:r w:rsidRPr="00D843BF">
              <w:t>5</w:t>
            </w:r>
          </w:p>
        </w:tc>
        <w:tc>
          <w:tcPr>
            <w:tcW w:w="6658" w:type="dxa"/>
          </w:tcPr>
          <w:p w14:paraId="1BE36D40" w14:textId="77777777" w:rsidR="00845222" w:rsidRPr="00873442" w:rsidRDefault="00845222" w:rsidP="00845222">
            <w:pPr>
              <w:ind w:left="0"/>
              <w:rPr>
                <w:highlight w:val="yellow"/>
              </w:rPr>
            </w:pPr>
            <w:r>
              <w:t>Configure/Develop System and Conduct Technical Acceptance Testing</w:t>
            </w:r>
          </w:p>
        </w:tc>
        <w:tc>
          <w:tcPr>
            <w:tcW w:w="2281" w:type="dxa"/>
          </w:tcPr>
          <w:p w14:paraId="7EE2DF4D" w14:textId="1DCB794E" w:rsidR="00845222" w:rsidRPr="00873442" w:rsidRDefault="002F72C6" w:rsidP="00845222">
            <w:pPr>
              <w:ind w:left="0"/>
              <w:jc w:val="center"/>
              <w:rPr>
                <w:highlight w:val="yellow"/>
              </w:rPr>
            </w:pPr>
            <w:r>
              <w:t>Development</w:t>
            </w:r>
          </w:p>
        </w:tc>
      </w:tr>
      <w:tr w:rsidR="00845222" w:rsidRPr="00873442" w14:paraId="48D3FAFA" w14:textId="77777777" w:rsidTr="00987C09">
        <w:tc>
          <w:tcPr>
            <w:tcW w:w="1743" w:type="dxa"/>
          </w:tcPr>
          <w:p w14:paraId="14646ED8" w14:textId="77777777" w:rsidR="00845222" w:rsidRPr="00873442" w:rsidRDefault="00845222" w:rsidP="00845222">
            <w:pPr>
              <w:ind w:left="0"/>
              <w:rPr>
                <w:highlight w:val="yellow"/>
              </w:rPr>
            </w:pPr>
            <w:r w:rsidRPr="00355C5B">
              <w:t>6</w:t>
            </w:r>
          </w:p>
        </w:tc>
        <w:tc>
          <w:tcPr>
            <w:tcW w:w="6658" w:type="dxa"/>
          </w:tcPr>
          <w:p w14:paraId="6BFD13A2" w14:textId="77777777" w:rsidR="00845222" w:rsidRPr="00873442" w:rsidRDefault="00845222" w:rsidP="00845222">
            <w:pPr>
              <w:ind w:left="0"/>
              <w:rPr>
                <w:highlight w:val="yellow"/>
              </w:rPr>
            </w:pPr>
            <w:r>
              <w:t>Migrate Data</w:t>
            </w:r>
          </w:p>
        </w:tc>
        <w:tc>
          <w:tcPr>
            <w:tcW w:w="2281" w:type="dxa"/>
          </w:tcPr>
          <w:p w14:paraId="66E70C69" w14:textId="3A581FA9" w:rsidR="00845222" w:rsidRPr="00873442" w:rsidRDefault="002F72C6" w:rsidP="00845222">
            <w:pPr>
              <w:ind w:left="0"/>
              <w:jc w:val="center"/>
              <w:rPr>
                <w:highlight w:val="yellow"/>
              </w:rPr>
            </w:pPr>
            <w:r>
              <w:t>Development</w:t>
            </w:r>
          </w:p>
        </w:tc>
      </w:tr>
      <w:tr w:rsidR="00845222" w:rsidRPr="00873442" w14:paraId="299FE833" w14:textId="77777777" w:rsidTr="00987C09">
        <w:tc>
          <w:tcPr>
            <w:tcW w:w="1743" w:type="dxa"/>
          </w:tcPr>
          <w:p w14:paraId="6324F5C5" w14:textId="77777777" w:rsidR="00845222" w:rsidRDefault="00845222" w:rsidP="00845222">
            <w:pPr>
              <w:ind w:left="0"/>
            </w:pPr>
            <w:r w:rsidRPr="00355C5B">
              <w:t>7</w:t>
            </w:r>
          </w:p>
        </w:tc>
        <w:tc>
          <w:tcPr>
            <w:tcW w:w="6658" w:type="dxa"/>
          </w:tcPr>
          <w:p w14:paraId="1BF577EF" w14:textId="77777777" w:rsidR="00845222" w:rsidRPr="00D674DE" w:rsidRDefault="00845222" w:rsidP="00845222">
            <w:pPr>
              <w:ind w:left="0"/>
            </w:pPr>
            <w:r>
              <w:t>Implement Interfaces</w:t>
            </w:r>
          </w:p>
        </w:tc>
        <w:tc>
          <w:tcPr>
            <w:tcW w:w="2281" w:type="dxa"/>
          </w:tcPr>
          <w:p w14:paraId="3306DED9" w14:textId="0E3A4C2C" w:rsidR="00845222" w:rsidRPr="00873442" w:rsidRDefault="002F72C6" w:rsidP="00845222">
            <w:pPr>
              <w:ind w:left="0"/>
              <w:jc w:val="center"/>
              <w:rPr>
                <w:highlight w:val="yellow"/>
              </w:rPr>
            </w:pPr>
            <w:r>
              <w:t>Integration</w:t>
            </w:r>
          </w:p>
        </w:tc>
      </w:tr>
      <w:tr w:rsidR="000004C6" w:rsidRPr="00873442" w14:paraId="17CFB606" w14:textId="77777777" w:rsidTr="00987C09">
        <w:tc>
          <w:tcPr>
            <w:tcW w:w="1743" w:type="dxa"/>
          </w:tcPr>
          <w:p w14:paraId="453BF829" w14:textId="77777777" w:rsidR="000004C6" w:rsidRDefault="000004C6" w:rsidP="000004C6">
            <w:pPr>
              <w:ind w:left="0"/>
            </w:pPr>
            <w:r>
              <w:t>8</w:t>
            </w:r>
          </w:p>
        </w:tc>
        <w:tc>
          <w:tcPr>
            <w:tcW w:w="6658" w:type="dxa"/>
          </w:tcPr>
          <w:p w14:paraId="28AC07F9" w14:textId="77777777" w:rsidR="000004C6" w:rsidRDefault="000004C6" w:rsidP="000004C6">
            <w:pPr>
              <w:ind w:left="0"/>
            </w:pPr>
            <w:r>
              <w:t>Replace Reports</w:t>
            </w:r>
          </w:p>
        </w:tc>
        <w:tc>
          <w:tcPr>
            <w:tcW w:w="2281" w:type="dxa"/>
          </w:tcPr>
          <w:p w14:paraId="6ABAB572" w14:textId="3F6A16CF" w:rsidR="000004C6" w:rsidRPr="00873442" w:rsidRDefault="000004C6" w:rsidP="000004C6">
            <w:pPr>
              <w:ind w:left="0"/>
              <w:jc w:val="center"/>
              <w:rPr>
                <w:highlight w:val="yellow"/>
              </w:rPr>
            </w:pPr>
            <w:r>
              <w:t>Integration</w:t>
            </w:r>
          </w:p>
        </w:tc>
      </w:tr>
      <w:tr w:rsidR="00845222" w:rsidRPr="00873442" w14:paraId="6985FCB1" w14:textId="77777777" w:rsidTr="00987C09">
        <w:tc>
          <w:tcPr>
            <w:tcW w:w="1743" w:type="dxa"/>
          </w:tcPr>
          <w:p w14:paraId="53B721E5" w14:textId="77777777" w:rsidR="00845222" w:rsidRDefault="00845222" w:rsidP="00845222">
            <w:pPr>
              <w:ind w:left="0"/>
            </w:pPr>
            <w:r>
              <w:t>9</w:t>
            </w:r>
          </w:p>
        </w:tc>
        <w:tc>
          <w:tcPr>
            <w:tcW w:w="6658" w:type="dxa"/>
          </w:tcPr>
          <w:p w14:paraId="339C3A2A" w14:textId="77777777" w:rsidR="00845222" w:rsidRDefault="00845222" w:rsidP="00845222">
            <w:pPr>
              <w:ind w:left="0"/>
            </w:pPr>
            <w:r>
              <w:t>Plan and Implement OCM</w:t>
            </w:r>
          </w:p>
        </w:tc>
        <w:tc>
          <w:tcPr>
            <w:tcW w:w="2281" w:type="dxa"/>
          </w:tcPr>
          <w:p w14:paraId="0B702D49" w14:textId="6CEDA46A" w:rsidR="00845222" w:rsidRPr="00873442" w:rsidRDefault="000004C6" w:rsidP="00845222">
            <w:pPr>
              <w:ind w:left="0"/>
              <w:jc w:val="center"/>
              <w:rPr>
                <w:highlight w:val="yellow"/>
              </w:rPr>
            </w:pPr>
            <w:r>
              <w:t>Implementation</w:t>
            </w:r>
          </w:p>
        </w:tc>
      </w:tr>
      <w:tr w:rsidR="00845222" w:rsidRPr="00873442" w14:paraId="08D8C725" w14:textId="77777777" w:rsidTr="00987C09">
        <w:tc>
          <w:tcPr>
            <w:tcW w:w="1743" w:type="dxa"/>
          </w:tcPr>
          <w:p w14:paraId="6DDE5D41" w14:textId="77777777" w:rsidR="00845222" w:rsidRDefault="00845222" w:rsidP="00845222">
            <w:pPr>
              <w:ind w:left="0"/>
            </w:pPr>
            <w:r>
              <w:t>10</w:t>
            </w:r>
          </w:p>
        </w:tc>
        <w:tc>
          <w:tcPr>
            <w:tcW w:w="6658" w:type="dxa"/>
          </w:tcPr>
          <w:p w14:paraId="06AC6926" w14:textId="77777777" w:rsidR="00845222" w:rsidRDefault="00845222" w:rsidP="00845222">
            <w:pPr>
              <w:ind w:left="0"/>
            </w:pPr>
            <w:r>
              <w:t>Implement Automated Testing Solution</w:t>
            </w:r>
          </w:p>
        </w:tc>
        <w:tc>
          <w:tcPr>
            <w:tcW w:w="2281" w:type="dxa"/>
          </w:tcPr>
          <w:p w14:paraId="1F4A84E3" w14:textId="4AE935FC" w:rsidR="00845222" w:rsidRPr="00873442" w:rsidRDefault="000004C6" w:rsidP="00845222">
            <w:pPr>
              <w:ind w:left="0"/>
              <w:jc w:val="center"/>
              <w:rPr>
                <w:highlight w:val="yellow"/>
              </w:rPr>
            </w:pPr>
            <w:r>
              <w:t>Implementation</w:t>
            </w:r>
          </w:p>
        </w:tc>
      </w:tr>
      <w:tr w:rsidR="00845222" w:rsidRPr="00873442" w14:paraId="415FDCC0" w14:textId="77777777" w:rsidTr="00987C09">
        <w:tc>
          <w:tcPr>
            <w:tcW w:w="1743" w:type="dxa"/>
          </w:tcPr>
          <w:p w14:paraId="2B2C3B25" w14:textId="77777777" w:rsidR="00845222" w:rsidRDefault="00845222" w:rsidP="00845222">
            <w:pPr>
              <w:ind w:left="0"/>
            </w:pPr>
            <w:r w:rsidRPr="00355C5B">
              <w:t>1</w:t>
            </w:r>
            <w:r>
              <w:t>1</w:t>
            </w:r>
          </w:p>
        </w:tc>
        <w:tc>
          <w:tcPr>
            <w:tcW w:w="6658" w:type="dxa"/>
          </w:tcPr>
          <w:p w14:paraId="5AE5D4BB" w14:textId="77777777" w:rsidR="00845222" w:rsidRDefault="00845222" w:rsidP="00845222">
            <w:pPr>
              <w:ind w:left="0"/>
            </w:pPr>
            <w:r>
              <w:t>Conduct System Testing</w:t>
            </w:r>
          </w:p>
        </w:tc>
        <w:tc>
          <w:tcPr>
            <w:tcW w:w="2281" w:type="dxa"/>
          </w:tcPr>
          <w:p w14:paraId="3E1EDF0D" w14:textId="06B5D12A" w:rsidR="00845222" w:rsidRPr="00873442" w:rsidRDefault="000004C6" w:rsidP="00845222">
            <w:pPr>
              <w:ind w:left="0"/>
              <w:jc w:val="center"/>
              <w:rPr>
                <w:highlight w:val="yellow"/>
              </w:rPr>
            </w:pPr>
            <w:r>
              <w:t>Implementation</w:t>
            </w:r>
          </w:p>
        </w:tc>
      </w:tr>
      <w:tr w:rsidR="00845222" w:rsidRPr="00873442" w14:paraId="76F209C1" w14:textId="77777777" w:rsidTr="00987C09">
        <w:tc>
          <w:tcPr>
            <w:tcW w:w="1743" w:type="dxa"/>
          </w:tcPr>
          <w:p w14:paraId="6BBB0DF0" w14:textId="77777777" w:rsidR="00845222" w:rsidRDefault="00845222" w:rsidP="00845222">
            <w:pPr>
              <w:ind w:left="0"/>
            </w:pPr>
            <w:r>
              <w:t>12</w:t>
            </w:r>
          </w:p>
        </w:tc>
        <w:tc>
          <w:tcPr>
            <w:tcW w:w="6658" w:type="dxa"/>
          </w:tcPr>
          <w:p w14:paraId="0212A933" w14:textId="77777777" w:rsidR="00845222" w:rsidRDefault="00845222" w:rsidP="00845222">
            <w:pPr>
              <w:ind w:left="0"/>
            </w:pPr>
            <w:r>
              <w:t>Create and Conduct Training</w:t>
            </w:r>
          </w:p>
        </w:tc>
        <w:tc>
          <w:tcPr>
            <w:tcW w:w="2281" w:type="dxa"/>
          </w:tcPr>
          <w:p w14:paraId="20F1CA7E" w14:textId="2204D776" w:rsidR="00845222" w:rsidRPr="00873442" w:rsidRDefault="000004C6" w:rsidP="00845222">
            <w:pPr>
              <w:ind w:left="0"/>
              <w:jc w:val="center"/>
              <w:rPr>
                <w:highlight w:val="yellow"/>
              </w:rPr>
            </w:pPr>
            <w:r>
              <w:t>Implementation</w:t>
            </w:r>
          </w:p>
        </w:tc>
      </w:tr>
      <w:tr w:rsidR="00845222" w:rsidRPr="00873442" w14:paraId="6E486326" w14:textId="77777777" w:rsidTr="00987C09">
        <w:tc>
          <w:tcPr>
            <w:tcW w:w="1743" w:type="dxa"/>
          </w:tcPr>
          <w:p w14:paraId="75D905F7" w14:textId="77777777" w:rsidR="00845222" w:rsidRDefault="00845222" w:rsidP="00845222">
            <w:pPr>
              <w:ind w:left="0"/>
            </w:pPr>
            <w:r>
              <w:t>13</w:t>
            </w:r>
          </w:p>
        </w:tc>
        <w:tc>
          <w:tcPr>
            <w:tcW w:w="6658" w:type="dxa"/>
          </w:tcPr>
          <w:p w14:paraId="21C6DD54" w14:textId="61DE0278" w:rsidR="00845222" w:rsidRDefault="00DE6955" w:rsidP="00845222">
            <w:pPr>
              <w:ind w:left="0"/>
            </w:pPr>
            <w:r>
              <w:t>Deployment Planning and Execution</w:t>
            </w:r>
          </w:p>
        </w:tc>
        <w:tc>
          <w:tcPr>
            <w:tcW w:w="2281" w:type="dxa"/>
          </w:tcPr>
          <w:p w14:paraId="65259816" w14:textId="068AF655" w:rsidR="00845222" w:rsidRPr="00873442" w:rsidRDefault="000004C6" w:rsidP="00845222">
            <w:pPr>
              <w:ind w:left="0"/>
              <w:jc w:val="center"/>
              <w:rPr>
                <w:highlight w:val="yellow"/>
              </w:rPr>
            </w:pPr>
            <w:r>
              <w:t>Implementation</w:t>
            </w:r>
          </w:p>
        </w:tc>
      </w:tr>
      <w:tr w:rsidR="00845222" w:rsidRPr="00873442" w14:paraId="0E3DD328" w14:textId="77777777" w:rsidTr="00987C09">
        <w:trPr>
          <w:cantSplit/>
        </w:trPr>
        <w:tc>
          <w:tcPr>
            <w:tcW w:w="1743" w:type="dxa"/>
            <w:shd w:val="clear" w:color="auto" w:fill="DEEAF6" w:themeFill="accent1" w:themeFillTint="33"/>
          </w:tcPr>
          <w:p w14:paraId="35368A19" w14:textId="77777777" w:rsidR="00845222" w:rsidRDefault="00845222" w:rsidP="00987C09">
            <w:pPr>
              <w:ind w:left="0"/>
              <w:jc w:val="center"/>
            </w:pPr>
            <w:r>
              <w:t>-</w:t>
            </w:r>
          </w:p>
        </w:tc>
        <w:tc>
          <w:tcPr>
            <w:tcW w:w="6658" w:type="dxa"/>
            <w:shd w:val="clear" w:color="auto" w:fill="DEEAF6" w:themeFill="accent1" w:themeFillTint="33"/>
          </w:tcPr>
          <w:p w14:paraId="085CBA40" w14:textId="40C97D4A" w:rsidR="00845222" w:rsidRPr="00FB59F1" w:rsidRDefault="00845222" w:rsidP="00987C09">
            <w:pPr>
              <w:ind w:left="256"/>
              <w:jc w:val="right"/>
              <w:rPr>
                <w:b/>
              </w:rPr>
            </w:pPr>
            <w:r w:rsidRPr="00FB59F1">
              <w:rPr>
                <w:b/>
              </w:rPr>
              <w:t>Total</w:t>
            </w:r>
            <w:r w:rsidR="00DE1A9A">
              <w:rPr>
                <w:b/>
              </w:rPr>
              <w:t xml:space="preserve"> Phase Costs</w:t>
            </w:r>
          </w:p>
        </w:tc>
        <w:tc>
          <w:tcPr>
            <w:tcW w:w="2281" w:type="dxa"/>
            <w:shd w:val="clear" w:color="auto" w:fill="DEEAF6" w:themeFill="accent1" w:themeFillTint="33"/>
          </w:tcPr>
          <w:p w14:paraId="6861E291" w14:textId="0F8BAAD1" w:rsidR="00845222" w:rsidRPr="00845222" w:rsidRDefault="00845222" w:rsidP="00845222">
            <w:pPr>
              <w:ind w:left="0"/>
              <w:jc w:val="center"/>
            </w:pPr>
          </w:p>
        </w:tc>
      </w:tr>
    </w:tbl>
    <w:p w14:paraId="10B69444" w14:textId="73582A83" w:rsidR="00845222" w:rsidRDefault="00845222" w:rsidP="00EF3C59">
      <w:pPr>
        <w:rPr>
          <w:lang w:eastAsia="en-AU"/>
        </w:rPr>
      </w:pPr>
    </w:p>
    <w:p w14:paraId="5FD59EB1" w14:textId="158BFC43" w:rsidR="002F72C6" w:rsidRDefault="008A6CE2" w:rsidP="00EF3C59">
      <w:pPr>
        <w:rPr>
          <w:lang w:eastAsia="en-AU"/>
        </w:rPr>
      </w:pPr>
      <w:r>
        <w:rPr>
          <w:lang w:eastAsia="en-AU"/>
        </w:rPr>
        <w:t xml:space="preserve">For example, the total cost of all </w:t>
      </w:r>
      <w:r w:rsidR="00561C36">
        <w:rPr>
          <w:lang w:eastAsia="en-AU"/>
        </w:rPr>
        <w:t>Development</w:t>
      </w:r>
      <w:r>
        <w:rPr>
          <w:lang w:eastAsia="en-AU"/>
        </w:rPr>
        <w:t xml:space="preserve"> phase deliverables; Deliverables </w:t>
      </w:r>
      <w:r w:rsidR="00561C36">
        <w:rPr>
          <w:lang w:eastAsia="en-AU"/>
        </w:rPr>
        <w:t>5</w:t>
      </w:r>
      <w:r>
        <w:rPr>
          <w:lang w:eastAsia="en-AU"/>
        </w:rPr>
        <w:t xml:space="preserve">A, </w:t>
      </w:r>
      <w:r w:rsidR="00561C36">
        <w:rPr>
          <w:lang w:eastAsia="en-AU"/>
        </w:rPr>
        <w:t>5</w:t>
      </w:r>
      <w:r>
        <w:rPr>
          <w:lang w:eastAsia="en-AU"/>
        </w:rPr>
        <w:t>B,</w:t>
      </w:r>
      <w:r w:rsidR="00561C36">
        <w:rPr>
          <w:lang w:eastAsia="en-AU"/>
        </w:rPr>
        <w:t xml:space="preserve"> 5C, 5D, 5E, 5F, 5G, 5H, 5I, 6A,</w:t>
      </w:r>
      <w:r>
        <w:rPr>
          <w:lang w:eastAsia="en-AU"/>
        </w:rPr>
        <w:t xml:space="preserve"> and </w:t>
      </w:r>
      <w:r w:rsidR="00561C36">
        <w:rPr>
          <w:lang w:eastAsia="en-AU"/>
        </w:rPr>
        <w:t>6B</w:t>
      </w:r>
      <w:r>
        <w:rPr>
          <w:lang w:eastAsia="en-AU"/>
        </w:rPr>
        <w:t xml:space="preserve">; can sum to no more than </w:t>
      </w:r>
      <w:r w:rsidR="00427C15">
        <w:rPr>
          <w:lang w:eastAsia="en-AU"/>
        </w:rPr>
        <w:t>20</w:t>
      </w:r>
      <w:r>
        <w:rPr>
          <w:lang w:eastAsia="en-AU"/>
        </w:rPr>
        <w:t>% of the total cost for that phase</w:t>
      </w:r>
      <w:r w:rsidR="00427C15">
        <w:rPr>
          <w:lang w:eastAsia="en-AU"/>
        </w:rPr>
        <w:t>.</w:t>
      </w:r>
      <w:r>
        <w:rPr>
          <w:lang w:eastAsia="en-AU"/>
        </w:rPr>
        <w:t xml:space="preserve"> </w:t>
      </w:r>
      <w:r w:rsidR="00427C15">
        <w:rPr>
          <w:lang w:eastAsia="en-AU"/>
        </w:rPr>
        <w:t xml:space="preserve">Deliverables not included in the table above are considered Non-Phase Deliverables and are </w:t>
      </w:r>
      <w:r w:rsidR="00383F73">
        <w:rPr>
          <w:lang w:eastAsia="en-AU"/>
        </w:rPr>
        <w:t>addressed</w:t>
      </w:r>
      <w:r w:rsidR="00427C15">
        <w:rPr>
          <w:lang w:eastAsia="en-AU"/>
        </w:rPr>
        <w:t xml:space="preserve"> in A12.2</w:t>
      </w:r>
      <w:r>
        <w:rPr>
          <w:lang w:eastAsia="en-AU"/>
        </w:rPr>
        <w:t>.</w:t>
      </w:r>
    </w:p>
    <w:p w14:paraId="45C020EB" w14:textId="18B26C95" w:rsidR="008A6CE2" w:rsidRPr="00E21848" w:rsidRDefault="008A6CE2" w:rsidP="00EF3C59">
      <w:pPr>
        <w:rPr>
          <w:lang w:eastAsia="en-AU"/>
        </w:rPr>
      </w:pPr>
    </w:p>
    <w:p w14:paraId="587C5D62" w14:textId="528489D4" w:rsidR="009F2A60" w:rsidRDefault="009F2A60" w:rsidP="009F2A60">
      <w:pPr>
        <w:pStyle w:val="Heading3"/>
      </w:pPr>
      <w:bookmarkStart w:id="469" w:name="_A12.1_Pricing_for"/>
      <w:bookmarkStart w:id="470" w:name="_Toc13567526"/>
      <w:bookmarkEnd w:id="469"/>
      <w:r>
        <w:t>A12.1</w:t>
      </w:r>
      <w:r>
        <w:tab/>
        <w:t>Pricing for Deliverables –</w:t>
      </w:r>
      <w:r w:rsidR="00DE6955">
        <w:t xml:space="preserve"> </w:t>
      </w:r>
      <w:r>
        <w:t>Phase</w:t>
      </w:r>
      <w:bookmarkEnd w:id="470"/>
    </w:p>
    <w:p w14:paraId="36176699" w14:textId="690FB425" w:rsidR="009F2A60" w:rsidRPr="0045479C" w:rsidRDefault="00A7396F" w:rsidP="009F2A60">
      <w:pPr>
        <w:rPr>
          <w:lang w:eastAsia="en-AU"/>
        </w:rPr>
      </w:pPr>
      <w:r>
        <w:rPr>
          <w:lang w:eastAsia="en-AU"/>
        </w:rPr>
        <w:t>Pricing must address all deliverables necessary to implement the TWC UI solution for this Phase</w:t>
      </w:r>
      <w:r w:rsidR="009F2A60">
        <w:rPr>
          <w:lang w:eastAsia="en-AU"/>
        </w:rPr>
        <w:t xml:space="preserve">. </w:t>
      </w:r>
    </w:p>
    <w:tbl>
      <w:tblPr>
        <w:tblStyle w:val="TableGrid"/>
        <w:tblW w:w="0" w:type="auto"/>
        <w:tblInd w:w="108" w:type="dxa"/>
        <w:tblLook w:val="04A0" w:firstRow="1" w:lastRow="0" w:firstColumn="1" w:lastColumn="0" w:noHBand="0" w:noVBand="1"/>
        <w:tblCaption w:val="Deliverable Schedule table"/>
        <w:tblDescription w:val="Pricing for required Deliverables table"/>
      </w:tblPr>
      <w:tblGrid>
        <w:gridCol w:w="1743"/>
        <w:gridCol w:w="6658"/>
        <w:gridCol w:w="2281"/>
      </w:tblGrid>
      <w:tr w:rsidR="009F2A60" w:rsidRPr="00873442" w14:paraId="5EC09173" w14:textId="77777777" w:rsidTr="003E1BC5">
        <w:trPr>
          <w:cantSplit/>
          <w:tblHeader/>
        </w:trPr>
        <w:tc>
          <w:tcPr>
            <w:tcW w:w="1743" w:type="dxa"/>
            <w:shd w:val="clear" w:color="auto" w:fill="DEEAF6" w:themeFill="accent1" w:themeFillTint="33"/>
            <w:vAlign w:val="center"/>
          </w:tcPr>
          <w:p w14:paraId="3AC7C7EF" w14:textId="77777777" w:rsidR="009F2A60" w:rsidRPr="00804B2D" w:rsidRDefault="009F2A60" w:rsidP="003E1BC5">
            <w:pPr>
              <w:spacing w:after="0"/>
              <w:ind w:left="0"/>
              <w:jc w:val="center"/>
              <w:rPr>
                <w:rFonts w:cs="Arial"/>
                <w:b/>
                <w:color w:val="1F3864" w:themeColor="accent5" w:themeShade="80"/>
              </w:rPr>
            </w:pPr>
            <w:r w:rsidRPr="00804B2D">
              <w:rPr>
                <w:rFonts w:cs="Arial"/>
                <w:b/>
                <w:color w:val="1F3864" w:themeColor="accent5" w:themeShade="80"/>
              </w:rPr>
              <w:t>Deliverable Number</w:t>
            </w:r>
          </w:p>
        </w:tc>
        <w:tc>
          <w:tcPr>
            <w:tcW w:w="6658" w:type="dxa"/>
            <w:shd w:val="clear" w:color="auto" w:fill="DEEAF6" w:themeFill="accent1" w:themeFillTint="33"/>
            <w:vAlign w:val="center"/>
          </w:tcPr>
          <w:p w14:paraId="1D4DF930" w14:textId="77777777" w:rsidR="009F2A60" w:rsidRDefault="009F2A60" w:rsidP="003E1BC5">
            <w:pPr>
              <w:spacing w:after="0"/>
              <w:ind w:left="0"/>
              <w:jc w:val="center"/>
              <w:rPr>
                <w:rFonts w:cs="Arial"/>
                <w:b/>
                <w:color w:val="1F3864" w:themeColor="accent5" w:themeShade="80"/>
              </w:rPr>
            </w:pPr>
            <w:r>
              <w:rPr>
                <w:rFonts w:cs="Arial"/>
                <w:b/>
                <w:color w:val="1F3864" w:themeColor="accent5" w:themeShade="80"/>
              </w:rPr>
              <w:t>Deliverable</w:t>
            </w:r>
          </w:p>
          <w:p w14:paraId="535D665A" w14:textId="77777777" w:rsidR="009F2A60" w:rsidRPr="00804B2D" w:rsidRDefault="009F2A60" w:rsidP="003E1BC5">
            <w:pPr>
              <w:spacing w:after="0"/>
              <w:ind w:left="0"/>
              <w:jc w:val="center"/>
              <w:rPr>
                <w:rFonts w:cs="Arial"/>
                <w:b/>
                <w:color w:val="1F3864" w:themeColor="accent5" w:themeShade="80"/>
              </w:rPr>
            </w:pPr>
            <w:r w:rsidRPr="00804B2D">
              <w:rPr>
                <w:rFonts w:cs="Arial"/>
                <w:b/>
                <w:color w:val="1F3864" w:themeColor="accent5" w:themeShade="80"/>
              </w:rPr>
              <w:t>Name</w:t>
            </w:r>
          </w:p>
        </w:tc>
        <w:tc>
          <w:tcPr>
            <w:tcW w:w="2281" w:type="dxa"/>
            <w:shd w:val="clear" w:color="auto" w:fill="DEEAF6" w:themeFill="accent1" w:themeFillTint="33"/>
            <w:vAlign w:val="center"/>
          </w:tcPr>
          <w:p w14:paraId="412C6236" w14:textId="77777777" w:rsidR="009F2A60" w:rsidRPr="00804B2D" w:rsidRDefault="009F2A60" w:rsidP="003E1BC5">
            <w:pPr>
              <w:spacing w:after="0"/>
              <w:ind w:left="0"/>
              <w:jc w:val="center"/>
              <w:rPr>
                <w:rFonts w:cs="Arial"/>
                <w:b/>
                <w:color w:val="1F3864" w:themeColor="accent5" w:themeShade="80"/>
              </w:rPr>
            </w:pPr>
            <w:r>
              <w:rPr>
                <w:rFonts w:cs="Arial"/>
                <w:b/>
                <w:color w:val="1F3864" w:themeColor="accent5" w:themeShade="80"/>
              </w:rPr>
              <w:t>Fixed Deliverable</w:t>
            </w:r>
            <w:r w:rsidRPr="00804B2D">
              <w:rPr>
                <w:rFonts w:cs="Arial"/>
                <w:b/>
                <w:color w:val="1F3864" w:themeColor="accent5" w:themeShade="80"/>
              </w:rPr>
              <w:t xml:space="preserve"> </w:t>
            </w:r>
            <w:r>
              <w:rPr>
                <w:rFonts w:cs="Arial"/>
                <w:b/>
                <w:color w:val="1F3864" w:themeColor="accent5" w:themeShade="80"/>
              </w:rPr>
              <w:t>Price</w:t>
            </w:r>
          </w:p>
        </w:tc>
      </w:tr>
      <w:tr w:rsidR="009F2A60" w:rsidRPr="00873442" w14:paraId="366CC505" w14:textId="77777777" w:rsidTr="003E1BC5">
        <w:tc>
          <w:tcPr>
            <w:tcW w:w="1743" w:type="dxa"/>
          </w:tcPr>
          <w:p w14:paraId="49209A4F" w14:textId="77777777" w:rsidR="009F2A60" w:rsidRPr="00D843BF" w:rsidRDefault="009F2A60" w:rsidP="003E1BC5">
            <w:pPr>
              <w:ind w:left="0"/>
            </w:pPr>
            <w:r>
              <w:t>2</w:t>
            </w:r>
          </w:p>
        </w:tc>
        <w:tc>
          <w:tcPr>
            <w:tcW w:w="6658" w:type="dxa"/>
          </w:tcPr>
          <w:p w14:paraId="02CCB5E0" w14:textId="77777777" w:rsidR="009F2A60" w:rsidRPr="00D843BF" w:rsidRDefault="009F2A60" w:rsidP="003E1BC5">
            <w:pPr>
              <w:ind w:left="0"/>
            </w:pPr>
            <w:r>
              <w:t>Manage Requirements</w:t>
            </w:r>
          </w:p>
        </w:tc>
        <w:tc>
          <w:tcPr>
            <w:tcW w:w="2281" w:type="dxa"/>
          </w:tcPr>
          <w:p w14:paraId="0269F871" w14:textId="77777777" w:rsidR="009F2A60" w:rsidRPr="00873442" w:rsidRDefault="009F2A60" w:rsidP="003E1BC5">
            <w:pPr>
              <w:ind w:left="0"/>
              <w:rPr>
                <w:highlight w:val="yellow"/>
              </w:rPr>
            </w:pPr>
          </w:p>
        </w:tc>
      </w:tr>
      <w:tr w:rsidR="009F2A60" w:rsidRPr="00873442" w14:paraId="221CE508" w14:textId="77777777" w:rsidTr="003E1BC5">
        <w:tc>
          <w:tcPr>
            <w:tcW w:w="1743" w:type="dxa"/>
          </w:tcPr>
          <w:p w14:paraId="05CF239D" w14:textId="77777777" w:rsidR="009F2A60" w:rsidRDefault="009F2A60" w:rsidP="003E1BC5">
            <w:pPr>
              <w:ind w:left="0"/>
            </w:pPr>
            <w:r>
              <w:t xml:space="preserve">   2A</w:t>
            </w:r>
          </w:p>
        </w:tc>
        <w:tc>
          <w:tcPr>
            <w:tcW w:w="6658" w:type="dxa"/>
          </w:tcPr>
          <w:p w14:paraId="7695DEDA" w14:textId="77777777" w:rsidR="009F2A60" w:rsidRDefault="009F2A60" w:rsidP="003E1BC5">
            <w:pPr>
              <w:ind w:left="256"/>
            </w:pPr>
            <w:r>
              <w:t>Requirements Management Plan</w:t>
            </w:r>
          </w:p>
        </w:tc>
        <w:tc>
          <w:tcPr>
            <w:tcW w:w="2281" w:type="dxa"/>
          </w:tcPr>
          <w:p w14:paraId="6E934076" w14:textId="77777777" w:rsidR="009F2A60" w:rsidRPr="00873442" w:rsidRDefault="009F2A60" w:rsidP="003E1BC5">
            <w:pPr>
              <w:ind w:left="0"/>
              <w:rPr>
                <w:highlight w:val="yellow"/>
              </w:rPr>
            </w:pPr>
          </w:p>
        </w:tc>
      </w:tr>
      <w:tr w:rsidR="009F2A60" w:rsidRPr="00873442" w14:paraId="447F4F3A" w14:textId="77777777" w:rsidTr="003E1BC5">
        <w:tc>
          <w:tcPr>
            <w:tcW w:w="1743" w:type="dxa"/>
          </w:tcPr>
          <w:p w14:paraId="498B289E" w14:textId="77777777" w:rsidR="009F2A60" w:rsidRDefault="009F2A60" w:rsidP="003E1BC5">
            <w:pPr>
              <w:ind w:left="0"/>
            </w:pPr>
            <w:r>
              <w:t xml:space="preserve">   2B</w:t>
            </w:r>
          </w:p>
        </w:tc>
        <w:tc>
          <w:tcPr>
            <w:tcW w:w="6658" w:type="dxa"/>
          </w:tcPr>
          <w:p w14:paraId="7AA1FE86" w14:textId="77777777" w:rsidR="009F2A60" w:rsidRDefault="009F2A60" w:rsidP="003E1BC5">
            <w:pPr>
              <w:ind w:left="256"/>
            </w:pPr>
            <w:r>
              <w:t>Requirements Workshops</w:t>
            </w:r>
          </w:p>
        </w:tc>
        <w:tc>
          <w:tcPr>
            <w:tcW w:w="2281" w:type="dxa"/>
          </w:tcPr>
          <w:p w14:paraId="33AE65AC" w14:textId="77777777" w:rsidR="009F2A60" w:rsidRPr="00873442" w:rsidRDefault="009F2A60" w:rsidP="003E1BC5">
            <w:pPr>
              <w:ind w:left="0"/>
              <w:rPr>
                <w:highlight w:val="yellow"/>
              </w:rPr>
            </w:pPr>
          </w:p>
        </w:tc>
      </w:tr>
      <w:tr w:rsidR="009F2A60" w:rsidRPr="00873442" w14:paraId="28468A21" w14:textId="77777777" w:rsidTr="003E1BC5">
        <w:tc>
          <w:tcPr>
            <w:tcW w:w="1743" w:type="dxa"/>
          </w:tcPr>
          <w:p w14:paraId="630F3272" w14:textId="77777777" w:rsidR="009F2A60" w:rsidRDefault="009F2A60" w:rsidP="003E1BC5">
            <w:pPr>
              <w:ind w:left="0"/>
            </w:pPr>
            <w:r>
              <w:t xml:space="preserve">   2C</w:t>
            </w:r>
          </w:p>
        </w:tc>
        <w:tc>
          <w:tcPr>
            <w:tcW w:w="6658" w:type="dxa"/>
          </w:tcPr>
          <w:p w14:paraId="590F191A" w14:textId="77777777" w:rsidR="009F2A60" w:rsidRDefault="009F2A60" w:rsidP="003E1BC5">
            <w:pPr>
              <w:ind w:left="256"/>
            </w:pPr>
            <w:r>
              <w:t>Requirements Baseline</w:t>
            </w:r>
          </w:p>
        </w:tc>
        <w:tc>
          <w:tcPr>
            <w:tcW w:w="2281" w:type="dxa"/>
          </w:tcPr>
          <w:p w14:paraId="3342E48B" w14:textId="77777777" w:rsidR="009F2A60" w:rsidRPr="00873442" w:rsidRDefault="009F2A60" w:rsidP="003E1BC5">
            <w:pPr>
              <w:ind w:left="0"/>
              <w:rPr>
                <w:highlight w:val="yellow"/>
              </w:rPr>
            </w:pPr>
          </w:p>
        </w:tc>
      </w:tr>
      <w:tr w:rsidR="009F2A60" w:rsidRPr="00873442" w14:paraId="176CCF49" w14:textId="77777777" w:rsidTr="003E1BC5">
        <w:tc>
          <w:tcPr>
            <w:tcW w:w="1743" w:type="dxa"/>
          </w:tcPr>
          <w:p w14:paraId="352DE177" w14:textId="77777777" w:rsidR="009F2A60" w:rsidRDefault="009F2A60" w:rsidP="003E1BC5">
            <w:pPr>
              <w:ind w:left="0"/>
            </w:pPr>
            <w:r>
              <w:t xml:space="preserve">   2D</w:t>
            </w:r>
          </w:p>
        </w:tc>
        <w:tc>
          <w:tcPr>
            <w:tcW w:w="6658" w:type="dxa"/>
          </w:tcPr>
          <w:p w14:paraId="3C2F6507" w14:textId="77777777" w:rsidR="009F2A60" w:rsidRDefault="009F2A60" w:rsidP="003E1BC5">
            <w:pPr>
              <w:ind w:left="256"/>
            </w:pPr>
            <w:r>
              <w:t>Requirements Traceability Matrix</w:t>
            </w:r>
          </w:p>
        </w:tc>
        <w:tc>
          <w:tcPr>
            <w:tcW w:w="2281" w:type="dxa"/>
          </w:tcPr>
          <w:p w14:paraId="01438C5F" w14:textId="77777777" w:rsidR="009F2A60" w:rsidRPr="00873442" w:rsidRDefault="009F2A60" w:rsidP="003E1BC5">
            <w:pPr>
              <w:ind w:left="0"/>
              <w:rPr>
                <w:highlight w:val="yellow"/>
              </w:rPr>
            </w:pPr>
          </w:p>
        </w:tc>
      </w:tr>
      <w:tr w:rsidR="009F2A60" w:rsidRPr="00873442" w14:paraId="7F3895A2" w14:textId="77777777" w:rsidTr="003E1BC5">
        <w:tc>
          <w:tcPr>
            <w:tcW w:w="1743" w:type="dxa"/>
          </w:tcPr>
          <w:p w14:paraId="4458F4E5" w14:textId="77777777" w:rsidR="009F2A60" w:rsidRPr="00873442" w:rsidRDefault="009F2A60" w:rsidP="003E1BC5">
            <w:pPr>
              <w:ind w:left="0"/>
              <w:rPr>
                <w:highlight w:val="yellow"/>
              </w:rPr>
            </w:pPr>
            <w:r w:rsidRPr="00D843BF">
              <w:t>3</w:t>
            </w:r>
          </w:p>
        </w:tc>
        <w:tc>
          <w:tcPr>
            <w:tcW w:w="6658" w:type="dxa"/>
          </w:tcPr>
          <w:p w14:paraId="23B7BE36" w14:textId="77777777" w:rsidR="009F2A60" w:rsidRPr="00873442" w:rsidRDefault="009F2A60" w:rsidP="003E1BC5">
            <w:pPr>
              <w:ind w:left="0"/>
              <w:rPr>
                <w:highlight w:val="yellow"/>
              </w:rPr>
            </w:pPr>
            <w:r>
              <w:t>Design Holistic UI Replacement System</w:t>
            </w:r>
          </w:p>
        </w:tc>
        <w:tc>
          <w:tcPr>
            <w:tcW w:w="2281" w:type="dxa"/>
          </w:tcPr>
          <w:p w14:paraId="5B08E4A6" w14:textId="77777777" w:rsidR="009F2A60" w:rsidRPr="00873442" w:rsidRDefault="009F2A60" w:rsidP="003E1BC5">
            <w:pPr>
              <w:ind w:left="0"/>
              <w:rPr>
                <w:highlight w:val="yellow"/>
              </w:rPr>
            </w:pPr>
          </w:p>
        </w:tc>
      </w:tr>
      <w:tr w:rsidR="009F2A60" w:rsidRPr="00873442" w14:paraId="01323297" w14:textId="77777777" w:rsidTr="003E1BC5">
        <w:tc>
          <w:tcPr>
            <w:tcW w:w="1743" w:type="dxa"/>
          </w:tcPr>
          <w:p w14:paraId="38D1662E" w14:textId="77777777" w:rsidR="009F2A60" w:rsidRPr="00873442" w:rsidRDefault="009F2A60" w:rsidP="003E1BC5">
            <w:pPr>
              <w:ind w:left="0"/>
              <w:rPr>
                <w:highlight w:val="yellow"/>
              </w:rPr>
            </w:pPr>
            <w:r w:rsidRPr="00D843BF">
              <w:lastRenderedPageBreak/>
              <w:t xml:space="preserve">   3A</w:t>
            </w:r>
          </w:p>
        </w:tc>
        <w:tc>
          <w:tcPr>
            <w:tcW w:w="6658" w:type="dxa"/>
          </w:tcPr>
          <w:p w14:paraId="5449D624" w14:textId="77777777" w:rsidR="009F2A60" w:rsidRPr="00364874" w:rsidRDefault="009F2A60" w:rsidP="003E1BC5">
            <w:pPr>
              <w:ind w:left="256"/>
            </w:pPr>
            <w:r>
              <w:t>System Design Document</w:t>
            </w:r>
          </w:p>
        </w:tc>
        <w:tc>
          <w:tcPr>
            <w:tcW w:w="2281" w:type="dxa"/>
          </w:tcPr>
          <w:p w14:paraId="2FA8FE58" w14:textId="77777777" w:rsidR="009F2A60" w:rsidRPr="00873442" w:rsidRDefault="009F2A60" w:rsidP="003E1BC5">
            <w:pPr>
              <w:ind w:left="0"/>
              <w:rPr>
                <w:highlight w:val="yellow"/>
              </w:rPr>
            </w:pPr>
          </w:p>
        </w:tc>
      </w:tr>
      <w:tr w:rsidR="009F2A60" w:rsidRPr="00873442" w14:paraId="0A9931BF" w14:textId="77777777" w:rsidTr="003E1BC5">
        <w:tc>
          <w:tcPr>
            <w:tcW w:w="1743" w:type="dxa"/>
          </w:tcPr>
          <w:p w14:paraId="7DCB7C4E" w14:textId="77777777" w:rsidR="009F2A60" w:rsidRPr="00873442" w:rsidRDefault="009F2A60" w:rsidP="003E1BC5">
            <w:pPr>
              <w:ind w:left="0"/>
              <w:rPr>
                <w:highlight w:val="yellow"/>
              </w:rPr>
            </w:pPr>
            <w:r w:rsidRPr="00D843BF">
              <w:t xml:space="preserve">   3B</w:t>
            </w:r>
          </w:p>
        </w:tc>
        <w:tc>
          <w:tcPr>
            <w:tcW w:w="6658" w:type="dxa"/>
          </w:tcPr>
          <w:p w14:paraId="026CB80C" w14:textId="77777777" w:rsidR="009F2A60" w:rsidRPr="00364874" w:rsidRDefault="009F2A60" w:rsidP="003E1BC5">
            <w:pPr>
              <w:ind w:left="256"/>
            </w:pPr>
            <w:r>
              <w:t>Software Purchase and Licensing Plan</w:t>
            </w:r>
          </w:p>
        </w:tc>
        <w:tc>
          <w:tcPr>
            <w:tcW w:w="2281" w:type="dxa"/>
          </w:tcPr>
          <w:p w14:paraId="1FDD5F2E" w14:textId="77777777" w:rsidR="009F2A60" w:rsidRPr="00873442" w:rsidRDefault="009F2A60" w:rsidP="003E1BC5">
            <w:pPr>
              <w:ind w:left="0"/>
              <w:rPr>
                <w:highlight w:val="yellow"/>
              </w:rPr>
            </w:pPr>
          </w:p>
        </w:tc>
      </w:tr>
      <w:tr w:rsidR="009F2A60" w:rsidRPr="00873442" w14:paraId="3E9B4B0D" w14:textId="77777777" w:rsidTr="003E1BC5">
        <w:tc>
          <w:tcPr>
            <w:tcW w:w="1743" w:type="dxa"/>
          </w:tcPr>
          <w:p w14:paraId="698CF183" w14:textId="77777777" w:rsidR="009F2A60" w:rsidRPr="00873442" w:rsidRDefault="009F2A60" w:rsidP="003E1BC5">
            <w:pPr>
              <w:ind w:left="0"/>
              <w:rPr>
                <w:highlight w:val="yellow"/>
              </w:rPr>
            </w:pPr>
            <w:r w:rsidRPr="00D843BF">
              <w:t>5</w:t>
            </w:r>
          </w:p>
        </w:tc>
        <w:tc>
          <w:tcPr>
            <w:tcW w:w="6658" w:type="dxa"/>
          </w:tcPr>
          <w:p w14:paraId="5F1A213B" w14:textId="77777777" w:rsidR="009F2A60" w:rsidRPr="00873442" w:rsidRDefault="009F2A60" w:rsidP="003E1BC5">
            <w:pPr>
              <w:ind w:left="0"/>
              <w:rPr>
                <w:highlight w:val="yellow"/>
              </w:rPr>
            </w:pPr>
            <w:r>
              <w:t>Configure/Develop System and Conduct Technical Acceptance Testing</w:t>
            </w:r>
          </w:p>
        </w:tc>
        <w:tc>
          <w:tcPr>
            <w:tcW w:w="2281" w:type="dxa"/>
          </w:tcPr>
          <w:p w14:paraId="0879AAD4" w14:textId="77777777" w:rsidR="009F2A60" w:rsidRPr="00873442" w:rsidRDefault="009F2A60" w:rsidP="003E1BC5">
            <w:pPr>
              <w:ind w:left="0"/>
              <w:rPr>
                <w:highlight w:val="yellow"/>
              </w:rPr>
            </w:pPr>
          </w:p>
        </w:tc>
      </w:tr>
      <w:tr w:rsidR="009F2A60" w:rsidRPr="00873442" w14:paraId="4931AE1D" w14:textId="77777777" w:rsidTr="003E1BC5">
        <w:tc>
          <w:tcPr>
            <w:tcW w:w="1743" w:type="dxa"/>
          </w:tcPr>
          <w:p w14:paraId="669B08DD" w14:textId="77777777" w:rsidR="009F2A60" w:rsidRPr="00D843BF" w:rsidRDefault="009F2A60" w:rsidP="003E1BC5">
            <w:pPr>
              <w:ind w:left="0"/>
            </w:pPr>
            <w:r w:rsidRPr="00D843BF">
              <w:t xml:space="preserve">   5A</w:t>
            </w:r>
          </w:p>
        </w:tc>
        <w:tc>
          <w:tcPr>
            <w:tcW w:w="6658" w:type="dxa"/>
          </w:tcPr>
          <w:p w14:paraId="64AFE9A3" w14:textId="77777777" w:rsidR="009F2A60" w:rsidRDefault="009F2A60" w:rsidP="003E1BC5">
            <w:pPr>
              <w:ind w:left="256"/>
            </w:pPr>
            <w:r>
              <w:t>Software Development Plan</w:t>
            </w:r>
          </w:p>
        </w:tc>
        <w:tc>
          <w:tcPr>
            <w:tcW w:w="2281" w:type="dxa"/>
          </w:tcPr>
          <w:p w14:paraId="4BA30CDF" w14:textId="77777777" w:rsidR="009F2A60" w:rsidRPr="00873442" w:rsidRDefault="009F2A60" w:rsidP="003E1BC5">
            <w:pPr>
              <w:ind w:left="0"/>
              <w:rPr>
                <w:highlight w:val="yellow"/>
              </w:rPr>
            </w:pPr>
          </w:p>
        </w:tc>
      </w:tr>
      <w:tr w:rsidR="009F2A60" w:rsidRPr="00873442" w14:paraId="67053F0F" w14:textId="77777777" w:rsidTr="003E1BC5">
        <w:trPr>
          <w:cantSplit/>
        </w:trPr>
        <w:tc>
          <w:tcPr>
            <w:tcW w:w="1743" w:type="dxa"/>
          </w:tcPr>
          <w:p w14:paraId="11F165FB" w14:textId="77777777" w:rsidR="009F2A60" w:rsidRPr="00873442" w:rsidRDefault="009F2A60" w:rsidP="003E1BC5">
            <w:pPr>
              <w:ind w:left="0"/>
              <w:rPr>
                <w:highlight w:val="yellow"/>
              </w:rPr>
            </w:pPr>
            <w:r>
              <w:t xml:space="preserve">   5B</w:t>
            </w:r>
          </w:p>
        </w:tc>
        <w:tc>
          <w:tcPr>
            <w:tcW w:w="6658" w:type="dxa"/>
          </w:tcPr>
          <w:p w14:paraId="74E200AF" w14:textId="77777777" w:rsidR="009F2A60" w:rsidRPr="00364874" w:rsidRDefault="009F2A60" w:rsidP="003E1BC5">
            <w:pPr>
              <w:ind w:left="256"/>
            </w:pPr>
            <w:r>
              <w:t>Configuration Management Plan</w:t>
            </w:r>
          </w:p>
        </w:tc>
        <w:tc>
          <w:tcPr>
            <w:tcW w:w="2281" w:type="dxa"/>
          </w:tcPr>
          <w:p w14:paraId="1D4123C0" w14:textId="77777777" w:rsidR="009F2A60" w:rsidRPr="00873442" w:rsidRDefault="009F2A60" w:rsidP="003E1BC5">
            <w:pPr>
              <w:ind w:left="0"/>
              <w:rPr>
                <w:highlight w:val="yellow"/>
              </w:rPr>
            </w:pPr>
          </w:p>
        </w:tc>
      </w:tr>
      <w:tr w:rsidR="009F2A60" w:rsidRPr="00873442" w14:paraId="069E9744" w14:textId="77777777" w:rsidTr="003E1BC5">
        <w:tc>
          <w:tcPr>
            <w:tcW w:w="1743" w:type="dxa"/>
          </w:tcPr>
          <w:p w14:paraId="4F511923" w14:textId="77777777" w:rsidR="009F2A60" w:rsidRPr="00873442" w:rsidRDefault="009F2A60" w:rsidP="003E1BC5">
            <w:pPr>
              <w:ind w:left="0"/>
              <w:rPr>
                <w:highlight w:val="yellow"/>
              </w:rPr>
            </w:pPr>
            <w:r w:rsidRPr="00D843BF">
              <w:t xml:space="preserve">   5</w:t>
            </w:r>
            <w:r>
              <w:t>C</w:t>
            </w:r>
          </w:p>
        </w:tc>
        <w:tc>
          <w:tcPr>
            <w:tcW w:w="6658" w:type="dxa"/>
          </w:tcPr>
          <w:p w14:paraId="753E22C3" w14:textId="77777777" w:rsidR="009F2A60" w:rsidRPr="00364874" w:rsidRDefault="009F2A60" w:rsidP="003E1BC5">
            <w:pPr>
              <w:ind w:left="256"/>
            </w:pPr>
            <w:r>
              <w:t>Configured Tax System</w:t>
            </w:r>
          </w:p>
        </w:tc>
        <w:tc>
          <w:tcPr>
            <w:tcW w:w="2281" w:type="dxa"/>
          </w:tcPr>
          <w:p w14:paraId="6BC884E1" w14:textId="77777777" w:rsidR="009F2A60" w:rsidRPr="00873442" w:rsidRDefault="009F2A60" w:rsidP="003E1BC5">
            <w:pPr>
              <w:ind w:left="0"/>
              <w:rPr>
                <w:highlight w:val="yellow"/>
              </w:rPr>
            </w:pPr>
          </w:p>
        </w:tc>
      </w:tr>
      <w:tr w:rsidR="009F2A60" w:rsidRPr="00873442" w14:paraId="4B90C3D0" w14:textId="77777777" w:rsidTr="003E1BC5">
        <w:tc>
          <w:tcPr>
            <w:tcW w:w="1743" w:type="dxa"/>
          </w:tcPr>
          <w:p w14:paraId="0D1DB1FF" w14:textId="77777777" w:rsidR="009F2A60" w:rsidRPr="00873442" w:rsidRDefault="009F2A60" w:rsidP="003E1BC5">
            <w:pPr>
              <w:ind w:left="0"/>
              <w:rPr>
                <w:highlight w:val="yellow"/>
              </w:rPr>
            </w:pPr>
            <w:r w:rsidRPr="00D843BF">
              <w:t xml:space="preserve">   5</w:t>
            </w:r>
            <w:r>
              <w:t>D</w:t>
            </w:r>
          </w:p>
        </w:tc>
        <w:tc>
          <w:tcPr>
            <w:tcW w:w="6658" w:type="dxa"/>
          </w:tcPr>
          <w:p w14:paraId="47423025" w14:textId="77777777" w:rsidR="009F2A60" w:rsidRPr="00364874" w:rsidRDefault="009F2A60" w:rsidP="003E1BC5">
            <w:pPr>
              <w:ind w:left="256"/>
            </w:pPr>
            <w:r>
              <w:t>Configured Benefits System</w:t>
            </w:r>
          </w:p>
        </w:tc>
        <w:tc>
          <w:tcPr>
            <w:tcW w:w="2281" w:type="dxa"/>
          </w:tcPr>
          <w:p w14:paraId="513DD13C" w14:textId="77777777" w:rsidR="009F2A60" w:rsidRPr="00873442" w:rsidRDefault="009F2A60" w:rsidP="003E1BC5">
            <w:pPr>
              <w:ind w:left="0"/>
              <w:rPr>
                <w:highlight w:val="yellow"/>
              </w:rPr>
            </w:pPr>
          </w:p>
        </w:tc>
      </w:tr>
      <w:tr w:rsidR="009F2A60" w:rsidRPr="00873442" w14:paraId="75992BB6" w14:textId="77777777" w:rsidTr="003E1BC5">
        <w:tc>
          <w:tcPr>
            <w:tcW w:w="1743" w:type="dxa"/>
          </w:tcPr>
          <w:p w14:paraId="0BB4D450" w14:textId="77777777" w:rsidR="009F2A60" w:rsidRPr="00873442" w:rsidRDefault="009F2A60" w:rsidP="003E1BC5">
            <w:pPr>
              <w:ind w:left="0"/>
              <w:rPr>
                <w:highlight w:val="yellow"/>
              </w:rPr>
            </w:pPr>
            <w:r>
              <w:t xml:space="preserve">   5E</w:t>
            </w:r>
          </w:p>
        </w:tc>
        <w:tc>
          <w:tcPr>
            <w:tcW w:w="6658" w:type="dxa"/>
          </w:tcPr>
          <w:p w14:paraId="3341BB0F" w14:textId="77777777" w:rsidR="009F2A60" w:rsidRPr="00364874" w:rsidRDefault="009F2A60" w:rsidP="003E1BC5">
            <w:pPr>
              <w:ind w:left="256"/>
            </w:pPr>
            <w:r>
              <w:t>Configured Appeals System</w:t>
            </w:r>
          </w:p>
        </w:tc>
        <w:tc>
          <w:tcPr>
            <w:tcW w:w="2281" w:type="dxa"/>
          </w:tcPr>
          <w:p w14:paraId="7BB1F88D" w14:textId="77777777" w:rsidR="009F2A60" w:rsidRPr="00873442" w:rsidRDefault="009F2A60" w:rsidP="003E1BC5">
            <w:pPr>
              <w:ind w:left="0"/>
              <w:rPr>
                <w:highlight w:val="yellow"/>
              </w:rPr>
            </w:pPr>
          </w:p>
        </w:tc>
      </w:tr>
      <w:tr w:rsidR="009F2A60" w:rsidRPr="00873442" w14:paraId="15F38134" w14:textId="77777777" w:rsidTr="003E1BC5">
        <w:tc>
          <w:tcPr>
            <w:tcW w:w="1743" w:type="dxa"/>
          </w:tcPr>
          <w:p w14:paraId="102ED3F0" w14:textId="77777777" w:rsidR="009F2A60" w:rsidRPr="00D843BF" w:rsidRDefault="009F2A60" w:rsidP="003E1BC5">
            <w:pPr>
              <w:ind w:left="0"/>
            </w:pPr>
            <w:r>
              <w:t xml:space="preserve">   5F</w:t>
            </w:r>
          </w:p>
        </w:tc>
        <w:tc>
          <w:tcPr>
            <w:tcW w:w="6658" w:type="dxa"/>
          </w:tcPr>
          <w:p w14:paraId="6F856A89" w14:textId="77777777" w:rsidR="009F2A60" w:rsidRPr="00CF6E0F" w:rsidRDefault="009F2A60" w:rsidP="003E1BC5">
            <w:pPr>
              <w:ind w:left="256"/>
            </w:pPr>
            <w:r>
              <w:t>Configured RID System</w:t>
            </w:r>
          </w:p>
        </w:tc>
        <w:tc>
          <w:tcPr>
            <w:tcW w:w="2281" w:type="dxa"/>
          </w:tcPr>
          <w:p w14:paraId="6C550D7E" w14:textId="77777777" w:rsidR="009F2A60" w:rsidRPr="00873442" w:rsidRDefault="009F2A60" w:rsidP="003E1BC5">
            <w:pPr>
              <w:ind w:left="0"/>
              <w:rPr>
                <w:highlight w:val="yellow"/>
              </w:rPr>
            </w:pPr>
          </w:p>
        </w:tc>
      </w:tr>
      <w:tr w:rsidR="009F2A60" w:rsidRPr="00873442" w14:paraId="76FB5411" w14:textId="77777777" w:rsidTr="003E1BC5">
        <w:tc>
          <w:tcPr>
            <w:tcW w:w="1743" w:type="dxa"/>
          </w:tcPr>
          <w:p w14:paraId="39B0670E" w14:textId="77777777" w:rsidR="009F2A60" w:rsidRPr="00D843BF" w:rsidRDefault="009F2A60" w:rsidP="003E1BC5">
            <w:pPr>
              <w:ind w:left="0"/>
            </w:pPr>
            <w:r>
              <w:t xml:space="preserve">   5G</w:t>
            </w:r>
          </w:p>
        </w:tc>
        <w:tc>
          <w:tcPr>
            <w:tcW w:w="6658" w:type="dxa"/>
          </w:tcPr>
          <w:p w14:paraId="3F6E62A5" w14:textId="77777777" w:rsidR="009F2A60" w:rsidRPr="00CF6E0F" w:rsidRDefault="009F2A60" w:rsidP="003E1BC5">
            <w:pPr>
              <w:ind w:left="256"/>
            </w:pPr>
            <w:r>
              <w:t>Configured RTM System</w:t>
            </w:r>
          </w:p>
        </w:tc>
        <w:tc>
          <w:tcPr>
            <w:tcW w:w="2281" w:type="dxa"/>
          </w:tcPr>
          <w:p w14:paraId="08CB36A0" w14:textId="77777777" w:rsidR="009F2A60" w:rsidRPr="00873442" w:rsidRDefault="009F2A60" w:rsidP="003E1BC5">
            <w:pPr>
              <w:ind w:left="0"/>
              <w:rPr>
                <w:highlight w:val="yellow"/>
              </w:rPr>
            </w:pPr>
          </w:p>
        </w:tc>
      </w:tr>
      <w:tr w:rsidR="009F2A60" w:rsidRPr="00873442" w14:paraId="6A6D7802" w14:textId="77777777" w:rsidTr="003E1BC5">
        <w:tc>
          <w:tcPr>
            <w:tcW w:w="1743" w:type="dxa"/>
          </w:tcPr>
          <w:p w14:paraId="22D4F601" w14:textId="77777777" w:rsidR="009F2A60" w:rsidRPr="00D843BF" w:rsidRDefault="009F2A60" w:rsidP="003E1BC5">
            <w:pPr>
              <w:ind w:left="0"/>
            </w:pPr>
            <w:r>
              <w:t xml:space="preserve">   5H</w:t>
            </w:r>
          </w:p>
        </w:tc>
        <w:tc>
          <w:tcPr>
            <w:tcW w:w="6658" w:type="dxa"/>
          </w:tcPr>
          <w:p w14:paraId="5EEE5882" w14:textId="36D1EC6E" w:rsidR="009F2A60" w:rsidRPr="00CF6E0F" w:rsidRDefault="00ED2EEB" w:rsidP="003E1BC5">
            <w:pPr>
              <w:ind w:left="256"/>
            </w:pPr>
            <w:r>
              <w:t>Updated</w:t>
            </w:r>
            <w:r w:rsidR="009F2A60">
              <w:t xml:space="preserve"> Test Plan</w:t>
            </w:r>
          </w:p>
        </w:tc>
        <w:tc>
          <w:tcPr>
            <w:tcW w:w="2281" w:type="dxa"/>
          </w:tcPr>
          <w:p w14:paraId="78C64C63" w14:textId="77777777" w:rsidR="009F2A60" w:rsidRPr="00873442" w:rsidRDefault="009F2A60" w:rsidP="003E1BC5">
            <w:pPr>
              <w:ind w:left="0"/>
              <w:rPr>
                <w:highlight w:val="yellow"/>
              </w:rPr>
            </w:pPr>
          </w:p>
        </w:tc>
      </w:tr>
      <w:tr w:rsidR="009F2A60" w:rsidRPr="00873442" w14:paraId="77CBBFC9" w14:textId="77777777" w:rsidTr="003E1BC5">
        <w:tc>
          <w:tcPr>
            <w:tcW w:w="1743" w:type="dxa"/>
          </w:tcPr>
          <w:p w14:paraId="04A1E349" w14:textId="77777777" w:rsidR="009F2A60" w:rsidRPr="00D843BF" w:rsidRDefault="009F2A60" w:rsidP="003E1BC5">
            <w:pPr>
              <w:ind w:left="0"/>
            </w:pPr>
            <w:r>
              <w:t xml:space="preserve">   5I</w:t>
            </w:r>
          </w:p>
        </w:tc>
        <w:tc>
          <w:tcPr>
            <w:tcW w:w="6658" w:type="dxa"/>
          </w:tcPr>
          <w:p w14:paraId="519912FA" w14:textId="77777777" w:rsidR="009F2A60" w:rsidRPr="00CF6E0F" w:rsidRDefault="009F2A60" w:rsidP="003E1BC5">
            <w:pPr>
              <w:ind w:left="256"/>
            </w:pPr>
            <w:r>
              <w:t>Completed Technical Acceptance T</w:t>
            </w:r>
            <w:r w:rsidRPr="00090536">
              <w:t>est</w:t>
            </w:r>
            <w:r w:rsidRPr="002908A9">
              <w:t>ing</w:t>
            </w:r>
            <w:r>
              <w:t xml:space="preserve"> Checklist</w:t>
            </w:r>
          </w:p>
        </w:tc>
        <w:tc>
          <w:tcPr>
            <w:tcW w:w="2281" w:type="dxa"/>
          </w:tcPr>
          <w:p w14:paraId="7879E825" w14:textId="77777777" w:rsidR="009F2A60" w:rsidRPr="00873442" w:rsidRDefault="009F2A60" w:rsidP="003E1BC5">
            <w:pPr>
              <w:ind w:left="0"/>
              <w:rPr>
                <w:highlight w:val="yellow"/>
              </w:rPr>
            </w:pPr>
          </w:p>
        </w:tc>
      </w:tr>
      <w:tr w:rsidR="009F2A60" w:rsidRPr="00873442" w14:paraId="476394EB" w14:textId="77777777" w:rsidTr="003E1BC5">
        <w:tc>
          <w:tcPr>
            <w:tcW w:w="1743" w:type="dxa"/>
          </w:tcPr>
          <w:p w14:paraId="5E897508" w14:textId="77777777" w:rsidR="009F2A60" w:rsidRPr="00873442" w:rsidRDefault="009F2A60" w:rsidP="003E1BC5">
            <w:pPr>
              <w:ind w:left="0"/>
              <w:rPr>
                <w:highlight w:val="yellow"/>
              </w:rPr>
            </w:pPr>
            <w:r w:rsidRPr="00355C5B">
              <w:t>6</w:t>
            </w:r>
          </w:p>
        </w:tc>
        <w:tc>
          <w:tcPr>
            <w:tcW w:w="6658" w:type="dxa"/>
          </w:tcPr>
          <w:p w14:paraId="5A5BAD37" w14:textId="77777777" w:rsidR="009F2A60" w:rsidRPr="00873442" w:rsidRDefault="009F2A60" w:rsidP="003E1BC5">
            <w:pPr>
              <w:ind w:left="0"/>
              <w:rPr>
                <w:highlight w:val="yellow"/>
              </w:rPr>
            </w:pPr>
            <w:r>
              <w:t>Migrate Data</w:t>
            </w:r>
          </w:p>
        </w:tc>
        <w:tc>
          <w:tcPr>
            <w:tcW w:w="2281" w:type="dxa"/>
          </w:tcPr>
          <w:p w14:paraId="0A10F3BF" w14:textId="77777777" w:rsidR="009F2A60" w:rsidRPr="00873442" w:rsidRDefault="009F2A60" w:rsidP="003E1BC5">
            <w:pPr>
              <w:ind w:left="0"/>
              <w:rPr>
                <w:highlight w:val="yellow"/>
              </w:rPr>
            </w:pPr>
          </w:p>
        </w:tc>
      </w:tr>
      <w:tr w:rsidR="009F2A60" w:rsidRPr="00873442" w14:paraId="283550C6" w14:textId="77777777" w:rsidTr="003E1BC5">
        <w:tc>
          <w:tcPr>
            <w:tcW w:w="1743" w:type="dxa"/>
          </w:tcPr>
          <w:p w14:paraId="5254CD7E" w14:textId="77777777" w:rsidR="009F2A60" w:rsidRPr="00873442" w:rsidRDefault="009F2A60" w:rsidP="003E1BC5">
            <w:pPr>
              <w:ind w:left="0"/>
              <w:rPr>
                <w:highlight w:val="yellow"/>
              </w:rPr>
            </w:pPr>
            <w:r>
              <w:t xml:space="preserve">   6A</w:t>
            </w:r>
          </w:p>
        </w:tc>
        <w:tc>
          <w:tcPr>
            <w:tcW w:w="6658" w:type="dxa"/>
          </w:tcPr>
          <w:p w14:paraId="1A5C379D" w14:textId="77777777" w:rsidR="009F2A60" w:rsidRPr="00364874" w:rsidRDefault="009F2A60" w:rsidP="003E1BC5">
            <w:pPr>
              <w:ind w:left="256"/>
            </w:pPr>
            <w:r>
              <w:t>Data Migration Strategy and Plan</w:t>
            </w:r>
          </w:p>
        </w:tc>
        <w:tc>
          <w:tcPr>
            <w:tcW w:w="2281" w:type="dxa"/>
          </w:tcPr>
          <w:p w14:paraId="5ECE3788" w14:textId="77777777" w:rsidR="009F2A60" w:rsidRPr="00873442" w:rsidRDefault="009F2A60" w:rsidP="003E1BC5">
            <w:pPr>
              <w:ind w:left="0"/>
              <w:rPr>
                <w:highlight w:val="yellow"/>
              </w:rPr>
            </w:pPr>
          </w:p>
        </w:tc>
      </w:tr>
      <w:tr w:rsidR="009F2A60" w:rsidRPr="00873442" w14:paraId="5662C1C1" w14:textId="77777777" w:rsidTr="003E1BC5">
        <w:tc>
          <w:tcPr>
            <w:tcW w:w="1743" w:type="dxa"/>
          </w:tcPr>
          <w:p w14:paraId="206872C8" w14:textId="77777777" w:rsidR="009F2A60" w:rsidRPr="00873442" w:rsidRDefault="009F2A60" w:rsidP="003E1BC5">
            <w:pPr>
              <w:ind w:left="0"/>
              <w:rPr>
                <w:highlight w:val="yellow"/>
              </w:rPr>
            </w:pPr>
            <w:r>
              <w:t xml:space="preserve">   6B</w:t>
            </w:r>
          </w:p>
        </w:tc>
        <w:tc>
          <w:tcPr>
            <w:tcW w:w="6658" w:type="dxa"/>
          </w:tcPr>
          <w:p w14:paraId="620814A2" w14:textId="24392BFF" w:rsidR="009F2A60" w:rsidRPr="00364874" w:rsidRDefault="009F2A60" w:rsidP="003E1BC5">
            <w:pPr>
              <w:ind w:left="256"/>
            </w:pPr>
            <w:r>
              <w:t>Migrate Data</w:t>
            </w:r>
          </w:p>
        </w:tc>
        <w:tc>
          <w:tcPr>
            <w:tcW w:w="2281" w:type="dxa"/>
          </w:tcPr>
          <w:p w14:paraId="6B0C6A9C" w14:textId="77777777" w:rsidR="009F2A60" w:rsidRPr="00873442" w:rsidRDefault="009F2A60" w:rsidP="003E1BC5">
            <w:pPr>
              <w:ind w:left="0"/>
              <w:rPr>
                <w:highlight w:val="yellow"/>
              </w:rPr>
            </w:pPr>
          </w:p>
        </w:tc>
      </w:tr>
      <w:tr w:rsidR="009F2A60" w:rsidRPr="00873442" w14:paraId="4DF01EAE" w14:textId="77777777" w:rsidTr="003E1BC5">
        <w:tc>
          <w:tcPr>
            <w:tcW w:w="1743" w:type="dxa"/>
          </w:tcPr>
          <w:p w14:paraId="25AFF649" w14:textId="77777777" w:rsidR="009F2A60" w:rsidRDefault="009F2A60" w:rsidP="003E1BC5">
            <w:pPr>
              <w:ind w:left="0"/>
            </w:pPr>
            <w:r w:rsidRPr="00355C5B">
              <w:t>7</w:t>
            </w:r>
          </w:p>
        </w:tc>
        <w:tc>
          <w:tcPr>
            <w:tcW w:w="6658" w:type="dxa"/>
          </w:tcPr>
          <w:p w14:paraId="6A881AF2" w14:textId="77777777" w:rsidR="009F2A60" w:rsidRPr="00D674DE" w:rsidRDefault="009F2A60" w:rsidP="003E1BC5">
            <w:pPr>
              <w:ind w:left="0"/>
            </w:pPr>
            <w:r>
              <w:t>Implement Interfaces</w:t>
            </w:r>
          </w:p>
        </w:tc>
        <w:tc>
          <w:tcPr>
            <w:tcW w:w="2281" w:type="dxa"/>
          </w:tcPr>
          <w:p w14:paraId="027E9A3F" w14:textId="77777777" w:rsidR="009F2A60" w:rsidRPr="00873442" w:rsidRDefault="009F2A60" w:rsidP="003E1BC5">
            <w:pPr>
              <w:ind w:left="0"/>
              <w:rPr>
                <w:highlight w:val="yellow"/>
              </w:rPr>
            </w:pPr>
          </w:p>
        </w:tc>
      </w:tr>
      <w:tr w:rsidR="009F2A60" w:rsidRPr="00873442" w14:paraId="2AA45A04" w14:textId="77777777" w:rsidTr="003E1BC5">
        <w:tc>
          <w:tcPr>
            <w:tcW w:w="1743" w:type="dxa"/>
          </w:tcPr>
          <w:p w14:paraId="0FD5D11C" w14:textId="77777777" w:rsidR="009F2A60" w:rsidRDefault="009F2A60" w:rsidP="003E1BC5">
            <w:pPr>
              <w:ind w:left="0"/>
            </w:pPr>
            <w:r>
              <w:t xml:space="preserve">   7A</w:t>
            </w:r>
          </w:p>
        </w:tc>
        <w:tc>
          <w:tcPr>
            <w:tcW w:w="6658" w:type="dxa"/>
          </w:tcPr>
          <w:p w14:paraId="18C3C5C3" w14:textId="77777777" w:rsidR="009F2A60" w:rsidRPr="00D674DE" w:rsidRDefault="009F2A60" w:rsidP="003E1BC5">
            <w:pPr>
              <w:ind w:left="256"/>
            </w:pPr>
            <w:r>
              <w:t>Interface Implementation Strategy and Plan</w:t>
            </w:r>
          </w:p>
        </w:tc>
        <w:tc>
          <w:tcPr>
            <w:tcW w:w="2281" w:type="dxa"/>
          </w:tcPr>
          <w:p w14:paraId="29869239" w14:textId="77777777" w:rsidR="009F2A60" w:rsidRPr="00873442" w:rsidRDefault="009F2A60" w:rsidP="003E1BC5">
            <w:pPr>
              <w:ind w:left="0"/>
              <w:rPr>
                <w:highlight w:val="yellow"/>
              </w:rPr>
            </w:pPr>
          </w:p>
        </w:tc>
      </w:tr>
      <w:tr w:rsidR="009F2A60" w:rsidRPr="00873442" w14:paraId="38693FC3" w14:textId="77777777" w:rsidTr="003E1BC5">
        <w:tc>
          <w:tcPr>
            <w:tcW w:w="1743" w:type="dxa"/>
          </w:tcPr>
          <w:p w14:paraId="7E1E25F7" w14:textId="77777777" w:rsidR="009F2A60" w:rsidRDefault="009F2A60" w:rsidP="003E1BC5">
            <w:pPr>
              <w:ind w:left="0"/>
            </w:pPr>
            <w:r>
              <w:t xml:space="preserve">   7B</w:t>
            </w:r>
          </w:p>
        </w:tc>
        <w:tc>
          <w:tcPr>
            <w:tcW w:w="6658" w:type="dxa"/>
          </w:tcPr>
          <w:p w14:paraId="65A35EC1" w14:textId="77777777" w:rsidR="009F2A60" w:rsidRPr="00D674DE" w:rsidRDefault="009F2A60" w:rsidP="003E1BC5">
            <w:pPr>
              <w:ind w:left="256"/>
            </w:pPr>
            <w:r>
              <w:t>Implemented Interfaces</w:t>
            </w:r>
          </w:p>
        </w:tc>
        <w:tc>
          <w:tcPr>
            <w:tcW w:w="2281" w:type="dxa"/>
          </w:tcPr>
          <w:p w14:paraId="4776ECDA" w14:textId="77777777" w:rsidR="009F2A60" w:rsidRPr="00873442" w:rsidRDefault="009F2A60" w:rsidP="003E1BC5">
            <w:pPr>
              <w:ind w:left="0"/>
              <w:rPr>
                <w:highlight w:val="yellow"/>
              </w:rPr>
            </w:pPr>
          </w:p>
        </w:tc>
      </w:tr>
      <w:tr w:rsidR="009F2A60" w:rsidRPr="00873442" w14:paraId="145EB8C7" w14:textId="77777777" w:rsidTr="003E1BC5">
        <w:tc>
          <w:tcPr>
            <w:tcW w:w="1743" w:type="dxa"/>
          </w:tcPr>
          <w:p w14:paraId="38BFEA24" w14:textId="77777777" w:rsidR="009F2A60" w:rsidRDefault="009F2A60" w:rsidP="003E1BC5">
            <w:pPr>
              <w:ind w:left="0"/>
            </w:pPr>
            <w:r>
              <w:t>8</w:t>
            </w:r>
          </w:p>
        </w:tc>
        <w:tc>
          <w:tcPr>
            <w:tcW w:w="6658" w:type="dxa"/>
          </w:tcPr>
          <w:p w14:paraId="358639CD" w14:textId="77777777" w:rsidR="009F2A60" w:rsidRDefault="009F2A60" w:rsidP="003E1BC5">
            <w:pPr>
              <w:ind w:left="0"/>
            </w:pPr>
            <w:r>
              <w:t>Replace Reports</w:t>
            </w:r>
          </w:p>
        </w:tc>
        <w:tc>
          <w:tcPr>
            <w:tcW w:w="2281" w:type="dxa"/>
          </w:tcPr>
          <w:p w14:paraId="79643553" w14:textId="77777777" w:rsidR="009F2A60" w:rsidRPr="00873442" w:rsidRDefault="009F2A60" w:rsidP="003E1BC5">
            <w:pPr>
              <w:ind w:left="0"/>
              <w:rPr>
                <w:highlight w:val="yellow"/>
              </w:rPr>
            </w:pPr>
          </w:p>
        </w:tc>
      </w:tr>
      <w:tr w:rsidR="009F2A60" w:rsidRPr="00873442" w14:paraId="52AAA100" w14:textId="77777777" w:rsidTr="003E1BC5">
        <w:tc>
          <w:tcPr>
            <w:tcW w:w="1743" w:type="dxa"/>
          </w:tcPr>
          <w:p w14:paraId="10E35515" w14:textId="77777777" w:rsidR="009F2A60" w:rsidRPr="00355C5B" w:rsidRDefault="009F2A60" w:rsidP="003E1BC5">
            <w:pPr>
              <w:ind w:left="0"/>
            </w:pPr>
            <w:r>
              <w:t xml:space="preserve">   8A</w:t>
            </w:r>
          </w:p>
        </w:tc>
        <w:tc>
          <w:tcPr>
            <w:tcW w:w="6658" w:type="dxa"/>
          </w:tcPr>
          <w:p w14:paraId="7C43AF3D" w14:textId="77777777" w:rsidR="009F2A60" w:rsidRPr="00355C5B" w:rsidRDefault="009F2A60" w:rsidP="003E1BC5">
            <w:pPr>
              <w:ind w:left="256"/>
            </w:pPr>
            <w:r>
              <w:t>Inventory of all Required Reports and Ad Hoc Queries</w:t>
            </w:r>
          </w:p>
        </w:tc>
        <w:tc>
          <w:tcPr>
            <w:tcW w:w="2281" w:type="dxa"/>
          </w:tcPr>
          <w:p w14:paraId="4BA6A23B" w14:textId="77777777" w:rsidR="009F2A60" w:rsidRPr="00873442" w:rsidRDefault="009F2A60" w:rsidP="003E1BC5">
            <w:pPr>
              <w:ind w:left="0"/>
              <w:rPr>
                <w:highlight w:val="yellow"/>
              </w:rPr>
            </w:pPr>
          </w:p>
        </w:tc>
      </w:tr>
      <w:tr w:rsidR="009F2A60" w:rsidRPr="00873442" w14:paraId="599005B9" w14:textId="77777777" w:rsidTr="003E1BC5">
        <w:tc>
          <w:tcPr>
            <w:tcW w:w="1743" w:type="dxa"/>
          </w:tcPr>
          <w:p w14:paraId="76EF6898" w14:textId="77777777" w:rsidR="009F2A60" w:rsidRDefault="009F2A60" w:rsidP="003E1BC5">
            <w:pPr>
              <w:ind w:left="0"/>
            </w:pPr>
            <w:r>
              <w:t xml:space="preserve">   8B</w:t>
            </w:r>
          </w:p>
        </w:tc>
        <w:tc>
          <w:tcPr>
            <w:tcW w:w="6658" w:type="dxa"/>
          </w:tcPr>
          <w:p w14:paraId="598C8920" w14:textId="77777777" w:rsidR="009F2A60" w:rsidRDefault="009F2A60" w:rsidP="003E1BC5">
            <w:pPr>
              <w:ind w:left="256"/>
            </w:pPr>
            <w:r>
              <w:t>Confirm and Document Requirements for Reports and Ad Hoc Queries</w:t>
            </w:r>
          </w:p>
        </w:tc>
        <w:tc>
          <w:tcPr>
            <w:tcW w:w="2281" w:type="dxa"/>
          </w:tcPr>
          <w:p w14:paraId="7F757ED7" w14:textId="77777777" w:rsidR="009F2A60" w:rsidRPr="00873442" w:rsidRDefault="009F2A60" w:rsidP="003E1BC5">
            <w:pPr>
              <w:ind w:left="0"/>
              <w:rPr>
                <w:highlight w:val="yellow"/>
              </w:rPr>
            </w:pPr>
          </w:p>
        </w:tc>
      </w:tr>
      <w:tr w:rsidR="009F2A60" w:rsidRPr="00873442" w14:paraId="1E60A022" w14:textId="77777777" w:rsidTr="003E1BC5">
        <w:tc>
          <w:tcPr>
            <w:tcW w:w="1743" w:type="dxa"/>
          </w:tcPr>
          <w:p w14:paraId="053881B9" w14:textId="77777777" w:rsidR="009F2A60" w:rsidRDefault="009F2A60" w:rsidP="003E1BC5">
            <w:pPr>
              <w:ind w:left="0"/>
            </w:pPr>
            <w:r>
              <w:t xml:space="preserve">   8C</w:t>
            </w:r>
          </w:p>
        </w:tc>
        <w:tc>
          <w:tcPr>
            <w:tcW w:w="6658" w:type="dxa"/>
          </w:tcPr>
          <w:p w14:paraId="63D53ED1" w14:textId="77777777" w:rsidR="009F2A60" w:rsidRDefault="009F2A60" w:rsidP="003E1BC5">
            <w:pPr>
              <w:ind w:left="256"/>
            </w:pPr>
            <w:r>
              <w:t>Implement Replacement Reports and Queries</w:t>
            </w:r>
          </w:p>
        </w:tc>
        <w:tc>
          <w:tcPr>
            <w:tcW w:w="2281" w:type="dxa"/>
          </w:tcPr>
          <w:p w14:paraId="06D7C301" w14:textId="77777777" w:rsidR="009F2A60" w:rsidRPr="00873442" w:rsidRDefault="009F2A60" w:rsidP="003E1BC5">
            <w:pPr>
              <w:ind w:left="0"/>
              <w:rPr>
                <w:highlight w:val="yellow"/>
              </w:rPr>
            </w:pPr>
          </w:p>
        </w:tc>
      </w:tr>
      <w:tr w:rsidR="009F2A60" w:rsidRPr="00873442" w14:paraId="3CB553AE" w14:textId="77777777" w:rsidTr="003E1BC5">
        <w:tc>
          <w:tcPr>
            <w:tcW w:w="1743" w:type="dxa"/>
          </w:tcPr>
          <w:p w14:paraId="7BEBF69D" w14:textId="77777777" w:rsidR="009F2A60" w:rsidRDefault="009F2A60" w:rsidP="003E1BC5">
            <w:pPr>
              <w:ind w:left="0"/>
            </w:pPr>
            <w:r>
              <w:t>9</w:t>
            </w:r>
          </w:p>
        </w:tc>
        <w:tc>
          <w:tcPr>
            <w:tcW w:w="6658" w:type="dxa"/>
          </w:tcPr>
          <w:p w14:paraId="2660E311" w14:textId="77777777" w:rsidR="009F2A60" w:rsidRDefault="009F2A60" w:rsidP="003E1BC5">
            <w:pPr>
              <w:ind w:left="0"/>
            </w:pPr>
            <w:r>
              <w:t>Plan and Implement OCM</w:t>
            </w:r>
          </w:p>
        </w:tc>
        <w:tc>
          <w:tcPr>
            <w:tcW w:w="2281" w:type="dxa"/>
          </w:tcPr>
          <w:p w14:paraId="6DF3CABB" w14:textId="77777777" w:rsidR="009F2A60" w:rsidRPr="00873442" w:rsidRDefault="009F2A60" w:rsidP="003E1BC5">
            <w:pPr>
              <w:ind w:left="0"/>
              <w:rPr>
                <w:highlight w:val="yellow"/>
              </w:rPr>
            </w:pPr>
          </w:p>
        </w:tc>
      </w:tr>
      <w:tr w:rsidR="009F2A60" w:rsidRPr="00873442" w14:paraId="00475CF2" w14:textId="77777777" w:rsidTr="003E1BC5">
        <w:tc>
          <w:tcPr>
            <w:tcW w:w="1743" w:type="dxa"/>
          </w:tcPr>
          <w:p w14:paraId="13581BD8" w14:textId="77777777" w:rsidR="009F2A60" w:rsidRPr="00355C5B" w:rsidRDefault="009F2A60" w:rsidP="003E1BC5">
            <w:pPr>
              <w:ind w:left="0"/>
            </w:pPr>
            <w:r>
              <w:t xml:space="preserve">   9A</w:t>
            </w:r>
          </w:p>
        </w:tc>
        <w:tc>
          <w:tcPr>
            <w:tcW w:w="6658" w:type="dxa"/>
          </w:tcPr>
          <w:p w14:paraId="3630FAF2" w14:textId="77777777" w:rsidR="009F2A60" w:rsidRPr="00355C5B" w:rsidRDefault="009F2A60" w:rsidP="003E1BC5">
            <w:pPr>
              <w:ind w:left="256"/>
            </w:pPr>
            <w:r>
              <w:t>OCM Plan</w:t>
            </w:r>
          </w:p>
        </w:tc>
        <w:tc>
          <w:tcPr>
            <w:tcW w:w="2281" w:type="dxa"/>
          </w:tcPr>
          <w:p w14:paraId="1017E8B7" w14:textId="77777777" w:rsidR="009F2A60" w:rsidRPr="00873442" w:rsidRDefault="009F2A60" w:rsidP="003E1BC5">
            <w:pPr>
              <w:ind w:left="0"/>
              <w:rPr>
                <w:highlight w:val="yellow"/>
              </w:rPr>
            </w:pPr>
          </w:p>
        </w:tc>
      </w:tr>
      <w:tr w:rsidR="009F2A60" w:rsidRPr="00873442" w14:paraId="3A5FFCA5" w14:textId="77777777" w:rsidTr="003E1BC5">
        <w:tc>
          <w:tcPr>
            <w:tcW w:w="1743" w:type="dxa"/>
          </w:tcPr>
          <w:p w14:paraId="4CC566B0" w14:textId="77777777" w:rsidR="009F2A60" w:rsidRDefault="009F2A60" w:rsidP="003E1BC5">
            <w:pPr>
              <w:ind w:left="0"/>
            </w:pPr>
            <w:r>
              <w:t xml:space="preserve">   9B</w:t>
            </w:r>
          </w:p>
        </w:tc>
        <w:tc>
          <w:tcPr>
            <w:tcW w:w="6658" w:type="dxa"/>
          </w:tcPr>
          <w:p w14:paraId="4C013F50" w14:textId="77777777" w:rsidR="009F2A60" w:rsidRDefault="009F2A60" w:rsidP="003E1BC5">
            <w:pPr>
              <w:ind w:left="256"/>
            </w:pPr>
            <w:r>
              <w:t>Technical Documentation Stored</w:t>
            </w:r>
          </w:p>
        </w:tc>
        <w:tc>
          <w:tcPr>
            <w:tcW w:w="2281" w:type="dxa"/>
          </w:tcPr>
          <w:p w14:paraId="66E6ABF6" w14:textId="77777777" w:rsidR="009F2A60" w:rsidRPr="00873442" w:rsidRDefault="009F2A60" w:rsidP="003E1BC5">
            <w:pPr>
              <w:ind w:left="0"/>
              <w:rPr>
                <w:highlight w:val="yellow"/>
              </w:rPr>
            </w:pPr>
          </w:p>
        </w:tc>
      </w:tr>
      <w:tr w:rsidR="009F2A60" w:rsidRPr="00873442" w14:paraId="79311742" w14:textId="77777777" w:rsidTr="003E1BC5">
        <w:tc>
          <w:tcPr>
            <w:tcW w:w="1743" w:type="dxa"/>
          </w:tcPr>
          <w:p w14:paraId="0F6C1E96" w14:textId="77777777" w:rsidR="009F2A60" w:rsidRDefault="009F2A60" w:rsidP="003E1BC5">
            <w:pPr>
              <w:ind w:left="0"/>
            </w:pPr>
            <w:r>
              <w:t xml:space="preserve">   9C</w:t>
            </w:r>
          </w:p>
        </w:tc>
        <w:tc>
          <w:tcPr>
            <w:tcW w:w="6658" w:type="dxa"/>
          </w:tcPr>
          <w:p w14:paraId="41DE0F66" w14:textId="77777777" w:rsidR="009F2A60" w:rsidRDefault="009F2A60" w:rsidP="003E1BC5">
            <w:pPr>
              <w:ind w:left="256"/>
            </w:pPr>
            <w:r>
              <w:t>Implemented OCM Plan</w:t>
            </w:r>
          </w:p>
        </w:tc>
        <w:tc>
          <w:tcPr>
            <w:tcW w:w="2281" w:type="dxa"/>
          </w:tcPr>
          <w:p w14:paraId="7F018AA7" w14:textId="77777777" w:rsidR="009F2A60" w:rsidRPr="00873442" w:rsidRDefault="009F2A60" w:rsidP="003E1BC5">
            <w:pPr>
              <w:ind w:left="0"/>
              <w:rPr>
                <w:highlight w:val="yellow"/>
              </w:rPr>
            </w:pPr>
          </w:p>
        </w:tc>
      </w:tr>
      <w:tr w:rsidR="009F2A60" w:rsidRPr="00873442" w14:paraId="24EBFBCE" w14:textId="77777777" w:rsidTr="003E1BC5">
        <w:tc>
          <w:tcPr>
            <w:tcW w:w="1743" w:type="dxa"/>
          </w:tcPr>
          <w:p w14:paraId="6B564313" w14:textId="77777777" w:rsidR="009F2A60" w:rsidRDefault="009F2A60" w:rsidP="003E1BC5">
            <w:pPr>
              <w:ind w:left="0"/>
            </w:pPr>
            <w:r>
              <w:lastRenderedPageBreak/>
              <w:t>10</w:t>
            </w:r>
          </w:p>
        </w:tc>
        <w:tc>
          <w:tcPr>
            <w:tcW w:w="6658" w:type="dxa"/>
          </w:tcPr>
          <w:p w14:paraId="675812BB" w14:textId="77777777" w:rsidR="009F2A60" w:rsidRDefault="009F2A60" w:rsidP="003E1BC5">
            <w:pPr>
              <w:ind w:left="0"/>
            </w:pPr>
            <w:r>
              <w:t>Implement Automated Testing Solution</w:t>
            </w:r>
          </w:p>
        </w:tc>
        <w:tc>
          <w:tcPr>
            <w:tcW w:w="2281" w:type="dxa"/>
          </w:tcPr>
          <w:p w14:paraId="38D38040" w14:textId="77777777" w:rsidR="009F2A60" w:rsidRPr="00873442" w:rsidRDefault="009F2A60" w:rsidP="003E1BC5">
            <w:pPr>
              <w:ind w:left="0"/>
              <w:rPr>
                <w:highlight w:val="yellow"/>
              </w:rPr>
            </w:pPr>
          </w:p>
        </w:tc>
      </w:tr>
      <w:tr w:rsidR="009F2A60" w:rsidRPr="00873442" w14:paraId="3D2CB151" w14:textId="77777777" w:rsidTr="003E1BC5">
        <w:tc>
          <w:tcPr>
            <w:tcW w:w="1743" w:type="dxa"/>
          </w:tcPr>
          <w:p w14:paraId="0C27DE8A" w14:textId="77777777" w:rsidR="009F2A60" w:rsidRDefault="009F2A60" w:rsidP="003E1BC5">
            <w:pPr>
              <w:ind w:left="0"/>
            </w:pPr>
            <w:r>
              <w:t xml:space="preserve">   10A</w:t>
            </w:r>
          </w:p>
        </w:tc>
        <w:tc>
          <w:tcPr>
            <w:tcW w:w="6658" w:type="dxa"/>
          </w:tcPr>
          <w:p w14:paraId="7090F94B" w14:textId="77777777" w:rsidR="009F2A60" w:rsidRDefault="009F2A60" w:rsidP="003E1BC5">
            <w:pPr>
              <w:ind w:left="0"/>
            </w:pPr>
            <w:r>
              <w:t>Automated Testing Solution Test Plan</w:t>
            </w:r>
          </w:p>
        </w:tc>
        <w:tc>
          <w:tcPr>
            <w:tcW w:w="2281" w:type="dxa"/>
          </w:tcPr>
          <w:p w14:paraId="04B8B60D" w14:textId="77777777" w:rsidR="009F2A60" w:rsidRPr="00873442" w:rsidRDefault="009F2A60" w:rsidP="003E1BC5">
            <w:pPr>
              <w:ind w:left="0"/>
              <w:rPr>
                <w:highlight w:val="yellow"/>
              </w:rPr>
            </w:pPr>
          </w:p>
        </w:tc>
      </w:tr>
      <w:tr w:rsidR="009F2A60" w:rsidRPr="00873442" w14:paraId="765FE037" w14:textId="77777777" w:rsidTr="003E1BC5">
        <w:tc>
          <w:tcPr>
            <w:tcW w:w="1743" w:type="dxa"/>
          </w:tcPr>
          <w:p w14:paraId="769B4AC9" w14:textId="77777777" w:rsidR="009F2A60" w:rsidRPr="0053560A" w:rsidRDefault="009F2A60" w:rsidP="003E1BC5">
            <w:pPr>
              <w:ind w:left="0"/>
            </w:pPr>
            <w:r>
              <w:t xml:space="preserve">   10B</w:t>
            </w:r>
          </w:p>
        </w:tc>
        <w:tc>
          <w:tcPr>
            <w:tcW w:w="6658" w:type="dxa"/>
          </w:tcPr>
          <w:p w14:paraId="3E910378" w14:textId="77777777" w:rsidR="009F2A60" w:rsidRPr="00355C5B" w:rsidRDefault="009F2A60" w:rsidP="003E1BC5">
            <w:pPr>
              <w:ind w:left="256"/>
            </w:pPr>
            <w:r>
              <w:t>Automated Testing Solution Documentation</w:t>
            </w:r>
          </w:p>
        </w:tc>
        <w:tc>
          <w:tcPr>
            <w:tcW w:w="2281" w:type="dxa"/>
          </w:tcPr>
          <w:p w14:paraId="5C3EF593" w14:textId="77777777" w:rsidR="009F2A60" w:rsidRPr="00873442" w:rsidRDefault="009F2A60" w:rsidP="003E1BC5">
            <w:pPr>
              <w:ind w:left="0"/>
              <w:rPr>
                <w:highlight w:val="yellow"/>
              </w:rPr>
            </w:pPr>
          </w:p>
        </w:tc>
      </w:tr>
      <w:tr w:rsidR="009F2A60" w:rsidRPr="00873442" w14:paraId="4AB2A864" w14:textId="77777777" w:rsidTr="003E1BC5">
        <w:tc>
          <w:tcPr>
            <w:tcW w:w="1743" w:type="dxa"/>
          </w:tcPr>
          <w:p w14:paraId="572999B0" w14:textId="77777777" w:rsidR="009F2A60" w:rsidRDefault="009F2A60" w:rsidP="003E1BC5">
            <w:pPr>
              <w:ind w:left="0"/>
            </w:pPr>
            <w:r>
              <w:t xml:space="preserve">   10C</w:t>
            </w:r>
          </w:p>
        </w:tc>
        <w:tc>
          <w:tcPr>
            <w:tcW w:w="6658" w:type="dxa"/>
          </w:tcPr>
          <w:p w14:paraId="71F9CA94" w14:textId="77777777" w:rsidR="009F2A60" w:rsidRPr="00FA73F0" w:rsidRDefault="009F2A60" w:rsidP="003E1BC5">
            <w:pPr>
              <w:ind w:left="256"/>
            </w:pPr>
            <w:r>
              <w:t>Implemented Automated Testing Solution</w:t>
            </w:r>
          </w:p>
        </w:tc>
        <w:tc>
          <w:tcPr>
            <w:tcW w:w="2281" w:type="dxa"/>
          </w:tcPr>
          <w:p w14:paraId="16DD8136" w14:textId="77777777" w:rsidR="009F2A60" w:rsidRPr="00873442" w:rsidRDefault="009F2A60" w:rsidP="003E1BC5">
            <w:pPr>
              <w:ind w:left="0"/>
              <w:rPr>
                <w:highlight w:val="yellow"/>
              </w:rPr>
            </w:pPr>
          </w:p>
        </w:tc>
      </w:tr>
      <w:tr w:rsidR="009F2A60" w:rsidRPr="00873442" w14:paraId="67548FC4" w14:textId="77777777" w:rsidTr="003E1BC5">
        <w:tc>
          <w:tcPr>
            <w:tcW w:w="1743" w:type="dxa"/>
          </w:tcPr>
          <w:p w14:paraId="42F2F1E0" w14:textId="77777777" w:rsidR="009F2A60" w:rsidRDefault="009F2A60" w:rsidP="003E1BC5">
            <w:pPr>
              <w:ind w:left="0"/>
            </w:pPr>
            <w:r w:rsidRPr="00355C5B">
              <w:t>1</w:t>
            </w:r>
            <w:r>
              <w:t>1</w:t>
            </w:r>
          </w:p>
        </w:tc>
        <w:tc>
          <w:tcPr>
            <w:tcW w:w="6658" w:type="dxa"/>
          </w:tcPr>
          <w:p w14:paraId="7D35E747" w14:textId="77777777" w:rsidR="009F2A60" w:rsidRDefault="009F2A60" w:rsidP="003E1BC5">
            <w:pPr>
              <w:ind w:left="0"/>
            </w:pPr>
            <w:r>
              <w:t>Conduct System Testing</w:t>
            </w:r>
          </w:p>
        </w:tc>
        <w:tc>
          <w:tcPr>
            <w:tcW w:w="2281" w:type="dxa"/>
          </w:tcPr>
          <w:p w14:paraId="17F684E2" w14:textId="77777777" w:rsidR="009F2A60" w:rsidRPr="00873442" w:rsidRDefault="009F2A60" w:rsidP="003E1BC5">
            <w:pPr>
              <w:ind w:left="0"/>
              <w:rPr>
                <w:highlight w:val="yellow"/>
              </w:rPr>
            </w:pPr>
          </w:p>
        </w:tc>
      </w:tr>
      <w:tr w:rsidR="009F2A60" w:rsidRPr="00873442" w14:paraId="600652B5" w14:textId="77777777" w:rsidTr="003E1BC5">
        <w:tc>
          <w:tcPr>
            <w:tcW w:w="1743" w:type="dxa"/>
          </w:tcPr>
          <w:p w14:paraId="321C3EDA" w14:textId="77777777" w:rsidR="009F2A60" w:rsidRPr="00355C5B" w:rsidRDefault="009F2A60" w:rsidP="003E1BC5">
            <w:pPr>
              <w:ind w:left="0"/>
            </w:pPr>
            <w:r>
              <w:t xml:space="preserve">   11A</w:t>
            </w:r>
          </w:p>
        </w:tc>
        <w:tc>
          <w:tcPr>
            <w:tcW w:w="6658" w:type="dxa"/>
          </w:tcPr>
          <w:p w14:paraId="00A3F336" w14:textId="57DC38D2" w:rsidR="009F2A60" w:rsidRPr="00355C5B" w:rsidRDefault="00ED2EEB" w:rsidP="003E1BC5">
            <w:pPr>
              <w:ind w:left="256"/>
            </w:pPr>
            <w:r>
              <w:t>Updated</w:t>
            </w:r>
            <w:r w:rsidR="009F2A60">
              <w:t xml:space="preserve"> Test Plan</w:t>
            </w:r>
          </w:p>
        </w:tc>
        <w:tc>
          <w:tcPr>
            <w:tcW w:w="2281" w:type="dxa"/>
          </w:tcPr>
          <w:p w14:paraId="2CB61312" w14:textId="77777777" w:rsidR="009F2A60" w:rsidRPr="00873442" w:rsidRDefault="009F2A60" w:rsidP="003E1BC5">
            <w:pPr>
              <w:ind w:left="0"/>
              <w:rPr>
                <w:highlight w:val="yellow"/>
              </w:rPr>
            </w:pPr>
          </w:p>
        </w:tc>
      </w:tr>
      <w:tr w:rsidR="009F2A60" w:rsidRPr="00873442" w14:paraId="0BD49D31" w14:textId="77777777" w:rsidTr="003E1BC5">
        <w:tc>
          <w:tcPr>
            <w:tcW w:w="1743" w:type="dxa"/>
          </w:tcPr>
          <w:p w14:paraId="6D9FE5CC" w14:textId="77777777" w:rsidR="009F2A60" w:rsidRDefault="009F2A60" w:rsidP="003E1BC5">
            <w:pPr>
              <w:ind w:left="0"/>
            </w:pPr>
            <w:r>
              <w:t xml:space="preserve">   11B</w:t>
            </w:r>
          </w:p>
        </w:tc>
        <w:tc>
          <w:tcPr>
            <w:tcW w:w="6658" w:type="dxa"/>
          </w:tcPr>
          <w:p w14:paraId="2A3FA4D1" w14:textId="77777777" w:rsidR="009F2A60" w:rsidRDefault="009F2A60" w:rsidP="003E1BC5">
            <w:pPr>
              <w:ind w:left="256"/>
            </w:pPr>
            <w:r>
              <w:t>Product Quality Metrics for Testing</w:t>
            </w:r>
          </w:p>
        </w:tc>
        <w:tc>
          <w:tcPr>
            <w:tcW w:w="2281" w:type="dxa"/>
          </w:tcPr>
          <w:p w14:paraId="66A2BA5E" w14:textId="77777777" w:rsidR="009F2A60" w:rsidRPr="00873442" w:rsidRDefault="009F2A60" w:rsidP="003E1BC5">
            <w:pPr>
              <w:ind w:left="0"/>
              <w:rPr>
                <w:highlight w:val="yellow"/>
              </w:rPr>
            </w:pPr>
          </w:p>
        </w:tc>
      </w:tr>
      <w:tr w:rsidR="009F2A60" w:rsidRPr="00873442" w14:paraId="25509C32" w14:textId="77777777" w:rsidTr="003E1BC5">
        <w:tc>
          <w:tcPr>
            <w:tcW w:w="1743" w:type="dxa"/>
          </w:tcPr>
          <w:p w14:paraId="769F09A2" w14:textId="77777777" w:rsidR="009F2A60" w:rsidRDefault="009F2A60" w:rsidP="003E1BC5">
            <w:pPr>
              <w:ind w:left="0"/>
            </w:pPr>
            <w:r>
              <w:t xml:space="preserve">   11C</w:t>
            </w:r>
          </w:p>
        </w:tc>
        <w:tc>
          <w:tcPr>
            <w:tcW w:w="6658" w:type="dxa"/>
          </w:tcPr>
          <w:p w14:paraId="4E418BD4" w14:textId="77777777" w:rsidR="009F2A60" w:rsidRDefault="009F2A60" w:rsidP="003E1BC5">
            <w:pPr>
              <w:ind w:left="256"/>
            </w:pPr>
            <w:r>
              <w:t>Test Cases and Scripts</w:t>
            </w:r>
          </w:p>
        </w:tc>
        <w:tc>
          <w:tcPr>
            <w:tcW w:w="2281" w:type="dxa"/>
          </w:tcPr>
          <w:p w14:paraId="439E2725" w14:textId="77777777" w:rsidR="009F2A60" w:rsidRPr="00873442" w:rsidRDefault="009F2A60" w:rsidP="003E1BC5">
            <w:pPr>
              <w:ind w:left="0"/>
              <w:rPr>
                <w:highlight w:val="yellow"/>
              </w:rPr>
            </w:pPr>
          </w:p>
        </w:tc>
      </w:tr>
      <w:tr w:rsidR="009F2A60" w:rsidRPr="00873442" w14:paraId="0C0CD527" w14:textId="77777777" w:rsidTr="003E1BC5">
        <w:tc>
          <w:tcPr>
            <w:tcW w:w="1743" w:type="dxa"/>
          </w:tcPr>
          <w:p w14:paraId="2084F744" w14:textId="77777777" w:rsidR="009F2A60" w:rsidRDefault="009F2A60" w:rsidP="003E1BC5">
            <w:pPr>
              <w:ind w:left="0"/>
            </w:pPr>
            <w:r>
              <w:t xml:space="preserve">   11D</w:t>
            </w:r>
          </w:p>
        </w:tc>
        <w:tc>
          <w:tcPr>
            <w:tcW w:w="6658" w:type="dxa"/>
          </w:tcPr>
          <w:p w14:paraId="280EC206" w14:textId="77777777" w:rsidR="009F2A60" w:rsidRDefault="009F2A60" w:rsidP="003E1BC5">
            <w:pPr>
              <w:ind w:left="256"/>
            </w:pPr>
            <w:r>
              <w:t>UI System is Tested to Meet Agreed-Upon Quality Metrics</w:t>
            </w:r>
          </w:p>
        </w:tc>
        <w:tc>
          <w:tcPr>
            <w:tcW w:w="2281" w:type="dxa"/>
          </w:tcPr>
          <w:p w14:paraId="59361D3F" w14:textId="77777777" w:rsidR="009F2A60" w:rsidRPr="00873442" w:rsidRDefault="009F2A60" w:rsidP="003E1BC5">
            <w:pPr>
              <w:ind w:left="0"/>
              <w:rPr>
                <w:highlight w:val="yellow"/>
              </w:rPr>
            </w:pPr>
          </w:p>
        </w:tc>
      </w:tr>
      <w:tr w:rsidR="009F2A60" w:rsidRPr="00873442" w14:paraId="622CFB8F" w14:textId="77777777" w:rsidTr="003E1BC5">
        <w:tc>
          <w:tcPr>
            <w:tcW w:w="1743" w:type="dxa"/>
          </w:tcPr>
          <w:p w14:paraId="6359F5C8" w14:textId="77777777" w:rsidR="009F2A60" w:rsidRDefault="009F2A60" w:rsidP="003E1BC5">
            <w:pPr>
              <w:ind w:left="0"/>
            </w:pPr>
            <w:r>
              <w:t xml:space="preserve">   11E</w:t>
            </w:r>
          </w:p>
        </w:tc>
        <w:tc>
          <w:tcPr>
            <w:tcW w:w="6658" w:type="dxa"/>
          </w:tcPr>
          <w:p w14:paraId="0D36F7D7" w14:textId="77777777" w:rsidR="009F2A60" w:rsidRDefault="009F2A60" w:rsidP="003E1BC5">
            <w:pPr>
              <w:ind w:left="256"/>
            </w:pPr>
            <w:r>
              <w:t>UI System is Tested to proceed through review gates</w:t>
            </w:r>
          </w:p>
        </w:tc>
        <w:tc>
          <w:tcPr>
            <w:tcW w:w="2281" w:type="dxa"/>
          </w:tcPr>
          <w:p w14:paraId="10CEA217" w14:textId="77777777" w:rsidR="009F2A60" w:rsidRPr="00873442" w:rsidRDefault="009F2A60" w:rsidP="003E1BC5">
            <w:pPr>
              <w:ind w:left="0"/>
              <w:rPr>
                <w:highlight w:val="yellow"/>
              </w:rPr>
            </w:pPr>
          </w:p>
        </w:tc>
      </w:tr>
      <w:tr w:rsidR="009F2A60" w:rsidRPr="00873442" w14:paraId="454FEA8F" w14:textId="77777777" w:rsidTr="003E1BC5">
        <w:tc>
          <w:tcPr>
            <w:tcW w:w="1743" w:type="dxa"/>
          </w:tcPr>
          <w:p w14:paraId="72BB876B" w14:textId="77777777" w:rsidR="009F2A60" w:rsidRDefault="009F2A60" w:rsidP="003E1BC5">
            <w:pPr>
              <w:ind w:left="0"/>
            </w:pPr>
            <w:r>
              <w:t>12</w:t>
            </w:r>
          </w:p>
        </w:tc>
        <w:tc>
          <w:tcPr>
            <w:tcW w:w="6658" w:type="dxa"/>
          </w:tcPr>
          <w:p w14:paraId="1F471859" w14:textId="77777777" w:rsidR="009F2A60" w:rsidRDefault="009F2A60" w:rsidP="003E1BC5">
            <w:pPr>
              <w:ind w:left="0"/>
            </w:pPr>
            <w:r>
              <w:t>Create and Conduct Training</w:t>
            </w:r>
          </w:p>
        </w:tc>
        <w:tc>
          <w:tcPr>
            <w:tcW w:w="2281" w:type="dxa"/>
          </w:tcPr>
          <w:p w14:paraId="057DC735" w14:textId="77777777" w:rsidR="009F2A60" w:rsidRPr="00873442" w:rsidRDefault="009F2A60" w:rsidP="003E1BC5">
            <w:pPr>
              <w:ind w:left="0"/>
              <w:rPr>
                <w:highlight w:val="yellow"/>
              </w:rPr>
            </w:pPr>
          </w:p>
        </w:tc>
      </w:tr>
      <w:tr w:rsidR="009F2A60" w:rsidRPr="00873442" w14:paraId="739136E7" w14:textId="77777777" w:rsidTr="003E1BC5">
        <w:tc>
          <w:tcPr>
            <w:tcW w:w="1743" w:type="dxa"/>
          </w:tcPr>
          <w:p w14:paraId="25E65388" w14:textId="77777777" w:rsidR="009F2A60" w:rsidRDefault="009F2A60" w:rsidP="003E1BC5">
            <w:pPr>
              <w:ind w:left="0"/>
            </w:pPr>
            <w:r>
              <w:t xml:space="preserve">   12A</w:t>
            </w:r>
          </w:p>
        </w:tc>
        <w:tc>
          <w:tcPr>
            <w:tcW w:w="6658" w:type="dxa"/>
          </w:tcPr>
          <w:p w14:paraId="101F4B3F" w14:textId="77777777" w:rsidR="009F2A60" w:rsidRPr="00355C5B" w:rsidRDefault="009F2A60" w:rsidP="003E1BC5">
            <w:pPr>
              <w:ind w:left="256"/>
            </w:pPr>
            <w:r>
              <w:t>Training Environment</w:t>
            </w:r>
          </w:p>
        </w:tc>
        <w:tc>
          <w:tcPr>
            <w:tcW w:w="2281" w:type="dxa"/>
          </w:tcPr>
          <w:p w14:paraId="1B966444" w14:textId="77777777" w:rsidR="009F2A60" w:rsidRPr="00873442" w:rsidRDefault="009F2A60" w:rsidP="003E1BC5">
            <w:pPr>
              <w:ind w:left="0"/>
              <w:rPr>
                <w:highlight w:val="yellow"/>
              </w:rPr>
            </w:pPr>
          </w:p>
        </w:tc>
      </w:tr>
      <w:tr w:rsidR="009F2A60" w:rsidRPr="00873442" w14:paraId="51D5CADF" w14:textId="77777777" w:rsidTr="003E1BC5">
        <w:tc>
          <w:tcPr>
            <w:tcW w:w="1743" w:type="dxa"/>
          </w:tcPr>
          <w:p w14:paraId="24F43095" w14:textId="77777777" w:rsidR="009F2A60" w:rsidRDefault="009F2A60" w:rsidP="003E1BC5">
            <w:pPr>
              <w:ind w:left="0"/>
            </w:pPr>
            <w:r>
              <w:t xml:space="preserve">   12B</w:t>
            </w:r>
          </w:p>
        </w:tc>
        <w:tc>
          <w:tcPr>
            <w:tcW w:w="6658" w:type="dxa"/>
          </w:tcPr>
          <w:p w14:paraId="46F896ED" w14:textId="77777777" w:rsidR="009F2A60" w:rsidRPr="00355C5B" w:rsidRDefault="009F2A60" w:rsidP="003E1BC5">
            <w:pPr>
              <w:ind w:left="256"/>
            </w:pPr>
            <w:r>
              <w:t>Training Plans for each IT and Program Area</w:t>
            </w:r>
          </w:p>
        </w:tc>
        <w:tc>
          <w:tcPr>
            <w:tcW w:w="2281" w:type="dxa"/>
          </w:tcPr>
          <w:p w14:paraId="49C2D0EC" w14:textId="77777777" w:rsidR="009F2A60" w:rsidRPr="00873442" w:rsidRDefault="009F2A60" w:rsidP="003E1BC5">
            <w:pPr>
              <w:ind w:left="0"/>
              <w:rPr>
                <w:highlight w:val="yellow"/>
              </w:rPr>
            </w:pPr>
          </w:p>
        </w:tc>
      </w:tr>
      <w:tr w:rsidR="009F2A60" w:rsidRPr="00873442" w14:paraId="1AAD66F3" w14:textId="77777777" w:rsidTr="003E1BC5">
        <w:tc>
          <w:tcPr>
            <w:tcW w:w="1743" w:type="dxa"/>
          </w:tcPr>
          <w:p w14:paraId="11D49E63" w14:textId="77777777" w:rsidR="009F2A60" w:rsidRDefault="009F2A60" w:rsidP="003E1BC5">
            <w:pPr>
              <w:ind w:left="0"/>
            </w:pPr>
            <w:r>
              <w:t xml:space="preserve">   12C</w:t>
            </w:r>
          </w:p>
        </w:tc>
        <w:tc>
          <w:tcPr>
            <w:tcW w:w="6658" w:type="dxa"/>
          </w:tcPr>
          <w:p w14:paraId="24CCF97C" w14:textId="77777777" w:rsidR="009F2A60" w:rsidRPr="00355C5B" w:rsidRDefault="009F2A60" w:rsidP="003E1BC5">
            <w:pPr>
              <w:ind w:left="256"/>
            </w:pPr>
            <w:r>
              <w:t>Training Materials</w:t>
            </w:r>
          </w:p>
        </w:tc>
        <w:tc>
          <w:tcPr>
            <w:tcW w:w="2281" w:type="dxa"/>
          </w:tcPr>
          <w:p w14:paraId="668BC264" w14:textId="77777777" w:rsidR="009F2A60" w:rsidRPr="00873442" w:rsidRDefault="009F2A60" w:rsidP="003E1BC5">
            <w:pPr>
              <w:ind w:left="0"/>
              <w:rPr>
                <w:highlight w:val="yellow"/>
              </w:rPr>
            </w:pPr>
          </w:p>
        </w:tc>
      </w:tr>
      <w:tr w:rsidR="009F2A60" w:rsidRPr="00873442" w14:paraId="24F3CEFB" w14:textId="77777777" w:rsidTr="003E1BC5">
        <w:tc>
          <w:tcPr>
            <w:tcW w:w="1743" w:type="dxa"/>
          </w:tcPr>
          <w:p w14:paraId="09532BFB" w14:textId="77777777" w:rsidR="009F2A60" w:rsidRDefault="009F2A60" w:rsidP="003E1BC5">
            <w:pPr>
              <w:ind w:left="0"/>
            </w:pPr>
            <w:r>
              <w:t xml:space="preserve">   12D</w:t>
            </w:r>
          </w:p>
        </w:tc>
        <w:tc>
          <w:tcPr>
            <w:tcW w:w="6658" w:type="dxa"/>
          </w:tcPr>
          <w:p w14:paraId="56CAFC65" w14:textId="77777777" w:rsidR="009F2A60" w:rsidRPr="00355C5B" w:rsidRDefault="009F2A60" w:rsidP="003E1BC5">
            <w:pPr>
              <w:ind w:left="256"/>
            </w:pPr>
            <w:r>
              <w:t>Training C</w:t>
            </w:r>
            <w:r w:rsidRPr="002B518D">
              <w:t>ourses</w:t>
            </w:r>
          </w:p>
        </w:tc>
        <w:tc>
          <w:tcPr>
            <w:tcW w:w="2281" w:type="dxa"/>
          </w:tcPr>
          <w:p w14:paraId="4441A215" w14:textId="77777777" w:rsidR="009F2A60" w:rsidRPr="00873442" w:rsidRDefault="009F2A60" w:rsidP="003E1BC5">
            <w:pPr>
              <w:ind w:left="0"/>
              <w:rPr>
                <w:highlight w:val="yellow"/>
              </w:rPr>
            </w:pPr>
          </w:p>
        </w:tc>
      </w:tr>
      <w:tr w:rsidR="009F2A60" w:rsidRPr="00873442" w14:paraId="72F25A01" w14:textId="77777777" w:rsidTr="003E1BC5">
        <w:tc>
          <w:tcPr>
            <w:tcW w:w="1743" w:type="dxa"/>
          </w:tcPr>
          <w:p w14:paraId="3858345F" w14:textId="77777777" w:rsidR="009F2A60" w:rsidRDefault="009F2A60" w:rsidP="003E1BC5">
            <w:pPr>
              <w:ind w:left="0"/>
            </w:pPr>
            <w:r>
              <w:t xml:space="preserve">   12E</w:t>
            </w:r>
          </w:p>
        </w:tc>
        <w:tc>
          <w:tcPr>
            <w:tcW w:w="6658" w:type="dxa"/>
          </w:tcPr>
          <w:p w14:paraId="2ADDFB67" w14:textId="77777777" w:rsidR="009F2A60" w:rsidRPr="00355C5B" w:rsidRDefault="009F2A60" w:rsidP="003E1BC5">
            <w:pPr>
              <w:ind w:left="256"/>
            </w:pPr>
            <w:r>
              <w:t>Completed Training</w:t>
            </w:r>
          </w:p>
        </w:tc>
        <w:tc>
          <w:tcPr>
            <w:tcW w:w="2281" w:type="dxa"/>
          </w:tcPr>
          <w:p w14:paraId="21025E8F" w14:textId="77777777" w:rsidR="009F2A60" w:rsidRPr="00873442" w:rsidRDefault="009F2A60" w:rsidP="003E1BC5">
            <w:pPr>
              <w:ind w:left="0"/>
              <w:rPr>
                <w:highlight w:val="yellow"/>
              </w:rPr>
            </w:pPr>
          </w:p>
        </w:tc>
      </w:tr>
      <w:tr w:rsidR="009F2A60" w:rsidRPr="00873442" w14:paraId="175AF0FB" w14:textId="77777777" w:rsidTr="003E1BC5">
        <w:tc>
          <w:tcPr>
            <w:tcW w:w="1743" w:type="dxa"/>
          </w:tcPr>
          <w:p w14:paraId="5673D232" w14:textId="77777777" w:rsidR="009F2A60" w:rsidRDefault="009F2A60" w:rsidP="003E1BC5">
            <w:pPr>
              <w:ind w:left="0"/>
            </w:pPr>
            <w:r>
              <w:t xml:space="preserve">   12F</w:t>
            </w:r>
          </w:p>
        </w:tc>
        <w:tc>
          <w:tcPr>
            <w:tcW w:w="6658" w:type="dxa"/>
          </w:tcPr>
          <w:p w14:paraId="3453AF7E" w14:textId="77777777" w:rsidR="009F2A60" w:rsidRPr="00355C5B" w:rsidRDefault="009F2A60" w:rsidP="003E1BC5">
            <w:pPr>
              <w:ind w:left="256"/>
            </w:pPr>
            <w:r>
              <w:t>Guides and Desk Aids</w:t>
            </w:r>
          </w:p>
        </w:tc>
        <w:tc>
          <w:tcPr>
            <w:tcW w:w="2281" w:type="dxa"/>
          </w:tcPr>
          <w:p w14:paraId="09803AC3" w14:textId="77777777" w:rsidR="009F2A60" w:rsidRPr="00873442" w:rsidRDefault="009F2A60" w:rsidP="003E1BC5">
            <w:pPr>
              <w:ind w:left="0"/>
              <w:rPr>
                <w:highlight w:val="yellow"/>
              </w:rPr>
            </w:pPr>
          </w:p>
        </w:tc>
      </w:tr>
      <w:tr w:rsidR="009F2A60" w:rsidRPr="00873442" w14:paraId="3CBAC626" w14:textId="77777777" w:rsidTr="003E1BC5">
        <w:tc>
          <w:tcPr>
            <w:tcW w:w="1743" w:type="dxa"/>
          </w:tcPr>
          <w:p w14:paraId="16DB921F" w14:textId="77777777" w:rsidR="009F2A60" w:rsidRDefault="009F2A60" w:rsidP="003E1BC5">
            <w:pPr>
              <w:ind w:left="0"/>
            </w:pPr>
            <w:r>
              <w:t xml:space="preserve">   12G</w:t>
            </w:r>
          </w:p>
        </w:tc>
        <w:tc>
          <w:tcPr>
            <w:tcW w:w="6658" w:type="dxa"/>
          </w:tcPr>
          <w:p w14:paraId="008166F0" w14:textId="77777777" w:rsidR="009F2A60" w:rsidRPr="00355C5B" w:rsidRDefault="009F2A60" w:rsidP="003E1BC5">
            <w:pPr>
              <w:ind w:left="256"/>
            </w:pPr>
            <w:r>
              <w:t>End User Webinars and Video Training</w:t>
            </w:r>
          </w:p>
        </w:tc>
        <w:tc>
          <w:tcPr>
            <w:tcW w:w="2281" w:type="dxa"/>
          </w:tcPr>
          <w:p w14:paraId="7F56B716" w14:textId="77777777" w:rsidR="009F2A60" w:rsidRPr="00873442" w:rsidRDefault="009F2A60" w:rsidP="003E1BC5">
            <w:pPr>
              <w:ind w:left="0"/>
              <w:rPr>
                <w:highlight w:val="yellow"/>
              </w:rPr>
            </w:pPr>
          </w:p>
        </w:tc>
      </w:tr>
      <w:tr w:rsidR="009F2A60" w:rsidRPr="00873442" w14:paraId="2C9ED4DC" w14:textId="77777777" w:rsidTr="003E1BC5">
        <w:tc>
          <w:tcPr>
            <w:tcW w:w="1743" w:type="dxa"/>
          </w:tcPr>
          <w:p w14:paraId="64506842" w14:textId="77777777" w:rsidR="009F2A60" w:rsidRDefault="009F2A60" w:rsidP="003E1BC5">
            <w:pPr>
              <w:ind w:left="0"/>
            </w:pPr>
            <w:r>
              <w:t xml:space="preserve">   12H</w:t>
            </w:r>
          </w:p>
        </w:tc>
        <w:tc>
          <w:tcPr>
            <w:tcW w:w="6658" w:type="dxa"/>
          </w:tcPr>
          <w:p w14:paraId="7BBC9E9D" w14:textId="77777777" w:rsidR="009F2A60" w:rsidRPr="00355C5B" w:rsidRDefault="009F2A60" w:rsidP="003E1BC5">
            <w:pPr>
              <w:ind w:left="256"/>
            </w:pPr>
            <w:r>
              <w:t>Knowledge Transfer Plan</w:t>
            </w:r>
          </w:p>
        </w:tc>
        <w:tc>
          <w:tcPr>
            <w:tcW w:w="2281" w:type="dxa"/>
          </w:tcPr>
          <w:p w14:paraId="0E1DE9CB" w14:textId="77777777" w:rsidR="009F2A60" w:rsidRPr="00873442" w:rsidRDefault="009F2A60" w:rsidP="003E1BC5">
            <w:pPr>
              <w:ind w:left="0"/>
              <w:rPr>
                <w:highlight w:val="yellow"/>
              </w:rPr>
            </w:pPr>
          </w:p>
        </w:tc>
      </w:tr>
      <w:tr w:rsidR="009F2A60" w:rsidRPr="00873442" w14:paraId="2A003427" w14:textId="77777777" w:rsidTr="003E1BC5">
        <w:tc>
          <w:tcPr>
            <w:tcW w:w="1743" w:type="dxa"/>
          </w:tcPr>
          <w:p w14:paraId="6458B3AB" w14:textId="77777777" w:rsidR="009F2A60" w:rsidRDefault="009F2A60" w:rsidP="003E1BC5">
            <w:pPr>
              <w:ind w:left="0"/>
            </w:pPr>
            <w:r>
              <w:t xml:space="preserve">   12I</w:t>
            </w:r>
          </w:p>
        </w:tc>
        <w:tc>
          <w:tcPr>
            <w:tcW w:w="6658" w:type="dxa"/>
          </w:tcPr>
          <w:p w14:paraId="39F1865B" w14:textId="77777777" w:rsidR="009F2A60" w:rsidRPr="00355C5B" w:rsidRDefault="009F2A60" w:rsidP="003E1BC5">
            <w:pPr>
              <w:ind w:left="256"/>
            </w:pPr>
            <w:r>
              <w:t>Completed Knowledge Transfer</w:t>
            </w:r>
          </w:p>
        </w:tc>
        <w:tc>
          <w:tcPr>
            <w:tcW w:w="2281" w:type="dxa"/>
          </w:tcPr>
          <w:p w14:paraId="01BC25BB" w14:textId="77777777" w:rsidR="009F2A60" w:rsidRPr="00873442" w:rsidRDefault="009F2A60" w:rsidP="003E1BC5">
            <w:pPr>
              <w:ind w:left="0"/>
              <w:rPr>
                <w:highlight w:val="yellow"/>
              </w:rPr>
            </w:pPr>
          </w:p>
        </w:tc>
      </w:tr>
      <w:tr w:rsidR="009F2A60" w:rsidRPr="00873442" w14:paraId="714587D2" w14:textId="77777777" w:rsidTr="003E1BC5">
        <w:tc>
          <w:tcPr>
            <w:tcW w:w="1743" w:type="dxa"/>
          </w:tcPr>
          <w:p w14:paraId="64DD7F01" w14:textId="77777777" w:rsidR="009F2A60" w:rsidRDefault="009F2A60" w:rsidP="003E1BC5">
            <w:pPr>
              <w:ind w:left="0"/>
            </w:pPr>
            <w:r>
              <w:t>13</w:t>
            </w:r>
          </w:p>
        </w:tc>
        <w:tc>
          <w:tcPr>
            <w:tcW w:w="6658" w:type="dxa"/>
          </w:tcPr>
          <w:p w14:paraId="205E3B1B" w14:textId="47E32E09" w:rsidR="009F2A60" w:rsidRDefault="00DE6955" w:rsidP="003E1BC5">
            <w:pPr>
              <w:ind w:left="0"/>
            </w:pPr>
            <w:r>
              <w:t>Deployment Planning and Execution</w:t>
            </w:r>
          </w:p>
        </w:tc>
        <w:tc>
          <w:tcPr>
            <w:tcW w:w="2281" w:type="dxa"/>
          </w:tcPr>
          <w:p w14:paraId="5A0E4A4E" w14:textId="77777777" w:rsidR="009F2A60" w:rsidRPr="00873442" w:rsidRDefault="009F2A60" w:rsidP="003E1BC5">
            <w:pPr>
              <w:ind w:left="0"/>
              <w:rPr>
                <w:highlight w:val="yellow"/>
              </w:rPr>
            </w:pPr>
          </w:p>
        </w:tc>
      </w:tr>
      <w:tr w:rsidR="009F2A60" w:rsidRPr="00873442" w14:paraId="58C4937C" w14:textId="77777777" w:rsidTr="003E1BC5">
        <w:tc>
          <w:tcPr>
            <w:tcW w:w="1743" w:type="dxa"/>
          </w:tcPr>
          <w:p w14:paraId="13787C4D" w14:textId="77777777" w:rsidR="009F2A60" w:rsidRDefault="009F2A60" w:rsidP="003E1BC5">
            <w:pPr>
              <w:ind w:left="0"/>
            </w:pPr>
            <w:r>
              <w:t xml:space="preserve">   13A</w:t>
            </w:r>
          </w:p>
        </w:tc>
        <w:tc>
          <w:tcPr>
            <w:tcW w:w="6658" w:type="dxa"/>
          </w:tcPr>
          <w:p w14:paraId="104556F0" w14:textId="77777777" w:rsidR="009F2A60" w:rsidRDefault="009F2A60" w:rsidP="003E1BC5">
            <w:pPr>
              <w:ind w:left="256"/>
            </w:pPr>
            <w:r>
              <w:t>Completed ETA 9177 Report</w:t>
            </w:r>
          </w:p>
        </w:tc>
        <w:tc>
          <w:tcPr>
            <w:tcW w:w="2281" w:type="dxa"/>
          </w:tcPr>
          <w:p w14:paraId="4F24FB2C" w14:textId="77777777" w:rsidR="009F2A60" w:rsidRPr="00873442" w:rsidRDefault="009F2A60" w:rsidP="003E1BC5">
            <w:pPr>
              <w:ind w:left="0"/>
              <w:rPr>
                <w:highlight w:val="yellow"/>
              </w:rPr>
            </w:pPr>
          </w:p>
        </w:tc>
      </w:tr>
      <w:tr w:rsidR="009F2A60" w:rsidRPr="00873442" w14:paraId="659AC047" w14:textId="77777777" w:rsidTr="003E1BC5">
        <w:tc>
          <w:tcPr>
            <w:tcW w:w="1743" w:type="dxa"/>
          </w:tcPr>
          <w:p w14:paraId="085AE759" w14:textId="77777777" w:rsidR="009F2A60" w:rsidRDefault="009F2A60" w:rsidP="003E1BC5">
            <w:pPr>
              <w:ind w:left="0"/>
            </w:pPr>
            <w:r>
              <w:t xml:space="preserve">   13B</w:t>
            </w:r>
          </w:p>
        </w:tc>
        <w:tc>
          <w:tcPr>
            <w:tcW w:w="6658" w:type="dxa"/>
          </w:tcPr>
          <w:p w14:paraId="2269F902" w14:textId="77777777" w:rsidR="009F2A60" w:rsidRDefault="009F2A60" w:rsidP="003E1BC5">
            <w:pPr>
              <w:ind w:left="256"/>
            </w:pPr>
            <w:r>
              <w:t>Deployment Readiness Plan and Execution</w:t>
            </w:r>
          </w:p>
        </w:tc>
        <w:tc>
          <w:tcPr>
            <w:tcW w:w="2281" w:type="dxa"/>
          </w:tcPr>
          <w:p w14:paraId="568273A1" w14:textId="77777777" w:rsidR="009F2A60" w:rsidRPr="00873442" w:rsidRDefault="009F2A60" w:rsidP="003E1BC5">
            <w:pPr>
              <w:ind w:left="0"/>
              <w:rPr>
                <w:highlight w:val="yellow"/>
              </w:rPr>
            </w:pPr>
          </w:p>
        </w:tc>
      </w:tr>
      <w:tr w:rsidR="009F2A60" w:rsidRPr="00873442" w14:paraId="2F2C08FB" w14:textId="77777777" w:rsidTr="003E1BC5">
        <w:tc>
          <w:tcPr>
            <w:tcW w:w="1743" w:type="dxa"/>
          </w:tcPr>
          <w:p w14:paraId="7CCF46FF" w14:textId="77777777" w:rsidR="009F2A60" w:rsidRDefault="009F2A60" w:rsidP="003E1BC5">
            <w:pPr>
              <w:ind w:left="0"/>
            </w:pPr>
            <w:r>
              <w:t xml:space="preserve">   13C</w:t>
            </w:r>
          </w:p>
        </w:tc>
        <w:tc>
          <w:tcPr>
            <w:tcW w:w="6658" w:type="dxa"/>
          </w:tcPr>
          <w:p w14:paraId="36E3915C" w14:textId="77777777" w:rsidR="009F2A60" w:rsidRDefault="009F2A60" w:rsidP="003E1BC5">
            <w:pPr>
              <w:ind w:left="256"/>
            </w:pPr>
            <w:r>
              <w:t>Day of Deployment Plan and Execution</w:t>
            </w:r>
          </w:p>
        </w:tc>
        <w:tc>
          <w:tcPr>
            <w:tcW w:w="2281" w:type="dxa"/>
          </w:tcPr>
          <w:p w14:paraId="534C3F7A" w14:textId="77777777" w:rsidR="009F2A60" w:rsidRPr="00873442" w:rsidRDefault="009F2A60" w:rsidP="003E1BC5">
            <w:pPr>
              <w:ind w:left="0"/>
              <w:rPr>
                <w:highlight w:val="yellow"/>
              </w:rPr>
            </w:pPr>
          </w:p>
        </w:tc>
      </w:tr>
      <w:tr w:rsidR="009F2A60" w:rsidRPr="00873442" w14:paraId="3D02EC11" w14:textId="77777777" w:rsidTr="003E1BC5">
        <w:tc>
          <w:tcPr>
            <w:tcW w:w="1743" w:type="dxa"/>
          </w:tcPr>
          <w:p w14:paraId="476160F8" w14:textId="77777777" w:rsidR="009F2A60" w:rsidRDefault="009F2A60" w:rsidP="003E1BC5">
            <w:pPr>
              <w:ind w:left="0"/>
            </w:pPr>
            <w:r>
              <w:t xml:space="preserve">   13D</w:t>
            </w:r>
          </w:p>
        </w:tc>
        <w:tc>
          <w:tcPr>
            <w:tcW w:w="6658" w:type="dxa"/>
          </w:tcPr>
          <w:p w14:paraId="7DD1F77C" w14:textId="78AA81C8" w:rsidR="009F2A60" w:rsidRDefault="009F2A60" w:rsidP="003E1BC5">
            <w:pPr>
              <w:ind w:left="256"/>
            </w:pPr>
            <w:r>
              <w:t>Post Deployment and Execution</w:t>
            </w:r>
          </w:p>
        </w:tc>
        <w:tc>
          <w:tcPr>
            <w:tcW w:w="2281" w:type="dxa"/>
          </w:tcPr>
          <w:p w14:paraId="7B1057BD" w14:textId="77777777" w:rsidR="009F2A60" w:rsidRPr="00873442" w:rsidRDefault="009F2A60" w:rsidP="003E1BC5">
            <w:pPr>
              <w:ind w:left="0"/>
              <w:rPr>
                <w:highlight w:val="yellow"/>
              </w:rPr>
            </w:pPr>
          </w:p>
        </w:tc>
      </w:tr>
      <w:tr w:rsidR="009F2A60" w:rsidRPr="00873442" w14:paraId="2B683861" w14:textId="77777777" w:rsidTr="003E1BC5">
        <w:trPr>
          <w:cantSplit/>
        </w:trPr>
        <w:tc>
          <w:tcPr>
            <w:tcW w:w="1743" w:type="dxa"/>
            <w:shd w:val="clear" w:color="auto" w:fill="DEEAF6" w:themeFill="accent1" w:themeFillTint="33"/>
          </w:tcPr>
          <w:p w14:paraId="38F1F1CE" w14:textId="77777777" w:rsidR="009F2A60" w:rsidRDefault="009F2A60" w:rsidP="003E1BC5">
            <w:pPr>
              <w:ind w:left="0"/>
              <w:jc w:val="center"/>
            </w:pPr>
            <w:r>
              <w:t>-</w:t>
            </w:r>
          </w:p>
        </w:tc>
        <w:tc>
          <w:tcPr>
            <w:tcW w:w="6658" w:type="dxa"/>
            <w:shd w:val="clear" w:color="auto" w:fill="DEEAF6" w:themeFill="accent1" w:themeFillTint="33"/>
          </w:tcPr>
          <w:p w14:paraId="34D645E7" w14:textId="0523A878" w:rsidR="009F2A60" w:rsidRPr="00FB59F1" w:rsidRDefault="009F2A60" w:rsidP="003E1BC5">
            <w:pPr>
              <w:ind w:left="256"/>
              <w:jc w:val="right"/>
              <w:rPr>
                <w:b/>
              </w:rPr>
            </w:pPr>
            <w:r w:rsidRPr="00FB59F1">
              <w:rPr>
                <w:b/>
              </w:rPr>
              <w:t>Total</w:t>
            </w:r>
            <w:r>
              <w:rPr>
                <w:b/>
              </w:rPr>
              <w:t xml:space="preserve"> Phase Costs </w:t>
            </w:r>
          </w:p>
        </w:tc>
        <w:tc>
          <w:tcPr>
            <w:tcW w:w="2281" w:type="dxa"/>
            <w:shd w:val="clear" w:color="auto" w:fill="DEEAF6" w:themeFill="accent1" w:themeFillTint="33"/>
          </w:tcPr>
          <w:p w14:paraId="1B446F22" w14:textId="77777777" w:rsidR="009F2A60" w:rsidRPr="00873442" w:rsidRDefault="009F2A60" w:rsidP="003E1BC5">
            <w:pPr>
              <w:ind w:left="0"/>
              <w:rPr>
                <w:highlight w:val="yellow"/>
              </w:rPr>
            </w:pPr>
          </w:p>
        </w:tc>
      </w:tr>
    </w:tbl>
    <w:p w14:paraId="5847B096" w14:textId="77777777" w:rsidR="009F2A60" w:rsidRDefault="009F2A60" w:rsidP="009F2A60"/>
    <w:p w14:paraId="51BC7E6F" w14:textId="2F95EDD6" w:rsidR="00EF3C59" w:rsidRDefault="00C01471" w:rsidP="00C01471">
      <w:pPr>
        <w:pStyle w:val="Heading3"/>
      </w:pPr>
      <w:bookmarkStart w:id="471" w:name="_Toc13567527"/>
      <w:r>
        <w:lastRenderedPageBreak/>
        <w:t>A</w:t>
      </w:r>
      <w:r w:rsidR="00EF3C59">
        <w:t>12.</w:t>
      </w:r>
      <w:r w:rsidR="009F2A60">
        <w:t>2</w:t>
      </w:r>
      <w:r w:rsidR="00EF3C59">
        <w:tab/>
        <w:t>Pricing for Deliverables</w:t>
      </w:r>
      <w:r w:rsidR="00965F21">
        <w:t xml:space="preserve"> </w:t>
      </w:r>
      <w:r w:rsidR="00795718">
        <w:t>–</w:t>
      </w:r>
      <w:r w:rsidR="00965F21">
        <w:t xml:space="preserve"> </w:t>
      </w:r>
      <w:r w:rsidR="00DE6955">
        <w:t>Non-</w:t>
      </w:r>
      <w:r w:rsidR="00795718">
        <w:t>Phase</w:t>
      </w:r>
      <w:r w:rsidR="00DE6955">
        <w:t xml:space="preserve"> Costs</w:t>
      </w:r>
      <w:bookmarkEnd w:id="471"/>
    </w:p>
    <w:p w14:paraId="474B4EFA" w14:textId="260C6E5C" w:rsidR="00EF3C59" w:rsidRPr="0045479C" w:rsidRDefault="00EF3C59" w:rsidP="00EF3C59">
      <w:pPr>
        <w:rPr>
          <w:lang w:eastAsia="en-AU"/>
        </w:rPr>
      </w:pPr>
      <w:r>
        <w:rPr>
          <w:lang w:eastAsia="en-AU"/>
        </w:rPr>
        <w:t xml:space="preserve">Pricing must address all </w:t>
      </w:r>
      <w:r w:rsidR="00427C15">
        <w:rPr>
          <w:lang w:eastAsia="en-AU"/>
        </w:rPr>
        <w:t xml:space="preserve">non-phase </w:t>
      </w:r>
      <w:r>
        <w:rPr>
          <w:lang w:eastAsia="en-AU"/>
        </w:rPr>
        <w:t xml:space="preserve">deliverables necessary to implement the TWC UI solution. </w:t>
      </w:r>
    </w:p>
    <w:tbl>
      <w:tblPr>
        <w:tblStyle w:val="TableGrid"/>
        <w:tblW w:w="0" w:type="auto"/>
        <w:tblInd w:w="108" w:type="dxa"/>
        <w:tblLook w:val="04A0" w:firstRow="1" w:lastRow="0" w:firstColumn="1" w:lastColumn="0" w:noHBand="0" w:noVBand="1"/>
        <w:tblCaption w:val="Deliverable Schedule table"/>
        <w:tblDescription w:val="Pricing for required Deliverables table"/>
      </w:tblPr>
      <w:tblGrid>
        <w:gridCol w:w="1743"/>
        <w:gridCol w:w="6658"/>
        <w:gridCol w:w="2281"/>
      </w:tblGrid>
      <w:tr w:rsidR="00EF3C59" w:rsidRPr="00873442" w14:paraId="2179BEE4" w14:textId="77777777" w:rsidTr="00D44F26">
        <w:trPr>
          <w:cantSplit/>
          <w:tblHeader/>
        </w:trPr>
        <w:tc>
          <w:tcPr>
            <w:tcW w:w="1743" w:type="dxa"/>
            <w:shd w:val="clear" w:color="auto" w:fill="DEEAF6" w:themeFill="accent1" w:themeFillTint="33"/>
            <w:vAlign w:val="center"/>
          </w:tcPr>
          <w:p w14:paraId="2F21A0D1" w14:textId="77777777" w:rsidR="00EF3C59" w:rsidRPr="00804B2D" w:rsidRDefault="00EF3C59" w:rsidP="00D44F26">
            <w:pPr>
              <w:spacing w:after="0"/>
              <w:ind w:left="0"/>
              <w:jc w:val="center"/>
              <w:rPr>
                <w:rFonts w:cs="Arial"/>
                <w:b/>
                <w:color w:val="1F3864" w:themeColor="accent5" w:themeShade="80"/>
              </w:rPr>
            </w:pPr>
            <w:r w:rsidRPr="00804B2D">
              <w:rPr>
                <w:rFonts w:cs="Arial"/>
                <w:b/>
                <w:color w:val="1F3864" w:themeColor="accent5" w:themeShade="80"/>
              </w:rPr>
              <w:t>Deliverable Number</w:t>
            </w:r>
          </w:p>
        </w:tc>
        <w:tc>
          <w:tcPr>
            <w:tcW w:w="6658" w:type="dxa"/>
            <w:shd w:val="clear" w:color="auto" w:fill="DEEAF6" w:themeFill="accent1" w:themeFillTint="33"/>
            <w:vAlign w:val="center"/>
          </w:tcPr>
          <w:p w14:paraId="38233D28" w14:textId="77777777" w:rsidR="00EF3C59" w:rsidRDefault="00EF3C59" w:rsidP="00D44F26">
            <w:pPr>
              <w:spacing w:after="0"/>
              <w:ind w:left="0"/>
              <w:jc w:val="center"/>
              <w:rPr>
                <w:rFonts w:cs="Arial"/>
                <w:b/>
                <w:color w:val="1F3864" w:themeColor="accent5" w:themeShade="80"/>
              </w:rPr>
            </w:pPr>
            <w:r>
              <w:rPr>
                <w:rFonts w:cs="Arial"/>
                <w:b/>
                <w:color w:val="1F3864" w:themeColor="accent5" w:themeShade="80"/>
              </w:rPr>
              <w:t>Deliverable</w:t>
            </w:r>
          </w:p>
          <w:p w14:paraId="3AEDE918" w14:textId="77777777" w:rsidR="00EF3C59" w:rsidRPr="00804B2D" w:rsidRDefault="00EF3C59" w:rsidP="00D44F26">
            <w:pPr>
              <w:spacing w:after="0"/>
              <w:ind w:left="0"/>
              <w:jc w:val="center"/>
              <w:rPr>
                <w:rFonts w:cs="Arial"/>
                <w:b/>
                <w:color w:val="1F3864" w:themeColor="accent5" w:themeShade="80"/>
              </w:rPr>
            </w:pPr>
            <w:r w:rsidRPr="00804B2D">
              <w:rPr>
                <w:rFonts w:cs="Arial"/>
                <w:b/>
                <w:color w:val="1F3864" w:themeColor="accent5" w:themeShade="80"/>
              </w:rPr>
              <w:t>Name</w:t>
            </w:r>
          </w:p>
        </w:tc>
        <w:tc>
          <w:tcPr>
            <w:tcW w:w="2281" w:type="dxa"/>
            <w:shd w:val="clear" w:color="auto" w:fill="DEEAF6" w:themeFill="accent1" w:themeFillTint="33"/>
            <w:vAlign w:val="center"/>
          </w:tcPr>
          <w:p w14:paraId="54141516" w14:textId="77777777" w:rsidR="00EF3C59" w:rsidRPr="00804B2D" w:rsidRDefault="00EF3C59" w:rsidP="00D44F26">
            <w:pPr>
              <w:spacing w:after="0"/>
              <w:ind w:left="0"/>
              <w:jc w:val="center"/>
              <w:rPr>
                <w:rFonts w:cs="Arial"/>
                <w:b/>
                <w:color w:val="1F3864" w:themeColor="accent5" w:themeShade="80"/>
              </w:rPr>
            </w:pPr>
            <w:r>
              <w:rPr>
                <w:rFonts w:cs="Arial"/>
                <w:b/>
                <w:color w:val="1F3864" w:themeColor="accent5" w:themeShade="80"/>
              </w:rPr>
              <w:t>Fixed Deliverable</w:t>
            </w:r>
            <w:r w:rsidRPr="00804B2D">
              <w:rPr>
                <w:rFonts w:cs="Arial"/>
                <w:b/>
                <w:color w:val="1F3864" w:themeColor="accent5" w:themeShade="80"/>
              </w:rPr>
              <w:t xml:space="preserve"> </w:t>
            </w:r>
            <w:r>
              <w:rPr>
                <w:rFonts w:cs="Arial"/>
                <w:b/>
                <w:color w:val="1F3864" w:themeColor="accent5" w:themeShade="80"/>
              </w:rPr>
              <w:t>Price</w:t>
            </w:r>
          </w:p>
        </w:tc>
      </w:tr>
      <w:tr w:rsidR="00EF3C59" w:rsidRPr="00873442" w14:paraId="7246287A" w14:textId="77777777" w:rsidTr="00D44F26">
        <w:tc>
          <w:tcPr>
            <w:tcW w:w="1743" w:type="dxa"/>
          </w:tcPr>
          <w:p w14:paraId="569CF8C2" w14:textId="77777777" w:rsidR="00EF3C59" w:rsidRPr="00873442" w:rsidRDefault="00EF3C59" w:rsidP="00D44F26">
            <w:pPr>
              <w:ind w:left="0"/>
              <w:rPr>
                <w:highlight w:val="yellow"/>
              </w:rPr>
            </w:pPr>
            <w:r w:rsidRPr="00355C5B">
              <w:t>1</w:t>
            </w:r>
          </w:p>
        </w:tc>
        <w:tc>
          <w:tcPr>
            <w:tcW w:w="6658" w:type="dxa"/>
          </w:tcPr>
          <w:p w14:paraId="5F0012B3" w14:textId="77777777" w:rsidR="00EF3C59" w:rsidRPr="00873442" w:rsidRDefault="00EF3C59" w:rsidP="00D44F26">
            <w:pPr>
              <w:ind w:left="0"/>
              <w:rPr>
                <w:highlight w:val="yellow"/>
              </w:rPr>
            </w:pPr>
            <w:r w:rsidRPr="00355C5B">
              <w:t>Plan and Setup</w:t>
            </w:r>
            <w:r>
              <w:t xml:space="preserve"> Project</w:t>
            </w:r>
          </w:p>
        </w:tc>
        <w:tc>
          <w:tcPr>
            <w:tcW w:w="2281" w:type="dxa"/>
          </w:tcPr>
          <w:p w14:paraId="20DA5045" w14:textId="77777777" w:rsidR="00EF3C59" w:rsidRPr="00873442" w:rsidRDefault="00EF3C59" w:rsidP="00D44F26">
            <w:pPr>
              <w:ind w:left="0"/>
              <w:rPr>
                <w:highlight w:val="yellow"/>
              </w:rPr>
            </w:pPr>
          </w:p>
        </w:tc>
      </w:tr>
      <w:tr w:rsidR="00EF3C59" w:rsidRPr="00873442" w14:paraId="0FFA61F7" w14:textId="77777777" w:rsidTr="00D44F26">
        <w:tc>
          <w:tcPr>
            <w:tcW w:w="1743" w:type="dxa"/>
          </w:tcPr>
          <w:p w14:paraId="088BC01E" w14:textId="77777777" w:rsidR="00EF3C59" w:rsidRPr="00873442" w:rsidRDefault="00EF3C59" w:rsidP="00D44F26">
            <w:pPr>
              <w:ind w:left="0"/>
              <w:rPr>
                <w:highlight w:val="yellow"/>
              </w:rPr>
            </w:pPr>
            <w:r>
              <w:t xml:space="preserve">   1A</w:t>
            </w:r>
          </w:p>
        </w:tc>
        <w:tc>
          <w:tcPr>
            <w:tcW w:w="6658" w:type="dxa"/>
          </w:tcPr>
          <w:p w14:paraId="7455F2AC" w14:textId="77777777" w:rsidR="00EF3C59" w:rsidRPr="00364874" w:rsidRDefault="00EF3C59" w:rsidP="00D44F26">
            <w:pPr>
              <w:ind w:left="256"/>
            </w:pPr>
            <w:r>
              <w:t>Kick-off Meeting Agenda, Presentation, and Minutes</w:t>
            </w:r>
          </w:p>
        </w:tc>
        <w:tc>
          <w:tcPr>
            <w:tcW w:w="2281" w:type="dxa"/>
          </w:tcPr>
          <w:p w14:paraId="204B9E08" w14:textId="77777777" w:rsidR="00EF3C59" w:rsidRPr="00873442" w:rsidRDefault="00EF3C59" w:rsidP="00D44F26">
            <w:pPr>
              <w:ind w:left="0"/>
              <w:rPr>
                <w:highlight w:val="yellow"/>
              </w:rPr>
            </w:pPr>
          </w:p>
        </w:tc>
      </w:tr>
      <w:tr w:rsidR="00EF3C59" w:rsidRPr="00873442" w14:paraId="429A62FA" w14:textId="77777777" w:rsidTr="00D44F26">
        <w:tc>
          <w:tcPr>
            <w:tcW w:w="1743" w:type="dxa"/>
          </w:tcPr>
          <w:p w14:paraId="138CF808" w14:textId="77777777" w:rsidR="00EF3C59" w:rsidRPr="00873442" w:rsidRDefault="00EF3C59" w:rsidP="00D44F26">
            <w:pPr>
              <w:ind w:left="0"/>
              <w:rPr>
                <w:highlight w:val="yellow"/>
              </w:rPr>
            </w:pPr>
            <w:r>
              <w:t xml:space="preserve">   1B</w:t>
            </w:r>
          </w:p>
        </w:tc>
        <w:tc>
          <w:tcPr>
            <w:tcW w:w="6658" w:type="dxa"/>
          </w:tcPr>
          <w:p w14:paraId="22140055" w14:textId="77777777" w:rsidR="00EF3C59" w:rsidRPr="00364874" w:rsidRDefault="00EF3C59" w:rsidP="00D44F26">
            <w:pPr>
              <w:ind w:left="256"/>
            </w:pPr>
            <w:r>
              <w:t>Implementation Strategy</w:t>
            </w:r>
          </w:p>
        </w:tc>
        <w:tc>
          <w:tcPr>
            <w:tcW w:w="2281" w:type="dxa"/>
          </w:tcPr>
          <w:p w14:paraId="745D83E8" w14:textId="77777777" w:rsidR="00EF3C59" w:rsidRPr="00873442" w:rsidRDefault="00EF3C59" w:rsidP="00D44F26">
            <w:pPr>
              <w:ind w:left="0"/>
              <w:rPr>
                <w:highlight w:val="yellow"/>
              </w:rPr>
            </w:pPr>
          </w:p>
        </w:tc>
      </w:tr>
      <w:tr w:rsidR="00EF3C59" w:rsidRPr="00873442" w14:paraId="02C8540A" w14:textId="77777777" w:rsidTr="00D44F26">
        <w:tc>
          <w:tcPr>
            <w:tcW w:w="1743" w:type="dxa"/>
          </w:tcPr>
          <w:p w14:paraId="37D3E8DD" w14:textId="77777777" w:rsidR="00EF3C59" w:rsidRPr="00873442" w:rsidRDefault="00EF3C59" w:rsidP="00D44F26">
            <w:pPr>
              <w:ind w:left="0"/>
              <w:rPr>
                <w:highlight w:val="yellow"/>
              </w:rPr>
            </w:pPr>
            <w:r>
              <w:t xml:space="preserve">   1C</w:t>
            </w:r>
          </w:p>
        </w:tc>
        <w:tc>
          <w:tcPr>
            <w:tcW w:w="6658" w:type="dxa"/>
          </w:tcPr>
          <w:p w14:paraId="57992A2B" w14:textId="1193C357" w:rsidR="00EF3C59" w:rsidRPr="00364874" w:rsidRDefault="001B455F" w:rsidP="00D44F26">
            <w:pPr>
              <w:ind w:left="256"/>
            </w:pPr>
            <w:r>
              <w:t>Project Management Plan</w:t>
            </w:r>
          </w:p>
        </w:tc>
        <w:tc>
          <w:tcPr>
            <w:tcW w:w="2281" w:type="dxa"/>
          </w:tcPr>
          <w:p w14:paraId="29F3A331" w14:textId="77777777" w:rsidR="00EF3C59" w:rsidRPr="00873442" w:rsidRDefault="00EF3C59" w:rsidP="00D44F26">
            <w:pPr>
              <w:ind w:left="0"/>
              <w:rPr>
                <w:highlight w:val="yellow"/>
              </w:rPr>
            </w:pPr>
          </w:p>
        </w:tc>
      </w:tr>
      <w:tr w:rsidR="00EF3C59" w:rsidRPr="00873442" w14:paraId="3336D66A" w14:textId="77777777" w:rsidTr="00D44F26">
        <w:tc>
          <w:tcPr>
            <w:tcW w:w="1743" w:type="dxa"/>
          </w:tcPr>
          <w:p w14:paraId="5A4CB0D0" w14:textId="77777777" w:rsidR="00EF3C59" w:rsidRPr="00873442" w:rsidRDefault="00EF3C59" w:rsidP="00D44F26">
            <w:pPr>
              <w:ind w:left="0"/>
              <w:rPr>
                <w:highlight w:val="yellow"/>
              </w:rPr>
            </w:pPr>
            <w:r>
              <w:t xml:space="preserve">   1D</w:t>
            </w:r>
          </w:p>
        </w:tc>
        <w:tc>
          <w:tcPr>
            <w:tcW w:w="6658" w:type="dxa"/>
          </w:tcPr>
          <w:p w14:paraId="4B2809B6" w14:textId="1789AECB" w:rsidR="00EF3C59" w:rsidRPr="00364874" w:rsidRDefault="001B455F" w:rsidP="00D44F26">
            <w:pPr>
              <w:ind w:left="256"/>
            </w:pPr>
            <w:r>
              <w:t xml:space="preserve">Detailed </w:t>
            </w:r>
            <w:r w:rsidR="00EF3C59">
              <w:t>WBS and</w:t>
            </w:r>
            <w:r w:rsidR="00EF3C59" w:rsidRPr="005363D2">
              <w:t xml:space="preserve"> </w:t>
            </w:r>
            <w:r w:rsidR="002A57F8">
              <w:t>IMS</w:t>
            </w:r>
          </w:p>
        </w:tc>
        <w:tc>
          <w:tcPr>
            <w:tcW w:w="2281" w:type="dxa"/>
          </w:tcPr>
          <w:p w14:paraId="5A09560B" w14:textId="77777777" w:rsidR="00EF3C59" w:rsidRPr="00873442" w:rsidRDefault="00EF3C59" w:rsidP="00D44F26">
            <w:pPr>
              <w:ind w:left="0"/>
              <w:rPr>
                <w:highlight w:val="yellow"/>
              </w:rPr>
            </w:pPr>
          </w:p>
        </w:tc>
      </w:tr>
      <w:tr w:rsidR="00EF3C59" w:rsidRPr="00873442" w14:paraId="2A3A5571" w14:textId="77777777" w:rsidTr="00D44F26">
        <w:tc>
          <w:tcPr>
            <w:tcW w:w="1743" w:type="dxa"/>
          </w:tcPr>
          <w:p w14:paraId="59CC61FE" w14:textId="77777777" w:rsidR="00EF3C59" w:rsidRDefault="00EF3C59" w:rsidP="00D44F26">
            <w:pPr>
              <w:ind w:left="0"/>
            </w:pPr>
            <w:r>
              <w:t xml:space="preserve">   1E</w:t>
            </w:r>
          </w:p>
        </w:tc>
        <w:tc>
          <w:tcPr>
            <w:tcW w:w="6658" w:type="dxa"/>
          </w:tcPr>
          <w:p w14:paraId="10D8440A" w14:textId="77777777" w:rsidR="00EF3C59" w:rsidRDefault="00EF3C59" w:rsidP="00D44F26">
            <w:pPr>
              <w:ind w:left="256"/>
            </w:pPr>
            <w:r w:rsidRPr="005363D2">
              <w:t>Staffing Plan</w:t>
            </w:r>
          </w:p>
        </w:tc>
        <w:tc>
          <w:tcPr>
            <w:tcW w:w="2281" w:type="dxa"/>
          </w:tcPr>
          <w:p w14:paraId="53B6E349" w14:textId="77777777" w:rsidR="00EF3C59" w:rsidRPr="00873442" w:rsidRDefault="00EF3C59" w:rsidP="00D44F26">
            <w:pPr>
              <w:ind w:left="0"/>
              <w:rPr>
                <w:highlight w:val="yellow"/>
              </w:rPr>
            </w:pPr>
          </w:p>
        </w:tc>
      </w:tr>
      <w:tr w:rsidR="00EF3C59" w:rsidRPr="00873442" w14:paraId="741125B2" w14:textId="77777777" w:rsidTr="00D44F26">
        <w:tc>
          <w:tcPr>
            <w:tcW w:w="1743" w:type="dxa"/>
          </w:tcPr>
          <w:p w14:paraId="1AEC9570" w14:textId="77777777" w:rsidR="00EF3C59" w:rsidRDefault="00EF3C59" w:rsidP="00D44F26">
            <w:pPr>
              <w:ind w:left="0"/>
            </w:pPr>
            <w:r>
              <w:t xml:space="preserve">   1F</w:t>
            </w:r>
          </w:p>
        </w:tc>
        <w:tc>
          <w:tcPr>
            <w:tcW w:w="6658" w:type="dxa"/>
          </w:tcPr>
          <w:p w14:paraId="012DA4CF" w14:textId="77777777" w:rsidR="00EF3C59" w:rsidRDefault="00EF3C59" w:rsidP="00D44F26">
            <w:pPr>
              <w:ind w:left="256"/>
            </w:pPr>
            <w:r>
              <w:t>Test Plan</w:t>
            </w:r>
          </w:p>
        </w:tc>
        <w:tc>
          <w:tcPr>
            <w:tcW w:w="2281" w:type="dxa"/>
          </w:tcPr>
          <w:p w14:paraId="4F1858BD" w14:textId="77777777" w:rsidR="00EF3C59" w:rsidRPr="00873442" w:rsidRDefault="00EF3C59" w:rsidP="00D44F26">
            <w:pPr>
              <w:ind w:left="0"/>
              <w:rPr>
                <w:highlight w:val="yellow"/>
              </w:rPr>
            </w:pPr>
          </w:p>
        </w:tc>
      </w:tr>
      <w:tr w:rsidR="00EF3C59" w:rsidRPr="00873442" w14:paraId="68F26A03" w14:textId="77777777" w:rsidTr="00D44F26">
        <w:tc>
          <w:tcPr>
            <w:tcW w:w="1743" w:type="dxa"/>
          </w:tcPr>
          <w:p w14:paraId="50E01D91" w14:textId="77777777" w:rsidR="00EF3C59" w:rsidRDefault="00EF3C59" w:rsidP="00D44F26">
            <w:pPr>
              <w:ind w:left="0"/>
            </w:pPr>
            <w:r>
              <w:t xml:space="preserve">   1G</w:t>
            </w:r>
          </w:p>
        </w:tc>
        <w:tc>
          <w:tcPr>
            <w:tcW w:w="6658" w:type="dxa"/>
          </w:tcPr>
          <w:p w14:paraId="40DB1FEA" w14:textId="77777777" w:rsidR="00EF3C59" w:rsidRDefault="00EF3C59" w:rsidP="00D44F26">
            <w:pPr>
              <w:ind w:left="256"/>
            </w:pPr>
            <w:r>
              <w:t>Lessons Learned Collection Process</w:t>
            </w:r>
          </w:p>
        </w:tc>
        <w:tc>
          <w:tcPr>
            <w:tcW w:w="2281" w:type="dxa"/>
          </w:tcPr>
          <w:p w14:paraId="31641E7D" w14:textId="77777777" w:rsidR="00EF3C59" w:rsidRPr="00873442" w:rsidRDefault="00EF3C59" w:rsidP="00D44F26">
            <w:pPr>
              <w:ind w:left="0"/>
              <w:rPr>
                <w:highlight w:val="yellow"/>
              </w:rPr>
            </w:pPr>
          </w:p>
        </w:tc>
      </w:tr>
      <w:tr w:rsidR="00561C36" w:rsidRPr="00873442" w14:paraId="50615D92" w14:textId="77777777" w:rsidTr="000A6B63">
        <w:tc>
          <w:tcPr>
            <w:tcW w:w="1743" w:type="dxa"/>
          </w:tcPr>
          <w:p w14:paraId="7549A2CD" w14:textId="77777777" w:rsidR="00561C36" w:rsidRPr="00873442" w:rsidRDefault="00561C36" w:rsidP="000A6B63">
            <w:pPr>
              <w:ind w:left="0"/>
              <w:rPr>
                <w:highlight w:val="yellow"/>
              </w:rPr>
            </w:pPr>
            <w:r w:rsidRPr="00D843BF">
              <w:t>4</w:t>
            </w:r>
          </w:p>
        </w:tc>
        <w:tc>
          <w:tcPr>
            <w:tcW w:w="6658" w:type="dxa"/>
          </w:tcPr>
          <w:p w14:paraId="24F78916" w14:textId="77777777" w:rsidR="00561C36" w:rsidRPr="00873442" w:rsidRDefault="00561C36" w:rsidP="000A6B63">
            <w:pPr>
              <w:ind w:left="0"/>
              <w:rPr>
                <w:highlight w:val="yellow"/>
              </w:rPr>
            </w:pPr>
            <w:r>
              <w:t>Assess Infrastructure</w:t>
            </w:r>
          </w:p>
        </w:tc>
        <w:tc>
          <w:tcPr>
            <w:tcW w:w="2281" w:type="dxa"/>
          </w:tcPr>
          <w:p w14:paraId="4752D926" w14:textId="77777777" w:rsidR="00561C36" w:rsidRPr="00873442" w:rsidRDefault="00561C36" w:rsidP="000A6B63">
            <w:pPr>
              <w:ind w:left="0"/>
              <w:rPr>
                <w:highlight w:val="yellow"/>
              </w:rPr>
            </w:pPr>
          </w:p>
        </w:tc>
      </w:tr>
      <w:tr w:rsidR="00561C36" w:rsidRPr="00873442" w14:paraId="3D141A47" w14:textId="77777777" w:rsidTr="000A6B63">
        <w:tc>
          <w:tcPr>
            <w:tcW w:w="1743" w:type="dxa"/>
          </w:tcPr>
          <w:p w14:paraId="424F90EA" w14:textId="77777777" w:rsidR="00561C36" w:rsidRPr="00873442" w:rsidRDefault="00561C36" w:rsidP="000A6B63">
            <w:pPr>
              <w:ind w:left="0"/>
              <w:rPr>
                <w:highlight w:val="yellow"/>
              </w:rPr>
            </w:pPr>
            <w:r w:rsidRPr="00D843BF">
              <w:t xml:space="preserve">   4A</w:t>
            </w:r>
          </w:p>
        </w:tc>
        <w:tc>
          <w:tcPr>
            <w:tcW w:w="6658" w:type="dxa"/>
          </w:tcPr>
          <w:p w14:paraId="017749E9" w14:textId="77777777" w:rsidR="00561C36" w:rsidRPr="00364874" w:rsidRDefault="00561C36" w:rsidP="000A6B63">
            <w:pPr>
              <w:ind w:left="256"/>
            </w:pPr>
            <w:r>
              <w:t>Infrastructure Report</w:t>
            </w:r>
          </w:p>
        </w:tc>
        <w:tc>
          <w:tcPr>
            <w:tcW w:w="2281" w:type="dxa"/>
          </w:tcPr>
          <w:p w14:paraId="585B2E82" w14:textId="77777777" w:rsidR="00561C36" w:rsidRPr="00873442" w:rsidRDefault="00561C36" w:rsidP="000A6B63">
            <w:pPr>
              <w:ind w:left="0"/>
              <w:rPr>
                <w:highlight w:val="yellow"/>
              </w:rPr>
            </w:pPr>
          </w:p>
        </w:tc>
      </w:tr>
      <w:tr w:rsidR="00EF3C59" w:rsidRPr="00873442" w14:paraId="1FCC72E7" w14:textId="77777777" w:rsidTr="00D44F26">
        <w:tc>
          <w:tcPr>
            <w:tcW w:w="1743" w:type="dxa"/>
          </w:tcPr>
          <w:p w14:paraId="208868CF" w14:textId="77777777" w:rsidR="00EF3C59" w:rsidRDefault="00EF3C59" w:rsidP="00D44F26">
            <w:pPr>
              <w:ind w:left="0"/>
            </w:pPr>
            <w:r>
              <w:t>14</w:t>
            </w:r>
          </w:p>
        </w:tc>
        <w:tc>
          <w:tcPr>
            <w:tcW w:w="6658" w:type="dxa"/>
          </w:tcPr>
          <w:p w14:paraId="2C298D90" w14:textId="77777777" w:rsidR="00EF3C59" w:rsidRDefault="00EF3C59" w:rsidP="00D44F26">
            <w:pPr>
              <w:ind w:left="0"/>
            </w:pPr>
            <w:r>
              <w:t>Maintenance and Operations Plan</w:t>
            </w:r>
          </w:p>
        </w:tc>
        <w:tc>
          <w:tcPr>
            <w:tcW w:w="2281" w:type="dxa"/>
          </w:tcPr>
          <w:p w14:paraId="5128A846" w14:textId="77777777" w:rsidR="00EF3C59" w:rsidRPr="00873442" w:rsidRDefault="00EF3C59" w:rsidP="00D44F26">
            <w:pPr>
              <w:ind w:left="0"/>
              <w:rPr>
                <w:highlight w:val="yellow"/>
              </w:rPr>
            </w:pPr>
          </w:p>
        </w:tc>
      </w:tr>
      <w:tr w:rsidR="00EF3C59" w:rsidRPr="00873442" w14:paraId="1C3F4F40" w14:textId="77777777" w:rsidTr="00D44F26">
        <w:tc>
          <w:tcPr>
            <w:tcW w:w="1743" w:type="dxa"/>
          </w:tcPr>
          <w:p w14:paraId="0160C9DC" w14:textId="77777777" w:rsidR="00EF3C59" w:rsidRDefault="00EF3C59" w:rsidP="00D44F26">
            <w:pPr>
              <w:ind w:left="0"/>
            </w:pPr>
            <w:r>
              <w:t xml:space="preserve">   14A</w:t>
            </w:r>
          </w:p>
        </w:tc>
        <w:tc>
          <w:tcPr>
            <w:tcW w:w="6658" w:type="dxa"/>
          </w:tcPr>
          <w:p w14:paraId="792CAA66" w14:textId="77777777" w:rsidR="00EF3C59" w:rsidRDefault="00EF3C59" w:rsidP="00D44F26">
            <w:pPr>
              <w:ind w:left="256"/>
            </w:pPr>
            <w:r>
              <w:t>M&amp;O Plan</w:t>
            </w:r>
          </w:p>
        </w:tc>
        <w:tc>
          <w:tcPr>
            <w:tcW w:w="2281" w:type="dxa"/>
          </w:tcPr>
          <w:p w14:paraId="41921513" w14:textId="77777777" w:rsidR="00EF3C59" w:rsidRPr="00873442" w:rsidRDefault="00EF3C59" w:rsidP="00D44F26">
            <w:pPr>
              <w:ind w:left="0"/>
              <w:rPr>
                <w:highlight w:val="yellow"/>
              </w:rPr>
            </w:pPr>
          </w:p>
        </w:tc>
      </w:tr>
      <w:tr w:rsidR="007E441C" w:rsidRPr="00873442" w14:paraId="5C943DF3" w14:textId="77777777" w:rsidTr="00D44F26">
        <w:tc>
          <w:tcPr>
            <w:tcW w:w="1743" w:type="dxa"/>
          </w:tcPr>
          <w:p w14:paraId="07388505" w14:textId="43721372" w:rsidR="007E441C" w:rsidRDefault="004832F9" w:rsidP="00D44F26">
            <w:pPr>
              <w:ind w:left="0"/>
            </w:pPr>
            <w:r>
              <w:t xml:space="preserve">   14B</w:t>
            </w:r>
          </w:p>
        </w:tc>
        <w:tc>
          <w:tcPr>
            <w:tcW w:w="6658" w:type="dxa"/>
          </w:tcPr>
          <w:p w14:paraId="1E53C797" w14:textId="3E1971FD" w:rsidR="007E441C" w:rsidRDefault="007E441C" w:rsidP="00D44F26">
            <w:pPr>
              <w:ind w:left="256"/>
            </w:pPr>
            <w:r>
              <w:t>Monthly Operations Status Reports</w:t>
            </w:r>
          </w:p>
        </w:tc>
        <w:tc>
          <w:tcPr>
            <w:tcW w:w="2281" w:type="dxa"/>
          </w:tcPr>
          <w:p w14:paraId="0F1CBD3B" w14:textId="77777777" w:rsidR="007E441C" w:rsidRPr="00873442" w:rsidRDefault="007E441C" w:rsidP="00D44F26">
            <w:pPr>
              <w:ind w:left="0"/>
              <w:rPr>
                <w:highlight w:val="yellow"/>
              </w:rPr>
            </w:pPr>
          </w:p>
        </w:tc>
      </w:tr>
      <w:tr w:rsidR="00EF3C59" w:rsidRPr="00873442" w14:paraId="43C6A4AD" w14:textId="77777777" w:rsidTr="00D44F26">
        <w:tc>
          <w:tcPr>
            <w:tcW w:w="1743" w:type="dxa"/>
          </w:tcPr>
          <w:p w14:paraId="43CFF974" w14:textId="77777777" w:rsidR="00EF3C59" w:rsidRDefault="00EF3C59" w:rsidP="00D44F26">
            <w:pPr>
              <w:ind w:left="0"/>
            </w:pPr>
            <w:r>
              <w:t>15</w:t>
            </w:r>
          </w:p>
        </w:tc>
        <w:tc>
          <w:tcPr>
            <w:tcW w:w="6658" w:type="dxa"/>
          </w:tcPr>
          <w:p w14:paraId="1CA1C19E" w14:textId="77777777" w:rsidR="00EF3C59" w:rsidRDefault="00EF3C59" w:rsidP="00D44F26">
            <w:pPr>
              <w:ind w:left="0"/>
            </w:pPr>
            <w:r>
              <w:t>Additional Implementation Support</w:t>
            </w:r>
          </w:p>
        </w:tc>
        <w:tc>
          <w:tcPr>
            <w:tcW w:w="2281" w:type="dxa"/>
          </w:tcPr>
          <w:p w14:paraId="048D8226" w14:textId="77777777" w:rsidR="00EF3C59" w:rsidRPr="00873442" w:rsidRDefault="00EF3C59" w:rsidP="00D44F26">
            <w:pPr>
              <w:ind w:left="0"/>
              <w:rPr>
                <w:highlight w:val="yellow"/>
              </w:rPr>
            </w:pPr>
          </w:p>
        </w:tc>
      </w:tr>
      <w:tr w:rsidR="00EF3C59" w:rsidRPr="00873442" w14:paraId="09CEE30D" w14:textId="77777777" w:rsidTr="00D44F26">
        <w:tc>
          <w:tcPr>
            <w:tcW w:w="1743" w:type="dxa"/>
          </w:tcPr>
          <w:p w14:paraId="36A85584" w14:textId="77777777" w:rsidR="00EF3C59" w:rsidRDefault="00EF3C59" w:rsidP="00D44F26">
            <w:pPr>
              <w:ind w:left="0"/>
            </w:pPr>
            <w:r>
              <w:t xml:space="preserve">   15A</w:t>
            </w:r>
          </w:p>
        </w:tc>
        <w:tc>
          <w:tcPr>
            <w:tcW w:w="6658" w:type="dxa"/>
          </w:tcPr>
          <w:p w14:paraId="72E58C88" w14:textId="77777777" w:rsidR="00EF3C59" w:rsidRDefault="00EF3C59" w:rsidP="00D44F26">
            <w:pPr>
              <w:ind w:left="256"/>
            </w:pPr>
            <w:r w:rsidRPr="009C768C">
              <w:t xml:space="preserve">Additional </w:t>
            </w:r>
            <w:r>
              <w:t xml:space="preserve">Implementation </w:t>
            </w:r>
            <w:r w:rsidRPr="009C768C">
              <w:t>Support</w:t>
            </w:r>
          </w:p>
        </w:tc>
        <w:tc>
          <w:tcPr>
            <w:tcW w:w="2281" w:type="dxa"/>
          </w:tcPr>
          <w:p w14:paraId="6B4D269A" w14:textId="77777777" w:rsidR="00EF3C59" w:rsidRPr="00873442" w:rsidRDefault="00EF3C59" w:rsidP="00D44F26">
            <w:pPr>
              <w:ind w:left="0"/>
              <w:rPr>
                <w:highlight w:val="yellow"/>
              </w:rPr>
            </w:pPr>
          </w:p>
        </w:tc>
      </w:tr>
      <w:tr w:rsidR="00EF3C59" w:rsidRPr="00873442" w14:paraId="19CEA25B" w14:textId="77777777" w:rsidTr="00D44F26">
        <w:tc>
          <w:tcPr>
            <w:tcW w:w="1743" w:type="dxa"/>
          </w:tcPr>
          <w:p w14:paraId="60E91BFF" w14:textId="77777777" w:rsidR="00EF3C59" w:rsidRDefault="00EF3C59" w:rsidP="00D44F26">
            <w:pPr>
              <w:ind w:left="0"/>
            </w:pPr>
            <w:r>
              <w:t>16</w:t>
            </w:r>
          </w:p>
        </w:tc>
        <w:tc>
          <w:tcPr>
            <w:tcW w:w="6658" w:type="dxa"/>
          </w:tcPr>
          <w:p w14:paraId="69E40144" w14:textId="77777777" w:rsidR="00EF3C59" w:rsidRDefault="00EF3C59" w:rsidP="00D44F26">
            <w:pPr>
              <w:ind w:left="0"/>
            </w:pPr>
            <w:r>
              <w:t>Annual Software Maintenance and Support Subscription</w:t>
            </w:r>
          </w:p>
        </w:tc>
        <w:tc>
          <w:tcPr>
            <w:tcW w:w="2281" w:type="dxa"/>
          </w:tcPr>
          <w:p w14:paraId="6B1182AA" w14:textId="77777777" w:rsidR="00EF3C59" w:rsidRPr="00873442" w:rsidRDefault="00EF3C59" w:rsidP="00D44F26">
            <w:pPr>
              <w:ind w:left="0"/>
              <w:rPr>
                <w:highlight w:val="yellow"/>
              </w:rPr>
            </w:pPr>
          </w:p>
        </w:tc>
      </w:tr>
      <w:tr w:rsidR="00EF3C59" w:rsidRPr="00873442" w14:paraId="509780D2" w14:textId="77777777" w:rsidTr="00D44F26">
        <w:tc>
          <w:tcPr>
            <w:tcW w:w="1743" w:type="dxa"/>
          </w:tcPr>
          <w:p w14:paraId="2737346F" w14:textId="77777777" w:rsidR="00EF3C59" w:rsidRDefault="00EF3C59" w:rsidP="00D44F26">
            <w:pPr>
              <w:ind w:left="0"/>
            </w:pPr>
            <w:r>
              <w:t xml:space="preserve">   16A</w:t>
            </w:r>
          </w:p>
        </w:tc>
        <w:tc>
          <w:tcPr>
            <w:tcW w:w="6658" w:type="dxa"/>
          </w:tcPr>
          <w:p w14:paraId="0BE342B8" w14:textId="77777777" w:rsidR="00EF3C59" w:rsidRPr="00355C5B" w:rsidRDefault="00EF3C59" w:rsidP="00D44F26">
            <w:pPr>
              <w:ind w:left="256"/>
            </w:pPr>
            <w:r>
              <w:t>Annual Software Maintenance Support and Subscription</w:t>
            </w:r>
          </w:p>
        </w:tc>
        <w:tc>
          <w:tcPr>
            <w:tcW w:w="2281" w:type="dxa"/>
          </w:tcPr>
          <w:p w14:paraId="28834FC2" w14:textId="77777777" w:rsidR="00EF3C59" w:rsidRPr="00873442" w:rsidRDefault="00EF3C59" w:rsidP="00D44F26">
            <w:pPr>
              <w:ind w:left="0"/>
              <w:rPr>
                <w:highlight w:val="yellow"/>
              </w:rPr>
            </w:pPr>
          </w:p>
        </w:tc>
      </w:tr>
      <w:tr w:rsidR="00A861E3" w:rsidRPr="00873442" w14:paraId="1BDA87A0" w14:textId="77777777" w:rsidTr="001758DD">
        <w:trPr>
          <w:cantSplit/>
        </w:trPr>
        <w:tc>
          <w:tcPr>
            <w:tcW w:w="1743" w:type="dxa"/>
          </w:tcPr>
          <w:p w14:paraId="16F2E6C3" w14:textId="77777777" w:rsidR="00A861E3" w:rsidRDefault="00A861E3" w:rsidP="001758DD">
            <w:pPr>
              <w:ind w:left="0"/>
            </w:pPr>
            <w:r>
              <w:t>17</w:t>
            </w:r>
          </w:p>
        </w:tc>
        <w:tc>
          <w:tcPr>
            <w:tcW w:w="6658" w:type="dxa"/>
          </w:tcPr>
          <w:p w14:paraId="7F8B78E3" w14:textId="77777777" w:rsidR="00A861E3" w:rsidRDefault="00A861E3" w:rsidP="001758DD">
            <w:pPr>
              <w:ind w:left="0"/>
            </w:pPr>
            <w:r>
              <w:t>Maintain Effective Cyber Security</w:t>
            </w:r>
          </w:p>
        </w:tc>
        <w:tc>
          <w:tcPr>
            <w:tcW w:w="2281" w:type="dxa"/>
          </w:tcPr>
          <w:p w14:paraId="24A9A98F" w14:textId="77777777" w:rsidR="00A861E3" w:rsidRPr="00873442" w:rsidRDefault="00A861E3" w:rsidP="001758DD">
            <w:pPr>
              <w:ind w:left="0"/>
              <w:rPr>
                <w:highlight w:val="yellow"/>
              </w:rPr>
            </w:pPr>
          </w:p>
        </w:tc>
      </w:tr>
      <w:tr w:rsidR="00A861E3" w:rsidRPr="00873442" w14:paraId="6FFF5E96" w14:textId="77777777" w:rsidTr="001758DD">
        <w:trPr>
          <w:cantSplit/>
        </w:trPr>
        <w:tc>
          <w:tcPr>
            <w:tcW w:w="1743" w:type="dxa"/>
          </w:tcPr>
          <w:p w14:paraId="2991D334" w14:textId="77777777" w:rsidR="00A861E3" w:rsidRDefault="00A861E3" w:rsidP="001758DD">
            <w:pPr>
              <w:ind w:left="0"/>
            </w:pPr>
            <w:r>
              <w:t xml:space="preserve">   17A</w:t>
            </w:r>
          </w:p>
        </w:tc>
        <w:tc>
          <w:tcPr>
            <w:tcW w:w="6658" w:type="dxa"/>
          </w:tcPr>
          <w:p w14:paraId="5A602FB5" w14:textId="77777777" w:rsidR="00A861E3" w:rsidRDefault="00A861E3" w:rsidP="001758DD">
            <w:pPr>
              <w:ind w:left="256"/>
            </w:pPr>
            <w:r>
              <w:t>FedRAMP ATO</w:t>
            </w:r>
          </w:p>
        </w:tc>
        <w:tc>
          <w:tcPr>
            <w:tcW w:w="2281" w:type="dxa"/>
          </w:tcPr>
          <w:p w14:paraId="371306F9" w14:textId="77777777" w:rsidR="00A861E3" w:rsidRPr="00873442" w:rsidRDefault="00A861E3" w:rsidP="001758DD">
            <w:pPr>
              <w:ind w:left="0"/>
              <w:rPr>
                <w:highlight w:val="yellow"/>
              </w:rPr>
            </w:pPr>
          </w:p>
        </w:tc>
      </w:tr>
      <w:tr w:rsidR="00A861E3" w:rsidRPr="00873442" w14:paraId="25257786" w14:textId="77777777" w:rsidTr="001758DD">
        <w:trPr>
          <w:cantSplit/>
        </w:trPr>
        <w:tc>
          <w:tcPr>
            <w:tcW w:w="1743" w:type="dxa"/>
          </w:tcPr>
          <w:p w14:paraId="32DCA26B" w14:textId="77777777" w:rsidR="00A861E3" w:rsidRDefault="00A861E3" w:rsidP="001758DD">
            <w:pPr>
              <w:ind w:left="0"/>
            </w:pPr>
            <w:r>
              <w:t xml:space="preserve">   17B</w:t>
            </w:r>
          </w:p>
        </w:tc>
        <w:tc>
          <w:tcPr>
            <w:tcW w:w="6658" w:type="dxa"/>
          </w:tcPr>
          <w:p w14:paraId="554FBB83" w14:textId="77777777" w:rsidR="00A861E3" w:rsidRDefault="00A861E3" w:rsidP="001758DD">
            <w:pPr>
              <w:ind w:left="256"/>
            </w:pPr>
            <w:r>
              <w:t>Security Assessment Plan</w:t>
            </w:r>
          </w:p>
        </w:tc>
        <w:tc>
          <w:tcPr>
            <w:tcW w:w="2281" w:type="dxa"/>
          </w:tcPr>
          <w:p w14:paraId="6ED965DB" w14:textId="77777777" w:rsidR="00A861E3" w:rsidRPr="00873442" w:rsidRDefault="00A861E3" w:rsidP="001758DD">
            <w:pPr>
              <w:ind w:left="0"/>
              <w:rPr>
                <w:highlight w:val="yellow"/>
              </w:rPr>
            </w:pPr>
          </w:p>
        </w:tc>
      </w:tr>
      <w:tr w:rsidR="00A861E3" w:rsidRPr="00873442" w14:paraId="2E7EA3D4" w14:textId="77777777" w:rsidTr="001758DD">
        <w:trPr>
          <w:cantSplit/>
        </w:trPr>
        <w:tc>
          <w:tcPr>
            <w:tcW w:w="1743" w:type="dxa"/>
          </w:tcPr>
          <w:p w14:paraId="296717FD" w14:textId="77777777" w:rsidR="00A861E3" w:rsidRDefault="00A861E3" w:rsidP="001758DD">
            <w:pPr>
              <w:ind w:left="0"/>
            </w:pPr>
            <w:r>
              <w:t xml:space="preserve">   17C</w:t>
            </w:r>
          </w:p>
        </w:tc>
        <w:tc>
          <w:tcPr>
            <w:tcW w:w="6658" w:type="dxa"/>
          </w:tcPr>
          <w:p w14:paraId="7310033F" w14:textId="77777777" w:rsidR="00A861E3" w:rsidRDefault="00A861E3" w:rsidP="001758DD">
            <w:pPr>
              <w:ind w:left="256"/>
            </w:pPr>
            <w:r>
              <w:t>Incident Response Plan</w:t>
            </w:r>
          </w:p>
        </w:tc>
        <w:tc>
          <w:tcPr>
            <w:tcW w:w="2281" w:type="dxa"/>
          </w:tcPr>
          <w:p w14:paraId="48598CE2" w14:textId="77777777" w:rsidR="00A861E3" w:rsidRPr="00873442" w:rsidRDefault="00A861E3" w:rsidP="001758DD">
            <w:pPr>
              <w:ind w:left="0"/>
              <w:rPr>
                <w:highlight w:val="yellow"/>
              </w:rPr>
            </w:pPr>
          </w:p>
        </w:tc>
      </w:tr>
      <w:tr w:rsidR="00A861E3" w:rsidRPr="00873442" w14:paraId="0F0367AF" w14:textId="77777777" w:rsidTr="001758DD">
        <w:trPr>
          <w:cantSplit/>
        </w:trPr>
        <w:tc>
          <w:tcPr>
            <w:tcW w:w="1743" w:type="dxa"/>
          </w:tcPr>
          <w:p w14:paraId="4B5FBACE" w14:textId="77777777" w:rsidR="00A861E3" w:rsidRDefault="00A861E3" w:rsidP="001758DD">
            <w:pPr>
              <w:ind w:left="0"/>
            </w:pPr>
            <w:r>
              <w:t xml:space="preserve">   17D</w:t>
            </w:r>
          </w:p>
        </w:tc>
        <w:tc>
          <w:tcPr>
            <w:tcW w:w="6658" w:type="dxa"/>
          </w:tcPr>
          <w:p w14:paraId="328E52EB" w14:textId="77777777" w:rsidR="00A861E3" w:rsidRDefault="00A861E3" w:rsidP="001758DD">
            <w:pPr>
              <w:ind w:left="256"/>
            </w:pPr>
            <w:r>
              <w:t>System Security Plan</w:t>
            </w:r>
          </w:p>
        </w:tc>
        <w:tc>
          <w:tcPr>
            <w:tcW w:w="2281" w:type="dxa"/>
          </w:tcPr>
          <w:p w14:paraId="190FD24C" w14:textId="77777777" w:rsidR="00A861E3" w:rsidRPr="00873442" w:rsidRDefault="00A861E3" w:rsidP="001758DD">
            <w:pPr>
              <w:ind w:left="0"/>
              <w:rPr>
                <w:highlight w:val="yellow"/>
              </w:rPr>
            </w:pPr>
          </w:p>
        </w:tc>
      </w:tr>
      <w:tr w:rsidR="00C16982" w:rsidRPr="00873442" w14:paraId="54920973" w14:textId="77777777" w:rsidTr="0095449A">
        <w:trPr>
          <w:cantSplit/>
        </w:trPr>
        <w:tc>
          <w:tcPr>
            <w:tcW w:w="1743" w:type="dxa"/>
          </w:tcPr>
          <w:p w14:paraId="55FD633C" w14:textId="77777777" w:rsidR="00C16982" w:rsidRDefault="00C16982" w:rsidP="0095449A">
            <w:pPr>
              <w:ind w:left="0"/>
            </w:pPr>
            <w:r>
              <w:t xml:space="preserve">   17E</w:t>
            </w:r>
          </w:p>
        </w:tc>
        <w:tc>
          <w:tcPr>
            <w:tcW w:w="6658" w:type="dxa"/>
          </w:tcPr>
          <w:p w14:paraId="74D4DB4C" w14:textId="77777777" w:rsidR="00C16982" w:rsidRDefault="00C16982" w:rsidP="0095449A">
            <w:pPr>
              <w:ind w:left="256"/>
            </w:pPr>
            <w:r>
              <w:t>Implemented Security Plans</w:t>
            </w:r>
          </w:p>
        </w:tc>
        <w:tc>
          <w:tcPr>
            <w:tcW w:w="2281" w:type="dxa"/>
          </w:tcPr>
          <w:p w14:paraId="24EDDF08" w14:textId="77777777" w:rsidR="00C16982" w:rsidRPr="00873442" w:rsidRDefault="00C16982" w:rsidP="0095449A">
            <w:pPr>
              <w:ind w:left="0"/>
              <w:rPr>
                <w:highlight w:val="yellow"/>
              </w:rPr>
            </w:pPr>
          </w:p>
        </w:tc>
      </w:tr>
      <w:tr w:rsidR="005309BF" w:rsidRPr="00873442" w14:paraId="36A86D41" w14:textId="77777777" w:rsidTr="0033782E">
        <w:trPr>
          <w:cantSplit/>
        </w:trPr>
        <w:tc>
          <w:tcPr>
            <w:tcW w:w="1743" w:type="dxa"/>
          </w:tcPr>
          <w:p w14:paraId="7F5C995D" w14:textId="0D33F2EA" w:rsidR="005309BF" w:rsidRDefault="005309BF" w:rsidP="0033782E">
            <w:pPr>
              <w:ind w:left="0"/>
            </w:pPr>
            <w:r>
              <w:lastRenderedPageBreak/>
              <w:t>1</w:t>
            </w:r>
            <w:r w:rsidR="00E63C4A">
              <w:t>8</w:t>
            </w:r>
          </w:p>
        </w:tc>
        <w:tc>
          <w:tcPr>
            <w:tcW w:w="6658" w:type="dxa"/>
          </w:tcPr>
          <w:p w14:paraId="1E747135" w14:textId="77777777" w:rsidR="005309BF" w:rsidRDefault="005309BF" w:rsidP="0033782E">
            <w:pPr>
              <w:ind w:left="0"/>
            </w:pPr>
            <w:r>
              <w:t>End of Contract Services</w:t>
            </w:r>
          </w:p>
        </w:tc>
        <w:tc>
          <w:tcPr>
            <w:tcW w:w="2281" w:type="dxa"/>
          </w:tcPr>
          <w:p w14:paraId="7427D1CC" w14:textId="77777777" w:rsidR="005309BF" w:rsidRPr="00873442" w:rsidRDefault="005309BF" w:rsidP="0033782E">
            <w:pPr>
              <w:ind w:left="0"/>
              <w:rPr>
                <w:highlight w:val="yellow"/>
              </w:rPr>
            </w:pPr>
          </w:p>
        </w:tc>
      </w:tr>
      <w:tr w:rsidR="005309BF" w:rsidRPr="00873442" w14:paraId="66510F3A" w14:textId="77777777" w:rsidTr="0033782E">
        <w:trPr>
          <w:cantSplit/>
        </w:trPr>
        <w:tc>
          <w:tcPr>
            <w:tcW w:w="1743" w:type="dxa"/>
          </w:tcPr>
          <w:p w14:paraId="7674310C" w14:textId="572466CE" w:rsidR="005309BF" w:rsidRDefault="005309BF" w:rsidP="0033782E">
            <w:pPr>
              <w:ind w:left="0"/>
            </w:pPr>
            <w:r>
              <w:t xml:space="preserve">   1</w:t>
            </w:r>
            <w:r w:rsidR="00E63C4A">
              <w:t>8</w:t>
            </w:r>
            <w:r>
              <w:t>A</w:t>
            </w:r>
          </w:p>
        </w:tc>
        <w:tc>
          <w:tcPr>
            <w:tcW w:w="6658" w:type="dxa"/>
          </w:tcPr>
          <w:p w14:paraId="628AA2C7" w14:textId="77777777" w:rsidR="005309BF" w:rsidRDefault="005309BF" w:rsidP="0033782E">
            <w:pPr>
              <w:ind w:left="256"/>
            </w:pPr>
            <w:r>
              <w:t>Transition Plan</w:t>
            </w:r>
          </w:p>
        </w:tc>
        <w:tc>
          <w:tcPr>
            <w:tcW w:w="2281" w:type="dxa"/>
          </w:tcPr>
          <w:p w14:paraId="7B938B39" w14:textId="77777777" w:rsidR="005309BF" w:rsidRPr="00873442" w:rsidRDefault="005309BF" w:rsidP="0033782E">
            <w:pPr>
              <w:ind w:left="0"/>
              <w:rPr>
                <w:highlight w:val="yellow"/>
              </w:rPr>
            </w:pPr>
          </w:p>
        </w:tc>
      </w:tr>
      <w:tr w:rsidR="005309BF" w:rsidRPr="00873442" w14:paraId="2A4E8087" w14:textId="77777777" w:rsidTr="0033782E">
        <w:trPr>
          <w:cantSplit/>
        </w:trPr>
        <w:tc>
          <w:tcPr>
            <w:tcW w:w="1743" w:type="dxa"/>
          </w:tcPr>
          <w:p w14:paraId="4EC21849" w14:textId="5E571434" w:rsidR="005309BF" w:rsidRDefault="005309BF" w:rsidP="0033782E">
            <w:pPr>
              <w:ind w:left="0"/>
            </w:pPr>
            <w:r>
              <w:t xml:space="preserve">   1</w:t>
            </w:r>
            <w:r w:rsidR="00E63C4A">
              <w:t>8</w:t>
            </w:r>
            <w:r>
              <w:t>B</w:t>
            </w:r>
          </w:p>
        </w:tc>
        <w:tc>
          <w:tcPr>
            <w:tcW w:w="6658" w:type="dxa"/>
          </w:tcPr>
          <w:p w14:paraId="072A77CC" w14:textId="77777777" w:rsidR="005309BF" w:rsidRDefault="005309BF" w:rsidP="0033782E">
            <w:pPr>
              <w:ind w:left="256"/>
            </w:pPr>
            <w:r>
              <w:t>Completed Transition Plan</w:t>
            </w:r>
          </w:p>
        </w:tc>
        <w:tc>
          <w:tcPr>
            <w:tcW w:w="2281" w:type="dxa"/>
          </w:tcPr>
          <w:p w14:paraId="03428755" w14:textId="77777777" w:rsidR="005309BF" w:rsidRPr="00873442" w:rsidRDefault="005309BF" w:rsidP="0033782E">
            <w:pPr>
              <w:ind w:left="0"/>
              <w:rPr>
                <w:highlight w:val="yellow"/>
              </w:rPr>
            </w:pPr>
          </w:p>
        </w:tc>
      </w:tr>
      <w:tr w:rsidR="00EF3C59" w:rsidRPr="00873442" w14:paraId="0E208FA6" w14:textId="77777777" w:rsidTr="00D44F26">
        <w:trPr>
          <w:cantSplit/>
        </w:trPr>
        <w:tc>
          <w:tcPr>
            <w:tcW w:w="1743" w:type="dxa"/>
            <w:shd w:val="clear" w:color="auto" w:fill="DEEAF6" w:themeFill="accent1" w:themeFillTint="33"/>
          </w:tcPr>
          <w:p w14:paraId="5F35CCBB" w14:textId="77777777" w:rsidR="00EF3C59" w:rsidRDefault="00EF3C59" w:rsidP="00D44F26">
            <w:pPr>
              <w:ind w:left="0"/>
              <w:jc w:val="center"/>
            </w:pPr>
            <w:r>
              <w:t>-</w:t>
            </w:r>
          </w:p>
        </w:tc>
        <w:tc>
          <w:tcPr>
            <w:tcW w:w="6658" w:type="dxa"/>
            <w:shd w:val="clear" w:color="auto" w:fill="DEEAF6" w:themeFill="accent1" w:themeFillTint="33"/>
          </w:tcPr>
          <w:p w14:paraId="2DFC16F9" w14:textId="3DF1ED26" w:rsidR="00EF3C59" w:rsidRPr="00FB59F1" w:rsidRDefault="00791008" w:rsidP="00D44F26">
            <w:pPr>
              <w:ind w:left="256"/>
              <w:jc w:val="right"/>
              <w:rPr>
                <w:b/>
              </w:rPr>
            </w:pPr>
            <w:r w:rsidRPr="00FB59F1">
              <w:rPr>
                <w:b/>
              </w:rPr>
              <w:t>Total</w:t>
            </w:r>
            <w:r>
              <w:rPr>
                <w:b/>
              </w:rPr>
              <w:t xml:space="preserve"> Non-Phase Costs</w:t>
            </w:r>
          </w:p>
        </w:tc>
        <w:tc>
          <w:tcPr>
            <w:tcW w:w="2281" w:type="dxa"/>
            <w:shd w:val="clear" w:color="auto" w:fill="DEEAF6" w:themeFill="accent1" w:themeFillTint="33"/>
          </w:tcPr>
          <w:p w14:paraId="3B0A1DA8" w14:textId="77777777" w:rsidR="00EF3C59" w:rsidRPr="00873442" w:rsidRDefault="00EF3C59" w:rsidP="00D44F26">
            <w:pPr>
              <w:ind w:left="0"/>
              <w:rPr>
                <w:highlight w:val="yellow"/>
              </w:rPr>
            </w:pPr>
          </w:p>
        </w:tc>
      </w:tr>
    </w:tbl>
    <w:p w14:paraId="12339013" w14:textId="60D49816" w:rsidR="00EF3C59" w:rsidRDefault="00EF3C59" w:rsidP="00EF3C59"/>
    <w:p w14:paraId="4AD85FAD" w14:textId="77777777" w:rsidR="00DC6AA9" w:rsidRDefault="00DC6AA9" w:rsidP="00DC6AA9">
      <w:pPr>
        <w:pStyle w:val="Heading3"/>
      </w:pPr>
      <w:bookmarkStart w:id="472" w:name="_Toc13567528"/>
      <w:r>
        <w:t>A12.3</w:t>
      </w:r>
      <w:r>
        <w:tab/>
        <w:t>Pricing for Project</w:t>
      </w:r>
      <w:bookmarkEnd w:id="472"/>
    </w:p>
    <w:p w14:paraId="69DB487C" w14:textId="77777777" w:rsidR="00DC6AA9" w:rsidRDefault="00DC6AA9" w:rsidP="00DC6AA9">
      <w:r>
        <w:rPr>
          <w:lang w:eastAsia="en-AU"/>
        </w:rPr>
        <w:t>Pricing must include all Project Phase and Non-Phase costs necessary to implement the TWC UI solution and to fully replace the UI legacy system.</w:t>
      </w:r>
    </w:p>
    <w:tbl>
      <w:tblPr>
        <w:tblStyle w:val="TableGrid"/>
        <w:tblW w:w="0" w:type="auto"/>
        <w:tblInd w:w="108" w:type="dxa"/>
        <w:tblLook w:val="04A0" w:firstRow="1" w:lastRow="0" w:firstColumn="1" w:lastColumn="0" w:noHBand="0" w:noVBand="1"/>
        <w:tblCaption w:val="Deliverable Schedule table"/>
        <w:tblDescription w:val="Pricing for required Deliverables table"/>
      </w:tblPr>
      <w:tblGrid>
        <w:gridCol w:w="1743"/>
        <w:gridCol w:w="6658"/>
        <w:gridCol w:w="2281"/>
      </w:tblGrid>
      <w:tr w:rsidR="00DC6AA9" w:rsidRPr="00873442" w14:paraId="6AF3D17B" w14:textId="77777777" w:rsidTr="00C20F5C">
        <w:trPr>
          <w:cantSplit/>
        </w:trPr>
        <w:tc>
          <w:tcPr>
            <w:tcW w:w="1743" w:type="dxa"/>
            <w:shd w:val="clear" w:color="auto" w:fill="DEEAF6" w:themeFill="accent1" w:themeFillTint="33"/>
          </w:tcPr>
          <w:p w14:paraId="1C78B8AE" w14:textId="77777777" w:rsidR="00DC6AA9" w:rsidRDefault="00DC6AA9" w:rsidP="00C20F5C">
            <w:pPr>
              <w:ind w:left="0"/>
              <w:jc w:val="center"/>
            </w:pPr>
            <w:r>
              <w:t>-</w:t>
            </w:r>
          </w:p>
        </w:tc>
        <w:tc>
          <w:tcPr>
            <w:tcW w:w="6658" w:type="dxa"/>
            <w:shd w:val="clear" w:color="auto" w:fill="DEEAF6" w:themeFill="accent1" w:themeFillTint="33"/>
          </w:tcPr>
          <w:p w14:paraId="5E51B9CF" w14:textId="77777777" w:rsidR="00DC6AA9" w:rsidRPr="00FB59F1" w:rsidRDefault="00DC6AA9" w:rsidP="00C20F5C">
            <w:pPr>
              <w:ind w:left="256"/>
              <w:jc w:val="right"/>
              <w:rPr>
                <w:b/>
              </w:rPr>
            </w:pPr>
            <w:r>
              <w:rPr>
                <w:b/>
              </w:rPr>
              <w:t xml:space="preserve">Project Grand </w:t>
            </w:r>
            <w:r w:rsidRPr="00FB59F1">
              <w:rPr>
                <w:b/>
              </w:rPr>
              <w:t>Total</w:t>
            </w:r>
            <w:r>
              <w:rPr>
                <w:b/>
              </w:rPr>
              <w:t xml:space="preserve"> </w:t>
            </w:r>
            <w:r>
              <w:rPr>
                <w:b/>
              </w:rPr>
              <w:br/>
              <w:t>(Total of All Phase and Non-Phase Costs)</w:t>
            </w:r>
          </w:p>
        </w:tc>
        <w:tc>
          <w:tcPr>
            <w:tcW w:w="2281" w:type="dxa"/>
            <w:shd w:val="clear" w:color="auto" w:fill="DEEAF6" w:themeFill="accent1" w:themeFillTint="33"/>
          </w:tcPr>
          <w:p w14:paraId="005228CC" w14:textId="77777777" w:rsidR="00DC6AA9" w:rsidRPr="00873442" w:rsidRDefault="00DC6AA9" w:rsidP="00C20F5C">
            <w:pPr>
              <w:ind w:left="0"/>
              <w:rPr>
                <w:highlight w:val="yellow"/>
              </w:rPr>
            </w:pPr>
          </w:p>
        </w:tc>
      </w:tr>
    </w:tbl>
    <w:p w14:paraId="26B83E71" w14:textId="77777777" w:rsidR="00DC6AA9" w:rsidRDefault="00DC6AA9" w:rsidP="00DC6AA9"/>
    <w:p w14:paraId="26D84603" w14:textId="4D90686D" w:rsidR="00081981" w:rsidRPr="00C74103" w:rsidRDefault="00081981" w:rsidP="00081981">
      <w:pPr>
        <w:pStyle w:val="Heading3"/>
      </w:pPr>
      <w:bookmarkStart w:id="473" w:name="_Toc13567529"/>
      <w:bookmarkStart w:id="474" w:name="_Hlk11833247"/>
      <w:r w:rsidRPr="00C74103">
        <w:t>A12.</w:t>
      </w:r>
      <w:r w:rsidR="00DC6AA9">
        <w:t>4</w:t>
      </w:r>
      <w:r w:rsidRPr="00C74103">
        <w:tab/>
        <w:t xml:space="preserve">Pricing for </w:t>
      </w:r>
      <w:r w:rsidR="00DC6AA9">
        <w:t>Option Years</w:t>
      </w:r>
      <w:bookmarkEnd w:id="473"/>
    </w:p>
    <w:p w14:paraId="5202B4B6" w14:textId="287D46AC" w:rsidR="00081981" w:rsidRPr="00DC6AA9" w:rsidRDefault="00081981" w:rsidP="00081981">
      <w:r w:rsidRPr="00C74103">
        <w:rPr>
          <w:lang w:eastAsia="en-AU"/>
        </w:rPr>
        <w:t xml:space="preserve">Pricing must include all </w:t>
      </w:r>
      <w:r w:rsidR="00DC6AA9">
        <w:rPr>
          <w:lang w:eastAsia="en-AU"/>
        </w:rPr>
        <w:t>software maintenance, support, and hosting costs f</w:t>
      </w:r>
      <w:r w:rsidR="00DC6AA9" w:rsidRPr="00DC6AA9">
        <w:rPr>
          <w:lang w:eastAsia="en-AU"/>
        </w:rPr>
        <w:t xml:space="preserve">or additional option years described in </w:t>
      </w:r>
      <w:hyperlink w:anchor="_6.4_Term_of" w:history="1">
        <w:r w:rsidR="00DC6AA9" w:rsidRPr="00DC6AA9">
          <w:rPr>
            <w:rStyle w:val="Hyperlink"/>
            <w:lang w:eastAsia="en-AU"/>
          </w:rPr>
          <w:t>Section 6.4</w:t>
        </w:r>
      </w:hyperlink>
      <w:r w:rsidR="00DC6AA9">
        <w:rPr>
          <w:lang w:eastAsia="en-AU"/>
        </w:rPr>
        <w:t>.</w:t>
      </w:r>
    </w:p>
    <w:tbl>
      <w:tblPr>
        <w:tblStyle w:val="TableGrid"/>
        <w:tblW w:w="0" w:type="auto"/>
        <w:tblInd w:w="108" w:type="dxa"/>
        <w:tblLook w:val="04A0" w:firstRow="1" w:lastRow="0" w:firstColumn="1" w:lastColumn="0" w:noHBand="0" w:noVBand="1"/>
        <w:tblCaption w:val="Deliverable Schedule table"/>
        <w:tblDescription w:val="Pricing for required Deliverables table"/>
      </w:tblPr>
      <w:tblGrid>
        <w:gridCol w:w="1504"/>
        <w:gridCol w:w="3935"/>
        <w:gridCol w:w="2818"/>
        <w:gridCol w:w="2425"/>
      </w:tblGrid>
      <w:tr w:rsidR="005607E4" w:rsidRPr="00873442" w14:paraId="5A9A4BB7" w14:textId="4BFF14E7" w:rsidTr="005607E4">
        <w:trPr>
          <w:cantSplit/>
          <w:tblHeader/>
        </w:trPr>
        <w:tc>
          <w:tcPr>
            <w:tcW w:w="1504" w:type="dxa"/>
            <w:shd w:val="clear" w:color="auto" w:fill="DEEAF6" w:themeFill="accent1" w:themeFillTint="33"/>
            <w:vAlign w:val="center"/>
          </w:tcPr>
          <w:p w14:paraId="7C070554" w14:textId="3DFD3E04" w:rsidR="005607E4" w:rsidRPr="00804B2D" w:rsidRDefault="005607E4" w:rsidP="00C20F5C">
            <w:pPr>
              <w:spacing w:after="0"/>
              <w:ind w:left="0"/>
              <w:jc w:val="center"/>
              <w:rPr>
                <w:rFonts w:cs="Arial"/>
                <w:b/>
                <w:color w:val="1F3864" w:themeColor="accent5" w:themeShade="80"/>
              </w:rPr>
            </w:pPr>
            <w:r>
              <w:rPr>
                <w:rFonts w:cs="Arial"/>
                <w:b/>
                <w:color w:val="1F3864" w:themeColor="accent5" w:themeShade="80"/>
              </w:rPr>
              <w:t>Option Year</w:t>
            </w:r>
          </w:p>
        </w:tc>
        <w:tc>
          <w:tcPr>
            <w:tcW w:w="3935" w:type="dxa"/>
            <w:shd w:val="clear" w:color="auto" w:fill="DEEAF6" w:themeFill="accent1" w:themeFillTint="33"/>
            <w:vAlign w:val="center"/>
          </w:tcPr>
          <w:p w14:paraId="0CAC3B6B" w14:textId="7545FCB6" w:rsidR="005607E4" w:rsidRPr="00804B2D" w:rsidRDefault="005607E4" w:rsidP="00C20F5C">
            <w:pPr>
              <w:spacing w:after="0"/>
              <w:ind w:left="0"/>
              <w:jc w:val="center"/>
              <w:rPr>
                <w:rFonts w:cs="Arial"/>
                <w:b/>
                <w:color w:val="1F3864" w:themeColor="accent5" w:themeShade="80"/>
              </w:rPr>
            </w:pPr>
            <w:r w:rsidRPr="00C74103">
              <w:rPr>
                <w:rFonts w:cs="Arial"/>
                <w:b/>
                <w:color w:val="1F3864" w:themeColor="accent5" w:themeShade="80"/>
              </w:rPr>
              <w:t xml:space="preserve">Annual Software Maintenance </w:t>
            </w:r>
            <w:r>
              <w:rPr>
                <w:rFonts w:cs="Arial"/>
                <w:b/>
                <w:color w:val="1F3864" w:themeColor="accent5" w:themeShade="80"/>
              </w:rPr>
              <w:br/>
            </w:r>
            <w:r w:rsidRPr="00C74103">
              <w:rPr>
                <w:rFonts w:cs="Arial"/>
                <w:b/>
                <w:color w:val="1F3864" w:themeColor="accent5" w:themeShade="80"/>
              </w:rPr>
              <w:t xml:space="preserve">and Support </w:t>
            </w:r>
            <w:r>
              <w:rPr>
                <w:rFonts w:cs="Arial"/>
                <w:b/>
                <w:color w:val="1F3864" w:themeColor="accent5" w:themeShade="80"/>
              </w:rPr>
              <w:t>Costs</w:t>
            </w:r>
          </w:p>
        </w:tc>
        <w:tc>
          <w:tcPr>
            <w:tcW w:w="2818" w:type="dxa"/>
            <w:shd w:val="clear" w:color="auto" w:fill="DEEAF6" w:themeFill="accent1" w:themeFillTint="33"/>
            <w:vAlign w:val="center"/>
          </w:tcPr>
          <w:p w14:paraId="46703B28" w14:textId="2BB7FDBA" w:rsidR="005607E4" w:rsidRPr="00804B2D" w:rsidRDefault="005607E4" w:rsidP="00C20F5C">
            <w:pPr>
              <w:spacing w:after="0"/>
              <w:ind w:left="0"/>
              <w:jc w:val="center"/>
              <w:rPr>
                <w:rFonts w:cs="Arial"/>
                <w:b/>
                <w:color w:val="1F3864" w:themeColor="accent5" w:themeShade="80"/>
              </w:rPr>
            </w:pPr>
            <w:r>
              <w:rPr>
                <w:rFonts w:cs="Arial"/>
                <w:b/>
                <w:color w:val="1F3864" w:themeColor="accent5" w:themeShade="80"/>
              </w:rPr>
              <w:t>Annual Hosting Costs</w:t>
            </w:r>
          </w:p>
        </w:tc>
        <w:tc>
          <w:tcPr>
            <w:tcW w:w="2425" w:type="dxa"/>
            <w:shd w:val="clear" w:color="auto" w:fill="DEEAF6" w:themeFill="accent1" w:themeFillTint="33"/>
            <w:vAlign w:val="center"/>
          </w:tcPr>
          <w:p w14:paraId="13D1BDEF" w14:textId="0A731C2D" w:rsidR="005607E4" w:rsidRDefault="005607E4" w:rsidP="00C20F5C">
            <w:pPr>
              <w:spacing w:after="0"/>
              <w:ind w:left="0"/>
              <w:jc w:val="center"/>
              <w:rPr>
                <w:rFonts w:cs="Arial"/>
                <w:b/>
                <w:color w:val="1F3864" w:themeColor="accent5" w:themeShade="80"/>
              </w:rPr>
            </w:pPr>
            <w:r>
              <w:rPr>
                <w:rFonts w:cs="Arial"/>
                <w:b/>
                <w:color w:val="1F3864" w:themeColor="accent5" w:themeShade="80"/>
              </w:rPr>
              <w:t>Annual DCS Hosting Costs</w:t>
            </w:r>
          </w:p>
        </w:tc>
      </w:tr>
      <w:tr w:rsidR="005607E4" w:rsidRPr="00873442" w14:paraId="2ED3779B" w14:textId="70704666" w:rsidTr="005607E4">
        <w:tc>
          <w:tcPr>
            <w:tcW w:w="1504" w:type="dxa"/>
          </w:tcPr>
          <w:p w14:paraId="6C5791AE" w14:textId="5F12436B" w:rsidR="005607E4" w:rsidRPr="00873442" w:rsidRDefault="005607E4" w:rsidP="00DC6AA9">
            <w:pPr>
              <w:ind w:left="0"/>
              <w:jc w:val="center"/>
              <w:rPr>
                <w:highlight w:val="yellow"/>
              </w:rPr>
            </w:pPr>
            <w:r>
              <w:t>1</w:t>
            </w:r>
          </w:p>
        </w:tc>
        <w:tc>
          <w:tcPr>
            <w:tcW w:w="3935" w:type="dxa"/>
          </w:tcPr>
          <w:p w14:paraId="767CB71F" w14:textId="6F20E771" w:rsidR="005607E4" w:rsidRPr="00873442" w:rsidRDefault="005607E4" w:rsidP="00C20F5C">
            <w:pPr>
              <w:ind w:left="0"/>
              <w:rPr>
                <w:highlight w:val="yellow"/>
              </w:rPr>
            </w:pPr>
          </w:p>
        </w:tc>
        <w:tc>
          <w:tcPr>
            <w:tcW w:w="2818" w:type="dxa"/>
          </w:tcPr>
          <w:p w14:paraId="298A044B" w14:textId="77777777" w:rsidR="005607E4" w:rsidRPr="00873442" w:rsidRDefault="005607E4" w:rsidP="00C20F5C">
            <w:pPr>
              <w:ind w:left="0"/>
              <w:rPr>
                <w:highlight w:val="yellow"/>
              </w:rPr>
            </w:pPr>
          </w:p>
        </w:tc>
        <w:tc>
          <w:tcPr>
            <w:tcW w:w="2425" w:type="dxa"/>
          </w:tcPr>
          <w:p w14:paraId="1E49A953" w14:textId="77777777" w:rsidR="005607E4" w:rsidRPr="00873442" w:rsidRDefault="005607E4" w:rsidP="00C20F5C">
            <w:pPr>
              <w:ind w:left="0"/>
              <w:rPr>
                <w:highlight w:val="yellow"/>
              </w:rPr>
            </w:pPr>
          </w:p>
        </w:tc>
      </w:tr>
      <w:tr w:rsidR="005607E4" w:rsidRPr="00873442" w14:paraId="0D5159E1" w14:textId="0AF188C8" w:rsidTr="005607E4">
        <w:tc>
          <w:tcPr>
            <w:tcW w:w="1504" w:type="dxa"/>
          </w:tcPr>
          <w:p w14:paraId="7CF1DD89" w14:textId="04F1D798" w:rsidR="005607E4" w:rsidRDefault="005607E4" w:rsidP="00DC6AA9">
            <w:pPr>
              <w:ind w:left="0"/>
              <w:jc w:val="center"/>
            </w:pPr>
            <w:r>
              <w:t>2</w:t>
            </w:r>
          </w:p>
        </w:tc>
        <w:tc>
          <w:tcPr>
            <w:tcW w:w="3935" w:type="dxa"/>
          </w:tcPr>
          <w:p w14:paraId="65CCD8C3" w14:textId="77777777" w:rsidR="005607E4" w:rsidRDefault="005607E4" w:rsidP="00C20F5C">
            <w:pPr>
              <w:ind w:left="0"/>
            </w:pPr>
          </w:p>
        </w:tc>
        <w:tc>
          <w:tcPr>
            <w:tcW w:w="2818" w:type="dxa"/>
          </w:tcPr>
          <w:p w14:paraId="7EA4A4C0" w14:textId="77777777" w:rsidR="005607E4" w:rsidRPr="00873442" w:rsidRDefault="005607E4" w:rsidP="00C20F5C">
            <w:pPr>
              <w:ind w:left="0"/>
              <w:rPr>
                <w:highlight w:val="yellow"/>
              </w:rPr>
            </w:pPr>
          </w:p>
        </w:tc>
        <w:tc>
          <w:tcPr>
            <w:tcW w:w="2425" w:type="dxa"/>
          </w:tcPr>
          <w:p w14:paraId="6F1919E6" w14:textId="77777777" w:rsidR="005607E4" w:rsidRPr="00873442" w:rsidRDefault="005607E4" w:rsidP="00C20F5C">
            <w:pPr>
              <w:ind w:left="0"/>
              <w:rPr>
                <w:highlight w:val="yellow"/>
              </w:rPr>
            </w:pPr>
          </w:p>
        </w:tc>
      </w:tr>
      <w:tr w:rsidR="005607E4" w:rsidRPr="00873442" w14:paraId="14F1BD7C" w14:textId="31038411" w:rsidTr="005607E4">
        <w:tc>
          <w:tcPr>
            <w:tcW w:w="1504" w:type="dxa"/>
          </w:tcPr>
          <w:p w14:paraId="41C1D2AD" w14:textId="4CE8A74D" w:rsidR="005607E4" w:rsidRDefault="005607E4" w:rsidP="00DC6AA9">
            <w:pPr>
              <w:ind w:left="0"/>
              <w:jc w:val="center"/>
            </w:pPr>
            <w:r>
              <w:t>3</w:t>
            </w:r>
          </w:p>
        </w:tc>
        <w:tc>
          <w:tcPr>
            <w:tcW w:w="3935" w:type="dxa"/>
          </w:tcPr>
          <w:p w14:paraId="43BC0AEB" w14:textId="77777777" w:rsidR="005607E4" w:rsidRDefault="005607E4" w:rsidP="00C20F5C">
            <w:pPr>
              <w:ind w:left="0"/>
            </w:pPr>
          </w:p>
        </w:tc>
        <w:tc>
          <w:tcPr>
            <w:tcW w:w="2818" w:type="dxa"/>
          </w:tcPr>
          <w:p w14:paraId="1FFBAB92" w14:textId="77777777" w:rsidR="005607E4" w:rsidRPr="00873442" w:rsidRDefault="005607E4" w:rsidP="00C20F5C">
            <w:pPr>
              <w:ind w:left="0"/>
              <w:rPr>
                <w:highlight w:val="yellow"/>
              </w:rPr>
            </w:pPr>
          </w:p>
        </w:tc>
        <w:tc>
          <w:tcPr>
            <w:tcW w:w="2425" w:type="dxa"/>
          </w:tcPr>
          <w:p w14:paraId="6EEE4F39" w14:textId="77777777" w:rsidR="005607E4" w:rsidRPr="00873442" w:rsidRDefault="005607E4" w:rsidP="00C20F5C">
            <w:pPr>
              <w:ind w:left="0"/>
              <w:rPr>
                <w:highlight w:val="yellow"/>
              </w:rPr>
            </w:pPr>
          </w:p>
        </w:tc>
      </w:tr>
      <w:tr w:rsidR="005607E4" w:rsidRPr="00873442" w14:paraId="7C377FC3" w14:textId="47622FBF" w:rsidTr="005607E4">
        <w:tc>
          <w:tcPr>
            <w:tcW w:w="1504" w:type="dxa"/>
          </w:tcPr>
          <w:p w14:paraId="0E62614D" w14:textId="146720F3" w:rsidR="005607E4" w:rsidRDefault="005607E4" w:rsidP="00DC6AA9">
            <w:pPr>
              <w:ind w:left="0"/>
              <w:jc w:val="center"/>
            </w:pPr>
            <w:r>
              <w:t>4</w:t>
            </w:r>
          </w:p>
        </w:tc>
        <w:tc>
          <w:tcPr>
            <w:tcW w:w="3935" w:type="dxa"/>
          </w:tcPr>
          <w:p w14:paraId="6F3B871C" w14:textId="77777777" w:rsidR="005607E4" w:rsidRDefault="005607E4" w:rsidP="00C20F5C">
            <w:pPr>
              <w:ind w:left="0"/>
            </w:pPr>
          </w:p>
        </w:tc>
        <w:tc>
          <w:tcPr>
            <w:tcW w:w="2818" w:type="dxa"/>
          </w:tcPr>
          <w:p w14:paraId="59BB2998" w14:textId="77777777" w:rsidR="005607E4" w:rsidRPr="00873442" w:rsidRDefault="005607E4" w:rsidP="00C20F5C">
            <w:pPr>
              <w:ind w:left="0"/>
              <w:rPr>
                <w:highlight w:val="yellow"/>
              </w:rPr>
            </w:pPr>
          </w:p>
        </w:tc>
        <w:tc>
          <w:tcPr>
            <w:tcW w:w="2425" w:type="dxa"/>
          </w:tcPr>
          <w:p w14:paraId="1CCE9DE9" w14:textId="77777777" w:rsidR="005607E4" w:rsidRPr="00873442" w:rsidRDefault="005607E4" w:rsidP="00C20F5C">
            <w:pPr>
              <w:ind w:left="0"/>
              <w:rPr>
                <w:highlight w:val="yellow"/>
              </w:rPr>
            </w:pPr>
          </w:p>
        </w:tc>
      </w:tr>
      <w:tr w:rsidR="005607E4" w:rsidRPr="00873442" w14:paraId="1072A59B" w14:textId="3D8CC039" w:rsidTr="005607E4">
        <w:tc>
          <w:tcPr>
            <w:tcW w:w="1504" w:type="dxa"/>
          </w:tcPr>
          <w:p w14:paraId="1F590261" w14:textId="1947F6B0" w:rsidR="005607E4" w:rsidRDefault="005607E4" w:rsidP="00DC6AA9">
            <w:pPr>
              <w:ind w:left="0"/>
              <w:jc w:val="center"/>
            </w:pPr>
            <w:r>
              <w:t>5</w:t>
            </w:r>
          </w:p>
        </w:tc>
        <w:tc>
          <w:tcPr>
            <w:tcW w:w="3935" w:type="dxa"/>
          </w:tcPr>
          <w:p w14:paraId="34BD14D6" w14:textId="77777777" w:rsidR="005607E4" w:rsidRDefault="005607E4" w:rsidP="00C20F5C">
            <w:pPr>
              <w:ind w:left="0"/>
            </w:pPr>
          </w:p>
        </w:tc>
        <w:tc>
          <w:tcPr>
            <w:tcW w:w="2818" w:type="dxa"/>
          </w:tcPr>
          <w:p w14:paraId="54D5282A" w14:textId="77777777" w:rsidR="005607E4" w:rsidRPr="00873442" w:rsidRDefault="005607E4" w:rsidP="00C20F5C">
            <w:pPr>
              <w:ind w:left="0"/>
              <w:rPr>
                <w:highlight w:val="yellow"/>
              </w:rPr>
            </w:pPr>
          </w:p>
        </w:tc>
        <w:tc>
          <w:tcPr>
            <w:tcW w:w="2425" w:type="dxa"/>
          </w:tcPr>
          <w:p w14:paraId="5BB7169C" w14:textId="77777777" w:rsidR="005607E4" w:rsidRPr="00873442" w:rsidRDefault="005607E4" w:rsidP="00C20F5C">
            <w:pPr>
              <w:ind w:left="0"/>
              <w:rPr>
                <w:highlight w:val="yellow"/>
              </w:rPr>
            </w:pPr>
          </w:p>
        </w:tc>
      </w:tr>
      <w:tr w:rsidR="005607E4" w:rsidRPr="00873442" w14:paraId="00C80BDD" w14:textId="19EB3897" w:rsidTr="005607E4">
        <w:tc>
          <w:tcPr>
            <w:tcW w:w="1504" w:type="dxa"/>
          </w:tcPr>
          <w:p w14:paraId="4578ADCF" w14:textId="78CF8D6F" w:rsidR="005607E4" w:rsidRDefault="005607E4" w:rsidP="00DC6AA9">
            <w:pPr>
              <w:ind w:left="0"/>
              <w:jc w:val="center"/>
            </w:pPr>
            <w:r>
              <w:t>6</w:t>
            </w:r>
          </w:p>
        </w:tc>
        <w:tc>
          <w:tcPr>
            <w:tcW w:w="3935" w:type="dxa"/>
          </w:tcPr>
          <w:p w14:paraId="41B0AAED" w14:textId="77777777" w:rsidR="005607E4" w:rsidRDefault="005607E4" w:rsidP="00C20F5C">
            <w:pPr>
              <w:ind w:left="0"/>
            </w:pPr>
          </w:p>
        </w:tc>
        <w:tc>
          <w:tcPr>
            <w:tcW w:w="2818" w:type="dxa"/>
          </w:tcPr>
          <w:p w14:paraId="319A1FF0" w14:textId="77777777" w:rsidR="005607E4" w:rsidRPr="00873442" w:rsidRDefault="005607E4" w:rsidP="00C20F5C">
            <w:pPr>
              <w:ind w:left="0"/>
              <w:rPr>
                <w:highlight w:val="yellow"/>
              </w:rPr>
            </w:pPr>
          </w:p>
        </w:tc>
        <w:tc>
          <w:tcPr>
            <w:tcW w:w="2425" w:type="dxa"/>
          </w:tcPr>
          <w:p w14:paraId="6FE6AB21" w14:textId="77777777" w:rsidR="005607E4" w:rsidRPr="00873442" w:rsidRDefault="005607E4" w:rsidP="00C20F5C">
            <w:pPr>
              <w:ind w:left="0"/>
              <w:rPr>
                <w:highlight w:val="yellow"/>
              </w:rPr>
            </w:pPr>
          </w:p>
        </w:tc>
      </w:tr>
    </w:tbl>
    <w:p w14:paraId="4DC61A1B" w14:textId="5EF3967C" w:rsidR="00081981" w:rsidRDefault="005607E4" w:rsidP="00081981">
      <w:r w:rsidRPr="00C168BD">
        <w:t xml:space="preserve">If proposing a DCS solution, </w:t>
      </w:r>
      <w:r>
        <w:t xml:space="preserve">leave Annual DCS Hosting Costs column blank. </w:t>
      </w:r>
      <w:r w:rsidRPr="00C168BD">
        <w:t>TWC Purchasing Division will coordinate with DIR to ascertain DCS costs</w:t>
      </w:r>
      <w:r>
        <w:t xml:space="preserve"> based on </w:t>
      </w:r>
      <w:r w:rsidRPr="00C168BD">
        <w:t>infrastructure requirements</w:t>
      </w:r>
      <w:r>
        <w:t xml:space="preserve"> submitted in Section 2.2.16</w:t>
      </w:r>
      <w:r w:rsidRPr="00C168BD">
        <w:t>.</w:t>
      </w:r>
    </w:p>
    <w:p w14:paraId="5F2AE84A" w14:textId="670BDC24" w:rsidR="00EF3C59" w:rsidRDefault="00C01471" w:rsidP="00C01471">
      <w:pPr>
        <w:pStyle w:val="Heading3"/>
      </w:pPr>
      <w:bookmarkStart w:id="475" w:name="_A12.2_Pricing_for"/>
      <w:bookmarkStart w:id="476" w:name="_A12.4_Pricing_for"/>
      <w:bookmarkStart w:id="477" w:name="_Toc13567530"/>
      <w:bookmarkEnd w:id="474"/>
      <w:bookmarkEnd w:id="475"/>
      <w:bookmarkEnd w:id="476"/>
      <w:r>
        <w:t>A</w:t>
      </w:r>
      <w:r w:rsidR="00EF3C59">
        <w:t>12.</w:t>
      </w:r>
      <w:r w:rsidR="00DC6AA9">
        <w:t>5</w:t>
      </w:r>
      <w:r w:rsidR="00EF3C59">
        <w:tab/>
        <w:t>Pricing for Optional Deliverables</w:t>
      </w:r>
      <w:bookmarkEnd w:id="477"/>
    </w:p>
    <w:p w14:paraId="0C1E525A" w14:textId="36594CE3" w:rsidR="00EF3C59" w:rsidRPr="0045479C" w:rsidRDefault="00EF3C59" w:rsidP="00EF3C59">
      <w:pPr>
        <w:rPr>
          <w:lang w:eastAsia="en-AU"/>
        </w:rPr>
      </w:pPr>
      <w:r>
        <w:rPr>
          <w:lang w:eastAsia="en-AU"/>
        </w:rPr>
        <w:t xml:space="preserve">Pricing may address all deliverables necessary to implement </w:t>
      </w:r>
      <w:r w:rsidR="005B4CD7">
        <w:rPr>
          <w:lang w:eastAsia="en-AU"/>
        </w:rPr>
        <w:t>the</w:t>
      </w:r>
      <w:r>
        <w:rPr>
          <w:lang w:eastAsia="en-AU"/>
        </w:rPr>
        <w:t xml:space="preserve"> </w:t>
      </w:r>
      <w:r w:rsidR="005B4CD7">
        <w:rPr>
          <w:lang w:eastAsia="en-AU"/>
        </w:rPr>
        <w:t>Optional Deliverables in the table below</w:t>
      </w:r>
      <w:r>
        <w:rPr>
          <w:lang w:eastAsia="en-AU"/>
        </w:rPr>
        <w:t xml:space="preserve">, including cost to implement and </w:t>
      </w:r>
      <w:r w:rsidR="005B4CD7">
        <w:rPr>
          <w:lang w:eastAsia="en-AU"/>
        </w:rPr>
        <w:t xml:space="preserve">any </w:t>
      </w:r>
      <w:r>
        <w:rPr>
          <w:lang w:eastAsia="en-AU"/>
        </w:rPr>
        <w:t>ongoing yearly maintenance costs.</w:t>
      </w:r>
    </w:p>
    <w:tbl>
      <w:tblPr>
        <w:tblStyle w:val="TableGrid"/>
        <w:tblW w:w="0" w:type="auto"/>
        <w:tblInd w:w="108" w:type="dxa"/>
        <w:tblLook w:val="04A0" w:firstRow="1" w:lastRow="0" w:firstColumn="1" w:lastColumn="0" w:noHBand="0" w:noVBand="1"/>
        <w:tblCaption w:val="Deliverable Schedule table"/>
        <w:tblDescription w:val="Pricing for required Deliverables table"/>
      </w:tblPr>
      <w:tblGrid>
        <w:gridCol w:w="1743"/>
        <w:gridCol w:w="6658"/>
        <w:gridCol w:w="2281"/>
      </w:tblGrid>
      <w:tr w:rsidR="00EF3C59" w:rsidRPr="00873442" w14:paraId="09CC2E94" w14:textId="77777777" w:rsidTr="00D44F26">
        <w:trPr>
          <w:cantSplit/>
          <w:tblHeader/>
        </w:trPr>
        <w:tc>
          <w:tcPr>
            <w:tcW w:w="1743" w:type="dxa"/>
            <w:shd w:val="clear" w:color="auto" w:fill="DEEAF6" w:themeFill="accent1" w:themeFillTint="33"/>
            <w:vAlign w:val="center"/>
          </w:tcPr>
          <w:p w14:paraId="0249F6A7" w14:textId="77777777" w:rsidR="00EF3C59" w:rsidRPr="00804B2D" w:rsidRDefault="00EF3C59" w:rsidP="00D44F26">
            <w:pPr>
              <w:spacing w:after="0"/>
              <w:ind w:left="0"/>
              <w:jc w:val="center"/>
              <w:rPr>
                <w:rFonts w:cs="Arial"/>
                <w:b/>
                <w:color w:val="1F3864" w:themeColor="accent5" w:themeShade="80"/>
              </w:rPr>
            </w:pPr>
            <w:r w:rsidRPr="00804B2D">
              <w:rPr>
                <w:rFonts w:cs="Arial"/>
                <w:b/>
                <w:color w:val="1F3864" w:themeColor="accent5" w:themeShade="80"/>
              </w:rPr>
              <w:lastRenderedPageBreak/>
              <w:t>Deliverable Number</w:t>
            </w:r>
          </w:p>
        </w:tc>
        <w:tc>
          <w:tcPr>
            <w:tcW w:w="6658" w:type="dxa"/>
            <w:shd w:val="clear" w:color="auto" w:fill="DEEAF6" w:themeFill="accent1" w:themeFillTint="33"/>
            <w:vAlign w:val="center"/>
          </w:tcPr>
          <w:p w14:paraId="6A8821BB" w14:textId="77777777" w:rsidR="00EF3C59" w:rsidRDefault="00EF3C59" w:rsidP="00D44F26">
            <w:pPr>
              <w:spacing w:after="0"/>
              <w:ind w:left="0"/>
              <w:jc w:val="center"/>
              <w:rPr>
                <w:rFonts w:cs="Arial"/>
                <w:b/>
                <w:color w:val="1F3864" w:themeColor="accent5" w:themeShade="80"/>
              </w:rPr>
            </w:pPr>
            <w:r>
              <w:rPr>
                <w:rFonts w:cs="Arial"/>
                <w:b/>
                <w:color w:val="1F3864" w:themeColor="accent5" w:themeShade="80"/>
              </w:rPr>
              <w:t>Deliverable</w:t>
            </w:r>
          </w:p>
          <w:p w14:paraId="03830491" w14:textId="77777777" w:rsidR="00EF3C59" w:rsidRPr="00804B2D" w:rsidRDefault="00EF3C59" w:rsidP="00D44F26">
            <w:pPr>
              <w:spacing w:after="0"/>
              <w:ind w:left="0"/>
              <w:jc w:val="center"/>
              <w:rPr>
                <w:rFonts w:cs="Arial"/>
                <w:b/>
                <w:color w:val="1F3864" w:themeColor="accent5" w:themeShade="80"/>
              </w:rPr>
            </w:pPr>
            <w:r w:rsidRPr="00804B2D">
              <w:rPr>
                <w:rFonts w:cs="Arial"/>
                <w:b/>
                <w:color w:val="1F3864" w:themeColor="accent5" w:themeShade="80"/>
              </w:rPr>
              <w:t>Name</w:t>
            </w:r>
          </w:p>
        </w:tc>
        <w:tc>
          <w:tcPr>
            <w:tcW w:w="2281" w:type="dxa"/>
            <w:shd w:val="clear" w:color="auto" w:fill="DEEAF6" w:themeFill="accent1" w:themeFillTint="33"/>
            <w:vAlign w:val="center"/>
          </w:tcPr>
          <w:p w14:paraId="5452DBEE" w14:textId="77777777" w:rsidR="00EF3C59" w:rsidRPr="00804B2D" w:rsidRDefault="00EF3C59" w:rsidP="00D44F26">
            <w:pPr>
              <w:spacing w:after="0"/>
              <w:ind w:left="0"/>
              <w:jc w:val="center"/>
              <w:rPr>
                <w:rFonts w:cs="Arial"/>
                <w:b/>
                <w:color w:val="1F3864" w:themeColor="accent5" w:themeShade="80"/>
              </w:rPr>
            </w:pPr>
            <w:r>
              <w:rPr>
                <w:rFonts w:cs="Arial"/>
                <w:b/>
                <w:color w:val="1F3864" w:themeColor="accent5" w:themeShade="80"/>
              </w:rPr>
              <w:t>Fixed Deliverable</w:t>
            </w:r>
            <w:r w:rsidRPr="00804B2D">
              <w:rPr>
                <w:rFonts w:cs="Arial"/>
                <w:b/>
                <w:color w:val="1F3864" w:themeColor="accent5" w:themeShade="80"/>
              </w:rPr>
              <w:t xml:space="preserve"> </w:t>
            </w:r>
            <w:r>
              <w:rPr>
                <w:rFonts w:cs="Arial"/>
                <w:b/>
                <w:color w:val="1F3864" w:themeColor="accent5" w:themeShade="80"/>
              </w:rPr>
              <w:t>Price</w:t>
            </w:r>
          </w:p>
        </w:tc>
      </w:tr>
      <w:tr w:rsidR="00EF3C59" w:rsidRPr="00873442" w14:paraId="708925BE" w14:textId="77777777" w:rsidTr="00D44F26">
        <w:tc>
          <w:tcPr>
            <w:tcW w:w="1743" w:type="dxa"/>
          </w:tcPr>
          <w:p w14:paraId="79239391" w14:textId="77777777" w:rsidR="00EF3C59" w:rsidRPr="00873442" w:rsidRDefault="00EF3C59" w:rsidP="00D44F26">
            <w:pPr>
              <w:ind w:left="0"/>
              <w:rPr>
                <w:highlight w:val="yellow"/>
              </w:rPr>
            </w:pPr>
            <w:r>
              <w:t>OD</w:t>
            </w:r>
            <w:r w:rsidRPr="00355C5B">
              <w:t>1</w:t>
            </w:r>
          </w:p>
        </w:tc>
        <w:tc>
          <w:tcPr>
            <w:tcW w:w="6658" w:type="dxa"/>
          </w:tcPr>
          <w:p w14:paraId="64E11D88" w14:textId="77777777" w:rsidR="00EF3C59" w:rsidRPr="00873442" w:rsidRDefault="00EF3C59" w:rsidP="00D44F26">
            <w:pPr>
              <w:ind w:left="0"/>
              <w:rPr>
                <w:highlight w:val="yellow"/>
              </w:rPr>
            </w:pPr>
            <w:r>
              <w:t>CMS (Optional)</w:t>
            </w:r>
          </w:p>
        </w:tc>
        <w:tc>
          <w:tcPr>
            <w:tcW w:w="2281" w:type="dxa"/>
          </w:tcPr>
          <w:p w14:paraId="2B36CDFD" w14:textId="77777777" w:rsidR="00EF3C59" w:rsidRPr="00873442" w:rsidRDefault="00EF3C59" w:rsidP="00D44F26">
            <w:pPr>
              <w:ind w:left="0"/>
              <w:rPr>
                <w:highlight w:val="yellow"/>
              </w:rPr>
            </w:pPr>
          </w:p>
        </w:tc>
      </w:tr>
      <w:tr w:rsidR="00EF3C59" w:rsidRPr="00873442" w14:paraId="2B344B0F" w14:textId="77777777" w:rsidTr="00D44F26">
        <w:tc>
          <w:tcPr>
            <w:tcW w:w="1743" w:type="dxa"/>
          </w:tcPr>
          <w:p w14:paraId="5879EB20" w14:textId="77777777" w:rsidR="00EF3C59" w:rsidRPr="00873442" w:rsidRDefault="00EF3C59" w:rsidP="00D44F26">
            <w:pPr>
              <w:ind w:left="0"/>
              <w:rPr>
                <w:highlight w:val="yellow"/>
              </w:rPr>
            </w:pPr>
            <w:r>
              <w:t xml:space="preserve">   OD1A</w:t>
            </w:r>
          </w:p>
        </w:tc>
        <w:tc>
          <w:tcPr>
            <w:tcW w:w="6658" w:type="dxa"/>
          </w:tcPr>
          <w:p w14:paraId="583E0344" w14:textId="77777777" w:rsidR="00EF3C59" w:rsidRPr="00364874" w:rsidRDefault="00EF3C59" w:rsidP="00D44F26">
            <w:pPr>
              <w:ind w:left="256"/>
            </w:pPr>
            <w:r>
              <w:t>Provide an integrated, tested CMS solution (Optional)</w:t>
            </w:r>
          </w:p>
        </w:tc>
        <w:tc>
          <w:tcPr>
            <w:tcW w:w="2281" w:type="dxa"/>
          </w:tcPr>
          <w:p w14:paraId="5E101CF8" w14:textId="77777777" w:rsidR="00EF3C59" w:rsidRPr="00873442" w:rsidRDefault="00EF3C59" w:rsidP="00D44F26">
            <w:pPr>
              <w:ind w:left="0"/>
              <w:rPr>
                <w:highlight w:val="yellow"/>
              </w:rPr>
            </w:pPr>
          </w:p>
        </w:tc>
      </w:tr>
      <w:tr w:rsidR="005B4CD7" w:rsidRPr="00873442" w14:paraId="0CE131CA" w14:textId="77777777" w:rsidTr="000A6B63">
        <w:tc>
          <w:tcPr>
            <w:tcW w:w="1743" w:type="dxa"/>
          </w:tcPr>
          <w:p w14:paraId="49DE195B" w14:textId="77777777" w:rsidR="005B4CD7" w:rsidRPr="00873442" w:rsidRDefault="005B4CD7" w:rsidP="000A6B63">
            <w:pPr>
              <w:ind w:left="0"/>
              <w:rPr>
                <w:highlight w:val="yellow"/>
              </w:rPr>
            </w:pPr>
            <w:r>
              <w:t>OD2</w:t>
            </w:r>
          </w:p>
        </w:tc>
        <w:tc>
          <w:tcPr>
            <w:tcW w:w="6658" w:type="dxa"/>
          </w:tcPr>
          <w:p w14:paraId="687F8CE0" w14:textId="77777777" w:rsidR="005B4CD7" w:rsidRPr="00873442" w:rsidRDefault="005B4CD7" w:rsidP="000A6B63">
            <w:pPr>
              <w:ind w:left="0"/>
              <w:rPr>
                <w:highlight w:val="yellow"/>
              </w:rPr>
            </w:pPr>
            <w:r>
              <w:t>Workforce Connect (Optional)</w:t>
            </w:r>
          </w:p>
        </w:tc>
        <w:tc>
          <w:tcPr>
            <w:tcW w:w="2281" w:type="dxa"/>
          </w:tcPr>
          <w:p w14:paraId="004C5EE5" w14:textId="77777777" w:rsidR="005B4CD7" w:rsidRPr="00873442" w:rsidRDefault="005B4CD7" w:rsidP="000A6B63">
            <w:pPr>
              <w:ind w:left="0"/>
              <w:rPr>
                <w:highlight w:val="yellow"/>
              </w:rPr>
            </w:pPr>
          </w:p>
        </w:tc>
      </w:tr>
      <w:tr w:rsidR="005B4CD7" w:rsidRPr="00873442" w14:paraId="0BE8672E" w14:textId="77777777" w:rsidTr="000A6B63">
        <w:tc>
          <w:tcPr>
            <w:tcW w:w="1743" w:type="dxa"/>
          </w:tcPr>
          <w:p w14:paraId="363FC782" w14:textId="77777777" w:rsidR="005B4CD7" w:rsidRPr="00873442" w:rsidRDefault="005B4CD7" w:rsidP="000A6B63">
            <w:pPr>
              <w:ind w:left="0"/>
              <w:rPr>
                <w:highlight w:val="yellow"/>
              </w:rPr>
            </w:pPr>
            <w:r>
              <w:t xml:space="preserve">   OD2A</w:t>
            </w:r>
          </w:p>
        </w:tc>
        <w:tc>
          <w:tcPr>
            <w:tcW w:w="6658" w:type="dxa"/>
          </w:tcPr>
          <w:p w14:paraId="47D5A620" w14:textId="77777777" w:rsidR="005B4CD7" w:rsidRPr="00364874" w:rsidRDefault="005B4CD7" w:rsidP="000A6B63">
            <w:pPr>
              <w:ind w:left="256"/>
            </w:pPr>
            <w:r>
              <w:t>Implement</w:t>
            </w:r>
            <w:r w:rsidRPr="00BE594A">
              <w:t xml:space="preserve"> </w:t>
            </w:r>
            <w:r>
              <w:t>all available Workforce Connect modules (Optional)</w:t>
            </w:r>
          </w:p>
        </w:tc>
        <w:tc>
          <w:tcPr>
            <w:tcW w:w="2281" w:type="dxa"/>
          </w:tcPr>
          <w:p w14:paraId="6A52F75C" w14:textId="77777777" w:rsidR="005B4CD7" w:rsidRPr="00873442" w:rsidRDefault="005B4CD7" w:rsidP="000A6B63">
            <w:pPr>
              <w:ind w:left="0"/>
              <w:rPr>
                <w:highlight w:val="yellow"/>
              </w:rPr>
            </w:pPr>
          </w:p>
        </w:tc>
      </w:tr>
    </w:tbl>
    <w:p w14:paraId="103046AF" w14:textId="77777777" w:rsidR="00EF3C59" w:rsidRPr="00313A02" w:rsidRDefault="00EF3C59" w:rsidP="00EF3C59">
      <w:pPr>
        <w:rPr>
          <w:lang w:eastAsia="en-AU"/>
        </w:rPr>
      </w:pPr>
    </w:p>
    <w:p w14:paraId="27145EF3" w14:textId="73FCA853" w:rsidR="00EF3C59" w:rsidRDefault="00C01471" w:rsidP="00C01471">
      <w:pPr>
        <w:pStyle w:val="Heading3"/>
      </w:pPr>
      <w:bookmarkStart w:id="478" w:name="_Toc13567531"/>
      <w:r>
        <w:t>A</w:t>
      </w:r>
      <w:r w:rsidR="00EF3C59">
        <w:t>12.</w:t>
      </w:r>
      <w:r w:rsidR="00DC6AA9">
        <w:t>6</w:t>
      </w:r>
      <w:r w:rsidR="00EF3C59">
        <w:tab/>
        <w:t>Pricing for Blended Hourly Rate</w:t>
      </w:r>
      <w:bookmarkEnd w:id="478"/>
    </w:p>
    <w:p w14:paraId="538B4CAB" w14:textId="77777777" w:rsidR="00EF3C59" w:rsidRPr="00E21848" w:rsidRDefault="00EF3C59" w:rsidP="00EF3C59">
      <w:pPr>
        <w:rPr>
          <w:lang w:eastAsia="en-AU"/>
        </w:rPr>
      </w:pPr>
      <w:r w:rsidRPr="00E21848">
        <w:rPr>
          <w:lang w:eastAsia="en-AU"/>
        </w:rPr>
        <w:t>Offeror must provide one (1) blended hourly rate as a point of reference for TWC when Change Requests are issued on this contract, if applicable.</w:t>
      </w:r>
      <w:r>
        <w:rPr>
          <w:lang w:eastAsia="en-AU"/>
        </w:rPr>
        <w:t xml:space="preserve"> A </w:t>
      </w:r>
      <w:r>
        <w:rPr>
          <w:rFonts w:eastAsia="Times New Roman"/>
        </w:rPr>
        <w:t>blended hourly rate is the average of hourly rates used to determine proposal pricing.</w:t>
      </w:r>
    </w:p>
    <w:p w14:paraId="22092566" w14:textId="77777777" w:rsidR="00EF3C59" w:rsidRPr="00E21848" w:rsidRDefault="00EF3C59" w:rsidP="00EF3C59">
      <w:pPr>
        <w:rPr>
          <w:lang w:eastAsia="en-AU"/>
        </w:rPr>
      </w:pPr>
      <w:r w:rsidRPr="00E21848">
        <w:rPr>
          <w:lang w:eastAsia="en-AU"/>
        </w:rPr>
        <w:t xml:space="preserve">Blended hourly rate: </w:t>
      </w:r>
      <w:r>
        <w:rPr>
          <w:lang w:eastAsia="en-AU"/>
        </w:rPr>
        <w:t>$</w:t>
      </w:r>
      <w:r w:rsidRPr="004250BE">
        <w:rPr>
          <w:u w:val="single"/>
          <w:lang w:eastAsia="en-AU"/>
        </w:rPr>
        <w:tab/>
      </w:r>
      <w:r w:rsidRPr="004250BE">
        <w:rPr>
          <w:u w:val="single"/>
          <w:lang w:eastAsia="en-AU"/>
        </w:rPr>
        <w:tab/>
      </w:r>
      <w:r w:rsidRPr="004250BE">
        <w:rPr>
          <w:lang w:eastAsia="en-AU"/>
        </w:rPr>
        <w:t>/hour</w:t>
      </w:r>
      <w:r>
        <w:rPr>
          <w:lang w:eastAsia="en-AU"/>
        </w:rPr>
        <w:t>.</w:t>
      </w:r>
    </w:p>
    <w:p w14:paraId="53EC7566" w14:textId="77777777" w:rsidR="00EF3C59" w:rsidRPr="00E57851" w:rsidRDefault="00EF3C59" w:rsidP="00EF3C59"/>
    <w:p w14:paraId="31609E80" w14:textId="29D63E9A" w:rsidR="00EF3C59" w:rsidRDefault="00C01471" w:rsidP="00C01471">
      <w:pPr>
        <w:pStyle w:val="Heading3"/>
      </w:pPr>
      <w:bookmarkStart w:id="479" w:name="_Toc13567532"/>
      <w:r>
        <w:t>A</w:t>
      </w:r>
      <w:r w:rsidR="00EF3C59">
        <w:t>12.</w:t>
      </w:r>
      <w:r w:rsidR="00DC6AA9">
        <w:t>7</w:t>
      </w:r>
      <w:r w:rsidR="00EF3C59">
        <w:tab/>
        <w:t>Pricing for Reports</w:t>
      </w:r>
      <w:bookmarkEnd w:id="479"/>
    </w:p>
    <w:p w14:paraId="62AD632C" w14:textId="35AB1D75" w:rsidR="00EF3C59" w:rsidRPr="00E21848" w:rsidRDefault="00EF3C59" w:rsidP="00EF3C59">
      <w:pPr>
        <w:rPr>
          <w:lang w:eastAsia="en-AU"/>
        </w:rPr>
      </w:pPr>
      <w:r w:rsidRPr="00E21848">
        <w:rPr>
          <w:lang w:eastAsia="en-AU"/>
        </w:rPr>
        <w:t xml:space="preserve">Offeror must provide </w:t>
      </w:r>
      <w:r>
        <w:t xml:space="preserve">a cost per report </w:t>
      </w:r>
      <w:r w:rsidRPr="00E21848">
        <w:rPr>
          <w:lang w:eastAsia="en-AU"/>
        </w:rPr>
        <w:t xml:space="preserve">as a point of reference for TWC: </w:t>
      </w:r>
      <w:r>
        <w:rPr>
          <w:lang w:eastAsia="en-AU"/>
        </w:rPr>
        <w:br/>
        <w:t>$</w:t>
      </w:r>
      <w:r w:rsidR="00FD3A0F" w:rsidRPr="004250BE">
        <w:rPr>
          <w:u w:val="single"/>
          <w:lang w:eastAsia="en-AU"/>
        </w:rPr>
        <w:tab/>
      </w:r>
      <w:r w:rsidR="00FD3A0F" w:rsidRPr="004250BE">
        <w:rPr>
          <w:u w:val="single"/>
          <w:lang w:eastAsia="en-AU"/>
        </w:rPr>
        <w:tab/>
      </w:r>
      <w:r w:rsidR="00FD3A0F" w:rsidRPr="004250BE">
        <w:rPr>
          <w:lang w:eastAsia="en-AU"/>
        </w:rPr>
        <w:t>/</w:t>
      </w:r>
      <w:r>
        <w:rPr>
          <w:lang w:eastAsia="en-AU"/>
        </w:rPr>
        <w:t>report.</w:t>
      </w:r>
    </w:p>
    <w:p w14:paraId="30C2848C" w14:textId="4BBAC743" w:rsidR="00EF3C59" w:rsidRDefault="00EF3C59" w:rsidP="00EF3C59"/>
    <w:p w14:paraId="2B35703D" w14:textId="77777777" w:rsidR="00652EF9" w:rsidRDefault="00652EF9" w:rsidP="00652EF9">
      <w:pPr>
        <w:spacing w:after="160" w:line="259" w:lineRule="auto"/>
        <w:ind w:left="0"/>
        <w:rPr>
          <w:rFonts w:eastAsiaTheme="majorEastAsia" w:cstheme="majorBidi"/>
          <w:b/>
          <w:color w:val="1F3864" w:themeColor="accent5" w:themeShade="80"/>
          <w:sz w:val="26"/>
          <w:szCs w:val="26"/>
        </w:rPr>
      </w:pPr>
      <w:r>
        <w:br w:type="page"/>
      </w:r>
    </w:p>
    <w:p w14:paraId="29FBF012" w14:textId="2329089F" w:rsidR="00652EF9" w:rsidRPr="008259A9" w:rsidRDefault="00652EF9" w:rsidP="00652EF9">
      <w:pPr>
        <w:pStyle w:val="Heading2"/>
        <w:rPr>
          <w:lang w:eastAsia="en-AU"/>
        </w:rPr>
      </w:pPr>
      <w:bookmarkStart w:id="480" w:name="_Toc13567533"/>
      <w:r w:rsidRPr="008259A9">
        <w:rPr>
          <w:lang w:eastAsia="en-AU"/>
        </w:rPr>
        <w:lastRenderedPageBreak/>
        <w:t xml:space="preserve">Attachment </w:t>
      </w:r>
      <w:r>
        <w:rPr>
          <w:lang w:eastAsia="en-AU"/>
        </w:rPr>
        <w:t>13</w:t>
      </w:r>
      <w:r w:rsidRPr="008259A9">
        <w:rPr>
          <w:lang w:eastAsia="en-AU"/>
        </w:rPr>
        <w:t xml:space="preserve"> – </w:t>
      </w:r>
      <w:r>
        <w:rPr>
          <w:lang w:eastAsia="en-AU"/>
        </w:rPr>
        <w:t>DCS Background Information</w:t>
      </w:r>
      <w:bookmarkEnd w:id="480"/>
    </w:p>
    <w:p w14:paraId="682632B5" w14:textId="2E91FC54" w:rsidR="00652EF9" w:rsidRDefault="00652EF9" w:rsidP="00652EF9">
      <w:r w:rsidRPr="00652EF9">
        <w:t>Collectively, the DCS contracts provide participating Customers mainframe and server operations, including hybrid public cloud services, disaster recovery, and bulk print and mail services in Customer data centers and two commercial-grade data center facilities: one located in San Angelo, Texas, and one located in Austin, Texas, with a goal to migrate all possible services to the two consolidated facilities</w:t>
      </w:r>
      <w:r>
        <w:t>.</w:t>
      </w:r>
    </w:p>
    <w:p w14:paraId="1C742611" w14:textId="080740B0" w:rsidR="00652EF9" w:rsidRPr="004455AC" w:rsidRDefault="00652EF9" w:rsidP="00652EF9">
      <w:pPr>
        <w:pStyle w:val="Heading3"/>
      </w:pPr>
      <w:bookmarkStart w:id="481" w:name="_Toc13567534"/>
      <w:r>
        <w:t>DCS Service Provider Roles</w:t>
      </w:r>
      <w:bookmarkEnd w:id="481"/>
    </w:p>
    <w:p w14:paraId="43427D67" w14:textId="73A03931" w:rsidR="0031281E" w:rsidRPr="0031281E" w:rsidRDefault="0031281E" w:rsidP="0031281E">
      <w:r w:rsidRPr="0031281E">
        <w:t>There are two di</w:t>
      </w:r>
      <w:r>
        <w:t>fferent service provider roles:</w:t>
      </w:r>
      <w:r w:rsidRPr="0031281E">
        <w:t xml:space="preserve"> multi-sourcing service integrator (MSI) and service component provider (SCP).  Below is a high-level picture of how roles and responsibilities are divided within DCS.</w:t>
      </w:r>
    </w:p>
    <w:p w14:paraId="68D1A405" w14:textId="77777777" w:rsidR="0031281E" w:rsidRPr="00B91512" w:rsidRDefault="0031281E" w:rsidP="0031281E">
      <w:pPr>
        <w:rPr>
          <w:color w:val="000000"/>
        </w:rPr>
      </w:pPr>
    </w:p>
    <w:p w14:paraId="4D8E3838" w14:textId="06418C75" w:rsidR="0031281E" w:rsidRPr="00B91512" w:rsidRDefault="0031281E" w:rsidP="0031281E">
      <w:pPr>
        <w:rPr>
          <w:color w:val="000000"/>
        </w:rPr>
      </w:pPr>
      <w:r w:rsidRPr="00B91512">
        <w:rPr>
          <w:noProof/>
        </w:rPr>
        <w:drawing>
          <wp:inline distT="0" distB="0" distL="0" distR="0" wp14:anchorId="437EEDB1" wp14:editId="147CE58D">
            <wp:extent cx="5336540" cy="3350260"/>
            <wp:effectExtent l="0" t="0" r="0" b="0"/>
            <wp:docPr id="7" name="Picture 7" descr="Graphic: Functions in the DCS program are split between the MSI and the Service Component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336540" cy="3350260"/>
                    </a:xfrm>
                    <a:prstGeom prst="rect">
                      <a:avLst/>
                    </a:prstGeom>
                    <a:noFill/>
                    <a:ln>
                      <a:noFill/>
                    </a:ln>
                  </pic:spPr>
                </pic:pic>
              </a:graphicData>
            </a:graphic>
          </wp:inline>
        </w:drawing>
      </w:r>
    </w:p>
    <w:p w14:paraId="640FA577" w14:textId="77777777" w:rsidR="0031281E" w:rsidRPr="00B91512" w:rsidRDefault="0031281E" w:rsidP="0031281E">
      <w:pPr>
        <w:rPr>
          <w:color w:val="000000"/>
        </w:rPr>
      </w:pPr>
    </w:p>
    <w:p w14:paraId="474BC05D" w14:textId="61897739" w:rsidR="0031281E" w:rsidRPr="0031281E" w:rsidRDefault="0031281E" w:rsidP="0031281E">
      <w:pPr>
        <w:pStyle w:val="Heading3"/>
      </w:pPr>
      <w:bookmarkStart w:id="482" w:name="_Toc213049101"/>
      <w:bookmarkStart w:id="483" w:name="_Toc13567535"/>
      <w:r w:rsidRPr="0031281E">
        <w:t>Infrastructure</w:t>
      </w:r>
      <w:bookmarkEnd w:id="482"/>
      <w:bookmarkEnd w:id="483"/>
    </w:p>
    <w:p w14:paraId="401F8C79" w14:textId="1181F2B7" w:rsidR="0031281E" w:rsidRPr="00B91512" w:rsidRDefault="0031281E" w:rsidP="0031281E">
      <w:r w:rsidRPr="00B91512">
        <w:t xml:space="preserve">The </w:t>
      </w:r>
      <w:r w:rsidR="000A6B63">
        <w:t>Awarded Vendor</w:t>
      </w:r>
      <w:r w:rsidRPr="00B91512">
        <w:t xml:space="preserve"> is required to work closely with the DCS Service Providers to establish the infrastructure for their hosted solution. Generally, all activities that require privileged access (i.e., root access) are performed by the SCP, unless otherwise delegated to the </w:t>
      </w:r>
      <w:r w:rsidR="000A6B63">
        <w:t>Awarded Vendor</w:t>
      </w:r>
      <w:r w:rsidR="000A6B63" w:rsidRPr="00B91512">
        <w:t xml:space="preserve"> </w:t>
      </w:r>
      <w:r w:rsidRPr="00B91512">
        <w:t xml:space="preserve">by the SCP through the DCS Change Management process. </w:t>
      </w:r>
    </w:p>
    <w:p w14:paraId="155CCBE3" w14:textId="77777777" w:rsidR="0031281E" w:rsidRPr="00B91512" w:rsidRDefault="0031281E" w:rsidP="00B91512">
      <w:r w:rsidRPr="00B91512">
        <w:t xml:space="preserve">The following is a high-level service description of fully managed services provided by DCS Service Providers through the DCS program. All server environments (private community cloud as well as public government cloud) including, but not </w:t>
      </w:r>
      <w:r w:rsidRPr="00B91512">
        <w:lastRenderedPageBreak/>
        <w:t xml:space="preserve">limited to, production, test, and development are included and receive these services: </w:t>
      </w:r>
    </w:p>
    <w:p w14:paraId="24067359" w14:textId="77777777" w:rsidR="0031281E" w:rsidRPr="00B91512" w:rsidRDefault="0031281E" w:rsidP="00B91512">
      <w:pPr>
        <w:pStyle w:val="LB1"/>
      </w:pPr>
      <w:r w:rsidRPr="00B91512">
        <w:t xml:space="preserve">Server hardware on standardized Intel, AIX, Solaris shared and dedicated platforms.  </w:t>
      </w:r>
    </w:p>
    <w:p w14:paraId="2683D36F" w14:textId="77777777" w:rsidR="0031281E" w:rsidRPr="00B91512" w:rsidRDefault="0031281E" w:rsidP="00B91512">
      <w:pPr>
        <w:pStyle w:val="LB1"/>
      </w:pPr>
      <w:r w:rsidRPr="00B91512">
        <w:t xml:space="preserve">Server hardware and operating system installation, support, and maintenance, </w:t>
      </w:r>
    </w:p>
    <w:p w14:paraId="2A530259" w14:textId="77777777" w:rsidR="0031281E" w:rsidRPr="00B91512" w:rsidRDefault="0031281E" w:rsidP="00B91512">
      <w:pPr>
        <w:pStyle w:val="LB1"/>
      </w:pPr>
      <w:r w:rsidRPr="00B91512">
        <w:t>Server software installation, upgrades, support, and maintenance for infrastructure, middleware, application utility, and data</w:t>
      </w:r>
      <w:r w:rsidRPr="00B91512">
        <w:softHyphen/>
        <w:t>base software,</w:t>
      </w:r>
    </w:p>
    <w:p w14:paraId="4D8DCC93" w14:textId="77777777" w:rsidR="0031281E" w:rsidRPr="00B91512" w:rsidRDefault="0031281E" w:rsidP="00B91512">
      <w:pPr>
        <w:pStyle w:val="LB1"/>
      </w:pPr>
      <w:r w:rsidRPr="00B91512">
        <w:t xml:space="preserve">System administration for all in-scope server software, </w:t>
      </w:r>
    </w:p>
    <w:p w14:paraId="53EDFEBD" w14:textId="77777777" w:rsidR="0031281E" w:rsidRPr="00B91512" w:rsidRDefault="0031281E" w:rsidP="00B91512">
      <w:pPr>
        <w:pStyle w:val="LB1"/>
      </w:pPr>
      <w:r w:rsidRPr="00B91512">
        <w:t>Server administration administered remotely from central location,</w:t>
      </w:r>
    </w:p>
    <w:p w14:paraId="6C52829B" w14:textId="77777777" w:rsidR="0031281E" w:rsidRPr="00B91512" w:rsidRDefault="0031281E" w:rsidP="00B91512">
      <w:pPr>
        <w:pStyle w:val="LB1"/>
      </w:pPr>
      <w:r w:rsidRPr="00B91512">
        <w:t>Computer operations and monitoring,</w:t>
      </w:r>
    </w:p>
    <w:p w14:paraId="34696E5E" w14:textId="77777777" w:rsidR="0031281E" w:rsidRPr="00B91512" w:rsidRDefault="0031281E" w:rsidP="00B91512">
      <w:pPr>
        <w:pStyle w:val="LB1"/>
      </w:pPr>
      <w:r w:rsidRPr="00B91512">
        <w:t xml:space="preserve">Production control (batch scheduling, job scheduling), </w:t>
      </w:r>
    </w:p>
    <w:p w14:paraId="4BBBE1F1" w14:textId="77777777" w:rsidR="0031281E" w:rsidRPr="00B91512" w:rsidRDefault="0031281E" w:rsidP="00B91512">
      <w:pPr>
        <w:pStyle w:val="LB1"/>
      </w:pPr>
      <w:r w:rsidRPr="00B91512">
        <w:t>Storage management (disk, tape),</w:t>
      </w:r>
    </w:p>
    <w:p w14:paraId="01D7B392" w14:textId="77777777" w:rsidR="0031281E" w:rsidRPr="00B91512" w:rsidRDefault="0031281E" w:rsidP="00B91512">
      <w:pPr>
        <w:pStyle w:val="LB1"/>
      </w:pPr>
      <w:r w:rsidRPr="00B91512">
        <w:t xml:space="preserve">Disaster recovery backups and offsite tape storage, </w:t>
      </w:r>
    </w:p>
    <w:p w14:paraId="4B10936C" w14:textId="77777777" w:rsidR="0031281E" w:rsidRPr="00B91512" w:rsidRDefault="0031281E" w:rsidP="00B91512">
      <w:pPr>
        <w:pStyle w:val="LB1"/>
      </w:pPr>
      <w:r w:rsidRPr="00B91512">
        <w:t>Physical database administration,</w:t>
      </w:r>
    </w:p>
    <w:p w14:paraId="55F47698" w14:textId="77777777" w:rsidR="0031281E" w:rsidRPr="00B91512" w:rsidRDefault="0031281E" w:rsidP="00B91512">
      <w:pPr>
        <w:pStyle w:val="LB1"/>
      </w:pPr>
      <w:r w:rsidRPr="00B91512">
        <w:t xml:space="preserve">Data center print services (printer operations; report staging for distribution; ordering paper, special forms, etc.; inserts; and bulk print mailings), </w:t>
      </w:r>
    </w:p>
    <w:p w14:paraId="1E768654" w14:textId="77777777" w:rsidR="0031281E" w:rsidRPr="00B91512" w:rsidRDefault="0031281E" w:rsidP="00B91512">
      <w:pPr>
        <w:pStyle w:val="LB1"/>
      </w:pPr>
      <w:r w:rsidRPr="00B91512">
        <w:t>Facility and environmental support within the State data centers,</w:t>
      </w:r>
    </w:p>
    <w:p w14:paraId="440C0794" w14:textId="77777777" w:rsidR="0031281E" w:rsidRPr="00B91512" w:rsidRDefault="0031281E" w:rsidP="00B91512">
      <w:pPr>
        <w:pStyle w:val="LB1"/>
      </w:pPr>
      <w:r w:rsidRPr="00B91512">
        <w:t xml:space="preserve">Capacity planning, </w:t>
      </w:r>
    </w:p>
    <w:p w14:paraId="1C8B820C" w14:textId="77777777" w:rsidR="0031281E" w:rsidRPr="00B91512" w:rsidRDefault="0031281E" w:rsidP="00B91512">
      <w:pPr>
        <w:pStyle w:val="LB1"/>
      </w:pPr>
      <w:r w:rsidRPr="00B91512">
        <w:t>Disaster recovery planning and testing for all data center services,</w:t>
      </w:r>
    </w:p>
    <w:p w14:paraId="2F08D290" w14:textId="77777777" w:rsidR="0031281E" w:rsidRPr="00B91512" w:rsidRDefault="0031281E" w:rsidP="00B91512">
      <w:pPr>
        <w:pStyle w:val="LB1"/>
      </w:pPr>
      <w:r w:rsidRPr="00B91512">
        <w:t xml:space="preserve">Business continuity planning (service provider processes), </w:t>
      </w:r>
    </w:p>
    <w:p w14:paraId="0082ADBE" w14:textId="77777777" w:rsidR="0031281E" w:rsidRPr="00B91512" w:rsidRDefault="0031281E" w:rsidP="00B91512">
      <w:pPr>
        <w:pStyle w:val="LB1"/>
      </w:pPr>
      <w:r w:rsidRPr="00B91512">
        <w:t>Support Center (for in-scope data center services) using the MSI Service Now incident, problem tracking and resolution application,</w:t>
      </w:r>
    </w:p>
    <w:p w14:paraId="304FF3D1" w14:textId="77777777" w:rsidR="0031281E" w:rsidRPr="00B91512" w:rsidRDefault="0031281E" w:rsidP="00B91512">
      <w:pPr>
        <w:pStyle w:val="LB1"/>
      </w:pPr>
      <w:r w:rsidRPr="00B91512">
        <w:t xml:space="preserve">Hardware/software procurement for in-scope services, </w:t>
      </w:r>
    </w:p>
    <w:p w14:paraId="06496FB3" w14:textId="77777777" w:rsidR="0031281E" w:rsidRPr="00B91512" w:rsidRDefault="0031281E" w:rsidP="00B91512">
      <w:pPr>
        <w:pStyle w:val="LB1"/>
      </w:pPr>
      <w:r w:rsidRPr="00B91512">
        <w:t>Support and maintenance for the LAN environment within the data center facility,</w:t>
      </w:r>
    </w:p>
    <w:p w14:paraId="4A4ECBAE" w14:textId="77777777" w:rsidR="0031281E" w:rsidRPr="00B91512" w:rsidRDefault="0031281E" w:rsidP="00B91512">
      <w:pPr>
        <w:pStyle w:val="LB1"/>
      </w:pPr>
      <w:r w:rsidRPr="00B91512">
        <w:t xml:space="preserve">Standard security controls managed at the enterprise, </w:t>
      </w:r>
    </w:p>
    <w:p w14:paraId="4BE8A365" w14:textId="77777777" w:rsidR="0031281E" w:rsidRPr="00B91512" w:rsidRDefault="0031281E" w:rsidP="00B91512">
      <w:pPr>
        <w:pStyle w:val="LB1"/>
      </w:pPr>
      <w:r w:rsidRPr="00B91512">
        <w:t xml:space="preserve">Vulnerability/threat/virus support, </w:t>
      </w:r>
    </w:p>
    <w:p w14:paraId="36D13F4C" w14:textId="77777777" w:rsidR="0031281E" w:rsidRPr="00B91512" w:rsidRDefault="0031281E" w:rsidP="00B91512">
      <w:pPr>
        <w:pStyle w:val="LB1"/>
      </w:pPr>
      <w:r w:rsidRPr="00B91512">
        <w:t>Security software installation and maintenance,</w:t>
      </w:r>
    </w:p>
    <w:p w14:paraId="147605C7" w14:textId="77777777" w:rsidR="0031281E" w:rsidRPr="00B91512" w:rsidRDefault="0031281E" w:rsidP="00B91512">
      <w:pPr>
        <w:pStyle w:val="LB1"/>
      </w:pPr>
      <w:r w:rsidRPr="00B91512">
        <w:t>Physical security within the State data centers,</w:t>
      </w:r>
    </w:p>
    <w:p w14:paraId="0EC85B7E" w14:textId="77777777" w:rsidR="0031281E" w:rsidRPr="00B91512" w:rsidRDefault="0031281E" w:rsidP="00B91512">
      <w:pPr>
        <w:pStyle w:val="LB1"/>
      </w:pPr>
      <w:r w:rsidRPr="00B91512">
        <w:t>Process management,</w:t>
      </w:r>
    </w:p>
    <w:p w14:paraId="376AAD17" w14:textId="4F6DA9A0" w:rsidR="0031281E" w:rsidRPr="00B91512" w:rsidRDefault="0031281E" w:rsidP="00B91512">
      <w:pPr>
        <w:pStyle w:val="LB1"/>
      </w:pPr>
      <w:r w:rsidRPr="00B91512">
        <w:t xml:space="preserve">Incident management, problem management, change management, configuration </w:t>
      </w:r>
      <w:r w:rsidR="00B91512">
        <w:t>management, release management,</w:t>
      </w:r>
    </w:p>
    <w:p w14:paraId="127F2DAA" w14:textId="07DE6424" w:rsidR="0031281E" w:rsidRPr="00B91512" w:rsidRDefault="0031281E" w:rsidP="00B91512">
      <w:pPr>
        <w:pStyle w:val="LB1"/>
      </w:pPr>
      <w:r w:rsidRPr="00B91512">
        <w:t>Standard infrastructu</w:t>
      </w:r>
      <w:r w:rsidR="00B91512">
        <w:t>re DCS Service Level Agreements,</w:t>
      </w:r>
    </w:p>
    <w:p w14:paraId="34079239" w14:textId="21D24CF5" w:rsidR="0031281E" w:rsidRPr="00B91512" w:rsidRDefault="0031281E" w:rsidP="00B91512">
      <w:pPr>
        <w:pStyle w:val="LB1"/>
      </w:pPr>
      <w:r w:rsidRPr="00B91512">
        <w:t>Enterprise ADFS and Domain Co</w:t>
      </w:r>
      <w:r w:rsidR="00B91512">
        <w:t>ntroller Privileged ID services,</w:t>
      </w:r>
    </w:p>
    <w:p w14:paraId="218168C7" w14:textId="1E559CF0" w:rsidR="0031281E" w:rsidRPr="00B91512" w:rsidRDefault="0031281E" w:rsidP="00B91512">
      <w:pPr>
        <w:pStyle w:val="LB1"/>
      </w:pPr>
      <w:r w:rsidRPr="00B91512">
        <w:t>Hardware and Software</w:t>
      </w:r>
      <w:r w:rsidR="00B91512">
        <w:t xml:space="preserve"> Currency Standards and Refresh, and</w:t>
      </w:r>
    </w:p>
    <w:p w14:paraId="7C9D6C7C" w14:textId="77777777" w:rsidR="0031281E" w:rsidRPr="00B91512" w:rsidRDefault="0031281E" w:rsidP="00B91512">
      <w:pPr>
        <w:pStyle w:val="LB1"/>
      </w:pPr>
      <w:r w:rsidRPr="00B91512">
        <w:t>Enterprise technology standards and roadmap.</w:t>
      </w:r>
    </w:p>
    <w:p w14:paraId="3E57DB37" w14:textId="2FACCD81" w:rsidR="0031281E" w:rsidRPr="00B91512" w:rsidRDefault="0031281E" w:rsidP="00B91512">
      <w:pPr>
        <w:pStyle w:val="Heading3"/>
      </w:pPr>
      <w:bookmarkStart w:id="484" w:name="_Toc213049102"/>
      <w:bookmarkStart w:id="485" w:name="_Toc13567536"/>
      <w:r w:rsidRPr="00B91512">
        <w:t>DCS Service Level Agreements</w:t>
      </w:r>
      <w:bookmarkEnd w:id="484"/>
      <w:bookmarkEnd w:id="485"/>
    </w:p>
    <w:p w14:paraId="4B81A4B9" w14:textId="16026A5B" w:rsidR="0031281E" w:rsidRPr="000A6B63" w:rsidRDefault="0031281E" w:rsidP="000A6B63">
      <w:r w:rsidRPr="000A6B63">
        <w:t xml:space="preserve">The </w:t>
      </w:r>
      <w:r w:rsidR="000A6B63" w:rsidRPr="000A6B63">
        <w:t>TWC</w:t>
      </w:r>
      <w:r w:rsidRPr="000A6B63">
        <w:t xml:space="preserve"> infrastructure will be subject to the standard infrastructure DCS SLAs, which are described in the </w:t>
      </w:r>
      <w:hyperlink r:id="rId99" w:history="1">
        <w:r w:rsidRPr="00391C30">
          <w:t>DCS Master Services Agreement</w:t>
        </w:r>
      </w:hyperlink>
      <w:r w:rsidRPr="000A6B63">
        <w:t xml:space="preserve">, </w:t>
      </w:r>
      <w:r w:rsidR="006E46E4">
        <w:t xml:space="preserve">Exhibit 3, found at </w:t>
      </w:r>
      <w:hyperlink r:id="rId100" w:history="1">
        <w:r w:rsidR="006E46E4">
          <w:rPr>
            <w:rStyle w:val="Hyperlink"/>
          </w:rPr>
          <w:t>https://pubext.dir.texas.gov/portal/internal/contracts-and-services/Contracts/DIR-DCS-SCP-MSA-002-Exhibit%203-Service%20Levels%20updated%20in%20Amend%2014.pdf</w:t>
        </w:r>
      </w:hyperlink>
      <w:r w:rsidRPr="000A6B63">
        <w:t xml:space="preserve">. The goal of the DCS </w:t>
      </w:r>
      <w:r w:rsidRPr="000A6B63">
        <w:lastRenderedPageBreak/>
        <w:t>SLAs is quality performance from the DCS Service Providers through incentives for consistent quality behaviors that meet the State’s expectations. The DCS SLAs are constructed to incent the DCS Service Providers to perform and allow the parties to modify the DCS SLAs without a contract change.</w:t>
      </w:r>
    </w:p>
    <w:p w14:paraId="47991B95" w14:textId="77777777" w:rsidR="0031281E" w:rsidRPr="000A6B63" w:rsidRDefault="0031281E" w:rsidP="000A6B63">
      <w:r w:rsidRPr="000A6B63">
        <w:t xml:space="preserve">There are critical service levels (tied to financial credits for the State for performance failures) and additional key measurements. Key measurements can be promoted to critical service levels, allowing flexibility to focus attention on a particular area. </w:t>
      </w:r>
    </w:p>
    <w:p w14:paraId="57C3FCD1" w14:textId="77777777" w:rsidR="0031281E" w:rsidRPr="000A6B63" w:rsidRDefault="0031281E" w:rsidP="000A6B63">
      <w:r w:rsidRPr="000A6B63">
        <w:t xml:space="preserve">In addition, the DCS Master Services Agreements embrace the concept of continuous improvement. Each year, the Expected Value of the DCS SLA automatically increases in accordance with the methodology described in Exhibit 3 of the DCS Master Services Agreements. </w:t>
      </w:r>
    </w:p>
    <w:p w14:paraId="14C6C807" w14:textId="227AD516" w:rsidR="0031281E" w:rsidRPr="00B91512" w:rsidRDefault="0031281E" w:rsidP="00B91512">
      <w:pPr>
        <w:pStyle w:val="Heading3"/>
      </w:pPr>
      <w:bookmarkStart w:id="486" w:name="_Toc213049103"/>
      <w:bookmarkStart w:id="487" w:name="_Toc13567537"/>
      <w:r w:rsidRPr="00B91512">
        <w:t>DCS Disaster Recovery Overview</w:t>
      </w:r>
      <w:bookmarkEnd w:id="486"/>
      <w:bookmarkEnd w:id="487"/>
    </w:p>
    <w:p w14:paraId="28F46FD0" w14:textId="77777777" w:rsidR="0031281E" w:rsidRPr="00391C30" w:rsidRDefault="0031281E" w:rsidP="0031281E">
      <w:r w:rsidRPr="00391C30">
        <w:t>The DCS approach to restoration uses a dual-site solution, where each data center uses the other as a backup in case of a disaster. Each data center maintains the ability to restore critical data and applications from its sister site. Both data centers have bandwidth capacity to support restoration while maintaining current operations. The dual-site solution can also be expanded to the Public Government Clouds offered in a hybrid model for additional backup sites to support recovery.</w:t>
      </w:r>
    </w:p>
    <w:p w14:paraId="44724C0A" w14:textId="77777777" w:rsidR="0031281E" w:rsidRPr="00391C30" w:rsidRDefault="0031281E" w:rsidP="0031281E">
      <w:r w:rsidRPr="00391C30">
        <w:t>Applications covered by the DCS infrastructure are prioritized into one of several recovery time objective (RTO) classifications—Class P, Class 1, Class 2A. Class 2B, Class 3, Class 4, Class 5, Class 6, or Class 7 —based on criticality to business operations and other considerations. The RTO is the time in which systems, applications, or functions must be recovered after a disaster is declared and helps determine the recovery strategy.</w:t>
      </w:r>
    </w:p>
    <w:p w14:paraId="6FDBEE6D" w14:textId="77777777" w:rsidR="0031281E" w:rsidRPr="00391C30" w:rsidRDefault="0031281E" w:rsidP="0031281E">
      <w:r w:rsidRPr="00391C30">
        <w:t>The DCS Service Providers are required to conduct periodic simulation or tabletop exercises, according to the Disaster Recovery (DR) Class, to test the effectiveness of the disaster recovery response. Lessons learned from these exercises are incorporated into the disaster recovery planning. The DCS Master Services Agreements, Exhibit 16 and Exhibit 2.1, describe IT service continuity management and disaster recovery requirements, including the RTO classifications and eligibility for DR exercises.  The DCS Master Services Agreements, Attachment 4-E describes the available tiers of Servers, tiers of storage, and the Recovery Point Objectives (RPO).</w:t>
      </w:r>
    </w:p>
    <w:p w14:paraId="6356C0C9" w14:textId="4A7A19DF" w:rsidR="0031281E" w:rsidRPr="00391C30" w:rsidRDefault="0031281E" w:rsidP="0031281E">
      <w:r w:rsidRPr="00391C30">
        <w:t xml:space="preserve">The </w:t>
      </w:r>
      <w:r w:rsidR="00391C30">
        <w:t xml:space="preserve">Awarded </w:t>
      </w:r>
      <w:r w:rsidRPr="00391C30">
        <w:t xml:space="preserve">Vendor will be required to work closely with DCS Service Providers to develop and update disaster recovery plans, periodically complete DR exercises, and restore services in the event of a declared disaster. </w:t>
      </w:r>
    </w:p>
    <w:p w14:paraId="122EBC29" w14:textId="7F807997" w:rsidR="0031281E" w:rsidRPr="00B91512" w:rsidRDefault="0031281E" w:rsidP="00B91512">
      <w:pPr>
        <w:pStyle w:val="Heading3"/>
      </w:pPr>
      <w:bookmarkStart w:id="488" w:name="_Toc213049104"/>
      <w:bookmarkStart w:id="489" w:name="_Toc13567538"/>
      <w:r w:rsidRPr="00B91512">
        <w:lastRenderedPageBreak/>
        <w:t>DCS Hardware and Software Acquisition</w:t>
      </w:r>
      <w:bookmarkEnd w:id="488"/>
      <w:bookmarkEnd w:id="489"/>
    </w:p>
    <w:p w14:paraId="25F51BE8" w14:textId="590DDBF2" w:rsidR="0031281E" w:rsidRPr="00391C30" w:rsidRDefault="0031281E" w:rsidP="0031281E">
      <w:r w:rsidRPr="00391C30">
        <w:t xml:space="preserve">As a participating entity in the DCS program, </w:t>
      </w:r>
      <w:r w:rsidR="000A6B63" w:rsidRPr="00391C30">
        <w:t>TWC</w:t>
      </w:r>
      <w:r w:rsidRPr="00391C30">
        <w:t xml:space="preserve"> is required to acquire all in-scope infrastructure hardware and software through the DCS program. The Vendor is required to participate in the procurement process, including submitting the request for service into the DCS Service Now Tool, participating in the requirements gathering sessions, and validating the acquisition proposals received. As much as technically possible, the DCS program uses virtualized server instances on standard hardware configurations. Proper long-range planning is required in order to ensure that hardware and software is received to meet project schedules.</w:t>
      </w:r>
    </w:p>
    <w:p w14:paraId="473C50CC" w14:textId="77777777" w:rsidR="0031281E" w:rsidRPr="00B91512" w:rsidRDefault="0031281E" w:rsidP="00B91512">
      <w:pPr>
        <w:pStyle w:val="Heading3"/>
      </w:pPr>
      <w:bookmarkStart w:id="490" w:name="_Toc13567539"/>
      <w:r w:rsidRPr="00B91512">
        <w:t>DCS Intel Based Configurations</w:t>
      </w:r>
      <w:bookmarkEnd w:id="490"/>
    </w:p>
    <w:p w14:paraId="6FF480D1" w14:textId="77777777" w:rsidR="0031281E" w:rsidRPr="00391C30" w:rsidRDefault="0031281E" w:rsidP="0031281E">
      <w:r w:rsidRPr="00391C30">
        <w:t xml:space="preserve">Virtualized Intel based server instances in the ADC and SDC are VCE vBlock construction for both Windows and Linux O/S platforms. </w:t>
      </w:r>
    </w:p>
    <w:p w14:paraId="11FEC28C" w14:textId="77777777" w:rsidR="0031281E" w:rsidRPr="00391C30" w:rsidRDefault="0031281E" w:rsidP="00391C30">
      <w:pPr>
        <w:pStyle w:val="LB1"/>
      </w:pPr>
      <w:r w:rsidRPr="00391C30">
        <w:t>Vblock consists of EMC storage coupled with VMware virtualization and Cisco Network and Compute equipment.  Additionally, Vblock incorporates EMC’s Unified Infrastructure Manager (UIM) which enables automation and single point of management for most of the infrastructure components</w:t>
      </w:r>
    </w:p>
    <w:p w14:paraId="757A28A2" w14:textId="77777777" w:rsidR="0031281E" w:rsidRPr="00391C30" w:rsidRDefault="0031281E" w:rsidP="00391C30">
      <w:pPr>
        <w:pStyle w:val="LB1"/>
      </w:pPr>
      <w:r w:rsidRPr="00391C30">
        <w:t>VMware vSphere, virtualization platform private cloud infrastructure</w:t>
      </w:r>
    </w:p>
    <w:p w14:paraId="2E433E68" w14:textId="77777777" w:rsidR="00391C30" w:rsidRDefault="00391C30" w:rsidP="0031281E">
      <w:pPr>
        <w:rPr>
          <w:highlight w:val="yellow"/>
        </w:rPr>
      </w:pPr>
    </w:p>
    <w:p w14:paraId="6A75BC65" w14:textId="348D5D5B" w:rsidR="0031281E" w:rsidRPr="00391C30" w:rsidRDefault="0031281E" w:rsidP="0031281E">
      <w:r w:rsidRPr="00391C30">
        <w:t>Virtualized AIX based server instances in the ADC and SDC are IBM Flex Systems with an associated IBM System Storage SAN.</w:t>
      </w:r>
    </w:p>
    <w:p w14:paraId="41C95E1C" w14:textId="77777777" w:rsidR="0031281E" w:rsidRPr="00391C30" w:rsidRDefault="0031281E" w:rsidP="0031281E">
      <w:r w:rsidRPr="00391C30">
        <w:t>Virtualized Solaris based server instances in the ADC and SDC are Oracle T5-4 chassis with storage on the EMC SAN.</w:t>
      </w:r>
    </w:p>
    <w:p w14:paraId="652C35D5" w14:textId="77777777" w:rsidR="0031281E" w:rsidRPr="00B91512" w:rsidRDefault="0031281E" w:rsidP="00B91512">
      <w:pPr>
        <w:pStyle w:val="Heading3"/>
      </w:pPr>
      <w:bookmarkStart w:id="491" w:name="_Toc213049105"/>
      <w:bookmarkStart w:id="492" w:name="_Toc13567540"/>
      <w:r w:rsidRPr="00B91512">
        <w:t>Process Management</w:t>
      </w:r>
      <w:bookmarkEnd w:id="491"/>
      <w:bookmarkEnd w:id="492"/>
      <w:r w:rsidRPr="00B91512">
        <w:t xml:space="preserve"> </w:t>
      </w:r>
    </w:p>
    <w:p w14:paraId="6C1A082A" w14:textId="33A0F8A8" w:rsidR="0031281E" w:rsidRPr="00391C30" w:rsidRDefault="00391C30" w:rsidP="00391C30">
      <w:r>
        <w:t xml:space="preserve">Awarded </w:t>
      </w:r>
      <w:r w:rsidR="0031281E" w:rsidRPr="00391C30">
        <w:t xml:space="preserve">Vendor will be required to participate in the defined DCS processes for incident management, problem management, change management, release management, configuration management, and request management. In the management plans described in this RFO Section </w:t>
      </w:r>
      <w:r>
        <w:t>3.2</w:t>
      </w:r>
      <w:r w:rsidR="0031281E" w:rsidRPr="00391C30">
        <w:t xml:space="preserve">, the </w:t>
      </w:r>
      <w:r>
        <w:t xml:space="preserve">Awarded </w:t>
      </w:r>
      <w:r w:rsidRPr="00391C30">
        <w:t xml:space="preserve">Vendor </w:t>
      </w:r>
      <w:r w:rsidR="0031281E" w:rsidRPr="00391C30">
        <w:t>must describe its interactions with the DCS program. The DCS Services Management Manual is available upon request.</w:t>
      </w:r>
    </w:p>
    <w:p w14:paraId="3DB820A7" w14:textId="04545FEC" w:rsidR="0031281E" w:rsidRPr="00B91512" w:rsidRDefault="0031281E" w:rsidP="00B91512">
      <w:pPr>
        <w:pStyle w:val="Heading3"/>
      </w:pPr>
      <w:bookmarkStart w:id="493" w:name="_Toc213049107"/>
      <w:bookmarkStart w:id="494" w:name="_Toc13567541"/>
      <w:r w:rsidRPr="00B91512">
        <w:t>Database Administration</w:t>
      </w:r>
      <w:bookmarkEnd w:id="493"/>
      <w:bookmarkEnd w:id="494"/>
    </w:p>
    <w:p w14:paraId="5BC98800" w14:textId="19D007B4" w:rsidR="0031281E" w:rsidRPr="00391C30" w:rsidRDefault="0031281E" w:rsidP="0031281E">
      <w:r w:rsidRPr="00391C30">
        <w:t xml:space="preserve">The </w:t>
      </w:r>
      <w:r w:rsidR="00391C30">
        <w:t xml:space="preserve">Awarded </w:t>
      </w:r>
      <w:r w:rsidR="00391C30" w:rsidRPr="00391C30">
        <w:t xml:space="preserve">Vendor </w:t>
      </w:r>
      <w:r w:rsidRPr="00391C30">
        <w:t xml:space="preserve">will be responsible for logical database administration. </w:t>
      </w:r>
    </w:p>
    <w:p w14:paraId="5D733FF7" w14:textId="236BCB86" w:rsidR="0031281E" w:rsidRPr="00391C30" w:rsidRDefault="0031281E" w:rsidP="00391C30">
      <w:r w:rsidRPr="00391C30">
        <w:t xml:space="preserve">The </w:t>
      </w:r>
      <w:r w:rsidR="00391C30">
        <w:t xml:space="preserve">Awarded </w:t>
      </w:r>
      <w:r w:rsidR="00391C30" w:rsidRPr="00391C30">
        <w:t xml:space="preserve">Vendor </w:t>
      </w:r>
      <w:r w:rsidRPr="00391C30">
        <w:t>is required to work closely with SCPs, as SCPs perform physical database administration activities, including</w:t>
      </w:r>
      <w:r w:rsidR="00391C30">
        <w:t>:</w:t>
      </w:r>
    </w:p>
    <w:p w14:paraId="2969CA03" w14:textId="77777777" w:rsidR="0031281E" w:rsidRPr="00391C30" w:rsidRDefault="0031281E" w:rsidP="00391C30">
      <w:pPr>
        <w:pStyle w:val="LB1"/>
      </w:pPr>
      <w:r w:rsidRPr="00391C30">
        <w:t>Install database management software (DBMS),</w:t>
      </w:r>
    </w:p>
    <w:p w14:paraId="5A77A26A" w14:textId="77777777" w:rsidR="0031281E" w:rsidRPr="00391C30" w:rsidRDefault="0031281E" w:rsidP="00391C30">
      <w:pPr>
        <w:pStyle w:val="LB1"/>
      </w:pPr>
      <w:r w:rsidRPr="00391C30">
        <w:t>Configure DBMS parameters,</w:t>
      </w:r>
    </w:p>
    <w:p w14:paraId="3A9EA7BB" w14:textId="77777777" w:rsidR="0031281E" w:rsidRPr="00391C30" w:rsidRDefault="0031281E" w:rsidP="00391C30">
      <w:pPr>
        <w:pStyle w:val="LB1"/>
      </w:pPr>
      <w:r w:rsidRPr="00391C30">
        <w:t xml:space="preserve">Apply DBMS operating system patches, </w:t>
      </w:r>
    </w:p>
    <w:p w14:paraId="739587FF" w14:textId="77777777" w:rsidR="0031281E" w:rsidRPr="00391C30" w:rsidRDefault="0031281E" w:rsidP="00391C30">
      <w:pPr>
        <w:pStyle w:val="LB1"/>
      </w:pPr>
      <w:r w:rsidRPr="00391C30">
        <w:t xml:space="preserve">Capacity planning of database instances, </w:t>
      </w:r>
    </w:p>
    <w:p w14:paraId="4A8F4463" w14:textId="77777777" w:rsidR="0031281E" w:rsidRPr="00391C30" w:rsidRDefault="0031281E" w:rsidP="00391C30">
      <w:pPr>
        <w:pStyle w:val="LB1"/>
      </w:pPr>
      <w:r w:rsidRPr="00391C30">
        <w:lastRenderedPageBreak/>
        <w:t xml:space="preserve">Performance tuning of database instances, </w:t>
      </w:r>
    </w:p>
    <w:p w14:paraId="753F6274" w14:textId="77777777" w:rsidR="0031281E" w:rsidRPr="00391C30" w:rsidRDefault="0031281E" w:rsidP="00391C30">
      <w:pPr>
        <w:pStyle w:val="LB1"/>
      </w:pPr>
      <w:r w:rsidRPr="00391C30">
        <w:t xml:space="preserve">Reorganize the database as necessary, </w:t>
      </w:r>
    </w:p>
    <w:p w14:paraId="1BB0E9D7" w14:textId="77777777" w:rsidR="0031281E" w:rsidRPr="00391C30" w:rsidRDefault="0031281E" w:rsidP="00391C30">
      <w:pPr>
        <w:pStyle w:val="LB1"/>
      </w:pPr>
      <w:r w:rsidRPr="00391C30">
        <w:t xml:space="preserve">Create instances in all environments, and </w:t>
      </w:r>
    </w:p>
    <w:p w14:paraId="6D078D95" w14:textId="77777777" w:rsidR="0031281E" w:rsidRPr="00391C30" w:rsidRDefault="0031281E" w:rsidP="00391C30">
      <w:pPr>
        <w:pStyle w:val="LB1"/>
      </w:pPr>
      <w:r w:rsidRPr="00391C30">
        <w:t xml:space="preserve">Add/change/delete database objects in production and pre-production. </w:t>
      </w:r>
    </w:p>
    <w:p w14:paraId="55CF7AF9" w14:textId="77777777" w:rsidR="0031281E" w:rsidRPr="00B91512" w:rsidRDefault="0031281E" w:rsidP="00B91512">
      <w:pPr>
        <w:pStyle w:val="Heading3"/>
      </w:pPr>
      <w:bookmarkStart w:id="495" w:name="_Toc213049108"/>
      <w:bookmarkStart w:id="496" w:name="_Toc13567542"/>
      <w:r w:rsidRPr="00B91512">
        <w:t>Hardware and Software Currency</w:t>
      </w:r>
      <w:bookmarkEnd w:id="495"/>
      <w:bookmarkEnd w:id="496"/>
      <w:r w:rsidRPr="00B91512">
        <w:t xml:space="preserve"> </w:t>
      </w:r>
    </w:p>
    <w:p w14:paraId="032FAE25" w14:textId="630E9763" w:rsidR="0031281E" w:rsidRPr="00391C30" w:rsidRDefault="0031281E" w:rsidP="00B91512">
      <w:r w:rsidRPr="00391C30">
        <w:t xml:space="preserve">The DCS hardware infrastructure is refreshed on a 60-month refresh cycle. Operating software, database software, and application utility tools are required to be within n or n-1 of the currently supported versions of the software manufacturer. The </w:t>
      </w:r>
      <w:r w:rsidR="00391C30">
        <w:t xml:space="preserve">Awarded </w:t>
      </w:r>
      <w:r w:rsidR="00391C30" w:rsidRPr="00391C30">
        <w:t xml:space="preserve">Vendor </w:t>
      </w:r>
      <w:r w:rsidRPr="00391C30">
        <w:t xml:space="preserve">is required to ensure the application software developed to support </w:t>
      </w:r>
      <w:r w:rsidR="00FA6133">
        <w:t>the UI System</w:t>
      </w:r>
      <w:r w:rsidRPr="00391C30">
        <w:t xml:space="preserve"> will support the DCS standard hardware and software platforms as described in the DCS Standard Configurations. </w:t>
      </w:r>
    </w:p>
    <w:p w14:paraId="2C6E6719" w14:textId="77777777" w:rsidR="0031281E" w:rsidRPr="00B91512" w:rsidRDefault="0031281E" w:rsidP="00B91512">
      <w:pPr>
        <w:pStyle w:val="Heading3"/>
      </w:pPr>
      <w:bookmarkStart w:id="497" w:name="_Toc13567543"/>
      <w:r w:rsidRPr="00B91512">
        <w:t>Functions Retained by Agencies – Out of Scope for Data Center Services</w:t>
      </w:r>
      <w:bookmarkEnd w:id="497"/>
    </w:p>
    <w:p w14:paraId="2275F65C" w14:textId="62CC194C" w:rsidR="0031281E" w:rsidRPr="00FA6133" w:rsidRDefault="0031281E" w:rsidP="00FA6133">
      <w:r w:rsidRPr="00FA6133">
        <w:t xml:space="preserve">To provide context, the following services are considered Customer retained services because they are out of scope of the DCS Master Services Agreement (not provided by DCS Service Providers). In developing your response, the </w:t>
      </w:r>
      <w:r w:rsidR="00FA6133">
        <w:t>Offeror</w:t>
      </w:r>
      <w:r w:rsidRPr="00FA6133">
        <w:t xml:space="preserve"> should clearly understand that the </w:t>
      </w:r>
      <w:r w:rsidR="00FA6133">
        <w:t>TWC</w:t>
      </w:r>
      <w:r w:rsidRPr="00FA6133">
        <w:t xml:space="preserve"> is responsible for these functions as needed, either through staff or agency outsourcing:</w:t>
      </w:r>
    </w:p>
    <w:p w14:paraId="2278FDD1" w14:textId="77777777" w:rsidR="0031281E" w:rsidRPr="00FA6133" w:rsidRDefault="0031281E" w:rsidP="00FA6133">
      <w:pPr>
        <w:pStyle w:val="LB1"/>
      </w:pPr>
      <w:r w:rsidRPr="00FA6133">
        <w:t>End-user computing, including desktop, mobile, and LAN-attached multi-function devices;</w:t>
      </w:r>
    </w:p>
    <w:p w14:paraId="16ADFEF7" w14:textId="77777777" w:rsidR="0031281E" w:rsidRPr="00FA6133" w:rsidRDefault="0031281E" w:rsidP="00FA6133">
      <w:pPr>
        <w:pStyle w:val="LB1"/>
      </w:pPr>
      <w:r w:rsidRPr="00FA6133">
        <w:t xml:space="preserve">Network support, including WAN/LAN support outside of the State data centers, voice/phone support; </w:t>
      </w:r>
    </w:p>
    <w:p w14:paraId="2C1AFA83" w14:textId="77777777" w:rsidR="0031281E" w:rsidRPr="00FA6133" w:rsidRDefault="0031281E" w:rsidP="00FA6133">
      <w:pPr>
        <w:pStyle w:val="LB1"/>
      </w:pPr>
      <w:r w:rsidRPr="00FA6133">
        <w:t xml:space="preserve">Help desk (Level I – all services); </w:t>
      </w:r>
    </w:p>
    <w:p w14:paraId="22093095" w14:textId="77777777" w:rsidR="0031281E" w:rsidRPr="00FA6133" w:rsidRDefault="0031281E" w:rsidP="00FA6133">
      <w:pPr>
        <w:pStyle w:val="LB1"/>
      </w:pPr>
      <w:r w:rsidRPr="00FA6133">
        <w:t>Expert troubleshooting and support for all non-DCS services;</w:t>
      </w:r>
    </w:p>
    <w:p w14:paraId="5599986C" w14:textId="77777777" w:rsidR="0031281E" w:rsidRPr="00FA6133" w:rsidRDefault="0031281E" w:rsidP="00FA6133">
      <w:pPr>
        <w:pStyle w:val="LB1"/>
      </w:pPr>
      <w:r w:rsidRPr="00FA6133">
        <w:t xml:space="preserve">Technology planning, strategies, and visioning; </w:t>
      </w:r>
    </w:p>
    <w:p w14:paraId="00794E57" w14:textId="77777777" w:rsidR="0031281E" w:rsidRPr="00FA6133" w:rsidRDefault="0031281E" w:rsidP="00FA6133">
      <w:pPr>
        <w:pStyle w:val="LB1"/>
      </w:pPr>
      <w:r w:rsidRPr="00FA6133">
        <w:t xml:space="preserve">Project management; </w:t>
      </w:r>
    </w:p>
    <w:p w14:paraId="48BF10AF" w14:textId="77777777" w:rsidR="0031281E" w:rsidRPr="00FA6133" w:rsidRDefault="0031281E" w:rsidP="00FA6133">
      <w:pPr>
        <w:pStyle w:val="LB1"/>
      </w:pPr>
      <w:r w:rsidRPr="00FA6133">
        <w:t>Disaster recovery planning and testing for all retained services;</w:t>
      </w:r>
    </w:p>
    <w:p w14:paraId="64EFE270" w14:textId="77777777" w:rsidR="0031281E" w:rsidRPr="00FA6133" w:rsidRDefault="0031281E" w:rsidP="00FA6133">
      <w:pPr>
        <w:pStyle w:val="LB1"/>
      </w:pPr>
      <w:r w:rsidRPr="00FA6133">
        <w:t>Business continuity planning for agency processes;</w:t>
      </w:r>
    </w:p>
    <w:p w14:paraId="61CED853" w14:textId="77777777" w:rsidR="0031281E" w:rsidRPr="00FA6133" w:rsidRDefault="0031281E" w:rsidP="00FA6133">
      <w:pPr>
        <w:pStyle w:val="LB1"/>
      </w:pPr>
      <w:r w:rsidRPr="00FA6133">
        <w:t xml:space="preserve">Packaged imaging systems (scanners, servers, optical disks, etc.); </w:t>
      </w:r>
    </w:p>
    <w:p w14:paraId="574DC8BC" w14:textId="77777777" w:rsidR="0031281E" w:rsidRPr="00FA6133" w:rsidRDefault="0031281E" w:rsidP="00FA6133">
      <w:pPr>
        <w:pStyle w:val="LB1"/>
      </w:pPr>
      <w:r w:rsidRPr="00FA6133">
        <w:t xml:space="preserve">Coordination of data center print services, including coordinating form changes with business units, volume trending; </w:t>
      </w:r>
    </w:p>
    <w:p w14:paraId="5E1AB34E" w14:textId="77777777" w:rsidR="0031281E" w:rsidRPr="00FA6133" w:rsidRDefault="0031281E" w:rsidP="00FA6133">
      <w:pPr>
        <w:pStyle w:val="LB1"/>
      </w:pPr>
      <w:r w:rsidRPr="00FA6133">
        <w:t xml:space="preserve">Data security, security design and policy development, systems access requests (directory/file, ID creation and removal, determination of access rights); </w:t>
      </w:r>
    </w:p>
    <w:p w14:paraId="415D9D77" w14:textId="77777777" w:rsidR="0031281E" w:rsidRPr="00FA6133" w:rsidRDefault="0031281E" w:rsidP="00FA6133">
      <w:pPr>
        <w:pStyle w:val="LB1"/>
      </w:pPr>
      <w:r w:rsidRPr="00FA6133">
        <w:t>Logical database administration;</w:t>
      </w:r>
    </w:p>
    <w:p w14:paraId="3F6EA7CF" w14:textId="77777777" w:rsidR="0031281E" w:rsidRPr="00FA6133" w:rsidRDefault="0031281E" w:rsidP="00FA6133">
      <w:pPr>
        <w:pStyle w:val="LB1"/>
      </w:pPr>
      <w:r w:rsidRPr="00FA6133">
        <w:t>Application development, support, maintenance, and monitoring;</w:t>
      </w:r>
    </w:p>
    <w:p w14:paraId="13289847" w14:textId="77777777" w:rsidR="0031281E" w:rsidRPr="00FA6133" w:rsidRDefault="0031281E" w:rsidP="00FA6133">
      <w:pPr>
        <w:pStyle w:val="LB1"/>
      </w:pPr>
      <w:r w:rsidRPr="00FA6133">
        <w:t>Electronic payment processing services;</w:t>
      </w:r>
    </w:p>
    <w:p w14:paraId="17669ABC" w14:textId="77777777" w:rsidR="0031281E" w:rsidRPr="00FA6133" w:rsidRDefault="0031281E" w:rsidP="00FA6133">
      <w:pPr>
        <w:pStyle w:val="LB1"/>
      </w:pPr>
      <w:r w:rsidRPr="00FA6133">
        <w:t>Data import and export to the environment (FTP services); and</w:t>
      </w:r>
    </w:p>
    <w:p w14:paraId="564AE7F3" w14:textId="77777777" w:rsidR="0031281E" w:rsidRPr="00FA6133" w:rsidRDefault="0031281E" w:rsidP="00FA6133">
      <w:pPr>
        <w:pStyle w:val="LB1"/>
      </w:pPr>
      <w:r w:rsidRPr="00FA6133">
        <w:t>Reporting services.</w:t>
      </w:r>
    </w:p>
    <w:p w14:paraId="12B14453" w14:textId="77777777" w:rsidR="0031281E" w:rsidRPr="00B91512" w:rsidRDefault="0031281E" w:rsidP="00B91512">
      <w:pPr>
        <w:pStyle w:val="Heading3"/>
      </w:pPr>
      <w:bookmarkStart w:id="498" w:name="_Toc13567544"/>
      <w:r w:rsidRPr="00B91512">
        <w:t>Level I Help Desk</w:t>
      </w:r>
      <w:bookmarkEnd w:id="498"/>
      <w:r w:rsidRPr="00B91512">
        <w:t xml:space="preserve"> </w:t>
      </w:r>
    </w:p>
    <w:p w14:paraId="02273B36" w14:textId="4FBBEBC5" w:rsidR="00EF3C59" w:rsidRPr="00856392" w:rsidRDefault="0031281E" w:rsidP="005E3261">
      <w:r w:rsidRPr="00FA6133">
        <w:t xml:space="preserve">If needed for the solution, the </w:t>
      </w:r>
      <w:r w:rsidR="00FA6133">
        <w:t xml:space="preserve">Awarded </w:t>
      </w:r>
      <w:r w:rsidRPr="00FA6133">
        <w:t xml:space="preserve">Vendor is required to maintain a Level I help desk to triage all calls prior to submitting an incident to the DCS Support </w:t>
      </w:r>
      <w:r w:rsidRPr="00FA6133">
        <w:lastRenderedPageBreak/>
        <w:t xml:space="preserve">Center. Once the </w:t>
      </w:r>
      <w:r w:rsidR="00FA6133">
        <w:t xml:space="preserve">Awarded </w:t>
      </w:r>
      <w:r w:rsidR="00FA6133" w:rsidRPr="00FA6133">
        <w:t xml:space="preserve">Vendor </w:t>
      </w:r>
      <w:r w:rsidRPr="00FA6133">
        <w:t xml:space="preserve">has determined or suspects the cause of an incident is related to a DCS infrastructure component, the </w:t>
      </w:r>
      <w:r w:rsidR="00FA6133">
        <w:t xml:space="preserve">Awarded </w:t>
      </w:r>
      <w:r w:rsidR="00FA6133" w:rsidRPr="00FA6133">
        <w:t xml:space="preserve">Vendor </w:t>
      </w:r>
      <w:r w:rsidRPr="00FA6133">
        <w:t xml:space="preserve">will log into the DCS Support Center’s system to report the incident in accordance with the DCS Services Management Manual. </w:t>
      </w:r>
    </w:p>
    <w:sectPr w:rsidR="00EF3C59" w:rsidRPr="00856392" w:rsidSect="00C6186B">
      <w:pgSz w:w="12240" w:h="15840" w:code="1"/>
      <w:pgMar w:top="720" w:right="720" w:bottom="72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38DBBA" w14:textId="77777777" w:rsidR="00906C1F" w:rsidRDefault="00906C1F" w:rsidP="00D77128">
      <w:pPr>
        <w:spacing w:after="0"/>
      </w:pPr>
      <w:r>
        <w:separator/>
      </w:r>
    </w:p>
  </w:endnote>
  <w:endnote w:type="continuationSeparator" w:id="0">
    <w:p w14:paraId="7314CEC2" w14:textId="77777777" w:rsidR="00906C1F" w:rsidRDefault="00906C1F" w:rsidP="00D771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Times New 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962" w:type="dxa"/>
      <w:tblInd w:w="108" w:type="dxa"/>
      <w:tblLayout w:type="fixed"/>
      <w:tblLook w:val="0000" w:firstRow="0" w:lastRow="0" w:firstColumn="0" w:lastColumn="0" w:noHBand="0" w:noVBand="0"/>
    </w:tblPr>
    <w:tblGrid>
      <w:gridCol w:w="2610"/>
      <w:gridCol w:w="8352"/>
    </w:tblGrid>
    <w:tr w:rsidR="006D43BC" w14:paraId="3B71302E" w14:textId="77777777" w:rsidTr="00DE1769">
      <w:trPr>
        <w:cantSplit/>
        <w:trHeight w:val="260"/>
      </w:trPr>
      <w:tc>
        <w:tcPr>
          <w:tcW w:w="2610" w:type="dxa"/>
          <w:vMerge w:val="restart"/>
          <w:tcBorders>
            <w:top w:val="single" w:sz="4" w:space="0" w:color="auto"/>
          </w:tcBorders>
          <w:vAlign w:val="center"/>
        </w:tcPr>
        <w:p w14:paraId="27008829" w14:textId="5F27E4F6" w:rsidR="006D43BC" w:rsidRDefault="006D43BC" w:rsidP="002D3152">
          <w:pPr>
            <w:pStyle w:val="Footer"/>
          </w:pPr>
          <w:r w:rsidRPr="00434F50">
            <w:rPr>
              <w:noProof/>
            </w:rPr>
            <w:drawing>
              <wp:anchor distT="0" distB="0" distL="114300" distR="114300" simplePos="0" relativeHeight="251651072" behindDoc="0" locked="0" layoutInCell="1" allowOverlap="1" wp14:anchorId="5C0CB820" wp14:editId="6F007C1D">
                <wp:simplePos x="0" y="0"/>
                <wp:positionH relativeFrom="column">
                  <wp:posOffset>53340</wp:posOffset>
                </wp:positionH>
                <wp:positionV relativeFrom="paragraph">
                  <wp:posOffset>29210</wp:posOffset>
                </wp:positionV>
                <wp:extent cx="572135" cy="548640"/>
                <wp:effectExtent l="0" t="0" r="0" b="3810"/>
                <wp:wrapNone/>
                <wp:docPr id="2" name="Picture 2" descr="Texas Workforce Commission Seal" title="Texas Workforce Commiss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srcRect/>
                        <a:stretch>
                          <a:fillRect/>
                        </a:stretch>
                      </pic:blipFill>
                      <pic:spPr bwMode="auto">
                        <a:xfrm>
                          <a:off x="0" y="0"/>
                          <a:ext cx="572135" cy="548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8352" w:type="dxa"/>
          <w:tcBorders>
            <w:top w:val="single" w:sz="4" w:space="0" w:color="auto"/>
          </w:tcBorders>
        </w:tcPr>
        <w:p w14:paraId="5A7451C1" w14:textId="7EF9C4F7" w:rsidR="006D43BC" w:rsidRPr="001D7791" w:rsidRDefault="006D43BC" w:rsidP="00DE1769">
          <w:pPr>
            <w:pStyle w:val="Footer"/>
            <w:tabs>
              <w:tab w:val="left" w:pos="8310"/>
              <w:tab w:val="right" w:pos="11646"/>
            </w:tabs>
            <w:jc w:val="right"/>
          </w:pPr>
          <w:r w:rsidRPr="00E35128">
            <w:rPr>
              <w:sz w:val="20"/>
            </w:rPr>
            <w:t xml:space="preserve">Page </w:t>
          </w:r>
          <w:r w:rsidRPr="00397733">
            <w:rPr>
              <w:rStyle w:val="PageNumber"/>
              <w:sz w:val="20"/>
            </w:rPr>
            <w:fldChar w:fldCharType="begin"/>
          </w:r>
          <w:r w:rsidRPr="008C7DE6">
            <w:rPr>
              <w:rStyle w:val="PageNumber"/>
              <w:sz w:val="20"/>
            </w:rPr>
            <w:instrText xml:space="preserve"> PAGE </w:instrText>
          </w:r>
          <w:r w:rsidRPr="00397733">
            <w:rPr>
              <w:rStyle w:val="PageNumber"/>
              <w:sz w:val="20"/>
            </w:rPr>
            <w:fldChar w:fldCharType="separate"/>
          </w:r>
          <w:r>
            <w:rPr>
              <w:rStyle w:val="PageNumber"/>
              <w:noProof/>
              <w:sz w:val="20"/>
            </w:rPr>
            <w:t>16</w:t>
          </w:r>
          <w:r w:rsidRPr="00397733">
            <w:rPr>
              <w:rStyle w:val="PageNumber"/>
              <w:sz w:val="20"/>
            </w:rPr>
            <w:fldChar w:fldCharType="end"/>
          </w:r>
          <w:r w:rsidRPr="001D7791">
            <w:rPr>
              <w:rStyle w:val="PageNumber"/>
              <w:sz w:val="20"/>
            </w:rPr>
            <w:t xml:space="preserve"> of </w:t>
          </w:r>
          <w:r w:rsidRPr="001D7791">
            <w:rPr>
              <w:rStyle w:val="PageNumber"/>
              <w:sz w:val="20"/>
            </w:rPr>
            <w:fldChar w:fldCharType="begin"/>
          </w:r>
          <w:r w:rsidRPr="001D7791">
            <w:rPr>
              <w:rStyle w:val="PageNumber"/>
              <w:sz w:val="20"/>
            </w:rPr>
            <w:instrText xml:space="preserve"> NUMPAGES </w:instrText>
          </w:r>
          <w:r w:rsidRPr="001D7791">
            <w:rPr>
              <w:rStyle w:val="PageNumber"/>
              <w:sz w:val="20"/>
            </w:rPr>
            <w:fldChar w:fldCharType="separate"/>
          </w:r>
          <w:r>
            <w:rPr>
              <w:rStyle w:val="PageNumber"/>
              <w:noProof/>
              <w:sz w:val="20"/>
            </w:rPr>
            <w:t>386</w:t>
          </w:r>
          <w:r w:rsidRPr="001D7791">
            <w:rPr>
              <w:rStyle w:val="PageNumber"/>
              <w:sz w:val="20"/>
            </w:rPr>
            <w:fldChar w:fldCharType="end"/>
          </w:r>
        </w:p>
      </w:tc>
    </w:tr>
    <w:tr w:rsidR="006D43BC" w14:paraId="768001B5" w14:textId="77777777" w:rsidTr="00DE1769">
      <w:trPr>
        <w:cantSplit/>
      </w:trPr>
      <w:tc>
        <w:tcPr>
          <w:tcW w:w="2610" w:type="dxa"/>
          <w:vMerge/>
        </w:tcPr>
        <w:p w14:paraId="0052311A" w14:textId="77777777" w:rsidR="006D43BC" w:rsidRDefault="006D43BC" w:rsidP="002D3152">
          <w:pPr>
            <w:pStyle w:val="Footer"/>
          </w:pPr>
        </w:p>
      </w:tc>
      <w:tc>
        <w:tcPr>
          <w:tcW w:w="8352" w:type="dxa"/>
        </w:tcPr>
        <w:p w14:paraId="6C32647F" w14:textId="77777777" w:rsidR="006D43BC" w:rsidRPr="00EA6B15" w:rsidRDefault="006D43BC" w:rsidP="002D3152">
          <w:pPr>
            <w:pStyle w:val="Footer"/>
            <w:jc w:val="right"/>
            <w:rPr>
              <w:snapToGrid w:val="0"/>
              <w:sz w:val="16"/>
              <w:szCs w:val="16"/>
            </w:rPr>
          </w:pPr>
          <w:r w:rsidRPr="00EA6B15">
            <w:rPr>
              <w:snapToGrid w:val="0"/>
              <w:sz w:val="16"/>
              <w:szCs w:val="16"/>
            </w:rPr>
            <w:t xml:space="preserve"> </w:t>
          </w:r>
        </w:p>
        <w:p w14:paraId="644642DD" w14:textId="77777777" w:rsidR="006D43BC" w:rsidRDefault="006D43BC" w:rsidP="002D3152">
          <w:pPr>
            <w:pStyle w:val="Footer"/>
            <w:jc w:val="right"/>
          </w:pPr>
        </w:p>
      </w:tc>
    </w:tr>
  </w:tbl>
  <w:p w14:paraId="27CE6C66" w14:textId="77777777" w:rsidR="006D43BC" w:rsidRDefault="006D43BC" w:rsidP="002D3152">
    <w:pPr>
      <w:pStyle w:val="Footer"/>
      <w:ind w:left="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692" w:type="dxa"/>
      <w:tblInd w:w="108" w:type="dxa"/>
      <w:tblLayout w:type="fixed"/>
      <w:tblLook w:val="0000" w:firstRow="0" w:lastRow="0" w:firstColumn="0" w:lastColumn="0" w:noHBand="0" w:noVBand="0"/>
    </w:tblPr>
    <w:tblGrid>
      <w:gridCol w:w="2610"/>
      <w:gridCol w:w="8082"/>
    </w:tblGrid>
    <w:tr w:rsidR="006D43BC" w:rsidRPr="002027B4" w14:paraId="62123F21" w14:textId="77777777" w:rsidTr="00016541">
      <w:trPr>
        <w:cantSplit/>
        <w:trHeight w:val="260"/>
      </w:trPr>
      <w:tc>
        <w:tcPr>
          <w:tcW w:w="2610" w:type="dxa"/>
          <w:vMerge w:val="restart"/>
          <w:tcBorders>
            <w:top w:val="single" w:sz="4" w:space="0" w:color="auto"/>
          </w:tcBorders>
          <w:vAlign w:val="center"/>
        </w:tcPr>
        <w:p w14:paraId="04165F6E" w14:textId="342F6856" w:rsidR="006D43BC" w:rsidRPr="002027B4" w:rsidRDefault="006D43BC" w:rsidP="00BC58FC">
          <w:pPr>
            <w:pStyle w:val="Footer"/>
            <w:rPr>
              <w:sz w:val="20"/>
              <w:szCs w:val="20"/>
            </w:rPr>
          </w:pPr>
          <w:r w:rsidRPr="002027B4">
            <w:rPr>
              <w:noProof/>
              <w:sz w:val="20"/>
              <w:szCs w:val="20"/>
            </w:rPr>
            <w:drawing>
              <wp:anchor distT="0" distB="0" distL="114300" distR="114300" simplePos="0" relativeHeight="251664384" behindDoc="0" locked="0" layoutInCell="1" allowOverlap="1" wp14:anchorId="07D1DDCB" wp14:editId="193663F4">
                <wp:simplePos x="0" y="0"/>
                <wp:positionH relativeFrom="column">
                  <wp:posOffset>53340</wp:posOffset>
                </wp:positionH>
                <wp:positionV relativeFrom="paragraph">
                  <wp:posOffset>29210</wp:posOffset>
                </wp:positionV>
                <wp:extent cx="572135" cy="548640"/>
                <wp:effectExtent l="0" t="0" r="0" b="3810"/>
                <wp:wrapNone/>
                <wp:docPr id="13" name="Picture 13" descr="Texas Workforce Commission Seal" title="Texas Workforce Commiss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srcRect/>
                        <a:stretch>
                          <a:fillRect/>
                        </a:stretch>
                      </pic:blipFill>
                      <pic:spPr bwMode="auto">
                        <a:xfrm>
                          <a:off x="0" y="0"/>
                          <a:ext cx="572135" cy="548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8082" w:type="dxa"/>
          <w:tcBorders>
            <w:top w:val="single" w:sz="4" w:space="0" w:color="auto"/>
          </w:tcBorders>
        </w:tcPr>
        <w:p w14:paraId="6957A2ED" w14:textId="284DE164" w:rsidR="006D43BC" w:rsidRPr="002027B4" w:rsidRDefault="006D43BC" w:rsidP="00BC58FC">
          <w:pPr>
            <w:pStyle w:val="Footer"/>
            <w:jc w:val="right"/>
            <w:rPr>
              <w:sz w:val="20"/>
              <w:szCs w:val="20"/>
            </w:rPr>
          </w:pPr>
          <w:r w:rsidRPr="002027B4">
            <w:rPr>
              <w:sz w:val="20"/>
              <w:szCs w:val="20"/>
            </w:rPr>
            <w:t xml:space="preserve">Page </w:t>
          </w:r>
          <w:r w:rsidRPr="002027B4">
            <w:rPr>
              <w:rStyle w:val="PageNumber"/>
              <w:sz w:val="20"/>
              <w:szCs w:val="20"/>
            </w:rPr>
            <w:fldChar w:fldCharType="begin"/>
          </w:r>
          <w:r w:rsidRPr="002027B4">
            <w:rPr>
              <w:rStyle w:val="PageNumber"/>
              <w:sz w:val="20"/>
              <w:szCs w:val="20"/>
            </w:rPr>
            <w:instrText xml:space="preserve"> PAGE </w:instrText>
          </w:r>
          <w:r w:rsidRPr="002027B4">
            <w:rPr>
              <w:rStyle w:val="PageNumber"/>
              <w:sz w:val="20"/>
              <w:szCs w:val="20"/>
            </w:rPr>
            <w:fldChar w:fldCharType="separate"/>
          </w:r>
          <w:r>
            <w:rPr>
              <w:rStyle w:val="PageNumber"/>
              <w:noProof/>
              <w:sz w:val="20"/>
              <w:szCs w:val="20"/>
            </w:rPr>
            <w:t>135</w:t>
          </w:r>
          <w:r w:rsidRPr="002027B4">
            <w:rPr>
              <w:rStyle w:val="PageNumber"/>
              <w:sz w:val="20"/>
              <w:szCs w:val="20"/>
            </w:rPr>
            <w:fldChar w:fldCharType="end"/>
          </w:r>
          <w:r w:rsidRPr="002027B4">
            <w:rPr>
              <w:rStyle w:val="PageNumber"/>
              <w:sz w:val="20"/>
              <w:szCs w:val="20"/>
            </w:rPr>
            <w:t xml:space="preserve"> of </w:t>
          </w:r>
          <w:r w:rsidRPr="002027B4">
            <w:rPr>
              <w:rStyle w:val="PageNumber"/>
              <w:sz w:val="20"/>
              <w:szCs w:val="20"/>
            </w:rPr>
            <w:fldChar w:fldCharType="begin"/>
          </w:r>
          <w:r w:rsidRPr="002027B4">
            <w:rPr>
              <w:rStyle w:val="PageNumber"/>
              <w:sz w:val="20"/>
              <w:szCs w:val="20"/>
            </w:rPr>
            <w:instrText xml:space="preserve"> NUMPAGES </w:instrText>
          </w:r>
          <w:r w:rsidRPr="002027B4">
            <w:rPr>
              <w:rStyle w:val="PageNumber"/>
              <w:sz w:val="20"/>
              <w:szCs w:val="20"/>
            </w:rPr>
            <w:fldChar w:fldCharType="separate"/>
          </w:r>
          <w:r>
            <w:rPr>
              <w:rStyle w:val="PageNumber"/>
              <w:noProof/>
              <w:sz w:val="20"/>
              <w:szCs w:val="20"/>
            </w:rPr>
            <w:t>386</w:t>
          </w:r>
          <w:r w:rsidRPr="002027B4">
            <w:rPr>
              <w:rStyle w:val="PageNumber"/>
              <w:sz w:val="20"/>
              <w:szCs w:val="20"/>
            </w:rPr>
            <w:fldChar w:fldCharType="end"/>
          </w:r>
        </w:p>
      </w:tc>
    </w:tr>
    <w:tr w:rsidR="006D43BC" w:rsidRPr="002027B4" w14:paraId="13A9E6D5" w14:textId="77777777" w:rsidTr="00016541">
      <w:trPr>
        <w:cantSplit/>
      </w:trPr>
      <w:tc>
        <w:tcPr>
          <w:tcW w:w="2610" w:type="dxa"/>
          <w:vMerge/>
        </w:tcPr>
        <w:p w14:paraId="710CB771" w14:textId="77777777" w:rsidR="006D43BC" w:rsidRPr="002027B4" w:rsidRDefault="006D43BC" w:rsidP="00BC58FC">
          <w:pPr>
            <w:pStyle w:val="Footer"/>
            <w:rPr>
              <w:sz w:val="20"/>
              <w:szCs w:val="20"/>
            </w:rPr>
          </w:pPr>
        </w:p>
      </w:tc>
      <w:tc>
        <w:tcPr>
          <w:tcW w:w="8082" w:type="dxa"/>
        </w:tcPr>
        <w:p w14:paraId="0FE65DD1" w14:textId="77777777" w:rsidR="006D43BC" w:rsidRPr="002027B4" w:rsidRDefault="006D43BC" w:rsidP="00BC58FC">
          <w:pPr>
            <w:pStyle w:val="Footer"/>
            <w:jc w:val="right"/>
            <w:rPr>
              <w:sz w:val="20"/>
              <w:szCs w:val="20"/>
            </w:rPr>
          </w:pPr>
        </w:p>
      </w:tc>
    </w:tr>
  </w:tbl>
  <w:p w14:paraId="78092CED" w14:textId="77777777" w:rsidR="006D43BC" w:rsidRPr="002027B4" w:rsidRDefault="006D43BC">
    <w:pPr>
      <w:rPr>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Layout w:type="fixed"/>
      <w:tblLook w:val="0000" w:firstRow="0" w:lastRow="0" w:firstColumn="0" w:lastColumn="0" w:noHBand="0" w:noVBand="0"/>
    </w:tblPr>
    <w:tblGrid>
      <w:gridCol w:w="2610"/>
      <w:gridCol w:w="11682"/>
    </w:tblGrid>
    <w:tr w:rsidR="006D43BC" w:rsidRPr="002027B4" w14:paraId="483AD170" w14:textId="77777777" w:rsidTr="0093711D">
      <w:trPr>
        <w:cantSplit/>
        <w:trHeight w:val="260"/>
      </w:trPr>
      <w:tc>
        <w:tcPr>
          <w:tcW w:w="2610" w:type="dxa"/>
          <w:vMerge w:val="restart"/>
          <w:tcBorders>
            <w:top w:val="single" w:sz="4" w:space="0" w:color="auto"/>
          </w:tcBorders>
          <w:vAlign w:val="center"/>
        </w:tcPr>
        <w:p w14:paraId="5255DE22" w14:textId="7ED642C0" w:rsidR="006D43BC" w:rsidRPr="002027B4" w:rsidRDefault="006D43BC" w:rsidP="00BC58FC">
          <w:pPr>
            <w:pStyle w:val="Footer"/>
            <w:rPr>
              <w:sz w:val="20"/>
              <w:szCs w:val="20"/>
            </w:rPr>
          </w:pPr>
          <w:r w:rsidRPr="002027B4">
            <w:rPr>
              <w:noProof/>
              <w:sz w:val="20"/>
              <w:szCs w:val="20"/>
            </w:rPr>
            <w:drawing>
              <wp:anchor distT="0" distB="0" distL="114300" distR="114300" simplePos="0" relativeHeight="251662336" behindDoc="0" locked="0" layoutInCell="1" allowOverlap="1" wp14:anchorId="528E8AE4" wp14:editId="4173222C">
                <wp:simplePos x="0" y="0"/>
                <wp:positionH relativeFrom="column">
                  <wp:posOffset>53340</wp:posOffset>
                </wp:positionH>
                <wp:positionV relativeFrom="paragraph">
                  <wp:posOffset>29210</wp:posOffset>
                </wp:positionV>
                <wp:extent cx="572135" cy="548640"/>
                <wp:effectExtent l="0" t="0" r="0" b="3810"/>
                <wp:wrapNone/>
                <wp:docPr id="14" name="Picture 14" descr="Texas Workforce Commission Seal" title="Texas Workforce Commiss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srcRect/>
                        <a:stretch>
                          <a:fillRect/>
                        </a:stretch>
                      </pic:blipFill>
                      <pic:spPr bwMode="auto">
                        <a:xfrm>
                          <a:off x="0" y="0"/>
                          <a:ext cx="572135" cy="548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1682" w:type="dxa"/>
          <w:tcBorders>
            <w:top w:val="single" w:sz="4" w:space="0" w:color="auto"/>
          </w:tcBorders>
        </w:tcPr>
        <w:p w14:paraId="4337A17B" w14:textId="47654237" w:rsidR="006D43BC" w:rsidRPr="002027B4" w:rsidRDefault="006D43BC" w:rsidP="00BC58FC">
          <w:pPr>
            <w:pStyle w:val="Footer"/>
            <w:jc w:val="right"/>
            <w:rPr>
              <w:sz w:val="20"/>
              <w:szCs w:val="20"/>
            </w:rPr>
          </w:pPr>
          <w:r w:rsidRPr="002027B4">
            <w:rPr>
              <w:sz w:val="20"/>
              <w:szCs w:val="20"/>
            </w:rPr>
            <w:t xml:space="preserve">Page </w:t>
          </w:r>
          <w:r w:rsidRPr="002027B4">
            <w:rPr>
              <w:rStyle w:val="PageNumber"/>
              <w:sz w:val="20"/>
              <w:szCs w:val="20"/>
            </w:rPr>
            <w:fldChar w:fldCharType="begin"/>
          </w:r>
          <w:r w:rsidRPr="002027B4">
            <w:rPr>
              <w:rStyle w:val="PageNumber"/>
              <w:sz w:val="20"/>
              <w:szCs w:val="20"/>
            </w:rPr>
            <w:instrText xml:space="preserve"> PAGE </w:instrText>
          </w:r>
          <w:r w:rsidRPr="002027B4">
            <w:rPr>
              <w:rStyle w:val="PageNumber"/>
              <w:sz w:val="20"/>
              <w:szCs w:val="20"/>
            </w:rPr>
            <w:fldChar w:fldCharType="separate"/>
          </w:r>
          <w:r>
            <w:rPr>
              <w:rStyle w:val="PageNumber"/>
              <w:noProof/>
              <w:sz w:val="20"/>
              <w:szCs w:val="20"/>
            </w:rPr>
            <w:t>163</w:t>
          </w:r>
          <w:r w:rsidRPr="002027B4">
            <w:rPr>
              <w:rStyle w:val="PageNumber"/>
              <w:sz w:val="20"/>
              <w:szCs w:val="20"/>
            </w:rPr>
            <w:fldChar w:fldCharType="end"/>
          </w:r>
          <w:r w:rsidRPr="002027B4">
            <w:rPr>
              <w:rStyle w:val="PageNumber"/>
              <w:sz w:val="20"/>
              <w:szCs w:val="20"/>
            </w:rPr>
            <w:t xml:space="preserve"> of </w:t>
          </w:r>
          <w:r w:rsidRPr="002027B4">
            <w:rPr>
              <w:rStyle w:val="PageNumber"/>
              <w:sz w:val="20"/>
              <w:szCs w:val="20"/>
            </w:rPr>
            <w:fldChar w:fldCharType="begin"/>
          </w:r>
          <w:r w:rsidRPr="002027B4">
            <w:rPr>
              <w:rStyle w:val="PageNumber"/>
              <w:sz w:val="20"/>
              <w:szCs w:val="20"/>
            </w:rPr>
            <w:instrText xml:space="preserve"> NUMPAGES </w:instrText>
          </w:r>
          <w:r w:rsidRPr="002027B4">
            <w:rPr>
              <w:rStyle w:val="PageNumber"/>
              <w:sz w:val="20"/>
              <w:szCs w:val="20"/>
            </w:rPr>
            <w:fldChar w:fldCharType="separate"/>
          </w:r>
          <w:r>
            <w:rPr>
              <w:rStyle w:val="PageNumber"/>
              <w:noProof/>
              <w:sz w:val="20"/>
              <w:szCs w:val="20"/>
            </w:rPr>
            <w:t>386</w:t>
          </w:r>
          <w:r w:rsidRPr="002027B4">
            <w:rPr>
              <w:rStyle w:val="PageNumber"/>
              <w:sz w:val="20"/>
              <w:szCs w:val="20"/>
            </w:rPr>
            <w:fldChar w:fldCharType="end"/>
          </w:r>
        </w:p>
      </w:tc>
    </w:tr>
    <w:tr w:rsidR="006D43BC" w:rsidRPr="002027B4" w14:paraId="4B7B9775" w14:textId="77777777" w:rsidTr="0093711D">
      <w:trPr>
        <w:cantSplit/>
      </w:trPr>
      <w:tc>
        <w:tcPr>
          <w:tcW w:w="2610" w:type="dxa"/>
          <w:vMerge/>
        </w:tcPr>
        <w:p w14:paraId="138182CB" w14:textId="77777777" w:rsidR="006D43BC" w:rsidRPr="002027B4" w:rsidRDefault="006D43BC" w:rsidP="00BC58FC">
          <w:pPr>
            <w:pStyle w:val="Footer"/>
            <w:rPr>
              <w:sz w:val="20"/>
              <w:szCs w:val="20"/>
            </w:rPr>
          </w:pPr>
        </w:p>
      </w:tc>
      <w:tc>
        <w:tcPr>
          <w:tcW w:w="11682" w:type="dxa"/>
        </w:tcPr>
        <w:p w14:paraId="6A8355B3" w14:textId="77777777" w:rsidR="006D43BC" w:rsidRPr="002027B4" w:rsidRDefault="006D43BC" w:rsidP="00BC58FC">
          <w:pPr>
            <w:pStyle w:val="Footer"/>
            <w:jc w:val="right"/>
            <w:rPr>
              <w:sz w:val="20"/>
              <w:szCs w:val="20"/>
            </w:rPr>
          </w:pPr>
        </w:p>
      </w:tc>
    </w:tr>
  </w:tbl>
  <w:p w14:paraId="5F6E3EC4" w14:textId="77777777" w:rsidR="006D43BC" w:rsidRPr="002027B4" w:rsidRDefault="006D43BC">
    <w:pPr>
      <w:rPr>
        <w:sz w:val="20"/>
        <w:szCs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82" w:type="dxa"/>
      <w:tblInd w:w="108" w:type="dxa"/>
      <w:tblLayout w:type="fixed"/>
      <w:tblLook w:val="0000" w:firstRow="0" w:lastRow="0" w:firstColumn="0" w:lastColumn="0" w:noHBand="0" w:noVBand="0"/>
    </w:tblPr>
    <w:tblGrid>
      <w:gridCol w:w="2610"/>
      <w:gridCol w:w="8172"/>
    </w:tblGrid>
    <w:tr w:rsidR="006D43BC" w:rsidRPr="002027B4" w14:paraId="2EA9A0FA" w14:textId="77777777" w:rsidTr="00016541">
      <w:trPr>
        <w:cantSplit/>
        <w:trHeight w:val="260"/>
      </w:trPr>
      <w:tc>
        <w:tcPr>
          <w:tcW w:w="2610" w:type="dxa"/>
          <w:vMerge w:val="restart"/>
          <w:tcBorders>
            <w:top w:val="single" w:sz="4" w:space="0" w:color="auto"/>
          </w:tcBorders>
          <w:vAlign w:val="center"/>
        </w:tcPr>
        <w:p w14:paraId="7A855E01" w14:textId="58D7EBFF" w:rsidR="006D43BC" w:rsidRDefault="006D43BC" w:rsidP="00BC58FC">
          <w:pPr>
            <w:pStyle w:val="Footer"/>
          </w:pPr>
          <w:r w:rsidRPr="00434F50">
            <w:rPr>
              <w:noProof/>
            </w:rPr>
            <w:drawing>
              <wp:anchor distT="0" distB="0" distL="114300" distR="114300" simplePos="0" relativeHeight="251663360" behindDoc="0" locked="0" layoutInCell="1" allowOverlap="1" wp14:anchorId="0CB0F4F7" wp14:editId="7BB26DC9">
                <wp:simplePos x="0" y="0"/>
                <wp:positionH relativeFrom="column">
                  <wp:posOffset>53340</wp:posOffset>
                </wp:positionH>
                <wp:positionV relativeFrom="paragraph">
                  <wp:posOffset>29210</wp:posOffset>
                </wp:positionV>
                <wp:extent cx="572135" cy="548640"/>
                <wp:effectExtent l="0" t="0" r="0" b="3810"/>
                <wp:wrapNone/>
                <wp:docPr id="15" name="Picture 15" descr="Texas Workforce Commission Seal" title="Texas Workforce Commiss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srcRect/>
                        <a:stretch>
                          <a:fillRect/>
                        </a:stretch>
                      </pic:blipFill>
                      <pic:spPr bwMode="auto">
                        <a:xfrm>
                          <a:off x="0" y="0"/>
                          <a:ext cx="572135" cy="548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8172" w:type="dxa"/>
          <w:tcBorders>
            <w:top w:val="single" w:sz="4" w:space="0" w:color="auto"/>
          </w:tcBorders>
        </w:tcPr>
        <w:p w14:paraId="69745339" w14:textId="241435AA" w:rsidR="006D43BC" w:rsidRPr="002027B4" w:rsidRDefault="006D43BC" w:rsidP="00BC58FC">
          <w:pPr>
            <w:pStyle w:val="Footer"/>
            <w:jc w:val="right"/>
            <w:rPr>
              <w:sz w:val="20"/>
              <w:szCs w:val="20"/>
            </w:rPr>
          </w:pPr>
          <w:r w:rsidRPr="002027B4">
            <w:rPr>
              <w:sz w:val="20"/>
              <w:szCs w:val="20"/>
            </w:rPr>
            <w:t xml:space="preserve">Page </w:t>
          </w:r>
          <w:r w:rsidRPr="002027B4">
            <w:rPr>
              <w:rStyle w:val="PageNumber"/>
              <w:sz w:val="20"/>
              <w:szCs w:val="20"/>
            </w:rPr>
            <w:fldChar w:fldCharType="begin"/>
          </w:r>
          <w:r w:rsidRPr="002027B4">
            <w:rPr>
              <w:rStyle w:val="PageNumber"/>
              <w:sz w:val="20"/>
              <w:szCs w:val="20"/>
            </w:rPr>
            <w:instrText xml:space="preserve"> PAGE </w:instrText>
          </w:r>
          <w:r w:rsidRPr="002027B4">
            <w:rPr>
              <w:rStyle w:val="PageNumber"/>
              <w:sz w:val="20"/>
              <w:szCs w:val="20"/>
            </w:rPr>
            <w:fldChar w:fldCharType="separate"/>
          </w:r>
          <w:r>
            <w:rPr>
              <w:rStyle w:val="PageNumber"/>
              <w:noProof/>
              <w:sz w:val="20"/>
              <w:szCs w:val="20"/>
            </w:rPr>
            <w:t>305</w:t>
          </w:r>
          <w:r w:rsidRPr="002027B4">
            <w:rPr>
              <w:rStyle w:val="PageNumber"/>
              <w:sz w:val="20"/>
              <w:szCs w:val="20"/>
            </w:rPr>
            <w:fldChar w:fldCharType="end"/>
          </w:r>
          <w:r w:rsidRPr="002027B4">
            <w:rPr>
              <w:rStyle w:val="PageNumber"/>
              <w:sz w:val="20"/>
              <w:szCs w:val="20"/>
            </w:rPr>
            <w:t xml:space="preserve"> of </w:t>
          </w:r>
          <w:r w:rsidRPr="002027B4">
            <w:rPr>
              <w:rStyle w:val="PageNumber"/>
              <w:sz w:val="20"/>
              <w:szCs w:val="20"/>
            </w:rPr>
            <w:fldChar w:fldCharType="begin"/>
          </w:r>
          <w:r w:rsidRPr="002027B4">
            <w:rPr>
              <w:rStyle w:val="PageNumber"/>
              <w:sz w:val="20"/>
              <w:szCs w:val="20"/>
            </w:rPr>
            <w:instrText xml:space="preserve"> NUMPAGES </w:instrText>
          </w:r>
          <w:r w:rsidRPr="002027B4">
            <w:rPr>
              <w:rStyle w:val="PageNumber"/>
              <w:sz w:val="20"/>
              <w:szCs w:val="20"/>
            </w:rPr>
            <w:fldChar w:fldCharType="separate"/>
          </w:r>
          <w:r>
            <w:rPr>
              <w:rStyle w:val="PageNumber"/>
              <w:noProof/>
              <w:sz w:val="20"/>
              <w:szCs w:val="20"/>
            </w:rPr>
            <w:t>386</w:t>
          </w:r>
          <w:r w:rsidRPr="002027B4">
            <w:rPr>
              <w:rStyle w:val="PageNumber"/>
              <w:sz w:val="20"/>
              <w:szCs w:val="20"/>
            </w:rPr>
            <w:fldChar w:fldCharType="end"/>
          </w:r>
        </w:p>
      </w:tc>
    </w:tr>
    <w:tr w:rsidR="006D43BC" w14:paraId="7827EF53" w14:textId="77777777" w:rsidTr="00016541">
      <w:trPr>
        <w:cantSplit/>
      </w:trPr>
      <w:tc>
        <w:tcPr>
          <w:tcW w:w="2610" w:type="dxa"/>
          <w:vMerge/>
        </w:tcPr>
        <w:p w14:paraId="3C91668B" w14:textId="77777777" w:rsidR="006D43BC" w:rsidRDefault="006D43BC" w:rsidP="00BC58FC">
          <w:pPr>
            <w:pStyle w:val="Footer"/>
          </w:pPr>
        </w:p>
      </w:tc>
      <w:tc>
        <w:tcPr>
          <w:tcW w:w="8172" w:type="dxa"/>
        </w:tcPr>
        <w:p w14:paraId="3117C687" w14:textId="77777777" w:rsidR="006D43BC" w:rsidRDefault="006D43BC" w:rsidP="00BC58FC">
          <w:pPr>
            <w:pStyle w:val="Footer"/>
            <w:jc w:val="right"/>
          </w:pPr>
        </w:p>
      </w:tc>
    </w:tr>
  </w:tbl>
  <w:p w14:paraId="2F152B87" w14:textId="77777777" w:rsidR="006D43BC" w:rsidRDefault="006D43BC"/>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562" w:type="dxa"/>
      <w:tblInd w:w="108" w:type="dxa"/>
      <w:tblLayout w:type="fixed"/>
      <w:tblLook w:val="0000" w:firstRow="0" w:lastRow="0" w:firstColumn="0" w:lastColumn="0" w:noHBand="0" w:noVBand="0"/>
    </w:tblPr>
    <w:tblGrid>
      <w:gridCol w:w="2610"/>
      <w:gridCol w:w="11952"/>
    </w:tblGrid>
    <w:tr w:rsidR="006D43BC" w14:paraId="36AE8223" w14:textId="77777777" w:rsidTr="00016541">
      <w:trPr>
        <w:cantSplit/>
        <w:trHeight w:val="260"/>
      </w:trPr>
      <w:tc>
        <w:tcPr>
          <w:tcW w:w="2610" w:type="dxa"/>
          <w:vMerge w:val="restart"/>
          <w:tcBorders>
            <w:top w:val="single" w:sz="4" w:space="0" w:color="auto"/>
          </w:tcBorders>
          <w:vAlign w:val="center"/>
        </w:tcPr>
        <w:p w14:paraId="56ECE769" w14:textId="21591521" w:rsidR="006D43BC" w:rsidRDefault="006D43BC" w:rsidP="002D3152">
          <w:pPr>
            <w:pStyle w:val="Footer"/>
          </w:pPr>
          <w:r w:rsidRPr="00434F50">
            <w:rPr>
              <w:noProof/>
            </w:rPr>
            <w:drawing>
              <wp:anchor distT="0" distB="0" distL="114300" distR="114300" simplePos="0" relativeHeight="251655168" behindDoc="0" locked="0" layoutInCell="1" allowOverlap="1" wp14:anchorId="019BF670" wp14:editId="5749EACC">
                <wp:simplePos x="0" y="0"/>
                <wp:positionH relativeFrom="column">
                  <wp:posOffset>53340</wp:posOffset>
                </wp:positionH>
                <wp:positionV relativeFrom="paragraph">
                  <wp:posOffset>29210</wp:posOffset>
                </wp:positionV>
                <wp:extent cx="572135" cy="548640"/>
                <wp:effectExtent l="0" t="0" r="0" b="3810"/>
                <wp:wrapNone/>
                <wp:docPr id="16" name="Picture 16" descr="Texas Workforce Commission Seal" title="Texas Workforce Commiss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srcRect/>
                        <a:stretch>
                          <a:fillRect/>
                        </a:stretch>
                      </pic:blipFill>
                      <pic:spPr bwMode="auto">
                        <a:xfrm>
                          <a:off x="0" y="0"/>
                          <a:ext cx="572135" cy="548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1952" w:type="dxa"/>
          <w:tcBorders>
            <w:top w:val="single" w:sz="4" w:space="0" w:color="auto"/>
          </w:tcBorders>
        </w:tcPr>
        <w:p w14:paraId="59769E94" w14:textId="181812AB" w:rsidR="006D43BC" w:rsidRPr="001D7791" w:rsidRDefault="006D43BC" w:rsidP="00DE1769">
          <w:pPr>
            <w:pStyle w:val="Footer"/>
            <w:tabs>
              <w:tab w:val="left" w:pos="8310"/>
              <w:tab w:val="right" w:pos="11646"/>
            </w:tabs>
            <w:jc w:val="right"/>
          </w:pPr>
          <w:r w:rsidRPr="00E35128">
            <w:rPr>
              <w:sz w:val="20"/>
            </w:rPr>
            <w:t xml:space="preserve">Page </w:t>
          </w:r>
          <w:r w:rsidRPr="00397733">
            <w:rPr>
              <w:rStyle w:val="PageNumber"/>
              <w:sz w:val="20"/>
            </w:rPr>
            <w:fldChar w:fldCharType="begin"/>
          </w:r>
          <w:r w:rsidRPr="008C7DE6">
            <w:rPr>
              <w:rStyle w:val="PageNumber"/>
              <w:sz w:val="20"/>
            </w:rPr>
            <w:instrText xml:space="preserve"> PAGE </w:instrText>
          </w:r>
          <w:r w:rsidRPr="00397733">
            <w:rPr>
              <w:rStyle w:val="PageNumber"/>
              <w:sz w:val="20"/>
            </w:rPr>
            <w:fldChar w:fldCharType="separate"/>
          </w:r>
          <w:r>
            <w:rPr>
              <w:rStyle w:val="PageNumber"/>
              <w:noProof/>
              <w:sz w:val="20"/>
            </w:rPr>
            <w:t>307</w:t>
          </w:r>
          <w:r w:rsidRPr="00397733">
            <w:rPr>
              <w:rStyle w:val="PageNumber"/>
              <w:sz w:val="20"/>
            </w:rPr>
            <w:fldChar w:fldCharType="end"/>
          </w:r>
          <w:r w:rsidRPr="001D7791">
            <w:rPr>
              <w:rStyle w:val="PageNumber"/>
              <w:sz w:val="20"/>
            </w:rPr>
            <w:t xml:space="preserve"> of </w:t>
          </w:r>
          <w:r w:rsidRPr="001D7791">
            <w:rPr>
              <w:rStyle w:val="PageNumber"/>
              <w:sz w:val="20"/>
            </w:rPr>
            <w:fldChar w:fldCharType="begin"/>
          </w:r>
          <w:r w:rsidRPr="001D7791">
            <w:rPr>
              <w:rStyle w:val="PageNumber"/>
              <w:sz w:val="20"/>
            </w:rPr>
            <w:instrText xml:space="preserve"> NUMPAGES </w:instrText>
          </w:r>
          <w:r w:rsidRPr="001D7791">
            <w:rPr>
              <w:rStyle w:val="PageNumber"/>
              <w:sz w:val="20"/>
            </w:rPr>
            <w:fldChar w:fldCharType="separate"/>
          </w:r>
          <w:r>
            <w:rPr>
              <w:rStyle w:val="PageNumber"/>
              <w:noProof/>
              <w:sz w:val="20"/>
            </w:rPr>
            <w:t>386</w:t>
          </w:r>
          <w:r w:rsidRPr="001D7791">
            <w:rPr>
              <w:rStyle w:val="PageNumber"/>
              <w:sz w:val="20"/>
            </w:rPr>
            <w:fldChar w:fldCharType="end"/>
          </w:r>
        </w:p>
      </w:tc>
    </w:tr>
    <w:tr w:rsidR="006D43BC" w14:paraId="13DBAA59" w14:textId="77777777" w:rsidTr="00016541">
      <w:trPr>
        <w:cantSplit/>
      </w:trPr>
      <w:tc>
        <w:tcPr>
          <w:tcW w:w="2610" w:type="dxa"/>
          <w:vMerge/>
        </w:tcPr>
        <w:p w14:paraId="5FC3418B" w14:textId="77777777" w:rsidR="006D43BC" w:rsidRDefault="006D43BC" w:rsidP="002D3152">
          <w:pPr>
            <w:pStyle w:val="Footer"/>
          </w:pPr>
        </w:p>
      </w:tc>
      <w:tc>
        <w:tcPr>
          <w:tcW w:w="11952" w:type="dxa"/>
        </w:tcPr>
        <w:p w14:paraId="60B6609D" w14:textId="77777777" w:rsidR="006D43BC" w:rsidRPr="00EA6B15" w:rsidRDefault="006D43BC" w:rsidP="002D3152">
          <w:pPr>
            <w:pStyle w:val="Footer"/>
            <w:jc w:val="right"/>
            <w:rPr>
              <w:snapToGrid w:val="0"/>
              <w:sz w:val="16"/>
              <w:szCs w:val="16"/>
            </w:rPr>
          </w:pPr>
          <w:r w:rsidRPr="00EA6B15">
            <w:rPr>
              <w:snapToGrid w:val="0"/>
              <w:sz w:val="16"/>
              <w:szCs w:val="16"/>
            </w:rPr>
            <w:t xml:space="preserve"> </w:t>
          </w:r>
        </w:p>
        <w:p w14:paraId="4FA54F2F" w14:textId="77777777" w:rsidR="006D43BC" w:rsidRDefault="006D43BC" w:rsidP="002D3152">
          <w:pPr>
            <w:pStyle w:val="Footer"/>
            <w:jc w:val="right"/>
          </w:pPr>
        </w:p>
      </w:tc>
    </w:tr>
  </w:tbl>
  <w:p w14:paraId="6D22DDDD" w14:textId="77777777" w:rsidR="006D43BC" w:rsidRDefault="006D43BC" w:rsidP="002D3152">
    <w:pPr>
      <w:pStyle w:val="Footer"/>
      <w:ind w:left="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Layout w:type="fixed"/>
      <w:tblLook w:val="0000" w:firstRow="0" w:lastRow="0" w:firstColumn="0" w:lastColumn="0" w:noHBand="0" w:noVBand="0"/>
    </w:tblPr>
    <w:tblGrid>
      <w:gridCol w:w="2610"/>
      <w:gridCol w:w="8190"/>
    </w:tblGrid>
    <w:tr w:rsidR="006D43BC" w14:paraId="36D2E834" w14:textId="77777777" w:rsidTr="00162CE5">
      <w:trPr>
        <w:cantSplit/>
        <w:trHeight w:val="260"/>
      </w:trPr>
      <w:tc>
        <w:tcPr>
          <w:tcW w:w="2610" w:type="dxa"/>
          <w:vMerge w:val="restart"/>
          <w:tcBorders>
            <w:top w:val="single" w:sz="4" w:space="0" w:color="auto"/>
          </w:tcBorders>
          <w:vAlign w:val="center"/>
        </w:tcPr>
        <w:p w14:paraId="12AB1922" w14:textId="0D7F66E5" w:rsidR="006D43BC" w:rsidRDefault="006D43BC" w:rsidP="00F126F7">
          <w:pPr>
            <w:pStyle w:val="Footer"/>
          </w:pPr>
          <w:r w:rsidRPr="00434F50">
            <w:rPr>
              <w:noProof/>
            </w:rPr>
            <w:drawing>
              <wp:anchor distT="0" distB="0" distL="114300" distR="114300" simplePos="0" relativeHeight="251652096" behindDoc="0" locked="0" layoutInCell="1" allowOverlap="1" wp14:anchorId="33687190" wp14:editId="48D966EC">
                <wp:simplePos x="0" y="0"/>
                <wp:positionH relativeFrom="column">
                  <wp:posOffset>53340</wp:posOffset>
                </wp:positionH>
                <wp:positionV relativeFrom="paragraph">
                  <wp:posOffset>29210</wp:posOffset>
                </wp:positionV>
                <wp:extent cx="572135" cy="548640"/>
                <wp:effectExtent l="0" t="0" r="0" b="3810"/>
                <wp:wrapNone/>
                <wp:docPr id="20" name="Picture 20" descr="Texas Workforce Commission Seal" title="Texas Workforce Commiss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srcRect/>
                        <a:stretch>
                          <a:fillRect/>
                        </a:stretch>
                      </pic:blipFill>
                      <pic:spPr bwMode="auto">
                        <a:xfrm>
                          <a:off x="0" y="0"/>
                          <a:ext cx="572135" cy="548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8190" w:type="dxa"/>
          <w:tcBorders>
            <w:top w:val="single" w:sz="4" w:space="0" w:color="auto"/>
          </w:tcBorders>
        </w:tcPr>
        <w:p w14:paraId="48EFE938" w14:textId="7D403F14" w:rsidR="006D43BC" w:rsidRPr="001D7791" w:rsidRDefault="006D43BC" w:rsidP="00F126F7">
          <w:pPr>
            <w:pStyle w:val="Footer"/>
            <w:jc w:val="right"/>
          </w:pPr>
          <w:r w:rsidRPr="00E35128">
            <w:rPr>
              <w:sz w:val="20"/>
            </w:rPr>
            <w:t xml:space="preserve">Page </w:t>
          </w:r>
          <w:r w:rsidRPr="00397733">
            <w:rPr>
              <w:rStyle w:val="PageNumber"/>
              <w:sz w:val="20"/>
            </w:rPr>
            <w:fldChar w:fldCharType="begin"/>
          </w:r>
          <w:r w:rsidRPr="008C7DE6">
            <w:rPr>
              <w:rStyle w:val="PageNumber"/>
              <w:sz w:val="20"/>
            </w:rPr>
            <w:instrText xml:space="preserve"> PAGE </w:instrText>
          </w:r>
          <w:r w:rsidRPr="00397733">
            <w:rPr>
              <w:rStyle w:val="PageNumber"/>
              <w:sz w:val="20"/>
            </w:rPr>
            <w:fldChar w:fldCharType="separate"/>
          </w:r>
          <w:r>
            <w:rPr>
              <w:rStyle w:val="PageNumber"/>
              <w:noProof/>
              <w:sz w:val="20"/>
            </w:rPr>
            <w:t>19</w:t>
          </w:r>
          <w:r w:rsidRPr="00397733">
            <w:rPr>
              <w:rStyle w:val="PageNumber"/>
              <w:sz w:val="20"/>
            </w:rPr>
            <w:fldChar w:fldCharType="end"/>
          </w:r>
          <w:r w:rsidRPr="001D7791">
            <w:rPr>
              <w:rStyle w:val="PageNumber"/>
              <w:sz w:val="20"/>
            </w:rPr>
            <w:t xml:space="preserve"> of </w:t>
          </w:r>
          <w:r w:rsidRPr="001D7791">
            <w:rPr>
              <w:rStyle w:val="PageNumber"/>
              <w:sz w:val="20"/>
            </w:rPr>
            <w:fldChar w:fldCharType="begin"/>
          </w:r>
          <w:r w:rsidRPr="001D7791">
            <w:rPr>
              <w:rStyle w:val="PageNumber"/>
              <w:sz w:val="20"/>
            </w:rPr>
            <w:instrText xml:space="preserve"> NUMPAGES </w:instrText>
          </w:r>
          <w:r w:rsidRPr="001D7791">
            <w:rPr>
              <w:rStyle w:val="PageNumber"/>
              <w:sz w:val="20"/>
            </w:rPr>
            <w:fldChar w:fldCharType="separate"/>
          </w:r>
          <w:r>
            <w:rPr>
              <w:rStyle w:val="PageNumber"/>
              <w:noProof/>
              <w:sz w:val="20"/>
            </w:rPr>
            <w:t>384</w:t>
          </w:r>
          <w:r w:rsidRPr="001D7791">
            <w:rPr>
              <w:rStyle w:val="PageNumber"/>
              <w:sz w:val="20"/>
            </w:rPr>
            <w:fldChar w:fldCharType="end"/>
          </w:r>
        </w:p>
      </w:tc>
    </w:tr>
    <w:tr w:rsidR="006D43BC" w14:paraId="5D600ECA" w14:textId="77777777" w:rsidTr="00162CE5">
      <w:trPr>
        <w:cantSplit/>
      </w:trPr>
      <w:tc>
        <w:tcPr>
          <w:tcW w:w="2610" w:type="dxa"/>
          <w:vMerge/>
        </w:tcPr>
        <w:p w14:paraId="5422EB15" w14:textId="77777777" w:rsidR="006D43BC" w:rsidRDefault="006D43BC" w:rsidP="00F126F7">
          <w:pPr>
            <w:pStyle w:val="Footer"/>
          </w:pPr>
        </w:p>
      </w:tc>
      <w:tc>
        <w:tcPr>
          <w:tcW w:w="8190" w:type="dxa"/>
        </w:tcPr>
        <w:p w14:paraId="5AA15673" w14:textId="77777777" w:rsidR="006D43BC" w:rsidRPr="00EA6B15" w:rsidRDefault="006D43BC" w:rsidP="00F126F7">
          <w:pPr>
            <w:pStyle w:val="Footer"/>
            <w:jc w:val="right"/>
            <w:rPr>
              <w:snapToGrid w:val="0"/>
              <w:sz w:val="16"/>
              <w:szCs w:val="16"/>
            </w:rPr>
          </w:pPr>
          <w:r w:rsidRPr="00EA6B15">
            <w:rPr>
              <w:snapToGrid w:val="0"/>
              <w:sz w:val="16"/>
              <w:szCs w:val="16"/>
            </w:rPr>
            <w:t xml:space="preserve"> </w:t>
          </w:r>
        </w:p>
        <w:p w14:paraId="7A7E611A" w14:textId="77777777" w:rsidR="006D43BC" w:rsidRDefault="006D43BC" w:rsidP="00F126F7">
          <w:pPr>
            <w:pStyle w:val="Footer"/>
            <w:jc w:val="right"/>
          </w:pPr>
        </w:p>
      </w:tc>
    </w:tr>
  </w:tbl>
  <w:p w14:paraId="49244E66" w14:textId="77777777" w:rsidR="006D43BC" w:rsidRDefault="006D43BC" w:rsidP="00F126F7">
    <w:pPr>
      <w:pStyle w:val="Footer"/>
      <w:ind w:left="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72" w:type="dxa"/>
      <w:tblInd w:w="108" w:type="dxa"/>
      <w:tblLayout w:type="fixed"/>
      <w:tblLook w:val="0000" w:firstRow="0" w:lastRow="0" w:firstColumn="0" w:lastColumn="0" w:noHBand="0" w:noVBand="0"/>
    </w:tblPr>
    <w:tblGrid>
      <w:gridCol w:w="2610"/>
      <w:gridCol w:w="8262"/>
    </w:tblGrid>
    <w:tr w:rsidR="006D43BC" w14:paraId="28866C95" w14:textId="77777777" w:rsidTr="00DE1769">
      <w:trPr>
        <w:cantSplit/>
        <w:trHeight w:val="260"/>
      </w:trPr>
      <w:tc>
        <w:tcPr>
          <w:tcW w:w="2610" w:type="dxa"/>
          <w:vMerge w:val="restart"/>
          <w:tcBorders>
            <w:top w:val="single" w:sz="4" w:space="0" w:color="auto"/>
          </w:tcBorders>
          <w:vAlign w:val="center"/>
        </w:tcPr>
        <w:p w14:paraId="5485E685" w14:textId="77777777" w:rsidR="006D43BC" w:rsidRDefault="006D43BC" w:rsidP="002D3152">
          <w:pPr>
            <w:pStyle w:val="Footer"/>
          </w:pPr>
          <w:r w:rsidRPr="00434F50">
            <w:rPr>
              <w:noProof/>
            </w:rPr>
            <w:drawing>
              <wp:anchor distT="0" distB="0" distL="114300" distR="114300" simplePos="0" relativeHeight="251656192" behindDoc="0" locked="0" layoutInCell="1" allowOverlap="1" wp14:anchorId="019BF670" wp14:editId="5749EACC">
                <wp:simplePos x="0" y="0"/>
                <wp:positionH relativeFrom="column">
                  <wp:posOffset>53340</wp:posOffset>
                </wp:positionH>
                <wp:positionV relativeFrom="paragraph">
                  <wp:posOffset>29210</wp:posOffset>
                </wp:positionV>
                <wp:extent cx="572135" cy="548640"/>
                <wp:effectExtent l="0" t="0" r="0" b="3810"/>
                <wp:wrapNone/>
                <wp:docPr id="21" name="Picture 21" descr="Texas Workforce Commission Seal" title="Texas Workforce Commiss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srcRect/>
                        <a:stretch>
                          <a:fillRect/>
                        </a:stretch>
                      </pic:blipFill>
                      <pic:spPr bwMode="auto">
                        <a:xfrm>
                          <a:off x="0" y="0"/>
                          <a:ext cx="572135" cy="548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8262" w:type="dxa"/>
          <w:tcBorders>
            <w:top w:val="single" w:sz="4" w:space="0" w:color="auto"/>
          </w:tcBorders>
        </w:tcPr>
        <w:p w14:paraId="2FE969A3" w14:textId="00280C44" w:rsidR="006D43BC" w:rsidRPr="001D7791" w:rsidRDefault="006D43BC" w:rsidP="00DE1769">
          <w:pPr>
            <w:pStyle w:val="Footer"/>
            <w:tabs>
              <w:tab w:val="left" w:pos="8310"/>
              <w:tab w:val="right" w:pos="11646"/>
            </w:tabs>
            <w:jc w:val="right"/>
          </w:pPr>
          <w:r w:rsidRPr="00E35128">
            <w:rPr>
              <w:sz w:val="20"/>
            </w:rPr>
            <w:t xml:space="preserve">Page </w:t>
          </w:r>
          <w:r w:rsidRPr="00397733">
            <w:rPr>
              <w:rStyle w:val="PageNumber"/>
              <w:sz w:val="20"/>
            </w:rPr>
            <w:fldChar w:fldCharType="begin"/>
          </w:r>
          <w:r w:rsidRPr="008C7DE6">
            <w:rPr>
              <w:rStyle w:val="PageNumber"/>
              <w:sz w:val="20"/>
            </w:rPr>
            <w:instrText xml:space="preserve"> PAGE </w:instrText>
          </w:r>
          <w:r w:rsidRPr="00397733">
            <w:rPr>
              <w:rStyle w:val="PageNumber"/>
              <w:sz w:val="20"/>
            </w:rPr>
            <w:fldChar w:fldCharType="separate"/>
          </w:r>
          <w:r>
            <w:rPr>
              <w:rStyle w:val="PageNumber"/>
              <w:noProof/>
              <w:sz w:val="20"/>
            </w:rPr>
            <w:t>386</w:t>
          </w:r>
          <w:r w:rsidRPr="00397733">
            <w:rPr>
              <w:rStyle w:val="PageNumber"/>
              <w:sz w:val="20"/>
            </w:rPr>
            <w:fldChar w:fldCharType="end"/>
          </w:r>
          <w:r w:rsidRPr="001D7791">
            <w:rPr>
              <w:rStyle w:val="PageNumber"/>
              <w:sz w:val="20"/>
            </w:rPr>
            <w:t xml:space="preserve"> of </w:t>
          </w:r>
          <w:r w:rsidRPr="001D7791">
            <w:rPr>
              <w:rStyle w:val="PageNumber"/>
              <w:sz w:val="20"/>
            </w:rPr>
            <w:fldChar w:fldCharType="begin"/>
          </w:r>
          <w:r w:rsidRPr="001D7791">
            <w:rPr>
              <w:rStyle w:val="PageNumber"/>
              <w:sz w:val="20"/>
            </w:rPr>
            <w:instrText xml:space="preserve"> NUMPAGES </w:instrText>
          </w:r>
          <w:r w:rsidRPr="001D7791">
            <w:rPr>
              <w:rStyle w:val="PageNumber"/>
              <w:sz w:val="20"/>
            </w:rPr>
            <w:fldChar w:fldCharType="separate"/>
          </w:r>
          <w:r>
            <w:rPr>
              <w:rStyle w:val="PageNumber"/>
              <w:noProof/>
              <w:sz w:val="20"/>
            </w:rPr>
            <w:t>386</w:t>
          </w:r>
          <w:r w:rsidRPr="001D7791">
            <w:rPr>
              <w:rStyle w:val="PageNumber"/>
              <w:sz w:val="20"/>
            </w:rPr>
            <w:fldChar w:fldCharType="end"/>
          </w:r>
        </w:p>
      </w:tc>
    </w:tr>
    <w:tr w:rsidR="006D43BC" w14:paraId="52B20BB6" w14:textId="77777777" w:rsidTr="00DE1769">
      <w:trPr>
        <w:cantSplit/>
      </w:trPr>
      <w:tc>
        <w:tcPr>
          <w:tcW w:w="2610" w:type="dxa"/>
          <w:vMerge/>
        </w:tcPr>
        <w:p w14:paraId="480045DA" w14:textId="77777777" w:rsidR="006D43BC" w:rsidRDefault="006D43BC" w:rsidP="002D3152">
          <w:pPr>
            <w:pStyle w:val="Footer"/>
          </w:pPr>
        </w:p>
      </w:tc>
      <w:tc>
        <w:tcPr>
          <w:tcW w:w="8262" w:type="dxa"/>
        </w:tcPr>
        <w:p w14:paraId="4D849F1A" w14:textId="77777777" w:rsidR="006D43BC" w:rsidRPr="00EA6B15" w:rsidRDefault="006D43BC" w:rsidP="002D3152">
          <w:pPr>
            <w:pStyle w:val="Footer"/>
            <w:jc w:val="right"/>
            <w:rPr>
              <w:snapToGrid w:val="0"/>
              <w:sz w:val="16"/>
              <w:szCs w:val="16"/>
            </w:rPr>
          </w:pPr>
          <w:r w:rsidRPr="00EA6B15">
            <w:rPr>
              <w:snapToGrid w:val="0"/>
              <w:sz w:val="16"/>
              <w:szCs w:val="16"/>
            </w:rPr>
            <w:t xml:space="preserve"> </w:t>
          </w:r>
        </w:p>
        <w:p w14:paraId="73D8794A" w14:textId="77777777" w:rsidR="006D43BC" w:rsidRDefault="006D43BC" w:rsidP="002D3152">
          <w:pPr>
            <w:pStyle w:val="Footer"/>
            <w:jc w:val="right"/>
          </w:pPr>
        </w:p>
      </w:tc>
    </w:tr>
  </w:tbl>
  <w:p w14:paraId="13781A77" w14:textId="77777777" w:rsidR="006D43BC" w:rsidRDefault="006D43BC" w:rsidP="002D3152">
    <w:pPr>
      <w:pStyle w:val="Footer"/>
      <w:ind w:left="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Layout w:type="fixed"/>
      <w:tblLook w:val="0000" w:firstRow="0" w:lastRow="0" w:firstColumn="0" w:lastColumn="0" w:noHBand="0" w:noVBand="0"/>
    </w:tblPr>
    <w:tblGrid>
      <w:gridCol w:w="2610"/>
      <w:gridCol w:w="8190"/>
    </w:tblGrid>
    <w:tr w:rsidR="006D43BC" w14:paraId="30DAAA23" w14:textId="77777777" w:rsidTr="00162CE5">
      <w:trPr>
        <w:cantSplit/>
        <w:trHeight w:val="260"/>
      </w:trPr>
      <w:tc>
        <w:tcPr>
          <w:tcW w:w="2610" w:type="dxa"/>
          <w:vMerge w:val="restart"/>
          <w:tcBorders>
            <w:top w:val="single" w:sz="4" w:space="0" w:color="auto"/>
          </w:tcBorders>
          <w:vAlign w:val="center"/>
        </w:tcPr>
        <w:p w14:paraId="25AB1D7E" w14:textId="77777777" w:rsidR="006D43BC" w:rsidRDefault="006D43BC" w:rsidP="00F126F7">
          <w:pPr>
            <w:pStyle w:val="Footer"/>
          </w:pPr>
          <w:r w:rsidRPr="00434F50">
            <w:rPr>
              <w:noProof/>
            </w:rPr>
            <w:drawing>
              <wp:anchor distT="0" distB="0" distL="114300" distR="114300" simplePos="0" relativeHeight="251653120" behindDoc="0" locked="0" layoutInCell="1" allowOverlap="1" wp14:anchorId="33687190" wp14:editId="48D966EC">
                <wp:simplePos x="0" y="0"/>
                <wp:positionH relativeFrom="column">
                  <wp:posOffset>53340</wp:posOffset>
                </wp:positionH>
                <wp:positionV relativeFrom="paragraph">
                  <wp:posOffset>29210</wp:posOffset>
                </wp:positionV>
                <wp:extent cx="572135" cy="548640"/>
                <wp:effectExtent l="0" t="0" r="0" b="3810"/>
                <wp:wrapNone/>
                <wp:docPr id="24" name="Picture 24" descr="Texas Workforce Commission Seal" title="Texas Workforce Commiss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srcRect/>
                        <a:stretch>
                          <a:fillRect/>
                        </a:stretch>
                      </pic:blipFill>
                      <pic:spPr bwMode="auto">
                        <a:xfrm>
                          <a:off x="0" y="0"/>
                          <a:ext cx="572135" cy="548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8190" w:type="dxa"/>
          <w:tcBorders>
            <w:top w:val="single" w:sz="4" w:space="0" w:color="auto"/>
          </w:tcBorders>
        </w:tcPr>
        <w:p w14:paraId="30972106" w14:textId="4BFD9A7D" w:rsidR="006D43BC" w:rsidRPr="001D7791" w:rsidRDefault="006D43BC" w:rsidP="00F126F7">
          <w:pPr>
            <w:pStyle w:val="Footer"/>
            <w:jc w:val="right"/>
          </w:pPr>
          <w:r w:rsidRPr="00E35128">
            <w:rPr>
              <w:sz w:val="20"/>
            </w:rPr>
            <w:t xml:space="preserve">Page </w:t>
          </w:r>
          <w:r w:rsidRPr="00397733">
            <w:rPr>
              <w:rStyle w:val="PageNumber"/>
              <w:sz w:val="20"/>
            </w:rPr>
            <w:fldChar w:fldCharType="begin"/>
          </w:r>
          <w:r w:rsidRPr="008C7DE6">
            <w:rPr>
              <w:rStyle w:val="PageNumber"/>
              <w:sz w:val="20"/>
            </w:rPr>
            <w:instrText xml:space="preserve"> PAGE </w:instrText>
          </w:r>
          <w:r w:rsidRPr="00397733">
            <w:rPr>
              <w:rStyle w:val="PageNumber"/>
              <w:sz w:val="20"/>
            </w:rPr>
            <w:fldChar w:fldCharType="separate"/>
          </w:r>
          <w:r>
            <w:rPr>
              <w:rStyle w:val="PageNumber"/>
              <w:noProof/>
              <w:sz w:val="20"/>
            </w:rPr>
            <w:t>19</w:t>
          </w:r>
          <w:r w:rsidRPr="00397733">
            <w:rPr>
              <w:rStyle w:val="PageNumber"/>
              <w:sz w:val="20"/>
            </w:rPr>
            <w:fldChar w:fldCharType="end"/>
          </w:r>
          <w:r w:rsidRPr="001D7791">
            <w:rPr>
              <w:rStyle w:val="PageNumber"/>
              <w:sz w:val="20"/>
            </w:rPr>
            <w:t xml:space="preserve"> of </w:t>
          </w:r>
          <w:r w:rsidRPr="001D7791">
            <w:rPr>
              <w:rStyle w:val="PageNumber"/>
              <w:sz w:val="20"/>
            </w:rPr>
            <w:fldChar w:fldCharType="begin"/>
          </w:r>
          <w:r w:rsidRPr="001D7791">
            <w:rPr>
              <w:rStyle w:val="PageNumber"/>
              <w:sz w:val="20"/>
            </w:rPr>
            <w:instrText xml:space="preserve"> NUMPAGES </w:instrText>
          </w:r>
          <w:r w:rsidRPr="001D7791">
            <w:rPr>
              <w:rStyle w:val="PageNumber"/>
              <w:sz w:val="20"/>
            </w:rPr>
            <w:fldChar w:fldCharType="separate"/>
          </w:r>
          <w:r>
            <w:rPr>
              <w:rStyle w:val="PageNumber"/>
              <w:noProof/>
              <w:sz w:val="20"/>
            </w:rPr>
            <w:t>384</w:t>
          </w:r>
          <w:r w:rsidRPr="001D7791">
            <w:rPr>
              <w:rStyle w:val="PageNumber"/>
              <w:sz w:val="20"/>
            </w:rPr>
            <w:fldChar w:fldCharType="end"/>
          </w:r>
        </w:p>
      </w:tc>
    </w:tr>
    <w:tr w:rsidR="006D43BC" w14:paraId="19C1A1CC" w14:textId="77777777" w:rsidTr="00162CE5">
      <w:trPr>
        <w:cantSplit/>
      </w:trPr>
      <w:tc>
        <w:tcPr>
          <w:tcW w:w="2610" w:type="dxa"/>
          <w:vMerge/>
        </w:tcPr>
        <w:p w14:paraId="4FBDDB14" w14:textId="77777777" w:rsidR="006D43BC" w:rsidRDefault="006D43BC" w:rsidP="00F126F7">
          <w:pPr>
            <w:pStyle w:val="Footer"/>
          </w:pPr>
        </w:p>
      </w:tc>
      <w:tc>
        <w:tcPr>
          <w:tcW w:w="8190" w:type="dxa"/>
        </w:tcPr>
        <w:p w14:paraId="418A6A5A" w14:textId="77777777" w:rsidR="006D43BC" w:rsidRPr="00EA6B15" w:rsidRDefault="006D43BC" w:rsidP="00F126F7">
          <w:pPr>
            <w:pStyle w:val="Footer"/>
            <w:jc w:val="right"/>
            <w:rPr>
              <w:snapToGrid w:val="0"/>
              <w:sz w:val="16"/>
              <w:szCs w:val="16"/>
            </w:rPr>
          </w:pPr>
          <w:r w:rsidRPr="00EA6B15">
            <w:rPr>
              <w:snapToGrid w:val="0"/>
              <w:sz w:val="16"/>
              <w:szCs w:val="16"/>
            </w:rPr>
            <w:t xml:space="preserve"> </w:t>
          </w:r>
        </w:p>
        <w:p w14:paraId="761EE199" w14:textId="77777777" w:rsidR="006D43BC" w:rsidRDefault="006D43BC" w:rsidP="00F126F7">
          <w:pPr>
            <w:pStyle w:val="Footer"/>
            <w:jc w:val="right"/>
          </w:pPr>
        </w:p>
      </w:tc>
    </w:tr>
  </w:tbl>
  <w:p w14:paraId="3468C249" w14:textId="77777777" w:rsidR="006D43BC" w:rsidRDefault="006D43BC" w:rsidP="00F126F7">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Layout w:type="fixed"/>
      <w:tblLook w:val="0000" w:firstRow="0" w:lastRow="0" w:firstColumn="0" w:lastColumn="0" w:noHBand="0" w:noVBand="0"/>
    </w:tblPr>
    <w:tblGrid>
      <w:gridCol w:w="2610"/>
      <w:gridCol w:w="8190"/>
    </w:tblGrid>
    <w:tr w:rsidR="006D43BC" w14:paraId="7EDA0C69" w14:textId="77777777" w:rsidTr="00162CE5">
      <w:trPr>
        <w:cantSplit/>
        <w:trHeight w:val="260"/>
      </w:trPr>
      <w:tc>
        <w:tcPr>
          <w:tcW w:w="2610" w:type="dxa"/>
          <w:vMerge w:val="restart"/>
          <w:tcBorders>
            <w:top w:val="single" w:sz="4" w:space="0" w:color="auto"/>
          </w:tcBorders>
          <w:vAlign w:val="center"/>
        </w:tcPr>
        <w:p w14:paraId="75CCDCEA" w14:textId="47FAD238" w:rsidR="006D43BC" w:rsidRDefault="006D43BC" w:rsidP="00DD7868">
          <w:pPr>
            <w:pStyle w:val="Footer"/>
          </w:pPr>
          <w:r w:rsidRPr="00434F50">
            <w:rPr>
              <w:noProof/>
            </w:rPr>
            <w:drawing>
              <wp:anchor distT="0" distB="0" distL="114300" distR="114300" simplePos="0" relativeHeight="251654144" behindDoc="0" locked="0" layoutInCell="1" allowOverlap="1" wp14:anchorId="1235273D" wp14:editId="1C2F1944">
                <wp:simplePos x="0" y="0"/>
                <wp:positionH relativeFrom="column">
                  <wp:posOffset>53340</wp:posOffset>
                </wp:positionH>
                <wp:positionV relativeFrom="paragraph">
                  <wp:posOffset>29210</wp:posOffset>
                </wp:positionV>
                <wp:extent cx="572135" cy="548640"/>
                <wp:effectExtent l="0" t="0" r="0" b="3810"/>
                <wp:wrapNone/>
                <wp:docPr id="3" name="Picture 3" descr="Texas Workforce Commission Seal" title="Texas Workforce Commiss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srcRect/>
                        <a:stretch>
                          <a:fillRect/>
                        </a:stretch>
                      </pic:blipFill>
                      <pic:spPr bwMode="auto">
                        <a:xfrm>
                          <a:off x="0" y="0"/>
                          <a:ext cx="572135" cy="548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8190" w:type="dxa"/>
          <w:tcBorders>
            <w:top w:val="single" w:sz="4" w:space="0" w:color="auto"/>
          </w:tcBorders>
        </w:tcPr>
        <w:p w14:paraId="4F4400A8" w14:textId="64AD4CDD" w:rsidR="006D43BC" w:rsidRPr="001D7791" w:rsidRDefault="006D43BC" w:rsidP="00DD7868">
          <w:pPr>
            <w:pStyle w:val="Footer"/>
            <w:jc w:val="right"/>
          </w:pPr>
          <w:r w:rsidRPr="00E35128">
            <w:rPr>
              <w:sz w:val="20"/>
            </w:rPr>
            <w:t xml:space="preserve">Page </w:t>
          </w:r>
          <w:r w:rsidRPr="00397733">
            <w:rPr>
              <w:rStyle w:val="PageNumber"/>
              <w:sz w:val="20"/>
            </w:rPr>
            <w:fldChar w:fldCharType="begin"/>
          </w:r>
          <w:r w:rsidRPr="008C7DE6">
            <w:rPr>
              <w:rStyle w:val="PageNumber"/>
              <w:sz w:val="20"/>
            </w:rPr>
            <w:instrText xml:space="preserve"> PAGE </w:instrText>
          </w:r>
          <w:r w:rsidRPr="00397733">
            <w:rPr>
              <w:rStyle w:val="PageNumber"/>
              <w:sz w:val="20"/>
            </w:rPr>
            <w:fldChar w:fldCharType="separate"/>
          </w:r>
          <w:r>
            <w:rPr>
              <w:rStyle w:val="PageNumber"/>
              <w:noProof/>
              <w:sz w:val="20"/>
            </w:rPr>
            <w:t>1</w:t>
          </w:r>
          <w:r w:rsidRPr="00397733">
            <w:rPr>
              <w:rStyle w:val="PageNumber"/>
              <w:sz w:val="20"/>
            </w:rPr>
            <w:fldChar w:fldCharType="end"/>
          </w:r>
          <w:r w:rsidRPr="001D7791">
            <w:rPr>
              <w:rStyle w:val="PageNumber"/>
              <w:sz w:val="20"/>
            </w:rPr>
            <w:t xml:space="preserve"> of </w:t>
          </w:r>
          <w:r w:rsidRPr="001D7791">
            <w:rPr>
              <w:rStyle w:val="PageNumber"/>
              <w:sz w:val="20"/>
            </w:rPr>
            <w:fldChar w:fldCharType="begin"/>
          </w:r>
          <w:r w:rsidRPr="001D7791">
            <w:rPr>
              <w:rStyle w:val="PageNumber"/>
              <w:sz w:val="20"/>
            </w:rPr>
            <w:instrText xml:space="preserve"> NUMPAGES </w:instrText>
          </w:r>
          <w:r w:rsidRPr="001D7791">
            <w:rPr>
              <w:rStyle w:val="PageNumber"/>
              <w:sz w:val="20"/>
            </w:rPr>
            <w:fldChar w:fldCharType="separate"/>
          </w:r>
          <w:r>
            <w:rPr>
              <w:rStyle w:val="PageNumber"/>
              <w:noProof/>
              <w:sz w:val="20"/>
            </w:rPr>
            <w:t>386</w:t>
          </w:r>
          <w:r w:rsidRPr="001D7791">
            <w:rPr>
              <w:rStyle w:val="PageNumber"/>
              <w:sz w:val="20"/>
            </w:rPr>
            <w:fldChar w:fldCharType="end"/>
          </w:r>
        </w:p>
      </w:tc>
    </w:tr>
    <w:tr w:rsidR="006D43BC" w14:paraId="06F5E511" w14:textId="77777777" w:rsidTr="00162CE5">
      <w:trPr>
        <w:cantSplit/>
      </w:trPr>
      <w:tc>
        <w:tcPr>
          <w:tcW w:w="2610" w:type="dxa"/>
          <w:vMerge/>
        </w:tcPr>
        <w:p w14:paraId="0E1B211E" w14:textId="77777777" w:rsidR="006D43BC" w:rsidRDefault="006D43BC" w:rsidP="00DD7868">
          <w:pPr>
            <w:pStyle w:val="Footer"/>
          </w:pPr>
        </w:p>
      </w:tc>
      <w:tc>
        <w:tcPr>
          <w:tcW w:w="8190" w:type="dxa"/>
        </w:tcPr>
        <w:p w14:paraId="41D230DF" w14:textId="77777777" w:rsidR="006D43BC" w:rsidRPr="00EA6B15" w:rsidRDefault="006D43BC" w:rsidP="00DD7868">
          <w:pPr>
            <w:pStyle w:val="Footer"/>
            <w:jc w:val="right"/>
            <w:rPr>
              <w:snapToGrid w:val="0"/>
              <w:sz w:val="16"/>
              <w:szCs w:val="16"/>
            </w:rPr>
          </w:pPr>
          <w:r w:rsidRPr="00EA6B15">
            <w:rPr>
              <w:snapToGrid w:val="0"/>
              <w:sz w:val="16"/>
              <w:szCs w:val="16"/>
            </w:rPr>
            <w:t xml:space="preserve"> </w:t>
          </w:r>
        </w:p>
        <w:p w14:paraId="37A9C4F6" w14:textId="77777777" w:rsidR="006D43BC" w:rsidRDefault="006D43BC" w:rsidP="00DD7868">
          <w:pPr>
            <w:pStyle w:val="Footer"/>
            <w:jc w:val="right"/>
          </w:pPr>
        </w:p>
      </w:tc>
    </w:tr>
  </w:tbl>
  <w:p w14:paraId="22616C88" w14:textId="77777777" w:rsidR="006D43BC" w:rsidRPr="00DD7868" w:rsidRDefault="006D43BC" w:rsidP="00DD7868">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472" w:type="dxa"/>
      <w:tblInd w:w="108" w:type="dxa"/>
      <w:tblLayout w:type="fixed"/>
      <w:tblLook w:val="0000" w:firstRow="0" w:lastRow="0" w:firstColumn="0" w:lastColumn="0" w:noHBand="0" w:noVBand="0"/>
    </w:tblPr>
    <w:tblGrid>
      <w:gridCol w:w="2610"/>
      <w:gridCol w:w="11862"/>
    </w:tblGrid>
    <w:tr w:rsidR="006D43BC" w14:paraId="6E4EB86E" w14:textId="77777777" w:rsidTr="00016541">
      <w:trPr>
        <w:cantSplit/>
        <w:trHeight w:val="260"/>
      </w:trPr>
      <w:tc>
        <w:tcPr>
          <w:tcW w:w="2610" w:type="dxa"/>
          <w:vMerge w:val="restart"/>
          <w:tcBorders>
            <w:top w:val="single" w:sz="4" w:space="0" w:color="auto"/>
          </w:tcBorders>
          <w:vAlign w:val="center"/>
        </w:tcPr>
        <w:p w14:paraId="39FB1B9E" w14:textId="66BB2A52" w:rsidR="006D43BC" w:rsidRDefault="006D43BC" w:rsidP="00BC58FC">
          <w:pPr>
            <w:pStyle w:val="Footer"/>
          </w:pPr>
          <w:r w:rsidRPr="00434F50">
            <w:rPr>
              <w:noProof/>
            </w:rPr>
            <w:drawing>
              <wp:anchor distT="0" distB="0" distL="114300" distR="114300" simplePos="0" relativeHeight="251657216" behindDoc="0" locked="0" layoutInCell="1" allowOverlap="1" wp14:anchorId="51A7AE5E" wp14:editId="28D9404A">
                <wp:simplePos x="0" y="0"/>
                <wp:positionH relativeFrom="column">
                  <wp:posOffset>53340</wp:posOffset>
                </wp:positionH>
                <wp:positionV relativeFrom="paragraph">
                  <wp:posOffset>29210</wp:posOffset>
                </wp:positionV>
                <wp:extent cx="572135" cy="548640"/>
                <wp:effectExtent l="0" t="0" r="0" b="3810"/>
                <wp:wrapNone/>
                <wp:docPr id="4" name="Picture 4" descr="Texas Workforce Commission Seal" title="Texas Workforce Commiss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srcRect/>
                        <a:stretch>
                          <a:fillRect/>
                        </a:stretch>
                      </pic:blipFill>
                      <pic:spPr bwMode="auto">
                        <a:xfrm>
                          <a:off x="0" y="0"/>
                          <a:ext cx="572135" cy="548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1862" w:type="dxa"/>
          <w:tcBorders>
            <w:top w:val="single" w:sz="4" w:space="0" w:color="auto"/>
          </w:tcBorders>
        </w:tcPr>
        <w:p w14:paraId="715F4108" w14:textId="7D595F6D" w:rsidR="006D43BC" w:rsidRPr="001D7791" w:rsidRDefault="006D43BC" w:rsidP="00BC58FC">
          <w:pPr>
            <w:pStyle w:val="Footer"/>
            <w:jc w:val="right"/>
          </w:pPr>
          <w:r w:rsidRPr="00E35128">
            <w:rPr>
              <w:sz w:val="20"/>
            </w:rPr>
            <w:t xml:space="preserve">Page </w:t>
          </w:r>
          <w:r w:rsidRPr="00397733">
            <w:rPr>
              <w:rStyle w:val="PageNumber"/>
              <w:sz w:val="20"/>
            </w:rPr>
            <w:fldChar w:fldCharType="begin"/>
          </w:r>
          <w:r w:rsidRPr="008C7DE6">
            <w:rPr>
              <w:rStyle w:val="PageNumber"/>
              <w:sz w:val="20"/>
            </w:rPr>
            <w:instrText xml:space="preserve"> PAGE </w:instrText>
          </w:r>
          <w:r w:rsidRPr="00397733">
            <w:rPr>
              <w:rStyle w:val="PageNumber"/>
              <w:sz w:val="20"/>
            </w:rPr>
            <w:fldChar w:fldCharType="separate"/>
          </w:r>
          <w:r>
            <w:rPr>
              <w:rStyle w:val="PageNumber"/>
              <w:noProof/>
              <w:sz w:val="20"/>
            </w:rPr>
            <w:t>40</w:t>
          </w:r>
          <w:r w:rsidRPr="00397733">
            <w:rPr>
              <w:rStyle w:val="PageNumber"/>
              <w:sz w:val="20"/>
            </w:rPr>
            <w:fldChar w:fldCharType="end"/>
          </w:r>
          <w:r w:rsidRPr="001D7791">
            <w:rPr>
              <w:rStyle w:val="PageNumber"/>
              <w:sz w:val="20"/>
            </w:rPr>
            <w:t xml:space="preserve"> of </w:t>
          </w:r>
          <w:r w:rsidRPr="001D7791">
            <w:rPr>
              <w:rStyle w:val="PageNumber"/>
              <w:sz w:val="20"/>
            </w:rPr>
            <w:fldChar w:fldCharType="begin"/>
          </w:r>
          <w:r w:rsidRPr="001D7791">
            <w:rPr>
              <w:rStyle w:val="PageNumber"/>
              <w:sz w:val="20"/>
            </w:rPr>
            <w:instrText xml:space="preserve"> NUMPAGES </w:instrText>
          </w:r>
          <w:r w:rsidRPr="001D7791">
            <w:rPr>
              <w:rStyle w:val="PageNumber"/>
              <w:sz w:val="20"/>
            </w:rPr>
            <w:fldChar w:fldCharType="separate"/>
          </w:r>
          <w:r>
            <w:rPr>
              <w:rStyle w:val="PageNumber"/>
              <w:noProof/>
              <w:sz w:val="20"/>
            </w:rPr>
            <w:t>386</w:t>
          </w:r>
          <w:r w:rsidRPr="001D7791">
            <w:rPr>
              <w:rStyle w:val="PageNumber"/>
              <w:sz w:val="20"/>
            </w:rPr>
            <w:fldChar w:fldCharType="end"/>
          </w:r>
        </w:p>
      </w:tc>
    </w:tr>
    <w:tr w:rsidR="006D43BC" w14:paraId="58F05B0C" w14:textId="77777777" w:rsidTr="00016541">
      <w:trPr>
        <w:cantSplit/>
      </w:trPr>
      <w:tc>
        <w:tcPr>
          <w:tcW w:w="2610" w:type="dxa"/>
          <w:vMerge/>
        </w:tcPr>
        <w:p w14:paraId="5D063CC9" w14:textId="77777777" w:rsidR="006D43BC" w:rsidRDefault="006D43BC" w:rsidP="00BC58FC">
          <w:pPr>
            <w:pStyle w:val="Footer"/>
          </w:pPr>
        </w:p>
      </w:tc>
      <w:tc>
        <w:tcPr>
          <w:tcW w:w="11862" w:type="dxa"/>
        </w:tcPr>
        <w:p w14:paraId="5356C95A" w14:textId="77777777" w:rsidR="006D43BC" w:rsidRPr="00EA6B15" w:rsidRDefault="006D43BC" w:rsidP="00BC58FC">
          <w:pPr>
            <w:pStyle w:val="Footer"/>
            <w:jc w:val="right"/>
            <w:rPr>
              <w:snapToGrid w:val="0"/>
              <w:sz w:val="16"/>
              <w:szCs w:val="16"/>
            </w:rPr>
          </w:pPr>
          <w:r w:rsidRPr="00EA6B15">
            <w:rPr>
              <w:snapToGrid w:val="0"/>
              <w:sz w:val="16"/>
              <w:szCs w:val="16"/>
            </w:rPr>
            <w:t xml:space="preserve"> </w:t>
          </w:r>
        </w:p>
        <w:p w14:paraId="437775D6" w14:textId="77777777" w:rsidR="006D43BC" w:rsidRDefault="006D43BC" w:rsidP="00BC58FC">
          <w:pPr>
            <w:pStyle w:val="Footer"/>
            <w:jc w:val="right"/>
          </w:pPr>
        </w:p>
      </w:tc>
    </w:tr>
  </w:tbl>
  <w:p w14:paraId="17E1C011" w14:textId="77777777" w:rsidR="006D43BC" w:rsidRPr="00ED1ED0" w:rsidRDefault="006D43BC" w:rsidP="00BC58F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Layout w:type="fixed"/>
      <w:tblLook w:val="0000" w:firstRow="0" w:lastRow="0" w:firstColumn="0" w:lastColumn="0" w:noHBand="0" w:noVBand="0"/>
    </w:tblPr>
    <w:tblGrid>
      <w:gridCol w:w="2610"/>
      <w:gridCol w:w="8190"/>
    </w:tblGrid>
    <w:tr w:rsidR="006D43BC" w:rsidRPr="00A324ED" w14:paraId="77759F04" w14:textId="77777777" w:rsidTr="00BC58FC">
      <w:trPr>
        <w:cantSplit/>
      </w:trPr>
      <w:tc>
        <w:tcPr>
          <w:tcW w:w="2610" w:type="dxa"/>
        </w:tcPr>
        <w:p w14:paraId="349D41FF" w14:textId="13C8C810" w:rsidR="006D43BC" w:rsidRDefault="006D43BC" w:rsidP="00BC58FC">
          <w:pPr>
            <w:pStyle w:val="Footer"/>
          </w:pPr>
        </w:p>
      </w:tc>
      <w:tc>
        <w:tcPr>
          <w:tcW w:w="8190" w:type="dxa"/>
          <w:tcBorders>
            <w:top w:val="single" w:sz="4" w:space="0" w:color="auto"/>
          </w:tcBorders>
        </w:tcPr>
        <w:p w14:paraId="0FF9A683" w14:textId="02E1502C" w:rsidR="006D43BC" w:rsidRPr="00A324ED" w:rsidRDefault="006D43BC" w:rsidP="00BC58FC">
          <w:pPr>
            <w:pStyle w:val="Footer"/>
            <w:jc w:val="right"/>
            <w:rPr>
              <w:sz w:val="20"/>
            </w:rPr>
          </w:pPr>
          <w:r w:rsidRPr="00A324ED">
            <w:rPr>
              <w:sz w:val="20"/>
            </w:rPr>
            <w:t xml:space="preserve">Page </w:t>
          </w:r>
          <w:r w:rsidRPr="00A324ED">
            <w:rPr>
              <w:sz w:val="20"/>
            </w:rPr>
            <w:fldChar w:fldCharType="begin"/>
          </w:r>
          <w:r w:rsidRPr="00A324ED">
            <w:rPr>
              <w:sz w:val="20"/>
            </w:rPr>
            <w:instrText xml:space="preserve"> PAGE </w:instrText>
          </w:r>
          <w:r w:rsidRPr="00A324ED">
            <w:rPr>
              <w:sz w:val="20"/>
            </w:rPr>
            <w:fldChar w:fldCharType="separate"/>
          </w:r>
          <w:r>
            <w:rPr>
              <w:noProof/>
              <w:sz w:val="20"/>
            </w:rPr>
            <w:t>1</w:t>
          </w:r>
          <w:r w:rsidRPr="00A324ED">
            <w:rPr>
              <w:sz w:val="20"/>
            </w:rPr>
            <w:fldChar w:fldCharType="end"/>
          </w:r>
          <w:r w:rsidRPr="00A324ED">
            <w:rPr>
              <w:sz w:val="20"/>
            </w:rPr>
            <w:t xml:space="preserve"> of </w:t>
          </w:r>
          <w:r w:rsidRPr="00A324ED">
            <w:rPr>
              <w:sz w:val="20"/>
            </w:rPr>
            <w:fldChar w:fldCharType="begin"/>
          </w:r>
          <w:r w:rsidRPr="00A324ED">
            <w:rPr>
              <w:sz w:val="20"/>
            </w:rPr>
            <w:instrText xml:space="preserve"> NUMPAGES </w:instrText>
          </w:r>
          <w:r w:rsidRPr="00A324ED">
            <w:rPr>
              <w:sz w:val="20"/>
            </w:rPr>
            <w:fldChar w:fldCharType="separate"/>
          </w:r>
          <w:r>
            <w:rPr>
              <w:noProof/>
              <w:sz w:val="20"/>
            </w:rPr>
            <w:t>384</w:t>
          </w:r>
          <w:r w:rsidRPr="00A324ED">
            <w:rPr>
              <w:sz w:val="20"/>
            </w:rPr>
            <w:fldChar w:fldCharType="end"/>
          </w:r>
        </w:p>
      </w:tc>
    </w:tr>
  </w:tbl>
  <w:p w14:paraId="76625BD4" w14:textId="77777777" w:rsidR="006D43BC" w:rsidRDefault="006D43B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Layout w:type="fixed"/>
      <w:tblLook w:val="0000" w:firstRow="0" w:lastRow="0" w:firstColumn="0" w:lastColumn="0" w:noHBand="0" w:noVBand="0"/>
    </w:tblPr>
    <w:tblGrid>
      <w:gridCol w:w="2610"/>
      <w:gridCol w:w="8190"/>
    </w:tblGrid>
    <w:tr w:rsidR="006D43BC" w:rsidRPr="002027B4" w14:paraId="4B72B141" w14:textId="77777777" w:rsidTr="00BC58FC">
      <w:trPr>
        <w:cantSplit/>
        <w:trHeight w:val="260"/>
      </w:trPr>
      <w:tc>
        <w:tcPr>
          <w:tcW w:w="2610" w:type="dxa"/>
          <w:vMerge w:val="restart"/>
          <w:tcBorders>
            <w:top w:val="single" w:sz="4" w:space="0" w:color="auto"/>
          </w:tcBorders>
          <w:vAlign w:val="center"/>
        </w:tcPr>
        <w:p w14:paraId="01307ABC" w14:textId="5AD68BF8" w:rsidR="006D43BC" w:rsidRDefault="006D43BC" w:rsidP="00BC58FC">
          <w:pPr>
            <w:pStyle w:val="Footer"/>
          </w:pPr>
          <w:r w:rsidRPr="00434F50">
            <w:rPr>
              <w:noProof/>
            </w:rPr>
            <w:drawing>
              <wp:anchor distT="0" distB="0" distL="114300" distR="114300" simplePos="0" relativeHeight="251658240" behindDoc="0" locked="0" layoutInCell="1" allowOverlap="1" wp14:anchorId="17E3BE44" wp14:editId="1706E9F5">
                <wp:simplePos x="0" y="0"/>
                <wp:positionH relativeFrom="column">
                  <wp:posOffset>53340</wp:posOffset>
                </wp:positionH>
                <wp:positionV relativeFrom="paragraph">
                  <wp:posOffset>29210</wp:posOffset>
                </wp:positionV>
                <wp:extent cx="572135" cy="548640"/>
                <wp:effectExtent l="0" t="0" r="0" b="3810"/>
                <wp:wrapNone/>
                <wp:docPr id="5" name="Picture 5" descr="Texas Workforce Commission Seal" title="Texas Workforce Commiss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srcRect/>
                        <a:stretch>
                          <a:fillRect/>
                        </a:stretch>
                      </pic:blipFill>
                      <pic:spPr bwMode="auto">
                        <a:xfrm>
                          <a:off x="0" y="0"/>
                          <a:ext cx="572135" cy="548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8190" w:type="dxa"/>
          <w:tcBorders>
            <w:top w:val="single" w:sz="4" w:space="0" w:color="auto"/>
          </w:tcBorders>
        </w:tcPr>
        <w:p w14:paraId="3BE14076" w14:textId="1F00ED22" w:rsidR="006D43BC" w:rsidRPr="002027B4" w:rsidRDefault="006D43BC" w:rsidP="00BC58FC">
          <w:pPr>
            <w:pStyle w:val="Footer"/>
            <w:jc w:val="right"/>
            <w:rPr>
              <w:sz w:val="20"/>
              <w:szCs w:val="20"/>
            </w:rPr>
          </w:pPr>
          <w:r w:rsidRPr="002027B4">
            <w:rPr>
              <w:sz w:val="20"/>
              <w:szCs w:val="20"/>
            </w:rPr>
            <w:t xml:space="preserve">Page </w:t>
          </w:r>
          <w:r w:rsidRPr="002027B4">
            <w:rPr>
              <w:rStyle w:val="PageNumber"/>
              <w:sz w:val="20"/>
              <w:szCs w:val="20"/>
            </w:rPr>
            <w:fldChar w:fldCharType="begin"/>
          </w:r>
          <w:r w:rsidRPr="002027B4">
            <w:rPr>
              <w:rStyle w:val="PageNumber"/>
              <w:sz w:val="20"/>
              <w:szCs w:val="20"/>
            </w:rPr>
            <w:instrText xml:space="preserve"> PAGE </w:instrText>
          </w:r>
          <w:r w:rsidRPr="002027B4">
            <w:rPr>
              <w:rStyle w:val="PageNumber"/>
              <w:sz w:val="20"/>
              <w:szCs w:val="20"/>
            </w:rPr>
            <w:fldChar w:fldCharType="separate"/>
          </w:r>
          <w:r>
            <w:rPr>
              <w:rStyle w:val="PageNumber"/>
              <w:noProof/>
              <w:sz w:val="20"/>
              <w:szCs w:val="20"/>
            </w:rPr>
            <w:t>119</w:t>
          </w:r>
          <w:r w:rsidRPr="002027B4">
            <w:rPr>
              <w:rStyle w:val="PageNumber"/>
              <w:sz w:val="20"/>
              <w:szCs w:val="20"/>
            </w:rPr>
            <w:fldChar w:fldCharType="end"/>
          </w:r>
          <w:r w:rsidRPr="002027B4">
            <w:rPr>
              <w:rStyle w:val="PageNumber"/>
              <w:sz w:val="20"/>
              <w:szCs w:val="20"/>
            </w:rPr>
            <w:t xml:space="preserve"> of </w:t>
          </w:r>
          <w:r w:rsidRPr="002027B4">
            <w:rPr>
              <w:rStyle w:val="PageNumber"/>
              <w:sz w:val="20"/>
              <w:szCs w:val="20"/>
            </w:rPr>
            <w:fldChar w:fldCharType="begin"/>
          </w:r>
          <w:r w:rsidRPr="002027B4">
            <w:rPr>
              <w:rStyle w:val="PageNumber"/>
              <w:sz w:val="20"/>
              <w:szCs w:val="20"/>
            </w:rPr>
            <w:instrText xml:space="preserve"> NUMPAGES </w:instrText>
          </w:r>
          <w:r w:rsidRPr="002027B4">
            <w:rPr>
              <w:rStyle w:val="PageNumber"/>
              <w:sz w:val="20"/>
              <w:szCs w:val="20"/>
            </w:rPr>
            <w:fldChar w:fldCharType="separate"/>
          </w:r>
          <w:r>
            <w:rPr>
              <w:rStyle w:val="PageNumber"/>
              <w:noProof/>
              <w:sz w:val="20"/>
              <w:szCs w:val="20"/>
            </w:rPr>
            <w:t>386</w:t>
          </w:r>
          <w:r w:rsidRPr="002027B4">
            <w:rPr>
              <w:rStyle w:val="PageNumber"/>
              <w:sz w:val="20"/>
              <w:szCs w:val="20"/>
            </w:rPr>
            <w:fldChar w:fldCharType="end"/>
          </w:r>
        </w:p>
      </w:tc>
    </w:tr>
    <w:tr w:rsidR="006D43BC" w14:paraId="452EC8F1" w14:textId="77777777" w:rsidTr="00BC58FC">
      <w:trPr>
        <w:cantSplit/>
      </w:trPr>
      <w:tc>
        <w:tcPr>
          <w:tcW w:w="2610" w:type="dxa"/>
          <w:vMerge/>
        </w:tcPr>
        <w:p w14:paraId="0A06ED5F" w14:textId="77777777" w:rsidR="006D43BC" w:rsidRDefault="006D43BC" w:rsidP="00BC58FC">
          <w:pPr>
            <w:pStyle w:val="Footer"/>
          </w:pPr>
        </w:p>
      </w:tc>
      <w:tc>
        <w:tcPr>
          <w:tcW w:w="8190" w:type="dxa"/>
        </w:tcPr>
        <w:p w14:paraId="46CD186C" w14:textId="77777777" w:rsidR="006D43BC" w:rsidRDefault="006D43BC" w:rsidP="00BC58FC">
          <w:pPr>
            <w:pStyle w:val="Footer"/>
            <w:jc w:val="right"/>
          </w:pPr>
        </w:p>
      </w:tc>
    </w:tr>
  </w:tbl>
  <w:p w14:paraId="2EDF99FF" w14:textId="77777777" w:rsidR="006D43BC" w:rsidRDefault="006D43B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Layout w:type="fixed"/>
      <w:tblLook w:val="0000" w:firstRow="0" w:lastRow="0" w:firstColumn="0" w:lastColumn="0" w:noHBand="0" w:noVBand="0"/>
    </w:tblPr>
    <w:tblGrid>
      <w:gridCol w:w="2610"/>
      <w:gridCol w:w="8190"/>
    </w:tblGrid>
    <w:tr w:rsidR="006D43BC" w:rsidRPr="00A324ED" w14:paraId="6968B4B0" w14:textId="77777777" w:rsidTr="00BC58FC">
      <w:trPr>
        <w:cantSplit/>
      </w:trPr>
      <w:tc>
        <w:tcPr>
          <w:tcW w:w="2610" w:type="dxa"/>
        </w:tcPr>
        <w:p w14:paraId="012EEBBB" w14:textId="77777777" w:rsidR="006D43BC" w:rsidRDefault="006D43BC" w:rsidP="00BC58FC">
          <w:pPr>
            <w:pStyle w:val="Footer"/>
          </w:pPr>
        </w:p>
      </w:tc>
      <w:tc>
        <w:tcPr>
          <w:tcW w:w="8190" w:type="dxa"/>
          <w:tcBorders>
            <w:top w:val="single" w:sz="4" w:space="0" w:color="auto"/>
          </w:tcBorders>
        </w:tcPr>
        <w:p w14:paraId="00160FCC" w14:textId="42AD8F2D" w:rsidR="006D43BC" w:rsidRPr="00A324ED" w:rsidRDefault="006D43BC" w:rsidP="00BC58FC">
          <w:pPr>
            <w:pStyle w:val="Footer"/>
            <w:jc w:val="right"/>
            <w:rPr>
              <w:sz w:val="20"/>
            </w:rPr>
          </w:pPr>
          <w:r w:rsidRPr="00A324ED">
            <w:rPr>
              <w:sz w:val="20"/>
            </w:rPr>
            <w:t xml:space="preserve">Page </w:t>
          </w:r>
          <w:r w:rsidRPr="00A324ED">
            <w:rPr>
              <w:sz w:val="20"/>
            </w:rPr>
            <w:fldChar w:fldCharType="begin"/>
          </w:r>
          <w:r w:rsidRPr="00A324ED">
            <w:rPr>
              <w:sz w:val="20"/>
            </w:rPr>
            <w:instrText xml:space="preserve"> PAGE </w:instrText>
          </w:r>
          <w:r w:rsidRPr="00A324ED">
            <w:rPr>
              <w:sz w:val="20"/>
            </w:rPr>
            <w:fldChar w:fldCharType="separate"/>
          </w:r>
          <w:r>
            <w:rPr>
              <w:noProof/>
              <w:sz w:val="20"/>
            </w:rPr>
            <w:t>1</w:t>
          </w:r>
          <w:r w:rsidRPr="00A324ED">
            <w:rPr>
              <w:sz w:val="20"/>
            </w:rPr>
            <w:fldChar w:fldCharType="end"/>
          </w:r>
          <w:r w:rsidRPr="00A324ED">
            <w:rPr>
              <w:sz w:val="20"/>
            </w:rPr>
            <w:t xml:space="preserve"> of </w:t>
          </w:r>
          <w:r w:rsidRPr="00A324ED">
            <w:rPr>
              <w:sz w:val="20"/>
            </w:rPr>
            <w:fldChar w:fldCharType="begin"/>
          </w:r>
          <w:r w:rsidRPr="00A324ED">
            <w:rPr>
              <w:sz w:val="20"/>
            </w:rPr>
            <w:instrText xml:space="preserve"> NUMPAGES </w:instrText>
          </w:r>
          <w:r w:rsidRPr="00A324ED">
            <w:rPr>
              <w:sz w:val="20"/>
            </w:rPr>
            <w:fldChar w:fldCharType="separate"/>
          </w:r>
          <w:r>
            <w:rPr>
              <w:noProof/>
              <w:sz w:val="20"/>
            </w:rPr>
            <w:t>384</w:t>
          </w:r>
          <w:r w:rsidRPr="00A324ED">
            <w:rPr>
              <w:sz w:val="20"/>
            </w:rPr>
            <w:fldChar w:fldCharType="end"/>
          </w:r>
        </w:p>
      </w:tc>
    </w:tr>
  </w:tbl>
  <w:p w14:paraId="70E8B663" w14:textId="77777777" w:rsidR="006D43BC" w:rsidRDefault="006D43B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Layout w:type="fixed"/>
      <w:tblLook w:val="0000" w:firstRow="0" w:lastRow="0" w:firstColumn="0" w:lastColumn="0" w:noHBand="0" w:noVBand="0"/>
    </w:tblPr>
    <w:tblGrid>
      <w:gridCol w:w="2610"/>
      <w:gridCol w:w="8190"/>
    </w:tblGrid>
    <w:tr w:rsidR="006D43BC" w:rsidRPr="002027B4" w14:paraId="4B6EA538" w14:textId="77777777" w:rsidTr="00BC58FC">
      <w:trPr>
        <w:cantSplit/>
        <w:trHeight w:val="260"/>
      </w:trPr>
      <w:tc>
        <w:tcPr>
          <w:tcW w:w="2610" w:type="dxa"/>
          <w:vMerge w:val="restart"/>
          <w:tcBorders>
            <w:top w:val="single" w:sz="4" w:space="0" w:color="auto"/>
          </w:tcBorders>
          <w:vAlign w:val="center"/>
        </w:tcPr>
        <w:p w14:paraId="18B62D43" w14:textId="18586C97" w:rsidR="006D43BC" w:rsidRPr="002027B4" w:rsidRDefault="006D43BC" w:rsidP="00BC58FC">
          <w:pPr>
            <w:pStyle w:val="Footer"/>
            <w:rPr>
              <w:sz w:val="20"/>
              <w:szCs w:val="20"/>
            </w:rPr>
          </w:pPr>
          <w:r w:rsidRPr="002027B4">
            <w:rPr>
              <w:noProof/>
              <w:sz w:val="20"/>
              <w:szCs w:val="20"/>
            </w:rPr>
            <w:drawing>
              <wp:anchor distT="0" distB="0" distL="114300" distR="114300" simplePos="0" relativeHeight="251659264" behindDoc="0" locked="0" layoutInCell="1" allowOverlap="1" wp14:anchorId="28B4A1B5" wp14:editId="34AC5387">
                <wp:simplePos x="0" y="0"/>
                <wp:positionH relativeFrom="column">
                  <wp:posOffset>53340</wp:posOffset>
                </wp:positionH>
                <wp:positionV relativeFrom="paragraph">
                  <wp:posOffset>29210</wp:posOffset>
                </wp:positionV>
                <wp:extent cx="572135" cy="548640"/>
                <wp:effectExtent l="0" t="0" r="0" b="3810"/>
                <wp:wrapNone/>
                <wp:docPr id="6" name="Picture 6" descr="Texas Workforce Commission Seal" title="Texas Workforce Commiss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srcRect/>
                        <a:stretch>
                          <a:fillRect/>
                        </a:stretch>
                      </pic:blipFill>
                      <pic:spPr bwMode="auto">
                        <a:xfrm>
                          <a:off x="0" y="0"/>
                          <a:ext cx="572135" cy="548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8190" w:type="dxa"/>
          <w:tcBorders>
            <w:top w:val="single" w:sz="4" w:space="0" w:color="auto"/>
          </w:tcBorders>
        </w:tcPr>
        <w:p w14:paraId="1FF314B8" w14:textId="4745BFDC" w:rsidR="006D43BC" w:rsidRPr="002027B4" w:rsidRDefault="006D43BC" w:rsidP="00BC58FC">
          <w:pPr>
            <w:pStyle w:val="Footer"/>
            <w:jc w:val="right"/>
            <w:rPr>
              <w:sz w:val="20"/>
              <w:szCs w:val="20"/>
            </w:rPr>
          </w:pPr>
          <w:r w:rsidRPr="002027B4">
            <w:rPr>
              <w:sz w:val="20"/>
              <w:szCs w:val="20"/>
            </w:rPr>
            <w:t xml:space="preserve">Page </w:t>
          </w:r>
          <w:r w:rsidRPr="002027B4">
            <w:rPr>
              <w:rStyle w:val="PageNumber"/>
              <w:sz w:val="20"/>
              <w:szCs w:val="20"/>
            </w:rPr>
            <w:fldChar w:fldCharType="begin"/>
          </w:r>
          <w:r w:rsidRPr="002027B4">
            <w:rPr>
              <w:rStyle w:val="PageNumber"/>
              <w:sz w:val="20"/>
              <w:szCs w:val="20"/>
            </w:rPr>
            <w:instrText xml:space="preserve"> PAGE </w:instrText>
          </w:r>
          <w:r w:rsidRPr="002027B4">
            <w:rPr>
              <w:rStyle w:val="PageNumber"/>
              <w:sz w:val="20"/>
              <w:szCs w:val="20"/>
            </w:rPr>
            <w:fldChar w:fldCharType="separate"/>
          </w:r>
          <w:r>
            <w:rPr>
              <w:rStyle w:val="PageNumber"/>
              <w:noProof/>
              <w:sz w:val="20"/>
              <w:szCs w:val="20"/>
            </w:rPr>
            <w:t>128</w:t>
          </w:r>
          <w:r w:rsidRPr="002027B4">
            <w:rPr>
              <w:rStyle w:val="PageNumber"/>
              <w:sz w:val="20"/>
              <w:szCs w:val="20"/>
            </w:rPr>
            <w:fldChar w:fldCharType="end"/>
          </w:r>
          <w:r w:rsidRPr="002027B4">
            <w:rPr>
              <w:rStyle w:val="PageNumber"/>
              <w:sz w:val="20"/>
              <w:szCs w:val="20"/>
            </w:rPr>
            <w:t xml:space="preserve"> of </w:t>
          </w:r>
          <w:r w:rsidRPr="002027B4">
            <w:rPr>
              <w:rStyle w:val="PageNumber"/>
              <w:sz w:val="20"/>
              <w:szCs w:val="20"/>
            </w:rPr>
            <w:fldChar w:fldCharType="begin"/>
          </w:r>
          <w:r w:rsidRPr="002027B4">
            <w:rPr>
              <w:rStyle w:val="PageNumber"/>
              <w:sz w:val="20"/>
              <w:szCs w:val="20"/>
            </w:rPr>
            <w:instrText xml:space="preserve"> NUMPAGES </w:instrText>
          </w:r>
          <w:r w:rsidRPr="002027B4">
            <w:rPr>
              <w:rStyle w:val="PageNumber"/>
              <w:sz w:val="20"/>
              <w:szCs w:val="20"/>
            </w:rPr>
            <w:fldChar w:fldCharType="separate"/>
          </w:r>
          <w:r>
            <w:rPr>
              <w:rStyle w:val="PageNumber"/>
              <w:noProof/>
              <w:sz w:val="20"/>
              <w:szCs w:val="20"/>
            </w:rPr>
            <w:t>386</w:t>
          </w:r>
          <w:r w:rsidRPr="002027B4">
            <w:rPr>
              <w:rStyle w:val="PageNumber"/>
              <w:sz w:val="20"/>
              <w:szCs w:val="20"/>
            </w:rPr>
            <w:fldChar w:fldCharType="end"/>
          </w:r>
        </w:p>
      </w:tc>
    </w:tr>
    <w:tr w:rsidR="006D43BC" w:rsidRPr="002027B4" w14:paraId="250077FF" w14:textId="77777777" w:rsidTr="00BC58FC">
      <w:trPr>
        <w:cantSplit/>
      </w:trPr>
      <w:tc>
        <w:tcPr>
          <w:tcW w:w="2610" w:type="dxa"/>
          <w:vMerge/>
        </w:tcPr>
        <w:p w14:paraId="6EC52F08" w14:textId="77777777" w:rsidR="006D43BC" w:rsidRPr="002027B4" w:rsidRDefault="006D43BC" w:rsidP="00BC58FC">
          <w:pPr>
            <w:pStyle w:val="Footer"/>
            <w:rPr>
              <w:sz w:val="20"/>
              <w:szCs w:val="20"/>
            </w:rPr>
          </w:pPr>
        </w:p>
      </w:tc>
      <w:tc>
        <w:tcPr>
          <w:tcW w:w="8190" w:type="dxa"/>
        </w:tcPr>
        <w:p w14:paraId="1DAA3002" w14:textId="77777777" w:rsidR="006D43BC" w:rsidRPr="002027B4" w:rsidRDefault="006D43BC" w:rsidP="00BC58FC">
          <w:pPr>
            <w:pStyle w:val="Footer"/>
            <w:jc w:val="right"/>
            <w:rPr>
              <w:sz w:val="20"/>
              <w:szCs w:val="20"/>
            </w:rPr>
          </w:pPr>
        </w:p>
      </w:tc>
    </w:tr>
  </w:tbl>
  <w:p w14:paraId="1E083F1D" w14:textId="77777777" w:rsidR="006D43BC" w:rsidRPr="002027B4" w:rsidRDefault="006D43BC">
    <w:pPr>
      <w:rPr>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Layout w:type="fixed"/>
      <w:tblLook w:val="0000" w:firstRow="0" w:lastRow="0" w:firstColumn="0" w:lastColumn="0" w:noHBand="0" w:noVBand="0"/>
    </w:tblPr>
    <w:tblGrid>
      <w:gridCol w:w="2610"/>
      <w:gridCol w:w="8190"/>
    </w:tblGrid>
    <w:tr w:rsidR="006D43BC" w:rsidRPr="002027B4" w14:paraId="0C762876" w14:textId="77777777" w:rsidTr="00BC58FC">
      <w:trPr>
        <w:cantSplit/>
        <w:trHeight w:val="260"/>
      </w:trPr>
      <w:tc>
        <w:tcPr>
          <w:tcW w:w="2610" w:type="dxa"/>
          <w:vMerge w:val="restart"/>
          <w:tcBorders>
            <w:top w:val="single" w:sz="4" w:space="0" w:color="auto"/>
          </w:tcBorders>
          <w:vAlign w:val="center"/>
        </w:tcPr>
        <w:p w14:paraId="51FF2BC2" w14:textId="63FDF80B" w:rsidR="006D43BC" w:rsidRPr="002027B4" w:rsidRDefault="006D43BC" w:rsidP="00BC58FC">
          <w:pPr>
            <w:pStyle w:val="Footer"/>
            <w:rPr>
              <w:sz w:val="20"/>
              <w:szCs w:val="20"/>
            </w:rPr>
          </w:pPr>
          <w:r w:rsidRPr="002027B4">
            <w:rPr>
              <w:noProof/>
              <w:sz w:val="20"/>
              <w:szCs w:val="20"/>
            </w:rPr>
            <w:drawing>
              <wp:anchor distT="0" distB="0" distL="114300" distR="114300" simplePos="0" relativeHeight="251660288" behindDoc="0" locked="0" layoutInCell="1" allowOverlap="1" wp14:anchorId="5A126521" wp14:editId="0EBE8453">
                <wp:simplePos x="0" y="0"/>
                <wp:positionH relativeFrom="column">
                  <wp:posOffset>53340</wp:posOffset>
                </wp:positionH>
                <wp:positionV relativeFrom="paragraph">
                  <wp:posOffset>29210</wp:posOffset>
                </wp:positionV>
                <wp:extent cx="572135" cy="548640"/>
                <wp:effectExtent l="0" t="0" r="0" b="3810"/>
                <wp:wrapNone/>
                <wp:docPr id="8" name="Picture 8" descr="Texas Workforce Commission Seal" title="Texas Workforce Commiss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srcRect/>
                        <a:stretch>
                          <a:fillRect/>
                        </a:stretch>
                      </pic:blipFill>
                      <pic:spPr bwMode="auto">
                        <a:xfrm>
                          <a:off x="0" y="0"/>
                          <a:ext cx="572135" cy="548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8190" w:type="dxa"/>
          <w:tcBorders>
            <w:top w:val="single" w:sz="4" w:space="0" w:color="auto"/>
          </w:tcBorders>
        </w:tcPr>
        <w:p w14:paraId="453E920F" w14:textId="6B5C6145" w:rsidR="006D43BC" w:rsidRPr="002027B4" w:rsidRDefault="006D43BC" w:rsidP="00BC58FC">
          <w:pPr>
            <w:pStyle w:val="Footer"/>
            <w:jc w:val="right"/>
            <w:rPr>
              <w:sz w:val="20"/>
              <w:szCs w:val="20"/>
            </w:rPr>
          </w:pPr>
          <w:r w:rsidRPr="002027B4">
            <w:rPr>
              <w:sz w:val="20"/>
              <w:szCs w:val="20"/>
            </w:rPr>
            <w:t xml:space="preserve">Page </w:t>
          </w:r>
          <w:r w:rsidRPr="002027B4">
            <w:rPr>
              <w:rStyle w:val="PageNumber"/>
              <w:sz w:val="20"/>
              <w:szCs w:val="20"/>
            </w:rPr>
            <w:fldChar w:fldCharType="begin"/>
          </w:r>
          <w:r w:rsidRPr="002027B4">
            <w:rPr>
              <w:rStyle w:val="PageNumber"/>
              <w:sz w:val="20"/>
              <w:szCs w:val="20"/>
            </w:rPr>
            <w:instrText xml:space="preserve"> PAGE </w:instrText>
          </w:r>
          <w:r w:rsidRPr="002027B4">
            <w:rPr>
              <w:rStyle w:val="PageNumber"/>
              <w:sz w:val="20"/>
              <w:szCs w:val="20"/>
            </w:rPr>
            <w:fldChar w:fldCharType="separate"/>
          </w:r>
          <w:r>
            <w:rPr>
              <w:rStyle w:val="PageNumber"/>
              <w:noProof/>
              <w:sz w:val="20"/>
              <w:szCs w:val="20"/>
            </w:rPr>
            <w:t>130</w:t>
          </w:r>
          <w:r w:rsidRPr="002027B4">
            <w:rPr>
              <w:rStyle w:val="PageNumber"/>
              <w:sz w:val="20"/>
              <w:szCs w:val="20"/>
            </w:rPr>
            <w:fldChar w:fldCharType="end"/>
          </w:r>
          <w:r w:rsidRPr="002027B4">
            <w:rPr>
              <w:rStyle w:val="PageNumber"/>
              <w:sz w:val="20"/>
              <w:szCs w:val="20"/>
            </w:rPr>
            <w:t xml:space="preserve"> of </w:t>
          </w:r>
          <w:r w:rsidRPr="002027B4">
            <w:rPr>
              <w:rStyle w:val="PageNumber"/>
              <w:sz w:val="20"/>
              <w:szCs w:val="20"/>
            </w:rPr>
            <w:fldChar w:fldCharType="begin"/>
          </w:r>
          <w:r w:rsidRPr="002027B4">
            <w:rPr>
              <w:rStyle w:val="PageNumber"/>
              <w:sz w:val="20"/>
              <w:szCs w:val="20"/>
            </w:rPr>
            <w:instrText xml:space="preserve"> NUMPAGES </w:instrText>
          </w:r>
          <w:r w:rsidRPr="002027B4">
            <w:rPr>
              <w:rStyle w:val="PageNumber"/>
              <w:sz w:val="20"/>
              <w:szCs w:val="20"/>
            </w:rPr>
            <w:fldChar w:fldCharType="separate"/>
          </w:r>
          <w:r>
            <w:rPr>
              <w:rStyle w:val="PageNumber"/>
              <w:noProof/>
              <w:sz w:val="20"/>
              <w:szCs w:val="20"/>
            </w:rPr>
            <w:t>386</w:t>
          </w:r>
          <w:r w:rsidRPr="002027B4">
            <w:rPr>
              <w:rStyle w:val="PageNumber"/>
              <w:sz w:val="20"/>
              <w:szCs w:val="20"/>
            </w:rPr>
            <w:fldChar w:fldCharType="end"/>
          </w:r>
        </w:p>
      </w:tc>
    </w:tr>
    <w:tr w:rsidR="006D43BC" w:rsidRPr="002027B4" w14:paraId="519D5A09" w14:textId="77777777" w:rsidTr="00BC58FC">
      <w:trPr>
        <w:cantSplit/>
      </w:trPr>
      <w:tc>
        <w:tcPr>
          <w:tcW w:w="2610" w:type="dxa"/>
          <w:vMerge/>
        </w:tcPr>
        <w:p w14:paraId="2BFAF6A2" w14:textId="77777777" w:rsidR="006D43BC" w:rsidRPr="002027B4" w:rsidRDefault="006D43BC" w:rsidP="00BC58FC">
          <w:pPr>
            <w:pStyle w:val="Footer"/>
            <w:rPr>
              <w:sz w:val="20"/>
              <w:szCs w:val="20"/>
            </w:rPr>
          </w:pPr>
        </w:p>
      </w:tc>
      <w:tc>
        <w:tcPr>
          <w:tcW w:w="8190" w:type="dxa"/>
        </w:tcPr>
        <w:p w14:paraId="55D46E6E" w14:textId="77777777" w:rsidR="006D43BC" w:rsidRPr="002027B4" w:rsidRDefault="006D43BC" w:rsidP="00BC58FC">
          <w:pPr>
            <w:pStyle w:val="Footer"/>
            <w:jc w:val="right"/>
            <w:rPr>
              <w:sz w:val="20"/>
              <w:szCs w:val="20"/>
            </w:rPr>
          </w:pPr>
        </w:p>
      </w:tc>
    </w:tr>
  </w:tbl>
  <w:p w14:paraId="1C93F093" w14:textId="77777777" w:rsidR="006D43BC" w:rsidRPr="002027B4" w:rsidRDefault="006D43BC">
    <w:pPr>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Layout w:type="fixed"/>
      <w:tblLook w:val="0000" w:firstRow="0" w:lastRow="0" w:firstColumn="0" w:lastColumn="0" w:noHBand="0" w:noVBand="0"/>
    </w:tblPr>
    <w:tblGrid>
      <w:gridCol w:w="2610"/>
      <w:gridCol w:w="8190"/>
    </w:tblGrid>
    <w:tr w:rsidR="006D43BC" w:rsidRPr="002027B4" w14:paraId="4B70A18D" w14:textId="77777777" w:rsidTr="00BC58FC">
      <w:trPr>
        <w:cantSplit/>
        <w:trHeight w:val="260"/>
      </w:trPr>
      <w:tc>
        <w:tcPr>
          <w:tcW w:w="2610" w:type="dxa"/>
          <w:vMerge w:val="restart"/>
          <w:tcBorders>
            <w:top w:val="single" w:sz="4" w:space="0" w:color="auto"/>
          </w:tcBorders>
          <w:vAlign w:val="center"/>
        </w:tcPr>
        <w:p w14:paraId="3ACA2AFE" w14:textId="25AC5067" w:rsidR="006D43BC" w:rsidRPr="002027B4" w:rsidRDefault="006D43BC" w:rsidP="00BC58FC">
          <w:pPr>
            <w:pStyle w:val="Footer"/>
            <w:rPr>
              <w:sz w:val="20"/>
              <w:szCs w:val="20"/>
            </w:rPr>
          </w:pPr>
          <w:r w:rsidRPr="002027B4">
            <w:rPr>
              <w:noProof/>
              <w:sz w:val="20"/>
              <w:szCs w:val="20"/>
            </w:rPr>
            <w:drawing>
              <wp:anchor distT="0" distB="0" distL="114300" distR="114300" simplePos="0" relativeHeight="251661312" behindDoc="0" locked="0" layoutInCell="1" allowOverlap="1" wp14:anchorId="447195E8" wp14:editId="5490AB90">
                <wp:simplePos x="0" y="0"/>
                <wp:positionH relativeFrom="column">
                  <wp:posOffset>53340</wp:posOffset>
                </wp:positionH>
                <wp:positionV relativeFrom="paragraph">
                  <wp:posOffset>29210</wp:posOffset>
                </wp:positionV>
                <wp:extent cx="572135" cy="548640"/>
                <wp:effectExtent l="0" t="0" r="0" b="3810"/>
                <wp:wrapNone/>
                <wp:docPr id="12" name="Picture 12" descr="Texas Workforce Commission Seal" title="Texas Workforce Commiss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srcRect/>
                        <a:stretch>
                          <a:fillRect/>
                        </a:stretch>
                      </pic:blipFill>
                      <pic:spPr bwMode="auto">
                        <a:xfrm>
                          <a:off x="0" y="0"/>
                          <a:ext cx="572135" cy="548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8190" w:type="dxa"/>
          <w:tcBorders>
            <w:top w:val="single" w:sz="4" w:space="0" w:color="auto"/>
          </w:tcBorders>
        </w:tcPr>
        <w:p w14:paraId="78E02ECF" w14:textId="024FD96E" w:rsidR="006D43BC" w:rsidRPr="002027B4" w:rsidRDefault="006D43BC" w:rsidP="00BC58FC">
          <w:pPr>
            <w:pStyle w:val="Footer"/>
            <w:jc w:val="right"/>
            <w:rPr>
              <w:sz w:val="20"/>
              <w:szCs w:val="20"/>
            </w:rPr>
          </w:pPr>
          <w:r w:rsidRPr="002027B4">
            <w:rPr>
              <w:sz w:val="20"/>
              <w:szCs w:val="20"/>
            </w:rPr>
            <w:t xml:space="preserve">Page </w:t>
          </w:r>
          <w:r w:rsidRPr="002027B4">
            <w:rPr>
              <w:rStyle w:val="PageNumber"/>
              <w:sz w:val="20"/>
              <w:szCs w:val="20"/>
            </w:rPr>
            <w:fldChar w:fldCharType="begin"/>
          </w:r>
          <w:r w:rsidRPr="002027B4">
            <w:rPr>
              <w:rStyle w:val="PageNumber"/>
              <w:sz w:val="20"/>
              <w:szCs w:val="20"/>
            </w:rPr>
            <w:instrText xml:space="preserve"> PAGE </w:instrText>
          </w:r>
          <w:r w:rsidRPr="002027B4">
            <w:rPr>
              <w:rStyle w:val="PageNumber"/>
              <w:sz w:val="20"/>
              <w:szCs w:val="20"/>
            </w:rPr>
            <w:fldChar w:fldCharType="separate"/>
          </w:r>
          <w:r>
            <w:rPr>
              <w:rStyle w:val="PageNumber"/>
              <w:noProof/>
              <w:sz w:val="20"/>
              <w:szCs w:val="20"/>
            </w:rPr>
            <w:t>131</w:t>
          </w:r>
          <w:r w:rsidRPr="002027B4">
            <w:rPr>
              <w:rStyle w:val="PageNumber"/>
              <w:sz w:val="20"/>
              <w:szCs w:val="20"/>
            </w:rPr>
            <w:fldChar w:fldCharType="end"/>
          </w:r>
          <w:r w:rsidRPr="002027B4">
            <w:rPr>
              <w:rStyle w:val="PageNumber"/>
              <w:sz w:val="20"/>
              <w:szCs w:val="20"/>
            </w:rPr>
            <w:t xml:space="preserve"> of </w:t>
          </w:r>
          <w:r w:rsidRPr="002027B4">
            <w:rPr>
              <w:rStyle w:val="PageNumber"/>
              <w:sz w:val="20"/>
              <w:szCs w:val="20"/>
            </w:rPr>
            <w:fldChar w:fldCharType="begin"/>
          </w:r>
          <w:r w:rsidRPr="002027B4">
            <w:rPr>
              <w:rStyle w:val="PageNumber"/>
              <w:sz w:val="20"/>
              <w:szCs w:val="20"/>
            </w:rPr>
            <w:instrText xml:space="preserve"> NUMPAGES </w:instrText>
          </w:r>
          <w:r w:rsidRPr="002027B4">
            <w:rPr>
              <w:rStyle w:val="PageNumber"/>
              <w:sz w:val="20"/>
              <w:szCs w:val="20"/>
            </w:rPr>
            <w:fldChar w:fldCharType="separate"/>
          </w:r>
          <w:r>
            <w:rPr>
              <w:rStyle w:val="PageNumber"/>
              <w:noProof/>
              <w:sz w:val="20"/>
              <w:szCs w:val="20"/>
            </w:rPr>
            <w:t>386</w:t>
          </w:r>
          <w:r w:rsidRPr="002027B4">
            <w:rPr>
              <w:rStyle w:val="PageNumber"/>
              <w:sz w:val="20"/>
              <w:szCs w:val="20"/>
            </w:rPr>
            <w:fldChar w:fldCharType="end"/>
          </w:r>
        </w:p>
      </w:tc>
    </w:tr>
    <w:tr w:rsidR="006D43BC" w:rsidRPr="002027B4" w14:paraId="16631A71" w14:textId="77777777" w:rsidTr="00BC58FC">
      <w:trPr>
        <w:cantSplit/>
      </w:trPr>
      <w:tc>
        <w:tcPr>
          <w:tcW w:w="2610" w:type="dxa"/>
          <w:vMerge/>
        </w:tcPr>
        <w:p w14:paraId="3AF27CDC" w14:textId="77777777" w:rsidR="006D43BC" w:rsidRPr="002027B4" w:rsidRDefault="006D43BC" w:rsidP="00BC58FC">
          <w:pPr>
            <w:pStyle w:val="Footer"/>
            <w:rPr>
              <w:sz w:val="20"/>
              <w:szCs w:val="20"/>
            </w:rPr>
          </w:pPr>
        </w:p>
      </w:tc>
      <w:tc>
        <w:tcPr>
          <w:tcW w:w="8190" w:type="dxa"/>
        </w:tcPr>
        <w:p w14:paraId="03ACC736" w14:textId="77777777" w:rsidR="006D43BC" w:rsidRPr="002027B4" w:rsidRDefault="006D43BC" w:rsidP="00BC58FC">
          <w:pPr>
            <w:pStyle w:val="Footer"/>
            <w:jc w:val="right"/>
            <w:rPr>
              <w:sz w:val="20"/>
              <w:szCs w:val="20"/>
            </w:rPr>
          </w:pPr>
        </w:p>
      </w:tc>
    </w:tr>
  </w:tbl>
  <w:p w14:paraId="72FA20E3" w14:textId="77777777" w:rsidR="006D43BC" w:rsidRPr="002027B4" w:rsidRDefault="006D43BC">
    <w:pP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E9DD11" w14:textId="77777777" w:rsidR="00906C1F" w:rsidRDefault="00906C1F" w:rsidP="00D77128">
      <w:pPr>
        <w:spacing w:after="0"/>
      </w:pPr>
      <w:r>
        <w:separator/>
      </w:r>
    </w:p>
  </w:footnote>
  <w:footnote w:type="continuationSeparator" w:id="0">
    <w:p w14:paraId="63F5C51B" w14:textId="77777777" w:rsidR="00906C1F" w:rsidRDefault="00906C1F" w:rsidP="00D77128">
      <w:pPr>
        <w:spacing w:after="0"/>
      </w:pPr>
      <w:r>
        <w:continuationSeparator/>
      </w:r>
    </w:p>
  </w:footnote>
  <w:footnote w:id="1">
    <w:p w14:paraId="1BA2D80E" w14:textId="7706A4A1" w:rsidR="006D43BC" w:rsidRPr="001A42F1" w:rsidRDefault="006D43BC">
      <w:pPr>
        <w:pStyle w:val="FootnoteText"/>
        <w:rPr>
          <w:sz w:val="24"/>
          <w:szCs w:val="24"/>
        </w:rPr>
      </w:pPr>
      <w:r w:rsidRPr="001A42F1">
        <w:rPr>
          <w:rStyle w:val="FootnoteReference"/>
          <w:sz w:val="24"/>
          <w:szCs w:val="24"/>
        </w:rPr>
        <w:footnoteRef/>
      </w:r>
      <w:r w:rsidRPr="001A42F1">
        <w:rPr>
          <w:sz w:val="24"/>
          <w:szCs w:val="24"/>
        </w:rPr>
        <w:t xml:space="preserve"> Exportable Code – software which is provided in both source code and object code forms under a license which allows Texas and its designees to use, modify, reproduce, and distribute the software in both source code and</w:t>
      </w:r>
      <w:r w:rsidRPr="001A42F1">
        <w:rPr>
          <w:color w:val="000000" w:themeColor="text1"/>
          <w:sz w:val="24"/>
          <w:szCs w:val="24"/>
        </w:rPr>
        <w:t xml:space="preserve"> object code forms without restriction and without being required to make any additional payments to the licensor of the software. See U.S. DOL Unemployment Insurance Program Letter (UIPL) 26-11 (</w:t>
      </w:r>
      <w:hyperlink r:id="rId1" w:history="1">
        <w:r w:rsidRPr="001A42F1">
          <w:rPr>
            <w:rStyle w:val="Hyperlink"/>
            <w:szCs w:val="24"/>
          </w:rPr>
          <w:t>https://wdr.doleta.gov/directives/attach/UIPL26_11.pdf</w:t>
        </w:r>
      </w:hyperlink>
      <w:r w:rsidRPr="001A42F1">
        <w:rPr>
          <w:color w:val="000000" w:themeColor="text1"/>
          <w:sz w:val="24"/>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90" w:type="dxa"/>
      <w:tblInd w:w="108" w:type="dxa"/>
      <w:tblLayout w:type="fixed"/>
      <w:tblLook w:val="0000" w:firstRow="0" w:lastRow="0" w:firstColumn="0" w:lastColumn="0" w:noHBand="0" w:noVBand="0"/>
    </w:tblPr>
    <w:tblGrid>
      <w:gridCol w:w="6390"/>
      <w:gridCol w:w="4500"/>
    </w:tblGrid>
    <w:tr w:rsidR="006D43BC" w:rsidRPr="00EA6B15" w14:paraId="2C285718" w14:textId="77777777" w:rsidTr="00162CE5">
      <w:tc>
        <w:tcPr>
          <w:tcW w:w="6390" w:type="dxa"/>
          <w:vAlign w:val="center"/>
        </w:tcPr>
        <w:p w14:paraId="2B5CCD84" w14:textId="77777777" w:rsidR="006D43BC" w:rsidRPr="00BE2AE5" w:rsidRDefault="006D43BC" w:rsidP="002D3152">
          <w:pPr>
            <w:pStyle w:val="Header"/>
            <w:ind w:left="0"/>
            <w:rPr>
              <w:sz w:val="20"/>
            </w:rPr>
          </w:pPr>
          <w:r w:rsidRPr="00BE2AE5">
            <w:rPr>
              <w:sz w:val="20"/>
            </w:rPr>
            <w:t xml:space="preserve">Umbrella Project Name: </w:t>
          </w:r>
          <w:r>
            <w:rPr>
              <w:sz w:val="20"/>
            </w:rPr>
            <w:t>UI System Replacement</w:t>
          </w:r>
        </w:p>
      </w:tc>
      <w:tc>
        <w:tcPr>
          <w:tcW w:w="4500" w:type="dxa"/>
          <w:vAlign w:val="bottom"/>
        </w:tcPr>
        <w:p w14:paraId="224500DE" w14:textId="77777777" w:rsidR="006D43BC" w:rsidRPr="00BE2AE5" w:rsidRDefault="006D43BC" w:rsidP="002D3152">
          <w:pPr>
            <w:pStyle w:val="Header"/>
            <w:ind w:left="0"/>
            <w:jc w:val="right"/>
            <w:rPr>
              <w:sz w:val="20"/>
            </w:rPr>
          </w:pPr>
          <w:r w:rsidRPr="00BE2AE5">
            <w:rPr>
              <w:sz w:val="20"/>
            </w:rPr>
            <w:t>Texas Workforce Commission</w:t>
          </w:r>
        </w:p>
        <w:p w14:paraId="4C3F1C2A" w14:textId="77777777" w:rsidR="006D43BC" w:rsidRPr="00BE2AE5" w:rsidRDefault="006D43BC" w:rsidP="002D3152">
          <w:pPr>
            <w:pStyle w:val="Header"/>
            <w:ind w:left="0"/>
            <w:jc w:val="right"/>
            <w:rPr>
              <w:sz w:val="20"/>
            </w:rPr>
          </w:pPr>
          <w:r>
            <w:rPr>
              <w:sz w:val="20"/>
            </w:rPr>
            <w:t>Request for Offer No. 320-1900001</w:t>
          </w:r>
        </w:p>
      </w:tc>
    </w:tr>
    <w:tr w:rsidR="006D43BC" w14:paraId="3A03C5C2" w14:textId="77777777" w:rsidTr="00162CE5">
      <w:trPr>
        <w:cantSplit/>
        <w:trHeight w:hRule="exact" w:val="60"/>
      </w:trPr>
      <w:tc>
        <w:tcPr>
          <w:tcW w:w="10890" w:type="dxa"/>
          <w:gridSpan w:val="2"/>
          <w:tcBorders>
            <w:bottom w:val="single" w:sz="4" w:space="0" w:color="auto"/>
          </w:tcBorders>
        </w:tcPr>
        <w:p w14:paraId="22A1F369" w14:textId="77777777" w:rsidR="006D43BC" w:rsidRDefault="006D43BC" w:rsidP="002D3152">
          <w:pPr>
            <w:pStyle w:val="Header"/>
          </w:pPr>
        </w:p>
      </w:tc>
    </w:tr>
  </w:tbl>
  <w:p w14:paraId="3DC6694F" w14:textId="77777777" w:rsidR="006D43BC" w:rsidRPr="002D3152" w:rsidRDefault="006D43BC" w:rsidP="002D3152">
    <w:pPr>
      <w:pStyle w:val="Header"/>
      <w:ind w:left="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90" w:type="dxa"/>
      <w:tblInd w:w="108" w:type="dxa"/>
      <w:tblLayout w:type="fixed"/>
      <w:tblLook w:val="0000" w:firstRow="0" w:lastRow="0" w:firstColumn="0" w:lastColumn="0" w:noHBand="0" w:noVBand="0"/>
    </w:tblPr>
    <w:tblGrid>
      <w:gridCol w:w="6390"/>
      <w:gridCol w:w="4500"/>
    </w:tblGrid>
    <w:tr w:rsidR="006D43BC" w:rsidRPr="00EA6B15" w14:paraId="113B5ECE" w14:textId="77777777" w:rsidTr="005507FE">
      <w:tc>
        <w:tcPr>
          <w:tcW w:w="6390" w:type="dxa"/>
          <w:vAlign w:val="center"/>
        </w:tcPr>
        <w:p w14:paraId="45C17D1A" w14:textId="77777777" w:rsidR="006D43BC" w:rsidRPr="00BE2AE5" w:rsidRDefault="006D43BC" w:rsidP="002027B4">
          <w:pPr>
            <w:pStyle w:val="Header"/>
            <w:ind w:left="0"/>
            <w:rPr>
              <w:sz w:val="20"/>
            </w:rPr>
          </w:pPr>
          <w:r w:rsidRPr="00BE2AE5">
            <w:rPr>
              <w:sz w:val="20"/>
            </w:rPr>
            <w:t xml:space="preserve">Umbrella Project Name: </w:t>
          </w:r>
          <w:r>
            <w:rPr>
              <w:sz w:val="20"/>
            </w:rPr>
            <w:t>UI System Replacement</w:t>
          </w:r>
        </w:p>
      </w:tc>
      <w:tc>
        <w:tcPr>
          <w:tcW w:w="4500" w:type="dxa"/>
          <w:vAlign w:val="bottom"/>
        </w:tcPr>
        <w:p w14:paraId="2AE92F67" w14:textId="77777777" w:rsidR="006D43BC" w:rsidRPr="00BE2AE5" w:rsidRDefault="006D43BC" w:rsidP="002027B4">
          <w:pPr>
            <w:pStyle w:val="Header"/>
            <w:ind w:left="147"/>
            <w:jc w:val="right"/>
            <w:rPr>
              <w:sz w:val="20"/>
            </w:rPr>
          </w:pPr>
          <w:r w:rsidRPr="00BE2AE5">
            <w:rPr>
              <w:sz w:val="20"/>
            </w:rPr>
            <w:t>Texas Workforce Commission</w:t>
          </w:r>
        </w:p>
        <w:p w14:paraId="4ECC5DE8" w14:textId="77777777" w:rsidR="006D43BC" w:rsidRPr="00BE2AE5" w:rsidRDefault="006D43BC" w:rsidP="002027B4">
          <w:pPr>
            <w:pStyle w:val="Header"/>
            <w:ind w:left="57"/>
            <w:jc w:val="right"/>
            <w:rPr>
              <w:sz w:val="20"/>
            </w:rPr>
          </w:pPr>
          <w:r>
            <w:rPr>
              <w:sz w:val="20"/>
            </w:rPr>
            <w:t>Request for Offer No. 320-1900001</w:t>
          </w:r>
        </w:p>
      </w:tc>
    </w:tr>
    <w:tr w:rsidR="006D43BC" w14:paraId="73337D59" w14:textId="77777777" w:rsidTr="005507FE">
      <w:trPr>
        <w:cantSplit/>
        <w:trHeight w:hRule="exact" w:val="60"/>
      </w:trPr>
      <w:tc>
        <w:tcPr>
          <w:tcW w:w="10890" w:type="dxa"/>
          <w:gridSpan w:val="2"/>
          <w:tcBorders>
            <w:bottom w:val="single" w:sz="4" w:space="0" w:color="auto"/>
          </w:tcBorders>
        </w:tcPr>
        <w:p w14:paraId="2DB0D04A" w14:textId="77777777" w:rsidR="006D43BC" w:rsidRDefault="006D43BC" w:rsidP="002027B4">
          <w:pPr>
            <w:pStyle w:val="Header"/>
          </w:pPr>
        </w:p>
      </w:tc>
    </w:tr>
  </w:tbl>
  <w:p w14:paraId="22D7D2FA" w14:textId="6804C7AC" w:rsidR="006D43BC" w:rsidRPr="002027B4" w:rsidRDefault="006D43BC" w:rsidP="002027B4">
    <w:pPr>
      <w:pStyle w:val="Header"/>
      <w:ind w:left="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90" w:type="dxa"/>
      <w:tblInd w:w="108" w:type="dxa"/>
      <w:tblLayout w:type="fixed"/>
      <w:tblLook w:val="0000" w:firstRow="0" w:lastRow="0" w:firstColumn="0" w:lastColumn="0" w:noHBand="0" w:noVBand="0"/>
    </w:tblPr>
    <w:tblGrid>
      <w:gridCol w:w="6390"/>
      <w:gridCol w:w="4500"/>
    </w:tblGrid>
    <w:tr w:rsidR="006D43BC" w:rsidRPr="00EA6B15" w14:paraId="4A37FA4B" w14:textId="77777777" w:rsidTr="005507FE">
      <w:tc>
        <w:tcPr>
          <w:tcW w:w="6390" w:type="dxa"/>
          <w:vAlign w:val="center"/>
        </w:tcPr>
        <w:p w14:paraId="58AE7BFF" w14:textId="77777777" w:rsidR="006D43BC" w:rsidRPr="00BE2AE5" w:rsidRDefault="006D43BC" w:rsidP="002027B4">
          <w:pPr>
            <w:pStyle w:val="Header"/>
            <w:ind w:left="0"/>
            <w:rPr>
              <w:sz w:val="20"/>
            </w:rPr>
          </w:pPr>
          <w:r w:rsidRPr="00BE2AE5">
            <w:rPr>
              <w:sz w:val="20"/>
            </w:rPr>
            <w:t xml:space="preserve">Umbrella Project Name: </w:t>
          </w:r>
          <w:r>
            <w:rPr>
              <w:sz w:val="20"/>
            </w:rPr>
            <w:t>UI System Replacement</w:t>
          </w:r>
        </w:p>
      </w:tc>
      <w:tc>
        <w:tcPr>
          <w:tcW w:w="4500" w:type="dxa"/>
          <w:vAlign w:val="bottom"/>
        </w:tcPr>
        <w:p w14:paraId="38D7C745" w14:textId="77777777" w:rsidR="006D43BC" w:rsidRPr="00BE2AE5" w:rsidRDefault="006D43BC" w:rsidP="002027B4">
          <w:pPr>
            <w:pStyle w:val="Header"/>
            <w:ind w:left="147"/>
            <w:jc w:val="right"/>
            <w:rPr>
              <w:sz w:val="20"/>
            </w:rPr>
          </w:pPr>
          <w:r w:rsidRPr="00BE2AE5">
            <w:rPr>
              <w:sz w:val="20"/>
            </w:rPr>
            <w:t>Texas Workforce Commission</w:t>
          </w:r>
        </w:p>
        <w:p w14:paraId="49046F8B" w14:textId="77777777" w:rsidR="006D43BC" w:rsidRPr="00BE2AE5" w:rsidRDefault="006D43BC" w:rsidP="002027B4">
          <w:pPr>
            <w:pStyle w:val="Header"/>
            <w:ind w:left="57"/>
            <w:jc w:val="right"/>
            <w:rPr>
              <w:sz w:val="20"/>
            </w:rPr>
          </w:pPr>
          <w:r>
            <w:rPr>
              <w:sz w:val="20"/>
            </w:rPr>
            <w:t>Request for Offer No. 320-1900001</w:t>
          </w:r>
        </w:p>
      </w:tc>
    </w:tr>
    <w:tr w:rsidR="006D43BC" w14:paraId="241935AD" w14:textId="77777777" w:rsidTr="005507FE">
      <w:trPr>
        <w:cantSplit/>
        <w:trHeight w:hRule="exact" w:val="60"/>
      </w:trPr>
      <w:tc>
        <w:tcPr>
          <w:tcW w:w="10890" w:type="dxa"/>
          <w:gridSpan w:val="2"/>
          <w:tcBorders>
            <w:bottom w:val="single" w:sz="4" w:space="0" w:color="auto"/>
          </w:tcBorders>
        </w:tcPr>
        <w:p w14:paraId="6089DE12" w14:textId="77777777" w:rsidR="006D43BC" w:rsidRDefault="006D43BC" w:rsidP="002027B4">
          <w:pPr>
            <w:pStyle w:val="Header"/>
          </w:pPr>
        </w:p>
      </w:tc>
    </w:tr>
  </w:tbl>
  <w:p w14:paraId="0866D479" w14:textId="6B06B183" w:rsidR="006D43BC" w:rsidRPr="002027B4" w:rsidRDefault="006D43BC" w:rsidP="002027B4">
    <w:pPr>
      <w:pStyle w:val="Header"/>
      <w:ind w:left="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472" w:type="dxa"/>
      <w:tblInd w:w="108" w:type="dxa"/>
      <w:tblLayout w:type="fixed"/>
      <w:tblLook w:val="0000" w:firstRow="0" w:lastRow="0" w:firstColumn="0" w:lastColumn="0" w:noHBand="0" w:noVBand="0"/>
    </w:tblPr>
    <w:tblGrid>
      <w:gridCol w:w="6390"/>
      <w:gridCol w:w="8082"/>
    </w:tblGrid>
    <w:tr w:rsidR="006D43BC" w:rsidRPr="00EA6B15" w14:paraId="10293996" w14:textId="77777777" w:rsidTr="00C6186B">
      <w:tc>
        <w:tcPr>
          <w:tcW w:w="6390" w:type="dxa"/>
          <w:vAlign w:val="center"/>
        </w:tcPr>
        <w:p w14:paraId="61321BE4" w14:textId="77777777" w:rsidR="006D43BC" w:rsidRPr="00BE2AE5" w:rsidRDefault="006D43BC" w:rsidP="002027B4">
          <w:pPr>
            <w:pStyle w:val="Header"/>
            <w:ind w:left="0"/>
            <w:rPr>
              <w:sz w:val="20"/>
            </w:rPr>
          </w:pPr>
          <w:r w:rsidRPr="00BE2AE5">
            <w:rPr>
              <w:sz w:val="20"/>
            </w:rPr>
            <w:t xml:space="preserve">Umbrella Project Name: </w:t>
          </w:r>
          <w:r>
            <w:rPr>
              <w:sz w:val="20"/>
            </w:rPr>
            <w:t>UI System Replacement</w:t>
          </w:r>
        </w:p>
      </w:tc>
      <w:tc>
        <w:tcPr>
          <w:tcW w:w="8082" w:type="dxa"/>
          <w:vAlign w:val="bottom"/>
        </w:tcPr>
        <w:p w14:paraId="5A64E68C" w14:textId="77777777" w:rsidR="006D43BC" w:rsidRPr="00BE2AE5" w:rsidRDefault="006D43BC" w:rsidP="002027B4">
          <w:pPr>
            <w:pStyle w:val="Header"/>
            <w:ind w:left="147"/>
            <w:jc w:val="right"/>
            <w:rPr>
              <w:sz w:val="20"/>
            </w:rPr>
          </w:pPr>
          <w:r w:rsidRPr="00BE2AE5">
            <w:rPr>
              <w:sz w:val="20"/>
            </w:rPr>
            <w:t>Texas Workforce Commission</w:t>
          </w:r>
        </w:p>
        <w:p w14:paraId="6BED7833" w14:textId="77777777" w:rsidR="006D43BC" w:rsidRPr="00BE2AE5" w:rsidRDefault="006D43BC" w:rsidP="002027B4">
          <w:pPr>
            <w:pStyle w:val="Header"/>
            <w:ind w:left="57"/>
            <w:jc w:val="right"/>
            <w:rPr>
              <w:sz w:val="20"/>
            </w:rPr>
          </w:pPr>
          <w:r>
            <w:rPr>
              <w:sz w:val="20"/>
            </w:rPr>
            <w:t>Request for Offer No. 320-1900001</w:t>
          </w:r>
        </w:p>
      </w:tc>
    </w:tr>
    <w:tr w:rsidR="006D43BC" w14:paraId="5705CB29" w14:textId="77777777" w:rsidTr="00C6186B">
      <w:trPr>
        <w:cantSplit/>
        <w:trHeight w:hRule="exact" w:val="60"/>
      </w:trPr>
      <w:tc>
        <w:tcPr>
          <w:tcW w:w="14472" w:type="dxa"/>
          <w:gridSpan w:val="2"/>
          <w:tcBorders>
            <w:bottom w:val="single" w:sz="4" w:space="0" w:color="auto"/>
          </w:tcBorders>
        </w:tcPr>
        <w:p w14:paraId="1892E91D" w14:textId="77777777" w:rsidR="006D43BC" w:rsidRDefault="006D43BC" w:rsidP="002027B4">
          <w:pPr>
            <w:pStyle w:val="Header"/>
          </w:pPr>
        </w:p>
      </w:tc>
    </w:tr>
  </w:tbl>
  <w:p w14:paraId="144FC4A1" w14:textId="77777777" w:rsidR="006D43BC" w:rsidRPr="002027B4" w:rsidRDefault="006D43BC" w:rsidP="002027B4">
    <w:pPr>
      <w:pStyle w:val="Header"/>
      <w:ind w:left="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90" w:type="dxa"/>
      <w:tblInd w:w="108" w:type="dxa"/>
      <w:tblLayout w:type="fixed"/>
      <w:tblLook w:val="0000" w:firstRow="0" w:lastRow="0" w:firstColumn="0" w:lastColumn="0" w:noHBand="0" w:noVBand="0"/>
    </w:tblPr>
    <w:tblGrid>
      <w:gridCol w:w="6390"/>
      <w:gridCol w:w="4500"/>
    </w:tblGrid>
    <w:tr w:rsidR="006D43BC" w:rsidRPr="00EA6B15" w14:paraId="60DFBFA7" w14:textId="77777777" w:rsidTr="005507FE">
      <w:tc>
        <w:tcPr>
          <w:tcW w:w="6390" w:type="dxa"/>
          <w:vAlign w:val="center"/>
        </w:tcPr>
        <w:p w14:paraId="40255CF1" w14:textId="77777777" w:rsidR="006D43BC" w:rsidRPr="00BE2AE5" w:rsidRDefault="006D43BC" w:rsidP="002027B4">
          <w:pPr>
            <w:pStyle w:val="Header"/>
            <w:ind w:left="0"/>
            <w:rPr>
              <w:sz w:val="20"/>
            </w:rPr>
          </w:pPr>
          <w:r w:rsidRPr="00BE2AE5">
            <w:rPr>
              <w:sz w:val="20"/>
            </w:rPr>
            <w:t xml:space="preserve">Umbrella Project Name: </w:t>
          </w:r>
          <w:r>
            <w:rPr>
              <w:sz w:val="20"/>
            </w:rPr>
            <w:t>UI System Replacement</w:t>
          </w:r>
        </w:p>
      </w:tc>
      <w:tc>
        <w:tcPr>
          <w:tcW w:w="4500" w:type="dxa"/>
          <w:vAlign w:val="bottom"/>
        </w:tcPr>
        <w:p w14:paraId="746B6E37" w14:textId="77777777" w:rsidR="006D43BC" w:rsidRPr="00BE2AE5" w:rsidRDefault="006D43BC" w:rsidP="002027B4">
          <w:pPr>
            <w:pStyle w:val="Header"/>
            <w:ind w:left="147"/>
            <w:jc w:val="right"/>
            <w:rPr>
              <w:sz w:val="20"/>
            </w:rPr>
          </w:pPr>
          <w:r w:rsidRPr="00BE2AE5">
            <w:rPr>
              <w:sz w:val="20"/>
            </w:rPr>
            <w:t>Texas Workforce Commission</w:t>
          </w:r>
        </w:p>
        <w:p w14:paraId="58702246" w14:textId="77777777" w:rsidR="006D43BC" w:rsidRPr="00BE2AE5" w:rsidRDefault="006D43BC" w:rsidP="002027B4">
          <w:pPr>
            <w:pStyle w:val="Header"/>
            <w:ind w:left="57"/>
            <w:jc w:val="right"/>
            <w:rPr>
              <w:sz w:val="20"/>
            </w:rPr>
          </w:pPr>
          <w:r>
            <w:rPr>
              <w:sz w:val="20"/>
            </w:rPr>
            <w:t>Request for Offer No. 320-1900001</w:t>
          </w:r>
        </w:p>
      </w:tc>
    </w:tr>
    <w:tr w:rsidR="006D43BC" w14:paraId="5BA1180E" w14:textId="77777777" w:rsidTr="005507FE">
      <w:trPr>
        <w:cantSplit/>
        <w:trHeight w:hRule="exact" w:val="60"/>
      </w:trPr>
      <w:tc>
        <w:tcPr>
          <w:tcW w:w="10890" w:type="dxa"/>
          <w:gridSpan w:val="2"/>
          <w:tcBorders>
            <w:bottom w:val="single" w:sz="4" w:space="0" w:color="auto"/>
          </w:tcBorders>
        </w:tcPr>
        <w:p w14:paraId="02C85CE9" w14:textId="77777777" w:rsidR="006D43BC" w:rsidRDefault="006D43BC" w:rsidP="002027B4">
          <w:pPr>
            <w:pStyle w:val="Header"/>
          </w:pPr>
        </w:p>
      </w:tc>
    </w:tr>
  </w:tbl>
  <w:p w14:paraId="333B6C0E" w14:textId="5E023373" w:rsidR="006D43BC" w:rsidRPr="002027B4" w:rsidRDefault="006D43BC" w:rsidP="002027B4">
    <w:pPr>
      <w:pStyle w:val="Header"/>
      <w:ind w:left="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472" w:type="dxa"/>
      <w:tblInd w:w="108" w:type="dxa"/>
      <w:tblLayout w:type="fixed"/>
      <w:tblLook w:val="0000" w:firstRow="0" w:lastRow="0" w:firstColumn="0" w:lastColumn="0" w:noHBand="0" w:noVBand="0"/>
    </w:tblPr>
    <w:tblGrid>
      <w:gridCol w:w="6390"/>
      <w:gridCol w:w="8082"/>
    </w:tblGrid>
    <w:tr w:rsidR="006D43BC" w:rsidRPr="00EA6B15" w14:paraId="1862CA2E" w14:textId="77777777" w:rsidTr="00B47897">
      <w:tc>
        <w:tcPr>
          <w:tcW w:w="6390" w:type="dxa"/>
          <w:vAlign w:val="center"/>
        </w:tcPr>
        <w:p w14:paraId="678E9D66" w14:textId="77777777" w:rsidR="006D43BC" w:rsidRPr="00BE2AE5" w:rsidRDefault="006D43BC" w:rsidP="002027B4">
          <w:pPr>
            <w:pStyle w:val="Header"/>
            <w:ind w:left="0"/>
            <w:rPr>
              <w:sz w:val="20"/>
            </w:rPr>
          </w:pPr>
          <w:r w:rsidRPr="00BE2AE5">
            <w:rPr>
              <w:sz w:val="20"/>
            </w:rPr>
            <w:t xml:space="preserve">Umbrella Project Name: </w:t>
          </w:r>
          <w:r>
            <w:rPr>
              <w:sz w:val="20"/>
            </w:rPr>
            <w:t>UI System Replacement</w:t>
          </w:r>
        </w:p>
      </w:tc>
      <w:tc>
        <w:tcPr>
          <w:tcW w:w="8082" w:type="dxa"/>
          <w:vAlign w:val="bottom"/>
        </w:tcPr>
        <w:p w14:paraId="65393316" w14:textId="77777777" w:rsidR="006D43BC" w:rsidRPr="00BE2AE5" w:rsidRDefault="006D43BC" w:rsidP="002027B4">
          <w:pPr>
            <w:pStyle w:val="Header"/>
            <w:ind w:left="147"/>
            <w:jc w:val="right"/>
            <w:rPr>
              <w:sz w:val="20"/>
            </w:rPr>
          </w:pPr>
          <w:r w:rsidRPr="00BE2AE5">
            <w:rPr>
              <w:sz w:val="20"/>
            </w:rPr>
            <w:t>Texas Workforce Commission</w:t>
          </w:r>
        </w:p>
        <w:p w14:paraId="5E69B572" w14:textId="77777777" w:rsidR="006D43BC" w:rsidRPr="00BE2AE5" w:rsidRDefault="006D43BC" w:rsidP="002027B4">
          <w:pPr>
            <w:pStyle w:val="Header"/>
            <w:ind w:left="57"/>
            <w:jc w:val="right"/>
            <w:rPr>
              <w:sz w:val="20"/>
            </w:rPr>
          </w:pPr>
          <w:r>
            <w:rPr>
              <w:sz w:val="20"/>
            </w:rPr>
            <w:t>Request for Offer No. 320-1900001</w:t>
          </w:r>
        </w:p>
      </w:tc>
    </w:tr>
    <w:tr w:rsidR="006D43BC" w14:paraId="281B0B15" w14:textId="77777777" w:rsidTr="00B47897">
      <w:trPr>
        <w:cantSplit/>
        <w:trHeight w:hRule="exact" w:val="60"/>
      </w:trPr>
      <w:tc>
        <w:tcPr>
          <w:tcW w:w="14472" w:type="dxa"/>
          <w:gridSpan w:val="2"/>
          <w:tcBorders>
            <w:bottom w:val="single" w:sz="4" w:space="0" w:color="auto"/>
          </w:tcBorders>
        </w:tcPr>
        <w:p w14:paraId="20F3128A" w14:textId="77777777" w:rsidR="006D43BC" w:rsidRDefault="006D43BC" w:rsidP="002027B4">
          <w:pPr>
            <w:pStyle w:val="Header"/>
          </w:pPr>
        </w:p>
      </w:tc>
    </w:tr>
  </w:tbl>
  <w:p w14:paraId="035260FA" w14:textId="1BA772FC" w:rsidR="006D43BC" w:rsidRPr="002027B4" w:rsidRDefault="006D43BC" w:rsidP="002027B4">
    <w:pPr>
      <w:pStyle w:val="Header"/>
      <w:ind w:left="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72" w:type="dxa"/>
      <w:tblInd w:w="108" w:type="dxa"/>
      <w:tblLayout w:type="fixed"/>
      <w:tblLook w:val="0000" w:firstRow="0" w:lastRow="0" w:firstColumn="0" w:lastColumn="0" w:noHBand="0" w:noVBand="0"/>
    </w:tblPr>
    <w:tblGrid>
      <w:gridCol w:w="6390"/>
      <w:gridCol w:w="4482"/>
    </w:tblGrid>
    <w:tr w:rsidR="006D43BC" w:rsidRPr="00EA6B15" w14:paraId="7D2C7819" w14:textId="77777777" w:rsidTr="000770E6">
      <w:tc>
        <w:tcPr>
          <w:tcW w:w="6390" w:type="dxa"/>
          <w:vAlign w:val="center"/>
        </w:tcPr>
        <w:p w14:paraId="79B59082" w14:textId="77777777" w:rsidR="006D43BC" w:rsidRPr="00BE2AE5" w:rsidRDefault="006D43BC" w:rsidP="002D3152">
          <w:pPr>
            <w:pStyle w:val="Header"/>
            <w:ind w:left="0"/>
            <w:rPr>
              <w:sz w:val="20"/>
            </w:rPr>
          </w:pPr>
          <w:r w:rsidRPr="00BE2AE5">
            <w:rPr>
              <w:sz w:val="20"/>
            </w:rPr>
            <w:t xml:space="preserve">Umbrella Project Name: </w:t>
          </w:r>
          <w:r>
            <w:rPr>
              <w:sz w:val="20"/>
            </w:rPr>
            <w:t>UI System Replacement</w:t>
          </w:r>
        </w:p>
      </w:tc>
      <w:tc>
        <w:tcPr>
          <w:tcW w:w="4482" w:type="dxa"/>
          <w:vAlign w:val="bottom"/>
        </w:tcPr>
        <w:p w14:paraId="4575B83F" w14:textId="77777777" w:rsidR="006D43BC" w:rsidRPr="00BE2AE5" w:rsidRDefault="006D43BC" w:rsidP="002D3152">
          <w:pPr>
            <w:pStyle w:val="Header"/>
            <w:ind w:left="147"/>
            <w:jc w:val="right"/>
            <w:rPr>
              <w:sz w:val="20"/>
            </w:rPr>
          </w:pPr>
          <w:r w:rsidRPr="00BE2AE5">
            <w:rPr>
              <w:sz w:val="20"/>
            </w:rPr>
            <w:t>Texas Workforce Commission</w:t>
          </w:r>
        </w:p>
        <w:p w14:paraId="502A2DD1" w14:textId="77777777" w:rsidR="006D43BC" w:rsidRPr="00BE2AE5" w:rsidRDefault="006D43BC" w:rsidP="002D3152">
          <w:pPr>
            <w:pStyle w:val="Header"/>
            <w:ind w:left="57"/>
            <w:jc w:val="right"/>
            <w:rPr>
              <w:sz w:val="20"/>
            </w:rPr>
          </w:pPr>
          <w:r>
            <w:rPr>
              <w:sz w:val="20"/>
            </w:rPr>
            <w:t>Request for Offer No. 320-1900001</w:t>
          </w:r>
        </w:p>
      </w:tc>
    </w:tr>
    <w:tr w:rsidR="006D43BC" w14:paraId="118D9752" w14:textId="77777777" w:rsidTr="000770E6">
      <w:trPr>
        <w:cantSplit/>
        <w:trHeight w:hRule="exact" w:val="60"/>
      </w:trPr>
      <w:tc>
        <w:tcPr>
          <w:tcW w:w="10872" w:type="dxa"/>
          <w:gridSpan w:val="2"/>
          <w:tcBorders>
            <w:bottom w:val="single" w:sz="4" w:space="0" w:color="auto"/>
          </w:tcBorders>
        </w:tcPr>
        <w:p w14:paraId="2E085ABC" w14:textId="77777777" w:rsidR="006D43BC" w:rsidRDefault="006D43BC" w:rsidP="002D3152">
          <w:pPr>
            <w:pStyle w:val="Header"/>
          </w:pPr>
        </w:p>
      </w:tc>
    </w:tr>
  </w:tbl>
  <w:p w14:paraId="7FF2E107" w14:textId="77777777" w:rsidR="006D43BC" w:rsidRDefault="006D43BC" w:rsidP="002D3152">
    <w:pPr>
      <w:pStyle w:val="Header"/>
      <w:ind w:left="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90" w:type="dxa"/>
      <w:tblInd w:w="108" w:type="dxa"/>
      <w:tblLayout w:type="fixed"/>
      <w:tblLook w:val="0000" w:firstRow="0" w:lastRow="0" w:firstColumn="0" w:lastColumn="0" w:noHBand="0" w:noVBand="0"/>
    </w:tblPr>
    <w:tblGrid>
      <w:gridCol w:w="6390"/>
      <w:gridCol w:w="4500"/>
    </w:tblGrid>
    <w:tr w:rsidR="006D43BC" w:rsidRPr="00EA6B15" w14:paraId="5937C052" w14:textId="77777777" w:rsidTr="00162CE5">
      <w:tc>
        <w:tcPr>
          <w:tcW w:w="6390" w:type="dxa"/>
          <w:vAlign w:val="center"/>
        </w:tcPr>
        <w:p w14:paraId="163A7161" w14:textId="77777777" w:rsidR="006D43BC" w:rsidRPr="00BE2AE5" w:rsidRDefault="006D43BC" w:rsidP="00925DBA">
          <w:pPr>
            <w:pStyle w:val="Header"/>
            <w:ind w:left="0"/>
            <w:rPr>
              <w:sz w:val="20"/>
            </w:rPr>
          </w:pPr>
          <w:r w:rsidRPr="00BE2AE5">
            <w:rPr>
              <w:sz w:val="20"/>
            </w:rPr>
            <w:t xml:space="preserve">Umbrella Project Name: </w:t>
          </w:r>
          <w:r>
            <w:rPr>
              <w:sz w:val="20"/>
            </w:rPr>
            <w:t>UI System Replacement</w:t>
          </w:r>
        </w:p>
      </w:tc>
      <w:tc>
        <w:tcPr>
          <w:tcW w:w="4500" w:type="dxa"/>
          <w:vAlign w:val="bottom"/>
        </w:tcPr>
        <w:p w14:paraId="5B1C6549" w14:textId="77777777" w:rsidR="006D43BC" w:rsidRPr="00BE2AE5" w:rsidRDefault="006D43BC" w:rsidP="00925DBA">
          <w:pPr>
            <w:pStyle w:val="Header"/>
            <w:ind w:left="147"/>
            <w:jc w:val="right"/>
            <w:rPr>
              <w:sz w:val="20"/>
            </w:rPr>
          </w:pPr>
          <w:r w:rsidRPr="00BE2AE5">
            <w:rPr>
              <w:sz w:val="20"/>
            </w:rPr>
            <w:t>Texas Workforce Commission</w:t>
          </w:r>
        </w:p>
        <w:p w14:paraId="6B66938F" w14:textId="77777777" w:rsidR="006D43BC" w:rsidRPr="00BE2AE5" w:rsidRDefault="006D43BC" w:rsidP="00925DBA">
          <w:pPr>
            <w:pStyle w:val="Header"/>
            <w:ind w:left="57"/>
            <w:jc w:val="right"/>
            <w:rPr>
              <w:sz w:val="20"/>
            </w:rPr>
          </w:pPr>
          <w:r>
            <w:rPr>
              <w:sz w:val="20"/>
            </w:rPr>
            <w:t>Request for Offer No. 320-1900001</w:t>
          </w:r>
        </w:p>
      </w:tc>
    </w:tr>
    <w:tr w:rsidR="006D43BC" w14:paraId="25AD95C3" w14:textId="77777777" w:rsidTr="00162CE5">
      <w:trPr>
        <w:cantSplit/>
        <w:trHeight w:hRule="exact" w:val="60"/>
      </w:trPr>
      <w:tc>
        <w:tcPr>
          <w:tcW w:w="10890" w:type="dxa"/>
          <w:gridSpan w:val="2"/>
          <w:tcBorders>
            <w:bottom w:val="single" w:sz="4" w:space="0" w:color="auto"/>
          </w:tcBorders>
        </w:tcPr>
        <w:p w14:paraId="4AD9EEDE" w14:textId="77777777" w:rsidR="006D43BC" w:rsidRDefault="006D43BC" w:rsidP="00925DBA">
          <w:pPr>
            <w:pStyle w:val="Header"/>
          </w:pPr>
        </w:p>
      </w:tc>
    </w:tr>
  </w:tbl>
  <w:p w14:paraId="0F572EE3" w14:textId="77777777" w:rsidR="006D43BC" w:rsidRPr="00925DBA" w:rsidRDefault="006D43BC" w:rsidP="00925DBA">
    <w:pPr>
      <w:pStyle w:val="Heade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90" w:type="dxa"/>
      <w:tblInd w:w="108" w:type="dxa"/>
      <w:tblLayout w:type="fixed"/>
      <w:tblLook w:val="0000" w:firstRow="0" w:lastRow="0" w:firstColumn="0" w:lastColumn="0" w:noHBand="0" w:noVBand="0"/>
    </w:tblPr>
    <w:tblGrid>
      <w:gridCol w:w="6390"/>
      <w:gridCol w:w="4500"/>
    </w:tblGrid>
    <w:tr w:rsidR="006D43BC" w:rsidRPr="00EA6B15" w14:paraId="6A1B609F" w14:textId="77777777" w:rsidTr="00162CE5">
      <w:tc>
        <w:tcPr>
          <w:tcW w:w="6390" w:type="dxa"/>
          <w:vAlign w:val="center"/>
        </w:tcPr>
        <w:p w14:paraId="72304DA9" w14:textId="77777777" w:rsidR="006D43BC" w:rsidRPr="00BE2AE5" w:rsidRDefault="006D43BC" w:rsidP="002D3152">
          <w:pPr>
            <w:pStyle w:val="Header"/>
            <w:ind w:left="0"/>
            <w:rPr>
              <w:sz w:val="20"/>
            </w:rPr>
          </w:pPr>
          <w:r w:rsidRPr="00BE2AE5">
            <w:rPr>
              <w:sz w:val="20"/>
            </w:rPr>
            <w:t xml:space="preserve">Umbrella Project Name: </w:t>
          </w:r>
          <w:r>
            <w:rPr>
              <w:sz w:val="20"/>
            </w:rPr>
            <w:t>UI System Replacement</w:t>
          </w:r>
        </w:p>
      </w:tc>
      <w:tc>
        <w:tcPr>
          <w:tcW w:w="4500" w:type="dxa"/>
          <w:vAlign w:val="bottom"/>
        </w:tcPr>
        <w:p w14:paraId="42205032" w14:textId="77777777" w:rsidR="006D43BC" w:rsidRPr="00BE2AE5" w:rsidRDefault="006D43BC" w:rsidP="002D3152">
          <w:pPr>
            <w:pStyle w:val="Header"/>
            <w:ind w:left="147"/>
            <w:jc w:val="right"/>
            <w:rPr>
              <w:sz w:val="20"/>
            </w:rPr>
          </w:pPr>
          <w:r w:rsidRPr="00BE2AE5">
            <w:rPr>
              <w:sz w:val="20"/>
            </w:rPr>
            <w:t>Texas Workforce Commission</w:t>
          </w:r>
        </w:p>
        <w:p w14:paraId="6CB1551E" w14:textId="77777777" w:rsidR="006D43BC" w:rsidRPr="00BE2AE5" w:rsidRDefault="006D43BC" w:rsidP="002D3152">
          <w:pPr>
            <w:pStyle w:val="Header"/>
            <w:ind w:left="57"/>
            <w:jc w:val="right"/>
            <w:rPr>
              <w:sz w:val="20"/>
            </w:rPr>
          </w:pPr>
          <w:r>
            <w:rPr>
              <w:sz w:val="20"/>
            </w:rPr>
            <w:t>Request for Offer No. 320-1900001</w:t>
          </w:r>
        </w:p>
      </w:tc>
    </w:tr>
    <w:tr w:rsidR="006D43BC" w14:paraId="149ED844" w14:textId="77777777" w:rsidTr="00162CE5">
      <w:trPr>
        <w:cantSplit/>
        <w:trHeight w:hRule="exact" w:val="60"/>
      </w:trPr>
      <w:tc>
        <w:tcPr>
          <w:tcW w:w="10890" w:type="dxa"/>
          <w:gridSpan w:val="2"/>
          <w:tcBorders>
            <w:bottom w:val="single" w:sz="4" w:space="0" w:color="auto"/>
          </w:tcBorders>
        </w:tcPr>
        <w:p w14:paraId="3756B65D" w14:textId="77777777" w:rsidR="006D43BC" w:rsidRDefault="006D43BC" w:rsidP="002D3152">
          <w:pPr>
            <w:pStyle w:val="Header"/>
          </w:pPr>
        </w:p>
      </w:tc>
    </w:tr>
  </w:tbl>
  <w:p w14:paraId="2CDB714F" w14:textId="77777777" w:rsidR="006D43BC" w:rsidRDefault="006D43BC" w:rsidP="002D3152">
    <w:pPr>
      <w:pStyle w:val="Header"/>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90" w:type="dxa"/>
      <w:tblInd w:w="108" w:type="dxa"/>
      <w:tblLayout w:type="fixed"/>
      <w:tblLook w:val="0000" w:firstRow="0" w:lastRow="0" w:firstColumn="0" w:lastColumn="0" w:noHBand="0" w:noVBand="0"/>
    </w:tblPr>
    <w:tblGrid>
      <w:gridCol w:w="6390"/>
      <w:gridCol w:w="4500"/>
    </w:tblGrid>
    <w:tr w:rsidR="006D43BC" w:rsidRPr="00EA6B15" w14:paraId="0BC97C3D" w14:textId="77777777" w:rsidTr="00162CE5">
      <w:tc>
        <w:tcPr>
          <w:tcW w:w="6390" w:type="dxa"/>
          <w:vAlign w:val="center"/>
        </w:tcPr>
        <w:p w14:paraId="5A3CE024" w14:textId="77777777" w:rsidR="006D43BC" w:rsidRPr="00BE2AE5" w:rsidRDefault="006D43BC" w:rsidP="00925DBA">
          <w:pPr>
            <w:pStyle w:val="Header"/>
            <w:ind w:left="0"/>
            <w:rPr>
              <w:sz w:val="20"/>
            </w:rPr>
          </w:pPr>
          <w:r w:rsidRPr="00BE2AE5">
            <w:rPr>
              <w:sz w:val="20"/>
            </w:rPr>
            <w:t xml:space="preserve">Umbrella Project Name: </w:t>
          </w:r>
          <w:r>
            <w:rPr>
              <w:sz w:val="20"/>
            </w:rPr>
            <w:t>UI System Replacement</w:t>
          </w:r>
        </w:p>
      </w:tc>
      <w:tc>
        <w:tcPr>
          <w:tcW w:w="4500" w:type="dxa"/>
          <w:vAlign w:val="bottom"/>
        </w:tcPr>
        <w:p w14:paraId="6C6FAB5A" w14:textId="77777777" w:rsidR="006D43BC" w:rsidRPr="00BE2AE5" w:rsidRDefault="006D43BC" w:rsidP="00925DBA">
          <w:pPr>
            <w:pStyle w:val="Header"/>
            <w:ind w:left="147"/>
            <w:jc w:val="right"/>
            <w:rPr>
              <w:sz w:val="20"/>
            </w:rPr>
          </w:pPr>
          <w:r w:rsidRPr="00BE2AE5">
            <w:rPr>
              <w:sz w:val="20"/>
            </w:rPr>
            <w:t>Texas Workforce Commission</w:t>
          </w:r>
        </w:p>
        <w:p w14:paraId="130D9994" w14:textId="77777777" w:rsidR="006D43BC" w:rsidRPr="00BE2AE5" w:rsidRDefault="006D43BC" w:rsidP="00925DBA">
          <w:pPr>
            <w:pStyle w:val="Header"/>
            <w:ind w:left="57"/>
            <w:jc w:val="right"/>
            <w:rPr>
              <w:sz w:val="20"/>
            </w:rPr>
          </w:pPr>
          <w:r>
            <w:rPr>
              <w:sz w:val="20"/>
            </w:rPr>
            <w:t>Request for Offer No. 320-1900001</w:t>
          </w:r>
        </w:p>
      </w:tc>
    </w:tr>
    <w:tr w:rsidR="006D43BC" w14:paraId="379140CF" w14:textId="77777777" w:rsidTr="00162CE5">
      <w:trPr>
        <w:cantSplit/>
        <w:trHeight w:hRule="exact" w:val="60"/>
      </w:trPr>
      <w:tc>
        <w:tcPr>
          <w:tcW w:w="10890" w:type="dxa"/>
          <w:gridSpan w:val="2"/>
          <w:tcBorders>
            <w:bottom w:val="single" w:sz="4" w:space="0" w:color="auto"/>
          </w:tcBorders>
        </w:tcPr>
        <w:p w14:paraId="4BAFEFD9" w14:textId="77777777" w:rsidR="006D43BC" w:rsidRDefault="006D43BC" w:rsidP="00925DBA">
          <w:pPr>
            <w:pStyle w:val="Header"/>
          </w:pPr>
        </w:p>
      </w:tc>
    </w:tr>
  </w:tbl>
  <w:p w14:paraId="5A700B08" w14:textId="77777777" w:rsidR="006D43BC" w:rsidRPr="00925DBA" w:rsidRDefault="006D43BC" w:rsidP="00925DBA">
    <w:pPr>
      <w:pStyle w:val="Header"/>
      <w:ind w:left="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562" w:type="dxa"/>
      <w:tblInd w:w="108" w:type="dxa"/>
      <w:tblLayout w:type="fixed"/>
      <w:tblLook w:val="0000" w:firstRow="0" w:lastRow="0" w:firstColumn="0" w:lastColumn="0" w:noHBand="0" w:noVBand="0"/>
    </w:tblPr>
    <w:tblGrid>
      <w:gridCol w:w="6390"/>
      <w:gridCol w:w="8172"/>
    </w:tblGrid>
    <w:tr w:rsidR="006D43BC" w:rsidRPr="00EA6B15" w14:paraId="2AD583C2" w14:textId="77777777" w:rsidTr="000770E6">
      <w:tc>
        <w:tcPr>
          <w:tcW w:w="6390" w:type="dxa"/>
          <w:vAlign w:val="center"/>
        </w:tcPr>
        <w:p w14:paraId="62F98B02" w14:textId="77777777" w:rsidR="006D43BC" w:rsidRPr="00BE2AE5" w:rsidRDefault="006D43BC" w:rsidP="002D3152">
          <w:pPr>
            <w:pStyle w:val="Header"/>
            <w:ind w:left="0"/>
            <w:rPr>
              <w:sz w:val="20"/>
            </w:rPr>
          </w:pPr>
          <w:r w:rsidRPr="00BE2AE5">
            <w:rPr>
              <w:sz w:val="20"/>
            </w:rPr>
            <w:t xml:space="preserve">Umbrella Project Name: </w:t>
          </w:r>
          <w:r>
            <w:rPr>
              <w:sz w:val="20"/>
            </w:rPr>
            <w:t>UI System Replacement</w:t>
          </w:r>
        </w:p>
      </w:tc>
      <w:tc>
        <w:tcPr>
          <w:tcW w:w="8172" w:type="dxa"/>
          <w:vAlign w:val="bottom"/>
        </w:tcPr>
        <w:p w14:paraId="1A56ABB6" w14:textId="77777777" w:rsidR="006D43BC" w:rsidRPr="00BE2AE5" w:rsidRDefault="006D43BC" w:rsidP="002D3152">
          <w:pPr>
            <w:pStyle w:val="Header"/>
            <w:ind w:left="147"/>
            <w:jc w:val="right"/>
            <w:rPr>
              <w:sz w:val="20"/>
            </w:rPr>
          </w:pPr>
          <w:r w:rsidRPr="00BE2AE5">
            <w:rPr>
              <w:sz w:val="20"/>
            </w:rPr>
            <w:t>Texas Workforce Commission</w:t>
          </w:r>
        </w:p>
        <w:p w14:paraId="0A0632BF" w14:textId="77777777" w:rsidR="006D43BC" w:rsidRPr="00BE2AE5" w:rsidRDefault="006D43BC" w:rsidP="002D3152">
          <w:pPr>
            <w:pStyle w:val="Header"/>
            <w:ind w:left="57"/>
            <w:jc w:val="right"/>
            <w:rPr>
              <w:sz w:val="20"/>
            </w:rPr>
          </w:pPr>
          <w:r>
            <w:rPr>
              <w:sz w:val="20"/>
            </w:rPr>
            <w:t>Request for Offer No. 320-1900001</w:t>
          </w:r>
        </w:p>
      </w:tc>
    </w:tr>
    <w:tr w:rsidR="006D43BC" w14:paraId="2FD3CD56" w14:textId="77777777" w:rsidTr="000770E6">
      <w:trPr>
        <w:cantSplit/>
        <w:trHeight w:hRule="exact" w:val="60"/>
      </w:trPr>
      <w:tc>
        <w:tcPr>
          <w:tcW w:w="14562" w:type="dxa"/>
          <w:gridSpan w:val="2"/>
          <w:tcBorders>
            <w:bottom w:val="single" w:sz="4" w:space="0" w:color="auto"/>
          </w:tcBorders>
        </w:tcPr>
        <w:p w14:paraId="5C2C700F" w14:textId="77777777" w:rsidR="006D43BC" w:rsidRDefault="006D43BC" w:rsidP="002D3152">
          <w:pPr>
            <w:pStyle w:val="Header"/>
          </w:pPr>
        </w:p>
      </w:tc>
    </w:tr>
  </w:tbl>
  <w:p w14:paraId="6B792692" w14:textId="77777777" w:rsidR="006D43BC" w:rsidRDefault="006D43BC" w:rsidP="002D3152">
    <w:pPr>
      <w:pStyle w:val="Header"/>
      <w:ind w:left="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562" w:type="dxa"/>
      <w:tblInd w:w="108" w:type="dxa"/>
      <w:tblLayout w:type="fixed"/>
      <w:tblLook w:val="0000" w:firstRow="0" w:lastRow="0" w:firstColumn="0" w:lastColumn="0" w:noHBand="0" w:noVBand="0"/>
    </w:tblPr>
    <w:tblGrid>
      <w:gridCol w:w="6390"/>
      <w:gridCol w:w="8172"/>
    </w:tblGrid>
    <w:tr w:rsidR="006D43BC" w:rsidRPr="00EA6B15" w14:paraId="702CA903" w14:textId="77777777" w:rsidTr="00F126F7">
      <w:tc>
        <w:tcPr>
          <w:tcW w:w="6390" w:type="dxa"/>
          <w:vAlign w:val="center"/>
        </w:tcPr>
        <w:p w14:paraId="4CA8E512" w14:textId="77777777" w:rsidR="006D43BC" w:rsidRPr="00BE2AE5" w:rsidRDefault="006D43BC" w:rsidP="00925DBA">
          <w:pPr>
            <w:pStyle w:val="Header"/>
            <w:ind w:left="0"/>
            <w:rPr>
              <w:sz w:val="20"/>
            </w:rPr>
          </w:pPr>
          <w:r w:rsidRPr="00BE2AE5">
            <w:rPr>
              <w:sz w:val="20"/>
            </w:rPr>
            <w:t xml:space="preserve">Umbrella Project Name: </w:t>
          </w:r>
          <w:r>
            <w:rPr>
              <w:sz w:val="20"/>
            </w:rPr>
            <w:t>UI System Replacement</w:t>
          </w:r>
        </w:p>
      </w:tc>
      <w:tc>
        <w:tcPr>
          <w:tcW w:w="8172" w:type="dxa"/>
          <w:vAlign w:val="bottom"/>
        </w:tcPr>
        <w:p w14:paraId="0668B7EA" w14:textId="77777777" w:rsidR="006D43BC" w:rsidRPr="00BE2AE5" w:rsidRDefault="006D43BC" w:rsidP="00925DBA">
          <w:pPr>
            <w:pStyle w:val="Header"/>
            <w:ind w:left="147"/>
            <w:jc w:val="right"/>
            <w:rPr>
              <w:sz w:val="20"/>
            </w:rPr>
          </w:pPr>
          <w:r w:rsidRPr="00BE2AE5">
            <w:rPr>
              <w:sz w:val="20"/>
            </w:rPr>
            <w:t>Texas Workforce Commission</w:t>
          </w:r>
        </w:p>
        <w:p w14:paraId="7A642D59" w14:textId="77777777" w:rsidR="006D43BC" w:rsidRPr="00BE2AE5" w:rsidRDefault="006D43BC" w:rsidP="00925DBA">
          <w:pPr>
            <w:pStyle w:val="Header"/>
            <w:ind w:left="57"/>
            <w:jc w:val="right"/>
            <w:rPr>
              <w:sz w:val="20"/>
            </w:rPr>
          </w:pPr>
          <w:r>
            <w:rPr>
              <w:sz w:val="20"/>
            </w:rPr>
            <w:t>Request for Offer No. 320-1900001</w:t>
          </w:r>
        </w:p>
      </w:tc>
    </w:tr>
    <w:tr w:rsidR="006D43BC" w14:paraId="10CB8808" w14:textId="77777777" w:rsidTr="00F126F7">
      <w:trPr>
        <w:cantSplit/>
        <w:trHeight w:hRule="exact" w:val="60"/>
      </w:trPr>
      <w:tc>
        <w:tcPr>
          <w:tcW w:w="14562" w:type="dxa"/>
          <w:gridSpan w:val="2"/>
          <w:tcBorders>
            <w:bottom w:val="single" w:sz="4" w:space="0" w:color="auto"/>
          </w:tcBorders>
        </w:tcPr>
        <w:p w14:paraId="7C5CD7B0" w14:textId="77777777" w:rsidR="006D43BC" w:rsidRDefault="006D43BC" w:rsidP="00925DBA">
          <w:pPr>
            <w:pStyle w:val="Header"/>
          </w:pPr>
        </w:p>
      </w:tc>
    </w:tr>
  </w:tbl>
  <w:p w14:paraId="6B2E4F94" w14:textId="77777777" w:rsidR="006D43BC" w:rsidRPr="00925DBA" w:rsidRDefault="006D43BC" w:rsidP="00925DBA">
    <w:pPr>
      <w:pStyle w:val="Header"/>
      <w:ind w:left="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90" w:type="dxa"/>
      <w:tblInd w:w="108" w:type="dxa"/>
      <w:tblLayout w:type="fixed"/>
      <w:tblLook w:val="0000" w:firstRow="0" w:lastRow="0" w:firstColumn="0" w:lastColumn="0" w:noHBand="0" w:noVBand="0"/>
    </w:tblPr>
    <w:tblGrid>
      <w:gridCol w:w="6390"/>
      <w:gridCol w:w="4500"/>
    </w:tblGrid>
    <w:tr w:rsidR="006D43BC" w:rsidRPr="00EA6B15" w14:paraId="46BCF1B5" w14:textId="77777777" w:rsidTr="00BC58FC">
      <w:tc>
        <w:tcPr>
          <w:tcW w:w="6390" w:type="dxa"/>
          <w:vAlign w:val="center"/>
        </w:tcPr>
        <w:p w14:paraId="685F702B" w14:textId="77777777" w:rsidR="006D43BC" w:rsidRPr="00BE2AE5" w:rsidRDefault="006D43BC" w:rsidP="00131B5D">
          <w:pPr>
            <w:pStyle w:val="Header"/>
            <w:ind w:left="0"/>
            <w:rPr>
              <w:sz w:val="20"/>
            </w:rPr>
          </w:pPr>
          <w:r w:rsidRPr="00BE2AE5">
            <w:rPr>
              <w:sz w:val="20"/>
            </w:rPr>
            <w:t xml:space="preserve">Umbrella Project Name: </w:t>
          </w:r>
          <w:r>
            <w:rPr>
              <w:sz w:val="20"/>
            </w:rPr>
            <w:t>UI System Replacement</w:t>
          </w:r>
        </w:p>
      </w:tc>
      <w:tc>
        <w:tcPr>
          <w:tcW w:w="4500" w:type="dxa"/>
          <w:vAlign w:val="bottom"/>
        </w:tcPr>
        <w:p w14:paraId="305F1610" w14:textId="77777777" w:rsidR="006D43BC" w:rsidRPr="00BE2AE5" w:rsidRDefault="006D43BC" w:rsidP="00131B5D">
          <w:pPr>
            <w:pStyle w:val="Header"/>
            <w:ind w:left="147"/>
            <w:jc w:val="right"/>
            <w:rPr>
              <w:sz w:val="20"/>
            </w:rPr>
          </w:pPr>
          <w:r w:rsidRPr="00BE2AE5">
            <w:rPr>
              <w:sz w:val="20"/>
            </w:rPr>
            <w:t>Texas Workforce Commission</w:t>
          </w:r>
        </w:p>
        <w:p w14:paraId="4ADE21A1" w14:textId="77777777" w:rsidR="006D43BC" w:rsidRPr="00BE2AE5" w:rsidRDefault="006D43BC" w:rsidP="00131B5D">
          <w:pPr>
            <w:pStyle w:val="Header"/>
            <w:ind w:left="57"/>
            <w:jc w:val="right"/>
            <w:rPr>
              <w:sz w:val="20"/>
            </w:rPr>
          </w:pPr>
          <w:r>
            <w:rPr>
              <w:sz w:val="20"/>
            </w:rPr>
            <w:t>Request for Offer No. 320-1900001</w:t>
          </w:r>
        </w:p>
      </w:tc>
    </w:tr>
    <w:tr w:rsidR="006D43BC" w14:paraId="3FD6BC07" w14:textId="77777777" w:rsidTr="00BC58FC">
      <w:trPr>
        <w:cantSplit/>
        <w:trHeight w:hRule="exact" w:val="60"/>
      </w:trPr>
      <w:tc>
        <w:tcPr>
          <w:tcW w:w="10890" w:type="dxa"/>
          <w:gridSpan w:val="2"/>
          <w:tcBorders>
            <w:bottom w:val="single" w:sz="4" w:space="0" w:color="auto"/>
          </w:tcBorders>
        </w:tcPr>
        <w:p w14:paraId="59918CE3" w14:textId="77777777" w:rsidR="006D43BC" w:rsidRDefault="006D43BC" w:rsidP="00131B5D">
          <w:pPr>
            <w:pStyle w:val="Header"/>
          </w:pPr>
        </w:p>
      </w:tc>
    </w:tr>
  </w:tbl>
  <w:p w14:paraId="6155E4AF" w14:textId="50FF8ABB" w:rsidR="006D43BC" w:rsidRPr="00131B5D" w:rsidRDefault="006D43BC" w:rsidP="00131B5D">
    <w:pPr>
      <w:pStyle w:val="Header"/>
      <w:ind w:left="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90" w:type="dxa"/>
      <w:tblInd w:w="108" w:type="dxa"/>
      <w:tblLayout w:type="fixed"/>
      <w:tblLook w:val="0000" w:firstRow="0" w:lastRow="0" w:firstColumn="0" w:lastColumn="0" w:noHBand="0" w:noVBand="0"/>
    </w:tblPr>
    <w:tblGrid>
      <w:gridCol w:w="6390"/>
      <w:gridCol w:w="4500"/>
    </w:tblGrid>
    <w:tr w:rsidR="006D43BC" w:rsidRPr="00EA6B15" w14:paraId="4840D794" w14:textId="77777777" w:rsidTr="00BC58FC">
      <w:tc>
        <w:tcPr>
          <w:tcW w:w="6390" w:type="dxa"/>
          <w:vAlign w:val="center"/>
        </w:tcPr>
        <w:p w14:paraId="240BB61D" w14:textId="77777777" w:rsidR="006D43BC" w:rsidRPr="00BE2AE5" w:rsidRDefault="006D43BC" w:rsidP="00131B5D">
          <w:pPr>
            <w:pStyle w:val="Header"/>
            <w:ind w:left="0"/>
            <w:rPr>
              <w:sz w:val="20"/>
            </w:rPr>
          </w:pPr>
          <w:r w:rsidRPr="00BE2AE5">
            <w:rPr>
              <w:sz w:val="20"/>
            </w:rPr>
            <w:t xml:space="preserve">Umbrella Project Name: </w:t>
          </w:r>
          <w:r>
            <w:rPr>
              <w:sz w:val="20"/>
            </w:rPr>
            <w:t>UI System Replacement</w:t>
          </w:r>
        </w:p>
      </w:tc>
      <w:tc>
        <w:tcPr>
          <w:tcW w:w="4500" w:type="dxa"/>
          <w:vAlign w:val="bottom"/>
        </w:tcPr>
        <w:p w14:paraId="7056407D" w14:textId="77777777" w:rsidR="006D43BC" w:rsidRPr="00BE2AE5" w:rsidRDefault="006D43BC" w:rsidP="00131B5D">
          <w:pPr>
            <w:pStyle w:val="Header"/>
            <w:ind w:left="147"/>
            <w:jc w:val="right"/>
            <w:rPr>
              <w:sz w:val="20"/>
            </w:rPr>
          </w:pPr>
          <w:r w:rsidRPr="00BE2AE5">
            <w:rPr>
              <w:sz w:val="20"/>
            </w:rPr>
            <w:t>Texas Workforce Commission</w:t>
          </w:r>
        </w:p>
        <w:p w14:paraId="37F4DFF7" w14:textId="77777777" w:rsidR="006D43BC" w:rsidRPr="00BE2AE5" w:rsidRDefault="006D43BC" w:rsidP="00131B5D">
          <w:pPr>
            <w:pStyle w:val="Header"/>
            <w:ind w:left="57"/>
            <w:jc w:val="right"/>
            <w:rPr>
              <w:sz w:val="20"/>
            </w:rPr>
          </w:pPr>
          <w:r>
            <w:rPr>
              <w:sz w:val="20"/>
            </w:rPr>
            <w:t>Request for Offer No. 320-1900001</w:t>
          </w:r>
        </w:p>
      </w:tc>
    </w:tr>
    <w:tr w:rsidR="006D43BC" w14:paraId="2C7D06A1" w14:textId="77777777" w:rsidTr="00BC58FC">
      <w:trPr>
        <w:cantSplit/>
        <w:trHeight w:hRule="exact" w:val="60"/>
      </w:trPr>
      <w:tc>
        <w:tcPr>
          <w:tcW w:w="10890" w:type="dxa"/>
          <w:gridSpan w:val="2"/>
          <w:tcBorders>
            <w:bottom w:val="single" w:sz="4" w:space="0" w:color="auto"/>
          </w:tcBorders>
        </w:tcPr>
        <w:p w14:paraId="7A9B223A" w14:textId="77777777" w:rsidR="006D43BC" w:rsidRDefault="006D43BC" w:rsidP="00131B5D">
          <w:pPr>
            <w:pStyle w:val="Header"/>
          </w:pPr>
        </w:p>
      </w:tc>
    </w:tr>
  </w:tbl>
  <w:p w14:paraId="34D9E784" w14:textId="6FFD82B8" w:rsidR="006D43BC" w:rsidRPr="00131B5D" w:rsidRDefault="006D43BC" w:rsidP="00131B5D">
    <w:pPr>
      <w:pStyle w:val="Header"/>
      <w:ind w:left="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90" w:type="dxa"/>
      <w:tblInd w:w="108" w:type="dxa"/>
      <w:tblLayout w:type="fixed"/>
      <w:tblLook w:val="0000" w:firstRow="0" w:lastRow="0" w:firstColumn="0" w:lastColumn="0" w:noHBand="0" w:noVBand="0"/>
    </w:tblPr>
    <w:tblGrid>
      <w:gridCol w:w="6390"/>
      <w:gridCol w:w="4500"/>
    </w:tblGrid>
    <w:tr w:rsidR="006D43BC" w:rsidRPr="00EA6B15" w14:paraId="0189C1EC" w14:textId="77777777" w:rsidTr="005507FE">
      <w:tc>
        <w:tcPr>
          <w:tcW w:w="6390" w:type="dxa"/>
          <w:vAlign w:val="center"/>
        </w:tcPr>
        <w:p w14:paraId="3A676157" w14:textId="77777777" w:rsidR="006D43BC" w:rsidRPr="00BE2AE5" w:rsidRDefault="006D43BC" w:rsidP="002027B4">
          <w:pPr>
            <w:pStyle w:val="Header"/>
            <w:ind w:left="0"/>
            <w:rPr>
              <w:sz w:val="20"/>
            </w:rPr>
          </w:pPr>
          <w:r w:rsidRPr="00BE2AE5">
            <w:rPr>
              <w:sz w:val="20"/>
            </w:rPr>
            <w:t xml:space="preserve">Umbrella Project Name: </w:t>
          </w:r>
          <w:r>
            <w:rPr>
              <w:sz w:val="20"/>
            </w:rPr>
            <w:t>UI System Replacement</w:t>
          </w:r>
        </w:p>
      </w:tc>
      <w:tc>
        <w:tcPr>
          <w:tcW w:w="4500" w:type="dxa"/>
          <w:vAlign w:val="bottom"/>
        </w:tcPr>
        <w:p w14:paraId="2B0E0818" w14:textId="77777777" w:rsidR="006D43BC" w:rsidRPr="00BE2AE5" w:rsidRDefault="006D43BC" w:rsidP="002027B4">
          <w:pPr>
            <w:pStyle w:val="Header"/>
            <w:ind w:left="147"/>
            <w:jc w:val="right"/>
            <w:rPr>
              <w:sz w:val="20"/>
            </w:rPr>
          </w:pPr>
          <w:r w:rsidRPr="00BE2AE5">
            <w:rPr>
              <w:sz w:val="20"/>
            </w:rPr>
            <w:t>Texas Workforce Commission</w:t>
          </w:r>
        </w:p>
        <w:p w14:paraId="5459511E" w14:textId="77777777" w:rsidR="006D43BC" w:rsidRPr="00BE2AE5" w:rsidRDefault="006D43BC" w:rsidP="002027B4">
          <w:pPr>
            <w:pStyle w:val="Header"/>
            <w:ind w:left="57"/>
            <w:jc w:val="right"/>
            <w:rPr>
              <w:sz w:val="20"/>
            </w:rPr>
          </w:pPr>
          <w:r>
            <w:rPr>
              <w:sz w:val="20"/>
            </w:rPr>
            <w:t>Request for Offer No. 320-1900001</w:t>
          </w:r>
        </w:p>
      </w:tc>
    </w:tr>
    <w:tr w:rsidR="006D43BC" w14:paraId="02F93EDA" w14:textId="77777777" w:rsidTr="005507FE">
      <w:trPr>
        <w:cantSplit/>
        <w:trHeight w:hRule="exact" w:val="60"/>
      </w:trPr>
      <w:tc>
        <w:tcPr>
          <w:tcW w:w="10890" w:type="dxa"/>
          <w:gridSpan w:val="2"/>
          <w:tcBorders>
            <w:bottom w:val="single" w:sz="4" w:space="0" w:color="auto"/>
          </w:tcBorders>
        </w:tcPr>
        <w:p w14:paraId="1CE11BEE" w14:textId="77777777" w:rsidR="006D43BC" w:rsidRDefault="006D43BC" w:rsidP="002027B4">
          <w:pPr>
            <w:pStyle w:val="Header"/>
          </w:pPr>
        </w:p>
      </w:tc>
    </w:tr>
  </w:tbl>
  <w:p w14:paraId="62AF2AB3" w14:textId="3BFA8744" w:rsidR="006D43BC" w:rsidRPr="002027B4" w:rsidRDefault="006D43BC" w:rsidP="002027B4">
    <w:pPr>
      <w:pStyle w:val="Header"/>
      <w:ind w:left="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90" w:type="dxa"/>
      <w:tblInd w:w="108" w:type="dxa"/>
      <w:tblLayout w:type="fixed"/>
      <w:tblLook w:val="0000" w:firstRow="0" w:lastRow="0" w:firstColumn="0" w:lastColumn="0" w:noHBand="0" w:noVBand="0"/>
    </w:tblPr>
    <w:tblGrid>
      <w:gridCol w:w="6390"/>
      <w:gridCol w:w="4500"/>
    </w:tblGrid>
    <w:tr w:rsidR="006D43BC" w:rsidRPr="00EA6B15" w14:paraId="2C5D0B80" w14:textId="77777777" w:rsidTr="005507FE">
      <w:tc>
        <w:tcPr>
          <w:tcW w:w="6390" w:type="dxa"/>
          <w:vAlign w:val="center"/>
        </w:tcPr>
        <w:p w14:paraId="5A62D7D6" w14:textId="77777777" w:rsidR="006D43BC" w:rsidRPr="00BE2AE5" w:rsidRDefault="006D43BC" w:rsidP="002027B4">
          <w:pPr>
            <w:pStyle w:val="Header"/>
            <w:ind w:left="0"/>
            <w:rPr>
              <w:sz w:val="20"/>
            </w:rPr>
          </w:pPr>
          <w:r w:rsidRPr="00BE2AE5">
            <w:rPr>
              <w:sz w:val="20"/>
            </w:rPr>
            <w:t xml:space="preserve">Umbrella Project Name: </w:t>
          </w:r>
          <w:r>
            <w:rPr>
              <w:sz w:val="20"/>
            </w:rPr>
            <w:t>UI System Replacement</w:t>
          </w:r>
        </w:p>
      </w:tc>
      <w:tc>
        <w:tcPr>
          <w:tcW w:w="4500" w:type="dxa"/>
          <w:vAlign w:val="bottom"/>
        </w:tcPr>
        <w:p w14:paraId="1CFF00AA" w14:textId="77777777" w:rsidR="006D43BC" w:rsidRPr="00BE2AE5" w:rsidRDefault="006D43BC" w:rsidP="002027B4">
          <w:pPr>
            <w:pStyle w:val="Header"/>
            <w:ind w:left="147"/>
            <w:jc w:val="right"/>
            <w:rPr>
              <w:sz w:val="20"/>
            </w:rPr>
          </w:pPr>
          <w:r w:rsidRPr="00BE2AE5">
            <w:rPr>
              <w:sz w:val="20"/>
            </w:rPr>
            <w:t>Texas Workforce Commission</w:t>
          </w:r>
        </w:p>
        <w:p w14:paraId="7DC93E04" w14:textId="77777777" w:rsidR="006D43BC" w:rsidRPr="00BE2AE5" w:rsidRDefault="006D43BC" w:rsidP="002027B4">
          <w:pPr>
            <w:pStyle w:val="Header"/>
            <w:ind w:left="57"/>
            <w:jc w:val="right"/>
            <w:rPr>
              <w:sz w:val="20"/>
            </w:rPr>
          </w:pPr>
          <w:r>
            <w:rPr>
              <w:sz w:val="20"/>
            </w:rPr>
            <w:t>Request for Offer No. 320-1900001</w:t>
          </w:r>
        </w:p>
      </w:tc>
    </w:tr>
    <w:tr w:rsidR="006D43BC" w14:paraId="71B1EAEE" w14:textId="77777777" w:rsidTr="005507FE">
      <w:trPr>
        <w:cantSplit/>
        <w:trHeight w:hRule="exact" w:val="60"/>
      </w:trPr>
      <w:tc>
        <w:tcPr>
          <w:tcW w:w="10890" w:type="dxa"/>
          <w:gridSpan w:val="2"/>
          <w:tcBorders>
            <w:bottom w:val="single" w:sz="4" w:space="0" w:color="auto"/>
          </w:tcBorders>
        </w:tcPr>
        <w:p w14:paraId="088F04A5" w14:textId="77777777" w:rsidR="006D43BC" w:rsidRDefault="006D43BC" w:rsidP="002027B4">
          <w:pPr>
            <w:pStyle w:val="Header"/>
          </w:pPr>
        </w:p>
      </w:tc>
    </w:tr>
  </w:tbl>
  <w:p w14:paraId="2DD653FA" w14:textId="3BB80B5B" w:rsidR="006D43BC" w:rsidRPr="002027B4" w:rsidRDefault="006D43BC" w:rsidP="002027B4">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7E6457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18B5FDB"/>
    <w:multiLevelType w:val="hybridMultilevel"/>
    <w:tmpl w:val="2C843906"/>
    <w:lvl w:ilvl="0" w:tplc="1CEE4728">
      <w:start w:val="1"/>
      <w:numFmt w:val="bullet"/>
      <w:pStyle w:val="DB1"/>
      <w:lvlText w:val="-"/>
      <w:lvlJc w:val="left"/>
      <w:pPr>
        <w:ind w:left="2520" w:hanging="360"/>
      </w:pPr>
      <w:rPr>
        <w:rFonts w:ascii="Verdana" w:hAnsi="Verdana"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0396350E"/>
    <w:multiLevelType w:val="multilevel"/>
    <w:tmpl w:val="E968FEF8"/>
    <w:lvl w:ilvl="0">
      <w:start w:val="1"/>
      <w:numFmt w:val="bullet"/>
      <w:pStyle w:val="Bullet2"/>
      <w:lvlText w:val=""/>
      <w:lvlJc w:val="left"/>
      <w:pPr>
        <w:tabs>
          <w:tab w:val="num" w:pos="360"/>
        </w:tabs>
        <w:ind w:left="36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8362E8A"/>
    <w:multiLevelType w:val="hybridMultilevel"/>
    <w:tmpl w:val="6602CF74"/>
    <w:lvl w:ilvl="0" w:tplc="BB9E3DB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B026AAF"/>
    <w:multiLevelType w:val="hybridMultilevel"/>
    <w:tmpl w:val="44B42C48"/>
    <w:lvl w:ilvl="0" w:tplc="C764C2D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EA21726"/>
    <w:multiLevelType w:val="hybridMultilevel"/>
    <w:tmpl w:val="6900AE46"/>
    <w:lvl w:ilvl="0" w:tplc="23FE1858">
      <w:start w:val="1"/>
      <w:numFmt w:val="decimal"/>
      <w:pStyle w:val="ListBullet"/>
      <w:lvlText w:val="%1."/>
      <w:lvlJc w:val="left"/>
      <w:pPr>
        <w:ind w:left="1080" w:hanging="360"/>
      </w:pPr>
      <w:rPr>
        <w:rFont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EAC19BE"/>
    <w:multiLevelType w:val="hybridMultilevel"/>
    <w:tmpl w:val="AE0A68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7990805"/>
    <w:multiLevelType w:val="multilevel"/>
    <w:tmpl w:val="8C923C6C"/>
    <w:lvl w:ilvl="0">
      <w:start w:val="1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720"/>
        </w:tabs>
        <w:ind w:left="720" w:hanging="72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080"/>
        </w:tabs>
        <w:ind w:left="1080" w:hanging="1080"/>
      </w:pPr>
      <w:rPr>
        <w:rFonts w:hint="default"/>
      </w:rPr>
    </w:lvl>
  </w:abstractNum>
  <w:abstractNum w:abstractNumId="8" w15:restartNumberingAfterBreak="0">
    <w:nsid w:val="185C2A36"/>
    <w:multiLevelType w:val="hybridMultilevel"/>
    <w:tmpl w:val="5088EA9E"/>
    <w:lvl w:ilvl="0" w:tplc="56CE8D90">
      <w:start w:val="1"/>
      <w:numFmt w:val="bullet"/>
      <w:pStyle w:val="LB5"/>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9411304"/>
    <w:multiLevelType w:val="multilevel"/>
    <w:tmpl w:val="C64E266A"/>
    <w:name w:val="Bullets"/>
    <w:lvl w:ilvl="0">
      <w:start w:val="1"/>
      <w:numFmt w:val="bullet"/>
      <w:pStyle w:val="StyleListBulletTimesNewRoman"/>
      <w:lvlText w:val=""/>
      <w:lvlJc w:val="left"/>
      <w:pPr>
        <w:tabs>
          <w:tab w:val="num" w:pos="360"/>
        </w:tabs>
        <w:ind w:left="360" w:hanging="360"/>
      </w:pPr>
      <w:rPr>
        <w:rFonts w:ascii="Symbol" w:hAnsi="Symbol" w:hint="default"/>
      </w:rPr>
    </w:lvl>
    <w:lvl w:ilvl="1">
      <w:start w:val="1"/>
      <w:numFmt w:val="bullet"/>
      <w:pStyle w:val="StyleListBulletTimesNewRoman"/>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1A33535C"/>
    <w:multiLevelType w:val="hybridMultilevel"/>
    <w:tmpl w:val="6B5AF1B0"/>
    <w:lvl w:ilvl="0" w:tplc="23445E6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1D2A7EBE"/>
    <w:multiLevelType w:val="hybridMultilevel"/>
    <w:tmpl w:val="B5C49404"/>
    <w:lvl w:ilvl="0" w:tplc="F38011C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21D23B3F"/>
    <w:multiLevelType w:val="hybridMultilevel"/>
    <w:tmpl w:val="755489CC"/>
    <w:lvl w:ilvl="0" w:tplc="2CAE7AC2">
      <w:start w:val="2"/>
      <w:numFmt w:val="bullet"/>
      <w:pStyle w:val="Bullet06"/>
      <w:lvlText w:val="•"/>
      <w:lvlJc w:val="left"/>
      <w:pPr>
        <w:tabs>
          <w:tab w:val="num" w:pos="1620"/>
        </w:tabs>
        <w:ind w:left="1620" w:hanging="360"/>
      </w:pPr>
      <w:rPr>
        <w:rFonts w:ascii="Arial" w:hAnsi="Arial" w:hint="default"/>
        <w:strike w:val="0"/>
        <w:dstrike w:val="0"/>
      </w:rPr>
    </w:lvl>
    <w:lvl w:ilvl="1" w:tplc="04090003">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13" w15:restartNumberingAfterBreak="0">
    <w:nsid w:val="2362161D"/>
    <w:multiLevelType w:val="hybridMultilevel"/>
    <w:tmpl w:val="8CA062BA"/>
    <w:lvl w:ilvl="0" w:tplc="04090001">
      <w:start w:val="1"/>
      <w:numFmt w:val="bullet"/>
      <w:lvlText w:val=""/>
      <w:lvlJc w:val="left"/>
      <w:pPr>
        <w:ind w:left="727" w:hanging="360"/>
      </w:pPr>
      <w:rPr>
        <w:rFonts w:ascii="Symbol" w:hAnsi="Symbol" w:hint="default"/>
      </w:rPr>
    </w:lvl>
    <w:lvl w:ilvl="1" w:tplc="04090003">
      <w:start w:val="1"/>
      <w:numFmt w:val="bullet"/>
      <w:lvlText w:val="o"/>
      <w:lvlJc w:val="left"/>
      <w:pPr>
        <w:ind w:left="1447" w:hanging="360"/>
      </w:pPr>
      <w:rPr>
        <w:rFonts w:ascii="Courier New" w:hAnsi="Courier New" w:cs="Courier New" w:hint="default"/>
      </w:rPr>
    </w:lvl>
    <w:lvl w:ilvl="2" w:tplc="04090005">
      <w:start w:val="1"/>
      <w:numFmt w:val="bullet"/>
      <w:lvlText w:val=""/>
      <w:lvlJc w:val="left"/>
      <w:pPr>
        <w:ind w:left="2167" w:hanging="360"/>
      </w:pPr>
      <w:rPr>
        <w:rFonts w:ascii="Wingdings" w:hAnsi="Wingdings" w:hint="default"/>
      </w:rPr>
    </w:lvl>
    <w:lvl w:ilvl="3" w:tplc="04090001">
      <w:start w:val="1"/>
      <w:numFmt w:val="bullet"/>
      <w:lvlText w:val=""/>
      <w:lvlJc w:val="left"/>
      <w:pPr>
        <w:ind w:left="2887" w:hanging="360"/>
      </w:pPr>
      <w:rPr>
        <w:rFonts w:ascii="Symbol" w:hAnsi="Symbol" w:hint="default"/>
      </w:rPr>
    </w:lvl>
    <w:lvl w:ilvl="4" w:tplc="04090003">
      <w:start w:val="1"/>
      <w:numFmt w:val="bullet"/>
      <w:lvlText w:val="o"/>
      <w:lvlJc w:val="left"/>
      <w:pPr>
        <w:ind w:left="3607" w:hanging="360"/>
      </w:pPr>
      <w:rPr>
        <w:rFonts w:ascii="Courier New" w:hAnsi="Courier New" w:cs="Courier New" w:hint="default"/>
      </w:rPr>
    </w:lvl>
    <w:lvl w:ilvl="5" w:tplc="04090005">
      <w:start w:val="1"/>
      <w:numFmt w:val="bullet"/>
      <w:lvlText w:val=""/>
      <w:lvlJc w:val="left"/>
      <w:pPr>
        <w:ind w:left="4327" w:hanging="360"/>
      </w:pPr>
      <w:rPr>
        <w:rFonts w:ascii="Wingdings" w:hAnsi="Wingdings" w:hint="default"/>
      </w:rPr>
    </w:lvl>
    <w:lvl w:ilvl="6" w:tplc="04090001">
      <w:start w:val="1"/>
      <w:numFmt w:val="bullet"/>
      <w:lvlText w:val=""/>
      <w:lvlJc w:val="left"/>
      <w:pPr>
        <w:ind w:left="5047" w:hanging="360"/>
      </w:pPr>
      <w:rPr>
        <w:rFonts w:ascii="Symbol" w:hAnsi="Symbol" w:hint="default"/>
      </w:rPr>
    </w:lvl>
    <w:lvl w:ilvl="7" w:tplc="04090003">
      <w:start w:val="1"/>
      <w:numFmt w:val="bullet"/>
      <w:lvlText w:val="o"/>
      <w:lvlJc w:val="left"/>
      <w:pPr>
        <w:ind w:left="5767" w:hanging="360"/>
      </w:pPr>
      <w:rPr>
        <w:rFonts w:ascii="Courier New" w:hAnsi="Courier New" w:cs="Courier New" w:hint="default"/>
      </w:rPr>
    </w:lvl>
    <w:lvl w:ilvl="8" w:tplc="04090005">
      <w:start w:val="1"/>
      <w:numFmt w:val="bullet"/>
      <w:lvlText w:val=""/>
      <w:lvlJc w:val="left"/>
      <w:pPr>
        <w:ind w:left="6487" w:hanging="360"/>
      </w:pPr>
      <w:rPr>
        <w:rFonts w:ascii="Wingdings" w:hAnsi="Wingdings" w:hint="default"/>
      </w:rPr>
    </w:lvl>
  </w:abstractNum>
  <w:abstractNum w:abstractNumId="14" w15:restartNumberingAfterBreak="0">
    <w:nsid w:val="2411497E"/>
    <w:multiLevelType w:val="multilevel"/>
    <w:tmpl w:val="1EB09D7C"/>
    <w:lvl w:ilvl="0">
      <w:start w:val="2"/>
      <w:numFmt w:val="decimal"/>
      <w:lvlText w:val="%1"/>
      <w:lvlJc w:val="left"/>
      <w:pPr>
        <w:tabs>
          <w:tab w:val="num" w:pos="360"/>
        </w:tabs>
        <w:ind w:left="360" w:hanging="360"/>
      </w:pPr>
      <w:rPr>
        <w:rFonts w:hint="default"/>
      </w:rPr>
    </w:lvl>
    <w:lvl w:ilvl="1">
      <w:start w:val="16"/>
      <w:numFmt w:val="decimal"/>
      <w:lvlText w:val="%1.%2"/>
      <w:lvlJc w:val="left"/>
      <w:pPr>
        <w:tabs>
          <w:tab w:val="num" w:pos="360"/>
        </w:tabs>
        <w:ind w:left="360" w:hanging="360"/>
      </w:pPr>
      <w:rPr>
        <w:rFonts w:hint="default"/>
        <w:b w:val="0"/>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360"/>
        </w:tabs>
        <w:ind w:left="360" w:hanging="36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720"/>
        </w:tabs>
        <w:ind w:left="720" w:hanging="72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080"/>
        </w:tabs>
        <w:ind w:left="1080" w:hanging="1080"/>
      </w:pPr>
      <w:rPr>
        <w:rFonts w:hint="default"/>
      </w:rPr>
    </w:lvl>
  </w:abstractNum>
  <w:abstractNum w:abstractNumId="15" w15:restartNumberingAfterBreak="0">
    <w:nsid w:val="25AC6594"/>
    <w:multiLevelType w:val="hybridMultilevel"/>
    <w:tmpl w:val="A8C637AE"/>
    <w:lvl w:ilvl="0" w:tplc="38104CC8">
      <w:start w:val="1"/>
      <w:numFmt w:val="bullet"/>
      <w:pStyle w:val="KBulletList2"/>
      <w:lvlText w:val="o"/>
      <w:lvlJc w:val="left"/>
      <w:pPr>
        <w:ind w:left="360" w:hanging="360"/>
      </w:pPr>
      <w:rPr>
        <w:rFonts w:ascii="Courier New" w:hAnsi="Courier New" w:cs="Courier New" w:hint="default"/>
      </w:rPr>
    </w:lvl>
    <w:lvl w:ilvl="1" w:tplc="56B6126C">
      <w:start w:val="1"/>
      <w:numFmt w:val="bullet"/>
      <w:pStyle w:val="bb3blue"/>
      <w:lvlText w:val=""/>
      <w:lvlJc w:val="left"/>
      <w:pPr>
        <w:ind w:left="1080" w:hanging="360"/>
      </w:pPr>
      <w:rPr>
        <w:rFonts w:ascii="Wingdings" w:hAnsi="Wingdings" w:hint="default"/>
      </w:rPr>
    </w:lvl>
    <w:lvl w:ilvl="2" w:tplc="965CBEB4">
      <w:start w:val="1"/>
      <w:numFmt w:val="bullet"/>
      <w:pStyle w:val="KBulletList3"/>
      <w:lvlText w:val=""/>
      <w:lvlJc w:val="left"/>
      <w:pPr>
        <w:ind w:left="1800" w:hanging="360"/>
      </w:pPr>
      <w:rPr>
        <w:rFonts w:ascii="Wingdings" w:hAnsi="Wingdings" w:hint="default"/>
      </w:rPr>
    </w:lvl>
    <w:lvl w:ilvl="3" w:tplc="04090001">
      <w:start w:val="1"/>
      <w:numFmt w:val="bullet"/>
      <w:pStyle w:val="KBulletList4"/>
      <w:lvlText w:val=""/>
      <w:lvlJc w:val="left"/>
      <w:pPr>
        <w:ind w:left="2520" w:hanging="360"/>
      </w:pPr>
      <w:rPr>
        <w:rFonts w:ascii="Symbol" w:hAnsi="Symbol" w:hint="default"/>
      </w:rPr>
    </w:lvl>
    <w:lvl w:ilvl="4" w:tplc="0EFACD48">
      <w:start w:val="1"/>
      <w:numFmt w:val="bullet"/>
      <w:pStyle w:val="KBulletList5"/>
      <w:lvlText w:val="o"/>
      <w:lvlJc w:val="left"/>
      <w:pPr>
        <w:ind w:left="3240" w:hanging="360"/>
      </w:pPr>
      <w:rPr>
        <w:rFonts w:ascii="Courier New" w:hAnsi="Courier New" w:cs="Courier New" w:hint="default"/>
      </w:rPr>
    </w:lvl>
    <w:lvl w:ilvl="5" w:tplc="E5626396">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671661B"/>
    <w:multiLevelType w:val="multilevel"/>
    <w:tmpl w:val="4A24968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27DA0519"/>
    <w:multiLevelType w:val="hybridMultilevel"/>
    <w:tmpl w:val="A0324DBA"/>
    <w:lvl w:ilvl="0" w:tplc="273CA2DE">
      <w:start w:val="1"/>
      <w:numFmt w:val="bullet"/>
      <w:pStyle w:val="KBulletLis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EE5A39"/>
    <w:multiLevelType w:val="hybridMultilevel"/>
    <w:tmpl w:val="2C32DA04"/>
    <w:lvl w:ilvl="0" w:tplc="D9948D32">
      <w:start w:val="1"/>
      <w:numFmt w:val="decimal"/>
      <w:pStyle w:val="NB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BE528B6"/>
    <w:multiLevelType w:val="multilevel"/>
    <w:tmpl w:val="EAFA139E"/>
    <w:lvl w:ilvl="0">
      <w:start w:val="1"/>
      <w:numFmt w:val="decimal"/>
      <w:pStyle w:val="Heading1"/>
      <w:lvlText w:val="%1."/>
      <w:lvlJc w:val="left"/>
      <w:pPr>
        <w:ind w:left="1080" w:hanging="72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5760" w:hanging="2520"/>
      </w:pPr>
      <w:rPr>
        <w:rFonts w:hint="default"/>
      </w:rPr>
    </w:lvl>
  </w:abstractNum>
  <w:abstractNum w:abstractNumId="20" w15:restartNumberingAfterBreak="0">
    <w:nsid w:val="2EDB4733"/>
    <w:multiLevelType w:val="hybridMultilevel"/>
    <w:tmpl w:val="E69C6C7A"/>
    <w:lvl w:ilvl="0" w:tplc="26EC90D4">
      <w:start w:val="1"/>
      <w:numFmt w:val="bullet"/>
      <w:pStyle w:val="LB4ac"/>
      <w:lvlText w:val=""/>
      <w:lvlJc w:val="left"/>
      <w:pPr>
        <w:ind w:left="1530" w:hanging="360"/>
      </w:pPr>
      <w:rPr>
        <w:rFonts w:ascii="Symbol" w:hAnsi="Symbol" w:hint="default"/>
      </w:rPr>
    </w:lvl>
    <w:lvl w:ilvl="1" w:tplc="7A9E778A">
      <w:start w:val="1"/>
      <w:numFmt w:val="bullet"/>
      <w:lvlText w:val="o"/>
      <w:lvlJc w:val="left"/>
      <w:pPr>
        <w:ind w:left="2250" w:hanging="360"/>
      </w:pPr>
      <w:rPr>
        <w:rFonts w:ascii="Courier New" w:hAnsi="Courier New" w:cs="Courier New" w:hint="default"/>
      </w:rPr>
    </w:lvl>
    <w:lvl w:ilvl="2" w:tplc="8B164BC2" w:tentative="1">
      <w:start w:val="1"/>
      <w:numFmt w:val="bullet"/>
      <w:lvlText w:val=""/>
      <w:lvlJc w:val="left"/>
      <w:pPr>
        <w:ind w:left="2970" w:hanging="360"/>
      </w:pPr>
      <w:rPr>
        <w:rFonts w:ascii="Wingdings" w:hAnsi="Wingdings" w:hint="default"/>
      </w:rPr>
    </w:lvl>
    <w:lvl w:ilvl="3" w:tplc="9FF62B04" w:tentative="1">
      <w:start w:val="1"/>
      <w:numFmt w:val="bullet"/>
      <w:lvlText w:val=""/>
      <w:lvlJc w:val="left"/>
      <w:pPr>
        <w:ind w:left="3690" w:hanging="360"/>
      </w:pPr>
      <w:rPr>
        <w:rFonts w:ascii="Symbol" w:hAnsi="Symbol" w:hint="default"/>
      </w:rPr>
    </w:lvl>
    <w:lvl w:ilvl="4" w:tplc="8BAA9750" w:tentative="1">
      <w:start w:val="1"/>
      <w:numFmt w:val="bullet"/>
      <w:lvlText w:val="o"/>
      <w:lvlJc w:val="left"/>
      <w:pPr>
        <w:ind w:left="4410" w:hanging="360"/>
      </w:pPr>
      <w:rPr>
        <w:rFonts w:ascii="Courier New" w:hAnsi="Courier New" w:cs="Courier New" w:hint="default"/>
      </w:rPr>
    </w:lvl>
    <w:lvl w:ilvl="5" w:tplc="7DBE8516" w:tentative="1">
      <w:start w:val="1"/>
      <w:numFmt w:val="bullet"/>
      <w:lvlText w:val=""/>
      <w:lvlJc w:val="left"/>
      <w:pPr>
        <w:ind w:left="5130" w:hanging="360"/>
      </w:pPr>
      <w:rPr>
        <w:rFonts w:ascii="Wingdings" w:hAnsi="Wingdings" w:hint="default"/>
      </w:rPr>
    </w:lvl>
    <w:lvl w:ilvl="6" w:tplc="45E61A9A" w:tentative="1">
      <w:start w:val="1"/>
      <w:numFmt w:val="bullet"/>
      <w:lvlText w:val=""/>
      <w:lvlJc w:val="left"/>
      <w:pPr>
        <w:ind w:left="5850" w:hanging="360"/>
      </w:pPr>
      <w:rPr>
        <w:rFonts w:ascii="Symbol" w:hAnsi="Symbol" w:hint="default"/>
      </w:rPr>
    </w:lvl>
    <w:lvl w:ilvl="7" w:tplc="F8E62F86" w:tentative="1">
      <w:start w:val="1"/>
      <w:numFmt w:val="bullet"/>
      <w:lvlText w:val="o"/>
      <w:lvlJc w:val="left"/>
      <w:pPr>
        <w:ind w:left="6570" w:hanging="360"/>
      </w:pPr>
      <w:rPr>
        <w:rFonts w:ascii="Courier New" w:hAnsi="Courier New" w:cs="Courier New" w:hint="default"/>
      </w:rPr>
    </w:lvl>
    <w:lvl w:ilvl="8" w:tplc="A6F21EB4" w:tentative="1">
      <w:start w:val="1"/>
      <w:numFmt w:val="bullet"/>
      <w:lvlText w:val=""/>
      <w:lvlJc w:val="left"/>
      <w:pPr>
        <w:ind w:left="7290" w:hanging="360"/>
      </w:pPr>
      <w:rPr>
        <w:rFonts w:ascii="Wingdings" w:hAnsi="Wingdings" w:hint="default"/>
      </w:rPr>
    </w:lvl>
  </w:abstractNum>
  <w:abstractNum w:abstractNumId="21" w15:restartNumberingAfterBreak="0">
    <w:nsid w:val="3090327A"/>
    <w:multiLevelType w:val="hybridMultilevel"/>
    <w:tmpl w:val="7CD465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339A4EA7"/>
    <w:multiLevelType w:val="hybridMultilevel"/>
    <w:tmpl w:val="59D6F222"/>
    <w:lvl w:ilvl="0" w:tplc="F08845F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5933E8"/>
    <w:multiLevelType w:val="hybridMultilevel"/>
    <w:tmpl w:val="2D6AC99E"/>
    <w:lvl w:ilvl="0" w:tplc="E8C8CACC">
      <w:start w:val="2"/>
      <w:numFmt w:val="bullet"/>
      <w:pStyle w:val="Bullet012"/>
      <w:lvlText w:val="•"/>
      <w:lvlJc w:val="left"/>
      <w:pPr>
        <w:tabs>
          <w:tab w:val="num" w:pos="7020"/>
        </w:tabs>
        <w:ind w:left="70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3B0C48"/>
    <w:multiLevelType w:val="hybridMultilevel"/>
    <w:tmpl w:val="90E8B876"/>
    <w:lvl w:ilvl="0" w:tplc="FFFFFFFF">
      <w:start w:val="1"/>
      <w:numFmt w:val="bullet"/>
      <w:pStyle w:val="bullet20"/>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3CB0159"/>
    <w:multiLevelType w:val="multilevel"/>
    <w:tmpl w:val="1A3CC7D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Times New Roman" w:hAnsi="Times New Roman" w:cs="Times New Roman" w:hint="default"/>
        <w:b w:val="0"/>
        <w:i w:val="0"/>
      </w:rPr>
    </w:lvl>
    <w:lvl w:ilvl="2">
      <w:start w:val="1"/>
      <w:numFmt w:val="decimal"/>
      <w:lvlText w:val="%1.%2.%3."/>
      <w:lvlJc w:val="left"/>
      <w:pPr>
        <w:tabs>
          <w:tab w:val="num" w:pos="504"/>
        </w:tabs>
        <w:ind w:left="504" w:hanging="432"/>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720"/>
        </w:tabs>
        <w:ind w:left="720" w:hanging="72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080"/>
        </w:tabs>
        <w:ind w:left="1080" w:hanging="1080"/>
      </w:pPr>
      <w:rPr>
        <w:rFonts w:hint="default"/>
      </w:rPr>
    </w:lvl>
  </w:abstractNum>
  <w:abstractNum w:abstractNumId="26" w15:restartNumberingAfterBreak="0">
    <w:nsid w:val="43FB23F8"/>
    <w:multiLevelType w:val="hybridMultilevel"/>
    <w:tmpl w:val="51189954"/>
    <w:lvl w:ilvl="0" w:tplc="C81A3630">
      <w:start w:val="1"/>
      <w:numFmt w:val="bullet"/>
      <w:pStyle w:val="LB1"/>
      <w:lvlText w:val=""/>
      <w:lvlJc w:val="left"/>
      <w:pPr>
        <w:ind w:left="1440" w:hanging="360"/>
      </w:pPr>
      <w:rPr>
        <w:rFonts w:ascii="Symbol" w:hAnsi="Symbol" w:hint="default"/>
      </w:rPr>
    </w:lvl>
    <w:lvl w:ilvl="1" w:tplc="DEDEA586">
      <w:start w:val="1"/>
      <w:numFmt w:val="bullet"/>
      <w:pStyle w:val="OB1"/>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6206F05"/>
    <w:multiLevelType w:val="hybridMultilevel"/>
    <w:tmpl w:val="099C0DC2"/>
    <w:lvl w:ilvl="0" w:tplc="431E39AE">
      <w:start w:val="1"/>
      <w:numFmt w:val="bullet"/>
      <w:pStyle w:val="CB1"/>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487A3388"/>
    <w:multiLevelType w:val="multilevel"/>
    <w:tmpl w:val="B5365E5E"/>
    <w:lvl w:ilvl="0">
      <w:start w:val="2"/>
      <w:numFmt w:val="decimal"/>
      <w:lvlText w:val="%1"/>
      <w:lvlJc w:val="left"/>
      <w:pPr>
        <w:ind w:left="450" w:hanging="450"/>
      </w:pPr>
      <w:rPr>
        <w:rFonts w:ascii="Times New Roman" w:hAnsi="Times New Roman" w:cs="Times New Roman" w:hint="default"/>
        <w:sz w:val="18"/>
      </w:rPr>
    </w:lvl>
    <w:lvl w:ilvl="1">
      <w:start w:val="24"/>
      <w:numFmt w:val="decimal"/>
      <w:lvlText w:val="%1.%2"/>
      <w:lvlJc w:val="left"/>
      <w:pPr>
        <w:ind w:left="810" w:hanging="450"/>
      </w:pPr>
      <w:rPr>
        <w:rFonts w:ascii="Times New Roman" w:hAnsi="Times New Roman" w:cs="Times New Roman" w:hint="default"/>
        <w:sz w:val="18"/>
      </w:rPr>
    </w:lvl>
    <w:lvl w:ilvl="2">
      <w:start w:val="1"/>
      <w:numFmt w:val="decimal"/>
      <w:lvlText w:val="%1.%2.%3"/>
      <w:lvlJc w:val="left"/>
      <w:pPr>
        <w:ind w:left="1080" w:hanging="720"/>
      </w:pPr>
      <w:rPr>
        <w:rFonts w:ascii="Times New Roman" w:hAnsi="Times New Roman" w:cs="Times New Roman" w:hint="default"/>
        <w:sz w:val="18"/>
      </w:rPr>
    </w:lvl>
    <w:lvl w:ilvl="3">
      <w:start w:val="1"/>
      <w:numFmt w:val="decimal"/>
      <w:lvlText w:val="%1.%2.%3.%4"/>
      <w:lvlJc w:val="left"/>
      <w:pPr>
        <w:ind w:left="2160" w:hanging="1080"/>
      </w:pPr>
      <w:rPr>
        <w:rFonts w:ascii="Times New Roman" w:hAnsi="Times New Roman" w:cs="Times New Roman" w:hint="default"/>
        <w:sz w:val="18"/>
      </w:rPr>
    </w:lvl>
    <w:lvl w:ilvl="4">
      <w:start w:val="1"/>
      <w:numFmt w:val="decimal"/>
      <w:lvlText w:val="%1.%2.%3.%4.%5"/>
      <w:lvlJc w:val="left"/>
      <w:pPr>
        <w:ind w:left="2520" w:hanging="1080"/>
      </w:pPr>
      <w:rPr>
        <w:rFonts w:ascii="Times New Roman" w:hAnsi="Times New Roman" w:cs="Times New Roman" w:hint="default"/>
        <w:sz w:val="18"/>
      </w:rPr>
    </w:lvl>
    <w:lvl w:ilvl="5">
      <w:start w:val="1"/>
      <w:numFmt w:val="decimal"/>
      <w:lvlText w:val="%1.%2.%3.%4.%5.%6"/>
      <w:lvlJc w:val="left"/>
      <w:pPr>
        <w:ind w:left="3240" w:hanging="1440"/>
      </w:pPr>
      <w:rPr>
        <w:rFonts w:ascii="Times New Roman" w:hAnsi="Times New Roman" w:cs="Times New Roman" w:hint="default"/>
        <w:sz w:val="18"/>
      </w:rPr>
    </w:lvl>
    <w:lvl w:ilvl="6">
      <w:start w:val="1"/>
      <w:numFmt w:val="decimal"/>
      <w:lvlText w:val="%1.%2.%3.%4.%5.%6.%7"/>
      <w:lvlJc w:val="left"/>
      <w:pPr>
        <w:ind w:left="3600" w:hanging="1440"/>
      </w:pPr>
      <w:rPr>
        <w:rFonts w:ascii="Times New Roman" w:hAnsi="Times New Roman" w:cs="Times New Roman" w:hint="default"/>
        <w:sz w:val="18"/>
      </w:rPr>
    </w:lvl>
    <w:lvl w:ilvl="7">
      <w:start w:val="1"/>
      <w:numFmt w:val="decimal"/>
      <w:lvlText w:val="%1.%2.%3.%4.%5.%6.%7.%8"/>
      <w:lvlJc w:val="left"/>
      <w:pPr>
        <w:ind w:left="4320" w:hanging="1800"/>
      </w:pPr>
      <w:rPr>
        <w:rFonts w:ascii="Times New Roman" w:hAnsi="Times New Roman" w:cs="Times New Roman" w:hint="default"/>
        <w:sz w:val="18"/>
      </w:rPr>
    </w:lvl>
    <w:lvl w:ilvl="8">
      <w:start w:val="1"/>
      <w:numFmt w:val="decimal"/>
      <w:lvlText w:val="%1.%2.%3.%4.%5.%6.%7.%8.%9"/>
      <w:lvlJc w:val="left"/>
      <w:pPr>
        <w:ind w:left="4680" w:hanging="1800"/>
      </w:pPr>
      <w:rPr>
        <w:rFonts w:ascii="Times New Roman" w:hAnsi="Times New Roman" w:cs="Times New Roman" w:hint="default"/>
        <w:sz w:val="18"/>
      </w:rPr>
    </w:lvl>
  </w:abstractNum>
  <w:abstractNum w:abstractNumId="29" w15:restartNumberingAfterBreak="0">
    <w:nsid w:val="4AF863A7"/>
    <w:multiLevelType w:val="multilevel"/>
    <w:tmpl w:val="6FE88D38"/>
    <w:lvl w:ilvl="0">
      <w:start w:val="11"/>
      <w:numFmt w:val="decimal"/>
      <w:lvlText w:val="%1"/>
      <w:lvlJc w:val="left"/>
      <w:pPr>
        <w:tabs>
          <w:tab w:val="num" w:pos="360"/>
        </w:tabs>
        <w:ind w:left="360" w:hanging="360"/>
      </w:pPr>
      <w:rPr>
        <w:rFonts w:hint="default"/>
        <w:b/>
      </w:rPr>
    </w:lvl>
    <w:lvl w:ilvl="1">
      <w:start w:val="4"/>
      <w:numFmt w:val="decimal"/>
      <w:lvlText w:val="%1.%2"/>
      <w:lvlJc w:val="left"/>
      <w:pPr>
        <w:tabs>
          <w:tab w:val="num" w:pos="360"/>
        </w:tabs>
        <w:ind w:left="360" w:hanging="360"/>
      </w:pPr>
      <w:rPr>
        <w:rFonts w:hint="default"/>
        <w:b w:val="0"/>
        <w:color w:val="auto"/>
      </w:rPr>
    </w:lvl>
    <w:lvl w:ilvl="2">
      <w:start w:val="1"/>
      <w:numFmt w:val="decimal"/>
      <w:lvlText w:val="%1.%2.%3"/>
      <w:lvlJc w:val="left"/>
      <w:pPr>
        <w:tabs>
          <w:tab w:val="num" w:pos="360"/>
        </w:tabs>
        <w:ind w:left="360" w:hanging="360"/>
      </w:pPr>
      <w:rPr>
        <w:rFonts w:hint="default"/>
        <w:b w:val="0"/>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0" w15:restartNumberingAfterBreak="0">
    <w:nsid w:val="4BE01C82"/>
    <w:multiLevelType w:val="multilevel"/>
    <w:tmpl w:val="AB5C69FC"/>
    <w:lvl w:ilvl="0">
      <w:start w:val="2"/>
      <w:numFmt w:val="decimal"/>
      <w:lvlText w:val="%1"/>
      <w:lvlJc w:val="left"/>
      <w:pPr>
        <w:ind w:left="360" w:hanging="360"/>
      </w:pPr>
    </w:lvl>
    <w:lvl w:ilvl="1">
      <w:start w:val="24"/>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31" w15:restartNumberingAfterBreak="0">
    <w:nsid w:val="532444F0"/>
    <w:multiLevelType w:val="hybridMultilevel"/>
    <w:tmpl w:val="BC1863C4"/>
    <w:lvl w:ilvl="0" w:tplc="04090001">
      <w:start w:val="1"/>
      <w:numFmt w:val="bullet"/>
      <w:pStyle w:val="Table-bullet"/>
      <w:lvlText w:val="•"/>
      <w:lvlJc w:val="left"/>
      <w:pPr>
        <w:tabs>
          <w:tab w:val="num" w:pos="1080"/>
        </w:tabs>
        <w:ind w:left="1080" w:hanging="360"/>
      </w:pPr>
      <w:rPr>
        <w:rFonts w:hint="default"/>
        <w:color w:val="auto"/>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576D3BDB"/>
    <w:multiLevelType w:val="hybridMultilevel"/>
    <w:tmpl w:val="244604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9A73114"/>
    <w:multiLevelType w:val="hybridMultilevel"/>
    <w:tmpl w:val="A306A92C"/>
    <w:lvl w:ilvl="0" w:tplc="74987B34">
      <w:start w:val="1"/>
      <w:numFmt w:val="lowerLetter"/>
      <w:lvlText w:val="%1)"/>
      <w:lvlJc w:val="left"/>
      <w:pPr>
        <w:ind w:left="1080" w:hanging="360"/>
      </w:pPr>
      <w:rPr>
        <w:rFonts w:ascii="Times New Roman" w:hAnsi="Times New Roman" w:cs="Times New Roman" w:hint="default"/>
        <w:color w:val="00000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E553C5F"/>
    <w:multiLevelType w:val="hybridMultilevel"/>
    <w:tmpl w:val="7E806A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16F1B09"/>
    <w:multiLevelType w:val="multilevel"/>
    <w:tmpl w:val="DA3831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4834FDA"/>
    <w:multiLevelType w:val="hybridMultilevel"/>
    <w:tmpl w:val="D35E7C56"/>
    <w:lvl w:ilvl="0" w:tplc="88D6F5E4">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15:restartNumberingAfterBreak="0">
    <w:nsid w:val="68782408"/>
    <w:multiLevelType w:val="hybridMultilevel"/>
    <w:tmpl w:val="2272C556"/>
    <w:lvl w:ilvl="0" w:tplc="3B8E33FE">
      <w:start w:val="1"/>
      <w:numFmt w:val="bullet"/>
      <w:pStyle w:val="DiaB1"/>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8" w15:restartNumberingAfterBreak="0">
    <w:nsid w:val="6A85373A"/>
    <w:multiLevelType w:val="hybridMultilevel"/>
    <w:tmpl w:val="51E2D0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6B6A1262"/>
    <w:multiLevelType w:val="hybridMultilevel"/>
    <w:tmpl w:val="8DDCBABA"/>
    <w:lvl w:ilvl="0" w:tplc="04090003">
      <w:start w:val="1"/>
      <w:numFmt w:val="bullet"/>
      <w:lvlText w:val="o"/>
      <w:lvlJc w:val="left"/>
      <w:pPr>
        <w:ind w:left="720" w:hanging="360"/>
      </w:pPr>
      <w:rPr>
        <w:rFonts w:ascii="Courier New" w:hAnsi="Courier New" w:cs="Courier New" w:hint="default"/>
      </w:rPr>
    </w:lvl>
    <w:lvl w:ilvl="1" w:tplc="FE386E86">
      <w:start w:val="1"/>
      <w:numFmt w:val="bullet"/>
      <w:pStyle w:val="lb3"/>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01290F"/>
    <w:multiLevelType w:val="multilevel"/>
    <w:tmpl w:val="A436171A"/>
    <w:lvl w:ilvl="0">
      <w:start w:val="13"/>
      <w:numFmt w:val="decimal"/>
      <w:lvlText w:val="%1."/>
      <w:lvlJc w:val="left"/>
      <w:pPr>
        <w:tabs>
          <w:tab w:val="num" w:pos="360"/>
        </w:tabs>
        <w:ind w:left="360" w:hanging="360"/>
      </w:pPr>
      <w:rPr>
        <w:rFonts w:hint="default"/>
        <w:b/>
      </w:rPr>
    </w:lvl>
    <w:lvl w:ilvl="1">
      <w:start w:val="4"/>
      <w:numFmt w:val="decimal"/>
      <w:lvlText w:val="%1.%2"/>
      <w:lvlJc w:val="left"/>
      <w:pPr>
        <w:tabs>
          <w:tab w:val="num" w:pos="360"/>
        </w:tabs>
        <w:ind w:left="360" w:hanging="360"/>
      </w:pPr>
      <w:rPr>
        <w:rFonts w:hint="default"/>
        <w:b w:val="0"/>
        <w:color w:val="auto"/>
      </w:rPr>
    </w:lvl>
    <w:lvl w:ilvl="2">
      <w:start w:val="1"/>
      <w:numFmt w:val="decimal"/>
      <w:lvlText w:val="%1.%2.%3"/>
      <w:lvlJc w:val="left"/>
      <w:pPr>
        <w:tabs>
          <w:tab w:val="num" w:pos="360"/>
        </w:tabs>
        <w:ind w:left="360" w:hanging="360"/>
      </w:pPr>
      <w:rPr>
        <w:rFonts w:hint="default"/>
        <w:b w:val="0"/>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1" w15:restartNumberingAfterBreak="0">
    <w:nsid w:val="6DD0265C"/>
    <w:multiLevelType w:val="hybridMultilevel"/>
    <w:tmpl w:val="194268B8"/>
    <w:lvl w:ilvl="0" w:tplc="0409000F">
      <w:start w:val="1"/>
      <w:numFmt w:val="decimal"/>
      <w:lvlText w:val="%1."/>
      <w:lvlJc w:val="left"/>
      <w:pPr>
        <w:ind w:left="522" w:hanging="360"/>
      </w:pPr>
    </w:lvl>
    <w:lvl w:ilvl="1" w:tplc="04090019">
      <w:start w:val="1"/>
      <w:numFmt w:val="lowerLetter"/>
      <w:lvlText w:val="%2."/>
      <w:lvlJc w:val="left"/>
      <w:pPr>
        <w:ind w:left="1242" w:hanging="360"/>
      </w:pPr>
    </w:lvl>
    <w:lvl w:ilvl="2" w:tplc="0409001B" w:tentative="1">
      <w:start w:val="1"/>
      <w:numFmt w:val="lowerRoman"/>
      <w:lvlText w:val="%3."/>
      <w:lvlJc w:val="right"/>
      <w:pPr>
        <w:ind w:left="1962" w:hanging="180"/>
      </w:pPr>
    </w:lvl>
    <w:lvl w:ilvl="3" w:tplc="0409000F" w:tentative="1">
      <w:start w:val="1"/>
      <w:numFmt w:val="decimal"/>
      <w:lvlText w:val="%4."/>
      <w:lvlJc w:val="left"/>
      <w:pPr>
        <w:ind w:left="2682" w:hanging="360"/>
      </w:pPr>
    </w:lvl>
    <w:lvl w:ilvl="4" w:tplc="04090019" w:tentative="1">
      <w:start w:val="1"/>
      <w:numFmt w:val="lowerLetter"/>
      <w:lvlText w:val="%5."/>
      <w:lvlJc w:val="left"/>
      <w:pPr>
        <w:ind w:left="3402" w:hanging="360"/>
      </w:pPr>
    </w:lvl>
    <w:lvl w:ilvl="5" w:tplc="0409001B" w:tentative="1">
      <w:start w:val="1"/>
      <w:numFmt w:val="lowerRoman"/>
      <w:lvlText w:val="%6."/>
      <w:lvlJc w:val="right"/>
      <w:pPr>
        <w:ind w:left="4122" w:hanging="180"/>
      </w:pPr>
    </w:lvl>
    <w:lvl w:ilvl="6" w:tplc="0409000F" w:tentative="1">
      <w:start w:val="1"/>
      <w:numFmt w:val="decimal"/>
      <w:lvlText w:val="%7."/>
      <w:lvlJc w:val="left"/>
      <w:pPr>
        <w:ind w:left="4842" w:hanging="360"/>
      </w:pPr>
    </w:lvl>
    <w:lvl w:ilvl="7" w:tplc="04090019" w:tentative="1">
      <w:start w:val="1"/>
      <w:numFmt w:val="lowerLetter"/>
      <w:lvlText w:val="%8."/>
      <w:lvlJc w:val="left"/>
      <w:pPr>
        <w:ind w:left="5562" w:hanging="360"/>
      </w:pPr>
    </w:lvl>
    <w:lvl w:ilvl="8" w:tplc="0409001B" w:tentative="1">
      <w:start w:val="1"/>
      <w:numFmt w:val="lowerRoman"/>
      <w:lvlText w:val="%9."/>
      <w:lvlJc w:val="right"/>
      <w:pPr>
        <w:ind w:left="6282" w:hanging="180"/>
      </w:pPr>
    </w:lvl>
  </w:abstractNum>
  <w:abstractNum w:abstractNumId="42" w15:restartNumberingAfterBreak="0">
    <w:nsid w:val="6ECE34D2"/>
    <w:multiLevelType w:val="hybridMultilevel"/>
    <w:tmpl w:val="9DB235E8"/>
    <w:styleLink w:val="Bullets"/>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F705A14"/>
    <w:multiLevelType w:val="hybridMultilevel"/>
    <w:tmpl w:val="A8041FAA"/>
    <w:lvl w:ilvl="0" w:tplc="16D8A51A">
      <w:start w:val="1"/>
      <w:numFmt w:val="bullet"/>
      <w:pStyle w:val="LB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D72920"/>
    <w:multiLevelType w:val="hybridMultilevel"/>
    <w:tmpl w:val="FBA4848A"/>
    <w:lvl w:ilvl="0" w:tplc="0C402D28">
      <w:start w:val="1"/>
      <w:numFmt w:val="bullet"/>
      <w:pStyle w:val="List-bullet"/>
      <w:lvlText w:val="•"/>
      <w:lvlJc w:val="left"/>
      <w:pPr>
        <w:tabs>
          <w:tab w:val="num" w:pos="1454"/>
        </w:tabs>
        <w:ind w:left="1454" w:hanging="360"/>
      </w:pPr>
      <w:rPr>
        <w:rFonts w:hint="default"/>
        <w:color w:val="auto"/>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E2770B7"/>
    <w:multiLevelType w:val="hybridMultilevel"/>
    <w:tmpl w:val="6602CF74"/>
    <w:lvl w:ilvl="0" w:tplc="BB9E3DB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9"/>
  </w:num>
  <w:num w:numId="3">
    <w:abstractNumId w:val="7"/>
  </w:num>
  <w:num w:numId="4">
    <w:abstractNumId w:val="43"/>
  </w:num>
  <w:num w:numId="5">
    <w:abstractNumId w:val="5"/>
  </w:num>
  <w:num w:numId="6">
    <w:abstractNumId w:val="26"/>
  </w:num>
  <w:num w:numId="7">
    <w:abstractNumId w:val="33"/>
  </w:num>
  <w:num w:numId="8">
    <w:abstractNumId w:val="8"/>
  </w:num>
  <w:num w:numId="9">
    <w:abstractNumId w:val="3"/>
  </w:num>
  <w:num w:numId="10">
    <w:abstractNumId w:val="41"/>
  </w:num>
  <w:num w:numId="11">
    <w:abstractNumId w:val="16"/>
  </w:num>
  <w:num w:numId="12">
    <w:abstractNumId w:val="14"/>
  </w:num>
  <w:num w:numId="13">
    <w:abstractNumId w:val="28"/>
  </w:num>
  <w:num w:numId="14">
    <w:abstractNumId w:val="25"/>
  </w:num>
  <w:num w:numId="15">
    <w:abstractNumId w:val="29"/>
  </w:num>
  <w:num w:numId="16">
    <w:abstractNumId w:val="40"/>
  </w:num>
  <w:num w:numId="17">
    <w:abstractNumId w:val="42"/>
  </w:num>
  <w:num w:numId="18">
    <w:abstractNumId w:val="9"/>
  </w:num>
  <w:num w:numId="19">
    <w:abstractNumId w:val="31"/>
  </w:num>
  <w:num w:numId="20">
    <w:abstractNumId w:val="24"/>
  </w:num>
  <w:num w:numId="21">
    <w:abstractNumId w:val="2"/>
  </w:num>
  <w:num w:numId="22">
    <w:abstractNumId w:val="44"/>
  </w:num>
  <w:num w:numId="23">
    <w:abstractNumId w:val="20"/>
  </w:num>
  <w:num w:numId="24">
    <w:abstractNumId w:val="15"/>
  </w:num>
  <w:num w:numId="25">
    <w:abstractNumId w:val="17"/>
  </w:num>
  <w:num w:numId="26">
    <w:abstractNumId w:val="1"/>
  </w:num>
  <w:num w:numId="27">
    <w:abstractNumId w:val="39"/>
  </w:num>
  <w:num w:numId="28">
    <w:abstractNumId w:val="27"/>
  </w:num>
  <w:num w:numId="29">
    <w:abstractNumId w:val="37"/>
  </w:num>
  <w:num w:numId="30">
    <w:abstractNumId w:val="45"/>
  </w:num>
  <w:num w:numId="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22"/>
  </w:num>
  <w:num w:numId="38">
    <w:abstractNumId w:val="26"/>
  </w:num>
  <w:num w:numId="39">
    <w:abstractNumId w:val="26"/>
  </w:num>
  <w:num w:numId="40">
    <w:abstractNumId w:val="35"/>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num>
  <w:num w:numId="47">
    <w:abstractNumId w:val="18"/>
  </w:num>
  <w:num w:numId="48">
    <w:abstractNumId w:val="18"/>
  </w:num>
  <w:num w:numId="49">
    <w:abstractNumId w:val="26"/>
  </w:num>
  <w:num w:numId="50">
    <w:abstractNumId w:val="32"/>
  </w:num>
  <w:num w:numId="51">
    <w:abstractNumId w:val="43"/>
  </w:num>
  <w:num w:numId="52">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0"/>
    <w:lvlOverride w:ilvl="0">
      <w:startOverride w:val="2"/>
    </w:lvlOverride>
    <w:lvlOverride w:ilvl="1">
      <w:startOverride w:val="2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9"/>
    <w:lvlOverride w:ilvl="0">
      <w:startOverride w:val="1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3"/>
  </w:num>
  <w:num w:numId="58">
    <w:abstractNumId w:val="12"/>
  </w:num>
  <w:num w:numId="59">
    <w:abstractNumId w:val="21"/>
  </w:num>
  <w:num w:numId="60">
    <w:abstractNumId w:val="13"/>
  </w:num>
  <w:num w:numId="61">
    <w:abstractNumId w:val="3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152"/>
    <w:rsid w:val="000004C6"/>
    <w:rsid w:val="00000714"/>
    <w:rsid w:val="00000897"/>
    <w:rsid w:val="00000945"/>
    <w:rsid w:val="00000D00"/>
    <w:rsid w:val="00000ED1"/>
    <w:rsid w:val="00001209"/>
    <w:rsid w:val="00001B3F"/>
    <w:rsid w:val="00002973"/>
    <w:rsid w:val="00003215"/>
    <w:rsid w:val="00003298"/>
    <w:rsid w:val="00003A39"/>
    <w:rsid w:val="00004379"/>
    <w:rsid w:val="000057F2"/>
    <w:rsid w:val="00005B9A"/>
    <w:rsid w:val="00006A6B"/>
    <w:rsid w:val="00006ED6"/>
    <w:rsid w:val="00007760"/>
    <w:rsid w:val="00007ABB"/>
    <w:rsid w:val="00010435"/>
    <w:rsid w:val="00010F40"/>
    <w:rsid w:val="00012881"/>
    <w:rsid w:val="00013198"/>
    <w:rsid w:val="00013333"/>
    <w:rsid w:val="000140DA"/>
    <w:rsid w:val="00015C45"/>
    <w:rsid w:val="00016531"/>
    <w:rsid w:val="00016541"/>
    <w:rsid w:val="00022954"/>
    <w:rsid w:val="000231BB"/>
    <w:rsid w:val="00023894"/>
    <w:rsid w:val="00023990"/>
    <w:rsid w:val="00024F97"/>
    <w:rsid w:val="00025801"/>
    <w:rsid w:val="000260B6"/>
    <w:rsid w:val="000262F8"/>
    <w:rsid w:val="00026BFB"/>
    <w:rsid w:val="000275EA"/>
    <w:rsid w:val="000278D8"/>
    <w:rsid w:val="00027E45"/>
    <w:rsid w:val="00030542"/>
    <w:rsid w:val="00030821"/>
    <w:rsid w:val="00031367"/>
    <w:rsid w:val="00031C2E"/>
    <w:rsid w:val="00031CC9"/>
    <w:rsid w:val="000327D9"/>
    <w:rsid w:val="0003370B"/>
    <w:rsid w:val="00033755"/>
    <w:rsid w:val="00033B2E"/>
    <w:rsid w:val="000342CA"/>
    <w:rsid w:val="00034C5F"/>
    <w:rsid w:val="00034D06"/>
    <w:rsid w:val="00034FE0"/>
    <w:rsid w:val="00035299"/>
    <w:rsid w:val="0003586E"/>
    <w:rsid w:val="00036BF8"/>
    <w:rsid w:val="00036EBB"/>
    <w:rsid w:val="000370BA"/>
    <w:rsid w:val="000374E5"/>
    <w:rsid w:val="00037EA1"/>
    <w:rsid w:val="00040D3A"/>
    <w:rsid w:val="0004139C"/>
    <w:rsid w:val="00041A1F"/>
    <w:rsid w:val="000420F9"/>
    <w:rsid w:val="000421B5"/>
    <w:rsid w:val="00042599"/>
    <w:rsid w:val="00042C4E"/>
    <w:rsid w:val="000435BE"/>
    <w:rsid w:val="00043BF8"/>
    <w:rsid w:val="00044022"/>
    <w:rsid w:val="0004406F"/>
    <w:rsid w:val="00044C40"/>
    <w:rsid w:val="00045345"/>
    <w:rsid w:val="000459F8"/>
    <w:rsid w:val="00046F87"/>
    <w:rsid w:val="00047C27"/>
    <w:rsid w:val="00050322"/>
    <w:rsid w:val="000506BB"/>
    <w:rsid w:val="000513B2"/>
    <w:rsid w:val="000522D8"/>
    <w:rsid w:val="00053527"/>
    <w:rsid w:val="00053752"/>
    <w:rsid w:val="00053948"/>
    <w:rsid w:val="0005397C"/>
    <w:rsid w:val="00054338"/>
    <w:rsid w:val="000545F1"/>
    <w:rsid w:val="0005462D"/>
    <w:rsid w:val="000549FC"/>
    <w:rsid w:val="00054DBA"/>
    <w:rsid w:val="00055AD7"/>
    <w:rsid w:val="000560B4"/>
    <w:rsid w:val="000564DD"/>
    <w:rsid w:val="0005746B"/>
    <w:rsid w:val="0005775C"/>
    <w:rsid w:val="00057A0C"/>
    <w:rsid w:val="00057A6B"/>
    <w:rsid w:val="00060282"/>
    <w:rsid w:val="000610BC"/>
    <w:rsid w:val="00061AEF"/>
    <w:rsid w:val="00062277"/>
    <w:rsid w:val="00063CEE"/>
    <w:rsid w:val="00066210"/>
    <w:rsid w:val="000678C1"/>
    <w:rsid w:val="00067C29"/>
    <w:rsid w:val="00067E72"/>
    <w:rsid w:val="00072FF9"/>
    <w:rsid w:val="000741CA"/>
    <w:rsid w:val="000756DC"/>
    <w:rsid w:val="0007600E"/>
    <w:rsid w:val="000770E6"/>
    <w:rsid w:val="00077717"/>
    <w:rsid w:val="000810D1"/>
    <w:rsid w:val="00081981"/>
    <w:rsid w:val="00081E66"/>
    <w:rsid w:val="00082768"/>
    <w:rsid w:val="000832F1"/>
    <w:rsid w:val="0008369F"/>
    <w:rsid w:val="0008391C"/>
    <w:rsid w:val="00083AC3"/>
    <w:rsid w:val="00084F76"/>
    <w:rsid w:val="000851E0"/>
    <w:rsid w:val="00085EB3"/>
    <w:rsid w:val="00086969"/>
    <w:rsid w:val="000900FB"/>
    <w:rsid w:val="00090F8B"/>
    <w:rsid w:val="00091E06"/>
    <w:rsid w:val="0009257E"/>
    <w:rsid w:val="00092D65"/>
    <w:rsid w:val="0009323B"/>
    <w:rsid w:val="000935D5"/>
    <w:rsid w:val="00093D71"/>
    <w:rsid w:val="000949DA"/>
    <w:rsid w:val="0009523B"/>
    <w:rsid w:val="00096497"/>
    <w:rsid w:val="00096B9D"/>
    <w:rsid w:val="00096E87"/>
    <w:rsid w:val="00097360"/>
    <w:rsid w:val="000973E4"/>
    <w:rsid w:val="00097662"/>
    <w:rsid w:val="000A0DC0"/>
    <w:rsid w:val="000A1E31"/>
    <w:rsid w:val="000A25D4"/>
    <w:rsid w:val="000A273F"/>
    <w:rsid w:val="000A2FB1"/>
    <w:rsid w:val="000A334C"/>
    <w:rsid w:val="000A5351"/>
    <w:rsid w:val="000A5F4F"/>
    <w:rsid w:val="000A61F4"/>
    <w:rsid w:val="000A6B63"/>
    <w:rsid w:val="000A6B86"/>
    <w:rsid w:val="000B07FD"/>
    <w:rsid w:val="000B14D1"/>
    <w:rsid w:val="000B21D6"/>
    <w:rsid w:val="000B2DF8"/>
    <w:rsid w:val="000B3A62"/>
    <w:rsid w:val="000B51CE"/>
    <w:rsid w:val="000B652C"/>
    <w:rsid w:val="000B720D"/>
    <w:rsid w:val="000B7668"/>
    <w:rsid w:val="000B76AB"/>
    <w:rsid w:val="000B7C73"/>
    <w:rsid w:val="000C010A"/>
    <w:rsid w:val="000C07C8"/>
    <w:rsid w:val="000C0B70"/>
    <w:rsid w:val="000C17EF"/>
    <w:rsid w:val="000C2511"/>
    <w:rsid w:val="000C3630"/>
    <w:rsid w:val="000C44CF"/>
    <w:rsid w:val="000C4520"/>
    <w:rsid w:val="000C62E8"/>
    <w:rsid w:val="000C63C3"/>
    <w:rsid w:val="000C685A"/>
    <w:rsid w:val="000C68A4"/>
    <w:rsid w:val="000C6D75"/>
    <w:rsid w:val="000C7747"/>
    <w:rsid w:val="000C7B2B"/>
    <w:rsid w:val="000C7FB2"/>
    <w:rsid w:val="000D01E1"/>
    <w:rsid w:val="000D02E5"/>
    <w:rsid w:val="000D0D24"/>
    <w:rsid w:val="000D1618"/>
    <w:rsid w:val="000D3F37"/>
    <w:rsid w:val="000D3FE4"/>
    <w:rsid w:val="000D44B1"/>
    <w:rsid w:val="000D5F96"/>
    <w:rsid w:val="000D64A5"/>
    <w:rsid w:val="000D7940"/>
    <w:rsid w:val="000D7BC5"/>
    <w:rsid w:val="000E064F"/>
    <w:rsid w:val="000E108B"/>
    <w:rsid w:val="000E1317"/>
    <w:rsid w:val="000E1B68"/>
    <w:rsid w:val="000E1B7D"/>
    <w:rsid w:val="000E1EEB"/>
    <w:rsid w:val="000E242E"/>
    <w:rsid w:val="000E2C6C"/>
    <w:rsid w:val="000E34D6"/>
    <w:rsid w:val="000E3CE3"/>
    <w:rsid w:val="000E5A77"/>
    <w:rsid w:val="000E5B81"/>
    <w:rsid w:val="000E62AF"/>
    <w:rsid w:val="000E77A6"/>
    <w:rsid w:val="000E78A5"/>
    <w:rsid w:val="000E79E5"/>
    <w:rsid w:val="000E7FE4"/>
    <w:rsid w:val="000F0154"/>
    <w:rsid w:val="000F0394"/>
    <w:rsid w:val="000F0705"/>
    <w:rsid w:val="000F1277"/>
    <w:rsid w:val="000F1349"/>
    <w:rsid w:val="000F1923"/>
    <w:rsid w:val="000F2950"/>
    <w:rsid w:val="000F36C6"/>
    <w:rsid w:val="000F4818"/>
    <w:rsid w:val="000F4C2B"/>
    <w:rsid w:val="000F633B"/>
    <w:rsid w:val="000F7251"/>
    <w:rsid w:val="000F7412"/>
    <w:rsid w:val="000F7A67"/>
    <w:rsid w:val="00100941"/>
    <w:rsid w:val="001016EE"/>
    <w:rsid w:val="00102024"/>
    <w:rsid w:val="001024D6"/>
    <w:rsid w:val="00102666"/>
    <w:rsid w:val="00103CFB"/>
    <w:rsid w:val="00105AFA"/>
    <w:rsid w:val="00105DC0"/>
    <w:rsid w:val="00105F35"/>
    <w:rsid w:val="001063F8"/>
    <w:rsid w:val="00106E39"/>
    <w:rsid w:val="00111015"/>
    <w:rsid w:val="00111B71"/>
    <w:rsid w:val="00111D27"/>
    <w:rsid w:val="00114C72"/>
    <w:rsid w:val="001158C6"/>
    <w:rsid w:val="001158EC"/>
    <w:rsid w:val="00115A51"/>
    <w:rsid w:val="00115D8C"/>
    <w:rsid w:val="00116640"/>
    <w:rsid w:val="00117201"/>
    <w:rsid w:val="00117DF7"/>
    <w:rsid w:val="0012049B"/>
    <w:rsid w:val="00120632"/>
    <w:rsid w:val="00121B3C"/>
    <w:rsid w:val="00122A91"/>
    <w:rsid w:val="001231EF"/>
    <w:rsid w:val="001236A6"/>
    <w:rsid w:val="00123C19"/>
    <w:rsid w:val="00123EBB"/>
    <w:rsid w:val="001241F6"/>
    <w:rsid w:val="001271BE"/>
    <w:rsid w:val="00130DDA"/>
    <w:rsid w:val="0013140B"/>
    <w:rsid w:val="00131511"/>
    <w:rsid w:val="00131B5D"/>
    <w:rsid w:val="00131C52"/>
    <w:rsid w:val="00132797"/>
    <w:rsid w:val="001328A9"/>
    <w:rsid w:val="0013348B"/>
    <w:rsid w:val="00134CDD"/>
    <w:rsid w:val="00135009"/>
    <w:rsid w:val="0013562D"/>
    <w:rsid w:val="001360B6"/>
    <w:rsid w:val="00136AD4"/>
    <w:rsid w:val="00136C29"/>
    <w:rsid w:val="00140003"/>
    <w:rsid w:val="00140686"/>
    <w:rsid w:val="00140813"/>
    <w:rsid w:val="00140CA0"/>
    <w:rsid w:val="00141887"/>
    <w:rsid w:val="00141E7F"/>
    <w:rsid w:val="00141F26"/>
    <w:rsid w:val="00142A37"/>
    <w:rsid w:val="001430D5"/>
    <w:rsid w:val="00144432"/>
    <w:rsid w:val="00144F6D"/>
    <w:rsid w:val="00145524"/>
    <w:rsid w:val="00145865"/>
    <w:rsid w:val="00145AA4"/>
    <w:rsid w:val="00146653"/>
    <w:rsid w:val="001467B7"/>
    <w:rsid w:val="00146DEC"/>
    <w:rsid w:val="00147503"/>
    <w:rsid w:val="0014766D"/>
    <w:rsid w:val="0014786D"/>
    <w:rsid w:val="00147A9C"/>
    <w:rsid w:val="00147D54"/>
    <w:rsid w:val="001502BC"/>
    <w:rsid w:val="00150C74"/>
    <w:rsid w:val="00152B42"/>
    <w:rsid w:val="001530F6"/>
    <w:rsid w:val="001538BA"/>
    <w:rsid w:val="00153CA0"/>
    <w:rsid w:val="001563D0"/>
    <w:rsid w:val="001576C4"/>
    <w:rsid w:val="00157818"/>
    <w:rsid w:val="001605BC"/>
    <w:rsid w:val="00161BA3"/>
    <w:rsid w:val="001621FF"/>
    <w:rsid w:val="001625EE"/>
    <w:rsid w:val="001627CD"/>
    <w:rsid w:val="00162CE5"/>
    <w:rsid w:val="00163DAA"/>
    <w:rsid w:val="0016442F"/>
    <w:rsid w:val="001653C7"/>
    <w:rsid w:val="0016656E"/>
    <w:rsid w:val="0016749F"/>
    <w:rsid w:val="00170804"/>
    <w:rsid w:val="0017082A"/>
    <w:rsid w:val="00171265"/>
    <w:rsid w:val="00172CEC"/>
    <w:rsid w:val="00173650"/>
    <w:rsid w:val="00173751"/>
    <w:rsid w:val="00173A86"/>
    <w:rsid w:val="0017413A"/>
    <w:rsid w:val="001758DD"/>
    <w:rsid w:val="00176575"/>
    <w:rsid w:val="001768E5"/>
    <w:rsid w:val="0017696C"/>
    <w:rsid w:val="001778A0"/>
    <w:rsid w:val="00177DA9"/>
    <w:rsid w:val="00180319"/>
    <w:rsid w:val="00180620"/>
    <w:rsid w:val="001808C2"/>
    <w:rsid w:val="00180A26"/>
    <w:rsid w:val="00180E9B"/>
    <w:rsid w:val="00181D13"/>
    <w:rsid w:val="001821CA"/>
    <w:rsid w:val="00182FD6"/>
    <w:rsid w:val="0018340F"/>
    <w:rsid w:val="00183AB8"/>
    <w:rsid w:val="00183B06"/>
    <w:rsid w:val="0018438D"/>
    <w:rsid w:val="001846DC"/>
    <w:rsid w:val="00185D57"/>
    <w:rsid w:val="001867BC"/>
    <w:rsid w:val="00186BBA"/>
    <w:rsid w:val="001870A5"/>
    <w:rsid w:val="00187704"/>
    <w:rsid w:val="00187B20"/>
    <w:rsid w:val="00187C7C"/>
    <w:rsid w:val="001902D9"/>
    <w:rsid w:val="001911EA"/>
    <w:rsid w:val="0019144F"/>
    <w:rsid w:val="0019168F"/>
    <w:rsid w:val="00191D32"/>
    <w:rsid w:val="00191D67"/>
    <w:rsid w:val="00191DC8"/>
    <w:rsid w:val="00191EF5"/>
    <w:rsid w:val="001920D6"/>
    <w:rsid w:val="0019395B"/>
    <w:rsid w:val="00194DC7"/>
    <w:rsid w:val="00194F03"/>
    <w:rsid w:val="001950BE"/>
    <w:rsid w:val="0019522E"/>
    <w:rsid w:val="001954C6"/>
    <w:rsid w:val="00195508"/>
    <w:rsid w:val="00195738"/>
    <w:rsid w:val="00195B3A"/>
    <w:rsid w:val="00196ACD"/>
    <w:rsid w:val="00196B7D"/>
    <w:rsid w:val="00197019"/>
    <w:rsid w:val="001A016B"/>
    <w:rsid w:val="001A0DB2"/>
    <w:rsid w:val="001A0DEC"/>
    <w:rsid w:val="001A104B"/>
    <w:rsid w:val="001A16E4"/>
    <w:rsid w:val="001A193D"/>
    <w:rsid w:val="001A2F01"/>
    <w:rsid w:val="001A395A"/>
    <w:rsid w:val="001A3F00"/>
    <w:rsid w:val="001A42F1"/>
    <w:rsid w:val="001A4872"/>
    <w:rsid w:val="001A5BC6"/>
    <w:rsid w:val="001A69E9"/>
    <w:rsid w:val="001A73AF"/>
    <w:rsid w:val="001B0082"/>
    <w:rsid w:val="001B153D"/>
    <w:rsid w:val="001B189B"/>
    <w:rsid w:val="001B20D3"/>
    <w:rsid w:val="001B33F4"/>
    <w:rsid w:val="001B38E0"/>
    <w:rsid w:val="001B3B36"/>
    <w:rsid w:val="001B3B87"/>
    <w:rsid w:val="001B4348"/>
    <w:rsid w:val="001B455F"/>
    <w:rsid w:val="001B49C0"/>
    <w:rsid w:val="001B4A2F"/>
    <w:rsid w:val="001B521A"/>
    <w:rsid w:val="001B5823"/>
    <w:rsid w:val="001B5AE3"/>
    <w:rsid w:val="001B5E0B"/>
    <w:rsid w:val="001B6709"/>
    <w:rsid w:val="001B6ECB"/>
    <w:rsid w:val="001C08B9"/>
    <w:rsid w:val="001C0A4D"/>
    <w:rsid w:val="001C0E77"/>
    <w:rsid w:val="001C19B9"/>
    <w:rsid w:val="001C1F43"/>
    <w:rsid w:val="001C3783"/>
    <w:rsid w:val="001C3AA1"/>
    <w:rsid w:val="001C4AC6"/>
    <w:rsid w:val="001C4C2D"/>
    <w:rsid w:val="001C5142"/>
    <w:rsid w:val="001C55AC"/>
    <w:rsid w:val="001C55FF"/>
    <w:rsid w:val="001C5822"/>
    <w:rsid w:val="001C62CB"/>
    <w:rsid w:val="001C76CB"/>
    <w:rsid w:val="001C77E6"/>
    <w:rsid w:val="001C79FC"/>
    <w:rsid w:val="001D04A7"/>
    <w:rsid w:val="001D15B7"/>
    <w:rsid w:val="001D2EB1"/>
    <w:rsid w:val="001D2F51"/>
    <w:rsid w:val="001D317A"/>
    <w:rsid w:val="001D3B11"/>
    <w:rsid w:val="001D3BF9"/>
    <w:rsid w:val="001D47D9"/>
    <w:rsid w:val="001D48DB"/>
    <w:rsid w:val="001D4B41"/>
    <w:rsid w:val="001D4F42"/>
    <w:rsid w:val="001D56A1"/>
    <w:rsid w:val="001D6281"/>
    <w:rsid w:val="001D6302"/>
    <w:rsid w:val="001D6CEB"/>
    <w:rsid w:val="001D71F8"/>
    <w:rsid w:val="001D7288"/>
    <w:rsid w:val="001E000F"/>
    <w:rsid w:val="001E02C5"/>
    <w:rsid w:val="001E0CD1"/>
    <w:rsid w:val="001E142F"/>
    <w:rsid w:val="001E2FED"/>
    <w:rsid w:val="001E3200"/>
    <w:rsid w:val="001E3573"/>
    <w:rsid w:val="001E37A9"/>
    <w:rsid w:val="001E5848"/>
    <w:rsid w:val="001E5C55"/>
    <w:rsid w:val="001E6351"/>
    <w:rsid w:val="001E6A0C"/>
    <w:rsid w:val="001E6FDE"/>
    <w:rsid w:val="001E73FB"/>
    <w:rsid w:val="001E74DF"/>
    <w:rsid w:val="001E7541"/>
    <w:rsid w:val="001E784C"/>
    <w:rsid w:val="001F01DD"/>
    <w:rsid w:val="001F0272"/>
    <w:rsid w:val="001F0D31"/>
    <w:rsid w:val="001F168D"/>
    <w:rsid w:val="001F228A"/>
    <w:rsid w:val="001F29C1"/>
    <w:rsid w:val="001F2DA9"/>
    <w:rsid w:val="001F3BAC"/>
    <w:rsid w:val="001F3C2A"/>
    <w:rsid w:val="001F3D31"/>
    <w:rsid w:val="001F4E9B"/>
    <w:rsid w:val="001F521B"/>
    <w:rsid w:val="001F5E7E"/>
    <w:rsid w:val="001F63A1"/>
    <w:rsid w:val="001F66F9"/>
    <w:rsid w:val="001F6D86"/>
    <w:rsid w:val="001F6DC9"/>
    <w:rsid w:val="001F6F75"/>
    <w:rsid w:val="001F72DC"/>
    <w:rsid w:val="001F7770"/>
    <w:rsid w:val="001F7C10"/>
    <w:rsid w:val="00200706"/>
    <w:rsid w:val="002018F4"/>
    <w:rsid w:val="00201980"/>
    <w:rsid w:val="002027B4"/>
    <w:rsid w:val="0020286C"/>
    <w:rsid w:val="002046B7"/>
    <w:rsid w:val="00204A7A"/>
    <w:rsid w:val="00204F5D"/>
    <w:rsid w:val="00205192"/>
    <w:rsid w:val="002055D6"/>
    <w:rsid w:val="00207347"/>
    <w:rsid w:val="00210032"/>
    <w:rsid w:val="00210B0C"/>
    <w:rsid w:val="00211554"/>
    <w:rsid w:val="002116FE"/>
    <w:rsid w:val="00212417"/>
    <w:rsid w:val="0021264F"/>
    <w:rsid w:val="0021287A"/>
    <w:rsid w:val="00213495"/>
    <w:rsid w:val="00213BB1"/>
    <w:rsid w:val="0021479B"/>
    <w:rsid w:val="00214DAA"/>
    <w:rsid w:val="00214F9C"/>
    <w:rsid w:val="0021540C"/>
    <w:rsid w:val="00215476"/>
    <w:rsid w:val="0021572C"/>
    <w:rsid w:val="002167C7"/>
    <w:rsid w:val="00216E2A"/>
    <w:rsid w:val="002178B4"/>
    <w:rsid w:val="002200C3"/>
    <w:rsid w:val="0022025E"/>
    <w:rsid w:val="002205E7"/>
    <w:rsid w:val="00220A23"/>
    <w:rsid w:val="00220DF2"/>
    <w:rsid w:val="00221846"/>
    <w:rsid w:val="002224F0"/>
    <w:rsid w:val="0022332D"/>
    <w:rsid w:val="00223D7A"/>
    <w:rsid w:val="00224E88"/>
    <w:rsid w:val="002254C7"/>
    <w:rsid w:val="002255F1"/>
    <w:rsid w:val="002257E2"/>
    <w:rsid w:val="00225E37"/>
    <w:rsid w:val="00226076"/>
    <w:rsid w:val="002261E3"/>
    <w:rsid w:val="00226EBE"/>
    <w:rsid w:val="00226FAA"/>
    <w:rsid w:val="00227594"/>
    <w:rsid w:val="00227DAB"/>
    <w:rsid w:val="0023032C"/>
    <w:rsid w:val="002303BA"/>
    <w:rsid w:val="00230AB8"/>
    <w:rsid w:val="00230B5D"/>
    <w:rsid w:val="00231704"/>
    <w:rsid w:val="00232A5C"/>
    <w:rsid w:val="00232BE6"/>
    <w:rsid w:val="0023300C"/>
    <w:rsid w:val="0023311B"/>
    <w:rsid w:val="00233302"/>
    <w:rsid w:val="0023354C"/>
    <w:rsid w:val="00233A26"/>
    <w:rsid w:val="00233D13"/>
    <w:rsid w:val="0023451D"/>
    <w:rsid w:val="00234E03"/>
    <w:rsid w:val="00235033"/>
    <w:rsid w:val="00236164"/>
    <w:rsid w:val="00236207"/>
    <w:rsid w:val="00236FAA"/>
    <w:rsid w:val="0023719A"/>
    <w:rsid w:val="00240257"/>
    <w:rsid w:val="00240382"/>
    <w:rsid w:val="00240971"/>
    <w:rsid w:val="00242637"/>
    <w:rsid w:val="00242950"/>
    <w:rsid w:val="00244766"/>
    <w:rsid w:val="00244790"/>
    <w:rsid w:val="00244813"/>
    <w:rsid w:val="00244E97"/>
    <w:rsid w:val="00245314"/>
    <w:rsid w:val="0024697B"/>
    <w:rsid w:val="0024707E"/>
    <w:rsid w:val="00247864"/>
    <w:rsid w:val="002505E2"/>
    <w:rsid w:val="002506A6"/>
    <w:rsid w:val="00250DCA"/>
    <w:rsid w:val="00250DDA"/>
    <w:rsid w:val="002510B7"/>
    <w:rsid w:val="0025231B"/>
    <w:rsid w:val="00253C43"/>
    <w:rsid w:val="00253E01"/>
    <w:rsid w:val="00254781"/>
    <w:rsid w:val="00254876"/>
    <w:rsid w:val="002550D4"/>
    <w:rsid w:val="00255BBE"/>
    <w:rsid w:val="00256223"/>
    <w:rsid w:val="00257A14"/>
    <w:rsid w:val="0026120B"/>
    <w:rsid w:val="002637CB"/>
    <w:rsid w:val="00263AE6"/>
    <w:rsid w:val="00263CEA"/>
    <w:rsid w:val="00263F85"/>
    <w:rsid w:val="0026480F"/>
    <w:rsid w:val="00264F60"/>
    <w:rsid w:val="0026580C"/>
    <w:rsid w:val="00265A40"/>
    <w:rsid w:val="00266100"/>
    <w:rsid w:val="0026628D"/>
    <w:rsid w:val="00267236"/>
    <w:rsid w:val="00267BAC"/>
    <w:rsid w:val="00267E12"/>
    <w:rsid w:val="00267EF9"/>
    <w:rsid w:val="00270CCC"/>
    <w:rsid w:val="00271151"/>
    <w:rsid w:val="002713A3"/>
    <w:rsid w:val="00272226"/>
    <w:rsid w:val="00272A05"/>
    <w:rsid w:val="00272E48"/>
    <w:rsid w:val="0027425E"/>
    <w:rsid w:val="002742F4"/>
    <w:rsid w:val="00275049"/>
    <w:rsid w:val="002765FB"/>
    <w:rsid w:val="00277E2A"/>
    <w:rsid w:val="002805B0"/>
    <w:rsid w:val="002813B3"/>
    <w:rsid w:val="0028161D"/>
    <w:rsid w:val="00281B60"/>
    <w:rsid w:val="00282417"/>
    <w:rsid w:val="0028258E"/>
    <w:rsid w:val="002838CF"/>
    <w:rsid w:val="002843B4"/>
    <w:rsid w:val="00284827"/>
    <w:rsid w:val="00285367"/>
    <w:rsid w:val="00286115"/>
    <w:rsid w:val="0028672F"/>
    <w:rsid w:val="002867A0"/>
    <w:rsid w:val="0028699D"/>
    <w:rsid w:val="00286E88"/>
    <w:rsid w:val="002908AE"/>
    <w:rsid w:val="00290954"/>
    <w:rsid w:val="002913EB"/>
    <w:rsid w:val="002930EE"/>
    <w:rsid w:val="00293A8E"/>
    <w:rsid w:val="00293F26"/>
    <w:rsid w:val="00294483"/>
    <w:rsid w:val="002949D6"/>
    <w:rsid w:val="00294D12"/>
    <w:rsid w:val="00294DC3"/>
    <w:rsid w:val="002955C1"/>
    <w:rsid w:val="002958FA"/>
    <w:rsid w:val="00295E13"/>
    <w:rsid w:val="00296001"/>
    <w:rsid w:val="002961F5"/>
    <w:rsid w:val="00297242"/>
    <w:rsid w:val="002975FF"/>
    <w:rsid w:val="00297629"/>
    <w:rsid w:val="00297E3C"/>
    <w:rsid w:val="002A0B84"/>
    <w:rsid w:val="002A0B8B"/>
    <w:rsid w:val="002A15AC"/>
    <w:rsid w:val="002A16E7"/>
    <w:rsid w:val="002A1892"/>
    <w:rsid w:val="002A1CF1"/>
    <w:rsid w:val="002A204A"/>
    <w:rsid w:val="002A29F6"/>
    <w:rsid w:val="002A2DCB"/>
    <w:rsid w:val="002A460F"/>
    <w:rsid w:val="002A5344"/>
    <w:rsid w:val="002A55B3"/>
    <w:rsid w:val="002A57F8"/>
    <w:rsid w:val="002A732C"/>
    <w:rsid w:val="002A79A1"/>
    <w:rsid w:val="002B0023"/>
    <w:rsid w:val="002B0AD4"/>
    <w:rsid w:val="002B0E85"/>
    <w:rsid w:val="002B1206"/>
    <w:rsid w:val="002B13D7"/>
    <w:rsid w:val="002B13F5"/>
    <w:rsid w:val="002B1CE9"/>
    <w:rsid w:val="002B24E6"/>
    <w:rsid w:val="002B3768"/>
    <w:rsid w:val="002B4610"/>
    <w:rsid w:val="002B4765"/>
    <w:rsid w:val="002B6AB0"/>
    <w:rsid w:val="002B6D44"/>
    <w:rsid w:val="002B6FF0"/>
    <w:rsid w:val="002B7A17"/>
    <w:rsid w:val="002C1828"/>
    <w:rsid w:val="002C3C2A"/>
    <w:rsid w:val="002C3EF5"/>
    <w:rsid w:val="002C58F2"/>
    <w:rsid w:val="002C59FD"/>
    <w:rsid w:val="002C6284"/>
    <w:rsid w:val="002C6386"/>
    <w:rsid w:val="002C6610"/>
    <w:rsid w:val="002C6E43"/>
    <w:rsid w:val="002C793C"/>
    <w:rsid w:val="002D0CA3"/>
    <w:rsid w:val="002D141E"/>
    <w:rsid w:val="002D158A"/>
    <w:rsid w:val="002D1A29"/>
    <w:rsid w:val="002D1DAA"/>
    <w:rsid w:val="002D225D"/>
    <w:rsid w:val="002D3152"/>
    <w:rsid w:val="002D3456"/>
    <w:rsid w:val="002D39B6"/>
    <w:rsid w:val="002D3F43"/>
    <w:rsid w:val="002D480C"/>
    <w:rsid w:val="002D499A"/>
    <w:rsid w:val="002D59F6"/>
    <w:rsid w:val="002D6C1B"/>
    <w:rsid w:val="002D7502"/>
    <w:rsid w:val="002D76D8"/>
    <w:rsid w:val="002D7D4E"/>
    <w:rsid w:val="002E03B9"/>
    <w:rsid w:val="002E0B23"/>
    <w:rsid w:val="002E175B"/>
    <w:rsid w:val="002E1A7F"/>
    <w:rsid w:val="002E298C"/>
    <w:rsid w:val="002E32BC"/>
    <w:rsid w:val="002E50D1"/>
    <w:rsid w:val="002E533C"/>
    <w:rsid w:val="002E534E"/>
    <w:rsid w:val="002E5376"/>
    <w:rsid w:val="002E59EE"/>
    <w:rsid w:val="002E5FD9"/>
    <w:rsid w:val="002E634E"/>
    <w:rsid w:val="002E6947"/>
    <w:rsid w:val="002E6CE1"/>
    <w:rsid w:val="002E6E84"/>
    <w:rsid w:val="002E714B"/>
    <w:rsid w:val="002F118F"/>
    <w:rsid w:val="002F1DD5"/>
    <w:rsid w:val="002F20B7"/>
    <w:rsid w:val="002F21CF"/>
    <w:rsid w:val="002F3722"/>
    <w:rsid w:val="002F3FF5"/>
    <w:rsid w:val="002F40E1"/>
    <w:rsid w:val="002F5EF1"/>
    <w:rsid w:val="002F601E"/>
    <w:rsid w:val="002F6ED1"/>
    <w:rsid w:val="002F72C6"/>
    <w:rsid w:val="002F7355"/>
    <w:rsid w:val="003002E1"/>
    <w:rsid w:val="00300358"/>
    <w:rsid w:val="00300E5E"/>
    <w:rsid w:val="00301503"/>
    <w:rsid w:val="00302234"/>
    <w:rsid w:val="0030265F"/>
    <w:rsid w:val="0030279E"/>
    <w:rsid w:val="0030293F"/>
    <w:rsid w:val="00303D13"/>
    <w:rsid w:val="003058F4"/>
    <w:rsid w:val="003109AC"/>
    <w:rsid w:val="00310B95"/>
    <w:rsid w:val="003116C1"/>
    <w:rsid w:val="00312605"/>
    <w:rsid w:val="0031281E"/>
    <w:rsid w:val="00312895"/>
    <w:rsid w:val="003139B2"/>
    <w:rsid w:val="00313A02"/>
    <w:rsid w:val="00314276"/>
    <w:rsid w:val="003142A3"/>
    <w:rsid w:val="003159A3"/>
    <w:rsid w:val="00316559"/>
    <w:rsid w:val="003166AE"/>
    <w:rsid w:val="00317609"/>
    <w:rsid w:val="003202E7"/>
    <w:rsid w:val="00320393"/>
    <w:rsid w:val="003210D0"/>
    <w:rsid w:val="00322712"/>
    <w:rsid w:val="00322F8F"/>
    <w:rsid w:val="00323E06"/>
    <w:rsid w:val="0032509A"/>
    <w:rsid w:val="00331061"/>
    <w:rsid w:val="003318D8"/>
    <w:rsid w:val="00331D63"/>
    <w:rsid w:val="00332461"/>
    <w:rsid w:val="00332EE1"/>
    <w:rsid w:val="00333284"/>
    <w:rsid w:val="00333F04"/>
    <w:rsid w:val="00334377"/>
    <w:rsid w:val="00334E81"/>
    <w:rsid w:val="00335647"/>
    <w:rsid w:val="00336C8C"/>
    <w:rsid w:val="00337459"/>
    <w:rsid w:val="0033782E"/>
    <w:rsid w:val="00337F00"/>
    <w:rsid w:val="00340081"/>
    <w:rsid w:val="0034033C"/>
    <w:rsid w:val="0034068B"/>
    <w:rsid w:val="00340825"/>
    <w:rsid w:val="00340D0F"/>
    <w:rsid w:val="00340D22"/>
    <w:rsid w:val="003410F2"/>
    <w:rsid w:val="00341428"/>
    <w:rsid w:val="003414CC"/>
    <w:rsid w:val="00341A7A"/>
    <w:rsid w:val="003430EA"/>
    <w:rsid w:val="003432AD"/>
    <w:rsid w:val="003439A7"/>
    <w:rsid w:val="0034535D"/>
    <w:rsid w:val="00345C97"/>
    <w:rsid w:val="00345D48"/>
    <w:rsid w:val="0034678E"/>
    <w:rsid w:val="0034765B"/>
    <w:rsid w:val="003479D8"/>
    <w:rsid w:val="003479F7"/>
    <w:rsid w:val="00347EFB"/>
    <w:rsid w:val="00351419"/>
    <w:rsid w:val="00351F04"/>
    <w:rsid w:val="003520DC"/>
    <w:rsid w:val="00352125"/>
    <w:rsid w:val="0035362D"/>
    <w:rsid w:val="00354CE6"/>
    <w:rsid w:val="00354F4E"/>
    <w:rsid w:val="003559AD"/>
    <w:rsid w:val="0035658E"/>
    <w:rsid w:val="00356942"/>
    <w:rsid w:val="00360496"/>
    <w:rsid w:val="00360B14"/>
    <w:rsid w:val="00360E77"/>
    <w:rsid w:val="003617D4"/>
    <w:rsid w:val="00361BD0"/>
    <w:rsid w:val="00361BF3"/>
    <w:rsid w:val="0036299E"/>
    <w:rsid w:val="00364D09"/>
    <w:rsid w:val="00365B2D"/>
    <w:rsid w:val="00366930"/>
    <w:rsid w:val="00367445"/>
    <w:rsid w:val="00367DB0"/>
    <w:rsid w:val="00370D6A"/>
    <w:rsid w:val="0037160E"/>
    <w:rsid w:val="003757AD"/>
    <w:rsid w:val="00375913"/>
    <w:rsid w:val="00376FCF"/>
    <w:rsid w:val="003779AF"/>
    <w:rsid w:val="003812DF"/>
    <w:rsid w:val="003813F6"/>
    <w:rsid w:val="00381661"/>
    <w:rsid w:val="0038195C"/>
    <w:rsid w:val="00381A2C"/>
    <w:rsid w:val="00381B86"/>
    <w:rsid w:val="0038249E"/>
    <w:rsid w:val="00382743"/>
    <w:rsid w:val="00383640"/>
    <w:rsid w:val="0038375D"/>
    <w:rsid w:val="003838FD"/>
    <w:rsid w:val="00383E9B"/>
    <w:rsid w:val="00383F73"/>
    <w:rsid w:val="00383FE4"/>
    <w:rsid w:val="00384721"/>
    <w:rsid w:val="0038474B"/>
    <w:rsid w:val="00384AA9"/>
    <w:rsid w:val="0038575D"/>
    <w:rsid w:val="00385930"/>
    <w:rsid w:val="00385980"/>
    <w:rsid w:val="00385A0B"/>
    <w:rsid w:val="003861CC"/>
    <w:rsid w:val="00386BEF"/>
    <w:rsid w:val="00387565"/>
    <w:rsid w:val="00390D65"/>
    <w:rsid w:val="00391C30"/>
    <w:rsid w:val="00391DFA"/>
    <w:rsid w:val="00392814"/>
    <w:rsid w:val="00392F29"/>
    <w:rsid w:val="0039481F"/>
    <w:rsid w:val="00395208"/>
    <w:rsid w:val="003952DD"/>
    <w:rsid w:val="00396A7D"/>
    <w:rsid w:val="00396EC4"/>
    <w:rsid w:val="003971BD"/>
    <w:rsid w:val="003979DB"/>
    <w:rsid w:val="003A0B4C"/>
    <w:rsid w:val="003A18D4"/>
    <w:rsid w:val="003A23F0"/>
    <w:rsid w:val="003A2AB4"/>
    <w:rsid w:val="003A3D60"/>
    <w:rsid w:val="003A46FB"/>
    <w:rsid w:val="003A47CC"/>
    <w:rsid w:val="003A603B"/>
    <w:rsid w:val="003A6104"/>
    <w:rsid w:val="003A6170"/>
    <w:rsid w:val="003A64FB"/>
    <w:rsid w:val="003A7E24"/>
    <w:rsid w:val="003B14BF"/>
    <w:rsid w:val="003B1690"/>
    <w:rsid w:val="003B1B93"/>
    <w:rsid w:val="003B20F8"/>
    <w:rsid w:val="003B2872"/>
    <w:rsid w:val="003B373B"/>
    <w:rsid w:val="003B41C6"/>
    <w:rsid w:val="003B4C23"/>
    <w:rsid w:val="003B58E7"/>
    <w:rsid w:val="003B5E66"/>
    <w:rsid w:val="003B7A80"/>
    <w:rsid w:val="003C0D4D"/>
    <w:rsid w:val="003C0E7A"/>
    <w:rsid w:val="003C1613"/>
    <w:rsid w:val="003C192E"/>
    <w:rsid w:val="003C1BA7"/>
    <w:rsid w:val="003C1C06"/>
    <w:rsid w:val="003C2342"/>
    <w:rsid w:val="003C3430"/>
    <w:rsid w:val="003C345A"/>
    <w:rsid w:val="003C3FC1"/>
    <w:rsid w:val="003C410A"/>
    <w:rsid w:val="003C4A11"/>
    <w:rsid w:val="003C545A"/>
    <w:rsid w:val="003C7C2D"/>
    <w:rsid w:val="003D00E4"/>
    <w:rsid w:val="003D0D91"/>
    <w:rsid w:val="003D20BF"/>
    <w:rsid w:val="003D29AE"/>
    <w:rsid w:val="003D2D23"/>
    <w:rsid w:val="003D35D0"/>
    <w:rsid w:val="003D3E18"/>
    <w:rsid w:val="003D433C"/>
    <w:rsid w:val="003D56FE"/>
    <w:rsid w:val="003D5CAB"/>
    <w:rsid w:val="003D5D91"/>
    <w:rsid w:val="003D6068"/>
    <w:rsid w:val="003D7979"/>
    <w:rsid w:val="003D7DEB"/>
    <w:rsid w:val="003E0A89"/>
    <w:rsid w:val="003E1BC5"/>
    <w:rsid w:val="003E1E69"/>
    <w:rsid w:val="003E296F"/>
    <w:rsid w:val="003E2CA4"/>
    <w:rsid w:val="003E474A"/>
    <w:rsid w:val="003E4CBE"/>
    <w:rsid w:val="003E5961"/>
    <w:rsid w:val="003E6231"/>
    <w:rsid w:val="003E67B3"/>
    <w:rsid w:val="003E6F39"/>
    <w:rsid w:val="003E7E90"/>
    <w:rsid w:val="003E7FC9"/>
    <w:rsid w:val="003F1072"/>
    <w:rsid w:val="003F23A9"/>
    <w:rsid w:val="003F2739"/>
    <w:rsid w:val="003F2CB5"/>
    <w:rsid w:val="003F3FD1"/>
    <w:rsid w:val="003F45A5"/>
    <w:rsid w:val="003F46B5"/>
    <w:rsid w:val="003F4E46"/>
    <w:rsid w:val="003F5200"/>
    <w:rsid w:val="003F5A44"/>
    <w:rsid w:val="003F5B11"/>
    <w:rsid w:val="003F5D71"/>
    <w:rsid w:val="003F6003"/>
    <w:rsid w:val="003F6381"/>
    <w:rsid w:val="003F7DD5"/>
    <w:rsid w:val="003F7E01"/>
    <w:rsid w:val="004013D7"/>
    <w:rsid w:val="004018EE"/>
    <w:rsid w:val="0040190F"/>
    <w:rsid w:val="00401B94"/>
    <w:rsid w:val="0040284A"/>
    <w:rsid w:val="00402ADE"/>
    <w:rsid w:val="004036A7"/>
    <w:rsid w:val="00403C81"/>
    <w:rsid w:val="00404531"/>
    <w:rsid w:val="004046DA"/>
    <w:rsid w:val="004047DD"/>
    <w:rsid w:val="00404BB2"/>
    <w:rsid w:val="004056CB"/>
    <w:rsid w:val="00405758"/>
    <w:rsid w:val="00405D82"/>
    <w:rsid w:val="0040672F"/>
    <w:rsid w:val="00406BF9"/>
    <w:rsid w:val="00406F27"/>
    <w:rsid w:val="00407158"/>
    <w:rsid w:val="00407BDF"/>
    <w:rsid w:val="00407D79"/>
    <w:rsid w:val="004100F5"/>
    <w:rsid w:val="004101A7"/>
    <w:rsid w:val="004128E8"/>
    <w:rsid w:val="00413776"/>
    <w:rsid w:val="004141DA"/>
    <w:rsid w:val="004142AE"/>
    <w:rsid w:val="004146E2"/>
    <w:rsid w:val="00414889"/>
    <w:rsid w:val="004148FC"/>
    <w:rsid w:val="00414BF3"/>
    <w:rsid w:val="00414DA3"/>
    <w:rsid w:val="0041507F"/>
    <w:rsid w:val="00415C44"/>
    <w:rsid w:val="004163EC"/>
    <w:rsid w:val="00416AAE"/>
    <w:rsid w:val="00416F5A"/>
    <w:rsid w:val="00417BB4"/>
    <w:rsid w:val="00417EE8"/>
    <w:rsid w:val="0042008E"/>
    <w:rsid w:val="0042030E"/>
    <w:rsid w:val="0042073A"/>
    <w:rsid w:val="0042165D"/>
    <w:rsid w:val="00421B26"/>
    <w:rsid w:val="00421E44"/>
    <w:rsid w:val="00421F99"/>
    <w:rsid w:val="00422227"/>
    <w:rsid w:val="00422593"/>
    <w:rsid w:val="00422A02"/>
    <w:rsid w:val="00422EE4"/>
    <w:rsid w:val="00423D92"/>
    <w:rsid w:val="00424569"/>
    <w:rsid w:val="00424A4E"/>
    <w:rsid w:val="00425056"/>
    <w:rsid w:val="004250BE"/>
    <w:rsid w:val="004251C5"/>
    <w:rsid w:val="00425709"/>
    <w:rsid w:val="00426702"/>
    <w:rsid w:val="00426797"/>
    <w:rsid w:val="00427C15"/>
    <w:rsid w:val="00427FFB"/>
    <w:rsid w:val="00431513"/>
    <w:rsid w:val="00432C4C"/>
    <w:rsid w:val="00433271"/>
    <w:rsid w:val="00433EA6"/>
    <w:rsid w:val="0043454D"/>
    <w:rsid w:val="004349AA"/>
    <w:rsid w:val="00434CAC"/>
    <w:rsid w:val="00434FEF"/>
    <w:rsid w:val="00435310"/>
    <w:rsid w:val="00435B51"/>
    <w:rsid w:val="00436A0D"/>
    <w:rsid w:val="00436A84"/>
    <w:rsid w:val="00436C78"/>
    <w:rsid w:val="00440487"/>
    <w:rsid w:val="004415E0"/>
    <w:rsid w:val="004422A5"/>
    <w:rsid w:val="004426A2"/>
    <w:rsid w:val="00443AE1"/>
    <w:rsid w:val="004440D2"/>
    <w:rsid w:val="004440D3"/>
    <w:rsid w:val="00444732"/>
    <w:rsid w:val="00444761"/>
    <w:rsid w:val="004455AC"/>
    <w:rsid w:val="00445821"/>
    <w:rsid w:val="00445CBA"/>
    <w:rsid w:val="00445E0E"/>
    <w:rsid w:val="00446620"/>
    <w:rsid w:val="00446C74"/>
    <w:rsid w:val="004479DF"/>
    <w:rsid w:val="00447EF1"/>
    <w:rsid w:val="00450217"/>
    <w:rsid w:val="0045192E"/>
    <w:rsid w:val="0045279D"/>
    <w:rsid w:val="0045320F"/>
    <w:rsid w:val="004545B2"/>
    <w:rsid w:val="00454804"/>
    <w:rsid w:val="00454C77"/>
    <w:rsid w:val="0045539A"/>
    <w:rsid w:val="004564AC"/>
    <w:rsid w:val="004567FA"/>
    <w:rsid w:val="00456B62"/>
    <w:rsid w:val="00457E0E"/>
    <w:rsid w:val="0046001E"/>
    <w:rsid w:val="0046045B"/>
    <w:rsid w:val="004637A8"/>
    <w:rsid w:val="00463EE2"/>
    <w:rsid w:val="0046472C"/>
    <w:rsid w:val="00464C5C"/>
    <w:rsid w:val="00464C67"/>
    <w:rsid w:val="004652DA"/>
    <w:rsid w:val="00465DE3"/>
    <w:rsid w:val="00466284"/>
    <w:rsid w:val="0046633B"/>
    <w:rsid w:val="0046655D"/>
    <w:rsid w:val="004674C3"/>
    <w:rsid w:val="0046768A"/>
    <w:rsid w:val="0047039D"/>
    <w:rsid w:val="004705D5"/>
    <w:rsid w:val="00470D72"/>
    <w:rsid w:val="00471430"/>
    <w:rsid w:val="00471CA0"/>
    <w:rsid w:val="00472F35"/>
    <w:rsid w:val="00472F3B"/>
    <w:rsid w:val="00473EA3"/>
    <w:rsid w:val="00474BF6"/>
    <w:rsid w:val="00474C43"/>
    <w:rsid w:val="0047599C"/>
    <w:rsid w:val="00476780"/>
    <w:rsid w:val="00477008"/>
    <w:rsid w:val="00477C9C"/>
    <w:rsid w:val="00480117"/>
    <w:rsid w:val="00480B1B"/>
    <w:rsid w:val="00482456"/>
    <w:rsid w:val="0048299E"/>
    <w:rsid w:val="004832F9"/>
    <w:rsid w:val="00483CDB"/>
    <w:rsid w:val="004858E8"/>
    <w:rsid w:val="00485A62"/>
    <w:rsid w:val="00485DBE"/>
    <w:rsid w:val="00486AF7"/>
    <w:rsid w:val="00486E7A"/>
    <w:rsid w:val="00487427"/>
    <w:rsid w:val="0049084B"/>
    <w:rsid w:val="0049162C"/>
    <w:rsid w:val="0049165D"/>
    <w:rsid w:val="0049276C"/>
    <w:rsid w:val="004946EC"/>
    <w:rsid w:val="004946FC"/>
    <w:rsid w:val="00495DB3"/>
    <w:rsid w:val="004963C0"/>
    <w:rsid w:val="004969E2"/>
    <w:rsid w:val="0049738C"/>
    <w:rsid w:val="00497784"/>
    <w:rsid w:val="00497C81"/>
    <w:rsid w:val="004A0BEA"/>
    <w:rsid w:val="004A1A5F"/>
    <w:rsid w:val="004A1B96"/>
    <w:rsid w:val="004A3571"/>
    <w:rsid w:val="004A5E8A"/>
    <w:rsid w:val="004A68B1"/>
    <w:rsid w:val="004B09A5"/>
    <w:rsid w:val="004B12A8"/>
    <w:rsid w:val="004B14BD"/>
    <w:rsid w:val="004B17DD"/>
    <w:rsid w:val="004B1938"/>
    <w:rsid w:val="004B2402"/>
    <w:rsid w:val="004B261D"/>
    <w:rsid w:val="004B39B8"/>
    <w:rsid w:val="004B4E82"/>
    <w:rsid w:val="004B53B7"/>
    <w:rsid w:val="004B5C0F"/>
    <w:rsid w:val="004B5C29"/>
    <w:rsid w:val="004B647D"/>
    <w:rsid w:val="004B78B5"/>
    <w:rsid w:val="004C02F1"/>
    <w:rsid w:val="004C09A9"/>
    <w:rsid w:val="004C1773"/>
    <w:rsid w:val="004C4963"/>
    <w:rsid w:val="004C4CB2"/>
    <w:rsid w:val="004C5059"/>
    <w:rsid w:val="004C5185"/>
    <w:rsid w:val="004C53A9"/>
    <w:rsid w:val="004C5600"/>
    <w:rsid w:val="004C5656"/>
    <w:rsid w:val="004C5A3A"/>
    <w:rsid w:val="004C731D"/>
    <w:rsid w:val="004C7EB6"/>
    <w:rsid w:val="004D0826"/>
    <w:rsid w:val="004D0BD2"/>
    <w:rsid w:val="004D10D7"/>
    <w:rsid w:val="004D1D4E"/>
    <w:rsid w:val="004D23AD"/>
    <w:rsid w:val="004D2E5F"/>
    <w:rsid w:val="004D3AB2"/>
    <w:rsid w:val="004D423D"/>
    <w:rsid w:val="004D444B"/>
    <w:rsid w:val="004D539B"/>
    <w:rsid w:val="004D5C54"/>
    <w:rsid w:val="004D5DF1"/>
    <w:rsid w:val="004D7034"/>
    <w:rsid w:val="004D77D2"/>
    <w:rsid w:val="004D7A93"/>
    <w:rsid w:val="004E06C1"/>
    <w:rsid w:val="004E0711"/>
    <w:rsid w:val="004E0E75"/>
    <w:rsid w:val="004E11F9"/>
    <w:rsid w:val="004E128C"/>
    <w:rsid w:val="004E22A3"/>
    <w:rsid w:val="004E316A"/>
    <w:rsid w:val="004E4D96"/>
    <w:rsid w:val="004E4E93"/>
    <w:rsid w:val="004E567A"/>
    <w:rsid w:val="004E6501"/>
    <w:rsid w:val="004E6886"/>
    <w:rsid w:val="004E6C4E"/>
    <w:rsid w:val="004F0133"/>
    <w:rsid w:val="004F0FEB"/>
    <w:rsid w:val="004F13EA"/>
    <w:rsid w:val="004F202B"/>
    <w:rsid w:val="004F20D8"/>
    <w:rsid w:val="004F2A76"/>
    <w:rsid w:val="004F32FF"/>
    <w:rsid w:val="004F3555"/>
    <w:rsid w:val="004F3FF9"/>
    <w:rsid w:val="004F4D3C"/>
    <w:rsid w:val="004F5188"/>
    <w:rsid w:val="004F555C"/>
    <w:rsid w:val="004F56AF"/>
    <w:rsid w:val="004F637A"/>
    <w:rsid w:val="004F6A5F"/>
    <w:rsid w:val="004F6BB4"/>
    <w:rsid w:val="004F6CC1"/>
    <w:rsid w:val="004F7DCA"/>
    <w:rsid w:val="00500691"/>
    <w:rsid w:val="0050118C"/>
    <w:rsid w:val="005034CE"/>
    <w:rsid w:val="005046A4"/>
    <w:rsid w:val="005054B1"/>
    <w:rsid w:val="0050560A"/>
    <w:rsid w:val="00505A22"/>
    <w:rsid w:val="00506559"/>
    <w:rsid w:val="00506AE3"/>
    <w:rsid w:val="00506D76"/>
    <w:rsid w:val="0051058E"/>
    <w:rsid w:val="00510D6B"/>
    <w:rsid w:val="00510D72"/>
    <w:rsid w:val="00511467"/>
    <w:rsid w:val="00511896"/>
    <w:rsid w:val="00511A0B"/>
    <w:rsid w:val="005121CE"/>
    <w:rsid w:val="005122B0"/>
    <w:rsid w:val="00514126"/>
    <w:rsid w:val="005145FA"/>
    <w:rsid w:val="00514AF3"/>
    <w:rsid w:val="0051618A"/>
    <w:rsid w:val="00516496"/>
    <w:rsid w:val="00517023"/>
    <w:rsid w:val="00517F63"/>
    <w:rsid w:val="005204B9"/>
    <w:rsid w:val="00521F67"/>
    <w:rsid w:val="0052321F"/>
    <w:rsid w:val="0052357B"/>
    <w:rsid w:val="005237CD"/>
    <w:rsid w:val="005257A0"/>
    <w:rsid w:val="00525A5D"/>
    <w:rsid w:val="0052714F"/>
    <w:rsid w:val="005303D2"/>
    <w:rsid w:val="005309BF"/>
    <w:rsid w:val="00530E4E"/>
    <w:rsid w:val="00532AE4"/>
    <w:rsid w:val="00532BE2"/>
    <w:rsid w:val="00532EEB"/>
    <w:rsid w:val="00532FD1"/>
    <w:rsid w:val="00533095"/>
    <w:rsid w:val="00533482"/>
    <w:rsid w:val="00533DFA"/>
    <w:rsid w:val="00533EE7"/>
    <w:rsid w:val="00534B01"/>
    <w:rsid w:val="00534B95"/>
    <w:rsid w:val="005353DC"/>
    <w:rsid w:val="00535A2E"/>
    <w:rsid w:val="00535C5F"/>
    <w:rsid w:val="00536ADA"/>
    <w:rsid w:val="00536DCC"/>
    <w:rsid w:val="00537B6E"/>
    <w:rsid w:val="0054131F"/>
    <w:rsid w:val="005416BC"/>
    <w:rsid w:val="00541855"/>
    <w:rsid w:val="00541FC9"/>
    <w:rsid w:val="00542139"/>
    <w:rsid w:val="005428BA"/>
    <w:rsid w:val="00542A39"/>
    <w:rsid w:val="00542C74"/>
    <w:rsid w:val="00542D9C"/>
    <w:rsid w:val="00543557"/>
    <w:rsid w:val="00544261"/>
    <w:rsid w:val="0054448D"/>
    <w:rsid w:val="005468DB"/>
    <w:rsid w:val="00546F5A"/>
    <w:rsid w:val="00550480"/>
    <w:rsid w:val="005507FE"/>
    <w:rsid w:val="00551089"/>
    <w:rsid w:val="005510FF"/>
    <w:rsid w:val="00551435"/>
    <w:rsid w:val="00551DED"/>
    <w:rsid w:val="00551ED0"/>
    <w:rsid w:val="00552C7E"/>
    <w:rsid w:val="00552E66"/>
    <w:rsid w:val="00553A63"/>
    <w:rsid w:val="00553E49"/>
    <w:rsid w:val="00554626"/>
    <w:rsid w:val="00554F82"/>
    <w:rsid w:val="005550F2"/>
    <w:rsid w:val="00555480"/>
    <w:rsid w:val="005559E9"/>
    <w:rsid w:val="00555CD5"/>
    <w:rsid w:val="00555D4F"/>
    <w:rsid w:val="005568BE"/>
    <w:rsid w:val="00557086"/>
    <w:rsid w:val="00557863"/>
    <w:rsid w:val="00557CF2"/>
    <w:rsid w:val="00557FF3"/>
    <w:rsid w:val="00560778"/>
    <w:rsid w:val="005607E4"/>
    <w:rsid w:val="0056080F"/>
    <w:rsid w:val="00560C80"/>
    <w:rsid w:val="00561295"/>
    <w:rsid w:val="0056164D"/>
    <w:rsid w:val="00561C36"/>
    <w:rsid w:val="005623B6"/>
    <w:rsid w:val="00562945"/>
    <w:rsid w:val="00564B50"/>
    <w:rsid w:val="00565353"/>
    <w:rsid w:val="005662A0"/>
    <w:rsid w:val="00566451"/>
    <w:rsid w:val="00566A8B"/>
    <w:rsid w:val="00566F78"/>
    <w:rsid w:val="005670B6"/>
    <w:rsid w:val="00567A25"/>
    <w:rsid w:val="00570668"/>
    <w:rsid w:val="0057093D"/>
    <w:rsid w:val="00570F4E"/>
    <w:rsid w:val="00571CCF"/>
    <w:rsid w:val="00572C93"/>
    <w:rsid w:val="00573066"/>
    <w:rsid w:val="00573990"/>
    <w:rsid w:val="00574C57"/>
    <w:rsid w:val="00574FB3"/>
    <w:rsid w:val="005750AF"/>
    <w:rsid w:val="0057516C"/>
    <w:rsid w:val="0057611A"/>
    <w:rsid w:val="00576325"/>
    <w:rsid w:val="0057692D"/>
    <w:rsid w:val="0057737F"/>
    <w:rsid w:val="00577A3D"/>
    <w:rsid w:val="00577DB2"/>
    <w:rsid w:val="00580225"/>
    <w:rsid w:val="00580279"/>
    <w:rsid w:val="00580A1C"/>
    <w:rsid w:val="00582143"/>
    <w:rsid w:val="0058379D"/>
    <w:rsid w:val="0058535F"/>
    <w:rsid w:val="005857DA"/>
    <w:rsid w:val="00585988"/>
    <w:rsid w:val="005860D6"/>
    <w:rsid w:val="00586D21"/>
    <w:rsid w:val="005879B1"/>
    <w:rsid w:val="00591228"/>
    <w:rsid w:val="00591A65"/>
    <w:rsid w:val="00591C16"/>
    <w:rsid w:val="00593BB3"/>
    <w:rsid w:val="00594568"/>
    <w:rsid w:val="0059456D"/>
    <w:rsid w:val="00595B74"/>
    <w:rsid w:val="00595C09"/>
    <w:rsid w:val="005970BB"/>
    <w:rsid w:val="0059721B"/>
    <w:rsid w:val="00597F64"/>
    <w:rsid w:val="005A05B6"/>
    <w:rsid w:val="005A0745"/>
    <w:rsid w:val="005A0A88"/>
    <w:rsid w:val="005A0D40"/>
    <w:rsid w:val="005A2316"/>
    <w:rsid w:val="005A2809"/>
    <w:rsid w:val="005A37FD"/>
    <w:rsid w:val="005A3FC7"/>
    <w:rsid w:val="005A4084"/>
    <w:rsid w:val="005A4EE4"/>
    <w:rsid w:val="005A5753"/>
    <w:rsid w:val="005A6A7A"/>
    <w:rsid w:val="005A6C01"/>
    <w:rsid w:val="005A6CE6"/>
    <w:rsid w:val="005A6FED"/>
    <w:rsid w:val="005A77F2"/>
    <w:rsid w:val="005A78DC"/>
    <w:rsid w:val="005A7ECD"/>
    <w:rsid w:val="005B0087"/>
    <w:rsid w:val="005B0CF6"/>
    <w:rsid w:val="005B105C"/>
    <w:rsid w:val="005B122F"/>
    <w:rsid w:val="005B2100"/>
    <w:rsid w:val="005B226A"/>
    <w:rsid w:val="005B2B5B"/>
    <w:rsid w:val="005B316D"/>
    <w:rsid w:val="005B463C"/>
    <w:rsid w:val="005B4CD7"/>
    <w:rsid w:val="005B56FD"/>
    <w:rsid w:val="005B6182"/>
    <w:rsid w:val="005B6896"/>
    <w:rsid w:val="005B78A3"/>
    <w:rsid w:val="005C0180"/>
    <w:rsid w:val="005C06A1"/>
    <w:rsid w:val="005C1659"/>
    <w:rsid w:val="005C228E"/>
    <w:rsid w:val="005C2458"/>
    <w:rsid w:val="005C254C"/>
    <w:rsid w:val="005C272A"/>
    <w:rsid w:val="005C2A88"/>
    <w:rsid w:val="005C2AC1"/>
    <w:rsid w:val="005C3857"/>
    <w:rsid w:val="005C391C"/>
    <w:rsid w:val="005C3FB4"/>
    <w:rsid w:val="005C422A"/>
    <w:rsid w:val="005C52DC"/>
    <w:rsid w:val="005C5C2D"/>
    <w:rsid w:val="005C696B"/>
    <w:rsid w:val="005C6D48"/>
    <w:rsid w:val="005C7578"/>
    <w:rsid w:val="005D06C2"/>
    <w:rsid w:val="005D0D0C"/>
    <w:rsid w:val="005D0D2A"/>
    <w:rsid w:val="005D0DD2"/>
    <w:rsid w:val="005D0E9A"/>
    <w:rsid w:val="005D1545"/>
    <w:rsid w:val="005D1A3B"/>
    <w:rsid w:val="005D216C"/>
    <w:rsid w:val="005D2710"/>
    <w:rsid w:val="005D2853"/>
    <w:rsid w:val="005D2B7B"/>
    <w:rsid w:val="005D3671"/>
    <w:rsid w:val="005D4831"/>
    <w:rsid w:val="005D518F"/>
    <w:rsid w:val="005D6B5D"/>
    <w:rsid w:val="005D6FE1"/>
    <w:rsid w:val="005D7896"/>
    <w:rsid w:val="005D7C37"/>
    <w:rsid w:val="005E0A1D"/>
    <w:rsid w:val="005E0DB3"/>
    <w:rsid w:val="005E0F9E"/>
    <w:rsid w:val="005E13AD"/>
    <w:rsid w:val="005E1B11"/>
    <w:rsid w:val="005E2F70"/>
    <w:rsid w:val="005E3261"/>
    <w:rsid w:val="005E40B3"/>
    <w:rsid w:val="005E606E"/>
    <w:rsid w:val="005E6C41"/>
    <w:rsid w:val="005E777A"/>
    <w:rsid w:val="005E7B64"/>
    <w:rsid w:val="005F0539"/>
    <w:rsid w:val="005F0E09"/>
    <w:rsid w:val="005F2213"/>
    <w:rsid w:val="005F402B"/>
    <w:rsid w:val="005F4A5B"/>
    <w:rsid w:val="005F5B73"/>
    <w:rsid w:val="005F68CB"/>
    <w:rsid w:val="005F6C6D"/>
    <w:rsid w:val="005F7FBB"/>
    <w:rsid w:val="0060037B"/>
    <w:rsid w:val="006004F7"/>
    <w:rsid w:val="0060166B"/>
    <w:rsid w:val="00602E30"/>
    <w:rsid w:val="006033B6"/>
    <w:rsid w:val="006037BA"/>
    <w:rsid w:val="006041EA"/>
    <w:rsid w:val="00604BDA"/>
    <w:rsid w:val="00605110"/>
    <w:rsid w:val="0060671E"/>
    <w:rsid w:val="006067CA"/>
    <w:rsid w:val="0060700A"/>
    <w:rsid w:val="006100D1"/>
    <w:rsid w:val="00610107"/>
    <w:rsid w:val="0061044F"/>
    <w:rsid w:val="00611B37"/>
    <w:rsid w:val="00611FE6"/>
    <w:rsid w:val="00612C35"/>
    <w:rsid w:val="0061433D"/>
    <w:rsid w:val="006146A0"/>
    <w:rsid w:val="0061480F"/>
    <w:rsid w:val="006156B1"/>
    <w:rsid w:val="0061579C"/>
    <w:rsid w:val="00616320"/>
    <w:rsid w:val="006169BB"/>
    <w:rsid w:val="00617AF0"/>
    <w:rsid w:val="006201BA"/>
    <w:rsid w:val="00620C4C"/>
    <w:rsid w:val="00621506"/>
    <w:rsid w:val="006218D1"/>
    <w:rsid w:val="00622472"/>
    <w:rsid w:val="0062317B"/>
    <w:rsid w:val="00623A1F"/>
    <w:rsid w:val="00624B16"/>
    <w:rsid w:val="0062572A"/>
    <w:rsid w:val="006264F3"/>
    <w:rsid w:val="00627BF4"/>
    <w:rsid w:val="00630F14"/>
    <w:rsid w:val="006316FE"/>
    <w:rsid w:val="00631C77"/>
    <w:rsid w:val="00632DAB"/>
    <w:rsid w:val="006331C3"/>
    <w:rsid w:val="006334B8"/>
    <w:rsid w:val="00633E49"/>
    <w:rsid w:val="0063413A"/>
    <w:rsid w:val="00634516"/>
    <w:rsid w:val="00634BFF"/>
    <w:rsid w:val="00635627"/>
    <w:rsid w:val="00635E36"/>
    <w:rsid w:val="006368CE"/>
    <w:rsid w:val="00636FC8"/>
    <w:rsid w:val="00637DE0"/>
    <w:rsid w:val="00637E2B"/>
    <w:rsid w:val="00641022"/>
    <w:rsid w:val="0064104F"/>
    <w:rsid w:val="006415E1"/>
    <w:rsid w:val="00641871"/>
    <w:rsid w:val="006432F1"/>
    <w:rsid w:val="00643D04"/>
    <w:rsid w:val="00644B7D"/>
    <w:rsid w:val="006462B8"/>
    <w:rsid w:val="006468A3"/>
    <w:rsid w:val="00646C12"/>
    <w:rsid w:val="006470E4"/>
    <w:rsid w:val="00647929"/>
    <w:rsid w:val="00647DC3"/>
    <w:rsid w:val="006509EF"/>
    <w:rsid w:val="00650A1C"/>
    <w:rsid w:val="00651385"/>
    <w:rsid w:val="006513E9"/>
    <w:rsid w:val="00651666"/>
    <w:rsid w:val="00652056"/>
    <w:rsid w:val="00652EF9"/>
    <w:rsid w:val="00652FAD"/>
    <w:rsid w:val="00653476"/>
    <w:rsid w:val="00654270"/>
    <w:rsid w:val="006542DC"/>
    <w:rsid w:val="00654DD9"/>
    <w:rsid w:val="00655233"/>
    <w:rsid w:val="0065558C"/>
    <w:rsid w:val="00655850"/>
    <w:rsid w:val="006559C0"/>
    <w:rsid w:val="00656589"/>
    <w:rsid w:val="00657260"/>
    <w:rsid w:val="00661B45"/>
    <w:rsid w:val="00663647"/>
    <w:rsid w:val="00664673"/>
    <w:rsid w:val="00664881"/>
    <w:rsid w:val="0066497C"/>
    <w:rsid w:val="0066608D"/>
    <w:rsid w:val="0066786F"/>
    <w:rsid w:val="00667AC2"/>
    <w:rsid w:val="006705D8"/>
    <w:rsid w:val="00671087"/>
    <w:rsid w:val="006746D4"/>
    <w:rsid w:val="0067479A"/>
    <w:rsid w:val="00675188"/>
    <w:rsid w:val="00675414"/>
    <w:rsid w:val="00675759"/>
    <w:rsid w:val="00675827"/>
    <w:rsid w:val="006763C9"/>
    <w:rsid w:val="0067648B"/>
    <w:rsid w:val="0067701D"/>
    <w:rsid w:val="00677C99"/>
    <w:rsid w:val="0068036E"/>
    <w:rsid w:val="0068135C"/>
    <w:rsid w:val="00682CD8"/>
    <w:rsid w:val="00682DDD"/>
    <w:rsid w:val="00684488"/>
    <w:rsid w:val="00684EA6"/>
    <w:rsid w:val="006854B4"/>
    <w:rsid w:val="00686B05"/>
    <w:rsid w:val="00686F44"/>
    <w:rsid w:val="00690017"/>
    <w:rsid w:val="00690889"/>
    <w:rsid w:val="00691492"/>
    <w:rsid w:val="00691BA7"/>
    <w:rsid w:val="00691C53"/>
    <w:rsid w:val="00691D9F"/>
    <w:rsid w:val="00692128"/>
    <w:rsid w:val="00692F8A"/>
    <w:rsid w:val="00692FE7"/>
    <w:rsid w:val="0069308D"/>
    <w:rsid w:val="006931F4"/>
    <w:rsid w:val="006934ED"/>
    <w:rsid w:val="00693D48"/>
    <w:rsid w:val="00694076"/>
    <w:rsid w:val="00695550"/>
    <w:rsid w:val="00695828"/>
    <w:rsid w:val="00697BA3"/>
    <w:rsid w:val="006A0AC2"/>
    <w:rsid w:val="006A1D1D"/>
    <w:rsid w:val="006A1E36"/>
    <w:rsid w:val="006A21C8"/>
    <w:rsid w:val="006A2D71"/>
    <w:rsid w:val="006A2E36"/>
    <w:rsid w:val="006A31E2"/>
    <w:rsid w:val="006A320E"/>
    <w:rsid w:val="006A323A"/>
    <w:rsid w:val="006A579A"/>
    <w:rsid w:val="006A5AE4"/>
    <w:rsid w:val="006A5EDA"/>
    <w:rsid w:val="006A6341"/>
    <w:rsid w:val="006A6570"/>
    <w:rsid w:val="006A7F81"/>
    <w:rsid w:val="006B0969"/>
    <w:rsid w:val="006B0AE3"/>
    <w:rsid w:val="006B0DF4"/>
    <w:rsid w:val="006B2195"/>
    <w:rsid w:val="006B2A20"/>
    <w:rsid w:val="006B3BC3"/>
    <w:rsid w:val="006B4EE9"/>
    <w:rsid w:val="006B553E"/>
    <w:rsid w:val="006B580D"/>
    <w:rsid w:val="006C027A"/>
    <w:rsid w:val="006C02F0"/>
    <w:rsid w:val="006C11E3"/>
    <w:rsid w:val="006C20CB"/>
    <w:rsid w:val="006C2104"/>
    <w:rsid w:val="006C21A7"/>
    <w:rsid w:val="006C2310"/>
    <w:rsid w:val="006C3089"/>
    <w:rsid w:val="006C3505"/>
    <w:rsid w:val="006C38B6"/>
    <w:rsid w:val="006C3D52"/>
    <w:rsid w:val="006C4193"/>
    <w:rsid w:val="006C443C"/>
    <w:rsid w:val="006C542A"/>
    <w:rsid w:val="006C5B34"/>
    <w:rsid w:val="006C5D5E"/>
    <w:rsid w:val="006C5E36"/>
    <w:rsid w:val="006C60A6"/>
    <w:rsid w:val="006C67F5"/>
    <w:rsid w:val="006C7312"/>
    <w:rsid w:val="006C7FBE"/>
    <w:rsid w:val="006D09D2"/>
    <w:rsid w:val="006D0DF5"/>
    <w:rsid w:val="006D1BC4"/>
    <w:rsid w:val="006D26DD"/>
    <w:rsid w:val="006D2A7F"/>
    <w:rsid w:val="006D396A"/>
    <w:rsid w:val="006D3E8D"/>
    <w:rsid w:val="006D41F4"/>
    <w:rsid w:val="006D43BC"/>
    <w:rsid w:val="006D4FC7"/>
    <w:rsid w:val="006D5082"/>
    <w:rsid w:val="006D5EF9"/>
    <w:rsid w:val="006D607E"/>
    <w:rsid w:val="006D735D"/>
    <w:rsid w:val="006D77A6"/>
    <w:rsid w:val="006D7C3B"/>
    <w:rsid w:val="006E0363"/>
    <w:rsid w:val="006E0AC7"/>
    <w:rsid w:val="006E16E0"/>
    <w:rsid w:val="006E1B59"/>
    <w:rsid w:val="006E22DE"/>
    <w:rsid w:val="006E239D"/>
    <w:rsid w:val="006E2C38"/>
    <w:rsid w:val="006E3C9A"/>
    <w:rsid w:val="006E422C"/>
    <w:rsid w:val="006E46E4"/>
    <w:rsid w:val="006E5C59"/>
    <w:rsid w:val="006E6A5B"/>
    <w:rsid w:val="006E72DA"/>
    <w:rsid w:val="006E7704"/>
    <w:rsid w:val="006E7F86"/>
    <w:rsid w:val="006F00B2"/>
    <w:rsid w:val="006F0187"/>
    <w:rsid w:val="006F0D3B"/>
    <w:rsid w:val="006F1C7E"/>
    <w:rsid w:val="006F1E85"/>
    <w:rsid w:val="006F2956"/>
    <w:rsid w:val="006F36F3"/>
    <w:rsid w:val="006F601D"/>
    <w:rsid w:val="006F76FC"/>
    <w:rsid w:val="006F7737"/>
    <w:rsid w:val="006F7D74"/>
    <w:rsid w:val="00701356"/>
    <w:rsid w:val="00702FD9"/>
    <w:rsid w:val="00703A3D"/>
    <w:rsid w:val="00703C2E"/>
    <w:rsid w:val="00704228"/>
    <w:rsid w:val="00704AC9"/>
    <w:rsid w:val="00704C4A"/>
    <w:rsid w:val="00704F95"/>
    <w:rsid w:val="0070523A"/>
    <w:rsid w:val="00705BCE"/>
    <w:rsid w:val="00706CD7"/>
    <w:rsid w:val="00710938"/>
    <w:rsid w:val="00710A7C"/>
    <w:rsid w:val="007110B8"/>
    <w:rsid w:val="007117D8"/>
    <w:rsid w:val="007120B7"/>
    <w:rsid w:val="007133DD"/>
    <w:rsid w:val="007138B4"/>
    <w:rsid w:val="00714239"/>
    <w:rsid w:val="007147E6"/>
    <w:rsid w:val="00716001"/>
    <w:rsid w:val="00716476"/>
    <w:rsid w:val="00716AB7"/>
    <w:rsid w:val="00720E97"/>
    <w:rsid w:val="0072155E"/>
    <w:rsid w:val="00721B1C"/>
    <w:rsid w:val="007234F4"/>
    <w:rsid w:val="00723530"/>
    <w:rsid w:val="00724872"/>
    <w:rsid w:val="00724977"/>
    <w:rsid w:val="007253DF"/>
    <w:rsid w:val="007257B2"/>
    <w:rsid w:val="00726A85"/>
    <w:rsid w:val="00727966"/>
    <w:rsid w:val="00727B9C"/>
    <w:rsid w:val="00727F2F"/>
    <w:rsid w:val="00730496"/>
    <w:rsid w:val="00730566"/>
    <w:rsid w:val="00730AED"/>
    <w:rsid w:val="00730C94"/>
    <w:rsid w:val="0073117B"/>
    <w:rsid w:val="00731E79"/>
    <w:rsid w:val="00731FB8"/>
    <w:rsid w:val="0073313C"/>
    <w:rsid w:val="00733761"/>
    <w:rsid w:val="00733DC2"/>
    <w:rsid w:val="007341D7"/>
    <w:rsid w:val="00735379"/>
    <w:rsid w:val="007355CB"/>
    <w:rsid w:val="00737921"/>
    <w:rsid w:val="0074076E"/>
    <w:rsid w:val="00740849"/>
    <w:rsid w:val="00740D6E"/>
    <w:rsid w:val="00741444"/>
    <w:rsid w:val="007414EF"/>
    <w:rsid w:val="007418C6"/>
    <w:rsid w:val="00743BF0"/>
    <w:rsid w:val="007449ED"/>
    <w:rsid w:val="00745CDB"/>
    <w:rsid w:val="00745D34"/>
    <w:rsid w:val="00745E81"/>
    <w:rsid w:val="00746763"/>
    <w:rsid w:val="007471AC"/>
    <w:rsid w:val="007477B5"/>
    <w:rsid w:val="0075043B"/>
    <w:rsid w:val="007519EB"/>
    <w:rsid w:val="00752437"/>
    <w:rsid w:val="0075399C"/>
    <w:rsid w:val="00754728"/>
    <w:rsid w:val="00755AB3"/>
    <w:rsid w:val="00755CC9"/>
    <w:rsid w:val="00755DC1"/>
    <w:rsid w:val="007569F9"/>
    <w:rsid w:val="00756F8D"/>
    <w:rsid w:val="007578BA"/>
    <w:rsid w:val="00757F17"/>
    <w:rsid w:val="00760373"/>
    <w:rsid w:val="00760C8B"/>
    <w:rsid w:val="00762AF8"/>
    <w:rsid w:val="00762F45"/>
    <w:rsid w:val="007634D2"/>
    <w:rsid w:val="00763D57"/>
    <w:rsid w:val="0076426A"/>
    <w:rsid w:val="00764D25"/>
    <w:rsid w:val="00766605"/>
    <w:rsid w:val="00766CBA"/>
    <w:rsid w:val="00767566"/>
    <w:rsid w:val="00772E90"/>
    <w:rsid w:val="00775603"/>
    <w:rsid w:val="007760EB"/>
    <w:rsid w:val="007763B5"/>
    <w:rsid w:val="007764B0"/>
    <w:rsid w:val="0077796F"/>
    <w:rsid w:val="00781AD3"/>
    <w:rsid w:val="0078249A"/>
    <w:rsid w:val="007824B3"/>
    <w:rsid w:val="00782BFC"/>
    <w:rsid w:val="00783418"/>
    <w:rsid w:val="0078362B"/>
    <w:rsid w:val="00783E90"/>
    <w:rsid w:val="00784846"/>
    <w:rsid w:val="007848C6"/>
    <w:rsid w:val="0078517E"/>
    <w:rsid w:val="00785324"/>
    <w:rsid w:val="00787136"/>
    <w:rsid w:val="00787804"/>
    <w:rsid w:val="00790EEE"/>
    <w:rsid w:val="00791008"/>
    <w:rsid w:val="00791308"/>
    <w:rsid w:val="0079167A"/>
    <w:rsid w:val="00791E13"/>
    <w:rsid w:val="007923AC"/>
    <w:rsid w:val="00793604"/>
    <w:rsid w:val="00795718"/>
    <w:rsid w:val="00796402"/>
    <w:rsid w:val="00797031"/>
    <w:rsid w:val="007972F4"/>
    <w:rsid w:val="007974FC"/>
    <w:rsid w:val="007977C9"/>
    <w:rsid w:val="007A1C4B"/>
    <w:rsid w:val="007A34A8"/>
    <w:rsid w:val="007A4D3A"/>
    <w:rsid w:val="007A5102"/>
    <w:rsid w:val="007A5D85"/>
    <w:rsid w:val="007A6B6F"/>
    <w:rsid w:val="007A7464"/>
    <w:rsid w:val="007B10C4"/>
    <w:rsid w:val="007B14E0"/>
    <w:rsid w:val="007B183B"/>
    <w:rsid w:val="007B1D78"/>
    <w:rsid w:val="007B273D"/>
    <w:rsid w:val="007B39D5"/>
    <w:rsid w:val="007B3B71"/>
    <w:rsid w:val="007B41A7"/>
    <w:rsid w:val="007B4C04"/>
    <w:rsid w:val="007B4EE0"/>
    <w:rsid w:val="007B6E12"/>
    <w:rsid w:val="007B7CF4"/>
    <w:rsid w:val="007B7F79"/>
    <w:rsid w:val="007C0118"/>
    <w:rsid w:val="007C0B6A"/>
    <w:rsid w:val="007C1D59"/>
    <w:rsid w:val="007C4209"/>
    <w:rsid w:val="007C4451"/>
    <w:rsid w:val="007C4BB5"/>
    <w:rsid w:val="007C4DCA"/>
    <w:rsid w:val="007C4ED8"/>
    <w:rsid w:val="007C4EF5"/>
    <w:rsid w:val="007C584C"/>
    <w:rsid w:val="007C6421"/>
    <w:rsid w:val="007C698B"/>
    <w:rsid w:val="007C77B1"/>
    <w:rsid w:val="007C78F0"/>
    <w:rsid w:val="007D10FE"/>
    <w:rsid w:val="007D1176"/>
    <w:rsid w:val="007D2EBA"/>
    <w:rsid w:val="007D308C"/>
    <w:rsid w:val="007D3115"/>
    <w:rsid w:val="007D318A"/>
    <w:rsid w:val="007D395B"/>
    <w:rsid w:val="007D4132"/>
    <w:rsid w:val="007D4C79"/>
    <w:rsid w:val="007D505C"/>
    <w:rsid w:val="007D5AC3"/>
    <w:rsid w:val="007D6085"/>
    <w:rsid w:val="007D680F"/>
    <w:rsid w:val="007D69F0"/>
    <w:rsid w:val="007D72FC"/>
    <w:rsid w:val="007D74FE"/>
    <w:rsid w:val="007D7AD3"/>
    <w:rsid w:val="007E0A18"/>
    <w:rsid w:val="007E0E3A"/>
    <w:rsid w:val="007E1277"/>
    <w:rsid w:val="007E1355"/>
    <w:rsid w:val="007E1854"/>
    <w:rsid w:val="007E1D48"/>
    <w:rsid w:val="007E2A1C"/>
    <w:rsid w:val="007E2D70"/>
    <w:rsid w:val="007E3D34"/>
    <w:rsid w:val="007E43F4"/>
    <w:rsid w:val="007E441C"/>
    <w:rsid w:val="007E59FB"/>
    <w:rsid w:val="007E5F3E"/>
    <w:rsid w:val="007E6EE2"/>
    <w:rsid w:val="007E76E6"/>
    <w:rsid w:val="007F054C"/>
    <w:rsid w:val="007F15FD"/>
    <w:rsid w:val="007F204B"/>
    <w:rsid w:val="007F2B04"/>
    <w:rsid w:val="007F414A"/>
    <w:rsid w:val="007F7E75"/>
    <w:rsid w:val="00801599"/>
    <w:rsid w:val="008015EC"/>
    <w:rsid w:val="00801F7F"/>
    <w:rsid w:val="0080201C"/>
    <w:rsid w:val="00802121"/>
    <w:rsid w:val="0080343D"/>
    <w:rsid w:val="008035AE"/>
    <w:rsid w:val="008037FD"/>
    <w:rsid w:val="00803847"/>
    <w:rsid w:val="00804B2D"/>
    <w:rsid w:val="00805852"/>
    <w:rsid w:val="00805EBD"/>
    <w:rsid w:val="00806B7D"/>
    <w:rsid w:val="0080779A"/>
    <w:rsid w:val="00807C1E"/>
    <w:rsid w:val="008107B1"/>
    <w:rsid w:val="008108CB"/>
    <w:rsid w:val="00810A6F"/>
    <w:rsid w:val="008122F2"/>
    <w:rsid w:val="00812364"/>
    <w:rsid w:val="008128D5"/>
    <w:rsid w:val="00812FB1"/>
    <w:rsid w:val="00813C86"/>
    <w:rsid w:val="008153A5"/>
    <w:rsid w:val="00816B79"/>
    <w:rsid w:val="00820538"/>
    <w:rsid w:val="00820569"/>
    <w:rsid w:val="00820776"/>
    <w:rsid w:val="0082214B"/>
    <w:rsid w:val="00822767"/>
    <w:rsid w:val="00823072"/>
    <w:rsid w:val="008234CC"/>
    <w:rsid w:val="008237BF"/>
    <w:rsid w:val="0082399C"/>
    <w:rsid w:val="0082575F"/>
    <w:rsid w:val="00826A9B"/>
    <w:rsid w:val="0082776C"/>
    <w:rsid w:val="00830105"/>
    <w:rsid w:val="008301A0"/>
    <w:rsid w:val="0083257C"/>
    <w:rsid w:val="00832936"/>
    <w:rsid w:val="00832AD1"/>
    <w:rsid w:val="00833136"/>
    <w:rsid w:val="00834A54"/>
    <w:rsid w:val="00834D17"/>
    <w:rsid w:val="0083506D"/>
    <w:rsid w:val="0083513F"/>
    <w:rsid w:val="00837884"/>
    <w:rsid w:val="00840146"/>
    <w:rsid w:val="00840C3B"/>
    <w:rsid w:val="0084104F"/>
    <w:rsid w:val="00841F8A"/>
    <w:rsid w:val="00842EB8"/>
    <w:rsid w:val="008432D7"/>
    <w:rsid w:val="0084333A"/>
    <w:rsid w:val="008434F6"/>
    <w:rsid w:val="00844CAF"/>
    <w:rsid w:val="00845222"/>
    <w:rsid w:val="00845E71"/>
    <w:rsid w:val="00846695"/>
    <w:rsid w:val="00846DCD"/>
    <w:rsid w:val="00847354"/>
    <w:rsid w:val="00847A4F"/>
    <w:rsid w:val="00850776"/>
    <w:rsid w:val="00850798"/>
    <w:rsid w:val="00850C5B"/>
    <w:rsid w:val="00850DF8"/>
    <w:rsid w:val="0085110D"/>
    <w:rsid w:val="008515C7"/>
    <w:rsid w:val="00851EB3"/>
    <w:rsid w:val="008524C6"/>
    <w:rsid w:val="008525F3"/>
    <w:rsid w:val="008531BC"/>
    <w:rsid w:val="008557B0"/>
    <w:rsid w:val="00855CB3"/>
    <w:rsid w:val="00856392"/>
    <w:rsid w:val="008569E2"/>
    <w:rsid w:val="0085725C"/>
    <w:rsid w:val="00857D4C"/>
    <w:rsid w:val="00860C87"/>
    <w:rsid w:val="00861808"/>
    <w:rsid w:val="008625A2"/>
    <w:rsid w:val="00863129"/>
    <w:rsid w:val="008639C6"/>
    <w:rsid w:val="00864B83"/>
    <w:rsid w:val="008651CE"/>
    <w:rsid w:val="00865ADF"/>
    <w:rsid w:val="00865B96"/>
    <w:rsid w:val="00865F8B"/>
    <w:rsid w:val="00866204"/>
    <w:rsid w:val="00867701"/>
    <w:rsid w:val="00867B91"/>
    <w:rsid w:val="00870BF4"/>
    <w:rsid w:val="00870C60"/>
    <w:rsid w:val="00871000"/>
    <w:rsid w:val="008715BA"/>
    <w:rsid w:val="008717CE"/>
    <w:rsid w:val="00871839"/>
    <w:rsid w:val="00871BB3"/>
    <w:rsid w:val="0087226A"/>
    <w:rsid w:val="008731E5"/>
    <w:rsid w:val="008740E3"/>
    <w:rsid w:val="00875170"/>
    <w:rsid w:val="00875D7E"/>
    <w:rsid w:val="00876099"/>
    <w:rsid w:val="00876153"/>
    <w:rsid w:val="00877258"/>
    <w:rsid w:val="00877F35"/>
    <w:rsid w:val="0088013C"/>
    <w:rsid w:val="00880376"/>
    <w:rsid w:val="0088048D"/>
    <w:rsid w:val="00880B1D"/>
    <w:rsid w:val="00880E5F"/>
    <w:rsid w:val="00880FA9"/>
    <w:rsid w:val="00881D11"/>
    <w:rsid w:val="0088358C"/>
    <w:rsid w:val="008838FF"/>
    <w:rsid w:val="00883CCC"/>
    <w:rsid w:val="00885044"/>
    <w:rsid w:val="00885B49"/>
    <w:rsid w:val="00885C92"/>
    <w:rsid w:val="00886589"/>
    <w:rsid w:val="00886825"/>
    <w:rsid w:val="00887017"/>
    <w:rsid w:val="00887F8B"/>
    <w:rsid w:val="0089056E"/>
    <w:rsid w:val="00891340"/>
    <w:rsid w:val="00892610"/>
    <w:rsid w:val="00892CA7"/>
    <w:rsid w:val="00894135"/>
    <w:rsid w:val="008948B3"/>
    <w:rsid w:val="008950C4"/>
    <w:rsid w:val="00895732"/>
    <w:rsid w:val="00895AC8"/>
    <w:rsid w:val="00895F40"/>
    <w:rsid w:val="00896639"/>
    <w:rsid w:val="0089683C"/>
    <w:rsid w:val="008969D2"/>
    <w:rsid w:val="00897175"/>
    <w:rsid w:val="0089730A"/>
    <w:rsid w:val="008A13B6"/>
    <w:rsid w:val="008A1C64"/>
    <w:rsid w:val="008A24EE"/>
    <w:rsid w:val="008A26E2"/>
    <w:rsid w:val="008A2B25"/>
    <w:rsid w:val="008A2BDB"/>
    <w:rsid w:val="008A3447"/>
    <w:rsid w:val="008A3DA9"/>
    <w:rsid w:val="008A485C"/>
    <w:rsid w:val="008A5623"/>
    <w:rsid w:val="008A5D19"/>
    <w:rsid w:val="008A61C0"/>
    <w:rsid w:val="008A6CE2"/>
    <w:rsid w:val="008A6EA1"/>
    <w:rsid w:val="008A70C8"/>
    <w:rsid w:val="008A7562"/>
    <w:rsid w:val="008B0834"/>
    <w:rsid w:val="008B0950"/>
    <w:rsid w:val="008B0C5A"/>
    <w:rsid w:val="008B17D5"/>
    <w:rsid w:val="008B32B3"/>
    <w:rsid w:val="008B3885"/>
    <w:rsid w:val="008B3B51"/>
    <w:rsid w:val="008B4F3A"/>
    <w:rsid w:val="008B5083"/>
    <w:rsid w:val="008B595B"/>
    <w:rsid w:val="008B5CCE"/>
    <w:rsid w:val="008B6088"/>
    <w:rsid w:val="008B685F"/>
    <w:rsid w:val="008B71A5"/>
    <w:rsid w:val="008B7975"/>
    <w:rsid w:val="008C0410"/>
    <w:rsid w:val="008C068F"/>
    <w:rsid w:val="008C0758"/>
    <w:rsid w:val="008C142D"/>
    <w:rsid w:val="008C1DFE"/>
    <w:rsid w:val="008C223D"/>
    <w:rsid w:val="008C2301"/>
    <w:rsid w:val="008C2C58"/>
    <w:rsid w:val="008C2ECC"/>
    <w:rsid w:val="008C3291"/>
    <w:rsid w:val="008C4363"/>
    <w:rsid w:val="008C43B0"/>
    <w:rsid w:val="008C5076"/>
    <w:rsid w:val="008C6D5F"/>
    <w:rsid w:val="008C7C9D"/>
    <w:rsid w:val="008D05F9"/>
    <w:rsid w:val="008D0FB3"/>
    <w:rsid w:val="008D1494"/>
    <w:rsid w:val="008D1627"/>
    <w:rsid w:val="008D1BBE"/>
    <w:rsid w:val="008D222E"/>
    <w:rsid w:val="008D25ED"/>
    <w:rsid w:val="008D2EBE"/>
    <w:rsid w:val="008D3A41"/>
    <w:rsid w:val="008D3CEA"/>
    <w:rsid w:val="008D4D2D"/>
    <w:rsid w:val="008D55FE"/>
    <w:rsid w:val="008D6940"/>
    <w:rsid w:val="008E01DB"/>
    <w:rsid w:val="008E1B75"/>
    <w:rsid w:val="008E1F3B"/>
    <w:rsid w:val="008E2C58"/>
    <w:rsid w:val="008E4EC3"/>
    <w:rsid w:val="008E607F"/>
    <w:rsid w:val="008E6A92"/>
    <w:rsid w:val="008E71E4"/>
    <w:rsid w:val="008E785E"/>
    <w:rsid w:val="008F0324"/>
    <w:rsid w:val="008F077B"/>
    <w:rsid w:val="008F0BE2"/>
    <w:rsid w:val="008F1090"/>
    <w:rsid w:val="008F22D2"/>
    <w:rsid w:val="008F355F"/>
    <w:rsid w:val="008F35B1"/>
    <w:rsid w:val="008F3722"/>
    <w:rsid w:val="008F3BCA"/>
    <w:rsid w:val="008F466D"/>
    <w:rsid w:val="008F6C3F"/>
    <w:rsid w:val="008F6C6B"/>
    <w:rsid w:val="008F6D14"/>
    <w:rsid w:val="008F6D7E"/>
    <w:rsid w:val="0090051C"/>
    <w:rsid w:val="00901C48"/>
    <w:rsid w:val="00901FB8"/>
    <w:rsid w:val="009021D5"/>
    <w:rsid w:val="0090246A"/>
    <w:rsid w:val="009029CB"/>
    <w:rsid w:val="00904C9F"/>
    <w:rsid w:val="009055EA"/>
    <w:rsid w:val="009056D0"/>
    <w:rsid w:val="00905F25"/>
    <w:rsid w:val="00906C1F"/>
    <w:rsid w:val="00910072"/>
    <w:rsid w:val="00910221"/>
    <w:rsid w:val="009116D5"/>
    <w:rsid w:val="00912C49"/>
    <w:rsid w:val="009131C6"/>
    <w:rsid w:val="00913ED3"/>
    <w:rsid w:val="0091425D"/>
    <w:rsid w:val="00914277"/>
    <w:rsid w:val="009149E9"/>
    <w:rsid w:val="00915738"/>
    <w:rsid w:val="00916777"/>
    <w:rsid w:val="0091694B"/>
    <w:rsid w:val="009170C5"/>
    <w:rsid w:val="009212D0"/>
    <w:rsid w:val="00922DA5"/>
    <w:rsid w:val="0092360D"/>
    <w:rsid w:val="009252C1"/>
    <w:rsid w:val="00925A6A"/>
    <w:rsid w:val="00925DBA"/>
    <w:rsid w:val="00926F2C"/>
    <w:rsid w:val="00927714"/>
    <w:rsid w:val="00927751"/>
    <w:rsid w:val="0092776E"/>
    <w:rsid w:val="0092797E"/>
    <w:rsid w:val="00927C19"/>
    <w:rsid w:val="00930922"/>
    <w:rsid w:val="00930F59"/>
    <w:rsid w:val="009317CE"/>
    <w:rsid w:val="00931BCF"/>
    <w:rsid w:val="00932148"/>
    <w:rsid w:val="0093304C"/>
    <w:rsid w:val="00933346"/>
    <w:rsid w:val="009342D0"/>
    <w:rsid w:val="009343BA"/>
    <w:rsid w:val="00934B6B"/>
    <w:rsid w:val="009360E5"/>
    <w:rsid w:val="009362CB"/>
    <w:rsid w:val="0093697D"/>
    <w:rsid w:val="00936B73"/>
    <w:rsid w:val="00936F99"/>
    <w:rsid w:val="0093711D"/>
    <w:rsid w:val="0093717F"/>
    <w:rsid w:val="009377AD"/>
    <w:rsid w:val="00937FE8"/>
    <w:rsid w:val="00940CAE"/>
    <w:rsid w:val="0094154F"/>
    <w:rsid w:val="009417D7"/>
    <w:rsid w:val="00942092"/>
    <w:rsid w:val="00943281"/>
    <w:rsid w:val="009450CD"/>
    <w:rsid w:val="0094524E"/>
    <w:rsid w:val="0094533A"/>
    <w:rsid w:val="00946735"/>
    <w:rsid w:val="00946E09"/>
    <w:rsid w:val="009473B0"/>
    <w:rsid w:val="00950090"/>
    <w:rsid w:val="00950CF6"/>
    <w:rsid w:val="009512B5"/>
    <w:rsid w:val="00951A1E"/>
    <w:rsid w:val="009521D7"/>
    <w:rsid w:val="009543CF"/>
    <w:rsid w:val="0095449A"/>
    <w:rsid w:val="00954B46"/>
    <w:rsid w:val="009551F6"/>
    <w:rsid w:val="0095525E"/>
    <w:rsid w:val="0095531C"/>
    <w:rsid w:val="009557BD"/>
    <w:rsid w:val="009559F1"/>
    <w:rsid w:val="00956400"/>
    <w:rsid w:val="009567C8"/>
    <w:rsid w:val="0096068B"/>
    <w:rsid w:val="00960B3B"/>
    <w:rsid w:val="00962CF3"/>
    <w:rsid w:val="00964337"/>
    <w:rsid w:val="00964ACE"/>
    <w:rsid w:val="0096512D"/>
    <w:rsid w:val="00965F21"/>
    <w:rsid w:val="00966BD9"/>
    <w:rsid w:val="009676AB"/>
    <w:rsid w:val="00967D19"/>
    <w:rsid w:val="00970A9A"/>
    <w:rsid w:val="009726D8"/>
    <w:rsid w:val="00972A1F"/>
    <w:rsid w:val="00972AC0"/>
    <w:rsid w:val="00973521"/>
    <w:rsid w:val="00973BAB"/>
    <w:rsid w:val="00975176"/>
    <w:rsid w:val="009754E2"/>
    <w:rsid w:val="00975E4E"/>
    <w:rsid w:val="009764F4"/>
    <w:rsid w:val="009765A2"/>
    <w:rsid w:val="00976706"/>
    <w:rsid w:val="00976E3C"/>
    <w:rsid w:val="00976F1E"/>
    <w:rsid w:val="00977BD7"/>
    <w:rsid w:val="00977E35"/>
    <w:rsid w:val="0098003E"/>
    <w:rsid w:val="00980336"/>
    <w:rsid w:val="00981E1C"/>
    <w:rsid w:val="00981EC6"/>
    <w:rsid w:val="00982C98"/>
    <w:rsid w:val="009835C1"/>
    <w:rsid w:val="00983FE3"/>
    <w:rsid w:val="00984360"/>
    <w:rsid w:val="00984670"/>
    <w:rsid w:val="0098473E"/>
    <w:rsid w:val="00984BB1"/>
    <w:rsid w:val="00984CEC"/>
    <w:rsid w:val="009852C4"/>
    <w:rsid w:val="0098630E"/>
    <w:rsid w:val="0098693C"/>
    <w:rsid w:val="00987B90"/>
    <w:rsid w:val="00987C09"/>
    <w:rsid w:val="00990436"/>
    <w:rsid w:val="00990BCF"/>
    <w:rsid w:val="00990F40"/>
    <w:rsid w:val="00991444"/>
    <w:rsid w:val="00991A06"/>
    <w:rsid w:val="00992193"/>
    <w:rsid w:val="00993903"/>
    <w:rsid w:val="00993F36"/>
    <w:rsid w:val="009951E3"/>
    <w:rsid w:val="009959D9"/>
    <w:rsid w:val="00996657"/>
    <w:rsid w:val="009A077F"/>
    <w:rsid w:val="009A093A"/>
    <w:rsid w:val="009A11AD"/>
    <w:rsid w:val="009A1A90"/>
    <w:rsid w:val="009A237C"/>
    <w:rsid w:val="009A243C"/>
    <w:rsid w:val="009A2BEA"/>
    <w:rsid w:val="009A300C"/>
    <w:rsid w:val="009A32C9"/>
    <w:rsid w:val="009A33F3"/>
    <w:rsid w:val="009A45F7"/>
    <w:rsid w:val="009A4671"/>
    <w:rsid w:val="009A4C39"/>
    <w:rsid w:val="009A4FE2"/>
    <w:rsid w:val="009A5A60"/>
    <w:rsid w:val="009A64A5"/>
    <w:rsid w:val="009B019F"/>
    <w:rsid w:val="009B025A"/>
    <w:rsid w:val="009B1793"/>
    <w:rsid w:val="009B186F"/>
    <w:rsid w:val="009B3C2B"/>
    <w:rsid w:val="009B3EBA"/>
    <w:rsid w:val="009B4464"/>
    <w:rsid w:val="009B4B2E"/>
    <w:rsid w:val="009B5C80"/>
    <w:rsid w:val="009B7870"/>
    <w:rsid w:val="009B78A1"/>
    <w:rsid w:val="009B7E37"/>
    <w:rsid w:val="009C0002"/>
    <w:rsid w:val="009C04E1"/>
    <w:rsid w:val="009C0641"/>
    <w:rsid w:val="009C0D10"/>
    <w:rsid w:val="009C0D3A"/>
    <w:rsid w:val="009C1320"/>
    <w:rsid w:val="009C168E"/>
    <w:rsid w:val="009C18FC"/>
    <w:rsid w:val="009C1FF4"/>
    <w:rsid w:val="009C2494"/>
    <w:rsid w:val="009C25BE"/>
    <w:rsid w:val="009C3560"/>
    <w:rsid w:val="009C4146"/>
    <w:rsid w:val="009C533A"/>
    <w:rsid w:val="009C55DB"/>
    <w:rsid w:val="009C5652"/>
    <w:rsid w:val="009C56E8"/>
    <w:rsid w:val="009C5AA8"/>
    <w:rsid w:val="009C5B13"/>
    <w:rsid w:val="009C75F7"/>
    <w:rsid w:val="009D18BE"/>
    <w:rsid w:val="009D2CE5"/>
    <w:rsid w:val="009D2E0D"/>
    <w:rsid w:val="009D38EB"/>
    <w:rsid w:val="009D3DB4"/>
    <w:rsid w:val="009D437D"/>
    <w:rsid w:val="009D5241"/>
    <w:rsid w:val="009D5315"/>
    <w:rsid w:val="009E03B4"/>
    <w:rsid w:val="009E0652"/>
    <w:rsid w:val="009E2650"/>
    <w:rsid w:val="009E44B8"/>
    <w:rsid w:val="009E4634"/>
    <w:rsid w:val="009E4A24"/>
    <w:rsid w:val="009E4CE1"/>
    <w:rsid w:val="009E4D48"/>
    <w:rsid w:val="009E502B"/>
    <w:rsid w:val="009E5CF4"/>
    <w:rsid w:val="009E6C2C"/>
    <w:rsid w:val="009E7120"/>
    <w:rsid w:val="009F0748"/>
    <w:rsid w:val="009F11FE"/>
    <w:rsid w:val="009F17A5"/>
    <w:rsid w:val="009F1EDE"/>
    <w:rsid w:val="009F2A60"/>
    <w:rsid w:val="009F36DA"/>
    <w:rsid w:val="009F41D8"/>
    <w:rsid w:val="009F42C1"/>
    <w:rsid w:val="009F4734"/>
    <w:rsid w:val="009F49CF"/>
    <w:rsid w:val="009F51CE"/>
    <w:rsid w:val="009F5D97"/>
    <w:rsid w:val="009F63C2"/>
    <w:rsid w:val="009F64FB"/>
    <w:rsid w:val="009F65DE"/>
    <w:rsid w:val="009F6C7A"/>
    <w:rsid w:val="009F6C91"/>
    <w:rsid w:val="00A00408"/>
    <w:rsid w:val="00A00D50"/>
    <w:rsid w:val="00A03BDF"/>
    <w:rsid w:val="00A042DE"/>
    <w:rsid w:val="00A04E1A"/>
    <w:rsid w:val="00A050D5"/>
    <w:rsid w:val="00A05615"/>
    <w:rsid w:val="00A07749"/>
    <w:rsid w:val="00A113B9"/>
    <w:rsid w:val="00A119DB"/>
    <w:rsid w:val="00A13128"/>
    <w:rsid w:val="00A1450F"/>
    <w:rsid w:val="00A145A7"/>
    <w:rsid w:val="00A146C1"/>
    <w:rsid w:val="00A16418"/>
    <w:rsid w:val="00A16A42"/>
    <w:rsid w:val="00A16E33"/>
    <w:rsid w:val="00A16E54"/>
    <w:rsid w:val="00A17D75"/>
    <w:rsid w:val="00A21288"/>
    <w:rsid w:val="00A22680"/>
    <w:rsid w:val="00A22748"/>
    <w:rsid w:val="00A233D8"/>
    <w:rsid w:val="00A239E8"/>
    <w:rsid w:val="00A23A8E"/>
    <w:rsid w:val="00A23AED"/>
    <w:rsid w:val="00A23C31"/>
    <w:rsid w:val="00A244D2"/>
    <w:rsid w:val="00A26011"/>
    <w:rsid w:val="00A262BC"/>
    <w:rsid w:val="00A26559"/>
    <w:rsid w:val="00A27606"/>
    <w:rsid w:val="00A27841"/>
    <w:rsid w:val="00A27981"/>
    <w:rsid w:val="00A27AAA"/>
    <w:rsid w:val="00A27AC6"/>
    <w:rsid w:val="00A27E70"/>
    <w:rsid w:val="00A30428"/>
    <w:rsid w:val="00A30FAB"/>
    <w:rsid w:val="00A31D2A"/>
    <w:rsid w:val="00A331EC"/>
    <w:rsid w:val="00A34219"/>
    <w:rsid w:val="00A34955"/>
    <w:rsid w:val="00A35857"/>
    <w:rsid w:val="00A360CE"/>
    <w:rsid w:val="00A36295"/>
    <w:rsid w:val="00A37442"/>
    <w:rsid w:val="00A4049F"/>
    <w:rsid w:val="00A40CF4"/>
    <w:rsid w:val="00A41286"/>
    <w:rsid w:val="00A41358"/>
    <w:rsid w:val="00A4256E"/>
    <w:rsid w:val="00A43477"/>
    <w:rsid w:val="00A44E24"/>
    <w:rsid w:val="00A450B7"/>
    <w:rsid w:val="00A451A4"/>
    <w:rsid w:val="00A46464"/>
    <w:rsid w:val="00A46E10"/>
    <w:rsid w:val="00A4709E"/>
    <w:rsid w:val="00A4740F"/>
    <w:rsid w:val="00A510CC"/>
    <w:rsid w:val="00A521FA"/>
    <w:rsid w:val="00A523C5"/>
    <w:rsid w:val="00A5386A"/>
    <w:rsid w:val="00A53C50"/>
    <w:rsid w:val="00A53C6E"/>
    <w:rsid w:val="00A54853"/>
    <w:rsid w:val="00A5500E"/>
    <w:rsid w:val="00A55591"/>
    <w:rsid w:val="00A55813"/>
    <w:rsid w:val="00A56603"/>
    <w:rsid w:val="00A57696"/>
    <w:rsid w:val="00A6095F"/>
    <w:rsid w:val="00A61BF1"/>
    <w:rsid w:val="00A622E0"/>
    <w:rsid w:val="00A62885"/>
    <w:rsid w:val="00A62D34"/>
    <w:rsid w:val="00A633E4"/>
    <w:rsid w:val="00A63645"/>
    <w:rsid w:val="00A64750"/>
    <w:rsid w:val="00A661AD"/>
    <w:rsid w:val="00A6640D"/>
    <w:rsid w:val="00A67940"/>
    <w:rsid w:val="00A67D85"/>
    <w:rsid w:val="00A67ED0"/>
    <w:rsid w:val="00A71CC6"/>
    <w:rsid w:val="00A71CDC"/>
    <w:rsid w:val="00A71FE4"/>
    <w:rsid w:val="00A73143"/>
    <w:rsid w:val="00A7315D"/>
    <w:rsid w:val="00A73238"/>
    <w:rsid w:val="00A7333F"/>
    <w:rsid w:val="00A7396F"/>
    <w:rsid w:val="00A73BA9"/>
    <w:rsid w:val="00A74DC1"/>
    <w:rsid w:val="00A76406"/>
    <w:rsid w:val="00A77766"/>
    <w:rsid w:val="00A805DD"/>
    <w:rsid w:val="00A8096D"/>
    <w:rsid w:val="00A80AFE"/>
    <w:rsid w:val="00A813F3"/>
    <w:rsid w:val="00A81836"/>
    <w:rsid w:val="00A8188C"/>
    <w:rsid w:val="00A8195F"/>
    <w:rsid w:val="00A82A12"/>
    <w:rsid w:val="00A82F6B"/>
    <w:rsid w:val="00A83A31"/>
    <w:rsid w:val="00A84706"/>
    <w:rsid w:val="00A84D76"/>
    <w:rsid w:val="00A85058"/>
    <w:rsid w:val="00A855DF"/>
    <w:rsid w:val="00A856A0"/>
    <w:rsid w:val="00A861E3"/>
    <w:rsid w:val="00A876F1"/>
    <w:rsid w:val="00A90114"/>
    <w:rsid w:val="00A909F1"/>
    <w:rsid w:val="00A90C1D"/>
    <w:rsid w:val="00A91053"/>
    <w:rsid w:val="00A911C7"/>
    <w:rsid w:val="00A91669"/>
    <w:rsid w:val="00A91B94"/>
    <w:rsid w:val="00A942C3"/>
    <w:rsid w:val="00A95802"/>
    <w:rsid w:val="00A95A58"/>
    <w:rsid w:val="00A96FA4"/>
    <w:rsid w:val="00AA0557"/>
    <w:rsid w:val="00AA05AE"/>
    <w:rsid w:val="00AA0BFE"/>
    <w:rsid w:val="00AA0DDC"/>
    <w:rsid w:val="00AA3136"/>
    <w:rsid w:val="00AA3727"/>
    <w:rsid w:val="00AA3E87"/>
    <w:rsid w:val="00AA3FE5"/>
    <w:rsid w:val="00AA40D6"/>
    <w:rsid w:val="00AA4721"/>
    <w:rsid w:val="00AA4913"/>
    <w:rsid w:val="00AA4EFB"/>
    <w:rsid w:val="00AA610C"/>
    <w:rsid w:val="00AA6384"/>
    <w:rsid w:val="00AA7205"/>
    <w:rsid w:val="00AA72A1"/>
    <w:rsid w:val="00AA75DF"/>
    <w:rsid w:val="00AA7E52"/>
    <w:rsid w:val="00AA7F30"/>
    <w:rsid w:val="00AB18FB"/>
    <w:rsid w:val="00AB1CF0"/>
    <w:rsid w:val="00AB2915"/>
    <w:rsid w:val="00AB2A27"/>
    <w:rsid w:val="00AB5D33"/>
    <w:rsid w:val="00AB6EE1"/>
    <w:rsid w:val="00AC0B8E"/>
    <w:rsid w:val="00AC0BA4"/>
    <w:rsid w:val="00AC1AA4"/>
    <w:rsid w:val="00AC1D7D"/>
    <w:rsid w:val="00AC2B37"/>
    <w:rsid w:val="00AC2EB0"/>
    <w:rsid w:val="00AC34B0"/>
    <w:rsid w:val="00AC3758"/>
    <w:rsid w:val="00AC43B6"/>
    <w:rsid w:val="00AC50E4"/>
    <w:rsid w:val="00AC5443"/>
    <w:rsid w:val="00AC5547"/>
    <w:rsid w:val="00AC593C"/>
    <w:rsid w:val="00AC6829"/>
    <w:rsid w:val="00AC6974"/>
    <w:rsid w:val="00AC6977"/>
    <w:rsid w:val="00AC6E72"/>
    <w:rsid w:val="00AC79FF"/>
    <w:rsid w:val="00AC7B52"/>
    <w:rsid w:val="00AC7BD7"/>
    <w:rsid w:val="00AC7CD4"/>
    <w:rsid w:val="00AC7CF3"/>
    <w:rsid w:val="00AD24CC"/>
    <w:rsid w:val="00AD3340"/>
    <w:rsid w:val="00AD4E33"/>
    <w:rsid w:val="00AD504B"/>
    <w:rsid w:val="00AD5184"/>
    <w:rsid w:val="00AD52F5"/>
    <w:rsid w:val="00AD5D01"/>
    <w:rsid w:val="00AD67DF"/>
    <w:rsid w:val="00AD6D9A"/>
    <w:rsid w:val="00AD7760"/>
    <w:rsid w:val="00AD7A14"/>
    <w:rsid w:val="00AD7B75"/>
    <w:rsid w:val="00AE0378"/>
    <w:rsid w:val="00AE1020"/>
    <w:rsid w:val="00AE16AE"/>
    <w:rsid w:val="00AE16BA"/>
    <w:rsid w:val="00AE2347"/>
    <w:rsid w:val="00AE3113"/>
    <w:rsid w:val="00AE4206"/>
    <w:rsid w:val="00AE4913"/>
    <w:rsid w:val="00AE4DF9"/>
    <w:rsid w:val="00AE50B2"/>
    <w:rsid w:val="00AE5477"/>
    <w:rsid w:val="00AE5756"/>
    <w:rsid w:val="00AE5ABE"/>
    <w:rsid w:val="00AE63F4"/>
    <w:rsid w:val="00AE69E6"/>
    <w:rsid w:val="00AE74B9"/>
    <w:rsid w:val="00AE79C1"/>
    <w:rsid w:val="00AF33EE"/>
    <w:rsid w:val="00AF5B43"/>
    <w:rsid w:val="00AF6761"/>
    <w:rsid w:val="00B00E75"/>
    <w:rsid w:val="00B0105D"/>
    <w:rsid w:val="00B014DC"/>
    <w:rsid w:val="00B0186D"/>
    <w:rsid w:val="00B01903"/>
    <w:rsid w:val="00B02B50"/>
    <w:rsid w:val="00B02E3B"/>
    <w:rsid w:val="00B03818"/>
    <w:rsid w:val="00B05135"/>
    <w:rsid w:val="00B05E2F"/>
    <w:rsid w:val="00B06D65"/>
    <w:rsid w:val="00B0723C"/>
    <w:rsid w:val="00B075EE"/>
    <w:rsid w:val="00B11D4E"/>
    <w:rsid w:val="00B12316"/>
    <w:rsid w:val="00B12AFA"/>
    <w:rsid w:val="00B12E46"/>
    <w:rsid w:val="00B13084"/>
    <w:rsid w:val="00B134FF"/>
    <w:rsid w:val="00B13A20"/>
    <w:rsid w:val="00B160F6"/>
    <w:rsid w:val="00B171C3"/>
    <w:rsid w:val="00B17C6C"/>
    <w:rsid w:val="00B17E12"/>
    <w:rsid w:val="00B17FC3"/>
    <w:rsid w:val="00B20C38"/>
    <w:rsid w:val="00B21D39"/>
    <w:rsid w:val="00B22608"/>
    <w:rsid w:val="00B22836"/>
    <w:rsid w:val="00B22988"/>
    <w:rsid w:val="00B22B88"/>
    <w:rsid w:val="00B23FC0"/>
    <w:rsid w:val="00B246FF"/>
    <w:rsid w:val="00B25587"/>
    <w:rsid w:val="00B2614A"/>
    <w:rsid w:val="00B26442"/>
    <w:rsid w:val="00B3119B"/>
    <w:rsid w:val="00B324EE"/>
    <w:rsid w:val="00B32795"/>
    <w:rsid w:val="00B32829"/>
    <w:rsid w:val="00B32B64"/>
    <w:rsid w:val="00B333AD"/>
    <w:rsid w:val="00B33653"/>
    <w:rsid w:val="00B33B6F"/>
    <w:rsid w:val="00B34B90"/>
    <w:rsid w:val="00B352A2"/>
    <w:rsid w:val="00B35F02"/>
    <w:rsid w:val="00B35FEE"/>
    <w:rsid w:val="00B364CE"/>
    <w:rsid w:val="00B37FD4"/>
    <w:rsid w:val="00B37FF8"/>
    <w:rsid w:val="00B406F0"/>
    <w:rsid w:val="00B41147"/>
    <w:rsid w:val="00B41BCF"/>
    <w:rsid w:val="00B42EE7"/>
    <w:rsid w:val="00B42F08"/>
    <w:rsid w:val="00B43EAA"/>
    <w:rsid w:val="00B442C7"/>
    <w:rsid w:val="00B45C29"/>
    <w:rsid w:val="00B46427"/>
    <w:rsid w:val="00B47897"/>
    <w:rsid w:val="00B50828"/>
    <w:rsid w:val="00B51058"/>
    <w:rsid w:val="00B51CC8"/>
    <w:rsid w:val="00B51D57"/>
    <w:rsid w:val="00B51F29"/>
    <w:rsid w:val="00B54348"/>
    <w:rsid w:val="00B5465E"/>
    <w:rsid w:val="00B554A2"/>
    <w:rsid w:val="00B56131"/>
    <w:rsid w:val="00B56D89"/>
    <w:rsid w:val="00B5711D"/>
    <w:rsid w:val="00B57B93"/>
    <w:rsid w:val="00B60BA8"/>
    <w:rsid w:val="00B60FFA"/>
    <w:rsid w:val="00B61976"/>
    <w:rsid w:val="00B626B9"/>
    <w:rsid w:val="00B62A66"/>
    <w:rsid w:val="00B62DB7"/>
    <w:rsid w:val="00B62E97"/>
    <w:rsid w:val="00B63F62"/>
    <w:rsid w:val="00B64768"/>
    <w:rsid w:val="00B64A95"/>
    <w:rsid w:val="00B64BD3"/>
    <w:rsid w:val="00B6513F"/>
    <w:rsid w:val="00B660EC"/>
    <w:rsid w:val="00B6665B"/>
    <w:rsid w:val="00B6731A"/>
    <w:rsid w:val="00B67D14"/>
    <w:rsid w:val="00B7128B"/>
    <w:rsid w:val="00B71F14"/>
    <w:rsid w:val="00B72425"/>
    <w:rsid w:val="00B72EF4"/>
    <w:rsid w:val="00B73AC5"/>
    <w:rsid w:val="00B7471E"/>
    <w:rsid w:val="00B7491A"/>
    <w:rsid w:val="00B749C8"/>
    <w:rsid w:val="00B74D72"/>
    <w:rsid w:val="00B75AFD"/>
    <w:rsid w:val="00B762B4"/>
    <w:rsid w:val="00B765A5"/>
    <w:rsid w:val="00B7673F"/>
    <w:rsid w:val="00B76AC7"/>
    <w:rsid w:val="00B77980"/>
    <w:rsid w:val="00B804B2"/>
    <w:rsid w:val="00B80962"/>
    <w:rsid w:val="00B81334"/>
    <w:rsid w:val="00B81B78"/>
    <w:rsid w:val="00B8454A"/>
    <w:rsid w:val="00B85DF6"/>
    <w:rsid w:val="00B86844"/>
    <w:rsid w:val="00B868F3"/>
    <w:rsid w:val="00B86973"/>
    <w:rsid w:val="00B86A0F"/>
    <w:rsid w:val="00B901C8"/>
    <w:rsid w:val="00B91512"/>
    <w:rsid w:val="00B9154C"/>
    <w:rsid w:val="00B91B83"/>
    <w:rsid w:val="00B91F1A"/>
    <w:rsid w:val="00B91F6A"/>
    <w:rsid w:val="00B9211B"/>
    <w:rsid w:val="00B930E8"/>
    <w:rsid w:val="00B93722"/>
    <w:rsid w:val="00B9441C"/>
    <w:rsid w:val="00B95384"/>
    <w:rsid w:val="00B95E56"/>
    <w:rsid w:val="00B966D9"/>
    <w:rsid w:val="00B966EF"/>
    <w:rsid w:val="00B96AB2"/>
    <w:rsid w:val="00BA38B5"/>
    <w:rsid w:val="00BA3CD6"/>
    <w:rsid w:val="00BA3F2E"/>
    <w:rsid w:val="00BA403A"/>
    <w:rsid w:val="00BA44A8"/>
    <w:rsid w:val="00BA4B88"/>
    <w:rsid w:val="00BA5580"/>
    <w:rsid w:val="00BA5B02"/>
    <w:rsid w:val="00BA6091"/>
    <w:rsid w:val="00BA71B9"/>
    <w:rsid w:val="00BA7683"/>
    <w:rsid w:val="00BA7A77"/>
    <w:rsid w:val="00BA7C34"/>
    <w:rsid w:val="00BB1218"/>
    <w:rsid w:val="00BB2217"/>
    <w:rsid w:val="00BB28AA"/>
    <w:rsid w:val="00BB2CF0"/>
    <w:rsid w:val="00BB3B22"/>
    <w:rsid w:val="00BB479F"/>
    <w:rsid w:val="00BB4C14"/>
    <w:rsid w:val="00BB58E0"/>
    <w:rsid w:val="00BB68A1"/>
    <w:rsid w:val="00BB73E5"/>
    <w:rsid w:val="00BB7555"/>
    <w:rsid w:val="00BC06C5"/>
    <w:rsid w:val="00BC0BC4"/>
    <w:rsid w:val="00BC1572"/>
    <w:rsid w:val="00BC1D19"/>
    <w:rsid w:val="00BC2B2D"/>
    <w:rsid w:val="00BC436B"/>
    <w:rsid w:val="00BC44D3"/>
    <w:rsid w:val="00BC4A52"/>
    <w:rsid w:val="00BC5360"/>
    <w:rsid w:val="00BC582E"/>
    <w:rsid w:val="00BC5858"/>
    <w:rsid w:val="00BC58FC"/>
    <w:rsid w:val="00BC6097"/>
    <w:rsid w:val="00BC60D5"/>
    <w:rsid w:val="00BC6203"/>
    <w:rsid w:val="00BC72FB"/>
    <w:rsid w:val="00BC7985"/>
    <w:rsid w:val="00BC7BCC"/>
    <w:rsid w:val="00BC7D9A"/>
    <w:rsid w:val="00BD074D"/>
    <w:rsid w:val="00BD08DE"/>
    <w:rsid w:val="00BD0923"/>
    <w:rsid w:val="00BD1606"/>
    <w:rsid w:val="00BD2258"/>
    <w:rsid w:val="00BD265D"/>
    <w:rsid w:val="00BD412D"/>
    <w:rsid w:val="00BD5C44"/>
    <w:rsid w:val="00BD71D3"/>
    <w:rsid w:val="00BD73C8"/>
    <w:rsid w:val="00BE07F2"/>
    <w:rsid w:val="00BE177A"/>
    <w:rsid w:val="00BE1C34"/>
    <w:rsid w:val="00BE24D7"/>
    <w:rsid w:val="00BE28B8"/>
    <w:rsid w:val="00BE28BE"/>
    <w:rsid w:val="00BE33B9"/>
    <w:rsid w:val="00BE37CA"/>
    <w:rsid w:val="00BE3ECA"/>
    <w:rsid w:val="00BE401C"/>
    <w:rsid w:val="00BE4564"/>
    <w:rsid w:val="00BE50D3"/>
    <w:rsid w:val="00BE6188"/>
    <w:rsid w:val="00BE66C9"/>
    <w:rsid w:val="00BE7EE1"/>
    <w:rsid w:val="00BF0C12"/>
    <w:rsid w:val="00BF15AE"/>
    <w:rsid w:val="00BF16F6"/>
    <w:rsid w:val="00BF22BD"/>
    <w:rsid w:val="00BF25D1"/>
    <w:rsid w:val="00BF27C1"/>
    <w:rsid w:val="00BF27FF"/>
    <w:rsid w:val="00BF29D8"/>
    <w:rsid w:val="00BF3AD7"/>
    <w:rsid w:val="00BF4702"/>
    <w:rsid w:val="00BF4A4B"/>
    <w:rsid w:val="00BF5063"/>
    <w:rsid w:val="00BF5360"/>
    <w:rsid w:val="00BF5606"/>
    <w:rsid w:val="00BF5622"/>
    <w:rsid w:val="00BF5826"/>
    <w:rsid w:val="00BF58C8"/>
    <w:rsid w:val="00BF5ED0"/>
    <w:rsid w:val="00BF744F"/>
    <w:rsid w:val="00C00E35"/>
    <w:rsid w:val="00C01471"/>
    <w:rsid w:val="00C03407"/>
    <w:rsid w:val="00C03DA2"/>
    <w:rsid w:val="00C04333"/>
    <w:rsid w:val="00C04586"/>
    <w:rsid w:val="00C0476D"/>
    <w:rsid w:val="00C047EC"/>
    <w:rsid w:val="00C05EBF"/>
    <w:rsid w:val="00C06135"/>
    <w:rsid w:val="00C06461"/>
    <w:rsid w:val="00C070C0"/>
    <w:rsid w:val="00C0762E"/>
    <w:rsid w:val="00C07B23"/>
    <w:rsid w:val="00C07F65"/>
    <w:rsid w:val="00C1051E"/>
    <w:rsid w:val="00C10A50"/>
    <w:rsid w:val="00C12015"/>
    <w:rsid w:val="00C123F7"/>
    <w:rsid w:val="00C131DA"/>
    <w:rsid w:val="00C13C32"/>
    <w:rsid w:val="00C14141"/>
    <w:rsid w:val="00C1481A"/>
    <w:rsid w:val="00C168BD"/>
    <w:rsid w:val="00C16982"/>
    <w:rsid w:val="00C175BE"/>
    <w:rsid w:val="00C20541"/>
    <w:rsid w:val="00C20828"/>
    <w:rsid w:val="00C20D82"/>
    <w:rsid w:val="00C20F5C"/>
    <w:rsid w:val="00C210A4"/>
    <w:rsid w:val="00C22933"/>
    <w:rsid w:val="00C22F29"/>
    <w:rsid w:val="00C23021"/>
    <w:rsid w:val="00C24E82"/>
    <w:rsid w:val="00C25F1F"/>
    <w:rsid w:val="00C265E8"/>
    <w:rsid w:val="00C26EB7"/>
    <w:rsid w:val="00C27449"/>
    <w:rsid w:val="00C27E12"/>
    <w:rsid w:val="00C300A9"/>
    <w:rsid w:val="00C306B3"/>
    <w:rsid w:val="00C33F29"/>
    <w:rsid w:val="00C34363"/>
    <w:rsid w:val="00C35592"/>
    <w:rsid w:val="00C35CDE"/>
    <w:rsid w:val="00C36F57"/>
    <w:rsid w:val="00C374D1"/>
    <w:rsid w:val="00C3761E"/>
    <w:rsid w:val="00C40319"/>
    <w:rsid w:val="00C40E18"/>
    <w:rsid w:val="00C41248"/>
    <w:rsid w:val="00C41800"/>
    <w:rsid w:val="00C42572"/>
    <w:rsid w:val="00C42758"/>
    <w:rsid w:val="00C43FB0"/>
    <w:rsid w:val="00C44605"/>
    <w:rsid w:val="00C44EE0"/>
    <w:rsid w:val="00C45B3B"/>
    <w:rsid w:val="00C45DE5"/>
    <w:rsid w:val="00C45E9B"/>
    <w:rsid w:val="00C4686F"/>
    <w:rsid w:val="00C469B9"/>
    <w:rsid w:val="00C47749"/>
    <w:rsid w:val="00C47D7E"/>
    <w:rsid w:val="00C51E4A"/>
    <w:rsid w:val="00C52090"/>
    <w:rsid w:val="00C52D4F"/>
    <w:rsid w:val="00C52DE4"/>
    <w:rsid w:val="00C5365C"/>
    <w:rsid w:val="00C539E7"/>
    <w:rsid w:val="00C54787"/>
    <w:rsid w:val="00C54FFA"/>
    <w:rsid w:val="00C55041"/>
    <w:rsid w:val="00C55058"/>
    <w:rsid w:val="00C55DEC"/>
    <w:rsid w:val="00C57ECF"/>
    <w:rsid w:val="00C57EF9"/>
    <w:rsid w:val="00C6046C"/>
    <w:rsid w:val="00C60682"/>
    <w:rsid w:val="00C608D9"/>
    <w:rsid w:val="00C60C93"/>
    <w:rsid w:val="00C60CD7"/>
    <w:rsid w:val="00C60E77"/>
    <w:rsid w:val="00C614CE"/>
    <w:rsid w:val="00C616DB"/>
    <w:rsid w:val="00C6186B"/>
    <w:rsid w:val="00C624FD"/>
    <w:rsid w:val="00C62AD5"/>
    <w:rsid w:val="00C6345E"/>
    <w:rsid w:val="00C6367F"/>
    <w:rsid w:val="00C64149"/>
    <w:rsid w:val="00C6449B"/>
    <w:rsid w:val="00C6547A"/>
    <w:rsid w:val="00C66F0E"/>
    <w:rsid w:val="00C6777D"/>
    <w:rsid w:val="00C678DE"/>
    <w:rsid w:val="00C704DD"/>
    <w:rsid w:val="00C719D7"/>
    <w:rsid w:val="00C71B5D"/>
    <w:rsid w:val="00C71E2F"/>
    <w:rsid w:val="00C73643"/>
    <w:rsid w:val="00C74103"/>
    <w:rsid w:val="00C742DA"/>
    <w:rsid w:val="00C744E7"/>
    <w:rsid w:val="00C748A0"/>
    <w:rsid w:val="00C74E54"/>
    <w:rsid w:val="00C75D78"/>
    <w:rsid w:val="00C75E9E"/>
    <w:rsid w:val="00C762D9"/>
    <w:rsid w:val="00C76E0A"/>
    <w:rsid w:val="00C80121"/>
    <w:rsid w:val="00C809B6"/>
    <w:rsid w:val="00C80C0C"/>
    <w:rsid w:val="00C81337"/>
    <w:rsid w:val="00C8224A"/>
    <w:rsid w:val="00C82478"/>
    <w:rsid w:val="00C82D9F"/>
    <w:rsid w:val="00C83006"/>
    <w:rsid w:val="00C8400B"/>
    <w:rsid w:val="00C852A4"/>
    <w:rsid w:val="00C858D3"/>
    <w:rsid w:val="00C86788"/>
    <w:rsid w:val="00C86EFE"/>
    <w:rsid w:val="00C872B6"/>
    <w:rsid w:val="00C91E1F"/>
    <w:rsid w:val="00C92570"/>
    <w:rsid w:val="00C940FD"/>
    <w:rsid w:val="00C942DA"/>
    <w:rsid w:val="00C9466F"/>
    <w:rsid w:val="00C94D8E"/>
    <w:rsid w:val="00C94FE5"/>
    <w:rsid w:val="00C95353"/>
    <w:rsid w:val="00C95671"/>
    <w:rsid w:val="00C95897"/>
    <w:rsid w:val="00C95B42"/>
    <w:rsid w:val="00C96AF0"/>
    <w:rsid w:val="00C97770"/>
    <w:rsid w:val="00C97941"/>
    <w:rsid w:val="00CA00D9"/>
    <w:rsid w:val="00CA072A"/>
    <w:rsid w:val="00CA36CA"/>
    <w:rsid w:val="00CA3A9B"/>
    <w:rsid w:val="00CA4981"/>
    <w:rsid w:val="00CA4E67"/>
    <w:rsid w:val="00CA5BEE"/>
    <w:rsid w:val="00CA5C82"/>
    <w:rsid w:val="00CA6733"/>
    <w:rsid w:val="00CA7C99"/>
    <w:rsid w:val="00CB0468"/>
    <w:rsid w:val="00CB0B18"/>
    <w:rsid w:val="00CB0C74"/>
    <w:rsid w:val="00CB0F23"/>
    <w:rsid w:val="00CB210A"/>
    <w:rsid w:val="00CB23CC"/>
    <w:rsid w:val="00CB2709"/>
    <w:rsid w:val="00CB27A0"/>
    <w:rsid w:val="00CB2FF6"/>
    <w:rsid w:val="00CB3173"/>
    <w:rsid w:val="00CB3296"/>
    <w:rsid w:val="00CB419A"/>
    <w:rsid w:val="00CB558A"/>
    <w:rsid w:val="00CB5CA8"/>
    <w:rsid w:val="00CB5FAA"/>
    <w:rsid w:val="00CB64DB"/>
    <w:rsid w:val="00CB6821"/>
    <w:rsid w:val="00CB6C1C"/>
    <w:rsid w:val="00CB7817"/>
    <w:rsid w:val="00CB7D87"/>
    <w:rsid w:val="00CC01B4"/>
    <w:rsid w:val="00CC0820"/>
    <w:rsid w:val="00CC0C47"/>
    <w:rsid w:val="00CC154A"/>
    <w:rsid w:val="00CC2351"/>
    <w:rsid w:val="00CC30BF"/>
    <w:rsid w:val="00CC3BBB"/>
    <w:rsid w:val="00CC581A"/>
    <w:rsid w:val="00CC5948"/>
    <w:rsid w:val="00CC5DCF"/>
    <w:rsid w:val="00CC6465"/>
    <w:rsid w:val="00CC686B"/>
    <w:rsid w:val="00CC6A57"/>
    <w:rsid w:val="00CC7356"/>
    <w:rsid w:val="00CC74E1"/>
    <w:rsid w:val="00CD0F43"/>
    <w:rsid w:val="00CD16AB"/>
    <w:rsid w:val="00CD1B08"/>
    <w:rsid w:val="00CD1DFA"/>
    <w:rsid w:val="00CD226C"/>
    <w:rsid w:val="00CD22E6"/>
    <w:rsid w:val="00CD27C1"/>
    <w:rsid w:val="00CD2E35"/>
    <w:rsid w:val="00CD310B"/>
    <w:rsid w:val="00CD36BF"/>
    <w:rsid w:val="00CD3EAA"/>
    <w:rsid w:val="00CD4425"/>
    <w:rsid w:val="00CD4819"/>
    <w:rsid w:val="00CD4AE2"/>
    <w:rsid w:val="00CD4CE3"/>
    <w:rsid w:val="00CD5766"/>
    <w:rsid w:val="00CD610B"/>
    <w:rsid w:val="00CD66BF"/>
    <w:rsid w:val="00CD7573"/>
    <w:rsid w:val="00CD7CAB"/>
    <w:rsid w:val="00CE0A1F"/>
    <w:rsid w:val="00CE1B03"/>
    <w:rsid w:val="00CE2025"/>
    <w:rsid w:val="00CE2741"/>
    <w:rsid w:val="00CE2FB7"/>
    <w:rsid w:val="00CE2FE3"/>
    <w:rsid w:val="00CE3706"/>
    <w:rsid w:val="00CE388E"/>
    <w:rsid w:val="00CE38C6"/>
    <w:rsid w:val="00CE3912"/>
    <w:rsid w:val="00CE3ECA"/>
    <w:rsid w:val="00CE4DEA"/>
    <w:rsid w:val="00CE56D7"/>
    <w:rsid w:val="00CE57E7"/>
    <w:rsid w:val="00CE5961"/>
    <w:rsid w:val="00CE6DB9"/>
    <w:rsid w:val="00CE75ED"/>
    <w:rsid w:val="00CE7B25"/>
    <w:rsid w:val="00CF0635"/>
    <w:rsid w:val="00CF0E15"/>
    <w:rsid w:val="00CF20F5"/>
    <w:rsid w:val="00CF3A06"/>
    <w:rsid w:val="00CF3AFE"/>
    <w:rsid w:val="00CF41A2"/>
    <w:rsid w:val="00CF45E7"/>
    <w:rsid w:val="00CF5283"/>
    <w:rsid w:val="00CF574C"/>
    <w:rsid w:val="00CF669B"/>
    <w:rsid w:val="00CF79FD"/>
    <w:rsid w:val="00D0080B"/>
    <w:rsid w:val="00D0109A"/>
    <w:rsid w:val="00D01332"/>
    <w:rsid w:val="00D01A0B"/>
    <w:rsid w:val="00D02050"/>
    <w:rsid w:val="00D024D1"/>
    <w:rsid w:val="00D0330E"/>
    <w:rsid w:val="00D03A0C"/>
    <w:rsid w:val="00D03ACD"/>
    <w:rsid w:val="00D046D3"/>
    <w:rsid w:val="00D0664F"/>
    <w:rsid w:val="00D07759"/>
    <w:rsid w:val="00D07BA9"/>
    <w:rsid w:val="00D07D1A"/>
    <w:rsid w:val="00D1020C"/>
    <w:rsid w:val="00D1061E"/>
    <w:rsid w:val="00D10EDE"/>
    <w:rsid w:val="00D11B9E"/>
    <w:rsid w:val="00D11E4F"/>
    <w:rsid w:val="00D12C44"/>
    <w:rsid w:val="00D13F76"/>
    <w:rsid w:val="00D15CFE"/>
    <w:rsid w:val="00D15E69"/>
    <w:rsid w:val="00D16EEC"/>
    <w:rsid w:val="00D17DE8"/>
    <w:rsid w:val="00D2095C"/>
    <w:rsid w:val="00D20ABA"/>
    <w:rsid w:val="00D20BA6"/>
    <w:rsid w:val="00D21CE9"/>
    <w:rsid w:val="00D221A8"/>
    <w:rsid w:val="00D22715"/>
    <w:rsid w:val="00D22763"/>
    <w:rsid w:val="00D22E9C"/>
    <w:rsid w:val="00D23A58"/>
    <w:rsid w:val="00D23BA6"/>
    <w:rsid w:val="00D2405D"/>
    <w:rsid w:val="00D249FF"/>
    <w:rsid w:val="00D24CE6"/>
    <w:rsid w:val="00D25189"/>
    <w:rsid w:val="00D25560"/>
    <w:rsid w:val="00D25827"/>
    <w:rsid w:val="00D261C9"/>
    <w:rsid w:val="00D2665C"/>
    <w:rsid w:val="00D26FFA"/>
    <w:rsid w:val="00D315C2"/>
    <w:rsid w:val="00D31645"/>
    <w:rsid w:val="00D31796"/>
    <w:rsid w:val="00D32C26"/>
    <w:rsid w:val="00D330F6"/>
    <w:rsid w:val="00D346DE"/>
    <w:rsid w:val="00D3478E"/>
    <w:rsid w:val="00D34BFF"/>
    <w:rsid w:val="00D37582"/>
    <w:rsid w:val="00D37D45"/>
    <w:rsid w:val="00D401F8"/>
    <w:rsid w:val="00D4025D"/>
    <w:rsid w:val="00D4068D"/>
    <w:rsid w:val="00D4112D"/>
    <w:rsid w:val="00D41918"/>
    <w:rsid w:val="00D421CA"/>
    <w:rsid w:val="00D422AD"/>
    <w:rsid w:val="00D42403"/>
    <w:rsid w:val="00D42C65"/>
    <w:rsid w:val="00D43832"/>
    <w:rsid w:val="00D444FF"/>
    <w:rsid w:val="00D44676"/>
    <w:rsid w:val="00D447E1"/>
    <w:rsid w:val="00D44F26"/>
    <w:rsid w:val="00D4523F"/>
    <w:rsid w:val="00D45650"/>
    <w:rsid w:val="00D45F05"/>
    <w:rsid w:val="00D46060"/>
    <w:rsid w:val="00D46FAE"/>
    <w:rsid w:val="00D47137"/>
    <w:rsid w:val="00D5003D"/>
    <w:rsid w:val="00D504FB"/>
    <w:rsid w:val="00D508D5"/>
    <w:rsid w:val="00D50E06"/>
    <w:rsid w:val="00D519F8"/>
    <w:rsid w:val="00D51B3C"/>
    <w:rsid w:val="00D51C30"/>
    <w:rsid w:val="00D523D1"/>
    <w:rsid w:val="00D5259C"/>
    <w:rsid w:val="00D52E1F"/>
    <w:rsid w:val="00D538E1"/>
    <w:rsid w:val="00D54B55"/>
    <w:rsid w:val="00D55EAE"/>
    <w:rsid w:val="00D55FA0"/>
    <w:rsid w:val="00D570E3"/>
    <w:rsid w:val="00D57E3F"/>
    <w:rsid w:val="00D57FC7"/>
    <w:rsid w:val="00D617C3"/>
    <w:rsid w:val="00D61EC2"/>
    <w:rsid w:val="00D6328E"/>
    <w:rsid w:val="00D63D14"/>
    <w:rsid w:val="00D63E74"/>
    <w:rsid w:val="00D643EA"/>
    <w:rsid w:val="00D65E76"/>
    <w:rsid w:val="00D65F12"/>
    <w:rsid w:val="00D66854"/>
    <w:rsid w:val="00D66A10"/>
    <w:rsid w:val="00D70099"/>
    <w:rsid w:val="00D72229"/>
    <w:rsid w:val="00D7222F"/>
    <w:rsid w:val="00D72897"/>
    <w:rsid w:val="00D72EE6"/>
    <w:rsid w:val="00D73C11"/>
    <w:rsid w:val="00D73CF2"/>
    <w:rsid w:val="00D74B3B"/>
    <w:rsid w:val="00D74CAD"/>
    <w:rsid w:val="00D756AF"/>
    <w:rsid w:val="00D75BB7"/>
    <w:rsid w:val="00D77128"/>
    <w:rsid w:val="00D77F25"/>
    <w:rsid w:val="00D80299"/>
    <w:rsid w:val="00D80428"/>
    <w:rsid w:val="00D81046"/>
    <w:rsid w:val="00D810C3"/>
    <w:rsid w:val="00D81A50"/>
    <w:rsid w:val="00D8259A"/>
    <w:rsid w:val="00D837E6"/>
    <w:rsid w:val="00D85916"/>
    <w:rsid w:val="00D86E13"/>
    <w:rsid w:val="00D875B9"/>
    <w:rsid w:val="00D8793A"/>
    <w:rsid w:val="00D91150"/>
    <w:rsid w:val="00D91B3E"/>
    <w:rsid w:val="00D91CA4"/>
    <w:rsid w:val="00D9308B"/>
    <w:rsid w:val="00D930F7"/>
    <w:rsid w:val="00D93CBC"/>
    <w:rsid w:val="00D94B6E"/>
    <w:rsid w:val="00D94F49"/>
    <w:rsid w:val="00D95062"/>
    <w:rsid w:val="00D95960"/>
    <w:rsid w:val="00D96E60"/>
    <w:rsid w:val="00D96F79"/>
    <w:rsid w:val="00D9718A"/>
    <w:rsid w:val="00DA1164"/>
    <w:rsid w:val="00DA1915"/>
    <w:rsid w:val="00DA25F6"/>
    <w:rsid w:val="00DA2BED"/>
    <w:rsid w:val="00DA2D16"/>
    <w:rsid w:val="00DA3195"/>
    <w:rsid w:val="00DA3428"/>
    <w:rsid w:val="00DA35D2"/>
    <w:rsid w:val="00DA35F3"/>
    <w:rsid w:val="00DA39BD"/>
    <w:rsid w:val="00DA3F2E"/>
    <w:rsid w:val="00DA4749"/>
    <w:rsid w:val="00DA4BCA"/>
    <w:rsid w:val="00DA5428"/>
    <w:rsid w:val="00DA638E"/>
    <w:rsid w:val="00DA6694"/>
    <w:rsid w:val="00DA68BE"/>
    <w:rsid w:val="00DA7184"/>
    <w:rsid w:val="00DA76B4"/>
    <w:rsid w:val="00DB018C"/>
    <w:rsid w:val="00DB11F7"/>
    <w:rsid w:val="00DB2144"/>
    <w:rsid w:val="00DB22F8"/>
    <w:rsid w:val="00DB2A83"/>
    <w:rsid w:val="00DB37E4"/>
    <w:rsid w:val="00DB4070"/>
    <w:rsid w:val="00DB432C"/>
    <w:rsid w:val="00DB6A3D"/>
    <w:rsid w:val="00DB6C0D"/>
    <w:rsid w:val="00DB6C91"/>
    <w:rsid w:val="00DB6FB1"/>
    <w:rsid w:val="00DB7082"/>
    <w:rsid w:val="00DB7616"/>
    <w:rsid w:val="00DB7AAE"/>
    <w:rsid w:val="00DC0350"/>
    <w:rsid w:val="00DC0737"/>
    <w:rsid w:val="00DC2484"/>
    <w:rsid w:val="00DC26CA"/>
    <w:rsid w:val="00DC2B24"/>
    <w:rsid w:val="00DC3A3B"/>
    <w:rsid w:val="00DC3BCA"/>
    <w:rsid w:val="00DC4189"/>
    <w:rsid w:val="00DC41A8"/>
    <w:rsid w:val="00DC42CF"/>
    <w:rsid w:val="00DC5114"/>
    <w:rsid w:val="00DC5882"/>
    <w:rsid w:val="00DC6217"/>
    <w:rsid w:val="00DC6943"/>
    <w:rsid w:val="00DC6AA9"/>
    <w:rsid w:val="00DD10A3"/>
    <w:rsid w:val="00DD17A1"/>
    <w:rsid w:val="00DD19BD"/>
    <w:rsid w:val="00DD1AC3"/>
    <w:rsid w:val="00DD1B75"/>
    <w:rsid w:val="00DD32E5"/>
    <w:rsid w:val="00DD4204"/>
    <w:rsid w:val="00DD4286"/>
    <w:rsid w:val="00DD4906"/>
    <w:rsid w:val="00DD694D"/>
    <w:rsid w:val="00DD6B30"/>
    <w:rsid w:val="00DD7728"/>
    <w:rsid w:val="00DD7868"/>
    <w:rsid w:val="00DE059A"/>
    <w:rsid w:val="00DE0970"/>
    <w:rsid w:val="00DE0BFA"/>
    <w:rsid w:val="00DE1769"/>
    <w:rsid w:val="00DE1A9A"/>
    <w:rsid w:val="00DE2873"/>
    <w:rsid w:val="00DE2AA5"/>
    <w:rsid w:val="00DE2B18"/>
    <w:rsid w:val="00DE2B4F"/>
    <w:rsid w:val="00DE2EA3"/>
    <w:rsid w:val="00DE3811"/>
    <w:rsid w:val="00DE3908"/>
    <w:rsid w:val="00DE3C3D"/>
    <w:rsid w:val="00DE3FA8"/>
    <w:rsid w:val="00DE442E"/>
    <w:rsid w:val="00DE4474"/>
    <w:rsid w:val="00DE6955"/>
    <w:rsid w:val="00DE7257"/>
    <w:rsid w:val="00DE73CC"/>
    <w:rsid w:val="00DE79E4"/>
    <w:rsid w:val="00DF037E"/>
    <w:rsid w:val="00DF1261"/>
    <w:rsid w:val="00DF132F"/>
    <w:rsid w:val="00DF3140"/>
    <w:rsid w:val="00DF329D"/>
    <w:rsid w:val="00DF444C"/>
    <w:rsid w:val="00DF52C3"/>
    <w:rsid w:val="00DF5556"/>
    <w:rsid w:val="00DF57F2"/>
    <w:rsid w:val="00DF633E"/>
    <w:rsid w:val="00DF64C0"/>
    <w:rsid w:val="00DF6552"/>
    <w:rsid w:val="00DF6830"/>
    <w:rsid w:val="00DF6F9D"/>
    <w:rsid w:val="00E00121"/>
    <w:rsid w:val="00E00344"/>
    <w:rsid w:val="00E00818"/>
    <w:rsid w:val="00E02516"/>
    <w:rsid w:val="00E02BFC"/>
    <w:rsid w:val="00E03AAD"/>
    <w:rsid w:val="00E0433B"/>
    <w:rsid w:val="00E0480E"/>
    <w:rsid w:val="00E05050"/>
    <w:rsid w:val="00E05C50"/>
    <w:rsid w:val="00E06B0B"/>
    <w:rsid w:val="00E07A2B"/>
    <w:rsid w:val="00E07DF9"/>
    <w:rsid w:val="00E11089"/>
    <w:rsid w:val="00E11F5B"/>
    <w:rsid w:val="00E12898"/>
    <w:rsid w:val="00E1300C"/>
    <w:rsid w:val="00E130E5"/>
    <w:rsid w:val="00E13B3A"/>
    <w:rsid w:val="00E14780"/>
    <w:rsid w:val="00E148DA"/>
    <w:rsid w:val="00E148DD"/>
    <w:rsid w:val="00E14940"/>
    <w:rsid w:val="00E14FF0"/>
    <w:rsid w:val="00E1585F"/>
    <w:rsid w:val="00E15C1C"/>
    <w:rsid w:val="00E1652F"/>
    <w:rsid w:val="00E16B1A"/>
    <w:rsid w:val="00E16BFD"/>
    <w:rsid w:val="00E16D2D"/>
    <w:rsid w:val="00E16F74"/>
    <w:rsid w:val="00E17345"/>
    <w:rsid w:val="00E20241"/>
    <w:rsid w:val="00E21004"/>
    <w:rsid w:val="00E22127"/>
    <w:rsid w:val="00E22B9D"/>
    <w:rsid w:val="00E22E47"/>
    <w:rsid w:val="00E22EF1"/>
    <w:rsid w:val="00E232EF"/>
    <w:rsid w:val="00E23EC0"/>
    <w:rsid w:val="00E23F37"/>
    <w:rsid w:val="00E23FD4"/>
    <w:rsid w:val="00E2406B"/>
    <w:rsid w:val="00E24227"/>
    <w:rsid w:val="00E2460B"/>
    <w:rsid w:val="00E246AD"/>
    <w:rsid w:val="00E25D38"/>
    <w:rsid w:val="00E2688C"/>
    <w:rsid w:val="00E31767"/>
    <w:rsid w:val="00E329D9"/>
    <w:rsid w:val="00E32A4E"/>
    <w:rsid w:val="00E33789"/>
    <w:rsid w:val="00E33930"/>
    <w:rsid w:val="00E33C69"/>
    <w:rsid w:val="00E33F5E"/>
    <w:rsid w:val="00E35BD0"/>
    <w:rsid w:val="00E3665D"/>
    <w:rsid w:val="00E36B4D"/>
    <w:rsid w:val="00E37BF1"/>
    <w:rsid w:val="00E37D9C"/>
    <w:rsid w:val="00E41941"/>
    <w:rsid w:val="00E41A7C"/>
    <w:rsid w:val="00E42596"/>
    <w:rsid w:val="00E425BA"/>
    <w:rsid w:val="00E426A5"/>
    <w:rsid w:val="00E42819"/>
    <w:rsid w:val="00E4363E"/>
    <w:rsid w:val="00E43E66"/>
    <w:rsid w:val="00E44209"/>
    <w:rsid w:val="00E4478F"/>
    <w:rsid w:val="00E448DB"/>
    <w:rsid w:val="00E45811"/>
    <w:rsid w:val="00E45D76"/>
    <w:rsid w:val="00E46093"/>
    <w:rsid w:val="00E469C0"/>
    <w:rsid w:val="00E47978"/>
    <w:rsid w:val="00E5198F"/>
    <w:rsid w:val="00E51DC5"/>
    <w:rsid w:val="00E53AA6"/>
    <w:rsid w:val="00E53D96"/>
    <w:rsid w:val="00E542B8"/>
    <w:rsid w:val="00E54C88"/>
    <w:rsid w:val="00E54D5C"/>
    <w:rsid w:val="00E552A2"/>
    <w:rsid w:val="00E556C2"/>
    <w:rsid w:val="00E557F7"/>
    <w:rsid w:val="00E56DE0"/>
    <w:rsid w:val="00E57851"/>
    <w:rsid w:val="00E57F4D"/>
    <w:rsid w:val="00E608E1"/>
    <w:rsid w:val="00E6265B"/>
    <w:rsid w:val="00E6267F"/>
    <w:rsid w:val="00E63361"/>
    <w:rsid w:val="00E63C4A"/>
    <w:rsid w:val="00E6471C"/>
    <w:rsid w:val="00E647E4"/>
    <w:rsid w:val="00E64A01"/>
    <w:rsid w:val="00E64AF4"/>
    <w:rsid w:val="00E64DC3"/>
    <w:rsid w:val="00E6577E"/>
    <w:rsid w:val="00E659A5"/>
    <w:rsid w:val="00E65BC2"/>
    <w:rsid w:val="00E7004C"/>
    <w:rsid w:val="00E70DD9"/>
    <w:rsid w:val="00E7279A"/>
    <w:rsid w:val="00E73CCF"/>
    <w:rsid w:val="00E7501C"/>
    <w:rsid w:val="00E77C5E"/>
    <w:rsid w:val="00E77C9B"/>
    <w:rsid w:val="00E801A9"/>
    <w:rsid w:val="00E80D00"/>
    <w:rsid w:val="00E80D6D"/>
    <w:rsid w:val="00E816C9"/>
    <w:rsid w:val="00E81C03"/>
    <w:rsid w:val="00E83251"/>
    <w:rsid w:val="00E83D3F"/>
    <w:rsid w:val="00E83E30"/>
    <w:rsid w:val="00E84C4E"/>
    <w:rsid w:val="00E84CCF"/>
    <w:rsid w:val="00E84F4D"/>
    <w:rsid w:val="00E85973"/>
    <w:rsid w:val="00E863F1"/>
    <w:rsid w:val="00E90082"/>
    <w:rsid w:val="00E90AB6"/>
    <w:rsid w:val="00E910A0"/>
    <w:rsid w:val="00E91A4F"/>
    <w:rsid w:val="00E91AD3"/>
    <w:rsid w:val="00E91B50"/>
    <w:rsid w:val="00E91E6B"/>
    <w:rsid w:val="00E920AB"/>
    <w:rsid w:val="00E92B91"/>
    <w:rsid w:val="00E933DE"/>
    <w:rsid w:val="00E93DB6"/>
    <w:rsid w:val="00E944F4"/>
    <w:rsid w:val="00E945D6"/>
    <w:rsid w:val="00E94BCD"/>
    <w:rsid w:val="00E95CF1"/>
    <w:rsid w:val="00E96023"/>
    <w:rsid w:val="00EA024D"/>
    <w:rsid w:val="00EA11FD"/>
    <w:rsid w:val="00EA263D"/>
    <w:rsid w:val="00EA273B"/>
    <w:rsid w:val="00EA2D3F"/>
    <w:rsid w:val="00EA48B4"/>
    <w:rsid w:val="00EA5364"/>
    <w:rsid w:val="00EA60C8"/>
    <w:rsid w:val="00EA633E"/>
    <w:rsid w:val="00EB0C5C"/>
    <w:rsid w:val="00EB0C63"/>
    <w:rsid w:val="00EB1765"/>
    <w:rsid w:val="00EB1A6A"/>
    <w:rsid w:val="00EB23D7"/>
    <w:rsid w:val="00EB2D8D"/>
    <w:rsid w:val="00EB2DE6"/>
    <w:rsid w:val="00EB35E2"/>
    <w:rsid w:val="00EB4C68"/>
    <w:rsid w:val="00EB4CF2"/>
    <w:rsid w:val="00EB501B"/>
    <w:rsid w:val="00EB6319"/>
    <w:rsid w:val="00EB64CF"/>
    <w:rsid w:val="00EB690F"/>
    <w:rsid w:val="00EB6FA0"/>
    <w:rsid w:val="00EC0035"/>
    <w:rsid w:val="00EC2287"/>
    <w:rsid w:val="00EC2372"/>
    <w:rsid w:val="00EC2E10"/>
    <w:rsid w:val="00EC2F87"/>
    <w:rsid w:val="00EC30DC"/>
    <w:rsid w:val="00EC4C70"/>
    <w:rsid w:val="00EC4CE7"/>
    <w:rsid w:val="00EC5609"/>
    <w:rsid w:val="00EC6EBC"/>
    <w:rsid w:val="00ED00F6"/>
    <w:rsid w:val="00ED20CB"/>
    <w:rsid w:val="00ED2A88"/>
    <w:rsid w:val="00ED2EEB"/>
    <w:rsid w:val="00ED3C8E"/>
    <w:rsid w:val="00ED3D36"/>
    <w:rsid w:val="00ED401C"/>
    <w:rsid w:val="00ED4121"/>
    <w:rsid w:val="00ED42F4"/>
    <w:rsid w:val="00ED5914"/>
    <w:rsid w:val="00ED61A6"/>
    <w:rsid w:val="00ED739C"/>
    <w:rsid w:val="00EE1602"/>
    <w:rsid w:val="00EE1C8A"/>
    <w:rsid w:val="00EE2E2A"/>
    <w:rsid w:val="00EE3C9B"/>
    <w:rsid w:val="00EE4166"/>
    <w:rsid w:val="00EE4D1B"/>
    <w:rsid w:val="00EE4DB6"/>
    <w:rsid w:val="00EE5622"/>
    <w:rsid w:val="00EE5625"/>
    <w:rsid w:val="00EE5C8B"/>
    <w:rsid w:val="00EE5D82"/>
    <w:rsid w:val="00EE650D"/>
    <w:rsid w:val="00EE7341"/>
    <w:rsid w:val="00EE745F"/>
    <w:rsid w:val="00EE7F2A"/>
    <w:rsid w:val="00EF013F"/>
    <w:rsid w:val="00EF07BF"/>
    <w:rsid w:val="00EF16AD"/>
    <w:rsid w:val="00EF1ACC"/>
    <w:rsid w:val="00EF1D26"/>
    <w:rsid w:val="00EF25C9"/>
    <w:rsid w:val="00EF2B3F"/>
    <w:rsid w:val="00EF3C59"/>
    <w:rsid w:val="00EF3E3A"/>
    <w:rsid w:val="00EF3FB0"/>
    <w:rsid w:val="00EF50D7"/>
    <w:rsid w:val="00EF51DB"/>
    <w:rsid w:val="00EF5748"/>
    <w:rsid w:val="00EF630D"/>
    <w:rsid w:val="00EF6E80"/>
    <w:rsid w:val="00EF754E"/>
    <w:rsid w:val="00F006A5"/>
    <w:rsid w:val="00F01454"/>
    <w:rsid w:val="00F02BB7"/>
    <w:rsid w:val="00F03605"/>
    <w:rsid w:val="00F03779"/>
    <w:rsid w:val="00F03C68"/>
    <w:rsid w:val="00F04BC0"/>
    <w:rsid w:val="00F058DF"/>
    <w:rsid w:val="00F05A0C"/>
    <w:rsid w:val="00F05CC0"/>
    <w:rsid w:val="00F05D5C"/>
    <w:rsid w:val="00F06401"/>
    <w:rsid w:val="00F0713E"/>
    <w:rsid w:val="00F07969"/>
    <w:rsid w:val="00F07C44"/>
    <w:rsid w:val="00F10723"/>
    <w:rsid w:val="00F1192D"/>
    <w:rsid w:val="00F11D51"/>
    <w:rsid w:val="00F12159"/>
    <w:rsid w:val="00F12319"/>
    <w:rsid w:val="00F1234B"/>
    <w:rsid w:val="00F126F7"/>
    <w:rsid w:val="00F15752"/>
    <w:rsid w:val="00F158AC"/>
    <w:rsid w:val="00F15BB4"/>
    <w:rsid w:val="00F17B71"/>
    <w:rsid w:val="00F17DDC"/>
    <w:rsid w:val="00F20355"/>
    <w:rsid w:val="00F21781"/>
    <w:rsid w:val="00F2184C"/>
    <w:rsid w:val="00F225B6"/>
    <w:rsid w:val="00F22FD6"/>
    <w:rsid w:val="00F236C1"/>
    <w:rsid w:val="00F236C5"/>
    <w:rsid w:val="00F23A4C"/>
    <w:rsid w:val="00F2425B"/>
    <w:rsid w:val="00F25A37"/>
    <w:rsid w:val="00F25B64"/>
    <w:rsid w:val="00F27C68"/>
    <w:rsid w:val="00F304FD"/>
    <w:rsid w:val="00F319EE"/>
    <w:rsid w:val="00F32AE7"/>
    <w:rsid w:val="00F3314C"/>
    <w:rsid w:val="00F332DE"/>
    <w:rsid w:val="00F33BA3"/>
    <w:rsid w:val="00F3444C"/>
    <w:rsid w:val="00F34F69"/>
    <w:rsid w:val="00F350DB"/>
    <w:rsid w:val="00F351EF"/>
    <w:rsid w:val="00F356C8"/>
    <w:rsid w:val="00F37977"/>
    <w:rsid w:val="00F407CA"/>
    <w:rsid w:val="00F40851"/>
    <w:rsid w:val="00F408AE"/>
    <w:rsid w:val="00F41104"/>
    <w:rsid w:val="00F41FB2"/>
    <w:rsid w:val="00F42241"/>
    <w:rsid w:val="00F4312C"/>
    <w:rsid w:val="00F433CD"/>
    <w:rsid w:val="00F439FB"/>
    <w:rsid w:val="00F4430E"/>
    <w:rsid w:val="00F443F6"/>
    <w:rsid w:val="00F44918"/>
    <w:rsid w:val="00F44FE0"/>
    <w:rsid w:val="00F47186"/>
    <w:rsid w:val="00F472BD"/>
    <w:rsid w:val="00F4768D"/>
    <w:rsid w:val="00F506C4"/>
    <w:rsid w:val="00F50D02"/>
    <w:rsid w:val="00F51632"/>
    <w:rsid w:val="00F52BD2"/>
    <w:rsid w:val="00F5326C"/>
    <w:rsid w:val="00F55081"/>
    <w:rsid w:val="00F55A47"/>
    <w:rsid w:val="00F55C2E"/>
    <w:rsid w:val="00F55F5C"/>
    <w:rsid w:val="00F56639"/>
    <w:rsid w:val="00F5663E"/>
    <w:rsid w:val="00F577E4"/>
    <w:rsid w:val="00F577F2"/>
    <w:rsid w:val="00F579B9"/>
    <w:rsid w:val="00F6129C"/>
    <w:rsid w:val="00F6178F"/>
    <w:rsid w:val="00F61E65"/>
    <w:rsid w:val="00F62561"/>
    <w:rsid w:val="00F62DEE"/>
    <w:rsid w:val="00F633C3"/>
    <w:rsid w:val="00F6368A"/>
    <w:rsid w:val="00F63E85"/>
    <w:rsid w:val="00F640E6"/>
    <w:rsid w:val="00F643B0"/>
    <w:rsid w:val="00F64703"/>
    <w:rsid w:val="00F654E6"/>
    <w:rsid w:val="00F65830"/>
    <w:rsid w:val="00F65BB4"/>
    <w:rsid w:val="00F66015"/>
    <w:rsid w:val="00F668AA"/>
    <w:rsid w:val="00F669AA"/>
    <w:rsid w:val="00F67CDB"/>
    <w:rsid w:val="00F67DD4"/>
    <w:rsid w:val="00F709EF"/>
    <w:rsid w:val="00F713E6"/>
    <w:rsid w:val="00F730AE"/>
    <w:rsid w:val="00F730D1"/>
    <w:rsid w:val="00F73DD4"/>
    <w:rsid w:val="00F74831"/>
    <w:rsid w:val="00F755F1"/>
    <w:rsid w:val="00F7599B"/>
    <w:rsid w:val="00F76A17"/>
    <w:rsid w:val="00F76E7C"/>
    <w:rsid w:val="00F77202"/>
    <w:rsid w:val="00F77276"/>
    <w:rsid w:val="00F80076"/>
    <w:rsid w:val="00F8078A"/>
    <w:rsid w:val="00F81FA2"/>
    <w:rsid w:val="00F820B2"/>
    <w:rsid w:val="00F82166"/>
    <w:rsid w:val="00F8384F"/>
    <w:rsid w:val="00F83D6A"/>
    <w:rsid w:val="00F84CB3"/>
    <w:rsid w:val="00F84E67"/>
    <w:rsid w:val="00F85AAA"/>
    <w:rsid w:val="00F85D54"/>
    <w:rsid w:val="00F85ED5"/>
    <w:rsid w:val="00F86BB3"/>
    <w:rsid w:val="00F86CF0"/>
    <w:rsid w:val="00F875BB"/>
    <w:rsid w:val="00F87EF7"/>
    <w:rsid w:val="00F905C7"/>
    <w:rsid w:val="00F90A03"/>
    <w:rsid w:val="00F9110E"/>
    <w:rsid w:val="00F91310"/>
    <w:rsid w:val="00F92893"/>
    <w:rsid w:val="00F95520"/>
    <w:rsid w:val="00F95BFE"/>
    <w:rsid w:val="00F96143"/>
    <w:rsid w:val="00F96327"/>
    <w:rsid w:val="00F969B4"/>
    <w:rsid w:val="00F96B82"/>
    <w:rsid w:val="00F97631"/>
    <w:rsid w:val="00F97CC6"/>
    <w:rsid w:val="00FA0051"/>
    <w:rsid w:val="00FA08E4"/>
    <w:rsid w:val="00FA18E8"/>
    <w:rsid w:val="00FA276F"/>
    <w:rsid w:val="00FA2770"/>
    <w:rsid w:val="00FA2887"/>
    <w:rsid w:val="00FA28A1"/>
    <w:rsid w:val="00FA2BCD"/>
    <w:rsid w:val="00FA3B92"/>
    <w:rsid w:val="00FA432E"/>
    <w:rsid w:val="00FA487C"/>
    <w:rsid w:val="00FA56DE"/>
    <w:rsid w:val="00FA6133"/>
    <w:rsid w:val="00FA6B88"/>
    <w:rsid w:val="00FA7957"/>
    <w:rsid w:val="00FA7E4C"/>
    <w:rsid w:val="00FB05ED"/>
    <w:rsid w:val="00FB0D5A"/>
    <w:rsid w:val="00FB15C0"/>
    <w:rsid w:val="00FB2060"/>
    <w:rsid w:val="00FB2C5F"/>
    <w:rsid w:val="00FB3117"/>
    <w:rsid w:val="00FB3912"/>
    <w:rsid w:val="00FB4106"/>
    <w:rsid w:val="00FB4624"/>
    <w:rsid w:val="00FB4A19"/>
    <w:rsid w:val="00FB53CC"/>
    <w:rsid w:val="00FB562A"/>
    <w:rsid w:val="00FB59F1"/>
    <w:rsid w:val="00FB6A9C"/>
    <w:rsid w:val="00FB6B02"/>
    <w:rsid w:val="00FB7ED6"/>
    <w:rsid w:val="00FC073E"/>
    <w:rsid w:val="00FC0772"/>
    <w:rsid w:val="00FC12B2"/>
    <w:rsid w:val="00FC200A"/>
    <w:rsid w:val="00FC29A3"/>
    <w:rsid w:val="00FC2F5C"/>
    <w:rsid w:val="00FC333B"/>
    <w:rsid w:val="00FC38BC"/>
    <w:rsid w:val="00FC3E47"/>
    <w:rsid w:val="00FC48A9"/>
    <w:rsid w:val="00FC4CF8"/>
    <w:rsid w:val="00FC5207"/>
    <w:rsid w:val="00FC6B30"/>
    <w:rsid w:val="00FC73AA"/>
    <w:rsid w:val="00FC7AC7"/>
    <w:rsid w:val="00FC7CC0"/>
    <w:rsid w:val="00FC7F04"/>
    <w:rsid w:val="00FD0861"/>
    <w:rsid w:val="00FD08D2"/>
    <w:rsid w:val="00FD0E12"/>
    <w:rsid w:val="00FD14B1"/>
    <w:rsid w:val="00FD1961"/>
    <w:rsid w:val="00FD209C"/>
    <w:rsid w:val="00FD212A"/>
    <w:rsid w:val="00FD21C0"/>
    <w:rsid w:val="00FD29AA"/>
    <w:rsid w:val="00FD3A0F"/>
    <w:rsid w:val="00FD4D65"/>
    <w:rsid w:val="00FD507E"/>
    <w:rsid w:val="00FD51A9"/>
    <w:rsid w:val="00FD520C"/>
    <w:rsid w:val="00FD5B42"/>
    <w:rsid w:val="00FD5BD1"/>
    <w:rsid w:val="00FD5C27"/>
    <w:rsid w:val="00FD669D"/>
    <w:rsid w:val="00FD6AAF"/>
    <w:rsid w:val="00FD7390"/>
    <w:rsid w:val="00FE0CEB"/>
    <w:rsid w:val="00FE12CB"/>
    <w:rsid w:val="00FE2453"/>
    <w:rsid w:val="00FE443A"/>
    <w:rsid w:val="00FE5277"/>
    <w:rsid w:val="00FE5AAB"/>
    <w:rsid w:val="00FE5C82"/>
    <w:rsid w:val="00FE67C8"/>
    <w:rsid w:val="00FE6B3A"/>
    <w:rsid w:val="00FE7A89"/>
    <w:rsid w:val="00FE7ED2"/>
    <w:rsid w:val="00FF0A64"/>
    <w:rsid w:val="00FF2000"/>
    <w:rsid w:val="00FF284B"/>
    <w:rsid w:val="00FF2B01"/>
    <w:rsid w:val="00FF34F9"/>
    <w:rsid w:val="00FF364F"/>
    <w:rsid w:val="00FF40A5"/>
    <w:rsid w:val="00FF4F39"/>
    <w:rsid w:val="00FF5A5D"/>
    <w:rsid w:val="00FF6874"/>
    <w:rsid w:val="00FF6A38"/>
    <w:rsid w:val="00FF6E1B"/>
    <w:rsid w:val="00FF7169"/>
    <w:rsid w:val="00FF739A"/>
    <w:rsid w:val="00FF783F"/>
    <w:rsid w:val="00FF7ADE"/>
    <w:rsid w:val="00FF7F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A6523C"/>
  <w15:docId w15:val="{50B78AEE-36CA-4A49-BAC7-5D1D67A99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3152"/>
    <w:pPr>
      <w:spacing w:after="120" w:line="240" w:lineRule="auto"/>
      <w:ind w:left="720"/>
    </w:pPr>
    <w:rPr>
      <w:rFonts w:ascii="Verdana" w:hAnsi="Verdana"/>
      <w:sz w:val="24"/>
    </w:rPr>
  </w:style>
  <w:style w:type="paragraph" w:styleId="Heading1">
    <w:name w:val="heading 1"/>
    <w:basedOn w:val="Normal"/>
    <w:next w:val="Normal"/>
    <w:link w:val="Heading1Char"/>
    <w:qFormat/>
    <w:rsid w:val="00C9466F"/>
    <w:pPr>
      <w:keepNext/>
      <w:pageBreakBefore/>
      <w:numPr>
        <w:numId w:val="2"/>
      </w:numPr>
      <w:spacing w:before="240" w:after="60"/>
      <w:ind w:left="720"/>
      <w:outlineLvl w:val="0"/>
    </w:pPr>
    <w:rPr>
      <w:rFonts w:eastAsiaTheme="majorEastAsia" w:cstheme="majorBidi"/>
      <w:b/>
      <w:color w:val="1F3864" w:themeColor="accent5" w:themeShade="80"/>
      <w:sz w:val="28"/>
      <w:szCs w:val="32"/>
    </w:rPr>
  </w:style>
  <w:style w:type="paragraph" w:styleId="Heading2">
    <w:name w:val="heading 2"/>
    <w:basedOn w:val="Normal"/>
    <w:next w:val="Normal"/>
    <w:link w:val="Heading2Char"/>
    <w:unhideWhenUsed/>
    <w:qFormat/>
    <w:rsid w:val="003F5200"/>
    <w:pPr>
      <w:keepNext/>
      <w:keepLines/>
      <w:spacing w:before="240" w:after="60"/>
      <w:ind w:left="0"/>
      <w:outlineLvl w:val="1"/>
    </w:pPr>
    <w:rPr>
      <w:rFonts w:eastAsiaTheme="majorEastAsia" w:cstheme="majorBidi"/>
      <w:b/>
      <w:color w:val="1F3864" w:themeColor="accent5" w:themeShade="80"/>
      <w:sz w:val="26"/>
      <w:szCs w:val="26"/>
    </w:rPr>
  </w:style>
  <w:style w:type="paragraph" w:styleId="Heading3">
    <w:name w:val="heading 3"/>
    <w:basedOn w:val="Normal"/>
    <w:next w:val="Normal"/>
    <w:link w:val="Heading3Char"/>
    <w:unhideWhenUsed/>
    <w:qFormat/>
    <w:rsid w:val="00CB0C74"/>
    <w:pPr>
      <w:keepNext/>
      <w:keepLines/>
      <w:tabs>
        <w:tab w:val="left" w:pos="900"/>
      </w:tabs>
      <w:spacing w:before="240" w:after="60"/>
      <w:ind w:left="900" w:hanging="900"/>
      <w:outlineLvl w:val="2"/>
    </w:pPr>
    <w:rPr>
      <w:rFonts w:eastAsiaTheme="majorEastAsia" w:cstheme="majorBidi"/>
      <w:b/>
      <w:color w:val="1F3864" w:themeColor="accent5" w:themeShade="80"/>
      <w:szCs w:val="24"/>
    </w:rPr>
  </w:style>
  <w:style w:type="paragraph" w:styleId="Heading4">
    <w:name w:val="heading 4"/>
    <w:basedOn w:val="Heading3"/>
    <w:next w:val="Normal"/>
    <w:link w:val="Heading4Char"/>
    <w:unhideWhenUsed/>
    <w:qFormat/>
    <w:rsid w:val="00716001"/>
    <w:pPr>
      <w:outlineLvl w:val="3"/>
    </w:pPr>
  </w:style>
  <w:style w:type="paragraph" w:styleId="Heading5">
    <w:name w:val="heading 5"/>
    <w:basedOn w:val="Heading4"/>
    <w:next w:val="Normal"/>
    <w:link w:val="Heading5Char"/>
    <w:unhideWhenUsed/>
    <w:qFormat/>
    <w:rsid w:val="00B0186D"/>
    <w:pPr>
      <w:ind w:left="360"/>
      <w:outlineLvl w:val="4"/>
    </w:pPr>
  </w:style>
  <w:style w:type="paragraph" w:styleId="Heading6">
    <w:name w:val="heading 6"/>
    <w:basedOn w:val="Normal"/>
    <w:next w:val="Normal"/>
    <w:link w:val="Heading6Char"/>
    <w:uiPriority w:val="9"/>
    <w:unhideWhenUsed/>
    <w:qFormat/>
    <w:rsid w:val="00B0186D"/>
    <w:pPr>
      <w:keepNext/>
      <w:keepLines/>
      <w:outlineLvl w:val="5"/>
    </w:pPr>
    <w:rPr>
      <w:rFonts w:ascii="Georgia" w:eastAsiaTheme="majorEastAsia" w:hAnsi="Georgia" w:cstheme="majorBidi"/>
      <w:b/>
      <w:i/>
      <w:color w:val="1F3864" w:themeColor="accent5" w:themeShade="80"/>
    </w:rPr>
  </w:style>
  <w:style w:type="paragraph" w:styleId="Heading7">
    <w:name w:val="heading 7"/>
    <w:basedOn w:val="Normal"/>
    <w:next w:val="Normal"/>
    <w:link w:val="Heading7Char"/>
    <w:unhideWhenUsed/>
    <w:qFormat/>
    <w:rsid w:val="00542139"/>
    <w:pPr>
      <w:keepNext/>
      <w:keepLines/>
      <w:outlineLvl w:val="6"/>
    </w:pPr>
    <w:rPr>
      <w:rFonts w:eastAsiaTheme="majorEastAsia" w:cstheme="majorBidi"/>
      <w:iCs/>
    </w:rPr>
  </w:style>
  <w:style w:type="paragraph" w:styleId="Heading8">
    <w:name w:val="heading 8"/>
    <w:basedOn w:val="Normal"/>
    <w:next w:val="Normal"/>
    <w:link w:val="Heading8Char"/>
    <w:uiPriority w:val="9"/>
    <w:unhideWhenUsed/>
    <w:rsid w:val="00542139"/>
    <w:pPr>
      <w:keepNext/>
      <w:keepLines/>
      <w:outlineLvl w:val="7"/>
    </w:pPr>
    <w:rPr>
      <w:rFonts w:eastAsiaTheme="majorEastAsia" w:cstheme="majorBidi"/>
      <w:i/>
      <w:color w:val="000000" w:themeColor="text1"/>
      <w:szCs w:val="24"/>
    </w:rPr>
  </w:style>
  <w:style w:type="paragraph" w:styleId="Heading9">
    <w:name w:val="heading 9"/>
    <w:basedOn w:val="Normal"/>
    <w:next w:val="Normal"/>
    <w:link w:val="Heading9Char"/>
    <w:unhideWhenUsed/>
    <w:qFormat/>
    <w:rsid w:val="002B7A17"/>
    <w:pPr>
      <w:keepNext/>
      <w:keepLines/>
      <w:outlineLvl w:val="8"/>
    </w:pPr>
    <w:rPr>
      <w:rFonts w:eastAsiaTheme="majorEastAsia" w:cstheme="majorBidi"/>
      <w:iCs/>
      <w:color w:val="1F3864" w:themeColor="accent5"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B0186D"/>
    <w:pPr>
      <w:pBdr>
        <w:bottom w:val="single" w:sz="4" w:space="1" w:color="1F3864" w:themeColor="accent5" w:themeShade="80"/>
      </w:pBdr>
      <w:contextualSpacing/>
      <w:jc w:val="center"/>
    </w:pPr>
    <w:rPr>
      <w:rFonts w:ascii="Georgia" w:eastAsiaTheme="majorEastAsia" w:hAnsi="Georgia" w:cstheme="majorBidi"/>
      <w:b/>
      <w:color w:val="1F3864" w:themeColor="accent5" w:themeShade="80"/>
      <w:spacing w:val="-10"/>
      <w:kern w:val="28"/>
      <w:sz w:val="60"/>
      <w:szCs w:val="56"/>
    </w:rPr>
  </w:style>
  <w:style w:type="character" w:customStyle="1" w:styleId="TitleChar">
    <w:name w:val="Title Char"/>
    <w:basedOn w:val="DefaultParagraphFont"/>
    <w:link w:val="Title"/>
    <w:uiPriority w:val="10"/>
    <w:rsid w:val="00B0186D"/>
    <w:rPr>
      <w:rFonts w:ascii="Georgia" w:eastAsiaTheme="majorEastAsia" w:hAnsi="Georgia" w:cstheme="majorBidi"/>
      <w:b/>
      <w:color w:val="1F3864" w:themeColor="accent5" w:themeShade="80"/>
      <w:spacing w:val="-10"/>
      <w:kern w:val="28"/>
      <w:sz w:val="60"/>
      <w:szCs w:val="56"/>
    </w:rPr>
  </w:style>
  <w:style w:type="character" w:customStyle="1" w:styleId="Heading1Char">
    <w:name w:val="Heading 1 Char"/>
    <w:basedOn w:val="DefaultParagraphFont"/>
    <w:link w:val="Heading1"/>
    <w:rsid w:val="00C9466F"/>
    <w:rPr>
      <w:rFonts w:ascii="Verdana" w:eastAsiaTheme="majorEastAsia" w:hAnsi="Verdana" w:cstheme="majorBidi"/>
      <w:b/>
      <w:color w:val="1F3864" w:themeColor="accent5" w:themeShade="80"/>
      <w:sz w:val="28"/>
      <w:szCs w:val="32"/>
    </w:rPr>
  </w:style>
  <w:style w:type="character" w:customStyle="1" w:styleId="Heading2Char">
    <w:name w:val="Heading 2 Char"/>
    <w:basedOn w:val="DefaultParagraphFont"/>
    <w:link w:val="Heading2"/>
    <w:rsid w:val="003F5200"/>
    <w:rPr>
      <w:rFonts w:ascii="Verdana" w:eastAsiaTheme="majorEastAsia" w:hAnsi="Verdana" w:cstheme="majorBidi"/>
      <w:b/>
      <w:color w:val="1F3864" w:themeColor="accent5" w:themeShade="80"/>
      <w:sz w:val="26"/>
      <w:szCs w:val="26"/>
    </w:rPr>
  </w:style>
  <w:style w:type="paragraph" w:styleId="Subtitle">
    <w:name w:val="Subtitle"/>
    <w:basedOn w:val="Normal"/>
    <w:next w:val="Normal"/>
    <w:link w:val="SubtitleChar"/>
    <w:uiPriority w:val="11"/>
    <w:qFormat/>
    <w:rsid w:val="00B0186D"/>
    <w:pPr>
      <w:numPr>
        <w:ilvl w:val="1"/>
      </w:numPr>
      <w:ind w:left="360"/>
      <w:jc w:val="center"/>
    </w:pPr>
    <w:rPr>
      <w:rFonts w:ascii="Georgia" w:eastAsiaTheme="minorEastAsia" w:hAnsi="Georgia"/>
      <w:color w:val="1F3864" w:themeColor="accent5" w:themeShade="80"/>
      <w:spacing w:val="15"/>
      <w:sz w:val="32"/>
    </w:rPr>
  </w:style>
  <w:style w:type="character" w:customStyle="1" w:styleId="SubtitleChar">
    <w:name w:val="Subtitle Char"/>
    <w:basedOn w:val="DefaultParagraphFont"/>
    <w:link w:val="Subtitle"/>
    <w:uiPriority w:val="11"/>
    <w:rsid w:val="00B0186D"/>
    <w:rPr>
      <w:rFonts w:ascii="Georgia" w:eastAsiaTheme="minorEastAsia" w:hAnsi="Georgia"/>
      <w:color w:val="1F3864" w:themeColor="accent5" w:themeShade="80"/>
      <w:spacing w:val="15"/>
      <w:sz w:val="32"/>
    </w:rPr>
  </w:style>
  <w:style w:type="character" w:customStyle="1" w:styleId="Heading5Char">
    <w:name w:val="Heading 5 Char"/>
    <w:basedOn w:val="DefaultParagraphFont"/>
    <w:link w:val="Heading5"/>
    <w:uiPriority w:val="9"/>
    <w:rsid w:val="00B0186D"/>
    <w:rPr>
      <w:rFonts w:ascii="Georgia" w:eastAsiaTheme="majorEastAsia" w:hAnsi="Georgia" w:cstheme="majorBidi"/>
      <w:b/>
      <w:color w:val="1F3864" w:themeColor="accent5" w:themeShade="80"/>
      <w:sz w:val="24"/>
      <w:szCs w:val="24"/>
    </w:rPr>
  </w:style>
  <w:style w:type="character" w:styleId="IntenseEmphasis">
    <w:name w:val="Intense Emphasis"/>
    <w:basedOn w:val="DefaultParagraphFont"/>
    <w:uiPriority w:val="21"/>
    <w:rsid w:val="00E91AD3"/>
    <w:rPr>
      <w:rFonts w:ascii="Verdana" w:hAnsi="Verdana"/>
      <w:b/>
      <w:i w:val="0"/>
      <w:iCs/>
      <w:color w:val="C00000"/>
      <w:sz w:val="24"/>
    </w:rPr>
  </w:style>
  <w:style w:type="paragraph" w:styleId="Header">
    <w:name w:val="header"/>
    <w:basedOn w:val="Normal"/>
    <w:link w:val="HeaderChar"/>
    <w:unhideWhenUsed/>
    <w:rsid w:val="00D77128"/>
    <w:pPr>
      <w:tabs>
        <w:tab w:val="center" w:pos="4680"/>
        <w:tab w:val="right" w:pos="9360"/>
      </w:tabs>
      <w:spacing w:after="0"/>
    </w:pPr>
  </w:style>
  <w:style w:type="paragraph" w:styleId="BalloonText">
    <w:name w:val="Balloon Text"/>
    <w:basedOn w:val="Normal"/>
    <w:link w:val="BalloonTextChar"/>
    <w:uiPriority w:val="99"/>
    <w:unhideWhenUsed/>
    <w:rsid w:val="00B85DF6"/>
    <w:pPr>
      <w:spacing w:after="0"/>
    </w:pPr>
    <w:rPr>
      <w:rFonts w:cs="Segoe UI"/>
      <w:szCs w:val="18"/>
    </w:rPr>
  </w:style>
  <w:style w:type="character" w:customStyle="1" w:styleId="HeaderChar">
    <w:name w:val="Header Char"/>
    <w:basedOn w:val="DefaultParagraphFont"/>
    <w:link w:val="Header"/>
    <w:rsid w:val="00D77128"/>
    <w:rPr>
      <w:rFonts w:ascii="Verdana" w:hAnsi="Verdana"/>
      <w:sz w:val="24"/>
    </w:rPr>
  </w:style>
  <w:style w:type="paragraph" w:styleId="Footer">
    <w:name w:val="footer"/>
    <w:basedOn w:val="Normal"/>
    <w:link w:val="FooterChar"/>
    <w:uiPriority w:val="99"/>
    <w:unhideWhenUsed/>
    <w:rsid w:val="00D77128"/>
    <w:pPr>
      <w:tabs>
        <w:tab w:val="center" w:pos="4680"/>
        <w:tab w:val="right" w:pos="9360"/>
      </w:tabs>
      <w:spacing w:after="0"/>
    </w:pPr>
  </w:style>
  <w:style w:type="character" w:customStyle="1" w:styleId="FooterChar">
    <w:name w:val="Footer Char"/>
    <w:basedOn w:val="DefaultParagraphFont"/>
    <w:link w:val="Footer"/>
    <w:uiPriority w:val="99"/>
    <w:rsid w:val="00D77128"/>
    <w:rPr>
      <w:rFonts w:ascii="Verdana" w:hAnsi="Verdana"/>
      <w:sz w:val="24"/>
    </w:rPr>
  </w:style>
  <w:style w:type="paragraph" w:styleId="ListParagraph">
    <w:name w:val="List Paragraph"/>
    <w:aliases w:val="List Paragraph1,List Paragraph Char Char,Figure_name,Equipment,Numbered Indented Text,List Paragraph2,List_TIS,lp1,List Paragraph11,Number_1,new,SGLText List Paragraph,Colorful List - Accent 11,FooterText,numbered,Paragraphe de liste1"/>
    <w:basedOn w:val="Normal"/>
    <w:link w:val="ListParagraphChar"/>
    <w:uiPriority w:val="34"/>
    <w:qFormat/>
    <w:rsid w:val="006A7F81"/>
    <w:pPr>
      <w:contextualSpacing/>
    </w:pPr>
  </w:style>
  <w:style w:type="character" w:customStyle="1" w:styleId="BalloonTextChar">
    <w:name w:val="Balloon Text Char"/>
    <w:basedOn w:val="DefaultParagraphFont"/>
    <w:link w:val="BalloonText"/>
    <w:uiPriority w:val="99"/>
    <w:rsid w:val="00B85DF6"/>
    <w:rPr>
      <w:rFonts w:ascii="Verdana" w:hAnsi="Verdana" w:cs="Segoe UI"/>
      <w:sz w:val="24"/>
      <w:szCs w:val="18"/>
    </w:rPr>
  </w:style>
  <w:style w:type="character" w:styleId="Hyperlink">
    <w:name w:val="Hyperlink"/>
    <w:basedOn w:val="DefaultParagraphFont"/>
    <w:uiPriority w:val="99"/>
    <w:unhideWhenUsed/>
    <w:rsid w:val="00B85DF6"/>
    <w:rPr>
      <w:rFonts w:ascii="Verdana" w:hAnsi="Verdana"/>
      <w:color w:val="0563C1" w:themeColor="hyperlink"/>
      <w:sz w:val="24"/>
      <w:u w:val="single"/>
    </w:rPr>
  </w:style>
  <w:style w:type="character" w:customStyle="1" w:styleId="ListParagraphChar">
    <w:name w:val="List Paragraph Char"/>
    <w:aliases w:val="List Paragraph1 Char,List Paragraph Char Char Char,Figure_name Char,Equipment Char,Numbered Indented Text Char,List Paragraph2 Char,List_TIS Char,lp1 Char,List Paragraph11 Char,Number_1 Char,new Char,SGLText List Paragraph Char"/>
    <w:basedOn w:val="DefaultParagraphFont"/>
    <w:link w:val="ListParagraph"/>
    <w:uiPriority w:val="34"/>
    <w:qFormat/>
    <w:rsid w:val="006A7F81"/>
    <w:rPr>
      <w:rFonts w:ascii="Verdana" w:hAnsi="Verdana"/>
      <w:sz w:val="24"/>
    </w:rPr>
  </w:style>
  <w:style w:type="paragraph" w:styleId="BlockText">
    <w:name w:val="Block Text"/>
    <w:basedOn w:val="Normal"/>
    <w:uiPriority w:val="99"/>
    <w:unhideWhenUsed/>
    <w:rsid w:val="00B85DF6"/>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eastAsiaTheme="minorEastAsia"/>
      <w:iCs/>
      <w:color w:val="1F3864" w:themeColor="accent5" w:themeShade="80"/>
    </w:rPr>
  </w:style>
  <w:style w:type="character" w:styleId="Emphasis">
    <w:name w:val="Emphasis"/>
    <w:aliases w:val="Position Title"/>
    <w:basedOn w:val="DefaultParagraphFont"/>
    <w:uiPriority w:val="20"/>
    <w:qFormat/>
    <w:rsid w:val="00E91AD3"/>
    <w:rPr>
      <w:rFonts w:ascii="Verdana" w:hAnsi="Verdana"/>
      <w:b/>
      <w:i w:val="0"/>
      <w:iCs/>
      <w:color w:val="auto"/>
      <w:sz w:val="24"/>
    </w:rPr>
  </w:style>
  <w:style w:type="paragraph" w:styleId="FootnoteText">
    <w:name w:val="footnote text"/>
    <w:basedOn w:val="Normal"/>
    <w:link w:val="FootnoteTextChar"/>
    <w:uiPriority w:val="99"/>
    <w:semiHidden/>
    <w:unhideWhenUsed/>
    <w:rsid w:val="007972F4"/>
    <w:pPr>
      <w:spacing w:after="0"/>
    </w:pPr>
    <w:rPr>
      <w:sz w:val="20"/>
      <w:szCs w:val="20"/>
    </w:rPr>
  </w:style>
  <w:style w:type="character" w:styleId="Strong">
    <w:name w:val="Strong"/>
    <w:basedOn w:val="DefaultParagraphFont"/>
    <w:uiPriority w:val="22"/>
    <w:qFormat/>
    <w:rsid w:val="00B85DF6"/>
    <w:rPr>
      <w:rFonts w:ascii="Verdana" w:hAnsi="Verdana"/>
      <w:b/>
      <w:bCs/>
      <w:sz w:val="24"/>
    </w:rPr>
  </w:style>
  <w:style w:type="character" w:customStyle="1" w:styleId="FootnoteTextChar">
    <w:name w:val="Footnote Text Char"/>
    <w:basedOn w:val="DefaultParagraphFont"/>
    <w:link w:val="FootnoteText"/>
    <w:uiPriority w:val="99"/>
    <w:semiHidden/>
    <w:rsid w:val="007972F4"/>
    <w:rPr>
      <w:rFonts w:ascii="Verdana" w:hAnsi="Verdana"/>
      <w:sz w:val="20"/>
      <w:szCs w:val="20"/>
    </w:rPr>
  </w:style>
  <w:style w:type="character" w:styleId="FootnoteReference">
    <w:name w:val="footnote reference"/>
    <w:basedOn w:val="DefaultParagraphFont"/>
    <w:uiPriority w:val="99"/>
    <w:semiHidden/>
    <w:unhideWhenUsed/>
    <w:rsid w:val="007972F4"/>
    <w:rPr>
      <w:vertAlign w:val="superscript"/>
    </w:rPr>
  </w:style>
  <w:style w:type="paragraph" w:styleId="Quote">
    <w:name w:val="Quote"/>
    <w:next w:val="Normal"/>
    <w:link w:val="QuoteChar"/>
    <w:uiPriority w:val="29"/>
    <w:qFormat/>
    <w:rsid w:val="00390D65"/>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360" w:line="300" w:lineRule="auto"/>
      <w:ind w:left="1080" w:right="1080"/>
    </w:pPr>
    <w:rPr>
      <w:rFonts w:ascii="Verdana" w:hAnsi="Verdana"/>
      <w:iCs/>
      <w:sz w:val="24"/>
    </w:rPr>
  </w:style>
  <w:style w:type="character" w:customStyle="1" w:styleId="Heading3Char">
    <w:name w:val="Heading 3 Char"/>
    <w:basedOn w:val="DefaultParagraphFont"/>
    <w:link w:val="Heading3"/>
    <w:rsid w:val="00CB0C74"/>
    <w:rPr>
      <w:rFonts w:ascii="Verdana" w:eastAsiaTheme="majorEastAsia" w:hAnsi="Verdana" w:cstheme="majorBidi"/>
      <w:b/>
      <w:color w:val="1F3864" w:themeColor="accent5" w:themeShade="80"/>
      <w:sz w:val="24"/>
      <w:szCs w:val="24"/>
    </w:rPr>
  </w:style>
  <w:style w:type="character" w:customStyle="1" w:styleId="QuoteChar">
    <w:name w:val="Quote Char"/>
    <w:basedOn w:val="DefaultParagraphFont"/>
    <w:link w:val="Quote"/>
    <w:uiPriority w:val="29"/>
    <w:rsid w:val="00390D65"/>
    <w:rPr>
      <w:rFonts w:ascii="Verdana" w:hAnsi="Verdana"/>
      <w:iCs/>
      <w:sz w:val="24"/>
      <w:shd w:val="clear" w:color="auto" w:fill="F2F2F2" w:themeFill="background1" w:themeFillShade="F2"/>
    </w:rPr>
  </w:style>
  <w:style w:type="character" w:customStyle="1" w:styleId="Heading4Char">
    <w:name w:val="Heading 4 Char"/>
    <w:basedOn w:val="DefaultParagraphFont"/>
    <w:link w:val="Heading4"/>
    <w:rsid w:val="00716001"/>
    <w:rPr>
      <w:rFonts w:ascii="Verdana" w:eastAsiaTheme="majorEastAsia" w:hAnsi="Verdana" w:cstheme="majorBidi"/>
      <w:b/>
      <w:color w:val="1F3864" w:themeColor="accent5" w:themeShade="80"/>
      <w:sz w:val="24"/>
      <w:szCs w:val="24"/>
    </w:rPr>
  </w:style>
  <w:style w:type="paragraph" w:styleId="TOCHeading">
    <w:name w:val="TOC Heading"/>
    <w:basedOn w:val="Heading1"/>
    <w:next w:val="Normal"/>
    <w:uiPriority w:val="39"/>
    <w:unhideWhenUsed/>
    <w:qFormat/>
    <w:rsid w:val="00B85DF6"/>
    <w:pPr>
      <w:spacing w:after="0" w:line="259" w:lineRule="auto"/>
      <w:outlineLvl w:val="9"/>
    </w:pPr>
    <w:rPr>
      <w:sz w:val="32"/>
    </w:rPr>
  </w:style>
  <w:style w:type="paragraph" w:styleId="TOC1">
    <w:name w:val="toc 1"/>
    <w:basedOn w:val="Normal"/>
    <w:next w:val="Normal"/>
    <w:autoRedefine/>
    <w:uiPriority w:val="39"/>
    <w:unhideWhenUsed/>
    <w:rsid w:val="004036A7"/>
    <w:pPr>
      <w:tabs>
        <w:tab w:val="left" w:pos="360"/>
        <w:tab w:val="right" w:leader="dot" w:pos="10790"/>
      </w:tabs>
      <w:spacing w:after="100"/>
      <w:ind w:left="0"/>
    </w:pPr>
  </w:style>
  <w:style w:type="paragraph" w:styleId="TOC2">
    <w:name w:val="toc 2"/>
    <w:basedOn w:val="Normal"/>
    <w:next w:val="Normal"/>
    <w:autoRedefine/>
    <w:uiPriority w:val="39"/>
    <w:unhideWhenUsed/>
    <w:rsid w:val="001B4A2F"/>
    <w:pPr>
      <w:tabs>
        <w:tab w:val="right" w:leader="dot" w:pos="10790"/>
      </w:tabs>
      <w:spacing w:after="100"/>
      <w:ind w:left="240"/>
    </w:pPr>
  </w:style>
  <w:style w:type="paragraph" w:styleId="TOC3">
    <w:name w:val="toc 3"/>
    <w:basedOn w:val="Normal"/>
    <w:next w:val="Normal"/>
    <w:autoRedefine/>
    <w:uiPriority w:val="39"/>
    <w:unhideWhenUsed/>
    <w:rsid w:val="007D7AD3"/>
    <w:pPr>
      <w:spacing w:after="100"/>
      <w:ind w:left="480"/>
    </w:pPr>
  </w:style>
  <w:style w:type="character" w:styleId="SubtleReference">
    <w:name w:val="Subtle Reference"/>
    <w:basedOn w:val="DefaultParagraphFont"/>
    <w:uiPriority w:val="31"/>
    <w:rsid w:val="00B85DF6"/>
    <w:rPr>
      <w:rFonts w:ascii="Verdana" w:hAnsi="Verdana"/>
      <w:caps w:val="0"/>
      <w:smallCaps w:val="0"/>
      <w:color w:val="404040" w:themeColor="text1" w:themeTint="BF"/>
      <w:sz w:val="24"/>
    </w:rPr>
  </w:style>
  <w:style w:type="character" w:styleId="BookTitle">
    <w:name w:val="Book Title"/>
    <w:basedOn w:val="DefaultParagraphFont"/>
    <w:uiPriority w:val="33"/>
    <w:rsid w:val="00B85DF6"/>
    <w:rPr>
      <w:rFonts w:ascii="Verdana" w:hAnsi="Verdana"/>
      <w:b/>
      <w:bCs/>
      <w:i/>
      <w:iCs/>
      <w:spacing w:val="5"/>
      <w:sz w:val="24"/>
    </w:rPr>
  </w:style>
  <w:style w:type="paragraph" w:styleId="Caption">
    <w:name w:val="caption"/>
    <w:basedOn w:val="Normal"/>
    <w:next w:val="Normal"/>
    <w:uiPriority w:val="35"/>
    <w:unhideWhenUsed/>
    <w:qFormat/>
    <w:rsid w:val="00B85DF6"/>
    <w:rPr>
      <w:iCs/>
      <w:color w:val="44546A" w:themeColor="text2"/>
      <w:szCs w:val="18"/>
    </w:rPr>
  </w:style>
  <w:style w:type="character" w:styleId="FollowedHyperlink">
    <w:name w:val="FollowedHyperlink"/>
    <w:basedOn w:val="DefaultParagraphFont"/>
    <w:unhideWhenUsed/>
    <w:rsid w:val="00290954"/>
    <w:rPr>
      <w:color w:val="954F72" w:themeColor="followedHyperlink"/>
      <w:u w:val="single"/>
    </w:rPr>
  </w:style>
  <w:style w:type="character" w:styleId="CommentReference">
    <w:name w:val="annotation reference"/>
    <w:basedOn w:val="DefaultParagraphFont"/>
    <w:uiPriority w:val="99"/>
    <w:unhideWhenUsed/>
    <w:rsid w:val="00B85DF6"/>
    <w:rPr>
      <w:rFonts w:ascii="Verdana" w:hAnsi="Verdana"/>
      <w:sz w:val="24"/>
      <w:szCs w:val="16"/>
    </w:rPr>
  </w:style>
  <w:style w:type="paragraph" w:styleId="CommentText">
    <w:name w:val="annotation text"/>
    <w:basedOn w:val="Normal"/>
    <w:link w:val="CommentTextChar"/>
    <w:uiPriority w:val="99"/>
    <w:unhideWhenUsed/>
    <w:rsid w:val="00B85DF6"/>
    <w:rPr>
      <w:szCs w:val="20"/>
    </w:rPr>
  </w:style>
  <w:style w:type="character" w:customStyle="1" w:styleId="CommentTextChar">
    <w:name w:val="Comment Text Char"/>
    <w:basedOn w:val="DefaultParagraphFont"/>
    <w:link w:val="CommentText"/>
    <w:uiPriority w:val="99"/>
    <w:rsid w:val="00B85DF6"/>
    <w:rPr>
      <w:rFonts w:ascii="Verdana" w:hAnsi="Verdana"/>
      <w:sz w:val="24"/>
      <w:szCs w:val="20"/>
    </w:rPr>
  </w:style>
  <w:style w:type="paragraph" w:styleId="CommentSubject">
    <w:name w:val="annotation subject"/>
    <w:basedOn w:val="CommentText"/>
    <w:next w:val="CommentText"/>
    <w:link w:val="CommentSubjectChar"/>
    <w:uiPriority w:val="99"/>
    <w:unhideWhenUsed/>
    <w:rsid w:val="00B85DF6"/>
    <w:rPr>
      <w:b/>
      <w:bCs/>
    </w:rPr>
  </w:style>
  <w:style w:type="character" w:customStyle="1" w:styleId="CommentSubjectChar">
    <w:name w:val="Comment Subject Char"/>
    <w:basedOn w:val="CommentTextChar"/>
    <w:link w:val="CommentSubject"/>
    <w:uiPriority w:val="99"/>
    <w:rsid w:val="00B85DF6"/>
    <w:rPr>
      <w:rFonts w:ascii="Verdana" w:hAnsi="Verdana"/>
      <w:b/>
      <w:bCs/>
      <w:sz w:val="24"/>
      <w:szCs w:val="20"/>
    </w:rPr>
  </w:style>
  <w:style w:type="paragraph" w:styleId="NormalWeb">
    <w:name w:val="Normal (Web)"/>
    <w:basedOn w:val="Normal"/>
    <w:uiPriority w:val="99"/>
    <w:unhideWhenUsed/>
    <w:rsid w:val="00B85DF6"/>
    <w:rPr>
      <w:rFonts w:cs="Times New Roman"/>
      <w:szCs w:val="24"/>
    </w:rPr>
  </w:style>
  <w:style w:type="paragraph" w:styleId="TOAHeading">
    <w:name w:val="toa heading"/>
    <w:basedOn w:val="Normal"/>
    <w:next w:val="Normal"/>
    <w:uiPriority w:val="99"/>
    <w:semiHidden/>
    <w:unhideWhenUsed/>
    <w:rsid w:val="00B85DF6"/>
    <w:pPr>
      <w:spacing w:before="120"/>
    </w:pPr>
    <w:rPr>
      <w:rFonts w:eastAsiaTheme="majorEastAsia" w:cstheme="majorBidi"/>
      <w:b/>
      <w:bCs/>
      <w:szCs w:val="24"/>
    </w:rPr>
  </w:style>
  <w:style w:type="character" w:styleId="SubtleEmphasis">
    <w:name w:val="Subtle Emphasis"/>
    <w:basedOn w:val="DefaultParagraphFont"/>
    <w:uiPriority w:val="19"/>
    <w:qFormat/>
    <w:rsid w:val="00E91AD3"/>
    <w:rPr>
      <w:rFonts w:ascii="Verdana" w:hAnsi="Verdana"/>
      <w:b w:val="0"/>
      <w:i/>
      <w:iCs/>
      <w:color w:val="auto"/>
      <w:sz w:val="24"/>
    </w:rPr>
  </w:style>
  <w:style w:type="paragraph" w:styleId="Signature">
    <w:name w:val="Signature"/>
    <w:basedOn w:val="Normal"/>
    <w:link w:val="SignatureChar"/>
    <w:uiPriority w:val="99"/>
    <w:semiHidden/>
    <w:unhideWhenUsed/>
    <w:rsid w:val="00844CAF"/>
    <w:pPr>
      <w:spacing w:after="240"/>
      <w:ind w:left="4320"/>
    </w:pPr>
  </w:style>
  <w:style w:type="character" w:customStyle="1" w:styleId="SignatureChar">
    <w:name w:val="Signature Char"/>
    <w:basedOn w:val="DefaultParagraphFont"/>
    <w:link w:val="Signature"/>
    <w:uiPriority w:val="99"/>
    <w:semiHidden/>
    <w:rsid w:val="00844CAF"/>
    <w:rPr>
      <w:rFonts w:ascii="Verdana" w:hAnsi="Verdana"/>
      <w:sz w:val="24"/>
    </w:rPr>
  </w:style>
  <w:style w:type="paragraph" w:styleId="PlainText">
    <w:name w:val="Plain Text"/>
    <w:basedOn w:val="Normal"/>
    <w:link w:val="PlainTextChar"/>
    <w:uiPriority w:val="99"/>
    <w:semiHidden/>
    <w:unhideWhenUsed/>
    <w:rsid w:val="00844CAF"/>
    <w:pPr>
      <w:spacing w:after="0"/>
    </w:pPr>
    <w:rPr>
      <w:rFonts w:cs="Consolas"/>
      <w:szCs w:val="21"/>
    </w:rPr>
  </w:style>
  <w:style w:type="character" w:customStyle="1" w:styleId="PlainTextChar">
    <w:name w:val="Plain Text Char"/>
    <w:basedOn w:val="DefaultParagraphFont"/>
    <w:link w:val="PlainText"/>
    <w:uiPriority w:val="99"/>
    <w:semiHidden/>
    <w:rsid w:val="00844CAF"/>
    <w:rPr>
      <w:rFonts w:ascii="Verdana" w:hAnsi="Verdana" w:cs="Consolas"/>
      <w:sz w:val="24"/>
      <w:szCs w:val="21"/>
    </w:rPr>
  </w:style>
  <w:style w:type="character" w:styleId="PlaceholderText">
    <w:name w:val="Placeholder Text"/>
    <w:basedOn w:val="DefaultParagraphFont"/>
    <w:uiPriority w:val="99"/>
    <w:semiHidden/>
    <w:rsid w:val="00844CAF"/>
    <w:rPr>
      <w:rFonts w:ascii="Verdana" w:hAnsi="Verdana"/>
      <w:color w:val="3B3838" w:themeColor="background2" w:themeShade="40"/>
      <w:sz w:val="24"/>
    </w:rPr>
  </w:style>
  <w:style w:type="character" w:styleId="PageNumber">
    <w:name w:val="page number"/>
    <w:basedOn w:val="DefaultParagraphFont"/>
    <w:unhideWhenUsed/>
    <w:rsid w:val="00844CAF"/>
    <w:rPr>
      <w:rFonts w:ascii="Verdana" w:hAnsi="Verdana"/>
      <w:sz w:val="24"/>
    </w:rPr>
  </w:style>
  <w:style w:type="paragraph" w:styleId="IntenseQuote">
    <w:name w:val="Intense Quote"/>
    <w:basedOn w:val="Normal"/>
    <w:next w:val="Normal"/>
    <w:link w:val="IntenseQuoteChar"/>
    <w:uiPriority w:val="30"/>
    <w:rsid w:val="00844CAF"/>
    <w:pPr>
      <w:pBdr>
        <w:top w:val="single" w:sz="4" w:space="10" w:color="5B9BD5" w:themeColor="accent1"/>
        <w:bottom w:val="single" w:sz="4" w:space="10" w:color="5B9BD5" w:themeColor="accent1"/>
      </w:pBdr>
      <w:spacing w:before="360"/>
      <w:ind w:left="864" w:right="864"/>
      <w:jc w:val="center"/>
    </w:pPr>
    <w:rPr>
      <w:iCs/>
      <w:color w:val="1F4E79" w:themeColor="accent1" w:themeShade="80"/>
    </w:rPr>
  </w:style>
  <w:style w:type="character" w:customStyle="1" w:styleId="IntenseQuoteChar">
    <w:name w:val="Intense Quote Char"/>
    <w:basedOn w:val="DefaultParagraphFont"/>
    <w:link w:val="IntenseQuote"/>
    <w:uiPriority w:val="30"/>
    <w:rsid w:val="00844CAF"/>
    <w:rPr>
      <w:rFonts w:ascii="Verdana" w:hAnsi="Verdana"/>
      <w:iCs/>
      <w:color w:val="1F4E79" w:themeColor="accent1" w:themeShade="80"/>
      <w:sz w:val="24"/>
    </w:rPr>
  </w:style>
  <w:style w:type="character" w:styleId="IntenseReference">
    <w:name w:val="Intense Reference"/>
    <w:basedOn w:val="DefaultParagraphFont"/>
    <w:uiPriority w:val="32"/>
    <w:rsid w:val="00844CAF"/>
    <w:rPr>
      <w:rFonts w:ascii="Verdana" w:hAnsi="Verdana"/>
      <w:b/>
      <w:bCs/>
      <w:caps w:val="0"/>
      <w:smallCaps w:val="0"/>
      <w:color w:val="1F4E79" w:themeColor="accent1" w:themeShade="80"/>
      <w:spacing w:val="5"/>
      <w:sz w:val="24"/>
    </w:rPr>
  </w:style>
  <w:style w:type="paragraph" w:styleId="Index1">
    <w:name w:val="index 1"/>
    <w:basedOn w:val="Normal"/>
    <w:next w:val="Normal"/>
    <w:autoRedefine/>
    <w:uiPriority w:val="99"/>
    <w:semiHidden/>
    <w:unhideWhenUsed/>
    <w:rsid w:val="00844CAF"/>
    <w:pPr>
      <w:spacing w:after="0"/>
      <w:ind w:left="240" w:hanging="240"/>
    </w:pPr>
  </w:style>
  <w:style w:type="paragraph" w:styleId="IndexHeading">
    <w:name w:val="index heading"/>
    <w:basedOn w:val="Normal"/>
    <w:next w:val="Index1"/>
    <w:uiPriority w:val="99"/>
    <w:semiHidden/>
    <w:unhideWhenUsed/>
    <w:rsid w:val="00844CAF"/>
    <w:rPr>
      <w:rFonts w:eastAsiaTheme="majorEastAsia" w:cstheme="majorBidi"/>
      <w:b/>
      <w:bCs/>
    </w:rPr>
  </w:style>
  <w:style w:type="character" w:customStyle="1" w:styleId="Heading6Char">
    <w:name w:val="Heading 6 Char"/>
    <w:basedOn w:val="DefaultParagraphFont"/>
    <w:link w:val="Heading6"/>
    <w:uiPriority w:val="9"/>
    <w:rsid w:val="00B0186D"/>
    <w:rPr>
      <w:rFonts w:ascii="Georgia" w:eastAsiaTheme="majorEastAsia" w:hAnsi="Georgia" w:cstheme="majorBidi"/>
      <w:b/>
      <w:i/>
      <w:color w:val="1F3864" w:themeColor="accent5" w:themeShade="80"/>
      <w:sz w:val="24"/>
    </w:rPr>
  </w:style>
  <w:style w:type="character" w:customStyle="1" w:styleId="Heading7Char">
    <w:name w:val="Heading 7 Char"/>
    <w:basedOn w:val="DefaultParagraphFont"/>
    <w:link w:val="Heading7"/>
    <w:uiPriority w:val="99"/>
    <w:rsid w:val="00542139"/>
    <w:rPr>
      <w:rFonts w:ascii="Verdana" w:eastAsiaTheme="majorEastAsia" w:hAnsi="Verdana" w:cstheme="majorBidi"/>
      <w:iCs/>
      <w:sz w:val="24"/>
    </w:rPr>
  </w:style>
  <w:style w:type="character" w:customStyle="1" w:styleId="Heading8Char">
    <w:name w:val="Heading 8 Char"/>
    <w:basedOn w:val="DefaultParagraphFont"/>
    <w:link w:val="Heading8"/>
    <w:uiPriority w:val="9"/>
    <w:rsid w:val="00542139"/>
    <w:rPr>
      <w:rFonts w:ascii="Verdana" w:eastAsiaTheme="majorEastAsia" w:hAnsi="Verdana" w:cstheme="majorBidi"/>
      <w:i/>
      <w:color w:val="000000" w:themeColor="text1"/>
      <w:sz w:val="24"/>
      <w:szCs w:val="24"/>
    </w:rPr>
  </w:style>
  <w:style w:type="character" w:customStyle="1" w:styleId="Heading9Char">
    <w:name w:val="Heading 9 Char"/>
    <w:basedOn w:val="DefaultParagraphFont"/>
    <w:link w:val="Heading9"/>
    <w:uiPriority w:val="9"/>
    <w:rsid w:val="002B7A17"/>
    <w:rPr>
      <w:rFonts w:ascii="Verdana" w:eastAsiaTheme="majorEastAsia" w:hAnsi="Verdana" w:cstheme="majorBidi"/>
      <w:iCs/>
      <w:color w:val="1F3864" w:themeColor="accent5" w:themeShade="80"/>
      <w:sz w:val="24"/>
      <w:szCs w:val="24"/>
    </w:rPr>
  </w:style>
  <w:style w:type="character" w:styleId="HTMLAcronym">
    <w:name w:val="HTML Acronym"/>
    <w:basedOn w:val="DefaultParagraphFont"/>
    <w:uiPriority w:val="99"/>
    <w:semiHidden/>
    <w:unhideWhenUsed/>
    <w:rsid w:val="00735379"/>
    <w:rPr>
      <w:rFonts w:ascii="Verdana" w:hAnsi="Verdana"/>
      <w:sz w:val="24"/>
    </w:rPr>
  </w:style>
  <w:style w:type="character" w:styleId="HTMLCite">
    <w:name w:val="HTML Cite"/>
    <w:basedOn w:val="DefaultParagraphFont"/>
    <w:uiPriority w:val="99"/>
    <w:semiHidden/>
    <w:unhideWhenUsed/>
    <w:rsid w:val="00735379"/>
    <w:rPr>
      <w:rFonts w:ascii="Verdana" w:hAnsi="Verdana"/>
      <w:i/>
      <w:iCs/>
      <w:sz w:val="24"/>
    </w:rPr>
  </w:style>
  <w:style w:type="character" w:styleId="HTMLCode">
    <w:name w:val="HTML Code"/>
    <w:basedOn w:val="DefaultParagraphFont"/>
    <w:uiPriority w:val="99"/>
    <w:semiHidden/>
    <w:unhideWhenUsed/>
    <w:rsid w:val="00735379"/>
    <w:rPr>
      <w:rFonts w:ascii="Verdana" w:hAnsi="Verdana" w:cs="Consolas"/>
      <w:sz w:val="24"/>
      <w:szCs w:val="20"/>
    </w:rPr>
  </w:style>
  <w:style w:type="character" w:styleId="HTMLDefinition">
    <w:name w:val="HTML Definition"/>
    <w:basedOn w:val="DefaultParagraphFont"/>
    <w:uiPriority w:val="99"/>
    <w:semiHidden/>
    <w:unhideWhenUsed/>
    <w:rsid w:val="00735379"/>
    <w:rPr>
      <w:rFonts w:ascii="Verdana" w:hAnsi="Verdana"/>
      <w:i/>
      <w:iCs/>
      <w:sz w:val="24"/>
    </w:rPr>
  </w:style>
  <w:style w:type="character" w:styleId="HTMLKeyboard">
    <w:name w:val="HTML Keyboard"/>
    <w:basedOn w:val="DefaultParagraphFont"/>
    <w:uiPriority w:val="99"/>
    <w:semiHidden/>
    <w:unhideWhenUsed/>
    <w:rsid w:val="00735379"/>
    <w:rPr>
      <w:rFonts w:ascii="Verdana" w:hAnsi="Verdana" w:cs="Consolas"/>
      <w:sz w:val="24"/>
      <w:szCs w:val="20"/>
    </w:rPr>
  </w:style>
  <w:style w:type="paragraph" w:styleId="HTMLPreformatted">
    <w:name w:val="HTML Preformatted"/>
    <w:basedOn w:val="Normal"/>
    <w:link w:val="HTMLPreformattedChar"/>
    <w:uiPriority w:val="99"/>
    <w:semiHidden/>
    <w:unhideWhenUsed/>
    <w:rsid w:val="00735379"/>
    <w:pPr>
      <w:spacing w:after="0"/>
    </w:pPr>
    <w:rPr>
      <w:rFonts w:cs="Consolas"/>
      <w:szCs w:val="20"/>
    </w:rPr>
  </w:style>
  <w:style w:type="character" w:customStyle="1" w:styleId="HTMLPreformattedChar">
    <w:name w:val="HTML Preformatted Char"/>
    <w:basedOn w:val="DefaultParagraphFont"/>
    <w:link w:val="HTMLPreformatted"/>
    <w:uiPriority w:val="99"/>
    <w:semiHidden/>
    <w:rsid w:val="00735379"/>
    <w:rPr>
      <w:rFonts w:ascii="Verdana" w:hAnsi="Verdana" w:cs="Consolas"/>
      <w:sz w:val="24"/>
      <w:szCs w:val="20"/>
    </w:rPr>
  </w:style>
  <w:style w:type="character" w:styleId="HTMLSample">
    <w:name w:val="HTML Sample"/>
    <w:basedOn w:val="DefaultParagraphFont"/>
    <w:uiPriority w:val="99"/>
    <w:semiHidden/>
    <w:unhideWhenUsed/>
    <w:rsid w:val="00735379"/>
    <w:rPr>
      <w:rFonts w:ascii="Verdana" w:hAnsi="Verdana" w:cs="Consolas"/>
      <w:sz w:val="24"/>
      <w:szCs w:val="24"/>
    </w:rPr>
  </w:style>
  <w:style w:type="character" w:styleId="HTMLTypewriter">
    <w:name w:val="HTML Typewriter"/>
    <w:basedOn w:val="DefaultParagraphFont"/>
    <w:uiPriority w:val="99"/>
    <w:semiHidden/>
    <w:unhideWhenUsed/>
    <w:rsid w:val="00735379"/>
    <w:rPr>
      <w:rFonts w:ascii="Verdana" w:hAnsi="Verdana" w:cs="Consolas"/>
      <w:sz w:val="24"/>
      <w:szCs w:val="20"/>
    </w:rPr>
  </w:style>
  <w:style w:type="character" w:styleId="HTMLVariable">
    <w:name w:val="HTML Variable"/>
    <w:basedOn w:val="DefaultParagraphFont"/>
    <w:uiPriority w:val="99"/>
    <w:semiHidden/>
    <w:unhideWhenUsed/>
    <w:rsid w:val="00735379"/>
    <w:rPr>
      <w:rFonts w:ascii="Verdana" w:hAnsi="Verdana"/>
      <w:i/>
      <w:iCs/>
      <w:sz w:val="24"/>
    </w:rPr>
  </w:style>
  <w:style w:type="paragraph" w:styleId="MacroText">
    <w:name w:val="macro"/>
    <w:link w:val="MacroTextChar"/>
    <w:uiPriority w:val="99"/>
    <w:semiHidden/>
    <w:unhideWhenUsed/>
    <w:rsid w:val="00735379"/>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Verdana" w:hAnsi="Verdana" w:cs="Consolas"/>
      <w:sz w:val="24"/>
      <w:szCs w:val="20"/>
    </w:rPr>
  </w:style>
  <w:style w:type="character" w:customStyle="1" w:styleId="MacroTextChar">
    <w:name w:val="Macro Text Char"/>
    <w:basedOn w:val="DefaultParagraphFont"/>
    <w:link w:val="MacroText"/>
    <w:uiPriority w:val="99"/>
    <w:semiHidden/>
    <w:rsid w:val="00735379"/>
    <w:rPr>
      <w:rFonts w:ascii="Verdana" w:hAnsi="Verdana" w:cs="Consolas"/>
      <w:sz w:val="24"/>
      <w:szCs w:val="20"/>
    </w:rPr>
  </w:style>
  <w:style w:type="paragraph" w:customStyle="1" w:styleId="NB1">
    <w:name w:val="NB1"/>
    <w:basedOn w:val="ListParagraph"/>
    <w:link w:val="NB1Char"/>
    <w:qFormat/>
    <w:rsid w:val="00DC0737"/>
    <w:pPr>
      <w:numPr>
        <w:numId w:val="36"/>
      </w:numPr>
    </w:pPr>
  </w:style>
  <w:style w:type="paragraph" w:styleId="ListBullet">
    <w:name w:val="List Bullet"/>
    <w:basedOn w:val="Normal"/>
    <w:link w:val="ListBulletChar"/>
    <w:autoRedefine/>
    <w:qFormat/>
    <w:rsid w:val="00D16EEC"/>
    <w:pPr>
      <w:numPr>
        <w:numId w:val="5"/>
      </w:numPr>
      <w:spacing w:before="60" w:after="0"/>
      <w:ind w:left="1170" w:hanging="450"/>
    </w:pPr>
    <w:rPr>
      <w:rFonts w:eastAsia="Times New Roman" w:cs="Times New Roman"/>
      <w:sz w:val="22"/>
      <w:szCs w:val="20"/>
    </w:rPr>
  </w:style>
  <w:style w:type="character" w:customStyle="1" w:styleId="NB1Char">
    <w:name w:val="NB1 Char"/>
    <w:basedOn w:val="ListParagraphChar"/>
    <w:link w:val="NB1"/>
    <w:rsid w:val="00DC0737"/>
    <w:rPr>
      <w:rFonts w:ascii="Verdana" w:hAnsi="Verdana"/>
      <w:sz w:val="24"/>
    </w:rPr>
  </w:style>
  <w:style w:type="paragraph" w:customStyle="1" w:styleId="LB2">
    <w:name w:val="LB2"/>
    <w:basedOn w:val="Normal"/>
    <w:link w:val="LB2Char"/>
    <w:qFormat/>
    <w:rsid w:val="00D5259C"/>
    <w:pPr>
      <w:numPr>
        <w:numId w:val="4"/>
      </w:numPr>
      <w:spacing w:before="60" w:after="0"/>
      <w:ind w:left="2160"/>
    </w:pPr>
    <w:rPr>
      <w:rFonts w:eastAsia="Times New Roman" w:cs="Times New Roman"/>
      <w:szCs w:val="20"/>
    </w:rPr>
  </w:style>
  <w:style w:type="character" w:customStyle="1" w:styleId="LB2Char">
    <w:name w:val="LB2 Char"/>
    <w:basedOn w:val="DefaultParagraphFont"/>
    <w:link w:val="LB2"/>
    <w:rsid w:val="00D5259C"/>
    <w:rPr>
      <w:rFonts w:ascii="Verdana" w:eastAsia="Times New Roman" w:hAnsi="Verdana" w:cs="Times New Roman"/>
      <w:sz w:val="24"/>
      <w:szCs w:val="20"/>
    </w:rPr>
  </w:style>
  <w:style w:type="character" w:customStyle="1" w:styleId="ListBulletChar">
    <w:name w:val="List Bullet Char"/>
    <w:basedOn w:val="DefaultParagraphFont"/>
    <w:link w:val="ListBullet"/>
    <w:rsid w:val="00D16EEC"/>
    <w:rPr>
      <w:rFonts w:ascii="Verdana" w:eastAsia="Times New Roman" w:hAnsi="Verdana" w:cs="Times New Roman"/>
      <w:szCs w:val="20"/>
    </w:rPr>
  </w:style>
  <w:style w:type="paragraph" w:customStyle="1" w:styleId="LB1">
    <w:name w:val="LB1"/>
    <w:basedOn w:val="ListParagraph"/>
    <w:link w:val="LB1Char"/>
    <w:qFormat/>
    <w:rsid w:val="00E16D2D"/>
    <w:pPr>
      <w:numPr>
        <w:numId w:val="6"/>
      </w:numPr>
      <w:spacing w:before="60" w:after="0"/>
      <w:ind w:left="1080"/>
    </w:pPr>
  </w:style>
  <w:style w:type="paragraph" w:customStyle="1" w:styleId="LB5">
    <w:name w:val="LB5"/>
    <w:basedOn w:val="ListBullet"/>
    <w:link w:val="LB5Char"/>
    <w:qFormat/>
    <w:rsid w:val="00D16EEC"/>
    <w:pPr>
      <w:numPr>
        <w:numId w:val="8"/>
      </w:numPr>
    </w:pPr>
  </w:style>
  <w:style w:type="character" w:customStyle="1" w:styleId="LB1Char">
    <w:name w:val="LB1 Char"/>
    <w:basedOn w:val="ListParagraphChar"/>
    <w:link w:val="LB1"/>
    <w:rsid w:val="00E16D2D"/>
    <w:rPr>
      <w:rFonts w:ascii="Verdana" w:hAnsi="Verdana"/>
      <w:sz w:val="24"/>
    </w:rPr>
  </w:style>
  <w:style w:type="character" w:customStyle="1" w:styleId="LB5Char">
    <w:name w:val="LB5 Char"/>
    <w:basedOn w:val="ListBulletChar"/>
    <w:link w:val="LB5"/>
    <w:rsid w:val="00D16EEC"/>
    <w:rPr>
      <w:rFonts w:ascii="Verdana" w:eastAsia="Times New Roman" w:hAnsi="Verdana" w:cs="Times New Roman"/>
      <w:szCs w:val="20"/>
    </w:rPr>
  </w:style>
  <w:style w:type="paragraph" w:customStyle="1" w:styleId="Normal-Table">
    <w:name w:val="Normal-Table"/>
    <w:basedOn w:val="Normal"/>
    <w:link w:val="Normal-TableChar"/>
    <w:qFormat/>
    <w:rsid w:val="00B42F08"/>
    <w:pPr>
      <w:ind w:left="0"/>
    </w:pPr>
    <w:rPr>
      <w:rFonts w:eastAsia="Times New Roman" w:cs="Times New Roman"/>
      <w:szCs w:val="20"/>
    </w:rPr>
  </w:style>
  <w:style w:type="character" w:customStyle="1" w:styleId="Normal-TableChar">
    <w:name w:val="Normal-Table Char"/>
    <w:basedOn w:val="DefaultParagraphFont"/>
    <w:link w:val="Normal-Table"/>
    <w:rsid w:val="00B42F08"/>
    <w:rPr>
      <w:rFonts w:ascii="Verdana" w:eastAsia="Times New Roman" w:hAnsi="Verdana" w:cs="Times New Roman"/>
      <w:sz w:val="24"/>
      <w:szCs w:val="20"/>
    </w:rPr>
  </w:style>
  <w:style w:type="character" w:styleId="UnresolvedMention">
    <w:name w:val="Unresolved Mention"/>
    <w:basedOn w:val="DefaultParagraphFont"/>
    <w:uiPriority w:val="99"/>
    <w:semiHidden/>
    <w:unhideWhenUsed/>
    <w:rsid w:val="00D2665C"/>
    <w:rPr>
      <w:color w:val="808080"/>
      <w:shd w:val="clear" w:color="auto" w:fill="E6E6E6"/>
    </w:rPr>
  </w:style>
  <w:style w:type="table" w:styleId="TableGrid">
    <w:name w:val="Table Grid"/>
    <w:basedOn w:val="TableNormal"/>
    <w:rsid w:val="000770E6"/>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OB1">
    <w:name w:val="OB1"/>
    <w:basedOn w:val="LB1"/>
    <w:link w:val="OB1Char"/>
    <w:qFormat/>
    <w:rsid w:val="007E43F4"/>
    <w:pPr>
      <w:numPr>
        <w:ilvl w:val="1"/>
      </w:numPr>
      <w:ind w:left="1440"/>
    </w:pPr>
  </w:style>
  <w:style w:type="character" w:customStyle="1" w:styleId="OB1Char">
    <w:name w:val="OB1 Char"/>
    <w:basedOn w:val="LB1Char"/>
    <w:link w:val="OB1"/>
    <w:rsid w:val="007E43F4"/>
    <w:rPr>
      <w:rFonts w:ascii="Verdana" w:hAnsi="Verdana"/>
      <w:sz w:val="24"/>
    </w:rPr>
  </w:style>
  <w:style w:type="paragraph" w:styleId="BodyText">
    <w:name w:val="Body Text"/>
    <w:basedOn w:val="Normal"/>
    <w:link w:val="BodyTextChar"/>
    <w:rsid w:val="00F95BFE"/>
    <w:pPr>
      <w:ind w:left="0"/>
    </w:pPr>
    <w:rPr>
      <w:rFonts w:eastAsia="Times New Roman" w:cs="Times New Roman"/>
      <w:sz w:val="22"/>
      <w:szCs w:val="20"/>
    </w:rPr>
  </w:style>
  <w:style w:type="character" w:customStyle="1" w:styleId="BodyTextChar">
    <w:name w:val="Body Text Char"/>
    <w:basedOn w:val="DefaultParagraphFont"/>
    <w:link w:val="BodyText"/>
    <w:rsid w:val="00F95BFE"/>
    <w:rPr>
      <w:rFonts w:ascii="Verdana" w:eastAsia="Times New Roman" w:hAnsi="Verdana" w:cs="Times New Roman"/>
      <w:szCs w:val="20"/>
    </w:rPr>
  </w:style>
  <w:style w:type="paragraph" w:styleId="ListBullet2">
    <w:name w:val="List Bullet 2"/>
    <w:basedOn w:val="Normal"/>
    <w:unhideWhenUsed/>
    <w:qFormat/>
    <w:rsid w:val="00F236C5"/>
    <w:pPr>
      <w:numPr>
        <w:numId w:val="1"/>
      </w:numPr>
      <w:contextualSpacing/>
    </w:pPr>
  </w:style>
  <w:style w:type="paragraph" w:customStyle="1" w:styleId="NB4">
    <w:name w:val="NB4"/>
    <w:basedOn w:val="LB5"/>
    <w:link w:val="NB4Char"/>
    <w:qFormat/>
    <w:rsid w:val="00DB7AAE"/>
    <w:pPr>
      <w:numPr>
        <w:numId w:val="0"/>
      </w:numPr>
      <w:ind w:left="1980" w:hanging="1260"/>
    </w:pPr>
    <w:rPr>
      <w:sz w:val="24"/>
    </w:rPr>
  </w:style>
  <w:style w:type="character" w:customStyle="1" w:styleId="NB4Char">
    <w:name w:val="NB4 Char"/>
    <w:basedOn w:val="LB5Char"/>
    <w:link w:val="NB4"/>
    <w:rsid w:val="00DB7AAE"/>
    <w:rPr>
      <w:rFonts w:ascii="Verdana" w:eastAsia="Times New Roman" w:hAnsi="Verdana" w:cs="Times New Roman"/>
      <w:sz w:val="24"/>
      <w:szCs w:val="20"/>
    </w:rPr>
  </w:style>
  <w:style w:type="paragraph" w:customStyle="1" w:styleId="TableText">
    <w:name w:val="Table Text"/>
    <w:aliases w:val="table text,tt"/>
    <w:basedOn w:val="Normal"/>
    <w:link w:val="TableTextChar"/>
    <w:rsid w:val="005D0E9A"/>
    <w:pPr>
      <w:spacing w:after="0" w:line="220" w:lineRule="exact"/>
      <w:ind w:left="0"/>
    </w:pPr>
    <w:rPr>
      <w:rFonts w:eastAsia="Times New Roman" w:cs="Times New Roman"/>
      <w:sz w:val="18"/>
      <w:szCs w:val="24"/>
    </w:rPr>
  </w:style>
  <w:style w:type="character" w:customStyle="1" w:styleId="TableTextChar">
    <w:name w:val="Table Text Char"/>
    <w:aliases w:val="table text Char,tt Char"/>
    <w:link w:val="TableText"/>
    <w:rsid w:val="005D0E9A"/>
    <w:rPr>
      <w:rFonts w:ascii="Verdana" w:eastAsia="Times New Roman" w:hAnsi="Verdana" w:cs="Times New Roman"/>
      <w:sz w:val="18"/>
      <w:szCs w:val="24"/>
    </w:rPr>
  </w:style>
  <w:style w:type="character" w:customStyle="1" w:styleId="TableHeadingChar">
    <w:name w:val="Table Heading Char"/>
    <w:basedOn w:val="DefaultParagraphFont"/>
    <w:link w:val="TableHeading"/>
    <w:locked/>
    <w:rsid w:val="005D0E9A"/>
    <w:rPr>
      <w:rFonts w:ascii="Arial" w:hAnsi="Arial" w:cs="Arial"/>
      <w:b/>
      <w:bCs/>
    </w:rPr>
  </w:style>
  <w:style w:type="paragraph" w:customStyle="1" w:styleId="TableHeading">
    <w:name w:val="Table Heading"/>
    <w:basedOn w:val="Normal"/>
    <w:link w:val="TableHeadingChar"/>
    <w:rsid w:val="005D0E9A"/>
    <w:pPr>
      <w:keepNext/>
      <w:spacing w:before="40" w:after="40"/>
      <w:ind w:left="0"/>
      <w:jc w:val="center"/>
    </w:pPr>
    <w:rPr>
      <w:rFonts w:ascii="Arial" w:hAnsi="Arial" w:cs="Arial"/>
      <w:b/>
      <w:bCs/>
      <w:sz w:val="22"/>
    </w:rPr>
  </w:style>
  <w:style w:type="character" w:styleId="LineNumber">
    <w:name w:val="line number"/>
    <w:basedOn w:val="DefaultParagraphFont"/>
    <w:rsid w:val="00C6186B"/>
  </w:style>
  <w:style w:type="paragraph" w:styleId="ListBullet3">
    <w:name w:val="List Bullet 3"/>
    <w:basedOn w:val="Normal"/>
    <w:autoRedefine/>
    <w:rsid w:val="00C6186B"/>
    <w:pPr>
      <w:tabs>
        <w:tab w:val="num" w:pos="1080"/>
      </w:tabs>
      <w:ind w:left="1080" w:hanging="360"/>
    </w:pPr>
    <w:rPr>
      <w:rFonts w:eastAsia="Times New Roman" w:cs="Times New Roman"/>
      <w:sz w:val="22"/>
      <w:szCs w:val="20"/>
    </w:rPr>
  </w:style>
  <w:style w:type="paragraph" w:styleId="ListBullet4">
    <w:name w:val="List Bullet 4"/>
    <w:basedOn w:val="Normal"/>
    <w:autoRedefine/>
    <w:rsid w:val="00C6186B"/>
    <w:pPr>
      <w:tabs>
        <w:tab w:val="num" w:pos="1440"/>
      </w:tabs>
      <w:ind w:left="1440" w:hanging="360"/>
    </w:pPr>
    <w:rPr>
      <w:rFonts w:eastAsia="Times New Roman" w:cs="Times New Roman"/>
      <w:sz w:val="22"/>
      <w:szCs w:val="20"/>
    </w:rPr>
  </w:style>
  <w:style w:type="paragraph" w:styleId="ListBullet5">
    <w:name w:val="List Bullet 5"/>
    <w:basedOn w:val="Normal"/>
    <w:autoRedefine/>
    <w:rsid w:val="00C6186B"/>
    <w:pPr>
      <w:tabs>
        <w:tab w:val="num" w:pos="1800"/>
      </w:tabs>
      <w:ind w:left="1800" w:hanging="360"/>
    </w:pPr>
    <w:rPr>
      <w:rFonts w:eastAsia="Times New Roman" w:cs="Times New Roman"/>
      <w:sz w:val="22"/>
      <w:szCs w:val="20"/>
    </w:rPr>
  </w:style>
  <w:style w:type="numbering" w:customStyle="1" w:styleId="Bullets">
    <w:name w:val="Bullets"/>
    <w:basedOn w:val="NoList"/>
    <w:rsid w:val="00C6186B"/>
    <w:pPr>
      <w:numPr>
        <w:numId w:val="17"/>
      </w:numPr>
    </w:pPr>
  </w:style>
  <w:style w:type="paragraph" w:customStyle="1" w:styleId="StyleListBulletTimesNewRoman">
    <w:name w:val="Style List Bullet + Times New Roman"/>
    <w:basedOn w:val="ListBullet"/>
    <w:rsid w:val="00C6186B"/>
    <w:pPr>
      <w:numPr>
        <w:ilvl w:val="1"/>
        <w:numId w:val="18"/>
      </w:numPr>
      <w:tabs>
        <w:tab w:val="clear" w:pos="720"/>
        <w:tab w:val="num" w:pos="360"/>
      </w:tabs>
      <w:ind w:left="357" w:hanging="357"/>
    </w:pPr>
    <w:rPr>
      <w:rFonts w:ascii="Times New Roman" w:hAnsi="Times New Roman"/>
      <w:sz w:val="24"/>
    </w:rPr>
  </w:style>
  <w:style w:type="paragraph" w:customStyle="1" w:styleId="ABodyBullet1">
    <w:name w:val="A_Body Bullet 1"/>
    <w:rsid w:val="00C6186B"/>
    <w:pPr>
      <w:tabs>
        <w:tab w:val="left" w:pos="432"/>
      </w:tabs>
      <w:spacing w:before="60" w:after="60" w:line="240" w:lineRule="auto"/>
      <w:ind w:left="432" w:hanging="432"/>
    </w:pPr>
    <w:rPr>
      <w:rFonts w:ascii="Arial" w:eastAsia="Times New Roman" w:hAnsi="Arial" w:cs="Times New Roman"/>
      <w:sz w:val="24"/>
      <w:szCs w:val="20"/>
    </w:rPr>
  </w:style>
  <w:style w:type="paragraph" w:customStyle="1" w:styleId="Table-bullet">
    <w:name w:val="Table-bullet"/>
    <w:basedOn w:val="Normal"/>
    <w:rsid w:val="00C6186B"/>
    <w:pPr>
      <w:numPr>
        <w:numId w:val="19"/>
      </w:numPr>
      <w:tabs>
        <w:tab w:val="left" w:pos="180"/>
      </w:tabs>
      <w:spacing w:line="220" w:lineRule="exact"/>
    </w:pPr>
    <w:rPr>
      <w:rFonts w:eastAsia="Times New Roman" w:cs="Times New Roman"/>
      <w:sz w:val="18"/>
      <w:szCs w:val="24"/>
    </w:rPr>
  </w:style>
  <w:style w:type="paragraph" w:customStyle="1" w:styleId="Default">
    <w:name w:val="Default"/>
    <w:rsid w:val="00C6186B"/>
    <w:pPr>
      <w:autoSpaceDE w:val="0"/>
      <w:autoSpaceDN w:val="0"/>
      <w:adjustRightInd w:val="0"/>
      <w:spacing w:after="0" w:line="240" w:lineRule="auto"/>
    </w:pPr>
    <w:rPr>
      <w:rFonts w:ascii="Trebuchet MS" w:eastAsia="Calibri" w:hAnsi="Trebuchet MS" w:cs="Trebuchet MS"/>
      <w:color w:val="000000"/>
      <w:sz w:val="24"/>
      <w:szCs w:val="24"/>
    </w:rPr>
  </w:style>
  <w:style w:type="paragraph" w:customStyle="1" w:styleId="bullet20">
    <w:name w:val="bullet 2"/>
    <w:basedOn w:val="Normal"/>
    <w:rsid w:val="00C6186B"/>
    <w:pPr>
      <w:numPr>
        <w:numId w:val="20"/>
      </w:numPr>
    </w:pPr>
    <w:rPr>
      <w:rFonts w:eastAsia="Times New Roman" w:cs="Arial"/>
      <w:sz w:val="22"/>
    </w:rPr>
  </w:style>
  <w:style w:type="paragraph" w:styleId="BodyTextIndent">
    <w:name w:val="Body Text Indent"/>
    <w:basedOn w:val="Normal"/>
    <w:link w:val="BodyTextIndentChar"/>
    <w:rsid w:val="00C6186B"/>
    <w:pPr>
      <w:widowControl w:val="0"/>
      <w:ind w:left="360"/>
    </w:pPr>
    <w:rPr>
      <w:rFonts w:ascii="Times New Roman" w:eastAsia="Times New Roman" w:hAnsi="Times New Roman" w:cs="Times New Roman"/>
      <w:szCs w:val="24"/>
    </w:rPr>
  </w:style>
  <w:style w:type="character" w:customStyle="1" w:styleId="BodyTextIndentChar">
    <w:name w:val="Body Text Indent Char"/>
    <w:basedOn w:val="DefaultParagraphFont"/>
    <w:link w:val="BodyTextIndent"/>
    <w:rsid w:val="00C6186B"/>
    <w:rPr>
      <w:rFonts w:ascii="Times New Roman" w:eastAsia="Times New Roman" w:hAnsi="Times New Roman" w:cs="Times New Roman"/>
      <w:sz w:val="24"/>
      <w:szCs w:val="24"/>
    </w:rPr>
  </w:style>
  <w:style w:type="paragraph" w:styleId="Revision">
    <w:name w:val="Revision"/>
    <w:hidden/>
    <w:uiPriority w:val="99"/>
    <w:semiHidden/>
    <w:rsid w:val="00C6186B"/>
    <w:pPr>
      <w:spacing w:after="0" w:line="240" w:lineRule="auto"/>
    </w:pPr>
    <w:rPr>
      <w:rFonts w:ascii="Bookman Old Style" w:eastAsia="Times New Roman" w:hAnsi="Bookman Old Style" w:cs="Times New Roman"/>
      <w:szCs w:val="20"/>
    </w:rPr>
  </w:style>
  <w:style w:type="character" w:customStyle="1" w:styleId="st">
    <w:name w:val="st"/>
    <w:basedOn w:val="DefaultParagraphFont"/>
    <w:rsid w:val="00C6186B"/>
  </w:style>
  <w:style w:type="paragraph" w:styleId="BodyTextIndent3">
    <w:name w:val="Body Text Indent 3"/>
    <w:basedOn w:val="Normal"/>
    <w:link w:val="BodyTextIndent3Char"/>
    <w:rsid w:val="00C6186B"/>
    <w:pPr>
      <w:ind w:left="360"/>
    </w:pPr>
    <w:rPr>
      <w:rFonts w:eastAsia="Times New Roman" w:cs="Times New Roman"/>
      <w:sz w:val="16"/>
      <w:szCs w:val="16"/>
    </w:rPr>
  </w:style>
  <w:style w:type="character" w:customStyle="1" w:styleId="BodyTextIndent3Char">
    <w:name w:val="Body Text Indent 3 Char"/>
    <w:basedOn w:val="DefaultParagraphFont"/>
    <w:link w:val="BodyTextIndent3"/>
    <w:rsid w:val="00C6186B"/>
    <w:rPr>
      <w:rFonts w:ascii="Verdana" w:eastAsia="Times New Roman" w:hAnsi="Verdana" w:cs="Times New Roman"/>
      <w:sz w:val="16"/>
      <w:szCs w:val="16"/>
    </w:rPr>
  </w:style>
  <w:style w:type="paragraph" w:customStyle="1" w:styleId="Bullet2">
    <w:name w:val="Bullet 2"/>
    <w:basedOn w:val="Normal"/>
    <w:rsid w:val="00C6186B"/>
    <w:pPr>
      <w:numPr>
        <w:numId w:val="21"/>
      </w:numPr>
      <w:spacing w:after="0"/>
    </w:pPr>
    <w:rPr>
      <w:rFonts w:eastAsia="Times New Roman" w:cs="Times New Roman"/>
      <w:sz w:val="22"/>
      <w:szCs w:val="20"/>
    </w:rPr>
  </w:style>
  <w:style w:type="paragraph" w:customStyle="1" w:styleId="C1HNumber">
    <w:name w:val="C1H Number"/>
    <w:basedOn w:val="BodyText"/>
    <w:rsid w:val="00C6186B"/>
    <w:pPr>
      <w:tabs>
        <w:tab w:val="num" w:pos="3960"/>
      </w:tabs>
      <w:spacing w:before="115" w:after="0"/>
      <w:ind w:left="3960" w:hanging="360"/>
    </w:pPr>
    <w:rPr>
      <w:rFonts w:ascii="Times New Roman" w:hAnsi="Times New Roman"/>
      <w:sz w:val="20"/>
    </w:rPr>
  </w:style>
  <w:style w:type="paragraph" w:customStyle="1" w:styleId="List-bullet">
    <w:name w:val="List-bullet"/>
    <w:basedOn w:val="Normal"/>
    <w:rsid w:val="00C6186B"/>
    <w:pPr>
      <w:numPr>
        <w:numId w:val="22"/>
      </w:numPr>
      <w:tabs>
        <w:tab w:val="clear" w:pos="1454"/>
        <w:tab w:val="left" w:pos="1080"/>
      </w:tabs>
      <w:spacing w:after="200" w:line="300" w:lineRule="exact"/>
      <w:ind w:left="1080" w:hanging="180"/>
    </w:pPr>
    <w:rPr>
      <w:rFonts w:eastAsia="Times New Roman" w:cs="Times New Roman"/>
      <w:sz w:val="20"/>
      <w:szCs w:val="24"/>
    </w:rPr>
  </w:style>
  <w:style w:type="character" w:customStyle="1" w:styleId="apple-converted-space">
    <w:name w:val="apple-converted-space"/>
    <w:rsid w:val="00C6186B"/>
  </w:style>
  <w:style w:type="character" w:customStyle="1" w:styleId="m8271826894569797603m3734016101994273547m-602163327831572045gmail-im">
    <w:name w:val="m_8271826894569797603m_3734016101994273547m_-602163327831572045gmail-im"/>
    <w:basedOn w:val="DefaultParagraphFont"/>
    <w:rsid w:val="00C6186B"/>
  </w:style>
  <w:style w:type="paragraph" w:styleId="NoSpacing">
    <w:name w:val="No Spacing"/>
    <w:link w:val="NoSpacingChar"/>
    <w:uiPriority w:val="1"/>
    <w:qFormat/>
    <w:rsid w:val="00C6186B"/>
    <w:pPr>
      <w:spacing w:after="0" w:line="240" w:lineRule="auto"/>
    </w:pPr>
    <w:rPr>
      <w:rFonts w:ascii="Calibri" w:eastAsia="Calibri" w:hAnsi="Calibri" w:cs="Times New Roman"/>
    </w:rPr>
  </w:style>
  <w:style w:type="paragraph" w:styleId="TOC4">
    <w:name w:val="toc 4"/>
    <w:basedOn w:val="Normal"/>
    <w:next w:val="Normal"/>
    <w:autoRedefine/>
    <w:uiPriority w:val="39"/>
    <w:unhideWhenUsed/>
    <w:rsid w:val="00C6186B"/>
    <w:pPr>
      <w:spacing w:after="100" w:line="276" w:lineRule="auto"/>
      <w:ind w:left="660"/>
    </w:pPr>
    <w:rPr>
      <w:rFonts w:asciiTheme="minorHAnsi" w:eastAsiaTheme="minorEastAsia" w:hAnsiTheme="minorHAnsi"/>
      <w:sz w:val="22"/>
    </w:rPr>
  </w:style>
  <w:style w:type="paragraph" w:styleId="TOC5">
    <w:name w:val="toc 5"/>
    <w:basedOn w:val="Normal"/>
    <w:next w:val="Normal"/>
    <w:autoRedefine/>
    <w:uiPriority w:val="39"/>
    <w:unhideWhenUsed/>
    <w:rsid w:val="00C6186B"/>
    <w:pPr>
      <w:spacing w:after="100" w:line="276" w:lineRule="auto"/>
      <w:ind w:left="880"/>
    </w:pPr>
    <w:rPr>
      <w:rFonts w:asciiTheme="minorHAnsi" w:eastAsiaTheme="minorEastAsia" w:hAnsiTheme="minorHAnsi"/>
      <w:sz w:val="22"/>
    </w:rPr>
  </w:style>
  <w:style w:type="paragraph" w:styleId="TOC6">
    <w:name w:val="toc 6"/>
    <w:basedOn w:val="Normal"/>
    <w:next w:val="Normal"/>
    <w:autoRedefine/>
    <w:uiPriority w:val="39"/>
    <w:unhideWhenUsed/>
    <w:rsid w:val="00C6186B"/>
    <w:pPr>
      <w:spacing w:after="100" w:line="276"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C6186B"/>
    <w:pPr>
      <w:spacing w:after="100" w:line="276"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C6186B"/>
    <w:pPr>
      <w:spacing w:after="100" w:line="276"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C6186B"/>
    <w:pPr>
      <w:spacing w:after="100" w:line="276" w:lineRule="auto"/>
      <w:ind w:left="1760"/>
    </w:pPr>
    <w:rPr>
      <w:rFonts w:asciiTheme="minorHAnsi" w:eastAsiaTheme="minorEastAsia" w:hAnsiTheme="minorHAnsi"/>
      <w:sz w:val="22"/>
    </w:rPr>
  </w:style>
  <w:style w:type="paragraph" w:customStyle="1" w:styleId="CM43">
    <w:name w:val="CM43"/>
    <w:basedOn w:val="Default"/>
    <w:next w:val="Default"/>
    <w:rsid w:val="00C6186B"/>
    <w:pPr>
      <w:widowControl w:val="0"/>
      <w:autoSpaceDE/>
      <w:autoSpaceDN/>
      <w:adjustRightInd/>
      <w:spacing w:after="555"/>
    </w:pPr>
    <w:rPr>
      <w:rFonts w:ascii="Arial" w:eastAsia="Times New Roman" w:hAnsi="Arial" w:cs="Times New Roman"/>
      <w:color w:val="auto"/>
      <w:szCs w:val="20"/>
    </w:rPr>
  </w:style>
  <w:style w:type="paragraph" w:customStyle="1" w:styleId="CM2">
    <w:name w:val="CM2"/>
    <w:basedOn w:val="Default"/>
    <w:next w:val="Default"/>
    <w:rsid w:val="00C6186B"/>
    <w:pPr>
      <w:widowControl w:val="0"/>
      <w:autoSpaceDE/>
      <w:autoSpaceDN/>
      <w:adjustRightInd/>
    </w:pPr>
    <w:rPr>
      <w:rFonts w:ascii="Arial" w:eastAsia="Times New Roman" w:hAnsi="Arial" w:cs="Times New Roman"/>
      <w:color w:val="auto"/>
      <w:szCs w:val="20"/>
    </w:rPr>
  </w:style>
  <w:style w:type="paragraph" w:customStyle="1" w:styleId="CM44">
    <w:name w:val="CM44"/>
    <w:basedOn w:val="Default"/>
    <w:next w:val="Default"/>
    <w:rsid w:val="00C6186B"/>
    <w:pPr>
      <w:widowControl w:val="0"/>
      <w:autoSpaceDE/>
      <w:autoSpaceDN/>
      <w:adjustRightInd/>
      <w:spacing w:after="263"/>
    </w:pPr>
    <w:rPr>
      <w:rFonts w:ascii="Arial" w:eastAsia="Times New Roman" w:hAnsi="Arial" w:cs="Times New Roman"/>
      <w:color w:val="auto"/>
      <w:szCs w:val="20"/>
    </w:rPr>
  </w:style>
  <w:style w:type="character" w:customStyle="1" w:styleId="NoSpacingChar">
    <w:name w:val="No Spacing Char"/>
    <w:link w:val="NoSpacing"/>
    <w:uiPriority w:val="1"/>
    <w:locked/>
    <w:rsid w:val="00C6186B"/>
    <w:rPr>
      <w:rFonts w:ascii="Calibri" w:eastAsia="Calibri" w:hAnsi="Calibri" w:cs="Times New Roman"/>
    </w:rPr>
  </w:style>
  <w:style w:type="paragraph" w:customStyle="1" w:styleId="LB4">
    <w:name w:val="LB4"/>
    <w:basedOn w:val="LB2"/>
    <w:link w:val="LB4Char"/>
    <w:qFormat/>
    <w:rsid w:val="00C6186B"/>
    <w:pPr>
      <w:numPr>
        <w:numId w:val="0"/>
      </w:numPr>
      <w:ind w:left="360" w:hanging="360"/>
    </w:pPr>
    <w:rPr>
      <w:sz w:val="20"/>
    </w:rPr>
  </w:style>
  <w:style w:type="character" w:customStyle="1" w:styleId="LB4Char">
    <w:name w:val="LB4 Char"/>
    <w:basedOn w:val="LB2Char"/>
    <w:link w:val="LB4"/>
    <w:rsid w:val="00C6186B"/>
    <w:rPr>
      <w:rFonts w:ascii="Verdana" w:eastAsia="Times New Roman" w:hAnsi="Verdana" w:cs="Times New Roman"/>
      <w:sz w:val="20"/>
      <w:szCs w:val="20"/>
    </w:rPr>
  </w:style>
  <w:style w:type="paragraph" w:customStyle="1" w:styleId="TableBullet1">
    <w:name w:val="Table Bullet1"/>
    <w:basedOn w:val="Normal"/>
    <w:rsid w:val="00C6186B"/>
    <w:pPr>
      <w:spacing w:before="40" w:after="40"/>
      <w:ind w:left="0"/>
    </w:pPr>
    <w:rPr>
      <w:rFonts w:ascii="Arial" w:eastAsia="Calibri" w:hAnsi="Arial" w:cs="Arial"/>
      <w:sz w:val="20"/>
      <w:szCs w:val="20"/>
    </w:rPr>
  </w:style>
  <w:style w:type="paragraph" w:customStyle="1" w:styleId="LB4ac">
    <w:name w:val="LB4ac"/>
    <w:basedOn w:val="LB4"/>
    <w:link w:val="LB4acChar"/>
    <w:qFormat/>
    <w:rsid w:val="00C6186B"/>
    <w:pPr>
      <w:numPr>
        <w:numId w:val="23"/>
      </w:numPr>
      <w:tabs>
        <w:tab w:val="left" w:pos="392"/>
      </w:tabs>
      <w:ind w:left="342" w:hanging="270"/>
    </w:pPr>
  </w:style>
  <w:style w:type="character" w:customStyle="1" w:styleId="LB4acChar">
    <w:name w:val="LB4ac Char"/>
    <w:basedOn w:val="LB4Char"/>
    <w:link w:val="LB4ac"/>
    <w:rsid w:val="00C6186B"/>
    <w:rPr>
      <w:rFonts w:ascii="Verdana" w:eastAsia="Times New Roman" w:hAnsi="Verdana" w:cs="Times New Roman"/>
      <w:sz w:val="20"/>
      <w:szCs w:val="20"/>
    </w:rPr>
  </w:style>
  <w:style w:type="paragraph" w:customStyle="1" w:styleId="KBulletList2">
    <w:name w:val="KBullet_List2"/>
    <w:aliases w:val="bb2,NBullet_List2"/>
    <w:basedOn w:val="ListBullet"/>
    <w:link w:val="KBulletList2Char"/>
    <w:qFormat/>
    <w:rsid w:val="00C6186B"/>
    <w:pPr>
      <w:numPr>
        <w:numId w:val="24"/>
      </w:numPr>
      <w:spacing w:before="0"/>
    </w:pPr>
    <w:rPr>
      <w:rFonts w:cs="Arial"/>
      <w:color w:val="000000" w:themeColor="text1"/>
    </w:rPr>
  </w:style>
  <w:style w:type="paragraph" w:customStyle="1" w:styleId="KBulletList3">
    <w:name w:val="KBullet_List3"/>
    <w:aliases w:val="bb3,NBullet_List3"/>
    <w:basedOn w:val="KBulletList2"/>
    <w:link w:val="KBulletList3Char"/>
    <w:rsid w:val="00C6186B"/>
    <w:pPr>
      <w:numPr>
        <w:ilvl w:val="2"/>
      </w:numPr>
      <w:tabs>
        <w:tab w:val="num" w:pos="1080"/>
      </w:tabs>
      <w:ind w:left="1080"/>
    </w:pPr>
  </w:style>
  <w:style w:type="paragraph" w:customStyle="1" w:styleId="KBulletList4">
    <w:name w:val="KBullet_List4"/>
    <w:aliases w:val="bb4"/>
    <w:basedOn w:val="KBulletList3"/>
    <w:uiPriority w:val="99"/>
    <w:unhideWhenUsed/>
    <w:rsid w:val="00C6186B"/>
    <w:pPr>
      <w:numPr>
        <w:ilvl w:val="3"/>
      </w:numPr>
    </w:pPr>
  </w:style>
  <w:style w:type="paragraph" w:customStyle="1" w:styleId="KBulletList5">
    <w:name w:val="KBullet_List5"/>
    <w:aliases w:val="bb5"/>
    <w:basedOn w:val="KBulletList4"/>
    <w:uiPriority w:val="99"/>
    <w:unhideWhenUsed/>
    <w:rsid w:val="00C6186B"/>
    <w:pPr>
      <w:numPr>
        <w:ilvl w:val="4"/>
      </w:numPr>
      <w:tabs>
        <w:tab w:val="num" w:pos="1800"/>
      </w:tabs>
      <w:ind w:left="1800"/>
    </w:pPr>
  </w:style>
  <w:style w:type="paragraph" w:customStyle="1" w:styleId="bb3blue">
    <w:name w:val="bb3blue"/>
    <w:basedOn w:val="KBulletList2"/>
    <w:link w:val="bb3blueChar"/>
    <w:qFormat/>
    <w:rsid w:val="00C6186B"/>
    <w:pPr>
      <w:numPr>
        <w:ilvl w:val="1"/>
      </w:numPr>
      <w:tabs>
        <w:tab w:val="num" w:pos="720"/>
      </w:tabs>
      <w:ind w:left="720"/>
    </w:pPr>
    <w:rPr>
      <w:i/>
      <w:color w:val="0000CC"/>
    </w:rPr>
  </w:style>
  <w:style w:type="character" w:customStyle="1" w:styleId="KBulletList2Char">
    <w:name w:val="KBullet_List2 Char"/>
    <w:aliases w:val="bb2 Char,NBullet_List2 Char"/>
    <w:basedOn w:val="ListBulletChar"/>
    <w:link w:val="KBulletList2"/>
    <w:rsid w:val="00C6186B"/>
    <w:rPr>
      <w:rFonts w:ascii="Verdana" w:eastAsia="Times New Roman" w:hAnsi="Verdana" w:cs="Arial"/>
      <w:color w:val="000000" w:themeColor="text1"/>
      <w:szCs w:val="20"/>
    </w:rPr>
  </w:style>
  <w:style w:type="paragraph" w:customStyle="1" w:styleId="rfplvl2">
    <w:name w:val="rfplvl2"/>
    <w:basedOn w:val="Normal"/>
    <w:rsid w:val="00C6186B"/>
    <w:pPr>
      <w:spacing w:after="200" w:line="360" w:lineRule="auto"/>
      <w:ind w:left="1512" w:hanging="720"/>
    </w:pPr>
    <w:rPr>
      <w:rFonts w:ascii="Times New Roman" w:hAnsi="Times New Roman" w:cs="Times New Roman"/>
      <w:szCs w:val="24"/>
    </w:rPr>
  </w:style>
  <w:style w:type="paragraph" w:customStyle="1" w:styleId="bodylvl2">
    <w:name w:val="bodylvl2"/>
    <w:basedOn w:val="Normal"/>
    <w:rsid w:val="00C6186B"/>
    <w:pPr>
      <w:spacing w:after="200" w:line="360" w:lineRule="auto"/>
      <w:ind w:left="1440"/>
    </w:pPr>
    <w:rPr>
      <w:rFonts w:ascii="Times New Roman" w:hAnsi="Times New Roman" w:cs="Times New Roman"/>
      <w:szCs w:val="24"/>
    </w:rPr>
  </w:style>
  <w:style w:type="paragraph" w:customStyle="1" w:styleId="KBulletList1">
    <w:name w:val="KBullet_List1"/>
    <w:aliases w:val="bb1,NBullet_List1"/>
    <w:basedOn w:val="ListBullet"/>
    <w:qFormat/>
    <w:rsid w:val="00655850"/>
    <w:pPr>
      <w:numPr>
        <w:numId w:val="25"/>
      </w:numPr>
      <w:ind w:left="360"/>
    </w:pPr>
    <w:rPr>
      <w:rFonts w:cs="Arial"/>
      <w:szCs w:val="22"/>
    </w:rPr>
  </w:style>
  <w:style w:type="character" w:customStyle="1" w:styleId="bb3blueChar">
    <w:name w:val="bb3blue Char"/>
    <w:basedOn w:val="KBulletList2Char"/>
    <w:link w:val="bb3blue"/>
    <w:rsid w:val="00655850"/>
    <w:rPr>
      <w:rFonts w:ascii="Verdana" w:eastAsia="Times New Roman" w:hAnsi="Verdana" w:cs="Arial"/>
      <w:i/>
      <w:color w:val="0000CC"/>
      <w:szCs w:val="20"/>
    </w:rPr>
  </w:style>
  <w:style w:type="paragraph" w:customStyle="1" w:styleId="SB1">
    <w:name w:val="SB1"/>
    <w:basedOn w:val="KBulletList3"/>
    <w:link w:val="SB1Char"/>
    <w:qFormat/>
    <w:rsid w:val="00C45DE5"/>
    <w:pPr>
      <w:tabs>
        <w:tab w:val="clear" w:pos="1080"/>
      </w:tabs>
      <w:spacing w:before="60"/>
      <w:ind w:left="1800"/>
    </w:pPr>
    <w:rPr>
      <w:sz w:val="24"/>
    </w:rPr>
  </w:style>
  <w:style w:type="character" w:customStyle="1" w:styleId="KBulletList3Char">
    <w:name w:val="KBullet_List3 Char"/>
    <w:aliases w:val="bb3 Char,NBullet_List3 Char"/>
    <w:basedOn w:val="KBulletList2Char"/>
    <w:link w:val="KBulletList3"/>
    <w:rsid w:val="00C45DE5"/>
    <w:rPr>
      <w:rFonts w:ascii="Verdana" w:eastAsia="Times New Roman" w:hAnsi="Verdana" w:cs="Arial"/>
      <w:color w:val="000000" w:themeColor="text1"/>
      <w:szCs w:val="20"/>
    </w:rPr>
  </w:style>
  <w:style w:type="character" w:customStyle="1" w:styleId="SB1Char">
    <w:name w:val="SB1 Char"/>
    <w:basedOn w:val="KBulletList3Char"/>
    <w:link w:val="SB1"/>
    <w:rsid w:val="00C45DE5"/>
    <w:rPr>
      <w:rFonts w:ascii="Verdana" w:eastAsia="Times New Roman" w:hAnsi="Verdana" w:cs="Arial"/>
      <w:color w:val="000000" w:themeColor="text1"/>
      <w:sz w:val="24"/>
      <w:szCs w:val="20"/>
    </w:rPr>
  </w:style>
  <w:style w:type="paragraph" w:customStyle="1" w:styleId="DB1">
    <w:name w:val="DB1"/>
    <w:basedOn w:val="OB1"/>
    <w:link w:val="DB1Char"/>
    <w:qFormat/>
    <w:rsid w:val="00936F99"/>
    <w:pPr>
      <w:numPr>
        <w:ilvl w:val="0"/>
        <w:numId w:val="26"/>
      </w:numPr>
      <w:ind w:left="2160"/>
    </w:pPr>
  </w:style>
  <w:style w:type="character" w:customStyle="1" w:styleId="DB1Char">
    <w:name w:val="DB1 Char"/>
    <w:basedOn w:val="OB1Char"/>
    <w:link w:val="DB1"/>
    <w:rsid w:val="00936F99"/>
    <w:rPr>
      <w:rFonts w:ascii="Verdana" w:hAnsi="Verdana"/>
      <w:sz w:val="24"/>
    </w:rPr>
  </w:style>
  <w:style w:type="paragraph" w:customStyle="1" w:styleId="LB30">
    <w:name w:val="LB3"/>
    <w:basedOn w:val="Normal"/>
    <w:link w:val="LB3Char"/>
    <w:qFormat/>
    <w:rsid w:val="00B47897"/>
    <w:pPr>
      <w:spacing w:after="0"/>
      <w:ind w:hanging="360"/>
    </w:pPr>
    <w:rPr>
      <w:rFonts w:eastAsia="Times New Roman" w:cs="Times New Roman"/>
      <w:sz w:val="22"/>
      <w:szCs w:val="20"/>
    </w:rPr>
  </w:style>
  <w:style w:type="character" w:customStyle="1" w:styleId="LB3Char">
    <w:name w:val="LB3 Char"/>
    <w:basedOn w:val="DefaultParagraphFont"/>
    <w:link w:val="LB30"/>
    <w:rsid w:val="00B47897"/>
    <w:rPr>
      <w:rFonts w:ascii="Verdana" w:eastAsia="Times New Roman" w:hAnsi="Verdana" w:cs="Times New Roman"/>
      <w:szCs w:val="20"/>
    </w:rPr>
  </w:style>
  <w:style w:type="character" w:styleId="Mention">
    <w:name w:val="Mention"/>
    <w:basedOn w:val="DefaultParagraphFont"/>
    <w:uiPriority w:val="99"/>
    <w:semiHidden/>
    <w:unhideWhenUsed/>
    <w:rsid w:val="00B47897"/>
    <w:rPr>
      <w:color w:val="2B579A"/>
      <w:shd w:val="clear" w:color="auto" w:fill="E6E6E6"/>
    </w:rPr>
  </w:style>
  <w:style w:type="paragraph" w:customStyle="1" w:styleId="lb3">
    <w:name w:val="lb3"/>
    <w:basedOn w:val="ListBullet"/>
    <w:qFormat/>
    <w:rsid w:val="00FD209C"/>
    <w:pPr>
      <w:numPr>
        <w:ilvl w:val="1"/>
        <w:numId w:val="27"/>
      </w:numPr>
    </w:pPr>
    <w:rPr>
      <w:rFonts w:cs="Arial"/>
      <w:szCs w:val="22"/>
    </w:rPr>
  </w:style>
  <w:style w:type="paragraph" w:customStyle="1" w:styleId="CB1">
    <w:name w:val="CB1"/>
    <w:basedOn w:val="DB1"/>
    <w:link w:val="CB1Char"/>
    <w:qFormat/>
    <w:rsid w:val="00E22E47"/>
    <w:pPr>
      <w:numPr>
        <w:numId w:val="28"/>
      </w:numPr>
      <w:ind w:left="2520"/>
    </w:pPr>
  </w:style>
  <w:style w:type="character" w:customStyle="1" w:styleId="CB1Char">
    <w:name w:val="CB1 Char"/>
    <w:basedOn w:val="DB1Char"/>
    <w:link w:val="CB1"/>
    <w:rsid w:val="00E22E47"/>
    <w:rPr>
      <w:rFonts w:ascii="Verdana" w:hAnsi="Verdana"/>
      <w:sz w:val="24"/>
    </w:rPr>
  </w:style>
  <w:style w:type="paragraph" w:customStyle="1" w:styleId="DiaB1">
    <w:name w:val="DiaB1"/>
    <w:basedOn w:val="LB1"/>
    <w:link w:val="DiaB1Char"/>
    <w:qFormat/>
    <w:rsid w:val="00AD67DF"/>
    <w:pPr>
      <w:numPr>
        <w:numId w:val="29"/>
      </w:numPr>
      <w:ind w:left="2880"/>
    </w:pPr>
  </w:style>
  <w:style w:type="character" w:customStyle="1" w:styleId="DiaB1Char">
    <w:name w:val="DiaB1 Char"/>
    <w:basedOn w:val="LB1Char"/>
    <w:link w:val="DiaB1"/>
    <w:rsid w:val="00AD67DF"/>
    <w:rPr>
      <w:rFonts w:ascii="Verdana" w:hAnsi="Verdana"/>
      <w:sz w:val="24"/>
    </w:rPr>
  </w:style>
  <w:style w:type="paragraph" w:customStyle="1" w:styleId="LB1-Table">
    <w:name w:val="LB1-Table"/>
    <w:basedOn w:val="LB1"/>
    <w:link w:val="LB1-TableChar"/>
    <w:qFormat/>
    <w:rsid w:val="00CB3173"/>
    <w:pPr>
      <w:ind w:left="360"/>
    </w:pPr>
    <w:rPr>
      <w:rFonts w:eastAsia="Times New Roman" w:cs="Times New Roman"/>
      <w:szCs w:val="20"/>
    </w:rPr>
  </w:style>
  <w:style w:type="character" w:customStyle="1" w:styleId="LB1-TableChar">
    <w:name w:val="LB1-Table Char"/>
    <w:basedOn w:val="LB1Char"/>
    <w:link w:val="LB1-Table"/>
    <w:rsid w:val="00CB3173"/>
    <w:rPr>
      <w:rFonts w:ascii="Verdana" w:eastAsia="Times New Roman" w:hAnsi="Verdana" w:cs="Times New Roman"/>
      <w:sz w:val="24"/>
      <w:szCs w:val="20"/>
    </w:rPr>
  </w:style>
  <w:style w:type="character" w:customStyle="1" w:styleId="st1">
    <w:name w:val="st1"/>
    <w:basedOn w:val="DefaultParagraphFont"/>
    <w:rsid w:val="006C443C"/>
  </w:style>
  <w:style w:type="paragraph" w:customStyle="1" w:styleId="list1">
    <w:name w:val="list (1)"/>
    <w:basedOn w:val="ListNumber"/>
    <w:next w:val="Normal"/>
    <w:rsid w:val="00B51058"/>
    <w:pPr>
      <w:tabs>
        <w:tab w:val="num" w:pos="555"/>
        <w:tab w:val="num" w:pos="720"/>
        <w:tab w:val="num" w:pos="1080"/>
        <w:tab w:val="num" w:pos="1800"/>
      </w:tabs>
      <w:snapToGrid w:val="0"/>
      <w:ind w:hanging="720"/>
      <w:contextualSpacing w:val="0"/>
    </w:pPr>
    <w:rPr>
      <w:rFonts w:ascii="Times New Roman" w:eastAsia="Times New Roman" w:hAnsi="Times New Roman" w:cs="Times New Roman"/>
      <w:sz w:val="20"/>
      <w:szCs w:val="20"/>
    </w:rPr>
  </w:style>
  <w:style w:type="paragraph" w:styleId="ListNumber">
    <w:name w:val="List Number"/>
    <w:basedOn w:val="Normal"/>
    <w:uiPriority w:val="99"/>
    <w:semiHidden/>
    <w:unhideWhenUsed/>
    <w:rsid w:val="00B51058"/>
    <w:pPr>
      <w:tabs>
        <w:tab w:val="num" w:pos="1656"/>
      </w:tabs>
      <w:ind w:left="1656" w:hanging="360"/>
      <w:contextualSpacing/>
    </w:pPr>
  </w:style>
  <w:style w:type="paragraph" w:customStyle="1" w:styleId="OB1-Table">
    <w:name w:val="OB1-Table"/>
    <w:basedOn w:val="OB1"/>
    <w:link w:val="OB1-TableChar"/>
    <w:qFormat/>
    <w:rsid w:val="00A451A4"/>
    <w:pPr>
      <w:ind w:left="720"/>
    </w:pPr>
    <w:rPr>
      <w:rFonts w:eastAsia="Times New Roman" w:cs="Times New Roman"/>
      <w:szCs w:val="20"/>
    </w:rPr>
  </w:style>
  <w:style w:type="character" w:customStyle="1" w:styleId="OB1-TableChar">
    <w:name w:val="OB1-Table Char"/>
    <w:basedOn w:val="OB1Char"/>
    <w:link w:val="OB1-Table"/>
    <w:rsid w:val="00A451A4"/>
    <w:rPr>
      <w:rFonts w:ascii="Verdana" w:eastAsia="Times New Roman" w:hAnsi="Verdana" w:cs="Times New Roman"/>
      <w:sz w:val="24"/>
      <w:szCs w:val="20"/>
    </w:rPr>
  </w:style>
  <w:style w:type="paragraph" w:customStyle="1" w:styleId="SB1-Table">
    <w:name w:val="SB1-Table"/>
    <w:basedOn w:val="SB1"/>
    <w:link w:val="SB1-TableChar"/>
    <w:qFormat/>
    <w:rsid w:val="006368CE"/>
    <w:pPr>
      <w:ind w:left="1080"/>
    </w:pPr>
  </w:style>
  <w:style w:type="character" w:customStyle="1" w:styleId="SB1-TableChar">
    <w:name w:val="SB1-Table Char"/>
    <w:basedOn w:val="SB1Char"/>
    <w:link w:val="SB1-Table"/>
    <w:rsid w:val="006368CE"/>
    <w:rPr>
      <w:rFonts w:ascii="Verdana" w:eastAsia="Times New Roman" w:hAnsi="Verdana" w:cs="Arial"/>
      <w:color w:val="000000" w:themeColor="text1"/>
      <w:sz w:val="24"/>
      <w:szCs w:val="20"/>
    </w:rPr>
  </w:style>
  <w:style w:type="character" w:customStyle="1" w:styleId="normaltextrun">
    <w:name w:val="normaltextrun"/>
    <w:basedOn w:val="DefaultParagraphFont"/>
    <w:rsid w:val="00B05135"/>
  </w:style>
  <w:style w:type="character" w:customStyle="1" w:styleId="findhit">
    <w:name w:val="findhit"/>
    <w:basedOn w:val="DefaultParagraphFont"/>
    <w:rsid w:val="00B05135"/>
  </w:style>
  <w:style w:type="paragraph" w:customStyle="1" w:styleId="BodyTextIndentNumbered">
    <w:name w:val="Body Text Indent Numbered"/>
    <w:basedOn w:val="BodyTextIndent"/>
    <w:rsid w:val="006D4FC7"/>
    <w:pPr>
      <w:widowControl/>
      <w:ind w:left="720"/>
    </w:pPr>
  </w:style>
  <w:style w:type="paragraph" w:styleId="BodyTextIndent2">
    <w:name w:val="Body Text Indent 2"/>
    <w:basedOn w:val="Normal"/>
    <w:link w:val="BodyTextIndent2Char"/>
    <w:uiPriority w:val="99"/>
    <w:semiHidden/>
    <w:unhideWhenUsed/>
    <w:rsid w:val="0023354C"/>
    <w:pPr>
      <w:spacing w:line="480" w:lineRule="auto"/>
      <w:ind w:left="360"/>
    </w:pPr>
  </w:style>
  <w:style w:type="character" w:customStyle="1" w:styleId="BodyTextIndent2Char">
    <w:name w:val="Body Text Indent 2 Char"/>
    <w:basedOn w:val="DefaultParagraphFont"/>
    <w:link w:val="BodyTextIndent2"/>
    <w:uiPriority w:val="99"/>
    <w:semiHidden/>
    <w:rsid w:val="0023354C"/>
    <w:rPr>
      <w:rFonts w:ascii="Verdana" w:hAnsi="Verdana"/>
      <w:sz w:val="24"/>
    </w:rPr>
  </w:style>
  <w:style w:type="paragraph" w:customStyle="1" w:styleId="Normal06">
    <w:name w:val="Normal 0/6"/>
    <w:basedOn w:val="Normal"/>
    <w:rsid w:val="0031281E"/>
    <w:pPr>
      <w:tabs>
        <w:tab w:val="left" w:pos="1440"/>
      </w:tabs>
      <w:ind w:left="907"/>
    </w:pPr>
    <w:rPr>
      <w:rFonts w:ascii="Arial" w:eastAsia="Times New Roman" w:hAnsi="Arial" w:cs="Arial"/>
      <w:sz w:val="21"/>
    </w:rPr>
  </w:style>
  <w:style w:type="paragraph" w:customStyle="1" w:styleId="Bullet012">
    <w:name w:val="Bullet 0/12"/>
    <w:link w:val="Bullet012Char"/>
    <w:rsid w:val="0031281E"/>
    <w:pPr>
      <w:numPr>
        <w:numId w:val="57"/>
      </w:numPr>
      <w:tabs>
        <w:tab w:val="left" w:pos="1440"/>
      </w:tabs>
      <w:spacing w:after="240" w:line="240" w:lineRule="auto"/>
    </w:pPr>
    <w:rPr>
      <w:rFonts w:ascii="Arial" w:eastAsia="Times New Roman" w:hAnsi="Arial" w:cs="Arial"/>
      <w:sz w:val="21"/>
      <w:szCs w:val="24"/>
    </w:rPr>
  </w:style>
  <w:style w:type="paragraph" w:customStyle="1" w:styleId="Bullet06">
    <w:name w:val="Bullet 0/6"/>
    <w:rsid w:val="0031281E"/>
    <w:pPr>
      <w:numPr>
        <w:numId w:val="58"/>
      </w:numPr>
      <w:tabs>
        <w:tab w:val="clear" w:pos="1620"/>
        <w:tab w:val="left" w:pos="1440"/>
      </w:tabs>
      <w:spacing w:after="120" w:line="240" w:lineRule="auto"/>
      <w:ind w:left="1447" w:hanging="180"/>
    </w:pPr>
    <w:rPr>
      <w:rFonts w:ascii="Arial" w:eastAsia="Times New Roman" w:hAnsi="Arial" w:cs="Arial"/>
      <w:sz w:val="21"/>
      <w:szCs w:val="24"/>
    </w:rPr>
  </w:style>
  <w:style w:type="character" w:customStyle="1" w:styleId="SectionReference">
    <w:name w:val="Section Reference"/>
    <w:rsid w:val="0031281E"/>
    <w:rPr>
      <w:rFonts w:ascii="Arial" w:hAnsi="Arial"/>
      <w:bCs/>
      <w:i/>
      <w:color w:val="auto"/>
      <w:sz w:val="20"/>
      <w:szCs w:val="22"/>
      <w:u w:val="none"/>
      <w:bdr w:val="none" w:sz="0" w:space="0" w:color="auto"/>
      <w:shd w:val="clear" w:color="auto" w:fill="auto"/>
    </w:rPr>
  </w:style>
  <w:style w:type="character" w:customStyle="1" w:styleId="Bullet012Char">
    <w:name w:val="Bullet 0/12 Char"/>
    <w:link w:val="Bullet012"/>
    <w:rsid w:val="0031281E"/>
    <w:rPr>
      <w:rFonts w:ascii="Arial" w:eastAsia="Times New Roman" w:hAnsi="Arial" w:cs="Arial"/>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8815">
      <w:bodyDiv w:val="1"/>
      <w:marLeft w:val="0"/>
      <w:marRight w:val="0"/>
      <w:marTop w:val="0"/>
      <w:marBottom w:val="0"/>
      <w:divBdr>
        <w:top w:val="none" w:sz="0" w:space="0" w:color="auto"/>
        <w:left w:val="none" w:sz="0" w:space="0" w:color="auto"/>
        <w:bottom w:val="none" w:sz="0" w:space="0" w:color="auto"/>
        <w:right w:val="none" w:sz="0" w:space="0" w:color="auto"/>
      </w:divBdr>
    </w:div>
    <w:div w:id="36202835">
      <w:bodyDiv w:val="1"/>
      <w:marLeft w:val="0"/>
      <w:marRight w:val="0"/>
      <w:marTop w:val="0"/>
      <w:marBottom w:val="0"/>
      <w:divBdr>
        <w:top w:val="none" w:sz="0" w:space="0" w:color="auto"/>
        <w:left w:val="none" w:sz="0" w:space="0" w:color="auto"/>
        <w:bottom w:val="none" w:sz="0" w:space="0" w:color="auto"/>
        <w:right w:val="none" w:sz="0" w:space="0" w:color="auto"/>
      </w:divBdr>
    </w:div>
    <w:div w:id="44068790">
      <w:bodyDiv w:val="1"/>
      <w:marLeft w:val="0"/>
      <w:marRight w:val="0"/>
      <w:marTop w:val="0"/>
      <w:marBottom w:val="0"/>
      <w:divBdr>
        <w:top w:val="none" w:sz="0" w:space="0" w:color="auto"/>
        <w:left w:val="none" w:sz="0" w:space="0" w:color="auto"/>
        <w:bottom w:val="none" w:sz="0" w:space="0" w:color="auto"/>
        <w:right w:val="none" w:sz="0" w:space="0" w:color="auto"/>
      </w:divBdr>
    </w:div>
    <w:div w:id="62342592">
      <w:bodyDiv w:val="1"/>
      <w:marLeft w:val="0"/>
      <w:marRight w:val="0"/>
      <w:marTop w:val="0"/>
      <w:marBottom w:val="0"/>
      <w:divBdr>
        <w:top w:val="none" w:sz="0" w:space="0" w:color="auto"/>
        <w:left w:val="none" w:sz="0" w:space="0" w:color="auto"/>
        <w:bottom w:val="none" w:sz="0" w:space="0" w:color="auto"/>
        <w:right w:val="none" w:sz="0" w:space="0" w:color="auto"/>
      </w:divBdr>
    </w:div>
    <w:div w:id="74134726">
      <w:bodyDiv w:val="1"/>
      <w:marLeft w:val="0"/>
      <w:marRight w:val="0"/>
      <w:marTop w:val="0"/>
      <w:marBottom w:val="0"/>
      <w:divBdr>
        <w:top w:val="none" w:sz="0" w:space="0" w:color="auto"/>
        <w:left w:val="none" w:sz="0" w:space="0" w:color="auto"/>
        <w:bottom w:val="none" w:sz="0" w:space="0" w:color="auto"/>
        <w:right w:val="none" w:sz="0" w:space="0" w:color="auto"/>
      </w:divBdr>
    </w:div>
    <w:div w:id="136412300">
      <w:bodyDiv w:val="1"/>
      <w:marLeft w:val="0"/>
      <w:marRight w:val="0"/>
      <w:marTop w:val="0"/>
      <w:marBottom w:val="0"/>
      <w:divBdr>
        <w:top w:val="none" w:sz="0" w:space="0" w:color="auto"/>
        <w:left w:val="none" w:sz="0" w:space="0" w:color="auto"/>
        <w:bottom w:val="none" w:sz="0" w:space="0" w:color="auto"/>
        <w:right w:val="none" w:sz="0" w:space="0" w:color="auto"/>
      </w:divBdr>
    </w:div>
    <w:div w:id="196043797">
      <w:bodyDiv w:val="1"/>
      <w:marLeft w:val="0"/>
      <w:marRight w:val="0"/>
      <w:marTop w:val="0"/>
      <w:marBottom w:val="0"/>
      <w:divBdr>
        <w:top w:val="none" w:sz="0" w:space="0" w:color="auto"/>
        <w:left w:val="none" w:sz="0" w:space="0" w:color="auto"/>
        <w:bottom w:val="none" w:sz="0" w:space="0" w:color="auto"/>
        <w:right w:val="none" w:sz="0" w:space="0" w:color="auto"/>
      </w:divBdr>
    </w:div>
    <w:div w:id="319232648">
      <w:bodyDiv w:val="1"/>
      <w:marLeft w:val="0"/>
      <w:marRight w:val="0"/>
      <w:marTop w:val="0"/>
      <w:marBottom w:val="0"/>
      <w:divBdr>
        <w:top w:val="none" w:sz="0" w:space="0" w:color="auto"/>
        <w:left w:val="none" w:sz="0" w:space="0" w:color="auto"/>
        <w:bottom w:val="none" w:sz="0" w:space="0" w:color="auto"/>
        <w:right w:val="none" w:sz="0" w:space="0" w:color="auto"/>
      </w:divBdr>
    </w:div>
    <w:div w:id="319894137">
      <w:bodyDiv w:val="1"/>
      <w:marLeft w:val="0"/>
      <w:marRight w:val="0"/>
      <w:marTop w:val="0"/>
      <w:marBottom w:val="0"/>
      <w:divBdr>
        <w:top w:val="none" w:sz="0" w:space="0" w:color="auto"/>
        <w:left w:val="none" w:sz="0" w:space="0" w:color="auto"/>
        <w:bottom w:val="none" w:sz="0" w:space="0" w:color="auto"/>
        <w:right w:val="none" w:sz="0" w:space="0" w:color="auto"/>
      </w:divBdr>
    </w:div>
    <w:div w:id="327906122">
      <w:bodyDiv w:val="1"/>
      <w:marLeft w:val="0"/>
      <w:marRight w:val="0"/>
      <w:marTop w:val="0"/>
      <w:marBottom w:val="0"/>
      <w:divBdr>
        <w:top w:val="none" w:sz="0" w:space="0" w:color="auto"/>
        <w:left w:val="none" w:sz="0" w:space="0" w:color="auto"/>
        <w:bottom w:val="none" w:sz="0" w:space="0" w:color="auto"/>
        <w:right w:val="none" w:sz="0" w:space="0" w:color="auto"/>
      </w:divBdr>
      <w:divsChild>
        <w:div w:id="175534903">
          <w:marLeft w:val="619"/>
          <w:marRight w:val="0"/>
          <w:marTop w:val="120"/>
          <w:marBottom w:val="120"/>
          <w:divBdr>
            <w:top w:val="none" w:sz="0" w:space="0" w:color="auto"/>
            <w:left w:val="none" w:sz="0" w:space="0" w:color="auto"/>
            <w:bottom w:val="none" w:sz="0" w:space="0" w:color="auto"/>
            <w:right w:val="none" w:sz="0" w:space="0" w:color="auto"/>
          </w:divBdr>
        </w:div>
        <w:div w:id="624509816">
          <w:marLeft w:val="619"/>
          <w:marRight w:val="0"/>
          <w:marTop w:val="120"/>
          <w:marBottom w:val="120"/>
          <w:divBdr>
            <w:top w:val="none" w:sz="0" w:space="0" w:color="auto"/>
            <w:left w:val="none" w:sz="0" w:space="0" w:color="auto"/>
            <w:bottom w:val="none" w:sz="0" w:space="0" w:color="auto"/>
            <w:right w:val="none" w:sz="0" w:space="0" w:color="auto"/>
          </w:divBdr>
        </w:div>
        <w:div w:id="753477952">
          <w:marLeft w:val="619"/>
          <w:marRight w:val="0"/>
          <w:marTop w:val="120"/>
          <w:marBottom w:val="120"/>
          <w:divBdr>
            <w:top w:val="none" w:sz="0" w:space="0" w:color="auto"/>
            <w:left w:val="none" w:sz="0" w:space="0" w:color="auto"/>
            <w:bottom w:val="none" w:sz="0" w:space="0" w:color="auto"/>
            <w:right w:val="none" w:sz="0" w:space="0" w:color="auto"/>
          </w:divBdr>
        </w:div>
        <w:div w:id="808590851">
          <w:marLeft w:val="619"/>
          <w:marRight w:val="0"/>
          <w:marTop w:val="120"/>
          <w:marBottom w:val="120"/>
          <w:divBdr>
            <w:top w:val="none" w:sz="0" w:space="0" w:color="auto"/>
            <w:left w:val="none" w:sz="0" w:space="0" w:color="auto"/>
            <w:bottom w:val="none" w:sz="0" w:space="0" w:color="auto"/>
            <w:right w:val="none" w:sz="0" w:space="0" w:color="auto"/>
          </w:divBdr>
        </w:div>
        <w:div w:id="2025743227">
          <w:marLeft w:val="619"/>
          <w:marRight w:val="0"/>
          <w:marTop w:val="120"/>
          <w:marBottom w:val="120"/>
          <w:divBdr>
            <w:top w:val="none" w:sz="0" w:space="0" w:color="auto"/>
            <w:left w:val="none" w:sz="0" w:space="0" w:color="auto"/>
            <w:bottom w:val="none" w:sz="0" w:space="0" w:color="auto"/>
            <w:right w:val="none" w:sz="0" w:space="0" w:color="auto"/>
          </w:divBdr>
        </w:div>
      </w:divsChild>
    </w:div>
    <w:div w:id="329067142">
      <w:bodyDiv w:val="1"/>
      <w:marLeft w:val="0"/>
      <w:marRight w:val="0"/>
      <w:marTop w:val="0"/>
      <w:marBottom w:val="0"/>
      <w:divBdr>
        <w:top w:val="none" w:sz="0" w:space="0" w:color="auto"/>
        <w:left w:val="none" w:sz="0" w:space="0" w:color="auto"/>
        <w:bottom w:val="none" w:sz="0" w:space="0" w:color="auto"/>
        <w:right w:val="none" w:sz="0" w:space="0" w:color="auto"/>
      </w:divBdr>
      <w:divsChild>
        <w:div w:id="542639925">
          <w:marLeft w:val="0"/>
          <w:marRight w:val="0"/>
          <w:marTop w:val="0"/>
          <w:marBottom w:val="0"/>
          <w:divBdr>
            <w:top w:val="none" w:sz="0" w:space="0" w:color="auto"/>
            <w:left w:val="none" w:sz="0" w:space="0" w:color="auto"/>
            <w:bottom w:val="none" w:sz="0" w:space="0" w:color="auto"/>
            <w:right w:val="none" w:sz="0" w:space="0" w:color="auto"/>
          </w:divBdr>
          <w:divsChild>
            <w:div w:id="195856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30991">
      <w:bodyDiv w:val="1"/>
      <w:marLeft w:val="0"/>
      <w:marRight w:val="0"/>
      <w:marTop w:val="0"/>
      <w:marBottom w:val="0"/>
      <w:divBdr>
        <w:top w:val="none" w:sz="0" w:space="0" w:color="auto"/>
        <w:left w:val="none" w:sz="0" w:space="0" w:color="auto"/>
        <w:bottom w:val="none" w:sz="0" w:space="0" w:color="auto"/>
        <w:right w:val="none" w:sz="0" w:space="0" w:color="auto"/>
      </w:divBdr>
    </w:div>
    <w:div w:id="398872025">
      <w:bodyDiv w:val="1"/>
      <w:marLeft w:val="0"/>
      <w:marRight w:val="0"/>
      <w:marTop w:val="0"/>
      <w:marBottom w:val="0"/>
      <w:divBdr>
        <w:top w:val="none" w:sz="0" w:space="0" w:color="auto"/>
        <w:left w:val="none" w:sz="0" w:space="0" w:color="auto"/>
        <w:bottom w:val="none" w:sz="0" w:space="0" w:color="auto"/>
        <w:right w:val="none" w:sz="0" w:space="0" w:color="auto"/>
      </w:divBdr>
    </w:div>
    <w:div w:id="415788111">
      <w:bodyDiv w:val="1"/>
      <w:marLeft w:val="0"/>
      <w:marRight w:val="0"/>
      <w:marTop w:val="0"/>
      <w:marBottom w:val="0"/>
      <w:divBdr>
        <w:top w:val="none" w:sz="0" w:space="0" w:color="auto"/>
        <w:left w:val="none" w:sz="0" w:space="0" w:color="auto"/>
        <w:bottom w:val="none" w:sz="0" w:space="0" w:color="auto"/>
        <w:right w:val="none" w:sz="0" w:space="0" w:color="auto"/>
      </w:divBdr>
    </w:div>
    <w:div w:id="423839518">
      <w:bodyDiv w:val="1"/>
      <w:marLeft w:val="0"/>
      <w:marRight w:val="0"/>
      <w:marTop w:val="0"/>
      <w:marBottom w:val="0"/>
      <w:divBdr>
        <w:top w:val="none" w:sz="0" w:space="0" w:color="auto"/>
        <w:left w:val="none" w:sz="0" w:space="0" w:color="auto"/>
        <w:bottom w:val="none" w:sz="0" w:space="0" w:color="auto"/>
        <w:right w:val="none" w:sz="0" w:space="0" w:color="auto"/>
      </w:divBdr>
    </w:div>
    <w:div w:id="432700788">
      <w:bodyDiv w:val="1"/>
      <w:marLeft w:val="0"/>
      <w:marRight w:val="0"/>
      <w:marTop w:val="0"/>
      <w:marBottom w:val="0"/>
      <w:divBdr>
        <w:top w:val="none" w:sz="0" w:space="0" w:color="auto"/>
        <w:left w:val="none" w:sz="0" w:space="0" w:color="auto"/>
        <w:bottom w:val="none" w:sz="0" w:space="0" w:color="auto"/>
        <w:right w:val="none" w:sz="0" w:space="0" w:color="auto"/>
      </w:divBdr>
    </w:div>
    <w:div w:id="440684688">
      <w:bodyDiv w:val="1"/>
      <w:marLeft w:val="0"/>
      <w:marRight w:val="0"/>
      <w:marTop w:val="0"/>
      <w:marBottom w:val="0"/>
      <w:divBdr>
        <w:top w:val="none" w:sz="0" w:space="0" w:color="auto"/>
        <w:left w:val="none" w:sz="0" w:space="0" w:color="auto"/>
        <w:bottom w:val="none" w:sz="0" w:space="0" w:color="auto"/>
        <w:right w:val="none" w:sz="0" w:space="0" w:color="auto"/>
      </w:divBdr>
    </w:div>
    <w:div w:id="466169986">
      <w:bodyDiv w:val="1"/>
      <w:marLeft w:val="0"/>
      <w:marRight w:val="0"/>
      <w:marTop w:val="0"/>
      <w:marBottom w:val="0"/>
      <w:divBdr>
        <w:top w:val="none" w:sz="0" w:space="0" w:color="auto"/>
        <w:left w:val="none" w:sz="0" w:space="0" w:color="auto"/>
        <w:bottom w:val="none" w:sz="0" w:space="0" w:color="auto"/>
        <w:right w:val="none" w:sz="0" w:space="0" w:color="auto"/>
      </w:divBdr>
    </w:div>
    <w:div w:id="487750322">
      <w:bodyDiv w:val="1"/>
      <w:marLeft w:val="0"/>
      <w:marRight w:val="0"/>
      <w:marTop w:val="0"/>
      <w:marBottom w:val="0"/>
      <w:divBdr>
        <w:top w:val="none" w:sz="0" w:space="0" w:color="auto"/>
        <w:left w:val="none" w:sz="0" w:space="0" w:color="auto"/>
        <w:bottom w:val="none" w:sz="0" w:space="0" w:color="auto"/>
        <w:right w:val="none" w:sz="0" w:space="0" w:color="auto"/>
      </w:divBdr>
    </w:div>
    <w:div w:id="502208671">
      <w:bodyDiv w:val="1"/>
      <w:marLeft w:val="0"/>
      <w:marRight w:val="0"/>
      <w:marTop w:val="0"/>
      <w:marBottom w:val="0"/>
      <w:divBdr>
        <w:top w:val="none" w:sz="0" w:space="0" w:color="auto"/>
        <w:left w:val="none" w:sz="0" w:space="0" w:color="auto"/>
        <w:bottom w:val="none" w:sz="0" w:space="0" w:color="auto"/>
        <w:right w:val="none" w:sz="0" w:space="0" w:color="auto"/>
      </w:divBdr>
    </w:div>
    <w:div w:id="524488185">
      <w:bodyDiv w:val="1"/>
      <w:marLeft w:val="0"/>
      <w:marRight w:val="0"/>
      <w:marTop w:val="0"/>
      <w:marBottom w:val="0"/>
      <w:divBdr>
        <w:top w:val="none" w:sz="0" w:space="0" w:color="auto"/>
        <w:left w:val="none" w:sz="0" w:space="0" w:color="auto"/>
        <w:bottom w:val="none" w:sz="0" w:space="0" w:color="auto"/>
        <w:right w:val="none" w:sz="0" w:space="0" w:color="auto"/>
      </w:divBdr>
    </w:div>
    <w:div w:id="559363616">
      <w:bodyDiv w:val="1"/>
      <w:marLeft w:val="0"/>
      <w:marRight w:val="0"/>
      <w:marTop w:val="0"/>
      <w:marBottom w:val="0"/>
      <w:divBdr>
        <w:top w:val="none" w:sz="0" w:space="0" w:color="auto"/>
        <w:left w:val="none" w:sz="0" w:space="0" w:color="auto"/>
        <w:bottom w:val="none" w:sz="0" w:space="0" w:color="auto"/>
        <w:right w:val="none" w:sz="0" w:space="0" w:color="auto"/>
      </w:divBdr>
    </w:div>
    <w:div w:id="562369331">
      <w:bodyDiv w:val="1"/>
      <w:marLeft w:val="0"/>
      <w:marRight w:val="0"/>
      <w:marTop w:val="0"/>
      <w:marBottom w:val="0"/>
      <w:divBdr>
        <w:top w:val="none" w:sz="0" w:space="0" w:color="auto"/>
        <w:left w:val="none" w:sz="0" w:space="0" w:color="auto"/>
        <w:bottom w:val="none" w:sz="0" w:space="0" w:color="auto"/>
        <w:right w:val="none" w:sz="0" w:space="0" w:color="auto"/>
      </w:divBdr>
    </w:div>
    <w:div w:id="592978659">
      <w:bodyDiv w:val="1"/>
      <w:marLeft w:val="0"/>
      <w:marRight w:val="0"/>
      <w:marTop w:val="0"/>
      <w:marBottom w:val="0"/>
      <w:divBdr>
        <w:top w:val="none" w:sz="0" w:space="0" w:color="auto"/>
        <w:left w:val="none" w:sz="0" w:space="0" w:color="auto"/>
        <w:bottom w:val="none" w:sz="0" w:space="0" w:color="auto"/>
        <w:right w:val="none" w:sz="0" w:space="0" w:color="auto"/>
      </w:divBdr>
    </w:div>
    <w:div w:id="612904287">
      <w:bodyDiv w:val="1"/>
      <w:marLeft w:val="0"/>
      <w:marRight w:val="0"/>
      <w:marTop w:val="0"/>
      <w:marBottom w:val="0"/>
      <w:divBdr>
        <w:top w:val="none" w:sz="0" w:space="0" w:color="auto"/>
        <w:left w:val="none" w:sz="0" w:space="0" w:color="auto"/>
        <w:bottom w:val="none" w:sz="0" w:space="0" w:color="auto"/>
        <w:right w:val="none" w:sz="0" w:space="0" w:color="auto"/>
      </w:divBdr>
    </w:div>
    <w:div w:id="634726275">
      <w:bodyDiv w:val="1"/>
      <w:marLeft w:val="0"/>
      <w:marRight w:val="0"/>
      <w:marTop w:val="0"/>
      <w:marBottom w:val="0"/>
      <w:divBdr>
        <w:top w:val="none" w:sz="0" w:space="0" w:color="auto"/>
        <w:left w:val="none" w:sz="0" w:space="0" w:color="auto"/>
        <w:bottom w:val="none" w:sz="0" w:space="0" w:color="auto"/>
        <w:right w:val="none" w:sz="0" w:space="0" w:color="auto"/>
      </w:divBdr>
    </w:div>
    <w:div w:id="636226952">
      <w:bodyDiv w:val="1"/>
      <w:marLeft w:val="0"/>
      <w:marRight w:val="0"/>
      <w:marTop w:val="0"/>
      <w:marBottom w:val="0"/>
      <w:divBdr>
        <w:top w:val="none" w:sz="0" w:space="0" w:color="auto"/>
        <w:left w:val="none" w:sz="0" w:space="0" w:color="auto"/>
        <w:bottom w:val="none" w:sz="0" w:space="0" w:color="auto"/>
        <w:right w:val="none" w:sz="0" w:space="0" w:color="auto"/>
      </w:divBdr>
    </w:div>
    <w:div w:id="637146679">
      <w:bodyDiv w:val="1"/>
      <w:marLeft w:val="0"/>
      <w:marRight w:val="0"/>
      <w:marTop w:val="0"/>
      <w:marBottom w:val="0"/>
      <w:divBdr>
        <w:top w:val="none" w:sz="0" w:space="0" w:color="auto"/>
        <w:left w:val="none" w:sz="0" w:space="0" w:color="auto"/>
        <w:bottom w:val="none" w:sz="0" w:space="0" w:color="auto"/>
        <w:right w:val="none" w:sz="0" w:space="0" w:color="auto"/>
      </w:divBdr>
    </w:div>
    <w:div w:id="666784901">
      <w:bodyDiv w:val="1"/>
      <w:marLeft w:val="0"/>
      <w:marRight w:val="0"/>
      <w:marTop w:val="0"/>
      <w:marBottom w:val="0"/>
      <w:divBdr>
        <w:top w:val="none" w:sz="0" w:space="0" w:color="auto"/>
        <w:left w:val="none" w:sz="0" w:space="0" w:color="auto"/>
        <w:bottom w:val="none" w:sz="0" w:space="0" w:color="auto"/>
        <w:right w:val="none" w:sz="0" w:space="0" w:color="auto"/>
      </w:divBdr>
    </w:div>
    <w:div w:id="668295851">
      <w:bodyDiv w:val="1"/>
      <w:marLeft w:val="0"/>
      <w:marRight w:val="0"/>
      <w:marTop w:val="0"/>
      <w:marBottom w:val="0"/>
      <w:divBdr>
        <w:top w:val="none" w:sz="0" w:space="0" w:color="auto"/>
        <w:left w:val="none" w:sz="0" w:space="0" w:color="auto"/>
        <w:bottom w:val="none" w:sz="0" w:space="0" w:color="auto"/>
        <w:right w:val="none" w:sz="0" w:space="0" w:color="auto"/>
      </w:divBdr>
    </w:div>
    <w:div w:id="681125127">
      <w:bodyDiv w:val="1"/>
      <w:marLeft w:val="0"/>
      <w:marRight w:val="0"/>
      <w:marTop w:val="0"/>
      <w:marBottom w:val="0"/>
      <w:divBdr>
        <w:top w:val="none" w:sz="0" w:space="0" w:color="auto"/>
        <w:left w:val="none" w:sz="0" w:space="0" w:color="auto"/>
        <w:bottom w:val="none" w:sz="0" w:space="0" w:color="auto"/>
        <w:right w:val="none" w:sz="0" w:space="0" w:color="auto"/>
      </w:divBdr>
    </w:div>
    <w:div w:id="708533933">
      <w:bodyDiv w:val="1"/>
      <w:marLeft w:val="0"/>
      <w:marRight w:val="0"/>
      <w:marTop w:val="0"/>
      <w:marBottom w:val="0"/>
      <w:divBdr>
        <w:top w:val="none" w:sz="0" w:space="0" w:color="auto"/>
        <w:left w:val="none" w:sz="0" w:space="0" w:color="auto"/>
        <w:bottom w:val="none" w:sz="0" w:space="0" w:color="auto"/>
        <w:right w:val="none" w:sz="0" w:space="0" w:color="auto"/>
      </w:divBdr>
    </w:div>
    <w:div w:id="713425276">
      <w:bodyDiv w:val="1"/>
      <w:marLeft w:val="0"/>
      <w:marRight w:val="0"/>
      <w:marTop w:val="0"/>
      <w:marBottom w:val="0"/>
      <w:divBdr>
        <w:top w:val="none" w:sz="0" w:space="0" w:color="auto"/>
        <w:left w:val="none" w:sz="0" w:space="0" w:color="auto"/>
        <w:bottom w:val="none" w:sz="0" w:space="0" w:color="auto"/>
        <w:right w:val="none" w:sz="0" w:space="0" w:color="auto"/>
      </w:divBdr>
    </w:div>
    <w:div w:id="775097426">
      <w:bodyDiv w:val="1"/>
      <w:marLeft w:val="0"/>
      <w:marRight w:val="0"/>
      <w:marTop w:val="0"/>
      <w:marBottom w:val="0"/>
      <w:divBdr>
        <w:top w:val="none" w:sz="0" w:space="0" w:color="auto"/>
        <w:left w:val="none" w:sz="0" w:space="0" w:color="auto"/>
        <w:bottom w:val="none" w:sz="0" w:space="0" w:color="auto"/>
        <w:right w:val="none" w:sz="0" w:space="0" w:color="auto"/>
      </w:divBdr>
    </w:div>
    <w:div w:id="833690542">
      <w:bodyDiv w:val="1"/>
      <w:marLeft w:val="0"/>
      <w:marRight w:val="0"/>
      <w:marTop w:val="0"/>
      <w:marBottom w:val="0"/>
      <w:divBdr>
        <w:top w:val="none" w:sz="0" w:space="0" w:color="auto"/>
        <w:left w:val="none" w:sz="0" w:space="0" w:color="auto"/>
        <w:bottom w:val="none" w:sz="0" w:space="0" w:color="auto"/>
        <w:right w:val="none" w:sz="0" w:space="0" w:color="auto"/>
      </w:divBdr>
    </w:div>
    <w:div w:id="862010782">
      <w:bodyDiv w:val="1"/>
      <w:marLeft w:val="0"/>
      <w:marRight w:val="0"/>
      <w:marTop w:val="0"/>
      <w:marBottom w:val="0"/>
      <w:divBdr>
        <w:top w:val="none" w:sz="0" w:space="0" w:color="auto"/>
        <w:left w:val="none" w:sz="0" w:space="0" w:color="auto"/>
        <w:bottom w:val="none" w:sz="0" w:space="0" w:color="auto"/>
        <w:right w:val="none" w:sz="0" w:space="0" w:color="auto"/>
      </w:divBdr>
    </w:div>
    <w:div w:id="868837908">
      <w:bodyDiv w:val="1"/>
      <w:marLeft w:val="0"/>
      <w:marRight w:val="0"/>
      <w:marTop w:val="0"/>
      <w:marBottom w:val="0"/>
      <w:divBdr>
        <w:top w:val="none" w:sz="0" w:space="0" w:color="auto"/>
        <w:left w:val="none" w:sz="0" w:space="0" w:color="auto"/>
        <w:bottom w:val="none" w:sz="0" w:space="0" w:color="auto"/>
        <w:right w:val="none" w:sz="0" w:space="0" w:color="auto"/>
      </w:divBdr>
    </w:div>
    <w:div w:id="874586683">
      <w:bodyDiv w:val="1"/>
      <w:marLeft w:val="0"/>
      <w:marRight w:val="0"/>
      <w:marTop w:val="0"/>
      <w:marBottom w:val="0"/>
      <w:divBdr>
        <w:top w:val="none" w:sz="0" w:space="0" w:color="auto"/>
        <w:left w:val="none" w:sz="0" w:space="0" w:color="auto"/>
        <w:bottom w:val="none" w:sz="0" w:space="0" w:color="auto"/>
        <w:right w:val="none" w:sz="0" w:space="0" w:color="auto"/>
      </w:divBdr>
    </w:div>
    <w:div w:id="885920282">
      <w:bodyDiv w:val="1"/>
      <w:marLeft w:val="0"/>
      <w:marRight w:val="0"/>
      <w:marTop w:val="0"/>
      <w:marBottom w:val="0"/>
      <w:divBdr>
        <w:top w:val="none" w:sz="0" w:space="0" w:color="auto"/>
        <w:left w:val="none" w:sz="0" w:space="0" w:color="auto"/>
        <w:bottom w:val="none" w:sz="0" w:space="0" w:color="auto"/>
        <w:right w:val="none" w:sz="0" w:space="0" w:color="auto"/>
      </w:divBdr>
    </w:div>
    <w:div w:id="890456102">
      <w:bodyDiv w:val="1"/>
      <w:marLeft w:val="0"/>
      <w:marRight w:val="0"/>
      <w:marTop w:val="0"/>
      <w:marBottom w:val="0"/>
      <w:divBdr>
        <w:top w:val="none" w:sz="0" w:space="0" w:color="auto"/>
        <w:left w:val="none" w:sz="0" w:space="0" w:color="auto"/>
        <w:bottom w:val="none" w:sz="0" w:space="0" w:color="auto"/>
        <w:right w:val="none" w:sz="0" w:space="0" w:color="auto"/>
      </w:divBdr>
    </w:div>
    <w:div w:id="931090530">
      <w:bodyDiv w:val="1"/>
      <w:marLeft w:val="0"/>
      <w:marRight w:val="0"/>
      <w:marTop w:val="0"/>
      <w:marBottom w:val="0"/>
      <w:divBdr>
        <w:top w:val="none" w:sz="0" w:space="0" w:color="auto"/>
        <w:left w:val="none" w:sz="0" w:space="0" w:color="auto"/>
        <w:bottom w:val="none" w:sz="0" w:space="0" w:color="auto"/>
        <w:right w:val="none" w:sz="0" w:space="0" w:color="auto"/>
      </w:divBdr>
    </w:div>
    <w:div w:id="1012419128">
      <w:bodyDiv w:val="1"/>
      <w:marLeft w:val="0"/>
      <w:marRight w:val="0"/>
      <w:marTop w:val="0"/>
      <w:marBottom w:val="0"/>
      <w:divBdr>
        <w:top w:val="none" w:sz="0" w:space="0" w:color="auto"/>
        <w:left w:val="none" w:sz="0" w:space="0" w:color="auto"/>
        <w:bottom w:val="none" w:sz="0" w:space="0" w:color="auto"/>
        <w:right w:val="none" w:sz="0" w:space="0" w:color="auto"/>
      </w:divBdr>
    </w:div>
    <w:div w:id="1039551195">
      <w:bodyDiv w:val="1"/>
      <w:marLeft w:val="0"/>
      <w:marRight w:val="0"/>
      <w:marTop w:val="0"/>
      <w:marBottom w:val="0"/>
      <w:divBdr>
        <w:top w:val="none" w:sz="0" w:space="0" w:color="auto"/>
        <w:left w:val="none" w:sz="0" w:space="0" w:color="auto"/>
        <w:bottom w:val="none" w:sz="0" w:space="0" w:color="auto"/>
        <w:right w:val="none" w:sz="0" w:space="0" w:color="auto"/>
      </w:divBdr>
    </w:div>
    <w:div w:id="1084648540">
      <w:bodyDiv w:val="1"/>
      <w:marLeft w:val="0"/>
      <w:marRight w:val="0"/>
      <w:marTop w:val="0"/>
      <w:marBottom w:val="0"/>
      <w:divBdr>
        <w:top w:val="none" w:sz="0" w:space="0" w:color="auto"/>
        <w:left w:val="none" w:sz="0" w:space="0" w:color="auto"/>
        <w:bottom w:val="none" w:sz="0" w:space="0" w:color="auto"/>
        <w:right w:val="none" w:sz="0" w:space="0" w:color="auto"/>
      </w:divBdr>
    </w:div>
    <w:div w:id="1085613059">
      <w:bodyDiv w:val="1"/>
      <w:marLeft w:val="0"/>
      <w:marRight w:val="0"/>
      <w:marTop w:val="0"/>
      <w:marBottom w:val="0"/>
      <w:divBdr>
        <w:top w:val="none" w:sz="0" w:space="0" w:color="auto"/>
        <w:left w:val="none" w:sz="0" w:space="0" w:color="auto"/>
        <w:bottom w:val="none" w:sz="0" w:space="0" w:color="auto"/>
        <w:right w:val="none" w:sz="0" w:space="0" w:color="auto"/>
      </w:divBdr>
    </w:div>
    <w:div w:id="1088965209">
      <w:bodyDiv w:val="1"/>
      <w:marLeft w:val="0"/>
      <w:marRight w:val="0"/>
      <w:marTop w:val="0"/>
      <w:marBottom w:val="0"/>
      <w:divBdr>
        <w:top w:val="none" w:sz="0" w:space="0" w:color="auto"/>
        <w:left w:val="none" w:sz="0" w:space="0" w:color="auto"/>
        <w:bottom w:val="none" w:sz="0" w:space="0" w:color="auto"/>
        <w:right w:val="none" w:sz="0" w:space="0" w:color="auto"/>
      </w:divBdr>
    </w:div>
    <w:div w:id="1137064893">
      <w:bodyDiv w:val="1"/>
      <w:marLeft w:val="0"/>
      <w:marRight w:val="0"/>
      <w:marTop w:val="0"/>
      <w:marBottom w:val="0"/>
      <w:divBdr>
        <w:top w:val="none" w:sz="0" w:space="0" w:color="auto"/>
        <w:left w:val="none" w:sz="0" w:space="0" w:color="auto"/>
        <w:bottom w:val="none" w:sz="0" w:space="0" w:color="auto"/>
        <w:right w:val="none" w:sz="0" w:space="0" w:color="auto"/>
      </w:divBdr>
    </w:div>
    <w:div w:id="1202550775">
      <w:bodyDiv w:val="1"/>
      <w:marLeft w:val="0"/>
      <w:marRight w:val="0"/>
      <w:marTop w:val="0"/>
      <w:marBottom w:val="0"/>
      <w:divBdr>
        <w:top w:val="none" w:sz="0" w:space="0" w:color="auto"/>
        <w:left w:val="none" w:sz="0" w:space="0" w:color="auto"/>
        <w:bottom w:val="none" w:sz="0" w:space="0" w:color="auto"/>
        <w:right w:val="none" w:sz="0" w:space="0" w:color="auto"/>
      </w:divBdr>
    </w:div>
    <w:div w:id="1225070895">
      <w:bodyDiv w:val="1"/>
      <w:marLeft w:val="0"/>
      <w:marRight w:val="0"/>
      <w:marTop w:val="0"/>
      <w:marBottom w:val="0"/>
      <w:divBdr>
        <w:top w:val="none" w:sz="0" w:space="0" w:color="auto"/>
        <w:left w:val="none" w:sz="0" w:space="0" w:color="auto"/>
        <w:bottom w:val="none" w:sz="0" w:space="0" w:color="auto"/>
        <w:right w:val="none" w:sz="0" w:space="0" w:color="auto"/>
      </w:divBdr>
    </w:div>
    <w:div w:id="1273394947">
      <w:bodyDiv w:val="1"/>
      <w:marLeft w:val="0"/>
      <w:marRight w:val="0"/>
      <w:marTop w:val="0"/>
      <w:marBottom w:val="0"/>
      <w:divBdr>
        <w:top w:val="none" w:sz="0" w:space="0" w:color="auto"/>
        <w:left w:val="none" w:sz="0" w:space="0" w:color="auto"/>
        <w:bottom w:val="none" w:sz="0" w:space="0" w:color="auto"/>
        <w:right w:val="none" w:sz="0" w:space="0" w:color="auto"/>
      </w:divBdr>
      <w:divsChild>
        <w:div w:id="855775102">
          <w:marLeft w:val="0"/>
          <w:marRight w:val="0"/>
          <w:marTop w:val="0"/>
          <w:marBottom w:val="0"/>
          <w:divBdr>
            <w:top w:val="none" w:sz="0" w:space="0" w:color="auto"/>
            <w:left w:val="none" w:sz="0" w:space="0" w:color="auto"/>
            <w:bottom w:val="none" w:sz="0" w:space="0" w:color="auto"/>
            <w:right w:val="none" w:sz="0" w:space="0" w:color="auto"/>
          </w:divBdr>
          <w:divsChild>
            <w:div w:id="1409768889">
              <w:marLeft w:val="0"/>
              <w:marRight w:val="0"/>
              <w:marTop w:val="0"/>
              <w:marBottom w:val="0"/>
              <w:divBdr>
                <w:top w:val="none" w:sz="0" w:space="0" w:color="auto"/>
                <w:left w:val="none" w:sz="0" w:space="0" w:color="auto"/>
                <w:bottom w:val="none" w:sz="0" w:space="0" w:color="auto"/>
                <w:right w:val="none" w:sz="0" w:space="0" w:color="auto"/>
              </w:divBdr>
              <w:divsChild>
                <w:div w:id="1273980070">
                  <w:marLeft w:val="0"/>
                  <w:marRight w:val="0"/>
                  <w:marTop w:val="0"/>
                  <w:marBottom w:val="0"/>
                  <w:divBdr>
                    <w:top w:val="none" w:sz="0" w:space="0" w:color="auto"/>
                    <w:left w:val="none" w:sz="0" w:space="0" w:color="auto"/>
                    <w:bottom w:val="none" w:sz="0" w:space="0" w:color="auto"/>
                    <w:right w:val="none" w:sz="0" w:space="0" w:color="auto"/>
                  </w:divBdr>
                  <w:divsChild>
                    <w:div w:id="708990540">
                      <w:marLeft w:val="0"/>
                      <w:marRight w:val="0"/>
                      <w:marTop w:val="0"/>
                      <w:marBottom w:val="0"/>
                      <w:divBdr>
                        <w:top w:val="none" w:sz="0" w:space="0" w:color="auto"/>
                        <w:left w:val="none" w:sz="0" w:space="0" w:color="auto"/>
                        <w:bottom w:val="none" w:sz="0" w:space="0" w:color="auto"/>
                        <w:right w:val="none" w:sz="0" w:space="0" w:color="auto"/>
                      </w:divBdr>
                      <w:divsChild>
                        <w:div w:id="101077689">
                          <w:marLeft w:val="0"/>
                          <w:marRight w:val="0"/>
                          <w:marTop w:val="0"/>
                          <w:marBottom w:val="0"/>
                          <w:divBdr>
                            <w:top w:val="none" w:sz="0" w:space="0" w:color="auto"/>
                            <w:left w:val="none" w:sz="0" w:space="0" w:color="auto"/>
                            <w:bottom w:val="none" w:sz="0" w:space="0" w:color="auto"/>
                            <w:right w:val="none" w:sz="0" w:space="0" w:color="auto"/>
                          </w:divBdr>
                          <w:divsChild>
                            <w:div w:id="941492011">
                              <w:marLeft w:val="0"/>
                              <w:marRight w:val="0"/>
                              <w:marTop w:val="75"/>
                              <w:marBottom w:val="60"/>
                              <w:divBdr>
                                <w:top w:val="none" w:sz="0" w:space="0" w:color="auto"/>
                                <w:left w:val="none" w:sz="0" w:space="0" w:color="auto"/>
                                <w:bottom w:val="none" w:sz="0" w:space="0" w:color="auto"/>
                                <w:right w:val="none" w:sz="0" w:space="0" w:color="auto"/>
                              </w:divBdr>
                              <w:divsChild>
                                <w:div w:id="1934121248">
                                  <w:marLeft w:val="0"/>
                                  <w:marRight w:val="0"/>
                                  <w:marTop w:val="0"/>
                                  <w:marBottom w:val="0"/>
                                  <w:divBdr>
                                    <w:top w:val="none" w:sz="0" w:space="0" w:color="auto"/>
                                    <w:left w:val="none" w:sz="0" w:space="0" w:color="auto"/>
                                    <w:bottom w:val="none" w:sz="0" w:space="0" w:color="auto"/>
                                    <w:right w:val="none" w:sz="0" w:space="0" w:color="auto"/>
                                  </w:divBdr>
                                  <w:divsChild>
                                    <w:div w:id="899631449">
                                      <w:marLeft w:val="0"/>
                                      <w:marRight w:val="0"/>
                                      <w:marTop w:val="0"/>
                                      <w:marBottom w:val="0"/>
                                      <w:divBdr>
                                        <w:top w:val="none" w:sz="0" w:space="0" w:color="auto"/>
                                        <w:left w:val="none" w:sz="0" w:space="0" w:color="auto"/>
                                        <w:bottom w:val="none" w:sz="0" w:space="0" w:color="auto"/>
                                        <w:right w:val="none" w:sz="0" w:space="0" w:color="auto"/>
                                      </w:divBdr>
                                      <w:divsChild>
                                        <w:div w:id="220822788">
                                          <w:marLeft w:val="0"/>
                                          <w:marRight w:val="0"/>
                                          <w:marTop w:val="0"/>
                                          <w:marBottom w:val="0"/>
                                          <w:divBdr>
                                            <w:top w:val="none" w:sz="0" w:space="0" w:color="auto"/>
                                            <w:left w:val="none" w:sz="0" w:space="0" w:color="auto"/>
                                            <w:bottom w:val="none" w:sz="0" w:space="0" w:color="auto"/>
                                            <w:right w:val="none" w:sz="0" w:space="0" w:color="auto"/>
                                          </w:divBdr>
                                          <w:divsChild>
                                            <w:div w:id="2112309300">
                                              <w:marLeft w:val="0"/>
                                              <w:marRight w:val="0"/>
                                              <w:marTop w:val="0"/>
                                              <w:marBottom w:val="0"/>
                                              <w:divBdr>
                                                <w:top w:val="none" w:sz="0" w:space="0" w:color="auto"/>
                                                <w:left w:val="none" w:sz="0" w:space="0" w:color="auto"/>
                                                <w:bottom w:val="none" w:sz="0" w:space="0" w:color="auto"/>
                                                <w:right w:val="none" w:sz="0" w:space="0" w:color="auto"/>
                                              </w:divBdr>
                                              <w:divsChild>
                                                <w:div w:id="213512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1181172">
      <w:bodyDiv w:val="1"/>
      <w:marLeft w:val="0"/>
      <w:marRight w:val="0"/>
      <w:marTop w:val="0"/>
      <w:marBottom w:val="0"/>
      <w:divBdr>
        <w:top w:val="none" w:sz="0" w:space="0" w:color="auto"/>
        <w:left w:val="none" w:sz="0" w:space="0" w:color="auto"/>
        <w:bottom w:val="none" w:sz="0" w:space="0" w:color="auto"/>
        <w:right w:val="none" w:sz="0" w:space="0" w:color="auto"/>
      </w:divBdr>
    </w:div>
    <w:div w:id="1302690493">
      <w:bodyDiv w:val="1"/>
      <w:marLeft w:val="0"/>
      <w:marRight w:val="0"/>
      <w:marTop w:val="0"/>
      <w:marBottom w:val="0"/>
      <w:divBdr>
        <w:top w:val="none" w:sz="0" w:space="0" w:color="auto"/>
        <w:left w:val="none" w:sz="0" w:space="0" w:color="auto"/>
        <w:bottom w:val="none" w:sz="0" w:space="0" w:color="auto"/>
        <w:right w:val="none" w:sz="0" w:space="0" w:color="auto"/>
      </w:divBdr>
    </w:div>
    <w:div w:id="1332367004">
      <w:bodyDiv w:val="1"/>
      <w:marLeft w:val="0"/>
      <w:marRight w:val="0"/>
      <w:marTop w:val="0"/>
      <w:marBottom w:val="0"/>
      <w:divBdr>
        <w:top w:val="none" w:sz="0" w:space="0" w:color="auto"/>
        <w:left w:val="none" w:sz="0" w:space="0" w:color="auto"/>
        <w:bottom w:val="none" w:sz="0" w:space="0" w:color="auto"/>
        <w:right w:val="none" w:sz="0" w:space="0" w:color="auto"/>
      </w:divBdr>
    </w:div>
    <w:div w:id="1337152664">
      <w:bodyDiv w:val="1"/>
      <w:marLeft w:val="0"/>
      <w:marRight w:val="0"/>
      <w:marTop w:val="0"/>
      <w:marBottom w:val="0"/>
      <w:divBdr>
        <w:top w:val="none" w:sz="0" w:space="0" w:color="auto"/>
        <w:left w:val="none" w:sz="0" w:space="0" w:color="auto"/>
        <w:bottom w:val="none" w:sz="0" w:space="0" w:color="auto"/>
        <w:right w:val="none" w:sz="0" w:space="0" w:color="auto"/>
      </w:divBdr>
    </w:div>
    <w:div w:id="1338381736">
      <w:bodyDiv w:val="1"/>
      <w:marLeft w:val="0"/>
      <w:marRight w:val="0"/>
      <w:marTop w:val="0"/>
      <w:marBottom w:val="0"/>
      <w:divBdr>
        <w:top w:val="none" w:sz="0" w:space="0" w:color="auto"/>
        <w:left w:val="none" w:sz="0" w:space="0" w:color="auto"/>
        <w:bottom w:val="none" w:sz="0" w:space="0" w:color="auto"/>
        <w:right w:val="none" w:sz="0" w:space="0" w:color="auto"/>
      </w:divBdr>
    </w:div>
    <w:div w:id="1345210286">
      <w:bodyDiv w:val="1"/>
      <w:marLeft w:val="0"/>
      <w:marRight w:val="0"/>
      <w:marTop w:val="0"/>
      <w:marBottom w:val="0"/>
      <w:divBdr>
        <w:top w:val="none" w:sz="0" w:space="0" w:color="auto"/>
        <w:left w:val="none" w:sz="0" w:space="0" w:color="auto"/>
        <w:bottom w:val="none" w:sz="0" w:space="0" w:color="auto"/>
        <w:right w:val="none" w:sz="0" w:space="0" w:color="auto"/>
      </w:divBdr>
    </w:div>
    <w:div w:id="1374958774">
      <w:bodyDiv w:val="1"/>
      <w:marLeft w:val="0"/>
      <w:marRight w:val="0"/>
      <w:marTop w:val="0"/>
      <w:marBottom w:val="0"/>
      <w:divBdr>
        <w:top w:val="none" w:sz="0" w:space="0" w:color="auto"/>
        <w:left w:val="none" w:sz="0" w:space="0" w:color="auto"/>
        <w:bottom w:val="none" w:sz="0" w:space="0" w:color="auto"/>
        <w:right w:val="none" w:sz="0" w:space="0" w:color="auto"/>
      </w:divBdr>
    </w:div>
    <w:div w:id="1384014416">
      <w:bodyDiv w:val="1"/>
      <w:marLeft w:val="0"/>
      <w:marRight w:val="0"/>
      <w:marTop w:val="0"/>
      <w:marBottom w:val="0"/>
      <w:divBdr>
        <w:top w:val="none" w:sz="0" w:space="0" w:color="auto"/>
        <w:left w:val="none" w:sz="0" w:space="0" w:color="auto"/>
        <w:bottom w:val="none" w:sz="0" w:space="0" w:color="auto"/>
        <w:right w:val="none" w:sz="0" w:space="0" w:color="auto"/>
      </w:divBdr>
    </w:div>
    <w:div w:id="1388720871">
      <w:bodyDiv w:val="1"/>
      <w:marLeft w:val="0"/>
      <w:marRight w:val="0"/>
      <w:marTop w:val="0"/>
      <w:marBottom w:val="0"/>
      <w:divBdr>
        <w:top w:val="none" w:sz="0" w:space="0" w:color="auto"/>
        <w:left w:val="none" w:sz="0" w:space="0" w:color="auto"/>
        <w:bottom w:val="none" w:sz="0" w:space="0" w:color="auto"/>
        <w:right w:val="none" w:sz="0" w:space="0" w:color="auto"/>
      </w:divBdr>
    </w:div>
    <w:div w:id="1435369952">
      <w:bodyDiv w:val="1"/>
      <w:marLeft w:val="0"/>
      <w:marRight w:val="0"/>
      <w:marTop w:val="0"/>
      <w:marBottom w:val="0"/>
      <w:divBdr>
        <w:top w:val="none" w:sz="0" w:space="0" w:color="auto"/>
        <w:left w:val="none" w:sz="0" w:space="0" w:color="auto"/>
        <w:bottom w:val="none" w:sz="0" w:space="0" w:color="auto"/>
        <w:right w:val="none" w:sz="0" w:space="0" w:color="auto"/>
      </w:divBdr>
    </w:div>
    <w:div w:id="1446195658">
      <w:bodyDiv w:val="1"/>
      <w:marLeft w:val="0"/>
      <w:marRight w:val="0"/>
      <w:marTop w:val="0"/>
      <w:marBottom w:val="0"/>
      <w:divBdr>
        <w:top w:val="none" w:sz="0" w:space="0" w:color="auto"/>
        <w:left w:val="none" w:sz="0" w:space="0" w:color="auto"/>
        <w:bottom w:val="none" w:sz="0" w:space="0" w:color="auto"/>
        <w:right w:val="none" w:sz="0" w:space="0" w:color="auto"/>
      </w:divBdr>
    </w:div>
    <w:div w:id="1455562012">
      <w:bodyDiv w:val="1"/>
      <w:marLeft w:val="0"/>
      <w:marRight w:val="0"/>
      <w:marTop w:val="0"/>
      <w:marBottom w:val="0"/>
      <w:divBdr>
        <w:top w:val="none" w:sz="0" w:space="0" w:color="auto"/>
        <w:left w:val="none" w:sz="0" w:space="0" w:color="auto"/>
        <w:bottom w:val="none" w:sz="0" w:space="0" w:color="auto"/>
        <w:right w:val="none" w:sz="0" w:space="0" w:color="auto"/>
      </w:divBdr>
    </w:div>
    <w:div w:id="1460298694">
      <w:bodyDiv w:val="1"/>
      <w:marLeft w:val="0"/>
      <w:marRight w:val="0"/>
      <w:marTop w:val="0"/>
      <w:marBottom w:val="0"/>
      <w:divBdr>
        <w:top w:val="none" w:sz="0" w:space="0" w:color="auto"/>
        <w:left w:val="none" w:sz="0" w:space="0" w:color="auto"/>
        <w:bottom w:val="none" w:sz="0" w:space="0" w:color="auto"/>
        <w:right w:val="none" w:sz="0" w:space="0" w:color="auto"/>
      </w:divBdr>
    </w:div>
    <w:div w:id="1467628094">
      <w:bodyDiv w:val="1"/>
      <w:marLeft w:val="0"/>
      <w:marRight w:val="0"/>
      <w:marTop w:val="0"/>
      <w:marBottom w:val="0"/>
      <w:divBdr>
        <w:top w:val="none" w:sz="0" w:space="0" w:color="auto"/>
        <w:left w:val="none" w:sz="0" w:space="0" w:color="auto"/>
        <w:bottom w:val="none" w:sz="0" w:space="0" w:color="auto"/>
        <w:right w:val="none" w:sz="0" w:space="0" w:color="auto"/>
      </w:divBdr>
    </w:div>
    <w:div w:id="1475829663">
      <w:bodyDiv w:val="1"/>
      <w:marLeft w:val="0"/>
      <w:marRight w:val="0"/>
      <w:marTop w:val="0"/>
      <w:marBottom w:val="0"/>
      <w:divBdr>
        <w:top w:val="none" w:sz="0" w:space="0" w:color="auto"/>
        <w:left w:val="none" w:sz="0" w:space="0" w:color="auto"/>
        <w:bottom w:val="none" w:sz="0" w:space="0" w:color="auto"/>
        <w:right w:val="none" w:sz="0" w:space="0" w:color="auto"/>
      </w:divBdr>
    </w:div>
    <w:div w:id="1476408330">
      <w:bodyDiv w:val="1"/>
      <w:marLeft w:val="0"/>
      <w:marRight w:val="0"/>
      <w:marTop w:val="0"/>
      <w:marBottom w:val="0"/>
      <w:divBdr>
        <w:top w:val="none" w:sz="0" w:space="0" w:color="auto"/>
        <w:left w:val="none" w:sz="0" w:space="0" w:color="auto"/>
        <w:bottom w:val="none" w:sz="0" w:space="0" w:color="auto"/>
        <w:right w:val="none" w:sz="0" w:space="0" w:color="auto"/>
      </w:divBdr>
    </w:div>
    <w:div w:id="1517887644">
      <w:bodyDiv w:val="1"/>
      <w:marLeft w:val="0"/>
      <w:marRight w:val="0"/>
      <w:marTop w:val="0"/>
      <w:marBottom w:val="0"/>
      <w:divBdr>
        <w:top w:val="none" w:sz="0" w:space="0" w:color="auto"/>
        <w:left w:val="none" w:sz="0" w:space="0" w:color="auto"/>
        <w:bottom w:val="none" w:sz="0" w:space="0" w:color="auto"/>
        <w:right w:val="none" w:sz="0" w:space="0" w:color="auto"/>
      </w:divBdr>
    </w:div>
    <w:div w:id="1522931119">
      <w:bodyDiv w:val="1"/>
      <w:marLeft w:val="0"/>
      <w:marRight w:val="0"/>
      <w:marTop w:val="0"/>
      <w:marBottom w:val="0"/>
      <w:divBdr>
        <w:top w:val="none" w:sz="0" w:space="0" w:color="auto"/>
        <w:left w:val="none" w:sz="0" w:space="0" w:color="auto"/>
        <w:bottom w:val="none" w:sz="0" w:space="0" w:color="auto"/>
        <w:right w:val="none" w:sz="0" w:space="0" w:color="auto"/>
      </w:divBdr>
    </w:div>
    <w:div w:id="1526021536">
      <w:bodyDiv w:val="1"/>
      <w:marLeft w:val="0"/>
      <w:marRight w:val="0"/>
      <w:marTop w:val="0"/>
      <w:marBottom w:val="0"/>
      <w:divBdr>
        <w:top w:val="none" w:sz="0" w:space="0" w:color="auto"/>
        <w:left w:val="none" w:sz="0" w:space="0" w:color="auto"/>
        <w:bottom w:val="none" w:sz="0" w:space="0" w:color="auto"/>
        <w:right w:val="none" w:sz="0" w:space="0" w:color="auto"/>
      </w:divBdr>
    </w:div>
    <w:div w:id="1633712779">
      <w:bodyDiv w:val="1"/>
      <w:marLeft w:val="0"/>
      <w:marRight w:val="0"/>
      <w:marTop w:val="0"/>
      <w:marBottom w:val="0"/>
      <w:divBdr>
        <w:top w:val="none" w:sz="0" w:space="0" w:color="auto"/>
        <w:left w:val="none" w:sz="0" w:space="0" w:color="auto"/>
        <w:bottom w:val="none" w:sz="0" w:space="0" w:color="auto"/>
        <w:right w:val="none" w:sz="0" w:space="0" w:color="auto"/>
      </w:divBdr>
    </w:div>
    <w:div w:id="1746221915">
      <w:bodyDiv w:val="1"/>
      <w:marLeft w:val="0"/>
      <w:marRight w:val="0"/>
      <w:marTop w:val="0"/>
      <w:marBottom w:val="0"/>
      <w:divBdr>
        <w:top w:val="none" w:sz="0" w:space="0" w:color="auto"/>
        <w:left w:val="none" w:sz="0" w:space="0" w:color="auto"/>
        <w:bottom w:val="none" w:sz="0" w:space="0" w:color="auto"/>
        <w:right w:val="none" w:sz="0" w:space="0" w:color="auto"/>
      </w:divBdr>
    </w:div>
    <w:div w:id="1757634256">
      <w:bodyDiv w:val="1"/>
      <w:marLeft w:val="0"/>
      <w:marRight w:val="0"/>
      <w:marTop w:val="0"/>
      <w:marBottom w:val="0"/>
      <w:divBdr>
        <w:top w:val="none" w:sz="0" w:space="0" w:color="auto"/>
        <w:left w:val="none" w:sz="0" w:space="0" w:color="auto"/>
        <w:bottom w:val="none" w:sz="0" w:space="0" w:color="auto"/>
        <w:right w:val="none" w:sz="0" w:space="0" w:color="auto"/>
      </w:divBdr>
    </w:div>
    <w:div w:id="1762333208">
      <w:bodyDiv w:val="1"/>
      <w:marLeft w:val="0"/>
      <w:marRight w:val="0"/>
      <w:marTop w:val="0"/>
      <w:marBottom w:val="0"/>
      <w:divBdr>
        <w:top w:val="none" w:sz="0" w:space="0" w:color="auto"/>
        <w:left w:val="none" w:sz="0" w:space="0" w:color="auto"/>
        <w:bottom w:val="none" w:sz="0" w:space="0" w:color="auto"/>
        <w:right w:val="none" w:sz="0" w:space="0" w:color="auto"/>
      </w:divBdr>
    </w:div>
    <w:div w:id="1793935750">
      <w:bodyDiv w:val="1"/>
      <w:marLeft w:val="0"/>
      <w:marRight w:val="0"/>
      <w:marTop w:val="0"/>
      <w:marBottom w:val="0"/>
      <w:divBdr>
        <w:top w:val="none" w:sz="0" w:space="0" w:color="auto"/>
        <w:left w:val="none" w:sz="0" w:space="0" w:color="auto"/>
        <w:bottom w:val="none" w:sz="0" w:space="0" w:color="auto"/>
        <w:right w:val="none" w:sz="0" w:space="0" w:color="auto"/>
      </w:divBdr>
    </w:div>
    <w:div w:id="1817792600">
      <w:bodyDiv w:val="1"/>
      <w:marLeft w:val="0"/>
      <w:marRight w:val="0"/>
      <w:marTop w:val="0"/>
      <w:marBottom w:val="0"/>
      <w:divBdr>
        <w:top w:val="none" w:sz="0" w:space="0" w:color="auto"/>
        <w:left w:val="none" w:sz="0" w:space="0" w:color="auto"/>
        <w:bottom w:val="none" w:sz="0" w:space="0" w:color="auto"/>
        <w:right w:val="none" w:sz="0" w:space="0" w:color="auto"/>
      </w:divBdr>
      <w:divsChild>
        <w:div w:id="1266763730">
          <w:marLeft w:val="0"/>
          <w:marRight w:val="0"/>
          <w:marTop w:val="0"/>
          <w:marBottom w:val="0"/>
          <w:divBdr>
            <w:top w:val="none" w:sz="0" w:space="0" w:color="auto"/>
            <w:left w:val="none" w:sz="0" w:space="0" w:color="auto"/>
            <w:bottom w:val="none" w:sz="0" w:space="0" w:color="auto"/>
            <w:right w:val="none" w:sz="0" w:space="0" w:color="auto"/>
          </w:divBdr>
          <w:divsChild>
            <w:div w:id="194538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7488">
      <w:bodyDiv w:val="1"/>
      <w:marLeft w:val="0"/>
      <w:marRight w:val="0"/>
      <w:marTop w:val="0"/>
      <w:marBottom w:val="0"/>
      <w:divBdr>
        <w:top w:val="none" w:sz="0" w:space="0" w:color="auto"/>
        <w:left w:val="none" w:sz="0" w:space="0" w:color="auto"/>
        <w:bottom w:val="none" w:sz="0" w:space="0" w:color="auto"/>
        <w:right w:val="none" w:sz="0" w:space="0" w:color="auto"/>
      </w:divBdr>
    </w:div>
    <w:div w:id="1849169910">
      <w:bodyDiv w:val="1"/>
      <w:marLeft w:val="0"/>
      <w:marRight w:val="0"/>
      <w:marTop w:val="0"/>
      <w:marBottom w:val="0"/>
      <w:divBdr>
        <w:top w:val="none" w:sz="0" w:space="0" w:color="auto"/>
        <w:left w:val="none" w:sz="0" w:space="0" w:color="auto"/>
        <w:bottom w:val="none" w:sz="0" w:space="0" w:color="auto"/>
        <w:right w:val="none" w:sz="0" w:space="0" w:color="auto"/>
      </w:divBdr>
    </w:div>
    <w:div w:id="1895192861">
      <w:bodyDiv w:val="1"/>
      <w:marLeft w:val="0"/>
      <w:marRight w:val="0"/>
      <w:marTop w:val="0"/>
      <w:marBottom w:val="0"/>
      <w:divBdr>
        <w:top w:val="none" w:sz="0" w:space="0" w:color="auto"/>
        <w:left w:val="none" w:sz="0" w:space="0" w:color="auto"/>
        <w:bottom w:val="none" w:sz="0" w:space="0" w:color="auto"/>
        <w:right w:val="none" w:sz="0" w:space="0" w:color="auto"/>
      </w:divBdr>
    </w:div>
    <w:div w:id="1919437582">
      <w:bodyDiv w:val="1"/>
      <w:marLeft w:val="0"/>
      <w:marRight w:val="0"/>
      <w:marTop w:val="0"/>
      <w:marBottom w:val="0"/>
      <w:divBdr>
        <w:top w:val="none" w:sz="0" w:space="0" w:color="auto"/>
        <w:left w:val="none" w:sz="0" w:space="0" w:color="auto"/>
        <w:bottom w:val="none" w:sz="0" w:space="0" w:color="auto"/>
        <w:right w:val="none" w:sz="0" w:space="0" w:color="auto"/>
      </w:divBdr>
    </w:div>
    <w:div w:id="1944223364">
      <w:bodyDiv w:val="1"/>
      <w:marLeft w:val="0"/>
      <w:marRight w:val="0"/>
      <w:marTop w:val="0"/>
      <w:marBottom w:val="0"/>
      <w:divBdr>
        <w:top w:val="none" w:sz="0" w:space="0" w:color="auto"/>
        <w:left w:val="none" w:sz="0" w:space="0" w:color="auto"/>
        <w:bottom w:val="none" w:sz="0" w:space="0" w:color="auto"/>
        <w:right w:val="none" w:sz="0" w:space="0" w:color="auto"/>
      </w:divBdr>
    </w:div>
    <w:div w:id="1956790769">
      <w:bodyDiv w:val="1"/>
      <w:marLeft w:val="0"/>
      <w:marRight w:val="0"/>
      <w:marTop w:val="0"/>
      <w:marBottom w:val="0"/>
      <w:divBdr>
        <w:top w:val="none" w:sz="0" w:space="0" w:color="auto"/>
        <w:left w:val="none" w:sz="0" w:space="0" w:color="auto"/>
        <w:bottom w:val="none" w:sz="0" w:space="0" w:color="auto"/>
        <w:right w:val="none" w:sz="0" w:space="0" w:color="auto"/>
      </w:divBdr>
    </w:div>
    <w:div w:id="1978484362">
      <w:bodyDiv w:val="1"/>
      <w:marLeft w:val="0"/>
      <w:marRight w:val="0"/>
      <w:marTop w:val="0"/>
      <w:marBottom w:val="0"/>
      <w:divBdr>
        <w:top w:val="none" w:sz="0" w:space="0" w:color="auto"/>
        <w:left w:val="none" w:sz="0" w:space="0" w:color="auto"/>
        <w:bottom w:val="none" w:sz="0" w:space="0" w:color="auto"/>
        <w:right w:val="none" w:sz="0" w:space="0" w:color="auto"/>
      </w:divBdr>
    </w:div>
    <w:div w:id="1998264578">
      <w:bodyDiv w:val="1"/>
      <w:marLeft w:val="0"/>
      <w:marRight w:val="0"/>
      <w:marTop w:val="0"/>
      <w:marBottom w:val="0"/>
      <w:divBdr>
        <w:top w:val="none" w:sz="0" w:space="0" w:color="auto"/>
        <w:left w:val="none" w:sz="0" w:space="0" w:color="auto"/>
        <w:bottom w:val="none" w:sz="0" w:space="0" w:color="auto"/>
        <w:right w:val="none" w:sz="0" w:space="0" w:color="auto"/>
      </w:divBdr>
      <w:divsChild>
        <w:div w:id="1858151176">
          <w:marLeft w:val="0"/>
          <w:marRight w:val="0"/>
          <w:marTop w:val="0"/>
          <w:marBottom w:val="0"/>
          <w:divBdr>
            <w:top w:val="none" w:sz="0" w:space="0" w:color="auto"/>
            <w:left w:val="none" w:sz="0" w:space="0" w:color="auto"/>
            <w:bottom w:val="none" w:sz="0" w:space="0" w:color="auto"/>
            <w:right w:val="none" w:sz="0" w:space="0" w:color="auto"/>
          </w:divBdr>
          <w:divsChild>
            <w:div w:id="15730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361180">
      <w:bodyDiv w:val="1"/>
      <w:marLeft w:val="0"/>
      <w:marRight w:val="0"/>
      <w:marTop w:val="0"/>
      <w:marBottom w:val="0"/>
      <w:divBdr>
        <w:top w:val="none" w:sz="0" w:space="0" w:color="auto"/>
        <w:left w:val="none" w:sz="0" w:space="0" w:color="auto"/>
        <w:bottom w:val="none" w:sz="0" w:space="0" w:color="auto"/>
        <w:right w:val="none" w:sz="0" w:space="0" w:color="auto"/>
      </w:divBdr>
    </w:div>
    <w:div w:id="2054649145">
      <w:bodyDiv w:val="1"/>
      <w:marLeft w:val="0"/>
      <w:marRight w:val="0"/>
      <w:marTop w:val="0"/>
      <w:marBottom w:val="0"/>
      <w:divBdr>
        <w:top w:val="none" w:sz="0" w:space="0" w:color="auto"/>
        <w:left w:val="none" w:sz="0" w:space="0" w:color="auto"/>
        <w:bottom w:val="none" w:sz="0" w:space="0" w:color="auto"/>
        <w:right w:val="none" w:sz="0" w:space="0" w:color="auto"/>
      </w:divBdr>
    </w:div>
    <w:div w:id="2054649292">
      <w:bodyDiv w:val="1"/>
      <w:marLeft w:val="0"/>
      <w:marRight w:val="0"/>
      <w:marTop w:val="0"/>
      <w:marBottom w:val="0"/>
      <w:divBdr>
        <w:top w:val="none" w:sz="0" w:space="0" w:color="auto"/>
        <w:left w:val="none" w:sz="0" w:space="0" w:color="auto"/>
        <w:bottom w:val="none" w:sz="0" w:space="0" w:color="auto"/>
        <w:right w:val="none" w:sz="0" w:space="0" w:color="auto"/>
      </w:divBdr>
    </w:div>
    <w:div w:id="2090956547">
      <w:bodyDiv w:val="1"/>
      <w:marLeft w:val="0"/>
      <w:marRight w:val="0"/>
      <w:marTop w:val="0"/>
      <w:marBottom w:val="0"/>
      <w:divBdr>
        <w:top w:val="none" w:sz="0" w:space="0" w:color="auto"/>
        <w:left w:val="none" w:sz="0" w:space="0" w:color="auto"/>
        <w:bottom w:val="none" w:sz="0" w:space="0" w:color="auto"/>
        <w:right w:val="none" w:sz="0" w:space="0" w:color="auto"/>
      </w:divBdr>
    </w:div>
    <w:div w:id="2107311452">
      <w:bodyDiv w:val="1"/>
      <w:marLeft w:val="0"/>
      <w:marRight w:val="0"/>
      <w:marTop w:val="0"/>
      <w:marBottom w:val="0"/>
      <w:divBdr>
        <w:top w:val="none" w:sz="0" w:space="0" w:color="auto"/>
        <w:left w:val="none" w:sz="0" w:space="0" w:color="auto"/>
        <w:bottom w:val="none" w:sz="0" w:space="0" w:color="auto"/>
        <w:right w:val="none" w:sz="0" w:space="0" w:color="auto"/>
      </w:divBdr>
    </w:div>
    <w:div w:id="2110008075">
      <w:bodyDiv w:val="1"/>
      <w:marLeft w:val="0"/>
      <w:marRight w:val="0"/>
      <w:marTop w:val="0"/>
      <w:marBottom w:val="0"/>
      <w:divBdr>
        <w:top w:val="none" w:sz="0" w:space="0" w:color="auto"/>
        <w:left w:val="none" w:sz="0" w:space="0" w:color="auto"/>
        <w:bottom w:val="none" w:sz="0" w:space="0" w:color="auto"/>
        <w:right w:val="none" w:sz="0" w:space="0" w:color="auto"/>
      </w:divBdr>
      <w:divsChild>
        <w:div w:id="548735010">
          <w:marLeft w:val="0"/>
          <w:marRight w:val="0"/>
          <w:marTop w:val="0"/>
          <w:marBottom w:val="0"/>
          <w:divBdr>
            <w:top w:val="none" w:sz="0" w:space="0" w:color="auto"/>
            <w:left w:val="none" w:sz="0" w:space="0" w:color="auto"/>
            <w:bottom w:val="none" w:sz="0" w:space="0" w:color="auto"/>
            <w:right w:val="none" w:sz="0" w:space="0" w:color="auto"/>
          </w:divBdr>
          <w:divsChild>
            <w:div w:id="179525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55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s://nvlpubs.nist.gov/nistpubs/legacy/sp/nistspecialpublication800-122.pdf" TargetMode="External"/><Relationship Id="rId34" Type="http://schemas.openxmlformats.org/officeDocument/2006/relationships/hyperlink" Target="https://dir.texas.gov/View-Resources/Pages/Content.aspx?id=16" TargetMode="External"/><Relationship Id="rId42" Type="http://schemas.openxmlformats.org/officeDocument/2006/relationships/hyperlink" Target="https://www.itic.org/policy/accessibility/vpat" TargetMode="External"/><Relationship Id="rId47" Type="http://schemas.openxmlformats.org/officeDocument/2006/relationships/footer" Target="footer6.xml"/><Relationship Id="rId50" Type="http://schemas.openxmlformats.org/officeDocument/2006/relationships/hyperlink" Target="mailto:CISO@twc.state.tx.us" TargetMode="External"/><Relationship Id="rId55" Type="http://schemas.openxmlformats.org/officeDocument/2006/relationships/hyperlink" Target="https://fmx.cpa.texas.gov/fmx/login.php?page=/fmx/payment/forms/agy/AP-152/index.php" TargetMode="External"/><Relationship Id="rId63" Type="http://schemas.openxmlformats.org/officeDocument/2006/relationships/footer" Target="footer10.xml"/><Relationship Id="rId68" Type="http://schemas.openxmlformats.org/officeDocument/2006/relationships/header" Target="header12.xml"/><Relationship Id="rId76" Type="http://schemas.openxmlformats.org/officeDocument/2006/relationships/hyperlink" Target="http://www.mtwsolutions.com/" TargetMode="External"/><Relationship Id="rId84" Type="http://schemas.openxmlformats.org/officeDocument/2006/relationships/footer" Target="footer13.xml"/><Relationship Id="rId89" Type="http://schemas.openxmlformats.org/officeDocument/2006/relationships/oleObject" Target="embeddings/oleObject2.bin"/><Relationship Id="rId97" Type="http://schemas.openxmlformats.org/officeDocument/2006/relationships/hyperlink" Target="https://comptroller.texas.gov/purchasing/docs/hub-forms/hsp-allfms.pdf" TargetMode="External"/><Relationship Id="rId7" Type="http://schemas.openxmlformats.org/officeDocument/2006/relationships/endnotes" Target="endnotes.xml"/><Relationship Id="rId71" Type="http://schemas.openxmlformats.org/officeDocument/2006/relationships/hyperlink" Target="http://twc.texas.gov/files/twc/815-adopted-rule-092010-twc.pdf" TargetMode="External"/><Relationship Id="rId92"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yperlink" Target="https://twc.texas.gov/agency/twc-primary-enabling-state-statutes" TargetMode="External"/><Relationship Id="rId29" Type="http://schemas.openxmlformats.org/officeDocument/2006/relationships/header" Target="header4.xml"/><Relationship Id="rId11" Type="http://schemas.openxmlformats.org/officeDocument/2006/relationships/hyperlink" Target="http://www.naces.org" TargetMode="External"/><Relationship Id="rId24" Type="http://schemas.openxmlformats.org/officeDocument/2006/relationships/header" Target="header1.xml"/><Relationship Id="rId32" Type="http://schemas.openxmlformats.org/officeDocument/2006/relationships/footer" Target="footer4.xml"/><Relationship Id="rId37" Type="http://schemas.openxmlformats.org/officeDocument/2006/relationships/hyperlink" Target="https://section508.gov/" TargetMode="External"/><Relationship Id="rId40" Type="http://schemas.openxmlformats.org/officeDocument/2006/relationships/hyperlink" Target="http://texreg.sos.state.tx.us/public/readtac$ext.ViewTAC?tac_view=4&amp;ti=1&amp;pt=10&amp;ch=213" TargetMode="External"/><Relationship Id="rId45" Type="http://schemas.openxmlformats.org/officeDocument/2006/relationships/footer" Target="footer5.xml"/><Relationship Id="rId53" Type="http://schemas.openxmlformats.org/officeDocument/2006/relationships/footer" Target="footer7.xml"/><Relationship Id="rId58" Type="http://schemas.openxmlformats.org/officeDocument/2006/relationships/header" Target="header10.xml"/><Relationship Id="rId66" Type="http://schemas.openxmlformats.org/officeDocument/2006/relationships/hyperlink" Target="http://twc.texas.gov/agency/twc-primary-enabling-state-statutes" TargetMode="External"/><Relationship Id="rId74" Type="http://schemas.openxmlformats.org/officeDocument/2006/relationships/hyperlink" Target="http://www.statutes.legis.state.tx.us/Docs/LA/htm/LA.204.htm" TargetMode="External"/><Relationship Id="rId79" Type="http://schemas.openxmlformats.org/officeDocument/2006/relationships/hyperlink" Target="https://texnet.cpa.state.tx.us/" TargetMode="External"/><Relationship Id="rId87" Type="http://schemas.openxmlformats.org/officeDocument/2006/relationships/oleObject" Target="embeddings/oleObject1.bin"/><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png"/><Relationship Id="rId82" Type="http://schemas.openxmlformats.org/officeDocument/2006/relationships/hyperlink" Target="http://twc4avsuta/SUTAv3/login.aspx" TargetMode="External"/><Relationship Id="rId90" Type="http://schemas.openxmlformats.org/officeDocument/2006/relationships/image" Target="media/image8.emf"/><Relationship Id="rId95" Type="http://schemas.openxmlformats.org/officeDocument/2006/relationships/footer" Target="footer16.xml"/><Relationship Id="rId19" Type="http://schemas.openxmlformats.org/officeDocument/2006/relationships/hyperlink" Target="https://www.fedramp.gov/" TargetMode="External"/><Relationship Id="rId14" Type="http://schemas.openxmlformats.org/officeDocument/2006/relationships/hyperlink" Target="http://www.workintexas.com" TargetMode="External"/><Relationship Id="rId22" Type="http://schemas.openxmlformats.org/officeDocument/2006/relationships/hyperlink" Target="https://dir.texas.gov/View-Contracts-And-Services/Pages/Content.aspx?id=45" TargetMode="External"/><Relationship Id="rId27" Type="http://schemas.openxmlformats.org/officeDocument/2006/relationships/header" Target="header3.xml"/><Relationship Id="rId30" Type="http://schemas.openxmlformats.org/officeDocument/2006/relationships/footer" Target="footer3.xml"/><Relationship Id="rId35" Type="http://schemas.openxmlformats.org/officeDocument/2006/relationships/hyperlink" Target="https://wdr.doleta.gov/directives/attach/UIPL/UIPL_11-18.pdf" TargetMode="External"/><Relationship Id="rId43" Type="http://schemas.openxmlformats.org/officeDocument/2006/relationships/hyperlink" Target="mailto:paul.hesser@twc.state.tx.us" TargetMode="External"/><Relationship Id="rId48" Type="http://schemas.openxmlformats.org/officeDocument/2006/relationships/hyperlink" Target="http://www.Sam.gov" TargetMode="External"/><Relationship Id="rId56" Type="http://schemas.openxmlformats.org/officeDocument/2006/relationships/header" Target="header9.xml"/><Relationship Id="rId64" Type="http://schemas.openxmlformats.org/officeDocument/2006/relationships/image" Target="media/image5.png"/><Relationship Id="rId69" Type="http://schemas.openxmlformats.org/officeDocument/2006/relationships/footer" Target="footer11.xml"/><Relationship Id="rId77" Type="http://schemas.openxmlformats.org/officeDocument/2006/relationships/hyperlink" Target="https://twc.texas.gov/jobseekers/how-appeal-decision" TargetMode="External"/><Relationship Id="rId100" Type="http://schemas.openxmlformats.org/officeDocument/2006/relationships/hyperlink" Target="https://pubext.dir.texas.gov/portal/internal/contracts-and-services/Contracts/DIR-DCS-SCP-MSA-002-Exhibit%203-Service%20Levels%20updated%20in%20Amend%2014.pdf" TargetMode="External"/><Relationship Id="rId8" Type="http://schemas.openxmlformats.org/officeDocument/2006/relationships/image" Target="media/image1.jpeg"/><Relationship Id="rId51" Type="http://schemas.openxmlformats.org/officeDocument/2006/relationships/hyperlink" Target="http://www.buyaccessible.gov" TargetMode="External"/><Relationship Id="rId72" Type="http://schemas.openxmlformats.org/officeDocument/2006/relationships/hyperlink" Target="https://capitol.texas.gov/tlodocs/83R/billtext/html/HB02015H.htm" TargetMode="External"/><Relationship Id="rId80" Type="http://schemas.openxmlformats.org/officeDocument/2006/relationships/header" Target="header13.xml"/><Relationship Id="rId85" Type="http://schemas.openxmlformats.org/officeDocument/2006/relationships/footer" Target="footer14.xml"/><Relationship Id="rId93" Type="http://schemas.openxmlformats.org/officeDocument/2006/relationships/footer" Target="footer15.xml"/><Relationship Id="rId98" Type="http://schemas.openxmlformats.org/officeDocument/2006/relationships/image" Target="media/image9.png"/><Relationship Id="rId3" Type="http://schemas.openxmlformats.org/officeDocument/2006/relationships/styles" Target="styles.xml"/><Relationship Id="rId12" Type="http://schemas.openxmlformats.org/officeDocument/2006/relationships/hyperlink" Target="https://dirsharedservices.service-now.com/dir" TargetMode="External"/><Relationship Id="rId17" Type="http://schemas.openxmlformats.org/officeDocument/2006/relationships/hyperlink" Target="file:///\\actdc101p.rtdcx101p.twc.state.tx.us\Root\USERS\baichje1\0%20UI%20&amp;amp;%20RID%20Modernization\ITSC%20Review\01_UI%20System%20Replacement%20RFO%202019-0326%20OGC%20comments%20addressed_Combined_Final_DraftV2.docx" TargetMode="External"/><Relationship Id="rId25" Type="http://schemas.openxmlformats.org/officeDocument/2006/relationships/header" Target="header2.xml"/><Relationship Id="rId33" Type="http://schemas.openxmlformats.org/officeDocument/2006/relationships/hyperlink" Target="http://www.statutes.legis.state.tx.us/Docs/LA/htm/LA.301.htm" TargetMode="External"/><Relationship Id="rId38" Type="http://schemas.openxmlformats.org/officeDocument/2006/relationships/hyperlink" Target="http://www.w3.org/TR/WCAG20/" TargetMode="External"/><Relationship Id="rId46" Type="http://schemas.openxmlformats.org/officeDocument/2006/relationships/header" Target="header7.xml"/><Relationship Id="rId59" Type="http://schemas.openxmlformats.org/officeDocument/2006/relationships/footer" Target="footer9.xml"/><Relationship Id="rId67" Type="http://schemas.openxmlformats.org/officeDocument/2006/relationships/hyperlink" Target="https://www.tsl.texas.gov/sites/default/files/public/tslac/slrm/state/schedules/320.PDF" TargetMode="External"/><Relationship Id="rId20" Type="http://schemas.openxmlformats.org/officeDocument/2006/relationships/hyperlink" Target="https://www.nsa.gov/resources/everyone/media-destruction/" TargetMode="External"/><Relationship Id="rId41" Type="http://schemas.openxmlformats.org/officeDocument/2006/relationships/hyperlink" Target="http://webaim.org/resources/" TargetMode="External"/><Relationship Id="rId54" Type="http://schemas.openxmlformats.org/officeDocument/2006/relationships/hyperlink" Target="https://www.irs.gov/businesses/small-businesses-self-employed" TargetMode="External"/><Relationship Id="rId62" Type="http://schemas.openxmlformats.org/officeDocument/2006/relationships/header" Target="header11.xml"/><Relationship Id="rId70" Type="http://schemas.openxmlformats.org/officeDocument/2006/relationships/hyperlink" Target="http://www.twc.state.tx.us/laws/tuca/enabling-state-statutes.html" TargetMode="External"/><Relationship Id="rId75" Type="http://schemas.openxmlformats.org/officeDocument/2006/relationships/hyperlink" Target="http://twc.texas.gov/files/jobseekers/rules-chapter-815-unemployment-insurance-twc.pdf" TargetMode="External"/><Relationship Id="rId83" Type="http://schemas.openxmlformats.org/officeDocument/2006/relationships/header" Target="header14.xml"/><Relationship Id="rId88" Type="http://schemas.openxmlformats.org/officeDocument/2006/relationships/image" Target="media/image7.emf"/><Relationship Id="rId91" Type="http://schemas.openxmlformats.org/officeDocument/2006/relationships/oleObject" Target="embeddings/oleObject3.bin"/><Relationship Id="rId96" Type="http://schemas.openxmlformats.org/officeDocument/2006/relationships/hyperlink" Target="https://comptroller.texas.go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actdc101p.rtdcx101p.twc.state.tx.us\Root\USERS\baichje1\0%20UI%20&amp;amp;%20RID%20Modernization\ITSC%20Review\01_UI%20System%20Replacement%20RFO%202019-0326%20OGC%20comments%20addressed_Combined_Final_DraftV2.docx" TargetMode="External"/><Relationship Id="rId23" Type="http://schemas.openxmlformats.org/officeDocument/2006/relationships/hyperlink" Target="mailto:pio@dir.texas.gov" TargetMode="External"/><Relationship Id="rId28" Type="http://schemas.openxmlformats.org/officeDocument/2006/relationships/footer" Target="footer2.xml"/><Relationship Id="rId36" Type="http://schemas.openxmlformats.org/officeDocument/2006/relationships/hyperlink" Target="mailto:appo@twc.state.tx.us" TargetMode="External"/><Relationship Id="rId49" Type="http://schemas.openxmlformats.org/officeDocument/2006/relationships/hyperlink" Target="http://www.lbb.state.tx.us/" TargetMode="External"/><Relationship Id="rId57" Type="http://schemas.openxmlformats.org/officeDocument/2006/relationships/footer" Target="footer8.xml"/><Relationship Id="rId10" Type="http://schemas.openxmlformats.org/officeDocument/2006/relationships/hyperlink" Target="http://dir.texas.gov" TargetMode="External"/><Relationship Id="rId31" Type="http://schemas.openxmlformats.org/officeDocument/2006/relationships/header" Target="header5.xml"/><Relationship Id="rId44" Type="http://schemas.openxmlformats.org/officeDocument/2006/relationships/header" Target="header6.xml"/><Relationship Id="rId52" Type="http://schemas.openxmlformats.org/officeDocument/2006/relationships/header" Target="header8.xml"/><Relationship Id="rId60" Type="http://schemas.openxmlformats.org/officeDocument/2006/relationships/image" Target="media/image3.png"/><Relationship Id="rId65" Type="http://schemas.openxmlformats.org/officeDocument/2006/relationships/hyperlink" Target="https://twc.texas.gov/" TargetMode="External"/><Relationship Id="rId73" Type="http://schemas.openxmlformats.org/officeDocument/2006/relationships/hyperlink" Target="https://www.tdlr.texas.gov/peo/peolaw.htm" TargetMode="External"/><Relationship Id="rId78" Type="http://schemas.openxmlformats.org/officeDocument/2006/relationships/hyperlink" Target="https://twc.texas.gov/jobseekers/how-appeal-decision" TargetMode="External"/><Relationship Id="rId81" Type="http://schemas.openxmlformats.org/officeDocument/2006/relationships/footer" Target="footer12.xml"/><Relationship Id="rId86" Type="http://schemas.openxmlformats.org/officeDocument/2006/relationships/image" Target="media/image6.emf"/><Relationship Id="rId94" Type="http://schemas.openxmlformats.org/officeDocument/2006/relationships/header" Target="header16.xml"/><Relationship Id="rId99" Type="http://schemas.openxmlformats.org/officeDocument/2006/relationships/hyperlink" Target="https://pubext.dir.texas.gov/portal/internal/contracts-and-services/Contracts/DIR-DCS-SCP-MSA-002-Master%20Services%20Agreement.pdf"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ir.texas.gov/View-About-DIR/Data-Center/Landing.aspx" TargetMode="External"/><Relationship Id="rId13" Type="http://schemas.openxmlformats.org/officeDocument/2006/relationships/hyperlink" Target="https://twc.texas.gov/agency/twc-primary-enabling-state-statutes" TargetMode="External"/><Relationship Id="rId18" Type="http://schemas.openxmlformats.org/officeDocument/2006/relationships/hyperlink" Target="https://wdr.doleta.gov/directives/attach/TEGL31-04.pdf" TargetMode="External"/><Relationship Id="rId39" Type="http://schemas.openxmlformats.org/officeDocument/2006/relationships/hyperlink" Target="http://texreg.sos.state.tx.us/public/readtac$ext.ViewTAC?tac_view=4&amp;ti=1&amp;pt=10&amp;ch=206"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10.xml.rels><?xml version="1.0" encoding="UTF-8" standalone="yes"?>
<Relationships xmlns="http://schemas.openxmlformats.org/package/2006/relationships"><Relationship Id="rId1" Type="http://schemas.openxmlformats.org/officeDocument/2006/relationships/image" Target="media/image2.jpeg"/></Relationships>
</file>

<file path=word/_rels/footer11.xml.rels><?xml version="1.0" encoding="UTF-8" standalone="yes"?>
<Relationships xmlns="http://schemas.openxmlformats.org/package/2006/relationships"><Relationship Id="rId1" Type="http://schemas.openxmlformats.org/officeDocument/2006/relationships/image" Target="media/image2.jpeg"/></Relationships>
</file>

<file path=word/_rels/footer12.xml.rels><?xml version="1.0" encoding="UTF-8" standalone="yes"?>
<Relationships xmlns="http://schemas.openxmlformats.org/package/2006/relationships"><Relationship Id="rId1" Type="http://schemas.openxmlformats.org/officeDocument/2006/relationships/image" Target="media/image2.jpeg"/></Relationships>
</file>

<file path=word/_rels/footer13.xml.rels><?xml version="1.0" encoding="UTF-8" standalone="yes"?>
<Relationships xmlns="http://schemas.openxmlformats.org/package/2006/relationships"><Relationship Id="rId1" Type="http://schemas.openxmlformats.org/officeDocument/2006/relationships/image" Target="media/image2.jpeg"/></Relationships>
</file>

<file path=word/_rels/footer14.xml.rels><?xml version="1.0" encoding="UTF-8" standalone="yes"?>
<Relationships xmlns="http://schemas.openxmlformats.org/package/2006/relationships"><Relationship Id="rId1" Type="http://schemas.openxmlformats.org/officeDocument/2006/relationships/image" Target="media/image2.jpeg"/></Relationships>
</file>

<file path=word/_rels/footer15.xml.rels><?xml version="1.0" encoding="UTF-8" standalone="yes"?>
<Relationships xmlns="http://schemas.openxmlformats.org/package/2006/relationships"><Relationship Id="rId1" Type="http://schemas.openxmlformats.org/officeDocument/2006/relationships/image" Target="media/image2.jpeg"/></Relationships>
</file>

<file path=word/_rels/footer16.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1" Type="http://schemas.openxmlformats.org/officeDocument/2006/relationships/image" Target="media/image2.jpeg"/></Relationships>
</file>

<file path=word/_rels/footer9.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wdr.doleta.gov/directives/attach/UIPL26_1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D1DD1-1223-41B8-992D-43C0AD3BA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Pages>
  <Words>110367</Words>
  <Characters>629092</Characters>
  <Application>Microsoft Office Word</Application>
  <DocSecurity>0</DocSecurity>
  <Lines>5242</Lines>
  <Paragraphs>1475</Paragraphs>
  <ScaleCrop>false</ScaleCrop>
  <HeadingPairs>
    <vt:vector size="2" baseType="variant">
      <vt:variant>
        <vt:lpstr>Title</vt:lpstr>
      </vt:variant>
      <vt:variant>
        <vt:i4>1</vt:i4>
      </vt:variant>
    </vt:vector>
  </HeadingPairs>
  <TitlesOfParts>
    <vt:vector size="1" baseType="lpstr">
      <vt:lpstr>TWC Accessible Template 4</vt:lpstr>
    </vt:vector>
  </TitlesOfParts>
  <Company>Texas Workforce Commission</Company>
  <LinksUpToDate>false</LinksUpToDate>
  <CharactersWithSpaces>737984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TWC Accessible Template 4</dc:title>
  <dc:subject/>
  <dc:creator>Baich,Jeffrey</dc:creator>
  <cp:keywords/>
  <dc:description/>
  <cp:lastModifiedBy>Busby,Melanie A</cp:lastModifiedBy>
  <cp:revision>10</cp:revision>
  <cp:lastPrinted>2019-05-08T18:19:00Z</cp:lastPrinted>
  <dcterms:created xsi:type="dcterms:W3CDTF">2019-07-11T15:22:00Z</dcterms:created>
  <dcterms:modified xsi:type="dcterms:W3CDTF">2019-07-11T16:17:00Z</dcterms:modified>
</cp:coreProperties>
</file>